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CB8E4C" w14:textId="77777777" w:rsidR="00E675EC" w:rsidRPr="0062081E" w:rsidRDefault="00E675EC" w:rsidP="0062081E">
      <w:pPr>
        <w:pStyle w:val="Heading2"/>
        <w:bidi/>
        <w:spacing w:line="360" w:lineRule="auto"/>
        <w:rPr>
          <w:rFonts w:eastAsia="Times New Roman"/>
          <w:color w:val="000000" w:themeColor="text1"/>
          <w:sz w:val="36"/>
          <w:szCs w:val="36"/>
        </w:rPr>
      </w:pPr>
      <w:r w:rsidRPr="0062081E">
        <w:rPr>
          <w:rFonts w:eastAsia="Times New Roman"/>
          <w:color w:val="000000" w:themeColor="text1"/>
          <w:rtl/>
        </w:rPr>
        <w:t>أولاً: نواقص مجتمع الدراسة والعينة</w:t>
      </w:r>
    </w:p>
    <w:p w14:paraId="621F01FA" w14:textId="77777777" w:rsidR="00E675EC" w:rsidRPr="0062081E" w:rsidRDefault="00E675EC" w:rsidP="0062081E">
      <w:pPr>
        <w:pStyle w:val="NormalWeb"/>
        <w:bidi/>
        <w:spacing w:line="360" w:lineRule="auto"/>
        <w:rPr>
          <w:rFonts w:eastAsiaTheme="minorHAnsi"/>
          <w:color w:val="000000" w:themeColor="text1"/>
        </w:rPr>
      </w:pPr>
      <w:r w:rsidRPr="0062081E">
        <w:rPr>
          <w:rStyle w:val="Strong"/>
          <w:rFonts w:eastAsiaTheme="majorEastAsia"/>
          <w:color w:val="000000" w:themeColor="text1"/>
          <w:rtl/>
        </w:rPr>
        <w:t>الأولى: عدم توثيق حجم مجتمع الدراسة توثيقاً رسمياً</w:t>
      </w:r>
      <w:r w:rsidRPr="0062081E">
        <w:rPr>
          <w:color w:val="000000" w:themeColor="text1"/>
        </w:rPr>
        <w:br/>
      </w:r>
      <w:r w:rsidRPr="0062081E">
        <w:rPr>
          <w:color w:val="000000" w:themeColor="text1"/>
          <w:rtl/>
        </w:rPr>
        <w:t>قُدّر مجتمع الدراسة بما يتراوح بين</w:t>
      </w:r>
      <w:bookmarkStart w:id="0" w:name="_GoBack"/>
      <w:bookmarkEnd w:id="0"/>
      <w:r w:rsidRPr="0062081E">
        <w:rPr>
          <w:color w:val="000000" w:themeColor="text1"/>
          <w:rtl/>
        </w:rPr>
        <w:t xml:space="preserve"> 150 و250 خبيراً وقيادياً ومتخصصاً، دون عرض مصدر رسمي أو طريقة حساب تفصيلية. يجب بيان كيفية الوصول إلى هذا التقدير، وإرفاق البيانات أو الخطابات المؤسسية التي استُند إليها</w:t>
      </w:r>
      <w:r w:rsidRPr="0062081E">
        <w:rPr>
          <w:color w:val="000000" w:themeColor="text1"/>
        </w:rPr>
        <w:t>.</w:t>
      </w:r>
    </w:p>
    <w:p w14:paraId="5A9BC423"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الثانية: اتساع النطاق المؤسسي لمجتمع الدراسة</w:t>
      </w:r>
      <w:r w:rsidRPr="0062081E">
        <w:rPr>
          <w:color w:val="000000" w:themeColor="text1"/>
        </w:rPr>
        <w:br/>
      </w:r>
      <w:r w:rsidRPr="0062081E">
        <w:rPr>
          <w:color w:val="000000" w:themeColor="text1"/>
          <w:rtl/>
        </w:rPr>
        <w:t>يشمل المجتمع جهات حكومية وتشغيلية واستشارية وأكاديمية، لكن لم توضح الحدود التي تحدد انتماء الفرد إلى المجتمع المستهدف. يجب وضع تعريف إجرائي واضح لكل فئة مشمولة</w:t>
      </w:r>
      <w:r w:rsidRPr="0062081E">
        <w:rPr>
          <w:color w:val="000000" w:themeColor="text1"/>
        </w:rPr>
        <w:t>.</w:t>
      </w:r>
    </w:p>
    <w:p w14:paraId="24C05745"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الثالثة: عدم عرض توزيع المجتمع على الجهات المستهدفة</w:t>
      </w:r>
      <w:r w:rsidRPr="0062081E">
        <w:rPr>
          <w:color w:val="000000" w:themeColor="text1"/>
        </w:rPr>
        <w:br/>
      </w:r>
      <w:r w:rsidRPr="0062081E">
        <w:rPr>
          <w:color w:val="000000" w:themeColor="text1"/>
          <w:rtl/>
        </w:rPr>
        <w:t>لم يقدم الفصل أعداداً تقريبية للعاملين المؤهلين في شركة المياه الوطنية، والهيئة السعودية للمياه، والوزارة، والشركات التشغيلية والاستشارية والجامعات. يجب إعداد جدول يوضح العدد أو التقدير الخاص بكل جهة</w:t>
      </w:r>
      <w:r w:rsidRPr="0062081E">
        <w:rPr>
          <w:color w:val="000000" w:themeColor="text1"/>
        </w:rPr>
        <w:t>.</w:t>
      </w:r>
    </w:p>
    <w:p w14:paraId="01E0C2C5"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الرابعة: عدم توثيق الهيكلة التنظيمية المستخدمة في تقدير المجتمع</w:t>
      </w:r>
      <w:r w:rsidRPr="0062081E">
        <w:rPr>
          <w:color w:val="000000" w:themeColor="text1"/>
        </w:rPr>
        <w:br/>
      </w:r>
      <w:r w:rsidRPr="0062081E">
        <w:rPr>
          <w:color w:val="000000" w:themeColor="text1"/>
          <w:rtl/>
        </w:rPr>
        <w:t>ورد أن التقدير استند إلى الهيكلة التنظيمية للجهات ذات الصلة، لكن لم تذكر أسماء الوثائق أو تواريخها أو الجهات المصدرة لها. يجب توثيقها توثيقاً كاملاً</w:t>
      </w:r>
      <w:r w:rsidRPr="0062081E">
        <w:rPr>
          <w:color w:val="000000" w:themeColor="text1"/>
        </w:rPr>
        <w:t>.</w:t>
      </w:r>
    </w:p>
    <w:p w14:paraId="269CA4BC"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الخامسة: ضرورة التحقق من عدد القطاعات التشغيلية</w:t>
      </w:r>
      <w:r w:rsidRPr="0062081E">
        <w:rPr>
          <w:color w:val="000000" w:themeColor="text1"/>
        </w:rPr>
        <w:br/>
      </w:r>
      <w:r w:rsidRPr="0062081E">
        <w:rPr>
          <w:color w:val="000000" w:themeColor="text1"/>
          <w:rtl/>
        </w:rPr>
        <w:t>ذُكر أن شركة المياه الوطنية تتكون من ستة قطاعات تشغيلية. يجب التحقق من أن هذا التقسيم ما يزال معتمداً وقت تنفيذ الدراسة، وتوثيقه من مصدر رسمي حديث</w:t>
      </w:r>
      <w:r w:rsidRPr="0062081E">
        <w:rPr>
          <w:color w:val="000000" w:themeColor="text1"/>
        </w:rPr>
        <w:t>.</w:t>
      </w:r>
    </w:p>
    <w:p w14:paraId="6268775F"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السادسة: عدم الاتساق بين وحدة التحليل ووحدة الاستجابة</w:t>
      </w:r>
      <w:r w:rsidRPr="0062081E">
        <w:rPr>
          <w:color w:val="000000" w:themeColor="text1"/>
        </w:rPr>
        <w:br/>
      </w:r>
      <w:r w:rsidRPr="0062081E">
        <w:rPr>
          <w:color w:val="000000" w:themeColor="text1"/>
          <w:rtl/>
        </w:rPr>
        <w:t>حدد الفصل المؤسسة أو الجهة بوصفها وحدة التحليل، بينما تجمع البيانات من الأفراد، ويُعامل كل فرد باعتباره مشاهدة مستقلة. يجب التمييز بوضوح بين وحدة التحليل المؤسسية ووحدة الملاحظة الفردية</w:t>
      </w:r>
      <w:r w:rsidRPr="0062081E">
        <w:rPr>
          <w:color w:val="000000" w:themeColor="text1"/>
        </w:rPr>
        <w:t>.</w:t>
      </w:r>
    </w:p>
    <w:p w14:paraId="5CB85565"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السابعة: عدم صحة افتراض أن كل مستجيب يمثل مؤسسة مستقلة</w:t>
      </w:r>
      <w:r w:rsidRPr="0062081E">
        <w:rPr>
          <w:color w:val="000000" w:themeColor="text1"/>
        </w:rPr>
        <w:br/>
      </w:r>
      <w:r w:rsidRPr="0062081E">
        <w:rPr>
          <w:color w:val="000000" w:themeColor="text1"/>
          <w:rtl/>
        </w:rPr>
        <w:t>قد يشارك عدد كبير من الموظفين من شركة المياه الوطنية أو الهيئة نفسها، ولذلك لا يمكن اعتبار كل مستجيب مؤسسة مستقلة. يجب توضيح هل سيختار مستجيب واحد من كل جهة، أم ستُجمع استجابات متعددة من الجهة نفسها</w:t>
      </w:r>
      <w:r w:rsidRPr="0062081E">
        <w:rPr>
          <w:color w:val="000000" w:themeColor="text1"/>
        </w:rPr>
        <w:t>.</w:t>
      </w:r>
    </w:p>
    <w:p w14:paraId="26B0F463"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الثامنة: غياب آلية التعامل مع الاستجابات المتعددة من المؤسسة الواحدة</w:t>
      </w:r>
      <w:r w:rsidRPr="0062081E">
        <w:rPr>
          <w:color w:val="000000" w:themeColor="text1"/>
        </w:rPr>
        <w:br/>
      </w:r>
      <w:r w:rsidRPr="0062081E">
        <w:rPr>
          <w:color w:val="000000" w:themeColor="text1"/>
          <w:rtl/>
        </w:rPr>
        <w:t>إذا شارك أكثر من شخص من الجهة نفسها، فيجب توضيح هل ستُجمع إجاباتهم في درجة مؤسسية واحدة، أو سيُفحص الاتفاق بينهم، أو سيُراعى تجمّع البيانات داخل الجهات</w:t>
      </w:r>
      <w:r w:rsidRPr="0062081E">
        <w:rPr>
          <w:color w:val="000000" w:themeColor="text1"/>
        </w:rPr>
        <w:t>.</w:t>
      </w:r>
    </w:p>
    <w:p w14:paraId="6D9C34A2"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lastRenderedPageBreak/>
        <w:t>التاسعة: عدم تحديد الحد الأقصى للمشاركين من كل جهة</w:t>
      </w:r>
      <w:r w:rsidRPr="0062081E">
        <w:rPr>
          <w:color w:val="000000" w:themeColor="text1"/>
        </w:rPr>
        <w:br/>
      </w:r>
      <w:r w:rsidRPr="0062081E">
        <w:rPr>
          <w:color w:val="000000" w:themeColor="text1"/>
          <w:rtl/>
        </w:rPr>
        <w:t xml:space="preserve">قد تتركز العينة في شركة واحدة كبيرة، مما يجعل النتائج تعكس تلك الجهة بدرجة أكبر من بقية الجهات. يجب وضع حصص </w:t>
      </w:r>
      <w:proofErr w:type="spellStart"/>
      <w:r w:rsidRPr="0062081E">
        <w:rPr>
          <w:color w:val="000000" w:themeColor="text1"/>
          <w:rtl/>
        </w:rPr>
        <w:t>استرشادية</w:t>
      </w:r>
      <w:proofErr w:type="spellEnd"/>
      <w:r w:rsidRPr="0062081E">
        <w:rPr>
          <w:color w:val="000000" w:themeColor="text1"/>
          <w:rtl/>
        </w:rPr>
        <w:t xml:space="preserve"> أو حد أقصى للاستجابات من كل جهة</w:t>
      </w:r>
      <w:r w:rsidRPr="0062081E">
        <w:rPr>
          <w:color w:val="000000" w:themeColor="text1"/>
        </w:rPr>
        <w:t>.</w:t>
      </w:r>
    </w:p>
    <w:p w14:paraId="1C9C0D4F"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العاشرة: عدم عرض توزيع العينة على المناطق الجغرافية</w:t>
      </w:r>
      <w:r w:rsidRPr="0062081E">
        <w:rPr>
          <w:color w:val="000000" w:themeColor="text1"/>
        </w:rPr>
        <w:br/>
      </w:r>
      <w:r w:rsidRPr="0062081E">
        <w:rPr>
          <w:color w:val="000000" w:themeColor="text1"/>
          <w:rtl/>
        </w:rPr>
        <w:t>ذُكر أن الدراسة تشمل جميع مناطق المملكة، لكن لم يقدم جدول يوضح العدد المستهدف من كل قطاع أو منطقة. يجب إضافة خطة للتوزيع الجغرافي</w:t>
      </w:r>
      <w:r w:rsidRPr="0062081E">
        <w:rPr>
          <w:color w:val="000000" w:themeColor="text1"/>
        </w:rPr>
        <w:t>.</w:t>
      </w:r>
    </w:p>
    <w:p w14:paraId="29B75D40"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الحادية عشرة: الادعاء بالتمثيل الجغرافي الشامل غير مدعوم</w:t>
      </w:r>
      <w:r w:rsidRPr="0062081E">
        <w:rPr>
          <w:color w:val="000000" w:themeColor="text1"/>
        </w:rPr>
        <w:br/>
      </w:r>
      <w:r w:rsidRPr="0062081E">
        <w:rPr>
          <w:color w:val="000000" w:themeColor="text1"/>
          <w:rtl/>
        </w:rPr>
        <w:t>استخدام العينة القصدية لا يضمن تلقائياً تمثيل جميع المناطق. يجب ربط الادعاء بأعداد وحصص فعلية، أو استخدام صياغة أكثر تحفظاً</w:t>
      </w:r>
      <w:r w:rsidRPr="0062081E">
        <w:rPr>
          <w:color w:val="000000" w:themeColor="text1"/>
        </w:rPr>
        <w:t>.</w:t>
      </w:r>
    </w:p>
    <w:p w14:paraId="7A813A03"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الثانية عشرة: عدم عرض توزيع العينة على الفئات المهنية</w:t>
      </w:r>
      <w:r w:rsidRPr="0062081E">
        <w:rPr>
          <w:color w:val="000000" w:themeColor="text1"/>
        </w:rPr>
        <w:br/>
      </w:r>
      <w:r w:rsidRPr="0062081E">
        <w:rPr>
          <w:color w:val="000000" w:themeColor="text1"/>
          <w:rtl/>
        </w:rPr>
        <w:t>يجب تحديد العدد المستهدف من القياديين، والمتخصصين الفنيين، والمستشارين، والأكاديميين، وعدم الاكتفاء بذكر الفئات بصورة عامة</w:t>
      </w:r>
      <w:r w:rsidRPr="0062081E">
        <w:rPr>
          <w:color w:val="000000" w:themeColor="text1"/>
        </w:rPr>
        <w:t>.</w:t>
      </w:r>
    </w:p>
    <w:p w14:paraId="4A9B7628"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الثالثة عشرة: عدم توضيح طريقة الوصول إلى الأكاديميين والباحثين</w:t>
      </w:r>
      <w:r w:rsidRPr="0062081E">
        <w:rPr>
          <w:color w:val="000000" w:themeColor="text1"/>
        </w:rPr>
        <w:br/>
      </w:r>
      <w:r w:rsidRPr="0062081E">
        <w:rPr>
          <w:color w:val="000000" w:themeColor="text1"/>
          <w:rtl/>
        </w:rPr>
        <w:t>لم يبين الفصل المؤسسات الأكاديمية المستهدفة، ولا التخصصات العلمية المطلوبة، ولا آلية التأكد من ارتباط خبرة الأكاديمي بقطاع المياه السعودي</w:t>
      </w:r>
      <w:r w:rsidRPr="0062081E">
        <w:rPr>
          <w:color w:val="000000" w:themeColor="text1"/>
        </w:rPr>
        <w:t>.</w:t>
      </w:r>
    </w:p>
    <w:p w14:paraId="4910BA1E"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الرابعة عشرة: عدم اتساق شروط الأهلية مع جميع فئات المجتمع</w:t>
      </w:r>
      <w:r w:rsidRPr="0062081E">
        <w:rPr>
          <w:color w:val="000000" w:themeColor="text1"/>
        </w:rPr>
        <w:br/>
      </w:r>
      <w:r w:rsidRPr="0062081E">
        <w:rPr>
          <w:color w:val="000000" w:themeColor="text1"/>
          <w:rtl/>
        </w:rPr>
        <w:t>اشتُرطت خبرة عملية في قطاع المياه لا تقل عن خمس سنوات، لكن هذا الشرط قد يحتاج إلى صياغة مختلفة بالنسبة إلى الباحثين والأكاديميين. يجب تحديد شروط ملائمة لكل فئة</w:t>
      </w:r>
      <w:r w:rsidRPr="0062081E">
        <w:rPr>
          <w:color w:val="000000" w:themeColor="text1"/>
        </w:rPr>
        <w:t>.</w:t>
      </w:r>
    </w:p>
    <w:p w14:paraId="21C0E5B8"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الخامسة عشرة: غياب معايير الاستبعاد</w:t>
      </w:r>
      <w:r w:rsidRPr="0062081E">
        <w:rPr>
          <w:color w:val="000000" w:themeColor="text1"/>
        </w:rPr>
        <w:br/>
      </w:r>
      <w:r w:rsidRPr="0062081E">
        <w:rPr>
          <w:color w:val="000000" w:themeColor="text1"/>
          <w:rtl/>
        </w:rPr>
        <w:t>يجب تحديد الفئات التي لن تدخل الدراسة، مثل الموظفين الجدد، والمتدربين، والعاملين في وظائف غير مرتبطة بموضوع الدراسة، والاستشاريين الذين لا يملكون خبرة فعلية في القطاع السعودي</w:t>
      </w:r>
      <w:r w:rsidRPr="0062081E">
        <w:rPr>
          <w:color w:val="000000" w:themeColor="text1"/>
        </w:rPr>
        <w:t>.</w:t>
      </w:r>
    </w:p>
    <w:p w14:paraId="00398F00"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السادسة عشرة: عدم توضيح كيفية التحقق من سنوات الخبرة</w:t>
      </w:r>
      <w:r w:rsidRPr="0062081E">
        <w:rPr>
          <w:color w:val="000000" w:themeColor="text1"/>
        </w:rPr>
        <w:br/>
      </w:r>
      <w:r w:rsidRPr="0062081E">
        <w:rPr>
          <w:color w:val="000000" w:themeColor="text1"/>
          <w:rtl/>
        </w:rPr>
        <w:t>يجب بيان هل ستعتمد الدراسة على إجابة المشارك فقط، أم ستتضمن أسئلة تصفية وتحقق من الجهة والمسمى الوظيفي ومجال الخبرة</w:t>
      </w:r>
      <w:r w:rsidRPr="0062081E">
        <w:rPr>
          <w:color w:val="000000" w:themeColor="text1"/>
        </w:rPr>
        <w:t>.</w:t>
      </w:r>
    </w:p>
    <w:p w14:paraId="3B2FAD98"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السابعة عشرة: عدم توضيح آلية تطبيق العينة القصدية</w:t>
      </w:r>
      <w:r w:rsidRPr="0062081E">
        <w:rPr>
          <w:color w:val="000000" w:themeColor="text1"/>
        </w:rPr>
        <w:br/>
      </w:r>
      <w:r w:rsidRPr="0062081E">
        <w:rPr>
          <w:color w:val="000000" w:themeColor="text1"/>
          <w:rtl/>
        </w:rPr>
        <w:t>ذُكرت معايير الاختيار، لكن لم توضح خطوات تحديد الأسماء والتواصل معهم أو الجهات التي ستوفر قوائمهم. يجب شرح الإجراءات بصورة قابلة للتنفيذ</w:t>
      </w:r>
      <w:r w:rsidRPr="0062081E">
        <w:rPr>
          <w:color w:val="000000" w:themeColor="text1"/>
        </w:rPr>
        <w:t>.</w:t>
      </w:r>
    </w:p>
    <w:p w14:paraId="2F237BB6"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lastRenderedPageBreak/>
        <w:t>الثامنة عشرة: حجم العينة المستهدف قريب من حجم المجتمع المقدر</w:t>
      </w:r>
      <w:r w:rsidRPr="0062081E">
        <w:rPr>
          <w:color w:val="000000" w:themeColor="text1"/>
        </w:rPr>
        <w:br/>
      </w:r>
      <w:r w:rsidRPr="0062081E">
        <w:rPr>
          <w:color w:val="000000" w:themeColor="text1"/>
          <w:rtl/>
        </w:rPr>
        <w:t>إذا كان المجتمع يتراوح بين 150 و250 فرداً، فإن استهداف 235 استجابة يعني الاقتراب من الحصر الشامل، وقد يتجاوز المجتمع عند الحد الأدنى للتقدير. يجب حسم حجم المجتمع أولاً ثم تحديد العدد الواقعي الممكن الوصول إليه</w:t>
      </w:r>
      <w:r w:rsidRPr="0062081E">
        <w:rPr>
          <w:color w:val="000000" w:themeColor="text1"/>
        </w:rPr>
        <w:t>.</w:t>
      </w:r>
    </w:p>
    <w:p w14:paraId="7F4DAEA9" w14:textId="77777777" w:rsidR="00E675EC" w:rsidRPr="0062081E" w:rsidRDefault="00E675EC" w:rsidP="0062081E">
      <w:pPr>
        <w:pStyle w:val="NormalWeb"/>
        <w:bidi/>
        <w:spacing w:line="360" w:lineRule="auto"/>
        <w:rPr>
          <w:color w:val="000000" w:themeColor="text1"/>
        </w:rPr>
      </w:pPr>
      <w:r w:rsidRPr="0062081E">
        <w:rPr>
          <w:rStyle w:val="Strong"/>
          <w:rFonts w:eastAsiaTheme="majorEastAsia"/>
          <w:color w:val="000000" w:themeColor="text1"/>
          <w:rtl/>
        </w:rPr>
        <w:t>التاسعة عشرة: عدم الاتساق بين تقدير المجتمع والحد الأدنى للعينة</w:t>
      </w:r>
      <w:r w:rsidRPr="0062081E">
        <w:rPr>
          <w:color w:val="000000" w:themeColor="text1"/>
        </w:rPr>
        <w:br/>
      </w:r>
      <w:r w:rsidRPr="0062081E">
        <w:rPr>
          <w:color w:val="000000" w:themeColor="text1"/>
          <w:rtl/>
        </w:rPr>
        <w:t xml:space="preserve">حدد الحد الأدنى المعتمد </w:t>
      </w:r>
      <w:proofErr w:type="gramStart"/>
      <w:r w:rsidRPr="0062081E">
        <w:rPr>
          <w:color w:val="000000" w:themeColor="text1"/>
          <w:rtl/>
        </w:rPr>
        <w:t>بـ200</w:t>
      </w:r>
      <w:proofErr w:type="gramEnd"/>
      <w:r w:rsidRPr="0062081E">
        <w:rPr>
          <w:color w:val="000000" w:themeColor="text1"/>
          <w:rtl/>
        </w:rPr>
        <w:t xml:space="preserve"> استجابة رغم أن المجتمع قد يكون 150 فرداً فقط وفق التقدير الوارد. يجب إزالة هذا التناقض</w:t>
      </w:r>
      <w:r w:rsidRPr="0062081E">
        <w:rPr>
          <w:color w:val="000000" w:themeColor="text1"/>
        </w:rPr>
        <w:t>.</w:t>
      </w:r>
    </w:p>
    <w:p w14:paraId="4C213590"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العشرون: الاعتماد على أكثر من معيار لحجم العينة دون ترجيح منهجي واضح</w:t>
      </w:r>
      <w:r w:rsidRPr="0062081E">
        <w:rPr>
          <w:color w:val="000000" w:themeColor="text1"/>
        </w:rPr>
        <w:br/>
      </w:r>
      <w:r w:rsidRPr="0062081E">
        <w:rPr>
          <w:color w:val="000000" w:themeColor="text1"/>
          <w:rtl/>
        </w:rPr>
        <w:t xml:space="preserve">عُرضت قاعدة عشرة أمثال، وتحليل القوة، وتوصية عامة </w:t>
      </w:r>
      <w:proofErr w:type="gramStart"/>
      <w:r w:rsidRPr="0062081E">
        <w:rPr>
          <w:color w:val="000000" w:themeColor="text1"/>
          <w:rtl/>
        </w:rPr>
        <w:t>بـ200</w:t>
      </w:r>
      <w:proofErr w:type="gramEnd"/>
      <w:r w:rsidRPr="0062081E">
        <w:rPr>
          <w:color w:val="000000" w:themeColor="text1"/>
          <w:rtl/>
        </w:rPr>
        <w:t xml:space="preserve"> استجابة. يجب تحديد المعيار الأساسي المعتمد وتقديم مبرر واضح له</w:t>
      </w:r>
      <w:r w:rsidRPr="0062081E">
        <w:rPr>
          <w:color w:val="000000" w:themeColor="text1"/>
        </w:rPr>
        <w:t>.</w:t>
      </w:r>
    </w:p>
    <w:p w14:paraId="3110B200"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الحادية والعشرون: قاعدة عشرة أمثال لا ينبغي أن تكون المبرر الرئيس</w:t>
      </w:r>
      <w:r w:rsidRPr="0062081E">
        <w:rPr>
          <w:color w:val="000000" w:themeColor="text1"/>
        </w:rPr>
        <w:br/>
      </w:r>
      <w:r w:rsidRPr="0062081E">
        <w:rPr>
          <w:color w:val="000000" w:themeColor="text1"/>
          <w:rtl/>
        </w:rPr>
        <w:t>يمكن عرضها بوصفها مؤشراً أولياً فقط، مع الاعتماد أساساً على تحليل قوة إحصائية موثق ومتناسب مع تصميم الدراسة</w:t>
      </w:r>
      <w:r w:rsidRPr="0062081E">
        <w:rPr>
          <w:color w:val="000000" w:themeColor="text1"/>
        </w:rPr>
        <w:t>.</w:t>
      </w:r>
    </w:p>
    <w:p w14:paraId="688977EC"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الثانية والعشرون: عدم إرفاق مخرجات تحليل القوة الإحصائية</w:t>
      </w:r>
      <w:r w:rsidRPr="0062081E">
        <w:rPr>
          <w:color w:val="000000" w:themeColor="text1"/>
        </w:rPr>
        <w:br/>
      </w:r>
      <w:r w:rsidRPr="0062081E">
        <w:rPr>
          <w:color w:val="000000" w:themeColor="text1"/>
          <w:rtl/>
        </w:rPr>
        <w:t>وردت نتيجة تحليل</w:t>
      </w:r>
      <w:r w:rsidRPr="0062081E">
        <w:rPr>
          <w:color w:val="000000" w:themeColor="text1"/>
        </w:rPr>
        <w:t xml:space="preserve"> G*Power </w:t>
      </w:r>
      <w:r w:rsidRPr="0062081E">
        <w:rPr>
          <w:color w:val="000000" w:themeColor="text1"/>
          <w:rtl/>
        </w:rPr>
        <w:t>دون عرض لقطة المخرجات أو تحديد الاختبار وإعداداته بصورة قابلة للتحقق. يجب إرفاق التقرير ضمن الملاحق</w:t>
      </w:r>
      <w:r w:rsidRPr="0062081E">
        <w:rPr>
          <w:color w:val="000000" w:themeColor="text1"/>
        </w:rPr>
        <w:t>.</w:t>
      </w:r>
    </w:p>
    <w:p w14:paraId="7CCA9556"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الثالثة والعشرون: عدم توضيح سبب استخدام متنبئين فقط في تحليل القوة</w:t>
      </w:r>
      <w:r w:rsidRPr="0062081E">
        <w:rPr>
          <w:color w:val="000000" w:themeColor="text1"/>
        </w:rPr>
        <w:br/>
      </w:r>
      <w:r w:rsidRPr="0062081E">
        <w:rPr>
          <w:color w:val="000000" w:themeColor="text1"/>
          <w:rtl/>
        </w:rPr>
        <w:t>يجب توثيق الأساس الذي استند إليه تحديد عدد المتنبئات في أعقد معادلة، وعرض إعدادات التحليل كاملة دون الاكتفاء بالنتيجة النهائية</w:t>
      </w:r>
      <w:r w:rsidRPr="0062081E">
        <w:rPr>
          <w:color w:val="000000" w:themeColor="text1"/>
        </w:rPr>
        <w:t>.</w:t>
      </w:r>
    </w:p>
    <w:p w14:paraId="02D00712"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الرابعة والعشرون: عدم توضيح عدد الاستبانات التي ستُرسل فعلياً</w:t>
      </w:r>
      <w:r w:rsidRPr="0062081E">
        <w:rPr>
          <w:color w:val="000000" w:themeColor="text1"/>
        </w:rPr>
        <w:br/>
      </w:r>
      <w:r w:rsidRPr="0062081E">
        <w:rPr>
          <w:color w:val="000000" w:themeColor="text1"/>
          <w:rtl/>
        </w:rPr>
        <w:t>ذُكر أن الحجم المستهدف بعد إضافة 15% هو 235، لكن لم يتضح هل هذا عدد الروابط التي ستوزع أم عدد الاستجابات الصالحة المطلوب تحقيقها</w:t>
      </w:r>
      <w:r w:rsidRPr="0062081E">
        <w:rPr>
          <w:color w:val="000000" w:themeColor="text1"/>
        </w:rPr>
        <w:t>.</w:t>
      </w:r>
    </w:p>
    <w:p w14:paraId="01ABF6B7"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الخامسة والعشرون: عدم تقدير معدل الاستجابة المتوقع</w:t>
      </w:r>
      <w:r w:rsidRPr="0062081E">
        <w:rPr>
          <w:color w:val="000000" w:themeColor="text1"/>
        </w:rPr>
        <w:br/>
      </w:r>
      <w:r w:rsidRPr="0062081E">
        <w:rPr>
          <w:color w:val="000000" w:themeColor="text1"/>
          <w:rtl/>
        </w:rPr>
        <w:t>يجب تحديد عدد الأشخاص الذين سيُدعون إلى المشاركة بناءً على معدل استجابة واقعي، بدلاً من الاكتفاء بإضافة نسبة ثابتة للاستبانات غير المكتملة</w:t>
      </w:r>
      <w:r w:rsidRPr="0062081E">
        <w:rPr>
          <w:color w:val="000000" w:themeColor="text1"/>
        </w:rPr>
        <w:t>.</w:t>
      </w:r>
    </w:p>
    <w:p w14:paraId="3D246E4D"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السادسة والعشرون: غياب اختبار تحيز عدم الاستجابة</w:t>
      </w:r>
      <w:r w:rsidRPr="0062081E">
        <w:rPr>
          <w:color w:val="000000" w:themeColor="text1"/>
        </w:rPr>
        <w:br/>
      </w:r>
      <w:r w:rsidRPr="0062081E">
        <w:rPr>
          <w:color w:val="000000" w:themeColor="text1"/>
          <w:rtl/>
        </w:rPr>
        <w:t>يفضل مقارنة المستجيبين المبكرين والمتأخرين أو استخدام إجراء مناسب للتحقق من عدم وجود اختلافات جوهرية ناتجة عن عدم الاستجابة</w:t>
      </w:r>
      <w:r w:rsidRPr="0062081E">
        <w:rPr>
          <w:color w:val="000000" w:themeColor="text1"/>
        </w:rPr>
        <w:t>.</w:t>
      </w:r>
    </w:p>
    <w:p w14:paraId="39A843B4" w14:textId="77777777" w:rsidR="00AA5558" w:rsidRPr="0062081E" w:rsidRDefault="00AA5558" w:rsidP="0062081E">
      <w:pPr>
        <w:pStyle w:val="Heading2"/>
        <w:bidi/>
        <w:spacing w:line="360" w:lineRule="auto"/>
        <w:rPr>
          <w:rFonts w:eastAsia="Times New Roman"/>
          <w:color w:val="000000" w:themeColor="text1"/>
        </w:rPr>
      </w:pPr>
      <w:r w:rsidRPr="0062081E">
        <w:rPr>
          <w:rFonts w:eastAsia="Times New Roman"/>
          <w:color w:val="000000" w:themeColor="text1"/>
          <w:rtl/>
        </w:rPr>
        <w:lastRenderedPageBreak/>
        <w:t>ثانياً: نواقص تصميم الدراسة المختلط</w:t>
      </w:r>
    </w:p>
    <w:p w14:paraId="073A2A62" w14:textId="77777777" w:rsidR="00AA5558" w:rsidRPr="0062081E" w:rsidRDefault="00AA5558" w:rsidP="0062081E">
      <w:pPr>
        <w:pStyle w:val="NormalWeb"/>
        <w:bidi/>
        <w:spacing w:line="360" w:lineRule="auto"/>
        <w:rPr>
          <w:rFonts w:eastAsiaTheme="minorHAnsi"/>
          <w:color w:val="000000" w:themeColor="text1"/>
        </w:rPr>
      </w:pPr>
      <w:r w:rsidRPr="0062081E">
        <w:rPr>
          <w:rStyle w:val="Strong"/>
          <w:rFonts w:eastAsiaTheme="majorEastAsia"/>
          <w:color w:val="000000" w:themeColor="text1"/>
          <w:rtl/>
        </w:rPr>
        <w:t>السابعة والعشرون: عدم تحديد الأولوية بين الشقين الكمي والنوعي</w:t>
      </w:r>
      <w:r w:rsidRPr="0062081E">
        <w:rPr>
          <w:color w:val="000000" w:themeColor="text1"/>
        </w:rPr>
        <w:br/>
      </w:r>
      <w:r w:rsidRPr="0062081E">
        <w:rPr>
          <w:color w:val="000000" w:themeColor="text1"/>
          <w:rtl/>
        </w:rPr>
        <w:t>وُصف التصميم بأنه تقاربي متزامن، ثم وُصف الجانب النوعي بأنه داعم للنتائج الكمية. يجب تحديد هل الشقان متساويان في الأولوية أم أن الجانب الكمي هو الرئيس</w:t>
      </w:r>
      <w:r w:rsidRPr="0062081E">
        <w:rPr>
          <w:color w:val="000000" w:themeColor="text1"/>
        </w:rPr>
        <w:t>.</w:t>
      </w:r>
    </w:p>
    <w:p w14:paraId="5D78AAD8"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الثامنة والعشرون: عدم توضيح سبب اختيار التصميم المختلط</w:t>
      </w:r>
      <w:r w:rsidRPr="0062081E">
        <w:rPr>
          <w:color w:val="000000" w:themeColor="text1"/>
        </w:rPr>
        <w:br/>
      </w:r>
      <w:r w:rsidRPr="0062081E">
        <w:rPr>
          <w:color w:val="000000" w:themeColor="text1"/>
          <w:rtl/>
        </w:rPr>
        <w:t>يجب توضيح الإضافة التي ستقدمها المقابلات، وما الجوانب التي لا تستطيع الاستبانة الكشف عنها</w:t>
      </w:r>
      <w:r w:rsidRPr="0062081E">
        <w:rPr>
          <w:color w:val="000000" w:themeColor="text1"/>
        </w:rPr>
        <w:t>.</w:t>
      </w:r>
    </w:p>
    <w:p w14:paraId="793F17FA"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التاسعة والعشرون: عدم تحديد حجم العينة النوعية</w:t>
      </w:r>
      <w:r w:rsidRPr="0062081E">
        <w:rPr>
          <w:color w:val="000000" w:themeColor="text1"/>
        </w:rPr>
        <w:br/>
      </w:r>
      <w:r w:rsidRPr="0062081E">
        <w:rPr>
          <w:color w:val="000000" w:themeColor="text1"/>
          <w:rtl/>
        </w:rPr>
        <w:t>لم يذكر عدد المقابلات المخطط إجراؤها. يجب تحديد عدد أولي أو نطاق متوقع وربطه بمبدأ التشبع الموضوعي</w:t>
      </w:r>
      <w:r w:rsidRPr="0062081E">
        <w:rPr>
          <w:color w:val="000000" w:themeColor="text1"/>
        </w:rPr>
        <w:t>.</w:t>
      </w:r>
    </w:p>
    <w:p w14:paraId="0487C729"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الثلاثون: عدم توضيح طريقة اختيار المشاركين في المقابلات</w:t>
      </w:r>
      <w:r w:rsidRPr="0062081E">
        <w:rPr>
          <w:color w:val="000000" w:themeColor="text1"/>
        </w:rPr>
        <w:br/>
      </w:r>
      <w:r w:rsidRPr="0062081E">
        <w:rPr>
          <w:color w:val="000000" w:themeColor="text1"/>
          <w:rtl/>
        </w:rPr>
        <w:t>يجب تحديد هل سيُختار المشاركون من عينة الاستبانة نفسها أم من عينة مستقلة، وما معايير الاختيار</w:t>
      </w:r>
      <w:r w:rsidRPr="0062081E">
        <w:rPr>
          <w:color w:val="000000" w:themeColor="text1"/>
        </w:rPr>
        <w:t>.</w:t>
      </w:r>
    </w:p>
    <w:p w14:paraId="67F034C0"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الحادية والثلاثون: عدم تحديد الجهات التي سيمثلها المشاركون في المقابلات</w:t>
      </w:r>
      <w:r w:rsidRPr="0062081E">
        <w:rPr>
          <w:color w:val="000000" w:themeColor="text1"/>
        </w:rPr>
        <w:br/>
      </w:r>
      <w:r w:rsidRPr="0062081E">
        <w:rPr>
          <w:color w:val="000000" w:themeColor="text1"/>
          <w:rtl/>
        </w:rPr>
        <w:t>يجب ضمان تنوع المقابلات بين الجهات الحكومية والتشغيلية والاستشارية، مع وضع خطة توزيع واضحة</w:t>
      </w:r>
      <w:r w:rsidRPr="0062081E">
        <w:rPr>
          <w:color w:val="000000" w:themeColor="text1"/>
        </w:rPr>
        <w:t>.</w:t>
      </w:r>
    </w:p>
    <w:p w14:paraId="0524A72F"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الثانية والثلاثون: غياب دليل المقابلة شبه المنظمة</w:t>
      </w:r>
      <w:r w:rsidRPr="0062081E">
        <w:rPr>
          <w:color w:val="000000" w:themeColor="text1"/>
        </w:rPr>
        <w:br/>
      </w:r>
      <w:r w:rsidRPr="0062081E">
        <w:rPr>
          <w:color w:val="000000" w:themeColor="text1"/>
          <w:rtl/>
        </w:rPr>
        <w:t>لم تُعرض محاور المقابلات أو الأسئلة الرئيسة أو الأسئلة المتابعة. يجب إعداد دليل وإرفاقه في الملاحق</w:t>
      </w:r>
      <w:r w:rsidRPr="0062081E">
        <w:rPr>
          <w:color w:val="000000" w:themeColor="text1"/>
        </w:rPr>
        <w:t>.</w:t>
      </w:r>
    </w:p>
    <w:p w14:paraId="6A2E6C18"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الثالثة والثلاثون: عدم تحديد مدة المقابلة وطريقتها</w:t>
      </w:r>
      <w:r w:rsidRPr="0062081E">
        <w:rPr>
          <w:color w:val="000000" w:themeColor="text1"/>
        </w:rPr>
        <w:br/>
      </w:r>
      <w:r w:rsidRPr="0062081E">
        <w:rPr>
          <w:color w:val="000000" w:themeColor="text1"/>
          <w:rtl/>
        </w:rPr>
        <w:t>يجب بيان ما إذا كانت المقابلات حضورية أو إلكترونية، والمدة التقريبية لكل مقابلة، ومكان تنفيذها</w:t>
      </w:r>
      <w:r w:rsidRPr="0062081E">
        <w:rPr>
          <w:color w:val="000000" w:themeColor="text1"/>
        </w:rPr>
        <w:t>.</w:t>
      </w:r>
    </w:p>
    <w:p w14:paraId="11F5D380"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الرابعة والثلاثون: عدم توضيح تسجيل المقابلات</w:t>
      </w:r>
      <w:r w:rsidRPr="0062081E">
        <w:rPr>
          <w:color w:val="000000" w:themeColor="text1"/>
        </w:rPr>
        <w:br/>
      </w:r>
      <w:r w:rsidRPr="0062081E">
        <w:rPr>
          <w:color w:val="000000" w:themeColor="text1"/>
          <w:rtl/>
        </w:rPr>
        <w:t>يجب تحديد هل ستُسجل المقابلات صوتياً، وكيف ستؤخذ الموافقة على التسجيل، وكيف ستُفرغ التسجيلات</w:t>
      </w:r>
      <w:r w:rsidRPr="0062081E">
        <w:rPr>
          <w:color w:val="000000" w:themeColor="text1"/>
        </w:rPr>
        <w:t>.</w:t>
      </w:r>
    </w:p>
    <w:p w14:paraId="1EBF95DE"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الخامسة والثلاثون: غموض أسلوب التحليل النوعي</w:t>
      </w:r>
      <w:r w:rsidRPr="0062081E">
        <w:rPr>
          <w:color w:val="000000" w:themeColor="text1"/>
        </w:rPr>
        <w:br/>
      </w:r>
      <w:r w:rsidRPr="0062081E">
        <w:rPr>
          <w:color w:val="000000" w:themeColor="text1"/>
          <w:rtl/>
        </w:rPr>
        <w:t>استخدمت عبارة «تحليل المحتوى الموضوعي»، وهي تجمع بين أسلوبين قد يختلفان في الإجراءات. يجب تحديد ما إذا كان المستخدم هو التحليل الموضوعي أم تحليل المحتوى</w:t>
      </w:r>
      <w:r w:rsidRPr="0062081E">
        <w:rPr>
          <w:color w:val="000000" w:themeColor="text1"/>
        </w:rPr>
        <w:t>.</w:t>
      </w:r>
    </w:p>
    <w:p w14:paraId="36E51A40"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السادسة والثلاثون: عدم توضيح مراحل الترميز النوعي</w:t>
      </w:r>
      <w:r w:rsidRPr="0062081E">
        <w:rPr>
          <w:color w:val="000000" w:themeColor="text1"/>
        </w:rPr>
        <w:br/>
      </w:r>
      <w:r w:rsidRPr="0062081E">
        <w:rPr>
          <w:color w:val="000000" w:themeColor="text1"/>
          <w:rtl/>
        </w:rPr>
        <w:t>يجب بيان خطوات قراءة النصوص، والترميز الأولي، وبناء الموضوعات، ومراجعتها وتسميتها، واختيار الاقتباسات الداعمة</w:t>
      </w:r>
      <w:r w:rsidRPr="0062081E">
        <w:rPr>
          <w:color w:val="000000" w:themeColor="text1"/>
        </w:rPr>
        <w:t>.</w:t>
      </w:r>
    </w:p>
    <w:p w14:paraId="0E2CD05C"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t>السابعة والثلاثون: عدم تحديد البرنامج المستخدم في التحليل النوعي</w:t>
      </w:r>
      <w:r w:rsidRPr="0062081E">
        <w:rPr>
          <w:color w:val="000000" w:themeColor="text1"/>
        </w:rPr>
        <w:br/>
      </w:r>
      <w:r w:rsidRPr="0062081E">
        <w:rPr>
          <w:color w:val="000000" w:themeColor="text1"/>
          <w:rtl/>
        </w:rPr>
        <w:t>يجب بيان هل سيُستخدم برنامج مثل</w:t>
      </w:r>
      <w:r w:rsidRPr="0062081E">
        <w:rPr>
          <w:color w:val="000000" w:themeColor="text1"/>
        </w:rPr>
        <w:t xml:space="preserve"> </w:t>
      </w:r>
      <w:proofErr w:type="spellStart"/>
      <w:r w:rsidRPr="0062081E">
        <w:rPr>
          <w:color w:val="000000" w:themeColor="text1"/>
        </w:rPr>
        <w:t>NVivo</w:t>
      </w:r>
      <w:proofErr w:type="spellEnd"/>
      <w:r w:rsidRPr="0062081E">
        <w:rPr>
          <w:color w:val="000000" w:themeColor="text1"/>
        </w:rPr>
        <w:t xml:space="preserve"> </w:t>
      </w:r>
      <w:r w:rsidRPr="0062081E">
        <w:rPr>
          <w:color w:val="000000" w:themeColor="text1"/>
          <w:rtl/>
        </w:rPr>
        <w:t>أو</w:t>
      </w:r>
      <w:r w:rsidRPr="0062081E">
        <w:rPr>
          <w:color w:val="000000" w:themeColor="text1"/>
        </w:rPr>
        <w:t xml:space="preserve"> MAXQDA</w:t>
      </w:r>
      <w:r w:rsidRPr="0062081E">
        <w:rPr>
          <w:color w:val="000000" w:themeColor="text1"/>
          <w:rtl/>
        </w:rPr>
        <w:t>، أم سيُجرى الترميز يدوياً</w:t>
      </w:r>
      <w:r w:rsidRPr="0062081E">
        <w:rPr>
          <w:color w:val="000000" w:themeColor="text1"/>
        </w:rPr>
        <w:t>.</w:t>
      </w:r>
    </w:p>
    <w:p w14:paraId="68421B5B" w14:textId="77777777" w:rsidR="00AA5558" w:rsidRPr="0062081E" w:rsidRDefault="00AA5558" w:rsidP="0062081E">
      <w:pPr>
        <w:pStyle w:val="NormalWeb"/>
        <w:bidi/>
        <w:spacing w:line="360" w:lineRule="auto"/>
        <w:rPr>
          <w:color w:val="000000" w:themeColor="text1"/>
        </w:rPr>
      </w:pPr>
      <w:r w:rsidRPr="0062081E">
        <w:rPr>
          <w:rStyle w:val="Strong"/>
          <w:rFonts w:eastAsiaTheme="majorEastAsia"/>
          <w:color w:val="000000" w:themeColor="text1"/>
          <w:rtl/>
        </w:rPr>
        <w:lastRenderedPageBreak/>
        <w:t>الثامنة والثلاثون: عدم توضيح من سيتولى الترميز</w:t>
      </w:r>
      <w:r w:rsidRPr="0062081E">
        <w:rPr>
          <w:color w:val="000000" w:themeColor="text1"/>
        </w:rPr>
        <w:br/>
      </w:r>
      <w:r w:rsidRPr="0062081E">
        <w:rPr>
          <w:color w:val="000000" w:themeColor="text1"/>
          <w:rtl/>
        </w:rPr>
        <w:t>يجب تحديد هل سيقوم الباحث وحده بالتحليل، أم سيشارك محلل آخر، وكيف ستُراجع قرارات الترميز</w:t>
      </w:r>
      <w:r w:rsidRPr="0062081E">
        <w:rPr>
          <w:color w:val="000000" w:themeColor="text1"/>
        </w:rPr>
        <w:t>.</w:t>
      </w:r>
    </w:p>
    <w:p w14:paraId="45C943FE"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التاسعة والثلاثون: غياب معايير جودة البيانات النوعية</w:t>
      </w:r>
      <w:r w:rsidRPr="0062081E">
        <w:rPr>
          <w:color w:val="000000" w:themeColor="text1"/>
        </w:rPr>
        <w:br/>
      </w:r>
      <w:r w:rsidRPr="0062081E">
        <w:rPr>
          <w:color w:val="000000" w:themeColor="text1"/>
          <w:rtl/>
        </w:rPr>
        <w:t>يجب توضيح إجراءات تعزيز المصداقية والاعتمادية وقابلية التأكيد، مثل مراجعة المشاركين أو مراجعة محلل آخر أو الاحتفاظ بسجل القرارات التحليلية</w:t>
      </w:r>
      <w:r w:rsidRPr="0062081E">
        <w:rPr>
          <w:color w:val="000000" w:themeColor="text1"/>
        </w:rPr>
        <w:t>.</w:t>
      </w:r>
    </w:p>
    <w:p w14:paraId="55425052"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الأربعون: عدم توضيح معيار الوصول إلى التشبع</w:t>
      </w:r>
      <w:r w:rsidRPr="0062081E">
        <w:rPr>
          <w:color w:val="000000" w:themeColor="text1"/>
        </w:rPr>
        <w:br/>
      </w:r>
      <w:r w:rsidRPr="0062081E">
        <w:rPr>
          <w:color w:val="000000" w:themeColor="text1"/>
          <w:rtl/>
        </w:rPr>
        <w:t>يجب تحديد كيفية الحكم على أن المقابلات الجديدة لم تعد تقدم موضوعات أو معلومات إضافية</w:t>
      </w:r>
      <w:r w:rsidRPr="0062081E">
        <w:rPr>
          <w:color w:val="000000" w:themeColor="text1"/>
        </w:rPr>
        <w:t>.</w:t>
      </w:r>
    </w:p>
    <w:p w14:paraId="6C104CF4"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الحادية والأربعون: غياب خطة عملية لدمج النتائج</w:t>
      </w:r>
      <w:r w:rsidRPr="0062081E">
        <w:rPr>
          <w:color w:val="000000" w:themeColor="text1"/>
        </w:rPr>
        <w:br/>
      </w:r>
      <w:r w:rsidRPr="0062081E">
        <w:rPr>
          <w:color w:val="000000" w:themeColor="text1"/>
          <w:rtl/>
        </w:rPr>
        <w:t>ورد أن النتائج ستُدمج في التفسير والمناقشة، لكن لم توضح طريقة الدمج. يجب تحديد استخدام مقارنة منظمة أو جدول دمج مشترك يبين نقاط الاتفاق والاختلاف</w:t>
      </w:r>
      <w:r w:rsidRPr="0062081E">
        <w:rPr>
          <w:color w:val="000000" w:themeColor="text1"/>
        </w:rPr>
        <w:t>.</w:t>
      </w:r>
    </w:p>
    <w:p w14:paraId="48650D73"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الثانية والأربعون: عدم توضيح معالجة تعارض النتائج</w:t>
      </w:r>
      <w:r w:rsidRPr="0062081E">
        <w:rPr>
          <w:color w:val="000000" w:themeColor="text1"/>
        </w:rPr>
        <w:br/>
      </w:r>
      <w:r w:rsidRPr="0062081E">
        <w:rPr>
          <w:color w:val="000000" w:themeColor="text1"/>
          <w:rtl/>
        </w:rPr>
        <w:t>يجب بيان الإجراء المتبع إذا أظهرت المقابلات نتائج لا تتفق مع نتائج الاستبانة</w:t>
      </w:r>
      <w:r w:rsidRPr="0062081E">
        <w:rPr>
          <w:color w:val="000000" w:themeColor="text1"/>
        </w:rPr>
        <w:t>.</w:t>
      </w:r>
    </w:p>
    <w:p w14:paraId="67C1C253"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الثالثة والأربعون: عدم تحديد أسئلة بحثية خاصة بالجانب النوعي</w:t>
      </w:r>
      <w:r w:rsidRPr="0062081E">
        <w:rPr>
          <w:color w:val="000000" w:themeColor="text1"/>
        </w:rPr>
        <w:br/>
      </w:r>
      <w:r w:rsidRPr="0062081E">
        <w:rPr>
          <w:color w:val="000000" w:themeColor="text1"/>
          <w:rtl/>
        </w:rPr>
        <w:t>يجب توضيح ما الذي ستجيب عنه المقابلات بصورة مستقلة، وما علاقتها بالشق الكمي</w:t>
      </w:r>
      <w:r w:rsidRPr="0062081E">
        <w:rPr>
          <w:color w:val="000000" w:themeColor="text1"/>
        </w:rPr>
        <w:t>.</w:t>
      </w:r>
    </w:p>
    <w:p w14:paraId="0F48EA48"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الرابعة والأربعون: استخدام مصطلح التثليث دون إجراءات محددة</w:t>
      </w:r>
      <w:r w:rsidRPr="0062081E">
        <w:rPr>
          <w:color w:val="000000" w:themeColor="text1"/>
        </w:rPr>
        <w:br/>
      </w:r>
      <w:r w:rsidRPr="0062081E">
        <w:rPr>
          <w:color w:val="000000" w:themeColor="text1"/>
          <w:rtl/>
        </w:rPr>
        <w:t>لا يكفي وصف التصميم بأنه تثليث منهجي؛ بل يجب توضيح مصادر البيانات، ونقاط المقارنة، وكيفية اتخاذ القرار بشأن التقارب أو الاختلاف</w:t>
      </w:r>
      <w:r w:rsidRPr="0062081E">
        <w:rPr>
          <w:color w:val="000000" w:themeColor="text1"/>
        </w:rPr>
        <w:t>.</w:t>
      </w:r>
    </w:p>
    <w:p w14:paraId="7B5096DB"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الخامسة والأربعون: التناقض في الزمن المستخدم</w:t>
      </w:r>
      <w:r w:rsidRPr="0062081E">
        <w:rPr>
          <w:color w:val="000000" w:themeColor="text1"/>
        </w:rPr>
        <w:br/>
      </w:r>
      <w:r w:rsidRPr="0062081E">
        <w:rPr>
          <w:color w:val="000000" w:themeColor="text1"/>
          <w:rtl/>
        </w:rPr>
        <w:t>ورد أن الاستبانة «وُزعت» وأن المقابلات «خضعت للتحليل»، بينما تشير أجزاء أخرى إلى أن التطبيق سيُنفذ مستقبلاً. يجب توحيد الفصل بصيغة المستقبل إذا لم يبدأ جمع البيانات</w:t>
      </w:r>
      <w:r w:rsidRPr="0062081E">
        <w:rPr>
          <w:color w:val="000000" w:themeColor="text1"/>
        </w:rPr>
        <w:t>.</w:t>
      </w:r>
    </w:p>
    <w:p w14:paraId="5DB8536E"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السادسة والأربعون: استخدام لغة سببية رغم التصميم المقطعي</w:t>
      </w:r>
      <w:r w:rsidRPr="0062081E">
        <w:rPr>
          <w:color w:val="000000" w:themeColor="text1"/>
        </w:rPr>
        <w:br/>
      </w:r>
      <w:r w:rsidRPr="0062081E">
        <w:rPr>
          <w:color w:val="000000" w:themeColor="text1"/>
          <w:rtl/>
        </w:rPr>
        <w:t>أضيف تنويه مناسب في نهاية الفصل، لكن الأفضل تعديل اللغة السببية داخل الفصل نفسه واستخدام تعبيرات أكثر تحفظاً منذ قسم التصميم</w:t>
      </w:r>
      <w:r w:rsidRPr="0062081E">
        <w:rPr>
          <w:color w:val="000000" w:themeColor="text1"/>
        </w:rPr>
        <w:t>.</w:t>
      </w:r>
    </w:p>
    <w:p w14:paraId="0365972E"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السابعة والأربعون: وضع التنويه المنهجي في نهاية الفصل فقط</w:t>
      </w:r>
      <w:r w:rsidRPr="0062081E">
        <w:rPr>
          <w:color w:val="000000" w:themeColor="text1"/>
        </w:rPr>
        <w:br/>
      </w:r>
      <w:r w:rsidRPr="0062081E">
        <w:rPr>
          <w:color w:val="000000" w:themeColor="text1"/>
          <w:rtl/>
        </w:rPr>
        <w:t>ينبغي إدماج حدود التصميم المقطعي في قسم منهج الدراسة، وليس تركها في فقرة منفصلة بعد الخلاصة</w:t>
      </w:r>
      <w:r w:rsidRPr="0062081E">
        <w:rPr>
          <w:color w:val="000000" w:themeColor="text1"/>
        </w:rPr>
        <w:t>.</w:t>
      </w:r>
    </w:p>
    <w:p w14:paraId="6B65689F" w14:textId="77777777" w:rsidR="00BD5A59" w:rsidRPr="0062081E" w:rsidRDefault="00BD5A59" w:rsidP="0062081E">
      <w:pPr>
        <w:pStyle w:val="Heading2"/>
        <w:bidi/>
        <w:spacing w:line="360" w:lineRule="auto"/>
        <w:rPr>
          <w:rFonts w:eastAsia="Times New Roman"/>
          <w:color w:val="000000" w:themeColor="text1"/>
        </w:rPr>
      </w:pPr>
      <w:r w:rsidRPr="0062081E">
        <w:rPr>
          <w:rFonts w:eastAsia="Times New Roman"/>
          <w:color w:val="000000" w:themeColor="text1"/>
          <w:rtl/>
        </w:rPr>
        <w:lastRenderedPageBreak/>
        <w:t>ثالثاً: نواقص أداة الدراسة والاستبانة</w:t>
      </w:r>
    </w:p>
    <w:p w14:paraId="2C6B7C59" w14:textId="77777777" w:rsidR="00BD5A59" w:rsidRPr="0062081E" w:rsidRDefault="00BD5A59" w:rsidP="0062081E">
      <w:pPr>
        <w:pStyle w:val="NormalWeb"/>
        <w:bidi/>
        <w:spacing w:line="360" w:lineRule="auto"/>
        <w:rPr>
          <w:rFonts w:eastAsiaTheme="minorHAnsi"/>
          <w:color w:val="000000" w:themeColor="text1"/>
        </w:rPr>
      </w:pPr>
      <w:r w:rsidRPr="0062081E">
        <w:rPr>
          <w:rStyle w:val="Strong"/>
          <w:rFonts w:eastAsiaTheme="majorEastAsia"/>
          <w:color w:val="000000" w:themeColor="text1"/>
          <w:rtl/>
        </w:rPr>
        <w:t>الثامنة والأربعون: عدم إرفاق الاستبانة كاملة</w:t>
      </w:r>
      <w:r w:rsidRPr="0062081E">
        <w:rPr>
          <w:color w:val="000000" w:themeColor="text1"/>
        </w:rPr>
        <w:br/>
      </w:r>
      <w:r w:rsidRPr="0062081E">
        <w:rPr>
          <w:color w:val="000000" w:themeColor="text1"/>
          <w:rtl/>
        </w:rPr>
        <w:t>ذُكر أن نصوص الفقرات ستُعرض في الملحق، لكن الملحق غير موجود في الملف. يجب إرفاق جميع الفقرات والتعليمات وخيارات الإجابة</w:t>
      </w:r>
      <w:r w:rsidRPr="0062081E">
        <w:rPr>
          <w:color w:val="000000" w:themeColor="text1"/>
        </w:rPr>
        <w:t>.</w:t>
      </w:r>
    </w:p>
    <w:p w14:paraId="328E1B0E"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التاسعة والأربعون: طول الاستبانة مرتفع</w:t>
      </w:r>
      <w:r w:rsidRPr="0062081E">
        <w:rPr>
          <w:color w:val="000000" w:themeColor="text1"/>
        </w:rPr>
        <w:br/>
      </w:r>
      <w:r w:rsidRPr="0062081E">
        <w:rPr>
          <w:color w:val="000000" w:themeColor="text1"/>
          <w:rtl/>
        </w:rPr>
        <w:t>تضم الأداة 82 فقرة قياس، إضافة إلى البيانات الشخصية والمهنية، مما قد يؤدي إلى إجهاد المشاركين. يجب قياس زمن الإجابة في الدراسة الاستطلاعية وفحص الحاجة إلى اختصار الأداة</w:t>
      </w:r>
      <w:r w:rsidRPr="0062081E">
        <w:rPr>
          <w:color w:val="000000" w:themeColor="text1"/>
        </w:rPr>
        <w:t>.</w:t>
      </w:r>
    </w:p>
    <w:p w14:paraId="10B0AED2"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الخمسون: عدم ذكر الزمن المتوقع لاستكمال الاستبانة</w:t>
      </w:r>
      <w:r w:rsidRPr="0062081E">
        <w:rPr>
          <w:color w:val="000000" w:themeColor="text1"/>
        </w:rPr>
        <w:br/>
      </w:r>
      <w:r w:rsidRPr="0062081E">
        <w:rPr>
          <w:color w:val="000000" w:themeColor="text1"/>
          <w:rtl/>
        </w:rPr>
        <w:t>يجب حساب الزمن الفعلي خلال الاختبار الاستطلاعي وإدراجه في خطاب المشاركة</w:t>
      </w:r>
      <w:r w:rsidRPr="0062081E">
        <w:rPr>
          <w:color w:val="000000" w:themeColor="text1"/>
        </w:rPr>
        <w:t>.</w:t>
      </w:r>
    </w:p>
    <w:p w14:paraId="652F73BF"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الحادية والخمسون: وصف الأداة بأنها في صورتها النهائية قبل الدراسة الاستطلاعية</w:t>
      </w:r>
      <w:r w:rsidRPr="0062081E">
        <w:rPr>
          <w:color w:val="000000" w:themeColor="text1"/>
        </w:rPr>
        <w:br/>
      </w:r>
      <w:r w:rsidRPr="0062081E">
        <w:rPr>
          <w:color w:val="000000" w:themeColor="text1"/>
          <w:rtl/>
        </w:rPr>
        <w:t>ذُكر أن الأداة النهائية تضم 82 فقرة، ثم ورد أن نتائج الدراسة الاستطلاعية ستؤدي إلى حذف أو تعديل فقرات. يجب استخدام عبارة «الصورة الأولية» إلى حين انتهاء الاستطلاع</w:t>
      </w:r>
      <w:r w:rsidRPr="0062081E">
        <w:rPr>
          <w:color w:val="000000" w:themeColor="text1"/>
        </w:rPr>
        <w:t>.</w:t>
      </w:r>
    </w:p>
    <w:p w14:paraId="68784ED6"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الثانية والخمسون: عدم عرض أعداد الفقرات قبل التحكيم وبعده</w:t>
      </w:r>
      <w:r w:rsidRPr="0062081E">
        <w:rPr>
          <w:color w:val="000000" w:themeColor="text1"/>
        </w:rPr>
        <w:br/>
      </w:r>
      <w:r w:rsidRPr="0062081E">
        <w:rPr>
          <w:color w:val="000000" w:themeColor="text1"/>
          <w:rtl/>
        </w:rPr>
        <w:t>يجب بيان عدد الفقرات في المسودة الأولى، وعدد الفقرات المعدلة أو المحذوفة أو المضافة بعد التحكيم</w:t>
      </w:r>
      <w:r w:rsidRPr="0062081E">
        <w:rPr>
          <w:color w:val="000000" w:themeColor="text1"/>
        </w:rPr>
        <w:t>.</w:t>
      </w:r>
    </w:p>
    <w:p w14:paraId="6A754985"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الثالثة والخمسون: عدم ربط كل فقرة بمصدرها المباشر</w:t>
      </w:r>
      <w:r w:rsidRPr="0062081E">
        <w:rPr>
          <w:color w:val="000000" w:themeColor="text1"/>
        </w:rPr>
        <w:br/>
      </w:r>
      <w:r w:rsidRPr="0062081E">
        <w:rPr>
          <w:color w:val="000000" w:themeColor="text1"/>
          <w:rtl/>
        </w:rPr>
        <w:t>ذُكرت مجموعة من المراجع لكل قسم، لكن لم يوضح مصدر كل فقرة. يجب إعداد جدول يبين رقم الفقرة ومصدرها وطريقة تعديلها</w:t>
      </w:r>
      <w:r w:rsidRPr="0062081E">
        <w:rPr>
          <w:color w:val="000000" w:themeColor="text1"/>
        </w:rPr>
        <w:t>.</w:t>
      </w:r>
    </w:p>
    <w:p w14:paraId="30927518"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الرابعة والخمسون: وصف الفقرات بأنها مستمدة ومستوحاة في الوقت نفسه</w:t>
      </w:r>
      <w:r w:rsidRPr="0062081E">
        <w:rPr>
          <w:color w:val="000000" w:themeColor="text1"/>
        </w:rPr>
        <w:br/>
      </w:r>
      <w:r w:rsidRPr="0062081E">
        <w:rPr>
          <w:color w:val="000000" w:themeColor="text1"/>
          <w:rtl/>
        </w:rPr>
        <w:t>يجب التمييز بين الفقرات المنقولة من مقياس منشور، والفقرات المعدلة، والفقرات التي صاغها الباحث اعتماداً على إطار أو معيار</w:t>
      </w:r>
      <w:r w:rsidRPr="0062081E">
        <w:rPr>
          <w:color w:val="000000" w:themeColor="text1"/>
        </w:rPr>
        <w:t>.</w:t>
      </w:r>
    </w:p>
    <w:p w14:paraId="7DA2E445"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الخامسة والخمسون: استخدام معايير وتقارير بوصفها مصادر فقرات</w:t>
      </w:r>
      <w:r w:rsidRPr="0062081E">
        <w:rPr>
          <w:color w:val="000000" w:themeColor="text1"/>
        </w:rPr>
        <w:br/>
      </w:r>
      <w:r w:rsidRPr="0062081E">
        <w:rPr>
          <w:color w:val="000000" w:themeColor="text1"/>
          <w:rtl/>
        </w:rPr>
        <w:t>الاستفادة من</w:t>
      </w:r>
      <w:r w:rsidRPr="0062081E">
        <w:rPr>
          <w:color w:val="000000" w:themeColor="text1"/>
        </w:rPr>
        <w:t xml:space="preserve"> ISO 55000 </w:t>
      </w:r>
      <w:r w:rsidRPr="0062081E">
        <w:rPr>
          <w:color w:val="000000" w:themeColor="text1"/>
          <w:rtl/>
        </w:rPr>
        <w:t>أو</w:t>
      </w:r>
      <w:r w:rsidRPr="0062081E">
        <w:rPr>
          <w:color w:val="000000" w:themeColor="text1"/>
        </w:rPr>
        <w:t xml:space="preserve"> OECD </w:t>
      </w:r>
      <w:r w:rsidRPr="0062081E">
        <w:rPr>
          <w:color w:val="000000" w:themeColor="text1"/>
          <w:rtl/>
        </w:rPr>
        <w:t>تحتاج إلى توضيح كيفية تحويل المبادئ الواردة فيها إلى عبارات قابلة للقياس، وعدم عرضها باعتبارها مقياساً جاهزاً</w:t>
      </w:r>
      <w:r w:rsidRPr="0062081E">
        <w:rPr>
          <w:color w:val="000000" w:themeColor="text1"/>
        </w:rPr>
        <w:t>.</w:t>
      </w:r>
    </w:p>
    <w:p w14:paraId="6D1C2100"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السادسة والخمسون: عدم توضيح حقوق استخدام المقاييس</w:t>
      </w:r>
      <w:r w:rsidRPr="0062081E">
        <w:rPr>
          <w:color w:val="000000" w:themeColor="text1"/>
        </w:rPr>
        <w:br/>
      </w:r>
      <w:r w:rsidRPr="0062081E">
        <w:rPr>
          <w:color w:val="000000" w:themeColor="text1"/>
          <w:rtl/>
        </w:rPr>
        <w:t>يجب التحقق من تراخيص استخدام المقاييس وإعادة صياغتها، والحصول على إذن عندما يكون ذلك مطلوباً</w:t>
      </w:r>
      <w:r w:rsidRPr="0062081E">
        <w:rPr>
          <w:color w:val="000000" w:themeColor="text1"/>
        </w:rPr>
        <w:t>.</w:t>
      </w:r>
    </w:p>
    <w:p w14:paraId="6B2AF99A"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السابعة والخمسون: عدم توضيح خصائص المترجمين</w:t>
      </w:r>
      <w:r w:rsidRPr="0062081E">
        <w:rPr>
          <w:color w:val="000000" w:themeColor="text1"/>
        </w:rPr>
        <w:br/>
      </w:r>
      <w:r w:rsidRPr="0062081E">
        <w:rPr>
          <w:color w:val="000000" w:themeColor="text1"/>
          <w:rtl/>
        </w:rPr>
        <w:t>ذُكر وجود مترجمين مستقلين، لكن لم توضح مؤهلاتهما وخبرتهما بالمصطلحات الإدارية والهندسية وقطاع المياه</w:t>
      </w:r>
      <w:r w:rsidRPr="0062081E">
        <w:rPr>
          <w:color w:val="000000" w:themeColor="text1"/>
        </w:rPr>
        <w:t>.</w:t>
      </w:r>
    </w:p>
    <w:p w14:paraId="6AB68BD8"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lastRenderedPageBreak/>
        <w:t>الثامنة والخمسون: عدم تنفيذ مراجعة جماعية للترجمة</w:t>
      </w:r>
      <w:r w:rsidRPr="0062081E">
        <w:rPr>
          <w:color w:val="000000" w:themeColor="text1"/>
        </w:rPr>
        <w:br/>
      </w:r>
      <w:r w:rsidRPr="0062081E">
        <w:rPr>
          <w:color w:val="000000" w:themeColor="text1"/>
          <w:rtl/>
        </w:rPr>
        <w:t>حُسمت الفروق بالتشاور مع المشرف فقط. يفضل عرض النسخة المترجمة على لجنة تتضمن متخصصاً لغوياً ومتخصصاً في المجال</w:t>
      </w:r>
      <w:r w:rsidRPr="0062081E">
        <w:rPr>
          <w:color w:val="000000" w:themeColor="text1"/>
        </w:rPr>
        <w:t>.</w:t>
      </w:r>
    </w:p>
    <w:p w14:paraId="781FC3E5"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التاسعة والخمسون: غياب المقابلات الإدراكية للاستبانة</w:t>
      </w:r>
      <w:r w:rsidRPr="0062081E">
        <w:rPr>
          <w:color w:val="000000" w:themeColor="text1"/>
        </w:rPr>
        <w:br/>
      </w:r>
      <w:r w:rsidRPr="0062081E">
        <w:rPr>
          <w:color w:val="000000" w:themeColor="text1"/>
          <w:rtl/>
        </w:rPr>
        <w:t>قبل التطبيق الاستطلاعي، يفضل اختبار فهم عدد محدود من المختصين للفقرات التقنية، والتأكد من تفسيرها بالمعنى المقصود</w:t>
      </w:r>
      <w:r w:rsidRPr="0062081E">
        <w:rPr>
          <w:color w:val="000000" w:themeColor="text1"/>
        </w:rPr>
        <w:t>.</w:t>
      </w:r>
    </w:p>
    <w:p w14:paraId="75AB0DA4" w14:textId="77777777" w:rsidR="00BD5A59" w:rsidRPr="0062081E" w:rsidRDefault="00BD5A59" w:rsidP="0062081E">
      <w:pPr>
        <w:pStyle w:val="NormalWeb"/>
        <w:bidi/>
        <w:spacing w:line="360" w:lineRule="auto"/>
        <w:rPr>
          <w:color w:val="000000" w:themeColor="text1"/>
        </w:rPr>
      </w:pPr>
      <w:proofErr w:type="spellStart"/>
      <w:r w:rsidRPr="0062081E">
        <w:rPr>
          <w:rStyle w:val="Strong"/>
          <w:rFonts w:eastAsiaTheme="majorEastAsia"/>
          <w:color w:val="000000" w:themeColor="text1"/>
          <w:rtl/>
        </w:rPr>
        <w:t>الستون</w:t>
      </w:r>
      <w:proofErr w:type="spellEnd"/>
      <w:r w:rsidRPr="0062081E">
        <w:rPr>
          <w:rStyle w:val="Strong"/>
          <w:rFonts w:eastAsiaTheme="majorEastAsia"/>
          <w:color w:val="000000" w:themeColor="text1"/>
          <w:rtl/>
        </w:rPr>
        <w:t>: عدم توضيح الفقرات العكسية</w:t>
      </w:r>
      <w:r w:rsidRPr="0062081E">
        <w:rPr>
          <w:color w:val="000000" w:themeColor="text1"/>
        </w:rPr>
        <w:br/>
      </w:r>
      <w:r w:rsidRPr="0062081E">
        <w:rPr>
          <w:color w:val="000000" w:themeColor="text1"/>
          <w:rtl/>
        </w:rPr>
        <w:t>يجب بيان ما إذا كانت الأداة تتضمن فقرات سالبة، وطريقة إعادة ترميزها قبل التحليل</w:t>
      </w:r>
      <w:r w:rsidRPr="0062081E">
        <w:rPr>
          <w:color w:val="000000" w:themeColor="text1"/>
        </w:rPr>
        <w:t>.</w:t>
      </w:r>
    </w:p>
    <w:p w14:paraId="3E374AAF"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 xml:space="preserve">الحادية </w:t>
      </w:r>
      <w:proofErr w:type="spellStart"/>
      <w:r w:rsidRPr="0062081E">
        <w:rPr>
          <w:rStyle w:val="Strong"/>
          <w:rFonts w:eastAsiaTheme="majorEastAsia"/>
          <w:color w:val="000000" w:themeColor="text1"/>
          <w:rtl/>
        </w:rPr>
        <w:t>والستون</w:t>
      </w:r>
      <w:proofErr w:type="spellEnd"/>
      <w:r w:rsidRPr="0062081E">
        <w:rPr>
          <w:rStyle w:val="Strong"/>
          <w:rFonts w:eastAsiaTheme="majorEastAsia"/>
          <w:color w:val="000000" w:themeColor="text1"/>
          <w:rtl/>
        </w:rPr>
        <w:t>: عدم عرض طريقة احتساب الدرجات</w:t>
      </w:r>
      <w:r w:rsidRPr="0062081E">
        <w:rPr>
          <w:color w:val="000000" w:themeColor="text1"/>
        </w:rPr>
        <w:br/>
      </w:r>
      <w:r w:rsidRPr="0062081E">
        <w:rPr>
          <w:color w:val="000000" w:themeColor="text1"/>
          <w:rtl/>
        </w:rPr>
        <w:t>يجب تحديد هل ستُحسب الدرجة باستخدام المتوسط أم المجموع، وكيف ستُحتسب درجات الأقسام والأبعاد</w:t>
      </w:r>
      <w:r w:rsidRPr="0062081E">
        <w:rPr>
          <w:color w:val="000000" w:themeColor="text1"/>
        </w:rPr>
        <w:t>.</w:t>
      </w:r>
    </w:p>
    <w:p w14:paraId="6A38EA06"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 xml:space="preserve">الثانية </w:t>
      </w:r>
      <w:proofErr w:type="spellStart"/>
      <w:r w:rsidRPr="0062081E">
        <w:rPr>
          <w:rStyle w:val="Strong"/>
          <w:rFonts w:eastAsiaTheme="majorEastAsia"/>
          <w:color w:val="000000" w:themeColor="text1"/>
          <w:rtl/>
        </w:rPr>
        <w:t>والستون</w:t>
      </w:r>
      <w:proofErr w:type="spellEnd"/>
      <w:r w:rsidRPr="0062081E">
        <w:rPr>
          <w:rStyle w:val="Strong"/>
          <w:rFonts w:eastAsiaTheme="majorEastAsia"/>
          <w:color w:val="000000" w:themeColor="text1"/>
          <w:rtl/>
        </w:rPr>
        <w:t>: عدم تحديد حدود تفسير المتوسطات</w:t>
      </w:r>
      <w:r w:rsidRPr="0062081E">
        <w:rPr>
          <w:color w:val="000000" w:themeColor="text1"/>
        </w:rPr>
        <w:br/>
      </w:r>
      <w:r w:rsidRPr="0062081E">
        <w:rPr>
          <w:color w:val="000000" w:themeColor="text1"/>
          <w:rtl/>
        </w:rPr>
        <w:t xml:space="preserve">عُرضت دلالات عامة لدرجات </w:t>
      </w:r>
      <w:proofErr w:type="spellStart"/>
      <w:r w:rsidRPr="0062081E">
        <w:rPr>
          <w:color w:val="000000" w:themeColor="text1"/>
          <w:rtl/>
        </w:rPr>
        <w:t>ليكرت</w:t>
      </w:r>
      <w:proofErr w:type="spellEnd"/>
      <w:r w:rsidRPr="0062081E">
        <w:rPr>
          <w:color w:val="000000" w:themeColor="text1"/>
          <w:rtl/>
        </w:rPr>
        <w:t xml:space="preserve">، لكن لم تعرض نطاقات المتوسطات التي تقابل منخفضة جداً ومنخفضة ومتوسطة ومرتفعة </w:t>
      </w:r>
      <w:proofErr w:type="spellStart"/>
      <w:r w:rsidRPr="0062081E">
        <w:rPr>
          <w:color w:val="000000" w:themeColor="text1"/>
          <w:rtl/>
        </w:rPr>
        <w:t>ومرتفعة</w:t>
      </w:r>
      <w:proofErr w:type="spellEnd"/>
      <w:r w:rsidRPr="0062081E">
        <w:rPr>
          <w:color w:val="000000" w:themeColor="text1"/>
          <w:rtl/>
        </w:rPr>
        <w:t xml:space="preserve"> جداً</w:t>
      </w:r>
      <w:r w:rsidRPr="0062081E">
        <w:rPr>
          <w:color w:val="000000" w:themeColor="text1"/>
        </w:rPr>
        <w:t>.</w:t>
      </w:r>
    </w:p>
    <w:p w14:paraId="2476C8D7"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 xml:space="preserve">الثالثة </w:t>
      </w:r>
      <w:proofErr w:type="spellStart"/>
      <w:r w:rsidRPr="0062081E">
        <w:rPr>
          <w:rStyle w:val="Strong"/>
          <w:rFonts w:eastAsiaTheme="majorEastAsia"/>
          <w:color w:val="000000" w:themeColor="text1"/>
          <w:rtl/>
        </w:rPr>
        <w:t>والستون</w:t>
      </w:r>
      <w:proofErr w:type="spellEnd"/>
      <w:r w:rsidRPr="0062081E">
        <w:rPr>
          <w:rStyle w:val="Strong"/>
          <w:rFonts w:eastAsiaTheme="majorEastAsia"/>
          <w:color w:val="000000" w:themeColor="text1"/>
          <w:rtl/>
        </w:rPr>
        <w:t>: عدم توضيح البيانات الشخصية والمهنية تفصيلياً</w:t>
      </w:r>
      <w:r w:rsidRPr="0062081E">
        <w:rPr>
          <w:color w:val="000000" w:themeColor="text1"/>
        </w:rPr>
        <w:br/>
      </w:r>
      <w:r w:rsidRPr="0062081E">
        <w:rPr>
          <w:color w:val="000000" w:themeColor="text1"/>
          <w:rtl/>
        </w:rPr>
        <w:t>وردت أسماء عامة مثل الجنس والمؤهل والخبرة والجهة والمسمى، دون عرض فئات الإجابة أو طريقة الترميز</w:t>
      </w:r>
      <w:r w:rsidRPr="0062081E">
        <w:rPr>
          <w:color w:val="000000" w:themeColor="text1"/>
        </w:rPr>
        <w:t>.</w:t>
      </w:r>
    </w:p>
    <w:p w14:paraId="7C039FB7"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 xml:space="preserve">الرابعة </w:t>
      </w:r>
      <w:proofErr w:type="spellStart"/>
      <w:r w:rsidRPr="0062081E">
        <w:rPr>
          <w:rStyle w:val="Strong"/>
          <w:rFonts w:eastAsiaTheme="majorEastAsia"/>
          <w:color w:val="000000" w:themeColor="text1"/>
          <w:rtl/>
        </w:rPr>
        <w:t>والستون</w:t>
      </w:r>
      <w:proofErr w:type="spellEnd"/>
      <w:r w:rsidRPr="0062081E">
        <w:rPr>
          <w:rStyle w:val="Strong"/>
          <w:rFonts w:eastAsiaTheme="majorEastAsia"/>
          <w:color w:val="000000" w:themeColor="text1"/>
          <w:rtl/>
        </w:rPr>
        <w:t>: ضرورة إضافة بيانات مرتبطة بالمشاركة المؤسسية</w:t>
      </w:r>
      <w:r w:rsidRPr="0062081E">
        <w:rPr>
          <w:color w:val="000000" w:themeColor="text1"/>
        </w:rPr>
        <w:br/>
      </w:r>
      <w:r w:rsidRPr="0062081E">
        <w:rPr>
          <w:color w:val="000000" w:themeColor="text1"/>
          <w:rtl/>
        </w:rPr>
        <w:t>يجب تضمين نوع الجهة، والمنطقة، والمستوى الإداري، ومجال الخبرة، ومدة العمل في القطاع، مع تجنب جمع بيانات تكشف هوية الشخص</w:t>
      </w:r>
      <w:r w:rsidRPr="0062081E">
        <w:rPr>
          <w:color w:val="000000" w:themeColor="text1"/>
        </w:rPr>
        <w:t>.</w:t>
      </w:r>
    </w:p>
    <w:p w14:paraId="321337DA"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 xml:space="preserve">الخامسة </w:t>
      </w:r>
      <w:proofErr w:type="spellStart"/>
      <w:r w:rsidRPr="0062081E">
        <w:rPr>
          <w:rStyle w:val="Strong"/>
          <w:rFonts w:eastAsiaTheme="majorEastAsia"/>
          <w:color w:val="000000" w:themeColor="text1"/>
          <w:rtl/>
        </w:rPr>
        <w:t>والستون</w:t>
      </w:r>
      <w:proofErr w:type="spellEnd"/>
      <w:r w:rsidRPr="0062081E">
        <w:rPr>
          <w:rStyle w:val="Strong"/>
          <w:rFonts w:eastAsiaTheme="majorEastAsia"/>
          <w:color w:val="000000" w:themeColor="text1"/>
          <w:rtl/>
        </w:rPr>
        <w:t>: عدم وجود أسئلة تصفية إلكترونية واضحة</w:t>
      </w:r>
      <w:r w:rsidRPr="0062081E">
        <w:rPr>
          <w:color w:val="000000" w:themeColor="text1"/>
        </w:rPr>
        <w:br/>
      </w:r>
      <w:r w:rsidRPr="0062081E">
        <w:rPr>
          <w:color w:val="000000" w:themeColor="text1"/>
          <w:rtl/>
        </w:rPr>
        <w:t>يجب إضافة أسئلة تمنع غير المؤهلين من متابعة الاستبانة، مثل سنوات الخبرة وطبيعة العمل والجهة ومجال التخصص</w:t>
      </w:r>
      <w:r w:rsidRPr="0062081E">
        <w:rPr>
          <w:color w:val="000000" w:themeColor="text1"/>
        </w:rPr>
        <w:t>.</w:t>
      </w:r>
    </w:p>
    <w:p w14:paraId="26527027"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 xml:space="preserve">السادسة </w:t>
      </w:r>
      <w:proofErr w:type="spellStart"/>
      <w:r w:rsidRPr="0062081E">
        <w:rPr>
          <w:rStyle w:val="Strong"/>
          <w:rFonts w:eastAsiaTheme="majorEastAsia"/>
          <w:color w:val="000000" w:themeColor="text1"/>
          <w:rtl/>
        </w:rPr>
        <w:t>والستون</w:t>
      </w:r>
      <w:proofErr w:type="spellEnd"/>
      <w:r w:rsidRPr="0062081E">
        <w:rPr>
          <w:rStyle w:val="Strong"/>
          <w:rFonts w:eastAsiaTheme="majorEastAsia"/>
          <w:color w:val="000000" w:themeColor="text1"/>
          <w:rtl/>
        </w:rPr>
        <w:t>: عدم توضيح طريقة الوصول إلى المشاركين عبر</w:t>
      </w:r>
      <w:r w:rsidRPr="0062081E">
        <w:rPr>
          <w:rStyle w:val="Strong"/>
          <w:rFonts w:eastAsiaTheme="majorEastAsia"/>
          <w:color w:val="000000" w:themeColor="text1"/>
        </w:rPr>
        <w:t xml:space="preserve"> Google Forms</w:t>
      </w:r>
      <w:r w:rsidRPr="0062081E">
        <w:rPr>
          <w:color w:val="000000" w:themeColor="text1"/>
        </w:rPr>
        <w:br/>
      </w:r>
      <w:r w:rsidRPr="0062081E">
        <w:rPr>
          <w:color w:val="000000" w:themeColor="text1"/>
          <w:rtl/>
        </w:rPr>
        <w:t>يجب بيان إعدادات النموذج، وعدم تسجيل البريد الإلكتروني تلقائياً، وطريقة تقييد الاستجابة دون الإضرار بالسرية</w:t>
      </w:r>
      <w:r w:rsidRPr="0062081E">
        <w:rPr>
          <w:color w:val="000000" w:themeColor="text1"/>
        </w:rPr>
        <w:t>.</w:t>
      </w:r>
    </w:p>
    <w:p w14:paraId="43A5465C" w14:textId="77777777" w:rsidR="00BD5A59" w:rsidRPr="0062081E" w:rsidRDefault="00BD5A59" w:rsidP="0062081E">
      <w:pPr>
        <w:pStyle w:val="Heading2"/>
        <w:bidi/>
        <w:spacing w:line="360" w:lineRule="auto"/>
        <w:rPr>
          <w:rFonts w:eastAsia="Times New Roman"/>
          <w:color w:val="000000" w:themeColor="text1"/>
        </w:rPr>
      </w:pPr>
      <w:r w:rsidRPr="0062081E">
        <w:rPr>
          <w:rFonts w:eastAsia="Times New Roman"/>
          <w:color w:val="000000" w:themeColor="text1"/>
          <w:rtl/>
        </w:rPr>
        <w:t>رابعاً: نواقص التحكيم والدراسة الاستطلاعية</w:t>
      </w:r>
    </w:p>
    <w:p w14:paraId="3689081F" w14:textId="77777777" w:rsidR="00BD5A59" w:rsidRPr="0062081E" w:rsidRDefault="00BD5A59" w:rsidP="0062081E">
      <w:pPr>
        <w:pStyle w:val="NormalWeb"/>
        <w:bidi/>
        <w:spacing w:line="360" w:lineRule="auto"/>
        <w:rPr>
          <w:rFonts w:eastAsiaTheme="minorHAnsi"/>
          <w:color w:val="000000" w:themeColor="text1"/>
        </w:rPr>
      </w:pPr>
      <w:r w:rsidRPr="0062081E">
        <w:rPr>
          <w:rStyle w:val="Strong"/>
          <w:rFonts w:eastAsiaTheme="majorEastAsia"/>
          <w:color w:val="000000" w:themeColor="text1"/>
          <w:rtl/>
        </w:rPr>
        <w:t xml:space="preserve">السابعة </w:t>
      </w:r>
      <w:proofErr w:type="spellStart"/>
      <w:r w:rsidRPr="0062081E">
        <w:rPr>
          <w:rStyle w:val="Strong"/>
          <w:rFonts w:eastAsiaTheme="majorEastAsia"/>
          <w:color w:val="000000" w:themeColor="text1"/>
          <w:rtl/>
        </w:rPr>
        <w:t>والستون</w:t>
      </w:r>
      <w:proofErr w:type="spellEnd"/>
      <w:r w:rsidRPr="0062081E">
        <w:rPr>
          <w:rStyle w:val="Strong"/>
          <w:rFonts w:eastAsiaTheme="majorEastAsia"/>
          <w:color w:val="000000" w:themeColor="text1"/>
          <w:rtl/>
        </w:rPr>
        <w:t>: عدم إرفاق أسماء أو بيانات المحكمين</w:t>
      </w:r>
      <w:r w:rsidRPr="0062081E">
        <w:rPr>
          <w:color w:val="000000" w:themeColor="text1"/>
        </w:rPr>
        <w:br/>
      </w:r>
      <w:r w:rsidRPr="0062081E">
        <w:rPr>
          <w:color w:val="000000" w:themeColor="text1"/>
          <w:rtl/>
        </w:rPr>
        <w:t>ذُكر وجود 12 محكماً وتخصصاتهم بصورة عامة. يجب إعداد جدول يتضمن الرمز والتخصص والخبرة والجهة دون الحاجة إلى كشف الأسماء إذا كانت السرية مطلوبة</w:t>
      </w:r>
      <w:r w:rsidRPr="0062081E">
        <w:rPr>
          <w:color w:val="000000" w:themeColor="text1"/>
        </w:rPr>
        <w:t>.</w:t>
      </w:r>
    </w:p>
    <w:p w14:paraId="420958CA"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lastRenderedPageBreak/>
        <w:t xml:space="preserve">الثامنة </w:t>
      </w:r>
      <w:proofErr w:type="spellStart"/>
      <w:r w:rsidRPr="0062081E">
        <w:rPr>
          <w:rStyle w:val="Strong"/>
          <w:rFonts w:eastAsiaTheme="majorEastAsia"/>
          <w:color w:val="000000" w:themeColor="text1"/>
          <w:rtl/>
        </w:rPr>
        <w:t>والستون</w:t>
      </w:r>
      <w:proofErr w:type="spellEnd"/>
      <w:r w:rsidRPr="0062081E">
        <w:rPr>
          <w:rStyle w:val="Strong"/>
          <w:rFonts w:eastAsiaTheme="majorEastAsia"/>
          <w:color w:val="000000" w:themeColor="text1"/>
          <w:rtl/>
        </w:rPr>
        <w:t>: عدم إرفاق نموذج التحكيم</w:t>
      </w:r>
      <w:r w:rsidRPr="0062081E">
        <w:rPr>
          <w:color w:val="000000" w:themeColor="text1"/>
        </w:rPr>
        <w:br/>
      </w:r>
      <w:r w:rsidRPr="0062081E">
        <w:rPr>
          <w:color w:val="000000" w:themeColor="text1"/>
          <w:rtl/>
        </w:rPr>
        <w:t>يجب إرفاق النموذج المستخدم لتقييم ضرورة الفقرة ووضوحها وسلامتها وملاءمتها</w:t>
      </w:r>
      <w:r w:rsidRPr="0062081E">
        <w:rPr>
          <w:color w:val="000000" w:themeColor="text1"/>
        </w:rPr>
        <w:t>.</w:t>
      </w:r>
    </w:p>
    <w:p w14:paraId="7BA01AD1"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 xml:space="preserve">التاسعة </w:t>
      </w:r>
      <w:proofErr w:type="spellStart"/>
      <w:r w:rsidRPr="0062081E">
        <w:rPr>
          <w:rStyle w:val="Strong"/>
          <w:rFonts w:eastAsiaTheme="majorEastAsia"/>
          <w:color w:val="000000" w:themeColor="text1"/>
          <w:rtl/>
        </w:rPr>
        <w:t>والستون</w:t>
      </w:r>
      <w:proofErr w:type="spellEnd"/>
      <w:r w:rsidRPr="0062081E">
        <w:rPr>
          <w:rStyle w:val="Strong"/>
          <w:rFonts w:eastAsiaTheme="majorEastAsia"/>
          <w:color w:val="000000" w:themeColor="text1"/>
          <w:rtl/>
        </w:rPr>
        <w:t>: معادلة</w:t>
      </w:r>
      <w:r w:rsidRPr="0062081E">
        <w:rPr>
          <w:rStyle w:val="Strong"/>
          <w:rFonts w:eastAsiaTheme="majorEastAsia"/>
          <w:color w:val="000000" w:themeColor="text1"/>
        </w:rPr>
        <w:t xml:space="preserve"> CVR </w:t>
      </w:r>
      <w:r w:rsidRPr="0062081E">
        <w:rPr>
          <w:rStyle w:val="Strong"/>
          <w:rFonts w:eastAsiaTheme="majorEastAsia"/>
          <w:color w:val="000000" w:themeColor="text1"/>
          <w:rtl/>
        </w:rPr>
        <w:t>غير ظاهرة بصورة سليمة</w:t>
      </w:r>
      <w:r w:rsidRPr="0062081E">
        <w:rPr>
          <w:color w:val="000000" w:themeColor="text1"/>
        </w:rPr>
        <w:br/>
      </w:r>
      <w:r w:rsidRPr="0062081E">
        <w:rPr>
          <w:color w:val="000000" w:themeColor="text1"/>
          <w:rtl/>
        </w:rPr>
        <w:t>تظهر المعادلة داخل النص بترتيب مشوه. يجب كتابتها بوضوح وضبط رموزها واتجاهها</w:t>
      </w:r>
      <w:r w:rsidRPr="0062081E">
        <w:rPr>
          <w:color w:val="000000" w:themeColor="text1"/>
        </w:rPr>
        <w:t>.</w:t>
      </w:r>
    </w:p>
    <w:p w14:paraId="4831B12C"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السبعون: عدم عرض نتائج</w:t>
      </w:r>
      <w:r w:rsidRPr="0062081E">
        <w:rPr>
          <w:rStyle w:val="Strong"/>
          <w:rFonts w:eastAsiaTheme="majorEastAsia"/>
          <w:color w:val="000000" w:themeColor="text1"/>
        </w:rPr>
        <w:t xml:space="preserve"> CVR </w:t>
      </w:r>
      <w:r w:rsidRPr="0062081E">
        <w:rPr>
          <w:rStyle w:val="Strong"/>
          <w:rFonts w:eastAsiaTheme="majorEastAsia"/>
          <w:color w:val="000000" w:themeColor="text1"/>
          <w:rtl/>
        </w:rPr>
        <w:t>الفعلية</w:t>
      </w:r>
      <w:r w:rsidRPr="0062081E">
        <w:rPr>
          <w:color w:val="000000" w:themeColor="text1"/>
        </w:rPr>
        <w:br/>
      </w:r>
      <w:r w:rsidRPr="0062081E">
        <w:rPr>
          <w:color w:val="000000" w:themeColor="text1"/>
          <w:rtl/>
        </w:rPr>
        <w:t>يجب تقديم جدول يوضح قيمة المؤشر لكل فقرة وقرار الإبقاء أو التعديل أو الحذف</w:t>
      </w:r>
      <w:r w:rsidRPr="0062081E">
        <w:rPr>
          <w:color w:val="000000" w:themeColor="text1"/>
        </w:rPr>
        <w:t>.</w:t>
      </w:r>
    </w:p>
    <w:p w14:paraId="3566B888"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الحادية والسبعون: عدم عرض نسبة اتفاق المحكمين لكل فقرة</w:t>
      </w:r>
      <w:r w:rsidRPr="0062081E">
        <w:rPr>
          <w:color w:val="000000" w:themeColor="text1"/>
        </w:rPr>
        <w:br/>
      </w:r>
      <w:r w:rsidRPr="0062081E">
        <w:rPr>
          <w:color w:val="000000" w:themeColor="text1"/>
          <w:rtl/>
        </w:rPr>
        <w:t>ذُكرت نسبة 80% بوصفها مؤشراً مكملاً، لكن لم تعرض النتائج التفصيلية أو طريقة الحساب</w:t>
      </w:r>
      <w:r w:rsidRPr="0062081E">
        <w:rPr>
          <w:color w:val="000000" w:themeColor="text1"/>
        </w:rPr>
        <w:t>.</w:t>
      </w:r>
    </w:p>
    <w:p w14:paraId="40C20130"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الثانية والسبعون: عدم توضيح عدد الفقرات المعدلة بعد التحكيم</w:t>
      </w:r>
      <w:r w:rsidRPr="0062081E">
        <w:rPr>
          <w:color w:val="000000" w:themeColor="text1"/>
        </w:rPr>
        <w:br/>
      </w:r>
      <w:r w:rsidRPr="0062081E">
        <w:rPr>
          <w:color w:val="000000" w:themeColor="text1"/>
          <w:rtl/>
        </w:rPr>
        <w:t>يجب تقديم ملخص للتعديلات التي أجريت وأسبابها</w:t>
      </w:r>
      <w:r w:rsidRPr="0062081E">
        <w:rPr>
          <w:color w:val="000000" w:themeColor="text1"/>
        </w:rPr>
        <w:t>.</w:t>
      </w:r>
    </w:p>
    <w:p w14:paraId="6DB468B9"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الثالثة والسبعون: عدم توضيح طريقة اختيار العينة الاستطلاعية</w:t>
      </w:r>
      <w:r w:rsidRPr="0062081E">
        <w:rPr>
          <w:color w:val="000000" w:themeColor="text1"/>
        </w:rPr>
        <w:br/>
      </w:r>
      <w:r w:rsidRPr="0062081E">
        <w:rPr>
          <w:color w:val="000000" w:themeColor="text1"/>
          <w:rtl/>
        </w:rPr>
        <w:t>ذُكر أن حجمها 30 مستجيباً، لكن لم توضح الجهات والفئات التي سيمثلونها أو طريقة الوصول إليهم</w:t>
      </w:r>
      <w:r w:rsidRPr="0062081E">
        <w:rPr>
          <w:color w:val="000000" w:themeColor="text1"/>
        </w:rPr>
        <w:t>.</w:t>
      </w:r>
    </w:p>
    <w:p w14:paraId="3D227CB0"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الرابعة والسبعون: عدم تقديم مبرر لحجم العينة الاستطلاعية</w:t>
      </w:r>
      <w:r w:rsidRPr="0062081E">
        <w:rPr>
          <w:color w:val="000000" w:themeColor="text1"/>
        </w:rPr>
        <w:br/>
      </w:r>
      <w:r w:rsidRPr="0062081E">
        <w:rPr>
          <w:color w:val="000000" w:themeColor="text1"/>
          <w:rtl/>
        </w:rPr>
        <w:t>يجب بيان أن العدد مناسب لغرض فحص الوضوح والاتساق الأولي، مع توضيح حدود الاعتماد على نتائجه</w:t>
      </w:r>
      <w:r w:rsidRPr="0062081E">
        <w:rPr>
          <w:color w:val="000000" w:themeColor="text1"/>
        </w:rPr>
        <w:t>.</w:t>
      </w:r>
    </w:p>
    <w:p w14:paraId="6F1652F6"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الخامسة والسبعون: عدم عرض نموذج لجمع ملاحظات العينة الاستطلاعية</w:t>
      </w:r>
      <w:r w:rsidRPr="0062081E">
        <w:rPr>
          <w:color w:val="000000" w:themeColor="text1"/>
        </w:rPr>
        <w:br/>
      </w:r>
      <w:r w:rsidRPr="0062081E">
        <w:rPr>
          <w:color w:val="000000" w:themeColor="text1"/>
          <w:rtl/>
        </w:rPr>
        <w:t>يجب تسجيل رأي المشاركين في وضوح الفقرات وطول الأداة ومدة الإجابة والمصطلحات الغامضة</w:t>
      </w:r>
      <w:r w:rsidRPr="0062081E">
        <w:rPr>
          <w:color w:val="000000" w:themeColor="text1"/>
        </w:rPr>
        <w:t>.</w:t>
      </w:r>
    </w:p>
    <w:p w14:paraId="46799E34"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السادسة والسبعون: عدم تحديد معايير تعديل الفقرات بعد الاستطلاع</w:t>
      </w:r>
      <w:r w:rsidRPr="0062081E">
        <w:rPr>
          <w:color w:val="000000" w:themeColor="text1"/>
        </w:rPr>
        <w:br/>
      </w:r>
      <w:r w:rsidRPr="0062081E">
        <w:rPr>
          <w:color w:val="000000" w:themeColor="text1"/>
          <w:rtl/>
        </w:rPr>
        <w:t xml:space="preserve">يجب بيان الحدود التي تستوجب تعديل الفقرة أو حذفها، وعدم الاكتفاء بذكر حساب ألفا </w:t>
      </w:r>
      <w:proofErr w:type="spellStart"/>
      <w:r w:rsidRPr="0062081E">
        <w:rPr>
          <w:color w:val="000000" w:themeColor="text1"/>
          <w:rtl/>
        </w:rPr>
        <w:t>كرونباخ</w:t>
      </w:r>
      <w:proofErr w:type="spellEnd"/>
      <w:r w:rsidRPr="0062081E">
        <w:rPr>
          <w:color w:val="000000" w:themeColor="text1"/>
        </w:rPr>
        <w:t>.</w:t>
      </w:r>
    </w:p>
    <w:p w14:paraId="42B70E07"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السابعة والسبعون: عدم عرض ارتباط الفقرات بالدرجة الكلية</w:t>
      </w:r>
      <w:r w:rsidRPr="0062081E">
        <w:rPr>
          <w:color w:val="000000" w:themeColor="text1"/>
        </w:rPr>
        <w:br/>
      </w:r>
      <w:r w:rsidRPr="0062081E">
        <w:rPr>
          <w:color w:val="000000" w:themeColor="text1"/>
          <w:rtl/>
        </w:rPr>
        <w:t>يفضل حساب معامل ارتباط كل فقرة بدرجة القسم الذي تنتمي إليه في الدراسة الاستطلاعية</w:t>
      </w:r>
      <w:r w:rsidRPr="0062081E">
        <w:rPr>
          <w:color w:val="000000" w:themeColor="text1"/>
        </w:rPr>
        <w:t>.</w:t>
      </w:r>
    </w:p>
    <w:p w14:paraId="03A1F3EB"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 xml:space="preserve">الثامنة والسبعون: عدم توضيح مصدر النتائج </w:t>
      </w:r>
      <w:proofErr w:type="spellStart"/>
      <w:r w:rsidRPr="0062081E">
        <w:rPr>
          <w:rStyle w:val="Strong"/>
          <w:rFonts w:eastAsiaTheme="majorEastAsia"/>
          <w:color w:val="000000" w:themeColor="text1"/>
          <w:rtl/>
        </w:rPr>
        <w:t>السيكومترية</w:t>
      </w:r>
      <w:proofErr w:type="spellEnd"/>
      <w:r w:rsidRPr="0062081E">
        <w:rPr>
          <w:color w:val="000000" w:themeColor="text1"/>
        </w:rPr>
        <w:br/>
      </w:r>
      <w:r w:rsidRPr="0062081E">
        <w:rPr>
          <w:color w:val="000000" w:themeColor="text1"/>
          <w:rtl/>
        </w:rPr>
        <w:t>يجب الفصل بين النتائج الأولية المستخرجة من العينة الاستطلاعية والنتائج النهائية المستخرجة من العينة الأساسية</w:t>
      </w:r>
      <w:r w:rsidRPr="0062081E">
        <w:rPr>
          <w:color w:val="000000" w:themeColor="text1"/>
        </w:rPr>
        <w:t>.</w:t>
      </w:r>
    </w:p>
    <w:p w14:paraId="77173BE2" w14:textId="77777777" w:rsidR="00BD5A59" w:rsidRPr="0062081E" w:rsidRDefault="00BD5A59" w:rsidP="0062081E">
      <w:pPr>
        <w:pStyle w:val="Heading2"/>
        <w:bidi/>
        <w:spacing w:line="360" w:lineRule="auto"/>
        <w:rPr>
          <w:rFonts w:eastAsia="Times New Roman"/>
          <w:color w:val="000000" w:themeColor="text1"/>
        </w:rPr>
      </w:pPr>
      <w:r w:rsidRPr="0062081E">
        <w:rPr>
          <w:rFonts w:eastAsia="Times New Roman"/>
          <w:color w:val="000000" w:themeColor="text1"/>
          <w:rtl/>
        </w:rPr>
        <w:t>خامساً: نواقص تنظيف البيانات والمعالجة الإحصائية</w:t>
      </w:r>
    </w:p>
    <w:p w14:paraId="5161522C" w14:textId="77777777" w:rsidR="00BD5A59" w:rsidRPr="0062081E" w:rsidRDefault="00BD5A59" w:rsidP="0062081E">
      <w:pPr>
        <w:pStyle w:val="NormalWeb"/>
        <w:bidi/>
        <w:spacing w:line="360" w:lineRule="auto"/>
        <w:rPr>
          <w:rFonts w:eastAsiaTheme="minorHAnsi"/>
          <w:color w:val="000000" w:themeColor="text1"/>
        </w:rPr>
      </w:pPr>
      <w:r w:rsidRPr="0062081E">
        <w:rPr>
          <w:rStyle w:val="Strong"/>
          <w:rFonts w:eastAsiaTheme="majorEastAsia"/>
          <w:color w:val="000000" w:themeColor="text1"/>
          <w:rtl/>
        </w:rPr>
        <w:t>التاسعة والسبعون: عدم تحديد البرنامج المستخدم في التحليل الوصفي</w:t>
      </w:r>
      <w:r w:rsidRPr="0062081E">
        <w:rPr>
          <w:color w:val="000000" w:themeColor="text1"/>
        </w:rPr>
        <w:br/>
      </w:r>
      <w:r w:rsidRPr="0062081E">
        <w:rPr>
          <w:color w:val="000000" w:themeColor="text1"/>
          <w:rtl/>
        </w:rPr>
        <w:t>ذُكر</w:t>
      </w:r>
      <w:r w:rsidRPr="0062081E">
        <w:rPr>
          <w:color w:val="000000" w:themeColor="text1"/>
        </w:rPr>
        <w:t xml:space="preserve"> </w:t>
      </w:r>
      <w:proofErr w:type="spellStart"/>
      <w:r w:rsidRPr="0062081E">
        <w:rPr>
          <w:color w:val="000000" w:themeColor="text1"/>
        </w:rPr>
        <w:t>SmartPLS</w:t>
      </w:r>
      <w:proofErr w:type="spellEnd"/>
      <w:r w:rsidRPr="0062081E">
        <w:rPr>
          <w:color w:val="000000" w:themeColor="text1"/>
        </w:rPr>
        <w:t xml:space="preserve"> 4</w:t>
      </w:r>
      <w:r w:rsidRPr="0062081E">
        <w:rPr>
          <w:color w:val="000000" w:themeColor="text1"/>
          <w:rtl/>
        </w:rPr>
        <w:t>، لكن لم يحدد البرنامج المستخدم للتكرارات والنسب وتنظيف البيانات. يجب تحديد</w:t>
      </w:r>
      <w:r w:rsidRPr="0062081E">
        <w:rPr>
          <w:color w:val="000000" w:themeColor="text1"/>
        </w:rPr>
        <w:t xml:space="preserve"> SPSS </w:t>
      </w:r>
      <w:r w:rsidRPr="0062081E">
        <w:rPr>
          <w:color w:val="000000" w:themeColor="text1"/>
          <w:rtl/>
        </w:rPr>
        <w:t>أو برنامج آخر وإصداره</w:t>
      </w:r>
      <w:r w:rsidRPr="0062081E">
        <w:rPr>
          <w:color w:val="000000" w:themeColor="text1"/>
        </w:rPr>
        <w:t>.</w:t>
      </w:r>
    </w:p>
    <w:p w14:paraId="1D9A529B"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lastRenderedPageBreak/>
        <w:t>الثمانون: استخدام استبدال المتوسط يحتاج إلى تبرير</w:t>
      </w:r>
      <w:r w:rsidRPr="0062081E">
        <w:rPr>
          <w:color w:val="000000" w:themeColor="text1"/>
        </w:rPr>
        <w:br/>
      </w:r>
      <w:r w:rsidRPr="0062081E">
        <w:rPr>
          <w:color w:val="000000" w:themeColor="text1"/>
          <w:rtl/>
        </w:rPr>
        <w:t>لا ينبغي تطبيق تعويض المتوسط تلقائياً دون فحص حجم القيم المفقودة ونمطها. يجب توضيح سبب اختيار الطريقة وحدود استخدامها</w:t>
      </w:r>
      <w:r w:rsidRPr="0062081E">
        <w:rPr>
          <w:color w:val="000000" w:themeColor="text1"/>
        </w:rPr>
        <w:t>.</w:t>
      </w:r>
    </w:p>
    <w:p w14:paraId="445FB802"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الحادية والثمانون: عدم توضيح فحص نمط القيم المفقودة</w:t>
      </w:r>
      <w:r w:rsidRPr="0062081E">
        <w:rPr>
          <w:color w:val="000000" w:themeColor="text1"/>
        </w:rPr>
        <w:br/>
      </w:r>
      <w:r w:rsidRPr="0062081E">
        <w:rPr>
          <w:color w:val="000000" w:themeColor="text1"/>
          <w:rtl/>
        </w:rPr>
        <w:t>يجب بيان كيفية التحقق مما إذا كان الفقد عشوائياً أو منظماً قبل اختيار طريقة المعالجة</w:t>
      </w:r>
      <w:r w:rsidRPr="0062081E">
        <w:rPr>
          <w:color w:val="000000" w:themeColor="text1"/>
        </w:rPr>
        <w:t>.</w:t>
      </w:r>
    </w:p>
    <w:p w14:paraId="27230B4E"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الثانية والثمانون: استبعاد الاستجابات المتجاوزة لنسبة 5% يحتاج إلى توضيح</w:t>
      </w:r>
      <w:r w:rsidRPr="0062081E">
        <w:rPr>
          <w:color w:val="000000" w:themeColor="text1"/>
        </w:rPr>
        <w:br/>
      </w:r>
      <w:r w:rsidRPr="0062081E">
        <w:rPr>
          <w:color w:val="000000" w:themeColor="text1"/>
          <w:rtl/>
        </w:rPr>
        <w:t>يجب تحديد هل تحسب النسبة من جميع أسئلة الاستبانة أم من فقرات القياس فقط</w:t>
      </w:r>
      <w:r w:rsidRPr="0062081E">
        <w:rPr>
          <w:color w:val="000000" w:themeColor="text1"/>
        </w:rPr>
        <w:t>.</w:t>
      </w:r>
    </w:p>
    <w:p w14:paraId="06757C5E"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الثالثة والثمانون: استبعاد جميع الاستجابات ذات النمط الواحد غير كافٍ</w:t>
      </w:r>
      <w:r w:rsidRPr="0062081E">
        <w:rPr>
          <w:color w:val="000000" w:themeColor="text1"/>
        </w:rPr>
        <w:br/>
      </w:r>
      <w:r w:rsidRPr="0062081E">
        <w:rPr>
          <w:color w:val="000000" w:themeColor="text1"/>
          <w:rtl/>
        </w:rPr>
        <w:t>قد تكون الاستجابة الموحدة صحيحة فعلاً. يجب استخدام مؤشرات متعددة تشمل زمن الإجابة والتباين والتناقض وعدم الانتباه</w:t>
      </w:r>
      <w:r w:rsidRPr="0062081E">
        <w:rPr>
          <w:color w:val="000000" w:themeColor="text1"/>
        </w:rPr>
        <w:t>.</w:t>
      </w:r>
    </w:p>
    <w:p w14:paraId="6430CB22" w14:textId="77777777" w:rsidR="00BD5A59" w:rsidRPr="0062081E" w:rsidRDefault="00BD5A59" w:rsidP="0062081E">
      <w:pPr>
        <w:pStyle w:val="NormalWeb"/>
        <w:bidi/>
        <w:spacing w:line="360" w:lineRule="auto"/>
        <w:rPr>
          <w:color w:val="000000" w:themeColor="text1"/>
        </w:rPr>
      </w:pPr>
      <w:r w:rsidRPr="0062081E">
        <w:rPr>
          <w:rStyle w:val="Strong"/>
          <w:rFonts w:eastAsiaTheme="majorEastAsia"/>
          <w:color w:val="000000" w:themeColor="text1"/>
          <w:rtl/>
        </w:rPr>
        <w:t>الرابعة والثمانون: معيار زمن الإجابة غير محدد مسبقاً</w:t>
      </w:r>
      <w:r w:rsidRPr="0062081E">
        <w:rPr>
          <w:color w:val="000000" w:themeColor="text1"/>
        </w:rPr>
        <w:br/>
      </w:r>
      <w:r w:rsidRPr="0062081E">
        <w:rPr>
          <w:color w:val="000000" w:themeColor="text1"/>
          <w:rtl/>
        </w:rPr>
        <w:t>ورد أنه سيحدد بثلث متوسط الزمن الفعلي. يجب حسابه من بيانات الاختبار الاستطلاعي وتوثيق الحد المستخدم قبل تحليل البيانات الأساسية</w:t>
      </w:r>
      <w:r w:rsidRPr="0062081E">
        <w:rPr>
          <w:color w:val="000000" w:themeColor="text1"/>
        </w:rPr>
        <w:t>.</w:t>
      </w:r>
    </w:p>
    <w:p w14:paraId="06AB8965"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الخامسة والثمانون: استخدام البريد الإلكتروني أو عنوان الإنترنت يتعارض مع السرية</w:t>
      </w:r>
      <w:r w:rsidRPr="0062081E">
        <w:rPr>
          <w:color w:val="000000" w:themeColor="text1"/>
        </w:rPr>
        <w:br/>
      </w:r>
      <w:r w:rsidRPr="0062081E">
        <w:rPr>
          <w:color w:val="000000" w:themeColor="text1"/>
          <w:rtl/>
        </w:rPr>
        <w:t>ورد أن التكرار سيُفحص باستخدام البريد أو عنوان</w:t>
      </w:r>
      <w:r w:rsidRPr="0062081E">
        <w:rPr>
          <w:color w:val="000000" w:themeColor="text1"/>
        </w:rPr>
        <w:t xml:space="preserve"> IP</w:t>
      </w:r>
      <w:r w:rsidRPr="0062081E">
        <w:rPr>
          <w:color w:val="000000" w:themeColor="text1"/>
          <w:rtl/>
        </w:rPr>
        <w:t>، بينما تؤكد الدراسة عدم جمع بيانات تعريفية. يجب حسم ما سيُجمع فعلياً وتوضيحه للمشارك</w:t>
      </w:r>
      <w:r w:rsidRPr="0062081E">
        <w:rPr>
          <w:color w:val="000000" w:themeColor="text1"/>
        </w:rPr>
        <w:t>.</w:t>
      </w:r>
    </w:p>
    <w:p w14:paraId="7DC2A548"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السادسة والثمانون: عدم توضيح طريقة حماية عناوين الإنترنت والبريد</w:t>
      </w:r>
      <w:r w:rsidRPr="0062081E">
        <w:rPr>
          <w:color w:val="000000" w:themeColor="text1"/>
        </w:rPr>
        <w:br/>
      </w:r>
      <w:r w:rsidRPr="0062081E">
        <w:rPr>
          <w:color w:val="000000" w:themeColor="text1"/>
          <w:rtl/>
        </w:rPr>
        <w:t>إذا جُمعت هذه البيانات، فيجب تحديد سبب الجمع، ومدة الاحتفاظ بها، ومن يستطيع الوصول إليها، ومتى ستُحذف</w:t>
      </w:r>
      <w:r w:rsidRPr="0062081E">
        <w:rPr>
          <w:color w:val="000000" w:themeColor="text1"/>
        </w:rPr>
        <w:t>.</w:t>
      </w:r>
    </w:p>
    <w:p w14:paraId="2F4BB7D4"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السابعة والثمانون: كتابة معيار القيم المتطرفة بصورة غير دقيقة</w:t>
      </w:r>
      <w:r w:rsidRPr="0062081E">
        <w:rPr>
          <w:color w:val="000000" w:themeColor="text1"/>
        </w:rPr>
        <w:br/>
      </w:r>
      <w:r w:rsidRPr="0062081E">
        <w:rPr>
          <w:color w:val="000000" w:themeColor="text1"/>
          <w:rtl/>
        </w:rPr>
        <w:t xml:space="preserve">يجب كتابة معيار القيم المعيارية بصورة واضحة، مثل مراجعة الحالات التي تتجاوز فيها القيمة المطلقة </w:t>
      </w:r>
      <w:proofErr w:type="gramStart"/>
      <w:r w:rsidRPr="0062081E">
        <w:rPr>
          <w:color w:val="000000" w:themeColor="text1"/>
          <w:rtl/>
        </w:rPr>
        <w:t>لـ</w:t>
      </w:r>
      <w:r w:rsidRPr="0062081E">
        <w:rPr>
          <w:color w:val="000000" w:themeColor="text1"/>
        </w:rPr>
        <w:t>Z</w:t>
      </w:r>
      <w:proofErr w:type="gramEnd"/>
      <w:r w:rsidRPr="0062081E">
        <w:rPr>
          <w:color w:val="000000" w:themeColor="text1"/>
        </w:rPr>
        <w:t xml:space="preserve"> </w:t>
      </w:r>
      <w:r w:rsidRPr="0062081E">
        <w:rPr>
          <w:color w:val="000000" w:themeColor="text1"/>
          <w:rtl/>
        </w:rPr>
        <w:t>الحد المحدد</w:t>
      </w:r>
      <w:r w:rsidRPr="0062081E">
        <w:rPr>
          <w:color w:val="000000" w:themeColor="text1"/>
        </w:rPr>
        <w:t>.</w:t>
      </w:r>
    </w:p>
    <w:p w14:paraId="06D81450"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الثامنة والثمانون: عدم توضيح درجات الحرية لمسافة</w:t>
      </w:r>
      <w:r w:rsidRPr="0062081E">
        <w:rPr>
          <w:rStyle w:val="Strong"/>
          <w:rFonts w:eastAsiaTheme="majorEastAsia"/>
          <w:color w:val="000000" w:themeColor="text1"/>
        </w:rPr>
        <w:t xml:space="preserve"> </w:t>
      </w:r>
      <w:proofErr w:type="spellStart"/>
      <w:r w:rsidRPr="0062081E">
        <w:rPr>
          <w:rStyle w:val="Strong"/>
          <w:rFonts w:eastAsiaTheme="majorEastAsia"/>
          <w:color w:val="000000" w:themeColor="text1"/>
        </w:rPr>
        <w:t>Mahalanobis</w:t>
      </w:r>
      <w:proofErr w:type="spellEnd"/>
      <w:r w:rsidRPr="0062081E">
        <w:rPr>
          <w:color w:val="000000" w:themeColor="text1"/>
        </w:rPr>
        <w:br/>
      </w:r>
      <w:r w:rsidRPr="0062081E">
        <w:rPr>
          <w:color w:val="000000" w:themeColor="text1"/>
          <w:rtl/>
        </w:rPr>
        <w:t>يجب تحديد عدد المتغيرات المستخدمة في حساب المسافة والقيمة الحرجة المرتبطة بدرجات الحرية</w:t>
      </w:r>
      <w:r w:rsidRPr="0062081E">
        <w:rPr>
          <w:color w:val="000000" w:themeColor="text1"/>
        </w:rPr>
        <w:t>.</w:t>
      </w:r>
    </w:p>
    <w:p w14:paraId="2A9001CD"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التاسعة والثمانون: عدم تقديم مخطط لتدفق البيانات</w:t>
      </w:r>
      <w:r w:rsidRPr="0062081E">
        <w:rPr>
          <w:color w:val="000000" w:themeColor="text1"/>
        </w:rPr>
        <w:br/>
      </w:r>
      <w:r w:rsidRPr="0062081E">
        <w:rPr>
          <w:color w:val="000000" w:themeColor="text1"/>
          <w:rtl/>
        </w:rPr>
        <w:t>يجب عرض عدد الدعوات، والاستجابات، والحالات غير المؤهلة، والناقصة، والمكررة، والمستبعدة، والعدد النهائي للتحليل</w:t>
      </w:r>
      <w:r w:rsidRPr="0062081E">
        <w:rPr>
          <w:color w:val="000000" w:themeColor="text1"/>
        </w:rPr>
        <w:t>.</w:t>
      </w:r>
    </w:p>
    <w:p w14:paraId="71A1ECE9"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التسعون: عدم تحديد عدد عينات</w:t>
      </w:r>
      <w:r w:rsidRPr="0062081E">
        <w:rPr>
          <w:rStyle w:val="Strong"/>
          <w:rFonts w:eastAsiaTheme="majorEastAsia"/>
          <w:color w:val="000000" w:themeColor="text1"/>
        </w:rPr>
        <w:t xml:space="preserve"> Bootstrap </w:t>
      </w:r>
      <w:r w:rsidRPr="0062081E">
        <w:rPr>
          <w:rStyle w:val="Strong"/>
          <w:rFonts w:eastAsiaTheme="majorEastAsia"/>
          <w:color w:val="000000" w:themeColor="text1"/>
          <w:rtl/>
        </w:rPr>
        <w:t>في جميع الاختبارات بصورة موحدة</w:t>
      </w:r>
      <w:r w:rsidRPr="0062081E">
        <w:rPr>
          <w:color w:val="000000" w:themeColor="text1"/>
        </w:rPr>
        <w:br/>
      </w:r>
      <w:r w:rsidRPr="0062081E">
        <w:rPr>
          <w:color w:val="000000" w:themeColor="text1"/>
          <w:rtl/>
        </w:rPr>
        <w:t>ذُكر 5000 في بعض الأقسام، ويجب التأكد من اعتماده بصورة ثابتة في اختبار المسارات وفترات</w:t>
      </w:r>
      <w:r w:rsidRPr="0062081E">
        <w:rPr>
          <w:color w:val="000000" w:themeColor="text1"/>
        </w:rPr>
        <w:t xml:space="preserve"> HTMT </w:t>
      </w:r>
      <w:r w:rsidRPr="0062081E">
        <w:rPr>
          <w:color w:val="000000" w:themeColor="text1"/>
          <w:rtl/>
        </w:rPr>
        <w:t>والآثار غير المباشرة</w:t>
      </w:r>
      <w:r w:rsidRPr="0062081E">
        <w:rPr>
          <w:color w:val="000000" w:themeColor="text1"/>
        </w:rPr>
        <w:t>.</w:t>
      </w:r>
    </w:p>
    <w:p w14:paraId="6C0AA5DF"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lastRenderedPageBreak/>
        <w:t>الحادية والتسعون: عدم تحديد نوع فترات الثقة</w:t>
      </w:r>
      <w:r w:rsidRPr="0062081E">
        <w:rPr>
          <w:color w:val="000000" w:themeColor="text1"/>
        </w:rPr>
        <w:br/>
      </w:r>
      <w:r w:rsidRPr="0062081E">
        <w:rPr>
          <w:color w:val="000000" w:themeColor="text1"/>
          <w:rtl/>
        </w:rPr>
        <w:t xml:space="preserve">يجب بيان ما إذا كانت فترات الثقة مصححة من التحيز أو </w:t>
      </w:r>
      <w:proofErr w:type="spellStart"/>
      <w:r w:rsidRPr="0062081E">
        <w:rPr>
          <w:color w:val="000000" w:themeColor="text1"/>
          <w:rtl/>
        </w:rPr>
        <w:t>مئينية</w:t>
      </w:r>
      <w:proofErr w:type="spellEnd"/>
      <w:r w:rsidRPr="0062081E">
        <w:rPr>
          <w:color w:val="000000" w:themeColor="text1"/>
          <w:rtl/>
        </w:rPr>
        <w:t>، وتحديد مستوى الثقة المستخدم</w:t>
      </w:r>
      <w:r w:rsidRPr="0062081E">
        <w:rPr>
          <w:color w:val="000000" w:themeColor="text1"/>
        </w:rPr>
        <w:t>.</w:t>
      </w:r>
    </w:p>
    <w:p w14:paraId="6F8A4655"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الثانية والتسعون: عدم توضيح إعدادات</w:t>
      </w:r>
      <w:r w:rsidRPr="0062081E">
        <w:rPr>
          <w:rStyle w:val="Strong"/>
          <w:rFonts w:eastAsiaTheme="majorEastAsia"/>
          <w:color w:val="000000" w:themeColor="text1"/>
        </w:rPr>
        <w:t xml:space="preserve"> Blindfolding</w:t>
      </w:r>
      <w:r w:rsidRPr="0062081E">
        <w:rPr>
          <w:color w:val="000000" w:themeColor="text1"/>
        </w:rPr>
        <w:br/>
      </w:r>
      <w:r w:rsidRPr="0062081E">
        <w:rPr>
          <w:color w:val="000000" w:themeColor="text1"/>
          <w:rtl/>
        </w:rPr>
        <w:t>ذُكرت مسافة الإزاحة 7 دون توضيح سبب اختيارها، والتأكد من أنها لا تقسم عدد المشاهدات بطريقة غير ملائمة</w:t>
      </w:r>
      <w:r w:rsidRPr="0062081E">
        <w:rPr>
          <w:color w:val="000000" w:themeColor="text1"/>
        </w:rPr>
        <w:t>.</w:t>
      </w:r>
    </w:p>
    <w:p w14:paraId="26B9217E"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الثالثة والتسعون: عدم توضيح إعدادات</w:t>
      </w:r>
      <w:r w:rsidRPr="0062081E">
        <w:rPr>
          <w:rStyle w:val="Strong"/>
          <w:rFonts w:eastAsiaTheme="majorEastAsia"/>
          <w:color w:val="000000" w:themeColor="text1"/>
        </w:rPr>
        <w:t xml:space="preserve"> </w:t>
      </w:r>
      <w:proofErr w:type="spellStart"/>
      <w:r w:rsidRPr="0062081E">
        <w:rPr>
          <w:rStyle w:val="Strong"/>
          <w:rFonts w:eastAsiaTheme="majorEastAsia"/>
          <w:color w:val="000000" w:themeColor="text1"/>
        </w:rPr>
        <w:t>PLSpredict</w:t>
      </w:r>
      <w:proofErr w:type="spellEnd"/>
      <w:r w:rsidRPr="0062081E">
        <w:rPr>
          <w:color w:val="000000" w:themeColor="text1"/>
        </w:rPr>
        <w:br/>
      </w:r>
      <w:r w:rsidRPr="0062081E">
        <w:rPr>
          <w:color w:val="000000" w:themeColor="text1"/>
          <w:rtl/>
        </w:rPr>
        <w:t>يجب تحديد عدد الطيات والتكرارات ومعيار مقارنة أخطاء التنبؤ</w:t>
      </w:r>
      <w:r w:rsidRPr="0062081E">
        <w:rPr>
          <w:color w:val="000000" w:themeColor="text1"/>
        </w:rPr>
        <w:t>.</w:t>
      </w:r>
    </w:p>
    <w:p w14:paraId="2746A6EE"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الرابعة والتسعون: عدم معالجة تجمّع المشاركين داخل الجهات</w:t>
      </w:r>
      <w:r w:rsidRPr="0062081E">
        <w:rPr>
          <w:color w:val="000000" w:themeColor="text1"/>
        </w:rPr>
        <w:br/>
      </w:r>
      <w:r w:rsidRPr="0062081E">
        <w:rPr>
          <w:color w:val="000000" w:themeColor="text1"/>
          <w:rtl/>
        </w:rPr>
        <w:t>التحليل المقترح يعامل جميع الاستجابات على أنها مستقلة، رغم احتمال مشاركة عدد كبير من جهة واحدة. يجب فحص أثر التجمع أو إجراء تحليل حساسية</w:t>
      </w:r>
      <w:r w:rsidRPr="0062081E">
        <w:rPr>
          <w:color w:val="000000" w:themeColor="text1"/>
        </w:rPr>
        <w:t>.</w:t>
      </w:r>
    </w:p>
    <w:p w14:paraId="5C7ECF3A"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الخامسة والتسعون: غياب دليل ترميز كامل للبيانات</w:t>
      </w:r>
      <w:r w:rsidRPr="0062081E">
        <w:rPr>
          <w:color w:val="000000" w:themeColor="text1"/>
        </w:rPr>
        <w:br/>
      </w:r>
      <w:r w:rsidRPr="0062081E">
        <w:rPr>
          <w:color w:val="000000" w:themeColor="text1"/>
          <w:rtl/>
        </w:rPr>
        <w:t>يجب إعداد ملف يوضح رموز الفقرات، والقيم، والفقرات العكسية، والمتغيرات المهنية، ومعايير الاستبعاد</w:t>
      </w:r>
      <w:r w:rsidRPr="0062081E">
        <w:rPr>
          <w:color w:val="000000" w:themeColor="text1"/>
        </w:rPr>
        <w:t>.</w:t>
      </w:r>
    </w:p>
    <w:p w14:paraId="07E0CAF3"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السادسة والتسعون: عدم توضيح حفظ النسخة الأصلية من البيانات</w:t>
      </w:r>
      <w:r w:rsidRPr="0062081E">
        <w:rPr>
          <w:color w:val="000000" w:themeColor="text1"/>
        </w:rPr>
        <w:br/>
      </w:r>
      <w:r w:rsidRPr="0062081E">
        <w:rPr>
          <w:color w:val="000000" w:themeColor="text1"/>
          <w:rtl/>
        </w:rPr>
        <w:t>يجب الاحتفاظ بنسخة خام غير معدلة ونسخة منفصلة للتنظيف والتحليل، مع توثيق كل قرار حذف أو تعديل</w:t>
      </w:r>
      <w:r w:rsidRPr="0062081E">
        <w:rPr>
          <w:color w:val="000000" w:themeColor="text1"/>
        </w:rPr>
        <w:t>.</w:t>
      </w:r>
    </w:p>
    <w:p w14:paraId="55D68ED0" w14:textId="77777777" w:rsidR="0062081E" w:rsidRPr="0062081E" w:rsidRDefault="0062081E" w:rsidP="0062081E">
      <w:pPr>
        <w:pStyle w:val="Heading2"/>
        <w:bidi/>
        <w:spacing w:line="360" w:lineRule="auto"/>
        <w:rPr>
          <w:rFonts w:eastAsia="Times New Roman"/>
          <w:color w:val="000000" w:themeColor="text1"/>
        </w:rPr>
      </w:pPr>
      <w:r w:rsidRPr="0062081E">
        <w:rPr>
          <w:rFonts w:eastAsia="Times New Roman"/>
          <w:color w:val="000000" w:themeColor="text1"/>
          <w:rtl/>
        </w:rPr>
        <w:t>سادساً: نواقص الاعتبارات الأخلاقية</w:t>
      </w:r>
    </w:p>
    <w:p w14:paraId="2331A6CB" w14:textId="77777777" w:rsidR="0062081E" w:rsidRPr="0062081E" w:rsidRDefault="0062081E" w:rsidP="0062081E">
      <w:pPr>
        <w:pStyle w:val="NormalWeb"/>
        <w:bidi/>
        <w:spacing w:line="360" w:lineRule="auto"/>
        <w:rPr>
          <w:rFonts w:eastAsiaTheme="minorHAnsi"/>
          <w:color w:val="000000" w:themeColor="text1"/>
        </w:rPr>
      </w:pPr>
      <w:r w:rsidRPr="0062081E">
        <w:rPr>
          <w:rStyle w:val="Strong"/>
          <w:rFonts w:eastAsiaTheme="majorEastAsia"/>
          <w:color w:val="000000" w:themeColor="text1"/>
          <w:rtl/>
        </w:rPr>
        <w:t>السابعة والتسعون: رقم الموافقة الأخلاقية غير مدرج</w:t>
      </w:r>
      <w:r w:rsidRPr="0062081E">
        <w:rPr>
          <w:color w:val="000000" w:themeColor="text1"/>
        </w:rPr>
        <w:br/>
      </w:r>
      <w:r w:rsidRPr="0062081E">
        <w:rPr>
          <w:color w:val="000000" w:themeColor="text1"/>
          <w:rtl/>
        </w:rPr>
        <w:t>ورد أنه سيضاف بعد صدور الموافقة. يجب عدم بدء جمع البيانات قبل الحصول عليها وإدراج رقمها وتاريخها</w:t>
      </w:r>
      <w:r w:rsidRPr="0062081E">
        <w:rPr>
          <w:color w:val="000000" w:themeColor="text1"/>
        </w:rPr>
        <w:t>.</w:t>
      </w:r>
    </w:p>
    <w:p w14:paraId="42D87C6F"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الثامنة والتسعون: عدم ذكر الموافقات الميدانية من الجهات المشاركة</w:t>
      </w:r>
      <w:r w:rsidRPr="0062081E">
        <w:rPr>
          <w:color w:val="000000" w:themeColor="text1"/>
        </w:rPr>
        <w:br/>
      </w:r>
      <w:r w:rsidRPr="0062081E">
        <w:rPr>
          <w:color w:val="000000" w:themeColor="text1"/>
          <w:rtl/>
        </w:rPr>
        <w:t>يجب الحصول على خطابات من شركة المياه الوطنية والهيئة والجهات الأخرى التي سيجري التواصل مع موظفيها</w:t>
      </w:r>
      <w:r w:rsidRPr="0062081E">
        <w:rPr>
          <w:color w:val="000000" w:themeColor="text1"/>
        </w:rPr>
        <w:t>.</w:t>
      </w:r>
    </w:p>
    <w:p w14:paraId="062A7B21"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التاسعة والتسعون: الموافقة على تسجيل المقابلات غير مذكورة</w:t>
      </w:r>
      <w:r w:rsidRPr="0062081E">
        <w:rPr>
          <w:color w:val="000000" w:themeColor="text1"/>
        </w:rPr>
        <w:br/>
      </w:r>
      <w:r w:rsidRPr="0062081E">
        <w:rPr>
          <w:color w:val="000000" w:themeColor="text1"/>
          <w:rtl/>
        </w:rPr>
        <w:t>يجب إضافة موافقة مستقلة وواضحة على التسجيل الصوتي، إن كان التسجيل سيستخدم</w:t>
      </w:r>
      <w:r w:rsidRPr="0062081E">
        <w:rPr>
          <w:color w:val="000000" w:themeColor="text1"/>
        </w:rPr>
        <w:t>.</w:t>
      </w:r>
    </w:p>
    <w:p w14:paraId="26C25B6F"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المائة: عدم توضيح حق المشارك في رفض التسجيل</w:t>
      </w:r>
      <w:r w:rsidRPr="0062081E">
        <w:rPr>
          <w:color w:val="000000" w:themeColor="text1"/>
        </w:rPr>
        <w:br/>
      </w:r>
      <w:r w:rsidRPr="0062081E">
        <w:rPr>
          <w:color w:val="000000" w:themeColor="text1"/>
          <w:rtl/>
        </w:rPr>
        <w:t>يجب بيان هل يمكن إجراء المقابلة مع تدوين الملاحظات فقط إذا رفض المشارك التسجيل</w:t>
      </w:r>
      <w:r w:rsidRPr="0062081E">
        <w:rPr>
          <w:color w:val="000000" w:themeColor="text1"/>
        </w:rPr>
        <w:t>.</w:t>
      </w:r>
    </w:p>
    <w:p w14:paraId="093A7EE1"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الحادية بعد المائة: مدة حفظ البيانات تحتاج إلى توثيق</w:t>
      </w:r>
      <w:r w:rsidRPr="0062081E">
        <w:rPr>
          <w:color w:val="000000" w:themeColor="text1"/>
        </w:rPr>
        <w:br/>
      </w:r>
      <w:r w:rsidRPr="0062081E">
        <w:rPr>
          <w:color w:val="000000" w:themeColor="text1"/>
          <w:rtl/>
        </w:rPr>
        <w:t>ذُكر الاحتفاظ بها مدة لا تقل عن خمس سنوات وفق سياسة الجامعة. يجب توثيق السياسة المعتمدة والتأكد من المدة المطلوبة</w:t>
      </w:r>
      <w:r w:rsidRPr="0062081E">
        <w:rPr>
          <w:color w:val="000000" w:themeColor="text1"/>
        </w:rPr>
        <w:t>.</w:t>
      </w:r>
    </w:p>
    <w:p w14:paraId="24223124"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t>الثانية بعد المائة: عدم تحديد طريقة الإتلاف النهائي</w:t>
      </w:r>
      <w:r w:rsidRPr="0062081E">
        <w:rPr>
          <w:color w:val="000000" w:themeColor="text1"/>
        </w:rPr>
        <w:br/>
      </w:r>
      <w:r w:rsidRPr="0062081E">
        <w:rPr>
          <w:color w:val="000000" w:themeColor="text1"/>
          <w:rtl/>
        </w:rPr>
        <w:t>يجب بيان كيفية حذف الملفات الإلكترونية والتسجيلات الصوتية وأي نسخ احتياطية بعد انتهاء مدة الاحتفاظ</w:t>
      </w:r>
      <w:r w:rsidRPr="0062081E">
        <w:rPr>
          <w:color w:val="000000" w:themeColor="text1"/>
        </w:rPr>
        <w:t>.</w:t>
      </w:r>
    </w:p>
    <w:p w14:paraId="4EC3FCC8" w14:textId="77777777" w:rsidR="0062081E" w:rsidRPr="0062081E" w:rsidRDefault="0062081E" w:rsidP="0062081E">
      <w:pPr>
        <w:pStyle w:val="NormalWeb"/>
        <w:bidi/>
        <w:spacing w:line="360" w:lineRule="auto"/>
        <w:rPr>
          <w:color w:val="000000" w:themeColor="text1"/>
        </w:rPr>
      </w:pPr>
      <w:r w:rsidRPr="0062081E">
        <w:rPr>
          <w:rStyle w:val="Strong"/>
          <w:rFonts w:eastAsiaTheme="majorEastAsia"/>
          <w:color w:val="000000" w:themeColor="text1"/>
          <w:rtl/>
        </w:rPr>
        <w:lastRenderedPageBreak/>
        <w:t>الثالثة بعد المائة: عدم توضيح مكان تخزين التسجيلات والنصوص</w:t>
      </w:r>
      <w:r w:rsidRPr="0062081E">
        <w:rPr>
          <w:color w:val="000000" w:themeColor="text1"/>
        </w:rPr>
        <w:br/>
      </w:r>
      <w:r w:rsidRPr="0062081E">
        <w:rPr>
          <w:color w:val="000000" w:themeColor="text1"/>
          <w:rtl/>
        </w:rPr>
        <w:t>يجب تحديد وسيلة التخزين والتشفير وفصل بيانات الاتصال عن ملفات الإجابات والتحليل</w:t>
      </w:r>
      <w:r w:rsidRPr="0062081E">
        <w:rPr>
          <w:color w:val="000000" w:themeColor="text1"/>
        </w:rPr>
        <w:t>.</w:t>
      </w:r>
    </w:p>
    <w:p w14:paraId="4E1CE682" w14:textId="305D215B" w:rsidR="00D9499A" w:rsidRPr="0062081E" w:rsidRDefault="00D9499A" w:rsidP="0062081E">
      <w:pPr>
        <w:bidi/>
        <w:spacing w:line="360" w:lineRule="auto"/>
        <w:rPr>
          <w:color w:val="000000" w:themeColor="text1"/>
          <w:rtl/>
        </w:rPr>
      </w:pPr>
      <w:r w:rsidRPr="0062081E">
        <w:rPr>
          <w:color w:val="000000" w:themeColor="text1"/>
          <w:rtl/>
        </w:rPr>
        <w:t xml:space="preserve"> </w:t>
      </w:r>
    </w:p>
    <w:sectPr w:rsidR="00D9499A" w:rsidRPr="0062081E" w:rsidSect="00DD73BF">
      <w:headerReference w:type="even" r:id="rId8"/>
      <w:headerReference w:type="default" r:id="rId9"/>
      <w:footerReference w:type="even" r:id="rId10"/>
      <w:footerReference w:type="default" r:id="rId11"/>
      <w:headerReference w:type="first" r:id="rId12"/>
      <w:footerReference w:type="first" r:id="rId13"/>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E43A2" w14:textId="77777777" w:rsidR="00A37D5D" w:rsidRDefault="00A37D5D" w:rsidP="00EF73E8">
      <w:pPr>
        <w:spacing w:after="0" w:line="240" w:lineRule="auto"/>
      </w:pPr>
      <w:r>
        <w:separator/>
      </w:r>
    </w:p>
  </w:endnote>
  <w:endnote w:type="continuationSeparator" w:id="0">
    <w:p w14:paraId="47A91275" w14:textId="77777777" w:rsidR="00A37D5D" w:rsidRDefault="00A37D5D"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Traditional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Sylfaen">
    <w:altName w:val="Times New Roman"/>
    <w:panose1 w:val="00000000000000000000"/>
    <w:charset w:val="4D"/>
    <w:family w:val="roman"/>
    <w:notTrueType/>
    <w:pitch w:val="variable"/>
    <w:sig w:usb0="00C00283" w:usb1="00000000" w:usb2="00000000" w:usb3="00000000" w:csb0="0000000D" w:csb1="00000000"/>
  </w:font>
  <w:font w:name="Sakkal Majalla">
    <w:altName w:val="Times New Roman"/>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0207C" w14:textId="77777777" w:rsidR="00FA5BE8" w:rsidRDefault="00FA5BE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sidR="0062081E" w:rsidRPr="0062081E">
          <w:rPr>
            <w:rFonts w:cs="Calibri"/>
            <w:noProof/>
            <w:lang w:val="ar-SA"/>
          </w:rPr>
          <w:t>1</w:t>
        </w:r>
        <w:r>
          <w:fldChar w:fldCharType="end"/>
        </w:r>
      </w:p>
    </w:sdtContent>
  </w:sdt>
  <w:p w14:paraId="657A6BF4" w14:textId="3628F9FD" w:rsidR="00957446" w:rsidRDefault="0095744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61AA2" w14:textId="77777777" w:rsidR="00FA5BE8" w:rsidRDefault="00FA5BE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43A38" w14:textId="77777777" w:rsidR="00A37D5D" w:rsidRDefault="00A37D5D" w:rsidP="00EF73E8">
      <w:pPr>
        <w:spacing w:after="0" w:line="240" w:lineRule="auto"/>
      </w:pPr>
      <w:r>
        <w:separator/>
      </w:r>
    </w:p>
  </w:footnote>
  <w:footnote w:type="continuationSeparator" w:id="0">
    <w:p w14:paraId="05DB1622" w14:textId="77777777" w:rsidR="00A37D5D" w:rsidRDefault="00A37D5D" w:rsidP="00EF73E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04BE2" w14:textId="6E568697" w:rsidR="00F76D05" w:rsidRDefault="00965D4C" w:rsidP="00F76D05">
    <w:pPr>
      <w:pStyle w:val="Header"/>
      <w:jc w:val="center"/>
    </w:pPr>
    <w:fldSimple w:instr=" DOCPROPERTY SecloreClassificationHeaderTextValue \* MERGEFORMAT ">
      <w:r w:rsidR="00F76D05" w:rsidRPr="00F76D05">
        <w:rPr>
          <w:color w:val="91C47D"/>
          <w:sz w:val="24"/>
        </w:rPr>
        <w:t xml:space="preserve">Public / </w:t>
      </w:r>
      <w:r w:rsidR="00F76D05" w:rsidRPr="00F76D05">
        <w:rPr>
          <w:color w:val="91C47D"/>
          <w:sz w:val="24"/>
          <w:rtl/>
        </w:rPr>
        <w:t>عام</w:t>
      </w:r>
    </w:fldSimple>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ECFF9" w14:textId="6B581AC1" w:rsidR="00FA5BE8" w:rsidRDefault="00A37D5D" w:rsidP="00FA5BE8">
    <w:pPr>
      <w:pStyle w:val="Header"/>
      <w:jc w:val="center"/>
    </w:pPr>
    <w:r>
      <w:fldChar w:fldCharType="begin"/>
    </w:r>
    <w:r>
      <w:instrText xml:space="preserve"> DOCPROPERTY SecloreClassificationHeaderTextValue \* MERGEFORMAT </w:instrText>
    </w:r>
    <w:r>
      <w:fldChar w:fldCharType="separate"/>
    </w:r>
    <w:r w:rsidR="00FA5BE8" w:rsidRPr="00FA5BE8">
      <w:rPr>
        <w:color w:val="91C47D"/>
        <w:sz w:val="24"/>
      </w:rPr>
      <w:t xml:space="preserve">Public / </w:t>
    </w:r>
    <w:r w:rsidR="00FA5BE8" w:rsidRPr="00FA5BE8">
      <w:rPr>
        <w:color w:val="91C47D"/>
        <w:sz w:val="24"/>
        <w:rtl/>
      </w:rPr>
      <w:t>عام</w:t>
    </w:r>
    <w:r>
      <w:rPr>
        <w:color w:val="91C47D"/>
        <w:sz w:val="24"/>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C1178" w14:textId="5987B16D" w:rsidR="00F76D05" w:rsidRDefault="00A37D5D"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60E14"/>
    <w:multiLevelType w:val="hybridMultilevel"/>
    <w:tmpl w:val="B192A08A"/>
    <w:lvl w:ilvl="0" w:tplc="B7805DE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DF2767"/>
    <w:multiLevelType w:val="hybridMultilevel"/>
    <w:tmpl w:val="32460B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8E2712"/>
    <w:multiLevelType w:val="multilevel"/>
    <w:tmpl w:val="73AA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E57EEF"/>
    <w:multiLevelType w:val="hybridMultilevel"/>
    <w:tmpl w:val="E4E0E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3425C4"/>
    <w:multiLevelType w:val="hybridMultilevel"/>
    <w:tmpl w:val="DC100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A57384D"/>
    <w:multiLevelType w:val="hybridMultilevel"/>
    <w:tmpl w:val="AC665A6A"/>
    <w:lvl w:ilvl="0" w:tplc="A8126B84">
      <w:start w:val="1"/>
      <w:numFmt w:val="arabicAlpha"/>
      <w:lvlText w:val="%1-"/>
      <w:lvlJc w:val="center"/>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162A3A"/>
    <w:multiLevelType w:val="multilevel"/>
    <w:tmpl w:val="6728FC2E"/>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nsid w:val="2436687D"/>
    <w:multiLevelType w:val="multilevel"/>
    <w:tmpl w:val="21B68C4C"/>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raditional Arabic" w:eastAsiaTheme="minorHAnsi" w:hAnsi="Traditional Arabic" w:cs="Traditional Arabic"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513AE8"/>
    <w:multiLevelType w:val="hybridMultilevel"/>
    <w:tmpl w:val="F31E4A28"/>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AD86D58"/>
    <w:multiLevelType w:val="multilevel"/>
    <w:tmpl w:val="040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452E37"/>
    <w:multiLevelType w:val="multilevel"/>
    <w:tmpl w:val="CD16585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102D7C"/>
    <w:multiLevelType w:val="hybridMultilevel"/>
    <w:tmpl w:val="499A3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555E12"/>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B885E77"/>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2661BA"/>
    <w:multiLevelType w:val="hybridMultilevel"/>
    <w:tmpl w:val="8F067D1A"/>
    <w:lvl w:ilvl="0" w:tplc="FFFFFFFF">
      <w:numFmt w:val="bullet"/>
      <w:lvlText w:val="–"/>
      <w:lvlJc w:val="left"/>
      <w:pPr>
        <w:ind w:left="720" w:hanging="360"/>
      </w:pPr>
      <w:rPr>
        <w:rFonts w:ascii="Sylfaen" w:eastAsiaTheme="minorHAnsi" w:hAnsi="Sylfaen" w:cs="Sakkal Majalla" w:hint="default"/>
      </w:rPr>
    </w:lvl>
    <w:lvl w:ilvl="1" w:tplc="4B30FAEA">
      <w:numFmt w:val="bullet"/>
      <w:lvlText w:val="–"/>
      <w:lvlJc w:val="left"/>
      <w:pPr>
        <w:ind w:left="1440" w:hanging="360"/>
      </w:pPr>
      <w:rPr>
        <w:rFonts w:ascii="Sylfaen" w:eastAsiaTheme="minorHAnsi" w:hAnsi="Sylfaen"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4"/>
  </w:num>
  <w:num w:numId="2">
    <w:abstractNumId w:val="1"/>
  </w:num>
  <w:num w:numId="3">
    <w:abstractNumId w:val="19"/>
  </w:num>
  <w:num w:numId="4">
    <w:abstractNumId w:val="25"/>
  </w:num>
  <w:num w:numId="5">
    <w:abstractNumId w:val="35"/>
  </w:num>
  <w:num w:numId="6">
    <w:abstractNumId w:val="26"/>
  </w:num>
  <w:num w:numId="7">
    <w:abstractNumId w:val="31"/>
  </w:num>
  <w:num w:numId="8">
    <w:abstractNumId w:val="27"/>
  </w:num>
  <w:num w:numId="9">
    <w:abstractNumId w:val="18"/>
  </w:num>
  <w:num w:numId="10">
    <w:abstractNumId w:val="29"/>
  </w:num>
  <w:num w:numId="11">
    <w:abstractNumId w:val="10"/>
  </w:num>
  <w:num w:numId="12">
    <w:abstractNumId w:val="34"/>
  </w:num>
  <w:num w:numId="13">
    <w:abstractNumId w:val="15"/>
  </w:num>
  <w:num w:numId="14">
    <w:abstractNumId w:val="20"/>
  </w:num>
  <w:num w:numId="15">
    <w:abstractNumId w:val="7"/>
  </w:num>
  <w:num w:numId="16">
    <w:abstractNumId w:val="4"/>
  </w:num>
  <w:num w:numId="17">
    <w:abstractNumId w:val="5"/>
  </w:num>
  <w:num w:numId="18">
    <w:abstractNumId w:val="36"/>
  </w:num>
  <w:num w:numId="19">
    <w:abstractNumId w:val="23"/>
  </w:num>
  <w:num w:numId="20">
    <w:abstractNumId w:val="32"/>
  </w:num>
  <w:num w:numId="21">
    <w:abstractNumId w:val="30"/>
  </w:num>
  <w:num w:numId="22">
    <w:abstractNumId w:val="13"/>
  </w:num>
  <w:num w:numId="23">
    <w:abstractNumId w:val="17"/>
  </w:num>
  <w:num w:numId="24">
    <w:abstractNumId w:val="28"/>
  </w:num>
  <w:num w:numId="25">
    <w:abstractNumId w:val="11"/>
  </w:num>
  <w:num w:numId="26">
    <w:abstractNumId w:val="22"/>
  </w:num>
  <w:num w:numId="27">
    <w:abstractNumId w:val="3"/>
  </w:num>
  <w:num w:numId="28">
    <w:abstractNumId w:val="16"/>
  </w:num>
  <w:num w:numId="29">
    <w:abstractNumId w:val="12"/>
  </w:num>
  <w:num w:numId="30">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2"/>
  </w:num>
  <w:num w:numId="33">
    <w:abstractNumId w:val="38"/>
  </w:num>
  <w:num w:numId="34">
    <w:abstractNumId w:val="6"/>
  </w:num>
  <w:num w:numId="35">
    <w:abstractNumId w:val="14"/>
  </w:num>
  <w:num w:numId="36">
    <w:abstractNumId w:val="8"/>
  </w:num>
  <w:num w:numId="37">
    <w:abstractNumId w:val="9"/>
  </w:num>
  <w:num w:numId="38">
    <w:abstractNumId w:val="21"/>
  </w:num>
  <w:num w:numId="39">
    <w:abstractNumId w:val="37"/>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3E8"/>
    <w:rsid w:val="00000989"/>
    <w:rsid w:val="00005560"/>
    <w:rsid w:val="000126FC"/>
    <w:rsid w:val="00015D0D"/>
    <w:rsid w:val="00016ACC"/>
    <w:rsid w:val="00026ED0"/>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86E9B"/>
    <w:rsid w:val="000916B0"/>
    <w:rsid w:val="00092BEE"/>
    <w:rsid w:val="000A2386"/>
    <w:rsid w:val="000B4BB8"/>
    <w:rsid w:val="000C19EE"/>
    <w:rsid w:val="000C69AA"/>
    <w:rsid w:val="000C7B64"/>
    <w:rsid w:val="000D327A"/>
    <w:rsid w:val="000D59F9"/>
    <w:rsid w:val="000E07B7"/>
    <w:rsid w:val="000E60AF"/>
    <w:rsid w:val="000E723C"/>
    <w:rsid w:val="001009FB"/>
    <w:rsid w:val="00100C7F"/>
    <w:rsid w:val="00104969"/>
    <w:rsid w:val="00110146"/>
    <w:rsid w:val="00113560"/>
    <w:rsid w:val="001142D3"/>
    <w:rsid w:val="00115DA5"/>
    <w:rsid w:val="0011627E"/>
    <w:rsid w:val="00122395"/>
    <w:rsid w:val="00122559"/>
    <w:rsid w:val="00125BA7"/>
    <w:rsid w:val="00132504"/>
    <w:rsid w:val="001334B2"/>
    <w:rsid w:val="00134549"/>
    <w:rsid w:val="00135343"/>
    <w:rsid w:val="00136BB7"/>
    <w:rsid w:val="001444C5"/>
    <w:rsid w:val="00152648"/>
    <w:rsid w:val="0016669C"/>
    <w:rsid w:val="001701AC"/>
    <w:rsid w:val="00181424"/>
    <w:rsid w:val="00184E6C"/>
    <w:rsid w:val="00185576"/>
    <w:rsid w:val="001858F4"/>
    <w:rsid w:val="0018654C"/>
    <w:rsid w:val="00190DCA"/>
    <w:rsid w:val="001A533E"/>
    <w:rsid w:val="001A5D3B"/>
    <w:rsid w:val="001C0636"/>
    <w:rsid w:val="001C1505"/>
    <w:rsid w:val="001D3C9C"/>
    <w:rsid w:val="001D4365"/>
    <w:rsid w:val="001D6F1F"/>
    <w:rsid w:val="001F0E67"/>
    <w:rsid w:val="001F16AB"/>
    <w:rsid w:val="001F60F6"/>
    <w:rsid w:val="0020169F"/>
    <w:rsid w:val="00212302"/>
    <w:rsid w:val="00212752"/>
    <w:rsid w:val="002131A7"/>
    <w:rsid w:val="00222585"/>
    <w:rsid w:val="00224153"/>
    <w:rsid w:val="00227FF9"/>
    <w:rsid w:val="0023028C"/>
    <w:rsid w:val="00231298"/>
    <w:rsid w:val="00234102"/>
    <w:rsid w:val="002372BE"/>
    <w:rsid w:val="0024230D"/>
    <w:rsid w:val="00253EFE"/>
    <w:rsid w:val="00254612"/>
    <w:rsid w:val="002571A9"/>
    <w:rsid w:val="00262136"/>
    <w:rsid w:val="002631F0"/>
    <w:rsid w:val="002632AC"/>
    <w:rsid w:val="00263629"/>
    <w:rsid w:val="002660A5"/>
    <w:rsid w:val="00275261"/>
    <w:rsid w:val="00275777"/>
    <w:rsid w:val="002778F5"/>
    <w:rsid w:val="00282B19"/>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16C1"/>
    <w:rsid w:val="002E2B29"/>
    <w:rsid w:val="002E5806"/>
    <w:rsid w:val="002E6F1E"/>
    <w:rsid w:val="002F56A4"/>
    <w:rsid w:val="002F5E16"/>
    <w:rsid w:val="00301E61"/>
    <w:rsid w:val="00301FBE"/>
    <w:rsid w:val="0030528A"/>
    <w:rsid w:val="003076A6"/>
    <w:rsid w:val="00307F25"/>
    <w:rsid w:val="0031602B"/>
    <w:rsid w:val="00323275"/>
    <w:rsid w:val="00332C9C"/>
    <w:rsid w:val="003347EB"/>
    <w:rsid w:val="00336846"/>
    <w:rsid w:val="00344896"/>
    <w:rsid w:val="003522B4"/>
    <w:rsid w:val="0035660B"/>
    <w:rsid w:val="0035694D"/>
    <w:rsid w:val="00362B79"/>
    <w:rsid w:val="00367AE5"/>
    <w:rsid w:val="00370642"/>
    <w:rsid w:val="00373669"/>
    <w:rsid w:val="00375A8A"/>
    <w:rsid w:val="00377089"/>
    <w:rsid w:val="003819F3"/>
    <w:rsid w:val="003915EA"/>
    <w:rsid w:val="00391CE1"/>
    <w:rsid w:val="003957AC"/>
    <w:rsid w:val="003A12BC"/>
    <w:rsid w:val="003A27DC"/>
    <w:rsid w:val="003A4369"/>
    <w:rsid w:val="003A69C7"/>
    <w:rsid w:val="003A72FB"/>
    <w:rsid w:val="003B182E"/>
    <w:rsid w:val="003C682A"/>
    <w:rsid w:val="003D0407"/>
    <w:rsid w:val="003D13A5"/>
    <w:rsid w:val="003D3191"/>
    <w:rsid w:val="003D4320"/>
    <w:rsid w:val="003D75CD"/>
    <w:rsid w:val="003E662B"/>
    <w:rsid w:val="003F2C26"/>
    <w:rsid w:val="003F3C0F"/>
    <w:rsid w:val="004024BF"/>
    <w:rsid w:val="00402BDA"/>
    <w:rsid w:val="004032F1"/>
    <w:rsid w:val="00403982"/>
    <w:rsid w:val="00405DF3"/>
    <w:rsid w:val="0040691A"/>
    <w:rsid w:val="00410DBD"/>
    <w:rsid w:val="00423B77"/>
    <w:rsid w:val="00423F99"/>
    <w:rsid w:val="0042454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C0229"/>
    <w:rsid w:val="004D466C"/>
    <w:rsid w:val="004D47BA"/>
    <w:rsid w:val="004D57BD"/>
    <w:rsid w:val="004F072C"/>
    <w:rsid w:val="004F591B"/>
    <w:rsid w:val="00502782"/>
    <w:rsid w:val="005053B9"/>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4C98"/>
    <w:rsid w:val="005503DE"/>
    <w:rsid w:val="005506F9"/>
    <w:rsid w:val="005518CA"/>
    <w:rsid w:val="00555593"/>
    <w:rsid w:val="00557CFB"/>
    <w:rsid w:val="00564AAF"/>
    <w:rsid w:val="00566E72"/>
    <w:rsid w:val="00571520"/>
    <w:rsid w:val="0057361B"/>
    <w:rsid w:val="005751CE"/>
    <w:rsid w:val="00575738"/>
    <w:rsid w:val="005803B1"/>
    <w:rsid w:val="00581E36"/>
    <w:rsid w:val="00585840"/>
    <w:rsid w:val="00585FAC"/>
    <w:rsid w:val="00591B4C"/>
    <w:rsid w:val="00592810"/>
    <w:rsid w:val="00592A30"/>
    <w:rsid w:val="005A0643"/>
    <w:rsid w:val="005A1C25"/>
    <w:rsid w:val="005A4F05"/>
    <w:rsid w:val="005B62C3"/>
    <w:rsid w:val="005C793B"/>
    <w:rsid w:val="005D62DF"/>
    <w:rsid w:val="005E719B"/>
    <w:rsid w:val="005E771F"/>
    <w:rsid w:val="005F4901"/>
    <w:rsid w:val="005F5D84"/>
    <w:rsid w:val="005F63F8"/>
    <w:rsid w:val="006049B7"/>
    <w:rsid w:val="006053B6"/>
    <w:rsid w:val="00607073"/>
    <w:rsid w:val="006125C5"/>
    <w:rsid w:val="00615194"/>
    <w:rsid w:val="00615351"/>
    <w:rsid w:val="00617052"/>
    <w:rsid w:val="0062081E"/>
    <w:rsid w:val="00621286"/>
    <w:rsid w:val="00631A3A"/>
    <w:rsid w:val="0063303B"/>
    <w:rsid w:val="0063343A"/>
    <w:rsid w:val="006368A1"/>
    <w:rsid w:val="00650C8F"/>
    <w:rsid w:val="0065423A"/>
    <w:rsid w:val="00656F4C"/>
    <w:rsid w:val="00662631"/>
    <w:rsid w:val="00663A7E"/>
    <w:rsid w:val="00665FBA"/>
    <w:rsid w:val="00695D4D"/>
    <w:rsid w:val="006A3219"/>
    <w:rsid w:val="006A68CE"/>
    <w:rsid w:val="006A7286"/>
    <w:rsid w:val="006A7BEC"/>
    <w:rsid w:val="006B126E"/>
    <w:rsid w:val="006B5F0B"/>
    <w:rsid w:val="006B7903"/>
    <w:rsid w:val="006D0A9E"/>
    <w:rsid w:val="006D248B"/>
    <w:rsid w:val="006D40D0"/>
    <w:rsid w:val="006D5E08"/>
    <w:rsid w:val="006D6AD0"/>
    <w:rsid w:val="006E28E3"/>
    <w:rsid w:val="006E3F93"/>
    <w:rsid w:val="006E62F4"/>
    <w:rsid w:val="006E72FA"/>
    <w:rsid w:val="006F0770"/>
    <w:rsid w:val="006F2EF6"/>
    <w:rsid w:val="00701F8E"/>
    <w:rsid w:val="00703104"/>
    <w:rsid w:val="00707F16"/>
    <w:rsid w:val="0071100C"/>
    <w:rsid w:val="007234ED"/>
    <w:rsid w:val="0072496D"/>
    <w:rsid w:val="00732E2D"/>
    <w:rsid w:val="00733581"/>
    <w:rsid w:val="00750FF7"/>
    <w:rsid w:val="0076029F"/>
    <w:rsid w:val="00763AA6"/>
    <w:rsid w:val="00766D67"/>
    <w:rsid w:val="0077181F"/>
    <w:rsid w:val="00772D35"/>
    <w:rsid w:val="00772D4B"/>
    <w:rsid w:val="00775202"/>
    <w:rsid w:val="00776611"/>
    <w:rsid w:val="007768AC"/>
    <w:rsid w:val="00777BCB"/>
    <w:rsid w:val="007847A8"/>
    <w:rsid w:val="0078589F"/>
    <w:rsid w:val="00793489"/>
    <w:rsid w:val="007B1873"/>
    <w:rsid w:val="007B5969"/>
    <w:rsid w:val="007B684F"/>
    <w:rsid w:val="007B6D22"/>
    <w:rsid w:val="007C08A5"/>
    <w:rsid w:val="007C43D1"/>
    <w:rsid w:val="007C63F8"/>
    <w:rsid w:val="007E0E57"/>
    <w:rsid w:val="007E17FC"/>
    <w:rsid w:val="007E3D13"/>
    <w:rsid w:val="007E62E7"/>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36D4"/>
    <w:rsid w:val="00845959"/>
    <w:rsid w:val="00857EE7"/>
    <w:rsid w:val="00861030"/>
    <w:rsid w:val="00862207"/>
    <w:rsid w:val="008629C3"/>
    <w:rsid w:val="0086791C"/>
    <w:rsid w:val="0088680E"/>
    <w:rsid w:val="0089262F"/>
    <w:rsid w:val="00892E48"/>
    <w:rsid w:val="008A0649"/>
    <w:rsid w:val="008A0930"/>
    <w:rsid w:val="008A2DDF"/>
    <w:rsid w:val="008A30BC"/>
    <w:rsid w:val="008A656A"/>
    <w:rsid w:val="008B06A9"/>
    <w:rsid w:val="008B1E32"/>
    <w:rsid w:val="008B7F83"/>
    <w:rsid w:val="008C3BC4"/>
    <w:rsid w:val="008C3C6D"/>
    <w:rsid w:val="008C638A"/>
    <w:rsid w:val="008C6A58"/>
    <w:rsid w:val="008D14D9"/>
    <w:rsid w:val="008D16F8"/>
    <w:rsid w:val="008D3F34"/>
    <w:rsid w:val="008D42EB"/>
    <w:rsid w:val="008D7BB9"/>
    <w:rsid w:val="008E1285"/>
    <w:rsid w:val="008E25EB"/>
    <w:rsid w:val="008E2FD1"/>
    <w:rsid w:val="008E35A9"/>
    <w:rsid w:val="008F09A6"/>
    <w:rsid w:val="008F24FC"/>
    <w:rsid w:val="008F3BF7"/>
    <w:rsid w:val="00906D56"/>
    <w:rsid w:val="00907B87"/>
    <w:rsid w:val="0091491C"/>
    <w:rsid w:val="00923BEC"/>
    <w:rsid w:val="00931B85"/>
    <w:rsid w:val="009363AF"/>
    <w:rsid w:val="00937F3C"/>
    <w:rsid w:val="00943C1C"/>
    <w:rsid w:val="00946977"/>
    <w:rsid w:val="009536B2"/>
    <w:rsid w:val="00953DC2"/>
    <w:rsid w:val="00954DA1"/>
    <w:rsid w:val="00957446"/>
    <w:rsid w:val="009633D5"/>
    <w:rsid w:val="00965D4C"/>
    <w:rsid w:val="00971831"/>
    <w:rsid w:val="00974EEC"/>
    <w:rsid w:val="00983D21"/>
    <w:rsid w:val="00984B1D"/>
    <w:rsid w:val="00993C30"/>
    <w:rsid w:val="00995143"/>
    <w:rsid w:val="00995A70"/>
    <w:rsid w:val="00997171"/>
    <w:rsid w:val="009A00A3"/>
    <w:rsid w:val="009A4EC4"/>
    <w:rsid w:val="009A6C58"/>
    <w:rsid w:val="009A71C7"/>
    <w:rsid w:val="009B16D8"/>
    <w:rsid w:val="009B2799"/>
    <w:rsid w:val="009B3E68"/>
    <w:rsid w:val="009D0DFF"/>
    <w:rsid w:val="009D2494"/>
    <w:rsid w:val="009D2C37"/>
    <w:rsid w:val="009E5F19"/>
    <w:rsid w:val="009F6631"/>
    <w:rsid w:val="00A00986"/>
    <w:rsid w:val="00A018C5"/>
    <w:rsid w:val="00A06CDC"/>
    <w:rsid w:val="00A14B18"/>
    <w:rsid w:val="00A16743"/>
    <w:rsid w:val="00A31AF3"/>
    <w:rsid w:val="00A33B26"/>
    <w:rsid w:val="00A3516F"/>
    <w:rsid w:val="00A37D5D"/>
    <w:rsid w:val="00A44299"/>
    <w:rsid w:val="00A474D1"/>
    <w:rsid w:val="00A52F2C"/>
    <w:rsid w:val="00A54FCB"/>
    <w:rsid w:val="00A56651"/>
    <w:rsid w:val="00A60779"/>
    <w:rsid w:val="00A608AB"/>
    <w:rsid w:val="00A6709E"/>
    <w:rsid w:val="00A67433"/>
    <w:rsid w:val="00A70842"/>
    <w:rsid w:val="00A710A7"/>
    <w:rsid w:val="00A710CF"/>
    <w:rsid w:val="00A74B5B"/>
    <w:rsid w:val="00A90202"/>
    <w:rsid w:val="00A92274"/>
    <w:rsid w:val="00A92551"/>
    <w:rsid w:val="00A93633"/>
    <w:rsid w:val="00A96871"/>
    <w:rsid w:val="00AA4B37"/>
    <w:rsid w:val="00AA5558"/>
    <w:rsid w:val="00AB32EA"/>
    <w:rsid w:val="00AC7DC8"/>
    <w:rsid w:val="00AD5436"/>
    <w:rsid w:val="00AE77C1"/>
    <w:rsid w:val="00AF7D89"/>
    <w:rsid w:val="00B003EE"/>
    <w:rsid w:val="00B03973"/>
    <w:rsid w:val="00B1170F"/>
    <w:rsid w:val="00B15BC1"/>
    <w:rsid w:val="00B16C38"/>
    <w:rsid w:val="00B21B9F"/>
    <w:rsid w:val="00B23D4A"/>
    <w:rsid w:val="00B242CC"/>
    <w:rsid w:val="00B266F4"/>
    <w:rsid w:val="00B2746E"/>
    <w:rsid w:val="00B30BBD"/>
    <w:rsid w:val="00B33A23"/>
    <w:rsid w:val="00B33C3D"/>
    <w:rsid w:val="00B427D5"/>
    <w:rsid w:val="00B52231"/>
    <w:rsid w:val="00B5427B"/>
    <w:rsid w:val="00B550C9"/>
    <w:rsid w:val="00B57E78"/>
    <w:rsid w:val="00B643A0"/>
    <w:rsid w:val="00B66E70"/>
    <w:rsid w:val="00B7074C"/>
    <w:rsid w:val="00B70862"/>
    <w:rsid w:val="00B7711D"/>
    <w:rsid w:val="00B8172A"/>
    <w:rsid w:val="00B84459"/>
    <w:rsid w:val="00B87FC5"/>
    <w:rsid w:val="00B91292"/>
    <w:rsid w:val="00BA30BC"/>
    <w:rsid w:val="00BA6649"/>
    <w:rsid w:val="00BB170B"/>
    <w:rsid w:val="00BC2F7E"/>
    <w:rsid w:val="00BC7588"/>
    <w:rsid w:val="00BD0159"/>
    <w:rsid w:val="00BD5A59"/>
    <w:rsid w:val="00BD6E01"/>
    <w:rsid w:val="00BE29E9"/>
    <w:rsid w:val="00BE66EA"/>
    <w:rsid w:val="00BF446A"/>
    <w:rsid w:val="00C032AC"/>
    <w:rsid w:val="00C04D40"/>
    <w:rsid w:val="00C051FB"/>
    <w:rsid w:val="00C20469"/>
    <w:rsid w:val="00C309A2"/>
    <w:rsid w:val="00C371FE"/>
    <w:rsid w:val="00C4146C"/>
    <w:rsid w:val="00C43319"/>
    <w:rsid w:val="00C4783E"/>
    <w:rsid w:val="00C519C5"/>
    <w:rsid w:val="00C52A77"/>
    <w:rsid w:val="00C616F2"/>
    <w:rsid w:val="00C61B83"/>
    <w:rsid w:val="00C64FE8"/>
    <w:rsid w:val="00C74A59"/>
    <w:rsid w:val="00C77D3D"/>
    <w:rsid w:val="00C77FD7"/>
    <w:rsid w:val="00C85DB8"/>
    <w:rsid w:val="00C91B56"/>
    <w:rsid w:val="00C91FFD"/>
    <w:rsid w:val="00C92A71"/>
    <w:rsid w:val="00C96023"/>
    <w:rsid w:val="00C969B5"/>
    <w:rsid w:val="00CA369B"/>
    <w:rsid w:val="00CB01E1"/>
    <w:rsid w:val="00CB4143"/>
    <w:rsid w:val="00CB478E"/>
    <w:rsid w:val="00CB4F86"/>
    <w:rsid w:val="00CC033C"/>
    <w:rsid w:val="00CC1672"/>
    <w:rsid w:val="00CC191F"/>
    <w:rsid w:val="00CC496D"/>
    <w:rsid w:val="00CD06EC"/>
    <w:rsid w:val="00CD23D5"/>
    <w:rsid w:val="00CE2E9F"/>
    <w:rsid w:val="00CF0C07"/>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2D3F"/>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675EC"/>
    <w:rsid w:val="00E72D63"/>
    <w:rsid w:val="00E73146"/>
    <w:rsid w:val="00E75829"/>
    <w:rsid w:val="00E97F92"/>
    <w:rsid w:val="00EA2C91"/>
    <w:rsid w:val="00EA448A"/>
    <w:rsid w:val="00EA641D"/>
    <w:rsid w:val="00EA6995"/>
    <w:rsid w:val="00EC449C"/>
    <w:rsid w:val="00EC6AA2"/>
    <w:rsid w:val="00ED2595"/>
    <w:rsid w:val="00ED2DCA"/>
    <w:rsid w:val="00ED3AE7"/>
    <w:rsid w:val="00ED4D67"/>
    <w:rsid w:val="00EF1184"/>
    <w:rsid w:val="00EF4BBA"/>
    <w:rsid w:val="00EF512C"/>
    <w:rsid w:val="00EF73E8"/>
    <w:rsid w:val="00EF7CD9"/>
    <w:rsid w:val="00EF7E49"/>
    <w:rsid w:val="00F0024A"/>
    <w:rsid w:val="00F012EB"/>
    <w:rsid w:val="00F03AFB"/>
    <w:rsid w:val="00F03CDB"/>
    <w:rsid w:val="00F170F1"/>
    <w:rsid w:val="00F37A72"/>
    <w:rsid w:val="00F45F21"/>
    <w:rsid w:val="00F53103"/>
    <w:rsid w:val="00F61CE6"/>
    <w:rsid w:val="00F64660"/>
    <w:rsid w:val="00F65659"/>
    <w:rsid w:val="00F66946"/>
    <w:rsid w:val="00F672E5"/>
    <w:rsid w:val="00F72111"/>
    <w:rsid w:val="00F76D05"/>
    <w:rsid w:val="00F80A91"/>
    <w:rsid w:val="00F80FB9"/>
    <w:rsid w:val="00F9026C"/>
    <w:rsid w:val="00FA0722"/>
    <w:rsid w:val="00FA0E7C"/>
    <w:rsid w:val="00FA1C9B"/>
    <w:rsid w:val="00FA29AE"/>
    <w:rsid w:val="00FA3D30"/>
    <w:rsid w:val="00FA5BE8"/>
    <w:rsid w:val="00FB579D"/>
    <w:rsid w:val="00FC2A64"/>
    <w:rsid w:val="00FC4BE6"/>
    <w:rsid w:val="00FD21D6"/>
    <w:rsid w:val="00FD34FA"/>
    <w:rsid w:val="00FD4017"/>
    <w:rsid w:val="00FE11CA"/>
    <w:rsid w:val="00FE1F42"/>
    <w:rsid w:val="00FE4BF8"/>
    <w:rsid w:val="00FE594F"/>
    <w:rsid w:val="00FE5CFE"/>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EF73E8"/>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kern w:val="0"/>
      <w:sz w:val="22"/>
      <w:szCs w:val="22"/>
      <w14:ligatures w14:val="none"/>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kern w:val="0"/>
      <w:sz w:val="22"/>
      <w:szCs w:val="22"/>
      <w14:ligatures w14:val="none"/>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customStyle="1"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 w:type="numbering" w:customStyle="1" w:styleId="1">
    <w:name w:val="نمط1"/>
    <w:uiPriority w:val="99"/>
    <w:rsid w:val="00FE662A"/>
    <w:pPr>
      <w:numPr>
        <w:numId w:val="28"/>
      </w:numPr>
    </w:pPr>
  </w:style>
  <w:style w:type="table" w:styleId="GridTable4-Accent3">
    <w:name w:val="Grid Table 4 Accent 3"/>
    <w:basedOn w:val="TableNormal"/>
    <w:uiPriority w:val="49"/>
    <w:rsid w:val="00FE4BF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C969B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87274729">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344957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335189332">
      <w:bodyDiv w:val="1"/>
      <w:marLeft w:val="0"/>
      <w:marRight w:val="0"/>
      <w:marTop w:val="0"/>
      <w:marBottom w:val="0"/>
      <w:divBdr>
        <w:top w:val="none" w:sz="0" w:space="0" w:color="auto"/>
        <w:left w:val="none" w:sz="0" w:space="0" w:color="auto"/>
        <w:bottom w:val="none" w:sz="0" w:space="0" w:color="auto"/>
        <w:right w:val="none" w:sz="0" w:space="0" w:color="auto"/>
      </w:divBdr>
    </w:div>
    <w:div w:id="1454787729">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10F29-DE6C-9945-AE23-C4FB4D06A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2660</Words>
  <Characters>15167</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Microsoft Office User</cp:lastModifiedBy>
  <cp:revision>4</cp:revision>
  <dcterms:created xsi:type="dcterms:W3CDTF">2026-07-26T17:57:00Z</dcterms:created>
  <dcterms:modified xsi:type="dcterms:W3CDTF">2026-07-29T10:37:00Z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