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3B88" w14:textId="57BA519B" w:rsidR="00C07F58" w:rsidRPr="00FC62C6" w:rsidRDefault="00264677" w:rsidP="0054309A">
      <w:pPr>
        <w:bidi/>
        <w:spacing w:line="240" w:lineRule="auto"/>
        <w:jc w:val="both"/>
        <w:rPr>
          <w:rFonts w:ascii="Sakkal Majalla" w:hAnsi="Sakkal Majalla" w:cs="Sakkal Majalla"/>
          <w:b/>
          <w:bCs/>
          <w:color w:val="548DD4" w:themeColor="text2" w:themeTint="99"/>
          <w:sz w:val="28"/>
          <w:szCs w:val="28"/>
        </w:rPr>
      </w:pPr>
      <w:bookmarkStart w:id="0" w:name="_Hlk206352915"/>
      <w:r w:rsidRPr="00FC62C6">
        <w:rPr>
          <w:rFonts w:ascii="Sakkal Majalla" w:hAnsi="Sakkal Majalla" w:cs="Sakkal Majalla"/>
          <w:b/>
          <w:noProof/>
          <w:sz w:val="28"/>
          <w:szCs w:val="28"/>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1EC1975E" w14:textId="7F5DC258" w:rsidR="00C07F58" w:rsidRPr="00A572F9" w:rsidRDefault="000B28C7" w:rsidP="000B28C7">
      <w:pPr>
        <w:spacing w:line="360" w:lineRule="auto"/>
        <w:jc w:val="right"/>
        <w:rPr>
          <w:rFonts w:ascii="Simplified Arabic" w:hAnsi="Simplified Arabic" w:cs="Simplified Arabic"/>
          <w:b/>
          <w:bCs/>
          <w:sz w:val="28"/>
          <w:szCs w:val="28"/>
          <w:rtl/>
        </w:rPr>
      </w:pPr>
      <w:r w:rsidRPr="00FC62C6">
        <w:rPr>
          <w:rFonts w:ascii="Sakkal Majalla" w:hAnsi="Sakkal Majalla" w:cs="Sakkal Majalla"/>
          <w:b/>
          <w:bCs/>
          <w:sz w:val="28"/>
          <w:szCs w:val="28"/>
          <w:rtl/>
        </w:rPr>
        <w:t xml:space="preserve">جامعة </w:t>
      </w:r>
      <w:proofErr w:type="spellStart"/>
      <w:r w:rsidRPr="00FC62C6">
        <w:rPr>
          <w:rFonts w:ascii="Sakkal Majalla" w:hAnsi="Sakkal Majalla" w:cs="Sakkal Majalla"/>
          <w:b/>
          <w:bCs/>
          <w:sz w:val="28"/>
          <w:szCs w:val="28"/>
          <w:rtl/>
        </w:rPr>
        <w:t>ميداوشن</w:t>
      </w:r>
      <w:proofErr w:type="spellEnd"/>
    </w:p>
    <w:p w14:paraId="2F815173" w14:textId="3286CE27" w:rsidR="00540C9A" w:rsidRPr="00A572F9" w:rsidRDefault="00540C9A" w:rsidP="00540C9A">
      <w:pPr>
        <w:spacing w:line="360" w:lineRule="auto"/>
        <w:jc w:val="center"/>
        <w:rPr>
          <w:rFonts w:ascii="Simplified Arabic" w:hAnsi="Simplified Arabic" w:cs="Simplified Arabic"/>
          <w:b/>
          <w:bCs/>
          <w:sz w:val="28"/>
          <w:szCs w:val="28"/>
        </w:rPr>
      </w:pPr>
      <w:r w:rsidRPr="00A572F9">
        <w:rPr>
          <w:rFonts w:ascii="Simplified Arabic" w:hAnsi="Simplified Arabic" w:cs="Simplified Arabic"/>
          <w:b/>
          <w:bCs/>
          <w:sz w:val="28"/>
          <w:szCs w:val="28"/>
          <w:rtl/>
        </w:rPr>
        <w:t xml:space="preserve"> أطروحة درجة الدكتوراة بالإدارة</w:t>
      </w:r>
    </w:p>
    <w:p w14:paraId="37D6E67B" w14:textId="77777777" w:rsidR="002B27CA" w:rsidRDefault="002B27CA" w:rsidP="00AF486B">
      <w:pPr>
        <w:bidi/>
        <w:spacing w:line="360" w:lineRule="auto"/>
        <w:jc w:val="both"/>
        <w:rPr>
          <w:rFonts w:asciiTheme="majorBidi" w:hAnsiTheme="majorBidi" w:cstheme="majorBidi"/>
          <w:b/>
          <w:bCs/>
          <w:sz w:val="28"/>
          <w:szCs w:val="28"/>
        </w:rPr>
      </w:pPr>
      <w:r w:rsidRPr="002B27CA">
        <w:rPr>
          <w:rFonts w:ascii="Simplified Arabic" w:hAnsi="Simplified Arabic" w:cs="Simplified Arabic"/>
          <w:b/>
          <w:bCs/>
          <w:sz w:val="28"/>
          <w:szCs w:val="28"/>
          <w:rtl/>
        </w:rPr>
        <w:t>أثر القيادة التحويلية في تقليل الأحداث الضارة من خلال ثقافة وسلوكيات السلامة في مستشفيات القطاع الحكومي: دراسة ميدانية في منطقة الجوف</w:t>
      </w:r>
    </w:p>
    <w:p w14:paraId="4AF36167" w14:textId="77777777" w:rsidR="002B27CA" w:rsidRDefault="002B27CA" w:rsidP="00A572F9">
      <w:pPr>
        <w:spacing w:line="360" w:lineRule="auto"/>
        <w:jc w:val="both"/>
        <w:rPr>
          <w:rFonts w:asciiTheme="majorBidi" w:hAnsiTheme="majorBidi" w:cstheme="majorBidi"/>
          <w:b/>
          <w:bCs/>
          <w:sz w:val="28"/>
          <w:szCs w:val="28"/>
        </w:rPr>
      </w:pPr>
      <w:r w:rsidRPr="002B27CA">
        <w:rPr>
          <w:rFonts w:asciiTheme="majorBidi" w:hAnsiTheme="majorBidi" w:cstheme="majorBidi"/>
          <w:b/>
          <w:bCs/>
          <w:sz w:val="28"/>
          <w:szCs w:val="28"/>
        </w:rPr>
        <w:t>The impact of transformational leadership on reducing adverse events through safety culture and behaviors in public sector hospitals: A field study in the Al-Jawf region</w:t>
      </w:r>
    </w:p>
    <w:p w14:paraId="3B6EFA17" w14:textId="01D7B2CF" w:rsidR="009A689A" w:rsidRPr="00A572F9" w:rsidRDefault="009A689A" w:rsidP="00A572F9">
      <w:pPr>
        <w:spacing w:line="360" w:lineRule="auto"/>
        <w:jc w:val="both"/>
        <w:rPr>
          <w:rFonts w:asciiTheme="majorBidi" w:hAnsiTheme="majorBidi" w:cstheme="majorBidi"/>
          <w:b/>
          <w:bCs/>
          <w:sz w:val="28"/>
          <w:szCs w:val="28"/>
        </w:rPr>
      </w:pPr>
      <w:r w:rsidRPr="00A572F9">
        <w:rPr>
          <w:rFonts w:asciiTheme="majorBidi" w:hAnsiTheme="majorBidi" w:cstheme="majorBidi"/>
          <w:b/>
          <w:bCs/>
          <w:sz w:val="28"/>
          <w:szCs w:val="28"/>
        </w:rPr>
        <w:t>Submitted to Midocean University in partial fulfilment of the requirements for the degree of Doctor of Philosophy</w:t>
      </w:r>
      <w:r w:rsidR="003D7090" w:rsidRPr="00A572F9">
        <w:rPr>
          <w:rFonts w:asciiTheme="majorBidi" w:hAnsiTheme="majorBidi" w:cstheme="majorBidi"/>
          <w:b/>
          <w:bCs/>
          <w:sz w:val="28"/>
          <w:szCs w:val="28"/>
        </w:rPr>
        <w:t>.</w:t>
      </w:r>
    </w:p>
    <w:p w14:paraId="29E8D536"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45B2A2A0"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20570E2C"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اعداد الباحث: عبد الله مجزع الرويلي</w:t>
      </w:r>
    </w:p>
    <w:p w14:paraId="46C7795D"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 xml:space="preserve"> الرقم الجامعي:242000241</w:t>
      </w:r>
    </w:p>
    <w:p w14:paraId="6D87B448"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المملكة العربية السعودية</w:t>
      </w:r>
    </w:p>
    <w:p w14:paraId="478B338F" w14:textId="27C7B448" w:rsidR="00573910" w:rsidRPr="00A572F9" w:rsidRDefault="003D7090" w:rsidP="003D7090">
      <w:pPr>
        <w:bidi/>
        <w:spacing w:line="360" w:lineRule="auto"/>
        <w:rPr>
          <w:rFonts w:ascii="Simplified Arabic" w:hAnsi="Simplified Arabic" w:cs="Simplified Arabic"/>
          <w:sz w:val="28"/>
          <w:szCs w:val="28"/>
          <w:rtl/>
        </w:rPr>
      </w:pPr>
      <w:r w:rsidRPr="00A572F9">
        <w:rPr>
          <w:rFonts w:ascii="Simplified Arabic" w:hAnsi="Simplified Arabic" w:cs="Simplified Arabic"/>
          <w:b/>
          <w:bCs/>
          <w:sz w:val="28"/>
          <w:szCs w:val="28"/>
          <w:rtl/>
        </w:rPr>
        <w:t>الكلية: الإدارة</w:t>
      </w:r>
    </w:p>
    <w:p w14:paraId="6969F8D0" w14:textId="77777777" w:rsidR="003D7090" w:rsidRPr="00FC62C6" w:rsidRDefault="003D7090" w:rsidP="003D7090">
      <w:pPr>
        <w:bidi/>
        <w:spacing w:line="360" w:lineRule="auto"/>
        <w:jc w:val="center"/>
        <w:rPr>
          <w:rFonts w:ascii="Sakkal Majalla" w:hAnsi="Sakkal Majalla" w:cs="Sakkal Majalla"/>
          <w:sz w:val="28"/>
          <w:szCs w:val="28"/>
          <w:rtl/>
        </w:rPr>
      </w:pPr>
    </w:p>
    <w:p w14:paraId="0A7154B0" w14:textId="77777777" w:rsidR="00573910" w:rsidRPr="00FC62C6" w:rsidRDefault="00573910" w:rsidP="00573910">
      <w:pPr>
        <w:bidi/>
        <w:spacing w:line="360" w:lineRule="auto"/>
        <w:jc w:val="both"/>
        <w:rPr>
          <w:rFonts w:ascii="Sakkal Majalla" w:hAnsi="Sakkal Majalla" w:cs="Sakkal Majalla"/>
          <w:b/>
          <w:bCs/>
          <w:color w:val="EE0000"/>
          <w:sz w:val="28"/>
          <w:szCs w:val="28"/>
          <w:rtl/>
        </w:rPr>
      </w:pPr>
    </w:p>
    <w:p w14:paraId="03161FB8"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52D91D90" w14:textId="77777777" w:rsidR="004F70A5" w:rsidRDefault="004F70A5" w:rsidP="004F70A5">
      <w:pPr>
        <w:bidi/>
        <w:spacing w:line="360" w:lineRule="auto"/>
        <w:jc w:val="both"/>
        <w:rPr>
          <w:rFonts w:ascii="Sakkal Majalla" w:hAnsi="Sakkal Majalla" w:cs="Sakkal Majalla"/>
          <w:b/>
          <w:bCs/>
          <w:color w:val="EE0000"/>
          <w:sz w:val="28"/>
          <w:szCs w:val="28"/>
          <w:rtl/>
        </w:rPr>
      </w:pPr>
    </w:p>
    <w:p w14:paraId="5CA8C663" w14:textId="7AB6D393" w:rsidR="00E76DA2" w:rsidRPr="00564566" w:rsidRDefault="00564566" w:rsidP="00564566">
      <w:pPr>
        <w:bidi/>
        <w:spacing w:line="360" w:lineRule="auto"/>
        <w:jc w:val="both"/>
        <w:rPr>
          <w:rFonts w:ascii="Sakkal Majalla" w:hAnsi="Sakkal Majalla" w:cs="Sakkal Majalla" w:hint="cs"/>
          <w:b/>
          <w:bCs/>
          <w:color w:val="000000" w:themeColor="text1"/>
          <w:sz w:val="32"/>
          <w:szCs w:val="32"/>
          <w:rtl/>
        </w:rPr>
      </w:pPr>
      <w:r w:rsidRPr="00564566">
        <w:rPr>
          <w:rFonts w:ascii="Sakkal Majalla" w:hAnsi="Sakkal Majalla" w:cs="Sakkal Majalla"/>
          <w:b/>
          <w:bCs/>
          <w:color w:val="000000" w:themeColor="text1"/>
          <w:sz w:val="32"/>
          <w:szCs w:val="32"/>
          <w:rtl/>
        </w:rPr>
        <w:lastRenderedPageBreak/>
        <w:t>الفصل الأول: مدخل إلى الدراسة</w:t>
      </w:r>
    </w:p>
    <w:p w14:paraId="3924C554" w14:textId="4245CA5E" w:rsidR="00680415" w:rsidRPr="0011430B" w:rsidRDefault="00680415" w:rsidP="00573910">
      <w:pPr>
        <w:bidi/>
        <w:spacing w:line="360" w:lineRule="auto"/>
        <w:jc w:val="both"/>
        <w:rPr>
          <w:rFonts w:ascii="Simplified Arabic" w:eastAsiaTheme="majorEastAsia" w:hAnsi="Simplified Arabic" w:cs="Simplified Arabic"/>
          <w:b/>
          <w:bCs/>
          <w:spacing w:val="-10"/>
          <w:kern w:val="28"/>
          <w:sz w:val="24"/>
          <w:szCs w:val="24"/>
          <w:rtl/>
        </w:rPr>
      </w:pPr>
      <w:r w:rsidRPr="00FC62C6">
        <w:rPr>
          <w:rFonts w:ascii="Sakkal Majalla" w:hAnsi="Sakkal Majalla" w:cs="Sakkal Majalla"/>
          <w:b/>
          <w:bCs/>
          <w:sz w:val="28"/>
          <w:szCs w:val="28"/>
          <w:rtl/>
          <w:lang w:bidi="ar-JO"/>
        </w:rPr>
        <w:t>1</w:t>
      </w:r>
      <w:r w:rsidRPr="0011430B">
        <w:rPr>
          <w:rFonts w:ascii="Simplified Arabic" w:hAnsi="Simplified Arabic" w:cs="Simplified Arabic"/>
          <w:b/>
          <w:bCs/>
          <w:sz w:val="24"/>
          <w:szCs w:val="24"/>
          <w:rtl/>
          <w:lang w:bidi="ar-JO"/>
        </w:rPr>
        <w:t>.</w:t>
      </w:r>
      <w:r w:rsidR="0000479E" w:rsidRPr="0011430B">
        <w:rPr>
          <w:rFonts w:ascii="Simplified Arabic" w:eastAsiaTheme="majorEastAsia" w:hAnsi="Simplified Arabic" w:cs="Simplified Arabic"/>
          <w:b/>
          <w:bCs/>
          <w:spacing w:val="-10"/>
          <w:kern w:val="28"/>
          <w:sz w:val="24"/>
          <w:szCs w:val="24"/>
          <w:rtl/>
        </w:rPr>
        <w:t>ال</w:t>
      </w:r>
      <w:r w:rsidR="00E94DD2" w:rsidRPr="0011430B">
        <w:rPr>
          <w:rFonts w:ascii="Simplified Arabic" w:eastAsiaTheme="majorEastAsia" w:hAnsi="Simplified Arabic" w:cs="Simplified Arabic"/>
          <w:b/>
          <w:bCs/>
          <w:spacing w:val="-10"/>
          <w:kern w:val="28"/>
          <w:sz w:val="24"/>
          <w:szCs w:val="24"/>
          <w:rtl/>
        </w:rPr>
        <w:t xml:space="preserve">مقدمة </w:t>
      </w:r>
    </w:p>
    <w:p w14:paraId="0CC9936A" w14:textId="69ADDCF1" w:rsidR="00493C51" w:rsidRPr="0011430B" w:rsidRDefault="0011430B" w:rsidP="0011430B">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يشهد النظام الصحي العالمي تحولات جوهرية تفرض إعادة النظر في الأساليب التقليدية للرعاية، وأصبحت سلامة المرضى أحد المعايير الأساسية لقياس جودة الخدمات وفاعلية الأنظمة الطبية</w:t>
      </w:r>
      <w:r w:rsidR="006E53C5" w:rsidRPr="0011430B">
        <w:rPr>
          <w:rFonts w:ascii="Simplified Arabic" w:eastAsiaTheme="majorEastAsia" w:hAnsi="Simplified Arabic" w:cs="Simplified Arabic"/>
          <w:spacing w:val="-10"/>
          <w:kern w:val="28"/>
          <w:sz w:val="24"/>
          <w:szCs w:val="24"/>
          <w:rtl/>
        </w:rPr>
        <w:t>. (</w:t>
      </w:r>
      <w:r w:rsidR="006E53C5" w:rsidRPr="0011430B">
        <w:rPr>
          <w:rFonts w:ascii="Simplified Arabic" w:eastAsiaTheme="majorEastAsia" w:hAnsi="Simplified Arabic" w:cs="Simplified Arabic"/>
          <w:spacing w:val="-10"/>
          <w:kern w:val="28"/>
          <w:sz w:val="24"/>
          <w:szCs w:val="24"/>
        </w:rPr>
        <w:t>Shenoy, 2021</w:t>
      </w:r>
      <w:r w:rsidR="006E53C5" w:rsidRPr="0011430B">
        <w:rPr>
          <w:rFonts w:ascii="Simplified Arabic" w:eastAsiaTheme="majorEastAsia" w:hAnsi="Simplified Arabic" w:cs="Simplified Arabic"/>
          <w:spacing w:val="-10"/>
          <w:kern w:val="28"/>
          <w:sz w:val="24"/>
          <w:szCs w:val="24"/>
          <w:rtl/>
        </w:rPr>
        <w:t>) ويُعد تحقيق هذا الهدف مسؤولية تتجاوز نمط الإدارة الصحية التقليدية، إذ يتطلب توفير بيئات تنظيمية آمنة وثقافة مؤسسية داعمة لضمان تقديم رعاية عالية الجودة. (</w:t>
      </w:r>
      <w:r w:rsidR="006E53C5" w:rsidRPr="0011430B">
        <w:rPr>
          <w:rFonts w:ascii="Simplified Arabic" w:eastAsiaTheme="majorEastAsia" w:hAnsi="Simplified Arabic" w:cs="Simplified Arabic"/>
          <w:spacing w:val="-10"/>
          <w:kern w:val="28"/>
          <w:sz w:val="24"/>
          <w:szCs w:val="24"/>
        </w:rPr>
        <w:t>Hamdan et al., 2024</w:t>
      </w:r>
      <w:r w:rsidR="006E53C5" w:rsidRPr="0011430B">
        <w:rPr>
          <w:rFonts w:ascii="Simplified Arabic" w:eastAsiaTheme="majorEastAsia" w:hAnsi="Simplified Arabic" w:cs="Simplified Arabic"/>
          <w:spacing w:val="-10"/>
          <w:kern w:val="28"/>
          <w:sz w:val="24"/>
          <w:szCs w:val="24"/>
          <w:rtl/>
        </w:rPr>
        <w:t>) 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p>
    <w:p w14:paraId="2C290BD2" w14:textId="7756F1FF" w:rsidR="00493C51" w:rsidRPr="0011430B" w:rsidRDefault="001C2889" w:rsidP="00054F0A">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 xml:space="preserve">وفي المملكة العربية السعودية، تعد منطقة الجوف منطقة جغرافية ذات أهمية استراتيجية تمتد عبر خمس محافظات رئيسية: سكاكا، دومة الجندل، </w:t>
      </w:r>
      <w:proofErr w:type="spellStart"/>
      <w:r w:rsidRPr="0011430B">
        <w:rPr>
          <w:rFonts w:ascii="Simplified Arabic" w:eastAsiaTheme="majorEastAsia" w:hAnsi="Simplified Arabic" w:cs="Simplified Arabic"/>
          <w:spacing w:val="-10"/>
          <w:kern w:val="28"/>
          <w:sz w:val="24"/>
          <w:szCs w:val="24"/>
          <w:rtl/>
        </w:rPr>
        <w:t>صوير</w:t>
      </w:r>
      <w:proofErr w:type="spellEnd"/>
      <w:r w:rsidRPr="0011430B">
        <w:rPr>
          <w:rFonts w:ascii="Simplified Arabic" w:eastAsiaTheme="majorEastAsia" w:hAnsi="Simplified Arabic" w:cs="Simplified Arabic"/>
          <w:spacing w:val="-10"/>
          <w:kern w:val="28"/>
          <w:sz w:val="24"/>
          <w:szCs w:val="24"/>
          <w:rtl/>
        </w:rPr>
        <w:t>، طبرجل، والقريات، وتحتوي على تسعة مستشفيات حكومية تقدم الخدمات لأكثر من 595,000 مستفيد (</w:t>
      </w:r>
      <w:r w:rsidRPr="0011430B">
        <w:rPr>
          <w:rFonts w:ascii="Simplified Arabic" w:eastAsiaTheme="majorEastAsia" w:hAnsi="Simplified Arabic" w:cs="Simplified Arabic"/>
          <w:spacing w:val="-10"/>
          <w:kern w:val="28"/>
          <w:sz w:val="24"/>
          <w:szCs w:val="24"/>
        </w:rPr>
        <w:t>Holding, 2025</w:t>
      </w:r>
      <w:r w:rsidRPr="0011430B">
        <w:rPr>
          <w:rFonts w:ascii="Simplified Arabic" w:eastAsiaTheme="majorEastAsia" w:hAnsi="Simplified Arabic" w:cs="Simplified Arabic"/>
          <w:spacing w:val="-10"/>
          <w:kern w:val="28"/>
          <w:sz w:val="24"/>
          <w:szCs w:val="24"/>
          <w:rtl/>
        </w:rPr>
        <w:t>). وتتميز المنطقة بخصائص ديموغرافية وجغرافية فريدة، تشمل التفاوت بين المحافظات وتنوع السكان، مما ينعكس على طبيعة الهياكل الإدارية والتنظيمية للمؤسسات الصحية فيها. وعلى الرغم من الأهمية الكبيرة لمستشفيات المنطقة في تقديم الخدمات الصحية الأساسية، إلا أنها تواجه تحديات ملحوظة في ضمان سلامة المرضى؛ حيث تشير الدراسات الحديثة إلى وجود فجوة بين المعايير المطلوبة والممارسات الفعلية للسلامة (مخدوم، 2019).</w:t>
      </w:r>
    </w:p>
    <w:p w14:paraId="3DB7479D" w14:textId="287DC5C3" w:rsidR="00493C51" w:rsidRPr="0011430B" w:rsidRDefault="001C2889" w:rsidP="0011430B">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وتشمل سلامة المرضى مجموعة من الإجراءات الهادفة إلى الحد من الأخطاء وتقليل الأضرار المحتملة التي قد تنتج عن الرعاية الصحية (</w:t>
      </w:r>
      <w:proofErr w:type="spellStart"/>
      <w:r w:rsidRPr="0011430B">
        <w:rPr>
          <w:rFonts w:ascii="Simplified Arabic" w:eastAsiaTheme="majorEastAsia" w:hAnsi="Simplified Arabic" w:cs="Simplified Arabic"/>
          <w:spacing w:val="-10"/>
          <w:kern w:val="28"/>
          <w:sz w:val="24"/>
          <w:szCs w:val="24"/>
        </w:rPr>
        <w:t>Konlan</w:t>
      </w:r>
      <w:proofErr w:type="spellEnd"/>
      <w:r w:rsidRPr="0011430B">
        <w:rPr>
          <w:rFonts w:ascii="Simplified Arabic" w:eastAsiaTheme="majorEastAsia" w:hAnsi="Simplified Arabic" w:cs="Simplified Arabic"/>
          <w:spacing w:val="-10"/>
          <w:kern w:val="28"/>
          <w:sz w:val="24"/>
          <w:szCs w:val="24"/>
        </w:rPr>
        <w:t xml:space="preserve"> &amp; Shin</w:t>
      </w:r>
      <w:r w:rsidRPr="0011430B">
        <w:rPr>
          <w:rFonts w:ascii="Simplified Arabic" w:eastAsiaTheme="majorEastAsia" w:hAnsi="Simplified Arabic" w:cs="Simplified Arabic"/>
          <w:spacing w:val="-10"/>
          <w:kern w:val="28"/>
          <w:sz w:val="24"/>
          <w:szCs w:val="24"/>
          <w:rtl/>
        </w:rPr>
        <w:t>، 2022). وقد بيّنت الأدبيات العلمية أن الأخطاء الطبية لا تقتصر آثارها على الضرر الصحي المباشر، بل تمتد لتؤثر في ثقة المجتمع بالمؤسسات الصحية، فضلًا عن سببها في خسائر اقتصادية إضافية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w:t>
      </w:r>
      <w:r w:rsidR="0011430B" w:rsidRPr="0011430B">
        <w:rPr>
          <w:rFonts w:ascii="Simplified Arabic" w:eastAsiaTheme="majorEastAsia" w:hAnsi="Simplified Arabic" w:cs="Simplified Arabic"/>
          <w:spacing w:val="-10"/>
          <w:kern w:val="28"/>
          <w:sz w:val="24"/>
          <w:szCs w:val="24"/>
          <w:rtl/>
        </w:rPr>
        <w:t>ومن ثم، يعد تعزيز بيئة السلامة ضرورة ملحّة يسهم في خفض الحوادث الضارة القابلة للوقاية</w:t>
      </w:r>
      <w:r w:rsidR="0011430B">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w:t>
      </w:r>
      <w:r w:rsidRPr="0011430B">
        <w:rPr>
          <w:rFonts w:ascii="Simplified Arabic" w:eastAsiaTheme="majorEastAsia" w:hAnsi="Simplified Arabic" w:cs="Simplified Arabic"/>
          <w:spacing w:val="-10"/>
          <w:kern w:val="28"/>
          <w:sz w:val="24"/>
          <w:szCs w:val="24"/>
        </w:rPr>
        <w:t>Mistri et al., 2023</w:t>
      </w:r>
      <w:r w:rsidRPr="0011430B">
        <w:rPr>
          <w:rFonts w:ascii="Simplified Arabic" w:eastAsiaTheme="majorEastAsia" w:hAnsi="Simplified Arabic" w:cs="Simplified Arabic"/>
          <w:spacing w:val="-10"/>
          <w:kern w:val="28"/>
          <w:sz w:val="24"/>
          <w:szCs w:val="24"/>
          <w:rtl/>
        </w:rPr>
        <w:t>).</w:t>
      </w:r>
    </w:p>
    <w:p w14:paraId="75C543F9" w14:textId="4C7FC37A" w:rsidR="00B458CA" w:rsidRPr="0011430B" w:rsidRDefault="001C2889" w:rsidP="00B458CA">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وتُعبّر البيانات الوطنية عن حجم التحدي المرتبط بسلامة المرضى في المملكة العربية السعودية، إذ أظهر تحليل منهجي شامل لـستة عشرة دراسة أن معدل الأخطاء الدوائية الإجمالي في المستشفيات السعودية بلغ 44.4٪ من جميع العمليات الدوائية، حيث شكلت أخطاء الوصف الطبي 40.2٪، وأخطاء الصرف 28.2٪، بينما بلغت أخطاء التطبيق والإعطاء 34.5٪ </w: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EN.CITE.DATA</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Almalki et al., 2021</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وعلى الصعيد المحلي، أظهرت دراسة استرجاعية في أحد مستشفيات المدينة المنورة تسجيل 2,658 خطأً دوائيًا خلال عام واحد، حيث شكّلت الأخطاء شبه المميتة (</w:t>
      </w:r>
      <w:r w:rsidRPr="0011430B">
        <w:rPr>
          <w:rFonts w:ascii="Simplified Arabic" w:eastAsiaTheme="majorEastAsia" w:hAnsi="Simplified Arabic" w:cs="Simplified Arabic"/>
          <w:spacing w:val="-10"/>
          <w:kern w:val="28"/>
          <w:sz w:val="24"/>
          <w:szCs w:val="24"/>
        </w:rPr>
        <w:t>near misses</w:t>
      </w:r>
      <w:r w:rsidRPr="0011430B">
        <w:rPr>
          <w:rFonts w:ascii="Simplified Arabic" w:eastAsiaTheme="majorEastAsia" w:hAnsi="Simplified Arabic" w:cs="Simplified Arabic"/>
          <w:spacing w:val="-10"/>
          <w:kern w:val="28"/>
          <w:sz w:val="24"/>
          <w:szCs w:val="24"/>
          <w:rtl/>
        </w:rPr>
        <w:t>) نسبة 96.5٪، في حين بلغت الأخطاء الفعلية التي وصلت إلى المرضى 3.4٪ فقط (</w:t>
      </w:r>
      <w:r w:rsidRPr="0011430B">
        <w:rPr>
          <w:rFonts w:ascii="Simplified Arabic" w:eastAsiaTheme="majorEastAsia" w:hAnsi="Simplified Arabic" w:cs="Simplified Arabic"/>
          <w:spacing w:val="-10"/>
          <w:kern w:val="28"/>
          <w:sz w:val="24"/>
          <w:szCs w:val="24"/>
        </w:rPr>
        <w:t>Alahmadi et al., 2022</w:t>
      </w:r>
      <w:r w:rsidRPr="0011430B">
        <w:rPr>
          <w:rFonts w:ascii="Simplified Arabic" w:eastAsiaTheme="majorEastAsia" w:hAnsi="Simplified Arabic" w:cs="Simplified Arabic"/>
          <w:spacing w:val="-10"/>
          <w:kern w:val="28"/>
          <w:sz w:val="24"/>
          <w:szCs w:val="24"/>
          <w:rtl/>
        </w:rPr>
        <w:t>).</w:t>
      </w:r>
    </w:p>
    <w:p w14:paraId="2BCDA87C" w14:textId="066500B1"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كشفت ورقة عمل وطنية صادرة عن مركز السلامة السعودي للمرضى أن الضرر الناتج عن الأدوية والخيارات العلاجية يُشكّل نسبة 18.3% من جميع الأحداث الضارة المبلغ عنها، مع معدل ضرر يمكن تجنبه يبلغ 5% (واحد من كل 20 مريضاً). يُصنَّف ربعها على أنها ضرر شديد أو يهدد الحياة </w:t>
      </w:r>
      <w:r w:rsidRPr="0011430B">
        <w:rPr>
          <w:rFonts w:ascii="Simplified Arabic" w:eastAsiaTheme="majorEastAsia" w:hAnsi="Simplified Arabic" w:cs="Simplified Arabic"/>
          <w:spacing w:val="-10"/>
          <w:kern w:val="28"/>
          <w:sz w:val="24"/>
          <w:szCs w:val="24"/>
          <w:rtl/>
        </w:rPr>
        <w:lastRenderedPageBreak/>
        <w:t>(</w:t>
      </w:r>
      <w:r w:rsidRPr="0011430B">
        <w:rPr>
          <w:rFonts w:ascii="Simplified Arabic" w:eastAsiaTheme="majorEastAsia" w:hAnsi="Simplified Arabic" w:cs="Simplified Arabic"/>
          <w:spacing w:val="-10"/>
          <w:kern w:val="28"/>
          <w:sz w:val="24"/>
          <w:szCs w:val="24"/>
        </w:rPr>
        <w:t>Centre, 2022</w:t>
      </w:r>
      <w:r w:rsidRPr="0011430B">
        <w:rPr>
          <w:rFonts w:ascii="Simplified Arabic" w:eastAsiaTheme="majorEastAsia" w:hAnsi="Simplified Arabic" w:cs="Simplified Arabic"/>
          <w:spacing w:val="-10"/>
          <w:kern w:val="28"/>
          <w:sz w:val="24"/>
          <w:szCs w:val="24"/>
          <w:rtl/>
        </w:rPr>
        <w:t>). وفيما يخص العدوى المكتسبة داخل المستشفيات، أي العدوى المرتبطة بالرعاية الصحية، أشارت دراسة وطنية إلى أن معدل الإصابة داخل المستشفيات السعودية يتراوح بين 2.2% و5.5%. مع وجود ارتفاع ملحوظ في وحدات العناية المركزة، حيث يصل المعدل إلى 37.5% (</w:t>
      </w:r>
      <w:r w:rsidRPr="0011430B">
        <w:rPr>
          <w:rFonts w:ascii="Simplified Arabic" w:eastAsiaTheme="majorEastAsia" w:hAnsi="Simplified Arabic" w:cs="Simplified Arabic"/>
          <w:spacing w:val="-10"/>
          <w:kern w:val="28"/>
          <w:sz w:val="24"/>
          <w:szCs w:val="24"/>
        </w:rPr>
        <w:t>Khan et al., 2018</w:t>
      </w:r>
      <w:r w:rsidRPr="0011430B">
        <w:rPr>
          <w:rFonts w:ascii="Simplified Arabic" w:eastAsiaTheme="majorEastAsia" w:hAnsi="Simplified Arabic" w:cs="Simplified Arabic"/>
          <w:spacing w:val="-10"/>
          <w:kern w:val="28"/>
          <w:sz w:val="24"/>
          <w:szCs w:val="24"/>
          <w:rtl/>
        </w:rPr>
        <w:t>).</w:t>
      </w:r>
    </w:p>
    <w:p w14:paraId="0BC56ECC" w14:textId="647FB5C2"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 xml:space="preserve">أما على مستوى الإبلاغ عن الحوادث، فقد بلغ معدل الإبلاغ في أحد المستشفيات الجامعية 5.8 حادثة لكل 1,000 يوم مريض، وهو معدل منخفض مقارنة بالمعدلات العالمية، مما يشير إلى ضعف واضح في ثقافة الإبلاغ </w:t>
      </w:r>
      <w:r w:rsidR="001C2889" w:rsidRPr="0011430B">
        <w:rPr>
          <w:rFonts w:ascii="Simplified Arabic" w:eastAsiaTheme="majorEastAsia" w:hAnsi="Simplified Arabic" w:cs="Simplified Arabic"/>
          <w:spacing w:val="-10"/>
          <w:kern w:val="28"/>
          <w:sz w:val="24"/>
          <w:szCs w:val="24"/>
          <w:rtl/>
        </w:rPr>
        <w:fldChar w:fldCharType="begin"/>
      </w:r>
      <w:r w:rsidR="001C2889" w:rsidRPr="0011430B">
        <w:rPr>
          <w:rFonts w:ascii="Simplified Arabic" w:eastAsiaTheme="majorEastAsia" w:hAnsi="Simplified Arabic" w:cs="Simplified Arabic"/>
          <w:spacing w:val="-10"/>
          <w:kern w:val="28"/>
          <w:sz w:val="24"/>
          <w:szCs w:val="24"/>
          <w:rtl/>
        </w:rPr>
        <w:instrText xml:space="preserve"> </w:instrText>
      </w:r>
      <w:r w:rsidR="001C2889" w:rsidRPr="0011430B">
        <w:rPr>
          <w:rFonts w:ascii="Simplified Arabic" w:eastAsiaTheme="majorEastAsia" w:hAnsi="Simplified Arabic" w:cs="Simplified Arabic"/>
          <w:spacing w:val="-10"/>
          <w:kern w:val="28"/>
          <w:sz w:val="24"/>
          <w:szCs w:val="24"/>
        </w:rPr>
        <w:instrText>ADDIN EN.CITE &lt;EndNote&gt;&lt;Cite&gt;&lt;Author&gt;Arabi&lt;/Author&gt;&lt;Year&gt;2012&lt;/Year&gt;&lt;RecNum&gt;253&lt;/RecNum&gt;&lt;DisplayText&gt;(Arabi et al., 2012)&lt;/DisplayText&gt;&lt;record&gt;&lt;rec-number&gt;253&lt;/rec-number&gt;&lt;foreign-keys&gt;&lt;key app="EN" db-id="02retxxrerxdxhe9aphvs0z2t9z25p0ew99s" timestamp</w:instrText>
      </w:r>
      <w:r w:rsidR="001C2889" w:rsidRPr="0011430B">
        <w:rPr>
          <w:rFonts w:ascii="Simplified Arabic" w:eastAsiaTheme="majorEastAsia" w:hAnsi="Simplified Arabic" w:cs="Simplified Arabic"/>
          <w:spacing w:val="-10"/>
          <w:kern w:val="28"/>
          <w:sz w:val="24"/>
          <w:szCs w:val="24"/>
          <w:rtl/>
        </w:rPr>
        <w:instrText>="1765540075"&gt;253&lt;/</w:instrText>
      </w:r>
      <w:r w:rsidR="001C2889" w:rsidRPr="0011430B">
        <w:rPr>
          <w:rFonts w:ascii="Simplified Arabic" w:eastAsiaTheme="majorEastAsia" w:hAnsi="Simplified Arabic" w:cs="Simplified Arabic"/>
          <w:spacing w:val="-10"/>
          <w:kern w:val="28"/>
          <w:sz w:val="24"/>
          <w:szCs w:val="24"/>
        </w:rPr>
        <w:instrText>key&gt;&lt;/foreign-keys&gt;&lt;ref-type name="Journal Article"&gt;17&lt;/ref-type&gt;&lt;contributors&gt;&lt;authors&gt;&lt;author&gt;Arabi, Y.&lt;/author&gt;&lt;author&gt;Alamry, A.&lt;/author&gt;&lt;author&gt;Al Owais, S. M.&lt;/author&gt;&lt;author&gt;Al-Dorzi, H.&lt;/author&gt;&lt;author&gt;Noushad, S.&lt;/author&gt;&lt;author</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Pr>
        <w:instrText>Taher, S.&lt;/author&gt;&lt;/authors&gt;&lt;/contributors&gt;&lt;auth-address&gt;Intensive Care Department, King Abdulaziz Medical City, King Saud Bin Abdulaziz University for Health Sciences, Riyadh, Saudi Arabia. yaseenarabi@yahoo.com&lt;/auth-address&gt;&lt;titles&gt;&lt;title&gt;Incident reporting at a tertiary care hospital in Saudi Arabia&lt;/title&gt;&lt;secondary-title&gt;J Patient Saf&lt;/secondary-title&gt;&lt;/titles&gt;&lt;periodical&gt;&lt;full-title&gt;J Patient Saf&lt;/full-title&gt;&lt;/periodical&gt;&lt;pages&gt;81-7&lt;/pages&gt;&lt;volume&gt;8&lt;/volume&gt;&lt;number&gt;2&lt;/number&gt;&lt;edition&gt;2012/04/25&lt;/edition&gt;&lt;keywords&gt;&lt;keyword&gt;Communication&lt;/keyword&gt;&lt;keyword&gt;Documentation/*statistics &amp;amp; numerical data&lt;/keyword&gt;&lt;keyword&gt;Hospital Administration/*statistics &amp;amp; numerical data&lt;/keyword&gt;&lt;keyword&gt;Humans&lt;/keyword&gt;&lt;keyword&gt;Intensive Care Units/statistics</w:instrText>
      </w:r>
      <w:r w:rsidR="001C2889" w:rsidRPr="0011430B">
        <w:rPr>
          <w:rFonts w:ascii="Simplified Arabic" w:eastAsiaTheme="majorEastAsia" w:hAnsi="Simplified Arabic" w:cs="Simplified Arabic"/>
          <w:spacing w:val="-10"/>
          <w:kern w:val="28"/>
          <w:sz w:val="24"/>
          <w:szCs w:val="24"/>
          <w:rtl/>
        </w:rPr>
        <w:instrText xml:space="preserve"> &amp;</w:instrText>
      </w:r>
      <w:r w:rsidR="001C2889" w:rsidRPr="0011430B">
        <w:rPr>
          <w:rFonts w:ascii="Simplified Arabic" w:eastAsiaTheme="majorEastAsia" w:hAnsi="Simplified Arabic" w:cs="Simplified Arabic"/>
          <w:spacing w:val="-10"/>
          <w:kern w:val="28"/>
          <w:sz w:val="24"/>
          <w:szCs w:val="24"/>
        </w:rPr>
        <w:instrText>amp; numerical data&lt;/keyword&gt;&lt;keyword&gt;Mandatory Reporting&lt;/keyword&gt;&lt;keyword&gt;Safety Management/methods/*statistics &amp;amp; numerical data&lt;/keyword&gt;&lt;keyword&gt;Saudi Arabia&lt;/keyword&gt;&lt;/keywords&gt;&lt;dates&gt;&lt;year&gt;2012&lt;/year&gt;&lt;pub-dates&gt;&lt;date&gt;Jun&lt;/date&gt;&lt;/pub-dates&gt;&lt;/dates&gt;&lt;isbn&gt;1549-8425 (Electronic)&amp;#xD;1549-8417 (Linking)&lt;/isbn&gt;&lt;accession-num&gt;22525364&lt;/accession-num&gt;&lt;urls&gt;&lt;related-urls&gt;&lt;url&gt;https://www.ncbi.nlm.nih.gov/pubmed/22525364&lt;/url&gt;&lt;/related-urls&gt;&lt;/urls&gt;&lt;electronic-resource-num&gt;10.1097/PTS.0b013e31824badb7&lt;/electronic-resource-num&gt;&lt;/record&gt;&lt;/Cite&gt;&lt;/EndNote</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tl/>
        </w:rPr>
        <w:fldChar w:fldCharType="separate"/>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noProof/>
          <w:spacing w:val="-10"/>
          <w:kern w:val="28"/>
          <w:sz w:val="24"/>
          <w:szCs w:val="24"/>
        </w:rPr>
        <w:t>Arabi et al., 2012</w:t>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xml:space="preserve"> وعلى مستوى منطقة الجوف تحديدًا، أظهرت دراسة مقطعية حديثة شملت 423 ممرضًا وممرضة في خمسة مستشفيات حكومية أن معدل الإبلاغ عن الأحداث الضارة منخفض بشكل ملحوظ، إذ أفاد 94% من المشاركين بعدم الإبلاغ عن أي حادثة خلال العام الماضي، بينما أبلغ 4% فقط عن حادثة واحدة أو حادثتين </w:t>
      </w:r>
      <w:r w:rsidR="00FC55C5">
        <w:rPr>
          <w:rFonts w:ascii="Simplified Arabic" w:eastAsiaTheme="majorEastAsia" w:hAnsi="Simplified Arabic" w:cs="Simplified Arabic"/>
          <w:spacing w:val="-10"/>
          <w:kern w:val="28"/>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00FC55C5">
        <w:rPr>
          <w:rFonts w:ascii="Simplified Arabic" w:eastAsiaTheme="majorEastAsia" w:hAnsi="Simplified Arabic" w:cs="Simplified Arabic"/>
          <w:spacing w:val="-10"/>
          <w:kern w:val="28"/>
          <w:sz w:val="24"/>
          <w:szCs w:val="24"/>
          <w:rtl/>
        </w:rPr>
        <w:instrText xml:space="preserve"> </w:instrText>
      </w:r>
      <w:r w:rsidR="00FC55C5">
        <w:rPr>
          <w:rFonts w:ascii="Simplified Arabic" w:eastAsiaTheme="majorEastAsia" w:hAnsi="Simplified Arabic" w:cs="Simplified Arabic"/>
          <w:spacing w:val="-10"/>
          <w:kern w:val="28"/>
          <w:sz w:val="24"/>
          <w:szCs w:val="24"/>
        </w:rPr>
        <w:instrText>ADDIN EN.CITE</w:instrText>
      </w:r>
      <w:r w:rsidR="00FC55C5">
        <w:rPr>
          <w:rFonts w:ascii="Simplified Arabic" w:eastAsiaTheme="majorEastAsia" w:hAnsi="Simplified Arabic" w:cs="Simplified Arabic"/>
          <w:spacing w:val="-10"/>
          <w:kern w:val="28"/>
          <w:sz w:val="24"/>
          <w:szCs w:val="24"/>
          <w:rtl/>
        </w:rPr>
        <w:instrText xml:space="preserve"> </w:instrText>
      </w:r>
      <w:r w:rsidR="00FC55C5">
        <w:rPr>
          <w:rFonts w:ascii="Simplified Arabic" w:eastAsiaTheme="majorEastAsia" w:hAnsi="Simplified Arabic" w:cs="Simplified Arabic"/>
          <w:spacing w:val="-10"/>
          <w:kern w:val="28"/>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00FC55C5">
        <w:rPr>
          <w:rFonts w:ascii="Simplified Arabic" w:eastAsiaTheme="majorEastAsia" w:hAnsi="Simplified Arabic" w:cs="Simplified Arabic"/>
          <w:spacing w:val="-10"/>
          <w:kern w:val="28"/>
          <w:sz w:val="24"/>
          <w:szCs w:val="24"/>
          <w:rtl/>
        </w:rPr>
        <w:instrText xml:space="preserve"> </w:instrText>
      </w:r>
      <w:r w:rsidR="00FC55C5">
        <w:rPr>
          <w:rFonts w:ascii="Simplified Arabic" w:eastAsiaTheme="majorEastAsia" w:hAnsi="Simplified Arabic" w:cs="Simplified Arabic"/>
          <w:spacing w:val="-10"/>
          <w:kern w:val="28"/>
          <w:sz w:val="24"/>
          <w:szCs w:val="24"/>
        </w:rPr>
        <w:instrText>ADDIN EN.CITE.DATA</w:instrText>
      </w:r>
      <w:r w:rsidR="00FC55C5">
        <w:rPr>
          <w:rFonts w:ascii="Simplified Arabic" w:eastAsiaTheme="majorEastAsia" w:hAnsi="Simplified Arabic" w:cs="Simplified Arabic"/>
          <w:spacing w:val="-10"/>
          <w:kern w:val="28"/>
          <w:sz w:val="24"/>
          <w:szCs w:val="24"/>
          <w:rtl/>
        </w:rPr>
        <w:instrText xml:space="preserve"> </w:instrText>
      </w:r>
      <w:r w:rsidR="00FC55C5">
        <w:rPr>
          <w:rFonts w:ascii="Simplified Arabic" w:eastAsiaTheme="majorEastAsia" w:hAnsi="Simplified Arabic" w:cs="Simplified Arabic"/>
          <w:spacing w:val="-10"/>
          <w:kern w:val="28"/>
          <w:sz w:val="24"/>
          <w:szCs w:val="24"/>
          <w:rtl/>
        </w:rPr>
      </w:r>
      <w:r w:rsidR="00FC55C5">
        <w:rPr>
          <w:rFonts w:ascii="Simplified Arabic" w:eastAsiaTheme="majorEastAsia" w:hAnsi="Simplified Arabic" w:cs="Simplified Arabic"/>
          <w:spacing w:val="-10"/>
          <w:kern w:val="28"/>
          <w:sz w:val="24"/>
          <w:szCs w:val="24"/>
          <w:rtl/>
        </w:rPr>
        <w:fldChar w:fldCharType="end"/>
      </w:r>
      <w:r w:rsidR="00FC55C5">
        <w:rPr>
          <w:rFonts w:ascii="Simplified Arabic" w:eastAsiaTheme="majorEastAsia" w:hAnsi="Simplified Arabic" w:cs="Simplified Arabic"/>
          <w:spacing w:val="-10"/>
          <w:kern w:val="28"/>
          <w:sz w:val="24"/>
          <w:szCs w:val="24"/>
          <w:rtl/>
        </w:rPr>
        <w:fldChar w:fldCharType="separate"/>
      </w:r>
      <w:r w:rsidR="00FC55C5">
        <w:rPr>
          <w:rFonts w:ascii="Simplified Arabic" w:eastAsiaTheme="majorEastAsia" w:hAnsi="Simplified Arabic" w:cs="Simplified Arabic"/>
          <w:noProof/>
          <w:spacing w:val="-10"/>
          <w:kern w:val="28"/>
          <w:sz w:val="24"/>
          <w:szCs w:val="24"/>
          <w:rtl/>
        </w:rPr>
        <w:t>(</w:t>
      </w:r>
      <w:r w:rsidR="00FC55C5">
        <w:rPr>
          <w:rFonts w:ascii="Simplified Arabic" w:eastAsiaTheme="majorEastAsia" w:hAnsi="Simplified Arabic" w:cs="Simplified Arabic"/>
          <w:noProof/>
          <w:spacing w:val="-10"/>
          <w:kern w:val="28"/>
          <w:sz w:val="24"/>
          <w:szCs w:val="24"/>
        </w:rPr>
        <w:t>Alrasheeday et al., 2024</w:t>
      </w:r>
      <w:r w:rsidR="00FC55C5">
        <w:rPr>
          <w:rFonts w:ascii="Simplified Arabic" w:eastAsiaTheme="majorEastAsia" w:hAnsi="Simplified Arabic" w:cs="Simplified Arabic"/>
          <w:noProof/>
          <w:spacing w:val="-10"/>
          <w:kern w:val="28"/>
          <w:sz w:val="24"/>
          <w:szCs w:val="24"/>
          <w:rtl/>
        </w:rPr>
        <w:t>)</w:t>
      </w:r>
      <w:r w:rsidR="00FC55C5">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w:t>
      </w:r>
    </w:p>
    <w:p w14:paraId="0FB471CE" w14:textId="609D6114" w:rsidR="005922C4" w:rsidRPr="0011430B" w:rsidRDefault="009D5A9D" w:rsidP="007D1551">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نظراً لكون العديد من الأخطاء الطبية ناتجة عن خلل في الأنظمة والعمليات الداخلية بدلاً من أن تكون أخطاء فردية بحتة، فقد توجهت الجهود العالمية نحو تعزيز ثقافة سلامة مؤسسية شاملة. تعرف </w:t>
      </w:r>
      <w:r w:rsidR="007D1551" w:rsidRPr="007D1551">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بأنها منظومة متكاملة من القيم والمعتقدات والسلوكيات المشتركة التي تضع السلامة في مقدمة الأولويات في جميع العمليات التنظيمية (</w:t>
      </w:r>
      <w:r w:rsidRPr="0011430B">
        <w:rPr>
          <w:rFonts w:ascii="Simplified Arabic" w:eastAsiaTheme="majorEastAsia" w:hAnsi="Simplified Arabic" w:cs="Simplified Arabic"/>
          <w:spacing w:val="-10"/>
          <w:kern w:val="28"/>
          <w:sz w:val="24"/>
          <w:szCs w:val="24"/>
        </w:rPr>
        <w:t>Mistri et al., 2023</w:t>
      </w:r>
      <w:r w:rsidRPr="0011430B">
        <w:rPr>
          <w:rFonts w:ascii="Simplified Arabic" w:eastAsiaTheme="majorEastAsia" w:hAnsi="Simplified Arabic" w:cs="Simplified Arabic"/>
          <w:spacing w:val="-10"/>
          <w:kern w:val="28"/>
          <w:sz w:val="24"/>
          <w:szCs w:val="24"/>
          <w:rtl/>
        </w:rPr>
        <w:t>).</w:t>
      </w:r>
    </w:p>
    <w:p w14:paraId="4B4D8988" w14:textId="6F0518FB" w:rsidR="00B81AA9" w:rsidRPr="0011430B" w:rsidRDefault="001C2889" w:rsidP="00B81AA9">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تجسد الثقافة الإيجابية للسلامة عبر بيئة عمل واضحة المعايير تُشجع على التعاون والتعلم المستمر بين أعضاء الفريق. وتقوم هذه الثقافة على أسس راسخة تعكس التزام المؤسسة بجعل السلامة قيمة أساسية في جميع الممارسات </w:t>
      </w:r>
      <w:r w:rsidRPr="0011430B">
        <w:rPr>
          <w:rFonts w:ascii="Simplified Arabic" w:eastAsiaTheme="majorEastAsia" w:hAnsi="Simplified Arabic" w:cs="Simplified Arabic"/>
          <w:spacing w:val="-10"/>
          <w:kern w:val="28"/>
          <w:sz w:val="24"/>
          <w:szCs w:val="24"/>
          <w:rtl/>
        </w:rPr>
        <w:fldChar w:fldCharType="begin"/>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1430B">
        <w:rPr>
          <w:rFonts w:ascii="Simplified Arabic" w:eastAsiaTheme="majorEastAsia" w:hAnsi="Simplified Arabic" w:cs="Simplified Arabic"/>
          <w:spacing w:val="-10"/>
          <w:kern w:val="28"/>
          <w:sz w:val="24"/>
          <w:szCs w:val="24"/>
          <w:rtl/>
        </w:rPr>
        <w:instrText>.&lt;/</w:instrText>
      </w:r>
      <w:r w:rsidRPr="0011430B">
        <w:rPr>
          <w:rFonts w:ascii="Simplified Arabic" w:eastAsiaTheme="majorEastAsia" w:hAnsi="Simplified Arabic" w:cs="Simplified Arabic"/>
          <w:spacing w:val="-10"/>
          <w:kern w:val="28"/>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1430B">
        <w:rPr>
          <w:rFonts w:ascii="Simplified Arabic" w:eastAsiaTheme="majorEastAsia" w:hAnsi="Simplified Arabic" w:cs="Simplified Arabic"/>
          <w:spacing w:val="-10"/>
          <w:kern w:val="28"/>
          <w:sz w:val="24"/>
          <w:szCs w:val="24"/>
          <w:rtl/>
        </w:rPr>
        <w:instrText>&gt;&lt;/</w:instrText>
      </w:r>
      <w:r w:rsidRPr="0011430B">
        <w:rPr>
          <w:rFonts w:ascii="Simplified Arabic" w:eastAsiaTheme="majorEastAsia" w:hAnsi="Simplified Arabic" w:cs="Simplified Arabic"/>
          <w:spacing w:val="-10"/>
          <w:kern w:val="28"/>
          <w:sz w:val="24"/>
          <w:szCs w:val="24"/>
        </w:rPr>
        <w:instrText>record&gt;&lt;/Cite&gt;&lt;/EndNote</w:instrText>
      </w:r>
      <w:r w:rsidRPr="0011430B">
        <w:rPr>
          <w:rFonts w:ascii="Simplified Arabic" w:eastAsiaTheme="majorEastAsia" w:hAnsi="Simplified Arabic" w:cs="Simplified Arabic"/>
          <w:spacing w:val="-10"/>
          <w:kern w:val="28"/>
          <w:sz w:val="24"/>
          <w:szCs w:val="24"/>
          <w:rtl/>
        </w:rPr>
        <w:instrText>&gt;</w:instrText>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Konlan &amp; Shin, 2022</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w:t>
      </w:r>
    </w:p>
    <w:p w14:paraId="608C9099" w14:textId="29FF952F" w:rsidR="009D5A9D"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تعد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مكونة من أربعة عناصر رئيسية: أولاً، دعم الإدارة والالتزام القيادي حيث يُعتبر التزام القادة الطبيين والإداريين بتعزيز الممارسات الآمنة وتوفير الموارد الضرورية عاملاً حاسمًا. ثانيًا، التواصل المفتوح والعدالة التنظيمية إذ يسهم الكشف عن المخاطر والأخطاء بدون خوف من العقاب في تعزيز التعلم التنظيمي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ثالثًا، التعلم المستمر من الأخطاء حيث إن التعامل مع الحوادث كفرص للتحسين يسهم في التطور المستمر للأنظمة. رابعًا، التعاون والعمل الجماعي إذ يُعد التعاون بين فرق العمل متعددة التخصصات عنصرًا أساسيًا لضمان تقديم رعاية متكاملة </w:t>
      </w:r>
      <w:r w:rsidR="001C2889" w:rsidRPr="0011430B">
        <w:rPr>
          <w:rFonts w:ascii="Simplified Arabic" w:eastAsiaTheme="majorEastAsia" w:hAnsi="Simplified Arabic" w:cs="Simplified Arabic"/>
          <w:spacing w:val="-10"/>
          <w:kern w:val="28"/>
          <w:sz w:val="24"/>
          <w:szCs w:val="24"/>
          <w:rtl/>
        </w:rPr>
        <w:fldChar w:fldCharType="begin"/>
      </w:r>
      <w:r w:rsidR="001C2889" w:rsidRPr="0011430B">
        <w:rPr>
          <w:rFonts w:ascii="Simplified Arabic" w:eastAsiaTheme="majorEastAsia" w:hAnsi="Simplified Arabic" w:cs="Simplified Arabic"/>
          <w:spacing w:val="-10"/>
          <w:kern w:val="28"/>
          <w:sz w:val="24"/>
          <w:szCs w:val="24"/>
          <w:rtl/>
        </w:rPr>
        <w:instrText xml:space="preserve"> </w:instrText>
      </w:r>
      <w:r w:rsidR="001C2889" w:rsidRPr="0011430B">
        <w:rPr>
          <w:rFonts w:ascii="Simplified Arabic" w:eastAsiaTheme="majorEastAsia" w:hAnsi="Simplified Arabic" w:cs="Simplified Arabic"/>
          <w:spacing w:val="-10"/>
          <w:kern w:val="28"/>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tl/>
        </w:rPr>
        <w:fldChar w:fldCharType="separate"/>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noProof/>
          <w:spacing w:val="-10"/>
          <w:kern w:val="28"/>
          <w:sz w:val="24"/>
          <w:szCs w:val="24"/>
        </w:rPr>
        <w:t>Asante &amp; Novak, 2024</w:t>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xml:space="preserve">. </w:t>
      </w:r>
    </w:p>
    <w:p w14:paraId="0CED196A" w14:textId="2DE1B96E"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وتشير الدراسات إلى أن قوة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داخل المؤسسات الصحية ترتبط ارتباطًا مباشرًا بقدرتها على تقليل الحوادث الضارة والالتزام بتطبيق المعايير الأمنية (</w:t>
      </w:r>
      <w:r w:rsidRPr="0011430B">
        <w:rPr>
          <w:rFonts w:ascii="Simplified Arabic" w:eastAsiaTheme="majorEastAsia" w:hAnsi="Simplified Arabic" w:cs="Simplified Arabic"/>
          <w:spacing w:val="-10"/>
          <w:kern w:val="28"/>
          <w:sz w:val="24"/>
          <w:szCs w:val="24"/>
        </w:rPr>
        <w:t>Alsahli et al., 202</w:t>
      </w:r>
      <w:r w:rsidR="00063C17" w:rsidRPr="0011430B">
        <w:rPr>
          <w:rFonts w:ascii="Simplified Arabic" w:eastAsiaTheme="majorEastAsia" w:hAnsi="Simplified Arabic" w:cs="Simplified Arabic"/>
          <w:spacing w:val="-10"/>
          <w:kern w:val="28"/>
          <w:sz w:val="24"/>
          <w:szCs w:val="24"/>
        </w:rPr>
        <w:t>4</w:t>
      </w:r>
      <w:r w:rsidRPr="0011430B">
        <w:rPr>
          <w:rFonts w:ascii="Simplified Arabic" w:eastAsiaTheme="majorEastAsia" w:hAnsi="Simplified Arabic" w:cs="Simplified Arabic"/>
          <w:spacing w:val="-10"/>
          <w:kern w:val="28"/>
          <w:sz w:val="24"/>
          <w:szCs w:val="24"/>
          <w:rtl/>
        </w:rPr>
        <w:t xml:space="preserve">). ويُبرز في هذا الإطار الدور الحيوي للقيادة الفعالة، التي تمثل المحرك الرئيسي لتعزيز هذه الثقافة عبر توجيه العمليات وتحديد الأولويات.  </w:t>
      </w:r>
    </w:p>
    <w:p w14:paraId="44B560BC" w14:textId="2C8EDF2E" w:rsidR="00663477" w:rsidRPr="00663477" w:rsidRDefault="00D329D0" w:rsidP="00D329D0">
      <w:pPr>
        <w:bidi/>
        <w:spacing w:line="360" w:lineRule="auto"/>
        <w:jc w:val="both"/>
        <w:rPr>
          <w:rFonts w:ascii="Simplified Arabic" w:eastAsiaTheme="majorEastAsia" w:hAnsi="Simplified Arabic" w:cs="Simplified Arabic"/>
          <w:spacing w:val="-10"/>
          <w:kern w:val="28"/>
          <w:sz w:val="24"/>
          <w:szCs w:val="24"/>
        </w:rPr>
      </w:pPr>
      <w:r>
        <w:rPr>
          <w:rFonts w:ascii="Simplified Arabic" w:eastAsiaTheme="majorEastAsia" w:hAnsi="Simplified Arabic" w:cs="Simplified Arabic"/>
          <w:spacing w:val="-10"/>
          <w:kern w:val="28"/>
          <w:sz w:val="24"/>
          <w:szCs w:val="24"/>
          <w:rtl/>
        </w:rPr>
        <w:t>تُعتبر القيادة التحويلية أحد أبرز أساليب القيادة، إذ تتميز بقدرتها على إحداث تغييرات عميقة ومستدامة في قيم وممارسات العمل (</w:t>
      </w:r>
      <w:r>
        <w:rPr>
          <w:rFonts w:ascii="Simplified Arabic" w:eastAsiaTheme="majorEastAsia" w:hAnsi="Simplified Arabic" w:cs="Simplified Arabic"/>
          <w:spacing w:val="-10"/>
          <w:kern w:val="28"/>
          <w:sz w:val="24"/>
          <w:szCs w:val="24"/>
        </w:rPr>
        <w:t>Ahmed et al., 2024</w:t>
      </w:r>
      <w:r>
        <w:rPr>
          <w:rFonts w:ascii="Simplified Arabic" w:eastAsiaTheme="majorEastAsia" w:hAnsi="Simplified Arabic" w:cs="Simplified Arabic"/>
          <w:spacing w:val="-10"/>
          <w:kern w:val="28"/>
          <w:sz w:val="24"/>
          <w:szCs w:val="24"/>
          <w:rtl/>
        </w:rPr>
        <w:t xml:space="preserve">). لقياس هذا النمط من القيادة بشكل علمي، ظهرت عدة أدوات قياسية في الأدبيات، من بينها مخزون القيادة التحويلية — </w:t>
      </w:r>
      <w:r>
        <w:rPr>
          <w:rFonts w:ascii="Simplified Arabic" w:eastAsiaTheme="majorEastAsia" w:hAnsi="Simplified Arabic" w:cs="Simplified Arabic"/>
          <w:spacing w:val="-10"/>
          <w:kern w:val="28"/>
          <w:sz w:val="24"/>
          <w:szCs w:val="24"/>
        </w:rPr>
        <w:t xml:space="preserve">Transformational </w:t>
      </w:r>
      <w:r>
        <w:rPr>
          <w:rFonts w:ascii="Simplified Arabic" w:eastAsiaTheme="majorEastAsia" w:hAnsi="Simplified Arabic" w:cs="Simplified Arabic"/>
          <w:spacing w:val="-10"/>
          <w:kern w:val="28"/>
          <w:sz w:val="24"/>
          <w:szCs w:val="24"/>
        </w:rPr>
        <w:lastRenderedPageBreak/>
        <w:t>Leadership Inventory (TLI)</w:t>
      </w:r>
      <w:r>
        <w:rPr>
          <w:rFonts w:ascii="Simplified Arabic" w:eastAsiaTheme="majorEastAsia" w:hAnsi="Simplified Arabic" w:cs="Simplified Arabic"/>
          <w:spacing w:val="-10"/>
          <w:kern w:val="28"/>
          <w:sz w:val="24"/>
          <w:szCs w:val="24"/>
          <w:rtl/>
        </w:rPr>
        <w:t xml:space="preserve"> الذي وضعه </w:t>
      </w:r>
      <w:r>
        <w:rPr>
          <w:rFonts w:ascii="Simplified Arabic" w:eastAsiaTheme="majorEastAsia" w:hAnsi="Simplified Arabic" w:cs="Simplified Arabic"/>
          <w:spacing w:val="-10"/>
          <w:kern w:val="28"/>
          <w:sz w:val="24"/>
          <w:szCs w:val="24"/>
        </w:rPr>
        <w:t>Podsakoff</w:t>
      </w:r>
      <w:r>
        <w:rPr>
          <w:rFonts w:ascii="Simplified Arabic" w:eastAsiaTheme="majorEastAsia" w:hAnsi="Simplified Arabic" w:cs="Simplified Arabic"/>
          <w:spacing w:val="-10"/>
          <w:kern w:val="28"/>
          <w:sz w:val="24"/>
          <w:szCs w:val="24"/>
          <w:rtl/>
        </w:rPr>
        <w:t xml:space="preserve"> وزملاؤه عام 1990، ويُعد من أوائل الأدوات المتخصصة في قياس سلوكيات القيادة التحويلية بأبعادها الستة المختلفة. تظهر الدراسات أن هذا الأسلوب القيادي يُساهم في تحسين بيئات العمل التي تدعم السلامة وتعزيز التعلم المستمر (البركاني، 2024)، كما أنه يؤثر بشكل مباشر على العناصر التنظيمية التي تساهم في إنشاء ثقافة سلامة المرضى (</w:t>
      </w:r>
      <w:r>
        <w:rPr>
          <w:rFonts w:ascii="Simplified Arabic" w:eastAsiaTheme="majorEastAsia" w:hAnsi="Simplified Arabic" w:cs="Simplified Arabic"/>
          <w:spacing w:val="-10"/>
          <w:kern w:val="28"/>
          <w:sz w:val="24"/>
          <w:szCs w:val="24"/>
        </w:rPr>
        <w:t>Alotaibi et al., 2015</w:t>
      </w:r>
      <w:r>
        <w:rPr>
          <w:rFonts w:ascii="Simplified Arabic" w:eastAsiaTheme="majorEastAsia" w:hAnsi="Simplified Arabic" w:cs="Simplified Arabic"/>
          <w:spacing w:val="-10"/>
          <w:kern w:val="28"/>
          <w:sz w:val="24"/>
          <w:szCs w:val="24"/>
          <w:rtl/>
        </w:rPr>
        <w:t>).</w:t>
      </w:r>
    </w:p>
    <w:p w14:paraId="0DF3D8D5" w14:textId="39028621"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 ويستند هذا الأسلوب إلى تحفيز الموظفين وتمكينهم من تجاوز التوقعات التقليدية من خلال رؤية ملهمة تعزز الإبداع والتطوير (الحاج والسفياني، 2024). وأظهرت الدراسات أن تطبيق القيادة التحويلية في الأنظمة الصحية يُسهم في تعزيز مكونات </w:t>
      </w:r>
      <w:r w:rsidR="00631A37" w:rsidRPr="00631A37">
        <w:rPr>
          <w:rFonts w:ascii="Simplified Arabic" w:eastAsiaTheme="majorEastAsia" w:hAnsi="Simplified Arabic" w:cs="Simplified Arabic"/>
          <w:spacing w:val="-10"/>
          <w:kern w:val="28"/>
          <w:sz w:val="24"/>
          <w:szCs w:val="24"/>
          <w:rtl/>
        </w:rPr>
        <w:t>ثقافة سلامة المرضى</w:t>
      </w:r>
      <w:r w:rsidR="00631A37">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وتحسين الممارسات المرتبطة بها (</w:t>
      </w:r>
      <w:proofErr w:type="spellStart"/>
      <w:r w:rsidRPr="0011430B">
        <w:rPr>
          <w:rFonts w:ascii="Simplified Arabic" w:eastAsiaTheme="majorEastAsia" w:hAnsi="Simplified Arabic" w:cs="Simplified Arabic"/>
          <w:spacing w:val="-10"/>
          <w:kern w:val="28"/>
          <w:sz w:val="24"/>
          <w:szCs w:val="24"/>
        </w:rPr>
        <w:t>Althaibah</w:t>
      </w:r>
      <w:proofErr w:type="spellEnd"/>
      <w:r w:rsidRPr="0011430B">
        <w:rPr>
          <w:rFonts w:ascii="Simplified Arabic" w:eastAsiaTheme="majorEastAsia" w:hAnsi="Simplified Arabic" w:cs="Simplified Arabic"/>
          <w:spacing w:val="-10"/>
          <w:kern w:val="28"/>
          <w:sz w:val="24"/>
          <w:szCs w:val="24"/>
        </w:rPr>
        <w:t xml:space="preserve"> et al., 2022; Mistri et al., 2023</w:t>
      </w:r>
      <w:r w:rsidRPr="0011430B">
        <w:rPr>
          <w:rFonts w:ascii="Simplified Arabic" w:eastAsiaTheme="majorEastAsia" w:hAnsi="Simplified Arabic" w:cs="Simplified Arabic"/>
          <w:spacing w:val="-10"/>
          <w:kern w:val="28"/>
          <w:sz w:val="24"/>
          <w:szCs w:val="24"/>
          <w:rtl/>
        </w:rPr>
        <w:t>).</w:t>
      </w:r>
    </w:p>
    <w:p w14:paraId="5ED20D1D" w14:textId="062CFBF5"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tl/>
        </w:rPr>
      </w:pPr>
      <w:r w:rsidRPr="0011430B">
        <w:rPr>
          <w:rFonts w:ascii="Simplified Arabic" w:eastAsiaTheme="majorEastAsia" w:hAnsi="Simplified Arabic" w:cs="Simplified Arabic"/>
          <w:b/>
          <w:bCs/>
          <w:spacing w:val="-10"/>
          <w:kern w:val="28"/>
          <w:sz w:val="24"/>
          <w:szCs w:val="24"/>
          <w:rtl/>
        </w:rPr>
        <w:t xml:space="preserve">الأهمية الاستراتيجية للدراسة في السياق السعودي </w:t>
      </w:r>
    </w:p>
    <w:p w14:paraId="3B4DF20B" w14:textId="6D36E1CC"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تكتسب موضوعية هذه الدراسة أهمية بالغة في السياق السعودي، نظرًا للتحولات الجارية في القطاع الصحي وتوافقًا مع أهداف رؤية المملكة 2030 وبرنامج تحول القطاع الصحي المقصود إليه لتحقيق تحسين جودة الخدمات وتعزيز سلامة المرضى (</w:t>
      </w:r>
      <w:proofErr w:type="spellStart"/>
      <w:r w:rsidRPr="0011430B">
        <w:rPr>
          <w:rFonts w:ascii="Simplified Arabic" w:eastAsiaTheme="majorEastAsia" w:hAnsi="Simplified Arabic" w:cs="Simplified Arabic"/>
          <w:spacing w:val="-10"/>
          <w:kern w:val="28"/>
          <w:sz w:val="24"/>
          <w:szCs w:val="24"/>
        </w:rPr>
        <w:t>Alsari</w:t>
      </w:r>
      <w:proofErr w:type="spellEnd"/>
      <w:r w:rsidRPr="0011430B">
        <w:rPr>
          <w:rFonts w:ascii="Simplified Arabic" w:eastAsiaTheme="majorEastAsia" w:hAnsi="Simplified Arabic" w:cs="Simplified Arabic"/>
          <w:spacing w:val="-10"/>
          <w:kern w:val="28"/>
          <w:sz w:val="24"/>
          <w:szCs w:val="24"/>
        </w:rPr>
        <w:t xml:space="preserve"> et al., 2024; Holding, 2025</w:t>
      </w:r>
      <w:r w:rsidRPr="0011430B">
        <w:rPr>
          <w:rFonts w:ascii="Simplified Arabic" w:eastAsiaTheme="majorEastAsia" w:hAnsi="Simplified Arabic" w:cs="Simplified Arabic"/>
          <w:spacing w:val="-10"/>
          <w:kern w:val="28"/>
          <w:sz w:val="24"/>
          <w:szCs w:val="24"/>
          <w:rtl/>
        </w:rPr>
        <w:t xml:space="preserve">). وعلى الرغم من الجهود المبذولة، لا تزال المؤسسات الصحية الحكومية تواجه تحديات أساسية تتعلق بسلامة المرضى، حيث تُظهر الدراسات الحديثة قصورًا في </w:t>
      </w:r>
      <w:r w:rsidR="00BD1209" w:rsidRPr="00BD1209">
        <w:rPr>
          <w:rFonts w:ascii="Simplified Arabic" w:eastAsiaTheme="majorEastAsia" w:hAnsi="Simplified Arabic" w:cs="Simplified Arabic"/>
          <w:spacing w:val="-10"/>
          <w:kern w:val="28"/>
          <w:sz w:val="24"/>
          <w:szCs w:val="24"/>
          <w:rtl/>
        </w:rPr>
        <w:t>ثقافة سلامة المرضى</w:t>
      </w:r>
      <w:r w:rsidR="00BD1209">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وضعفًا في نظم الإبلاغ عن الحوادث، مما يستلزم تدخلات قيادية فعالة.</w:t>
      </w:r>
    </w:p>
    <w:p w14:paraId="3FE30B85" w14:textId="1CA1186E"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تشير التقارير الوطنية إلى وجود تحديات ملحوظة تتعلق بسلامة المرضى، حيث أظهرت المراجعات المنهجية تأثيرًا كبيرًا للأخطاء الدوائية على سلامة المرضى في المستشفيات السعودية (</w:t>
      </w:r>
      <w:proofErr w:type="spellStart"/>
      <w:r w:rsidRPr="0011430B">
        <w:rPr>
          <w:rFonts w:ascii="Simplified Arabic" w:eastAsiaTheme="majorEastAsia" w:hAnsi="Simplified Arabic" w:cs="Simplified Arabic"/>
          <w:spacing w:val="-10"/>
          <w:kern w:val="28"/>
          <w:sz w:val="24"/>
          <w:szCs w:val="24"/>
        </w:rPr>
        <w:t>Alrasheeday</w:t>
      </w:r>
      <w:proofErr w:type="spellEnd"/>
      <w:r w:rsidRPr="0011430B">
        <w:rPr>
          <w:rFonts w:ascii="Simplified Arabic" w:eastAsiaTheme="majorEastAsia" w:hAnsi="Simplified Arabic" w:cs="Simplified Arabic"/>
          <w:spacing w:val="-10"/>
          <w:kern w:val="28"/>
          <w:sz w:val="24"/>
          <w:szCs w:val="24"/>
        </w:rPr>
        <w:t xml:space="preserve"> et al., 2024</w:t>
      </w:r>
      <w:r w:rsidRPr="0011430B">
        <w:rPr>
          <w:rFonts w:ascii="Simplified Arabic" w:eastAsiaTheme="majorEastAsia" w:hAnsi="Simplified Arabic" w:cs="Simplified Arabic"/>
          <w:spacing w:val="-10"/>
          <w:kern w:val="28"/>
          <w:sz w:val="24"/>
          <w:szCs w:val="24"/>
          <w:rtl/>
        </w:rPr>
        <w:t xml:space="preserve">). وتؤدي هذه الأخطاء إلى وقوع حوادث ضارة تسهم في زيادة معدلات الوفيات وارتفاع مدة الإقامة في المستشفيات. كما أكدت الدراسات المحلية وجود ضعف في </w:t>
      </w:r>
      <w:r w:rsidR="00BD1209" w:rsidRPr="00BD1209">
        <w:rPr>
          <w:rFonts w:ascii="Simplified Arabic" w:eastAsiaTheme="majorEastAsia" w:hAnsi="Simplified Arabic" w:cs="Simplified Arabic"/>
          <w:spacing w:val="-10"/>
          <w:kern w:val="28"/>
          <w:sz w:val="24"/>
          <w:szCs w:val="24"/>
          <w:rtl/>
        </w:rPr>
        <w:t>ثقافة سلامة المرضى</w:t>
      </w:r>
      <w:r w:rsidR="00BD1209">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بين الكوادر الصحية في عدة مناطق، بالإضافة إلى ارتباط ذلك بارتفاع معدل الحوادث السريرية الضارة.</w:t>
      </w:r>
    </w:p>
    <w:p w14:paraId="043DB686" w14:textId="794096C1"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Pr>
      </w:pPr>
      <w:r w:rsidRPr="0011430B">
        <w:rPr>
          <w:rFonts w:ascii="Simplified Arabic" w:eastAsiaTheme="majorEastAsia" w:hAnsi="Simplified Arabic" w:cs="Simplified Arabic"/>
          <w:b/>
          <w:bCs/>
          <w:spacing w:val="-10"/>
          <w:kern w:val="28"/>
          <w:sz w:val="24"/>
          <w:szCs w:val="24"/>
          <w:rtl/>
        </w:rPr>
        <w:t xml:space="preserve">الفجوة البحثية وتبرير الحاجة للدراسة </w:t>
      </w:r>
    </w:p>
    <w:p w14:paraId="207DE5D8" w14:textId="5EC27215" w:rsidR="00CA0E31" w:rsidRPr="0011430B" w:rsidRDefault="00FF40E9" w:rsidP="00CA0E31">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تكشف المراجعة النقدية للأدبيات السابقة عن وجود فجوة واضحة في التوزيع الجغرافي للدراسات المتعلقة بسلامة المرضى داخل المملكة. إذ غالبًا ما تم التركيز على مناطق مثل الرياض، الحد</w:t>
      </w:r>
      <w:r w:rsidR="00032F82">
        <w:rPr>
          <w:rFonts w:ascii="Simplified Arabic" w:eastAsiaTheme="majorEastAsia" w:hAnsi="Simplified Arabic" w:cs="Simplified Arabic" w:hint="cs"/>
          <w:spacing w:val="-10"/>
          <w:kern w:val="28"/>
          <w:sz w:val="24"/>
          <w:szCs w:val="24"/>
          <w:rtl/>
        </w:rPr>
        <w:t>ود</w:t>
      </w:r>
      <w:r w:rsidRPr="0011430B">
        <w:rPr>
          <w:rFonts w:ascii="Simplified Arabic" w:eastAsiaTheme="majorEastAsia" w:hAnsi="Simplified Arabic" w:cs="Simplified Arabic"/>
          <w:spacing w:val="-10"/>
          <w:kern w:val="28"/>
          <w:sz w:val="24"/>
          <w:szCs w:val="24"/>
          <w:rtl/>
        </w:rPr>
        <w:t xml:space="preserve"> الشمالية، وجدة، في حين لم تحظَ منطقة الجوف بالاهتمام البحثي الكافي بالرغم من أهميتها الإقليمية وحجم المستفيدين من خدماتها الصحية. </w:t>
      </w:r>
      <w:r w:rsidR="007420FC" w:rsidRPr="007420FC">
        <w:rPr>
          <w:rFonts w:ascii="Simplified Arabic" w:eastAsiaTheme="majorEastAsia" w:hAnsi="Simplified Arabic" w:cs="Simplified Arabic"/>
          <w:spacing w:val="-10"/>
          <w:kern w:val="28"/>
          <w:sz w:val="24"/>
          <w:szCs w:val="24"/>
          <w:rtl/>
        </w:rPr>
        <w:t>كما ركزت معظم الدراسات على العلاقات المباشرة بين المتغيرات، مع إغفال الآليات الوسيطة التي تنتقل من خلالها تأثيرات القيادة التحويلية إلى النتائج المرتبطة بسلامة المرضى</w:t>
      </w:r>
      <w:r w:rsidR="007420FC" w:rsidRPr="007420FC">
        <w:rPr>
          <w:rFonts w:ascii="Simplified Arabic" w:eastAsiaTheme="majorEastAsia" w:hAnsi="Simplified Arabic" w:cs="Simplified Arabic"/>
          <w:spacing w:val="-10"/>
          <w:kern w:val="28"/>
          <w:sz w:val="24"/>
          <w:szCs w:val="24"/>
        </w:rPr>
        <w:t>.</w:t>
      </w:r>
    </w:p>
    <w:p w14:paraId="3F3711B7" w14:textId="6CC26EF8" w:rsidR="00CA0E31" w:rsidRPr="00CA0E31" w:rsidRDefault="00B74258" w:rsidP="00CA0E31">
      <w:pPr>
        <w:bidi/>
        <w:spacing w:line="360" w:lineRule="auto"/>
        <w:jc w:val="both"/>
        <w:rPr>
          <w:rFonts w:ascii="Simplified Arabic" w:eastAsiaTheme="majorEastAsia" w:hAnsi="Simplified Arabic" w:cs="Simplified Arabic"/>
          <w:spacing w:val="-10"/>
          <w:kern w:val="28"/>
          <w:sz w:val="24"/>
          <w:szCs w:val="24"/>
        </w:rPr>
      </w:pPr>
      <w:r>
        <w:rPr>
          <w:rFonts w:ascii="Simplified Arabic" w:eastAsiaTheme="majorEastAsia" w:hAnsi="Simplified Arabic" w:cs="Simplified Arabic"/>
          <w:spacing w:val="-10"/>
          <w:kern w:val="28"/>
          <w:sz w:val="24"/>
          <w:szCs w:val="24"/>
          <w:highlight w:val="yellow"/>
          <w:rtl/>
        </w:rPr>
        <w:t xml:space="preserve">تنطلق هذه الدراسة من افتراض نظري مفاده أن أثر القيادة التحويلية في نتائج السلامة لا ينتقل انتقالًا مباشرًا وفوريًا، بل يمر أولًا عبر تشكيل بيئة تنظيمية تُعلي قيمة السلامة وتدعم التعلم من الخطأ والتواصل المفتوح حوله. وعندما تترسخ هذه البيئة في صورة ثقافة سلامة إيجابية، فإنها تنعكس على سلوكيات العاملين اليومية، مثل الالتزام بالبروتوكولات، والتحقق من الإجراءات الحرجة، والإبلاغ عن الحوادث والمخاطر. ومن ثم، يُفهم تقليل الأحداث الضارة </w:t>
      </w:r>
      <w:r>
        <w:rPr>
          <w:rFonts w:ascii="Simplified Arabic" w:eastAsiaTheme="majorEastAsia" w:hAnsi="Simplified Arabic" w:cs="Simplified Arabic"/>
          <w:spacing w:val="-10"/>
          <w:kern w:val="28"/>
          <w:sz w:val="24"/>
          <w:szCs w:val="24"/>
          <w:highlight w:val="yellow"/>
          <w:rtl/>
        </w:rPr>
        <w:lastRenderedPageBreak/>
        <w:t>بوصفه نتيجة نهائية لمسار سببي تدرجي يبدأ بالقيادة التحويلية، ويمر بثقافة السلامة، ثم يتجسد في سلوكيات السلامة، وهو ما يبرر اختبار الوساطة المتسلسلة في هذه الدراسة.</w:t>
      </w:r>
    </w:p>
    <w:p w14:paraId="41F5156A" w14:textId="4597EFE4" w:rsidR="00E624E0" w:rsidRPr="0011430B" w:rsidRDefault="00897949" w:rsidP="001132D0">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2</w:t>
      </w:r>
      <w:r w:rsidRPr="0011430B">
        <w:rPr>
          <w:rFonts w:ascii="Simplified Arabic" w:hAnsi="Simplified Arabic" w:cs="Simplified Arabic"/>
          <w:b/>
          <w:bCs/>
          <w:sz w:val="24"/>
          <w:szCs w:val="24"/>
          <w:rtl/>
        </w:rPr>
        <w:t>.</w:t>
      </w:r>
      <w:r w:rsidR="00E624E0" w:rsidRPr="0011430B">
        <w:rPr>
          <w:rFonts w:ascii="Simplified Arabic" w:hAnsi="Simplified Arabic" w:cs="Simplified Arabic"/>
          <w:b/>
          <w:bCs/>
          <w:sz w:val="24"/>
          <w:szCs w:val="24"/>
          <w:rtl/>
        </w:rPr>
        <w:t xml:space="preserve"> مشكلة الدراسة</w:t>
      </w:r>
    </w:p>
    <w:p w14:paraId="702FE33E" w14:textId="3CE2FE08"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2.1 </w:t>
      </w:r>
      <w:r w:rsidRPr="0011430B">
        <w:rPr>
          <w:rFonts w:ascii="Simplified Arabic" w:hAnsi="Simplified Arabic" w:cs="Simplified Arabic"/>
          <w:b/>
          <w:bCs/>
          <w:sz w:val="24"/>
          <w:szCs w:val="24"/>
          <w:rtl/>
        </w:rPr>
        <w:t>السياق العالمي والتحديات المرتبطة بسلامة المرضى</w:t>
      </w:r>
    </w:p>
    <w:p w14:paraId="6A5D8389" w14:textId="7AB28192" w:rsidR="00FF40E9" w:rsidRPr="0011430B" w:rsidRDefault="00FF40E9"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تواجه الأنظمة الصحية في جميع أنحاء العالم تحديات متزايدة تتعلق بضمان سلامة المرضى، حيث تُعد هذه القضية محورًا أساسيًا في الممارسات الطبية وأبحاث العلم المعاصر. وتشير الأدبيات إلى أن الأخطاء الطبية والحوادث الضارة التي يمكن الوقاية منها لا تزال تشكل سببًا رئيسيًا للأضرار الجسيمة التي تلحق بالمرضى، بالإضافة إلى الأعباء المالية والتشغيلية الكبيرة التي تفرضها على المؤسسات الصحية </w:t>
      </w:r>
      <w:r w:rsidR="001C2889" w:rsidRPr="0011430B">
        <w:rPr>
          <w:rFonts w:ascii="Simplified Arabic" w:hAnsi="Simplified Arabic" w:cs="Simplified Arabic"/>
          <w:sz w:val="24"/>
          <w:szCs w:val="24"/>
          <w:rtl/>
        </w:rPr>
        <w:fldChar w:fldCharType="begin"/>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001C2889" w:rsidRPr="0011430B">
        <w:rPr>
          <w:rFonts w:ascii="Simplified Arabic" w:hAnsi="Simplified Arabic" w:cs="Simplified Arabic"/>
          <w:sz w:val="24"/>
          <w:szCs w:val="24"/>
          <w:rtl/>
        </w:rPr>
        <w:instrText>&gt;</w:instrText>
      </w:r>
      <w:r w:rsidR="001C2889" w:rsidRPr="0011430B">
        <w:rPr>
          <w:rFonts w:ascii="Simplified Arabic" w:hAnsi="Simplified Arabic" w:cs="Simplified Arabic"/>
          <w:sz w:val="24"/>
          <w:szCs w:val="24"/>
          <w:rtl/>
        </w:rPr>
        <w:fldChar w:fldCharType="separate"/>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noProof/>
          <w:sz w:val="24"/>
          <w:szCs w:val="24"/>
        </w:rPr>
        <w:t>Hussain &amp; Khayat, 2021</w:t>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 xml:space="preserve">. </w:t>
      </w:r>
    </w:p>
    <w:p w14:paraId="782DBE17" w14:textId="26AD8895" w:rsidR="00B176F1" w:rsidRPr="0011430B" w:rsidRDefault="00FF40E9" w:rsidP="00FF40E9">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ويزداد تعقيد هذا التحدي في البيئات التي تتطلب تنسيقًا متكاملاً بين فرق العمل ذات التخصصات المتعددة، وإدارة دقيقة للعمليات الحيوية. في هذا السياق، تتزايد الحاجة إلى فهم العوامل القيادية والتنظيمية التي تساهم في ترسيخ ثقافة قوية لسلامة المرضى، وتعزيز قدرة المؤسسة على الوقاية من الأخطاء وتقليل آثارها.</w:t>
      </w:r>
    </w:p>
    <w:p w14:paraId="0DE264A1" w14:textId="2FA742EF"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2.2 </w:t>
      </w:r>
      <w:r w:rsidRPr="0011430B">
        <w:rPr>
          <w:rFonts w:ascii="Simplified Arabic" w:hAnsi="Simplified Arabic" w:cs="Simplified Arabic"/>
          <w:b/>
          <w:bCs/>
          <w:sz w:val="24"/>
          <w:szCs w:val="24"/>
          <w:rtl/>
        </w:rPr>
        <w:t>الوضع في المملكة العربية السعودية والحاجة إلى التحول القيادي</w:t>
      </w:r>
    </w:p>
    <w:p w14:paraId="1250E8B0" w14:textId="77777777" w:rsidR="00FF40E9" w:rsidRPr="0011430B" w:rsidRDefault="00FF40E9"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في المملكة العربية السعودية، تكتسب قضايا سلامة المرضى أهمية متزايدة في ضوء توجهات الدولة الرامية إلى تحقيق مستهدفات رؤية 2030 وبرنامج تحول القطاع الصحي. ورغم المبادرات الموجهة لتحسين جودة الرعاية الصحية، تكشف الدراسات الحديثة عن استمرار وجود حوادث ضارة قابلة للوقاية ونسب ملحوظة من الأخطاء الطبية في بعض المنشآت الصحية (السلمي &amp; شعيبي، 2024).</w:t>
      </w:r>
    </w:p>
    <w:p w14:paraId="413B3A19" w14:textId="7923F58A" w:rsidR="00B176F1" w:rsidRPr="0011430B" w:rsidRDefault="00FF40E9" w:rsidP="00BD1209">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 وتبرز الأدبيات الحديثة الدور الحاسم للقيادة التحويلية بوصفها أحد العوامل المؤثرة في تشكيل الثقافة التنظيمية وتعزيز ممارسات السلامة. إذ أثبتت دراسات عدة أن هذا الأسلوب القيادي يسهم في تحسين </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داخل المستشفيات السعودية، ويعزز التزام العاملين بالممارسات الآمنة (</w:t>
      </w:r>
      <w:r w:rsidRPr="0011430B">
        <w:rPr>
          <w:rFonts w:ascii="Simplified Arabic" w:hAnsi="Simplified Arabic" w:cs="Simplified Arabic"/>
          <w:sz w:val="24"/>
          <w:szCs w:val="24"/>
        </w:rPr>
        <w:t>Hamdan et al., 2024</w:t>
      </w:r>
      <w:r w:rsidRPr="0011430B">
        <w:rPr>
          <w:rFonts w:ascii="Simplified Arabic" w:hAnsi="Simplified Arabic" w:cs="Simplified Arabic"/>
          <w:sz w:val="24"/>
          <w:szCs w:val="24"/>
          <w:rtl/>
        </w:rPr>
        <w:t>). كما أظهرت دراسات أخرى أن ثقافة المؤسسة قد تعمل كوسيط رئيس بين القيادة التحويلية وسلوكيات السلامة، بما يعكس دور الثقافة في نقل تأثير القيادة إلى الأداء الفعلي للعاملين.</w:t>
      </w:r>
    </w:p>
    <w:p w14:paraId="1830A11C" w14:textId="04BC827D" w:rsidR="00B176F1" w:rsidRPr="0011430B" w:rsidRDefault="00930E7C" w:rsidP="00054F0A">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 xml:space="preserve">2.3 </w:t>
      </w:r>
      <w:r w:rsidRPr="0011430B">
        <w:rPr>
          <w:rFonts w:ascii="Simplified Arabic" w:hAnsi="Simplified Arabic" w:cs="Simplified Arabic"/>
          <w:b/>
          <w:bCs/>
          <w:sz w:val="24"/>
          <w:szCs w:val="24"/>
          <w:rtl/>
        </w:rPr>
        <w:t>الفجوة</w:t>
      </w:r>
      <w:r w:rsidR="00B176F1" w:rsidRPr="0011430B">
        <w:rPr>
          <w:rFonts w:ascii="Simplified Arabic" w:hAnsi="Simplified Arabic" w:cs="Simplified Arabic"/>
          <w:b/>
          <w:bCs/>
          <w:sz w:val="24"/>
          <w:szCs w:val="24"/>
          <w:rtl/>
        </w:rPr>
        <w:t xml:space="preserve"> البحثية والحاجة المحددة في منطقة الجوف</w:t>
      </w:r>
    </w:p>
    <w:p w14:paraId="7CF40063" w14:textId="77777777" w:rsidR="00FF40E9" w:rsidRPr="0011430B" w:rsidRDefault="00B176F1"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w:t>
      </w:r>
      <w:r w:rsidRPr="0011430B">
        <w:rPr>
          <w:rFonts w:ascii="Simplified Arabic" w:hAnsi="Simplified Arabic" w:cs="Simplified Arabic"/>
          <w:sz w:val="24"/>
          <w:szCs w:val="24"/>
          <w:rtl/>
        </w:rPr>
        <w:lastRenderedPageBreak/>
        <w:t xml:space="preserve">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 2019). </w:t>
      </w:r>
    </w:p>
    <w:p w14:paraId="151FE7A6" w14:textId="4FE62923" w:rsidR="00B176F1" w:rsidRPr="0011430B" w:rsidRDefault="00FF40E9"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كما يُظهر عدم التوازن الجغرافي في الدراسات الوطنية، حيث تتركز الأبحاث على مناطق معينة مثل الرياض والحدود الشمالية وجدة، في حين لم تحظَ منطقة الجوف بالاهتمام البحثي الكافي رغم خصوصيتها الجغرافية والديموغرافية. وعليه، تتمثل المشكلة الأساسية لهذه الدراسة في فهم آلية التأثير المتسلسل للقيادة التحويلية على تقليل الأحداث الضارة من خلال الدور الوسيط المتتابع ل</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 xml:space="preserve"> وسلوكيات السلامة لدى الممارسين الصحيين في مستشفيات القطاع الحكومي بمنطقة الجوف في المملكة العربية السعودية. وتستند هذه الدراسة إلى ضرورة سد هذه الفجوة المعرفية وتوفير بيانات ميدانية دقيقة تسهم في دعم متخذي القرار لتطوير استراتيجيات قيادية فعالة وملائمة للسياق المحلي.</w:t>
      </w:r>
    </w:p>
    <w:p w14:paraId="0406981C" w14:textId="34EDEF42"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tl/>
        </w:rPr>
        <w:t>3.</w:t>
      </w:r>
      <w:r w:rsidRPr="0011430B">
        <w:rPr>
          <w:rFonts w:ascii="Simplified Arabic" w:hAnsi="Simplified Arabic" w:cs="Simplified Arabic"/>
          <w:b/>
          <w:bCs/>
          <w:sz w:val="24"/>
          <w:szCs w:val="24"/>
        </w:rPr>
        <w:t xml:space="preserve"> </w:t>
      </w:r>
      <w:r w:rsidRPr="0011430B">
        <w:rPr>
          <w:rFonts w:ascii="Simplified Arabic" w:hAnsi="Simplified Arabic" w:cs="Simplified Arabic"/>
          <w:b/>
          <w:bCs/>
          <w:sz w:val="24"/>
          <w:szCs w:val="24"/>
          <w:rtl/>
        </w:rPr>
        <w:t xml:space="preserve">أسئلة الدراسة </w:t>
      </w:r>
    </w:p>
    <w:p w14:paraId="0C06249F" w14:textId="761CEB5D"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3.1 </w:t>
      </w:r>
      <w:r w:rsidRPr="0011430B">
        <w:rPr>
          <w:rFonts w:ascii="Simplified Arabic" w:hAnsi="Simplified Arabic" w:cs="Simplified Arabic"/>
          <w:b/>
          <w:bCs/>
          <w:sz w:val="24"/>
          <w:szCs w:val="24"/>
          <w:rtl/>
        </w:rPr>
        <w:t>السؤال الرئيسي</w:t>
      </w:r>
    </w:p>
    <w:p w14:paraId="1D7B1430" w14:textId="64F14856" w:rsidR="00A15DD9" w:rsidRDefault="00A15DD9" w:rsidP="00054F0A">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t xml:space="preserve">كيف تؤثر القيادة التحويلية بأبعادها الستة (توضيح الرؤية، تقديم النموذج، تشجيع قبول الأهداف الجماعية، توقعات الأداء العالية، الدعم الفردي، الاستثارة الفكرية) على تقليل الأحداث الضارة من خلال الوساطة المتسلسلة لثقافة سلامة المرضى وسلوكيات السلامة لدى العاملين في مستشفيات القطاع الحكومي بمنطقة الجوف، وفق إطار </w:t>
      </w:r>
      <w:r>
        <w:rPr>
          <w:rFonts w:ascii="Simplified Arabic" w:hAnsi="Simplified Arabic" w:cs="Simplified Arabic"/>
          <w:sz w:val="24"/>
          <w:szCs w:val="24"/>
        </w:rPr>
        <w:t>Podsakoff et al</w:t>
      </w:r>
      <w:r>
        <w:rPr>
          <w:rFonts w:ascii="Simplified Arabic" w:hAnsi="Simplified Arabic" w:cs="Simplified Arabic"/>
          <w:sz w:val="24"/>
          <w:szCs w:val="24"/>
          <w:rtl/>
        </w:rPr>
        <w:t>. (1990)؟</w:t>
      </w:r>
    </w:p>
    <w:p w14:paraId="36F3DA0B" w14:textId="767FBCCE" w:rsidR="00B176F1" w:rsidRPr="0011430B" w:rsidRDefault="00B176F1" w:rsidP="00A15DD9">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3.2 </w:t>
      </w:r>
      <w:r w:rsidRPr="0011430B">
        <w:rPr>
          <w:rFonts w:ascii="Simplified Arabic" w:hAnsi="Simplified Arabic" w:cs="Simplified Arabic"/>
          <w:b/>
          <w:bCs/>
          <w:sz w:val="24"/>
          <w:szCs w:val="24"/>
          <w:rtl/>
        </w:rPr>
        <w:t>الأسئلة الفرعية</w:t>
      </w:r>
    </w:p>
    <w:p w14:paraId="4400A2B3" w14:textId="1636189B" w:rsidR="00B176F1" w:rsidRPr="0011430B" w:rsidRDefault="00A15DD9">
      <w:pPr>
        <w:numPr>
          <w:ilvl w:val="0"/>
          <w:numId w:val="3"/>
        </w:numPr>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ما هو تأثير أبعاد القيادة التحويلية، وفقًا لنموذج </w:t>
      </w:r>
      <w:r>
        <w:rPr>
          <w:rFonts w:ascii="Simplified Arabic" w:hAnsi="Simplified Arabic" w:cs="Simplified Arabic"/>
          <w:sz w:val="24"/>
          <w:szCs w:val="24"/>
        </w:rPr>
        <w:t>TLI</w:t>
      </w:r>
      <w:r>
        <w:rPr>
          <w:rFonts w:ascii="Simplified Arabic" w:hAnsi="Simplified Arabic" w:cs="Simplified Arabic"/>
          <w:sz w:val="24"/>
          <w:szCs w:val="24"/>
          <w:rtl/>
        </w:rPr>
        <w:t>، على تعزيز وتطوير ثقافة سلامة المرضى بين العاملين في المستشفيات الحكومية بمنطقة الجوف؟ ويشمل ذلك توضيح الرؤية، تقديم النموذج، تشجيع قبول الأهداف الجماعية، توقعات الأداء العالية، الدعم الفردي، والاستثارة الفكرية.</w:t>
      </w:r>
    </w:p>
    <w:p w14:paraId="676E8A89" w14:textId="26BEF6B5" w:rsidR="00B176F1" w:rsidRPr="0011430B" w:rsidRDefault="00FF40E9">
      <w:pPr>
        <w:numPr>
          <w:ilvl w:val="0"/>
          <w:numId w:val="3"/>
        </w:num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ما طبيعة العلاقة بين أبعاد </w:t>
      </w:r>
      <w:r w:rsidR="00BD1209" w:rsidRPr="00BD1209">
        <w:rPr>
          <w:rFonts w:ascii="Simplified Arabic" w:hAnsi="Simplified Arabic" w:cs="Simplified Arabic"/>
          <w:sz w:val="24"/>
          <w:szCs w:val="24"/>
          <w:rtl/>
        </w:rPr>
        <w:t xml:space="preserve">ثقافة سلامة </w:t>
      </w:r>
      <w:proofErr w:type="gramStart"/>
      <w:r w:rsidR="00BD1209" w:rsidRPr="00BD1209">
        <w:rPr>
          <w:rFonts w:ascii="Simplified Arabic" w:hAnsi="Simplified Arabic" w:cs="Simplified Arabic"/>
          <w:sz w:val="24"/>
          <w:szCs w:val="24"/>
          <w:rtl/>
        </w:rPr>
        <w:t>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w:t>
      </w:r>
      <w:proofErr w:type="gramEnd"/>
      <w:r w:rsidRPr="0011430B">
        <w:rPr>
          <w:rFonts w:ascii="Simplified Arabic" w:hAnsi="Simplified Arabic" w:cs="Simplified Arabic"/>
          <w:sz w:val="24"/>
          <w:szCs w:val="24"/>
          <w:rtl/>
        </w:rPr>
        <w:t xml:space="preserve"> وسلوكيات السلامة، وتقليل معدل وشدة الأحداث الضارة بين العاملين في المستشفيات الحكومية بمنطقة الجوف؟</w:t>
      </w:r>
    </w:p>
    <w:p w14:paraId="16C59DFC" w14:textId="1807F4D3" w:rsidR="00B176F1" w:rsidRPr="0011430B" w:rsidRDefault="00FF40E9">
      <w:pPr>
        <w:numPr>
          <w:ilvl w:val="0"/>
          <w:numId w:val="3"/>
        </w:num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ما مدى التأثير المباشر الذي تمارسه القيادة التحويلية على سلوكيات السلامة وتقليل معدل وشدة الأحداث الضارة بين العاملين في المستشفيات الحكومية بمنطقة الجوف؟</w:t>
      </w:r>
    </w:p>
    <w:p w14:paraId="364A9BD2" w14:textId="156CAF2B" w:rsidR="00B176F1" w:rsidRPr="0011430B" w:rsidRDefault="00FF40E9">
      <w:pPr>
        <w:numPr>
          <w:ilvl w:val="0"/>
          <w:numId w:val="3"/>
        </w:num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إلى أي مدى تُسهم أبعاد </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كمتغير وسيط في تفسير العلاقة بين أبعاد القيادة التحويلية وسلوكيات السلامة في المستشفيات الحكومية بمنطقة الجوف؟</w:t>
      </w:r>
    </w:p>
    <w:p w14:paraId="13DB26B1" w14:textId="33AB228B" w:rsidR="00B176F1" w:rsidRPr="0011430B" w:rsidRDefault="00FF40E9">
      <w:pPr>
        <w:numPr>
          <w:ilvl w:val="0"/>
          <w:numId w:val="3"/>
        </w:num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lastRenderedPageBreak/>
        <w:t xml:space="preserve">ما مدى تأثير أبعاد </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وسلوكيات السلامة كوسيط متسلسل في العلاقة بين أبعاد القيادة التحويلية وتقليل معدل وشدة الأحداث الضارة في المستشفيات الحكومية بمنطقة الجوف؟</w:t>
      </w:r>
    </w:p>
    <w:p w14:paraId="544DFBC9" w14:textId="4FBBBA8C" w:rsidR="001E6447" w:rsidRPr="0011430B" w:rsidRDefault="00E751D1" w:rsidP="00BE577C">
      <w:pPr>
        <w:pStyle w:val="a8"/>
        <w:bidi/>
        <w:spacing w:line="360" w:lineRule="auto"/>
        <w:jc w:val="both"/>
        <w:rPr>
          <w:rFonts w:ascii="Simplified Arabic" w:hAnsi="Simplified Arabic" w:cs="Simplified Arabic"/>
          <w:b/>
          <w:bCs/>
          <w:color w:val="000000"/>
          <w:rtl/>
        </w:rPr>
      </w:pPr>
      <w:r>
        <w:rPr>
          <w:rFonts w:ascii="Simplified Arabic" w:hAnsi="Simplified Arabic" w:cs="Simplified Arabic" w:hint="cs"/>
          <w:b/>
          <w:bCs/>
          <w:color w:val="000000"/>
          <w:rtl/>
        </w:rPr>
        <w:t>4</w:t>
      </w:r>
      <w:r w:rsidR="001E6447" w:rsidRPr="0011430B">
        <w:rPr>
          <w:rFonts w:ascii="Simplified Arabic" w:hAnsi="Simplified Arabic" w:cs="Simplified Arabic"/>
          <w:b/>
          <w:bCs/>
          <w:color w:val="000000"/>
          <w:rtl/>
        </w:rPr>
        <w:t>. أهمية الدراسة</w:t>
      </w:r>
    </w:p>
    <w:p w14:paraId="3DC61F96" w14:textId="1C962234" w:rsidR="00B27C81" w:rsidRPr="0011430B" w:rsidRDefault="00B27C81" w:rsidP="00BD1209">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color w:val="000000"/>
          <w:rtl/>
        </w:rPr>
        <w:t xml:space="preserve">تكتسب هذه الدراسة أهميتها من تناولها لآلية التأثير المتسلسل للقيادة التحويلية على تقليل الأحداث الضارة من خلال الدور الوسيط المتتابع </w:t>
      </w:r>
      <w:r w:rsidR="00BD1209" w:rsidRPr="00BD1209">
        <w:rPr>
          <w:rFonts w:ascii="Simplified Arabic" w:hAnsi="Simplified Arabic" w:cs="Simplified Arabic"/>
          <w:color w:val="000000"/>
          <w:rtl/>
        </w:rPr>
        <w:t>ثقافة سلامة المرضى</w:t>
      </w:r>
      <w:r w:rsidR="00BD1209">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وسلوكيات السلامة، وهو موضوع حيوي يمس جودة الرعاية الصحية وسلامة المرضى في السياق السعودي. وتقدم الدراسة إطارًا تحليليًا متقدمًا يسهم في فهم العلاقات المعقدة بين القيادة التحويلية و</w:t>
      </w:r>
      <w:r w:rsidR="00BD1209" w:rsidRPr="00BD1209">
        <w:rPr>
          <w:rFonts w:ascii="Simplified Arabic" w:hAnsi="Simplified Arabic" w:cs="Simplified Arabic"/>
          <w:color w:val="000000"/>
          <w:rtl/>
        </w:rPr>
        <w:t>ثقافة سلامة المرضى</w:t>
      </w:r>
      <w:r w:rsidR="00BD1209">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وسلوكيات العاملين، بما ينعكس على الحد من الأحداث الضارة في مستشفيات القطاع الحكومي بمنطقة الجوف. وتنقسم أهمية الدراسة إلى محورين رئيسين: الأهمية النظرية (العلمية) والأهمية التطبيقية (العملية)</w:t>
      </w:r>
      <w:r w:rsidRPr="0011430B">
        <w:rPr>
          <w:rFonts w:ascii="Simplified Arabic" w:hAnsi="Simplified Arabic" w:cs="Simplified Arabic"/>
          <w:color w:val="000000"/>
        </w:rPr>
        <w:t>.</w:t>
      </w:r>
    </w:p>
    <w:p w14:paraId="1DE8CFCA" w14:textId="34F1DD5E" w:rsidR="00054F0A" w:rsidRPr="0011430B" w:rsidRDefault="00054F0A" w:rsidP="00B27C81">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4.1 </w:t>
      </w:r>
      <w:r w:rsidRPr="0011430B">
        <w:rPr>
          <w:rFonts w:ascii="Simplified Arabic" w:hAnsi="Simplified Arabic" w:cs="Simplified Arabic"/>
          <w:b/>
          <w:bCs/>
          <w:color w:val="000000"/>
          <w:rtl/>
        </w:rPr>
        <w:t>الأهمية النظرية (العلمية)</w:t>
      </w:r>
    </w:p>
    <w:p w14:paraId="07782A24" w14:textId="0AB2073A" w:rsidR="00054F0A" w:rsidRPr="0011430B" w:rsidRDefault="00FF40E9" w:rsidP="00125F5F">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تُقدم هذه الدراسة إسهامات معرفية تسهم في إثراء حقل دراسات القيادة والتنظيم في القطاع الصحي. وتقع هذه الإسهامات ضمن أربعة محاور رئيسية موضحة أدناه.</w:t>
      </w:r>
    </w:p>
    <w:p w14:paraId="7BD304EF" w14:textId="5FB94429" w:rsidR="00C55181"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نموذج التوسيط المتسلسل المتكامل: تُعتبر هذه الدراسة من أوائل الأبحاث التي تُقيم نموذجًا متسلسلًا متكاملًا يكشف عن آلية التأثير المتسلسل للقيادة التحويلية على تقليل الأحداث الضارة، من خلال </w:t>
      </w:r>
      <w:r w:rsidR="00BE508A" w:rsidRPr="00BE508A">
        <w:rPr>
          <w:rFonts w:ascii="Simplified Arabic" w:hAnsi="Simplified Arabic" w:cs="Simplified Arabic"/>
          <w:b/>
          <w:bCs/>
          <w:color w:val="000000"/>
          <w:rtl/>
        </w:rPr>
        <w:t>الوساطة المتسلسلة</w:t>
      </w:r>
      <w:r w:rsidRPr="0011430B">
        <w:rPr>
          <w:rFonts w:ascii="Simplified Arabic" w:hAnsi="Simplified Arabic" w:cs="Simplified Arabic"/>
          <w:color w:val="000000"/>
          <w:rtl/>
        </w:rPr>
        <w:t xml:space="preserve"> </w:t>
      </w:r>
      <w:r w:rsidR="00BD1209">
        <w:rPr>
          <w:rFonts w:ascii="Simplified Arabic" w:hAnsi="Simplified Arabic" w:cs="Simplified Arabic" w:hint="cs"/>
          <w:color w:val="000000"/>
          <w:rtl/>
        </w:rPr>
        <w:t>ل</w:t>
      </w:r>
      <w:r w:rsidR="00BD1209" w:rsidRPr="00BD1209">
        <w:rPr>
          <w:rFonts w:ascii="Simplified Arabic" w:hAnsi="Simplified Arabic" w:cs="Simplified Arabic"/>
          <w:color w:val="000000"/>
          <w:rtl/>
        </w:rPr>
        <w:t>ثقافة سلامة المرضى</w:t>
      </w:r>
      <w:r w:rsidR="00BD1209">
        <w:rPr>
          <w:rFonts w:ascii="Simplified Arabic" w:hAnsi="Simplified Arabic" w:cs="Simplified Arabic" w:hint="cs"/>
          <w:color w:val="000000"/>
          <w:rtl/>
        </w:rPr>
        <w:t xml:space="preserve"> </w:t>
      </w:r>
      <w:r w:rsidRPr="0011430B">
        <w:rPr>
          <w:rFonts w:ascii="Simplified Arabic" w:hAnsi="Simplified Arabic" w:cs="Simplified Arabic"/>
          <w:color w:val="000000"/>
          <w:rtl/>
        </w:rPr>
        <w:t>ثم سلوكيات السلامة، في السياق السعودي بشكل عام ومنطقة الجوف بشكل خاص. ويسهم هذا النهج في سد الفجوة المعرفية المتعلقة بفهم الآليات الوسيطة التي تنتقل من خلالها تأثيرات القيادة إلى ممارسات السلامة الفعلية، خاصة في البيئات التنظيمية الصحية ذات التعقيد العالي.</w:t>
      </w:r>
    </w:p>
    <w:p w14:paraId="0860E520" w14:textId="51EE59B6"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تُعزِّز الدراسة فهم المتغيرات في السياق المحلي من خلال إسهامها في توسيع المعرفة العلمية عبر تقديم أدلة تجريبية مأخوذة من الواقع السعودي، مما يُثري الأدبيات ذات الصلة بتأثيرات القيادة التحويلية على الأداء التنظيمي في القطاع الصحي. بالإضافة إلى ذلك، توفر الدراسة تحليلًا شاملاً لأبعاد القيادة التحويلية وأبعاد </w:t>
      </w:r>
      <w:r w:rsidR="00BD1209" w:rsidRPr="00BD120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مع استكشاف التأثيرات المباشرة وغير المباشرة بينهما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Pr="0011430B">
        <w:rPr>
          <w:rFonts w:ascii="Simplified Arabic" w:hAnsi="Simplified Arabic" w:cs="Simplified Arabic"/>
          <w:color w:val="000000"/>
          <w:rtl/>
        </w:rPr>
        <w:t>.</w:t>
      </w:r>
    </w:p>
    <w:p w14:paraId="0842C23D" w14:textId="52E7FECB"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إثراء الأطر المنهجية في البحوث الصحية: تعتمد الدراسة على نمذجة المعادلات الهيكلية بوصفها منهجية متقدمة تتيح قياس العلاقات بين المتغيرات بدقة عالية، وفحص المسارات الوسيطة المعقدة. ويساهم هذا الأسلوب في تعزيز الصرامة العلمية وتحسين جودة النماذج التحليلية المستخدمة في مجال دراسات القيادة والسلامة المهنية ضمن القطاع الصحي.</w:t>
      </w:r>
    </w:p>
    <w:p w14:paraId="322A1CD4" w14:textId="23871543"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lastRenderedPageBreak/>
        <w:t>تقليل الفجوة الجغرافية في البحث العلمي: تساهم الدراسة في سد النقص الملحوظ في الأبحاث المتعلقة بمنطقة الجوف، حيث تُعتبر هذه المنطقة من المناطق التي لم تحظَ بالعناية البحثية الكافية رغم أهميتها الإقليمية وعدد المستفيدين من خدماتها الصحية. وبالتالي، فإن الدراسة تضيف قيمة معرفية من خلال تسليط الضوء على واقع القيادة والسلامة في سياق جغرافي لم يُتناول بشكل كافٍ في الأدبيات، مما يعزز الفهم العلمي ويوسع نطاق المعرفة في هذا المجال.</w:t>
      </w:r>
    </w:p>
    <w:p w14:paraId="14A0CD2E" w14:textId="77777777" w:rsidR="00054F0A" w:rsidRPr="0011430B" w:rsidRDefault="00054F0A" w:rsidP="00054F0A">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4.2 </w:t>
      </w:r>
      <w:r w:rsidRPr="0011430B">
        <w:rPr>
          <w:rFonts w:ascii="Simplified Arabic" w:hAnsi="Simplified Arabic" w:cs="Simplified Arabic"/>
          <w:b/>
          <w:bCs/>
          <w:color w:val="000000"/>
          <w:rtl/>
        </w:rPr>
        <w:t>الأهمية التطبيقية (العملية)</w:t>
      </w:r>
    </w:p>
    <w:p w14:paraId="77EC2138" w14:textId="4A8FF3C1" w:rsidR="00054F0A" w:rsidRPr="0011430B" w:rsidRDefault="00FF40E9" w:rsidP="00054F0A">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تُسهم الدراسة في تقديم قيمة عملية ملموسة تُعزز دعم صانعي القرار والقادة في القطاع الصحي من خلال ما يلي:</w:t>
      </w:r>
    </w:p>
    <w:p w14:paraId="38C3546F" w14:textId="77777777" w:rsidR="00054F0A" w:rsidRPr="0011430B" w:rsidRDefault="00054F0A">
      <w:pPr>
        <w:pStyle w:val="a8"/>
        <w:numPr>
          <w:ilvl w:val="0"/>
          <w:numId w:val="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دعم تحقيق الأهداف الاستراتيجية لرؤية المملكة 2030</w:t>
      </w:r>
      <w:r w:rsidRPr="0011430B">
        <w:rPr>
          <w:rFonts w:ascii="Simplified Arabic" w:hAnsi="Simplified Arabic" w:cs="Simplified Arabic"/>
          <w:color w:val="000000"/>
        </w:rPr>
        <w:t>: </w:t>
      </w:r>
      <w:r w:rsidRPr="0011430B">
        <w:rPr>
          <w:rFonts w:ascii="Simplified Arabic" w:hAnsi="Simplified Arabic" w:cs="Simplified Arabic"/>
          <w:color w:val="000000"/>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11430B">
        <w:rPr>
          <w:rFonts w:ascii="Simplified Arabic" w:hAnsi="Simplified Arabic" w:cs="Simplified Arabic"/>
          <w:color w:val="000000"/>
        </w:rPr>
        <w:t>.</w:t>
      </w:r>
    </w:p>
    <w:p w14:paraId="604DF52E" w14:textId="48BDC318" w:rsidR="001C2889" w:rsidRPr="0011430B" w:rsidRDefault="00FF40E9">
      <w:pPr>
        <w:pStyle w:val="a8"/>
        <w:numPr>
          <w:ilvl w:val="0"/>
          <w:numId w:val="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تعزيز فعالية التدخلات القيادية: يقدّم النموذج الذي تقترحه الدراسة إطارًا عمليًا يُساعد القادة في المستشفيات على تحديد أبعاد القيادة التحويلية الأكثر تأثيرًا في تعزيز </w:t>
      </w:r>
      <w:r w:rsidR="00C16B99" w:rsidRPr="00C16B9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ويساعد ذلك في توجيه الموارد نحو الممارسات القيادية التي ترتبط بشكل مباشر بالنتائج الإيجابية في مجال سلامة المرضى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&lt;EndNote&gt;&lt;Cite&gt;&lt;Author&gt;Jones&lt;/Author&gt;&lt;Year&gt;2008&lt;/Year&gt;&lt;RecNum&gt;187&lt;/RecNum&gt;&lt;DisplayText&gt;(Jones et al., 2008; Khirfan &amp;amp; Abd Aziz, 2022)&lt;/DisplayText&gt;&lt;record&gt;&lt;rec-number&gt;187&lt;/rec-number&gt;&lt;foreign-keys&gt;&lt;key app="EN" db-id="02retxxrerxdxhe9aphvs0z2t9z25p0ew99s" timestamp="1754603905"&gt;187&lt;/key&gt;&lt;/foreign-keys&gt;&lt;ref-type name="Conference Proceedings"&gt;10&lt;/ref-type&gt;&lt;contributors&gt;&lt;authors&gt;&lt;author&gt;Jones, Katherine Janiec&lt;/author&gt;&lt;author&gt;Skinner, Anne&lt;/author&gt;&lt;author&gt;Xu, Liyan&lt;/author&gt;&lt;author&gt;Sun, Junfeng&lt;/author&gt;&lt;author&gt;Mueller, Keith&lt;/author&gt;&lt;/authors&gt;&lt;/contributors&gt;&lt;titles&gt;&lt;title&gt;The AHRQ Hospital Survey on Patient Safety Culture: A Tool to Plan and Evaluate Patient Safety Programs&lt;/title&gt;&lt;/titles&gt;&lt;dates&gt;&lt;year&gt;2008&lt;/year&gt;&lt;/dates&gt;&lt;urls&gt;&lt;/urls&gt;&lt;electronic-resource-num&gt;21249886&lt;/electronic-resource-num&gt;&lt;/record&gt;&lt;/Cite&gt;&lt;Cite&gt;&lt;Author&gt;Khirfan&lt;/Author&gt;&lt;Year&gt;2022&lt;/Year&gt;&lt;RecNum&gt;180&lt;/RecNum&gt;&lt;record&gt;&lt;rec-number&gt;180&lt;/rec-number&gt;&lt;foreign-keys&gt;&lt;key app="EN" db-id="02retxxrerxdxhe9aphvs0z2t9z25p0ew99s" timestamp</w:instrText>
      </w:r>
      <w:r w:rsidR="001C2889" w:rsidRPr="0011430B">
        <w:rPr>
          <w:rFonts w:ascii="Simplified Arabic" w:hAnsi="Simplified Arabic" w:cs="Simplified Arabic"/>
          <w:color w:val="000000"/>
          <w:rtl/>
        </w:rPr>
        <w:instrText>="1754596836"&gt;180&lt;/</w:instrText>
      </w:r>
      <w:r w:rsidR="001C2889" w:rsidRPr="0011430B">
        <w:rPr>
          <w:rFonts w:ascii="Simplified Arabic" w:hAnsi="Simplified Arabic" w:cs="Simplified Arabic"/>
          <w:color w:val="000000"/>
        </w:rPr>
        <w:instrTex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Jones et al., 2008; 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001C2889" w:rsidRPr="0011430B">
        <w:rPr>
          <w:rFonts w:ascii="Simplified Arabic" w:hAnsi="Simplified Arabic" w:cs="Simplified Arabic"/>
          <w:color w:val="000000"/>
          <w:rtl/>
        </w:rPr>
        <w:t>.</w:t>
      </w:r>
    </w:p>
    <w:p w14:paraId="47921CEE" w14:textId="3D73EB14" w:rsidR="00054F0A" w:rsidRPr="0011430B" w:rsidRDefault="00C8596E">
      <w:pPr>
        <w:pStyle w:val="a8"/>
        <w:numPr>
          <w:ilvl w:val="0"/>
          <w:numId w:val="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تحسين سلوكيات الموظفين وتقليل المخاطر الصحية: تبرز نتائج الدراسة الدور الحيوي </w:t>
      </w:r>
      <w:r w:rsidR="00C16B99">
        <w:rPr>
          <w:rFonts w:ascii="Simplified Arabic" w:hAnsi="Simplified Arabic" w:cs="Simplified Arabic" w:hint="cs"/>
          <w:color w:val="000000"/>
          <w:rtl/>
        </w:rPr>
        <w:t>ل</w:t>
      </w:r>
      <w:r w:rsidR="00C16B99" w:rsidRPr="00C16B99">
        <w:rPr>
          <w:rFonts w:ascii="Simplified Arabic" w:hAnsi="Simplified Arabic" w:cs="Simplified Arabic"/>
          <w:color w:val="000000"/>
          <w:rtl/>
        </w:rPr>
        <w:t>ثقافة سلامة المرضى</w:t>
      </w:r>
      <w:r w:rsidR="00C16B99">
        <w:rPr>
          <w:rFonts w:ascii="Simplified Arabic" w:hAnsi="Simplified Arabic" w:cs="Simplified Arabic" w:hint="cs"/>
          <w:color w:val="000000"/>
          <w:rtl/>
        </w:rPr>
        <w:t xml:space="preserve"> </w:t>
      </w:r>
      <w:r w:rsidRPr="0011430B">
        <w:rPr>
          <w:rFonts w:ascii="Simplified Arabic" w:hAnsi="Simplified Arabic" w:cs="Simplified Arabic"/>
          <w:color w:val="000000"/>
          <w:rtl/>
        </w:rPr>
        <w:t xml:space="preserve">الإيجابية في تعزيز التزام الموظفين بالإجراءات التنظيمية والإبلاغ عن الحوادث، مما يسهم في خفض معدل وشدة الحوادث الضارة، خاصة تلك التي يمكن الوقاية منها. وتُعد هذه النتائج ذات أهمية بالغة للمؤسسات الصحية التي تسعى إلى رفع جودة الرعاية وتقليل التكاليف المرتبطة بالمخاطر الصحية </w:t>
      </w:r>
      <w:r w:rsidR="00154D4E" w:rsidRPr="0011430B">
        <w:rPr>
          <w:rFonts w:ascii="Simplified Arabic" w:hAnsi="Simplified Arabic" w:cs="Simplified Arabic"/>
          <w:color w:val="000000"/>
          <w:rtl/>
        </w:rPr>
        <w:fldChar w:fldCharType="begin"/>
      </w:r>
      <w:r w:rsidR="00154D4E" w:rsidRPr="0011430B">
        <w:rPr>
          <w:rFonts w:ascii="Simplified Arabic" w:hAnsi="Simplified Arabic" w:cs="Simplified Arabic"/>
          <w:color w:val="000000"/>
          <w:rtl/>
        </w:rPr>
        <w:instrText xml:space="preserve"> </w:instrText>
      </w:r>
      <w:r w:rsidR="00154D4E" w:rsidRPr="0011430B">
        <w:rPr>
          <w:rFonts w:ascii="Simplified Arabic" w:hAnsi="Simplified Arabic" w:cs="Simplified Arabic"/>
          <w:color w:val="000000"/>
        </w:rPr>
        <w:instrText>ADDIN EN.CITE &lt;EndNote&gt;&lt;Cite&gt;&lt;Author&gt;Studdert&lt;/Author&gt;&lt;Year&gt;2005&lt;/Year&gt;&lt;RecNum&gt;188&lt;/RecNum&gt;&lt;DisplayText&gt;(Studdert et al., 2005)&lt;/DisplayText&gt;&lt;record&gt;&lt;rec-number&gt;188&lt;/rec-number&gt;&lt;foreign-keys&gt;&lt;key app="EN" db-id="02retxxrerxdxhe9aphvs0z2t9z25p0ew99s" timestamp="1754604301"&gt;188&lt;/key&gt;&lt;/foreign-keys&gt;&lt;ref-type name="Journal Article"&gt;17&lt;/ref-type&gt;&lt;contributors&gt;&lt;authors&gt;&lt;author&gt;Studdert, David M.&lt;/author&gt;&lt;author&gt;Mello, Michelle M&lt;/author&gt;&lt;author&gt;Sage, William M.&lt;/author&gt;&lt;author&gt;DesRoches, Catherine M.&lt;/author</w:instrText>
      </w:r>
      <w:r w:rsidR="00154D4E" w:rsidRPr="0011430B">
        <w:rPr>
          <w:rFonts w:ascii="Simplified Arabic" w:hAnsi="Simplified Arabic" w:cs="Simplified Arabic"/>
          <w:color w:val="000000"/>
          <w:rtl/>
        </w:rPr>
        <w:instrText>&gt;&lt;</w:instrText>
      </w:r>
      <w:r w:rsidR="00154D4E" w:rsidRPr="0011430B">
        <w:rPr>
          <w:rFonts w:ascii="Simplified Arabic" w:hAnsi="Simplified Arabic" w:cs="Simplified Arabic"/>
          <w:color w:val="000000"/>
        </w:rPr>
        <w:instrText>author&gt;Peugh, Jordon&lt;/author&gt;&lt;author&gt;Zapert, Kinga&lt;/author&gt;&lt;author&gt;Brennan, Troyen A.&lt;/author&gt;&lt;/authors&gt;&lt;/contributors&gt;&lt;titles&gt;&lt;title&gt;Defensive medicine among high-risk specialist physicians in a volatile malpractice environment&lt;/title&gt;&lt;secondary-title&gt;JAMA&lt;/secondary-title&gt;&lt;/titles&gt;&lt;periodical&gt;&lt;full-title&gt;JAMA&lt;/full-title&gt;&lt;/periodical&gt;&lt;pages&gt;2609-17&lt;/pages&gt;&lt;volume&gt;293 21&lt;/volume&gt;&lt;dates&gt;&lt;year&gt;2005&lt;/year&gt;&lt;/dates&gt;&lt;urls&gt;&lt;/urls&gt;&lt;electronic-resource-num&gt;10.1001/jama.293.21.2609&lt;/electronic-resource-num&gt;&lt;/record&gt;&lt;/Cite&gt;&lt;/EndNote</w:instrText>
      </w:r>
      <w:r w:rsidR="00154D4E" w:rsidRPr="0011430B">
        <w:rPr>
          <w:rFonts w:ascii="Simplified Arabic" w:hAnsi="Simplified Arabic" w:cs="Simplified Arabic"/>
          <w:color w:val="000000"/>
          <w:rtl/>
        </w:rPr>
        <w:instrText>&gt;</w:instrText>
      </w:r>
      <w:r w:rsidR="00154D4E" w:rsidRPr="0011430B">
        <w:rPr>
          <w:rFonts w:ascii="Simplified Arabic" w:hAnsi="Simplified Arabic" w:cs="Simplified Arabic"/>
          <w:color w:val="000000"/>
          <w:rtl/>
        </w:rPr>
        <w:fldChar w:fldCharType="separate"/>
      </w:r>
      <w:r w:rsidR="00154D4E" w:rsidRPr="0011430B">
        <w:rPr>
          <w:rFonts w:ascii="Simplified Arabic" w:hAnsi="Simplified Arabic" w:cs="Simplified Arabic"/>
          <w:noProof/>
          <w:color w:val="000000"/>
          <w:rtl/>
        </w:rPr>
        <w:t>(</w:t>
      </w:r>
      <w:r w:rsidR="00154D4E" w:rsidRPr="0011430B">
        <w:rPr>
          <w:rFonts w:ascii="Simplified Arabic" w:hAnsi="Simplified Arabic" w:cs="Simplified Arabic"/>
          <w:noProof/>
          <w:color w:val="000000"/>
        </w:rPr>
        <w:t>Studdert et al., 2005</w:t>
      </w:r>
      <w:r w:rsidR="00154D4E" w:rsidRPr="0011430B">
        <w:rPr>
          <w:rFonts w:ascii="Simplified Arabic" w:hAnsi="Simplified Arabic" w:cs="Simplified Arabic"/>
          <w:noProof/>
          <w:color w:val="000000"/>
          <w:rtl/>
        </w:rPr>
        <w:t>)</w:t>
      </w:r>
      <w:r w:rsidR="00154D4E" w:rsidRPr="0011430B">
        <w:rPr>
          <w:rFonts w:ascii="Simplified Arabic" w:hAnsi="Simplified Arabic" w:cs="Simplified Arabic"/>
          <w:color w:val="000000"/>
          <w:rtl/>
        </w:rPr>
        <w:fldChar w:fldCharType="end"/>
      </w:r>
      <w:r w:rsidRPr="0011430B">
        <w:rPr>
          <w:rFonts w:ascii="Simplified Arabic" w:hAnsi="Simplified Arabic" w:cs="Simplified Arabic"/>
          <w:color w:val="000000"/>
          <w:rtl/>
        </w:rPr>
        <w:t>.</w:t>
      </w:r>
    </w:p>
    <w:p w14:paraId="157A7BB2" w14:textId="137A0CFF" w:rsidR="00C8596E" w:rsidRPr="0011430B" w:rsidRDefault="00C8596E">
      <w:pPr>
        <w:pStyle w:val="a8"/>
        <w:numPr>
          <w:ilvl w:val="0"/>
          <w:numId w:val="5"/>
        </w:numPr>
        <w:bidi/>
        <w:spacing w:line="360" w:lineRule="auto"/>
        <w:jc w:val="both"/>
        <w:rPr>
          <w:rFonts w:ascii="Simplified Arabic" w:hAnsi="Simplified Arabic" w:cs="Simplified Arabic"/>
          <w:b/>
          <w:bCs/>
          <w:color w:val="000000"/>
        </w:rPr>
      </w:pPr>
      <w:r w:rsidRPr="0011430B">
        <w:rPr>
          <w:rFonts w:ascii="Simplified Arabic" w:hAnsi="Simplified Arabic" w:cs="Simplified Arabic"/>
          <w:color w:val="000000"/>
          <w:rtl/>
        </w:rPr>
        <w:t xml:space="preserve">تصميم برامج تدريبية موجهة ومبنية على الأدلة: </w:t>
      </w:r>
      <w:r w:rsidR="00582069" w:rsidRPr="00582069">
        <w:rPr>
          <w:rFonts w:ascii="Simplified Arabic" w:hAnsi="Simplified Arabic" w:cs="Simplified Arabic"/>
          <w:color w:val="000000"/>
          <w:rtl/>
        </w:rPr>
        <w:t>يمكن أن توجّه نتائج الدراسة المؤسسات الصحية إلى تصميم برامج تدريبية مخصصة تستهدف القادة والعاملين في منطقة الجوف، استنادًا إلى الفجوات التي تكشفها النتائج</w:t>
      </w:r>
      <w:r w:rsidRPr="0011430B">
        <w:rPr>
          <w:rFonts w:ascii="Simplified Arabic" w:hAnsi="Simplified Arabic" w:cs="Simplified Arabic"/>
          <w:color w:val="000000"/>
          <w:rtl/>
        </w:rPr>
        <w:t>. ويؤدي هذا النهج إلى برامج تدريبية أكثر فاعلية مقارنةً بالبرامج العامة، ويضمن تحقيق تحسين مستدام في ثقافة وسلوكيات السلامة.</w:t>
      </w:r>
    </w:p>
    <w:p w14:paraId="2559EE55" w14:textId="12D0F7C1" w:rsidR="00ED6763" w:rsidRPr="0011430B" w:rsidRDefault="00ED6763" w:rsidP="00ED6763">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t>5.</w:t>
      </w:r>
      <w:r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tl/>
        </w:rPr>
        <w:t>أهداف الدراسة</w:t>
      </w:r>
    </w:p>
    <w:p w14:paraId="697CF680" w14:textId="418DCA0C" w:rsidR="00435137" w:rsidRDefault="00C8596E" w:rsidP="00BE508A">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tl/>
        </w:rPr>
        <w:t>5.1 الهدف العام</w:t>
      </w:r>
    </w:p>
    <w:p w14:paraId="2565DDE3" w14:textId="45263119" w:rsidR="00576589" w:rsidRPr="00576589" w:rsidRDefault="00076824" w:rsidP="00576589">
      <w:pPr>
        <w:pStyle w:val="a8"/>
        <w:bidi/>
        <w:spacing w:line="360" w:lineRule="auto"/>
        <w:ind w:left="180"/>
        <w:jc w:val="both"/>
        <w:rPr>
          <w:rFonts w:ascii="Simplified Arabic" w:hAnsi="Simplified Arabic" w:cs="Simplified Arabic"/>
          <w:color w:val="000000"/>
          <w:rtl/>
        </w:rPr>
      </w:pPr>
      <w:r w:rsidRPr="00076824">
        <w:rPr>
          <w:rFonts w:ascii="Simplified Arabic" w:hAnsi="Simplified Arabic" w:cs="Simplified Arabic" w:hint="eastAsia"/>
          <w:color w:val="000000"/>
          <w:rtl/>
        </w:rPr>
        <w:lastRenderedPageBreak/>
        <w:t>تهدف</w:t>
      </w:r>
      <w:r w:rsidRPr="00076824">
        <w:rPr>
          <w:rFonts w:ascii="Simplified Arabic" w:hAnsi="Simplified Arabic" w:cs="Simplified Arabic"/>
          <w:color w:val="000000"/>
          <w:rtl/>
        </w:rPr>
        <w:t xml:space="preserve"> هذه الدراسة إلى اختبار أثر القيادة التحويلية في تقليل الأحداث الضارة من خلال الدور الوسيط المتسلسل لكل من ثقافة سلامة المرضى وسلوكيات السلامة لدى الممارسين الصحيين في مستشفيات القطاع الحكوميِ بمنطقة الجوف.</w:t>
      </w:r>
    </w:p>
    <w:p w14:paraId="7EB94DA7" w14:textId="44ED1539" w:rsidR="00ED6763" w:rsidRPr="0011430B" w:rsidRDefault="00435137" w:rsidP="0043513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t xml:space="preserve">5.2 </w:t>
      </w:r>
      <w:r w:rsidR="00ED6763" w:rsidRPr="0011430B">
        <w:rPr>
          <w:rFonts w:ascii="Simplified Arabic" w:hAnsi="Simplified Arabic" w:cs="Simplified Arabic"/>
          <w:b/>
          <w:bCs/>
          <w:color w:val="000000"/>
          <w:rtl/>
        </w:rPr>
        <w:t>الأهداف الفرعية</w:t>
      </w:r>
    </w:p>
    <w:p w14:paraId="25E4FCBA" w14:textId="33FE75E2" w:rsidR="00ED6763" w:rsidRPr="0011430B" w:rsidRDefault="00A15DD9">
      <w:pPr>
        <w:pStyle w:val="a8"/>
        <w:numPr>
          <w:ilvl w:val="0"/>
          <w:numId w:val="6"/>
        </w:numPr>
        <w:bidi/>
        <w:spacing w:line="360" w:lineRule="auto"/>
        <w:jc w:val="both"/>
        <w:rPr>
          <w:rFonts w:ascii="Simplified Arabic" w:hAnsi="Simplified Arabic" w:cs="Simplified Arabic"/>
          <w:color w:val="000000"/>
        </w:rPr>
      </w:pPr>
      <w:r>
        <w:rPr>
          <w:rFonts w:ascii="Simplified Arabic" w:hAnsi="Simplified Arabic" w:cs="Simplified Arabic"/>
          <w:color w:val="000000"/>
          <w:rtl/>
        </w:rPr>
        <w:t>تقييم مستوى تطبيق القيادة التحويلية بأبعادها الستة (توضيح الرؤية، تقديم النموذج، تشجيع قبول الأهداف الجماعية، توقعات الأداء العالية، الدعم الفردي، الاستثارة الفكرية) في المستشفيات الحكومية بمنطقة الجوف من وجهة نظر العاملين.</w:t>
      </w:r>
    </w:p>
    <w:p w14:paraId="5CC02530" w14:textId="5C734FCF" w:rsidR="00ED6763" w:rsidRPr="0011430B" w:rsidRDefault="00ED6763">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تقييم مستوى وعي العاملين </w:t>
      </w:r>
      <w:r w:rsidR="003475EA">
        <w:rPr>
          <w:rFonts w:ascii="Simplified Arabic" w:hAnsi="Simplified Arabic" w:cs="Simplified Arabic" w:hint="cs"/>
          <w:color w:val="000000"/>
          <w:rtl/>
        </w:rPr>
        <w:t>ب</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وأبعادها الرئيسة (دعم الإدارة، التواصل المفتوح، التعلم المستمر، العمل الجماعي) في بيئة المستشفيات الحكومية بمنطقة الجوف</w:t>
      </w:r>
      <w:r w:rsidRPr="0011430B">
        <w:rPr>
          <w:rFonts w:ascii="Simplified Arabic" w:hAnsi="Simplified Arabic" w:cs="Simplified Arabic"/>
          <w:color w:val="000000"/>
        </w:rPr>
        <w:t>.</w:t>
      </w:r>
    </w:p>
    <w:p w14:paraId="525F966D" w14:textId="4FDC71F2" w:rsidR="00ED6763" w:rsidRPr="0011430B" w:rsidRDefault="00C8596E">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قياس مدى التزام الممارسين الصحيين بسلوكيات السلامة الأساسية، مثل غسل اليدين، والتحقق من هوية المرضى، والامتثال لقوائم التدقيق في الممارسات الإكلينيكية اليومية.</w:t>
      </w:r>
    </w:p>
    <w:p w14:paraId="381AB455" w14:textId="1A4FDEB5" w:rsidR="00ED6763" w:rsidRPr="0011430B" w:rsidRDefault="00ED6763">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أثر القيادة التحويلية على </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لدى العاملين في المستشفيات الحكومية بمنطقة الجوف</w:t>
      </w:r>
      <w:r w:rsidRPr="0011430B">
        <w:rPr>
          <w:rFonts w:ascii="Simplified Arabic" w:hAnsi="Simplified Arabic" w:cs="Simplified Arabic"/>
          <w:color w:val="000000"/>
        </w:rPr>
        <w:t>.</w:t>
      </w:r>
    </w:p>
    <w:p w14:paraId="6FCF7C35" w14:textId="554813B4" w:rsidR="00251FD3" w:rsidRPr="0011430B" w:rsidRDefault="00C8596E">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التأثيرات المباشرة </w:t>
      </w:r>
      <w:r w:rsidR="003475EA">
        <w:rPr>
          <w:rFonts w:ascii="Simplified Arabic" w:hAnsi="Simplified Arabic" w:cs="Simplified Arabic" w:hint="cs"/>
          <w:color w:val="000000"/>
          <w:rtl/>
        </w:rPr>
        <w:t>ل</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على سلوكيات السلامة، بالإضافة إلى الأثر المباشر لسلوكيات السلامة على تقليل الحوادث والأحداث الضارة.</w:t>
      </w:r>
    </w:p>
    <w:p w14:paraId="28EEF185" w14:textId="63A4EB16" w:rsidR="00ED6763" w:rsidRPr="0011430B" w:rsidRDefault="00251FD3">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Pr>
        <w:t xml:space="preserve"> </w:t>
      </w:r>
      <w:r w:rsidR="00C8596E" w:rsidRPr="0011430B">
        <w:rPr>
          <w:rFonts w:ascii="Simplified Arabic" w:hAnsi="Simplified Arabic" w:cs="Simplified Arabic"/>
          <w:color w:val="000000"/>
          <w:rtl/>
        </w:rPr>
        <w:t xml:space="preserve">اختبار الأثر غير المباشر (التوسيط) للقيادة التحويلية على سلوكيات السلامة من خلال الدور الوسيط </w:t>
      </w:r>
      <w:r w:rsidR="003475EA">
        <w:rPr>
          <w:rFonts w:ascii="Simplified Arabic" w:hAnsi="Simplified Arabic" w:cs="Simplified Arabic" w:hint="cs"/>
          <w:color w:val="000000"/>
          <w:rtl/>
        </w:rPr>
        <w:t>ل</w:t>
      </w:r>
      <w:r w:rsidR="003475EA" w:rsidRPr="003475EA">
        <w:rPr>
          <w:rFonts w:ascii="Simplified Arabic" w:hAnsi="Simplified Arabic" w:cs="Simplified Arabic"/>
          <w:color w:val="000000"/>
          <w:rtl/>
        </w:rPr>
        <w:t>ثقافة سلامة المرضى</w:t>
      </w:r>
      <w:r w:rsidR="00C8596E" w:rsidRPr="0011430B">
        <w:rPr>
          <w:rFonts w:ascii="Simplified Arabic" w:hAnsi="Simplified Arabic" w:cs="Simplified Arabic"/>
          <w:color w:val="000000"/>
          <w:rtl/>
        </w:rPr>
        <w:t xml:space="preserve">. دراسة آلية التأثير التسلسلي للقيادة التحويلية في تقليل الأحداث الضارة عبر </w:t>
      </w:r>
      <w:r w:rsidR="00BE508A" w:rsidRPr="00BF0735">
        <w:rPr>
          <w:rFonts w:ascii="Simplified Arabic" w:hAnsi="Simplified Arabic" w:cs="Simplified Arabic"/>
          <w:color w:val="000000"/>
          <w:rtl/>
        </w:rPr>
        <w:t>الوساطة المتسلسلة</w:t>
      </w:r>
      <w:r w:rsidR="00C8596E" w:rsidRPr="0011430B">
        <w:rPr>
          <w:rFonts w:ascii="Simplified Arabic" w:hAnsi="Simplified Arabic" w:cs="Simplified Arabic"/>
          <w:color w:val="000000"/>
          <w:rtl/>
        </w:rPr>
        <w:t xml:space="preserve"> </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00C8596E" w:rsidRPr="0011430B">
        <w:rPr>
          <w:rFonts w:ascii="Simplified Arabic" w:hAnsi="Simplified Arabic" w:cs="Simplified Arabic"/>
          <w:color w:val="000000"/>
          <w:rtl/>
        </w:rPr>
        <w:t>ثم سلوكيات السلامة لدى العاملين. (</w:t>
      </w:r>
      <w:r w:rsidR="00C8596E" w:rsidRPr="0011430B">
        <w:rPr>
          <w:rFonts w:ascii="Simplified Arabic" w:hAnsi="Simplified Arabic" w:cs="Simplified Arabic"/>
          <w:color w:val="000000"/>
        </w:rPr>
        <w:t>TL</w:t>
      </w:r>
      <w:r w:rsidR="00C8596E" w:rsidRPr="0011430B">
        <w:rPr>
          <w:rFonts w:ascii="Simplified Arabic" w:hAnsi="Simplified Arabic" w:cs="Simplified Arabic"/>
          <w:color w:val="000000"/>
          <w:rtl/>
        </w:rPr>
        <w:t xml:space="preserve"> </w:t>
      </w:r>
      <w:r w:rsidR="00C8596E" w:rsidRPr="0011430B">
        <w:rPr>
          <w:rFonts w:hint="cs"/>
          <w:color w:val="000000"/>
          <w:rtl/>
        </w:rPr>
        <w:t>→</w:t>
      </w:r>
      <w:r w:rsidR="00C8596E" w:rsidRPr="0011430B">
        <w:rPr>
          <w:rFonts w:ascii="Simplified Arabic" w:hAnsi="Simplified Arabic" w:cs="Simplified Arabic"/>
          <w:color w:val="000000"/>
          <w:rtl/>
        </w:rPr>
        <w:t xml:space="preserve"> </w:t>
      </w:r>
      <w:r w:rsidR="00C8596E" w:rsidRPr="0011430B">
        <w:rPr>
          <w:rFonts w:ascii="Simplified Arabic" w:hAnsi="Simplified Arabic" w:cs="Simplified Arabic"/>
          <w:color w:val="000000"/>
        </w:rPr>
        <w:t xml:space="preserve">SC </w:t>
      </w:r>
      <w:r w:rsidR="00C8596E" w:rsidRPr="0011430B">
        <w:rPr>
          <w:color w:val="000000"/>
        </w:rPr>
        <w:t>→</w:t>
      </w:r>
      <w:r w:rsidR="00C8596E" w:rsidRPr="0011430B">
        <w:rPr>
          <w:rFonts w:ascii="Simplified Arabic" w:hAnsi="Simplified Arabic" w:cs="Simplified Arabic"/>
          <w:color w:val="000000"/>
        </w:rPr>
        <w:t xml:space="preserve"> SB </w:t>
      </w:r>
      <w:r w:rsidR="00C8596E" w:rsidRPr="0011430B">
        <w:rPr>
          <w:color w:val="000000"/>
        </w:rPr>
        <w:t>→</w:t>
      </w:r>
      <w:r w:rsidR="00C8596E" w:rsidRPr="0011430B">
        <w:rPr>
          <w:rFonts w:ascii="Simplified Arabic" w:hAnsi="Simplified Arabic" w:cs="Simplified Arabic"/>
          <w:color w:val="000000"/>
        </w:rPr>
        <w:t xml:space="preserve"> AE</w:t>
      </w:r>
      <w:r w:rsidR="00C8596E" w:rsidRPr="0011430B">
        <w:rPr>
          <w:rFonts w:ascii="Simplified Arabic" w:hAnsi="Simplified Arabic" w:cs="Simplified Arabic"/>
          <w:color w:val="000000"/>
          <w:rtl/>
        </w:rPr>
        <w:t>)</w:t>
      </w:r>
    </w:p>
    <w:p w14:paraId="55F16EFD" w14:textId="3C4D023B" w:rsidR="0019387F" w:rsidRPr="0011430B" w:rsidRDefault="00C8596E">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إعداد نموذج تحليلي شامل وتقديم توصيات تطبيقية تعتمد على النتائج الإحصائية، بهدف تطوير برامج تدريبية وتدخلات إدارية موجهة لتحسين سلامة المرضى في منشآت الرعاية الصحية بمنطقة الجوف.</w:t>
      </w:r>
    </w:p>
    <w:p w14:paraId="7FA92495" w14:textId="5D96E0B3" w:rsidR="00ED6763" w:rsidRPr="0011430B" w:rsidRDefault="00ED6763" w:rsidP="00ED6763">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 xml:space="preserve">.6 </w:t>
      </w:r>
      <w:r w:rsidRPr="0011430B">
        <w:rPr>
          <w:rFonts w:ascii="Simplified Arabic" w:hAnsi="Simplified Arabic" w:cs="Simplified Arabic"/>
          <w:b/>
          <w:bCs/>
          <w:color w:val="000000"/>
          <w:rtl/>
        </w:rPr>
        <w:t>فرضيات الدراسة</w:t>
      </w:r>
    </w:p>
    <w:p w14:paraId="017B97FD" w14:textId="6C685DF9" w:rsidR="009F0B77" w:rsidRPr="0011430B" w:rsidRDefault="00C8596E" w:rsidP="009F0B77">
      <w:pPr>
        <w:pStyle w:val="a8"/>
        <w:bidi/>
        <w:spacing w:line="360" w:lineRule="auto"/>
        <w:ind w:left="360"/>
        <w:jc w:val="both"/>
        <w:rPr>
          <w:rFonts w:ascii="Simplified Arabic" w:hAnsi="Simplified Arabic" w:cs="Simplified Arabic"/>
          <w:b/>
          <w:bCs/>
          <w:color w:val="000000"/>
        </w:rPr>
      </w:pPr>
      <w:r w:rsidRPr="0011430B">
        <w:rPr>
          <w:rFonts w:ascii="Simplified Arabic" w:hAnsi="Simplified Arabic" w:cs="Simplified Arabic"/>
          <w:b/>
          <w:bCs/>
          <w:color w:val="000000"/>
          <w:rtl/>
        </w:rPr>
        <w:t>6.1. الفروض المتعلقة بالتأثيرات المباشرة (</w:t>
      </w:r>
      <w:r w:rsidRPr="0011430B">
        <w:rPr>
          <w:rFonts w:ascii="Simplified Arabic" w:hAnsi="Simplified Arabic" w:cs="Simplified Arabic"/>
          <w:b/>
          <w:bCs/>
          <w:color w:val="000000"/>
        </w:rPr>
        <w:t>Effects</w:t>
      </w:r>
      <w:r w:rsidRPr="0011430B">
        <w:rPr>
          <w:rFonts w:ascii="Simplified Arabic" w:hAnsi="Simplified Arabic" w:cs="Simplified Arabic"/>
          <w:b/>
          <w:bCs/>
          <w:color w:val="000000"/>
          <w:rtl/>
        </w:rPr>
        <w:t xml:space="preserve"> المباشرة)</w:t>
      </w:r>
    </w:p>
    <w:p w14:paraId="7D826533" w14:textId="5187706C" w:rsidR="009F0B77" w:rsidRPr="0011430B" w:rsidRDefault="009F0B77" w:rsidP="00F518B1">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Pr>
        <w:t xml:space="preserve">:H1 </w:t>
      </w:r>
      <w:r w:rsidR="00F518B1" w:rsidRPr="00F518B1">
        <w:rPr>
          <w:rFonts w:ascii="Simplified Arabic" w:hAnsi="Simplified Arabic" w:cs="Simplified Arabic"/>
          <w:color w:val="000000"/>
          <w:rtl/>
        </w:rPr>
        <w:t>يوجد تأثير مباشر ذو دلالة إحصائية للقيادة التحويلية على 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لدى العاملين في المستشفيات الحكومية بمنطقة الجوف</w:t>
      </w:r>
      <w:r w:rsidRPr="0011430B">
        <w:rPr>
          <w:rFonts w:ascii="Simplified Arabic" w:hAnsi="Simplified Arabic" w:cs="Simplified Arabic"/>
          <w:color w:val="000000"/>
        </w:rPr>
        <w:t>.</w:t>
      </w:r>
    </w:p>
    <w:p w14:paraId="0E7160C0" w14:textId="3B0EB08D" w:rsidR="009F0B77" w:rsidRPr="0011430B" w:rsidRDefault="009F0B77" w:rsidP="00F518B1">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Pr>
        <w:lastRenderedPageBreak/>
        <w:t xml:space="preserve">:H2 </w:t>
      </w:r>
      <w:r w:rsidR="00F518B1" w:rsidRPr="00F518B1">
        <w:rPr>
          <w:rFonts w:ascii="Simplified Arabic" w:hAnsi="Simplified Arabic" w:cs="Simplified Arabic"/>
          <w:color w:val="000000"/>
          <w:rtl/>
        </w:rPr>
        <w:t>يوجد تأثير مباشر ذو دلالة إحصائية لثقافة سلامة المرضى على سلوكيات السلامة</w:t>
      </w:r>
      <w:r w:rsidRPr="0011430B">
        <w:rPr>
          <w:rFonts w:ascii="Simplified Arabic" w:hAnsi="Simplified Arabic" w:cs="Simplified Arabic"/>
          <w:color w:val="000000"/>
          <w:rtl/>
        </w:rPr>
        <w:t xml:space="preserve"> لدى العاملين في المستشفيات الحكومية بمنطقة </w:t>
      </w:r>
      <w:r w:rsidR="00F518B1" w:rsidRPr="0011430B">
        <w:rPr>
          <w:rFonts w:ascii="Simplified Arabic" w:hAnsi="Simplified Arabic" w:cs="Simplified Arabic" w:hint="cs"/>
          <w:color w:val="000000"/>
          <w:rtl/>
        </w:rPr>
        <w:t>الجوف</w:t>
      </w:r>
      <w:r w:rsidR="00620DF3">
        <w:rPr>
          <w:rFonts w:ascii="Simplified Arabic" w:hAnsi="Simplified Arabic" w:cs="Simplified Arabic" w:hint="cs"/>
          <w:color w:val="000000"/>
          <w:rtl/>
        </w:rPr>
        <w:t>.</w:t>
      </w:r>
    </w:p>
    <w:p w14:paraId="2E995123" w14:textId="04C61D28" w:rsidR="009F0B77" w:rsidRPr="0011430B" w:rsidRDefault="009F0B77" w:rsidP="00F518B1">
      <w:pPr>
        <w:pStyle w:val="a8"/>
        <w:bidi/>
        <w:spacing w:line="360" w:lineRule="auto"/>
        <w:ind w:left="180"/>
        <w:jc w:val="both"/>
        <w:rPr>
          <w:rFonts w:ascii="Simplified Arabic" w:hAnsi="Simplified Arabic" w:cs="Simplified Arabic"/>
          <w:color w:val="000000"/>
          <w:rtl/>
        </w:rPr>
      </w:pPr>
      <w:r w:rsidRPr="0011430B">
        <w:rPr>
          <w:rFonts w:ascii="Simplified Arabic" w:hAnsi="Simplified Arabic" w:cs="Simplified Arabic"/>
          <w:color w:val="000000"/>
        </w:rPr>
        <w:t xml:space="preserve">:H3 </w:t>
      </w:r>
      <w:r w:rsidR="00F518B1" w:rsidRPr="00F518B1">
        <w:rPr>
          <w:rFonts w:ascii="Simplified Arabic" w:hAnsi="Simplified Arabic" w:cs="Simplified Arabic"/>
          <w:color w:val="000000"/>
          <w:rtl/>
        </w:rPr>
        <w:t>يوجد تأثير مباشر ذو دلالة إحصائية لسلوكيات السلامة على تقليل الأحداث الضارة</w:t>
      </w:r>
      <w:r w:rsidRPr="0011430B">
        <w:rPr>
          <w:rFonts w:ascii="Simplified Arabic" w:hAnsi="Simplified Arabic" w:cs="Simplified Arabic"/>
          <w:color w:val="000000"/>
          <w:rtl/>
        </w:rPr>
        <w:t xml:space="preserve"> في المستشفيات الحكومية بمنطقة الجوف</w:t>
      </w:r>
      <w:r w:rsidRPr="0011430B">
        <w:rPr>
          <w:rFonts w:ascii="Simplified Arabic" w:hAnsi="Simplified Arabic" w:cs="Simplified Arabic"/>
          <w:color w:val="000000"/>
        </w:rPr>
        <w:t>.</w:t>
      </w:r>
    </w:p>
    <w:p w14:paraId="4ACA65B6" w14:textId="63B4F404" w:rsidR="009F0B77" w:rsidRPr="0011430B" w:rsidRDefault="009F0B77" w:rsidP="009F0B77">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 xml:space="preserve">6.2 </w:t>
      </w:r>
      <w:r w:rsidRPr="0011430B">
        <w:rPr>
          <w:rFonts w:ascii="Simplified Arabic" w:hAnsi="Simplified Arabic" w:cs="Simplified Arabic"/>
          <w:b/>
          <w:bCs/>
          <w:color w:val="000000"/>
          <w:rtl/>
        </w:rPr>
        <w:t>الفروض المتعلقة بالتأثيرات غير المباشرة</w:t>
      </w:r>
      <w:r w:rsidRPr="0011430B">
        <w:rPr>
          <w:rFonts w:ascii="Simplified Arabic" w:hAnsi="Simplified Arabic" w:cs="Simplified Arabic"/>
          <w:b/>
          <w:bCs/>
          <w:color w:val="000000"/>
        </w:rPr>
        <w:t xml:space="preserve"> </w:t>
      </w:r>
      <w:r w:rsidR="00451443" w:rsidRPr="0011430B">
        <w:rPr>
          <w:rFonts w:ascii="Simplified Arabic" w:hAnsi="Simplified Arabic" w:cs="Simplified Arabic"/>
          <w:b/>
          <w:bCs/>
          <w:color w:val="000000"/>
          <w:rtl/>
        </w:rPr>
        <w:t>الوساطة</w:t>
      </w:r>
      <w:r w:rsidR="00451443"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Pr>
        <w:t>Mediation)</w:t>
      </w:r>
    </w:p>
    <w:p w14:paraId="51ACC138" w14:textId="5DD7A649" w:rsidR="009F0B77" w:rsidRPr="0011430B" w:rsidRDefault="009F0B77" w:rsidP="00F518B1">
      <w:pPr>
        <w:pStyle w:val="a8"/>
        <w:bidi/>
        <w:spacing w:line="360" w:lineRule="auto"/>
        <w:ind w:left="180"/>
        <w:jc w:val="both"/>
        <w:rPr>
          <w:rFonts w:ascii="Simplified Arabic" w:hAnsi="Simplified Arabic" w:cs="Simplified Arabic"/>
          <w:color w:val="000000"/>
          <w:rtl/>
        </w:rPr>
      </w:pPr>
      <w:r w:rsidRPr="0011430B">
        <w:rPr>
          <w:rFonts w:ascii="Simplified Arabic" w:hAnsi="Simplified Arabic" w:cs="Simplified Arabic"/>
          <w:color w:val="000000"/>
        </w:rPr>
        <w:t xml:space="preserve">: H4 </w:t>
      </w:r>
      <w:r w:rsidR="00F518B1" w:rsidRPr="00F518B1">
        <w:rPr>
          <w:rFonts w:ascii="Simplified Arabic" w:hAnsi="Simplified Arabic" w:cs="Simplified Arabic"/>
          <w:color w:val="000000"/>
          <w:rtl/>
        </w:rPr>
        <w:t>يوجد تأثير غير مباشر ذو دلالة إحصائية للقيادة التحويلية على سلوكيات السلامة من خلال ثقافة سلامة المرضى بوصفها متغيرًا وسيطًا</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في المستشفيات الحكومية بمنطقة الجوف</w:t>
      </w:r>
      <w:r w:rsidRPr="0011430B">
        <w:rPr>
          <w:rFonts w:ascii="Simplified Arabic" w:hAnsi="Simplified Arabic" w:cs="Simplified Arabic"/>
          <w:color w:val="000000"/>
        </w:rPr>
        <w:t>.</w:t>
      </w:r>
    </w:p>
    <w:p w14:paraId="6B7D73D5" w14:textId="77777777" w:rsidR="009F0B77" w:rsidRPr="0011430B" w:rsidRDefault="009F0B77" w:rsidP="009F0B7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6.3 </w:t>
      </w:r>
      <w:r w:rsidRPr="0011430B">
        <w:rPr>
          <w:rFonts w:ascii="Simplified Arabic" w:hAnsi="Simplified Arabic" w:cs="Simplified Arabic"/>
          <w:b/>
          <w:bCs/>
          <w:color w:val="000000"/>
          <w:rtl/>
        </w:rPr>
        <w:t>الفروض المتعلقة بالوساطة المتسلسلة</w:t>
      </w:r>
      <w:r w:rsidRPr="0011430B">
        <w:rPr>
          <w:rFonts w:ascii="Simplified Arabic" w:hAnsi="Simplified Arabic" w:cs="Simplified Arabic"/>
          <w:b/>
          <w:bCs/>
          <w:color w:val="000000"/>
        </w:rPr>
        <w:t xml:space="preserve"> (Serial Mediation)</w:t>
      </w:r>
    </w:p>
    <w:p w14:paraId="46D1A133" w14:textId="39102DCB" w:rsidR="009F0B77" w:rsidRPr="0011430B" w:rsidRDefault="00C8596E" w:rsidP="00F518B1">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tl/>
        </w:rPr>
        <w:t>الفرضية المركزية</w:t>
      </w:r>
      <w:r w:rsidRPr="0011430B">
        <w:rPr>
          <w:rFonts w:ascii="Simplified Arabic" w:hAnsi="Simplified Arabic" w:cs="Simplified Arabic"/>
          <w:color w:val="000000"/>
        </w:rPr>
        <w:t xml:space="preserve"> (h5): </w:t>
      </w:r>
      <w:r w:rsidR="00F518B1" w:rsidRPr="00F518B1">
        <w:rPr>
          <w:rFonts w:ascii="Simplified Arabic" w:hAnsi="Simplified Arabic" w:cs="Simplified Arabic"/>
          <w:color w:val="000000"/>
          <w:rtl/>
        </w:rPr>
        <w:t>يوجد تأثير غير مباشر متسلسل ذو دلالة إحصائية للقيادة التحويلية على تقليل الأحداث الضارة من خلال ثقافة سلامة المرضى وسلوكيات السلامة</w:t>
      </w:r>
      <w:r w:rsidRPr="0011430B">
        <w:rPr>
          <w:rFonts w:ascii="Simplified Arabic" w:hAnsi="Simplified Arabic" w:cs="Simplified Arabic"/>
          <w:color w:val="000000"/>
          <w:rtl/>
        </w:rPr>
        <w:t xml:space="preserve"> بين العاملين في المستشفيات الحكومية بمنطقة الجوف</w:t>
      </w:r>
      <w:r w:rsidRPr="0011430B">
        <w:rPr>
          <w:rFonts w:ascii="Simplified Arabic" w:hAnsi="Simplified Arabic" w:cs="Simplified Arabic"/>
          <w:color w:val="000000"/>
        </w:rPr>
        <w:t>.</w:t>
      </w:r>
    </w:p>
    <w:p w14:paraId="7321EDE0" w14:textId="77777777" w:rsidR="009F0B77" w:rsidRPr="0011430B" w:rsidRDefault="009F0B77" w:rsidP="009F0B77">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tl/>
        </w:rPr>
        <w:t>بمعنى آخر: المسار</w:t>
      </w:r>
      <w:r w:rsidRPr="0011430B">
        <w:rPr>
          <w:rFonts w:ascii="Simplified Arabic" w:hAnsi="Simplified Arabic" w:cs="Simplified Arabic"/>
          <w:color w:val="000000"/>
        </w:rPr>
        <w:t xml:space="preserve"> (TL </w:t>
      </w:r>
      <w:r w:rsidRPr="0011430B">
        <w:rPr>
          <w:color w:val="000000"/>
        </w:rPr>
        <w:t>→</w:t>
      </w:r>
      <w:r w:rsidRPr="0011430B">
        <w:rPr>
          <w:rFonts w:ascii="Simplified Arabic" w:hAnsi="Simplified Arabic" w:cs="Simplified Arabic"/>
          <w:color w:val="000000"/>
        </w:rPr>
        <w:t xml:space="preserve"> SC </w:t>
      </w:r>
      <w:r w:rsidRPr="0011430B">
        <w:rPr>
          <w:color w:val="000000"/>
        </w:rPr>
        <w:t>→</w:t>
      </w:r>
      <w:r w:rsidRPr="0011430B">
        <w:rPr>
          <w:rFonts w:ascii="Simplified Arabic" w:hAnsi="Simplified Arabic" w:cs="Simplified Arabic"/>
          <w:color w:val="000000"/>
        </w:rPr>
        <w:t xml:space="preserve"> SB </w:t>
      </w:r>
      <w:r w:rsidRPr="0011430B">
        <w:rPr>
          <w:color w:val="000000"/>
        </w:rPr>
        <w:t>→</w:t>
      </w:r>
      <w:r w:rsidRPr="0011430B">
        <w:rPr>
          <w:rFonts w:ascii="Simplified Arabic" w:hAnsi="Simplified Arabic" w:cs="Simplified Arabic"/>
          <w:color w:val="000000"/>
        </w:rPr>
        <w:t xml:space="preserve"> AE) </w:t>
      </w:r>
      <w:r w:rsidRPr="0011430B">
        <w:rPr>
          <w:rFonts w:ascii="Simplified Arabic" w:hAnsi="Simplified Arabic" w:cs="Simplified Arabic"/>
          <w:color w:val="000000"/>
          <w:rtl/>
        </w:rPr>
        <w:t>يحمل تأثيرًا إحصائيًا ذا معنى</w:t>
      </w:r>
      <w:r w:rsidRPr="0011430B">
        <w:rPr>
          <w:rFonts w:ascii="Simplified Arabic" w:hAnsi="Simplified Arabic" w:cs="Simplified Arabic"/>
          <w:color w:val="000000"/>
        </w:rPr>
        <w:t>.</w:t>
      </w:r>
    </w:p>
    <w:p w14:paraId="7874CEEB" w14:textId="3EAB642E" w:rsidR="00ED6763" w:rsidRPr="0011430B" w:rsidRDefault="00ED6763" w:rsidP="003D4C1A">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6.</w:t>
      </w:r>
      <w:r w:rsidR="00E87873">
        <w:rPr>
          <w:rFonts w:ascii="Simplified Arabic" w:hAnsi="Simplified Arabic" w:cs="Simplified Arabic"/>
          <w:b/>
          <w:bCs/>
          <w:color w:val="000000"/>
        </w:rPr>
        <w:t>4</w:t>
      </w:r>
      <w:r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tl/>
        </w:rPr>
        <w:t>المتغيرات الضابطة</w:t>
      </w:r>
    </w:p>
    <w:p w14:paraId="3432F96B" w14:textId="6922DAEF" w:rsidR="00ED6763" w:rsidRPr="0011430B" w:rsidRDefault="00C8596E" w:rsidP="00BE577C">
      <w:pPr>
        <w:pStyle w:val="a8"/>
        <w:bidi/>
        <w:spacing w:line="360" w:lineRule="auto"/>
        <w:ind w:left="180"/>
        <w:jc w:val="both"/>
        <w:rPr>
          <w:rFonts w:ascii="Simplified Arabic" w:hAnsi="Simplified Arabic" w:cs="Simplified Arabic"/>
          <w:color w:val="000000"/>
          <w:rtl/>
        </w:rPr>
      </w:pPr>
      <w:r w:rsidRPr="0011430B">
        <w:rPr>
          <w:rFonts w:ascii="Simplified Arabic" w:hAnsi="Simplified Arabic" w:cs="Simplified Arabic"/>
          <w:color w:val="000000"/>
          <w:rtl/>
        </w:rPr>
        <w:t>سيتم استخدام المتغيرات الضابطة التالية لضمان تعزيز موثوقية القياس وتقليل احتمالية التحيزات المؤثرة على العلاقات الإحصائية:</w:t>
      </w:r>
    </w:p>
    <w:p w14:paraId="4E817375" w14:textId="4575681C" w:rsidR="00ED6763" w:rsidRPr="0011430B" w:rsidRDefault="00BE577C" w:rsidP="00BE577C">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tl/>
        </w:rPr>
        <w:t>1- سنوات الخبرة الوظيفية 2- القسم أو التخصص الطبي 3- نوع المناوبة (نهاري/ليلي) 4- المرتبة أو الفئة الوظيفية</w:t>
      </w:r>
    </w:p>
    <w:p w14:paraId="29D3F3B9" w14:textId="5F740943" w:rsidR="00E07AD8" w:rsidRPr="0011430B" w:rsidRDefault="00820A0F" w:rsidP="008B5C39">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Pr>
        <w:t>7</w:t>
      </w:r>
      <w:r w:rsidR="007E5BA4" w:rsidRPr="0011430B">
        <w:rPr>
          <w:rFonts w:ascii="Simplified Arabic" w:hAnsi="Simplified Arabic" w:cs="Simplified Arabic"/>
          <w:b/>
          <w:bCs/>
          <w:sz w:val="24"/>
          <w:szCs w:val="24"/>
          <w:rtl/>
        </w:rPr>
        <w:t>. مفاهيم الدراسة ومصطلحاتها</w:t>
      </w:r>
      <w:r w:rsidR="00E07AD8" w:rsidRPr="0011430B">
        <w:rPr>
          <w:rFonts w:ascii="Simplified Arabic" w:hAnsi="Simplified Arabic" w:cs="Simplified Arabic"/>
          <w:b/>
          <w:bCs/>
          <w:sz w:val="24"/>
          <w:szCs w:val="24"/>
          <w:rtl/>
        </w:rPr>
        <w:br/>
        <w:t>جدول موجز لتعريفات المتغيرات وقياسها:</w:t>
      </w:r>
    </w:p>
    <w:p w14:paraId="53C674C8" w14:textId="40180555"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7.1 </w:t>
      </w:r>
      <w:r w:rsidRPr="0011430B">
        <w:rPr>
          <w:rFonts w:ascii="Simplified Arabic" w:hAnsi="Simplified Arabic" w:cs="Simplified Arabic"/>
          <w:b/>
          <w:bCs/>
          <w:sz w:val="24"/>
          <w:szCs w:val="24"/>
          <w:rtl/>
        </w:rPr>
        <w:t>القيادة التحويلية</w:t>
      </w:r>
      <w:r w:rsidRPr="0011430B">
        <w:rPr>
          <w:rFonts w:ascii="Simplified Arabic" w:hAnsi="Simplified Arabic" w:cs="Simplified Arabic"/>
          <w:b/>
          <w:bCs/>
          <w:sz w:val="24"/>
          <w:szCs w:val="24"/>
        </w:rPr>
        <w:t xml:space="preserve"> (Transformational Leadership – TL)</w:t>
      </w:r>
    </w:p>
    <w:p w14:paraId="7F7B0F38"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76EC71FF" w14:textId="77777777" w:rsidR="005C7680" w:rsidRPr="005C7680" w:rsidRDefault="005C7680" w:rsidP="005C7680">
      <w:pPr>
        <w:bidi/>
        <w:spacing w:line="360" w:lineRule="auto"/>
        <w:rPr>
          <w:rFonts w:ascii="Simplified Arabic" w:hAnsi="Simplified Arabic" w:cs="Simplified Arabic"/>
          <w:sz w:val="24"/>
          <w:szCs w:val="24"/>
        </w:rPr>
      </w:pPr>
      <w:r w:rsidRPr="005C7680">
        <w:rPr>
          <w:rFonts w:ascii="Simplified Arabic" w:hAnsi="Simplified Arabic" w:cs="Simplified Arabic"/>
          <w:sz w:val="24"/>
          <w:szCs w:val="24"/>
        </w:rPr>
        <w:br/>
      </w:r>
    </w:p>
    <w:p w14:paraId="1766CF65" w14:textId="634DC368" w:rsidR="00545814" w:rsidRDefault="00545814" w:rsidP="00545814">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lastRenderedPageBreak/>
        <w:t xml:space="preserve">تُعرَّف القيادة التحويلية وفق إطار </w:t>
      </w:r>
      <w:r>
        <w:rPr>
          <w:rFonts w:ascii="Simplified Arabic" w:hAnsi="Simplified Arabic" w:cs="Simplified Arabic"/>
          <w:sz w:val="24"/>
          <w:szCs w:val="24"/>
        </w:rPr>
        <w:t>Podsakoff et al</w:t>
      </w:r>
      <w:r>
        <w:rPr>
          <w:rFonts w:ascii="Simplified Arabic" w:hAnsi="Simplified Arabic" w:cs="Simplified Arabic"/>
          <w:sz w:val="24"/>
          <w:szCs w:val="24"/>
          <w:rtl/>
        </w:rPr>
        <w:t>. (1990) بأنها نمط قيادي يتجلى في ست ممارسات محورية: الأولى، تحديد رؤية واضحة ومقنعة للمستقبل تُلهم العاملين وتوجّه جهودهم نحو هدف مشترك. والثانية، تقديم نموذج سلوكي يُحتذى به من خلال التوافق بين ما يقوله القائد وما يفعله. والثالثة، تشجيع العاملين على قبول الأهداف الجماعية وتوحيد جهود الفريق نحو تحقيق أهداف المنظمة. والرابعة، وضع توقعات أداء مرتفعة وواضحة تدفع العاملين إلى تجاوز مستوياتهم المعتادة. والخامسة، تقديم الدعم الفردي من خلال الاهتمام الشخصي باحتياجات كل موظف وتطلعاته. والسادسة، الاستثارة الفكرية بتحفيز العاملين على التفكير النقدي وإعادة تقييم المسلّمات والبحث عن حلول جديدة (</w:t>
      </w:r>
      <w:r>
        <w:rPr>
          <w:rFonts w:ascii="Simplified Arabic" w:hAnsi="Simplified Arabic" w:cs="Simplified Arabic"/>
          <w:sz w:val="24"/>
          <w:szCs w:val="24"/>
        </w:rPr>
        <w:t>Podsakoff et al., 1990</w:t>
      </w:r>
      <w:r>
        <w:rPr>
          <w:rFonts w:ascii="Simplified Arabic" w:hAnsi="Simplified Arabic" w:cs="Simplified Arabic"/>
          <w:sz w:val="24"/>
          <w:szCs w:val="24"/>
          <w:rtl/>
        </w:rPr>
        <w:t>).</w:t>
      </w:r>
    </w:p>
    <w:p w14:paraId="64FF6156" w14:textId="45EFB104" w:rsidR="00425B7A" w:rsidRPr="00425B7A" w:rsidRDefault="00820A0F" w:rsidP="00545814">
      <w:pPr>
        <w:bidi/>
        <w:spacing w:line="360" w:lineRule="auto"/>
        <w:rPr>
          <w:rFonts w:ascii="Simplified Arabic" w:hAnsi="Simplified Arabic" w:cs="Simplified Arabic" w:hint="cs"/>
          <w:b/>
          <w:bCs/>
          <w:sz w:val="24"/>
          <w:szCs w:val="24"/>
          <w:rtl/>
        </w:rPr>
      </w:pPr>
      <w:r w:rsidRPr="0011430B">
        <w:rPr>
          <w:rFonts w:ascii="Simplified Arabic" w:hAnsi="Simplified Arabic" w:cs="Simplified Arabic"/>
          <w:b/>
          <w:bCs/>
          <w:sz w:val="24"/>
          <w:szCs w:val="24"/>
          <w:rtl/>
        </w:rPr>
        <w:t>التعريف الإجرائي</w:t>
      </w:r>
    </w:p>
    <w:p w14:paraId="744175CF" w14:textId="12CE67A3" w:rsidR="00060A80" w:rsidRDefault="00060A80" w:rsidP="00060A80">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 يُعرَّف متغير القيادة التحويلية إجرائياً في هذه الدراسة بأنه الدرجة الكلية والدرجات الفرعية التي يحصل عليها المشارك على مقياس </w:t>
      </w:r>
      <w:r>
        <w:rPr>
          <w:rFonts w:ascii="Simplified Arabic" w:hAnsi="Simplified Arabic" w:cs="Simplified Arabic"/>
          <w:sz w:val="24"/>
          <w:szCs w:val="24"/>
        </w:rPr>
        <w:t>Transformational Leadership Inventory (TLI)</w:t>
      </w:r>
      <w:r>
        <w:rPr>
          <w:rFonts w:ascii="Simplified Arabic" w:hAnsi="Simplified Arabic" w:cs="Simplified Arabic"/>
          <w:sz w:val="24"/>
          <w:szCs w:val="24"/>
          <w:rtl/>
        </w:rPr>
        <w:t xml:space="preserve"> المطوَّر بواسطة </w:t>
      </w:r>
      <w:r>
        <w:rPr>
          <w:rFonts w:ascii="Simplified Arabic" w:hAnsi="Simplified Arabic" w:cs="Simplified Arabic"/>
          <w:sz w:val="24"/>
          <w:szCs w:val="24"/>
        </w:rPr>
        <w:t>Podsakoff et al</w:t>
      </w:r>
      <w:r>
        <w:rPr>
          <w:rFonts w:ascii="Simplified Arabic" w:hAnsi="Simplified Arabic" w:cs="Simplified Arabic"/>
          <w:sz w:val="24"/>
          <w:szCs w:val="24"/>
          <w:rtl/>
        </w:rPr>
        <w:t>. (1990)، والذي يقيس مدى إدراك العاملين للسلوك القيادي التحويلي لدى القيادات الإدارية والطبية في مستشفيات القطاع الحكومي بمنطقة الجوف. ويشمل القياس ستة أبعاد رئيسة هي: صياغة الرؤية، تقديم النموذج المناسب، تعزيز قبول أهداف المجموعة، توقعات الأداء العالي، الدعم الفردي، والاستثارة الفكرية.</w:t>
      </w:r>
    </w:p>
    <w:p w14:paraId="77FCA84D" w14:textId="437CA515" w:rsidR="00DE2DA1" w:rsidRPr="00DE2DA1" w:rsidRDefault="00DE2DA1" w:rsidP="00DE2DA1">
      <w:pPr>
        <w:bidi/>
        <w:spacing w:line="360" w:lineRule="auto"/>
        <w:jc w:val="both"/>
        <w:rPr>
          <w:rFonts w:ascii="Simplified Arabic" w:hAnsi="Simplified Arabic" w:cs="Simplified Arabic"/>
          <w:sz w:val="24"/>
          <w:szCs w:val="24"/>
          <w:rtl/>
        </w:rPr>
      </w:pPr>
      <w:r w:rsidRPr="00DE2DA1">
        <w:rPr>
          <w:rFonts w:ascii="Simplified Arabic" w:hAnsi="Simplified Arabic" w:cs="Simplified Arabic"/>
          <w:sz w:val="24"/>
          <w:szCs w:val="24"/>
          <w:rtl/>
        </w:rPr>
        <w:t>واعتمدت الدراسة الحالية مقياس</w:t>
      </w:r>
      <w:r w:rsidRPr="00DE2DA1">
        <w:rPr>
          <w:rFonts w:ascii="Simplified Arabic" w:hAnsi="Simplified Arabic" w:cs="Simplified Arabic"/>
          <w:sz w:val="24"/>
          <w:szCs w:val="24"/>
        </w:rPr>
        <w:t xml:space="preserve"> TLI </w:t>
      </w:r>
      <w:r w:rsidRPr="00DE2DA1">
        <w:rPr>
          <w:rFonts w:ascii="Simplified Arabic" w:hAnsi="Simplified Arabic" w:cs="Simplified Arabic"/>
          <w:sz w:val="24"/>
          <w:szCs w:val="24"/>
          <w:rtl/>
        </w:rPr>
        <w:t>بوصفه الأداة المعتمدة لقياس القيادة التحويلية، وذلك اتساقًا مع الإطار النظري الذي تتبناه الدراسة ومع طبيعة النموذج البحثي القائم على تحليل الأبعاد السلوكية المباشرة للقيادة التحويلية في البيئة الصحية</w:t>
      </w:r>
    </w:p>
    <w:p w14:paraId="6C6FAF1B" w14:textId="20A1A4F1" w:rsidR="00440C4B" w:rsidRDefault="00440C4B" w:rsidP="00060A80">
      <w:pPr>
        <w:bidi/>
        <w:spacing w:line="360" w:lineRule="auto"/>
        <w:jc w:val="both"/>
        <w:rPr>
          <w:rFonts w:ascii="Simplified Arabic" w:hAnsi="Simplified Arabic" w:cs="Simplified Arabic"/>
          <w:sz w:val="24"/>
          <w:szCs w:val="24"/>
          <w:rtl/>
        </w:rPr>
      </w:pPr>
      <w:r w:rsidRPr="00440C4B">
        <w:rPr>
          <w:rFonts w:ascii="Simplified Arabic" w:hAnsi="Simplified Arabic" w:cs="Simplified Arabic"/>
          <w:b/>
          <w:bCs/>
          <w:sz w:val="24"/>
          <w:szCs w:val="24"/>
          <w:rtl/>
        </w:rPr>
        <w:t xml:space="preserve">الأبعاد الستة </w:t>
      </w:r>
      <w:proofErr w:type="gramStart"/>
      <w:r w:rsidRPr="00440C4B">
        <w:rPr>
          <w:rFonts w:ascii="Simplified Arabic" w:hAnsi="Simplified Arabic" w:cs="Simplified Arabic"/>
          <w:b/>
          <w:bCs/>
          <w:sz w:val="24"/>
          <w:szCs w:val="24"/>
          <w:rtl/>
        </w:rPr>
        <w:t>لـ</w:t>
      </w:r>
      <w:r w:rsidR="001558E2">
        <w:rPr>
          <w:rFonts w:ascii="Simplified Arabic" w:hAnsi="Simplified Arabic" w:cs="Simplified Arabic" w:hint="cs"/>
          <w:b/>
          <w:bCs/>
          <w:sz w:val="24"/>
          <w:szCs w:val="24"/>
          <w:rtl/>
        </w:rPr>
        <w:t xml:space="preserve"> </w:t>
      </w:r>
      <w:r w:rsidRPr="00440C4B">
        <w:rPr>
          <w:rFonts w:ascii="Simplified Arabic" w:hAnsi="Simplified Arabic" w:cs="Simplified Arabic"/>
          <w:b/>
          <w:bCs/>
          <w:sz w:val="24"/>
          <w:szCs w:val="24"/>
        </w:rPr>
        <w:t xml:space="preserve"> TLI</w:t>
      </w:r>
      <w:proofErr w:type="gramEnd"/>
      <w:r>
        <w:rPr>
          <w:rFonts w:ascii="Simplified Arabic" w:hAnsi="Simplified Arabic" w:cs="Simplified Arabic" w:hint="cs"/>
          <w:sz w:val="24"/>
          <w:szCs w:val="24"/>
          <w:rtl/>
        </w:rPr>
        <w:t>:</w:t>
      </w:r>
    </w:p>
    <w:p w14:paraId="677958BA" w14:textId="5DC1BCAA" w:rsidR="00F535F9" w:rsidRPr="00F535F9" w:rsidRDefault="00F535F9" w:rsidP="00440C4B">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 xml:space="preserve">البُعد </w:t>
      </w:r>
      <w:r w:rsidRPr="00F535F9">
        <w:rPr>
          <w:rFonts w:ascii="Simplified Arabic" w:hAnsi="Simplified Arabic" w:cs="Simplified Arabic" w:hint="cs"/>
          <w:sz w:val="24"/>
          <w:szCs w:val="24"/>
          <w:rtl/>
        </w:rPr>
        <w:t>الأول: تحديد</w:t>
      </w:r>
      <w:r w:rsidRPr="00F535F9">
        <w:rPr>
          <w:rFonts w:ascii="Simplified Arabic" w:hAnsi="Simplified Arabic" w:cs="Simplified Arabic"/>
          <w:sz w:val="24"/>
          <w:szCs w:val="24"/>
          <w:rtl/>
        </w:rPr>
        <w:t xml:space="preserve"> الرؤية وتوضيحها (</w:t>
      </w:r>
      <w:r w:rsidRPr="00F535F9">
        <w:rPr>
          <w:rFonts w:ascii="Simplified Arabic" w:hAnsi="Simplified Arabic" w:cs="Simplified Arabic"/>
          <w:sz w:val="24"/>
          <w:szCs w:val="24"/>
        </w:rPr>
        <w:t>Articulating a Vision</w:t>
      </w:r>
      <w:r w:rsidRPr="00F535F9">
        <w:rPr>
          <w:rFonts w:ascii="Simplified Arabic" w:hAnsi="Simplified Arabic" w:cs="Simplified Arabic"/>
          <w:sz w:val="24"/>
          <w:szCs w:val="24"/>
          <w:rtl/>
        </w:rPr>
        <w:t>)</w:t>
      </w:r>
    </w:p>
    <w:p w14:paraId="354DCA36"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الثاني: تقديم النموذج القيادي يُحتذى (</w:t>
      </w:r>
      <w:r w:rsidRPr="00F535F9">
        <w:rPr>
          <w:rFonts w:ascii="Simplified Arabic" w:hAnsi="Simplified Arabic" w:cs="Simplified Arabic"/>
          <w:sz w:val="24"/>
          <w:szCs w:val="24"/>
        </w:rPr>
        <w:t>Providing an Appropriate Model</w:t>
      </w:r>
      <w:r w:rsidRPr="00F535F9">
        <w:rPr>
          <w:rFonts w:ascii="Simplified Arabic" w:hAnsi="Simplified Arabic" w:cs="Simplified Arabic"/>
          <w:sz w:val="24"/>
          <w:szCs w:val="24"/>
          <w:rtl/>
        </w:rPr>
        <w:t>)</w:t>
      </w:r>
    </w:p>
    <w:p w14:paraId="04535003"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الثالث: تشجيع قبول الأهداف الجماعية (</w:t>
      </w:r>
      <w:r w:rsidRPr="00F535F9">
        <w:rPr>
          <w:rFonts w:ascii="Simplified Arabic" w:hAnsi="Simplified Arabic" w:cs="Simplified Arabic"/>
          <w:sz w:val="24"/>
          <w:szCs w:val="24"/>
        </w:rPr>
        <w:t>Fostering Acceptance of Group Goals</w:t>
      </w:r>
      <w:r w:rsidRPr="00F535F9">
        <w:rPr>
          <w:rFonts w:ascii="Simplified Arabic" w:hAnsi="Simplified Arabic" w:cs="Simplified Arabic"/>
          <w:sz w:val="24"/>
          <w:szCs w:val="24"/>
          <w:rtl/>
        </w:rPr>
        <w:t>)</w:t>
      </w:r>
    </w:p>
    <w:p w14:paraId="0B314721"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الرابع: توقعات الأداء العالية (</w:t>
      </w:r>
      <w:r w:rsidRPr="00F535F9">
        <w:rPr>
          <w:rFonts w:ascii="Simplified Arabic" w:hAnsi="Simplified Arabic" w:cs="Simplified Arabic"/>
          <w:sz w:val="24"/>
          <w:szCs w:val="24"/>
        </w:rPr>
        <w:t>High Performance Expectations</w:t>
      </w:r>
      <w:r w:rsidRPr="00F535F9">
        <w:rPr>
          <w:rFonts w:ascii="Simplified Arabic" w:hAnsi="Simplified Arabic" w:cs="Simplified Arabic"/>
          <w:sz w:val="24"/>
          <w:szCs w:val="24"/>
          <w:rtl/>
        </w:rPr>
        <w:t>)</w:t>
      </w:r>
    </w:p>
    <w:p w14:paraId="7C826DC3"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الخامس: الدعم الفردي (</w:t>
      </w:r>
      <w:r w:rsidRPr="00F535F9">
        <w:rPr>
          <w:rFonts w:ascii="Simplified Arabic" w:hAnsi="Simplified Arabic" w:cs="Simplified Arabic"/>
          <w:sz w:val="24"/>
          <w:szCs w:val="24"/>
        </w:rPr>
        <w:t>Individualized Support</w:t>
      </w:r>
      <w:r w:rsidRPr="00F535F9">
        <w:rPr>
          <w:rFonts w:ascii="Simplified Arabic" w:hAnsi="Simplified Arabic" w:cs="Simplified Arabic"/>
          <w:sz w:val="24"/>
          <w:szCs w:val="24"/>
          <w:rtl/>
        </w:rPr>
        <w:t>)</w:t>
      </w:r>
    </w:p>
    <w:p w14:paraId="56B4C678" w14:textId="702EE081" w:rsidR="00F535F9" w:rsidRDefault="00F535F9" w:rsidP="00F535F9">
      <w:pPr>
        <w:bidi/>
        <w:spacing w:line="360" w:lineRule="auto"/>
        <w:rPr>
          <w:rFonts w:ascii="Simplified Arabic" w:hAnsi="Simplified Arabic" w:cs="Simplified Arabic"/>
          <w:b/>
          <w:bCs/>
          <w:sz w:val="24"/>
          <w:szCs w:val="24"/>
          <w:rtl/>
        </w:rPr>
      </w:pPr>
      <w:r w:rsidRPr="00F535F9">
        <w:rPr>
          <w:rFonts w:ascii="Simplified Arabic" w:hAnsi="Simplified Arabic" w:cs="Simplified Arabic"/>
          <w:sz w:val="24"/>
          <w:szCs w:val="24"/>
          <w:rtl/>
        </w:rPr>
        <w:t>البُعد السادس: الاستثارة الفكرية (</w:t>
      </w:r>
      <w:r w:rsidRPr="00F535F9">
        <w:rPr>
          <w:rFonts w:ascii="Simplified Arabic" w:hAnsi="Simplified Arabic" w:cs="Simplified Arabic"/>
          <w:sz w:val="24"/>
          <w:szCs w:val="24"/>
        </w:rPr>
        <w:t>Intellectual Stimulation)</w:t>
      </w:r>
      <w:r>
        <w:rPr>
          <w:rFonts w:ascii="Simplified Arabic" w:hAnsi="Simplified Arabic" w:cs="Simplified Arabic" w:hint="cs"/>
          <w:b/>
          <w:bCs/>
          <w:sz w:val="24"/>
          <w:szCs w:val="24"/>
          <w:rtl/>
        </w:rPr>
        <w:t>)</w:t>
      </w:r>
    </w:p>
    <w:p w14:paraId="61ED735E" w14:textId="7FEA3308" w:rsidR="00820A0F" w:rsidRPr="0011430B" w:rsidRDefault="00820A0F" w:rsidP="00F535F9">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7.2 </w:t>
      </w:r>
      <w:r w:rsidR="003475EA" w:rsidRPr="003475EA">
        <w:rPr>
          <w:rFonts w:ascii="Simplified Arabic" w:hAnsi="Simplified Arabic" w:cs="Simplified Arabic"/>
          <w:b/>
          <w:bCs/>
          <w:sz w:val="24"/>
          <w:szCs w:val="24"/>
          <w:rtl/>
        </w:rPr>
        <w:t xml:space="preserve">ثقافة سلامة </w:t>
      </w:r>
      <w:r w:rsidR="00076824" w:rsidRPr="003475EA">
        <w:rPr>
          <w:rFonts w:ascii="Simplified Arabic" w:hAnsi="Simplified Arabic" w:cs="Simplified Arabic" w:hint="cs"/>
          <w:b/>
          <w:bCs/>
          <w:sz w:val="24"/>
          <w:szCs w:val="24"/>
          <w:rtl/>
        </w:rPr>
        <w:t>المرضى</w:t>
      </w:r>
      <w:r w:rsidR="00076824" w:rsidRPr="0011430B">
        <w:rPr>
          <w:rFonts w:ascii="Simplified Arabic" w:hAnsi="Simplified Arabic" w:cs="Simplified Arabic"/>
          <w:b/>
          <w:bCs/>
          <w:sz w:val="24"/>
          <w:szCs w:val="24"/>
        </w:rPr>
        <w:t xml:space="preserve"> (</w:t>
      </w:r>
      <w:r w:rsidRPr="0011430B">
        <w:rPr>
          <w:rFonts w:ascii="Simplified Arabic" w:hAnsi="Simplified Arabic" w:cs="Simplified Arabic"/>
          <w:b/>
          <w:bCs/>
          <w:sz w:val="24"/>
          <w:szCs w:val="24"/>
        </w:rPr>
        <w:t>Safety Culture – SC)</w:t>
      </w:r>
    </w:p>
    <w:p w14:paraId="6D6FD51B"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lastRenderedPageBreak/>
        <w:t>التعريف النظري</w:t>
      </w:r>
    </w:p>
    <w:p w14:paraId="764F6597" w14:textId="3836B2A7" w:rsidR="00820A0F" w:rsidRPr="0011430B" w:rsidRDefault="00C8596E"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 xml:space="preserve">تمثل ثقافة السلامة نظامًا متكاملًا من القيم والاتجاهات والسلوكيات الفردية والجماعية التي تجسد التزام المؤسسة بتعزيز مبادئ السلامة وجعلها أولوية ثابتة ضمن الممارسات اليومية، بهدف دعم بيئة عمل آمنة وفعالة </w:t>
      </w:r>
      <w:r w:rsidR="00154D4E" w:rsidRPr="0011430B">
        <w:rPr>
          <w:rFonts w:ascii="Simplified Arabic" w:hAnsi="Simplified Arabic" w:cs="Simplified Arabic"/>
          <w:sz w:val="24"/>
          <w:szCs w:val="24"/>
          <w:rtl/>
        </w:rPr>
        <w:fldChar w:fldCharType="begin"/>
      </w:r>
      <w:r w:rsidR="00154D4E" w:rsidRPr="0011430B">
        <w:rPr>
          <w:rFonts w:ascii="Simplified Arabic" w:hAnsi="Simplified Arabic" w:cs="Simplified Arabic"/>
          <w:sz w:val="24"/>
          <w:szCs w:val="24"/>
          <w:rtl/>
        </w:rPr>
        <w:instrText xml:space="preserve"> </w:instrText>
      </w:r>
      <w:r w:rsidR="00154D4E" w:rsidRPr="0011430B">
        <w:rPr>
          <w:rFonts w:ascii="Simplified Arabic" w:hAnsi="Simplified Arabic" w:cs="Simplified Arabic"/>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54D4E" w:rsidRPr="0011430B">
        <w:rPr>
          <w:rFonts w:ascii="Simplified Arabic" w:hAnsi="Simplified Arabic" w:cs="Simplified Arabic"/>
          <w:sz w:val="24"/>
          <w:szCs w:val="24"/>
          <w:rtl/>
        </w:rPr>
        <w:instrText>&gt;</w:instrText>
      </w:r>
      <w:r w:rsidR="00154D4E" w:rsidRPr="0011430B">
        <w:rPr>
          <w:rFonts w:ascii="Simplified Arabic" w:hAnsi="Simplified Arabic" w:cs="Simplified Arabic"/>
          <w:sz w:val="24"/>
          <w:szCs w:val="24"/>
          <w:rtl/>
        </w:rPr>
        <w:fldChar w:fldCharType="separate"/>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noProof/>
          <w:sz w:val="24"/>
          <w:szCs w:val="24"/>
        </w:rPr>
        <w:t>Asante &amp; Novak, 2024</w:t>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w:t>
      </w:r>
    </w:p>
    <w:p w14:paraId="5EF94A90"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1CAE6822" w14:textId="4401B06D" w:rsidR="00820A0F" w:rsidRPr="0011430B" w:rsidRDefault="00C8596E" w:rsidP="00820A0F">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 xml:space="preserve">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w:t>
      </w:r>
      <w:r w:rsidRPr="0011430B">
        <w:rPr>
          <w:rFonts w:ascii="Simplified Arabic" w:hAnsi="Simplified Arabic" w:cs="Simplified Arabic"/>
          <w:sz w:val="24"/>
          <w:szCs w:val="24"/>
        </w:rPr>
        <w:t>HSOPSC</w:t>
      </w:r>
      <w:r w:rsidRPr="0011430B">
        <w:rPr>
          <w:rFonts w:ascii="Simplified Arabic" w:hAnsi="Simplified Arabic" w:cs="Simplified Arabic"/>
          <w:sz w:val="24"/>
          <w:szCs w:val="24"/>
          <w:rtl/>
        </w:rPr>
        <w:t>».</w:t>
      </w:r>
    </w:p>
    <w:p w14:paraId="69DD9074"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الأبعاد الرئيسة</w:t>
      </w:r>
    </w:p>
    <w:p w14:paraId="3F7F37DA" w14:textId="4AA707CA" w:rsidR="00820A0F" w:rsidRPr="0011430B" w:rsidRDefault="00FC62C6" w:rsidP="00974AA7">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1- دعم الإدارة للسلامة؛ 2- التواصل المفتوح بشأن الأخطاء؛ 3- التعلم المستمر من الحوادث؛ 4- العمل الجماعي والتعاون.</w:t>
      </w:r>
    </w:p>
    <w:p w14:paraId="0E8E71CD" w14:textId="64DCAF94"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7.3 </w:t>
      </w:r>
      <w:r w:rsidRPr="0011430B">
        <w:rPr>
          <w:rFonts w:ascii="Simplified Arabic" w:hAnsi="Simplified Arabic" w:cs="Simplified Arabic"/>
          <w:b/>
          <w:bCs/>
          <w:sz w:val="24"/>
          <w:szCs w:val="24"/>
          <w:rtl/>
        </w:rPr>
        <w:t>سلوكيات السلامة</w:t>
      </w:r>
      <w:r w:rsidRPr="0011430B">
        <w:rPr>
          <w:rFonts w:ascii="Simplified Arabic" w:hAnsi="Simplified Arabic" w:cs="Simplified Arabic"/>
          <w:b/>
          <w:bCs/>
          <w:sz w:val="24"/>
          <w:szCs w:val="24"/>
        </w:rPr>
        <w:t xml:space="preserve"> (Safety Behaviors – SB)</w:t>
      </w:r>
      <w:r w:rsidR="00EE4069" w:rsidRPr="0011430B">
        <w:rPr>
          <w:rFonts w:ascii="Simplified Arabic" w:hAnsi="Simplified Arabic" w:cs="Simplified Arabic"/>
          <w:b/>
          <w:bCs/>
          <w:sz w:val="24"/>
          <w:szCs w:val="24"/>
        </w:rPr>
        <w:t xml:space="preserve"> </w:t>
      </w:r>
    </w:p>
    <w:p w14:paraId="09B08384"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53B221B7" w14:textId="61821606" w:rsidR="00820A0F" w:rsidRPr="0011430B" w:rsidRDefault="00C92050"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 (</w:t>
      </w:r>
      <w:r w:rsidRPr="0011430B">
        <w:rPr>
          <w:rFonts w:ascii="Simplified Arabic" w:hAnsi="Simplified Arabic" w:cs="Simplified Arabic"/>
          <w:sz w:val="24"/>
          <w:szCs w:val="24"/>
        </w:rPr>
        <w:t>Mohammed</w:t>
      </w:r>
      <w:r w:rsidRPr="0011430B">
        <w:rPr>
          <w:rFonts w:ascii="Simplified Arabic" w:hAnsi="Simplified Arabic" w:cs="Simplified Arabic"/>
          <w:sz w:val="24"/>
          <w:szCs w:val="24"/>
          <w:rtl/>
        </w:rPr>
        <w:t>، 2025).</w:t>
      </w:r>
    </w:p>
    <w:p w14:paraId="73C43D3F"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10877131" w14:textId="7F0634F1" w:rsidR="00820A0F" w:rsidRPr="0011430B" w:rsidRDefault="00C92050"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هي المعيار الذي يقيم مستوى التزام الممارسين الصحيين بالممارسات والإجراءات المعتمدة في المستشفيات الحكومية بمنطقة الجوف، ويتضمن ذلك غسل اليدين، التحقق من هوية المريض، والالتزام بقوائم التدقيق، ويتم قياسه من خلال الاستبانة المعتمدة في الدراسة.</w:t>
      </w:r>
    </w:p>
    <w:p w14:paraId="370E1BA6"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Pr>
        <w:t xml:space="preserve">7.4 </w:t>
      </w:r>
      <w:r w:rsidRPr="0011430B">
        <w:rPr>
          <w:rFonts w:ascii="Simplified Arabic" w:hAnsi="Simplified Arabic" w:cs="Simplified Arabic"/>
          <w:b/>
          <w:bCs/>
          <w:sz w:val="24"/>
          <w:szCs w:val="24"/>
          <w:rtl/>
        </w:rPr>
        <w:t>الأحداث الضارة</w:t>
      </w:r>
      <w:r w:rsidRPr="0011430B">
        <w:rPr>
          <w:rFonts w:ascii="Simplified Arabic" w:hAnsi="Simplified Arabic" w:cs="Simplified Arabic"/>
          <w:b/>
          <w:bCs/>
          <w:sz w:val="24"/>
          <w:szCs w:val="24"/>
        </w:rPr>
        <w:t xml:space="preserve"> (Adverse Events – AE)</w:t>
      </w:r>
    </w:p>
    <w:p w14:paraId="334787A5"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النظري</w:t>
      </w:r>
    </w:p>
    <w:p w14:paraId="5A2BA4B3" w14:textId="0DCD6993" w:rsidR="00820A0F" w:rsidRPr="0011430B" w:rsidRDefault="00C92050" w:rsidP="00820A0F">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الأحداث الضارة تمثل إصابات أو نتائج سلبية غير مقصودة يتعرض لها المريض نتيجة للرعاية الطبية المقدمة، وليست لها علاقة بالمرض الأساسي، وقد تؤدي إلى ضرر وظيفي، أو إطالة مدة الإقامة، أو الوفاة. وغالبًا ما تكون قابلة للوقاية (</w:t>
      </w:r>
      <w:r w:rsidRPr="0011430B">
        <w:rPr>
          <w:rFonts w:ascii="Simplified Arabic" w:hAnsi="Simplified Arabic" w:cs="Simplified Arabic"/>
          <w:sz w:val="24"/>
          <w:szCs w:val="24"/>
        </w:rPr>
        <w:t>Shenoy, 2021</w:t>
      </w:r>
      <w:r w:rsidRPr="0011430B">
        <w:rPr>
          <w:rFonts w:ascii="Simplified Arabic" w:hAnsi="Simplified Arabic" w:cs="Simplified Arabic"/>
          <w:sz w:val="24"/>
          <w:szCs w:val="24"/>
          <w:rtl/>
        </w:rPr>
        <w:t>).</w:t>
      </w:r>
    </w:p>
    <w:p w14:paraId="60562575" w14:textId="07CE0E8A" w:rsidR="001E5385" w:rsidRPr="0011430B" w:rsidRDefault="00D501DC" w:rsidP="001E538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w:t>
      </w:r>
      <w:r w:rsidR="001E5385" w:rsidRPr="0011430B">
        <w:rPr>
          <w:rFonts w:ascii="Simplified Arabic" w:hAnsi="Simplified Arabic" w:cs="Simplified Arabic"/>
          <w:b/>
          <w:bCs/>
          <w:sz w:val="24"/>
          <w:szCs w:val="24"/>
          <w:rtl/>
        </w:rPr>
        <w:t>لتعريف الإجرائي</w:t>
      </w:r>
    </w:p>
    <w:p w14:paraId="63E7E0E7" w14:textId="79B212E7" w:rsidR="001E5385" w:rsidRPr="0011430B" w:rsidRDefault="00C92050"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lastRenderedPageBreak/>
        <w:t>يتم قياس متغير الأحداث الضارة من خلال مقياس إدراكي يعكس تقييم الممارسين الصحيين والعاملين الإداريين في مستشفيات القطاع الحكومي بمنطقة الجوف لمستوى فعالية الإجراءات والتدابير المتخذة بهدف تقليل الأخطاء والحوادث الضارة.</w:t>
      </w:r>
    </w:p>
    <w:p w14:paraId="22CD91B2" w14:textId="77777777" w:rsidR="00C92050" w:rsidRPr="0011430B" w:rsidRDefault="00C92050" w:rsidP="00C92050">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وتحديداً، يقيس هذا المتغير مدى فهم العاملين بشأن:</w:t>
      </w:r>
    </w:p>
    <w:p w14:paraId="17059066" w14:textId="52ED021F" w:rsidR="00C92050" w:rsidRPr="0011430B" w:rsidRDefault="00C92050" w:rsidP="00C92050">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1. مدى تطبيق إجراءات الوقاية الفعالة من الأخطاء الشائعة، مثل أخطاء الأدوية، أخطاء الهوية، والعدوى المكتسبة داخل المستشفى.</w:t>
      </w:r>
    </w:p>
    <w:p w14:paraId="3D670C4A" w14:textId="17CAF934" w:rsidR="00C92050" w:rsidRPr="0011430B" w:rsidRDefault="00C92050" w:rsidP="00C92050">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2.فعالية أنظمة الإبلاغ والاستجابة للحوادث الضارة التي تم تسجيلها.</w:t>
      </w:r>
    </w:p>
    <w:p w14:paraId="7D588754" w14:textId="20D65043" w:rsidR="001E5385" w:rsidRPr="0011430B" w:rsidRDefault="00C92050" w:rsidP="00C92050">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3. المستوى المدرك للتحسن في سلامة المرضى نتيجة الإجراءات المتخذة.</w:t>
      </w:r>
    </w:p>
    <w:p w14:paraId="1F216403" w14:textId="77777777" w:rsidR="00866DE7" w:rsidRDefault="001E5385" w:rsidP="00866DE7">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sz w:val="24"/>
          <w:szCs w:val="24"/>
          <w:rtl/>
        </w:rPr>
        <w:t>طريقة القياس</w:t>
      </w:r>
      <w:r w:rsidRPr="0011430B">
        <w:rPr>
          <w:rFonts w:ascii="Simplified Arabic" w:hAnsi="Simplified Arabic" w:cs="Simplified Arabic"/>
          <w:sz w:val="24"/>
          <w:szCs w:val="24"/>
        </w:rPr>
        <w:t>:</w:t>
      </w:r>
      <w:r w:rsidR="00C34E8B" w:rsidRPr="0011430B">
        <w:rPr>
          <w:rFonts w:ascii="Simplified Arabic" w:hAnsi="Simplified Arabic" w:cs="Simplified Arabic"/>
          <w:sz w:val="24"/>
          <w:szCs w:val="24"/>
          <w:rtl/>
        </w:rPr>
        <w:t xml:space="preserve"> </w:t>
      </w:r>
      <w:r w:rsidRPr="0011430B">
        <w:rPr>
          <w:rFonts w:ascii="Simplified Arabic" w:hAnsi="Simplified Arabic" w:cs="Simplified Arabic"/>
          <w:sz w:val="24"/>
          <w:szCs w:val="24"/>
          <w:rtl/>
        </w:rPr>
        <w:t xml:space="preserve">يتم جمع البيانات من خلال الاستبانة المعتمدة في الدراسة، حيث يعبر المستجيبون عن درجة اتفاقهم مع عبارات تعكس مستوى تقليل الأحداث الضارة باستخدام مقياس </w:t>
      </w:r>
      <w:proofErr w:type="spellStart"/>
      <w:r w:rsidRPr="0011430B">
        <w:rPr>
          <w:rFonts w:ascii="Simplified Arabic" w:hAnsi="Simplified Arabic" w:cs="Simplified Arabic"/>
          <w:sz w:val="24"/>
          <w:szCs w:val="24"/>
          <w:rtl/>
        </w:rPr>
        <w:t>ليكرت</w:t>
      </w:r>
      <w:proofErr w:type="spellEnd"/>
      <w:r w:rsidRPr="0011430B">
        <w:rPr>
          <w:rFonts w:ascii="Simplified Arabic" w:hAnsi="Simplified Arabic" w:cs="Simplified Arabic"/>
          <w:sz w:val="24"/>
          <w:szCs w:val="24"/>
          <w:rtl/>
        </w:rPr>
        <w:t xml:space="preserve"> الخماسي</w:t>
      </w:r>
      <w:r w:rsidRPr="0011430B">
        <w:rPr>
          <w:rFonts w:ascii="Simplified Arabic" w:hAnsi="Simplified Arabic" w:cs="Simplified Arabic"/>
          <w:sz w:val="24"/>
          <w:szCs w:val="24"/>
        </w:rPr>
        <w:t xml:space="preserve">. </w:t>
      </w:r>
      <w:r w:rsidR="00866DE7" w:rsidRPr="00866DE7">
        <w:rPr>
          <w:rFonts w:ascii="Simplified Arabic" w:hAnsi="Simplified Arabic" w:cs="Simplified Arabic"/>
          <w:sz w:val="24"/>
          <w:szCs w:val="24"/>
          <w:rtl/>
        </w:rPr>
        <w:t>وبذلك يعتمد القياس على الإدراك الذاتي المباشر للعاملين، وليس على مراجعة السجلات الفعلية للحوادث</w:t>
      </w:r>
      <w:r w:rsidR="00866DE7" w:rsidRPr="00866DE7">
        <w:rPr>
          <w:rFonts w:ascii="Simplified Arabic" w:hAnsi="Simplified Arabic" w:cs="Simplified Arabic"/>
          <w:sz w:val="24"/>
          <w:szCs w:val="24"/>
        </w:rPr>
        <w:t>.</w:t>
      </w:r>
    </w:p>
    <w:p w14:paraId="430E2B74" w14:textId="4A17EF92" w:rsidR="004E2481" w:rsidRPr="004E2481" w:rsidRDefault="00076824" w:rsidP="004E2481">
      <w:pPr>
        <w:bidi/>
        <w:spacing w:line="360" w:lineRule="auto"/>
        <w:jc w:val="both"/>
        <w:rPr>
          <w:rFonts w:ascii="Simplified Arabic" w:hAnsi="Simplified Arabic" w:cs="Simplified Arabic"/>
          <w:sz w:val="24"/>
          <w:szCs w:val="24"/>
          <w:rtl/>
        </w:rPr>
      </w:pPr>
      <w:r w:rsidRPr="00076824">
        <w:rPr>
          <w:rFonts w:ascii="Simplified Arabic" w:hAnsi="Simplified Arabic" w:cs="Simplified Arabic"/>
          <w:sz w:val="24"/>
          <w:szCs w:val="24"/>
          <w:rtl/>
        </w:rPr>
        <w:t>وعلى الرغم من الترابط الوثيق بين متغيرات الدراسة، فإنها لا تنتمي إلى المستوى التحليلي نفسه. فثقافة السلامة تشير إلى الإطار التنظيمي القيمي والإدراكي الذي يحدد كيف تُفهم السلامة داخل المؤسسة وكيف يُتَعامل مع الخطأ والتعلم منه، في حين تشير سلوكيات السلامة إلى الممارسات التنفيذية اليومية التي يجسد بها العاملون تلك القيم في الواقع العملي. أما الأحداث الضارة فتمثل النتيجة النهائية أو المخرج السريري والتنظيمي الذي يعكس حصيلة جودة الممارسة، ولذلك فإن الفصل بين الثقافة بوصفها مناخًا تنظيميًا، والسلوك بوصفه ممارسة فعلية، والحدث الضار بوصفه نتيجة، يعد ضروريًا لضبط النموذج نظريًا وقياسيًا.</w:t>
      </w:r>
    </w:p>
    <w:p w14:paraId="26B5D211" w14:textId="69EC6DA2" w:rsidR="001E5385" w:rsidRPr="0011430B" w:rsidRDefault="001E5385" w:rsidP="00866DE7">
      <w:pPr>
        <w:bidi/>
        <w:spacing w:line="360" w:lineRule="auto"/>
        <w:rPr>
          <w:rFonts w:ascii="Simplified Arabic" w:hAnsi="Simplified Arabic" w:cs="Simplified Arabic"/>
          <w:sz w:val="24"/>
          <w:szCs w:val="24"/>
        </w:rPr>
      </w:pPr>
      <w:r w:rsidRPr="0011430B">
        <w:rPr>
          <w:rFonts w:ascii="Simplified Arabic" w:hAnsi="Simplified Arabic" w:cs="Simplified Arabic"/>
          <w:b/>
          <w:bCs/>
          <w:sz w:val="24"/>
          <w:szCs w:val="24"/>
          <w:rtl/>
        </w:rPr>
        <w:t>ملاحظة منهجية مهمة</w:t>
      </w:r>
      <w:r w:rsidRPr="0011430B">
        <w:rPr>
          <w:rFonts w:ascii="Simplified Arabic" w:hAnsi="Simplified Arabic" w:cs="Simplified Arabic"/>
          <w:b/>
          <w:bCs/>
          <w:sz w:val="24"/>
          <w:szCs w:val="24"/>
        </w:rPr>
        <w:t>:</w:t>
      </w:r>
      <w:r w:rsidR="00C34E8B" w:rsidRPr="0011430B">
        <w:rPr>
          <w:rFonts w:ascii="Simplified Arabic" w:hAnsi="Simplified Arabic" w:cs="Simplified Arabic"/>
          <w:sz w:val="24"/>
          <w:szCs w:val="24"/>
          <w:rtl/>
        </w:rPr>
        <w:t xml:space="preserve"> </w:t>
      </w:r>
      <w:r w:rsidRPr="0011430B">
        <w:rPr>
          <w:rFonts w:ascii="Simplified Arabic" w:hAnsi="Simplified Arabic" w:cs="Simplified Arabic"/>
          <w:sz w:val="24"/>
          <w:szCs w:val="24"/>
          <w:rtl/>
        </w:rPr>
        <w:t>اختيار القياس الإدراكي (بدلاً من البيانات الموضوعية من السجلات الرسمية) يبرره</w:t>
      </w:r>
      <w:r w:rsidRPr="0011430B">
        <w:rPr>
          <w:rFonts w:ascii="Simplified Arabic" w:hAnsi="Simplified Arabic" w:cs="Simplified Arabic"/>
          <w:sz w:val="24"/>
          <w:szCs w:val="24"/>
        </w:rPr>
        <w:t>:</w:t>
      </w:r>
    </w:p>
    <w:p w14:paraId="2848A8F9"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أولاً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توفر البيانات الإدراكية منظوراً شاملاً عن ثقة العاملين (وهم المنفذون الأساسيون) في فعالية التدابير الوقائية</w:t>
      </w:r>
    </w:p>
    <w:p w14:paraId="06872749" w14:textId="2F6C8BB6"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ثانياً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ارتباط مباشر بين إدراك فعالية الإجراءات والامتثال الفعلي للممارسات الآمنة</w:t>
      </w:r>
      <w:r w:rsidR="00E36573">
        <w:rPr>
          <w:rFonts w:ascii="Simplified Arabic" w:hAnsi="Simplified Arabic" w:cs="Simplified Arabic" w:hint="cs"/>
          <w:sz w:val="24"/>
          <w:szCs w:val="24"/>
          <w:rtl/>
        </w:rPr>
        <w:t>.</w:t>
      </w:r>
    </w:p>
    <w:p w14:paraId="09FAD24C" w14:textId="35810D0A" w:rsidR="001E5385" w:rsidRDefault="001E5385" w:rsidP="001E5385">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ثالثاً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عملياً، السجلات الرسمية للحوادث قد تكون غير كاملة أو غير متاحة للباحث، بينما الاستبانة توفر بيانات مباشرة وموحدة</w:t>
      </w:r>
      <w:r w:rsidR="00DE2DA1">
        <w:rPr>
          <w:rFonts w:ascii="Simplified Arabic" w:hAnsi="Simplified Arabic" w:cs="Simplified Arabic" w:hint="cs"/>
          <w:sz w:val="24"/>
          <w:szCs w:val="24"/>
          <w:rtl/>
        </w:rPr>
        <w:t>.</w:t>
      </w:r>
    </w:p>
    <w:p w14:paraId="0B46CB57" w14:textId="7AA49FA1" w:rsidR="00DE2DA1" w:rsidRPr="0011430B" w:rsidRDefault="00DE2DA1" w:rsidP="00DE2DA1">
      <w:pPr>
        <w:bidi/>
        <w:spacing w:line="360" w:lineRule="auto"/>
        <w:rPr>
          <w:rFonts w:ascii="Simplified Arabic" w:hAnsi="Simplified Arabic" w:cs="Simplified Arabic"/>
          <w:sz w:val="24"/>
          <w:szCs w:val="24"/>
        </w:rPr>
      </w:pPr>
      <w:r>
        <w:rPr>
          <w:rFonts w:ascii="Simplified Arabic" w:hAnsi="Simplified Arabic" w:cs="Simplified Arabic"/>
          <w:sz w:val="24"/>
          <w:szCs w:val="24"/>
          <w:rtl/>
        </w:rPr>
        <w:t xml:space="preserve">وتجدر الإشارة إلى أن الدراسة الحالية لا تعتمد استبانة </w:t>
      </w:r>
      <w:r>
        <w:rPr>
          <w:rFonts w:ascii="Simplified Arabic" w:hAnsi="Simplified Arabic" w:cs="Simplified Arabic"/>
          <w:sz w:val="24"/>
          <w:szCs w:val="24"/>
        </w:rPr>
        <w:t>MLQ</w:t>
      </w:r>
      <w:r>
        <w:rPr>
          <w:rFonts w:ascii="Simplified Arabic" w:hAnsi="Simplified Arabic" w:cs="Simplified Arabic"/>
          <w:sz w:val="24"/>
          <w:szCs w:val="24"/>
          <w:rtl/>
        </w:rPr>
        <w:t xml:space="preserve"> لقياس القيادة التحويلية، وإنما تعتمد مقياس </w:t>
      </w:r>
      <w:r>
        <w:rPr>
          <w:rFonts w:ascii="Simplified Arabic" w:hAnsi="Simplified Arabic" w:cs="Simplified Arabic"/>
          <w:sz w:val="24"/>
          <w:szCs w:val="24"/>
        </w:rPr>
        <w:t>TLI</w:t>
      </w:r>
      <w:r>
        <w:rPr>
          <w:rFonts w:ascii="Simplified Arabic" w:hAnsi="Simplified Arabic" w:cs="Simplified Arabic"/>
          <w:sz w:val="24"/>
          <w:szCs w:val="24"/>
          <w:rtl/>
        </w:rPr>
        <w:t xml:space="preserve"> وفقًا لـ </w:t>
      </w:r>
      <w:r>
        <w:rPr>
          <w:rFonts w:ascii="Simplified Arabic" w:hAnsi="Simplified Arabic" w:cs="Simplified Arabic"/>
          <w:sz w:val="24"/>
          <w:szCs w:val="24"/>
        </w:rPr>
        <w:t>Podsakoff et al</w:t>
      </w:r>
      <w:r>
        <w:rPr>
          <w:rFonts w:ascii="Simplified Arabic" w:hAnsi="Simplified Arabic" w:cs="Simplified Arabic"/>
          <w:sz w:val="24"/>
          <w:szCs w:val="24"/>
          <w:rtl/>
        </w:rPr>
        <w:t>. (1990)، وعليه فإن جميع الإشارات اللاحقة لقياس القيادة التحويلية في هذه الرسالة ينبغي أن تُفهم في ضوء هذا المقياس وأبعاده الستة.</w:t>
      </w:r>
    </w:p>
    <w:p w14:paraId="42C4936D" w14:textId="366471A3" w:rsidR="00336EAC" w:rsidRDefault="00856F43" w:rsidP="00EE32C9">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8</w:t>
      </w:r>
      <w:r w:rsidR="00336EAC" w:rsidRPr="0011430B">
        <w:rPr>
          <w:rFonts w:ascii="Simplified Arabic" w:hAnsi="Simplified Arabic" w:cs="Simplified Arabic"/>
          <w:b/>
          <w:bCs/>
          <w:sz w:val="24"/>
          <w:szCs w:val="24"/>
          <w:rtl/>
        </w:rPr>
        <w:t xml:space="preserve">. الدراسات السابقة </w:t>
      </w:r>
    </w:p>
    <w:p w14:paraId="4580F18E" w14:textId="4E74B371" w:rsidR="00D72BE9" w:rsidRPr="00D72BE9" w:rsidRDefault="00D72BE9" w:rsidP="00D72BE9">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lastRenderedPageBreak/>
        <w:t>بعد عرض الإطار النظري، تناقش هذه الفقرة الدراسات السابقة المتعلقة بمحاور النموذج المقترح، متسلسلة بطريقة تعكس المنطق السببي للعلاقات بين المتغيرات.</w:t>
      </w:r>
    </w:p>
    <w:p w14:paraId="01263DD0" w14:textId="15CC7B31" w:rsidR="00D72BE9" w:rsidRPr="00D72BE9" w:rsidRDefault="00D72BE9" w:rsidP="00D72BE9">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وتشمل مراجعة تحليلية ونقدية للأدبيات حول القيادة التحويلية (</w:t>
      </w:r>
      <w:r>
        <w:rPr>
          <w:rFonts w:ascii="Simplified Arabic" w:hAnsi="Simplified Arabic" w:cs="Simplified Arabic"/>
          <w:sz w:val="24"/>
          <w:szCs w:val="24"/>
        </w:rPr>
        <w:t>TL</w:t>
      </w:r>
      <w:r>
        <w:rPr>
          <w:rFonts w:ascii="Simplified Arabic" w:hAnsi="Simplified Arabic" w:cs="Simplified Arabic"/>
          <w:sz w:val="24"/>
          <w:szCs w:val="24"/>
          <w:rtl/>
        </w:rPr>
        <w:t>)، وثقافة سلامة المرضى (</w:t>
      </w:r>
      <w:r>
        <w:rPr>
          <w:rFonts w:ascii="Simplified Arabic" w:hAnsi="Simplified Arabic" w:cs="Simplified Arabic"/>
          <w:sz w:val="24"/>
          <w:szCs w:val="24"/>
        </w:rPr>
        <w:t>SC</w:t>
      </w:r>
      <w:r>
        <w:rPr>
          <w:rFonts w:ascii="Simplified Arabic" w:hAnsi="Simplified Arabic" w:cs="Simplified Arabic"/>
          <w:sz w:val="24"/>
          <w:szCs w:val="24"/>
          <w:rtl/>
        </w:rPr>
        <w:t>)، وسلوكيات السلامة (</w:t>
      </w:r>
      <w:r>
        <w:rPr>
          <w:rFonts w:ascii="Simplified Arabic" w:hAnsi="Simplified Arabic" w:cs="Simplified Arabic"/>
          <w:sz w:val="24"/>
          <w:szCs w:val="24"/>
        </w:rPr>
        <w:t>SB</w:t>
      </w:r>
      <w:r>
        <w:rPr>
          <w:rFonts w:ascii="Simplified Arabic" w:hAnsi="Simplified Arabic" w:cs="Simplified Arabic"/>
          <w:sz w:val="24"/>
          <w:szCs w:val="24"/>
          <w:rtl/>
        </w:rPr>
        <w:t>)، الأحداث الضارة (</w:t>
      </w:r>
      <w:r>
        <w:rPr>
          <w:rFonts w:ascii="Simplified Arabic" w:hAnsi="Simplified Arabic" w:cs="Simplified Arabic"/>
          <w:sz w:val="24"/>
          <w:szCs w:val="24"/>
        </w:rPr>
        <w:t>AE</w:t>
      </w:r>
      <w:r>
        <w:rPr>
          <w:rFonts w:ascii="Simplified Arabic" w:hAnsi="Simplified Arabic" w:cs="Simplified Arabic"/>
          <w:sz w:val="24"/>
          <w:szCs w:val="24"/>
          <w:rtl/>
        </w:rPr>
        <w:t>).</w:t>
      </w:r>
    </w:p>
    <w:p w14:paraId="2F82064D" w14:textId="4B08D17F" w:rsidR="00D72BE9" w:rsidRPr="00D72BE9" w:rsidRDefault="00D72BE9" w:rsidP="00D72BE9">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تم تنظيم العرض بحيث يُركز على محاور تُوضح التسلسل السببي للنموذج، مع ترتيب زمني من الأحدث إلى الأقدم، مع التركيز على التحليل المنهجي لتعزيز الفهم الشامل للموضوع.</w:t>
      </w:r>
    </w:p>
    <w:p w14:paraId="380CB4B9" w14:textId="2BD20A3C" w:rsidR="00624B1F" w:rsidRPr="0011430B" w:rsidRDefault="00856F43" w:rsidP="00624B1F">
      <w:pPr>
        <w:bidi/>
        <w:spacing w:line="360" w:lineRule="auto"/>
        <w:rPr>
          <w:rFonts w:ascii="Simplified Arabic" w:hAnsi="Simplified Arabic" w:cs="Simplified Arabic"/>
          <w:b/>
          <w:bCs/>
          <w:noProof/>
          <w:sz w:val="24"/>
          <w:szCs w:val="24"/>
          <w:rtl/>
        </w:rPr>
      </w:pPr>
      <w:r>
        <w:rPr>
          <w:rFonts w:ascii="Simplified Arabic" w:hAnsi="Simplified Arabic" w:cs="Simplified Arabic" w:hint="cs"/>
          <w:b/>
          <w:bCs/>
          <w:noProof/>
          <w:sz w:val="24"/>
          <w:szCs w:val="24"/>
          <w:rtl/>
          <w:lang w:val="ar-SA"/>
        </w:rPr>
        <w:t>8</w:t>
      </w:r>
      <w:r w:rsidR="00624B1F" w:rsidRPr="0011430B">
        <w:rPr>
          <w:rFonts w:ascii="Simplified Arabic" w:hAnsi="Simplified Arabic" w:cs="Simplified Arabic"/>
          <w:b/>
          <w:bCs/>
          <w:noProof/>
          <w:sz w:val="24"/>
          <w:szCs w:val="24"/>
          <w:rtl/>
          <w:lang w:val="ar-SA"/>
        </w:rPr>
        <w:t>.1. المحور الأول: العلاقة بين القيادة التحويلية وثقافة وسلامة المر</w:t>
      </w:r>
      <w:r w:rsidR="00FD4D08">
        <w:rPr>
          <w:rFonts w:ascii="Simplified Arabic" w:hAnsi="Simplified Arabic" w:cs="Simplified Arabic" w:hint="cs"/>
          <w:b/>
          <w:bCs/>
          <w:noProof/>
          <w:sz w:val="24"/>
          <w:szCs w:val="24"/>
          <w:rtl/>
          <w:lang w:val="ar-SA"/>
        </w:rPr>
        <w:t>ضى</w:t>
      </w:r>
      <w:r w:rsidR="00624B1F" w:rsidRPr="0011430B">
        <w:rPr>
          <w:rFonts w:ascii="Simplified Arabic" w:hAnsi="Simplified Arabic" w:cs="Simplified Arabic"/>
          <w:b/>
          <w:bCs/>
          <w:noProof/>
          <w:sz w:val="24"/>
          <w:szCs w:val="24"/>
          <w:rtl/>
          <w:lang w:val="ar-SA"/>
        </w:rPr>
        <w:t xml:space="preserve"> </w:t>
      </w:r>
    </w:p>
    <w:p w14:paraId="06EE6E53" w14:textId="7FFDA1D7" w:rsidR="008C3F9B" w:rsidRPr="0011430B" w:rsidRDefault="00C92050" w:rsidP="00835143">
      <w:pPr>
        <w:bidi/>
        <w:spacing w:line="360" w:lineRule="auto"/>
        <w:jc w:val="both"/>
        <w:rPr>
          <w:rFonts w:ascii="Simplified Arabic" w:hAnsi="Simplified Arabic" w:cs="Simplified Arabic"/>
          <w:noProof/>
          <w:sz w:val="24"/>
          <w:szCs w:val="24"/>
          <w:rtl/>
          <w:lang w:val="ar-SA"/>
        </w:rPr>
      </w:pPr>
      <w:r w:rsidRPr="0011430B">
        <w:rPr>
          <w:rFonts w:ascii="Simplified Arabic" w:hAnsi="Simplified Arabic" w:cs="Simplified Arabic"/>
          <w:noProof/>
          <w:sz w:val="24"/>
          <w:szCs w:val="24"/>
          <w:rtl/>
          <w:lang w:val="ar-SA"/>
        </w:rPr>
        <w:t xml:space="preserve">يتناول هذا المحور الدراسات التي أثبتت العلاقة المبدئية بين القيادة كأداة للتغيير وعوامل السلامة، حيث تبرز الأدبيات النظرية الحديثة الدور المحوري الذي تلعبه القيادة الفعالة كعنصر أساسي لتحقيق سلامة المرضى وضمان جودة الخدمات المقدمة. </w:t>
      </w:r>
      <w:r w:rsidR="00835143" w:rsidRPr="00835143">
        <w:rPr>
          <w:rFonts w:ascii="Simplified Arabic" w:hAnsi="Simplified Arabic" w:cs="Simplified Arabic"/>
          <w:noProof/>
          <w:sz w:val="24"/>
          <w:szCs w:val="24"/>
          <w:rtl/>
          <w:lang w:val="ar-SA"/>
        </w:rPr>
        <w:t>وأشارت المراجعة السردية التي أجراها أحمد وآخرون (2024) إلى أن القيادة عامل رئيس في تعزيز النتائج الإيجابية في منظومات الرعاية الصحية، مما يدعم اختيار القيادة التحويلية متغيرًا مستقلاً محفزًا للتغيير</w:t>
      </w:r>
      <w:r w:rsidRPr="0011430B">
        <w:rPr>
          <w:rFonts w:ascii="Simplified Arabic" w:hAnsi="Simplified Arabic" w:cs="Simplified Arabic"/>
          <w:noProof/>
          <w:sz w:val="24"/>
          <w:szCs w:val="24"/>
          <w:rtl/>
          <w:lang w:val="ar-SA"/>
        </w:rPr>
        <w:t>.</w:t>
      </w:r>
    </w:p>
    <w:p w14:paraId="42DF868B" w14:textId="775E8EBB" w:rsidR="00624B1F" w:rsidRPr="00DF50CB" w:rsidRDefault="00C92050" w:rsidP="00DF50CB">
      <w:pPr>
        <w:bidi/>
        <w:spacing w:line="360" w:lineRule="auto"/>
        <w:jc w:val="both"/>
        <w:rPr>
          <w:rFonts w:ascii="Simplified Arabic" w:hAnsi="Simplified Arabic" w:cs="Simplified Arabic"/>
          <w:noProof/>
          <w:sz w:val="24"/>
          <w:szCs w:val="24"/>
          <w:rtl/>
        </w:rPr>
      </w:pP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أما في السياق السعودي، فقد عززت الدراسات الكمية صحة هذا الارتباط. استعرضت دراسة تحليلية أجراها</w:t>
      </w:r>
      <w:r w:rsidRPr="0011430B">
        <w:rPr>
          <w:rFonts w:ascii="Simplified Arabic" w:hAnsi="Simplified Arabic" w:cs="Simplified Arabic"/>
          <w:noProof/>
          <w:sz w:val="24"/>
          <w:szCs w:val="24"/>
        </w:rPr>
        <w:t xml:space="preserve"> Althaibah et al. (2022) </w:t>
      </w:r>
      <w:r w:rsidRPr="0011430B">
        <w:rPr>
          <w:rFonts w:ascii="Simplified Arabic" w:hAnsi="Simplified Arabic" w:cs="Simplified Arabic"/>
          <w:noProof/>
          <w:sz w:val="24"/>
          <w:szCs w:val="24"/>
          <w:rtl/>
        </w:rPr>
        <w:t xml:space="preserve">علاقة القيادة التحويلية بسلامة المرضى، من خلال عينة تضمنت 251 موظفاً، وخلصت إلى وجود تأثير مباشر وذو دلالة إحصائية بين المتغيرين. ومع ذلك، واجهت الدراسة نقداً نظراً لاختزالها في تحليل المسار السببي، حيث أغفلت الأدوار الوسيطة التي تشمل الثقافة التنظيمية والسلوكيات المؤسسية، وافترضت تأثيراً مباشراً. </w:t>
      </w:r>
      <w:r w:rsidR="00DF50CB" w:rsidRPr="00DF50CB">
        <w:rPr>
          <w:rFonts w:ascii="Simplified Arabic" w:hAnsi="Simplified Arabic" w:cs="Simplified Arabic"/>
          <w:noProof/>
          <w:sz w:val="24"/>
          <w:szCs w:val="24"/>
          <w:rtl/>
        </w:rPr>
        <w:t>وهذا القصور يحدّ من فهم الآليات التي تحوّل رؤية القائد إلى نتائج عملية في سلامة المرضى</w:t>
      </w:r>
      <w:r w:rsidR="00DF50CB" w:rsidRPr="00DF50CB">
        <w:rPr>
          <w:rFonts w:ascii="Simplified Arabic" w:hAnsi="Simplified Arabic" w:cs="Simplified Arabic"/>
          <w:noProof/>
          <w:sz w:val="24"/>
          <w:szCs w:val="24"/>
        </w:rPr>
        <w:t>.</w:t>
      </w:r>
    </w:p>
    <w:p w14:paraId="23FEF257" w14:textId="2BC5B4E9" w:rsidR="007718B7" w:rsidRPr="0011430B" w:rsidRDefault="00C92050" w:rsidP="007D1551">
      <w:pPr>
        <w:bidi/>
        <w:spacing w:line="360" w:lineRule="auto"/>
        <w:jc w:val="both"/>
        <w:rPr>
          <w:rFonts w:ascii="Simplified Arabic" w:hAnsi="Simplified Arabic" w:cs="Simplified Arabic"/>
          <w:noProof/>
          <w:sz w:val="24"/>
          <w:szCs w:val="24"/>
        </w:rPr>
      </w:pPr>
      <w:r w:rsidRPr="0011430B">
        <w:rPr>
          <w:rFonts w:ascii="Simplified Arabic" w:hAnsi="Simplified Arabic" w:cs="Simplified Arabic"/>
          <w:noProof/>
          <w:sz w:val="24"/>
          <w:szCs w:val="24"/>
          <w:rtl/>
          <w:lang w:val="ar-SA"/>
        </w:rPr>
        <w:t xml:space="preserve">لمعالجة جزء من الآلية، أجرى </w:t>
      </w:r>
      <w:r w:rsidRPr="0011430B">
        <w:rPr>
          <w:rFonts w:ascii="Simplified Arabic" w:hAnsi="Simplified Arabic" w:cs="Simplified Arabic"/>
          <w:noProof/>
          <w:sz w:val="24"/>
          <w:szCs w:val="24"/>
          <w:lang w:val="ar-SA"/>
        </w:rPr>
        <w:t>Amal Ali Almuntasheri</w:t>
      </w:r>
      <w:r w:rsidRPr="0011430B">
        <w:rPr>
          <w:rFonts w:ascii="Simplified Arabic" w:hAnsi="Simplified Arabic" w:cs="Simplified Arabic"/>
          <w:noProof/>
          <w:sz w:val="24"/>
          <w:szCs w:val="24"/>
          <w:rtl/>
          <w:lang w:val="ar-SA"/>
        </w:rPr>
        <w:t xml:space="preserve"> (2022) دراسة مقطعية في أحد مستشفيات جدة شملت عينة مكونة من 195 موظفاً. أشارت نتائج الدراسة إلى وجود علاقة إيجابية ذات دلالة إحصائية بين سلوكيات القيادة و</w:t>
      </w:r>
      <w:r w:rsidR="007D1551" w:rsidRPr="007D1551">
        <w:rPr>
          <w:rFonts w:ascii="Simplified Arabic" w:hAnsi="Simplified Arabic" w:cs="Simplified Arabic"/>
          <w:noProof/>
          <w:sz w:val="24"/>
          <w:szCs w:val="24"/>
          <w:rtl/>
          <w:lang w:val="ar-SA"/>
        </w:rPr>
        <w:t>ثقافة سلامة المرضى</w:t>
      </w:r>
      <w:r w:rsidRPr="0011430B">
        <w:rPr>
          <w:rFonts w:ascii="Simplified Arabic" w:hAnsi="Simplified Arabic" w:cs="Simplified Arabic"/>
          <w:noProof/>
          <w:sz w:val="24"/>
          <w:szCs w:val="24"/>
          <w:rtl/>
          <w:lang w:val="ar-SA"/>
        </w:rPr>
        <w:t xml:space="preserve">. ومع ذلك، تُعد إحدى نقاط الضعف في هذه الدراسة التوقف عند المتغير الوسيط الأول </w:t>
      </w:r>
      <w:r w:rsidR="007D1551" w:rsidRPr="007D1551">
        <w:rPr>
          <w:rFonts w:ascii="Simplified Arabic" w:hAnsi="Simplified Arabic" w:cs="Simplified Arabic"/>
          <w:noProof/>
          <w:sz w:val="24"/>
          <w:szCs w:val="24"/>
          <w:rtl/>
          <w:lang w:val="ar-SA"/>
        </w:rPr>
        <w:t>ثقافة سلامة المرضى</w:t>
      </w:r>
      <w:r w:rsidRPr="0011430B">
        <w:rPr>
          <w:rFonts w:ascii="Simplified Arabic" w:hAnsi="Simplified Arabic" w:cs="Simplified Arabic"/>
          <w:noProof/>
          <w:sz w:val="24"/>
          <w:szCs w:val="24"/>
          <w:rtl/>
          <w:lang w:val="ar-SA"/>
        </w:rPr>
        <w:t xml:space="preserve"> (</w:t>
      </w:r>
      <w:r w:rsidRPr="0011430B">
        <w:rPr>
          <w:rFonts w:ascii="Simplified Arabic" w:hAnsi="Simplified Arabic" w:cs="Simplified Arabic"/>
          <w:noProof/>
          <w:sz w:val="24"/>
          <w:szCs w:val="24"/>
          <w:lang w:val="ar-SA"/>
        </w:rPr>
        <w:t>SC</w:t>
      </w:r>
      <w:r w:rsidRPr="0011430B">
        <w:rPr>
          <w:rFonts w:ascii="Simplified Arabic" w:hAnsi="Simplified Arabic" w:cs="Simplified Arabic"/>
          <w:noProof/>
          <w:sz w:val="24"/>
          <w:szCs w:val="24"/>
          <w:rtl/>
          <w:lang w:val="ar-SA"/>
        </w:rPr>
        <w:t>) فقط، دون استكمال تتبع المسار السببي للوصول إلى سلوكيات السلامة (</w:t>
      </w:r>
      <w:r w:rsidRPr="0011430B">
        <w:rPr>
          <w:rFonts w:ascii="Simplified Arabic" w:hAnsi="Simplified Arabic" w:cs="Simplified Arabic"/>
          <w:noProof/>
          <w:sz w:val="24"/>
          <w:szCs w:val="24"/>
          <w:lang w:val="ar-SA"/>
        </w:rPr>
        <w:t>SB</w:t>
      </w:r>
      <w:r w:rsidRPr="0011430B">
        <w:rPr>
          <w:rFonts w:ascii="Simplified Arabic" w:hAnsi="Simplified Arabic" w:cs="Simplified Arabic"/>
          <w:noProof/>
          <w:sz w:val="24"/>
          <w:szCs w:val="24"/>
          <w:rtl/>
          <w:lang w:val="ar-SA"/>
        </w:rPr>
        <w:t>) أو تقليل الأحداث الضارة (</w:t>
      </w:r>
      <w:r w:rsidRPr="0011430B">
        <w:rPr>
          <w:rFonts w:ascii="Simplified Arabic" w:hAnsi="Simplified Arabic" w:cs="Simplified Arabic"/>
          <w:noProof/>
          <w:sz w:val="24"/>
          <w:szCs w:val="24"/>
          <w:lang w:val="ar-SA"/>
        </w:rPr>
        <w:t>AE</w:t>
      </w:r>
      <w:r w:rsidRPr="0011430B">
        <w:rPr>
          <w:rFonts w:ascii="Simplified Arabic" w:hAnsi="Simplified Arabic" w:cs="Simplified Arabic"/>
          <w:noProof/>
          <w:sz w:val="24"/>
          <w:szCs w:val="24"/>
          <w:rtl/>
          <w:lang w:val="ar-SA"/>
        </w:rPr>
        <w:t>) وهذا القصور يترك فجوة واضحة في فهم السلسلة السببية بشكل متكامل.</w:t>
      </w:r>
      <w:r w:rsidR="009B320D">
        <w:rPr>
          <w:rFonts w:ascii="Simplified Arabic" w:hAnsi="Simplified Arabic" w:cs="Simplified Arabic" w:hint="cs"/>
          <w:noProof/>
          <w:sz w:val="24"/>
          <w:szCs w:val="24"/>
          <w:rtl/>
        </w:rPr>
        <w:t xml:space="preserve"> </w:t>
      </w:r>
    </w:p>
    <w:p w14:paraId="3031E128" w14:textId="1ADAC6F9" w:rsidR="00624B1F" w:rsidRPr="0011430B" w:rsidRDefault="00856F43" w:rsidP="007D1551">
      <w:pPr>
        <w:bidi/>
        <w:spacing w:line="360" w:lineRule="auto"/>
        <w:rPr>
          <w:rFonts w:ascii="Simplified Arabic" w:hAnsi="Simplified Arabic" w:cs="Simplified Arabic"/>
          <w:b/>
          <w:bCs/>
          <w:noProof/>
          <w:sz w:val="24"/>
          <w:szCs w:val="24"/>
          <w:rtl/>
        </w:rPr>
      </w:pPr>
      <w:r>
        <w:rPr>
          <w:rFonts w:ascii="Simplified Arabic" w:hAnsi="Simplified Arabic" w:cs="Simplified Arabic" w:hint="cs"/>
          <w:b/>
          <w:bCs/>
          <w:noProof/>
          <w:sz w:val="24"/>
          <w:szCs w:val="24"/>
          <w:rtl/>
          <w:lang w:val="ar-SA"/>
        </w:rPr>
        <w:t>8</w:t>
      </w:r>
      <w:r w:rsidR="00624B1F" w:rsidRPr="0011430B">
        <w:rPr>
          <w:rFonts w:ascii="Simplified Arabic" w:hAnsi="Simplified Arabic" w:cs="Simplified Arabic"/>
          <w:b/>
          <w:bCs/>
          <w:noProof/>
          <w:sz w:val="24"/>
          <w:szCs w:val="24"/>
          <w:rtl/>
          <w:lang w:val="ar-SA"/>
        </w:rPr>
        <w:t xml:space="preserve">.2. المحور الثاني: العلاقة بين </w:t>
      </w:r>
      <w:r w:rsidR="007D1551" w:rsidRPr="007D1551">
        <w:rPr>
          <w:rFonts w:ascii="Simplified Arabic" w:hAnsi="Simplified Arabic" w:cs="Simplified Arabic"/>
          <w:b/>
          <w:bCs/>
          <w:noProof/>
          <w:sz w:val="24"/>
          <w:szCs w:val="24"/>
          <w:rtl/>
          <w:lang w:val="ar-SA"/>
        </w:rPr>
        <w:t>ثقافة سلامة المرضى</w:t>
      </w:r>
      <w:r w:rsidR="00624B1F" w:rsidRPr="0011430B">
        <w:rPr>
          <w:rFonts w:ascii="Simplified Arabic" w:hAnsi="Simplified Arabic" w:cs="Simplified Arabic"/>
          <w:b/>
          <w:bCs/>
          <w:noProof/>
          <w:sz w:val="24"/>
          <w:szCs w:val="24"/>
          <w:rtl/>
          <w:lang w:val="ar-SA"/>
        </w:rPr>
        <w:t xml:space="preserve">، سلوكيات العاملين، وتقليل الأحداث الضارة </w:t>
      </w:r>
    </w:p>
    <w:p w14:paraId="502B1EC6" w14:textId="31D5788C" w:rsidR="00F93590" w:rsidRPr="0011430B" w:rsidRDefault="00641136" w:rsidP="007D1551">
      <w:pPr>
        <w:bidi/>
        <w:spacing w:line="360" w:lineRule="auto"/>
        <w:jc w:val="both"/>
        <w:rPr>
          <w:rFonts w:ascii="Simplified Arabic" w:hAnsi="Simplified Arabic" w:cs="Simplified Arabic"/>
          <w:noProof/>
          <w:sz w:val="24"/>
          <w:szCs w:val="24"/>
          <w:rtl/>
        </w:rPr>
      </w:pPr>
      <w:r w:rsidRPr="009B320D">
        <w:rPr>
          <w:rFonts w:ascii="Simplified Arabic" w:hAnsi="Simplified Arabic" w:cs="Simplified Arabic"/>
          <w:noProof/>
          <w:sz w:val="24"/>
          <w:szCs w:val="24"/>
          <w:rtl/>
        </w:rPr>
        <w:lastRenderedPageBreak/>
        <w:t xml:space="preserve">بعد مناقشة العلاقة بين القيادة التحويلية وثقافة وسلامة المرضى، ينتقل هذا المحور إلى الدراسات التي ركزت على </w:t>
      </w:r>
      <w:r w:rsidRPr="007D1551">
        <w:rPr>
          <w:rFonts w:ascii="Simplified Arabic" w:hAnsi="Simplified Arabic" w:cs="Simplified Arabic"/>
          <w:noProof/>
          <w:sz w:val="24"/>
          <w:szCs w:val="24"/>
          <w:rtl/>
        </w:rPr>
        <w:t>ثقافة سلامة المرضى</w:t>
      </w:r>
      <w:r w:rsidRPr="009B320D">
        <w:rPr>
          <w:rFonts w:ascii="Simplified Arabic" w:hAnsi="Simplified Arabic" w:cs="Simplified Arabic"/>
          <w:noProof/>
          <w:sz w:val="24"/>
          <w:szCs w:val="24"/>
          <w:rtl/>
        </w:rPr>
        <w:t xml:space="preserve"> وسلوكيات العاملين والأحداث الضارة</w:t>
      </w:r>
      <w:r w:rsidRPr="009B320D">
        <w:rPr>
          <w:rFonts w:ascii="Simplified Arabic" w:hAnsi="Simplified Arabic" w:cs="Simplified Arabic"/>
          <w:noProof/>
          <w:sz w:val="24"/>
          <w:szCs w:val="24"/>
        </w:rPr>
        <w:t>.</w:t>
      </w:r>
      <w:r>
        <w:rPr>
          <w:rFonts w:ascii="Simplified Arabic" w:hAnsi="Simplified Arabic" w:cs="Simplified Arabic" w:hint="cs"/>
          <w:noProof/>
          <w:sz w:val="24"/>
          <w:szCs w:val="24"/>
          <w:rtl/>
        </w:rPr>
        <w:t xml:space="preserve"> </w:t>
      </w:r>
      <w:r w:rsidR="00C92050" w:rsidRPr="0011430B">
        <w:rPr>
          <w:rFonts w:ascii="Simplified Arabic" w:hAnsi="Simplified Arabic" w:cs="Simplified Arabic"/>
          <w:noProof/>
          <w:sz w:val="24"/>
          <w:szCs w:val="24"/>
          <w:rtl/>
          <w:lang w:val="ar-SA"/>
        </w:rPr>
        <w:t xml:space="preserve">يتناول هذا المحور العلاقة بين المتغيرات الوسيطة والتابعة، مع التركيز على نقص الأدبيات في وجود نموذج يربط بين جميع العناصر ضمن إطار تسلسلي شامل. بناءً على ذلك، تؤكد الدراسات على أهمية </w:t>
      </w:r>
      <w:r w:rsidR="007D1551" w:rsidRPr="007D1551">
        <w:rPr>
          <w:rFonts w:ascii="Simplified Arabic" w:hAnsi="Simplified Arabic" w:cs="Simplified Arabic"/>
          <w:noProof/>
          <w:sz w:val="24"/>
          <w:szCs w:val="24"/>
          <w:rtl/>
          <w:lang w:val="ar-SA"/>
        </w:rPr>
        <w:t>ثقافة سلامة المرضى</w:t>
      </w:r>
      <w:r w:rsidR="00C92050" w:rsidRPr="0011430B">
        <w:rPr>
          <w:rFonts w:ascii="Simplified Arabic" w:hAnsi="Simplified Arabic" w:cs="Simplified Arabic"/>
          <w:noProof/>
          <w:sz w:val="24"/>
          <w:szCs w:val="24"/>
          <w:rtl/>
          <w:lang w:val="ar-SA"/>
        </w:rPr>
        <w:t xml:space="preserve"> كعامل أساسي يؤثر في السلوكيات، حيث أظهرت دراسة </w:t>
      </w:r>
      <w:r w:rsidR="00C92050" w:rsidRPr="0011430B">
        <w:rPr>
          <w:rFonts w:ascii="Simplified Arabic" w:hAnsi="Simplified Arabic" w:cs="Simplified Arabic"/>
          <w:noProof/>
          <w:sz w:val="24"/>
          <w:szCs w:val="24"/>
          <w:lang w:val="ar-SA"/>
        </w:rPr>
        <w:t>Alsahli et</w:t>
      </w:r>
      <w:r w:rsidR="00C92050" w:rsidRPr="0011430B">
        <w:rPr>
          <w:rFonts w:ascii="Simplified Arabic" w:hAnsi="Simplified Arabic" w:cs="Simplified Arabic"/>
          <w:noProof/>
          <w:sz w:val="24"/>
          <w:szCs w:val="24"/>
          <w:rtl/>
          <w:lang w:val="ar-SA"/>
        </w:rPr>
        <w:t xml:space="preserve"> </w:t>
      </w:r>
      <w:r w:rsidR="00C92050" w:rsidRPr="0011430B">
        <w:rPr>
          <w:rFonts w:ascii="Simplified Arabic" w:hAnsi="Simplified Arabic" w:cs="Simplified Arabic"/>
          <w:noProof/>
          <w:sz w:val="24"/>
          <w:szCs w:val="24"/>
          <w:lang w:val="ar-SA"/>
        </w:rPr>
        <w:t>al</w:t>
      </w:r>
      <w:r w:rsidR="00C92050" w:rsidRPr="0011430B">
        <w:rPr>
          <w:rFonts w:ascii="Simplified Arabic" w:hAnsi="Simplified Arabic" w:cs="Simplified Arabic"/>
          <w:noProof/>
          <w:sz w:val="24"/>
          <w:szCs w:val="24"/>
          <w:rtl/>
          <w:lang w:val="ar-SA"/>
        </w:rPr>
        <w:t xml:space="preserve">. (2024) في السياق السعودي أن </w:t>
      </w:r>
      <w:r w:rsidR="007D1551" w:rsidRPr="007D1551">
        <w:rPr>
          <w:rFonts w:ascii="Simplified Arabic" w:hAnsi="Simplified Arabic" w:cs="Simplified Arabic"/>
          <w:noProof/>
          <w:sz w:val="24"/>
          <w:szCs w:val="24"/>
          <w:rtl/>
          <w:lang w:val="ar-SA"/>
        </w:rPr>
        <w:t>ثقافة سلامة المرضى</w:t>
      </w:r>
      <w:r w:rsidR="00C92050" w:rsidRPr="0011430B">
        <w:rPr>
          <w:rFonts w:ascii="Simplified Arabic" w:hAnsi="Simplified Arabic" w:cs="Simplified Arabic"/>
          <w:noProof/>
          <w:sz w:val="24"/>
          <w:szCs w:val="24"/>
          <w:rtl/>
          <w:lang w:val="ar-SA"/>
        </w:rPr>
        <w:t xml:space="preserve"> تُعد العنصر الرئيسي في تعزيز سلوكيات السلامة مثل الإبلاغ عن الحوادث، في حين تُشكل الثقافة السلبية عائقاً كبيراً أمام تحقيق هذه السلوكيات. وتدعم هذه النتائج وجود علاقة منهجية بين هذه المتغيرات (</w:t>
      </w:r>
      <w:r w:rsidR="00C92050" w:rsidRPr="0011430B">
        <w:rPr>
          <w:rFonts w:ascii="Simplified Arabic" w:hAnsi="Simplified Arabic" w:cs="Simplified Arabic"/>
          <w:noProof/>
          <w:sz w:val="24"/>
          <w:szCs w:val="24"/>
          <w:lang w:val="ar-SA"/>
        </w:rPr>
        <w:t xml:space="preserve">SC </w:t>
      </w:r>
      <w:r w:rsidR="00C92050" w:rsidRPr="0011430B">
        <w:rPr>
          <w:rFonts w:ascii="Times New Roman" w:hAnsi="Times New Roman" w:cs="Times New Roman"/>
          <w:noProof/>
          <w:sz w:val="24"/>
          <w:szCs w:val="24"/>
          <w:lang w:val="ar-SA"/>
        </w:rPr>
        <w:t>→</w:t>
      </w:r>
      <w:r w:rsidR="00C92050" w:rsidRPr="0011430B">
        <w:rPr>
          <w:rFonts w:ascii="Simplified Arabic" w:hAnsi="Simplified Arabic" w:cs="Simplified Arabic"/>
          <w:noProof/>
          <w:sz w:val="24"/>
          <w:szCs w:val="24"/>
          <w:lang w:val="ar-SA"/>
        </w:rPr>
        <w:t xml:space="preserve"> SB</w:t>
      </w:r>
      <w:r w:rsidR="00C92050" w:rsidRPr="0011430B">
        <w:rPr>
          <w:rFonts w:ascii="Simplified Arabic" w:hAnsi="Simplified Arabic" w:cs="Simplified Arabic"/>
          <w:noProof/>
          <w:sz w:val="24"/>
          <w:szCs w:val="24"/>
          <w:rtl/>
          <w:lang w:val="ar-SA"/>
        </w:rPr>
        <w:t>) كخطوة جوهرية ضمن النموذج المقترح.</w:t>
      </w:r>
    </w:p>
    <w:p w14:paraId="758540D9" w14:textId="77777777" w:rsidR="00C92050" w:rsidRPr="0011430B" w:rsidRDefault="00C92050" w:rsidP="00BB6CAF">
      <w:pPr>
        <w:bidi/>
        <w:spacing w:line="360" w:lineRule="auto"/>
        <w:jc w:val="both"/>
        <w:rPr>
          <w:rFonts w:ascii="Simplified Arabic" w:hAnsi="Simplified Arabic" w:cs="Simplified Arabic"/>
          <w:noProof/>
          <w:sz w:val="24"/>
          <w:szCs w:val="24"/>
          <w:rtl/>
        </w:rPr>
      </w:pP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أما فيما يتعلق بالنتائج الأوسع نطاقاً، فقد تناولت أطروحة الدكتوراه</w:t>
      </w:r>
      <w:r w:rsidRPr="0011430B">
        <w:rPr>
          <w:rFonts w:ascii="Simplified Arabic" w:hAnsi="Simplified Arabic" w:cs="Simplified Arabic"/>
          <w:noProof/>
          <w:sz w:val="24"/>
          <w:szCs w:val="24"/>
        </w:rPr>
        <w:t xml:space="preserve"> (Mohammed, 2025) </w:t>
      </w:r>
      <w:r w:rsidRPr="0011430B">
        <w:rPr>
          <w:rFonts w:ascii="Simplified Arabic" w:hAnsi="Simplified Arabic" w:cs="Simplified Arabic"/>
          <w:noProof/>
          <w:sz w:val="24"/>
          <w:szCs w:val="24"/>
          <w:rtl/>
        </w:rPr>
        <w:t>تقييم إدراكات الموظفين حول ثقافة سلامة المريض في مستشفيات مكة والمدينة، حيث أظهرت النتائج ارتباط الإدراكات الإيجابية للثقافة بمستويات أعلى من سلامة المريض، مما يعزز العلاقة. بالإضافة إلى ذلك، أكدت المراجعات المنهجية تلك العلاقة، حيث خلصت مراجعة</w:t>
      </w:r>
      <w:r w:rsidRPr="0011430B">
        <w:rPr>
          <w:rFonts w:ascii="Simplified Arabic" w:hAnsi="Simplified Arabic" w:cs="Simplified Arabic"/>
          <w:noProof/>
          <w:sz w:val="24"/>
          <w:szCs w:val="24"/>
        </w:rPr>
        <w:t xml:space="preserve"> (Mistri et al., 2023) </w:t>
      </w:r>
      <w:r w:rsidRPr="0011430B">
        <w:rPr>
          <w:rFonts w:ascii="Simplified Arabic" w:hAnsi="Simplified Arabic" w:cs="Simplified Arabic"/>
          <w:noProof/>
          <w:sz w:val="24"/>
          <w:szCs w:val="24"/>
          <w:rtl/>
        </w:rPr>
        <w:t xml:space="preserve">إلى أن وجود بيئة إيجابية للسلامة يساهم في تقليل احتمالية حدوث المضاعفات أو الأحداث الضارة. </w:t>
      </w:r>
    </w:p>
    <w:p w14:paraId="67EED255" w14:textId="77777777" w:rsidR="00F078E1" w:rsidRDefault="00C92050" w:rsidP="00063C17">
      <w:pPr>
        <w:bidi/>
        <w:spacing w:line="360" w:lineRule="auto"/>
        <w:jc w:val="both"/>
        <w:rPr>
          <w:rFonts w:ascii="Simplified Arabic" w:hAnsi="Simplified Arabic" w:cs="Simplified Arabic"/>
          <w:noProof/>
          <w:sz w:val="24"/>
          <w:szCs w:val="24"/>
        </w:rPr>
      </w:pPr>
      <w:r w:rsidRPr="0011430B">
        <w:rPr>
          <w:rFonts w:ascii="Simplified Arabic" w:hAnsi="Simplified Arabic" w:cs="Simplified Arabic"/>
          <w:noProof/>
          <w:sz w:val="24"/>
          <w:szCs w:val="24"/>
          <w:rtl/>
        </w:rPr>
        <w:t>كما أوضحت</w:t>
      </w:r>
      <w:r w:rsidRPr="0011430B">
        <w:rPr>
          <w:rFonts w:ascii="Simplified Arabic" w:hAnsi="Simplified Arabic" w:cs="Simplified Arabic"/>
          <w:noProof/>
          <w:sz w:val="24"/>
          <w:szCs w:val="24"/>
        </w:rPr>
        <w:t xml:space="preserve"> (Shenoy, 2021) </w:t>
      </w:r>
      <w:r w:rsidRPr="0011430B">
        <w:rPr>
          <w:rFonts w:ascii="Simplified Arabic" w:hAnsi="Simplified Arabic" w:cs="Simplified Arabic"/>
          <w:noProof/>
          <w:sz w:val="24"/>
          <w:szCs w:val="24"/>
          <w:rtl/>
        </w:rPr>
        <w:t>أن تحسين سلامة المريض يعتمد بشكل كبير على</w:t>
      </w: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تطبيق أطر إدارة الجودة الموجهة للحد من الحالات المرضية المكتسبة داخل المستشفيات. ومع ذلك، يظهر نقد تحليلي لهذه المجموعة من الدراسات يتمثل في تركيزها على أجزاء منفصلة من النموذج، مثل العلاقات</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(SB) </w:t>
      </w:r>
      <w:r w:rsidRPr="0011430B">
        <w:rPr>
          <w:rFonts w:ascii="Simplified Arabic" w:hAnsi="Simplified Arabic" w:cs="Simplified Arabic"/>
          <w:noProof/>
          <w:sz w:val="24"/>
          <w:szCs w:val="24"/>
          <w:rtl/>
        </w:rPr>
        <w:t>أو</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(AE)</w:t>
      </w:r>
      <w:r w:rsidRPr="0011430B">
        <w:rPr>
          <w:rFonts w:ascii="Simplified Arabic" w:hAnsi="Simplified Arabic" w:cs="Simplified Arabic"/>
          <w:noProof/>
          <w:sz w:val="24"/>
          <w:szCs w:val="24"/>
          <w:rtl/>
        </w:rPr>
        <w:t>، دون تضمين المتغير المستقل الأساسي وهو القيادة التحويلية في اختبار سببي متكامل يربط جميع العناصر ضمن سياق تسلسلي شمولي</w:t>
      </w:r>
      <w:r w:rsidR="00063C17" w:rsidRPr="0011430B">
        <w:rPr>
          <w:rFonts w:ascii="Simplified Arabic" w:hAnsi="Simplified Arabic" w:cs="Simplified Arabic"/>
          <w:noProof/>
          <w:sz w:val="24"/>
          <w:szCs w:val="24"/>
          <w:rtl/>
        </w:rPr>
        <w:t>.</w:t>
      </w:r>
      <w:r w:rsidR="00063C17" w:rsidRPr="0011430B">
        <w:rPr>
          <w:rFonts w:ascii="Simplified Arabic" w:hAnsi="Simplified Arabic" w:cs="Simplified Arabic"/>
          <w:noProof/>
          <w:sz w:val="24"/>
          <w:szCs w:val="24"/>
        </w:rPr>
        <w:t xml:space="preserve"> </w:t>
      </w:r>
    </w:p>
    <w:p w14:paraId="6876EAAD" w14:textId="3F2B33B1" w:rsidR="00624B1F" w:rsidRPr="0011430B" w:rsidRDefault="00856F43" w:rsidP="00F078E1">
      <w:pPr>
        <w:bidi/>
        <w:spacing w:line="360" w:lineRule="auto"/>
        <w:jc w:val="both"/>
        <w:rPr>
          <w:rFonts w:ascii="Simplified Arabic" w:hAnsi="Simplified Arabic" w:cs="Simplified Arabic"/>
          <w:b/>
          <w:bCs/>
          <w:noProof/>
          <w:sz w:val="24"/>
          <w:szCs w:val="24"/>
          <w:rtl/>
        </w:rPr>
      </w:pPr>
      <w:r>
        <w:rPr>
          <w:rFonts w:ascii="Simplified Arabic" w:hAnsi="Simplified Arabic" w:cs="Simplified Arabic" w:hint="cs"/>
          <w:b/>
          <w:bCs/>
          <w:noProof/>
          <w:sz w:val="24"/>
          <w:szCs w:val="24"/>
          <w:rtl/>
          <w:lang w:val="ar-SA"/>
        </w:rPr>
        <w:t>8</w:t>
      </w:r>
      <w:r w:rsidR="00624B1F" w:rsidRPr="0011430B">
        <w:rPr>
          <w:rFonts w:ascii="Simplified Arabic" w:hAnsi="Simplified Arabic" w:cs="Simplified Arabic"/>
          <w:b/>
          <w:bCs/>
          <w:noProof/>
          <w:sz w:val="24"/>
          <w:szCs w:val="24"/>
          <w:rtl/>
          <w:lang w:val="ar-SA"/>
        </w:rPr>
        <w:t>.3. التعليق النقدي، الفجوة البحثية، والقيمة المضافة للدراسة</w:t>
      </w:r>
    </w:p>
    <w:p w14:paraId="229DD8A2" w14:textId="771D9DD4" w:rsidR="00624B1F" w:rsidRPr="0011430B" w:rsidRDefault="00624B1F" w:rsidP="009A6041">
      <w:pPr>
        <w:bidi/>
        <w:spacing w:line="360" w:lineRule="auto"/>
        <w:rPr>
          <w:rFonts w:ascii="Simplified Arabic" w:hAnsi="Simplified Arabic" w:cs="Simplified Arabic"/>
          <w:b/>
          <w:bCs/>
          <w:noProof/>
          <w:sz w:val="24"/>
          <w:szCs w:val="24"/>
          <w:rtl/>
        </w:rPr>
      </w:pPr>
      <w:r w:rsidRPr="0011430B">
        <w:rPr>
          <w:rFonts w:ascii="Simplified Arabic" w:hAnsi="Simplified Arabic" w:cs="Simplified Arabic"/>
          <w:b/>
          <w:bCs/>
          <w:noProof/>
          <w:sz w:val="24"/>
          <w:szCs w:val="24"/>
          <w:rtl/>
          <w:lang w:val="ar-SA"/>
        </w:rPr>
        <w:t>أولاً: التعليق النقدي وأوجه الاتفاق والاختلاف</w:t>
      </w:r>
    </w:p>
    <w:p w14:paraId="766AEEFA" w14:textId="46EC22C1" w:rsidR="006F0718" w:rsidRPr="0011430B" w:rsidRDefault="006F0718" w:rsidP="007D1551">
      <w:pPr>
        <w:tabs>
          <w:tab w:val="num" w:pos="720"/>
        </w:tabs>
        <w:bidi/>
        <w:spacing w:line="360" w:lineRule="auto"/>
        <w:rPr>
          <w:rFonts w:ascii="Simplified Arabic" w:hAnsi="Simplified Arabic" w:cs="Simplified Arabic"/>
          <w:noProof/>
          <w:sz w:val="24"/>
          <w:szCs w:val="24"/>
          <w:lang w:val="ar-SA"/>
        </w:rPr>
      </w:pPr>
      <w:r w:rsidRPr="0011430B">
        <w:rPr>
          <w:rFonts w:ascii="Simplified Arabic" w:hAnsi="Simplified Arabic" w:cs="Simplified Arabic"/>
          <w:noProof/>
          <w:sz w:val="24"/>
          <w:szCs w:val="24"/>
          <w:rtl/>
          <w:lang w:val="ar-SA"/>
        </w:rPr>
        <w:t>تؤكد الأدبيات أن القيادة التحويلية (</w:t>
      </w:r>
      <w:r w:rsidRPr="0011430B">
        <w:rPr>
          <w:rFonts w:ascii="Simplified Arabic" w:hAnsi="Simplified Arabic" w:cs="Simplified Arabic"/>
          <w:noProof/>
          <w:sz w:val="24"/>
          <w:szCs w:val="24"/>
          <w:lang w:val="ar-SA"/>
        </w:rPr>
        <w:t>TL</w:t>
      </w:r>
      <w:r w:rsidRPr="0011430B">
        <w:rPr>
          <w:rFonts w:ascii="Simplified Arabic" w:hAnsi="Simplified Arabic" w:cs="Simplified Arabic"/>
          <w:noProof/>
          <w:sz w:val="24"/>
          <w:szCs w:val="24"/>
          <w:rtl/>
          <w:lang w:val="ar-SA"/>
        </w:rPr>
        <w:t xml:space="preserve">) تعتبر محركًا رئيسيًا، وأن </w:t>
      </w:r>
      <w:r w:rsidR="007D1551" w:rsidRPr="007D1551">
        <w:rPr>
          <w:rFonts w:ascii="Simplified Arabic" w:hAnsi="Simplified Arabic" w:cs="Simplified Arabic"/>
          <w:noProof/>
          <w:sz w:val="24"/>
          <w:szCs w:val="24"/>
          <w:rtl/>
          <w:lang w:val="ar-SA"/>
        </w:rPr>
        <w:t>ثقافة سلامة المرضى</w:t>
      </w:r>
      <w:r w:rsidRPr="0011430B">
        <w:rPr>
          <w:rFonts w:ascii="Simplified Arabic" w:hAnsi="Simplified Arabic" w:cs="Simplified Arabic"/>
          <w:noProof/>
          <w:sz w:val="24"/>
          <w:szCs w:val="24"/>
          <w:rtl/>
          <w:lang w:val="ar-SA"/>
        </w:rPr>
        <w:t xml:space="preserve"> (</w:t>
      </w:r>
      <w:r w:rsidRPr="0011430B">
        <w:rPr>
          <w:rFonts w:ascii="Simplified Arabic" w:hAnsi="Simplified Arabic" w:cs="Simplified Arabic"/>
          <w:noProof/>
          <w:sz w:val="24"/>
          <w:szCs w:val="24"/>
          <w:lang w:val="ar-SA"/>
        </w:rPr>
        <w:t>SC</w:t>
      </w:r>
      <w:r w:rsidRPr="0011430B">
        <w:rPr>
          <w:rFonts w:ascii="Simplified Arabic" w:hAnsi="Simplified Arabic" w:cs="Simplified Arabic"/>
          <w:noProof/>
          <w:sz w:val="24"/>
          <w:szCs w:val="24"/>
          <w:rtl/>
          <w:lang w:val="ar-SA"/>
        </w:rPr>
        <w:t>) تعمل كوسيط تنظيمي ضروري، وأن سلوكيات السلامة (</w:t>
      </w:r>
      <w:r w:rsidRPr="0011430B">
        <w:rPr>
          <w:rFonts w:ascii="Simplified Arabic" w:hAnsi="Simplified Arabic" w:cs="Simplified Arabic"/>
          <w:noProof/>
          <w:sz w:val="24"/>
          <w:szCs w:val="24"/>
          <w:lang w:val="ar-SA"/>
        </w:rPr>
        <w:t>SB</w:t>
      </w:r>
      <w:r w:rsidRPr="0011430B">
        <w:rPr>
          <w:rFonts w:ascii="Simplified Arabic" w:hAnsi="Simplified Arabic" w:cs="Simplified Arabic"/>
          <w:noProof/>
          <w:sz w:val="24"/>
          <w:szCs w:val="24"/>
          <w:rtl/>
          <w:lang w:val="ar-SA"/>
        </w:rPr>
        <w:t>) هي العامل المباشر والأكثر ارتباطًا بتقليل الأحداث الضارة (</w:t>
      </w:r>
      <w:r w:rsidRPr="0011430B">
        <w:rPr>
          <w:rFonts w:ascii="Simplified Arabic" w:hAnsi="Simplified Arabic" w:cs="Simplified Arabic"/>
          <w:noProof/>
          <w:sz w:val="24"/>
          <w:szCs w:val="24"/>
          <w:lang w:val="ar-SA"/>
        </w:rPr>
        <w:t>AE</w:t>
      </w:r>
      <w:r w:rsidRPr="0011430B">
        <w:rPr>
          <w:rFonts w:ascii="Simplified Arabic" w:hAnsi="Simplified Arabic" w:cs="Simplified Arabic"/>
          <w:noProof/>
          <w:sz w:val="24"/>
          <w:szCs w:val="24"/>
          <w:rtl/>
          <w:lang w:val="ar-SA"/>
        </w:rPr>
        <w:t>)، مما يوفر قاعدة نظرية قوية لهذه الدراسة.</w:t>
      </w:r>
    </w:p>
    <w:p w14:paraId="6B440215" w14:textId="250CC83F" w:rsidR="0094435C" w:rsidRPr="00F078E1" w:rsidRDefault="00624B1F">
      <w:pPr>
        <w:pStyle w:val="a3"/>
        <w:numPr>
          <w:ilvl w:val="0"/>
          <w:numId w:val="9"/>
        </w:numPr>
        <w:tabs>
          <w:tab w:val="num" w:pos="720"/>
        </w:tabs>
        <w:bidi/>
        <w:spacing w:line="360" w:lineRule="auto"/>
        <w:rPr>
          <w:rFonts w:ascii="Simplified Arabic" w:hAnsi="Simplified Arabic" w:cs="Simplified Arabic"/>
          <w:noProof/>
          <w:sz w:val="24"/>
          <w:szCs w:val="24"/>
          <w:lang w:val="ar-SA"/>
        </w:rPr>
      </w:pPr>
      <w:r w:rsidRPr="00F078E1">
        <w:rPr>
          <w:rFonts w:ascii="Simplified Arabic" w:hAnsi="Simplified Arabic" w:cs="Simplified Arabic"/>
          <w:b/>
          <w:bCs/>
          <w:noProof/>
          <w:sz w:val="24"/>
          <w:szCs w:val="24"/>
          <w:rtl/>
          <w:lang w:val="ar-SA"/>
        </w:rPr>
        <w:t>أوجه الاختلاف ونقاط الضعف (النقد الموجه):</w:t>
      </w:r>
    </w:p>
    <w:p w14:paraId="1F483DB7" w14:textId="58AEE7AE" w:rsidR="00F74889" w:rsidRDefault="00F74889" w:rsidP="00F74889">
      <w:pPr>
        <w:pStyle w:val="a8"/>
        <w:bidi/>
        <w:spacing w:line="360" w:lineRule="auto"/>
        <w:jc w:val="both"/>
        <w:rPr>
          <w:rFonts w:ascii="Simplified Arabic" w:hAnsi="Simplified Arabic" w:cs="Simplified Arabic"/>
          <w:color w:val="000000"/>
          <w:rtl/>
        </w:rPr>
      </w:pPr>
      <w:r>
        <w:rPr>
          <w:rFonts w:ascii="Simplified Arabic" w:eastAsiaTheme="minorHAnsi" w:hAnsi="Simplified Arabic" w:cs="Simplified Arabic"/>
          <w:color w:val="000000"/>
          <w:rtl/>
        </w:rPr>
        <w:t>تتمثل المشكلة المنهجية الرئيسة في أن معظم الدراسات قسمت النموذج السببي إلى أجزاء منفصلة، ولم تختبر نموذجًا متكاملًا يوضح بشكل متسلسل كيفية انتقال تأثير القيادة التحويلية عبر ثقافة سلامة المرضى وسلوكيات السلامة وصولًا إلى الأحداث الضارة.</w:t>
      </w:r>
    </w:p>
    <w:p w14:paraId="60DECAAC" w14:textId="69D80517" w:rsidR="0094435C" w:rsidRPr="0011430B" w:rsidRDefault="004E54EA" w:rsidP="00F74889">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lastRenderedPageBreak/>
        <w:t>السؤال البحثي المطروح: يعزى هذا القصور المنهجي إلى وجود فجوة واضحة في الإجابة على السؤال الأساسي، المتمثل في كيفية تفاعل التأثير القيادي بشكل شامل عبر الثقافة والسلوك لإحداث تغييرات في النتائج النهائية. ولا يزال هذا السؤال بحاجة إلى إجابة علمية دقيقة من خلال تبني نموذج تحليلي متكامل.</w:t>
      </w:r>
      <w:r w:rsidR="00C3113C">
        <w:rPr>
          <w:rFonts w:ascii="Simplified Arabic" w:hAnsi="Simplified Arabic" w:cs="Simplified Arabic" w:hint="cs"/>
          <w:color w:val="000000"/>
          <w:rtl/>
        </w:rPr>
        <w:t xml:space="preserve"> </w:t>
      </w:r>
      <w:r w:rsidR="0094435C" w:rsidRPr="0011430B">
        <w:rPr>
          <w:rFonts w:ascii="Simplified Arabic" w:hAnsi="Simplified Arabic" w:cs="Simplified Arabic"/>
          <w:color w:val="000000"/>
          <w:rtl/>
        </w:rPr>
        <w:t>بالنسبة للفجوة السياقية، تظهر مشكلة أخرى وهي أن العديد من الدراسات المحلية لا تتناول بشكل كافٍ منطقة الجوف. هذا الأمر يقلل من أهمية نتائجها فيما يتعلق بصانعي القرار في السياق المحلي المحدد.</w:t>
      </w:r>
    </w:p>
    <w:p w14:paraId="32F417CD" w14:textId="77777777" w:rsidR="00F078E1" w:rsidRDefault="00590A0D" w:rsidP="00590A0D">
      <w:pPr>
        <w:bidi/>
        <w:spacing w:line="360" w:lineRule="auto"/>
        <w:rPr>
          <w:rFonts w:ascii="Simplified Arabic" w:hAnsi="Simplified Arabic" w:cs="Simplified Arabic"/>
          <w:noProof/>
          <w:sz w:val="24"/>
          <w:szCs w:val="24"/>
          <w:rtl/>
        </w:rPr>
      </w:pPr>
      <w:r w:rsidRPr="00590A0D">
        <w:rPr>
          <w:rFonts w:ascii="Simplified Arabic" w:hAnsi="Simplified Arabic" w:cs="Simplified Arabic"/>
          <w:noProof/>
          <w:sz w:val="24"/>
          <w:szCs w:val="24"/>
          <w:rtl/>
          <w:lang w:val="ar-SA"/>
        </w:rPr>
        <w:t>تبرّر الدراسة الحالية أهميتها العلمية والعملية من خلال معالجة الفجوات الآتية</w:t>
      </w:r>
      <w:r w:rsidRPr="00590A0D">
        <w:rPr>
          <w:rFonts w:ascii="Simplified Arabic" w:hAnsi="Simplified Arabic" w:cs="Simplified Arabic"/>
          <w:noProof/>
          <w:sz w:val="24"/>
          <w:szCs w:val="24"/>
        </w:rPr>
        <w:t>:</w:t>
      </w:r>
    </w:p>
    <w:p w14:paraId="4979C22E" w14:textId="704B2C98" w:rsidR="00F078E1" w:rsidRPr="00F078E1" w:rsidRDefault="00A0340F">
      <w:pPr>
        <w:pStyle w:val="a3"/>
        <w:numPr>
          <w:ilvl w:val="0"/>
          <w:numId w:val="9"/>
        </w:numPr>
        <w:bidi/>
        <w:spacing w:line="360" w:lineRule="auto"/>
        <w:rPr>
          <w:rFonts w:ascii="Simplified Arabic" w:hAnsi="Simplified Arabic" w:cs="Simplified Arabic"/>
          <w:noProof/>
          <w:sz w:val="24"/>
          <w:szCs w:val="24"/>
          <w:rtl/>
        </w:rPr>
      </w:pPr>
      <w:r w:rsidRPr="00F078E1">
        <w:rPr>
          <w:rFonts w:ascii="Simplified Arabic" w:hAnsi="Simplified Arabic" w:cs="Simplified Arabic"/>
          <w:b/>
          <w:bCs/>
          <w:noProof/>
          <w:sz w:val="24"/>
          <w:szCs w:val="24"/>
          <w:rtl/>
        </w:rPr>
        <w:t>معالجة الفجوة المنهجية (اختبار التوسيط المتسلسل)</w:t>
      </w:r>
      <w:r w:rsidRPr="00F078E1">
        <w:rPr>
          <w:rFonts w:ascii="Simplified Arabic" w:hAnsi="Simplified Arabic" w:cs="Simplified Arabic"/>
          <w:b/>
          <w:bCs/>
          <w:noProof/>
          <w:sz w:val="24"/>
          <w:szCs w:val="24"/>
        </w:rPr>
        <w:t>:</w:t>
      </w:r>
    </w:p>
    <w:p w14:paraId="484B4880" w14:textId="3545880B" w:rsidR="00A0340F" w:rsidRPr="0011430B" w:rsidRDefault="00566743" w:rsidP="00BE508A">
      <w:pPr>
        <w:bidi/>
        <w:spacing w:line="360" w:lineRule="auto"/>
        <w:rPr>
          <w:rFonts w:ascii="Simplified Arabic" w:hAnsi="Simplified Arabic" w:cs="Simplified Arabic"/>
          <w:noProof/>
          <w:sz w:val="24"/>
          <w:szCs w:val="24"/>
        </w:rPr>
      </w:pPr>
      <w:r w:rsidRPr="0011430B">
        <w:rPr>
          <w:rFonts w:ascii="Simplified Arabic" w:hAnsi="Simplified Arabic" w:cs="Simplified Arabic"/>
          <w:noProof/>
          <w:sz w:val="24"/>
          <w:szCs w:val="24"/>
          <w:rtl/>
        </w:rPr>
        <w:t xml:space="preserve">تُقدّم هذه الدراسة اختبارًا شاملًا أوليًا في السياق السعودي لآلية التأثير المتسلسل للقيادة التحويلية على تقليل الأحداث الضارة، من خلال </w:t>
      </w:r>
      <w:r w:rsidR="00BE508A" w:rsidRPr="00BE508A">
        <w:rPr>
          <w:rFonts w:ascii="Simplified Arabic" w:hAnsi="Simplified Arabic" w:cs="Simplified Arabic"/>
          <w:b/>
          <w:bCs/>
          <w:noProof/>
          <w:sz w:val="24"/>
          <w:szCs w:val="24"/>
          <w:rtl/>
        </w:rPr>
        <w:t>الوساطة المتسلسلة</w:t>
      </w:r>
      <w:r w:rsidRPr="0011430B">
        <w:rPr>
          <w:rFonts w:ascii="Simplified Arabic" w:hAnsi="Simplified Arabic" w:cs="Simplified Arabic"/>
          <w:noProof/>
          <w:sz w:val="24"/>
          <w:szCs w:val="24"/>
          <w:rtl/>
        </w:rPr>
        <w:t xml:space="preserve"> ل</w:t>
      </w:r>
      <w:r w:rsidR="007D1551" w:rsidRPr="007D1551">
        <w:rPr>
          <w:rFonts w:ascii="Simplified Arabic" w:hAnsi="Simplified Arabic" w:cs="Simplified Arabic"/>
          <w:noProof/>
          <w:sz w:val="24"/>
          <w:szCs w:val="24"/>
          <w:rtl/>
        </w:rPr>
        <w:t>ثقافة سلامة المرضى</w:t>
      </w:r>
      <w:r w:rsidRPr="0011430B">
        <w:rPr>
          <w:rFonts w:ascii="Simplified Arabic" w:hAnsi="Simplified Arabic" w:cs="Simplified Arabic"/>
          <w:noProof/>
          <w:sz w:val="24"/>
          <w:szCs w:val="24"/>
          <w:rtl/>
        </w:rPr>
        <w:t xml:space="preserve"> وسلوكيات السلامة (</w:t>
      </w:r>
      <w:r w:rsidRPr="0011430B">
        <w:rPr>
          <w:rFonts w:ascii="Simplified Arabic" w:hAnsi="Simplified Arabic" w:cs="Simplified Arabic"/>
          <w:noProof/>
          <w:sz w:val="24"/>
          <w:szCs w:val="24"/>
        </w:rPr>
        <w:t xml:space="preserve">TL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SB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AE</w:t>
      </w:r>
      <w:r w:rsidRPr="0011430B">
        <w:rPr>
          <w:rFonts w:ascii="Simplified Arabic" w:hAnsi="Simplified Arabic" w:cs="Simplified Arabic"/>
          <w:noProof/>
          <w:sz w:val="24"/>
          <w:szCs w:val="24"/>
          <w:rtl/>
        </w:rPr>
        <w:t>). وتشكل هذه الأهمية العلمية الجوهرية، حيث يتيح هذا الاختبار الكشف عن التأثير غير المباشر المتسلسل، الذي يوفر تفسيرًا عميقًا لكيفية ترجمة الرؤية القيادية إلى نتائج ملموسة في سلامة المرضى، مما يعزز الفرضية الخامسة (</w:t>
      </w:r>
      <w:r w:rsidRPr="0011430B">
        <w:rPr>
          <w:rFonts w:ascii="Simplified Arabic" w:hAnsi="Simplified Arabic" w:cs="Simplified Arabic"/>
          <w:noProof/>
          <w:sz w:val="24"/>
          <w:szCs w:val="24"/>
        </w:rPr>
        <w:t>H5</w:t>
      </w:r>
      <w:r w:rsidRPr="0011430B">
        <w:rPr>
          <w:rFonts w:ascii="Simplified Arabic" w:hAnsi="Simplified Arabic" w:cs="Simplified Arabic"/>
          <w:noProof/>
          <w:sz w:val="24"/>
          <w:szCs w:val="24"/>
          <w:rtl/>
        </w:rPr>
        <w:t>).</w:t>
      </w:r>
    </w:p>
    <w:p w14:paraId="1EEB23A9" w14:textId="7D1E12F8" w:rsidR="00A0340F" w:rsidRPr="0011430B" w:rsidRDefault="00F078E1" w:rsidP="00A0340F">
      <w:pPr>
        <w:bidi/>
        <w:spacing w:line="360" w:lineRule="auto"/>
        <w:rPr>
          <w:rFonts w:ascii="Simplified Arabic" w:hAnsi="Simplified Arabic" w:cs="Simplified Arabic"/>
          <w:b/>
          <w:bCs/>
          <w:noProof/>
          <w:sz w:val="24"/>
          <w:szCs w:val="24"/>
          <w:rtl/>
        </w:rPr>
      </w:pPr>
      <w:r>
        <w:rPr>
          <w:rFonts w:ascii="Simplified Arabic" w:hAnsi="Simplified Arabic" w:cs="Simplified Arabic" w:hint="cs"/>
          <w:b/>
          <w:bCs/>
          <w:noProof/>
          <w:sz w:val="24"/>
          <w:szCs w:val="24"/>
          <w:rtl/>
        </w:rPr>
        <w:t>ثالثا:</w:t>
      </w:r>
      <w:r w:rsidR="00A0340F" w:rsidRPr="0011430B">
        <w:rPr>
          <w:rFonts w:ascii="Simplified Arabic" w:hAnsi="Simplified Arabic" w:cs="Simplified Arabic"/>
          <w:b/>
          <w:bCs/>
          <w:noProof/>
          <w:sz w:val="24"/>
          <w:szCs w:val="24"/>
        </w:rPr>
        <w:t xml:space="preserve"> </w:t>
      </w:r>
      <w:r w:rsidR="00A0340F" w:rsidRPr="0011430B">
        <w:rPr>
          <w:rFonts w:ascii="Simplified Arabic" w:hAnsi="Simplified Arabic" w:cs="Simplified Arabic"/>
          <w:b/>
          <w:bCs/>
          <w:noProof/>
          <w:sz w:val="24"/>
          <w:szCs w:val="24"/>
          <w:rtl/>
        </w:rPr>
        <w:t>معالجة الفجوة السياقية (التخصيص الإقليمي)</w:t>
      </w:r>
      <w:r w:rsidR="00A0340F" w:rsidRPr="0011430B">
        <w:rPr>
          <w:rFonts w:ascii="Simplified Arabic" w:hAnsi="Simplified Arabic" w:cs="Simplified Arabic"/>
          <w:b/>
          <w:bCs/>
          <w:noProof/>
          <w:sz w:val="24"/>
          <w:szCs w:val="24"/>
        </w:rPr>
        <w:t>:</w:t>
      </w:r>
    </w:p>
    <w:p w14:paraId="3DC3D04E" w14:textId="77777777" w:rsidR="00A0340F" w:rsidRPr="0011430B" w:rsidRDefault="00A0340F" w:rsidP="00A0340F">
      <w:pPr>
        <w:bidi/>
        <w:spacing w:line="360" w:lineRule="auto"/>
        <w:rPr>
          <w:rFonts w:ascii="Simplified Arabic" w:hAnsi="Simplified Arabic" w:cs="Simplified Arabic"/>
          <w:noProof/>
          <w:sz w:val="24"/>
          <w:szCs w:val="24"/>
        </w:rPr>
      </w:pPr>
      <w:r w:rsidRPr="0011430B">
        <w:rPr>
          <w:rFonts w:ascii="Simplified Arabic" w:hAnsi="Simplified Arabic" w:cs="Simplified Arabic"/>
          <w:noProof/>
          <w:sz w:val="24"/>
          <w:szCs w:val="24"/>
          <w:rtl/>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 ضمن إطار رؤية المملكة 2030</w:t>
      </w:r>
      <w:r w:rsidRPr="0011430B">
        <w:rPr>
          <w:rFonts w:ascii="Simplified Arabic" w:hAnsi="Simplified Arabic" w:cs="Simplified Arabic"/>
          <w:noProof/>
          <w:sz w:val="24"/>
          <w:szCs w:val="24"/>
        </w:rPr>
        <w:t>.</w:t>
      </w:r>
    </w:p>
    <w:p w14:paraId="4A9CD30D" w14:textId="1C1B1442" w:rsidR="00624B1F" w:rsidRPr="0011430B" w:rsidRDefault="00624B1F" w:rsidP="00A0340F">
      <w:pPr>
        <w:bidi/>
        <w:spacing w:line="360" w:lineRule="auto"/>
        <w:rPr>
          <w:rFonts w:ascii="Simplified Arabic" w:hAnsi="Simplified Arabic" w:cs="Simplified Arabic"/>
          <w:noProof/>
          <w:sz w:val="24"/>
          <w:szCs w:val="24"/>
          <w:rtl/>
        </w:rPr>
      </w:pPr>
      <w:r w:rsidRPr="0011430B">
        <w:rPr>
          <w:rFonts w:ascii="Simplified Arabic" w:hAnsi="Simplified Arabic" w:cs="Simplified Arabic"/>
          <w:b/>
          <w:bCs/>
          <w:noProof/>
          <w:sz w:val="24"/>
          <w:szCs w:val="24"/>
          <w:rtl/>
          <w:lang w:val="ar-SA"/>
        </w:rPr>
        <w:t>ثالثاً: الاستفادة العملية والمنهجية من الدراسات السابقة</w:t>
      </w:r>
    </w:p>
    <w:p w14:paraId="30E22760" w14:textId="3B585698" w:rsidR="00240308" w:rsidRPr="0011430B" w:rsidRDefault="00566743">
      <w:pPr>
        <w:pStyle w:val="a3"/>
        <w:numPr>
          <w:ilvl w:val="0"/>
          <w:numId w:val="2"/>
        </w:numPr>
        <w:bidi/>
        <w:spacing w:line="360" w:lineRule="auto"/>
        <w:rPr>
          <w:rFonts w:ascii="Simplified Arabic" w:hAnsi="Simplified Arabic" w:cs="Simplified Arabic"/>
          <w:b/>
          <w:bCs/>
          <w:sz w:val="24"/>
          <w:szCs w:val="24"/>
        </w:rPr>
      </w:pPr>
      <w:r w:rsidRPr="0011430B">
        <w:rPr>
          <w:rFonts w:ascii="Simplified Arabic" w:hAnsi="Simplified Arabic" w:cs="Simplified Arabic"/>
          <w:noProof/>
          <w:sz w:val="24"/>
          <w:szCs w:val="24"/>
          <w:rtl/>
          <w:lang w:val="ar-SA"/>
        </w:rPr>
        <w:t xml:space="preserve">يستفيد البحث من الدراسات السابقة لتعزيز جودته وموثوقيته، وذلك من خلال تبني منهجية متطورة لتحليل البيانات (نمذجة المعادلات الهيكلية - </w:t>
      </w:r>
      <w:r w:rsidRPr="0011430B">
        <w:rPr>
          <w:rFonts w:ascii="Simplified Arabic" w:hAnsi="Simplified Arabic" w:cs="Simplified Arabic"/>
          <w:noProof/>
          <w:sz w:val="24"/>
          <w:szCs w:val="24"/>
          <w:lang w:val="ar-SA"/>
        </w:rPr>
        <w:t>SEM</w:t>
      </w:r>
      <w:r w:rsidRPr="0011430B">
        <w:rPr>
          <w:rFonts w:ascii="Simplified Arabic" w:hAnsi="Simplified Arabic" w:cs="Simplified Arabic"/>
          <w:noProof/>
          <w:sz w:val="24"/>
          <w:szCs w:val="24"/>
          <w:rtl/>
          <w:lang w:val="ar-SA"/>
        </w:rPr>
        <w:t>) لاختبار</w:t>
      </w:r>
      <w:r w:rsidR="00BF0735" w:rsidRPr="00BF0735">
        <w:rPr>
          <w:rFonts w:ascii="Simplified Arabic" w:hAnsi="Simplified Arabic" w:cs="Simplified Arabic"/>
          <w:b/>
          <w:bCs/>
          <w:noProof/>
          <w:sz w:val="24"/>
          <w:szCs w:val="24"/>
          <w:rtl/>
          <w:lang w:val="ar-SA"/>
        </w:rPr>
        <w:t>الوساطة المتسلسلة</w:t>
      </w:r>
      <w:r w:rsidRPr="0011430B">
        <w:rPr>
          <w:rFonts w:ascii="Simplified Arabic" w:hAnsi="Simplified Arabic" w:cs="Simplified Arabic"/>
          <w:noProof/>
          <w:sz w:val="24"/>
          <w:szCs w:val="24"/>
          <w:rtl/>
          <w:lang w:val="ar-SA"/>
        </w:rPr>
        <w:t>، بهدف التغلب على العيوب المنهجية المرتبطة بالاستخدام الحصري للإحصاءات الوصفية أو الارتباطات البسيطة.</w:t>
      </w:r>
    </w:p>
    <w:p w14:paraId="73959382" w14:textId="540D2434" w:rsidR="00866BDF" w:rsidRDefault="00866BDF" w:rsidP="00866BDF">
      <w:pPr>
        <w:pStyle w:val="a3"/>
        <w:numPr>
          <w:ilvl w:val="0"/>
          <w:numId w:val="2"/>
        </w:numPr>
        <w:bidi/>
        <w:spacing w:line="360" w:lineRule="auto"/>
        <w:jc w:val="both"/>
        <w:rPr>
          <w:rFonts w:ascii="Simplified Arabic" w:hAnsi="Simplified Arabic" w:cs="Simplified Arabic"/>
          <w:sz w:val="24"/>
          <w:szCs w:val="24"/>
        </w:rPr>
      </w:pPr>
      <w:r>
        <w:rPr>
          <w:rFonts w:ascii="Simplified Arabic" w:hAnsi="Simplified Arabic" w:cs="Simplified Arabic"/>
          <w:noProof/>
          <w:sz w:val="24"/>
          <w:szCs w:val="24"/>
          <w:rtl/>
          <w:lang w:val="ar-SA"/>
        </w:rPr>
        <w:t xml:space="preserve">. الاستفادة من الأدوات تتطلب الاعتماد على مقاييس ذات مصداقية وثبات عاليَين، مثل مخزون القيادة التحويلية </w:t>
      </w:r>
      <w:r>
        <w:rPr>
          <w:rFonts w:ascii="Simplified Arabic" w:hAnsi="Simplified Arabic" w:cs="Simplified Arabic"/>
          <w:noProof/>
          <w:sz w:val="24"/>
          <w:szCs w:val="24"/>
          <w:lang w:val="ar-SA"/>
        </w:rPr>
        <w:t>TLI (Podsakoff et al., 1990)</w:t>
      </w:r>
      <w:r>
        <w:rPr>
          <w:rFonts w:ascii="Simplified Arabic" w:hAnsi="Simplified Arabic" w:cs="Simplified Arabic"/>
          <w:noProof/>
          <w:sz w:val="24"/>
          <w:szCs w:val="24"/>
          <w:rtl/>
          <w:lang w:val="ar-SA"/>
        </w:rPr>
        <w:t xml:space="preserve">، الذي أظهر صلاحية بنائية واستقرارًا تركيبيًا مرتفعًا في سياقات صحية وتنظيمية متنوعة، إضافة إلى أداة </w:t>
      </w:r>
      <w:r>
        <w:rPr>
          <w:rFonts w:ascii="Simplified Arabic" w:hAnsi="Simplified Arabic" w:cs="Simplified Arabic"/>
          <w:noProof/>
          <w:sz w:val="24"/>
          <w:szCs w:val="24"/>
          <w:lang w:val="ar-SA"/>
        </w:rPr>
        <w:t>HSOPSC (AHRQ)</w:t>
      </w:r>
      <w:r>
        <w:rPr>
          <w:rFonts w:ascii="Simplified Arabic" w:hAnsi="Simplified Arabic" w:cs="Simplified Arabic"/>
          <w:noProof/>
          <w:sz w:val="24"/>
          <w:szCs w:val="24"/>
          <w:rtl/>
          <w:lang w:val="ar-SA"/>
        </w:rPr>
        <w:t xml:space="preserve"> لقياس ثقافة سلامة المرضى، ومقياس </w:t>
      </w:r>
      <w:r>
        <w:rPr>
          <w:rFonts w:ascii="Simplified Arabic" w:hAnsi="Simplified Arabic" w:cs="Simplified Arabic"/>
          <w:noProof/>
          <w:sz w:val="24"/>
          <w:szCs w:val="24"/>
          <w:lang w:val="ar-SA"/>
        </w:rPr>
        <w:t>Neal &amp; Griffin</w:t>
      </w:r>
      <w:r>
        <w:rPr>
          <w:rFonts w:ascii="Simplified Arabic" w:hAnsi="Simplified Arabic" w:cs="Simplified Arabic"/>
          <w:noProof/>
          <w:sz w:val="24"/>
          <w:szCs w:val="24"/>
          <w:rtl/>
          <w:lang w:val="ar-SA"/>
        </w:rPr>
        <w:t xml:space="preserve"> لتقييم سلوكيات السلامة.</w:t>
      </w:r>
    </w:p>
    <w:p w14:paraId="28B13F31" w14:textId="67098739" w:rsidR="00DF5D3C" w:rsidRPr="00DF5D3C" w:rsidRDefault="00DF5D3C" w:rsidP="00B052AF">
      <w:pPr>
        <w:pStyle w:val="a3"/>
        <w:numPr>
          <w:ilvl w:val="0"/>
          <w:numId w:val="2"/>
        </w:numPr>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ت</w:t>
      </w:r>
      <w:r>
        <w:rPr>
          <w:rFonts w:ascii="Simplified Arabic" w:hAnsi="Simplified Arabic" w:cs="Simplified Arabic" w:hint="cs"/>
          <w:sz w:val="24"/>
          <w:szCs w:val="24"/>
          <w:rtl/>
        </w:rPr>
        <w:t>حديد مرجعية</w:t>
      </w:r>
      <w:r>
        <w:rPr>
          <w:rFonts w:ascii="Simplified Arabic" w:hAnsi="Simplified Arabic" w:cs="Simplified Arabic"/>
          <w:sz w:val="24"/>
          <w:szCs w:val="24"/>
          <w:rtl/>
        </w:rPr>
        <w:t xml:space="preserve"> </w:t>
      </w:r>
      <w:r>
        <w:rPr>
          <w:rFonts w:ascii="Simplified Arabic" w:hAnsi="Simplified Arabic" w:cs="Simplified Arabic"/>
          <w:sz w:val="24"/>
          <w:szCs w:val="24"/>
        </w:rPr>
        <w:t>TLI</w:t>
      </w:r>
      <w:r>
        <w:rPr>
          <w:rFonts w:ascii="Simplified Arabic" w:hAnsi="Simplified Arabic" w:cs="Simplified Arabic"/>
          <w:sz w:val="24"/>
          <w:szCs w:val="24"/>
          <w:rtl/>
        </w:rPr>
        <w:t xml:space="preserve">، الذي وضعه </w:t>
      </w:r>
      <w:r>
        <w:rPr>
          <w:rFonts w:ascii="Simplified Arabic" w:hAnsi="Simplified Arabic" w:cs="Simplified Arabic"/>
          <w:sz w:val="24"/>
          <w:szCs w:val="24"/>
        </w:rPr>
        <w:t>Podsakoff</w:t>
      </w:r>
      <w:r>
        <w:rPr>
          <w:rFonts w:ascii="Simplified Arabic" w:hAnsi="Simplified Arabic" w:cs="Simplified Arabic"/>
          <w:sz w:val="24"/>
          <w:szCs w:val="24"/>
          <w:rtl/>
        </w:rPr>
        <w:t xml:space="preserve"> وزملاؤه عام 1990، كمؤشر قياسي ثابت في أبحاث القيادة التحويلية. أظهر هذا المقياس قدرة عالية على التمييز والتقارب في سياقات متعددة، ويوفر قياساً أدق للأبعاد القيادية مقارنةً بأدوات أخرى، حيث يغطي </w:t>
      </w:r>
      <w:r>
        <w:rPr>
          <w:rFonts w:ascii="Simplified Arabic" w:hAnsi="Simplified Arabic" w:cs="Simplified Arabic"/>
          <w:sz w:val="24"/>
          <w:szCs w:val="24"/>
          <w:rtl/>
        </w:rPr>
        <w:lastRenderedPageBreak/>
        <w:t xml:space="preserve">جوانب تنظيمية وسلوكية متنوعة تتناسب مع بيئة العمل في المستشفيات الحكومية. يُستند </w:t>
      </w:r>
      <w:r>
        <w:rPr>
          <w:rFonts w:ascii="Simplified Arabic" w:hAnsi="Simplified Arabic" w:cs="Simplified Arabic"/>
          <w:sz w:val="24"/>
          <w:szCs w:val="24"/>
        </w:rPr>
        <w:t>TLI</w:t>
      </w:r>
      <w:r>
        <w:rPr>
          <w:rFonts w:ascii="Simplified Arabic" w:hAnsi="Simplified Arabic" w:cs="Simplified Arabic"/>
          <w:sz w:val="24"/>
          <w:szCs w:val="24"/>
          <w:rtl/>
        </w:rPr>
        <w:t xml:space="preserve"> إلى نظرية القيادة التحويلية </w:t>
      </w:r>
      <w:proofErr w:type="spellStart"/>
      <w:r>
        <w:rPr>
          <w:rFonts w:ascii="Simplified Arabic" w:hAnsi="Simplified Arabic" w:cs="Simplified Arabic"/>
          <w:sz w:val="24"/>
          <w:szCs w:val="24"/>
          <w:rtl/>
        </w:rPr>
        <w:t>لبورنز</w:t>
      </w:r>
      <w:proofErr w:type="spellEnd"/>
      <w:r>
        <w:rPr>
          <w:rFonts w:ascii="Simplified Arabic" w:hAnsi="Simplified Arabic" w:cs="Simplified Arabic"/>
          <w:sz w:val="24"/>
          <w:szCs w:val="24"/>
          <w:rtl/>
        </w:rPr>
        <w:t xml:space="preserve"> (1978) التي طوّرها </w:t>
      </w:r>
      <w:r>
        <w:rPr>
          <w:rFonts w:ascii="Simplified Arabic" w:hAnsi="Simplified Arabic" w:cs="Simplified Arabic"/>
          <w:sz w:val="24"/>
          <w:szCs w:val="24"/>
        </w:rPr>
        <w:t>Podsakoff</w:t>
      </w:r>
      <w:r>
        <w:rPr>
          <w:rFonts w:ascii="Simplified Arabic" w:hAnsi="Simplified Arabic" w:cs="Simplified Arabic"/>
          <w:sz w:val="24"/>
          <w:szCs w:val="24"/>
          <w:rtl/>
        </w:rPr>
        <w:t xml:space="preserve"> وآخرون، وهو مستقل عن إطار عمل </w:t>
      </w:r>
      <w:r>
        <w:rPr>
          <w:rFonts w:ascii="Simplified Arabic" w:hAnsi="Simplified Arabic" w:cs="Simplified Arabic"/>
          <w:sz w:val="24"/>
          <w:szCs w:val="24"/>
        </w:rPr>
        <w:t>Bass &amp; Avolio</w:t>
      </w:r>
      <w:r>
        <w:rPr>
          <w:rFonts w:ascii="Simplified Arabic" w:hAnsi="Simplified Arabic" w:cs="Simplified Arabic"/>
          <w:sz w:val="24"/>
          <w:szCs w:val="24"/>
          <w:rtl/>
        </w:rPr>
        <w:t>، مما يعزز أصالته النظرية ومنهجيته.</w:t>
      </w:r>
    </w:p>
    <w:p w14:paraId="1461DBD6" w14:textId="1ED1B3DC" w:rsidR="00004971" w:rsidRDefault="00566743">
      <w:pPr>
        <w:pStyle w:val="a3"/>
        <w:numPr>
          <w:ilvl w:val="0"/>
          <w:numId w:val="2"/>
        </w:num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noProof/>
          <w:sz w:val="24"/>
          <w:szCs w:val="24"/>
          <w:rtl/>
          <w:lang w:val="ar-SA"/>
        </w:rPr>
        <w:t>الاستفادة التطبيقية (آليات التطوير): تعتمد على استخدام النتائج المثبتة المتعلقة بعناصر القيادة التحويلية ذات التأثير الأكبر (كما تم تحديدها في الدراسات السابقة) كنقطة انطلاق لتصميم برامج تدريبية وتدخلات إدارية تركز تحديداً على هذه العناصر في مستشفيات الجوف. يهدف ذلك إلى تعزيز الربط بين النتائج والتطبيق العملي بشكل مباشر.</w:t>
      </w:r>
    </w:p>
    <w:p w14:paraId="436021D8" w14:textId="305B1C48" w:rsidR="004E2481" w:rsidRPr="004E2481" w:rsidRDefault="00B74258" w:rsidP="004E2481">
      <w:pPr>
        <w:bidi/>
        <w:spacing w:line="360" w:lineRule="auto"/>
        <w:jc w:val="both"/>
        <w:rPr>
          <w:rFonts w:ascii="Simplified Arabic" w:hAnsi="Simplified Arabic" w:cs="Simplified Arabic"/>
          <w:sz w:val="24"/>
          <w:szCs w:val="24"/>
        </w:rPr>
      </w:pPr>
      <w:r w:rsidRPr="00076824">
        <w:rPr>
          <w:rFonts w:ascii="Simplified Arabic" w:hAnsi="Simplified Arabic" w:cs="Simplified Arabic"/>
          <w:sz w:val="24"/>
          <w:szCs w:val="24"/>
          <w:rtl/>
        </w:rPr>
        <w:t>يتضح من مجمل الدراسات السابقة وجود اتفاق عام على أن القيادة التحويلية ترتبط إيجابًا بثقافة السلامة، وأن ثقافة السلامة ترتبط بدورها بسلوكيات السلامة، كما ترتبط سلوكيات السلامة بانخفاض احتمال وقوع الأحداث الضارة. ومع ذلك، فإن هذا الاتفاق لا يلغي حدودًا واضحة في الأدبيات، تتمثل في غلبة الدراسات الجزئية أو الثنائية، وتباين السياقات التطبيقية، والاعتماد المتكرر على التصاميم المقطعية والبيانات الإدراكية، بما يحد من تفسير المسار السببي المتكامل بين المتغيرات. ومن هنا تنطلق الدراسة الحالية لسد فجوة منهجية وسياقية معًا، من خلال اختبار النموذج المتسلسل الذي يربط القيادة التحويلية بثقافة السلامة ثم سلوكيات السلامة وصولًا إلى الأحداث الضارة في مستشفيات القطاع الحكومي بمنطقة الجوف.</w:t>
      </w:r>
    </w:p>
    <w:p w14:paraId="20F530B9" w14:textId="5A9408DD" w:rsidR="00443F33" w:rsidRPr="0011430B" w:rsidRDefault="00856F43" w:rsidP="00240308">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9</w:t>
      </w:r>
      <w:r w:rsidR="00443F33" w:rsidRPr="0011430B">
        <w:rPr>
          <w:rFonts w:ascii="Simplified Arabic" w:hAnsi="Simplified Arabic" w:cs="Simplified Arabic"/>
          <w:b/>
          <w:bCs/>
          <w:sz w:val="24"/>
          <w:szCs w:val="24"/>
          <w:rtl/>
        </w:rPr>
        <w:t xml:space="preserve">.حدود الدراسة </w:t>
      </w:r>
    </w:p>
    <w:p w14:paraId="0970A631" w14:textId="59E14C66" w:rsidR="00F74889" w:rsidRDefault="00856F43" w:rsidP="00F74889">
      <w:pPr>
        <w:bidi/>
        <w:spacing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Pr>
        <w:t>9.1</w:t>
      </w:r>
      <w:r>
        <w:rPr>
          <w:rFonts w:ascii="Simplified Arabic" w:hAnsi="Simplified Arabic" w:cs="Simplified Arabic" w:hint="cs"/>
          <w:b/>
          <w:bCs/>
          <w:sz w:val="24"/>
          <w:szCs w:val="24"/>
          <w:rtl/>
        </w:rPr>
        <w:t xml:space="preserve"> </w:t>
      </w:r>
      <w:r w:rsidR="00EE32C9" w:rsidRPr="0011430B">
        <w:rPr>
          <w:rFonts w:ascii="Simplified Arabic" w:hAnsi="Simplified Arabic" w:cs="Simplified Arabic"/>
          <w:b/>
          <w:bCs/>
          <w:sz w:val="24"/>
          <w:szCs w:val="24"/>
          <w:rtl/>
        </w:rPr>
        <w:t>الحدود الموضوعية</w:t>
      </w:r>
    </w:p>
    <w:p w14:paraId="4CCAC3C6" w14:textId="2F8481B4" w:rsidR="00F74889" w:rsidRPr="00F74889" w:rsidRDefault="00F74889" w:rsidP="00F74889">
      <w:pPr>
        <w:bidi/>
        <w:spacing w:line="360" w:lineRule="auto"/>
        <w:jc w:val="both"/>
        <w:rPr>
          <w:rFonts w:ascii="Simplified Arabic" w:hAnsi="Simplified Arabic" w:cs="Simplified Arabic"/>
          <w:b/>
          <w:bCs/>
          <w:sz w:val="24"/>
          <w:szCs w:val="24"/>
        </w:rPr>
      </w:pPr>
      <w:r>
        <w:rPr>
          <w:rFonts w:ascii="Simplified Arabic" w:hAnsi="Simplified Arabic" w:cs="Simplified Arabic"/>
          <w:sz w:val="24"/>
          <w:szCs w:val="24"/>
          <w:rtl/>
        </w:rPr>
        <w:t>تركز هذه الدراسة على اختبار آلية التسلسل لتأثير القيادة التحويلية في تقليل الأحداث الضارة من خلال متغيرين وسيطين متتابعين، هما ثقافة سلامة المرضى وسلوكيات السلامة. وهي لا تتطرق لتحليل أنماط قيادية أخرى أو مقارنة مدارس القيادة المختلفة، ولا تتناول متغيرات سياقية إضافية قد تساهم في تفسير النتائج، مثل مستوى الموارد المالية أو نظم المعلومات الصحية أو خصائص البنية التحتية. وبالتالي، يقتصر الإطار الموضوعي على العلاقات المحددة بين المتغيرات الأربعة الرئيسية في الدراسة كما هو موضح في النموذج المقترح.</w:t>
      </w:r>
    </w:p>
    <w:p w14:paraId="1C9BAC0C" w14:textId="4D0C444A" w:rsidR="00EE32C9" w:rsidRPr="0011430B" w:rsidRDefault="00856F43" w:rsidP="00EE32C9">
      <w:pPr>
        <w:bidi/>
        <w:spacing w:line="360" w:lineRule="auto"/>
        <w:jc w:val="both"/>
        <w:rPr>
          <w:rFonts w:ascii="Simplified Arabic" w:hAnsi="Simplified Arabic" w:cs="Simplified Arabic"/>
          <w:b/>
          <w:bCs/>
          <w:sz w:val="24"/>
          <w:szCs w:val="24"/>
        </w:rPr>
      </w:pPr>
      <w:r>
        <w:rPr>
          <w:rFonts w:ascii="Simplified Arabic" w:hAnsi="Simplified Arabic" w:cs="Simplified Arabic"/>
          <w:b/>
          <w:bCs/>
          <w:sz w:val="24"/>
          <w:szCs w:val="24"/>
        </w:rPr>
        <w:t xml:space="preserve"> 9</w:t>
      </w:r>
      <w:r w:rsidR="000E2549" w:rsidRPr="0011430B">
        <w:rPr>
          <w:rFonts w:ascii="Simplified Arabic" w:hAnsi="Simplified Arabic" w:cs="Simplified Arabic"/>
          <w:b/>
          <w:bCs/>
          <w:sz w:val="24"/>
          <w:szCs w:val="24"/>
        </w:rPr>
        <w:t xml:space="preserve">.2 </w:t>
      </w:r>
      <w:r w:rsidR="000E2549" w:rsidRPr="0011430B">
        <w:rPr>
          <w:rFonts w:ascii="Simplified Arabic" w:hAnsi="Simplified Arabic" w:cs="Simplified Arabic"/>
          <w:b/>
          <w:bCs/>
          <w:sz w:val="24"/>
          <w:szCs w:val="24"/>
          <w:rtl/>
        </w:rPr>
        <w:t>الحدود</w:t>
      </w:r>
      <w:r w:rsidR="00EE32C9" w:rsidRPr="0011430B">
        <w:rPr>
          <w:rFonts w:ascii="Simplified Arabic" w:hAnsi="Simplified Arabic" w:cs="Simplified Arabic"/>
          <w:b/>
          <w:bCs/>
          <w:sz w:val="24"/>
          <w:szCs w:val="24"/>
          <w:rtl/>
        </w:rPr>
        <w:t xml:space="preserve"> المكانية</w:t>
      </w:r>
    </w:p>
    <w:p w14:paraId="34824571" w14:textId="3D6F9EBE" w:rsidR="00EA3C4E" w:rsidRPr="00EA3C4E" w:rsidRDefault="00EA3C4E" w:rsidP="00EA3C4E">
      <w:pPr>
        <w:bidi/>
        <w:spacing w:line="360" w:lineRule="auto"/>
        <w:jc w:val="both"/>
        <w:rPr>
          <w:rFonts w:ascii="Simplified Arabic" w:hAnsi="Simplified Arabic" w:cs="Simplified Arabic"/>
          <w:sz w:val="24"/>
          <w:szCs w:val="24"/>
          <w:rtl/>
        </w:rPr>
      </w:pPr>
      <w:r>
        <w:rPr>
          <w:rFonts w:ascii="Simplified Arabic" w:hAnsi="Simplified Arabic" w:cs="Simplified Arabic" w:hint="eastAsia"/>
          <w:sz w:val="24"/>
          <w:szCs w:val="24"/>
          <w:rtl/>
        </w:rPr>
        <w:t>تُجري</w:t>
      </w:r>
      <w:r>
        <w:rPr>
          <w:rFonts w:ascii="Simplified Arabic" w:hAnsi="Simplified Arabic" w:cs="Simplified Arabic"/>
          <w:sz w:val="24"/>
          <w:szCs w:val="24"/>
          <w:rtl/>
        </w:rPr>
        <w:t xml:space="preserve"> الدراسة في مستشفيات القطاع الحكومي التابعة لوزارة الصحة في منطقة الجوف بالمملكة العربية السعودية، وتشمل المستشفيات الواقعة في المحافظات الخمس: سكاكا، دومة الجندل، </w:t>
      </w:r>
      <w:proofErr w:type="spellStart"/>
      <w:r>
        <w:rPr>
          <w:rFonts w:ascii="Simplified Arabic" w:hAnsi="Simplified Arabic" w:cs="Simplified Arabic"/>
          <w:sz w:val="24"/>
          <w:szCs w:val="24"/>
          <w:rtl/>
        </w:rPr>
        <w:t>صوير</w:t>
      </w:r>
      <w:proofErr w:type="spellEnd"/>
      <w:r>
        <w:rPr>
          <w:rFonts w:ascii="Simplified Arabic" w:hAnsi="Simplified Arabic" w:cs="Simplified Arabic"/>
          <w:sz w:val="24"/>
          <w:szCs w:val="24"/>
          <w:rtl/>
        </w:rPr>
        <w:t>، طبرجل، والقريات. وقد تم اختيار هذه المنطقة لكونها بيئة بحثية لم تحظَ بالاهتمام ا</w:t>
      </w:r>
      <w:r>
        <w:rPr>
          <w:rFonts w:ascii="Simplified Arabic" w:hAnsi="Simplified Arabic" w:cs="Simplified Arabic" w:hint="eastAsia"/>
          <w:sz w:val="24"/>
          <w:szCs w:val="24"/>
          <w:rtl/>
        </w:rPr>
        <w:t>لكافي</w:t>
      </w:r>
      <w:r>
        <w:rPr>
          <w:rFonts w:ascii="Simplified Arabic" w:hAnsi="Simplified Arabic" w:cs="Simplified Arabic"/>
          <w:sz w:val="24"/>
          <w:szCs w:val="24"/>
          <w:rtl/>
        </w:rPr>
        <w:t xml:space="preserve"> في الأدبيات السابقة، بما يثري المعرفة حول واقع السلامة في المناطق الطرفية. وبناءً على ذلك، فإن قابليّة تعميم النتائج قد تكون محدودة عند تطبيقها على مناطق أخرى أو قطاعات صحية غير حكومية مثل القطاع الخاص أو العسكري.</w:t>
      </w:r>
    </w:p>
    <w:p w14:paraId="4FBA6451" w14:textId="44F26922" w:rsidR="00EE32C9" w:rsidRPr="0011430B" w:rsidRDefault="00856F43" w:rsidP="00EE32C9">
      <w:pPr>
        <w:bidi/>
        <w:spacing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Pr>
        <w:lastRenderedPageBreak/>
        <w:t xml:space="preserve"> 9</w:t>
      </w:r>
      <w:r w:rsidR="00EE32C9" w:rsidRPr="0011430B">
        <w:rPr>
          <w:rFonts w:ascii="Simplified Arabic" w:hAnsi="Simplified Arabic" w:cs="Simplified Arabic"/>
          <w:b/>
          <w:bCs/>
          <w:sz w:val="24"/>
          <w:szCs w:val="24"/>
        </w:rPr>
        <w:t xml:space="preserve">.3 </w:t>
      </w:r>
      <w:r w:rsidR="00EE32C9" w:rsidRPr="0011430B">
        <w:rPr>
          <w:rFonts w:ascii="Simplified Arabic" w:hAnsi="Simplified Arabic" w:cs="Simplified Arabic"/>
          <w:b/>
          <w:bCs/>
          <w:sz w:val="24"/>
          <w:szCs w:val="24"/>
          <w:rtl/>
        </w:rPr>
        <w:t>الحدود الزمانية</w:t>
      </w:r>
    </w:p>
    <w:p w14:paraId="31E21C6A" w14:textId="459A873F" w:rsidR="007E63A2" w:rsidRPr="0011430B" w:rsidRDefault="007E63A2" w:rsidP="007E63A2">
      <w:pPr>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يقتصر الإطار الزمني للدراسة على عام 2026، وهو العام المحدد لجمع البيانات الميدانية. وتزامنُ هذه الفترة مع تنفيذ مبادرات وطنية في مجالات الجودة وسلامة المرضى قد يؤثر على مستوى إدراكات المشاركين. وعليه، تعكس النتائج هذه الفترة الزمنية تحديدًا، ولا يمكن افتراض ثبات العلاقات السببية عبر فترات زمنية مختلفة دون دراسات لاحقة.</w:t>
      </w:r>
    </w:p>
    <w:p w14:paraId="7B807CE1" w14:textId="77BF7EF7" w:rsidR="00EE32C9" w:rsidRPr="0011430B" w:rsidRDefault="00856F43" w:rsidP="00EE32C9">
      <w:pPr>
        <w:bidi/>
        <w:spacing w:line="360" w:lineRule="auto"/>
        <w:jc w:val="both"/>
        <w:rPr>
          <w:rFonts w:ascii="Simplified Arabic" w:hAnsi="Simplified Arabic" w:cs="Simplified Arabic"/>
          <w:b/>
          <w:bCs/>
          <w:sz w:val="24"/>
          <w:szCs w:val="24"/>
        </w:rPr>
      </w:pPr>
      <w:r>
        <w:rPr>
          <w:rFonts w:ascii="Simplified Arabic" w:hAnsi="Simplified Arabic" w:cs="Simplified Arabic"/>
          <w:b/>
          <w:bCs/>
          <w:sz w:val="24"/>
          <w:szCs w:val="24"/>
        </w:rPr>
        <w:t xml:space="preserve"> 9.4</w:t>
      </w:r>
      <w:r w:rsidR="00204C84" w:rsidRPr="0011430B">
        <w:rPr>
          <w:rFonts w:ascii="Simplified Arabic" w:hAnsi="Simplified Arabic" w:cs="Simplified Arabic"/>
          <w:b/>
          <w:bCs/>
          <w:sz w:val="24"/>
          <w:szCs w:val="24"/>
        </w:rPr>
        <w:t xml:space="preserve"> </w:t>
      </w:r>
      <w:r w:rsidR="00204C84">
        <w:rPr>
          <w:rFonts w:ascii="Simplified Arabic" w:hAnsi="Simplified Arabic" w:cs="Simplified Arabic" w:hint="cs"/>
          <w:b/>
          <w:bCs/>
          <w:sz w:val="24"/>
          <w:szCs w:val="24"/>
          <w:rtl/>
        </w:rPr>
        <w:t>الحدود</w:t>
      </w:r>
      <w:r w:rsidR="00EE32C9" w:rsidRPr="0011430B">
        <w:rPr>
          <w:rFonts w:ascii="Simplified Arabic" w:hAnsi="Simplified Arabic" w:cs="Simplified Arabic"/>
          <w:b/>
          <w:bCs/>
          <w:sz w:val="24"/>
          <w:szCs w:val="24"/>
          <w:rtl/>
        </w:rPr>
        <w:t xml:space="preserve"> البشرية</w:t>
      </w:r>
    </w:p>
    <w:p w14:paraId="10D2274F" w14:textId="3896A0F2" w:rsidR="00204C84" w:rsidRDefault="00204C84" w:rsidP="00204C84">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t>تستهدف الدراسة عينة من العاملين في المستشفيات الحكومية ضمن الفئات الآتية: الأطباء بمختلف تخصصاتهم، الممرضون والممرضات، فنيو الرعاية الصحية، والإداريون الصحيون. ويُستبعد من العينة العاملون في خدمات الدعم مثل النظافة والصيانة والأمن، نظرًا لاختلاف طبيعة مهامهم ودرجة انخراطهم في العمليات السريرية التي تؤثر مباشرة في سلامة المرضى.</w:t>
      </w:r>
    </w:p>
    <w:p w14:paraId="2835236C" w14:textId="5226937F" w:rsidR="00443F33" w:rsidRDefault="00856F43" w:rsidP="00204C84">
      <w:pPr>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9.5</w:t>
      </w:r>
      <w:r w:rsidR="00443F33" w:rsidRPr="0011430B">
        <w:rPr>
          <w:rFonts w:ascii="Simplified Arabic" w:hAnsi="Simplified Arabic" w:cs="Simplified Arabic"/>
          <w:b/>
          <w:bCs/>
          <w:sz w:val="24"/>
          <w:szCs w:val="24"/>
          <w:rtl/>
        </w:rPr>
        <w:t xml:space="preserve"> القيود على التعميم </w:t>
      </w:r>
      <w:r w:rsidR="0078042C" w:rsidRPr="0011430B">
        <w:rPr>
          <w:rFonts w:ascii="Simplified Arabic" w:hAnsi="Simplified Arabic" w:cs="Simplified Arabic"/>
          <w:b/>
          <w:bCs/>
          <w:sz w:val="24"/>
          <w:szCs w:val="24"/>
          <w:rtl/>
        </w:rPr>
        <w:t>وارتباطها</w:t>
      </w:r>
      <w:r w:rsidR="00443F33" w:rsidRPr="0011430B">
        <w:rPr>
          <w:rFonts w:ascii="Simplified Arabic" w:hAnsi="Simplified Arabic" w:cs="Simplified Arabic"/>
          <w:b/>
          <w:bCs/>
          <w:sz w:val="24"/>
          <w:szCs w:val="24"/>
          <w:rtl/>
        </w:rPr>
        <w:t xml:space="preserve"> </w:t>
      </w:r>
      <w:r w:rsidR="0078042C" w:rsidRPr="0011430B">
        <w:rPr>
          <w:rFonts w:ascii="Simplified Arabic" w:hAnsi="Simplified Arabic" w:cs="Simplified Arabic"/>
          <w:b/>
          <w:bCs/>
          <w:sz w:val="24"/>
          <w:szCs w:val="24"/>
          <w:rtl/>
        </w:rPr>
        <w:t>بالدراسة</w:t>
      </w:r>
    </w:p>
    <w:p w14:paraId="01D52135" w14:textId="1631A00F" w:rsidR="00983CFD" w:rsidRPr="0011430B" w:rsidRDefault="00856F43" w:rsidP="00983CFD">
      <w:pPr>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9.5.1 </w:t>
      </w:r>
      <w:r w:rsidR="00983CFD" w:rsidRPr="00983CFD">
        <w:rPr>
          <w:rFonts w:ascii="Simplified Arabic" w:hAnsi="Simplified Arabic" w:cs="Simplified Arabic"/>
          <w:b/>
          <w:bCs/>
          <w:sz w:val="24"/>
          <w:szCs w:val="24"/>
          <w:rtl/>
        </w:rPr>
        <w:t>القيود وإمكانية التعميم</w:t>
      </w:r>
    </w:p>
    <w:p w14:paraId="37F73C83" w14:textId="77777777" w:rsidR="007C375D" w:rsidRDefault="007C375D" w:rsidP="007C375D">
      <w:pPr>
        <w:bidi/>
        <w:spacing w:line="360" w:lineRule="auto"/>
        <w:jc w:val="both"/>
        <w:rPr>
          <w:rFonts w:ascii="Simplified Arabic" w:hAnsi="Simplified Arabic" w:cs="Simplified Arabic"/>
          <w:sz w:val="24"/>
          <w:szCs w:val="24"/>
          <w:rtl/>
        </w:rPr>
      </w:pPr>
      <w:r w:rsidRPr="007C375D">
        <w:rPr>
          <w:rFonts w:ascii="Simplified Arabic" w:hAnsi="Simplified Arabic" w:cs="Simplified Arabic"/>
          <w:b/>
          <w:bCs/>
          <w:sz w:val="24"/>
          <w:szCs w:val="24"/>
          <w:rtl/>
        </w:rPr>
        <w:t>تخضع إمكانية تعميم نتائج هذه الدراسة لعدد من القيود، من أبرزها ما يأتي</w:t>
      </w:r>
      <w:r w:rsidRPr="007C375D">
        <w:rPr>
          <w:rFonts w:ascii="Simplified Arabic" w:hAnsi="Simplified Arabic" w:cs="Simplified Arabic"/>
          <w:b/>
          <w:bCs/>
          <w:sz w:val="24"/>
          <w:szCs w:val="24"/>
        </w:rPr>
        <w:t>:</w:t>
      </w:r>
    </w:p>
    <w:p w14:paraId="1710E480" w14:textId="5E628FE0" w:rsidR="007C375D" w:rsidRDefault="007C375D">
      <w:pPr>
        <w:numPr>
          <w:ilvl w:val="0"/>
          <w:numId w:val="10"/>
        </w:numPr>
        <w:tabs>
          <w:tab w:val="num" w:pos="720"/>
        </w:tabs>
        <w:bidi/>
        <w:spacing w:line="360" w:lineRule="auto"/>
        <w:jc w:val="both"/>
        <w:rPr>
          <w:rFonts w:ascii="Simplified Arabic" w:hAnsi="Simplified Arabic" w:cs="Simplified Arabic"/>
          <w:sz w:val="24"/>
          <w:szCs w:val="24"/>
        </w:rPr>
      </w:pPr>
      <w:r w:rsidRPr="007C375D">
        <w:rPr>
          <w:rFonts w:ascii="Simplified Arabic" w:hAnsi="Simplified Arabic" w:cs="Simplified Arabic"/>
          <w:b/>
          <w:bCs/>
          <w:sz w:val="24"/>
          <w:szCs w:val="24"/>
          <w:rtl/>
        </w:rPr>
        <w:t>القيود المكانية والبشرية</w:t>
      </w:r>
      <w:r w:rsidRPr="007C375D">
        <w:rPr>
          <w:rFonts w:ascii="Simplified Arabic" w:hAnsi="Simplified Arabic" w:cs="Simplified Arabic"/>
          <w:b/>
          <w:bCs/>
          <w:sz w:val="24"/>
          <w:szCs w:val="24"/>
        </w:rPr>
        <w:t>:</w:t>
      </w:r>
      <w:r w:rsidRPr="007C375D">
        <w:rPr>
          <w:rFonts w:ascii="Simplified Arabic" w:hAnsi="Simplified Arabic" w:cs="Simplified Arabic"/>
          <w:sz w:val="24"/>
          <w:szCs w:val="24"/>
        </w:rPr>
        <w:t> </w:t>
      </w:r>
      <w:r>
        <w:rPr>
          <w:rFonts w:ascii="Simplified Arabic" w:hAnsi="Simplified Arabic" w:cs="Simplified Arabic"/>
          <w:sz w:val="24"/>
          <w:szCs w:val="24"/>
          <w:rtl/>
        </w:rPr>
        <w:t xml:space="preserve">النتائج تقتصر على مستشفيات القطاع الحكومي في منطقة الجوف والعاملين الصحيين والإداريين هناك، ولا يمكن تعميمها على مستشفيات القطاع </w:t>
      </w:r>
      <w:r w:rsidR="00B74258">
        <w:rPr>
          <w:rFonts w:ascii="Simplified Arabic" w:hAnsi="Simplified Arabic" w:cs="Simplified Arabic" w:hint="cs"/>
          <w:sz w:val="24"/>
          <w:szCs w:val="24"/>
          <w:rtl/>
        </w:rPr>
        <w:t>الخاص</w:t>
      </w:r>
      <w:r w:rsidR="00B74258">
        <w:rPr>
          <w:rFonts w:ascii="Simplified Arabic" w:hAnsi="Simplified Arabic" w:cs="Simplified Arabic" w:hint="eastAsia"/>
          <w:sz w:val="24"/>
          <w:szCs w:val="24"/>
          <w:rtl/>
        </w:rPr>
        <w:t>،</w:t>
      </w:r>
      <w:r>
        <w:rPr>
          <w:rFonts w:ascii="Simplified Arabic" w:hAnsi="Simplified Arabic" w:cs="Simplified Arabic"/>
          <w:sz w:val="24"/>
          <w:szCs w:val="24"/>
          <w:rtl/>
        </w:rPr>
        <w:t xml:space="preserve"> أو </w:t>
      </w:r>
      <w:r w:rsidR="00076824">
        <w:rPr>
          <w:rFonts w:ascii="Simplified Arabic" w:hAnsi="Simplified Arabic" w:cs="Simplified Arabic" w:hint="cs"/>
          <w:sz w:val="24"/>
          <w:szCs w:val="24"/>
          <w:rtl/>
        </w:rPr>
        <w:t xml:space="preserve">المستشفيات </w:t>
      </w:r>
      <w:proofErr w:type="gramStart"/>
      <w:r w:rsidR="00076824">
        <w:rPr>
          <w:rFonts w:ascii="Simplified Arabic" w:hAnsi="Simplified Arabic" w:cs="Simplified Arabic" w:hint="cs"/>
          <w:sz w:val="24"/>
          <w:szCs w:val="24"/>
          <w:rtl/>
        </w:rPr>
        <w:t xml:space="preserve">التخصصية </w:t>
      </w:r>
      <w:r w:rsidR="00076824">
        <w:rPr>
          <w:rFonts w:ascii="Simplified Arabic" w:hAnsi="Simplified Arabic" w:cs="Simplified Arabic" w:hint="eastAsia"/>
          <w:sz w:val="24"/>
          <w:szCs w:val="24"/>
          <w:rtl/>
        </w:rPr>
        <w:t>،</w:t>
      </w:r>
      <w:r>
        <w:rPr>
          <w:rFonts w:ascii="Simplified Arabic" w:hAnsi="Simplified Arabic" w:cs="Simplified Arabic"/>
          <w:sz w:val="24"/>
          <w:szCs w:val="24"/>
          <w:rtl/>
        </w:rPr>
        <w:t>أو</w:t>
      </w:r>
      <w:proofErr w:type="gramEnd"/>
      <w:r>
        <w:rPr>
          <w:rFonts w:ascii="Simplified Arabic" w:hAnsi="Simplified Arabic" w:cs="Simplified Arabic"/>
          <w:sz w:val="24"/>
          <w:szCs w:val="24"/>
          <w:rtl/>
        </w:rPr>
        <w:t xml:space="preserve"> </w:t>
      </w:r>
      <w:proofErr w:type="gramStart"/>
      <w:r>
        <w:rPr>
          <w:rFonts w:ascii="Simplified Arabic" w:hAnsi="Simplified Arabic" w:cs="Simplified Arabic"/>
          <w:sz w:val="24"/>
          <w:szCs w:val="24"/>
          <w:rtl/>
        </w:rPr>
        <w:t>العسكرية</w:t>
      </w:r>
      <w:proofErr w:type="gramEnd"/>
      <w:r>
        <w:rPr>
          <w:rFonts w:ascii="Simplified Arabic" w:hAnsi="Simplified Arabic" w:cs="Simplified Arabic"/>
          <w:sz w:val="24"/>
          <w:szCs w:val="24"/>
          <w:rtl/>
        </w:rPr>
        <w:t xml:space="preserve"> أو مراكز الرعاية الأولية، بسبب اختلاف الهياكل الإدارية والثقافة التنظيمية وأنماط القيادة.</w:t>
      </w:r>
    </w:p>
    <w:p w14:paraId="30745A9A" w14:textId="2FA3B381" w:rsidR="00983CFD" w:rsidRDefault="007C375D">
      <w:pPr>
        <w:numPr>
          <w:ilvl w:val="0"/>
          <w:numId w:val="10"/>
        </w:numPr>
        <w:tabs>
          <w:tab w:val="num" w:pos="720"/>
        </w:tabs>
        <w:bidi/>
        <w:spacing w:line="360" w:lineRule="auto"/>
        <w:jc w:val="both"/>
        <w:rPr>
          <w:rFonts w:ascii="Simplified Arabic" w:hAnsi="Simplified Arabic" w:cs="Simplified Arabic"/>
          <w:sz w:val="24"/>
          <w:szCs w:val="24"/>
        </w:rPr>
      </w:pPr>
      <w:r w:rsidRPr="007C375D">
        <w:rPr>
          <w:rFonts w:ascii="Simplified Arabic" w:hAnsi="Simplified Arabic" w:cs="Simplified Arabic"/>
          <w:b/>
          <w:bCs/>
          <w:sz w:val="24"/>
          <w:szCs w:val="24"/>
          <w:rtl/>
        </w:rPr>
        <w:t>القيود المنهجية</w:t>
      </w:r>
      <w:r w:rsidRPr="007C375D">
        <w:rPr>
          <w:rFonts w:ascii="Simplified Arabic" w:hAnsi="Simplified Arabic" w:cs="Simplified Arabic"/>
          <w:b/>
          <w:bCs/>
          <w:sz w:val="24"/>
          <w:szCs w:val="24"/>
        </w:rPr>
        <w:t>:</w:t>
      </w:r>
      <w:r w:rsidRPr="007C375D">
        <w:rPr>
          <w:rFonts w:ascii="Simplified Arabic" w:hAnsi="Simplified Arabic" w:cs="Simplified Arabic"/>
          <w:sz w:val="24"/>
          <w:szCs w:val="24"/>
        </w:rPr>
        <w:t> </w:t>
      </w:r>
      <w:r>
        <w:rPr>
          <w:rFonts w:ascii="Simplified Arabic" w:hAnsi="Simplified Arabic" w:cs="Simplified Arabic"/>
          <w:sz w:val="24"/>
          <w:szCs w:val="24"/>
          <w:rtl/>
        </w:rPr>
        <w:t>تعتمد الدراسة على بيانات ذاتية الإبلاغ (</w:t>
      </w:r>
      <w:r>
        <w:rPr>
          <w:rFonts w:ascii="Simplified Arabic" w:hAnsi="Simplified Arabic" w:cs="Simplified Arabic"/>
          <w:sz w:val="24"/>
          <w:szCs w:val="24"/>
        </w:rPr>
        <w:t>Self-Reported Data</w:t>
      </w:r>
      <w:r>
        <w:rPr>
          <w:rFonts w:ascii="Simplified Arabic" w:hAnsi="Simplified Arabic" w:cs="Simplified Arabic"/>
          <w:sz w:val="24"/>
          <w:szCs w:val="24"/>
          <w:rtl/>
        </w:rPr>
        <w:t>)، مما يجعلها عرضة لتحيز الرغبة الاجتماعية وتحفظ المستجيبين، وهو ما قد يؤثر على دقة قياس بعض سلوكيات السلامة ويحد من قوة تعميم النتائج دون الاستعانة ببيانات موضوعية مكمِّلة.</w:t>
      </w:r>
    </w:p>
    <w:p w14:paraId="288BD0E1" w14:textId="1BDC8F04" w:rsidR="00443F33" w:rsidRPr="00983CFD" w:rsidRDefault="00856F43" w:rsidP="00983CFD">
      <w:pPr>
        <w:bidi/>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9</w:t>
      </w:r>
      <w:r w:rsidR="00983CFD" w:rsidRPr="00983CFD">
        <w:rPr>
          <w:rFonts w:ascii="Simplified Arabic" w:hAnsi="Simplified Arabic" w:cs="Simplified Arabic" w:hint="cs"/>
          <w:b/>
          <w:bCs/>
          <w:sz w:val="24"/>
          <w:szCs w:val="24"/>
          <w:rtl/>
        </w:rPr>
        <w:t xml:space="preserve">.5.2 </w:t>
      </w:r>
      <w:r w:rsidR="00983CFD" w:rsidRPr="00983CFD">
        <w:rPr>
          <w:rFonts w:ascii="Simplified Arabic" w:hAnsi="Simplified Arabic" w:cs="Simplified Arabic"/>
          <w:b/>
          <w:bCs/>
          <w:sz w:val="24"/>
          <w:szCs w:val="24"/>
          <w:rtl/>
        </w:rPr>
        <w:t>ربط القيود بعنوان الدراسة</w:t>
      </w:r>
    </w:p>
    <w:p w14:paraId="649165BC" w14:textId="77777777" w:rsidR="00983CFD" w:rsidRDefault="00983CFD" w:rsidP="00983CFD">
      <w:pPr>
        <w:bidi/>
        <w:spacing w:line="360" w:lineRule="auto"/>
        <w:rPr>
          <w:rFonts w:ascii="Simplified Arabic" w:hAnsi="Simplified Arabic" w:cs="Simplified Arabic"/>
          <w:sz w:val="24"/>
          <w:szCs w:val="24"/>
          <w:rtl/>
        </w:rPr>
      </w:pPr>
      <w:r w:rsidRPr="00983CFD">
        <w:rPr>
          <w:rFonts w:ascii="Simplified Arabic" w:hAnsi="Simplified Arabic" w:cs="Simplified Arabic"/>
          <w:sz w:val="24"/>
          <w:szCs w:val="24"/>
          <w:rtl/>
        </w:rPr>
        <w:t>تسهم هذه الحدود في توضيح إطار عنوان الدراسة؛ فهي تؤكد أن البحث</w:t>
      </w:r>
      <w:r w:rsidRPr="00983CFD">
        <w:rPr>
          <w:rFonts w:ascii="Simplified Arabic" w:hAnsi="Simplified Arabic" w:cs="Simplified Arabic"/>
          <w:sz w:val="24"/>
          <w:szCs w:val="24"/>
        </w:rPr>
        <w:t>:</w:t>
      </w:r>
    </w:p>
    <w:p w14:paraId="37722581" w14:textId="77777777"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موضوعيًا: </w:t>
      </w:r>
      <w:r w:rsidRPr="0014527A">
        <w:rPr>
          <w:rFonts w:ascii="Simplified Arabic" w:hAnsi="Simplified Arabic" w:cs="Simplified Arabic"/>
          <w:sz w:val="24"/>
          <w:szCs w:val="24"/>
          <w:rtl/>
        </w:rPr>
        <w:t>دراسة تحليلية للعلاقات المعقدة بين القيادة التحويلية، وثقافة سلامة المرضى، وسلوكيات السلامة، والأحداث الضارة ضمن نموذج وساطة متسلسلة محدد.</w:t>
      </w:r>
      <w:r>
        <w:rPr>
          <w:rFonts w:ascii="Simplified Arabic" w:hAnsi="Simplified Arabic" w:cs="Simplified Arabic"/>
          <w:b/>
          <w:bCs/>
          <w:sz w:val="24"/>
          <w:szCs w:val="24"/>
          <w:rtl/>
        </w:rPr>
        <w:t xml:space="preserve"> </w:t>
      </w:r>
    </w:p>
    <w:p w14:paraId="248B7A5A" w14:textId="086836DB"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مكانيًا: </w:t>
      </w:r>
      <w:r w:rsidRPr="0014527A">
        <w:rPr>
          <w:rFonts w:ascii="Simplified Arabic" w:hAnsi="Simplified Arabic" w:cs="Simplified Arabic"/>
          <w:sz w:val="24"/>
          <w:szCs w:val="24"/>
          <w:rtl/>
        </w:rPr>
        <w:t>محصور في مستشفيات القطاع الحكومي في منطقة الجوف كما يرد في العنوان.</w:t>
      </w:r>
    </w:p>
    <w:p w14:paraId="6F317933" w14:textId="15E18998"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lastRenderedPageBreak/>
        <w:t xml:space="preserve">  بشريًا: </w:t>
      </w:r>
      <w:r w:rsidRPr="0014527A">
        <w:rPr>
          <w:rFonts w:ascii="Simplified Arabic" w:hAnsi="Simplified Arabic" w:cs="Simplified Arabic"/>
          <w:sz w:val="24"/>
          <w:szCs w:val="24"/>
          <w:rtl/>
        </w:rPr>
        <w:t>موجه إلى الممارسين الصحيين والإداريين بوصفهم الفاعلين الرئيسين في تطبيق ممارسات سلامة المرضى والقيادة داخل هذه المستشفيات.</w:t>
      </w:r>
    </w:p>
    <w:p w14:paraId="29BC65A7" w14:textId="47B4475F" w:rsidR="00615235" w:rsidRPr="0011430B" w:rsidRDefault="00856F43" w:rsidP="0061523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10</w:t>
      </w:r>
      <w:r w:rsidR="00615235" w:rsidRPr="0011430B">
        <w:rPr>
          <w:rFonts w:ascii="Simplified Arabic" w:hAnsi="Simplified Arabic" w:cs="Simplified Arabic"/>
          <w:b/>
          <w:bCs/>
          <w:sz w:val="24"/>
          <w:szCs w:val="24"/>
          <w:rtl/>
        </w:rPr>
        <w:t xml:space="preserve">. الإطار المنهجي للدراسة </w:t>
      </w:r>
    </w:p>
    <w:p w14:paraId="037B6E52" w14:textId="77777777" w:rsidR="008C5214" w:rsidRDefault="008C5214" w:rsidP="008C5214">
      <w:pPr>
        <w:bidi/>
        <w:spacing w:line="360" w:lineRule="auto"/>
        <w:rPr>
          <w:rFonts w:ascii="Simplified Arabic" w:hAnsi="Simplified Arabic" w:cs="Simplified Arabic"/>
          <w:b/>
          <w:bCs/>
          <w:sz w:val="24"/>
          <w:szCs w:val="24"/>
          <w:rtl/>
        </w:rPr>
      </w:pPr>
      <w:r w:rsidRPr="008C5214">
        <w:rPr>
          <w:rFonts w:ascii="Simplified Arabic" w:hAnsi="Simplified Arabic" w:cs="Simplified Arabic"/>
          <w:sz w:val="24"/>
          <w:szCs w:val="24"/>
          <w:rtl/>
        </w:rPr>
        <w:t xml:space="preserve">تتبنى هذه الدراسة إطارًا منهجيًا كميًا تحليليًا يهدف إلى فحص العلاقات السببية </w:t>
      </w:r>
      <w:proofErr w:type="spellStart"/>
      <w:r w:rsidRPr="008C5214">
        <w:rPr>
          <w:rFonts w:ascii="Simplified Arabic" w:hAnsi="Simplified Arabic" w:cs="Simplified Arabic"/>
          <w:sz w:val="24"/>
          <w:szCs w:val="24"/>
          <w:rtl/>
        </w:rPr>
        <w:t>والوسيطية</w:t>
      </w:r>
      <w:proofErr w:type="spellEnd"/>
      <w:r w:rsidRPr="008C5214">
        <w:rPr>
          <w:rFonts w:ascii="Simplified Arabic" w:hAnsi="Simplified Arabic" w:cs="Simplified Arabic"/>
          <w:sz w:val="24"/>
          <w:szCs w:val="24"/>
          <w:rtl/>
        </w:rPr>
        <w:t xml:space="preserve"> بين متغيرات النموذج المقترح، اعتمادًا على استبيانات مقننة وتحليل إحصائي متقدم</w:t>
      </w:r>
      <w:r w:rsidRPr="008C5214">
        <w:rPr>
          <w:rFonts w:ascii="Simplified Arabic" w:hAnsi="Simplified Arabic" w:cs="Simplified Arabic"/>
          <w:sz w:val="24"/>
          <w:szCs w:val="24"/>
        </w:rPr>
        <w:t>.</w:t>
      </w:r>
    </w:p>
    <w:p w14:paraId="386DC5EC" w14:textId="0DD2D884" w:rsidR="00615235" w:rsidRPr="0011430B" w:rsidRDefault="00856F43" w:rsidP="008C5214">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10.1 </w:t>
      </w:r>
      <w:r w:rsidR="00615235" w:rsidRPr="0011430B">
        <w:rPr>
          <w:rFonts w:ascii="Simplified Arabic" w:hAnsi="Simplified Arabic" w:cs="Simplified Arabic"/>
          <w:b/>
          <w:bCs/>
          <w:sz w:val="24"/>
          <w:szCs w:val="24"/>
          <w:rtl/>
        </w:rPr>
        <w:t>الأساليب والطرق البحثية</w:t>
      </w:r>
    </w:p>
    <w:p w14:paraId="7809DA38" w14:textId="265CB285" w:rsidR="00615235" w:rsidRPr="0011430B"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1. المنهج البحثي (</w:t>
      </w:r>
      <w:r w:rsidRPr="0011430B">
        <w:rPr>
          <w:rFonts w:ascii="Simplified Arabic" w:hAnsi="Simplified Arabic" w:cs="Simplified Arabic"/>
          <w:b/>
          <w:bCs/>
          <w:sz w:val="24"/>
          <w:szCs w:val="24"/>
        </w:rPr>
        <w:t>Research Approach</w:t>
      </w:r>
      <w:r w:rsidRPr="0011430B">
        <w:rPr>
          <w:rFonts w:ascii="Simplified Arabic" w:hAnsi="Simplified Arabic" w:cs="Simplified Arabic"/>
          <w:b/>
          <w:bCs/>
          <w:sz w:val="24"/>
          <w:szCs w:val="24"/>
          <w:rtl/>
        </w:rPr>
        <w:t>)</w:t>
      </w:r>
    </w:p>
    <w:p w14:paraId="718C7F6F" w14:textId="00457859" w:rsidR="00EA171F" w:rsidRPr="00EA171F" w:rsidRDefault="00EA171F" w:rsidP="001E1AD8">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المنهج المستخدم هو المنهج الوصفي التحليلي الكمي (</w:t>
      </w:r>
      <w:r>
        <w:rPr>
          <w:rFonts w:ascii="Simplified Arabic" w:hAnsi="Simplified Arabic" w:cs="Simplified Arabic"/>
          <w:sz w:val="24"/>
          <w:szCs w:val="24"/>
        </w:rPr>
        <w:t>Quantitative Descriptive-Analytical Approach</w:t>
      </w:r>
      <w:r>
        <w:rPr>
          <w:rFonts w:ascii="Simplified Arabic" w:hAnsi="Simplified Arabic" w:cs="Simplified Arabic"/>
          <w:sz w:val="24"/>
          <w:szCs w:val="24"/>
          <w:rtl/>
        </w:rPr>
        <w:t xml:space="preserve">)، لأنه يتناسب مع أهداف الدراسة التي تركز على قياس مدى وعي الممارسين الصحيين بالقيادة التحويلية، ثقافة سلامة المرضى، سلوكيات السلامة، والأحداث الضارة. كما يُمكن هذا المنهج من اختبار كيفية تأثير القيادة التحويلية على تقليل الأحداث الضارة عبر </w:t>
      </w:r>
      <w:r w:rsidR="001E1AD8" w:rsidRPr="001E1AD8">
        <w:rPr>
          <w:rFonts w:ascii="Simplified Arabic" w:hAnsi="Simplified Arabic" w:cs="Simplified Arabic"/>
          <w:b/>
          <w:bCs/>
          <w:sz w:val="24"/>
          <w:szCs w:val="24"/>
          <w:rtl/>
        </w:rPr>
        <w:t>الوساطة المتسلسلة</w:t>
      </w:r>
      <w:r>
        <w:rPr>
          <w:rFonts w:ascii="Simplified Arabic" w:hAnsi="Simplified Arabic" w:cs="Simplified Arabic"/>
          <w:sz w:val="24"/>
          <w:szCs w:val="24"/>
          <w:rtl/>
        </w:rPr>
        <w:t xml:space="preserve"> لثقافة سلامة المرضى وسلوكيات السلامة باستخدام نمذجة المعادلات الهيكلية (</w:t>
      </w:r>
      <w:r>
        <w:rPr>
          <w:rFonts w:ascii="Simplified Arabic" w:hAnsi="Simplified Arabic" w:cs="Simplified Arabic"/>
          <w:sz w:val="24"/>
          <w:szCs w:val="24"/>
        </w:rPr>
        <w:t>SEM</w:t>
      </w:r>
      <w:r>
        <w:rPr>
          <w:rFonts w:ascii="Simplified Arabic" w:hAnsi="Simplified Arabic" w:cs="Simplified Arabic"/>
          <w:sz w:val="24"/>
          <w:szCs w:val="24"/>
          <w:rtl/>
        </w:rPr>
        <w:t>).</w:t>
      </w:r>
    </w:p>
    <w:p w14:paraId="62F609F8" w14:textId="04FB8685" w:rsidR="00615235"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2. أداة جمع البيانات</w:t>
      </w:r>
    </w:p>
    <w:p w14:paraId="015023DF" w14:textId="56B4F372" w:rsidR="00EA171F" w:rsidRPr="00EA171F" w:rsidRDefault="00EA171F" w:rsidP="00EA171F">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الأداة الأساسية لجمع البيانات هي الاستبانة المغلقة، لأنها توفر توحيدًا كميًا للاستجابات وتسهّل التحليل الإحصائي. صُمّمت لتشمل أقسامًا تقيس كل من متغيرات الدراسة الأربعة باستخدام مقياس </w:t>
      </w:r>
      <w:proofErr w:type="spellStart"/>
      <w:r>
        <w:rPr>
          <w:rFonts w:ascii="Simplified Arabic" w:hAnsi="Simplified Arabic" w:cs="Simplified Arabic"/>
          <w:sz w:val="24"/>
          <w:szCs w:val="24"/>
          <w:rtl/>
        </w:rPr>
        <w:t>ليكرت</w:t>
      </w:r>
      <w:proofErr w:type="spellEnd"/>
      <w:r>
        <w:rPr>
          <w:rFonts w:ascii="Simplified Arabic" w:hAnsi="Simplified Arabic" w:cs="Simplified Arabic"/>
          <w:sz w:val="24"/>
          <w:szCs w:val="24"/>
          <w:rtl/>
        </w:rPr>
        <w:t xml:space="preserve"> الخماسي لدرجات الاتفاق، مما يضمن دقة القياس وسهولة المقارنة.</w:t>
      </w:r>
    </w:p>
    <w:p w14:paraId="6E9E8EAB" w14:textId="686073CF" w:rsidR="00615235" w:rsidRPr="0011430B" w:rsidRDefault="00856F43" w:rsidP="0061523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10.2</w:t>
      </w:r>
      <w:r w:rsidR="00615235" w:rsidRPr="0011430B">
        <w:rPr>
          <w:rFonts w:ascii="Simplified Arabic" w:hAnsi="Simplified Arabic" w:cs="Simplified Arabic"/>
          <w:b/>
          <w:bCs/>
          <w:sz w:val="24"/>
          <w:szCs w:val="24"/>
          <w:rtl/>
        </w:rPr>
        <w:t xml:space="preserve"> مجتمع وعينة الدراسة</w:t>
      </w:r>
    </w:p>
    <w:p w14:paraId="1F2EC100" w14:textId="4EEC6EC5" w:rsidR="00394424" w:rsidRPr="0011430B" w:rsidRDefault="00394424" w:rsidP="00394424">
      <w:pPr>
        <w:tabs>
          <w:tab w:val="num" w:pos="720"/>
        </w:tabs>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1.مجتمع الدراسة</w:t>
      </w:r>
    </w:p>
    <w:p w14:paraId="272E8065" w14:textId="7BE5B2CF" w:rsidR="00353A13" w:rsidRPr="0011430B" w:rsidRDefault="00353A13" w:rsidP="00353A13">
      <w:pPr>
        <w:bidi/>
        <w:spacing w:line="360" w:lineRule="auto"/>
        <w:rPr>
          <w:rFonts w:ascii="Simplified Arabic" w:hAnsi="Simplified Arabic" w:cs="Simplified Arabic"/>
          <w:sz w:val="24"/>
          <w:szCs w:val="24"/>
        </w:rPr>
      </w:pPr>
      <w:r>
        <w:rPr>
          <w:rFonts w:ascii="Simplified Arabic" w:hAnsi="Simplified Arabic" w:cs="Simplified Arabic"/>
          <w:sz w:val="24"/>
          <w:szCs w:val="24"/>
          <w:rtl/>
        </w:rPr>
        <w:t>يشمل مجتمع الدراسة جميع العاملين الصحيين والإداريين الذين لهم دور مباشر في سلامة المرضى والقيادة داخل مستشفيات القطاع الحكومي في منطقة الجوف. وتم اختيار هذا المجتمع نظرًا لتعرضه المباشر لتأثيرات القيادة التحويلية وثقافة سلامة المرضى، وكذلك مسؤوليتهم الأساسية عن تطبيق ممارسات السلامة وتقليل الأحداث الضارة.</w:t>
      </w:r>
    </w:p>
    <w:p w14:paraId="548B7B6F" w14:textId="69C4D263"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2.عينة الدراسة</w:t>
      </w:r>
    </w:p>
    <w:p w14:paraId="060B374E" w14:textId="77777777"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أ. طريقة الاختيار</w:t>
      </w:r>
      <w:r w:rsidRPr="0011430B">
        <w:rPr>
          <w:rFonts w:ascii="Simplified Arabic" w:hAnsi="Simplified Arabic" w:cs="Simplified Arabic"/>
          <w:b/>
          <w:bCs/>
          <w:sz w:val="24"/>
          <w:szCs w:val="24"/>
        </w:rPr>
        <w:t>:</w:t>
      </w:r>
    </w:p>
    <w:p w14:paraId="1CD18036" w14:textId="6EFBB7F3" w:rsidR="00E17549" w:rsidRPr="0011430B" w:rsidRDefault="00E17549" w:rsidP="00E17549">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سيتم استخدام العينة الطبقية العشوائية لضمان تمثيل الفئات المهنية الرئيسية (الأطباء، التمريض، الإداريون الصحيون، المهن الصحية المساندة) وفق نسبها الفعلية في المستشفيات الحكومية بمنطقة الجوف، بما يقلل من التحيز ويعزز إمكانية تعميم النتائج داخل الإطار المحدد.</w:t>
      </w:r>
    </w:p>
    <w:p w14:paraId="225C7524" w14:textId="77777777"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ب. تحديد حجم العينة</w:t>
      </w:r>
      <w:r w:rsidRPr="0011430B">
        <w:rPr>
          <w:rFonts w:ascii="Simplified Arabic" w:hAnsi="Simplified Arabic" w:cs="Simplified Arabic"/>
          <w:b/>
          <w:bCs/>
          <w:sz w:val="24"/>
          <w:szCs w:val="24"/>
        </w:rPr>
        <w:t>:</w:t>
      </w:r>
    </w:p>
    <w:p w14:paraId="641009A6" w14:textId="54D79DFF" w:rsidR="0074528E" w:rsidRDefault="0074528E" w:rsidP="00E17549">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يعتمد تحديد حجم العينة على متطلبات نمذجة المعادلات الهيكلية (</w:t>
      </w:r>
      <w:r>
        <w:rPr>
          <w:rFonts w:ascii="Simplified Arabic" w:hAnsi="Simplified Arabic" w:cs="Simplified Arabic"/>
          <w:sz w:val="24"/>
          <w:szCs w:val="24"/>
        </w:rPr>
        <w:t>SEM</w:t>
      </w:r>
      <w:r>
        <w:rPr>
          <w:rFonts w:ascii="Simplified Arabic" w:hAnsi="Simplified Arabic" w:cs="Simplified Arabic"/>
          <w:sz w:val="24"/>
          <w:szCs w:val="24"/>
          <w:rtl/>
        </w:rPr>
        <w:t xml:space="preserve">)، التي تستلزم حجمًا كافيًا لضمان استقرار التقديرات واختبار جودة ملاءمة النموذج. وفقًا لـ </w:t>
      </w: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sz w:val="24"/>
          <w:szCs w:val="24"/>
        </w:rPr>
        <w:instrText>ADDIN EN.CITE &lt;EndNote&gt;&lt;Cite AuthorYear="1"&gt;&lt;Author&gt;Hair&lt;/Author&gt;&lt;Year&gt;2019&lt;/Year&gt;&lt;RecNum&gt;257&lt;/RecNum&gt;&lt;DisplayText&gt;Hair et al. (2019)&lt;/DisplayText&gt;&lt;record&gt;&lt;rec-number&gt;257&lt;/rec-number&gt;&lt;foreign-keys&gt;&lt;key app="EN" db-id="02retxxrerxdxhe9aphvs0z2t9z25p0ew99s</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Pr>
        <w:instrText>timestamp="1765544659"&gt;257&lt;/key&gt;&lt;/foreign-keys&gt;&lt;ref-type name="Journal Article"&gt;17&lt;/ref-type&gt;&lt;contributors&gt;&lt;authors&gt;&lt;author&gt;Hair, Joseph F.&lt;/author&gt;&lt;author&gt;Risher, Jeffrey J.&lt;/author&gt;&lt;author&gt;Sarstedt, Marko&lt;/author&gt;&lt;author&gt;Ringle, Christian M.&lt;/author</w:instrText>
      </w:r>
      <w:r>
        <w:rPr>
          <w:rFonts w:ascii="Simplified Arabic" w:hAnsi="Simplified Arabic" w:cs="Simplified Arabic"/>
          <w:sz w:val="24"/>
          <w:szCs w:val="24"/>
          <w:rtl/>
        </w:rPr>
        <w:instrText>&gt;&lt;/</w:instrText>
      </w:r>
      <w:r>
        <w:rPr>
          <w:rFonts w:ascii="Simplified Arabic" w:hAnsi="Simplified Arabic" w:cs="Simplified Arabic"/>
          <w:sz w:val="24"/>
          <w:szCs w:val="24"/>
        </w:rPr>
        <w:instrText>authors&gt;&lt;/contributors&gt;&lt;titles&gt;&lt;title&gt;When to use and how to report the results of PLS-SEM&lt;/title&gt;&lt;secondary-title&gt;European Business Review&lt;/secondary-title&gt;&lt;/titles&gt;&lt;periodical&gt;&lt;full-title&gt;European Business Review&lt;/full-title&gt;&lt;/periodical&gt;&lt;pages&gt;2-24&lt;/pages&gt;&lt;volume&gt;31&lt;/volume&gt;&lt;number&gt;1&lt;/number&gt;&lt;section&gt;2&lt;/section&gt;&lt;dates&gt;&lt;year&gt;2019&lt;/year&gt;&lt;/dates&gt;&lt;isbn&gt;0955-534X&lt;/isbn&gt;&lt;urls&gt;&lt;related-urls&gt;&lt;url&gt;https://doi.org/10.1108/EBR-11-2018-0203&lt;/url&gt;&lt;/related-urls&gt;&lt;/urls&gt;&lt;electronic-resource-num&gt;10.1108/ebr-11-2018-0</w:instrText>
      </w:r>
      <w:r>
        <w:rPr>
          <w:rFonts w:ascii="Simplified Arabic" w:hAnsi="Simplified Arabic" w:cs="Simplified Arabic"/>
          <w:sz w:val="24"/>
          <w:szCs w:val="24"/>
          <w:rtl/>
        </w:rPr>
        <w:instrText>203&lt;/</w:instrText>
      </w:r>
      <w:r>
        <w:rPr>
          <w:rFonts w:ascii="Simplified Arabic" w:hAnsi="Simplified Arabic" w:cs="Simplified Arabic"/>
          <w:sz w:val="24"/>
          <w:szCs w:val="24"/>
        </w:rPr>
        <w:instrText>electronic-resource-num&gt;&lt;access-date&gt;12/12/2025&lt;/access-date&gt;&lt;/record&gt;&lt;/Cite&gt;&lt;/EndNote</w:instrText>
      </w:r>
      <w:r>
        <w:rPr>
          <w:rFonts w:ascii="Simplified Arabic" w:hAnsi="Simplified Arabic" w:cs="Simplified Arabic"/>
          <w:sz w:val="24"/>
          <w:szCs w:val="24"/>
          <w:rtl/>
        </w:rPr>
        <w:instrText>&gt;</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Pr>
        <w:t>Hair et al</w:t>
      </w:r>
      <w:r>
        <w:rPr>
          <w:rFonts w:ascii="Simplified Arabic" w:hAnsi="Simplified Arabic" w:cs="Simplified Arabic"/>
          <w:noProof/>
          <w:sz w:val="24"/>
          <w:szCs w:val="24"/>
          <w:rtl/>
        </w:rPr>
        <w:t>. (2019)</w:t>
      </w:r>
      <w:r>
        <w:rPr>
          <w:rFonts w:ascii="Simplified Arabic" w:hAnsi="Simplified Arabic" w:cs="Simplified Arabic"/>
          <w:sz w:val="24"/>
          <w:szCs w:val="24"/>
          <w:rtl/>
        </w:rPr>
        <w:fldChar w:fldCharType="end"/>
      </w:r>
      <w:r>
        <w:rPr>
          <w:rFonts w:ascii="Simplified Arabic" w:hAnsi="Simplified Arabic" w:cs="Simplified Arabic"/>
          <w:sz w:val="24"/>
          <w:szCs w:val="24"/>
          <w:rtl/>
        </w:rPr>
        <w:t xml:space="preserve">، يُعد 200 مفحوص حدًّا أدنى، بينما يُوصى عمليًا بما بين 300 و400 حالة لزيادة موثوقية النتائج. غير أن هذه الدراسة تستهدف 600 مشارك، وذلك لاعتبارات منهجية ثلاثة: أولاً، يشتمل النموذج الهيكلي على أربع متغيرات كامنة تتكون كل منها من أبعاد متعددة، مما يرفع عدد المعاملات المقدَّرة إلى ما بين 50 و60 معاملًا، وهو ما يستلزم وفق قاعدة </w:t>
      </w:r>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sz w:val="24"/>
          <w:szCs w:val="24"/>
        </w:rPr>
        <w:instrText>ADDIN EN.CITE &lt;EndNote&gt;&lt;Cite AuthorYear="1"&gt;&lt;Author&gt;Kline&lt;/Author&gt;&lt;Year&gt;2023&lt;/Year&gt;&lt;RecNum&gt;258&lt;/RecNum&gt;&lt;DisplayText&gt;Kline (2023)&lt;/DisplayText&gt;&lt;record&gt;&lt;rec-number&gt;258&lt;/rec-number&gt;&lt;foreign-keys&gt;&lt;key app="EN" db-id="02retxxrerxdxhe9aphvs0z2t9z25p0ew99s" timestamp="1765544823"&gt;258&lt;/key&gt;&lt;/foreign-keys&gt;&lt;ref-type name="Book"&gt;6&lt;/ref-type&gt;&lt;contributors&gt;&lt;authors&gt;&lt;author&gt;Kline, Rex B&lt;/author&gt;&lt;/authors&gt;&lt;/contributors&gt;&lt;titles&gt;&lt;title&gt;Principles and practice of structural equation modeling&lt;/title&gt;&lt;/titles&gt;&lt;dates&gt;&lt;year</w:instrText>
      </w:r>
      <w:r>
        <w:rPr>
          <w:rFonts w:ascii="Simplified Arabic" w:hAnsi="Simplified Arabic" w:cs="Simplified Arabic"/>
          <w:sz w:val="24"/>
          <w:szCs w:val="24"/>
          <w:rtl/>
        </w:rPr>
        <w:instrText>&gt;2023&lt;/</w:instrText>
      </w:r>
      <w:r>
        <w:rPr>
          <w:rFonts w:ascii="Simplified Arabic" w:hAnsi="Simplified Arabic" w:cs="Simplified Arabic"/>
          <w:sz w:val="24"/>
          <w:szCs w:val="24"/>
        </w:rPr>
        <w:instrText>year&gt;&lt;/dates&gt;&lt;publisher&gt;Guilford publications&lt;/publisher&gt;&lt;isbn&gt;1462551912&lt;/isbn&gt;&lt;urls&gt;&lt;/urls&gt;&lt;/record&gt;&lt;/Cite&gt;&lt;/EndNote</w:instrText>
      </w:r>
      <w:r>
        <w:rPr>
          <w:rFonts w:ascii="Simplified Arabic" w:hAnsi="Simplified Arabic" w:cs="Simplified Arabic"/>
          <w:sz w:val="24"/>
          <w:szCs w:val="24"/>
          <w:rtl/>
        </w:rPr>
        <w:instrText>&gt;</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Pr>
        <w:t>Kline</w:t>
      </w:r>
      <w:r>
        <w:rPr>
          <w:rFonts w:ascii="Simplified Arabic" w:hAnsi="Simplified Arabic" w:cs="Simplified Arabic"/>
          <w:noProof/>
          <w:sz w:val="24"/>
          <w:szCs w:val="24"/>
          <w:rtl/>
        </w:rPr>
        <w:t xml:space="preserve"> (2023)</w:t>
      </w:r>
      <w:r>
        <w:rPr>
          <w:rFonts w:ascii="Simplified Arabic" w:hAnsi="Simplified Arabic" w:cs="Simplified Arabic"/>
          <w:sz w:val="24"/>
          <w:szCs w:val="24"/>
          <w:rtl/>
        </w:rPr>
        <w:fldChar w:fldCharType="end"/>
      </w:r>
      <w:r>
        <w:rPr>
          <w:rFonts w:ascii="Simplified Arabic" w:hAnsi="Simplified Arabic" w:cs="Simplified Arabic"/>
          <w:sz w:val="24"/>
          <w:szCs w:val="24"/>
          <w:rtl/>
        </w:rPr>
        <w:t xml:space="preserve"> نسبة 10:1، عينة قدرها 500 على الأقل. ثانياً، التصميم الطبقي العشوائي عبر تسعة مستشفيات في خمس محافظات يستلزم تمثيلاً كافياً لكل طبقة مهنية (</w:t>
      </w:r>
      <w:r>
        <w:rPr>
          <w:rFonts w:ascii="Simplified Arabic" w:hAnsi="Simplified Arabic" w:cs="Simplified Arabic"/>
          <w:sz w:val="24"/>
          <w:szCs w:val="24"/>
        </w:rPr>
        <w:t>Hair et al., 2019</w:t>
      </w:r>
      <w:r>
        <w:rPr>
          <w:rFonts w:ascii="Simplified Arabic" w:hAnsi="Simplified Arabic" w:cs="Simplified Arabic"/>
          <w:sz w:val="24"/>
          <w:szCs w:val="24"/>
          <w:rtl/>
        </w:rPr>
        <w:t>). ثالثًا، توقع معدل استجابة يتراوح بين 70% و80%، يستوجب تضخيم العينة المستهدفة لضمان الوصول إلى الحد الأدنى المطلوب للتحليل (</w:t>
      </w:r>
      <w:r>
        <w:rPr>
          <w:rFonts w:ascii="Simplified Arabic" w:hAnsi="Simplified Arabic" w:cs="Simplified Arabic"/>
          <w:sz w:val="24"/>
          <w:szCs w:val="24"/>
        </w:rPr>
        <w:t>Kline, 2023; Hair et al., 2019</w:t>
      </w:r>
      <w:r>
        <w:rPr>
          <w:rFonts w:ascii="Simplified Arabic" w:hAnsi="Simplified Arabic" w:cs="Simplified Arabic"/>
          <w:sz w:val="24"/>
          <w:szCs w:val="24"/>
          <w:rtl/>
        </w:rPr>
        <w:t>).</w:t>
      </w:r>
    </w:p>
    <w:p w14:paraId="6DA9C068" w14:textId="7E017E00" w:rsidR="00681599" w:rsidRPr="0011430B" w:rsidRDefault="00681599" w:rsidP="00681599">
      <w:pPr>
        <w:bidi/>
        <w:spacing w:line="360" w:lineRule="auto"/>
        <w:jc w:val="both"/>
        <w:rPr>
          <w:rFonts w:ascii="Simplified Arabic" w:hAnsi="Simplified Arabic" w:cs="Simplified Arabic"/>
          <w:sz w:val="24"/>
          <w:szCs w:val="24"/>
          <w:rtl/>
        </w:rPr>
      </w:pPr>
      <w:r>
        <w:rPr>
          <w:rFonts w:ascii="Simplified Arabic" w:hAnsi="Simplified Arabic" w:cs="Simplified Arabic" w:hint="eastAsia"/>
          <w:sz w:val="24"/>
          <w:szCs w:val="24"/>
          <w:rtl/>
        </w:rPr>
        <w:t>استند</w:t>
      </w:r>
      <w:r>
        <w:rPr>
          <w:rFonts w:ascii="Simplified Arabic" w:hAnsi="Simplified Arabic" w:cs="Simplified Arabic"/>
          <w:sz w:val="24"/>
          <w:szCs w:val="24"/>
          <w:rtl/>
        </w:rPr>
        <w:t xml:space="preserve"> اختيار أداة قياس القيادة التحويلية في هذه الدراسة إلى مبدأ التوافق بين الإطار النظري والعمليات التطبيقية. حيث </w:t>
      </w:r>
      <w:proofErr w:type="gramStart"/>
      <w:r>
        <w:rPr>
          <w:rFonts w:ascii="Simplified Arabic" w:hAnsi="Simplified Arabic" w:cs="Simplified Arabic"/>
          <w:sz w:val="24"/>
          <w:szCs w:val="24"/>
          <w:rtl/>
        </w:rPr>
        <w:t>أن</w:t>
      </w:r>
      <w:proofErr w:type="gramEnd"/>
      <w:r>
        <w:rPr>
          <w:rFonts w:ascii="Simplified Arabic" w:hAnsi="Simplified Arabic" w:cs="Simplified Arabic"/>
          <w:sz w:val="24"/>
          <w:szCs w:val="24"/>
          <w:rtl/>
        </w:rPr>
        <w:t xml:space="preserve"> الإطار النظري اتبع نموذج </w:t>
      </w:r>
      <w:r>
        <w:rPr>
          <w:rFonts w:ascii="Simplified Arabic" w:hAnsi="Simplified Arabic" w:cs="Simplified Arabic"/>
          <w:sz w:val="24"/>
          <w:szCs w:val="24"/>
        </w:rPr>
        <w:t>Podsakoff et al</w:t>
      </w:r>
      <w:r>
        <w:rPr>
          <w:rFonts w:ascii="Simplified Arabic" w:hAnsi="Simplified Arabic" w:cs="Simplified Arabic"/>
          <w:sz w:val="24"/>
          <w:szCs w:val="24"/>
          <w:rtl/>
        </w:rPr>
        <w:t xml:space="preserve">. (1990)، كان من الضروري أن يعتمد القياس الميداني على مقياس </w:t>
      </w:r>
      <w:r>
        <w:rPr>
          <w:rFonts w:ascii="Simplified Arabic" w:hAnsi="Simplified Arabic" w:cs="Simplified Arabic"/>
          <w:sz w:val="24"/>
          <w:szCs w:val="24"/>
        </w:rPr>
        <w:t>TLI</w:t>
      </w:r>
      <w:r>
        <w:rPr>
          <w:rFonts w:ascii="Simplified Arabic" w:hAnsi="Simplified Arabic" w:cs="Simplified Arabic"/>
          <w:sz w:val="24"/>
          <w:szCs w:val="24"/>
          <w:rtl/>
        </w:rPr>
        <w:t xml:space="preserve"> نفسه، لتجنب أي خلاف بين المفهوم </w:t>
      </w:r>
      <w:r>
        <w:rPr>
          <w:rFonts w:ascii="Simplified Arabic" w:hAnsi="Simplified Arabic" w:cs="Simplified Arabic" w:hint="eastAsia"/>
          <w:sz w:val="24"/>
          <w:szCs w:val="24"/>
          <w:rtl/>
        </w:rPr>
        <w:t>النظري</w:t>
      </w:r>
      <w:r>
        <w:rPr>
          <w:rFonts w:ascii="Simplified Arabic" w:hAnsi="Simplified Arabic" w:cs="Simplified Arabic"/>
          <w:sz w:val="24"/>
          <w:szCs w:val="24"/>
          <w:rtl/>
        </w:rPr>
        <w:t xml:space="preserve"> والأداة المستخدمة للقياس.</w:t>
      </w:r>
    </w:p>
    <w:p w14:paraId="34680961" w14:textId="4F1C4245" w:rsidR="00615235" w:rsidRPr="0011430B" w:rsidRDefault="00394424" w:rsidP="00EA2EBA">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 xml:space="preserve"> </w:t>
      </w:r>
      <w:r w:rsidR="00856F43">
        <w:rPr>
          <w:rFonts w:ascii="Simplified Arabic" w:hAnsi="Simplified Arabic" w:cs="Simplified Arabic" w:hint="cs"/>
          <w:b/>
          <w:bCs/>
          <w:sz w:val="24"/>
          <w:szCs w:val="24"/>
          <w:rtl/>
        </w:rPr>
        <w:t>10.3</w:t>
      </w:r>
      <w:r w:rsidR="00615235" w:rsidRPr="0011430B">
        <w:rPr>
          <w:rFonts w:ascii="Simplified Arabic" w:hAnsi="Simplified Arabic" w:cs="Simplified Arabic"/>
          <w:b/>
          <w:bCs/>
          <w:sz w:val="24"/>
          <w:szCs w:val="24"/>
          <w:rtl/>
        </w:rPr>
        <w:t xml:space="preserve"> تصميم واختيار أدوات البحث والمقاييس</w:t>
      </w:r>
    </w:p>
    <w:p w14:paraId="1202DF3E" w14:textId="25FB2AAD" w:rsidR="00CD2E00" w:rsidRPr="00247D89" w:rsidRDefault="00247D89" w:rsidP="00AA6C00">
      <w:pPr>
        <w:bidi/>
        <w:spacing w:line="360" w:lineRule="auto"/>
        <w:jc w:val="both"/>
        <w:rPr>
          <w:rFonts w:ascii="Simplified Arabic" w:hAnsi="Simplified Arabic" w:cs="Simplified Arabic"/>
          <w:sz w:val="24"/>
          <w:szCs w:val="24"/>
          <w:rtl/>
        </w:rPr>
      </w:pPr>
      <w:r w:rsidRPr="00247D89">
        <w:rPr>
          <w:rFonts w:ascii="Simplified Arabic" w:hAnsi="Simplified Arabic" w:cs="Simplified Arabic"/>
          <w:sz w:val="24"/>
          <w:szCs w:val="24"/>
          <w:rtl/>
        </w:rPr>
        <w:t>لضمان الدقة والمصداقية العلمية في القياس، تم اعتماد مقاييس دولية موثوقة سبق تكييفها أو استخدامها في السياق العربي والسعودي، مع مراعاة ملاءمتها لمتغيرات الدراسة</w:t>
      </w:r>
      <w:r>
        <w:rPr>
          <w:rFonts w:ascii="Simplified Arabic" w:hAnsi="Simplified Arabic" w:cs="Simplified Arabic" w:hint="cs"/>
          <w:sz w:val="24"/>
          <w:szCs w:val="24"/>
          <w:rtl/>
        </w:rPr>
        <w:t>.</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11430B" w14:paraId="1188AF0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C03C73D"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المتغير</w:t>
            </w:r>
          </w:p>
        </w:tc>
        <w:tc>
          <w:tcPr>
            <w:tcW w:w="21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7FF33B9"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الأداة/المقياس المُقترح</w:t>
            </w:r>
          </w:p>
        </w:tc>
        <w:tc>
          <w:tcPr>
            <w:tcW w:w="23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046FFB68"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المرجع الأساسي</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570C64ED"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الملاءمة والتحقق</w:t>
            </w:r>
          </w:p>
        </w:tc>
      </w:tr>
      <w:tr w:rsidR="00615235" w:rsidRPr="0011430B" w14:paraId="5520BED7" w14:textId="77777777" w:rsidTr="00561FDC">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AEFAE7" w14:textId="77777777" w:rsidR="00615235" w:rsidRPr="0011430B" w:rsidRDefault="00615235" w:rsidP="00561FDC">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القيادة التحويلية (</w:t>
            </w:r>
            <w:r w:rsidRPr="0011430B">
              <w:rPr>
                <w:rFonts w:ascii="Simplified Arabic" w:hAnsi="Simplified Arabic" w:cs="Simplified Arabic"/>
                <w:b/>
                <w:bCs/>
                <w:sz w:val="24"/>
                <w:szCs w:val="24"/>
              </w:rPr>
              <w:t>TL</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DC5094" w14:textId="2A155416" w:rsidR="00615235" w:rsidRPr="00545814" w:rsidRDefault="00545814" w:rsidP="00561FDC">
            <w:pPr>
              <w:shd w:val="clear" w:color="auto" w:fill="FFFFFF" w:themeFill="background1"/>
              <w:bidi/>
              <w:spacing w:line="360" w:lineRule="auto"/>
              <w:jc w:val="center"/>
              <w:rPr>
                <w:rFonts w:ascii="Simplified Arabic" w:hAnsi="Simplified Arabic" w:cs="Simplified Arabic"/>
                <w:sz w:val="24"/>
                <w:szCs w:val="24"/>
                <w:rtl/>
              </w:rPr>
            </w:pPr>
            <w:r w:rsidRPr="00545814">
              <w:rPr>
                <w:rFonts w:ascii="Simplified Arabic" w:hAnsi="Simplified Arabic" w:cs="Simplified Arabic"/>
                <w:sz w:val="24"/>
                <w:szCs w:val="24"/>
                <w:rtl/>
              </w:rPr>
              <w:t>مقياس مخزون القيادة التحويلية</w:t>
            </w:r>
            <w:r w:rsidRPr="00545814">
              <w:rPr>
                <w:rFonts w:ascii="Simplified Arabic" w:hAnsi="Simplified Arabic" w:cs="Simplified Arabic"/>
                <w:sz w:val="24"/>
                <w:szCs w:val="24"/>
              </w:rPr>
              <w:t xml:space="preserve"> (TLI)</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FD61" w14:textId="7E92ABF8" w:rsidR="00615235" w:rsidRPr="00545814" w:rsidRDefault="00545814" w:rsidP="00561FDC">
            <w:pPr>
              <w:shd w:val="clear" w:color="auto" w:fill="FFFFFF" w:themeFill="background1"/>
              <w:bidi/>
              <w:spacing w:line="360" w:lineRule="auto"/>
              <w:jc w:val="center"/>
              <w:rPr>
                <w:rFonts w:ascii="Simplified Arabic" w:hAnsi="Simplified Arabic" w:cs="Simplified Arabic"/>
                <w:sz w:val="24"/>
                <w:szCs w:val="24"/>
              </w:rPr>
            </w:pPr>
            <w:r w:rsidRPr="00545814">
              <w:rPr>
                <w:rFonts w:ascii="Simplified Arabic" w:hAnsi="Simplified Arabic" w:cs="Simplified Arabic"/>
                <w:sz w:val="24"/>
                <w:szCs w:val="24"/>
              </w:rPr>
              <w:t>Podsakoff et al. (1990)</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404543F" w14:textId="6BD385ED" w:rsidR="00615235" w:rsidRPr="0011430B" w:rsidRDefault="00545814" w:rsidP="00561FDC">
            <w:pPr>
              <w:shd w:val="clear" w:color="auto" w:fill="FFFFFF" w:themeFill="background1"/>
              <w:bidi/>
              <w:spacing w:line="360" w:lineRule="auto"/>
              <w:jc w:val="center"/>
              <w:rPr>
                <w:rFonts w:ascii="Simplified Arabic" w:hAnsi="Simplified Arabic" w:cs="Simplified Arabic"/>
                <w:sz w:val="24"/>
                <w:szCs w:val="24"/>
                <w:rtl/>
              </w:rPr>
            </w:pPr>
            <w:r>
              <w:rPr>
                <w:rFonts w:ascii="Simplified Arabic" w:hAnsi="Simplified Arabic" w:cs="Simplified Arabic" w:hint="eastAsia"/>
                <w:sz w:val="24"/>
                <w:szCs w:val="24"/>
                <w:rtl/>
              </w:rPr>
              <w:t>استخدام</w:t>
            </w:r>
            <w:r>
              <w:rPr>
                <w:rFonts w:ascii="Simplified Arabic" w:hAnsi="Simplified Arabic" w:cs="Simplified Arabic"/>
                <w:sz w:val="24"/>
                <w:szCs w:val="24"/>
                <w:rtl/>
              </w:rPr>
              <w:t xml:space="preserve"> الأبعاد الستة المحددة التي أثبتت صدقًا وثباتًا مرتفعَين في السياق الصحي والعربي، مع تكييف الفقرات لتلاءم البيئة السعودية</w:t>
            </w:r>
            <w:r w:rsidR="00615235" w:rsidRPr="0011430B">
              <w:rPr>
                <w:rFonts w:ascii="Simplified Arabic" w:hAnsi="Simplified Arabic" w:cs="Simplified Arabic"/>
                <w:sz w:val="24"/>
                <w:szCs w:val="24"/>
                <w:rtl/>
              </w:rPr>
              <w:t>.</w:t>
            </w:r>
          </w:p>
        </w:tc>
      </w:tr>
      <w:tr w:rsidR="00615235" w:rsidRPr="0011430B" w14:paraId="0C48870A"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4622A8" w14:textId="77777777" w:rsidR="00615235" w:rsidRPr="0011430B" w:rsidRDefault="00615235" w:rsidP="002F53C6">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lastRenderedPageBreak/>
              <w:t>ثقافة السلامة (</w:t>
            </w:r>
            <w:r w:rsidRPr="0011430B">
              <w:rPr>
                <w:rFonts w:ascii="Simplified Arabic" w:hAnsi="Simplified Arabic" w:cs="Simplified Arabic"/>
                <w:b/>
                <w:bCs/>
                <w:sz w:val="24"/>
                <w:szCs w:val="24"/>
              </w:rPr>
              <w:t>SC</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AC7E17"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مقياس ثقافة السلامة بالمستشفيات (</w:t>
            </w:r>
            <w:r w:rsidRPr="0011430B">
              <w:rPr>
                <w:rFonts w:ascii="Simplified Arabic" w:hAnsi="Simplified Arabic" w:cs="Simplified Arabic"/>
                <w:sz w:val="24"/>
                <w:szCs w:val="24"/>
              </w:rPr>
              <w:t>HSOPSC</w:t>
            </w:r>
            <w:r w:rsidRPr="0011430B">
              <w:rPr>
                <w:rFonts w:ascii="Simplified Arabic" w:hAnsi="Simplified Arabic" w:cs="Simplified Arabic"/>
                <w:sz w:val="24"/>
                <w:szCs w:val="24"/>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6E2A40" w14:textId="77777777" w:rsidR="00615235" w:rsidRPr="0011430B" w:rsidRDefault="00615235" w:rsidP="008B1883">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sz w:val="24"/>
                <w:szCs w:val="24"/>
              </w:rPr>
              <w:t>AHRQ (Agency for Healthcare Research and Quality)</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A579052"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اختيار الأبعاد الأكثر صلة بالقيادة والإبلاغ (مثل دعم الإدارة، والتغذية الراجعة).</w:t>
            </w:r>
          </w:p>
        </w:tc>
      </w:tr>
      <w:tr w:rsidR="00615235" w:rsidRPr="0011430B" w14:paraId="26015C85" w14:textId="77777777" w:rsidTr="00BF1B80">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714334" w14:textId="77777777" w:rsidR="00615235" w:rsidRPr="0011430B" w:rsidRDefault="00615235" w:rsidP="002F53C6">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سلوكيات السلامة (</w:t>
            </w:r>
            <w:r w:rsidRPr="0011430B">
              <w:rPr>
                <w:rFonts w:ascii="Simplified Arabic" w:hAnsi="Simplified Arabic" w:cs="Simplified Arabic"/>
                <w:b/>
                <w:bCs/>
                <w:sz w:val="24"/>
                <w:szCs w:val="24"/>
              </w:rPr>
              <w:t>SB</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52C010C" w14:textId="77777777" w:rsidR="00615235" w:rsidRPr="0011430B" w:rsidRDefault="00615235" w:rsidP="00BF1B80">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sz w:val="24"/>
                <w:szCs w:val="24"/>
                <w:rtl/>
              </w:rPr>
              <w:t>مقياس سلوكيات السلامة الموجهة</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311D6D" w14:textId="1296DF13" w:rsidR="00615235" w:rsidRPr="0011430B" w:rsidRDefault="00984A64" w:rsidP="00BF1B80">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sz w:val="24"/>
                <w:szCs w:val="24"/>
                <w:rtl/>
              </w:rPr>
              <w:fldChar w:fldCharType="begin"/>
            </w:r>
            <w:r w:rsidR="003F7AF9" w:rsidRPr="0011430B">
              <w:rPr>
                <w:rFonts w:ascii="Simplified Arabic" w:hAnsi="Simplified Arabic" w:cs="Simplified Arabic"/>
                <w:sz w:val="24"/>
                <w:szCs w:val="24"/>
                <w:rtl/>
              </w:rPr>
              <w:instrText xml:space="preserve"> </w:instrText>
            </w:r>
            <w:r w:rsidR="003F7AF9" w:rsidRPr="0011430B">
              <w:rPr>
                <w:rFonts w:ascii="Simplified Arabic" w:hAnsi="Simplified Arabic" w:cs="Simplified Arabic"/>
                <w:sz w:val="24"/>
                <w:szCs w:val="24"/>
              </w:rPr>
              <w:instrText>ADDIN EN.CITE &lt;EndNote&gt;&lt;Cite&gt;&lt;Author&gt;Elhihi&lt;/Author&gt;&lt;Year&gt;2025&lt;/Year&gt;&lt;RecNum&gt;164&lt;/RecNum&gt;&lt;DisplayText&gt;(Elhihi et al., 2025)&lt;/DisplayText&gt;&lt;record&gt;&lt;rec-number&gt;164&lt;/rec-number&gt;&lt;foreign-keys&gt;&lt;key app="EN" db-id="02retxxrerxdxhe9aphvs0z2t9z25p0ew99s" timestamp="1752528172"&gt;164&lt;/key&gt;&lt;/foreign-keys&gt;&lt;ref-type name="Journal Article"&gt;17&lt;/ref-type&gt;&lt;contributors&gt;&lt;authors&gt;&lt;author&gt;Elhihi, Ebtisam A&lt;/author&gt;&lt;author&gt;Aljarary, Khadija Lafi&lt;/author&gt;&lt;author&gt;Alahmadi, Maha&lt;/author&gt;&lt;author&gt;Adam, Jawaher Bakor&lt;/author&gt;&lt;author</w:instrText>
            </w:r>
            <w:r w:rsidR="003F7AF9" w:rsidRPr="0011430B">
              <w:rPr>
                <w:rFonts w:ascii="Simplified Arabic" w:hAnsi="Simplified Arabic" w:cs="Simplified Arabic"/>
                <w:sz w:val="24"/>
                <w:szCs w:val="24"/>
                <w:rtl/>
              </w:rPr>
              <w:instrText>&gt;</w:instrText>
            </w:r>
            <w:r w:rsidR="003F7AF9" w:rsidRPr="0011430B">
              <w:rPr>
                <w:rFonts w:ascii="Simplified Arabic" w:hAnsi="Simplified Arabic" w:cs="Simplified Arabic"/>
                <w:sz w:val="24"/>
                <w:szCs w:val="24"/>
              </w:rPr>
              <w:instrText>Almwualllad, Ohud Atiah&lt;/author&gt;&lt;author&gt;Hawsawei, Marwan S&lt;/author&gt;&lt;author&gt;Hamza, Abdulmajid Ahmad&lt;/author&gt;&lt;author&gt;Ibrahim, Ibrahim Abdullatif&lt;/author&gt;&lt;/authors&gt;&lt;/contributors&gt;&lt;titles&gt;&lt;title&gt;The mediating role of moral courage in the relationship between</w:instrText>
            </w:r>
            <w:r w:rsidR="003F7AF9" w:rsidRPr="0011430B">
              <w:rPr>
                <w:rFonts w:ascii="Simplified Arabic" w:hAnsi="Simplified Arabic" w:cs="Simplified Arabic"/>
                <w:sz w:val="24"/>
                <w:szCs w:val="24"/>
                <w:rtl/>
              </w:rPr>
              <w:instrText xml:space="preserve"> </w:instrText>
            </w:r>
            <w:r w:rsidR="003F7AF9" w:rsidRPr="0011430B">
              <w:rPr>
                <w:rFonts w:ascii="Simplified Arabic" w:hAnsi="Simplified Arabic" w:cs="Simplified Arabic"/>
                <w:sz w:val="24"/>
                <w:szCs w:val="24"/>
              </w:rPr>
              <w:instrText>ethical leadership and error reporting behavior among nurses in Saudi Arabia: a structural equation modeling approach&lt;/title&gt;&lt;secondary-title&gt;BMC nursing&lt;/secondary-title&gt;&lt;/titles&gt;&lt;periodical&gt;&lt;full-title&gt;BMC nursing&lt;/full-title&gt;&lt;/periodical&gt;&lt;pages&gt;392&lt;/pages&gt;&lt;volume&gt;24&lt;/volume&gt;&lt;number&gt;1&lt;/number&gt;&lt;dates&gt;&lt;year&gt;2025&lt;/year&gt;&lt;/dates&gt;&lt;isbn&gt;1472-6955&lt;/isbn&gt;&lt;urls&gt;&lt;/urls&gt;&lt;electronic-resource-num&gt;10.1186/s12912-025-03043-7&lt;/electronic-resource-num&gt;&lt;/record&gt;&lt;/Cite&gt;&lt;/EndNote</w:instrText>
            </w:r>
            <w:r w:rsidR="003F7AF9" w:rsidRPr="0011430B">
              <w:rPr>
                <w:rFonts w:ascii="Simplified Arabic" w:hAnsi="Simplified Arabic" w:cs="Simplified Arabic"/>
                <w:sz w:val="24"/>
                <w:szCs w:val="24"/>
                <w:rtl/>
              </w:rPr>
              <w:instrText>&gt;</w:instrText>
            </w:r>
            <w:r w:rsidRPr="0011430B">
              <w:rPr>
                <w:rFonts w:ascii="Simplified Arabic" w:hAnsi="Simplified Arabic" w:cs="Simplified Arabic"/>
                <w:sz w:val="24"/>
                <w:szCs w:val="24"/>
                <w:rtl/>
              </w:rPr>
              <w:fldChar w:fldCharType="separate"/>
            </w:r>
            <w:r w:rsidRPr="0011430B">
              <w:rPr>
                <w:rFonts w:ascii="Simplified Arabic" w:hAnsi="Simplified Arabic" w:cs="Simplified Arabic"/>
                <w:noProof/>
                <w:sz w:val="24"/>
                <w:szCs w:val="24"/>
                <w:rtl/>
              </w:rPr>
              <w:t>(</w:t>
            </w:r>
            <w:r w:rsidRPr="0011430B">
              <w:rPr>
                <w:rFonts w:ascii="Simplified Arabic" w:hAnsi="Simplified Arabic" w:cs="Simplified Arabic"/>
                <w:noProof/>
                <w:sz w:val="24"/>
                <w:szCs w:val="24"/>
              </w:rPr>
              <w:t>Elhihi et al., 2025</w:t>
            </w:r>
            <w:r w:rsidRPr="0011430B">
              <w:rPr>
                <w:rFonts w:ascii="Simplified Arabic" w:hAnsi="Simplified Arabic" w:cs="Simplified Arabic"/>
                <w:noProof/>
                <w:sz w:val="24"/>
                <w:szCs w:val="24"/>
                <w:rtl/>
              </w:rPr>
              <w:t>)</w:t>
            </w:r>
            <w:r w:rsidRPr="0011430B">
              <w:rPr>
                <w:rFonts w:ascii="Simplified Arabic" w:hAnsi="Simplified Arabic" w:cs="Simplified Arabic"/>
                <w:sz w:val="24"/>
                <w:szCs w:val="24"/>
                <w:rtl/>
              </w:rPr>
              <w:fldChar w:fldCharType="end"/>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42A002" w14:textId="2939B285" w:rsidR="00615235" w:rsidRPr="0011430B" w:rsidRDefault="00BF1B80" w:rsidP="008B1883">
            <w:pPr>
              <w:shd w:val="clear" w:color="auto" w:fill="FFFFFF" w:themeFill="background1"/>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 xml:space="preserve">مقياس بيئي للرعاية الصحية يقيس الالتزام بالبروتوكولات اليومية مثل نظافة اليدين والتحقق من هوية المريض واستخدام قوائم التدقيق. أُعد وفق معايير </w:t>
            </w:r>
            <w:r>
              <w:rPr>
                <w:rFonts w:ascii="Simplified Arabic" w:hAnsi="Simplified Arabic" w:cs="Simplified Arabic"/>
                <w:sz w:val="24"/>
                <w:szCs w:val="24"/>
              </w:rPr>
              <w:t>Neal &amp; Griffin</w:t>
            </w:r>
            <w:r>
              <w:rPr>
                <w:rFonts w:ascii="Simplified Arabic" w:hAnsi="Simplified Arabic" w:cs="Simplified Arabic"/>
                <w:sz w:val="24"/>
                <w:szCs w:val="24"/>
                <w:rtl/>
              </w:rPr>
              <w:t xml:space="preserve"> (2006) وتكيّف مع السياق العربي، مع ثبات يتجاوز 0.80 في سياقات صحية.</w:t>
            </w:r>
          </w:p>
        </w:tc>
      </w:tr>
      <w:tr w:rsidR="00615235" w:rsidRPr="0011430B" w14:paraId="20F558D5" w14:textId="77777777" w:rsidTr="00CD2E00">
        <w:trPr>
          <w:trHeight w:val="108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473475" w14:textId="44FE5AB7" w:rsidR="00615235" w:rsidRPr="0011430B" w:rsidRDefault="00615235" w:rsidP="002F53C6">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 xml:space="preserve"> الأحداث الضارة (</w:t>
            </w:r>
            <w:r w:rsidRPr="0011430B">
              <w:rPr>
                <w:rFonts w:ascii="Simplified Arabic" w:hAnsi="Simplified Arabic" w:cs="Simplified Arabic"/>
                <w:b/>
                <w:bCs/>
                <w:sz w:val="24"/>
                <w:szCs w:val="24"/>
              </w:rPr>
              <w:t>AE</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FB433AF"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مقياس النتائج المُدركة لسلامة المريض</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2FAFD8" w14:textId="77777777" w:rsidR="00615235" w:rsidRPr="0011430B" w:rsidRDefault="00615235" w:rsidP="008B1883">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sz w:val="24"/>
                <w:szCs w:val="24"/>
                <w:rtl/>
              </w:rPr>
              <w:t>مقاييس مُعدَّلة من الأدبيات</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79C131"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يقيس إدراك العاملين لفعالية التدابير المتبعة للحد من الأخطاء والحوادث القابلة للوقاية.</w:t>
            </w:r>
          </w:p>
        </w:tc>
      </w:tr>
    </w:tbl>
    <w:p w14:paraId="06427030" w14:textId="4C7289B6" w:rsidR="00033C2D" w:rsidRPr="0011430B" w:rsidRDefault="00856F43" w:rsidP="00033C2D">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10</w:t>
      </w:r>
      <w:r w:rsidR="00033C2D" w:rsidRPr="0011430B">
        <w:rPr>
          <w:rFonts w:ascii="Simplified Arabic" w:hAnsi="Simplified Arabic" w:cs="Simplified Arabic"/>
          <w:b/>
          <w:bCs/>
          <w:sz w:val="24"/>
          <w:szCs w:val="24"/>
          <w:rtl/>
        </w:rPr>
        <w:t>.3.1 التمييز المفاهيمي بين متغيرات الدراسة الرئيسة</w:t>
      </w:r>
    </w:p>
    <w:p w14:paraId="36172FFB" w14:textId="55CA02A6" w:rsidR="00033C2D" w:rsidRPr="00033C2D" w:rsidRDefault="00033C2D"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على الرغم من الترابط القوي بين متغيرات الدراسة الأساسية، فإن كل واحد منها يعكس مستوى تحليليًا مختلفًا يُفترض توضيحه بشكل واضح لتجنب الالتباس المفاهيمي. أولًا، تعد </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 xml:space="preserve"> متغيرًا تنظيميًا جماعيًا يعبر عن مجموعة من القيم والاتجاهات والمعتقدات المشتركة بين العاملين حول مدى أهمية السلامة في المستشفى، وطريقة التعامل مع الأخطاء، والدعم القيادي المقدم، ومستوى العدالة والتواصل المفتوح. هذا المتغير يرتبط بالبنية العميقة للمؤسسة ولا يقاس عادة من خلال حادثة واحدة، بل من خلال إدراك العاملين للبيئة العامة.</w:t>
      </w:r>
    </w:p>
    <w:p w14:paraId="3298860D" w14:textId="6532882E" w:rsidR="00033C2D" w:rsidRPr="00033C2D" w:rsidRDefault="00033C2D"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lastRenderedPageBreak/>
        <w:t xml:space="preserve">ثانيًا، تعبر سلوكيات السلامة عن مستوى أكثر قربًا من الممارسة اليومية؛ فهي تظهر ما يفعله الممارسون الصحيون فعليًا في أماكن العمل، مثل الالتزام بالبروتوكولات الإكلينيكية، وغسل اليدين، والتحقق من هوية المريض، واستخدام قوائم التدقيق، والإبلاغ عن الحوادث والأخطاء شبه الضارة. وهكذا، تمثل سلوكيات السلامة "الترجمة السلوكية" للقيم والمعتقدات المتجسدة في </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w:t>
      </w:r>
    </w:p>
    <w:p w14:paraId="205B80B5" w14:textId="68D79642" w:rsidR="00033C2D" w:rsidRPr="00033C2D" w:rsidRDefault="00033C2D" w:rsidP="00033C2D">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ثالثًا، تمثل الأحداث الضارة نتائج نهائية (</w:t>
      </w:r>
      <w:r w:rsidR="006406B6" w:rsidRPr="0011430B">
        <w:rPr>
          <w:rFonts w:ascii="Simplified Arabic" w:hAnsi="Simplified Arabic" w:cs="Simplified Arabic"/>
          <w:sz w:val="24"/>
          <w:szCs w:val="24"/>
        </w:rPr>
        <w:t>outcome</w:t>
      </w:r>
      <w:r w:rsidRPr="0011430B">
        <w:rPr>
          <w:rFonts w:ascii="Simplified Arabic" w:hAnsi="Simplified Arabic" w:cs="Simplified Arabic"/>
          <w:sz w:val="24"/>
          <w:szCs w:val="24"/>
          <w:rtl/>
        </w:rPr>
        <w:t>) على مستوى المريض والنظام، وتتضمن الإصابات، المضاعفات، أو الأخطاء التي يمكن منعها، والتي قد تؤدي إلى إطالة مدة الإقامة، الإعاقة، أو الوفاة. في هذه الدراسة، تُعتبر الأحداث الضارة متغيرًا تابعًا يعكس نتائج ممارسات السلامة، ويُقاس إدراكيًا من خلال تقييم العاملين لمدى فعالية التدابير المتخذة لتقليل هذه الأحداث.</w:t>
      </w:r>
    </w:p>
    <w:p w14:paraId="2049399E" w14:textId="0A4D6B07" w:rsidR="00791915" w:rsidRPr="00791915" w:rsidRDefault="00033C2D" w:rsidP="00791915">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يعد التمييز بين مستوى الثقافة (</w:t>
      </w:r>
      <w:r w:rsidRPr="0011430B">
        <w:rPr>
          <w:rFonts w:ascii="Simplified Arabic" w:hAnsi="Simplified Arabic" w:cs="Simplified Arabic"/>
          <w:sz w:val="24"/>
          <w:szCs w:val="24"/>
        </w:rPr>
        <w:t>SC</w:t>
      </w:r>
      <w:r w:rsidRPr="0011430B">
        <w:rPr>
          <w:rFonts w:ascii="Simplified Arabic" w:hAnsi="Simplified Arabic" w:cs="Simplified Arabic"/>
          <w:sz w:val="24"/>
          <w:szCs w:val="24"/>
          <w:rtl/>
        </w:rPr>
        <w:t>) والسلوك (</w:t>
      </w:r>
      <w:r w:rsidRPr="0011430B">
        <w:rPr>
          <w:rFonts w:ascii="Simplified Arabic" w:hAnsi="Simplified Arabic" w:cs="Simplified Arabic"/>
          <w:sz w:val="24"/>
          <w:szCs w:val="24"/>
        </w:rPr>
        <w:t>SB</w:t>
      </w:r>
      <w:r w:rsidRPr="0011430B">
        <w:rPr>
          <w:rFonts w:ascii="Simplified Arabic" w:hAnsi="Simplified Arabic" w:cs="Simplified Arabic"/>
          <w:sz w:val="24"/>
          <w:szCs w:val="24"/>
          <w:rtl/>
        </w:rPr>
        <w:t>) والنتائج (</w:t>
      </w:r>
      <w:r w:rsidRPr="0011430B">
        <w:rPr>
          <w:rFonts w:ascii="Simplified Arabic" w:hAnsi="Simplified Arabic" w:cs="Simplified Arabic"/>
          <w:sz w:val="24"/>
          <w:szCs w:val="24"/>
        </w:rPr>
        <w:t>AE</w:t>
      </w:r>
      <w:r w:rsidRPr="0011430B">
        <w:rPr>
          <w:rFonts w:ascii="Simplified Arabic" w:hAnsi="Simplified Arabic" w:cs="Simplified Arabic"/>
          <w:sz w:val="24"/>
          <w:szCs w:val="24"/>
          <w:rtl/>
        </w:rPr>
        <w:t>) ضروريًا لدعم منطق النموذج المتسلسل المقترح. ويؤكد أن انتقال الأثر من القيادة ا</w:t>
      </w:r>
      <w:r w:rsidRPr="00033C2D">
        <w:rPr>
          <w:rFonts w:ascii="Simplified Arabic" w:hAnsi="Simplified Arabic" w:cs="Simplified Arabic"/>
          <w:sz w:val="24"/>
          <w:szCs w:val="24"/>
          <w:rtl/>
        </w:rPr>
        <w:t>لتحويلية إلى تقليل الأحداث الضارة لا يحدث بشكل مباشر، بل يمر عبر طبقات تنظيمية وسلوكية مختلفة.</w:t>
      </w:r>
      <w:r w:rsidR="00791915">
        <w:rPr>
          <w:rFonts w:ascii="Simplified Arabic" w:hAnsi="Simplified Arabic" w:cs="Simplified Arabic" w:hint="cs"/>
          <w:sz w:val="24"/>
          <w:szCs w:val="24"/>
          <w:rtl/>
        </w:rPr>
        <w:t xml:space="preserve"> </w:t>
      </w:r>
      <w:r w:rsidR="00791915" w:rsidRPr="00791915">
        <w:rPr>
          <w:rFonts w:ascii="Simplified Arabic" w:hAnsi="Simplified Arabic" w:cs="Simplified Arabic"/>
          <w:sz w:val="24"/>
          <w:szCs w:val="24"/>
          <w:rtl/>
        </w:rPr>
        <w:t>ويستند تصميم الأداة كذلك إلى افتراض التمايز المفاهيمي والقياسي بين ثقافة السلامة وسلوكيات السلامة والأحداث الضارة، بما يدعم اختبار الصدق التمييزي بين المتغيرات</w:t>
      </w:r>
      <w:r w:rsidR="00791915">
        <w:rPr>
          <w:rFonts w:ascii="Simplified Arabic" w:hAnsi="Simplified Arabic" w:cs="Simplified Arabic" w:hint="cs"/>
          <w:sz w:val="24"/>
          <w:szCs w:val="24"/>
          <w:rtl/>
        </w:rPr>
        <w:t>.</w:t>
      </w:r>
    </w:p>
    <w:p w14:paraId="5064EA6B" w14:textId="4A7ABCA3" w:rsidR="00615235" w:rsidRDefault="00856F43" w:rsidP="00033C2D">
      <w:pPr>
        <w:bidi/>
        <w:spacing w:line="360" w:lineRule="auto"/>
        <w:rPr>
          <w:rFonts w:ascii="Simplified Arabic" w:hAnsi="Simplified Arabic" w:cs="Simplified Arabic"/>
          <w:b/>
          <w:bCs/>
          <w:sz w:val="28"/>
          <w:szCs w:val="28"/>
          <w:rtl/>
        </w:rPr>
      </w:pPr>
      <w:r>
        <w:rPr>
          <w:rFonts w:asciiTheme="majorBidi" w:hAnsiTheme="majorBidi" w:cstheme="majorBidi" w:hint="cs"/>
          <w:b/>
          <w:bCs/>
          <w:sz w:val="28"/>
          <w:szCs w:val="28"/>
          <w:rtl/>
        </w:rPr>
        <w:t>10</w:t>
      </w:r>
      <w:r w:rsidR="0086026A" w:rsidRPr="00033C2D">
        <w:rPr>
          <w:rFonts w:asciiTheme="majorBidi" w:hAnsiTheme="majorBidi" w:cstheme="majorBidi"/>
          <w:b/>
          <w:bCs/>
          <w:sz w:val="28"/>
          <w:szCs w:val="28"/>
          <w:rtl/>
        </w:rPr>
        <w:t>.3</w:t>
      </w:r>
      <w:r w:rsidR="0086026A" w:rsidRPr="00033C2D">
        <w:rPr>
          <w:rFonts w:ascii="Sakkal Majalla" w:hAnsi="Sakkal Majalla" w:cs="Sakkal Majalla"/>
          <w:b/>
          <w:bCs/>
          <w:sz w:val="28"/>
          <w:szCs w:val="28"/>
          <w:rtl/>
        </w:rPr>
        <w:t>.</w:t>
      </w:r>
      <w:r w:rsidR="00033C2D" w:rsidRPr="00033C2D">
        <w:rPr>
          <w:rFonts w:ascii="Simplified Arabic" w:hAnsi="Simplified Arabic" w:cs="Simplified Arabic"/>
          <w:b/>
          <w:bCs/>
          <w:sz w:val="28"/>
          <w:szCs w:val="28"/>
          <w:rtl/>
        </w:rPr>
        <w:t>2</w:t>
      </w:r>
      <w:r w:rsidR="00B01477" w:rsidRPr="00033C2D">
        <w:rPr>
          <w:rFonts w:ascii="Simplified Arabic" w:hAnsi="Simplified Arabic" w:cs="Simplified Arabic"/>
          <w:b/>
          <w:bCs/>
          <w:sz w:val="28"/>
          <w:szCs w:val="28"/>
          <w:rtl/>
        </w:rPr>
        <w:t xml:space="preserve"> </w:t>
      </w:r>
      <w:r w:rsidR="00615235" w:rsidRPr="00033C2D">
        <w:rPr>
          <w:rFonts w:ascii="Simplified Arabic" w:hAnsi="Simplified Arabic" w:cs="Simplified Arabic"/>
          <w:b/>
          <w:bCs/>
          <w:sz w:val="28"/>
          <w:szCs w:val="28"/>
          <w:rtl/>
        </w:rPr>
        <w:t>إجراءات التحقق من الأدوات (الصدق والثبات)</w:t>
      </w:r>
    </w:p>
    <w:p w14:paraId="3CB8B463" w14:textId="5325A983" w:rsidR="00D33B36" w:rsidRPr="00D33B36" w:rsidRDefault="00D33B36" w:rsidP="00D33B36">
      <w:pPr>
        <w:bidi/>
        <w:spacing w:line="360" w:lineRule="auto"/>
        <w:rPr>
          <w:rFonts w:ascii="Simplified Arabic" w:hAnsi="Simplified Arabic" w:cs="Simplified Arabic"/>
          <w:sz w:val="24"/>
          <w:szCs w:val="24"/>
          <w:rtl/>
        </w:rPr>
      </w:pPr>
      <w:r w:rsidRPr="00D33B36">
        <w:rPr>
          <w:rFonts w:ascii="Simplified Arabic" w:hAnsi="Simplified Arabic" w:cs="Simplified Arabic"/>
          <w:sz w:val="24"/>
          <w:szCs w:val="24"/>
          <w:rtl/>
        </w:rPr>
        <w:t>للتحقق من صلاحية أدوات القياس وثباتها، ستُتَّبع الإجراءات الآتية</w:t>
      </w:r>
      <w:r w:rsidRPr="00D33B36">
        <w:rPr>
          <w:rFonts w:ascii="Simplified Arabic" w:hAnsi="Simplified Arabic" w:cs="Simplified Arabic"/>
          <w:sz w:val="24"/>
          <w:szCs w:val="24"/>
        </w:rPr>
        <w:t>:</w:t>
      </w:r>
    </w:p>
    <w:p w14:paraId="4A81F8B7" w14:textId="17B40039" w:rsidR="00615235" w:rsidRPr="00033C2D" w:rsidRDefault="00100E3E">
      <w:pPr>
        <w:numPr>
          <w:ilvl w:val="0"/>
          <w:numId w:val="1"/>
        </w:num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b/>
          <w:bCs/>
          <w:sz w:val="24"/>
          <w:szCs w:val="24"/>
          <w:rtl/>
        </w:rPr>
        <w:t>الصدق الظاهري (</w:t>
      </w:r>
      <w:r w:rsidRPr="00033C2D">
        <w:rPr>
          <w:rFonts w:ascii="Simplified Arabic" w:hAnsi="Simplified Arabic" w:cs="Simplified Arabic"/>
          <w:b/>
          <w:bCs/>
          <w:sz w:val="24"/>
          <w:szCs w:val="24"/>
        </w:rPr>
        <w:t>Face Validity</w:t>
      </w:r>
      <w:r w:rsidRPr="00033C2D">
        <w:rPr>
          <w:rFonts w:ascii="Simplified Arabic" w:hAnsi="Simplified Arabic" w:cs="Simplified Arabic"/>
          <w:b/>
          <w:bCs/>
          <w:sz w:val="24"/>
          <w:szCs w:val="24"/>
          <w:rtl/>
        </w:rPr>
        <w:t xml:space="preserve">): </w:t>
      </w:r>
      <w:r w:rsidR="00D33B36" w:rsidRPr="00D33B36">
        <w:rPr>
          <w:rFonts w:ascii="Simplified Arabic" w:hAnsi="Simplified Arabic" w:cs="Simplified Arabic"/>
          <w:sz w:val="24"/>
          <w:szCs w:val="24"/>
          <w:rtl/>
        </w:rPr>
        <w:t>عرض الاستبانة على مجموعة من المختصين من أعضاء هيئة التدريس والإداريين ذوي الخبرة؛ للتأكد من وضوح العبارات وملاءمتها للسياق الثقافي والمؤسسي</w:t>
      </w:r>
      <w:r w:rsidR="00D33B36" w:rsidRPr="00D33B36">
        <w:rPr>
          <w:rFonts w:ascii="Simplified Arabic" w:hAnsi="Simplified Arabic" w:cs="Simplified Arabic"/>
          <w:sz w:val="24"/>
          <w:szCs w:val="24"/>
        </w:rPr>
        <w:t>.</w:t>
      </w:r>
    </w:p>
    <w:p w14:paraId="772F6942" w14:textId="04C0CA37" w:rsidR="00615235" w:rsidRPr="00033C2D" w:rsidRDefault="00100E3E">
      <w:pPr>
        <w:numPr>
          <w:ilvl w:val="0"/>
          <w:numId w:val="1"/>
        </w:num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b/>
          <w:bCs/>
          <w:sz w:val="24"/>
          <w:szCs w:val="24"/>
          <w:rtl/>
        </w:rPr>
        <w:t>الصدق البنائي (</w:t>
      </w:r>
      <w:r w:rsidRPr="00033C2D">
        <w:rPr>
          <w:rFonts w:ascii="Simplified Arabic" w:hAnsi="Simplified Arabic" w:cs="Simplified Arabic"/>
          <w:b/>
          <w:bCs/>
          <w:sz w:val="24"/>
          <w:szCs w:val="24"/>
        </w:rPr>
        <w:t>Construct Validity</w:t>
      </w:r>
      <w:r w:rsidRPr="00033C2D">
        <w:rPr>
          <w:rFonts w:ascii="Simplified Arabic" w:hAnsi="Simplified Arabic" w:cs="Simplified Arabic"/>
          <w:b/>
          <w:bCs/>
          <w:sz w:val="24"/>
          <w:szCs w:val="24"/>
          <w:rtl/>
        </w:rPr>
        <w:t xml:space="preserve">): </w:t>
      </w:r>
      <w:r w:rsidR="00CA6385">
        <w:rPr>
          <w:rFonts w:ascii="Simplified Arabic" w:hAnsi="Simplified Arabic" w:cs="Simplified Arabic" w:hint="cs"/>
          <w:b/>
          <w:bCs/>
          <w:sz w:val="24"/>
          <w:szCs w:val="24"/>
          <w:rtl/>
        </w:rPr>
        <w:t>ا</w:t>
      </w:r>
      <w:r w:rsidR="00CA6385" w:rsidRPr="00CA6385">
        <w:rPr>
          <w:rFonts w:ascii="Simplified Arabic" w:hAnsi="Simplified Arabic" w:cs="Simplified Arabic"/>
          <w:sz w:val="24"/>
          <w:szCs w:val="24"/>
          <w:rtl/>
        </w:rPr>
        <w:t>ستخدام تحليل العوامل التوكيدي</w:t>
      </w:r>
      <w:r w:rsidR="00CA6385" w:rsidRPr="00CA6385">
        <w:rPr>
          <w:rFonts w:ascii="Simplified Arabic" w:hAnsi="Simplified Arabic" w:cs="Simplified Arabic"/>
          <w:sz w:val="24"/>
          <w:szCs w:val="24"/>
        </w:rPr>
        <w:t xml:space="preserve"> (Confirmatory Factor Analysis - CFA) </w:t>
      </w:r>
      <w:r w:rsidR="00CA6385" w:rsidRPr="00CA6385">
        <w:rPr>
          <w:rFonts w:ascii="Simplified Arabic" w:hAnsi="Simplified Arabic" w:cs="Simplified Arabic"/>
          <w:sz w:val="24"/>
          <w:szCs w:val="24"/>
          <w:rtl/>
        </w:rPr>
        <w:t>للتحقق من أن العبارات تقيس فعليًا البنى النظرية المقصودة</w:t>
      </w:r>
      <w:r w:rsidR="00CA6385" w:rsidRPr="00CA6385">
        <w:rPr>
          <w:rFonts w:ascii="Simplified Arabic" w:hAnsi="Simplified Arabic" w:cs="Simplified Arabic"/>
          <w:sz w:val="24"/>
          <w:szCs w:val="24"/>
        </w:rPr>
        <w:t>.</w:t>
      </w:r>
    </w:p>
    <w:p w14:paraId="64029E86" w14:textId="274BFC61" w:rsidR="00CA6385" w:rsidRDefault="00100E3E">
      <w:pPr>
        <w:numPr>
          <w:ilvl w:val="0"/>
          <w:numId w:val="1"/>
        </w:numPr>
        <w:tabs>
          <w:tab w:val="num" w:pos="720"/>
        </w:tabs>
        <w:bidi/>
        <w:spacing w:line="360" w:lineRule="auto"/>
        <w:jc w:val="both"/>
        <w:rPr>
          <w:rFonts w:ascii="Simplified Arabic" w:hAnsi="Simplified Arabic" w:cs="Simplified Arabic"/>
          <w:b/>
          <w:bCs/>
          <w:sz w:val="28"/>
          <w:szCs w:val="28"/>
        </w:rPr>
      </w:pPr>
      <w:r w:rsidRPr="00CA6385">
        <w:rPr>
          <w:rFonts w:ascii="Simplified Arabic" w:hAnsi="Simplified Arabic" w:cs="Simplified Arabic"/>
          <w:b/>
          <w:bCs/>
          <w:sz w:val="24"/>
          <w:szCs w:val="24"/>
          <w:rtl/>
        </w:rPr>
        <w:t>الثبات (</w:t>
      </w:r>
      <w:r w:rsidRPr="00CA6385">
        <w:rPr>
          <w:rFonts w:ascii="Simplified Arabic" w:hAnsi="Simplified Arabic" w:cs="Simplified Arabic"/>
          <w:b/>
          <w:bCs/>
          <w:sz w:val="24"/>
          <w:szCs w:val="24"/>
        </w:rPr>
        <w:t>Reliability</w:t>
      </w:r>
      <w:r w:rsidRPr="00CA6385">
        <w:rPr>
          <w:rFonts w:ascii="Simplified Arabic" w:hAnsi="Simplified Arabic" w:cs="Simplified Arabic"/>
          <w:b/>
          <w:bCs/>
          <w:sz w:val="24"/>
          <w:szCs w:val="24"/>
          <w:rtl/>
        </w:rPr>
        <w:t xml:space="preserve">): </w:t>
      </w:r>
      <w:r w:rsidR="00CA6385">
        <w:rPr>
          <w:rFonts w:ascii="Simplified Arabic" w:hAnsi="Simplified Arabic" w:cs="Simplified Arabic"/>
          <w:sz w:val="24"/>
          <w:szCs w:val="24"/>
          <w:rtl/>
        </w:rPr>
        <w:t>إجراء دراسة استطلاعية (</w:t>
      </w:r>
      <w:r w:rsidR="00CA6385">
        <w:rPr>
          <w:rFonts w:ascii="Simplified Arabic" w:hAnsi="Simplified Arabic" w:cs="Simplified Arabic"/>
          <w:sz w:val="24"/>
          <w:szCs w:val="24"/>
        </w:rPr>
        <w:t>Pilot Study</w:t>
      </w:r>
      <w:r w:rsidR="00CA6385">
        <w:rPr>
          <w:rFonts w:ascii="Simplified Arabic" w:hAnsi="Simplified Arabic" w:cs="Simplified Arabic"/>
          <w:sz w:val="24"/>
          <w:szCs w:val="24"/>
          <w:rtl/>
        </w:rPr>
        <w:t xml:space="preserve">) على عينة خارج العينة النهائية تتراوح بين 30 و50 مستجيبًا، وحساب معامل ألفا </w:t>
      </w:r>
      <w:proofErr w:type="spellStart"/>
      <w:r w:rsidR="00CA6385">
        <w:rPr>
          <w:rFonts w:ascii="Simplified Arabic" w:hAnsi="Simplified Arabic" w:cs="Simplified Arabic"/>
          <w:sz w:val="24"/>
          <w:szCs w:val="24"/>
          <w:rtl/>
        </w:rPr>
        <w:t>كرونباخ</w:t>
      </w:r>
      <w:proofErr w:type="spellEnd"/>
      <w:r w:rsidR="00CA6385">
        <w:rPr>
          <w:rFonts w:ascii="Simplified Arabic" w:hAnsi="Simplified Arabic" w:cs="Simplified Arabic"/>
          <w:sz w:val="24"/>
          <w:szCs w:val="24"/>
          <w:rtl/>
        </w:rPr>
        <w:t xml:space="preserve"> (</w:t>
      </w:r>
      <w:r w:rsidR="00CA6385">
        <w:rPr>
          <w:rFonts w:ascii="Simplified Arabic" w:hAnsi="Simplified Arabic" w:cs="Simplified Arabic"/>
          <w:sz w:val="24"/>
          <w:szCs w:val="24"/>
        </w:rPr>
        <w:t>Cronbach’s Alpha</w:t>
      </w:r>
      <w:r w:rsidR="00CA6385">
        <w:rPr>
          <w:rFonts w:ascii="Simplified Arabic" w:hAnsi="Simplified Arabic" w:cs="Simplified Arabic"/>
          <w:sz w:val="24"/>
          <w:szCs w:val="24"/>
          <w:rtl/>
        </w:rPr>
        <w:t>) لجميع الأبعاد، مع اعتماد قيم أعلى من 0.70 كمستوى مقبول للثبات</w:t>
      </w:r>
      <w:r w:rsidR="00CA6385" w:rsidRPr="00CA6385">
        <w:rPr>
          <w:rFonts w:ascii="Simplified Arabic" w:hAnsi="Simplified Arabic" w:cs="Simplified Arabic"/>
          <w:sz w:val="24"/>
          <w:szCs w:val="24"/>
        </w:rPr>
        <w:t>.</w:t>
      </w:r>
    </w:p>
    <w:p w14:paraId="4018CDD1" w14:textId="58CD3CD7" w:rsidR="003A00C3" w:rsidRPr="00CA6385" w:rsidRDefault="00856F43" w:rsidP="00856F43">
      <w:pPr>
        <w:tabs>
          <w:tab w:val="num" w:pos="720"/>
        </w:tabs>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10.4</w:t>
      </w:r>
      <w:r w:rsidR="003A00C3" w:rsidRPr="00CA6385">
        <w:rPr>
          <w:rFonts w:ascii="Simplified Arabic" w:hAnsi="Simplified Arabic" w:cs="Simplified Arabic"/>
          <w:b/>
          <w:bCs/>
          <w:sz w:val="28"/>
          <w:szCs w:val="28"/>
        </w:rPr>
        <w:t xml:space="preserve"> </w:t>
      </w:r>
      <w:r w:rsidR="003A00C3" w:rsidRPr="00CA6385">
        <w:rPr>
          <w:rFonts w:ascii="Simplified Arabic" w:hAnsi="Simplified Arabic" w:cs="Simplified Arabic"/>
          <w:b/>
          <w:bCs/>
          <w:sz w:val="28"/>
          <w:szCs w:val="28"/>
          <w:rtl/>
        </w:rPr>
        <w:t xml:space="preserve">الأساليب الإحصائية لتحليل النتائج </w:t>
      </w:r>
    </w:p>
    <w:p w14:paraId="5698BBA2" w14:textId="13DE8B27" w:rsidR="00681F79" w:rsidRPr="00681F79" w:rsidRDefault="00681F79" w:rsidP="00681F79">
      <w:pPr>
        <w:tabs>
          <w:tab w:val="num" w:pos="720"/>
        </w:tabs>
        <w:bidi/>
        <w:spacing w:line="360" w:lineRule="auto"/>
        <w:jc w:val="both"/>
        <w:rPr>
          <w:rFonts w:ascii="Simplified Arabic" w:hAnsi="Simplified Arabic" w:cs="Simplified Arabic"/>
          <w:sz w:val="28"/>
          <w:szCs w:val="28"/>
        </w:rPr>
      </w:pPr>
      <w:r w:rsidRPr="00681F79">
        <w:rPr>
          <w:rFonts w:ascii="Simplified Arabic" w:hAnsi="Simplified Arabic" w:cs="Simplified Arabic"/>
          <w:sz w:val="24"/>
          <w:szCs w:val="24"/>
          <w:rtl/>
        </w:rPr>
        <w:t>تعتمد الدراسة على أساليب إحصائية وصفية واستدلالية تتناسب مع أهدافها وفروضها، مع استخدام نمذجة المعادلات الهيكلية لاختبار العلاقات المباشرة وغير المباشرة والوساطة المتسلسلة</w:t>
      </w:r>
      <w:r w:rsidR="00E72678">
        <w:rPr>
          <w:rFonts w:ascii="Simplified Arabic" w:hAnsi="Simplified Arabic" w:cs="Simplified Arabic" w:hint="cs"/>
          <w:sz w:val="28"/>
          <w:szCs w:val="28"/>
          <w:rtl/>
        </w:rPr>
        <w:t>.</w:t>
      </w:r>
    </w:p>
    <w:p w14:paraId="75594126" w14:textId="2ADF2928" w:rsidR="003A00C3" w:rsidRPr="00B23622" w:rsidRDefault="00856F43" w:rsidP="00681F79">
      <w:pPr>
        <w:tabs>
          <w:tab w:val="num" w:pos="720"/>
        </w:tabs>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10</w:t>
      </w:r>
      <w:r w:rsidR="003A00C3" w:rsidRPr="00033C2D">
        <w:rPr>
          <w:rFonts w:ascii="Simplified Arabic" w:hAnsi="Simplified Arabic" w:cs="Simplified Arabic"/>
          <w:b/>
          <w:bCs/>
          <w:sz w:val="28"/>
          <w:szCs w:val="28"/>
        </w:rPr>
        <w:t xml:space="preserve">.4.1 </w:t>
      </w:r>
      <w:r w:rsidR="003A00C3" w:rsidRPr="00033C2D">
        <w:rPr>
          <w:rFonts w:ascii="Simplified Arabic" w:hAnsi="Simplified Arabic" w:cs="Simplified Arabic"/>
          <w:b/>
          <w:bCs/>
          <w:sz w:val="28"/>
          <w:szCs w:val="28"/>
          <w:rtl/>
        </w:rPr>
        <w:t>الإحصاء الوصفي</w:t>
      </w:r>
      <w:r w:rsidR="003A00C3" w:rsidRPr="00033C2D">
        <w:rPr>
          <w:rFonts w:ascii="Simplified Arabic" w:hAnsi="Simplified Arabic" w:cs="Simplified Arabic"/>
          <w:b/>
          <w:bCs/>
          <w:sz w:val="28"/>
          <w:szCs w:val="28"/>
        </w:rPr>
        <w:t xml:space="preserve"> (Descriptive Statistics)</w:t>
      </w:r>
    </w:p>
    <w:p w14:paraId="4CFFF951" w14:textId="234F521D" w:rsidR="00B23622" w:rsidRPr="00B23622" w:rsidRDefault="00B23622" w:rsidP="00B23622">
      <w:pPr>
        <w:tabs>
          <w:tab w:val="num" w:pos="720"/>
        </w:tabs>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 xml:space="preserve">في المرحلة الأولى، سيتم استخدام برنامج </w:t>
      </w:r>
      <w:r>
        <w:rPr>
          <w:rFonts w:ascii="Simplified Arabic" w:hAnsi="Simplified Arabic" w:cs="Simplified Arabic"/>
          <w:sz w:val="24"/>
          <w:szCs w:val="24"/>
        </w:rPr>
        <w:t>IBM SPSS</w:t>
      </w:r>
      <w:r>
        <w:rPr>
          <w:rFonts w:ascii="Simplified Arabic" w:hAnsi="Simplified Arabic" w:cs="Simplified Arabic"/>
          <w:sz w:val="24"/>
          <w:szCs w:val="24"/>
          <w:rtl/>
        </w:rPr>
        <w:t xml:space="preserve"> (الإصدار 28 أو أحدث) لإجراء التحليلات الوصفية، التي تشمل التوزيعات التكرارية والنسب المئوية للخصائص الديموغرافية للعينة، مثل الجنس والعمر والمؤهل وسنوات الخبرة والرتبة الوظيفية والقسم الطبي. بالإضافة إلى ذلك، سيتم حساب المتوسط الحسابي والانحراف المعياري لكل من القيادة التحويلية، وثقافة سلامة المرضى، وسلوكيات السلامة، والأحداث الضارة؛ بهدف وصف مستويات إدراك المشاركين لهذه المتغيرات.</w:t>
      </w:r>
    </w:p>
    <w:p w14:paraId="663A20AE" w14:textId="11AF3012" w:rsidR="003A00C3" w:rsidRPr="00033C2D" w:rsidRDefault="003A00C3" w:rsidP="003A00C3">
      <w:pPr>
        <w:tabs>
          <w:tab w:val="num" w:pos="720"/>
        </w:tabs>
        <w:bidi/>
        <w:spacing w:line="360" w:lineRule="auto"/>
        <w:jc w:val="both"/>
        <w:rPr>
          <w:rFonts w:ascii="Simplified Arabic" w:hAnsi="Simplified Arabic" w:cs="Simplified Arabic"/>
          <w:b/>
          <w:bCs/>
          <w:sz w:val="28"/>
          <w:szCs w:val="28"/>
          <w:rtl/>
        </w:rPr>
      </w:pPr>
      <w:r w:rsidRPr="00033C2D">
        <w:rPr>
          <w:rFonts w:ascii="Simplified Arabic" w:hAnsi="Simplified Arabic" w:cs="Simplified Arabic"/>
          <w:b/>
          <w:bCs/>
          <w:sz w:val="28"/>
          <w:szCs w:val="28"/>
        </w:rPr>
        <w:t>.</w:t>
      </w:r>
      <w:r w:rsidR="00856F43">
        <w:rPr>
          <w:rFonts w:ascii="Simplified Arabic" w:hAnsi="Simplified Arabic" w:cs="Simplified Arabic"/>
          <w:b/>
          <w:bCs/>
          <w:sz w:val="28"/>
          <w:szCs w:val="28"/>
        </w:rPr>
        <w:t>10.4.2</w:t>
      </w:r>
      <w:r w:rsidRPr="00033C2D">
        <w:rPr>
          <w:rFonts w:ascii="Simplified Arabic" w:hAnsi="Simplified Arabic" w:cs="Simplified Arabic"/>
          <w:b/>
          <w:bCs/>
          <w:sz w:val="28"/>
          <w:szCs w:val="28"/>
        </w:rPr>
        <w:t xml:space="preserve"> </w:t>
      </w:r>
      <w:r w:rsidRPr="00033C2D">
        <w:rPr>
          <w:rFonts w:ascii="Simplified Arabic" w:hAnsi="Simplified Arabic" w:cs="Simplified Arabic"/>
          <w:b/>
          <w:bCs/>
          <w:sz w:val="28"/>
          <w:szCs w:val="28"/>
          <w:rtl/>
        </w:rPr>
        <w:t>الإحصاء الاستدلالي واختبار الفروض</w:t>
      </w:r>
    </w:p>
    <w:p w14:paraId="6F57435D" w14:textId="7094CAD0" w:rsidR="00100E3E" w:rsidRPr="00033C2D" w:rsidRDefault="00C01BF4" w:rsidP="00C01BF4">
      <w:pPr>
        <w:tabs>
          <w:tab w:val="num" w:pos="720"/>
        </w:tabs>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في المرحلة الثانية، سيتم استخدام نمذجة المعادلات الهيكلية (</w:t>
      </w:r>
      <w:r>
        <w:rPr>
          <w:rFonts w:ascii="Simplified Arabic" w:hAnsi="Simplified Arabic" w:cs="Simplified Arabic"/>
          <w:sz w:val="24"/>
          <w:szCs w:val="24"/>
        </w:rPr>
        <w:t>SEM</w:t>
      </w:r>
      <w:r>
        <w:rPr>
          <w:rFonts w:ascii="Simplified Arabic" w:hAnsi="Simplified Arabic" w:cs="Simplified Arabic"/>
          <w:sz w:val="24"/>
          <w:szCs w:val="24"/>
          <w:rtl/>
        </w:rPr>
        <w:t>) بوصفها الأداة الرئيسية لاختبار الفروض المتعلقة بالعلاقات المباشرة وغير المباشرة والوساطة المتسلسلة بين متغيرات الدراسة، مع تقييم جودة ملاءمة النموذج باستخدام مؤشرات التوفيق الملائمة</w:t>
      </w:r>
      <w:r w:rsidRPr="00C01BF4">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00100E3E" w:rsidRPr="00033C2D">
        <w:rPr>
          <w:rFonts w:ascii="Simplified Arabic" w:hAnsi="Simplified Arabic" w:cs="Simplified Arabic"/>
          <w:sz w:val="24"/>
          <w:szCs w:val="24"/>
          <w:rtl/>
        </w:rPr>
        <w:t>تم اختيار نموذج المعادلات الهيكلية (</w:t>
      </w:r>
      <w:r w:rsidR="00100E3E" w:rsidRPr="00033C2D">
        <w:rPr>
          <w:rFonts w:ascii="Simplified Arabic" w:hAnsi="Simplified Arabic" w:cs="Simplified Arabic"/>
          <w:sz w:val="24"/>
          <w:szCs w:val="24"/>
        </w:rPr>
        <w:t>SEM</w:t>
      </w:r>
      <w:r w:rsidR="00100E3E" w:rsidRPr="00033C2D">
        <w:rPr>
          <w:rFonts w:ascii="Simplified Arabic" w:hAnsi="Simplified Arabic" w:cs="Simplified Arabic"/>
          <w:sz w:val="24"/>
          <w:szCs w:val="24"/>
          <w:rtl/>
        </w:rPr>
        <w:t>) كأداة تحليلية موحدة وشاملة لاختبار جميع فرضيات الدراسة (</w:t>
      </w:r>
      <w:r w:rsidR="00100E3E" w:rsidRPr="00033C2D">
        <w:rPr>
          <w:rFonts w:ascii="Simplified Arabic" w:hAnsi="Simplified Arabic" w:cs="Simplified Arabic"/>
          <w:sz w:val="24"/>
          <w:szCs w:val="24"/>
        </w:rPr>
        <w:t>H1-H5</w:t>
      </w:r>
      <w:r w:rsidR="00100E3E" w:rsidRPr="00033C2D">
        <w:rPr>
          <w:rFonts w:ascii="Simplified Arabic" w:hAnsi="Simplified Arabic" w:cs="Simplified Arabic"/>
          <w:sz w:val="24"/>
          <w:szCs w:val="24"/>
          <w:rtl/>
        </w:rPr>
        <w:t>). ويعود هذا الاختيار إلى طبيعة النموذج المقترح الذي يتضمن علاقات معقدة ومتعددة المستويات تجمع بين التأثيرات المباشرة وغير المباشرة والمسارات المتسلسلة. وتظهر مميزات نمذجة المعادلات الهيكلية في قدرتها الفريدة على معالجة هذا التعقيد المنهجي بطريقة متكاملة، حيث توفر إطارًا موحدًا لاختبار جميع العلاقات السببية ضمن نموذج شامل واحد، بدلاً من الاعتماد على تحليلات متعددة منفصلة قد تؤدي إلى نتائج متضاربة أو غير موثوقة.</w:t>
      </w:r>
    </w:p>
    <w:p w14:paraId="3FA5CA32" w14:textId="1D60228B" w:rsidR="003A00C3" w:rsidRPr="00033C2D" w:rsidRDefault="00100E3E" w:rsidP="003A00C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 xml:space="preserve">تتمتع نمذجة المعادلات الهيكلية بعدة مزايا أساسية تجعلها الخيار الأمثل لهذه الدراسة. أولاً، تتيح قياس العلاقات المباشرة بين المتغيرات (الفروض </w:t>
      </w: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و2</w:t>
      </w:r>
      <w:r w:rsidR="00620DF3">
        <w:rPr>
          <w:rFonts w:ascii="Simplified Arabic" w:hAnsi="Simplified Arabic" w:cs="Simplified Arabic"/>
          <w:sz w:val="24"/>
          <w:szCs w:val="24"/>
        </w:rPr>
        <w:t>H</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حيث يتم تقدير معاملات المسار (</w:t>
      </w:r>
      <w:r w:rsidRPr="00033C2D">
        <w:rPr>
          <w:rFonts w:ascii="Simplified Arabic" w:hAnsi="Simplified Arabic" w:cs="Simplified Arabic"/>
          <w:sz w:val="24"/>
          <w:szCs w:val="24"/>
        </w:rPr>
        <w:t>Path Coefficients</w:t>
      </w:r>
      <w:r w:rsidRPr="00033C2D">
        <w:rPr>
          <w:rFonts w:ascii="Simplified Arabic" w:hAnsi="Simplified Arabic" w:cs="Simplified Arabic"/>
          <w:sz w:val="24"/>
          <w:szCs w:val="24"/>
          <w:rtl/>
        </w:rPr>
        <w:t>) وقيم الإحصاء الاختباري (</w:t>
      </w:r>
      <w:r w:rsidRPr="00033C2D">
        <w:rPr>
          <w:rFonts w:ascii="Simplified Arabic" w:hAnsi="Simplified Arabic" w:cs="Simplified Arabic"/>
          <w:sz w:val="24"/>
          <w:szCs w:val="24"/>
        </w:rPr>
        <w:t>t-statistics</w:t>
      </w:r>
      <w:r w:rsidRPr="00033C2D">
        <w:rPr>
          <w:rFonts w:ascii="Simplified Arabic" w:hAnsi="Simplified Arabic" w:cs="Simplified Arabic"/>
          <w:sz w:val="24"/>
          <w:szCs w:val="24"/>
          <w:rtl/>
        </w:rPr>
        <w:t>) ومستويات الدلالة الإحصائية (</w:t>
      </w:r>
      <w:r w:rsidRPr="00033C2D">
        <w:rPr>
          <w:rFonts w:ascii="Simplified Arabic" w:hAnsi="Simplified Arabic" w:cs="Simplified Arabic"/>
          <w:sz w:val="24"/>
          <w:szCs w:val="24"/>
        </w:rPr>
        <w:t>p-values</w:t>
      </w:r>
      <w:r w:rsidRPr="00033C2D">
        <w:rPr>
          <w:rFonts w:ascii="Simplified Arabic" w:hAnsi="Simplified Arabic" w:cs="Simplified Arabic"/>
          <w:sz w:val="24"/>
          <w:szCs w:val="24"/>
          <w:rtl/>
        </w:rPr>
        <w:t>) لكل مسار مباشر. ثانيًا، ومن الأهمية بمكان، توفر قدرة فريدة على قياس التأثيرات غير المباشرة (</w:t>
      </w:r>
      <w:r w:rsidRPr="00033C2D">
        <w:rPr>
          <w:rFonts w:ascii="Simplified Arabic" w:hAnsi="Simplified Arabic" w:cs="Simplified Arabic"/>
          <w:sz w:val="24"/>
          <w:szCs w:val="24"/>
        </w:rPr>
        <w:t>Indirect Effects</w:t>
      </w:r>
      <w:r w:rsidRPr="00033C2D">
        <w:rPr>
          <w:rFonts w:ascii="Simplified Arabic" w:hAnsi="Simplified Arabic" w:cs="Simplified Arabic"/>
          <w:sz w:val="24"/>
          <w:szCs w:val="24"/>
          <w:rtl/>
        </w:rPr>
        <w:t>) والمتسلسلة (</w:t>
      </w:r>
      <w:r w:rsidRPr="00033C2D">
        <w:rPr>
          <w:rFonts w:ascii="Simplified Arabic" w:hAnsi="Simplified Arabic" w:cs="Simplified Arabic"/>
          <w:sz w:val="24"/>
          <w:szCs w:val="24"/>
        </w:rPr>
        <w:t>Sequential Effects</w:t>
      </w:r>
      <w:r w:rsidRPr="00033C2D">
        <w:rPr>
          <w:rFonts w:ascii="Simplified Arabic" w:hAnsi="Simplified Arabic" w:cs="Simplified Arabic"/>
          <w:sz w:val="24"/>
          <w:szCs w:val="24"/>
          <w:rtl/>
        </w:rPr>
        <w:t>)، مما يسهم في اختبار الفروض الوسيطة المعقدة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w:t>
      </w:r>
      <w:r w:rsidRPr="00033C2D">
        <w:rPr>
          <w:rFonts w:ascii="Simplified Arabic" w:hAnsi="Simplified Arabic" w:cs="Simplified Arabic"/>
          <w:sz w:val="24"/>
          <w:szCs w:val="24"/>
          <w:rtl/>
        </w:rPr>
        <w:t>5) بدقة عالية. ثالثًا، تقدم مؤشرات شاملة لجودة النموذج الكامل (</w:t>
      </w:r>
      <w:r w:rsidRPr="00033C2D">
        <w:rPr>
          <w:rFonts w:ascii="Simplified Arabic" w:hAnsi="Simplified Arabic" w:cs="Simplified Arabic"/>
          <w:sz w:val="24"/>
          <w:szCs w:val="24"/>
        </w:rPr>
        <w:t>Model Fit Indices</w:t>
      </w:r>
      <w:r w:rsidRPr="00033C2D">
        <w:rPr>
          <w:rFonts w:ascii="Simplified Arabic" w:hAnsi="Simplified Arabic" w:cs="Simplified Arabic"/>
          <w:sz w:val="24"/>
          <w:szCs w:val="24"/>
          <w:rtl/>
        </w:rPr>
        <w:t>)، مما يسمح بتقييم مدى ملاءمة النموذج المقترح للبيانات الحقيقية.</w:t>
      </w:r>
    </w:p>
    <w:p w14:paraId="564ABD86"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مراحل التحليل</w:t>
      </w:r>
      <w:r w:rsidRPr="00033C2D">
        <w:rPr>
          <w:rFonts w:ascii="Simplified Arabic" w:hAnsi="Simplified Arabic" w:cs="Simplified Arabic"/>
          <w:b/>
          <w:bCs/>
          <w:sz w:val="28"/>
          <w:szCs w:val="28"/>
        </w:rPr>
        <w:t>:</w:t>
      </w:r>
    </w:p>
    <w:p w14:paraId="0C55A3F6"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الأولى: نموذج القياس</w:t>
      </w:r>
      <w:r w:rsidRPr="00033C2D">
        <w:rPr>
          <w:rFonts w:ascii="Simplified Arabic" w:hAnsi="Simplified Arabic" w:cs="Simplified Arabic"/>
          <w:b/>
          <w:bCs/>
          <w:sz w:val="28"/>
          <w:szCs w:val="28"/>
        </w:rPr>
        <w:t xml:space="preserve"> (Measurement Model)</w:t>
      </w:r>
    </w:p>
    <w:p w14:paraId="7D1EDAED" w14:textId="18CB5C63" w:rsidR="008812B3" w:rsidRPr="00033C2D" w:rsidRDefault="00100E3E"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تجسد هذه المرحلة الأساس الأول والحاسم للتحليل، حيث يتم التحقق من صحة المقاييس المستخدمة لقياس متغيرات الدراسة. سيتم إجراء تحليل العوامل التأكيدي (</w:t>
      </w:r>
      <w:r w:rsidRPr="00033C2D">
        <w:rPr>
          <w:rFonts w:ascii="Simplified Arabic" w:hAnsi="Simplified Arabic" w:cs="Simplified Arabic"/>
          <w:sz w:val="24"/>
          <w:szCs w:val="24"/>
        </w:rPr>
        <w:t>Confirmatory Factor Analysis - CFA</w:t>
      </w:r>
      <w:r w:rsidRPr="00033C2D">
        <w:rPr>
          <w:rFonts w:ascii="Simplified Arabic" w:hAnsi="Simplified Arabic" w:cs="Simplified Arabic"/>
          <w:sz w:val="24"/>
          <w:szCs w:val="24"/>
          <w:rtl/>
        </w:rPr>
        <w:t xml:space="preserve">) لاختبار مدى دقة العبارات المستخدمة في </w:t>
      </w:r>
      <w:proofErr w:type="gramStart"/>
      <w:r w:rsidRPr="00033C2D">
        <w:rPr>
          <w:rFonts w:ascii="Simplified Arabic" w:hAnsi="Simplified Arabic" w:cs="Simplified Arabic"/>
          <w:sz w:val="24"/>
          <w:szCs w:val="24"/>
          <w:rtl/>
        </w:rPr>
        <w:t>الاستبيان</w:t>
      </w:r>
      <w:proofErr w:type="gramEnd"/>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tl/>
        </w:rPr>
        <w:lastRenderedPageBreak/>
        <w:t>في قياس الأبعاد النظرية المقصودة لكل متغير. وتتضمن هذه المرحلة التحقق من: أولاً، الثبات التركيبي (</w:t>
      </w:r>
      <w:r w:rsidRPr="00033C2D">
        <w:rPr>
          <w:rFonts w:ascii="Simplified Arabic" w:hAnsi="Simplified Arabic" w:cs="Simplified Arabic"/>
          <w:sz w:val="24"/>
          <w:szCs w:val="24"/>
        </w:rPr>
        <w:t>Composite Reliability - CR</w:t>
      </w:r>
      <w:r w:rsidRPr="00033C2D">
        <w:rPr>
          <w:rFonts w:ascii="Simplified Arabic" w:hAnsi="Simplified Arabic" w:cs="Simplified Arabic"/>
          <w:sz w:val="24"/>
          <w:szCs w:val="24"/>
          <w:rtl/>
        </w:rPr>
        <w:t xml:space="preserve">)، بحيث يجب أن تكون قيم الثبات لجميع المتغيّرات أكبر من 0.70. </w:t>
      </w:r>
    </w:p>
    <w:p w14:paraId="19972C89" w14:textId="364DB4EC" w:rsidR="003A00C3" w:rsidRPr="00033C2D" w:rsidRDefault="00100E3E" w:rsidP="008812B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 xml:space="preserve">ثانياً، يُحقق الصدق </w:t>
      </w:r>
      <w:proofErr w:type="spellStart"/>
      <w:r w:rsidRPr="00033C2D">
        <w:rPr>
          <w:rFonts w:ascii="Simplified Arabic" w:hAnsi="Simplified Arabic" w:cs="Simplified Arabic"/>
          <w:sz w:val="24"/>
          <w:szCs w:val="24"/>
          <w:rtl/>
        </w:rPr>
        <w:t>التقاربي</w:t>
      </w:r>
      <w:proofErr w:type="spellEnd"/>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Convergent Validity</w:t>
      </w:r>
      <w:r w:rsidRPr="00033C2D">
        <w:rPr>
          <w:rFonts w:ascii="Simplified Arabic" w:hAnsi="Simplified Arabic" w:cs="Simplified Arabic"/>
          <w:sz w:val="24"/>
          <w:szCs w:val="24"/>
          <w:rtl/>
        </w:rPr>
        <w:t>) من خلال متوسط التباين المستخرج (</w:t>
      </w:r>
      <w:r w:rsidRPr="00033C2D">
        <w:rPr>
          <w:rFonts w:ascii="Simplified Arabic" w:hAnsi="Simplified Arabic" w:cs="Simplified Arabic"/>
          <w:sz w:val="24"/>
          <w:szCs w:val="24"/>
        </w:rPr>
        <w:t>Average Variance Extracted - AVE</w:t>
      </w:r>
      <w:r w:rsidRPr="00033C2D">
        <w:rPr>
          <w:rFonts w:ascii="Simplified Arabic" w:hAnsi="Simplified Arabic" w:cs="Simplified Arabic"/>
          <w:sz w:val="24"/>
          <w:szCs w:val="24"/>
          <w:rtl/>
        </w:rPr>
        <w:t>)، حيث ينبغي أن تتجاوز قيمته الحد الأدنى البالغ 0.50. ثالثاً، يُحقق الصدق التمييزي (</w:t>
      </w:r>
      <w:r w:rsidRPr="00033C2D">
        <w:rPr>
          <w:rFonts w:ascii="Simplified Arabic" w:hAnsi="Simplified Arabic" w:cs="Simplified Arabic"/>
          <w:sz w:val="24"/>
          <w:szCs w:val="24"/>
        </w:rPr>
        <w:t>Discriminant Validity</w:t>
      </w:r>
      <w:r w:rsidRPr="00033C2D">
        <w:rPr>
          <w:rFonts w:ascii="Simplified Arabic" w:hAnsi="Simplified Arabic" w:cs="Simplified Arabic"/>
          <w:sz w:val="24"/>
          <w:szCs w:val="24"/>
          <w:rtl/>
        </w:rPr>
        <w:t xml:space="preserve">)، الذي يؤكد تميُّز كل متغير عن الآخر بفعالية، من خلال مقارنة الجذر التربيعي لقيمة </w:t>
      </w:r>
      <w:r w:rsidRPr="00033C2D">
        <w:rPr>
          <w:rFonts w:ascii="Simplified Arabic" w:hAnsi="Simplified Arabic" w:cs="Simplified Arabic"/>
          <w:sz w:val="24"/>
          <w:szCs w:val="24"/>
        </w:rPr>
        <w:t>AVE</w:t>
      </w:r>
      <w:r w:rsidRPr="00033C2D">
        <w:rPr>
          <w:rFonts w:ascii="Simplified Arabic" w:hAnsi="Simplified Arabic" w:cs="Simplified Arabic"/>
          <w:sz w:val="24"/>
          <w:szCs w:val="24"/>
          <w:rtl/>
        </w:rPr>
        <w:t xml:space="preserve"> مع الارتباطات بين المتغيرات.</w:t>
      </w:r>
    </w:p>
    <w:p w14:paraId="5794499A"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الثانية: النموذج الهيكلي</w:t>
      </w:r>
      <w:r w:rsidRPr="00033C2D">
        <w:rPr>
          <w:rFonts w:ascii="Simplified Arabic" w:hAnsi="Simplified Arabic" w:cs="Simplified Arabic"/>
          <w:b/>
          <w:bCs/>
          <w:sz w:val="28"/>
          <w:szCs w:val="28"/>
        </w:rPr>
        <w:t xml:space="preserve"> (Structural Model)</w:t>
      </w:r>
    </w:p>
    <w:p w14:paraId="6897CA10" w14:textId="4F41F30A" w:rsidR="008812B3" w:rsidRPr="00033C2D" w:rsidRDefault="00BE577C"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بعد التأكد من صحة المقاييس، يُجرى اختبار العلاقات السببية بين المتغيرات. في هذه المرحلة، سيتم فحص الفرضيات الثلاث الأولى (</w:t>
      </w: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H2</w:t>
      </w: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المتعلقة بالعلاقات المباشرة بين المتغيرات.</w:t>
      </w:r>
    </w:p>
    <w:p w14:paraId="1D3E9CF5" w14:textId="46F5233C" w:rsidR="008812B3" w:rsidRPr="00033C2D" w:rsidRDefault="008812B3"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يوجد تأثير مباشر ذو دلالة إحصائية للقيادة التحويلية على </w:t>
      </w:r>
      <w:r w:rsidR="007D1551" w:rsidRPr="007D1551">
        <w:rPr>
          <w:rFonts w:ascii="Simplified Arabic" w:hAnsi="Simplified Arabic" w:cs="Simplified Arabic"/>
          <w:sz w:val="24"/>
          <w:szCs w:val="24"/>
          <w:rtl/>
        </w:rPr>
        <w:t>ثقافة سلامة المرضى</w:t>
      </w:r>
    </w:p>
    <w:p w14:paraId="2D9045EC" w14:textId="5E74EE6B" w:rsidR="008812B3" w:rsidRPr="00033C2D" w:rsidRDefault="008812B3"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H2</w:t>
      </w:r>
      <w:r w:rsidRPr="00033C2D">
        <w:rPr>
          <w:rFonts w:ascii="Simplified Arabic" w:hAnsi="Simplified Arabic" w:cs="Simplified Arabic"/>
          <w:sz w:val="24"/>
          <w:szCs w:val="24"/>
          <w:rtl/>
        </w:rPr>
        <w:t>: يوجد تأثير مباشر ذو دلالة إحصائية ل</w:t>
      </w:r>
      <w:r w:rsidR="007D1551" w:rsidRPr="007D1551">
        <w:rPr>
          <w:rFonts w:ascii="Simplified Arabic" w:hAnsi="Simplified Arabic" w:cs="Simplified Arabic"/>
          <w:sz w:val="24"/>
          <w:szCs w:val="24"/>
          <w:rtl/>
        </w:rPr>
        <w:t>ثقافة سلامة المرضى</w:t>
      </w:r>
      <w:r w:rsidRPr="00033C2D">
        <w:rPr>
          <w:rFonts w:ascii="Simplified Arabic" w:hAnsi="Simplified Arabic" w:cs="Simplified Arabic"/>
          <w:sz w:val="24"/>
          <w:szCs w:val="24"/>
          <w:rtl/>
        </w:rPr>
        <w:t xml:space="preserve"> على سلوكيات السلامة</w:t>
      </w:r>
    </w:p>
    <w:p w14:paraId="64EBC4E5"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يوجد تأثير مباشر ذو دلالة إحصائية لسلوكيات السلامة على تقليل الأحداث الضارة</w:t>
      </w:r>
    </w:p>
    <w:p w14:paraId="7C625143" w14:textId="26925A51" w:rsidR="003A00C3" w:rsidRPr="00033C2D" w:rsidRDefault="00BE577C" w:rsidP="003A00C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يُقيم معاملات المسار لكل علاقة مباشرة، ويتم فحص قيم الإحصاء الاختبارية (</w:t>
      </w:r>
      <w:r w:rsidRPr="00033C2D">
        <w:rPr>
          <w:rFonts w:ascii="Simplified Arabic" w:hAnsi="Simplified Arabic" w:cs="Simplified Arabic"/>
          <w:sz w:val="24"/>
          <w:szCs w:val="24"/>
        </w:rPr>
        <w:t>t-statistics</w:t>
      </w:r>
      <w:r w:rsidRPr="00033C2D">
        <w:rPr>
          <w:rFonts w:ascii="Simplified Arabic" w:hAnsi="Simplified Arabic" w:cs="Simplified Arabic"/>
          <w:sz w:val="24"/>
          <w:szCs w:val="24"/>
          <w:rtl/>
        </w:rPr>
        <w:t>) والدلالة الإحصائية للتأكد من أن كل معاملة مسار تمتلك دلالة إحصائية عند مستوى 0.05.</w:t>
      </w:r>
    </w:p>
    <w:p w14:paraId="62D47BD0"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الثالثة: اختبار التأثيرات غير المباشرة والمسارات المتسلسلة</w:t>
      </w:r>
    </w:p>
    <w:p w14:paraId="1ABF68CC" w14:textId="02DE8536" w:rsidR="00BE577C" w:rsidRPr="00033C2D" w:rsidRDefault="00BE577C"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تمثل هذه المرحلة أعماق مستويات التحليل، حيث يتم اختبار الفروض الوسيطة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H5</w:t>
      </w:r>
      <w:r w:rsidRPr="00033C2D">
        <w:rPr>
          <w:rFonts w:ascii="Simplified Arabic" w:hAnsi="Simplified Arabic" w:cs="Simplified Arabic"/>
          <w:sz w:val="24"/>
          <w:szCs w:val="24"/>
          <w:rtl/>
        </w:rPr>
        <w:t>). وتختبر الفرضية الرابعة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ما إذا كانت </w:t>
      </w:r>
      <w:r w:rsidR="007D1551" w:rsidRPr="007D1551">
        <w:rPr>
          <w:rFonts w:ascii="Simplified Arabic" w:hAnsi="Simplified Arabic" w:cs="Simplified Arabic"/>
          <w:sz w:val="24"/>
          <w:szCs w:val="24"/>
          <w:rtl/>
        </w:rPr>
        <w:t>ثقافة سلامة المرضى</w:t>
      </w:r>
      <w:r w:rsidRPr="00033C2D">
        <w:rPr>
          <w:rFonts w:ascii="Simplified Arabic" w:hAnsi="Simplified Arabic" w:cs="Simplified Arabic"/>
          <w:sz w:val="24"/>
          <w:szCs w:val="24"/>
          <w:rtl/>
        </w:rPr>
        <w:t xml:space="preserve"> تلعب دور الوسيط في العلاقة بين القيادة التحويلية وسلوكيات السلامة، في حين تقوم الفرضية الخامسة (</w:t>
      </w:r>
      <w:r w:rsidRPr="00033C2D">
        <w:rPr>
          <w:rFonts w:ascii="Simplified Arabic" w:hAnsi="Simplified Arabic" w:cs="Simplified Arabic"/>
          <w:sz w:val="24"/>
          <w:szCs w:val="24"/>
        </w:rPr>
        <w:t>H5</w:t>
      </w:r>
      <w:r w:rsidRPr="00033C2D">
        <w:rPr>
          <w:rFonts w:ascii="Simplified Arabic" w:hAnsi="Simplified Arabic" w:cs="Simplified Arabic"/>
          <w:sz w:val="24"/>
          <w:szCs w:val="24"/>
          <w:rtl/>
        </w:rPr>
        <w:t>) بفحص المسار التسلسلي الأكثر تعقيدًا، حيث تؤثر القيادة على تقليل الحوادث الضارة من خلال وساطة متعاقبة لثقافة السلامة ثم سلوكيات السلامة. ولكي يتم اختبار هذه التأثيرات غير المباشرة والمتسلسلة بدقة عالية، سيتم اعتماد تقنية التمهيد (</w:t>
      </w:r>
      <w:r w:rsidRPr="00033C2D">
        <w:rPr>
          <w:rFonts w:ascii="Simplified Arabic" w:hAnsi="Simplified Arabic" w:cs="Simplified Arabic"/>
          <w:sz w:val="24"/>
          <w:szCs w:val="24"/>
        </w:rPr>
        <w:t>Bootstrapping</w:t>
      </w:r>
      <w:r w:rsidRPr="00033C2D">
        <w:rPr>
          <w:rFonts w:ascii="Simplified Arabic" w:hAnsi="Simplified Arabic" w:cs="Simplified Arabic"/>
          <w:sz w:val="24"/>
          <w:szCs w:val="24"/>
          <w:rtl/>
        </w:rPr>
        <w:t>).</w:t>
      </w:r>
    </w:p>
    <w:p w14:paraId="404A9BC7" w14:textId="3E484DBA" w:rsidR="003A00C3" w:rsidRDefault="00BE577C" w:rsidP="00BE577C">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وتُعتبر هذه التقنية معيارًا معتمدًا في الأبحاث الحديثة لاختبار الوساطة، إذ تتجنب فرضية التوزيع الطبيعي التي قد لا تنطبق على البيانات الواقعية. وسيُجرى 5,000 إعادة عينة (</w:t>
      </w:r>
      <w:r w:rsidRPr="00033C2D">
        <w:rPr>
          <w:rFonts w:ascii="Simplified Arabic" w:hAnsi="Simplified Arabic" w:cs="Simplified Arabic"/>
          <w:sz w:val="24"/>
          <w:szCs w:val="24"/>
        </w:rPr>
        <w:t>Resamples</w:t>
      </w:r>
      <w:r w:rsidRPr="00033C2D">
        <w:rPr>
          <w:rFonts w:ascii="Simplified Arabic" w:hAnsi="Simplified Arabic" w:cs="Simplified Arabic"/>
          <w:sz w:val="24"/>
          <w:szCs w:val="24"/>
          <w:rtl/>
        </w:rPr>
        <w:t>) لتقدير التأثيرات غير المباشرة، مما يضمن توزيعات احتمالية قوية وموثوقة. كما سيتم حساب فترات الثقة (</w:t>
      </w:r>
      <w:r w:rsidRPr="00033C2D">
        <w:rPr>
          <w:rFonts w:ascii="Simplified Arabic" w:hAnsi="Simplified Arabic" w:cs="Simplified Arabic"/>
          <w:sz w:val="24"/>
          <w:szCs w:val="24"/>
        </w:rPr>
        <w:t>Confidence Intervals</w:t>
      </w:r>
      <w:r w:rsidRPr="00033C2D">
        <w:rPr>
          <w:rFonts w:ascii="Simplified Arabic" w:hAnsi="Simplified Arabic" w:cs="Simplified Arabic"/>
          <w:sz w:val="24"/>
          <w:szCs w:val="24"/>
          <w:rtl/>
        </w:rPr>
        <w:t>) بنسبة 95%، حيث إن عدم احتواء فترة الثقة على الصفر يدل على وجود تأثير غير مباشر ذو دلالة إحصائية.</w:t>
      </w:r>
    </w:p>
    <w:p w14:paraId="58FEF00B" w14:textId="7E7BB181" w:rsidR="0046467D" w:rsidRPr="00033C2D" w:rsidRDefault="0046467D" w:rsidP="0046467D">
      <w:pPr>
        <w:tabs>
          <w:tab w:val="num" w:pos="720"/>
        </w:tabs>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 xml:space="preserve">سيُعتمد في تنفيذ تقنية </w:t>
      </w:r>
      <w:r>
        <w:rPr>
          <w:rFonts w:ascii="Simplified Arabic" w:hAnsi="Simplified Arabic" w:cs="Simplified Arabic"/>
          <w:sz w:val="24"/>
          <w:szCs w:val="24"/>
        </w:rPr>
        <w:t>Bootstrapping</w:t>
      </w:r>
      <w:r>
        <w:rPr>
          <w:rFonts w:ascii="Simplified Arabic" w:hAnsi="Simplified Arabic" w:cs="Simplified Arabic"/>
          <w:sz w:val="24"/>
          <w:szCs w:val="24"/>
          <w:rtl/>
        </w:rPr>
        <w:t xml:space="preserve"> برنامج </w:t>
      </w:r>
      <w:r>
        <w:rPr>
          <w:rFonts w:ascii="Simplified Arabic" w:hAnsi="Simplified Arabic" w:cs="Simplified Arabic"/>
          <w:sz w:val="24"/>
          <w:szCs w:val="24"/>
        </w:rPr>
        <w:t>AMOS (Analysis of Moment Structures)</w:t>
      </w:r>
      <w:r>
        <w:rPr>
          <w:rFonts w:ascii="Simplified Arabic" w:hAnsi="Simplified Arabic" w:cs="Simplified Arabic"/>
          <w:sz w:val="24"/>
          <w:szCs w:val="24"/>
          <w:rtl/>
        </w:rPr>
        <w:t xml:space="preserve"> نظراً لتكامله مع نمذجة المعادلات الهيكلية ذات المتغيرات الكامنة (</w:t>
      </w:r>
      <w:r>
        <w:rPr>
          <w:rFonts w:ascii="Simplified Arabic" w:hAnsi="Simplified Arabic" w:cs="Simplified Arabic"/>
          <w:sz w:val="24"/>
          <w:szCs w:val="24"/>
        </w:rPr>
        <w:t>CB-SEM</w:t>
      </w:r>
      <w:r>
        <w:rPr>
          <w:rFonts w:ascii="Simplified Arabic" w:hAnsi="Simplified Arabic" w:cs="Simplified Arabic"/>
          <w:sz w:val="24"/>
          <w:szCs w:val="24"/>
          <w:rtl/>
        </w:rPr>
        <w:t>)، وقدرته على تقدير فترات الثقة المُصحَّحة للتحيز (</w:t>
      </w:r>
      <w:r>
        <w:rPr>
          <w:rFonts w:ascii="Simplified Arabic" w:hAnsi="Simplified Arabic" w:cs="Simplified Arabic"/>
          <w:sz w:val="24"/>
          <w:szCs w:val="24"/>
        </w:rPr>
        <w:t>Bias-Corrected Confidence Intervals</w:t>
      </w:r>
      <w:r>
        <w:rPr>
          <w:rFonts w:ascii="Simplified Arabic" w:hAnsi="Simplified Arabic" w:cs="Simplified Arabic"/>
          <w:sz w:val="24"/>
          <w:szCs w:val="24"/>
          <w:rtl/>
        </w:rPr>
        <w:t xml:space="preserve">) للتأثيرات غير المباشرة المتسلسلة. وفي حال عدم استيفاء افتراضات التوزيع الطبيعي في البيانات، يُعتمد بدلاً عنه برنامج </w:t>
      </w:r>
      <w:proofErr w:type="spellStart"/>
      <w:r>
        <w:rPr>
          <w:rFonts w:ascii="Simplified Arabic" w:hAnsi="Simplified Arabic" w:cs="Simplified Arabic"/>
          <w:sz w:val="24"/>
          <w:szCs w:val="24"/>
        </w:rPr>
        <w:t>SmartPLS</w:t>
      </w:r>
      <w:proofErr w:type="spellEnd"/>
      <w:r>
        <w:rPr>
          <w:rFonts w:ascii="Simplified Arabic" w:hAnsi="Simplified Arabic" w:cs="Simplified Arabic"/>
          <w:sz w:val="24"/>
          <w:szCs w:val="24"/>
        </w:rPr>
        <w:t xml:space="preserve"> 4</w:t>
      </w:r>
      <w:r>
        <w:rPr>
          <w:rFonts w:ascii="Simplified Arabic" w:hAnsi="Simplified Arabic" w:cs="Simplified Arabic"/>
          <w:sz w:val="24"/>
          <w:szCs w:val="24"/>
          <w:rtl/>
        </w:rPr>
        <w:t xml:space="preserve"> الذي يوفر مرونة في تحليل بيانات الاستبانات غير الطبيعية (</w:t>
      </w:r>
      <w:r>
        <w:rPr>
          <w:rFonts w:ascii="Simplified Arabic" w:hAnsi="Simplified Arabic" w:cs="Simplified Arabic"/>
          <w:sz w:val="24"/>
          <w:szCs w:val="24"/>
        </w:rPr>
        <w:t>Hair et al., 2019; Kline, 2023</w:t>
      </w:r>
      <w:r>
        <w:rPr>
          <w:rFonts w:ascii="Simplified Arabic" w:hAnsi="Simplified Arabic" w:cs="Simplified Arabic"/>
          <w:sz w:val="24"/>
          <w:szCs w:val="24"/>
          <w:rtl/>
        </w:rPr>
        <w:t>).</w:t>
      </w:r>
    </w:p>
    <w:p w14:paraId="094704E0"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الرابعة: تقييم جودة النموذج الكلي</w:t>
      </w:r>
    </w:p>
    <w:p w14:paraId="6E6337BD"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بعد إتمام اختبار جميع الفروض، يتم تقييم جودة النموذج الكلي من خلال مجموعة شاملة من مؤشرات التوفيق، وهي كما يلي:</w:t>
      </w:r>
    </w:p>
    <w:p w14:paraId="0CF84A67"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حسن المطابقة (</w:t>
      </w:r>
      <w:r w:rsidRPr="00033C2D">
        <w:rPr>
          <w:rFonts w:ascii="Simplified Arabic" w:hAnsi="Simplified Arabic" w:cs="Simplified Arabic"/>
          <w:sz w:val="24"/>
          <w:szCs w:val="24"/>
        </w:rPr>
        <w:t>GFI</w:t>
      </w:r>
      <w:r w:rsidRPr="00033C2D">
        <w:rPr>
          <w:rFonts w:ascii="Simplified Arabic" w:hAnsi="Simplified Arabic" w:cs="Simplified Arabic"/>
          <w:sz w:val="24"/>
          <w:szCs w:val="24"/>
          <w:rtl/>
        </w:rPr>
        <w:t>): ينبغي أن تكون القيمة أكبر من 0.90.</w:t>
      </w:r>
    </w:p>
    <w:p w14:paraId="5460DE5D"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المقارنة (</w:t>
      </w:r>
      <w:r w:rsidRPr="00033C2D">
        <w:rPr>
          <w:rFonts w:ascii="Simplified Arabic" w:hAnsi="Simplified Arabic" w:cs="Simplified Arabic"/>
          <w:sz w:val="24"/>
          <w:szCs w:val="24"/>
        </w:rPr>
        <w:t>CFI</w:t>
      </w:r>
      <w:r w:rsidRPr="00033C2D">
        <w:rPr>
          <w:rFonts w:ascii="Simplified Arabic" w:hAnsi="Simplified Arabic" w:cs="Simplified Arabic"/>
          <w:sz w:val="24"/>
          <w:szCs w:val="24"/>
          <w:rtl/>
        </w:rPr>
        <w:t>): ينبغي أن تكون القيمة أكبر من 0.95.</w:t>
      </w:r>
    </w:p>
    <w:p w14:paraId="7F3AA540"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توكر-لويس (</w:t>
      </w:r>
      <w:r w:rsidRPr="00033C2D">
        <w:rPr>
          <w:rFonts w:ascii="Simplified Arabic" w:hAnsi="Simplified Arabic" w:cs="Simplified Arabic"/>
          <w:sz w:val="24"/>
          <w:szCs w:val="24"/>
        </w:rPr>
        <w:t>TLI</w:t>
      </w:r>
      <w:r w:rsidRPr="00033C2D">
        <w:rPr>
          <w:rFonts w:ascii="Simplified Arabic" w:hAnsi="Simplified Arabic" w:cs="Simplified Arabic"/>
          <w:sz w:val="24"/>
          <w:szCs w:val="24"/>
          <w:rtl/>
        </w:rPr>
        <w:t>): ينبغي أن تكون القيمة أكبر من 0.95.</w:t>
      </w:r>
    </w:p>
    <w:p w14:paraId="7EEB002B" w14:textId="777F56C4" w:rsidR="008812B3" w:rsidRPr="00033C2D" w:rsidRDefault="008812B3" w:rsidP="008812B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جذر متوسط مربعات الخطأ (</w:t>
      </w:r>
      <w:r w:rsidRPr="00033C2D">
        <w:rPr>
          <w:rFonts w:ascii="Simplified Arabic" w:hAnsi="Simplified Arabic" w:cs="Simplified Arabic"/>
          <w:sz w:val="24"/>
          <w:szCs w:val="24"/>
        </w:rPr>
        <w:t>RMSEA</w:t>
      </w:r>
      <w:r w:rsidRPr="00033C2D">
        <w:rPr>
          <w:rFonts w:ascii="Simplified Arabic" w:hAnsi="Simplified Arabic" w:cs="Simplified Arabic"/>
          <w:sz w:val="24"/>
          <w:szCs w:val="24"/>
          <w:rtl/>
        </w:rPr>
        <w:t>): ينبغي أن تكون القيمة أقل من 0.08.</w:t>
      </w:r>
    </w:p>
    <w:p w14:paraId="76638167" w14:textId="72E7396B" w:rsidR="008812B3" w:rsidRPr="00033C2D" w:rsidRDefault="009B09E7" w:rsidP="003A00C3">
      <w:pPr>
        <w:tabs>
          <w:tab w:val="num" w:pos="720"/>
        </w:tabs>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8"/>
          <w:szCs w:val="28"/>
          <w:rtl/>
        </w:rPr>
        <w:t>10</w:t>
      </w:r>
      <w:r w:rsidR="008812B3" w:rsidRPr="00033C2D">
        <w:rPr>
          <w:rFonts w:ascii="Simplified Arabic" w:hAnsi="Simplified Arabic" w:cs="Simplified Arabic"/>
          <w:b/>
          <w:bCs/>
          <w:sz w:val="28"/>
          <w:szCs w:val="28"/>
          <w:rtl/>
        </w:rPr>
        <w:t>.4.3 البرامج والأدوات المستخدمة</w:t>
      </w:r>
    </w:p>
    <w:p w14:paraId="7F05BD7A"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سيتم الاعتماد على برامج موثوقة ومعترف بها دولياً، ومنها:</w:t>
      </w:r>
    </w:p>
    <w:p w14:paraId="15581215" w14:textId="61666D19"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IBM SPSS</w:t>
      </w:r>
      <w:r w:rsidRPr="00033C2D">
        <w:rPr>
          <w:rFonts w:ascii="Simplified Arabic" w:hAnsi="Simplified Arabic" w:cs="Simplified Arabic"/>
          <w:sz w:val="24"/>
          <w:szCs w:val="24"/>
          <w:rtl/>
        </w:rPr>
        <w:t xml:space="preserve"> (الإصدار 28 أو أحدث): لإجراء التحاليل الوصفية والإحصائية الأساسية.</w:t>
      </w:r>
    </w:p>
    <w:p w14:paraId="0072E93C"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AMOS Graphics</w:t>
      </w:r>
      <w:r w:rsidRPr="00033C2D">
        <w:rPr>
          <w:rFonts w:ascii="Simplified Arabic" w:hAnsi="Simplified Arabic" w:cs="Simplified Arabic"/>
          <w:sz w:val="24"/>
          <w:szCs w:val="24"/>
          <w:rtl/>
        </w:rPr>
        <w:t>: لنمذجة المعادلات الهيكلية، ويتميز بواجهة رسومية وقدرات حسابية متقدمة.</w:t>
      </w:r>
    </w:p>
    <w:p w14:paraId="4676FA15" w14:textId="2F7164A4" w:rsidR="003A00C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Smart PLS</w:t>
      </w:r>
      <w:r w:rsidRPr="00033C2D">
        <w:rPr>
          <w:rFonts w:ascii="Simplified Arabic" w:hAnsi="Simplified Arabic" w:cs="Simplified Arabic"/>
          <w:sz w:val="24"/>
          <w:szCs w:val="24"/>
          <w:rtl/>
        </w:rPr>
        <w:t xml:space="preserve"> (اختياري كبديل): يوفر مرونة إضافية عند العمل مع عينات صغيرة وبيانات غير طبيعية.</w:t>
      </w:r>
    </w:p>
    <w:p w14:paraId="5D64C494" w14:textId="7FAF39EC" w:rsidR="003A00C3" w:rsidRPr="00033C2D" w:rsidRDefault="009B09E7" w:rsidP="003A00C3">
      <w:pPr>
        <w:tabs>
          <w:tab w:val="num" w:pos="720"/>
        </w:tabs>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10.4.4</w:t>
      </w:r>
      <w:r w:rsidR="003A00C3" w:rsidRPr="00033C2D">
        <w:rPr>
          <w:rFonts w:ascii="Simplified Arabic" w:hAnsi="Simplified Arabic" w:cs="Simplified Arabic"/>
          <w:b/>
          <w:bCs/>
          <w:sz w:val="28"/>
          <w:szCs w:val="28"/>
          <w:rtl/>
        </w:rPr>
        <w:t>معايير الحكم على النتائج تُقبل الفروض إذا توفرت المعايير التالية</w:t>
      </w:r>
      <w:r w:rsidR="003A00C3" w:rsidRPr="00033C2D">
        <w:rPr>
          <w:rFonts w:ascii="Simplified Arabic" w:hAnsi="Simplified Arabic" w:cs="Simplified Arabic"/>
          <w:b/>
          <w:bCs/>
          <w:sz w:val="28"/>
          <w:szCs w:val="28"/>
        </w:rPr>
        <w:t>:</w:t>
      </w:r>
    </w:p>
    <w:p w14:paraId="7F9C2A80" w14:textId="789EDF43" w:rsidR="00FC62C6" w:rsidRPr="00033C2D" w:rsidRDefault="00656196" w:rsidP="00656196">
      <w:pPr>
        <w:tabs>
          <w:tab w:val="num" w:pos="720"/>
        </w:tabs>
        <w:bidi/>
        <w:spacing w:line="360" w:lineRule="auto"/>
        <w:jc w:val="both"/>
        <w:rPr>
          <w:rFonts w:ascii="Simplified Arabic" w:hAnsi="Simplified Arabic" w:cs="Simplified Arabic"/>
          <w:sz w:val="24"/>
          <w:szCs w:val="24"/>
        </w:rPr>
      </w:pPr>
      <w:r w:rsidRPr="00656196">
        <w:rPr>
          <w:rFonts w:ascii="Simplified Arabic" w:hAnsi="Simplified Arabic" w:cs="Simplified Arabic"/>
          <w:sz w:val="24"/>
          <w:szCs w:val="24"/>
          <w:rtl/>
        </w:rPr>
        <w:t>تُقبل الفرضية إذا كانت قيمة الدلالة الإحصائية</w:t>
      </w:r>
      <w:r w:rsidRPr="00656196">
        <w:rPr>
          <w:rFonts w:ascii="Simplified Arabic" w:hAnsi="Simplified Arabic" w:cs="Simplified Arabic"/>
          <w:sz w:val="24"/>
          <w:szCs w:val="24"/>
        </w:rPr>
        <w:t xml:space="preserve"> (p-value) </w:t>
      </w:r>
      <w:r w:rsidRPr="00656196">
        <w:rPr>
          <w:rFonts w:ascii="Simplified Arabic" w:hAnsi="Simplified Arabic" w:cs="Simplified Arabic"/>
          <w:sz w:val="24"/>
          <w:szCs w:val="24"/>
          <w:rtl/>
        </w:rPr>
        <w:t>أقل من أو تساوي 0.05</w:t>
      </w:r>
      <w:r w:rsidR="008812B3" w:rsidRPr="00033C2D">
        <w:rPr>
          <w:rFonts w:ascii="Simplified Arabic" w:hAnsi="Simplified Arabic" w:cs="Simplified Arabic"/>
          <w:sz w:val="24"/>
          <w:szCs w:val="24"/>
          <w:rtl/>
        </w:rPr>
        <w:t>. حجم التأثير: معاملات المسار يُفضل أن تكون أكبر من 0.10. فترات الثقة: بالنسبة للتأثيرات غير المباشرة، يجب ألا تتضمن الصفر. جودة النموذج: ينبغي استيفاء جميع مؤشرات التوفيق المذكورة أعلاه.</w:t>
      </w:r>
    </w:p>
    <w:p w14:paraId="5EADE2E9" w14:textId="0A5CDA21" w:rsidR="000B0FA3" w:rsidRPr="00033C2D" w:rsidRDefault="008B1883" w:rsidP="00DC763A">
      <w:pPr>
        <w:bidi/>
        <w:spacing w:line="360" w:lineRule="auto"/>
        <w:rPr>
          <w:rFonts w:ascii="Simplified Arabic" w:hAnsi="Simplified Arabic" w:cs="Simplified Arabic"/>
          <w:b/>
          <w:bCs/>
          <w:sz w:val="28"/>
          <w:szCs w:val="28"/>
        </w:rPr>
      </w:pPr>
      <w:r w:rsidRPr="00033C2D">
        <w:rPr>
          <w:rFonts w:ascii="Simplified Arabic" w:hAnsi="Simplified Arabic" w:cs="Simplified Arabic"/>
          <w:b/>
          <w:bCs/>
          <w:sz w:val="28"/>
          <w:szCs w:val="28"/>
          <w:rtl/>
        </w:rPr>
        <w:t>1</w:t>
      </w:r>
      <w:r w:rsidR="00386C14">
        <w:rPr>
          <w:rFonts w:ascii="Simplified Arabic" w:hAnsi="Simplified Arabic" w:cs="Simplified Arabic" w:hint="cs"/>
          <w:b/>
          <w:bCs/>
          <w:sz w:val="28"/>
          <w:szCs w:val="28"/>
          <w:rtl/>
        </w:rPr>
        <w:t>1</w:t>
      </w:r>
      <w:r w:rsidRPr="00033C2D">
        <w:rPr>
          <w:rFonts w:ascii="Simplified Arabic" w:hAnsi="Simplified Arabic" w:cs="Simplified Arabic"/>
          <w:b/>
          <w:bCs/>
          <w:sz w:val="28"/>
          <w:szCs w:val="28"/>
          <w:rtl/>
        </w:rPr>
        <w:t>.</w:t>
      </w:r>
      <w:r w:rsidR="00DC763A" w:rsidRPr="00DC763A">
        <w:rPr>
          <w:rFonts w:ascii="Simplified Arabic" w:hAnsi="Simplified Arabic" w:cs="Simplified Arabic"/>
          <w:b/>
          <w:bCs/>
          <w:sz w:val="28"/>
          <w:szCs w:val="28"/>
          <w:rtl/>
        </w:rPr>
        <w:t>النموذج المفاهيمي للدراسة</w:t>
      </w:r>
    </w:p>
    <w:p w14:paraId="4F1D35C5" w14:textId="1E74FA03" w:rsidR="00390B53" w:rsidRDefault="00022214" w:rsidP="00702784">
      <w:pPr>
        <w:bidi/>
        <w:spacing w:line="360" w:lineRule="auto"/>
        <w:rPr>
          <w:rFonts w:ascii="Sakkal Majalla" w:hAnsi="Sakkal Majalla" w:cs="Sakkal Majalla"/>
          <w:b/>
          <w:bCs/>
          <w:sz w:val="28"/>
          <w:szCs w:val="28"/>
          <w:rtl/>
        </w:rPr>
      </w:pPr>
      <w:r w:rsidRPr="00FC62C6">
        <w:rPr>
          <w:rFonts w:ascii="Sakkal Majalla" w:hAnsi="Sakkal Majalla" w:cs="Sakkal Majalla"/>
          <w:noProof/>
          <w:sz w:val="28"/>
          <w:szCs w:val="28"/>
        </w:rPr>
        <w:lastRenderedPageBreak/>
        <w:drawing>
          <wp:anchor distT="0" distB="0" distL="114300" distR="114300" simplePos="0" relativeHeight="251661824" behindDoc="1" locked="0" layoutInCell="1" allowOverlap="1" wp14:anchorId="1A0293D1" wp14:editId="6287400B">
            <wp:simplePos x="0" y="0"/>
            <wp:positionH relativeFrom="margin">
              <wp:posOffset>-838835</wp:posOffset>
            </wp:positionH>
            <wp:positionV relativeFrom="paragraph">
              <wp:posOffset>1888490</wp:posOffset>
            </wp:positionV>
            <wp:extent cx="8143875" cy="6453505"/>
            <wp:effectExtent l="6985" t="0" r="0" b="0"/>
            <wp:wrapTight wrapText="bothSides">
              <wp:wrapPolygon edited="0">
                <wp:start x="21581" y="-23"/>
                <wp:lineTo x="57" y="-23"/>
                <wp:lineTo x="57" y="21528"/>
                <wp:lineTo x="21581" y="21528"/>
                <wp:lineTo x="21581" y="-23"/>
              </wp:wrapPolygon>
            </wp:wrapTight>
            <wp:docPr id="78793394" name="صورة 1" descr="صورة تحتوي على نص, لقطة شاشة, برمجيات, أيقونة الحاسو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3394" name="صورة 1" descr="صورة تحتوي على نص, لقطة شاشة, برمجيات, أيقونة الحاسوب&#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l="11162" t="12814" r="9727" b="6228"/>
                    <a:stretch>
                      <a:fillRect/>
                    </a:stretch>
                  </pic:blipFill>
                  <pic:spPr bwMode="auto">
                    <a:xfrm rot="16200000">
                      <a:off x="0" y="0"/>
                      <a:ext cx="8143875" cy="645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2AD" w:rsidRPr="00FC62C6">
        <w:rPr>
          <w:rFonts w:ascii="Sakkal Majalla" w:hAnsi="Sakkal Majalla" w:cs="Sakkal Majalla"/>
          <w:sz w:val="28"/>
          <w:szCs w:val="28"/>
          <w:rtl/>
        </w:rPr>
        <w:t>يهدف هذا النموذج البصري إلى تمثيل العلاقات السببية المُفترضة بين متغيرات الدراسة، والتي سيتم اختبارها باستخدام نمذجة المعادلا</w:t>
      </w:r>
      <w:r w:rsidR="00776407" w:rsidRPr="00FC62C6">
        <w:rPr>
          <w:rFonts w:ascii="Sakkal Majalla" w:hAnsi="Sakkal Majalla" w:cs="Sakkal Majalla"/>
          <w:sz w:val="28"/>
          <w:szCs w:val="28"/>
          <w:rtl/>
        </w:rPr>
        <w:t>ت ا</w:t>
      </w:r>
      <w:r w:rsidR="001C72AD" w:rsidRPr="00FC62C6">
        <w:rPr>
          <w:rFonts w:ascii="Sakkal Majalla" w:hAnsi="Sakkal Majalla" w:cs="Sakkal Majalla"/>
          <w:sz w:val="28"/>
          <w:szCs w:val="28"/>
          <w:rtl/>
        </w:rPr>
        <w:t>لهيكلية (</w:t>
      </w:r>
      <w:r w:rsidR="001C72AD" w:rsidRPr="00FC62C6">
        <w:rPr>
          <w:rFonts w:ascii="Sakkal Majalla" w:hAnsi="Sakkal Majalla" w:cs="Sakkal Majalla"/>
          <w:sz w:val="28"/>
          <w:szCs w:val="28"/>
        </w:rPr>
        <w:t>SEM</w:t>
      </w:r>
      <w:r w:rsidR="001C72AD" w:rsidRPr="00FC62C6">
        <w:rPr>
          <w:rFonts w:ascii="Sakkal Majalla" w:hAnsi="Sakkal Majalla" w:cs="Sakkal Majalla"/>
          <w:sz w:val="28"/>
          <w:szCs w:val="28"/>
          <w:rtl/>
        </w:rPr>
        <w:t>).</w:t>
      </w:r>
    </w:p>
    <w:p w14:paraId="7C4624C7" w14:textId="7DBF9E3A" w:rsidR="0021013A" w:rsidRPr="0021013A" w:rsidRDefault="00D962B3"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tl/>
        </w:rPr>
        <w:lastRenderedPageBreak/>
        <w:t>الفصل الثاني: الإطار النظري والدراسات السابقة</w:t>
      </w:r>
    </w:p>
    <w:p w14:paraId="29FDD078"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 </w:t>
      </w:r>
      <w:r w:rsidRPr="0021013A">
        <w:rPr>
          <w:rFonts w:ascii="Simplified Arabic" w:hAnsi="Simplified Arabic" w:cs="Simplified Arabic"/>
          <w:b/>
          <w:bCs/>
          <w:noProof/>
          <w:sz w:val="24"/>
          <w:szCs w:val="24"/>
          <w:rtl/>
        </w:rPr>
        <w:t>الإطار النظري للدراسة</w:t>
      </w:r>
    </w:p>
    <w:p w14:paraId="09334DE9"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2.1.1 </w:t>
      </w:r>
      <w:r w:rsidRPr="0021013A">
        <w:rPr>
          <w:rFonts w:ascii="Simplified Arabic" w:hAnsi="Simplified Arabic" w:cs="Simplified Arabic"/>
          <w:b/>
          <w:bCs/>
          <w:noProof/>
          <w:sz w:val="24"/>
          <w:szCs w:val="24"/>
          <w:rtl/>
        </w:rPr>
        <w:t>نظرية القيادة التحويلية</w:t>
      </w:r>
    </w:p>
    <w:p w14:paraId="213519AA" w14:textId="7BEBA3A5" w:rsidR="003A447B" w:rsidRPr="00DD007D" w:rsidRDefault="003A447B" w:rsidP="00DD007D">
      <w:pPr>
        <w:bidi/>
        <w:spacing w:before="210" w:after="0" w:line="360" w:lineRule="auto"/>
        <w:jc w:val="both"/>
        <w:rPr>
          <w:rFonts w:ascii="Simplified Arabic" w:hAnsi="Simplified Arabic" w:cs="Simplified Arabic"/>
          <w:b/>
          <w:bCs/>
          <w:noProof/>
          <w:sz w:val="24"/>
          <w:szCs w:val="24"/>
          <w:rtl/>
        </w:rPr>
      </w:pPr>
      <w:r>
        <w:rPr>
          <w:rFonts w:ascii="Simplified Arabic" w:hAnsi="Simplified Arabic" w:cs="Simplified Arabic"/>
          <w:noProof/>
          <w:sz w:val="24"/>
          <w:szCs w:val="24"/>
          <w:rtl/>
        </w:rPr>
        <w:t xml:space="preserve">تعتمد هذه الدراسة في شرح المتغير المستقل على نظرية القيادة التحويلية استنادًا إلى إطار </w:t>
      </w:r>
      <w:r>
        <w:rPr>
          <w:rFonts w:ascii="Simplified Arabic" w:hAnsi="Simplified Arabic" w:cs="Simplified Arabic"/>
          <w:noProof/>
          <w:sz w:val="24"/>
          <w:szCs w:val="24"/>
        </w:rPr>
        <w:t>Podsakoff et al</w:t>
      </w:r>
      <w:r>
        <w:rPr>
          <w:rFonts w:ascii="Simplified Arabic" w:hAnsi="Simplified Arabic" w:cs="Simplified Arabic"/>
          <w:noProof/>
          <w:sz w:val="24"/>
          <w:szCs w:val="24"/>
          <w:rtl/>
        </w:rPr>
        <w:t>. (1990)، التي تؤكد أن القائد التحويلي لا يقتصر على إدارة المهام الروتينية، بل يتعداها إلى إلهام الأتباع وتحويل قيمهم ودوافعهم لتحقيق أهداف المنظمة من خلال ست ممارسات قيادية مترابطة: (1) توضيح الرؤية من خلال صياغة صورة مستقبلية ملهمة ومشتركة، (2) تقديم النموذج الذي يتوافق بين السلوك والقيم، (3) تشجيع قبول الأهداف الجماعية وتوحيد جهود الفريق، (4) وضع توقعات عالية للأداء تَّدفع نحو التميز، (5) تقديم الدعم الفردي للموظفين، و(6) تحفيز التفكير النقدي والإبداعي عبر الاستثارة الفكرية. وقد أظهرت دراسات عديدة في المجال الصحي أن هذا الإطار مرتبط بتحسين بيئة العمل وزيادة الالتزام بمبادئ الجودة وسلامة المرضى.</w:t>
      </w:r>
      <w:r w:rsidR="00E36573">
        <w:rPr>
          <w:rFonts w:ascii="Simplified Arabic" w:hAnsi="Simplified Arabic" w:cs="Simplified Arabic"/>
          <w:b/>
          <w:bCs/>
          <w:noProof/>
          <w:sz w:val="24"/>
          <w:szCs w:val="24"/>
          <w:rtl/>
        </w:rPr>
        <w:br/>
      </w:r>
      <w:r w:rsidR="00E36573">
        <w:rPr>
          <w:rFonts w:ascii="Simplified Arabic" w:hAnsi="Simplified Arabic" w:cs="Simplified Arabic"/>
          <w:noProof/>
          <w:sz w:val="24"/>
          <w:szCs w:val="24"/>
          <w:rtl/>
        </w:rPr>
        <w:t>وفي ضوء هذا التأصيل النظري، تتبنى الدراسة الحالية مقياس </w:t>
      </w:r>
      <w:r w:rsidR="00E36573">
        <w:rPr>
          <w:rFonts w:ascii="Simplified Arabic" w:hAnsi="Simplified Arabic" w:cs="Simplified Arabic"/>
          <w:noProof/>
          <w:sz w:val="24"/>
          <w:szCs w:val="24"/>
        </w:rPr>
        <w:t>Transformational Leadership Inventory (TLI)</w:t>
      </w:r>
      <w:r w:rsidR="00E36573">
        <w:rPr>
          <w:rFonts w:ascii="Simplified Arabic" w:hAnsi="Simplified Arabic" w:cs="Simplified Arabic"/>
          <w:noProof/>
          <w:sz w:val="24"/>
          <w:szCs w:val="24"/>
          <w:rtl/>
        </w:rPr>
        <w:t> بوصفه الأداة الإجرائية المعتمدة لقياس القيادة التحويلية، لأنه يترجم هذا البناء النظري إلى ستة أبعاد سلوكية واضحة وملائمة لبيئة المستشفيات الحكومية.</w:t>
      </w:r>
    </w:p>
    <w:p w14:paraId="1785425C" w14:textId="52159655" w:rsidR="0021013A" w:rsidRPr="0021013A" w:rsidRDefault="0021013A" w:rsidP="003A447B">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2.1.2 </w:t>
      </w:r>
      <w:r w:rsidRPr="0021013A">
        <w:rPr>
          <w:rFonts w:ascii="Simplified Arabic" w:hAnsi="Simplified Arabic" w:cs="Simplified Arabic"/>
          <w:b/>
          <w:bCs/>
          <w:noProof/>
          <w:sz w:val="24"/>
          <w:szCs w:val="24"/>
          <w:rtl/>
        </w:rPr>
        <w:t>إطار ثقافة سلامة المرضى</w:t>
      </w:r>
    </w:p>
    <w:p w14:paraId="6E4F8F19" w14:textId="71BF14EE" w:rsidR="0021013A" w:rsidRPr="00A96785" w:rsidRDefault="007420FC" w:rsidP="00DD007D">
      <w:pPr>
        <w:bidi/>
        <w:spacing w:before="210" w:after="0" w:line="360" w:lineRule="auto"/>
        <w:jc w:val="both"/>
        <w:rPr>
          <w:rFonts w:ascii="Simplified Arabic" w:hAnsi="Simplified Arabic" w:cs="Simplified Arabic"/>
          <w:noProof/>
          <w:sz w:val="24"/>
          <w:szCs w:val="24"/>
          <w:rtl/>
        </w:rPr>
      </w:pPr>
      <w:r w:rsidRPr="007420FC">
        <w:rPr>
          <w:rFonts w:ascii="Simplified Arabic" w:hAnsi="Simplified Arabic" w:cs="Simplified Arabic"/>
          <w:noProof/>
          <w:sz w:val="24"/>
          <w:szCs w:val="24"/>
          <w:rtl/>
        </w:rPr>
        <w:t>بعد تناول نظرية القيادة التحويلية، ينتقل هذا القسم إلى إطار ثقافة سلامة المرضى بوصفها البيئة التنظيمية التي تتجلى فيها تأثيرات الأسلوب القيادي</w:t>
      </w:r>
      <w:r w:rsidRPr="007420FC">
        <w:rPr>
          <w:rFonts w:ascii="Simplified Arabic" w:hAnsi="Simplified Arabic" w:cs="Simplified Arabic"/>
          <w:noProof/>
          <w:sz w:val="24"/>
          <w:szCs w:val="24"/>
        </w:rPr>
        <w:t>.</w:t>
      </w:r>
      <w:r w:rsidR="0021013A">
        <w:rPr>
          <w:rFonts w:ascii="Simplified Arabic" w:hAnsi="Simplified Arabic" w:cs="Simplified Arabic"/>
          <w:noProof/>
          <w:sz w:val="24"/>
          <w:szCs w:val="24"/>
          <w:rtl/>
        </w:rPr>
        <w:t>تعبر ثقافة سلامة المرضى عن مجموعة من القيم والمعتقدات والمواقف والسلوكيات المشتركة التي تجعل السلامة أولوية في جميع مستويات المنظمة الصحية. يتجلى هذا الإطار من خلال عناصر مثل دعم الإدارة العليا للسلامة، العدالة في التعامل مع الأخطاء، التواصل المفتوح، التعلم من الحوادث، العمل الجماعي داخل الوحدات وبينها، وتوفر الموارد الضرورية لتنفيذ ممارسات آمنة. تشير الأدبيات إلى أن المؤسسات التي تتمتع بثقافة سلامة قوية تسجل معدلات أقل من الأخطاء والأحداث الضارة، مع ارتفاع في مستوى الإبلاغ عن الحوادث والاستجابة لأنظمة الإنذار المبكر.</w:t>
      </w:r>
      <w:r w:rsidR="00A96785">
        <w:rPr>
          <w:rFonts w:ascii="Simplified Arabic" w:hAnsi="Simplified Arabic" w:cs="Simplified Arabic" w:hint="cs"/>
          <w:noProof/>
          <w:sz w:val="24"/>
          <w:szCs w:val="24"/>
          <w:rtl/>
        </w:rPr>
        <w:t xml:space="preserve"> </w:t>
      </w:r>
      <w:r w:rsidR="00A96785" w:rsidRPr="00A96785">
        <w:rPr>
          <w:rFonts w:ascii="Simplified Arabic" w:hAnsi="Simplified Arabic" w:cs="Simplified Arabic"/>
          <w:noProof/>
          <w:sz w:val="24"/>
          <w:szCs w:val="24"/>
          <w:rtl/>
        </w:rPr>
        <w:t>استنادًا إلى الإطارات السابقة، يجمع هذا الجزء بين متغيرات الدراسة في نموذج نظري متكامل يوضح المسارات السببية المفترضة بين القيادة التحويلية، و</w:t>
      </w:r>
      <w:r w:rsidR="007D1551" w:rsidRPr="007D1551">
        <w:rPr>
          <w:rFonts w:ascii="Simplified Arabic" w:hAnsi="Simplified Arabic" w:cs="Simplified Arabic"/>
          <w:noProof/>
          <w:sz w:val="24"/>
          <w:szCs w:val="24"/>
          <w:rtl/>
        </w:rPr>
        <w:t>ثقافة سلامة المرضى</w:t>
      </w:r>
      <w:r w:rsidR="00A96785" w:rsidRPr="00A96785">
        <w:rPr>
          <w:rFonts w:ascii="Simplified Arabic" w:hAnsi="Simplified Arabic" w:cs="Simplified Arabic"/>
          <w:noProof/>
          <w:sz w:val="24"/>
          <w:szCs w:val="24"/>
          <w:rtl/>
        </w:rPr>
        <w:t>، وسلوكيات السلامة، والأحداث الضارة</w:t>
      </w:r>
      <w:r w:rsidR="00A96785" w:rsidRPr="00A96785">
        <w:rPr>
          <w:rFonts w:ascii="Simplified Arabic" w:hAnsi="Simplified Arabic" w:cs="Simplified Arabic"/>
          <w:noProof/>
          <w:sz w:val="24"/>
          <w:szCs w:val="24"/>
        </w:rPr>
        <w:t>.</w:t>
      </w:r>
      <w:r w:rsidR="00DD007D">
        <w:rPr>
          <w:rFonts w:ascii="Simplified Arabic" w:hAnsi="Simplified Arabic" w:cs="Simplified Arabic"/>
          <w:noProof/>
          <w:sz w:val="24"/>
          <w:szCs w:val="24"/>
          <w:rtl/>
        </w:rPr>
        <w:br/>
        <w:t xml:space="preserve">تُفترض في هذه الدراسة أن تمثيل القيادة التحويلية داخل النموذج الهيكلي لا يُنظر إليها كمفهوم عام مجرد، بل كبناء متعدد الأبعاد يُقيم </w:t>
      </w:r>
      <w:r w:rsidR="00DD007D">
        <w:rPr>
          <w:rFonts w:ascii="Simplified Arabic" w:hAnsi="Simplified Arabic" w:cs="Simplified Arabic"/>
          <w:noProof/>
          <w:sz w:val="24"/>
          <w:szCs w:val="24"/>
          <w:rtl/>
        </w:rPr>
        <w:lastRenderedPageBreak/>
        <w:t xml:space="preserve">باستخدام الأبعاد الستة لـ </w:t>
      </w:r>
      <w:r w:rsidR="00DD007D">
        <w:rPr>
          <w:rFonts w:ascii="Simplified Arabic" w:hAnsi="Simplified Arabic" w:cs="Simplified Arabic"/>
          <w:noProof/>
          <w:sz w:val="24"/>
          <w:szCs w:val="24"/>
        </w:rPr>
        <w:t>TLI</w:t>
      </w:r>
      <w:r w:rsidR="00DD007D">
        <w:rPr>
          <w:rFonts w:ascii="Simplified Arabic" w:hAnsi="Simplified Arabic" w:cs="Simplified Arabic"/>
          <w:noProof/>
          <w:sz w:val="24"/>
          <w:szCs w:val="24"/>
          <w:rtl/>
        </w:rPr>
        <w:t>، مما يسهل تحليل تأثيرها على ثقافة سلامة المرضى، سلوكيات السلامة، والأحداث الضارة ضمن سلسلة سببية مترابطة.</w:t>
      </w:r>
    </w:p>
    <w:p w14:paraId="7D319D73"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2.1.3 </w:t>
      </w:r>
      <w:r w:rsidRPr="0021013A">
        <w:rPr>
          <w:rFonts w:ascii="Simplified Arabic" w:hAnsi="Simplified Arabic" w:cs="Simplified Arabic"/>
          <w:b/>
          <w:bCs/>
          <w:noProof/>
          <w:sz w:val="24"/>
          <w:szCs w:val="24"/>
          <w:rtl/>
        </w:rPr>
        <w:t>الإطار النظري المتكامل لمسار</w:t>
      </w:r>
      <w:r w:rsidRPr="0021013A">
        <w:rPr>
          <w:rFonts w:ascii="Simplified Arabic" w:hAnsi="Simplified Arabic" w:cs="Simplified Arabic"/>
          <w:b/>
          <w:bCs/>
          <w:noProof/>
          <w:sz w:val="24"/>
          <w:szCs w:val="24"/>
        </w:rPr>
        <w:t xml:space="preserve"> TL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SC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SB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AE</w:t>
      </w:r>
    </w:p>
    <w:p w14:paraId="037C4F89" w14:textId="334DFA2C" w:rsidR="0021013A" w:rsidRDefault="0021013A" w:rsidP="007D1551">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تدمج الدراسة بين نظرية القيادة التحويلية وإطار ثقافة سلامة المرضى في نموذج واحد يوضح كيف تؤثر القيادة بشكل غير مباشر ومتسلسل على نتائج سلامة المرضى. يفترض أن ممارسة المديرين في المستشفيات الحكومية لنمط القيادة التحويلية تساهم أولاً في تشكيل ثقافة سلامة إيجابية عبر توجيه رؤية واضحة للسلامة، وتمكين العاملين، وتعزيز التواصل المفتوح حول الأخطاء والحوادث. ثم تتجلى هذه الثقافة في سلوكيات سلامة يومية يمارسها العاملون، مثل الالتزام بالبروتوكولات، والإبلاغ عن الحوادث والأخطاء شبه المميتة، والمشاركة في أنشطة التحسين. وأخيرًا، تسهم هذه السلوكيات في تقليل معدلات الأحداث الضارة التي يمكن تجنبها، مثل الأخطاء الدوائية، والعدوى المكتسبة في المستشفيات، والحوادث المرتبطة بالإجراءات. يربط الإطار النظري العلاقات بين المتغيرات عبر مسار سببي متسلسل من القيادة التحويلية (</w:t>
      </w:r>
      <w:r>
        <w:rPr>
          <w:rFonts w:ascii="Simplified Arabic" w:hAnsi="Simplified Arabic" w:cs="Simplified Arabic"/>
          <w:noProof/>
          <w:sz w:val="24"/>
          <w:szCs w:val="24"/>
        </w:rPr>
        <w:t>TL</w:t>
      </w:r>
      <w:r>
        <w:rPr>
          <w:rFonts w:ascii="Simplified Arabic" w:hAnsi="Simplified Arabic" w:cs="Simplified Arabic"/>
          <w:noProof/>
          <w:sz w:val="24"/>
          <w:szCs w:val="24"/>
          <w:rtl/>
        </w:rPr>
        <w:t xml:space="preserve">) إلى </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SC</w:t>
      </w:r>
      <w:r>
        <w:rPr>
          <w:rFonts w:ascii="Simplified Arabic" w:hAnsi="Simplified Arabic" w:cs="Simplified Arabic"/>
          <w:noProof/>
          <w:sz w:val="24"/>
          <w:szCs w:val="24"/>
          <w:rtl/>
        </w:rPr>
        <w:t>)، وسلوكيات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والأحداث الضارة (</w:t>
      </w:r>
      <w:r>
        <w:rPr>
          <w:rFonts w:ascii="Simplified Arabic" w:hAnsi="Simplified Arabic" w:cs="Simplified Arabic"/>
          <w:noProof/>
          <w:sz w:val="24"/>
          <w:szCs w:val="24"/>
        </w:rPr>
        <w:t>AE</w:t>
      </w:r>
      <w:r>
        <w:rPr>
          <w:rFonts w:ascii="Simplified Arabic" w:hAnsi="Simplified Arabic" w:cs="Simplified Arabic"/>
          <w:noProof/>
          <w:sz w:val="24"/>
          <w:szCs w:val="24"/>
          <w:rtl/>
        </w:rPr>
        <w:t>)، مع التركيز على التأثيرات غير المباشرة والكلية للقيادة على المستويين الثقافي والسلوكي.</w:t>
      </w:r>
    </w:p>
    <w:p w14:paraId="71184148" w14:textId="71F5AFAB" w:rsidR="00053D6F" w:rsidRPr="00053D6F" w:rsidRDefault="00053D6F" w:rsidP="00053D6F">
      <w:pPr>
        <w:bidi/>
        <w:spacing w:before="210" w:after="0" w:line="360" w:lineRule="auto"/>
        <w:jc w:val="both"/>
        <w:rPr>
          <w:rFonts w:ascii="Simplified Arabic" w:hAnsi="Simplified Arabic" w:cs="Simplified Arabic"/>
          <w:b/>
          <w:bCs/>
          <w:noProof/>
          <w:sz w:val="24"/>
          <w:szCs w:val="24"/>
          <w:rtl/>
        </w:rPr>
      </w:pPr>
      <w:r w:rsidRPr="00053D6F">
        <w:rPr>
          <w:rFonts w:ascii="Simplified Arabic" w:hAnsi="Simplified Arabic" w:cs="Simplified Arabic"/>
          <w:b/>
          <w:bCs/>
          <w:noProof/>
          <w:sz w:val="24"/>
          <w:szCs w:val="24"/>
          <w:rtl/>
        </w:rPr>
        <w:t>2.1.4الأساس النظري للوساطة المتسلسلة</w:t>
      </w:r>
      <w:r w:rsidRPr="00053D6F">
        <w:rPr>
          <w:rFonts w:ascii="Simplified Arabic" w:hAnsi="Simplified Arabic" w:cs="Simplified Arabic"/>
          <w:b/>
          <w:bCs/>
          <w:noProof/>
          <w:sz w:val="24"/>
          <w:szCs w:val="24"/>
        </w:rPr>
        <w:t xml:space="preserve"> TL </w:t>
      </w:r>
      <w:r w:rsidRPr="00053D6F">
        <w:rPr>
          <w:rFonts w:ascii="Times New Roman" w:hAnsi="Times New Roman" w:cs="Times New Roman"/>
          <w:b/>
          <w:bCs/>
          <w:noProof/>
          <w:sz w:val="24"/>
          <w:szCs w:val="24"/>
        </w:rPr>
        <w:t>→</w:t>
      </w:r>
      <w:r w:rsidRPr="00053D6F">
        <w:rPr>
          <w:rFonts w:ascii="Simplified Arabic" w:hAnsi="Simplified Arabic" w:cs="Simplified Arabic"/>
          <w:b/>
          <w:bCs/>
          <w:noProof/>
          <w:sz w:val="24"/>
          <w:szCs w:val="24"/>
        </w:rPr>
        <w:t xml:space="preserve"> SC </w:t>
      </w:r>
      <w:r w:rsidRPr="00053D6F">
        <w:rPr>
          <w:rFonts w:ascii="Times New Roman" w:hAnsi="Times New Roman" w:cs="Times New Roman"/>
          <w:b/>
          <w:bCs/>
          <w:noProof/>
          <w:sz w:val="24"/>
          <w:szCs w:val="24"/>
        </w:rPr>
        <w:t>→</w:t>
      </w:r>
      <w:r w:rsidRPr="00053D6F">
        <w:rPr>
          <w:rFonts w:ascii="Simplified Arabic" w:hAnsi="Simplified Arabic" w:cs="Simplified Arabic"/>
          <w:b/>
          <w:bCs/>
          <w:noProof/>
          <w:sz w:val="24"/>
          <w:szCs w:val="24"/>
        </w:rPr>
        <w:t xml:space="preserve"> SB </w:t>
      </w:r>
      <w:r w:rsidRPr="00053D6F">
        <w:rPr>
          <w:rFonts w:ascii="Times New Roman" w:hAnsi="Times New Roman" w:cs="Times New Roman"/>
          <w:b/>
          <w:bCs/>
          <w:noProof/>
          <w:sz w:val="24"/>
          <w:szCs w:val="24"/>
        </w:rPr>
        <w:t>→</w:t>
      </w:r>
      <w:r w:rsidRPr="00053D6F">
        <w:rPr>
          <w:rFonts w:ascii="Simplified Arabic" w:hAnsi="Simplified Arabic" w:cs="Simplified Arabic"/>
          <w:b/>
          <w:bCs/>
          <w:noProof/>
          <w:sz w:val="24"/>
          <w:szCs w:val="24"/>
        </w:rPr>
        <w:t xml:space="preserve"> AE </w:t>
      </w:r>
    </w:p>
    <w:p w14:paraId="2AC85AD9" w14:textId="6DEE3D55" w:rsidR="00053D6F" w:rsidRPr="00053D6F" w:rsidRDefault="00053D6F" w:rsidP="00053D6F">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تعتمد آلية الوساطة المتسلسلة المقترحة في هذه الدراسة على منطق سببي متدرّج، يبدأ من فرضية أن القيادة التحويلية تركز بشكل أساسي على تشكيل القيم والبنية التنظيمية للمؤسسة، قبل أن تظهر آثارها على الممارسات اليومية والنتائج النهائية لسلامة المرضى. فالقيادة التحويلية لا تؤثر فقط على سلوك الأفراد بشكل مباشر، بل تعيد بناء "المناخ الرمزي" الذي يحدد ما هو مهم داخل المؤسسة، من خلال التأثير النموذجي، والتحفيز الملهم، والاستثارة الفكرية، والاعتبار الفردي. هذا التأثير البنيوي يظهر في ثقافة سلامة إيجابية تجعل من السلامة محور القرارات والإجراءات، وتشجع على الإبلاغ عن الأخطاء والتعلم منها، مع تعزيز العدالة التنظيمية والتعاون بين الفرق متعددة التخصصات.</w:t>
      </w:r>
    </w:p>
    <w:p w14:paraId="63520FEC" w14:textId="4D4FC9FD" w:rsidR="00053D6F" w:rsidRPr="00053D6F" w:rsidRDefault="00053D6F" w:rsidP="00053D6F">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بمجرد ترسيخ ثقافة سلامة إيجابية، تتحول إلى "آلية تحويل" تنقل الرسائل والرؤية القيادية إلى سلوكيات واضحة على مستوى الأفراد. تدفع القيم المشتركة حول السلامة الممارسين الصحيين إلى اعتماد سلوكيات أكثر توافقًا، مثل الالتزام بالبروتوكولات، وغسل اليدين، والتحقق المتكرر من هوية المرضى، والامتثال لقوائم التدقيق، والإبلاغ المبكر عن الحوادث شبه الضارة. لذلك، فإن سلوكيات السلامة ليست مجرد استجابات فردية، بل هي تجسد عملي لثقافة مؤسسية داعمة، تتشكل أساسًا تحت تأثير القيادة التحويلية.</w:t>
      </w:r>
    </w:p>
    <w:p w14:paraId="21BB6050" w14:textId="169C0448" w:rsidR="00053D6F" w:rsidRDefault="00053D6F" w:rsidP="007D1551">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lastRenderedPageBreak/>
        <w:t>في المرحلة الأخيرة من السلسلة السببية، يُتوقع أن تؤدي سلوكيات السلامة المبنية على ثقافة إيجابية إلى تقليل معدل وشدة الحوادث الضارة، عن طريق تقليل احتمالات الأخطاء التي يمكن الوقاية منها، وتحسين القدرة على اكتشاف المخاطر مبكرًا، وتسريع الاستجابة لها. لذلك، يُمكن تفسير النموذج المقترح (</w:t>
      </w:r>
      <w:r>
        <w:rPr>
          <w:rFonts w:ascii="Simplified Arabic" w:hAnsi="Simplified Arabic" w:cs="Simplified Arabic"/>
          <w:noProof/>
          <w:sz w:val="24"/>
          <w:szCs w:val="24"/>
        </w:rPr>
        <w:t xml:space="preserve">TL </w:t>
      </w:r>
      <w:r>
        <w:rPr>
          <w:rFonts w:ascii="Times New Roman" w:hAnsi="Times New Roman" w:cs="Times New Roman"/>
          <w:noProof/>
          <w:sz w:val="24"/>
          <w:szCs w:val="24"/>
        </w:rPr>
        <w:t>→</w:t>
      </w:r>
      <w:r>
        <w:rPr>
          <w:rFonts w:ascii="Simplified Arabic" w:hAnsi="Simplified Arabic" w:cs="Simplified Arabic"/>
          <w:noProof/>
          <w:sz w:val="24"/>
          <w:szCs w:val="24"/>
        </w:rPr>
        <w:t xml:space="preserve"> SC </w:t>
      </w:r>
      <w:r>
        <w:rPr>
          <w:rFonts w:ascii="Times New Roman" w:hAnsi="Times New Roman" w:cs="Times New Roman"/>
          <w:noProof/>
          <w:sz w:val="24"/>
          <w:szCs w:val="24"/>
        </w:rPr>
        <w:t>→</w:t>
      </w:r>
      <w:r>
        <w:rPr>
          <w:rFonts w:ascii="Simplified Arabic" w:hAnsi="Simplified Arabic" w:cs="Simplified Arabic"/>
          <w:noProof/>
          <w:sz w:val="24"/>
          <w:szCs w:val="24"/>
        </w:rPr>
        <w:t xml:space="preserve"> SB </w:t>
      </w:r>
      <w:r>
        <w:rPr>
          <w:rFonts w:ascii="Times New Roman" w:hAnsi="Times New Roman" w:cs="Times New Roman"/>
          <w:noProof/>
          <w:sz w:val="24"/>
          <w:szCs w:val="24"/>
        </w:rPr>
        <w:t>→</w:t>
      </w:r>
      <w:r>
        <w:rPr>
          <w:rFonts w:ascii="Simplified Arabic" w:hAnsi="Simplified Arabic" w:cs="Simplified Arabic"/>
          <w:noProof/>
          <w:sz w:val="24"/>
          <w:szCs w:val="24"/>
        </w:rPr>
        <w:t xml:space="preserve"> AE</w:t>
      </w:r>
      <w:r>
        <w:rPr>
          <w:rFonts w:ascii="Simplified Arabic" w:hAnsi="Simplified Arabic" w:cs="Simplified Arabic"/>
          <w:noProof/>
          <w:sz w:val="24"/>
          <w:szCs w:val="24"/>
          <w:rtl/>
        </w:rPr>
        <w:t>) على أنه مسار شامل يتكون من ثلاث طبقات مترابطة: طبقة القيادة القيمية (القيادة التحويلية)، وطبقة الثقافة التنظيمية (</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وطبقة السلوكيات التنفيذية (سلوكيات السلامة)، والتي تؤثر جميعها على النتائج السريرية والتنظيمية، ويتم قياسها من خلال الأحداث الضارة.</w:t>
      </w:r>
    </w:p>
    <w:p w14:paraId="72566F52" w14:textId="43197DC7" w:rsidR="00922B97" w:rsidRPr="00922B97" w:rsidRDefault="00922B97" w:rsidP="00922B97">
      <w:pPr>
        <w:bidi/>
        <w:spacing w:before="210" w:after="0" w:line="360" w:lineRule="auto"/>
        <w:jc w:val="both"/>
        <w:rPr>
          <w:rFonts w:ascii="Simplified Arabic" w:hAnsi="Simplified Arabic" w:cs="Simplified Arabic"/>
          <w:noProof/>
          <w:sz w:val="24"/>
          <w:szCs w:val="24"/>
          <w:rtl/>
        </w:rPr>
      </w:pPr>
      <w:r w:rsidRPr="00922B97">
        <w:rPr>
          <w:rFonts w:ascii="Simplified Arabic" w:hAnsi="Simplified Arabic" w:cs="Simplified Arabic"/>
          <w:noProof/>
          <w:sz w:val="24"/>
          <w:szCs w:val="24"/>
          <w:rtl/>
        </w:rPr>
        <w:t>تنطلق الوساطة المتسلسلة في هذه الدراسة من افتراض نظري مؤداه أن أثر القيادة التحويلية لا ينتقل إلى نتائج السلامة انتقالًا مباشرًا وفوريًا، بل يمر أولًا عبر تشكيل بيئة تنظيمية تعلي من قيمة السلامة وتدعم التواصل المفتوح والتعلم من الأخطاء. وعندما تترسخ هذه البيئة في صورة ثقافة سلامة إيجابية، فإنها تنعكس على سلوكيات العاملين اليومية من خلال زيادة الالتزام بالبروتوكولات، وتعزيز الإبلاغ عن الحوادث، ورفع مستوى التحقق من الإجراءات الحرجة. ومن ثم، فإن تقليل الأحداث الضارة يُفهم بوصفه نتيجة نهائية لمسار سببي متدرج يبدأ بالقيادة، ويمر بالثقافة، ثم يتجسد في السلوك، قبل أن يظهر في مستوى النتائج المرتبطة بسلامة المرضى</w:t>
      </w:r>
      <w:r w:rsidRPr="00922B97">
        <w:rPr>
          <w:rFonts w:ascii="Simplified Arabic" w:hAnsi="Simplified Arabic" w:cs="Simplified Arabic"/>
          <w:noProof/>
          <w:sz w:val="24"/>
          <w:szCs w:val="24"/>
        </w:rPr>
        <w:t>.</w:t>
      </w:r>
    </w:p>
    <w:p w14:paraId="5303F07E"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2.2 </w:t>
      </w:r>
      <w:r w:rsidRPr="0021013A">
        <w:rPr>
          <w:rFonts w:ascii="Simplified Arabic" w:hAnsi="Simplified Arabic" w:cs="Simplified Arabic"/>
          <w:b/>
          <w:bCs/>
          <w:noProof/>
          <w:sz w:val="24"/>
          <w:szCs w:val="24"/>
          <w:rtl/>
        </w:rPr>
        <w:t>منهج مراجعة الأدبيات</w:t>
      </w:r>
    </w:p>
    <w:p w14:paraId="3F1D41C4" w14:textId="77777777" w:rsidR="007674F9" w:rsidRDefault="00E52BF5" w:rsidP="007674F9">
      <w:pPr>
        <w:bidi/>
        <w:spacing w:before="210" w:after="0" w:line="360" w:lineRule="auto"/>
        <w:jc w:val="both"/>
        <w:rPr>
          <w:rFonts w:ascii="Simplified Arabic" w:hAnsi="Simplified Arabic" w:cs="Simplified Arabic"/>
          <w:noProof/>
          <w:sz w:val="24"/>
          <w:szCs w:val="24"/>
          <w:rtl/>
        </w:rPr>
      </w:pPr>
      <w:r w:rsidRPr="00E52BF5">
        <w:rPr>
          <w:rFonts w:ascii="Simplified Arabic" w:hAnsi="Simplified Arabic" w:cs="Simplified Arabic"/>
          <w:noProof/>
          <w:sz w:val="24"/>
          <w:szCs w:val="24"/>
          <w:rtl/>
        </w:rPr>
        <w:t>تم البحث في قواعد بيانات علمية معتمدة، تشمل</w:t>
      </w:r>
      <w:r w:rsidRPr="00E52BF5">
        <w:rPr>
          <w:rFonts w:ascii="Simplified Arabic" w:hAnsi="Simplified Arabic" w:cs="Simplified Arabic"/>
          <w:noProof/>
          <w:sz w:val="24"/>
          <w:szCs w:val="24"/>
        </w:rPr>
        <w:t xml:space="preserve"> Web of Science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 xml:space="preserve">Scopus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 xml:space="preserve">PubMed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Google Scholar</w:t>
      </w:r>
      <w:r w:rsidRPr="00E52BF5">
        <w:rPr>
          <w:rFonts w:ascii="Simplified Arabic" w:hAnsi="Simplified Arabic" w:cs="Simplified Arabic"/>
          <w:noProof/>
          <w:sz w:val="24"/>
          <w:szCs w:val="24"/>
          <w:rtl/>
        </w:rPr>
        <w:t xml:space="preserve">، إضافة إلى قاعدة المنهل العربية، خلال الفترة من </w:t>
      </w:r>
      <w:r>
        <w:rPr>
          <w:rFonts w:ascii="Simplified Arabic" w:hAnsi="Simplified Arabic" w:cs="Simplified Arabic" w:hint="cs"/>
          <w:noProof/>
          <w:sz w:val="24"/>
          <w:szCs w:val="24"/>
          <w:rtl/>
        </w:rPr>
        <w:t>2010</w:t>
      </w:r>
      <w:r w:rsidRPr="00E52BF5">
        <w:rPr>
          <w:rFonts w:ascii="Simplified Arabic" w:hAnsi="Simplified Arabic" w:cs="Simplified Arabic"/>
          <w:noProof/>
          <w:sz w:val="24"/>
          <w:szCs w:val="24"/>
          <w:rtl/>
        </w:rPr>
        <w:t xml:space="preserve"> إلى 2025، مع تركيز أكبر على الأدبيات المنشورة بين 2021 و2025 نظرًا لحداثة نماذج الوساطة المتسلسلة في هذا المجال، باستخدام كلمات مفتاحية باللغتين العربية والإنجليزية</w:t>
      </w:r>
      <w:r w:rsidR="0021013A">
        <w:rPr>
          <w:rFonts w:ascii="Simplified Arabic" w:hAnsi="Simplified Arabic" w:cs="Simplified Arabic"/>
          <w:noProof/>
          <w:sz w:val="24"/>
          <w:szCs w:val="24"/>
          <w:rtl/>
        </w:rPr>
        <w:t xml:space="preserve">، مثل: </w:t>
      </w:r>
      <w:r w:rsidR="0021013A">
        <w:rPr>
          <w:rFonts w:ascii="Simplified Arabic" w:hAnsi="Simplified Arabic" w:cs="Simplified Arabic"/>
          <w:noProof/>
          <w:sz w:val="24"/>
          <w:szCs w:val="24"/>
        </w:rPr>
        <w:t>Transformational Leadership</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Patient Safety Culture</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Safety Behaviors</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Adverse Events</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Saudi Hospitals</w:t>
      </w:r>
      <w:r w:rsidR="0021013A">
        <w:rPr>
          <w:rFonts w:ascii="Simplified Arabic" w:hAnsi="Simplified Arabic" w:cs="Simplified Arabic"/>
          <w:noProof/>
          <w:sz w:val="24"/>
          <w:szCs w:val="24"/>
          <w:rtl/>
        </w:rPr>
        <w:t>، إلى جانب المرادفات العربية.</w:t>
      </w:r>
    </w:p>
    <w:p w14:paraId="5310880F" w14:textId="6070CEB3" w:rsidR="0021013A" w:rsidRPr="0021013A" w:rsidRDefault="0021013A" w:rsidP="007674F9">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 xml:space="preserve">شملت معايير الاشتمال الدراسات المنشورة في مجلات محكَّمة، المكتوبة بالعربية أو الإنجليزية، والتي تناولت واحداً أو أكثر من المتغيرات الأربعة في سياقات صحية، مع تفضيل الدراسات التي أُجريت في المملكة العربية السعودية أو سياقات قريبة. أما معايير الاستبعاد فشملت الدراسات النظرية غير المدعومة ببيانات ميدانية، والأبحاث التي أُجريت خارج القطاع الصحي، والدراسات التي لا توفر معلومات كافية عن المنهجية أو أدوات القياس. بعد فحص العناوين والملخصات وقراءة النصوص الكاملة، تم اختيار حوالي أربعين دراسة تجريبية تناولت واحداً أو أكثر من المتغيرات الأربعة ضمن سياقات صحية متنوعة. نُظمت الدراسات في محاور رئيسة تعكس المسارات في النموذج المفاهيمي المقترح (القيادة التحويلية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hint="cs"/>
          <w:noProof/>
          <w:sz w:val="24"/>
          <w:szCs w:val="24"/>
          <w:rtl/>
        </w:rPr>
        <w:t>،</w:t>
      </w:r>
      <w:r>
        <w:rPr>
          <w:rFonts w:ascii="Simplified Arabic" w:hAnsi="Simplified Arabic" w:cs="Simplified Arabic"/>
          <w:noProof/>
          <w:sz w:val="24"/>
          <w:szCs w:val="24"/>
          <w:rtl/>
        </w:rPr>
        <w:t xml:space="preserve">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الأحداث</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الضارة،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المسار</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الكامل</w:t>
      </w:r>
      <w:r>
        <w:rPr>
          <w:rFonts w:ascii="Simplified Arabic" w:hAnsi="Simplified Arabic" w:cs="Simplified Arabic"/>
          <w:noProof/>
          <w:sz w:val="24"/>
          <w:szCs w:val="24"/>
          <w:rtl/>
        </w:rPr>
        <w:t>)</w:t>
      </w:r>
      <w:r>
        <w:rPr>
          <w:rFonts w:ascii="Simplified Arabic" w:hAnsi="Simplified Arabic" w:cs="Simplified Arabic"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مما</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ساهم</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بناء</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توليف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نقدي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يوضح</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أوجه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التشابه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والاختلاف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والقيود</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المنهجية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والسياقية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الأدبيات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السابقة</w:t>
      </w:r>
      <w:r>
        <w:rPr>
          <w:rFonts w:ascii="Simplified Arabic" w:hAnsi="Simplified Arabic" w:cs="Simplified Arabic"/>
          <w:noProof/>
          <w:sz w:val="24"/>
          <w:szCs w:val="24"/>
          <w:rtl/>
        </w:rPr>
        <w:t>.</w:t>
      </w:r>
    </w:p>
    <w:p w14:paraId="3C4080EA" w14:textId="77777777" w:rsidR="0021013A" w:rsidRDefault="0021013A" w:rsidP="0021013A">
      <w:pPr>
        <w:bidi/>
        <w:spacing w:before="210" w:after="0" w:line="360" w:lineRule="auto"/>
        <w:rPr>
          <w:rFonts w:ascii="Simplified Arabic" w:hAnsi="Simplified Arabic" w:cs="Simplified Arabic"/>
          <w:b/>
          <w:bCs/>
          <w:noProof/>
          <w:sz w:val="24"/>
          <w:szCs w:val="24"/>
          <w:rtl/>
        </w:rPr>
      </w:pPr>
      <w:r w:rsidRPr="0021013A">
        <w:rPr>
          <w:rFonts w:ascii="Simplified Arabic" w:hAnsi="Simplified Arabic" w:cs="Simplified Arabic"/>
          <w:b/>
          <w:bCs/>
          <w:noProof/>
          <w:sz w:val="24"/>
          <w:szCs w:val="24"/>
        </w:rPr>
        <w:lastRenderedPageBreak/>
        <w:t xml:space="preserve">2.3 </w:t>
      </w:r>
      <w:r w:rsidRPr="0021013A">
        <w:rPr>
          <w:rFonts w:ascii="Simplified Arabic" w:hAnsi="Simplified Arabic" w:cs="Simplified Arabic"/>
          <w:b/>
          <w:bCs/>
          <w:noProof/>
          <w:sz w:val="24"/>
          <w:szCs w:val="24"/>
          <w:rtl/>
        </w:rPr>
        <w:t>الدراسات السابقة وفق مسارات النموذج</w:t>
      </w:r>
    </w:p>
    <w:p w14:paraId="15303F40" w14:textId="22228941" w:rsidR="00405D18" w:rsidRPr="00405D18" w:rsidRDefault="00405D18" w:rsidP="00405D18">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يعرض هذا القسم بإيجاز الشواهد التجريبية التي تدعم المسارات النظرية للنموذج المقترح، ضمن الإطار النظري. أما المراجعة الأدبية المفصلة التي تتناول معايير البحث، وتحليل الدراسات، ونقدها، والفجوة البحثية، فمذكورة في القسم (2.9) من هذا الفصل. يهدف هذا الترتيب إلى تقديم الدعم النظري أولاً، ثم التعمق في مراجعة الأدبيات لاحقًا.</w:t>
      </w:r>
    </w:p>
    <w:p w14:paraId="15173090" w14:textId="77777777" w:rsidR="0091344E" w:rsidRPr="0091344E" w:rsidRDefault="0091344E" w:rsidP="0091344E">
      <w:pPr>
        <w:bidi/>
        <w:spacing w:before="210" w:after="0" w:line="360" w:lineRule="auto"/>
        <w:rPr>
          <w:rFonts w:ascii="Simplified Arabic" w:hAnsi="Simplified Arabic" w:cs="Simplified Arabic"/>
          <w:b/>
          <w:bCs/>
          <w:noProof/>
          <w:sz w:val="24"/>
          <w:szCs w:val="24"/>
        </w:rPr>
      </w:pPr>
      <w:r w:rsidRPr="0091344E">
        <w:rPr>
          <w:rFonts w:ascii="Simplified Arabic" w:hAnsi="Simplified Arabic" w:cs="Simplified Arabic"/>
          <w:b/>
          <w:bCs/>
          <w:noProof/>
          <w:sz w:val="24"/>
          <w:szCs w:val="24"/>
        </w:rPr>
        <w:t xml:space="preserve">2.3.1 </w:t>
      </w:r>
      <w:r w:rsidRPr="0091344E">
        <w:rPr>
          <w:rFonts w:ascii="Simplified Arabic" w:hAnsi="Simplified Arabic" w:cs="Simplified Arabic"/>
          <w:b/>
          <w:bCs/>
          <w:noProof/>
          <w:sz w:val="24"/>
          <w:szCs w:val="24"/>
          <w:rtl/>
        </w:rPr>
        <w:t>المحور الأول: العلاقة بين القيادة التحويلية وثقافة سلامة المرضى</w:t>
      </w:r>
      <w:r w:rsidRPr="0091344E">
        <w:rPr>
          <w:rFonts w:ascii="Simplified Arabic" w:hAnsi="Simplified Arabic" w:cs="Simplified Arabic"/>
          <w:b/>
          <w:bCs/>
          <w:noProof/>
          <w:sz w:val="24"/>
          <w:szCs w:val="24"/>
        </w:rPr>
        <w:t xml:space="preserve"> (TL </w:t>
      </w:r>
      <w:r w:rsidRPr="0091344E">
        <w:rPr>
          <w:rFonts w:ascii="Times New Roman" w:hAnsi="Times New Roman" w:cs="Times New Roman"/>
          <w:b/>
          <w:bCs/>
          <w:noProof/>
          <w:sz w:val="24"/>
          <w:szCs w:val="24"/>
        </w:rPr>
        <w:t>→</w:t>
      </w:r>
      <w:r w:rsidRPr="0091344E">
        <w:rPr>
          <w:rFonts w:ascii="Simplified Arabic" w:hAnsi="Simplified Arabic" w:cs="Simplified Arabic"/>
          <w:b/>
          <w:bCs/>
          <w:noProof/>
          <w:sz w:val="24"/>
          <w:szCs w:val="24"/>
        </w:rPr>
        <w:t xml:space="preserve"> SC)</w:t>
      </w:r>
    </w:p>
    <w:p w14:paraId="04C3A087" w14:textId="14DFC247" w:rsidR="0021013A" w:rsidRPr="0021013A" w:rsidRDefault="0021013A" w:rsidP="000A33FE">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 xml:space="preserve">أظهرت عدة دراسات في المجال الصحي أن القيادة التحويلية ترتبط بشكل إيجابي بمدى وعي العاملين بثقافة سلامة المرضى. تشير هذه الدراسات إلى أن القادة الذين يمارسون التأثير المثالي ويقدمون رؤية واضحة للتعامل مع السلامة مع دعم دائم للعاملين يساهمون في خلق بيئة منفتحة تشجع على الإبلاغ عن الأخطاء والتعلم منها. وأيضًا، أظهرت دراسات عربية وسعودية أن وجود نمط القيادة التحويلية في المستشفيات يرتبط بارتفاع مستويات الثقة في الإدارة وتحسين مؤشرات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مثل التعاون بين الفرق، وتبادل المعلومات، والشعور بالعدل عند التعامل مع الأخطاء. وتدعم هذه النتائج الفكرة بأن القيادة التحويلية تعد عنصرًا حاسمًا في بناء ثقافة سلامة إيجابية داخل المستشفيات الحكومية.</w:t>
      </w:r>
    </w:p>
    <w:p w14:paraId="0DB3ECA1" w14:textId="77777777" w:rsidR="0091344E" w:rsidRPr="0091344E" w:rsidRDefault="0091344E" w:rsidP="0091344E">
      <w:pPr>
        <w:bidi/>
        <w:spacing w:before="210" w:after="0" w:line="360" w:lineRule="auto"/>
        <w:rPr>
          <w:rFonts w:ascii="Simplified Arabic" w:hAnsi="Simplified Arabic" w:cs="Simplified Arabic"/>
          <w:b/>
          <w:bCs/>
          <w:noProof/>
          <w:sz w:val="24"/>
          <w:szCs w:val="24"/>
        </w:rPr>
      </w:pPr>
      <w:r w:rsidRPr="0091344E">
        <w:rPr>
          <w:rFonts w:ascii="Simplified Arabic" w:hAnsi="Simplified Arabic" w:cs="Simplified Arabic"/>
          <w:b/>
          <w:bCs/>
          <w:noProof/>
          <w:sz w:val="24"/>
          <w:szCs w:val="24"/>
        </w:rPr>
        <w:t xml:space="preserve">2.3.2 </w:t>
      </w:r>
      <w:r w:rsidRPr="0091344E">
        <w:rPr>
          <w:rFonts w:ascii="Simplified Arabic" w:hAnsi="Simplified Arabic" w:cs="Simplified Arabic"/>
          <w:b/>
          <w:bCs/>
          <w:noProof/>
          <w:sz w:val="24"/>
          <w:szCs w:val="24"/>
          <w:rtl/>
        </w:rPr>
        <w:t>المحور الثاني: العلاقة بين ثقافة سلامة المرضى وسلوكيات السلامة والأحداث الضارة</w:t>
      </w:r>
      <w:r w:rsidRPr="0091344E">
        <w:rPr>
          <w:rFonts w:ascii="Simplified Arabic" w:hAnsi="Simplified Arabic" w:cs="Simplified Arabic"/>
          <w:b/>
          <w:bCs/>
          <w:noProof/>
          <w:sz w:val="24"/>
          <w:szCs w:val="24"/>
        </w:rPr>
        <w:t xml:space="preserve"> (SC </w:t>
      </w:r>
      <w:r w:rsidRPr="0091344E">
        <w:rPr>
          <w:rFonts w:ascii="Times New Roman" w:hAnsi="Times New Roman" w:cs="Times New Roman"/>
          <w:b/>
          <w:bCs/>
          <w:noProof/>
          <w:sz w:val="24"/>
          <w:szCs w:val="24"/>
        </w:rPr>
        <w:t>→</w:t>
      </w:r>
      <w:r w:rsidRPr="0091344E">
        <w:rPr>
          <w:rFonts w:ascii="Simplified Arabic" w:hAnsi="Simplified Arabic" w:cs="Simplified Arabic"/>
          <w:b/>
          <w:bCs/>
          <w:noProof/>
          <w:sz w:val="24"/>
          <w:szCs w:val="24"/>
        </w:rPr>
        <w:t xml:space="preserve"> SB </w:t>
      </w:r>
      <w:r w:rsidRPr="0091344E">
        <w:rPr>
          <w:rFonts w:ascii="Times New Roman" w:hAnsi="Times New Roman" w:cs="Times New Roman"/>
          <w:b/>
          <w:bCs/>
          <w:noProof/>
          <w:sz w:val="24"/>
          <w:szCs w:val="24"/>
        </w:rPr>
        <w:t>→</w:t>
      </w:r>
      <w:r w:rsidRPr="0091344E">
        <w:rPr>
          <w:rFonts w:ascii="Simplified Arabic" w:hAnsi="Simplified Arabic" w:cs="Simplified Arabic"/>
          <w:b/>
          <w:bCs/>
          <w:noProof/>
          <w:sz w:val="24"/>
          <w:szCs w:val="24"/>
        </w:rPr>
        <w:t xml:space="preserve"> AE)</w:t>
      </w:r>
    </w:p>
    <w:p w14:paraId="621E6D44" w14:textId="6AC5816D" w:rsidR="0021013A" w:rsidRPr="0021013A" w:rsidRDefault="0021013A" w:rsidP="000A33FE">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 xml:space="preserve">تشير الأبحاث إلى أن ثقافة السلامة ليست مجرد مفهوم نظري على المستوى التنظيمي، بل تجسّد في سلوكيات العاملين في الممارسة اليومية. أظهرت الدراسات التي قيّمت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أن الوحدات التي تتسم بثقافة إيجابية تُظهر التزاماً أعلى بالبروتوكولات، واستعداداً أكبر للإبلاغ عن الأخطاء، ومشاركة فاعلة في برامج التحسين المستمر. كما كشفت أن تصور الموظفين لدعم الإدارة العليا للسلامة، وعدالة التعامل مع الأخطاء، يساهمان في تعزيز السلوكيات الآمنة وتقليص رغبة إخفاء الحوادث. بناءً عليه، يمكن اعتبار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كشرط أساسي للسلوكيات الآمنة، ووسيط محتمل بين القيادة ونتائج سلامة المرضى.</w:t>
      </w:r>
    </w:p>
    <w:p w14:paraId="635531E5" w14:textId="77777777" w:rsidR="00F5669C" w:rsidRDefault="00F5669C" w:rsidP="00F5669C">
      <w:pPr>
        <w:bidi/>
        <w:spacing w:before="210" w:after="0" w:line="360" w:lineRule="auto"/>
        <w:jc w:val="both"/>
        <w:rPr>
          <w:rFonts w:ascii="Simplified Arabic" w:hAnsi="Simplified Arabic" w:cs="Simplified Arabic"/>
          <w:noProof/>
          <w:sz w:val="24"/>
          <w:szCs w:val="24"/>
          <w:rtl/>
        </w:rPr>
      </w:pPr>
      <w:r w:rsidRPr="00F5669C">
        <w:rPr>
          <w:rFonts w:ascii="Simplified Arabic" w:hAnsi="Simplified Arabic" w:cs="Simplified Arabic"/>
          <w:b/>
          <w:bCs/>
          <w:noProof/>
          <w:sz w:val="24"/>
          <w:szCs w:val="24"/>
        </w:rPr>
        <w:t xml:space="preserve">2.3.3 </w:t>
      </w:r>
      <w:r w:rsidRPr="00F5669C">
        <w:rPr>
          <w:rFonts w:ascii="Simplified Arabic" w:hAnsi="Simplified Arabic" w:cs="Simplified Arabic"/>
          <w:b/>
          <w:bCs/>
          <w:noProof/>
          <w:sz w:val="24"/>
          <w:szCs w:val="24"/>
          <w:rtl/>
        </w:rPr>
        <w:t>التعليق النقدي والفجوة البحثية</w:t>
      </w:r>
    </w:p>
    <w:p w14:paraId="333607B3" w14:textId="5B082A8C" w:rsidR="0021013A" w:rsidRPr="0021013A" w:rsidRDefault="0021013A" w:rsidP="00F5669C">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 xml:space="preserve">تؤكد الدراسات أن سلوكيات السلامة التي يتبعها مقدمو الرعاية الصحية تعتبر من العوامل الأساسية التي تتنبأ بمستوى حدوث الحوادث الضارة في المستشفيات، مثل الأخطاء الدوائية، والعدوى المرتبطة بالرعاية، والحوادث الناتجة عن إجراءات التمريض أو التدخلات الطبية. أظهرت الدراسات الوطنية والإقليمية أن الالتزام العالي بإجراءات السلامة، كالتأكد المزدوج من الأدوية، واتباع إجراءات مكافحة العدوى، والإبلاغ عن الحوادث شبه المميتة، يرتبط بانخفاض ملحوظ في معدلات الضرر القابل للوقاية. هذه الدراسات تشير أيضاً إلى </w:t>
      </w:r>
      <w:r>
        <w:rPr>
          <w:rFonts w:ascii="Simplified Arabic" w:hAnsi="Simplified Arabic" w:cs="Simplified Arabic"/>
          <w:noProof/>
          <w:sz w:val="24"/>
          <w:szCs w:val="24"/>
          <w:rtl/>
        </w:rPr>
        <w:lastRenderedPageBreak/>
        <w:t>أن غياب أو ضعف سلوكيات السلامة يخلق فجوة بين السياسات الرسمية والتطبيق العملي، مما يفسر استمرار بعض الأخطاء والحوادث رغم وجود أنظمة وإرشادات مكتوبة.</w:t>
      </w:r>
    </w:p>
    <w:p w14:paraId="3AD23DDC" w14:textId="09B30DA5"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2.3.4 </w:t>
      </w:r>
      <w:r w:rsidRPr="0021013A">
        <w:rPr>
          <w:rFonts w:ascii="Simplified Arabic" w:hAnsi="Simplified Arabic" w:cs="Simplified Arabic"/>
          <w:b/>
          <w:bCs/>
          <w:noProof/>
          <w:sz w:val="24"/>
          <w:szCs w:val="24"/>
          <w:rtl/>
        </w:rPr>
        <w:t>دراسات المسارات المباشرة والمتسلسلة للقيادة على الأحداث الضارة</w:t>
      </w:r>
      <w:r w:rsidR="001F3F7F" w:rsidRPr="00EA597B">
        <w:rPr>
          <w:rFonts w:ascii="Simplified Arabic" w:hAnsi="Simplified Arabic" w:cs="Simplified Arabic"/>
          <w:b/>
          <w:bCs/>
          <w:noProof/>
          <w:sz w:val="24"/>
          <w:szCs w:val="24"/>
        </w:rPr>
        <w:t xml:space="preserve"> (TL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AE, TL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SC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SB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AE)</w:t>
      </w:r>
    </w:p>
    <w:p w14:paraId="32C4676F" w14:textId="5D653871" w:rsidR="0021013A" w:rsidRDefault="00EA597B" w:rsidP="000A33FE">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 xml:space="preserve">قامت بعض الأبحاث بدراسة العلاقة المباشرة بين أنماط القيادة ونتائج سلامة المرضى، وأكدت أن القيادة الداعمة والتحويلية مرتبطة بانخفاض معدلات الأخطاء والأحداث الضارة. ومع ذلك، تكشف مراجعة نقدية للأدبيات أن معظم الدراسات ركزت على علاقات ثنائية؛ فبعضها درس تأثير القيادة التحويلية على ثقافة السلامة فقط، وآخرون ركزوا على علاقة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بالأحداث الضارة أو سلوكيات السلامة، دون اختبار نموذج سببي كامل يدمج جميع المتغيرات في مسار واحد. من هنا تظهر الفجوة المنهجية التي تسعى هذه الدراسة لمعالجتها عبر اختبار نموذج وساطة متسلسلة يربط بين القيادة التحويلية،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سلوكيات السلامة، والأحداث الضارة، في سياق المستشفيات الحكومية بمنطقة الجوف، باستخدام نمذجة المعادلات الهيكلية لتقييم التأثيرات المباشرة وغير المباشرة.</w:t>
      </w:r>
    </w:p>
    <w:p w14:paraId="115F2803" w14:textId="652A7E7E" w:rsidR="00CB47F4" w:rsidRPr="0021013A" w:rsidRDefault="00CB47F4" w:rsidP="00CB47F4">
      <w:pPr>
        <w:bidi/>
        <w:spacing w:before="210" w:after="0" w:line="360" w:lineRule="auto"/>
        <w:jc w:val="both"/>
        <w:rPr>
          <w:rFonts w:ascii="Simplified Arabic" w:hAnsi="Simplified Arabic" w:cs="Simplified Arabic"/>
          <w:noProof/>
          <w:sz w:val="24"/>
          <w:szCs w:val="24"/>
        </w:rPr>
      </w:pPr>
      <w:r w:rsidRPr="00CB47F4">
        <w:rPr>
          <w:rFonts w:ascii="Simplified Arabic" w:hAnsi="Simplified Arabic" w:cs="Simplified Arabic"/>
          <w:noProof/>
          <w:sz w:val="24"/>
          <w:szCs w:val="24"/>
          <w:rtl/>
        </w:rPr>
        <w:t>يتبين من مجمل الدراسات السابقة وجود اتفاق عام على أن القيادة التحويلية ترتبط إيجابًا بثقافة السلامة، وأن ثقافة السلامة ترتبط بدورها بسلوكيات السلامة، كما ترتبط السلوكيات الآمنة بانخفاض احتمال وقوع الأحداث الضارة. ومع ذلك، فإن هذا الاتفاق لا يلغي وجود حدود واضحة في الأدبيات، تتمثل في غلبة الدراسات الثنائية أو الجزئية، وتباين البيئات التطبيقية، والاعتماد المتكرر على التصاميم المقطعية والبيانات الإدراكية. ومن هنا تتحدد الفجوة التي تنطلق منها الدراسة الحالية، إذ تسعى إلى اختبار المسار التفسيري المتكامل الذي يربط القيادة التحويلية بثقافة السلامة ثم سلوكيات السلامة وصولًا إلى الأحداث الضارة داخل سياق المستشفيات الحكومية في منطقة الجوف</w:t>
      </w:r>
      <w:r w:rsidRPr="00CB47F4">
        <w:rPr>
          <w:rFonts w:ascii="Simplified Arabic" w:hAnsi="Simplified Arabic" w:cs="Simplified Arabic"/>
          <w:noProof/>
          <w:sz w:val="24"/>
          <w:szCs w:val="24"/>
        </w:rPr>
        <w:t>.</w:t>
      </w:r>
    </w:p>
    <w:p w14:paraId="33C0D329"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 </w:t>
      </w:r>
      <w:r w:rsidRPr="0021013A">
        <w:rPr>
          <w:rFonts w:ascii="Simplified Arabic" w:hAnsi="Simplified Arabic" w:cs="Simplified Arabic"/>
          <w:b/>
          <w:bCs/>
          <w:noProof/>
          <w:sz w:val="24"/>
          <w:szCs w:val="24"/>
          <w:rtl/>
        </w:rPr>
        <w:t>تعريفات المتغيرات الرئيسة وأدوات القياس</w:t>
      </w:r>
    </w:p>
    <w:p w14:paraId="07718A77"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2.4.1 </w:t>
      </w:r>
      <w:r w:rsidRPr="0021013A">
        <w:rPr>
          <w:rFonts w:ascii="Simplified Arabic" w:hAnsi="Simplified Arabic" w:cs="Simplified Arabic"/>
          <w:b/>
          <w:bCs/>
          <w:noProof/>
          <w:sz w:val="24"/>
          <w:szCs w:val="24"/>
          <w:rtl/>
        </w:rPr>
        <w:t>تعريفات المتغيرات الرئيسة</w:t>
      </w:r>
    </w:p>
    <w:p w14:paraId="1C90E949" w14:textId="0FAC7E65" w:rsidR="0021013A" w:rsidRPr="0021013A" w:rsidRDefault="00EA597B" w:rsidP="002E4152">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1. </w:t>
      </w:r>
      <w:r w:rsidR="002E4152">
        <w:rPr>
          <w:rFonts w:ascii="Simplified Arabic" w:hAnsi="Simplified Arabic" w:cs="Simplified Arabic"/>
          <w:noProof/>
          <w:sz w:val="24"/>
          <w:szCs w:val="24"/>
          <w:rtl/>
        </w:rPr>
        <w:t>القيادة التحويلية (</w:t>
      </w:r>
      <w:r w:rsidR="002E4152">
        <w:rPr>
          <w:rFonts w:ascii="Simplified Arabic" w:hAnsi="Simplified Arabic" w:cs="Simplified Arabic"/>
          <w:noProof/>
          <w:sz w:val="24"/>
          <w:szCs w:val="24"/>
        </w:rPr>
        <w:t>TL</w:t>
      </w:r>
      <w:r w:rsidR="002E4152">
        <w:rPr>
          <w:rFonts w:ascii="Simplified Arabic" w:hAnsi="Simplified Arabic" w:cs="Simplified Arabic"/>
          <w:noProof/>
          <w:sz w:val="24"/>
          <w:szCs w:val="24"/>
          <w:rtl/>
        </w:rPr>
        <w:t>) هي نمط من القيادة يمارسه المديرون في المستشفيات الحكومية، ويتجلى في ست ممارسات رئيسية: توضيح الرؤية، وتقديم النموذج، وتشجيع قبول الأهداف الجماعية، ووضع توقعات أداء مرتفعة، والدعم الفردي، والاستثارة الفكرية. ويتم قياسها من خلال استجابات العاملين على أبعاد مقياس مخزون القيادة التحويلية (</w:t>
      </w:r>
      <w:r w:rsidR="002E4152">
        <w:rPr>
          <w:rFonts w:ascii="Simplified Arabic" w:hAnsi="Simplified Arabic" w:cs="Simplified Arabic"/>
          <w:noProof/>
          <w:sz w:val="24"/>
          <w:szCs w:val="24"/>
        </w:rPr>
        <w:t>TLI</w:t>
      </w:r>
      <w:r w:rsidR="002E4152">
        <w:rPr>
          <w:rFonts w:ascii="Simplified Arabic" w:hAnsi="Simplified Arabic" w:cs="Simplified Arabic"/>
          <w:noProof/>
          <w:sz w:val="24"/>
          <w:szCs w:val="24"/>
          <w:rtl/>
        </w:rPr>
        <w:t xml:space="preserve">) وفقًا لـ </w:t>
      </w:r>
      <w:r w:rsidR="002E4152">
        <w:rPr>
          <w:rFonts w:ascii="Simplified Arabic" w:hAnsi="Simplified Arabic" w:cs="Simplified Arabic"/>
          <w:noProof/>
          <w:sz w:val="24"/>
          <w:szCs w:val="24"/>
        </w:rPr>
        <w:t>Podsakoff et al</w:t>
      </w:r>
      <w:r w:rsidR="002E4152">
        <w:rPr>
          <w:rFonts w:ascii="Simplified Arabic" w:hAnsi="Simplified Arabic" w:cs="Simplified Arabic"/>
          <w:noProof/>
          <w:sz w:val="24"/>
          <w:szCs w:val="24"/>
          <w:rtl/>
        </w:rPr>
        <w:t>. (1990)، والمعتمد في الدراسة.</w:t>
      </w:r>
    </w:p>
    <w:p w14:paraId="7E524E76" w14:textId="70D63220"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lastRenderedPageBreak/>
        <w:t xml:space="preserve">2. </w:t>
      </w:r>
      <w:r>
        <w:rPr>
          <w:rFonts w:ascii="Simplified Arabic" w:hAnsi="Simplified Arabic" w:cs="Simplified Arabic"/>
          <w:noProof/>
          <w:sz w:val="24"/>
          <w:szCs w:val="24"/>
          <w:rtl/>
        </w:rPr>
        <w:t>ثقافة السلامة (</w:t>
      </w:r>
      <w:r>
        <w:rPr>
          <w:rFonts w:ascii="Simplified Arabic" w:hAnsi="Simplified Arabic" w:cs="Simplified Arabic"/>
          <w:noProof/>
          <w:sz w:val="24"/>
          <w:szCs w:val="24"/>
        </w:rPr>
        <w:t>SC</w:t>
      </w:r>
      <w:r>
        <w:rPr>
          <w:rFonts w:ascii="Simplified Arabic" w:hAnsi="Simplified Arabic" w:cs="Simplified Arabic"/>
          <w:noProof/>
          <w:sz w:val="24"/>
          <w:szCs w:val="24"/>
          <w:rtl/>
        </w:rPr>
        <w:t>): وعي العاملين في المستشفيات الحكومية بقيم وممارسات واتجاهات تؤكد أن سلامة المرضى تأتي في مقدمة أولويات المؤسسة، ويُقاس ذلك بناءً على الأبعاد الأساسية لمقياس ثقافة سلامة المرضى المستخدم في الدراسة.</w:t>
      </w:r>
    </w:p>
    <w:p w14:paraId="369906DE" w14:textId="31D0E1C0"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3.</w:t>
      </w:r>
      <w:r>
        <w:rPr>
          <w:rFonts w:ascii="Simplified Arabic" w:hAnsi="Simplified Arabic" w:cs="Simplified Arabic"/>
          <w:noProof/>
          <w:sz w:val="24"/>
          <w:szCs w:val="24"/>
          <w:rtl/>
        </w:rPr>
        <w:t>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التصرفات والممارسات اليومية المتعلقة بالسلامة التي يقوم بها العاملون في المستشفيات، مثل الالتزام بالبروتوكولات والإبلاغ عن الحوادث، وتقاس باستخدام مقياس سلوكيات السلامة المعتمد.</w:t>
      </w:r>
    </w:p>
    <w:p w14:paraId="27A9522F" w14:textId="0B1AF634" w:rsidR="0021013A" w:rsidRDefault="00EA597B" w:rsidP="00EA597B">
      <w:pPr>
        <w:bidi/>
        <w:spacing w:before="210" w:after="0" w:line="360" w:lineRule="auto"/>
        <w:rPr>
          <w:rFonts w:ascii="Simplified Arabic" w:hAnsi="Simplified Arabic" w:cs="Simplified Arabic"/>
          <w:noProof/>
          <w:sz w:val="24"/>
          <w:szCs w:val="24"/>
          <w:rtl/>
        </w:rPr>
      </w:pPr>
      <w:r>
        <w:rPr>
          <w:rFonts w:ascii="Simplified Arabic" w:hAnsi="Simplified Arabic" w:cs="Simplified Arabic" w:hint="cs"/>
          <w:noProof/>
          <w:sz w:val="24"/>
          <w:szCs w:val="24"/>
          <w:rtl/>
        </w:rPr>
        <w:t>4.</w:t>
      </w:r>
      <w:r>
        <w:rPr>
          <w:rFonts w:ascii="Simplified Arabic" w:hAnsi="Simplified Arabic" w:cs="Simplified Arabic"/>
          <w:noProof/>
          <w:sz w:val="24"/>
          <w:szCs w:val="24"/>
          <w:rtl/>
        </w:rPr>
        <w:t>الأحداث الضارة (</w:t>
      </w:r>
      <w:r>
        <w:rPr>
          <w:rFonts w:ascii="Simplified Arabic" w:hAnsi="Simplified Arabic" w:cs="Simplified Arabic"/>
          <w:noProof/>
          <w:sz w:val="24"/>
          <w:szCs w:val="24"/>
        </w:rPr>
        <w:t>AE</w:t>
      </w:r>
      <w:r>
        <w:rPr>
          <w:rFonts w:ascii="Simplified Arabic" w:hAnsi="Simplified Arabic" w:cs="Simplified Arabic"/>
          <w:noProof/>
          <w:sz w:val="24"/>
          <w:szCs w:val="24"/>
          <w:rtl/>
        </w:rPr>
        <w:t>): الحالات أو النتائج غير المرغوبة التي قد يتعرض لها المرضى نتيجة الرعاية الصحية أو أثناءها. يمكن تقليل بعضها من خلال تعزيز الثقافة والسلوكيات المتعلقة بالسلامة. تُقاس استجابة للمشاركين من خلال تكرار أنواع معينة من الأحداث الضارة أو مؤشرات مرتبطة بها.</w:t>
      </w:r>
    </w:p>
    <w:p w14:paraId="2EE4769A" w14:textId="065813C2" w:rsidR="008B5C39" w:rsidRPr="008B5C39" w:rsidRDefault="008B5C39" w:rsidP="008B5C39">
      <w:pPr>
        <w:bidi/>
        <w:spacing w:before="210" w:after="0" w:line="360" w:lineRule="auto"/>
        <w:rPr>
          <w:rFonts w:ascii="Simplified Arabic" w:hAnsi="Simplified Arabic" w:cs="Simplified Arabic"/>
          <w:b/>
          <w:bCs/>
          <w:noProof/>
          <w:sz w:val="24"/>
          <w:szCs w:val="24"/>
          <w:rtl/>
        </w:rPr>
      </w:pPr>
      <w:r w:rsidRPr="008B5C39">
        <w:rPr>
          <w:rFonts w:ascii="Simplified Arabic" w:hAnsi="Simplified Arabic" w:cs="Simplified Arabic"/>
          <w:b/>
          <w:bCs/>
          <w:noProof/>
          <w:sz w:val="24"/>
          <w:szCs w:val="24"/>
          <w:rtl/>
        </w:rPr>
        <w:t>جدول (</w:t>
      </w:r>
      <w:r>
        <w:rPr>
          <w:rFonts w:ascii="Simplified Arabic" w:hAnsi="Simplified Arabic" w:cs="Simplified Arabic" w:hint="cs"/>
          <w:b/>
          <w:bCs/>
          <w:noProof/>
          <w:sz w:val="24"/>
          <w:szCs w:val="24"/>
          <w:rtl/>
        </w:rPr>
        <w:t>2</w:t>
      </w:r>
      <w:r w:rsidRPr="008B5C39">
        <w:rPr>
          <w:rFonts w:ascii="Simplified Arabic" w:hAnsi="Simplified Arabic" w:cs="Simplified Arabic"/>
          <w:b/>
          <w:bCs/>
          <w:noProof/>
          <w:sz w:val="24"/>
          <w:szCs w:val="24"/>
          <w:rtl/>
        </w:rPr>
        <w:t>): تعريفات المتغيرات وحدودها المفاهيمية</w:t>
      </w:r>
      <w:r>
        <w:rPr>
          <w:rFonts w:ascii="Simplified Arabic" w:hAnsi="Simplified Arabic" w:cs="Simplified Arabic" w:hint="cs"/>
          <w:b/>
          <w:bCs/>
          <w:noProof/>
          <w:sz w:val="24"/>
          <w:szCs w:val="24"/>
          <w:rtl/>
        </w:rPr>
        <w:t>:</w:t>
      </w:r>
    </w:p>
    <w:tbl>
      <w:tblPr>
        <w:tblStyle w:val="10"/>
        <w:bidiVisual/>
        <w:tblW w:w="10152" w:type="dxa"/>
        <w:tblLook w:val="04A0" w:firstRow="1" w:lastRow="0" w:firstColumn="1" w:lastColumn="0" w:noHBand="0" w:noVBand="1"/>
      </w:tblPr>
      <w:tblGrid>
        <w:gridCol w:w="1338"/>
        <w:gridCol w:w="2070"/>
        <w:gridCol w:w="2070"/>
        <w:gridCol w:w="2160"/>
        <w:gridCol w:w="2514"/>
      </w:tblGrid>
      <w:tr w:rsidR="008B5C39" w:rsidRPr="00E07AD8" w14:paraId="3DAAF8A3" w14:textId="77777777" w:rsidTr="005C11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43802261" w14:textId="77777777" w:rsidR="008B5C39" w:rsidRPr="00E07AD8" w:rsidRDefault="008B5C39" w:rsidP="008A4558">
            <w:pPr>
              <w:bidi/>
              <w:spacing w:line="360" w:lineRule="auto"/>
              <w:jc w:val="center"/>
              <w:rPr>
                <w:rFonts w:ascii="Sakkal Majalla" w:hAnsi="Sakkal Majalla" w:cs="Sakkal Majalla"/>
                <w:b w:val="0"/>
                <w:bCs w:val="0"/>
                <w:sz w:val="20"/>
                <w:szCs w:val="20"/>
                <w:rtl/>
              </w:rPr>
            </w:pPr>
            <w:r w:rsidRPr="00E07AD8">
              <w:rPr>
                <w:rFonts w:ascii="Sakkal Majalla" w:hAnsi="Sakkal Majalla" w:cs="Sakkal Majalla"/>
                <w:sz w:val="20"/>
                <w:szCs w:val="20"/>
                <w:rtl/>
              </w:rPr>
              <w:t>المتغير</w:t>
            </w:r>
          </w:p>
        </w:tc>
        <w:tc>
          <w:tcPr>
            <w:tcW w:w="2070" w:type="dxa"/>
          </w:tcPr>
          <w:p w14:paraId="25B3CAC1"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التعريف المعتمد</w:t>
            </w:r>
          </w:p>
        </w:tc>
        <w:tc>
          <w:tcPr>
            <w:tcW w:w="2070" w:type="dxa"/>
          </w:tcPr>
          <w:p w14:paraId="7D76124B"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الأبعاد الرئيسة</w:t>
            </w:r>
          </w:p>
        </w:tc>
        <w:tc>
          <w:tcPr>
            <w:tcW w:w="2160" w:type="dxa"/>
          </w:tcPr>
          <w:p w14:paraId="35A8D2B0"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التمييز عن مفهوم قريب</w:t>
            </w:r>
          </w:p>
        </w:tc>
        <w:tc>
          <w:tcPr>
            <w:tcW w:w="2514" w:type="dxa"/>
          </w:tcPr>
          <w:p w14:paraId="28A78521"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أداة القياس/المصدر</w:t>
            </w:r>
          </w:p>
        </w:tc>
      </w:tr>
      <w:tr w:rsidR="008B5C39" w:rsidRPr="00E07AD8" w14:paraId="6AF28E58" w14:textId="77777777" w:rsidTr="005C1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63116126"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القيادة التحويلية</w:t>
            </w:r>
            <w:r w:rsidRPr="00E07AD8">
              <w:rPr>
                <w:rFonts w:ascii="Sakkal Majalla" w:hAnsi="Sakkal Majalla" w:cs="Sakkal Majalla"/>
                <w:sz w:val="20"/>
                <w:szCs w:val="20"/>
              </w:rPr>
              <w:t xml:space="preserve"> (TL)</w:t>
            </w:r>
          </w:p>
        </w:tc>
        <w:tc>
          <w:tcPr>
            <w:tcW w:w="2070" w:type="dxa"/>
          </w:tcPr>
          <w:p w14:paraId="2CC8EA23" w14:textId="78DEED2D" w:rsidR="008B5C39" w:rsidRPr="00E07AD8" w:rsidRDefault="005C112B" w:rsidP="005C112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5C112B">
              <w:rPr>
                <w:rFonts w:ascii="Sakkal Majalla" w:hAnsi="Sakkal Majalla" w:cs="Sakkal Majalla"/>
                <w:b/>
                <w:bCs/>
                <w:sz w:val="20"/>
                <w:szCs w:val="20"/>
                <w:rtl/>
              </w:rPr>
              <w:t>أسلوب قيادي يُلهم ويحفز الموظفين لتبني أهداف المنظمة على المصالح الشخصية عبر التأثير، والتحفيز، وتنشيط الفكر، والاعتراف بالفردية</w:t>
            </w:r>
            <w:r w:rsidRPr="005C112B">
              <w:rPr>
                <w:rFonts w:ascii="Sakkal Majalla" w:hAnsi="Sakkal Majalla" w:cs="Sakkal Majalla"/>
                <w:b/>
                <w:bCs/>
                <w:sz w:val="20"/>
                <w:szCs w:val="20"/>
              </w:rPr>
              <w:t>.</w:t>
            </w:r>
          </w:p>
        </w:tc>
        <w:tc>
          <w:tcPr>
            <w:tcW w:w="2070" w:type="dxa"/>
          </w:tcPr>
          <w:p w14:paraId="32CB19CE" w14:textId="1EC6A20E" w:rsidR="008B5C39" w:rsidRPr="00E07AD8" w:rsidRDefault="005C112B" w:rsidP="005C112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Sakkal Majalla" w:hAnsi="Sakkal Majalla" w:cs="Sakkal Majalla"/>
                <w:b/>
                <w:bCs/>
                <w:sz w:val="20"/>
                <w:szCs w:val="20"/>
                <w:rtl/>
              </w:rPr>
              <w:t>صياغة الرؤية، تقديم النموذج المناسب، تعزيز قبول الأهداف الجماعية، توقعات الأداء العالي، الدعم الفردي، الاستثارة الفكرية</w:t>
            </w:r>
            <w:r w:rsidRPr="005C112B">
              <w:rPr>
                <w:rFonts w:ascii="Sakkal Majalla" w:hAnsi="Sakkal Majalla" w:cs="Sakkal Majalla"/>
                <w:b/>
                <w:bCs/>
                <w:sz w:val="20"/>
                <w:szCs w:val="20"/>
              </w:rPr>
              <w:t>.</w:t>
            </w:r>
          </w:p>
        </w:tc>
        <w:tc>
          <w:tcPr>
            <w:tcW w:w="2160" w:type="dxa"/>
          </w:tcPr>
          <w:p w14:paraId="34A9CC8D" w14:textId="3C4BFF84" w:rsidR="008B5C39" w:rsidRPr="00E07AD8" w:rsidRDefault="005C112B" w:rsidP="005C112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Sakkal Majalla" w:hAnsi="Sakkal Majalla" w:cs="Sakkal Majalla"/>
                <w:b/>
                <w:bCs/>
                <w:sz w:val="20"/>
                <w:szCs w:val="20"/>
                <w:rtl/>
              </w:rPr>
              <w:t>تتميز عن القيادة التبادلية التي تركز على الحوافز والعقوبات قصيرة الأجل، وعن القيادة الخدمية التي تركز أساسًا على خدمة التابعين لا على تغيير المنظومة</w:t>
            </w:r>
            <w:r w:rsidRPr="005C112B">
              <w:rPr>
                <w:rFonts w:ascii="Sakkal Majalla" w:hAnsi="Sakkal Majalla" w:cs="Sakkal Majalla"/>
                <w:b/>
                <w:bCs/>
                <w:sz w:val="20"/>
                <w:szCs w:val="20"/>
              </w:rPr>
              <w:t>.</w:t>
            </w:r>
          </w:p>
        </w:tc>
        <w:tc>
          <w:tcPr>
            <w:tcW w:w="2514" w:type="dxa"/>
          </w:tcPr>
          <w:p w14:paraId="71191975" w14:textId="2CBFF96E" w:rsidR="008B5C39" w:rsidRPr="00E07AD8" w:rsidRDefault="005C112B" w:rsidP="005C112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Sakkal Majalla" w:hAnsi="Sakkal Majalla" w:cs="Sakkal Majalla"/>
                <w:b/>
                <w:bCs/>
                <w:sz w:val="20"/>
                <w:szCs w:val="20"/>
                <w:rtl/>
              </w:rPr>
              <w:t>مقياس مخزون القيادة التحويلية </w:t>
            </w:r>
            <w:r w:rsidRPr="005C112B">
              <w:rPr>
                <w:rFonts w:ascii="Sakkal Majalla" w:hAnsi="Sakkal Majalla" w:cs="Sakkal Majalla"/>
                <w:b/>
                <w:bCs/>
                <w:sz w:val="20"/>
                <w:szCs w:val="20"/>
              </w:rPr>
              <w:t>Transformational Leadership Inventory (TLI) </w:t>
            </w:r>
            <w:r w:rsidRPr="005C112B">
              <w:rPr>
                <w:rFonts w:ascii="Sakkal Majalla" w:hAnsi="Sakkal Majalla" w:cs="Sakkal Majalla"/>
                <w:b/>
                <w:bCs/>
                <w:sz w:val="20"/>
                <w:szCs w:val="20"/>
                <w:rtl/>
              </w:rPr>
              <w:t>الذي وضعه </w:t>
            </w:r>
            <w:r w:rsidRPr="005C112B">
              <w:rPr>
                <w:rFonts w:ascii="Sakkal Majalla" w:hAnsi="Sakkal Majalla" w:cs="Sakkal Majalla"/>
                <w:b/>
                <w:bCs/>
                <w:sz w:val="20"/>
                <w:szCs w:val="20"/>
              </w:rPr>
              <w:t>Podsakoff et al. (1990)</w:t>
            </w:r>
            <w:r w:rsidRPr="005C112B">
              <w:rPr>
                <w:rFonts w:ascii="Sakkal Majalla" w:hAnsi="Sakkal Majalla" w:cs="Sakkal Majalla"/>
                <w:b/>
                <w:bCs/>
                <w:sz w:val="20"/>
                <w:szCs w:val="20"/>
                <w:rtl/>
              </w:rPr>
              <w:t>، ويتكون من </w:t>
            </w:r>
            <w:r w:rsidRPr="005C112B">
              <w:rPr>
                <w:rFonts w:ascii="Sakkal Majalla" w:hAnsi="Sakkal Majalla" w:cs="Sakkal Majalla"/>
                <w:b/>
                <w:bCs/>
                <w:sz w:val="20"/>
                <w:szCs w:val="20"/>
              </w:rPr>
              <w:t xml:space="preserve">23 </w:t>
            </w:r>
            <w:r w:rsidRPr="005C112B">
              <w:rPr>
                <w:rFonts w:ascii="Sakkal Majalla" w:hAnsi="Sakkal Majalla" w:cs="Sakkal Majalla"/>
                <w:b/>
                <w:bCs/>
                <w:sz w:val="20"/>
                <w:szCs w:val="20"/>
                <w:rtl/>
              </w:rPr>
              <w:t>عبارة موزعة على ستة أبعاد سلوكية، مع تعديل لغوي وسياقي ليناسب البيئة السعودية</w:t>
            </w:r>
            <w:r w:rsidRPr="005C112B">
              <w:rPr>
                <w:rFonts w:ascii="Sakkal Majalla" w:hAnsi="Sakkal Majalla" w:cs="Sakkal Majalla"/>
                <w:b/>
                <w:bCs/>
                <w:sz w:val="20"/>
                <w:szCs w:val="20"/>
              </w:rPr>
              <w:t>.</w:t>
            </w:r>
          </w:p>
        </w:tc>
      </w:tr>
      <w:tr w:rsidR="008B5C39" w:rsidRPr="00E07AD8" w14:paraId="73CC4CA4" w14:textId="77777777" w:rsidTr="005C112B">
        <w:tc>
          <w:tcPr>
            <w:cnfStyle w:val="001000000000" w:firstRow="0" w:lastRow="0" w:firstColumn="1" w:lastColumn="0" w:oddVBand="0" w:evenVBand="0" w:oddHBand="0" w:evenHBand="0" w:firstRowFirstColumn="0" w:firstRowLastColumn="0" w:lastRowFirstColumn="0" w:lastRowLastColumn="0"/>
            <w:tcW w:w="1338" w:type="dxa"/>
          </w:tcPr>
          <w:p w14:paraId="764BB516"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ثقافة السلامة</w:t>
            </w:r>
            <w:r w:rsidRPr="00E07AD8">
              <w:rPr>
                <w:rFonts w:ascii="Sakkal Majalla" w:hAnsi="Sakkal Majalla" w:cs="Sakkal Majalla"/>
                <w:sz w:val="20"/>
                <w:szCs w:val="20"/>
              </w:rPr>
              <w:t xml:space="preserve"> (SC)</w:t>
            </w:r>
          </w:p>
        </w:tc>
        <w:tc>
          <w:tcPr>
            <w:tcW w:w="2070" w:type="dxa"/>
          </w:tcPr>
          <w:p w14:paraId="516EF537"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نظام من القيم والاتجاهات والسلوكيات لضمان سلامة المرضى في الممارسات والقرارات.</w:t>
            </w:r>
          </w:p>
        </w:tc>
        <w:tc>
          <w:tcPr>
            <w:tcW w:w="2070" w:type="dxa"/>
          </w:tcPr>
          <w:p w14:paraId="28C2324C"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دعم الإدارة للسلامة، التواصل المفتوح، التعلم من الحوادث، والعمل الجماعي.</w:t>
            </w:r>
          </w:p>
        </w:tc>
        <w:tc>
          <w:tcPr>
            <w:tcW w:w="2160" w:type="dxa"/>
          </w:tcPr>
          <w:p w14:paraId="3D1055FE"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تُميز الثقافة عن سلوكيات السلامة التي هي الأفعال الفردية اليومية؛ فالثقافة تمثل الإطار القيمي أو المناخي، بينما السلوك هو ترجمة عملية لهذا الإطار.</w:t>
            </w:r>
          </w:p>
        </w:tc>
        <w:tc>
          <w:tcPr>
            <w:tcW w:w="2514" w:type="dxa"/>
          </w:tcPr>
          <w:p w14:paraId="36BFB695"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proofErr w:type="gramStart"/>
            <w:r>
              <w:rPr>
                <w:rFonts w:ascii="Sakkal Majalla" w:hAnsi="Sakkal Majalla" w:cs="Sakkal Majalla"/>
                <w:b/>
                <w:bCs/>
                <w:sz w:val="20"/>
                <w:szCs w:val="20"/>
                <w:rtl/>
              </w:rPr>
              <w:t>استبيان</w:t>
            </w:r>
            <w:proofErr w:type="gramEnd"/>
            <w:r>
              <w:rPr>
                <w:rFonts w:ascii="Sakkal Majalla" w:hAnsi="Sakkal Majalla" w:cs="Sakkal Majalla"/>
                <w:b/>
                <w:bCs/>
                <w:sz w:val="20"/>
                <w:szCs w:val="20"/>
                <w:rtl/>
              </w:rPr>
              <w:t xml:space="preserve"> المستشفى حول ثقافة سلامة المرضى (</w:t>
            </w:r>
            <w:r>
              <w:rPr>
                <w:rFonts w:ascii="Sakkal Majalla" w:hAnsi="Sakkal Majalla" w:cs="Sakkal Majalla"/>
                <w:b/>
                <w:bCs/>
                <w:sz w:val="20"/>
                <w:szCs w:val="20"/>
              </w:rPr>
              <w:t>HSOPSC</w:t>
            </w:r>
            <w:r>
              <w:rPr>
                <w:rFonts w:ascii="Sakkal Majalla" w:hAnsi="Sakkal Majalla" w:cs="Sakkal Majalla"/>
                <w:b/>
                <w:bCs/>
                <w:sz w:val="20"/>
                <w:szCs w:val="20"/>
                <w:rtl/>
              </w:rPr>
              <w:t xml:space="preserve">) كما أقرّته </w:t>
            </w:r>
            <w:r>
              <w:rPr>
                <w:rFonts w:ascii="Sakkal Majalla" w:hAnsi="Sakkal Majalla" w:cs="Sakkal Majalla"/>
                <w:b/>
                <w:bCs/>
                <w:sz w:val="20"/>
                <w:szCs w:val="20"/>
              </w:rPr>
              <w:t>AHRQ</w:t>
            </w:r>
            <w:r>
              <w:rPr>
                <w:rFonts w:ascii="Sakkal Majalla" w:hAnsi="Sakkal Majalla" w:cs="Sakkal Majalla"/>
                <w:b/>
                <w:bCs/>
                <w:sz w:val="20"/>
                <w:szCs w:val="20"/>
                <w:rtl/>
              </w:rPr>
              <w:t xml:space="preserve"> مع التكييف للسياق</w:t>
            </w:r>
            <w:r w:rsidRPr="00E07AD8">
              <w:rPr>
                <w:rFonts w:ascii="Sakkal Majalla" w:hAnsi="Sakkal Majalla" w:cs="Sakkal Majalla"/>
                <w:b/>
                <w:bCs/>
                <w:sz w:val="20"/>
                <w:szCs w:val="20"/>
              </w:rPr>
              <w:t>.</w:t>
            </w:r>
          </w:p>
        </w:tc>
      </w:tr>
      <w:tr w:rsidR="008B5C39" w:rsidRPr="00E07AD8" w14:paraId="5C464651" w14:textId="77777777" w:rsidTr="005C11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7FA51999"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سلوكيات السلامة</w:t>
            </w:r>
            <w:r w:rsidRPr="00E07AD8">
              <w:rPr>
                <w:rFonts w:ascii="Sakkal Majalla" w:hAnsi="Sakkal Majalla" w:cs="Sakkal Majalla"/>
                <w:sz w:val="20"/>
                <w:szCs w:val="20"/>
              </w:rPr>
              <w:t xml:space="preserve"> (SB)</w:t>
            </w:r>
          </w:p>
        </w:tc>
        <w:tc>
          <w:tcPr>
            <w:tcW w:w="2070" w:type="dxa"/>
          </w:tcPr>
          <w:p w14:paraId="7BD403AE"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Sakkal Majalla" w:hAnsi="Sakkal Majalla" w:cs="Sakkal Majalla"/>
                <w:b/>
                <w:bCs/>
                <w:sz w:val="20"/>
                <w:szCs w:val="20"/>
                <w:rtl/>
              </w:rPr>
              <w:t>مجموعة الإجراءات التطبيقية التي يلتزم بها الممارسون الصحيون لحماية المرضى ومنع الأخطاء، مثل غسل اليدين، والتحقق من الهوية، والالتزام بقوائم التدقيق</w:t>
            </w:r>
            <w:r w:rsidRPr="00E07AD8">
              <w:rPr>
                <w:rFonts w:ascii="Sakkal Majalla" w:hAnsi="Sakkal Majalla" w:cs="Sakkal Majalla"/>
                <w:b/>
                <w:bCs/>
                <w:sz w:val="20"/>
                <w:szCs w:val="20"/>
              </w:rPr>
              <w:t>.</w:t>
            </w:r>
          </w:p>
        </w:tc>
        <w:tc>
          <w:tcPr>
            <w:tcW w:w="2070" w:type="dxa"/>
          </w:tcPr>
          <w:p w14:paraId="0F9E2938"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Sakkal Majalla" w:hAnsi="Sakkal Majalla" w:cs="Sakkal Majalla"/>
                <w:b/>
                <w:bCs/>
                <w:sz w:val="20"/>
                <w:szCs w:val="20"/>
                <w:rtl/>
              </w:rPr>
              <w:t xml:space="preserve">يمكن تصنيفها إلى سلوكيات </w:t>
            </w:r>
            <w:r w:rsidRPr="00E07AD8">
              <w:rPr>
                <w:rFonts w:ascii="Sakkal Majalla" w:hAnsi="Sakkal Majalla" w:cs="Sakkal Majalla" w:hint="cs"/>
                <w:b/>
                <w:bCs/>
                <w:sz w:val="20"/>
                <w:szCs w:val="20"/>
                <w:rtl/>
              </w:rPr>
              <w:t>التزاميه</w:t>
            </w:r>
            <w:r w:rsidRPr="00E07AD8">
              <w:rPr>
                <w:rFonts w:ascii="Sakkal Majalla" w:hAnsi="Sakkal Majalla" w:cs="Sakkal Majalla"/>
                <w:b/>
                <w:bCs/>
                <w:sz w:val="20"/>
                <w:szCs w:val="20"/>
                <w:rtl/>
              </w:rPr>
              <w:t xml:space="preserve"> وسلوكيات استباقية</w:t>
            </w:r>
            <w:r w:rsidRPr="00E07AD8">
              <w:rPr>
                <w:rFonts w:ascii="Sakkal Majalla" w:hAnsi="Sakkal Majalla" w:cs="Sakkal Majalla"/>
                <w:b/>
                <w:bCs/>
                <w:sz w:val="20"/>
                <w:szCs w:val="20"/>
              </w:rPr>
              <w:t>.</w:t>
            </w:r>
            <w:r w:rsidRPr="00E07AD8">
              <w:rPr>
                <w:rFonts w:ascii="Times New Roman" w:hAnsi="Times New Roman" w:cs="Times New Roman"/>
                <w:b/>
                <w:bCs/>
                <w:sz w:val="20"/>
                <w:szCs w:val="20"/>
              </w:rPr>
              <w:t>​</w:t>
            </w:r>
          </w:p>
        </w:tc>
        <w:tc>
          <w:tcPr>
            <w:tcW w:w="2160" w:type="dxa"/>
          </w:tcPr>
          <w:p w14:paraId="419FF853"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Sakkal Majalla" w:hAnsi="Sakkal Majalla" w:cs="Sakkal Majalla"/>
                <w:b/>
                <w:bCs/>
                <w:sz w:val="20"/>
                <w:szCs w:val="20"/>
                <w:rtl/>
              </w:rPr>
              <w:t>تُميَّز عن ثقافة السلامة (الإطار القيمي)، وعن نتائج الجودة مثل معدلات الوفيات أو طول الإقامة، التي تُعد نتائج نهائية لا سلوكيات</w:t>
            </w:r>
            <w:r w:rsidRPr="00E07AD8">
              <w:rPr>
                <w:rFonts w:ascii="Sakkal Majalla" w:hAnsi="Sakkal Majalla" w:cs="Sakkal Majalla"/>
                <w:b/>
                <w:bCs/>
                <w:sz w:val="20"/>
                <w:szCs w:val="20"/>
              </w:rPr>
              <w:t>.</w:t>
            </w:r>
            <w:r w:rsidRPr="00E07AD8">
              <w:rPr>
                <w:rFonts w:ascii="Times New Roman" w:hAnsi="Times New Roman" w:cs="Times New Roman"/>
                <w:b/>
                <w:bCs/>
                <w:sz w:val="20"/>
                <w:szCs w:val="20"/>
              </w:rPr>
              <w:t>​</w:t>
            </w:r>
          </w:p>
        </w:tc>
        <w:tc>
          <w:tcPr>
            <w:tcW w:w="2514" w:type="dxa"/>
          </w:tcPr>
          <w:p w14:paraId="31065DB9"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Sakkal Majalla" w:hAnsi="Sakkal Majalla" w:cs="Sakkal Majalla"/>
                <w:b/>
                <w:bCs/>
                <w:sz w:val="20"/>
                <w:szCs w:val="20"/>
                <w:rtl/>
              </w:rPr>
              <w:t>مقياس مبني على بنود سلوكيات السلامة في الأدبيات الحديثة</w:t>
            </w:r>
            <w:r w:rsidRPr="00E07AD8">
              <w:rPr>
                <w:rFonts w:ascii="Sakkal Majalla" w:hAnsi="Sakkal Majalla" w:cs="Sakkal Majalla"/>
                <w:b/>
                <w:bCs/>
                <w:sz w:val="20"/>
                <w:szCs w:val="20"/>
              </w:rPr>
              <w:t xml:space="preserve"> (</w:t>
            </w:r>
            <w:r w:rsidRPr="00E07AD8">
              <w:rPr>
                <w:rFonts w:ascii="Sakkal Majalla" w:hAnsi="Sakkal Majalla" w:cs="Sakkal Majalla"/>
                <w:b/>
                <w:bCs/>
                <w:sz w:val="20"/>
                <w:szCs w:val="20"/>
                <w:rtl/>
              </w:rPr>
              <w:t>مثل</w:t>
            </w:r>
            <w:r w:rsidRPr="00E07AD8">
              <w:rPr>
                <w:rFonts w:ascii="Sakkal Majalla" w:hAnsi="Sakkal Majalla" w:cs="Sakkal Majalla"/>
                <w:b/>
                <w:bCs/>
                <w:sz w:val="20"/>
                <w:szCs w:val="20"/>
              </w:rPr>
              <w:t xml:space="preserve"> Mohammed, 2025) </w:t>
            </w:r>
            <w:r w:rsidRPr="00E07AD8">
              <w:rPr>
                <w:rFonts w:ascii="Sakkal Majalla" w:hAnsi="Sakkal Majalla" w:cs="Sakkal Majalla"/>
                <w:b/>
                <w:bCs/>
                <w:sz w:val="20"/>
                <w:szCs w:val="20"/>
                <w:rtl/>
              </w:rPr>
              <w:t>مع تكييف للبنود الأكثر ارتباطًا بسياق المستشفيات الحكومية</w:t>
            </w:r>
            <w:r w:rsidRPr="00E07AD8">
              <w:rPr>
                <w:rFonts w:ascii="Sakkal Majalla" w:hAnsi="Sakkal Majalla" w:cs="Sakkal Majalla"/>
                <w:b/>
                <w:bCs/>
                <w:sz w:val="20"/>
                <w:szCs w:val="20"/>
              </w:rPr>
              <w:t>.</w:t>
            </w:r>
          </w:p>
        </w:tc>
      </w:tr>
      <w:tr w:rsidR="008B5C39" w:rsidRPr="00E07AD8" w14:paraId="4E3618A0" w14:textId="77777777" w:rsidTr="005C112B">
        <w:tc>
          <w:tcPr>
            <w:cnfStyle w:val="001000000000" w:firstRow="0" w:lastRow="0" w:firstColumn="1" w:lastColumn="0" w:oddVBand="0" w:evenVBand="0" w:oddHBand="0" w:evenHBand="0" w:firstRowFirstColumn="0" w:firstRowLastColumn="0" w:lastRowFirstColumn="0" w:lastRowLastColumn="0"/>
            <w:tcW w:w="1338" w:type="dxa"/>
          </w:tcPr>
          <w:p w14:paraId="0F046F8A"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lastRenderedPageBreak/>
              <w:t>الأحداث الضارة</w:t>
            </w:r>
            <w:r w:rsidRPr="00E07AD8">
              <w:rPr>
                <w:rFonts w:ascii="Sakkal Majalla" w:hAnsi="Sakkal Majalla" w:cs="Sakkal Majalla"/>
                <w:sz w:val="20"/>
                <w:szCs w:val="20"/>
              </w:rPr>
              <w:t xml:space="preserve"> (AE)</w:t>
            </w:r>
          </w:p>
        </w:tc>
        <w:tc>
          <w:tcPr>
            <w:tcW w:w="2070" w:type="dxa"/>
          </w:tcPr>
          <w:p w14:paraId="3837BA01"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الإصابات أو النتائج السلبية غير المقصودة التي يتعرض لها المريض نتيجة الرعاية الطبية، وليست مرتبطة بالمرض الأساسي، وغالبًا يمكن الوقاية منها.</w:t>
            </w:r>
          </w:p>
        </w:tc>
        <w:tc>
          <w:tcPr>
            <w:tcW w:w="2070" w:type="dxa"/>
          </w:tcPr>
          <w:p w14:paraId="4CE78D08"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هنا، لا تُقسَّم إلى أبعاد، وإنما تُقاس كمفهوم موحد يعبّر عن مستوى تقليل أو السيطرة على الأحداث الضارة.</w:t>
            </w:r>
          </w:p>
        </w:tc>
        <w:tc>
          <w:tcPr>
            <w:tcW w:w="2160" w:type="dxa"/>
          </w:tcPr>
          <w:p w14:paraId="6A1A4F7C"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تركز الدراسة على تقييم فعالية الإجراءات في تقليل الأحداث الفعلية، بخلاف "مؤشرات الجودة" الأوسع مثل رضا المرضى و"المحاولات الفاشلة" التي لا تصل للمريض.</w:t>
            </w:r>
          </w:p>
        </w:tc>
        <w:tc>
          <w:tcPr>
            <w:tcW w:w="2514" w:type="dxa"/>
          </w:tcPr>
          <w:p w14:paraId="0E683140"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 xml:space="preserve">مقياس إدراكي يعتمد على بنود تقيم فعالية إجراءات تقليل الأحداث الضارة باستخدام مقياس </w:t>
            </w:r>
            <w:proofErr w:type="spellStart"/>
            <w:r>
              <w:rPr>
                <w:rFonts w:ascii="Sakkal Majalla" w:hAnsi="Sakkal Majalla" w:cs="Sakkal Majalla"/>
                <w:b/>
                <w:bCs/>
                <w:sz w:val="20"/>
                <w:szCs w:val="20"/>
                <w:rtl/>
              </w:rPr>
              <w:t>ليكرت</w:t>
            </w:r>
            <w:proofErr w:type="spellEnd"/>
            <w:r>
              <w:rPr>
                <w:rFonts w:ascii="Sakkal Majalla" w:hAnsi="Sakkal Majalla" w:cs="Sakkal Majalla"/>
                <w:b/>
                <w:bCs/>
                <w:sz w:val="20"/>
                <w:szCs w:val="20"/>
                <w:rtl/>
              </w:rPr>
              <w:t xml:space="preserve"> خماسي، كما هو موضح في التعريف الإجرائي.</w:t>
            </w:r>
          </w:p>
        </w:tc>
      </w:tr>
    </w:tbl>
    <w:p w14:paraId="2FD96EE5" w14:textId="77777777" w:rsidR="008B5C39" w:rsidRPr="008B5C39" w:rsidRDefault="008B5C39" w:rsidP="008B5C39">
      <w:pPr>
        <w:bidi/>
        <w:spacing w:before="210" w:after="0" w:line="360" w:lineRule="auto"/>
        <w:rPr>
          <w:rFonts w:ascii="Simplified Arabic" w:hAnsi="Simplified Arabic" w:cs="Simplified Arabic"/>
          <w:noProof/>
          <w:sz w:val="24"/>
          <w:szCs w:val="24"/>
          <w:rtl/>
        </w:rPr>
      </w:pPr>
    </w:p>
    <w:p w14:paraId="5C2F1107" w14:textId="77777777" w:rsidR="003E1959" w:rsidRPr="003E1959" w:rsidRDefault="003E1959" w:rsidP="00A572F9">
      <w:pPr>
        <w:bidi/>
        <w:spacing w:after="0" w:line="360" w:lineRule="auto"/>
        <w:rPr>
          <w:rFonts w:ascii="Simplified Arabic" w:hAnsi="Simplified Arabic" w:cs="Simplified Arabic"/>
          <w:b/>
          <w:bCs/>
          <w:noProof/>
          <w:sz w:val="24"/>
          <w:szCs w:val="24"/>
        </w:rPr>
      </w:pPr>
      <w:r w:rsidRPr="003E1959">
        <w:rPr>
          <w:rFonts w:ascii="Simplified Arabic" w:hAnsi="Simplified Arabic" w:cs="Simplified Arabic"/>
          <w:b/>
          <w:bCs/>
          <w:noProof/>
          <w:sz w:val="24"/>
          <w:szCs w:val="24"/>
        </w:rPr>
        <w:t xml:space="preserve">2.4.2 </w:t>
      </w:r>
      <w:r w:rsidRPr="003E1959">
        <w:rPr>
          <w:rFonts w:ascii="Simplified Arabic" w:hAnsi="Simplified Arabic" w:cs="Simplified Arabic"/>
          <w:b/>
          <w:bCs/>
          <w:noProof/>
          <w:sz w:val="24"/>
          <w:szCs w:val="24"/>
          <w:rtl/>
        </w:rPr>
        <w:t>أدوات القياس والأبعاد</w:t>
      </w:r>
    </w:p>
    <w:p w14:paraId="65137CAA" w14:textId="77777777" w:rsidR="00C53D9D" w:rsidRDefault="003E1959" w:rsidP="003E1959">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استندت الدراسة إلى أدوات قياس تم اختبارها مسبقًا في سياقات صحية مشابهة، مع إجراء التعديلات اللازمة لتتناسب مع البيئة المحلية. شمل ذلك مقياسًا للقيادة التحويلية يعتمد على الأبعاد الأربعة الأساسية للنظرية، ومقياسًا لثقافة سلامة المرضى مبنيًا على أداة استقصائية معروفة في المجال، بالإضافة إلى مقاييس لسلوكيات السلامة والأحداث الضارة التي يراها العاملون. تم التحقق من صدق وثبات هذه الأدوات في سياق الدراسة الحالية عبر عمليات الترجمة العكسية، والتحكيم، والدراسة المسبقة، وتحليل الصدق البنائي والاتساق الداخلي.</w:t>
      </w:r>
    </w:p>
    <w:p w14:paraId="4105F68C" w14:textId="1C8F9CEF" w:rsidR="00C53D9D" w:rsidRPr="006B6F89" w:rsidRDefault="006B6F89" w:rsidP="006B6F89">
      <w:pPr>
        <w:bidi/>
        <w:spacing w:before="210" w:after="0" w:line="360" w:lineRule="auto"/>
        <w:jc w:val="both"/>
        <w:rPr>
          <w:rFonts w:ascii="Simplified Arabic" w:hAnsi="Simplified Arabic" w:cs="Simplified Arabic"/>
          <w:b/>
          <w:bCs/>
          <w:noProof/>
          <w:sz w:val="24"/>
          <w:szCs w:val="24"/>
          <w:rtl/>
        </w:rPr>
      </w:pPr>
      <w:r w:rsidRPr="006B6F89">
        <w:rPr>
          <w:rFonts w:ascii="Simplified Arabic" w:hAnsi="Simplified Arabic" w:cs="Simplified Arabic"/>
          <w:b/>
          <w:bCs/>
          <w:noProof/>
          <w:sz w:val="24"/>
          <w:szCs w:val="24"/>
          <w:rtl/>
        </w:rPr>
        <w:t>جدول (</w:t>
      </w:r>
      <w:r>
        <w:rPr>
          <w:rFonts w:ascii="Simplified Arabic" w:hAnsi="Simplified Arabic" w:cs="Simplified Arabic" w:hint="cs"/>
          <w:b/>
          <w:bCs/>
          <w:noProof/>
          <w:sz w:val="24"/>
          <w:szCs w:val="24"/>
          <w:rtl/>
        </w:rPr>
        <w:t>3</w:t>
      </w:r>
      <w:r w:rsidRPr="006B6F89">
        <w:rPr>
          <w:rFonts w:ascii="Simplified Arabic" w:hAnsi="Simplified Arabic" w:cs="Simplified Arabic"/>
          <w:b/>
          <w:bCs/>
          <w:noProof/>
          <w:sz w:val="24"/>
          <w:szCs w:val="24"/>
          <w:rtl/>
        </w:rPr>
        <w:t>): أدوات القياس والأبعاد ومصادرها</w:t>
      </w:r>
    </w:p>
    <w:tbl>
      <w:tblPr>
        <w:tblStyle w:val="10"/>
        <w:bidiVisual/>
        <w:tblW w:w="10158" w:type="dxa"/>
        <w:tblInd w:w="-264" w:type="dxa"/>
        <w:tblLook w:val="04A0" w:firstRow="1" w:lastRow="0" w:firstColumn="1" w:lastColumn="0" w:noHBand="0" w:noVBand="1"/>
      </w:tblPr>
      <w:tblGrid>
        <w:gridCol w:w="1260"/>
        <w:gridCol w:w="1440"/>
        <w:gridCol w:w="1530"/>
        <w:gridCol w:w="1734"/>
        <w:gridCol w:w="1398"/>
        <w:gridCol w:w="1398"/>
        <w:gridCol w:w="1398"/>
      </w:tblGrid>
      <w:tr w:rsidR="00C53D9D" w:rsidRPr="00C53D9D" w14:paraId="1CA2629E" w14:textId="77777777" w:rsidTr="00137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B711826" w14:textId="09C70BBB"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المتغير</w:t>
            </w:r>
          </w:p>
        </w:tc>
        <w:tc>
          <w:tcPr>
            <w:tcW w:w="1440" w:type="dxa"/>
          </w:tcPr>
          <w:p w14:paraId="623E5F6F" w14:textId="147CA68A"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اسم الأداة</w:t>
            </w:r>
          </w:p>
        </w:tc>
        <w:tc>
          <w:tcPr>
            <w:tcW w:w="1530" w:type="dxa"/>
          </w:tcPr>
          <w:p w14:paraId="1F5A6700" w14:textId="19E9A49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المرجع الأصلي</w:t>
            </w:r>
          </w:p>
        </w:tc>
        <w:tc>
          <w:tcPr>
            <w:tcW w:w="1734" w:type="dxa"/>
          </w:tcPr>
          <w:p w14:paraId="1A44222B" w14:textId="5A1C8B1F"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عدد الأبعاد الفرعية المستخدمة</w:t>
            </w:r>
          </w:p>
        </w:tc>
        <w:tc>
          <w:tcPr>
            <w:tcW w:w="1398" w:type="dxa"/>
          </w:tcPr>
          <w:p w14:paraId="6DE22D2A" w14:textId="2D6D46C7"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عدد الفقرات بعد التكييف</w:t>
            </w:r>
          </w:p>
        </w:tc>
        <w:tc>
          <w:tcPr>
            <w:tcW w:w="1398" w:type="dxa"/>
          </w:tcPr>
          <w:p w14:paraId="75F0F5B0" w14:textId="5362CE0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نوع مقياس الاستجابة</w:t>
            </w:r>
          </w:p>
        </w:tc>
        <w:tc>
          <w:tcPr>
            <w:tcW w:w="1398" w:type="dxa"/>
          </w:tcPr>
          <w:p w14:paraId="25DBD6B1" w14:textId="73D6782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مثال على بعد/فقرة</w:t>
            </w:r>
          </w:p>
        </w:tc>
      </w:tr>
      <w:tr w:rsidR="00C53D9D" w:rsidRPr="00C53D9D" w14:paraId="571F8BDC" w14:textId="77777777" w:rsidTr="00137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6228497" w14:textId="70455328" w:rsidR="00C53D9D" w:rsidRPr="00C53D9D" w:rsidRDefault="00C53D9D" w:rsidP="00137F65">
            <w:pPr>
              <w:bidi/>
              <w:spacing w:before="210" w:after="0" w:line="360" w:lineRule="auto"/>
              <w:rPr>
                <w:rFonts w:ascii="Simplified Arabic" w:hAnsi="Simplified Arabic" w:cs="Simplified Arabic"/>
                <w:b w:val="0"/>
                <w:bCs w:val="0"/>
                <w:noProof/>
                <w:sz w:val="20"/>
                <w:szCs w:val="20"/>
                <w:rtl/>
              </w:rPr>
            </w:pPr>
            <w:r w:rsidRPr="00C53D9D">
              <w:rPr>
                <w:rFonts w:ascii="Simplified Arabic" w:hAnsi="Simplified Arabic" w:cs="Simplified Arabic"/>
                <w:noProof/>
                <w:sz w:val="20"/>
                <w:szCs w:val="20"/>
                <w:rtl/>
              </w:rPr>
              <w:t>القيادة التحويلية</w:t>
            </w:r>
            <w:r w:rsidRPr="00C53D9D">
              <w:rPr>
                <w:rFonts w:ascii="Simplified Arabic" w:hAnsi="Simplified Arabic" w:cs="Simplified Arabic"/>
                <w:noProof/>
                <w:sz w:val="20"/>
                <w:szCs w:val="20"/>
              </w:rPr>
              <w:t xml:space="preserve"> (TL)</w:t>
            </w:r>
          </w:p>
        </w:tc>
        <w:tc>
          <w:tcPr>
            <w:tcW w:w="1440" w:type="dxa"/>
          </w:tcPr>
          <w:p w14:paraId="65F3786D" w14:textId="43AEA266" w:rsidR="00C53D9D" w:rsidRPr="00C53D9D" w:rsidRDefault="00F84164" w:rsidP="00F84164">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F84164">
              <w:rPr>
                <w:rFonts w:ascii="Simplified Arabic" w:hAnsi="Simplified Arabic" w:cs="Simplified Arabic"/>
                <w:noProof/>
                <w:sz w:val="18"/>
                <w:szCs w:val="18"/>
                <w:rtl/>
              </w:rPr>
              <w:t>مخزون القيادة التحويلية </w:t>
            </w:r>
            <w:r w:rsidRPr="00F84164">
              <w:rPr>
                <w:rFonts w:ascii="Simplified Arabic" w:hAnsi="Simplified Arabic" w:cs="Simplified Arabic"/>
                <w:b/>
                <w:bCs/>
                <w:noProof/>
                <w:sz w:val="18"/>
                <w:szCs w:val="18"/>
              </w:rPr>
              <w:t>(TLI)</w:t>
            </w:r>
          </w:p>
        </w:tc>
        <w:tc>
          <w:tcPr>
            <w:tcW w:w="1530" w:type="dxa"/>
          </w:tcPr>
          <w:p w14:paraId="09B53912" w14:textId="0973A455" w:rsidR="00C53D9D" w:rsidRPr="00C53D9D" w:rsidRDefault="00963390" w:rsidP="00963390">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5966F3">
              <w:rPr>
                <w:rFonts w:ascii="Simplified Arabic" w:hAnsi="Simplified Arabic" w:cs="Simplified Arabic"/>
                <w:noProof/>
                <w:sz w:val="18"/>
                <w:szCs w:val="18"/>
              </w:rPr>
              <w:t>Podsakoff, MacKenzie, Moorman &amp; Fetter (1990</w:t>
            </w:r>
            <w:r w:rsidRPr="00963390">
              <w:rPr>
                <w:rFonts w:ascii="Simplified Arabic" w:hAnsi="Simplified Arabic" w:cs="Simplified Arabic"/>
                <w:b/>
                <w:bCs/>
                <w:noProof/>
                <w:sz w:val="18"/>
                <w:szCs w:val="18"/>
              </w:rPr>
              <w:t>)</w:t>
            </w:r>
          </w:p>
        </w:tc>
        <w:tc>
          <w:tcPr>
            <w:tcW w:w="1734" w:type="dxa"/>
          </w:tcPr>
          <w:p w14:paraId="16EFE7A8" w14:textId="475B30C0" w:rsidR="00C53D9D" w:rsidRPr="005966F3" w:rsidRDefault="005966F3" w:rsidP="00963390">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5966F3">
              <w:rPr>
                <w:rFonts w:ascii="Simplified Arabic" w:hAnsi="Simplified Arabic" w:cs="Simplified Arabic"/>
                <w:noProof/>
                <w:sz w:val="18"/>
                <w:szCs w:val="18"/>
                <w:rtl/>
              </w:rPr>
              <w:t>ستة أبعاد (توضيح الرؤية، النموذج القيادي، الأهداف الجماعية، توقعات الأداء، الدعم الفردي، الاستثارة الفكرية)</w:t>
            </w:r>
          </w:p>
        </w:tc>
        <w:tc>
          <w:tcPr>
            <w:tcW w:w="1398" w:type="dxa"/>
          </w:tcPr>
          <w:p w14:paraId="206D92EF" w14:textId="754884BC" w:rsidR="00C53D9D" w:rsidRPr="005966F3" w:rsidRDefault="005966F3" w:rsidP="005966F3">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5966F3">
              <w:rPr>
                <w:rFonts w:ascii="Simplified Arabic" w:hAnsi="Simplified Arabic" w:cs="Simplified Arabic" w:hint="cs"/>
                <w:noProof/>
                <w:sz w:val="18"/>
                <w:szCs w:val="18"/>
                <w:rtl/>
              </w:rPr>
              <w:t>23 فقرة (قابلة للتكيف)</w:t>
            </w:r>
          </w:p>
        </w:tc>
        <w:tc>
          <w:tcPr>
            <w:tcW w:w="1398" w:type="dxa"/>
          </w:tcPr>
          <w:p w14:paraId="1BB70822" w14:textId="2596D81D" w:rsidR="00C53D9D" w:rsidRPr="00C53D9D" w:rsidRDefault="005966F3" w:rsidP="005966F3">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5966F3">
              <w:rPr>
                <w:rFonts w:ascii="Simplified Arabic" w:hAnsi="Simplified Arabic" w:cs="Simplified Arabic"/>
                <w:noProof/>
                <w:sz w:val="18"/>
                <w:szCs w:val="18"/>
                <w:rtl/>
              </w:rPr>
              <w:t>ليكرت خماسي</w:t>
            </w:r>
          </w:p>
        </w:tc>
        <w:tc>
          <w:tcPr>
            <w:tcW w:w="1398" w:type="dxa"/>
          </w:tcPr>
          <w:p w14:paraId="7CD24F71" w14:textId="50BF7A15" w:rsidR="00C53D9D" w:rsidRPr="00C53D9D" w:rsidRDefault="005966F3" w:rsidP="005966F3">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5966F3">
              <w:rPr>
                <w:rFonts w:ascii="Simplified Arabic" w:hAnsi="Simplified Arabic" w:cs="Simplified Arabic"/>
                <w:noProof/>
                <w:sz w:val="18"/>
                <w:szCs w:val="18"/>
                <w:rtl/>
              </w:rPr>
              <w:t>يصف القائد مستقبلاً مثيرًا للاهتمام يمكننا تحقيقه.</w:t>
            </w:r>
          </w:p>
        </w:tc>
      </w:tr>
      <w:tr w:rsidR="00C53D9D" w:rsidRPr="00C53D9D" w14:paraId="6F53E335" w14:textId="77777777" w:rsidTr="00137F65">
        <w:tc>
          <w:tcPr>
            <w:cnfStyle w:val="001000000000" w:firstRow="0" w:lastRow="0" w:firstColumn="1" w:lastColumn="0" w:oddVBand="0" w:evenVBand="0" w:oddHBand="0" w:evenHBand="0" w:firstRowFirstColumn="0" w:firstRowLastColumn="0" w:lastRowFirstColumn="0" w:lastRowLastColumn="0"/>
            <w:tcW w:w="1260" w:type="dxa"/>
          </w:tcPr>
          <w:p w14:paraId="2206BB3C" w14:textId="00406324" w:rsidR="00C53D9D" w:rsidRPr="00C53D9D" w:rsidRDefault="00C53D9D" w:rsidP="00137F65">
            <w:pPr>
              <w:bidi/>
              <w:spacing w:before="210" w:after="0" w:line="360" w:lineRule="auto"/>
              <w:rPr>
                <w:rFonts w:ascii="Simplified Arabic" w:hAnsi="Simplified Arabic" w:cs="Simplified Arabic"/>
                <w:noProof/>
                <w:sz w:val="20"/>
                <w:szCs w:val="20"/>
                <w:rtl/>
              </w:rPr>
            </w:pPr>
            <w:r w:rsidRPr="00C53D9D">
              <w:rPr>
                <w:rFonts w:ascii="Simplified Arabic" w:hAnsi="Simplified Arabic" w:cs="Simplified Arabic"/>
                <w:noProof/>
                <w:sz w:val="20"/>
                <w:szCs w:val="20"/>
                <w:rtl/>
              </w:rPr>
              <w:t>ثقافة السلامة</w:t>
            </w:r>
            <w:r w:rsidRPr="00C53D9D">
              <w:rPr>
                <w:rFonts w:ascii="Simplified Arabic" w:hAnsi="Simplified Arabic" w:cs="Simplified Arabic"/>
                <w:noProof/>
                <w:sz w:val="20"/>
                <w:szCs w:val="20"/>
              </w:rPr>
              <w:t xml:space="preserve"> (SC)</w:t>
            </w:r>
          </w:p>
        </w:tc>
        <w:tc>
          <w:tcPr>
            <w:tcW w:w="1440" w:type="dxa"/>
          </w:tcPr>
          <w:p w14:paraId="21CE332F" w14:textId="76A924C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Pr>
            </w:pPr>
            <w:r>
              <w:rPr>
                <w:rFonts w:ascii="Simplified Arabic" w:hAnsi="Simplified Arabic" w:cs="Simplified Arabic"/>
                <w:noProof/>
                <w:sz w:val="18"/>
                <w:szCs w:val="18"/>
                <w:rtl/>
              </w:rPr>
              <w:t xml:space="preserve">مقياس ثقافة سلامة المرضى القائم على أداة </w:t>
            </w:r>
            <w:r>
              <w:rPr>
                <w:rFonts w:ascii="Simplified Arabic" w:hAnsi="Simplified Arabic" w:cs="Simplified Arabic"/>
                <w:noProof/>
                <w:sz w:val="18"/>
                <w:szCs w:val="18"/>
              </w:rPr>
              <w:t>HSOPSC</w:t>
            </w:r>
          </w:p>
        </w:tc>
        <w:tc>
          <w:tcPr>
            <w:tcW w:w="1530" w:type="dxa"/>
          </w:tcPr>
          <w:p w14:paraId="282B7104" w14:textId="032697F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Pr>
              <w:t>HSOPSC – AHRQ</w:t>
            </w:r>
            <w:r>
              <w:rPr>
                <w:rFonts w:ascii="Simplified Arabic" w:hAnsi="Simplified Arabic" w:cs="Simplified Arabic"/>
                <w:noProof/>
                <w:sz w:val="18"/>
                <w:szCs w:val="18"/>
                <w:rtl/>
              </w:rPr>
              <w:t>، بالإشارة إلى الدراسات التي استخدمت النسخة في السياق السعودي أو الإقليمي، مثل</w:t>
            </w:r>
            <w:r>
              <w:rPr>
                <w:rFonts w:ascii="Simplified Arabic" w:hAnsi="Simplified Arabic" w:cs="Simplified Arabic"/>
                <w:noProof/>
                <w:sz w:val="18"/>
                <w:szCs w:val="18"/>
              </w:rPr>
              <w:t xml:space="preserve"> Pai (2024) </w:t>
            </w:r>
            <w:r>
              <w:rPr>
                <w:rFonts w:ascii="Simplified Arabic" w:hAnsi="Simplified Arabic" w:cs="Simplified Arabic"/>
                <w:noProof/>
                <w:sz w:val="18"/>
                <w:szCs w:val="18"/>
                <w:rtl/>
              </w:rPr>
              <w:t>وغيرها</w:t>
            </w:r>
            <w:r>
              <w:rPr>
                <w:rFonts w:ascii="Simplified Arabic" w:hAnsi="Simplified Arabic" w:cs="Simplified Arabic"/>
                <w:noProof/>
                <w:sz w:val="18"/>
                <w:szCs w:val="18"/>
              </w:rPr>
              <w:t>.</w:t>
            </w:r>
          </w:p>
        </w:tc>
        <w:tc>
          <w:tcPr>
            <w:tcW w:w="1734" w:type="dxa"/>
          </w:tcPr>
          <w:p w14:paraId="1218143C" w14:textId="165074E0" w:rsidR="00C53D9D" w:rsidRPr="00C53D9D" w:rsidRDefault="00B36E0E" w:rsidP="00B36E0E">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sidRPr="00B36E0E">
              <w:rPr>
                <w:rFonts w:ascii="Simplified Arabic" w:hAnsi="Simplified Arabic" w:cs="Simplified Arabic"/>
                <w:noProof/>
                <w:sz w:val="18"/>
                <w:szCs w:val="18"/>
                <w:rtl/>
              </w:rPr>
              <w:t xml:space="preserve">اعتمدت الدراسة على نسخ محددة ومقننة من المقاييس المستخدمة، وتم تحديد الأبعاد والبنود النهائية لكل مقياس بعد الترجمة والتكييف والتحكيم، على أن يُعرض ذلك في الجدول التالي بصورة نهائية دون </w:t>
            </w:r>
            <w:r w:rsidRPr="00B36E0E">
              <w:rPr>
                <w:rFonts w:ascii="Simplified Arabic" w:hAnsi="Simplified Arabic" w:cs="Simplified Arabic"/>
                <w:noProof/>
                <w:sz w:val="18"/>
                <w:szCs w:val="18"/>
                <w:rtl/>
              </w:rPr>
              <w:lastRenderedPageBreak/>
              <w:t>بدائل مفتوحة أو تقديرات تقريبية</w:t>
            </w:r>
          </w:p>
        </w:tc>
        <w:tc>
          <w:tcPr>
            <w:tcW w:w="1398" w:type="dxa"/>
          </w:tcPr>
          <w:p w14:paraId="79780240" w14:textId="1E4A48A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lastRenderedPageBreak/>
              <w:t>عدد الفقرات الكلي بعد التكييف (30)</w:t>
            </w:r>
          </w:p>
        </w:tc>
        <w:tc>
          <w:tcPr>
            <w:tcW w:w="1398" w:type="dxa"/>
          </w:tcPr>
          <w:p w14:paraId="73B29789" w14:textId="3672F2DF" w:rsidR="00C53D9D" w:rsidRPr="00C53D9D" w:rsidRDefault="00137F65" w:rsidP="00137F65">
            <w:pPr>
              <w:bidi/>
              <w:spacing w:before="210" w:after="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خماسي يعبر من «أعارض بشدة» إلى «أوافق بشدة»، أو من «نادرًا» إلى «دائمًا»، حسب طبيعة البنود.</w:t>
            </w:r>
          </w:p>
        </w:tc>
        <w:tc>
          <w:tcPr>
            <w:tcW w:w="1398" w:type="dxa"/>
          </w:tcPr>
          <w:p w14:paraId="1D78E2A3" w14:textId="2A5CDBF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«الأخطاء التي تحدث في القسم تُستخدم لتحسين العمل، وليست لمعاقبة الأفراد».</w:t>
            </w:r>
          </w:p>
        </w:tc>
      </w:tr>
      <w:tr w:rsidR="00C53D9D" w:rsidRPr="00C53D9D" w14:paraId="02B608B7" w14:textId="77777777" w:rsidTr="00137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AF835B5" w14:textId="1C7902B7"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lastRenderedPageBreak/>
              <w:t>سلوكيات السلامة</w:t>
            </w:r>
            <w:r w:rsidRPr="00C53D9D">
              <w:rPr>
                <w:rFonts w:ascii="Simplified Arabic" w:hAnsi="Simplified Arabic" w:cs="Simplified Arabic"/>
                <w:noProof/>
                <w:sz w:val="20"/>
                <w:szCs w:val="20"/>
              </w:rPr>
              <w:t xml:space="preserve"> (SB)</w:t>
            </w:r>
          </w:p>
        </w:tc>
        <w:tc>
          <w:tcPr>
            <w:tcW w:w="1440" w:type="dxa"/>
          </w:tcPr>
          <w:p w14:paraId="34D52F76" w14:textId="1D66FE66"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استبيان سلوكيات السلامة (مستند إلى أدوات مستخدمة في أحدث دراسات سلامة المرضى والتي أعتمدها في الرسالة)</w:t>
            </w:r>
          </w:p>
        </w:tc>
        <w:tc>
          <w:tcPr>
            <w:tcW w:w="1530" w:type="dxa"/>
          </w:tcPr>
          <w:p w14:paraId="59986ECA" w14:textId="05734C31"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مثل</w:t>
            </w:r>
            <w:r w:rsidRPr="00C53D9D">
              <w:rPr>
                <w:rFonts w:ascii="Simplified Arabic" w:hAnsi="Simplified Arabic" w:cs="Simplified Arabic"/>
                <w:noProof/>
                <w:sz w:val="18"/>
                <w:szCs w:val="18"/>
              </w:rPr>
              <w:t xml:space="preserve"> Mohammed (2025) </w:t>
            </w:r>
            <w:r w:rsidRPr="00C53D9D">
              <w:rPr>
                <w:rFonts w:ascii="Simplified Arabic" w:hAnsi="Simplified Arabic" w:cs="Simplified Arabic"/>
                <w:noProof/>
                <w:sz w:val="18"/>
                <w:szCs w:val="18"/>
                <w:rtl/>
              </w:rPr>
              <w:t xml:space="preserve">أو المراجع التي </w:t>
            </w:r>
            <w:r w:rsidR="00AF6CA1">
              <w:rPr>
                <w:rFonts w:ascii="Simplified Arabic" w:hAnsi="Simplified Arabic" w:cs="Simplified Arabic" w:hint="cs"/>
                <w:noProof/>
                <w:sz w:val="18"/>
                <w:szCs w:val="18"/>
                <w:rtl/>
              </w:rPr>
              <w:t>تم الاستناد</w:t>
            </w:r>
            <w:r w:rsidRPr="00C53D9D">
              <w:rPr>
                <w:rFonts w:ascii="Simplified Arabic" w:hAnsi="Simplified Arabic" w:cs="Simplified Arabic"/>
                <w:noProof/>
                <w:sz w:val="18"/>
                <w:szCs w:val="18"/>
                <w:rtl/>
              </w:rPr>
              <w:t xml:space="preserve"> إليها في بناء مقياس السلوكيات</w:t>
            </w:r>
            <w:r w:rsidRPr="00C53D9D">
              <w:rPr>
                <w:rFonts w:ascii="Simplified Arabic" w:hAnsi="Simplified Arabic" w:cs="Simplified Arabic"/>
                <w:noProof/>
                <w:sz w:val="18"/>
                <w:szCs w:val="18"/>
              </w:rPr>
              <w:t>.</w:t>
            </w:r>
            <w:r w:rsidRPr="00C53D9D">
              <w:rPr>
                <w:rFonts w:ascii="Times New Roman" w:hAnsi="Times New Roman" w:cs="Times New Roman"/>
                <w:noProof/>
                <w:sz w:val="18"/>
                <w:szCs w:val="18"/>
              </w:rPr>
              <w:t>​</w:t>
            </w:r>
          </w:p>
        </w:tc>
        <w:tc>
          <w:tcPr>
            <w:tcW w:w="1734" w:type="dxa"/>
          </w:tcPr>
          <w:p w14:paraId="13D01A40" w14:textId="233ACDAF"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عدد الأبعاد، مثل: الالتزام بالإجراءات، الإبلاغ عن الأخطاء، والمشاركة في عمليات التحسين.</w:t>
            </w:r>
          </w:p>
        </w:tc>
        <w:tc>
          <w:tcPr>
            <w:tcW w:w="1398" w:type="dxa"/>
          </w:tcPr>
          <w:p w14:paraId="449E733C" w14:textId="05BD6B7A"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عدد الفقرات الكلي (15–20 فقرة)</w:t>
            </w:r>
          </w:p>
        </w:tc>
        <w:tc>
          <w:tcPr>
            <w:tcW w:w="1398" w:type="dxa"/>
          </w:tcPr>
          <w:p w14:paraId="4615CA8F" w14:textId="3C3023C0"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خماسي (من «أبدًا» إلى «دائمًا»)</w:t>
            </w:r>
          </w:p>
        </w:tc>
        <w:tc>
          <w:tcPr>
            <w:tcW w:w="1398" w:type="dxa"/>
          </w:tcPr>
          <w:p w14:paraId="7E82E34D" w14:textId="67BAE1C6"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«أحرص دائمًا على التحقق من هوية المريض قبل إعطاء الدواء».</w:t>
            </w:r>
          </w:p>
        </w:tc>
      </w:tr>
      <w:tr w:rsidR="00C53D9D" w:rsidRPr="00C53D9D" w14:paraId="4E6AF530" w14:textId="77777777" w:rsidTr="00137F65">
        <w:tc>
          <w:tcPr>
            <w:cnfStyle w:val="001000000000" w:firstRow="0" w:lastRow="0" w:firstColumn="1" w:lastColumn="0" w:oddVBand="0" w:evenVBand="0" w:oddHBand="0" w:evenHBand="0" w:firstRowFirstColumn="0" w:firstRowLastColumn="0" w:lastRowFirstColumn="0" w:lastRowLastColumn="0"/>
            <w:tcW w:w="1260" w:type="dxa"/>
          </w:tcPr>
          <w:p w14:paraId="073C355E" w14:textId="784D1BC9"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الأحداث الضارة</w:t>
            </w:r>
            <w:r w:rsidRPr="00C53D9D">
              <w:rPr>
                <w:rFonts w:ascii="Simplified Arabic" w:hAnsi="Simplified Arabic" w:cs="Simplified Arabic"/>
                <w:noProof/>
                <w:sz w:val="20"/>
                <w:szCs w:val="20"/>
              </w:rPr>
              <w:t xml:space="preserve"> (AE)</w:t>
            </w:r>
          </w:p>
        </w:tc>
        <w:tc>
          <w:tcPr>
            <w:tcW w:w="1440" w:type="dxa"/>
          </w:tcPr>
          <w:p w14:paraId="6D9B3F64" w14:textId="549B3B76" w:rsidR="00C53D9D" w:rsidRPr="00C53D9D" w:rsidRDefault="00137F65" w:rsidP="00C20F12">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استبيان لتقييم مدى </w:t>
            </w:r>
            <w:r w:rsidR="00C20F12" w:rsidRPr="00C20F12">
              <w:rPr>
                <w:rFonts w:ascii="Simplified Arabic" w:hAnsi="Simplified Arabic" w:cs="Simplified Arabic"/>
                <w:noProof/>
                <w:sz w:val="18"/>
                <w:szCs w:val="18"/>
                <w:rtl/>
              </w:rPr>
              <w:t>مقياسًا إدراكيًا لفعالية تقليل الأحداث الضارة</w:t>
            </w:r>
            <w:r>
              <w:rPr>
                <w:rFonts w:ascii="Simplified Arabic" w:hAnsi="Simplified Arabic" w:cs="Simplified Arabic"/>
                <w:noProof/>
                <w:sz w:val="18"/>
                <w:szCs w:val="18"/>
                <w:rtl/>
              </w:rPr>
              <w:t xml:space="preserve"> حسب إدراك العاملين</w:t>
            </w:r>
          </w:p>
        </w:tc>
        <w:tc>
          <w:tcPr>
            <w:tcW w:w="1530" w:type="dxa"/>
          </w:tcPr>
          <w:p w14:paraId="538EA544" w14:textId="17659AB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مستند إلى الأدبيات حول الأخطاء الدوائية والعدوى وحوادث المرضى، مع تعديل البنود استنادًا إلى مصادر مثل </w:t>
            </w:r>
            <w:r>
              <w:rPr>
                <w:rFonts w:ascii="Simplified Arabic" w:hAnsi="Simplified Arabic" w:cs="Simplified Arabic"/>
                <w:noProof/>
                <w:sz w:val="18"/>
                <w:szCs w:val="18"/>
              </w:rPr>
              <w:t>Shenoy</w:t>
            </w:r>
            <w:r>
              <w:rPr>
                <w:rFonts w:ascii="Simplified Arabic" w:hAnsi="Simplified Arabic" w:cs="Simplified Arabic"/>
                <w:noProof/>
                <w:sz w:val="18"/>
                <w:szCs w:val="18"/>
                <w:rtl/>
              </w:rPr>
              <w:t xml:space="preserve"> (2021) ودراسات سعودية.</w:t>
            </w:r>
          </w:p>
        </w:tc>
        <w:tc>
          <w:tcPr>
            <w:tcW w:w="1734" w:type="dxa"/>
          </w:tcPr>
          <w:p w14:paraId="57DFA83C" w14:textId="18792EC1"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يمكن أن يُعامل كمُتغير أحادي البُعد يُمثِل تكرار مجموعة من الأحداث الضارة</w:t>
            </w:r>
          </w:p>
        </w:tc>
        <w:tc>
          <w:tcPr>
            <w:tcW w:w="1398" w:type="dxa"/>
          </w:tcPr>
          <w:p w14:paraId="56A15828" w14:textId="1DEFD8F7" w:rsidR="00C53D9D" w:rsidRPr="00C53D9D" w:rsidRDefault="00C53D9D"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عدد الفقرات ( 6–10 بنود تغطي أنواع الحوادث الرئيسة)</w:t>
            </w:r>
          </w:p>
        </w:tc>
        <w:tc>
          <w:tcPr>
            <w:tcW w:w="1398" w:type="dxa"/>
          </w:tcPr>
          <w:p w14:paraId="5DD439AB" w14:textId="1CF97791"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التكراري (من «أبدًا» إلى «أكثر من عدة مرات في الشهر»)</w:t>
            </w:r>
          </w:p>
        </w:tc>
        <w:tc>
          <w:tcPr>
            <w:tcW w:w="1398" w:type="dxa"/>
          </w:tcPr>
          <w:p w14:paraId="6A1455AF" w14:textId="22DE671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«خلال الأشهر الـ 12 الماضية، كم مرة لاحظت خطأ دوائيًا وصل إلى المريض؟».</w:t>
            </w:r>
          </w:p>
        </w:tc>
      </w:tr>
    </w:tbl>
    <w:p w14:paraId="6412DC3A" w14:textId="0DE7A00A" w:rsidR="00390B53" w:rsidRPr="00EA597B" w:rsidRDefault="00C53D9D"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b/>
          <w:bCs/>
          <w:noProof/>
          <w:sz w:val="24"/>
          <w:szCs w:val="24"/>
        </w:rPr>
        <w:t xml:space="preserve">2.5 </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القيادة التحويلية في القطاع الصحي</w:t>
      </w:r>
    </w:p>
    <w:p w14:paraId="42978DFD" w14:textId="77777777" w:rsidR="00390B53" w:rsidRPr="00EA597B" w:rsidRDefault="00390B53" w:rsidP="00390B53">
      <w:pPr>
        <w:bidi/>
        <w:spacing w:before="240" w:line="360" w:lineRule="auto"/>
        <w:jc w:val="both"/>
        <w:rPr>
          <w:rFonts w:ascii="Simplified Arabic" w:hAnsi="Simplified Arabic" w:cs="Simplified Arabic"/>
          <w:noProof/>
          <w:sz w:val="24"/>
          <w:szCs w:val="24"/>
        </w:rPr>
      </w:pPr>
      <w:r w:rsidRPr="00EA597B">
        <w:rPr>
          <w:rFonts w:ascii="Simplified Arabic" w:hAnsi="Simplified Arabic" w:cs="Simplified Arabic"/>
          <w:noProof/>
          <w:sz w:val="24"/>
          <w:szCs w:val="24"/>
          <w:rtl/>
        </w:rPr>
        <w:t>تعتبر القيادة التحولية أحد أهم أنماط القيادة الحديثة في المؤسسات الصحية، لأنها تحدث تغييرات جذرية في قيم العاملين، دوافعهم وسلوكياتهم، متجاوزة العلاقات التقليدية المباشرة.  وتعرف بأنها أسلوب قيادي يهدف إلى إلهام العاملين، وإشراكهم في رؤية مشتركة، وتمكينهم من تحقيق أداء يفوق التوقعات من خلال التأثير النموذجي، والتحفيز الملهم، والتفكير الإبداعي، والاهتمام بالفرد</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  وتشير الدراسات في بيئة المستشفيات إلى أن القيادة التحولية ترتبط بشكل إيجابي بعدة مؤشرات، مثل الرضا الوظيفي، والالتزام بالمؤسسة، والتعاون بين الفرق، وجودة الرعاية، وسلامة المرضى</w:t>
      </w:r>
      <w:r w:rsidRPr="00EA597B">
        <w:rPr>
          <w:rFonts w:ascii="Simplified Arabic" w:hAnsi="Simplified Arabic" w:cs="Simplified Arabic"/>
          <w:noProof/>
          <w:sz w:val="24"/>
          <w:szCs w:val="24"/>
          <w:rtl/>
        </w:rPr>
        <w:fldChar w:fldCharType="begin"/>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 &lt;EndNote&gt;&lt;Cite&gt;&lt;Author</w:instrText>
      </w:r>
      <w:r w:rsidRPr="00EA597B">
        <w:rPr>
          <w:rFonts w:ascii="Simplified Arabic" w:hAnsi="Simplified Arabic" w:cs="Simplified Arabic"/>
          <w:noProof/>
          <w:sz w:val="24"/>
          <w:szCs w:val="24"/>
          <w:rtl/>
        </w:rPr>
        <w:instrText>&gt;اسماعيل محمد الشيخ&lt;/</w:instrText>
      </w:r>
      <w:r w:rsidRPr="00EA597B">
        <w:rPr>
          <w:rFonts w:ascii="Simplified Arabic" w:hAnsi="Simplified Arabic" w:cs="Simplified Arabic"/>
          <w:noProof/>
          <w:sz w:val="24"/>
          <w:szCs w:val="24"/>
        </w:rPr>
        <w:instrText>Author&gt;&lt;Year&gt;2024&lt;/Year&gt;&lt;RecNum&gt;177&lt;/RecNum&gt;&lt;DisplayText</w:instrText>
      </w:r>
      <w:r w:rsidRPr="00EA597B">
        <w:rPr>
          <w:rFonts w:ascii="Simplified Arabic" w:hAnsi="Simplified Arabic" w:cs="Simplified Arabic"/>
          <w:noProof/>
          <w:sz w:val="24"/>
          <w:szCs w:val="24"/>
          <w:rtl/>
        </w:rPr>
        <w:instrText xml:space="preserve">&gt;(اسماعيل محمد الشيخ </w:instrText>
      </w:r>
      <w:r w:rsidRPr="00EA597B">
        <w:rPr>
          <w:rFonts w:ascii="Simplified Arabic" w:hAnsi="Simplified Arabic" w:cs="Simplified Arabic"/>
          <w:noProof/>
          <w:sz w:val="24"/>
          <w:szCs w:val="24"/>
        </w:rPr>
        <w:instrText>et al., 2024</w:instrText>
      </w:r>
      <w:r w:rsidRPr="00EA597B">
        <w:rPr>
          <w:rFonts w:ascii="Simplified Arabic" w:hAnsi="Simplified Arabic" w:cs="Simplified Arabic"/>
          <w:noProof/>
          <w:sz w:val="24"/>
          <w:szCs w:val="24"/>
          <w:rtl/>
        </w:rPr>
        <w:instrText>)&lt;/</w:instrText>
      </w:r>
      <w:r w:rsidRPr="00EA597B">
        <w:rPr>
          <w:rFonts w:ascii="Simplified Arabic" w:hAnsi="Simplified Arabic" w:cs="Simplified Arabic"/>
          <w:noProof/>
          <w:sz w:val="24"/>
          <w:szCs w:val="24"/>
        </w:rPr>
        <w:instrText>DisplayText&gt;&lt;record&gt;&lt;rec-number&gt;177&lt;/rec-number&gt;&lt;foreign-keys&gt;&lt;key app="EN" db-id="02retxxrerxdxhe9aphvs0z2t9z25p0ew99s" timestamp="1754214796"&gt;177&lt;/key&gt;&lt;/foreign-keys&gt;&lt;ref-type name="Journal Article"&gt;17&lt;/ref-type&gt;&lt;contributors&gt;&lt;authors&gt;&lt;author</w:instrText>
      </w:r>
      <w:r w:rsidRPr="00EA597B">
        <w:rPr>
          <w:rFonts w:ascii="Simplified Arabic" w:hAnsi="Simplified Arabic" w:cs="Simplified Arabic"/>
          <w:noProof/>
          <w:sz w:val="24"/>
          <w:szCs w:val="24"/>
          <w:rtl/>
        </w:rPr>
        <w:instrText>&gt;اسماعيل محمد الشيخ, مني&lt;/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&gt;بكرى عبد العليم إسماعيل, محمد&lt;/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&gt;محمد عامر, أمانى&lt;/</w:instrText>
      </w:r>
      <w:r w:rsidRPr="00EA597B">
        <w:rPr>
          <w:rFonts w:ascii="Simplified Arabic" w:hAnsi="Simplified Arabic" w:cs="Simplified Arabic"/>
          <w:noProof/>
          <w:sz w:val="24"/>
          <w:szCs w:val="24"/>
        </w:rPr>
        <w:instrText>author&gt;&lt;/authors&gt;&lt;/contributors&gt;&lt;titles&gt;&lt;title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title&gt;&lt;secondary-title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secondary-title&gt;&lt;short-title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short-title&gt;&lt;/titles&gt;&lt;periodical&gt;&lt;full-title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full-title&gt;&lt;/periodical&gt;&lt;pages&gt;137-168&lt;/pages&gt;&lt;volume&gt;3&lt;/volume&gt;&lt;number&gt;2&lt;/number&gt;&lt;keywords&gt;&lt;keyword</w:instrText>
      </w:r>
      <w:r w:rsidRPr="00EA597B">
        <w:rPr>
          <w:rFonts w:ascii="Simplified Arabic" w:hAnsi="Simplified Arabic" w:cs="Simplified Arabic"/>
          <w:noProof/>
          <w:sz w:val="24"/>
          <w:szCs w:val="24"/>
          <w:rtl/>
        </w:rPr>
        <w:instrText>&gt;الانتهاك الايجابى لقواعد المنظمة&lt;/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&gt;القيادة التحويلية&lt;/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&gt;الابداع التنظيمى&lt;/</w:instrText>
      </w:r>
      <w:r w:rsidRPr="00EA597B">
        <w:rPr>
          <w:rFonts w:ascii="Simplified Arabic" w:hAnsi="Simplified Arabic" w:cs="Simplified Arabic"/>
          <w:noProof/>
          <w:sz w:val="24"/>
          <w:szCs w:val="24"/>
        </w:rPr>
        <w:instrText>keyword&gt;&lt;/keywords&gt;&lt;dates&gt;&lt;year&gt;2024&lt;/year&gt;&lt;/dates&gt;&lt;urls&gt;&lt;related-urls&gt;&lt;url&gt;https://bjhs.journals.ekb.eg/article_393608_f2e6e44444bcd08db7fc21f752d11ced.pdf&lt;/url&gt;&lt;/related-urls&gt;&lt;/urls&gt;&lt;electronic-resource-num&gt;10.21608/bjhs.2024.315754.1262&lt;/electronic-resource-num&gt;&lt;/record&gt;&lt;/Cite&gt;&lt;/EndNote</w:instrText>
      </w:r>
      <w:r w:rsidRPr="00EA597B">
        <w:rPr>
          <w:rFonts w:ascii="Simplified Arabic" w:hAnsi="Simplified Arabic" w:cs="Simplified Arabic"/>
          <w:noProof/>
          <w:sz w:val="24"/>
          <w:szCs w:val="24"/>
          <w:rtl/>
        </w:rPr>
        <w:instrText>&gt;</w:instrText>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 xml:space="preserve">(اسماعيل محمد الشيخ </w:t>
      </w:r>
      <w:r w:rsidRPr="00EA597B">
        <w:rPr>
          <w:rFonts w:ascii="Simplified Arabic" w:hAnsi="Simplified Arabic" w:cs="Simplified Arabic"/>
          <w:noProof/>
          <w:sz w:val="24"/>
          <w:szCs w:val="24"/>
        </w:rPr>
        <w:t>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w:t>
      </w:r>
    </w:p>
    <w:p w14:paraId="4B2EF27C"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EA597B">
        <w:rPr>
          <w:rFonts w:ascii="Simplified Arabic" w:hAnsi="Simplified Arabic" w:cs="Simplified Arabic"/>
          <w:noProof/>
          <w:sz w:val="24"/>
          <w:szCs w:val="24"/>
          <w:rtl/>
        </w:rPr>
        <w:t>أظهرت دراسة حديثة أن القادة الذين يمارسون سلوكيات تحويلية يسهمون في خلق بيئة عمل تدعم السلامة من خلال تعزيز الثقة المتبادلة، وتشجيع الإبلاغ عن الأخطاء، ودعم التعلم التنظيمي، وتوفير الموارد اللازمة لبرامج السلامة. كما أظهرت دراسات ميدانية في السعودية أن ارتفاع مستوى القيادة التحويلية في المستشفيات يرتبط بزيادة الوعي بثقافة سلامة المرضى، خاصة في دعم الإدارة للسلامة والعمل الجماعي</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 Alotaibi et al., 2015; Hamdan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154D4E">
        <w:rPr>
          <w:rFonts w:ascii="Sakkal Majalla" w:hAnsi="Sakkal Majalla" w:cs="Sakkal Majalla"/>
          <w:noProof/>
          <w:sz w:val="28"/>
          <w:szCs w:val="28"/>
          <w:rtl/>
        </w:rPr>
        <w:t>.</w:t>
      </w:r>
    </w:p>
    <w:p w14:paraId="63195523" w14:textId="5D476FD5" w:rsidR="00390B53" w:rsidRPr="00EA597B" w:rsidRDefault="00B601BC" w:rsidP="0000135A">
      <w:pPr>
        <w:bidi/>
        <w:spacing w:before="210" w:after="0" w:line="360" w:lineRule="auto"/>
        <w:jc w:val="both"/>
        <w:rPr>
          <w:rFonts w:ascii="Simplified Arabic" w:hAnsi="Simplified Arabic" w:cs="Simplified Arabic"/>
          <w:b/>
          <w:bCs/>
          <w:noProof/>
          <w:sz w:val="24"/>
          <w:szCs w:val="24"/>
          <w:rtl/>
        </w:rPr>
      </w:pPr>
      <w:r w:rsidRPr="00EA597B">
        <w:rPr>
          <w:rFonts w:ascii="Simplified Arabic" w:hAnsi="Simplified Arabic" w:cs="Simplified Arabic"/>
          <w:b/>
          <w:bCs/>
          <w:noProof/>
          <w:sz w:val="24"/>
          <w:szCs w:val="24"/>
        </w:rPr>
        <w:t xml:space="preserve"> </w:t>
      </w:r>
      <w:r w:rsidR="00EA597B">
        <w:rPr>
          <w:rFonts w:ascii="Simplified Arabic" w:hAnsi="Simplified Arabic" w:cs="Simplified Arabic"/>
          <w:b/>
          <w:bCs/>
          <w:noProof/>
          <w:sz w:val="24"/>
          <w:szCs w:val="24"/>
        </w:rPr>
        <w:t>2.</w:t>
      </w:r>
      <w:r w:rsidR="00A57EF5">
        <w:rPr>
          <w:rFonts w:ascii="Simplified Arabic" w:hAnsi="Simplified Arabic" w:cs="Simplified Arabic"/>
          <w:b/>
          <w:bCs/>
          <w:noProof/>
          <w:sz w:val="24"/>
          <w:szCs w:val="24"/>
        </w:rPr>
        <w:t>6</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أبعاد القيادة التحويلية</w:t>
      </w:r>
      <w:r w:rsidR="0000135A">
        <w:rPr>
          <w:rFonts w:ascii="Simplified Arabic" w:hAnsi="Simplified Arabic" w:cs="Simplified Arabic" w:hint="cs"/>
          <w:b/>
          <w:bCs/>
          <w:noProof/>
          <w:sz w:val="24"/>
          <w:szCs w:val="24"/>
          <w:rtl/>
        </w:rPr>
        <w:t xml:space="preserve"> </w:t>
      </w:r>
      <w:r w:rsidR="0000135A" w:rsidRPr="0000135A">
        <w:rPr>
          <w:rFonts w:ascii="Simplified Arabic" w:hAnsi="Simplified Arabic" w:cs="Simplified Arabic"/>
          <w:b/>
          <w:bCs/>
          <w:noProof/>
          <w:sz w:val="24"/>
          <w:szCs w:val="24"/>
          <w:rtl/>
        </w:rPr>
        <w:t>وفق مقياس</w:t>
      </w:r>
      <w:r w:rsidR="0000135A" w:rsidRPr="0000135A">
        <w:rPr>
          <w:rFonts w:ascii="Simplified Arabic" w:hAnsi="Simplified Arabic" w:cs="Simplified Arabic"/>
          <w:b/>
          <w:bCs/>
          <w:noProof/>
          <w:sz w:val="24"/>
          <w:szCs w:val="24"/>
        </w:rPr>
        <w:t xml:space="preserve"> TLI (Podsakoff et al., 1990)</w:t>
      </w:r>
    </w:p>
    <w:p w14:paraId="1ACF6393" w14:textId="0D38A994" w:rsidR="00B601BC" w:rsidRDefault="00D376D3" w:rsidP="00D376D3">
      <w:pPr>
        <w:bidi/>
        <w:spacing w:before="210" w:after="0" w:line="360" w:lineRule="auto"/>
        <w:jc w:val="both"/>
        <w:rPr>
          <w:rFonts w:ascii="Sakkal Majalla" w:hAnsi="Sakkal Majalla" w:cs="Sakkal Majalla"/>
          <w:noProof/>
          <w:sz w:val="28"/>
          <w:szCs w:val="28"/>
          <w:rtl/>
        </w:rPr>
      </w:pPr>
      <w:r w:rsidRPr="00D376D3">
        <w:rPr>
          <w:rFonts w:ascii="Sakkal Majalla" w:hAnsi="Sakkal Majalla" w:cs="Sakkal Majalla"/>
          <w:noProof/>
          <w:sz w:val="28"/>
          <w:szCs w:val="28"/>
          <w:rtl/>
        </w:rPr>
        <w:lastRenderedPageBreak/>
        <w:t>يتبنى هذا البحث إطار</w:t>
      </w:r>
      <w:r w:rsidRPr="00D376D3">
        <w:rPr>
          <w:rFonts w:ascii="Sakkal Majalla" w:hAnsi="Sakkal Majalla" w:cs="Sakkal Majalla"/>
          <w:noProof/>
          <w:sz w:val="28"/>
          <w:szCs w:val="28"/>
        </w:rPr>
        <w:t xml:space="preserve"> </w:t>
      </w:r>
      <w:r>
        <w:rPr>
          <w:rFonts w:ascii="Sakkal Majalla" w:hAnsi="Sakkal Majalla" w:cs="Sakkal Majalla"/>
          <w:noProof/>
          <w:sz w:val="28"/>
          <w:szCs w:val="28"/>
        </w:rPr>
        <w:t xml:space="preserve">TLI </w:t>
      </w:r>
      <w:r w:rsidRPr="00D376D3">
        <w:rPr>
          <w:rFonts w:ascii="Sakkal Majalla" w:hAnsi="Sakkal Majalla" w:cs="Sakkal Majalla"/>
          <w:noProof/>
          <w:sz w:val="28"/>
          <w:szCs w:val="28"/>
          <w:rtl/>
        </w:rPr>
        <w:t>لقياس القيادة التحويلية من خلال ستة أبعاد سلوكية مترابطة، تمثل معاً المقياس الإجرائي المعتمد في الأداة الميدانية</w:t>
      </w:r>
      <w:r w:rsidRPr="00D376D3">
        <w:rPr>
          <w:rFonts w:ascii="Sakkal Majalla" w:hAnsi="Sakkal Majalla" w:cs="Sakkal Majalla"/>
          <w:noProof/>
          <w:sz w:val="28"/>
          <w:szCs w:val="28"/>
        </w:rPr>
        <w:t>:</w:t>
      </w:r>
      <w:r w:rsidR="0000135A">
        <w:rPr>
          <w:rFonts w:ascii="Sakkal Majalla" w:hAnsi="Sakkal Majalla" w:cs="Sakkal Majalla"/>
          <w:noProof/>
          <w:sz w:val="28"/>
          <w:szCs w:val="28"/>
          <w:rtl/>
        </w:rPr>
        <w:fldChar w:fldCharType="begin"/>
      </w:r>
      <w:r w:rsidR="0000135A">
        <w:rPr>
          <w:rFonts w:ascii="Sakkal Majalla" w:hAnsi="Sakkal Majalla" w:cs="Sakkal Majalla"/>
          <w:noProof/>
          <w:sz w:val="28"/>
          <w:szCs w:val="28"/>
          <w:rtl/>
        </w:rPr>
        <w:instrText xml:space="preserve"> </w:instrText>
      </w:r>
      <w:r w:rsidR="0000135A">
        <w:rPr>
          <w:rFonts w:ascii="Sakkal Majalla" w:hAnsi="Sakkal Majalla" w:cs="Sakkal Majalla"/>
          <w:noProof/>
          <w:sz w:val="28"/>
          <w:szCs w:val="28"/>
        </w:rPr>
        <w:instrText>ADDIN EN.CITE &lt;EndNote&gt;&lt;Cite&gt;&lt;Author&gt;Podsakoff&lt;/Author&gt;&lt;Year&gt;1990&lt;/Year&gt;&lt;RecNum&gt;281&lt;/RecNum&gt;&lt;DisplayText&gt;(Podsakoff et al., 1990)&lt;/DisplayText&gt;&lt;record&gt;&lt;rec-number&gt;281&lt;/rec-number&gt;&lt;foreign-keys&gt;&lt;key app="EN" db-id="02retxxrerxdxhe9aphvs0z2t9z25p0ew99s" timestamp="1782131053"&gt;281&lt;/key&gt;&lt;/foreign-keys&gt;&lt;ref-type name="Journal Article"&gt;17&lt;/ref-type&gt;&lt;contributors&gt;&lt;authors&gt;&lt;author&gt;Podsakoff, Philip M.&lt;/author&gt;&lt;author&gt;MacKenzie, Scott B.&lt;/author&gt;&lt;author&gt;Moorman, Robert H.&lt;/author&gt;&lt;author&gt;Fetter, Richard&lt;/author</w:instrText>
      </w:r>
      <w:r w:rsidR="0000135A">
        <w:rPr>
          <w:rFonts w:ascii="Sakkal Majalla" w:hAnsi="Sakkal Majalla" w:cs="Sakkal Majalla"/>
          <w:noProof/>
          <w:sz w:val="28"/>
          <w:szCs w:val="28"/>
          <w:rtl/>
        </w:rPr>
        <w:instrText>&gt;&lt;/</w:instrText>
      </w:r>
      <w:r w:rsidR="0000135A">
        <w:rPr>
          <w:rFonts w:ascii="Sakkal Majalla" w:hAnsi="Sakkal Majalla" w:cs="Sakkal Majalla"/>
          <w:noProof/>
          <w:sz w:val="28"/>
          <w:szCs w:val="28"/>
        </w:rPr>
        <w:instrText>authors&gt;&lt;/contributors&gt;&lt;titles&gt;&lt;title&gt;Transformational leader behaviors and their effects on followers&amp;apos; trust in leader, satisfaction, and organizational citizenship behaviors&lt;/title&gt;&lt;secondary-title&gt;The Leadership Quarterly&lt;/secondary-title&gt;&lt;/titles&gt;&lt;periodical&gt;&lt;full-title&gt;The Leadership Quarterly&lt;/full-title&gt;&lt;/periodical&gt;&lt;pages&gt;107-142&lt;/pages&gt;&lt;volume&gt;1&lt;/volume&gt;&lt;number&gt;2&lt;/number&gt;&lt;section&gt;107&lt;/section&gt;&lt;dates&gt;&lt;year&gt;1990&lt;/year&gt;&lt;pub-dates&gt;&lt;date&gt;06/01&lt;/date&gt;&lt;/pub-dates&gt;&lt;/dates&gt;&lt;isbn&gt;10489843&lt;/isbn&gt;&lt;urls</w:instrText>
      </w:r>
      <w:r w:rsidR="0000135A">
        <w:rPr>
          <w:rFonts w:ascii="Sakkal Majalla" w:hAnsi="Sakkal Majalla" w:cs="Sakkal Majalla"/>
          <w:noProof/>
          <w:sz w:val="28"/>
          <w:szCs w:val="28"/>
          <w:rtl/>
        </w:rPr>
        <w:instrText>&gt;&lt;/</w:instrText>
      </w:r>
      <w:r w:rsidR="0000135A">
        <w:rPr>
          <w:rFonts w:ascii="Sakkal Majalla" w:hAnsi="Sakkal Majalla" w:cs="Sakkal Majalla"/>
          <w:noProof/>
          <w:sz w:val="28"/>
          <w:szCs w:val="28"/>
        </w:rPr>
        <w:instrText>urls&gt;&lt;electronic-resource-num&gt;10.1016/1048-9843(90)90009-7&lt;/electronic-resource-num&gt;&lt;/record&gt;&lt;/Cite&gt;&lt;/EndNote</w:instrText>
      </w:r>
      <w:r w:rsidR="0000135A">
        <w:rPr>
          <w:rFonts w:ascii="Sakkal Majalla" w:hAnsi="Sakkal Majalla" w:cs="Sakkal Majalla"/>
          <w:noProof/>
          <w:sz w:val="28"/>
          <w:szCs w:val="28"/>
          <w:rtl/>
        </w:rPr>
        <w:instrText>&gt;</w:instrText>
      </w:r>
      <w:r w:rsidR="0000135A">
        <w:rPr>
          <w:rFonts w:ascii="Sakkal Majalla" w:hAnsi="Sakkal Majalla" w:cs="Sakkal Majalla"/>
          <w:noProof/>
          <w:sz w:val="28"/>
          <w:szCs w:val="28"/>
          <w:rtl/>
        </w:rPr>
        <w:fldChar w:fldCharType="separate"/>
      </w:r>
      <w:r w:rsidR="0000135A">
        <w:rPr>
          <w:rFonts w:ascii="Sakkal Majalla" w:hAnsi="Sakkal Majalla" w:cs="Sakkal Majalla"/>
          <w:noProof/>
          <w:sz w:val="28"/>
          <w:szCs w:val="28"/>
          <w:rtl/>
        </w:rPr>
        <w:t>(</w:t>
      </w:r>
      <w:r w:rsidR="0000135A">
        <w:rPr>
          <w:rFonts w:ascii="Sakkal Majalla" w:hAnsi="Sakkal Majalla" w:cs="Sakkal Majalla"/>
          <w:noProof/>
          <w:sz w:val="28"/>
          <w:szCs w:val="28"/>
        </w:rPr>
        <w:t>Podsakoff et al., 1990</w:t>
      </w:r>
      <w:r w:rsidR="0000135A">
        <w:rPr>
          <w:rFonts w:ascii="Sakkal Majalla" w:hAnsi="Sakkal Majalla" w:cs="Sakkal Majalla"/>
          <w:noProof/>
          <w:sz w:val="28"/>
          <w:szCs w:val="28"/>
          <w:rtl/>
        </w:rPr>
        <w:t>)</w:t>
      </w:r>
      <w:r w:rsidR="0000135A">
        <w:rPr>
          <w:rFonts w:ascii="Sakkal Majalla" w:hAnsi="Sakkal Majalla" w:cs="Sakkal Majalla"/>
          <w:noProof/>
          <w:sz w:val="28"/>
          <w:szCs w:val="28"/>
          <w:rtl/>
        </w:rPr>
        <w:fldChar w:fldCharType="end"/>
      </w:r>
      <w:r w:rsidR="00390B53" w:rsidRPr="00154D4E">
        <w:rPr>
          <w:rFonts w:ascii="Sakkal Majalla" w:hAnsi="Sakkal Majalla" w:cs="Sakkal Majalla"/>
          <w:noProof/>
          <w:sz w:val="28"/>
          <w:szCs w:val="28"/>
          <w:rtl/>
        </w:rPr>
        <w:t>.</w:t>
      </w:r>
    </w:p>
    <w:tbl>
      <w:tblPr>
        <w:tblStyle w:val="10"/>
        <w:tblW w:w="4874" w:type="pct"/>
        <w:tblLook w:val="04A0" w:firstRow="1" w:lastRow="0" w:firstColumn="1" w:lastColumn="0" w:noHBand="0" w:noVBand="1"/>
      </w:tblPr>
      <w:tblGrid>
        <w:gridCol w:w="3324"/>
        <w:gridCol w:w="2701"/>
        <w:gridCol w:w="3606"/>
      </w:tblGrid>
      <w:tr w:rsidR="001D4470" w:rsidRPr="001D4470" w14:paraId="44B8468C" w14:textId="064F14D0" w:rsidTr="001D44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6" w:type="pct"/>
            <w:hideMark/>
          </w:tcPr>
          <w:p w14:paraId="4EDB0E16" w14:textId="77777777" w:rsidR="001D4470" w:rsidRPr="00D376D3" w:rsidRDefault="001D4470" w:rsidP="001D4470">
            <w:pPr>
              <w:bidi/>
              <w:spacing w:before="210" w:after="0" w:line="360" w:lineRule="auto"/>
              <w:jc w:val="center"/>
              <w:rPr>
                <w:rFonts w:ascii="Simplified Arabic" w:hAnsi="Simplified Arabic" w:cs="Simplified Arabic"/>
                <w:noProof/>
                <w:sz w:val="24"/>
                <w:szCs w:val="24"/>
              </w:rPr>
            </w:pPr>
            <w:r w:rsidRPr="00D376D3">
              <w:rPr>
                <w:rFonts w:ascii="Simplified Arabic" w:hAnsi="Simplified Arabic" w:cs="Simplified Arabic"/>
                <w:noProof/>
                <w:sz w:val="24"/>
                <w:szCs w:val="24"/>
                <w:rtl/>
              </w:rPr>
              <w:t>الصلة ببيئة المستشفيات</w:t>
            </w:r>
          </w:p>
        </w:tc>
        <w:tc>
          <w:tcPr>
            <w:tcW w:w="1402" w:type="pct"/>
          </w:tcPr>
          <w:p w14:paraId="6B8DF2CC" w14:textId="76EC62AD" w:rsidR="001D4470" w:rsidRPr="00D376D3" w:rsidRDefault="001D4470" w:rsidP="001D4470">
            <w:pPr>
              <w:bidi/>
              <w:spacing w:before="210"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D376D3">
              <w:rPr>
                <w:rFonts w:ascii="Simplified Arabic" w:hAnsi="Simplified Arabic" w:cs="Simplified Arabic"/>
                <w:noProof/>
                <w:sz w:val="24"/>
                <w:szCs w:val="24"/>
                <w:rtl/>
              </w:rPr>
              <w:t>التعريف</w:t>
            </w:r>
          </w:p>
        </w:tc>
        <w:tc>
          <w:tcPr>
            <w:tcW w:w="1872" w:type="pct"/>
          </w:tcPr>
          <w:p w14:paraId="22DE213E" w14:textId="1B85800B" w:rsidR="001D4470" w:rsidRPr="00D376D3" w:rsidRDefault="001D4470" w:rsidP="001D4470">
            <w:pPr>
              <w:bidi/>
              <w:spacing w:before="210" w:after="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D376D3">
              <w:rPr>
                <w:rFonts w:ascii="Simplified Arabic" w:hAnsi="Simplified Arabic" w:cs="Simplified Arabic"/>
                <w:noProof/>
                <w:sz w:val="24"/>
                <w:szCs w:val="24"/>
                <w:rtl/>
              </w:rPr>
              <w:t>البُعد</w:t>
            </w:r>
          </w:p>
        </w:tc>
      </w:tr>
      <w:tr w:rsidR="001D4470" w:rsidRPr="001D4470" w14:paraId="6BC8285B" w14:textId="3EAE0B69" w:rsidTr="001D4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6" w:type="pct"/>
            <w:hideMark/>
          </w:tcPr>
          <w:p w14:paraId="40B49BC2" w14:textId="77777777" w:rsidR="001D4470" w:rsidRPr="001D4470" w:rsidRDefault="001D4470" w:rsidP="001D4470">
            <w:pPr>
              <w:bidi/>
              <w:spacing w:before="210" w:after="0" w:line="360" w:lineRule="auto"/>
              <w:jc w:val="center"/>
              <w:rPr>
                <w:rFonts w:ascii="Simplified Arabic" w:hAnsi="Simplified Arabic" w:cs="Simplified Arabic"/>
                <w:b w:val="0"/>
                <w:bCs w:val="0"/>
                <w:noProof/>
                <w:sz w:val="24"/>
                <w:szCs w:val="24"/>
              </w:rPr>
            </w:pPr>
            <w:r w:rsidRPr="001D4470">
              <w:rPr>
                <w:rFonts w:ascii="Simplified Arabic" w:hAnsi="Simplified Arabic" w:cs="Simplified Arabic"/>
                <w:b w:val="0"/>
                <w:bCs w:val="0"/>
                <w:noProof/>
                <w:sz w:val="24"/>
                <w:szCs w:val="24"/>
                <w:rtl/>
              </w:rPr>
              <w:t>يُوجِّه العاملين نحو السلامة كأولوية مؤسسية</w:t>
            </w:r>
          </w:p>
        </w:tc>
        <w:tc>
          <w:tcPr>
            <w:tcW w:w="1402" w:type="pct"/>
          </w:tcPr>
          <w:p w14:paraId="390170EC" w14:textId="6592761D" w:rsidR="001D4470" w:rsidRPr="001D4470" w:rsidRDefault="001D4470" w:rsidP="001D4470">
            <w:pPr>
              <w:bidi/>
              <w:spacing w:before="210"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توضيح هدف مستقبلي ملهم ومشترك</w:t>
            </w:r>
          </w:p>
        </w:tc>
        <w:tc>
          <w:tcPr>
            <w:tcW w:w="1872" w:type="pct"/>
          </w:tcPr>
          <w:p w14:paraId="35F8845A" w14:textId="7AE6C101" w:rsidR="001D4470" w:rsidRPr="001D4470" w:rsidRDefault="001D4470" w:rsidP="001D4470">
            <w:pPr>
              <w:bidi/>
              <w:spacing w:before="210"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صياغة الرؤية</w:t>
            </w:r>
            <w:r>
              <w:rPr>
                <w:rFonts w:ascii="Simplified Arabic" w:hAnsi="Simplified Arabic" w:cs="Simplified Arabic"/>
                <w:noProof/>
                <w:sz w:val="24"/>
                <w:szCs w:val="24"/>
                <w:rtl/>
              </w:rPr>
              <w:br/>
            </w:r>
            <w:r w:rsidRPr="001D4470">
              <w:rPr>
                <w:rFonts w:ascii="Simplified Arabic" w:hAnsi="Simplified Arabic" w:cs="Simplified Arabic"/>
                <w:noProof/>
                <w:sz w:val="24"/>
                <w:szCs w:val="24"/>
                <w:rtl/>
              </w:rPr>
              <w:t xml:space="preserve"> </w:t>
            </w:r>
            <w:r w:rsidRPr="001D4470">
              <w:rPr>
                <w:rFonts w:ascii="Simplified Arabic" w:hAnsi="Simplified Arabic" w:cs="Simplified Arabic"/>
                <w:noProof/>
                <w:sz w:val="24"/>
                <w:szCs w:val="24"/>
              </w:rPr>
              <w:t>(Articulating a Vision)</w:t>
            </w:r>
          </w:p>
        </w:tc>
      </w:tr>
      <w:tr w:rsidR="001D4470" w:rsidRPr="001D4470" w14:paraId="3A9EC43C" w14:textId="19FA35EF" w:rsidTr="001D4470">
        <w:tc>
          <w:tcPr>
            <w:cnfStyle w:val="001000000000" w:firstRow="0" w:lastRow="0" w:firstColumn="1" w:lastColumn="0" w:oddVBand="0" w:evenVBand="0" w:oddHBand="0" w:evenHBand="0" w:firstRowFirstColumn="0" w:firstRowLastColumn="0" w:lastRowFirstColumn="0" w:lastRowLastColumn="0"/>
            <w:tcW w:w="1726" w:type="pct"/>
            <w:hideMark/>
          </w:tcPr>
          <w:p w14:paraId="4CC848D4" w14:textId="77777777" w:rsidR="001D4470" w:rsidRPr="001D4470" w:rsidRDefault="001D4470" w:rsidP="001D4470">
            <w:pPr>
              <w:bidi/>
              <w:spacing w:before="210" w:after="0" w:line="360" w:lineRule="auto"/>
              <w:jc w:val="center"/>
              <w:rPr>
                <w:rFonts w:ascii="Simplified Arabic" w:hAnsi="Simplified Arabic" w:cs="Simplified Arabic"/>
                <w:b w:val="0"/>
                <w:bCs w:val="0"/>
                <w:noProof/>
                <w:sz w:val="24"/>
                <w:szCs w:val="24"/>
              </w:rPr>
            </w:pPr>
            <w:r w:rsidRPr="001D4470">
              <w:rPr>
                <w:rFonts w:ascii="Simplified Arabic" w:hAnsi="Simplified Arabic" w:cs="Simplified Arabic"/>
                <w:b w:val="0"/>
                <w:bCs w:val="0"/>
                <w:noProof/>
                <w:sz w:val="24"/>
                <w:szCs w:val="24"/>
                <w:rtl/>
              </w:rPr>
              <w:t>يعزز ثقة العاملين ويُرسّخ قيم السلامة</w:t>
            </w:r>
          </w:p>
        </w:tc>
        <w:tc>
          <w:tcPr>
            <w:tcW w:w="1402" w:type="pct"/>
          </w:tcPr>
          <w:p w14:paraId="059EE435" w14:textId="3ECA2CB3" w:rsidR="001D4470" w:rsidRPr="001D4470" w:rsidRDefault="001D4470" w:rsidP="001D4470">
            <w:pPr>
              <w:bidi/>
              <w:spacing w:before="210"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التوافق بين قول القائد وفعله</w:t>
            </w:r>
          </w:p>
        </w:tc>
        <w:tc>
          <w:tcPr>
            <w:tcW w:w="1872" w:type="pct"/>
          </w:tcPr>
          <w:p w14:paraId="2EF3BF02" w14:textId="01874C1D" w:rsidR="001D4470" w:rsidRPr="001D4470" w:rsidRDefault="001D4470" w:rsidP="001D4470">
            <w:pPr>
              <w:bidi/>
              <w:spacing w:before="210"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تقديم النموذج</w:t>
            </w:r>
            <w:r>
              <w:rPr>
                <w:rFonts w:ascii="Simplified Arabic" w:hAnsi="Simplified Arabic" w:cs="Simplified Arabic"/>
                <w:noProof/>
                <w:sz w:val="24"/>
                <w:szCs w:val="24"/>
                <w:rtl/>
              </w:rPr>
              <w:br/>
            </w:r>
            <w:r w:rsidRPr="001D4470">
              <w:rPr>
                <w:rFonts w:ascii="Simplified Arabic" w:hAnsi="Simplified Arabic" w:cs="Simplified Arabic"/>
                <w:noProof/>
                <w:sz w:val="24"/>
                <w:szCs w:val="24"/>
                <w:rtl/>
              </w:rPr>
              <w:t xml:space="preserve"> </w:t>
            </w:r>
            <w:r w:rsidRPr="001D4470">
              <w:rPr>
                <w:rFonts w:ascii="Simplified Arabic" w:hAnsi="Simplified Arabic" w:cs="Simplified Arabic"/>
                <w:noProof/>
                <w:sz w:val="24"/>
                <w:szCs w:val="24"/>
              </w:rPr>
              <w:t>(Providing an Appropriate Model)</w:t>
            </w:r>
          </w:p>
        </w:tc>
      </w:tr>
      <w:tr w:rsidR="001D4470" w:rsidRPr="001D4470" w14:paraId="46DF1251" w14:textId="57F37782" w:rsidTr="001D4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6" w:type="pct"/>
            <w:hideMark/>
          </w:tcPr>
          <w:p w14:paraId="3DB43EEE" w14:textId="77777777" w:rsidR="001D4470" w:rsidRPr="001D4470" w:rsidRDefault="001D4470" w:rsidP="001D4470">
            <w:pPr>
              <w:bidi/>
              <w:spacing w:before="210" w:after="0" w:line="360" w:lineRule="auto"/>
              <w:jc w:val="center"/>
              <w:rPr>
                <w:rFonts w:ascii="Simplified Arabic" w:hAnsi="Simplified Arabic" w:cs="Simplified Arabic"/>
                <w:b w:val="0"/>
                <w:bCs w:val="0"/>
                <w:noProof/>
                <w:sz w:val="24"/>
                <w:szCs w:val="24"/>
              </w:rPr>
            </w:pPr>
            <w:r w:rsidRPr="001D4470">
              <w:rPr>
                <w:rFonts w:ascii="Simplified Arabic" w:hAnsi="Simplified Arabic" w:cs="Simplified Arabic"/>
                <w:b w:val="0"/>
                <w:bCs w:val="0"/>
                <w:noProof/>
                <w:sz w:val="24"/>
                <w:szCs w:val="24"/>
                <w:rtl/>
              </w:rPr>
              <w:t>يدعم ثقافة التعاون والإبلاغ المفتوح</w:t>
            </w:r>
          </w:p>
        </w:tc>
        <w:tc>
          <w:tcPr>
            <w:tcW w:w="1402" w:type="pct"/>
          </w:tcPr>
          <w:p w14:paraId="56A24944" w14:textId="6D2193A9" w:rsidR="001D4470" w:rsidRPr="001D4470" w:rsidRDefault="001D4470" w:rsidP="001D4470">
            <w:pPr>
              <w:bidi/>
              <w:spacing w:before="210"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توحيد جهود الفريق نحو هدف مشترك</w:t>
            </w:r>
          </w:p>
        </w:tc>
        <w:tc>
          <w:tcPr>
            <w:tcW w:w="1872" w:type="pct"/>
          </w:tcPr>
          <w:p w14:paraId="323C9084" w14:textId="347756C8" w:rsidR="001D4470" w:rsidRPr="001D4470" w:rsidRDefault="001D4470" w:rsidP="001D4470">
            <w:pPr>
              <w:bidi/>
              <w:spacing w:before="210"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تعزيز قبول الأهداف الجماعية</w:t>
            </w:r>
            <w:r>
              <w:rPr>
                <w:rFonts w:ascii="Simplified Arabic" w:hAnsi="Simplified Arabic" w:cs="Simplified Arabic"/>
                <w:noProof/>
                <w:sz w:val="24"/>
                <w:szCs w:val="24"/>
                <w:rtl/>
              </w:rPr>
              <w:br/>
            </w:r>
            <w:r w:rsidRPr="001D4470">
              <w:rPr>
                <w:rFonts w:ascii="Simplified Arabic" w:hAnsi="Simplified Arabic" w:cs="Simplified Arabic"/>
                <w:noProof/>
                <w:sz w:val="24"/>
                <w:szCs w:val="24"/>
                <w:rtl/>
              </w:rPr>
              <w:t xml:space="preserve"> </w:t>
            </w:r>
            <w:r w:rsidRPr="001D4470">
              <w:rPr>
                <w:rFonts w:ascii="Simplified Arabic" w:hAnsi="Simplified Arabic" w:cs="Simplified Arabic"/>
                <w:noProof/>
                <w:sz w:val="24"/>
                <w:szCs w:val="24"/>
              </w:rPr>
              <w:t>(Fostering Group Goals)</w:t>
            </w:r>
          </w:p>
        </w:tc>
      </w:tr>
      <w:tr w:rsidR="001D4470" w:rsidRPr="001D4470" w14:paraId="26EAB71F" w14:textId="5880ED12" w:rsidTr="001D4470">
        <w:tc>
          <w:tcPr>
            <w:cnfStyle w:val="001000000000" w:firstRow="0" w:lastRow="0" w:firstColumn="1" w:lastColumn="0" w:oddVBand="0" w:evenVBand="0" w:oddHBand="0" w:evenHBand="0" w:firstRowFirstColumn="0" w:firstRowLastColumn="0" w:lastRowFirstColumn="0" w:lastRowLastColumn="0"/>
            <w:tcW w:w="1726" w:type="pct"/>
            <w:hideMark/>
          </w:tcPr>
          <w:p w14:paraId="72F11CCC" w14:textId="77777777" w:rsidR="001D4470" w:rsidRPr="001D4470" w:rsidRDefault="001D4470" w:rsidP="001D4470">
            <w:pPr>
              <w:bidi/>
              <w:spacing w:before="210" w:after="0" w:line="360" w:lineRule="auto"/>
              <w:jc w:val="center"/>
              <w:rPr>
                <w:rFonts w:ascii="Simplified Arabic" w:hAnsi="Simplified Arabic" w:cs="Simplified Arabic"/>
                <w:b w:val="0"/>
                <w:bCs w:val="0"/>
                <w:noProof/>
                <w:sz w:val="24"/>
                <w:szCs w:val="24"/>
              </w:rPr>
            </w:pPr>
            <w:r w:rsidRPr="001D4470">
              <w:rPr>
                <w:rFonts w:ascii="Simplified Arabic" w:hAnsi="Simplified Arabic" w:cs="Simplified Arabic"/>
                <w:b w:val="0"/>
                <w:bCs w:val="0"/>
                <w:noProof/>
                <w:sz w:val="24"/>
                <w:szCs w:val="24"/>
                <w:rtl/>
              </w:rPr>
              <w:t>يدفع نحو الالتزام ببروتوكولات السلامة</w:t>
            </w:r>
          </w:p>
        </w:tc>
        <w:tc>
          <w:tcPr>
            <w:tcW w:w="1402" w:type="pct"/>
          </w:tcPr>
          <w:p w14:paraId="2E770930" w14:textId="3C2AA2EC" w:rsidR="001D4470" w:rsidRPr="001D4470" w:rsidRDefault="001D4470" w:rsidP="001D4470">
            <w:pPr>
              <w:bidi/>
              <w:spacing w:before="210"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وضع معايير أداء مرتفعة وواضحة</w:t>
            </w:r>
          </w:p>
        </w:tc>
        <w:tc>
          <w:tcPr>
            <w:tcW w:w="1872" w:type="pct"/>
          </w:tcPr>
          <w:p w14:paraId="6513B290" w14:textId="2AE1AB58" w:rsidR="001D4470" w:rsidRPr="001D4470" w:rsidRDefault="001D4470" w:rsidP="001D4470">
            <w:pPr>
              <w:bidi/>
              <w:spacing w:before="210"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 xml:space="preserve">توقعات الأداء العالي </w:t>
            </w:r>
            <w:r w:rsidRPr="001D4470">
              <w:rPr>
                <w:rFonts w:ascii="Simplified Arabic" w:hAnsi="Simplified Arabic" w:cs="Simplified Arabic"/>
                <w:noProof/>
                <w:sz w:val="24"/>
                <w:szCs w:val="24"/>
              </w:rPr>
              <w:t>(High Performance Expectations)</w:t>
            </w:r>
          </w:p>
        </w:tc>
      </w:tr>
      <w:tr w:rsidR="001D4470" w:rsidRPr="001D4470" w14:paraId="51876ACA" w14:textId="3FB63526" w:rsidTr="001D44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6" w:type="pct"/>
            <w:hideMark/>
          </w:tcPr>
          <w:p w14:paraId="4B09C996" w14:textId="77777777" w:rsidR="001D4470" w:rsidRPr="001D4470" w:rsidRDefault="001D4470" w:rsidP="001D4470">
            <w:pPr>
              <w:bidi/>
              <w:spacing w:before="210" w:after="0" w:line="360" w:lineRule="auto"/>
              <w:jc w:val="center"/>
              <w:rPr>
                <w:rFonts w:ascii="Simplified Arabic" w:hAnsi="Simplified Arabic" w:cs="Simplified Arabic"/>
                <w:b w:val="0"/>
                <w:bCs w:val="0"/>
                <w:noProof/>
                <w:sz w:val="24"/>
                <w:szCs w:val="24"/>
              </w:rPr>
            </w:pPr>
            <w:r w:rsidRPr="001D4470">
              <w:rPr>
                <w:rFonts w:ascii="Simplified Arabic" w:hAnsi="Simplified Arabic" w:cs="Simplified Arabic"/>
                <w:b w:val="0"/>
                <w:bCs w:val="0"/>
                <w:noProof/>
                <w:sz w:val="24"/>
                <w:szCs w:val="24"/>
                <w:rtl/>
              </w:rPr>
              <w:t>يُقلل الإرهاق ويزيد الالتزام بالإجراءات</w:t>
            </w:r>
          </w:p>
        </w:tc>
        <w:tc>
          <w:tcPr>
            <w:tcW w:w="1402" w:type="pct"/>
          </w:tcPr>
          <w:p w14:paraId="7FE2DC8A" w14:textId="4AB8FA32" w:rsidR="001D4470" w:rsidRPr="001D4470" w:rsidRDefault="001D4470" w:rsidP="001D4470">
            <w:pPr>
              <w:bidi/>
              <w:spacing w:before="210"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الاهتمام بالاحتياجات الشخصية لكل موظف</w:t>
            </w:r>
          </w:p>
        </w:tc>
        <w:tc>
          <w:tcPr>
            <w:tcW w:w="1872" w:type="pct"/>
          </w:tcPr>
          <w:p w14:paraId="4C21CFCA" w14:textId="3E7F94AE" w:rsidR="001D4470" w:rsidRPr="001D4470" w:rsidRDefault="001D4470" w:rsidP="001D4470">
            <w:pPr>
              <w:bidi/>
              <w:spacing w:before="210" w:after="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الدعم الفردي</w:t>
            </w:r>
            <w:r>
              <w:rPr>
                <w:rFonts w:ascii="Simplified Arabic" w:hAnsi="Simplified Arabic" w:cs="Simplified Arabic"/>
                <w:noProof/>
                <w:sz w:val="24"/>
                <w:szCs w:val="24"/>
                <w:rtl/>
              </w:rPr>
              <w:br/>
            </w:r>
            <w:r w:rsidRPr="001D4470">
              <w:rPr>
                <w:rFonts w:ascii="Simplified Arabic" w:hAnsi="Simplified Arabic" w:cs="Simplified Arabic"/>
                <w:noProof/>
                <w:sz w:val="24"/>
                <w:szCs w:val="24"/>
                <w:rtl/>
              </w:rPr>
              <w:t xml:space="preserve"> </w:t>
            </w:r>
            <w:r w:rsidRPr="001D4470">
              <w:rPr>
                <w:rFonts w:ascii="Simplified Arabic" w:hAnsi="Simplified Arabic" w:cs="Simplified Arabic"/>
                <w:noProof/>
                <w:sz w:val="24"/>
                <w:szCs w:val="24"/>
              </w:rPr>
              <w:t>(Individualized Support)</w:t>
            </w:r>
          </w:p>
        </w:tc>
      </w:tr>
      <w:tr w:rsidR="001D4470" w:rsidRPr="001D4470" w14:paraId="7A497524" w14:textId="482D622E" w:rsidTr="001D4470">
        <w:tc>
          <w:tcPr>
            <w:cnfStyle w:val="001000000000" w:firstRow="0" w:lastRow="0" w:firstColumn="1" w:lastColumn="0" w:oddVBand="0" w:evenVBand="0" w:oddHBand="0" w:evenHBand="0" w:firstRowFirstColumn="0" w:firstRowLastColumn="0" w:lastRowFirstColumn="0" w:lastRowLastColumn="0"/>
            <w:tcW w:w="1726" w:type="pct"/>
            <w:hideMark/>
          </w:tcPr>
          <w:p w14:paraId="49206181" w14:textId="77777777" w:rsidR="001D4470" w:rsidRPr="001D4470" w:rsidRDefault="001D4470" w:rsidP="001D4470">
            <w:pPr>
              <w:bidi/>
              <w:spacing w:before="210" w:after="0" w:line="360" w:lineRule="auto"/>
              <w:jc w:val="center"/>
              <w:rPr>
                <w:rFonts w:ascii="Simplified Arabic" w:hAnsi="Simplified Arabic" w:cs="Simplified Arabic"/>
                <w:b w:val="0"/>
                <w:bCs w:val="0"/>
                <w:noProof/>
                <w:sz w:val="24"/>
                <w:szCs w:val="24"/>
              </w:rPr>
            </w:pPr>
            <w:r w:rsidRPr="001D4470">
              <w:rPr>
                <w:rFonts w:ascii="Simplified Arabic" w:hAnsi="Simplified Arabic" w:cs="Simplified Arabic"/>
                <w:b w:val="0"/>
                <w:bCs w:val="0"/>
                <w:noProof/>
                <w:sz w:val="24"/>
                <w:szCs w:val="24"/>
                <w:rtl/>
              </w:rPr>
              <w:t>يُعزز التعلم من الأخطاء والتحسين المستمر</w:t>
            </w:r>
          </w:p>
        </w:tc>
        <w:tc>
          <w:tcPr>
            <w:tcW w:w="1402" w:type="pct"/>
          </w:tcPr>
          <w:p w14:paraId="7D44E320" w14:textId="35632E6D" w:rsidR="001D4470" w:rsidRPr="001D4470" w:rsidRDefault="001D4470" w:rsidP="001D4470">
            <w:pPr>
              <w:bidi/>
              <w:spacing w:before="210"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تحفيز التفكير النقدي وإعادة تقييم الأساليب</w:t>
            </w:r>
          </w:p>
        </w:tc>
        <w:tc>
          <w:tcPr>
            <w:tcW w:w="1872" w:type="pct"/>
          </w:tcPr>
          <w:p w14:paraId="101C6AD6" w14:textId="3F77AE21" w:rsidR="001D4470" w:rsidRPr="001D4470" w:rsidRDefault="001D4470" w:rsidP="001D4470">
            <w:pPr>
              <w:bidi/>
              <w:spacing w:before="210" w:after="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Simplified Arabic" w:hAnsi="Simplified Arabic" w:cs="Simplified Arabic"/>
                <w:noProof/>
                <w:sz w:val="24"/>
                <w:szCs w:val="24"/>
                <w:rtl/>
              </w:rPr>
              <w:t>الاستثارة الفكرية</w:t>
            </w:r>
            <w:r>
              <w:rPr>
                <w:rFonts w:ascii="Simplified Arabic" w:hAnsi="Simplified Arabic" w:cs="Simplified Arabic"/>
                <w:noProof/>
                <w:sz w:val="24"/>
                <w:szCs w:val="24"/>
                <w:rtl/>
              </w:rPr>
              <w:br/>
            </w:r>
            <w:r w:rsidRPr="001D4470">
              <w:rPr>
                <w:rFonts w:ascii="Simplified Arabic" w:hAnsi="Simplified Arabic" w:cs="Simplified Arabic"/>
                <w:noProof/>
                <w:sz w:val="24"/>
                <w:szCs w:val="24"/>
                <w:rtl/>
              </w:rPr>
              <w:t xml:space="preserve"> </w:t>
            </w:r>
            <w:r w:rsidRPr="001D4470">
              <w:rPr>
                <w:rFonts w:ascii="Simplified Arabic" w:hAnsi="Simplified Arabic" w:cs="Simplified Arabic"/>
                <w:noProof/>
                <w:sz w:val="24"/>
                <w:szCs w:val="24"/>
              </w:rPr>
              <w:t>(Intellectual Stimulation)</w:t>
            </w:r>
          </w:p>
        </w:tc>
      </w:tr>
    </w:tbl>
    <w:p w14:paraId="36C86A54" w14:textId="70E62538" w:rsidR="00DE1F7A" w:rsidRPr="00DE1F7A" w:rsidRDefault="00DE1F7A"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b/>
          <w:bCs/>
          <w:noProof/>
          <w:sz w:val="24"/>
          <w:szCs w:val="24"/>
          <w:rtl/>
        </w:rPr>
        <w:t>2.</w:t>
      </w:r>
      <w:r w:rsidR="00A57EF5">
        <w:rPr>
          <w:rFonts w:ascii="Simplified Arabic" w:hAnsi="Simplified Arabic" w:cs="Simplified Arabic" w:hint="cs"/>
          <w:b/>
          <w:bCs/>
          <w:noProof/>
          <w:sz w:val="24"/>
          <w:szCs w:val="24"/>
          <w:rtl/>
        </w:rPr>
        <w:t>7</w:t>
      </w:r>
      <w:r w:rsidR="00390B53" w:rsidRPr="00DE1F7A">
        <w:rPr>
          <w:rFonts w:ascii="Simplified Arabic" w:hAnsi="Simplified Arabic" w:cs="Simplified Arabic"/>
          <w:b/>
          <w:bCs/>
          <w:noProof/>
          <w:sz w:val="24"/>
          <w:szCs w:val="24"/>
          <w:rtl/>
        </w:rPr>
        <w:t xml:space="preserve">ثقافة سلامة المرضى: المفهوم والأهمية </w:t>
      </w:r>
    </w:p>
    <w:p w14:paraId="70E2BEDE" w14:textId="4041C8FD" w:rsidR="00390B53" w:rsidRPr="00DE1F7A" w:rsidRDefault="00390B53"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noProof/>
          <w:sz w:val="24"/>
          <w:szCs w:val="24"/>
          <w:rtl/>
        </w:rPr>
        <w:t>تعرف ثقافة سلامة المرضى بأنها مجموعة من القيم والاتجاهات والإدراكات والسلوكيات المشتركة التي تنتشر داخل المؤسسة الصحية، وتعكس مدى التزامها بجعل سلامة المرضى الأولوية في أسياساتها و في جميع أنشطتها وقراراتها</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w:instrText>
      </w:r>
      <w:r w:rsidRPr="00DE1F7A">
        <w:rPr>
          <w:rFonts w:ascii="Simplified Arabic" w:hAnsi="Simplified Arabic" w:cs="Simplified Arabic"/>
          <w:noProof/>
          <w:sz w:val="24"/>
          <w:szCs w:val="24"/>
          <w:rtl/>
        </w:rPr>
        <w:instrText>&gt;الحمري&lt;/</w:instrText>
      </w:r>
      <w:r w:rsidRPr="00DE1F7A">
        <w:rPr>
          <w:rFonts w:ascii="Simplified Arabic" w:hAnsi="Simplified Arabic" w:cs="Simplified Arabic"/>
          <w:noProof/>
          <w:sz w:val="24"/>
          <w:szCs w:val="24"/>
        </w:rPr>
        <w:instrText>Author&gt;&lt;Year&gt;2025&lt;/Year&gt;&lt;RecNum&gt;183&lt;/RecNum&gt;&lt;DisplayText</w:instrText>
      </w:r>
      <w:r w:rsidRPr="00DE1F7A">
        <w:rPr>
          <w:rFonts w:ascii="Simplified Arabic" w:hAnsi="Simplified Arabic" w:cs="Simplified Arabic"/>
          <w:noProof/>
          <w:sz w:val="24"/>
          <w:szCs w:val="24"/>
          <w:rtl/>
        </w:rPr>
        <w:instrText>&gt;(الحمري, 2025)&lt;/</w:instrText>
      </w:r>
      <w:r w:rsidRPr="00DE1F7A">
        <w:rPr>
          <w:rFonts w:ascii="Simplified Arabic" w:hAnsi="Simplified Arabic" w:cs="Simplified Arabic"/>
          <w:noProof/>
          <w:sz w:val="24"/>
          <w:szCs w:val="24"/>
        </w:rPr>
        <w:instrText>DisplayText&gt;&lt;record&gt;&lt;rec-number&gt;183&lt;/rec-number&gt;&lt;foreign-keys&gt;&lt;key app="EN" db-id="02retxxrerxdxhe9aphvs0z2t9z25p0ew99s" timestamp="1754</w:instrText>
      </w:r>
      <w:r w:rsidRPr="00DE1F7A">
        <w:rPr>
          <w:rFonts w:ascii="Simplified Arabic" w:hAnsi="Simplified Arabic" w:cs="Simplified Arabic"/>
          <w:noProof/>
          <w:sz w:val="24"/>
          <w:szCs w:val="24"/>
          <w:rtl/>
        </w:rPr>
        <w:instrText>598889"&gt;183&lt;/</w:instrText>
      </w:r>
      <w:r w:rsidRPr="00DE1F7A">
        <w:rPr>
          <w:rFonts w:ascii="Simplified Arabic" w:hAnsi="Simplified Arabic" w:cs="Simplified Arabic"/>
          <w:noProof/>
          <w:sz w:val="24"/>
          <w:szCs w:val="24"/>
        </w:rPr>
        <w:instrText>key&gt;&lt;/foreign-keys&gt;&lt;ref-type name="Journal Article"&gt;17&lt;/ref-type&gt;&lt;contributors&gt;&lt;authors&gt;&lt;author&gt;&lt;style face="normal" font="default" charset="178" size="100%</w:instrText>
      </w:r>
      <w:r w:rsidRPr="00DE1F7A">
        <w:rPr>
          <w:rFonts w:ascii="Simplified Arabic" w:hAnsi="Simplified Arabic" w:cs="Simplified Arabic"/>
          <w:noProof/>
          <w:sz w:val="24"/>
          <w:szCs w:val="24"/>
          <w:rtl/>
        </w:rPr>
        <w:instrText>"&gt;منصور المطيري،عبد الله الحمري&lt;/</w:instrText>
      </w:r>
      <w:r w:rsidRPr="00DE1F7A">
        <w:rPr>
          <w:rFonts w:ascii="Simplified Arabic" w:hAnsi="Simplified Arabic" w:cs="Simplified Arabic"/>
          <w:noProof/>
          <w:sz w:val="24"/>
          <w:szCs w:val="24"/>
        </w:rPr>
        <w:instrText>style&gt;&lt;/author&gt;&lt;/authors&gt;&lt;/contributors&gt;&lt;titles&gt;&lt;title&gt;&lt;style face="normal" font="default" charset="178" size="100%</w:instrText>
      </w:r>
      <w:r w:rsidRPr="00DE1F7A">
        <w:rPr>
          <w:rFonts w:ascii="Simplified Arabic" w:hAnsi="Simplified Arabic" w:cs="Simplified Arabic"/>
          <w:noProof/>
          <w:sz w:val="24"/>
          <w:szCs w:val="24"/>
          <w:rtl/>
        </w:rPr>
        <w:instrText>"&gt;أثر السلامة المهنية على أداء العاملين بالمنظمات الصحية (دراسة تطبيقية على مستشفى الملك فهد العام بمحافظة جدة)&lt;/</w:instrText>
      </w:r>
      <w:r w:rsidRPr="00DE1F7A">
        <w:rPr>
          <w:rFonts w:ascii="Simplified Arabic" w:hAnsi="Simplified Arabic" w:cs="Simplified Arabic"/>
          <w:noProof/>
          <w:sz w:val="24"/>
          <w:szCs w:val="24"/>
        </w:rPr>
        <w:instrText>style&gt;&lt;/title&gt;&lt;secondary-title&gt;&lt;style face="normal" font="default" charset="178</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size="100%</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style&gt;&lt;/secondary-title&gt;&lt;/titles&gt;&lt;periodical&gt;&lt;full-title</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full-title&gt;&lt;/periodical&gt;&lt;dates&gt;&lt;year&gt;&lt;style face="normal" font="default" charset="178" size="100%"&gt;2025&lt;/style&gt;&lt;/year&gt;&lt;/dates&gt;&lt;isbn&gt;2709-7064&lt;/isbn&gt;&lt;urls&gt;&lt;/urls&gt;&lt;electronic-resource-num&gt;doi.org/10.52133/ijrsp.v3.36.5&lt;/electronic-resource-num&gt;&lt;/record&gt;&lt;/Cite&gt;&lt;/EndNote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(الحمري, 2025)</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علاوة على ذلك تشمل هذه الثقافة طريقة تعامل الأفراد مع الأخطاء والحوادث، ومدى الانفتاح في التواصل حول المخاطر، وردود فعل الإدارة عند وقوع الأخطاء، بالإضافة إلى تشجيع التعلم المستمر والعمل على تحسين الأداء.</w:t>
      </w:r>
    </w:p>
    <w:p w14:paraId="45C15172" w14:textId="33B57BFE"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lastRenderedPageBreak/>
        <w:t>تشير المراجعات المنهجية إلى أن وجود ثقافة سلامة إيجابية مرتبط بانخفاض معدلات الأخطاء الدوائية، والعدوى المكتسبة في المستشفيات، والحوادث الضارة الأخرى، بالإضافة إلى تعزيز ثقة المرضى وتحسين جودة الرعاية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وفي المملكة العربية السعودية، كشفت الدراسات عن تفاوت في مدى قوة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بين المستشفيات، مع وجود عناصر مثل دعم الإدارة، والعمل الجماعي في الاقسام، والرد غير العقابي على الأخطاء كعوامل رئيسية في تعزيز سلامة المرضى</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 Alsahli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245E5390" w14:textId="2556B979"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وتظهر نتائج عدد من الدراسات التطبيقية أن ثقافة سلامة إيجابية تمثل حلقة وصل أساسية بين الأساليب القيادية وسلوكيات العاملين ونتائج المرضى، إذ تؤدي القيادة الداعمة للسلامة إلى ترسيخ قيم الانفتاح على الإبلاغ والتعلم من الأخطاء، وهو ما ينعكس بدوره في ارتفاع مستويات سلوكيات السلامة وانخفاض معدلات الأحداث الضارة داخل المستشفيات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Pr>
        <w:instrText>ADDIN EN.CITE</w:instrText>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Pr>
        <w:instrText>ADDIN EN.CITE.DATA</w:instrText>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tl/>
        </w:rPr>
      </w:r>
      <w:r w:rsidR="00BE1BA2">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00BE1BA2">
        <w:rPr>
          <w:rFonts w:ascii="Simplified Arabic" w:hAnsi="Simplified Arabic" w:cs="Simplified Arabic"/>
          <w:noProof/>
          <w:sz w:val="24"/>
          <w:szCs w:val="24"/>
          <w:rtl/>
        </w:rPr>
        <w:t>(</w:t>
      </w:r>
      <w:r w:rsidR="00BE1BA2">
        <w:rPr>
          <w:rFonts w:ascii="Simplified Arabic" w:hAnsi="Simplified Arabic" w:cs="Simplified Arabic"/>
          <w:noProof/>
          <w:sz w:val="24"/>
          <w:szCs w:val="24"/>
        </w:rPr>
        <w:t>Alrasheeday et al., 2024; Mistri et al., 2023</w:t>
      </w:r>
      <w:r w:rsidR="00BE1BA2">
        <w:rPr>
          <w:rFonts w:ascii="Simplified Arabic" w:hAnsi="Simplified Arabic" w:cs="Simplified Arabic"/>
          <w:noProof/>
          <w:sz w:val="24"/>
          <w:szCs w:val="24"/>
          <w:rtl/>
        </w:rPr>
        <w:t>; مخدوم, 2019)</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1B88A49" w14:textId="676EAA80" w:rsidR="00390B53" w:rsidRPr="00DE1F7A" w:rsidRDefault="00DE1F7A" w:rsidP="000A33FE">
      <w:pPr>
        <w:bidi/>
        <w:spacing w:before="210" w:after="0" w:line="360" w:lineRule="auto"/>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w:t>
      </w:r>
      <w:r w:rsidR="00A57EF5">
        <w:rPr>
          <w:rFonts w:ascii="Simplified Arabic" w:hAnsi="Simplified Arabic" w:cs="Simplified Arabic" w:hint="cs"/>
          <w:b/>
          <w:bCs/>
          <w:noProof/>
          <w:sz w:val="24"/>
          <w:szCs w:val="24"/>
          <w:rtl/>
        </w:rPr>
        <w:t>7.1</w:t>
      </w:r>
      <w:r w:rsidR="00390B53" w:rsidRPr="00DE1F7A">
        <w:rPr>
          <w:rFonts w:ascii="Simplified Arabic" w:hAnsi="Simplified Arabic" w:cs="Simplified Arabic"/>
          <w:b/>
          <w:bCs/>
          <w:noProof/>
          <w:sz w:val="24"/>
          <w:szCs w:val="24"/>
          <w:rtl/>
        </w:rPr>
        <w:t xml:space="preserve">أبعاد </w:t>
      </w:r>
      <w:r w:rsidR="000A33FE" w:rsidRPr="000A33FE">
        <w:rPr>
          <w:rFonts w:ascii="Simplified Arabic" w:hAnsi="Simplified Arabic" w:cs="Simplified Arabic"/>
          <w:b/>
          <w:bCs/>
          <w:noProof/>
          <w:sz w:val="24"/>
          <w:szCs w:val="24"/>
          <w:rtl/>
        </w:rPr>
        <w:t>ثقافة سلامة المرضى</w:t>
      </w:r>
      <w:r w:rsidR="00390B53" w:rsidRPr="00DE1F7A">
        <w:rPr>
          <w:rFonts w:ascii="Simplified Arabic" w:hAnsi="Simplified Arabic" w:cs="Simplified Arabic"/>
          <w:b/>
          <w:bCs/>
          <w:noProof/>
          <w:sz w:val="24"/>
          <w:szCs w:val="24"/>
          <w:rtl/>
        </w:rPr>
        <w:t xml:space="preserve"> في الدراسة الحالية</w:t>
      </w:r>
    </w:p>
    <w:p w14:paraId="2F9DFD98" w14:textId="26F8BD6C" w:rsidR="00390B53" w:rsidRPr="00DE1F7A" w:rsidRDefault="00390B53" w:rsidP="000A33FE">
      <w:pPr>
        <w:bidi/>
        <w:spacing w:before="210" w:after="0" w:line="360" w:lineRule="auto"/>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تستخدم الدراسة الحالية استبيا «ثقافة سلامة المرضى في المستشفيات» (</w:t>
      </w:r>
      <w:r w:rsidRPr="00DE1F7A">
        <w:rPr>
          <w:rFonts w:ascii="Simplified Arabic" w:hAnsi="Simplified Arabic" w:cs="Simplified Arabic"/>
          <w:noProof/>
          <w:sz w:val="24"/>
          <w:szCs w:val="24"/>
        </w:rPr>
        <w:t>HSOPSC</w:t>
      </w:r>
      <w:r w:rsidRPr="00DE1F7A">
        <w:rPr>
          <w:rFonts w:ascii="Simplified Arabic" w:hAnsi="Simplified Arabic" w:cs="Simplified Arabic"/>
          <w:noProof/>
          <w:sz w:val="24"/>
          <w:szCs w:val="24"/>
          <w:rtl/>
        </w:rPr>
        <w:t xml:space="preserve">) لقياس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مع التركيز على أربعة أبعاد رئيسة تتعلق مباشرة بالقيادة وسلوكيات السلامة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B167959"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دعم الإدارة للسلامة</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يعكس مدى التزام الإدارة العليا والمتوسطة بإعطاء الأولوية لسلامة المرضى من خلال عمليات التخطيط، إدارة الموارد، وضع السياسات، واستجابتها للمخاطر والحوادث.كما أظهرت دراسات في السعودية أن تصور العاملين لدعم الإدارة يعد من العوامل الأساسية التي تتنبأ بسلوكياتهم في الإبلاغ عن الحوادث.</w:t>
      </w:r>
    </w:p>
    <w:p w14:paraId="083A2FF7" w14:textId="5F77F694" w:rsidR="00390B53" w:rsidRPr="00DE1F7A" w:rsidRDefault="00390B53">
      <w:pPr>
        <w:numPr>
          <w:ilvl w:val="0"/>
          <w:numId w:val="8"/>
        </w:numPr>
        <w:bidi/>
        <w:spacing w:after="12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التواصل المفتوح بشأن الأخطاء</w:t>
      </w:r>
      <w:r w:rsidRPr="00DE1F7A">
        <w:rPr>
          <w:rFonts w:ascii="Simplified Arabic" w:hAnsi="Simplified Arabic" w:cs="Simplified Arabic"/>
          <w:b/>
          <w:bCs/>
          <w:noProof/>
          <w:sz w:val="24"/>
          <w:szCs w:val="24"/>
          <w:rtl/>
        </w:rPr>
        <w:br/>
      </w:r>
      <w:r w:rsidRPr="00DE1F7A">
        <w:rPr>
          <w:rFonts w:ascii="Simplified Arabic" w:hAnsi="Simplified Arabic" w:cs="Simplified Arabic"/>
          <w:noProof/>
          <w:sz w:val="24"/>
          <w:szCs w:val="24"/>
          <w:rtl/>
        </w:rPr>
        <w:t xml:space="preserve">يعكس وجود قنوات واضحة وآمنة للإبلاغ عن الأخطاء وقرب حدوثها، مع إمكانية مناقشتها دون خوف من اللوم أو العقاب غير العادل حيث يعد التواصل المفتوح مرتبطًا بزيادة تقارير الأخطاء الاحداث الجسيمة ، ويعتبر مؤشرًا على بيئة تعليمية حيوية وديناميكية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وهذا قطعا يُساهم في تعزيز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وتوجيه الممارسين الصحيين نحو تحسين جودة الرعاية الصحية</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3B4EC809"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التعلم المستمر من الحوادث</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 xml:space="preserve">يشير إلى مدى اعتماد المستشفيات في القطاع الصحي على الحوادث والأخطاء كمصادر للتعلم والتحسين، من خلال تحليل </w:t>
      </w:r>
      <w:r w:rsidRPr="00DE1F7A">
        <w:rPr>
          <w:rFonts w:ascii="Simplified Arabic" w:hAnsi="Simplified Arabic" w:cs="Simplified Arabic"/>
          <w:noProof/>
          <w:sz w:val="24"/>
          <w:szCs w:val="24"/>
          <w:rtl/>
        </w:rPr>
        <w:lastRenderedPageBreak/>
        <w:t>الأسباب الجذرية، وتنفيذ إجراءات تصحيحية، ومتابعة نتائجها ويعد هذا الجانب محورًا رئيسيًا في نماذج إدارة الجودة التي تهدف إلى تحسين سلامة المرضى .</w:t>
      </w:r>
    </w:p>
    <w:p w14:paraId="585CC8AD"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العمل الجماعي والتعاون</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يقيس مستوى الثقة والتعاون بين أعضاء الفريق في الوحدة ومع الوحدات الأخرى، بالإضافة إلى كيفية تنسيق الجهود لضمان رعاية صحية آمنة ومتسقة للمرضى كما أظهرت الدراسات أن الفرق ذات العلاقات القوية والتواصل الجيد أقل عرضة لارتكاب أخطاء خطيرة</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7A8B72A8" w14:textId="27C5575C" w:rsidR="00390B53" w:rsidRPr="00DE1F7A" w:rsidRDefault="00DE1F7A" w:rsidP="00390B53">
      <w:pPr>
        <w:bidi/>
        <w:spacing w:before="210" w:after="0" w:line="360" w:lineRule="auto"/>
        <w:rPr>
          <w:rFonts w:ascii="Simplified Arabic" w:hAnsi="Simplified Arabic" w:cs="Simplified Arabic"/>
          <w:b/>
          <w:bCs/>
          <w:noProof/>
          <w:sz w:val="24"/>
          <w:szCs w:val="24"/>
          <w:rtl/>
        </w:rPr>
      </w:pPr>
      <w:r w:rsidRPr="00DE1F7A">
        <w:rPr>
          <w:rFonts w:ascii="Simplified Arabic" w:hAnsi="Simplified Arabic" w:cs="Simplified Arabic"/>
          <w:b/>
          <w:bCs/>
          <w:noProof/>
          <w:sz w:val="24"/>
          <w:szCs w:val="24"/>
          <w:rtl/>
        </w:rPr>
        <w:t>2.</w:t>
      </w:r>
      <w:r w:rsidR="00A57EF5">
        <w:rPr>
          <w:rFonts w:ascii="Simplified Arabic" w:hAnsi="Simplified Arabic" w:cs="Simplified Arabic" w:hint="cs"/>
          <w:b/>
          <w:bCs/>
          <w:noProof/>
          <w:sz w:val="24"/>
          <w:szCs w:val="24"/>
          <w:rtl/>
        </w:rPr>
        <w:t>7.2</w:t>
      </w:r>
      <w:r w:rsidR="00390B53" w:rsidRPr="00DE1F7A">
        <w:rPr>
          <w:rFonts w:ascii="Simplified Arabic" w:hAnsi="Simplified Arabic" w:cs="Simplified Arabic"/>
          <w:b/>
          <w:bCs/>
          <w:noProof/>
          <w:sz w:val="24"/>
          <w:szCs w:val="24"/>
          <w:rtl/>
        </w:rPr>
        <w:t>سلوكيات السلامة لدى الممارسين الصحيين</w:t>
      </w:r>
    </w:p>
    <w:p w14:paraId="52BA80C1" w14:textId="2D9D658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تشير سلوكيات السلامة إلى مجموعة الأفعال والإجراءات اليومية التي يمارسها الممارسون الصحيون بهدف حماية المرضى من الأذى وتقليل احتمالية وقوع الأخطاء والحوادث داخل المستشفى، وتشمل الالتزام بالبروتوكولات الإكلينيكية المعتمدة، واتباع سياسات مكافحة العدوى، وإجراءات التحقق من هوية المرضى، وتطبيق قوائم التحقق في الإجراءات الحرجة، والإبلاغ عن الحوادث وقرب وقوعها، والمشاركة في برامج التدريب والتحسين المتعلقة بالسلامة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وتعد هذه السلوكيات تجسيدًا عمليًا لقيم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السائدة في المستشفى، إذ تعكس مدى استعداد العاملين لترجمة التوجهات التنظيمية إلى ممارسات ملموسة في بيئة العمل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Konlan &amp; Shin,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7EA5157"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يمكن التمييز بين نوعين رئيسيين من سلوكيات السلامة: الأول يتضمن السلوكيات الالتزامية التي تركز على الالتزام الصارم بالإرشادات والسياسات، مثل غسل اليدين في حسب البروتكولات المنظمة لذلك، والتحقق المزدوج من الأدوية وجرعاتها، واتباع تعليمات الوقاية من العدوى</w: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Khan et al., 2018; Shenoy, 2021</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 أما النوع الثاني فيشمل السلوكيات الاستباقية أو الإبلاغية التي تهدف إلى الكشف عن الأخطاء والمخاطر قبل أن تتسبب في حوادث ضارة، مثل الإبلاغ عن الأخطاء وقرب وقوعها، وتقديم المقترحات لتحسين الإجراءات، والمشاركة في فرق الجودة وسلامة المرضى</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&lt;EndNote&gt;&lt;Cite&gt;&lt;Author&gt;Alghamdi&lt;/Author&gt;&lt;Year&gt;2026&lt;/Year&gt;&lt;RecNum&gt;262&lt;/RecNum&gt;&lt;DisplayText&gt;(Alghamdi, 2026)&lt;/DisplayText&gt;&lt;record&gt;&lt;rec-number&gt;262&lt;/rec-number&gt;&lt;foreign-keys&gt;&lt;key app="EN" db-id="02retxxrerxdxhe9aphvs0z2t9z25p0ew99s" timestamp</w:instrText>
      </w:r>
      <w:r w:rsidRPr="00DE1F7A">
        <w:rPr>
          <w:rFonts w:ascii="Simplified Arabic" w:hAnsi="Simplified Arabic" w:cs="Simplified Arabic"/>
          <w:noProof/>
          <w:sz w:val="24"/>
          <w:szCs w:val="24"/>
          <w:rtl/>
        </w:rPr>
        <w:instrText>="1772385543"&gt;262&lt;/</w:instrText>
      </w:r>
      <w:r w:rsidRPr="00DE1F7A">
        <w:rPr>
          <w:rFonts w:ascii="Simplified Arabic" w:hAnsi="Simplified Arabic" w:cs="Simplified Arabic"/>
          <w:noProof/>
          <w:sz w:val="24"/>
          <w:szCs w:val="24"/>
        </w:rPr>
        <w:instrText>key&gt;&lt;/foreign-keys&gt;&lt;ref-type name="Journal Article"&gt;17&lt;/ref-type&gt;&lt;contributors&gt;&lt;authors&gt;&lt;author&gt;Alghamdi, S. A.&lt;/author&gt;&lt;/authors&gt;&lt;/contributors&gt;&lt;auth-address&gt;Department of Clinical Pharmacy, Faculty of Pharmacy, Al-Baha University, Al-Baha, Kingdom of Saudi Arabia.&lt;/auth-address&gt;&lt;titles&gt;&lt;title&gt;Medication Errors Reporting and Analysis: A Comparative Study for Advancing Medication Safety Practices in Ministry of Health Hospitals in Saudi Arabia&lt;/title&gt;&lt;secondary-title&gt;Saudi Med J&lt;/secondary-title&gt;&lt;/titles&gt;&lt;periodical&gt;&lt;full-title&gt;Saudi Med J&lt;/full-title&gt;&lt;/periodical&gt;&lt;pages&gt;102-113&lt;/pages&gt;&lt;volume&gt;47&lt;/volume&gt;&lt;number&gt;1&lt;/number&gt;&lt;edition&gt;2026/02/03&lt;/edition&gt;&lt;keywords&gt;&lt;keyword&gt;Saudi Arabia&lt;/keyword&gt;&lt;keyword&gt;*Medication Errors/statistics &amp;amp; numerical data/prevention &amp;amp; control&lt;/keyword&gt;&lt;keyword&gt;Humans&lt;/keyword&gt;&lt;keyword&gt;Cross-Sectional Studies&lt;/keyword&gt;&lt;keyword&gt;Retrospective Studies&lt;/keyword&gt;&lt;keyword&gt;Female&lt;/keyword&gt;&lt;keyword&gt;Male&lt;/keyword&gt;&lt;keyword&gt;Patient Safety&lt;/keyword&gt;&lt;keyword&gt;Hospitals&lt;/keyword&gt;&lt;keyword&gt;Health care policy implementation&lt;/keyword&gt;&lt;keyword&gt;Medication safety&lt;/keyword&gt;&lt;keyword&gt;Medications errors&lt;/keyword&gt;&lt;keyword&gt;Pharmacovigilance&lt;/keyword&gt;&lt;/keywords&gt;&lt;dates&gt;&lt;year&gt;2026&lt;/year&gt;&lt;pub-dates&gt;&lt;date&gt;Jan&lt;/date&gt;&lt;/pub-dates&gt;&lt;/dates&gt;&lt;isbn</w:instrText>
      </w:r>
      <w:r w:rsidRPr="00DE1F7A">
        <w:rPr>
          <w:rFonts w:ascii="Simplified Arabic" w:hAnsi="Simplified Arabic" w:cs="Simplified Arabic"/>
          <w:noProof/>
          <w:sz w:val="24"/>
          <w:szCs w:val="24"/>
          <w:rtl/>
        </w:rPr>
        <w:instrText xml:space="preserve">&gt;1658-3175 </w:instrText>
      </w:r>
      <w:r w:rsidRPr="00DE1F7A">
        <w:rPr>
          <w:rFonts w:ascii="Simplified Arabic" w:hAnsi="Simplified Arabic" w:cs="Simplified Arabic"/>
          <w:noProof/>
          <w:sz w:val="24"/>
          <w:szCs w:val="24"/>
        </w:rPr>
        <w:instrText>(Electronic)&amp;#xD;0379-5284 (Print)&amp;#xD;0379-5284 (Linking)&lt;/isbn&gt;&lt;accession-num&gt;41628962&lt;/accession-num&gt;&lt;urls&gt;&lt;related-urls&gt;&lt;url&gt;https://www.ncbi.nlm.nih.gov/pubmed/41628962&lt;/url&gt;&lt;/related-urls&gt;&lt;/urls&gt;&lt;custom2&gt;PMC12862582&lt;/custom2&gt;&lt;electronic-resource-num&gt;10.15537/smj.2026.47.1.20250755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Alghamdi, 2026</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كما بينت الدراسات أن وجود ثقافة سلامة إيجابية وداعمة يرتبط بزيادة تبني هذه السلوكيات، بينما تساهم ثقافة اللوم والخوف في تقليل مدى استعداد العاملين للإبلاغ والمبادرة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33F5FA7" w14:textId="0EE795F6"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كما تشير نتائج العديد من الدراسات إلى أن سلوكيات السلامة تشكل حلقة وسيطة مهمة بين العوامل التنظيمية والنتائج السريرية. فالقائد الذي يستخدم أسلوب القيادة التحويلية يعزز لدى العاملين شعورهم بالمسؤولية الأخلاقية ويشجعهم على التفكير النقدي والإبلاغ عن المشكلات، مما يؤدي إلى ارتفاع الالتزام بسلوكيات السلامة وخفض حدوث الأحداث الضارة</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 xml:space="preserve">Ahmed et al., 2024; Alotaibi et </w:t>
      </w:r>
      <w:r w:rsidRPr="00DE1F7A">
        <w:rPr>
          <w:rFonts w:ascii="Simplified Arabic" w:hAnsi="Simplified Arabic" w:cs="Simplified Arabic"/>
          <w:noProof/>
          <w:sz w:val="24"/>
          <w:szCs w:val="24"/>
        </w:rPr>
        <w:lastRenderedPageBreak/>
        <w:t>al., 2015; Althaibah et al.,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وبناءً على ذلك، تتناول الدراسة الحالية سلوكيات السلامة كمتغير وسيط رئيسي يربط بين القيادة التحويلية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من جهة، وبين معدل الأحداث الضارة من جهة أخرى، وذلك عن طريق قياس مدى التزام العاملين بالممارسات الأساسية المتعلقة بسلامة المرضى</w: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41457CD5" w14:textId="01D60479"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 وانطلاقًا من ما تقدم، تعتمد الدراسة الحالية على تصور سلوكيات السلامة كمظهر عملي لتأثير القيادة التحويلية وثقافة سلامة المرضى، حيث يتوقع أن تزرع القيادة التحويلية الدافعية والمسؤولية الأخلاقية نحو السلامة، في حين توفر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البيئة التنظيمية الداعمة لتبني هذه السلوكيات، مما يعكس تأثيرهما معًا في مستوى أعلى من الالتزام بالسلوكيات الوقائية والاستباقية في المستشفيات الحكومية بمنطقة الدراسة </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21D2D830" w14:textId="39B29E13" w:rsidR="00390B53" w:rsidRPr="0045254E" w:rsidRDefault="00330031" w:rsidP="00390B53">
      <w:pPr>
        <w:bidi/>
        <w:spacing w:before="210" w:after="0" w:line="360" w:lineRule="auto"/>
        <w:rPr>
          <w:rFonts w:ascii="Simplified Arabic" w:hAnsi="Simplified Arabic" w:cs="Simplified Arabic"/>
          <w:b/>
          <w:bCs/>
          <w:noProof/>
          <w:sz w:val="24"/>
          <w:szCs w:val="24"/>
          <w:rtl/>
        </w:rPr>
      </w:pPr>
      <w:r w:rsidRPr="0045254E">
        <w:rPr>
          <w:rFonts w:ascii="Simplified Arabic" w:hAnsi="Simplified Arabic" w:cs="Simplified Arabic"/>
          <w:b/>
          <w:bCs/>
          <w:noProof/>
          <w:sz w:val="24"/>
          <w:szCs w:val="24"/>
        </w:rPr>
        <w:t>2.7</w:t>
      </w:r>
      <w:r w:rsidR="00A57EF5">
        <w:rPr>
          <w:rFonts w:ascii="Simplified Arabic" w:hAnsi="Simplified Arabic" w:cs="Simplified Arabic"/>
          <w:b/>
          <w:bCs/>
          <w:noProof/>
          <w:sz w:val="24"/>
          <w:szCs w:val="24"/>
        </w:rPr>
        <w:t>.3</w:t>
      </w:r>
      <w:r w:rsidR="00390B53" w:rsidRPr="0045254E">
        <w:rPr>
          <w:rFonts w:ascii="Simplified Arabic" w:hAnsi="Simplified Arabic" w:cs="Simplified Arabic"/>
          <w:b/>
          <w:bCs/>
          <w:noProof/>
          <w:sz w:val="24"/>
          <w:szCs w:val="24"/>
        </w:rPr>
        <w:t xml:space="preserve"> </w:t>
      </w:r>
      <w:r w:rsidR="00390B53" w:rsidRPr="0045254E">
        <w:rPr>
          <w:rFonts w:ascii="Simplified Arabic" w:hAnsi="Simplified Arabic" w:cs="Simplified Arabic"/>
          <w:b/>
          <w:bCs/>
          <w:noProof/>
          <w:sz w:val="24"/>
          <w:szCs w:val="24"/>
          <w:rtl/>
        </w:rPr>
        <w:t>الأحداث الضارة في المستشفيات</w:t>
      </w:r>
    </w:p>
    <w:p w14:paraId="30BC76FD"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تعرف الأحداث الضارة في المستشفيات بأنها نتائج سلبية غير متعمدة يتعرض لها المريض أثناء تلقيه الرعاية الصحية، ولا تعود عادةً للمرض أو الحالة الأساسية، وإنما ترتبط بعوامل يمكن تجنبها داخل النظام الصحي</w:t>
      </w:r>
      <w:r w:rsidRPr="0045254E">
        <w:rPr>
          <w:rFonts w:ascii="Simplified Arabic" w:hAnsi="Simplified Arabic" w:cs="Simplified Arabic"/>
          <w:noProof/>
          <w:sz w:val="24"/>
          <w:szCs w:val="24"/>
          <w:rtl/>
        </w:rPr>
        <w:fldChar w:fldCharType="begin"/>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Pr="0045254E">
        <w:rPr>
          <w:rFonts w:ascii="Simplified Arabic" w:hAnsi="Simplified Arabic" w:cs="Simplified Arabic"/>
          <w:noProof/>
          <w:sz w:val="24"/>
          <w:szCs w:val="24"/>
          <w:rtl/>
        </w:rPr>
        <w:instrText>&gt;</w:instrText>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Hussain &amp; Khayat,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.تشمل هذه الأحداث مجموعة واسعة من الأضرار، مثل الأخطاء الدوائية التي تؤدي إلى مضاعفات سريرية، والعدوى التي يتم اكتسابها داخل المستشفى، وحالات السقوط، والمضاعفات الناتجة عن الإجراءات التشخيصية أو الجراحية، بالإضافة إلى زيادة مدة الإقامة أو الحاجة لإعادة التنويم، وربما الوفاة في الحالات الحرجة</w: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Almalki et al.,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تعتبر معدلات الأحداث الضارة من المؤشرات الأساسية التي تعكس مستوى سلامة المرضى وجودة الرعاية الصحية المقدمة .</w:t>
      </w:r>
    </w:p>
    <w:p w14:paraId="492DA1AD"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ورغم أهمية السجلات الرسمية للحوادث كوسيلة لرصد وتحليل هذه الأحداث، تشير تقارير وطنية ودولية إلى أن ما يوثق من أحداث ضارة لا يعكس دائماً الحجم الحقيقي للمشكلة. قد تؤدي عوامل مثل الخوف من اللوم أو المساءلة، وضعف ثقافة الإبلاغ، وتباين نظم التوثيق بين المؤسسات، إلى تقليل معدلات الإبلاغ عن الحوادث أو تأخير الإبلاغ عنها</w: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Alahmadi et al., 2022; Alghamdi, 2026</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أظهرت بعض الدراسات توجهًا للاعتماد على مؤشرات ذاتية أو إدراكية، مثل تصورات العاملين حول تكرار الحوادث، وفاعلية الإجراءات المتخذة للحد من المخاطر، ومستوى التحسن في سلامة المرضى على مر الزمن</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76A0348C" w14:textId="7E46A195" w:rsidR="00390B53" w:rsidRPr="0045254E" w:rsidRDefault="00390B53" w:rsidP="000A33FE">
      <w:pPr>
        <w:bidi/>
        <w:spacing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Pr>
        <w:br/>
      </w:r>
      <w:r w:rsidRPr="0045254E">
        <w:rPr>
          <w:rFonts w:ascii="Simplified Arabic" w:hAnsi="Simplified Arabic" w:cs="Simplified Arabic"/>
          <w:noProof/>
          <w:sz w:val="24"/>
          <w:szCs w:val="24"/>
          <w:rtl/>
        </w:rPr>
        <w:t>توضح الأدبيات أن العلاقة بين العوامل التنظيمية، مثل القيادة و</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ومستوى الأحداث الضارة غالبًا ما تكون غير مباشرة، حيث تمر عبر متغيرات وسيطة، خاصة سلوكيات السلامة لدى الممارسين الصحيين</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(Mistri et al., 2023)</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،إذ إن المستشفيات التي تتوفر فيها قيادة داعمة وبيئة سلامة إيجابية تميل إلى تعزيز السلوكيات الوقائية والاستباقية، مما يقلل من احتمالية حدوث الأخطاء ويحولها إلى أحداث ضارة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45254E">
        <w:rPr>
          <w:rFonts w:ascii="Simplified Arabic" w:hAnsi="Simplified Arabic" w:cs="Simplified Arabic"/>
          <w:noProof/>
          <w:sz w:val="24"/>
          <w:szCs w:val="24"/>
        </w:rPr>
        <w:instrText xml:space="preserve"> ADDIN EN.CITE </w:instrText>
      </w:r>
      <w:r w:rsidRPr="0045254E">
        <w:rPr>
          <w:rFonts w:ascii="Simplified Arabic" w:hAnsi="Simplified Arabic" w:cs="Simplified Arabic"/>
          <w:noProof/>
          <w:sz w:val="24"/>
          <w:szCs w:val="24"/>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45254E">
        <w:rPr>
          <w:rFonts w:ascii="Simplified Arabic" w:hAnsi="Simplified Arabic" w:cs="Simplified Arabic"/>
          <w:noProof/>
          <w:sz w:val="24"/>
          <w:szCs w:val="24"/>
        </w:rPr>
        <w:instrText xml:space="preserve"> ADDIN EN.CITE.DATA </w:instrText>
      </w:r>
      <w:r w:rsidRPr="0045254E">
        <w:rPr>
          <w:rFonts w:ascii="Simplified Arabic" w:hAnsi="Simplified Arabic" w:cs="Simplified Arabic"/>
          <w:noProof/>
          <w:sz w:val="24"/>
          <w:szCs w:val="24"/>
        </w:rPr>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(Ahmed et al., 2024; Mohammed et al., 2025)</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 xml:space="preserve">بناءً على ذلك، تتبنى الدراسة الحالية مفهوم </w:t>
      </w:r>
      <w:r w:rsidRPr="0045254E">
        <w:rPr>
          <w:rFonts w:ascii="Simplified Arabic" w:hAnsi="Simplified Arabic" w:cs="Simplified Arabic"/>
          <w:noProof/>
          <w:sz w:val="24"/>
          <w:szCs w:val="24"/>
          <w:rtl/>
        </w:rPr>
        <w:lastRenderedPageBreak/>
        <w:t>«تقليل الأحداث الضارة» كمجال نهائي يعكس تأثير القيادة التحويلية، وثقافة وسلوكيات السلامة مجتمعة، ويقاس من خلال تصور العاملين حول مدى فاعلية الممارسات والإجراءات المعتمدة في تقليل تكرار الحوادث وشدتها في المستشفيات الحكومية بمنطقة الجوف في المملكة العربية السعودية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&lt;EndNote&gt;&lt;Cite&gt;&lt;Author&gt;Mohammed&lt;/Author&gt;&lt;Year&gt;2025&lt;/Year&gt;&lt;RecNum&gt;144&lt;/RecNum&gt;&lt;DisplayText&gt;(Holding, 2025; Mohammed et al., 2025)&lt;/DisplayText&gt;&lt;record&gt;&lt;rec-number&gt;144&lt;/rec-number&gt;&lt;foreign-keys&gt;&lt;key app="EN" db-id="02retxxrerxdxhe9aphvs0z2t9z25p0ew99s" timestamp="1752520849"&gt;144&lt;/key&gt;&lt;/foreign-keys&gt;&lt;ref-type name="Journal Article"&gt;17&lt;/ref-type&gt;&lt;contributors&gt;&lt;authors&gt;&lt;author&gt;Mohammed, Aba&lt;/author&gt;&lt;author&gt;Limonit, Bello&lt;/author&gt;&lt;author&gt;John, Ada&lt;/author&gt;&lt;author&gt;Bross, Mandak&lt;/author&gt;&lt;/authors&gt;&lt;/contributors&gt;&lt;titles&gt;&lt;title&gt;The Impact of Transformational Leadership on Employee Voice Behavior: A Moderated Mediation Model of Psychological Safety and Organizational Commitment&lt;/title&gt;&lt;/titles&gt;&lt;dates&gt;&lt;year&gt;2025&lt;/year&gt;&lt;/dates&gt;&lt;accession-num&gt;article&lt;/accession-num&gt;&lt;urls&gt;&lt;/urls&gt;&lt;electronic-resource-num&gt;10.5204/thesis.eprints.258274&lt;/electronic-resource-num&gt;&lt;/record&gt;&lt;/Cite&gt;&lt;Cite&gt;&lt;Author&gt;Holding&lt;/Author&gt;&lt;Year&gt;2025&lt;/Year&gt;&lt;RecNum&gt;218&lt;/RecNum&gt;&lt;record&gt;&lt;rec-number&gt;218&lt;/rec-number&gt;&lt;foreign-keys&gt;&lt;key app="EN" db-id="02retxxrerxdxhe9aphvs0z2t9z25p0ew99s" timestamp="1755786327"&gt;218&lt;/key&gt;&lt;/foreign-keys&gt;&lt;ref-type name="Journal Article"&gt;17&lt;/ref-type&gt;&lt;contributors&gt;&lt;authors&gt;&lt;author&gt;Health Holding&lt;/author&gt;&lt;/authors&gt;&lt;/contributors&gt;&lt;titles&gt;&lt;title&gt;Al Jouf Health Cluster&lt;/title&gt;&lt;/titles&gt;&lt;dates&gt;&lt;year&gt;2025&lt;/year&gt;&lt;/dates&gt;&lt;urls&gt;&lt;/urls&gt;&lt;electronic-resource-num&gt;https://www.health.sa/ar/clusters/al-jouf_health_cluster&lt;/electronic-resource-num&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(Holding, 2025; Mohammed et al., 2025)</w:t>
      </w:r>
      <w:r w:rsidRPr="0045254E">
        <w:rPr>
          <w:rFonts w:ascii="Simplified Arabic" w:hAnsi="Simplified Arabic" w:cs="Simplified Arabic"/>
          <w:noProof/>
          <w:sz w:val="24"/>
          <w:szCs w:val="24"/>
        </w:rPr>
        <w:fldChar w:fldCharType="end"/>
      </w:r>
    </w:p>
    <w:p w14:paraId="7B0CE2BB"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وبالنظر إلى التحديات المرتبطة بالاعتماد الحصري على السجلات الرسمية للحوادث، تتجه الدراسة الحالية لقياس الأحداث الضارة من منظور إدراكي يراه الممارسون الصحيون، بوصفه مؤشرًا يعكس التجربة الفعلية للعاملين في بيئة العمل اليومية. كما يعتبر هذا المتغير المخرج النهائي للنموذج السببي المقترح، حيث يتوقع أن تساهم القيادة التحويلية في تعزيز ثقافة سلامة إيجابية ورفع سلوكيات السلامة، مما يقلل من تكرار وشدة الأحداث كما يدركها العاملون في المستشفيات الحكومية بمنطقة الجوف.</w:t>
      </w:r>
    </w:p>
    <w:p w14:paraId="38631426" w14:textId="1C89BCBD" w:rsidR="00390B53" w:rsidRPr="0045254E" w:rsidRDefault="0045254E" w:rsidP="00390B53">
      <w:pPr>
        <w:bidi/>
        <w:spacing w:before="210" w:after="0" w:line="360" w:lineRule="auto"/>
        <w:jc w:val="both"/>
        <w:rPr>
          <w:rFonts w:ascii="Simplified Arabic" w:hAnsi="Simplified Arabic" w:cs="Simplified Arabic"/>
          <w:b/>
          <w:bCs/>
          <w:noProof/>
          <w:sz w:val="24"/>
          <w:szCs w:val="24"/>
        </w:rPr>
      </w:pPr>
      <w:r w:rsidRPr="0045254E">
        <w:rPr>
          <w:rFonts w:ascii="Simplified Arabic" w:hAnsi="Simplified Arabic" w:cs="Simplified Arabic"/>
          <w:b/>
          <w:bCs/>
          <w:noProof/>
          <w:sz w:val="24"/>
          <w:szCs w:val="24"/>
        </w:rPr>
        <w:t>2.8</w:t>
      </w:r>
      <w:r w:rsidR="00390B53" w:rsidRPr="0045254E">
        <w:rPr>
          <w:rFonts w:ascii="Simplified Arabic" w:hAnsi="Simplified Arabic" w:cs="Simplified Arabic"/>
          <w:b/>
          <w:bCs/>
          <w:noProof/>
          <w:sz w:val="24"/>
          <w:szCs w:val="24"/>
        </w:rPr>
        <w:t xml:space="preserve"> </w:t>
      </w:r>
      <w:r w:rsidR="00390B53" w:rsidRPr="0045254E">
        <w:rPr>
          <w:rFonts w:ascii="Simplified Arabic" w:hAnsi="Simplified Arabic" w:cs="Simplified Arabic"/>
          <w:b/>
          <w:bCs/>
          <w:noProof/>
          <w:sz w:val="24"/>
          <w:szCs w:val="24"/>
          <w:rtl/>
        </w:rPr>
        <w:t>النموذج النظري للدراسة</w:t>
      </w:r>
      <w:r w:rsidR="00390B53" w:rsidRPr="0045254E">
        <w:rPr>
          <w:rFonts w:ascii="Simplified Arabic" w:hAnsi="Simplified Arabic" w:cs="Simplified Arabic"/>
          <w:b/>
          <w:bCs/>
          <w:noProof/>
          <w:sz w:val="24"/>
          <w:szCs w:val="24"/>
        </w:rPr>
        <w:t xml:space="preserve"> (TL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SC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SB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AE)</w:t>
      </w:r>
    </w:p>
    <w:p w14:paraId="32B50FC5" w14:textId="77777777" w:rsidR="001E525F" w:rsidRPr="0045254E" w:rsidRDefault="00390B53" w:rsidP="00154D4E">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يعتمد الأساس النظري للدراسة الحالية على دمج عدة أطر ونماذج معروفة في مجالات القيادة والتنظيم وسلامة المرضى. في مجال القيادة، يعتبر نموذج القيادة التحويلية، الذي وضعه باس وأفوليو، من النماذج الأكثر استخدامًا لشرح كيف يؤثر القائد في أتباعه عبر أربعة أبعاد رئيسية: التأثير المثالي، والتحفيز الملهم، والاستثارة الفكرية، والاعتبار الفردي (</w:t>
      </w:r>
      <w:r w:rsidRPr="0045254E">
        <w:rPr>
          <w:rFonts w:ascii="Simplified Arabic" w:hAnsi="Simplified Arabic" w:cs="Simplified Arabic"/>
          <w:noProof/>
          <w:sz w:val="24"/>
          <w:szCs w:val="24"/>
        </w:rPr>
        <w:t>Bass &amp; Avolio</w:t>
      </w:r>
      <w:r w:rsidRPr="0045254E">
        <w:rPr>
          <w:rFonts w:ascii="Simplified Arabic" w:hAnsi="Simplified Arabic" w:cs="Simplified Arabic"/>
          <w:noProof/>
          <w:sz w:val="24"/>
          <w:szCs w:val="24"/>
          <w:rtl/>
        </w:rPr>
        <w:t>، 1996). وتشير الدراسات إلى أن هذه الأبعاد تساعد في غرس قيم تنظيمية إيجابية، وتعزيز الالتزام، وتحفيز المبادرة والتفكير النقدي بين الموظفين، مما يجعل القيادة التحويلية إطارًا ملائمًا لدراسة العوامل القيادية التي تؤثر على سلامة المرضى (</w:t>
      </w:r>
      <w:r w:rsidRPr="0045254E">
        <w:rPr>
          <w:rFonts w:ascii="Simplified Arabic" w:hAnsi="Simplified Arabic" w:cs="Simplified Arabic"/>
          <w:noProof/>
          <w:sz w:val="24"/>
          <w:szCs w:val="24"/>
        </w:rPr>
        <w:t>Ahmed et al., 2024</w:t>
      </w:r>
      <w:r w:rsidRPr="0045254E">
        <w:rPr>
          <w:rFonts w:ascii="Simplified Arabic" w:hAnsi="Simplified Arabic" w:cs="Simplified Arabic"/>
          <w:noProof/>
          <w:sz w:val="24"/>
          <w:szCs w:val="24"/>
          <w:rtl/>
        </w:rPr>
        <w:t xml:space="preserve">؛ </w:t>
      </w:r>
      <w:r w:rsidRPr="0045254E">
        <w:rPr>
          <w:rFonts w:ascii="Simplified Arabic" w:hAnsi="Simplified Arabic" w:cs="Simplified Arabic"/>
          <w:noProof/>
          <w:sz w:val="24"/>
          <w:szCs w:val="24"/>
        </w:rPr>
        <w:t>Althaibah et al., 2022</w:t>
      </w:r>
      <w:r w:rsidRPr="0045254E">
        <w:rPr>
          <w:rFonts w:ascii="Simplified Arabic" w:hAnsi="Simplified Arabic" w:cs="Simplified Arabic"/>
          <w:noProof/>
          <w:sz w:val="24"/>
          <w:szCs w:val="24"/>
          <w:rtl/>
        </w:rPr>
        <w:t xml:space="preserve">؛ </w:t>
      </w:r>
      <w:r w:rsidRPr="0045254E">
        <w:rPr>
          <w:rFonts w:ascii="Simplified Arabic" w:hAnsi="Simplified Arabic" w:cs="Simplified Arabic"/>
          <w:noProof/>
          <w:sz w:val="24"/>
          <w:szCs w:val="24"/>
        </w:rPr>
        <w:t>Amal Ali Almuntasheri</w:t>
      </w:r>
      <w:r w:rsidRPr="0045254E">
        <w:rPr>
          <w:rFonts w:ascii="Simplified Arabic" w:hAnsi="Simplified Arabic" w:cs="Simplified Arabic"/>
          <w:noProof/>
          <w:sz w:val="24"/>
          <w:szCs w:val="24"/>
          <w:rtl/>
        </w:rPr>
        <w:t>، 2022).</w:t>
      </w:r>
    </w:p>
    <w:p w14:paraId="078050B9" w14:textId="1033F8E6" w:rsidR="00390B53" w:rsidRPr="0045254E" w:rsidRDefault="00390B53" w:rsidP="000A33FE">
      <w:pPr>
        <w:bidi/>
        <w:spacing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Pr>
        <w:br/>
      </w:r>
      <w:r w:rsidRPr="0045254E">
        <w:rPr>
          <w:rFonts w:ascii="Simplified Arabic" w:hAnsi="Simplified Arabic" w:cs="Simplified Arabic"/>
          <w:noProof/>
          <w:sz w:val="24"/>
          <w:szCs w:val="24"/>
          <w:rtl/>
        </w:rPr>
        <w:t>في مجال سلامة المرضى، يعتبر استبيان ثقافة سلامة المرضى في المستشفيات</w:t>
      </w:r>
      <w:r w:rsidRPr="0045254E">
        <w:rPr>
          <w:rFonts w:ascii="Simplified Arabic" w:hAnsi="Simplified Arabic" w:cs="Simplified Arabic"/>
          <w:noProof/>
          <w:sz w:val="24"/>
          <w:szCs w:val="24"/>
        </w:rPr>
        <w:t xml:space="preserve"> (HSOPSC) </w:t>
      </w:r>
      <w:r w:rsidRPr="0045254E">
        <w:rPr>
          <w:rFonts w:ascii="Simplified Arabic" w:hAnsi="Simplified Arabic" w:cs="Simplified Arabic"/>
          <w:noProof/>
          <w:sz w:val="24"/>
          <w:szCs w:val="24"/>
          <w:rtl/>
        </w:rPr>
        <w:t xml:space="preserve">أداة قياسية لقياس مختلف جوانب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داخل المؤسسات الصحية، مثل دعم الإدارة، والعمل الجماعي، والتعلم من الأخطاء، والاستجابة غير العقابية للحوادث، والتواصل المفتوح بشأن الأخطاء</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&lt;EndNote&gt;&lt;Cite&gt;&lt;Author&gt;Pai&lt;/Author&gt;&lt;Year&gt;2024&lt;/Year&gt;&lt;RecNum&gt;261&lt;/RecNum&gt;&lt;DisplayText&gt;(Pai et al., 2024)&lt;/DisplayText&gt;&lt;record&gt;&lt;rec-number&gt;261&lt;/rec-number&gt;&lt;foreign-keys&gt;&lt;key app="EN" db-id="02retxxrerxdxhe9aphvs0z2t9z25p0ew99s" timestamp="1772383789"&gt;261&lt;/key&gt;&lt;/foreign-keys&gt;&lt;ref-type name="Journal Article"&gt;17&lt;/ref-type&gt;&lt;contributors&gt;&lt;authors&gt;&lt;author&gt;Pai, Reifanli M.&lt;/author&gt;&lt;author&gt;Wahongan, Greta J. P.&lt;/author&gt;&lt;author&gt;Manampiring, Aaltje Ellen&lt;/author&gt;&lt;/authors&gt;&lt;/contributors&gt;&lt;titles&gt;&lt;title&gt;ANALISIS PERAN TENAGA KESEHATAN DI RS BUDI SETIA LANGOWAN TAHUN 2023 BERDASARKAN HOSPITAL SURVEY ON PATIENT SAFETY CULTURE (HSOPSC)&lt;/title&gt;&lt;secondary-title&gt;PREPOTIF : JURNAL KESEHATAN MASYARAKAT&lt;/secondary-title&gt;&lt;/titles&gt;&lt;periodical&gt;&lt;full-title&gt;PREPOTIF : JURNAL KESEHATAN MASYARAKAT&lt;/full-title&gt;&lt;/periodical&gt;&lt;dates&gt;&lt;year&gt;2024&lt;/year&gt;&lt;/dates&gt;&lt;urls&gt;&lt;/urls&gt;&lt;/record&gt;&lt;/Cite&gt;&lt;/EndNote&gt;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(Pai et al., 2024)</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تفترض النماذج التنظيمية أن هذه الأبعاد تشكل البيئة التي يحتضن فيها السلوكيات اليومية للسلامة لموظفي الرعاية الصحية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Korea.&lt;/auth-address&gt;&lt;titles&gt;&lt;title&gt;The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(Konlan &amp; Shin, 2022)</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 xml:space="preserve">بناءً على ذلك، تعتمد الدراسة الحالية على فرضية تقول إن القيادة التحويلية تؤثر على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وأن هذه الثقافة تؤثر بدورها على سلوكيات السلامة لدى العاملين، مما يساهم في تقليل الأحداث الضارة.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 xml:space="preserve">ومن ثم، يتم الاعتماد على مسار وساطة متسلسل يربط بين القيادة التحويلية،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سلوكيات السلامة، وتقليل الأحداث الضارة، باستخدام نمذجة المعادلات الهيكلية كنموذج منهجي لاختبار قوة المسارات المباشرة وغير المباشرة ضمن السياق السعودي للمستشفيات الحكومية</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&lt;EndNote&gt;&lt;Cite&gt;&lt;Author&gt;Kline&lt;/Author&gt;&lt;Year&gt;2023&lt;/Year&gt;&lt;RecNum&gt;258&lt;/RecNum&gt;&lt;DisplayText&gt;(Kline, 2023)&lt;/DisplayText&gt;&lt;record&gt;&lt;rec-number&gt;258&lt;/rec-number&gt;&lt;foreign-keys&gt;&lt;key app="EN" db-id="02retxxrerxdxhe9aphvs0z2t9z25p0ew99s" timestamp="1765544823"&gt;258&lt;/key&gt;&lt;/foreign-keys&gt;&lt;ref-type name="Book"&gt;6&lt;/ref-type&gt;&lt;contributors&gt;&lt;authors&gt;&lt;author&gt;Kline, Rex B&lt;/author&gt;&lt;/authors&gt;&lt;/contributors&gt;&lt;titles&gt;&lt;title&gt;Principles and practice of structural equation modeling&lt;/title&gt;&lt;/titles&gt;&lt;dates&gt;&lt;year&gt;2023&lt;/year&gt;&lt;/dates&gt;&lt;publisher&gt;Guilford publications&lt;/publisher&gt;&lt;isbn&gt;1462551912&lt;/isbn&gt;&lt;urls&gt;&lt;/urls&gt;&lt;/record&gt;&lt;/Cite&gt;&lt;/EndNote&gt;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(Kline, 2023)</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 xml:space="preserve"> </w:t>
      </w:r>
    </w:p>
    <w:p w14:paraId="60A57DBB" w14:textId="77777777" w:rsidR="00390B53" w:rsidRPr="0045254E" w:rsidRDefault="00390B53" w:rsidP="00390B53">
      <w:pPr>
        <w:bidi/>
        <w:spacing w:before="210" w:after="0" w:line="360" w:lineRule="auto"/>
        <w:rPr>
          <w:rFonts w:ascii="Simplified Arabic" w:hAnsi="Simplified Arabic" w:cs="Simplified Arabic"/>
          <w:noProof/>
          <w:sz w:val="24"/>
          <w:szCs w:val="24"/>
          <w:rtl/>
        </w:rPr>
      </w:pPr>
      <w:r w:rsidRPr="0045254E">
        <w:rPr>
          <w:rFonts w:ascii="Simplified Arabic" w:hAnsi="Simplified Arabic" w:cs="Simplified Arabic"/>
          <w:noProof/>
          <w:sz w:val="24"/>
          <w:szCs w:val="24"/>
          <w:rtl/>
        </w:rPr>
        <w:t>يمكن تمثيل هذا التسلسل في المسار السببي الآتي</w:t>
      </w:r>
      <w:r w:rsidRPr="0045254E">
        <w:rPr>
          <w:rFonts w:ascii="Simplified Arabic" w:hAnsi="Simplified Arabic" w:cs="Simplified Arabic"/>
          <w:noProof/>
          <w:sz w:val="24"/>
          <w:szCs w:val="24"/>
        </w:rPr>
        <w:t>:</w:t>
      </w:r>
    </w:p>
    <w:p w14:paraId="47D5556F" w14:textId="4C10A4DF" w:rsidR="00390B53" w:rsidRPr="0045254E" w:rsidRDefault="00390B53" w:rsidP="00390B53">
      <w:pPr>
        <w:bidi/>
        <w:spacing w:before="210" w:after="0" w:line="360" w:lineRule="auto"/>
        <w:rPr>
          <w:rFonts w:ascii="Simplified Arabic" w:hAnsi="Simplified Arabic" w:cs="Simplified Arabic"/>
          <w:noProof/>
          <w:sz w:val="24"/>
          <w:szCs w:val="24"/>
          <w:rtl/>
        </w:rPr>
      </w:pPr>
      <m:oMathPara>
        <m:oMath>
          <m:r>
            <w:rPr>
              <w:rFonts w:ascii="Cambria Math" w:hAnsi="Cambria Math" w:cs="Simplified Arabic"/>
              <w:noProof/>
              <w:sz w:val="24"/>
              <w:szCs w:val="24"/>
            </w:rPr>
            <w:lastRenderedPageBreak/>
            <m:t>TL→SC→SB→AE</m:t>
          </m:r>
        </m:oMath>
      </m:oMathPara>
    </w:p>
    <w:p w14:paraId="5E3B6FBE"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تدعم الأدبيات هذا المسار من خلال عدة أدلة:</w:t>
      </w:r>
    </w:p>
    <w:p w14:paraId="293AC5DC" w14:textId="6CC3C621" w:rsidR="00390B53" w:rsidRPr="0045254E" w:rsidRDefault="00390B53" w:rsidP="000A33FE">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1. إثبات وجود علاقة إيجابية بين القيادة التحويلية و</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في سياقات صحية مختلفة، بما في ذلك المستشفيات السعودية</w: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Ahmed et al., 2024; Alotaibi et al., 2015; Althaibah et al., 2022</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4EC549BC" w14:textId="2AFD7444" w:rsidR="00390B53" w:rsidRPr="0045254E" w:rsidRDefault="00390B53" w:rsidP="000A33FE">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 xml:space="preserve">2. يوثّق كيف تؤثر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على سلوكيات السلامة، خاصة في مجالات تبليغ الحوادث والالتزام بالبروتوكولات الوقائية</w:t>
      </w:r>
      <w:r w:rsidRPr="0045254E">
        <w:rPr>
          <w:rFonts w:ascii="Simplified Arabic" w:hAnsi="Simplified Arabic" w:cs="Simplified Arabic"/>
          <w:noProof/>
          <w:sz w:val="24"/>
          <w:szCs w:val="24"/>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Alsaedi et al., 2024; Mohammed et al., 2025</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01AA8FB6"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3. إبراز أهمية سلوكيات السلامة في تفسير الاختلافات في معدلات الأحداث الضارة والجودة السريرية من خلال دراسات تعتمد على نماذج سببية متقدمة</w:t>
      </w:r>
      <w:r w:rsidRPr="0045254E">
        <w:rPr>
          <w:rFonts w:ascii="Simplified Arabic" w:hAnsi="Simplified Arabic" w:cs="Simplified Arabic"/>
          <w:noProof/>
          <w:sz w:val="24"/>
          <w:szCs w:val="24"/>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Konlan &amp; Shin, 2022; Mistri et al., 2023</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0757E780" w14:textId="614E4D28" w:rsidR="00390B53" w:rsidRPr="0045254E" w:rsidRDefault="00390B53" w:rsidP="000A33FE">
      <w:pPr>
        <w:bidi/>
        <w:spacing w:before="210" w:after="0" w:line="360" w:lineRule="auto"/>
        <w:jc w:val="both"/>
        <w:rPr>
          <w:rFonts w:ascii="Simplified Arabic" w:hAnsi="Simplified Arabic" w:cs="Simplified Arabic"/>
          <w:noProof/>
          <w:sz w:val="24"/>
          <w:szCs w:val="24"/>
        </w:rPr>
      </w:pPr>
      <w:r w:rsidRPr="0045254E">
        <w:rPr>
          <w:rFonts w:ascii="Simplified Arabic" w:hAnsi="Simplified Arabic" w:cs="Simplified Arabic"/>
          <w:noProof/>
          <w:sz w:val="24"/>
          <w:szCs w:val="24"/>
          <w:rtl/>
        </w:rPr>
        <w:t xml:space="preserve">تعد الدراسة الحالية، من خلال تطبيق نموذج المعادلات الهيكلية على هذا المسار المتسلسل، محاولة لمعالجة الفجوة المنهجية المرتبطة بعدم وجود نماذج متكاملة تربط بين القيادة التحويلية،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سلوكيات السلامة، وتقليل الحوادث الضارة في السياق السعودي، خاصة في منطقة الجوف </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5258DDB0" w14:textId="491B3213"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bookmarkStart w:id="1" w:name="bm_4_2_الفجوة_المنهجية_والسياقية"/>
      <w:r w:rsidRPr="0045254E">
        <w:rPr>
          <w:rFonts w:ascii="Simplified Arabic" w:eastAsia="Georgia" w:hAnsi="Simplified Arabic" w:cs="Simplified Arabic"/>
          <w:b/>
          <w:bCs/>
          <w:color w:val="000000"/>
          <w:sz w:val="24"/>
          <w:szCs w:val="24"/>
          <w:rtl/>
        </w:rPr>
        <w:t>2.9</w:t>
      </w:r>
      <w:r w:rsidR="00390B53" w:rsidRPr="0045254E">
        <w:rPr>
          <w:rFonts w:ascii="Simplified Arabic" w:eastAsia="Georgia" w:hAnsi="Simplified Arabic" w:cs="Simplified Arabic"/>
          <w:b/>
          <w:bCs/>
          <w:color w:val="000000"/>
          <w:sz w:val="24"/>
          <w:szCs w:val="24"/>
          <w:rtl/>
        </w:rPr>
        <w:t xml:space="preserve"> الدراسات السابقة</w:t>
      </w:r>
    </w:p>
    <w:p w14:paraId="363D7EA6" w14:textId="23AA07E0"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r w:rsidRPr="0045254E">
        <w:rPr>
          <w:rFonts w:ascii="Simplified Arabic" w:eastAsia="Georgia" w:hAnsi="Simplified Arabic" w:cs="Simplified Arabic"/>
          <w:b/>
          <w:bCs/>
          <w:color w:val="000000"/>
          <w:sz w:val="24"/>
          <w:szCs w:val="24"/>
          <w:rtl/>
        </w:rPr>
        <w:t>2.9.1</w:t>
      </w:r>
      <w:r w:rsidR="00390B53" w:rsidRPr="0045254E">
        <w:rPr>
          <w:rFonts w:ascii="Simplified Arabic" w:eastAsia="Georgia" w:hAnsi="Simplified Arabic" w:cs="Simplified Arabic"/>
          <w:b/>
          <w:bCs/>
          <w:color w:val="000000"/>
          <w:sz w:val="24"/>
          <w:szCs w:val="24"/>
        </w:rPr>
        <w:t xml:space="preserve"> </w:t>
      </w:r>
      <w:r w:rsidR="00390B53" w:rsidRPr="0045254E">
        <w:rPr>
          <w:rFonts w:ascii="Simplified Arabic" w:eastAsia="Georgia" w:hAnsi="Simplified Arabic" w:cs="Simplified Arabic"/>
          <w:b/>
          <w:bCs/>
          <w:color w:val="000000"/>
          <w:sz w:val="24"/>
          <w:szCs w:val="24"/>
          <w:rtl/>
        </w:rPr>
        <w:t>مدخل عام إلى الدراسات السابقة</w:t>
      </w:r>
    </w:p>
    <w:p w14:paraId="7AAFA2B0" w14:textId="1E11CED2" w:rsidR="00E440AB" w:rsidRPr="00E440AB" w:rsidRDefault="00E440AB" w:rsidP="00E440AB">
      <w:pPr>
        <w:bidi/>
        <w:spacing w:before="315" w:after="105" w:line="360" w:lineRule="auto"/>
        <w:ind w:left="-30"/>
        <w:jc w:val="both"/>
        <w:rPr>
          <w:rFonts w:ascii="Simplified Arabic" w:eastAsia="Georgia" w:hAnsi="Simplified Arabic" w:cs="Simplified Arabic" w:hint="cs"/>
          <w:b/>
          <w:color w:val="000000"/>
          <w:sz w:val="24"/>
          <w:szCs w:val="24"/>
          <w:rtl/>
        </w:rPr>
      </w:pPr>
      <w:r w:rsidRPr="00E440AB">
        <w:rPr>
          <w:rFonts w:ascii="Simplified Arabic" w:eastAsia="Georgia" w:hAnsi="Simplified Arabic" w:cs="Simplified Arabic"/>
          <w:b/>
          <w:color w:val="000000"/>
          <w:sz w:val="24"/>
          <w:szCs w:val="24"/>
          <w:rtl/>
        </w:rPr>
        <w:t xml:space="preserve">اعتمدت مراجعة الدراسات السابقة في هذا الفصل على المنهجية الموصوفة في القسم (2.2) من حيث قواعد </w:t>
      </w:r>
      <w:r w:rsidRPr="00E440AB">
        <w:rPr>
          <w:rFonts w:ascii="Simplified Arabic" w:eastAsia="Georgia" w:hAnsi="Simplified Arabic" w:cs="Simplified Arabic" w:hint="cs"/>
          <w:b/>
          <w:color w:val="000000"/>
          <w:sz w:val="24"/>
          <w:szCs w:val="24"/>
          <w:rtl/>
        </w:rPr>
        <w:t>البيانات،</w:t>
      </w:r>
      <w:r w:rsidRPr="00E440AB">
        <w:rPr>
          <w:rFonts w:ascii="Simplified Arabic" w:eastAsia="Georgia" w:hAnsi="Simplified Arabic" w:cs="Simplified Arabic"/>
          <w:b/>
          <w:color w:val="000000"/>
          <w:sz w:val="24"/>
          <w:szCs w:val="24"/>
          <w:rtl/>
        </w:rPr>
        <w:t xml:space="preserve"> </w:t>
      </w:r>
      <w:r w:rsidRPr="00E440AB">
        <w:rPr>
          <w:rFonts w:ascii="Simplified Arabic" w:eastAsia="Georgia" w:hAnsi="Simplified Arabic" w:cs="Simplified Arabic" w:hint="cs"/>
          <w:b/>
          <w:color w:val="000000"/>
          <w:sz w:val="24"/>
          <w:szCs w:val="24"/>
          <w:rtl/>
        </w:rPr>
        <w:t xml:space="preserve">والفترة </w:t>
      </w:r>
      <w:r w:rsidR="00A77E5E" w:rsidRPr="00E440AB">
        <w:rPr>
          <w:rFonts w:ascii="Simplified Arabic" w:eastAsia="Georgia" w:hAnsi="Simplified Arabic" w:cs="Simplified Arabic" w:hint="cs"/>
          <w:b/>
          <w:color w:val="000000"/>
          <w:sz w:val="24"/>
          <w:szCs w:val="24"/>
          <w:rtl/>
        </w:rPr>
        <w:t xml:space="preserve">الزمنية، </w:t>
      </w:r>
      <w:proofErr w:type="gramStart"/>
      <w:r w:rsidR="00A77E5E" w:rsidRPr="00E440AB">
        <w:rPr>
          <w:rFonts w:ascii="Simplified Arabic" w:eastAsia="Georgia" w:hAnsi="Simplified Arabic" w:cs="Simplified Arabic" w:hint="cs"/>
          <w:b/>
          <w:color w:val="000000"/>
          <w:sz w:val="24"/>
          <w:szCs w:val="24"/>
          <w:rtl/>
        </w:rPr>
        <w:t>ومعايير</w:t>
      </w:r>
      <w:r w:rsidRPr="00E440AB">
        <w:rPr>
          <w:rFonts w:ascii="Simplified Arabic" w:eastAsia="Georgia" w:hAnsi="Simplified Arabic" w:cs="Simplified Arabic"/>
          <w:b/>
          <w:color w:val="000000"/>
          <w:sz w:val="24"/>
          <w:szCs w:val="24"/>
          <w:rtl/>
        </w:rPr>
        <w:t xml:space="preserve"> الإدراج </w:t>
      </w:r>
      <w:proofErr w:type="gramEnd"/>
      <w:r w:rsidRPr="00E440AB">
        <w:rPr>
          <w:rFonts w:ascii="Simplified Arabic" w:eastAsia="Georgia" w:hAnsi="Simplified Arabic" w:cs="Simplified Arabic"/>
          <w:b/>
          <w:color w:val="000000"/>
          <w:sz w:val="24"/>
          <w:szCs w:val="24"/>
          <w:rtl/>
        </w:rPr>
        <w:t>والاستبعاد. وفيما يلي عرض تفصيلي للنتائج وفق محاور النموذج</w:t>
      </w:r>
      <w:r>
        <w:rPr>
          <w:rFonts w:ascii="Simplified Arabic" w:eastAsia="Georgia" w:hAnsi="Simplified Arabic" w:cs="Simplified Arabic" w:hint="cs"/>
          <w:b/>
          <w:color w:val="000000"/>
          <w:sz w:val="24"/>
          <w:szCs w:val="24"/>
          <w:rtl/>
        </w:rPr>
        <w:t>:</w:t>
      </w:r>
    </w:p>
    <w:p w14:paraId="60F9536D" w14:textId="71BCA254" w:rsidR="00717BD6" w:rsidRPr="00C35121" w:rsidRDefault="0045254E" w:rsidP="00717BD6">
      <w:pPr>
        <w:bidi/>
        <w:spacing w:before="315" w:after="105" w:line="360" w:lineRule="auto"/>
        <w:ind w:left="-30"/>
        <w:rPr>
          <w:rFonts w:ascii="Simplified Arabic" w:eastAsia="Georgia" w:hAnsi="Simplified Arabic" w:cs="Simplified Arabic"/>
          <w:b/>
          <w:bCs/>
          <w:color w:val="000000"/>
          <w:sz w:val="24"/>
          <w:szCs w:val="24"/>
        </w:rPr>
      </w:pPr>
      <w:r w:rsidRPr="00C35121">
        <w:rPr>
          <w:rFonts w:ascii="Simplified Arabic" w:eastAsia="Georgia" w:hAnsi="Simplified Arabic" w:cs="Simplified Arabic"/>
          <w:b/>
          <w:bCs/>
          <w:color w:val="000000"/>
          <w:sz w:val="24"/>
          <w:szCs w:val="24"/>
          <w:rtl/>
        </w:rPr>
        <w:t>2.9.2</w:t>
      </w:r>
      <w:r w:rsidR="00717BD6" w:rsidRPr="00C35121">
        <w:rPr>
          <w:rFonts w:ascii="Simplified Arabic" w:eastAsia="Georgia" w:hAnsi="Simplified Arabic" w:cs="Simplified Arabic"/>
          <w:b/>
          <w:bCs/>
          <w:color w:val="000000"/>
          <w:sz w:val="24"/>
          <w:szCs w:val="24"/>
          <w:rtl/>
        </w:rPr>
        <w:t xml:space="preserve">المحور الأول: العلاقة بين القيادة التحويلية وثقافة وسلامة </w:t>
      </w:r>
      <w:r w:rsidR="00CE3262">
        <w:rPr>
          <w:rFonts w:ascii="Simplified Arabic" w:eastAsia="Georgia" w:hAnsi="Simplified Arabic" w:cs="Simplified Arabic" w:hint="cs"/>
          <w:b/>
          <w:bCs/>
          <w:color w:val="000000"/>
          <w:sz w:val="24"/>
          <w:szCs w:val="24"/>
          <w:rtl/>
        </w:rPr>
        <w:t xml:space="preserve">المرضى </w:t>
      </w:r>
      <w:r w:rsidR="00CE3262" w:rsidRPr="00C35121">
        <w:rPr>
          <w:rFonts w:ascii="Simplified Arabic" w:eastAsia="Georgia" w:hAnsi="Simplified Arabic" w:cs="Simplified Arabic"/>
          <w:b/>
          <w:bCs/>
          <w:color w:val="000000"/>
          <w:sz w:val="24"/>
          <w:szCs w:val="24"/>
        </w:rPr>
        <w:t>(</w:t>
      </w:r>
      <w:r w:rsidR="00717BD6" w:rsidRPr="00C35121">
        <w:rPr>
          <w:rFonts w:ascii="Simplified Arabic" w:eastAsia="Georgia" w:hAnsi="Simplified Arabic" w:cs="Simplified Arabic"/>
          <w:b/>
          <w:bCs/>
          <w:color w:val="000000"/>
          <w:sz w:val="24"/>
          <w:szCs w:val="24"/>
        </w:rPr>
        <w:t xml:space="preserve">TL </w:t>
      </w:r>
      <w:r w:rsidR="00717BD6" w:rsidRPr="00C35121">
        <w:rPr>
          <w:rFonts w:ascii="Times New Roman" w:eastAsia="Georgia" w:hAnsi="Times New Roman" w:cs="Times New Roman"/>
          <w:b/>
          <w:bCs/>
          <w:color w:val="000000"/>
          <w:sz w:val="24"/>
          <w:szCs w:val="24"/>
        </w:rPr>
        <w:t>→</w:t>
      </w:r>
      <w:r w:rsidR="00717BD6" w:rsidRPr="00C35121">
        <w:rPr>
          <w:rFonts w:ascii="Simplified Arabic" w:eastAsia="Georgia" w:hAnsi="Simplified Arabic" w:cs="Simplified Arabic"/>
          <w:b/>
          <w:bCs/>
          <w:color w:val="000000"/>
          <w:sz w:val="24"/>
          <w:szCs w:val="24"/>
        </w:rPr>
        <w:t xml:space="preserve"> SC)</w:t>
      </w:r>
    </w:p>
    <w:p w14:paraId="58027322" w14:textId="738274A1"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sidRPr="00717BD6">
        <w:rPr>
          <w:rFonts w:ascii="Simplified Arabic" w:eastAsia="Georgia" w:hAnsi="Simplified Arabic" w:cs="Simplified Arabic"/>
          <w:b/>
          <w:bCs/>
          <w:color w:val="000000"/>
          <w:sz w:val="24"/>
          <w:szCs w:val="24"/>
        </w:rPr>
        <w:t xml:space="preserve"> </w:t>
      </w:r>
      <w:r w:rsidRPr="00717BD6">
        <w:rPr>
          <w:rFonts w:ascii="Simplified Arabic" w:eastAsia="Georgia" w:hAnsi="Simplified Arabic" w:cs="Simplified Arabic" w:hint="cs"/>
          <w:b/>
          <w:bCs/>
          <w:color w:val="000000"/>
          <w:sz w:val="24"/>
          <w:szCs w:val="24"/>
          <w:rtl/>
        </w:rPr>
        <w:t>الادعاء</w:t>
      </w:r>
      <w:r>
        <w:rPr>
          <w:rFonts w:ascii="Simplified Arabic" w:eastAsia="Georgia" w:hAnsi="Simplified Arabic" w:cs="Simplified Arabic" w:hint="cs"/>
          <w:color w:val="000000"/>
          <w:sz w:val="24"/>
          <w:szCs w:val="24"/>
          <w:rtl/>
        </w:rPr>
        <w:t>:</w:t>
      </w:r>
      <w:r>
        <w:rPr>
          <w:rFonts w:ascii="Simplified Arabic" w:eastAsia="Georgia" w:hAnsi="Simplified Arabic" w:cs="Simplified Arabic"/>
          <w:color w:val="000000"/>
          <w:sz w:val="24"/>
          <w:szCs w:val="24"/>
        </w:rPr>
        <w:t> </w:t>
      </w:r>
      <w:r>
        <w:rPr>
          <w:rFonts w:ascii="Simplified Arabic" w:eastAsia="Georgia" w:hAnsi="Simplified Arabic" w:cs="Simplified Arabic"/>
          <w:color w:val="000000"/>
          <w:sz w:val="24"/>
          <w:szCs w:val="24"/>
          <w:rtl/>
        </w:rPr>
        <w:t>تشير الدراسات النظرية والتطبيقية إلى أن القيادة التحويلية تُعد من أبرز أنماط القيادة التي تُمكن من تشكيل ثقافة تنظيمية تدعم سلامة المرضى، من خلال التأثير على قيم العاملين وتوجهاتهم وسلوكياتهم في بيئة المستشفيات</w:t>
      </w:r>
      <w:r>
        <w:rPr>
          <w:rFonts w:ascii="Simplified Arabic" w:eastAsia="Georgia" w:hAnsi="Simplified Arabic" w:cs="Simplified Arabic"/>
          <w:color w:val="000000"/>
          <w:sz w:val="24"/>
          <w:szCs w:val="24"/>
        </w:rPr>
        <w:t xml:space="preserve">. </w:t>
      </w:r>
    </w:p>
    <w:p w14:paraId="7107C6D3" w14:textId="401DD2C9" w:rsidR="00717BD6" w:rsidRPr="00717BD6" w:rsidRDefault="00717BD6" w:rsidP="00F7791D">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الدليل</w:t>
      </w:r>
      <w:r>
        <w:rPr>
          <w:rFonts w:ascii="Simplified Arabic" w:eastAsia="Georgia" w:hAnsi="Simplified Arabic" w:cs="Simplified Arabic"/>
          <w:b/>
          <w:bCs/>
          <w:color w:val="000000"/>
          <w:sz w:val="24"/>
          <w:szCs w:val="24"/>
          <w:rtl/>
        </w:rPr>
        <w:t xml:space="preserve">: </w:t>
      </w:r>
      <w:r w:rsidRPr="00717BD6">
        <w:rPr>
          <w:rFonts w:ascii="Simplified Arabic" w:eastAsia="Georgia" w:hAnsi="Simplified Arabic" w:cs="Simplified Arabic"/>
          <w:color w:val="000000"/>
          <w:sz w:val="24"/>
          <w:szCs w:val="24"/>
          <w:rtl/>
        </w:rPr>
        <w:t xml:space="preserve">من الناحية النظرية، </w:t>
      </w:r>
      <w:r w:rsidR="00F7791D" w:rsidRPr="00F7791D">
        <w:rPr>
          <w:rFonts w:ascii="Simplified Arabic" w:eastAsia="Georgia" w:hAnsi="Simplified Arabic" w:cs="Simplified Arabic"/>
          <w:color w:val="000000"/>
          <w:sz w:val="24"/>
          <w:szCs w:val="24"/>
          <w:rtl/>
        </w:rPr>
        <w:t>تؤكد الأدبيات أن القائد التحويلي يغير بيئة العمل من خلال ممارسات سلوكية متعددة؛ وقد وثّقت دراسات عديدة هذا التأثير مستعينةً بأطر قياسية متنوعة، من أبرزها</w:t>
      </w:r>
      <w:r w:rsidR="00F7791D" w:rsidRPr="00F7791D">
        <w:rPr>
          <w:rFonts w:ascii="Simplified Arabic" w:eastAsia="Georgia" w:hAnsi="Simplified Arabic" w:cs="Simplified Arabic"/>
          <w:color w:val="000000"/>
          <w:sz w:val="24"/>
          <w:szCs w:val="24"/>
        </w:rPr>
        <w:t xml:space="preserve"> MLQ (Bass &amp; Avolio, 1996) </w:t>
      </w:r>
      <w:r w:rsidR="00F7791D" w:rsidRPr="00F7791D">
        <w:rPr>
          <w:rFonts w:ascii="Simplified Arabic" w:eastAsia="Georgia" w:hAnsi="Simplified Arabic" w:cs="Simplified Arabic"/>
          <w:color w:val="000000"/>
          <w:sz w:val="24"/>
          <w:szCs w:val="24"/>
          <w:rtl/>
        </w:rPr>
        <w:t>و</w:t>
      </w:r>
      <w:r w:rsidR="00F7791D" w:rsidRPr="00F7791D">
        <w:rPr>
          <w:rFonts w:ascii="Simplified Arabic" w:eastAsia="Georgia" w:hAnsi="Simplified Arabic" w:cs="Simplified Arabic"/>
          <w:color w:val="000000"/>
          <w:sz w:val="24"/>
          <w:szCs w:val="24"/>
        </w:rPr>
        <w:t xml:space="preserve">TLI (Podsakoff et al., 1990). </w:t>
      </w:r>
      <w:r w:rsidR="00F7791D" w:rsidRPr="00F7791D">
        <w:rPr>
          <w:rFonts w:ascii="Simplified Arabic" w:eastAsia="Georgia" w:hAnsi="Simplified Arabic" w:cs="Simplified Arabic"/>
          <w:color w:val="000000"/>
          <w:sz w:val="24"/>
          <w:szCs w:val="24"/>
          <w:rtl/>
        </w:rPr>
        <w:lastRenderedPageBreak/>
        <w:t>وتعتمد الدراسة الحالية على إطار</w:t>
      </w:r>
      <w:r w:rsidR="00F7791D" w:rsidRPr="00F7791D">
        <w:rPr>
          <w:rFonts w:ascii="Simplified Arabic" w:eastAsia="Georgia" w:hAnsi="Simplified Arabic" w:cs="Simplified Arabic"/>
          <w:color w:val="000000"/>
          <w:sz w:val="24"/>
          <w:szCs w:val="24"/>
        </w:rPr>
        <w:t xml:space="preserve"> TLI </w:t>
      </w:r>
      <w:r w:rsidR="00F7791D" w:rsidRPr="00F7791D">
        <w:rPr>
          <w:rFonts w:ascii="Simplified Arabic" w:eastAsia="Georgia" w:hAnsi="Simplified Arabic" w:cs="Simplified Arabic"/>
          <w:color w:val="000000"/>
          <w:sz w:val="24"/>
          <w:szCs w:val="24"/>
          <w:rtl/>
        </w:rPr>
        <w:t>وأبعاده الستة السلوكية، لانسجامه مع طبيعة البيئة الصحية ومتطلبات التحليل التفصيلي للأبعاد القيادية</w:t>
      </w:r>
      <w:r w:rsidRPr="00717BD6">
        <w:rPr>
          <w:rFonts w:ascii="Simplified Arabic" w:eastAsia="Georgia" w:hAnsi="Simplified Arabic" w:cs="Simplified Arabic"/>
          <w:color w:val="000000"/>
          <w:sz w:val="24"/>
          <w:szCs w:val="24"/>
          <w:rtl/>
        </w:rPr>
        <w:t>.</w:t>
      </w:r>
    </w:p>
    <w:p w14:paraId="526386EF" w14:textId="71CAACBA" w:rsid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tl/>
        </w:rPr>
      </w:pPr>
      <w:r>
        <w:rPr>
          <w:rFonts w:ascii="Simplified Arabic" w:eastAsia="Georgia" w:hAnsi="Simplified Arabic" w:cs="Simplified Arabic"/>
          <w:color w:val="000000"/>
          <w:sz w:val="24"/>
          <w:szCs w:val="24"/>
          <w:rtl/>
        </w:rPr>
        <w:t xml:space="preserve">في السياق السعودي، أظهرت دراسة كمية لـ </w:t>
      </w:r>
      <w:proofErr w:type="spellStart"/>
      <w:r>
        <w:rPr>
          <w:rFonts w:ascii="Simplified Arabic" w:eastAsia="Georgia" w:hAnsi="Simplified Arabic" w:cs="Simplified Arabic"/>
          <w:color w:val="000000"/>
          <w:sz w:val="24"/>
          <w:szCs w:val="24"/>
        </w:rPr>
        <w:t>Althaibah</w:t>
      </w:r>
      <w:proofErr w:type="spellEnd"/>
      <w:r>
        <w:rPr>
          <w:rFonts w:ascii="Simplified Arabic" w:eastAsia="Georgia" w:hAnsi="Simplified Arabic" w:cs="Simplified Arabic"/>
          <w:color w:val="000000"/>
          <w:sz w:val="24"/>
          <w:szCs w:val="24"/>
        </w:rPr>
        <w:t xml:space="preserve"> et al</w:t>
      </w:r>
      <w:r>
        <w:rPr>
          <w:rFonts w:ascii="Simplified Arabic" w:eastAsia="Georgia" w:hAnsi="Simplified Arabic" w:cs="Simplified Arabic"/>
          <w:color w:val="000000"/>
          <w:sz w:val="24"/>
          <w:szCs w:val="24"/>
          <w:rtl/>
        </w:rPr>
        <w:t xml:space="preserve">. (2022) على عينة من 251 من الكوادر الصحية أن القيادة التحويلية لها علاقة مباشرة وذات دلالة إحصائية بمستوى سلامة المرضى المدرك في المستشفيات، مما يعزز فرضية أن القائد التحويلي يساهم في خلق بيئة عمل أكثر أمانًا. كما أظهرت دراسة </w:t>
      </w:r>
      <w:r>
        <w:rPr>
          <w:rFonts w:ascii="Simplified Arabic" w:eastAsia="Georgia" w:hAnsi="Simplified Arabic" w:cs="Simplified Arabic"/>
          <w:color w:val="000000"/>
          <w:sz w:val="24"/>
          <w:szCs w:val="24"/>
        </w:rPr>
        <w:t xml:space="preserve">Amal Ali </w:t>
      </w:r>
      <w:proofErr w:type="spellStart"/>
      <w:r>
        <w:rPr>
          <w:rFonts w:ascii="Simplified Arabic" w:eastAsia="Georgia" w:hAnsi="Simplified Arabic" w:cs="Simplified Arabic"/>
          <w:color w:val="000000"/>
          <w:sz w:val="24"/>
          <w:szCs w:val="24"/>
        </w:rPr>
        <w:t>Almuntasheri</w:t>
      </w:r>
      <w:proofErr w:type="spellEnd"/>
      <w:r>
        <w:rPr>
          <w:rFonts w:ascii="Simplified Arabic" w:eastAsia="Georgia" w:hAnsi="Simplified Arabic" w:cs="Simplified Arabic"/>
          <w:color w:val="000000"/>
          <w:sz w:val="24"/>
          <w:szCs w:val="24"/>
          <w:rtl/>
        </w:rPr>
        <w:t xml:space="preserve"> (2022) في أحد مستشفيات جدة أن سلوكيات القيادة الإيجابية ترتبط إيجابيًا بثقافة سلامة المرضى، كما يقيسها </w:t>
      </w:r>
      <w:proofErr w:type="gramStart"/>
      <w:r>
        <w:rPr>
          <w:rFonts w:ascii="Simplified Arabic" w:eastAsia="Georgia" w:hAnsi="Simplified Arabic" w:cs="Simplified Arabic"/>
          <w:color w:val="000000"/>
          <w:sz w:val="24"/>
          <w:szCs w:val="24"/>
          <w:rtl/>
        </w:rPr>
        <w:t>استبيان</w:t>
      </w:r>
      <w:proofErr w:type="gramEnd"/>
      <w:r>
        <w:rPr>
          <w:rFonts w:ascii="Simplified Arabic" w:eastAsia="Georgia" w:hAnsi="Simplified Arabic" w:cs="Simplified Arabic"/>
          <w:color w:val="000000"/>
          <w:sz w:val="24"/>
          <w:szCs w:val="24"/>
          <w:rtl/>
        </w:rPr>
        <w:t xml:space="preserve"> </w:t>
      </w:r>
      <w:r>
        <w:rPr>
          <w:rFonts w:ascii="Simplified Arabic" w:eastAsia="Georgia" w:hAnsi="Simplified Arabic" w:cs="Simplified Arabic"/>
          <w:color w:val="000000"/>
          <w:sz w:val="24"/>
          <w:szCs w:val="24"/>
        </w:rPr>
        <w:t>HSOPSC</w:t>
      </w:r>
      <w:r>
        <w:rPr>
          <w:rFonts w:ascii="Simplified Arabic" w:eastAsia="Georgia" w:hAnsi="Simplified Arabic" w:cs="Simplified Arabic"/>
          <w:color w:val="000000"/>
          <w:sz w:val="24"/>
          <w:szCs w:val="24"/>
          <w:rtl/>
        </w:rPr>
        <w:t>، مما يشير إلى أن نمط القيادة يعد مدخلاً رئيسًا لبناء ثقافة سلامة قوية.</w:t>
      </w:r>
    </w:p>
    <w:p w14:paraId="52DF3EDB" w14:textId="1EFC76BE" w:rsidR="00F5669C" w:rsidRPr="00717BD6" w:rsidRDefault="00F5669C" w:rsidP="00F5669C">
      <w:pPr>
        <w:bidi/>
        <w:spacing w:before="315" w:after="105" w:line="360" w:lineRule="auto"/>
        <w:ind w:left="-30"/>
        <w:jc w:val="both"/>
        <w:rPr>
          <w:rFonts w:ascii="Simplified Arabic" w:eastAsia="Georgia" w:hAnsi="Simplified Arabic" w:cs="Simplified Arabic"/>
          <w:color w:val="000000"/>
          <w:sz w:val="24"/>
          <w:szCs w:val="24"/>
          <w:rtl/>
        </w:rPr>
      </w:pPr>
      <w:r>
        <w:rPr>
          <w:rFonts w:ascii="Simplified Arabic" w:eastAsia="Georgia" w:hAnsi="Simplified Arabic" w:cs="Simplified Arabic"/>
          <w:color w:val="000000"/>
          <w:sz w:val="24"/>
          <w:szCs w:val="24"/>
          <w:rtl/>
        </w:rPr>
        <w:t xml:space="preserve">وفيما يتعلق بالدراسات التي استخدمت مقياس </w:t>
      </w:r>
      <w:r>
        <w:rPr>
          <w:rFonts w:ascii="Simplified Arabic" w:eastAsia="Georgia" w:hAnsi="Simplified Arabic" w:cs="Simplified Arabic"/>
          <w:color w:val="000000"/>
          <w:sz w:val="24"/>
          <w:szCs w:val="24"/>
        </w:rPr>
        <w:t>TLI</w:t>
      </w:r>
      <w:r>
        <w:rPr>
          <w:rFonts w:ascii="Simplified Arabic" w:eastAsia="Georgia" w:hAnsi="Simplified Arabic" w:cs="Simplified Arabic"/>
          <w:color w:val="000000"/>
          <w:sz w:val="24"/>
          <w:szCs w:val="24"/>
          <w:rtl/>
        </w:rPr>
        <w:t xml:space="preserve"> لـ </w:t>
      </w:r>
      <w:r>
        <w:rPr>
          <w:rFonts w:ascii="Simplified Arabic" w:eastAsia="Georgia" w:hAnsi="Simplified Arabic" w:cs="Simplified Arabic"/>
          <w:color w:val="000000"/>
          <w:sz w:val="24"/>
          <w:szCs w:val="24"/>
        </w:rPr>
        <w:t>Podsakoff et al</w:t>
      </w:r>
      <w:r>
        <w:rPr>
          <w:rFonts w:ascii="Simplified Arabic" w:eastAsia="Georgia" w:hAnsi="Simplified Arabic" w:cs="Simplified Arabic"/>
          <w:color w:val="000000"/>
          <w:sz w:val="24"/>
          <w:szCs w:val="24"/>
          <w:rtl/>
        </w:rPr>
        <w:t xml:space="preserve">. (1990) في المجال الصحي، أظهرت دراسة </w:t>
      </w:r>
      <w:r w:rsidR="00D55CAF">
        <w:rPr>
          <w:rFonts w:ascii="Simplified Arabic" w:eastAsia="Georgia" w:hAnsi="Simplified Arabic" w:cs="Simplified Arabic"/>
          <w:color w:val="000000"/>
          <w:sz w:val="24"/>
          <w:szCs w:val="24"/>
          <w:rtl/>
        </w:rPr>
        <w:fldChar w:fldCharType="begin"/>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ADDIN EN.CITE &lt;EndNote&gt;&lt;Cite AuthorYear="1"&gt;&lt;Author&gt;Vadi&lt;/Author&gt;&lt;Year&gt;2023&lt;/Year&gt;&lt;RecNum&gt;282&lt;/RecNum&gt;&lt;DisplayText&gt;Vadi and Kasemaa (2023)&lt;/DisplayText&gt;&lt;record&gt;&lt;rec-number&gt;282&lt;/rec-number&gt;&lt;foreign-keys&gt;&lt;key app="EN" db-id="02retxxrerxdxhe9aphvs0z2t9z25p0ew99s" timestamp="1782138833"&gt;282&lt;/key&gt;&lt;/foreign-keys&gt;&lt;ref-type name="Journal Article"&gt;17&lt;/ref-type&gt;&lt;contributors&gt;&lt;authors&gt;&lt;author&gt;Vadi, Ene&lt;/author&gt;&lt;author&gt;Kasemaa, Antek&lt;/author&gt;&lt;/authors&gt;&lt;/contributors&gt;&lt;titles&gt;&lt;title&gt;Healthcare workers’ perceptions of</w:instrText>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their managers’ leadership behaviour and emotional intelligence: a quantitative study in an Estonian hospital&lt;/title&gt;&lt;secondary-title&gt;Proceedings of the Estonian Academy of Sciences&lt;/secondary-title&gt;&lt;/titles&gt;&lt;periodical&gt;&lt;full-title&gt;Proceedings of the Estonian Academy of Sciences&lt;/full-title&gt;&lt;/periodical&gt;&lt;pages&gt;239-249&lt;/pages&gt;&lt;volume&gt;72&lt;/volume&gt;&lt;number&gt;3&lt;/number&gt;&lt;section&gt;239&lt;/section&gt;&lt;dates&gt;&lt;year&gt;2023&lt;/year&gt;&lt;pub-dates&gt;&lt;date&gt;08/08&lt;/date&gt;&lt;/pub-dates&gt;&lt;/dates&gt;&lt;isbn&gt;1736-6046&lt;/isbn&gt;&lt;urls&gt;&lt;/urls&gt;&lt;electronic-resource-num&gt;10.3176/proc.2023.3.06&lt;/electronic-resource-num&gt;&lt;/record&gt;&lt;/Cite&gt;&lt;/EndNote</w:instrText>
      </w:r>
      <w:r w:rsidR="00D55CAF">
        <w:rPr>
          <w:rFonts w:ascii="Simplified Arabic" w:eastAsia="Georgia" w:hAnsi="Simplified Arabic" w:cs="Simplified Arabic"/>
          <w:color w:val="000000"/>
          <w:sz w:val="24"/>
          <w:szCs w:val="24"/>
          <w:rtl/>
        </w:rPr>
        <w:instrText>&gt;</w:instrText>
      </w:r>
      <w:r w:rsidR="00D55CAF">
        <w:rPr>
          <w:rFonts w:ascii="Simplified Arabic" w:eastAsia="Georgia" w:hAnsi="Simplified Arabic" w:cs="Simplified Arabic"/>
          <w:color w:val="000000"/>
          <w:sz w:val="24"/>
          <w:szCs w:val="24"/>
          <w:rtl/>
        </w:rPr>
        <w:fldChar w:fldCharType="separate"/>
      </w:r>
      <w:r w:rsidR="00D55CAF">
        <w:rPr>
          <w:rFonts w:ascii="Simplified Arabic" w:eastAsia="Georgia" w:hAnsi="Simplified Arabic" w:cs="Simplified Arabic"/>
          <w:noProof/>
          <w:color w:val="000000"/>
          <w:sz w:val="24"/>
          <w:szCs w:val="24"/>
        </w:rPr>
        <w:t>Vadi and Kasemaa</w:t>
      </w:r>
      <w:r w:rsidR="00D55CAF">
        <w:rPr>
          <w:rFonts w:ascii="Simplified Arabic" w:eastAsia="Georgia" w:hAnsi="Simplified Arabic" w:cs="Simplified Arabic"/>
          <w:noProof/>
          <w:color w:val="000000"/>
          <w:sz w:val="24"/>
          <w:szCs w:val="24"/>
          <w:rtl/>
        </w:rPr>
        <w:t xml:space="preserve"> (2023)</w:t>
      </w:r>
      <w:r w:rsidR="00D55CAF">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التي أجريت على موظفي الصحة في إستونيا أن المقياس، بأبعاده الستة، يمتلك خصائص </w:t>
      </w:r>
      <w:proofErr w:type="spellStart"/>
      <w:r>
        <w:rPr>
          <w:rFonts w:ascii="Simplified Arabic" w:eastAsia="Georgia" w:hAnsi="Simplified Arabic" w:cs="Simplified Arabic"/>
          <w:color w:val="000000"/>
          <w:sz w:val="24"/>
          <w:szCs w:val="24"/>
          <w:rtl/>
        </w:rPr>
        <w:t>سيكومترية</w:t>
      </w:r>
      <w:proofErr w:type="spellEnd"/>
      <w:r>
        <w:rPr>
          <w:rFonts w:ascii="Simplified Arabic" w:eastAsia="Georgia" w:hAnsi="Simplified Arabic" w:cs="Simplified Arabic"/>
          <w:color w:val="000000"/>
          <w:sz w:val="24"/>
          <w:szCs w:val="24"/>
          <w:rtl/>
        </w:rPr>
        <w:t xml:space="preserve"> جيدة في بيئة الرعاية الصحية، وأن الأبعاد القيادية التي يقيسها — خاصة صياغة الرؤية والدعم الفردي — ترتبط بشكل إيجابي بمستويات رضا العاملين وجودة الرعاية المقدمة </w:t>
      </w:r>
      <w:r w:rsidR="00D55CAF">
        <w:rPr>
          <w:rFonts w:ascii="Simplified Arabic" w:eastAsia="Georgia" w:hAnsi="Simplified Arabic" w:cs="Simplified Arabic"/>
          <w:color w:val="000000"/>
          <w:sz w:val="24"/>
          <w:szCs w:val="24"/>
          <w:rtl/>
        </w:rPr>
        <w:fldChar w:fldCharType="begin"/>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ADDIN EN.CITE &lt;EndNote&gt;&lt;Cite&gt;&lt;Author&gt;Vadi&lt;/Author&gt;&lt;Year&gt;2023&lt;/Year&gt;&lt;RecNum&gt;282&lt;/RecNum&gt;&lt;DisplayText&gt;(Vadi &amp;amp; Kasemaa, 2023)&lt;/DisplayText&gt;&lt;record&gt;&lt;rec-number&gt;282&lt;/rec-number&gt;&lt;foreign-keys&gt;&lt;key app="EN" db-id="02retxxrerxdxhe9aphvs0z2t9z25p0ew99s" timestamp="1782138833"&gt;282&lt;/key&gt;&lt;/foreign-keys&gt;&lt;ref-type name="Journal Article"&gt;17&lt;/ref-type&gt;&lt;contributors&gt;&lt;authors&gt;&lt;author&gt;Vadi, Ene&lt;/author&gt;&lt;author&gt;Kasemaa, Antek&lt;/author&gt;&lt;/authors&gt;&lt;/contributors&gt;&lt;titles&gt;&lt;title&gt;Healthcare workers’ perceptions of their managers’ leadership behaviour and emotional intelligence: a quantitative study in an Estonian hospital&lt;/title&gt;&lt;secondary-title&gt;Proceedings of the Estonian Academy of Sciences&lt;/secondary-title&gt;&lt;/titles&gt;&lt;periodical&gt;&lt;full-title&gt;Proceedings of the Estonian Academy</w:instrText>
      </w:r>
      <w:r w:rsidR="00D55CAF">
        <w:rPr>
          <w:rFonts w:ascii="Simplified Arabic" w:eastAsia="Georgia" w:hAnsi="Simplified Arabic" w:cs="Simplified Arabic"/>
          <w:color w:val="000000"/>
          <w:sz w:val="24"/>
          <w:szCs w:val="24"/>
          <w:rtl/>
        </w:rPr>
        <w:instrText xml:space="preserve"> </w:instrText>
      </w:r>
      <w:r w:rsidR="00D55CAF">
        <w:rPr>
          <w:rFonts w:ascii="Simplified Arabic" w:eastAsia="Georgia" w:hAnsi="Simplified Arabic" w:cs="Simplified Arabic"/>
          <w:color w:val="000000"/>
          <w:sz w:val="24"/>
          <w:szCs w:val="24"/>
        </w:rPr>
        <w:instrText>of Sciences&lt;/full-title&gt;&lt;/periodical&gt;&lt;pages&gt;239-249&lt;/pages&gt;&lt;volume&gt;72&lt;/volume&gt;&lt;number&gt;3&lt;/number&gt;&lt;section&gt;239&lt;/section&gt;&lt;dates&gt;&lt;year&gt;2023&lt;/year&gt;&lt;pub-dates&gt;&lt;date&gt;08/08&lt;/date&gt;&lt;/pub-dates&gt;&lt;/dates&gt;&lt;isbn&gt;1736-6046&lt;/isbn&gt;&lt;urls&gt;&lt;/urls&gt;&lt;electronic-resource-num&gt;10</w:instrText>
      </w:r>
      <w:r w:rsidR="00D55CAF">
        <w:rPr>
          <w:rFonts w:ascii="Simplified Arabic" w:eastAsia="Georgia" w:hAnsi="Simplified Arabic" w:cs="Simplified Arabic"/>
          <w:color w:val="000000"/>
          <w:sz w:val="24"/>
          <w:szCs w:val="24"/>
          <w:rtl/>
        </w:rPr>
        <w:instrText>.3176/</w:instrText>
      </w:r>
      <w:r w:rsidR="00D55CAF">
        <w:rPr>
          <w:rFonts w:ascii="Simplified Arabic" w:eastAsia="Georgia" w:hAnsi="Simplified Arabic" w:cs="Simplified Arabic"/>
          <w:color w:val="000000"/>
          <w:sz w:val="24"/>
          <w:szCs w:val="24"/>
        </w:rPr>
        <w:instrText>proc.2023.3.06&lt;/electronic-resource-num&gt;&lt;/record&gt;&lt;/Cite&gt;&lt;/EndNote</w:instrText>
      </w:r>
      <w:r w:rsidR="00D55CAF">
        <w:rPr>
          <w:rFonts w:ascii="Simplified Arabic" w:eastAsia="Georgia" w:hAnsi="Simplified Arabic" w:cs="Simplified Arabic"/>
          <w:color w:val="000000"/>
          <w:sz w:val="24"/>
          <w:szCs w:val="24"/>
          <w:rtl/>
        </w:rPr>
        <w:instrText>&gt;</w:instrText>
      </w:r>
      <w:r w:rsidR="00D55CAF">
        <w:rPr>
          <w:rFonts w:ascii="Simplified Arabic" w:eastAsia="Georgia" w:hAnsi="Simplified Arabic" w:cs="Simplified Arabic"/>
          <w:color w:val="000000"/>
          <w:sz w:val="24"/>
          <w:szCs w:val="24"/>
          <w:rtl/>
        </w:rPr>
        <w:fldChar w:fldCharType="separate"/>
      </w:r>
      <w:r w:rsidR="00D55CAF">
        <w:rPr>
          <w:rFonts w:ascii="Simplified Arabic" w:eastAsia="Georgia" w:hAnsi="Simplified Arabic" w:cs="Simplified Arabic"/>
          <w:noProof/>
          <w:color w:val="000000"/>
          <w:sz w:val="24"/>
          <w:szCs w:val="24"/>
          <w:rtl/>
        </w:rPr>
        <w:t>(</w:t>
      </w:r>
      <w:r w:rsidR="00D55CAF">
        <w:rPr>
          <w:rFonts w:ascii="Simplified Arabic" w:eastAsia="Georgia" w:hAnsi="Simplified Arabic" w:cs="Simplified Arabic"/>
          <w:noProof/>
          <w:color w:val="000000"/>
          <w:sz w:val="24"/>
          <w:szCs w:val="24"/>
        </w:rPr>
        <w:t>Vadi &amp; Kasemaa, 2023</w:t>
      </w:r>
      <w:r w:rsidR="00D55CAF">
        <w:rPr>
          <w:rFonts w:ascii="Simplified Arabic" w:eastAsia="Georgia" w:hAnsi="Simplified Arabic" w:cs="Simplified Arabic"/>
          <w:noProof/>
          <w:color w:val="000000"/>
          <w:sz w:val="24"/>
          <w:szCs w:val="24"/>
          <w:rtl/>
        </w:rPr>
        <w:t>)</w:t>
      </w:r>
      <w:r w:rsidR="00D55CAF">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كما بينت دراسة </w:t>
      </w:r>
      <w:r w:rsidR="00952DEE">
        <w:rPr>
          <w:rFonts w:ascii="Simplified Arabic" w:eastAsia="Georgia" w:hAnsi="Simplified Arabic" w:cs="Simplified Arabic"/>
          <w:color w:val="000000"/>
          <w:sz w:val="24"/>
          <w:szCs w:val="24"/>
          <w:rtl/>
        </w:rPr>
        <w:fldChar w:fldCharType="begin"/>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Pr>
        <w:instrText>ADDIN EN.CITE &lt;EndNote&gt;&lt;Cite AuthorYear="1"&gt;&lt;Author&gt;Krüger&lt;/Author&gt;&lt;Year&gt;2011&lt;/Year&gt;&lt;RecNum&gt;283&lt;/RecNum&gt;&lt;DisplayText&gt;Krüger et al. (2011)&lt;/DisplayText&gt;&lt;record&gt;&lt;rec-number&gt;283&lt;/rec-number&gt;&lt;foreign-keys&gt;&lt;key app="EN" db-id="02retxxrerxdxhe9aphvs0z2t9z25p0ew99s" timestamp="1782139140"&gt;283&lt;/key&gt;&lt;/foreign-keys&gt;&lt;ref-type name="Journal Article"&gt;17&lt;/ref-type&gt;&lt;contributors&gt;&lt;authors&gt;&lt;author&gt;Krüger, Claudia&lt;/author&gt;&lt;author&gt;Rowold, Jens&lt;/author&gt;&lt;author&gt;Borgmann, Lars&lt;/author&gt;&lt;author&gt;Staufenbiel, Kathrin&lt;/author&gt;&lt;author&gt;Heinitz, Kathrin&lt;/author&gt;&lt;/authors&gt;&lt;/contributors&gt;&lt;titles&gt;&lt;title&gt;The Discriminant Validity of Transformational and Transactional Leadership&lt;/title&gt;&lt;secondary-title&gt;Journal of Personnel Psychology&lt;/secondary-title&gt;&lt;/titles&gt;&lt;periodical&gt;&lt;full-title&gt;Journal of Personnel Psychology&lt;/full-title&gt;&lt;/periodical&gt;&lt;pages&gt;49-60&lt;/pages&gt;&lt;volume&gt;10&lt;/volume&gt;&lt;number&gt;2&lt;/number&gt;&lt;section&gt;49&lt;/section&gt;&lt;dates&gt;&lt;year&gt;2011&lt;/year&gt;&lt;/dates&gt;&lt;isbn&gt;1866-5888&amp;#xD;2190-5150&lt;/isbn&gt;&lt;urls&gt;&lt;related-urls&gt;&lt;url&gt;https://econtent.hogrefe.com/doi</w:instrText>
      </w:r>
      <w:r w:rsidR="00952DEE">
        <w:rPr>
          <w:rFonts w:ascii="Simplified Arabic" w:eastAsia="Georgia" w:hAnsi="Simplified Arabic" w:cs="Simplified Arabic"/>
          <w:color w:val="000000"/>
          <w:sz w:val="24"/>
          <w:szCs w:val="24"/>
          <w:rtl/>
        </w:rPr>
        <w:instrText>/</w:instrText>
      </w:r>
      <w:r w:rsidR="00952DEE">
        <w:rPr>
          <w:rFonts w:ascii="Simplified Arabic" w:eastAsia="Georgia" w:hAnsi="Simplified Arabic" w:cs="Simplified Arabic"/>
          <w:color w:val="000000"/>
          <w:sz w:val="24"/>
          <w:szCs w:val="24"/>
        </w:rPr>
        <w:instrText>abs/10.1027/1866-5888/a000032&lt;/url&gt;&lt;/related-urls&gt;&lt;/urls&gt;&lt;electronic-resource-num&gt;10.1027/1866-5888/a000032&lt;/electronic-resource-num&gt;&lt;/record&gt;&lt;/Cite&gt;&lt;/EndNote</w:instrText>
      </w:r>
      <w:r w:rsidR="00952DEE">
        <w:rPr>
          <w:rFonts w:ascii="Simplified Arabic" w:eastAsia="Georgia" w:hAnsi="Simplified Arabic" w:cs="Simplified Arabic"/>
          <w:color w:val="000000"/>
          <w:sz w:val="24"/>
          <w:szCs w:val="24"/>
          <w:rtl/>
        </w:rPr>
        <w:instrText>&gt;</w:instrText>
      </w:r>
      <w:r w:rsidR="00952DEE">
        <w:rPr>
          <w:rFonts w:ascii="Simplified Arabic" w:eastAsia="Georgia" w:hAnsi="Simplified Arabic" w:cs="Simplified Arabic"/>
          <w:color w:val="000000"/>
          <w:sz w:val="24"/>
          <w:szCs w:val="24"/>
          <w:rtl/>
        </w:rPr>
        <w:fldChar w:fldCharType="separate"/>
      </w:r>
      <w:r w:rsidR="00952DEE">
        <w:rPr>
          <w:rFonts w:ascii="Simplified Arabic" w:eastAsia="Georgia" w:hAnsi="Simplified Arabic" w:cs="Simplified Arabic"/>
          <w:noProof/>
          <w:color w:val="000000"/>
          <w:sz w:val="24"/>
          <w:szCs w:val="24"/>
        </w:rPr>
        <w:t>Krüger et al</w:t>
      </w:r>
      <w:r w:rsidR="00952DEE">
        <w:rPr>
          <w:rFonts w:ascii="Simplified Arabic" w:eastAsia="Georgia" w:hAnsi="Simplified Arabic" w:cs="Simplified Arabic"/>
          <w:noProof/>
          <w:color w:val="000000"/>
          <w:sz w:val="24"/>
          <w:szCs w:val="24"/>
          <w:rtl/>
        </w:rPr>
        <w:t>. (2011)</w:t>
      </w:r>
      <w:r w:rsidR="00952DEE">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أن مقياس </w:t>
      </w:r>
      <w:r>
        <w:rPr>
          <w:rFonts w:ascii="Simplified Arabic" w:eastAsia="Georgia" w:hAnsi="Simplified Arabic" w:cs="Simplified Arabic"/>
          <w:color w:val="000000"/>
          <w:sz w:val="24"/>
          <w:szCs w:val="24"/>
        </w:rPr>
        <w:t>TLI</w:t>
      </w:r>
      <w:r>
        <w:rPr>
          <w:rFonts w:ascii="Simplified Arabic" w:eastAsia="Georgia" w:hAnsi="Simplified Arabic" w:cs="Simplified Arabic"/>
          <w:color w:val="000000"/>
          <w:sz w:val="24"/>
          <w:szCs w:val="24"/>
          <w:rtl/>
        </w:rPr>
        <w:t xml:space="preserve"> يبرز بصحة تمييزية وتقارب عالية، حيث سجلت معاملات الثبات بين 0.80 و0.90 للأبعاد الستة، مما يعزز قدرته على قياس السلوكيات القيادية التحويلية في بيئات تنظيمية متنوعة، بما في ذلك القطاع الصحي </w:t>
      </w:r>
      <w:r w:rsidR="00952DEE">
        <w:rPr>
          <w:rFonts w:ascii="Simplified Arabic" w:eastAsia="Georgia" w:hAnsi="Simplified Arabic" w:cs="Simplified Arabic"/>
          <w:color w:val="000000"/>
          <w:sz w:val="24"/>
          <w:szCs w:val="24"/>
          <w:rtl/>
        </w:rPr>
        <w:fldChar w:fldCharType="begin">
          <w:fldData xml:space="preserve">PEVuZE5vdGU+PENpdGU+PEF1dGhvcj5LcsO8Z2VyPC9BdXRob3I+PFllYXI+MjAxMTwvWWVhcj48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</w:fldData>
        </w:fldChar>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Pr>
        <w:instrText>ADDIN EN.CITE</w:instrText>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tl/>
        </w:rPr>
        <w:fldChar w:fldCharType="begin">
          <w:fldData xml:space="preserve">PEVuZE5vdGU+PENpdGU+PEF1dGhvcj5LcsO8Z2VyPC9BdXRob3I+PFllYXI+MjAxMTwvWWVhcj48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</w:fldData>
        </w:fldChar>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Pr>
        <w:instrText>ADDIN EN.CITE.DATA</w:instrText>
      </w:r>
      <w:r w:rsidR="00952DEE">
        <w:rPr>
          <w:rFonts w:ascii="Simplified Arabic" w:eastAsia="Georgia" w:hAnsi="Simplified Arabic" w:cs="Simplified Arabic"/>
          <w:color w:val="000000"/>
          <w:sz w:val="24"/>
          <w:szCs w:val="24"/>
          <w:rtl/>
        </w:rPr>
        <w:instrText xml:space="preserve"> </w:instrText>
      </w:r>
      <w:r w:rsidR="00952DEE">
        <w:rPr>
          <w:rFonts w:ascii="Simplified Arabic" w:eastAsia="Georgia" w:hAnsi="Simplified Arabic" w:cs="Simplified Arabic"/>
          <w:color w:val="000000"/>
          <w:sz w:val="24"/>
          <w:szCs w:val="24"/>
          <w:rtl/>
        </w:rPr>
      </w:r>
      <w:r w:rsidR="00952DEE">
        <w:rPr>
          <w:rFonts w:ascii="Simplified Arabic" w:eastAsia="Georgia" w:hAnsi="Simplified Arabic" w:cs="Simplified Arabic"/>
          <w:color w:val="000000"/>
          <w:sz w:val="24"/>
          <w:szCs w:val="24"/>
          <w:rtl/>
        </w:rPr>
        <w:fldChar w:fldCharType="end"/>
      </w:r>
      <w:r w:rsidR="00952DEE">
        <w:rPr>
          <w:rFonts w:ascii="Simplified Arabic" w:eastAsia="Georgia" w:hAnsi="Simplified Arabic" w:cs="Simplified Arabic"/>
          <w:color w:val="000000"/>
          <w:sz w:val="24"/>
          <w:szCs w:val="24"/>
          <w:rtl/>
        </w:rPr>
      </w:r>
      <w:r w:rsidR="00952DEE">
        <w:rPr>
          <w:rFonts w:ascii="Simplified Arabic" w:eastAsia="Georgia" w:hAnsi="Simplified Arabic" w:cs="Simplified Arabic"/>
          <w:color w:val="000000"/>
          <w:sz w:val="24"/>
          <w:szCs w:val="24"/>
          <w:rtl/>
        </w:rPr>
        <w:fldChar w:fldCharType="separate"/>
      </w:r>
      <w:r w:rsidR="00952DEE">
        <w:rPr>
          <w:rFonts w:ascii="Simplified Arabic" w:eastAsia="Georgia" w:hAnsi="Simplified Arabic" w:cs="Simplified Arabic"/>
          <w:noProof/>
          <w:color w:val="000000"/>
          <w:sz w:val="24"/>
          <w:szCs w:val="24"/>
          <w:rtl/>
        </w:rPr>
        <w:t>(</w:t>
      </w:r>
      <w:r w:rsidR="00952DEE">
        <w:rPr>
          <w:rFonts w:ascii="Simplified Arabic" w:eastAsia="Georgia" w:hAnsi="Simplified Arabic" w:cs="Simplified Arabic"/>
          <w:noProof/>
          <w:color w:val="000000"/>
          <w:sz w:val="24"/>
          <w:szCs w:val="24"/>
        </w:rPr>
        <w:t>Krüger et al., 2011; Podsakoff et al., 1990</w:t>
      </w:r>
      <w:r w:rsidR="00952DEE">
        <w:rPr>
          <w:rFonts w:ascii="Simplified Arabic" w:eastAsia="Georgia" w:hAnsi="Simplified Arabic" w:cs="Simplified Arabic"/>
          <w:noProof/>
          <w:color w:val="000000"/>
          <w:sz w:val="24"/>
          <w:szCs w:val="24"/>
          <w:rtl/>
        </w:rPr>
        <w:t>)</w:t>
      </w:r>
      <w:r w:rsidR="00952DEE">
        <w:rPr>
          <w:rFonts w:ascii="Simplified Arabic" w:eastAsia="Georgia" w:hAnsi="Simplified Arabic" w:cs="Simplified Arabic"/>
          <w:color w:val="000000"/>
          <w:sz w:val="24"/>
          <w:szCs w:val="24"/>
          <w:rtl/>
        </w:rPr>
        <w:fldChar w:fldCharType="end"/>
      </w:r>
      <w:r>
        <w:rPr>
          <w:rFonts w:ascii="Simplified Arabic" w:eastAsia="Georgia" w:hAnsi="Simplified Arabic" w:cs="Simplified Arabic"/>
          <w:color w:val="000000"/>
          <w:sz w:val="24"/>
          <w:szCs w:val="24"/>
          <w:rtl/>
        </w:rPr>
        <w:t xml:space="preserve">. ومن الجدير بالذكر أن معظم الدراسات المحلية والإقليمية الأخرى استندت إلى </w:t>
      </w:r>
      <w:r>
        <w:rPr>
          <w:rFonts w:ascii="Simplified Arabic" w:eastAsia="Georgia" w:hAnsi="Simplified Arabic" w:cs="Simplified Arabic"/>
          <w:color w:val="000000"/>
          <w:sz w:val="24"/>
          <w:szCs w:val="24"/>
        </w:rPr>
        <w:t>MLQ</w:t>
      </w:r>
      <w:r>
        <w:rPr>
          <w:rFonts w:ascii="Simplified Arabic" w:eastAsia="Georgia" w:hAnsi="Simplified Arabic" w:cs="Simplified Arabic"/>
          <w:color w:val="000000"/>
          <w:sz w:val="24"/>
          <w:szCs w:val="24"/>
          <w:rtl/>
        </w:rPr>
        <w:t xml:space="preserve"> أو أدوات مشتقة منه، لكن اعتمادنا على </w:t>
      </w:r>
      <w:r>
        <w:rPr>
          <w:rFonts w:ascii="Simplified Arabic" w:eastAsia="Georgia" w:hAnsi="Simplified Arabic" w:cs="Simplified Arabic"/>
          <w:color w:val="000000"/>
          <w:sz w:val="24"/>
          <w:szCs w:val="24"/>
        </w:rPr>
        <w:t>TLI</w:t>
      </w:r>
      <w:r>
        <w:rPr>
          <w:rFonts w:ascii="Simplified Arabic" w:eastAsia="Georgia" w:hAnsi="Simplified Arabic" w:cs="Simplified Arabic"/>
          <w:color w:val="000000"/>
          <w:sz w:val="24"/>
          <w:szCs w:val="24"/>
          <w:rtl/>
        </w:rPr>
        <w:t xml:space="preserve"> في الدراسة تم بشكل منهجي مقصود، ويتيح قياسًا أدق للأبعاد الستة للقيادة التحويلية في بيئة المستشفيات الحكومية.</w:t>
      </w:r>
    </w:p>
    <w:p w14:paraId="4F3C6972" w14:textId="06E56617" w:rsidR="00717BD6" w:rsidRPr="00717BD6" w:rsidRDefault="00717BD6" w:rsidP="000A33FE">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التركيب</w:t>
      </w:r>
      <w:r>
        <w:rPr>
          <w:rFonts w:ascii="Simplified Arabic" w:eastAsia="Georgia" w:hAnsi="Simplified Arabic" w:cs="Simplified Arabic"/>
          <w:b/>
          <w:bCs/>
          <w:color w:val="000000"/>
          <w:sz w:val="24"/>
          <w:szCs w:val="24"/>
          <w:rtl/>
        </w:rPr>
        <w:t xml:space="preserve">: </w:t>
      </w:r>
      <w:r w:rsidRPr="00717BD6">
        <w:rPr>
          <w:rFonts w:ascii="Simplified Arabic" w:eastAsia="Georgia" w:hAnsi="Simplified Arabic" w:cs="Simplified Arabic"/>
          <w:color w:val="000000"/>
          <w:sz w:val="24"/>
          <w:szCs w:val="24"/>
          <w:rtl/>
        </w:rPr>
        <w:t xml:space="preserve">تشير الأدلة مجتمعة إلى أن القيادة التحويلية لا تؤثر على سلامة المرضى بشكل مباشر فحسب، بل تعمل بشكل أساسي من خلال تشكيل مناخ تنظيمي وقيمي يُبرز مفهوم </w:t>
      </w:r>
      <w:r w:rsidR="000A33FE" w:rsidRPr="000A33FE">
        <w:rPr>
          <w:rFonts w:ascii="Simplified Arabic" w:eastAsia="Georgia" w:hAnsi="Simplified Arabic" w:cs="Simplified Arabic"/>
          <w:color w:val="000000"/>
          <w:sz w:val="24"/>
          <w:szCs w:val="24"/>
          <w:rtl/>
        </w:rPr>
        <w:t>ثقافة سلامة المرضى</w:t>
      </w:r>
      <w:r w:rsidRPr="00717BD6">
        <w:rPr>
          <w:rFonts w:ascii="Simplified Arabic" w:eastAsia="Georgia" w:hAnsi="Simplified Arabic" w:cs="Simplified Arabic"/>
          <w:color w:val="000000"/>
          <w:sz w:val="24"/>
          <w:szCs w:val="24"/>
          <w:rtl/>
        </w:rPr>
        <w:t>. فالقائد التحويلي، من خلال وضوح الرؤية، ودعم الإبلاغ عن الأخطاء، وتشجيع التعلم من ا</w:t>
      </w:r>
      <w:r w:rsidRPr="00717BD6">
        <w:rPr>
          <w:rFonts w:ascii="Simplified Arabic" w:eastAsia="Georgia" w:hAnsi="Simplified Arabic" w:cs="Simplified Arabic" w:hint="cs"/>
          <w:color w:val="000000"/>
          <w:sz w:val="24"/>
          <w:szCs w:val="24"/>
          <w:rtl/>
        </w:rPr>
        <w:t>لحوادث،</w:t>
      </w:r>
      <w:r w:rsidRPr="00717BD6">
        <w:rPr>
          <w:rFonts w:ascii="Simplified Arabic" w:eastAsia="Georgia" w:hAnsi="Simplified Arabic" w:cs="Simplified Arabic"/>
          <w:color w:val="000000"/>
          <w:sz w:val="24"/>
          <w:szCs w:val="24"/>
          <w:rtl/>
        </w:rPr>
        <w:t xml:space="preserve"> يسهم في ترسيخ القيم التي تعتبر السلامة أولوية قصوى في القرارات والممارسات اليومية. مع ذلك، تكشف مراجعة الدراسات عن بعض القيود المنهجية؛ إذ ركّزت العديد منها على العلاقات المباشرة الثنائية (</w:t>
      </w:r>
      <w:r w:rsidRPr="00717BD6">
        <w:rPr>
          <w:rFonts w:ascii="Simplified Arabic" w:eastAsia="Georgia" w:hAnsi="Simplified Arabic" w:cs="Simplified Arabic"/>
          <w:color w:val="000000"/>
          <w:sz w:val="24"/>
          <w:szCs w:val="24"/>
        </w:rPr>
        <w:t xml:space="preserve">TL </w:t>
      </w:r>
      <w:r w:rsidRPr="00717BD6">
        <w:rPr>
          <w:rFonts w:ascii="Times New Roman" w:eastAsia="Georgia" w:hAnsi="Times New Roman" w:cs="Times New Roman"/>
          <w:color w:val="000000"/>
          <w:sz w:val="24"/>
          <w:szCs w:val="24"/>
        </w:rPr>
        <w:t>→</w:t>
      </w:r>
      <w:r w:rsidRPr="00717BD6">
        <w:rPr>
          <w:rFonts w:ascii="Simplified Arabic" w:eastAsia="Georgia" w:hAnsi="Simplified Arabic" w:cs="Simplified Arabic"/>
          <w:color w:val="000000"/>
          <w:sz w:val="24"/>
          <w:szCs w:val="24"/>
        </w:rPr>
        <w:t xml:space="preserve"> SC</w:t>
      </w:r>
      <w:r w:rsidRPr="00717BD6">
        <w:rPr>
          <w:rFonts w:ascii="Simplified Arabic" w:eastAsia="Georgia" w:hAnsi="Simplified Arabic" w:cs="Simplified Arabic"/>
          <w:color w:val="000000"/>
          <w:sz w:val="24"/>
          <w:szCs w:val="24"/>
          <w:rtl/>
        </w:rPr>
        <w:t xml:space="preserve"> أو </w:t>
      </w:r>
      <w:r w:rsidRPr="00717BD6">
        <w:rPr>
          <w:rFonts w:ascii="Simplified Arabic" w:eastAsia="Georgia" w:hAnsi="Simplified Arabic" w:cs="Simplified Arabic"/>
          <w:color w:val="000000"/>
          <w:sz w:val="24"/>
          <w:szCs w:val="24"/>
        </w:rPr>
        <w:t xml:space="preserve">TL </w:t>
      </w:r>
      <w:r w:rsidRPr="00717BD6">
        <w:rPr>
          <w:rFonts w:ascii="Times New Roman" w:eastAsia="Georgia" w:hAnsi="Times New Roman" w:cs="Times New Roman"/>
          <w:color w:val="000000"/>
          <w:sz w:val="24"/>
          <w:szCs w:val="24"/>
        </w:rPr>
        <w:t>→</w:t>
      </w:r>
      <w:r w:rsidRPr="00717BD6">
        <w:rPr>
          <w:rFonts w:ascii="Simplified Arabic" w:eastAsia="Georgia" w:hAnsi="Simplified Arabic" w:cs="Simplified Arabic"/>
          <w:color w:val="000000"/>
          <w:sz w:val="24"/>
          <w:szCs w:val="24"/>
        </w:rPr>
        <w:t xml:space="preserve"> Safety Outcomes</w:t>
      </w:r>
      <w:r w:rsidRPr="00717BD6">
        <w:rPr>
          <w:rFonts w:ascii="Simplified Arabic" w:eastAsia="Georgia" w:hAnsi="Simplified Arabic" w:cs="Simplified Arabic"/>
          <w:color w:val="000000"/>
          <w:sz w:val="24"/>
          <w:szCs w:val="24"/>
          <w:rtl/>
        </w:rPr>
        <w:t>) دون اختبار الأدوار الوسيط</w:t>
      </w:r>
      <w:r w:rsidRPr="00717BD6">
        <w:rPr>
          <w:rFonts w:ascii="Simplified Arabic" w:eastAsia="Georgia" w:hAnsi="Simplified Arabic" w:cs="Simplified Arabic" w:hint="cs"/>
          <w:color w:val="000000"/>
          <w:sz w:val="24"/>
          <w:szCs w:val="24"/>
          <w:rtl/>
        </w:rPr>
        <w:t>ة</w:t>
      </w:r>
      <w:r w:rsidRPr="00717BD6">
        <w:rPr>
          <w:rFonts w:ascii="Simplified Arabic" w:eastAsia="Georgia" w:hAnsi="Simplified Arabic" w:cs="Simplified Arabic"/>
          <w:color w:val="000000"/>
          <w:sz w:val="24"/>
          <w:szCs w:val="24"/>
          <w:rtl/>
        </w:rPr>
        <w:t xml:space="preserve"> التالية، مثل سلوكيات السلامة أو الأحداث الضارة، ضمن نموذج سببي متكامل، كما أن معظم الدراسات أُجريت خارج منطقة الجوف أو في قطاعات صحية غير حكومية، الأمر الذي يُقيّد إمكانية تطبيق نتائجها على سياق الدراسة الحالية.</w:t>
      </w:r>
    </w:p>
    <w:p w14:paraId="5BA62676" w14:textId="074BA720" w:rsidR="00717BD6" w:rsidRPr="00717BD6" w:rsidRDefault="00D91637" w:rsidP="000A33FE">
      <w:pPr>
        <w:bidi/>
        <w:spacing w:before="315" w:after="105" w:line="360" w:lineRule="auto"/>
        <w:ind w:left="-30"/>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lastRenderedPageBreak/>
        <w:t>الرابط</w:t>
      </w:r>
      <w:r>
        <w:rPr>
          <w:rFonts w:ascii="Simplified Arabic" w:eastAsia="Georgia" w:hAnsi="Simplified Arabic" w:cs="Simplified Arabic"/>
          <w:b/>
          <w:bCs/>
          <w:color w:val="000000"/>
          <w:sz w:val="24"/>
          <w:szCs w:val="24"/>
          <w:rtl/>
        </w:rPr>
        <w:t>: </w:t>
      </w:r>
      <w:r w:rsidRPr="00D91637">
        <w:rPr>
          <w:rFonts w:ascii="Simplified Arabic" w:eastAsia="Georgia" w:hAnsi="Simplified Arabic" w:cs="Simplified Arabic"/>
          <w:color w:val="000000"/>
          <w:sz w:val="24"/>
          <w:szCs w:val="24"/>
          <w:rtl/>
        </w:rPr>
        <w:t>بناءً على ذلك، تفترض الدراسة الحالية أن القيادة التحويلية هي نقطة انطلاق المسار السببي المقترح، حيث تؤثر بشكل مباشر على ثقافة سلامة المرضى في المستشفيات الحكومية بمنطقة الجوف، ويعكس هذا في الفرضية الأولى (</w:t>
      </w:r>
      <w:r w:rsidRPr="00D91637">
        <w:rPr>
          <w:rFonts w:ascii="Simplified Arabic" w:eastAsia="Georgia" w:hAnsi="Simplified Arabic" w:cs="Simplified Arabic"/>
          <w:color w:val="000000"/>
          <w:sz w:val="24"/>
          <w:szCs w:val="24"/>
        </w:rPr>
        <w:t>H1</w:t>
      </w:r>
      <w:r w:rsidRPr="00D91637">
        <w:rPr>
          <w:rFonts w:ascii="Simplified Arabic" w:eastAsia="Georgia" w:hAnsi="Simplified Arabic" w:cs="Simplified Arabic"/>
          <w:color w:val="000000"/>
          <w:sz w:val="24"/>
          <w:szCs w:val="24"/>
          <w:rtl/>
        </w:rPr>
        <w:t>) التي تختبر وجود تأثير مباشر ذو دلالة إ</w:t>
      </w:r>
      <w:r w:rsidRPr="00D91637">
        <w:rPr>
          <w:rFonts w:ascii="Simplified Arabic" w:eastAsia="Georgia" w:hAnsi="Simplified Arabic" w:cs="Simplified Arabic" w:hint="cs"/>
          <w:color w:val="000000"/>
          <w:sz w:val="24"/>
          <w:szCs w:val="24"/>
          <w:rtl/>
        </w:rPr>
        <w:t>حصائية</w:t>
      </w:r>
      <w:r w:rsidRPr="00D91637">
        <w:rPr>
          <w:rFonts w:ascii="Simplified Arabic" w:eastAsia="Georgia" w:hAnsi="Simplified Arabic" w:cs="Simplified Arabic"/>
          <w:color w:val="000000"/>
          <w:sz w:val="24"/>
          <w:szCs w:val="24"/>
          <w:rtl/>
        </w:rPr>
        <w:t xml:space="preserve"> للقيادة التحويلية على </w:t>
      </w:r>
      <w:r w:rsidR="000A33FE" w:rsidRPr="000A33FE">
        <w:rPr>
          <w:rFonts w:ascii="Simplified Arabic" w:eastAsia="Georgia" w:hAnsi="Simplified Arabic" w:cs="Simplified Arabic"/>
          <w:color w:val="000000"/>
          <w:sz w:val="24"/>
          <w:szCs w:val="24"/>
          <w:rtl/>
        </w:rPr>
        <w:t>ثقافة سلامة المرضى</w:t>
      </w:r>
      <w:r w:rsidRPr="00D91637">
        <w:rPr>
          <w:rFonts w:ascii="Simplified Arabic" w:eastAsia="Georgia" w:hAnsi="Simplified Arabic" w:cs="Simplified Arabic"/>
          <w:color w:val="000000"/>
          <w:sz w:val="24"/>
          <w:szCs w:val="24"/>
          <w:rtl/>
        </w:rPr>
        <w:t>.</w:t>
      </w:r>
    </w:p>
    <w:p w14:paraId="0DE7362A" w14:textId="29E80CCC" w:rsidR="00390B53" w:rsidRPr="001361F4" w:rsidRDefault="0045254E" w:rsidP="00717BD6">
      <w:pPr>
        <w:bidi/>
        <w:spacing w:before="315" w:after="105" w:line="360" w:lineRule="auto"/>
        <w:ind w:left="-30"/>
        <w:rPr>
          <w:rFonts w:asciiTheme="majorBidi" w:eastAsia="Georgia" w:hAnsiTheme="majorBidi" w:cstheme="majorBidi"/>
          <w:b/>
          <w:bCs/>
          <w:color w:val="000000"/>
          <w:sz w:val="24"/>
          <w:szCs w:val="24"/>
        </w:rPr>
      </w:pPr>
      <w:r w:rsidRPr="001361F4">
        <w:rPr>
          <w:rFonts w:asciiTheme="majorBidi" w:eastAsia="Georgia" w:hAnsiTheme="majorBidi" w:cstheme="majorBidi"/>
          <w:b/>
          <w:bCs/>
          <w:color w:val="000000"/>
          <w:sz w:val="24"/>
          <w:szCs w:val="24"/>
          <w:rtl/>
        </w:rPr>
        <w:t>2.9.2.1</w:t>
      </w:r>
      <w:r w:rsidR="00390B53" w:rsidRPr="001361F4">
        <w:rPr>
          <w:rFonts w:asciiTheme="majorBidi" w:eastAsia="Georgia" w:hAnsiTheme="majorBidi" w:cstheme="majorBidi"/>
          <w:b/>
          <w:bCs/>
          <w:color w:val="000000"/>
          <w:sz w:val="24"/>
          <w:szCs w:val="24"/>
          <w:rtl/>
        </w:rPr>
        <w:t>تعقيب على المحور الأول</w:t>
      </w:r>
    </w:p>
    <w:p w14:paraId="504EBCF8" w14:textId="77777777" w:rsidR="005923F0" w:rsidRPr="00916947" w:rsidRDefault="00390B53" w:rsidP="00916947">
      <w:pPr>
        <w:bidi/>
        <w:spacing w:before="315" w:after="105" w:line="360" w:lineRule="auto"/>
        <w:ind w:left="-30"/>
        <w:jc w:val="both"/>
        <w:rPr>
          <w:rFonts w:ascii="Simplified Arabic" w:eastAsia="Georgia" w:hAnsi="Simplified Arabic" w:cs="Simplified Arabic"/>
          <w:b/>
          <w:color w:val="000000"/>
          <w:sz w:val="24"/>
          <w:szCs w:val="24"/>
          <w:rtl/>
        </w:rPr>
      </w:pPr>
      <w:r w:rsidRPr="00916947">
        <w:rPr>
          <w:rFonts w:ascii="Simplified Arabic" w:eastAsia="Georgia" w:hAnsi="Simplified Arabic" w:cs="Simplified Arabic"/>
          <w:b/>
          <w:color w:val="000000"/>
          <w:sz w:val="24"/>
          <w:szCs w:val="24"/>
          <w:rtl/>
        </w:rPr>
        <w:t xml:space="preserve">تبرز الدراسات في هذا المحور أن القيادة التحويلية تعد من العوامل المهمة التي تساهم في تعزيز </w:t>
      </w:r>
      <w:r w:rsidR="000A33FE" w:rsidRPr="00916947">
        <w:rPr>
          <w:rFonts w:ascii="Simplified Arabic" w:eastAsia="Georgia" w:hAnsi="Simplified Arabic" w:cs="Simplified Arabic"/>
          <w:b/>
          <w:color w:val="000000"/>
          <w:sz w:val="24"/>
          <w:szCs w:val="24"/>
          <w:rtl/>
        </w:rPr>
        <w:t>ثقافة سلامة المرضى</w:t>
      </w:r>
      <w:r w:rsidRPr="00916947">
        <w:rPr>
          <w:rFonts w:ascii="Simplified Arabic" w:eastAsia="Georgia" w:hAnsi="Simplified Arabic" w:cs="Simplified Arabic"/>
          <w:b/>
          <w:color w:val="000000"/>
          <w:sz w:val="24"/>
          <w:szCs w:val="24"/>
          <w:rtl/>
        </w:rPr>
        <w:t xml:space="preserve"> الإيجابية في المستشفيات، حيث توفق معظم الأبحاث على وجود علاقة إيجابية ذات دلالة إحصائية بين سلوكيات القادة التحويلية وأبعاد </w:t>
      </w:r>
      <w:r w:rsidR="000A33FE" w:rsidRPr="00916947">
        <w:rPr>
          <w:rFonts w:ascii="Simplified Arabic" w:eastAsia="Georgia" w:hAnsi="Simplified Arabic" w:cs="Simplified Arabic"/>
          <w:b/>
          <w:color w:val="000000"/>
          <w:sz w:val="24"/>
          <w:szCs w:val="24"/>
          <w:rtl/>
        </w:rPr>
        <w:t>ثقافة سلامة المرضى</w:t>
      </w:r>
      <w:r w:rsidRPr="00916947">
        <w:rPr>
          <w:rFonts w:ascii="Simplified Arabic" w:eastAsia="Georgia" w:hAnsi="Simplified Arabic" w:cs="Simplified Arabic"/>
          <w:b/>
          <w:color w:val="000000"/>
          <w:sz w:val="24"/>
          <w:szCs w:val="24"/>
          <w:rtl/>
        </w:rPr>
        <w:t>، مثل دعم الإدارة، والعمل الجماعي، والتعلم التنظيمي، والاستجابة غير العقابية للأخطاء. كما أن القيادة التحويلية تساهم في خلق بيئة تنظيمية تشجع على الإبلاغ عن الأخطاء وتقبلها كفرص للتعلم، مما يؤثر على تصور العاملين لبيئة العمل من ناحية السلامة.</w:t>
      </w:r>
    </w:p>
    <w:p w14:paraId="7A15AEB7" w14:textId="56087D60" w:rsidR="00390B53" w:rsidRPr="00916947" w:rsidRDefault="00390B53" w:rsidP="00916947">
      <w:pPr>
        <w:bidi/>
        <w:spacing w:after="0" w:line="360" w:lineRule="auto"/>
        <w:ind w:left="-29"/>
        <w:jc w:val="both"/>
        <w:rPr>
          <w:rFonts w:ascii="Simplified Arabic" w:eastAsia="Georgia" w:hAnsi="Simplified Arabic" w:cs="Simplified Arabic"/>
          <w:b/>
          <w:color w:val="000000"/>
          <w:sz w:val="24"/>
          <w:szCs w:val="24"/>
        </w:rPr>
      </w:pPr>
      <w:r w:rsidRPr="00916947">
        <w:rPr>
          <w:rFonts w:ascii="Simplified Arabic" w:eastAsia="Georgia" w:hAnsi="Simplified Arabic" w:cs="Simplified Arabic"/>
          <w:b/>
          <w:color w:val="000000"/>
          <w:sz w:val="24"/>
          <w:szCs w:val="24"/>
          <w:rtl/>
        </w:rPr>
        <w:t>ومع ذلك، يظهر التحليل النقدي أن غالبية الدراسات تركز على العلاقات المباشرة بين القيادة و</w:t>
      </w:r>
      <w:r w:rsidR="000A33FE" w:rsidRPr="00916947">
        <w:rPr>
          <w:rFonts w:ascii="Simplified Arabic" w:eastAsia="Georgia" w:hAnsi="Simplified Arabic" w:cs="Simplified Arabic"/>
          <w:b/>
          <w:color w:val="000000"/>
          <w:sz w:val="24"/>
          <w:szCs w:val="24"/>
          <w:rtl/>
        </w:rPr>
        <w:t>ثقافة سلامة المرضى</w:t>
      </w:r>
      <w:r w:rsidRPr="00916947">
        <w:rPr>
          <w:rFonts w:ascii="Simplified Arabic" w:eastAsia="Georgia" w:hAnsi="Simplified Arabic" w:cs="Simplified Arabic"/>
          <w:b/>
          <w:color w:val="000000"/>
          <w:sz w:val="24"/>
          <w:szCs w:val="24"/>
          <w:rtl/>
        </w:rPr>
        <w:t xml:space="preserve"> أو بين القيادة وبعض مؤشرات سلامة المرضى الجزئية، دون دراسة المسارات التي تنتقل عبرها تأثيرات القيادة إلى النتائج السريرية النهائية، كما أن نماذجها لم تدمج سلوكيات السلامة أو الأحداث الضارة في إطار متكامل. بالإضافة إلى ذلك، فإن الكثير من هذه الدراسات جاءت من مستشفيات تقع في مناطق حضرية كبرى، مما يقيد من تعميم النتائج على مناطق أخرى. لذلك، تبرز الحاجة إلى دراسة تربط بين القيادة التحويلية، وثقافة سلامة المرضى، وسلوكيات السلامة، والأحداث الضارة، ضمن نموذج سببي متكامل وفي سياقات جغرافية متنوعة، وهو ما تسعى الدراسة الحالية لتحقيقه.</w:t>
      </w:r>
    </w:p>
    <w:p w14:paraId="0F65A9B7" w14:textId="444111B2" w:rsidR="00006A1F" w:rsidRPr="001361F4" w:rsidRDefault="00006A1F" w:rsidP="000A33FE">
      <w:pPr>
        <w:bidi/>
        <w:spacing w:after="0" w:line="360" w:lineRule="auto"/>
        <w:ind w:left="-29"/>
        <w:jc w:val="both"/>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2.3</w:t>
      </w:r>
      <w:r w:rsidRPr="001361F4">
        <w:rPr>
          <w:rFonts w:ascii="Simplified Arabic" w:eastAsia="Georgia" w:hAnsi="Simplified Arabic" w:cs="Simplified Arabic"/>
          <w:b/>
          <w:bCs/>
          <w:color w:val="000000"/>
          <w:sz w:val="24"/>
          <w:szCs w:val="24"/>
        </w:rPr>
        <w:t xml:space="preserve"> </w:t>
      </w:r>
      <w:r w:rsidRPr="001361F4">
        <w:rPr>
          <w:rFonts w:ascii="Simplified Arabic" w:eastAsia="Georgia" w:hAnsi="Simplified Arabic" w:cs="Simplified Arabic"/>
          <w:b/>
          <w:bCs/>
          <w:color w:val="000000"/>
          <w:sz w:val="24"/>
          <w:szCs w:val="24"/>
          <w:rtl/>
        </w:rPr>
        <w:t xml:space="preserve">المحور الثاني: العلاقة بين </w:t>
      </w:r>
      <w:r w:rsidR="000A33FE" w:rsidRPr="001361F4">
        <w:rPr>
          <w:rFonts w:ascii="Simplified Arabic" w:eastAsia="Georgia" w:hAnsi="Simplified Arabic" w:cs="Simplified Arabic"/>
          <w:b/>
          <w:bCs/>
          <w:color w:val="000000"/>
          <w:sz w:val="24"/>
          <w:szCs w:val="24"/>
          <w:rtl/>
        </w:rPr>
        <w:t>ثقافة سلامة المرضى</w:t>
      </w:r>
      <w:r w:rsidRPr="001361F4">
        <w:rPr>
          <w:rFonts w:ascii="Simplified Arabic" w:eastAsia="Georgia" w:hAnsi="Simplified Arabic" w:cs="Simplified Arabic"/>
          <w:b/>
          <w:bCs/>
          <w:color w:val="000000"/>
          <w:sz w:val="24"/>
          <w:szCs w:val="24"/>
          <w:rtl/>
        </w:rPr>
        <w:t>، سلوكيات العاملين، وتقليل الأحداث الضارة</w:t>
      </w:r>
      <w:r w:rsidRPr="001361F4">
        <w:rPr>
          <w:rFonts w:ascii="Simplified Arabic" w:eastAsia="Georgia" w:hAnsi="Simplified Arabic" w:cs="Simplified Arabic"/>
          <w:b/>
          <w:bCs/>
          <w:color w:val="000000"/>
          <w:sz w:val="24"/>
          <w:szCs w:val="24"/>
        </w:rPr>
        <w:t xml:space="preserve"> (SC </w:t>
      </w:r>
      <w:r w:rsidRPr="001361F4">
        <w:rPr>
          <w:rFonts w:ascii="Times New Roman" w:eastAsia="Georgia" w:hAnsi="Times New Roman" w:cs="Times New Roman"/>
          <w:b/>
          <w:bCs/>
          <w:color w:val="000000"/>
          <w:sz w:val="24"/>
          <w:szCs w:val="24"/>
        </w:rPr>
        <w:t>→</w:t>
      </w:r>
      <w:r w:rsidRPr="001361F4">
        <w:rPr>
          <w:rFonts w:ascii="Simplified Arabic" w:eastAsia="Georgia" w:hAnsi="Simplified Arabic" w:cs="Simplified Arabic"/>
          <w:b/>
          <w:bCs/>
          <w:color w:val="000000"/>
          <w:sz w:val="24"/>
          <w:szCs w:val="24"/>
        </w:rPr>
        <w:t xml:space="preserve"> SB </w:t>
      </w:r>
      <w:r w:rsidRPr="001361F4">
        <w:rPr>
          <w:rFonts w:ascii="Times New Roman" w:eastAsia="Georgia" w:hAnsi="Times New Roman" w:cs="Times New Roman"/>
          <w:b/>
          <w:bCs/>
          <w:color w:val="000000"/>
          <w:sz w:val="24"/>
          <w:szCs w:val="24"/>
        </w:rPr>
        <w:t>→</w:t>
      </w:r>
      <w:r w:rsidRPr="001361F4">
        <w:rPr>
          <w:rFonts w:ascii="Simplified Arabic" w:eastAsia="Georgia" w:hAnsi="Simplified Arabic" w:cs="Simplified Arabic"/>
          <w:b/>
          <w:bCs/>
          <w:color w:val="000000"/>
          <w:sz w:val="24"/>
          <w:szCs w:val="24"/>
        </w:rPr>
        <w:t xml:space="preserve"> AE)</w:t>
      </w:r>
    </w:p>
    <w:p w14:paraId="4A2C7E70" w14:textId="60114A2B"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الادعاء:</w:t>
      </w:r>
      <w:r w:rsidRPr="001361F4">
        <w:rPr>
          <w:rFonts w:ascii="Simplified Arabic" w:eastAsia="Georgia" w:hAnsi="Simplified Arabic" w:cs="Simplified Arabic"/>
          <w:color w:val="000000"/>
          <w:sz w:val="24"/>
          <w:szCs w:val="24"/>
          <w:rtl/>
        </w:rPr>
        <w:t xml:space="preserve"> تشير الأدبيات الحديثة إلى 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الإيجابية في المستشفيات ضرورية لتعزيز سلوكيات السلامة بين العاملين. وتُعد هذه السلوكيات العامل الأكثر تأثيرًا في تقليل معدلات وشدة الأحداث الضارة المتعلقة بالرعاية الصحية.</w:t>
      </w:r>
    </w:p>
    <w:p w14:paraId="27FB67EE" w14:textId="4BFBE6C2"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الدليل: </w:t>
      </w:r>
      <w:r w:rsidRPr="001361F4">
        <w:rPr>
          <w:rFonts w:ascii="Simplified Arabic" w:eastAsia="Georgia" w:hAnsi="Simplified Arabic" w:cs="Simplified Arabic"/>
          <w:color w:val="000000"/>
          <w:sz w:val="24"/>
          <w:szCs w:val="24"/>
          <w:rtl/>
        </w:rPr>
        <w:t xml:space="preserve">أظهرت دراسة </w:t>
      </w:r>
      <w:r w:rsidRPr="001361F4">
        <w:rPr>
          <w:rFonts w:ascii="Simplified Arabic" w:eastAsia="Georgia" w:hAnsi="Simplified Arabic" w:cs="Simplified Arabic"/>
          <w:color w:val="000000"/>
          <w:sz w:val="24"/>
          <w:szCs w:val="24"/>
        </w:rPr>
        <w:t>Alsahli et al</w:t>
      </w:r>
      <w:r w:rsidRPr="001361F4">
        <w:rPr>
          <w:rFonts w:ascii="Simplified Arabic" w:eastAsia="Georgia" w:hAnsi="Simplified Arabic" w:cs="Simplified Arabic"/>
          <w:color w:val="000000"/>
          <w:sz w:val="24"/>
          <w:szCs w:val="24"/>
          <w:rtl/>
        </w:rPr>
        <w:t>. (2024) في بيئة المستشفيات السعودية أن الإدراك الإيجابي ل</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يرتبط بزيادة الإبلاغ عن الحوادث وتحسين الالتزام بالبروتوكولات، في حين أن الثقافة السلبية تؤدي إلى تردد العاملين في الإبلاغ وخشيتهم من العقاب. تدعم نتائج الدراسة أطروحة </w:t>
      </w:r>
      <w:r w:rsidRPr="001361F4">
        <w:rPr>
          <w:rFonts w:ascii="Simplified Arabic" w:eastAsia="Georgia" w:hAnsi="Simplified Arabic" w:cs="Simplified Arabic"/>
          <w:color w:val="000000"/>
          <w:sz w:val="24"/>
          <w:szCs w:val="24"/>
        </w:rPr>
        <w:t>Mohammed</w:t>
      </w:r>
      <w:r w:rsidRPr="001361F4">
        <w:rPr>
          <w:rFonts w:ascii="Simplified Arabic" w:eastAsia="Georgia" w:hAnsi="Simplified Arabic" w:cs="Simplified Arabic"/>
          <w:color w:val="000000"/>
          <w:sz w:val="24"/>
          <w:szCs w:val="24"/>
          <w:rtl/>
        </w:rPr>
        <w:t xml:space="preserve"> (2025)، التي أشارت إلى أن المستويات العالية من فهم ثقافة سلامة المريض ترتبط بسلوكيات سلامة أفضل وتقليل الممارسات الخطرة في مستشفيات مكة والمدينة.</w:t>
      </w:r>
    </w:p>
    <w:p w14:paraId="72CED5BF" w14:textId="37F1843D"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أما على مستوى العلاقة بين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والأحداث الضارة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xml:space="preserve">)، فقد أظهرت مراجعة منهجية حديثة لـ </w:t>
      </w:r>
      <w:r w:rsidRPr="001361F4">
        <w:rPr>
          <w:rFonts w:ascii="Simplified Arabic" w:eastAsia="Georgia" w:hAnsi="Simplified Arabic" w:cs="Simplified Arabic"/>
          <w:color w:val="000000"/>
          <w:sz w:val="24"/>
          <w:szCs w:val="24"/>
        </w:rPr>
        <w:t>Mistri et al</w:t>
      </w:r>
      <w:r w:rsidRPr="001361F4">
        <w:rPr>
          <w:rFonts w:ascii="Simplified Arabic" w:eastAsia="Georgia" w:hAnsi="Simplified Arabic" w:cs="Simplified Arabic"/>
          <w:color w:val="000000"/>
          <w:sz w:val="24"/>
          <w:szCs w:val="24"/>
          <w:rtl/>
        </w:rPr>
        <w:t xml:space="preserve">. (2023) أن المستشفيات التي تتمتع بثقافة سلامة قوية تحقق معدلات أقل من المضاعفات السريرية والأحداث الضارة التي يمكن الوقاية منها، مما يعكس دور الثقافة كدرع حماية على مستوى النظام. كما أظهرت مراجعة </w:t>
      </w:r>
      <w:r w:rsidRPr="001361F4">
        <w:rPr>
          <w:rFonts w:ascii="Simplified Arabic" w:eastAsia="Georgia" w:hAnsi="Simplified Arabic" w:cs="Simplified Arabic"/>
          <w:color w:val="000000"/>
          <w:sz w:val="24"/>
          <w:szCs w:val="24"/>
        </w:rPr>
        <w:t>Shenoy</w:t>
      </w:r>
      <w:r w:rsidRPr="001361F4">
        <w:rPr>
          <w:rFonts w:ascii="Simplified Arabic" w:eastAsia="Georgia" w:hAnsi="Simplified Arabic" w:cs="Simplified Arabic"/>
          <w:color w:val="000000"/>
          <w:sz w:val="24"/>
          <w:szCs w:val="24"/>
          <w:rtl/>
        </w:rPr>
        <w:t xml:space="preserve"> (2021) أن تطبيق أطر إدارة </w:t>
      </w:r>
      <w:r w:rsidRPr="001361F4">
        <w:rPr>
          <w:rFonts w:ascii="Simplified Arabic" w:eastAsia="Georgia" w:hAnsi="Simplified Arabic" w:cs="Simplified Arabic"/>
          <w:color w:val="000000"/>
          <w:sz w:val="24"/>
          <w:szCs w:val="24"/>
          <w:rtl/>
        </w:rPr>
        <w:lastRenderedPageBreak/>
        <w:t>الجودة الموجهة لسلامة المرضى يعتمد بشكل كبير على وجود ثقافة تنظيمية تدعم التعليم من الأخطاء وتبني الممارسات الوقائية، وهو ما يتجلى في تقليل العدوى المكتسبة والأحداث غير المرغوب فيها.</w:t>
      </w:r>
    </w:p>
    <w:p w14:paraId="03EAFAC0" w14:textId="0161A54D" w:rsidR="00006A1F" w:rsidRPr="001361F4" w:rsidRDefault="00FE7308"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التركيب: </w:t>
      </w:r>
      <w:r w:rsidRPr="001361F4">
        <w:rPr>
          <w:rFonts w:ascii="Simplified Arabic" w:eastAsia="Georgia" w:hAnsi="Simplified Arabic" w:cs="Simplified Arabic"/>
          <w:color w:val="000000"/>
          <w:sz w:val="24"/>
          <w:szCs w:val="24"/>
          <w:rtl/>
        </w:rPr>
        <w:t xml:space="preserve">تظهر هذه النتائج نمطًا ثابتًا يُفيد بأن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تشكل بيئة داعمة تُحفز أو تعيق سلوكيات السلامة؛ فعندما يشعر العاملون بأن الإدارة تشجع على الإبلاغ وأن الأخطاء تُعتبر فرصًا للتعلم بدلاً من مبررات للعقاب، فإنهم يميلون إلى الالتزام بإجراءات السلامة والإبلاغ عن الحوادث، مما يساهم في تقليل الحوادث الضارة. ومع ذلك، تُشير المراجعة إلى أن معظم الدراسات السابقة تناولت جزأين فقط من النموذج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w:t>
      </w:r>
      <w:r w:rsidRPr="001361F4">
        <w:rPr>
          <w:rFonts w:ascii="Simplified Arabic" w:eastAsia="Georgia" w:hAnsi="Simplified Arabic" w:cs="Simplified Arabic"/>
          <w:color w:val="000000"/>
          <w:sz w:val="24"/>
          <w:szCs w:val="24"/>
          <w:rtl/>
        </w:rPr>
        <w:t>) أو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دون اختبار المسار الكامل الذي يمر عبر سلوكيات السلامة كوسيط قريب بين الثقافة والنتائج السريرية، ولم يتم دمج هذا المسار مع تأثير القيادة التحويلية في نموذج وساطة متسلسلة موحد.</w:t>
      </w:r>
    </w:p>
    <w:p w14:paraId="315B9416" w14:textId="53981B42" w:rsidR="001361F4" w:rsidRPr="001361F4" w:rsidRDefault="00FE7308" w:rsidP="00404286">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الرابط: </w:t>
      </w:r>
      <w:r w:rsidRPr="001361F4">
        <w:rPr>
          <w:rFonts w:ascii="Simplified Arabic" w:eastAsia="Georgia" w:hAnsi="Simplified Arabic" w:cs="Simplified Arabic"/>
          <w:color w:val="000000"/>
          <w:sz w:val="24"/>
          <w:szCs w:val="24"/>
          <w:rtl/>
        </w:rPr>
        <w:t xml:space="preserve">انطلاقًا من هذا التوليف، تفترض الدراسة الحالية 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تؤثر بشكل مزدوج: مباشرة على سلوكيات السلامة، وغير مباشرة على الحوادث الضارة من خلال هذه السلوكيات. يُعبر عن ذلك في الفرضيتين الثانية والثالثة (</w:t>
      </w:r>
      <w:r w:rsidRPr="001361F4">
        <w:rPr>
          <w:rFonts w:ascii="Simplified Arabic" w:eastAsia="Georgia" w:hAnsi="Simplified Arabic" w:cs="Simplified Arabic"/>
          <w:color w:val="000000"/>
          <w:sz w:val="24"/>
          <w:szCs w:val="24"/>
        </w:rPr>
        <w:t>H2</w:t>
      </w:r>
      <w:r w:rsidRPr="001361F4">
        <w:rPr>
          <w:rFonts w:ascii="Simplified Arabic" w:eastAsia="Georgia" w:hAnsi="Simplified Arabic" w:cs="Simplified Arabic"/>
          <w:color w:val="000000"/>
          <w:sz w:val="24"/>
          <w:szCs w:val="24"/>
          <w:rtl/>
        </w:rPr>
        <w:t xml:space="preserve">، </w:t>
      </w:r>
      <w:r w:rsidRPr="001361F4">
        <w:rPr>
          <w:rFonts w:ascii="Simplified Arabic" w:eastAsia="Georgia" w:hAnsi="Simplified Arabic" w:cs="Simplified Arabic"/>
          <w:color w:val="000000"/>
          <w:sz w:val="24"/>
          <w:szCs w:val="24"/>
        </w:rPr>
        <w:t>H3</w:t>
      </w:r>
      <w:r w:rsidRPr="001361F4">
        <w:rPr>
          <w:rFonts w:ascii="Simplified Arabic" w:eastAsia="Georgia" w:hAnsi="Simplified Arabic" w:cs="Simplified Arabic"/>
          <w:color w:val="000000"/>
          <w:sz w:val="24"/>
          <w:szCs w:val="24"/>
          <w:rtl/>
        </w:rPr>
        <w:t xml:space="preserve">)، التي تختبر العلاقة بين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وسلوكيات السلامة، وبين سلوكيات السلامة وتقليل الحوادث الضارة. كما يظهر ذلك في الفرضيتين الرابعة والخامسة (</w:t>
      </w:r>
      <w:r w:rsidRPr="001361F4">
        <w:rPr>
          <w:rFonts w:ascii="Simplified Arabic" w:eastAsia="Georgia" w:hAnsi="Simplified Arabic" w:cs="Simplified Arabic"/>
          <w:color w:val="000000"/>
          <w:sz w:val="24"/>
          <w:szCs w:val="24"/>
        </w:rPr>
        <w:t>H4</w:t>
      </w:r>
      <w:r w:rsidRPr="001361F4">
        <w:rPr>
          <w:rFonts w:ascii="Simplified Arabic" w:eastAsia="Georgia" w:hAnsi="Simplified Arabic" w:cs="Simplified Arabic"/>
          <w:color w:val="000000"/>
          <w:sz w:val="24"/>
          <w:szCs w:val="24"/>
          <w:rtl/>
        </w:rPr>
        <w:t xml:space="preserve">، </w:t>
      </w:r>
      <w:r w:rsidRPr="001361F4">
        <w:rPr>
          <w:rFonts w:ascii="Simplified Arabic" w:eastAsia="Georgia" w:hAnsi="Simplified Arabic" w:cs="Simplified Arabic"/>
          <w:color w:val="000000"/>
          <w:sz w:val="24"/>
          <w:szCs w:val="24"/>
        </w:rPr>
        <w:t>H5</w:t>
      </w:r>
      <w:r w:rsidRPr="001361F4">
        <w:rPr>
          <w:rFonts w:ascii="Simplified Arabic" w:eastAsia="Georgia" w:hAnsi="Simplified Arabic" w:cs="Simplified Arabic"/>
          <w:color w:val="000000"/>
          <w:sz w:val="24"/>
          <w:szCs w:val="24"/>
          <w:rtl/>
        </w:rPr>
        <w:t xml:space="preserve">)، اللتين تدرسان دور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وسلوكيات السلامة كوسيطين (مباشرين ومتسلسلين) لنقل تأثير القيادة التحويلية إلى مستوى الحوادث الضارة في مستشفيات القطاع الحكومي في منطقة الجوف.</w:t>
      </w:r>
    </w:p>
    <w:p w14:paraId="09B4D39C" w14:textId="1B79C995" w:rsidR="00390B53" w:rsidRPr="001361F4" w:rsidRDefault="00AC4332" w:rsidP="00390B53">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2.9.3.1</w:t>
      </w:r>
      <w:r w:rsidR="00390B53" w:rsidRPr="001361F4">
        <w:rPr>
          <w:rFonts w:ascii="Simplified Arabic" w:eastAsia="Georgia" w:hAnsi="Simplified Arabic" w:cs="Simplified Arabic"/>
          <w:b/>
          <w:bCs/>
          <w:color w:val="000000"/>
          <w:sz w:val="24"/>
          <w:szCs w:val="24"/>
          <w:rtl/>
        </w:rPr>
        <w:t>تعقيب على المحور الثاني</w:t>
      </w:r>
    </w:p>
    <w:p w14:paraId="7926C9E8" w14:textId="6960D4A9" w:rsidR="00390B53" w:rsidRPr="001361F4" w:rsidRDefault="00390B53" w:rsidP="000A33FE">
      <w:pPr>
        <w:bidi/>
        <w:spacing w:after="100" w:afterAutospacing="1" w:line="360" w:lineRule="auto"/>
        <w:ind w:left="-29"/>
        <w:jc w:val="both"/>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color w:val="000000"/>
          <w:sz w:val="24"/>
          <w:szCs w:val="24"/>
          <w:rtl/>
        </w:rPr>
        <w:t xml:space="preserve">يظهر استعراض الدراسات في هذا المجال أن ثقافة سلامة المرضى وسلوكيات السلامة تعتبران حلقتين رئيسيتين تربطان العوامل التنظيمية في المستشفى مع النتائج السريرية المتعلقة بسلامة المرضى. حيث يتفق الباحثون على أن ارتفاع مستوى </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xml:space="preserve"> المدركة بين العاملين يرتبط بزيادة تقارير الحوادث والحوادث القريبة، وتحسين التصورات حول جودة الرعاية، وتقليل الأخطاء والحوادث الضارة. كما تؤكد المراجعات المنهجية أن وجود ثقافة سلامة إيجابية تساهم في تقليل معدلات العدوى المكتسبة، والأخطاء الدوائية، وتحسين مخرجات المرضى، وأن هذا التأثير غالبًا ما ينجم عن سلوكيات العاملين والتزامهم بالممارسات الوقائية.</w:t>
      </w:r>
    </w:p>
    <w:p w14:paraId="601CCFFE" w14:textId="5BB4F25C" w:rsidR="00390B53" w:rsidRPr="001361F4" w:rsidRDefault="00390B53" w:rsidP="000A33FE">
      <w:pPr>
        <w:bidi/>
        <w:spacing w:before="315" w:after="100" w:afterAutospacing="1" w:line="360" w:lineRule="auto"/>
        <w:ind w:left="-29"/>
        <w:jc w:val="both"/>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color w:val="000000"/>
          <w:sz w:val="24"/>
          <w:szCs w:val="24"/>
          <w:rtl/>
        </w:rPr>
        <w:t>ومع ذلك، يتركز العديد من الدراسات على العلاقة المباشرة بين الثقافة وسلوكيات السلامة، أو بين الثقافة ومؤشرات سلامة المرضى، دون النظر إلى المسار الكامل الذي يربط بين القيادة التحويلية، و</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وسلوكيات السلامة، وتقليل الأحداث الضارة ضمن إطار شامل. بالإضافة إلى ذلك، فإن القليل منها تناول دور القيادة بشكل مباشر، أو استخدم أساليب تحليل متقدمة لاختبار الأدوار الوسيطة والمتسلسلة. لذلك، تهدف الدراسة الحالية إلى ملء هذه الفجوة من خلال دمج ثقافة سلامة المرضى وسلوكيات السلامة كمرحلتين وسيطتين في المسار الذي يربط القيادة التحويلية وتقليل الأحداث الضارة.</w:t>
      </w:r>
    </w:p>
    <w:p w14:paraId="4C64249B" w14:textId="79679C9B" w:rsidR="00390B53" w:rsidRPr="001361F4" w:rsidRDefault="00AC4332" w:rsidP="00390B53">
      <w:pPr>
        <w:bidi/>
        <w:spacing w:before="315" w:after="105" w:line="360" w:lineRule="auto"/>
        <w:ind w:left="-30"/>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lastRenderedPageBreak/>
        <w:t>2.9.4</w:t>
      </w:r>
      <w:r w:rsidR="00390B53" w:rsidRPr="001361F4">
        <w:rPr>
          <w:rFonts w:ascii="Simplified Arabic" w:eastAsia="Georgia" w:hAnsi="Simplified Arabic" w:cs="Simplified Arabic"/>
          <w:b/>
          <w:bCs/>
          <w:color w:val="000000"/>
          <w:sz w:val="24"/>
          <w:szCs w:val="24"/>
          <w:rtl/>
        </w:rPr>
        <w:t>المحور الثالث: دراسات نماذج العلاقات المتسلسلة والوساطة</w:t>
      </w:r>
    </w:p>
    <w:p w14:paraId="38DD2646" w14:textId="77777777" w:rsidR="00390B53" w:rsidRPr="001361F4" w:rsidRDefault="00390B53" w:rsidP="00390B53">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color w:val="000000"/>
          <w:sz w:val="24"/>
          <w:szCs w:val="24"/>
          <w:rtl/>
        </w:rPr>
        <w:t xml:space="preserve">يركز هذا المحور على الدراسات التي استخدمت نماذج سببية أو </w:t>
      </w:r>
      <w:proofErr w:type="spellStart"/>
      <w:r w:rsidRPr="001361F4">
        <w:rPr>
          <w:rFonts w:ascii="Simplified Arabic" w:eastAsia="Georgia" w:hAnsi="Simplified Arabic" w:cs="Simplified Arabic"/>
          <w:b/>
          <w:color w:val="000000"/>
          <w:sz w:val="24"/>
          <w:szCs w:val="24"/>
          <w:rtl/>
        </w:rPr>
        <w:t>وساطية</w:t>
      </w:r>
      <w:proofErr w:type="spellEnd"/>
      <w:r w:rsidRPr="001361F4">
        <w:rPr>
          <w:rFonts w:ascii="Simplified Arabic" w:eastAsia="Georgia" w:hAnsi="Simplified Arabic" w:cs="Simplified Arabic"/>
          <w:b/>
          <w:color w:val="000000"/>
          <w:sz w:val="24"/>
          <w:szCs w:val="24"/>
          <w:rtl/>
        </w:rPr>
        <w:t xml:space="preserve"> متقدمة لتحليل العلاقة بين العوامل القيادية والتنظيمية من جهة، ونتائج سلامة المرضى من جهة أخرى، مع التركيز على الدراسات التي تعتمد نمذجة المعادلات الهيكلية أو الاختبارات الإحصائية للتأثيرات غير المباشرة.</w:t>
      </w:r>
    </w:p>
    <w:p w14:paraId="17122EB6" w14:textId="08706A2C" w:rsidR="00390B53" w:rsidRPr="001361F4" w:rsidRDefault="00AC4332" w:rsidP="00390B53">
      <w:pPr>
        <w:bidi/>
        <w:spacing w:after="105" w:line="360" w:lineRule="auto"/>
        <w:ind w:left="-29"/>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bCs/>
          <w:color w:val="000000"/>
          <w:sz w:val="24"/>
          <w:szCs w:val="24"/>
          <w:rtl/>
        </w:rPr>
        <w:t xml:space="preserve">2.9.4.1 </w:t>
      </w:r>
      <w:r w:rsidR="00390B53" w:rsidRPr="001361F4">
        <w:rPr>
          <w:rFonts w:ascii="Simplified Arabic" w:eastAsia="Georgia" w:hAnsi="Simplified Arabic" w:cs="Simplified Arabic"/>
          <w:b/>
          <w:bCs/>
          <w:color w:val="000000"/>
          <w:sz w:val="24"/>
          <w:szCs w:val="24"/>
          <w:rtl/>
        </w:rPr>
        <w:t>دراسات دولية حول الوساطة والوساطة المتسلسلة</w:t>
      </w:r>
      <w:r w:rsidR="00390B53" w:rsidRPr="001361F4">
        <w:rPr>
          <w:rFonts w:ascii="Simplified Arabic" w:eastAsia="Georgia" w:hAnsi="Simplified Arabic" w:cs="Simplified Arabic"/>
          <w:b/>
          <w:bCs/>
          <w:color w:val="000000"/>
          <w:sz w:val="24"/>
          <w:szCs w:val="24"/>
        </w:rPr>
        <w:t>:</w:t>
      </w:r>
    </w:p>
    <w:p w14:paraId="2F96C972" w14:textId="77777777" w:rsidR="00390B53" w:rsidRPr="001361F4" w:rsidRDefault="00390B53" w:rsidP="00390B53">
      <w:pPr>
        <w:bidi/>
        <w:spacing w:after="0" w:line="360" w:lineRule="auto"/>
        <w:ind w:left="-29"/>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 xml:space="preserve">خلصت مراجعة </w:t>
      </w:r>
      <w:proofErr w:type="spellStart"/>
      <w:r w:rsidRPr="001361F4">
        <w:rPr>
          <w:rFonts w:ascii="Simplified Arabic" w:eastAsia="Georgia" w:hAnsi="Simplified Arabic" w:cs="Simplified Arabic"/>
          <w:b/>
          <w:color w:val="000000"/>
          <w:sz w:val="24"/>
          <w:szCs w:val="24"/>
          <w:rtl/>
        </w:rPr>
        <w:t>ميستري</w:t>
      </w:r>
      <w:proofErr w:type="spellEnd"/>
      <w:r w:rsidRPr="001361F4">
        <w:rPr>
          <w:rFonts w:ascii="Simplified Arabic" w:eastAsia="Georgia" w:hAnsi="Simplified Arabic" w:cs="Simplified Arabic"/>
          <w:b/>
          <w:color w:val="000000"/>
          <w:sz w:val="24"/>
          <w:szCs w:val="24"/>
          <w:rtl/>
        </w:rPr>
        <w:t xml:space="preserve"> وزملائه  إلى أن العديد من الدراسات الدولية تعتمد على نمذجة المعادلات الهيكلية لتقييم دور ثقافة سلامة المرضى كمتغير وسيط بين العوامل التنظيمية والنتائج السريرية وقد أظهرت هذه الدراسات أن الثقافة تؤثر ليس فقط بشكل مباشر على النتائج، بل أيضًا من خلال تشكيل سلوك العاملين والتزامهم بالممارسات الآمنة، كما أن النماذج الأكثر تفسيرًا لنتائج سلامة المرضى تتضمن مسارات غير مباشرة ومتسلسلة تربط بين الثقافة والسلوكيات، مما يعكس أهمية تبني نماذج سببية أكثر تعقيدًا في الأبحاث المستقبلية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361F4">
        <w:rPr>
          <w:rFonts w:ascii="Simplified Arabic" w:eastAsia="Georgia" w:hAnsi="Simplified Arabic" w:cs="Simplified Arabic"/>
          <w:bCs/>
          <w:color w:val="000000"/>
          <w:sz w:val="24"/>
          <w:szCs w:val="24"/>
          <w:rtl/>
        </w:rPr>
        <w:instrText>/</w:instrText>
      </w:r>
      <w:r w:rsidRPr="001361F4">
        <w:rPr>
          <w:rFonts w:ascii="Simplified Arabic" w:eastAsia="Georgia" w:hAnsi="Simplified Arabic" w:cs="Simplified Arabic"/>
          <w:bCs/>
          <w:color w:val="000000"/>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w:t>
      </w:r>
    </w:p>
    <w:p w14:paraId="46BADF46" w14:textId="77777777" w:rsidR="00390B53" w:rsidRPr="001361F4" w:rsidRDefault="00390B53" w:rsidP="00390B53">
      <w:pPr>
        <w:bidi/>
        <w:spacing w:before="315" w:after="105"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 xml:space="preserve">وفي سياق مماثل، أظهرت دراسة </w:t>
      </w:r>
      <w:proofErr w:type="spellStart"/>
      <w:r w:rsidRPr="001361F4">
        <w:rPr>
          <w:rFonts w:ascii="Simplified Arabic" w:eastAsia="Georgia" w:hAnsi="Simplified Arabic" w:cs="Simplified Arabic"/>
          <w:b/>
          <w:color w:val="000000"/>
          <w:sz w:val="24"/>
          <w:szCs w:val="24"/>
          <w:rtl/>
        </w:rPr>
        <w:t>كونلان</w:t>
      </w:r>
      <w:proofErr w:type="spellEnd"/>
      <w:r w:rsidRPr="001361F4">
        <w:rPr>
          <w:rFonts w:ascii="Simplified Arabic" w:eastAsia="Georgia" w:hAnsi="Simplified Arabic" w:cs="Simplified Arabic"/>
          <w:b/>
          <w:color w:val="000000"/>
          <w:sz w:val="24"/>
          <w:szCs w:val="24"/>
          <w:rtl/>
        </w:rPr>
        <w:t xml:space="preserve"> وشين أن ثقافة سلامة المرضى غالبًا ما تعتبر في العديد من النماذج الإحصائية متغيرًا وسيطًا يربط بين ممارسات الإدارة أو خصائص بيئة العمل وبين معدلات الحوادث الضارة بأسلوب يدركه الممرضون، كما أشارت الدراسة إلى أن تطبيق نمذجة المعادلات الهيكلية يتيح تقييم التأثيرات المباشرة وغير المباشرة بشكل متزامن، ويسهل فهم المسارات التي تنتقل من خلالها تأثيرات القيادة والتنظيم إلى النتائج السريرية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Konlan &amp; Shin,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r w:rsidRPr="001361F4">
        <w:rPr>
          <w:rFonts w:ascii="Simplified Arabic" w:eastAsia="Georgia" w:hAnsi="Simplified Arabic" w:cs="Simplified Arabic"/>
          <w:b/>
          <w:color w:val="000000"/>
          <w:sz w:val="24"/>
          <w:szCs w:val="24"/>
          <w:rtl/>
        </w:rPr>
        <w:t xml:space="preserve"> </w:t>
      </w:r>
    </w:p>
    <w:p w14:paraId="0A145780" w14:textId="067A7284" w:rsidR="00390B53" w:rsidRPr="001361F4" w:rsidRDefault="00390B53" w:rsidP="000A33FE">
      <w:pPr>
        <w:bidi/>
        <w:spacing w:before="315" w:after="105"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بينت الدراسات أن سلوكيات السلامة عادةً ما تكون عاملًا متوسطًا في نماذج السبب والتأثير، حيث تتأثر ب</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xml:space="preserve"> ودعم القيادة، ثم تؤثر على الأحداث الضارة ومؤشرات الجودة. وكتبت مراجعات منهجية متعددة دعماً لهذا المفهوم، مؤكدة أن النماذج التي تتجاهل الدور الوسيط للسلوكيات قد تؤدي إلى فهم خاطئ للعلاقة بين القيادة أو الثقافة ونتائج سلامة المرضى.</w:t>
      </w:r>
    </w:p>
    <w:p w14:paraId="496D7F86" w14:textId="7DB3F1B6" w:rsidR="00390B53" w:rsidRPr="001361F4" w:rsidRDefault="00AC4332" w:rsidP="00390B53">
      <w:pPr>
        <w:bidi/>
        <w:spacing w:before="240" w:after="0" w:line="360" w:lineRule="auto"/>
        <w:ind w:left="-30"/>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bCs/>
          <w:color w:val="000000"/>
          <w:sz w:val="24"/>
          <w:szCs w:val="24"/>
          <w:rtl/>
        </w:rPr>
        <w:t>2.9.4.2 الدراسات</w:t>
      </w:r>
      <w:r w:rsidR="00390B53" w:rsidRPr="001361F4">
        <w:rPr>
          <w:rFonts w:ascii="Simplified Arabic" w:eastAsia="Georgia" w:hAnsi="Simplified Arabic" w:cs="Simplified Arabic"/>
          <w:b/>
          <w:bCs/>
          <w:color w:val="000000"/>
          <w:sz w:val="24"/>
          <w:szCs w:val="24"/>
          <w:rtl/>
        </w:rPr>
        <w:t xml:space="preserve"> السعودية وأساليب التحليل</w:t>
      </w:r>
      <w:r w:rsidR="00390B53" w:rsidRPr="001361F4">
        <w:rPr>
          <w:rFonts w:ascii="Simplified Arabic" w:eastAsia="Georgia" w:hAnsi="Simplified Arabic" w:cs="Simplified Arabic"/>
          <w:b/>
          <w:bCs/>
          <w:color w:val="000000"/>
          <w:sz w:val="24"/>
          <w:szCs w:val="24"/>
        </w:rPr>
        <w:t>:</w:t>
      </w:r>
    </w:p>
    <w:p w14:paraId="08C21019" w14:textId="77777777" w:rsidR="00390B53" w:rsidRPr="001361F4" w:rsidRDefault="00390B53" w:rsidP="00390B53">
      <w:pPr>
        <w:bidi/>
        <w:spacing w:after="100" w:afterAutospacing="1"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 xml:space="preserve">تظهر مراجعة الدراسات ذات الصلة بالسعودية أن معظمها يعتمد على أدوات تحليل تقليدية مثل الارتباط والانحدار المتعدد، مع التركيز على العلاقات المباشرة بين المتغيرات. على سبيل المثال، دراسة العتيبي وآخرين ودراسة </w:t>
      </w:r>
      <w:proofErr w:type="spellStart"/>
      <w:r w:rsidRPr="001361F4">
        <w:rPr>
          <w:rFonts w:ascii="Simplified Arabic" w:eastAsia="Georgia" w:hAnsi="Simplified Arabic" w:cs="Simplified Arabic"/>
          <w:b/>
          <w:color w:val="000000"/>
          <w:sz w:val="24"/>
          <w:szCs w:val="24"/>
          <w:rtl/>
        </w:rPr>
        <w:t>المنتشري</w:t>
      </w:r>
      <w:proofErr w:type="spellEnd"/>
      <w:r w:rsidRPr="001361F4">
        <w:rPr>
          <w:rFonts w:ascii="Simplified Arabic" w:eastAsia="Georgia" w:hAnsi="Simplified Arabic" w:cs="Simplified Arabic"/>
          <w:bCs/>
          <w:color w:val="000000"/>
          <w:sz w:val="24"/>
          <w:szCs w:val="24"/>
          <w:rtl/>
        </w:rPr>
        <w:t xml:space="preserve"> </w:t>
      </w:r>
      <w:r w:rsidRPr="001361F4">
        <w:rPr>
          <w:rFonts w:ascii="Simplified Arabic" w:eastAsia="Georgia" w:hAnsi="Simplified Arabic" w:cs="Simplified Arabic"/>
          <w:b/>
          <w:color w:val="000000"/>
          <w:sz w:val="24"/>
          <w:szCs w:val="24"/>
          <w:rtl/>
        </w:rPr>
        <w:t>التي ركزت على فحص العلاقة بين القيادة التحويلية أو سلوكيات القيادة من جهة، وثقافة سلامة المرضى من جهة أخرى، دون دمج سلوكيات السلامة أو الأحداث الضارة في نموذج وساطة متسلسلة</w: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Alotaibi et al., 2015; Amal Ali Almuntasheri,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 xml:space="preserve">. من ناحية أخرى، تشير بعض الدراسات </w:t>
      </w:r>
      <w:r w:rsidRPr="001361F4">
        <w:rPr>
          <w:rFonts w:ascii="Simplified Arabic" w:eastAsia="Georgia" w:hAnsi="Simplified Arabic" w:cs="Simplified Arabic"/>
          <w:b/>
          <w:color w:val="000000"/>
          <w:sz w:val="24"/>
          <w:szCs w:val="24"/>
          <w:rtl/>
        </w:rPr>
        <w:lastRenderedPageBreak/>
        <w:t xml:space="preserve">والتقارير إلى الحاجة إلى اعتماد نماذج تحليلية أكثر تقدمًا في المجال الصحي السعودي، كنمذجة المعادلات الهيكلية، لاختبار العلاقات المعقدة بين القيادة، والثقافة، والسلوكيات، والنتائج السريرية </w: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Kline, 2023; 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p>
    <w:bookmarkEnd w:id="1"/>
    <w:p w14:paraId="6DF6390D" w14:textId="5AB1F0F1" w:rsidR="00487338" w:rsidRPr="001361F4" w:rsidRDefault="00AC4332" w:rsidP="0068584E">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 xml:space="preserve">2.9.5 </w:t>
      </w:r>
      <w:r w:rsidR="0068584E" w:rsidRPr="0068584E">
        <w:rPr>
          <w:rFonts w:ascii="Simplified Arabic" w:eastAsia="Georgia" w:hAnsi="Simplified Arabic" w:cs="Simplified Arabic"/>
          <w:b/>
          <w:bCs/>
          <w:color w:val="000000"/>
          <w:sz w:val="24"/>
          <w:szCs w:val="24"/>
          <w:rtl/>
        </w:rPr>
        <w:t>التعليق النقدي والفجوة البحثية</w:t>
      </w:r>
    </w:p>
    <w:p w14:paraId="19F7A561"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أولًا: التعليق النقدي وأوجه الاتفاق والاختلاف</w:t>
      </w:r>
    </w:p>
    <w:p w14:paraId="4C90453E" w14:textId="303E76EB" w:rsidR="00487338" w:rsidRPr="001361F4" w:rsidRDefault="00487338" w:rsidP="000A33FE">
      <w:pPr>
        <w:bidi/>
        <w:spacing w:before="315" w:after="105" w:line="360" w:lineRule="auto"/>
        <w:ind w:left="-30"/>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تُظهر مراجعة الأدبيات وجود توافق واسع على الدور الأساسي للقيادة التحويلية في تشكيل ثقافة تنظيمية إيجابية، وأن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تمثل الإطار القيمي الذي يوجه سلوكيات السلامة، والتي تُعتبر أكثر العوامل تأثيرًا في تقليل الأحداث الضارة داخل المستشفيات. بالمقابل، توجد بعض النواقص؛ إذ ركزت العديد من الدراسات على علاقات ثنائية محددة (مثل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w:t>
      </w:r>
      <w:r w:rsidRPr="001361F4">
        <w:rPr>
          <w:rFonts w:ascii="Simplified Arabic" w:eastAsia="Georgia" w:hAnsi="Simplified Arabic" w:cs="Simplified Arabic"/>
          <w:color w:val="000000"/>
          <w:sz w:val="24"/>
          <w:szCs w:val="24"/>
          <w:rtl/>
        </w:rPr>
        <w:t xml:space="preserve"> أو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w:t>
      </w:r>
      <w:r w:rsidRPr="001361F4">
        <w:rPr>
          <w:rFonts w:ascii="Simplified Arabic" w:eastAsia="Georgia" w:hAnsi="Simplified Arabic" w:cs="Simplified Arabic"/>
          <w:color w:val="000000"/>
          <w:sz w:val="24"/>
          <w:szCs w:val="24"/>
          <w:rtl/>
        </w:rPr>
        <w:t xml:space="preserve"> أو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دون اختبار مسار سببي شامل يوضح كيف تنتقل تأثيرات القيادة من خلال الثقافة والسلوك إلى النتائج السريرية، بالإضافة إلى أن جزءًا من الأدبيات الوطنية يقتصر على سياقات جغرافية وتنظيمية تختلف عن مستشفيات القطاع الحكومي في منطقة الجوف.</w:t>
      </w:r>
    </w:p>
    <w:p w14:paraId="4C11617E"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ثانيًا: الفجوة البحثية متعددة الأبعاد</w:t>
      </w:r>
    </w:p>
    <w:p w14:paraId="55AF6E3A" w14:textId="0C6CFC22"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color w:val="000000"/>
          <w:sz w:val="24"/>
          <w:szCs w:val="24"/>
          <w:rtl/>
        </w:rPr>
        <w:t>يمكن تلخيص الفجوة البحثية في بعدين متكاملين: الأول منهجي، ويتعلق بغياب نماذج وساطة متسلسلة تُختبر بشكل صريح بطريقة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باستخدام تقنيات تحليل متقدمة مثل نمذجة المعادلات الهيكلية، مما يسمح بقياس التأثيرات المباشرة وغير المباشرة معاً. أما البعد الثاني فهو سياقي، ويشير إلى قلة الأدلة التجريبية المستقاة من مستشفيات القطاع الحكومي في منطقة الجوف، على الرغم من خصوصية هذه المنطقة ووضوح التحديات المتعلقة بسلامة المرضى فيها، مقارنة بمناطق أخرى في السعودية تلقت حضوراً بحثياً أكبر.</w:t>
      </w:r>
    </w:p>
    <w:p w14:paraId="462477D8"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ثالثًا: القيمة المضافة المتوقعة للدراسة الحالية</w:t>
      </w:r>
    </w:p>
    <w:p w14:paraId="00166BF8" w14:textId="208C7111" w:rsidR="00487338" w:rsidRPr="001361F4" w:rsidRDefault="00487338" w:rsidP="000A33FE">
      <w:pPr>
        <w:bidi/>
        <w:spacing w:before="315" w:after="105" w:line="360" w:lineRule="auto"/>
        <w:ind w:left="-30"/>
        <w:jc w:val="both"/>
        <w:rPr>
          <w:rFonts w:ascii="Simplified Arabic" w:eastAsia="Georgia" w:hAnsi="Simplified Arabic" w:cs="Simplified Arabic"/>
          <w:color w:val="000000"/>
          <w:sz w:val="24"/>
          <w:szCs w:val="24"/>
          <w:rtl/>
        </w:rPr>
      </w:pPr>
      <w:r w:rsidRPr="001361F4">
        <w:rPr>
          <w:rFonts w:ascii="Simplified Arabic" w:eastAsia="Georgia" w:hAnsi="Simplified Arabic" w:cs="Simplified Arabic"/>
          <w:color w:val="000000"/>
          <w:sz w:val="24"/>
          <w:szCs w:val="24"/>
          <w:rtl/>
        </w:rPr>
        <w:t xml:space="preserve">تستجيب هذه الدراسة للفجوة المنهجية من خلال بناء واختبار نموذج مفاهيمي شامل يفحص تأثير القيادة التحويلية على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بشكل مباشر، ثم تأثيرها غير المباشر عبر سلوكيات السلامة وصولاً إلى الأحداث الضارة، ضمن إطار وساطة متسلسلة يُحول هذا المسار إلى فرضيات (</w:t>
      </w:r>
      <w:r w:rsidRPr="001361F4">
        <w:rPr>
          <w:rFonts w:ascii="Simplified Arabic" w:eastAsia="Georgia" w:hAnsi="Simplified Arabic" w:cs="Simplified Arabic"/>
          <w:color w:val="000000"/>
          <w:sz w:val="24"/>
          <w:szCs w:val="24"/>
        </w:rPr>
        <w:t>H1–H5</w:t>
      </w:r>
      <w:r w:rsidRPr="001361F4">
        <w:rPr>
          <w:rFonts w:ascii="Simplified Arabic" w:eastAsia="Georgia" w:hAnsi="Simplified Arabic" w:cs="Simplified Arabic"/>
          <w:color w:val="000000"/>
          <w:sz w:val="24"/>
          <w:szCs w:val="24"/>
          <w:rtl/>
        </w:rPr>
        <w:t xml:space="preserve">) تُختبر باستخدام </w:t>
      </w:r>
      <w:r w:rsidRPr="001361F4">
        <w:rPr>
          <w:rFonts w:ascii="Simplified Arabic" w:eastAsia="Georgia" w:hAnsi="Simplified Arabic" w:cs="Simplified Arabic"/>
          <w:color w:val="000000"/>
          <w:sz w:val="24"/>
          <w:szCs w:val="24"/>
        </w:rPr>
        <w:t>SEM</w:t>
      </w:r>
      <w:r w:rsidRPr="001361F4">
        <w:rPr>
          <w:rFonts w:ascii="Simplified Arabic" w:eastAsia="Georgia" w:hAnsi="Simplified Arabic" w:cs="Simplified Arabic"/>
          <w:color w:val="000000"/>
          <w:sz w:val="24"/>
          <w:szCs w:val="24"/>
          <w:rtl/>
        </w:rPr>
        <w:t xml:space="preserve">. كما تساهم الدراسة في سد الفجوة السياقية من خلال تقديم بيانات ميدانية من مستشفيات القطاع الحكومي في منطقة الجوف، مما يزود صانعي القرار والقادة في هذه المستشفيات بأدلة محلية يمكن استخدامها في تصميم تدخلات قيادية وتنظيمية تهدف إلى تعزيز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وتقليل الأحداث الضارة، بما يتوافق مع أهداف رؤية 2030.</w:t>
      </w:r>
    </w:p>
    <w:p w14:paraId="0662FD5B" w14:textId="0A45DD39" w:rsidR="00C367CA" w:rsidRPr="001361F4" w:rsidRDefault="00C367CA" w:rsidP="00C367CA">
      <w:pPr>
        <w:bidi/>
        <w:spacing w:before="315" w:after="105" w:line="360" w:lineRule="auto"/>
        <w:ind w:left="-30"/>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lastRenderedPageBreak/>
        <w:t>وبذلك، يمثل النموذج المقترح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ترجمة مباشرة لما أظهرته الأدبيات من الحاجة إلى اختبار المسارات غير المباشرة والمتتابعة بين القيادة ونتائج سلامة المرضى في السياق السعودي.</w:t>
      </w:r>
    </w:p>
    <w:p w14:paraId="61EB6BC1" w14:textId="2AC5C2FC" w:rsidR="00003AD7" w:rsidRPr="001361F4" w:rsidRDefault="00487338" w:rsidP="00487338">
      <w:pPr>
        <w:bidi/>
        <w:spacing w:before="315" w:after="105" w:line="360" w:lineRule="auto"/>
        <w:ind w:left="-30"/>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رابعا:</w:t>
      </w:r>
      <w:r w:rsidR="00003AD7" w:rsidRPr="001361F4">
        <w:rPr>
          <w:rFonts w:ascii="Simplified Arabic" w:eastAsia="Georgia" w:hAnsi="Simplified Arabic" w:cs="Simplified Arabic"/>
          <w:b/>
          <w:bCs/>
          <w:color w:val="000000"/>
          <w:sz w:val="24"/>
          <w:szCs w:val="24"/>
          <w:rtl/>
        </w:rPr>
        <w:t xml:space="preserve"> خلاصة الفجوة البحثية وربطها بفرضيات الدراسة</w:t>
      </w:r>
    </w:p>
    <w:p w14:paraId="1F91AEC5" w14:textId="0AB4D5D3" w:rsidR="00003AD7" w:rsidRPr="001361F4" w:rsidRDefault="00003AD7" w:rsidP="000A33FE">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يتبيّن من التحليل النقدي للأدبيات أن غالبية الدراسات تناولت أجزاءً منفصلة من النموذج، حيث ركّز بعضها على العلاقة بين القيادة التحويلية و</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بينما اختصّت دراسات أخرى بالعلاقة بين الثقافة وسلوكيات السلامة أو الأحداث الضارة، دون إجراء اختبار مسار شامل يُوضح كيفية انتقال تأثير القيادة عبر الثقافة والسلوك إلى النتائج السريرية في المستشفيات الحكومية السعودية.</w:t>
      </w:r>
    </w:p>
    <w:p w14:paraId="32EA855F" w14:textId="22477DC1" w:rsidR="00003AD7" w:rsidRPr="001361F4" w:rsidRDefault="00003AD7" w:rsidP="00003AD7">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تميل الدراسات الوطنية المتاحة إلى التركيز على مناطق محددة مثل الرياض وجدة والحدود الشمالية، مع وجود نقص واضح في الأدلة التجريبية من منطقة الجوف، على الرغم من خصوصيتها التنظيمية والديموغرافية. تتجلى الفجوة البحثية في بعدين متكاملين: الأول منهجي، ويتمثل في غياب نماذج وساطة متسلسلة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تُختبر بواسطة نمذجة المعادلات الهيكلية، والثاني سياقي، ويتمثل في قلة الدراسات التي تستهدف مستشفيات القطاع الحكومي في منطقة الجوف.</w:t>
      </w:r>
    </w:p>
    <w:p w14:paraId="7D6BD976" w14:textId="1CC45439" w:rsidR="00003AD7" w:rsidRPr="001361F4" w:rsidRDefault="00003AD7" w:rsidP="000A33FE">
      <w:pPr>
        <w:bidi/>
        <w:spacing w:after="210" w:line="360" w:lineRule="auto"/>
        <w:jc w:val="both"/>
        <w:rPr>
          <w:rFonts w:ascii="Simplified Arabic" w:eastAsia="Georgia" w:hAnsi="Simplified Arabic" w:cs="Simplified Arabic"/>
          <w:color w:val="000000"/>
          <w:sz w:val="24"/>
          <w:szCs w:val="24"/>
          <w:rtl/>
        </w:rPr>
      </w:pPr>
      <w:r w:rsidRPr="001361F4">
        <w:rPr>
          <w:rFonts w:ascii="Simplified Arabic" w:eastAsia="Georgia" w:hAnsi="Simplified Arabic" w:cs="Simplified Arabic"/>
          <w:color w:val="000000"/>
          <w:sz w:val="24"/>
          <w:szCs w:val="24"/>
          <w:rtl/>
        </w:rPr>
        <w:t xml:space="preserve">تستجيب هذه الدراسة لهذه الفجوة من خلال بناء واختبار نموذج سببي متسلسل، يدرس التأثير المباشر للقيادة التحويلية على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والتأثير غير المباشر على سلوكيات السلامة، وأخيرًا تأثيرها على تقليل الأحداث الضارة، مع تحويل هذه الفجوة إلى أسئلة وفرضيات محددة (</w:t>
      </w:r>
      <w:r w:rsidRPr="001361F4">
        <w:rPr>
          <w:rFonts w:ascii="Simplified Arabic" w:eastAsia="Georgia" w:hAnsi="Simplified Arabic" w:cs="Simplified Arabic"/>
          <w:color w:val="000000"/>
          <w:sz w:val="24"/>
          <w:szCs w:val="24"/>
        </w:rPr>
        <w:t>H1–H5</w:t>
      </w:r>
      <w:r w:rsidRPr="001361F4">
        <w:rPr>
          <w:rFonts w:ascii="Simplified Arabic" w:eastAsia="Georgia" w:hAnsi="Simplified Arabic" w:cs="Simplified Arabic"/>
          <w:color w:val="000000"/>
          <w:sz w:val="24"/>
          <w:szCs w:val="24"/>
          <w:rtl/>
        </w:rPr>
        <w:t>) ونموذج مفاهيمي واضح سيتم اختباره إحصائيًا في الفصول القادمة.</w:t>
      </w:r>
    </w:p>
    <w:p w14:paraId="2C3A0AAC" w14:textId="589A605E" w:rsidR="00B172EF" w:rsidRPr="001361F4" w:rsidRDefault="00B172EF" w:rsidP="00B172EF">
      <w:pPr>
        <w:bidi/>
        <w:spacing w:after="210" w:line="360" w:lineRule="auto"/>
        <w:jc w:val="both"/>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خامسا: خلاصة تركيبية للدراسات السابقة</w:t>
      </w:r>
    </w:p>
    <w:p w14:paraId="289E05EE" w14:textId="04391727" w:rsidR="00B172EF" w:rsidRPr="001361F4" w:rsidRDefault="00B172EF" w:rsidP="000A33FE">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استنادًا إلى العرض السابق للدراسات ذات الصلة، يظهر أن الأدبيات تتفق على ثلاث ركائز أساسية: أولًا، القيادة التحويلية تعتبر متغيرًا قياديًا رئيسيًا يرتبط إيجابيًا ببيئة العمل وثقافة سلامة المرضى في مختلف السياقات الصحية، بما فيها السياق السعودي. ثانيًا،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الإيجابية تُعد شرطًا تنظيميًا أساسيًا لتعزيز سلوكيات السلامة بين العاملين، خاصةً في مجالات الإبلاغ عن الأخطاء، والالتزام بالبروتوكولات، والتعلم من الحوادث. ثالثًا، فإن تحسين ثقافة السلامة وسلوكيات السلامة يرتبط بانخفاض معدلات الأحداث الضارة، بالإضافة إلى رفع جودة الرعاية، كما أظهرت الدراسات المقطعية والمراجعات المنهجية الحديثة.</w:t>
      </w:r>
    </w:p>
    <w:p w14:paraId="51563528" w14:textId="716BDB3F" w:rsidR="00B172EF" w:rsidRPr="001361F4" w:rsidRDefault="00B172EF" w:rsidP="00631A37">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من ناحية أخرى، تُبرز الأدبيات عدة نقاط ضعف تبرز الحاجة إلى الدراسة الحالية؛ إذ تقتصر العديد من الدراسات على فحص علاقات ثنائية جزئية، مثل العلاقة بين القيادة و</w:t>
      </w:r>
      <w:r w:rsidR="00631A37"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أو بين الثقافة وسلوكيات السلامة، دون إنشاء نموذج سببي شامل يدمج جميع المتغيرات ضمن إطار وساطة متسلسلة. كما أن الغالبية من الدراسات السعودية تركز على المناطق الحضرية الكبرى، مثل الرياض، جدة، مكة، والمدينة، مع تهميش منطقة الجوف رغم خصوصيتها التنظيمية والديموغرافية</w:t>
      </w:r>
      <w:r w:rsidR="00AE68EF" w:rsidRPr="001361F4">
        <w:rPr>
          <w:rFonts w:ascii="Simplified Arabic" w:eastAsia="Georgia" w:hAnsi="Simplified Arabic" w:cs="Simplified Arabic"/>
          <w:color w:val="000000"/>
          <w:sz w:val="24"/>
          <w:szCs w:val="24"/>
          <w:rtl/>
        </w:rPr>
        <w:t>،</w:t>
      </w:r>
      <w:r w:rsidRPr="001361F4">
        <w:rPr>
          <w:rFonts w:ascii="Simplified Arabic" w:eastAsia="Georgia" w:hAnsi="Simplified Arabic" w:cs="Simplified Arabic"/>
          <w:color w:val="000000"/>
          <w:sz w:val="24"/>
          <w:szCs w:val="24"/>
          <w:rtl/>
        </w:rPr>
        <w:t xml:space="preserve"> بالإضافة إلى ذلك، فإن بعض </w:t>
      </w:r>
      <w:r w:rsidRPr="001361F4">
        <w:rPr>
          <w:rFonts w:ascii="Simplified Arabic" w:eastAsia="Georgia" w:hAnsi="Simplified Arabic" w:cs="Simplified Arabic"/>
          <w:color w:val="000000"/>
          <w:sz w:val="24"/>
          <w:szCs w:val="24"/>
          <w:rtl/>
        </w:rPr>
        <w:lastRenderedPageBreak/>
        <w:t>الدراسات تعتمد على تحليلات وصفية أو ارتباطية تقليدية، مما يقيّد من قدرتها على تفسير الآليات المعقدة التي تنتقل من خلالها التأثيرات القيادية إلى النتائج النهائية المتعلقة بسلامة المرضى.</w:t>
      </w:r>
    </w:p>
    <w:p w14:paraId="1DCFEB7B" w14:textId="55AA206C" w:rsidR="00B172EF" w:rsidRPr="001361F4" w:rsidRDefault="00B172EF" w:rsidP="00AE68EF">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تحاول الدراسة الحالية سد الفجوة المزدوجة في المنهجية والسياق من خلال اختبار نموذج وساطة متسلسلة متكامل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باستخدام نمذجة المعادلات الهيكلية، وجمع بيانات من مستشفيات القطاع الحكومي في منطقة الجوف. يتيح هذا النهج فهمًا أعمق لكيفية ترجمة القيادة التحويلية إلى نتائج ملموسة تقليل الأحداث الضارة، في إطار سياق سعودي إقليمي لم يُنلَ بعد اهتمامًا كافيًا في الأدبيات.</w:t>
      </w:r>
    </w:p>
    <w:p w14:paraId="371DBE4C" w14:textId="2850F829"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2.9.6</w:t>
      </w:r>
      <w:r w:rsidR="00390B53" w:rsidRPr="001361F4">
        <w:rPr>
          <w:rFonts w:ascii="Simplified Arabic" w:eastAsia="Georgia" w:hAnsi="Simplified Arabic" w:cs="Simplified Arabic"/>
          <w:b/>
          <w:bCs/>
          <w:color w:val="000000"/>
          <w:sz w:val="24"/>
          <w:szCs w:val="24"/>
          <w:rtl/>
        </w:rPr>
        <w:t xml:space="preserve"> الإسهام النظري</w:t>
      </w:r>
    </w:p>
    <w:p w14:paraId="0B1A385D" w14:textId="77777777" w:rsidR="00390B53" w:rsidRPr="001361F4" w:rsidRDefault="00390B53" w:rsidP="00390B53">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تتمثل الإضافة النظرية الأساسية لهذه الدراسة في اقتراح واختبار نموذج شامل للتوسيط المتسلسل يربط بين القيادة التحويلية، وثقافة سلامة المرضى، وسلوكيات السلامة، وتقليل الأحداث الضارة في مستشفيات القطاع الحكومي في منطقة الجوف. كما يعالج النموذج ثقافة السلامة وسلوكيات السلامة كحلقتين وسطيتين تتبعان بعضها في المسار السببي من القيادة إلى النتائج السريرية. لذا يمثل هذا النموذج استجابة لما أظهرته المراجعات السابقة من نقص النماذج التي تدمج هذه المتغيرات في إطار واحد، خاصة في السياق السعودي، حيث اقتصرت معظم الدراسات على دراسة العلاقة بين القيادة والثقافة، أو بين الثقافة وسلامة المرضى، دون تتبع المسار الكامل لآليات التأثير.</w:t>
      </w:r>
    </w:p>
    <w:p w14:paraId="07F0F798" w14:textId="1F129D08"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2.9.7</w:t>
      </w:r>
      <w:r w:rsidR="00390B53" w:rsidRPr="001361F4">
        <w:rPr>
          <w:rFonts w:ascii="Simplified Arabic" w:eastAsia="Georgia" w:hAnsi="Simplified Arabic" w:cs="Simplified Arabic"/>
          <w:b/>
          <w:bCs/>
          <w:color w:val="000000"/>
          <w:sz w:val="24"/>
          <w:szCs w:val="24"/>
          <w:rtl/>
        </w:rPr>
        <w:t xml:space="preserve"> الإسهام المنهجي</w:t>
      </w:r>
    </w:p>
    <w:p w14:paraId="42573159" w14:textId="77777777" w:rsidR="00390B53" w:rsidRPr="001361F4" w:rsidRDefault="00390B53" w:rsidP="00390B53">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تحرص الدراسة الحالية على تقديم إسهام منهجي من خلال استخدام نماذج تحليل متقدمة، مثل نمذجة المعادلات الهيكلية، كأداة رئيسة لاختبار الفروض المباشرة وغير المباشرة والمتسلسلة في النموذج المقترح. لذلك يعد هذا أحد التطورات مقارنة بعدد كبير من الدراسات السابقة في البيئة السعودية التي اعتمدت على أساليب تحليل تقليدية مثل الارتباط والانحدار المتعدد. علاوة على ذلك، تعتمد الدراسة على مقاييس معترف بها دوليًا لقياس القيادة التحويلية، ثقافة سلامة المرضى، سلوكيات السلامة، والنتائج المدركة، مع تكييفها للسياق السعودي والتحقق من صدقها وثباتها، مما يعزز من دقة التصميم المنهجي ويسهل المقارنة مع نتائج الدراسات الإقليمية والعالمية.</w:t>
      </w:r>
    </w:p>
    <w:p w14:paraId="260D06D7" w14:textId="452552C1" w:rsidR="00390B53" w:rsidRPr="001361F4" w:rsidRDefault="0083411F"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2.9.8 الإسهام</w:t>
      </w:r>
      <w:r w:rsidR="00390B53" w:rsidRPr="001361F4">
        <w:rPr>
          <w:rFonts w:ascii="Simplified Arabic" w:eastAsia="Georgia" w:hAnsi="Simplified Arabic" w:cs="Simplified Arabic"/>
          <w:b/>
          <w:bCs/>
          <w:color w:val="000000"/>
          <w:sz w:val="24"/>
          <w:szCs w:val="24"/>
          <w:rtl/>
        </w:rPr>
        <w:t xml:space="preserve"> التطبيقي </w:t>
      </w:r>
      <w:proofErr w:type="spellStart"/>
      <w:r w:rsidR="00390B53" w:rsidRPr="001361F4">
        <w:rPr>
          <w:rFonts w:ascii="Simplified Arabic" w:eastAsia="Georgia" w:hAnsi="Simplified Arabic" w:cs="Simplified Arabic"/>
          <w:b/>
          <w:bCs/>
          <w:color w:val="000000"/>
          <w:sz w:val="24"/>
          <w:szCs w:val="24"/>
          <w:rtl/>
        </w:rPr>
        <w:t>والسياقي</w:t>
      </w:r>
      <w:proofErr w:type="spellEnd"/>
    </w:p>
    <w:p w14:paraId="5CCC21F9" w14:textId="4C4CA3DC" w:rsidR="00390B53" w:rsidRPr="001361F4" w:rsidRDefault="00390B53" w:rsidP="00631A37">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على الصعيد التطبيقي </w:t>
      </w:r>
      <w:proofErr w:type="spellStart"/>
      <w:r w:rsidRPr="001361F4">
        <w:rPr>
          <w:rFonts w:ascii="Simplified Arabic" w:eastAsia="Georgia" w:hAnsi="Simplified Arabic" w:cs="Simplified Arabic"/>
          <w:color w:val="000000"/>
          <w:sz w:val="24"/>
          <w:szCs w:val="24"/>
          <w:rtl/>
        </w:rPr>
        <w:t>والسياقي</w:t>
      </w:r>
      <w:proofErr w:type="spellEnd"/>
      <w:r w:rsidRPr="001361F4">
        <w:rPr>
          <w:rFonts w:ascii="Simplified Arabic" w:eastAsia="Georgia" w:hAnsi="Simplified Arabic" w:cs="Simplified Arabic"/>
          <w:color w:val="000000"/>
          <w:sz w:val="24"/>
          <w:szCs w:val="24"/>
          <w:rtl/>
        </w:rPr>
        <w:t xml:space="preserve">، تقدم الدراسة بيانات حديثة من الميدان حول مستوى القيادة التحويلية، والثقافة المتعلقة بسلامة المرضى، وسلوكيات السلامة، والأحداث الضارة كما يدركها العاملون في المستشفيات الحكومية في منطقة الجوف. حيث إن هذه المنطقة لم تأخذ حظها بعد بالاهتمام الكافي في الأدبيات المتعلقة بسلامة المرضى مقارنة بالمناطق الحضرية الكبرى في المملكة العربية السعودية. كما </w:t>
      </w:r>
      <w:r w:rsidRPr="001361F4">
        <w:rPr>
          <w:rFonts w:ascii="Simplified Arabic" w:eastAsia="Georgia" w:hAnsi="Simplified Arabic" w:cs="Simplified Arabic"/>
          <w:color w:val="000000"/>
          <w:sz w:val="24"/>
          <w:szCs w:val="24"/>
          <w:rtl/>
        </w:rPr>
        <w:lastRenderedPageBreak/>
        <w:t xml:space="preserve">يمكن أن تساعد نتائج الدراسة صناع القرار في وزارة الصحة وفروعها بالإضافة إلى التجمعات الصحية في المناطق على تصميم برامج تدريبية وتدخلات قيادية مستهدفة لتعزيز القيادة التحويلية، وتقوية عناصر </w:t>
      </w:r>
      <w:r w:rsidR="00631A37"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ودعم سلوكيات السلامة بين الممارسين الصحيين، مما يساهم في تقليل الأحداث الضارة وتحسين جودة الرعاية، متوافقة مع أهداف رؤية المملكة 2030 في القطاع الصحي.</w:t>
      </w:r>
    </w:p>
    <w:p w14:paraId="1E402C52" w14:textId="54335973" w:rsidR="00390B53" w:rsidRPr="001361F4" w:rsidRDefault="00B25657" w:rsidP="00390B53">
      <w:pPr>
        <w:bidi/>
        <w:spacing w:after="210" w:line="360" w:lineRule="auto"/>
        <w:rPr>
          <w:rFonts w:ascii="Simplified Arabic" w:hAnsi="Simplified Arabic" w:cs="Simplified Arabic"/>
          <w:b/>
          <w:bCs/>
          <w:sz w:val="24"/>
          <w:szCs w:val="24"/>
          <w:rtl/>
        </w:rPr>
      </w:pPr>
      <w:r w:rsidRPr="001361F4">
        <w:rPr>
          <w:rFonts w:ascii="Simplified Arabic" w:hAnsi="Simplified Arabic" w:cs="Simplified Arabic"/>
          <w:b/>
          <w:bCs/>
          <w:sz w:val="24"/>
          <w:szCs w:val="24"/>
          <w:rtl/>
        </w:rPr>
        <w:t>2.10</w:t>
      </w:r>
      <w:r w:rsidR="00390B53" w:rsidRPr="001361F4">
        <w:rPr>
          <w:rFonts w:ascii="Simplified Arabic" w:hAnsi="Simplified Arabic" w:cs="Simplified Arabic"/>
          <w:b/>
          <w:bCs/>
          <w:sz w:val="24"/>
          <w:szCs w:val="24"/>
          <w:rtl/>
        </w:rPr>
        <w:t>خاتمة الفصل الثاني</w:t>
      </w:r>
    </w:p>
    <w:p w14:paraId="1EF0F79E"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تناول هذا الفصل الإطار النظري والدراسات السابقة المتعلقة بمتغيرات الدراسة، حيث تم شرح مفهوم القيادة التحويلية وأبعادها في القطاع الصحي، مع تسليط الضوء على أهميتها في تشكيل القيم والسلوكيات داخل المستشفيات، خاصة في دعم سلامة المرضى. كما تم توضيح مفهوم ثقافة سلامة المرضى وأبعادها الأساسية، مع شرح كيف تساهم هذه الثقافة في إعداد بيئة تنظيمية مشجعة على التعلم من الأخطاء، والعمل الجماعي، والتواصل المفتوح حول الحوادث.</w:t>
      </w:r>
    </w:p>
    <w:p w14:paraId="1D583A39"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تناول الفصل سلوكيات السلامة لدى الممارسين الصحيين، معتبرًا إياها جزءًا من عملية تعكس مدى ترجمة القيم والثقافة الخاصة بسلامة المرضى إلى ممارسات يومية. كما استعرض مفهوم الأحداث الضارة في المستشفيات، مع عرض أنواعه وتأثيراته، موضحًا الصلة غير المباشرة بين القيادة، والثقافة، والسلوكيات من جهة، ومستوى هذه الأحداث من جهة أخرى. لذا استخدم ذلك لبناء نموذج نظري يربط بين القيادة التحويلية، ثقافة سلامة المرضى، سلوكيات السلامة، وتقليل الأحداث الضارة عبر مسار وساطة متسلسل، مستندًا إلى الأدبيات والنماذج الدولية المعاصرة.</w:t>
      </w:r>
    </w:p>
    <w:p w14:paraId="5CBE5DAB"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 xml:space="preserve">في الجزء الثاني من الفصل، تم عرض الدراسات السابقة مع التركيز على علاقات متغيرات النموذج، مع إبراز نقاط الاتفاق والاختلاف، وتحديد القصور المنهجي </w:t>
      </w:r>
      <w:proofErr w:type="spellStart"/>
      <w:r w:rsidRPr="001361F4">
        <w:rPr>
          <w:rFonts w:ascii="Simplified Arabic" w:hAnsi="Simplified Arabic" w:cs="Simplified Arabic"/>
          <w:sz w:val="24"/>
          <w:szCs w:val="24"/>
          <w:rtl/>
        </w:rPr>
        <w:t>والسياقي</w:t>
      </w:r>
      <w:proofErr w:type="spellEnd"/>
      <w:r w:rsidRPr="001361F4">
        <w:rPr>
          <w:rFonts w:ascii="Simplified Arabic" w:hAnsi="Simplified Arabic" w:cs="Simplified Arabic"/>
          <w:sz w:val="24"/>
          <w:szCs w:val="24"/>
          <w:rtl/>
        </w:rPr>
        <w:t>، مثل قلة الدراسات التي اختبرت نماذج وساطة متسلسلة في البيئة السعودية، وتركز معظم الأبحاث على المناطق الحضرية الكبرى، واعتمادها على طرق تحليل تقليدية لفهم العلاقات السببية. حيث أدى هذا التحليل إلى توضيح الفجوة البحثية التي تهدف الدراسة الحالية إلى ملئها، مع بيان القيمة المضافة في المستويات النظرية والمنهجية والتطبيقية.</w:t>
      </w:r>
    </w:p>
    <w:p w14:paraId="0E1C5579"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7007A918"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70EEE903"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186E1C7E"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24F6CF4E" w14:textId="06F032E2" w:rsidR="00390B53" w:rsidRPr="001361F4" w:rsidRDefault="00390B53" w:rsidP="00390B53">
      <w:pPr>
        <w:rPr>
          <w:rFonts w:ascii="Simplified Arabic" w:hAnsi="Simplified Arabic" w:cs="Simplified Arabic"/>
          <w:sz w:val="28"/>
          <w:szCs w:val="28"/>
        </w:rPr>
      </w:pPr>
    </w:p>
    <w:p w14:paraId="06931AF2" w14:textId="77777777" w:rsidR="00BE1BA2" w:rsidRPr="00875EB7" w:rsidRDefault="00BE1BA2" w:rsidP="00BE1BA2">
      <w:pPr>
        <w:bidi/>
        <w:spacing w:before="200" w:after="60"/>
        <w:jc w:val="center"/>
        <w:rPr>
          <w:rFonts w:ascii="Sakkal Majalla" w:hAnsi="Sakkal Majalla" w:cs="Sakkal Majalla"/>
          <w:sz w:val="36"/>
          <w:szCs w:val="36"/>
        </w:rPr>
      </w:pPr>
      <w:r w:rsidRPr="00875EB7">
        <w:rPr>
          <w:rFonts w:ascii="Sakkal Majalla" w:eastAsia="Arial" w:hAnsi="Sakkal Majalla" w:cs="Sakkal Majalla"/>
          <w:b/>
          <w:bCs/>
          <w:sz w:val="36"/>
          <w:szCs w:val="36"/>
          <w:rtl/>
        </w:rPr>
        <w:t>الفصل الثالث</w:t>
      </w:r>
    </w:p>
    <w:p w14:paraId="547D67BE" w14:textId="77777777" w:rsidR="00BE1BA2" w:rsidRPr="00583CD0" w:rsidRDefault="00BE1BA2" w:rsidP="00BE1BA2">
      <w:pPr>
        <w:bidi/>
        <w:spacing w:after="260"/>
        <w:jc w:val="center"/>
        <w:rPr>
          <w:rFonts w:ascii="Sakkal Majalla" w:hAnsi="Sakkal Majalla" w:cs="Sakkal Majalla"/>
          <w:sz w:val="28"/>
          <w:szCs w:val="28"/>
        </w:rPr>
      </w:pPr>
      <w:r w:rsidRPr="00875EB7">
        <w:rPr>
          <w:rFonts w:ascii="Sakkal Majalla" w:eastAsia="Arial" w:hAnsi="Sakkal Majalla" w:cs="Sakkal Majalla"/>
          <w:b/>
          <w:bCs/>
          <w:sz w:val="36"/>
          <w:szCs w:val="36"/>
          <w:rtl/>
        </w:rPr>
        <w:t>الطريقة والإجراءات (منهجية الدراسة</w:t>
      </w:r>
      <w:r w:rsidRPr="00583CD0">
        <w:rPr>
          <w:rFonts w:ascii="Sakkal Majalla" w:eastAsia="Arial" w:hAnsi="Sakkal Majalla" w:cs="Sakkal Majalla"/>
          <w:b/>
          <w:bCs/>
          <w:sz w:val="28"/>
          <w:szCs w:val="28"/>
          <w:rtl/>
        </w:rPr>
        <w:t>)</w:t>
      </w:r>
    </w:p>
    <w:p w14:paraId="6A01B5D8"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3.1 تمهيد</w:t>
      </w:r>
    </w:p>
    <w:p w14:paraId="5EAA06CB"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يمثّل هذا الفصل الإطارَ التنفيذيَّ الذي يُترجَم فيه الباحثُ الأسسَ النظريةَ والمفاهيميةَ التي عُرضت في الفصلين الأول والثاني إلى خطواتٍ منهجيةٍ إجرائيةٍ قابلةٍ للقياس والتحقق. فقد حدّد الفصلُ الأول مشكلةَ الدراسة في الحاجة إلى فهم الآلية التي تنتقل عبرها تأثيراتُ القيادةِ التحويليةِ لتُسهم في تقليلِ الأحداثِ الضارةِ في المستشفيات الحكوميةِ بمنطقة الجوف، وذلك من خلال الدورِ الوسيطِ المتتابعِ لثقافةِ السلامةِ وسلوكياتِ السلامةِ. ثم استعرض الفصلُ الثاني الأدبياتِ النظريةَ والدراساتِ السابقةَ التي أرست العلاقاتِ المفترضةَ بين المتغيراتِ الأربعةِ وأبعادها، وصولًا إلى بناء النموذجِ المفاهيميِّ الذي يختبره هذا الفصل ميدانيًا.</w:t>
      </w:r>
    </w:p>
    <w:p w14:paraId="3BD38618" w14:textId="41E6D73C"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وانطلاقًا من ذلك، يقدّم الفصل وصفًا تفصيليًا ودقيقًا للإجراءات المتّبعة في تنفيذ الدراسة الميدانية؛ إذ يُحدّد منهج البحث ويبرّر اختياره، ثم يصف مجتمع الدراسة وخصائصه، ويبيّن عينته وأسلوبيته في المعاينة، ويعرض كيفية بناء أداة جمع البيانات والتحقق من خصائصها </w:t>
      </w:r>
      <w:proofErr w:type="spellStart"/>
      <w:r w:rsidRPr="00583CD0">
        <w:rPr>
          <w:rFonts w:ascii="Sakkal Majalla" w:hAnsi="Sakkal Majalla" w:cs="Sakkal Majalla"/>
          <w:sz w:val="28"/>
          <w:szCs w:val="28"/>
          <w:rtl/>
        </w:rPr>
        <w:t>السيكومترية</w:t>
      </w:r>
      <w:proofErr w:type="spellEnd"/>
      <w:r w:rsidRPr="00583CD0">
        <w:rPr>
          <w:rFonts w:ascii="Sakkal Majalla" w:hAnsi="Sakkal Majalla" w:cs="Sakkal Majalla"/>
          <w:sz w:val="28"/>
          <w:szCs w:val="28"/>
          <w:rtl/>
        </w:rPr>
        <w:t xml:space="preserve"> من صدقٍ وثبات. كما يوضّح متغيرات الدراسة وتصاميمها، ويستعرض إجراءات التنفيذ الميداني، فضلًا عن الأساليب الإحصائية المستخدمة في تحليل البيانات. ويسعى الباحث من خلال هذا العرض إلى تحقيق الشفافية المنهجية وقابلية التكرار اللتين تُعدّان من أهم معايير جودة البحث الكمي </w:t>
      </w:r>
      <w:r w:rsidR="00430F01">
        <w:rPr>
          <w:rFonts w:ascii="Sakkal Majalla" w:hAnsi="Sakkal Majalla" w:cs="Sakkal Majalla"/>
          <w:sz w:val="28"/>
          <w:szCs w:val="28"/>
          <w:rtl/>
        </w:rPr>
        <w:fldChar w:fldCharType="begin"/>
      </w:r>
      <w:r w:rsidR="00430F01">
        <w:rPr>
          <w:rFonts w:ascii="Sakkal Majalla" w:hAnsi="Sakkal Majalla" w:cs="Sakkal Majalla"/>
          <w:sz w:val="28"/>
          <w:szCs w:val="28"/>
          <w:rtl/>
        </w:rPr>
        <w:instrText xml:space="preserve"> </w:instrText>
      </w:r>
      <w:r w:rsidR="00430F01">
        <w:rPr>
          <w:rFonts w:ascii="Sakkal Majalla" w:hAnsi="Sakkal Majalla" w:cs="Sakkal Majalla"/>
          <w:sz w:val="28"/>
          <w:szCs w:val="28"/>
        </w:rPr>
        <w:instrText>ADDIN EN.CITE &lt;EndNote&gt;&lt;Cite&gt;&lt;Author&gt;Creswell&lt;/Author&gt;&lt;Year&gt;2017&lt;/Year&gt;&lt;RecNum&gt;270&lt;/RecNum&gt;&lt;DisplayText&gt;(Creswell &amp;amp; Creswell, 2017)&lt;/DisplayText&gt;&lt;record&gt;&lt;rec-number&gt;270&lt;/rec-number&gt;&lt;foreign-keys&gt;&lt;key app="EN" db-id="02retxxrerxdxhe9aphvs0z2t9z25p0ew9</w:instrText>
      </w:r>
      <w:r w:rsidR="00430F01">
        <w:rPr>
          <w:rFonts w:ascii="Sakkal Majalla" w:hAnsi="Sakkal Majalla" w:cs="Sakkal Majalla"/>
          <w:sz w:val="28"/>
          <w:szCs w:val="28"/>
          <w:rtl/>
        </w:rPr>
        <w:instrText>9</w:instrText>
      </w:r>
      <w:r w:rsidR="00430F01">
        <w:rPr>
          <w:rFonts w:ascii="Sakkal Majalla" w:hAnsi="Sakkal Majalla" w:cs="Sakkal Majalla"/>
          <w:sz w:val="28"/>
          <w:szCs w:val="28"/>
        </w:rPr>
        <w:instrText>s" timestamp="1781805672"&gt;270&lt;/key&gt;&lt;/foreign-keys&gt;&lt;ref-type name="Book"&gt;6&lt;/ref-type&gt;&lt;contributors&gt;&lt;authors&gt;&lt;author&gt;Creswell, John W&lt;/author&gt;&lt;author&gt;Creswell, J David&lt;/author&gt;&lt;/authors&gt;&lt;/contributors&gt;&lt;titles&gt;&lt;title&gt;Research design: Qualitative, quantitative, and mixed methods approaches&lt;/title&gt;&lt;/titles&gt;&lt;dates&gt;&lt;year&gt;2017&lt;/year&gt;&lt;/dates&gt;&lt;publisher&gt;Sage publications&lt;/publisher&gt;&lt;isbn&gt;1506386695&lt;/isbn&gt;&lt;urls&gt;&lt;/urls&gt;&lt;/record&gt;&lt;/Cite&gt;&lt;/EndNote</w:instrText>
      </w:r>
      <w:r w:rsidR="00430F01">
        <w:rPr>
          <w:rFonts w:ascii="Sakkal Majalla" w:hAnsi="Sakkal Majalla" w:cs="Sakkal Majalla"/>
          <w:sz w:val="28"/>
          <w:szCs w:val="28"/>
          <w:rtl/>
        </w:rPr>
        <w:instrText>&gt;</w:instrText>
      </w:r>
      <w:r w:rsidR="00430F01">
        <w:rPr>
          <w:rFonts w:ascii="Sakkal Majalla" w:hAnsi="Sakkal Majalla" w:cs="Sakkal Majalla"/>
          <w:sz w:val="28"/>
          <w:szCs w:val="28"/>
          <w:rtl/>
        </w:rPr>
        <w:fldChar w:fldCharType="separate"/>
      </w:r>
      <w:r w:rsidR="00430F01">
        <w:rPr>
          <w:rFonts w:ascii="Sakkal Majalla" w:hAnsi="Sakkal Majalla" w:cs="Sakkal Majalla"/>
          <w:noProof/>
          <w:sz w:val="28"/>
          <w:szCs w:val="28"/>
          <w:rtl/>
        </w:rPr>
        <w:t>(</w:t>
      </w:r>
      <w:r w:rsidR="00430F01">
        <w:rPr>
          <w:rFonts w:ascii="Sakkal Majalla" w:hAnsi="Sakkal Majalla" w:cs="Sakkal Majalla"/>
          <w:noProof/>
          <w:sz w:val="28"/>
          <w:szCs w:val="28"/>
        </w:rPr>
        <w:t>Creswell &amp; Creswell, 2017</w:t>
      </w:r>
      <w:r w:rsidR="00430F01">
        <w:rPr>
          <w:rFonts w:ascii="Sakkal Majalla" w:hAnsi="Sakkal Majalla" w:cs="Sakkal Majalla"/>
          <w:noProof/>
          <w:sz w:val="28"/>
          <w:szCs w:val="28"/>
          <w:rtl/>
        </w:rPr>
        <w:t>)</w:t>
      </w:r>
      <w:r w:rsidR="00430F01">
        <w:rPr>
          <w:rFonts w:ascii="Sakkal Majalla" w:hAnsi="Sakkal Majalla" w:cs="Sakkal Majalla"/>
          <w:sz w:val="28"/>
          <w:szCs w:val="28"/>
          <w:rtl/>
        </w:rPr>
        <w:fldChar w:fldCharType="end"/>
      </w:r>
      <w:r w:rsidRPr="00583CD0">
        <w:rPr>
          <w:rFonts w:ascii="Sakkal Majalla" w:hAnsi="Sakkal Majalla" w:cs="Sakkal Majalla"/>
          <w:sz w:val="28"/>
          <w:szCs w:val="28"/>
          <w:rtl/>
        </w:rPr>
        <w:t>.</w:t>
      </w:r>
    </w:p>
    <w:p w14:paraId="3CCC1339" w14:textId="77777777" w:rsidR="00BE1BA2" w:rsidRPr="00875EB7" w:rsidRDefault="00BE1BA2" w:rsidP="00BE1BA2">
      <w:pPr>
        <w:pStyle w:val="1"/>
        <w:bidi/>
        <w:rPr>
          <w:rFonts w:ascii="Sakkal Majalla" w:hAnsi="Sakkal Majalla" w:cs="Sakkal Majalla"/>
          <w:b/>
          <w:bCs/>
          <w:color w:val="auto"/>
          <w:rtl/>
        </w:rPr>
      </w:pPr>
      <w:r w:rsidRPr="00875EB7">
        <w:rPr>
          <w:rFonts w:ascii="Sakkal Majalla" w:hAnsi="Sakkal Majalla" w:cs="Sakkal Majalla"/>
          <w:b/>
          <w:bCs/>
          <w:color w:val="auto"/>
          <w:rtl/>
        </w:rPr>
        <w:t>3.2 منهج</w:t>
      </w:r>
      <w:r w:rsidRPr="00875EB7">
        <w:rPr>
          <w:rFonts w:ascii="Sakkal Majalla" w:eastAsia="Arial" w:hAnsi="Sakkal Majalla" w:cs="Sakkal Majalla"/>
          <w:b/>
          <w:bCs/>
          <w:color w:val="auto"/>
          <w:rtl/>
        </w:rPr>
        <w:t xml:space="preserve"> البحث</w:t>
      </w:r>
    </w:p>
    <w:p w14:paraId="7C0A36A3"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3.2.1 المنهج</w:t>
      </w:r>
      <w:r w:rsidRPr="00875EB7">
        <w:rPr>
          <w:rFonts w:ascii="Sakkal Majalla" w:eastAsia="Arial" w:hAnsi="Sakkal Majalla" w:cs="Sakkal Majalla"/>
          <w:b/>
          <w:bCs/>
          <w:color w:val="auto"/>
          <w:sz w:val="28"/>
          <w:szCs w:val="28"/>
          <w:rtl/>
        </w:rPr>
        <w:t xml:space="preserve"> الوصفي المسحي الارتباطي</w:t>
      </w:r>
    </w:p>
    <w:p w14:paraId="2EDF0F9D" w14:textId="4FA8B3BF"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اعتمدت الدراسة الحالية المنهج الوصفي المسحي ذا الطابع الارتباطي (</w:t>
      </w:r>
      <w:r w:rsidRPr="00583CD0">
        <w:rPr>
          <w:rFonts w:ascii="Sakkal Majalla" w:hAnsi="Sakkal Majalla" w:cs="Sakkal Majalla"/>
          <w:sz w:val="28"/>
          <w:szCs w:val="28"/>
        </w:rPr>
        <w:t>Descriptive Correlational Survey Design</w:t>
      </w:r>
      <w:r w:rsidRPr="00583CD0">
        <w:rPr>
          <w:rFonts w:ascii="Sakkal Majalla" w:hAnsi="Sakkal Majalla" w:cs="Sakkal Majalla"/>
          <w:sz w:val="28"/>
          <w:szCs w:val="28"/>
          <w:rtl/>
        </w:rPr>
        <w:t>)، وهو من أبرز المناهج الكمية المستخدمة في بحوث الإدارة والعلوم السلوكية. ويُقصد به أسلوبٌ بحثيٌّ منظَّمٌ يجمع البيانات من عينةٍ ممثّلةٍ لمجتمع الدراسة في فترةٍ زمنيةٍ محددة، بهدف وصف الظاهرة المدروسة وتحليل العلاقات بين متغيراتها كما هي قائمةٌ في الواقع، دون تدخلٍ في ظروفها أو تلاعبٍ بها (</w:t>
      </w:r>
      <w:r w:rsidR="00430F01">
        <w:rPr>
          <w:rFonts w:ascii="Sakkal Majalla" w:hAnsi="Sakkal Majalla" w:cs="Sakkal Majalla"/>
          <w:sz w:val="28"/>
          <w:szCs w:val="28"/>
          <w:rtl/>
        </w:rPr>
        <w:fldChar w:fldCharType="begin"/>
      </w:r>
      <w:r w:rsidR="00430F01">
        <w:rPr>
          <w:rFonts w:ascii="Sakkal Majalla" w:hAnsi="Sakkal Majalla" w:cs="Sakkal Majalla"/>
          <w:sz w:val="28"/>
          <w:szCs w:val="28"/>
          <w:rtl/>
        </w:rPr>
        <w:instrText xml:space="preserve"> </w:instrText>
      </w:r>
      <w:r w:rsidR="00430F01">
        <w:rPr>
          <w:rFonts w:ascii="Sakkal Majalla" w:hAnsi="Sakkal Majalla" w:cs="Sakkal Majalla"/>
          <w:sz w:val="28"/>
          <w:szCs w:val="28"/>
        </w:rPr>
        <w:instrText>ADDIN EN.CITE &lt;EndNote&gt;&lt;Cite&gt;&lt;Author&gt;Creswell&lt;/Author&gt;&lt;Year&gt;2017&lt;/Year&gt;&lt;RecNum&gt;270&lt;/RecNum&gt;&lt;DisplayText&gt;(Creswell &amp;amp; Creswell, 2017)&lt;/DisplayText&gt;&lt;record&gt;&lt;rec-number&gt;270&lt;/rec-number&gt;&lt;foreign-keys&gt;&lt;key app="EN" db-id="02retxxrerxdxhe9aphvs0z2t9z25p0ew9</w:instrText>
      </w:r>
      <w:r w:rsidR="00430F01">
        <w:rPr>
          <w:rFonts w:ascii="Sakkal Majalla" w:hAnsi="Sakkal Majalla" w:cs="Sakkal Majalla"/>
          <w:sz w:val="28"/>
          <w:szCs w:val="28"/>
          <w:rtl/>
        </w:rPr>
        <w:instrText>9</w:instrText>
      </w:r>
      <w:r w:rsidR="00430F01">
        <w:rPr>
          <w:rFonts w:ascii="Sakkal Majalla" w:hAnsi="Sakkal Majalla" w:cs="Sakkal Majalla"/>
          <w:sz w:val="28"/>
          <w:szCs w:val="28"/>
        </w:rPr>
        <w:instrText>s" timestamp="1781805672"&gt;270&lt;/key&gt;&lt;/foreign-keys&gt;&lt;ref-type name="Book"&gt;6&lt;/ref-type&gt;&lt;contributors&gt;&lt;authors&gt;&lt;author&gt;Creswell, John W&lt;/author&gt;&lt;author&gt;Creswell, J David&lt;/author&gt;&lt;/authors&gt;&lt;/contributors&gt;&lt;titles&gt;&lt;title&gt;Research design: Qualitative, quantitative, and mixed methods approaches&lt;/title&gt;&lt;/titles&gt;&lt;dates&gt;&lt;year&gt;2017&lt;/year&gt;&lt;/dates&gt;&lt;publisher&gt;Sage publications&lt;/publisher&gt;&lt;isbn&gt;1506386695&lt;/isbn&gt;&lt;urls&gt;&lt;/urls&gt;&lt;/record&gt;&lt;/Cite&gt;&lt;/EndNote</w:instrText>
      </w:r>
      <w:r w:rsidR="00430F01">
        <w:rPr>
          <w:rFonts w:ascii="Sakkal Majalla" w:hAnsi="Sakkal Majalla" w:cs="Sakkal Majalla"/>
          <w:sz w:val="28"/>
          <w:szCs w:val="28"/>
          <w:rtl/>
        </w:rPr>
        <w:instrText>&gt;</w:instrText>
      </w:r>
      <w:r w:rsidR="00430F01">
        <w:rPr>
          <w:rFonts w:ascii="Sakkal Majalla" w:hAnsi="Sakkal Majalla" w:cs="Sakkal Majalla"/>
          <w:sz w:val="28"/>
          <w:szCs w:val="28"/>
          <w:rtl/>
        </w:rPr>
        <w:fldChar w:fldCharType="separate"/>
      </w:r>
      <w:r w:rsidR="00430F01">
        <w:rPr>
          <w:rFonts w:ascii="Sakkal Majalla" w:hAnsi="Sakkal Majalla" w:cs="Sakkal Majalla"/>
          <w:noProof/>
          <w:sz w:val="28"/>
          <w:szCs w:val="28"/>
          <w:rtl/>
        </w:rPr>
        <w:t>(</w:t>
      </w:r>
      <w:r w:rsidR="00430F01">
        <w:rPr>
          <w:rFonts w:ascii="Sakkal Majalla" w:hAnsi="Sakkal Majalla" w:cs="Sakkal Majalla"/>
          <w:noProof/>
          <w:sz w:val="28"/>
          <w:szCs w:val="28"/>
        </w:rPr>
        <w:t>Creswell &amp; Creswell, 2017</w:t>
      </w:r>
      <w:r w:rsidR="00430F01">
        <w:rPr>
          <w:rFonts w:ascii="Sakkal Majalla" w:hAnsi="Sakkal Majalla" w:cs="Sakkal Majalla"/>
          <w:noProof/>
          <w:sz w:val="28"/>
          <w:szCs w:val="28"/>
          <w:rtl/>
        </w:rPr>
        <w:t>)</w:t>
      </w:r>
      <w:r w:rsidR="00430F01">
        <w:rPr>
          <w:rFonts w:ascii="Sakkal Majalla" w:hAnsi="Sakkal Majalla" w:cs="Sakkal Majalla"/>
          <w:sz w:val="28"/>
          <w:szCs w:val="28"/>
          <w:rtl/>
        </w:rPr>
        <w:fldChar w:fldCharType="end"/>
      </w:r>
      <w:r w:rsidRPr="00583CD0">
        <w:rPr>
          <w:rFonts w:ascii="Sakkal Majalla" w:hAnsi="Sakkal Majalla" w:cs="Sakkal Majalla"/>
          <w:sz w:val="28"/>
          <w:szCs w:val="28"/>
          <w:rtl/>
        </w:rPr>
        <w:t>. وتنبع ملاءمة هذا المنهج من قدرته على استكشاف الأنماط والعلاقات بين المتغيرات في بيئتها الطبيعية، وهو ما يتفق مع طبيعة الظواهر التنظيمية والإدارية محل الدراسة.</w:t>
      </w:r>
    </w:p>
    <w:p w14:paraId="3E66D260"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3.2.2 مبررات</w:t>
      </w:r>
      <w:r w:rsidRPr="00875EB7">
        <w:rPr>
          <w:rFonts w:ascii="Sakkal Majalla" w:eastAsia="Arial" w:hAnsi="Sakkal Majalla" w:cs="Sakkal Majalla"/>
          <w:b/>
          <w:bCs/>
          <w:color w:val="auto"/>
          <w:sz w:val="28"/>
          <w:szCs w:val="28"/>
          <w:rtl/>
        </w:rPr>
        <w:t xml:space="preserve"> اختيار المنهج</w:t>
      </w:r>
    </w:p>
    <w:p w14:paraId="09A18CA3" w14:textId="712D71E3"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استند اختيار هذا المنهج إلى جملةٍ من الاعتبارات المنهجية والموضوعية. فمن حيث طبيعة المشكلة البحثية وأهدافها، تسعى الدراسة إلى اختبار نموذجٍ يتضمن علاقاتٍ مباشرةً وغير مباشرةٍ بين </w:t>
      </w:r>
      <w:r w:rsidR="00875EB7" w:rsidRPr="00583CD0">
        <w:rPr>
          <w:rFonts w:ascii="Sakkal Majalla" w:hAnsi="Sakkal Majalla" w:cs="Sakkal Majalla" w:hint="cs"/>
          <w:sz w:val="28"/>
          <w:szCs w:val="28"/>
          <w:rtl/>
        </w:rPr>
        <w:t>أربع</w:t>
      </w:r>
      <w:r w:rsidRPr="00583CD0">
        <w:rPr>
          <w:rFonts w:ascii="Sakkal Majalla" w:hAnsi="Sakkal Majalla" w:cs="Sakkal Majalla"/>
          <w:sz w:val="28"/>
          <w:szCs w:val="28"/>
          <w:rtl/>
        </w:rPr>
        <w:t xml:space="preserve"> متغيرات هي القيادة التحويلية، وثقافة السلامة، وسلوكيات السلامة، وتقليل الأحداث الضارة، وهو ما يستلزم منهجًا كمّيًا يتيح جمع بياناتٍ رقميةٍ قابلة للتحليل الإحصائي المتقدم. كما أن تحقيق هذه </w:t>
      </w:r>
      <w:r w:rsidRPr="00583CD0">
        <w:rPr>
          <w:rFonts w:ascii="Sakkal Majalla" w:hAnsi="Sakkal Majalla" w:cs="Sakkal Majalla"/>
          <w:sz w:val="28"/>
          <w:szCs w:val="28"/>
          <w:rtl/>
        </w:rPr>
        <w:lastRenderedPageBreak/>
        <w:t>الأهداف لا يقتضي تدخلًا تجريبيًا، بل يتعلق بفحص علاقاتٍ قائمةٍ فعلًا في بيئة العمل الصحية، مما يجعل المنهج الوصفي الارتباطي هو الأنسب.</w:t>
      </w:r>
    </w:p>
    <w:p w14:paraId="159D01F0"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ومن حيث الاتساق مع تصميم الوساطة المتتابعة، يتطلب اختبار المسار (</w:t>
      </w:r>
      <w:r w:rsidRPr="00583CD0">
        <w:rPr>
          <w:rFonts w:ascii="Sakkal Majalla" w:hAnsi="Sakkal Majalla" w:cs="Sakkal Majalla"/>
          <w:sz w:val="28"/>
          <w:szCs w:val="28"/>
        </w:rPr>
        <w:t xml:space="preserve">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قياس جميع المتغيرات بأداة مسحية موحّدة، ثم فحص المسارات المفترضة باستخدام نمذجة المعادلات الهيكلية؛ وهو تصميم يتوافق مع خصائص المسح المقطعي (</w:t>
      </w:r>
      <w:r w:rsidRPr="00583CD0">
        <w:rPr>
          <w:rFonts w:ascii="Sakkal Majalla" w:hAnsi="Sakkal Majalla" w:cs="Sakkal Majalla"/>
          <w:sz w:val="28"/>
          <w:szCs w:val="28"/>
        </w:rPr>
        <w:t>Cross-sectional Survey</w:t>
      </w:r>
      <w:r w:rsidRPr="00583CD0">
        <w:rPr>
          <w:rFonts w:ascii="Sakkal Majalla" w:hAnsi="Sakkal Majalla" w:cs="Sakkal Majalla"/>
          <w:sz w:val="28"/>
          <w:szCs w:val="28"/>
          <w:rtl/>
        </w:rPr>
        <w:t>) الذي يمكّن من جمع بيانات شاملة عن جميع المتغيرات في الفترة الزمنية نفسها (</w:t>
      </w:r>
      <w:r w:rsidRPr="00583CD0">
        <w:rPr>
          <w:rFonts w:ascii="Sakkal Majalla" w:hAnsi="Sakkal Majalla" w:cs="Sakkal Majalla"/>
          <w:sz w:val="28"/>
          <w:szCs w:val="28"/>
        </w:rPr>
        <w:t>Kline, 2023</w:t>
      </w:r>
      <w:r w:rsidRPr="00583CD0">
        <w:rPr>
          <w:rFonts w:ascii="Sakkal Majalla" w:hAnsi="Sakkal Majalla" w:cs="Sakkal Majalla"/>
          <w:sz w:val="28"/>
          <w:szCs w:val="28"/>
          <w:rtl/>
        </w:rPr>
        <w:t>). يُضاف إلى ذلك اتساق هذا الخيار مع غالبية الدراسات السابقة التي تناولت العلاقة بين القيادة التحويلية وثقافة السلامة في القطاع الصحي، مما يسهل المقارنة مع نتائجها. وأخيرًا، فإن اعتبارات العمل الميداني والأخلاقيات ترجّح هذا المنهج؛ إذ إن أي تصميم تجريبي في بيئة صحية فعلية قد يعرقل سير العمل الطبي أو يلحق ضررًا بالمرضى، وهو أمر غير مقبول أخلاقيًا، في حين أن المسح يوفر بديلًا عمليًا يجمع البيانات دون الإخلال ببيئة العمل.</w:t>
      </w:r>
    </w:p>
    <w:p w14:paraId="43601AEC"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eastAsia="Arial" w:hAnsi="Sakkal Majalla" w:cs="Sakkal Majalla"/>
          <w:sz w:val="28"/>
          <w:szCs w:val="28"/>
          <w:rtl/>
        </w:rPr>
        <w:t xml:space="preserve">ويُقرّ الباحث في هذا السياق بأن طبيعة التصميم المقطعي تَحدّ من إمكانية إثبات التتابع الزمني للأثر بين المتغيرات؛ ومن ثَمّ فإن ترتيب الوساطة المتسلسلة (TL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SC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SB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AE) يستند إلى المسوّغ النظري المستمدّ من الفصل الثاني لا إلى التصميم بذاته. وعليه، يُنظر إلى مخرجات النموذج بوصفها علاقاتٍ مفترَضةً تتسق مع الإطار النظري وتقبل الاختبار، ويُوصى بإجراء دراساتٍ طوليةٍ لاحقةٍ لتعزيز الاستدلال السببي.</w:t>
      </w:r>
    </w:p>
    <w:p w14:paraId="58F59531"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3.3 مجتمع</w:t>
      </w:r>
      <w:r w:rsidRPr="00875EB7">
        <w:rPr>
          <w:rFonts w:ascii="Sakkal Majalla" w:eastAsia="Arial" w:hAnsi="Sakkal Majalla" w:cs="Sakkal Majalla"/>
          <w:b/>
          <w:bCs/>
          <w:color w:val="auto"/>
          <w:rtl/>
        </w:rPr>
        <w:t xml:space="preserve"> الدراسة</w:t>
      </w:r>
    </w:p>
    <w:p w14:paraId="60696140" w14:textId="77777777" w:rsidR="00BE1BA2" w:rsidRPr="00875EB7" w:rsidRDefault="00BE1BA2" w:rsidP="00BE1BA2">
      <w:pPr>
        <w:pStyle w:val="2"/>
        <w:bidi/>
        <w:jc w:val="both"/>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3.3.1 تعريف</w:t>
      </w:r>
      <w:r w:rsidRPr="00875EB7">
        <w:rPr>
          <w:rFonts w:ascii="Sakkal Majalla" w:eastAsia="Arial" w:hAnsi="Sakkal Majalla" w:cs="Sakkal Majalla"/>
          <w:b/>
          <w:bCs/>
          <w:color w:val="auto"/>
          <w:sz w:val="28"/>
          <w:szCs w:val="28"/>
          <w:rtl/>
        </w:rPr>
        <w:t xml:space="preserve"> مجتمع الدراسة</w:t>
      </w:r>
    </w:p>
    <w:p w14:paraId="45C4B608"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يتكوّن مجتمع الدراسة (</w:t>
      </w:r>
      <w:r w:rsidRPr="00583CD0">
        <w:rPr>
          <w:rFonts w:ascii="Sakkal Majalla" w:hAnsi="Sakkal Majalla" w:cs="Sakkal Majalla"/>
          <w:sz w:val="28"/>
          <w:szCs w:val="28"/>
        </w:rPr>
        <w:t>Study Population</w:t>
      </w:r>
      <w:r w:rsidRPr="00583CD0">
        <w:rPr>
          <w:rFonts w:ascii="Sakkal Majalla" w:hAnsi="Sakkal Majalla" w:cs="Sakkal Majalla"/>
          <w:sz w:val="28"/>
          <w:szCs w:val="28"/>
          <w:rtl/>
        </w:rPr>
        <w:t>) من العاملين في المستشفيات الحكومية التابعة لتجمع الجوف الصحي بمنطقة الجوف في المملكة العربية السعودية، ويشمل الأطباء بمختلف تخصصاتهم، والممرضين والممرضات، والفنيين الصحيين (فنيي المختبرات والأشعة والصيدلة)، والإداريين العاملين في الأقسام الطبية والمساندة، وسائر الكوادر الصحية ذات الصلة المباشرة أو غير المباشرة بعمليات الرعاية الصحية وسلامة المرضى.</w:t>
      </w:r>
    </w:p>
    <w:p w14:paraId="26882C52"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3.3.2 توصيف</w:t>
      </w:r>
      <w:r w:rsidRPr="00875EB7">
        <w:rPr>
          <w:rFonts w:ascii="Sakkal Majalla" w:eastAsia="Arial" w:hAnsi="Sakkal Majalla" w:cs="Sakkal Majalla"/>
          <w:b/>
          <w:bCs/>
          <w:color w:val="auto"/>
          <w:sz w:val="28"/>
          <w:szCs w:val="28"/>
          <w:rtl/>
        </w:rPr>
        <w:t xml:space="preserve"> مجتمع الدراسة</w:t>
      </w:r>
    </w:p>
    <w:p w14:paraId="51191058"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تقع منطقة الجوف في شمال المملكة العربية السعودية، وتضم خمس محافظاتٍ رئيسةٍ هي سكاكا (عاصمة المنطقة) ودومة الجندل </w:t>
      </w:r>
      <w:proofErr w:type="spellStart"/>
      <w:r w:rsidRPr="00583CD0">
        <w:rPr>
          <w:rFonts w:ascii="Sakkal Majalla" w:hAnsi="Sakkal Majalla" w:cs="Sakkal Majalla"/>
          <w:sz w:val="28"/>
          <w:szCs w:val="28"/>
          <w:rtl/>
        </w:rPr>
        <w:t>وصوير</w:t>
      </w:r>
      <w:proofErr w:type="spellEnd"/>
      <w:r w:rsidRPr="00583CD0">
        <w:rPr>
          <w:rFonts w:ascii="Sakkal Majalla" w:hAnsi="Sakkal Majalla" w:cs="Sakkal Majalla"/>
          <w:sz w:val="28"/>
          <w:szCs w:val="28"/>
          <w:rtl/>
        </w:rPr>
        <w:t xml:space="preserve"> وطبرجل والقريات. ويقدّم تجمع الجوف الصحي خدمات الرعاية الصحية لأكثر من 595,000 مستفيد، من خلال شبكةٍ تضم أربعة عشر مستشفى عامًا ومتخصصًا تبلغ سعتها السريرية الإجمالية نحو 1,800 سرير، إضافةً إلى 58 مركزًا للرعاية الصحية الأولية (الصحة القابضة، 2025).</w:t>
      </w:r>
    </w:p>
    <w:p w14:paraId="4994CF8B"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وتركز الدراسة الحالية على تسعة مستشفياتٍ حكوميةٍ رئيسةٍ تتوزع على المحافظات الخمس، وهي: مستشفى الملك عبدالعزيز التخصصي </w:t>
      </w:r>
      <w:proofErr w:type="spellStart"/>
      <w:r w:rsidRPr="00583CD0">
        <w:rPr>
          <w:rFonts w:ascii="Sakkal Majalla" w:hAnsi="Sakkal Majalla" w:cs="Sakkal Majalla"/>
          <w:sz w:val="28"/>
          <w:szCs w:val="28"/>
          <w:rtl/>
        </w:rPr>
        <w:t>بسكاكا</w:t>
      </w:r>
      <w:proofErr w:type="spellEnd"/>
      <w:r w:rsidRPr="00583CD0">
        <w:rPr>
          <w:rFonts w:ascii="Sakkal Majalla" w:hAnsi="Sakkal Majalla" w:cs="Sakkal Majalla"/>
          <w:sz w:val="28"/>
          <w:szCs w:val="28"/>
          <w:rtl/>
        </w:rPr>
        <w:t xml:space="preserve"> (300 سرير) بوصفه المستشفى المرجعي للمنطقة، ومستشفى الأمير متعب بن عبدالعزيز </w:t>
      </w:r>
      <w:proofErr w:type="spellStart"/>
      <w:r w:rsidRPr="00583CD0">
        <w:rPr>
          <w:rFonts w:ascii="Sakkal Majalla" w:hAnsi="Sakkal Majalla" w:cs="Sakkal Majalla"/>
          <w:sz w:val="28"/>
          <w:szCs w:val="28"/>
          <w:rtl/>
        </w:rPr>
        <w:t>بسكاكا</w:t>
      </w:r>
      <w:proofErr w:type="spellEnd"/>
      <w:r w:rsidRPr="00583CD0">
        <w:rPr>
          <w:rFonts w:ascii="Sakkal Majalla" w:hAnsi="Sakkal Majalla" w:cs="Sakkal Majalla"/>
          <w:sz w:val="28"/>
          <w:szCs w:val="28"/>
          <w:rtl/>
        </w:rPr>
        <w:t xml:space="preserve"> (300 سرير)، </w:t>
      </w:r>
      <w:r w:rsidRPr="00583CD0">
        <w:rPr>
          <w:rFonts w:ascii="Sakkal Majalla" w:hAnsi="Sakkal Majalla" w:cs="Sakkal Majalla"/>
          <w:sz w:val="28"/>
          <w:szCs w:val="28"/>
          <w:rtl/>
        </w:rPr>
        <w:lastRenderedPageBreak/>
        <w:t xml:space="preserve">ومستشفى النساء والولادة والأطفال </w:t>
      </w:r>
      <w:proofErr w:type="spellStart"/>
      <w:r w:rsidRPr="00583CD0">
        <w:rPr>
          <w:rFonts w:ascii="Sakkal Majalla" w:hAnsi="Sakkal Majalla" w:cs="Sakkal Majalla"/>
          <w:sz w:val="28"/>
          <w:szCs w:val="28"/>
          <w:rtl/>
        </w:rPr>
        <w:t>بسكاكا</w:t>
      </w:r>
      <w:proofErr w:type="spellEnd"/>
      <w:r w:rsidRPr="00583CD0">
        <w:rPr>
          <w:rFonts w:ascii="Sakkal Majalla" w:hAnsi="Sakkal Majalla" w:cs="Sakkal Majalla"/>
          <w:sz w:val="28"/>
          <w:szCs w:val="28"/>
          <w:rtl/>
        </w:rPr>
        <w:t xml:space="preserve"> (150 سريرًا)، ومستشفى طبرجل العام (200 سرير)، ومستشفى دومة الجندل العام (130 سريرًا)، ومستشفى مركز </w:t>
      </w:r>
      <w:proofErr w:type="spellStart"/>
      <w:r w:rsidRPr="00583CD0">
        <w:rPr>
          <w:rFonts w:ascii="Sakkal Majalla" w:hAnsi="Sakkal Majalla" w:cs="Sakkal Majalla"/>
          <w:sz w:val="28"/>
          <w:szCs w:val="28"/>
          <w:rtl/>
        </w:rPr>
        <w:t>صوير</w:t>
      </w:r>
      <w:proofErr w:type="spellEnd"/>
      <w:r w:rsidRPr="00583CD0">
        <w:rPr>
          <w:rFonts w:ascii="Sakkal Majalla" w:hAnsi="Sakkal Majalla" w:cs="Sakkal Majalla"/>
          <w:sz w:val="28"/>
          <w:szCs w:val="28"/>
          <w:rtl/>
        </w:rPr>
        <w:t xml:space="preserve"> العام (50 سريرًا)، ومستشفى القريات العام (240 سريرًا)، ومستشفى مركز الحديثة العام (50 سريرًا)، ومستشفى مركز العيساوية العام (50 سريرًا)؛ وبذلك تبلغ السعة السريرية للمستشفيات التسعة المستهدفة نحو 1,470 سريرًا، في حين تمثل الرقم الإجمالي البالغ 1,800 سرير كامل شبكة التجمع.</w:t>
      </w:r>
    </w:p>
    <w:p w14:paraId="6CEADD96"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وبحسب أحدث البيانات الرسمية المتاحة، بلغ إجمالي العاملين في القطاع الصحي بمنطقة الجوف نحو 11,759 عاملًا حتى عام 2023، يتوزعون على 5,676 ممرضًا وممرضة، و2,646 طبيبًا، و2,984 من الكوادر الصحية المساندة، و453 صيدليًا (</w:t>
      </w:r>
      <w:proofErr w:type="spellStart"/>
      <w:r w:rsidRPr="00583CD0">
        <w:rPr>
          <w:rFonts w:ascii="Sakkal Majalla" w:hAnsi="Sakkal Majalla" w:cs="Sakkal Majalla"/>
          <w:sz w:val="28"/>
          <w:szCs w:val="28"/>
        </w:rPr>
        <w:t>DataSaudi</w:t>
      </w:r>
      <w:proofErr w:type="spellEnd"/>
      <w:r w:rsidRPr="00583CD0">
        <w:rPr>
          <w:rFonts w:ascii="Sakkal Majalla" w:hAnsi="Sakkal Majalla" w:cs="Sakkal Majalla"/>
          <w:sz w:val="28"/>
          <w:szCs w:val="28"/>
          <w:rtl/>
        </w:rPr>
        <w:t xml:space="preserve">، 2023). ويُورد هذا الرقم بوصفه مؤشرًا </w:t>
      </w:r>
      <w:proofErr w:type="spellStart"/>
      <w:r w:rsidRPr="00583CD0">
        <w:rPr>
          <w:rFonts w:ascii="Sakkal Majalla" w:hAnsi="Sakkal Majalla" w:cs="Sakkal Majalla"/>
          <w:sz w:val="28"/>
          <w:szCs w:val="28"/>
          <w:rtl/>
        </w:rPr>
        <w:t>سياقيًا</w:t>
      </w:r>
      <w:proofErr w:type="spellEnd"/>
      <w:r w:rsidRPr="00583CD0">
        <w:rPr>
          <w:rFonts w:ascii="Sakkal Majalla" w:hAnsi="Sakkal Majalla" w:cs="Sakkal Majalla"/>
          <w:sz w:val="28"/>
          <w:szCs w:val="28"/>
          <w:rtl/>
        </w:rPr>
        <w:t xml:space="preserve"> لحجم القوى العاملة في المنطقة؛ أما إطار المعاينة الفعلي للدراسة فهو مجموع العاملين في المستشفيات التسعة المستهدفة كما تُحدّدها القوائم الرسمية المستمدة من إدارة الموارد البشرية في تجمع الجوف الصحي، مع الإشارة إلى أن هذه الأعداد قد تتغير تبعًا لحركة التوظيف، وقد جُهِدَ إلى تحديثها قدر الإمكان عند تنفيذ الدراسة.</w:t>
      </w:r>
    </w:p>
    <w:p w14:paraId="0943B862"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3.3.3 مبررات</w:t>
      </w:r>
      <w:r w:rsidRPr="00875EB7">
        <w:rPr>
          <w:rFonts w:ascii="Sakkal Majalla" w:eastAsia="Arial" w:hAnsi="Sakkal Majalla" w:cs="Sakkal Majalla"/>
          <w:b/>
          <w:bCs/>
          <w:color w:val="auto"/>
          <w:sz w:val="28"/>
          <w:szCs w:val="28"/>
          <w:rtl/>
        </w:rPr>
        <w:t xml:space="preserve"> اختيار مجتمع الدراسة</w:t>
      </w:r>
    </w:p>
    <w:p w14:paraId="060548DE"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اختيرت المستشفيات الحكومية بمنطقة الجوف مجتمعًا للدراسة لاعتباراتٍ عدة. فهي تمثل العمود الفقري لمنظومة الرعاية الصحية في المملكة، إذ تخدم الشريحة الأكبر من السكان وتستحوذ على النسبة الأعلى من الأسرَّة والكوادر، بحيث ينعكس أيُّ تحسنٍ في ثقافة السلامة وتقليل الأحداث الضارة فيها مباشرةً على صحة المجتمع. كما تتميز المنطقة بتنوعٍ في أحجام مستشفياتِها يتراوح بين خمسين وثلاثمئة سرير، مما يوفر تباينًا مفيدًا في مستويات التعقيد التنظيمي وأنماط القيادة يُثري التحليل ويعزز قابلية تعميم النتائج داخل الإطار المحدد. يُضاف إلى ذلك أن منطقة الجوف لم تحظَ بدراساتٍ كافيةٍ في مجال سلامة المرضى والقيادة الصحية مقارنةً بالمناطق الكبرى كالرياض وجدة، وهو ما يُبرز الفجوة البحثية التي تسعى هذه الدراسة إلى سدها، فضلاً عن انسجام هذا الاختيار مع توجهات رؤية المملكة 2030 نحو تطوير الخدمات الصحية وتحقيق العدالة في توزيعها على مختلف المناطق.</w:t>
      </w:r>
    </w:p>
    <w:p w14:paraId="13C92825" w14:textId="77777777" w:rsidR="00BE1BA2" w:rsidRPr="00875EB7" w:rsidRDefault="00BE1BA2" w:rsidP="00BE1BA2">
      <w:pPr>
        <w:pStyle w:val="1"/>
        <w:bidi/>
        <w:rPr>
          <w:rFonts w:ascii="Sakkal Majalla" w:hAnsi="Sakkal Majalla" w:cs="Sakkal Majalla"/>
          <w:color w:val="auto"/>
        </w:rPr>
      </w:pPr>
      <w:r w:rsidRPr="00875EB7">
        <w:rPr>
          <w:rFonts w:ascii="Sakkal Majalla" w:hAnsi="Sakkal Majalla" w:cs="Sakkal Majalla"/>
          <w:color w:val="auto"/>
          <w:rtl/>
        </w:rPr>
        <w:t>3.4 عينة</w:t>
      </w:r>
      <w:r w:rsidRPr="00875EB7">
        <w:rPr>
          <w:rFonts w:ascii="Sakkal Majalla" w:eastAsia="Arial" w:hAnsi="Sakkal Majalla" w:cs="Sakkal Majalla"/>
          <w:b/>
          <w:bCs/>
          <w:color w:val="auto"/>
          <w:rtl/>
        </w:rPr>
        <w:t xml:space="preserve"> الدراسة وأسلوب المعاينة</w:t>
      </w:r>
    </w:p>
    <w:p w14:paraId="2715CF76"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3.4.1 تحديد</w:t>
      </w:r>
      <w:r w:rsidRPr="00875EB7">
        <w:rPr>
          <w:rFonts w:ascii="Sakkal Majalla" w:eastAsia="Arial" w:hAnsi="Sakkal Majalla" w:cs="Sakkal Majalla"/>
          <w:b/>
          <w:bCs/>
          <w:color w:val="auto"/>
          <w:sz w:val="28"/>
          <w:szCs w:val="28"/>
          <w:rtl/>
        </w:rPr>
        <w:t xml:space="preserve"> حجم العينة</w:t>
      </w:r>
    </w:p>
    <w:p w14:paraId="0AC4A84E" w14:textId="7CF9DE3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يُعتبر اختيار الحجم المناسب للعينة من القرارات الأساسية في البحث الكمي، خاصة عند استخدام نمذجة المعادلات الهيكلية التي تحتاج إلى أحجام كافية لضمان دقة التقديرات وقوة الاختبارات. أوضح</w:t>
      </w:r>
      <w:r w:rsidR="00DF6607">
        <w:rPr>
          <w:rFonts w:ascii="Sakkal Majalla" w:hAnsi="Sakkal Majalla" w:cs="Sakkal Majalla"/>
          <w:sz w:val="28"/>
          <w:szCs w:val="28"/>
          <w:rtl/>
        </w:rPr>
        <w:fldChar w:fldCharType="begin">
          <w:fldData xml:space="preserve">PEVuZE5vdGU+PENpdGUgQXV0aG9yWWVhcj0iMSI+PEF1dGhvcj5Xb2xmPC9BdXRob3I+PFllYXI+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</w:fldData>
        </w:fldChar>
      </w:r>
      <w:r w:rsidR="00DF6607">
        <w:rPr>
          <w:rFonts w:ascii="Sakkal Majalla" w:hAnsi="Sakkal Majalla" w:cs="Sakkal Majalla"/>
          <w:sz w:val="28"/>
          <w:szCs w:val="28"/>
          <w:rtl/>
        </w:rPr>
        <w:instrText xml:space="preserve"> </w:instrText>
      </w:r>
      <w:r w:rsidR="00DF6607">
        <w:rPr>
          <w:rFonts w:ascii="Sakkal Majalla" w:hAnsi="Sakkal Majalla" w:cs="Sakkal Majalla"/>
          <w:sz w:val="28"/>
          <w:szCs w:val="28"/>
        </w:rPr>
        <w:instrText>ADDIN EN.CITE</w:instrText>
      </w:r>
      <w:r w:rsidR="00DF6607">
        <w:rPr>
          <w:rFonts w:ascii="Sakkal Majalla" w:hAnsi="Sakkal Majalla" w:cs="Sakkal Majalla"/>
          <w:sz w:val="28"/>
          <w:szCs w:val="28"/>
          <w:rtl/>
        </w:rPr>
        <w:instrText xml:space="preserve"> </w:instrText>
      </w:r>
      <w:r w:rsidR="00DF6607">
        <w:rPr>
          <w:rFonts w:ascii="Sakkal Majalla" w:hAnsi="Sakkal Majalla" w:cs="Sakkal Majalla"/>
          <w:sz w:val="28"/>
          <w:szCs w:val="28"/>
          <w:rtl/>
        </w:rPr>
        <w:fldChar w:fldCharType="begin">
          <w:fldData xml:space="preserve">PEVuZE5vdGU+PENpdGUgQXV0aG9yWWVhcj0iMSI+PEF1dGhvcj5Xb2xmPC9BdXRob3I+PFllYXI+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</w:fldData>
        </w:fldChar>
      </w:r>
      <w:r w:rsidR="00DF6607">
        <w:rPr>
          <w:rFonts w:ascii="Sakkal Majalla" w:hAnsi="Sakkal Majalla" w:cs="Sakkal Majalla"/>
          <w:sz w:val="28"/>
          <w:szCs w:val="28"/>
          <w:rtl/>
        </w:rPr>
        <w:instrText xml:space="preserve"> </w:instrText>
      </w:r>
      <w:r w:rsidR="00DF6607">
        <w:rPr>
          <w:rFonts w:ascii="Sakkal Majalla" w:hAnsi="Sakkal Majalla" w:cs="Sakkal Majalla"/>
          <w:sz w:val="28"/>
          <w:szCs w:val="28"/>
        </w:rPr>
        <w:instrText>ADDIN EN.CITE.DATA</w:instrText>
      </w:r>
      <w:r w:rsidR="00DF6607">
        <w:rPr>
          <w:rFonts w:ascii="Sakkal Majalla" w:hAnsi="Sakkal Majalla" w:cs="Sakkal Majalla"/>
          <w:sz w:val="28"/>
          <w:szCs w:val="28"/>
          <w:rtl/>
        </w:rPr>
        <w:instrText xml:space="preserve"> </w:instrText>
      </w:r>
      <w:r w:rsidR="00DF6607">
        <w:rPr>
          <w:rFonts w:ascii="Sakkal Majalla" w:hAnsi="Sakkal Majalla" w:cs="Sakkal Majalla"/>
          <w:sz w:val="28"/>
          <w:szCs w:val="28"/>
          <w:rtl/>
        </w:rPr>
      </w:r>
      <w:r w:rsidR="00DF6607">
        <w:rPr>
          <w:rFonts w:ascii="Sakkal Majalla" w:hAnsi="Sakkal Majalla" w:cs="Sakkal Majalla"/>
          <w:sz w:val="28"/>
          <w:szCs w:val="28"/>
          <w:rtl/>
        </w:rPr>
        <w:fldChar w:fldCharType="end"/>
      </w:r>
      <w:r w:rsidR="00DF6607">
        <w:rPr>
          <w:rFonts w:ascii="Sakkal Majalla" w:hAnsi="Sakkal Majalla" w:cs="Sakkal Majalla"/>
          <w:sz w:val="28"/>
          <w:szCs w:val="28"/>
          <w:rtl/>
        </w:rPr>
      </w:r>
      <w:r w:rsidR="00DF6607">
        <w:rPr>
          <w:rFonts w:ascii="Sakkal Majalla" w:hAnsi="Sakkal Majalla" w:cs="Sakkal Majalla"/>
          <w:sz w:val="28"/>
          <w:szCs w:val="28"/>
          <w:rtl/>
        </w:rPr>
        <w:fldChar w:fldCharType="separate"/>
      </w:r>
      <w:r w:rsidR="00DF6607">
        <w:rPr>
          <w:rFonts w:ascii="Sakkal Majalla" w:hAnsi="Sakkal Majalla" w:cs="Sakkal Majalla"/>
          <w:noProof/>
          <w:sz w:val="28"/>
          <w:szCs w:val="28"/>
        </w:rPr>
        <w:t>Wolf et al</w:t>
      </w:r>
      <w:r w:rsidR="00DF6607">
        <w:rPr>
          <w:rFonts w:ascii="Sakkal Majalla" w:hAnsi="Sakkal Majalla" w:cs="Sakkal Majalla"/>
          <w:noProof/>
          <w:sz w:val="28"/>
          <w:szCs w:val="28"/>
          <w:rtl/>
        </w:rPr>
        <w:t>. (2013)</w:t>
      </w:r>
      <w:r w:rsidR="00DF6607">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أن حساب حجم العينة يعتمد على عدة عوامل، منها عدد المتغيرات الظاهرة والمخفية في النموذج، وقوة العلاقات المحتملة بينها، وعدد المعلمات التي يرغب الباحث في تقديرها. وقد استخدم الباحث مجموعة من المعايير لضمان الاتساق والدقة في التقدير.</w:t>
      </w:r>
    </w:p>
    <w:p w14:paraId="357961EC" w14:textId="690D392A"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فوفقًا لقاعدة النسبة إلى المعلمات، يوصي عددٌ من المنهجيين بأن تتراوح نسبة الحالات إلى المعلمات المُقدَّرة بين 10:1 و20:1 (</w:t>
      </w:r>
      <w:r w:rsidRPr="00583CD0">
        <w:rPr>
          <w:rFonts w:ascii="Sakkal Majalla" w:hAnsi="Sakkal Majalla" w:cs="Sakkal Majalla"/>
          <w:sz w:val="28"/>
          <w:szCs w:val="28"/>
        </w:rPr>
        <w:t>Kline, 2023</w:t>
      </w:r>
      <w:r w:rsidRPr="00583CD0">
        <w:rPr>
          <w:rFonts w:ascii="Sakkal Majalla" w:hAnsi="Sakkal Majalla" w:cs="Sakkal Majalla"/>
          <w:sz w:val="28"/>
          <w:szCs w:val="28"/>
          <w:rtl/>
        </w:rPr>
        <w:t xml:space="preserve">). وبالنظر إلى أن النموذج يتضمّن أربع متغيراتٍ كامنةٍ تتفرّع إلى أحد عشر بُعدًا مُشاهدًا، إضافةً إلى المسارات المباشرة وغير المباشرة والمتغيرات الضابطة، فإن عدد المعلمات المُقدَّرة يتراوح بين خمسين وستين معلمة؛ وبتطبيق نسبة 10:1 يكون الحد الأدنى </w:t>
      </w:r>
      <w:r w:rsidRPr="00583CD0">
        <w:rPr>
          <w:rFonts w:ascii="Sakkal Majalla" w:hAnsi="Sakkal Majalla" w:cs="Sakkal Majalla"/>
          <w:sz w:val="28"/>
          <w:szCs w:val="28"/>
          <w:rtl/>
        </w:rPr>
        <w:lastRenderedPageBreak/>
        <w:t>المطلوب نحو 500 إلى 600 حالة. ويتعزّز هذا التقدير بالحد الأدنى المطلق لنماذج النمذجة الهيكلية، إذ ير</w:t>
      </w:r>
      <w:r w:rsidR="00D60F31">
        <w:rPr>
          <w:rFonts w:ascii="Sakkal Majalla" w:hAnsi="Sakkal Majalla" w:cs="Sakkal Majalla" w:hint="cs"/>
          <w:sz w:val="28"/>
          <w:szCs w:val="28"/>
          <w:rtl/>
        </w:rPr>
        <w:t xml:space="preserve">ى </w:t>
      </w:r>
      <w:r w:rsidR="00D60F31">
        <w:rPr>
          <w:rFonts w:ascii="Sakkal Majalla" w:hAnsi="Sakkal Majalla" w:cs="Sakkal Majalla"/>
          <w:sz w:val="28"/>
          <w:szCs w:val="28"/>
          <w:rtl/>
        </w:rPr>
        <w:fldChar w:fldCharType="begin"/>
      </w:r>
      <w:r w:rsidR="00D60F31">
        <w:rPr>
          <w:rFonts w:ascii="Sakkal Majalla" w:hAnsi="Sakkal Majalla" w:cs="Sakkal Majalla"/>
          <w:sz w:val="28"/>
          <w:szCs w:val="28"/>
          <w:rtl/>
        </w:rPr>
        <w:instrText xml:space="preserve"> </w:instrText>
      </w:r>
      <w:r w:rsidR="00D60F31">
        <w:rPr>
          <w:rFonts w:ascii="Sakkal Majalla" w:hAnsi="Sakkal Majalla" w:cs="Sakkal Majalla"/>
          <w:sz w:val="28"/>
          <w:szCs w:val="28"/>
        </w:rPr>
        <w:instrText>ADDIN EN.CITE &lt;EndNote&gt;&lt;Cite AuthorYear="1"&gt;&lt;Author&gt;Boomsma&lt;/Author&gt;&lt;Year&gt;2001&lt;/Year&gt;&lt;RecNum&gt;267&lt;/RecNum&gt;&lt;DisplayText&gt;Boomsma and Hoogland (2001)&lt;/DisplayText&gt;&lt;record&gt;&lt;rec-number&gt;267&lt;/rec-number&gt;&lt;foreign-keys&gt;&lt;key app="EN" db-id="02retxxrerxdxhe9aphvs0z2t9z25p0ew99s" timestamp="1781804858"&gt;267&lt;/key&gt;&lt;/foreign-keys&gt;&lt;ref-type name="Book"&gt;6&lt;/ref-type&gt;&lt;contributors&gt;&lt;authors&gt;&lt;author&gt;Boomsma, Anne&lt;/author&gt;&lt;author&gt;Hoogland, Jeffrey&lt;/author&gt;&lt;/authors&gt;&lt;/contributors&gt;&lt;titles&gt;&lt;title&gt;The robustness of LISREL modeling</w:instrText>
      </w:r>
      <w:r w:rsidR="00D60F31">
        <w:rPr>
          <w:rFonts w:ascii="Sakkal Majalla" w:hAnsi="Sakkal Majalla" w:cs="Sakkal Majalla"/>
          <w:sz w:val="28"/>
          <w:szCs w:val="28"/>
          <w:rtl/>
        </w:rPr>
        <w:instrText xml:space="preserve"> </w:instrText>
      </w:r>
      <w:r w:rsidR="00D60F31">
        <w:rPr>
          <w:rFonts w:ascii="Sakkal Majalla" w:hAnsi="Sakkal Majalla" w:cs="Sakkal Majalla"/>
          <w:sz w:val="28"/>
          <w:szCs w:val="28"/>
        </w:rPr>
        <w:instrText>revisited. In R. Cudeck, S. du Toit &amp;amp; D. Sörbom (Eds.), Structural equation modeling: Present and future. A Festschrift in honor of Karl Jöreskog [preliminary version with references]&lt;/title&gt;&lt;alt-title&gt;Structural Equation Modeling, Present and Future</w:instrText>
      </w:r>
      <w:r w:rsidR="00D60F31">
        <w:rPr>
          <w:rFonts w:ascii="Sakkal Majalla" w:hAnsi="Sakkal Majalla" w:cs="Sakkal Majalla"/>
          <w:sz w:val="28"/>
          <w:szCs w:val="28"/>
          <w:rtl/>
        </w:rPr>
        <w:instrText>&lt;/</w:instrText>
      </w:r>
      <w:r w:rsidR="00D60F31">
        <w:rPr>
          <w:rFonts w:ascii="Sakkal Majalla" w:hAnsi="Sakkal Majalla" w:cs="Sakkal Majalla"/>
          <w:sz w:val="28"/>
          <w:szCs w:val="28"/>
        </w:rPr>
        <w:instrText>alt-title&gt;&lt;/titles&gt;&lt;pages&gt;139-168&lt;/pages&gt;&lt;dates&gt;&lt;year&gt;2001&lt;/year&gt;&lt;/dates&gt;&lt;isbn&gt;0-89498-049-1&lt;/isbn&gt;&lt;urls&gt;&lt;/urls&gt;&lt;/record&gt;&lt;/Cite&gt;&lt;/EndNote</w:instrText>
      </w:r>
      <w:r w:rsidR="00D60F31">
        <w:rPr>
          <w:rFonts w:ascii="Sakkal Majalla" w:hAnsi="Sakkal Majalla" w:cs="Sakkal Majalla"/>
          <w:sz w:val="28"/>
          <w:szCs w:val="28"/>
          <w:rtl/>
        </w:rPr>
        <w:instrText>&gt;</w:instrText>
      </w:r>
      <w:r w:rsidR="00D60F31">
        <w:rPr>
          <w:rFonts w:ascii="Sakkal Majalla" w:hAnsi="Sakkal Majalla" w:cs="Sakkal Majalla"/>
          <w:sz w:val="28"/>
          <w:szCs w:val="28"/>
          <w:rtl/>
        </w:rPr>
        <w:fldChar w:fldCharType="separate"/>
      </w:r>
      <w:r w:rsidR="00D60F31">
        <w:rPr>
          <w:rFonts w:ascii="Sakkal Majalla" w:hAnsi="Sakkal Majalla" w:cs="Sakkal Majalla"/>
          <w:noProof/>
          <w:sz w:val="28"/>
          <w:szCs w:val="28"/>
        </w:rPr>
        <w:t>Boomsma and Hoogland</w:t>
      </w:r>
      <w:r w:rsidR="00D60F31">
        <w:rPr>
          <w:rFonts w:ascii="Sakkal Majalla" w:hAnsi="Sakkal Majalla" w:cs="Sakkal Majalla"/>
          <w:noProof/>
          <w:sz w:val="28"/>
          <w:szCs w:val="28"/>
          <w:rtl/>
        </w:rPr>
        <w:t xml:space="preserve"> (2001)</w:t>
      </w:r>
      <w:r w:rsidR="00D60F31">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أن مئتي حالةٍ تمثّل الحد الأدنى المقبول، بينما يوصي </w:t>
      </w:r>
      <w:r w:rsidR="002E350D">
        <w:rPr>
          <w:rFonts w:ascii="Sakkal Majalla" w:hAnsi="Sakkal Majalla" w:cs="Sakkal Majalla"/>
          <w:sz w:val="28"/>
          <w:szCs w:val="28"/>
          <w:rtl/>
        </w:rPr>
        <w:fldChar w:fldCharType="begin"/>
      </w:r>
      <w:r w:rsidR="002E350D">
        <w:rPr>
          <w:rFonts w:ascii="Sakkal Majalla" w:hAnsi="Sakkal Majalla" w:cs="Sakkal Majalla"/>
          <w:sz w:val="28"/>
          <w:szCs w:val="28"/>
          <w:rtl/>
        </w:rPr>
        <w:instrText xml:space="preserve"> </w:instrText>
      </w:r>
      <w:r w:rsidR="002E350D">
        <w:rPr>
          <w:rFonts w:ascii="Sakkal Majalla" w:hAnsi="Sakkal Majalla" w:cs="Sakkal Majalla"/>
          <w:sz w:val="28"/>
          <w:szCs w:val="28"/>
        </w:rPr>
        <w:instrText>ADDIN EN.CITE &lt;EndNote&gt;&lt;Cite AuthorYear="1"&gt;&lt;Author&gt;Hair&lt;/Author&gt;&lt;Year&gt;2019&lt;/Year&gt;&lt;RecNum&gt;257&lt;/RecNum&gt;&lt;DisplayText&gt;Hair et al. (2019)&lt;/DisplayText&gt;&lt;record&gt;&lt;rec-number&gt;257&lt;/rec-number&gt;&lt;foreign-keys&gt;&lt;key app="EN" db-id="02retxxrerxdxhe9aphvs0z2t9z25p0ew99s</w:instrText>
      </w:r>
      <w:r w:rsidR="002E350D">
        <w:rPr>
          <w:rFonts w:ascii="Sakkal Majalla" w:hAnsi="Sakkal Majalla" w:cs="Sakkal Majalla"/>
          <w:sz w:val="28"/>
          <w:szCs w:val="28"/>
          <w:rtl/>
        </w:rPr>
        <w:instrText xml:space="preserve">" </w:instrText>
      </w:r>
      <w:r w:rsidR="002E350D">
        <w:rPr>
          <w:rFonts w:ascii="Sakkal Majalla" w:hAnsi="Sakkal Majalla" w:cs="Sakkal Majalla"/>
          <w:sz w:val="28"/>
          <w:szCs w:val="28"/>
        </w:rPr>
        <w:instrText>timestamp="1765544659"&gt;257&lt;/key&gt;&lt;/foreign-keys&gt;&lt;ref-type name="Journal Article"&gt;17&lt;/ref-type&gt;&lt;contributors&gt;&lt;authors&gt;&lt;author&gt;Hair, Joseph F.&lt;/author&gt;&lt;author&gt;Risher, Jeffrey J.&lt;/author&gt;&lt;author&gt;Sarstedt, Marko&lt;/author&gt;&lt;author&gt;Ringle, Christian M.&lt;/author</w:instrText>
      </w:r>
      <w:r w:rsidR="002E350D">
        <w:rPr>
          <w:rFonts w:ascii="Sakkal Majalla" w:hAnsi="Sakkal Majalla" w:cs="Sakkal Majalla"/>
          <w:sz w:val="28"/>
          <w:szCs w:val="28"/>
          <w:rtl/>
        </w:rPr>
        <w:instrText>&gt;&lt;/</w:instrText>
      </w:r>
      <w:r w:rsidR="002E350D">
        <w:rPr>
          <w:rFonts w:ascii="Sakkal Majalla" w:hAnsi="Sakkal Majalla" w:cs="Sakkal Majalla"/>
          <w:sz w:val="28"/>
          <w:szCs w:val="28"/>
        </w:rPr>
        <w:instrText>authors&gt;&lt;/contributors&gt;&lt;titles&gt;&lt;title&gt;When to use and how to report the results of PLS-SEM&lt;/title&gt;&lt;secondary-title&gt;European Business Review&lt;/secondary-title&gt;&lt;/titles&gt;&lt;periodical&gt;&lt;full-title&gt;European Business Review&lt;/full-title&gt;&lt;/periodical&gt;&lt;pages&gt;2-24&lt;/pages&gt;&lt;volume&gt;31&lt;/volume&gt;&lt;number&gt;1&lt;/number&gt;&lt;section&gt;2&lt;/section&gt;&lt;dates&gt;&lt;year&gt;2019&lt;/year&gt;&lt;/dates&gt;&lt;isbn&gt;0955-534X&lt;/isbn&gt;&lt;urls&gt;&lt;related-urls&gt;&lt;url&gt;https://doi.org/10.1108/EBR-11-2018-0203&lt;/url&gt;&lt;/related-urls&gt;&lt;/urls&gt;&lt;electronic-resource-num&gt;10.1108/ebr-11-2018-0</w:instrText>
      </w:r>
      <w:r w:rsidR="002E350D">
        <w:rPr>
          <w:rFonts w:ascii="Sakkal Majalla" w:hAnsi="Sakkal Majalla" w:cs="Sakkal Majalla"/>
          <w:sz w:val="28"/>
          <w:szCs w:val="28"/>
          <w:rtl/>
        </w:rPr>
        <w:instrText>203&lt;/</w:instrText>
      </w:r>
      <w:r w:rsidR="002E350D">
        <w:rPr>
          <w:rFonts w:ascii="Sakkal Majalla" w:hAnsi="Sakkal Majalla" w:cs="Sakkal Majalla"/>
          <w:sz w:val="28"/>
          <w:szCs w:val="28"/>
        </w:rPr>
        <w:instrText>electronic-resource-num&gt;&lt;access-date&gt;12/12/2025&lt;/access-date&gt;&lt;/record&gt;&lt;/Cite&gt;&lt;/EndNote</w:instrText>
      </w:r>
      <w:r w:rsidR="002E350D">
        <w:rPr>
          <w:rFonts w:ascii="Sakkal Majalla" w:hAnsi="Sakkal Majalla" w:cs="Sakkal Majalla"/>
          <w:sz w:val="28"/>
          <w:szCs w:val="28"/>
          <w:rtl/>
        </w:rPr>
        <w:instrText>&gt;</w:instrText>
      </w:r>
      <w:r w:rsidR="002E350D">
        <w:rPr>
          <w:rFonts w:ascii="Sakkal Majalla" w:hAnsi="Sakkal Majalla" w:cs="Sakkal Majalla"/>
          <w:sz w:val="28"/>
          <w:szCs w:val="28"/>
          <w:rtl/>
        </w:rPr>
        <w:fldChar w:fldCharType="separate"/>
      </w:r>
      <w:r w:rsidR="002E350D">
        <w:rPr>
          <w:rFonts w:ascii="Sakkal Majalla" w:hAnsi="Sakkal Majalla" w:cs="Sakkal Majalla"/>
          <w:noProof/>
          <w:sz w:val="28"/>
          <w:szCs w:val="28"/>
        </w:rPr>
        <w:t>Hair et al</w:t>
      </w:r>
      <w:r w:rsidR="002E350D">
        <w:rPr>
          <w:rFonts w:ascii="Sakkal Majalla" w:hAnsi="Sakkal Majalla" w:cs="Sakkal Majalla"/>
          <w:noProof/>
          <w:sz w:val="28"/>
          <w:szCs w:val="28"/>
          <w:rtl/>
        </w:rPr>
        <w:t>. (2019)</w:t>
      </w:r>
      <w:r w:rsidR="002E350D">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بما لا يقل عن ثلاثمئة حالةٍ للنماذج المعقّدة، وهو ما يجعل عينةً تفوق الخمسمئة حالةٍ ملائمةً لنموذج هذه الدراسة.</w:t>
      </w:r>
    </w:p>
    <w:p w14:paraId="0CAE6D4F" w14:textId="4E79D18D"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كذلك أشار تحليل القوة الإحصائية المسبق إلى أن بلوغ قوةٍ لا تقل عن 0.80 عند مستوى دلالة 0.05 يتطلب في نماذج الوساطة المتعددة عيناتٍ تتراوح بين ثلاثمئةٍ وأربعمئةٍ وستين حالةً بحسب حجم التأثيرات ودرجة تعقيد النموذج (</w:t>
      </w:r>
      <w:r w:rsidRPr="00583CD0">
        <w:rPr>
          <w:rFonts w:ascii="Sakkal Majalla" w:hAnsi="Sakkal Majalla" w:cs="Sakkal Majalla"/>
          <w:sz w:val="28"/>
          <w:szCs w:val="28"/>
        </w:rPr>
        <w:t>Wolf et al., 2013</w:t>
      </w:r>
      <w:r w:rsidRPr="00583CD0">
        <w:rPr>
          <w:rFonts w:ascii="Sakkal Majalla" w:hAnsi="Sakkal Majalla" w:cs="Sakkal Majalla"/>
          <w:sz w:val="28"/>
          <w:szCs w:val="28"/>
          <w:rtl/>
        </w:rPr>
        <w:t>). وأخيرًا، ولأن معدلات الاستجابة في المسوح الصحية تتراوح عادةً بين 40% و70%</w:t>
      </w:r>
      <w:r w:rsidR="00D60F31">
        <w:rPr>
          <w:rFonts w:ascii="Sakkal Majalla" w:hAnsi="Sakkal Majalla" w:cs="Sakkal Majalla"/>
          <w:sz w:val="28"/>
          <w:szCs w:val="28"/>
          <w:rtl/>
        </w:rPr>
        <w:fldChar w:fldCharType="begin"/>
      </w:r>
      <w:r w:rsidR="00D60F31">
        <w:rPr>
          <w:rFonts w:ascii="Sakkal Majalla" w:hAnsi="Sakkal Majalla" w:cs="Sakkal Majalla"/>
          <w:sz w:val="28"/>
          <w:szCs w:val="28"/>
          <w:rtl/>
        </w:rPr>
        <w:instrText xml:space="preserve"> </w:instrText>
      </w:r>
      <w:r w:rsidR="00D60F31">
        <w:rPr>
          <w:rFonts w:ascii="Sakkal Majalla" w:hAnsi="Sakkal Majalla" w:cs="Sakkal Majalla"/>
          <w:sz w:val="28"/>
          <w:szCs w:val="28"/>
        </w:rPr>
        <w:instrText>ADDIN EN.CITE &lt;EndNote&gt;&lt;Cite&gt;&lt;Author&gt;Baruch&lt;/Author&gt;&lt;Year&gt;2008&lt;/Year&gt;&lt;RecNum&gt;268&lt;/RecNum&gt;&lt;DisplayText&gt;(Baruch &amp;amp; Holtom, 2008)&lt;/DisplayText&gt;&lt;record&gt;&lt;rec-number&gt;268&lt;/rec-number&gt;&lt;foreign-keys&gt;&lt;key app="EN" db-id="02retxxrerxdxhe9aphvs0z2t9z25p0ew99s" timestamp="1781804993"&gt;268&lt;/key&gt;&lt;/foreign-keys&gt;&lt;ref-type name="Journal Article"&gt;17&lt;/ref-type&gt;&lt;contributors&gt;&lt;authors&gt;&lt;author&gt;Baruch, Yehuda&lt;/author&gt;&lt;author&gt;Holtom, Brooks C.&lt;/author&gt;&lt;/authors&gt;&lt;/contributors&gt;&lt;titles&gt;&lt;title&gt;Survey response rate levels and trends in organizational research&lt;/title&gt;&lt;secondary-title&gt;Human Relations&lt;/secondary-title&gt;&lt;/titles&gt;&lt;periodical&gt;&lt;full-title&gt;Human Relations&lt;/full-title&gt;&lt;/periodical&gt;&lt;pages&gt;1139-1160&lt;/pages&gt;&lt;volume&gt;61&lt;/volume&gt;&lt;number&gt;8&lt;/number&gt;&lt;section&gt;1139&lt;/section&gt;&lt;dates&gt;&lt;year&gt;2008&lt;/year&gt;&lt;pub-dates&gt;&lt;date&gt;08/01&lt;/date&gt;&lt;/pub-dates&gt;&lt;/dates&gt;&lt;isbn&gt;0018-7267&amp;#xD;1741-282X&lt;/isbn&gt;&lt;urls&gt;&lt;/urls&gt;&lt;electronic-resource-num&gt;10.1177/0018726708094863&lt;/electronic-resource-num&gt;&lt;/record&gt;&lt;/Cite&gt;&lt;/EndNote</w:instrText>
      </w:r>
      <w:r w:rsidR="00D60F31">
        <w:rPr>
          <w:rFonts w:ascii="Sakkal Majalla" w:hAnsi="Sakkal Majalla" w:cs="Sakkal Majalla"/>
          <w:sz w:val="28"/>
          <w:szCs w:val="28"/>
          <w:rtl/>
        </w:rPr>
        <w:instrText>&gt;</w:instrText>
      </w:r>
      <w:r w:rsidR="00D60F31">
        <w:rPr>
          <w:rFonts w:ascii="Sakkal Majalla" w:hAnsi="Sakkal Majalla" w:cs="Sakkal Majalla"/>
          <w:sz w:val="28"/>
          <w:szCs w:val="28"/>
          <w:rtl/>
        </w:rPr>
        <w:fldChar w:fldCharType="separate"/>
      </w:r>
      <w:r w:rsidR="00D60F31">
        <w:rPr>
          <w:rFonts w:ascii="Sakkal Majalla" w:hAnsi="Sakkal Majalla" w:cs="Sakkal Majalla"/>
          <w:noProof/>
          <w:sz w:val="28"/>
          <w:szCs w:val="28"/>
          <w:rtl/>
        </w:rPr>
        <w:t>(</w:t>
      </w:r>
      <w:r w:rsidR="00D60F31">
        <w:rPr>
          <w:rFonts w:ascii="Sakkal Majalla" w:hAnsi="Sakkal Majalla" w:cs="Sakkal Majalla"/>
          <w:noProof/>
          <w:sz w:val="28"/>
          <w:szCs w:val="28"/>
        </w:rPr>
        <w:t>Baruch &amp; Holtom, 2008</w:t>
      </w:r>
      <w:r w:rsidR="00D60F31">
        <w:rPr>
          <w:rFonts w:ascii="Sakkal Majalla" w:hAnsi="Sakkal Majalla" w:cs="Sakkal Majalla"/>
          <w:noProof/>
          <w:sz w:val="28"/>
          <w:szCs w:val="28"/>
          <w:rtl/>
        </w:rPr>
        <w:t>)</w:t>
      </w:r>
      <w:r w:rsidR="00D60F31">
        <w:rPr>
          <w:rFonts w:ascii="Sakkal Majalla" w:hAnsi="Sakkal Majalla" w:cs="Sakkal Majalla"/>
          <w:sz w:val="28"/>
          <w:szCs w:val="28"/>
          <w:rtl/>
        </w:rPr>
        <w:fldChar w:fldCharType="end"/>
      </w:r>
      <w:r w:rsidRPr="00583CD0">
        <w:rPr>
          <w:rFonts w:ascii="Sakkal Majalla" w:hAnsi="Sakkal Majalla" w:cs="Sakkal Majalla"/>
          <w:sz w:val="28"/>
          <w:szCs w:val="28"/>
          <w:rtl/>
        </w:rPr>
        <w:t>، قرّر الباحث توزيع عددٍ أكبر من الاستبانات لضمان بلوغ الحد المطلوب من الاستجابات الصالحة. وبناءً على هذه المعايير مجتمعةً، استهدف الباحث توزيع نحو سبعمئة استبانةٍ بهدف الحصول على خمسمئة استبانةٍ صالحةٍ للتحليل على الأقل، بما يتسق مع المستهدف المشار إليه في الفصل الأول.</w:t>
      </w:r>
    </w:p>
    <w:p w14:paraId="1AA4299F"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3.4.2 أسلوب</w:t>
      </w:r>
      <w:r w:rsidRPr="00875EB7">
        <w:rPr>
          <w:rFonts w:ascii="Sakkal Majalla" w:eastAsia="Arial" w:hAnsi="Sakkal Majalla" w:cs="Sakkal Majalla"/>
          <w:b/>
          <w:bCs/>
          <w:color w:val="auto"/>
          <w:sz w:val="28"/>
          <w:szCs w:val="28"/>
          <w:rtl/>
        </w:rPr>
        <w:t xml:space="preserve"> المعاينة الطبقية العشوائية النسبية</w:t>
      </w:r>
    </w:p>
    <w:p w14:paraId="26DD7BE6" w14:textId="38D0E660"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اعتمد الباحث أسلوب المعاينة الطبقية العشوائية النسبية (</w:t>
      </w:r>
      <w:r w:rsidRPr="00583CD0">
        <w:rPr>
          <w:rFonts w:ascii="Sakkal Majalla" w:hAnsi="Sakkal Majalla" w:cs="Sakkal Majalla"/>
          <w:sz w:val="28"/>
          <w:szCs w:val="28"/>
        </w:rPr>
        <w:t>Proportional Stratified Random Sampling</w:t>
      </w:r>
      <w:r w:rsidRPr="00583CD0">
        <w:rPr>
          <w:rFonts w:ascii="Sakkal Majalla" w:hAnsi="Sakkal Majalla" w:cs="Sakkal Majalla"/>
          <w:sz w:val="28"/>
          <w:szCs w:val="28"/>
          <w:rtl/>
        </w:rPr>
        <w:t xml:space="preserve">)، وهو أسلوبٌ احتماليٌ يضمن تمثيل جميع الفئات ذات الصلة بنسب متوازنة داخل العينة، عبر تقسيم المجتمع إلى طبقاتٍ متجانسة داخليًا ومتباينة فيما بينها، ثم سحب عينة عشوائية من كل طبقة بما يتناسب مع حجمها النسبي </w:t>
      </w:r>
      <w:r w:rsidR="00430F01">
        <w:rPr>
          <w:rFonts w:ascii="Sakkal Majalla" w:hAnsi="Sakkal Majalla" w:cs="Sakkal Majalla"/>
          <w:sz w:val="28"/>
          <w:szCs w:val="28"/>
          <w:rtl/>
        </w:rPr>
        <w:fldChar w:fldCharType="begin"/>
      </w:r>
      <w:r w:rsidR="00430F01">
        <w:rPr>
          <w:rFonts w:ascii="Sakkal Majalla" w:hAnsi="Sakkal Majalla" w:cs="Sakkal Majalla"/>
          <w:sz w:val="28"/>
          <w:szCs w:val="28"/>
          <w:rtl/>
        </w:rPr>
        <w:instrText xml:space="preserve"> </w:instrText>
      </w:r>
      <w:r w:rsidR="00430F01">
        <w:rPr>
          <w:rFonts w:ascii="Sakkal Majalla" w:hAnsi="Sakkal Majalla" w:cs="Sakkal Majalla"/>
          <w:sz w:val="28"/>
          <w:szCs w:val="28"/>
        </w:rPr>
        <w:instrText>ADDIN EN.CITE &lt;EndNote&gt;&lt;Cite&gt;&lt;Author&gt;Creswell&lt;/Author&gt;&lt;Year&gt;2017&lt;/Year&gt;&lt;RecNum&gt;270&lt;/RecNum&gt;&lt;DisplayText&gt;(Creswell &amp;amp; Creswell, 2017)&lt;/DisplayText&gt;&lt;record&gt;&lt;rec-number&gt;270&lt;/rec-number&gt;&lt;foreign-keys&gt;&lt;key app="EN" db-id="02retxxrerxdxhe9aphvs0z2t9z25p0ew9</w:instrText>
      </w:r>
      <w:r w:rsidR="00430F01">
        <w:rPr>
          <w:rFonts w:ascii="Sakkal Majalla" w:hAnsi="Sakkal Majalla" w:cs="Sakkal Majalla"/>
          <w:sz w:val="28"/>
          <w:szCs w:val="28"/>
          <w:rtl/>
        </w:rPr>
        <w:instrText>9</w:instrText>
      </w:r>
      <w:r w:rsidR="00430F01">
        <w:rPr>
          <w:rFonts w:ascii="Sakkal Majalla" w:hAnsi="Sakkal Majalla" w:cs="Sakkal Majalla"/>
          <w:sz w:val="28"/>
          <w:szCs w:val="28"/>
        </w:rPr>
        <w:instrText>s" timestamp="1781805672"&gt;270&lt;/key&gt;&lt;/foreign-keys&gt;&lt;ref-type name="Book"&gt;6&lt;/ref-type&gt;&lt;contributors&gt;&lt;authors&gt;&lt;author&gt;Creswell, John W&lt;/author&gt;&lt;author&gt;Creswell, J David&lt;/author&gt;&lt;/authors&gt;&lt;/contributors&gt;&lt;titles&gt;&lt;title&gt;Research design: Qualitative, quantitative, and mixed methods approaches&lt;/title&gt;&lt;/titles&gt;&lt;dates&gt;&lt;year&gt;2017&lt;/year&gt;&lt;/dates&gt;&lt;publisher&gt;Sage publications&lt;/publisher&gt;&lt;isbn&gt;1506386695&lt;/isbn&gt;&lt;urls&gt;&lt;/urls&gt;&lt;/record&gt;&lt;/Cite&gt;&lt;/EndNote</w:instrText>
      </w:r>
      <w:r w:rsidR="00430F01">
        <w:rPr>
          <w:rFonts w:ascii="Sakkal Majalla" w:hAnsi="Sakkal Majalla" w:cs="Sakkal Majalla"/>
          <w:sz w:val="28"/>
          <w:szCs w:val="28"/>
          <w:rtl/>
        </w:rPr>
        <w:instrText>&gt;</w:instrText>
      </w:r>
      <w:r w:rsidR="00430F01">
        <w:rPr>
          <w:rFonts w:ascii="Sakkal Majalla" w:hAnsi="Sakkal Majalla" w:cs="Sakkal Majalla"/>
          <w:sz w:val="28"/>
          <w:szCs w:val="28"/>
          <w:rtl/>
        </w:rPr>
        <w:fldChar w:fldCharType="separate"/>
      </w:r>
      <w:r w:rsidR="00430F01">
        <w:rPr>
          <w:rFonts w:ascii="Sakkal Majalla" w:hAnsi="Sakkal Majalla" w:cs="Sakkal Majalla"/>
          <w:noProof/>
          <w:sz w:val="28"/>
          <w:szCs w:val="28"/>
          <w:rtl/>
        </w:rPr>
        <w:t>(</w:t>
      </w:r>
      <w:r w:rsidR="00430F01">
        <w:rPr>
          <w:rFonts w:ascii="Sakkal Majalla" w:hAnsi="Sakkal Majalla" w:cs="Sakkal Majalla"/>
          <w:noProof/>
          <w:sz w:val="28"/>
          <w:szCs w:val="28"/>
        </w:rPr>
        <w:t>Creswell &amp; Creswell, 2017</w:t>
      </w:r>
      <w:r w:rsidR="00430F01">
        <w:rPr>
          <w:rFonts w:ascii="Sakkal Majalla" w:hAnsi="Sakkal Majalla" w:cs="Sakkal Majalla"/>
          <w:noProof/>
          <w:sz w:val="28"/>
          <w:szCs w:val="28"/>
          <w:rtl/>
        </w:rPr>
        <w:t>)</w:t>
      </w:r>
      <w:r w:rsidR="00430F01">
        <w:rPr>
          <w:rFonts w:ascii="Sakkal Majalla" w:hAnsi="Sakkal Majalla" w:cs="Sakkal Majalla"/>
          <w:sz w:val="28"/>
          <w:szCs w:val="28"/>
          <w:rtl/>
        </w:rPr>
        <w:fldChar w:fldCharType="end"/>
      </w:r>
      <w:r w:rsidRPr="00583CD0">
        <w:rPr>
          <w:rFonts w:ascii="Sakkal Majalla" w:hAnsi="Sakkal Majalla" w:cs="Sakkal Majalla"/>
          <w:sz w:val="28"/>
          <w:szCs w:val="28"/>
          <w:rtl/>
        </w:rPr>
        <w:t>.</w:t>
      </w:r>
    </w:p>
    <w:p w14:paraId="19E6F6CE"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وقد طُبّق هذا الأسلوب وفق خطواتٍ متتابعة: قُسّم مجتمع الدراسة أولًا إلى تسع طبقاتٍ يمثّل كل منها العاملين في أحد المستشفيات التسعة المستهدفة، وحُدّدت أعدادهم الفعلية من إدارة شؤون الموظفين بحيث يكون مجموع هذه الأعداد هو إطار المعاينة (</w:t>
      </w:r>
      <w:r w:rsidRPr="00583CD0">
        <w:rPr>
          <w:rFonts w:ascii="Sakkal Majalla" w:hAnsi="Sakkal Majalla" w:cs="Sakkal Majalla"/>
          <w:sz w:val="28"/>
          <w:szCs w:val="28"/>
        </w:rPr>
        <w:t>N</w:t>
      </w:r>
      <w:r w:rsidRPr="00583CD0">
        <w:rPr>
          <w:rFonts w:ascii="Sakkal Majalla" w:hAnsi="Sakkal Majalla" w:cs="Sakkal Majalla"/>
          <w:sz w:val="28"/>
          <w:szCs w:val="28"/>
          <w:rtl/>
        </w:rPr>
        <w:t xml:space="preserve">) لا الرقم الإقليمي العام. ثم قُسّمت كل طبقةٍ داخليًا إلى فئاتٍ مهنيةٍ تشمل الأطباء والممرضين والفنيين الصحيين والإداريين، ضمانًا لتمثيل كل فئةٍ بنسبتها الحقيقية. وبعد ذلك حُسب حجم العينة المطلوب من كل طبقةٍ وفق المعادلة </w:t>
      </w:r>
      <w:proofErr w:type="spellStart"/>
      <w:r w:rsidRPr="00583CD0">
        <w:rPr>
          <w:rFonts w:ascii="Sakkal Majalla" w:hAnsi="Sakkal Majalla" w:cs="Sakkal Majalla"/>
          <w:sz w:val="28"/>
          <w:szCs w:val="28"/>
        </w:rPr>
        <w:t>nh</w:t>
      </w:r>
      <w:proofErr w:type="spellEnd"/>
      <w:r w:rsidRPr="00583CD0">
        <w:rPr>
          <w:rFonts w:ascii="Sakkal Majalla" w:hAnsi="Sakkal Majalla" w:cs="Sakkal Majalla"/>
          <w:sz w:val="28"/>
          <w:szCs w:val="28"/>
        </w:rPr>
        <w:t xml:space="preserve"> = (Nh / N) × n</w:t>
      </w:r>
      <w:r w:rsidRPr="00583CD0">
        <w:rPr>
          <w:rFonts w:ascii="Sakkal Majalla" w:hAnsi="Sakkal Majalla" w:cs="Sakkal Majalla"/>
          <w:sz w:val="28"/>
          <w:szCs w:val="28"/>
          <w:rtl/>
        </w:rPr>
        <w:t xml:space="preserve">، حيث </w:t>
      </w:r>
      <w:proofErr w:type="spellStart"/>
      <w:r w:rsidRPr="00583CD0">
        <w:rPr>
          <w:rFonts w:ascii="Sakkal Majalla" w:hAnsi="Sakkal Majalla" w:cs="Sakkal Majalla"/>
          <w:sz w:val="28"/>
          <w:szCs w:val="28"/>
        </w:rPr>
        <w:t>nh</w:t>
      </w:r>
      <w:proofErr w:type="spellEnd"/>
      <w:r w:rsidRPr="00583CD0">
        <w:rPr>
          <w:rFonts w:ascii="Sakkal Majalla" w:hAnsi="Sakkal Majalla" w:cs="Sakkal Majalla"/>
          <w:sz w:val="28"/>
          <w:szCs w:val="28"/>
          <w:rtl/>
        </w:rPr>
        <w:t xml:space="preserve"> حجم العينة من الطبقة، و</w:t>
      </w:r>
      <w:r w:rsidRPr="00583CD0">
        <w:rPr>
          <w:rFonts w:ascii="Sakkal Majalla" w:hAnsi="Sakkal Majalla" w:cs="Sakkal Majalla"/>
          <w:sz w:val="28"/>
          <w:szCs w:val="28"/>
        </w:rPr>
        <w:t>Nh</w:t>
      </w:r>
      <w:r w:rsidRPr="00583CD0">
        <w:rPr>
          <w:rFonts w:ascii="Sakkal Majalla" w:hAnsi="Sakkal Majalla" w:cs="Sakkal Majalla"/>
          <w:sz w:val="28"/>
          <w:szCs w:val="28"/>
          <w:rtl/>
        </w:rPr>
        <w:t xml:space="preserve"> عدد العاملين فيها، و</w:t>
      </w:r>
      <w:r w:rsidRPr="00583CD0">
        <w:rPr>
          <w:rFonts w:ascii="Sakkal Majalla" w:hAnsi="Sakkal Majalla" w:cs="Sakkal Majalla"/>
          <w:sz w:val="28"/>
          <w:szCs w:val="28"/>
        </w:rPr>
        <w:t>N</w:t>
      </w:r>
      <w:r w:rsidRPr="00583CD0">
        <w:rPr>
          <w:rFonts w:ascii="Sakkal Majalla" w:hAnsi="Sakkal Majalla" w:cs="Sakkal Majalla"/>
          <w:sz w:val="28"/>
          <w:szCs w:val="28"/>
          <w:rtl/>
        </w:rPr>
        <w:t xml:space="preserve"> إجمالي إطار المعاينة، و</w:t>
      </w:r>
      <w:r w:rsidRPr="00583CD0">
        <w:rPr>
          <w:rFonts w:ascii="Sakkal Majalla" w:hAnsi="Sakkal Majalla" w:cs="Sakkal Majalla"/>
          <w:sz w:val="28"/>
          <w:szCs w:val="28"/>
        </w:rPr>
        <w:t>n</w:t>
      </w:r>
      <w:r w:rsidRPr="00583CD0">
        <w:rPr>
          <w:rFonts w:ascii="Sakkal Majalla" w:hAnsi="Sakkal Majalla" w:cs="Sakkal Majalla"/>
          <w:sz w:val="28"/>
          <w:szCs w:val="28"/>
          <w:rtl/>
        </w:rPr>
        <w:t xml:space="preserve"> حجم العينة الكلي المستهدف. وأخيرًا، سُحبت المفردات من كل طبقةٍ سحبًا عشوائيًا بسيطًا باستخدام جداول الأرقام العشوائية المُولّدة حاسوبيًا بعد الحصول على قوائم العاملين.</w:t>
      </w:r>
    </w:p>
    <w:p w14:paraId="4C9704EB"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eastAsia="Arial" w:hAnsi="Sakkal Majalla" w:cs="Sakkal Majalla"/>
          <w:b/>
          <w:bCs/>
          <w:color w:val="auto"/>
          <w:sz w:val="28"/>
          <w:szCs w:val="28"/>
          <w:rtl/>
        </w:rPr>
        <w:t>3.</w:t>
      </w:r>
      <w:r w:rsidRPr="00875EB7">
        <w:rPr>
          <w:rFonts w:ascii="Sakkal Majalla" w:hAnsi="Sakkal Majalla" w:cs="Sakkal Majalla"/>
          <w:b/>
          <w:bCs/>
          <w:color w:val="auto"/>
          <w:sz w:val="28"/>
          <w:szCs w:val="28"/>
          <w:rtl/>
        </w:rPr>
        <w:t>4.3 مبررات اختيار أسلوب المعاينة</w:t>
      </w:r>
    </w:p>
    <w:p w14:paraId="58A47B2B" w14:textId="28B09596"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يضمن هذا الأسلوب تمثيل جميع المستشفيات والفئات المهنية بنسبها الحقيقية، فيحُول دون تحيّز العينة لمستشفًى بعينه أو فئةٍ مهنيةٍ بذاتها. كما يقلّل التقسيم الطبقي من الخطأ المعياري للتقديرات مقارنةً بالعينة العشوائية البسيطة، خصوصًا عند وجود فروقٍ جوهريةٍ بين الطبقات في المتغيرات المدروسة </w:t>
      </w:r>
      <w:r w:rsidR="000C2D81">
        <w:rPr>
          <w:rFonts w:ascii="Sakkal Majalla" w:hAnsi="Sakkal Majalla" w:cs="Sakkal Majalla"/>
          <w:sz w:val="28"/>
          <w:szCs w:val="28"/>
          <w:rtl/>
        </w:rPr>
        <w:fldChar w:fldCharType="begin"/>
      </w:r>
      <w:r w:rsidR="000C2D81">
        <w:rPr>
          <w:rFonts w:ascii="Sakkal Majalla" w:hAnsi="Sakkal Majalla" w:cs="Sakkal Majalla"/>
          <w:sz w:val="28"/>
          <w:szCs w:val="28"/>
          <w:rtl/>
        </w:rPr>
        <w:instrText xml:space="preserve"> </w:instrText>
      </w:r>
      <w:r w:rsidR="000C2D81">
        <w:rPr>
          <w:rFonts w:ascii="Sakkal Majalla" w:hAnsi="Sakkal Majalla" w:cs="Sakkal Majalla"/>
          <w:sz w:val="28"/>
          <w:szCs w:val="28"/>
        </w:rPr>
        <w:instrText>ADDIN EN.CITE &lt;EndNote&gt;&lt;Cite&gt;&lt;Author&gt;Sekaran&lt;/Author&gt;&lt;Year&gt;2016&lt;/Year&gt;&lt;RecNum&gt;277&lt;/RecNum&gt;&lt;DisplayText&gt;(Sekaran, 2016)&lt;/DisplayText&gt;&lt;record&gt;&lt;rec-number&gt;277&lt;/rec-number&gt;&lt;foreign-keys&gt;&lt;key app="EN" db-id="02retxxrerxdxhe9aphvs0z2t9z25p0ew99s" timestamp="17</w:instrText>
      </w:r>
      <w:r w:rsidR="000C2D81">
        <w:rPr>
          <w:rFonts w:ascii="Sakkal Majalla" w:hAnsi="Sakkal Majalla" w:cs="Sakkal Majalla"/>
          <w:sz w:val="28"/>
          <w:szCs w:val="28"/>
          <w:rtl/>
        </w:rPr>
        <w:instrText>81807781"&gt;277&lt;/</w:instrText>
      </w:r>
      <w:r w:rsidR="000C2D81">
        <w:rPr>
          <w:rFonts w:ascii="Sakkal Majalla" w:hAnsi="Sakkal Majalla" w:cs="Sakkal Majalla"/>
          <w:sz w:val="28"/>
          <w:szCs w:val="28"/>
        </w:rPr>
        <w:instrText>key&gt;&lt;/foreign-keys&gt;&lt;ref-type name="Generic"&gt;13&lt;/ref-type&gt;&lt;contributors&gt;&lt;authors&gt;&lt;author&gt;Sekaran, U&lt;/author&gt;&lt;/authors&gt;&lt;/contributors&gt;&lt;titles&gt;&lt;title&gt;Research methods for business: A skill building approach&lt;/title&gt;&lt;/titles&gt;&lt;dates&gt;&lt;year&gt;2016&lt;/year&gt;&lt;/dates&gt;&lt;publisher&gt;John Wiley &amp;amp; Sons&lt;/publisher&gt;&lt;urls&gt;&lt;/urls&gt;&lt;/record&gt;&lt;/Cite&gt;&lt;/EndNote</w:instrText>
      </w:r>
      <w:r w:rsidR="000C2D81">
        <w:rPr>
          <w:rFonts w:ascii="Sakkal Majalla" w:hAnsi="Sakkal Majalla" w:cs="Sakkal Majalla"/>
          <w:sz w:val="28"/>
          <w:szCs w:val="28"/>
          <w:rtl/>
        </w:rPr>
        <w:instrText>&gt;</w:instrText>
      </w:r>
      <w:r w:rsidR="000C2D81">
        <w:rPr>
          <w:rFonts w:ascii="Sakkal Majalla" w:hAnsi="Sakkal Majalla" w:cs="Sakkal Majalla"/>
          <w:sz w:val="28"/>
          <w:szCs w:val="28"/>
          <w:rtl/>
        </w:rPr>
        <w:fldChar w:fldCharType="separate"/>
      </w:r>
      <w:r w:rsidR="000C2D81">
        <w:rPr>
          <w:rFonts w:ascii="Sakkal Majalla" w:hAnsi="Sakkal Majalla" w:cs="Sakkal Majalla"/>
          <w:noProof/>
          <w:sz w:val="28"/>
          <w:szCs w:val="28"/>
          <w:rtl/>
        </w:rPr>
        <w:t>(</w:t>
      </w:r>
      <w:r w:rsidR="000C2D81">
        <w:rPr>
          <w:rFonts w:ascii="Sakkal Majalla" w:hAnsi="Sakkal Majalla" w:cs="Sakkal Majalla"/>
          <w:noProof/>
          <w:sz w:val="28"/>
          <w:szCs w:val="28"/>
        </w:rPr>
        <w:t>Sekaran, 2016</w:t>
      </w:r>
      <w:r w:rsidR="000C2D81">
        <w:rPr>
          <w:rFonts w:ascii="Sakkal Majalla" w:hAnsi="Sakkal Majalla" w:cs="Sakkal Majalla"/>
          <w:noProof/>
          <w:sz w:val="28"/>
          <w:szCs w:val="28"/>
          <w:rtl/>
        </w:rPr>
        <w:t>)</w:t>
      </w:r>
      <w:r w:rsidR="000C2D81">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ويتيح هذا الأسلوب فضلًا عن ذلك إمكانية إجراء مقارناتٍ بين المستشفيات أو الفئات المهنية عند الحاجة، مما يثري التحليل ويوفّر رؤًى أعمق حول الظاهرة المدروسة.</w:t>
      </w:r>
    </w:p>
    <w:p w14:paraId="39160B9F"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lastRenderedPageBreak/>
        <w:t>3.4.4 معايير</w:t>
      </w:r>
      <w:r w:rsidRPr="00875EB7">
        <w:rPr>
          <w:rFonts w:ascii="Sakkal Majalla" w:eastAsia="Arial" w:hAnsi="Sakkal Majalla" w:cs="Sakkal Majalla"/>
          <w:b/>
          <w:bCs/>
          <w:color w:val="auto"/>
          <w:sz w:val="28"/>
          <w:szCs w:val="28"/>
          <w:rtl/>
        </w:rPr>
        <w:t xml:space="preserve"> الشمول والاستبعاد</w:t>
      </w:r>
    </w:p>
    <w:p w14:paraId="1DC894ED"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حُدّدت معايير الشمول بحيث يكون المشارك من العاملين الحاليين في أحد المستشفيات الحكومية التسعة المستهدفة، وقد أمضى مدة لا تقل عن ستة أشهر في المستشفى الحالي ضمانًا لإلمامه الكافي ببيئة العمل وأنماط القيادة وإجراءات السلامة، وأن يكون من الكوادر ذات الصلة المباشرة أو غير المباشرة بعمليات الرعاية وسلامة المرضى. وفي المقابل، استُبعد العاملون الجدد ممن تقل خبرتهم عن ستة أشهر في المستشفى، والمتعاقدون مؤقتًا لمدة تقل عن عام، والمتدرّبون والمتطوّعون ممن لا يُعدّون جزءًا من الملاك الوظيفي الدائم، والعاملون في الإجازات الطويلة خلال فترة جمع البيانات.</w:t>
      </w:r>
    </w:p>
    <w:p w14:paraId="33060A7C"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3.5 أداة</w:t>
      </w:r>
      <w:r w:rsidRPr="00875EB7">
        <w:rPr>
          <w:rFonts w:ascii="Sakkal Majalla" w:eastAsia="Arial" w:hAnsi="Sakkal Majalla" w:cs="Sakkal Majalla"/>
          <w:b/>
          <w:bCs/>
          <w:color w:val="auto"/>
          <w:rtl/>
        </w:rPr>
        <w:t xml:space="preserve"> جمع البيانات</w:t>
      </w:r>
    </w:p>
    <w:p w14:paraId="09CD0E58" w14:textId="77777777" w:rsidR="00BE1BA2" w:rsidRPr="00875EB7" w:rsidRDefault="00BE1BA2" w:rsidP="00BE1BA2">
      <w:pPr>
        <w:pStyle w:val="2"/>
        <w:bidi/>
        <w:rPr>
          <w:rFonts w:ascii="Sakkal Majalla" w:hAnsi="Sakkal Majalla" w:cs="Sakkal Majalla"/>
          <w:b/>
          <w:bCs/>
          <w:color w:val="auto"/>
          <w:sz w:val="28"/>
          <w:szCs w:val="28"/>
          <w:rtl/>
        </w:rPr>
      </w:pPr>
      <w:r w:rsidRPr="00875EB7">
        <w:rPr>
          <w:rFonts w:ascii="Sakkal Majalla" w:hAnsi="Sakkal Majalla" w:cs="Sakkal Majalla"/>
          <w:b/>
          <w:bCs/>
          <w:color w:val="auto"/>
          <w:sz w:val="28"/>
          <w:szCs w:val="28"/>
          <w:rtl/>
        </w:rPr>
        <w:t>3.5.1 الاستبانة</w:t>
      </w:r>
      <w:r w:rsidRPr="00875EB7">
        <w:rPr>
          <w:rFonts w:ascii="Sakkal Majalla" w:eastAsia="Arial" w:hAnsi="Sakkal Majalla" w:cs="Sakkal Majalla"/>
          <w:b/>
          <w:bCs/>
          <w:color w:val="auto"/>
          <w:sz w:val="28"/>
          <w:szCs w:val="28"/>
          <w:rtl/>
        </w:rPr>
        <w:t xml:space="preserve"> بوصفها الأداة الرئيسة</w:t>
      </w:r>
    </w:p>
    <w:p w14:paraId="1AABEA89" w14:textId="11492926"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اعتمدت الدراسة الاستبانة (</w:t>
      </w:r>
      <w:r w:rsidRPr="00583CD0">
        <w:rPr>
          <w:rFonts w:ascii="Sakkal Majalla" w:hAnsi="Sakkal Majalla" w:cs="Sakkal Majalla"/>
          <w:sz w:val="28"/>
          <w:szCs w:val="28"/>
        </w:rPr>
        <w:t>Questionnaire</w:t>
      </w:r>
      <w:r w:rsidRPr="00583CD0">
        <w:rPr>
          <w:rFonts w:ascii="Sakkal Majalla" w:hAnsi="Sakkal Majalla" w:cs="Sakkal Majalla"/>
          <w:sz w:val="28"/>
          <w:szCs w:val="28"/>
          <w:rtl/>
        </w:rPr>
        <w:t xml:space="preserve">) أداةً رئيسةً لجمع البيانات، لكونها من أكثر أدوات البحث الكمي استخدامًا في بحوث الإدارة والعلوم السلوكية </w:t>
      </w:r>
      <w:r w:rsidR="000C2D81">
        <w:rPr>
          <w:rFonts w:ascii="Sakkal Majalla" w:hAnsi="Sakkal Majalla" w:cs="Sakkal Majalla"/>
          <w:sz w:val="28"/>
          <w:szCs w:val="28"/>
          <w:rtl/>
        </w:rPr>
        <w:fldChar w:fldCharType="begin"/>
      </w:r>
      <w:r w:rsidR="000C2D81">
        <w:rPr>
          <w:rFonts w:ascii="Sakkal Majalla" w:hAnsi="Sakkal Majalla" w:cs="Sakkal Majalla"/>
          <w:sz w:val="28"/>
          <w:szCs w:val="28"/>
          <w:rtl/>
        </w:rPr>
        <w:instrText xml:space="preserve"> </w:instrText>
      </w:r>
      <w:r w:rsidR="000C2D81">
        <w:rPr>
          <w:rFonts w:ascii="Sakkal Majalla" w:hAnsi="Sakkal Majalla" w:cs="Sakkal Majalla"/>
          <w:sz w:val="28"/>
          <w:szCs w:val="28"/>
        </w:rPr>
        <w:instrText>ADDIN EN.CITE &lt;EndNote&gt;&lt;Cite&gt;&lt;Author&gt;Sekaran&lt;/Author&gt;&lt;Year&gt;2016&lt;/Year&gt;&lt;RecNum&gt;277&lt;/RecNum&gt;&lt;DisplayText&gt;(Sekaran, 2016)&lt;/DisplayText&gt;&lt;record&gt;&lt;rec-number&gt;277&lt;/rec-number&gt;&lt;foreign-keys&gt;&lt;key app="EN" db-id="02retxxrerxdxhe9aphvs0z2t9z25p0ew99s" timestamp="17</w:instrText>
      </w:r>
      <w:r w:rsidR="000C2D81">
        <w:rPr>
          <w:rFonts w:ascii="Sakkal Majalla" w:hAnsi="Sakkal Majalla" w:cs="Sakkal Majalla"/>
          <w:sz w:val="28"/>
          <w:szCs w:val="28"/>
          <w:rtl/>
        </w:rPr>
        <w:instrText>81807781"&gt;277&lt;/</w:instrText>
      </w:r>
      <w:r w:rsidR="000C2D81">
        <w:rPr>
          <w:rFonts w:ascii="Sakkal Majalla" w:hAnsi="Sakkal Majalla" w:cs="Sakkal Majalla"/>
          <w:sz w:val="28"/>
          <w:szCs w:val="28"/>
        </w:rPr>
        <w:instrText>key&gt;&lt;/foreign-keys&gt;&lt;ref-type name="Generic"&gt;13&lt;/ref-type&gt;&lt;contributors&gt;&lt;authors&gt;&lt;author&gt;Sekaran, U&lt;/author&gt;&lt;/authors&gt;&lt;/contributors&gt;&lt;titles&gt;&lt;title&gt;Research methods for business: A skill building approach&lt;/title&gt;&lt;/titles&gt;&lt;dates&gt;&lt;year&gt;2016&lt;/year&gt;&lt;/dates&gt;&lt;publisher&gt;John Wiley &amp;amp; Sons&lt;/publisher&gt;&lt;urls&gt;&lt;/urls&gt;&lt;/record&gt;&lt;/Cite&gt;&lt;/EndNote</w:instrText>
      </w:r>
      <w:r w:rsidR="000C2D81">
        <w:rPr>
          <w:rFonts w:ascii="Sakkal Majalla" w:hAnsi="Sakkal Majalla" w:cs="Sakkal Majalla"/>
          <w:sz w:val="28"/>
          <w:szCs w:val="28"/>
          <w:rtl/>
        </w:rPr>
        <w:instrText>&gt;</w:instrText>
      </w:r>
      <w:r w:rsidR="000C2D81">
        <w:rPr>
          <w:rFonts w:ascii="Sakkal Majalla" w:hAnsi="Sakkal Majalla" w:cs="Sakkal Majalla"/>
          <w:sz w:val="28"/>
          <w:szCs w:val="28"/>
          <w:rtl/>
        </w:rPr>
        <w:fldChar w:fldCharType="separate"/>
      </w:r>
      <w:r w:rsidR="000C2D81">
        <w:rPr>
          <w:rFonts w:ascii="Sakkal Majalla" w:hAnsi="Sakkal Majalla" w:cs="Sakkal Majalla"/>
          <w:noProof/>
          <w:sz w:val="28"/>
          <w:szCs w:val="28"/>
          <w:rtl/>
        </w:rPr>
        <w:t>(</w:t>
      </w:r>
      <w:r w:rsidR="000C2D81">
        <w:rPr>
          <w:rFonts w:ascii="Sakkal Majalla" w:hAnsi="Sakkal Majalla" w:cs="Sakkal Majalla"/>
          <w:noProof/>
          <w:sz w:val="28"/>
          <w:szCs w:val="28"/>
        </w:rPr>
        <w:t>Sekaran, 2016</w:t>
      </w:r>
      <w:r w:rsidR="000C2D81">
        <w:rPr>
          <w:rFonts w:ascii="Sakkal Majalla" w:hAnsi="Sakkal Majalla" w:cs="Sakkal Majalla"/>
          <w:noProof/>
          <w:sz w:val="28"/>
          <w:szCs w:val="28"/>
          <w:rtl/>
        </w:rPr>
        <w:t>)</w:t>
      </w:r>
      <w:r w:rsidR="000C2D81">
        <w:rPr>
          <w:rFonts w:ascii="Sakkal Majalla" w:hAnsi="Sakkal Majalla" w:cs="Sakkal Majalla"/>
          <w:sz w:val="28"/>
          <w:szCs w:val="28"/>
          <w:rtl/>
        </w:rPr>
        <w:fldChar w:fldCharType="end"/>
      </w:r>
      <w:r w:rsidRPr="00583CD0">
        <w:rPr>
          <w:rFonts w:ascii="Sakkal Majalla" w:hAnsi="Sakkal Majalla" w:cs="Sakkal Majalla"/>
          <w:sz w:val="28"/>
          <w:szCs w:val="28"/>
          <w:rtl/>
        </w:rPr>
        <w:t>. وقد رجّح الباحثُ هذه الأداة لأنها تتيح جمع كمياتٍ كبيرةٍ من البيانات من عينةٍ واسعةٍ بكفاءةٍ عاليةٍ من حيث التكلفة والوقت، وتوفّر معاييرَ موحّدةً للقياس تسهّل المقارنة بين الاستجابات وتحليلها إحصائيًا، فضلًا عن أنها تمنح المشاركين قدرًا أكبر من الحرية والسرية مقارنةً بالمقابلات المباشرة، مما يعزز صدق الإجابات. كما تتوافق الاستبانة مع متطلبات نمذجة المعادلات الهيكلية التي تستلزم بياناتً كميةً قابلةً للتحويل إلى متغيراتٍ مُشاهدة. وقد صُمّمت الأداة لتتألف من خمسة أقسامٍ رئيسةٍ يعرضها ما يأتي.</w:t>
      </w:r>
    </w:p>
    <w:p w14:paraId="505155D2" w14:textId="77777777" w:rsidR="00BE1BA2" w:rsidRPr="00875EB7" w:rsidRDefault="00BE1BA2" w:rsidP="00BE1BA2">
      <w:pPr>
        <w:pStyle w:val="3"/>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3.5.2 القسم</w:t>
      </w:r>
      <w:r w:rsidRPr="00875EB7">
        <w:rPr>
          <w:rFonts w:ascii="Sakkal Majalla" w:eastAsia="Arial" w:hAnsi="Sakkal Majalla" w:cs="Sakkal Majalla"/>
          <w:b/>
          <w:bCs/>
          <w:color w:val="auto"/>
          <w:sz w:val="28"/>
          <w:szCs w:val="28"/>
          <w:rtl/>
        </w:rPr>
        <w:t xml:space="preserve"> الأول: البيانات الديموغرافية والوظيفية</w:t>
      </w:r>
    </w:p>
    <w:p w14:paraId="5B564123"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يتضمّن هذا القسم مجموعةً من الأسئلة المتعلقة بالخصائص الشخصية والوظيفية للمشاركين، تشمل: الجنس، الفئة العمرية، المؤهل العلمي، الفئة المهنية، المرتبة أو الفئة الوظيفية، سنوات الخبرة في المستشفى الحالي، القسم أو التخصص الطبي، نوع المناوبة، واسم المستشفى. وتُعدّ هذه البيانات ضروريةً لوصف خصائص العينة، فضلًا عن كونها تمثّل المتغيرات الضابطة (سنوات الخبرة، القسم أو التخصص، نوع المناوبة، المرتبة الوظيفية) التي ستُضبط في النموذج الهيكلي لعزل تأثيرها عن المتغيرات الجوهرية.</w:t>
      </w:r>
    </w:p>
    <w:p w14:paraId="170DD27B" w14:textId="3D08C1EA" w:rsidR="00BE1BA2" w:rsidRPr="00875EB7" w:rsidRDefault="004B57B5" w:rsidP="004B57B5">
      <w:pPr>
        <w:pStyle w:val="3"/>
        <w:bidi/>
        <w:rPr>
          <w:rFonts w:ascii="Sakkal Majalla" w:hAnsi="Sakkal Majalla" w:cs="Sakkal Majalla"/>
          <w:color w:val="auto"/>
          <w:sz w:val="28"/>
          <w:szCs w:val="28"/>
        </w:rPr>
      </w:pPr>
      <w:r w:rsidRPr="004B57B5">
        <w:rPr>
          <w:rFonts w:ascii="Sakkal Majalla" w:eastAsia="Arial" w:hAnsi="Sakkal Majalla" w:cs="Sakkal Majalla"/>
          <w:b/>
          <w:bCs/>
          <w:color w:val="auto"/>
          <w:sz w:val="28"/>
          <w:szCs w:val="28"/>
        </w:rPr>
        <w:t xml:space="preserve">3.5.3 </w:t>
      </w:r>
      <w:r w:rsidRPr="004B57B5">
        <w:rPr>
          <w:rFonts w:ascii="Sakkal Majalla" w:eastAsia="Arial" w:hAnsi="Sakkal Majalla" w:cs="Sakkal Majalla"/>
          <w:b/>
          <w:bCs/>
          <w:color w:val="auto"/>
          <w:sz w:val="28"/>
          <w:szCs w:val="28"/>
          <w:rtl/>
        </w:rPr>
        <w:t>القسم الثاني: مقياس القيادة التحويلية</w:t>
      </w:r>
      <w:r w:rsidRPr="004B57B5">
        <w:rPr>
          <w:rFonts w:ascii="Sakkal Majalla" w:eastAsia="Arial" w:hAnsi="Sakkal Majalla" w:cs="Sakkal Majalla"/>
          <w:b/>
          <w:bCs/>
          <w:color w:val="auto"/>
          <w:sz w:val="28"/>
          <w:szCs w:val="28"/>
        </w:rPr>
        <w:t xml:space="preserve"> (Transformational Leadership Inventory - TLI)</w:t>
      </w:r>
    </w:p>
    <w:p w14:paraId="462E7EB7" w14:textId="3A4DD7C6" w:rsidR="004B57B5" w:rsidRDefault="004B57B5" w:rsidP="004B57B5">
      <w:pPr>
        <w:bidi/>
        <w:spacing w:after="140" w:line="340" w:lineRule="auto"/>
        <w:jc w:val="both"/>
        <w:rPr>
          <w:rFonts w:ascii="Sakkal Majalla" w:hAnsi="Sakkal Majalla" w:cs="Sakkal Majalla"/>
          <w:sz w:val="28"/>
          <w:szCs w:val="28"/>
          <w:rtl/>
        </w:rPr>
      </w:pPr>
      <w:r>
        <w:rPr>
          <w:rFonts w:ascii="Sakkal Majalla" w:hAnsi="Sakkal Majalla" w:cs="Sakkal Majalla"/>
          <w:sz w:val="28"/>
          <w:szCs w:val="28"/>
          <w:rtl/>
        </w:rPr>
        <w:t>في هذه الدراسة، اعتمد الباحث على مقياس </w:t>
      </w:r>
      <w:r>
        <w:rPr>
          <w:rFonts w:ascii="Sakkal Majalla" w:hAnsi="Sakkal Majalla" w:cs="Sakkal Majalla"/>
          <w:sz w:val="28"/>
          <w:szCs w:val="28"/>
        </w:rPr>
        <w:t>(TLI)</w:t>
      </w:r>
      <w:r>
        <w:rPr>
          <w:rFonts w:ascii="Sakkal Majalla" w:hAnsi="Sakkal Majalla" w:cs="Sakkal Majalla"/>
          <w:sz w:val="28"/>
          <w:szCs w:val="28"/>
          <w:rtl/>
        </w:rPr>
        <w:t>، الذي أعدّه</w:t>
      </w:r>
      <w:r w:rsidR="00CF297D">
        <w:rPr>
          <w:rFonts w:ascii="Sakkal Majalla" w:hAnsi="Sakkal Majalla" w:cs="Sakkal Majalla"/>
          <w:sz w:val="28"/>
          <w:szCs w:val="28"/>
          <w:rtl/>
        </w:rPr>
        <w:fldChar w:fldCharType="begin"/>
      </w:r>
      <w:r w:rsidR="00CF297D">
        <w:rPr>
          <w:rFonts w:ascii="Sakkal Majalla" w:hAnsi="Sakkal Majalla" w:cs="Sakkal Majalla"/>
          <w:sz w:val="28"/>
          <w:szCs w:val="28"/>
          <w:rtl/>
        </w:rPr>
        <w:instrText xml:space="preserve"> </w:instrText>
      </w:r>
      <w:r w:rsidR="00CF297D">
        <w:rPr>
          <w:rFonts w:ascii="Sakkal Majalla" w:hAnsi="Sakkal Majalla" w:cs="Sakkal Majalla"/>
          <w:sz w:val="28"/>
          <w:szCs w:val="28"/>
        </w:rPr>
        <w:instrText>ADDIN EN.CITE &lt;EndNote&gt;&lt;Cite AuthorYear="1"&gt;&lt;Author&gt;Podsakoff&lt;/Author&gt;&lt;Year&gt;1990&lt;/Year&gt;&lt;RecNum&gt;281&lt;/RecNum&gt;&lt;DisplayText&gt;Podsakoff et al. (1990)&lt;/DisplayText&gt;&lt;record&gt;&lt;rec-number&gt;281&lt;/rec-number&gt;&lt;foreign-keys&gt;&lt;key app="EN" db-id="02retxxrerxdxhe9aphvs0z2t9z25p0ew99s" timestamp="1782131053"&gt;281&lt;/key&gt;&lt;/foreign-keys&gt;&lt;ref-type name="Journal Article"&gt;17&lt;/ref-type&gt;&lt;contributors&gt;&lt;authors&gt;&lt;author&gt;Podsakoff, Philip M.&lt;/author&gt;&lt;author&gt;MacKenzie, Scott B.&lt;/author&gt;&lt;author&gt;Moorman, Robert H.&lt;/author&gt;&lt;author&gt;Fetter, Richard&lt;/author&gt;&lt;/authors&gt;&lt;/contributors&gt;&lt;titles&gt;&lt;title&gt;Transformational leader behaviors and their effects on followers&amp;apos; trust in leader, satisfaction, and organizational citizenship behaviors&lt;/title&gt;&lt;secondary-title&gt;The Leadership Quarterly&lt;/secondary</w:instrText>
      </w:r>
      <w:r w:rsidR="00CF297D">
        <w:rPr>
          <w:rFonts w:ascii="Sakkal Majalla" w:hAnsi="Sakkal Majalla" w:cs="Sakkal Majalla"/>
          <w:sz w:val="28"/>
          <w:szCs w:val="28"/>
          <w:rtl/>
        </w:rPr>
        <w:instrText>-</w:instrText>
      </w:r>
      <w:r w:rsidR="00CF297D">
        <w:rPr>
          <w:rFonts w:ascii="Sakkal Majalla" w:hAnsi="Sakkal Majalla" w:cs="Sakkal Majalla"/>
          <w:sz w:val="28"/>
          <w:szCs w:val="28"/>
        </w:rPr>
        <w:instrText>title&gt;&lt;/titles&gt;&lt;periodical&gt;&lt;full-title&gt;The Leadership Quarterly&lt;/full-title&gt;&lt;/periodical&gt;&lt;pages&gt;107-142&lt;/pages&gt;&lt;volume&gt;1&lt;/volume&gt;&lt;number&gt;2&lt;/number&gt;&lt;section&gt;107&lt;/section&gt;&lt;dates&gt;&lt;year&gt;1990&lt;/year&gt;&lt;pub-dates&gt;&lt;date&gt;06/01&lt;/date&gt;&lt;/pub-dates&gt;&lt;/dates&gt;&lt;isbn&gt;104898</w:instrText>
      </w:r>
      <w:r w:rsidR="00CF297D">
        <w:rPr>
          <w:rFonts w:ascii="Sakkal Majalla" w:hAnsi="Sakkal Majalla" w:cs="Sakkal Majalla"/>
          <w:sz w:val="28"/>
          <w:szCs w:val="28"/>
          <w:rtl/>
        </w:rPr>
        <w:instrText>43&lt;/</w:instrText>
      </w:r>
      <w:r w:rsidR="00CF297D">
        <w:rPr>
          <w:rFonts w:ascii="Sakkal Majalla" w:hAnsi="Sakkal Majalla" w:cs="Sakkal Majalla"/>
          <w:sz w:val="28"/>
          <w:szCs w:val="28"/>
        </w:rPr>
        <w:instrText>isbn&gt;&lt;urls&gt;&lt;/urls&gt;&lt;electronic-resource-num&gt;10.1016/1048-9843(90)90009-7&lt;/electronic-resource-num&gt;&lt;/record&gt;&lt;/Cite&gt;&lt;/EndNote</w:instrText>
      </w:r>
      <w:r w:rsidR="00CF297D">
        <w:rPr>
          <w:rFonts w:ascii="Sakkal Majalla" w:hAnsi="Sakkal Majalla" w:cs="Sakkal Majalla"/>
          <w:sz w:val="28"/>
          <w:szCs w:val="28"/>
          <w:rtl/>
        </w:rPr>
        <w:instrText>&gt;</w:instrText>
      </w:r>
      <w:r w:rsidR="00CF297D">
        <w:rPr>
          <w:rFonts w:ascii="Sakkal Majalla" w:hAnsi="Sakkal Majalla" w:cs="Sakkal Majalla"/>
          <w:sz w:val="28"/>
          <w:szCs w:val="28"/>
          <w:rtl/>
        </w:rPr>
        <w:fldChar w:fldCharType="separate"/>
      </w:r>
      <w:r w:rsidR="00CF297D">
        <w:rPr>
          <w:rFonts w:ascii="Sakkal Majalla" w:hAnsi="Sakkal Majalla" w:cs="Sakkal Majalla"/>
          <w:noProof/>
          <w:sz w:val="28"/>
          <w:szCs w:val="28"/>
        </w:rPr>
        <w:t>Podsakoff et al</w:t>
      </w:r>
      <w:r w:rsidR="00CF297D">
        <w:rPr>
          <w:rFonts w:ascii="Sakkal Majalla" w:hAnsi="Sakkal Majalla" w:cs="Sakkal Majalla"/>
          <w:noProof/>
          <w:sz w:val="28"/>
          <w:szCs w:val="28"/>
          <w:rtl/>
        </w:rPr>
        <w:t>. (1990)</w:t>
      </w:r>
      <w:r w:rsidR="00CF297D">
        <w:rPr>
          <w:rFonts w:ascii="Sakkal Majalla" w:hAnsi="Sakkal Majalla" w:cs="Sakkal Majalla"/>
          <w:sz w:val="28"/>
          <w:szCs w:val="28"/>
          <w:rtl/>
        </w:rPr>
        <w:fldChar w:fldCharType="end"/>
      </w:r>
      <w:r>
        <w:rPr>
          <w:rFonts w:ascii="Sakkal Majalla" w:hAnsi="Sakkal Majalla" w:cs="Sakkal Majalla"/>
          <w:sz w:val="28"/>
          <w:szCs w:val="28"/>
          <w:rtl/>
        </w:rPr>
        <w:t xml:space="preserve">يُعتبر هذا المقياس من الأدوات المعتمدة لقياس القيادة التحويلية استنادًا إلى أبعادها السلوكية المباشرة. يتألف المقياس من ستة أبعاد رئيسية: صياغة الرؤية، تقديم النموذج المناسب، تعزيز قبول أهداف المجموعة، توقعات الأداء العالي، الدعم الفردي، والاستثارة الفكرية. تم اختيار هذا المقياس لملاءمته مع الإطار النظري للدراسة، ولقدرته على تمثيل السلوك القيادي التحويلي بشكل عملي يناسب البيئة التنظيمية للمستشفيات الحكومية. كما سيتم التحقق من خصائصه </w:t>
      </w:r>
      <w:proofErr w:type="spellStart"/>
      <w:r>
        <w:rPr>
          <w:rFonts w:ascii="Sakkal Majalla" w:hAnsi="Sakkal Majalla" w:cs="Sakkal Majalla"/>
          <w:sz w:val="28"/>
          <w:szCs w:val="28"/>
          <w:rtl/>
        </w:rPr>
        <w:t>السيكومترية</w:t>
      </w:r>
      <w:proofErr w:type="spellEnd"/>
      <w:r>
        <w:rPr>
          <w:rFonts w:ascii="Sakkal Majalla" w:hAnsi="Sakkal Majalla" w:cs="Sakkal Majalla"/>
          <w:sz w:val="28"/>
          <w:szCs w:val="28"/>
          <w:rtl/>
        </w:rPr>
        <w:t xml:space="preserve"> في البيئة السعودية عبر إجراءات الصدق والثبات التي ستُتبع في الدراسة.</w:t>
      </w:r>
    </w:p>
    <w:p w14:paraId="73259EC0" w14:textId="11CB1288" w:rsidR="00E24B29" w:rsidRDefault="00E24B29" w:rsidP="00E24B29">
      <w:pPr>
        <w:bidi/>
        <w:spacing w:after="140" w:line="34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ويُذكر أن دمج الجانبين المنسوب والسلوكي للتأثير المثالي في بعد واحد من ثماني فقرات يستند إلى تقاربهما المفاهيمي في تمثيل القدوة القيادية. سيُختبر هذا المفهوم عمليًا من خلال تحليل تأكيدية لضمان توافق البنية مع البيانات. اختار الباحث هذا المقياس لأنه يتمتع بخصائص </w:t>
      </w:r>
      <w:proofErr w:type="spellStart"/>
      <w:r>
        <w:rPr>
          <w:rFonts w:ascii="Sakkal Majalla" w:hAnsi="Sakkal Majalla" w:cs="Sakkal Majalla"/>
          <w:sz w:val="28"/>
          <w:szCs w:val="28"/>
          <w:rtl/>
        </w:rPr>
        <w:t>سيكومترية</w:t>
      </w:r>
      <w:proofErr w:type="spellEnd"/>
      <w:r>
        <w:rPr>
          <w:rFonts w:ascii="Sakkal Majalla" w:hAnsi="Sakkal Majalla" w:cs="Sakkal Majalla"/>
          <w:sz w:val="28"/>
          <w:szCs w:val="28"/>
          <w:rtl/>
        </w:rPr>
        <w:t xml:space="preserve"> ممتازة، حيث تتراوح معاملات ثباته بين 0.74 و0.94 في الدراسات الكبرى </w:t>
      </w:r>
      <w:r w:rsidR="006535D4">
        <w:rPr>
          <w:rFonts w:ascii="Sakkal Majalla" w:hAnsi="Sakkal Majalla" w:cs="Sakkal Majalla"/>
          <w:sz w:val="28"/>
          <w:szCs w:val="28"/>
          <w:rtl/>
        </w:rPr>
        <w:fldChar w:fldCharType="begin"/>
      </w:r>
      <w:r w:rsidR="006535D4">
        <w:rPr>
          <w:rFonts w:ascii="Sakkal Majalla" w:hAnsi="Sakkal Majalla" w:cs="Sakkal Majalla"/>
          <w:sz w:val="28"/>
          <w:szCs w:val="28"/>
          <w:rtl/>
        </w:rPr>
        <w:instrText xml:space="preserve"> </w:instrText>
      </w:r>
      <w:r w:rsidR="006535D4">
        <w:rPr>
          <w:rFonts w:ascii="Sakkal Majalla" w:hAnsi="Sakkal Majalla" w:cs="Sakkal Majalla"/>
          <w:sz w:val="28"/>
          <w:szCs w:val="28"/>
        </w:rPr>
        <w:instrText>ADDIN EN.CITE &lt;EndNote&gt;&lt;Cite&gt;&lt;Author&gt;Podsakoff&lt;/Author&gt;&lt;Year&gt;1990&lt;/Year&gt;&lt;RecNum&gt;281&lt;/RecNum&gt;&lt;DisplayText&gt;(Podsakoff et al., 1990)&lt;/DisplayText&gt;&lt;record&gt;&lt;rec-number&gt;281&lt;/rec-number&gt;&lt;foreign-keys&gt;&lt;key app="EN" db-id="02retxxrerxdxhe9aphvs0z2t9z25p0ew99s" timestamp="1782131053"&gt;281&lt;/key&gt;&lt;/foreign-keys&gt;&lt;ref-type name="Journal Article"&gt;17&lt;/ref-type&gt;&lt;contributors&gt;&lt;authors&gt;&lt;author&gt;Podsakoff, Philip M.&lt;/author&gt;&lt;author&gt;MacKenzie, Scott B.&lt;/author&gt;&lt;author&gt;Moorman, Robert H.&lt;/author&gt;&lt;author&gt;Fetter, Richard&lt;/author</w:instrText>
      </w:r>
      <w:r w:rsidR="006535D4">
        <w:rPr>
          <w:rFonts w:ascii="Sakkal Majalla" w:hAnsi="Sakkal Majalla" w:cs="Sakkal Majalla"/>
          <w:sz w:val="28"/>
          <w:szCs w:val="28"/>
          <w:rtl/>
        </w:rPr>
        <w:instrText>&gt;&lt;/</w:instrText>
      </w:r>
      <w:r w:rsidR="006535D4">
        <w:rPr>
          <w:rFonts w:ascii="Sakkal Majalla" w:hAnsi="Sakkal Majalla" w:cs="Sakkal Majalla"/>
          <w:sz w:val="28"/>
          <w:szCs w:val="28"/>
        </w:rPr>
        <w:instrText>authors&gt;&lt;/contributors&gt;&lt;titles&gt;&lt;title&gt;Transformational leader behaviors and their effects on followers&amp;apos; trust in leader, satisfaction, and organizational citizenship behaviors&lt;/title&gt;&lt;secondary-title&gt;The Leadership Quarterly&lt;/secondary-title&gt;&lt;/titles&gt;&lt;periodical&gt;&lt;full-title&gt;The Leadership Quarterly&lt;/full-title&gt;&lt;/periodical&gt;&lt;pages&gt;107-142&lt;/pages&gt;&lt;volume&gt;1&lt;/volume&gt;&lt;number&gt;2&lt;/number&gt;&lt;section&gt;107&lt;/section&gt;&lt;dates&gt;&lt;year&gt;1990&lt;/year&gt;&lt;pub-dates&gt;&lt;date&gt;06/01&lt;/date&gt;&lt;/pub-dates&gt;&lt;/dates&gt;&lt;isbn&gt;10489843&lt;/isbn&gt;&lt;urls</w:instrText>
      </w:r>
      <w:r w:rsidR="006535D4">
        <w:rPr>
          <w:rFonts w:ascii="Sakkal Majalla" w:hAnsi="Sakkal Majalla" w:cs="Sakkal Majalla"/>
          <w:sz w:val="28"/>
          <w:szCs w:val="28"/>
          <w:rtl/>
        </w:rPr>
        <w:instrText>&gt;&lt;/</w:instrText>
      </w:r>
      <w:r w:rsidR="006535D4">
        <w:rPr>
          <w:rFonts w:ascii="Sakkal Majalla" w:hAnsi="Sakkal Majalla" w:cs="Sakkal Majalla"/>
          <w:sz w:val="28"/>
          <w:szCs w:val="28"/>
        </w:rPr>
        <w:instrText>urls&gt;&lt;electronic-resource-num&gt;10.1016/1048-9843(90)90009-7&lt;/electronic-resource-num&gt;&lt;/record&gt;&lt;/Cite&gt;&lt;/EndNote</w:instrText>
      </w:r>
      <w:r w:rsidR="006535D4">
        <w:rPr>
          <w:rFonts w:ascii="Sakkal Majalla" w:hAnsi="Sakkal Majalla" w:cs="Sakkal Majalla"/>
          <w:sz w:val="28"/>
          <w:szCs w:val="28"/>
          <w:rtl/>
        </w:rPr>
        <w:instrText>&gt;</w:instrText>
      </w:r>
      <w:r w:rsidR="006535D4">
        <w:rPr>
          <w:rFonts w:ascii="Sakkal Majalla" w:hAnsi="Sakkal Majalla" w:cs="Sakkal Majalla"/>
          <w:sz w:val="28"/>
          <w:szCs w:val="28"/>
          <w:rtl/>
        </w:rPr>
        <w:fldChar w:fldCharType="separate"/>
      </w:r>
      <w:r w:rsidR="006535D4">
        <w:rPr>
          <w:rFonts w:ascii="Sakkal Majalla" w:hAnsi="Sakkal Majalla" w:cs="Sakkal Majalla"/>
          <w:noProof/>
          <w:sz w:val="28"/>
          <w:szCs w:val="28"/>
          <w:rtl/>
        </w:rPr>
        <w:t>(</w:t>
      </w:r>
      <w:r w:rsidR="006535D4">
        <w:rPr>
          <w:rFonts w:ascii="Sakkal Majalla" w:hAnsi="Sakkal Majalla" w:cs="Sakkal Majalla"/>
          <w:noProof/>
          <w:sz w:val="28"/>
          <w:szCs w:val="28"/>
        </w:rPr>
        <w:t>Podsakoff et al., 1990</w:t>
      </w:r>
      <w:r w:rsidR="006535D4">
        <w:rPr>
          <w:rFonts w:ascii="Sakkal Majalla" w:hAnsi="Sakkal Majalla" w:cs="Sakkal Majalla"/>
          <w:noProof/>
          <w:sz w:val="28"/>
          <w:szCs w:val="28"/>
          <w:rtl/>
        </w:rPr>
        <w:t>)</w:t>
      </w:r>
      <w:r w:rsidR="006535D4">
        <w:rPr>
          <w:rFonts w:ascii="Sakkal Majalla" w:hAnsi="Sakkal Majalla" w:cs="Sakkal Majalla"/>
          <w:sz w:val="28"/>
          <w:szCs w:val="28"/>
          <w:rtl/>
        </w:rPr>
        <w:fldChar w:fldCharType="end"/>
      </w:r>
      <w:r w:rsidR="006535D4">
        <w:rPr>
          <w:rFonts w:ascii="Sakkal Majalla" w:hAnsi="Sakkal Majalla" w:cs="Sakkal Majalla" w:hint="cs"/>
          <w:sz w:val="28"/>
          <w:szCs w:val="28"/>
          <w:rtl/>
        </w:rPr>
        <w:t>.</w:t>
      </w:r>
      <w:r>
        <w:rPr>
          <w:rFonts w:ascii="Sakkal Majalla" w:hAnsi="Sakkal Majalla" w:cs="Sakkal Majalla"/>
          <w:sz w:val="28"/>
          <w:szCs w:val="28"/>
          <w:rtl/>
        </w:rPr>
        <w:t xml:space="preserve">كما أنه الأكثر استعمالًا في الأدبيات استنادًا إلى نظرية </w:t>
      </w:r>
      <w:r>
        <w:rPr>
          <w:rFonts w:ascii="Sakkal Majalla" w:hAnsi="Sakkal Majalla" w:cs="Sakkal Majalla"/>
          <w:sz w:val="28"/>
          <w:szCs w:val="28"/>
        </w:rPr>
        <w:t>Bass</w:t>
      </w:r>
      <w:r>
        <w:rPr>
          <w:rFonts w:ascii="Sakkal Majalla" w:hAnsi="Sakkal Majalla" w:cs="Sakkal Majalla"/>
          <w:sz w:val="28"/>
          <w:szCs w:val="28"/>
          <w:rtl/>
        </w:rPr>
        <w:t>، مما يسهل المقارنة، بالإضافة إلى توافر نسخة عربية محكمة منه، وقد استُخدمت في دراسات عربية وسعودية، وهو متوافق مع الإطار النظري المعتمد في الفصلين الأول والثاني.</w:t>
      </w:r>
    </w:p>
    <w:p w14:paraId="4463A5A4" w14:textId="3A8C1B41" w:rsidR="00BE1BA2" w:rsidRPr="00583CD0" w:rsidRDefault="00E24B29" w:rsidP="00E24B29">
      <w:pPr>
        <w:bidi/>
        <w:spacing w:after="140" w:line="340" w:lineRule="auto"/>
        <w:jc w:val="both"/>
        <w:rPr>
          <w:rFonts w:ascii="Sakkal Majalla" w:hAnsi="Sakkal Majalla" w:cs="Sakkal Majalla"/>
          <w:sz w:val="28"/>
          <w:szCs w:val="28"/>
        </w:rPr>
      </w:pPr>
      <w:r>
        <w:rPr>
          <w:rFonts w:ascii="Sakkal Majalla" w:hAnsi="Sakkal Majalla" w:cs="Sakkal Majalla"/>
          <w:sz w:val="28"/>
          <w:szCs w:val="28"/>
          <w:rtl/>
        </w:rPr>
        <w:t xml:space="preserve"> وقد روعي عند استخدام أداة </w:t>
      </w:r>
      <w:r>
        <w:rPr>
          <w:rFonts w:ascii="Sakkal Majalla" w:hAnsi="Sakkal Majalla" w:cs="Sakkal Majalla"/>
          <w:sz w:val="28"/>
          <w:szCs w:val="28"/>
        </w:rPr>
        <w:t>TLI</w:t>
      </w:r>
      <w:r>
        <w:rPr>
          <w:rFonts w:ascii="Sakkal Majalla" w:hAnsi="Sakkal Majalla" w:cs="Sakkal Majalla"/>
          <w:sz w:val="28"/>
          <w:szCs w:val="28"/>
          <w:rtl/>
        </w:rPr>
        <w:t xml:space="preserve"> الالتزام بالأصول العلمية في الإسناد والتوثيق، مع عرض الأداة بصياغة أكاديمية مناسبة ضمن ملاحق الدراسة.</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وبذلك أصبحت أداة قياس القيادة التحويلية في هذه الدراسة محددة بصورة نهائية في مقياس </w:t>
      </w:r>
      <w:r>
        <w:rPr>
          <w:rFonts w:ascii="Sakkal Majalla" w:hAnsi="Sakkal Majalla" w:cs="Sakkal Majalla"/>
          <w:sz w:val="28"/>
          <w:szCs w:val="28"/>
        </w:rPr>
        <w:t>TLI</w:t>
      </w:r>
      <w:r>
        <w:rPr>
          <w:rFonts w:ascii="Sakkal Majalla" w:hAnsi="Sakkal Majalla" w:cs="Sakkal Majalla"/>
          <w:sz w:val="28"/>
          <w:szCs w:val="28"/>
          <w:rtl/>
        </w:rPr>
        <w:t>، ويُبنى عليها لاحقًا إعداد فقرات الاستبانة، والتحكيم، والتحليل العاملي، وحساب الثبات، واختبار نموذج القياس ضمن نمذجة المعادلات الهيكلية.</w:t>
      </w:r>
    </w:p>
    <w:p w14:paraId="3DD6660F" w14:textId="77777777" w:rsidR="00BE1BA2" w:rsidRPr="00875EB7" w:rsidRDefault="00BE1BA2" w:rsidP="00BE1BA2">
      <w:pPr>
        <w:pStyle w:val="3"/>
        <w:bidi/>
        <w:rPr>
          <w:rFonts w:ascii="Sakkal Majalla" w:hAnsi="Sakkal Majalla" w:cs="Sakkal Majalla"/>
          <w:b/>
          <w:bCs/>
          <w:color w:val="auto"/>
          <w:sz w:val="28"/>
          <w:szCs w:val="28"/>
        </w:rPr>
      </w:pPr>
      <w:r w:rsidRPr="00875EB7">
        <w:rPr>
          <w:rFonts w:ascii="Sakkal Majalla" w:eastAsia="Arial" w:hAnsi="Sakkal Majalla" w:cs="Sakkal Majalla"/>
          <w:b/>
          <w:bCs/>
          <w:color w:val="auto"/>
          <w:sz w:val="28"/>
          <w:szCs w:val="28"/>
          <w:rtl/>
        </w:rPr>
        <w:t>3.</w:t>
      </w:r>
      <w:r w:rsidRPr="00875EB7">
        <w:rPr>
          <w:rFonts w:ascii="Sakkal Majalla" w:hAnsi="Sakkal Majalla" w:cs="Sakkal Majalla"/>
          <w:b/>
          <w:bCs/>
          <w:color w:val="auto"/>
          <w:sz w:val="28"/>
          <w:szCs w:val="28"/>
          <w:rtl/>
        </w:rPr>
        <w:t>5.4 القسم الثالث: مقياس ثقافة السلامة (</w:t>
      </w:r>
      <w:r w:rsidRPr="00875EB7">
        <w:rPr>
          <w:rFonts w:ascii="Sakkal Majalla" w:hAnsi="Sakkal Majalla" w:cs="Sakkal Majalla"/>
          <w:b/>
          <w:bCs/>
          <w:color w:val="auto"/>
          <w:sz w:val="28"/>
          <w:szCs w:val="28"/>
        </w:rPr>
        <w:t>HSOPSC</w:t>
      </w:r>
      <w:r w:rsidRPr="00875EB7">
        <w:rPr>
          <w:rFonts w:ascii="Sakkal Majalla" w:hAnsi="Sakkal Majalla" w:cs="Sakkal Majalla"/>
          <w:b/>
          <w:bCs/>
          <w:color w:val="auto"/>
          <w:sz w:val="28"/>
          <w:szCs w:val="28"/>
          <w:rtl/>
        </w:rPr>
        <w:t>)</w:t>
      </w:r>
    </w:p>
    <w:p w14:paraId="6516335A" w14:textId="3D4E61F4"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لقياس المتغير الوسيط الأول، اعتمد الباحث </w:t>
      </w:r>
      <w:r w:rsidR="00DF2316">
        <w:rPr>
          <w:rFonts w:ascii="Sakkal Majalla" w:hAnsi="Sakkal Majalla" w:cs="Sakkal Majalla" w:hint="cs"/>
          <w:sz w:val="28"/>
          <w:szCs w:val="28"/>
          <w:rtl/>
        </w:rPr>
        <w:t>مسح المستشفى</w:t>
      </w:r>
      <w:r w:rsidRPr="00583CD0">
        <w:rPr>
          <w:rFonts w:ascii="Sakkal Majalla" w:hAnsi="Sakkal Majalla" w:cs="Sakkal Majalla"/>
          <w:sz w:val="28"/>
          <w:szCs w:val="28"/>
          <w:rtl/>
        </w:rPr>
        <w:t xml:space="preserve"> لثقافة سلامة المرضى (</w:t>
      </w:r>
      <w:r w:rsidRPr="00583CD0">
        <w:rPr>
          <w:rFonts w:ascii="Sakkal Majalla" w:hAnsi="Sakkal Majalla" w:cs="Sakkal Majalla"/>
          <w:sz w:val="28"/>
          <w:szCs w:val="28"/>
        </w:rPr>
        <w:t>Hospital Survey on Patient Safety Culture – HSOPSC</w:t>
      </w:r>
      <w:r w:rsidRPr="00583CD0">
        <w:rPr>
          <w:rFonts w:ascii="Sakkal Majalla" w:hAnsi="Sakkal Majalla" w:cs="Sakkal Majalla"/>
          <w:sz w:val="28"/>
          <w:szCs w:val="28"/>
          <w:rtl/>
        </w:rPr>
        <w:t>) الذي طورته وكالة أبحاث الرعاية الصحية والجودة الأمريكية (</w:t>
      </w:r>
      <w:r w:rsidRPr="00583CD0">
        <w:rPr>
          <w:rFonts w:ascii="Sakkal Majalla" w:hAnsi="Sakkal Majalla" w:cs="Sakkal Majalla"/>
          <w:sz w:val="28"/>
          <w:szCs w:val="28"/>
        </w:rPr>
        <w:t>AHRQ</w:t>
      </w:r>
      <w:r w:rsidRPr="00583CD0">
        <w:rPr>
          <w:rFonts w:ascii="Sakkal Majalla" w:hAnsi="Sakkal Majalla" w:cs="Sakkal Majalla"/>
          <w:sz w:val="28"/>
          <w:szCs w:val="28"/>
          <w:rtl/>
        </w:rPr>
        <w:t xml:space="preserve">) استنادًا إلى عمل </w:t>
      </w:r>
      <w:r w:rsidR="00313AD8">
        <w:rPr>
          <w:rFonts w:ascii="Sakkal Majalla" w:hAnsi="Sakkal Majalla" w:cs="Sakkal Majalla"/>
          <w:sz w:val="28"/>
          <w:szCs w:val="28"/>
          <w:rtl/>
        </w:rPr>
        <w:fldChar w:fldCharType="begin"/>
      </w:r>
      <w:r w:rsidR="00313AD8">
        <w:rPr>
          <w:rFonts w:ascii="Sakkal Majalla" w:hAnsi="Sakkal Majalla" w:cs="Sakkal Majalla"/>
          <w:sz w:val="28"/>
          <w:szCs w:val="28"/>
          <w:rtl/>
        </w:rPr>
        <w:instrText xml:space="preserve"> </w:instrText>
      </w:r>
      <w:r w:rsidR="00313AD8">
        <w:rPr>
          <w:rFonts w:ascii="Sakkal Majalla" w:hAnsi="Sakkal Majalla" w:cs="Sakkal Majalla"/>
          <w:sz w:val="28"/>
          <w:szCs w:val="28"/>
        </w:rPr>
        <w:instrText>ADDIN EN.CITE &lt;EndNote&gt;&lt;Cite AuthorYear="1"&gt;&lt;Author&gt;Sorra&lt;/Author&gt;&lt;Year&gt;2010&lt;/Year&gt;&lt;RecNum&gt;279&lt;/RecNum&gt;&lt;DisplayText&gt;Sorra and Dyer (2010)&lt;/DisplayText&gt;&lt;record&gt;&lt;rec-number&gt;279&lt;/rec-number&gt;&lt;foreign-keys&gt;&lt;key app="EN" db-id="02retxxrerxdxhe9aphvs0z2t9z25p0ew99s" timestamp="1781808750"&gt;279&lt;/key&gt;&lt;/foreign-keys&gt;&lt;ref-type name="Journal Article"&gt;17&lt;/ref-type&gt;&lt;contributors&gt;&lt;authors&gt;&lt;author&gt;Sorra, J. S.&lt;/author&gt;&lt;author&gt;Dyer, N.&lt;/author&gt;&lt;/authors&gt;&lt;/contributors&gt;&lt;auth-address&gt;Westat, Rockville, MD, USA. joannsorra@westat.com&lt;/auth-address&gt;&lt;titles&gt;&lt;title&gt;Multilevel psychometric properties of the AHRQ hospital survey on patient safety culture&lt;/title&gt;&lt;secondary-title&gt;BMC Health Serv Res&lt;/secondary-title&gt;&lt;/titles&gt;&lt;periodical&gt;&lt;full-title&gt;BMC Health Serv Res&lt;/full-title</w:instrText>
      </w:r>
      <w:r w:rsidR="00313AD8">
        <w:rPr>
          <w:rFonts w:ascii="Sakkal Majalla" w:hAnsi="Sakkal Majalla" w:cs="Sakkal Majalla"/>
          <w:sz w:val="28"/>
          <w:szCs w:val="28"/>
          <w:rtl/>
        </w:rPr>
        <w:instrText>&gt;&lt;/</w:instrText>
      </w:r>
      <w:r w:rsidR="00313AD8">
        <w:rPr>
          <w:rFonts w:ascii="Sakkal Majalla" w:hAnsi="Sakkal Majalla" w:cs="Sakkal Majalla"/>
          <w:sz w:val="28"/>
          <w:szCs w:val="28"/>
        </w:rPr>
        <w:instrText>periodical&gt;&lt;pages&gt;199&lt;/pages&gt;&lt;volume&gt;10&lt;/volume&gt;&lt;number&gt;1&lt;/number&gt;&lt;edition&gt;2010/07/10&lt;/edition&gt;&lt;keywords&gt;&lt;keyword&gt;Factor Analysis, Statistical&lt;/keyword&gt;&lt;keyword&gt;Health Care Surveys/*instrumentation&lt;/keyword&gt;&lt;keyword&gt;Humans&lt;/keyword&gt;&lt;keyword&gt;*Organizational Culture&lt;/keyword&gt;&lt;keyword&gt;*Psychometrics&lt;/keyword&gt;&lt;keyword&gt;*Safety Management&lt;/keyword&gt;&lt;keyword&gt;United States&lt;/keyword&gt;&lt;/keywords&gt;&lt;dates&gt;&lt;year&gt;2010&lt;/year&gt;&lt;pub-dates&gt;&lt;date&gt;Jul 8&lt;/date&gt;&lt;/pub-dates&gt;&lt;/dates&gt;&lt;isbn&gt;1472-6963 (Electronic)&amp;#xD;1472-6963 (Linking)&lt;/isbn&gt;&lt;accession-num&gt;20615247&lt;/accession-num&gt;&lt;urls&gt;&lt;related-urls&gt;&lt;url&gt;https://www.ncbi.nlm.nih.gov/pubmed/20615247&lt;/url&gt;&lt;/related-urls&gt;&lt;/urls&gt;&lt;custom2&gt;PMC2912897&lt;/custom2&gt;&lt;electronic-resource-num&gt;10.1186/1472-6963-10-199&lt;/electronic-resource-num&gt;&lt;/record&gt;&lt;/Cite&gt;&lt;/EndNote</w:instrText>
      </w:r>
      <w:r w:rsidR="00313AD8">
        <w:rPr>
          <w:rFonts w:ascii="Sakkal Majalla" w:hAnsi="Sakkal Majalla" w:cs="Sakkal Majalla"/>
          <w:sz w:val="28"/>
          <w:szCs w:val="28"/>
          <w:rtl/>
        </w:rPr>
        <w:instrText>&gt;</w:instrText>
      </w:r>
      <w:r w:rsidR="00313AD8">
        <w:rPr>
          <w:rFonts w:ascii="Sakkal Majalla" w:hAnsi="Sakkal Majalla" w:cs="Sakkal Majalla"/>
          <w:sz w:val="28"/>
          <w:szCs w:val="28"/>
          <w:rtl/>
        </w:rPr>
        <w:fldChar w:fldCharType="separate"/>
      </w:r>
      <w:r w:rsidR="00313AD8">
        <w:rPr>
          <w:rFonts w:ascii="Sakkal Majalla" w:hAnsi="Sakkal Majalla" w:cs="Sakkal Majalla"/>
          <w:noProof/>
          <w:sz w:val="28"/>
          <w:szCs w:val="28"/>
        </w:rPr>
        <w:t>Sorra and Dyer</w:t>
      </w:r>
      <w:r w:rsidR="00313AD8">
        <w:rPr>
          <w:rFonts w:ascii="Sakkal Majalla" w:hAnsi="Sakkal Majalla" w:cs="Sakkal Majalla"/>
          <w:noProof/>
          <w:sz w:val="28"/>
          <w:szCs w:val="28"/>
          <w:rtl/>
        </w:rPr>
        <w:t xml:space="preserve"> (2010)</w:t>
      </w:r>
      <w:r w:rsidR="00313AD8">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معتمدًا النسخة الموثقة في أعمال </w:t>
      </w:r>
      <w:r w:rsidRPr="00583CD0">
        <w:rPr>
          <w:rFonts w:ascii="Sakkal Majalla" w:hAnsi="Sakkal Majalla" w:cs="Sakkal Majalla"/>
          <w:sz w:val="28"/>
          <w:szCs w:val="28"/>
        </w:rPr>
        <w:t>Jones</w:t>
      </w:r>
      <w:r w:rsidRPr="00583CD0">
        <w:rPr>
          <w:rFonts w:ascii="Sakkal Majalla" w:hAnsi="Sakkal Majalla" w:cs="Sakkal Majalla"/>
          <w:sz w:val="28"/>
          <w:szCs w:val="28"/>
          <w:rtl/>
        </w:rPr>
        <w:t xml:space="preserve"> وآخرين (2008). ويُعدّ هذا المقياس من أكثر أدوات قياس ثقافة السلامة استخدامًا عالميًا، وقد طبق في آلاف المستشفيات. ولأن المقياس الأصلي يضم اثنتي عشرة بعدًا، اختار الباحث منها أربعة أبعاد تتوافق مع الإطار المفاهيمي للدراسة ونموذجها الهيكلي، وهي: دعم الإدارة للسلامة في ثلاث فقرات، والتواصل المفتوح بشأن الأخطاء في ثلاث فقرات، والتعلم المستمر من الحوادث في ثلاث فقرات، والعمل الجماعي والتعاون في أربع فقرات؛ ليصبح إجمالي فقرات هذا المقياس ثلاثة عشر فقرة.</w:t>
      </w:r>
    </w:p>
    <w:p w14:paraId="1FBCDEBC" w14:textId="7A415346"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ويتميّز هذا المقياس بكونه مطوَّرًا ومحكَّمًا من جهةٍ بحثيةٍ مرجعيةٍ في مجال جودة الرعاية وسلامة المرضى، وبخصائص </w:t>
      </w:r>
      <w:proofErr w:type="spellStart"/>
      <w:r w:rsidRPr="00583CD0">
        <w:rPr>
          <w:rFonts w:ascii="Sakkal Majalla" w:hAnsi="Sakkal Majalla" w:cs="Sakkal Majalla"/>
          <w:sz w:val="28"/>
          <w:szCs w:val="28"/>
          <w:rtl/>
        </w:rPr>
        <w:t>سيكومترية</w:t>
      </w:r>
      <w:proofErr w:type="spellEnd"/>
      <w:r w:rsidRPr="00583CD0">
        <w:rPr>
          <w:rFonts w:ascii="Sakkal Majalla" w:hAnsi="Sakkal Majalla" w:cs="Sakkal Majalla"/>
          <w:sz w:val="28"/>
          <w:szCs w:val="28"/>
          <w:rtl/>
        </w:rPr>
        <w:t xml:space="preserve"> موثقة تتراوح فيها معاملات ثبات أبعاده بين 0.62 و0.85 </w:t>
      </w:r>
      <w:r w:rsidR="00313AD8">
        <w:rPr>
          <w:rFonts w:ascii="Sakkal Majalla" w:hAnsi="Sakkal Majalla" w:cs="Sakkal Majalla"/>
          <w:sz w:val="28"/>
          <w:szCs w:val="28"/>
          <w:rtl/>
        </w:rPr>
        <w:fldChar w:fldCharType="begin"/>
      </w:r>
      <w:r w:rsidR="00313AD8">
        <w:rPr>
          <w:rFonts w:ascii="Sakkal Majalla" w:hAnsi="Sakkal Majalla" w:cs="Sakkal Majalla"/>
          <w:sz w:val="28"/>
          <w:szCs w:val="28"/>
          <w:rtl/>
        </w:rPr>
        <w:instrText xml:space="preserve"> </w:instrText>
      </w:r>
      <w:r w:rsidR="00313AD8">
        <w:rPr>
          <w:rFonts w:ascii="Sakkal Majalla" w:hAnsi="Sakkal Majalla" w:cs="Sakkal Majalla"/>
          <w:sz w:val="28"/>
          <w:szCs w:val="28"/>
        </w:rPr>
        <w:instrText>ADDIN EN.CITE &lt;EndNote&gt;&lt;Cite&gt;&lt;Author&gt;Sorra&lt;/Author&gt;&lt;Year&gt;2010&lt;/Year&gt;&lt;RecNum&gt;279&lt;/RecNum&gt;&lt;DisplayText&gt;(Sorra &amp;amp; Dyer, 2010)&lt;/DisplayText&gt;&lt;record&gt;&lt;rec-number&gt;279&lt;/rec-number&gt;&lt;foreign-keys&gt;&lt;key app="EN" db-id="02retxxrerxdxhe9aphvs0z2t9z25p0ew99s" timestamp="1781808750"&gt;279&lt;/key&gt;&lt;/foreign-keys&gt;&lt;ref-type name="Journal Article"&gt;17&lt;/ref-type&gt;&lt;contributors&gt;&lt;authors&gt;&lt;author&gt;Sorra, J. S.&lt;/author&gt;&lt;author&gt;Dyer, N.&lt;/author&gt;&lt;/authors&gt;&lt;/contributors&gt;&lt;auth-address&gt;Westat, Rockville, MD, USA. joannsorra@westat.com&lt;/auth-address&gt;&lt;titles&gt;&lt;title&gt;Multilevel psychometric properties of the AHRQ hospital survey on patient safety culture&lt;/title&gt;&lt;secondary-title&gt;BMC Health Serv Res&lt;/secondary-title&gt;&lt;/titles&gt;&lt;periodical&gt;&lt;full-title&gt;BMC Health Serv Res&lt;/full-title&gt;&lt;/periodical</w:instrText>
      </w:r>
      <w:r w:rsidR="00313AD8">
        <w:rPr>
          <w:rFonts w:ascii="Sakkal Majalla" w:hAnsi="Sakkal Majalla" w:cs="Sakkal Majalla"/>
          <w:sz w:val="28"/>
          <w:szCs w:val="28"/>
          <w:rtl/>
        </w:rPr>
        <w:instrText>&gt;&lt;</w:instrText>
      </w:r>
      <w:r w:rsidR="00313AD8">
        <w:rPr>
          <w:rFonts w:ascii="Sakkal Majalla" w:hAnsi="Sakkal Majalla" w:cs="Sakkal Majalla"/>
          <w:sz w:val="28"/>
          <w:szCs w:val="28"/>
        </w:rPr>
        <w:instrText>pages&gt;199&lt;/pages&gt;&lt;volume&gt;10&lt;/volume&gt;&lt;number&gt;1&lt;/number&gt;&lt;edition&gt;2010/07/10&lt;/edition&gt;&lt;keywords&gt;&lt;keyword&gt;Factor Analysis, Statistical&lt;/keyword&gt;&lt;keyword&gt;Health Care Surveys/*instrumentation&lt;/keyword&gt;&lt;keyword&gt;Humans&lt;/keyword&gt;&lt;keyword&gt;*Organizational Culture</w:instrText>
      </w:r>
      <w:r w:rsidR="00313AD8">
        <w:rPr>
          <w:rFonts w:ascii="Sakkal Majalla" w:hAnsi="Sakkal Majalla" w:cs="Sakkal Majalla"/>
          <w:sz w:val="28"/>
          <w:szCs w:val="28"/>
          <w:rtl/>
        </w:rPr>
        <w:instrText>&lt;/</w:instrText>
      </w:r>
      <w:r w:rsidR="00313AD8">
        <w:rPr>
          <w:rFonts w:ascii="Sakkal Majalla" w:hAnsi="Sakkal Majalla" w:cs="Sakkal Majalla"/>
          <w:sz w:val="28"/>
          <w:szCs w:val="28"/>
        </w:rPr>
        <w:instrText>keyword&gt;&lt;keyword&gt;*Psychometrics&lt;/keyword&gt;&lt;keyword&gt;*Safety Management&lt;/keyword&gt;&lt;keyword&gt;United States&lt;/keyword&gt;&lt;/keywords&gt;&lt;dates&gt;&lt;year&gt;2010&lt;/year&gt;&lt;pub-dates&gt;&lt;date&gt;Jul 8&lt;/date&gt;&lt;/pub-dates&gt;&lt;/dates&gt;&lt;isbn&gt;1472-6963 (Electronic)&amp;#xD;1472-6963 (Linking)&lt;/isbn&gt;&lt;accession-num&gt;20615247&lt;/accession-num&gt;&lt;urls&gt;&lt;related-urls&gt;&lt;url&gt;https://www.ncbi.nlm.nih.gov/pubmed/20615247&lt;/url&gt;&lt;/related-urls&gt;&lt;/urls&gt;&lt;custom2&gt;PMC2912897&lt;/custom2&gt;&lt;electronic-resource-num&gt;10.1186/1472-6963-10-199&lt;/electronic-resource-num&gt;&lt;/record&gt;&lt;/Cite</w:instrText>
      </w:r>
      <w:r w:rsidR="00313AD8">
        <w:rPr>
          <w:rFonts w:ascii="Sakkal Majalla" w:hAnsi="Sakkal Majalla" w:cs="Sakkal Majalla"/>
          <w:sz w:val="28"/>
          <w:szCs w:val="28"/>
          <w:rtl/>
        </w:rPr>
        <w:instrText>&gt;&lt;/</w:instrText>
      </w:r>
      <w:r w:rsidR="00313AD8">
        <w:rPr>
          <w:rFonts w:ascii="Sakkal Majalla" w:hAnsi="Sakkal Majalla" w:cs="Sakkal Majalla"/>
          <w:sz w:val="28"/>
          <w:szCs w:val="28"/>
        </w:rPr>
        <w:instrText>EndNote</w:instrText>
      </w:r>
      <w:r w:rsidR="00313AD8">
        <w:rPr>
          <w:rFonts w:ascii="Sakkal Majalla" w:hAnsi="Sakkal Majalla" w:cs="Sakkal Majalla"/>
          <w:sz w:val="28"/>
          <w:szCs w:val="28"/>
          <w:rtl/>
        </w:rPr>
        <w:instrText>&gt;</w:instrText>
      </w:r>
      <w:r w:rsidR="00313AD8">
        <w:rPr>
          <w:rFonts w:ascii="Sakkal Majalla" w:hAnsi="Sakkal Majalla" w:cs="Sakkal Majalla"/>
          <w:sz w:val="28"/>
          <w:szCs w:val="28"/>
          <w:rtl/>
        </w:rPr>
        <w:fldChar w:fldCharType="separate"/>
      </w:r>
      <w:r w:rsidR="00313AD8">
        <w:rPr>
          <w:rFonts w:ascii="Sakkal Majalla" w:hAnsi="Sakkal Majalla" w:cs="Sakkal Majalla"/>
          <w:noProof/>
          <w:sz w:val="28"/>
          <w:szCs w:val="28"/>
          <w:rtl/>
        </w:rPr>
        <w:t>(</w:t>
      </w:r>
      <w:r w:rsidR="00313AD8">
        <w:rPr>
          <w:rFonts w:ascii="Sakkal Majalla" w:hAnsi="Sakkal Majalla" w:cs="Sakkal Majalla"/>
          <w:noProof/>
          <w:sz w:val="28"/>
          <w:szCs w:val="28"/>
        </w:rPr>
        <w:t>Sorra &amp; Dyer, 2010</w:t>
      </w:r>
      <w:r w:rsidR="00313AD8">
        <w:rPr>
          <w:rFonts w:ascii="Sakkal Majalla" w:hAnsi="Sakkal Majalla" w:cs="Sakkal Majalla"/>
          <w:noProof/>
          <w:sz w:val="28"/>
          <w:szCs w:val="28"/>
          <w:rtl/>
        </w:rPr>
        <w:t>)</w:t>
      </w:r>
      <w:r w:rsidR="00313AD8">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فضلًا عن توافر قاعدة بياناتٍ معياريةٍ واسعةٍ تتيح المقارنة بالمعايير الدولية. كما أنه أداةٌ متاحةٌ مجانًا للاستخدام من وكالة </w:t>
      </w:r>
      <w:r w:rsidRPr="00583CD0">
        <w:rPr>
          <w:rFonts w:ascii="Sakkal Majalla" w:hAnsi="Sakkal Majalla" w:cs="Sakkal Majalla"/>
          <w:sz w:val="28"/>
          <w:szCs w:val="28"/>
        </w:rPr>
        <w:t>AHRQ</w:t>
      </w:r>
      <w:r w:rsidRPr="00583CD0">
        <w:rPr>
          <w:rFonts w:ascii="Sakkal Majalla" w:hAnsi="Sakkal Majalla" w:cs="Sakkal Majalla"/>
          <w:sz w:val="28"/>
          <w:szCs w:val="28"/>
          <w:rtl/>
        </w:rPr>
        <w:t xml:space="preserve"> مع الإسناد المناسب، وقد طُبِّق بنجاحٍ في دراساتٍ سعوديةٍ وعربيةٍ بما يؤكد ملاءمته للسياق المحلي. ويتضمّن المقياس فقراتٍ مصاغةً إيجابيًا وأخرى سلبية (</w:t>
      </w:r>
      <w:r w:rsidRPr="00583CD0">
        <w:rPr>
          <w:rFonts w:ascii="Sakkal Majalla" w:hAnsi="Sakkal Majalla" w:cs="Sakkal Majalla"/>
          <w:sz w:val="28"/>
          <w:szCs w:val="28"/>
        </w:rPr>
        <w:t>Reverse-coded items</w:t>
      </w:r>
      <w:r w:rsidRPr="00583CD0">
        <w:rPr>
          <w:rFonts w:ascii="Sakkal Majalla" w:hAnsi="Sakkal Majalla" w:cs="Sakkal Majalla"/>
          <w:sz w:val="28"/>
          <w:szCs w:val="28"/>
          <w:rtl/>
        </w:rPr>
        <w:t>) يُعكَس ترميزها عند التحليل، بما يقلّل من تحيّز الاستجابة النمطية.</w:t>
      </w:r>
    </w:p>
    <w:p w14:paraId="2BB9A060" w14:textId="77777777" w:rsidR="00BE1BA2" w:rsidRPr="00875EB7" w:rsidRDefault="00BE1BA2" w:rsidP="00BE1BA2">
      <w:pPr>
        <w:pStyle w:val="3"/>
        <w:bidi/>
        <w:rPr>
          <w:rFonts w:ascii="Sakkal Majalla" w:hAnsi="Sakkal Majalla" w:cs="Sakkal Majalla"/>
          <w:b/>
          <w:bCs/>
          <w:color w:val="auto"/>
          <w:sz w:val="28"/>
          <w:szCs w:val="28"/>
        </w:rPr>
      </w:pPr>
      <w:r w:rsidRPr="00875EB7">
        <w:rPr>
          <w:rFonts w:ascii="Sakkal Majalla" w:eastAsia="Arial" w:hAnsi="Sakkal Majalla" w:cs="Sakkal Majalla"/>
          <w:b/>
          <w:bCs/>
          <w:color w:val="auto"/>
          <w:sz w:val="28"/>
          <w:szCs w:val="28"/>
          <w:rtl/>
        </w:rPr>
        <w:t>3.</w:t>
      </w:r>
      <w:r w:rsidRPr="00875EB7">
        <w:rPr>
          <w:rFonts w:ascii="Sakkal Majalla" w:hAnsi="Sakkal Majalla" w:cs="Sakkal Majalla"/>
          <w:b/>
          <w:bCs/>
          <w:color w:val="auto"/>
          <w:sz w:val="28"/>
          <w:szCs w:val="28"/>
          <w:rtl/>
        </w:rPr>
        <w:t>5.5 القسم الرابع: مقياس سلوكيات السلامة</w:t>
      </w:r>
    </w:p>
    <w:p w14:paraId="0B4A40B2" w14:textId="11941D17" w:rsidR="00BE1BA2" w:rsidRPr="00583CD0" w:rsidRDefault="00BE1BA2" w:rsidP="00BE1BA2">
      <w:pPr>
        <w:bidi/>
        <w:spacing w:after="140" w:line="340" w:lineRule="auto"/>
        <w:rPr>
          <w:rFonts w:ascii="Sakkal Majalla" w:hAnsi="Sakkal Majalla" w:cs="Sakkal Majalla"/>
          <w:sz w:val="28"/>
          <w:szCs w:val="28"/>
        </w:rPr>
      </w:pPr>
      <w:r w:rsidRPr="00583CD0">
        <w:rPr>
          <w:rFonts w:ascii="Sakkal Majalla" w:hAnsi="Sakkal Majalla" w:cs="Sakkal Majalla"/>
          <w:sz w:val="28"/>
          <w:szCs w:val="28"/>
          <w:rtl/>
        </w:rPr>
        <w:t xml:space="preserve">لقياس المتغير الوسيط الثاني، طوّر الباحث مقياسًا مبنيًا على الأدبيات ذات الصلة ومستلهََمًا من مقاييس معتمدة في مجال سلامة المرضى، مستندًا إلى الإطار الذي يميّز بين بُعدين رئيسين لسلوكيات السلامة وفقًا لما اقترحه </w:t>
      </w:r>
      <w:r w:rsidR="00B36D3B">
        <w:rPr>
          <w:rFonts w:ascii="Sakkal Majalla" w:hAnsi="Sakkal Majalla" w:cs="Sakkal Majalla"/>
          <w:sz w:val="28"/>
          <w:szCs w:val="28"/>
          <w:rtl/>
        </w:rPr>
        <w:fldChar w:fldCharType="begin"/>
      </w:r>
      <w:r w:rsidR="00B36D3B">
        <w:rPr>
          <w:rFonts w:ascii="Sakkal Majalla" w:hAnsi="Sakkal Majalla" w:cs="Sakkal Majalla"/>
          <w:sz w:val="28"/>
          <w:szCs w:val="28"/>
          <w:rtl/>
        </w:rPr>
        <w:instrText xml:space="preserve"> </w:instrText>
      </w:r>
      <w:r w:rsidR="00B36D3B">
        <w:rPr>
          <w:rFonts w:ascii="Sakkal Majalla" w:hAnsi="Sakkal Majalla" w:cs="Sakkal Majalla"/>
          <w:sz w:val="28"/>
          <w:szCs w:val="28"/>
        </w:rPr>
        <w:instrText>ADDIN EN.CITE &lt;EndNote&gt;&lt;Cite&gt;&lt;Author&gt;Neal&lt;/Author&gt;&lt;Year&gt;2006&lt;/Year&gt;&lt;RecNum&gt;273&lt;/RecNum&gt;&lt;DisplayText&gt;(Neal &amp;amp; Griffin, 2006)&lt;/DisplayText&gt;&lt;record&gt;&lt;rec-number&gt;273&lt;/rec-number&gt;&lt;foreign-keys&gt;&lt;key app="EN" db-id="02retxxrerxdxhe9aphvs0z2t9z25p0ew99s" timestamp="1781806645"&gt;273&lt;/key&gt;&lt;/foreign-keys&gt;&lt;ref-type name="Journal Article"&gt;17&lt;/ref-type&gt;&lt;contributors&gt;&lt;authors&gt;&lt;author&gt;Neal, A.&lt;/author&gt;&lt;author&gt;Griffin, M. A.&lt;/author&gt;&lt;/authors&gt;&lt;/contributors&gt;&lt;auth-address&gt;ARC Key Centre for Human Factors and Applied Cognitive Psychology, School of Psychology, University of Queensland, Brisbane, QLD, Australia. andrew@psy.uq.edu.au&lt;/auth-address&gt;&lt;titles&gt;&lt;title&gt;A study of the lagged relationships among safety climate, safety motivation, safety behavior, and accidents at the individual and group levels&lt;/title&gt;&lt;secondary-title&gt;J Appl Psychol&lt;/secondary-title&gt;&lt;/titles&gt;&lt;periodical&gt;&lt;full-title&gt;J Appl Psychol&lt;/full-title&gt;&lt;/periodical&gt;&lt;pages&gt;946-53&lt;/pages&gt;&lt;volume&gt;91&lt;/volume&gt;&lt;number&gt;4&lt;/number&gt;&lt;edition&gt;2006/07/13&lt;/edition&gt;&lt;keywords</w:instrText>
      </w:r>
      <w:r w:rsidR="00B36D3B">
        <w:rPr>
          <w:rFonts w:ascii="Sakkal Majalla" w:hAnsi="Sakkal Majalla" w:cs="Sakkal Majalla"/>
          <w:sz w:val="28"/>
          <w:szCs w:val="28"/>
          <w:rtl/>
        </w:rPr>
        <w:instrText>&gt;&lt;</w:instrText>
      </w:r>
      <w:r w:rsidR="00B36D3B">
        <w:rPr>
          <w:rFonts w:ascii="Sakkal Majalla" w:hAnsi="Sakkal Majalla" w:cs="Sakkal Majalla"/>
          <w:sz w:val="28"/>
          <w:szCs w:val="28"/>
        </w:rPr>
        <w:instrText>keyword&gt;Accidents, Occupational/*statistics &amp;amp; numerical data&lt;/keyword&gt;&lt;keyword&gt;Adult&lt;/keyword&gt;&lt;keyword&gt;Female&lt;/keyword&gt;&lt;keyword&gt;Humans&lt;/keyword&gt;&lt;keyword&gt;Male&lt;/keyword&gt;&lt;keyword&gt;*Motivation&lt;/keyword&gt;&lt;keyword&gt;*Organizational Culture&lt;/keyword&gt;&lt;keyword</w:instrText>
      </w:r>
      <w:r w:rsidR="00B36D3B">
        <w:rPr>
          <w:rFonts w:ascii="Sakkal Majalla" w:hAnsi="Sakkal Majalla" w:cs="Sakkal Majalla"/>
          <w:sz w:val="28"/>
          <w:szCs w:val="28"/>
          <w:rtl/>
        </w:rPr>
        <w:instrText>&gt;*</w:instrText>
      </w:r>
      <w:r w:rsidR="00B36D3B">
        <w:rPr>
          <w:rFonts w:ascii="Sakkal Majalla" w:hAnsi="Sakkal Majalla" w:cs="Sakkal Majalla"/>
          <w:sz w:val="28"/>
          <w:szCs w:val="28"/>
        </w:rPr>
        <w:instrText>Safety&lt;/keyword&gt;&lt;/keywords&gt;&lt;dates&gt;&lt;year&gt;2006&lt;/year&gt;&lt;pub-dates&gt;&lt;date&gt;Jul&lt;/date&gt;&lt;/pub-dates&gt;&lt;/dates&gt;&lt;isbn&gt;0021-9010 (Print)&amp;#xD;0021-9010 (Linking)&lt;/isbn&gt;&lt;accession-num&gt;16834517&lt;/accession-num&gt;&lt;urls&gt;&lt;related-urls&gt;&lt;url&gt;https://www.ncbi.nlm.nih.gov/pubmed/168</w:instrText>
      </w:r>
      <w:r w:rsidR="00B36D3B">
        <w:rPr>
          <w:rFonts w:ascii="Sakkal Majalla" w:hAnsi="Sakkal Majalla" w:cs="Sakkal Majalla"/>
          <w:sz w:val="28"/>
          <w:szCs w:val="28"/>
          <w:rtl/>
        </w:rPr>
        <w:instrText>34517&lt;/</w:instrText>
      </w:r>
      <w:r w:rsidR="00B36D3B">
        <w:rPr>
          <w:rFonts w:ascii="Sakkal Majalla" w:hAnsi="Sakkal Majalla" w:cs="Sakkal Majalla"/>
          <w:sz w:val="28"/>
          <w:szCs w:val="28"/>
        </w:rPr>
        <w:instrText>url&gt;&lt;/related-urls&gt;&lt;/urls&gt;&lt;electronic-resource-num&gt;10.1037/0021-9010.91.4.946&lt;/electronic-resource-num&gt;&lt;/record&gt;&lt;/Cite&gt;&lt;/EndNote</w:instrText>
      </w:r>
      <w:r w:rsidR="00B36D3B">
        <w:rPr>
          <w:rFonts w:ascii="Sakkal Majalla" w:hAnsi="Sakkal Majalla" w:cs="Sakkal Majalla"/>
          <w:sz w:val="28"/>
          <w:szCs w:val="28"/>
          <w:rtl/>
        </w:rPr>
        <w:instrText>&gt;</w:instrText>
      </w:r>
      <w:r w:rsidR="00B36D3B">
        <w:rPr>
          <w:rFonts w:ascii="Sakkal Majalla" w:hAnsi="Sakkal Majalla" w:cs="Sakkal Majalla"/>
          <w:sz w:val="28"/>
          <w:szCs w:val="28"/>
          <w:rtl/>
        </w:rPr>
        <w:fldChar w:fldCharType="separate"/>
      </w:r>
      <w:r w:rsidR="00B36D3B">
        <w:rPr>
          <w:rFonts w:ascii="Sakkal Majalla" w:hAnsi="Sakkal Majalla" w:cs="Sakkal Majalla"/>
          <w:noProof/>
          <w:sz w:val="28"/>
          <w:szCs w:val="28"/>
          <w:rtl/>
        </w:rPr>
        <w:t>(</w:t>
      </w:r>
      <w:r w:rsidR="00B36D3B">
        <w:rPr>
          <w:rFonts w:ascii="Sakkal Majalla" w:hAnsi="Sakkal Majalla" w:cs="Sakkal Majalla"/>
          <w:noProof/>
          <w:sz w:val="28"/>
          <w:szCs w:val="28"/>
        </w:rPr>
        <w:t>Neal &amp; Griffin, 2006</w:t>
      </w:r>
      <w:r w:rsidR="00B36D3B">
        <w:rPr>
          <w:rFonts w:ascii="Sakkal Majalla" w:hAnsi="Sakkal Majalla" w:cs="Sakkal Majalla"/>
          <w:noProof/>
          <w:sz w:val="28"/>
          <w:szCs w:val="28"/>
          <w:rtl/>
        </w:rPr>
        <w:t>)</w:t>
      </w:r>
      <w:r w:rsidR="00B36D3B">
        <w:rPr>
          <w:rFonts w:ascii="Sakkal Majalla" w:hAnsi="Sakkal Majalla" w:cs="Sakkal Majalla"/>
          <w:sz w:val="28"/>
          <w:szCs w:val="28"/>
          <w:rtl/>
        </w:rPr>
        <w:fldChar w:fldCharType="end"/>
      </w:r>
      <w:r w:rsidRPr="00583CD0">
        <w:rPr>
          <w:rFonts w:ascii="Sakkal Majalla" w:hAnsi="Sakkal Majalla" w:cs="Sakkal Majalla"/>
          <w:sz w:val="28"/>
          <w:szCs w:val="28"/>
          <w:rtl/>
        </w:rPr>
        <w:t>. فالبُعد الأول هو الامتثال لإجراءات السلامة (</w:t>
      </w:r>
      <w:r w:rsidRPr="00583CD0">
        <w:rPr>
          <w:rFonts w:ascii="Sakkal Majalla" w:hAnsi="Sakkal Majalla" w:cs="Sakkal Majalla"/>
          <w:sz w:val="28"/>
          <w:szCs w:val="28"/>
        </w:rPr>
        <w:t>Safety Compliance</w:t>
      </w:r>
      <w:r w:rsidRPr="00583CD0">
        <w:rPr>
          <w:rFonts w:ascii="Sakkal Majalla" w:hAnsi="Sakkal Majalla" w:cs="Sakkal Majalla"/>
          <w:sz w:val="28"/>
          <w:szCs w:val="28"/>
          <w:rtl/>
        </w:rPr>
        <w:t>)، ويشير إلى التزام العاملين بالبروتوكولات المعتمدة، كتحقق من هوية المريض، ونظافة اليدين، وقوائم التحقق الجراحي، وإجراءات إدارة الأدوية، ويتكوّن من ست فقرات. والبُعد الثاني هو المشاركة في أنشطة السلامة (</w:t>
      </w:r>
      <w:r w:rsidRPr="00583CD0">
        <w:rPr>
          <w:rFonts w:ascii="Sakkal Majalla" w:hAnsi="Sakkal Majalla" w:cs="Sakkal Majalla"/>
          <w:sz w:val="28"/>
          <w:szCs w:val="28"/>
        </w:rPr>
        <w:t>Safety Participation</w:t>
      </w:r>
      <w:r w:rsidRPr="00583CD0">
        <w:rPr>
          <w:rFonts w:ascii="Sakkal Majalla" w:hAnsi="Sakkal Majalla" w:cs="Sakkal Majalla"/>
          <w:sz w:val="28"/>
          <w:szCs w:val="28"/>
          <w:rtl/>
        </w:rPr>
        <w:t xml:space="preserve">)، ويشير إلى السلوكيات الطوعية والاستباقية التي تتجاوز المتطلبات الرسمية، مثل الإبلاغ عن </w:t>
      </w:r>
      <w:r w:rsidRPr="00583CD0">
        <w:rPr>
          <w:rFonts w:ascii="Sakkal Majalla" w:hAnsi="Sakkal Majalla" w:cs="Sakkal Majalla"/>
          <w:sz w:val="28"/>
          <w:szCs w:val="28"/>
          <w:rtl/>
        </w:rPr>
        <w:lastRenderedPageBreak/>
        <w:t>الأخطاء والحوادث الوشيكة، والمشاركة في التدريب، وتقديم مقترحات للتحسين، وتنبيه الزملاء عند ملاحظة ممارسات غير آمنة، ويشتمل على ست فقرات، ليبلغ إجمالي المقياس اثنتي عشرة فقرة.</w:t>
      </w:r>
    </w:p>
    <w:p w14:paraId="3AA09A85" w14:textId="17C33710" w:rsidR="00BE1BA2" w:rsidRPr="00583CD0" w:rsidRDefault="00BE1BA2" w:rsidP="00BE1BA2">
      <w:pPr>
        <w:bidi/>
        <w:spacing w:after="140" w:line="340" w:lineRule="auto"/>
        <w:rPr>
          <w:rFonts w:ascii="Sakkal Majalla" w:hAnsi="Sakkal Majalla" w:cs="Sakkal Majalla"/>
          <w:sz w:val="28"/>
          <w:szCs w:val="28"/>
        </w:rPr>
      </w:pPr>
      <w:r w:rsidRPr="00583CD0">
        <w:rPr>
          <w:rFonts w:ascii="Sakkal Majalla" w:hAnsi="Sakkal Majalla" w:cs="Sakkal Majalla"/>
          <w:sz w:val="28"/>
          <w:szCs w:val="28"/>
          <w:rtl/>
        </w:rPr>
        <w:t>ولجأ الباحث إلى تطوير مقياسٍ خاصٍّ لعدم توافر مقياسٍ موحّدٍ ومعياريٍّ لسلوكيات السلامة في القطاع الصحي يتوافق تمامًا مع أبعاد الدراسة، وقد بُنيت فقراته بالاستناد إلى الأدبيات النظرية، وإلى مقاييسَ سابقةٍ مثل مقياس التنظيم الآمن (</w:t>
      </w:r>
      <w:r w:rsidRPr="00583CD0">
        <w:rPr>
          <w:rFonts w:ascii="Sakkal Majalla" w:hAnsi="Sakkal Majalla" w:cs="Sakkal Majalla"/>
          <w:sz w:val="28"/>
          <w:szCs w:val="28"/>
        </w:rPr>
        <w:t>Safety Organizing Scale</w:t>
      </w:r>
      <w:r w:rsidRPr="00583CD0">
        <w:rPr>
          <w:rFonts w:ascii="Sakkal Majalla" w:hAnsi="Sakkal Majalla" w:cs="Sakkal Majalla"/>
          <w:sz w:val="28"/>
          <w:szCs w:val="28"/>
          <w:rtl/>
        </w:rPr>
        <w:t xml:space="preserve">) لـ </w:t>
      </w:r>
      <w:r w:rsidR="00C87E33">
        <w:rPr>
          <w:rFonts w:ascii="Sakkal Majalla" w:hAnsi="Sakkal Majalla" w:cs="Sakkal Majalla"/>
          <w:sz w:val="28"/>
          <w:szCs w:val="28"/>
          <w:rtl/>
        </w:rPr>
        <w:fldChar w:fldCharType="begin"/>
      </w:r>
      <w:r w:rsidR="00C87E33">
        <w:rPr>
          <w:rFonts w:ascii="Sakkal Majalla" w:hAnsi="Sakkal Majalla" w:cs="Sakkal Majalla"/>
          <w:sz w:val="28"/>
          <w:szCs w:val="28"/>
          <w:rtl/>
        </w:rPr>
        <w:instrText xml:space="preserve"> </w:instrText>
      </w:r>
      <w:r w:rsidR="00C87E33">
        <w:rPr>
          <w:rFonts w:ascii="Sakkal Majalla" w:hAnsi="Sakkal Majalla" w:cs="Sakkal Majalla"/>
          <w:sz w:val="28"/>
          <w:szCs w:val="28"/>
        </w:rPr>
        <w:instrText>ADDIN EN.CITE &lt;EndNote&gt;&lt;Cite AuthorYear="1"&gt;&lt;Author&gt;Vogus&lt;/Author&gt;&lt;Year&gt;2007&lt;/Year&gt;&lt;RecNum&gt;280&lt;/RecNum&gt;&lt;DisplayText&gt;Vogus and Sutcliffe (2007)&lt;/DisplayText&gt;&lt;record&gt;&lt;rec-number&gt;280&lt;/rec-number&gt;&lt;foreign-keys&gt;&lt;key app="EN" db-id="02retxxrerxdxhe9aphvs0z2t9z</w:instrText>
      </w:r>
      <w:r w:rsidR="00C87E33">
        <w:rPr>
          <w:rFonts w:ascii="Sakkal Majalla" w:hAnsi="Sakkal Majalla" w:cs="Sakkal Majalla"/>
          <w:sz w:val="28"/>
          <w:szCs w:val="28"/>
          <w:rtl/>
        </w:rPr>
        <w:instrText>25</w:instrText>
      </w:r>
      <w:r w:rsidR="00C87E33">
        <w:rPr>
          <w:rFonts w:ascii="Sakkal Majalla" w:hAnsi="Sakkal Majalla" w:cs="Sakkal Majalla"/>
          <w:sz w:val="28"/>
          <w:szCs w:val="28"/>
        </w:rPr>
        <w:instrText>p0ew99s" timestamp="1781809106"&gt;280&lt;/key&gt;&lt;/foreign-keys&gt;&lt;ref-type name="Journal Article"&gt;17&lt;/ref-type&gt;&lt;contributors&gt;&lt;authors&gt;&lt;author&gt;Vogus, T. J.&lt;/author&gt;&lt;author&gt;Sutcliffe, K. M.&lt;/author&gt;&lt;/authors&gt;&lt;/contributors&gt;&lt;auth-address&gt;Department of Management and Organization Studies, Owen Graduate School of Management, Vanderbilt University, Nashville, Tennessee 37203, USA. timothy.vogus@owen.vanderbilt.edu&lt;/auth-address&gt;&lt;titles&gt;&lt;title&gt;The Safety Organizing Scale: development and validation of a behavioral measure of safety culture in hospital nursing units&lt;/title&gt;&lt;secondary-title&gt;Med Care&lt;/secondary-title&gt;&lt;/titles&gt;&lt;periodical&gt;&lt;full-title&gt;Med Care&lt;/full-title&gt;&lt;/periodical&gt;&lt;pages&gt;46-54&lt;/pages&gt;&lt;volume&gt;45&lt;/volume&gt;&lt;number&gt;1&lt;/number&gt;&lt;edition&gt;2007/02/07&lt;/edition&gt;&lt;keywords&gt;&lt;keyword&gt;Humans&lt;/keyword&gt;&lt;keyword&gt;Medication Errors/*prevention &amp;amp; control&lt;/keyword&gt;&lt;keyword&gt;Nursing Service, Hospital/organization &amp;amp; administration/*statistics &amp;amp; numerical&lt;/keyword&gt;&lt;keyword&gt;data&lt;/keyword&gt;&lt;keyword&gt;Regression Analysis&lt;/keyword&gt;&lt;keyword&gt;*Safety&lt;/keyword&gt;&lt;keyword&gt;Surveys and Questionnaires&lt;/keyword&gt;&lt;keyword&gt;United States&lt;/keyword&gt;&lt;/keywords&gt;&lt;dates&gt;&lt;year&gt;2007&lt;/year&gt;&lt;pub-dates&gt;&lt;date&gt;Jan&lt;/date&gt;&lt;/pub-dates&gt;&lt;/dates&gt;&lt;isbn&gt;0025-7079 (Print)&amp;#xD;0025-7079 (Linking)&lt;/isbn&gt;&lt;accession</w:instrText>
      </w:r>
      <w:r w:rsidR="00C87E33">
        <w:rPr>
          <w:rFonts w:ascii="Sakkal Majalla" w:hAnsi="Sakkal Majalla" w:cs="Sakkal Majalla"/>
          <w:sz w:val="28"/>
          <w:szCs w:val="28"/>
          <w:rtl/>
        </w:rPr>
        <w:instrText>-</w:instrText>
      </w:r>
      <w:r w:rsidR="00C87E33">
        <w:rPr>
          <w:rFonts w:ascii="Sakkal Majalla" w:hAnsi="Sakkal Majalla" w:cs="Sakkal Majalla"/>
          <w:sz w:val="28"/>
          <w:szCs w:val="28"/>
        </w:rPr>
        <w:instrText>num&gt;17279020&lt;/accession-num&gt;&lt;urls&gt;&lt;related-urls&gt;&lt;url&gt;https://www.ncbi.nlm.nih.gov/pubmed/17279020&lt;/url&gt;&lt;/related-urls&gt;&lt;/urls&gt;&lt;electronic-resource-num&gt;10.1097/01.mlr.0000244635.61178.7a&lt;/electronic-resource-num&gt;&lt;remote-database-provider&gt;NLM&lt;/remote-database-provider&gt;&lt;language&gt;eng&lt;/language&gt;&lt;/record&gt;&lt;/Cite&gt;&lt;/EndNote</w:instrText>
      </w:r>
      <w:r w:rsidR="00C87E33">
        <w:rPr>
          <w:rFonts w:ascii="Sakkal Majalla" w:hAnsi="Sakkal Majalla" w:cs="Sakkal Majalla"/>
          <w:sz w:val="28"/>
          <w:szCs w:val="28"/>
          <w:rtl/>
        </w:rPr>
        <w:instrText>&gt;</w:instrText>
      </w:r>
      <w:r w:rsidR="00C87E33">
        <w:rPr>
          <w:rFonts w:ascii="Sakkal Majalla" w:hAnsi="Sakkal Majalla" w:cs="Sakkal Majalla"/>
          <w:sz w:val="28"/>
          <w:szCs w:val="28"/>
          <w:rtl/>
        </w:rPr>
        <w:fldChar w:fldCharType="separate"/>
      </w:r>
      <w:r w:rsidR="00C87E33">
        <w:rPr>
          <w:rFonts w:ascii="Sakkal Majalla" w:hAnsi="Sakkal Majalla" w:cs="Sakkal Majalla"/>
          <w:noProof/>
          <w:sz w:val="28"/>
          <w:szCs w:val="28"/>
        </w:rPr>
        <w:t>Vogus and Sutcliffe</w:t>
      </w:r>
      <w:r w:rsidR="00C87E33">
        <w:rPr>
          <w:rFonts w:ascii="Sakkal Majalla" w:hAnsi="Sakkal Majalla" w:cs="Sakkal Majalla"/>
          <w:noProof/>
          <w:sz w:val="28"/>
          <w:szCs w:val="28"/>
          <w:rtl/>
        </w:rPr>
        <w:t xml:space="preserve"> (2007)</w:t>
      </w:r>
      <w:r w:rsidR="00C87E33">
        <w:rPr>
          <w:rFonts w:ascii="Sakkal Majalla" w:hAnsi="Sakkal Majalla" w:cs="Sakkal Majalla"/>
          <w:sz w:val="28"/>
          <w:szCs w:val="28"/>
          <w:rtl/>
        </w:rPr>
        <w:fldChar w:fldCharType="end"/>
      </w:r>
      <w:r w:rsidRPr="00583CD0">
        <w:rPr>
          <w:rFonts w:ascii="Sakkal Majalla" w:hAnsi="Sakkal Majalla" w:cs="Sakkal Majalla"/>
          <w:sz w:val="28"/>
          <w:szCs w:val="28"/>
          <w:rtl/>
        </w:rPr>
        <w:t>، وإلى المعايير والبروتوكولات الصادرة عن المجلس المركزي لاعتماد المنشآت الصحية (</w:t>
      </w:r>
      <w:r w:rsidRPr="00583CD0">
        <w:rPr>
          <w:rFonts w:ascii="Sakkal Majalla" w:hAnsi="Sakkal Majalla" w:cs="Sakkal Majalla"/>
          <w:sz w:val="28"/>
          <w:szCs w:val="28"/>
        </w:rPr>
        <w:t>CBAHI</w:t>
      </w:r>
      <w:r w:rsidRPr="00583CD0">
        <w:rPr>
          <w:rFonts w:ascii="Sakkal Majalla" w:hAnsi="Sakkal Majalla" w:cs="Sakkal Majalla"/>
          <w:sz w:val="28"/>
          <w:szCs w:val="28"/>
          <w:rtl/>
        </w:rPr>
        <w:t xml:space="preserve">)، فضلًا عن آراء المحكّمين. وقد قُيست فقرات هذا المقياس على مقياس </w:t>
      </w:r>
      <w:proofErr w:type="spellStart"/>
      <w:r w:rsidRPr="00583CD0">
        <w:rPr>
          <w:rFonts w:ascii="Sakkal Majalla" w:hAnsi="Sakkal Majalla" w:cs="Sakkal Majalla"/>
          <w:sz w:val="28"/>
          <w:szCs w:val="28"/>
          <w:rtl/>
        </w:rPr>
        <w:t>ليكرت</w:t>
      </w:r>
      <w:proofErr w:type="spellEnd"/>
      <w:r w:rsidRPr="00583CD0">
        <w:rPr>
          <w:rFonts w:ascii="Sakkal Majalla" w:hAnsi="Sakkal Majalla" w:cs="Sakkal Majalla"/>
          <w:sz w:val="28"/>
          <w:szCs w:val="28"/>
          <w:rtl/>
        </w:rPr>
        <w:t xml:space="preserve"> الخماسي للاتفاق توحيدًا لمراسي الاستجابة مع بقية المقاييس، وتيسيرًا لتقدير النموذج الهيكلي، مع ملاحظة أن </w:t>
      </w:r>
      <w:proofErr w:type="spellStart"/>
      <w:r w:rsidRPr="00583CD0">
        <w:rPr>
          <w:rFonts w:ascii="Sakkal Majalla" w:hAnsi="Sakkal Majalla" w:cs="Sakkal Majalla"/>
          <w:sz w:val="28"/>
          <w:szCs w:val="28"/>
          <w:rtl/>
        </w:rPr>
        <w:t>المراسي</w:t>
      </w:r>
      <w:proofErr w:type="spellEnd"/>
      <w:r w:rsidRPr="00583CD0">
        <w:rPr>
          <w:rFonts w:ascii="Sakkal Majalla" w:hAnsi="Sakkal Majalla" w:cs="Sakkal Majalla"/>
          <w:sz w:val="28"/>
          <w:szCs w:val="28"/>
          <w:rtl/>
        </w:rPr>
        <w:t xml:space="preserve"> التكرارية (من «أبدًا» إلى «دائمًا») تُعدّ بديلًا ملائمًا لقياس السلوك المتكرر يمكن اعتماده في تطبيقاتٍ لاحقة.</w:t>
      </w:r>
    </w:p>
    <w:p w14:paraId="3E54C073" w14:textId="77777777" w:rsidR="00BE1BA2" w:rsidRPr="00875EB7" w:rsidRDefault="00BE1BA2" w:rsidP="00BE1BA2">
      <w:pPr>
        <w:pStyle w:val="3"/>
        <w:bidi/>
        <w:rPr>
          <w:rFonts w:ascii="Sakkal Majalla" w:hAnsi="Sakkal Majalla" w:cs="Sakkal Majalla"/>
          <w:b/>
          <w:bCs/>
          <w:color w:val="auto"/>
          <w:sz w:val="28"/>
          <w:szCs w:val="28"/>
        </w:rPr>
      </w:pPr>
      <w:r w:rsidRPr="00875EB7">
        <w:rPr>
          <w:rFonts w:ascii="Sakkal Majalla" w:eastAsia="Arial" w:hAnsi="Sakkal Majalla" w:cs="Sakkal Majalla"/>
          <w:b/>
          <w:bCs/>
          <w:color w:val="auto"/>
          <w:sz w:val="28"/>
          <w:szCs w:val="28"/>
          <w:rtl/>
        </w:rPr>
        <w:t>3.</w:t>
      </w:r>
      <w:r w:rsidRPr="00875EB7">
        <w:rPr>
          <w:rFonts w:ascii="Sakkal Majalla" w:hAnsi="Sakkal Majalla" w:cs="Sakkal Majalla"/>
          <w:b/>
          <w:bCs/>
          <w:color w:val="auto"/>
          <w:sz w:val="28"/>
          <w:szCs w:val="28"/>
          <w:rtl/>
        </w:rPr>
        <w:t>5.6 القسم الخامس: مقياس تقليل الأحداث الضارة</w:t>
      </w:r>
    </w:p>
    <w:p w14:paraId="5467D757"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لقياس المتغير التابع، قام الباحث بتطوير مقياس إدراكي يعكس تقييم العاملين لتقليل وقوع الأحداث الضارة في المستشفيات نتيجة التدابير المتخذة. استند المقياس إلى مؤشرات سلامة المرضى الصادرة عن وكالة </w:t>
      </w:r>
      <w:r w:rsidRPr="00583CD0">
        <w:rPr>
          <w:rFonts w:ascii="Sakkal Majalla" w:hAnsi="Sakkal Majalla" w:cs="Sakkal Majalla"/>
          <w:sz w:val="28"/>
          <w:szCs w:val="28"/>
        </w:rPr>
        <w:t>AHRQ</w:t>
      </w:r>
      <w:r w:rsidRPr="00583CD0">
        <w:rPr>
          <w:rFonts w:ascii="Sakkal Majalla" w:hAnsi="Sakkal Majalla" w:cs="Sakkal Majalla"/>
          <w:sz w:val="28"/>
          <w:szCs w:val="28"/>
          <w:rtl/>
        </w:rPr>
        <w:t xml:space="preserve"> والأدبيات ذات الصلة بقياس الأحداث الضارة. ويشمل أنواعًا محددة من الأحداث، مثل أخطاء الدواء، وسقوط المرضى، والعدوى المكتسبة من الرعاية الصحية، وأخطاء التشخيص أو التأخير في العلاج، ومضاعفات ما بعد الإجراءات، فضلاً عن تقييم فاعلية نظام الإبلاغ في منع وصول الأخطاء إلى المرضى. يتألف المقياس من ثماني فقرات.</w:t>
      </w:r>
    </w:p>
    <w:p w14:paraId="2EBCFD19"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صُيغت جميع فقرات هذا المقياس بطريقة موحدة تعبر عن «الانخفاض المُدرَك» أو «الفعالية المُدرَكة» للتدابير الوقائية، بحيث تشير الدرجة العالية إلى تحسن الحالة. يهدف ذلك إلى ضمان اتساق اتجاه القياس وأن تكون إشارة المسار المفترضة من سلوكيات السلامة نحو تقليل الأحداث الضارة واضحة. يُذكر أن الحوادث الوشيكة (</w:t>
      </w:r>
      <w:r w:rsidRPr="00583CD0">
        <w:rPr>
          <w:rFonts w:ascii="Sakkal Majalla" w:hAnsi="Sakkal Majalla" w:cs="Sakkal Majalla"/>
          <w:sz w:val="28"/>
          <w:szCs w:val="28"/>
        </w:rPr>
        <w:t>Near misses</w:t>
      </w:r>
      <w:r w:rsidRPr="00583CD0">
        <w:rPr>
          <w:rFonts w:ascii="Sakkal Majalla" w:hAnsi="Sakkal Majalla" w:cs="Sakkal Majalla"/>
          <w:sz w:val="28"/>
          <w:szCs w:val="28"/>
          <w:rtl/>
        </w:rPr>
        <w:t>) لم تُعتبر ضررًا فعليًا، بل تم قياس فعاليتها في اعتراضها قبل أن تصل إلى المريض، وهذا يميزها من الأحداث الضارة الحقيقية من الناحية المفهومية. يقاس هذا بواسطة الإدراك الذاتي المباشر للعاملين، وليس عبر مراجعة السجلات الرسمية، ويعزى ذلك إلى صعوبة توفر السجلات الكاملة وخبرة المنفذين في تقييم فاعلية التدابير.</w:t>
      </w:r>
    </w:p>
    <w:p w14:paraId="23466F6A" w14:textId="77777777" w:rsidR="00BE1BA2" w:rsidRPr="00875EB7" w:rsidRDefault="00BE1BA2" w:rsidP="00BE1BA2">
      <w:pPr>
        <w:pStyle w:val="3"/>
        <w:bidi/>
        <w:rPr>
          <w:rFonts w:ascii="Sakkal Majalla" w:hAnsi="Sakkal Majalla" w:cs="Sakkal Majalla"/>
          <w:b/>
          <w:bCs/>
          <w:color w:val="auto"/>
          <w:sz w:val="28"/>
          <w:szCs w:val="28"/>
        </w:rPr>
      </w:pPr>
      <w:r w:rsidRPr="00875EB7">
        <w:rPr>
          <w:rFonts w:ascii="Sakkal Majalla" w:eastAsia="Arial" w:hAnsi="Sakkal Majalla" w:cs="Sakkal Majalla"/>
          <w:b/>
          <w:bCs/>
          <w:color w:val="auto"/>
          <w:sz w:val="28"/>
          <w:szCs w:val="28"/>
          <w:rtl/>
        </w:rPr>
        <w:t>3.</w:t>
      </w:r>
      <w:r w:rsidRPr="00875EB7">
        <w:rPr>
          <w:rFonts w:ascii="Sakkal Majalla" w:hAnsi="Sakkal Majalla" w:cs="Sakkal Majalla"/>
          <w:b/>
          <w:bCs/>
          <w:color w:val="auto"/>
          <w:sz w:val="28"/>
          <w:szCs w:val="28"/>
          <w:rtl/>
        </w:rPr>
        <w:t xml:space="preserve">5.7 مقياس الاستجابة: </w:t>
      </w:r>
      <w:proofErr w:type="spellStart"/>
      <w:r w:rsidRPr="00875EB7">
        <w:rPr>
          <w:rFonts w:ascii="Sakkal Majalla" w:hAnsi="Sakkal Majalla" w:cs="Sakkal Majalla"/>
          <w:b/>
          <w:bCs/>
          <w:color w:val="auto"/>
          <w:sz w:val="28"/>
          <w:szCs w:val="28"/>
          <w:rtl/>
        </w:rPr>
        <w:t>ليكرت</w:t>
      </w:r>
      <w:proofErr w:type="spellEnd"/>
      <w:r w:rsidRPr="00875EB7">
        <w:rPr>
          <w:rFonts w:ascii="Sakkal Majalla" w:hAnsi="Sakkal Majalla" w:cs="Sakkal Majalla"/>
          <w:b/>
          <w:bCs/>
          <w:color w:val="auto"/>
          <w:sz w:val="28"/>
          <w:szCs w:val="28"/>
          <w:rtl/>
        </w:rPr>
        <w:t xml:space="preserve"> الخماسي</w:t>
      </w:r>
    </w:p>
    <w:p w14:paraId="5D1E58CC" w14:textId="5E8FB224" w:rsidR="000B1071" w:rsidRDefault="000B1071" w:rsidP="000B1071">
      <w:pPr>
        <w:bidi/>
        <w:spacing w:after="140" w:line="340" w:lineRule="auto"/>
        <w:rPr>
          <w:rFonts w:ascii="Sakkal Majalla" w:eastAsia="Arial" w:hAnsi="Sakkal Majalla" w:cs="Sakkal Majalla"/>
          <w:b/>
          <w:bCs/>
          <w:sz w:val="28"/>
          <w:szCs w:val="28"/>
          <w:rtl/>
        </w:rPr>
      </w:pPr>
      <w:r>
        <w:rPr>
          <w:rFonts w:ascii="Sakkal Majalla" w:hAnsi="Sakkal Majalla" w:cs="Sakkal Majalla"/>
          <w:sz w:val="28"/>
          <w:szCs w:val="28"/>
          <w:rtl/>
        </w:rPr>
        <w:t xml:space="preserve">اُستخدم مقياس </w:t>
      </w:r>
      <w:proofErr w:type="spellStart"/>
      <w:r>
        <w:rPr>
          <w:rFonts w:ascii="Sakkal Majalla" w:hAnsi="Sakkal Majalla" w:cs="Sakkal Majalla"/>
          <w:sz w:val="28"/>
          <w:szCs w:val="28"/>
          <w:rtl/>
        </w:rPr>
        <w:t>ليكرت</w:t>
      </w:r>
      <w:proofErr w:type="spellEnd"/>
      <w:r>
        <w:rPr>
          <w:rFonts w:ascii="Sakkal Majalla" w:hAnsi="Sakkal Majalla" w:cs="Sakkal Majalla"/>
          <w:sz w:val="28"/>
          <w:szCs w:val="28"/>
          <w:rtl/>
        </w:rPr>
        <w:t xml:space="preserve"> الخماسي لقياس جميع فقرات الاستبانة، عدا البيانات الديموغرافية، وذلك من خلال خمس درجات متدرجة تبدأ من «لا أوافق بشدة» (1) وتنتهي بـ«أوافق بشدة» (5)، في حين تمثل الدرجة (3) نقطة الحياد، مما يوفر إطارًا موحدًا لقياس استجابات أفراد العينة. وجرى اعتماد هذا المقياس في جميع أدوات الدراسة، بما في ذلك مقياس القيادة التحويلية (</w:t>
      </w:r>
      <w:r>
        <w:rPr>
          <w:rFonts w:ascii="Sakkal Majalla" w:hAnsi="Sakkal Majalla" w:cs="Sakkal Majalla"/>
          <w:sz w:val="28"/>
          <w:szCs w:val="28"/>
        </w:rPr>
        <w:t>TLI</w:t>
      </w:r>
      <w:r>
        <w:rPr>
          <w:rFonts w:ascii="Sakkal Majalla" w:hAnsi="Sakkal Majalla" w:cs="Sakkal Majalla"/>
          <w:sz w:val="28"/>
          <w:szCs w:val="28"/>
          <w:rtl/>
        </w:rPr>
        <w:t>)، ومقياس ثقافة سلامة المرضى (</w:t>
      </w:r>
      <w:r>
        <w:rPr>
          <w:rFonts w:ascii="Sakkal Majalla" w:hAnsi="Sakkal Majalla" w:cs="Sakkal Majalla"/>
          <w:sz w:val="28"/>
          <w:szCs w:val="28"/>
        </w:rPr>
        <w:t>HSOPSC</w:t>
      </w:r>
      <w:r>
        <w:rPr>
          <w:rFonts w:ascii="Sakkal Majalla" w:hAnsi="Sakkal Majalla" w:cs="Sakkal Majalla"/>
          <w:sz w:val="28"/>
          <w:szCs w:val="28"/>
          <w:rtl/>
        </w:rPr>
        <w:t xml:space="preserve">)، ومقياس سلوكيات السلامة، ومقياس الأحداث الضارة، مما يسهم في توحيد أنماط </w:t>
      </w:r>
      <w:r>
        <w:rPr>
          <w:rFonts w:ascii="Sakkal Majalla" w:hAnsi="Sakkal Majalla" w:cs="Sakkal Majalla"/>
          <w:sz w:val="28"/>
          <w:szCs w:val="28"/>
          <w:rtl/>
        </w:rPr>
        <w:lastRenderedPageBreak/>
        <w:t>الإجابة وتيسير المقارنة بين المتغيرات المختلفة في الدراسة. ويُعزى اختيار هذا المقياس إلى شيوعه في الدراسات المسحية، فضلاً عن اتسامه بالبساطة والوضوح وملاءمته لأغراض التحليل الكمي.</w:t>
      </w:r>
    </w:p>
    <w:p w14:paraId="3B3FA02D" w14:textId="46DE66E6" w:rsidR="00BE1BA2" w:rsidRPr="00875EB7" w:rsidRDefault="00BE1BA2" w:rsidP="000B1071">
      <w:pPr>
        <w:bidi/>
        <w:spacing w:after="140" w:line="340" w:lineRule="auto"/>
        <w:jc w:val="both"/>
        <w:rPr>
          <w:rFonts w:ascii="Sakkal Majalla" w:hAnsi="Sakkal Majalla" w:cs="Sakkal Majalla"/>
          <w:b/>
          <w:bCs/>
          <w:sz w:val="28"/>
          <w:szCs w:val="28"/>
        </w:rPr>
      </w:pPr>
      <w:r w:rsidRPr="00875EB7">
        <w:rPr>
          <w:rFonts w:ascii="Sakkal Majalla" w:eastAsia="Arial" w:hAnsi="Sakkal Majalla" w:cs="Sakkal Majalla"/>
          <w:b/>
          <w:bCs/>
          <w:sz w:val="28"/>
          <w:szCs w:val="28"/>
          <w:rtl/>
        </w:rPr>
        <w:t>3.</w:t>
      </w:r>
      <w:r w:rsidRPr="00875EB7">
        <w:rPr>
          <w:rFonts w:ascii="Sakkal Majalla" w:hAnsi="Sakkal Majalla" w:cs="Sakkal Majalla"/>
          <w:b/>
          <w:bCs/>
          <w:sz w:val="28"/>
          <w:szCs w:val="28"/>
          <w:rtl/>
        </w:rPr>
        <w:t>5.8 ملخص هيكل الاستبانة</w:t>
      </w:r>
    </w:p>
    <w:p w14:paraId="12F0C321" w14:textId="77777777" w:rsidR="00BE1BA2" w:rsidRPr="00583CD0" w:rsidRDefault="00BE1BA2" w:rsidP="00BE1BA2">
      <w:pPr>
        <w:bidi/>
        <w:spacing w:after="140" w:line="340" w:lineRule="auto"/>
        <w:rPr>
          <w:rFonts w:ascii="Sakkal Majalla" w:hAnsi="Sakkal Majalla" w:cs="Sakkal Majalla"/>
          <w:sz w:val="28"/>
          <w:szCs w:val="28"/>
        </w:rPr>
      </w:pPr>
      <w:r w:rsidRPr="00583CD0">
        <w:rPr>
          <w:rFonts w:ascii="Sakkal Majalla" w:hAnsi="Sakkal Majalla" w:cs="Sakkal Majalla"/>
          <w:sz w:val="28"/>
          <w:szCs w:val="28"/>
          <w:rtl/>
        </w:rPr>
        <w:t>يلخص الجدول الآتي مكونات الاستبانة وعدد فقراتها، إذ يبلغ إجماليها ثلاثًا وخمسين فقرةً موزعةً على المقاييس الأربعة، إضافةً إلى تسعة أسئلة ديموغرافية.</w:t>
      </w: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2700"/>
        <w:gridCol w:w="2600"/>
        <w:gridCol w:w="1660"/>
      </w:tblGrid>
      <w:tr w:rsidR="00BE1BA2" w:rsidRPr="00583CD0" w14:paraId="586BE1C8" w14:textId="77777777" w:rsidTr="006B40A5">
        <w:trPr>
          <w:tblHeader/>
        </w:trPr>
        <w:tc>
          <w:tcPr>
            <w:tcW w:w="24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397A883A"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القسم</w:t>
            </w:r>
          </w:p>
        </w:tc>
        <w:tc>
          <w:tcPr>
            <w:tcW w:w="27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2CC8FE9A"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المتغير</w:t>
            </w:r>
          </w:p>
        </w:tc>
        <w:tc>
          <w:tcPr>
            <w:tcW w:w="26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35DC1224"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المقياس المعتمد</w:t>
            </w:r>
          </w:p>
        </w:tc>
        <w:tc>
          <w:tcPr>
            <w:tcW w:w="166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56B0D1C2"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عدد الفقرات</w:t>
            </w:r>
          </w:p>
        </w:tc>
      </w:tr>
      <w:tr w:rsidR="00BE1BA2" w:rsidRPr="00583CD0" w14:paraId="27FD296C" w14:textId="77777777" w:rsidTr="006B40A5">
        <w:tc>
          <w:tcPr>
            <w:tcW w:w="2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DC19B7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القسم الأول</w:t>
            </w:r>
          </w:p>
        </w:tc>
        <w:tc>
          <w:tcPr>
            <w:tcW w:w="27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776B81E"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البيانات الديموغرافية</w:t>
            </w:r>
          </w:p>
        </w:tc>
        <w:tc>
          <w:tcPr>
            <w:tcW w:w="26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082291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c>
          <w:tcPr>
            <w:tcW w:w="166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C6F618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9 أسئلة</w:t>
            </w:r>
          </w:p>
        </w:tc>
      </w:tr>
      <w:tr w:rsidR="00BE1BA2" w:rsidRPr="00583CD0" w14:paraId="3CE999C1" w14:textId="77777777" w:rsidTr="006B40A5">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362AE29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القسم الثاني</w:t>
            </w:r>
          </w:p>
        </w:tc>
        <w:tc>
          <w:tcPr>
            <w:tcW w:w="2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644545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القيادة التحويلية</w:t>
            </w:r>
          </w:p>
        </w:tc>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6653786" w14:textId="6250443E" w:rsidR="00BE1BA2" w:rsidRPr="00B53B86" w:rsidRDefault="00B53B86" w:rsidP="00B53B86">
            <w:pPr>
              <w:bidi/>
              <w:spacing w:line="276" w:lineRule="auto"/>
              <w:rPr>
                <w:rFonts w:ascii="Sakkal Majalla" w:hAnsi="Sakkal Majalla" w:cs="Sakkal Majalla"/>
                <w:sz w:val="28"/>
                <w:szCs w:val="28"/>
              </w:rPr>
            </w:pPr>
            <w:r w:rsidRPr="00B53B86">
              <w:rPr>
                <w:rFonts w:ascii="Sakkal Majalla" w:eastAsia="Arial" w:hAnsi="Sakkal Majalla" w:cs="Sakkal Majalla"/>
                <w:sz w:val="28"/>
                <w:szCs w:val="28"/>
              </w:rPr>
              <w:t>TLI (Podsakoff et al., 1990)</w:t>
            </w:r>
          </w:p>
        </w:tc>
        <w:tc>
          <w:tcPr>
            <w:tcW w:w="166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40FCAF3" w14:textId="71FDFC24"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2</w:t>
            </w:r>
            <w:r w:rsidR="009B6902">
              <w:rPr>
                <w:rFonts w:ascii="Sakkal Majalla" w:eastAsia="Arial" w:hAnsi="Sakkal Majalla" w:cs="Sakkal Majalla" w:hint="cs"/>
                <w:sz w:val="28"/>
                <w:szCs w:val="28"/>
                <w:rtl/>
              </w:rPr>
              <w:t>3</w:t>
            </w:r>
          </w:p>
        </w:tc>
      </w:tr>
      <w:tr w:rsidR="00BE1BA2" w:rsidRPr="00583CD0" w14:paraId="3423A737" w14:textId="77777777" w:rsidTr="006B40A5">
        <w:tc>
          <w:tcPr>
            <w:tcW w:w="2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8BC53E8"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القسم الثالث</w:t>
            </w:r>
          </w:p>
        </w:tc>
        <w:tc>
          <w:tcPr>
            <w:tcW w:w="27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BEBE07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ثقافة السلامة</w:t>
            </w:r>
          </w:p>
        </w:tc>
        <w:tc>
          <w:tcPr>
            <w:tcW w:w="26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30F38B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HSOPSC (</w:t>
            </w:r>
            <w:proofErr w:type="spellStart"/>
            <w:r w:rsidRPr="00583CD0">
              <w:rPr>
                <w:rFonts w:ascii="Sakkal Majalla" w:eastAsia="Arial" w:hAnsi="Sakkal Majalla" w:cs="Sakkal Majalla"/>
                <w:sz w:val="28"/>
                <w:szCs w:val="28"/>
                <w:rtl/>
              </w:rPr>
              <w:t>Jones</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et</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al</w:t>
            </w:r>
            <w:proofErr w:type="spellEnd"/>
            <w:r w:rsidRPr="00583CD0">
              <w:rPr>
                <w:rFonts w:ascii="Sakkal Majalla" w:eastAsia="Arial" w:hAnsi="Sakkal Majalla" w:cs="Sakkal Majalla"/>
                <w:sz w:val="28"/>
                <w:szCs w:val="28"/>
                <w:rtl/>
              </w:rPr>
              <w:t>., 2008)</w:t>
            </w:r>
          </w:p>
        </w:tc>
        <w:tc>
          <w:tcPr>
            <w:tcW w:w="166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A002F4E"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13</w:t>
            </w:r>
          </w:p>
        </w:tc>
      </w:tr>
      <w:tr w:rsidR="00BE1BA2" w:rsidRPr="00583CD0" w14:paraId="70E448DE" w14:textId="77777777" w:rsidTr="006B40A5">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56D2C7B0"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القسم الرابع</w:t>
            </w:r>
          </w:p>
        </w:tc>
        <w:tc>
          <w:tcPr>
            <w:tcW w:w="2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6F439B8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سلوكيات السلامة</w:t>
            </w:r>
          </w:p>
        </w:tc>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FB370A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مطوّر من الباحث</w:t>
            </w:r>
          </w:p>
        </w:tc>
        <w:tc>
          <w:tcPr>
            <w:tcW w:w="166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71F5770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12</w:t>
            </w:r>
          </w:p>
        </w:tc>
      </w:tr>
      <w:tr w:rsidR="00BE1BA2" w:rsidRPr="00583CD0" w14:paraId="18785B95" w14:textId="77777777" w:rsidTr="006B40A5">
        <w:tc>
          <w:tcPr>
            <w:tcW w:w="2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0CC5A46"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القسم الخامس</w:t>
            </w:r>
          </w:p>
        </w:tc>
        <w:tc>
          <w:tcPr>
            <w:tcW w:w="27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AAFD904"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تقليل الأحداث الضارة</w:t>
            </w:r>
          </w:p>
        </w:tc>
        <w:tc>
          <w:tcPr>
            <w:tcW w:w="26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725410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مطوّر من الباحث</w:t>
            </w:r>
          </w:p>
        </w:tc>
        <w:tc>
          <w:tcPr>
            <w:tcW w:w="166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B3C6EE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8</w:t>
            </w:r>
          </w:p>
        </w:tc>
      </w:tr>
      <w:tr w:rsidR="00BE1BA2" w:rsidRPr="00583CD0" w14:paraId="384492A6" w14:textId="77777777" w:rsidTr="006B40A5">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5C5E22A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الإجمالي</w:t>
            </w:r>
          </w:p>
        </w:tc>
        <w:tc>
          <w:tcPr>
            <w:tcW w:w="27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264D52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15253F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c>
          <w:tcPr>
            <w:tcW w:w="166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E6C3546"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53 فقرة</w:t>
            </w:r>
          </w:p>
        </w:tc>
      </w:tr>
    </w:tbl>
    <w:p w14:paraId="39BACA70" w14:textId="77777777" w:rsidR="00BE1BA2" w:rsidRPr="00583CD0" w:rsidRDefault="00BE1BA2" w:rsidP="00BE1BA2">
      <w:pPr>
        <w:bidi/>
        <w:spacing w:after="140" w:line="340" w:lineRule="auto"/>
        <w:rPr>
          <w:rFonts w:ascii="Sakkal Majalla" w:hAnsi="Sakkal Majalla" w:cs="Sakkal Majalla"/>
          <w:sz w:val="28"/>
          <w:szCs w:val="28"/>
        </w:rPr>
      </w:pPr>
      <w:r w:rsidRPr="00583CD0">
        <w:rPr>
          <w:rFonts w:ascii="Sakkal Majalla" w:eastAsia="Arial" w:hAnsi="Sakkal Majalla" w:cs="Sakkal Majalla"/>
          <w:sz w:val="28"/>
          <w:szCs w:val="28"/>
          <w:rtl/>
        </w:rPr>
        <w:t>ويعرض الجدول التالي ملخصًا أوسع لخصائص أدوات القياس من حيث الأبعاد والفقرات ومؤشرات الثبات المتوقعة استنادًا إلى الدراسات المرجعية.</w:t>
      </w:r>
    </w:p>
    <w:tbl>
      <w:tblPr>
        <w:bidiVisual/>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6"/>
        <w:gridCol w:w="1980"/>
        <w:gridCol w:w="3600"/>
        <w:gridCol w:w="1272"/>
        <w:gridCol w:w="1710"/>
      </w:tblGrid>
      <w:tr w:rsidR="00BE1BA2" w:rsidRPr="00583CD0" w14:paraId="54764CD5" w14:textId="77777777" w:rsidTr="009B6902">
        <w:trPr>
          <w:tblHeader/>
        </w:trPr>
        <w:tc>
          <w:tcPr>
            <w:tcW w:w="1536"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4DF50640"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المقياس</w:t>
            </w:r>
          </w:p>
        </w:tc>
        <w:tc>
          <w:tcPr>
            <w:tcW w:w="198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4BFD9DBD" w14:textId="77777777" w:rsidR="00BE1BA2" w:rsidRPr="00583CD0" w:rsidRDefault="00BE1BA2" w:rsidP="006B40A5">
            <w:pPr>
              <w:bidi/>
              <w:spacing w:line="276" w:lineRule="auto"/>
              <w:rPr>
                <w:rFonts w:ascii="Sakkal Majalla" w:hAnsi="Sakkal Majalla" w:cs="Sakkal Majalla"/>
                <w:sz w:val="28"/>
                <w:szCs w:val="28"/>
                <w:rtl/>
              </w:rPr>
            </w:pPr>
            <w:r w:rsidRPr="00583CD0">
              <w:rPr>
                <w:rFonts w:ascii="Sakkal Majalla" w:eastAsia="Arial" w:hAnsi="Sakkal Majalla" w:cs="Sakkal Majalla"/>
                <w:b/>
                <w:bCs/>
                <w:sz w:val="28"/>
                <w:szCs w:val="28"/>
                <w:rtl/>
              </w:rPr>
              <w:t>المرجع</w:t>
            </w:r>
          </w:p>
        </w:tc>
        <w:tc>
          <w:tcPr>
            <w:tcW w:w="36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5B99495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الأبعاد</w:t>
            </w:r>
          </w:p>
        </w:tc>
        <w:tc>
          <w:tcPr>
            <w:tcW w:w="1272"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229FFEE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الفقرات</w:t>
            </w:r>
          </w:p>
        </w:tc>
        <w:tc>
          <w:tcPr>
            <w:tcW w:w="171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6F02AB66"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الثبات المتوقع (</w:t>
            </w:r>
            <w:r w:rsidRPr="00583CD0">
              <w:rPr>
                <w:rFonts w:ascii="Cambria" w:eastAsia="Arial" w:hAnsi="Cambria" w:cs="Cambria" w:hint="cs"/>
                <w:b/>
                <w:bCs/>
                <w:sz w:val="28"/>
                <w:szCs w:val="28"/>
                <w:rtl/>
              </w:rPr>
              <w:t>α</w:t>
            </w:r>
            <w:r w:rsidRPr="00583CD0">
              <w:rPr>
                <w:rFonts w:ascii="Sakkal Majalla" w:eastAsia="Arial" w:hAnsi="Sakkal Majalla" w:cs="Sakkal Majalla"/>
                <w:b/>
                <w:bCs/>
                <w:sz w:val="28"/>
                <w:szCs w:val="28"/>
                <w:rtl/>
              </w:rPr>
              <w:t>)</w:t>
            </w:r>
          </w:p>
        </w:tc>
      </w:tr>
      <w:tr w:rsidR="00BE1BA2" w:rsidRPr="00583CD0" w14:paraId="2164CAF5" w14:textId="77777777" w:rsidTr="009B6902">
        <w:tc>
          <w:tcPr>
            <w:tcW w:w="1536"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96E6D0E" w14:textId="257CC464"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القيادة التحويلية (</w:t>
            </w:r>
            <w:r w:rsidR="00CF297D">
              <w:rPr>
                <w:rFonts w:ascii="Sakkal Majalla" w:eastAsia="Arial" w:hAnsi="Sakkal Majalla" w:cs="Sakkal Majalla"/>
                <w:sz w:val="28"/>
                <w:szCs w:val="28"/>
              </w:rPr>
              <w:t>TLI</w:t>
            </w:r>
            <w:r w:rsidR="00CF297D" w:rsidRPr="00583CD0">
              <w:rPr>
                <w:rFonts w:ascii="Sakkal Majalla" w:eastAsia="Arial" w:hAnsi="Sakkal Majalla" w:cs="Sakkal Majalla" w:hint="cs"/>
                <w:sz w:val="28"/>
                <w:szCs w:val="28"/>
                <w:rtl/>
              </w:rPr>
              <w:t>)</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C5A9E94" w14:textId="3E5A46B6" w:rsidR="00BE1BA2" w:rsidRPr="00A370A9" w:rsidRDefault="00A370A9" w:rsidP="00A370A9">
            <w:pPr>
              <w:bidi/>
              <w:spacing w:line="276" w:lineRule="auto"/>
              <w:rPr>
                <w:rFonts w:ascii="Sakkal Majalla" w:hAnsi="Sakkal Majalla" w:cs="Sakkal Majalla"/>
                <w:sz w:val="28"/>
                <w:szCs w:val="28"/>
              </w:rPr>
            </w:pPr>
            <w:r w:rsidRPr="00A370A9">
              <w:rPr>
                <w:rFonts w:ascii="Sakkal Majalla" w:eastAsia="Arial" w:hAnsi="Sakkal Majalla" w:cs="Sakkal Majalla"/>
                <w:sz w:val="28"/>
                <w:szCs w:val="28"/>
              </w:rPr>
              <w:t>TLI – Podsakoff et al. (1990)</w:t>
            </w:r>
          </w:p>
        </w:tc>
        <w:tc>
          <w:tcPr>
            <w:tcW w:w="36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B829491" w14:textId="769B0C2F" w:rsidR="00BE1BA2" w:rsidRPr="00583CD0" w:rsidRDefault="009B6902" w:rsidP="009B6902">
            <w:pPr>
              <w:bidi/>
              <w:spacing w:line="276" w:lineRule="auto"/>
              <w:rPr>
                <w:rFonts w:ascii="Sakkal Majalla" w:hAnsi="Sakkal Majalla" w:cs="Sakkal Majalla"/>
                <w:sz w:val="28"/>
                <w:szCs w:val="28"/>
                <w:rtl/>
              </w:rPr>
            </w:pPr>
            <w:r w:rsidRPr="009B6902">
              <w:rPr>
                <w:rFonts w:ascii="Sakkal Majalla" w:eastAsia="Arial" w:hAnsi="Sakkal Majalla" w:cs="Sakkal Majalla"/>
                <w:sz w:val="28"/>
                <w:szCs w:val="28"/>
                <w:rtl/>
              </w:rPr>
              <w:t>صياغة الرؤية (4)، النموذج المناسب (4)، قبول الأهداف (4)، الأداء العالي (4)، الدعم الفردي (4)، الاستثارة الفكرية</w:t>
            </w:r>
            <w:r w:rsidRPr="009B6902">
              <w:rPr>
                <w:rFonts w:ascii="Sakkal Majalla" w:eastAsia="Arial" w:hAnsi="Sakkal Majalla" w:cs="Sakkal Majalla"/>
                <w:sz w:val="28"/>
                <w:szCs w:val="28"/>
              </w:rPr>
              <w:t xml:space="preserve"> (3)</w:t>
            </w:r>
          </w:p>
        </w:tc>
        <w:tc>
          <w:tcPr>
            <w:tcW w:w="1272"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B8A61CF" w14:textId="323E3449"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2</w:t>
            </w:r>
            <w:r w:rsidR="009B6902">
              <w:rPr>
                <w:rFonts w:ascii="Sakkal Majalla" w:eastAsia="Arial" w:hAnsi="Sakkal Majalla" w:cs="Sakkal Majalla" w:hint="cs"/>
                <w:sz w:val="28"/>
                <w:szCs w:val="28"/>
                <w:rtl/>
              </w:rPr>
              <w:t>3</w:t>
            </w:r>
          </w:p>
        </w:tc>
        <w:tc>
          <w:tcPr>
            <w:tcW w:w="171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26D70197" w14:textId="133C59B6" w:rsidR="00BE1BA2" w:rsidRPr="009C6FF4" w:rsidRDefault="009C6FF4" w:rsidP="009C6FF4">
            <w:pPr>
              <w:bidi/>
              <w:spacing w:line="276" w:lineRule="auto"/>
              <w:rPr>
                <w:rFonts w:ascii="Sakkal Majalla" w:hAnsi="Sakkal Majalla" w:cs="Sakkal Majalla"/>
                <w:sz w:val="28"/>
                <w:szCs w:val="28"/>
              </w:rPr>
            </w:pPr>
            <w:r w:rsidRPr="009C6FF4">
              <w:rPr>
                <w:rFonts w:ascii="Sakkal Majalla" w:eastAsia="Arial" w:hAnsi="Sakkal Majalla" w:cs="Sakkal Majalla"/>
                <w:sz w:val="28"/>
                <w:szCs w:val="28"/>
              </w:rPr>
              <w:t>0.77 – 0.92</w:t>
            </w:r>
          </w:p>
        </w:tc>
      </w:tr>
      <w:tr w:rsidR="00BE1BA2" w:rsidRPr="00583CD0" w14:paraId="099F1E60" w14:textId="77777777" w:rsidTr="009B6902">
        <w:tc>
          <w:tcPr>
            <w:tcW w:w="1536"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32CAEF53"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ثقافة السلامة (HSOPSC)</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E4C0038"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AHRQ; </w:t>
            </w:r>
            <w:proofErr w:type="spellStart"/>
            <w:r w:rsidRPr="00583CD0">
              <w:rPr>
                <w:rFonts w:ascii="Sakkal Majalla" w:eastAsia="Arial" w:hAnsi="Sakkal Majalla" w:cs="Sakkal Majalla"/>
                <w:sz w:val="28"/>
                <w:szCs w:val="28"/>
                <w:rtl/>
              </w:rPr>
              <w:t>Jones</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et</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al</w:t>
            </w:r>
            <w:proofErr w:type="spellEnd"/>
            <w:r w:rsidRPr="00583CD0">
              <w:rPr>
                <w:rFonts w:ascii="Sakkal Majalla" w:eastAsia="Arial" w:hAnsi="Sakkal Majalla" w:cs="Sakkal Majalla"/>
                <w:sz w:val="28"/>
                <w:szCs w:val="28"/>
                <w:rtl/>
              </w:rPr>
              <w:t>. (2008)</w:t>
            </w:r>
          </w:p>
        </w:tc>
        <w:tc>
          <w:tcPr>
            <w:tcW w:w="3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34B13F9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4 أبعاد (3، 3، 3، 4)</w:t>
            </w:r>
          </w:p>
        </w:tc>
        <w:tc>
          <w:tcPr>
            <w:tcW w:w="1272"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EE2004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13</w:t>
            </w:r>
          </w:p>
        </w:tc>
        <w:tc>
          <w:tcPr>
            <w:tcW w:w="171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F31EEB4"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0.62 – 0.85</w:t>
            </w:r>
          </w:p>
        </w:tc>
      </w:tr>
      <w:tr w:rsidR="00BE1BA2" w:rsidRPr="00583CD0" w14:paraId="152AC6A9" w14:textId="77777777" w:rsidTr="009B6902">
        <w:tc>
          <w:tcPr>
            <w:tcW w:w="1536"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85CF815"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سلوكيات السلامة</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1A601B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مطوّر؛ </w:t>
            </w:r>
            <w:proofErr w:type="spellStart"/>
            <w:r w:rsidRPr="00583CD0">
              <w:rPr>
                <w:rFonts w:ascii="Sakkal Majalla" w:eastAsia="Arial" w:hAnsi="Sakkal Majalla" w:cs="Sakkal Majalla"/>
                <w:sz w:val="28"/>
                <w:szCs w:val="28"/>
                <w:rtl/>
              </w:rPr>
              <w:t>Neal</w:t>
            </w:r>
            <w:proofErr w:type="spellEnd"/>
            <w:r w:rsidRPr="00583CD0">
              <w:rPr>
                <w:rFonts w:ascii="Sakkal Majalla" w:eastAsia="Arial" w:hAnsi="Sakkal Majalla" w:cs="Sakkal Majalla"/>
                <w:sz w:val="28"/>
                <w:szCs w:val="28"/>
                <w:rtl/>
              </w:rPr>
              <w:t xml:space="preserve"> &amp; </w:t>
            </w:r>
            <w:proofErr w:type="spellStart"/>
            <w:r w:rsidRPr="00583CD0">
              <w:rPr>
                <w:rFonts w:ascii="Sakkal Majalla" w:eastAsia="Arial" w:hAnsi="Sakkal Majalla" w:cs="Sakkal Majalla"/>
                <w:sz w:val="28"/>
                <w:szCs w:val="28"/>
                <w:rtl/>
              </w:rPr>
              <w:t>Griffin</w:t>
            </w:r>
            <w:proofErr w:type="spellEnd"/>
            <w:r w:rsidRPr="00583CD0">
              <w:rPr>
                <w:rFonts w:ascii="Sakkal Majalla" w:eastAsia="Arial" w:hAnsi="Sakkal Majalla" w:cs="Sakkal Majalla"/>
                <w:sz w:val="28"/>
                <w:szCs w:val="28"/>
                <w:rtl/>
              </w:rPr>
              <w:t xml:space="preserve"> (2006)</w:t>
            </w:r>
          </w:p>
        </w:tc>
        <w:tc>
          <w:tcPr>
            <w:tcW w:w="36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89D8DC5"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بُعدان (6، 6)</w:t>
            </w:r>
          </w:p>
        </w:tc>
        <w:tc>
          <w:tcPr>
            <w:tcW w:w="1272"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F549DCE"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12</w:t>
            </w:r>
          </w:p>
        </w:tc>
        <w:tc>
          <w:tcPr>
            <w:tcW w:w="171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C369624"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0.70 (مستهدف)</w:t>
            </w:r>
          </w:p>
        </w:tc>
      </w:tr>
      <w:tr w:rsidR="00BE1BA2" w:rsidRPr="00583CD0" w14:paraId="611EFF46" w14:textId="77777777" w:rsidTr="009B6902">
        <w:tc>
          <w:tcPr>
            <w:tcW w:w="1536"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514043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lastRenderedPageBreak/>
              <w:t>تقليل الأحداث الضارة</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BF3262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مطوّر؛ مؤشرات AHRQ</w:t>
            </w:r>
          </w:p>
        </w:tc>
        <w:tc>
          <w:tcPr>
            <w:tcW w:w="3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A0C3E8E"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أحادي البُعد</w:t>
            </w:r>
          </w:p>
        </w:tc>
        <w:tc>
          <w:tcPr>
            <w:tcW w:w="1272"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2C8758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8</w:t>
            </w:r>
          </w:p>
        </w:tc>
        <w:tc>
          <w:tcPr>
            <w:tcW w:w="171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F51686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0.70 (مستهدف)</w:t>
            </w:r>
          </w:p>
        </w:tc>
      </w:tr>
    </w:tbl>
    <w:p w14:paraId="7D3401AF" w14:textId="5F53C03E" w:rsidR="00BE1BA2" w:rsidRPr="00583CD0" w:rsidRDefault="00BE1BA2" w:rsidP="00BE1BA2">
      <w:pPr>
        <w:bidi/>
        <w:spacing w:after="140" w:line="340" w:lineRule="auto"/>
        <w:rPr>
          <w:rFonts w:ascii="Sakkal Majalla" w:hAnsi="Sakkal Majalla" w:cs="Sakkal Majalla"/>
          <w:i/>
          <w:iCs/>
          <w:sz w:val="28"/>
          <w:szCs w:val="28"/>
          <w:rtl/>
        </w:rPr>
      </w:pPr>
      <w:r w:rsidRPr="00583CD0">
        <w:rPr>
          <w:rFonts w:ascii="Sakkal Majalla" w:hAnsi="Sakkal Majalla" w:cs="Sakkal Majalla"/>
          <w:i/>
          <w:iCs/>
          <w:sz w:val="28"/>
          <w:szCs w:val="28"/>
          <w:rtl/>
        </w:rPr>
        <w:t>ملاحظة: تستند مؤشرات الثبات المتوقعة لمقياسي</w:t>
      </w:r>
      <w:r w:rsidR="0029654C">
        <w:rPr>
          <w:rFonts w:ascii="Sakkal Majalla" w:hAnsi="Sakkal Majalla" w:cs="Sakkal Majalla"/>
          <w:i/>
          <w:iCs/>
          <w:sz w:val="28"/>
          <w:szCs w:val="28"/>
        </w:rPr>
        <w:t xml:space="preserve">TLI </w:t>
      </w:r>
      <w:r w:rsidRPr="00583CD0">
        <w:rPr>
          <w:rFonts w:ascii="Sakkal Majalla" w:hAnsi="Sakkal Majalla" w:cs="Sakkal Majalla"/>
          <w:i/>
          <w:iCs/>
          <w:sz w:val="28"/>
          <w:szCs w:val="28"/>
          <w:rtl/>
        </w:rPr>
        <w:t xml:space="preserve"> و</w:t>
      </w:r>
      <w:r w:rsidRPr="00583CD0">
        <w:rPr>
          <w:rFonts w:ascii="Sakkal Majalla" w:hAnsi="Sakkal Majalla" w:cs="Sakkal Majalla"/>
          <w:i/>
          <w:iCs/>
          <w:sz w:val="28"/>
          <w:szCs w:val="28"/>
        </w:rPr>
        <w:t>HSOPSC</w:t>
      </w:r>
      <w:r w:rsidRPr="00583CD0">
        <w:rPr>
          <w:rFonts w:ascii="Sakkal Majalla" w:hAnsi="Sakkal Majalla" w:cs="Sakkal Majalla"/>
          <w:i/>
          <w:iCs/>
          <w:sz w:val="28"/>
          <w:szCs w:val="28"/>
          <w:rtl/>
        </w:rPr>
        <w:t xml:space="preserve"> إلى الدراسات المرجعية الأصلية، في حين تُحدد القيم الفعلية للمقياسين المطورين بعد الدراسة الاستطلاعية والعينة الكلية، على ألا تقل عن 0.70 وفق معيار </w:t>
      </w:r>
      <w:r w:rsidRPr="00583CD0">
        <w:rPr>
          <w:rFonts w:ascii="Sakkal Majalla" w:hAnsi="Sakkal Majalla" w:cs="Sakkal Majalla"/>
          <w:i/>
          <w:iCs/>
          <w:sz w:val="28"/>
          <w:szCs w:val="28"/>
        </w:rPr>
        <w:t>Nunnally and Bernstein</w:t>
      </w:r>
      <w:r w:rsidRPr="00583CD0">
        <w:rPr>
          <w:rFonts w:ascii="Sakkal Majalla" w:hAnsi="Sakkal Majalla" w:cs="Sakkal Majalla"/>
          <w:i/>
          <w:iCs/>
          <w:sz w:val="28"/>
          <w:szCs w:val="28"/>
          <w:rtl/>
        </w:rPr>
        <w:t xml:space="preserve"> </w:t>
      </w:r>
      <w:r w:rsidR="00B36D3B">
        <w:rPr>
          <w:rFonts w:ascii="Sakkal Majalla" w:hAnsi="Sakkal Majalla" w:cs="Sakkal Majalla"/>
          <w:i/>
          <w:iCs/>
          <w:sz w:val="28"/>
          <w:szCs w:val="28"/>
          <w:rtl/>
        </w:rPr>
        <w:fldChar w:fldCharType="begin"/>
      </w:r>
      <w:r w:rsidR="00B36D3B">
        <w:rPr>
          <w:rFonts w:ascii="Sakkal Majalla" w:hAnsi="Sakkal Majalla" w:cs="Sakkal Majalla"/>
          <w:i/>
          <w:iCs/>
          <w:sz w:val="28"/>
          <w:szCs w:val="28"/>
          <w:rtl/>
        </w:rPr>
        <w:instrText xml:space="preserve"> </w:instrText>
      </w:r>
      <w:r w:rsidR="00B36D3B">
        <w:rPr>
          <w:rFonts w:ascii="Sakkal Majalla" w:hAnsi="Sakkal Majalla" w:cs="Sakkal Majalla"/>
          <w:i/>
          <w:iCs/>
          <w:sz w:val="28"/>
          <w:szCs w:val="28"/>
        </w:rPr>
        <w:instrText>ADDIN EN.CITE &lt;EndNote&gt;&lt;Cite&gt;&lt;Author&gt;ten Berge&lt;/Author&gt;&lt;Year&gt;2025&lt;/Year&gt;&lt;RecNum&gt;274&lt;/RecNum&gt;&lt;DisplayText&gt;(ten Berge, 2025)&lt;/DisplayText&gt;&lt;record&gt;&lt;rec-number&gt;274&lt;/rec-number&gt;&lt;foreign-keys&gt;&lt;key app="EN" db-id="02retxxrerxdxhe9aphvs0z2t9z25p0ew99s" timestamp</w:instrText>
      </w:r>
      <w:r w:rsidR="00B36D3B">
        <w:rPr>
          <w:rFonts w:ascii="Sakkal Majalla" w:hAnsi="Sakkal Majalla" w:cs="Sakkal Majalla"/>
          <w:i/>
          <w:iCs/>
          <w:sz w:val="28"/>
          <w:szCs w:val="28"/>
          <w:rtl/>
        </w:rPr>
        <w:instrText>="1781806901"&gt;274&lt;/</w:instrText>
      </w:r>
      <w:r w:rsidR="00B36D3B">
        <w:rPr>
          <w:rFonts w:ascii="Sakkal Majalla" w:hAnsi="Sakkal Majalla" w:cs="Sakkal Majalla"/>
          <w:i/>
          <w:iCs/>
          <w:sz w:val="28"/>
          <w:szCs w:val="28"/>
        </w:rPr>
        <w:instrText>key&gt;&lt;/foreign-keys&gt;&lt;ref-type name="Journal Article"&gt;17&lt;/ref-type&gt;&lt;contributors&gt;&lt;authors&gt;&lt;author&gt;ten Berge, Jos M. F.&lt;/author&gt;&lt;/authors&gt;&lt;/contributors&gt;&lt;titles&gt;&lt;title&gt;J. C. Nunnally and I. H. Bernstein. Psychometric Theory. New York: McGraw-Hill, 1994, xxiv+752 pages, £51.95&lt;/title&gt;&lt;secondary-title&gt;Psychometrika&lt;/secondary-title&gt;&lt;/titles&gt;&lt;periodical&gt;&lt;full-title&gt;Psychometrika&lt;/full-title&gt;&lt;/periodical&gt;&lt;pages&gt;313-315&lt;/pages&gt;&lt;volume&gt;60&lt;/volume&gt;&lt;number&gt;2&lt;/number&gt;&lt;section&gt;313&lt;/section&gt;&lt;dates&gt;&lt;year&gt;2025&lt;/year&gt;&lt;pub-dates&gt;&lt;date&gt;01/01&lt;/date&gt;&lt;/pub-dates&gt;&lt;/dates&gt;&lt;isbn&gt;0033-3123&amp;#xD;1860-0980&lt;/isbn&gt;&lt;urls&gt;&lt;/urls&gt;&lt;electronic-resource-num&gt;10.1007/bf02301419&lt;/electronic-resource-num&gt;&lt;/record&gt;&lt;/Cite&gt;&lt;/EndNote</w:instrText>
      </w:r>
      <w:r w:rsidR="00B36D3B">
        <w:rPr>
          <w:rFonts w:ascii="Sakkal Majalla" w:hAnsi="Sakkal Majalla" w:cs="Sakkal Majalla"/>
          <w:i/>
          <w:iCs/>
          <w:sz w:val="28"/>
          <w:szCs w:val="28"/>
          <w:rtl/>
        </w:rPr>
        <w:instrText>&gt;</w:instrText>
      </w:r>
      <w:r w:rsidR="00B36D3B">
        <w:rPr>
          <w:rFonts w:ascii="Sakkal Majalla" w:hAnsi="Sakkal Majalla" w:cs="Sakkal Majalla"/>
          <w:i/>
          <w:iCs/>
          <w:sz w:val="28"/>
          <w:szCs w:val="28"/>
          <w:rtl/>
        </w:rPr>
        <w:fldChar w:fldCharType="separate"/>
      </w:r>
      <w:r w:rsidR="00B36D3B">
        <w:rPr>
          <w:rFonts w:ascii="Sakkal Majalla" w:hAnsi="Sakkal Majalla" w:cs="Sakkal Majalla"/>
          <w:i/>
          <w:iCs/>
          <w:noProof/>
          <w:sz w:val="28"/>
          <w:szCs w:val="28"/>
          <w:rtl/>
        </w:rPr>
        <w:t>(</w:t>
      </w:r>
      <w:r w:rsidR="00B36D3B">
        <w:rPr>
          <w:rFonts w:ascii="Sakkal Majalla" w:hAnsi="Sakkal Majalla" w:cs="Sakkal Majalla"/>
          <w:i/>
          <w:iCs/>
          <w:noProof/>
          <w:sz w:val="28"/>
          <w:szCs w:val="28"/>
        </w:rPr>
        <w:t>ten Berge, 2025</w:t>
      </w:r>
      <w:r w:rsidR="00B36D3B">
        <w:rPr>
          <w:rFonts w:ascii="Sakkal Majalla" w:hAnsi="Sakkal Majalla" w:cs="Sakkal Majalla"/>
          <w:i/>
          <w:iCs/>
          <w:noProof/>
          <w:sz w:val="28"/>
          <w:szCs w:val="28"/>
          <w:rtl/>
        </w:rPr>
        <w:t>)</w:t>
      </w:r>
      <w:r w:rsidR="00B36D3B">
        <w:rPr>
          <w:rFonts w:ascii="Sakkal Majalla" w:hAnsi="Sakkal Majalla" w:cs="Sakkal Majalla"/>
          <w:i/>
          <w:iCs/>
          <w:sz w:val="28"/>
          <w:szCs w:val="28"/>
          <w:rtl/>
        </w:rPr>
        <w:fldChar w:fldCharType="end"/>
      </w:r>
      <w:r w:rsidRPr="00583CD0">
        <w:rPr>
          <w:rFonts w:ascii="Sakkal Majalla" w:hAnsi="Sakkal Majalla" w:cs="Sakkal Majalla"/>
          <w:i/>
          <w:iCs/>
          <w:sz w:val="28"/>
          <w:szCs w:val="28"/>
          <w:rtl/>
        </w:rPr>
        <w:t>.</w:t>
      </w:r>
    </w:p>
    <w:p w14:paraId="4F318DEF" w14:textId="77777777" w:rsidR="00BE1BA2" w:rsidRPr="00875EB7" w:rsidRDefault="00BE1BA2" w:rsidP="00BE1BA2">
      <w:pPr>
        <w:pStyle w:val="1"/>
        <w:bidi/>
        <w:rPr>
          <w:rFonts w:ascii="Sakkal Majalla" w:hAnsi="Sakkal Majalla" w:cs="Sakkal Majalla"/>
          <w:b/>
          <w:bCs/>
          <w:color w:val="auto"/>
        </w:rPr>
      </w:pPr>
      <w:r w:rsidRPr="00875EB7">
        <w:rPr>
          <w:rFonts w:ascii="Sakkal Majalla" w:eastAsia="Arial" w:hAnsi="Sakkal Majalla" w:cs="Sakkal Majalla"/>
          <w:b/>
          <w:bCs/>
          <w:color w:val="auto"/>
          <w:rtl/>
        </w:rPr>
        <w:t>3.</w:t>
      </w:r>
      <w:r w:rsidRPr="00875EB7">
        <w:rPr>
          <w:rFonts w:ascii="Sakkal Majalla" w:hAnsi="Sakkal Majalla" w:cs="Sakkal Majalla"/>
          <w:b/>
          <w:bCs/>
          <w:color w:val="auto"/>
          <w:rtl/>
        </w:rPr>
        <w:t>6 ترجمة الاستبانة والتكييف الثقافي</w:t>
      </w:r>
    </w:p>
    <w:p w14:paraId="3B1EF14D" w14:textId="6B937F9F" w:rsidR="00BE1BA2" w:rsidRDefault="00447A10" w:rsidP="00447A10">
      <w:pPr>
        <w:bidi/>
        <w:spacing w:after="140" w:line="340" w:lineRule="auto"/>
        <w:jc w:val="both"/>
        <w:rPr>
          <w:rFonts w:ascii="Sakkal Majalla" w:hAnsi="Sakkal Majalla" w:cs="Sakkal Majalla"/>
          <w:sz w:val="28"/>
          <w:szCs w:val="28"/>
          <w:rtl/>
        </w:rPr>
      </w:pPr>
      <w:r w:rsidRPr="00447A10">
        <w:rPr>
          <w:rFonts w:ascii="Sakkal Majalla" w:hAnsi="Sakkal Majalla" w:cs="Sakkal Majalla"/>
          <w:sz w:val="28"/>
          <w:szCs w:val="28"/>
          <w:rtl/>
        </w:rPr>
        <w:t>لضمان الدقة اللغوية وملاءمة أدوات الدراسة للسياق العربي، تم تطبيق أسلوب الترجمة العكسية</w:t>
      </w:r>
      <w:r w:rsidRPr="00447A10">
        <w:rPr>
          <w:rFonts w:ascii="Sakkal Majalla" w:hAnsi="Sakkal Majalla" w:cs="Sakkal Majalla"/>
          <w:sz w:val="28"/>
          <w:szCs w:val="28"/>
        </w:rPr>
        <w:t xml:space="preserve"> (Back-Translation) </w:t>
      </w:r>
      <w:r w:rsidRPr="00447A10">
        <w:rPr>
          <w:rFonts w:ascii="Sakkal Majalla" w:hAnsi="Sakkal Majalla" w:cs="Sakkal Majalla"/>
          <w:sz w:val="28"/>
          <w:szCs w:val="28"/>
          <w:rtl/>
        </w:rPr>
        <w:t>على مقياس القيادة التحويلية </w:t>
      </w:r>
      <w:r w:rsidRPr="00447A10">
        <w:rPr>
          <w:rFonts w:ascii="Sakkal Majalla" w:hAnsi="Sakkal Majalla" w:cs="Sakkal Majalla"/>
          <w:b/>
          <w:bCs/>
          <w:sz w:val="28"/>
          <w:szCs w:val="28"/>
        </w:rPr>
        <w:t>TLI</w:t>
      </w:r>
      <w:r w:rsidRPr="00447A10">
        <w:rPr>
          <w:rFonts w:ascii="Sakkal Majalla" w:hAnsi="Sakkal Majalla" w:cs="Sakkal Majalla"/>
          <w:sz w:val="28"/>
          <w:szCs w:val="28"/>
          <w:rtl/>
        </w:rPr>
        <w:t>، ومقياس ثقافة سلامة المرضى </w:t>
      </w:r>
      <w:r w:rsidRPr="00447A10">
        <w:rPr>
          <w:rFonts w:ascii="Sakkal Majalla" w:hAnsi="Sakkal Majalla" w:cs="Sakkal Majalla"/>
          <w:b/>
          <w:bCs/>
          <w:sz w:val="28"/>
          <w:szCs w:val="28"/>
        </w:rPr>
        <w:t>HSOPSC</w:t>
      </w:r>
      <w:r w:rsidRPr="00447A10">
        <w:rPr>
          <w:rFonts w:ascii="Sakkal Majalla" w:hAnsi="Sakkal Majalla" w:cs="Sakkal Majalla"/>
          <w:sz w:val="28"/>
          <w:szCs w:val="28"/>
          <w:rtl/>
        </w:rPr>
        <w:t>، وبقية أدوات الدراسة، ثم عرض النسخة العربية على مختصين للتحقق من وضوح الصياغة وسلامة المعنى</w:t>
      </w:r>
      <w:r w:rsidR="00BE1BA2" w:rsidRPr="00583CD0">
        <w:rPr>
          <w:rFonts w:ascii="Sakkal Majalla" w:hAnsi="Sakkal Majalla" w:cs="Sakkal Majalla"/>
          <w:sz w:val="28"/>
          <w:szCs w:val="28"/>
          <w:rtl/>
        </w:rPr>
        <w:t>. في المرحلة الأولى، قام مترجمان مستقلان ومتأهلان بترجمة الاستبانة من الإنجليزية إلى العربية، مع التركيز على المعنى المفهوم بدلاً من الترجمة الحرفية، مع مراعاة الخصوصية الثقافية والمهنية للسياق الصحي في السعودية. بعد ذلك، قامت لجنة مكونة من ثلاثة خبراء (اثنان في الإدارة الصحية وواحد في اللغويات) بمراجعة الترجمتين للاتفاق على نسخة عربية موحدة تجمع بين الدقة في المعنى وسلاسة اللغة. تلت ذلك، قام مترجم ثالث مستقل، لم يطلع على النص الأصلي، بترجمة النسخة العربية إلى الإنجليزية، ثم قورنت مع النص الأصلي لتحديد أي اختلاف في المعنى ومعالجته، مما أدى إلى بعض التعديلات الج</w:t>
      </w:r>
      <w:r>
        <w:rPr>
          <w:rFonts w:ascii="Sakkal Majalla" w:hAnsi="Sakkal Majalla" w:cs="Sakkal Majalla" w:hint="cs"/>
          <w:sz w:val="28"/>
          <w:szCs w:val="28"/>
          <w:rtl/>
        </w:rPr>
        <w:t>زئية</w:t>
      </w:r>
      <w:r w:rsidR="00BE1BA2" w:rsidRPr="00583CD0">
        <w:rPr>
          <w:rFonts w:ascii="Sakkal Majalla" w:hAnsi="Sakkal Majalla" w:cs="Sakkal Majalla"/>
          <w:sz w:val="28"/>
          <w:szCs w:val="28"/>
          <w:rtl/>
        </w:rPr>
        <w:t xml:space="preserve"> لضمان الوضوح والدقة.</w:t>
      </w:r>
    </w:p>
    <w:p w14:paraId="2D1BEAE5" w14:textId="4AC08E1F" w:rsidR="00BE1BA2" w:rsidRPr="00875EB7" w:rsidRDefault="00BE1BA2" w:rsidP="00BE1BA2">
      <w:pPr>
        <w:pStyle w:val="1"/>
        <w:bidi/>
        <w:rPr>
          <w:rFonts w:ascii="Sakkal Majalla" w:hAnsi="Sakkal Majalla" w:cs="Sakkal Majalla"/>
          <w:b/>
          <w:bCs/>
          <w:color w:val="auto"/>
        </w:rPr>
      </w:pPr>
      <w:r w:rsidRPr="00875EB7">
        <w:rPr>
          <w:rFonts w:ascii="Sakkal Majalla" w:eastAsia="Arial" w:hAnsi="Sakkal Majalla" w:cs="Sakkal Majalla"/>
          <w:b/>
          <w:bCs/>
          <w:color w:val="auto"/>
          <w:rtl/>
        </w:rPr>
        <w:t>3</w:t>
      </w:r>
      <w:r w:rsidR="00875EB7" w:rsidRPr="00875EB7">
        <w:rPr>
          <w:rFonts w:ascii="Sakkal Majalla" w:eastAsia="Arial" w:hAnsi="Sakkal Majalla" w:cs="Sakkal Majalla" w:hint="cs"/>
          <w:b/>
          <w:bCs/>
          <w:color w:val="auto"/>
          <w:rtl/>
        </w:rPr>
        <w:t>.7.</w:t>
      </w:r>
      <w:r w:rsidR="00875EB7" w:rsidRPr="00875EB7">
        <w:rPr>
          <w:rFonts w:ascii="Sakkal Majalla" w:hAnsi="Sakkal Majalla" w:cs="Sakkal Majalla" w:hint="cs"/>
          <w:b/>
          <w:bCs/>
          <w:color w:val="auto"/>
          <w:rtl/>
        </w:rPr>
        <w:t xml:space="preserve"> صد</w:t>
      </w:r>
      <w:r w:rsidR="00875EB7" w:rsidRPr="00875EB7">
        <w:rPr>
          <w:rFonts w:ascii="Sakkal Majalla" w:hAnsi="Sakkal Majalla" w:cs="Sakkal Majalla" w:hint="eastAsia"/>
          <w:b/>
          <w:bCs/>
          <w:color w:val="auto"/>
          <w:rtl/>
        </w:rPr>
        <w:t>ق</w:t>
      </w:r>
      <w:r w:rsidRPr="00875EB7">
        <w:rPr>
          <w:rFonts w:ascii="Sakkal Majalla" w:hAnsi="Sakkal Majalla" w:cs="Sakkal Majalla"/>
          <w:b/>
          <w:bCs/>
          <w:color w:val="auto"/>
          <w:rtl/>
        </w:rPr>
        <w:t xml:space="preserve"> أدوات الدراسة</w:t>
      </w:r>
    </w:p>
    <w:p w14:paraId="230F1774" w14:textId="3E852494"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يُعدّ الصدق من أهم الخصائص </w:t>
      </w:r>
      <w:proofErr w:type="spellStart"/>
      <w:r w:rsidRPr="00583CD0">
        <w:rPr>
          <w:rFonts w:ascii="Sakkal Majalla" w:hAnsi="Sakkal Majalla" w:cs="Sakkal Majalla"/>
          <w:sz w:val="28"/>
          <w:szCs w:val="28"/>
          <w:rtl/>
        </w:rPr>
        <w:t>السيكومترية</w:t>
      </w:r>
      <w:proofErr w:type="spellEnd"/>
      <w:r w:rsidRPr="00583CD0">
        <w:rPr>
          <w:rFonts w:ascii="Sakkal Majalla" w:hAnsi="Sakkal Majalla" w:cs="Sakkal Majalla"/>
          <w:sz w:val="28"/>
          <w:szCs w:val="28"/>
          <w:rtl/>
        </w:rPr>
        <w:t xml:space="preserve">، إذ يشير إلى مدى قياس الأداة لما صُمّمت لقياسه فعلًا </w:t>
      </w:r>
      <w:r w:rsidR="000C2D81">
        <w:rPr>
          <w:rFonts w:ascii="Sakkal Majalla" w:hAnsi="Sakkal Majalla" w:cs="Sakkal Majalla"/>
          <w:sz w:val="28"/>
          <w:szCs w:val="28"/>
          <w:rtl/>
        </w:rPr>
        <w:fldChar w:fldCharType="begin"/>
      </w:r>
      <w:r w:rsidR="000C2D81">
        <w:rPr>
          <w:rFonts w:ascii="Sakkal Majalla" w:hAnsi="Sakkal Majalla" w:cs="Sakkal Majalla"/>
          <w:sz w:val="28"/>
          <w:szCs w:val="28"/>
          <w:rtl/>
        </w:rPr>
        <w:instrText xml:space="preserve"> </w:instrText>
      </w:r>
      <w:r w:rsidR="000C2D81">
        <w:rPr>
          <w:rFonts w:ascii="Sakkal Majalla" w:hAnsi="Sakkal Majalla" w:cs="Sakkal Majalla"/>
          <w:sz w:val="28"/>
          <w:szCs w:val="28"/>
        </w:rPr>
        <w:instrText>ADDIN EN.CITE &lt;EndNote&gt;&lt;Cite&gt;&lt;Author&gt;Sekaran&lt;/Author&gt;&lt;Year&gt;2016&lt;/Year&gt;&lt;RecNum&gt;277&lt;/RecNum&gt;&lt;DisplayText&gt;(Sekaran, 2016)&lt;/DisplayText&gt;&lt;record&gt;&lt;rec-number&gt;277&lt;/rec-number&gt;&lt;foreign-keys&gt;&lt;key app="EN" db-id="02retxxrerxdxhe9aphvs0z2t9z25p0ew99s" timestamp="17</w:instrText>
      </w:r>
      <w:r w:rsidR="000C2D81">
        <w:rPr>
          <w:rFonts w:ascii="Sakkal Majalla" w:hAnsi="Sakkal Majalla" w:cs="Sakkal Majalla"/>
          <w:sz w:val="28"/>
          <w:szCs w:val="28"/>
          <w:rtl/>
        </w:rPr>
        <w:instrText>81807781"&gt;277&lt;/</w:instrText>
      </w:r>
      <w:r w:rsidR="000C2D81">
        <w:rPr>
          <w:rFonts w:ascii="Sakkal Majalla" w:hAnsi="Sakkal Majalla" w:cs="Sakkal Majalla"/>
          <w:sz w:val="28"/>
          <w:szCs w:val="28"/>
        </w:rPr>
        <w:instrText>key&gt;&lt;/foreign-keys&gt;&lt;ref-type name="Generic"&gt;13&lt;/ref-type&gt;&lt;contributors&gt;&lt;authors&gt;&lt;author&gt;Sekaran, U&lt;/author&gt;&lt;/authors&gt;&lt;/contributors&gt;&lt;titles&gt;&lt;title&gt;Research methods for business: A skill building approach&lt;/title&gt;&lt;/titles&gt;&lt;dates&gt;&lt;year&gt;2016&lt;/year&gt;&lt;/dates&gt;&lt;publisher&gt;John Wiley &amp;amp; Sons&lt;/publisher&gt;&lt;urls&gt;&lt;/urls&gt;&lt;/record&gt;&lt;/Cite&gt;&lt;/EndNote</w:instrText>
      </w:r>
      <w:r w:rsidR="000C2D81">
        <w:rPr>
          <w:rFonts w:ascii="Sakkal Majalla" w:hAnsi="Sakkal Majalla" w:cs="Sakkal Majalla"/>
          <w:sz w:val="28"/>
          <w:szCs w:val="28"/>
          <w:rtl/>
        </w:rPr>
        <w:instrText>&gt;</w:instrText>
      </w:r>
      <w:r w:rsidR="000C2D81">
        <w:rPr>
          <w:rFonts w:ascii="Sakkal Majalla" w:hAnsi="Sakkal Majalla" w:cs="Sakkal Majalla"/>
          <w:sz w:val="28"/>
          <w:szCs w:val="28"/>
          <w:rtl/>
        </w:rPr>
        <w:fldChar w:fldCharType="separate"/>
      </w:r>
      <w:r w:rsidR="000C2D81">
        <w:rPr>
          <w:rFonts w:ascii="Sakkal Majalla" w:hAnsi="Sakkal Majalla" w:cs="Sakkal Majalla"/>
          <w:noProof/>
          <w:sz w:val="28"/>
          <w:szCs w:val="28"/>
          <w:rtl/>
        </w:rPr>
        <w:t>(</w:t>
      </w:r>
      <w:r w:rsidR="000C2D81">
        <w:rPr>
          <w:rFonts w:ascii="Sakkal Majalla" w:hAnsi="Sakkal Majalla" w:cs="Sakkal Majalla"/>
          <w:noProof/>
          <w:sz w:val="28"/>
          <w:szCs w:val="28"/>
        </w:rPr>
        <w:t>Sekaran, 2016</w:t>
      </w:r>
      <w:r w:rsidR="000C2D81">
        <w:rPr>
          <w:rFonts w:ascii="Sakkal Majalla" w:hAnsi="Sakkal Majalla" w:cs="Sakkal Majalla"/>
          <w:noProof/>
          <w:sz w:val="28"/>
          <w:szCs w:val="28"/>
          <w:rtl/>
        </w:rPr>
        <w:t>)</w:t>
      </w:r>
      <w:r w:rsidR="000C2D81">
        <w:rPr>
          <w:rFonts w:ascii="Sakkal Majalla" w:hAnsi="Sakkal Majalla" w:cs="Sakkal Majalla"/>
          <w:sz w:val="28"/>
          <w:szCs w:val="28"/>
          <w:rtl/>
        </w:rPr>
        <w:fldChar w:fldCharType="end"/>
      </w:r>
      <w:r w:rsidRPr="00583CD0">
        <w:rPr>
          <w:rFonts w:ascii="Sakkal Majalla" w:hAnsi="Sakkal Majalla" w:cs="Sakkal Majalla"/>
          <w:sz w:val="28"/>
          <w:szCs w:val="28"/>
          <w:rtl/>
        </w:rPr>
        <w:t>، وقد تحقّق الباحث من خلال مؤشراتٍ عدة.</w:t>
      </w:r>
    </w:p>
    <w:p w14:paraId="150382D4"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3.7.1 صدق</w:t>
      </w:r>
      <w:r w:rsidRPr="00875EB7">
        <w:rPr>
          <w:rFonts w:ascii="Sakkal Majalla" w:eastAsia="Arial" w:hAnsi="Sakkal Majalla" w:cs="Sakkal Majalla"/>
          <w:b/>
          <w:bCs/>
          <w:color w:val="auto"/>
          <w:sz w:val="28"/>
          <w:szCs w:val="28"/>
          <w:rtl/>
        </w:rPr>
        <w:t xml:space="preserve"> المحتوى</w:t>
      </w:r>
    </w:p>
    <w:p w14:paraId="42BEAFA5"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للتحقق من صدق المحتوى، عُرضت الاستبانة في صورتها الأولية على عشرة محكمين من أعضاء هيئة التدريس في تخصصات إدارة الأعمال والإدارة الصحية والإحصاء التطبيقي والقياس والتقويم في عدد من الجامعات والمؤسسات البحثية السعودية. وطُلب منهم تقييم كل فقرة من حيث وضوح صياغتها اللغوية، ومدى انتمائها إلى البُعد الذي تنتمي إليه، وملاءمتها لقياس ما صُممت له، ومناسبتها لبيئة العمل الصحية في المملكة، مع إبداء أي ملاحظات للتعديل أو الحذف أو الإضافة. واعتُمد اتفاق 80% من المحكمين على مناسبة الفقرة حدًا أدنى </w:t>
      </w:r>
      <w:proofErr w:type="spellStart"/>
      <w:r w:rsidRPr="00583CD0">
        <w:rPr>
          <w:rFonts w:ascii="Sakkal Majalla" w:hAnsi="Sakkal Majalla" w:cs="Sakkal Majalla"/>
          <w:sz w:val="28"/>
          <w:szCs w:val="28"/>
          <w:rtl/>
        </w:rPr>
        <w:t>لإ</w:t>
      </w:r>
      <w:proofErr w:type="spellEnd"/>
      <w:r w:rsidRPr="00583CD0">
        <w:rPr>
          <w:rFonts w:ascii="Sakkal Majalla" w:hAnsi="Sakkal Majalla" w:cs="Sakkal Majalla"/>
          <w:sz w:val="28"/>
          <w:szCs w:val="28"/>
          <w:rtl/>
        </w:rPr>
        <w:t xml:space="preserve"> قرارها. وبناءً على ملاحظاتهم، أُعيدت صياغة بعض الفقرات لتكون أوضح وأنسب للسياق المحلي، وعُدّلت بعض المصطلحات لتتوافق مع المتداول في المستشفيات السعودية، وحُذفت فقرتان لم تبلغا نسبة الاتفاق المطلوبة واستُبدلتا بأخريين أكثر ملاءمة، لتسفر العملية عن استبانة نهائية تتمتع بدرجة عالية من صدق المحتوى.</w:t>
      </w:r>
    </w:p>
    <w:p w14:paraId="2865225D"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lastRenderedPageBreak/>
        <w:t>3.7.2 صدق</w:t>
      </w:r>
      <w:r w:rsidRPr="00875EB7">
        <w:rPr>
          <w:rFonts w:ascii="Sakkal Majalla" w:eastAsia="Arial" w:hAnsi="Sakkal Majalla" w:cs="Sakkal Majalla"/>
          <w:b/>
          <w:bCs/>
          <w:color w:val="auto"/>
          <w:sz w:val="28"/>
          <w:szCs w:val="28"/>
          <w:rtl/>
        </w:rPr>
        <w:t xml:space="preserve"> البناء</w:t>
      </w:r>
    </w:p>
    <w:p w14:paraId="4AE3FFF5" w14:textId="5C8DAA2C" w:rsidR="00BE1BA2" w:rsidRPr="00583CD0" w:rsidRDefault="00BE1BA2" w:rsidP="00681599">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يشير صدق البناء إلى مدى تمثيل فقرات المقياس للمفهوم النظري المراد قياسه (</w:t>
      </w:r>
      <w:r w:rsidRPr="00583CD0">
        <w:rPr>
          <w:rFonts w:ascii="Sakkal Majalla" w:hAnsi="Sakkal Majalla" w:cs="Sakkal Majalla"/>
          <w:sz w:val="28"/>
          <w:szCs w:val="28"/>
        </w:rPr>
        <w:t>Hair et al., 2019</w:t>
      </w:r>
      <w:r w:rsidRPr="00583CD0">
        <w:rPr>
          <w:rFonts w:ascii="Sakkal Majalla" w:hAnsi="Sakkal Majalla" w:cs="Sakkal Majalla"/>
          <w:sz w:val="28"/>
          <w:szCs w:val="28"/>
          <w:rtl/>
        </w:rPr>
        <w:t>)، وقد تحقّق منه الباحث عبر التحليل العاملي بنوعيه الاستكشافي والتوكيدي. أمّا التحليل العاملي الاستكشافي (</w:t>
      </w:r>
      <w:r w:rsidRPr="00583CD0">
        <w:rPr>
          <w:rFonts w:ascii="Sakkal Majalla" w:hAnsi="Sakkal Majalla" w:cs="Sakkal Majalla"/>
          <w:sz w:val="28"/>
          <w:szCs w:val="28"/>
        </w:rPr>
        <w:t>EFA</w:t>
      </w:r>
      <w:r w:rsidRPr="00583CD0">
        <w:rPr>
          <w:rFonts w:ascii="Sakkal Majalla" w:hAnsi="Sakkal Majalla" w:cs="Sakkal Majalla"/>
          <w:sz w:val="28"/>
          <w:szCs w:val="28"/>
          <w:rtl/>
        </w:rPr>
        <w:t xml:space="preserve">) فقد اقتصر تطبيقه على المقياسين المطوّرين من الباحث (سلوكيات السلامة وتقليل الأحداث الضارة) باعتبارهما حديثَي البناء لم تُختبر بنيتهما </w:t>
      </w:r>
      <w:proofErr w:type="spellStart"/>
      <w:r w:rsidRPr="00583CD0">
        <w:rPr>
          <w:rFonts w:ascii="Sakkal Majalla" w:hAnsi="Sakkal Majalla" w:cs="Sakkal Majalla"/>
          <w:sz w:val="28"/>
          <w:szCs w:val="28"/>
          <w:rtl/>
        </w:rPr>
        <w:t>العاملية</w:t>
      </w:r>
      <w:proofErr w:type="spellEnd"/>
      <w:r w:rsidRPr="00583CD0">
        <w:rPr>
          <w:rFonts w:ascii="Sakkal Majalla" w:hAnsi="Sakkal Majalla" w:cs="Sakkal Majalla"/>
          <w:sz w:val="28"/>
          <w:szCs w:val="28"/>
          <w:rtl/>
        </w:rPr>
        <w:t xml:space="preserve"> من قبل، في حين اعتُمدت البنية </w:t>
      </w:r>
      <w:proofErr w:type="spellStart"/>
      <w:r w:rsidRPr="00583CD0">
        <w:rPr>
          <w:rFonts w:ascii="Sakkal Majalla" w:hAnsi="Sakkal Majalla" w:cs="Sakkal Majalla"/>
          <w:sz w:val="28"/>
          <w:szCs w:val="28"/>
          <w:rtl/>
        </w:rPr>
        <w:t>العاملية</w:t>
      </w:r>
      <w:proofErr w:type="spellEnd"/>
      <w:r w:rsidRPr="00583CD0">
        <w:rPr>
          <w:rFonts w:ascii="Sakkal Majalla" w:hAnsi="Sakkal Majalla" w:cs="Sakkal Majalla"/>
          <w:sz w:val="28"/>
          <w:szCs w:val="28"/>
          <w:rtl/>
        </w:rPr>
        <w:t xml:space="preserve"> المعروفة للمقياسين المؤسَّسين (</w:t>
      </w:r>
      <w:r w:rsidR="00681599" w:rsidRPr="00681599">
        <w:rPr>
          <w:rFonts w:ascii="Sakkal Majalla" w:hAnsi="Sakkal Majalla" w:cs="Sakkal Majalla"/>
          <w:sz w:val="28"/>
          <w:szCs w:val="28"/>
        </w:rPr>
        <w:t>TLI</w:t>
      </w:r>
      <w:r w:rsidRPr="00583CD0">
        <w:rPr>
          <w:rFonts w:ascii="Sakkal Majalla" w:hAnsi="Sakkal Majalla" w:cs="Sakkal Majalla"/>
          <w:sz w:val="28"/>
          <w:szCs w:val="28"/>
          <w:rtl/>
        </w:rPr>
        <w:t xml:space="preserve"> و</w:t>
      </w:r>
      <w:r w:rsidRPr="00583CD0">
        <w:rPr>
          <w:rFonts w:ascii="Sakkal Majalla" w:hAnsi="Sakkal Majalla" w:cs="Sakkal Majalla"/>
          <w:sz w:val="28"/>
          <w:szCs w:val="28"/>
        </w:rPr>
        <w:t>HSOPSC</w:t>
      </w:r>
      <w:r w:rsidRPr="00583CD0">
        <w:rPr>
          <w:rFonts w:ascii="Sakkal Majalla" w:hAnsi="Sakkal Majalla" w:cs="Sakkal Majalla"/>
          <w:sz w:val="28"/>
          <w:szCs w:val="28"/>
          <w:rtl/>
        </w:rPr>
        <w:t>) التي يكفي التحقق منها توكيديًا. وأُجري التحليل الاستكشافي على بيانات العينة الاستطلاعية بطريقة المكونات الرئيسة مع التدوير المتعامد (</w:t>
      </w:r>
      <w:r w:rsidRPr="00583CD0">
        <w:rPr>
          <w:rFonts w:ascii="Sakkal Majalla" w:hAnsi="Sakkal Majalla" w:cs="Sakkal Majalla"/>
          <w:sz w:val="28"/>
          <w:szCs w:val="28"/>
        </w:rPr>
        <w:t>Varimax</w:t>
      </w:r>
      <w:r w:rsidRPr="00583CD0">
        <w:rPr>
          <w:rFonts w:ascii="Sakkal Majalla" w:hAnsi="Sakkal Majalla" w:cs="Sakkal Majalla"/>
          <w:sz w:val="28"/>
          <w:szCs w:val="28"/>
          <w:rtl/>
        </w:rPr>
        <w:t xml:space="preserve">)، بعد التأكد من ملاءمة البيانات عبر اختبار </w:t>
      </w:r>
      <w:r w:rsidRPr="00583CD0">
        <w:rPr>
          <w:rFonts w:ascii="Sakkal Majalla" w:hAnsi="Sakkal Majalla" w:cs="Sakkal Majalla"/>
          <w:sz w:val="28"/>
          <w:szCs w:val="28"/>
        </w:rPr>
        <w:t>Kaiser–Meyer–Olkin</w:t>
      </w:r>
      <w:r w:rsidRPr="00583CD0">
        <w:rPr>
          <w:rFonts w:ascii="Sakkal Majalla" w:hAnsi="Sakkal Majalla" w:cs="Sakkal Majalla"/>
          <w:sz w:val="28"/>
          <w:szCs w:val="28"/>
          <w:rtl/>
        </w:rPr>
        <w:t xml:space="preserve"> (بقيمةٍ تفوق 0.60) واختبار </w:t>
      </w:r>
      <w:r w:rsidRPr="00583CD0">
        <w:rPr>
          <w:rFonts w:ascii="Sakkal Majalla" w:hAnsi="Sakkal Majalla" w:cs="Sakkal Majalla"/>
          <w:sz w:val="28"/>
          <w:szCs w:val="28"/>
        </w:rPr>
        <w:t>Bartlett</w:t>
      </w:r>
      <w:r w:rsidRPr="00583CD0">
        <w:rPr>
          <w:rFonts w:ascii="Sakkal Majalla" w:hAnsi="Sakkal Majalla" w:cs="Sakkal Majalla"/>
          <w:sz w:val="28"/>
          <w:szCs w:val="28"/>
          <w:rtl/>
        </w:rPr>
        <w:t xml:space="preserve"> للكروية (بدلالةٍ إحصائية). ومع ذلك يُقرّ الباحث بأن حجم العينة الاستطلاعية يُمثّل قيدًا على نتائج هذا التحليل، ولذا عُومِلت نتائجه بوصفها مؤشراتً أوليةً جرى التحقق منها لاحقًا توكيديًا على العينة الكلية.</w:t>
      </w:r>
    </w:p>
    <w:p w14:paraId="27DF405C" w14:textId="05979C9A" w:rsidR="00BE1BA2" w:rsidRPr="00583CD0" w:rsidRDefault="00BE1BA2" w:rsidP="00BE1BA2">
      <w:pPr>
        <w:bidi/>
        <w:spacing w:after="140" w:line="340" w:lineRule="auto"/>
        <w:jc w:val="both"/>
        <w:rPr>
          <w:rFonts w:ascii="Sakkal Majalla" w:hAnsi="Sakkal Majalla" w:cs="Sakkal Majalla"/>
          <w:sz w:val="28"/>
          <w:szCs w:val="28"/>
          <w:rtl/>
        </w:rPr>
      </w:pPr>
      <w:r w:rsidRPr="00583CD0">
        <w:rPr>
          <w:rFonts w:ascii="Sakkal Majalla" w:hAnsi="Sakkal Majalla" w:cs="Sakkal Majalla"/>
          <w:sz w:val="28"/>
          <w:szCs w:val="28"/>
          <w:rtl/>
        </w:rPr>
        <w:t>وأُجري التحليل العاملي التوكيدي (</w:t>
      </w:r>
      <w:r w:rsidRPr="00583CD0">
        <w:rPr>
          <w:rFonts w:ascii="Sakkal Majalla" w:hAnsi="Sakkal Majalla" w:cs="Sakkal Majalla"/>
          <w:sz w:val="28"/>
          <w:szCs w:val="28"/>
        </w:rPr>
        <w:t>CFA</w:t>
      </w:r>
      <w:r w:rsidRPr="00583CD0">
        <w:rPr>
          <w:rFonts w:ascii="Sakkal Majalla" w:hAnsi="Sakkal Majalla" w:cs="Sakkal Majalla"/>
          <w:sz w:val="28"/>
          <w:szCs w:val="28"/>
          <w:rtl/>
        </w:rPr>
        <w:t xml:space="preserve">) على بيانات العينة الكلية لجميع المقاييس باستخدام برنامج </w:t>
      </w:r>
      <w:r w:rsidRPr="00583CD0">
        <w:rPr>
          <w:rFonts w:ascii="Sakkal Majalla" w:hAnsi="Sakkal Majalla" w:cs="Sakkal Majalla"/>
          <w:sz w:val="28"/>
          <w:szCs w:val="28"/>
        </w:rPr>
        <w:t>AMOS</w:t>
      </w:r>
      <w:r w:rsidRPr="00583CD0">
        <w:rPr>
          <w:rFonts w:ascii="Sakkal Majalla" w:hAnsi="Sakkal Majalla" w:cs="Sakkal Majalla"/>
          <w:sz w:val="28"/>
          <w:szCs w:val="28"/>
          <w:rtl/>
        </w:rPr>
        <w:t xml:space="preserve"> ضمن إطار النمذجة الهيكلية، للتحقق من البنية </w:t>
      </w:r>
      <w:proofErr w:type="spellStart"/>
      <w:r w:rsidRPr="00583CD0">
        <w:rPr>
          <w:rFonts w:ascii="Sakkal Majalla" w:hAnsi="Sakkal Majalla" w:cs="Sakkal Majalla"/>
          <w:sz w:val="28"/>
          <w:szCs w:val="28"/>
          <w:rtl/>
        </w:rPr>
        <w:t>العاملية</w:t>
      </w:r>
      <w:proofErr w:type="spellEnd"/>
      <w:r w:rsidRPr="00583CD0">
        <w:rPr>
          <w:rFonts w:ascii="Sakkal Majalla" w:hAnsi="Sakkal Majalla" w:cs="Sakkal Majalla"/>
          <w:sz w:val="28"/>
          <w:szCs w:val="28"/>
          <w:rtl/>
        </w:rPr>
        <w:t xml:space="preserve"> المفترضة لكل مقياس وجودة نموذج القياس، مع تقييم المطابقة عبر مؤشرات مربع كاي المعياري (</w:t>
      </w:r>
      <w:r w:rsidRPr="00583CD0">
        <w:rPr>
          <w:rFonts w:ascii="Cambria" w:hAnsi="Cambria" w:cs="Cambria"/>
          <w:sz w:val="28"/>
          <w:szCs w:val="28"/>
        </w:rPr>
        <w:t>χ</w:t>
      </w:r>
      <w:r w:rsidRPr="00583CD0">
        <w:rPr>
          <w:rFonts w:ascii="Sakkal Majalla" w:hAnsi="Sakkal Majalla" w:cs="Sakkal Majalla"/>
          <w:sz w:val="28"/>
          <w:szCs w:val="28"/>
        </w:rPr>
        <w:t>²/</w:t>
      </w:r>
      <w:proofErr w:type="spellStart"/>
      <w:r w:rsidRPr="00583CD0">
        <w:rPr>
          <w:rFonts w:ascii="Sakkal Majalla" w:hAnsi="Sakkal Majalla" w:cs="Sakkal Majalla"/>
          <w:sz w:val="28"/>
          <w:szCs w:val="28"/>
        </w:rPr>
        <w:t>df</w:t>
      </w:r>
      <w:proofErr w:type="spellEnd"/>
      <w:r w:rsidRPr="00583CD0">
        <w:rPr>
          <w:rFonts w:ascii="Sakkal Majalla" w:hAnsi="Sakkal Majalla" w:cs="Sakkal Majalla"/>
          <w:sz w:val="28"/>
          <w:szCs w:val="28"/>
          <w:rtl/>
        </w:rPr>
        <w:t>)، والمؤشر المقارن (</w:t>
      </w:r>
      <w:r w:rsidRPr="00583CD0">
        <w:rPr>
          <w:rFonts w:ascii="Sakkal Majalla" w:hAnsi="Sakkal Majalla" w:cs="Sakkal Majalla"/>
          <w:sz w:val="28"/>
          <w:szCs w:val="28"/>
        </w:rPr>
        <w:t>CFI</w:t>
      </w:r>
      <w:r w:rsidRPr="00583CD0">
        <w:rPr>
          <w:rFonts w:ascii="Sakkal Majalla" w:hAnsi="Sakkal Majalla" w:cs="Sakkal Majalla"/>
          <w:sz w:val="28"/>
          <w:szCs w:val="28"/>
          <w:rtl/>
        </w:rPr>
        <w:t xml:space="preserve">)، ومؤشر </w:t>
      </w:r>
      <w:r w:rsidRPr="00583CD0">
        <w:rPr>
          <w:rFonts w:ascii="Sakkal Majalla" w:hAnsi="Sakkal Majalla" w:cs="Sakkal Majalla"/>
          <w:sz w:val="28"/>
          <w:szCs w:val="28"/>
        </w:rPr>
        <w:t>Tucker–Lewis (TLI)</w:t>
      </w:r>
      <w:r w:rsidRPr="00583CD0">
        <w:rPr>
          <w:rFonts w:ascii="Sakkal Majalla" w:hAnsi="Sakkal Majalla" w:cs="Sakkal Majalla"/>
          <w:sz w:val="28"/>
          <w:szCs w:val="28"/>
          <w:rtl/>
        </w:rPr>
        <w:t>، وجذر متوسط مربعات خطأ التقريب (</w:t>
      </w:r>
      <w:r w:rsidRPr="00583CD0">
        <w:rPr>
          <w:rFonts w:ascii="Sakkal Majalla" w:hAnsi="Sakkal Majalla" w:cs="Sakkal Majalla"/>
          <w:sz w:val="28"/>
          <w:szCs w:val="28"/>
        </w:rPr>
        <w:t>RMSEA</w:t>
      </w:r>
      <w:r w:rsidRPr="00583CD0">
        <w:rPr>
          <w:rFonts w:ascii="Sakkal Majalla" w:hAnsi="Sakkal Majalla" w:cs="Sakkal Majalla"/>
          <w:sz w:val="28"/>
          <w:szCs w:val="28"/>
          <w:rtl/>
        </w:rPr>
        <w:t>)، وجذر متوسط مربعات المتبقيات المعياري (</w:t>
      </w:r>
      <w:r w:rsidRPr="00583CD0">
        <w:rPr>
          <w:rFonts w:ascii="Sakkal Majalla" w:hAnsi="Sakkal Majalla" w:cs="Sakkal Majalla"/>
          <w:sz w:val="28"/>
          <w:szCs w:val="28"/>
        </w:rPr>
        <w:t>SRMR</w:t>
      </w:r>
      <w:r w:rsidRPr="00583CD0">
        <w:rPr>
          <w:rFonts w:ascii="Sakkal Majalla" w:hAnsi="Sakkal Majalla" w:cs="Sakkal Majalla"/>
          <w:sz w:val="28"/>
          <w:szCs w:val="28"/>
          <w:rtl/>
        </w:rPr>
        <w:t xml:space="preserve">). كما تحقّق الباحث من الصدق </w:t>
      </w:r>
      <w:proofErr w:type="spellStart"/>
      <w:r w:rsidRPr="00583CD0">
        <w:rPr>
          <w:rFonts w:ascii="Sakkal Majalla" w:hAnsi="Sakkal Majalla" w:cs="Sakkal Majalla"/>
          <w:sz w:val="28"/>
          <w:szCs w:val="28"/>
          <w:rtl/>
        </w:rPr>
        <w:t>التقاربي</w:t>
      </w:r>
      <w:proofErr w:type="spellEnd"/>
      <w:r w:rsidRPr="00583CD0">
        <w:rPr>
          <w:rFonts w:ascii="Sakkal Majalla" w:hAnsi="Sakkal Majalla" w:cs="Sakkal Majalla"/>
          <w:sz w:val="28"/>
          <w:szCs w:val="28"/>
          <w:rtl/>
        </w:rPr>
        <w:t xml:space="preserve"> عبر </w:t>
      </w:r>
      <w:proofErr w:type="spellStart"/>
      <w:r w:rsidRPr="00583CD0">
        <w:rPr>
          <w:rFonts w:ascii="Sakkal Majalla" w:hAnsi="Sakkal Majalla" w:cs="Sakkal Majalla"/>
          <w:sz w:val="28"/>
          <w:szCs w:val="28"/>
          <w:rtl/>
        </w:rPr>
        <w:t>تشبّعات</w:t>
      </w:r>
      <w:proofErr w:type="spellEnd"/>
      <w:r w:rsidRPr="00583CD0">
        <w:rPr>
          <w:rFonts w:ascii="Sakkal Majalla" w:hAnsi="Sakkal Majalla" w:cs="Sakkal Majalla"/>
          <w:sz w:val="28"/>
          <w:szCs w:val="28"/>
          <w:rtl/>
        </w:rPr>
        <w:t xml:space="preserve"> الفقرات المعيارية (بحيث تتجاوز 0.50)، ومتوسط التباين المستخلص (</w:t>
      </w:r>
      <w:r w:rsidRPr="00583CD0">
        <w:rPr>
          <w:rFonts w:ascii="Sakkal Majalla" w:hAnsi="Sakkal Majalla" w:cs="Sakkal Majalla"/>
          <w:sz w:val="28"/>
          <w:szCs w:val="28"/>
        </w:rPr>
        <w:t>AVE</w:t>
      </w:r>
      <w:r w:rsidRPr="00583CD0">
        <w:rPr>
          <w:rFonts w:ascii="Sakkal Majalla" w:hAnsi="Sakkal Majalla" w:cs="Sakkal Majalla"/>
          <w:sz w:val="28"/>
          <w:szCs w:val="28"/>
          <w:rtl/>
        </w:rPr>
        <w:t>) (بحيث يتجاوز 0.50)، والموثوقية المركبة (</w:t>
      </w:r>
      <w:r w:rsidRPr="00583CD0">
        <w:rPr>
          <w:rFonts w:ascii="Sakkal Majalla" w:hAnsi="Sakkal Majalla" w:cs="Sakkal Majalla"/>
          <w:sz w:val="28"/>
          <w:szCs w:val="28"/>
        </w:rPr>
        <w:t>CR</w:t>
      </w:r>
      <w:r w:rsidRPr="00583CD0">
        <w:rPr>
          <w:rFonts w:ascii="Sakkal Majalla" w:hAnsi="Sakkal Majalla" w:cs="Sakkal Majalla"/>
          <w:sz w:val="28"/>
          <w:szCs w:val="28"/>
          <w:rtl/>
        </w:rPr>
        <w:t xml:space="preserve">) (بحيث تتجاوز 0.70)، ومن الصدق التمييزي وفق معيار  </w:t>
      </w:r>
      <w:r w:rsidR="006A3CC0">
        <w:rPr>
          <w:rFonts w:ascii="Sakkal Majalla" w:hAnsi="Sakkal Majalla" w:cs="Sakkal Majalla"/>
          <w:sz w:val="28"/>
          <w:szCs w:val="28"/>
          <w:rtl/>
        </w:rPr>
        <w:fldChar w:fldCharType="begin"/>
      </w:r>
      <w:r w:rsidR="002E350D">
        <w:rPr>
          <w:rFonts w:ascii="Sakkal Majalla" w:hAnsi="Sakkal Majalla" w:cs="Sakkal Majalla"/>
          <w:sz w:val="28"/>
          <w:szCs w:val="28"/>
          <w:rtl/>
        </w:rPr>
        <w:instrText xml:space="preserve"> </w:instrText>
      </w:r>
      <w:r w:rsidR="002E350D">
        <w:rPr>
          <w:rFonts w:ascii="Sakkal Majalla" w:hAnsi="Sakkal Majalla" w:cs="Sakkal Majalla"/>
          <w:sz w:val="28"/>
          <w:szCs w:val="28"/>
        </w:rPr>
        <w:instrText>ADDIN EN.CITE &lt;EndNote&gt;&lt;Cite AuthorYear="1"&gt;&lt;Author&gt;Fornell&lt;/Author&gt;&lt;Year&gt;1981&lt;/Year&gt;&lt;RecNum&gt;264&lt;/RecNum&gt;&lt;DisplayText&gt;Fornell and Larcker (1981)&lt;/DisplayText&gt;&lt;record&gt;&lt;rec-number&gt;264&lt;/rec-number&gt;&lt;foreign-keys&gt;&lt;key app="EN" db-id="02retxxrerxdxhe9aphvs0z2t</w:instrText>
      </w:r>
      <w:r w:rsidR="002E350D">
        <w:rPr>
          <w:rFonts w:ascii="Sakkal Majalla" w:hAnsi="Sakkal Majalla" w:cs="Sakkal Majalla"/>
          <w:sz w:val="28"/>
          <w:szCs w:val="28"/>
          <w:rtl/>
        </w:rPr>
        <w:instrText>9</w:instrText>
      </w:r>
      <w:r w:rsidR="002E350D">
        <w:rPr>
          <w:rFonts w:ascii="Sakkal Majalla" w:hAnsi="Sakkal Majalla" w:cs="Sakkal Majalla"/>
          <w:sz w:val="28"/>
          <w:szCs w:val="28"/>
        </w:rPr>
        <w:instrText>z25p0ew99s" timestamp="1781803190"&gt;264&lt;/key&gt;&lt;/foreign-keys&gt;&lt;ref-type name="Journal Article"&gt;17&lt;/ref-type&gt;&lt;contributors&gt;&lt;authors&gt;&lt;author&gt;Fornell, Claes&lt;/author&gt;&lt;author&gt;Larcker, David F.&lt;/author&gt;&lt;/authors&gt;&lt;/contributors&gt;&lt;titles&gt;&lt;title&gt;Evaluating Structural</w:instrText>
      </w:r>
      <w:r w:rsidR="002E350D">
        <w:rPr>
          <w:rFonts w:ascii="Sakkal Majalla" w:hAnsi="Sakkal Majalla" w:cs="Sakkal Majalla"/>
          <w:sz w:val="28"/>
          <w:szCs w:val="28"/>
          <w:rtl/>
        </w:rPr>
        <w:instrText xml:space="preserve"> </w:instrText>
      </w:r>
      <w:r w:rsidR="002E350D">
        <w:rPr>
          <w:rFonts w:ascii="Sakkal Majalla" w:hAnsi="Sakkal Majalla" w:cs="Sakkal Majalla"/>
          <w:sz w:val="28"/>
          <w:szCs w:val="28"/>
        </w:rPr>
        <w:instrText>Equation Models with Unobservable Variables and Measurement Error&lt;/title&gt;&lt;secondary-title&gt;Journal of Marketing Research&lt;/secondary-title&gt;&lt;/titles&gt;&lt;periodical&gt;&lt;full-title&gt;Journal of Marketing Research&lt;/full-title&gt;&lt;/periodical&gt;&lt;pages&gt;39-50&lt;/pages&gt;&lt;volume&gt;1</w:instrText>
      </w:r>
      <w:r w:rsidR="002E350D">
        <w:rPr>
          <w:rFonts w:ascii="Sakkal Majalla" w:hAnsi="Sakkal Majalla" w:cs="Sakkal Majalla"/>
          <w:sz w:val="28"/>
          <w:szCs w:val="28"/>
          <w:rtl/>
        </w:rPr>
        <w:instrText>8&lt;/</w:instrText>
      </w:r>
      <w:r w:rsidR="002E350D">
        <w:rPr>
          <w:rFonts w:ascii="Sakkal Majalla" w:hAnsi="Sakkal Majalla" w:cs="Sakkal Majalla"/>
          <w:sz w:val="28"/>
          <w:szCs w:val="28"/>
        </w:rPr>
        <w:instrText>volume&gt;&lt;number&gt;1&lt;/number&gt;&lt;section&gt;39&lt;/section&gt;&lt;dates&gt;&lt;year&gt;1981&lt;/year&gt;&lt;/dates&gt;&lt;isbn&gt;0022-2437&amp;#xD;1547-7193&lt;/isbn&gt;&lt;urls&gt;&lt;related-urls&gt;&lt;url&gt;https://journals.sagepub.com/doi/abs/10.1177/002224378101800104&lt;/url&gt;&lt;/related-urls&gt;&lt;/urls&gt;&lt;electronic-resource-num&gt;10.1177/002224378101800104&lt;/electronic-resource-num&gt;&lt;/record&gt;&lt;/Cite&gt;&lt;Cite&gt;&lt;Author&gt;Fornell&lt;/Author&gt;&lt;Year&gt;1981&lt;/Year&gt;&lt;RecNum&gt;271&lt;/RecNum&gt;&lt;record&gt;&lt;rec-number&gt;271&lt;/rec-number&gt;&lt;foreign-keys&gt;&lt;key app="EN" db-id="02retxxrerxdxhe9aphvs0z2t9z25p0ew99s" timestamp="1781805907"&gt;271&lt;/key&gt;&lt;/foreign-keys&gt;&lt;ref-type name="Journal Article"&gt;17&lt;/ref-type&gt;&lt;contributors&gt;&lt;authors&gt;&lt;author&gt;Fornell, Claes&lt;/author&gt;&lt;author&gt;Larcker, David F&lt;/author&gt;&lt;/authors&gt;&lt;/contributors&gt;&lt;titles&gt;&lt;title&gt;Evaluating structural equation models with</w:instrText>
      </w:r>
      <w:r w:rsidR="002E350D">
        <w:rPr>
          <w:rFonts w:ascii="Sakkal Majalla" w:hAnsi="Sakkal Majalla" w:cs="Sakkal Majalla"/>
          <w:sz w:val="28"/>
          <w:szCs w:val="28"/>
          <w:rtl/>
        </w:rPr>
        <w:instrText xml:space="preserve"> </w:instrText>
      </w:r>
      <w:r w:rsidR="002E350D">
        <w:rPr>
          <w:rFonts w:ascii="Sakkal Majalla" w:hAnsi="Sakkal Majalla" w:cs="Sakkal Majalla"/>
          <w:sz w:val="28"/>
          <w:szCs w:val="28"/>
        </w:rPr>
        <w:instrText>unobservable variables and measurement error&lt;/title&gt;&lt;secondary-title&gt;Journal of marketing research&lt;/secondary-title&gt;&lt;/titles&gt;&lt;periodical&gt;&lt;full-title&gt;Journal of Marketing Research&lt;/full-title&gt;&lt;/periodical&gt;&lt;pages&gt;39-50&lt;/pages&gt;&lt;volume&gt;18&lt;/volume&gt;&lt;number&gt;1&lt;/number&gt;&lt;dates&gt;&lt;year&gt;1981&lt;/year&gt;&lt;/dates&gt;&lt;isbn&gt;0022-2437&lt;/isbn&gt;&lt;urls&gt;&lt;/urls&gt;&lt;/record&gt;&lt;/Cite&gt;&lt;/EndNote</w:instrText>
      </w:r>
      <w:r w:rsidR="002E350D">
        <w:rPr>
          <w:rFonts w:ascii="Sakkal Majalla" w:hAnsi="Sakkal Majalla" w:cs="Sakkal Majalla"/>
          <w:sz w:val="28"/>
          <w:szCs w:val="28"/>
          <w:rtl/>
        </w:rPr>
        <w:instrText>&gt;</w:instrText>
      </w:r>
      <w:r w:rsidR="006A3CC0">
        <w:rPr>
          <w:rFonts w:ascii="Sakkal Majalla" w:hAnsi="Sakkal Majalla" w:cs="Sakkal Majalla"/>
          <w:sz w:val="28"/>
          <w:szCs w:val="28"/>
          <w:rtl/>
        </w:rPr>
        <w:fldChar w:fldCharType="separate"/>
      </w:r>
      <w:r w:rsidR="00DF6607">
        <w:rPr>
          <w:rFonts w:ascii="Sakkal Majalla" w:hAnsi="Sakkal Majalla" w:cs="Sakkal Majalla"/>
          <w:noProof/>
          <w:sz w:val="28"/>
          <w:szCs w:val="28"/>
        </w:rPr>
        <w:t>Fornell and Larcker</w:t>
      </w:r>
      <w:r w:rsidR="00DF6607">
        <w:rPr>
          <w:rFonts w:ascii="Sakkal Majalla" w:hAnsi="Sakkal Majalla" w:cs="Sakkal Majalla"/>
          <w:noProof/>
          <w:sz w:val="28"/>
          <w:szCs w:val="28"/>
          <w:rtl/>
        </w:rPr>
        <w:t xml:space="preserve"> (1981)</w:t>
      </w:r>
      <w:r w:rsidR="006A3CC0">
        <w:rPr>
          <w:rFonts w:ascii="Sakkal Majalla" w:hAnsi="Sakkal Majalla" w:cs="Sakkal Majalla"/>
          <w:sz w:val="28"/>
          <w:szCs w:val="28"/>
          <w:rtl/>
        </w:rPr>
        <w:fldChar w:fldCharType="end"/>
      </w:r>
      <w:r w:rsidRPr="00583CD0">
        <w:rPr>
          <w:rFonts w:ascii="Sakkal Majalla" w:hAnsi="Sakkal Majalla" w:cs="Sakkal Majalla"/>
          <w:sz w:val="28"/>
          <w:szCs w:val="28"/>
          <w:rtl/>
        </w:rPr>
        <w:t>الذي يشترط أن يفوق الجذر التربيعي لمتوسط التباين المستخلص لكل عامل ارتباطه بأي عامل آخر في النموذج.</w:t>
      </w:r>
    </w:p>
    <w:p w14:paraId="3AB4C18B"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3.8 ثبات</w:t>
      </w:r>
      <w:r w:rsidRPr="00875EB7">
        <w:rPr>
          <w:rFonts w:ascii="Sakkal Majalla" w:eastAsia="Arial" w:hAnsi="Sakkal Majalla" w:cs="Sakkal Majalla"/>
          <w:b/>
          <w:bCs/>
          <w:color w:val="auto"/>
          <w:rtl/>
        </w:rPr>
        <w:t xml:space="preserve"> أدوات الدراسة</w:t>
      </w:r>
    </w:p>
    <w:p w14:paraId="4371CD35" w14:textId="7541EE63"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يشير الثبات إلى مدى اتساق المقياس في تقديم نتائج متقاربة عند تكراره في ظروف مماثلة </w:t>
      </w:r>
      <w:r w:rsidR="000C2D81">
        <w:rPr>
          <w:rFonts w:ascii="Sakkal Majalla" w:hAnsi="Sakkal Majalla" w:cs="Sakkal Majalla"/>
          <w:sz w:val="28"/>
          <w:szCs w:val="28"/>
          <w:rtl/>
        </w:rPr>
        <w:fldChar w:fldCharType="begin"/>
      </w:r>
      <w:r w:rsidR="000C2D81">
        <w:rPr>
          <w:rFonts w:ascii="Sakkal Majalla" w:hAnsi="Sakkal Majalla" w:cs="Sakkal Majalla"/>
          <w:sz w:val="28"/>
          <w:szCs w:val="28"/>
          <w:rtl/>
        </w:rPr>
        <w:instrText xml:space="preserve"> </w:instrText>
      </w:r>
      <w:r w:rsidR="000C2D81">
        <w:rPr>
          <w:rFonts w:ascii="Sakkal Majalla" w:hAnsi="Sakkal Majalla" w:cs="Sakkal Majalla"/>
          <w:sz w:val="28"/>
          <w:szCs w:val="28"/>
        </w:rPr>
        <w:instrText>ADDIN EN.CITE &lt;EndNote&gt;&lt;Cite&gt;&lt;Author&gt;Sekaran&lt;/Author&gt;&lt;Year&gt;2016&lt;/Year&gt;&lt;RecNum&gt;277&lt;/RecNum&gt;&lt;DisplayText&gt;(Sekaran, 2016)&lt;/DisplayText&gt;&lt;record&gt;&lt;rec-number&gt;277&lt;/rec-number&gt;&lt;foreign-keys&gt;&lt;key app="EN" db-id="02retxxrerxdxhe9aphvs0z2t9z25p0ew99s" timestamp="17</w:instrText>
      </w:r>
      <w:r w:rsidR="000C2D81">
        <w:rPr>
          <w:rFonts w:ascii="Sakkal Majalla" w:hAnsi="Sakkal Majalla" w:cs="Sakkal Majalla"/>
          <w:sz w:val="28"/>
          <w:szCs w:val="28"/>
          <w:rtl/>
        </w:rPr>
        <w:instrText>81807781"&gt;277&lt;/</w:instrText>
      </w:r>
      <w:r w:rsidR="000C2D81">
        <w:rPr>
          <w:rFonts w:ascii="Sakkal Majalla" w:hAnsi="Sakkal Majalla" w:cs="Sakkal Majalla"/>
          <w:sz w:val="28"/>
          <w:szCs w:val="28"/>
        </w:rPr>
        <w:instrText>key&gt;&lt;/foreign-keys&gt;&lt;ref-type name="Generic"&gt;13&lt;/ref-type&gt;&lt;contributors&gt;&lt;authors&gt;&lt;author&gt;Sekaran, U&lt;/author&gt;&lt;/authors&gt;&lt;/contributors&gt;&lt;titles&gt;&lt;title&gt;Research methods for business: A skill building approach&lt;/title&gt;&lt;/titles&gt;&lt;dates&gt;&lt;year&gt;2016&lt;/year&gt;&lt;/dates&gt;&lt;publisher&gt;John Wiley &amp;amp; Sons&lt;/publisher&gt;&lt;urls&gt;&lt;/urls&gt;&lt;/record&gt;&lt;/Cite&gt;&lt;/EndNote</w:instrText>
      </w:r>
      <w:r w:rsidR="000C2D81">
        <w:rPr>
          <w:rFonts w:ascii="Sakkal Majalla" w:hAnsi="Sakkal Majalla" w:cs="Sakkal Majalla"/>
          <w:sz w:val="28"/>
          <w:szCs w:val="28"/>
          <w:rtl/>
        </w:rPr>
        <w:instrText>&gt;</w:instrText>
      </w:r>
      <w:r w:rsidR="000C2D81">
        <w:rPr>
          <w:rFonts w:ascii="Sakkal Majalla" w:hAnsi="Sakkal Majalla" w:cs="Sakkal Majalla"/>
          <w:sz w:val="28"/>
          <w:szCs w:val="28"/>
          <w:rtl/>
        </w:rPr>
        <w:fldChar w:fldCharType="separate"/>
      </w:r>
      <w:r w:rsidR="000C2D81">
        <w:rPr>
          <w:rFonts w:ascii="Sakkal Majalla" w:hAnsi="Sakkal Majalla" w:cs="Sakkal Majalla"/>
          <w:noProof/>
          <w:sz w:val="28"/>
          <w:szCs w:val="28"/>
          <w:rtl/>
        </w:rPr>
        <w:t>(</w:t>
      </w:r>
      <w:r w:rsidR="000C2D81">
        <w:rPr>
          <w:rFonts w:ascii="Sakkal Majalla" w:hAnsi="Sakkal Majalla" w:cs="Sakkal Majalla"/>
          <w:noProof/>
          <w:sz w:val="28"/>
          <w:szCs w:val="28"/>
        </w:rPr>
        <w:t>Sekaran, 2016</w:t>
      </w:r>
      <w:r w:rsidR="000C2D81">
        <w:rPr>
          <w:rFonts w:ascii="Sakkal Majalla" w:hAnsi="Sakkal Majalla" w:cs="Sakkal Majalla"/>
          <w:noProof/>
          <w:sz w:val="28"/>
          <w:szCs w:val="28"/>
          <w:rtl/>
        </w:rPr>
        <w:t>)</w:t>
      </w:r>
      <w:r w:rsidR="000C2D81">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وقد تم تقييم الثبات باستخدام معامل ألفا </w:t>
      </w:r>
      <w:proofErr w:type="spellStart"/>
      <w:r w:rsidRPr="00583CD0">
        <w:rPr>
          <w:rFonts w:ascii="Sakkal Majalla" w:hAnsi="Sakkal Majalla" w:cs="Sakkal Majalla"/>
          <w:sz w:val="28"/>
          <w:szCs w:val="28"/>
          <w:rtl/>
        </w:rPr>
        <w:t>كرونباخ</w:t>
      </w:r>
      <w:proofErr w:type="spellEnd"/>
      <w:r w:rsidRPr="00583CD0">
        <w:rPr>
          <w:rFonts w:ascii="Sakkal Majalla" w:hAnsi="Sakkal Majalla" w:cs="Sakkal Majalla"/>
          <w:sz w:val="28"/>
          <w:szCs w:val="28"/>
          <w:rtl/>
        </w:rPr>
        <w:t xml:space="preserve">، الذي يقيس الاتساق الداخلي بين فقرات المقياس. تعتبر القيم التي تتجاوز 0.70 مقبولة في البحث العلمي، وتقترب من 0.80 تعتبر جيدة، وإذا تجاوزت 0.90 فهي ممتازة </w:t>
      </w:r>
      <w:r w:rsidR="00B36D3B">
        <w:rPr>
          <w:rFonts w:ascii="Sakkal Majalla" w:hAnsi="Sakkal Majalla" w:cs="Sakkal Majalla"/>
          <w:sz w:val="28"/>
          <w:szCs w:val="28"/>
          <w:rtl/>
        </w:rPr>
        <w:fldChar w:fldCharType="begin"/>
      </w:r>
      <w:r w:rsidR="00B36D3B">
        <w:rPr>
          <w:rFonts w:ascii="Sakkal Majalla" w:hAnsi="Sakkal Majalla" w:cs="Sakkal Majalla"/>
          <w:sz w:val="28"/>
          <w:szCs w:val="28"/>
          <w:rtl/>
        </w:rPr>
        <w:instrText xml:space="preserve"> </w:instrText>
      </w:r>
      <w:r w:rsidR="00B36D3B">
        <w:rPr>
          <w:rFonts w:ascii="Sakkal Majalla" w:hAnsi="Sakkal Majalla" w:cs="Sakkal Majalla"/>
          <w:sz w:val="28"/>
          <w:szCs w:val="28"/>
        </w:rPr>
        <w:instrText>ADDIN EN.CITE &lt;EndNote&gt;&lt;Cite&gt;&lt;Author&gt;ten Berge&lt;/Author&gt;&lt;Year&gt;2025&lt;/Year&gt;&lt;RecNum&gt;274&lt;/RecNum&gt;&lt;DisplayText&gt;(ten Berge, 2025)&lt;/DisplayText&gt;&lt;record&gt;&lt;rec-number&gt;274&lt;/rec-number&gt;&lt;foreign-keys&gt;&lt;key app="EN" db-id="02retxxrerxdxhe9aphvs0z2t9z25p0ew99s" timestamp</w:instrText>
      </w:r>
      <w:r w:rsidR="00B36D3B">
        <w:rPr>
          <w:rFonts w:ascii="Sakkal Majalla" w:hAnsi="Sakkal Majalla" w:cs="Sakkal Majalla"/>
          <w:sz w:val="28"/>
          <w:szCs w:val="28"/>
          <w:rtl/>
        </w:rPr>
        <w:instrText>="1781806901"&gt;274&lt;/</w:instrText>
      </w:r>
      <w:r w:rsidR="00B36D3B">
        <w:rPr>
          <w:rFonts w:ascii="Sakkal Majalla" w:hAnsi="Sakkal Majalla" w:cs="Sakkal Majalla"/>
          <w:sz w:val="28"/>
          <w:szCs w:val="28"/>
        </w:rPr>
        <w:instrText>key&gt;&lt;/foreign-keys&gt;&lt;ref-type name="Journal Article"&gt;17&lt;/ref-type&gt;&lt;contributors&gt;&lt;authors&gt;&lt;author&gt;ten Berge, Jos M. F.&lt;/author&gt;&lt;/authors&gt;&lt;/contributors&gt;&lt;titles&gt;&lt;title&gt;J. C. Nunnally and I. H. Bernstein. Psychometric Theory. New York: McGraw-Hill, 1994, xxiv+752 pages, £51.95&lt;/title&gt;&lt;secondary-title&gt;Psychometrika&lt;/secondary-title&gt;&lt;/titles&gt;&lt;periodical&gt;&lt;full-title&gt;Psychometrika&lt;/full-title&gt;&lt;/periodical&gt;&lt;pages&gt;313-315&lt;/pages&gt;&lt;volume&gt;60&lt;/volume&gt;&lt;number&gt;2&lt;/number&gt;&lt;section&gt;313&lt;/section&gt;&lt;dates&gt;&lt;year&gt;2025&lt;/year&gt;&lt;pub-dates&gt;&lt;date&gt;01/01&lt;/date&gt;&lt;/pub-dates&gt;&lt;/dates&gt;&lt;isbn&gt;0033-3123&amp;#xD;1860-0980&lt;/isbn&gt;&lt;urls&gt;&lt;/urls&gt;&lt;electronic-resource-num&gt;10.1007/bf02301419&lt;/electronic-resource-num&gt;&lt;/record&gt;&lt;/Cite&gt;&lt;/EndNote</w:instrText>
      </w:r>
      <w:r w:rsidR="00B36D3B">
        <w:rPr>
          <w:rFonts w:ascii="Sakkal Majalla" w:hAnsi="Sakkal Majalla" w:cs="Sakkal Majalla"/>
          <w:sz w:val="28"/>
          <w:szCs w:val="28"/>
          <w:rtl/>
        </w:rPr>
        <w:instrText>&gt;</w:instrText>
      </w:r>
      <w:r w:rsidR="00B36D3B">
        <w:rPr>
          <w:rFonts w:ascii="Sakkal Majalla" w:hAnsi="Sakkal Majalla" w:cs="Sakkal Majalla"/>
          <w:sz w:val="28"/>
          <w:szCs w:val="28"/>
          <w:rtl/>
        </w:rPr>
        <w:fldChar w:fldCharType="separate"/>
      </w:r>
      <w:r w:rsidR="00B36D3B">
        <w:rPr>
          <w:rFonts w:ascii="Sakkal Majalla" w:hAnsi="Sakkal Majalla" w:cs="Sakkal Majalla"/>
          <w:noProof/>
          <w:sz w:val="28"/>
          <w:szCs w:val="28"/>
          <w:rtl/>
        </w:rPr>
        <w:t>(</w:t>
      </w:r>
      <w:r w:rsidR="00B36D3B">
        <w:rPr>
          <w:rFonts w:ascii="Sakkal Majalla" w:hAnsi="Sakkal Majalla" w:cs="Sakkal Majalla"/>
          <w:noProof/>
          <w:sz w:val="28"/>
          <w:szCs w:val="28"/>
        </w:rPr>
        <w:t>ten Berge, 2025</w:t>
      </w:r>
      <w:r w:rsidR="00B36D3B">
        <w:rPr>
          <w:rFonts w:ascii="Sakkal Majalla" w:hAnsi="Sakkal Majalla" w:cs="Sakkal Majalla"/>
          <w:noProof/>
          <w:sz w:val="28"/>
          <w:szCs w:val="28"/>
          <w:rtl/>
        </w:rPr>
        <w:t>)</w:t>
      </w:r>
      <w:r w:rsidR="00B36D3B">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تم حساب هذا المعامل لكل بعد ولكل مقياس باستخدام بيانات العينة الاستطلاعية، ثم أُعيد حسابه على العينة الكاملة. بالإضافة إلى ألفا </w:t>
      </w:r>
      <w:proofErr w:type="spellStart"/>
      <w:r w:rsidRPr="00583CD0">
        <w:rPr>
          <w:rFonts w:ascii="Sakkal Majalla" w:hAnsi="Sakkal Majalla" w:cs="Sakkal Majalla"/>
          <w:sz w:val="28"/>
          <w:szCs w:val="28"/>
          <w:rtl/>
        </w:rPr>
        <w:t>كرونباخ</w:t>
      </w:r>
      <w:proofErr w:type="spellEnd"/>
      <w:r w:rsidRPr="00583CD0">
        <w:rPr>
          <w:rFonts w:ascii="Sakkal Majalla" w:hAnsi="Sakkal Majalla" w:cs="Sakkal Majalla"/>
          <w:sz w:val="28"/>
          <w:szCs w:val="28"/>
          <w:rtl/>
        </w:rPr>
        <w:t>، تم حساب الموثوقية المركبة (</w:t>
      </w:r>
      <w:r w:rsidRPr="00583CD0">
        <w:rPr>
          <w:rFonts w:ascii="Sakkal Majalla" w:hAnsi="Sakkal Majalla" w:cs="Sakkal Majalla"/>
          <w:sz w:val="28"/>
          <w:szCs w:val="28"/>
        </w:rPr>
        <w:t>CR</w:t>
      </w:r>
      <w:r w:rsidRPr="00583CD0">
        <w:rPr>
          <w:rFonts w:ascii="Sakkal Majalla" w:hAnsi="Sakkal Majalla" w:cs="Sakkal Majalla"/>
          <w:sz w:val="28"/>
          <w:szCs w:val="28"/>
          <w:rtl/>
        </w:rPr>
        <w:t>) لكل عامل ضمن التحليل التوكيدي، وهو مؤشر أكثر دقة في سياق النمذجة الهيكلية لأنه يأخذ في الاعتبار التشعبات العمالية المعيارية للفقرات (</w:t>
      </w:r>
      <w:r w:rsidRPr="00583CD0">
        <w:rPr>
          <w:rFonts w:ascii="Sakkal Majalla" w:hAnsi="Sakkal Majalla" w:cs="Sakkal Majalla"/>
          <w:sz w:val="28"/>
          <w:szCs w:val="28"/>
        </w:rPr>
        <w:t>Hair et al., 2019</w:t>
      </w:r>
      <w:r w:rsidRPr="00583CD0">
        <w:rPr>
          <w:rFonts w:ascii="Sakkal Majalla" w:hAnsi="Sakkal Majalla" w:cs="Sakkal Majalla"/>
          <w:sz w:val="28"/>
          <w:szCs w:val="28"/>
          <w:rtl/>
        </w:rPr>
        <w:t>). ويشترط أن تتجاوز قيمتها 0.70. يوضح الجدول التالي هيكل المقاييس وأبعادها، وسيتم عرض القيم الفعلية للثبات في الفصل الرابع بعد جمع البيانات وتحليلها.</w:t>
      </w: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00"/>
        <w:gridCol w:w="1980"/>
        <w:gridCol w:w="1980"/>
      </w:tblGrid>
      <w:tr w:rsidR="00BE1BA2" w:rsidRPr="00583CD0" w14:paraId="4485B1F3" w14:textId="77777777" w:rsidTr="006B40A5">
        <w:trPr>
          <w:tblHeader/>
        </w:trPr>
        <w:tc>
          <w:tcPr>
            <w:tcW w:w="54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7FDA50A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lastRenderedPageBreak/>
              <w:t>المقياس / البُعد</w:t>
            </w:r>
          </w:p>
        </w:tc>
        <w:tc>
          <w:tcPr>
            <w:tcW w:w="198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755608A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عدد الفقرات</w:t>
            </w:r>
          </w:p>
        </w:tc>
        <w:tc>
          <w:tcPr>
            <w:tcW w:w="198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00973981"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 xml:space="preserve">ألفا </w:t>
            </w:r>
            <w:proofErr w:type="spellStart"/>
            <w:r w:rsidRPr="00583CD0">
              <w:rPr>
                <w:rFonts w:ascii="Sakkal Majalla" w:eastAsia="Arial" w:hAnsi="Sakkal Majalla" w:cs="Sakkal Majalla"/>
                <w:b/>
                <w:bCs/>
                <w:sz w:val="28"/>
                <w:szCs w:val="28"/>
                <w:rtl/>
              </w:rPr>
              <w:t>كرونباخ</w:t>
            </w:r>
            <w:proofErr w:type="spellEnd"/>
          </w:p>
        </w:tc>
      </w:tr>
      <w:tr w:rsidR="00BE1BA2" w:rsidRPr="00583CD0" w14:paraId="57A74CE8" w14:textId="77777777" w:rsidTr="006B40A5">
        <w:tc>
          <w:tcPr>
            <w:tcW w:w="5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80897EF"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القيادة التحويلية (إجمالي)</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CB99D44" w14:textId="7EFC006F"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2</w:t>
            </w:r>
            <w:r w:rsidR="00466F79">
              <w:rPr>
                <w:rFonts w:ascii="Sakkal Majalla" w:eastAsia="Arial" w:hAnsi="Sakkal Majalla" w:cs="Sakkal Majalla" w:hint="cs"/>
                <w:sz w:val="28"/>
                <w:szCs w:val="28"/>
                <w:rtl/>
              </w:rPr>
              <w:t>3</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7D313B1"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يُحسب على بيانات الدراسة</w:t>
            </w:r>
          </w:p>
        </w:tc>
      </w:tr>
      <w:tr w:rsidR="00BE1BA2" w:rsidRPr="00583CD0" w14:paraId="5265A680" w14:textId="77777777" w:rsidTr="006B40A5">
        <w:tc>
          <w:tcPr>
            <w:tcW w:w="5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83E57C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التأثير المثالي</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ABAD5B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8</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CA5DEE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1DBA0080" w14:textId="77777777" w:rsidTr="006B40A5">
        <w:tc>
          <w:tcPr>
            <w:tcW w:w="5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20B16122"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التحفيز الملهم</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FE806A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4</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3542271"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15726079" w14:textId="77777777" w:rsidTr="006B40A5">
        <w:tc>
          <w:tcPr>
            <w:tcW w:w="5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3B1F1D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الاستثارة الفكرية</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5C986A13"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4</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5E2A3CF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3C3F10B0" w14:textId="77777777" w:rsidTr="006B40A5">
        <w:tc>
          <w:tcPr>
            <w:tcW w:w="5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FEBBC06"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الاعتبار الفردي</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199299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4</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BDE5A68"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47C7991D" w14:textId="77777777" w:rsidTr="006B40A5">
        <w:tc>
          <w:tcPr>
            <w:tcW w:w="5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5A6FFFA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ثقافة السلامة (إجمالي)</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5AFDA6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13</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65B4DE2"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يُحسب على بيانات الدراسة</w:t>
            </w:r>
          </w:p>
        </w:tc>
      </w:tr>
      <w:tr w:rsidR="00BE1BA2" w:rsidRPr="00583CD0" w14:paraId="0561331D" w14:textId="77777777" w:rsidTr="006B40A5">
        <w:tc>
          <w:tcPr>
            <w:tcW w:w="5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F49C85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دعم الإدارة للسلامة</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C97DDD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3</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92757D4"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7F52D026" w14:textId="77777777" w:rsidTr="006B40A5">
        <w:tc>
          <w:tcPr>
            <w:tcW w:w="5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7CF2A3DE"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التواصل المفتوح</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3856EA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3</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30F342B4"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2127D227" w14:textId="77777777" w:rsidTr="006B40A5">
        <w:tc>
          <w:tcPr>
            <w:tcW w:w="5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27083D10"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التعلم المستمر</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21B6103"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3</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F656D8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028A8F0E" w14:textId="77777777" w:rsidTr="006B40A5">
        <w:tc>
          <w:tcPr>
            <w:tcW w:w="5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FB5E130"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العمل الجماعي</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F8C98B2"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4</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5FCACF96"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w:t>
            </w:r>
          </w:p>
        </w:tc>
      </w:tr>
      <w:tr w:rsidR="00BE1BA2" w:rsidRPr="00583CD0" w14:paraId="2B291D66" w14:textId="77777777" w:rsidTr="006B40A5">
        <w:tc>
          <w:tcPr>
            <w:tcW w:w="54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89EAC3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سلوكيات السلامة (إجمالي)</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1A422A5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12</w:t>
            </w:r>
          </w:p>
        </w:tc>
        <w:tc>
          <w:tcPr>
            <w:tcW w:w="198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75FA425"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يُحسب على بيانات الدراسة</w:t>
            </w:r>
          </w:p>
        </w:tc>
      </w:tr>
      <w:tr w:rsidR="00BE1BA2" w:rsidRPr="00583CD0" w14:paraId="64359A9C" w14:textId="77777777" w:rsidTr="006B40A5">
        <w:tc>
          <w:tcPr>
            <w:tcW w:w="5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63599291"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تقليل الأحداث الضارة</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7E58AD92"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8</w:t>
            </w:r>
          </w:p>
        </w:tc>
        <w:tc>
          <w:tcPr>
            <w:tcW w:w="198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B07C5A2"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يُحسب على بيانات الدراسة</w:t>
            </w:r>
          </w:p>
        </w:tc>
      </w:tr>
    </w:tbl>
    <w:p w14:paraId="77794CCD"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3.9 ضبط</w:t>
      </w:r>
      <w:r w:rsidRPr="00875EB7">
        <w:rPr>
          <w:rFonts w:ascii="Sakkal Majalla" w:eastAsia="Arial" w:hAnsi="Sakkal Majalla" w:cs="Sakkal Majalla"/>
          <w:b/>
          <w:bCs/>
          <w:color w:val="auto"/>
          <w:rtl/>
        </w:rPr>
        <w:t xml:space="preserve"> تحيّز المنهج المشترك</w:t>
      </w:r>
    </w:p>
    <w:p w14:paraId="03845787" w14:textId="76E7C96D"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نظرًا لأن جميع متغيرات الدراسة تُقاس عبر الإدراك الذاتي للمصدر نفسه وفي نفس الوقت، رأى الباحث ضرورة معالجة تحيّز المنهج المشترك (</w:t>
      </w:r>
      <w:r w:rsidRPr="00583CD0">
        <w:rPr>
          <w:rFonts w:ascii="Sakkal Majalla" w:hAnsi="Sakkal Majalla" w:cs="Sakkal Majalla"/>
          <w:sz w:val="28"/>
          <w:szCs w:val="28"/>
        </w:rPr>
        <w:t>Common Method Bias</w:t>
      </w:r>
      <w:r w:rsidRPr="00583CD0">
        <w:rPr>
          <w:rFonts w:ascii="Sakkal Majalla" w:hAnsi="Sakkal Majalla" w:cs="Sakkal Majalla"/>
          <w:sz w:val="28"/>
          <w:szCs w:val="28"/>
          <w:rtl/>
        </w:rPr>
        <w:t xml:space="preserve">) الذي قد يُضخّم الارتباطات بين المتغيرات ويؤثر على نتائج التحليل الوسيط، وذلك من خلال إجراءات وقائية وإحصائية وفقًا لتوصيات </w:t>
      </w:r>
      <w:r w:rsidR="000C2D81">
        <w:rPr>
          <w:rFonts w:ascii="Sakkal Majalla" w:hAnsi="Sakkal Majalla" w:cs="Sakkal Majalla"/>
          <w:sz w:val="28"/>
          <w:szCs w:val="28"/>
          <w:rtl/>
        </w:rPr>
        <w:fldChar w:fldCharType="begin"/>
      </w:r>
      <w:r w:rsidR="000C2D81">
        <w:rPr>
          <w:rFonts w:ascii="Sakkal Majalla" w:hAnsi="Sakkal Majalla" w:cs="Sakkal Majalla"/>
          <w:sz w:val="28"/>
          <w:szCs w:val="28"/>
          <w:rtl/>
        </w:rPr>
        <w:instrText xml:space="preserve"> </w:instrText>
      </w:r>
      <w:r w:rsidR="000C2D81">
        <w:rPr>
          <w:rFonts w:ascii="Sakkal Majalla" w:hAnsi="Sakkal Majalla" w:cs="Sakkal Majalla"/>
          <w:sz w:val="28"/>
          <w:szCs w:val="28"/>
        </w:rPr>
        <w:instrText>ADDIN EN.CITE &lt;EndNote&gt;&lt;Cite AuthorYear="1"&gt;&lt;Author&gt;Podsakoff&lt;/Author&gt;&lt;Year&gt;2003&lt;/Year&gt;&lt;RecNum&gt;275&lt;/RecNum&gt;&lt;DisplayText&gt;Podsakoff et al. (2003)&lt;/DisplayText&gt;&lt;record&gt;&lt;rec-number&gt;275&lt;/rec-number&gt;&lt;foreign-keys&gt;&lt;key app="EN" db-id="02retxxrerxdxhe9aphvs0z2t9z25p0ew99s" timestamp="1781807294"&gt;275&lt;/key&gt;&lt;/foreign-keys&gt;&lt;ref-type name="Journal Article"&gt;17&lt;/ref-type&gt;&lt;contributors&gt;&lt;authors&gt;&lt;author&gt;Podsakoff, P. M.&lt;/author&gt;&lt;author&gt;MacKenzie, S. B.&lt;/author&gt;&lt;author&gt;Lee, J. Y.&lt;/author&gt;&lt;author&gt;Podsakoff, N. P.&lt;/author</w:instrText>
      </w:r>
      <w:r w:rsidR="000C2D81">
        <w:rPr>
          <w:rFonts w:ascii="Sakkal Majalla" w:hAnsi="Sakkal Majalla" w:cs="Sakkal Majalla"/>
          <w:sz w:val="28"/>
          <w:szCs w:val="28"/>
          <w:rtl/>
        </w:rPr>
        <w:instrText>&gt;&lt;/</w:instrText>
      </w:r>
      <w:r w:rsidR="000C2D81">
        <w:rPr>
          <w:rFonts w:ascii="Sakkal Majalla" w:hAnsi="Sakkal Majalla" w:cs="Sakkal Majalla"/>
          <w:sz w:val="28"/>
          <w:szCs w:val="28"/>
        </w:rPr>
        <w:instrText>authors&gt;&lt;/contributors&gt;&lt;auth-address&gt;Department of Management, Indiana University, Bloomington, IN 47405-1701, USA. podsakof@indiana.edu&lt;/auth-address&gt;&lt;titles&gt;&lt;title&gt;Common method biases in behavioral research: a critical review of the literature and recommended remedies&lt;/title&gt;&lt;secondary-title&gt;J Appl Psychol&lt;/secondary-title&gt;&lt;/titles&gt;&lt;periodical&gt;&lt;full-title&gt;J Appl Psychol&lt;/full-title&gt;&lt;/periodical&gt;&lt;pages&gt;879-903&lt;/pages&gt;&lt;volume&gt;88&lt;/volume&gt;&lt;number&gt;5&lt;/number&gt;&lt;edition&gt;2003/10/01&lt;/edition&gt;&lt;keywords&gt;&lt;keyword&gt;Behavior&lt;/keyword&gt;&lt;keyword&gt;Bias&lt;/keyword&gt;&lt;keyword&gt;Humans&lt;/keyword&gt;&lt;keyword&gt;*Psychology, Applied&lt;/keyword&gt;&lt;keyword&gt;*Research Design&lt;/keyword&gt;&lt;keyword&gt;*Statistics as Topic&lt;/keyword&gt;&lt;/keywords&gt;&lt;dates&gt;&lt;year&gt;2003&lt;/year&gt;&lt;pub-dates&gt;&lt;date&gt;Oct&lt;/date&gt;&lt;/pub-dates&gt;&lt;/dates&gt;&lt;isbn&gt;0021-9010 (Print)&amp;#xD;0021-9010 (Linking)&lt;/isbn&gt;&lt;accession-num&gt;14516251&lt;/accession-num&gt;&lt;urls&gt;&lt;related-urls&gt;&lt;url&gt;https://www.ncbi.nlm.nih.gov/pubmed/14516251&lt;/url&gt;&lt;/related-urls&gt;&lt;/urls&gt;&lt;electronic-resource-num&gt;10.1037/0021-9010.88.5.879&lt;/electronic-resource-num&gt;&lt;/record&gt;&lt;/Cite&gt;&lt;/EndNote</w:instrText>
      </w:r>
      <w:r w:rsidR="000C2D81">
        <w:rPr>
          <w:rFonts w:ascii="Sakkal Majalla" w:hAnsi="Sakkal Majalla" w:cs="Sakkal Majalla"/>
          <w:sz w:val="28"/>
          <w:szCs w:val="28"/>
          <w:rtl/>
        </w:rPr>
        <w:instrText>&gt;</w:instrText>
      </w:r>
      <w:r w:rsidR="000C2D81">
        <w:rPr>
          <w:rFonts w:ascii="Sakkal Majalla" w:hAnsi="Sakkal Majalla" w:cs="Sakkal Majalla"/>
          <w:sz w:val="28"/>
          <w:szCs w:val="28"/>
          <w:rtl/>
        </w:rPr>
        <w:fldChar w:fldCharType="separate"/>
      </w:r>
      <w:r w:rsidR="000C2D81">
        <w:rPr>
          <w:rFonts w:ascii="Sakkal Majalla" w:hAnsi="Sakkal Majalla" w:cs="Sakkal Majalla"/>
          <w:noProof/>
          <w:sz w:val="28"/>
          <w:szCs w:val="28"/>
        </w:rPr>
        <w:t>Podsakoff et al</w:t>
      </w:r>
      <w:r w:rsidR="000C2D81">
        <w:rPr>
          <w:rFonts w:ascii="Sakkal Majalla" w:hAnsi="Sakkal Majalla" w:cs="Sakkal Majalla"/>
          <w:noProof/>
          <w:sz w:val="28"/>
          <w:szCs w:val="28"/>
          <w:rtl/>
        </w:rPr>
        <w:t>. (2003)</w:t>
      </w:r>
      <w:r w:rsidR="000C2D81">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على المستوى الوقائي، تم فصل عبارات المتغيرات في أقسام منفصلة، مع التأكيد على سرية واستجابة طوعية للحد من أثر الرغبة الاجتماعية، وصيغت العبارات بلغة واضحة ومباشرة مع التنويع في </w:t>
      </w:r>
      <w:proofErr w:type="spellStart"/>
      <w:r w:rsidRPr="00583CD0">
        <w:rPr>
          <w:rFonts w:ascii="Sakkal Majalla" w:hAnsi="Sakkal Majalla" w:cs="Sakkal Majalla"/>
          <w:sz w:val="28"/>
          <w:szCs w:val="28"/>
          <w:rtl/>
        </w:rPr>
        <w:t>المراسي</w:t>
      </w:r>
      <w:proofErr w:type="spellEnd"/>
      <w:r w:rsidRPr="00583CD0">
        <w:rPr>
          <w:rFonts w:ascii="Sakkal Majalla" w:hAnsi="Sakkal Majalla" w:cs="Sakkal Majalla"/>
          <w:sz w:val="28"/>
          <w:szCs w:val="28"/>
          <w:rtl/>
        </w:rPr>
        <w:t xml:space="preserve"> أينما أمكن، وسمح للمشاركين بالتعبير عن آرائهم بحرية دون اعتبار لوجود إجابات صحيحة أو خاطئة.</w:t>
      </w:r>
    </w:p>
    <w:p w14:paraId="071E7DAF"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lastRenderedPageBreak/>
        <w:t xml:space="preserve">على الصعيد الإحصائي، أُجري اختبار </w:t>
      </w:r>
      <w:proofErr w:type="spellStart"/>
      <w:r w:rsidRPr="00583CD0">
        <w:rPr>
          <w:rFonts w:ascii="Sakkal Majalla" w:hAnsi="Sakkal Majalla" w:cs="Sakkal Majalla"/>
          <w:sz w:val="28"/>
          <w:szCs w:val="28"/>
          <w:rtl/>
        </w:rPr>
        <w:t>هارمون</w:t>
      </w:r>
      <w:proofErr w:type="spellEnd"/>
      <w:r w:rsidRPr="00583CD0">
        <w:rPr>
          <w:rFonts w:ascii="Sakkal Majalla" w:hAnsi="Sakkal Majalla" w:cs="Sakkal Majalla"/>
          <w:sz w:val="28"/>
          <w:szCs w:val="28"/>
          <w:rtl/>
        </w:rPr>
        <w:t xml:space="preserve"> لمُعدّل واحد للتحقق من عدم استئثار عامل واحد بمعظم التباين. كما وُجد أثر لعامل مشترك ضمن التحليل التوكيدي، وتمت مقارنته قبل وبعد إدخاله باستخدام معاملات المسار. تعتبر البيانات خالية من التحيز الجوهري إذا لم يُفسّر العامل الأول غالبية التباين، ولم تتغير معاملات المسار بشكل كبير بعد ضبط العامل المشترك.</w:t>
      </w:r>
    </w:p>
    <w:p w14:paraId="37C8596C"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3.10 الدراسة</w:t>
      </w:r>
      <w:r w:rsidRPr="00875EB7">
        <w:rPr>
          <w:rFonts w:ascii="Sakkal Majalla" w:eastAsia="Arial" w:hAnsi="Sakkal Majalla" w:cs="Sakkal Majalla"/>
          <w:b/>
          <w:bCs/>
          <w:color w:val="auto"/>
          <w:rtl/>
        </w:rPr>
        <w:t xml:space="preserve"> الاستطلاعية</w:t>
      </w:r>
    </w:p>
    <w:p w14:paraId="267648DE" w14:textId="402203B6" w:rsidR="008F00B8" w:rsidRPr="008F00B8" w:rsidRDefault="008F00B8" w:rsidP="008F00B8">
      <w:pPr>
        <w:bidi/>
        <w:spacing w:after="140" w:line="340" w:lineRule="auto"/>
        <w:jc w:val="both"/>
        <w:rPr>
          <w:rFonts w:ascii="Sakkal Majalla" w:hAnsi="Sakkal Majalla" w:cs="Sakkal Majalla"/>
          <w:sz w:val="28"/>
          <w:szCs w:val="28"/>
        </w:rPr>
      </w:pPr>
      <w:r>
        <w:rPr>
          <w:rFonts w:ascii="Sakkal Majalla" w:hAnsi="Sakkal Majalla" w:cs="Sakkal Majalla"/>
          <w:sz w:val="28"/>
          <w:szCs w:val="28"/>
          <w:rtl/>
        </w:rPr>
        <w:t>قبل التطبيق النهائي، سيُجري الباحث دراسة استطلاعية على عينة مكونة من ستين مشاركًا من العاملين في المستشفيات الحكومية بمنطقة الجوف، يُختارون عشوائيًا من مستشفيين مختلفين، ولن يُضمَّنوا في العينة النهائية تجنبًا لأثر التعرُّض المسبق للأداة. وتهدف هذه الدراسة الاستطلاعية إلى التحقق من وضوح الفقرات وسلامة صياغتها اللغوية، وتقدير الزمن اللازم للإجابة، وحساب معاملات الصدق والثبات الأولية، وإجراء التحليل العاملي الاستكشافي للمقياسين المطوَّرين، بالإضافة إلى الكشف عن أي تحديات لوجستية تتعلق بتوزيع الاستبانات واستردادها. وستُعرض نتائجها التفصيلية عند تنفيذها فعليًا.</w:t>
      </w:r>
    </w:p>
    <w:p w14:paraId="60BB5329" w14:textId="00350434" w:rsidR="00BE1BA2" w:rsidRPr="009234C7" w:rsidRDefault="00BE1BA2" w:rsidP="009234C7">
      <w:pPr>
        <w:bidi/>
        <w:spacing w:after="140" w:line="340" w:lineRule="auto"/>
        <w:jc w:val="both"/>
        <w:rPr>
          <w:rFonts w:ascii="Sakkal Majalla" w:hAnsi="Sakkal Majalla" w:cs="Sakkal Majalla"/>
          <w:b/>
          <w:bCs/>
          <w:sz w:val="32"/>
          <w:szCs w:val="32"/>
        </w:rPr>
      </w:pPr>
      <w:r w:rsidRPr="009234C7">
        <w:rPr>
          <w:rFonts w:ascii="Sakkal Majalla" w:hAnsi="Sakkal Majalla" w:cs="Sakkal Majalla"/>
          <w:b/>
          <w:bCs/>
          <w:sz w:val="32"/>
          <w:szCs w:val="32"/>
          <w:rtl/>
        </w:rPr>
        <w:t>3.11 متغيرات</w:t>
      </w:r>
      <w:r w:rsidRPr="009234C7">
        <w:rPr>
          <w:rFonts w:ascii="Sakkal Majalla" w:eastAsia="Arial" w:hAnsi="Sakkal Majalla" w:cs="Sakkal Majalla"/>
          <w:b/>
          <w:bCs/>
          <w:sz w:val="32"/>
          <w:szCs w:val="32"/>
          <w:rtl/>
        </w:rPr>
        <w:t xml:space="preserve"> الدراسة</w:t>
      </w:r>
    </w:p>
    <w:p w14:paraId="0D722AFB" w14:textId="3EE8F034"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يتضمن النموذج البحثي أربعة أنواع من المتغيرات. فالمتغير</w:t>
      </w:r>
      <w:r w:rsidR="00C736B2">
        <w:rPr>
          <w:rFonts w:ascii="Sakkal Majalla" w:hAnsi="Sakkal Majalla" w:cs="Sakkal Majalla" w:hint="cs"/>
          <w:sz w:val="28"/>
          <w:szCs w:val="28"/>
          <w:rtl/>
        </w:rPr>
        <w:t xml:space="preserve"> </w:t>
      </w:r>
      <w:r w:rsidR="00C736B2" w:rsidRPr="00C736B2">
        <w:rPr>
          <w:rFonts w:ascii="Sakkal Majalla" w:hAnsi="Sakkal Majalla" w:cs="Sakkal Majalla"/>
          <w:sz w:val="28"/>
          <w:szCs w:val="28"/>
          <w:rtl/>
        </w:rPr>
        <w:t>المستقل هو القيادة التحويلية (</w:t>
      </w:r>
      <w:r w:rsidR="00C736B2" w:rsidRPr="00C736B2">
        <w:rPr>
          <w:rFonts w:ascii="Sakkal Majalla" w:hAnsi="Sakkal Majalla" w:cs="Sakkal Majalla"/>
          <w:sz w:val="28"/>
          <w:szCs w:val="28"/>
        </w:rPr>
        <w:t>TL</w:t>
      </w:r>
      <w:r w:rsidR="00C736B2" w:rsidRPr="00C736B2">
        <w:rPr>
          <w:rFonts w:ascii="Sakkal Majalla" w:hAnsi="Sakkal Majalla" w:cs="Sakkal Majalla"/>
          <w:sz w:val="28"/>
          <w:szCs w:val="28"/>
          <w:rtl/>
        </w:rPr>
        <w:t xml:space="preserve">) كما يدركها العاملون، ويُقاس بأبعادها الستة وفق مقياس </w:t>
      </w:r>
      <w:r w:rsidR="00C736B2" w:rsidRPr="00C736B2">
        <w:rPr>
          <w:rFonts w:ascii="Sakkal Majalla" w:hAnsi="Sakkal Majalla" w:cs="Sakkal Majalla"/>
          <w:sz w:val="28"/>
          <w:szCs w:val="28"/>
        </w:rPr>
        <w:t>TLI</w:t>
      </w:r>
      <w:r w:rsidR="00C736B2" w:rsidRPr="00C736B2">
        <w:rPr>
          <w:rFonts w:ascii="Sakkal Majalla" w:hAnsi="Sakkal Majalla" w:cs="Sakkal Majalla"/>
          <w:sz w:val="28"/>
          <w:szCs w:val="28"/>
          <w:rtl/>
        </w:rPr>
        <w:t xml:space="preserve"> لـ </w:t>
      </w:r>
      <w:r w:rsidR="00C736B2" w:rsidRPr="00C736B2">
        <w:rPr>
          <w:rFonts w:ascii="Sakkal Majalla" w:hAnsi="Sakkal Majalla" w:cs="Sakkal Majalla"/>
          <w:sz w:val="28"/>
          <w:szCs w:val="28"/>
        </w:rPr>
        <w:t>Podsakoff et al</w:t>
      </w:r>
      <w:r w:rsidR="00C736B2" w:rsidRPr="00C736B2">
        <w:rPr>
          <w:rFonts w:ascii="Sakkal Majalla" w:hAnsi="Sakkal Majalla" w:cs="Sakkal Majalla"/>
          <w:sz w:val="28"/>
          <w:szCs w:val="28"/>
          <w:rtl/>
        </w:rPr>
        <w:t>. (1990)، وهي: صياغة الرؤية، وتقديم النموذج المناسب، وتعزيز قبول الأهداف الجماعية، وتوقعات الأداء العالي، والدعم الفردي، والاستثارة الفكرية، ويُفترض أن تؤثر مباشرة في ثقافة السلامة، وبصورة غير مباشرة في سلوكيات السلامة وتقليل الأحداث الضارة عبر الوساطة المتتابعة."</w:t>
      </w:r>
      <w:r w:rsidRPr="00583CD0">
        <w:rPr>
          <w:rFonts w:ascii="Sakkal Majalla" w:hAnsi="Sakkal Majalla" w:cs="Sakkal Majalla"/>
          <w:sz w:val="28"/>
          <w:szCs w:val="28"/>
          <w:rtl/>
        </w:rPr>
        <w:t>. والمتغير الوسيط الأول هو ثقافة السلامة (</w:t>
      </w:r>
      <w:r w:rsidRPr="00583CD0">
        <w:rPr>
          <w:rFonts w:ascii="Sakkal Majalla" w:hAnsi="Sakkal Majalla" w:cs="Sakkal Majalla"/>
          <w:sz w:val="28"/>
          <w:szCs w:val="28"/>
        </w:rPr>
        <w:t>SC</w:t>
      </w:r>
      <w:r w:rsidRPr="00583CD0">
        <w:rPr>
          <w:rFonts w:ascii="Sakkal Majalla" w:hAnsi="Sakkal Majalla" w:cs="Sakkal Majalla"/>
          <w:sz w:val="28"/>
          <w:szCs w:val="28"/>
          <w:rtl/>
        </w:rPr>
        <w:t>) بأبعادها الأربعة، ويمثل الحلقة الأولى في سلسلة الوساطة، إذ يتأثر بالقيادة التحويلية ويؤثر بدوره في سلوكيات السلامة. والمتغير الوسيط الثاني هو سلوكيات السلامة (</w:t>
      </w:r>
      <w:r w:rsidRPr="00583CD0">
        <w:rPr>
          <w:rFonts w:ascii="Sakkal Majalla" w:hAnsi="Sakkal Majalla" w:cs="Sakkal Majalla"/>
          <w:sz w:val="28"/>
          <w:szCs w:val="28"/>
        </w:rPr>
        <w:t>SB</w:t>
      </w:r>
      <w:r w:rsidRPr="00583CD0">
        <w:rPr>
          <w:rFonts w:ascii="Sakkal Majalla" w:hAnsi="Sakkal Majalla" w:cs="Sakkal Majalla"/>
          <w:sz w:val="28"/>
          <w:szCs w:val="28"/>
          <w:rtl/>
        </w:rPr>
        <w:t>) بعديها (الامتثال والمشاركة)، ويمثل الحلقة الثانية المتأثرة بثقافة السلامة والمؤثرة في المتغير التابع. أما المتغير التابع فهو تقليل الأحداث الضارة (</w:t>
      </w:r>
      <w:r w:rsidRPr="00583CD0">
        <w:rPr>
          <w:rFonts w:ascii="Sakkal Majalla" w:hAnsi="Sakkal Majalla" w:cs="Sakkal Majalla"/>
          <w:sz w:val="28"/>
          <w:szCs w:val="28"/>
        </w:rPr>
        <w:t>AE</w:t>
      </w:r>
      <w:r w:rsidRPr="00583CD0">
        <w:rPr>
          <w:rFonts w:ascii="Sakkal Majalla" w:hAnsi="Sakkal Majalla" w:cs="Sakkal Majalla"/>
          <w:sz w:val="28"/>
          <w:szCs w:val="28"/>
          <w:rtl/>
        </w:rPr>
        <w:t>)، ويمثل النتيجة النهائية، ويُقاس بإدراك العاملين لمدى انخفاض وقوع هذه الأحداث.</w:t>
      </w:r>
    </w:p>
    <w:p w14:paraId="535BC303" w14:textId="7023F444" w:rsidR="00703112" w:rsidRPr="00703112" w:rsidRDefault="00703112" w:rsidP="00703112">
      <w:pPr>
        <w:bidi/>
        <w:spacing w:after="140" w:line="340" w:lineRule="auto"/>
        <w:jc w:val="both"/>
        <w:rPr>
          <w:rFonts w:ascii="Sakkal Majalla" w:hAnsi="Sakkal Majalla" w:cs="Sakkal Majalla" w:hint="cs"/>
          <w:sz w:val="28"/>
          <w:szCs w:val="28"/>
          <w:rtl/>
        </w:rPr>
      </w:pPr>
      <w:r>
        <w:rPr>
          <w:rFonts w:ascii="Sakkal Majalla" w:hAnsi="Sakkal Majalla" w:cs="Sakkal Majalla"/>
          <w:sz w:val="28"/>
          <w:szCs w:val="28"/>
          <w:rtl/>
        </w:rPr>
        <w:t xml:space="preserve">وقد ضُمّنت أربع متغيراتٍ ضابطةٍ لعزل تأثيرها المحتمل عن المتغيرات الأساسية، وهي سنوات الخبرة الوظيفية التي قد تؤثر في إدراك أنماط القيادة وممارسات السلامة، والقسم أو التخصص الطبي الذي قد تختلف بحسبه ثقافة السلامة وسلوكياتها بين الأقسام عالية المخاطر والأقسام الأقل خطورة، ونوع المناوبة الذي قد يؤثر في مستوى الإشراف القيادي والتواصل، والمرتبة الوظيفية التي قد تتباين بحسبها الإدراكات. وستُدخل هذه المتغيرات في النموذج الهيكلي وفق طبيعتها القياسية: يُدخل نوع المناوبة (نهاري/ليلي) كمتغير ثنائي م </w:t>
      </w:r>
      <w:proofErr w:type="spellStart"/>
      <w:r>
        <w:rPr>
          <w:rFonts w:ascii="Sakkal Majalla" w:hAnsi="Sakkal Majalla" w:cs="Sakkal Majalla"/>
          <w:sz w:val="28"/>
          <w:szCs w:val="28"/>
          <w:rtl/>
        </w:rPr>
        <w:t>مرمز</w:t>
      </w:r>
      <w:proofErr w:type="spellEnd"/>
      <w:r>
        <w:rPr>
          <w:rFonts w:ascii="Sakkal Majalla" w:hAnsi="Sakkal Majalla" w:cs="Sakkal Majalla"/>
          <w:sz w:val="28"/>
          <w:szCs w:val="28"/>
          <w:rtl/>
        </w:rPr>
        <w:t xml:space="preserve"> (0/1)، بينما يُدخل القسم أو التخصص الطبي والمرتبة الوظيفية عبر ترميز المتغيرات الوهمية (</w:t>
      </w:r>
      <w:r>
        <w:rPr>
          <w:rFonts w:ascii="Sakkal Majalla" w:hAnsi="Sakkal Majalla" w:cs="Sakkal Majalla"/>
          <w:sz w:val="28"/>
          <w:szCs w:val="28"/>
        </w:rPr>
        <w:t>Dummy Coding</w:t>
      </w:r>
      <w:r>
        <w:rPr>
          <w:rFonts w:ascii="Sakkal Majalla" w:hAnsi="Sakkal Majalla" w:cs="Sakkal Majalla"/>
          <w:sz w:val="28"/>
          <w:szCs w:val="28"/>
          <w:rtl/>
        </w:rPr>
        <w:t>) مقارنة بفئة مرجعية محددة مسبقًا، في حين تُدخل سنوات الخبرة الوظيفية كمتغير مستمر أو شبه مستمر وفق طريقة قياسها في الاستبانة.</w:t>
      </w:r>
    </w:p>
    <w:p w14:paraId="24D4EDD5" w14:textId="02553DA2" w:rsidR="00BE1BA2" w:rsidRPr="00703112" w:rsidRDefault="00BE1BA2" w:rsidP="00703112">
      <w:pPr>
        <w:bidi/>
        <w:spacing w:after="140" w:line="340" w:lineRule="auto"/>
        <w:jc w:val="both"/>
        <w:rPr>
          <w:rFonts w:ascii="Sakkal Majalla" w:hAnsi="Sakkal Majalla" w:cs="Sakkal Majalla"/>
          <w:b/>
          <w:bCs/>
          <w:sz w:val="32"/>
          <w:szCs w:val="32"/>
        </w:rPr>
      </w:pPr>
      <w:r w:rsidRPr="00703112">
        <w:rPr>
          <w:rFonts w:ascii="Sakkal Majalla" w:hAnsi="Sakkal Majalla" w:cs="Sakkal Majalla"/>
          <w:b/>
          <w:bCs/>
          <w:sz w:val="32"/>
          <w:szCs w:val="32"/>
          <w:rtl/>
        </w:rPr>
        <w:t>3.12 تصميم</w:t>
      </w:r>
      <w:r w:rsidRPr="00703112">
        <w:rPr>
          <w:rFonts w:ascii="Sakkal Majalla" w:eastAsia="Arial" w:hAnsi="Sakkal Majalla" w:cs="Sakkal Majalla"/>
          <w:b/>
          <w:bCs/>
          <w:sz w:val="32"/>
          <w:szCs w:val="32"/>
          <w:rtl/>
        </w:rPr>
        <w:t xml:space="preserve"> الدراسة ونموذجها</w:t>
      </w:r>
    </w:p>
    <w:p w14:paraId="17B4C68B"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lastRenderedPageBreak/>
        <w:t>3.12.1 نموذج</w:t>
      </w:r>
      <w:r w:rsidRPr="00875EB7">
        <w:rPr>
          <w:rFonts w:ascii="Sakkal Majalla" w:eastAsia="Arial" w:hAnsi="Sakkal Majalla" w:cs="Sakkal Majalla"/>
          <w:b/>
          <w:bCs/>
          <w:color w:val="auto"/>
          <w:sz w:val="28"/>
          <w:szCs w:val="28"/>
          <w:rtl/>
        </w:rPr>
        <w:t xml:space="preserve"> الوساطة المتتابعة</w:t>
      </w:r>
    </w:p>
    <w:p w14:paraId="0D3184E3" w14:textId="5307A3F9"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يعتمد تصميم الدراسة على نموذج الوساطة المتتابعة (</w:t>
      </w:r>
      <w:r w:rsidRPr="00583CD0">
        <w:rPr>
          <w:rFonts w:ascii="Sakkal Majalla" w:hAnsi="Sakkal Majalla" w:cs="Sakkal Majalla"/>
          <w:sz w:val="28"/>
          <w:szCs w:val="28"/>
        </w:rPr>
        <w:t>Serial Mediation Model</w:t>
      </w:r>
      <w:r w:rsidRPr="00583CD0">
        <w:rPr>
          <w:rFonts w:ascii="Sakkal Majalla" w:hAnsi="Sakkal Majalla" w:cs="Sakkal Majalla"/>
          <w:sz w:val="28"/>
          <w:szCs w:val="28"/>
          <w:rtl/>
        </w:rPr>
        <w:t>) الذي يفترض مسارًا متسلسلًا من المتغير المستقل إلى المتغير التابع عبر وسيطين مرتّبين نظريًا، ويُعبَّر عنه بالمسار (</w:t>
      </w:r>
      <w:r w:rsidRPr="00583CD0">
        <w:rPr>
          <w:rFonts w:ascii="Sakkal Majalla" w:hAnsi="Sakkal Majalla" w:cs="Sakkal Majalla"/>
          <w:sz w:val="28"/>
          <w:szCs w:val="28"/>
        </w:rPr>
        <w:t xml:space="preserve">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xml:space="preserve">)؛ أي أن القيادة التحويلية تؤثر في ثقافة السلامة التي تؤثر بدورها في سلوكيات السلامة، التي تُفضي في النهاية إلى تقليل الأحداث الضارة. ويُقدَّر هذا النموذج بأكمله ضمن نمذجة المعادلات الهيكلية بمتغيراتٍ كامنةٍ في برنامج </w:t>
      </w:r>
      <w:r w:rsidRPr="00583CD0">
        <w:rPr>
          <w:rFonts w:ascii="Sakkal Majalla" w:hAnsi="Sakkal Majalla" w:cs="Sakkal Majalla"/>
          <w:sz w:val="28"/>
          <w:szCs w:val="28"/>
        </w:rPr>
        <w:t>AMOS</w:t>
      </w:r>
      <w:r w:rsidRPr="00583CD0">
        <w:rPr>
          <w:rFonts w:ascii="Sakkal Majalla" w:hAnsi="Sakkal Majalla" w:cs="Sakkal Majalla"/>
          <w:sz w:val="28"/>
          <w:szCs w:val="28"/>
          <w:rtl/>
        </w:rPr>
        <w:t xml:space="preserve">، مع أخذ في الاعتبار خطأ القياس وإتاحة اختبار المسارات المباشرة وغير المباشرة في إطارٍ واحدٍ متكامل، مع اختبار دلالة التأثيرات غير المباشرة بأسلوب </w:t>
      </w:r>
      <w:r w:rsidRPr="00583CD0">
        <w:rPr>
          <w:rFonts w:ascii="Sakkal Majalla" w:hAnsi="Sakkal Majalla" w:cs="Sakkal Majalla"/>
          <w:sz w:val="28"/>
          <w:szCs w:val="28"/>
        </w:rPr>
        <w:t>Bootstrap</w:t>
      </w:r>
      <w:r w:rsidRPr="00583CD0">
        <w:rPr>
          <w:rFonts w:ascii="Sakkal Majalla" w:hAnsi="Sakkal Majalla" w:cs="Sakkal Majalla"/>
          <w:sz w:val="28"/>
          <w:szCs w:val="28"/>
          <w:rtl/>
        </w:rPr>
        <w:t xml:space="preserve">. ويُشار إلى النموذج السادس من تصنيف </w:t>
      </w:r>
      <w:r w:rsidR="002E350D">
        <w:rPr>
          <w:rFonts w:ascii="Sakkal Majalla" w:hAnsi="Sakkal Majalla" w:cs="Sakkal Majalla"/>
          <w:sz w:val="28"/>
          <w:szCs w:val="28"/>
          <w:rtl/>
        </w:rPr>
        <w:fldChar w:fldCharType="begin"/>
      </w:r>
      <w:r w:rsidR="002E350D">
        <w:rPr>
          <w:rFonts w:ascii="Sakkal Majalla" w:hAnsi="Sakkal Majalla" w:cs="Sakkal Majalla"/>
          <w:sz w:val="28"/>
          <w:szCs w:val="28"/>
          <w:rtl/>
        </w:rPr>
        <w:instrText xml:space="preserve"> </w:instrText>
      </w:r>
      <w:r w:rsidR="002E350D">
        <w:rPr>
          <w:rFonts w:ascii="Sakkal Majalla" w:hAnsi="Sakkal Majalla" w:cs="Sakkal Majalla"/>
          <w:sz w:val="28"/>
          <w:szCs w:val="28"/>
        </w:rPr>
        <w:instrText>ADDIN EN.CITE &lt;EndNote&gt;&lt;Cite&gt;&lt;Author&gt;Hayes&lt;/Author&gt;&lt;Year&gt;2013&lt;/Year&gt;&lt;RecNum&gt;272&lt;/RecNum&gt;&lt;DisplayText&gt;(Hayes, 2013)&lt;/DisplayText&gt;&lt;record&gt;&lt;rec-number&gt;272&lt;/rec-number&gt;&lt;foreign-keys&gt;&lt;key app="EN" db-id="02retxxrerxdxhe9aphvs0z2t9z25p0ew99s" timestamp="178180</w:instrText>
      </w:r>
      <w:r w:rsidR="002E350D">
        <w:rPr>
          <w:rFonts w:ascii="Sakkal Majalla" w:hAnsi="Sakkal Majalla" w:cs="Sakkal Majalla"/>
          <w:sz w:val="28"/>
          <w:szCs w:val="28"/>
          <w:rtl/>
        </w:rPr>
        <w:instrText>6388"&gt;272&lt;/</w:instrText>
      </w:r>
      <w:r w:rsidR="002E350D">
        <w:rPr>
          <w:rFonts w:ascii="Sakkal Majalla" w:hAnsi="Sakkal Majalla" w:cs="Sakkal Majalla"/>
          <w:sz w:val="28"/>
          <w:szCs w:val="28"/>
        </w:rPr>
        <w:instrText>key&gt;&lt;/foreign-keys&gt;&lt;ref-type name="Conference Proceedings"&gt;10&lt;/ref-type&gt;&lt;contributors&gt;&lt;authors&gt;&lt;author&gt;Hayes, Andrew F.&lt;/author&gt;&lt;/authors&gt;&lt;/contributors&gt;&lt;titles&gt;&lt;title&gt;Introduction to Mediation, Moderation, and Conditional Process Analysis: A Regression-Based Approach&lt;/title&gt;&lt;/titles&gt;&lt;dates&gt;&lt;year&gt;2013&lt;/year&gt;&lt;/dates&gt;&lt;urls&gt;&lt;/urls&gt;&lt;/record&gt;&lt;/Cite&gt;&lt;/EndNote</w:instrText>
      </w:r>
      <w:r w:rsidR="002E350D">
        <w:rPr>
          <w:rFonts w:ascii="Sakkal Majalla" w:hAnsi="Sakkal Majalla" w:cs="Sakkal Majalla"/>
          <w:sz w:val="28"/>
          <w:szCs w:val="28"/>
          <w:rtl/>
        </w:rPr>
        <w:instrText>&gt;</w:instrText>
      </w:r>
      <w:r w:rsidR="002E350D">
        <w:rPr>
          <w:rFonts w:ascii="Sakkal Majalla" w:hAnsi="Sakkal Majalla" w:cs="Sakkal Majalla"/>
          <w:sz w:val="28"/>
          <w:szCs w:val="28"/>
          <w:rtl/>
        </w:rPr>
        <w:fldChar w:fldCharType="separate"/>
      </w:r>
      <w:r w:rsidR="002E350D">
        <w:rPr>
          <w:rFonts w:ascii="Sakkal Majalla" w:hAnsi="Sakkal Majalla" w:cs="Sakkal Majalla"/>
          <w:noProof/>
          <w:sz w:val="28"/>
          <w:szCs w:val="28"/>
          <w:rtl/>
        </w:rPr>
        <w:t>(</w:t>
      </w:r>
      <w:r w:rsidR="002E350D">
        <w:rPr>
          <w:rFonts w:ascii="Sakkal Majalla" w:hAnsi="Sakkal Majalla" w:cs="Sakkal Majalla"/>
          <w:noProof/>
          <w:sz w:val="28"/>
          <w:szCs w:val="28"/>
        </w:rPr>
        <w:t>Hayes, 2013</w:t>
      </w:r>
      <w:r w:rsidR="002E350D">
        <w:rPr>
          <w:rFonts w:ascii="Sakkal Majalla" w:hAnsi="Sakkal Majalla" w:cs="Sakkal Majalla"/>
          <w:noProof/>
          <w:sz w:val="28"/>
          <w:szCs w:val="28"/>
          <w:rtl/>
        </w:rPr>
        <w:t>)</w:t>
      </w:r>
      <w:r w:rsidR="002E350D">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للوساطة المتتابعة بوصفه توصيفًا مفاهيميًا لبنية هذا المسار فحسب، ولا يُعد أداةً للتقدير، إذ يُجري التقدير الفعلي ضمن النمذجة الكامنة على النحو المذكور.</w:t>
      </w:r>
    </w:p>
    <w:p w14:paraId="3FC3A965"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3.12.2 المسارات</w:t>
      </w:r>
      <w:r w:rsidRPr="00875EB7">
        <w:rPr>
          <w:rFonts w:ascii="Sakkal Majalla" w:eastAsia="Arial" w:hAnsi="Sakkal Majalla" w:cs="Sakkal Majalla"/>
          <w:b/>
          <w:bCs/>
          <w:color w:val="auto"/>
          <w:sz w:val="28"/>
          <w:szCs w:val="28"/>
          <w:rtl/>
        </w:rPr>
        <w:t xml:space="preserve"> السببية المفترضة</w:t>
      </w:r>
    </w:p>
    <w:p w14:paraId="5046529E" w14:textId="77777777" w:rsidR="00BE1BA2" w:rsidRDefault="00BE1BA2" w:rsidP="00BE1BA2">
      <w:pPr>
        <w:bidi/>
        <w:spacing w:after="140" w:line="340" w:lineRule="auto"/>
        <w:jc w:val="both"/>
        <w:rPr>
          <w:rFonts w:ascii="Sakkal Majalla" w:hAnsi="Sakkal Majalla" w:cs="Sakkal Majalla"/>
          <w:sz w:val="28"/>
          <w:szCs w:val="28"/>
          <w:rtl/>
        </w:rPr>
      </w:pPr>
      <w:r w:rsidRPr="00583CD0">
        <w:rPr>
          <w:rFonts w:ascii="Sakkal Majalla" w:hAnsi="Sakkal Majalla" w:cs="Sakkal Majalla"/>
          <w:sz w:val="28"/>
          <w:szCs w:val="28"/>
          <w:rtl/>
        </w:rPr>
        <w:t xml:space="preserve">يحتوي النموذج على مسارات مباشرة يمكن تمييزها، منها: المسار </w:t>
      </w:r>
      <w:r w:rsidRPr="00583CD0">
        <w:rPr>
          <w:rFonts w:ascii="Sakkal Majalla" w:hAnsi="Sakkal Majalla" w:cs="Sakkal Majalla"/>
          <w:sz w:val="28"/>
          <w:szCs w:val="28"/>
        </w:rPr>
        <w:t>a</w:t>
      </w:r>
      <w:r w:rsidRPr="00583CD0">
        <w:rPr>
          <w:rFonts w:ascii="Cambria Math" w:hAnsi="Cambria Math" w:cs="Cambria Math"/>
          <w:sz w:val="28"/>
          <w:szCs w:val="28"/>
        </w:rPr>
        <w:t>₁</w:t>
      </w:r>
      <w:r w:rsidRPr="00583CD0">
        <w:rPr>
          <w:rFonts w:ascii="Sakkal Majalla" w:hAnsi="Sakkal Majalla" w:cs="Sakkal Majalla"/>
          <w:sz w:val="28"/>
          <w:szCs w:val="28"/>
          <w:rtl/>
        </w:rPr>
        <w:t xml:space="preserve"> من القيادة التحويلية إلى ثقافة السلامة (</w:t>
      </w:r>
      <w:r w:rsidRPr="00583CD0">
        <w:rPr>
          <w:rFonts w:ascii="Sakkal Majalla" w:hAnsi="Sakkal Majalla" w:cs="Sakkal Majalla"/>
          <w:sz w:val="28"/>
          <w:szCs w:val="28"/>
        </w:rPr>
        <w:t xml:space="preserve">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SC</w:t>
      </w:r>
      <w:r w:rsidRPr="00583CD0">
        <w:rPr>
          <w:rFonts w:ascii="Sakkal Majalla" w:hAnsi="Sakkal Majalla" w:cs="Sakkal Majalla"/>
          <w:sz w:val="28"/>
          <w:szCs w:val="28"/>
          <w:rtl/>
        </w:rPr>
        <w:t xml:space="preserve">)، والمسار </w:t>
      </w:r>
      <w:r w:rsidRPr="00583CD0">
        <w:rPr>
          <w:rFonts w:ascii="Sakkal Majalla" w:hAnsi="Sakkal Majalla" w:cs="Sakkal Majalla"/>
          <w:sz w:val="28"/>
          <w:szCs w:val="28"/>
        </w:rPr>
        <w:t>a</w:t>
      </w:r>
      <w:r w:rsidRPr="00583CD0">
        <w:rPr>
          <w:rFonts w:ascii="Cambria Math" w:hAnsi="Cambria Math" w:cs="Cambria Math"/>
          <w:sz w:val="28"/>
          <w:szCs w:val="28"/>
        </w:rPr>
        <w:t>₂</w:t>
      </w:r>
      <w:r w:rsidRPr="00583CD0">
        <w:rPr>
          <w:rFonts w:ascii="Sakkal Majalla" w:hAnsi="Sakkal Majalla" w:cs="Sakkal Majalla"/>
          <w:sz w:val="28"/>
          <w:szCs w:val="28"/>
          <w:rtl/>
        </w:rPr>
        <w:t xml:space="preserve"> من القيادة التحويلية إلى سلوكيات السلامة (</w:t>
      </w:r>
      <w:r w:rsidRPr="00583CD0">
        <w:rPr>
          <w:rFonts w:ascii="Sakkal Majalla" w:hAnsi="Sakkal Majalla" w:cs="Sakkal Majalla"/>
          <w:sz w:val="28"/>
          <w:szCs w:val="28"/>
        </w:rPr>
        <w:t xml:space="preserve">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w:t>
      </w:r>
      <w:r w:rsidRPr="00583CD0">
        <w:rPr>
          <w:rFonts w:ascii="Sakkal Majalla" w:hAnsi="Sakkal Majalla" w:cs="Sakkal Majalla"/>
          <w:sz w:val="28"/>
          <w:szCs w:val="28"/>
          <w:rtl/>
        </w:rPr>
        <w:t xml:space="preserve">)، والمسار </w:t>
      </w:r>
      <w:r w:rsidRPr="00583CD0">
        <w:rPr>
          <w:rFonts w:ascii="Sakkal Majalla" w:hAnsi="Sakkal Majalla" w:cs="Sakkal Majalla"/>
          <w:sz w:val="28"/>
          <w:szCs w:val="28"/>
        </w:rPr>
        <w:t>d</w:t>
      </w:r>
      <w:r w:rsidRPr="00583CD0">
        <w:rPr>
          <w:rFonts w:ascii="Cambria Math" w:hAnsi="Cambria Math" w:cs="Cambria Math"/>
          <w:sz w:val="28"/>
          <w:szCs w:val="28"/>
        </w:rPr>
        <w:t>₂₁</w:t>
      </w:r>
      <w:r w:rsidRPr="00583CD0">
        <w:rPr>
          <w:rFonts w:ascii="Sakkal Majalla" w:hAnsi="Sakkal Majalla" w:cs="Sakkal Majalla"/>
          <w:sz w:val="28"/>
          <w:szCs w:val="28"/>
          <w:rtl/>
        </w:rPr>
        <w:t xml:space="preserve"> من ثقافة السلامة إلى سلوكيات السلامة (</w:t>
      </w:r>
      <w:r w:rsidRPr="00583CD0">
        <w:rPr>
          <w:rFonts w:ascii="Sakkal Majalla" w:hAnsi="Sakkal Majalla" w:cs="Sakkal Majalla"/>
          <w:sz w:val="28"/>
          <w:szCs w:val="28"/>
        </w:rPr>
        <w:t xml:space="preserve">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w:t>
      </w:r>
      <w:r w:rsidRPr="00583CD0">
        <w:rPr>
          <w:rFonts w:ascii="Sakkal Majalla" w:hAnsi="Sakkal Majalla" w:cs="Sakkal Majalla"/>
          <w:sz w:val="28"/>
          <w:szCs w:val="28"/>
          <w:rtl/>
        </w:rPr>
        <w:t xml:space="preserve">)، والمسار </w:t>
      </w:r>
      <w:r w:rsidRPr="00583CD0">
        <w:rPr>
          <w:rFonts w:ascii="Sakkal Majalla" w:hAnsi="Sakkal Majalla" w:cs="Sakkal Majalla"/>
          <w:sz w:val="28"/>
          <w:szCs w:val="28"/>
        </w:rPr>
        <w:t>b</w:t>
      </w:r>
      <w:r w:rsidRPr="00583CD0">
        <w:rPr>
          <w:rFonts w:ascii="Cambria Math" w:hAnsi="Cambria Math" w:cs="Cambria Math"/>
          <w:sz w:val="28"/>
          <w:szCs w:val="28"/>
        </w:rPr>
        <w:t>₁</w:t>
      </w:r>
      <w:r w:rsidRPr="00583CD0">
        <w:rPr>
          <w:rFonts w:ascii="Sakkal Majalla" w:hAnsi="Sakkal Majalla" w:cs="Sakkal Majalla"/>
          <w:sz w:val="28"/>
          <w:szCs w:val="28"/>
          <w:rtl/>
        </w:rPr>
        <w:t xml:space="preserve"> من ثقافة السلامة إلى تقليل الأحداث الضارة (</w:t>
      </w:r>
      <w:r w:rsidRPr="00583CD0">
        <w:rPr>
          <w:rFonts w:ascii="Sakkal Majalla" w:hAnsi="Sakkal Majalla" w:cs="Sakkal Majalla"/>
          <w:sz w:val="28"/>
          <w:szCs w:val="28"/>
        </w:rPr>
        <w:t xml:space="preserve">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xml:space="preserve">)، والمسار </w:t>
      </w:r>
      <w:r w:rsidRPr="00583CD0">
        <w:rPr>
          <w:rFonts w:ascii="Sakkal Majalla" w:hAnsi="Sakkal Majalla" w:cs="Sakkal Majalla"/>
          <w:sz w:val="28"/>
          <w:szCs w:val="28"/>
        </w:rPr>
        <w:t>b</w:t>
      </w:r>
      <w:r w:rsidRPr="00583CD0">
        <w:rPr>
          <w:rFonts w:ascii="Cambria Math" w:hAnsi="Cambria Math" w:cs="Cambria Math"/>
          <w:sz w:val="28"/>
          <w:szCs w:val="28"/>
        </w:rPr>
        <w:t>₂</w:t>
      </w:r>
      <w:r w:rsidRPr="00583CD0">
        <w:rPr>
          <w:rFonts w:ascii="Sakkal Majalla" w:hAnsi="Sakkal Majalla" w:cs="Sakkal Majalla"/>
          <w:sz w:val="28"/>
          <w:szCs w:val="28"/>
          <w:rtl/>
        </w:rPr>
        <w:t xml:space="preserve"> من سلوكيات السلامة إلى تقليل الأحداث الضارة (</w:t>
      </w:r>
      <w:r w:rsidRPr="00583CD0">
        <w:rPr>
          <w:rFonts w:ascii="Sakkal Majalla" w:hAnsi="Sakkal Majalla" w:cs="Sakkal Majalla"/>
          <w:sz w:val="28"/>
          <w:szCs w:val="28"/>
        </w:rPr>
        <w:t xml:space="preserve">SB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xml:space="preserve">)، والمسار المباشر </w:t>
      </w:r>
      <w:r w:rsidRPr="00583CD0">
        <w:rPr>
          <w:rFonts w:ascii="Times New Roman" w:hAnsi="Times New Roman" w:cs="Times New Roman" w:hint="cs"/>
          <w:sz w:val="28"/>
          <w:szCs w:val="28"/>
          <w:rtl/>
        </w:rPr>
        <w:t>ʹ</w:t>
      </w:r>
      <w:r w:rsidRPr="00583CD0">
        <w:rPr>
          <w:rFonts w:ascii="Sakkal Majalla" w:hAnsi="Sakkal Majalla" w:cs="Sakkal Majalla"/>
          <w:sz w:val="28"/>
          <w:szCs w:val="28"/>
        </w:rPr>
        <w:t>c</w:t>
      </w:r>
      <w:r w:rsidRPr="00583CD0">
        <w:rPr>
          <w:rFonts w:ascii="Sakkal Majalla" w:hAnsi="Sakkal Majalla" w:cs="Sakkal Majalla"/>
          <w:sz w:val="28"/>
          <w:szCs w:val="28"/>
          <w:rtl/>
        </w:rPr>
        <w:t xml:space="preserve"> من القيادة التحويلية إلى تقليل الأحداث الضارة (</w:t>
      </w:r>
      <w:r w:rsidRPr="00583CD0">
        <w:rPr>
          <w:rFonts w:ascii="Sakkal Majalla" w:hAnsi="Sakkal Majalla" w:cs="Sakkal Majalla"/>
          <w:sz w:val="28"/>
          <w:szCs w:val="28"/>
        </w:rPr>
        <w:t xml:space="preserve">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بالإضافة إلى ذلك، هناك تأثيرات غير مباشرة تتفرع من هذه المسارات، منها: التأثير عبر ثقافة السلامة في سلوكيات السلامة (</w:t>
      </w:r>
      <w:r w:rsidRPr="00583CD0">
        <w:rPr>
          <w:rFonts w:ascii="Sakkal Majalla" w:hAnsi="Sakkal Majalla" w:cs="Sakkal Majalla"/>
          <w:sz w:val="28"/>
          <w:szCs w:val="28"/>
        </w:rPr>
        <w:t>a</w:t>
      </w:r>
      <w:r w:rsidRPr="00583CD0">
        <w:rPr>
          <w:rFonts w:ascii="Cambria Math" w:hAnsi="Cambria Math" w:cs="Cambria Math"/>
          <w:sz w:val="28"/>
          <w:szCs w:val="28"/>
        </w:rPr>
        <w:t>₁</w:t>
      </w:r>
      <w:r w:rsidRPr="00583CD0">
        <w:rPr>
          <w:rFonts w:ascii="Sakkal Majalla" w:hAnsi="Sakkal Majalla" w:cs="Sakkal Majalla"/>
          <w:sz w:val="28"/>
          <w:szCs w:val="28"/>
        </w:rPr>
        <w:t xml:space="preserve"> × d</w:t>
      </w:r>
      <w:r w:rsidRPr="00583CD0">
        <w:rPr>
          <w:rFonts w:ascii="Cambria Math" w:hAnsi="Cambria Math" w:cs="Cambria Math"/>
          <w:sz w:val="28"/>
          <w:szCs w:val="28"/>
        </w:rPr>
        <w:t>₂₁</w:t>
      </w:r>
      <w:r w:rsidRPr="00583CD0">
        <w:rPr>
          <w:rFonts w:ascii="Sakkal Majalla" w:hAnsi="Sakkal Majalla" w:cs="Sakkal Majalla"/>
          <w:sz w:val="28"/>
          <w:szCs w:val="28"/>
        </w:rPr>
        <w:t xml:space="preserve">: 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w:t>
      </w:r>
      <w:r w:rsidRPr="00583CD0">
        <w:rPr>
          <w:rFonts w:ascii="Sakkal Majalla" w:hAnsi="Sakkal Majalla" w:cs="Sakkal Majalla"/>
          <w:sz w:val="28"/>
          <w:szCs w:val="28"/>
          <w:rtl/>
        </w:rPr>
        <w:t>)، وهو موضوع الفرضية الرابعة، والتأثير عبر ثقافة السلامة في تقليل الأحداث الضارة (</w:t>
      </w:r>
      <w:r w:rsidRPr="00583CD0">
        <w:rPr>
          <w:rFonts w:ascii="Sakkal Majalla" w:hAnsi="Sakkal Majalla" w:cs="Sakkal Majalla"/>
          <w:sz w:val="28"/>
          <w:szCs w:val="28"/>
        </w:rPr>
        <w:t>a</w:t>
      </w:r>
      <w:r w:rsidRPr="00583CD0">
        <w:rPr>
          <w:rFonts w:ascii="Cambria Math" w:hAnsi="Cambria Math" w:cs="Cambria Math"/>
          <w:sz w:val="28"/>
          <w:szCs w:val="28"/>
        </w:rPr>
        <w:t>₁</w:t>
      </w:r>
      <w:r w:rsidRPr="00583CD0">
        <w:rPr>
          <w:rFonts w:ascii="Sakkal Majalla" w:hAnsi="Sakkal Majalla" w:cs="Sakkal Majalla"/>
          <w:sz w:val="28"/>
          <w:szCs w:val="28"/>
        </w:rPr>
        <w:t xml:space="preserve"> × b</w:t>
      </w:r>
      <w:r w:rsidRPr="00583CD0">
        <w:rPr>
          <w:rFonts w:ascii="Cambria Math" w:hAnsi="Cambria Math" w:cs="Cambria Math"/>
          <w:sz w:val="28"/>
          <w:szCs w:val="28"/>
        </w:rPr>
        <w:t>₁</w:t>
      </w:r>
      <w:r w:rsidRPr="00583CD0">
        <w:rPr>
          <w:rFonts w:ascii="Sakkal Majalla" w:hAnsi="Sakkal Majalla" w:cs="Sakkal Majalla"/>
          <w:sz w:val="28"/>
          <w:szCs w:val="28"/>
        </w:rPr>
        <w:t xml:space="preserve">: 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والتأثير عبر سلوكيات السلامة في تقليل الأحداث الضارة (</w:t>
      </w:r>
      <w:r w:rsidRPr="00583CD0">
        <w:rPr>
          <w:rFonts w:ascii="Sakkal Majalla" w:hAnsi="Sakkal Majalla" w:cs="Sakkal Majalla"/>
          <w:sz w:val="28"/>
          <w:szCs w:val="28"/>
        </w:rPr>
        <w:t>a</w:t>
      </w:r>
      <w:r w:rsidRPr="00583CD0">
        <w:rPr>
          <w:rFonts w:ascii="Cambria Math" w:hAnsi="Cambria Math" w:cs="Cambria Math"/>
          <w:sz w:val="28"/>
          <w:szCs w:val="28"/>
        </w:rPr>
        <w:t>₂</w:t>
      </w:r>
      <w:r w:rsidRPr="00583CD0">
        <w:rPr>
          <w:rFonts w:ascii="Sakkal Majalla" w:hAnsi="Sakkal Majalla" w:cs="Sakkal Majalla"/>
          <w:sz w:val="28"/>
          <w:szCs w:val="28"/>
        </w:rPr>
        <w:t xml:space="preserve"> × b</w:t>
      </w:r>
      <w:r w:rsidRPr="00583CD0">
        <w:rPr>
          <w:rFonts w:ascii="Cambria Math" w:hAnsi="Cambria Math" w:cs="Cambria Math"/>
          <w:sz w:val="28"/>
          <w:szCs w:val="28"/>
        </w:rPr>
        <w:t>₂</w:t>
      </w:r>
      <w:r w:rsidRPr="00583CD0">
        <w:rPr>
          <w:rFonts w:ascii="Sakkal Majalla" w:hAnsi="Sakkal Majalla" w:cs="Sakkal Majalla"/>
          <w:sz w:val="28"/>
          <w:szCs w:val="28"/>
        </w:rPr>
        <w:t xml:space="preserve">: 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وأخيرًا، التأثير غير المباشر الأخير الذي تختبره الفرضية الخامسة (</w:t>
      </w:r>
      <w:r w:rsidRPr="00583CD0">
        <w:rPr>
          <w:rFonts w:ascii="Sakkal Majalla" w:hAnsi="Sakkal Majalla" w:cs="Sakkal Majalla"/>
          <w:sz w:val="28"/>
          <w:szCs w:val="28"/>
        </w:rPr>
        <w:t>a</w:t>
      </w:r>
      <w:r w:rsidRPr="00583CD0">
        <w:rPr>
          <w:rFonts w:ascii="Cambria Math" w:hAnsi="Cambria Math" w:cs="Cambria Math"/>
          <w:sz w:val="28"/>
          <w:szCs w:val="28"/>
        </w:rPr>
        <w:t>₁</w:t>
      </w:r>
      <w:r w:rsidRPr="00583CD0">
        <w:rPr>
          <w:rFonts w:ascii="Sakkal Majalla" w:hAnsi="Sakkal Majalla" w:cs="Sakkal Majalla"/>
          <w:sz w:val="28"/>
          <w:szCs w:val="28"/>
        </w:rPr>
        <w:t xml:space="preserve"> × d</w:t>
      </w:r>
      <w:r w:rsidRPr="00583CD0">
        <w:rPr>
          <w:rFonts w:ascii="Cambria Math" w:hAnsi="Cambria Math" w:cs="Cambria Math"/>
          <w:sz w:val="28"/>
          <w:szCs w:val="28"/>
        </w:rPr>
        <w:t>₂₁</w:t>
      </w:r>
      <w:r w:rsidRPr="00583CD0">
        <w:rPr>
          <w:rFonts w:ascii="Sakkal Majalla" w:hAnsi="Sakkal Majalla" w:cs="Sakkal Majalla"/>
          <w:sz w:val="28"/>
          <w:szCs w:val="28"/>
        </w:rPr>
        <w:t xml:space="preserve"> × b</w:t>
      </w:r>
      <w:r w:rsidRPr="00583CD0">
        <w:rPr>
          <w:rFonts w:ascii="Cambria Math" w:hAnsi="Cambria Math" w:cs="Cambria Math"/>
          <w:sz w:val="28"/>
          <w:szCs w:val="28"/>
        </w:rPr>
        <w:t>₂</w:t>
      </w:r>
      <w:r w:rsidRPr="00583CD0">
        <w:rPr>
          <w:rFonts w:ascii="Sakkal Majalla" w:hAnsi="Sakkal Majalla" w:cs="Sakkal Majalla"/>
          <w:sz w:val="28"/>
          <w:szCs w:val="28"/>
        </w:rPr>
        <w:t xml:space="preserve">: 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AE</w:t>
      </w:r>
      <w:r w:rsidRPr="00583CD0">
        <w:rPr>
          <w:rFonts w:ascii="Sakkal Majalla" w:hAnsi="Sakkal Majalla" w:cs="Sakkal Majalla"/>
          <w:sz w:val="28"/>
          <w:szCs w:val="28"/>
          <w:rtl/>
        </w:rPr>
        <w:t>). يُمثل مجموع التأثيرات المباشرة وغير المباشرة التأثير الكلي للقيادة التحويلية على تقليل الأحداث الضارة.</w:t>
      </w:r>
    </w:p>
    <w:p w14:paraId="6E9FC07F" w14:textId="2D410C0E" w:rsidR="00C72EA8" w:rsidRPr="00C72EA8" w:rsidRDefault="00C72EA8" w:rsidP="00C72EA8">
      <w:pPr>
        <w:bidi/>
        <w:spacing w:after="140" w:line="340" w:lineRule="auto"/>
        <w:jc w:val="both"/>
        <w:rPr>
          <w:rFonts w:ascii="Sakkal Majalla" w:hAnsi="Sakkal Majalla" w:cs="Sakkal Majalla" w:hint="cs"/>
          <w:sz w:val="28"/>
          <w:szCs w:val="28"/>
        </w:rPr>
      </w:pPr>
      <w:r>
        <w:rPr>
          <w:rFonts w:ascii="Sakkal Majalla" w:hAnsi="Sakkal Majalla" w:cs="Sakkal Majalla"/>
          <w:sz w:val="28"/>
          <w:szCs w:val="28"/>
          <w:rtl/>
        </w:rPr>
        <w:t xml:space="preserve">توضيحًا لدور المسارات غير المفترضة صراحةً كفرضيات مستقلة، تجدر الإشارة إلى أن المسارين </w:t>
      </w:r>
      <w:r>
        <w:rPr>
          <w:rFonts w:ascii="Sakkal Majalla" w:hAnsi="Sakkal Majalla" w:cs="Sakkal Majalla"/>
          <w:sz w:val="28"/>
          <w:szCs w:val="28"/>
        </w:rPr>
        <w:t>a</w:t>
      </w:r>
      <w:r>
        <w:rPr>
          <w:rFonts w:ascii="Cambria Math" w:hAnsi="Cambria Math" w:cs="Cambria Math"/>
          <w:sz w:val="28"/>
          <w:szCs w:val="28"/>
        </w:rPr>
        <w:t>₂</w:t>
      </w:r>
      <w:r>
        <w:rPr>
          <w:rFonts w:ascii="Sakkal Majalla" w:hAnsi="Sakkal Majalla" w:cs="Sakkal Majalla"/>
          <w:sz w:val="28"/>
          <w:szCs w:val="28"/>
          <w:rtl/>
        </w:rPr>
        <w:t xml:space="preserve"> (</w:t>
      </w:r>
      <w:r>
        <w:rPr>
          <w:rFonts w:ascii="Sakkal Majalla" w:hAnsi="Sakkal Majalla" w:cs="Sakkal Majalla"/>
          <w:sz w:val="28"/>
          <w:szCs w:val="28"/>
        </w:rPr>
        <w:t xml:space="preserve">TL </w:t>
      </w:r>
      <w:r>
        <w:rPr>
          <w:rFonts w:ascii="Times New Roman" w:hAnsi="Times New Roman" w:cs="Times New Roman"/>
          <w:sz w:val="28"/>
          <w:szCs w:val="28"/>
        </w:rPr>
        <w:t>→</w:t>
      </w:r>
      <w:r>
        <w:rPr>
          <w:rFonts w:ascii="Sakkal Majalla" w:hAnsi="Sakkal Majalla" w:cs="Sakkal Majalla"/>
          <w:sz w:val="28"/>
          <w:szCs w:val="28"/>
        </w:rPr>
        <w:t xml:space="preserve"> SB</w:t>
      </w:r>
      <w:r>
        <w:rPr>
          <w:rFonts w:ascii="Sakkal Majalla" w:hAnsi="Sakkal Majalla" w:cs="Sakkal Majalla"/>
          <w:sz w:val="28"/>
          <w:szCs w:val="28"/>
          <w:rtl/>
        </w:rPr>
        <w:t xml:space="preserve"> مباشرة) و</w:t>
      </w:r>
      <w:r>
        <w:rPr>
          <w:rFonts w:ascii="Sakkal Majalla" w:hAnsi="Sakkal Majalla" w:cs="Sakkal Majalla"/>
          <w:sz w:val="28"/>
          <w:szCs w:val="28"/>
        </w:rPr>
        <w:t>b</w:t>
      </w:r>
      <w:r>
        <w:rPr>
          <w:rFonts w:ascii="Cambria Math" w:hAnsi="Cambria Math" w:cs="Cambria Math"/>
          <w:sz w:val="28"/>
          <w:szCs w:val="28"/>
        </w:rPr>
        <w:t>₁</w:t>
      </w:r>
      <w:r>
        <w:rPr>
          <w:rFonts w:ascii="Sakkal Majalla" w:hAnsi="Sakkal Majalla" w:cs="Sakkal Majalla"/>
          <w:sz w:val="28"/>
          <w:szCs w:val="28"/>
          <w:rtl/>
        </w:rPr>
        <w:t xml:space="preserve"> (</w:t>
      </w:r>
      <w:r>
        <w:rPr>
          <w:rFonts w:ascii="Sakkal Majalla" w:hAnsi="Sakkal Majalla" w:cs="Sakkal Majalla"/>
          <w:sz w:val="28"/>
          <w:szCs w:val="28"/>
        </w:rPr>
        <w:t xml:space="preserve">SC </w:t>
      </w:r>
      <w:r>
        <w:rPr>
          <w:rFonts w:ascii="Times New Roman" w:hAnsi="Times New Roman" w:cs="Times New Roman"/>
          <w:sz w:val="28"/>
          <w:szCs w:val="28"/>
        </w:rPr>
        <w:t>→</w:t>
      </w:r>
      <w:r>
        <w:rPr>
          <w:rFonts w:ascii="Sakkal Majalla" w:hAnsi="Sakkal Majalla" w:cs="Sakkal Majalla"/>
          <w:sz w:val="28"/>
          <w:szCs w:val="28"/>
        </w:rPr>
        <w:t xml:space="preserve"> AE</w:t>
      </w:r>
      <w:r>
        <w:rPr>
          <w:rFonts w:ascii="Sakkal Majalla" w:hAnsi="Sakkal Majalla" w:cs="Sakkal Majalla"/>
          <w:sz w:val="28"/>
          <w:szCs w:val="28"/>
          <w:rtl/>
        </w:rPr>
        <w:t xml:space="preserve"> مباشرة) يُقدران ضمن النموذج الهيكلي المشبع لأغراض الضبط الإحصائي والتحقق من قوة المسار الوسيط الأساسي، ولا يمثلان فرضيات محورية في الدراسة. أما المسار المباشر </w:t>
      </w:r>
      <w:r>
        <w:rPr>
          <w:rFonts w:ascii="Sakkal Majalla" w:hAnsi="Sakkal Majalla" w:cs="Sakkal Majalla"/>
          <w:sz w:val="28"/>
          <w:szCs w:val="28"/>
        </w:rPr>
        <w:t>c</w:t>
      </w:r>
      <w:r>
        <w:rPr>
          <w:rFonts w:ascii="Times New Roman" w:hAnsi="Times New Roman" w:cs="Times New Roman"/>
          <w:sz w:val="28"/>
          <w:szCs w:val="28"/>
        </w:rPr>
        <w:t>′</w:t>
      </w:r>
      <w:r>
        <w:rPr>
          <w:rFonts w:ascii="Sakkal Majalla" w:hAnsi="Sakkal Majalla" w:cs="Sakkal Majalla"/>
          <w:sz w:val="28"/>
          <w:szCs w:val="28"/>
        </w:rPr>
        <w:t xml:space="preserve"> (TL </w:t>
      </w:r>
      <w:r>
        <w:rPr>
          <w:rFonts w:ascii="Times New Roman" w:hAnsi="Times New Roman" w:cs="Times New Roman"/>
          <w:sz w:val="28"/>
          <w:szCs w:val="28"/>
        </w:rPr>
        <w:t>→</w:t>
      </w:r>
      <w:r>
        <w:rPr>
          <w:rFonts w:ascii="Sakkal Majalla" w:hAnsi="Sakkal Majalla" w:cs="Sakkal Majalla"/>
          <w:sz w:val="28"/>
          <w:szCs w:val="28"/>
        </w:rPr>
        <w:t xml:space="preserve"> AE)</w:t>
      </w:r>
      <w:r>
        <w:rPr>
          <w:rFonts w:ascii="Sakkal Majalla" w:hAnsi="Sakkal Majalla" w:cs="Sakkal Majalla"/>
          <w:sz w:val="28"/>
          <w:szCs w:val="28"/>
          <w:rtl/>
        </w:rPr>
        <w:t>، فيُختبر بموجب الفرضية السادسة الآتية لتحديد ما إذا كانت الوساطة المتسلسلة كاملة أم جزئية.</w:t>
      </w:r>
    </w:p>
    <w:p w14:paraId="3D10ECA4" w14:textId="77777777" w:rsidR="00C72EA8" w:rsidRPr="00C72EA8" w:rsidRDefault="00C72EA8" w:rsidP="00C72EA8">
      <w:pPr>
        <w:bidi/>
        <w:spacing w:after="140" w:line="340" w:lineRule="auto"/>
        <w:jc w:val="both"/>
        <w:rPr>
          <w:rFonts w:ascii="Sakkal Majalla" w:hAnsi="Sakkal Majalla" w:cs="Sakkal Majalla"/>
          <w:sz w:val="28"/>
          <w:szCs w:val="28"/>
          <w:rtl/>
        </w:rPr>
      </w:pPr>
    </w:p>
    <w:p w14:paraId="34DC69D1" w14:textId="77777777" w:rsidR="00BE1BA2" w:rsidRPr="00875EB7" w:rsidRDefault="00BE1BA2" w:rsidP="00BE1BA2">
      <w:pPr>
        <w:pStyle w:val="2"/>
        <w:bidi/>
        <w:rPr>
          <w:rFonts w:ascii="Sakkal Majalla" w:hAnsi="Sakkal Majalla" w:cs="Sakkal Majalla"/>
          <w:b/>
          <w:bCs/>
          <w:color w:val="auto"/>
          <w:sz w:val="28"/>
          <w:szCs w:val="28"/>
        </w:rPr>
      </w:pPr>
      <w:r w:rsidRPr="00875EB7">
        <w:rPr>
          <w:rFonts w:ascii="Sakkal Majalla" w:hAnsi="Sakkal Majalla" w:cs="Sakkal Majalla"/>
          <w:b/>
          <w:bCs/>
          <w:color w:val="auto"/>
          <w:sz w:val="28"/>
          <w:szCs w:val="28"/>
          <w:rtl/>
        </w:rPr>
        <w:t>3.12.3 فرضيات</w:t>
      </w:r>
      <w:r w:rsidRPr="00875EB7">
        <w:rPr>
          <w:rFonts w:ascii="Sakkal Majalla" w:eastAsia="Arial" w:hAnsi="Sakkal Majalla" w:cs="Sakkal Majalla"/>
          <w:b/>
          <w:bCs/>
          <w:color w:val="auto"/>
          <w:sz w:val="28"/>
          <w:szCs w:val="28"/>
          <w:rtl/>
        </w:rPr>
        <w:t xml:space="preserve"> الدراسة</w:t>
      </w:r>
    </w:p>
    <w:p w14:paraId="06D4386B" w14:textId="77777777" w:rsidR="00BE1BA2" w:rsidRPr="00583CD0" w:rsidRDefault="00BE1BA2" w:rsidP="00BE1BA2">
      <w:pPr>
        <w:bidi/>
        <w:spacing w:after="140" w:line="340" w:lineRule="auto"/>
        <w:rPr>
          <w:rFonts w:ascii="Sakkal Majalla" w:hAnsi="Sakkal Majalla" w:cs="Sakkal Majalla"/>
          <w:sz w:val="28"/>
          <w:szCs w:val="28"/>
        </w:rPr>
      </w:pPr>
      <w:r w:rsidRPr="00583CD0">
        <w:rPr>
          <w:rFonts w:ascii="Sakkal Majalla" w:eastAsia="Arial" w:hAnsi="Sakkal Majalla" w:cs="Sakkal Majalla"/>
          <w:sz w:val="28"/>
          <w:szCs w:val="28"/>
          <w:rtl/>
        </w:rPr>
        <w:t>بناءً على الإطار النظري والدراسات السابقة المعروضة في الفصلين الأول والثاني، صاغ الباحث خمس فرضياتٍ مصوغةً بلغة التأثير الاتجاهي اتساقًا مع الطبيعة السببية للنموذج، هي:</w:t>
      </w:r>
    </w:p>
    <w:p w14:paraId="16850AE9" w14:textId="77777777" w:rsidR="00BE1BA2" w:rsidRPr="00583CD0" w:rsidRDefault="00BE1BA2" w:rsidP="00BE1BA2">
      <w:pPr>
        <w:bidi/>
        <w:spacing w:after="90" w:line="320" w:lineRule="auto"/>
        <w:ind w:right="360" w:hanging="230"/>
        <w:rPr>
          <w:rFonts w:ascii="Sakkal Majalla" w:hAnsi="Sakkal Majalla" w:cs="Sakkal Majalla"/>
          <w:sz w:val="28"/>
          <w:szCs w:val="28"/>
        </w:rPr>
      </w:pPr>
      <w:r w:rsidRPr="00583CD0">
        <w:rPr>
          <w:rFonts w:ascii="Sakkal Majalla" w:eastAsia="Arial" w:hAnsi="Sakkal Majalla" w:cs="Sakkal Majalla"/>
          <w:b/>
          <w:bCs/>
          <w:sz w:val="28"/>
          <w:szCs w:val="28"/>
          <w:rtl/>
        </w:rPr>
        <w:lastRenderedPageBreak/>
        <w:t xml:space="preserve">•  H1: </w:t>
      </w:r>
      <w:r w:rsidRPr="00583CD0">
        <w:rPr>
          <w:rFonts w:ascii="Sakkal Majalla" w:eastAsia="Arial" w:hAnsi="Sakkal Majalla" w:cs="Sakkal Majalla"/>
          <w:sz w:val="28"/>
          <w:szCs w:val="28"/>
          <w:rtl/>
        </w:rPr>
        <w:t>يوجد تأثيرٌ مباشرٌ ذو دلالةٍ إحصائيةٍ للقيادة التحويلية في ثقافة السلامة لدى العاملين في المستشفيات الحكومية بمنطقة الجوف.</w:t>
      </w:r>
    </w:p>
    <w:p w14:paraId="09003C4D" w14:textId="77777777" w:rsidR="00BE1BA2" w:rsidRPr="00583CD0" w:rsidRDefault="00BE1BA2" w:rsidP="00BE1BA2">
      <w:pPr>
        <w:bidi/>
        <w:spacing w:after="90" w:line="320" w:lineRule="auto"/>
        <w:ind w:right="360" w:hanging="230"/>
        <w:rPr>
          <w:rFonts w:ascii="Sakkal Majalla" w:hAnsi="Sakkal Majalla" w:cs="Sakkal Majalla"/>
          <w:sz w:val="28"/>
          <w:szCs w:val="28"/>
        </w:rPr>
      </w:pPr>
      <w:r w:rsidRPr="00583CD0">
        <w:rPr>
          <w:rFonts w:ascii="Sakkal Majalla" w:eastAsia="Arial" w:hAnsi="Sakkal Majalla" w:cs="Sakkal Majalla"/>
          <w:b/>
          <w:bCs/>
          <w:sz w:val="28"/>
          <w:szCs w:val="28"/>
          <w:rtl/>
        </w:rPr>
        <w:t xml:space="preserve">•  </w:t>
      </w:r>
      <w:r w:rsidRPr="00583CD0">
        <w:rPr>
          <w:rFonts w:ascii="Sakkal Majalla" w:hAnsi="Sakkal Majalla" w:cs="Sakkal Majalla"/>
          <w:b/>
          <w:bCs/>
          <w:sz w:val="28"/>
          <w:szCs w:val="28"/>
        </w:rPr>
        <w:t>H2</w:t>
      </w:r>
      <w:r w:rsidRPr="00583CD0">
        <w:rPr>
          <w:rFonts w:ascii="Sakkal Majalla" w:hAnsi="Sakkal Majalla" w:cs="Sakkal Majalla"/>
          <w:b/>
          <w:bCs/>
          <w:sz w:val="28"/>
          <w:szCs w:val="28"/>
          <w:rtl/>
        </w:rPr>
        <w:t>: يوجد تأثيرٌ مباشرٌ ذو دلالةٍ إحصائيةٍ لثقافة السلامة على سلوكيات السلامة.</w:t>
      </w:r>
    </w:p>
    <w:p w14:paraId="69161D87" w14:textId="77777777" w:rsidR="00BE1BA2" w:rsidRPr="00583CD0" w:rsidRDefault="00BE1BA2" w:rsidP="00BE1BA2">
      <w:pPr>
        <w:bidi/>
        <w:spacing w:after="90" w:line="320" w:lineRule="auto"/>
        <w:ind w:right="360" w:hanging="230"/>
        <w:rPr>
          <w:rFonts w:ascii="Sakkal Majalla" w:hAnsi="Sakkal Majalla" w:cs="Sakkal Majalla"/>
          <w:sz w:val="28"/>
          <w:szCs w:val="28"/>
        </w:rPr>
      </w:pPr>
      <w:r w:rsidRPr="00583CD0">
        <w:rPr>
          <w:rFonts w:ascii="Sakkal Majalla" w:eastAsia="Arial" w:hAnsi="Sakkal Majalla" w:cs="Sakkal Majalla"/>
          <w:b/>
          <w:bCs/>
          <w:sz w:val="28"/>
          <w:szCs w:val="28"/>
          <w:rtl/>
        </w:rPr>
        <w:t xml:space="preserve">•  H3: </w:t>
      </w:r>
      <w:r w:rsidRPr="00583CD0">
        <w:rPr>
          <w:rFonts w:ascii="Sakkal Majalla" w:eastAsia="Arial" w:hAnsi="Sakkal Majalla" w:cs="Sakkal Majalla"/>
          <w:sz w:val="28"/>
          <w:szCs w:val="28"/>
          <w:rtl/>
        </w:rPr>
        <w:t>يوجد تأثيرٌ مباشرٌ ذو دلالةٍ إحصائيةٍ لسلوكيات السلامة في تقليل الأحداث الضارة.</w:t>
      </w:r>
    </w:p>
    <w:p w14:paraId="1077AFCB" w14:textId="77777777" w:rsidR="00BE1BA2" w:rsidRPr="00583CD0" w:rsidRDefault="00BE1BA2" w:rsidP="00BE1BA2">
      <w:pPr>
        <w:bidi/>
        <w:spacing w:after="90" w:line="320" w:lineRule="auto"/>
        <w:ind w:right="360" w:hanging="230"/>
        <w:rPr>
          <w:rFonts w:ascii="Sakkal Majalla" w:hAnsi="Sakkal Majalla" w:cs="Sakkal Majalla"/>
          <w:sz w:val="28"/>
          <w:szCs w:val="28"/>
        </w:rPr>
      </w:pPr>
      <w:r w:rsidRPr="00583CD0">
        <w:rPr>
          <w:rFonts w:ascii="Sakkal Majalla" w:eastAsia="Arial" w:hAnsi="Sakkal Majalla" w:cs="Sakkal Majalla"/>
          <w:b/>
          <w:bCs/>
          <w:sz w:val="28"/>
          <w:szCs w:val="28"/>
          <w:rtl/>
        </w:rPr>
        <w:t xml:space="preserve">•  </w:t>
      </w:r>
      <w:r w:rsidRPr="00583CD0">
        <w:rPr>
          <w:rFonts w:ascii="Sakkal Majalla" w:hAnsi="Sakkal Majalla" w:cs="Sakkal Majalla"/>
          <w:b/>
          <w:bCs/>
          <w:sz w:val="28"/>
          <w:szCs w:val="28"/>
        </w:rPr>
        <w:t>H4</w:t>
      </w:r>
      <w:r w:rsidRPr="00583CD0">
        <w:rPr>
          <w:rFonts w:ascii="Sakkal Majalla" w:hAnsi="Sakkal Majalla" w:cs="Sakkal Majalla"/>
          <w:b/>
          <w:bCs/>
          <w:sz w:val="28"/>
          <w:szCs w:val="28"/>
          <w:rtl/>
        </w:rPr>
        <w:t xml:space="preserve">: </w:t>
      </w:r>
      <w:r w:rsidRPr="00583CD0">
        <w:rPr>
          <w:rFonts w:ascii="Sakkal Majalla" w:hAnsi="Sakkal Majalla" w:cs="Sakkal Majalla"/>
          <w:sz w:val="28"/>
          <w:szCs w:val="28"/>
          <w:rtl/>
        </w:rPr>
        <w:t>يوجد تأثير غير مباشر ذو دلالة إحصائية للقيادة التحويلية في سلوكيات السلامة عبر الدور الوسيط لثقافة السلامة (</w:t>
      </w:r>
      <w:r w:rsidRPr="00583CD0">
        <w:rPr>
          <w:rFonts w:ascii="Sakkal Majalla" w:hAnsi="Sakkal Majalla" w:cs="Sakkal Majalla"/>
          <w:sz w:val="28"/>
          <w:szCs w:val="28"/>
        </w:rPr>
        <w:t xml:space="preserve">TL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SC </w:t>
      </w:r>
      <w:r w:rsidRPr="00583CD0">
        <w:rPr>
          <w:rFonts w:ascii="Times New Roman" w:hAnsi="Times New Roman" w:cs="Times New Roman"/>
          <w:sz w:val="28"/>
          <w:szCs w:val="28"/>
        </w:rPr>
        <w:t>→</w:t>
      </w:r>
      <w:r w:rsidRPr="00583CD0">
        <w:rPr>
          <w:rFonts w:ascii="Sakkal Majalla" w:hAnsi="Sakkal Majalla" w:cs="Sakkal Majalla"/>
          <w:sz w:val="28"/>
          <w:szCs w:val="28"/>
        </w:rPr>
        <w:t xml:space="preserve"> SB</w:t>
      </w:r>
      <w:r w:rsidRPr="00583CD0">
        <w:rPr>
          <w:rFonts w:ascii="Sakkal Majalla" w:hAnsi="Sakkal Majalla" w:cs="Sakkal Majalla"/>
          <w:sz w:val="28"/>
          <w:szCs w:val="28"/>
          <w:rtl/>
        </w:rPr>
        <w:t>).</w:t>
      </w:r>
    </w:p>
    <w:p w14:paraId="5A9FB9DD" w14:textId="77777777" w:rsidR="00BE1BA2" w:rsidRDefault="00BE1BA2" w:rsidP="00BE1BA2">
      <w:pPr>
        <w:bidi/>
        <w:spacing w:after="90" w:line="320" w:lineRule="auto"/>
        <w:ind w:right="360" w:hanging="230"/>
        <w:rPr>
          <w:rFonts w:ascii="Sakkal Majalla" w:hAnsi="Sakkal Majalla" w:cs="Sakkal Majalla"/>
          <w:sz w:val="28"/>
          <w:szCs w:val="28"/>
          <w:rtl/>
        </w:rPr>
      </w:pPr>
      <w:r w:rsidRPr="00583CD0">
        <w:rPr>
          <w:rFonts w:ascii="Sakkal Majalla" w:eastAsia="Arial" w:hAnsi="Sakkal Majalla" w:cs="Sakkal Majalla"/>
          <w:b/>
          <w:bCs/>
          <w:sz w:val="28"/>
          <w:szCs w:val="28"/>
          <w:rtl/>
        </w:rPr>
        <w:t xml:space="preserve">•  H5: </w:t>
      </w:r>
      <w:r w:rsidRPr="00583CD0">
        <w:rPr>
          <w:rFonts w:ascii="Sakkal Majalla" w:eastAsia="Arial" w:hAnsi="Sakkal Majalla" w:cs="Sakkal Majalla"/>
          <w:sz w:val="28"/>
          <w:szCs w:val="28"/>
          <w:rtl/>
        </w:rPr>
        <w:t xml:space="preserve">يوجد تأثيرٌ غير مباشرٍ متتابعٌ ذو دلالةٍ إحصائيةٍ للقيادة التحويلية في تقليل الأحداث الضارة عبر الوساطة المتتابعة لثقافة السلامة ثم سلوكيات السلامة (TL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SC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SB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AE).</w:t>
      </w:r>
    </w:p>
    <w:p w14:paraId="25E79F03" w14:textId="707D784F" w:rsidR="000334B4" w:rsidRPr="000334B4" w:rsidRDefault="000334B4" w:rsidP="000334B4">
      <w:pPr>
        <w:bidi/>
        <w:spacing w:after="90" w:line="320" w:lineRule="auto"/>
        <w:ind w:right="360" w:hanging="230"/>
        <w:rPr>
          <w:rFonts w:ascii="Sakkal Majalla" w:hAnsi="Sakkal Majalla" w:cs="Sakkal Majalla"/>
          <w:sz w:val="28"/>
          <w:szCs w:val="28"/>
        </w:rPr>
      </w:pPr>
      <w:r w:rsidRPr="00583CD0">
        <w:rPr>
          <w:rFonts w:ascii="Sakkal Majalla" w:eastAsia="Arial" w:hAnsi="Sakkal Majalla" w:cs="Sakkal Majalla"/>
          <w:b/>
          <w:bCs/>
          <w:sz w:val="28"/>
          <w:szCs w:val="28"/>
          <w:rtl/>
        </w:rPr>
        <w:t xml:space="preserve">• </w:t>
      </w:r>
      <w:r>
        <w:rPr>
          <w:rFonts w:ascii="Sakkal Majalla" w:hAnsi="Sakkal Majalla" w:cs="Sakkal Majalla"/>
          <w:b/>
          <w:bCs/>
          <w:sz w:val="28"/>
          <w:szCs w:val="28"/>
        </w:rPr>
        <w:t xml:space="preserve"> H</w:t>
      </w:r>
      <w:proofErr w:type="gramStart"/>
      <w:r>
        <w:rPr>
          <w:rFonts w:ascii="Sakkal Majalla" w:hAnsi="Sakkal Majalla" w:cs="Sakkal Majalla"/>
          <w:b/>
          <w:bCs/>
          <w:sz w:val="28"/>
          <w:szCs w:val="28"/>
        </w:rPr>
        <w:t>6</w:t>
      </w:r>
      <w:r>
        <w:rPr>
          <w:rFonts w:ascii="Sakkal Majalla" w:hAnsi="Sakkal Majalla" w:cs="Sakkal Majalla" w:hint="cs"/>
          <w:b/>
          <w:bCs/>
          <w:sz w:val="28"/>
          <w:szCs w:val="28"/>
          <w:rtl/>
        </w:rPr>
        <w:t>:</w:t>
      </w:r>
      <w:r>
        <w:rPr>
          <w:rFonts w:ascii="Sakkal Majalla" w:hAnsi="Sakkal Majalla" w:cs="Sakkal Majalla"/>
          <w:b/>
          <w:bCs/>
          <w:sz w:val="28"/>
          <w:szCs w:val="28"/>
          <w:rtl/>
        </w:rPr>
        <w:t>لا</w:t>
      </w:r>
      <w:proofErr w:type="gramEnd"/>
      <w:r>
        <w:rPr>
          <w:rFonts w:ascii="Sakkal Majalla" w:hAnsi="Sakkal Majalla" w:cs="Sakkal Majalla"/>
          <w:b/>
          <w:bCs/>
          <w:sz w:val="28"/>
          <w:szCs w:val="28"/>
          <w:rtl/>
        </w:rPr>
        <w:t xml:space="preserve"> يوجد تأثيرٌ مباشرٌ ذو دلالةٍ إحصائيةٍ للقيادة التحويلية في تقليل الأحداث الضارة بعد ضبط أثر ثقافة السلامة وسلوكيات السلامة</w:t>
      </w:r>
      <w:r>
        <w:rPr>
          <w:rFonts w:ascii="Sakkal Majalla" w:hAnsi="Sakkal Majalla" w:cs="Sakkal Majalla"/>
          <w:b/>
          <w:bCs/>
          <w:sz w:val="28"/>
          <w:szCs w:val="28"/>
        </w:rPr>
        <w:t xml:space="preserve"> (TL </w:t>
      </w:r>
      <w:r>
        <w:rPr>
          <w:rFonts w:ascii="Times New Roman" w:hAnsi="Times New Roman" w:cs="Times New Roman"/>
          <w:b/>
          <w:bCs/>
          <w:sz w:val="28"/>
          <w:szCs w:val="28"/>
        </w:rPr>
        <w:t>→</w:t>
      </w:r>
      <w:r>
        <w:rPr>
          <w:rFonts w:ascii="Sakkal Majalla" w:hAnsi="Sakkal Majalla" w:cs="Sakkal Majalla"/>
          <w:b/>
          <w:bCs/>
          <w:sz w:val="28"/>
          <w:szCs w:val="28"/>
        </w:rPr>
        <w:t xml:space="preserve"> AE)</w:t>
      </w:r>
      <w:r>
        <w:rPr>
          <w:rFonts w:ascii="Sakkal Majalla" w:hAnsi="Sakkal Majalla" w:cs="Sakkal Majalla"/>
          <w:b/>
          <w:bCs/>
          <w:sz w:val="28"/>
          <w:szCs w:val="28"/>
          <w:rtl/>
        </w:rPr>
        <w:t>، بما يشير إلى وساطة كاملة</w:t>
      </w:r>
      <w:r>
        <w:rPr>
          <w:rFonts w:ascii="Sakkal Majalla" w:hAnsi="Sakkal Majalla" w:cs="Sakkal Majalla"/>
          <w:b/>
          <w:bCs/>
          <w:sz w:val="28"/>
          <w:szCs w:val="28"/>
        </w:rPr>
        <w:t xml:space="preserve"> (Full Mediation) </w:t>
      </w:r>
      <w:r>
        <w:rPr>
          <w:rFonts w:ascii="Sakkal Majalla" w:hAnsi="Sakkal Majalla" w:cs="Sakkal Majalla"/>
          <w:b/>
          <w:bCs/>
          <w:sz w:val="28"/>
          <w:szCs w:val="28"/>
          <w:rtl/>
        </w:rPr>
        <w:t>للمسار المتسلسل</w:t>
      </w:r>
      <w:r>
        <w:rPr>
          <w:rFonts w:ascii="Sakkal Majalla" w:hAnsi="Sakkal Majalla" w:cs="Sakkal Majalla"/>
          <w:b/>
          <w:bCs/>
          <w:sz w:val="28"/>
          <w:szCs w:val="28"/>
        </w:rPr>
        <w:t>.</w:t>
      </w:r>
    </w:p>
    <w:p w14:paraId="27156941" w14:textId="77777777" w:rsidR="000334B4" w:rsidRPr="000334B4" w:rsidRDefault="000334B4" w:rsidP="000334B4">
      <w:pPr>
        <w:bidi/>
        <w:spacing w:after="90" w:line="320" w:lineRule="auto"/>
        <w:ind w:right="360" w:hanging="230"/>
        <w:rPr>
          <w:rFonts w:ascii="Sakkal Majalla" w:hAnsi="Sakkal Majalla" w:cs="Sakkal Majalla"/>
          <w:sz w:val="28"/>
          <w:szCs w:val="28"/>
        </w:rPr>
      </w:pPr>
    </w:p>
    <w:p w14:paraId="3CAA3930"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3.13 إجراءات</w:t>
      </w:r>
      <w:r w:rsidRPr="00875EB7">
        <w:rPr>
          <w:rFonts w:ascii="Sakkal Majalla" w:eastAsia="Arial" w:hAnsi="Sakkal Majalla" w:cs="Sakkal Majalla"/>
          <w:b/>
          <w:bCs/>
          <w:color w:val="auto"/>
          <w:rtl/>
        </w:rPr>
        <w:t xml:space="preserve"> تنفيذ الدراسة</w:t>
      </w:r>
    </w:p>
    <w:p w14:paraId="6960C179"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أُجريت الدراسة الميدانية وفق خطة منظمة من المراحل، حيث تضمنت مرحلة الإعداد والتخطيط الحصول على الموافقات الرسمية الضرورية، مثل موافقة لجنة أخلاقيات البحث العلمي في جامعة </w:t>
      </w:r>
      <w:r w:rsidRPr="00583CD0">
        <w:rPr>
          <w:rFonts w:ascii="Sakkal Majalla" w:hAnsi="Sakkal Majalla" w:cs="Sakkal Majalla"/>
          <w:sz w:val="28"/>
          <w:szCs w:val="28"/>
        </w:rPr>
        <w:t>Midocean</w:t>
      </w:r>
      <w:r w:rsidRPr="00583CD0">
        <w:rPr>
          <w:rFonts w:ascii="Sakkal Majalla" w:hAnsi="Sakkal Majalla" w:cs="Sakkal Majalla"/>
          <w:sz w:val="28"/>
          <w:szCs w:val="28"/>
          <w:rtl/>
        </w:rPr>
        <w:t>، وتجمع الجوف الصحي للموافقة على إجراء الدراسة في مستشفياته عبر لجنة أخلاقيات البحث العلمي في إدارة التدريب والبحث العلمي في التجمع (</w:t>
      </w:r>
      <w:r w:rsidRPr="00583CD0">
        <w:rPr>
          <w:rFonts w:ascii="Sakkal Majalla" w:hAnsi="Sakkal Majalla" w:cs="Sakkal Majalla"/>
          <w:sz w:val="28"/>
          <w:szCs w:val="28"/>
        </w:rPr>
        <w:t>IRB</w:t>
      </w:r>
      <w:r w:rsidRPr="00583CD0">
        <w:rPr>
          <w:rFonts w:ascii="Sakkal Majalla" w:hAnsi="Sakkal Majalla" w:cs="Sakkal Majalla"/>
          <w:sz w:val="28"/>
          <w:szCs w:val="28"/>
          <w:rtl/>
        </w:rPr>
        <w:t>). كما تم إعداد أداة الدراسة وترجمتها وتحكيمها وفق الإجراءات المعتمدة، مع التنسيق مع إدارات الموارد البشرية والجودة في المستشفيات للحصول على قوائم الموظفين وتسهيل توزيع الأدوات.</w:t>
      </w:r>
    </w:p>
    <w:p w14:paraId="3FEB3365" w14:textId="5A9BDDFB" w:rsidR="00BE1BA2" w:rsidRPr="00583CD0" w:rsidRDefault="004413E9" w:rsidP="004413E9">
      <w:pPr>
        <w:bidi/>
        <w:spacing w:after="140" w:line="340" w:lineRule="auto"/>
        <w:jc w:val="both"/>
        <w:rPr>
          <w:rFonts w:ascii="Sakkal Majalla" w:hAnsi="Sakkal Majalla" w:cs="Sakkal Majalla"/>
          <w:sz w:val="28"/>
          <w:szCs w:val="28"/>
        </w:rPr>
      </w:pPr>
      <w:r w:rsidRPr="004413E9">
        <w:rPr>
          <w:rFonts w:ascii="Sakkal Majalla" w:hAnsi="Sakkal Majalla" w:cs="Sakkal Majalla"/>
          <w:sz w:val="28"/>
          <w:szCs w:val="28"/>
          <w:rtl/>
        </w:rPr>
        <w:t>وفي المرحلة الثانية، ستُطبَّق الدراسة الاستطلاعية الموصوفة في القسم (3.10) على ستين مشاركًا، وستُجرى التعديلات اللازمة بناءً على نتائجها</w:t>
      </w:r>
      <w:r w:rsidRPr="004413E9">
        <w:rPr>
          <w:rFonts w:ascii="Sakkal Majalla" w:hAnsi="Sakkal Majalla" w:cs="Sakkal Majalla"/>
          <w:sz w:val="28"/>
          <w:szCs w:val="28"/>
        </w:rPr>
        <w:t>.</w:t>
      </w:r>
      <w:r w:rsidR="00BE1BA2" w:rsidRPr="00583CD0">
        <w:rPr>
          <w:rFonts w:ascii="Sakkal Majalla" w:hAnsi="Sakkal Majalla" w:cs="Sakkal Majalla"/>
          <w:sz w:val="28"/>
          <w:szCs w:val="28"/>
          <w:rtl/>
        </w:rPr>
        <w:t xml:space="preserve"> ثم سيتم جمع البيانات النهائية في المرحلة الثالثة عبر أسلوبين متكاملين: التوزيع الورقي المباشر الذي سيقوم به الباحث ومساعدوه مع شرحٍ موجزٍ لأهداف الدراسة وضمان السرية، والتوزيع الإلكتروني عبر نسخةٍ مُعدةٍ على منصةٍ مخصصة يُرسل رابطها عبر القنوات المؤسسية. وتمتد عملية الجمع نحو ثمانية أسابيعٍ خلال عام 2026، وسيُرسل ذكيرات دوريةٌ لمن لم يُكمل الاستبانة. وتضمنت كل استبانةٍ خطاب تقديمٍ يوضح الهدف من الدراسة، والطوعية في المشاركة، وسرية المعلومات، وانعدام المخاطر، واعتُبر إكمال الاستبانة وإعادتها موافقةً ضمنيةً على المشاركة.</w:t>
      </w:r>
    </w:p>
    <w:p w14:paraId="3D1F8DDF" w14:textId="77777777"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وفي المرحلة الرابعة، يُجهز البيانات للتحليل، حيث تُفرز الاستبانات ويُستبعد غير المكتمل منها أو الذي يظهِر أنماط استجابة غير واقعية، ثم تُرمّز البيانات وتُدخل إلى برنامج </w:t>
      </w:r>
      <w:r w:rsidRPr="00583CD0">
        <w:rPr>
          <w:rFonts w:ascii="Sakkal Majalla" w:hAnsi="Sakkal Majalla" w:cs="Sakkal Majalla"/>
          <w:sz w:val="28"/>
          <w:szCs w:val="28"/>
        </w:rPr>
        <w:t>SPSS</w:t>
      </w:r>
      <w:r w:rsidRPr="00583CD0">
        <w:rPr>
          <w:rFonts w:ascii="Sakkal Majalla" w:hAnsi="Sakkal Majalla" w:cs="Sakkal Majalla"/>
          <w:sz w:val="28"/>
          <w:szCs w:val="28"/>
          <w:rtl/>
        </w:rPr>
        <w:t xml:space="preserve"> مع عكس ترميز الفقرات السلبية في مقياس </w:t>
      </w:r>
      <w:r w:rsidRPr="00583CD0">
        <w:rPr>
          <w:rFonts w:ascii="Sakkal Majalla" w:hAnsi="Sakkal Majalla" w:cs="Sakkal Majalla"/>
          <w:sz w:val="28"/>
          <w:szCs w:val="28"/>
        </w:rPr>
        <w:t>HSOPSC</w:t>
      </w:r>
      <w:r w:rsidRPr="00583CD0">
        <w:rPr>
          <w:rFonts w:ascii="Sakkal Majalla" w:hAnsi="Sakkal Majalla" w:cs="Sakkal Majalla"/>
          <w:sz w:val="28"/>
          <w:szCs w:val="28"/>
          <w:rtl/>
        </w:rPr>
        <w:t xml:space="preserve">. كما تُفحص البيانات </w:t>
      </w:r>
      <w:r w:rsidRPr="00583CD0">
        <w:rPr>
          <w:rFonts w:ascii="Sakkal Majalla" w:hAnsi="Sakkal Majalla" w:cs="Sakkal Majalla"/>
          <w:sz w:val="28"/>
          <w:szCs w:val="28"/>
          <w:rtl/>
        </w:rPr>
        <w:lastRenderedPageBreak/>
        <w:t xml:space="preserve">المفقودة وتُعالج باستخدام الأساليب المناسبة، وتُفحص القيم المتطرفة باستخدام مسافة </w:t>
      </w:r>
      <w:proofErr w:type="spellStart"/>
      <w:r w:rsidRPr="00583CD0">
        <w:rPr>
          <w:rFonts w:ascii="Sakkal Majalla" w:hAnsi="Sakkal Majalla" w:cs="Sakkal Majalla"/>
          <w:sz w:val="28"/>
          <w:szCs w:val="28"/>
          <w:rtl/>
        </w:rPr>
        <w:t>ماهالانوبيس</w:t>
      </w:r>
      <w:proofErr w:type="spellEnd"/>
      <w:r w:rsidRPr="00583CD0">
        <w:rPr>
          <w:rFonts w:ascii="Sakkal Majalla" w:hAnsi="Sakkal Majalla" w:cs="Sakkal Majalla"/>
          <w:sz w:val="28"/>
          <w:szCs w:val="28"/>
          <w:rtl/>
        </w:rPr>
        <w:t>، ويُختبر تلبية الافتراضات الضرورية للنمذجة الهيكلية من حيث الاعتدال والخطية وغياب التعددية الخطية.</w:t>
      </w:r>
    </w:p>
    <w:p w14:paraId="7E92783A"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3.14 الأساليب</w:t>
      </w:r>
      <w:r w:rsidRPr="00875EB7">
        <w:rPr>
          <w:rFonts w:ascii="Sakkal Majalla" w:eastAsia="Arial" w:hAnsi="Sakkal Majalla" w:cs="Sakkal Majalla"/>
          <w:b/>
          <w:bCs/>
          <w:color w:val="auto"/>
          <w:rtl/>
        </w:rPr>
        <w:t xml:space="preserve"> الإحصائية المستخدمة</w:t>
      </w:r>
    </w:p>
    <w:p w14:paraId="541B4F91" w14:textId="77777777" w:rsidR="00BE1BA2" w:rsidRPr="00583CD0" w:rsidRDefault="00BE1BA2" w:rsidP="00875EB7">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استخدم الباحث مجموعةً متكاملةً من الأساليب الإحصائية باستخدام برنامجي </w:t>
      </w:r>
      <w:r w:rsidRPr="00583CD0">
        <w:rPr>
          <w:rFonts w:ascii="Sakkal Majalla" w:hAnsi="Sakkal Majalla" w:cs="Sakkal Majalla"/>
          <w:sz w:val="28"/>
          <w:szCs w:val="28"/>
        </w:rPr>
        <w:t>SPSS</w:t>
      </w:r>
      <w:r w:rsidRPr="00583CD0">
        <w:rPr>
          <w:rFonts w:ascii="Sakkal Majalla" w:hAnsi="Sakkal Majalla" w:cs="Sakkal Majalla"/>
          <w:sz w:val="28"/>
          <w:szCs w:val="28"/>
          <w:rtl/>
        </w:rPr>
        <w:t xml:space="preserve"> (الإصدار 28) و</w:t>
      </w:r>
      <w:r w:rsidRPr="00583CD0">
        <w:rPr>
          <w:rFonts w:ascii="Sakkal Majalla" w:hAnsi="Sakkal Majalla" w:cs="Sakkal Majalla"/>
          <w:sz w:val="28"/>
          <w:szCs w:val="28"/>
        </w:rPr>
        <w:t>AMOS</w:t>
      </w:r>
      <w:r w:rsidRPr="00583CD0">
        <w:rPr>
          <w:rFonts w:ascii="Sakkal Majalla" w:hAnsi="Sakkal Majalla" w:cs="Sakkal Majalla"/>
          <w:sz w:val="28"/>
          <w:szCs w:val="28"/>
          <w:rtl/>
        </w:rPr>
        <w:t xml:space="preserve"> (الإصدار 28). على مستوى الإحصاء الوصفي، تم حساب التكرارات والنسب المئوية لوصف الخصائص الديموغرافية، بالإضافة إلى المتوسطات الحسابية والانحرافات المعيارية لشرح مستوى كل متغير وأبعاده. كما تم فحص اعتدالية التوزيع من خلال معاملات الالتواء والتفلطح، حيث تُعتبر القيم بين ±2 مقبولة لنمذجة الهيكلة (</w:t>
      </w:r>
      <w:r w:rsidRPr="00583CD0">
        <w:rPr>
          <w:rFonts w:ascii="Sakkal Majalla" w:hAnsi="Sakkal Majalla" w:cs="Sakkal Majalla"/>
          <w:sz w:val="28"/>
          <w:szCs w:val="28"/>
        </w:rPr>
        <w:t>Kline, 2023</w:t>
      </w:r>
      <w:r w:rsidRPr="00583CD0">
        <w:rPr>
          <w:rFonts w:ascii="Sakkal Majalla" w:hAnsi="Sakkal Majalla" w:cs="Sakkal Majalla"/>
          <w:sz w:val="28"/>
          <w:szCs w:val="28"/>
          <w:rtl/>
        </w:rPr>
        <w:t xml:space="preserve">). أما من ناحية الخصائص </w:t>
      </w:r>
      <w:proofErr w:type="spellStart"/>
      <w:r w:rsidRPr="00583CD0">
        <w:rPr>
          <w:rFonts w:ascii="Sakkal Majalla" w:hAnsi="Sakkal Majalla" w:cs="Sakkal Majalla"/>
          <w:sz w:val="28"/>
          <w:szCs w:val="28"/>
          <w:rtl/>
        </w:rPr>
        <w:t>السيكومترية</w:t>
      </w:r>
      <w:proofErr w:type="spellEnd"/>
      <w:r w:rsidRPr="00583CD0">
        <w:rPr>
          <w:rFonts w:ascii="Sakkal Majalla" w:hAnsi="Sakkal Majalla" w:cs="Sakkal Majalla"/>
          <w:sz w:val="28"/>
          <w:szCs w:val="28"/>
          <w:rtl/>
        </w:rPr>
        <w:t xml:space="preserve">، فتم حساب معامل ألفا </w:t>
      </w:r>
      <w:proofErr w:type="spellStart"/>
      <w:r w:rsidRPr="00583CD0">
        <w:rPr>
          <w:rFonts w:ascii="Sakkal Majalla" w:hAnsi="Sakkal Majalla" w:cs="Sakkal Majalla"/>
          <w:sz w:val="28"/>
          <w:szCs w:val="28"/>
          <w:rtl/>
        </w:rPr>
        <w:t>كرونباخ</w:t>
      </w:r>
      <w:proofErr w:type="spellEnd"/>
      <w:r w:rsidRPr="00583CD0">
        <w:rPr>
          <w:rFonts w:ascii="Sakkal Majalla" w:hAnsi="Sakkal Majalla" w:cs="Sakkal Majalla"/>
          <w:sz w:val="28"/>
          <w:szCs w:val="28"/>
          <w:rtl/>
        </w:rPr>
        <w:t xml:space="preserve"> للمصداقية الداخلية، وإجراء التحليل العاملي الاستكشافي والتوكيدي للمقاييس المطوّرة، إضافة إلى حساب الموثوقية المركبة ومتوسط التباين المستخلص للتحقق من الصدق التكاملي والتمييزية.</w:t>
      </w:r>
    </w:p>
    <w:p w14:paraId="36C84950" w14:textId="5F4439A9" w:rsidR="00BE1BA2" w:rsidRPr="00583CD0"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 في اختبار الفرضيات، اعتمد بشكل رئيسي على نمذجة المعادلات الهيكلية، التي تجمع بين تحليل العوامل وتحليل المسار في إطار واحد (</w:t>
      </w:r>
      <w:r w:rsidRPr="00583CD0">
        <w:rPr>
          <w:rFonts w:ascii="Sakkal Majalla" w:hAnsi="Sakkal Majalla" w:cs="Sakkal Majalla"/>
          <w:sz w:val="28"/>
          <w:szCs w:val="28"/>
        </w:rPr>
        <w:t>Kline, 2023</w:t>
      </w:r>
      <w:r w:rsidRPr="00583CD0">
        <w:rPr>
          <w:rFonts w:ascii="Sakkal Majalla" w:hAnsi="Sakkal Majalla" w:cs="Sakkal Majalla"/>
          <w:sz w:val="28"/>
          <w:szCs w:val="28"/>
          <w:rtl/>
        </w:rPr>
        <w:t>). اختار الباحث هذا الأسلوب لأنه يقدر العلاقات المباشرة وغير المباشرة بين المتغيرات بشكل شامل، ويأخذ في الاعتبار أخطاء القياس، مما ينتج تقديرات أكثر دقة من الانحدار التقليدي (</w:t>
      </w:r>
      <w:r w:rsidRPr="00583CD0">
        <w:rPr>
          <w:rFonts w:ascii="Sakkal Majalla" w:hAnsi="Sakkal Majalla" w:cs="Sakkal Majalla"/>
          <w:sz w:val="28"/>
          <w:szCs w:val="28"/>
        </w:rPr>
        <w:t>Hair et al., 2019</w:t>
      </w:r>
      <w:r w:rsidRPr="00583CD0">
        <w:rPr>
          <w:rFonts w:ascii="Sakkal Majalla" w:hAnsi="Sakkal Majalla" w:cs="Sakkal Majalla"/>
          <w:sz w:val="28"/>
          <w:szCs w:val="28"/>
          <w:rtl/>
        </w:rPr>
        <w:t>). كما يتيح تقييم مدى توافق النموذج الكلي مع البيانات. أُجريت التحليلات على مرحلتين وفقًا لمنهجية</w:t>
      </w:r>
      <w:r>
        <w:rPr>
          <w:rFonts w:ascii="Sakkal Majalla" w:hAnsi="Sakkal Majalla" w:cs="Sakkal Majalla"/>
          <w:sz w:val="28"/>
          <w:szCs w:val="28"/>
          <w:rtl/>
        </w:rPr>
        <w:fldChar w:fldCharType="begin"/>
      </w:r>
      <w:r>
        <w:rPr>
          <w:rFonts w:ascii="Sakkal Majalla" w:hAnsi="Sakkal Majalla" w:cs="Sakkal Majalla"/>
          <w:sz w:val="28"/>
          <w:szCs w:val="28"/>
          <w:rtl/>
        </w:rPr>
        <w:instrText xml:space="preserve"> </w:instrText>
      </w:r>
      <w:r>
        <w:rPr>
          <w:rFonts w:ascii="Sakkal Majalla" w:hAnsi="Sakkal Majalla" w:cs="Sakkal Majalla"/>
          <w:sz w:val="28"/>
          <w:szCs w:val="28"/>
        </w:rPr>
        <w:instrText>ADDIN EN.CITE &lt;EndNote&gt;&lt;Cite AuthorYear="1"&gt;&lt;Author&gt;Anderson&lt;/Author&gt;&lt;Year&gt;1988&lt;/Year&gt;&lt;RecNum&gt;263&lt;/RecNum&gt;&lt;DisplayText&gt;Anderson and Gerbing (1988)&lt;/DisplayText&gt;&lt;record&gt;&lt;rec-number&gt;263&lt;/rec-number&gt;&lt;foreign-keys&gt;&lt;key app="EN" db-id="02retxxrerxdxhe9aphvs0z</w:instrText>
      </w:r>
      <w:r>
        <w:rPr>
          <w:rFonts w:ascii="Sakkal Majalla" w:hAnsi="Sakkal Majalla" w:cs="Sakkal Majalla"/>
          <w:sz w:val="28"/>
          <w:szCs w:val="28"/>
          <w:rtl/>
        </w:rPr>
        <w:instrText>2</w:instrText>
      </w:r>
      <w:r>
        <w:rPr>
          <w:rFonts w:ascii="Sakkal Majalla" w:hAnsi="Sakkal Majalla" w:cs="Sakkal Majalla"/>
          <w:sz w:val="28"/>
          <w:szCs w:val="28"/>
        </w:rPr>
        <w:instrText>t9z25p0ew99s" timestamp="1781802779"&gt;263&lt;/key&gt;&lt;/foreign-keys&gt;&lt;ref-type name="Journal Article"&gt;17&lt;/ref-type&gt;&lt;contributors&gt;&lt;authors&gt;&lt;author&gt;Anderson, James C.&lt;/author&gt;&lt;author&gt;Gerbing, David W.&lt;/author&gt;&lt;/authors&gt;&lt;/contributors&gt;&lt;titles&gt;&lt;title&gt;Structural equation modeling in practice: A review and recommended two-step approach&lt;/title&gt;&lt;secondary-title&gt;Psychological Bulletin&lt;/secondary-title&gt;&lt;/titles&gt;&lt;periodical&gt;&lt;full-title&gt;Psychological Bulletin&lt;/full-title&gt;&lt;/periodical&gt;&lt;pages&gt;411-423&lt;/pages&gt;&lt;volume&gt;103&lt;/volume&gt;&lt;number&gt;3&lt;/number&gt;&lt;section&gt;411&lt;/section&gt;&lt;dates&gt;&lt;year&gt;1988&lt;/year&gt;&lt;pub-dates&gt;&lt;date&gt;05/01&lt;/date&gt;&lt;/pub-dates&gt;&lt;/dates&gt;&lt;isbn&gt;1939-1455&amp;#xD;0033-2909&lt;/isbn&gt;&lt;urls&gt;&lt;/urls&gt;&lt;electronic-resource-num&gt;10.1037/0033-2909.103.3.411&lt;/electronic-resource-num&gt;&lt;/record&gt;&lt;/Cite&gt;&lt;/EndNote</w:instrText>
      </w:r>
      <w:r>
        <w:rPr>
          <w:rFonts w:ascii="Sakkal Majalla" w:hAnsi="Sakkal Majalla" w:cs="Sakkal Majalla"/>
          <w:sz w:val="28"/>
          <w:szCs w:val="28"/>
          <w:rtl/>
        </w:rPr>
        <w:instrText>&gt;</w:instrText>
      </w:r>
      <w:r>
        <w:rPr>
          <w:rFonts w:ascii="Sakkal Majalla" w:hAnsi="Sakkal Majalla" w:cs="Sakkal Majalla"/>
          <w:sz w:val="28"/>
          <w:szCs w:val="28"/>
          <w:rtl/>
        </w:rPr>
        <w:fldChar w:fldCharType="separate"/>
      </w:r>
      <w:r>
        <w:rPr>
          <w:rFonts w:ascii="Sakkal Majalla" w:hAnsi="Sakkal Majalla" w:cs="Sakkal Majalla"/>
          <w:noProof/>
          <w:sz w:val="28"/>
          <w:szCs w:val="28"/>
        </w:rPr>
        <w:t>Anderson and Gerbing</w:t>
      </w:r>
      <w:r>
        <w:rPr>
          <w:rFonts w:ascii="Sakkal Majalla" w:hAnsi="Sakkal Majalla" w:cs="Sakkal Majalla"/>
          <w:noProof/>
          <w:sz w:val="28"/>
          <w:szCs w:val="28"/>
          <w:rtl/>
        </w:rPr>
        <w:t xml:space="preserve"> (1988)</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sidRPr="00583CD0">
        <w:rPr>
          <w:rFonts w:ascii="Sakkal Majalla" w:hAnsi="Sakkal Majalla" w:cs="Sakkal Majalla"/>
          <w:sz w:val="28"/>
          <w:szCs w:val="28"/>
          <w:rtl/>
        </w:rPr>
        <w:t>في المرحلة الأولى، تم تقييم نموذج القياس باستخدام التحليل التوكيدي للتحقق من جودة المطابقة والصدق التكاملي والتمييز، بينما في المرحلة الثانية، تم تقدير النموذج الهيكلي الذي تضمن المسارات المفترضة، وتقييمه باستخدام مؤشرات المطابقة، ومعاملات المسار المعيارية ودلالتها، ونسبة التباين المفسرة (</w:t>
      </w:r>
      <w:r w:rsidRPr="00583CD0">
        <w:rPr>
          <w:rFonts w:ascii="Sakkal Majalla" w:hAnsi="Sakkal Majalla" w:cs="Sakkal Majalla"/>
          <w:sz w:val="28"/>
          <w:szCs w:val="28"/>
        </w:rPr>
        <w:t>R²</w:t>
      </w:r>
      <w:r w:rsidRPr="00583CD0">
        <w:rPr>
          <w:rFonts w:ascii="Sakkal Majalla" w:hAnsi="Sakkal Majalla" w:cs="Sakkal Majalla"/>
          <w:sz w:val="28"/>
          <w:szCs w:val="28"/>
          <w:rtl/>
        </w:rPr>
        <w:t>) لكل متغير تابع.</w:t>
      </w:r>
    </w:p>
    <w:p w14:paraId="3CB16186" w14:textId="281007E8" w:rsidR="00BE1BA2" w:rsidRPr="00583CD0" w:rsidRDefault="00BE1BA2" w:rsidP="00BE1BA2">
      <w:pPr>
        <w:bidi/>
        <w:spacing w:after="140" w:line="340" w:lineRule="auto"/>
        <w:jc w:val="both"/>
        <w:rPr>
          <w:rFonts w:ascii="Sakkal Majalla" w:hAnsi="Sakkal Majalla" w:cs="Sakkal Majalla"/>
          <w:sz w:val="28"/>
          <w:szCs w:val="28"/>
          <w:rtl/>
        </w:rPr>
      </w:pPr>
      <w:r w:rsidRPr="00583CD0">
        <w:rPr>
          <w:rFonts w:ascii="Sakkal Majalla" w:hAnsi="Sakkal Majalla" w:cs="Sakkal Majalla"/>
          <w:sz w:val="28"/>
          <w:szCs w:val="28"/>
          <w:rtl/>
        </w:rPr>
        <w:t>اعتمدت طريقة الأرجحية العظمى (</w:t>
      </w:r>
      <w:r w:rsidRPr="00583CD0">
        <w:rPr>
          <w:rFonts w:ascii="Sakkal Majalla" w:hAnsi="Sakkal Majalla" w:cs="Sakkal Majalla"/>
          <w:sz w:val="28"/>
          <w:szCs w:val="28"/>
        </w:rPr>
        <w:t>Maximum Likelihood</w:t>
      </w:r>
      <w:r w:rsidRPr="00583CD0">
        <w:rPr>
          <w:rFonts w:ascii="Sakkal Majalla" w:hAnsi="Sakkal Majalla" w:cs="Sakkal Majalla"/>
          <w:sz w:val="28"/>
          <w:szCs w:val="28"/>
          <w:rtl/>
        </w:rPr>
        <w:t>) لتقدير معلمات النموذج، مع استخدام التقدير المتين (</w:t>
      </w:r>
      <w:r w:rsidRPr="00583CD0">
        <w:rPr>
          <w:rFonts w:ascii="Sakkal Majalla" w:hAnsi="Sakkal Majalla" w:cs="Sakkal Majalla"/>
          <w:sz w:val="28"/>
          <w:szCs w:val="28"/>
        </w:rPr>
        <w:t>Robust ML</w:t>
      </w:r>
      <w:r w:rsidRPr="00583CD0">
        <w:rPr>
          <w:rFonts w:ascii="Sakkal Majalla" w:hAnsi="Sakkal Majalla" w:cs="Sakkal Majalla"/>
          <w:sz w:val="28"/>
          <w:szCs w:val="28"/>
          <w:rtl/>
        </w:rPr>
        <w:t>) عند انتهاك افتراض الاعتدالية المتعدد المتغيرات. لتحليل التأثيرات غير المباشرة في فرضيتي الوساطة (</w:t>
      </w:r>
      <w:r w:rsidRPr="00583CD0">
        <w:rPr>
          <w:rFonts w:ascii="Sakkal Majalla" w:hAnsi="Sakkal Majalla" w:cs="Sakkal Majalla"/>
          <w:sz w:val="28"/>
          <w:szCs w:val="28"/>
        </w:rPr>
        <w:t>H4</w:t>
      </w:r>
      <w:r w:rsidRPr="00583CD0">
        <w:rPr>
          <w:rFonts w:ascii="Sakkal Majalla" w:hAnsi="Sakkal Majalla" w:cs="Sakkal Majalla"/>
          <w:sz w:val="28"/>
          <w:szCs w:val="28"/>
          <w:rtl/>
        </w:rPr>
        <w:t xml:space="preserve"> و</w:t>
      </w:r>
      <w:r w:rsidRPr="00583CD0">
        <w:rPr>
          <w:rFonts w:ascii="Sakkal Majalla" w:hAnsi="Sakkal Majalla" w:cs="Sakkal Majalla"/>
          <w:sz w:val="28"/>
          <w:szCs w:val="28"/>
        </w:rPr>
        <w:t>H5</w:t>
      </w:r>
      <w:r w:rsidRPr="00583CD0">
        <w:rPr>
          <w:rFonts w:ascii="Sakkal Majalla" w:hAnsi="Sakkal Majalla" w:cs="Sakkal Majalla"/>
          <w:sz w:val="28"/>
          <w:szCs w:val="28"/>
          <w:rtl/>
        </w:rPr>
        <w:t xml:space="preserve">)، استُخدم أسلوب </w:t>
      </w:r>
      <w:r w:rsidRPr="00583CD0">
        <w:rPr>
          <w:rFonts w:ascii="Sakkal Majalla" w:hAnsi="Sakkal Majalla" w:cs="Sakkal Majalla"/>
          <w:sz w:val="28"/>
          <w:szCs w:val="28"/>
        </w:rPr>
        <w:t>Bootstrap</w:t>
      </w:r>
      <w:r w:rsidRPr="00583CD0">
        <w:rPr>
          <w:rFonts w:ascii="Sakkal Majalla" w:hAnsi="Sakkal Majalla" w:cs="Sakkal Majalla"/>
          <w:sz w:val="28"/>
          <w:szCs w:val="28"/>
          <w:rtl/>
        </w:rPr>
        <w:t xml:space="preserve"> بعينة من خمسة آلاف لمقدار فترات الثقة المصحَّحة للتحيُّز عند مستوى ثقة 95%. يُعتبر التأثير غير المباشر دالًّا إحصائيًا إذا لم تتضمَّن فترة الثقة قيمة صفر </w:t>
      </w:r>
      <w:r w:rsidR="002E350D">
        <w:rPr>
          <w:rFonts w:ascii="Sakkal Majalla" w:hAnsi="Sakkal Majalla" w:cs="Sakkal Majalla"/>
          <w:sz w:val="28"/>
          <w:szCs w:val="28"/>
          <w:rtl/>
        </w:rPr>
        <w:fldChar w:fldCharType="begin"/>
      </w:r>
      <w:r w:rsidR="002E350D">
        <w:rPr>
          <w:rFonts w:ascii="Sakkal Majalla" w:hAnsi="Sakkal Majalla" w:cs="Sakkal Majalla"/>
          <w:sz w:val="28"/>
          <w:szCs w:val="28"/>
          <w:rtl/>
        </w:rPr>
        <w:instrText xml:space="preserve"> </w:instrText>
      </w:r>
      <w:r w:rsidR="002E350D">
        <w:rPr>
          <w:rFonts w:ascii="Sakkal Majalla" w:hAnsi="Sakkal Majalla" w:cs="Sakkal Majalla"/>
          <w:sz w:val="28"/>
          <w:szCs w:val="28"/>
        </w:rPr>
        <w:instrText>ADDIN EN.CITE &lt;EndNote&gt;&lt;Cite&gt;&lt;Author&gt;Hayes&lt;/Author&gt;&lt;Year&gt;2013&lt;/Year&gt;&lt;RecNum&gt;272&lt;/RecNum&gt;&lt;DisplayText&gt;(Hayes, 2013)&lt;/DisplayText&gt;&lt;record&gt;&lt;rec-number&gt;272&lt;/rec-number&gt;&lt;foreign-keys&gt;&lt;key app="EN" db-id="02retxxrerxdxhe9aphvs0z2t9z25p0ew99s" timestamp="178180</w:instrText>
      </w:r>
      <w:r w:rsidR="002E350D">
        <w:rPr>
          <w:rFonts w:ascii="Sakkal Majalla" w:hAnsi="Sakkal Majalla" w:cs="Sakkal Majalla"/>
          <w:sz w:val="28"/>
          <w:szCs w:val="28"/>
          <w:rtl/>
        </w:rPr>
        <w:instrText>6388"&gt;272&lt;/</w:instrText>
      </w:r>
      <w:r w:rsidR="002E350D">
        <w:rPr>
          <w:rFonts w:ascii="Sakkal Majalla" w:hAnsi="Sakkal Majalla" w:cs="Sakkal Majalla"/>
          <w:sz w:val="28"/>
          <w:szCs w:val="28"/>
        </w:rPr>
        <w:instrText>key&gt;&lt;/foreign-keys&gt;&lt;ref-type name="Conference Proceedings"&gt;10&lt;/ref-type&gt;&lt;contributors&gt;&lt;authors&gt;&lt;author&gt;Hayes, Andrew F.&lt;/author&gt;&lt;/authors&gt;&lt;/contributors&gt;&lt;titles&gt;&lt;title&gt;Introduction to Mediation, Moderation, and Conditional Process Analysis: A Regression-Based Approach&lt;/title&gt;&lt;/titles&gt;&lt;dates&gt;&lt;year&gt;2013&lt;/year&gt;&lt;/dates&gt;&lt;urls&gt;&lt;/urls&gt;&lt;/record&gt;&lt;/Cite&gt;&lt;/EndNote</w:instrText>
      </w:r>
      <w:r w:rsidR="002E350D">
        <w:rPr>
          <w:rFonts w:ascii="Sakkal Majalla" w:hAnsi="Sakkal Majalla" w:cs="Sakkal Majalla"/>
          <w:sz w:val="28"/>
          <w:szCs w:val="28"/>
          <w:rtl/>
        </w:rPr>
        <w:instrText>&gt;</w:instrText>
      </w:r>
      <w:r w:rsidR="002E350D">
        <w:rPr>
          <w:rFonts w:ascii="Sakkal Majalla" w:hAnsi="Sakkal Majalla" w:cs="Sakkal Majalla"/>
          <w:sz w:val="28"/>
          <w:szCs w:val="28"/>
          <w:rtl/>
        </w:rPr>
        <w:fldChar w:fldCharType="separate"/>
      </w:r>
      <w:r w:rsidR="002E350D">
        <w:rPr>
          <w:rFonts w:ascii="Sakkal Majalla" w:hAnsi="Sakkal Majalla" w:cs="Sakkal Majalla"/>
          <w:noProof/>
          <w:sz w:val="28"/>
          <w:szCs w:val="28"/>
          <w:rtl/>
        </w:rPr>
        <w:t>(</w:t>
      </w:r>
      <w:r w:rsidR="002E350D">
        <w:rPr>
          <w:rFonts w:ascii="Sakkal Majalla" w:hAnsi="Sakkal Majalla" w:cs="Sakkal Majalla"/>
          <w:noProof/>
          <w:sz w:val="28"/>
          <w:szCs w:val="28"/>
        </w:rPr>
        <w:t>Hayes, 2013</w:t>
      </w:r>
      <w:r w:rsidR="002E350D">
        <w:rPr>
          <w:rFonts w:ascii="Sakkal Majalla" w:hAnsi="Sakkal Majalla" w:cs="Sakkal Majalla"/>
          <w:noProof/>
          <w:sz w:val="28"/>
          <w:szCs w:val="28"/>
          <w:rtl/>
        </w:rPr>
        <w:t>)</w:t>
      </w:r>
      <w:r w:rsidR="002E350D">
        <w:rPr>
          <w:rFonts w:ascii="Sakkal Majalla" w:hAnsi="Sakkal Majalla" w:cs="Sakkal Majalla"/>
          <w:sz w:val="28"/>
          <w:szCs w:val="28"/>
          <w:rtl/>
        </w:rPr>
        <w:fldChar w:fldCharType="end"/>
      </w:r>
      <w:r w:rsidRPr="00583CD0">
        <w:rPr>
          <w:rFonts w:ascii="Sakkal Majalla" w:hAnsi="Sakkal Majalla" w:cs="Sakkal Majalla"/>
          <w:sz w:val="28"/>
          <w:szCs w:val="28"/>
          <w:rtl/>
        </w:rPr>
        <w:t xml:space="preserve">. يُفضل هذا الأسلوب على اختبار </w:t>
      </w:r>
      <w:r w:rsidRPr="00583CD0">
        <w:rPr>
          <w:rFonts w:ascii="Sakkal Majalla" w:hAnsi="Sakkal Majalla" w:cs="Sakkal Majalla"/>
          <w:sz w:val="28"/>
          <w:szCs w:val="28"/>
        </w:rPr>
        <w:t>Sobel</w:t>
      </w:r>
      <w:r w:rsidRPr="00583CD0">
        <w:rPr>
          <w:rFonts w:ascii="Sakkal Majalla" w:hAnsi="Sakkal Majalla" w:cs="Sakkal Majalla"/>
          <w:sz w:val="28"/>
          <w:szCs w:val="28"/>
          <w:rtl/>
        </w:rPr>
        <w:t xml:space="preserve"> التقليدي لأنه لا يفترض التوزيع الطبيعي للتأثير غير المباشر. بالنسبة للوساطة المتتابعة، يُقدَّر التأثير المتسلسل عبر المسار (</w:t>
      </w:r>
      <w:r w:rsidRPr="00583CD0">
        <w:rPr>
          <w:rFonts w:ascii="Sakkal Majalla" w:hAnsi="Sakkal Majalla" w:cs="Sakkal Majalla"/>
          <w:sz w:val="28"/>
          <w:szCs w:val="28"/>
        </w:rPr>
        <w:t>a</w:t>
      </w:r>
      <w:r w:rsidRPr="00583CD0">
        <w:rPr>
          <w:rFonts w:ascii="Cambria Math" w:hAnsi="Cambria Math" w:cs="Cambria Math"/>
          <w:sz w:val="28"/>
          <w:szCs w:val="28"/>
        </w:rPr>
        <w:t>₁</w:t>
      </w:r>
      <w:r w:rsidRPr="00583CD0">
        <w:rPr>
          <w:rFonts w:ascii="Sakkal Majalla" w:hAnsi="Sakkal Majalla" w:cs="Sakkal Majalla"/>
          <w:sz w:val="28"/>
          <w:szCs w:val="28"/>
        </w:rPr>
        <w:t xml:space="preserve"> × d</w:t>
      </w:r>
      <w:r w:rsidRPr="00583CD0">
        <w:rPr>
          <w:rFonts w:ascii="Cambria Math" w:hAnsi="Cambria Math" w:cs="Cambria Math"/>
          <w:sz w:val="28"/>
          <w:szCs w:val="28"/>
        </w:rPr>
        <w:t>₂₁</w:t>
      </w:r>
      <w:r w:rsidRPr="00583CD0">
        <w:rPr>
          <w:rFonts w:ascii="Sakkal Majalla" w:hAnsi="Sakkal Majalla" w:cs="Sakkal Majalla"/>
          <w:sz w:val="28"/>
          <w:szCs w:val="28"/>
        </w:rPr>
        <w:t xml:space="preserve"> × b</w:t>
      </w:r>
      <w:r w:rsidRPr="00583CD0">
        <w:rPr>
          <w:rFonts w:ascii="Cambria Math" w:hAnsi="Cambria Math" w:cs="Cambria Math"/>
          <w:sz w:val="28"/>
          <w:szCs w:val="28"/>
        </w:rPr>
        <w:t>₂</w:t>
      </w:r>
      <w:r w:rsidRPr="00583CD0">
        <w:rPr>
          <w:rFonts w:ascii="Sakkal Majalla" w:hAnsi="Sakkal Majalla" w:cs="Sakkal Majalla"/>
          <w:sz w:val="28"/>
          <w:szCs w:val="28"/>
          <w:rtl/>
        </w:rPr>
        <w:t>) ويُختبر باستخدام نفس الأسلوب، مما يسمح بتفكيك التأثير الكلي للقيادة التحويلية إلى مكوناته المباشرة وغير المباشرة. كما أُدرجت المتغيرات الضابطة في النموذج الهيكلي مع مسارات مباشرة إلى المتغيرات التابعة، لعزل أثرها والتأكد من أن العلاقات الملحوظة ليست انعكاسًا لها.</w:t>
      </w:r>
    </w:p>
    <w:p w14:paraId="7BF714E3" w14:textId="4944D0AD" w:rsidR="00BE1BA2" w:rsidRPr="00583CD0" w:rsidRDefault="00BE1BA2" w:rsidP="00BE1BA2">
      <w:pPr>
        <w:bidi/>
        <w:spacing w:after="140" w:line="340" w:lineRule="auto"/>
        <w:rPr>
          <w:rFonts w:ascii="Sakkal Majalla" w:hAnsi="Sakkal Majalla" w:cs="Sakkal Majalla"/>
          <w:sz w:val="28"/>
          <w:szCs w:val="28"/>
        </w:rPr>
      </w:pPr>
      <w:r w:rsidRPr="00583CD0">
        <w:rPr>
          <w:rFonts w:ascii="Sakkal Majalla" w:eastAsia="Arial" w:hAnsi="Sakkal Majalla" w:cs="Sakkal Majalla"/>
          <w:sz w:val="28"/>
          <w:szCs w:val="28"/>
          <w:rtl/>
        </w:rPr>
        <w:t>ويلخّص الجدول الآتي معايير الحكم على جودة مطابقة النموذج المعتمدة في الدراسة</w:t>
      </w:r>
      <w:r w:rsidR="00875EB7">
        <w:rPr>
          <w:rFonts w:ascii="Sakkal Majalla" w:eastAsia="Arial" w:hAnsi="Sakkal Majalla" w:cs="Sakkal Majalla" w:hint="cs"/>
          <w:sz w:val="28"/>
          <w:szCs w:val="28"/>
          <w:rtl/>
        </w:rPr>
        <w:t>:</w:t>
      </w:r>
    </w:p>
    <w:tbl>
      <w:tblPr>
        <w:bidiVisual/>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00"/>
        <w:gridCol w:w="2300"/>
        <w:gridCol w:w="2300"/>
        <w:gridCol w:w="2100"/>
      </w:tblGrid>
      <w:tr w:rsidR="00BE1BA2" w:rsidRPr="00583CD0" w14:paraId="15E7FD64" w14:textId="77777777" w:rsidTr="006B40A5">
        <w:trPr>
          <w:tblHeader/>
        </w:trPr>
        <w:tc>
          <w:tcPr>
            <w:tcW w:w="23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50E9460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lastRenderedPageBreak/>
              <w:t>المؤشر</w:t>
            </w:r>
          </w:p>
        </w:tc>
        <w:tc>
          <w:tcPr>
            <w:tcW w:w="23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2030FE52"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المعيار المقبول</w:t>
            </w:r>
          </w:p>
        </w:tc>
        <w:tc>
          <w:tcPr>
            <w:tcW w:w="23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12995FF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المعيار الجيد</w:t>
            </w:r>
          </w:p>
        </w:tc>
        <w:tc>
          <w:tcPr>
            <w:tcW w:w="21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210347D8"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المرجع</w:t>
            </w:r>
          </w:p>
        </w:tc>
      </w:tr>
      <w:tr w:rsidR="00BE1BA2" w:rsidRPr="00583CD0" w14:paraId="5B453776" w14:textId="77777777" w:rsidTr="006B40A5">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FF0A996" w14:textId="77777777" w:rsidR="00BE1BA2" w:rsidRPr="00583CD0" w:rsidRDefault="00BE1BA2" w:rsidP="006B40A5">
            <w:pPr>
              <w:bidi/>
              <w:spacing w:line="276" w:lineRule="auto"/>
              <w:rPr>
                <w:rFonts w:ascii="Sakkal Majalla" w:hAnsi="Sakkal Majalla" w:cs="Sakkal Majalla"/>
                <w:sz w:val="28"/>
                <w:szCs w:val="28"/>
              </w:rPr>
            </w:pPr>
            <w:r w:rsidRPr="00583CD0">
              <w:rPr>
                <w:rFonts w:ascii="Cambria" w:eastAsia="Arial" w:hAnsi="Cambria" w:cs="Cambria" w:hint="cs"/>
                <w:sz w:val="28"/>
                <w:szCs w:val="28"/>
                <w:rtl/>
              </w:rPr>
              <w:t>χ</w:t>
            </w:r>
            <w:r w:rsidRPr="00583CD0">
              <w:rPr>
                <w:rFonts w:ascii="Sakkal Majalla" w:eastAsia="Arial" w:hAnsi="Sakkal Majalla" w:cs="Sakkal Majalla"/>
                <w:sz w:val="28"/>
                <w:szCs w:val="28"/>
                <w:rtl/>
              </w:rPr>
              <w:t>²/</w:t>
            </w:r>
            <w:proofErr w:type="spellStart"/>
            <w:r w:rsidRPr="00583CD0">
              <w:rPr>
                <w:rFonts w:ascii="Sakkal Majalla" w:eastAsia="Arial" w:hAnsi="Sakkal Majalla" w:cs="Sakkal Majalla"/>
                <w:sz w:val="28"/>
                <w:szCs w:val="28"/>
                <w:rtl/>
              </w:rPr>
              <w:t>df</w:t>
            </w:r>
            <w:proofErr w:type="spellEnd"/>
          </w:p>
        </w:tc>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EA6CB8A"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&lt; 5</w:t>
            </w:r>
          </w:p>
        </w:tc>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FDB4446"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&lt; 3</w:t>
            </w:r>
          </w:p>
        </w:tc>
        <w:tc>
          <w:tcPr>
            <w:tcW w:w="21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9D714C9" w14:textId="7AAC7132" w:rsidR="00BE1BA2" w:rsidRPr="00583CD0" w:rsidRDefault="00BE1BA2" w:rsidP="006B40A5">
            <w:pPr>
              <w:bidi/>
              <w:spacing w:line="276" w:lineRule="auto"/>
              <w:rPr>
                <w:rFonts w:ascii="Sakkal Majalla" w:hAnsi="Sakkal Majalla" w:cs="Sakkal Majalla"/>
                <w:sz w:val="28"/>
                <w:szCs w:val="28"/>
              </w:rPr>
            </w:pPr>
            <w:proofErr w:type="spellStart"/>
            <w:r w:rsidRPr="00583CD0">
              <w:rPr>
                <w:rFonts w:ascii="Sakkal Majalla" w:eastAsia="Arial" w:hAnsi="Sakkal Majalla" w:cs="Sakkal Majalla"/>
                <w:sz w:val="28"/>
                <w:szCs w:val="28"/>
                <w:rtl/>
              </w:rPr>
              <w:t>Kline</w:t>
            </w:r>
            <w:proofErr w:type="spellEnd"/>
            <w:r w:rsidRPr="00583CD0">
              <w:rPr>
                <w:rFonts w:ascii="Sakkal Majalla" w:eastAsia="Arial" w:hAnsi="Sakkal Majalla" w:cs="Sakkal Majalla"/>
                <w:sz w:val="28"/>
                <w:szCs w:val="28"/>
                <w:rtl/>
              </w:rPr>
              <w:t xml:space="preserve"> (20</w:t>
            </w:r>
            <w:r w:rsidR="00703112">
              <w:rPr>
                <w:rFonts w:ascii="Sakkal Majalla" w:eastAsia="Arial" w:hAnsi="Sakkal Majalla" w:cs="Sakkal Majalla" w:hint="cs"/>
                <w:sz w:val="28"/>
                <w:szCs w:val="28"/>
                <w:rtl/>
              </w:rPr>
              <w:t>2</w:t>
            </w:r>
            <w:r w:rsidRPr="00583CD0">
              <w:rPr>
                <w:rFonts w:ascii="Sakkal Majalla" w:eastAsia="Arial" w:hAnsi="Sakkal Majalla" w:cs="Sakkal Majalla"/>
                <w:sz w:val="28"/>
                <w:szCs w:val="28"/>
                <w:rtl/>
              </w:rPr>
              <w:t>3)</w:t>
            </w:r>
          </w:p>
        </w:tc>
      </w:tr>
      <w:tr w:rsidR="00BE1BA2" w:rsidRPr="00583CD0" w14:paraId="11EC0B6A" w14:textId="77777777" w:rsidTr="006B40A5">
        <w:tc>
          <w:tcPr>
            <w:tcW w:w="23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96D9EE9"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CFI</w:t>
            </w:r>
          </w:p>
        </w:tc>
        <w:tc>
          <w:tcPr>
            <w:tcW w:w="23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D75F97B"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&gt; 0.90</w:t>
            </w:r>
          </w:p>
        </w:tc>
        <w:tc>
          <w:tcPr>
            <w:tcW w:w="23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1F0BD4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&gt; 0.95</w:t>
            </w:r>
          </w:p>
        </w:tc>
        <w:tc>
          <w:tcPr>
            <w:tcW w:w="21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B9AEFBD" w14:textId="77777777" w:rsidR="00BE1BA2" w:rsidRPr="00583CD0" w:rsidRDefault="00BE1BA2" w:rsidP="006B40A5">
            <w:pPr>
              <w:bidi/>
              <w:spacing w:line="276" w:lineRule="auto"/>
              <w:rPr>
                <w:rFonts w:ascii="Sakkal Majalla" w:hAnsi="Sakkal Majalla" w:cs="Sakkal Majalla"/>
                <w:sz w:val="28"/>
                <w:szCs w:val="28"/>
              </w:rPr>
            </w:pPr>
            <w:proofErr w:type="spellStart"/>
            <w:r w:rsidRPr="00583CD0">
              <w:rPr>
                <w:rFonts w:ascii="Sakkal Majalla" w:eastAsia="Arial" w:hAnsi="Sakkal Majalla" w:cs="Sakkal Majalla"/>
                <w:sz w:val="28"/>
                <w:szCs w:val="28"/>
                <w:rtl/>
              </w:rPr>
              <w:t>Hair</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et</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al</w:t>
            </w:r>
            <w:proofErr w:type="spellEnd"/>
            <w:r w:rsidRPr="00583CD0">
              <w:rPr>
                <w:rFonts w:ascii="Sakkal Majalla" w:eastAsia="Arial" w:hAnsi="Sakkal Majalla" w:cs="Sakkal Majalla"/>
                <w:sz w:val="28"/>
                <w:szCs w:val="28"/>
                <w:rtl/>
              </w:rPr>
              <w:t>. (2019)</w:t>
            </w:r>
          </w:p>
        </w:tc>
      </w:tr>
      <w:tr w:rsidR="00BE1BA2" w:rsidRPr="00583CD0" w14:paraId="64FD0CA0" w14:textId="77777777" w:rsidTr="006B40A5">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277EAE9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TLI</w:t>
            </w:r>
          </w:p>
        </w:tc>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1FD6CFD"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&gt; 0.90</w:t>
            </w:r>
          </w:p>
        </w:tc>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24B095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&gt; 0.95</w:t>
            </w:r>
          </w:p>
        </w:tc>
        <w:tc>
          <w:tcPr>
            <w:tcW w:w="21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03B229DF" w14:textId="77777777" w:rsidR="00BE1BA2" w:rsidRPr="00583CD0" w:rsidRDefault="00BE1BA2" w:rsidP="006B40A5">
            <w:pPr>
              <w:bidi/>
              <w:spacing w:line="276" w:lineRule="auto"/>
              <w:rPr>
                <w:rFonts w:ascii="Sakkal Majalla" w:hAnsi="Sakkal Majalla" w:cs="Sakkal Majalla"/>
                <w:sz w:val="28"/>
                <w:szCs w:val="28"/>
              </w:rPr>
            </w:pPr>
            <w:proofErr w:type="spellStart"/>
            <w:r w:rsidRPr="00583CD0">
              <w:rPr>
                <w:rFonts w:ascii="Sakkal Majalla" w:eastAsia="Arial" w:hAnsi="Sakkal Majalla" w:cs="Sakkal Majalla"/>
                <w:sz w:val="28"/>
                <w:szCs w:val="28"/>
                <w:rtl/>
              </w:rPr>
              <w:t>Hair</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et</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al</w:t>
            </w:r>
            <w:proofErr w:type="spellEnd"/>
            <w:r w:rsidRPr="00583CD0">
              <w:rPr>
                <w:rFonts w:ascii="Sakkal Majalla" w:eastAsia="Arial" w:hAnsi="Sakkal Majalla" w:cs="Sakkal Majalla"/>
                <w:sz w:val="28"/>
                <w:szCs w:val="28"/>
                <w:rtl/>
              </w:rPr>
              <w:t>. (2019)</w:t>
            </w:r>
          </w:p>
        </w:tc>
      </w:tr>
      <w:tr w:rsidR="00BE1BA2" w:rsidRPr="00583CD0" w14:paraId="46D9DE50" w14:textId="77777777" w:rsidTr="006B40A5">
        <w:tc>
          <w:tcPr>
            <w:tcW w:w="23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5ADA544E"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RMSEA</w:t>
            </w:r>
          </w:p>
        </w:tc>
        <w:tc>
          <w:tcPr>
            <w:tcW w:w="23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04E109AF"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&lt; 0.08</w:t>
            </w:r>
          </w:p>
        </w:tc>
        <w:tc>
          <w:tcPr>
            <w:tcW w:w="23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83D2DC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&lt; 0.06</w:t>
            </w:r>
          </w:p>
        </w:tc>
        <w:tc>
          <w:tcPr>
            <w:tcW w:w="21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6E1215C3" w14:textId="696365BA" w:rsidR="00BE1BA2" w:rsidRPr="00583CD0" w:rsidRDefault="00BE1BA2" w:rsidP="006B40A5">
            <w:pPr>
              <w:bidi/>
              <w:spacing w:line="276" w:lineRule="auto"/>
              <w:rPr>
                <w:rFonts w:ascii="Sakkal Majalla" w:hAnsi="Sakkal Majalla" w:cs="Sakkal Majalla"/>
                <w:sz w:val="28"/>
                <w:szCs w:val="28"/>
              </w:rPr>
            </w:pPr>
            <w:proofErr w:type="spellStart"/>
            <w:r w:rsidRPr="00583CD0">
              <w:rPr>
                <w:rFonts w:ascii="Sakkal Majalla" w:eastAsia="Arial" w:hAnsi="Sakkal Majalla" w:cs="Sakkal Majalla"/>
                <w:sz w:val="28"/>
                <w:szCs w:val="28"/>
                <w:rtl/>
              </w:rPr>
              <w:t>Kline</w:t>
            </w:r>
            <w:proofErr w:type="spellEnd"/>
            <w:r w:rsidRPr="00583CD0">
              <w:rPr>
                <w:rFonts w:ascii="Sakkal Majalla" w:eastAsia="Arial" w:hAnsi="Sakkal Majalla" w:cs="Sakkal Majalla"/>
                <w:sz w:val="28"/>
                <w:szCs w:val="28"/>
                <w:rtl/>
              </w:rPr>
              <w:t xml:space="preserve"> (20</w:t>
            </w:r>
            <w:r w:rsidR="00703112">
              <w:rPr>
                <w:rFonts w:ascii="Sakkal Majalla" w:eastAsia="Arial" w:hAnsi="Sakkal Majalla" w:cs="Sakkal Majalla" w:hint="cs"/>
                <w:sz w:val="28"/>
                <w:szCs w:val="28"/>
                <w:rtl/>
              </w:rPr>
              <w:t>2</w:t>
            </w:r>
            <w:r w:rsidRPr="00583CD0">
              <w:rPr>
                <w:rFonts w:ascii="Sakkal Majalla" w:eastAsia="Arial" w:hAnsi="Sakkal Majalla" w:cs="Sakkal Majalla"/>
                <w:sz w:val="28"/>
                <w:szCs w:val="28"/>
                <w:rtl/>
              </w:rPr>
              <w:t>3)</w:t>
            </w:r>
          </w:p>
        </w:tc>
      </w:tr>
      <w:tr w:rsidR="00BE1BA2" w:rsidRPr="00583CD0" w14:paraId="0E69CADC" w14:textId="77777777" w:rsidTr="006B40A5">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2F32824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SRMR</w:t>
            </w:r>
          </w:p>
        </w:tc>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3FBD724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&lt; 0.08</w:t>
            </w:r>
          </w:p>
        </w:tc>
        <w:tc>
          <w:tcPr>
            <w:tcW w:w="23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1D5F15F"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&lt; 0.05</w:t>
            </w:r>
          </w:p>
        </w:tc>
        <w:tc>
          <w:tcPr>
            <w:tcW w:w="21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6799B2B5" w14:textId="77777777" w:rsidR="00BE1BA2" w:rsidRPr="00583CD0" w:rsidRDefault="00BE1BA2" w:rsidP="006B40A5">
            <w:pPr>
              <w:bidi/>
              <w:spacing w:line="276" w:lineRule="auto"/>
              <w:rPr>
                <w:rFonts w:ascii="Sakkal Majalla" w:hAnsi="Sakkal Majalla" w:cs="Sakkal Majalla"/>
                <w:sz w:val="28"/>
                <w:szCs w:val="28"/>
              </w:rPr>
            </w:pPr>
            <w:proofErr w:type="spellStart"/>
            <w:r w:rsidRPr="00583CD0">
              <w:rPr>
                <w:rFonts w:ascii="Sakkal Majalla" w:eastAsia="Arial" w:hAnsi="Sakkal Majalla" w:cs="Sakkal Majalla"/>
                <w:sz w:val="28"/>
                <w:szCs w:val="28"/>
                <w:rtl/>
              </w:rPr>
              <w:t>Hair</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et</w:t>
            </w:r>
            <w:proofErr w:type="spellEnd"/>
            <w:r w:rsidRPr="00583CD0">
              <w:rPr>
                <w:rFonts w:ascii="Sakkal Majalla" w:eastAsia="Arial" w:hAnsi="Sakkal Majalla" w:cs="Sakkal Majalla"/>
                <w:sz w:val="28"/>
                <w:szCs w:val="28"/>
                <w:rtl/>
              </w:rPr>
              <w:t xml:space="preserve"> </w:t>
            </w:r>
            <w:proofErr w:type="spellStart"/>
            <w:r w:rsidRPr="00583CD0">
              <w:rPr>
                <w:rFonts w:ascii="Sakkal Majalla" w:eastAsia="Arial" w:hAnsi="Sakkal Majalla" w:cs="Sakkal Majalla"/>
                <w:sz w:val="28"/>
                <w:szCs w:val="28"/>
                <w:rtl/>
              </w:rPr>
              <w:t>al</w:t>
            </w:r>
            <w:proofErr w:type="spellEnd"/>
            <w:r w:rsidRPr="00583CD0">
              <w:rPr>
                <w:rFonts w:ascii="Sakkal Majalla" w:eastAsia="Arial" w:hAnsi="Sakkal Majalla" w:cs="Sakkal Majalla"/>
                <w:sz w:val="28"/>
                <w:szCs w:val="28"/>
                <w:rtl/>
              </w:rPr>
              <w:t>. (2019)</w:t>
            </w:r>
          </w:p>
        </w:tc>
      </w:tr>
    </w:tbl>
    <w:p w14:paraId="0B980C21" w14:textId="41630B24" w:rsidR="00BE1BA2" w:rsidRPr="00583CD0" w:rsidRDefault="00BE1BA2" w:rsidP="00BE1BA2">
      <w:pPr>
        <w:bidi/>
        <w:spacing w:after="140" w:line="340" w:lineRule="auto"/>
        <w:rPr>
          <w:rFonts w:ascii="Sakkal Majalla" w:hAnsi="Sakkal Majalla" w:cs="Sakkal Majalla"/>
          <w:sz w:val="28"/>
          <w:szCs w:val="28"/>
        </w:rPr>
      </w:pPr>
      <w:r w:rsidRPr="00583CD0">
        <w:rPr>
          <w:rFonts w:ascii="Sakkal Majalla" w:eastAsia="Arial" w:hAnsi="Sakkal Majalla" w:cs="Sakkal Majalla"/>
          <w:sz w:val="28"/>
          <w:szCs w:val="28"/>
          <w:rtl/>
        </w:rPr>
        <w:t>كما يبيّن الجدول التالي العلاقة بين فرضيات الدراسة والأساليب الإحصائية المستخدمة لاختبارها</w:t>
      </w:r>
      <w:r w:rsidR="00875EB7">
        <w:rPr>
          <w:rFonts w:ascii="Sakkal Majalla" w:eastAsia="Arial" w:hAnsi="Sakkal Majalla" w:cs="Sakkal Majalla" w:hint="cs"/>
          <w:sz w:val="28"/>
          <w:szCs w:val="28"/>
          <w:rtl/>
        </w:rPr>
        <w:t>:</w:t>
      </w:r>
    </w:p>
    <w:tbl>
      <w:tblPr>
        <w:bidiVisual/>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3800"/>
      </w:tblGrid>
      <w:tr w:rsidR="00BE1BA2" w:rsidRPr="00583CD0" w14:paraId="759DDB24" w14:textId="77777777" w:rsidTr="006B40A5">
        <w:trPr>
          <w:tblHeader/>
        </w:trPr>
        <w:tc>
          <w:tcPr>
            <w:tcW w:w="52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6315F5E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الفرضية</w:t>
            </w:r>
          </w:p>
        </w:tc>
        <w:tc>
          <w:tcPr>
            <w:tcW w:w="3800" w:type="dxa"/>
            <w:tcBorders>
              <w:top w:val="single" w:sz="4" w:space="0" w:color="AAAAAA"/>
              <w:left w:val="single" w:sz="4" w:space="0" w:color="AAAAAA"/>
              <w:bottom w:val="single" w:sz="4" w:space="0" w:color="AAAAAA"/>
              <w:right w:val="single" w:sz="4" w:space="0" w:color="AAAAAA"/>
            </w:tcBorders>
            <w:shd w:val="clear" w:color="auto" w:fill="1F3864"/>
            <w:tcMar>
              <w:top w:w="60" w:type="dxa"/>
              <w:left w:w="100" w:type="dxa"/>
              <w:bottom w:w="60" w:type="dxa"/>
              <w:right w:w="100" w:type="dxa"/>
            </w:tcMar>
            <w:vAlign w:val="center"/>
          </w:tcPr>
          <w:p w14:paraId="5C8857D1"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b/>
                <w:bCs/>
                <w:sz w:val="28"/>
                <w:szCs w:val="28"/>
                <w:rtl/>
              </w:rPr>
              <w:t>الأسلوب الإحصائي</w:t>
            </w:r>
          </w:p>
        </w:tc>
      </w:tr>
      <w:tr w:rsidR="00BE1BA2" w:rsidRPr="00583CD0" w14:paraId="6A323452" w14:textId="77777777" w:rsidTr="006B40A5">
        <w:tc>
          <w:tcPr>
            <w:tcW w:w="52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3ECFBB3"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H1: TL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SC</w:t>
            </w:r>
          </w:p>
        </w:tc>
        <w:tc>
          <w:tcPr>
            <w:tcW w:w="38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580D32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معامل المسار في SEM ودلالته</w:t>
            </w:r>
          </w:p>
        </w:tc>
      </w:tr>
      <w:tr w:rsidR="00BE1BA2" w:rsidRPr="00583CD0" w14:paraId="7D695DEA" w14:textId="77777777" w:rsidTr="006B40A5">
        <w:tc>
          <w:tcPr>
            <w:tcW w:w="5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30E1903"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H2: SC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SB</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6EE25F27"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معامل المسار في SEM ودلالته</w:t>
            </w:r>
          </w:p>
        </w:tc>
      </w:tr>
      <w:tr w:rsidR="00BE1BA2" w:rsidRPr="00583CD0" w14:paraId="3A572D1D" w14:textId="77777777" w:rsidTr="006B40A5">
        <w:tc>
          <w:tcPr>
            <w:tcW w:w="52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E44D8DC"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H3: SB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AE</w:t>
            </w:r>
          </w:p>
        </w:tc>
        <w:tc>
          <w:tcPr>
            <w:tcW w:w="38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2405DB1"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معامل المسار في SEM ودلالته</w:t>
            </w:r>
          </w:p>
        </w:tc>
      </w:tr>
      <w:tr w:rsidR="00BE1BA2" w:rsidRPr="00583CD0" w14:paraId="597DC40C" w14:textId="77777777" w:rsidTr="006B40A5">
        <w:tc>
          <w:tcPr>
            <w:tcW w:w="52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3D6A74E5"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H4: TL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SC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SB (وساطة)</w:t>
            </w:r>
          </w:p>
        </w:tc>
        <w:tc>
          <w:tcPr>
            <w:tcW w:w="3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38135A58"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التأثير غير المباشر + فترة ثقة </w:t>
            </w:r>
            <w:proofErr w:type="spellStart"/>
            <w:r w:rsidRPr="00583CD0">
              <w:rPr>
                <w:rFonts w:ascii="Sakkal Majalla" w:eastAsia="Arial" w:hAnsi="Sakkal Majalla" w:cs="Sakkal Majalla"/>
                <w:sz w:val="28"/>
                <w:szCs w:val="28"/>
                <w:rtl/>
              </w:rPr>
              <w:t>Bootstrap</w:t>
            </w:r>
            <w:proofErr w:type="spellEnd"/>
          </w:p>
        </w:tc>
      </w:tr>
      <w:tr w:rsidR="00BE1BA2" w:rsidRPr="00583CD0" w14:paraId="3AC314F3" w14:textId="77777777" w:rsidTr="006B40A5">
        <w:tc>
          <w:tcPr>
            <w:tcW w:w="52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48D6F7A5"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H5: TL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SC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SB </w:t>
            </w:r>
            <w:r w:rsidRPr="00583CD0">
              <w:rPr>
                <w:rFonts w:ascii="Times New Roman" w:eastAsia="Arial" w:hAnsi="Times New Roman" w:cs="Times New Roman" w:hint="cs"/>
                <w:sz w:val="28"/>
                <w:szCs w:val="28"/>
                <w:rtl/>
              </w:rPr>
              <w:t>→</w:t>
            </w:r>
            <w:r w:rsidRPr="00583CD0">
              <w:rPr>
                <w:rFonts w:ascii="Sakkal Majalla" w:eastAsia="Arial" w:hAnsi="Sakkal Majalla" w:cs="Sakkal Majalla"/>
                <w:sz w:val="28"/>
                <w:szCs w:val="28"/>
                <w:rtl/>
              </w:rPr>
              <w:t xml:space="preserve"> AE (وساطة متتابعة)</w:t>
            </w:r>
          </w:p>
        </w:tc>
        <w:tc>
          <w:tcPr>
            <w:tcW w:w="38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79E7555F" w14:textId="77777777" w:rsidR="00BE1BA2" w:rsidRPr="00583CD0" w:rsidRDefault="00BE1BA2" w:rsidP="006B40A5">
            <w:pPr>
              <w:bidi/>
              <w:spacing w:line="276" w:lineRule="auto"/>
              <w:rPr>
                <w:rFonts w:ascii="Sakkal Majalla" w:hAnsi="Sakkal Majalla" w:cs="Sakkal Majalla"/>
                <w:sz w:val="28"/>
                <w:szCs w:val="28"/>
              </w:rPr>
            </w:pPr>
            <w:r w:rsidRPr="00583CD0">
              <w:rPr>
                <w:rFonts w:ascii="Sakkal Majalla" w:eastAsia="Arial" w:hAnsi="Sakkal Majalla" w:cs="Sakkal Majalla"/>
                <w:sz w:val="28"/>
                <w:szCs w:val="28"/>
                <w:rtl/>
              </w:rPr>
              <w:t xml:space="preserve">التأثير المتتابع + فترة ثقة </w:t>
            </w:r>
            <w:proofErr w:type="spellStart"/>
            <w:r w:rsidRPr="00583CD0">
              <w:rPr>
                <w:rFonts w:ascii="Sakkal Majalla" w:eastAsia="Arial" w:hAnsi="Sakkal Majalla" w:cs="Sakkal Majalla"/>
                <w:sz w:val="28"/>
                <w:szCs w:val="28"/>
                <w:rtl/>
              </w:rPr>
              <w:t>Bootstrap</w:t>
            </w:r>
            <w:proofErr w:type="spellEnd"/>
          </w:p>
        </w:tc>
      </w:tr>
      <w:tr w:rsidR="002022D4" w:rsidRPr="00583CD0" w14:paraId="4D99641C" w14:textId="77777777" w:rsidTr="006B40A5">
        <w:tc>
          <w:tcPr>
            <w:tcW w:w="52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09ADA8E" w14:textId="6F998F80" w:rsidR="002022D4" w:rsidRPr="00583CD0" w:rsidRDefault="002022D4" w:rsidP="002022D4">
            <w:pPr>
              <w:bidi/>
              <w:spacing w:line="276" w:lineRule="auto"/>
              <w:rPr>
                <w:rFonts w:ascii="Sakkal Majalla" w:eastAsia="Arial" w:hAnsi="Sakkal Majalla" w:cs="Sakkal Majalla"/>
                <w:sz w:val="28"/>
                <w:szCs w:val="28"/>
              </w:rPr>
            </w:pPr>
            <w:r>
              <w:rPr>
                <w:rFonts w:ascii="Sakkal Majalla" w:eastAsia="Arial" w:hAnsi="Sakkal Majalla" w:cs="Sakkal Majalla"/>
                <w:sz w:val="28"/>
                <w:szCs w:val="28"/>
              </w:rPr>
              <w:t xml:space="preserve">H6: </w:t>
            </w:r>
            <w:r w:rsidRPr="002022D4">
              <w:rPr>
                <w:rFonts w:ascii="Sakkal Majalla" w:eastAsia="Arial" w:hAnsi="Sakkal Majalla" w:cs="Sakkal Majalla"/>
                <w:sz w:val="28"/>
                <w:szCs w:val="28"/>
              </w:rPr>
              <w:t xml:space="preserve">(TL </w:t>
            </w:r>
            <w:r w:rsidRPr="002022D4">
              <w:rPr>
                <w:rFonts w:ascii="Times New Roman" w:eastAsia="Arial" w:hAnsi="Times New Roman" w:cs="Times New Roman"/>
                <w:sz w:val="28"/>
                <w:szCs w:val="28"/>
              </w:rPr>
              <w:t>→</w:t>
            </w:r>
            <w:r w:rsidRPr="002022D4">
              <w:rPr>
                <w:rFonts w:ascii="Sakkal Majalla" w:eastAsia="Arial" w:hAnsi="Sakkal Majalla" w:cs="Sakkal Majalla"/>
                <w:sz w:val="28"/>
                <w:szCs w:val="28"/>
              </w:rPr>
              <w:t xml:space="preserve"> AE</w:t>
            </w:r>
            <w:r>
              <w:rPr>
                <w:rFonts w:ascii="Sakkal Majalla" w:eastAsia="Arial" w:hAnsi="Sakkal Majalla" w:cs="Sakkal Majalla"/>
                <w:sz w:val="28"/>
                <w:szCs w:val="28"/>
              </w:rPr>
              <w:t>)</w:t>
            </w:r>
          </w:p>
        </w:tc>
        <w:tc>
          <w:tcPr>
            <w:tcW w:w="3800" w:type="dxa"/>
            <w:tcBorders>
              <w:top w:val="single" w:sz="4" w:space="0" w:color="AAAAAA"/>
              <w:left w:val="single" w:sz="4" w:space="0" w:color="AAAAAA"/>
              <w:bottom w:val="single" w:sz="4" w:space="0" w:color="AAAAAA"/>
              <w:right w:val="single" w:sz="4" w:space="0" w:color="AAAAAA"/>
            </w:tcBorders>
            <w:tcMar>
              <w:top w:w="60" w:type="dxa"/>
              <w:left w:w="100" w:type="dxa"/>
              <w:bottom w:w="60" w:type="dxa"/>
              <w:right w:w="100" w:type="dxa"/>
            </w:tcMar>
            <w:vAlign w:val="center"/>
          </w:tcPr>
          <w:p w14:paraId="5FBF6BDA" w14:textId="1A93FB0B" w:rsidR="002022D4" w:rsidRPr="00583CD0" w:rsidRDefault="002022D4" w:rsidP="002022D4">
            <w:pPr>
              <w:bidi/>
              <w:spacing w:line="276" w:lineRule="auto"/>
              <w:rPr>
                <w:rFonts w:ascii="Sakkal Majalla" w:eastAsia="Arial" w:hAnsi="Sakkal Majalla" w:cs="Sakkal Majalla" w:hint="cs"/>
                <w:sz w:val="28"/>
                <w:szCs w:val="28"/>
                <w:rtl/>
              </w:rPr>
            </w:pPr>
            <w:r w:rsidRPr="002022D4">
              <w:rPr>
                <w:rFonts w:ascii="Sakkal Majalla" w:eastAsia="Arial" w:hAnsi="Sakkal Majalla" w:cs="Sakkal Majalla"/>
                <w:sz w:val="28"/>
                <w:szCs w:val="28"/>
                <w:rtl/>
              </w:rPr>
              <w:t>لمسار المتسلسل</w:t>
            </w:r>
          </w:p>
        </w:tc>
      </w:tr>
    </w:tbl>
    <w:p w14:paraId="6907766E" w14:textId="77777777" w:rsidR="00BE1BA2" w:rsidRPr="00875EB7" w:rsidRDefault="00BE1BA2" w:rsidP="00BE1BA2">
      <w:pPr>
        <w:pStyle w:val="1"/>
        <w:bidi/>
        <w:rPr>
          <w:rFonts w:ascii="Sakkal Majalla" w:hAnsi="Sakkal Majalla" w:cs="Sakkal Majalla"/>
          <w:b/>
          <w:bCs/>
          <w:color w:val="auto"/>
        </w:rPr>
      </w:pPr>
      <w:r w:rsidRPr="00875EB7">
        <w:rPr>
          <w:rFonts w:ascii="Sakkal Majalla" w:hAnsi="Sakkal Majalla" w:cs="Sakkal Majalla"/>
          <w:b/>
          <w:bCs/>
          <w:color w:val="auto"/>
          <w:rtl/>
        </w:rPr>
        <w:t>3.15 الاعتبارات</w:t>
      </w:r>
      <w:r w:rsidRPr="00875EB7">
        <w:rPr>
          <w:rFonts w:ascii="Sakkal Majalla" w:eastAsia="Arial" w:hAnsi="Sakkal Majalla" w:cs="Sakkal Majalla"/>
          <w:b/>
          <w:bCs/>
          <w:color w:val="auto"/>
          <w:rtl/>
        </w:rPr>
        <w:t xml:space="preserve"> الأخلاقية</w:t>
      </w:r>
    </w:p>
    <w:p w14:paraId="5E575717" w14:textId="77777777" w:rsidR="00BE1BA2" w:rsidRPr="003F275E" w:rsidRDefault="00BE1BA2" w:rsidP="00BE1BA2">
      <w:pPr>
        <w:bidi/>
        <w:spacing w:after="140" w:line="340" w:lineRule="auto"/>
        <w:jc w:val="both"/>
        <w:rPr>
          <w:rFonts w:ascii="Sakkal Majalla" w:hAnsi="Sakkal Majalla" w:cs="Sakkal Majalla"/>
          <w:sz w:val="28"/>
          <w:szCs w:val="28"/>
        </w:rPr>
      </w:pPr>
      <w:r w:rsidRPr="00583CD0">
        <w:rPr>
          <w:rFonts w:ascii="Sakkal Majalla" w:hAnsi="Sakkal Majalla" w:cs="Sakkal Majalla"/>
          <w:sz w:val="28"/>
          <w:szCs w:val="28"/>
          <w:rtl/>
        </w:rPr>
        <w:t xml:space="preserve">التزم الباحث بالمعايير الأخلاقية المعتمدة في البحث العلمي. وسوف يحصل على الموافقات المؤسسية من جامعة ميد أوشن ومن تجمع الجوف الصحي قبل البدء في جمع البيانات، وضمن الموافقة المستنيرة للمشاركين عبر توضيح أهداف الدراسة وطبيعتها وحقهم في الانسحاب في أي وقتٍ دون تبعات. كما يحرص على سرية المعلومات وعدم الكشف عن هوية المشاركين، إذ لم تتضمن الاستبانة أي بياناتٍ تعريفيةٍ شخصية، وسوف يتم تخزين البيانات بصورةٍ آمنةٍ محميةٍ بكلمة مرور. وسوف يلتزم الباحث بمبدأ عدم الإضرار، فلا تتضمن الدراسة أي إجراءٍ من شأنه إيذاء المشاركين أو المرضى، كما يلتزم بالأمانة العلمية في عرض النتائج وتفسيرها والإفصاح عن </w:t>
      </w:r>
      <w:r w:rsidRPr="005C7518">
        <w:rPr>
          <w:rFonts w:ascii="Simplified Arabic" w:hAnsi="Simplified Arabic" w:cs="Simplified Arabic"/>
          <w:sz w:val="28"/>
          <w:szCs w:val="28"/>
          <w:rtl/>
        </w:rPr>
        <w:t>محددات المنهجية.</w:t>
      </w:r>
      <w:r w:rsidRPr="005C7518">
        <w:rPr>
          <w:rFonts w:ascii="Simplified Arabic" w:eastAsia="Arial" w:hAnsi="Simplified Arabic" w:cs="Simplified Arabic"/>
          <w:sz w:val="28"/>
          <w:szCs w:val="28"/>
          <w:rtl/>
        </w:rPr>
        <w:t>.</w:t>
      </w:r>
    </w:p>
    <w:p w14:paraId="57B4F43B" w14:textId="77777777" w:rsidR="00BE1BA2" w:rsidRPr="003F275E" w:rsidRDefault="00BE1BA2" w:rsidP="00BE1BA2">
      <w:pPr>
        <w:pStyle w:val="1"/>
        <w:bidi/>
        <w:rPr>
          <w:rFonts w:ascii="Sakkal Majalla" w:hAnsi="Sakkal Majalla" w:cs="Sakkal Majalla"/>
          <w:b/>
          <w:bCs/>
          <w:color w:val="auto"/>
        </w:rPr>
      </w:pPr>
      <w:r w:rsidRPr="003F275E">
        <w:rPr>
          <w:rFonts w:ascii="Sakkal Majalla" w:hAnsi="Sakkal Majalla" w:cs="Sakkal Majalla"/>
          <w:b/>
          <w:bCs/>
          <w:color w:val="auto"/>
          <w:rtl/>
        </w:rPr>
        <w:lastRenderedPageBreak/>
        <w:t>3.16 خلاصة</w:t>
      </w:r>
      <w:r w:rsidRPr="003F275E">
        <w:rPr>
          <w:rFonts w:ascii="Sakkal Majalla" w:eastAsia="Arial" w:hAnsi="Sakkal Majalla" w:cs="Sakkal Majalla"/>
          <w:b/>
          <w:bCs/>
          <w:color w:val="auto"/>
          <w:rtl/>
        </w:rPr>
        <w:t xml:space="preserve"> الفصل</w:t>
      </w:r>
    </w:p>
    <w:p w14:paraId="11E18257" w14:textId="26EEEAC8" w:rsidR="005C7518" w:rsidRPr="003F275E" w:rsidRDefault="00BE1BA2" w:rsidP="005C7518">
      <w:pPr>
        <w:bidi/>
        <w:spacing w:after="140" w:line="340" w:lineRule="auto"/>
        <w:jc w:val="both"/>
        <w:rPr>
          <w:rFonts w:ascii="Sakkal Majalla" w:hAnsi="Sakkal Majalla" w:cs="Sakkal Majalla"/>
          <w:sz w:val="28"/>
          <w:szCs w:val="28"/>
          <w:rtl/>
        </w:rPr>
      </w:pPr>
      <w:r w:rsidRPr="003F275E">
        <w:rPr>
          <w:rFonts w:ascii="Sakkal Majalla" w:hAnsi="Sakkal Majalla" w:cs="Sakkal Majalla"/>
          <w:sz w:val="28"/>
          <w:szCs w:val="28"/>
          <w:rtl/>
        </w:rPr>
        <w:t>استعرض هذا الفصل بالتفصيل الإجراءاتِ التي اتبعها الباحث في تنفيذ الدراسة الميدانية. فقد اعتمدت الدراسة المنهج الوصفي المسحي الارتباطي لملاءمته طبيعة المشكلة وأهدافها، مع الإقرار بأن طابعه المقطعي يجعل ترتيب الوساطة مستندًا إلى المسوّغ النظري. وتكون مجتمع الدراسة من العاملين في تسعة مستشفياتٍ حكوميةٍ في منطقة الجوف، واستُخدم أسلوب المعاينة الطبقية العشوائية النسبية لضمان عينةٍ متوازنةٍ تعكس التركيبة الفعلية للمجتمع، مع استهداف ما لا يقل عن خمسمئة استجابةٍ صالحةٍ تتسق مع متطلبات النمذجة الهيكلية.</w:t>
      </w:r>
    </w:p>
    <w:p w14:paraId="1351F7C2" w14:textId="77777777" w:rsidR="005C7518" w:rsidRPr="003F275E" w:rsidRDefault="005C7518" w:rsidP="005C7518">
      <w:pPr>
        <w:bidi/>
        <w:rPr>
          <w:rFonts w:ascii="Sakkal Majalla" w:hAnsi="Sakkal Majalla" w:cs="Sakkal Majalla"/>
          <w:sz w:val="28"/>
          <w:szCs w:val="28"/>
        </w:rPr>
      </w:pPr>
      <w:r w:rsidRPr="003F275E">
        <w:rPr>
          <w:rFonts w:ascii="Sakkal Majalla" w:hAnsi="Sakkal Majalla" w:cs="Sakkal Majalla"/>
          <w:sz w:val="28"/>
          <w:szCs w:val="28"/>
          <w:rtl/>
        </w:rPr>
        <w:t>وتكوّنت أداة الدراسة من استبانةٍ مكوّنةٍ من ستٍّ وخمسين فقرةً، موزّعةً على أربعة مقاييس محكَّمة ومعتمَدة في الأدبيات</w:t>
      </w:r>
      <w:r w:rsidRPr="003F275E">
        <w:rPr>
          <w:rFonts w:ascii="Sakkal Majalla" w:hAnsi="Sakkal Majalla" w:cs="Sakkal Majalla"/>
          <w:sz w:val="28"/>
          <w:szCs w:val="28"/>
        </w:rPr>
        <w:t>:</w:t>
      </w:r>
    </w:p>
    <w:p w14:paraId="4A9A9123" w14:textId="014B80ED" w:rsidR="005C7518" w:rsidRPr="003F275E" w:rsidRDefault="005C7518" w:rsidP="005C7518">
      <w:pPr>
        <w:bidi/>
        <w:jc w:val="both"/>
        <w:rPr>
          <w:rFonts w:ascii="Sakkal Majalla" w:hAnsi="Sakkal Majalla" w:cs="Sakkal Majalla"/>
          <w:sz w:val="28"/>
          <w:szCs w:val="28"/>
        </w:rPr>
      </w:pPr>
      <w:r w:rsidRPr="003F275E">
        <w:rPr>
          <w:rFonts w:ascii="Sakkal Majalla" w:hAnsi="Sakkal Majalla" w:cs="Sakkal Majalla"/>
          <w:sz w:val="28"/>
          <w:szCs w:val="28"/>
          <w:rtl/>
        </w:rPr>
        <w:t>أولاً، مقياس مخزون القيادة التحويلية (</w:t>
      </w:r>
      <w:r w:rsidRPr="003F275E">
        <w:rPr>
          <w:rFonts w:ascii="Sakkal Majalla" w:hAnsi="Sakkal Majalla" w:cs="Sakkal Majalla"/>
          <w:sz w:val="28"/>
          <w:szCs w:val="28"/>
        </w:rPr>
        <w:t>Transformational Leadership Inventory — TLI</w:t>
      </w:r>
      <w:r w:rsidRPr="003F275E">
        <w:rPr>
          <w:rFonts w:ascii="Sakkal Majalla" w:hAnsi="Sakkal Majalla" w:cs="Sakkal Majalla"/>
          <w:sz w:val="28"/>
          <w:szCs w:val="28"/>
          <w:rtl/>
        </w:rPr>
        <w:t xml:space="preserve">) الذي وضعه </w:t>
      </w:r>
      <w:r w:rsidRPr="003F275E">
        <w:rPr>
          <w:rFonts w:ascii="Sakkal Majalla" w:hAnsi="Sakkal Majalla" w:cs="Sakkal Majalla"/>
          <w:sz w:val="28"/>
          <w:szCs w:val="28"/>
        </w:rPr>
        <w:t>Podsakoff</w:t>
      </w:r>
      <w:r w:rsidRPr="003F275E">
        <w:rPr>
          <w:rFonts w:ascii="Sakkal Majalla" w:hAnsi="Sakkal Majalla" w:cs="Sakkal Majalla"/>
          <w:sz w:val="28"/>
          <w:szCs w:val="28"/>
          <w:rtl/>
        </w:rPr>
        <w:t xml:space="preserve"> وزملاؤه في عام 1990، يتألف من 23 بندًا يقيس السلوك القيادي التحويلي عبر ستة أبعاد أساسية، وهي: صياغة الرؤية، وتقديم النموذج القيادي، وتعزيز قبول الأهداف الجماعية، وتوقعات الأداء العالي، والدعم الفردي، والاستثارة الفكرية.</w:t>
      </w:r>
    </w:p>
    <w:p w14:paraId="26BEC661" w14:textId="2A516BAC" w:rsidR="005C7518" w:rsidRPr="003F275E" w:rsidRDefault="005C7518" w:rsidP="005C7518">
      <w:pPr>
        <w:bidi/>
        <w:jc w:val="both"/>
        <w:rPr>
          <w:rFonts w:ascii="Sakkal Majalla" w:hAnsi="Sakkal Majalla" w:cs="Sakkal Majalla"/>
          <w:sz w:val="28"/>
          <w:szCs w:val="28"/>
        </w:rPr>
      </w:pPr>
      <w:r w:rsidRPr="003F275E">
        <w:rPr>
          <w:rFonts w:ascii="Sakkal Majalla" w:hAnsi="Sakkal Majalla" w:cs="Sakkal Majalla"/>
          <w:sz w:val="28"/>
          <w:szCs w:val="28"/>
          <w:rtl/>
        </w:rPr>
        <w:t>ثانياً: استبانة ثقافة سلامة المرضى في المستشفيات (</w:t>
      </w:r>
      <w:r w:rsidRPr="003F275E">
        <w:rPr>
          <w:rFonts w:ascii="Sakkal Majalla" w:hAnsi="Sakkal Majalla" w:cs="Sakkal Majalla"/>
          <w:sz w:val="28"/>
          <w:szCs w:val="28"/>
        </w:rPr>
        <w:t>Hospital Survey on Patient Safety Culture — HSOPSC</w:t>
      </w:r>
      <w:r w:rsidRPr="003F275E">
        <w:rPr>
          <w:rFonts w:ascii="Sakkal Majalla" w:hAnsi="Sakkal Majalla" w:cs="Sakkal Majalla"/>
          <w:sz w:val="28"/>
          <w:szCs w:val="28"/>
          <w:rtl/>
        </w:rPr>
        <w:t>) الصادرة عن الوكالة الأمريكية لأبحاث الجودة والرعاية الصحية (</w:t>
      </w:r>
      <w:r w:rsidRPr="003F275E">
        <w:rPr>
          <w:rFonts w:ascii="Sakkal Majalla" w:hAnsi="Sakkal Majalla" w:cs="Sakkal Majalla"/>
          <w:sz w:val="28"/>
          <w:szCs w:val="28"/>
        </w:rPr>
        <w:t>AHRQ</w:t>
      </w:r>
      <w:r w:rsidRPr="003F275E">
        <w:rPr>
          <w:rFonts w:ascii="Sakkal Majalla" w:hAnsi="Sakkal Majalla" w:cs="Sakkal Majalla"/>
          <w:sz w:val="28"/>
          <w:szCs w:val="28"/>
          <w:rtl/>
        </w:rPr>
        <w:t>)، وتقيس أربعة أبعاد رئيسية ذات صلة مباشرة بالبيئة الصحية، وهي: دعم الإدارة للسلامة، والتواصل المفتوح بشأن الأخطاء، والتعلم المستمر من الحوادث، والعمل الجماعي والتعاون.</w:t>
      </w:r>
    </w:p>
    <w:p w14:paraId="01700C2B" w14:textId="218D71D2" w:rsidR="005C7518" w:rsidRPr="003F275E" w:rsidRDefault="005C7518" w:rsidP="005C7518">
      <w:pPr>
        <w:bidi/>
        <w:jc w:val="both"/>
        <w:rPr>
          <w:rFonts w:ascii="Sakkal Majalla" w:hAnsi="Sakkal Majalla" w:cs="Sakkal Majalla"/>
          <w:sz w:val="28"/>
          <w:szCs w:val="28"/>
        </w:rPr>
      </w:pPr>
      <w:r w:rsidRPr="003F275E">
        <w:rPr>
          <w:rFonts w:ascii="Sakkal Majalla" w:hAnsi="Sakkal Majalla" w:cs="Sakkal Majalla"/>
          <w:sz w:val="28"/>
          <w:szCs w:val="28"/>
          <w:rtl/>
        </w:rPr>
        <w:t xml:space="preserve">ثالثاً: مقياس سلوكيات السلامة الموجه للبيئة الصحية، المُعد وفق معايير </w:t>
      </w:r>
      <w:r w:rsidRPr="003F275E">
        <w:rPr>
          <w:rFonts w:ascii="Sakkal Majalla" w:hAnsi="Sakkal Majalla" w:cs="Sakkal Majalla"/>
          <w:sz w:val="28"/>
          <w:szCs w:val="28"/>
        </w:rPr>
        <w:t>Neil &amp; Griffin</w:t>
      </w:r>
      <w:r w:rsidRPr="003F275E">
        <w:rPr>
          <w:rFonts w:ascii="Sakkal Majalla" w:hAnsi="Sakkal Majalla" w:cs="Sakkal Majalla"/>
          <w:sz w:val="28"/>
          <w:szCs w:val="28"/>
          <w:rtl/>
        </w:rPr>
        <w:t xml:space="preserve"> (2006) والمُكيّف مع السياق العربي (</w:t>
      </w:r>
      <w:proofErr w:type="spellStart"/>
      <w:r w:rsidRPr="003F275E">
        <w:rPr>
          <w:rFonts w:ascii="Sakkal Majalla" w:hAnsi="Sakkal Majalla" w:cs="Sakkal Majalla"/>
          <w:sz w:val="28"/>
          <w:szCs w:val="28"/>
        </w:rPr>
        <w:t>Elhihi</w:t>
      </w:r>
      <w:proofErr w:type="spellEnd"/>
      <w:r w:rsidRPr="003F275E">
        <w:rPr>
          <w:rFonts w:ascii="Sakkal Majalla" w:hAnsi="Sakkal Majalla" w:cs="Sakkal Majalla"/>
          <w:sz w:val="28"/>
          <w:szCs w:val="28"/>
        </w:rPr>
        <w:t xml:space="preserve"> et al., 2025</w:t>
      </w:r>
      <w:r w:rsidRPr="003F275E">
        <w:rPr>
          <w:rFonts w:ascii="Sakkal Majalla" w:hAnsi="Sakkal Majalla" w:cs="Sakkal Majalla"/>
          <w:sz w:val="28"/>
          <w:szCs w:val="28"/>
          <w:rtl/>
        </w:rPr>
        <w:t>)، ويقيس مستوى التزام الممارسين الصحيين بالممارسات اليومية الحرجة، كالنظافة اليدوية، والتحقق من هوية المريض، والامتثال لقوائم التدقيق الإكلينيكية، والإبلاغ عن الحوادث شبه الضارة. رابعاً، مقياس الأحداث الضارة الذي طوره الباحث استنادًا إلى الأطر النظرية ذات الصلة يقيس مدى إدراك العاملين لفاعلية التدابير المتخذة للحد من الأخطاء الشائعة، مثل أخطاء الأدوية، وأخطاء الهوية، والعدوى المكتسبة داخل المستشفى. ويتم ذلك من خلال ثلاثة محاور: تطبيق إجراءات الوقاية الفعالة، وفعالية أنظمة الإبلاغ والاستجابة للحوادث، والمدرك للتحسن في سلامة المرضى.</w:t>
      </w:r>
    </w:p>
    <w:p w14:paraId="11416340" w14:textId="4DCE15EE" w:rsidR="00EC5360" w:rsidRPr="003F275E" w:rsidRDefault="005C7518" w:rsidP="005C7518">
      <w:pPr>
        <w:bidi/>
        <w:jc w:val="both"/>
        <w:rPr>
          <w:rFonts w:ascii="Sakkal Majalla" w:hAnsi="Sakkal Majalla" w:cs="Sakkal Majalla"/>
          <w:sz w:val="28"/>
          <w:szCs w:val="28"/>
          <w:rtl/>
        </w:rPr>
      </w:pPr>
      <w:r w:rsidRPr="003F275E">
        <w:rPr>
          <w:rFonts w:ascii="Sakkal Majalla" w:hAnsi="Sakkal Majalla" w:cs="Sakkal Majalla"/>
          <w:sz w:val="28"/>
          <w:szCs w:val="28"/>
          <w:rtl/>
        </w:rPr>
        <w:t xml:space="preserve">وقد صيغت جميع فقرات الاستبانة وفق مقياس </w:t>
      </w:r>
      <w:proofErr w:type="spellStart"/>
      <w:r w:rsidRPr="003F275E">
        <w:rPr>
          <w:rFonts w:ascii="Sakkal Majalla" w:hAnsi="Sakkal Majalla" w:cs="Sakkal Majalla"/>
          <w:sz w:val="28"/>
          <w:szCs w:val="28"/>
          <w:rtl/>
        </w:rPr>
        <w:t>ليكرت</w:t>
      </w:r>
      <w:proofErr w:type="spellEnd"/>
      <w:r w:rsidRPr="003F275E">
        <w:rPr>
          <w:rFonts w:ascii="Sakkal Majalla" w:hAnsi="Sakkal Majalla" w:cs="Sakkal Majalla"/>
          <w:sz w:val="28"/>
          <w:szCs w:val="28"/>
          <w:rtl/>
        </w:rPr>
        <w:t xml:space="preserve"> الخماسي المتدرج من (1 = لا أوافق بشدة) إلى (5 = أوافق بشدة). وقد خضعت هذه المقاييس لمنظومة متكاملة من إجراءات التحقق من الصدق والثبات؛ إذ شملت: صدق المحتوى عبر التحكيم المتخصص، وصدق البناء من خلال التحليل الاستكشافي والتوكيدي، والصدق </w:t>
      </w:r>
      <w:proofErr w:type="spellStart"/>
      <w:r w:rsidRPr="003F275E">
        <w:rPr>
          <w:rFonts w:ascii="Sakkal Majalla" w:hAnsi="Sakkal Majalla" w:cs="Sakkal Majalla"/>
          <w:sz w:val="28"/>
          <w:szCs w:val="28"/>
          <w:rtl/>
        </w:rPr>
        <w:t>التقاربي</w:t>
      </w:r>
      <w:proofErr w:type="spellEnd"/>
      <w:r w:rsidRPr="003F275E">
        <w:rPr>
          <w:rFonts w:ascii="Sakkal Majalla" w:hAnsi="Sakkal Majalla" w:cs="Sakkal Majalla"/>
          <w:sz w:val="28"/>
          <w:szCs w:val="28"/>
          <w:rtl/>
        </w:rPr>
        <w:t xml:space="preserve"> والتمييز وفق معايير نمذجة المعادلات الهيكلية، إلى جانب ثبات الاتساق الداخلي بمعامل ألفا </w:t>
      </w:r>
      <w:proofErr w:type="spellStart"/>
      <w:r w:rsidRPr="003F275E">
        <w:rPr>
          <w:rFonts w:ascii="Sakkal Majalla" w:hAnsi="Sakkal Majalla" w:cs="Sakkal Majalla"/>
          <w:sz w:val="28"/>
          <w:szCs w:val="28"/>
          <w:rtl/>
        </w:rPr>
        <w:t>كرونباخ</w:t>
      </w:r>
      <w:proofErr w:type="spellEnd"/>
      <w:r w:rsidRPr="003F275E">
        <w:rPr>
          <w:rFonts w:ascii="Sakkal Majalla" w:hAnsi="Sakkal Majalla" w:cs="Sakkal Majalla"/>
          <w:sz w:val="28"/>
          <w:szCs w:val="28"/>
          <w:rtl/>
        </w:rPr>
        <w:t>، والموثوقية المركبة (</w:t>
      </w:r>
      <w:r w:rsidRPr="003F275E">
        <w:rPr>
          <w:rFonts w:ascii="Sakkal Majalla" w:hAnsi="Sakkal Majalla" w:cs="Sakkal Majalla"/>
          <w:sz w:val="28"/>
          <w:szCs w:val="28"/>
        </w:rPr>
        <w:t>CR</w:t>
      </w:r>
      <w:r w:rsidRPr="003F275E">
        <w:rPr>
          <w:rFonts w:ascii="Sakkal Majalla" w:hAnsi="Sakkal Majalla" w:cs="Sakkal Majalla"/>
          <w:sz w:val="28"/>
          <w:szCs w:val="28"/>
          <w:rtl/>
        </w:rPr>
        <w:t>)، فضلاً عن إجراءات ضبط تحيّز المنهج المشترك (</w:t>
      </w:r>
      <w:r w:rsidRPr="003F275E">
        <w:rPr>
          <w:rFonts w:ascii="Sakkal Majalla" w:hAnsi="Sakkal Majalla" w:cs="Sakkal Majalla"/>
          <w:sz w:val="28"/>
          <w:szCs w:val="28"/>
        </w:rPr>
        <w:t>Common Method Bias</w:t>
      </w:r>
      <w:r w:rsidRPr="003F275E">
        <w:rPr>
          <w:rFonts w:ascii="Sakkal Majalla" w:hAnsi="Sakkal Majalla" w:cs="Sakkal Majalla"/>
          <w:sz w:val="28"/>
          <w:szCs w:val="28"/>
          <w:rtl/>
        </w:rPr>
        <w:t>) للتحقق من سلامة البيانات الإدراكية. واعتمدت نمذجة المعادلات الهيكلية (</w:t>
      </w:r>
      <w:r w:rsidRPr="003F275E">
        <w:rPr>
          <w:rFonts w:ascii="Sakkal Majalla" w:hAnsi="Sakkal Majalla" w:cs="Sakkal Majalla"/>
          <w:sz w:val="28"/>
          <w:szCs w:val="28"/>
        </w:rPr>
        <w:t>Structural Equation Modeling — SEM</w:t>
      </w:r>
      <w:r w:rsidRPr="003F275E">
        <w:rPr>
          <w:rFonts w:ascii="Sakkal Majalla" w:hAnsi="Sakkal Majalla" w:cs="Sakkal Majalla"/>
          <w:sz w:val="28"/>
          <w:szCs w:val="28"/>
          <w:rtl/>
        </w:rPr>
        <w:t xml:space="preserve">) أسلوبًا إحصائيًا رئيسيًا لاختبار النموذج البنائي وفرضياته، مع توظيف أسلوب </w:t>
      </w:r>
      <w:r w:rsidRPr="003F275E">
        <w:rPr>
          <w:rFonts w:ascii="Sakkal Majalla" w:hAnsi="Sakkal Majalla" w:cs="Sakkal Majalla"/>
          <w:sz w:val="28"/>
          <w:szCs w:val="28"/>
        </w:rPr>
        <w:t>Bootstrap</w:t>
      </w:r>
      <w:r w:rsidRPr="003F275E">
        <w:rPr>
          <w:rFonts w:ascii="Sakkal Majalla" w:hAnsi="Sakkal Majalla" w:cs="Sakkal Majalla"/>
          <w:sz w:val="28"/>
          <w:szCs w:val="28"/>
          <w:rtl/>
        </w:rPr>
        <w:t xml:space="preserve"> (5,000 إعادة عينة) لتقدير دلالة التأثيرات غير المباشرة واختبار صحة نموذج الوساطة المتتابعة (</w:t>
      </w:r>
      <w:r w:rsidRPr="003F275E">
        <w:rPr>
          <w:rFonts w:ascii="Sakkal Majalla" w:hAnsi="Sakkal Majalla" w:cs="Sakkal Majalla"/>
          <w:sz w:val="28"/>
          <w:szCs w:val="28"/>
        </w:rPr>
        <w:t xml:space="preserve">TL </w:t>
      </w:r>
      <w:r w:rsidRPr="003F275E">
        <w:rPr>
          <w:rFonts w:ascii="Times New Roman" w:hAnsi="Times New Roman" w:cs="Times New Roman"/>
          <w:sz w:val="28"/>
          <w:szCs w:val="28"/>
        </w:rPr>
        <w:t>→</w:t>
      </w:r>
      <w:r w:rsidRPr="003F275E">
        <w:rPr>
          <w:rFonts w:ascii="Sakkal Majalla" w:hAnsi="Sakkal Majalla" w:cs="Sakkal Majalla"/>
          <w:sz w:val="28"/>
          <w:szCs w:val="28"/>
        </w:rPr>
        <w:t xml:space="preserve"> SC</w:t>
      </w:r>
      <w:r w:rsidRPr="003F275E">
        <w:rPr>
          <w:rFonts w:ascii="Sakkal Majalla" w:hAnsi="Sakkal Majalla" w:cs="Sakkal Majalla"/>
          <w:sz w:val="28"/>
          <w:szCs w:val="28"/>
          <w:rtl/>
        </w:rPr>
        <w:t xml:space="preserve"> </w:t>
      </w:r>
      <w:r w:rsidRPr="003F275E">
        <w:rPr>
          <w:rFonts w:ascii="Times New Roman" w:hAnsi="Times New Roman" w:cs="Times New Roman" w:hint="cs"/>
          <w:sz w:val="28"/>
          <w:szCs w:val="28"/>
          <w:rtl/>
        </w:rPr>
        <w:t>→</w:t>
      </w:r>
      <w:r w:rsidRPr="003F275E">
        <w:rPr>
          <w:rFonts w:ascii="Sakkal Majalla" w:hAnsi="Sakkal Majalla" w:cs="Sakkal Majalla"/>
          <w:sz w:val="28"/>
          <w:szCs w:val="28"/>
          <w:rtl/>
        </w:rPr>
        <w:t xml:space="preserve"> </w:t>
      </w:r>
      <w:r w:rsidRPr="003F275E">
        <w:rPr>
          <w:rFonts w:ascii="Sakkal Majalla" w:hAnsi="Sakkal Majalla" w:cs="Sakkal Majalla"/>
          <w:sz w:val="28"/>
          <w:szCs w:val="28"/>
        </w:rPr>
        <w:t xml:space="preserve">SB </w:t>
      </w:r>
      <w:r w:rsidRPr="003F275E">
        <w:rPr>
          <w:rFonts w:ascii="Times New Roman" w:hAnsi="Times New Roman" w:cs="Times New Roman"/>
          <w:sz w:val="28"/>
          <w:szCs w:val="28"/>
        </w:rPr>
        <w:t>→</w:t>
      </w:r>
      <w:r w:rsidRPr="003F275E">
        <w:rPr>
          <w:rFonts w:ascii="Sakkal Majalla" w:hAnsi="Sakkal Majalla" w:cs="Sakkal Majalla"/>
          <w:sz w:val="28"/>
          <w:szCs w:val="28"/>
        </w:rPr>
        <w:t xml:space="preserve"> AE</w:t>
      </w:r>
      <w:r w:rsidRPr="003F275E">
        <w:rPr>
          <w:rFonts w:ascii="Sakkal Majalla" w:hAnsi="Sakkal Majalla" w:cs="Sakkal Majalla"/>
          <w:sz w:val="28"/>
          <w:szCs w:val="28"/>
          <w:rtl/>
        </w:rPr>
        <w:t>). وسيعرض الفصل الرابع نتائج تطبيق هذه الإجراءات وتحليل البيانات المجمدة من عينة الدراسة الميدانية.</w:t>
      </w:r>
    </w:p>
    <w:p w14:paraId="5F49D818" w14:textId="4C927B09" w:rsidR="006758A1" w:rsidRPr="006758A1" w:rsidRDefault="00B25657" w:rsidP="00B853B1">
      <w:pPr>
        <w:spacing w:after="200" w:line="276" w:lineRule="auto"/>
        <w:jc w:val="right"/>
        <w:rPr>
          <w:rFonts w:ascii="Sakkal Majalla" w:hAnsi="Sakkal Majalla" w:cs="Sakkal Majalla"/>
          <w:b/>
          <w:bCs/>
          <w:sz w:val="28"/>
          <w:szCs w:val="28"/>
          <w:rtl/>
        </w:rPr>
      </w:pPr>
      <w:r>
        <w:rPr>
          <w:rFonts w:ascii="Sakkal Majalla" w:hAnsi="Sakkal Majalla" w:cs="Sakkal Majalla" w:hint="cs"/>
          <w:b/>
          <w:bCs/>
          <w:sz w:val="28"/>
          <w:szCs w:val="28"/>
          <w:rtl/>
        </w:rPr>
        <w:t>2.11. المراجع</w:t>
      </w:r>
      <w:r w:rsidR="00C07820" w:rsidRPr="00FC62C6">
        <w:rPr>
          <w:rFonts w:ascii="Sakkal Majalla" w:hAnsi="Sakkal Majalla" w:cs="Sakkal Majalla"/>
          <w:b/>
          <w:bCs/>
          <w:sz w:val="28"/>
          <w:szCs w:val="28"/>
          <w:rtl/>
        </w:rPr>
        <w:t>:</w:t>
      </w:r>
      <w:r w:rsidR="00C07820" w:rsidRPr="00FC62C6">
        <w:rPr>
          <w:rFonts w:ascii="Sakkal Majalla" w:hAnsi="Sakkal Majalla" w:cs="Sakkal Majalla"/>
          <w:b/>
          <w:bCs/>
          <w:sz w:val="28"/>
          <w:szCs w:val="28"/>
        </w:rPr>
        <w:br/>
      </w:r>
      <w:bookmarkEnd w:id="0"/>
      <w:r w:rsidR="006758A1" w:rsidRPr="006758A1">
        <w:rPr>
          <w:rFonts w:ascii="Sakkal Majalla" w:hAnsi="Sakkal Majalla" w:cs="Sakkal Majalla"/>
          <w:b/>
          <w:bCs/>
          <w:sz w:val="28"/>
          <w:szCs w:val="28"/>
          <w:rtl/>
        </w:rPr>
        <w:t xml:space="preserve">المراجع الإنجليزية:                                                                                                                                                  </w:t>
      </w:r>
    </w:p>
    <w:p w14:paraId="3D7EDD16" w14:textId="77777777" w:rsidR="00FC55C5" w:rsidRPr="00FC55C5" w:rsidRDefault="006758A1" w:rsidP="00FC55C5">
      <w:pPr>
        <w:pStyle w:val="EndNoteCategoryHeading"/>
      </w:pPr>
      <w:r w:rsidRPr="006758A1">
        <w:rPr>
          <w:rFonts w:ascii="Sakkal Majalla" w:hAnsi="Sakkal Majalla" w:cs="Sakkal Majalla"/>
          <w:sz w:val="28"/>
          <w:szCs w:val="28"/>
        </w:rPr>
        <w:fldChar w:fldCharType="begin"/>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instrText>ADDIN EN.REFLIST</w:instrText>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fldChar w:fldCharType="separate"/>
      </w:r>
      <w:r w:rsidR="00FC55C5" w:rsidRPr="00FC55C5">
        <w:t>Uncategorized References</w:t>
      </w:r>
    </w:p>
    <w:p w14:paraId="7D48557A" w14:textId="0F908DE3" w:rsidR="00FC55C5" w:rsidRPr="00FC55C5" w:rsidRDefault="00FC55C5" w:rsidP="00FC55C5">
      <w:pPr>
        <w:pStyle w:val="EndNoteBibliography"/>
        <w:ind w:left="720" w:hanging="720"/>
      </w:pPr>
      <w:r w:rsidRPr="00FC55C5">
        <w:lastRenderedPageBreak/>
        <w:t xml:space="preserve">Ahmed, Z., Ellahham, S., Soomro, M., Shams, S., &amp; Latif, K. (2024, May 7). Exploring the impact of compassion and leadership on patient safety and quality in healthcare systems: a narrative review. </w:t>
      </w:r>
      <w:r w:rsidRPr="00FC55C5">
        <w:rPr>
          <w:i/>
        </w:rPr>
        <w:t>BMJ Open Qual, 13</w:t>
      </w:r>
      <w:r w:rsidRPr="00FC55C5">
        <w:t xml:space="preserve">(Suppl 2). </w:t>
      </w:r>
      <w:hyperlink r:id="rId10" w:history="1">
        <w:r w:rsidRPr="00FC55C5">
          <w:rPr>
            <w:rStyle w:val="Hyperlink"/>
          </w:rPr>
          <w:t>https://doi.org/10.1136/bmjoq-2023-002651</w:t>
        </w:r>
      </w:hyperlink>
      <w:r w:rsidRPr="00FC55C5">
        <w:t xml:space="preserve"> </w:t>
      </w:r>
    </w:p>
    <w:p w14:paraId="4A0D279A" w14:textId="77777777" w:rsidR="00FC55C5" w:rsidRPr="00FC55C5" w:rsidRDefault="00FC55C5" w:rsidP="00FC55C5">
      <w:pPr>
        <w:pStyle w:val="EndNoteBibliography"/>
        <w:spacing w:after="0"/>
      </w:pPr>
    </w:p>
    <w:p w14:paraId="3EC9D119" w14:textId="77777777" w:rsidR="00FC55C5" w:rsidRPr="00FC55C5" w:rsidRDefault="00FC55C5" w:rsidP="00FC55C5">
      <w:pPr>
        <w:pStyle w:val="EndNoteBibliography"/>
        <w:ind w:left="720" w:hanging="720"/>
      </w:pPr>
      <w:r w:rsidRPr="00FC55C5">
        <w:t xml:space="preserve">Alahmadi, Y. M., Alharbi, M. A., Almusallam, A. J., Alahmadi, R. Y., &amp; Alolayan, S. O. (2022). Incidence of Medication Errors in King Fahad Hospital Madina Saudi Arabia. </w:t>
      </w:r>
      <w:r w:rsidRPr="00FC55C5">
        <w:rPr>
          <w:i/>
        </w:rPr>
        <w:t>Brazilian Journal of Pharmaceutical Sciences, 58</w:t>
      </w:r>
      <w:r w:rsidRPr="00FC55C5">
        <w:t xml:space="preserve">, e201196. </w:t>
      </w:r>
    </w:p>
    <w:p w14:paraId="21614238" w14:textId="77777777" w:rsidR="00FC55C5" w:rsidRPr="00FC55C5" w:rsidRDefault="00FC55C5" w:rsidP="00FC55C5">
      <w:pPr>
        <w:pStyle w:val="EndNoteBibliography"/>
        <w:spacing w:after="0"/>
      </w:pPr>
    </w:p>
    <w:p w14:paraId="216ED135" w14:textId="7D6E7FA3" w:rsidR="00FC55C5" w:rsidRPr="00FC55C5" w:rsidRDefault="00FC55C5" w:rsidP="00FC55C5">
      <w:pPr>
        <w:pStyle w:val="EndNoteBibliography"/>
        <w:ind w:left="720" w:hanging="720"/>
      </w:pPr>
      <w:r w:rsidRPr="00FC55C5">
        <w:t xml:space="preserve">Alghamdi, S. A. (2026, Jan). Medication Errors Reporting and Analysis: A Comparative Study for Advancing Medication Safety Practices in Ministry of Health Hospitals in Saudi Arabia. </w:t>
      </w:r>
      <w:r w:rsidRPr="00FC55C5">
        <w:rPr>
          <w:i/>
        </w:rPr>
        <w:t>Saudi Med J, 47</w:t>
      </w:r>
      <w:r w:rsidRPr="00FC55C5">
        <w:t xml:space="preserve">(1), 102-113. </w:t>
      </w:r>
      <w:hyperlink r:id="rId11" w:history="1">
        <w:r w:rsidRPr="00FC55C5">
          <w:rPr>
            <w:rStyle w:val="Hyperlink"/>
          </w:rPr>
          <w:t>https://doi.org/10.15537/smj.2026.47.1.20250755</w:t>
        </w:r>
      </w:hyperlink>
      <w:r w:rsidRPr="00FC55C5">
        <w:t xml:space="preserve"> </w:t>
      </w:r>
    </w:p>
    <w:p w14:paraId="02385A22" w14:textId="77777777" w:rsidR="00FC55C5" w:rsidRPr="00FC55C5" w:rsidRDefault="00FC55C5" w:rsidP="00FC55C5">
      <w:pPr>
        <w:pStyle w:val="EndNoteBibliography"/>
        <w:spacing w:after="0"/>
      </w:pPr>
    </w:p>
    <w:p w14:paraId="58FBD6D8" w14:textId="0B401317" w:rsidR="00FC55C5" w:rsidRPr="00FC55C5" w:rsidRDefault="00FC55C5" w:rsidP="00FC55C5">
      <w:pPr>
        <w:pStyle w:val="EndNoteBibliography"/>
        <w:ind w:left="720" w:hanging="720"/>
      </w:pPr>
      <w:r w:rsidRPr="00FC55C5">
        <w:t xml:space="preserve">Almalki, Z. S., Alqahtani, N., Salway, N. T., Alharbi, M. M., Alqahtani, A., Alotaibi, N., Alotaibi, T. M., &amp; Alshammari, T. (2021, Mar 5). Evaluation of medication error rates in Saudi Arabia: A protocol for systematic review and meta-analysis. </w:t>
      </w:r>
      <w:r w:rsidRPr="00FC55C5">
        <w:rPr>
          <w:i/>
        </w:rPr>
        <w:t>Medicine (Baltimore), 100</w:t>
      </w:r>
      <w:r w:rsidRPr="00FC55C5">
        <w:t xml:space="preserve">(9), e24956. </w:t>
      </w:r>
      <w:hyperlink r:id="rId12" w:history="1">
        <w:r w:rsidRPr="00FC55C5">
          <w:rPr>
            <w:rStyle w:val="Hyperlink"/>
          </w:rPr>
          <w:t>https://doi.org/10.1097/MD.0000000000024956</w:t>
        </w:r>
      </w:hyperlink>
      <w:r w:rsidRPr="00FC55C5">
        <w:t xml:space="preserve"> </w:t>
      </w:r>
    </w:p>
    <w:p w14:paraId="267AD2C5" w14:textId="77777777" w:rsidR="00FC55C5" w:rsidRPr="00FC55C5" w:rsidRDefault="00FC55C5" w:rsidP="00FC55C5">
      <w:pPr>
        <w:pStyle w:val="EndNoteBibliography"/>
        <w:spacing w:after="0"/>
      </w:pPr>
    </w:p>
    <w:p w14:paraId="759D58B3" w14:textId="29A22B6D" w:rsidR="00FC55C5" w:rsidRPr="00FC55C5" w:rsidRDefault="00FC55C5" w:rsidP="00FC55C5">
      <w:pPr>
        <w:pStyle w:val="EndNoteBibliography"/>
        <w:ind w:left="720" w:hanging="720"/>
      </w:pPr>
      <w:r w:rsidRPr="00FC55C5">
        <w:t xml:space="preserve">Alotaibi, E. A., ZienYusoff, R., Al-Swidi, A. K., Al-Matari, E. M., &amp; AlSharqi, O. Z. (2015, 03/01). The Mediating Effect of Organizational Climate on the Relationship between Transformational Leadership and Patient Safety: A Study on Saudi Hospitals. </w:t>
      </w:r>
      <w:r w:rsidRPr="00FC55C5">
        <w:rPr>
          <w:i/>
        </w:rPr>
        <w:t>Mediterranean Journal of Social Sciences, 6</w:t>
      </w:r>
      <w:r w:rsidRPr="00FC55C5">
        <w:t xml:space="preserve">. </w:t>
      </w:r>
      <w:hyperlink r:id="rId13" w:history="1">
        <w:r w:rsidRPr="00FC55C5">
          <w:rPr>
            <w:rStyle w:val="Hyperlink"/>
          </w:rPr>
          <w:t>https://doi.org/10.5901/mjss.2015.v6n2s1p117</w:t>
        </w:r>
      </w:hyperlink>
      <w:r w:rsidRPr="00FC55C5">
        <w:t xml:space="preserve"> </w:t>
      </w:r>
    </w:p>
    <w:p w14:paraId="09030EFB" w14:textId="77777777" w:rsidR="00FC55C5" w:rsidRPr="00FC55C5" w:rsidRDefault="00FC55C5" w:rsidP="00FC55C5">
      <w:pPr>
        <w:pStyle w:val="EndNoteBibliography"/>
        <w:spacing w:after="0"/>
      </w:pPr>
    </w:p>
    <w:p w14:paraId="081BDE11" w14:textId="4647A1B5" w:rsidR="00FC55C5" w:rsidRPr="00FC55C5" w:rsidRDefault="00FC55C5" w:rsidP="00FC55C5">
      <w:pPr>
        <w:pStyle w:val="EndNoteBibliography"/>
        <w:ind w:left="720" w:hanging="720"/>
      </w:pPr>
      <w:r w:rsidRPr="00FC55C5">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FC55C5">
        <w:rPr>
          <w:i/>
        </w:rPr>
        <w:t>BMJ open, 14</w:t>
      </w:r>
      <w:r w:rsidRPr="00FC55C5">
        <w:t xml:space="preserve">(9), e084741. </w:t>
      </w:r>
      <w:hyperlink r:id="rId14" w:history="1">
        <w:r w:rsidRPr="00FC55C5">
          <w:rPr>
            <w:rStyle w:val="Hyperlink"/>
          </w:rPr>
          <w:t>https://doi.org/10.1136/bmjopen-2024-084741</w:t>
        </w:r>
      </w:hyperlink>
      <w:r w:rsidRPr="00FC55C5">
        <w:t xml:space="preserve"> </w:t>
      </w:r>
    </w:p>
    <w:p w14:paraId="45CE2978" w14:textId="77777777" w:rsidR="00FC55C5" w:rsidRPr="00FC55C5" w:rsidRDefault="00FC55C5" w:rsidP="00FC55C5">
      <w:pPr>
        <w:pStyle w:val="EndNoteBibliography"/>
        <w:spacing w:after="0"/>
      </w:pPr>
    </w:p>
    <w:p w14:paraId="20F725AC" w14:textId="77777777" w:rsidR="00FC55C5" w:rsidRPr="00FC55C5" w:rsidRDefault="00FC55C5" w:rsidP="00FC55C5">
      <w:pPr>
        <w:pStyle w:val="EndNoteBibliography"/>
        <w:ind w:left="720" w:hanging="720"/>
      </w:pPr>
      <w:r w:rsidRPr="00FC55C5">
        <w:t xml:space="preserve">Alsaedi, F. M. D., Alsaedi, A. H., Albelady, A. A. H., Alharbi, A. F. S., Alharbi, B. N. M., Alolowi, N. M. H., ALJABRI, M. O. S., Alharbi, A. H. H., Alrashdi, A. A. S., &amp; Alharbi, N. M. M. (2024). The Impact of Transformational Nursing Leadership on Organizational Change in Healthcare Management: A Conceptual Approach. </w:t>
      </w:r>
      <w:r w:rsidRPr="00FC55C5">
        <w:rPr>
          <w:i/>
        </w:rPr>
        <w:t>Journal of International Crisis and Risk Communication Research, 7</w:t>
      </w:r>
      <w:r w:rsidRPr="00FC55C5">
        <w:t xml:space="preserve">(S6), 2003. </w:t>
      </w:r>
    </w:p>
    <w:p w14:paraId="22816567" w14:textId="77777777" w:rsidR="00FC55C5" w:rsidRPr="00FC55C5" w:rsidRDefault="00FC55C5" w:rsidP="00FC55C5">
      <w:pPr>
        <w:pStyle w:val="EndNoteBibliography"/>
        <w:spacing w:after="0"/>
      </w:pPr>
    </w:p>
    <w:p w14:paraId="0E14D2BF" w14:textId="75A7C66A" w:rsidR="00FC55C5" w:rsidRPr="00FC55C5" w:rsidRDefault="00FC55C5" w:rsidP="00FC55C5">
      <w:pPr>
        <w:pStyle w:val="EndNoteBibliography"/>
        <w:ind w:left="720" w:hanging="720"/>
      </w:pPr>
      <w:r w:rsidRPr="00FC55C5">
        <w:t xml:space="preserve">Alsahli, H., Al-Wathinani, A., Althobaiti, T., Abahussain, M., &amp; Goniewicz, K. (2024, 08/05). Shaping Safety: Unveiling the Dynamics of Incident Reporting and Safety Culture in Saudi Arabian Healthcare. </w:t>
      </w:r>
      <w:r w:rsidRPr="00FC55C5">
        <w:rPr>
          <w:i/>
        </w:rPr>
        <w:t>Journal of Multidisciplinary Healthcare, 17</w:t>
      </w:r>
      <w:r w:rsidRPr="00FC55C5">
        <w:t xml:space="preserve">, 3775-3789. </w:t>
      </w:r>
      <w:hyperlink r:id="rId15" w:history="1">
        <w:r w:rsidRPr="00FC55C5">
          <w:rPr>
            <w:rStyle w:val="Hyperlink"/>
          </w:rPr>
          <w:t>https://doi.org/10.2147/JMDH.S458718</w:t>
        </w:r>
      </w:hyperlink>
      <w:r w:rsidRPr="00FC55C5">
        <w:t xml:space="preserve"> </w:t>
      </w:r>
    </w:p>
    <w:p w14:paraId="3877682C" w14:textId="77777777" w:rsidR="00FC55C5" w:rsidRPr="00FC55C5" w:rsidRDefault="00FC55C5" w:rsidP="00FC55C5">
      <w:pPr>
        <w:pStyle w:val="EndNoteBibliography"/>
        <w:spacing w:after="0"/>
      </w:pPr>
    </w:p>
    <w:p w14:paraId="74747649" w14:textId="1343EAF0" w:rsidR="00FC55C5" w:rsidRPr="00FC55C5" w:rsidRDefault="00FC55C5" w:rsidP="00FC55C5">
      <w:pPr>
        <w:pStyle w:val="EndNoteBibliography"/>
        <w:ind w:left="720" w:hanging="720"/>
      </w:pPr>
      <w:r w:rsidRPr="00FC55C5">
        <w:t xml:space="preserve">Althaibah, T. S. A., Alalhareth, N. D. N., Alyami, A. S. A., Al Jaraib, S. H. M., Al Bataj, I. A. M., Alsharif, A. K. M., Alsarf, W. S. S., Al-Qannass, A. M., Alyami, A. M. A., &amp; Alyami, N. H. (2022). Transformational leadership and its impact on organizational creativity and patient safety in hospitals in the Kingdom of Saudi Arabia BY. </w:t>
      </w:r>
      <w:hyperlink r:id="rId16" w:history="1">
        <w:r w:rsidRPr="00FC55C5">
          <w:rPr>
            <w:rStyle w:val="Hyperlink"/>
          </w:rPr>
          <w:t>https://doi.org/10.33953/1371-000-073-027</w:t>
        </w:r>
      </w:hyperlink>
      <w:r w:rsidRPr="00FC55C5">
        <w:t xml:space="preserve"> </w:t>
      </w:r>
    </w:p>
    <w:p w14:paraId="730F77B6" w14:textId="77777777" w:rsidR="00FC55C5" w:rsidRPr="00FC55C5" w:rsidRDefault="00FC55C5" w:rsidP="00FC55C5">
      <w:pPr>
        <w:pStyle w:val="EndNoteBibliography"/>
        <w:spacing w:after="0"/>
      </w:pPr>
    </w:p>
    <w:p w14:paraId="2B9181BC" w14:textId="45702C1C" w:rsidR="00FC55C5" w:rsidRPr="00FC55C5" w:rsidRDefault="00FC55C5" w:rsidP="00FC55C5">
      <w:pPr>
        <w:pStyle w:val="EndNoteBibliography"/>
        <w:ind w:left="720" w:hanging="720"/>
      </w:pPr>
      <w:r w:rsidRPr="00FC55C5">
        <w:t xml:space="preserve">Amal Ali Almuntasheri, S. M. A. A. A. A. S. M. A. (2022, %04/%29). Leadership Behavior Impact on Safety Culture in Jeddah Eye Hospital: </w:t>
      </w:r>
      <w:r w:rsidRPr="00FC55C5">
        <w:rPr>
          <w:rtl/>
        </w:rPr>
        <w:t xml:space="preserve">أثر السلوك القيادي على ثقافة السلامة في مستشفى العيون بجدة. </w:t>
      </w:r>
      <w:r w:rsidRPr="00FC55C5">
        <w:rPr>
          <w:i/>
          <w:rtl/>
        </w:rPr>
        <w:t>مجلة العلوم الإقتصادية و الإدارية و القانونية, 6</w:t>
      </w:r>
      <w:r w:rsidRPr="00FC55C5">
        <w:rPr>
          <w:rtl/>
        </w:rPr>
        <w:t>(10), 161-180</w:t>
      </w:r>
      <w:r w:rsidRPr="00FC55C5">
        <w:t xml:space="preserve">. </w:t>
      </w:r>
      <w:hyperlink r:id="rId17" w:history="1">
        <w:r w:rsidRPr="00FC55C5">
          <w:rPr>
            <w:rStyle w:val="Hyperlink"/>
          </w:rPr>
          <w:t>https://doi.org/10.26389/ajsrp.M191021</w:t>
        </w:r>
      </w:hyperlink>
      <w:r w:rsidRPr="00FC55C5">
        <w:t xml:space="preserve"> </w:t>
      </w:r>
    </w:p>
    <w:p w14:paraId="6F95102E" w14:textId="77777777" w:rsidR="00FC55C5" w:rsidRPr="00FC55C5" w:rsidRDefault="00FC55C5" w:rsidP="00FC55C5">
      <w:pPr>
        <w:pStyle w:val="EndNoteBibliography"/>
        <w:spacing w:after="0"/>
      </w:pPr>
    </w:p>
    <w:p w14:paraId="07E47E0E" w14:textId="1F7C06A1" w:rsidR="00FC55C5" w:rsidRPr="00FC55C5" w:rsidRDefault="00FC55C5" w:rsidP="00FC55C5">
      <w:pPr>
        <w:pStyle w:val="EndNoteBibliography"/>
        <w:ind w:left="720" w:hanging="720"/>
      </w:pPr>
      <w:r w:rsidRPr="00FC55C5">
        <w:t xml:space="preserve">Anderson, J. C., &amp; Gerbing, D. W. (1988, 05/01). Structural equation modeling in practice: A review and recommended two-step approach. </w:t>
      </w:r>
      <w:r w:rsidRPr="00FC55C5">
        <w:rPr>
          <w:i/>
        </w:rPr>
        <w:t>Psychological Bulletin, 103</w:t>
      </w:r>
      <w:r w:rsidRPr="00FC55C5">
        <w:t xml:space="preserve">(3), 411-423. </w:t>
      </w:r>
      <w:hyperlink r:id="rId18" w:history="1">
        <w:r w:rsidRPr="00FC55C5">
          <w:rPr>
            <w:rStyle w:val="Hyperlink"/>
          </w:rPr>
          <w:t>https://doi.org/10.1037/0033-2909.103.3.411</w:t>
        </w:r>
      </w:hyperlink>
      <w:r w:rsidRPr="00FC55C5">
        <w:t xml:space="preserve"> </w:t>
      </w:r>
    </w:p>
    <w:p w14:paraId="0787EC5E" w14:textId="77777777" w:rsidR="00FC55C5" w:rsidRPr="00FC55C5" w:rsidRDefault="00FC55C5" w:rsidP="00FC55C5">
      <w:pPr>
        <w:pStyle w:val="EndNoteBibliography"/>
        <w:spacing w:after="0"/>
      </w:pPr>
    </w:p>
    <w:p w14:paraId="7E5F7497" w14:textId="751916C1" w:rsidR="00FC55C5" w:rsidRPr="00FC55C5" w:rsidRDefault="00FC55C5" w:rsidP="00FC55C5">
      <w:pPr>
        <w:pStyle w:val="EndNoteBibliography"/>
        <w:ind w:left="720" w:hanging="720"/>
      </w:pPr>
      <w:r w:rsidRPr="00FC55C5">
        <w:lastRenderedPageBreak/>
        <w:t xml:space="preserve">Arabi, Y., Alamry, A., Al Owais, S. M., Al-Dorzi, H., Noushad, S., &amp; Taher, S. (2012, Jun). Incident reporting at a tertiary care hospital in Saudi Arabia. </w:t>
      </w:r>
      <w:r w:rsidRPr="00FC55C5">
        <w:rPr>
          <w:i/>
        </w:rPr>
        <w:t>J Patient Saf, 8</w:t>
      </w:r>
      <w:r w:rsidRPr="00FC55C5">
        <w:t xml:space="preserve">(2), 81-87. </w:t>
      </w:r>
      <w:hyperlink r:id="rId19" w:history="1">
        <w:r w:rsidRPr="00FC55C5">
          <w:rPr>
            <w:rStyle w:val="Hyperlink"/>
          </w:rPr>
          <w:t>https://doi.org/10.1097/PTS.0b013e31824badb7</w:t>
        </w:r>
      </w:hyperlink>
      <w:r w:rsidRPr="00FC55C5">
        <w:t xml:space="preserve"> </w:t>
      </w:r>
    </w:p>
    <w:p w14:paraId="7C2F5CC8" w14:textId="77777777" w:rsidR="00FC55C5" w:rsidRPr="00FC55C5" w:rsidRDefault="00FC55C5" w:rsidP="00FC55C5">
      <w:pPr>
        <w:pStyle w:val="EndNoteBibliography"/>
        <w:spacing w:after="0"/>
      </w:pPr>
    </w:p>
    <w:p w14:paraId="56F82272" w14:textId="59388C20" w:rsidR="00FC55C5" w:rsidRPr="00FC55C5" w:rsidRDefault="00FC55C5" w:rsidP="00FC55C5">
      <w:pPr>
        <w:pStyle w:val="EndNoteBibliography"/>
        <w:ind w:left="720" w:hanging="720"/>
      </w:pPr>
      <w:r w:rsidRPr="00FC55C5">
        <w:t xml:space="preserve">Asante, K., &amp; Novak, P. (2024). Predicting nurses’ safety compliance behaviour in a developing economy, using the theory of planned behaviour: A configurational approach. </w:t>
      </w:r>
      <w:r w:rsidRPr="00FC55C5">
        <w:rPr>
          <w:i/>
        </w:rPr>
        <w:t>Journal of Advanced Nursing, 80</w:t>
      </w:r>
      <w:r w:rsidRPr="00FC55C5">
        <w:t xml:space="preserve">(3), 1097-1110. </w:t>
      </w:r>
      <w:hyperlink r:id="rId20" w:history="1">
        <w:r w:rsidRPr="00FC55C5">
          <w:rPr>
            <w:rStyle w:val="Hyperlink"/>
          </w:rPr>
          <w:t>https://doi.org/https://doi.org/10.1111/jan.15846</w:t>
        </w:r>
      </w:hyperlink>
      <w:r w:rsidRPr="00FC55C5">
        <w:t xml:space="preserve"> </w:t>
      </w:r>
    </w:p>
    <w:p w14:paraId="40627D02" w14:textId="77777777" w:rsidR="00FC55C5" w:rsidRPr="00FC55C5" w:rsidRDefault="00FC55C5" w:rsidP="00FC55C5">
      <w:pPr>
        <w:pStyle w:val="EndNoteBibliography"/>
        <w:spacing w:after="0"/>
      </w:pPr>
    </w:p>
    <w:p w14:paraId="716EB22E" w14:textId="60960116" w:rsidR="00FC55C5" w:rsidRPr="00FC55C5" w:rsidRDefault="00FC55C5" w:rsidP="00FC55C5">
      <w:pPr>
        <w:pStyle w:val="EndNoteBibliography"/>
        <w:ind w:left="720" w:hanging="720"/>
      </w:pPr>
      <w:r w:rsidRPr="00FC55C5">
        <w:t xml:space="preserve">Baruch, Y., &amp; Holtom, B. C. (2008, 08/01). Survey response rate levels and trends in organizational research. </w:t>
      </w:r>
      <w:r w:rsidRPr="00FC55C5">
        <w:rPr>
          <w:i/>
        </w:rPr>
        <w:t>Human Relations, 61</w:t>
      </w:r>
      <w:r w:rsidRPr="00FC55C5">
        <w:t xml:space="preserve">(8), 1139-1160. </w:t>
      </w:r>
      <w:hyperlink r:id="rId21" w:history="1">
        <w:r w:rsidRPr="00FC55C5">
          <w:rPr>
            <w:rStyle w:val="Hyperlink"/>
          </w:rPr>
          <w:t>https://doi.org/10.1177/0018726708094863</w:t>
        </w:r>
      </w:hyperlink>
      <w:r w:rsidRPr="00FC55C5">
        <w:t xml:space="preserve"> </w:t>
      </w:r>
    </w:p>
    <w:p w14:paraId="7C591B8B" w14:textId="77777777" w:rsidR="00FC55C5" w:rsidRPr="00FC55C5" w:rsidRDefault="00FC55C5" w:rsidP="00FC55C5">
      <w:pPr>
        <w:pStyle w:val="EndNoteBibliography"/>
        <w:spacing w:after="0"/>
      </w:pPr>
    </w:p>
    <w:p w14:paraId="048BD724" w14:textId="77777777" w:rsidR="00FC55C5" w:rsidRPr="00FC55C5" w:rsidRDefault="00FC55C5" w:rsidP="00FC55C5">
      <w:pPr>
        <w:pStyle w:val="EndNoteBibliography"/>
        <w:ind w:left="720" w:hanging="720"/>
      </w:pPr>
      <w:r w:rsidRPr="00FC55C5">
        <w:t xml:space="preserve">Boomsma, A., &amp; Hoogland, J. (2001). </w:t>
      </w:r>
      <w:r w:rsidRPr="00FC55C5">
        <w:rPr>
          <w:i/>
        </w:rPr>
        <w:t>The robustness of LISREL modeling revisited. In R. Cudeck, S. du Toit &amp; D. Sörbom (Eds.), Structural equation modeling: Present and future. A Festschrift in honor of Karl Jöreskog [preliminary version with references]</w:t>
      </w:r>
      <w:r w:rsidRPr="00FC55C5">
        <w:t xml:space="preserve">. </w:t>
      </w:r>
    </w:p>
    <w:p w14:paraId="57C1BC38" w14:textId="77777777" w:rsidR="00FC55C5" w:rsidRPr="00FC55C5" w:rsidRDefault="00FC55C5" w:rsidP="00FC55C5">
      <w:pPr>
        <w:pStyle w:val="EndNoteBibliography"/>
        <w:spacing w:after="0"/>
      </w:pPr>
    </w:p>
    <w:p w14:paraId="4E5932A8" w14:textId="77777777" w:rsidR="00FC55C5" w:rsidRPr="00FC55C5" w:rsidRDefault="00FC55C5" w:rsidP="00FC55C5">
      <w:pPr>
        <w:pStyle w:val="EndNoteBibliography"/>
        <w:ind w:left="720" w:hanging="720"/>
      </w:pPr>
      <w:r w:rsidRPr="00FC55C5">
        <w:t xml:space="preserve">Creswell, J. W., &amp; Creswell, J. D. (2017). </w:t>
      </w:r>
      <w:r w:rsidRPr="00FC55C5">
        <w:rPr>
          <w:i/>
        </w:rPr>
        <w:t>Research design: Qualitative, quantitative, and mixed methods approaches</w:t>
      </w:r>
      <w:r w:rsidRPr="00FC55C5">
        <w:t xml:space="preserve">. Sage publications. </w:t>
      </w:r>
    </w:p>
    <w:p w14:paraId="4730FF91" w14:textId="77777777" w:rsidR="00FC55C5" w:rsidRPr="00FC55C5" w:rsidRDefault="00FC55C5" w:rsidP="00FC55C5">
      <w:pPr>
        <w:pStyle w:val="EndNoteBibliography"/>
        <w:spacing w:after="0"/>
      </w:pPr>
    </w:p>
    <w:p w14:paraId="0631CF1E" w14:textId="455B0241" w:rsidR="00FC55C5" w:rsidRPr="00FC55C5" w:rsidRDefault="00FC55C5" w:rsidP="00FC55C5">
      <w:pPr>
        <w:pStyle w:val="EndNoteBibliography"/>
        <w:ind w:left="720" w:hanging="720"/>
      </w:pPr>
      <w:r w:rsidRPr="00FC55C5">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FC55C5">
        <w:rPr>
          <w:i/>
        </w:rPr>
        <w:t>BMC nursing, 24</w:t>
      </w:r>
      <w:r w:rsidRPr="00FC55C5">
        <w:t xml:space="preserve">(1), 392. </w:t>
      </w:r>
      <w:hyperlink r:id="rId22" w:history="1">
        <w:r w:rsidRPr="00FC55C5">
          <w:rPr>
            <w:rStyle w:val="Hyperlink"/>
          </w:rPr>
          <w:t>https://doi.org/10.1186/s12912-025-03043-7</w:t>
        </w:r>
      </w:hyperlink>
      <w:r w:rsidRPr="00FC55C5">
        <w:t xml:space="preserve"> </w:t>
      </w:r>
    </w:p>
    <w:p w14:paraId="120561EE" w14:textId="77777777" w:rsidR="00FC55C5" w:rsidRPr="00FC55C5" w:rsidRDefault="00FC55C5" w:rsidP="00FC55C5">
      <w:pPr>
        <w:pStyle w:val="EndNoteBibliography"/>
        <w:spacing w:after="0"/>
      </w:pPr>
    </w:p>
    <w:p w14:paraId="5C5B4067" w14:textId="23A88ECB" w:rsidR="00FC55C5" w:rsidRPr="00FC55C5" w:rsidRDefault="00FC55C5" w:rsidP="00FC55C5">
      <w:pPr>
        <w:pStyle w:val="EndNoteBibliography"/>
        <w:ind w:left="720" w:hanging="720"/>
      </w:pPr>
      <w:r w:rsidRPr="00FC55C5">
        <w:t xml:space="preserve">Fornell, C., &amp; Larcker, D. F. (1981). Evaluating Structural Equation Models with Unobservable Variables and Measurement Error. </w:t>
      </w:r>
      <w:r w:rsidRPr="00FC55C5">
        <w:rPr>
          <w:i/>
        </w:rPr>
        <w:t>Journal of Marketing Research, 18</w:t>
      </w:r>
      <w:r w:rsidRPr="00FC55C5">
        <w:t xml:space="preserve">(1), 39-50. </w:t>
      </w:r>
      <w:hyperlink r:id="rId23" w:history="1">
        <w:r w:rsidRPr="00FC55C5">
          <w:rPr>
            <w:rStyle w:val="Hyperlink"/>
          </w:rPr>
          <w:t>https://doi.org/10.1177/002224378101800104</w:t>
        </w:r>
      </w:hyperlink>
      <w:r w:rsidRPr="00FC55C5">
        <w:t xml:space="preserve"> </w:t>
      </w:r>
    </w:p>
    <w:p w14:paraId="4C8AF2F2" w14:textId="77777777" w:rsidR="00FC55C5" w:rsidRPr="00FC55C5" w:rsidRDefault="00FC55C5" w:rsidP="00FC55C5">
      <w:pPr>
        <w:pStyle w:val="EndNoteBibliography"/>
        <w:spacing w:after="0"/>
      </w:pPr>
    </w:p>
    <w:p w14:paraId="021FA825" w14:textId="35CB17D9" w:rsidR="00FC55C5" w:rsidRPr="00FC55C5" w:rsidRDefault="00FC55C5" w:rsidP="00FC55C5">
      <w:pPr>
        <w:pStyle w:val="EndNoteBibliography"/>
        <w:ind w:left="720" w:hanging="720"/>
      </w:pPr>
      <w:r w:rsidRPr="00FC55C5">
        <w:t xml:space="preserve">Hair, J. F., Risher, J. J., Sarstedt, M., &amp; Ringle, C. M. (2019). When to use and how to report the results of PLS-SEM. </w:t>
      </w:r>
      <w:r w:rsidRPr="00FC55C5">
        <w:rPr>
          <w:i/>
        </w:rPr>
        <w:t>European Business Review, 31</w:t>
      </w:r>
      <w:r w:rsidRPr="00FC55C5">
        <w:t xml:space="preserve">(1), 2-24. </w:t>
      </w:r>
      <w:hyperlink r:id="rId24" w:history="1">
        <w:r w:rsidRPr="00FC55C5">
          <w:rPr>
            <w:rStyle w:val="Hyperlink"/>
          </w:rPr>
          <w:t>https://doi.org/10.1108/ebr-11-2018-0203</w:t>
        </w:r>
      </w:hyperlink>
      <w:r w:rsidRPr="00FC55C5">
        <w:t xml:space="preserve"> </w:t>
      </w:r>
    </w:p>
    <w:p w14:paraId="04BFBB64" w14:textId="77777777" w:rsidR="00FC55C5" w:rsidRPr="00FC55C5" w:rsidRDefault="00FC55C5" w:rsidP="00FC55C5">
      <w:pPr>
        <w:pStyle w:val="EndNoteBibliography"/>
        <w:spacing w:after="0"/>
      </w:pPr>
    </w:p>
    <w:p w14:paraId="740AEE1A" w14:textId="0C767EC0" w:rsidR="00FC55C5" w:rsidRPr="00FC55C5" w:rsidRDefault="00FC55C5" w:rsidP="00FC55C5">
      <w:pPr>
        <w:pStyle w:val="EndNoteBibliography"/>
        <w:ind w:left="720" w:hanging="720"/>
      </w:pPr>
      <w:r w:rsidRPr="00FC55C5">
        <w:t xml:space="preserve">Hamdan, M., Jaaffar, A. H., Khraisat, O., Issa, M. R., &amp; Jarrar, M. t. (2024). The association of transformational leadership on safety practices among nurses: the mediating role of patient safety culture. </w:t>
      </w:r>
      <w:r w:rsidRPr="00FC55C5">
        <w:rPr>
          <w:i/>
        </w:rPr>
        <w:t>Risk Management and Healthcare Policy</w:t>
      </w:r>
      <w:r w:rsidRPr="00FC55C5">
        <w:t xml:space="preserve">, 1687-1700. </w:t>
      </w:r>
      <w:hyperlink r:id="rId25" w:history="1">
        <w:r w:rsidRPr="00FC55C5">
          <w:rPr>
            <w:rStyle w:val="Hyperlink"/>
          </w:rPr>
          <w:t>https://pdfs.semanticscholar.org/ba60/afd49d25f3a6df551bb3826d6c098202c00d.pdf</w:t>
        </w:r>
      </w:hyperlink>
      <w:r w:rsidRPr="00FC55C5">
        <w:t xml:space="preserve"> </w:t>
      </w:r>
    </w:p>
    <w:p w14:paraId="2E6FF0A5" w14:textId="77777777" w:rsidR="00FC55C5" w:rsidRPr="00FC55C5" w:rsidRDefault="00FC55C5" w:rsidP="00FC55C5">
      <w:pPr>
        <w:pStyle w:val="EndNoteBibliography"/>
        <w:spacing w:after="0"/>
      </w:pPr>
    </w:p>
    <w:p w14:paraId="33FED51E" w14:textId="77777777" w:rsidR="00FC55C5" w:rsidRPr="00FC55C5" w:rsidRDefault="00FC55C5" w:rsidP="00FC55C5">
      <w:pPr>
        <w:pStyle w:val="EndNoteBibliography"/>
        <w:ind w:left="720" w:hanging="720"/>
      </w:pPr>
      <w:r w:rsidRPr="00FC55C5">
        <w:t xml:space="preserve">Hayes, A. F. (2013). Introduction to Mediation, Moderation, and Conditional Process Analysis: A Regression-Based Approach. </w:t>
      </w:r>
    </w:p>
    <w:p w14:paraId="618C5F7B" w14:textId="77777777" w:rsidR="00FC55C5" w:rsidRPr="00FC55C5" w:rsidRDefault="00FC55C5" w:rsidP="00FC55C5">
      <w:pPr>
        <w:pStyle w:val="EndNoteBibliography"/>
        <w:spacing w:after="0"/>
      </w:pPr>
    </w:p>
    <w:p w14:paraId="4C50CF25" w14:textId="3E2F4881" w:rsidR="00FC55C5" w:rsidRPr="00FC55C5" w:rsidRDefault="00FC55C5" w:rsidP="00FC55C5">
      <w:pPr>
        <w:pStyle w:val="EndNoteBibliography"/>
        <w:ind w:left="720" w:hanging="720"/>
      </w:pPr>
      <w:r w:rsidRPr="00FC55C5">
        <w:t xml:space="preserve">Holding, H. (2025). Al Jouf Health Cluster. </w:t>
      </w:r>
      <w:hyperlink r:id="rId26" w:history="1">
        <w:r w:rsidRPr="00FC55C5">
          <w:rPr>
            <w:rStyle w:val="Hyperlink"/>
          </w:rPr>
          <w:t>https://doi.org/https://www.health.sa/ar/clusters/al-jouf_health_cluster</w:t>
        </w:r>
      </w:hyperlink>
      <w:r w:rsidRPr="00FC55C5">
        <w:t xml:space="preserve"> </w:t>
      </w:r>
    </w:p>
    <w:p w14:paraId="31884E24" w14:textId="77777777" w:rsidR="00FC55C5" w:rsidRPr="00FC55C5" w:rsidRDefault="00FC55C5" w:rsidP="00FC55C5">
      <w:pPr>
        <w:pStyle w:val="EndNoteBibliography"/>
        <w:spacing w:after="0"/>
      </w:pPr>
    </w:p>
    <w:p w14:paraId="02919DB8" w14:textId="68F189A1" w:rsidR="00FC55C5" w:rsidRPr="00FC55C5" w:rsidRDefault="00FC55C5" w:rsidP="00FC55C5">
      <w:pPr>
        <w:pStyle w:val="EndNoteBibliography"/>
        <w:ind w:left="720" w:hanging="720"/>
      </w:pPr>
      <w:r w:rsidRPr="00FC55C5">
        <w:t xml:space="preserve">Hussain, M. K., &amp; Khayat, R. A. M. (2021). The impact of transformational leadership on job satisfaction and organisational commitment among hospital staff: a systematic review. </w:t>
      </w:r>
      <w:r w:rsidRPr="00FC55C5">
        <w:rPr>
          <w:i/>
        </w:rPr>
        <w:t>Journal of Health Management, 23</w:t>
      </w:r>
      <w:r w:rsidRPr="00FC55C5">
        <w:t xml:space="preserve">(4), 614-630. </w:t>
      </w:r>
      <w:hyperlink r:id="rId27" w:history="1">
        <w:r w:rsidRPr="00FC55C5">
          <w:rPr>
            <w:rStyle w:val="Hyperlink"/>
          </w:rPr>
          <w:t>https://doi.org/10.1177/09720634211050463</w:t>
        </w:r>
      </w:hyperlink>
      <w:r w:rsidRPr="00FC55C5">
        <w:t xml:space="preserve"> </w:t>
      </w:r>
    </w:p>
    <w:p w14:paraId="1B646E14" w14:textId="77777777" w:rsidR="00FC55C5" w:rsidRPr="00FC55C5" w:rsidRDefault="00FC55C5" w:rsidP="00FC55C5">
      <w:pPr>
        <w:pStyle w:val="EndNoteBibliography"/>
        <w:spacing w:after="0"/>
      </w:pPr>
    </w:p>
    <w:p w14:paraId="7EE0411A" w14:textId="77777777" w:rsidR="00FC55C5" w:rsidRPr="00FC55C5" w:rsidRDefault="00FC55C5" w:rsidP="00FC55C5">
      <w:pPr>
        <w:pStyle w:val="EndNoteBibliography"/>
        <w:ind w:left="720" w:hanging="720"/>
      </w:pPr>
      <w:r w:rsidRPr="00FC55C5">
        <w:t xml:space="preserve">Jones, K. J., Skinner, A., Xu, L., Sun, J., &amp; Mueller, K. (2008). The AHRQ Hospital Survey on Patient Safety Culture: A Tool to Plan and Evaluate Patient Safety Programs. </w:t>
      </w:r>
    </w:p>
    <w:p w14:paraId="218A52B5" w14:textId="77777777" w:rsidR="00FC55C5" w:rsidRPr="00FC55C5" w:rsidRDefault="00FC55C5" w:rsidP="00FC55C5">
      <w:pPr>
        <w:pStyle w:val="EndNoteBibliography"/>
        <w:spacing w:after="0"/>
      </w:pPr>
    </w:p>
    <w:p w14:paraId="755560A3" w14:textId="77777777" w:rsidR="00FC55C5" w:rsidRPr="00FC55C5" w:rsidRDefault="00FC55C5" w:rsidP="00FC55C5">
      <w:pPr>
        <w:pStyle w:val="EndNoteBibliography"/>
        <w:ind w:left="720" w:hanging="720"/>
      </w:pPr>
      <w:r w:rsidRPr="00FC55C5">
        <w:lastRenderedPageBreak/>
        <w:t xml:space="preserve">Khan, M. A., Al-Motair, K. A., Alenezi, M. M., Altheban, A. S., Hammam, S. A., &amp; Al-Mogbel, M. S. (2018). Nosocomial Pathogens-A Single Center Study in Saudi Arabia. </w:t>
      </w:r>
      <w:r w:rsidRPr="00FC55C5">
        <w:rPr>
          <w:i/>
        </w:rPr>
        <w:t>J. Pure Appl. Microbiol, 12</w:t>
      </w:r>
      <w:r w:rsidRPr="00FC55C5">
        <w:t xml:space="preserve">, 1411-1416. </w:t>
      </w:r>
    </w:p>
    <w:p w14:paraId="49ACE301" w14:textId="77777777" w:rsidR="00FC55C5" w:rsidRPr="00FC55C5" w:rsidRDefault="00FC55C5" w:rsidP="00FC55C5">
      <w:pPr>
        <w:pStyle w:val="EndNoteBibliography"/>
        <w:spacing w:after="0"/>
      </w:pPr>
    </w:p>
    <w:p w14:paraId="55BDCFA2" w14:textId="0E344997" w:rsidR="00FC55C5" w:rsidRPr="00FC55C5" w:rsidRDefault="00FC55C5" w:rsidP="00FC55C5">
      <w:pPr>
        <w:pStyle w:val="EndNoteBibliography"/>
        <w:ind w:left="720" w:hanging="720"/>
      </w:pPr>
      <w:r w:rsidRPr="00FC55C5">
        <w:t xml:space="preserve">Khirfan, R., &amp; Abd Aziz, A. (2022). Insight Into Role of Transformaional Leadership in Cost Containment in Healthcare in Ksa. </w:t>
      </w:r>
      <w:r w:rsidRPr="00FC55C5">
        <w:rPr>
          <w:i/>
        </w:rPr>
        <w:t>Sciences, 12</w:t>
      </w:r>
      <w:r w:rsidRPr="00FC55C5">
        <w:t xml:space="preserve">(1), 2657-2672. </w:t>
      </w:r>
      <w:hyperlink r:id="rId28" w:history="1">
        <w:r w:rsidRPr="00FC55C5">
          <w:rPr>
            <w:rStyle w:val="Hyperlink"/>
          </w:rPr>
          <w:t>https://doi.org/10.6007/IJARBSS/v12-i1/12327</w:t>
        </w:r>
      </w:hyperlink>
      <w:r w:rsidRPr="00FC55C5">
        <w:t xml:space="preserve"> </w:t>
      </w:r>
    </w:p>
    <w:p w14:paraId="5DDA0F02" w14:textId="77777777" w:rsidR="00FC55C5" w:rsidRPr="00FC55C5" w:rsidRDefault="00FC55C5" w:rsidP="00FC55C5">
      <w:pPr>
        <w:pStyle w:val="EndNoteBibliography"/>
        <w:spacing w:after="0"/>
      </w:pPr>
    </w:p>
    <w:p w14:paraId="42A20CA8" w14:textId="77777777" w:rsidR="00FC55C5" w:rsidRPr="00FC55C5" w:rsidRDefault="00FC55C5" w:rsidP="00FC55C5">
      <w:pPr>
        <w:pStyle w:val="EndNoteBibliography"/>
        <w:ind w:left="720" w:hanging="720"/>
      </w:pPr>
      <w:r w:rsidRPr="00FC55C5">
        <w:t xml:space="preserve">Kline, R. B. (2023). </w:t>
      </w:r>
      <w:r w:rsidRPr="00FC55C5">
        <w:rPr>
          <w:i/>
        </w:rPr>
        <w:t>Principles and practice of structural equation modeling</w:t>
      </w:r>
      <w:r w:rsidRPr="00FC55C5">
        <w:t xml:space="preserve">. Guilford publications. </w:t>
      </w:r>
    </w:p>
    <w:p w14:paraId="03D4A3E1" w14:textId="77777777" w:rsidR="00FC55C5" w:rsidRPr="00FC55C5" w:rsidRDefault="00FC55C5" w:rsidP="00FC55C5">
      <w:pPr>
        <w:pStyle w:val="EndNoteBibliography"/>
        <w:spacing w:after="0"/>
      </w:pPr>
    </w:p>
    <w:p w14:paraId="7F42F01E" w14:textId="41079CEA" w:rsidR="00FC55C5" w:rsidRPr="00FC55C5" w:rsidRDefault="00FC55C5" w:rsidP="00FC55C5">
      <w:pPr>
        <w:pStyle w:val="EndNoteBibliography"/>
        <w:ind w:left="720" w:hanging="720"/>
      </w:pPr>
      <w:r w:rsidRPr="00FC55C5">
        <w:t xml:space="preserve">Konlan, K. D., &amp; Shin, J. (2022). The status and the factors that influence patient safety in health care institutions in Africa: A systematic review. </w:t>
      </w:r>
      <w:r w:rsidRPr="00FC55C5">
        <w:rPr>
          <w:i/>
        </w:rPr>
        <w:t>PLOS Glob Public Health, 2</w:t>
      </w:r>
      <w:r w:rsidRPr="00FC55C5">
        <w:t xml:space="preserve">(12), e0001085. </w:t>
      </w:r>
      <w:hyperlink r:id="rId29" w:history="1">
        <w:r w:rsidRPr="00FC55C5">
          <w:rPr>
            <w:rStyle w:val="Hyperlink"/>
          </w:rPr>
          <w:t>https://doi.org/10.1371/journal.pgph.0001085</w:t>
        </w:r>
      </w:hyperlink>
      <w:r w:rsidRPr="00FC55C5">
        <w:t xml:space="preserve"> </w:t>
      </w:r>
    </w:p>
    <w:p w14:paraId="6CB73036" w14:textId="77777777" w:rsidR="00FC55C5" w:rsidRPr="00FC55C5" w:rsidRDefault="00FC55C5" w:rsidP="00FC55C5">
      <w:pPr>
        <w:pStyle w:val="EndNoteBibliography"/>
        <w:spacing w:after="0"/>
      </w:pPr>
    </w:p>
    <w:p w14:paraId="23CDB2A5" w14:textId="623D03EE" w:rsidR="00FC55C5" w:rsidRPr="00FC55C5" w:rsidRDefault="00FC55C5" w:rsidP="00FC55C5">
      <w:pPr>
        <w:pStyle w:val="EndNoteBibliography"/>
        <w:ind w:left="720" w:hanging="720"/>
      </w:pPr>
      <w:r w:rsidRPr="00FC55C5">
        <w:t xml:space="preserve">Krüger, C., Rowold, J., Borgmann, L., Staufenbiel, K., &amp; Heinitz, K. (2011). The Discriminant Validity of Transformational and Transactional Leadership. </w:t>
      </w:r>
      <w:r w:rsidRPr="00FC55C5">
        <w:rPr>
          <w:i/>
        </w:rPr>
        <w:t>Journal of Personnel Psychology, 10</w:t>
      </w:r>
      <w:r w:rsidRPr="00FC55C5">
        <w:t xml:space="preserve">(2), 49-60. </w:t>
      </w:r>
      <w:hyperlink r:id="rId30" w:history="1">
        <w:r w:rsidRPr="00FC55C5">
          <w:rPr>
            <w:rStyle w:val="Hyperlink"/>
          </w:rPr>
          <w:t>https://doi.org/10.1027/1866-5888/a000032</w:t>
        </w:r>
      </w:hyperlink>
      <w:r w:rsidRPr="00FC55C5">
        <w:t xml:space="preserve"> </w:t>
      </w:r>
    </w:p>
    <w:p w14:paraId="4F749705" w14:textId="77777777" w:rsidR="00FC55C5" w:rsidRPr="00FC55C5" w:rsidRDefault="00FC55C5" w:rsidP="00FC55C5">
      <w:pPr>
        <w:pStyle w:val="EndNoteBibliography"/>
        <w:spacing w:after="0"/>
      </w:pPr>
    </w:p>
    <w:p w14:paraId="10350524" w14:textId="0F66477E" w:rsidR="00FC55C5" w:rsidRPr="00FC55C5" w:rsidRDefault="00FC55C5" w:rsidP="00FC55C5">
      <w:pPr>
        <w:pStyle w:val="EndNoteBibliography"/>
        <w:ind w:left="720" w:hanging="720"/>
      </w:pPr>
      <w:r w:rsidRPr="00FC55C5">
        <w:t xml:space="preserve">Mistri, I. U., Badge, A., &amp; Shahu, S. (2023, Dec). Enhancing Patient Safety Culture in Hospitals. </w:t>
      </w:r>
      <w:r w:rsidRPr="00FC55C5">
        <w:rPr>
          <w:i/>
        </w:rPr>
        <w:t>Cureus, 15</w:t>
      </w:r>
      <w:r w:rsidRPr="00FC55C5">
        <w:t xml:space="preserve">(12), e51159. </w:t>
      </w:r>
      <w:hyperlink r:id="rId31" w:history="1">
        <w:r w:rsidRPr="00FC55C5">
          <w:rPr>
            <w:rStyle w:val="Hyperlink"/>
          </w:rPr>
          <w:t>https://doi.org/10.7759/cureus.51159</w:t>
        </w:r>
      </w:hyperlink>
      <w:r w:rsidRPr="00FC55C5">
        <w:t xml:space="preserve"> </w:t>
      </w:r>
    </w:p>
    <w:p w14:paraId="38E76626" w14:textId="77777777" w:rsidR="00FC55C5" w:rsidRPr="00FC55C5" w:rsidRDefault="00FC55C5" w:rsidP="00FC55C5">
      <w:pPr>
        <w:pStyle w:val="EndNoteBibliography"/>
        <w:spacing w:after="0"/>
      </w:pPr>
    </w:p>
    <w:p w14:paraId="6D29CC1E" w14:textId="42330C5B" w:rsidR="00FC55C5" w:rsidRPr="00FC55C5" w:rsidRDefault="00FC55C5" w:rsidP="00FC55C5">
      <w:pPr>
        <w:pStyle w:val="EndNoteBibliography"/>
        <w:ind w:left="720" w:hanging="720"/>
      </w:pPr>
      <w:r w:rsidRPr="00FC55C5">
        <w:t xml:space="preserve">Mohammed, A., Limonit, B., John, A., &amp; Bross, M. (2025). The Impact of Transformational Leadership on Employee Voice Behavior: A Moderated Mediation Model of Psychological Safety and Organizational Commitment. </w:t>
      </w:r>
      <w:hyperlink r:id="rId32" w:history="1">
        <w:r w:rsidRPr="00FC55C5">
          <w:rPr>
            <w:rStyle w:val="Hyperlink"/>
          </w:rPr>
          <w:t>https://doi.org/10.5204/thesis.eprints.258274</w:t>
        </w:r>
      </w:hyperlink>
      <w:r w:rsidRPr="00FC55C5">
        <w:t xml:space="preserve"> </w:t>
      </w:r>
    </w:p>
    <w:p w14:paraId="4B436DC4" w14:textId="77777777" w:rsidR="00FC55C5" w:rsidRPr="00FC55C5" w:rsidRDefault="00FC55C5" w:rsidP="00FC55C5">
      <w:pPr>
        <w:pStyle w:val="EndNoteBibliography"/>
        <w:spacing w:after="0"/>
      </w:pPr>
    </w:p>
    <w:p w14:paraId="12D3B01C" w14:textId="589A59AE" w:rsidR="00FC55C5" w:rsidRPr="00FC55C5" w:rsidRDefault="00FC55C5" w:rsidP="00FC55C5">
      <w:pPr>
        <w:pStyle w:val="EndNoteBibliography"/>
        <w:ind w:left="720" w:hanging="720"/>
      </w:pPr>
      <w:r w:rsidRPr="00FC55C5">
        <w:t xml:space="preserve">Mohammed, T. (2025). </w:t>
      </w:r>
      <w:r w:rsidRPr="00FC55C5">
        <w:rPr>
          <w:i/>
        </w:rPr>
        <w:t>Patient Safety Culture in the Saudi Hospitals: A Mixed Methods Study of Staff Perceptions and Organisational Practices in Saudi Hospitals in the Holy Cities of Makkah and Madinah</w:t>
      </w:r>
      <w:r w:rsidRPr="00FC55C5">
        <w:t xml:space="preserve"> Queensland University of Technology]. </w:t>
      </w:r>
      <w:hyperlink r:id="rId33" w:history="1">
        <w:r w:rsidRPr="00FC55C5">
          <w:rPr>
            <w:rStyle w:val="Hyperlink"/>
          </w:rPr>
          <w:t>https://eprints.qut.edu.au/258274/8/Talat%20Mohammed%20Thesis.pdf</w:t>
        </w:r>
      </w:hyperlink>
    </w:p>
    <w:p w14:paraId="52ED98AB" w14:textId="77777777" w:rsidR="00FC55C5" w:rsidRPr="00FC55C5" w:rsidRDefault="00FC55C5" w:rsidP="00FC55C5">
      <w:pPr>
        <w:pStyle w:val="EndNoteBibliography"/>
        <w:spacing w:after="0"/>
      </w:pPr>
    </w:p>
    <w:p w14:paraId="7CDA80FC" w14:textId="358C9225" w:rsidR="00FC55C5" w:rsidRPr="00FC55C5" w:rsidRDefault="00FC55C5" w:rsidP="00FC55C5">
      <w:pPr>
        <w:pStyle w:val="EndNoteBibliography"/>
        <w:ind w:left="720" w:hanging="720"/>
      </w:pPr>
      <w:r w:rsidRPr="00FC55C5">
        <w:t xml:space="preserve">Neal, A., &amp; Griffin, M. A. (2006, Jul). A study of the lagged relationships among safety climate, safety motivation, safety behavior, and accidents at the individual and group levels. </w:t>
      </w:r>
      <w:r w:rsidRPr="00FC55C5">
        <w:rPr>
          <w:i/>
        </w:rPr>
        <w:t>J Appl Psychol, 91</w:t>
      </w:r>
      <w:r w:rsidRPr="00FC55C5">
        <w:t xml:space="preserve">(4), 946-953. </w:t>
      </w:r>
      <w:hyperlink r:id="rId34" w:history="1">
        <w:r w:rsidRPr="00FC55C5">
          <w:rPr>
            <w:rStyle w:val="Hyperlink"/>
          </w:rPr>
          <w:t>https://doi.org/10.1037/0021-9010.91.4.946</w:t>
        </w:r>
      </w:hyperlink>
      <w:r w:rsidRPr="00FC55C5">
        <w:t xml:space="preserve"> </w:t>
      </w:r>
    </w:p>
    <w:p w14:paraId="5B769F25" w14:textId="77777777" w:rsidR="00FC55C5" w:rsidRPr="00FC55C5" w:rsidRDefault="00FC55C5" w:rsidP="00FC55C5">
      <w:pPr>
        <w:pStyle w:val="EndNoteBibliography"/>
        <w:spacing w:after="0"/>
      </w:pPr>
    </w:p>
    <w:p w14:paraId="57F1A10A" w14:textId="77777777" w:rsidR="00FC55C5" w:rsidRPr="00FC55C5" w:rsidRDefault="00FC55C5" w:rsidP="00FC55C5">
      <w:pPr>
        <w:pStyle w:val="EndNoteBibliography"/>
        <w:ind w:left="720" w:hanging="720"/>
      </w:pPr>
      <w:r w:rsidRPr="00FC55C5">
        <w:t xml:space="preserve">Pai, R. M., Wahongan, G. J. P., &amp; Manampiring, A. E. (2024). ANALISIS PERAN TENAGA KESEHATAN DI RS BUDI SETIA LANGOWAN TAHUN 2023 BERDASARKAN HOSPITAL SURVEY ON PATIENT SAFETY CULTURE (HSOPSC). </w:t>
      </w:r>
      <w:r w:rsidRPr="00FC55C5">
        <w:rPr>
          <w:i/>
        </w:rPr>
        <w:t>PREPOTIF : JURNAL KESEHATAN MASYARAKAT</w:t>
      </w:r>
      <w:r w:rsidRPr="00FC55C5">
        <w:t xml:space="preserve">. </w:t>
      </w:r>
    </w:p>
    <w:p w14:paraId="1FDD949B" w14:textId="77777777" w:rsidR="00FC55C5" w:rsidRPr="00FC55C5" w:rsidRDefault="00FC55C5" w:rsidP="00FC55C5">
      <w:pPr>
        <w:pStyle w:val="EndNoteBibliography"/>
        <w:spacing w:after="0"/>
      </w:pPr>
    </w:p>
    <w:p w14:paraId="616C26E3" w14:textId="301C9A0B" w:rsidR="00FC55C5" w:rsidRPr="00FC55C5" w:rsidRDefault="00FC55C5" w:rsidP="00FC55C5">
      <w:pPr>
        <w:pStyle w:val="EndNoteBibliography"/>
        <w:ind w:left="720" w:hanging="720"/>
      </w:pPr>
      <w:r w:rsidRPr="00FC55C5">
        <w:t xml:space="preserve">Podsakoff, P. M., MacKenzie, S. B., Lee, J. Y., &amp; Podsakoff, N. P. (2003, Oct). Common method biases in behavioral research: a critical review of the literature and recommended remedies. </w:t>
      </w:r>
      <w:r w:rsidRPr="00FC55C5">
        <w:rPr>
          <w:i/>
        </w:rPr>
        <w:t>J Appl Psychol, 88</w:t>
      </w:r>
      <w:r w:rsidRPr="00FC55C5">
        <w:t xml:space="preserve">(5), 879-903. </w:t>
      </w:r>
      <w:hyperlink r:id="rId35" w:history="1">
        <w:r w:rsidRPr="00FC55C5">
          <w:rPr>
            <w:rStyle w:val="Hyperlink"/>
          </w:rPr>
          <w:t>https://doi.org/10.1037/0021-9010.88.5.879</w:t>
        </w:r>
      </w:hyperlink>
      <w:r w:rsidRPr="00FC55C5">
        <w:t xml:space="preserve"> </w:t>
      </w:r>
    </w:p>
    <w:p w14:paraId="200DDDE1" w14:textId="77777777" w:rsidR="00FC55C5" w:rsidRPr="00FC55C5" w:rsidRDefault="00FC55C5" w:rsidP="00FC55C5">
      <w:pPr>
        <w:pStyle w:val="EndNoteBibliography"/>
        <w:spacing w:after="0"/>
      </w:pPr>
    </w:p>
    <w:p w14:paraId="657133BF" w14:textId="21CED2DE" w:rsidR="00FC55C5" w:rsidRPr="00FC55C5" w:rsidRDefault="00FC55C5" w:rsidP="00FC55C5">
      <w:pPr>
        <w:pStyle w:val="EndNoteBibliography"/>
        <w:ind w:left="720" w:hanging="720"/>
      </w:pPr>
      <w:r w:rsidRPr="00FC55C5">
        <w:t xml:space="preserve">Podsakoff, P. M., MacKenzie, S. B., Moorman, R. H., &amp; Fetter, R. (1990, 06/01). Transformational leader behaviors and their effects on followers' trust in leader, satisfaction, and organizational citizenship behaviors. </w:t>
      </w:r>
      <w:r w:rsidRPr="00FC55C5">
        <w:rPr>
          <w:i/>
        </w:rPr>
        <w:t>The Leadership Quarterly, 1</w:t>
      </w:r>
      <w:r w:rsidRPr="00FC55C5">
        <w:t xml:space="preserve">(2), 107-142. </w:t>
      </w:r>
      <w:hyperlink r:id="rId36" w:history="1">
        <w:r w:rsidRPr="00FC55C5">
          <w:rPr>
            <w:rStyle w:val="Hyperlink"/>
          </w:rPr>
          <w:t>https://doi.org/10.1016/1048-9843(90)90009-7</w:t>
        </w:r>
      </w:hyperlink>
      <w:r w:rsidRPr="00FC55C5">
        <w:t xml:space="preserve"> </w:t>
      </w:r>
    </w:p>
    <w:p w14:paraId="3F22933D" w14:textId="3F46212E" w:rsidR="00FC55C5" w:rsidRPr="00FC55C5" w:rsidRDefault="00FC55C5" w:rsidP="00A81C77">
      <w:pPr>
        <w:pStyle w:val="EndNoteBibliography"/>
        <w:jc w:val="left"/>
      </w:pPr>
    </w:p>
    <w:p w14:paraId="79BE35F0" w14:textId="77777777" w:rsidR="00FC55C5" w:rsidRPr="00FC55C5" w:rsidRDefault="00FC55C5" w:rsidP="00FC55C5">
      <w:pPr>
        <w:pStyle w:val="EndNoteBibliography"/>
        <w:spacing w:after="0"/>
      </w:pPr>
    </w:p>
    <w:p w14:paraId="4EFF8663" w14:textId="67313A7D" w:rsidR="00FC55C5" w:rsidRPr="00FC55C5" w:rsidRDefault="00FC55C5" w:rsidP="00FC55C5">
      <w:pPr>
        <w:pStyle w:val="EndNoteBibliography"/>
        <w:ind w:left="720" w:hanging="720"/>
      </w:pPr>
      <w:r w:rsidRPr="00FC55C5">
        <w:t xml:space="preserve">Shenoy, A. (2021, Mar 22). Patient safety from the perspective of quality management frameworks: a review. </w:t>
      </w:r>
      <w:r w:rsidRPr="00FC55C5">
        <w:rPr>
          <w:i/>
        </w:rPr>
        <w:t>Patient Saf Surg, 15</w:t>
      </w:r>
      <w:r w:rsidRPr="00FC55C5">
        <w:t xml:space="preserve">(1), 12. </w:t>
      </w:r>
      <w:hyperlink r:id="rId37" w:history="1">
        <w:r w:rsidRPr="00FC55C5">
          <w:rPr>
            <w:rStyle w:val="Hyperlink"/>
          </w:rPr>
          <w:t>https://doi.org/10.1186/s13037-021-00286-6</w:t>
        </w:r>
      </w:hyperlink>
      <w:r w:rsidRPr="00FC55C5">
        <w:t xml:space="preserve"> </w:t>
      </w:r>
    </w:p>
    <w:p w14:paraId="388B84F2" w14:textId="77777777" w:rsidR="00FC55C5" w:rsidRPr="00FC55C5" w:rsidRDefault="00FC55C5" w:rsidP="00FC55C5">
      <w:pPr>
        <w:pStyle w:val="EndNoteBibliography"/>
        <w:spacing w:after="0"/>
      </w:pPr>
    </w:p>
    <w:p w14:paraId="1147898D" w14:textId="2072929E" w:rsidR="00FC55C5" w:rsidRPr="00FC55C5" w:rsidRDefault="00FC55C5" w:rsidP="00FC55C5">
      <w:pPr>
        <w:pStyle w:val="EndNoteBibliography"/>
        <w:ind w:left="720" w:hanging="720"/>
      </w:pPr>
      <w:r w:rsidRPr="00FC55C5">
        <w:t xml:space="preserve">Sorra, J. S., &amp; Dyer, N. (2010, Jul 8). Multilevel psychometric properties of the AHRQ hospital survey on patient safety culture. </w:t>
      </w:r>
      <w:r w:rsidRPr="00FC55C5">
        <w:rPr>
          <w:i/>
        </w:rPr>
        <w:t>BMC Health Serv Res, 10</w:t>
      </w:r>
      <w:r w:rsidRPr="00FC55C5">
        <w:t xml:space="preserve">(1), 199. </w:t>
      </w:r>
      <w:hyperlink r:id="rId38" w:history="1">
        <w:r w:rsidRPr="00FC55C5">
          <w:rPr>
            <w:rStyle w:val="Hyperlink"/>
          </w:rPr>
          <w:t>https://doi.org/10.1186/1472-6963-10-199</w:t>
        </w:r>
      </w:hyperlink>
      <w:r w:rsidRPr="00FC55C5">
        <w:t xml:space="preserve"> </w:t>
      </w:r>
    </w:p>
    <w:p w14:paraId="1597E9ED" w14:textId="77777777" w:rsidR="00FC55C5" w:rsidRPr="00FC55C5" w:rsidRDefault="00FC55C5" w:rsidP="00FC55C5">
      <w:pPr>
        <w:pStyle w:val="EndNoteBibliography"/>
        <w:spacing w:after="0"/>
      </w:pPr>
    </w:p>
    <w:p w14:paraId="6B9CAE09" w14:textId="4C49D57E" w:rsidR="00FC55C5" w:rsidRPr="00FC55C5" w:rsidRDefault="00FC55C5" w:rsidP="00FC55C5">
      <w:pPr>
        <w:pStyle w:val="EndNoteBibliography"/>
        <w:ind w:left="720" w:hanging="720"/>
      </w:pPr>
      <w:r w:rsidRPr="00FC55C5">
        <w:t xml:space="preserve">Studdert, D. M., Mello, M. M., Sage, W. M., DesRoches, C. M., Peugh, J., Zapert, K., &amp; Brennan, T. A. (2005). Defensive medicine among high-risk specialist physicians in a volatile malpractice environment. </w:t>
      </w:r>
      <w:r w:rsidRPr="00FC55C5">
        <w:rPr>
          <w:i/>
        </w:rPr>
        <w:t>JAMA, 293 21</w:t>
      </w:r>
      <w:r w:rsidRPr="00FC55C5">
        <w:t xml:space="preserve">, 2609-2617. </w:t>
      </w:r>
      <w:hyperlink r:id="rId39" w:history="1">
        <w:r w:rsidRPr="00FC55C5">
          <w:rPr>
            <w:rStyle w:val="Hyperlink"/>
          </w:rPr>
          <w:t>https://doi.org/10.1001/jama.293.21.2609</w:t>
        </w:r>
      </w:hyperlink>
      <w:r w:rsidRPr="00FC55C5">
        <w:t xml:space="preserve"> </w:t>
      </w:r>
    </w:p>
    <w:p w14:paraId="0B5F59A5" w14:textId="77777777" w:rsidR="00FC55C5" w:rsidRPr="00FC55C5" w:rsidRDefault="00FC55C5" w:rsidP="00FC55C5">
      <w:pPr>
        <w:pStyle w:val="EndNoteBibliography"/>
        <w:spacing w:after="0"/>
      </w:pPr>
    </w:p>
    <w:p w14:paraId="546ADE21" w14:textId="789EB028" w:rsidR="00FC55C5" w:rsidRPr="00FC55C5" w:rsidRDefault="00FC55C5" w:rsidP="00FC55C5">
      <w:pPr>
        <w:pStyle w:val="EndNoteBibliography"/>
        <w:ind w:left="720" w:hanging="720"/>
      </w:pPr>
      <w:r w:rsidRPr="00FC55C5">
        <w:t xml:space="preserve">ten Berge, J. M. F. (2025, 01/01). J. C. Nunnally and I. H. Bernstein. Psychometric Theory. New York: McGraw-Hill, 1994, xxiv+752 pages, £51.95. </w:t>
      </w:r>
      <w:r w:rsidRPr="00FC55C5">
        <w:rPr>
          <w:i/>
        </w:rPr>
        <w:t>Psychometrika, 60</w:t>
      </w:r>
      <w:r w:rsidRPr="00FC55C5">
        <w:t xml:space="preserve">(2), 313-315. </w:t>
      </w:r>
      <w:hyperlink r:id="rId40" w:history="1">
        <w:r w:rsidRPr="00FC55C5">
          <w:rPr>
            <w:rStyle w:val="Hyperlink"/>
          </w:rPr>
          <w:t>https://doi.org/10.1007/bf02301419</w:t>
        </w:r>
      </w:hyperlink>
      <w:r w:rsidRPr="00FC55C5">
        <w:t xml:space="preserve"> </w:t>
      </w:r>
    </w:p>
    <w:p w14:paraId="680BDBB9" w14:textId="77777777" w:rsidR="00FC55C5" w:rsidRPr="00FC55C5" w:rsidRDefault="00FC55C5" w:rsidP="00FC55C5">
      <w:pPr>
        <w:pStyle w:val="EndNoteBibliography"/>
        <w:spacing w:after="0"/>
      </w:pPr>
    </w:p>
    <w:p w14:paraId="2D797DCC" w14:textId="7850E4F5" w:rsidR="00FC55C5" w:rsidRPr="00FC55C5" w:rsidRDefault="00FC55C5" w:rsidP="00FC55C5">
      <w:pPr>
        <w:pStyle w:val="EndNoteBibliography"/>
        <w:ind w:left="720" w:hanging="720"/>
      </w:pPr>
      <w:r w:rsidRPr="00FC55C5">
        <w:t xml:space="preserve">Vadi, E., &amp; Kasemaa, A. (2023, 08/08). Healthcare workers’ perceptions of their managers’ leadership behaviour and emotional intelligence: a quantitative study in an Estonian hospital. </w:t>
      </w:r>
      <w:r w:rsidRPr="00FC55C5">
        <w:rPr>
          <w:i/>
        </w:rPr>
        <w:t>Proceedings of the Estonian Academy of Sciences, 72</w:t>
      </w:r>
      <w:r w:rsidRPr="00FC55C5">
        <w:t xml:space="preserve">(3), 239-249. </w:t>
      </w:r>
      <w:hyperlink r:id="rId41" w:history="1">
        <w:r w:rsidRPr="00FC55C5">
          <w:rPr>
            <w:rStyle w:val="Hyperlink"/>
          </w:rPr>
          <w:t>https://doi.org/10.3176/proc.2023.3.06</w:t>
        </w:r>
      </w:hyperlink>
      <w:r w:rsidRPr="00FC55C5">
        <w:t xml:space="preserve"> </w:t>
      </w:r>
    </w:p>
    <w:p w14:paraId="12A255AE" w14:textId="77777777" w:rsidR="00FC55C5" w:rsidRPr="00FC55C5" w:rsidRDefault="00FC55C5" w:rsidP="00FC55C5">
      <w:pPr>
        <w:pStyle w:val="EndNoteBibliography"/>
        <w:spacing w:after="0"/>
      </w:pPr>
    </w:p>
    <w:p w14:paraId="74CD9817" w14:textId="5925FA8C" w:rsidR="00FC55C5" w:rsidRPr="00FC55C5" w:rsidRDefault="00FC55C5" w:rsidP="00FC55C5">
      <w:pPr>
        <w:pStyle w:val="EndNoteBibliography"/>
        <w:ind w:left="720" w:hanging="720"/>
      </w:pPr>
      <w:r w:rsidRPr="00FC55C5">
        <w:t xml:space="preserve">Vogus, T. J., &amp; Sutcliffe, K. M. (2007, Jan). The Safety Organizing Scale: development and validation of a behavioral measure of safety culture in hospital nursing units. </w:t>
      </w:r>
      <w:r w:rsidRPr="00FC55C5">
        <w:rPr>
          <w:i/>
        </w:rPr>
        <w:t>Med Care, 45</w:t>
      </w:r>
      <w:r w:rsidRPr="00FC55C5">
        <w:t xml:space="preserve">(1), 46-54. </w:t>
      </w:r>
      <w:hyperlink r:id="rId42" w:history="1">
        <w:r w:rsidRPr="00FC55C5">
          <w:rPr>
            <w:rStyle w:val="Hyperlink"/>
          </w:rPr>
          <w:t>https://doi.org/10.1097/01.mlr.0000244635.61178.7a</w:t>
        </w:r>
      </w:hyperlink>
      <w:r w:rsidRPr="00FC55C5">
        <w:t xml:space="preserve"> </w:t>
      </w:r>
    </w:p>
    <w:p w14:paraId="46F12A2D" w14:textId="77777777" w:rsidR="00FC55C5" w:rsidRPr="00FC55C5" w:rsidRDefault="00FC55C5" w:rsidP="00FC55C5">
      <w:pPr>
        <w:pStyle w:val="EndNoteBibliography"/>
        <w:spacing w:after="0"/>
      </w:pPr>
    </w:p>
    <w:p w14:paraId="1DF107DE" w14:textId="46C05EB9" w:rsidR="00FC55C5" w:rsidRPr="00FC55C5" w:rsidRDefault="00FC55C5" w:rsidP="00FC55C5">
      <w:pPr>
        <w:pStyle w:val="EndNoteBibliography"/>
        <w:ind w:left="720" w:hanging="720"/>
      </w:pPr>
      <w:r w:rsidRPr="00FC55C5">
        <w:t xml:space="preserve">Wolf, E. J., Harrington, K. M., Clark, S. L., &amp; Miller, M. W. (2013, Dec). Sample Size Requirements for Structural Equation Models: An Evaluation of Power, Bias, and Solution Propriety. </w:t>
      </w:r>
      <w:r w:rsidRPr="00FC55C5">
        <w:rPr>
          <w:i/>
        </w:rPr>
        <w:t>Educ Psychol Meas, 76</w:t>
      </w:r>
      <w:r w:rsidRPr="00FC55C5">
        <w:t xml:space="preserve">(6), 913-934. </w:t>
      </w:r>
      <w:hyperlink r:id="rId43" w:history="1">
        <w:r w:rsidRPr="00FC55C5">
          <w:rPr>
            <w:rStyle w:val="Hyperlink"/>
          </w:rPr>
          <w:t>https://doi.org/10.1177/0013164413495237</w:t>
        </w:r>
      </w:hyperlink>
      <w:r w:rsidRPr="00FC55C5">
        <w:t xml:space="preserve"> </w:t>
      </w:r>
    </w:p>
    <w:p w14:paraId="7D1A9BFB" w14:textId="77777777" w:rsidR="00FC55C5" w:rsidRPr="00FC55C5" w:rsidRDefault="00FC55C5" w:rsidP="00FC55C5">
      <w:pPr>
        <w:pStyle w:val="EndNoteBibliography"/>
        <w:spacing w:after="0"/>
      </w:pPr>
    </w:p>
    <w:p w14:paraId="3D194511" w14:textId="4B33FCAB" w:rsidR="00FC55C5" w:rsidRPr="00FC55C5" w:rsidRDefault="00FC55C5" w:rsidP="00FC55C5">
      <w:pPr>
        <w:pStyle w:val="EndNoteBibliography"/>
        <w:ind w:left="720" w:hanging="720"/>
      </w:pPr>
      <w:r w:rsidRPr="00FC55C5">
        <w:rPr>
          <w:rtl/>
        </w:rPr>
        <w:t>اسماعيل محمد الشيخ, م., بكرى عبد العليم إسماعيل, م., &amp; محمد عامر, أ. (2024). أثر القيادة التحويلية</w:t>
      </w:r>
      <w:r w:rsidRPr="00FC55C5">
        <w:t xml:space="preserve"> </w:t>
      </w:r>
      <w:r w:rsidRPr="00FC55C5">
        <w:rPr>
          <w:rtl/>
        </w:rPr>
        <w:t xml:space="preserve">في العلاقة بين الإنتهاك الإيجابى لقواعد المنظمة والإبداع التنظيمى بالتطبيق على المستشفيات العامة الحكومية بالقليوبية. </w:t>
      </w:r>
      <w:r w:rsidRPr="00FC55C5">
        <w:rPr>
          <w:i/>
          <w:rtl/>
        </w:rPr>
        <w:t>مجلة بنها للعلوم الإنسانية, 3</w:t>
      </w:r>
      <w:r w:rsidRPr="00FC55C5">
        <w:rPr>
          <w:rtl/>
        </w:rPr>
        <w:t>(2), 137-168</w:t>
      </w:r>
      <w:r w:rsidRPr="00FC55C5">
        <w:t xml:space="preserve">. </w:t>
      </w:r>
      <w:hyperlink r:id="rId44" w:history="1">
        <w:r w:rsidRPr="00FC55C5">
          <w:rPr>
            <w:rStyle w:val="Hyperlink"/>
          </w:rPr>
          <w:t>https://doi.org/10.21608/bjhs.2024.315754.1262</w:t>
        </w:r>
      </w:hyperlink>
      <w:r w:rsidRPr="00FC55C5">
        <w:t xml:space="preserve"> </w:t>
      </w:r>
    </w:p>
    <w:p w14:paraId="53BB68CB" w14:textId="77777777" w:rsidR="00FC55C5" w:rsidRPr="00FC55C5" w:rsidRDefault="00FC55C5" w:rsidP="00FC55C5">
      <w:pPr>
        <w:pStyle w:val="EndNoteBibliography"/>
        <w:spacing w:after="0"/>
      </w:pPr>
    </w:p>
    <w:p w14:paraId="70D661D3" w14:textId="73F5A791" w:rsidR="00FC55C5" w:rsidRPr="00FC55C5" w:rsidRDefault="00FC55C5" w:rsidP="00FC55C5">
      <w:pPr>
        <w:pStyle w:val="EndNoteBibliography"/>
        <w:ind w:left="720" w:hanging="720"/>
      </w:pPr>
      <w:r w:rsidRPr="00FC55C5">
        <w:rPr>
          <w:rtl/>
        </w:rPr>
        <w:t xml:space="preserve">الحمري, م. ا. ع. ا. (2025). أثر السلامة المهنية على أداء العاملين بالمنظمات الصحية (دراسة تطبيقية على مستشفى الملك فهد العام بمحافظة جدة). </w:t>
      </w:r>
      <w:r w:rsidRPr="00FC55C5">
        <w:rPr>
          <w:i/>
          <w:rtl/>
        </w:rPr>
        <w:t>المجلة الدولية لنشر البحوث والدراسات</w:t>
      </w:r>
      <w:r w:rsidRPr="00FC55C5">
        <w:t xml:space="preserve">. </w:t>
      </w:r>
      <w:hyperlink r:id="rId45" w:history="1">
        <w:r w:rsidRPr="00FC55C5">
          <w:rPr>
            <w:rStyle w:val="Hyperlink"/>
          </w:rPr>
          <w:t>https://doi.org/doi.org/10.52133/ijrsp.v3.36.5</w:t>
        </w:r>
      </w:hyperlink>
      <w:r w:rsidRPr="00FC55C5">
        <w:t xml:space="preserve"> </w:t>
      </w:r>
    </w:p>
    <w:p w14:paraId="52AFE161" w14:textId="77777777" w:rsidR="00FC55C5" w:rsidRPr="00FC55C5" w:rsidRDefault="00FC55C5" w:rsidP="00FC55C5">
      <w:pPr>
        <w:pStyle w:val="EndNoteBibliography"/>
        <w:spacing w:after="0"/>
      </w:pPr>
    </w:p>
    <w:p w14:paraId="6D206944" w14:textId="023A6C2E" w:rsidR="00FC55C5" w:rsidRPr="00FC55C5" w:rsidRDefault="00FC55C5" w:rsidP="00FC55C5">
      <w:pPr>
        <w:pStyle w:val="EndNoteBibliography"/>
        <w:ind w:left="720" w:hanging="720"/>
      </w:pPr>
      <w:r w:rsidRPr="00FC55C5">
        <w:rPr>
          <w:rtl/>
        </w:rPr>
        <w:t>مخدوم, ه. ک. ا. (2019). دور القيادة التحويلية في التنمية البشرية بالتطبيق</w:t>
      </w:r>
      <w:r w:rsidRPr="00FC55C5">
        <w:t xml:space="preserve"> </w:t>
      </w:r>
      <w:r w:rsidRPr="00FC55C5">
        <w:rPr>
          <w:rtl/>
        </w:rPr>
        <w:t xml:space="preserve">على القطاع الصحي بالمملکة العربية السعودية. </w:t>
      </w:r>
      <w:r w:rsidRPr="00FC55C5">
        <w:rPr>
          <w:i/>
          <w:rtl/>
        </w:rPr>
        <w:t>المجلة العلمية للدراسات والبحوث المالية والإدارية</w:t>
      </w:r>
      <w:r w:rsidRPr="00FC55C5">
        <w:rPr>
          <w:i/>
          <w:cs/>
        </w:rPr>
        <w:t>‎</w:t>
      </w:r>
      <w:r w:rsidRPr="00FC55C5">
        <w:rPr>
          <w:i/>
        </w:rPr>
        <w:t>, 4</w:t>
      </w:r>
      <w:r w:rsidRPr="00FC55C5">
        <w:t xml:space="preserve">(2), 237-267. </w:t>
      </w:r>
      <w:hyperlink r:id="rId46" w:history="1">
        <w:r w:rsidRPr="00FC55C5">
          <w:rPr>
            <w:rStyle w:val="Hyperlink"/>
          </w:rPr>
          <w:t>https://doi.org/10.21608/masf.2019.68978</w:t>
        </w:r>
      </w:hyperlink>
      <w:r w:rsidRPr="00FC55C5">
        <w:t xml:space="preserve"> </w:t>
      </w:r>
    </w:p>
    <w:p w14:paraId="571252AF" w14:textId="77777777" w:rsidR="00FC55C5" w:rsidRPr="00FC55C5" w:rsidRDefault="00FC55C5" w:rsidP="00FC55C5">
      <w:pPr>
        <w:pStyle w:val="EndNoteBibliography"/>
      </w:pPr>
    </w:p>
    <w:p w14:paraId="5B9D3D81" w14:textId="0F735862" w:rsidR="00CB5D24" w:rsidRPr="00FC62C6" w:rsidRDefault="006758A1" w:rsidP="00FC55C5">
      <w:pPr>
        <w:spacing w:after="200" w:line="276" w:lineRule="auto"/>
        <w:rPr>
          <w:rFonts w:ascii="Sakkal Majalla" w:hAnsi="Sakkal Majalla" w:cs="Sakkal Majalla"/>
          <w:sz w:val="28"/>
          <w:szCs w:val="28"/>
          <w:rtl/>
        </w:rPr>
      </w:pPr>
      <w:r w:rsidRPr="006758A1">
        <w:rPr>
          <w:rFonts w:ascii="Sakkal Majalla" w:hAnsi="Sakkal Majalla" w:cs="Sakkal Majalla"/>
          <w:sz w:val="28"/>
          <w:szCs w:val="28"/>
        </w:rPr>
        <w:fldChar w:fldCharType="end"/>
      </w:r>
    </w:p>
    <w:sectPr w:rsidR="00CB5D24" w:rsidRPr="00FC62C6" w:rsidSect="00BE577C">
      <w:headerReference w:type="even" r:id="rId47"/>
      <w:headerReference w:type="default" r:id="rId48"/>
      <w:footerReference w:type="default" r:id="rId49"/>
      <w:headerReference w:type="first" r:id="rId50"/>
      <w:footerReference w:type="first" r:id="rId51"/>
      <w:pgSz w:w="11906" w:h="16838"/>
      <w:pgMar w:top="288" w:right="1008" w:bottom="0"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F12B1" w14:textId="77777777" w:rsidR="004535AE" w:rsidRDefault="004535AE" w:rsidP="00F628F0">
      <w:pPr>
        <w:spacing w:after="0" w:line="240" w:lineRule="auto"/>
      </w:pPr>
      <w:r>
        <w:separator/>
      </w:r>
    </w:p>
  </w:endnote>
  <w:endnote w:type="continuationSeparator" w:id="0">
    <w:p w14:paraId="577DBD76" w14:textId="77777777" w:rsidR="004535AE" w:rsidRDefault="004535A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2C48693"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5726A" w14:textId="77777777" w:rsidR="004535AE" w:rsidRDefault="004535AE" w:rsidP="00F628F0">
      <w:pPr>
        <w:spacing w:after="0" w:line="240" w:lineRule="auto"/>
      </w:pPr>
      <w:r>
        <w:separator/>
      </w:r>
    </w:p>
  </w:footnote>
  <w:footnote w:type="continuationSeparator" w:id="0">
    <w:p w14:paraId="11F42AD4" w14:textId="77777777" w:rsidR="004535AE" w:rsidRDefault="004535A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 w15:restartNumberingAfterBreak="0">
    <w:nsid w:val="12102FBB"/>
    <w:multiLevelType w:val="multilevel"/>
    <w:tmpl w:val="98D6F8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BA2C29"/>
    <w:multiLevelType w:val="multilevel"/>
    <w:tmpl w:val="C4CC73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3D9121D8"/>
    <w:multiLevelType w:val="hybridMultilevel"/>
    <w:tmpl w:val="E3C0C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8E122BC"/>
    <w:multiLevelType w:val="multilevel"/>
    <w:tmpl w:val="9C3C3206"/>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6" w15:restartNumberingAfterBreak="0">
    <w:nsid w:val="4E206B17"/>
    <w:multiLevelType w:val="multilevel"/>
    <w:tmpl w:val="416064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77520A"/>
    <w:multiLevelType w:val="multilevel"/>
    <w:tmpl w:val="1D98C68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9" w15:restartNumberingAfterBreak="0">
    <w:nsid w:val="73EC07FD"/>
    <w:multiLevelType w:val="multilevel"/>
    <w:tmpl w:val="656443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9804976">
    <w:abstractNumId w:val="0"/>
  </w:num>
  <w:num w:numId="2" w16cid:durableId="452483567">
    <w:abstractNumId w:val="10"/>
  </w:num>
  <w:num w:numId="3" w16cid:durableId="57748354">
    <w:abstractNumId w:val="2"/>
  </w:num>
  <w:num w:numId="4" w16cid:durableId="1339234337">
    <w:abstractNumId w:val="1"/>
  </w:num>
  <w:num w:numId="5" w16cid:durableId="1176463378">
    <w:abstractNumId w:val="8"/>
  </w:num>
  <w:num w:numId="6" w16cid:durableId="755634338">
    <w:abstractNumId w:val="5"/>
  </w:num>
  <w:num w:numId="7" w16cid:durableId="1379402849">
    <w:abstractNumId w:val="7"/>
  </w:num>
  <w:num w:numId="8" w16cid:durableId="622662441">
    <w:abstractNumId w:val="6"/>
  </w:num>
  <w:num w:numId="9" w16cid:durableId="1383291571">
    <w:abstractNumId w:val="4"/>
  </w:num>
  <w:num w:numId="10" w16cid:durableId="1719822320">
    <w:abstractNumId w:val="9"/>
  </w:num>
  <w:num w:numId="11" w16cid:durableId="169438155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2retxxrerxdxhe9aphvs0z2t9z25p0ew99s&quot;&gt;SBS2024 Copy&lt;record-ids&gt;&lt;item&gt;144&lt;/item&gt;&lt;item&gt;145&lt;/item&gt;&lt;item&gt;146&lt;/item&gt;&lt;item&gt;148&lt;/item&gt;&lt;item&gt;151&lt;/item&gt;&lt;item&gt;156&lt;/item&gt;&lt;item&gt;158&lt;/item&gt;&lt;item&gt;164&lt;/item&gt;&lt;item&gt;167&lt;/item&gt;&lt;item&gt;170&lt;/item&gt;&lt;item&gt;177&lt;/item&gt;&lt;item&gt;180&lt;/item&gt;&lt;item&gt;181&lt;/item&gt;&lt;item&gt;182&lt;/item&gt;&lt;item&gt;183&lt;/item&gt;&lt;item&gt;185&lt;/item&gt;&lt;item&gt;187&lt;/item&gt;&lt;item&gt;188&lt;/item&gt;&lt;item&gt;218&lt;/item&gt;&lt;item&gt;246&lt;/item&gt;&lt;item&gt;247&lt;/item&gt;&lt;item&gt;248&lt;/item&gt;&lt;item&gt;249&lt;/item&gt;&lt;item&gt;252&lt;/item&gt;&lt;item&gt;253&lt;/item&gt;&lt;item&gt;254&lt;/item&gt;&lt;item&gt;256&lt;/item&gt;&lt;item&gt;257&lt;/item&gt;&lt;item&gt;258&lt;/item&gt;&lt;item&gt;261&lt;/item&gt;&lt;item&gt;262&lt;/item&gt;&lt;item&gt;263&lt;/item&gt;&lt;item&gt;264&lt;/item&gt;&lt;item&gt;265&lt;/item&gt;&lt;item&gt;267&lt;/item&gt;&lt;item&gt;268&lt;/item&gt;&lt;item&gt;270&lt;/item&gt;&lt;item&gt;271&lt;/item&gt;&lt;item&gt;272&lt;/item&gt;&lt;item&gt;273&lt;/item&gt;&lt;item&gt;274&lt;/item&gt;&lt;item&gt;275&lt;/item&gt;&lt;item&gt;277&lt;/item&gt;&lt;item&gt;279&lt;/item&gt;&lt;item&gt;280&lt;/item&gt;&lt;item&gt;281&lt;/item&gt;&lt;item&gt;282&lt;/item&gt;&lt;item&gt;283&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0F7F04"/>
    <w:rsid w:val="0000135A"/>
    <w:rsid w:val="00003AD7"/>
    <w:rsid w:val="0000479E"/>
    <w:rsid w:val="00004971"/>
    <w:rsid w:val="00004C05"/>
    <w:rsid w:val="0000692A"/>
    <w:rsid w:val="00006A1F"/>
    <w:rsid w:val="000148CB"/>
    <w:rsid w:val="00015F0D"/>
    <w:rsid w:val="00016ACB"/>
    <w:rsid w:val="0002038B"/>
    <w:rsid w:val="00022214"/>
    <w:rsid w:val="000234FD"/>
    <w:rsid w:val="00027A34"/>
    <w:rsid w:val="0003027E"/>
    <w:rsid w:val="000322E7"/>
    <w:rsid w:val="00032F82"/>
    <w:rsid w:val="000334B4"/>
    <w:rsid w:val="00033C2D"/>
    <w:rsid w:val="00035A9D"/>
    <w:rsid w:val="00042341"/>
    <w:rsid w:val="00043142"/>
    <w:rsid w:val="00043A98"/>
    <w:rsid w:val="00044CFD"/>
    <w:rsid w:val="000462A2"/>
    <w:rsid w:val="000500A5"/>
    <w:rsid w:val="0005079C"/>
    <w:rsid w:val="000539FD"/>
    <w:rsid w:val="00053D6F"/>
    <w:rsid w:val="00054F0A"/>
    <w:rsid w:val="00057652"/>
    <w:rsid w:val="00060A80"/>
    <w:rsid w:val="00061954"/>
    <w:rsid w:val="00061A09"/>
    <w:rsid w:val="000636E4"/>
    <w:rsid w:val="00063C17"/>
    <w:rsid w:val="000654F3"/>
    <w:rsid w:val="00065B1A"/>
    <w:rsid w:val="00065CC3"/>
    <w:rsid w:val="000665BF"/>
    <w:rsid w:val="0007430F"/>
    <w:rsid w:val="00076240"/>
    <w:rsid w:val="00076824"/>
    <w:rsid w:val="00083266"/>
    <w:rsid w:val="00087E4F"/>
    <w:rsid w:val="00090A9C"/>
    <w:rsid w:val="00092C24"/>
    <w:rsid w:val="000940A0"/>
    <w:rsid w:val="00094A7A"/>
    <w:rsid w:val="00097E8F"/>
    <w:rsid w:val="000A1987"/>
    <w:rsid w:val="000A1D3E"/>
    <w:rsid w:val="000A1E46"/>
    <w:rsid w:val="000A310D"/>
    <w:rsid w:val="000A33FE"/>
    <w:rsid w:val="000A49ED"/>
    <w:rsid w:val="000A54C3"/>
    <w:rsid w:val="000A6044"/>
    <w:rsid w:val="000A6682"/>
    <w:rsid w:val="000A6C37"/>
    <w:rsid w:val="000A7376"/>
    <w:rsid w:val="000A749C"/>
    <w:rsid w:val="000B0263"/>
    <w:rsid w:val="000B0B32"/>
    <w:rsid w:val="000B0FA3"/>
    <w:rsid w:val="000B1071"/>
    <w:rsid w:val="000B1405"/>
    <w:rsid w:val="000B28C7"/>
    <w:rsid w:val="000B4DB4"/>
    <w:rsid w:val="000B684B"/>
    <w:rsid w:val="000B706D"/>
    <w:rsid w:val="000C258C"/>
    <w:rsid w:val="000C2D81"/>
    <w:rsid w:val="000D0869"/>
    <w:rsid w:val="000D21B5"/>
    <w:rsid w:val="000D3EAE"/>
    <w:rsid w:val="000D5131"/>
    <w:rsid w:val="000D5352"/>
    <w:rsid w:val="000E1A16"/>
    <w:rsid w:val="000E23AB"/>
    <w:rsid w:val="000E2549"/>
    <w:rsid w:val="000E26E2"/>
    <w:rsid w:val="000E42D6"/>
    <w:rsid w:val="000E4892"/>
    <w:rsid w:val="000E6887"/>
    <w:rsid w:val="000E68C6"/>
    <w:rsid w:val="000F0A0D"/>
    <w:rsid w:val="000F19E6"/>
    <w:rsid w:val="000F1F55"/>
    <w:rsid w:val="000F4CAA"/>
    <w:rsid w:val="000F62BE"/>
    <w:rsid w:val="000F64C0"/>
    <w:rsid w:val="000F7F04"/>
    <w:rsid w:val="00100E3E"/>
    <w:rsid w:val="001042B1"/>
    <w:rsid w:val="00107B09"/>
    <w:rsid w:val="00110665"/>
    <w:rsid w:val="0011126E"/>
    <w:rsid w:val="001132D0"/>
    <w:rsid w:val="00113B62"/>
    <w:rsid w:val="0011430B"/>
    <w:rsid w:val="001159CC"/>
    <w:rsid w:val="001163C7"/>
    <w:rsid w:val="00116AE4"/>
    <w:rsid w:val="00117CA1"/>
    <w:rsid w:val="00123F6A"/>
    <w:rsid w:val="00125F5F"/>
    <w:rsid w:val="00131B56"/>
    <w:rsid w:val="00131F17"/>
    <w:rsid w:val="00132DA8"/>
    <w:rsid w:val="001361F4"/>
    <w:rsid w:val="00137F65"/>
    <w:rsid w:val="00140863"/>
    <w:rsid w:val="001428C4"/>
    <w:rsid w:val="0014527A"/>
    <w:rsid w:val="0015086B"/>
    <w:rsid w:val="00152104"/>
    <w:rsid w:val="00154D4E"/>
    <w:rsid w:val="001558E2"/>
    <w:rsid w:val="001567E7"/>
    <w:rsid w:val="001603EF"/>
    <w:rsid w:val="001618EF"/>
    <w:rsid w:val="001624C4"/>
    <w:rsid w:val="001654CD"/>
    <w:rsid w:val="00165D12"/>
    <w:rsid w:val="00171C11"/>
    <w:rsid w:val="00171F2F"/>
    <w:rsid w:val="001762F4"/>
    <w:rsid w:val="00180799"/>
    <w:rsid w:val="00180A9B"/>
    <w:rsid w:val="00180EEF"/>
    <w:rsid w:val="001840E2"/>
    <w:rsid w:val="00185F71"/>
    <w:rsid w:val="001901B1"/>
    <w:rsid w:val="00190A4C"/>
    <w:rsid w:val="0019244B"/>
    <w:rsid w:val="0019387F"/>
    <w:rsid w:val="00195226"/>
    <w:rsid w:val="00195627"/>
    <w:rsid w:val="00195DA0"/>
    <w:rsid w:val="001A31E6"/>
    <w:rsid w:val="001A4C85"/>
    <w:rsid w:val="001A5804"/>
    <w:rsid w:val="001A680C"/>
    <w:rsid w:val="001B0E73"/>
    <w:rsid w:val="001B1D45"/>
    <w:rsid w:val="001B23C1"/>
    <w:rsid w:val="001B4DC1"/>
    <w:rsid w:val="001C01BE"/>
    <w:rsid w:val="001C2527"/>
    <w:rsid w:val="001C2889"/>
    <w:rsid w:val="001C3DA0"/>
    <w:rsid w:val="001C426A"/>
    <w:rsid w:val="001C4D44"/>
    <w:rsid w:val="001C72AD"/>
    <w:rsid w:val="001C7DB2"/>
    <w:rsid w:val="001D1F2C"/>
    <w:rsid w:val="001D4470"/>
    <w:rsid w:val="001D47AD"/>
    <w:rsid w:val="001D577E"/>
    <w:rsid w:val="001E1A72"/>
    <w:rsid w:val="001E1AD8"/>
    <w:rsid w:val="001E252D"/>
    <w:rsid w:val="001E32DF"/>
    <w:rsid w:val="001E3406"/>
    <w:rsid w:val="001E525F"/>
    <w:rsid w:val="001E5385"/>
    <w:rsid w:val="001E6447"/>
    <w:rsid w:val="001E7C73"/>
    <w:rsid w:val="001F233E"/>
    <w:rsid w:val="001F3F7F"/>
    <w:rsid w:val="001F4C58"/>
    <w:rsid w:val="00200A76"/>
    <w:rsid w:val="002018CB"/>
    <w:rsid w:val="002022D4"/>
    <w:rsid w:val="0020239B"/>
    <w:rsid w:val="00203761"/>
    <w:rsid w:val="00204C84"/>
    <w:rsid w:val="0021013A"/>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90B"/>
    <w:rsid w:val="00247D89"/>
    <w:rsid w:val="00250CC6"/>
    <w:rsid w:val="002511D2"/>
    <w:rsid w:val="00251580"/>
    <w:rsid w:val="00251FD3"/>
    <w:rsid w:val="00254976"/>
    <w:rsid w:val="00257F01"/>
    <w:rsid w:val="002616CF"/>
    <w:rsid w:val="00261AF8"/>
    <w:rsid w:val="00262403"/>
    <w:rsid w:val="00262A0F"/>
    <w:rsid w:val="00263733"/>
    <w:rsid w:val="00264677"/>
    <w:rsid w:val="00265C31"/>
    <w:rsid w:val="00274C5B"/>
    <w:rsid w:val="00276B55"/>
    <w:rsid w:val="00280585"/>
    <w:rsid w:val="00283B32"/>
    <w:rsid w:val="002841B5"/>
    <w:rsid w:val="002851AE"/>
    <w:rsid w:val="0028611F"/>
    <w:rsid w:val="00290C30"/>
    <w:rsid w:val="00291C10"/>
    <w:rsid w:val="0029654C"/>
    <w:rsid w:val="002A053F"/>
    <w:rsid w:val="002A113E"/>
    <w:rsid w:val="002A14C3"/>
    <w:rsid w:val="002A371B"/>
    <w:rsid w:val="002A5B8E"/>
    <w:rsid w:val="002A6EC2"/>
    <w:rsid w:val="002A7050"/>
    <w:rsid w:val="002A7904"/>
    <w:rsid w:val="002B234B"/>
    <w:rsid w:val="002B27CA"/>
    <w:rsid w:val="002B2817"/>
    <w:rsid w:val="002B3E1B"/>
    <w:rsid w:val="002B6766"/>
    <w:rsid w:val="002C2285"/>
    <w:rsid w:val="002D019D"/>
    <w:rsid w:val="002D05F0"/>
    <w:rsid w:val="002D3349"/>
    <w:rsid w:val="002D638C"/>
    <w:rsid w:val="002D68BB"/>
    <w:rsid w:val="002E03CF"/>
    <w:rsid w:val="002E15D3"/>
    <w:rsid w:val="002E350D"/>
    <w:rsid w:val="002E4152"/>
    <w:rsid w:val="002E6AD0"/>
    <w:rsid w:val="002F016F"/>
    <w:rsid w:val="002F0EEA"/>
    <w:rsid w:val="002F20A7"/>
    <w:rsid w:val="002F20B5"/>
    <w:rsid w:val="002F2274"/>
    <w:rsid w:val="002F3D82"/>
    <w:rsid w:val="002F53C6"/>
    <w:rsid w:val="002F7699"/>
    <w:rsid w:val="0030063A"/>
    <w:rsid w:val="00300827"/>
    <w:rsid w:val="003041BA"/>
    <w:rsid w:val="003061F3"/>
    <w:rsid w:val="00313AD8"/>
    <w:rsid w:val="0031571C"/>
    <w:rsid w:val="00316776"/>
    <w:rsid w:val="00316B68"/>
    <w:rsid w:val="003223F2"/>
    <w:rsid w:val="003225E2"/>
    <w:rsid w:val="00322A0D"/>
    <w:rsid w:val="00322CDE"/>
    <w:rsid w:val="003235C8"/>
    <w:rsid w:val="00323AB9"/>
    <w:rsid w:val="00324367"/>
    <w:rsid w:val="00325CF2"/>
    <w:rsid w:val="00326202"/>
    <w:rsid w:val="00326A18"/>
    <w:rsid w:val="0032712A"/>
    <w:rsid w:val="00330031"/>
    <w:rsid w:val="003335C4"/>
    <w:rsid w:val="00333FF1"/>
    <w:rsid w:val="00334002"/>
    <w:rsid w:val="00336EAC"/>
    <w:rsid w:val="00343773"/>
    <w:rsid w:val="003475EA"/>
    <w:rsid w:val="003535B0"/>
    <w:rsid w:val="00353A13"/>
    <w:rsid w:val="00356156"/>
    <w:rsid w:val="00360A3F"/>
    <w:rsid w:val="00360B10"/>
    <w:rsid w:val="003610B7"/>
    <w:rsid w:val="003618DC"/>
    <w:rsid w:val="00363895"/>
    <w:rsid w:val="003649C9"/>
    <w:rsid w:val="00364C07"/>
    <w:rsid w:val="003667E3"/>
    <w:rsid w:val="00370539"/>
    <w:rsid w:val="003735F5"/>
    <w:rsid w:val="00373F04"/>
    <w:rsid w:val="00375FDB"/>
    <w:rsid w:val="00377CB0"/>
    <w:rsid w:val="00381E67"/>
    <w:rsid w:val="00386C14"/>
    <w:rsid w:val="003878D7"/>
    <w:rsid w:val="00390B53"/>
    <w:rsid w:val="00392B50"/>
    <w:rsid w:val="00393F0C"/>
    <w:rsid w:val="00394424"/>
    <w:rsid w:val="00395E1F"/>
    <w:rsid w:val="00397058"/>
    <w:rsid w:val="00397A44"/>
    <w:rsid w:val="003A00C3"/>
    <w:rsid w:val="003A141C"/>
    <w:rsid w:val="003A4334"/>
    <w:rsid w:val="003A447B"/>
    <w:rsid w:val="003B0F00"/>
    <w:rsid w:val="003B1418"/>
    <w:rsid w:val="003B2B64"/>
    <w:rsid w:val="003B6969"/>
    <w:rsid w:val="003C04A3"/>
    <w:rsid w:val="003C05E1"/>
    <w:rsid w:val="003C5944"/>
    <w:rsid w:val="003C66A8"/>
    <w:rsid w:val="003C6B5B"/>
    <w:rsid w:val="003C71BA"/>
    <w:rsid w:val="003D1432"/>
    <w:rsid w:val="003D3563"/>
    <w:rsid w:val="003D4C1A"/>
    <w:rsid w:val="003D58C5"/>
    <w:rsid w:val="003D5F89"/>
    <w:rsid w:val="003D7090"/>
    <w:rsid w:val="003D7E7F"/>
    <w:rsid w:val="003E0205"/>
    <w:rsid w:val="003E1959"/>
    <w:rsid w:val="003E1E60"/>
    <w:rsid w:val="003E2605"/>
    <w:rsid w:val="003F275E"/>
    <w:rsid w:val="003F2D46"/>
    <w:rsid w:val="003F481E"/>
    <w:rsid w:val="003F6189"/>
    <w:rsid w:val="003F69BC"/>
    <w:rsid w:val="003F7AF9"/>
    <w:rsid w:val="004010D0"/>
    <w:rsid w:val="00402407"/>
    <w:rsid w:val="00404286"/>
    <w:rsid w:val="00404376"/>
    <w:rsid w:val="0040510D"/>
    <w:rsid w:val="00405D18"/>
    <w:rsid w:val="004120DC"/>
    <w:rsid w:val="00413AEF"/>
    <w:rsid w:val="00414946"/>
    <w:rsid w:val="00425B7A"/>
    <w:rsid w:val="00430F01"/>
    <w:rsid w:val="00431907"/>
    <w:rsid w:val="0043449E"/>
    <w:rsid w:val="00435137"/>
    <w:rsid w:val="00436B59"/>
    <w:rsid w:val="004373E9"/>
    <w:rsid w:val="00440C4B"/>
    <w:rsid w:val="004413CD"/>
    <w:rsid w:val="004413E9"/>
    <w:rsid w:val="00442185"/>
    <w:rsid w:val="0044258D"/>
    <w:rsid w:val="00443A60"/>
    <w:rsid w:val="00443F33"/>
    <w:rsid w:val="00444B1D"/>
    <w:rsid w:val="00444B3C"/>
    <w:rsid w:val="00445C60"/>
    <w:rsid w:val="004460AB"/>
    <w:rsid w:val="00446973"/>
    <w:rsid w:val="00447A10"/>
    <w:rsid w:val="00451081"/>
    <w:rsid w:val="00451443"/>
    <w:rsid w:val="0045254E"/>
    <w:rsid w:val="00452834"/>
    <w:rsid w:val="004535AE"/>
    <w:rsid w:val="004578DE"/>
    <w:rsid w:val="00462045"/>
    <w:rsid w:val="0046467D"/>
    <w:rsid w:val="00466097"/>
    <w:rsid w:val="0046668B"/>
    <w:rsid w:val="004668AA"/>
    <w:rsid w:val="00466F79"/>
    <w:rsid w:val="0047048B"/>
    <w:rsid w:val="00473B39"/>
    <w:rsid w:val="00473F99"/>
    <w:rsid w:val="00477387"/>
    <w:rsid w:val="004777AC"/>
    <w:rsid w:val="00485BD0"/>
    <w:rsid w:val="004869DD"/>
    <w:rsid w:val="00486B51"/>
    <w:rsid w:val="00487152"/>
    <w:rsid w:val="00487338"/>
    <w:rsid w:val="00492059"/>
    <w:rsid w:val="00492E40"/>
    <w:rsid w:val="00493C51"/>
    <w:rsid w:val="00495559"/>
    <w:rsid w:val="004A10BC"/>
    <w:rsid w:val="004A2908"/>
    <w:rsid w:val="004A366F"/>
    <w:rsid w:val="004A3F01"/>
    <w:rsid w:val="004B01B7"/>
    <w:rsid w:val="004B0DB7"/>
    <w:rsid w:val="004B0F9F"/>
    <w:rsid w:val="004B46DA"/>
    <w:rsid w:val="004B484B"/>
    <w:rsid w:val="004B57B5"/>
    <w:rsid w:val="004B78C6"/>
    <w:rsid w:val="004C16EA"/>
    <w:rsid w:val="004C1CC5"/>
    <w:rsid w:val="004C7B52"/>
    <w:rsid w:val="004D075E"/>
    <w:rsid w:val="004D260F"/>
    <w:rsid w:val="004D2A39"/>
    <w:rsid w:val="004D6DB2"/>
    <w:rsid w:val="004D7783"/>
    <w:rsid w:val="004D7F28"/>
    <w:rsid w:val="004E01F6"/>
    <w:rsid w:val="004E12B6"/>
    <w:rsid w:val="004E2481"/>
    <w:rsid w:val="004E54EA"/>
    <w:rsid w:val="004E69CA"/>
    <w:rsid w:val="004E761B"/>
    <w:rsid w:val="004F1607"/>
    <w:rsid w:val="004F1964"/>
    <w:rsid w:val="004F1CF1"/>
    <w:rsid w:val="004F4E13"/>
    <w:rsid w:val="004F513A"/>
    <w:rsid w:val="004F586A"/>
    <w:rsid w:val="004F62B8"/>
    <w:rsid w:val="004F6B72"/>
    <w:rsid w:val="004F70A5"/>
    <w:rsid w:val="0050023D"/>
    <w:rsid w:val="005023C6"/>
    <w:rsid w:val="00504462"/>
    <w:rsid w:val="0050451B"/>
    <w:rsid w:val="0050669F"/>
    <w:rsid w:val="00506FD9"/>
    <w:rsid w:val="00511FFE"/>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309A"/>
    <w:rsid w:val="005433BE"/>
    <w:rsid w:val="00545742"/>
    <w:rsid w:val="00545814"/>
    <w:rsid w:val="00545F85"/>
    <w:rsid w:val="00546BB3"/>
    <w:rsid w:val="005532E5"/>
    <w:rsid w:val="0055373F"/>
    <w:rsid w:val="00554689"/>
    <w:rsid w:val="00557D4D"/>
    <w:rsid w:val="00560CC1"/>
    <w:rsid w:val="00561FDC"/>
    <w:rsid w:val="00564566"/>
    <w:rsid w:val="00565D66"/>
    <w:rsid w:val="00566743"/>
    <w:rsid w:val="0056720C"/>
    <w:rsid w:val="00573910"/>
    <w:rsid w:val="00574062"/>
    <w:rsid w:val="00575C1B"/>
    <w:rsid w:val="0057638E"/>
    <w:rsid w:val="00576589"/>
    <w:rsid w:val="00577A3B"/>
    <w:rsid w:val="00577B79"/>
    <w:rsid w:val="00582069"/>
    <w:rsid w:val="00582F9E"/>
    <w:rsid w:val="00584F7C"/>
    <w:rsid w:val="0059061D"/>
    <w:rsid w:val="00590A0D"/>
    <w:rsid w:val="005922C4"/>
    <w:rsid w:val="005923F0"/>
    <w:rsid w:val="00595574"/>
    <w:rsid w:val="005966F3"/>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21"/>
    <w:rsid w:val="005B25B6"/>
    <w:rsid w:val="005B2E32"/>
    <w:rsid w:val="005B65AE"/>
    <w:rsid w:val="005C112B"/>
    <w:rsid w:val="005C3DA2"/>
    <w:rsid w:val="005C7518"/>
    <w:rsid w:val="005C7680"/>
    <w:rsid w:val="005D1768"/>
    <w:rsid w:val="005D2492"/>
    <w:rsid w:val="005D276B"/>
    <w:rsid w:val="005D670B"/>
    <w:rsid w:val="005E1B7D"/>
    <w:rsid w:val="005E24FB"/>
    <w:rsid w:val="005F1B15"/>
    <w:rsid w:val="005F1F01"/>
    <w:rsid w:val="005F2661"/>
    <w:rsid w:val="005F3582"/>
    <w:rsid w:val="005F5AF5"/>
    <w:rsid w:val="00600B2A"/>
    <w:rsid w:val="0060418B"/>
    <w:rsid w:val="0061026F"/>
    <w:rsid w:val="00615235"/>
    <w:rsid w:val="00620DF3"/>
    <w:rsid w:val="0062211E"/>
    <w:rsid w:val="00624B1F"/>
    <w:rsid w:val="0062589E"/>
    <w:rsid w:val="00625A3C"/>
    <w:rsid w:val="00631A37"/>
    <w:rsid w:val="006338AA"/>
    <w:rsid w:val="00633F98"/>
    <w:rsid w:val="00634932"/>
    <w:rsid w:val="0063698A"/>
    <w:rsid w:val="00636A0A"/>
    <w:rsid w:val="0063750A"/>
    <w:rsid w:val="006406B6"/>
    <w:rsid w:val="00641136"/>
    <w:rsid w:val="006430AC"/>
    <w:rsid w:val="00643C2D"/>
    <w:rsid w:val="00644496"/>
    <w:rsid w:val="006447D8"/>
    <w:rsid w:val="00644F28"/>
    <w:rsid w:val="0064572C"/>
    <w:rsid w:val="0065187E"/>
    <w:rsid w:val="006535D4"/>
    <w:rsid w:val="00655684"/>
    <w:rsid w:val="00656196"/>
    <w:rsid w:val="00656733"/>
    <w:rsid w:val="00660B15"/>
    <w:rsid w:val="006617E6"/>
    <w:rsid w:val="00661A1D"/>
    <w:rsid w:val="00662EE6"/>
    <w:rsid w:val="00662F5B"/>
    <w:rsid w:val="00663477"/>
    <w:rsid w:val="00663629"/>
    <w:rsid w:val="0066580E"/>
    <w:rsid w:val="00665E20"/>
    <w:rsid w:val="00667BBF"/>
    <w:rsid w:val="00667D1C"/>
    <w:rsid w:val="006731F3"/>
    <w:rsid w:val="006758A1"/>
    <w:rsid w:val="006760C7"/>
    <w:rsid w:val="00676B85"/>
    <w:rsid w:val="00680415"/>
    <w:rsid w:val="00681599"/>
    <w:rsid w:val="00681F79"/>
    <w:rsid w:val="0068489C"/>
    <w:rsid w:val="00684F06"/>
    <w:rsid w:val="006850A4"/>
    <w:rsid w:val="0068584E"/>
    <w:rsid w:val="00687F77"/>
    <w:rsid w:val="006946BE"/>
    <w:rsid w:val="00695F89"/>
    <w:rsid w:val="006A135E"/>
    <w:rsid w:val="006A3CC0"/>
    <w:rsid w:val="006A7DC3"/>
    <w:rsid w:val="006B09CC"/>
    <w:rsid w:val="006B1075"/>
    <w:rsid w:val="006B3448"/>
    <w:rsid w:val="006B366F"/>
    <w:rsid w:val="006B51C2"/>
    <w:rsid w:val="006B6ABE"/>
    <w:rsid w:val="006B6F89"/>
    <w:rsid w:val="006B790B"/>
    <w:rsid w:val="006C10F3"/>
    <w:rsid w:val="006C2E76"/>
    <w:rsid w:val="006C54C9"/>
    <w:rsid w:val="006D1271"/>
    <w:rsid w:val="006D1724"/>
    <w:rsid w:val="006E5221"/>
    <w:rsid w:val="006E53C5"/>
    <w:rsid w:val="006E60E7"/>
    <w:rsid w:val="006E7A0B"/>
    <w:rsid w:val="006F0718"/>
    <w:rsid w:val="006F1837"/>
    <w:rsid w:val="006F26E4"/>
    <w:rsid w:val="006F3CD1"/>
    <w:rsid w:val="006F52A6"/>
    <w:rsid w:val="006F65E8"/>
    <w:rsid w:val="006F6F1E"/>
    <w:rsid w:val="0070272D"/>
    <w:rsid w:val="00702784"/>
    <w:rsid w:val="0070279A"/>
    <w:rsid w:val="00703112"/>
    <w:rsid w:val="00703A9A"/>
    <w:rsid w:val="00704C25"/>
    <w:rsid w:val="00705F1D"/>
    <w:rsid w:val="00706AC7"/>
    <w:rsid w:val="00711248"/>
    <w:rsid w:val="00715EF1"/>
    <w:rsid w:val="00717BD6"/>
    <w:rsid w:val="00721ED4"/>
    <w:rsid w:val="007239AC"/>
    <w:rsid w:val="00723E95"/>
    <w:rsid w:val="0072412B"/>
    <w:rsid w:val="007318EF"/>
    <w:rsid w:val="00733953"/>
    <w:rsid w:val="00735562"/>
    <w:rsid w:val="00735DFD"/>
    <w:rsid w:val="00736364"/>
    <w:rsid w:val="0073642B"/>
    <w:rsid w:val="00736666"/>
    <w:rsid w:val="00740AB1"/>
    <w:rsid w:val="007420FC"/>
    <w:rsid w:val="00742306"/>
    <w:rsid w:val="00744715"/>
    <w:rsid w:val="0074528E"/>
    <w:rsid w:val="00745F2F"/>
    <w:rsid w:val="00747EC2"/>
    <w:rsid w:val="007507AF"/>
    <w:rsid w:val="00750F2F"/>
    <w:rsid w:val="00754496"/>
    <w:rsid w:val="007603EA"/>
    <w:rsid w:val="00761E6B"/>
    <w:rsid w:val="00762791"/>
    <w:rsid w:val="00766568"/>
    <w:rsid w:val="0076684E"/>
    <w:rsid w:val="00766A58"/>
    <w:rsid w:val="007674F9"/>
    <w:rsid w:val="007718B7"/>
    <w:rsid w:val="00771F29"/>
    <w:rsid w:val="0077321B"/>
    <w:rsid w:val="007753EA"/>
    <w:rsid w:val="00776407"/>
    <w:rsid w:val="007764F4"/>
    <w:rsid w:val="00776AB8"/>
    <w:rsid w:val="0078042C"/>
    <w:rsid w:val="00781550"/>
    <w:rsid w:val="007822A3"/>
    <w:rsid w:val="00783618"/>
    <w:rsid w:val="00785D8E"/>
    <w:rsid w:val="00790119"/>
    <w:rsid w:val="00791915"/>
    <w:rsid w:val="00793616"/>
    <w:rsid w:val="007956F0"/>
    <w:rsid w:val="007969DC"/>
    <w:rsid w:val="00797AF9"/>
    <w:rsid w:val="007A24A6"/>
    <w:rsid w:val="007A31DC"/>
    <w:rsid w:val="007A3A68"/>
    <w:rsid w:val="007A489B"/>
    <w:rsid w:val="007A4DCA"/>
    <w:rsid w:val="007A64CE"/>
    <w:rsid w:val="007A7C00"/>
    <w:rsid w:val="007A7D6E"/>
    <w:rsid w:val="007B29E4"/>
    <w:rsid w:val="007B3426"/>
    <w:rsid w:val="007B3995"/>
    <w:rsid w:val="007B3A5C"/>
    <w:rsid w:val="007B4CBF"/>
    <w:rsid w:val="007C0F57"/>
    <w:rsid w:val="007C1F01"/>
    <w:rsid w:val="007C375D"/>
    <w:rsid w:val="007C428F"/>
    <w:rsid w:val="007D1551"/>
    <w:rsid w:val="007D2FCC"/>
    <w:rsid w:val="007D39B9"/>
    <w:rsid w:val="007D7D94"/>
    <w:rsid w:val="007E15C4"/>
    <w:rsid w:val="007E262A"/>
    <w:rsid w:val="007E282E"/>
    <w:rsid w:val="007E3985"/>
    <w:rsid w:val="007E5BA4"/>
    <w:rsid w:val="007E63A2"/>
    <w:rsid w:val="007F0FEF"/>
    <w:rsid w:val="007F4183"/>
    <w:rsid w:val="007F4DC9"/>
    <w:rsid w:val="008022F1"/>
    <w:rsid w:val="00802EEF"/>
    <w:rsid w:val="00807A51"/>
    <w:rsid w:val="00810AE7"/>
    <w:rsid w:val="00813540"/>
    <w:rsid w:val="00813C16"/>
    <w:rsid w:val="008146AC"/>
    <w:rsid w:val="00816267"/>
    <w:rsid w:val="008173B3"/>
    <w:rsid w:val="00817E2A"/>
    <w:rsid w:val="00820A0F"/>
    <w:rsid w:val="00821E8B"/>
    <w:rsid w:val="00823077"/>
    <w:rsid w:val="00823BC5"/>
    <w:rsid w:val="00824096"/>
    <w:rsid w:val="0082447D"/>
    <w:rsid w:val="00826F9A"/>
    <w:rsid w:val="00831B04"/>
    <w:rsid w:val="0083411F"/>
    <w:rsid w:val="00835143"/>
    <w:rsid w:val="00840269"/>
    <w:rsid w:val="00841E70"/>
    <w:rsid w:val="00846C82"/>
    <w:rsid w:val="00847344"/>
    <w:rsid w:val="00847E61"/>
    <w:rsid w:val="00850F57"/>
    <w:rsid w:val="00852990"/>
    <w:rsid w:val="00854E14"/>
    <w:rsid w:val="00856F43"/>
    <w:rsid w:val="008600D4"/>
    <w:rsid w:val="0086026A"/>
    <w:rsid w:val="0086333D"/>
    <w:rsid w:val="008639EF"/>
    <w:rsid w:val="00864B2B"/>
    <w:rsid w:val="00866BDF"/>
    <w:rsid w:val="00866DE7"/>
    <w:rsid w:val="00867B43"/>
    <w:rsid w:val="008757F7"/>
    <w:rsid w:val="00875EB7"/>
    <w:rsid w:val="00875F20"/>
    <w:rsid w:val="008806D9"/>
    <w:rsid w:val="008812B3"/>
    <w:rsid w:val="0088301D"/>
    <w:rsid w:val="0088325B"/>
    <w:rsid w:val="00883E09"/>
    <w:rsid w:val="008842A4"/>
    <w:rsid w:val="00886510"/>
    <w:rsid w:val="00887021"/>
    <w:rsid w:val="00894ABA"/>
    <w:rsid w:val="00894F92"/>
    <w:rsid w:val="00895205"/>
    <w:rsid w:val="00897949"/>
    <w:rsid w:val="008A09DC"/>
    <w:rsid w:val="008A2025"/>
    <w:rsid w:val="008A20E0"/>
    <w:rsid w:val="008A3BB9"/>
    <w:rsid w:val="008A69EA"/>
    <w:rsid w:val="008A7D25"/>
    <w:rsid w:val="008B0F36"/>
    <w:rsid w:val="008B1883"/>
    <w:rsid w:val="008B213C"/>
    <w:rsid w:val="008B36A4"/>
    <w:rsid w:val="008B44A3"/>
    <w:rsid w:val="008B5953"/>
    <w:rsid w:val="008B5C39"/>
    <w:rsid w:val="008C140C"/>
    <w:rsid w:val="008C2AA8"/>
    <w:rsid w:val="008C2ADD"/>
    <w:rsid w:val="008C3F9B"/>
    <w:rsid w:val="008C4024"/>
    <w:rsid w:val="008C5214"/>
    <w:rsid w:val="008C7DF9"/>
    <w:rsid w:val="008D1B67"/>
    <w:rsid w:val="008D49CC"/>
    <w:rsid w:val="008D5F2C"/>
    <w:rsid w:val="008D7A9B"/>
    <w:rsid w:val="008E0368"/>
    <w:rsid w:val="008E18C4"/>
    <w:rsid w:val="008E1DF8"/>
    <w:rsid w:val="008E6B1C"/>
    <w:rsid w:val="008E7947"/>
    <w:rsid w:val="008F00B8"/>
    <w:rsid w:val="008F4280"/>
    <w:rsid w:val="008F61CB"/>
    <w:rsid w:val="0090102E"/>
    <w:rsid w:val="00903A36"/>
    <w:rsid w:val="009043EA"/>
    <w:rsid w:val="00907396"/>
    <w:rsid w:val="00907A45"/>
    <w:rsid w:val="00910399"/>
    <w:rsid w:val="009108EA"/>
    <w:rsid w:val="0091344E"/>
    <w:rsid w:val="009139AE"/>
    <w:rsid w:val="00916122"/>
    <w:rsid w:val="00916947"/>
    <w:rsid w:val="00917C97"/>
    <w:rsid w:val="00920F58"/>
    <w:rsid w:val="00922314"/>
    <w:rsid w:val="00922B97"/>
    <w:rsid w:val="009234C7"/>
    <w:rsid w:val="00924073"/>
    <w:rsid w:val="00927C69"/>
    <w:rsid w:val="00930E7C"/>
    <w:rsid w:val="009324F0"/>
    <w:rsid w:val="00935527"/>
    <w:rsid w:val="009357B9"/>
    <w:rsid w:val="00935FC3"/>
    <w:rsid w:val="0093756B"/>
    <w:rsid w:val="009400C2"/>
    <w:rsid w:val="009424FD"/>
    <w:rsid w:val="0094435C"/>
    <w:rsid w:val="00945602"/>
    <w:rsid w:val="009462FA"/>
    <w:rsid w:val="00946F5B"/>
    <w:rsid w:val="009505DD"/>
    <w:rsid w:val="009527AA"/>
    <w:rsid w:val="00952DEE"/>
    <w:rsid w:val="00955905"/>
    <w:rsid w:val="0096281F"/>
    <w:rsid w:val="00962E14"/>
    <w:rsid w:val="00963390"/>
    <w:rsid w:val="0096761A"/>
    <w:rsid w:val="009676BE"/>
    <w:rsid w:val="009705B3"/>
    <w:rsid w:val="00970779"/>
    <w:rsid w:val="00970784"/>
    <w:rsid w:val="00971016"/>
    <w:rsid w:val="00971603"/>
    <w:rsid w:val="00974AA7"/>
    <w:rsid w:val="00977837"/>
    <w:rsid w:val="00981096"/>
    <w:rsid w:val="009813A6"/>
    <w:rsid w:val="009813DB"/>
    <w:rsid w:val="00983200"/>
    <w:rsid w:val="00983CFD"/>
    <w:rsid w:val="00984A64"/>
    <w:rsid w:val="009856BA"/>
    <w:rsid w:val="00986F65"/>
    <w:rsid w:val="0098742E"/>
    <w:rsid w:val="00990418"/>
    <w:rsid w:val="00994852"/>
    <w:rsid w:val="00995E24"/>
    <w:rsid w:val="009A0B22"/>
    <w:rsid w:val="009A38B6"/>
    <w:rsid w:val="009A4D5A"/>
    <w:rsid w:val="009A6041"/>
    <w:rsid w:val="009A672F"/>
    <w:rsid w:val="009A689A"/>
    <w:rsid w:val="009B044E"/>
    <w:rsid w:val="009B09E7"/>
    <w:rsid w:val="009B0F6B"/>
    <w:rsid w:val="009B1AC3"/>
    <w:rsid w:val="009B320D"/>
    <w:rsid w:val="009B6902"/>
    <w:rsid w:val="009B7B1F"/>
    <w:rsid w:val="009C1DA1"/>
    <w:rsid w:val="009C1E40"/>
    <w:rsid w:val="009C1FA5"/>
    <w:rsid w:val="009C2244"/>
    <w:rsid w:val="009C3C7B"/>
    <w:rsid w:val="009C5AEE"/>
    <w:rsid w:val="009C6FF4"/>
    <w:rsid w:val="009C76D6"/>
    <w:rsid w:val="009C7B18"/>
    <w:rsid w:val="009D0182"/>
    <w:rsid w:val="009D1D31"/>
    <w:rsid w:val="009D5A9D"/>
    <w:rsid w:val="009D67BD"/>
    <w:rsid w:val="009D7A47"/>
    <w:rsid w:val="009E4604"/>
    <w:rsid w:val="009E58EB"/>
    <w:rsid w:val="009F0B77"/>
    <w:rsid w:val="009F1183"/>
    <w:rsid w:val="009F1514"/>
    <w:rsid w:val="009F1791"/>
    <w:rsid w:val="009F1FCE"/>
    <w:rsid w:val="009F2F7B"/>
    <w:rsid w:val="009F44B4"/>
    <w:rsid w:val="009F589F"/>
    <w:rsid w:val="009F6CEF"/>
    <w:rsid w:val="009F7119"/>
    <w:rsid w:val="00A00401"/>
    <w:rsid w:val="00A00E5A"/>
    <w:rsid w:val="00A00F0E"/>
    <w:rsid w:val="00A016D3"/>
    <w:rsid w:val="00A0340F"/>
    <w:rsid w:val="00A043DE"/>
    <w:rsid w:val="00A05BAE"/>
    <w:rsid w:val="00A06283"/>
    <w:rsid w:val="00A11618"/>
    <w:rsid w:val="00A13D38"/>
    <w:rsid w:val="00A14CF4"/>
    <w:rsid w:val="00A15061"/>
    <w:rsid w:val="00A1570C"/>
    <w:rsid w:val="00A15C4F"/>
    <w:rsid w:val="00A15DD9"/>
    <w:rsid w:val="00A16E60"/>
    <w:rsid w:val="00A20686"/>
    <w:rsid w:val="00A21668"/>
    <w:rsid w:val="00A21E8B"/>
    <w:rsid w:val="00A23560"/>
    <w:rsid w:val="00A2724A"/>
    <w:rsid w:val="00A322B0"/>
    <w:rsid w:val="00A34DC8"/>
    <w:rsid w:val="00A36CAF"/>
    <w:rsid w:val="00A370A9"/>
    <w:rsid w:val="00A37539"/>
    <w:rsid w:val="00A40B4C"/>
    <w:rsid w:val="00A43BC7"/>
    <w:rsid w:val="00A46DC0"/>
    <w:rsid w:val="00A5058A"/>
    <w:rsid w:val="00A51842"/>
    <w:rsid w:val="00A572F9"/>
    <w:rsid w:val="00A57EF5"/>
    <w:rsid w:val="00A60347"/>
    <w:rsid w:val="00A60348"/>
    <w:rsid w:val="00A6093A"/>
    <w:rsid w:val="00A62487"/>
    <w:rsid w:val="00A63AF0"/>
    <w:rsid w:val="00A64983"/>
    <w:rsid w:val="00A64F6A"/>
    <w:rsid w:val="00A67DF9"/>
    <w:rsid w:val="00A67E70"/>
    <w:rsid w:val="00A70534"/>
    <w:rsid w:val="00A70678"/>
    <w:rsid w:val="00A70CE4"/>
    <w:rsid w:val="00A717CD"/>
    <w:rsid w:val="00A73A46"/>
    <w:rsid w:val="00A74A2B"/>
    <w:rsid w:val="00A7525C"/>
    <w:rsid w:val="00A77B25"/>
    <w:rsid w:val="00A77E5E"/>
    <w:rsid w:val="00A80484"/>
    <w:rsid w:val="00A807E7"/>
    <w:rsid w:val="00A817A8"/>
    <w:rsid w:val="00A81C77"/>
    <w:rsid w:val="00A82CB2"/>
    <w:rsid w:val="00A83153"/>
    <w:rsid w:val="00A851E7"/>
    <w:rsid w:val="00A8785A"/>
    <w:rsid w:val="00A90432"/>
    <w:rsid w:val="00A94A1A"/>
    <w:rsid w:val="00A94DC6"/>
    <w:rsid w:val="00A96785"/>
    <w:rsid w:val="00AA254D"/>
    <w:rsid w:val="00AA2E7B"/>
    <w:rsid w:val="00AA4260"/>
    <w:rsid w:val="00AA47C0"/>
    <w:rsid w:val="00AA5C65"/>
    <w:rsid w:val="00AA6121"/>
    <w:rsid w:val="00AA6C00"/>
    <w:rsid w:val="00AB0DB7"/>
    <w:rsid w:val="00AB0E27"/>
    <w:rsid w:val="00AB7BF2"/>
    <w:rsid w:val="00AC24D4"/>
    <w:rsid w:val="00AC4332"/>
    <w:rsid w:val="00AC46F5"/>
    <w:rsid w:val="00AC4F32"/>
    <w:rsid w:val="00AC6F69"/>
    <w:rsid w:val="00AD191A"/>
    <w:rsid w:val="00AD42B8"/>
    <w:rsid w:val="00AD4644"/>
    <w:rsid w:val="00AD5DDB"/>
    <w:rsid w:val="00AD704E"/>
    <w:rsid w:val="00AD783C"/>
    <w:rsid w:val="00AE30A0"/>
    <w:rsid w:val="00AE5CDE"/>
    <w:rsid w:val="00AE68EF"/>
    <w:rsid w:val="00AE6B9C"/>
    <w:rsid w:val="00AF0D45"/>
    <w:rsid w:val="00AF486B"/>
    <w:rsid w:val="00AF62C2"/>
    <w:rsid w:val="00AF6CA1"/>
    <w:rsid w:val="00B00D76"/>
    <w:rsid w:val="00B01477"/>
    <w:rsid w:val="00B0197B"/>
    <w:rsid w:val="00B03D10"/>
    <w:rsid w:val="00B052AF"/>
    <w:rsid w:val="00B05BF7"/>
    <w:rsid w:val="00B05FDA"/>
    <w:rsid w:val="00B06981"/>
    <w:rsid w:val="00B135BA"/>
    <w:rsid w:val="00B146C0"/>
    <w:rsid w:val="00B170EE"/>
    <w:rsid w:val="00B172EF"/>
    <w:rsid w:val="00B176F1"/>
    <w:rsid w:val="00B23622"/>
    <w:rsid w:val="00B2444E"/>
    <w:rsid w:val="00B25493"/>
    <w:rsid w:val="00B25657"/>
    <w:rsid w:val="00B27C81"/>
    <w:rsid w:val="00B32469"/>
    <w:rsid w:val="00B32E4E"/>
    <w:rsid w:val="00B33476"/>
    <w:rsid w:val="00B340A4"/>
    <w:rsid w:val="00B35AA1"/>
    <w:rsid w:val="00B36D3B"/>
    <w:rsid w:val="00B36E0E"/>
    <w:rsid w:val="00B43D93"/>
    <w:rsid w:val="00B43F32"/>
    <w:rsid w:val="00B4456F"/>
    <w:rsid w:val="00B458CA"/>
    <w:rsid w:val="00B46066"/>
    <w:rsid w:val="00B53B86"/>
    <w:rsid w:val="00B601BC"/>
    <w:rsid w:val="00B6050A"/>
    <w:rsid w:val="00B61F61"/>
    <w:rsid w:val="00B632DF"/>
    <w:rsid w:val="00B63BBC"/>
    <w:rsid w:val="00B72DD9"/>
    <w:rsid w:val="00B72EB2"/>
    <w:rsid w:val="00B74258"/>
    <w:rsid w:val="00B76A68"/>
    <w:rsid w:val="00B802A8"/>
    <w:rsid w:val="00B8132E"/>
    <w:rsid w:val="00B81AA9"/>
    <w:rsid w:val="00B853B1"/>
    <w:rsid w:val="00B85713"/>
    <w:rsid w:val="00B85E9F"/>
    <w:rsid w:val="00B86BE4"/>
    <w:rsid w:val="00B90CF8"/>
    <w:rsid w:val="00B90D8C"/>
    <w:rsid w:val="00B91986"/>
    <w:rsid w:val="00B92D61"/>
    <w:rsid w:val="00B93AAF"/>
    <w:rsid w:val="00B93BEF"/>
    <w:rsid w:val="00B94966"/>
    <w:rsid w:val="00B96E4F"/>
    <w:rsid w:val="00BA2E74"/>
    <w:rsid w:val="00BA688E"/>
    <w:rsid w:val="00BA6BC9"/>
    <w:rsid w:val="00BB3408"/>
    <w:rsid w:val="00BB4052"/>
    <w:rsid w:val="00BB46BB"/>
    <w:rsid w:val="00BB5DCC"/>
    <w:rsid w:val="00BB6CAF"/>
    <w:rsid w:val="00BC23E5"/>
    <w:rsid w:val="00BC2E85"/>
    <w:rsid w:val="00BC4844"/>
    <w:rsid w:val="00BC7341"/>
    <w:rsid w:val="00BC78DA"/>
    <w:rsid w:val="00BD1209"/>
    <w:rsid w:val="00BD17E4"/>
    <w:rsid w:val="00BD242B"/>
    <w:rsid w:val="00BD4333"/>
    <w:rsid w:val="00BD43F5"/>
    <w:rsid w:val="00BD4C5B"/>
    <w:rsid w:val="00BD5BF2"/>
    <w:rsid w:val="00BD6EF7"/>
    <w:rsid w:val="00BD7C1A"/>
    <w:rsid w:val="00BE07E2"/>
    <w:rsid w:val="00BE16B9"/>
    <w:rsid w:val="00BE1BA2"/>
    <w:rsid w:val="00BE2447"/>
    <w:rsid w:val="00BE253C"/>
    <w:rsid w:val="00BE2AD6"/>
    <w:rsid w:val="00BE343E"/>
    <w:rsid w:val="00BE4B10"/>
    <w:rsid w:val="00BE508A"/>
    <w:rsid w:val="00BE577C"/>
    <w:rsid w:val="00BE596B"/>
    <w:rsid w:val="00BE609B"/>
    <w:rsid w:val="00BE7FB6"/>
    <w:rsid w:val="00BF00BC"/>
    <w:rsid w:val="00BF0735"/>
    <w:rsid w:val="00BF0A1E"/>
    <w:rsid w:val="00BF10E4"/>
    <w:rsid w:val="00BF1B80"/>
    <w:rsid w:val="00BF20DB"/>
    <w:rsid w:val="00BF2A76"/>
    <w:rsid w:val="00BF4225"/>
    <w:rsid w:val="00BF50E5"/>
    <w:rsid w:val="00BF7480"/>
    <w:rsid w:val="00C0027F"/>
    <w:rsid w:val="00C01BF4"/>
    <w:rsid w:val="00C03C4F"/>
    <w:rsid w:val="00C06B85"/>
    <w:rsid w:val="00C07820"/>
    <w:rsid w:val="00C07F58"/>
    <w:rsid w:val="00C11026"/>
    <w:rsid w:val="00C1168C"/>
    <w:rsid w:val="00C12488"/>
    <w:rsid w:val="00C12A50"/>
    <w:rsid w:val="00C1324B"/>
    <w:rsid w:val="00C144E4"/>
    <w:rsid w:val="00C14900"/>
    <w:rsid w:val="00C16B99"/>
    <w:rsid w:val="00C20F12"/>
    <w:rsid w:val="00C2122A"/>
    <w:rsid w:val="00C2376A"/>
    <w:rsid w:val="00C27F64"/>
    <w:rsid w:val="00C3113C"/>
    <w:rsid w:val="00C34D41"/>
    <w:rsid w:val="00C34E8B"/>
    <w:rsid w:val="00C35121"/>
    <w:rsid w:val="00C35EB8"/>
    <w:rsid w:val="00C367CA"/>
    <w:rsid w:val="00C370EC"/>
    <w:rsid w:val="00C3753A"/>
    <w:rsid w:val="00C415C4"/>
    <w:rsid w:val="00C44E75"/>
    <w:rsid w:val="00C453E3"/>
    <w:rsid w:val="00C45804"/>
    <w:rsid w:val="00C45B23"/>
    <w:rsid w:val="00C472D8"/>
    <w:rsid w:val="00C476E1"/>
    <w:rsid w:val="00C515D4"/>
    <w:rsid w:val="00C52D43"/>
    <w:rsid w:val="00C53130"/>
    <w:rsid w:val="00C53D9D"/>
    <w:rsid w:val="00C53FBD"/>
    <w:rsid w:val="00C54FEC"/>
    <w:rsid w:val="00C55181"/>
    <w:rsid w:val="00C557C5"/>
    <w:rsid w:val="00C56B6D"/>
    <w:rsid w:val="00C61182"/>
    <w:rsid w:val="00C625EA"/>
    <w:rsid w:val="00C62DC1"/>
    <w:rsid w:val="00C65225"/>
    <w:rsid w:val="00C72EA8"/>
    <w:rsid w:val="00C736B2"/>
    <w:rsid w:val="00C73E8C"/>
    <w:rsid w:val="00C7436B"/>
    <w:rsid w:val="00C74AAF"/>
    <w:rsid w:val="00C76706"/>
    <w:rsid w:val="00C81373"/>
    <w:rsid w:val="00C8596E"/>
    <w:rsid w:val="00C85E0A"/>
    <w:rsid w:val="00C87AB5"/>
    <w:rsid w:val="00C87DAB"/>
    <w:rsid w:val="00C87E33"/>
    <w:rsid w:val="00C92050"/>
    <w:rsid w:val="00C92652"/>
    <w:rsid w:val="00C93274"/>
    <w:rsid w:val="00C93ED6"/>
    <w:rsid w:val="00C940BE"/>
    <w:rsid w:val="00CA0E31"/>
    <w:rsid w:val="00CA1B14"/>
    <w:rsid w:val="00CA6385"/>
    <w:rsid w:val="00CA7DAC"/>
    <w:rsid w:val="00CB0A76"/>
    <w:rsid w:val="00CB0E67"/>
    <w:rsid w:val="00CB1282"/>
    <w:rsid w:val="00CB35D3"/>
    <w:rsid w:val="00CB47F4"/>
    <w:rsid w:val="00CB5D24"/>
    <w:rsid w:val="00CB5E65"/>
    <w:rsid w:val="00CB5F44"/>
    <w:rsid w:val="00CC365B"/>
    <w:rsid w:val="00CC3C32"/>
    <w:rsid w:val="00CD1ABB"/>
    <w:rsid w:val="00CD1C41"/>
    <w:rsid w:val="00CD2E00"/>
    <w:rsid w:val="00CD3A50"/>
    <w:rsid w:val="00CD67C0"/>
    <w:rsid w:val="00CE13A5"/>
    <w:rsid w:val="00CE248B"/>
    <w:rsid w:val="00CE3262"/>
    <w:rsid w:val="00CE39F0"/>
    <w:rsid w:val="00CE3F82"/>
    <w:rsid w:val="00CE4373"/>
    <w:rsid w:val="00CE45FE"/>
    <w:rsid w:val="00CE6F3D"/>
    <w:rsid w:val="00CF297D"/>
    <w:rsid w:val="00CF34F3"/>
    <w:rsid w:val="00CF38E8"/>
    <w:rsid w:val="00D0035F"/>
    <w:rsid w:val="00D012B5"/>
    <w:rsid w:val="00D022C9"/>
    <w:rsid w:val="00D02883"/>
    <w:rsid w:val="00D046CC"/>
    <w:rsid w:val="00D05EDF"/>
    <w:rsid w:val="00D066DC"/>
    <w:rsid w:val="00D1286C"/>
    <w:rsid w:val="00D14DD5"/>
    <w:rsid w:val="00D16601"/>
    <w:rsid w:val="00D16E23"/>
    <w:rsid w:val="00D20E96"/>
    <w:rsid w:val="00D235C5"/>
    <w:rsid w:val="00D237EB"/>
    <w:rsid w:val="00D23CA7"/>
    <w:rsid w:val="00D2768A"/>
    <w:rsid w:val="00D31D7E"/>
    <w:rsid w:val="00D329D0"/>
    <w:rsid w:val="00D33B36"/>
    <w:rsid w:val="00D3573C"/>
    <w:rsid w:val="00D376D3"/>
    <w:rsid w:val="00D429C3"/>
    <w:rsid w:val="00D47F4C"/>
    <w:rsid w:val="00D501DC"/>
    <w:rsid w:val="00D52899"/>
    <w:rsid w:val="00D52CFE"/>
    <w:rsid w:val="00D54B72"/>
    <w:rsid w:val="00D54DD5"/>
    <w:rsid w:val="00D54EAB"/>
    <w:rsid w:val="00D556BC"/>
    <w:rsid w:val="00D55CAF"/>
    <w:rsid w:val="00D57E5C"/>
    <w:rsid w:val="00D60F31"/>
    <w:rsid w:val="00D63262"/>
    <w:rsid w:val="00D66F8C"/>
    <w:rsid w:val="00D70797"/>
    <w:rsid w:val="00D70DF0"/>
    <w:rsid w:val="00D72BE9"/>
    <w:rsid w:val="00D73F64"/>
    <w:rsid w:val="00D775E0"/>
    <w:rsid w:val="00D77BF5"/>
    <w:rsid w:val="00D82A81"/>
    <w:rsid w:val="00D875B7"/>
    <w:rsid w:val="00D9084B"/>
    <w:rsid w:val="00D9144F"/>
    <w:rsid w:val="00D9147D"/>
    <w:rsid w:val="00D91637"/>
    <w:rsid w:val="00D957AB"/>
    <w:rsid w:val="00D962B3"/>
    <w:rsid w:val="00DA0FC4"/>
    <w:rsid w:val="00DA1094"/>
    <w:rsid w:val="00DA3D09"/>
    <w:rsid w:val="00DA5FAE"/>
    <w:rsid w:val="00DA6668"/>
    <w:rsid w:val="00DA6D0A"/>
    <w:rsid w:val="00DA771E"/>
    <w:rsid w:val="00DA7E4B"/>
    <w:rsid w:val="00DB0791"/>
    <w:rsid w:val="00DB379B"/>
    <w:rsid w:val="00DB38FF"/>
    <w:rsid w:val="00DB67ED"/>
    <w:rsid w:val="00DC00A2"/>
    <w:rsid w:val="00DC034B"/>
    <w:rsid w:val="00DC7390"/>
    <w:rsid w:val="00DC763A"/>
    <w:rsid w:val="00DC7903"/>
    <w:rsid w:val="00DD007D"/>
    <w:rsid w:val="00DD345F"/>
    <w:rsid w:val="00DD4E9D"/>
    <w:rsid w:val="00DD6DA0"/>
    <w:rsid w:val="00DE1F7A"/>
    <w:rsid w:val="00DE2642"/>
    <w:rsid w:val="00DE2DA1"/>
    <w:rsid w:val="00DE42E1"/>
    <w:rsid w:val="00DE4849"/>
    <w:rsid w:val="00DF2316"/>
    <w:rsid w:val="00DF30DF"/>
    <w:rsid w:val="00DF50CB"/>
    <w:rsid w:val="00DF5D3C"/>
    <w:rsid w:val="00DF6607"/>
    <w:rsid w:val="00DF6DD4"/>
    <w:rsid w:val="00DF749B"/>
    <w:rsid w:val="00E01563"/>
    <w:rsid w:val="00E031FB"/>
    <w:rsid w:val="00E07AD8"/>
    <w:rsid w:val="00E11EF3"/>
    <w:rsid w:val="00E15CBC"/>
    <w:rsid w:val="00E17549"/>
    <w:rsid w:val="00E1778E"/>
    <w:rsid w:val="00E23AEC"/>
    <w:rsid w:val="00E24B29"/>
    <w:rsid w:val="00E252CD"/>
    <w:rsid w:val="00E27E3F"/>
    <w:rsid w:val="00E31264"/>
    <w:rsid w:val="00E3299D"/>
    <w:rsid w:val="00E3483D"/>
    <w:rsid w:val="00E34F6D"/>
    <w:rsid w:val="00E3576C"/>
    <w:rsid w:val="00E360C5"/>
    <w:rsid w:val="00E36535"/>
    <w:rsid w:val="00E36573"/>
    <w:rsid w:val="00E37575"/>
    <w:rsid w:val="00E415CF"/>
    <w:rsid w:val="00E4285D"/>
    <w:rsid w:val="00E440AB"/>
    <w:rsid w:val="00E45FD8"/>
    <w:rsid w:val="00E501DC"/>
    <w:rsid w:val="00E52BF5"/>
    <w:rsid w:val="00E52D4B"/>
    <w:rsid w:val="00E537AD"/>
    <w:rsid w:val="00E543D7"/>
    <w:rsid w:val="00E56F93"/>
    <w:rsid w:val="00E57E7F"/>
    <w:rsid w:val="00E624E0"/>
    <w:rsid w:val="00E638A6"/>
    <w:rsid w:val="00E667FB"/>
    <w:rsid w:val="00E70A28"/>
    <w:rsid w:val="00E70E4C"/>
    <w:rsid w:val="00E719BA"/>
    <w:rsid w:val="00E72678"/>
    <w:rsid w:val="00E73A9D"/>
    <w:rsid w:val="00E751D1"/>
    <w:rsid w:val="00E76DA2"/>
    <w:rsid w:val="00E87873"/>
    <w:rsid w:val="00E878E2"/>
    <w:rsid w:val="00E91C05"/>
    <w:rsid w:val="00E94C2E"/>
    <w:rsid w:val="00E94DD2"/>
    <w:rsid w:val="00EA0044"/>
    <w:rsid w:val="00EA0129"/>
    <w:rsid w:val="00EA1243"/>
    <w:rsid w:val="00EA171F"/>
    <w:rsid w:val="00EA1FB9"/>
    <w:rsid w:val="00EA2C08"/>
    <w:rsid w:val="00EA2EBA"/>
    <w:rsid w:val="00EA3C4E"/>
    <w:rsid w:val="00EA597B"/>
    <w:rsid w:val="00EA69AC"/>
    <w:rsid w:val="00EA76A6"/>
    <w:rsid w:val="00EA7B5A"/>
    <w:rsid w:val="00EB35A5"/>
    <w:rsid w:val="00EB4835"/>
    <w:rsid w:val="00EB4C9D"/>
    <w:rsid w:val="00EB6304"/>
    <w:rsid w:val="00EB684E"/>
    <w:rsid w:val="00EC0173"/>
    <w:rsid w:val="00EC25CF"/>
    <w:rsid w:val="00EC4694"/>
    <w:rsid w:val="00EC4746"/>
    <w:rsid w:val="00EC4E74"/>
    <w:rsid w:val="00EC5360"/>
    <w:rsid w:val="00EC7D68"/>
    <w:rsid w:val="00ED0AEC"/>
    <w:rsid w:val="00ED2B9C"/>
    <w:rsid w:val="00ED5BCD"/>
    <w:rsid w:val="00ED6763"/>
    <w:rsid w:val="00EE1321"/>
    <w:rsid w:val="00EE32C9"/>
    <w:rsid w:val="00EE3586"/>
    <w:rsid w:val="00EE4069"/>
    <w:rsid w:val="00EE4264"/>
    <w:rsid w:val="00EE699E"/>
    <w:rsid w:val="00EE7D55"/>
    <w:rsid w:val="00EF040F"/>
    <w:rsid w:val="00EF0994"/>
    <w:rsid w:val="00EF1678"/>
    <w:rsid w:val="00EF6C40"/>
    <w:rsid w:val="00EF6D82"/>
    <w:rsid w:val="00F031BC"/>
    <w:rsid w:val="00F05002"/>
    <w:rsid w:val="00F06D80"/>
    <w:rsid w:val="00F078E1"/>
    <w:rsid w:val="00F13471"/>
    <w:rsid w:val="00F14FF9"/>
    <w:rsid w:val="00F1554E"/>
    <w:rsid w:val="00F17A30"/>
    <w:rsid w:val="00F20D35"/>
    <w:rsid w:val="00F23554"/>
    <w:rsid w:val="00F26571"/>
    <w:rsid w:val="00F2665B"/>
    <w:rsid w:val="00F30309"/>
    <w:rsid w:val="00F30838"/>
    <w:rsid w:val="00F43BA7"/>
    <w:rsid w:val="00F4536C"/>
    <w:rsid w:val="00F47759"/>
    <w:rsid w:val="00F50AE6"/>
    <w:rsid w:val="00F518B1"/>
    <w:rsid w:val="00F51AF9"/>
    <w:rsid w:val="00F5271B"/>
    <w:rsid w:val="00F535F9"/>
    <w:rsid w:val="00F53C98"/>
    <w:rsid w:val="00F55531"/>
    <w:rsid w:val="00F5570C"/>
    <w:rsid w:val="00F5669C"/>
    <w:rsid w:val="00F567E0"/>
    <w:rsid w:val="00F5781A"/>
    <w:rsid w:val="00F57CE1"/>
    <w:rsid w:val="00F611A4"/>
    <w:rsid w:val="00F628F0"/>
    <w:rsid w:val="00F62DEC"/>
    <w:rsid w:val="00F70E96"/>
    <w:rsid w:val="00F71C4B"/>
    <w:rsid w:val="00F72A5E"/>
    <w:rsid w:val="00F73EE4"/>
    <w:rsid w:val="00F74068"/>
    <w:rsid w:val="00F74633"/>
    <w:rsid w:val="00F747CA"/>
    <w:rsid w:val="00F74889"/>
    <w:rsid w:val="00F770F8"/>
    <w:rsid w:val="00F7791D"/>
    <w:rsid w:val="00F77CC4"/>
    <w:rsid w:val="00F77E43"/>
    <w:rsid w:val="00F84164"/>
    <w:rsid w:val="00F909EF"/>
    <w:rsid w:val="00F92126"/>
    <w:rsid w:val="00F92EA4"/>
    <w:rsid w:val="00F93590"/>
    <w:rsid w:val="00F942D4"/>
    <w:rsid w:val="00F962F4"/>
    <w:rsid w:val="00F96A83"/>
    <w:rsid w:val="00F97CE6"/>
    <w:rsid w:val="00FA28F4"/>
    <w:rsid w:val="00FA4160"/>
    <w:rsid w:val="00FA4E00"/>
    <w:rsid w:val="00FA5E1A"/>
    <w:rsid w:val="00FB40CE"/>
    <w:rsid w:val="00FB4EC1"/>
    <w:rsid w:val="00FB5943"/>
    <w:rsid w:val="00FB599B"/>
    <w:rsid w:val="00FB67F2"/>
    <w:rsid w:val="00FB7B59"/>
    <w:rsid w:val="00FB7CB2"/>
    <w:rsid w:val="00FC2FBC"/>
    <w:rsid w:val="00FC3BCE"/>
    <w:rsid w:val="00FC4679"/>
    <w:rsid w:val="00FC55C5"/>
    <w:rsid w:val="00FC62C6"/>
    <w:rsid w:val="00FC6E50"/>
    <w:rsid w:val="00FD0608"/>
    <w:rsid w:val="00FD07C1"/>
    <w:rsid w:val="00FD131E"/>
    <w:rsid w:val="00FD4D08"/>
    <w:rsid w:val="00FD65D4"/>
    <w:rsid w:val="00FD66AC"/>
    <w:rsid w:val="00FE5FA8"/>
    <w:rsid w:val="00FE6577"/>
    <w:rsid w:val="00FE7308"/>
    <w:rsid w:val="00FF2D1F"/>
    <w:rsid w:val="00FF40E9"/>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90B53"/>
    <w:pPr>
      <w:keepNext/>
      <w:keepLines/>
      <w:bidi/>
      <w:spacing w:before="80" w:after="40" w:line="240" w:lineRule="atLeast"/>
      <w:outlineLvl w:val="4"/>
    </w:pPr>
    <w:rPr>
      <w:rFonts w:ascii="Georgia" w:eastAsiaTheme="majorEastAsia" w:cstheme="majorBidi"/>
      <w:color w:val="365F91" w:themeColor="accent1" w:themeShade="BF"/>
      <w:sz w:val="21"/>
      <w:lang w:val="ar-SA"/>
    </w:rPr>
  </w:style>
  <w:style w:type="paragraph" w:styleId="6">
    <w:name w:val="heading 6"/>
    <w:basedOn w:val="a"/>
    <w:next w:val="a"/>
    <w:link w:val="6Char"/>
    <w:uiPriority w:val="9"/>
    <w:semiHidden/>
    <w:unhideWhenUsed/>
    <w:qFormat/>
    <w:rsid w:val="00390B53"/>
    <w:pPr>
      <w:keepNext/>
      <w:keepLines/>
      <w:bidi/>
      <w:spacing w:before="40" w:after="0" w:line="240" w:lineRule="atLeast"/>
      <w:outlineLvl w:val="5"/>
    </w:pPr>
    <w:rPr>
      <w:rFonts w:ascii="Georgia" w:eastAsiaTheme="majorEastAsia" w:cstheme="majorBidi"/>
      <w:i/>
      <w:iCs/>
      <w:color w:val="595959" w:themeColor="text1" w:themeTint="A6"/>
      <w:sz w:val="21"/>
      <w:lang w:val="ar-SA"/>
    </w:rPr>
  </w:style>
  <w:style w:type="paragraph" w:styleId="7">
    <w:name w:val="heading 7"/>
    <w:basedOn w:val="a"/>
    <w:next w:val="a"/>
    <w:link w:val="7Char"/>
    <w:uiPriority w:val="9"/>
    <w:semiHidden/>
    <w:unhideWhenUsed/>
    <w:qFormat/>
    <w:rsid w:val="00390B53"/>
    <w:pPr>
      <w:keepNext/>
      <w:keepLines/>
      <w:bidi/>
      <w:spacing w:before="40" w:after="0" w:line="240" w:lineRule="atLeast"/>
      <w:outlineLvl w:val="6"/>
    </w:pPr>
    <w:rPr>
      <w:rFonts w:ascii="Georgia" w:eastAsiaTheme="majorEastAsia" w:cstheme="majorBidi"/>
      <w:color w:val="595959" w:themeColor="text1" w:themeTint="A6"/>
      <w:sz w:val="21"/>
      <w:lang w:val="ar-SA"/>
    </w:rPr>
  </w:style>
  <w:style w:type="paragraph" w:styleId="8">
    <w:name w:val="heading 8"/>
    <w:basedOn w:val="a"/>
    <w:next w:val="a"/>
    <w:link w:val="8Char"/>
    <w:uiPriority w:val="9"/>
    <w:semiHidden/>
    <w:unhideWhenUsed/>
    <w:qFormat/>
    <w:rsid w:val="00390B53"/>
    <w:pPr>
      <w:keepNext/>
      <w:keepLines/>
      <w:bidi/>
      <w:spacing w:after="0" w:line="240" w:lineRule="atLeast"/>
      <w:outlineLvl w:val="7"/>
    </w:pPr>
    <w:rPr>
      <w:rFonts w:ascii="Georgia" w:eastAsiaTheme="majorEastAsia" w:cstheme="majorBidi"/>
      <w:i/>
      <w:iCs/>
      <w:color w:val="272727" w:themeColor="text1" w:themeTint="D8"/>
      <w:sz w:val="21"/>
      <w:lang w:val="ar-SA"/>
    </w:rPr>
  </w:style>
  <w:style w:type="paragraph" w:styleId="9">
    <w:name w:val="heading 9"/>
    <w:basedOn w:val="a"/>
    <w:next w:val="a"/>
    <w:link w:val="9Char"/>
    <w:uiPriority w:val="9"/>
    <w:semiHidden/>
    <w:unhideWhenUsed/>
    <w:qFormat/>
    <w:rsid w:val="00390B53"/>
    <w:pPr>
      <w:keepNext/>
      <w:keepLines/>
      <w:bidi/>
      <w:spacing w:after="0" w:line="240" w:lineRule="atLeast"/>
      <w:outlineLvl w:val="8"/>
    </w:pPr>
    <w:rPr>
      <w:rFonts w:ascii="Georgia" w:eastAsiaTheme="majorEastAsia" w:cstheme="majorBidi"/>
      <w:color w:val="272727" w:themeColor="text1" w:themeTint="D8"/>
      <w:sz w:val="21"/>
      <w:lang w:val="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 w:type="paragraph" w:customStyle="1" w:styleId="EndNoteCategoryHeading">
    <w:name w:val="EndNote Category Heading"/>
    <w:basedOn w:val="a"/>
    <w:link w:val="EndNoteCategoryHeadingChar"/>
    <w:rsid w:val="00807A51"/>
    <w:pPr>
      <w:spacing w:before="120" w:after="120"/>
    </w:pPr>
    <w:rPr>
      <w:b/>
      <w:noProof/>
    </w:rPr>
  </w:style>
  <w:style w:type="character" w:customStyle="1" w:styleId="EndNoteCategoryHeadingChar">
    <w:name w:val="EndNote Category Heading Char"/>
    <w:basedOn w:val="a0"/>
    <w:link w:val="EndNoteCategoryHeading"/>
    <w:rsid w:val="00807A51"/>
    <w:rPr>
      <w:b/>
      <w:noProof/>
    </w:rPr>
  </w:style>
  <w:style w:type="character" w:customStyle="1" w:styleId="5Char">
    <w:name w:val="عنوان 5 Char"/>
    <w:basedOn w:val="a0"/>
    <w:link w:val="5"/>
    <w:uiPriority w:val="9"/>
    <w:semiHidden/>
    <w:rsid w:val="00390B53"/>
    <w:rPr>
      <w:rFonts w:ascii="Georgia" w:eastAsiaTheme="majorEastAsia" w:cstheme="majorBidi"/>
      <w:color w:val="365F91" w:themeColor="accent1" w:themeShade="BF"/>
      <w:sz w:val="21"/>
      <w:lang w:val="ar-SA"/>
    </w:rPr>
  </w:style>
  <w:style w:type="character" w:customStyle="1" w:styleId="6Char">
    <w:name w:val="عنوان 6 Char"/>
    <w:basedOn w:val="a0"/>
    <w:link w:val="6"/>
    <w:uiPriority w:val="9"/>
    <w:semiHidden/>
    <w:rsid w:val="00390B53"/>
    <w:rPr>
      <w:rFonts w:ascii="Georgia" w:eastAsiaTheme="majorEastAsia" w:cstheme="majorBidi"/>
      <w:i/>
      <w:iCs/>
      <w:color w:val="595959" w:themeColor="text1" w:themeTint="A6"/>
      <w:sz w:val="21"/>
      <w:lang w:val="ar-SA"/>
    </w:rPr>
  </w:style>
  <w:style w:type="character" w:customStyle="1" w:styleId="7Char">
    <w:name w:val="عنوان 7 Char"/>
    <w:basedOn w:val="a0"/>
    <w:link w:val="7"/>
    <w:uiPriority w:val="9"/>
    <w:semiHidden/>
    <w:rsid w:val="00390B53"/>
    <w:rPr>
      <w:rFonts w:ascii="Georgia" w:eastAsiaTheme="majorEastAsia" w:cstheme="majorBidi"/>
      <w:color w:val="595959" w:themeColor="text1" w:themeTint="A6"/>
      <w:sz w:val="21"/>
      <w:lang w:val="ar-SA"/>
    </w:rPr>
  </w:style>
  <w:style w:type="character" w:customStyle="1" w:styleId="8Char">
    <w:name w:val="عنوان 8 Char"/>
    <w:basedOn w:val="a0"/>
    <w:link w:val="8"/>
    <w:uiPriority w:val="9"/>
    <w:semiHidden/>
    <w:rsid w:val="00390B53"/>
    <w:rPr>
      <w:rFonts w:ascii="Georgia" w:eastAsiaTheme="majorEastAsia" w:cstheme="majorBidi"/>
      <w:i/>
      <w:iCs/>
      <w:color w:val="272727" w:themeColor="text1" w:themeTint="D8"/>
      <w:sz w:val="21"/>
      <w:lang w:val="ar-SA"/>
    </w:rPr>
  </w:style>
  <w:style w:type="character" w:customStyle="1" w:styleId="9Char">
    <w:name w:val="عنوان 9 Char"/>
    <w:basedOn w:val="a0"/>
    <w:link w:val="9"/>
    <w:uiPriority w:val="9"/>
    <w:semiHidden/>
    <w:rsid w:val="00390B53"/>
    <w:rPr>
      <w:rFonts w:ascii="Georgia" w:eastAsiaTheme="majorEastAsia" w:cstheme="majorBidi"/>
      <w:color w:val="272727" w:themeColor="text1" w:themeTint="D8"/>
      <w:sz w:val="21"/>
      <w:lang w:val="ar-SA"/>
    </w:rPr>
  </w:style>
  <w:style w:type="paragraph" w:styleId="af">
    <w:name w:val="Quote"/>
    <w:basedOn w:val="a"/>
    <w:next w:val="a"/>
    <w:link w:val="Char4"/>
    <w:uiPriority w:val="29"/>
    <w:qFormat/>
    <w:rsid w:val="00390B53"/>
    <w:pPr>
      <w:bidi/>
      <w:spacing w:before="160" w:after="120" w:line="240" w:lineRule="atLeast"/>
      <w:jc w:val="center"/>
    </w:pPr>
    <w:rPr>
      <w:rFonts w:ascii="Georgia"/>
      <w:i/>
      <w:iCs/>
      <w:color w:val="404040" w:themeColor="text1" w:themeTint="BF"/>
      <w:sz w:val="21"/>
      <w:lang w:val="ar-SA"/>
    </w:rPr>
  </w:style>
  <w:style w:type="character" w:customStyle="1" w:styleId="Char4">
    <w:name w:val="اقتباس Char"/>
    <w:basedOn w:val="a0"/>
    <w:link w:val="af"/>
    <w:uiPriority w:val="29"/>
    <w:rsid w:val="00390B53"/>
    <w:rPr>
      <w:rFonts w:ascii="Georgia"/>
      <w:i/>
      <w:iCs/>
      <w:color w:val="404040" w:themeColor="text1" w:themeTint="BF"/>
      <w:sz w:val="21"/>
      <w:lang w:val="ar-SA"/>
    </w:rPr>
  </w:style>
  <w:style w:type="character" w:styleId="af0">
    <w:name w:val="Intense Emphasis"/>
    <w:basedOn w:val="a0"/>
    <w:uiPriority w:val="21"/>
    <w:qFormat/>
    <w:rsid w:val="00390B53"/>
    <w:rPr>
      <w:i/>
      <w:iCs/>
      <w:color w:val="365F91" w:themeColor="accent1" w:themeShade="BF"/>
    </w:rPr>
  </w:style>
  <w:style w:type="paragraph" w:styleId="af1">
    <w:name w:val="Intense Quote"/>
    <w:basedOn w:val="a"/>
    <w:next w:val="a"/>
    <w:link w:val="Char5"/>
    <w:uiPriority w:val="30"/>
    <w:qFormat/>
    <w:rsid w:val="00390B53"/>
    <w:pPr>
      <w:pBdr>
        <w:top w:val="single" w:sz="4" w:space="10" w:color="365F91" w:themeColor="accent1" w:themeShade="BF"/>
        <w:bottom w:val="single" w:sz="4" w:space="10" w:color="365F91" w:themeColor="accent1" w:themeShade="BF"/>
      </w:pBdr>
      <w:bidi/>
      <w:spacing w:before="360" w:after="360" w:line="240" w:lineRule="atLeast"/>
      <w:ind w:left="864" w:right="864"/>
      <w:jc w:val="center"/>
    </w:pPr>
    <w:rPr>
      <w:rFonts w:ascii="Georgia"/>
      <w:i/>
      <w:iCs/>
      <w:color w:val="365F91" w:themeColor="accent1" w:themeShade="BF"/>
      <w:sz w:val="21"/>
      <w:lang w:val="ar-SA"/>
    </w:rPr>
  </w:style>
  <w:style w:type="character" w:customStyle="1" w:styleId="Char5">
    <w:name w:val="اقتباس مكثف Char"/>
    <w:basedOn w:val="a0"/>
    <w:link w:val="af1"/>
    <w:uiPriority w:val="30"/>
    <w:rsid w:val="00390B53"/>
    <w:rPr>
      <w:rFonts w:ascii="Georgia"/>
      <w:i/>
      <w:iCs/>
      <w:color w:val="365F91" w:themeColor="accent1" w:themeShade="BF"/>
      <w:sz w:val="21"/>
      <w:lang w:val="ar-SA"/>
    </w:rPr>
  </w:style>
  <w:style w:type="character" w:styleId="af2">
    <w:name w:val="Intense Reference"/>
    <w:basedOn w:val="a0"/>
    <w:uiPriority w:val="32"/>
    <w:qFormat/>
    <w:rsid w:val="00390B53"/>
    <w:rPr>
      <w:b/>
      <w:bCs/>
      <w:smallCaps/>
      <w:color w:val="365F91" w:themeColor="accent1" w:themeShade="BF"/>
      <w:spacing w:val="5"/>
    </w:rPr>
  </w:style>
  <w:style w:type="table" w:styleId="10">
    <w:name w:val="Plain Table 1"/>
    <w:basedOn w:val="a1"/>
    <w:uiPriority w:val="41"/>
    <w:rsid w:val="00E07A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3">
    <w:name w:val="Grid Table Light"/>
    <w:basedOn w:val="a1"/>
    <w:uiPriority w:val="40"/>
    <w:rsid w:val="001D44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901/mjss.2015.v6n2s1p117" TargetMode="External"/><Relationship Id="rId18" Type="http://schemas.openxmlformats.org/officeDocument/2006/relationships/hyperlink" Target="https://doi.org/10.1037/0033-2909.103.3.411" TargetMode="External"/><Relationship Id="rId26" Type="http://schemas.openxmlformats.org/officeDocument/2006/relationships/hyperlink" Target="https://doi.org/https://www.health.sa/ar/clusters/al-jouf_health_cluster" TargetMode="External"/><Relationship Id="rId39" Type="http://schemas.openxmlformats.org/officeDocument/2006/relationships/hyperlink" Target="https://doi.org/10.1001/jama.293.21.2609" TargetMode="External"/><Relationship Id="rId21" Type="http://schemas.openxmlformats.org/officeDocument/2006/relationships/hyperlink" Target="https://doi.org/10.1177/0018726708094863" TargetMode="External"/><Relationship Id="rId34" Type="http://schemas.openxmlformats.org/officeDocument/2006/relationships/hyperlink" Target="https://doi.org/10.1037/0021-9010.91.4.946" TargetMode="External"/><Relationship Id="rId42" Type="http://schemas.openxmlformats.org/officeDocument/2006/relationships/hyperlink" Target="https://doi.org/10.1097/01.mlr.0000244635.61178.7a" TargetMode="External"/><Relationship Id="rId47" Type="http://schemas.openxmlformats.org/officeDocument/2006/relationships/header" Target="header1.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53/1371-000-073-027" TargetMode="External"/><Relationship Id="rId29" Type="http://schemas.openxmlformats.org/officeDocument/2006/relationships/hyperlink" Target="https://doi.org/10.1371/journal.pgph.0001085" TargetMode="External"/><Relationship Id="rId11" Type="http://schemas.openxmlformats.org/officeDocument/2006/relationships/hyperlink" Target="https://doi.org/10.15537/smj.2026.47.1.20250755" TargetMode="External"/><Relationship Id="rId24" Type="http://schemas.openxmlformats.org/officeDocument/2006/relationships/hyperlink" Target="https://doi.org/10.1108/ebr-11-2018-0203" TargetMode="External"/><Relationship Id="rId32" Type="http://schemas.openxmlformats.org/officeDocument/2006/relationships/hyperlink" Target="https://doi.org/10.5204/thesis.eprints.258274" TargetMode="External"/><Relationship Id="rId37" Type="http://schemas.openxmlformats.org/officeDocument/2006/relationships/hyperlink" Target="https://doi.org/10.1186/s13037-021-00286-6" TargetMode="External"/><Relationship Id="rId40" Type="http://schemas.openxmlformats.org/officeDocument/2006/relationships/hyperlink" Target="https://doi.org/10.1007/bf02301419" TargetMode="External"/><Relationship Id="rId45" Type="http://schemas.openxmlformats.org/officeDocument/2006/relationships/hyperlink" Target="https://doi.org/doi.org/10.52133/ijrsp.v3.36.5"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doi.org/10.1136/bmjoq-2023-002651" TargetMode="External"/><Relationship Id="rId19" Type="http://schemas.openxmlformats.org/officeDocument/2006/relationships/hyperlink" Target="https://doi.org/10.1097/PTS.0b013e31824badb7" TargetMode="External"/><Relationship Id="rId31" Type="http://schemas.openxmlformats.org/officeDocument/2006/relationships/hyperlink" Target="https://doi.org/10.7759/cureus.51159" TargetMode="External"/><Relationship Id="rId44" Type="http://schemas.openxmlformats.org/officeDocument/2006/relationships/hyperlink" Target="https://doi.org/10.21608/bjhs.2024.315754.126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36/bmjopen-2024-084741" TargetMode="External"/><Relationship Id="rId22" Type="http://schemas.openxmlformats.org/officeDocument/2006/relationships/hyperlink" Target="https://doi.org/10.1186/s12912-025-03043-7" TargetMode="External"/><Relationship Id="rId27" Type="http://schemas.openxmlformats.org/officeDocument/2006/relationships/hyperlink" Target="https://doi.org/10.1177/09720634211050463" TargetMode="External"/><Relationship Id="rId30" Type="http://schemas.openxmlformats.org/officeDocument/2006/relationships/hyperlink" Target="https://doi.org/10.1027/1866-5888/a000032" TargetMode="External"/><Relationship Id="rId35" Type="http://schemas.openxmlformats.org/officeDocument/2006/relationships/hyperlink" Target="https://doi.org/10.1037/0021-9010.88.5.879" TargetMode="External"/><Relationship Id="rId43" Type="http://schemas.openxmlformats.org/officeDocument/2006/relationships/hyperlink" Target="https://doi.org/10.1177/0013164413495237" TargetMode="Externa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1097/MD.0000000000024956" TargetMode="External"/><Relationship Id="rId17" Type="http://schemas.openxmlformats.org/officeDocument/2006/relationships/hyperlink" Target="https://doi.org/10.26389/ajsrp.M191021" TargetMode="External"/><Relationship Id="rId25" Type="http://schemas.openxmlformats.org/officeDocument/2006/relationships/hyperlink" Target="https://pdfs.semanticscholar.org/ba60/afd49d25f3a6df551bb3826d6c098202c00d.pdf" TargetMode="External"/><Relationship Id="rId33" Type="http://schemas.openxmlformats.org/officeDocument/2006/relationships/hyperlink" Target="https://eprints.qut.edu.au/258274/8/Talat%20Mohammed%20Thesis.pdf" TargetMode="External"/><Relationship Id="rId38" Type="http://schemas.openxmlformats.org/officeDocument/2006/relationships/hyperlink" Target="https://doi.org/10.1186/1472-6963-10-199" TargetMode="External"/><Relationship Id="rId46" Type="http://schemas.openxmlformats.org/officeDocument/2006/relationships/hyperlink" Target="https://doi.org/10.21608/masf.2019.68978" TargetMode="External"/><Relationship Id="rId20" Type="http://schemas.openxmlformats.org/officeDocument/2006/relationships/hyperlink" Target="https://doi.org/https://doi.org/10.1111/jan.15846" TargetMode="External"/><Relationship Id="rId41" Type="http://schemas.openxmlformats.org/officeDocument/2006/relationships/hyperlink" Target="https://doi.org/10.3176/proc.2023.3.0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2147/JMDH.S458718" TargetMode="External"/><Relationship Id="rId23" Type="http://schemas.openxmlformats.org/officeDocument/2006/relationships/hyperlink" Target="https://doi.org/10.1177/002224378101800104" TargetMode="External"/><Relationship Id="rId28" Type="http://schemas.openxmlformats.org/officeDocument/2006/relationships/hyperlink" Target="https://doi.org/10.6007/IJARBSS/v12-i1/12327" TargetMode="External"/><Relationship Id="rId36" Type="http://schemas.openxmlformats.org/officeDocument/2006/relationships/hyperlink" Target="https://doi.org/10.1016/1048-9843(90)90009-7" TargetMode="External"/><Relationship Id="rId4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69</Pages>
  <Words>31833</Words>
  <Characters>181454</Characters>
  <Application>Microsoft Office Word</Application>
  <DocSecurity>0</DocSecurity>
  <Lines>1512</Lines>
  <Paragraphs>425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Tarq HP</cp:lastModifiedBy>
  <cp:revision>91</cp:revision>
  <cp:lastPrinted>2025-08-21T18:43:00Z</cp:lastPrinted>
  <dcterms:created xsi:type="dcterms:W3CDTF">2026-06-18T19:49:00Z</dcterms:created>
  <dcterms:modified xsi:type="dcterms:W3CDTF">2026-07-01T09:11:00Z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