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942A97" w14:textId="77777777" w:rsidR="007A613E" w:rsidRPr="00F13B71" w:rsidRDefault="007A613E" w:rsidP="00ED10D0">
      <w:pPr>
        <w:bidi/>
        <w:spacing w:line="480" w:lineRule="auto"/>
        <w:ind w:firstLine="227"/>
        <w:jc w:val="lowKashida"/>
        <w:rPr>
          <w:rFonts w:asciiTheme="minorBidi" w:hAnsiTheme="minorBidi"/>
          <w:b/>
          <w:bCs/>
          <w:sz w:val="40"/>
          <w:szCs w:val="40"/>
        </w:rPr>
      </w:pPr>
      <w:r w:rsidRPr="00F13B71">
        <w:rPr>
          <w:rFonts w:asciiTheme="minorBidi" w:hAnsiTheme="minorBidi"/>
          <w:b/>
          <w:bCs/>
          <w:sz w:val="40"/>
          <w:szCs w:val="40"/>
          <w:rtl/>
        </w:rPr>
        <w:t>نماذج الأعمال الدائرية كمدخل لتحقيق الاستدامة</w:t>
      </w:r>
      <w:r w:rsidRPr="00F13B71">
        <w:rPr>
          <w:rFonts w:asciiTheme="minorBidi" w:hAnsiTheme="minorBidi"/>
          <w:b/>
          <w:bCs/>
          <w:sz w:val="40"/>
          <w:szCs w:val="40"/>
        </w:rPr>
        <w:t>:</w:t>
      </w:r>
    </w:p>
    <w:p w14:paraId="6F3294D5" w14:textId="630C7667" w:rsidR="007A613E" w:rsidRPr="00F13B71" w:rsidRDefault="007A613E" w:rsidP="00ED10D0">
      <w:pPr>
        <w:bidi/>
        <w:spacing w:line="480" w:lineRule="auto"/>
        <w:ind w:firstLine="227"/>
        <w:jc w:val="lowKashida"/>
        <w:rPr>
          <w:rFonts w:asciiTheme="minorBidi" w:hAnsiTheme="minorBidi"/>
          <w:b/>
          <w:bCs/>
          <w:sz w:val="40"/>
          <w:szCs w:val="40"/>
        </w:rPr>
      </w:pPr>
      <w:r w:rsidRPr="00F13B71">
        <w:rPr>
          <w:rFonts w:asciiTheme="minorBidi" w:hAnsiTheme="minorBidi"/>
          <w:b/>
          <w:bCs/>
          <w:sz w:val="40"/>
          <w:szCs w:val="40"/>
          <w:rtl/>
        </w:rPr>
        <w:t>دراسة تحليلية للخطط الاستراتيجية في قطاع الطاقة والمياه بنيوم</w:t>
      </w:r>
    </w:p>
    <w:p w14:paraId="02848F24" w14:textId="77777777" w:rsidR="007A613E" w:rsidRPr="00F13B71" w:rsidRDefault="007A613E" w:rsidP="00ED10D0">
      <w:pPr>
        <w:bidi/>
        <w:spacing w:line="480" w:lineRule="auto"/>
        <w:ind w:firstLine="227"/>
        <w:jc w:val="lowKashida"/>
        <w:rPr>
          <w:rFonts w:asciiTheme="minorBidi" w:hAnsiTheme="minorBidi"/>
          <w:sz w:val="36"/>
          <w:szCs w:val="36"/>
        </w:rPr>
      </w:pPr>
      <w:r w:rsidRPr="00F13B71">
        <w:rPr>
          <w:rFonts w:asciiTheme="minorBidi" w:hAnsiTheme="minorBidi"/>
          <w:sz w:val="36"/>
          <w:szCs w:val="36"/>
          <w:rtl/>
        </w:rPr>
        <w:t>الإطار النظري</w:t>
      </w:r>
    </w:p>
    <w:p w14:paraId="327410F3" w14:textId="77777777" w:rsidR="007A613E" w:rsidRPr="00F13B71" w:rsidRDefault="007A613E" w:rsidP="00ED10D0">
      <w:pPr>
        <w:bidi/>
        <w:spacing w:line="480" w:lineRule="auto"/>
        <w:ind w:firstLine="227"/>
        <w:jc w:val="lowKashida"/>
        <w:rPr>
          <w:rFonts w:asciiTheme="minorBidi" w:hAnsiTheme="minorBidi"/>
          <w:b/>
          <w:bCs/>
          <w:sz w:val="36"/>
          <w:szCs w:val="36"/>
        </w:rPr>
      </w:pPr>
      <w:r w:rsidRPr="00F13B71">
        <w:rPr>
          <w:rFonts w:asciiTheme="minorBidi" w:hAnsiTheme="minorBidi"/>
          <w:b/>
          <w:bCs/>
          <w:sz w:val="36"/>
          <w:szCs w:val="36"/>
          <w:rtl/>
        </w:rPr>
        <w:t>الفصل الأول: الإطار العام للدراسة</w:t>
      </w:r>
    </w:p>
    <w:p w14:paraId="29BB0EF3" w14:textId="3D2567E8" w:rsidR="007A613E" w:rsidRPr="00ED10D0" w:rsidRDefault="007B2CF5" w:rsidP="00ED10D0">
      <w:pPr>
        <w:bidi/>
        <w:spacing w:line="480" w:lineRule="auto"/>
        <w:ind w:firstLine="227"/>
        <w:rPr>
          <w:rFonts w:asciiTheme="minorBidi" w:hAnsiTheme="minorBidi"/>
          <w:b/>
          <w:bCs/>
          <w:sz w:val="32"/>
          <w:szCs w:val="32"/>
        </w:rPr>
      </w:pPr>
      <w:r w:rsidRPr="00ED10D0">
        <w:rPr>
          <w:rFonts w:asciiTheme="minorBidi" w:hAnsiTheme="minorBidi"/>
          <w:b/>
          <w:bCs/>
          <w:sz w:val="32"/>
          <w:szCs w:val="32"/>
        </w:rPr>
        <w:t xml:space="preserve">1.1 </w:t>
      </w:r>
      <w:r>
        <w:rPr>
          <w:rFonts w:asciiTheme="minorBidi" w:hAnsiTheme="minorBidi" w:hint="cs"/>
          <w:b/>
          <w:bCs/>
          <w:sz w:val="32"/>
          <w:szCs w:val="32"/>
          <w:rtl/>
        </w:rPr>
        <w:t>المقدمة</w:t>
      </w:r>
      <w:r w:rsidR="007A613E" w:rsidRPr="00ED10D0">
        <w:rPr>
          <w:rFonts w:asciiTheme="minorBidi" w:hAnsiTheme="minorBidi"/>
          <w:b/>
          <w:bCs/>
          <w:sz w:val="32"/>
          <w:szCs w:val="32"/>
        </w:rPr>
        <w:t>:</w:t>
      </w:r>
    </w:p>
    <w:p w14:paraId="08395480" w14:textId="77777777" w:rsidR="007A613E" w:rsidRPr="007A613E" w:rsidRDefault="007A613E" w:rsidP="00ED10D0">
      <w:pPr>
        <w:bidi/>
        <w:spacing w:line="480" w:lineRule="auto"/>
        <w:ind w:firstLine="227"/>
        <w:jc w:val="lowKashida"/>
        <w:rPr>
          <w:rFonts w:asciiTheme="minorBidi" w:hAnsiTheme="minorBidi"/>
          <w:sz w:val="28"/>
          <w:szCs w:val="28"/>
        </w:rPr>
      </w:pPr>
      <w:r w:rsidRPr="007A613E">
        <w:rPr>
          <w:rFonts w:asciiTheme="minorBidi" w:hAnsiTheme="minorBidi"/>
          <w:sz w:val="28"/>
          <w:szCs w:val="28"/>
          <w:rtl/>
        </w:rPr>
        <w:t xml:space="preserve">يشهد العالم تحولًا نموذجيًا من الاقتصاد الخطي التقليدي ، القائم على تسلسل: استخراج، تصنيع، تخلص، إلى نمط أكثر استدامة يُعرف بالاقتصاد الدائري ؛ ويُقصد به نظام صناعي مصمم عمدًا ليكون </w:t>
      </w:r>
      <w:proofErr w:type="spellStart"/>
      <w:r w:rsidRPr="007A613E">
        <w:rPr>
          <w:rFonts w:asciiTheme="minorBidi" w:hAnsiTheme="minorBidi"/>
          <w:sz w:val="28"/>
          <w:szCs w:val="28"/>
          <w:rtl/>
        </w:rPr>
        <w:t>ترميميًا</w:t>
      </w:r>
      <w:proofErr w:type="spellEnd"/>
      <w:r w:rsidRPr="007A613E">
        <w:rPr>
          <w:rFonts w:asciiTheme="minorBidi" w:hAnsiTheme="minorBidi"/>
          <w:sz w:val="28"/>
          <w:szCs w:val="28"/>
          <w:rtl/>
        </w:rPr>
        <w:t xml:space="preserve"> وتجديديًا، بحيث يحافظ على المواد والمكونات والمنتجات في أعلى درجات الاستخدام والقيمة لأطول فترة ممكنة ، هذا التحول لم يعد خيارًا نظريًا، بل أصبح ضرورة تفرضها معطيات واقعية تتعلق بتناقص الموارد الطبيعية، وتفاقم التدهور البيئي، وتزايد الضغوط التنظيمية والمجتمعية وتُعد نماذج الأعمال الدائرية الأداة التنفيذية الرئيسة لتفعيل هذا التحول، فهي تعيد تعريف كيفية خلق القيمة وتقديمها والاستفادة منها عبر استراتيجيات تجارية وتشغيلية غير تقليدية، لا تقتصر على إعادة التدوير بل تشمل التصنيع المستدام، والإطالة المتعمدة لعمر المنتج وتدوير المواد داخل النظام الاقتصادي دون فقدان وظيفي كبير، في هذا السياق تبرز مدينة نيوم كمشروع متعدد الأبعاد، يتجاوز مفهوم المدن الذكية أو المشاريع العملاقة التقليدية، لتُشكل حالة استثنائية في تبنيها المعلن والصريح لمبادئ الاقتصاد الدائري، خصوصًا في قطاعي الطاقة والمياه. حيث وضعت تلك المبادئ في صميم خططها التنموية، هذا يجعل من نيوم حالة تطبيقية فريدة تستحق التحليل، ليس فقط بسبب طموحها التقني والبيئي، بل لأنها تُمثل تجربة حية لتوظيف نماذج الأعمال </w:t>
      </w:r>
      <w:r w:rsidRPr="007A613E">
        <w:rPr>
          <w:rFonts w:asciiTheme="minorBidi" w:hAnsiTheme="minorBidi"/>
          <w:sz w:val="28"/>
          <w:szCs w:val="28"/>
          <w:rtl/>
        </w:rPr>
        <w:lastRenderedPageBreak/>
        <w:t>الدائرية في مشروع ناشئ على نطاق واسع، ومن ثم تهدف هذه الدراسة إلى تحليل الاستراتيجيات المعلنة من قبل نيوم في هذا السياق، من خلال تفكيك الخطط الرسمية والتصريحات المؤسسية ذات الصلة، لفهم الكيفية التي تُدمج بها هذه النماذج في بنيتها التنظيمية والاقتصادية لتحقيق أهدافها في استدامة الطاقة والمياه، دون أن تدّعي هذه الورقة امتلاك إجابات نهائية، لكنها تحاول تقديم قراءة علمية أولية لما يمكن اعتباره تحولًا مفاهيميًا في تصميم المدن الجديدة</w:t>
      </w:r>
      <w:r w:rsidRPr="007A613E">
        <w:rPr>
          <w:rFonts w:asciiTheme="minorBidi" w:hAnsiTheme="minorBidi"/>
          <w:sz w:val="28"/>
          <w:szCs w:val="28"/>
        </w:rPr>
        <w:t>.</w:t>
      </w:r>
    </w:p>
    <w:p w14:paraId="1A6B6C46" w14:textId="77777777" w:rsidR="007A613E" w:rsidRPr="007A613E" w:rsidRDefault="007A613E" w:rsidP="00ED10D0">
      <w:pPr>
        <w:bidi/>
        <w:spacing w:line="480" w:lineRule="auto"/>
        <w:ind w:firstLine="227"/>
        <w:jc w:val="lowKashida"/>
        <w:rPr>
          <w:rFonts w:asciiTheme="minorBidi" w:hAnsiTheme="minorBidi"/>
          <w:sz w:val="28"/>
          <w:szCs w:val="28"/>
        </w:rPr>
      </w:pPr>
    </w:p>
    <w:p w14:paraId="26256EA1" w14:textId="77777777" w:rsidR="007A613E" w:rsidRPr="007B2CF5" w:rsidRDefault="007A613E" w:rsidP="00ED10D0">
      <w:pPr>
        <w:bidi/>
        <w:spacing w:line="480" w:lineRule="auto"/>
        <w:ind w:firstLine="227"/>
        <w:jc w:val="lowKashida"/>
        <w:rPr>
          <w:rFonts w:asciiTheme="minorBidi" w:hAnsiTheme="minorBidi"/>
          <w:b/>
          <w:bCs/>
          <w:sz w:val="32"/>
          <w:szCs w:val="32"/>
        </w:rPr>
      </w:pPr>
      <w:r w:rsidRPr="007B2CF5">
        <w:rPr>
          <w:rFonts w:asciiTheme="minorBidi" w:hAnsiTheme="minorBidi"/>
          <w:b/>
          <w:bCs/>
          <w:sz w:val="32"/>
          <w:szCs w:val="32"/>
        </w:rPr>
        <w:t xml:space="preserve">1.2 </w:t>
      </w:r>
      <w:r w:rsidRPr="007B2CF5">
        <w:rPr>
          <w:rFonts w:asciiTheme="minorBidi" w:hAnsiTheme="minorBidi"/>
          <w:b/>
          <w:bCs/>
          <w:sz w:val="32"/>
          <w:szCs w:val="32"/>
          <w:rtl/>
        </w:rPr>
        <w:t>مشكلة الدراسة</w:t>
      </w:r>
    </w:p>
    <w:p w14:paraId="0511EEFC" w14:textId="19771DAA" w:rsidR="007A613E" w:rsidRPr="007A613E" w:rsidRDefault="007A613E" w:rsidP="00ED10D0">
      <w:pPr>
        <w:bidi/>
        <w:spacing w:line="480" w:lineRule="auto"/>
        <w:ind w:firstLine="227"/>
        <w:jc w:val="lowKashida"/>
        <w:rPr>
          <w:rFonts w:asciiTheme="minorBidi" w:hAnsiTheme="minorBidi"/>
          <w:sz w:val="28"/>
          <w:szCs w:val="28"/>
        </w:rPr>
      </w:pPr>
      <w:r w:rsidRPr="007A613E">
        <w:rPr>
          <w:rFonts w:asciiTheme="minorBidi" w:hAnsiTheme="minorBidi"/>
          <w:sz w:val="28"/>
          <w:szCs w:val="28"/>
          <w:rtl/>
        </w:rPr>
        <w:t xml:space="preserve">على الرغم من الثراء النظري الملحوظ في أدبيات الاقتصاد الدائري، إلا أن الطابع الغالب على البحوث التطبيقية في هذا المجال يتمثل في تركيزها على تحليل شركات قائمة ضمن بيئات اقتصادية تقليدية، وهو ما يبرز إشكالية بحثية جوهرية، لا تتعلق فقط بندرة الدراسات الأكاديمية التي تتناول المشاريع المستقبلية العملاقة  بل تتعداها إلى إشكالية عملية ملموسة تواجه المختصين والمهتمين بمشروع نيوم، وتتمثل هذه الإشكالية في ما يمكن تسميته بحالة الغموض الاستراتيجي، وهي حالة تنشأ نتيجة التباين بين كثافة الرسائل الترويجية والطموحات المعلنة من جهة وغياب التحليل المنهجي والمستقل الذي يضع تلك الرسائل ضمن إطار علمي من جهة أخرى. هذا الغموض لا يُعد مجرد إرباك معرفي، بل يشكّل عائقًا فعليًا أمام فئات متعددة مثل الباحثين والمستثمرين وصُنّاع السياسات، حيث إنهم يفتقرون إلى مرجع أكاديمي رصين يمكن من خلاله التحقق من مدى اتساق التصورات المعلنة مع المبادئ المعتمدة عالميًا للاقتصاد الدائري، أو فهم البنية الفعلية لنماذج الأعمال المقترحة في سياق المشروع، ومن هنا فإن هذه الدراسة لا تهدف فقط إلى سد فجوة قائمة في الأدبيات، بل تسعى إلى تقديم إطار تحليلي يُسهم في معالجة هذا الغموض، ويوفر قاعدة </w:t>
      </w:r>
      <w:r w:rsidRPr="007A613E">
        <w:rPr>
          <w:rFonts w:asciiTheme="minorBidi" w:hAnsiTheme="minorBidi"/>
          <w:sz w:val="28"/>
          <w:szCs w:val="28"/>
          <w:rtl/>
        </w:rPr>
        <w:lastRenderedPageBreak/>
        <w:t>معرفية تساعد على فهم استراتيجية نيوم في ضوء المعايير العلمية، بما يسمح بإجراء تقييم أكثر دقة وموضوعية وعمقًا للنهج المتبع في توظيف نماذج الأعمال الدائرية ضمن المشروع</w:t>
      </w:r>
      <w:r w:rsidRPr="007A613E">
        <w:rPr>
          <w:rFonts w:asciiTheme="minorBidi" w:hAnsiTheme="minorBidi"/>
          <w:sz w:val="28"/>
          <w:szCs w:val="28"/>
        </w:rPr>
        <w:t>.</w:t>
      </w:r>
    </w:p>
    <w:p w14:paraId="1C09DA85" w14:textId="77777777" w:rsidR="007A613E" w:rsidRPr="001576A8" w:rsidRDefault="007A613E" w:rsidP="00ED10D0">
      <w:pPr>
        <w:bidi/>
        <w:spacing w:line="480" w:lineRule="auto"/>
        <w:ind w:firstLine="227"/>
        <w:jc w:val="lowKashida"/>
        <w:rPr>
          <w:rFonts w:asciiTheme="minorBidi" w:hAnsiTheme="minorBidi"/>
          <w:b/>
          <w:bCs/>
          <w:sz w:val="32"/>
          <w:szCs w:val="32"/>
        </w:rPr>
      </w:pPr>
      <w:r w:rsidRPr="001576A8">
        <w:rPr>
          <w:rFonts w:asciiTheme="minorBidi" w:hAnsiTheme="minorBidi"/>
          <w:b/>
          <w:bCs/>
          <w:sz w:val="32"/>
          <w:szCs w:val="32"/>
        </w:rPr>
        <w:t xml:space="preserve">1.3 </w:t>
      </w:r>
      <w:r w:rsidRPr="001576A8">
        <w:rPr>
          <w:rFonts w:asciiTheme="minorBidi" w:hAnsiTheme="minorBidi"/>
          <w:b/>
          <w:bCs/>
          <w:sz w:val="32"/>
          <w:szCs w:val="32"/>
          <w:rtl/>
        </w:rPr>
        <w:t>أهمية الدراسة</w:t>
      </w:r>
    </w:p>
    <w:p w14:paraId="4110D0CC" w14:textId="77777777" w:rsidR="007A613E" w:rsidRPr="007A613E" w:rsidRDefault="007A613E" w:rsidP="00ED10D0">
      <w:pPr>
        <w:bidi/>
        <w:spacing w:line="480" w:lineRule="auto"/>
        <w:ind w:firstLine="227"/>
        <w:jc w:val="lowKashida"/>
        <w:rPr>
          <w:rFonts w:asciiTheme="minorBidi" w:hAnsiTheme="minorBidi"/>
          <w:sz w:val="28"/>
          <w:szCs w:val="28"/>
        </w:rPr>
      </w:pPr>
      <w:r w:rsidRPr="007A613E">
        <w:rPr>
          <w:rFonts w:asciiTheme="minorBidi" w:hAnsiTheme="minorBidi"/>
          <w:sz w:val="28"/>
          <w:szCs w:val="28"/>
          <w:rtl/>
        </w:rPr>
        <w:t>تستمد هذه الدراسة أهميتها من مساهمتها المزدوجة، حيث تقدم قيمة مضافة على المستويين العلمي والتطبيقي. على الصعيد العلمي، تكمن الأهمية في كون هذه الدراسة تقدم مساهمة نوعية للأدبيات الأكاديمية، فهي من أوائل الدراسات التي تطبق أطر تحليل نماذج الأعمال الدائرية على حالة فريدة وغير مسبوقة لمشروع عملاق يبدأ من الصفر، مما يفتح آفاقًا جديدة للبحث في هذا المجال، علاوة على ذلك، تقدم الدراسة نموذجًا منهجيًا يمكن للباحثين الآخرين اتباعه لدراسة المشاريع المماثلة التي يصعب الوصول إليها ميدانيًا، وبذلك فإن نتائجها ستشكل مرجعًا تأسيسيًا يمكن البناء عليه في دراسات مستقبلية. على الصعيد التطبيقي، تنبع الأهمية العملية لهذا البحث من كونه يقدم أداة لدعم القرار للجهات المعنية بمشروع نيوم، فمن خلال تحويل المعلومات العامة والمتفرقة إلى تحليل استراتيجي منظم، توفر الدراسة للمستثمرين، والشركاء المحتملين، وصناع السياسات تحليلًا تأسيسيًا يمكنهم من خلاله فهم استراتيجية نيوم بعمق، هذا التحليل يساعد على تقييم الفرص والمخاطر بشكل أفضل، ويؤسس لمقارنات معيارية مع أفضل الممارسات العالمية، مما يعزز من شفافية المشروع ويدعم اتخاذ قرارات أكثر استنارة</w:t>
      </w:r>
      <w:r w:rsidRPr="007A613E">
        <w:rPr>
          <w:rFonts w:asciiTheme="minorBidi" w:hAnsiTheme="minorBidi"/>
          <w:sz w:val="28"/>
          <w:szCs w:val="28"/>
        </w:rPr>
        <w:t>.</w:t>
      </w:r>
    </w:p>
    <w:p w14:paraId="3D26E997" w14:textId="77777777" w:rsidR="007A613E" w:rsidRPr="00744C17" w:rsidRDefault="007A613E" w:rsidP="00ED10D0">
      <w:pPr>
        <w:bidi/>
        <w:spacing w:line="480" w:lineRule="auto"/>
        <w:ind w:firstLine="227"/>
        <w:jc w:val="lowKashida"/>
        <w:rPr>
          <w:rFonts w:asciiTheme="minorBidi" w:hAnsiTheme="minorBidi"/>
          <w:b/>
          <w:bCs/>
          <w:sz w:val="32"/>
          <w:szCs w:val="32"/>
        </w:rPr>
      </w:pPr>
      <w:r w:rsidRPr="00744C17">
        <w:rPr>
          <w:rFonts w:asciiTheme="minorBidi" w:hAnsiTheme="minorBidi"/>
          <w:b/>
          <w:bCs/>
          <w:sz w:val="32"/>
          <w:szCs w:val="32"/>
        </w:rPr>
        <w:t xml:space="preserve">1.4 </w:t>
      </w:r>
      <w:r w:rsidRPr="00744C17">
        <w:rPr>
          <w:rFonts w:asciiTheme="minorBidi" w:hAnsiTheme="minorBidi"/>
          <w:b/>
          <w:bCs/>
          <w:sz w:val="32"/>
          <w:szCs w:val="32"/>
          <w:rtl/>
        </w:rPr>
        <w:t>أهداف الدراسة</w:t>
      </w:r>
    </w:p>
    <w:p w14:paraId="18DC2AA3" w14:textId="77777777" w:rsidR="007A613E" w:rsidRPr="007A613E" w:rsidRDefault="007A613E" w:rsidP="00ED10D0">
      <w:pPr>
        <w:bidi/>
        <w:spacing w:line="480" w:lineRule="auto"/>
        <w:ind w:firstLine="227"/>
        <w:jc w:val="lowKashida"/>
        <w:rPr>
          <w:rFonts w:asciiTheme="minorBidi" w:hAnsiTheme="minorBidi"/>
          <w:sz w:val="28"/>
          <w:szCs w:val="28"/>
        </w:rPr>
      </w:pPr>
      <w:r w:rsidRPr="007A613E">
        <w:rPr>
          <w:rFonts w:asciiTheme="minorBidi" w:hAnsiTheme="minorBidi"/>
          <w:sz w:val="28"/>
          <w:szCs w:val="28"/>
          <w:rtl/>
        </w:rPr>
        <w:t>لتحقيق الغرض من البحث، تم تحديد الأهداف التالية</w:t>
      </w:r>
      <w:r w:rsidRPr="007A613E">
        <w:rPr>
          <w:rFonts w:asciiTheme="minorBidi" w:hAnsiTheme="minorBidi"/>
          <w:sz w:val="28"/>
          <w:szCs w:val="28"/>
        </w:rPr>
        <w:t>:</w:t>
      </w:r>
    </w:p>
    <w:p w14:paraId="515C6E74" w14:textId="77777777" w:rsidR="007A613E" w:rsidRPr="007A613E" w:rsidRDefault="007A613E" w:rsidP="00ED10D0">
      <w:pPr>
        <w:bidi/>
        <w:spacing w:line="480" w:lineRule="auto"/>
        <w:ind w:firstLine="227"/>
        <w:jc w:val="lowKashida"/>
        <w:rPr>
          <w:rFonts w:asciiTheme="minorBidi" w:hAnsiTheme="minorBidi"/>
          <w:sz w:val="28"/>
          <w:szCs w:val="28"/>
        </w:rPr>
      </w:pPr>
      <w:r w:rsidRPr="007A613E">
        <w:rPr>
          <w:rFonts w:asciiTheme="minorBidi" w:hAnsiTheme="minorBidi"/>
          <w:sz w:val="28"/>
          <w:szCs w:val="28"/>
        </w:rPr>
        <w:t>•</w:t>
      </w:r>
      <w:r w:rsidRPr="007A613E">
        <w:rPr>
          <w:rFonts w:asciiTheme="minorBidi" w:hAnsiTheme="minorBidi"/>
          <w:sz w:val="28"/>
          <w:szCs w:val="28"/>
        </w:rPr>
        <w:tab/>
      </w:r>
      <w:r w:rsidRPr="007A613E">
        <w:rPr>
          <w:rFonts w:asciiTheme="minorBidi" w:hAnsiTheme="minorBidi"/>
          <w:sz w:val="28"/>
          <w:szCs w:val="28"/>
          <w:rtl/>
        </w:rPr>
        <w:t>رصد وتصنيف نماذج الأعمال الدائرية المعلن عنها في قطاع الطاقة والمياه بنيوم</w:t>
      </w:r>
      <w:r w:rsidRPr="007A613E">
        <w:rPr>
          <w:rFonts w:asciiTheme="minorBidi" w:hAnsiTheme="minorBidi"/>
          <w:sz w:val="28"/>
          <w:szCs w:val="28"/>
        </w:rPr>
        <w:t>.</w:t>
      </w:r>
    </w:p>
    <w:p w14:paraId="62063DAB" w14:textId="77777777" w:rsidR="007A613E" w:rsidRPr="007A613E" w:rsidRDefault="007A613E" w:rsidP="00ED10D0">
      <w:pPr>
        <w:bidi/>
        <w:spacing w:line="480" w:lineRule="auto"/>
        <w:ind w:firstLine="227"/>
        <w:jc w:val="lowKashida"/>
        <w:rPr>
          <w:rFonts w:asciiTheme="minorBidi" w:hAnsiTheme="minorBidi"/>
          <w:sz w:val="28"/>
          <w:szCs w:val="28"/>
        </w:rPr>
      </w:pPr>
      <w:r w:rsidRPr="007A613E">
        <w:rPr>
          <w:rFonts w:asciiTheme="minorBidi" w:hAnsiTheme="minorBidi"/>
          <w:sz w:val="28"/>
          <w:szCs w:val="28"/>
        </w:rPr>
        <w:t>•</w:t>
      </w:r>
      <w:r w:rsidRPr="007A613E">
        <w:rPr>
          <w:rFonts w:asciiTheme="minorBidi" w:hAnsiTheme="minorBidi"/>
          <w:sz w:val="28"/>
          <w:szCs w:val="28"/>
        </w:rPr>
        <w:tab/>
      </w:r>
      <w:r w:rsidRPr="007A613E">
        <w:rPr>
          <w:rFonts w:asciiTheme="minorBidi" w:hAnsiTheme="minorBidi"/>
          <w:sz w:val="28"/>
          <w:szCs w:val="28"/>
          <w:rtl/>
        </w:rPr>
        <w:t>تحليل الدوافع الاستراتيجية لهذه النماذج كما وردت في وثائق المشروع</w:t>
      </w:r>
      <w:r w:rsidRPr="007A613E">
        <w:rPr>
          <w:rFonts w:asciiTheme="minorBidi" w:hAnsiTheme="minorBidi"/>
          <w:sz w:val="28"/>
          <w:szCs w:val="28"/>
        </w:rPr>
        <w:t>.</w:t>
      </w:r>
    </w:p>
    <w:p w14:paraId="2478A7AF" w14:textId="77777777" w:rsidR="007A613E" w:rsidRPr="007A613E" w:rsidRDefault="007A613E" w:rsidP="00ED10D0">
      <w:pPr>
        <w:bidi/>
        <w:spacing w:line="480" w:lineRule="auto"/>
        <w:ind w:firstLine="227"/>
        <w:jc w:val="lowKashida"/>
        <w:rPr>
          <w:rFonts w:asciiTheme="minorBidi" w:hAnsiTheme="minorBidi"/>
          <w:sz w:val="28"/>
          <w:szCs w:val="28"/>
        </w:rPr>
      </w:pPr>
      <w:r w:rsidRPr="007A613E">
        <w:rPr>
          <w:rFonts w:asciiTheme="minorBidi" w:hAnsiTheme="minorBidi"/>
          <w:sz w:val="28"/>
          <w:szCs w:val="28"/>
        </w:rPr>
        <w:lastRenderedPageBreak/>
        <w:t>•</w:t>
      </w:r>
      <w:r w:rsidRPr="007A613E">
        <w:rPr>
          <w:rFonts w:asciiTheme="minorBidi" w:hAnsiTheme="minorBidi"/>
          <w:sz w:val="28"/>
          <w:szCs w:val="28"/>
        </w:rPr>
        <w:tab/>
      </w:r>
      <w:r w:rsidRPr="007A613E">
        <w:rPr>
          <w:rFonts w:asciiTheme="minorBidi" w:hAnsiTheme="minorBidi"/>
          <w:sz w:val="28"/>
          <w:szCs w:val="28"/>
          <w:rtl/>
        </w:rPr>
        <w:t>استخلاص الأهداف المستدامة الرئيسية التي ترتبط بكل نموذج عمل معلن</w:t>
      </w:r>
      <w:r w:rsidRPr="007A613E">
        <w:rPr>
          <w:rFonts w:asciiTheme="minorBidi" w:hAnsiTheme="minorBidi"/>
          <w:sz w:val="28"/>
          <w:szCs w:val="28"/>
        </w:rPr>
        <w:t>.</w:t>
      </w:r>
    </w:p>
    <w:p w14:paraId="43C5A0E4" w14:textId="77777777" w:rsidR="007A613E" w:rsidRPr="00744C17" w:rsidRDefault="007A613E" w:rsidP="00ED10D0">
      <w:pPr>
        <w:bidi/>
        <w:spacing w:line="480" w:lineRule="auto"/>
        <w:ind w:firstLine="227"/>
        <w:jc w:val="lowKashida"/>
        <w:rPr>
          <w:rFonts w:asciiTheme="minorBidi" w:hAnsiTheme="minorBidi"/>
          <w:b/>
          <w:bCs/>
          <w:sz w:val="32"/>
          <w:szCs w:val="32"/>
        </w:rPr>
      </w:pPr>
      <w:r w:rsidRPr="00744C17">
        <w:rPr>
          <w:rFonts w:asciiTheme="minorBidi" w:hAnsiTheme="minorBidi"/>
          <w:b/>
          <w:bCs/>
          <w:sz w:val="32"/>
          <w:szCs w:val="32"/>
        </w:rPr>
        <w:t xml:space="preserve">1.5 </w:t>
      </w:r>
      <w:r w:rsidRPr="00744C17">
        <w:rPr>
          <w:rFonts w:asciiTheme="minorBidi" w:hAnsiTheme="minorBidi"/>
          <w:b/>
          <w:bCs/>
          <w:sz w:val="32"/>
          <w:szCs w:val="32"/>
          <w:rtl/>
        </w:rPr>
        <w:t>تساؤلات الدراسة</w:t>
      </w:r>
    </w:p>
    <w:p w14:paraId="0FBA2D23" w14:textId="77777777" w:rsidR="007A613E" w:rsidRPr="007A613E" w:rsidRDefault="007A613E" w:rsidP="00ED10D0">
      <w:pPr>
        <w:bidi/>
        <w:spacing w:line="480" w:lineRule="auto"/>
        <w:ind w:firstLine="227"/>
        <w:jc w:val="lowKashida"/>
        <w:rPr>
          <w:rFonts w:asciiTheme="minorBidi" w:hAnsiTheme="minorBidi"/>
          <w:sz w:val="28"/>
          <w:szCs w:val="28"/>
        </w:rPr>
      </w:pPr>
      <w:r w:rsidRPr="007A613E">
        <w:rPr>
          <w:rFonts w:asciiTheme="minorBidi" w:hAnsiTheme="minorBidi"/>
          <w:sz w:val="28"/>
          <w:szCs w:val="28"/>
          <w:rtl/>
        </w:rPr>
        <w:t>للوصول إلى هذه الأهداف، تسعى الدراسة للإجابة على التساؤل الرئيسي التالي: كيف تعكس الخطط الاستراتيجية لقطاعي الطاقة والمياه في نيوم تبنياً لنماذج الأعمال الدائرية كوسيلة لتحقيق الاستدامة؟ وللإجابة على هذا السؤال الرئيسي، تنبثق الأسئلة الفرعية التالية</w:t>
      </w:r>
      <w:r w:rsidRPr="007A613E">
        <w:rPr>
          <w:rFonts w:asciiTheme="minorBidi" w:hAnsiTheme="minorBidi"/>
          <w:sz w:val="28"/>
          <w:szCs w:val="28"/>
        </w:rPr>
        <w:t>:</w:t>
      </w:r>
    </w:p>
    <w:p w14:paraId="7462572D" w14:textId="77777777" w:rsidR="007A613E" w:rsidRPr="007A613E" w:rsidRDefault="007A613E" w:rsidP="00ED10D0">
      <w:pPr>
        <w:bidi/>
        <w:spacing w:line="480" w:lineRule="auto"/>
        <w:ind w:firstLine="227"/>
        <w:jc w:val="lowKashida"/>
        <w:rPr>
          <w:rFonts w:asciiTheme="minorBidi" w:hAnsiTheme="minorBidi"/>
          <w:sz w:val="28"/>
          <w:szCs w:val="28"/>
        </w:rPr>
      </w:pPr>
      <w:r w:rsidRPr="007A613E">
        <w:rPr>
          <w:rFonts w:asciiTheme="minorBidi" w:hAnsiTheme="minorBidi"/>
          <w:sz w:val="28"/>
          <w:szCs w:val="28"/>
        </w:rPr>
        <w:t>•</w:t>
      </w:r>
      <w:r w:rsidRPr="007A613E">
        <w:rPr>
          <w:rFonts w:asciiTheme="minorBidi" w:hAnsiTheme="minorBidi"/>
          <w:sz w:val="28"/>
          <w:szCs w:val="28"/>
        </w:rPr>
        <w:tab/>
      </w:r>
      <w:r w:rsidRPr="007A613E">
        <w:rPr>
          <w:rFonts w:asciiTheme="minorBidi" w:hAnsiTheme="minorBidi"/>
          <w:sz w:val="28"/>
          <w:szCs w:val="28"/>
          <w:rtl/>
        </w:rPr>
        <w:t>ما هي السمات والأنواع الرئيسية لنماذج الأعمال الدائرية التي تبرز في إعلانات نيوم الرسمية في قطاعي الطاقة والمياه؟</w:t>
      </w:r>
    </w:p>
    <w:p w14:paraId="7BB753C7" w14:textId="77777777" w:rsidR="007A613E" w:rsidRPr="007A613E" w:rsidRDefault="007A613E" w:rsidP="00ED10D0">
      <w:pPr>
        <w:bidi/>
        <w:spacing w:line="480" w:lineRule="auto"/>
        <w:ind w:firstLine="227"/>
        <w:jc w:val="lowKashida"/>
        <w:rPr>
          <w:rFonts w:asciiTheme="minorBidi" w:hAnsiTheme="minorBidi"/>
          <w:sz w:val="28"/>
          <w:szCs w:val="28"/>
        </w:rPr>
      </w:pPr>
      <w:r w:rsidRPr="007A613E">
        <w:rPr>
          <w:rFonts w:asciiTheme="minorBidi" w:hAnsiTheme="minorBidi"/>
          <w:sz w:val="28"/>
          <w:szCs w:val="28"/>
        </w:rPr>
        <w:t>•</w:t>
      </w:r>
      <w:r w:rsidRPr="007A613E">
        <w:rPr>
          <w:rFonts w:asciiTheme="minorBidi" w:hAnsiTheme="minorBidi"/>
          <w:sz w:val="28"/>
          <w:szCs w:val="28"/>
        </w:rPr>
        <w:tab/>
      </w:r>
      <w:r w:rsidRPr="007A613E">
        <w:rPr>
          <w:rFonts w:asciiTheme="minorBidi" w:hAnsiTheme="minorBidi"/>
          <w:sz w:val="28"/>
          <w:szCs w:val="28"/>
          <w:rtl/>
        </w:rPr>
        <w:t>كيف تربط استراتيجيات نيوم المعلنة بين هذه النماذج وأهداف محددة للاستدامة؟</w:t>
      </w:r>
    </w:p>
    <w:p w14:paraId="4315F201" w14:textId="77777777" w:rsidR="007A613E" w:rsidRPr="004A62AA" w:rsidRDefault="007A613E" w:rsidP="00ED10D0">
      <w:pPr>
        <w:bidi/>
        <w:spacing w:line="480" w:lineRule="auto"/>
        <w:ind w:firstLine="227"/>
        <w:jc w:val="lowKashida"/>
        <w:rPr>
          <w:rFonts w:asciiTheme="minorBidi" w:hAnsiTheme="minorBidi"/>
          <w:b/>
          <w:bCs/>
          <w:sz w:val="32"/>
          <w:szCs w:val="32"/>
        </w:rPr>
      </w:pPr>
      <w:r w:rsidRPr="004A62AA">
        <w:rPr>
          <w:rFonts w:asciiTheme="minorBidi" w:hAnsiTheme="minorBidi"/>
          <w:b/>
          <w:bCs/>
          <w:sz w:val="32"/>
          <w:szCs w:val="32"/>
        </w:rPr>
        <w:t xml:space="preserve">1.6 </w:t>
      </w:r>
      <w:r w:rsidRPr="004A62AA">
        <w:rPr>
          <w:rFonts w:asciiTheme="minorBidi" w:hAnsiTheme="minorBidi"/>
          <w:b/>
          <w:bCs/>
          <w:sz w:val="32"/>
          <w:szCs w:val="32"/>
          <w:rtl/>
        </w:rPr>
        <w:t>نموذج الدراسة</w:t>
      </w:r>
      <w:r w:rsidRPr="004A62AA">
        <w:rPr>
          <w:rFonts w:asciiTheme="minorBidi" w:hAnsiTheme="minorBidi"/>
          <w:b/>
          <w:bCs/>
          <w:sz w:val="32"/>
          <w:szCs w:val="32"/>
        </w:rPr>
        <w:t xml:space="preserve"> </w:t>
      </w:r>
    </w:p>
    <w:p w14:paraId="3BF1DBD1" w14:textId="77777777" w:rsidR="007A613E" w:rsidRPr="007A613E" w:rsidRDefault="007A613E" w:rsidP="00ED10D0">
      <w:pPr>
        <w:bidi/>
        <w:spacing w:line="480" w:lineRule="auto"/>
        <w:ind w:firstLine="227"/>
        <w:jc w:val="lowKashida"/>
        <w:rPr>
          <w:rFonts w:asciiTheme="minorBidi" w:hAnsiTheme="minorBidi"/>
          <w:sz w:val="28"/>
          <w:szCs w:val="28"/>
        </w:rPr>
      </w:pPr>
      <w:r w:rsidRPr="007A613E">
        <w:rPr>
          <w:rFonts w:asciiTheme="minorBidi" w:hAnsiTheme="minorBidi"/>
          <w:sz w:val="28"/>
          <w:szCs w:val="28"/>
          <w:rtl/>
        </w:rPr>
        <w:t xml:space="preserve">يهدف هذا النموذج إلى توضيح العلاقة بين المفاهيم الرئيسة في هذه الدراسة، لا باعتبارها مفاهيم منفصلة، بل كأجزاء مترابطة تؤدي مجتمعة إلى بناء تصور أكثر وضوحًا للفكرة الأساسية. تنطلق الدراسة من تحليل الخطط الاستراتيجية المعلنة لنيوم، هذا هو المجال الواقعي الذي يتمركز حوله البحث، مشروع ناشئ لكنه طموح إلى درجة تجعله حالة غير تقليدية، ومن هنا تحديدًا تبرز أهمية اختيار نيوم كمجال للدراسة. لكن تحليل الخطط وحده لا يكفي، لا بد من إطار نظري يساعد على القراءة والتفسير، ولهذا تُستخدم مفاهيم الاقتصاد الدائري ونماذج الأعمال الدائرية كعدسة تحليلية، هذه العدسة لا تُفرض على الواقع، بل تُستخدم لتفكيك مكوناته ومحاولة تصنيف ما يُطرح فيه من نماذج وممارسات. الهدف النهائي ليس فقط فهم تلك النماذج، بل محاولة تتبّع أثرها، إلى أي مدى ترتبط هذه النماذج فعلًا بتحقيق الاستدامة؟ وهل تُترجم إلى نتائج ملموسة على المستويات البيئية، والاقتصادية والاجتماعية؟ هذه هي النتيجة المستهدفة، لكن </w:t>
      </w:r>
      <w:r w:rsidRPr="007A613E">
        <w:rPr>
          <w:rFonts w:asciiTheme="minorBidi" w:hAnsiTheme="minorBidi"/>
          <w:sz w:val="28"/>
          <w:szCs w:val="28"/>
          <w:rtl/>
        </w:rPr>
        <w:lastRenderedPageBreak/>
        <w:t>الوصول إليها لا يعني إصدار حكم نهائي، بل بناء إطار يسمح بقراءة منهجية لما يُطرح، وتقديم أرضية علمية يمكن الرجوع إليها في تقييم المسار لاحقًا</w:t>
      </w:r>
      <w:r w:rsidRPr="007A613E">
        <w:rPr>
          <w:rFonts w:asciiTheme="minorBidi" w:hAnsiTheme="minorBidi"/>
          <w:sz w:val="28"/>
          <w:szCs w:val="28"/>
        </w:rPr>
        <w:t>.</w:t>
      </w:r>
    </w:p>
    <w:p w14:paraId="488AB765" w14:textId="77777777" w:rsidR="007A613E" w:rsidRPr="007A613E" w:rsidRDefault="007A613E" w:rsidP="00ED10D0">
      <w:pPr>
        <w:bidi/>
        <w:spacing w:line="480" w:lineRule="auto"/>
        <w:ind w:firstLine="227"/>
        <w:jc w:val="lowKashida"/>
        <w:rPr>
          <w:rFonts w:asciiTheme="minorBidi" w:hAnsiTheme="minorBidi"/>
          <w:sz w:val="28"/>
          <w:szCs w:val="28"/>
        </w:rPr>
      </w:pPr>
      <w:r w:rsidRPr="007A613E">
        <w:rPr>
          <w:rFonts w:asciiTheme="minorBidi" w:hAnsiTheme="minorBidi"/>
          <w:sz w:val="28"/>
          <w:szCs w:val="28"/>
        </w:rPr>
        <w:t> </w:t>
      </w:r>
    </w:p>
    <w:p w14:paraId="0CAA68B3" w14:textId="77777777" w:rsidR="007A613E" w:rsidRPr="00C2417A" w:rsidRDefault="007A613E" w:rsidP="00ED10D0">
      <w:pPr>
        <w:bidi/>
        <w:spacing w:line="480" w:lineRule="auto"/>
        <w:ind w:firstLine="227"/>
        <w:jc w:val="lowKashida"/>
        <w:rPr>
          <w:rFonts w:asciiTheme="minorBidi" w:hAnsiTheme="minorBidi"/>
          <w:b/>
          <w:bCs/>
          <w:sz w:val="36"/>
          <w:szCs w:val="36"/>
        </w:rPr>
      </w:pPr>
      <w:r w:rsidRPr="00C2417A">
        <w:rPr>
          <w:rFonts w:asciiTheme="minorBidi" w:hAnsiTheme="minorBidi"/>
          <w:b/>
          <w:bCs/>
          <w:sz w:val="36"/>
          <w:szCs w:val="36"/>
          <w:rtl/>
        </w:rPr>
        <w:t>الفصل الثاني: الإطار النظري والدراسات السابقة</w:t>
      </w:r>
    </w:p>
    <w:p w14:paraId="007F47B0" w14:textId="77777777" w:rsidR="007A613E" w:rsidRPr="00C2417A" w:rsidRDefault="007A613E" w:rsidP="00ED10D0">
      <w:pPr>
        <w:bidi/>
        <w:spacing w:line="480" w:lineRule="auto"/>
        <w:ind w:firstLine="227"/>
        <w:jc w:val="lowKashida"/>
        <w:rPr>
          <w:rFonts w:asciiTheme="minorBidi" w:hAnsiTheme="minorBidi"/>
          <w:b/>
          <w:bCs/>
          <w:sz w:val="32"/>
          <w:szCs w:val="32"/>
        </w:rPr>
      </w:pPr>
      <w:r w:rsidRPr="00C2417A">
        <w:rPr>
          <w:rFonts w:asciiTheme="minorBidi" w:hAnsiTheme="minorBidi"/>
          <w:b/>
          <w:bCs/>
          <w:sz w:val="32"/>
          <w:szCs w:val="32"/>
        </w:rPr>
        <w:t xml:space="preserve">2.1 </w:t>
      </w:r>
      <w:r w:rsidRPr="00C2417A">
        <w:rPr>
          <w:rFonts w:asciiTheme="minorBidi" w:hAnsiTheme="minorBidi"/>
          <w:b/>
          <w:bCs/>
          <w:sz w:val="32"/>
          <w:szCs w:val="32"/>
          <w:rtl/>
        </w:rPr>
        <w:t>تمهيد</w:t>
      </w:r>
    </w:p>
    <w:p w14:paraId="2DEDE84E" w14:textId="77777777" w:rsidR="007A613E" w:rsidRPr="007A613E" w:rsidRDefault="007A613E" w:rsidP="00ED10D0">
      <w:pPr>
        <w:bidi/>
        <w:spacing w:line="480" w:lineRule="auto"/>
        <w:ind w:firstLine="227"/>
        <w:jc w:val="lowKashida"/>
        <w:rPr>
          <w:rFonts w:asciiTheme="minorBidi" w:hAnsiTheme="minorBidi"/>
          <w:sz w:val="28"/>
          <w:szCs w:val="28"/>
        </w:rPr>
      </w:pPr>
      <w:r w:rsidRPr="007A613E">
        <w:rPr>
          <w:rFonts w:asciiTheme="minorBidi" w:hAnsiTheme="minorBidi"/>
          <w:sz w:val="28"/>
          <w:szCs w:val="28"/>
          <w:rtl/>
        </w:rPr>
        <w:t>من أجل فهم استراتيجيات نيوم، وتحليلها بشكل علمي، لا يكفي أن نقرأ التصريحات والخطط المعلنة كما هي، بل نحتاج إلى عدسة نظرية، شيء يساعدنا على الربط، على الفهم، على رؤية ما وراء اللغة الرسمية، هذا الفصل يحاول أن يوفّر ذلك، من خلال استعراض المفاهيم الأساسية المرتبطة بالاقتصاد الدائري، ونماذج الأعمال التي تنبثق منه، ثم الانتقال إلى مراجعة نقدية للدراسات السابقة، بهدف تحديد الفجوة المعرفية التي تحاول هذه الدراسة معالجتها، أو على الأقل الاقتراب منها</w:t>
      </w:r>
      <w:r w:rsidRPr="007A613E">
        <w:rPr>
          <w:rFonts w:asciiTheme="minorBidi" w:hAnsiTheme="minorBidi"/>
          <w:sz w:val="28"/>
          <w:szCs w:val="28"/>
        </w:rPr>
        <w:t>.</w:t>
      </w:r>
    </w:p>
    <w:p w14:paraId="1AF5C91D" w14:textId="77777777" w:rsidR="007A613E" w:rsidRPr="0098021D" w:rsidRDefault="007A613E" w:rsidP="00ED10D0">
      <w:pPr>
        <w:bidi/>
        <w:spacing w:line="480" w:lineRule="auto"/>
        <w:ind w:firstLine="227"/>
        <w:jc w:val="lowKashida"/>
        <w:rPr>
          <w:rFonts w:asciiTheme="minorBidi" w:hAnsiTheme="minorBidi"/>
          <w:b/>
          <w:bCs/>
          <w:sz w:val="32"/>
          <w:szCs w:val="32"/>
        </w:rPr>
      </w:pPr>
      <w:r w:rsidRPr="0098021D">
        <w:rPr>
          <w:rFonts w:asciiTheme="minorBidi" w:hAnsiTheme="minorBidi"/>
          <w:b/>
          <w:bCs/>
          <w:sz w:val="32"/>
          <w:szCs w:val="32"/>
        </w:rPr>
        <w:t xml:space="preserve">2.2 </w:t>
      </w:r>
      <w:r w:rsidRPr="0098021D">
        <w:rPr>
          <w:rFonts w:asciiTheme="minorBidi" w:hAnsiTheme="minorBidi"/>
          <w:b/>
          <w:bCs/>
          <w:sz w:val="32"/>
          <w:szCs w:val="32"/>
          <w:rtl/>
        </w:rPr>
        <w:t>المبحث الأول: الاقتصاد الدائري ونماذج الأعمال الدائرية</w:t>
      </w:r>
    </w:p>
    <w:p w14:paraId="6231152B" w14:textId="77777777" w:rsidR="007A613E" w:rsidRPr="007A613E" w:rsidRDefault="007A613E" w:rsidP="00ED10D0">
      <w:pPr>
        <w:bidi/>
        <w:spacing w:line="480" w:lineRule="auto"/>
        <w:ind w:firstLine="227"/>
        <w:jc w:val="lowKashida"/>
        <w:rPr>
          <w:rFonts w:asciiTheme="minorBidi" w:hAnsiTheme="minorBidi"/>
          <w:sz w:val="28"/>
          <w:szCs w:val="28"/>
        </w:rPr>
      </w:pPr>
      <w:r w:rsidRPr="007A613E">
        <w:rPr>
          <w:rFonts w:asciiTheme="minorBidi" w:hAnsiTheme="minorBidi"/>
          <w:sz w:val="28"/>
          <w:szCs w:val="28"/>
          <w:rtl/>
        </w:rPr>
        <w:t xml:space="preserve">أي تحليل علمي يحتاج إلى إطار، لا من باب الالتزام بالشكل، بل لأن الإطار يمنح البحث منطقًا، يمنعه من التشتت، في هذه الدراسة؛ تم بناء إطار نظري من ثلاث طبقات تقريبًا، أو لنقل: من ثلاث مستويات، تبدأ من المفهوم الأوسع، وتنتهي بالأداة التحليلية التي ستُستخدم فعلًا في قراءة الواقع. المستوى الأول هو نظرية الاقتصاد الدائري، وهي مختلفة جوهريًا عن الاقتصاد الخطي التقليدي، النموذج القديم الذي يعتمد على سلسلة متكررة: استخراج، تصنيع، ثم التخلص، وكأن الموارد لا تنفد، هذه النظرية الجديدة تحاول أن تفصل بين النمو الاقتصادي واستهلاك الموارد المحدودة، وتدعو لتصميم أنظمة تجدد نفسها، حرفيًا. ثم ننتقل </w:t>
      </w:r>
      <w:r w:rsidRPr="007A613E">
        <w:rPr>
          <w:rFonts w:asciiTheme="minorBidi" w:hAnsiTheme="minorBidi"/>
          <w:sz w:val="28"/>
          <w:szCs w:val="28"/>
          <w:rtl/>
        </w:rPr>
        <w:lastRenderedPageBreak/>
        <w:t>للمستوى الثاني، وهو عملي أكثر، ويتمثل في المبادئ التي وضعتها مؤسسة إيلين ماك آرثر، المبادئ هذه تحاول ترجمة النظرية إلى قواعد يمكن التعامل معها، وتتمثل في ثلاث نقاط رئيسية</w:t>
      </w:r>
      <w:r w:rsidRPr="007A613E">
        <w:rPr>
          <w:rFonts w:asciiTheme="minorBidi" w:hAnsiTheme="minorBidi"/>
          <w:sz w:val="28"/>
          <w:szCs w:val="28"/>
        </w:rPr>
        <w:t>:</w:t>
      </w:r>
    </w:p>
    <w:p w14:paraId="1005FA96" w14:textId="77777777" w:rsidR="007A613E" w:rsidRPr="007A613E" w:rsidRDefault="007A613E" w:rsidP="00ED10D0">
      <w:pPr>
        <w:bidi/>
        <w:spacing w:line="480" w:lineRule="auto"/>
        <w:ind w:firstLine="227"/>
        <w:jc w:val="lowKashida"/>
        <w:rPr>
          <w:rFonts w:asciiTheme="minorBidi" w:hAnsiTheme="minorBidi"/>
          <w:sz w:val="28"/>
          <w:szCs w:val="28"/>
        </w:rPr>
      </w:pPr>
      <w:r w:rsidRPr="007A613E">
        <w:rPr>
          <w:rFonts w:asciiTheme="minorBidi" w:hAnsiTheme="minorBidi"/>
          <w:sz w:val="28"/>
          <w:szCs w:val="28"/>
        </w:rPr>
        <w:t>•</w:t>
      </w:r>
      <w:r w:rsidRPr="007A613E">
        <w:rPr>
          <w:rFonts w:asciiTheme="minorBidi" w:hAnsiTheme="minorBidi"/>
          <w:sz w:val="28"/>
          <w:szCs w:val="28"/>
        </w:rPr>
        <w:tab/>
      </w:r>
      <w:r w:rsidRPr="007A613E">
        <w:rPr>
          <w:rFonts w:asciiTheme="minorBidi" w:hAnsiTheme="minorBidi"/>
          <w:sz w:val="28"/>
          <w:szCs w:val="28"/>
          <w:rtl/>
        </w:rPr>
        <w:t>تصميم المنتجات والأنظمة بطريقة تُقلل النفايات وتمنع التلوث</w:t>
      </w:r>
    </w:p>
    <w:p w14:paraId="506B141F" w14:textId="77777777" w:rsidR="007A613E" w:rsidRPr="007A613E" w:rsidRDefault="007A613E" w:rsidP="00ED10D0">
      <w:pPr>
        <w:bidi/>
        <w:spacing w:line="480" w:lineRule="auto"/>
        <w:ind w:firstLine="227"/>
        <w:jc w:val="lowKashida"/>
        <w:rPr>
          <w:rFonts w:asciiTheme="minorBidi" w:hAnsiTheme="minorBidi"/>
          <w:sz w:val="28"/>
          <w:szCs w:val="28"/>
        </w:rPr>
      </w:pPr>
      <w:r w:rsidRPr="007A613E">
        <w:rPr>
          <w:rFonts w:asciiTheme="minorBidi" w:hAnsiTheme="minorBidi"/>
          <w:sz w:val="28"/>
          <w:szCs w:val="28"/>
        </w:rPr>
        <w:t>•</w:t>
      </w:r>
      <w:r w:rsidRPr="007A613E">
        <w:rPr>
          <w:rFonts w:asciiTheme="minorBidi" w:hAnsiTheme="minorBidi"/>
          <w:sz w:val="28"/>
          <w:szCs w:val="28"/>
        </w:rPr>
        <w:tab/>
      </w:r>
      <w:r w:rsidRPr="007A613E">
        <w:rPr>
          <w:rFonts w:asciiTheme="minorBidi" w:hAnsiTheme="minorBidi"/>
          <w:sz w:val="28"/>
          <w:szCs w:val="28"/>
          <w:rtl/>
        </w:rPr>
        <w:t>إبقاء المنتجات والمواد قيد الاستخدام لأطول مدة ممكنة، وبأعلى قيمة ممكنة</w:t>
      </w:r>
    </w:p>
    <w:p w14:paraId="36EFDBFA" w14:textId="77777777" w:rsidR="007A613E" w:rsidRPr="007A613E" w:rsidRDefault="007A613E" w:rsidP="00ED10D0">
      <w:pPr>
        <w:bidi/>
        <w:spacing w:line="480" w:lineRule="auto"/>
        <w:ind w:firstLine="227"/>
        <w:jc w:val="lowKashida"/>
        <w:rPr>
          <w:rFonts w:asciiTheme="minorBidi" w:hAnsiTheme="minorBidi"/>
          <w:sz w:val="28"/>
          <w:szCs w:val="28"/>
        </w:rPr>
      </w:pPr>
      <w:r w:rsidRPr="007A613E">
        <w:rPr>
          <w:rFonts w:asciiTheme="minorBidi" w:hAnsiTheme="minorBidi"/>
          <w:sz w:val="28"/>
          <w:szCs w:val="28"/>
        </w:rPr>
        <w:t>•</w:t>
      </w:r>
      <w:r w:rsidRPr="007A613E">
        <w:rPr>
          <w:rFonts w:asciiTheme="minorBidi" w:hAnsiTheme="minorBidi"/>
          <w:sz w:val="28"/>
          <w:szCs w:val="28"/>
        </w:rPr>
        <w:tab/>
      </w:r>
      <w:r w:rsidRPr="007A613E">
        <w:rPr>
          <w:rFonts w:asciiTheme="minorBidi" w:hAnsiTheme="minorBidi"/>
          <w:sz w:val="28"/>
          <w:szCs w:val="28"/>
          <w:rtl/>
        </w:rPr>
        <w:t>تجديد الأنظمة الطبيعية، بدل إنهاكها أو استنزافها</w:t>
      </w:r>
    </w:p>
    <w:p w14:paraId="2AD6E32F" w14:textId="77777777" w:rsidR="007A613E" w:rsidRPr="007A613E" w:rsidRDefault="007A613E" w:rsidP="00ED10D0">
      <w:pPr>
        <w:bidi/>
        <w:spacing w:line="480" w:lineRule="auto"/>
        <w:ind w:firstLine="227"/>
        <w:jc w:val="lowKashida"/>
        <w:rPr>
          <w:rFonts w:asciiTheme="minorBidi" w:hAnsiTheme="minorBidi"/>
          <w:sz w:val="28"/>
          <w:szCs w:val="28"/>
        </w:rPr>
      </w:pPr>
      <w:r w:rsidRPr="007A613E">
        <w:rPr>
          <w:rFonts w:asciiTheme="minorBidi" w:hAnsiTheme="minorBidi"/>
          <w:sz w:val="28"/>
          <w:szCs w:val="28"/>
          <w:rtl/>
        </w:rPr>
        <w:t>أما المستوى الثالث، فهو ما يهمنا بشكل مباشر، وهو تصنيفات نماذج الأعمال الدائرية، وهنا سيتم الاعتماد بشكل أساسي على الإطار اللي طوره</w:t>
      </w:r>
      <w:r w:rsidRPr="007A613E">
        <w:rPr>
          <w:rFonts w:asciiTheme="minorBidi" w:hAnsiTheme="minorBidi"/>
          <w:sz w:val="28"/>
          <w:szCs w:val="28"/>
        </w:rPr>
        <w:t xml:space="preserve"> (</w:t>
      </w:r>
      <w:proofErr w:type="spellStart"/>
      <w:r w:rsidRPr="007A613E">
        <w:rPr>
          <w:rFonts w:asciiTheme="minorBidi" w:hAnsiTheme="minorBidi"/>
          <w:sz w:val="28"/>
          <w:szCs w:val="28"/>
        </w:rPr>
        <w:t>Bocken</w:t>
      </w:r>
      <w:proofErr w:type="spellEnd"/>
      <w:r w:rsidRPr="007A613E">
        <w:rPr>
          <w:rFonts w:asciiTheme="minorBidi" w:hAnsiTheme="minorBidi"/>
          <w:sz w:val="28"/>
          <w:szCs w:val="28"/>
        </w:rPr>
        <w:t xml:space="preserve"> et al., 2016)</w:t>
      </w:r>
      <w:r w:rsidRPr="007A613E">
        <w:rPr>
          <w:rFonts w:asciiTheme="minorBidi" w:hAnsiTheme="minorBidi"/>
          <w:sz w:val="28"/>
          <w:szCs w:val="28"/>
          <w:rtl/>
        </w:rPr>
        <w:t>، لأنه واقعي، عملي، ومناسب لطبيعة المشروع محل الدراسة، ومن بين التصنيفات اللي سيُستخدم منها ما يلي</w:t>
      </w:r>
      <w:r w:rsidRPr="007A613E">
        <w:rPr>
          <w:rFonts w:asciiTheme="minorBidi" w:hAnsiTheme="minorBidi"/>
          <w:sz w:val="28"/>
          <w:szCs w:val="28"/>
        </w:rPr>
        <w:t>:</w:t>
      </w:r>
    </w:p>
    <w:p w14:paraId="10D641FE" w14:textId="77777777" w:rsidR="007A613E" w:rsidRPr="007A613E" w:rsidRDefault="007A613E" w:rsidP="00ED10D0">
      <w:pPr>
        <w:bidi/>
        <w:spacing w:line="480" w:lineRule="auto"/>
        <w:ind w:firstLine="227"/>
        <w:jc w:val="lowKashida"/>
        <w:rPr>
          <w:rFonts w:asciiTheme="minorBidi" w:hAnsiTheme="minorBidi"/>
          <w:sz w:val="28"/>
          <w:szCs w:val="28"/>
        </w:rPr>
      </w:pPr>
      <w:r w:rsidRPr="007A613E">
        <w:rPr>
          <w:rFonts w:asciiTheme="minorBidi" w:hAnsiTheme="minorBidi"/>
          <w:sz w:val="28"/>
          <w:szCs w:val="28"/>
        </w:rPr>
        <w:t>•</w:t>
      </w:r>
      <w:r w:rsidRPr="007A613E">
        <w:rPr>
          <w:rFonts w:asciiTheme="minorBidi" w:hAnsiTheme="minorBidi"/>
          <w:sz w:val="28"/>
          <w:szCs w:val="28"/>
        </w:rPr>
        <w:tab/>
      </w:r>
      <w:r w:rsidRPr="007A613E">
        <w:rPr>
          <w:rFonts w:asciiTheme="minorBidi" w:hAnsiTheme="minorBidi"/>
          <w:sz w:val="28"/>
          <w:szCs w:val="28"/>
          <w:rtl/>
        </w:rPr>
        <w:t>نماذج إبطاء الحلقة: وهذه تتضمن استراتيجيات تهدف إلى إطالة عمر المنتج، من خلال التصميم طويل الأجل، أو الصيانة، أو الإصلاح، أو حتى إعادة الاستخدام</w:t>
      </w:r>
      <w:r w:rsidRPr="007A613E">
        <w:rPr>
          <w:rFonts w:asciiTheme="minorBidi" w:hAnsiTheme="minorBidi"/>
          <w:sz w:val="28"/>
          <w:szCs w:val="28"/>
        </w:rPr>
        <w:t>.</w:t>
      </w:r>
    </w:p>
    <w:p w14:paraId="06AE5E6E" w14:textId="77777777" w:rsidR="007A613E" w:rsidRPr="007A613E" w:rsidRDefault="007A613E" w:rsidP="00ED10D0">
      <w:pPr>
        <w:bidi/>
        <w:spacing w:line="480" w:lineRule="auto"/>
        <w:ind w:firstLine="227"/>
        <w:jc w:val="lowKashida"/>
        <w:rPr>
          <w:rFonts w:asciiTheme="minorBidi" w:hAnsiTheme="minorBidi"/>
          <w:sz w:val="28"/>
          <w:szCs w:val="28"/>
        </w:rPr>
      </w:pPr>
      <w:r w:rsidRPr="007A613E">
        <w:rPr>
          <w:rFonts w:asciiTheme="minorBidi" w:hAnsiTheme="minorBidi"/>
          <w:sz w:val="28"/>
          <w:szCs w:val="28"/>
        </w:rPr>
        <w:t>•</w:t>
      </w:r>
      <w:r w:rsidRPr="007A613E">
        <w:rPr>
          <w:rFonts w:asciiTheme="minorBidi" w:hAnsiTheme="minorBidi"/>
          <w:sz w:val="28"/>
          <w:szCs w:val="28"/>
        </w:rPr>
        <w:tab/>
      </w:r>
      <w:r w:rsidRPr="007A613E">
        <w:rPr>
          <w:rFonts w:asciiTheme="minorBidi" w:hAnsiTheme="minorBidi"/>
          <w:sz w:val="28"/>
          <w:szCs w:val="28"/>
          <w:rtl/>
        </w:rPr>
        <w:t>نماذج إغلاق الحلقة: وهي تركز على استعادة المواد بعد نهاية عمر المنتج، بإعادة تدويرها وإدخالها من جديد في دورة الإنتاج، بحيث ما تُفقد القيمة تمامًا</w:t>
      </w:r>
      <w:r w:rsidRPr="007A613E">
        <w:rPr>
          <w:rFonts w:asciiTheme="minorBidi" w:hAnsiTheme="minorBidi"/>
          <w:sz w:val="28"/>
          <w:szCs w:val="28"/>
        </w:rPr>
        <w:t>.</w:t>
      </w:r>
    </w:p>
    <w:p w14:paraId="6A695B6E" w14:textId="77777777" w:rsidR="007A613E" w:rsidRPr="0098021D" w:rsidRDefault="007A613E" w:rsidP="00ED10D0">
      <w:pPr>
        <w:bidi/>
        <w:spacing w:line="480" w:lineRule="auto"/>
        <w:ind w:firstLine="227"/>
        <w:jc w:val="lowKashida"/>
        <w:rPr>
          <w:rFonts w:asciiTheme="minorBidi" w:hAnsiTheme="minorBidi"/>
          <w:b/>
          <w:bCs/>
          <w:sz w:val="32"/>
          <w:szCs w:val="32"/>
        </w:rPr>
      </w:pPr>
      <w:r w:rsidRPr="0098021D">
        <w:rPr>
          <w:rFonts w:asciiTheme="minorBidi" w:hAnsiTheme="minorBidi"/>
          <w:b/>
          <w:bCs/>
          <w:sz w:val="32"/>
          <w:szCs w:val="32"/>
        </w:rPr>
        <w:t xml:space="preserve">2.3 </w:t>
      </w:r>
      <w:r w:rsidRPr="0098021D">
        <w:rPr>
          <w:rFonts w:asciiTheme="minorBidi" w:hAnsiTheme="minorBidi"/>
          <w:b/>
          <w:bCs/>
          <w:sz w:val="32"/>
          <w:szCs w:val="32"/>
          <w:rtl/>
        </w:rPr>
        <w:t>المبحث الثاني: الاستدامة في المشاريع العملاقة (حالة نيوم)</w:t>
      </w:r>
    </w:p>
    <w:p w14:paraId="66E57103" w14:textId="77777777" w:rsidR="007A613E" w:rsidRPr="007A613E" w:rsidRDefault="007A613E" w:rsidP="00ED10D0">
      <w:pPr>
        <w:bidi/>
        <w:spacing w:line="480" w:lineRule="auto"/>
        <w:ind w:firstLine="227"/>
        <w:jc w:val="lowKashida"/>
        <w:rPr>
          <w:rFonts w:asciiTheme="minorBidi" w:hAnsiTheme="minorBidi"/>
          <w:sz w:val="28"/>
          <w:szCs w:val="28"/>
        </w:rPr>
      </w:pPr>
      <w:r w:rsidRPr="007A613E">
        <w:rPr>
          <w:rFonts w:asciiTheme="minorBidi" w:hAnsiTheme="minorBidi"/>
          <w:sz w:val="28"/>
          <w:szCs w:val="28"/>
          <w:rtl/>
        </w:rPr>
        <w:t>يركّز هذا الفصل على مراجعة نقدية متعمقة للأدبيات العلمية والوثائق الاستراتيجية التي تُشكل الخلفية النظرية والسياقية لهذه الدراسة، الهدف من هذه المراجعة ليس فقط استعراض ما كُتب، بل محاولة سد فجوة معرفية قائمة بين النماذج النظرية للاستدامة الحضرية وبين التحديات الفعلية التي تظهر عند محاولة تطبيق تلك النماذج في واقع المشاريع العملاقة، وهي ظاهرة تنموية حديثة نسبيًا، ولتنظيم هذا الجهد، قُسّمت المراجعة إلى محورين متكاملين</w:t>
      </w:r>
      <w:r w:rsidRPr="007A613E">
        <w:rPr>
          <w:rFonts w:asciiTheme="minorBidi" w:hAnsiTheme="minorBidi"/>
          <w:sz w:val="28"/>
          <w:szCs w:val="28"/>
        </w:rPr>
        <w:t>.</w:t>
      </w:r>
    </w:p>
    <w:p w14:paraId="0B2D6911" w14:textId="77777777" w:rsidR="007A613E" w:rsidRPr="0098021D" w:rsidRDefault="007A613E" w:rsidP="00ED10D0">
      <w:pPr>
        <w:bidi/>
        <w:spacing w:line="480" w:lineRule="auto"/>
        <w:ind w:firstLine="227"/>
        <w:jc w:val="lowKashida"/>
        <w:rPr>
          <w:rFonts w:asciiTheme="minorBidi" w:hAnsiTheme="minorBidi"/>
          <w:b/>
          <w:bCs/>
          <w:sz w:val="28"/>
          <w:szCs w:val="28"/>
        </w:rPr>
      </w:pPr>
      <w:r w:rsidRPr="0098021D">
        <w:rPr>
          <w:rFonts w:asciiTheme="minorBidi" w:hAnsiTheme="minorBidi"/>
          <w:b/>
          <w:bCs/>
          <w:sz w:val="28"/>
          <w:szCs w:val="28"/>
          <w:rtl/>
        </w:rPr>
        <w:lastRenderedPageBreak/>
        <w:t>المحور الأول: ديناميكيات الاستدامة في المشاريع العملاقة</w:t>
      </w:r>
    </w:p>
    <w:p w14:paraId="68247702" w14:textId="77777777" w:rsidR="007A613E" w:rsidRPr="007A613E" w:rsidRDefault="007A613E" w:rsidP="00ED10D0">
      <w:pPr>
        <w:bidi/>
        <w:spacing w:line="480" w:lineRule="auto"/>
        <w:ind w:firstLine="227"/>
        <w:jc w:val="lowKashida"/>
        <w:rPr>
          <w:rFonts w:asciiTheme="minorBidi" w:hAnsiTheme="minorBidi"/>
          <w:sz w:val="28"/>
          <w:szCs w:val="28"/>
        </w:rPr>
      </w:pPr>
      <w:r w:rsidRPr="007A613E">
        <w:rPr>
          <w:rFonts w:asciiTheme="minorBidi" w:hAnsiTheme="minorBidi"/>
          <w:sz w:val="28"/>
          <w:szCs w:val="28"/>
          <w:rtl/>
        </w:rPr>
        <w:t>يتناول هذا المحور العلاقة المعقدة بين المشاريع العملاقة ومبادئ الاستدامة، كما وردت في الأدبيات، العلاقة هنا ليست بسيطة، بل تكشف كثير من الدراسات عن وجود نوع من التناقض؛ فمن جهة، المشاريع العملاقة تطرح تحديات بيئية واجتماعية كبيرة، لا يمكن التقليل منها، حجمها وحده يعني استهلاكًا ;كبيراً للموارد الطبيعية، من مياه وطاقة ومواد إنشائية، ما ينتج عنه أثر بيئي ضخم، هذا من دون أن ننسى تعقيد سلاسل الإمداد المرتبطة بها، ما يجعل مراقبة معايير الاستدامة عبر آلاف الموردين والمتعاقدين مهمة شبه مستحيلة في بعض الحالات. لكن من جهة أخرى، تشير الأدبيات إلى أن هذه المشاريع تفتح بابًا مختلفًا تمامًا، وهو ما يُعرف بمفهوم البداية من الصفر على عكس المدن التقليدية التي ترث بنى تحتية متهالكة أو مقيدة، تملك المشاريع العملاقة فرصة تصميم الأنظمة الحضرية من جديد، منذ لحظة التخطيط الأولى، وهذا يشمل أشياء مثل شبكات الطاقة الذكية، أنظمة إعادة تدوير المياه، أو حتى دمج الاقتصاد الدائري في إدارة النفايات، بهذا المعنى، يمكن أن تتحول هذه المشاريع إلى مختبرات حية لاختبار وتوسيع نطاق التقنيات والسياسات البيئية الجديدة. ولأن التقييم يحتاج إلى نماذج واقعية، سيكون من المفيد التوقف عند مشروع مدينة مصدر في أبو ظبي، بوصفه نموذجًا تطبيقيًا مرجعيًا، التجربة هناك مثّلت مثالًا واضحًا على القدرة التقنية على تنفيذ مشاريع مستدامة، لكنها في نفس الوقت كشفت عن فجوات لا يمكن تجاهلها، تحديدًا في الفجوة بين التصورات النظرية وتحقيقها فعليًا، مثل صعوبة الوصول إلى الحياد الكربوني الكامل أو جذب عدد السكان المستهدف، تحليل هذه التجربة لا يهدف للمقارنة فقط، بل لتكوين معيار نقدي يمكن استخدامه في تقييم مدى واقعية طموحات نيوم وتجنّب الوقوع في التحديات ذاتها</w:t>
      </w:r>
      <w:r w:rsidRPr="007A613E">
        <w:rPr>
          <w:rFonts w:asciiTheme="minorBidi" w:hAnsiTheme="minorBidi"/>
          <w:sz w:val="28"/>
          <w:szCs w:val="28"/>
        </w:rPr>
        <w:t>.</w:t>
      </w:r>
    </w:p>
    <w:p w14:paraId="4B8FCEA2" w14:textId="77777777" w:rsidR="0098021D" w:rsidRDefault="0098021D" w:rsidP="00ED10D0">
      <w:pPr>
        <w:bidi/>
        <w:spacing w:line="480" w:lineRule="auto"/>
        <w:ind w:firstLine="227"/>
        <w:jc w:val="lowKashida"/>
        <w:rPr>
          <w:rFonts w:asciiTheme="minorBidi" w:hAnsiTheme="minorBidi"/>
          <w:b/>
          <w:bCs/>
          <w:sz w:val="28"/>
          <w:szCs w:val="28"/>
          <w:rtl/>
        </w:rPr>
      </w:pPr>
    </w:p>
    <w:p w14:paraId="292C6F74" w14:textId="77777777" w:rsidR="0098021D" w:rsidRDefault="0098021D" w:rsidP="0098021D">
      <w:pPr>
        <w:bidi/>
        <w:spacing w:line="480" w:lineRule="auto"/>
        <w:ind w:firstLine="227"/>
        <w:jc w:val="lowKashida"/>
        <w:rPr>
          <w:rFonts w:asciiTheme="minorBidi" w:hAnsiTheme="minorBidi"/>
          <w:b/>
          <w:bCs/>
          <w:sz w:val="28"/>
          <w:szCs w:val="28"/>
          <w:rtl/>
        </w:rPr>
      </w:pPr>
    </w:p>
    <w:p w14:paraId="59F66CA7" w14:textId="66F6E7ED" w:rsidR="007A613E" w:rsidRPr="0098021D" w:rsidRDefault="007A613E" w:rsidP="0098021D">
      <w:pPr>
        <w:bidi/>
        <w:spacing w:line="480" w:lineRule="auto"/>
        <w:ind w:firstLine="227"/>
        <w:jc w:val="lowKashida"/>
        <w:rPr>
          <w:rFonts w:asciiTheme="minorBidi" w:hAnsiTheme="minorBidi"/>
          <w:b/>
          <w:bCs/>
          <w:sz w:val="28"/>
          <w:szCs w:val="28"/>
        </w:rPr>
      </w:pPr>
      <w:r w:rsidRPr="0098021D">
        <w:rPr>
          <w:rFonts w:asciiTheme="minorBidi" w:hAnsiTheme="minorBidi"/>
          <w:b/>
          <w:bCs/>
          <w:sz w:val="28"/>
          <w:szCs w:val="28"/>
          <w:rtl/>
        </w:rPr>
        <w:lastRenderedPageBreak/>
        <w:t>المحور الثاني: السياق الاستراتيجي الوطني الحاكم</w:t>
      </w:r>
    </w:p>
    <w:p w14:paraId="5DB33635" w14:textId="77777777" w:rsidR="007A613E" w:rsidRPr="007A613E" w:rsidRDefault="007A613E" w:rsidP="00ED10D0">
      <w:pPr>
        <w:bidi/>
        <w:spacing w:line="480" w:lineRule="auto"/>
        <w:ind w:firstLine="227"/>
        <w:jc w:val="lowKashida"/>
        <w:rPr>
          <w:rFonts w:asciiTheme="minorBidi" w:hAnsiTheme="minorBidi"/>
          <w:sz w:val="28"/>
          <w:szCs w:val="28"/>
        </w:rPr>
      </w:pPr>
      <w:r w:rsidRPr="007A613E">
        <w:rPr>
          <w:rFonts w:asciiTheme="minorBidi" w:hAnsiTheme="minorBidi"/>
          <w:sz w:val="28"/>
          <w:szCs w:val="28"/>
          <w:rtl/>
        </w:rPr>
        <w:t xml:space="preserve">ينتقل هذا المحور لتحليل موقع نيوم ضمن الإطار الاستراتيجي الأشمل للمملكة العربية السعودية، من الصعب فهم المشروع أو تقييمه بمعزل عن السياق السياسي والاقتصادي الذي نشأ فيه، وفي مقدمة هذا السياق تأتي رؤية السعودية 2030، التي تُعد الإطار الوطني الشامل للتحول الاقتصادي والاجتماعي، وهي تسعى إلى تقليل الاعتماد على النفط، وتوسيع القاعدة الاقتصادية من خلال قطاعات جديدة مثل السياحة، التقنية، وجودة الحياة. ضمن هذا التوجه، تحتل نيوم موقعًا مركزيًا، ليس فقط كمشروع تطوير عمراني، بل كمنصة تنفيذية لأهداف الرؤية، ويُعزز هذا الموقع من خلال مبادرات بيئية واضحة مثل: المبادرة السعودية الخضراء، ومبادرة الشرق الأوسط الأخضر، هاتان المبادرتان لا تكتفيان بالتوجه النظري، بل تطرحان أهدافًا كمية واضحة، مثل خفض 278 مليون طن من الانبعاثات الكربونية سنويًا بحلول 2030، وزراعة 10 مليارات شجرة، هذه الأهداف لا تجعل الاستدامة خيارًا تجميليًا، بل تحوّلها إلى ضرورة استراتيجية، بل التزام سياسي، وهو ما يغيّر طريقة النظر إلى نيوم، فهي لم تعد مجرد مشروع تطوير ضخم، بل أصبحت أداة لإثبات قدرة المملكة على تجسيد التحول الأخضر ميدانيًا. في المجمل، يجمع هذا الفصل بين رؤيتين متكاملتين، الأولى تستند إلى مراجعة الأدبيات العالمية حول المشاريع العملاقة، والثانية تعتمد على تحليل السياق المحلي للمملكة، هذا الدمج لا يُنتج فقط خلفية معرفية غنية، بل يوفّر أيضًا أساسًا تحليليًا يساعد على تقييم استراتيجية نيوم من زاويتين: مدى كفاءتها التقنية، ومدى </w:t>
      </w:r>
      <w:proofErr w:type="spellStart"/>
      <w:r w:rsidRPr="007A613E">
        <w:rPr>
          <w:rFonts w:asciiTheme="minorBidi" w:hAnsiTheme="minorBidi"/>
          <w:sz w:val="28"/>
          <w:szCs w:val="28"/>
          <w:rtl/>
        </w:rPr>
        <w:t>واقعيتها</w:t>
      </w:r>
      <w:proofErr w:type="spellEnd"/>
      <w:r w:rsidRPr="007A613E">
        <w:rPr>
          <w:rFonts w:asciiTheme="minorBidi" w:hAnsiTheme="minorBidi"/>
          <w:sz w:val="28"/>
          <w:szCs w:val="28"/>
          <w:rtl/>
        </w:rPr>
        <w:t xml:space="preserve"> في ظل التحديات العملية والسياسات الوطنية الراهنة</w:t>
      </w:r>
      <w:r w:rsidRPr="007A613E">
        <w:rPr>
          <w:rFonts w:asciiTheme="minorBidi" w:hAnsiTheme="minorBidi"/>
          <w:sz w:val="28"/>
          <w:szCs w:val="28"/>
        </w:rPr>
        <w:t>.</w:t>
      </w:r>
    </w:p>
    <w:p w14:paraId="3F336C8A" w14:textId="77777777" w:rsidR="007A613E" w:rsidRPr="00CB46A7" w:rsidRDefault="007A613E" w:rsidP="00ED10D0">
      <w:pPr>
        <w:bidi/>
        <w:spacing w:line="480" w:lineRule="auto"/>
        <w:ind w:firstLine="227"/>
        <w:jc w:val="lowKashida"/>
        <w:rPr>
          <w:rFonts w:asciiTheme="minorBidi" w:hAnsiTheme="minorBidi"/>
          <w:b/>
          <w:bCs/>
          <w:sz w:val="32"/>
          <w:szCs w:val="32"/>
        </w:rPr>
      </w:pPr>
      <w:r w:rsidRPr="00CB46A7">
        <w:rPr>
          <w:rFonts w:asciiTheme="minorBidi" w:hAnsiTheme="minorBidi"/>
          <w:b/>
          <w:bCs/>
          <w:sz w:val="32"/>
          <w:szCs w:val="32"/>
        </w:rPr>
        <w:t xml:space="preserve">2.4 </w:t>
      </w:r>
      <w:r w:rsidRPr="00CB46A7">
        <w:rPr>
          <w:rFonts w:asciiTheme="minorBidi" w:hAnsiTheme="minorBidi"/>
          <w:b/>
          <w:bCs/>
          <w:sz w:val="32"/>
          <w:szCs w:val="32"/>
          <w:rtl/>
        </w:rPr>
        <w:t>الدراسات السابقة والتعقيب عليها</w:t>
      </w:r>
    </w:p>
    <w:p w14:paraId="32D7C971" w14:textId="77777777" w:rsidR="007A613E" w:rsidRPr="007A613E" w:rsidRDefault="007A613E" w:rsidP="00ED10D0">
      <w:pPr>
        <w:bidi/>
        <w:spacing w:line="480" w:lineRule="auto"/>
        <w:ind w:firstLine="227"/>
        <w:jc w:val="lowKashida"/>
        <w:rPr>
          <w:rFonts w:asciiTheme="minorBidi" w:hAnsiTheme="minorBidi"/>
          <w:sz w:val="28"/>
          <w:szCs w:val="28"/>
        </w:rPr>
      </w:pPr>
      <w:r w:rsidRPr="007A613E">
        <w:rPr>
          <w:rFonts w:asciiTheme="minorBidi" w:hAnsiTheme="minorBidi"/>
          <w:sz w:val="28"/>
          <w:szCs w:val="28"/>
          <w:rtl/>
        </w:rPr>
        <w:t xml:space="preserve">لا تُبنى المساهمات البحثية الجادة من فراغ، وإنما تنشأ من داخل حوار علمي نقدي وواعٍ مع الإنتاج المعرفي القائم. وفي هذا السياق، تُحدد هذه الدراسة موقعها بدقة عند ملتقى عدد من التيارات البحثية </w:t>
      </w:r>
      <w:r w:rsidRPr="007A613E">
        <w:rPr>
          <w:rFonts w:asciiTheme="minorBidi" w:hAnsiTheme="minorBidi"/>
          <w:sz w:val="28"/>
          <w:szCs w:val="28"/>
          <w:rtl/>
        </w:rPr>
        <w:lastRenderedPageBreak/>
        <w:t>المتصاعدة، حيث تستفيد من أسسها النظرية والتجريبية، وفي ذات الوقت تسعى إلى معالجة فجوة معرفية باتت أكثر إلحاحًا بفعل التسارع الملحوظ في نمو المشاريع التنموية العملاقة. إن إدراك حدود هذه التيارات وتمثّلها النقدي لا يمثل مجرد خلفية نظرية، بل هو ما يُكسب الدراسة أصالتها، ويبرر منهجيتها، ويُؤسّس لمساهمتها العلمية المتوقعة</w:t>
      </w:r>
      <w:r w:rsidRPr="007A613E">
        <w:rPr>
          <w:rFonts w:asciiTheme="minorBidi" w:hAnsiTheme="minorBidi"/>
          <w:sz w:val="28"/>
          <w:szCs w:val="28"/>
        </w:rPr>
        <w:t>.</w:t>
      </w:r>
    </w:p>
    <w:p w14:paraId="1B57CFB1" w14:textId="77777777" w:rsidR="007A613E" w:rsidRPr="006C10D9" w:rsidRDefault="007A613E" w:rsidP="00ED10D0">
      <w:pPr>
        <w:bidi/>
        <w:spacing w:line="480" w:lineRule="auto"/>
        <w:ind w:firstLine="227"/>
        <w:jc w:val="lowKashida"/>
        <w:rPr>
          <w:rFonts w:asciiTheme="minorBidi" w:hAnsiTheme="minorBidi"/>
          <w:b/>
          <w:bCs/>
          <w:sz w:val="28"/>
          <w:szCs w:val="28"/>
        </w:rPr>
      </w:pPr>
      <w:r w:rsidRPr="006C10D9">
        <w:rPr>
          <w:rFonts w:asciiTheme="minorBidi" w:hAnsiTheme="minorBidi"/>
          <w:b/>
          <w:bCs/>
          <w:sz w:val="28"/>
          <w:szCs w:val="28"/>
          <w:rtl/>
        </w:rPr>
        <w:t>التيار الأول: الأطر النظرية والتصنيفية لنماذج الأعمال الدائرية</w:t>
      </w:r>
    </w:p>
    <w:p w14:paraId="12C77266" w14:textId="77777777" w:rsidR="007A613E" w:rsidRPr="007A613E" w:rsidRDefault="007A613E" w:rsidP="00ED10D0">
      <w:pPr>
        <w:bidi/>
        <w:spacing w:line="480" w:lineRule="auto"/>
        <w:ind w:firstLine="227"/>
        <w:jc w:val="lowKashida"/>
        <w:rPr>
          <w:rFonts w:asciiTheme="minorBidi" w:hAnsiTheme="minorBidi"/>
          <w:sz w:val="28"/>
          <w:szCs w:val="28"/>
        </w:rPr>
      </w:pPr>
      <w:r w:rsidRPr="007A613E">
        <w:rPr>
          <w:rFonts w:asciiTheme="minorBidi" w:hAnsiTheme="minorBidi"/>
          <w:sz w:val="28"/>
          <w:szCs w:val="28"/>
          <w:rtl/>
        </w:rPr>
        <w:t>يمثل هذا التيار حجر الزاوية في البناء المفاهيمي للدراسة. فحتى وقتٍ قريب، كان الاقتصاد الدائري مفهومًا طموحًا لكنه يفتقر إلى البنية التحليلية التي تسمح باستخدامه كأداة بحثية أو تخطيطية فعالة. وقد مثّلت أعمال باحثين مثل</w:t>
      </w:r>
      <w:r w:rsidRPr="007A613E">
        <w:rPr>
          <w:rFonts w:asciiTheme="minorBidi" w:hAnsiTheme="minorBidi"/>
          <w:sz w:val="28"/>
          <w:szCs w:val="28"/>
        </w:rPr>
        <w:t xml:space="preserve"> (</w:t>
      </w:r>
      <w:proofErr w:type="spellStart"/>
      <w:r w:rsidRPr="007A613E">
        <w:rPr>
          <w:rFonts w:asciiTheme="minorBidi" w:hAnsiTheme="minorBidi"/>
          <w:sz w:val="28"/>
          <w:szCs w:val="28"/>
        </w:rPr>
        <w:t>Bocken</w:t>
      </w:r>
      <w:proofErr w:type="spellEnd"/>
      <w:r w:rsidRPr="007A613E">
        <w:rPr>
          <w:rFonts w:asciiTheme="minorBidi" w:hAnsiTheme="minorBidi"/>
          <w:sz w:val="28"/>
          <w:szCs w:val="28"/>
        </w:rPr>
        <w:t xml:space="preserve"> et al., 2016) </w:t>
      </w:r>
      <w:r w:rsidRPr="007A613E">
        <w:rPr>
          <w:rFonts w:asciiTheme="minorBidi" w:hAnsiTheme="minorBidi"/>
          <w:sz w:val="28"/>
          <w:szCs w:val="28"/>
          <w:rtl/>
        </w:rPr>
        <w:t>نقلة نوعية، إذ قدمت تصنيفات واضحة ونماذج تفسيرية سمحت بترجمة الفلسفة النظرية للاقتصاد الدائري إلى استراتيجيات تشغيلية قابلة للتطبيق. لقد أتاح هذا التطوير مفاهيم عملية مثل</w:t>
      </w:r>
      <w:r w:rsidRPr="007A613E">
        <w:rPr>
          <w:rFonts w:asciiTheme="minorBidi" w:hAnsiTheme="minorBidi"/>
          <w:sz w:val="28"/>
          <w:szCs w:val="28"/>
        </w:rPr>
        <w:t>:</w:t>
      </w:r>
    </w:p>
    <w:p w14:paraId="087C7645" w14:textId="649F4759" w:rsidR="007A613E" w:rsidRPr="007A613E" w:rsidRDefault="007A613E" w:rsidP="00ED10D0">
      <w:pPr>
        <w:bidi/>
        <w:spacing w:line="480" w:lineRule="auto"/>
        <w:ind w:firstLine="227"/>
        <w:jc w:val="lowKashida"/>
        <w:rPr>
          <w:rFonts w:asciiTheme="minorBidi" w:hAnsiTheme="minorBidi"/>
          <w:sz w:val="28"/>
          <w:szCs w:val="28"/>
        </w:rPr>
      </w:pPr>
      <w:r w:rsidRPr="007A613E">
        <w:rPr>
          <w:rFonts w:asciiTheme="minorBidi" w:hAnsiTheme="minorBidi"/>
          <w:sz w:val="28"/>
          <w:szCs w:val="28"/>
        </w:rPr>
        <w:t>•</w:t>
      </w:r>
      <w:r w:rsidRPr="007A613E">
        <w:rPr>
          <w:rFonts w:asciiTheme="minorBidi" w:hAnsiTheme="minorBidi"/>
          <w:sz w:val="28"/>
          <w:szCs w:val="28"/>
        </w:rPr>
        <w:tab/>
      </w:r>
      <w:r w:rsidRPr="007A613E">
        <w:rPr>
          <w:rFonts w:asciiTheme="minorBidi" w:hAnsiTheme="minorBidi"/>
          <w:sz w:val="28"/>
          <w:szCs w:val="28"/>
          <w:rtl/>
        </w:rPr>
        <w:t xml:space="preserve">إبطاء </w:t>
      </w:r>
      <w:proofErr w:type="gramStart"/>
      <w:r w:rsidRPr="007A613E">
        <w:rPr>
          <w:rFonts w:asciiTheme="minorBidi" w:hAnsiTheme="minorBidi"/>
          <w:sz w:val="28"/>
          <w:szCs w:val="28"/>
          <w:rtl/>
        </w:rPr>
        <w:t>الحلقة</w:t>
      </w:r>
      <w:r w:rsidRPr="007A613E">
        <w:rPr>
          <w:rFonts w:asciiTheme="minorBidi" w:hAnsiTheme="minorBidi"/>
          <w:sz w:val="28"/>
          <w:szCs w:val="28"/>
        </w:rPr>
        <w:t xml:space="preserve"> :</w:t>
      </w:r>
      <w:proofErr w:type="gramEnd"/>
      <w:r w:rsidRPr="007A613E">
        <w:rPr>
          <w:rFonts w:asciiTheme="minorBidi" w:hAnsiTheme="minorBidi"/>
          <w:sz w:val="28"/>
          <w:szCs w:val="28"/>
        </w:rPr>
        <w:t xml:space="preserve"> </w:t>
      </w:r>
      <w:r w:rsidRPr="007A613E">
        <w:rPr>
          <w:rFonts w:asciiTheme="minorBidi" w:hAnsiTheme="minorBidi"/>
          <w:sz w:val="28"/>
          <w:szCs w:val="28"/>
          <w:rtl/>
        </w:rPr>
        <w:t>عبر التركيز على إطالة عمر المنتج من خلال التصميم الذكي، والصيانة، والإصلاح، وإعادة الاستخدام</w:t>
      </w:r>
      <w:r w:rsidRPr="007A613E">
        <w:rPr>
          <w:rFonts w:asciiTheme="minorBidi" w:hAnsiTheme="minorBidi"/>
          <w:sz w:val="28"/>
          <w:szCs w:val="28"/>
        </w:rPr>
        <w:t>.</w:t>
      </w:r>
    </w:p>
    <w:p w14:paraId="29D1E5EC" w14:textId="287CA3FE" w:rsidR="007A613E" w:rsidRPr="007A613E" w:rsidRDefault="007A613E" w:rsidP="00ED10D0">
      <w:pPr>
        <w:bidi/>
        <w:spacing w:line="480" w:lineRule="auto"/>
        <w:ind w:firstLine="227"/>
        <w:jc w:val="lowKashida"/>
        <w:rPr>
          <w:rFonts w:asciiTheme="minorBidi" w:hAnsiTheme="minorBidi"/>
          <w:sz w:val="28"/>
          <w:szCs w:val="28"/>
        </w:rPr>
      </w:pPr>
      <w:r w:rsidRPr="007A613E">
        <w:rPr>
          <w:rFonts w:asciiTheme="minorBidi" w:hAnsiTheme="minorBidi"/>
          <w:sz w:val="28"/>
          <w:szCs w:val="28"/>
        </w:rPr>
        <w:t>•</w:t>
      </w:r>
      <w:r w:rsidRPr="007A613E">
        <w:rPr>
          <w:rFonts w:asciiTheme="minorBidi" w:hAnsiTheme="minorBidi"/>
          <w:sz w:val="28"/>
          <w:szCs w:val="28"/>
        </w:rPr>
        <w:tab/>
      </w:r>
      <w:r w:rsidRPr="007A613E">
        <w:rPr>
          <w:rFonts w:asciiTheme="minorBidi" w:hAnsiTheme="minorBidi"/>
          <w:sz w:val="28"/>
          <w:szCs w:val="28"/>
          <w:rtl/>
        </w:rPr>
        <w:t xml:space="preserve">إغلاق </w:t>
      </w:r>
      <w:proofErr w:type="gramStart"/>
      <w:r w:rsidRPr="007A613E">
        <w:rPr>
          <w:rFonts w:asciiTheme="minorBidi" w:hAnsiTheme="minorBidi"/>
          <w:sz w:val="28"/>
          <w:szCs w:val="28"/>
          <w:rtl/>
        </w:rPr>
        <w:t>الحلقة</w:t>
      </w:r>
      <w:r w:rsidRPr="007A613E">
        <w:rPr>
          <w:rFonts w:asciiTheme="minorBidi" w:hAnsiTheme="minorBidi"/>
          <w:sz w:val="28"/>
          <w:szCs w:val="28"/>
        </w:rPr>
        <w:t xml:space="preserve"> :</w:t>
      </w:r>
      <w:proofErr w:type="gramEnd"/>
      <w:r w:rsidRPr="007A613E">
        <w:rPr>
          <w:rFonts w:asciiTheme="minorBidi" w:hAnsiTheme="minorBidi"/>
          <w:sz w:val="28"/>
          <w:szCs w:val="28"/>
        </w:rPr>
        <w:t xml:space="preserve"> </w:t>
      </w:r>
      <w:r w:rsidRPr="007A613E">
        <w:rPr>
          <w:rFonts w:asciiTheme="minorBidi" w:hAnsiTheme="minorBidi"/>
          <w:sz w:val="28"/>
          <w:szCs w:val="28"/>
          <w:rtl/>
        </w:rPr>
        <w:t>عبر إعادة تدوير المواد واستعادتها بعد نهاية دورة الاستخدام</w:t>
      </w:r>
      <w:r w:rsidRPr="007A613E">
        <w:rPr>
          <w:rFonts w:asciiTheme="minorBidi" w:hAnsiTheme="minorBidi"/>
          <w:sz w:val="28"/>
          <w:szCs w:val="28"/>
        </w:rPr>
        <w:t>.</w:t>
      </w:r>
    </w:p>
    <w:p w14:paraId="746E52B1" w14:textId="77777777" w:rsidR="007A613E" w:rsidRPr="007A613E" w:rsidRDefault="007A613E" w:rsidP="00ED10D0">
      <w:pPr>
        <w:bidi/>
        <w:spacing w:line="480" w:lineRule="auto"/>
        <w:ind w:firstLine="227"/>
        <w:jc w:val="lowKashida"/>
        <w:rPr>
          <w:rFonts w:asciiTheme="minorBidi" w:hAnsiTheme="minorBidi"/>
          <w:sz w:val="28"/>
          <w:szCs w:val="28"/>
        </w:rPr>
      </w:pPr>
      <w:r w:rsidRPr="007A613E">
        <w:rPr>
          <w:rFonts w:asciiTheme="minorBidi" w:hAnsiTheme="minorBidi"/>
          <w:sz w:val="28"/>
          <w:szCs w:val="28"/>
          <w:rtl/>
        </w:rPr>
        <w:t xml:space="preserve">ومع أن هذه النماذج شكّلت أساسًا مشتركًا لفهم وتحليل استراتيجيات الشركات، إلا أن ثمة تساؤلًا نقديًا يُطرح هنا: إلى أي مدى يمكن لهذه الأطر، التي نشأت بالأساس في بيئة اقتصادية صناعية متقدمة، أن تفسّر واقعًا مغايرًا كليًا؟ إذ إن أغلب الدراسات التي أسّست هذه النماذج اعتمدت على شركات قائمة، صغيرة أو متوسطة، تعمل ضمن أسواق خاصة في الغرب. في المقابل، يواجه هذا البحث حالة فريدة من نوعها: مشروع ضخم بحجم نيوم، يتم بناؤه من الصفر، وتديره الدولة ضمن استراتيجية وطنية، وفي سياق اقتصادي وجيوسياسي مختلف تمامًا. وعليه، فإن هذه الدراسة لا تتعامل مع هذه النماذج كـقوالب جاهزة، بل </w:t>
      </w:r>
      <w:r w:rsidRPr="007A613E">
        <w:rPr>
          <w:rFonts w:asciiTheme="minorBidi" w:hAnsiTheme="minorBidi"/>
          <w:sz w:val="28"/>
          <w:szCs w:val="28"/>
          <w:rtl/>
        </w:rPr>
        <w:lastRenderedPageBreak/>
        <w:t>تُعيد فحصها واختبار مدى مرونتها وتكيّفها مع هذا السياق المستجد. إنها محاولة لاختبار حدود النظرية في ميدان جديد، يتجاوز نطاق التطبيق التقليدي الذي نشأت فيه تلك النماذج</w:t>
      </w:r>
      <w:r w:rsidRPr="007A613E">
        <w:rPr>
          <w:rFonts w:asciiTheme="minorBidi" w:hAnsiTheme="minorBidi"/>
          <w:sz w:val="28"/>
          <w:szCs w:val="28"/>
        </w:rPr>
        <w:t>.</w:t>
      </w:r>
    </w:p>
    <w:p w14:paraId="476746D6" w14:textId="77777777" w:rsidR="007A613E" w:rsidRPr="006C10D9" w:rsidRDefault="007A613E" w:rsidP="00ED10D0">
      <w:pPr>
        <w:bidi/>
        <w:spacing w:line="480" w:lineRule="auto"/>
        <w:ind w:firstLine="227"/>
        <w:jc w:val="lowKashida"/>
        <w:rPr>
          <w:rFonts w:asciiTheme="minorBidi" w:hAnsiTheme="minorBidi"/>
          <w:b/>
          <w:bCs/>
          <w:sz w:val="28"/>
          <w:szCs w:val="28"/>
        </w:rPr>
      </w:pPr>
      <w:r w:rsidRPr="006C10D9">
        <w:rPr>
          <w:rFonts w:asciiTheme="minorBidi" w:hAnsiTheme="minorBidi"/>
          <w:b/>
          <w:bCs/>
          <w:sz w:val="28"/>
          <w:szCs w:val="28"/>
          <w:rtl/>
        </w:rPr>
        <w:t>التيار الثاني: الأدلة التجريبية والتحقق من الجدوى الاقتصادية</w:t>
      </w:r>
    </w:p>
    <w:p w14:paraId="6015675E" w14:textId="77777777" w:rsidR="007A613E" w:rsidRPr="007A613E" w:rsidRDefault="007A613E" w:rsidP="00ED10D0">
      <w:pPr>
        <w:bidi/>
        <w:spacing w:line="480" w:lineRule="auto"/>
        <w:ind w:firstLine="227"/>
        <w:jc w:val="lowKashida"/>
        <w:rPr>
          <w:rFonts w:asciiTheme="minorBidi" w:hAnsiTheme="minorBidi"/>
          <w:sz w:val="28"/>
          <w:szCs w:val="28"/>
        </w:rPr>
      </w:pPr>
      <w:r w:rsidRPr="007A613E">
        <w:rPr>
          <w:rFonts w:asciiTheme="minorBidi" w:hAnsiTheme="minorBidi"/>
          <w:sz w:val="28"/>
          <w:szCs w:val="28"/>
          <w:rtl/>
        </w:rPr>
        <w:t>إلى جانب التطور النظري، تشكّل تيار بحثي موازٍ ركّز على تقديم أدلة كمية وتجريبية تُثبت الجدوى الاقتصادية لنماذج الأعمال الدائرية. وقد أسهمت هذه الدراسات في الانتقال من التساؤل عما هو ممكن نظرياً؟ إلى إثبات ما هو قائم فعلياً ومثبت بالأرقام؛ ففي هذا السياق، تُعد دراسة</w:t>
      </w:r>
      <w:r w:rsidRPr="007A613E">
        <w:rPr>
          <w:rFonts w:asciiTheme="minorBidi" w:hAnsiTheme="minorBidi"/>
          <w:sz w:val="28"/>
          <w:szCs w:val="28"/>
        </w:rPr>
        <w:t xml:space="preserve"> (Wang &amp; Liu, 2022) </w:t>
      </w:r>
      <w:r w:rsidRPr="007A613E">
        <w:rPr>
          <w:rFonts w:asciiTheme="minorBidi" w:hAnsiTheme="minorBidi"/>
          <w:sz w:val="28"/>
          <w:szCs w:val="28"/>
          <w:rtl/>
        </w:rPr>
        <w:t>مثالًا بارزًا، حيث قامت بقياس مؤشرات الأداء المالي والبيئي للشركات التي تبنّت استراتيجيات دائرية. وقد خلصت هذه الدراسة، وغيرها من الأدبيات المماثلة، إلى ما يُعرف اصطلاحًا بالحجة الاقتصادية للاستدامة. وتتمثل أبرز نتائج هذا التيار فيما يلي</w:t>
      </w:r>
      <w:r w:rsidRPr="007A613E">
        <w:rPr>
          <w:rFonts w:asciiTheme="minorBidi" w:hAnsiTheme="minorBidi"/>
          <w:sz w:val="28"/>
          <w:szCs w:val="28"/>
        </w:rPr>
        <w:t>:</w:t>
      </w:r>
    </w:p>
    <w:p w14:paraId="302B6302" w14:textId="77777777" w:rsidR="007A613E" w:rsidRPr="007A613E" w:rsidRDefault="007A613E" w:rsidP="00ED10D0">
      <w:pPr>
        <w:bidi/>
        <w:spacing w:line="480" w:lineRule="auto"/>
        <w:ind w:firstLine="227"/>
        <w:jc w:val="lowKashida"/>
        <w:rPr>
          <w:rFonts w:asciiTheme="minorBidi" w:hAnsiTheme="minorBidi"/>
          <w:sz w:val="28"/>
          <w:szCs w:val="28"/>
        </w:rPr>
      </w:pPr>
      <w:r w:rsidRPr="007A613E">
        <w:rPr>
          <w:rFonts w:asciiTheme="minorBidi" w:hAnsiTheme="minorBidi"/>
          <w:sz w:val="28"/>
          <w:szCs w:val="28"/>
        </w:rPr>
        <w:t>•</w:t>
      </w:r>
      <w:r w:rsidRPr="007A613E">
        <w:rPr>
          <w:rFonts w:asciiTheme="minorBidi" w:hAnsiTheme="minorBidi"/>
          <w:sz w:val="28"/>
          <w:szCs w:val="28"/>
        </w:rPr>
        <w:tab/>
      </w:r>
      <w:r w:rsidRPr="007A613E">
        <w:rPr>
          <w:rFonts w:asciiTheme="minorBidi" w:hAnsiTheme="minorBidi"/>
          <w:sz w:val="28"/>
          <w:szCs w:val="28"/>
          <w:rtl/>
        </w:rPr>
        <w:t>خفض التكاليف التشغيلية: عبر تحسين كفاءة استخدام الموارد، وتقليل الهدر</w:t>
      </w:r>
      <w:r w:rsidRPr="007A613E">
        <w:rPr>
          <w:rFonts w:asciiTheme="minorBidi" w:hAnsiTheme="minorBidi"/>
          <w:sz w:val="28"/>
          <w:szCs w:val="28"/>
        </w:rPr>
        <w:t>.</w:t>
      </w:r>
    </w:p>
    <w:p w14:paraId="0B81FFBF" w14:textId="77777777" w:rsidR="007A613E" w:rsidRPr="007A613E" w:rsidRDefault="007A613E" w:rsidP="00ED10D0">
      <w:pPr>
        <w:bidi/>
        <w:spacing w:line="480" w:lineRule="auto"/>
        <w:ind w:firstLine="227"/>
        <w:jc w:val="lowKashida"/>
        <w:rPr>
          <w:rFonts w:asciiTheme="minorBidi" w:hAnsiTheme="minorBidi"/>
          <w:sz w:val="28"/>
          <w:szCs w:val="28"/>
        </w:rPr>
      </w:pPr>
      <w:r w:rsidRPr="007A613E">
        <w:rPr>
          <w:rFonts w:asciiTheme="minorBidi" w:hAnsiTheme="minorBidi"/>
          <w:sz w:val="28"/>
          <w:szCs w:val="28"/>
        </w:rPr>
        <w:t>•</w:t>
      </w:r>
      <w:r w:rsidRPr="007A613E">
        <w:rPr>
          <w:rFonts w:asciiTheme="minorBidi" w:hAnsiTheme="minorBidi"/>
          <w:sz w:val="28"/>
          <w:szCs w:val="28"/>
        </w:rPr>
        <w:tab/>
      </w:r>
      <w:r w:rsidRPr="007A613E">
        <w:rPr>
          <w:rFonts w:asciiTheme="minorBidi" w:hAnsiTheme="minorBidi"/>
          <w:sz w:val="28"/>
          <w:szCs w:val="28"/>
          <w:rtl/>
        </w:rPr>
        <w:t>توليد مصادر جديدة للإيرادات: من خلال إعادة الاستخدام، أو فتح أسواق جديدة للمنتجات المعاد تدويرها</w:t>
      </w:r>
      <w:r w:rsidRPr="007A613E">
        <w:rPr>
          <w:rFonts w:asciiTheme="minorBidi" w:hAnsiTheme="minorBidi"/>
          <w:sz w:val="28"/>
          <w:szCs w:val="28"/>
        </w:rPr>
        <w:t>.</w:t>
      </w:r>
    </w:p>
    <w:p w14:paraId="153D08D2" w14:textId="77777777" w:rsidR="007A613E" w:rsidRPr="007A613E" w:rsidRDefault="007A613E" w:rsidP="00ED10D0">
      <w:pPr>
        <w:bidi/>
        <w:spacing w:line="480" w:lineRule="auto"/>
        <w:ind w:firstLine="227"/>
        <w:jc w:val="lowKashida"/>
        <w:rPr>
          <w:rFonts w:asciiTheme="minorBidi" w:hAnsiTheme="minorBidi"/>
          <w:sz w:val="28"/>
          <w:szCs w:val="28"/>
        </w:rPr>
      </w:pPr>
      <w:r w:rsidRPr="007A613E">
        <w:rPr>
          <w:rFonts w:asciiTheme="minorBidi" w:hAnsiTheme="minorBidi"/>
          <w:sz w:val="28"/>
          <w:szCs w:val="28"/>
        </w:rPr>
        <w:t>•</w:t>
      </w:r>
      <w:r w:rsidRPr="007A613E">
        <w:rPr>
          <w:rFonts w:asciiTheme="minorBidi" w:hAnsiTheme="minorBidi"/>
          <w:sz w:val="28"/>
          <w:szCs w:val="28"/>
        </w:rPr>
        <w:tab/>
      </w:r>
      <w:r w:rsidRPr="007A613E">
        <w:rPr>
          <w:rFonts w:asciiTheme="minorBidi" w:hAnsiTheme="minorBidi"/>
          <w:sz w:val="28"/>
          <w:szCs w:val="28"/>
          <w:rtl/>
        </w:rPr>
        <w:t>تعزيز القيمة السوقية للعلامة التجارية: نتيجة لتنامي الطلب المجتمعي والتنظيمي على ممارسات الاستدامة</w:t>
      </w:r>
      <w:r w:rsidRPr="007A613E">
        <w:rPr>
          <w:rFonts w:asciiTheme="minorBidi" w:hAnsiTheme="minorBidi"/>
          <w:sz w:val="28"/>
          <w:szCs w:val="28"/>
        </w:rPr>
        <w:t>.</w:t>
      </w:r>
    </w:p>
    <w:p w14:paraId="6188303C" w14:textId="77777777" w:rsidR="007A613E" w:rsidRPr="007A613E" w:rsidRDefault="007A613E" w:rsidP="00ED10D0">
      <w:pPr>
        <w:bidi/>
        <w:spacing w:line="480" w:lineRule="auto"/>
        <w:ind w:firstLine="227"/>
        <w:jc w:val="lowKashida"/>
        <w:rPr>
          <w:rFonts w:asciiTheme="minorBidi" w:hAnsiTheme="minorBidi"/>
          <w:sz w:val="28"/>
          <w:szCs w:val="28"/>
        </w:rPr>
      </w:pPr>
      <w:r w:rsidRPr="007A613E">
        <w:rPr>
          <w:rFonts w:asciiTheme="minorBidi" w:hAnsiTheme="minorBidi"/>
          <w:sz w:val="28"/>
          <w:szCs w:val="28"/>
          <w:rtl/>
        </w:rPr>
        <w:t xml:space="preserve">لقد ساعد هذا التيار على تحويل الاقتصاد الدائري من مجال بيئي متخصص إلى عنصر مركزي ضمن استراتيجيات النمو والتنافس في الأسواق الحديثة. لكن، وعلى الرغم من أهميته، يظل هذا التيار محكومًا بقيدٍ منهجي واضح، يتمثل في اعتماده على التحليل بأثر رجعي؛ أي أنه يعتمد على بيانات تاريخية لشركات قائمة، ومنتجات ناضجة، وسجلات أداء متوفرة، وهو ما يُعرف بـ. وبالتالي، فإن هذا النهج لا يمتلك القدرة المنهجية على تقييم المبادرات والمشاريع التي لا تزال في مراحلها الأولية أو التخطيطية، كما هو الحال في </w:t>
      </w:r>
      <w:r w:rsidRPr="007A613E">
        <w:rPr>
          <w:rFonts w:asciiTheme="minorBidi" w:hAnsiTheme="minorBidi"/>
          <w:sz w:val="28"/>
          <w:szCs w:val="28"/>
          <w:rtl/>
        </w:rPr>
        <w:lastRenderedPageBreak/>
        <w:t>مشروع نيوم. إن الاقتصار على هذا الأسلوب البحثي يعني عمليًا تأجيل أي تقييم علمي جاد لعقود قادمة، لحين توافر البيانات التشغيلية الفعلية. وهذا بدوره يقوّض وظيفة البحث العلمي كأداة استشرافية ونقدية قادرة على التأثير في المسارات التنموية قبل أن تتبلور نتائجها النهائية</w:t>
      </w:r>
      <w:r w:rsidRPr="007A613E">
        <w:rPr>
          <w:rFonts w:asciiTheme="minorBidi" w:hAnsiTheme="minorBidi"/>
          <w:sz w:val="28"/>
          <w:szCs w:val="28"/>
        </w:rPr>
        <w:t>.</w:t>
      </w:r>
    </w:p>
    <w:p w14:paraId="40AF66BB" w14:textId="77777777" w:rsidR="007A613E" w:rsidRPr="009B3A5C" w:rsidRDefault="007A613E" w:rsidP="00ED10D0">
      <w:pPr>
        <w:bidi/>
        <w:spacing w:line="480" w:lineRule="auto"/>
        <w:ind w:firstLine="227"/>
        <w:jc w:val="lowKashida"/>
        <w:rPr>
          <w:rFonts w:asciiTheme="minorBidi" w:hAnsiTheme="minorBidi"/>
          <w:b/>
          <w:bCs/>
          <w:sz w:val="28"/>
          <w:szCs w:val="28"/>
        </w:rPr>
      </w:pPr>
      <w:r w:rsidRPr="009B3A5C">
        <w:rPr>
          <w:rFonts w:asciiTheme="minorBidi" w:hAnsiTheme="minorBidi"/>
          <w:b/>
          <w:bCs/>
          <w:sz w:val="28"/>
          <w:szCs w:val="28"/>
          <w:rtl/>
        </w:rPr>
        <w:t>التيار الثالث: الدراسات السياقية وتحديات التطبيق الإقليمي</w:t>
      </w:r>
    </w:p>
    <w:p w14:paraId="2404F438" w14:textId="77777777" w:rsidR="007A613E" w:rsidRPr="007A613E" w:rsidRDefault="007A613E" w:rsidP="00ED10D0">
      <w:pPr>
        <w:bidi/>
        <w:spacing w:line="480" w:lineRule="auto"/>
        <w:ind w:firstLine="227"/>
        <w:jc w:val="lowKashida"/>
        <w:rPr>
          <w:rFonts w:asciiTheme="minorBidi" w:hAnsiTheme="minorBidi"/>
          <w:sz w:val="28"/>
          <w:szCs w:val="28"/>
        </w:rPr>
      </w:pPr>
      <w:r w:rsidRPr="007A613E">
        <w:rPr>
          <w:rFonts w:asciiTheme="minorBidi" w:hAnsiTheme="minorBidi"/>
          <w:sz w:val="28"/>
          <w:szCs w:val="28"/>
          <w:rtl/>
        </w:rPr>
        <w:t>يركز هذا التيار على محاولة الانطلاق من أرضية صلبة للنقاش العالمي من خلال العودة إلى تجارب واقعية ضمن سياقات جغرافية وثقافية محددة فالدراسات النوعية، مثل دراسة الهاشمي والحوسني (2024) حول المدن الذكية في منطقة الخليج، تُظهر بوضوح ذلك التوتر القائم بين الرؤى العالمية التي تبدو مثالية على الورق، وبين تعقيدات التنفيذ المحلي لقد كشفت هذه الدراسات عن مجموعة من التحديات المتكررة، مثل الفجوات التنظيمية، وضعف البنية المحلية لسلاسل الإمداد، خاصة في ما يتعلق بالمواد المستدامة، إضافة إلى الحاجة المستمرة لبناء القدرات البشرية وهناك أيضًا ذلك التعارض الذي لا يمكن تجاهله أحيانًا بين خطط يضعها خبراء دوليون، وبين ثقافة استهلاكية محلية لا تتحرك في الاتجاه نفسه. لكن رغم ما تحمله هذه الدراسات من أهمية، فإن نطاقها يظل محدودًا بطبيعته فهي تشتغل على مشروعات صغيرة أو متوسطة الحجم، ولا يمكن مقارنتها بمشروع مثل نيوم الذي لا يمثّل مجرد توسع في الحجم، بل يشكّل قفزة نوعية بكل معنى الكلمة من حيث الطموح، والتعقيد التكنولوجي، وتكامل النظم وهذا يعني أن التحديات التي رُصدت في دراسات سابقة ستظهر هنا على نحو أكثر حدة، بل إن المشروع مرشّح لمواجهة صعوبات جديدة بالكامل، لم تُرصد أو تُدرس حتى الآن</w:t>
      </w:r>
      <w:r w:rsidRPr="007A613E">
        <w:rPr>
          <w:rFonts w:asciiTheme="minorBidi" w:hAnsiTheme="minorBidi"/>
          <w:sz w:val="28"/>
          <w:szCs w:val="28"/>
        </w:rPr>
        <w:t>.</w:t>
      </w:r>
    </w:p>
    <w:p w14:paraId="6D19CB7A" w14:textId="77777777" w:rsidR="007A613E" w:rsidRPr="009B3A5C" w:rsidRDefault="007A613E" w:rsidP="00ED10D0">
      <w:pPr>
        <w:bidi/>
        <w:spacing w:line="480" w:lineRule="auto"/>
        <w:ind w:firstLine="227"/>
        <w:jc w:val="lowKashida"/>
        <w:rPr>
          <w:rFonts w:asciiTheme="minorBidi" w:hAnsiTheme="minorBidi"/>
          <w:b/>
          <w:bCs/>
          <w:sz w:val="28"/>
          <w:szCs w:val="28"/>
        </w:rPr>
      </w:pPr>
      <w:r w:rsidRPr="009B3A5C">
        <w:rPr>
          <w:rFonts w:asciiTheme="minorBidi" w:hAnsiTheme="minorBidi"/>
          <w:b/>
          <w:bCs/>
          <w:sz w:val="28"/>
          <w:szCs w:val="28"/>
          <w:rtl/>
        </w:rPr>
        <w:t>تحديد الفجوة البحثية والمساهمة المقترحة</w:t>
      </w:r>
      <w:r w:rsidRPr="009B3A5C">
        <w:rPr>
          <w:rFonts w:asciiTheme="minorBidi" w:hAnsiTheme="minorBidi"/>
          <w:b/>
          <w:bCs/>
          <w:sz w:val="28"/>
          <w:szCs w:val="28"/>
        </w:rPr>
        <w:t>:</w:t>
      </w:r>
    </w:p>
    <w:p w14:paraId="119FFDEF" w14:textId="77777777" w:rsidR="007A613E" w:rsidRPr="007A613E" w:rsidRDefault="007A613E" w:rsidP="00ED10D0">
      <w:pPr>
        <w:bidi/>
        <w:spacing w:line="480" w:lineRule="auto"/>
        <w:ind w:firstLine="227"/>
        <w:jc w:val="lowKashida"/>
        <w:rPr>
          <w:rFonts w:asciiTheme="minorBidi" w:hAnsiTheme="minorBidi"/>
          <w:sz w:val="28"/>
          <w:szCs w:val="28"/>
        </w:rPr>
      </w:pPr>
      <w:r w:rsidRPr="007A613E">
        <w:rPr>
          <w:rFonts w:asciiTheme="minorBidi" w:hAnsiTheme="minorBidi"/>
          <w:sz w:val="28"/>
          <w:szCs w:val="28"/>
          <w:rtl/>
        </w:rPr>
        <w:t xml:space="preserve">إن القراءة النقدية المتزامنة لهذه التيارات الثلاثة تكشف بوضوح عن وجود فجوة معرفية مركبة وحاسمة تقع عند نقطة الالتقاء بين النظرية والتطبيق، وبين الحاضر والمستقبل لدينا أطر نظرية قائمة، نعم، لكنها قد </w:t>
      </w:r>
      <w:r w:rsidRPr="007A613E">
        <w:rPr>
          <w:rFonts w:asciiTheme="minorBidi" w:hAnsiTheme="minorBidi"/>
          <w:sz w:val="28"/>
          <w:szCs w:val="28"/>
          <w:rtl/>
        </w:rPr>
        <w:lastRenderedPageBreak/>
        <w:t>لا تكون مناسبة تمامًا للمشهد المتغير ولدينا كذلك دراسات تجريبية تنظر غالبًا إلى الماضي، إلى ما حدث بالفعل، بينما تظل الأبحاث السياقية محصورة في نطاقات محدودة لا تعكس تعقيد المشروعات العملاقة في المقابل، نلاحظ غيابًا لافتًا لأي تحليل أكاديمي منهجي للخطط الاستراتيجية المُعلنة تلك التي تشكل الأساس المفترض لمستقبل هذه المشاريع هنا بالضبط تكمن الفجوة الحقيقية غياب التشريح الأكاديمي للنية الاستراتيجية في مشروع بحجم وتأثير نيوم العالمي. وعلى هذا الأساس، يأتي هذا البحث ليملأ تلك المساحة الصامتة مصممًا بدقة ليعالج هذا النقص من خلال منهج تحليلي مكتبي يعتمد على التحليل النوعي للوثائق الرسمية، بما يشمل المخططات الرئيسية، البيانات الصحفية، الخطابات الرسمية، والتقارير الاستراتيجية ستقوم الدراسة بما يشبه الهندسة العكسية للخطاب الاستراتيجي لنيوم، بهدف تصنيفه وتحليله وفق الأطر المعتمدة لنماذج الأعمال الدائرية. إن مساهمة هذا البحث لا تقتصر على بعد واحد، بل تمتد عبر ثلاثة مستويات رئيسية</w:t>
      </w:r>
      <w:r w:rsidRPr="007A613E">
        <w:rPr>
          <w:rFonts w:asciiTheme="minorBidi" w:hAnsiTheme="minorBidi"/>
          <w:sz w:val="28"/>
          <w:szCs w:val="28"/>
        </w:rPr>
        <w:t>:</w:t>
      </w:r>
    </w:p>
    <w:p w14:paraId="41DD81FB" w14:textId="77777777" w:rsidR="007A613E" w:rsidRPr="007A613E" w:rsidRDefault="007A613E" w:rsidP="00ED10D0">
      <w:pPr>
        <w:bidi/>
        <w:spacing w:line="480" w:lineRule="auto"/>
        <w:ind w:firstLine="227"/>
        <w:jc w:val="lowKashida"/>
        <w:rPr>
          <w:rFonts w:asciiTheme="minorBidi" w:hAnsiTheme="minorBidi"/>
          <w:sz w:val="28"/>
          <w:szCs w:val="28"/>
        </w:rPr>
      </w:pPr>
      <w:r w:rsidRPr="007A613E">
        <w:rPr>
          <w:rFonts w:asciiTheme="minorBidi" w:hAnsiTheme="minorBidi"/>
          <w:sz w:val="28"/>
          <w:szCs w:val="28"/>
        </w:rPr>
        <w:t>•</w:t>
      </w:r>
      <w:r w:rsidRPr="007A613E">
        <w:rPr>
          <w:rFonts w:asciiTheme="minorBidi" w:hAnsiTheme="minorBidi"/>
          <w:sz w:val="28"/>
          <w:szCs w:val="28"/>
        </w:rPr>
        <w:tab/>
      </w:r>
      <w:r w:rsidRPr="009B3A5C">
        <w:rPr>
          <w:rFonts w:asciiTheme="minorBidi" w:hAnsiTheme="minorBidi"/>
          <w:b/>
          <w:bCs/>
          <w:sz w:val="28"/>
          <w:szCs w:val="28"/>
          <w:rtl/>
        </w:rPr>
        <w:t>نظريًا</w:t>
      </w:r>
      <w:r w:rsidRPr="007A613E">
        <w:rPr>
          <w:rFonts w:asciiTheme="minorBidi" w:hAnsiTheme="minorBidi"/>
          <w:sz w:val="28"/>
          <w:szCs w:val="28"/>
          <w:rtl/>
        </w:rPr>
        <w:t>: يختبر صلاحية وتطبيقية الأطر النظرية الحالية على حالة دراسية قصوى، ما قد يتيح فرصة لإعادة النظر فيها، تطويرها أو توسيع نطاق استخدامها</w:t>
      </w:r>
      <w:r w:rsidRPr="007A613E">
        <w:rPr>
          <w:rFonts w:asciiTheme="minorBidi" w:hAnsiTheme="minorBidi"/>
          <w:sz w:val="28"/>
          <w:szCs w:val="28"/>
        </w:rPr>
        <w:t>.</w:t>
      </w:r>
    </w:p>
    <w:p w14:paraId="69D050F3" w14:textId="77777777" w:rsidR="007A613E" w:rsidRPr="007A613E" w:rsidRDefault="007A613E" w:rsidP="00ED10D0">
      <w:pPr>
        <w:bidi/>
        <w:spacing w:line="480" w:lineRule="auto"/>
        <w:ind w:firstLine="227"/>
        <w:jc w:val="lowKashida"/>
        <w:rPr>
          <w:rFonts w:asciiTheme="minorBidi" w:hAnsiTheme="minorBidi"/>
          <w:sz w:val="28"/>
          <w:szCs w:val="28"/>
        </w:rPr>
      </w:pPr>
      <w:r w:rsidRPr="007A613E">
        <w:rPr>
          <w:rFonts w:asciiTheme="minorBidi" w:hAnsiTheme="minorBidi"/>
          <w:sz w:val="28"/>
          <w:szCs w:val="28"/>
        </w:rPr>
        <w:t>•</w:t>
      </w:r>
      <w:r w:rsidRPr="007A613E">
        <w:rPr>
          <w:rFonts w:asciiTheme="minorBidi" w:hAnsiTheme="minorBidi"/>
          <w:sz w:val="28"/>
          <w:szCs w:val="28"/>
        </w:rPr>
        <w:tab/>
      </w:r>
      <w:r w:rsidRPr="009B3A5C">
        <w:rPr>
          <w:rFonts w:asciiTheme="minorBidi" w:hAnsiTheme="minorBidi"/>
          <w:b/>
          <w:bCs/>
          <w:sz w:val="28"/>
          <w:szCs w:val="28"/>
          <w:rtl/>
        </w:rPr>
        <w:t>تجريبيًا</w:t>
      </w:r>
      <w:r w:rsidRPr="007A613E">
        <w:rPr>
          <w:rFonts w:asciiTheme="minorBidi" w:hAnsiTheme="minorBidi"/>
          <w:sz w:val="28"/>
          <w:szCs w:val="28"/>
          <w:rtl/>
        </w:rPr>
        <w:t>: يوفر خط أساس تحليلي مُسبق يمكن أن يعتمد عليه الباحثون لاحقًا لمقارنة الأداء الفعلي مع ما ورد في الخطط والوعود، مما يفتح الطريق أمام دراسات تقييم الأثر المستقبلية</w:t>
      </w:r>
      <w:r w:rsidRPr="007A613E">
        <w:rPr>
          <w:rFonts w:asciiTheme="minorBidi" w:hAnsiTheme="minorBidi"/>
          <w:sz w:val="28"/>
          <w:szCs w:val="28"/>
        </w:rPr>
        <w:t>.</w:t>
      </w:r>
    </w:p>
    <w:p w14:paraId="77BE6127" w14:textId="77777777" w:rsidR="007A613E" w:rsidRPr="007A613E" w:rsidRDefault="007A613E" w:rsidP="00ED10D0">
      <w:pPr>
        <w:bidi/>
        <w:spacing w:line="480" w:lineRule="auto"/>
        <w:ind w:firstLine="227"/>
        <w:jc w:val="lowKashida"/>
        <w:rPr>
          <w:rFonts w:asciiTheme="minorBidi" w:hAnsiTheme="minorBidi"/>
          <w:sz w:val="28"/>
          <w:szCs w:val="28"/>
        </w:rPr>
      </w:pPr>
      <w:r w:rsidRPr="007A613E">
        <w:rPr>
          <w:rFonts w:asciiTheme="minorBidi" w:hAnsiTheme="minorBidi"/>
          <w:sz w:val="28"/>
          <w:szCs w:val="28"/>
        </w:rPr>
        <w:t>•</w:t>
      </w:r>
      <w:r w:rsidRPr="007A613E">
        <w:rPr>
          <w:rFonts w:asciiTheme="minorBidi" w:hAnsiTheme="minorBidi"/>
          <w:sz w:val="28"/>
          <w:szCs w:val="28"/>
        </w:rPr>
        <w:tab/>
      </w:r>
      <w:r w:rsidRPr="009B3A5C">
        <w:rPr>
          <w:rFonts w:asciiTheme="minorBidi" w:hAnsiTheme="minorBidi"/>
          <w:b/>
          <w:bCs/>
          <w:sz w:val="28"/>
          <w:szCs w:val="28"/>
          <w:rtl/>
        </w:rPr>
        <w:t>منهجيًا</w:t>
      </w:r>
      <w:r w:rsidRPr="007A613E">
        <w:rPr>
          <w:rFonts w:asciiTheme="minorBidi" w:hAnsiTheme="minorBidi"/>
          <w:sz w:val="28"/>
          <w:szCs w:val="28"/>
          <w:rtl/>
        </w:rPr>
        <w:t>: يبرهن هذا البحث على القيمة العلمية لتحليل الخطاب الاستراتيجي، باعتباره أداة بحثية ضرورية خصوصًا عند التعامل مع ظواهر ناشئة تتجاوز قدرات المناهج التجريبية التقليدية في مراحلها الأولى</w:t>
      </w:r>
      <w:r w:rsidRPr="007A613E">
        <w:rPr>
          <w:rFonts w:asciiTheme="minorBidi" w:hAnsiTheme="minorBidi"/>
          <w:sz w:val="28"/>
          <w:szCs w:val="28"/>
        </w:rPr>
        <w:t>.</w:t>
      </w:r>
    </w:p>
    <w:p w14:paraId="5DA1FE11" w14:textId="77777777" w:rsidR="007A613E" w:rsidRPr="007A613E" w:rsidRDefault="007A613E" w:rsidP="00ED10D0">
      <w:pPr>
        <w:bidi/>
        <w:spacing w:line="480" w:lineRule="auto"/>
        <w:ind w:firstLine="227"/>
        <w:jc w:val="lowKashida"/>
        <w:rPr>
          <w:rFonts w:asciiTheme="minorBidi" w:hAnsiTheme="minorBidi"/>
          <w:sz w:val="28"/>
          <w:szCs w:val="28"/>
        </w:rPr>
      </w:pPr>
      <w:r w:rsidRPr="007A613E">
        <w:rPr>
          <w:rFonts w:asciiTheme="minorBidi" w:hAnsiTheme="minorBidi"/>
          <w:sz w:val="28"/>
          <w:szCs w:val="28"/>
          <w:rtl/>
        </w:rPr>
        <w:lastRenderedPageBreak/>
        <w:t>وباختصار، يسعى هذا البحث إلى تقديم منظور مكمّل وحيوي ينقل النقاش من سؤال: ماذا تم؟ إلى سؤال: ماذا يُخطط له وكيف، مساهمًا بذلك في بناء فهم أعمق وأكثر نقدية لأحد أبرز التحولات التنموية في هذا العصر</w:t>
      </w:r>
      <w:r w:rsidRPr="007A613E">
        <w:rPr>
          <w:rFonts w:asciiTheme="minorBidi" w:hAnsiTheme="minorBidi"/>
          <w:sz w:val="28"/>
          <w:szCs w:val="28"/>
        </w:rPr>
        <w:t>.</w:t>
      </w:r>
    </w:p>
    <w:p w14:paraId="0E8FE731" w14:textId="77777777" w:rsidR="00A7786E" w:rsidRPr="007A613E" w:rsidRDefault="00A7786E" w:rsidP="00ED10D0">
      <w:pPr>
        <w:bidi/>
        <w:spacing w:line="480" w:lineRule="auto"/>
        <w:ind w:firstLine="227"/>
        <w:jc w:val="lowKashida"/>
        <w:rPr>
          <w:rFonts w:asciiTheme="minorBidi" w:hAnsiTheme="minorBidi"/>
          <w:sz w:val="28"/>
          <w:szCs w:val="28"/>
        </w:rPr>
      </w:pPr>
    </w:p>
    <w:sectPr w:rsidR="00A7786E" w:rsidRPr="007A613E">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04B560" w14:textId="77777777" w:rsidR="00560ECA" w:rsidRDefault="00560ECA" w:rsidP="00DC586D">
      <w:pPr>
        <w:spacing w:after="0" w:line="240" w:lineRule="auto"/>
      </w:pPr>
      <w:r>
        <w:separator/>
      </w:r>
    </w:p>
  </w:endnote>
  <w:endnote w:type="continuationSeparator" w:id="0">
    <w:p w14:paraId="7F3E03BF" w14:textId="77777777" w:rsidR="00560ECA" w:rsidRDefault="00560ECA" w:rsidP="00DC58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5675596"/>
      <w:docPartObj>
        <w:docPartGallery w:val="Page Numbers (Bottom of Page)"/>
        <w:docPartUnique/>
      </w:docPartObj>
    </w:sdtPr>
    <w:sdtEndPr>
      <w:rPr>
        <w:noProof/>
      </w:rPr>
    </w:sdtEndPr>
    <w:sdtContent>
      <w:p w14:paraId="4111F7E2" w14:textId="136C7C6C" w:rsidR="00DC586D" w:rsidRDefault="00DC586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32D39B" w14:textId="77777777" w:rsidR="00DC586D" w:rsidRDefault="00DC58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39F1C1" w14:textId="77777777" w:rsidR="00560ECA" w:rsidRDefault="00560ECA" w:rsidP="00DC586D">
      <w:pPr>
        <w:spacing w:after="0" w:line="240" w:lineRule="auto"/>
      </w:pPr>
      <w:r>
        <w:separator/>
      </w:r>
    </w:p>
  </w:footnote>
  <w:footnote w:type="continuationSeparator" w:id="0">
    <w:p w14:paraId="688C96EE" w14:textId="77777777" w:rsidR="00560ECA" w:rsidRDefault="00560ECA" w:rsidP="00DC58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110E1"/>
    <w:multiLevelType w:val="multilevel"/>
    <w:tmpl w:val="8490F2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DC6EAB"/>
    <w:multiLevelType w:val="hybridMultilevel"/>
    <w:tmpl w:val="DC8A1996"/>
    <w:lvl w:ilvl="0" w:tplc="04090001">
      <w:start w:val="1"/>
      <w:numFmt w:val="bullet"/>
      <w:lvlText w:val=""/>
      <w:lvlJc w:val="left"/>
      <w:pPr>
        <w:ind w:left="1724" w:hanging="360"/>
      </w:pPr>
      <w:rPr>
        <w:rFonts w:ascii="Symbol" w:hAnsi="Symbol" w:hint="default"/>
      </w:rPr>
    </w:lvl>
    <w:lvl w:ilvl="1" w:tplc="04090003" w:tentative="1">
      <w:start w:val="1"/>
      <w:numFmt w:val="bullet"/>
      <w:lvlText w:val="o"/>
      <w:lvlJc w:val="left"/>
      <w:pPr>
        <w:ind w:left="2444" w:hanging="360"/>
      </w:pPr>
      <w:rPr>
        <w:rFonts w:ascii="Courier New" w:hAnsi="Courier New" w:cs="Courier New" w:hint="default"/>
      </w:rPr>
    </w:lvl>
    <w:lvl w:ilvl="2" w:tplc="04090005" w:tentative="1">
      <w:start w:val="1"/>
      <w:numFmt w:val="bullet"/>
      <w:lvlText w:val=""/>
      <w:lvlJc w:val="left"/>
      <w:pPr>
        <w:ind w:left="3164" w:hanging="360"/>
      </w:pPr>
      <w:rPr>
        <w:rFonts w:ascii="Wingdings" w:hAnsi="Wingdings" w:hint="default"/>
      </w:rPr>
    </w:lvl>
    <w:lvl w:ilvl="3" w:tplc="04090001" w:tentative="1">
      <w:start w:val="1"/>
      <w:numFmt w:val="bullet"/>
      <w:lvlText w:val=""/>
      <w:lvlJc w:val="left"/>
      <w:pPr>
        <w:ind w:left="3884" w:hanging="360"/>
      </w:pPr>
      <w:rPr>
        <w:rFonts w:ascii="Symbol" w:hAnsi="Symbol" w:hint="default"/>
      </w:rPr>
    </w:lvl>
    <w:lvl w:ilvl="4" w:tplc="04090003" w:tentative="1">
      <w:start w:val="1"/>
      <w:numFmt w:val="bullet"/>
      <w:lvlText w:val="o"/>
      <w:lvlJc w:val="left"/>
      <w:pPr>
        <w:ind w:left="4604" w:hanging="360"/>
      </w:pPr>
      <w:rPr>
        <w:rFonts w:ascii="Courier New" w:hAnsi="Courier New" w:cs="Courier New" w:hint="default"/>
      </w:rPr>
    </w:lvl>
    <w:lvl w:ilvl="5" w:tplc="04090005" w:tentative="1">
      <w:start w:val="1"/>
      <w:numFmt w:val="bullet"/>
      <w:lvlText w:val=""/>
      <w:lvlJc w:val="left"/>
      <w:pPr>
        <w:ind w:left="5324" w:hanging="360"/>
      </w:pPr>
      <w:rPr>
        <w:rFonts w:ascii="Wingdings" w:hAnsi="Wingdings" w:hint="default"/>
      </w:rPr>
    </w:lvl>
    <w:lvl w:ilvl="6" w:tplc="04090001" w:tentative="1">
      <w:start w:val="1"/>
      <w:numFmt w:val="bullet"/>
      <w:lvlText w:val=""/>
      <w:lvlJc w:val="left"/>
      <w:pPr>
        <w:ind w:left="6044" w:hanging="360"/>
      </w:pPr>
      <w:rPr>
        <w:rFonts w:ascii="Symbol" w:hAnsi="Symbol" w:hint="default"/>
      </w:rPr>
    </w:lvl>
    <w:lvl w:ilvl="7" w:tplc="04090003" w:tentative="1">
      <w:start w:val="1"/>
      <w:numFmt w:val="bullet"/>
      <w:lvlText w:val="o"/>
      <w:lvlJc w:val="left"/>
      <w:pPr>
        <w:ind w:left="6764" w:hanging="360"/>
      </w:pPr>
      <w:rPr>
        <w:rFonts w:ascii="Courier New" w:hAnsi="Courier New" w:cs="Courier New" w:hint="default"/>
      </w:rPr>
    </w:lvl>
    <w:lvl w:ilvl="8" w:tplc="04090005" w:tentative="1">
      <w:start w:val="1"/>
      <w:numFmt w:val="bullet"/>
      <w:lvlText w:val=""/>
      <w:lvlJc w:val="left"/>
      <w:pPr>
        <w:ind w:left="7484" w:hanging="360"/>
      </w:pPr>
      <w:rPr>
        <w:rFonts w:ascii="Wingdings" w:hAnsi="Wingdings" w:hint="default"/>
      </w:rPr>
    </w:lvl>
  </w:abstractNum>
  <w:abstractNum w:abstractNumId="2" w15:restartNumberingAfterBreak="0">
    <w:nsid w:val="132527CE"/>
    <w:multiLevelType w:val="hybridMultilevel"/>
    <w:tmpl w:val="A7DAFF1C"/>
    <w:lvl w:ilvl="0" w:tplc="04090001">
      <w:start w:val="1"/>
      <w:numFmt w:val="bullet"/>
      <w:lvlText w:val=""/>
      <w:lvlJc w:val="left"/>
      <w:pPr>
        <w:ind w:left="1724" w:hanging="360"/>
      </w:pPr>
      <w:rPr>
        <w:rFonts w:ascii="Symbol" w:hAnsi="Symbol" w:hint="default"/>
      </w:rPr>
    </w:lvl>
    <w:lvl w:ilvl="1" w:tplc="04090003" w:tentative="1">
      <w:start w:val="1"/>
      <w:numFmt w:val="bullet"/>
      <w:lvlText w:val="o"/>
      <w:lvlJc w:val="left"/>
      <w:pPr>
        <w:ind w:left="2444" w:hanging="360"/>
      </w:pPr>
      <w:rPr>
        <w:rFonts w:ascii="Courier New" w:hAnsi="Courier New" w:cs="Courier New" w:hint="default"/>
      </w:rPr>
    </w:lvl>
    <w:lvl w:ilvl="2" w:tplc="04090005" w:tentative="1">
      <w:start w:val="1"/>
      <w:numFmt w:val="bullet"/>
      <w:lvlText w:val=""/>
      <w:lvlJc w:val="left"/>
      <w:pPr>
        <w:ind w:left="3164" w:hanging="360"/>
      </w:pPr>
      <w:rPr>
        <w:rFonts w:ascii="Wingdings" w:hAnsi="Wingdings" w:hint="default"/>
      </w:rPr>
    </w:lvl>
    <w:lvl w:ilvl="3" w:tplc="04090001" w:tentative="1">
      <w:start w:val="1"/>
      <w:numFmt w:val="bullet"/>
      <w:lvlText w:val=""/>
      <w:lvlJc w:val="left"/>
      <w:pPr>
        <w:ind w:left="3884" w:hanging="360"/>
      </w:pPr>
      <w:rPr>
        <w:rFonts w:ascii="Symbol" w:hAnsi="Symbol" w:hint="default"/>
      </w:rPr>
    </w:lvl>
    <w:lvl w:ilvl="4" w:tplc="04090003" w:tentative="1">
      <w:start w:val="1"/>
      <w:numFmt w:val="bullet"/>
      <w:lvlText w:val="o"/>
      <w:lvlJc w:val="left"/>
      <w:pPr>
        <w:ind w:left="4604" w:hanging="360"/>
      </w:pPr>
      <w:rPr>
        <w:rFonts w:ascii="Courier New" w:hAnsi="Courier New" w:cs="Courier New" w:hint="default"/>
      </w:rPr>
    </w:lvl>
    <w:lvl w:ilvl="5" w:tplc="04090005" w:tentative="1">
      <w:start w:val="1"/>
      <w:numFmt w:val="bullet"/>
      <w:lvlText w:val=""/>
      <w:lvlJc w:val="left"/>
      <w:pPr>
        <w:ind w:left="5324" w:hanging="360"/>
      </w:pPr>
      <w:rPr>
        <w:rFonts w:ascii="Wingdings" w:hAnsi="Wingdings" w:hint="default"/>
      </w:rPr>
    </w:lvl>
    <w:lvl w:ilvl="6" w:tplc="04090001" w:tentative="1">
      <w:start w:val="1"/>
      <w:numFmt w:val="bullet"/>
      <w:lvlText w:val=""/>
      <w:lvlJc w:val="left"/>
      <w:pPr>
        <w:ind w:left="6044" w:hanging="360"/>
      </w:pPr>
      <w:rPr>
        <w:rFonts w:ascii="Symbol" w:hAnsi="Symbol" w:hint="default"/>
      </w:rPr>
    </w:lvl>
    <w:lvl w:ilvl="7" w:tplc="04090003" w:tentative="1">
      <w:start w:val="1"/>
      <w:numFmt w:val="bullet"/>
      <w:lvlText w:val="o"/>
      <w:lvlJc w:val="left"/>
      <w:pPr>
        <w:ind w:left="6764" w:hanging="360"/>
      </w:pPr>
      <w:rPr>
        <w:rFonts w:ascii="Courier New" w:hAnsi="Courier New" w:cs="Courier New" w:hint="default"/>
      </w:rPr>
    </w:lvl>
    <w:lvl w:ilvl="8" w:tplc="04090005" w:tentative="1">
      <w:start w:val="1"/>
      <w:numFmt w:val="bullet"/>
      <w:lvlText w:val=""/>
      <w:lvlJc w:val="left"/>
      <w:pPr>
        <w:ind w:left="7484" w:hanging="360"/>
      </w:pPr>
      <w:rPr>
        <w:rFonts w:ascii="Wingdings" w:hAnsi="Wingdings" w:hint="default"/>
      </w:rPr>
    </w:lvl>
  </w:abstractNum>
  <w:abstractNum w:abstractNumId="3" w15:restartNumberingAfterBreak="0">
    <w:nsid w:val="1BB950D6"/>
    <w:multiLevelType w:val="hybridMultilevel"/>
    <w:tmpl w:val="C58627D2"/>
    <w:lvl w:ilvl="0" w:tplc="04090001">
      <w:start w:val="1"/>
      <w:numFmt w:val="bullet"/>
      <w:lvlText w:val=""/>
      <w:lvlJc w:val="left"/>
      <w:pPr>
        <w:ind w:left="1724" w:hanging="360"/>
      </w:pPr>
      <w:rPr>
        <w:rFonts w:ascii="Symbol" w:hAnsi="Symbol" w:hint="default"/>
      </w:rPr>
    </w:lvl>
    <w:lvl w:ilvl="1" w:tplc="04090003" w:tentative="1">
      <w:start w:val="1"/>
      <w:numFmt w:val="bullet"/>
      <w:lvlText w:val="o"/>
      <w:lvlJc w:val="left"/>
      <w:pPr>
        <w:ind w:left="2444" w:hanging="360"/>
      </w:pPr>
      <w:rPr>
        <w:rFonts w:ascii="Courier New" w:hAnsi="Courier New" w:cs="Courier New" w:hint="default"/>
      </w:rPr>
    </w:lvl>
    <w:lvl w:ilvl="2" w:tplc="04090005" w:tentative="1">
      <w:start w:val="1"/>
      <w:numFmt w:val="bullet"/>
      <w:lvlText w:val=""/>
      <w:lvlJc w:val="left"/>
      <w:pPr>
        <w:ind w:left="3164" w:hanging="360"/>
      </w:pPr>
      <w:rPr>
        <w:rFonts w:ascii="Wingdings" w:hAnsi="Wingdings" w:hint="default"/>
      </w:rPr>
    </w:lvl>
    <w:lvl w:ilvl="3" w:tplc="04090001" w:tentative="1">
      <w:start w:val="1"/>
      <w:numFmt w:val="bullet"/>
      <w:lvlText w:val=""/>
      <w:lvlJc w:val="left"/>
      <w:pPr>
        <w:ind w:left="3884" w:hanging="360"/>
      </w:pPr>
      <w:rPr>
        <w:rFonts w:ascii="Symbol" w:hAnsi="Symbol" w:hint="default"/>
      </w:rPr>
    </w:lvl>
    <w:lvl w:ilvl="4" w:tplc="04090003" w:tentative="1">
      <w:start w:val="1"/>
      <w:numFmt w:val="bullet"/>
      <w:lvlText w:val="o"/>
      <w:lvlJc w:val="left"/>
      <w:pPr>
        <w:ind w:left="4604" w:hanging="360"/>
      </w:pPr>
      <w:rPr>
        <w:rFonts w:ascii="Courier New" w:hAnsi="Courier New" w:cs="Courier New" w:hint="default"/>
      </w:rPr>
    </w:lvl>
    <w:lvl w:ilvl="5" w:tplc="04090005" w:tentative="1">
      <w:start w:val="1"/>
      <w:numFmt w:val="bullet"/>
      <w:lvlText w:val=""/>
      <w:lvlJc w:val="left"/>
      <w:pPr>
        <w:ind w:left="5324" w:hanging="360"/>
      </w:pPr>
      <w:rPr>
        <w:rFonts w:ascii="Wingdings" w:hAnsi="Wingdings" w:hint="default"/>
      </w:rPr>
    </w:lvl>
    <w:lvl w:ilvl="6" w:tplc="04090001" w:tentative="1">
      <w:start w:val="1"/>
      <w:numFmt w:val="bullet"/>
      <w:lvlText w:val=""/>
      <w:lvlJc w:val="left"/>
      <w:pPr>
        <w:ind w:left="6044" w:hanging="360"/>
      </w:pPr>
      <w:rPr>
        <w:rFonts w:ascii="Symbol" w:hAnsi="Symbol" w:hint="default"/>
      </w:rPr>
    </w:lvl>
    <w:lvl w:ilvl="7" w:tplc="04090003" w:tentative="1">
      <w:start w:val="1"/>
      <w:numFmt w:val="bullet"/>
      <w:lvlText w:val="o"/>
      <w:lvlJc w:val="left"/>
      <w:pPr>
        <w:ind w:left="6764" w:hanging="360"/>
      </w:pPr>
      <w:rPr>
        <w:rFonts w:ascii="Courier New" w:hAnsi="Courier New" w:cs="Courier New" w:hint="default"/>
      </w:rPr>
    </w:lvl>
    <w:lvl w:ilvl="8" w:tplc="04090005" w:tentative="1">
      <w:start w:val="1"/>
      <w:numFmt w:val="bullet"/>
      <w:lvlText w:val=""/>
      <w:lvlJc w:val="left"/>
      <w:pPr>
        <w:ind w:left="7484" w:hanging="360"/>
      </w:pPr>
      <w:rPr>
        <w:rFonts w:ascii="Wingdings" w:hAnsi="Wingdings" w:hint="default"/>
      </w:rPr>
    </w:lvl>
  </w:abstractNum>
  <w:abstractNum w:abstractNumId="4" w15:restartNumberingAfterBreak="0">
    <w:nsid w:val="2170033C"/>
    <w:multiLevelType w:val="hybridMultilevel"/>
    <w:tmpl w:val="583C7728"/>
    <w:lvl w:ilvl="0" w:tplc="04090001">
      <w:start w:val="1"/>
      <w:numFmt w:val="bullet"/>
      <w:lvlText w:val=""/>
      <w:lvlJc w:val="left"/>
      <w:pPr>
        <w:ind w:left="1724" w:hanging="360"/>
      </w:pPr>
      <w:rPr>
        <w:rFonts w:ascii="Symbol" w:hAnsi="Symbol" w:hint="default"/>
      </w:rPr>
    </w:lvl>
    <w:lvl w:ilvl="1" w:tplc="04090003" w:tentative="1">
      <w:start w:val="1"/>
      <w:numFmt w:val="bullet"/>
      <w:lvlText w:val="o"/>
      <w:lvlJc w:val="left"/>
      <w:pPr>
        <w:ind w:left="2444" w:hanging="360"/>
      </w:pPr>
      <w:rPr>
        <w:rFonts w:ascii="Courier New" w:hAnsi="Courier New" w:cs="Courier New" w:hint="default"/>
      </w:rPr>
    </w:lvl>
    <w:lvl w:ilvl="2" w:tplc="04090005" w:tentative="1">
      <w:start w:val="1"/>
      <w:numFmt w:val="bullet"/>
      <w:lvlText w:val=""/>
      <w:lvlJc w:val="left"/>
      <w:pPr>
        <w:ind w:left="3164" w:hanging="360"/>
      </w:pPr>
      <w:rPr>
        <w:rFonts w:ascii="Wingdings" w:hAnsi="Wingdings" w:hint="default"/>
      </w:rPr>
    </w:lvl>
    <w:lvl w:ilvl="3" w:tplc="04090001" w:tentative="1">
      <w:start w:val="1"/>
      <w:numFmt w:val="bullet"/>
      <w:lvlText w:val=""/>
      <w:lvlJc w:val="left"/>
      <w:pPr>
        <w:ind w:left="3884" w:hanging="360"/>
      </w:pPr>
      <w:rPr>
        <w:rFonts w:ascii="Symbol" w:hAnsi="Symbol" w:hint="default"/>
      </w:rPr>
    </w:lvl>
    <w:lvl w:ilvl="4" w:tplc="04090003" w:tentative="1">
      <w:start w:val="1"/>
      <w:numFmt w:val="bullet"/>
      <w:lvlText w:val="o"/>
      <w:lvlJc w:val="left"/>
      <w:pPr>
        <w:ind w:left="4604" w:hanging="360"/>
      </w:pPr>
      <w:rPr>
        <w:rFonts w:ascii="Courier New" w:hAnsi="Courier New" w:cs="Courier New" w:hint="default"/>
      </w:rPr>
    </w:lvl>
    <w:lvl w:ilvl="5" w:tplc="04090005" w:tentative="1">
      <w:start w:val="1"/>
      <w:numFmt w:val="bullet"/>
      <w:lvlText w:val=""/>
      <w:lvlJc w:val="left"/>
      <w:pPr>
        <w:ind w:left="5324" w:hanging="360"/>
      </w:pPr>
      <w:rPr>
        <w:rFonts w:ascii="Wingdings" w:hAnsi="Wingdings" w:hint="default"/>
      </w:rPr>
    </w:lvl>
    <w:lvl w:ilvl="6" w:tplc="04090001" w:tentative="1">
      <w:start w:val="1"/>
      <w:numFmt w:val="bullet"/>
      <w:lvlText w:val=""/>
      <w:lvlJc w:val="left"/>
      <w:pPr>
        <w:ind w:left="6044" w:hanging="360"/>
      </w:pPr>
      <w:rPr>
        <w:rFonts w:ascii="Symbol" w:hAnsi="Symbol" w:hint="default"/>
      </w:rPr>
    </w:lvl>
    <w:lvl w:ilvl="7" w:tplc="04090003" w:tentative="1">
      <w:start w:val="1"/>
      <w:numFmt w:val="bullet"/>
      <w:lvlText w:val="o"/>
      <w:lvlJc w:val="left"/>
      <w:pPr>
        <w:ind w:left="6764" w:hanging="360"/>
      </w:pPr>
      <w:rPr>
        <w:rFonts w:ascii="Courier New" w:hAnsi="Courier New" w:cs="Courier New" w:hint="default"/>
      </w:rPr>
    </w:lvl>
    <w:lvl w:ilvl="8" w:tplc="04090005" w:tentative="1">
      <w:start w:val="1"/>
      <w:numFmt w:val="bullet"/>
      <w:lvlText w:val=""/>
      <w:lvlJc w:val="left"/>
      <w:pPr>
        <w:ind w:left="7484" w:hanging="360"/>
      </w:pPr>
      <w:rPr>
        <w:rFonts w:ascii="Wingdings" w:hAnsi="Wingdings" w:hint="default"/>
      </w:rPr>
    </w:lvl>
  </w:abstractNum>
  <w:abstractNum w:abstractNumId="5" w15:restartNumberingAfterBreak="0">
    <w:nsid w:val="24807A14"/>
    <w:multiLevelType w:val="multilevel"/>
    <w:tmpl w:val="57C451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FDE135C"/>
    <w:multiLevelType w:val="hybridMultilevel"/>
    <w:tmpl w:val="BB24E09C"/>
    <w:lvl w:ilvl="0" w:tplc="04090001">
      <w:start w:val="1"/>
      <w:numFmt w:val="bullet"/>
      <w:lvlText w:val=""/>
      <w:lvlJc w:val="left"/>
      <w:pPr>
        <w:ind w:left="1724" w:hanging="360"/>
      </w:pPr>
      <w:rPr>
        <w:rFonts w:ascii="Symbol" w:hAnsi="Symbol" w:hint="default"/>
      </w:rPr>
    </w:lvl>
    <w:lvl w:ilvl="1" w:tplc="04090003" w:tentative="1">
      <w:start w:val="1"/>
      <w:numFmt w:val="bullet"/>
      <w:lvlText w:val="o"/>
      <w:lvlJc w:val="left"/>
      <w:pPr>
        <w:ind w:left="2444" w:hanging="360"/>
      </w:pPr>
      <w:rPr>
        <w:rFonts w:ascii="Courier New" w:hAnsi="Courier New" w:cs="Courier New" w:hint="default"/>
      </w:rPr>
    </w:lvl>
    <w:lvl w:ilvl="2" w:tplc="04090005" w:tentative="1">
      <w:start w:val="1"/>
      <w:numFmt w:val="bullet"/>
      <w:lvlText w:val=""/>
      <w:lvlJc w:val="left"/>
      <w:pPr>
        <w:ind w:left="3164" w:hanging="360"/>
      </w:pPr>
      <w:rPr>
        <w:rFonts w:ascii="Wingdings" w:hAnsi="Wingdings" w:hint="default"/>
      </w:rPr>
    </w:lvl>
    <w:lvl w:ilvl="3" w:tplc="04090001" w:tentative="1">
      <w:start w:val="1"/>
      <w:numFmt w:val="bullet"/>
      <w:lvlText w:val=""/>
      <w:lvlJc w:val="left"/>
      <w:pPr>
        <w:ind w:left="3884" w:hanging="360"/>
      </w:pPr>
      <w:rPr>
        <w:rFonts w:ascii="Symbol" w:hAnsi="Symbol" w:hint="default"/>
      </w:rPr>
    </w:lvl>
    <w:lvl w:ilvl="4" w:tplc="04090003" w:tentative="1">
      <w:start w:val="1"/>
      <w:numFmt w:val="bullet"/>
      <w:lvlText w:val="o"/>
      <w:lvlJc w:val="left"/>
      <w:pPr>
        <w:ind w:left="4604" w:hanging="360"/>
      </w:pPr>
      <w:rPr>
        <w:rFonts w:ascii="Courier New" w:hAnsi="Courier New" w:cs="Courier New" w:hint="default"/>
      </w:rPr>
    </w:lvl>
    <w:lvl w:ilvl="5" w:tplc="04090005" w:tentative="1">
      <w:start w:val="1"/>
      <w:numFmt w:val="bullet"/>
      <w:lvlText w:val=""/>
      <w:lvlJc w:val="left"/>
      <w:pPr>
        <w:ind w:left="5324" w:hanging="360"/>
      </w:pPr>
      <w:rPr>
        <w:rFonts w:ascii="Wingdings" w:hAnsi="Wingdings" w:hint="default"/>
      </w:rPr>
    </w:lvl>
    <w:lvl w:ilvl="6" w:tplc="04090001" w:tentative="1">
      <w:start w:val="1"/>
      <w:numFmt w:val="bullet"/>
      <w:lvlText w:val=""/>
      <w:lvlJc w:val="left"/>
      <w:pPr>
        <w:ind w:left="6044" w:hanging="360"/>
      </w:pPr>
      <w:rPr>
        <w:rFonts w:ascii="Symbol" w:hAnsi="Symbol" w:hint="default"/>
      </w:rPr>
    </w:lvl>
    <w:lvl w:ilvl="7" w:tplc="04090003" w:tentative="1">
      <w:start w:val="1"/>
      <w:numFmt w:val="bullet"/>
      <w:lvlText w:val="o"/>
      <w:lvlJc w:val="left"/>
      <w:pPr>
        <w:ind w:left="6764" w:hanging="360"/>
      </w:pPr>
      <w:rPr>
        <w:rFonts w:ascii="Courier New" w:hAnsi="Courier New" w:cs="Courier New" w:hint="default"/>
      </w:rPr>
    </w:lvl>
    <w:lvl w:ilvl="8" w:tplc="04090005" w:tentative="1">
      <w:start w:val="1"/>
      <w:numFmt w:val="bullet"/>
      <w:lvlText w:val=""/>
      <w:lvlJc w:val="left"/>
      <w:pPr>
        <w:ind w:left="7484" w:hanging="360"/>
      </w:pPr>
      <w:rPr>
        <w:rFonts w:ascii="Wingdings" w:hAnsi="Wingdings" w:hint="default"/>
      </w:rPr>
    </w:lvl>
  </w:abstractNum>
  <w:abstractNum w:abstractNumId="7" w15:restartNumberingAfterBreak="0">
    <w:nsid w:val="39EF3391"/>
    <w:multiLevelType w:val="hybridMultilevel"/>
    <w:tmpl w:val="08F87344"/>
    <w:lvl w:ilvl="0" w:tplc="04090001">
      <w:start w:val="1"/>
      <w:numFmt w:val="bullet"/>
      <w:lvlText w:val=""/>
      <w:lvlJc w:val="left"/>
      <w:pPr>
        <w:ind w:left="1724" w:hanging="360"/>
      </w:pPr>
      <w:rPr>
        <w:rFonts w:ascii="Symbol" w:hAnsi="Symbol" w:hint="default"/>
      </w:rPr>
    </w:lvl>
    <w:lvl w:ilvl="1" w:tplc="04090003" w:tentative="1">
      <w:start w:val="1"/>
      <w:numFmt w:val="bullet"/>
      <w:lvlText w:val="o"/>
      <w:lvlJc w:val="left"/>
      <w:pPr>
        <w:ind w:left="2444" w:hanging="360"/>
      </w:pPr>
      <w:rPr>
        <w:rFonts w:ascii="Courier New" w:hAnsi="Courier New" w:cs="Courier New" w:hint="default"/>
      </w:rPr>
    </w:lvl>
    <w:lvl w:ilvl="2" w:tplc="04090005" w:tentative="1">
      <w:start w:val="1"/>
      <w:numFmt w:val="bullet"/>
      <w:lvlText w:val=""/>
      <w:lvlJc w:val="left"/>
      <w:pPr>
        <w:ind w:left="3164" w:hanging="360"/>
      </w:pPr>
      <w:rPr>
        <w:rFonts w:ascii="Wingdings" w:hAnsi="Wingdings" w:hint="default"/>
      </w:rPr>
    </w:lvl>
    <w:lvl w:ilvl="3" w:tplc="04090001" w:tentative="1">
      <w:start w:val="1"/>
      <w:numFmt w:val="bullet"/>
      <w:lvlText w:val=""/>
      <w:lvlJc w:val="left"/>
      <w:pPr>
        <w:ind w:left="3884" w:hanging="360"/>
      </w:pPr>
      <w:rPr>
        <w:rFonts w:ascii="Symbol" w:hAnsi="Symbol" w:hint="default"/>
      </w:rPr>
    </w:lvl>
    <w:lvl w:ilvl="4" w:tplc="04090003" w:tentative="1">
      <w:start w:val="1"/>
      <w:numFmt w:val="bullet"/>
      <w:lvlText w:val="o"/>
      <w:lvlJc w:val="left"/>
      <w:pPr>
        <w:ind w:left="4604" w:hanging="360"/>
      </w:pPr>
      <w:rPr>
        <w:rFonts w:ascii="Courier New" w:hAnsi="Courier New" w:cs="Courier New" w:hint="default"/>
      </w:rPr>
    </w:lvl>
    <w:lvl w:ilvl="5" w:tplc="04090005" w:tentative="1">
      <w:start w:val="1"/>
      <w:numFmt w:val="bullet"/>
      <w:lvlText w:val=""/>
      <w:lvlJc w:val="left"/>
      <w:pPr>
        <w:ind w:left="5324" w:hanging="360"/>
      </w:pPr>
      <w:rPr>
        <w:rFonts w:ascii="Wingdings" w:hAnsi="Wingdings" w:hint="default"/>
      </w:rPr>
    </w:lvl>
    <w:lvl w:ilvl="6" w:tplc="04090001" w:tentative="1">
      <w:start w:val="1"/>
      <w:numFmt w:val="bullet"/>
      <w:lvlText w:val=""/>
      <w:lvlJc w:val="left"/>
      <w:pPr>
        <w:ind w:left="6044" w:hanging="360"/>
      </w:pPr>
      <w:rPr>
        <w:rFonts w:ascii="Symbol" w:hAnsi="Symbol" w:hint="default"/>
      </w:rPr>
    </w:lvl>
    <w:lvl w:ilvl="7" w:tplc="04090003" w:tentative="1">
      <w:start w:val="1"/>
      <w:numFmt w:val="bullet"/>
      <w:lvlText w:val="o"/>
      <w:lvlJc w:val="left"/>
      <w:pPr>
        <w:ind w:left="6764" w:hanging="360"/>
      </w:pPr>
      <w:rPr>
        <w:rFonts w:ascii="Courier New" w:hAnsi="Courier New" w:cs="Courier New" w:hint="default"/>
      </w:rPr>
    </w:lvl>
    <w:lvl w:ilvl="8" w:tplc="04090005" w:tentative="1">
      <w:start w:val="1"/>
      <w:numFmt w:val="bullet"/>
      <w:lvlText w:val=""/>
      <w:lvlJc w:val="left"/>
      <w:pPr>
        <w:ind w:left="7484" w:hanging="360"/>
      </w:pPr>
      <w:rPr>
        <w:rFonts w:ascii="Wingdings" w:hAnsi="Wingdings" w:hint="default"/>
      </w:rPr>
    </w:lvl>
  </w:abstractNum>
  <w:abstractNum w:abstractNumId="8" w15:restartNumberingAfterBreak="0">
    <w:nsid w:val="3A8C5C15"/>
    <w:multiLevelType w:val="hybridMultilevel"/>
    <w:tmpl w:val="AB4E6568"/>
    <w:lvl w:ilvl="0" w:tplc="04090001">
      <w:start w:val="1"/>
      <w:numFmt w:val="bullet"/>
      <w:lvlText w:val=""/>
      <w:lvlJc w:val="left"/>
      <w:pPr>
        <w:ind w:left="1724" w:hanging="360"/>
      </w:pPr>
      <w:rPr>
        <w:rFonts w:ascii="Symbol" w:hAnsi="Symbol" w:hint="default"/>
      </w:rPr>
    </w:lvl>
    <w:lvl w:ilvl="1" w:tplc="04090003" w:tentative="1">
      <w:start w:val="1"/>
      <w:numFmt w:val="bullet"/>
      <w:lvlText w:val="o"/>
      <w:lvlJc w:val="left"/>
      <w:pPr>
        <w:ind w:left="2444" w:hanging="360"/>
      </w:pPr>
      <w:rPr>
        <w:rFonts w:ascii="Courier New" w:hAnsi="Courier New" w:cs="Courier New" w:hint="default"/>
      </w:rPr>
    </w:lvl>
    <w:lvl w:ilvl="2" w:tplc="04090005" w:tentative="1">
      <w:start w:val="1"/>
      <w:numFmt w:val="bullet"/>
      <w:lvlText w:val=""/>
      <w:lvlJc w:val="left"/>
      <w:pPr>
        <w:ind w:left="3164" w:hanging="360"/>
      </w:pPr>
      <w:rPr>
        <w:rFonts w:ascii="Wingdings" w:hAnsi="Wingdings" w:hint="default"/>
      </w:rPr>
    </w:lvl>
    <w:lvl w:ilvl="3" w:tplc="04090001" w:tentative="1">
      <w:start w:val="1"/>
      <w:numFmt w:val="bullet"/>
      <w:lvlText w:val=""/>
      <w:lvlJc w:val="left"/>
      <w:pPr>
        <w:ind w:left="3884" w:hanging="360"/>
      </w:pPr>
      <w:rPr>
        <w:rFonts w:ascii="Symbol" w:hAnsi="Symbol" w:hint="default"/>
      </w:rPr>
    </w:lvl>
    <w:lvl w:ilvl="4" w:tplc="04090003" w:tentative="1">
      <w:start w:val="1"/>
      <w:numFmt w:val="bullet"/>
      <w:lvlText w:val="o"/>
      <w:lvlJc w:val="left"/>
      <w:pPr>
        <w:ind w:left="4604" w:hanging="360"/>
      </w:pPr>
      <w:rPr>
        <w:rFonts w:ascii="Courier New" w:hAnsi="Courier New" w:cs="Courier New" w:hint="default"/>
      </w:rPr>
    </w:lvl>
    <w:lvl w:ilvl="5" w:tplc="04090005" w:tentative="1">
      <w:start w:val="1"/>
      <w:numFmt w:val="bullet"/>
      <w:lvlText w:val=""/>
      <w:lvlJc w:val="left"/>
      <w:pPr>
        <w:ind w:left="5324" w:hanging="360"/>
      </w:pPr>
      <w:rPr>
        <w:rFonts w:ascii="Wingdings" w:hAnsi="Wingdings" w:hint="default"/>
      </w:rPr>
    </w:lvl>
    <w:lvl w:ilvl="6" w:tplc="04090001" w:tentative="1">
      <w:start w:val="1"/>
      <w:numFmt w:val="bullet"/>
      <w:lvlText w:val=""/>
      <w:lvlJc w:val="left"/>
      <w:pPr>
        <w:ind w:left="6044" w:hanging="360"/>
      </w:pPr>
      <w:rPr>
        <w:rFonts w:ascii="Symbol" w:hAnsi="Symbol" w:hint="default"/>
      </w:rPr>
    </w:lvl>
    <w:lvl w:ilvl="7" w:tplc="04090003" w:tentative="1">
      <w:start w:val="1"/>
      <w:numFmt w:val="bullet"/>
      <w:lvlText w:val="o"/>
      <w:lvlJc w:val="left"/>
      <w:pPr>
        <w:ind w:left="6764" w:hanging="360"/>
      </w:pPr>
      <w:rPr>
        <w:rFonts w:ascii="Courier New" w:hAnsi="Courier New" w:cs="Courier New" w:hint="default"/>
      </w:rPr>
    </w:lvl>
    <w:lvl w:ilvl="8" w:tplc="04090005" w:tentative="1">
      <w:start w:val="1"/>
      <w:numFmt w:val="bullet"/>
      <w:lvlText w:val=""/>
      <w:lvlJc w:val="left"/>
      <w:pPr>
        <w:ind w:left="7484" w:hanging="360"/>
      </w:pPr>
      <w:rPr>
        <w:rFonts w:ascii="Wingdings" w:hAnsi="Wingdings" w:hint="default"/>
      </w:rPr>
    </w:lvl>
  </w:abstractNum>
  <w:abstractNum w:abstractNumId="9" w15:restartNumberingAfterBreak="0">
    <w:nsid w:val="3E3955EE"/>
    <w:multiLevelType w:val="multilevel"/>
    <w:tmpl w:val="B48CF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9C59C7"/>
    <w:multiLevelType w:val="multilevel"/>
    <w:tmpl w:val="D3726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DD67AB"/>
    <w:multiLevelType w:val="multilevel"/>
    <w:tmpl w:val="C79E7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144011"/>
    <w:multiLevelType w:val="multilevel"/>
    <w:tmpl w:val="F6387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DE1395"/>
    <w:multiLevelType w:val="multilevel"/>
    <w:tmpl w:val="E222F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7B2AAD"/>
    <w:multiLevelType w:val="multilevel"/>
    <w:tmpl w:val="D4E4D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432505"/>
    <w:multiLevelType w:val="multilevel"/>
    <w:tmpl w:val="B28AF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F56414"/>
    <w:multiLevelType w:val="multilevel"/>
    <w:tmpl w:val="319C7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6215AD6"/>
    <w:multiLevelType w:val="multilevel"/>
    <w:tmpl w:val="091A7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BA1547F"/>
    <w:multiLevelType w:val="multilevel"/>
    <w:tmpl w:val="C696F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BC0F26"/>
    <w:multiLevelType w:val="multilevel"/>
    <w:tmpl w:val="B9F8D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8145C9B"/>
    <w:multiLevelType w:val="multilevel"/>
    <w:tmpl w:val="BE00B1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2796596">
    <w:abstractNumId w:val="10"/>
  </w:num>
  <w:num w:numId="2" w16cid:durableId="1664158139">
    <w:abstractNumId w:val="0"/>
  </w:num>
  <w:num w:numId="3" w16cid:durableId="50737314">
    <w:abstractNumId w:val="18"/>
  </w:num>
  <w:num w:numId="4" w16cid:durableId="1790926916">
    <w:abstractNumId w:val="20"/>
  </w:num>
  <w:num w:numId="5" w16cid:durableId="2116359834">
    <w:abstractNumId w:val="15"/>
  </w:num>
  <w:num w:numId="6" w16cid:durableId="2035035933">
    <w:abstractNumId w:val="11"/>
  </w:num>
  <w:num w:numId="7" w16cid:durableId="348340714">
    <w:abstractNumId w:val="5"/>
  </w:num>
  <w:num w:numId="8" w16cid:durableId="1607620242">
    <w:abstractNumId w:val="16"/>
  </w:num>
  <w:num w:numId="9" w16cid:durableId="1356269716">
    <w:abstractNumId w:val="19"/>
  </w:num>
  <w:num w:numId="10" w16cid:durableId="1923949609">
    <w:abstractNumId w:val="9"/>
  </w:num>
  <w:num w:numId="11" w16cid:durableId="2032294102">
    <w:abstractNumId w:val="17"/>
  </w:num>
  <w:num w:numId="12" w16cid:durableId="1523861189">
    <w:abstractNumId w:val="14"/>
  </w:num>
  <w:num w:numId="13" w16cid:durableId="2024623254">
    <w:abstractNumId w:val="12"/>
  </w:num>
  <w:num w:numId="14" w16cid:durableId="1607804797">
    <w:abstractNumId w:val="13"/>
  </w:num>
  <w:num w:numId="15" w16cid:durableId="1790083047">
    <w:abstractNumId w:val="2"/>
  </w:num>
  <w:num w:numId="16" w16cid:durableId="1888371904">
    <w:abstractNumId w:val="6"/>
  </w:num>
  <w:num w:numId="17" w16cid:durableId="73551601">
    <w:abstractNumId w:val="8"/>
  </w:num>
  <w:num w:numId="18" w16cid:durableId="1989361824">
    <w:abstractNumId w:val="1"/>
  </w:num>
  <w:num w:numId="19" w16cid:durableId="1916091937">
    <w:abstractNumId w:val="7"/>
  </w:num>
  <w:num w:numId="20" w16cid:durableId="959266373">
    <w:abstractNumId w:val="3"/>
  </w:num>
  <w:num w:numId="21" w16cid:durableId="7099590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86E"/>
    <w:rsid w:val="000A4AD4"/>
    <w:rsid w:val="001576A8"/>
    <w:rsid w:val="00164908"/>
    <w:rsid w:val="001B43EB"/>
    <w:rsid w:val="001E2756"/>
    <w:rsid w:val="0020242B"/>
    <w:rsid w:val="00252848"/>
    <w:rsid w:val="00384D25"/>
    <w:rsid w:val="003C38F4"/>
    <w:rsid w:val="00481B41"/>
    <w:rsid w:val="004A62AA"/>
    <w:rsid w:val="004B4DBF"/>
    <w:rsid w:val="004B7CA6"/>
    <w:rsid w:val="00516005"/>
    <w:rsid w:val="005527B2"/>
    <w:rsid w:val="00554E80"/>
    <w:rsid w:val="00560ECA"/>
    <w:rsid w:val="005D01C7"/>
    <w:rsid w:val="00652B12"/>
    <w:rsid w:val="006B159B"/>
    <w:rsid w:val="006C10D9"/>
    <w:rsid w:val="007041F2"/>
    <w:rsid w:val="00744C17"/>
    <w:rsid w:val="00751420"/>
    <w:rsid w:val="007A613E"/>
    <w:rsid w:val="007B2CF5"/>
    <w:rsid w:val="007B60A1"/>
    <w:rsid w:val="00807A21"/>
    <w:rsid w:val="00842F03"/>
    <w:rsid w:val="00845B90"/>
    <w:rsid w:val="00846B46"/>
    <w:rsid w:val="00875504"/>
    <w:rsid w:val="008C2CBB"/>
    <w:rsid w:val="0098021D"/>
    <w:rsid w:val="009B3A5C"/>
    <w:rsid w:val="009B3D70"/>
    <w:rsid w:val="00A17EF2"/>
    <w:rsid w:val="00A4221A"/>
    <w:rsid w:val="00A46FF2"/>
    <w:rsid w:val="00A7786E"/>
    <w:rsid w:val="00AD21BE"/>
    <w:rsid w:val="00B05EBD"/>
    <w:rsid w:val="00B211ED"/>
    <w:rsid w:val="00BA7D4D"/>
    <w:rsid w:val="00BC05A2"/>
    <w:rsid w:val="00C2417A"/>
    <w:rsid w:val="00C360B1"/>
    <w:rsid w:val="00C521F0"/>
    <w:rsid w:val="00C644B5"/>
    <w:rsid w:val="00CB46A7"/>
    <w:rsid w:val="00CD7AC4"/>
    <w:rsid w:val="00D31421"/>
    <w:rsid w:val="00D31532"/>
    <w:rsid w:val="00D36F07"/>
    <w:rsid w:val="00DC586D"/>
    <w:rsid w:val="00DD4D73"/>
    <w:rsid w:val="00E62902"/>
    <w:rsid w:val="00E90D09"/>
    <w:rsid w:val="00E97D49"/>
    <w:rsid w:val="00ED10D0"/>
    <w:rsid w:val="00F13B71"/>
    <w:rsid w:val="00F477E4"/>
    <w:rsid w:val="00F872F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D7D34E"/>
  <w15:chartTrackingRefBased/>
  <w15:docId w15:val="{2EFC263B-412D-4319-81DF-D968835BB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78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778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778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78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78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78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78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78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78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78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778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778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78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78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78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78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78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786E"/>
    <w:rPr>
      <w:rFonts w:eastAsiaTheme="majorEastAsia" w:cstheme="majorBidi"/>
      <w:color w:val="272727" w:themeColor="text1" w:themeTint="D8"/>
    </w:rPr>
  </w:style>
  <w:style w:type="paragraph" w:styleId="Title">
    <w:name w:val="Title"/>
    <w:basedOn w:val="Normal"/>
    <w:next w:val="Normal"/>
    <w:link w:val="TitleChar"/>
    <w:uiPriority w:val="10"/>
    <w:qFormat/>
    <w:rsid w:val="00A778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78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78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78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786E"/>
    <w:pPr>
      <w:spacing w:before="160"/>
      <w:jc w:val="center"/>
    </w:pPr>
    <w:rPr>
      <w:i/>
      <w:iCs/>
      <w:color w:val="404040" w:themeColor="text1" w:themeTint="BF"/>
    </w:rPr>
  </w:style>
  <w:style w:type="character" w:customStyle="1" w:styleId="QuoteChar">
    <w:name w:val="Quote Char"/>
    <w:basedOn w:val="DefaultParagraphFont"/>
    <w:link w:val="Quote"/>
    <w:uiPriority w:val="29"/>
    <w:rsid w:val="00A7786E"/>
    <w:rPr>
      <w:i/>
      <w:iCs/>
      <w:color w:val="404040" w:themeColor="text1" w:themeTint="BF"/>
    </w:rPr>
  </w:style>
  <w:style w:type="paragraph" w:styleId="ListParagraph">
    <w:name w:val="List Paragraph"/>
    <w:basedOn w:val="Normal"/>
    <w:uiPriority w:val="34"/>
    <w:qFormat/>
    <w:rsid w:val="00A7786E"/>
    <w:pPr>
      <w:ind w:left="720"/>
      <w:contextualSpacing/>
    </w:pPr>
  </w:style>
  <w:style w:type="character" w:styleId="IntenseEmphasis">
    <w:name w:val="Intense Emphasis"/>
    <w:basedOn w:val="DefaultParagraphFont"/>
    <w:uiPriority w:val="21"/>
    <w:qFormat/>
    <w:rsid w:val="00A7786E"/>
    <w:rPr>
      <w:i/>
      <w:iCs/>
      <w:color w:val="0F4761" w:themeColor="accent1" w:themeShade="BF"/>
    </w:rPr>
  </w:style>
  <w:style w:type="paragraph" w:styleId="IntenseQuote">
    <w:name w:val="Intense Quote"/>
    <w:basedOn w:val="Normal"/>
    <w:next w:val="Normal"/>
    <w:link w:val="IntenseQuoteChar"/>
    <w:uiPriority w:val="30"/>
    <w:qFormat/>
    <w:rsid w:val="00A778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786E"/>
    <w:rPr>
      <w:i/>
      <w:iCs/>
      <w:color w:val="0F4761" w:themeColor="accent1" w:themeShade="BF"/>
    </w:rPr>
  </w:style>
  <w:style w:type="character" w:styleId="IntenseReference">
    <w:name w:val="Intense Reference"/>
    <w:basedOn w:val="DefaultParagraphFont"/>
    <w:uiPriority w:val="32"/>
    <w:qFormat/>
    <w:rsid w:val="00A7786E"/>
    <w:rPr>
      <w:b/>
      <w:bCs/>
      <w:smallCaps/>
      <w:color w:val="0F4761" w:themeColor="accent1" w:themeShade="BF"/>
      <w:spacing w:val="5"/>
    </w:rPr>
  </w:style>
  <w:style w:type="paragraph" w:styleId="Header">
    <w:name w:val="header"/>
    <w:basedOn w:val="Normal"/>
    <w:link w:val="HeaderChar"/>
    <w:uiPriority w:val="99"/>
    <w:unhideWhenUsed/>
    <w:rsid w:val="00DC58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586D"/>
  </w:style>
  <w:style w:type="paragraph" w:styleId="Footer">
    <w:name w:val="footer"/>
    <w:basedOn w:val="Normal"/>
    <w:link w:val="FooterChar"/>
    <w:uiPriority w:val="99"/>
    <w:unhideWhenUsed/>
    <w:rsid w:val="00DC58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58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81</TotalTime>
  <Pages>13</Pages>
  <Words>2859</Words>
  <Characters>15000</Characters>
  <Application>Microsoft Office Word</Application>
  <DocSecurity>0</DocSecurity>
  <Lines>220</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Abdulrahman Ali Almalki</dc:creator>
  <cp:keywords/>
  <dc:description/>
  <cp:lastModifiedBy>Abdulrahman Ali Almalki</cp:lastModifiedBy>
  <cp:revision>59</cp:revision>
  <dcterms:created xsi:type="dcterms:W3CDTF">2025-07-28T12:26:00Z</dcterms:created>
  <dcterms:modified xsi:type="dcterms:W3CDTF">2025-07-29T11:45:00Z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a03326c1-3f59-4a09-9763-233ae23b7bb6</vt:lpwstr>
  </property>
</Properties>
</file>