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49C50" w14:textId="083BE40B" w:rsidR="00B627EA" w:rsidRPr="005D59A7" w:rsidRDefault="00972BEC" w:rsidP="00B627EA">
      <w:pPr>
        <w:bidi/>
        <w:spacing w:line="240" w:lineRule="auto"/>
        <w:ind w:hanging="283"/>
        <w:jc w:val="both"/>
        <w:rPr>
          <w:rFonts w:ascii="T" w:hAnsi="T" w:cstheme="majorBidi"/>
          <w:b/>
          <w:bCs/>
          <w:color w:val="548DD4" w:themeColor="text2" w:themeTint="99"/>
          <w:sz w:val="40"/>
          <w:szCs w:val="40"/>
          <w:rtl/>
        </w:rPr>
      </w:pPr>
      <w:bookmarkStart w:id="0" w:name="_Hlk225823442"/>
      <w:r w:rsidRPr="002D6703">
        <w:rPr>
          <w:rFonts w:asciiTheme="majorBidi" w:hAnsiTheme="majorBidi" w:cstheme="majorBidi"/>
          <w:b/>
          <w:noProof/>
          <w:sz w:val="20"/>
        </w:rPr>
        <w:drawing>
          <wp:anchor distT="0" distB="0" distL="114300" distR="114300" simplePos="0" relativeHeight="251658752" behindDoc="0" locked="0" layoutInCell="1" allowOverlap="1" wp14:anchorId="54ED0BD0" wp14:editId="1B411BA5">
            <wp:simplePos x="0" y="0"/>
            <wp:positionH relativeFrom="margin">
              <wp:posOffset>1979930</wp:posOffset>
            </wp:positionH>
            <wp:positionV relativeFrom="margin">
              <wp:posOffset>-355600</wp:posOffset>
            </wp:positionV>
            <wp:extent cx="1516380" cy="666750"/>
            <wp:effectExtent l="19050" t="0" r="762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750"/>
                    </a:xfrm>
                    <a:prstGeom prst="rect">
                      <a:avLst/>
                    </a:prstGeom>
                  </pic:spPr>
                </pic:pic>
              </a:graphicData>
            </a:graphic>
          </wp:anchor>
        </w:drawing>
      </w:r>
    </w:p>
    <w:p w14:paraId="04BD89F3" w14:textId="0CFE0614" w:rsidR="00B627EA" w:rsidRPr="005D59A7" w:rsidRDefault="00B627EA" w:rsidP="00B627EA">
      <w:pPr>
        <w:pStyle w:val="NormalWeb"/>
        <w:bidi/>
        <w:spacing w:before="0" w:beforeAutospacing="0" w:after="0" w:afterAutospacing="0"/>
        <w:ind w:right="-270"/>
        <w:rPr>
          <w:rFonts w:ascii="T" w:hAnsi="T" w:cstheme="majorBidi"/>
          <w:b/>
          <w:bCs/>
          <w:color w:val="0000FF"/>
          <w:sz w:val="32"/>
          <w:szCs w:val="32"/>
        </w:rPr>
      </w:pPr>
    </w:p>
    <w:p w14:paraId="7661DD81" w14:textId="77777777" w:rsidR="00B627EA" w:rsidRPr="005D59A7" w:rsidRDefault="00B627EA" w:rsidP="00B627EA">
      <w:pPr>
        <w:bidi/>
        <w:jc w:val="center"/>
        <w:rPr>
          <w:rFonts w:ascii="T" w:hAnsi="T" w:cs="Simplified Arabic"/>
          <w:b/>
          <w:bCs/>
          <w:sz w:val="24"/>
          <w:szCs w:val="24"/>
        </w:rPr>
      </w:pPr>
      <w:r w:rsidRPr="005D59A7">
        <w:rPr>
          <w:rFonts w:ascii="T" w:hAnsi="T" w:cs="Simplified Arabic"/>
          <w:b/>
          <w:bCs/>
          <w:sz w:val="24"/>
          <w:szCs w:val="24"/>
          <w:rtl/>
        </w:rPr>
        <w:t>مشروع أطروحة لتسجيل درجة الدكتوراه في</w:t>
      </w:r>
      <w:r w:rsidRPr="005D59A7">
        <w:rPr>
          <w:rFonts w:ascii="T" w:hAnsi="T" w:cs="Simplified Arabic"/>
          <w:b/>
          <w:bCs/>
          <w:sz w:val="24"/>
          <w:szCs w:val="24"/>
        </w:rPr>
        <w:t xml:space="preserve"> </w:t>
      </w:r>
      <w:r w:rsidRPr="005D59A7">
        <w:rPr>
          <w:rFonts w:ascii="T" w:hAnsi="T" w:cs="Simplified Arabic"/>
          <w:b/>
          <w:bCs/>
          <w:sz w:val="24"/>
          <w:szCs w:val="24"/>
          <w:rtl/>
        </w:rPr>
        <w:t>الإدارة</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130"/>
        <w:gridCol w:w="270"/>
      </w:tblGrid>
      <w:tr w:rsidR="00B627EA" w:rsidRPr="005D59A7" w14:paraId="2972832D" w14:textId="77777777" w:rsidTr="007E5DDA">
        <w:tc>
          <w:tcPr>
            <w:tcW w:w="8130" w:type="dxa"/>
            <w:tcBorders>
              <w:top w:val="nil"/>
              <w:left w:val="nil"/>
              <w:bottom w:val="nil"/>
              <w:right w:val="nil"/>
            </w:tcBorders>
            <w:vAlign w:val="center"/>
            <w:hideMark/>
          </w:tcPr>
          <w:p w14:paraId="237BA0D7" w14:textId="77777777" w:rsidR="00B627EA" w:rsidRPr="005D59A7" w:rsidRDefault="00B627EA" w:rsidP="007E5DDA">
            <w:pPr>
              <w:spacing w:after="0" w:line="240" w:lineRule="auto"/>
              <w:jc w:val="center"/>
              <w:rPr>
                <w:rFonts w:ascii="T" w:eastAsia="Times New Roman" w:hAnsi="T" w:cstheme="majorBidi"/>
                <w:b/>
                <w:bCs/>
                <w:sz w:val="24"/>
                <w:szCs w:val="24"/>
              </w:rPr>
            </w:pPr>
            <w:r w:rsidRPr="005D59A7">
              <w:rPr>
                <w:rFonts w:ascii="T" w:eastAsia="Times New Roman" w:hAnsi="T" w:cstheme="majorBidi"/>
                <w:b/>
                <w:bCs/>
                <w:color w:val="000000"/>
                <w:sz w:val="24"/>
              </w:rPr>
              <w:t>Submitted to Mid ocean University in partial fulfillment of the requirements for the degree of Doctor of Management</w:t>
            </w:r>
          </w:p>
        </w:tc>
        <w:tc>
          <w:tcPr>
            <w:tcW w:w="270" w:type="dxa"/>
            <w:tcBorders>
              <w:top w:val="nil"/>
              <w:left w:val="nil"/>
              <w:bottom w:val="nil"/>
              <w:right w:val="nil"/>
            </w:tcBorders>
            <w:vAlign w:val="center"/>
            <w:hideMark/>
          </w:tcPr>
          <w:p w14:paraId="58D61F10" w14:textId="77777777" w:rsidR="00B627EA" w:rsidRPr="005D59A7" w:rsidRDefault="00B627EA" w:rsidP="007E5DDA">
            <w:pPr>
              <w:spacing w:after="0" w:line="240" w:lineRule="auto"/>
              <w:rPr>
                <w:rFonts w:ascii="T" w:eastAsia="Times New Roman" w:hAnsi="T" w:cs="Times New Roman"/>
                <w:sz w:val="24"/>
                <w:szCs w:val="24"/>
              </w:rPr>
            </w:pPr>
            <w:r w:rsidRPr="005D59A7">
              <w:rPr>
                <w:rFonts w:ascii="Segoe UI Symbol" w:eastAsia="MS Mincho" w:hAnsi="Segoe UI Symbol" w:cs="Segoe UI Symbol"/>
                <w:color w:val="000000"/>
                <w:sz w:val="24"/>
              </w:rPr>
              <w:t>➢</w:t>
            </w:r>
          </w:p>
        </w:tc>
      </w:tr>
    </w:tbl>
    <w:p w14:paraId="291F3170" w14:textId="77777777" w:rsidR="00B627EA" w:rsidRPr="005D59A7" w:rsidRDefault="00B627EA" w:rsidP="00B627EA">
      <w:pPr>
        <w:bidi/>
        <w:rPr>
          <w:rFonts w:ascii="T" w:hAnsi="T" w:cstheme="majorBidi"/>
          <w:b/>
          <w:bCs/>
          <w:sz w:val="24"/>
          <w:szCs w:val="24"/>
          <w:rtl/>
        </w:rPr>
      </w:pPr>
    </w:p>
    <w:p w14:paraId="2CB8523B" w14:textId="77777777" w:rsidR="00B627EA" w:rsidRPr="005D59A7" w:rsidRDefault="00B627EA" w:rsidP="00B627EA">
      <w:pPr>
        <w:pStyle w:val="NormalWeb"/>
        <w:bidi/>
        <w:spacing w:before="0" w:beforeAutospacing="0" w:after="0" w:afterAutospacing="0"/>
        <w:ind w:right="-270"/>
        <w:jc w:val="both"/>
        <w:rPr>
          <w:rFonts w:ascii="T" w:hAnsi="T" w:cstheme="majorBidi"/>
          <w:b/>
          <w:bCs/>
          <w:color w:val="0000FF"/>
          <w:sz w:val="32"/>
          <w:szCs w:val="32"/>
          <w:rtl/>
          <w:lang w:bidi="ar-JO"/>
        </w:rPr>
      </w:pPr>
    </w:p>
    <w:p w14:paraId="36377248" w14:textId="77777777" w:rsidR="00B627EA" w:rsidRPr="005D59A7" w:rsidRDefault="00B627EA" w:rsidP="00B627EA">
      <w:pPr>
        <w:spacing w:line="360" w:lineRule="auto"/>
        <w:jc w:val="right"/>
        <w:rPr>
          <w:rFonts w:ascii="T" w:hAnsi="T" w:cs="Simplified Arabic"/>
          <w:b/>
          <w:bCs/>
          <w:noProof/>
          <w:sz w:val="28"/>
          <w:szCs w:val="28"/>
          <w:rtl/>
        </w:rPr>
      </w:pPr>
      <w:r w:rsidRPr="005D59A7">
        <w:rPr>
          <w:rFonts w:ascii="T" w:hAnsi="T" w:cs="Simplified Arabic"/>
          <w:b/>
          <w:bCs/>
          <w:noProof/>
          <w:sz w:val="28"/>
          <w:szCs w:val="28"/>
          <w:rtl/>
        </w:rPr>
        <w:t>العنوان باللغة العربية:</w:t>
      </w:r>
    </w:p>
    <w:p w14:paraId="08280DA0" w14:textId="77777777" w:rsidR="00B627EA" w:rsidRPr="005D59A7" w:rsidRDefault="00B627EA" w:rsidP="00B627EA">
      <w:pPr>
        <w:spacing w:line="240" w:lineRule="auto"/>
        <w:jc w:val="center"/>
        <w:rPr>
          <w:rFonts w:ascii="T" w:hAnsi="T" w:cs="Simplified Arabic"/>
          <w:b/>
          <w:bCs/>
          <w:color w:val="1F497D" w:themeColor="text2"/>
          <w:sz w:val="36"/>
          <w:szCs w:val="36"/>
          <w:rtl/>
        </w:rPr>
      </w:pPr>
      <w:r w:rsidRPr="005D59A7">
        <w:rPr>
          <w:rFonts w:ascii="T" w:hAnsi="T" w:cs="Simplified Arabic"/>
          <w:b/>
          <w:bCs/>
          <w:color w:val="1F497D" w:themeColor="text2"/>
          <w:sz w:val="36"/>
          <w:szCs w:val="36"/>
          <w:rtl/>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p w14:paraId="039F61F6" w14:textId="77777777" w:rsidR="00B627EA" w:rsidRPr="005D59A7" w:rsidRDefault="00B627EA" w:rsidP="00B627EA">
      <w:pPr>
        <w:spacing w:line="360" w:lineRule="auto"/>
        <w:ind w:left="534" w:hanging="340"/>
        <w:jc w:val="right"/>
        <w:rPr>
          <w:rFonts w:ascii="T" w:hAnsi="T" w:cs="Simplified Arabic"/>
          <w:b/>
          <w:bCs/>
          <w:noProof/>
          <w:sz w:val="20"/>
          <w:szCs w:val="20"/>
          <w:rtl/>
        </w:rPr>
      </w:pPr>
      <w:r w:rsidRPr="005D59A7">
        <w:rPr>
          <w:rFonts w:ascii="T" w:hAnsi="T" w:cs="Simplified Arabic"/>
          <w:b/>
          <w:bCs/>
          <w:noProof/>
          <w:sz w:val="20"/>
          <w:szCs w:val="28"/>
          <w:rtl/>
        </w:rPr>
        <w:t xml:space="preserve">العنوان </w:t>
      </w:r>
      <w:r w:rsidRPr="005D59A7">
        <w:rPr>
          <w:rFonts w:ascii="T" w:hAnsi="T" w:cs="Simplified Arabic"/>
          <w:b/>
          <w:bCs/>
          <w:noProof/>
          <w:sz w:val="28"/>
          <w:szCs w:val="28"/>
          <w:rtl/>
        </w:rPr>
        <w:t>باللغة الإنجليزية:</w:t>
      </w:r>
    </w:p>
    <w:p w14:paraId="147DBBA3"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28"/>
          <w:szCs w:val="32"/>
        </w:rPr>
      </w:pPr>
      <w:r w:rsidRPr="005D59A7">
        <w:rPr>
          <w:rFonts w:ascii="T" w:eastAsiaTheme="minorHAnsi" w:hAnsi="T" w:cstheme="majorBidi"/>
          <w:b/>
          <w:bCs/>
          <w:color w:val="1F497D" w:themeColor="text2"/>
          <w:sz w:val="36"/>
          <w:szCs w:val="36"/>
        </w:rPr>
        <w:t>ANALYZING THE REALITY OF PUBLIC-PRIVATE PARTNERSHIPS PPP IN THE ENVIRONMENTAL SECTOR AND DEVELOPING A PROPSAL MODEL FOR ENVIRONMENTAL GOVERNANCE AND PERFORMANCE MANAGEMENT IN SAUDI ARABIA (A CASE STUDY OF ENVIRONMENTAL INSPECTION)</w:t>
      </w:r>
    </w:p>
    <w:p w14:paraId="36942891" w14:textId="77777777" w:rsidR="00B627EA" w:rsidRPr="005D59A7" w:rsidRDefault="00B627EA" w:rsidP="00B627EA">
      <w:pPr>
        <w:pStyle w:val="NormalWeb"/>
        <w:bidi/>
        <w:spacing w:before="0" w:beforeAutospacing="0" w:after="0" w:afterAutospacing="0"/>
        <w:ind w:right="-270"/>
        <w:jc w:val="center"/>
        <w:rPr>
          <w:rFonts w:ascii="T" w:hAnsi="T" w:cstheme="majorBidi"/>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270"/>
        <w:gridCol w:w="5593"/>
      </w:tblGrid>
      <w:tr w:rsidR="00B627EA" w:rsidRPr="005D59A7" w14:paraId="72CF4286" w14:textId="77777777" w:rsidTr="007E5DDA">
        <w:trPr>
          <w:jc w:val="center"/>
        </w:trPr>
        <w:tc>
          <w:tcPr>
            <w:tcW w:w="1930" w:type="dxa"/>
          </w:tcPr>
          <w:p w14:paraId="6CE52009"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28"/>
                <w:szCs w:val="28"/>
                <w:rtl/>
              </w:rPr>
            </w:pPr>
            <w:r w:rsidRPr="005D59A7">
              <w:rPr>
                <w:rFonts w:ascii="T" w:hAnsi="T" w:cs="Simplified Arabic"/>
                <w:b/>
                <w:bCs/>
                <w:color w:val="000000" w:themeColor="text1"/>
                <w:sz w:val="28"/>
                <w:szCs w:val="28"/>
                <w:rtl/>
              </w:rPr>
              <w:t>اسم الباحث</w:t>
            </w:r>
          </w:p>
          <w:p w14:paraId="2D0ADF8C"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دولة الباحث</w:t>
            </w:r>
          </w:p>
          <w:p w14:paraId="152ED57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28"/>
                <w:szCs w:val="28"/>
                <w:rtl/>
              </w:rPr>
              <w:t xml:space="preserve">اسم الجامعة       </w:t>
            </w:r>
          </w:p>
        </w:tc>
        <w:tc>
          <w:tcPr>
            <w:tcW w:w="270" w:type="dxa"/>
          </w:tcPr>
          <w:p w14:paraId="40BF839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0E27A6B3"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2"/>
                <w:szCs w:val="32"/>
                <w:rtl/>
              </w:rPr>
            </w:pPr>
            <w:r w:rsidRPr="005D59A7">
              <w:rPr>
                <w:rFonts w:ascii="T" w:hAnsi="T" w:cs="Simplified Arabic"/>
                <w:b/>
                <w:bCs/>
                <w:color w:val="1F497D" w:themeColor="text2"/>
                <w:sz w:val="28"/>
                <w:szCs w:val="28"/>
                <w:rtl/>
              </w:rPr>
              <w:t>عادل علي حماص</w:t>
            </w:r>
          </w:p>
          <w:p w14:paraId="2232E40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المملكة العربية السعودية</w:t>
            </w:r>
          </w:p>
          <w:p w14:paraId="15622FC5"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28"/>
                <w:szCs w:val="28"/>
                <w:rtl/>
              </w:rPr>
            </w:pPr>
            <w:r w:rsidRPr="005D59A7">
              <w:rPr>
                <w:rFonts w:ascii="T" w:hAnsi="T" w:cs="Simplified Arabic"/>
                <w:b/>
                <w:bCs/>
                <w:color w:val="1F497D" w:themeColor="text2"/>
                <w:sz w:val="28"/>
                <w:szCs w:val="28"/>
                <w:rtl/>
              </w:rPr>
              <w:t>جامعة ميد أوشن</w:t>
            </w:r>
          </w:p>
        </w:tc>
      </w:tr>
      <w:tr w:rsidR="00B627EA" w:rsidRPr="005D59A7" w14:paraId="768562B4" w14:textId="77777777" w:rsidTr="007E5DDA">
        <w:trPr>
          <w:jc w:val="center"/>
        </w:trPr>
        <w:tc>
          <w:tcPr>
            <w:tcW w:w="1930" w:type="dxa"/>
          </w:tcPr>
          <w:p w14:paraId="14380418"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28"/>
                <w:szCs w:val="28"/>
                <w:rtl/>
              </w:rPr>
              <w:t>الرقم الجامعي</w:t>
            </w:r>
          </w:p>
        </w:tc>
        <w:tc>
          <w:tcPr>
            <w:tcW w:w="270" w:type="dxa"/>
          </w:tcPr>
          <w:p w14:paraId="4401D879"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2"/>
                <w:szCs w:val="32"/>
                <w:rtl/>
              </w:rPr>
            </w:pPr>
            <w:r w:rsidRPr="005D59A7">
              <w:rPr>
                <w:rFonts w:ascii="T" w:hAnsi="T" w:cs="Simplified Arabic"/>
                <w:b/>
                <w:bCs/>
                <w:color w:val="000000" w:themeColor="text1"/>
                <w:sz w:val="32"/>
                <w:szCs w:val="32"/>
                <w:rtl/>
              </w:rPr>
              <w:t>:</w:t>
            </w:r>
          </w:p>
        </w:tc>
        <w:tc>
          <w:tcPr>
            <w:tcW w:w="5593" w:type="dxa"/>
          </w:tcPr>
          <w:p w14:paraId="15DA65F0"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sz w:val="28"/>
                <w:szCs w:val="28"/>
                <w:rtl/>
              </w:rPr>
              <w:t>242001104</w:t>
            </w:r>
          </w:p>
        </w:tc>
      </w:tr>
      <w:tr w:rsidR="00B627EA" w:rsidRPr="005D59A7" w14:paraId="658FFA91" w14:textId="77777777" w:rsidTr="007E5DDA">
        <w:trPr>
          <w:jc w:val="center"/>
        </w:trPr>
        <w:tc>
          <w:tcPr>
            <w:tcW w:w="1930" w:type="dxa"/>
          </w:tcPr>
          <w:p w14:paraId="76288E45"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rPr>
            </w:pPr>
            <w:r w:rsidRPr="005D59A7">
              <w:rPr>
                <w:rFonts w:ascii="T" w:hAnsi="T" w:cs="Simplified Arabic"/>
                <w:b/>
                <w:bCs/>
                <w:color w:val="000000" w:themeColor="text1"/>
                <w:rtl/>
              </w:rPr>
              <w:t>الكلية</w:t>
            </w:r>
          </w:p>
          <w:p w14:paraId="0CE6E914"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rtl/>
              </w:rPr>
              <w:t>التخصص</w:t>
            </w:r>
          </w:p>
        </w:tc>
        <w:tc>
          <w:tcPr>
            <w:tcW w:w="270" w:type="dxa"/>
          </w:tcPr>
          <w:p w14:paraId="1188490F"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000000" w:themeColor="text1"/>
                <w:sz w:val="36"/>
                <w:szCs w:val="36"/>
                <w:rtl/>
              </w:rPr>
            </w:pPr>
            <w:r w:rsidRPr="005D59A7">
              <w:rPr>
                <w:rFonts w:ascii="T" w:hAnsi="T" w:cs="Simplified Arabic"/>
                <w:b/>
                <w:bCs/>
                <w:color w:val="000000" w:themeColor="text1"/>
                <w:sz w:val="36"/>
                <w:szCs w:val="36"/>
                <w:rtl/>
              </w:rPr>
              <w:t>:</w:t>
            </w:r>
          </w:p>
        </w:tc>
        <w:tc>
          <w:tcPr>
            <w:tcW w:w="5593" w:type="dxa"/>
          </w:tcPr>
          <w:p w14:paraId="34677F0B"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rtl/>
              </w:rPr>
            </w:pPr>
            <w:r w:rsidRPr="005D59A7">
              <w:rPr>
                <w:rFonts w:ascii="T" w:hAnsi="T" w:cs="Simplified Arabic"/>
                <w:b/>
                <w:bCs/>
                <w:color w:val="1F497D" w:themeColor="text2"/>
                <w:rtl/>
              </w:rPr>
              <w:t>كلية الإدارة</w:t>
            </w:r>
          </w:p>
          <w:p w14:paraId="0181A47D" w14:textId="77777777" w:rsidR="00B627EA" w:rsidRPr="005D59A7" w:rsidRDefault="00B627EA" w:rsidP="007E5DDA">
            <w:pPr>
              <w:pStyle w:val="NormalWeb"/>
              <w:bidi/>
              <w:spacing w:before="0" w:beforeAutospacing="0" w:after="0" w:afterAutospacing="0"/>
              <w:ind w:right="-270"/>
              <w:jc w:val="center"/>
              <w:rPr>
                <w:rFonts w:ascii="T" w:hAnsi="T" w:cs="Simplified Arabic"/>
                <w:b/>
                <w:bCs/>
                <w:color w:val="1F497D" w:themeColor="text2"/>
                <w:sz w:val="36"/>
                <w:szCs w:val="36"/>
                <w:rtl/>
              </w:rPr>
            </w:pPr>
            <w:r w:rsidRPr="005D59A7">
              <w:rPr>
                <w:rFonts w:ascii="T" w:hAnsi="T" w:cs="Simplified Arabic"/>
                <w:b/>
                <w:bCs/>
                <w:color w:val="1F497D" w:themeColor="text2"/>
                <w:rtl/>
              </w:rPr>
              <w:t>إدارة بيئية</w:t>
            </w:r>
          </w:p>
        </w:tc>
      </w:tr>
      <w:tr w:rsidR="00B627EA" w:rsidRPr="005D59A7" w14:paraId="1A47E656" w14:textId="77777777" w:rsidTr="007E5DDA">
        <w:trPr>
          <w:jc w:val="center"/>
        </w:trPr>
        <w:tc>
          <w:tcPr>
            <w:tcW w:w="1930" w:type="dxa"/>
          </w:tcPr>
          <w:p w14:paraId="5F8C7E7E" w14:textId="77777777" w:rsidR="00B627EA" w:rsidRPr="005D59A7" w:rsidRDefault="00B627EA" w:rsidP="007E5DDA">
            <w:pPr>
              <w:pStyle w:val="NormalWeb"/>
              <w:bidi/>
              <w:spacing w:before="0" w:beforeAutospacing="0" w:after="0" w:afterAutospacing="0"/>
              <w:ind w:right="-270"/>
              <w:rPr>
                <w:rFonts w:ascii="T" w:hAnsi="T" w:cstheme="majorBidi"/>
                <w:b/>
                <w:bCs/>
                <w:color w:val="000000" w:themeColor="text1"/>
                <w:sz w:val="36"/>
                <w:szCs w:val="36"/>
                <w:rtl/>
              </w:rPr>
            </w:pPr>
          </w:p>
        </w:tc>
        <w:tc>
          <w:tcPr>
            <w:tcW w:w="270" w:type="dxa"/>
          </w:tcPr>
          <w:p w14:paraId="2BDD89B5" w14:textId="77777777" w:rsidR="00B627EA" w:rsidRPr="005D59A7" w:rsidRDefault="00B627EA" w:rsidP="007E5DDA">
            <w:pPr>
              <w:pStyle w:val="NormalWeb"/>
              <w:bidi/>
              <w:spacing w:before="0" w:beforeAutospacing="0" w:after="0" w:afterAutospacing="0"/>
              <w:ind w:right="-270"/>
              <w:rPr>
                <w:rFonts w:ascii="T" w:hAnsi="T" w:cstheme="majorBidi"/>
                <w:b/>
                <w:bCs/>
                <w:color w:val="000000" w:themeColor="text1"/>
                <w:sz w:val="36"/>
                <w:szCs w:val="36"/>
                <w:rtl/>
              </w:rPr>
            </w:pPr>
          </w:p>
        </w:tc>
        <w:tc>
          <w:tcPr>
            <w:tcW w:w="5593" w:type="dxa"/>
          </w:tcPr>
          <w:p w14:paraId="6CF8A7BD" w14:textId="77777777" w:rsidR="00B627EA" w:rsidRPr="005D59A7" w:rsidRDefault="00B627EA" w:rsidP="007E5DDA">
            <w:pPr>
              <w:pStyle w:val="NormalWeb"/>
              <w:bidi/>
              <w:spacing w:before="0" w:beforeAutospacing="0" w:after="0" w:afterAutospacing="0"/>
              <w:ind w:right="-270"/>
              <w:rPr>
                <w:rFonts w:ascii="T" w:hAnsi="T" w:cstheme="majorBidi"/>
                <w:b/>
                <w:bCs/>
                <w:color w:val="0000FF"/>
                <w:sz w:val="36"/>
                <w:szCs w:val="36"/>
                <w:rtl/>
              </w:rPr>
            </w:pPr>
          </w:p>
        </w:tc>
      </w:tr>
    </w:tbl>
    <w:p w14:paraId="535C41A4" w14:textId="77777777" w:rsidR="00B627EA" w:rsidRPr="005D59A7" w:rsidRDefault="00B627EA" w:rsidP="00B627EA">
      <w:pPr>
        <w:spacing w:line="240" w:lineRule="auto"/>
        <w:rPr>
          <w:rFonts w:ascii="T" w:hAnsi="T" w:cstheme="majorBidi"/>
          <w:noProof/>
          <w:rtl/>
          <w:lang w:bidi="ar-JO"/>
        </w:rPr>
      </w:pPr>
    </w:p>
    <w:p w14:paraId="154F0699" w14:textId="77777777" w:rsidR="00B627EA" w:rsidRPr="005D59A7" w:rsidRDefault="00B627EA" w:rsidP="00B627EA">
      <w:pPr>
        <w:jc w:val="center"/>
        <w:rPr>
          <w:rFonts w:ascii="T" w:hAnsi="T" w:cs="Simplified Arabic"/>
          <w:b/>
          <w:bCs/>
          <w:color w:val="000000" w:themeColor="text1"/>
          <w:sz w:val="24"/>
          <w:szCs w:val="24"/>
          <w:rtl/>
        </w:rPr>
      </w:pPr>
      <w:r w:rsidRPr="005D59A7">
        <w:rPr>
          <w:rFonts w:ascii="T" w:hAnsi="T" w:cs="Simplified Arabic"/>
          <w:b/>
          <w:bCs/>
          <w:color w:val="000000" w:themeColor="text1"/>
          <w:sz w:val="24"/>
          <w:szCs w:val="24"/>
          <w:rtl/>
        </w:rPr>
        <w:t>1447هـ  -  2025م</w:t>
      </w:r>
    </w:p>
    <w:p w14:paraId="13BCE324" w14:textId="77777777" w:rsidR="00B627EA" w:rsidRPr="005D59A7" w:rsidRDefault="00B627EA" w:rsidP="00B627EA">
      <w:pPr>
        <w:bidi/>
        <w:jc w:val="center"/>
        <w:rPr>
          <w:rFonts w:ascii="T" w:hAnsi="T" w:cs="Simplified Arabic"/>
          <w:b/>
          <w:bCs/>
          <w:color w:val="000000" w:themeColor="text1"/>
          <w:sz w:val="32"/>
          <w:szCs w:val="32"/>
          <w:rtl/>
        </w:rPr>
      </w:pPr>
    </w:p>
    <w:p w14:paraId="5062A176" w14:textId="77777777" w:rsidR="00B627EA" w:rsidRPr="005D59A7" w:rsidRDefault="00B627EA" w:rsidP="00B627EA">
      <w:pPr>
        <w:bidi/>
        <w:jc w:val="center"/>
        <w:rPr>
          <w:rFonts w:ascii="T" w:hAnsi="T" w:cs="Simplified Arabic"/>
          <w:b/>
          <w:bCs/>
          <w:color w:val="000000" w:themeColor="text1"/>
          <w:sz w:val="32"/>
          <w:szCs w:val="32"/>
        </w:rPr>
      </w:pPr>
      <w:r w:rsidRPr="005D59A7">
        <w:rPr>
          <w:rFonts w:ascii="T" w:hAnsi="T" w:cs="Simplified Arabic"/>
          <w:b/>
          <w:bCs/>
          <w:noProof/>
          <w:color w:val="000000" w:themeColor="text1"/>
          <w:sz w:val="32"/>
          <w:szCs w:val="32"/>
        </w:rPr>
        <w:drawing>
          <wp:inline distT="0" distB="0" distL="0" distR="0" wp14:anchorId="3F4191C5" wp14:editId="60329084">
            <wp:extent cx="4121150" cy="4066076"/>
            <wp:effectExtent l="0" t="0" r="0" b="0"/>
            <wp:docPr id="528953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28422" cy="4073251"/>
                    </a:xfrm>
                    <a:prstGeom prst="rect">
                      <a:avLst/>
                    </a:prstGeom>
                    <a:noFill/>
                    <a:ln>
                      <a:noFill/>
                    </a:ln>
                  </pic:spPr>
                </pic:pic>
              </a:graphicData>
            </a:graphic>
          </wp:inline>
        </w:drawing>
      </w:r>
    </w:p>
    <w:p w14:paraId="72D90D59" w14:textId="77777777" w:rsidR="00B627EA" w:rsidRPr="005D59A7" w:rsidRDefault="00B627EA" w:rsidP="00B627EA">
      <w:pPr>
        <w:bidi/>
        <w:jc w:val="center"/>
        <w:rPr>
          <w:rFonts w:ascii="T" w:hAnsi="T" w:cs="Simplified Arabic"/>
          <w:b/>
          <w:bCs/>
          <w:color w:val="000000" w:themeColor="text1"/>
          <w:sz w:val="32"/>
          <w:szCs w:val="32"/>
          <w:rtl/>
        </w:rPr>
      </w:pPr>
      <w:r w:rsidRPr="005D59A7">
        <w:rPr>
          <w:rFonts w:ascii="T" w:hAnsi="T" w:cs="Simplified Arabic"/>
          <w:b/>
          <w:bCs/>
          <w:color w:val="000000" w:themeColor="text1"/>
          <w:sz w:val="32"/>
          <w:szCs w:val="32"/>
          <w:rtl/>
        </w:rPr>
        <w:t>صدق الله العظيم</w:t>
      </w:r>
    </w:p>
    <w:p w14:paraId="0BE1F53D" w14:textId="77777777" w:rsidR="00B627EA" w:rsidRPr="005D59A7" w:rsidRDefault="00B627EA" w:rsidP="00B627EA">
      <w:pPr>
        <w:bidi/>
        <w:rPr>
          <w:rFonts w:ascii="T" w:hAnsi="T" w:cs="Simplified Arabic"/>
          <w:b/>
          <w:bCs/>
          <w:color w:val="000000" w:themeColor="text1"/>
          <w:sz w:val="36"/>
          <w:szCs w:val="36"/>
          <w:rtl/>
        </w:rPr>
      </w:pPr>
    </w:p>
    <w:p w14:paraId="7689D9D5" w14:textId="77777777" w:rsidR="00B627EA" w:rsidRPr="005D59A7" w:rsidRDefault="00B627EA" w:rsidP="00B627EA">
      <w:pPr>
        <w:bidi/>
        <w:rPr>
          <w:rFonts w:ascii="T" w:hAnsi="T" w:cs="Simplified Arabic"/>
          <w:b/>
          <w:bCs/>
          <w:color w:val="000000" w:themeColor="text1"/>
          <w:sz w:val="36"/>
          <w:szCs w:val="36"/>
          <w:rtl/>
        </w:rPr>
      </w:pPr>
    </w:p>
    <w:p w14:paraId="2176B4D2" w14:textId="77777777" w:rsidR="00B627EA" w:rsidRPr="005D59A7" w:rsidRDefault="00B627EA" w:rsidP="00B627EA">
      <w:pPr>
        <w:bidi/>
        <w:rPr>
          <w:rFonts w:ascii="T" w:hAnsi="T" w:cs="Simplified Arabic"/>
          <w:b/>
          <w:bCs/>
          <w:color w:val="000000" w:themeColor="text1"/>
          <w:sz w:val="36"/>
          <w:szCs w:val="36"/>
          <w:rtl/>
        </w:rPr>
      </w:pPr>
    </w:p>
    <w:p w14:paraId="62039A41" w14:textId="77777777" w:rsidR="00B627EA" w:rsidRPr="005D59A7" w:rsidRDefault="00B627EA" w:rsidP="00B627EA">
      <w:pPr>
        <w:bidi/>
        <w:rPr>
          <w:rFonts w:ascii="T" w:hAnsi="T" w:cs="Simplified Arabic"/>
          <w:b/>
          <w:bCs/>
          <w:color w:val="000000" w:themeColor="text1"/>
          <w:sz w:val="36"/>
          <w:szCs w:val="36"/>
          <w:rtl/>
        </w:rPr>
      </w:pPr>
    </w:p>
    <w:p w14:paraId="034082B5" w14:textId="77777777" w:rsidR="004B1E9E" w:rsidRPr="005D59A7" w:rsidRDefault="004B1E9E" w:rsidP="00836D37">
      <w:pPr>
        <w:rPr>
          <w:rFonts w:ascii="T" w:hAnsi="T" w:cs="Simplified Arabic"/>
          <w:b/>
          <w:bCs/>
          <w:sz w:val="24"/>
          <w:szCs w:val="24"/>
        </w:rPr>
      </w:pPr>
    </w:p>
    <w:p w14:paraId="67CD0443" w14:textId="77777777" w:rsidR="00AA4673" w:rsidRPr="005D59A7" w:rsidRDefault="00AA4673" w:rsidP="00836D37">
      <w:pPr>
        <w:rPr>
          <w:rFonts w:ascii="T" w:hAnsi="T" w:cs="Simplified Arabic"/>
          <w:b/>
          <w:bCs/>
          <w:sz w:val="24"/>
          <w:szCs w:val="24"/>
        </w:rPr>
      </w:pPr>
    </w:p>
    <w:p w14:paraId="3256554B" w14:textId="77777777" w:rsidR="00AA4673" w:rsidRPr="005D59A7" w:rsidRDefault="00AA4673" w:rsidP="00836D37">
      <w:pPr>
        <w:rPr>
          <w:rFonts w:ascii="T" w:hAnsi="T" w:cs="Simplified Arabic"/>
          <w:b/>
          <w:bCs/>
          <w:sz w:val="24"/>
          <w:szCs w:val="24"/>
        </w:rPr>
      </w:pPr>
    </w:p>
    <w:p w14:paraId="349EABD6" w14:textId="77777777" w:rsidR="00AA4673" w:rsidRDefault="00AA4673" w:rsidP="00836D37">
      <w:pPr>
        <w:rPr>
          <w:rFonts w:ascii="T" w:hAnsi="T" w:cs="Simplified Arabic"/>
          <w:b/>
          <w:bCs/>
          <w:sz w:val="24"/>
          <w:szCs w:val="24"/>
        </w:rPr>
      </w:pPr>
    </w:p>
    <w:p w14:paraId="5AA2EA4F" w14:textId="77777777" w:rsidR="00344EDD" w:rsidRPr="005D59A7" w:rsidRDefault="00344EDD" w:rsidP="00836D37">
      <w:pPr>
        <w:rPr>
          <w:rFonts w:ascii="T" w:hAnsi="T" w:cs="Simplified Arabic"/>
          <w:b/>
          <w:bCs/>
          <w:sz w:val="24"/>
          <w:szCs w:val="24"/>
        </w:rPr>
      </w:pPr>
    </w:p>
    <w:p w14:paraId="1D59889C" w14:textId="77777777" w:rsidR="004B1E9E" w:rsidRPr="005D59A7" w:rsidRDefault="004B1E9E" w:rsidP="004B1E9E">
      <w:pPr>
        <w:spacing w:line="360" w:lineRule="auto"/>
        <w:jc w:val="center"/>
        <w:rPr>
          <w:rFonts w:ascii="T" w:eastAsia="Calibri" w:hAnsi="T" w:cs="Simplified Arabic"/>
          <w:b/>
          <w:bCs/>
          <w:sz w:val="16"/>
          <w:szCs w:val="16"/>
          <w:lang w:bidi="ar-EG"/>
        </w:rPr>
      </w:pPr>
      <w:r w:rsidRPr="005D59A7">
        <w:rPr>
          <w:rFonts w:ascii="T" w:eastAsia="Calibri" w:hAnsi="T" w:cs="Simplified Arabic"/>
          <w:b/>
          <w:bCs/>
          <w:sz w:val="28"/>
          <w:szCs w:val="28"/>
          <w:rtl/>
          <w:lang w:bidi="ar-SY"/>
        </w:rPr>
        <w:lastRenderedPageBreak/>
        <w:t>رسالة شكر</w:t>
      </w:r>
    </w:p>
    <w:p w14:paraId="01FA072F" w14:textId="4DEBE412"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بسم الله الرحمن الرحيم، قال تعالى في كتابه الكريم، (ومن يشكر فإنما يشكر لنفسه) أما بعد، فإني أحمد الله عز وجل حمداً كثيراُ طيباُ يملئ السماوات والأرض، وأشكره قبل كل شيء على ما أكرمني به من إتمام هذه الدراسة وأسأل الله أن تنفعني في ديني ودنياي وأنال بها رضاه. نحمده ونشكره كما ينبغي لجلال وجهه وعظيم سلطانه ونستغفره عدد خلقه ورضا نفسه وزنة عرشه ومداد كلماته ونسأله أن يتقبل منا أعمالنا واجتهادنا ويرضي بها عنا، ثم نصلي على أشرف الخلق سيدنا محمد صلى الله عليه وسلم وعلى آله وصحبه وسلم تسليماً كثيرا. </w:t>
      </w:r>
    </w:p>
    <w:p w14:paraId="6FF24607"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أتوجه بالشكر لإدارة الجامعة والتي تتمثل في مدير الجامعة الأستاذ الفاضل (.....) وعميد كلية (.....) ورئيس قسم (.....) أستاذي الفاضل الدكتور (........). </w:t>
      </w:r>
    </w:p>
    <w:p w14:paraId="3C755DFA"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كما أتوجه بالشكر إلى أستاذي الدكتور المسؤول عن رسالتي (......) والذي كان ولا زال الداعم الأول لي بعد الله عز وجل الأستاذ (......) المشرف العام على الرسالة. </w:t>
      </w:r>
    </w:p>
    <w:p w14:paraId="7DA30BB8" w14:textId="77777777"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أود أيضاً التوجه بخالص الشكر لكل الأساتذة الذين ساهموا ولو بالقليل من الدعم النفسي لي ومنهم الدكتور/الدكتورة (........) والشكر واجب لكل أساتذة التحكيم والسادة المناقشين لهذه الرسالة وشكراً لهم لقبول هذه المناقشة. </w:t>
      </w:r>
    </w:p>
    <w:p w14:paraId="7305921E" w14:textId="389B5C69" w:rsidR="00B32BC6" w:rsidRPr="005D59A7" w:rsidRDefault="00B32BC6" w:rsidP="00A76C20">
      <w:pPr>
        <w:bidi/>
        <w:spacing w:line="360" w:lineRule="auto"/>
        <w:jc w:val="both"/>
        <w:rPr>
          <w:rFonts w:ascii="T" w:eastAsia="Calibri" w:hAnsi="T" w:cs="Simplified Arabic"/>
          <w:sz w:val="24"/>
          <w:szCs w:val="24"/>
          <w:rtl/>
        </w:rPr>
      </w:pPr>
      <w:r w:rsidRPr="005D59A7">
        <w:rPr>
          <w:rFonts w:ascii="T" w:eastAsia="Calibri" w:hAnsi="T" w:cs="Simplified Arabic"/>
          <w:sz w:val="24"/>
          <w:szCs w:val="24"/>
          <w:rtl/>
        </w:rPr>
        <w:t xml:space="preserve">أخيراً، لا يمكنني أن أنسى فضل ودور أهلي وزوجتي وأبنائي وأخوتي على دعمي طوال فترة البحث والتحضير لهذه المناقشة والشكر جائز لهم من بداية تعليمي على مدار كل المراحل التعليمية، فلولا وجودهم ودعمهم لما أكملت هذا العمل. </w:t>
      </w:r>
    </w:p>
    <w:p w14:paraId="3B34F565" w14:textId="79B707F1" w:rsidR="00A76C20" w:rsidRPr="005D59A7" w:rsidRDefault="00A76C20" w:rsidP="00A76C20">
      <w:pPr>
        <w:bidi/>
        <w:spacing w:line="360" w:lineRule="auto"/>
        <w:jc w:val="both"/>
        <w:rPr>
          <w:rFonts w:ascii="T" w:eastAsia="Calibri" w:hAnsi="T" w:cs="Sakkal Majalla"/>
          <w:sz w:val="28"/>
          <w:szCs w:val="28"/>
          <w:rtl/>
        </w:rPr>
      </w:pPr>
    </w:p>
    <w:p w14:paraId="7DB8AA19" w14:textId="30628389" w:rsidR="00A76C20" w:rsidRPr="005D59A7" w:rsidRDefault="00A76C20" w:rsidP="00A76C20">
      <w:pPr>
        <w:bidi/>
        <w:spacing w:line="360" w:lineRule="auto"/>
        <w:jc w:val="both"/>
        <w:rPr>
          <w:rFonts w:ascii="T" w:eastAsia="Calibri" w:hAnsi="T" w:cs="Sakkal Majalla"/>
          <w:sz w:val="28"/>
          <w:szCs w:val="28"/>
          <w:rtl/>
        </w:rPr>
      </w:pPr>
    </w:p>
    <w:p w14:paraId="4E5CDB63" w14:textId="5B593CC8" w:rsidR="00A76C20" w:rsidRPr="005D59A7" w:rsidRDefault="00A76C20" w:rsidP="00A76C20">
      <w:pPr>
        <w:bidi/>
        <w:spacing w:line="360" w:lineRule="auto"/>
        <w:jc w:val="both"/>
        <w:rPr>
          <w:rFonts w:ascii="T" w:eastAsia="Calibri" w:hAnsi="T" w:cs="Sakkal Majalla"/>
          <w:sz w:val="28"/>
          <w:szCs w:val="28"/>
          <w:rtl/>
        </w:rPr>
      </w:pPr>
    </w:p>
    <w:p w14:paraId="1FD03980" w14:textId="77777777" w:rsidR="00A76C20" w:rsidRPr="005D59A7" w:rsidRDefault="00A76C20" w:rsidP="00AA4673">
      <w:pPr>
        <w:bidi/>
        <w:rPr>
          <w:rFonts w:ascii="T" w:eastAsia="Calibri" w:hAnsi="T" w:cs="Sakkal Majalla"/>
          <w:sz w:val="28"/>
          <w:szCs w:val="28"/>
        </w:rPr>
      </w:pPr>
    </w:p>
    <w:p w14:paraId="7EB5E61D" w14:textId="77777777" w:rsidR="00AA4673" w:rsidRPr="005D59A7" w:rsidRDefault="00AA4673" w:rsidP="00AA4673">
      <w:pPr>
        <w:bidi/>
        <w:rPr>
          <w:rFonts w:ascii="T" w:hAnsi="T" w:cstheme="majorBidi"/>
          <w:b/>
          <w:bCs/>
          <w:sz w:val="32"/>
          <w:szCs w:val="32"/>
        </w:rPr>
      </w:pPr>
    </w:p>
    <w:p w14:paraId="123A99E7" w14:textId="77777777" w:rsidR="00A76C20" w:rsidRPr="005D59A7" w:rsidRDefault="00A76C20" w:rsidP="00481A79">
      <w:pPr>
        <w:jc w:val="center"/>
        <w:rPr>
          <w:rFonts w:ascii="T" w:hAnsi="T" w:cs="Simplified Arabic"/>
          <w:b/>
          <w:bCs/>
          <w:sz w:val="28"/>
          <w:szCs w:val="28"/>
          <w:rtl/>
        </w:rPr>
      </w:pPr>
      <w:r w:rsidRPr="005D59A7">
        <w:rPr>
          <w:rFonts w:ascii="T" w:hAnsi="T" w:cs="Simplified Arabic"/>
          <w:b/>
          <w:bCs/>
          <w:sz w:val="28"/>
          <w:szCs w:val="28"/>
          <w:rtl/>
        </w:rPr>
        <w:lastRenderedPageBreak/>
        <w:t>المستخلص</w:t>
      </w:r>
    </w:p>
    <w:p w14:paraId="6D2EE172"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لا تخلو الشراكات بين القطاعين العام والخاص من التعقيدات. فهي تتطلب تخطيطًا دقيقًا، وأطر قانونية وتنظيمية متينة، وتوزيعًا شفافًا للمخاطر بين الشركاء. وبينما يتحمل القطاع الخاص عادةً مخاطر الإنشاء والتشغيل، يتحمل القطاع العام المسؤولية النهائية عن ضمان تقديم الخدمات العامة وحماية المصلحة العامة. وبالتالي، يعد التخطيط والحوكمة لأي قطاع ما جوهر الأساس في إعادة الهيكلة والتنظيم نحو نجاح مثمر وأداء متميز.</w:t>
      </w:r>
    </w:p>
    <w:p w14:paraId="3A8BCAE6"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إلى جانب إعادة الهيكلة التنظيمية للقطاع البيئي التي تم تطبيقها في المملكة العربية السعودية، لا يزال انخراط القطاع الخاص فيه محدوداً. وتهدف هذه الدراسة بشكل رئيسي إلى اقتراح نموذج للشراكة بين القطاعين العام والخاص في القطاع البيئي، من شأنه تعزيز الحوكمة المطبقة حاليًا وزيادة كفاءة تقديم الخدمات من حيث التشغيل والتكلفة. عليه، قامت الوزارة بإطلاق الإستراتيجية الوطنية للبيئة في عام 2018 والتي اقتضت إنشاء المراكز الوطنية الخمسة وصندوق البيئة وذلك بهدف إعادة هيكلة القطاع وبحث سبل إشراك القطاع الخاص وتحقيق العوائد.</w:t>
      </w:r>
    </w:p>
    <w:p w14:paraId="1FF3B665"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ومن هنا، تنبع مشكلة الدراسة في بحث سبل الشراكة بين القطاعين العام والخاص في القطاع البيئي وذلك من خلال دراسة الخدمات البيئية التي يقدمها القطاع الخاص حالياً واختيار خدمة محددة لتوضيح الفجوة في الكفاءة التشغيلية والمالية واقتراح نموذج شراكة لها. كما تنبع الأهمية التطبيقية في اختيار خدمة بيئية محددة وهي التفتيش البيئي ودراسة الفجوة الحالية بها من الإجراءات والتكاليف الرأس مالية والتشغيلية، واقتراح نموذج شراكة بين القطاعين العام والخاص لها للحد من ذلك.</w:t>
      </w:r>
    </w:p>
    <w:p w14:paraId="63A8F630"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sz w:val="24"/>
          <w:szCs w:val="24"/>
          <w:rtl/>
        </w:rPr>
        <w:t>وتعد المتغيرات الوسيطة والمعدلة هي البنود، والمعايير الخاصة بالدراسة التي سيتم اختيارها لتمثيل نموذج مناسب للشراكة مع القطاع الخاص مثل الرسوم إن وجدت، التكاليف الرأس مالية والتشغيلية، عدد الموظفين، وغيرها من عناصر دراسات الجدوى.</w:t>
      </w:r>
    </w:p>
    <w:p w14:paraId="63F983CD"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lastRenderedPageBreak/>
        <w:t>بينما يعد منهج الدراسة مزيج بين الوصفي والتحليلي. ويتضح القسم الوصفي من خلال التقييم النظري للأدبيات الموجودة والمراجعة العامة للمعلومات المتعلقة بموضوع الرسالة. ومن ثم، يتدرج البحث وصولاً إلى القسم التحليلي الفني للخدمة البيئية المختارة كنموذج عمل وتطبيق دراسات الجدوى اللازمة لها لاقتراح نموذج شراكة بين القطاع العام والخاص لها شاملةً تحاليل الكفاءة التشغيلية والمالية.</w:t>
      </w:r>
    </w:p>
    <w:p w14:paraId="63B90DEA"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وتعد عينة الدراسة هي الخدمة البيئية التي سيتم اختيارها لعمل نموذج شراكة بين القطاع العام والخاص لها. ويشمل النموذج إعداد دراسة جدوى شاملة تشمل التكاليف التشغيلية والرأس مالية وعدد الموظفين وساعات العمل وتحليل المدخلات والمخرجات وحساب الرسوم والعوائد إن وجدت وغيرها من العناصر. ويكون الهدف الرئيسي هو خلق نموذج تشغيلي إداري لخدمة بيئية لمشاركة القطاع الخاص بها من شأنه إيجاد عوائد للجهة المعنية أو تقليل التكاليف التشغيلية أو ميزانية الجهة، بالإضافة إلى رفع جودة المخرجات وخلق سوق عمل جديد يوفر الوظائف والفرص. وكما تم الذكر مسبقاً، يعد التفتيش البيئي هو الخيار الأمثل كخدمة بيئية مستهدفة للدراسة.</w:t>
      </w:r>
    </w:p>
    <w:p w14:paraId="4D57A9D7"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ووجد البحث أن معظم الخدمات البيئية قابلة للمشاركة مع القطاع الخاص خاصة خدمة التفتيش البيئي والتي تم استهدافها كعينة أساسية للدراسة. حيث أن كافة الخدمات متضمنة خدمة التفتيش البيئي يتم تقديمها بالشكل الأساسي والتقليدي عن طريق الجهات الحكومية المسؤولة. وخلال إعداد الدراسات اللازمة ووضع الخطط المطلوبة يمكن التوصل إلى نموذج مناسب. وتعد الركيزة الأساسية لتخصيص خدمة التفتيش البيئي هي خلق مصدر دخل أساسي للخدمة عن طريق الرسوم البيئية ما من شأنه تغطية أو تقليل التكاليف التشغيلية للخدمة وخلق عوائد مالية، ويعد هذا الإجراء قابل للتفعيل حيث أن كافة التكاليف التشغيلية القائمة عليها الخدمة تعد على عاتق الدولة في الوقت الحالي. </w:t>
      </w:r>
    </w:p>
    <w:p w14:paraId="371B8329" w14:textId="77777777"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بعد التحليل والتقييم الأولي للخدمة تم إيجاد عدد كبير من الشركات المحتملة المحلية والإقليمية التي يمكن لها المشاركة في عملية تخصيص التفتيش وتوفير الموارد المطلوبة والكوادر البشرية التي من شأنها تقييم الخدمة بالشكل المطلوب وتقليل عبء التكاليف على المشغل الحكومي الحالي. وسيتم استهداف فرض الرسوم البيئية على شريحة العملاء من المنشآت على البنود الأساسية للتفتيش مثل زيارة المفتش وأيضاً من خلال </w:t>
      </w:r>
      <w:r w:rsidRPr="005D59A7">
        <w:rPr>
          <w:rFonts w:ascii="T" w:eastAsia="Times New Roman" w:hAnsi="T" w:cs="Simplified Arabic"/>
          <w:sz w:val="24"/>
          <w:szCs w:val="24"/>
          <w:rtl/>
        </w:rPr>
        <w:lastRenderedPageBreak/>
        <w:t xml:space="preserve">الخدمات الأخرى المصاحبة مثل خدمة إصدار الرخصة البيئية حيث وجد أنه يمكن فرض رسوم زيارة المفتش البيئي للمنشأة عن طريق الرخصة البيئية. </w:t>
      </w:r>
    </w:p>
    <w:p w14:paraId="35837E82" w14:textId="1FA629AB" w:rsidR="00A76C20" w:rsidRPr="005D59A7" w:rsidRDefault="00A76C20" w:rsidP="00A76C20">
      <w:pPr>
        <w:bidi/>
        <w:spacing w:before="100" w:beforeAutospacing="1" w:after="100" w:afterAutospacing="1" w:line="360" w:lineRule="auto"/>
        <w:ind w:firstLine="720"/>
        <w:jc w:val="lowKashida"/>
        <w:rPr>
          <w:rFonts w:ascii="T" w:eastAsia="Times New Roman" w:hAnsi="T" w:cs="Simplified Arabic"/>
          <w:sz w:val="24"/>
          <w:szCs w:val="24"/>
          <w:rtl/>
        </w:rPr>
      </w:pPr>
      <w:r w:rsidRPr="005D59A7">
        <w:rPr>
          <w:rFonts w:ascii="T" w:eastAsia="Times New Roman" w:hAnsi="T" w:cs="Simplified Arabic"/>
          <w:sz w:val="24"/>
          <w:szCs w:val="24"/>
          <w:rtl/>
        </w:rPr>
        <w:t xml:space="preserve">وعلى أصعدة المقارنة، يوجد العديد من الخدمات المحلية التي يتم مشاركة القطاع الخاص بها في القطاعات الأخرى مثل وزارة الداخلية وخدمات المرور والأمانات والبلديات وغيرها. كما يوجد على الأصعدة الدولية أمثلة عديدة في تخصيص خدمات قطاع البيئة وعلى سبيل المثال تم النظر في نموذج وكالة حماية البيئة بالمملكة المتحدة وأسكتلندا أيضاً. وبالتالي، يمكن الاستدلال على إمكانية تطبيق تخصيص الخدمات البيئية وتفعيل نماذج عمل ناجحة مثمرة. </w:t>
      </w:r>
    </w:p>
    <w:p w14:paraId="41BBF505" w14:textId="758592E4" w:rsidR="00686195" w:rsidRPr="005D59A7" w:rsidRDefault="00217271" w:rsidP="00AA4673">
      <w:pPr>
        <w:bidi/>
        <w:spacing w:before="100" w:beforeAutospacing="1" w:after="100" w:afterAutospacing="1" w:line="360" w:lineRule="auto"/>
        <w:ind w:firstLine="720"/>
        <w:jc w:val="lowKashida"/>
        <w:rPr>
          <w:rFonts w:ascii="T" w:eastAsia="Times New Roman" w:hAnsi="T" w:cs="Simplified Arabic"/>
          <w:sz w:val="24"/>
          <w:szCs w:val="24"/>
        </w:rPr>
      </w:pPr>
      <w:r w:rsidRPr="005D59A7">
        <w:rPr>
          <w:rFonts w:ascii="T" w:eastAsia="Times New Roman" w:hAnsi="T" w:cs="Simplified Arabic"/>
          <w:b/>
          <w:bCs/>
          <w:sz w:val="24"/>
          <w:szCs w:val="24"/>
          <w:rtl/>
        </w:rPr>
        <w:t>الكلمات المفتاحية</w:t>
      </w:r>
      <w:r w:rsidRPr="005D59A7">
        <w:rPr>
          <w:rFonts w:ascii="T" w:eastAsia="Times New Roman" w:hAnsi="T" w:cs="Simplified Arabic"/>
          <w:sz w:val="24"/>
          <w:szCs w:val="24"/>
          <w:rtl/>
        </w:rPr>
        <w:t>: الشراكات بين القطاعين العام والخاص، الحوكمة البيئية، التفتيش البيئي , إدارة الأداء</w:t>
      </w:r>
    </w:p>
    <w:p w14:paraId="4D365A7A"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7A959A2D"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75BE590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5C443D5"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763165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4BAB58DC"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59972C89" w14:textId="77777777" w:rsidR="00AA4673"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1825D8E9" w14:textId="77777777" w:rsidR="00233335" w:rsidRDefault="00233335" w:rsidP="00233335">
      <w:pPr>
        <w:bidi/>
        <w:spacing w:before="100" w:beforeAutospacing="1" w:after="100" w:afterAutospacing="1" w:line="360" w:lineRule="auto"/>
        <w:ind w:firstLine="720"/>
        <w:jc w:val="lowKashida"/>
        <w:rPr>
          <w:rFonts w:ascii="T" w:eastAsia="Times New Roman" w:hAnsi="T" w:cs="Simplified Arabic"/>
          <w:sz w:val="24"/>
          <w:szCs w:val="24"/>
        </w:rPr>
      </w:pPr>
    </w:p>
    <w:p w14:paraId="1F086682" w14:textId="77777777" w:rsidR="00233335" w:rsidRPr="005D59A7" w:rsidRDefault="00233335" w:rsidP="00233335">
      <w:pPr>
        <w:bidi/>
        <w:spacing w:before="100" w:beforeAutospacing="1" w:after="100" w:afterAutospacing="1" w:line="360" w:lineRule="auto"/>
        <w:ind w:firstLine="720"/>
        <w:jc w:val="lowKashida"/>
        <w:rPr>
          <w:rFonts w:ascii="T" w:eastAsia="Times New Roman" w:hAnsi="T" w:cs="Simplified Arabic"/>
          <w:sz w:val="24"/>
          <w:szCs w:val="24"/>
        </w:rPr>
      </w:pPr>
    </w:p>
    <w:p w14:paraId="34D1B913"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16C7F562" w14:textId="77777777" w:rsidR="00AA4673" w:rsidRPr="005D59A7" w:rsidRDefault="00AA4673" w:rsidP="00AA4673">
      <w:pPr>
        <w:bidi/>
        <w:spacing w:before="100" w:beforeAutospacing="1" w:after="100" w:afterAutospacing="1" w:line="360" w:lineRule="auto"/>
        <w:ind w:firstLine="720"/>
        <w:jc w:val="lowKashida"/>
        <w:rPr>
          <w:rFonts w:ascii="T" w:eastAsia="Times New Roman" w:hAnsi="T" w:cs="Simplified Arabic"/>
          <w:sz w:val="24"/>
          <w:szCs w:val="24"/>
        </w:rPr>
      </w:pPr>
    </w:p>
    <w:p w14:paraId="62C73609" w14:textId="77777777" w:rsidR="00242A04" w:rsidRPr="005D59A7" w:rsidRDefault="00242A04" w:rsidP="00481A79">
      <w:pPr>
        <w:jc w:val="center"/>
        <w:rPr>
          <w:rFonts w:ascii="T" w:hAnsi="T" w:cstheme="majorBidi"/>
          <w:b/>
          <w:bCs/>
          <w:sz w:val="28"/>
          <w:szCs w:val="28"/>
        </w:rPr>
      </w:pPr>
      <w:r w:rsidRPr="005D59A7">
        <w:rPr>
          <w:rFonts w:ascii="T" w:hAnsi="T" w:cstheme="majorBidi"/>
          <w:b/>
          <w:bCs/>
          <w:sz w:val="28"/>
          <w:szCs w:val="28"/>
        </w:rPr>
        <w:lastRenderedPageBreak/>
        <w:t>ABSTRACT</w:t>
      </w:r>
    </w:p>
    <w:p w14:paraId="0F70F05B" w14:textId="77777777" w:rsidR="00242A04" w:rsidRPr="005D59A7" w:rsidRDefault="00242A04" w:rsidP="00A76C20">
      <w:pPr>
        <w:spacing w:line="360" w:lineRule="auto"/>
        <w:ind w:firstLine="720"/>
        <w:jc w:val="both"/>
        <w:rPr>
          <w:rFonts w:ascii="T" w:hAnsi="T" w:cs="Times New Roman"/>
          <w:sz w:val="24"/>
          <w:szCs w:val="24"/>
        </w:rPr>
      </w:pPr>
      <w:r w:rsidRPr="005D59A7">
        <w:rPr>
          <w:rFonts w:ascii="T" w:hAnsi="T" w:cstheme="majorBidi"/>
          <w:sz w:val="24"/>
          <w:szCs w:val="24"/>
        </w:rPr>
        <w:t>Public-private partnerships are not without their complexities. They require meticulous planning, robust legal and regulatory frameworks, and a transparent allocation of risk between partners. While the private sector typically bears the risks of establishment and operation, the public sector bears the ultimate responsibility for ensuring the delivery of public services and protecting the public interest. Therefore, planning and governance are fundamental to any sector's restructuring and reorganization, paving the way for successful and high-performing outcomes</w:t>
      </w:r>
      <w:r w:rsidRPr="005D59A7">
        <w:rPr>
          <w:rFonts w:ascii="T" w:hAnsi="T" w:cs="Times New Roman"/>
          <w:sz w:val="24"/>
          <w:szCs w:val="24"/>
          <w:rtl/>
        </w:rPr>
        <w:t>.</w:t>
      </w:r>
    </w:p>
    <w:p w14:paraId="7AC19AE9"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Despite the organizational restructuring of the environmental sector implemented in Saudi Arabia, private sector involvement remains limited. This study primarily aims to propose a public-private partnership (PPP) model for the environmental sector that would enhance current governance practices and improve the operational and cost-effectiveness of service delivery. Accordingly, the Ministry launched the National Environment Strategy in 2018, which led to the establishment of five national centers and the Environmental Fund, with the goal of restructuring the sector and exploring ways to engage the private sector and generate returns.</w:t>
      </w:r>
    </w:p>
    <w:p w14:paraId="7060E443"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Hence, the research problem lies in exploring avenues for public-private partnerships in the environmental sector. This is achieved by examining the environmental services currently provided by the </w:t>
      </w:r>
      <w:r w:rsidR="008804AB" w:rsidRPr="005D59A7">
        <w:rPr>
          <w:rFonts w:ascii="T" w:hAnsi="T" w:cstheme="majorBidi"/>
          <w:sz w:val="24"/>
          <w:szCs w:val="24"/>
        </w:rPr>
        <w:t>public</w:t>
      </w:r>
      <w:r w:rsidRPr="005D59A7">
        <w:rPr>
          <w:rFonts w:ascii="T" w:hAnsi="T" w:cstheme="majorBidi"/>
          <w:sz w:val="24"/>
          <w:szCs w:val="24"/>
        </w:rPr>
        <w:t xml:space="preserve"> sector, selecting a specific service to highlight the gap in operational and financial efficiency, and proposing a partnership model for it. The practical significance of this study stems from choosing a specific environmental service—environmental inspection—and analyzing the existing gap in its procedures, capital costs, and operational expenses, thereby proposing a public-private partnership model to mitigate these challenges.</w:t>
      </w:r>
    </w:p>
    <w:p w14:paraId="5021D5DA"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t>The mediating and adjusting variables are the items and criteria of the study that will be chosen to represent a suitable model for partnership with the private sector, such as fees, if any, capital and operating costs, number of employees, and other elements of feasibility studies.</w:t>
      </w:r>
    </w:p>
    <w:p w14:paraId="3D15DB3F" w14:textId="77777777" w:rsidR="00242A04" w:rsidRPr="005D59A7" w:rsidRDefault="00242A04" w:rsidP="00A76C20">
      <w:pPr>
        <w:spacing w:line="360" w:lineRule="auto"/>
        <w:ind w:firstLine="720"/>
        <w:jc w:val="both"/>
        <w:rPr>
          <w:rFonts w:ascii="T" w:hAnsi="T" w:cstheme="majorBidi"/>
          <w:sz w:val="24"/>
          <w:szCs w:val="24"/>
        </w:rPr>
      </w:pPr>
      <w:r w:rsidRPr="005D59A7">
        <w:rPr>
          <w:rFonts w:ascii="T" w:hAnsi="T" w:cstheme="majorBidi"/>
          <w:sz w:val="24"/>
          <w:szCs w:val="24"/>
        </w:rPr>
        <w:lastRenderedPageBreak/>
        <w:t>The study methodology combines descriptive and analytical approaches. The descriptive section begins with a theoretical evaluation of existing literature and a general review of information related to the thesis topic. The research then progresses to a technical analytical section, focusing on the selected environmental service as a business model and applying the necessary feasibility studies to propose a public-private partnership model, including operational and financial efficiency analyses.</w:t>
      </w:r>
    </w:p>
    <w:p w14:paraId="0A88CB91"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The study sample is an environmental service selected for a public-private partnership (PPP) model. This model includes a comprehensive feasibility study encompassing operational and capital costs, staffing levels and working hours, input-output analysis, calculation of fees and revenues (if applicable), and other relevant elements. The primary objective is to create an operational and administrative model for an environmental service involving private sector participation. This model aims to generate revenue for the relevant entity, reduce operational costs or budget constraints, improve the quality of outputs, and create a new job market with available opportunities. As previously mentioned, environmental inspection is the ideal choice for this study.</w:t>
      </w:r>
    </w:p>
    <w:p w14:paraId="3CF63EAF"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The research found that most environmental services are suitable for privatization, particularly environmental inspection services which is chosen as the primary case study. Currently, all services, including environmental inspection, are provided primarily and traditionally by the responsible government agencies. By conducting the necessary studies and developing the required plans, a suitable model can be developed. The fundamental principle behind privatizing environmental inspection services is to create a primary source of revenue through environmental fees. This would cover or reduce the service's operational costs and generate financial returns. This measure is feasible, as all operational costs currently incurred by the service are borne by the government.</w:t>
      </w:r>
    </w:p>
    <w:p w14:paraId="4DCFA494"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 xml:space="preserve">Following initial analysis and evaluation of the service, a significant number of potential local and regional companies were identified that could participate in the inspection process, providing the necessary resources and </w:t>
      </w:r>
      <w:r w:rsidRPr="005D59A7">
        <w:rPr>
          <w:rFonts w:ascii="T" w:hAnsi="T" w:cstheme="majorBidi"/>
          <w:sz w:val="24"/>
          <w:szCs w:val="24"/>
        </w:rPr>
        <w:lastRenderedPageBreak/>
        <w:t>personnel to effectively evaluate the service and reduce the cost burden on the current government operator. Environmental fees will be levied on a segment of client facilities, covering essential inspection items such as the inspector's visit, as well as associated services like the issuance of the environmental license. It was determined that the environmental inspector's visit fee could be collected through the environmental license itself.</w:t>
      </w:r>
    </w:p>
    <w:p w14:paraId="31E995E9" w14:textId="77777777" w:rsidR="008804AB" w:rsidRPr="005D59A7" w:rsidRDefault="008804AB" w:rsidP="00A76C20">
      <w:pPr>
        <w:spacing w:line="360" w:lineRule="auto"/>
        <w:ind w:firstLine="720"/>
        <w:jc w:val="both"/>
        <w:rPr>
          <w:rFonts w:ascii="T" w:hAnsi="T" w:cstheme="majorBidi"/>
          <w:sz w:val="24"/>
          <w:szCs w:val="24"/>
        </w:rPr>
      </w:pPr>
      <w:r w:rsidRPr="005D59A7">
        <w:rPr>
          <w:rFonts w:ascii="T" w:hAnsi="T" w:cstheme="majorBidi"/>
          <w:sz w:val="24"/>
          <w:szCs w:val="24"/>
        </w:rPr>
        <w:t>By way of comparison, many local services involve private sector participation in other sectors, such as the Ministry of the Interior, traffic services, municipalities, and others. Internationally, there are numerous examples of privatizing environmental services; for instance, the models of the UK and Scotland's Environmental Protection Agency have been examined. Therefore, the feasibility of privatizing environmental services and implementing successful and productive business models can be demonstrated.</w:t>
      </w:r>
    </w:p>
    <w:p w14:paraId="7A7FFEED" w14:textId="033E1614" w:rsidR="006A6532" w:rsidRPr="005D59A7" w:rsidRDefault="00217271" w:rsidP="00280FF6">
      <w:pPr>
        <w:spacing w:line="360" w:lineRule="auto"/>
        <w:ind w:firstLine="720"/>
        <w:jc w:val="both"/>
        <w:rPr>
          <w:rFonts w:ascii="T" w:hAnsi="T" w:cstheme="majorBidi"/>
          <w:sz w:val="24"/>
          <w:szCs w:val="24"/>
        </w:rPr>
      </w:pPr>
      <w:r w:rsidRPr="005D59A7">
        <w:rPr>
          <w:rFonts w:ascii="T" w:hAnsi="T" w:cstheme="majorBidi"/>
          <w:b/>
          <w:bCs/>
          <w:sz w:val="24"/>
          <w:szCs w:val="24"/>
        </w:rPr>
        <w:t>Keywords:</w:t>
      </w:r>
      <w:r w:rsidRPr="005D59A7">
        <w:rPr>
          <w:rFonts w:ascii="T" w:hAnsi="T" w:cstheme="majorBidi"/>
          <w:sz w:val="24"/>
          <w:szCs w:val="24"/>
        </w:rPr>
        <w:t xml:space="preserve"> Public-private partnerships, environmental governance, environmental inspection, performance management</w:t>
      </w:r>
    </w:p>
    <w:p w14:paraId="545B5081" w14:textId="77777777" w:rsidR="00AA4673" w:rsidRPr="005D59A7" w:rsidRDefault="00AA4673" w:rsidP="00280FF6">
      <w:pPr>
        <w:spacing w:line="360" w:lineRule="auto"/>
        <w:ind w:firstLine="720"/>
        <w:jc w:val="both"/>
        <w:rPr>
          <w:rFonts w:ascii="T" w:hAnsi="T" w:cstheme="majorBidi"/>
          <w:sz w:val="24"/>
          <w:szCs w:val="24"/>
        </w:rPr>
      </w:pPr>
    </w:p>
    <w:p w14:paraId="12855008" w14:textId="77777777" w:rsidR="00AA4673" w:rsidRPr="005D59A7" w:rsidRDefault="00AA4673" w:rsidP="00280FF6">
      <w:pPr>
        <w:spacing w:line="360" w:lineRule="auto"/>
        <w:ind w:firstLine="720"/>
        <w:jc w:val="both"/>
        <w:rPr>
          <w:rFonts w:ascii="T" w:hAnsi="T" w:cstheme="majorBidi"/>
          <w:sz w:val="24"/>
          <w:szCs w:val="24"/>
        </w:rPr>
      </w:pPr>
    </w:p>
    <w:p w14:paraId="26C596BD" w14:textId="77777777" w:rsidR="00AA4673" w:rsidRPr="005D59A7" w:rsidRDefault="00AA4673" w:rsidP="00280FF6">
      <w:pPr>
        <w:spacing w:line="360" w:lineRule="auto"/>
        <w:ind w:firstLine="720"/>
        <w:jc w:val="both"/>
        <w:rPr>
          <w:rFonts w:ascii="T" w:hAnsi="T" w:cstheme="majorBidi"/>
          <w:sz w:val="24"/>
          <w:szCs w:val="24"/>
        </w:rPr>
      </w:pPr>
    </w:p>
    <w:p w14:paraId="4FE848E5" w14:textId="77777777" w:rsidR="00AA4673" w:rsidRPr="005D59A7" w:rsidRDefault="00AA4673" w:rsidP="00280FF6">
      <w:pPr>
        <w:spacing w:line="360" w:lineRule="auto"/>
        <w:ind w:firstLine="720"/>
        <w:jc w:val="both"/>
        <w:rPr>
          <w:rFonts w:ascii="T" w:hAnsi="T" w:cstheme="majorBidi"/>
          <w:sz w:val="24"/>
          <w:szCs w:val="24"/>
        </w:rPr>
      </w:pPr>
    </w:p>
    <w:p w14:paraId="7168458E" w14:textId="77777777" w:rsidR="00AA4673" w:rsidRPr="005D59A7" w:rsidRDefault="00AA4673" w:rsidP="00280FF6">
      <w:pPr>
        <w:spacing w:line="360" w:lineRule="auto"/>
        <w:ind w:firstLine="720"/>
        <w:jc w:val="both"/>
        <w:rPr>
          <w:rFonts w:ascii="T" w:hAnsi="T" w:cstheme="majorBidi"/>
          <w:sz w:val="24"/>
          <w:szCs w:val="24"/>
        </w:rPr>
      </w:pPr>
    </w:p>
    <w:p w14:paraId="0A8E3673" w14:textId="77777777" w:rsidR="00AA4673" w:rsidRPr="005D59A7" w:rsidRDefault="00AA4673" w:rsidP="00280FF6">
      <w:pPr>
        <w:spacing w:line="360" w:lineRule="auto"/>
        <w:ind w:firstLine="720"/>
        <w:jc w:val="both"/>
        <w:rPr>
          <w:rFonts w:ascii="T" w:hAnsi="T" w:cstheme="majorBidi"/>
          <w:sz w:val="24"/>
          <w:szCs w:val="24"/>
        </w:rPr>
      </w:pPr>
    </w:p>
    <w:p w14:paraId="76F6F3CB" w14:textId="77777777" w:rsidR="00AA4673" w:rsidRPr="005D59A7" w:rsidRDefault="00AA4673" w:rsidP="00280FF6">
      <w:pPr>
        <w:spacing w:line="360" w:lineRule="auto"/>
        <w:ind w:firstLine="720"/>
        <w:jc w:val="both"/>
        <w:rPr>
          <w:rFonts w:ascii="T" w:hAnsi="T" w:cstheme="majorBidi"/>
          <w:sz w:val="24"/>
          <w:szCs w:val="24"/>
        </w:rPr>
      </w:pPr>
    </w:p>
    <w:p w14:paraId="6F8CE3D2" w14:textId="77777777" w:rsidR="00AA4673" w:rsidRPr="005D59A7" w:rsidRDefault="00AA4673" w:rsidP="00280FF6">
      <w:pPr>
        <w:spacing w:line="360" w:lineRule="auto"/>
        <w:ind w:firstLine="720"/>
        <w:jc w:val="both"/>
        <w:rPr>
          <w:rFonts w:ascii="T" w:hAnsi="T" w:cstheme="majorBidi"/>
          <w:sz w:val="24"/>
          <w:szCs w:val="24"/>
        </w:rPr>
      </w:pPr>
    </w:p>
    <w:p w14:paraId="092D1375" w14:textId="77777777" w:rsidR="00AA4673" w:rsidRPr="005D59A7" w:rsidRDefault="00AA4673" w:rsidP="00280FF6">
      <w:pPr>
        <w:spacing w:line="360" w:lineRule="auto"/>
        <w:ind w:firstLine="720"/>
        <w:jc w:val="both"/>
        <w:rPr>
          <w:rFonts w:ascii="T" w:hAnsi="T" w:cstheme="majorBidi"/>
          <w:sz w:val="24"/>
          <w:szCs w:val="24"/>
        </w:rPr>
      </w:pPr>
    </w:p>
    <w:p w14:paraId="19D96EAE" w14:textId="77777777" w:rsidR="00AA4673" w:rsidRPr="005D59A7" w:rsidRDefault="00AA4673" w:rsidP="00280FF6">
      <w:pPr>
        <w:spacing w:line="360" w:lineRule="auto"/>
        <w:ind w:firstLine="720"/>
        <w:jc w:val="both"/>
        <w:rPr>
          <w:rFonts w:ascii="T" w:hAnsi="T" w:cstheme="majorBidi"/>
          <w:sz w:val="24"/>
          <w:szCs w:val="24"/>
        </w:rPr>
      </w:pPr>
    </w:p>
    <w:p w14:paraId="513CC19E" w14:textId="77777777" w:rsidR="00AA4673" w:rsidRPr="005D59A7" w:rsidRDefault="00AA4673" w:rsidP="00280FF6">
      <w:pPr>
        <w:spacing w:line="360" w:lineRule="auto"/>
        <w:ind w:firstLine="720"/>
        <w:jc w:val="both"/>
        <w:rPr>
          <w:rFonts w:ascii="T" w:hAnsi="T" w:cstheme="majorBidi"/>
          <w:sz w:val="24"/>
          <w:szCs w:val="24"/>
          <w:rtl/>
        </w:rPr>
      </w:pPr>
    </w:p>
    <w:sdt>
      <w:sdtPr>
        <w:rPr>
          <w:rFonts w:ascii="T" w:eastAsiaTheme="minorHAnsi" w:hAnsi="T" w:cstheme="minorBidi"/>
          <w:b w:val="0"/>
          <w:bCs w:val="0"/>
          <w:color w:val="auto"/>
          <w:sz w:val="22"/>
          <w:szCs w:val="22"/>
          <w:rtl/>
        </w:rPr>
        <w:id w:val="2700971"/>
        <w:docPartObj>
          <w:docPartGallery w:val="Table of Contents"/>
          <w:docPartUnique/>
        </w:docPartObj>
      </w:sdtPr>
      <w:sdtEndPr>
        <w:rPr>
          <w:rtl w:val="0"/>
        </w:rPr>
      </w:sdtEndPr>
      <w:sdtContent>
        <w:p w14:paraId="5AD7F050" w14:textId="2CCE1ECA" w:rsidR="00EA21E0" w:rsidRPr="005D59A7" w:rsidRDefault="00EA21E0" w:rsidP="006A6532">
          <w:pPr>
            <w:pStyle w:val="TOCHeading"/>
            <w:bidi/>
            <w:rPr>
              <w:rFonts w:ascii="T" w:hAnsi="T"/>
              <w:color w:val="auto"/>
            </w:rPr>
          </w:pPr>
          <w:r w:rsidRPr="005D59A7">
            <w:rPr>
              <w:rFonts w:ascii="T" w:hAnsi="T"/>
              <w:color w:val="auto"/>
              <w:rtl/>
            </w:rPr>
            <w:t>جدول المحتويات</w:t>
          </w:r>
        </w:p>
        <w:p w14:paraId="6A110498" w14:textId="6521234D" w:rsidR="0048002A" w:rsidRPr="005D59A7" w:rsidRDefault="00FD30BF">
          <w:pPr>
            <w:pStyle w:val="TOC1"/>
            <w:rPr>
              <w:rFonts w:ascii="T" w:eastAsiaTheme="minorEastAsia" w:hAnsi="T"/>
              <w:noProof/>
              <w:rtl/>
            </w:rPr>
          </w:pPr>
          <w:r w:rsidRPr="005D59A7">
            <w:rPr>
              <w:rFonts w:ascii="T" w:hAnsi="T" w:cstheme="majorBidi"/>
            </w:rPr>
            <w:fldChar w:fldCharType="begin"/>
          </w:r>
          <w:r w:rsidR="00EA21E0" w:rsidRPr="005D59A7">
            <w:rPr>
              <w:rFonts w:ascii="T" w:hAnsi="T" w:cstheme="majorBidi"/>
            </w:rPr>
            <w:instrText xml:space="preserve"> TOC \o "1-3" \h \z \u </w:instrText>
          </w:r>
          <w:r w:rsidRPr="005D59A7">
            <w:rPr>
              <w:rFonts w:ascii="T" w:hAnsi="T" w:cstheme="majorBidi"/>
            </w:rPr>
            <w:fldChar w:fldCharType="separate"/>
          </w:r>
          <w:hyperlink w:anchor="_Toc225991319" w:history="1">
            <w:r w:rsidR="0048002A" w:rsidRPr="005D59A7">
              <w:rPr>
                <w:rStyle w:val="Hyperlink"/>
                <w:rFonts w:ascii="T" w:hAnsi="T"/>
                <w:noProof/>
                <w:rtl/>
              </w:rPr>
              <w:t>قائمة الجداول</w:t>
            </w:r>
            <w:r w:rsidR="0048002A" w:rsidRPr="005D59A7">
              <w:rPr>
                <w:rFonts w:ascii="T" w:hAnsi="T"/>
                <w:noProof/>
                <w:webHidden/>
                <w:rtl/>
              </w:rPr>
              <w:tab/>
            </w:r>
            <w:r w:rsidR="0048002A" w:rsidRPr="005D59A7">
              <w:rPr>
                <w:rStyle w:val="Hyperlink"/>
                <w:rFonts w:ascii="T" w:hAnsi="T"/>
                <w:noProof/>
                <w:rtl/>
              </w:rPr>
              <w:fldChar w:fldCharType="begin"/>
            </w:r>
            <w:r w:rsidR="0048002A" w:rsidRPr="005D59A7">
              <w:rPr>
                <w:rFonts w:ascii="T" w:hAnsi="T"/>
                <w:noProof/>
                <w:webHidden/>
                <w:rtl/>
              </w:rPr>
              <w:instrText xml:space="preserve"> </w:instrText>
            </w:r>
            <w:r w:rsidR="0048002A" w:rsidRPr="005D59A7">
              <w:rPr>
                <w:rFonts w:ascii="T" w:hAnsi="T"/>
                <w:noProof/>
                <w:webHidden/>
              </w:rPr>
              <w:instrText>PAGEREF</w:instrText>
            </w:r>
            <w:r w:rsidR="0048002A" w:rsidRPr="005D59A7">
              <w:rPr>
                <w:rFonts w:ascii="T" w:hAnsi="T"/>
                <w:noProof/>
                <w:webHidden/>
                <w:rtl/>
              </w:rPr>
              <w:instrText xml:space="preserve"> _</w:instrText>
            </w:r>
            <w:r w:rsidR="0048002A" w:rsidRPr="005D59A7">
              <w:rPr>
                <w:rFonts w:ascii="T" w:hAnsi="T"/>
                <w:noProof/>
                <w:webHidden/>
              </w:rPr>
              <w:instrText>Toc225991319 \h</w:instrText>
            </w:r>
            <w:r w:rsidR="0048002A" w:rsidRPr="005D59A7">
              <w:rPr>
                <w:rFonts w:ascii="T" w:hAnsi="T"/>
                <w:noProof/>
                <w:webHidden/>
                <w:rtl/>
              </w:rPr>
              <w:instrText xml:space="preserve"> </w:instrText>
            </w:r>
            <w:r w:rsidR="0048002A" w:rsidRPr="005D59A7">
              <w:rPr>
                <w:rStyle w:val="Hyperlink"/>
                <w:rFonts w:ascii="T" w:hAnsi="T"/>
                <w:noProof/>
                <w:rtl/>
              </w:rPr>
            </w:r>
            <w:r w:rsidR="0048002A" w:rsidRPr="005D59A7">
              <w:rPr>
                <w:rStyle w:val="Hyperlink"/>
                <w:rFonts w:ascii="T" w:hAnsi="T"/>
                <w:noProof/>
                <w:rtl/>
              </w:rPr>
              <w:fldChar w:fldCharType="separate"/>
            </w:r>
            <w:r w:rsidR="00C14A6F" w:rsidRPr="005D59A7">
              <w:rPr>
                <w:rFonts w:ascii="T" w:hAnsi="T"/>
                <w:noProof/>
                <w:webHidden/>
                <w:rtl/>
              </w:rPr>
              <w:t>13</w:t>
            </w:r>
            <w:r w:rsidR="0048002A" w:rsidRPr="005D59A7">
              <w:rPr>
                <w:rStyle w:val="Hyperlink"/>
                <w:rFonts w:ascii="T" w:hAnsi="T"/>
                <w:noProof/>
                <w:rtl/>
              </w:rPr>
              <w:fldChar w:fldCharType="end"/>
            </w:r>
          </w:hyperlink>
        </w:p>
        <w:p w14:paraId="29EA1FED" w14:textId="323E9DBB" w:rsidR="0048002A" w:rsidRPr="005D59A7" w:rsidRDefault="0048002A">
          <w:pPr>
            <w:pStyle w:val="TOC1"/>
            <w:rPr>
              <w:rFonts w:ascii="T" w:eastAsiaTheme="minorEastAsia" w:hAnsi="T"/>
              <w:noProof/>
              <w:rtl/>
            </w:rPr>
          </w:pPr>
          <w:hyperlink w:anchor="_Toc225991320" w:history="1">
            <w:r w:rsidRPr="005D59A7">
              <w:rPr>
                <w:rStyle w:val="Hyperlink"/>
                <w:rFonts w:ascii="T" w:hAnsi="T"/>
                <w:noProof/>
                <w:rtl/>
              </w:rPr>
              <w:t>قائمة الرسوم التوضيحية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Toc225991320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14</w:t>
            </w:r>
            <w:r w:rsidRPr="005D59A7">
              <w:rPr>
                <w:rStyle w:val="Hyperlink"/>
                <w:rFonts w:ascii="T" w:hAnsi="T"/>
                <w:noProof/>
                <w:rtl/>
              </w:rPr>
              <w:fldChar w:fldCharType="end"/>
            </w:r>
          </w:hyperlink>
        </w:p>
        <w:p w14:paraId="15D77F5F" w14:textId="55D197E9" w:rsidR="0048002A" w:rsidRPr="005D59A7" w:rsidRDefault="0048002A">
          <w:pPr>
            <w:pStyle w:val="TOC1"/>
            <w:rPr>
              <w:rFonts w:ascii="T" w:eastAsiaTheme="minorEastAsia" w:hAnsi="T"/>
              <w:noProof/>
              <w:rtl/>
            </w:rPr>
          </w:pPr>
          <w:hyperlink w:anchor="_Toc225991321" w:history="1">
            <w:r w:rsidRPr="005D59A7">
              <w:rPr>
                <w:rStyle w:val="Hyperlink"/>
                <w:rFonts w:ascii="T" w:eastAsia="Times New Roman" w:hAnsi="T" w:cs="Sakkal Majalla"/>
                <w:b/>
                <w:bCs/>
                <w:noProof/>
                <w:rtl/>
              </w:rPr>
              <w:t>الفصل الأول: الإطار المنهجي للدراسة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Toc225991321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15</w:t>
            </w:r>
            <w:r w:rsidRPr="005D59A7">
              <w:rPr>
                <w:rStyle w:val="Hyperlink"/>
                <w:rFonts w:ascii="T" w:hAnsi="T"/>
                <w:noProof/>
                <w:rtl/>
              </w:rPr>
              <w:fldChar w:fldCharType="end"/>
            </w:r>
          </w:hyperlink>
        </w:p>
        <w:p w14:paraId="073E22CD" w14:textId="58519897" w:rsidR="0048002A" w:rsidRPr="005D59A7" w:rsidRDefault="0048002A">
          <w:pPr>
            <w:pStyle w:val="TOC1"/>
            <w:rPr>
              <w:rFonts w:ascii="T" w:eastAsiaTheme="minorEastAsia" w:hAnsi="T"/>
              <w:noProof/>
              <w:rtl/>
            </w:rPr>
          </w:pPr>
          <w:hyperlink w:anchor="_Toc225991322" w:history="1">
            <w:r w:rsidRPr="005D59A7">
              <w:rPr>
                <w:rStyle w:val="Hyperlink"/>
                <w:rFonts w:ascii="T" w:eastAsia="Times New Roman" w:hAnsi="T" w:cs="Sakkal Majalla"/>
                <w:b/>
                <w:bCs/>
                <w:noProof/>
                <w:rtl/>
              </w:rPr>
              <w:t>مقدمة الدراسة: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Toc225991322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15</w:t>
            </w:r>
            <w:r w:rsidRPr="005D59A7">
              <w:rPr>
                <w:rStyle w:val="Hyperlink"/>
                <w:rFonts w:ascii="T" w:hAnsi="T"/>
                <w:noProof/>
                <w:rtl/>
              </w:rPr>
              <w:fldChar w:fldCharType="end"/>
            </w:r>
          </w:hyperlink>
        </w:p>
        <w:p w14:paraId="75C9CA4B" w14:textId="3A6631B4" w:rsidR="0048002A" w:rsidRPr="005D59A7" w:rsidRDefault="0048002A">
          <w:pPr>
            <w:pStyle w:val="TOC1"/>
            <w:rPr>
              <w:rFonts w:ascii="T" w:eastAsiaTheme="minorEastAsia" w:hAnsi="T"/>
              <w:noProof/>
              <w:rtl/>
            </w:rPr>
          </w:pPr>
          <w:hyperlink w:anchor="_Toc225991323" w:history="1">
            <w:r w:rsidRPr="005D59A7">
              <w:rPr>
                <w:rStyle w:val="Hyperlink"/>
                <w:rFonts w:ascii="T" w:eastAsia="Times New Roman" w:hAnsi="T" w:cs="Sakkal Majalla"/>
                <w:b/>
                <w:bCs/>
                <w:noProof/>
                <w:rtl/>
              </w:rPr>
              <w:t>مشكلة الدراسة: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Toc225991323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16</w:t>
            </w:r>
            <w:r w:rsidRPr="005D59A7">
              <w:rPr>
                <w:rStyle w:val="Hyperlink"/>
                <w:rFonts w:ascii="T" w:hAnsi="T"/>
                <w:noProof/>
                <w:rtl/>
              </w:rPr>
              <w:fldChar w:fldCharType="end"/>
            </w:r>
          </w:hyperlink>
        </w:p>
        <w:p w14:paraId="59628572" w14:textId="3E5F9C90" w:rsidR="0048002A" w:rsidRPr="005D59A7" w:rsidRDefault="0048002A">
          <w:pPr>
            <w:pStyle w:val="TOC1"/>
            <w:rPr>
              <w:rFonts w:ascii="T" w:eastAsiaTheme="minorEastAsia" w:hAnsi="T"/>
              <w:noProof/>
              <w:rtl/>
            </w:rPr>
          </w:pPr>
          <w:hyperlink w:anchor="_Toc225991324" w:history="1">
            <w:r w:rsidRPr="005D59A7">
              <w:rPr>
                <w:rStyle w:val="Hyperlink"/>
                <w:rFonts w:ascii="T" w:eastAsia="Times New Roman" w:hAnsi="T" w:cs="Sakkal Majalla"/>
                <w:b/>
                <w:bCs/>
                <w:noProof/>
                <w:rtl/>
              </w:rPr>
              <w:t>تساؤلات الدراسة: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Toc225991324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28</w:t>
            </w:r>
            <w:r w:rsidRPr="005D59A7">
              <w:rPr>
                <w:rStyle w:val="Hyperlink"/>
                <w:rFonts w:ascii="T" w:hAnsi="T"/>
                <w:noProof/>
                <w:rtl/>
              </w:rPr>
              <w:fldChar w:fldCharType="end"/>
            </w:r>
          </w:hyperlink>
        </w:p>
        <w:p w14:paraId="33A65D54" w14:textId="03ADB84C" w:rsidR="0048002A" w:rsidRPr="005D59A7" w:rsidRDefault="0048002A">
          <w:pPr>
            <w:pStyle w:val="TOC1"/>
            <w:rPr>
              <w:rFonts w:ascii="T" w:eastAsiaTheme="minorEastAsia" w:hAnsi="T"/>
              <w:noProof/>
              <w:rtl/>
            </w:rPr>
          </w:pPr>
          <w:hyperlink w:anchor="_Toc225991325" w:history="1">
            <w:r w:rsidRPr="005D59A7">
              <w:rPr>
                <w:rStyle w:val="Hyperlink"/>
                <w:rFonts w:ascii="T" w:eastAsia="Times New Roman" w:hAnsi="T" w:cs="Sakkal Majalla"/>
                <w:b/>
                <w:bCs/>
                <w:noProof/>
                <w:rtl/>
              </w:rPr>
              <w:t>فرضيات الدراسة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Toc225991325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29</w:t>
            </w:r>
            <w:r w:rsidRPr="005D59A7">
              <w:rPr>
                <w:rStyle w:val="Hyperlink"/>
                <w:rFonts w:ascii="T" w:hAnsi="T"/>
                <w:noProof/>
                <w:rtl/>
              </w:rPr>
              <w:fldChar w:fldCharType="end"/>
            </w:r>
          </w:hyperlink>
        </w:p>
        <w:p w14:paraId="10571D1C" w14:textId="7050097E" w:rsidR="0048002A" w:rsidRPr="005D59A7" w:rsidRDefault="0048002A">
          <w:pPr>
            <w:pStyle w:val="TOC1"/>
            <w:rPr>
              <w:rFonts w:ascii="T" w:eastAsiaTheme="minorEastAsia" w:hAnsi="T"/>
              <w:noProof/>
              <w:rtl/>
            </w:rPr>
          </w:pPr>
          <w:hyperlink w:anchor="_Toc225991326" w:history="1">
            <w:r w:rsidRPr="005D59A7">
              <w:rPr>
                <w:rStyle w:val="Hyperlink"/>
                <w:rFonts w:ascii="T" w:eastAsia="Times New Roman" w:hAnsi="T" w:cs="Sakkal Majalla"/>
                <w:b/>
                <w:bCs/>
                <w:noProof/>
                <w:rtl/>
              </w:rPr>
              <w:t>أهمية الدراسة (النظرية والتطبيقية):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Toc225991326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30</w:t>
            </w:r>
            <w:r w:rsidRPr="005D59A7">
              <w:rPr>
                <w:rStyle w:val="Hyperlink"/>
                <w:rFonts w:ascii="T" w:hAnsi="T"/>
                <w:noProof/>
                <w:rtl/>
              </w:rPr>
              <w:fldChar w:fldCharType="end"/>
            </w:r>
          </w:hyperlink>
        </w:p>
        <w:p w14:paraId="79047A7C" w14:textId="2B6FF02D" w:rsidR="0048002A" w:rsidRPr="005D59A7" w:rsidRDefault="0048002A">
          <w:pPr>
            <w:pStyle w:val="TOC2"/>
            <w:rPr>
              <w:rFonts w:ascii="T" w:eastAsiaTheme="minorEastAsia" w:hAnsi="T"/>
              <w:noProof/>
              <w:rtl/>
            </w:rPr>
          </w:pPr>
          <w:hyperlink w:anchor="_Toc225991327" w:history="1">
            <w:r w:rsidRPr="005D59A7">
              <w:rPr>
                <w:rStyle w:val="Hyperlink"/>
                <w:rFonts w:ascii="T" w:hAnsi="T" w:cs="Sakkal Majalla"/>
                <w:b/>
                <w:bCs/>
                <w:noProof/>
                <w:rtl/>
              </w:rPr>
              <w:t>الأهمية النظرية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Toc225991327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30</w:t>
            </w:r>
            <w:r w:rsidRPr="005D59A7">
              <w:rPr>
                <w:rStyle w:val="Hyperlink"/>
                <w:rFonts w:ascii="T" w:hAnsi="T"/>
                <w:noProof/>
                <w:rtl/>
              </w:rPr>
              <w:fldChar w:fldCharType="end"/>
            </w:r>
          </w:hyperlink>
        </w:p>
        <w:p w14:paraId="3BDBD38B" w14:textId="259CB03A" w:rsidR="0048002A" w:rsidRPr="005D59A7" w:rsidRDefault="0048002A">
          <w:pPr>
            <w:pStyle w:val="TOC2"/>
            <w:rPr>
              <w:rFonts w:ascii="T" w:eastAsiaTheme="minorEastAsia" w:hAnsi="T"/>
              <w:noProof/>
              <w:rtl/>
            </w:rPr>
          </w:pPr>
          <w:hyperlink w:anchor="_Toc225991328" w:history="1">
            <w:r w:rsidRPr="005D59A7">
              <w:rPr>
                <w:rStyle w:val="Hyperlink"/>
                <w:rFonts w:ascii="T" w:hAnsi="T" w:cs="Sakkal Majalla"/>
                <w:b/>
                <w:bCs/>
                <w:noProof/>
                <w:rtl/>
              </w:rPr>
              <w:t>الأهمية التطبيقية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Toc225991328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33</w:t>
            </w:r>
            <w:r w:rsidRPr="005D59A7">
              <w:rPr>
                <w:rStyle w:val="Hyperlink"/>
                <w:rFonts w:ascii="T" w:hAnsi="T"/>
                <w:noProof/>
                <w:rtl/>
              </w:rPr>
              <w:fldChar w:fldCharType="end"/>
            </w:r>
          </w:hyperlink>
        </w:p>
        <w:p w14:paraId="7B4F55EE" w14:textId="2969C8BB" w:rsidR="0048002A" w:rsidRPr="005D59A7" w:rsidRDefault="0048002A">
          <w:pPr>
            <w:pStyle w:val="TOC1"/>
            <w:rPr>
              <w:rFonts w:ascii="T" w:eastAsiaTheme="minorEastAsia" w:hAnsi="T"/>
              <w:noProof/>
              <w:rtl/>
            </w:rPr>
          </w:pPr>
          <w:hyperlink w:anchor="_Toc225991329" w:history="1">
            <w:r w:rsidRPr="005D59A7">
              <w:rPr>
                <w:rStyle w:val="Hyperlink"/>
                <w:rFonts w:ascii="T" w:eastAsia="Times New Roman" w:hAnsi="T" w:cs="Sakkal Majalla"/>
                <w:b/>
                <w:bCs/>
                <w:noProof/>
                <w:rtl/>
              </w:rPr>
              <w:t>أهداف الدراسة: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Toc225991329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36</w:t>
            </w:r>
            <w:r w:rsidRPr="005D59A7">
              <w:rPr>
                <w:rStyle w:val="Hyperlink"/>
                <w:rFonts w:ascii="T" w:hAnsi="T"/>
                <w:noProof/>
                <w:rtl/>
              </w:rPr>
              <w:fldChar w:fldCharType="end"/>
            </w:r>
          </w:hyperlink>
        </w:p>
        <w:p w14:paraId="2DA094E2" w14:textId="5DFBF24D" w:rsidR="0048002A" w:rsidRPr="005D59A7" w:rsidRDefault="0048002A">
          <w:pPr>
            <w:pStyle w:val="TOC1"/>
            <w:rPr>
              <w:rFonts w:ascii="T" w:eastAsiaTheme="minorEastAsia" w:hAnsi="T"/>
              <w:noProof/>
              <w:rtl/>
            </w:rPr>
          </w:pPr>
          <w:hyperlink w:anchor="_Toc225991330" w:history="1">
            <w:r w:rsidRPr="005D59A7">
              <w:rPr>
                <w:rStyle w:val="Hyperlink"/>
                <w:rFonts w:ascii="T" w:eastAsia="Times New Roman" w:hAnsi="T" w:cs="Sakkal Majalla"/>
                <w:b/>
                <w:bCs/>
                <w:noProof/>
                <w:rtl/>
              </w:rPr>
              <w:t>مفاهيم الدراسة: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Toc225991330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38</w:t>
            </w:r>
            <w:r w:rsidRPr="005D59A7">
              <w:rPr>
                <w:rStyle w:val="Hyperlink"/>
                <w:rFonts w:ascii="T" w:hAnsi="T"/>
                <w:noProof/>
                <w:rtl/>
              </w:rPr>
              <w:fldChar w:fldCharType="end"/>
            </w:r>
          </w:hyperlink>
        </w:p>
        <w:p w14:paraId="047C5AAD" w14:textId="6C771342" w:rsidR="0048002A" w:rsidRPr="005D59A7" w:rsidRDefault="0048002A">
          <w:pPr>
            <w:pStyle w:val="TOC2"/>
            <w:rPr>
              <w:rFonts w:ascii="T" w:eastAsiaTheme="minorEastAsia" w:hAnsi="T"/>
              <w:noProof/>
              <w:rtl/>
            </w:rPr>
          </w:pPr>
          <w:hyperlink w:anchor="_Toc225991331" w:history="1">
            <w:r w:rsidRPr="005D59A7">
              <w:rPr>
                <w:rStyle w:val="Hyperlink"/>
                <w:rFonts w:ascii="T" w:hAnsi="T"/>
                <w:noProof/>
                <w:rtl/>
              </w:rPr>
              <w:t>المفاهيم الاصطلاحية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Toc225991331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38</w:t>
            </w:r>
            <w:r w:rsidRPr="005D59A7">
              <w:rPr>
                <w:rStyle w:val="Hyperlink"/>
                <w:rFonts w:ascii="T" w:hAnsi="T"/>
                <w:noProof/>
                <w:rtl/>
              </w:rPr>
              <w:fldChar w:fldCharType="end"/>
            </w:r>
          </w:hyperlink>
        </w:p>
        <w:p w14:paraId="31AF57A5" w14:textId="14FB7554" w:rsidR="0048002A" w:rsidRPr="005D59A7" w:rsidRDefault="0048002A">
          <w:pPr>
            <w:pStyle w:val="TOC2"/>
            <w:rPr>
              <w:rFonts w:ascii="T" w:eastAsiaTheme="minorEastAsia" w:hAnsi="T"/>
              <w:noProof/>
              <w:rtl/>
            </w:rPr>
          </w:pPr>
          <w:hyperlink w:anchor="_Toc225991332" w:history="1">
            <w:r w:rsidRPr="005D59A7">
              <w:rPr>
                <w:rStyle w:val="Hyperlink"/>
                <w:rFonts w:ascii="T" w:hAnsi="T"/>
                <w:noProof/>
                <w:rtl/>
              </w:rPr>
              <w:t>المفاهيم الإجرائية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Toc225991332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39</w:t>
            </w:r>
            <w:r w:rsidRPr="005D59A7">
              <w:rPr>
                <w:rStyle w:val="Hyperlink"/>
                <w:rFonts w:ascii="T" w:hAnsi="T"/>
                <w:noProof/>
                <w:rtl/>
              </w:rPr>
              <w:fldChar w:fldCharType="end"/>
            </w:r>
          </w:hyperlink>
        </w:p>
        <w:p w14:paraId="2EC222A5" w14:textId="2107C16B" w:rsidR="0048002A" w:rsidRPr="005D59A7" w:rsidRDefault="0048002A">
          <w:pPr>
            <w:pStyle w:val="TOC2"/>
            <w:rPr>
              <w:rFonts w:ascii="T" w:eastAsiaTheme="minorEastAsia" w:hAnsi="T"/>
              <w:noProof/>
              <w:rtl/>
            </w:rPr>
          </w:pPr>
          <w:hyperlink w:anchor="_Toc225991333" w:history="1">
            <w:r w:rsidRPr="005D59A7">
              <w:rPr>
                <w:rStyle w:val="Hyperlink"/>
                <w:rFonts w:ascii="T" w:hAnsi="T"/>
                <w:noProof/>
                <w:rtl/>
              </w:rPr>
              <w:t>المفاهيم التطبيقية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Toc225991333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40</w:t>
            </w:r>
            <w:r w:rsidRPr="005D59A7">
              <w:rPr>
                <w:rStyle w:val="Hyperlink"/>
                <w:rFonts w:ascii="T" w:hAnsi="T"/>
                <w:noProof/>
                <w:rtl/>
              </w:rPr>
              <w:fldChar w:fldCharType="end"/>
            </w:r>
          </w:hyperlink>
        </w:p>
        <w:p w14:paraId="68B7D547" w14:textId="61C948B3" w:rsidR="0048002A" w:rsidRPr="005D59A7" w:rsidRDefault="0048002A">
          <w:pPr>
            <w:pStyle w:val="TOC1"/>
            <w:rPr>
              <w:rFonts w:ascii="T" w:eastAsiaTheme="minorEastAsia" w:hAnsi="T"/>
              <w:noProof/>
              <w:rtl/>
            </w:rPr>
          </w:pPr>
          <w:hyperlink w:anchor="_Toc225991334" w:history="1">
            <w:r w:rsidRPr="005D59A7">
              <w:rPr>
                <w:rStyle w:val="Hyperlink"/>
                <w:rFonts w:ascii="T" w:eastAsia="Times New Roman" w:hAnsi="T" w:cs="Sakkal Majalla"/>
                <w:b/>
                <w:bCs/>
                <w:noProof/>
                <w:rtl/>
              </w:rPr>
              <w:t>الدراسات المرجعية: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Toc225991334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42</w:t>
            </w:r>
            <w:r w:rsidRPr="005D59A7">
              <w:rPr>
                <w:rStyle w:val="Hyperlink"/>
                <w:rFonts w:ascii="T" w:hAnsi="T"/>
                <w:noProof/>
                <w:rtl/>
              </w:rPr>
              <w:fldChar w:fldCharType="end"/>
            </w:r>
          </w:hyperlink>
        </w:p>
        <w:p w14:paraId="6F7DED9D" w14:textId="7606322B" w:rsidR="0048002A" w:rsidRPr="005D59A7" w:rsidRDefault="0048002A">
          <w:pPr>
            <w:pStyle w:val="TOC1"/>
            <w:rPr>
              <w:rFonts w:ascii="T" w:eastAsiaTheme="minorEastAsia" w:hAnsi="T"/>
              <w:noProof/>
              <w:rtl/>
            </w:rPr>
          </w:pPr>
          <w:hyperlink w:anchor="_Toc225991335" w:history="1">
            <w:r w:rsidRPr="005D59A7">
              <w:rPr>
                <w:rStyle w:val="Hyperlink"/>
                <w:rFonts w:ascii="T" w:eastAsia="Times New Roman" w:hAnsi="T" w:cs="Sakkal Majalla"/>
                <w:b/>
                <w:bCs/>
                <w:noProof/>
                <w:rtl/>
              </w:rPr>
              <w:t>حدود الدراسة: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Toc225991335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43</w:t>
            </w:r>
            <w:r w:rsidRPr="005D59A7">
              <w:rPr>
                <w:rStyle w:val="Hyperlink"/>
                <w:rFonts w:ascii="T" w:hAnsi="T"/>
                <w:noProof/>
                <w:rtl/>
              </w:rPr>
              <w:fldChar w:fldCharType="end"/>
            </w:r>
          </w:hyperlink>
        </w:p>
        <w:p w14:paraId="4D11A4A8" w14:textId="610EA7C9" w:rsidR="0048002A" w:rsidRPr="005D59A7" w:rsidRDefault="0048002A">
          <w:pPr>
            <w:pStyle w:val="TOC2"/>
            <w:rPr>
              <w:rFonts w:ascii="T" w:eastAsiaTheme="minorEastAsia" w:hAnsi="T"/>
              <w:noProof/>
              <w:rtl/>
            </w:rPr>
          </w:pPr>
          <w:hyperlink w:anchor="_Toc225991336" w:history="1">
            <w:r w:rsidRPr="005D59A7">
              <w:rPr>
                <w:rStyle w:val="Hyperlink"/>
                <w:rFonts w:ascii="T" w:hAnsi="T" w:cs="Sakkal Majalla"/>
                <w:noProof/>
                <w:rtl/>
              </w:rPr>
              <w:t>أولاً: الحدود المكانية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Toc225991336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44</w:t>
            </w:r>
            <w:r w:rsidRPr="005D59A7">
              <w:rPr>
                <w:rStyle w:val="Hyperlink"/>
                <w:rFonts w:ascii="T" w:hAnsi="T"/>
                <w:noProof/>
                <w:rtl/>
              </w:rPr>
              <w:fldChar w:fldCharType="end"/>
            </w:r>
          </w:hyperlink>
        </w:p>
        <w:p w14:paraId="38E6AE5A" w14:textId="7DF7EBF4" w:rsidR="0048002A" w:rsidRPr="005D59A7" w:rsidRDefault="0048002A">
          <w:pPr>
            <w:pStyle w:val="TOC2"/>
            <w:rPr>
              <w:rFonts w:ascii="T" w:eastAsiaTheme="minorEastAsia" w:hAnsi="T"/>
              <w:noProof/>
              <w:rtl/>
            </w:rPr>
          </w:pPr>
          <w:hyperlink w:anchor="_Toc225991337" w:history="1">
            <w:r w:rsidRPr="005D59A7">
              <w:rPr>
                <w:rStyle w:val="Hyperlink"/>
                <w:rFonts w:ascii="T" w:hAnsi="T" w:cs="Sakkal Majalla"/>
                <w:noProof/>
                <w:rtl/>
              </w:rPr>
              <w:t>ثانياً: الحدود الزمانية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Toc225991337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44</w:t>
            </w:r>
            <w:r w:rsidRPr="005D59A7">
              <w:rPr>
                <w:rStyle w:val="Hyperlink"/>
                <w:rFonts w:ascii="T" w:hAnsi="T"/>
                <w:noProof/>
                <w:rtl/>
              </w:rPr>
              <w:fldChar w:fldCharType="end"/>
            </w:r>
          </w:hyperlink>
        </w:p>
        <w:p w14:paraId="04BB8D10" w14:textId="1E3ED16D" w:rsidR="0048002A" w:rsidRPr="005D59A7" w:rsidRDefault="0048002A">
          <w:pPr>
            <w:pStyle w:val="TOC2"/>
            <w:rPr>
              <w:rFonts w:ascii="T" w:eastAsiaTheme="minorEastAsia" w:hAnsi="T"/>
              <w:noProof/>
              <w:rtl/>
            </w:rPr>
          </w:pPr>
          <w:hyperlink w:anchor="_Toc225991338" w:history="1">
            <w:r w:rsidRPr="005D59A7">
              <w:rPr>
                <w:rStyle w:val="Hyperlink"/>
                <w:rFonts w:ascii="T" w:hAnsi="T" w:cs="Sakkal Majalla"/>
                <w:noProof/>
                <w:rtl/>
              </w:rPr>
              <w:t>ثالثاً: الحدود البشرية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Toc225991338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45</w:t>
            </w:r>
            <w:r w:rsidRPr="005D59A7">
              <w:rPr>
                <w:rStyle w:val="Hyperlink"/>
                <w:rFonts w:ascii="T" w:hAnsi="T"/>
                <w:noProof/>
                <w:rtl/>
              </w:rPr>
              <w:fldChar w:fldCharType="end"/>
            </w:r>
          </w:hyperlink>
        </w:p>
        <w:p w14:paraId="2A1F548A" w14:textId="54209699" w:rsidR="0048002A" w:rsidRPr="005D59A7" w:rsidRDefault="0048002A">
          <w:pPr>
            <w:pStyle w:val="TOC2"/>
            <w:rPr>
              <w:rFonts w:ascii="T" w:eastAsiaTheme="minorEastAsia" w:hAnsi="T"/>
              <w:noProof/>
              <w:rtl/>
            </w:rPr>
          </w:pPr>
          <w:hyperlink w:anchor="_Toc225991339" w:history="1">
            <w:r w:rsidRPr="005D59A7">
              <w:rPr>
                <w:rStyle w:val="Hyperlink"/>
                <w:rFonts w:ascii="T" w:hAnsi="T" w:cs="Sakkal Majalla"/>
                <w:noProof/>
                <w:rtl/>
              </w:rPr>
              <w:t>رابعاً: الحدود الموضوعية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Toc225991339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45</w:t>
            </w:r>
            <w:r w:rsidRPr="005D59A7">
              <w:rPr>
                <w:rStyle w:val="Hyperlink"/>
                <w:rFonts w:ascii="T" w:hAnsi="T"/>
                <w:noProof/>
                <w:rtl/>
              </w:rPr>
              <w:fldChar w:fldCharType="end"/>
            </w:r>
          </w:hyperlink>
        </w:p>
        <w:p w14:paraId="0EFAEEAE" w14:textId="4D504E07" w:rsidR="0048002A" w:rsidRPr="005D59A7" w:rsidRDefault="0048002A">
          <w:pPr>
            <w:pStyle w:val="TOC1"/>
            <w:rPr>
              <w:rFonts w:ascii="T" w:eastAsiaTheme="minorEastAsia" w:hAnsi="T"/>
              <w:noProof/>
              <w:rtl/>
            </w:rPr>
          </w:pPr>
          <w:hyperlink w:anchor="_Toc225991340" w:history="1">
            <w:r w:rsidRPr="005D59A7">
              <w:rPr>
                <w:rStyle w:val="Hyperlink"/>
                <w:rFonts w:ascii="T" w:eastAsia="Times New Roman" w:hAnsi="T" w:cs="Sakkal Majalla"/>
                <w:b/>
                <w:bCs/>
                <w:noProof/>
                <w:rtl/>
              </w:rPr>
              <w:t>إجراءات ومنهجية الدراسة: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Toc225991340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46</w:t>
            </w:r>
            <w:r w:rsidRPr="005D59A7">
              <w:rPr>
                <w:rStyle w:val="Hyperlink"/>
                <w:rFonts w:ascii="T" w:hAnsi="T"/>
                <w:noProof/>
                <w:rtl/>
              </w:rPr>
              <w:fldChar w:fldCharType="end"/>
            </w:r>
          </w:hyperlink>
        </w:p>
        <w:p w14:paraId="4BA333B2" w14:textId="2D966842" w:rsidR="0048002A" w:rsidRPr="005D59A7" w:rsidRDefault="0048002A">
          <w:pPr>
            <w:pStyle w:val="TOC2"/>
            <w:rPr>
              <w:rFonts w:ascii="T" w:eastAsiaTheme="minorEastAsia" w:hAnsi="T"/>
              <w:noProof/>
              <w:rtl/>
            </w:rPr>
          </w:pPr>
          <w:hyperlink w:anchor="_Toc225991341" w:history="1">
            <w:r w:rsidRPr="005D59A7">
              <w:rPr>
                <w:rStyle w:val="Hyperlink"/>
                <w:rFonts w:ascii="T" w:hAnsi="T" w:cs="Sakkal Majalla"/>
                <w:noProof/>
                <w:rtl/>
              </w:rPr>
              <w:t>مجتمع وعينة الدراسة: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Toc225991341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46</w:t>
            </w:r>
            <w:r w:rsidRPr="005D59A7">
              <w:rPr>
                <w:rStyle w:val="Hyperlink"/>
                <w:rFonts w:ascii="T" w:hAnsi="T"/>
                <w:noProof/>
                <w:rtl/>
              </w:rPr>
              <w:fldChar w:fldCharType="end"/>
            </w:r>
          </w:hyperlink>
        </w:p>
        <w:p w14:paraId="4F030D21" w14:textId="3E76AA74" w:rsidR="0048002A" w:rsidRPr="005D59A7" w:rsidRDefault="0048002A">
          <w:pPr>
            <w:pStyle w:val="TOC2"/>
            <w:rPr>
              <w:rFonts w:ascii="T" w:eastAsiaTheme="minorEastAsia" w:hAnsi="T"/>
              <w:noProof/>
              <w:rtl/>
            </w:rPr>
          </w:pPr>
          <w:hyperlink w:anchor="_Toc225991342" w:history="1">
            <w:r w:rsidRPr="005D59A7">
              <w:rPr>
                <w:rStyle w:val="Hyperlink"/>
                <w:rFonts w:ascii="T" w:hAnsi="T" w:cs="Sakkal Majalla"/>
                <w:noProof/>
                <w:rtl/>
              </w:rPr>
              <w:t>وسائل جمع بيانات الدراسة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Toc225991342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47</w:t>
            </w:r>
            <w:r w:rsidRPr="005D59A7">
              <w:rPr>
                <w:rStyle w:val="Hyperlink"/>
                <w:rFonts w:ascii="T" w:hAnsi="T"/>
                <w:noProof/>
                <w:rtl/>
              </w:rPr>
              <w:fldChar w:fldCharType="end"/>
            </w:r>
          </w:hyperlink>
        </w:p>
        <w:p w14:paraId="431B802F" w14:textId="6F720E48" w:rsidR="0048002A" w:rsidRPr="005D59A7" w:rsidRDefault="0048002A">
          <w:pPr>
            <w:pStyle w:val="TOC2"/>
            <w:rPr>
              <w:rFonts w:ascii="T" w:eastAsiaTheme="minorEastAsia" w:hAnsi="T"/>
              <w:noProof/>
              <w:rtl/>
            </w:rPr>
          </w:pPr>
          <w:hyperlink w:anchor="_Toc225991343" w:history="1">
            <w:r w:rsidRPr="005D59A7">
              <w:rPr>
                <w:rStyle w:val="Hyperlink"/>
                <w:rFonts w:ascii="T" w:hAnsi="T" w:cs="Sakkal Majalla"/>
                <w:noProof/>
                <w:shd w:val="clear" w:color="auto" w:fill="FFFFFF"/>
                <w:rtl/>
              </w:rPr>
              <w:t>إطار التحليل</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Toc225991343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48</w:t>
            </w:r>
            <w:r w:rsidRPr="005D59A7">
              <w:rPr>
                <w:rStyle w:val="Hyperlink"/>
                <w:rFonts w:ascii="T" w:hAnsi="T"/>
                <w:noProof/>
                <w:rtl/>
              </w:rPr>
              <w:fldChar w:fldCharType="end"/>
            </w:r>
          </w:hyperlink>
        </w:p>
        <w:p w14:paraId="111152B5" w14:textId="21D77896" w:rsidR="0048002A" w:rsidRPr="005D59A7" w:rsidRDefault="0048002A">
          <w:pPr>
            <w:pStyle w:val="TOC3"/>
            <w:tabs>
              <w:tab w:val="left" w:pos="1320"/>
              <w:tab w:val="right" w:leader="dot" w:pos="8296"/>
            </w:tabs>
            <w:bidi/>
            <w:rPr>
              <w:rFonts w:ascii="T" w:eastAsiaTheme="minorEastAsia" w:hAnsi="T"/>
              <w:noProof/>
              <w:rtl/>
            </w:rPr>
          </w:pPr>
          <w:hyperlink w:anchor="_Toc225991344" w:history="1">
            <w:r w:rsidRPr="005D59A7">
              <w:rPr>
                <w:rStyle w:val="Hyperlink"/>
                <w:rFonts w:ascii="T" w:hAnsi="T"/>
                <w:noProof/>
                <w:rtl/>
              </w:rPr>
              <w:t>أ‌.</w:t>
            </w:r>
            <w:r w:rsidRPr="005D59A7">
              <w:rPr>
                <w:rFonts w:ascii="T" w:eastAsiaTheme="minorEastAsia" w:hAnsi="T"/>
                <w:noProof/>
                <w:rtl/>
              </w:rPr>
              <w:tab/>
            </w:r>
            <w:r w:rsidRPr="005D59A7">
              <w:rPr>
                <w:rStyle w:val="Hyperlink"/>
                <w:rFonts w:ascii="T" w:hAnsi="T" w:cs="Sakkal Majalla"/>
                <w:noProof/>
                <w:shd w:val="clear" w:color="auto" w:fill="FFFFFF"/>
                <w:rtl/>
              </w:rPr>
              <w:t>أدوات التحليل المالي ومعايير اتخاذ القرار</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Toc225991344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48</w:t>
            </w:r>
            <w:r w:rsidRPr="005D59A7">
              <w:rPr>
                <w:rStyle w:val="Hyperlink"/>
                <w:rFonts w:ascii="T" w:hAnsi="T"/>
                <w:noProof/>
                <w:rtl/>
              </w:rPr>
              <w:fldChar w:fldCharType="end"/>
            </w:r>
          </w:hyperlink>
        </w:p>
        <w:p w14:paraId="609EB61B" w14:textId="5D8C2B57" w:rsidR="0048002A" w:rsidRPr="005D59A7" w:rsidRDefault="0048002A">
          <w:pPr>
            <w:pStyle w:val="TOC3"/>
            <w:tabs>
              <w:tab w:val="left" w:pos="1540"/>
              <w:tab w:val="right" w:leader="dot" w:pos="8296"/>
            </w:tabs>
            <w:bidi/>
            <w:rPr>
              <w:rFonts w:ascii="T" w:eastAsiaTheme="minorEastAsia" w:hAnsi="T"/>
              <w:noProof/>
              <w:rtl/>
            </w:rPr>
          </w:pPr>
          <w:hyperlink w:anchor="_Toc225991345" w:history="1">
            <w:r w:rsidRPr="005D59A7">
              <w:rPr>
                <w:rStyle w:val="Hyperlink"/>
                <w:rFonts w:ascii="T" w:hAnsi="T"/>
                <w:noProof/>
                <w:rtl/>
              </w:rPr>
              <w:t>ب‌.</w:t>
            </w:r>
            <w:r w:rsidRPr="005D59A7">
              <w:rPr>
                <w:rFonts w:ascii="T" w:eastAsiaTheme="minorEastAsia" w:hAnsi="T"/>
                <w:noProof/>
                <w:rtl/>
              </w:rPr>
              <w:tab/>
            </w:r>
            <w:r w:rsidRPr="005D59A7">
              <w:rPr>
                <w:rStyle w:val="Hyperlink"/>
                <w:rFonts w:ascii="T" w:hAnsi="T" w:cs="Sakkal Majalla"/>
                <w:noProof/>
                <w:shd w:val="clear" w:color="auto" w:fill="FFFFFF"/>
                <w:rtl/>
              </w:rPr>
              <w:t>مؤشرات مستوى الخدمة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Toc225991345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49</w:t>
            </w:r>
            <w:r w:rsidRPr="005D59A7">
              <w:rPr>
                <w:rStyle w:val="Hyperlink"/>
                <w:rFonts w:ascii="T" w:hAnsi="T"/>
                <w:noProof/>
                <w:rtl/>
              </w:rPr>
              <w:fldChar w:fldCharType="end"/>
            </w:r>
          </w:hyperlink>
        </w:p>
        <w:p w14:paraId="43BD072B" w14:textId="53A74BAC" w:rsidR="0048002A" w:rsidRPr="005D59A7" w:rsidRDefault="0048002A">
          <w:pPr>
            <w:pStyle w:val="TOC3"/>
            <w:tabs>
              <w:tab w:val="left" w:pos="1540"/>
              <w:tab w:val="right" w:leader="dot" w:pos="8296"/>
            </w:tabs>
            <w:bidi/>
            <w:rPr>
              <w:rFonts w:ascii="T" w:eastAsiaTheme="minorEastAsia" w:hAnsi="T"/>
              <w:noProof/>
              <w:rtl/>
            </w:rPr>
          </w:pPr>
          <w:hyperlink w:anchor="_Toc225991346" w:history="1">
            <w:r w:rsidRPr="005D59A7">
              <w:rPr>
                <w:rStyle w:val="Hyperlink"/>
                <w:rFonts w:ascii="T" w:hAnsi="T"/>
                <w:noProof/>
                <w:rtl/>
              </w:rPr>
              <w:t>ت‌.</w:t>
            </w:r>
            <w:r w:rsidRPr="005D59A7">
              <w:rPr>
                <w:rFonts w:ascii="T" w:eastAsiaTheme="minorEastAsia" w:hAnsi="T"/>
                <w:noProof/>
                <w:rtl/>
              </w:rPr>
              <w:tab/>
            </w:r>
            <w:r w:rsidRPr="005D59A7">
              <w:rPr>
                <w:rStyle w:val="Hyperlink"/>
                <w:rFonts w:ascii="T" w:hAnsi="T" w:cs="Sakkal Majalla"/>
                <w:noProof/>
                <w:shd w:val="clear" w:color="auto" w:fill="FFFFFF"/>
                <w:rtl/>
              </w:rPr>
              <w:t>أداة التحليل</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Toc225991346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50</w:t>
            </w:r>
            <w:r w:rsidRPr="005D59A7">
              <w:rPr>
                <w:rStyle w:val="Hyperlink"/>
                <w:rFonts w:ascii="T" w:hAnsi="T"/>
                <w:noProof/>
                <w:rtl/>
              </w:rPr>
              <w:fldChar w:fldCharType="end"/>
            </w:r>
          </w:hyperlink>
        </w:p>
        <w:p w14:paraId="45C8E2E6" w14:textId="5D2F3B91" w:rsidR="0048002A" w:rsidRPr="005D59A7" w:rsidRDefault="0048002A">
          <w:pPr>
            <w:pStyle w:val="TOC3"/>
            <w:tabs>
              <w:tab w:val="left" w:pos="1540"/>
              <w:tab w:val="right" w:leader="dot" w:pos="8296"/>
            </w:tabs>
            <w:bidi/>
            <w:rPr>
              <w:rFonts w:ascii="T" w:eastAsiaTheme="minorEastAsia" w:hAnsi="T"/>
              <w:noProof/>
              <w:rtl/>
            </w:rPr>
          </w:pPr>
          <w:hyperlink w:anchor="_Toc225991347" w:history="1">
            <w:r w:rsidRPr="005D59A7">
              <w:rPr>
                <w:rStyle w:val="Hyperlink"/>
                <w:rFonts w:ascii="T" w:hAnsi="T"/>
                <w:noProof/>
                <w:rtl/>
              </w:rPr>
              <w:t>ث‌.</w:t>
            </w:r>
            <w:r w:rsidRPr="005D59A7">
              <w:rPr>
                <w:rFonts w:ascii="T" w:eastAsiaTheme="minorEastAsia" w:hAnsi="T"/>
                <w:noProof/>
                <w:rtl/>
              </w:rPr>
              <w:tab/>
            </w:r>
            <w:r w:rsidRPr="005D59A7">
              <w:rPr>
                <w:rStyle w:val="Hyperlink"/>
                <w:rFonts w:ascii="T" w:hAnsi="T" w:cs="Sakkal Majalla"/>
                <w:noProof/>
                <w:shd w:val="clear" w:color="auto" w:fill="FFFFFF"/>
                <w:rtl/>
              </w:rPr>
              <w:t>المتغيرات الضابطة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Toc225991347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50</w:t>
            </w:r>
            <w:r w:rsidRPr="005D59A7">
              <w:rPr>
                <w:rStyle w:val="Hyperlink"/>
                <w:rFonts w:ascii="T" w:hAnsi="T"/>
                <w:noProof/>
                <w:rtl/>
              </w:rPr>
              <w:fldChar w:fldCharType="end"/>
            </w:r>
          </w:hyperlink>
        </w:p>
        <w:p w14:paraId="46B56912" w14:textId="2A7160E8" w:rsidR="0048002A" w:rsidRPr="005D59A7" w:rsidRDefault="0048002A">
          <w:pPr>
            <w:pStyle w:val="TOC2"/>
            <w:rPr>
              <w:rFonts w:ascii="T" w:eastAsiaTheme="minorEastAsia" w:hAnsi="T"/>
              <w:noProof/>
              <w:rtl/>
            </w:rPr>
          </w:pPr>
          <w:hyperlink w:anchor="_Toc225991348" w:history="1">
            <w:r w:rsidRPr="005D59A7">
              <w:rPr>
                <w:rStyle w:val="Hyperlink"/>
                <w:rFonts w:ascii="T" w:hAnsi="T" w:cs="Sakkal Majalla"/>
                <w:noProof/>
                <w:shd w:val="clear" w:color="auto" w:fill="FFFFFF"/>
                <w:rtl/>
              </w:rPr>
              <w:t>نموذج الدراسة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Toc225991348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52</w:t>
            </w:r>
            <w:r w:rsidRPr="005D59A7">
              <w:rPr>
                <w:rStyle w:val="Hyperlink"/>
                <w:rFonts w:ascii="T" w:hAnsi="T"/>
                <w:noProof/>
                <w:rtl/>
              </w:rPr>
              <w:fldChar w:fldCharType="end"/>
            </w:r>
          </w:hyperlink>
        </w:p>
        <w:p w14:paraId="388CB760" w14:textId="2FFBE7DF" w:rsidR="0048002A" w:rsidRPr="005D59A7" w:rsidRDefault="0048002A">
          <w:pPr>
            <w:pStyle w:val="TOC1"/>
            <w:rPr>
              <w:rFonts w:ascii="T" w:eastAsiaTheme="minorEastAsia" w:hAnsi="T"/>
              <w:noProof/>
              <w:rtl/>
            </w:rPr>
          </w:pPr>
          <w:hyperlink w:anchor="_Toc225991349" w:history="1">
            <w:r w:rsidRPr="005D59A7">
              <w:rPr>
                <w:rStyle w:val="Hyperlink"/>
                <w:rFonts w:ascii="T" w:hAnsi="T" w:cs="Sakkal Majalla"/>
                <w:b/>
                <w:bCs/>
                <w:noProof/>
                <w:shd w:val="clear" w:color="auto" w:fill="FFFFFF"/>
                <w:rtl/>
              </w:rPr>
              <w:t>الفصل الثاني: الإطار النظري للدراسة (مراجعة الأدبيات ذات العلاقة)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Toc225991349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56</w:t>
            </w:r>
            <w:r w:rsidRPr="005D59A7">
              <w:rPr>
                <w:rStyle w:val="Hyperlink"/>
                <w:rFonts w:ascii="T" w:hAnsi="T"/>
                <w:noProof/>
                <w:rtl/>
              </w:rPr>
              <w:fldChar w:fldCharType="end"/>
            </w:r>
          </w:hyperlink>
        </w:p>
        <w:p w14:paraId="09639D91" w14:textId="5667E6E3" w:rsidR="0048002A" w:rsidRPr="005D59A7" w:rsidRDefault="0048002A">
          <w:pPr>
            <w:pStyle w:val="TOC1"/>
            <w:rPr>
              <w:rFonts w:ascii="T" w:eastAsiaTheme="minorEastAsia" w:hAnsi="T"/>
              <w:noProof/>
              <w:rtl/>
            </w:rPr>
          </w:pPr>
          <w:hyperlink w:anchor="_Toc225991350" w:history="1">
            <w:r w:rsidRPr="005D59A7">
              <w:rPr>
                <w:rStyle w:val="Hyperlink"/>
                <w:rFonts w:ascii="T" w:hAnsi="T" w:cs="Sakkal Majalla"/>
                <w:b/>
                <w:bCs/>
                <w:noProof/>
                <w:shd w:val="clear" w:color="auto" w:fill="FFFFFF"/>
                <w:rtl/>
              </w:rPr>
              <w:t>منهجية مراجعة الأدبيات</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Toc225991350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56</w:t>
            </w:r>
            <w:r w:rsidRPr="005D59A7">
              <w:rPr>
                <w:rStyle w:val="Hyperlink"/>
                <w:rFonts w:ascii="T" w:hAnsi="T"/>
                <w:noProof/>
                <w:rtl/>
              </w:rPr>
              <w:fldChar w:fldCharType="end"/>
            </w:r>
          </w:hyperlink>
        </w:p>
        <w:p w14:paraId="4DA08649" w14:textId="1715B6C5" w:rsidR="0048002A" w:rsidRPr="005D59A7" w:rsidRDefault="0048002A">
          <w:pPr>
            <w:pStyle w:val="TOC3"/>
            <w:tabs>
              <w:tab w:val="right" w:leader="dot" w:pos="8296"/>
            </w:tabs>
            <w:bidi/>
            <w:rPr>
              <w:rFonts w:ascii="T" w:eastAsiaTheme="minorEastAsia" w:hAnsi="T"/>
              <w:noProof/>
              <w:rtl/>
            </w:rPr>
          </w:pPr>
          <w:hyperlink w:anchor="_Toc225991351" w:history="1">
            <w:r w:rsidRPr="005D59A7">
              <w:rPr>
                <w:rStyle w:val="Hyperlink"/>
                <w:rFonts w:ascii="T" w:eastAsiaTheme="majorEastAsia" w:hAnsi="T" w:cs="Sakkal Majalla"/>
                <w:b/>
                <w:bCs/>
                <w:noProof/>
                <w:shd w:val="clear" w:color="auto" w:fill="FFFFFF"/>
                <w:rtl/>
              </w:rPr>
              <w:t>أولاً: قواعد البيانات والمصادر</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Toc225991351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56</w:t>
            </w:r>
            <w:r w:rsidRPr="005D59A7">
              <w:rPr>
                <w:rStyle w:val="Hyperlink"/>
                <w:rFonts w:ascii="T" w:hAnsi="T"/>
                <w:noProof/>
                <w:rtl/>
              </w:rPr>
              <w:fldChar w:fldCharType="end"/>
            </w:r>
          </w:hyperlink>
        </w:p>
        <w:p w14:paraId="224C8AB8" w14:textId="2F229439" w:rsidR="0048002A" w:rsidRPr="005D59A7" w:rsidRDefault="0048002A">
          <w:pPr>
            <w:pStyle w:val="TOC3"/>
            <w:tabs>
              <w:tab w:val="right" w:leader="dot" w:pos="8296"/>
            </w:tabs>
            <w:bidi/>
            <w:rPr>
              <w:rFonts w:ascii="T" w:eastAsiaTheme="minorEastAsia" w:hAnsi="T"/>
              <w:noProof/>
              <w:rtl/>
            </w:rPr>
          </w:pPr>
          <w:hyperlink w:anchor="_Toc225991352" w:history="1">
            <w:r w:rsidRPr="005D59A7">
              <w:rPr>
                <w:rStyle w:val="Hyperlink"/>
                <w:rFonts w:ascii="T" w:eastAsiaTheme="majorEastAsia" w:hAnsi="T" w:cs="Sakkal Majalla"/>
                <w:b/>
                <w:bCs/>
                <w:noProof/>
                <w:shd w:val="clear" w:color="auto" w:fill="FFFFFF"/>
                <w:rtl/>
              </w:rPr>
              <w:t>قواعد البيانات العلمية المحكمة</w:t>
            </w:r>
            <w:r w:rsidRPr="005D59A7">
              <w:rPr>
                <w:rStyle w:val="Hyperlink"/>
                <w:rFonts w:ascii="T" w:eastAsiaTheme="majorEastAsia" w:hAnsi="T" w:cs="Sakkal Majalla"/>
                <w:b/>
                <w:bCs/>
                <w:noProof/>
                <w:shd w:val="clear" w:color="auto" w:fill="FFFFFF"/>
              </w:rPr>
              <w:t>:</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Toc225991352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56</w:t>
            </w:r>
            <w:r w:rsidRPr="005D59A7">
              <w:rPr>
                <w:rStyle w:val="Hyperlink"/>
                <w:rFonts w:ascii="T" w:hAnsi="T"/>
                <w:noProof/>
                <w:rtl/>
              </w:rPr>
              <w:fldChar w:fldCharType="end"/>
            </w:r>
          </w:hyperlink>
        </w:p>
        <w:p w14:paraId="6D727368" w14:textId="1001C463" w:rsidR="0048002A" w:rsidRPr="005D59A7" w:rsidRDefault="0048002A">
          <w:pPr>
            <w:pStyle w:val="TOC3"/>
            <w:tabs>
              <w:tab w:val="right" w:leader="dot" w:pos="8296"/>
            </w:tabs>
            <w:bidi/>
            <w:rPr>
              <w:rFonts w:ascii="T" w:eastAsiaTheme="minorEastAsia" w:hAnsi="T"/>
              <w:noProof/>
              <w:rtl/>
            </w:rPr>
          </w:pPr>
          <w:hyperlink w:anchor="_Toc225991353" w:history="1">
            <w:r w:rsidRPr="005D59A7">
              <w:rPr>
                <w:rStyle w:val="Hyperlink"/>
                <w:rFonts w:ascii="T" w:eastAsiaTheme="majorEastAsia" w:hAnsi="T" w:cs="Sakkal Majalla"/>
                <w:b/>
                <w:bCs/>
                <w:noProof/>
                <w:shd w:val="clear" w:color="auto" w:fill="FFFFFF"/>
                <w:rtl/>
              </w:rPr>
              <w:t>المصادر الرسمية والتقارير</w:t>
            </w:r>
            <w:r w:rsidRPr="005D59A7">
              <w:rPr>
                <w:rStyle w:val="Hyperlink"/>
                <w:rFonts w:ascii="T" w:eastAsiaTheme="majorEastAsia" w:hAnsi="T" w:cs="Sakkal Majalla"/>
                <w:b/>
                <w:bCs/>
                <w:noProof/>
                <w:shd w:val="clear" w:color="auto" w:fill="FFFFFF"/>
              </w:rPr>
              <w:t>:</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Toc225991353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57</w:t>
            </w:r>
            <w:r w:rsidRPr="005D59A7">
              <w:rPr>
                <w:rStyle w:val="Hyperlink"/>
                <w:rFonts w:ascii="T" w:hAnsi="T"/>
                <w:noProof/>
                <w:rtl/>
              </w:rPr>
              <w:fldChar w:fldCharType="end"/>
            </w:r>
          </w:hyperlink>
        </w:p>
        <w:p w14:paraId="5AC25052" w14:textId="24047B50" w:rsidR="0048002A" w:rsidRPr="005D59A7" w:rsidRDefault="0048002A">
          <w:pPr>
            <w:pStyle w:val="TOC3"/>
            <w:tabs>
              <w:tab w:val="right" w:leader="dot" w:pos="8296"/>
            </w:tabs>
            <w:bidi/>
            <w:rPr>
              <w:rFonts w:ascii="T" w:eastAsiaTheme="minorEastAsia" w:hAnsi="T"/>
              <w:noProof/>
              <w:rtl/>
            </w:rPr>
          </w:pPr>
          <w:hyperlink w:anchor="_Toc225991354" w:history="1">
            <w:r w:rsidRPr="005D59A7">
              <w:rPr>
                <w:rStyle w:val="Hyperlink"/>
                <w:rFonts w:ascii="T" w:eastAsiaTheme="majorEastAsia" w:hAnsi="T" w:cs="Sakkal Majalla"/>
                <w:b/>
                <w:bCs/>
                <w:noProof/>
                <w:shd w:val="clear" w:color="auto" w:fill="FFFFFF"/>
                <w:rtl/>
              </w:rPr>
              <w:t>ثانياً: الكلمات المفتاحية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Toc225991354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57</w:t>
            </w:r>
            <w:r w:rsidRPr="005D59A7">
              <w:rPr>
                <w:rStyle w:val="Hyperlink"/>
                <w:rFonts w:ascii="T" w:hAnsi="T"/>
                <w:noProof/>
                <w:rtl/>
              </w:rPr>
              <w:fldChar w:fldCharType="end"/>
            </w:r>
          </w:hyperlink>
        </w:p>
        <w:p w14:paraId="6B903739" w14:textId="7BFC9B3A" w:rsidR="0048002A" w:rsidRPr="005D59A7" w:rsidRDefault="0048002A">
          <w:pPr>
            <w:pStyle w:val="TOC1"/>
            <w:rPr>
              <w:rFonts w:ascii="T" w:eastAsiaTheme="minorEastAsia" w:hAnsi="T"/>
              <w:noProof/>
              <w:rtl/>
            </w:rPr>
          </w:pPr>
          <w:hyperlink w:anchor="_Toc225991355" w:history="1">
            <w:r w:rsidRPr="005D59A7">
              <w:rPr>
                <w:rStyle w:val="Hyperlink"/>
                <w:rFonts w:ascii="T" w:hAnsi="T" w:cs="Sakkal Majalla"/>
                <w:b/>
                <w:bCs/>
                <w:noProof/>
                <w:rtl/>
              </w:rPr>
              <w:t>النظريات المفسرة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Toc225991355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60</w:t>
            </w:r>
            <w:r w:rsidRPr="005D59A7">
              <w:rPr>
                <w:rStyle w:val="Hyperlink"/>
                <w:rFonts w:ascii="T" w:hAnsi="T"/>
                <w:noProof/>
                <w:rtl/>
              </w:rPr>
              <w:fldChar w:fldCharType="end"/>
            </w:r>
          </w:hyperlink>
        </w:p>
        <w:p w14:paraId="16A372F5" w14:textId="27AFC76B" w:rsidR="0048002A" w:rsidRPr="005D59A7" w:rsidRDefault="0048002A">
          <w:pPr>
            <w:pStyle w:val="TOC2"/>
            <w:rPr>
              <w:rFonts w:ascii="T" w:eastAsiaTheme="minorEastAsia" w:hAnsi="T"/>
              <w:noProof/>
              <w:rtl/>
            </w:rPr>
          </w:pPr>
          <w:hyperlink w:anchor="_Toc225991356" w:history="1">
            <w:r w:rsidRPr="005D59A7">
              <w:rPr>
                <w:rStyle w:val="Hyperlink"/>
                <w:rFonts w:ascii="T" w:hAnsi="T" w:cs="Sakkal Majalla"/>
                <w:b/>
                <w:bCs/>
                <w:noProof/>
                <w:rtl/>
              </w:rPr>
              <w:t>نظرية الوكالة</w:t>
            </w:r>
            <w:r w:rsidRPr="005D59A7">
              <w:rPr>
                <w:rStyle w:val="Hyperlink"/>
                <w:rFonts w:ascii="T" w:hAnsi="T" w:cs="Sakkal Majalla"/>
                <w:b/>
                <w:bCs/>
                <w:noProof/>
              </w:rPr>
              <w:t xml:space="preserve"> (Agency Theory)</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Toc225991356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60</w:t>
            </w:r>
            <w:r w:rsidRPr="005D59A7">
              <w:rPr>
                <w:rStyle w:val="Hyperlink"/>
                <w:rFonts w:ascii="T" w:hAnsi="T"/>
                <w:noProof/>
                <w:rtl/>
              </w:rPr>
              <w:fldChar w:fldCharType="end"/>
            </w:r>
          </w:hyperlink>
        </w:p>
        <w:p w14:paraId="177DCE30" w14:textId="248B2307" w:rsidR="0048002A" w:rsidRPr="005D59A7" w:rsidRDefault="0048002A">
          <w:pPr>
            <w:pStyle w:val="TOC2"/>
            <w:tabs>
              <w:tab w:val="left" w:pos="1100"/>
            </w:tabs>
            <w:rPr>
              <w:rFonts w:ascii="T" w:eastAsiaTheme="minorEastAsia" w:hAnsi="T"/>
              <w:noProof/>
              <w:rtl/>
            </w:rPr>
          </w:pPr>
          <w:hyperlink w:anchor="_Toc225991357" w:history="1">
            <w:r w:rsidRPr="005D59A7">
              <w:rPr>
                <w:rStyle w:val="Hyperlink"/>
                <w:rFonts w:ascii="T" w:hAnsi="T" w:cs="Sakkal Majalla"/>
                <w:b/>
                <w:bCs/>
                <w:noProof/>
                <w:rtl/>
              </w:rPr>
              <w:t>1.</w:t>
            </w:r>
            <w:r w:rsidRPr="005D59A7">
              <w:rPr>
                <w:rFonts w:ascii="T" w:eastAsiaTheme="minorEastAsia" w:hAnsi="T"/>
                <w:noProof/>
                <w:rtl/>
              </w:rPr>
              <w:tab/>
            </w:r>
            <w:r w:rsidRPr="005D59A7">
              <w:rPr>
                <w:rStyle w:val="Hyperlink"/>
                <w:rFonts w:ascii="T" w:hAnsi="T" w:cs="Sakkal Majalla"/>
                <w:b/>
                <w:bCs/>
                <w:noProof/>
                <w:rtl/>
              </w:rPr>
              <w:t>نظرة عامة عن الشراكة مع القطاع الخاص</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Toc225991357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71</w:t>
            </w:r>
            <w:r w:rsidRPr="005D59A7">
              <w:rPr>
                <w:rStyle w:val="Hyperlink"/>
                <w:rFonts w:ascii="T" w:hAnsi="T"/>
                <w:noProof/>
                <w:rtl/>
              </w:rPr>
              <w:fldChar w:fldCharType="end"/>
            </w:r>
          </w:hyperlink>
        </w:p>
        <w:p w14:paraId="505BCF38" w14:textId="01682392" w:rsidR="0048002A" w:rsidRPr="005D59A7" w:rsidRDefault="0048002A">
          <w:pPr>
            <w:pStyle w:val="TOC3"/>
            <w:tabs>
              <w:tab w:val="left" w:pos="1320"/>
              <w:tab w:val="right" w:leader="dot" w:pos="8296"/>
            </w:tabs>
            <w:bidi/>
            <w:rPr>
              <w:rFonts w:ascii="T" w:eastAsiaTheme="minorEastAsia" w:hAnsi="T"/>
              <w:noProof/>
              <w:rtl/>
            </w:rPr>
          </w:pPr>
          <w:hyperlink w:anchor="_Toc225991358" w:history="1">
            <w:r w:rsidRPr="005D59A7">
              <w:rPr>
                <w:rStyle w:val="Hyperlink"/>
                <w:rFonts w:ascii="T" w:hAnsi="T" w:cs="Sakkal Majalla"/>
                <w:noProof/>
                <w:rtl/>
              </w:rPr>
              <w:t>أ‌.</w:t>
            </w:r>
            <w:r w:rsidRPr="005D59A7">
              <w:rPr>
                <w:rFonts w:ascii="T" w:eastAsiaTheme="minorEastAsia" w:hAnsi="T"/>
                <w:noProof/>
                <w:rtl/>
              </w:rPr>
              <w:tab/>
            </w:r>
            <w:r w:rsidRPr="005D59A7">
              <w:rPr>
                <w:rStyle w:val="Hyperlink"/>
                <w:rFonts w:ascii="T" w:hAnsi="T" w:cs="Sakkal Majalla"/>
                <w:noProof/>
                <w:rtl/>
              </w:rPr>
              <w:t>ما هي الشراكات مع القطاع الخاص؟</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Toc225991358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71</w:t>
            </w:r>
            <w:r w:rsidRPr="005D59A7">
              <w:rPr>
                <w:rStyle w:val="Hyperlink"/>
                <w:rFonts w:ascii="T" w:hAnsi="T"/>
                <w:noProof/>
                <w:rtl/>
              </w:rPr>
              <w:fldChar w:fldCharType="end"/>
            </w:r>
          </w:hyperlink>
        </w:p>
        <w:p w14:paraId="6D2971A1" w14:textId="2FD314B1" w:rsidR="0048002A" w:rsidRPr="005D59A7" w:rsidRDefault="0048002A">
          <w:pPr>
            <w:pStyle w:val="TOC3"/>
            <w:tabs>
              <w:tab w:val="left" w:pos="1540"/>
              <w:tab w:val="right" w:leader="dot" w:pos="8296"/>
            </w:tabs>
            <w:bidi/>
            <w:rPr>
              <w:rFonts w:ascii="T" w:eastAsiaTheme="minorEastAsia" w:hAnsi="T"/>
              <w:noProof/>
              <w:rtl/>
            </w:rPr>
          </w:pPr>
          <w:hyperlink w:anchor="_Toc225991359" w:history="1">
            <w:r w:rsidRPr="005D59A7">
              <w:rPr>
                <w:rStyle w:val="Hyperlink"/>
                <w:rFonts w:ascii="T" w:hAnsi="T" w:cs="Sakkal Majalla"/>
                <w:noProof/>
                <w:rtl/>
              </w:rPr>
              <w:t>ب‌.</w:t>
            </w:r>
            <w:r w:rsidRPr="005D59A7">
              <w:rPr>
                <w:rFonts w:ascii="T" w:eastAsiaTheme="minorEastAsia" w:hAnsi="T"/>
                <w:noProof/>
                <w:rtl/>
              </w:rPr>
              <w:tab/>
            </w:r>
            <w:r w:rsidRPr="005D59A7">
              <w:rPr>
                <w:rStyle w:val="Hyperlink"/>
                <w:rFonts w:ascii="T" w:hAnsi="T" w:cs="Sakkal Majalla"/>
                <w:noProof/>
                <w:rtl/>
              </w:rPr>
              <w:t>لمحة تاريخية عن الشراكات مع القطاع الخاص</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Toc225991359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73</w:t>
            </w:r>
            <w:r w:rsidRPr="005D59A7">
              <w:rPr>
                <w:rStyle w:val="Hyperlink"/>
                <w:rFonts w:ascii="T" w:hAnsi="T"/>
                <w:noProof/>
                <w:rtl/>
              </w:rPr>
              <w:fldChar w:fldCharType="end"/>
            </w:r>
          </w:hyperlink>
        </w:p>
        <w:p w14:paraId="69F928F8" w14:textId="1CD01554" w:rsidR="0048002A" w:rsidRPr="005D59A7" w:rsidRDefault="0048002A">
          <w:pPr>
            <w:pStyle w:val="TOC3"/>
            <w:tabs>
              <w:tab w:val="left" w:pos="1540"/>
              <w:tab w:val="right" w:leader="dot" w:pos="8296"/>
            </w:tabs>
            <w:bidi/>
            <w:rPr>
              <w:rFonts w:ascii="T" w:eastAsiaTheme="minorEastAsia" w:hAnsi="T"/>
              <w:noProof/>
              <w:rtl/>
            </w:rPr>
          </w:pPr>
          <w:hyperlink w:anchor="_Toc225991360" w:history="1">
            <w:r w:rsidRPr="005D59A7">
              <w:rPr>
                <w:rStyle w:val="Hyperlink"/>
                <w:rFonts w:ascii="T" w:hAnsi="T" w:cs="Sakkal Majalla"/>
                <w:noProof/>
                <w:rtl/>
              </w:rPr>
              <w:t>ت‌.</w:t>
            </w:r>
            <w:r w:rsidRPr="005D59A7">
              <w:rPr>
                <w:rFonts w:ascii="T" w:eastAsiaTheme="minorEastAsia" w:hAnsi="T"/>
                <w:noProof/>
                <w:rtl/>
              </w:rPr>
              <w:tab/>
            </w:r>
            <w:r w:rsidRPr="005D59A7">
              <w:rPr>
                <w:rStyle w:val="Hyperlink"/>
                <w:rFonts w:ascii="T" w:hAnsi="T" w:cs="Sakkal Majalla"/>
                <w:noProof/>
                <w:rtl/>
              </w:rPr>
              <w:t>منافع وفوائد الشراكة مع القطاع الخاص</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Toc225991360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75</w:t>
            </w:r>
            <w:r w:rsidRPr="005D59A7">
              <w:rPr>
                <w:rStyle w:val="Hyperlink"/>
                <w:rFonts w:ascii="T" w:hAnsi="T"/>
                <w:noProof/>
                <w:rtl/>
              </w:rPr>
              <w:fldChar w:fldCharType="end"/>
            </w:r>
          </w:hyperlink>
        </w:p>
        <w:p w14:paraId="16A5991F" w14:textId="21589E93" w:rsidR="0048002A" w:rsidRPr="005D59A7" w:rsidRDefault="0048002A">
          <w:pPr>
            <w:pStyle w:val="TOC3"/>
            <w:tabs>
              <w:tab w:val="left" w:pos="1540"/>
              <w:tab w:val="right" w:leader="dot" w:pos="8296"/>
            </w:tabs>
            <w:bidi/>
            <w:rPr>
              <w:rFonts w:ascii="T" w:eastAsiaTheme="minorEastAsia" w:hAnsi="T"/>
              <w:noProof/>
              <w:rtl/>
            </w:rPr>
          </w:pPr>
          <w:hyperlink w:anchor="_Toc225991361" w:history="1">
            <w:r w:rsidRPr="005D59A7">
              <w:rPr>
                <w:rStyle w:val="Hyperlink"/>
                <w:rFonts w:ascii="T" w:hAnsi="T" w:cs="Sakkal Majalla"/>
                <w:noProof/>
                <w:rtl/>
              </w:rPr>
              <w:t>ث‌.</w:t>
            </w:r>
            <w:r w:rsidRPr="005D59A7">
              <w:rPr>
                <w:rFonts w:ascii="T" w:eastAsiaTheme="minorEastAsia" w:hAnsi="T"/>
                <w:noProof/>
                <w:rtl/>
              </w:rPr>
              <w:tab/>
            </w:r>
            <w:r w:rsidRPr="005D59A7">
              <w:rPr>
                <w:rStyle w:val="Hyperlink"/>
                <w:rFonts w:ascii="T" w:hAnsi="T" w:cs="Sakkal Majalla"/>
                <w:noProof/>
                <w:rtl/>
              </w:rPr>
              <w:t>أنواع العقود وطرق التعاقد بين القطاعين العام والخاص</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Toc225991361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81</w:t>
            </w:r>
            <w:r w:rsidRPr="005D59A7">
              <w:rPr>
                <w:rStyle w:val="Hyperlink"/>
                <w:rFonts w:ascii="T" w:hAnsi="T"/>
                <w:noProof/>
                <w:rtl/>
              </w:rPr>
              <w:fldChar w:fldCharType="end"/>
            </w:r>
          </w:hyperlink>
        </w:p>
        <w:p w14:paraId="69F00ABC" w14:textId="1B51AD09" w:rsidR="0048002A" w:rsidRPr="005D59A7" w:rsidRDefault="0048002A">
          <w:pPr>
            <w:pStyle w:val="TOC2"/>
            <w:tabs>
              <w:tab w:val="left" w:pos="1100"/>
            </w:tabs>
            <w:rPr>
              <w:rFonts w:ascii="T" w:eastAsiaTheme="minorEastAsia" w:hAnsi="T"/>
              <w:noProof/>
              <w:rtl/>
            </w:rPr>
          </w:pPr>
          <w:hyperlink w:anchor="_Toc225991362" w:history="1">
            <w:r w:rsidRPr="005D59A7">
              <w:rPr>
                <w:rStyle w:val="Hyperlink"/>
                <w:rFonts w:ascii="T" w:hAnsi="T" w:cs="Sakkal Majalla"/>
                <w:b/>
                <w:bCs/>
                <w:noProof/>
                <w:rtl/>
              </w:rPr>
              <w:t>2.</w:t>
            </w:r>
            <w:r w:rsidRPr="005D59A7">
              <w:rPr>
                <w:rFonts w:ascii="T" w:eastAsiaTheme="minorEastAsia" w:hAnsi="T"/>
                <w:noProof/>
                <w:rtl/>
              </w:rPr>
              <w:tab/>
            </w:r>
            <w:r w:rsidRPr="005D59A7">
              <w:rPr>
                <w:rStyle w:val="Hyperlink"/>
                <w:rFonts w:ascii="T" w:hAnsi="T" w:cs="Sakkal Majalla"/>
                <w:b/>
                <w:bCs/>
                <w:noProof/>
                <w:rtl/>
              </w:rPr>
              <w:t>رؤية المملكة 2030</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Toc225991362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84</w:t>
            </w:r>
            <w:r w:rsidRPr="005D59A7">
              <w:rPr>
                <w:rStyle w:val="Hyperlink"/>
                <w:rFonts w:ascii="T" w:hAnsi="T"/>
                <w:noProof/>
                <w:rtl/>
              </w:rPr>
              <w:fldChar w:fldCharType="end"/>
            </w:r>
          </w:hyperlink>
        </w:p>
        <w:p w14:paraId="38D8AB49" w14:textId="57DFE251" w:rsidR="0048002A" w:rsidRPr="005D59A7" w:rsidRDefault="0048002A">
          <w:pPr>
            <w:pStyle w:val="TOC3"/>
            <w:tabs>
              <w:tab w:val="left" w:pos="1320"/>
              <w:tab w:val="right" w:leader="dot" w:pos="8296"/>
            </w:tabs>
            <w:bidi/>
            <w:rPr>
              <w:rFonts w:ascii="T" w:eastAsiaTheme="minorEastAsia" w:hAnsi="T"/>
              <w:noProof/>
              <w:rtl/>
            </w:rPr>
          </w:pPr>
          <w:hyperlink w:anchor="_Toc225991363" w:history="1">
            <w:r w:rsidRPr="005D59A7">
              <w:rPr>
                <w:rStyle w:val="Hyperlink"/>
                <w:rFonts w:ascii="T" w:hAnsi="T" w:cs="Sakkal Majalla"/>
                <w:noProof/>
                <w:rtl/>
              </w:rPr>
              <w:t>أ‌.</w:t>
            </w:r>
            <w:r w:rsidRPr="005D59A7">
              <w:rPr>
                <w:rFonts w:ascii="T" w:eastAsiaTheme="minorEastAsia" w:hAnsi="T"/>
                <w:noProof/>
                <w:rtl/>
              </w:rPr>
              <w:tab/>
            </w:r>
            <w:r w:rsidRPr="005D59A7">
              <w:rPr>
                <w:rStyle w:val="Hyperlink"/>
                <w:rFonts w:ascii="T" w:hAnsi="T" w:cs="Sakkal Majalla"/>
                <w:noProof/>
                <w:rtl/>
              </w:rPr>
              <w:t>أهداف التنمية المستدامة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Toc225991363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84</w:t>
            </w:r>
            <w:r w:rsidRPr="005D59A7">
              <w:rPr>
                <w:rStyle w:val="Hyperlink"/>
                <w:rFonts w:ascii="T" w:hAnsi="T"/>
                <w:noProof/>
                <w:rtl/>
              </w:rPr>
              <w:fldChar w:fldCharType="end"/>
            </w:r>
          </w:hyperlink>
        </w:p>
        <w:p w14:paraId="6B2FD2F4" w14:textId="10864FEE" w:rsidR="0048002A" w:rsidRPr="005D59A7" w:rsidRDefault="0048002A">
          <w:pPr>
            <w:pStyle w:val="TOC3"/>
            <w:tabs>
              <w:tab w:val="left" w:pos="1540"/>
              <w:tab w:val="right" w:leader="dot" w:pos="8296"/>
            </w:tabs>
            <w:bidi/>
            <w:rPr>
              <w:rFonts w:ascii="T" w:eastAsiaTheme="minorEastAsia" w:hAnsi="T"/>
              <w:noProof/>
              <w:rtl/>
            </w:rPr>
          </w:pPr>
          <w:hyperlink w:anchor="_Toc225991364" w:history="1">
            <w:r w:rsidRPr="005D59A7">
              <w:rPr>
                <w:rStyle w:val="Hyperlink"/>
                <w:rFonts w:ascii="T" w:hAnsi="T" w:cs="Sakkal Majalla"/>
                <w:noProof/>
                <w:rtl/>
              </w:rPr>
              <w:t>ب‌.</w:t>
            </w:r>
            <w:r w:rsidRPr="005D59A7">
              <w:rPr>
                <w:rFonts w:ascii="T" w:eastAsiaTheme="minorEastAsia" w:hAnsi="T"/>
                <w:noProof/>
                <w:rtl/>
              </w:rPr>
              <w:tab/>
            </w:r>
            <w:r w:rsidRPr="005D59A7">
              <w:rPr>
                <w:rStyle w:val="Hyperlink"/>
                <w:rFonts w:ascii="T" w:hAnsi="T" w:cs="Sakkal Majalla"/>
                <w:noProof/>
                <w:rtl/>
              </w:rPr>
              <w:t>انطلاق رؤية المملكة 2030</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Toc225991364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86</w:t>
            </w:r>
            <w:r w:rsidRPr="005D59A7">
              <w:rPr>
                <w:rStyle w:val="Hyperlink"/>
                <w:rFonts w:ascii="T" w:hAnsi="T"/>
                <w:noProof/>
                <w:rtl/>
              </w:rPr>
              <w:fldChar w:fldCharType="end"/>
            </w:r>
          </w:hyperlink>
        </w:p>
        <w:p w14:paraId="24BCC6C4" w14:textId="3B496504" w:rsidR="0048002A" w:rsidRPr="005D59A7" w:rsidRDefault="0048002A">
          <w:pPr>
            <w:pStyle w:val="TOC2"/>
            <w:tabs>
              <w:tab w:val="left" w:pos="1100"/>
            </w:tabs>
            <w:rPr>
              <w:rFonts w:ascii="T" w:eastAsiaTheme="minorEastAsia" w:hAnsi="T"/>
              <w:noProof/>
              <w:rtl/>
            </w:rPr>
          </w:pPr>
          <w:hyperlink w:anchor="_Toc225991365" w:history="1">
            <w:r w:rsidRPr="005D59A7">
              <w:rPr>
                <w:rStyle w:val="Hyperlink"/>
                <w:rFonts w:ascii="T" w:hAnsi="T" w:cs="Sakkal Majalla"/>
                <w:noProof/>
                <w:rtl/>
              </w:rPr>
              <w:t>3.</w:t>
            </w:r>
            <w:r w:rsidRPr="005D59A7">
              <w:rPr>
                <w:rFonts w:ascii="T" w:eastAsiaTheme="minorEastAsia" w:hAnsi="T"/>
                <w:noProof/>
                <w:rtl/>
              </w:rPr>
              <w:tab/>
            </w:r>
            <w:r w:rsidRPr="005D59A7">
              <w:rPr>
                <w:rStyle w:val="Hyperlink"/>
                <w:rFonts w:ascii="T" w:hAnsi="T" w:cs="Sakkal Majalla"/>
                <w:noProof/>
                <w:rtl/>
              </w:rPr>
              <w:t>قطاع البيئة في المملكة العربية السعودية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Toc225991365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90</w:t>
            </w:r>
            <w:r w:rsidRPr="005D59A7">
              <w:rPr>
                <w:rStyle w:val="Hyperlink"/>
                <w:rFonts w:ascii="T" w:hAnsi="T"/>
                <w:noProof/>
                <w:rtl/>
              </w:rPr>
              <w:fldChar w:fldCharType="end"/>
            </w:r>
          </w:hyperlink>
        </w:p>
        <w:p w14:paraId="792204DF" w14:textId="05BC9D3B" w:rsidR="0048002A" w:rsidRPr="005D59A7" w:rsidRDefault="0048002A">
          <w:pPr>
            <w:pStyle w:val="TOC3"/>
            <w:tabs>
              <w:tab w:val="left" w:pos="1320"/>
              <w:tab w:val="right" w:leader="dot" w:pos="8296"/>
            </w:tabs>
            <w:bidi/>
            <w:rPr>
              <w:rFonts w:ascii="T" w:eastAsiaTheme="minorEastAsia" w:hAnsi="T"/>
              <w:noProof/>
              <w:rtl/>
            </w:rPr>
          </w:pPr>
          <w:hyperlink w:anchor="_Toc225991366" w:history="1">
            <w:r w:rsidRPr="005D59A7">
              <w:rPr>
                <w:rStyle w:val="Hyperlink"/>
                <w:rFonts w:ascii="T" w:hAnsi="T" w:cs="Sakkal Majalla"/>
                <w:noProof/>
                <w:rtl/>
              </w:rPr>
              <w:t>أ‌.</w:t>
            </w:r>
            <w:r w:rsidRPr="005D59A7">
              <w:rPr>
                <w:rFonts w:ascii="T" w:eastAsiaTheme="minorEastAsia" w:hAnsi="T"/>
                <w:noProof/>
                <w:rtl/>
              </w:rPr>
              <w:tab/>
            </w:r>
            <w:r w:rsidRPr="005D59A7">
              <w:rPr>
                <w:rStyle w:val="Hyperlink"/>
                <w:rFonts w:ascii="T" w:hAnsi="T" w:cs="Sakkal Majalla"/>
                <w:noProof/>
                <w:rtl/>
              </w:rPr>
              <w:t>علاقة الرؤية بالتحول بالقطاع في البيئي</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Toc225991366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90</w:t>
            </w:r>
            <w:r w:rsidRPr="005D59A7">
              <w:rPr>
                <w:rStyle w:val="Hyperlink"/>
                <w:rFonts w:ascii="T" w:hAnsi="T"/>
                <w:noProof/>
                <w:rtl/>
              </w:rPr>
              <w:fldChar w:fldCharType="end"/>
            </w:r>
          </w:hyperlink>
        </w:p>
        <w:p w14:paraId="2921DDA4" w14:textId="0A0051FE" w:rsidR="0048002A" w:rsidRPr="005D59A7" w:rsidRDefault="0048002A">
          <w:pPr>
            <w:pStyle w:val="TOC3"/>
            <w:tabs>
              <w:tab w:val="left" w:pos="1540"/>
              <w:tab w:val="right" w:leader="dot" w:pos="8296"/>
            </w:tabs>
            <w:bidi/>
            <w:rPr>
              <w:rFonts w:ascii="T" w:eastAsiaTheme="minorEastAsia" w:hAnsi="T"/>
              <w:noProof/>
              <w:rtl/>
            </w:rPr>
          </w:pPr>
          <w:hyperlink w:anchor="_Toc225991367" w:history="1">
            <w:r w:rsidRPr="005D59A7">
              <w:rPr>
                <w:rStyle w:val="Hyperlink"/>
                <w:rFonts w:ascii="T" w:hAnsi="T" w:cs="Sakkal Majalla"/>
                <w:noProof/>
                <w:rtl/>
              </w:rPr>
              <w:t>ب‌.</w:t>
            </w:r>
            <w:r w:rsidRPr="005D59A7">
              <w:rPr>
                <w:rFonts w:ascii="T" w:eastAsiaTheme="minorEastAsia" w:hAnsi="T"/>
                <w:noProof/>
                <w:rtl/>
              </w:rPr>
              <w:tab/>
            </w:r>
            <w:r w:rsidRPr="005D59A7">
              <w:rPr>
                <w:rStyle w:val="Hyperlink"/>
                <w:rFonts w:ascii="T" w:hAnsi="T" w:cs="Sakkal Majalla"/>
                <w:noProof/>
                <w:rtl/>
              </w:rPr>
              <w:t>لمحة تاريخية عن قطاع البيئة في المملكة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Toc225991367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91</w:t>
            </w:r>
            <w:r w:rsidRPr="005D59A7">
              <w:rPr>
                <w:rStyle w:val="Hyperlink"/>
                <w:rFonts w:ascii="T" w:hAnsi="T"/>
                <w:noProof/>
                <w:rtl/>
              </w:rPr>
              <w:fldChar w:fldCharType="end"/>
            </w:r>
          </w:hyperlink>
        </w:p>
        <w:p w14:paraId="1340B585" w14:textId="08432253" w:rsidR="0048002A" w:rsidRPr="005D59A7" w:rsidRDefault="0048002A">
          <w:pPr>
            <w:pStyle w:val="TOC3"/>
            <w:tabs>
              <w:tab w:val="left" w:pos="1540"/>
              <w:tab w:val="right" w:leader="dot" w:pos="8296"/>
            </w:tabs>
            <w:bidi/>
            <w:rPr>
              <w:rFonts w:ascii="T" w:eastAsiaTheme="minorEastAsia" w:hAnsi="T"/>
              <w:noProof/>
              <w:rtl/>
            </w:rPr>
          </w:pPr>
          <w:hyperlink w:anchor="_Toc225991368" w:history="1">
            <w:r w:rsidRPr="005D59A7">
              <w:rPr>
                <w:rStyle w:val="Hyperlink"/>
                <w:rFonts w:ascii="T" w:hAnsi="T" w:cs="Sakkal Majalla"/>
                <w:noProof/>
                <w:rtl/>
              </w:rPr>
              <w:t>ت‌.</w:t>
            </w:r>
            <w:r w:rsidRPr="005D59A7">
              <w:rPr>
                <w:rFonts w:ascii="T" w:eastAsiaTheme="minorEastAsia" w:hAnsi="T"/>
                <w:noProof/>
                <w:rtl/>
              </w:rPr>
              <w:tab/>
            </w:r>
            <w:r w:rsidRPr="005D59A7">
              <w:rPr>
                <w:rStyle w:val="Hyperlink"/>
                <w:rFonts w:ascii="T" w:hAnsi="T" w:cs="Sakkal Majalla"/>
                <w:noProof/>
                <w:rtl/>
              </w:rPr>
              <w:t>نبذة عن الجهات المتخصصة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Toc225991368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95</w:t>
            </w:r>
            <w:r w:rsidRPr="005D59A7">
              <w:rPr>
                <w:rStyle w:val="Hyperlink"/>
                <w:rFonts w:ascii="T" w:hAnsi="T"/>
                <w:noProof/>
                <w:rtl/>
              </w:rPr>
              <w:fldChar w:fldCharType="end"/>
            </w:r>
          </w:hyperlink>
        </w:p>
        <w:p w14:paraId="34807A19" w14:textId="1B31052D" w:rsidR="0048002A" w:rsidRPr="005D59A7" w:rsidRDefault="0048002A">
          <w:pPr>
            <w:pStyle w:val="TOC3"/>
            <w:tabs>
              <w:tab w:val="left" w:pos="1540"/>
              <w:tab w:val="right" w:leader="dot" w:pos="8296"/>
            </w:tabs>
            <w:bidi/>
            <w:rPr>
              <w:rFonts w:ascii="T" w:eastAsiaTheme="minorEastAsia" w:hAnsi="T"/>
              <w:noProof/>
              <w:rtl/>
            </w:rPr>
          </w:pPr>
          <w:hyperlink w:anchor="_Toc225991369" w:history="1">
            <w:r w:rsidRPr="005D59A7">
              <w:rPr>
                <w:rStyle w:val="Hyperlink"/>
                <w:rFonts w:ascii="T" w:hAnsi="T" w:cs="Sakkal Majalla"/>
                <w:noProof/>
                <w:rtl/>
              </w:rPr>
              <w:t>ث‌.</w:t>
            </w:r>
            <w:r w:rsidRPr="005D59A7">
              <w:rPr>
                <w:rFonts w:ascii="T" w:eastAsiaTheme="minorEastAsia" w:hAnsi="T"/>
                <w:noProof/>
                <w:rtl/>
              </w:rPr>
              <w:tab/>
            </w:r>
            <w:r w:rsidRPr="005D59A7">
              <w:rPr>
                <w:rStyle w:val="Hyperlink"/>
                <w:rFonts w:ascii="T" w:hAnsi="T" w:cs="Sakkal Majalla"/>
                <w:noProof/>
                <w:rtl/>
              </w:rPr>
              <w:t>تقرير دراسة الإستراتيجية الوطنية للبيئة (وزارة البيئة والمياه والزراعة، 2018).</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Toc225991369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107</w:t>
            </w:r>
            <w:r w:rsidRPr="005D59A7">
              <w:rPr>
                <w:rStyle w:val="Hyperlink"/>
                <w:rFonts w:ascii="T" w:hAnsi="T"/>
                <w:noProof/>
                <w:rtl/>
              </w:rPr>
              <w:fldChar w:fldCharType="end"/>
            </w:r>
          </w:hyperlink>
        </w:p>
        <w:p w14:paraId="3FD8CF33" w14:textId="1D5DBA38" w:rsidR="0048002A" w:rsidRPr="005D59A7" w:rsidRDefault="0048002A">
          <w:pPr>
            <w:pStyle w:val="TOC1"/>
            <w:rPr>
              <w:rFonts w:ascii="T" w:eastAsiaTheme="minorEastAsia" w:hAnsi="T"/>
              <w:noProof/>
              <w:rtl/>
            </w:rPr>
          </w:pPr>
          <w:hyperlink w:anchor="_Toc225991370" w:history="1">
            <w:r w:rsidRPr="005D59A7">
              <w:rPr>
                <w:rStyle w:val="Hyperlink"/>
                <w:rFonts w:ascii="T" w:hAnsi="T" w:cs="Sakkal Majalla"/>
                <w:b/>
                <w:bCs/>
                <w:noProof/>
                <w:rtl/>
                <w:lang w:bidi="ar-EG"/>
              </w:rPr>
              <w:t>الدراسات السابقة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Toc225991370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122</w:t>
            </w:r>
            <w:r w:rsidRPr="005D59A7">
              <w:rPr>
                <w:rStyle w:val="Hyperlink"/>
                <w:rFonts w:ascii="T" w:hAnsi="T"/>
                <w:noProof/>
                <w:rtl/>
              </w:rPr>
              <w:fldChar w:fldCharType="end"/>
            </w:r>
          </w:hyperlink>
        </w:p>
        <w:p w14:paraId="7B91A141" w14:textId="1A50ED27" w:rsidR="0048002A" w:rsidRPr="005D59A7" w:rsidRDefault="0048002A">
          <w:pPr>
            <w:pStyle w:val="TOC2"/>
            <w:rPr>
              <w:rFonts w:ascii="T" w:eastAsiaTheme="minorEastAsia" w:hAnsi="T"/>
              <w:noProof/>
              <w:rtl/>
            </w:rPr>
          </w:pPr>
          <w:hyperlink w:anchor="_Toc225991371" w:history="1">
            <w:r w:rsidRPr="005D59A7">
              <w:rPr>
                <w:rStyle w:val="Hyperlink"/>
                <w:rFonts w:ascii="T" w:hAnsi="T" w:cs="Sakkal Majalla"/>
                <w:noProof/>
                <w:rtl/>
                <w:lang w:bidi="ar-EG"/>
              </w:rPr>
              <w:t>المحور الأول: دراسات الشراكات بين القطاعين العام والخاص</w:t>
            </w:r>
            <w:r w:rsidRPr="005D59A7">
              <w:rPr>
                <w:rStyle w:val="Hyperlink"/>
                <w:rFonts w:ascii="T" w:hAnsi="T" w:cs="Sakkal Majalla"/>
                <w:noProof/>
                <w:lang w:bidi="ar-EG"/>
              </w:rPr>
              <w:t xml:space="preserve"> (PPP)</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Toc225991371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122</w:t>
            </w:r>
            <w:r w:rsidRPr="005D59A7">
              <w:rPr>
                <w:rStyle w:val="Hyperlink"/>
                <w:rFonts w:ascii="T" w:hAnsi="T"/>
                <w:noProof/>
                <w:rtl/>
              </w:rPr>
              <w:fldChar w:fldCharType="end"/>
            </w:r>
          </w:hyperlink>
        </w:p>
        <w:p w14:paraId="1CE430A1" w14:textId="6FCFFF8A" w:rsidR="0048002A" w:rsidRPr="005D59A7" w:rsidRDefault="0048002A">
          <w:pPr>
            <w:pStyle w:val="TOC2"/>
            <w:rPr>
              <w:rFonts w:ascii="T" w:eastAsiaTheme="minorEastAsia" w:hAnsi="T"/>
              <w:noProof/>
              <w:rtl/>
            </w:rPr>
          </w:pPr>
          <w:hyperlink w:anchor="_Toc225991372" w:history="1">
            <w:r w:rsidRPr="005D59A7">
              <w:rPr>
                <w:rStyle w:val="Hyperlink"/>
                <w:rFonts w:ascii="T" w:hAnsi="T" w:cs="Sakkal Majalla"/>
                <w:noProof/>
                <w:rtl/>
              </w:rPr>
              <w:t>المحور الثاني: دراسات الحوكمة البيئية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Toc225991372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131</w:t>
            </w:r>
            <w:r w:rsidRPr="005D59A7">
              <w:rPr>
                <w:rStyle w:val="Hyperlink"/>
                <w:rFonts w:ascii="T" w:hAnsi="T"/>
                <w:noProof/>
                <w:rtl/>
              </w:rPr>
              <w:fldChar w:fldCharType="end"/>
            </w:r>
          </w:hyperlink>
        </w:p>
        <w:p w14:paraId="792A4742" w14:textId="0CFC0D30" w:rsidR="0048002A" w:rsidRPr="005D59A7" w:rsidRDefault="0048002A">
          <w:pPr>
            <w:pStyle w:val="TOC2"/>
            <w:rPr>
              <w:rFonts w:ascii="T" w:eastAsiaTheme="minorEastAsia" w:hAnsi="T"/>
              <w:noProof/>
              <w:rtl/>
            </w:rPr>
          </w:pPr>
          <w:hyperlink w:anchor="_Toc225991373" w:history="1">
            <w:r w:rsidRPr="005D59A7">
              <w:rPr>
                <w:rStyle w:val="Hyperlink"/>
                <w:rFonts w:ascii="T" w:hAnsi="T" w:cs="Sakkal Majalla"/>
                <w:noProof/>
                <w:rtl/>
              </w:rPr>
              <w:t>المحور الثالث: دراسات العلاقة بين الشراكات والحوكمة</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Toc225991373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145</w:t>
            </w:r>
            <w:r w:rsidRPr="005D59A7">
              <w:rPr>
                <w:rStyle w:val="Hyperlink"/>
                <w:rFonts w:ascii="T" w:hAnsi="T"/>
                <w:noProof/>
                <w:rtl/>
              </w:rPr>
              <w:fldChar w:fldCharType="end"/>
            </w:r>
          </w:hyperlink>
        </w:p>
        <w:p w14:paraId="65FCA6B6" w14:textId="6008C872" w:rsidR="0048002A" w:rsidRPr="005D59A7" w:rsidRDefault="0048002A">
          <w:pPr>
            <w:pStyle w:val="TOC2"/>
            <w:rPr>
              <w:rFonts w:ascii="T" w:eastAsiaTheme="minorEastAsia" w:hAnsi="T"/>
              <w:noProof/>
              <w:rtl/>
            </w:rPr>
          </w:pPr>
          <w:hyperlink w:anchor="_Toc225991374" w:history="1">
            <w:r w:rsidRPr="005D59A7">
              <w:rPr>
                <w:rStyle w:val="Hyperlink"/>
                <w:rFonts w:ascii="T" w:hAnsi="T" w:cs="Sakkal Majalla"/>
                <w:noProof/>
                <w:rtl/>
              </w:rPr>
              <w:t>المحور الرابع: دراسات العلاقة بين الحوكمة وإدارة الأداء</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Toc225991374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151</w:t>
            </w:r>
            <w:r w:rsidRPr="005D59A7">
              <w:rPr>
                <w:rStyle w:val="Hyperlink"/>
                <w:rFonts w:ascii="T" w:hAnsi="T"/>
                <w:noProof/>
                <w:rtl/>
              </w:rPr>
              <w:fldChar w:fldCharType="end"/>
            </w:r>
          </w:hyperlink>
        </w:p>
        <w:p w14:paraId="28947826" w14:textId="02BAF63E" w:rsidR="0048002A" w:rsidRPr="005D59A7" w:rsidRDefault="0048002A">
          <w:pPr>
            <w:pStyle w:val="TOC2"/>
            <w:rPr>
              <w:rFonts w:ascii="T" w:eastAsiaTheme="minorEastAsia" w:hAnsi="T"/>
              <w:noProof/>
              <w:rtl/>
            </w:rPr>
          </w:pPr>
          <w:hyperlink w:anchor="_Toc225991375" w:history="1">
            <w:r w:rsidRPr="005D59A7">
              <w:rPr>
                <w:rStyle w:val="Hyperlink"/>
                <w:rFonts w:ascii="T" w:hAnsi="T" w:cs="Sakkal Majalla"/>
                <w:noProof/>
                <w:rtl/>
              </w:rPr>
              <w:t>المحور الخامس: دراسات في السياق العربي والسعودي</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Toc225991375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157</w:t>
            </w:r>
            <w:r w:rsidRPr="005D59A7">
              <w:rPr>
                <w:rStyle w:val="Hyperlink"/>
                <w:rFonts w:ascii="T" w:hAnsi="T"/>
                <w:noProof/>
                <w:rtl/>
              </w:rPr>
              <w:fldChar w:fldCharType="end"/>
            </w:r>
          </w:hyperlink>
        </w:p>
        <w:p w14:paraId="62D21016" w14:textId="6E18874C" w:rsidR="0048002A" w:rsidRPr="005D59A7" w:rsidRDefault="0048002A">
          <w:pPr>
            <w:pStyle w:val="TOC1"/>
            <w:rPr>
              <w:rFonts w:ascii="T" w:eastAsiaTheme="minorEastAsia" w:hAnsi="T"/>
              <w:noProof/>
              <w:rtl/>
            </w:rPr>
          </w:pPr>
          <w:hyperlink w:anchor="_Toc225991376" w:history="1">
            <w:r w:rsidRPr="005D59A7">
              <w:rPr>
                <w:rStyle w:val="Hyperlink"/>
                <w:rFonts w:ascii="T" w:eastAsia="Calibri" w:hAnsi="T" w:cs="Sakkal Majalla"/>
                <w:noProof/>
                <w:rtl/>
                <w:lang w:bidi="ar-EG"/>
              </w:rPr>
              <w:t>قائمة المراجع</w:t>
            </w:r>
            <w:r w:rsidRPr="005D59A7">
              <w:rPr>
                <w:rFonts w:ascii="T" w:hAnsi="T"/>
                <w:noProof/>
                <w:webHidden/>
                <w:rtl/>
              </w:rPr>
              <w:tab/>
            </w:r>
            <w:r w:rsidRPr="005D59A7">
              <w:rPr>
                <w:rStyle w:val="Hyperlink"/>
                <w:rFonts w:ascii="T" w:hAnsi="T"/>
                <w:noProof/>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Toc225991376 \h</w:instrText>
            </w:r>
            <w:r w:rsidRPr="005D59A7">
              <w:rPr>
                <w:rFonts w:ascii="T" w:hAnsi="T"/>
                <w:noProof/>
                <w:webHidden/>
                <w:rtl/>
              </w:rPr>
              <w:instrText xml:space="preserve"> </w:instrText>
            </w:r>
            <w:r w:rsidRPr="005D59A7">
              <w:rPr>
                <w:rStyle w:val="Hyperlink"/>
                <w:rFonts w:ascii="T" w:hAnsi="T"/>
                <w:noProof/>
                <w:rtl/>
              </w:rPr>
            </w:r>
            <w:r w:rsidRPr="005D59A7">
              <w:rPr>
                <w:rStyle w:val="Hyperlink"/>
                <w:rFonts w:ascii="T" w:hAnsi="T"/>
                <w:noProof/>
                <w:rtl/>
              </w:rPr>
              <w:fldChar w:fldCharType="separate"/>
            </w:r>
            <w:r w:rsidR="00C14A6F" w:rsidRPr="005D59A7">
              <w:rPr>
                <w:rFonts w:ascii="T" w:hAnsi="T"/>
                <w:noProof/>
                <w:webHidden/>
                <w:rtl/>
              </w:rPr>
              <w:t>171</w:t>
            </w:r>
            <w:r w:rsidRPr="005D59A7">
              <w:rPr>
                <w:rStyle w:val="Hyperlink"/>
                <w:rFonts w:ascii="T" w:hAnsi="T"/>
                <w:noProof/>
                <w:rtl/>
              </w:rPr>
              <w:fldChar w:fldCharType="end"/>
            </w:r>
          </w:hyperlink>
        </w:p>
        <w:p w14:paraId="1AAD350B" w14:textId="2FC0045E" w:rsidR="00AB7439" w:rsidRPr="005D59A7" w:rsidRDefault="00FD30BF" w:rsidP="002F608A">
          <w:pPr>
            <w:rPr>
              <w:rFonts w:ascii="T" w:hAnsi="T" w:cstheme="majorBidi"/>
            </w:rPr>
          </w:pPr>
          <w:r w:rsidRPr="005D59A7">
            <w:rPr>
              <w:rFonts w:ascii="T" w:hAnsi="T" w:cstheme="majorBidi"/>
            </w:rPr>
            <w:fldChar w:fldCharType="end"/>
          </w:r>
        </w:p>
      </w:sdtContent>
    </w:sdt>
    <w:p w14:paraId="6845707E" w14:textId="77777777" w:rsidR="00E25EBC" w:rsidRPr="005D59A7" w:rsidRDefault="00E25EBC" w:rsidP="00E25EBC">
      <w:pPr>
        <w:rPr>
          <w:rFonts w:ascii="T" w:hAnsi="T"/>
          <w:rtl/>
        </w:rPr>
      </w:pPr>
    </w:p>
    <w:p w14:paraId="516549E3" w14:textId="77777777" w:rsidR="00E25EBC" w:rsidRPr="005D59A7" w:rsidRDefault="00E25EBC" w:rsidP="00E25EBC">
      <w:pPr>
        <w:rPr>
          <w:rFonts w:ascii="T" w:hAnsi="T"/>
          <w:rtl/>
        </w:rPr>
      </w:pPr>
    </w:p>
    <w:p w14:paraId="01D8AD95" w14:textId="489B1A82" w:rsidR="00E234C5" w:rsidRPr="005D59A7" w:rsidRDefault="00CB09E2" w:rsidP="00E25EBC">
      <w:pPr>
        <w:pStyle w:val="Heading1"/>
        <w:bidi/>
        <w:rPr>
          <w:rFonts w:ascii="T" w:hAnsi="T"/>
          <w:color w:val="auto"/>
          <w:sz w:val="28"/>
          <w:szCs w:val="28"/>
          <w:rtl/>
          <w:lang w:bidi="ar-EG"/>
        </w:rPr>
      </w:pPr>
      <w:bookmarkStart w:id="1" w:name="_Toc225991319"/>
      <w:r w:rsidRPr="005D59A7">
        <w:rPr>
          <w:rFonts w:ascii="T" w:hAnsi="T"/>
          <w:color w:val="auto"/>
          <w:sz w:val="28"/>
          <w:szCs w:val="28"/>
          <w:rtl/>
        </w:rPr>
        <w:lastRenderedPageBreak/>
        <w:t>قائمة الجداول</w:t>
      </w:r>
      <w:bookmarkEnd w:id="1"/>
    </w:p>
    <w:p w14:paraId="4A23FE2D" w14:textId="41468E78" w:rsidR="006A6532" w:rsidRPr="005D59A7" w:rsidRDefault="00FD30BF">
      <w:pPr>
        <w:pStyle w:val="TableofFigures"/>
        <w:tabs>
          <w:tab w:val="right" w:leader="dot" w:pos="8296"/>
        </w:tabs>
        <w:bidi/>
        <w:rPr>
          <w:rFonts w:ascii="T" w:eastAsiaTheme="minorEastAsia" w:hAnsi="T"/>
          <w:noProof/>
          <w:rtl/>
        </w:rPr>
      </w:pPr>
      <w:r w:rsidRPr="005D59A7">
        <w:rPr>
          <w:rFonts w:ascii="T" w:hAnsi="T"/>
          <w:rtl/>
        </w:rPr>
        <w:fldChar w:fldCharType="begin"/>
      </w:r>
      <w:r w:rsidR="00920785" w:rsidRPr="005D59A7">
        <w:rPr>
          <w:rFonts w:ascii="T" w:hAnsi="T"/>
          <w:rtl/>
        </w:rPr>
        <w:instrText xml:space="preserve"> </w:instrText>
      </w:r>
      <w:r w:rsidR="00920785" w:rsidRPr="005D59A7">
        <w:rPr>
          <w:rFonts w:ascii="T" w:hAnsi="T"/>
        </w:rPr>
        <w:instrText>TOC</w:instrText>
      </w:r>
      <w:r w:rsidR="00920785" w:rsidRPr="005D59A7">
        <w:rPr>
          <w:rFonts w:ascii="T" w:hAnsi="T"/>
          <w:rtl/>
        </w:rPr>
        <w:instrText xml:space="preserve"> \</w:instrText>
      </w:r>
      <w:r w:rsidR="00920785" w:rsidRPr="005D59A7">
        <w:rPr>
          <w:rFonts w:ascii="T" w:hAnsi="T"/>
        </w:rPr>
        <w:instrText>h \z \c "Table</w:instrText>
      </w:r>
      <w:r w:rsidR="00920785" w:rsidRPr="005D59A7">
        <w:rPr>
          <w:rFonts w:ascii="T" w:hAnsi="T"/>
          <w:rtl/>
        </w:rPr>
        <w:instrText xml:space="preserve">" </w:instrText>
      </w:r>
      <w:r w:rsidRPr="005D59A7">
        <w:rPr>
          <w:rFonts w:ascii="T" w:hAnsi="T"/>
          <w:rtl/>
        </w:rPr>
        <w:fldChar w:fldCharType="separate"/>
      </w:r>
      <w:hyperlink w:anchor="_Toc225991173" w:history="1">
        <w:r w:rsidR="006A6532" w:rsidRPr="005D59A7">
          <w:rPr>
            <w:rStyle w:val="Hyperlink"/>
            <w:rFonts w:ascii="T" w:hAnsi="T" w:cs="Sakkal Majalla"/>
            <w:noProof/>
            <w:color w:val="auto"/>
          </w:rPr>
          <w:t>Table</w:t>
        </w:r>
        <w:r w:rsidR="006A6532" w:rsidRPr="005D59A7">
          <w:rPr>
            <w:rStyle w:val="Hyperlink"/>
            <w:rFonts w:ascii="T" w:hAnsi="T" w:cs="Sakkal Majalla"/>
            <w:noProof/>
            <w:color w:val="auto"/>
            <w:rtl/>
          </w:rPr>
          <w:t xml:space="preserve"> 2: المصطلحات التطبيقية</w:t>
        </w:r>
        <w:r w:rsidR="006A6532" w:rsidRPr="005D59A7">
          <w:rPr>
            <w:rFonts w:ascii="T" w:hAnsi="T"/>
            <w:noProof/>
            <w:webHidden/>
            <w:rtl/>
          </w:rPr>
          <w:tab/>
        </w:r>
        <w:r w:rsidR="006A6532" w:rsidRPr="005D59A7">
          <w:rPr>
            <w:rStyle w:val="Hyperlink"/>
            <w:rFonts w:ascii="T" w:hAnsi="T"/>
            <w:noProof/>
            <w:color w:val="auto"/>
            <w:rtl/>
          </w:rPr>
          <w:fldChar w:fldCharType="begin"/>
        </w:r>
        <w:r w:rsidR="006A6532" w:rsidRPr="005D59A7">
          <w:rPr>
            <w:rFonts w:ascii="T" w:hAnsi="T"/>
            <w:noProof/>
            <w:webHidden/>
            <w:rtl/>
          </w:rPr>
          <w:instrText xml:space="preserve"> </w:instrText>
        </w:r>
        <w:r w:rsidR="006A6532" w:rsidRPr="005D59A7">
          <w:rPr>
            <w:rFonts w:ascii="T" w:hAnsi="T"/>
            <w:noProof/>
            <w:webHidden/>
          </w:rPr>
          <w:instrText>PAGEREF</w:instrText>
        </w:r>
        <w:r w:rsidR="006A6532" w:rsidRPr="005D59A7">
          <w:rPr>
            <w:rFonts w:ascii="T" w:hAnsi="T"/>
            <w:noProof/>
            <w:webHidden/>
            <w:rtl/>
          </w:rPr>
          <w:instrText xml:space="preserve"> _</w:instrText>
        </w:r>
        <w:r w:rsidR="006A6532" w:rsidRPr="005D59A7">
          <w:rPr>
            <w:rFonts w:ascii="T" w:hAnsi="T"/>
            <w:noProof/>
            <w:webHidden/>
          </w:rPr>
          <w:instrText>Toc225991173 \h</w:instrText>
        </w:r>
        <w:r w:rsidR="006A6532" w:rsidRPr="005D59A7">
          <w:rPr>
            <w:rFonts w:ascii="T" w:hAnsi="T"/>
            <w:noProof/>
            <w:webHidden/>
            <w:rtl/>
          </w:rPr>
          <w:instrText xml:space="preserve"> </w:instrText>
        </w:r>
        <w:r w:rsidR="006A6532" w:rsidRPr="005D59A7">
          <w:rPr>
            <w:rStyle w:val="Hyperlink"/>
            <w:rFonts w:ascii="T" w:hAnsi="T"/>
            <w:noProof/>
            <w:color w:val="auto"/>
            <w:rtl/>
          </w:rPr>
        </w:r>
        <w:r w:rsidR="006A6532" w:rsidRPr="005D59A7">
          <w:rPr>
            <w:rStyle w:val="Hyperlink"/>
            <w:rFonts w:ascii="T" w:hAnsi="T"/>
            <w:noProof/>
            <w:color w:val="auto"/>
            <w:rtl/>
          </w:rPr>
          <w:fldChar w:fldCharType="separate"/>
        </w:r>
        <w:r w:rsidR="00C14A6F" w:rsidRPr="005D59A7">
          <w:rPr>
            <w:rFonts w:ascii="T" w:hAnsi="T"/>
            <w:noProof/>
            <w:webHidden/>
            <w:rtl/>
          </w:rPr>
          <w:t>41</w:t>
        </w:r>
        <w:r w:rsidR="006A6532" w:rsidRPr="005D59A7">
          <w:rPr>
            <w:rStyle w:val="Hyperlink"/>
            <w:rFonts w:ascii="T" w:hAnsi="T"/>
            <w:noProof/>
            <w:color w:val="auto"/>
            <w:rtl/>
          </w:rPr>
          <w:fldChar w:fldCharType="end"/>
        </w:r>
      </w:hyperlink>
    </w:p>
    <w:p w14:paraId="61DAD20C" w14:textId="52836EFC" w:rsidR="006A6532" w:rsidRPr="005D59A7" w:rsidRDefault="006A6532">
      <w:pPr>
        <w:pStyle w:val="TableofFigures"/>
        <w:tabs>
          <w:tab w:val="right" w:leader="dot" w:pos="8296"/>
        </w:tabs>
        <w:bidi/>
        <w:rPr>
          <w:rFonts w:ascii="T" w:eastAsiaTheme="minorEastAsia" w:hAnsi="T"/>
          <w:noProof/>
          <w:rtl/>
        </w:rPr>
      </w:pPr>
      <w:hyperlink w:anchor="_Toc225991174" w:history="1">
        <w:r w:rsidRPr="005D59A7">
          <w:rPr>
            <w:rStyle w:val="Hyperlink"/>
            <w:rFonts w:ascii="T" w:hAnsi="T" w:cs="Sakkal Majalla"/>
            <w:noProof/>
            <w:color w:val="auto"/>
          </w:rPr>
          <w:t>Table 3</w:t>
        </w:r>
        <w:r w:rsidRPr="005D59A7">
          <w:rPr>
            <w:rStyle w:val="Hyperlink"/>
            <w:rFonts w:ascii="T" w:hAnsi="T" w:cs="Sakkal Majalla"/>
            <w:noProof/>
            <w:color w:val="auto"/>
            <w:rtl/>
          </w:rPr>
          <w:t>: الدراسات المرجعية المختارة</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Toc225991174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C14A6F" w:rsidRPr="005D59A7">
          <w:rPr>
            <w:rFonts w:ascii="T" w:hAnsi="T"/>
            <w:noProof/>
            <w:webHidden/>
            <w:rtl/>
          </w:rPr>
          <w:t>43</w:t>
        </w:r>
        <w:r w:rsidRPr="005D59A7">
          <w:rPr>
            <w:rStyle w:val="Hyperlink"/>
            <w:rFonts w:ascii="T" w:hAnsi="T"/>
            <w:noProof/>
            <w:color w:val="auto"/>
            <w:rtl/>
          </w:rPr>
          <w:fldChar w:fldCharType="end"/>
        </w:r>
      </w:hyperlink>
    </w:p>
    <w:p w14:paraId="22B8FE10" w14:textId="66FCC30D" w:rsidR="006A6532" w:rsidRPr="005D59A7" w:rsidRDefault="006A6532">
      <w:pPr>
        <w:pStyle w:val="TableofFigures"/>
        <w:tabs>
          <w:tab w:val="right" w:leader="dot" w:pos="8296"/>
        </w:tabs>
        <w:bidi/>
        <w:rPr>
          <w:rFonts w:ascii="T" w:eastAsiaTheme="minorEastAsia" w:hAnsi="T"/>
          <w:noProof/>
          <w:rtl/>
        </w:rPr>
      </w:pPr>
      <w:hyperlink w:anchor="_Toc225991175" w:history="1">
        <w:r w:rsidRPr="005D59A7">
          <w:rPr>
            <w:rStyle w:val="Hyperlink"/>
            <w:rFonts w:ascii="T" w:hAnsi="T" w:cs="Sakkal Majalla"/>
            <w:noProof/>
            <w:color w:val="auto"/>
          </w:rPr>
          <w:t>Table</w:t>
        </w:r>
        <w:r w:rsidRPr="005D59A7">
          <w:rPr>
            <w:rStyle w:val="Hyperlink"/>
            <w:rFonts w:ascii="T" w:hAnsi="T" w:cs="Sakkal Majalla"/>
            <w:noProof/>
            <w:color w:val="auto"/>
            <w:rtl/>
          </w:rPr>
          <w:t xml:space="preserve"> 4: الجهات التابعة لوزارة البيئة والمياه والزراعة</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Toc225991175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C14A6F" w:rsidRPr="005D59A7">
          <w:rPr>
            <w:rFonts w:ascii="T" w:hAnsi="T"/>
            <w:noProof/>
            <w:webHidden/>
            <w:rtl/>
          </w:rPr>
          <w:t>101</w:t>
        </w:r>
        <w:r w:rsidRPr="005D59A7">
          <w:rPr>
            <w:rStyle w:val="Hyperlink"/>
            <w:rFonts w:ascii="T" w:hAnsi="T"/>
            <w:noProof/>
            <w:color w:val="auto"/>
            <w:rtl/>
          </w:rPr>
          <w:fldChar w:fldCharType="end"/>
        </w:r>
      </w:hyperlink>
    </w:p>
    <w:p w14:paraId="2DF76E46" w14:textId="1BBD08DE" w:rsidR="006A6532" w:rsidRPr="005D59A7" w:rsidRDefault="006A6532">
      <w:pPr>
        <w:pStyle w:val="TableofFigures"/>
        <w:tabs>
          <w:tab w:val="right" w:leader="dot" w:pos="8296"/>
        </w:tabs>
        <w:bidi/>
        <w:rPr>
          <w:rFonts w:ascii="T" w:eastAsiaTheme="minorEastAsia" w:hAnsi="T"/>
          <w:noProof/>
          <w:rtl/>
        </w:rPr>
      </w:pPr>
      <w:hyperlink w:anchor="_Toc225991176" w:history="1">
        <w:r w:rsidRPr="005D59A7">
          <w:rPr>
            <w:rStyle w:val="Hyperlink"/>
            <w:rFonts w:ascii="T" w:hAnsi="T" w:cs="Sakkal Majalla"/>
            <w:noProof/>
            <w:color w:val="auto"/>
          </w:rPr>
          <w:t>Table</w:t>
        </w:r>
        <w:r w:rsidRPr="005D59A7">
          <w:rPr>
            <w:rStyle w:val="Hyperlink"/>
            <w:rFonts w:ascii="T" w:hAnsi="T" w:cs="Sakkal Majalla"/>
            <w:noProof/>
            <w:color w:val="auto"/>
            <w:rtl/>
          </w:rPr>
          <w:t xml:space="preserve"> 5: الجهات البيئية بالمملكة العربية السعودية</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Toc225991176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C14A6F" w:rsidRPr="005D59A7">
          <w:rPr>
            <w:rFonts w:ascii="T" w:hAnsi="T"/>
            <w:noProof/>
            <w:webHidden/>
            <w:rtl/>
          </w:rPr>
          <w:t>107</w:t>
        </w:r>
        <w:r w:rsidRPr="005D59A7">
          <w:rPr>
            <w:rStyle w:val="Hyperlink"/>
            <w:rFonts w:ascii="T" w:hAnsi="T"/>
            <w:noProof/>
            <w:color w:val="auto"/>
            <w:rtl/>
          </w:rPr>
          <w:fldChar w:fldCharType="end"/>
        </w:r>
      </w:hyperlink>
    </w:p>
    <w:p w14:paraId="084E51B1" w14:textId="1FEA2F21" w:rsidR="006A6532" w:rsidRPr="005D59A7" w:rsidRDefault="006A6532">
      <w:pPr>
        <w:pStyle w:val="TableofFigures"/>
        <w:tabs>
          <w:tab w:val="right" w:leader="dot" w:pos="8296"/>
        </w:tabs>
        <w:bidi/>
        <w:rPr>
          <w:rFonts w:ascii="T" w:eastAsiaTheme="minorEastAsia" w:hAnsi="T"/>
          <w:noProof/>
          <w:rtl/>
        </w:rPr>
      </w:pPr>
      <w:hyperlink w:anchor="_Toc225991177" w:history="1">
        <w:r w:rsidRPr="005D59A7">
          <w:rPr>
            <w:rStyle w:val="Hyperlink"/>
            <w:rFonts w:ascii="T" w:hAnsi="T" w:cs="Sakkal Majalla"/>
            <w:noProof/>
            <w:color w:val="auto"/>
          </w:rPr>
          <w:t>Table</w:t>
        </w:r>
        <w:r w:rsidRPr="005D59A7">
          <w:rPr>
            <w:rStyle w:val="Hyperlink"/>
            <w:rFonts w:ascii="T" w:hAnsi="T" w:cs="Sakkal Majalla"/>
            <w:noProof/>
            <w:color w:val="auto"/>
            <w:rtl/>
          </w:rPr>
          <w:t xml:space="preserve"> 5: تحليل القدرات المختلفة في قطاع البيئة والدروس المستفادة من أفضل الممارسات (الإستراتيجية الوطنية للبيئة)</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Toc225991177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C14A6F" w:rsidRPr="005D59A7">
          <w:rPr>
            <w:rFonts w:ascii="T" w:hAnsi="T"/>
            <w:noProof/>
            <w:webHidden/>
            <w:rtl/>
          </w:rPr>
          <w:t>120</w:t>
        </w:r>
        <w:r w:rsidRPr="005D59A7">
          <w:rPr>
            <w:rStyle w:val="Hyperlink"/>
            <w:rFonts w:ascii="T" w:hAnsi="T"/>
            <w:noProof/>
            <w:color w:val="auto"/>
            <w:rtl/>
          </w:rPr>
          <w:fldChar w:fldCharType="end"/>
        </w:r>
      </w:hyperlink>
    </w:p>
    <w:p w14:paraId="3E9E65C4" w14:textId="7B28740E" w:rsidR="00714B91" w:rsidRPr="005D59A7" w:rsidRDefault="00FD30BF" w:rsidP="00AA4673">
      <w:pPr>
        <w:bidi/>
        <w:rPr>
          <w:rFonts w:ascii="T" w:hAnsi="T"/>
        </w:rPr>
      </w:pPr>
      <w:r w:rsidRPr="005D59A7">
        <w:rPr>
          <w:rFonts w:ascii="T" w:hAnsi="T"/>
          <w:rtl/>
        </w:rPr>
        <w:fldChar w:fldCharType="end"/>
      </w:r>
    </w:p>
    <w:p w14:paraId="439E7B93" w14:textId="77777777" w:rsidR="00E25EBC" w:rsidRPr="005D59A7" w:rsidRDefault="00E25EBC" w:rsidP="00E25EBC">
      <w:pPr>
        <w:bidi/>
        <w:rPr>
          <w:rFonts w:ascii="T" w:hAnsi="T"/>
          <w:rtl/>
        </w:rPr>
      </w:pPr>
    </w:p>
    <w:p w14:paraId="3C2F3D60" w14:textId="77777777" w:rsidR="00CB09E2" w:rsidRPr="005D59A7" w:rsidRDefault="00CB09E2" w:rsidP="00E234C5">
      <w:pPr>
        <w:pStyle w:val="Heading1"/>
        <w:bidi/>
        <w:rPr>
          <w:rFonts w:ascii="T" w:hAnsi="T"/>
          <w:color w:val="auto"/>
          <w:sz w:val="28"/>
          <w:szCs w:val="28"/>
        </w:rPr>
      </w:pPr>
      <w:bookmarkStart w:id="2" w:name="_Toc225991320"/>
      <w:r w:rsidRPr="005D59A7">
        <w:rPr>
          <w:rFonts w:ascii="T" w:hAnsi="T"/>
          <w:color w:val="auto"/>
          <w:sz w:val="28"/>
          <w:szCs w:val="28"/>
          <w:rtl/>
        </w:rPr>
        <w:t>قائمة الرسوم التوضيحية</w:t>
      </w:r>
      <w:bookmarkEnd w:id="2"/>
    </w:p>
    <w:p w14:paraId="7D18DF44" w14:textId="1743749E" w:rsidR="006A6532" w:rsidRPr="005D59A7" w:rsidRDefault="00FD30BF">
      <w:pPr>
        <w:pStyle w:val="TableofFigures"/>
        <w:tabs>
          <w:tab w:val="right" w:leader="dot" w:pos="8296"/>
        </w:tabs>
        <w:bidi/>
        <w:rPr>
          <w:rFonts w:ascii="T" w:eastAsiaTheme="minorEastAsia" w:hAnsi="T"/>
          <w:noProof/>
          <w:rtl/>
        </w:rPr>
      </w:pPr>
      <w:r w:rsidRPr="005D59A7">
        <w:rPr>
          <w:rFonts w:ascii="T" w:hAnsi="T" w:cstheme="majorBidi"/>
          <w:rtl/>
        </w:rPr>
        <w:fldChar w:fldCharType="begin"/>
      </w:r>
      <w:r w:rsidR="00920785" w:rsidRPr="005D59A7">
        <w:rPr>
          <w:rFonts w:ascii="T" w:hAnsi="T" w:cstheme="majorBidi"/>
          <w:rtl/>
        </w:rPr>
        <w:instrText xml:space="preserve"> </w:instrText>
      </w:r>
      <w:r w:rsidR="00920785" w:rsidRPr="005D59A7">
        <w:rPr>
          <w:rFonts w:ascii="T" w:hAnsi="T" w:cstheme="majorBidi"/>
        </w:rPr>
        <w:instrText>TOC</w:instrText>
      </w:r>
      <w:r w:rsidR="00920785" w:rsidRPr="005D59A7">
        <w:rPr>
          <w:rFonts w:ascii="T" w:hAnsi="T" w:cstheme="majorBidi"/>
          <w:rtl/>
        </w:rPr>
        <w:instrText xml:space="preserve"> \</w:instrText>
      </w:r>
      <w:r w:rsidR="00920785" w:rsidRPr="005D59A7">
        <w:rPr>
          <w:rFonts w:ascii="T" w:hAnsi="T" w:cstheme="majorBidi"/>
        </w:rPr>
        <w:instrText>h \z \c "Figure</w:instrText>
      </w:r>
      <w:r w:rsidR="00920785" w:rsidRPr="005D59A7">
        <w:rPr>
          <w:rFonts w:ascii="T" w:hAnsi="T" w:cstheme="majorBidi"/>
          <w:rtl/>
        </w:rPr>
        <w:instrText xml:space="preserve">" </w:instrText>
      </w:r>
      <w:r w:rsidRPr="005D59A7">
        <w:rPr>
          <w:rFonts w:ascii="T" w:hAnsi="T" w:cstheme="majorBidi"/>
          <w:rtl/>
        </w:rPr>
        <w:fldChar w:fldCharType="separate"/>
      </w:r>
      <w:hyperlink w:anchor="_Toc225991165" w:history="1">
        <w:r w:rsidR="006A6532" w:rsidRPr="005D59A7">
          <w:rPr>
            <w:rStyle w:val="Hyperlink"/>
            <w:rFonts w:ascii="T" w:hAnsi="T" w:cs="Sakkal Majalla"/>
            <w:noProof/>
            <w:color w:val="auto"/>
          </w:rPr>
          <w:t>Figure</w:t>
        </w:r>
        <w:r w:rsidR="006A6532" w:rsidRPr="005D59A7">
          <w:rPr>
            <w:rStyle w:val="Hyperlink"/>
            <w:rFonts w:ascii="T" w:hAnsi="T" w:cs="Sakkal Majalla"/>
            <w:noProof/>
            <w:color w:val="auto"/>
            <w:rtl/>
          </w:rPr>
          <w:t xml:space="preserve"> 1: الإطار الهيكلي لنموذج الدراسة</w:t>
        </w:r>
        <w:r w:rsidR="006A6532" w:rsidRPr="005D59A7">
          <w:rPr>
            <w:rFonts w:ascii="T" w:hAnsi="T"/>
            <w:noProof/>
            <w:webHidden/>
            <w:rtl/>
          </w:rPr>
          <w:tab/>
        </w:r>
        <w:r w:rsidR="006A6532" w:rsidRPr="005D59A7">
          <w:rPr>
            <w:rStyle w:val="Hyperlink"/>
            <w:rFonts w:ascii="T" w:hAnsi="T"/>
            <w:noProof/>
            <w:color w:val="auto"/>
            <w:rtl/>
          </w:rPr>
          <w:fldChar w:fldCharType="begin"/>
        </w:r>
        <w:r w:rsidR="006A6532" w:rsidRPr="005D59A7">
          <w:rPr>
            <w:rFonts w:ascii="T" w:hAnsi="T"/>
            <w:noProof/>
            <w:webHidden/>
            <w:rtl/>
          </w:rPr>
          <w:instrText xml:space="preserve"> </w:instrText>
        </w:r>
        <w:r w:rsidR="006A6532" w:rsidRPr="005D59A7">
          <w:rPr>
            <w:rFonts w:ascii="T" w:hAnsi="T"/>
            <w:noProof/>
            <w:webHidden/>
          </w:rPr>
          <w:instrText>PAGEREF</w:instrText>
        </w:r>
        <w:r w:rsidR="006A6532" w:rsidRPr="005D59A7">
          <w:rPr>
            <w:rFonts w:ascii="T" w:hAnsi="T"/>
            <w:noProof/>
            <w:webHidden/>
            <w:rtl/>
          </w:rPr>
          <w:instrText xml:space="preserve"> _</w:instrText>
        </w:r>
        <w:r w:rsidR="006A6532" w:rsidRPr="005D59A7">
          <w:rPr>
            <w:rFonts w:ascii="T" w:hAnsi="T"/>
            <w:noProof/>
            <w:webHidden/>
          </w:rPr>
          <w:instrText>Toc225991165 \h</w:instrText>
        </w:r>
        <w:r w:rsidR="006A6532" w:rsidRPr="005D59A7">
          <w:rPr>
            <w:rFonts w:ascii="T" w:hAnsi="T"/>
            <w:noProof/>
            <w:webHidden/>
            <w:rtl/>
          </w:rPr>
          <w:instrText xml:space="preserve"> </w:instrText>
        </w:r>
        <w:r w:rsidR="006A6532" w:rsidRPr="005D59A7">
          <w:rPr>
            <w:rStyle w:val="Hyperlink"/>
            <w:rFonts w:ascii="T" w:hAnsi="T"/>
            <w:noProof/>
            <w:color w:val="auto"/>
            <w:rtl/>
          </w:rPr>
        </w:r>
        <w:r w:rsidR="006A6532" w:rsidRPr="005D59A7">
          <w:rPr>
            <w:rStyle w:val="Hyperlink"/>
            <w:rFonts w:ascii="T" w:hAnsi="T"/>
            <w:noProof/>
            <w:color w:val="auto"/>
            <w:rtl/>
          </w:rPr>
          <w:fldChar w:fldCharType="separate"/>
        </w:r>
        <w:r w:rsidR="00C14A6F" w:rsidRPr="005D59A7">
          <w:rPr>
            <w:rFonts w:ascii="T" w:hAnsi="T"/>
            <w:noProof/>
            <w:webHidden/>
            <w:rtl/>
          </w:rPr>
          <w:t>53</w:t>
        </w:r>
        <w:r w:rsidR="006A6532" w:rsidRPr="005D59A7">
          <w:rPr>
            <w:rStyle w:val="Hyperlink"/>
            <w:rFonts w:ascii="T" w:hAnsi="T"/>
            <w:noProof/>
            <w:color w:val="auto"/>
            <w:rtl/>
          </w:rPr>
          <w:fldChar w:fldCharType="end"/>
        </w:r>
      </w:hyperlink>
    </w:p>
    <w:p w14:paraId="3E3A30E9" w14:textId="79762019" w:rsidR="006A6532" w:rsidRPr="005D59A7" w:rsidRDefault="006A6532">
      <w:pPr>
        <w:pStyle w:val="TableofFigures"/>
        <w:tabs>
          <w:tab w:val="right" w:leader="dot" w:pos="8296"/>
        </w:tabs>
        <w:bidi/>
        <w:rPr>
          <w:rFonts w:ascii="T" w:eastAsiaTheme="minorEastAsia" w:hAnsi="T"/>
          <w:noProof/>
          <w:rtl/>
        </w:rPr>
      </w:pPr>
      <w:hyperlink w:anchor="_Toc225991166"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2: أهداف التنمية المستدامة </w:t>
        </w:r>
        <w:r w:rsidRPr="005D59A7">
          <w:rPr>
            <w:rStyle w:val="Hyperlink"/>
            <w:rFonts w:ascii="T" w:hAnsi="T" w:cs="Sakkal Majalla"/>
            <w:noProof/>
            <w:color w:val="auto"/>
          </w:rPr>
          <w:t>UNDP Egypt</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Toc225991166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C14A6F" w:rsidRPr="005D59A7">
          <w:rPr>
            <w:rFonts w:ascii="T" w:hAnsi="T"/>
            <w:noProof/>
            <w:webHidden/>
            <w:rtl/>
          </w:rPr>
          <w:t>86</w:t>
        </w:r>
        <w:r w:rsidRPr="005D59A7">
          <w:rPr>
            <w:rStyle w:val="Hyperlink"/>
            <w:rFonts w:ascii="T" w:hAnsi="T"/>
            <w:noProof/>
            <w:color w:val="auto"/>
            <w:rtl/>
          </w:rPr>
          <w:fldChar w:fldCharType="end"/>
        </w:r>
      </w:hyperlink>
    </w:p>
    <w:p w14:paraId="59732233" w14:textId="5D11E5DB" w:rsidR="006A6532" w:rsidRPr="005D59A7" w:rsidRDefault="006A6532">
      <w:pPr>
        <w:pStyle w:val="TableofFigures"/>
        <w:tabs>
          <w:tab w:val="right" w:leader="dot" w:pos="8296"/>
        </w:tabs>
        <w:bidi/>
        <w:rPr>
          <w:rFonts w:ascii="T" w:eastAsiaTheme="minorEastAsia" w:hAnsi="T"/>
          <w:noProof/>
          <w:rtl/>
        </w:rPr>
      </w:pPr>
      <w:hyperlink w:anchor="_Toc225991167"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6: الرؤية والرسالة (وزارة البيئة والمياه والزراعة، 2026)</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Toc225991167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C14A6F" w:rsidRPr="005D59A7">
          <w:rPr>
            <w:rFonts w:ascii="T" w:hAnsi="T"/>
            <w:noProof/>
            <w:webHidden/>
            <w:rtl/>
          </w:rPr>
          <w:t>97</w:t>
        </w:r>
        <w:r w:rsidRPr="005D59A7">
          <w:rPr>
            <w:rStyle w:val="Hyperlink"/>
            <w:rFonts w:ascii="T" w:hAnsi="T"/>
            <w:noProof/>
            <w:color w:val="auto"/>
            <w:rtl/>
          </w:rPr>
          <w:fldChar w:fldCharType="end"/>
        </w:r>
      </w:hyperlink>
    </w:p>
    <w:p w14:paraId="30F3EA47" w14:textId="679496D1" w:rsidR="006A6532" w:rsidRPr="005D59A7" w:rsidRDefault="006A6532">
      <w:pPr>
        <w:pStyle w:val="TableofFigures"/>
        <w:tabs>
          <w:tab w:val="right" w:leader="dot" w:pos="8296"/>
        </w:tabs>
        <w:bidi/>
        <w:rPr>
          <w:rFonts w:ascii="T" w:eastAsiaTheme="minorEastAsia" w:hAnsi="T"/>
          <w:noProof/>
          <w:rtl/>
        </w:rPr>
      </w:pPr>
      <w:hyperlink w:anchor="_Toc225991168"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7: أهداف الوزارة (وزارة البيئة والمياه والزراعة، 2026)</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Toc225991168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C14A6F" w:rsidRPr="005D59A7">
          <w:rPr>
            <w:rFonts w:ascii="T" w:hAnsi="T"/>
            <w:noProof/>
            <w:webHidden/>
            <w:rtl/>
          </w:rPr>
          <w:t>98</w:t>
        </w:r>
        <w:r w:rsidRPr="005D59A7">
          <w:rPr>
            <w:rStyle w:val="Hyperlink"/>
            <w:rFonts w:ascii="T" w:hAnsi="T"/>
            <w:noProof/>
            <w:color w:val="auto"/>
            <w:rtl/>
          </w:rPr>
          <w:fldChar w:fldCharType="end"/>
        </w:r>
      </w:hyperlink>
    </w:p>
    <w:p w14:paraId="186F60EA" w14:textId="7D74C287" w:rsidR="006A6532" w:rsidRPr="005D59A7" w:rsidRDefault="006A6532">
      <w:pPr>
        <w:pStyle w:val="TableofFigures"/>
        <w:tabs>
          <w:tab w:val="right" w:leader="dot" w:pos="8296"/>
        </w:tabs>
        <w:bidi/>
        <w:rPr>
          <w:rFonts w:ascii="T" w:eastAsiaTheme="minorEastAsia" w:hAnsi="T"/>
          <w:noProof/>
          <w:rtl/>
        </w:rPr>
      </w:pPr>
      <w:hyperlink w:anchor="_Toc225991169"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8: النمو السكاني خلال الثلاثين عاماً الماضية (بالملايين)</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Toc225991169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C14A6F" w:rsidRPr="005D59A7">
          <w:rPr>
            <w:rFonts w:ascii="T" w:hAnsi="T"/>
            <w:noProof/>
            <w:webHidden/>
            <w:rtl/>
          </w:rPr>
          <w:t>108</w:t>
        </w:r>
        <w:r w:rsidRPr="005D59A7">
          <w:rPr>
            <w:rStyle w:val="Hyperlink"/>
            <w:rFonts w:ascii="T" w:hAnsi="T"/>
            <w:noProof/>
            <w:color w:val="auto"/>
            <w:rtl/>
          </w:rPr>
          <w:fldChar w:fldCharType="end"/>
        </w:r>
      </w:hyperlink>
    </w:p>
    <w:p w14:paraId="03E5B08D" w14:textId="58C80D13" w:rsidR="006A6532" w:rsidRPr="005D59A7" w:rsidRDefault="006A6532">
      <w:pPr>
        <w:pStyle w:val="TableofFigures"/>
        <w:tabs>
          <w:tab w:val="right" w:leader="dot" w:pos="8296"/>
        </w:tabs>
        <w:bidi/>
        <w:rPr>
          <w:rFonts w:ascii="T" w:eastAsiaTheme="minorEastAsia" w:hAnsi="T"/>
          <w:noProof/>
          <w:rtl/>
        </w:rPr>
      </w:pPr>
      <w:hyperlink w:anchor="_Toc225991170"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9: نمو الناتج المحلي الإجمالي على مدار الثلاثين عاماً الماضية (بالمليارات من الريال السعودي بأسعار ثابتة/سنوياً)</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Toc225991170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C14A6F" w:rsidRPr="005D59A7">
          <w:rPr>
            <w:rFonts w:ascii="T" w:hAnsi="T"/>
            <w:noProof/>
            <w:webHidden/>
            <w:rtl/>
          </w:rPr>
          <w:t>108</w:t>
        </w:r>
        <w:r w:rsidRPr="005D59A7">
          <w:rPr>
            <w:rStyle w:val="Hyperlink"/>
            <w:rFonts w:ascii="T" w:hAnsi="T"/>
            <w:noProof/>
            <w:color w:val="auto"/>
            <w:rtl/>
          </w:rPr>
          <w:fldChar w:fldCharType="end"/>
        </w:r>
      </w:hyperlink>
    </w:p>
    <w:p w14:paraId="1DB2C5E6" w14:textId="6121A518" w:rsidR="006A6532" w:rsidRPr="005D59A7" w:rsidRDefault="006A6532">
      <w:pPr>
        <w:pStyle w:val="TableofFigures"/>
        <w:tabs>
          <w:tab w:val="right" w:leader="dot" w:pos="8296"/>
        </w:tabs>
        <w:bidi/>
        <w:rPr>
          <w:rFonts w:ascii="T" w:eastAsiaTheme="minorEastAsia" w:hAnsi="T"/>
          <w:noProof/>
          <w:rtl/>
        </w:rPr>
      </w:pPr>
      <w:hyperlink w:anchor="_Toc225991171"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7: الميزانية السنوية للموارد الطبيعية (الإستراتيجية الوطنية للبيئة)</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Toc225991171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C14A6F" w:rsidRPr="005D59A7">
          <w:rPr>
            <w:rFonts w:ascii="T" w:hAnsi="T"/>
            <w:noProof/>
            <w:webHidden/>
            <w:rtl/>
          </w:rPr>
          <w:t>119</w:t>
        </w:r>
        <w:r w:rsidRPr="005D59A7">
          <w:rPr>
            <w:rStyle w:val="Hyperlink"/>
            <w:rFonts w:ascii="T" w:hAnsi="T"/>
            <w:noProof/>
            <w:color w:val="auto"/>
            <w:rtl/>
          </w:rPr>
          <w:fldChar w:fldCharType="end"/>
        </w:r>
      </w:hyperlink>
    </w:p>
    <w:p w14:paraId="6E5ED6A1" w14:textId="19A46FB2" w:rsidR="006A6532" w:rsidRPr="005D59A7" w:rsidRDefault="006A6532">
      <w:pPr>
        <w:pStyle w:val="TableofFigures"/>
        <w:tabs>
          <w:tab w:val="right" w:leader="dot" w:pos="8296"/>
        </w:tabs>
        <w:bidi/>
        <w:rPr>
          <w:rFonts w:ascii="T" w:eastAsiaTheme="minorEastAsia" w:hAnsi="T"/>
          <w:noProof/>
          <w:rtl/>
        </w:rPr>
      </w:pPr>
      <w:hyperlink w:anchor="_Toc225991172" w:history="1">
        <w:r w:rsidRPr="005D59A7">
          <w:rPr>
            <w:rStyle w:val="Hyperlink"/>
            <w:rFonts w:ascii="T" w:hAnsi="T" w:cs="Sakkal Majalla"/>
            <w:noProof/>
            <w:color w:val="auto"/>
          </w:rPr>
          <w:t>Figure</w:t>
        </w:r>
        <w:r w:rsidRPr="005D59A7">
          <w:rPr>
            <w:rStyle w:val="Hyperlink"/>
            <w:rFonts w:ascii="T" w:hAnsi="T" w:cs="Sakkal Majalla"/>
            <w:noProof/>
            <w:color w:val="auto"/>
            <w:rtl/>
          </w:rPr>
          <w:t xml:space="preserve"> 8: تكلفة التدهور البيئي في المملكة (2014)</w:t>
        </w:r>
        <w:r w:rsidRPr="005D59A7">
          <w:rPr>
            <w:rFonts w:ascii="T" w:hAnsi="T"/>
            <w:noProof/>
            <w:webHidden/>
            <w:rtl/>
          </w:rPr>
          <w:tab/>
        </w:r>
        <w:r w:rsidRPr="005D59A7">
          <w:rPr>
            <w:rStyle w:val="Hyperlink"/>
            <w:rFonts w:ascii="T" w:hAnsi="T"/>
            <w:noProof/>
            <w:color w:val="auto"/>
            <w:rtl/>
          </w:rPr>
          <w:fldChar w:fldCharType="begin"/>
        </w:r>
        <w:r w:rsidRPr="005D59A7">
          <w:rPr>
            <w:rFonts w:ascii="T" w:hAnsi="T"/>
            <w:noProof/>
            <w:webHidden/>
            <w:rtl/>
          </w:rPr>
          <w:instrText xml:space="preserve"> </w:instrText>
        </w:r>
        <w:r w:rsidRPr="005D59A7">
          <w:rPr>
            <w:rFonts w:ascii="T" w:hAnsi="T"/>
            <w:noProof/>
            <w:webHidden/>
          </w:rPr>
          <w:instrText>PAGEREF</w:instrText>
        </w:r>
        <w:r w:rsidRPr="005D59A7">
          <w:rPr>
            <w:rFonts w:ascii="T" w:hAnsi="T"/>
            <w:noProof/>
            <w:webHidden/>
            <w:rtl/>
          </w:rPr>
          <w:instrText xml:space="preserve"> _</w:instrText>
        </w:r>
        <w:r w:rsidRPr="005D59A7">
          <w:rPr>
            <w:rFonts w:ascii="T" w:hAnsi="T"/>
            <w:noProof/>
            <w:webHidden/>
          </w:rPr>
          <w:instrText>Toc225991172 \h</w:instrText>
        </w:r>
        <w:r w:rsidRPr="005D59A7">
          <w:rPr>
            <w:rFonts w:ascii="T" w:hAnsi="T"/>
            <w:noProof/>
            <w:webHidden/>
            <w:rtl/>
          </w:rPr>
          <w:instrText xml:space="preserve"> </w:instrText>
        </w:r>
        <w:r w:rsidRPr="005D59A7">
          <w:rPr>
            <w:rStyle w:val="Hyperlink"/>
            <w:rFonts w:ascii="T" w:hAnsi="T"/>
            <w:noProof/>
            <w:color w:val="auto"/>
            <w:rtl/>
          </w:rPr>
        </w:r>
        <w:r w:rsidRPr="005D59A7">
          <w:rPr>
            <w:rStyle w:val="Hyperlink"/>
            <w:rFonts w:ascii="T" w:hAnsi="T"/>
            <w:noProof/>
            <w:color w:val="auto"/>
            <w:rtl/>
          </w:rPr>
          <w:fldChar w:fldCharType="separate"/>
        </w:r>
        <w:r w:rsidR="00C14A6F" w:rsidRPr="005D59A7">
          <w:rPr>
            <w:rFonts w:ascii="T" w:hAnsi="T"/>
            <w:noProof/>
            <w:webHidden/>
            <w:rtl/>
          </w:rPr>
          <w:t>121</w:t>
        </w:r>
        <w:r w:rsidRPr="005D59A7">
          <w:rPr>
            <w:rStyle w:val="Hyperlink"/>
            <w:rFonts w:ascii="T" w:hAnsi="T"/>
            <w:noProof/>
            <w:color w:val="auto"/>
            <w:rtl/>
          </w:rPr>
          <w:fldChar w:fldCharType="end"/>
        </w:r>
      </w:hyperlink>
    </w:p>
    <w:p w14:paraId="5139627F" w14:textId="475CC2AB" w:rsidR="00EA21E0" w:rsidRPr="005D59A7" w:rsidRDefault="00FD30BF" w:rsidP="00BD507A">
      <w:pPr>
        <w:bidi/>
        <w:rPr>
          <w:rFonts w:ascii="T" w:hAnsi="T" w:cstheme="majorBidi"/>
          <w:rtl/>
        </w:rPr>
      </w:pPr>
      <w:r w:rsidRPr="005D59A7">
        <w:rPr>
          <w:rFonts w:ascii="T" w:hAnsi="T" w:cstheme="majorBidi"/>
          <w:rtl/>
        </w:rPr>
        <w:fldChar w:fldCharType="end"/>
      </w:r>
    </w:p>
    <w:p w14:paraId="21848CD6" w14:textId="77777777" w:rsidR="000D1D88" w:rsidRPr="005D59A7" w:rsidRDefault="000D1D88" w:rsidP="000D1D88">
      <w:pPr>
        <w:bidi/>
        <w:rPr>
          <w:rFonts w:ascii="T" w:hAnsi="T" w:cstheme="majorBidi"/>
          <w:rtl/>
        </w:rPr>
      </w:pPr>
    </w:p>
    <w:p w14:paraId="751BBA64" w14:textId="77777777" w:rsidR="000D1D88" w:rsidRPr="005D59A7" w:rsidRDefault="000D1D88" w:rsidP="000D1D88">
      <w:pPr>
        <w:bidi/>
        <w:rPr>
          <w:rFonts w:ascii="T" w:hAnsi="T" w:cstheme="majorBidi"/>
          <w:rtl/>
        </w:rPr>
      </w:pPr>
    </w:p>
    <w:p w14:paraId="43CA8790" w14:textId="77777777" w:rsidR="000D1D88" w:rsidRPr="005D59A7" w:rsidRDefault="000D1D88" w:rsidP="000D1D88">
      <w:pPr>
        <w:bidi/>
        <w:rPr>
          <w:rFonts w:ascii="T" w:hAnsi="T" w:cstheme="majorBidi"/>
          <w:rtl/>
        </w:rPr>
      </w:pPr>
    </w:p>
    <w:p w14:paraId="4BBF7541" w14:textId="77777777" w:rsidR="000D1D88" w:rsidRPr="005D59A7" w:rsidRDefault="000D1D88" w:rsidP="000D1D88">
      <w:pPr>
        <w:bidi/>
        <w:rPr>
          <w:rFonts w:ascii="T" w:hAnsi="T" w:cstheme="majorBidi"/>
          <w:rtl/>
        </w:rPr>
      </w:pPr>
    </w:p>
    <w:p w14:paraId="0B022591" w14:textId="77777777" w:rsidR="000D1D88" w:rsidRPr="005D59A7" w:rsidRDefault="000D1D88" w:rsidP="000D1D88">
      <w:pPr>
        <w:bidi/>
        <w:rPr>
          <w:rFonts w:ascii="T" w:hAnsi="T" w:cstheme="majorBidi"/>
          <w:rtl/>
        </w:rPr>
      </w:pPr>
    </w:p>
    <w:p w14:paraId="6C67F52E" w14:textId="77777777" w:rsidR="000D1D88" w:rsidRPr="005D59A7" w:rsidRDefault="000D1D88" w:rsidP="000D1D88">
      <w:pPr>
        <w:bidi/>
        <w:rPr>
          <w:rFonts w:ascii="T" w:hAnsi="T" w:cstheme="majorBidi"/>
          <w:rtl/>
        </w:rPr>
      </w:pPr>
    </w:p>
    <w:p w14:paraId="6B35C6D1" w14:textId="3B249CEC" w:rsidR="000D1D88" w:rsidRPr="005D59A7" w:rsidRDefault="000D1D88" w:rsidP="000D1D88">
      <w:pPr>
        <w:bidi/>
        <w:rPr>
          <w:rFonts w:ascii="T" w:hAnsi="T" w:cstheme="majorBidi"/>
          <w:rtl/>
        </w:rPr>
      </w:pPr>
    </w:p>
    <w:p w14:paraId="06A4CDD9" w14:textId="02E6AABF" w:rsidR="00E25EBC" w:rsidRPr="005D59A7" w:rsidRDefault="00E25EBC" w:rsidP="00E25EBC">
      <w:pPr>
        <w:bidi/>
        <w:rPr>
          <w:rFonts w:ascii="T" w:hAnsi="T" w:cstheme="majorBidi"/>
          <w:rtl/>
        </w:rPr>
      </w:pPr>
    </w:p>
    <w:p w14:paraId="66312592" w14:textId="067B3720" w:rsidR="00E25EBC" w:rsidRPr="005D59A7" w:rsidRDefault="00E25EBC" w:rsidP="00E25EBC">
      <w:pPr>
        <w:bidi/>
        <w:rPr>
          <w:rFonts w:ascii="T" w:hAnsi="T" w:cstheme="majorBidi"/>
          <w:rtl/>
        </w:rPr>
      </w:pPr>
    </w:p>
    <w:p w14:paraId="3FFE6C04" w14:textId="1E82A16F" w:rsidR="00E25EBC" w:rsidRPr="005D59A7" w:rsidRDefault="00E25EBC" w:rsidP="00E25EBC">
      <w:pPr>
        <w:bidi/>
        <w:rPr>
          <w:rFonts w:ascii="T" w:hAnsi="T" w:cstheme="majorBidi"/>
          <w:rtl/>
        </w:rPr>
      </w:pPr>
    </w:p>
    <w:p w14:paraId="1477D9D9" w14:textId="54ED07FD" w:rsidR="00E25EBC" w:rsidRPr="005D59A7" w:rsidRDefault="00E25EBC" w:rsidP="00E25EBC">
      <w:pPr>
        <w:bidi/>
        <w:rPr>
          <w:rFonts w:ascii="T" w:hAnsi="T" w:cstheme="majorBidi"/>
          <w:rtl/>
        </w:rPr>
      </w:pPr>
    </w:p>
    <w:p w14:paraId="24584A8E" w14:textId="6A30F4A9" w:rsidR="00E25EBC" w:rsidRDefault="00E25EBC" w:rsidP="00E25EBC">
      <w:pPr>
        <w:bidi/>
        <w:rPr>
          <w:rFonts w:ascii="T" w:hAnsi="T" w:cstheme="majorBidi"/>
        </w:rPr>
      </w:pPr>
    </w:p>
    <w:p w14:paraId="3DC0136E" w14:textId="77777777" w:rsidR="00233335" w:rsidRDefault="00233335" w:rsidP="00233335">
      <w:pPr>
        <w:bidi/>
        <w:rPr>
          <w:rFonts w:ascii="T" w:hAnsi="T" w:cstheme="majorBidi"/>
        </w:rPr>
      </w:pPr>
    </w:p>
    <w:p w14:paraId="44A0C928" w14:textId="77777777" w:rsidR="00233335" w:rsidRPr="005D59A7" w:rsidRDefault="00233335" w:rsidP="00233335">
      <w:pPr>
        <w:bidi/>
        <w:rPr>
          <w:rFonts w:ascii="T" w:hAnsi="T" w:cstheme="majorBidi"/>
          <w:rtl/>
        </w:rPr>
      </w:pPr>
    </w:p>
    <w:p w14:paraId="289F707F" w14:textId="77777777" w:rsidR="000D1D88" w:rsidRPr="005D59A7" w:rsidRDefault="000D1D88" w:rsidP="000D1D88">
      <w:pPr>
        <w:bidi/>
        <w:rPr>
          <w:rFonts w:ascii="T" w:hAnsi="T" w:cstheme="majorBidi"/>
          <w:rtl/>
        </w:rPr>
      </w:pPr>
    </w:p>
    <w:p w14:paraId="2E0DE1FD" w14:textId="77777777" w:rsidR="0048465E" w:rsidRPr="005D59A7" w:rsidRDefault="0048465E" w:rsidP="00217271">
      <w:pPr>
        <w:pStyle w:val="Heading1"/>
        <w:bidi/>
        <w:jc w:val="center"/>
        <w:rPr>
          <w:rFonts w:ascii="T" w:eastAsia="Times New Roman" w:hAnsi="T" w:cs="Simplified Arabic"/>
          <w:b/>
          <w:bCs/>
          <w:color w:val="auto"/>
          <w:sz w:val="28"/>
          <w:szCs w:val="28"/>
          <w:u w:val="single"/>
          <w:rtl/>
        </w:rPr>
      </w:pPr>
      <w:bookmarkStart w:id="3" w:name="_Toc225991321"/>
      <w:bookmarkStart w:id="4" w:name="_Hlk225644599"/>
      <w:r w:rsidRPr="005D59A7">
        <w:rPr>
          <w:rFonts w:ascii="T" w:eastAsia="Times New Roman" w:hAnsi="T" w:cs="Simplified Arabic"/>
          <w:b/>
          <w:bCs/>
          <w:color w:val="auto"/>
          <w:sz w:val="28"/>
          <w:szCs w:val="28"/>
          <w:u w:val="single"/>
          <w:rtl/>
        </w:rPr>
        <w:lastRenderedPageBreak/>
        <w:t>الفصل الأول: الإطار المنهجي للدراسة</w:t>
      </w:r>
      <w:bookmarkEnd w:id="3"/>
    </w:p>
    <w:p w14:paraId="48D4C25C" w14:textId="77777777" w:rsidR="00C11026" w:rsidRPr="005D59A7" w:rsidRDefault="00C11026" w:rsidP="00217271">
      <w:pPr>
        <w:pStyle w:val="Heading1"/>
        <w:bidi/>
        <w:rPr>
          <w:rFonts w:ascii="T" w:eastAsia="Times New Roman" w:hAnsi="T" w:cs="Simplified Arabic"/>
          <w:b/>
          <w:bCs/>
          <w:color w:val="auto"/>
          <w:sz w:val="24"/>
          <w:szCs w:val="24"/>
          <w:rtl/>
        </w:rPr>
      </w:pPr>
      <w:bookmarkStart w:id="5" w:name="_Toc225991322"/>
      <w:r w:rsidRPr="005D59A7">
        <w:rPr>
          <w:rFonts w:ascii="T" w:eastAsia="Times New Roman" w:hAnsi="T" w:cs="Simplified Arabic"/>
          <w:b/>
          <w:bCs/>
          <w:color w:val="auto"/>
          <w:sz w:val="24"/>
          <w:szCs w:val="24"/>
          <w:rtl/>
        </w:rPr>
        <w:t>مقدمة الدراسة</w:t>
      </w:r>
      <w:r w:rsidR="008A2744" w:rsidRPr="005D59A7">
        <w:rPr>
          <w:rFonts w:ascii="T" w:eastAsia="Times New Roman" w:hAnsi="T" w:cs="Simplified Arabic"/>
          <w:b/>
          <w:bCs/>
          <w:color w:val="auto"/>
          <w:sz w:val="24"/>
          <w:szCs w:val="24"/>
          <w:rtl/>
        </w:rPr>
        <w:t>:</w:t>
      </w:r>
      <w:bookmarkEnd w:id="5"/>
    </w:p>
    <w:p w14:paraId="13C2F1E4" w14:textId="77777777" w:rsidR="00217271" w:rsidRPr="005D59A7" w:rsidRDefault="00217271" w:rsidP="00790B4E">
      <w:pPr>
        <w:pStyle w:val="ListParagraph"/>
        <w:bidi/>
        <w:jc w:val="both"/>
        <w:rPr>
          <w:rFonts w:ascii="T" w:hAnsi="T" w:cs="Simplified Arabic"/>
          <w:sz w:val="24"/>
          <w:szCs w:val="24"/>
          <w:rtl/>
        </w:rPr>
      </w:pPr>
    </w:p>
    <w:p w14:paraId="59B6DB7F" w14:textId="69844E76"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شهد القطاع البيئي في المملكة العربية السعودية تحولًا جذريًا منذ إطلاق رؤية 2030 في عام 2016، حيث تم إعادة هيكلة المنظومة المؤسسية عبر إنشاء مراكز وطنية متخصصة وصندوق البيئة، وذلك في إطار الإستراتيجية الوطنية للبيئة التي أطلقتها وزارة البيئة والمياه والزراعة عام 2018.</w:t>
      </w:r>
      <w:r w:rsidR="00790B4E" w:rsidRPr="005D59A7">
        <w:rPr>
          <w:rFonts w:ascii="T" w:eastAsia="Calibri" w:hAnsi="T" w:cs="Simplified Arabic"/>
          <w:sz w:val="24"/>
          <w:szCs w:val="24"/>
          <w:rtl/>
        </w:rPr>
        <w:t>(التويجري,2024)</w:t>
      </w:r>
      <w:r w:rsidRPr="005D59A7">
        <w:rPr>
          <w:rFonts w:ascii="T" w:eastAsia="Calibri" w:hAnsi="T" w:cs="Simplified Arabic"/>
          <w:sz w:val="24"/>
          <w:szCs w:val="24"/>
          <w:rtl/>
        </w:rPr>
        <w:t xml:space="preserve"> وتهدف هذه الإستراتيجية إلى تحقيق الهدف الاستراتيجي 2.4.1 "الحد من التلوث بمختلف أنواعه" ضمن برنامج التحول الوطني، من خلال إنشاء ستة مراكز بيئية متخصصة هي: المركز الوطني للرقابة على الالتزام البيئي</w:t>
      </w:r>
      <w:r w:rsidRPr="005D59A7">
        <w:rPr>
          <w:rFonts w:ascii="T" w:eastAsia="Calibri" w:hAnsi="T" w:cs="Simplified Arabic"/>
          <w:sz w:val="24"/>
          <w:szCs w:val="24"/>
        </w:rPr>
        <w:t xml:space="preserve"> (NCEC)</w:t>
      </w:r>
      <w:r w:rsidRPr="005D59A7">
        <w:rPr>
          <w:rFonts w:ascii="T" w:eastAsia="Calibri" w:hAnsi="T" w:cs="Simplified Arabic"/>
          <w:sz w:val="24"/>
          <w:szCs w:val="24"/>
          <w:rtl/>
        </w:rPr>
        <w:t>، والمركز الوطني لتنمية الغطاء النباتي ومكافحة التصحر، والمركز الوطني للأرصاد، والمركز الوطني لتنمية الحياة الفطرية، والمركز الوطني لإدارة النفايات، بالإضافة إلى صندوق البيئة لدعم البرامج والمشاريع البيئية</w:t>
      </w:r>
      <w:r w:rsidRPr="005D59A7">
        <w:rPr>
          <w:rFonts w:ascii="T" w:eastAsia="Calibri" w:hAnsi="T" w:cs="Simplified Arabic"/>
          <w:sz w:val="24"/>
          <w:szCs w:val="24"/>
        </w:rPr>
        <w:t xml:space="preserve"> </w:t>
      </w:r>
      <w:r w:rsidR="00790B4E" w:rsidRPr="005D59A7">
        <w:rPr>
          <w:rFonts w:ascii="T" w:eastAsia="Calibri" w:hAnsi="T" w:cs="Simplified Arabic"/>
          <w:sz w:val="24"/>
          <w:szCs w:val="24"/>
          <w:rtl/>
        </w:rPr>
        <w:t>.(فاضل ,2024)</w:t>
      </w:r>
    </w:p>
    <w:p w14:paraId="0A284D8F" w14:textId="537550EE"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تعد الشراكات بين القطاعين العام والخاص</w:t>
      </w:r>
      <w:r w:rsidRPr="005D59A7">
        <w:rPr>
          <w:rFonts w:ascii="T" w:eastAsia="Calibri" w:hAnsi="T" w:cs="Simplified Arabic"/>
          <w:sz w:val="24"/>
          <w:szCs w:val="24"/>
        </w:rPr>
        <w:t xml:space="preserve"> (PPP) </w:t>
      </w:r>
      <w:r w:rsidRPr="005D59A7">
        <w:rPr>
          <w:rFonts w:ascii="T" w:eastAsia="Calibri" w:hAnsi="T" w:cs="Simplified Arabic"/>
          <w:sz w:val="24"/>
          <w:szCs w:val="24"/>
          <w:rtl/>
        </w:rPr>
        <w:t>نموذجًا تعاقديًا يتيح الاستفادة من كفاءة القطاع الخاص وخبراته في تقديم الخدمات العامة، مع احتفاظ القطاع العام بدوره التنظيمي والرقابي. وقد أثبتت المملكة نجاحًا في تطبيق هذا النموذج في قطاعات متعددة مثل المياه والطاقة والنقل، حيث استطاعت الشركة السعودية للشراكات في الماء</w:t>
      </w:r>
      <w:r w:rsidRPr="005D59A7">
        <w:rPr>
          <w:rFonts w:ascii="T" w:eastAsia="Calibri" w:hAnsi="T" w:cs="Simplified Arabic"/>
          <w:sz w:val="24"/>
          <w:szCs w:val="24"/>
        </w:rPr>
        <w:t xml:space="preserve"> (SWPC) </w:t>
      </w:r>
      <w:r w:rsidRPr="005D59A7">
        <w:rPr>
          <w:rFonts w:ascii="T" w:eastAsia="Calibri" w:hAnsi="T" w:cs="Simplified Arabic"/>
          <w:sz w:val="24"/>
          <w:szCs w:val="24"/>
          <w:rtl/>
        </w:rPr>
        <w:t>جذب استثمارات تجاوزت 12 مليار دولار من خلال مشاريع الشراكة</w:t>
      </w:r>
      <w:r w:rsidRPr="005D59A7">
        <w:rPr>
          <w:rFonts w:ascii="T" w:eastAsia="Calibri" w:hAnsi="T" w:cs="Simplified Arabic"/>
          <w:sz w:val="24"/>
          <w:szCs w:val="24"/>
        </w:rPr>
        <w:t xml:space="preserve"> (Saudi Water Partnership Company, 2024). </w:t>
      </w:r>
      <w:r w:rsidRPr="005D59A7">
        <w:rPr>
          <w:rFonts w:ascii="T" w:eastAsia="Calibri" w:hAnsi="T" w:cs="Simplified Arabic"/>
          <w:sz w:val="24"/>
          <w:szCs w:val="24"/>
          <w:rtl/>
        </w:rPr>
        <w:t>وفي قطاع البيئة، تم إطلاق أول مشروع تفتيش بيئي بنظام الشراكة بين القطاعين العام والخاص بالتعاون بين المركز الوطني للرقابة على الالتزام البيئي ووزارة البيئة والمياه والزراعة والمركز الوطني للتخصيص</w:t>
      </w:r>
      <w:r w:rsidRPr="005D59A7">
        <w:rPr>
          <w:rFonts w:ascii="T" w:eastAsia="Calibri" w:hAnsi="T" w:cs="Simplified Arabic"/>
          <w:sz w:val="24"/>
          <w:szCs w:val="24"/>
        </w:rPr>
        <w:t xml:space="preserve"> (</w:t>
      </w:r>
      <w:r w:rsidR="00790B4E" w:rsidRPr="005D59A7">
        <w:rPr>
          <w:rFonts w:ascii="T" w:eastAsia="Calibri" w:hAnsi="T" w:cs="Simplified Arabic"/>
          <w:sz w:val="24"/>
          <w:szCs w:val="24"/>
        </w:rPr>
        <w:t>Tahat</w:t>
      </w:r>
      <w:r w:rsidRPr="005D59A7">
        <w:rPr>
          <w:rFonts w:ascii="T" w:eastAsia="Calibri" w:hAnsi="T" w:cs="Simplified Arabic"/>
          <w:sz w:val="24"/>
          <w:szCs w:val="24"/>
        </w:rPr>
        <w:t>, 202</w:t>
      </w:r>
      <w:r w:rsidR="00790B4E" w:rsidRPr="005D59A7">
        <w:rPr>
          <w:rFonts w:ascii="T" w:eastAsia="Calibri" w:hAnsi="T" w:cs="Simplified Arabic"/>
          <w:sz w:val="24"/>
          <w:szCs w:val="24"/>
        </w:rPr>
        <w:t>4</w:t>
      </w:r>
      <w:r w:rsidRPr="005D59A7">
        <w:rPr>
          <w:rFonts w:ascii="T" w:eastAsia="Calibri" w:hAnsi="T" w:cs="Simplified Arabic"/>
          <w:sz w:val="24"/>
          <w:szCs w:val="24"/>
        </w:rPr>
        <w:t>).</w:t>
      </w:r>
    </w:p>
    <w:p w14:paraId="36C3C3CD" w14:textId="77777777" w:rsidR="000E5E9A" w:rsidRPr="005D59A7" w:rsidRDefault="000E5E9A"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 xml:space="preserve">يقع المركز الوطني للرقابة على الالتزام البيئي في قلب هذه المنظومة، بصفته الجهة الرقابية الأساسية المسؤولة عن أعمال التفتيش البيئي، وإصدار التراخيص البيئية، ورصد التلوث في الأوساط البيئية الثلاثة (الهواء، الماء، التربة). وتشير البيانات المتوفرة من المركز خلال الفترة 2017-2019 إلى أن نموذج التوريد التقليدي المعتمد حاليًا لتقديم خدمة التفتيش البيئي يعاني من قصور تشغيلي ومالي واضح، يتمثل في عجز مالي </w:t>
      </w:r>
      <w:r w:rsidRPr="005D59A7">
        <w:rPr>
          <w:rFonts w:ascii="T" w:eastAsia="Calibri" w:hAnsi="T" w:cs="Simplified Arabic"/>
          <w:sz w:val="24"/>
          <w:szCs w:val="24"/>
          <w:rtl/>
        </w:rPr>
        <w:lastRenderedPageBreak/>
        <w:t>قدره 41 مليون ريال خلال ثلاث سنوات، وتراجع متوسط المخالفات لكل زيارة من 1.2 إلى 0.4، وارتفاع نسبة المخالفات المرفوضة إلى 45% (المركز الوطني للرقابة على الالتزام البيئي، 2020)</w:t>
      </w:r>
      <w:r w:rsidRPr="005D59A7">
        <w:rPr>
          <w:rFonts w:ascii="T" w:eastAsia="Calibri" w:hAnsi="T" w:cs="Simplified Arabic"/>
          <w:sz w:val="24"/>
          <w:szCs w:val="24"/>
        </w:rPr>
        <w:t>.</w:t>
      </w:r>
    </w:p>
    <w:p w14:paraId="2ACF1960" w14:textId="387B18C7" w:rsidR="00F873FA" w:rsidRPr="005D59A7" w:rsidRDefault="00790B4E"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عليه، تتحدد الفجوة العملية في محدودية التطبيق الميداني لنماذج الشراكة في قطاع البيئة السعودي، والفجوة العلمية في غياب نماذج متكاملة لهيكلة الشراكات بين القطاعين العام والخاص في الخدمات الرقابية عالية الحساسية، خاصة خدمة التفتيش البيئي. وبناءً على ذلك، تسعى هذه الدراسة إلى تحليل واقع الشراكات بين القطاعين العام والخاص في قطاع البيئة، وتطوير نموذج مقترح للحوكمة البيئية وإدارة الأداء لخدمة التفتيش البيئي، بالاعتماد على البيانات المتوفرة من المركز الوطني للرقابة على الالتزام البيئي خلال الفترة 2017-2019، وذلك بهدف تقديم حلول عملية تسهم في رفع كفاءة الخدمة، وتحسين جودة المخرجات، وتحقيق الاستدامة المالية، بما يتوافق مع مستهدفات رؤية السعودية 2030 والإستراتيجية الوطنية للبيئة.</w:t>
      </w:r>
      <w:r w:rsidR="00646FBB" w:rsidRPr="005D59A7">
        <w:rPr>
          <w:rFonts w:ascii="T" w:eastAsia="Calibri" w:hAnsi="T" w:cs="Simplified Arabic"/>
          <w:sz w:val="24"/>
          <w:szCs w:val="24"/>
          <w:rtl/>
        </w:rPr>
        <w:t xml:space="preserve"> </w:t>
      </w:r>
    </w:p>
    <w:p w14:paraId="25F0E314" w14:textId="77777777" w:rsidR="00890400" w:rsidRPr="005D59A7" w:rsidRDefault="00883E09" w:rsidP="00217271">
      <w:pPr>
        <w:pStyle w:val="Heading1"/>
        <w:bidi/>
        <w:rPr>
          <w:rFonts w:ascii="T" w:eastAsia="Times New Roman" w:hAnsi="T" w:cs="Simplified Arabic"/>
          <w:b/>
          <w:bCs/>
          <w:color w:val="auto"/>
          <w:sz w:val="24"/>
          <w:szCs w:val="24"/>
          <w:rtl/>
        </w:rPr>
      </w:pPr>
      <w:bookmarkStart w:id="6" w:name="_Toc225991323"/>
      <w:r w:rsidRPr="005D59A7">
        <w:rPr>
          <w:rFonts w:ascii="T" w:eastAsia="Times New Roman" w:hAnsi="T" w:cs="Simplified Arabic"/>
          <w:b/>
          <w:bCs/>
          <w:color w:val="auto"/>
          <w:sz w:val="24"/>
          <w:szCs w:val="24"/>
          <w:rtl/>
        </w:rPr>
        <w:t>مشكلة الدراسة</w:t>
      </w:r>
      <w:r w:rsidR="00436B59" w:rsidRPr="005D59A7">
        <w:rPr>
          <w:rFonts w:ascii="T" w:eastAsia="Times New Roman" w:hAnsi="T" w:cs="Simplified Arabic"/>
          <w:b/>
          <w:bCs/>
          <w:color w:val="auto"/>
          <w:sz w:val="24"/>
          <w:szCs w:val="24"/>
          <w:rtl/>
        </w:rPr>
        <w:t>:</w:t>
      </w:r>
      <w:bookmarkEnd w:id="6"/>
    </w:p>
    <w:p w14:paraId="410FDF4F" w14:textId="44059A46"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في سياق التحولات الهيكلية العميقة التي يشهدها القطاع البيئي في المملكة العربية السعودية، والتي جاءت استجابة لمستهدفات رؤية السعودية 2030، وما تبعها من إطلاق الإستراتيجية الوطنية للبيئة في عام 2018، وإعادة تصميم المنظومة المؤسسية عبر إنشاء مراكز وطنية متخصصة (المركز الوطني للرقابة على الالتزام البيئي، المركز الوطني لتنمية الغطاء النباتي ومكافحة التصحر، المركز الوطني لإدارة النفايات، المركز الوطني للأرصاد، المركز الوطني لتنمية الحياة الفطرية) وصندوق البيئة، لم يعد تقييم كفاءة أدوات الرقابة البيئية خيارًا تحليليًا فحسب، بل ضرورة استراتيجية لضمان تحقيق الاستدامة البيئية والاقتصادية (</w:t>
      </w:r>
      <w:r w:rsidRPr="005D59A7">
        <w:rPr>
          <w:rFonts w:ascii="T" w:eastAsia="Calibri" w:hAnsi="T" w:cs="Simplified Arabic"/>
          <w:sz w:val="24"/>
          <w:szCs w:val="24"/>
        </w:rPr>
        <w:t>Ministry of Environment, Water and Agriculture, 2020; Saudi</w:t>
      </w:r>
      <w:r w:rsidR="00217271" w:rsidRPr="005D59A7">
        <w:rPr>
          <w:rFonts w:ascii="T" w:eastAsia="Calibri" w:hAnsi="T" w:cs="Simplified Arabic"/>
          <w:sz w:val="24"/>
          <w:szCs w:val="24"/>
        </w:rPr>
        <w:t xml:space="preserve"> </w:t>
      </w:r>
      <w:r w:rsidRPr="005D59A7">
        <w:rPr>
          <w:rFonts w:ascii="T" w:eastAsia="Calibri" w:hAnsi="T" w:cs="Simplified Arabic"/>
          <w:sz w:val="24"/>
          <w:szCs w:val="24"/>
        </w:rPr>
        <w:t>pedia, 2025</w:t>
      </w:r>
      <w:r w:rsidRPr="005D59A7">
        <w:rPr>
          <w:rFonts w:ascii="T" w:eastAsia="Calibri" w:hAnsi="T" w:cs="Simplified Arabic"/>
          <w:sz w:val="24"/>
          <w:szCs w:val="24"/>
          <w:rtl/>
        </w:rPr>
        <w:t>).</w:t>
      </w:r>
    </w:p>
    <w:p w14:paraId="0EAD31C3" w14:textId="4DB10B84" w:rsidR="006E35DF" w:rsidRPr="005D59A7" w:rsidRDefault="006E35DF"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 xml:space="preserve">ويأتي التفتيش البيئي في قلب هذه المنظومة باعتباره الأداة التنفيذية المباشرة لضبط الامتثال، ومن ثم فإن أي خلل في كفاءته ينعكس بشكل مباشر على جودة البيئة، وتكلفة التدهور البيئي، وكفاءة استخدام الموارد العامة. وقد قدرت دراسة البنك الدولي (2014) تكلفة التدهور البيئي في المملكة بنحو 3.1% من إجمالي الناتج المحلي، أي ما يعادل 86 مليار ريال سعودي، مما يؤكد حجم التحدي البيئي والاقتصادي المرتبط بفعالية أنظمة الرقابة البيئية. كما أن رفع نسبة الالتزام البيئي والحد من التلوث يساهم بشكل مباشر وغير مباشر في تحقيق </w:t>
      </w:r>
      <w:r w:rsidRPr="005D59A7">
        <w:rPr>
          <w:rFonts w:ascii="T" w:eastAsia="Calibri" w:hAnsi="T" w:cs="Simplified Arabic"/>
          <w:sz w:val="24"/>
          <w:szCs w:val="24"/>
          <w:rtl/>
        </w:rPr>
        <w:lastRenderedPageBreak/>
        <w:t>مستهدفات رؤية 2030 الاجتماعية، ومنها رفع متوسط العمر المتوقع من 74 إلى 80 عامًا (المركز الوطني للرقابة على الالتزام البيئي، 2020)</w:t>
      </w:r>
    </w:p>
    <w:p w14:paraId="62CD6A70" w14:textId="77777777" w:rsidR="00F37362" w:rsidRPr="005D59A7" w:rsidRDefault="00F37362"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ونستعرض سويةً بعض المؤشرات المتعلقة بكفاءة الخدمة خلال الفترة 2017-2019 حيث كان المركز يقوم بتقديم الخدمة عن طريق التوريد بالطريقة التقليدية وذلك من خلال شركة المصادر البيئية الدولية. والتي كانت بدورها تقوم بتوظيف المفتشين وجدولة الزيارات التفتيشية بطرق تقليدية وجودة المخرجات لم تكن بالشكل المطلوب</w:t>
      </w:r>
      <w:r w:rsidR="00AC3F5D" w:rsidRPr="005D59A7">
        <w:rPr>
          <w:rFonts w:ascii="T" w:eastAsia="Calibri" w:hAnsi="T" w:cs="Simplified Arabic"/>
          <w:sz w:val="24"/>
          <w:szCs w:val="24"/>
          <w:rtl/>
        </w:rPr>
        <w:t xml:space="preserve"> (المركز الوطني للرقابة على الالتزام البيئي، 2020)</w:t>
      </w:r>
      <w:r w:rsidRPr="005D59A7">
        <w:rPr>
          <w:rFonts w:ascii="T" w:eastAsia="Calibri" w:hAnsi="T" w:cs="Simplified Arabic"/>
          <w:sz w:val="24"/>
          <w:szCs w:val="24"/>
          <w:rtl/>
        </w:rPr>
        <w:t>:</w:t>
      </w:r>
    </w:p>
    <w:p w14:paraId="7D792306" w14:textId="77777777" w:rsidR="00F37362" w:rsidRPr="005D59A7" w:rsidRDefault="00F37362" w:rsidP="00217271">
      <w:pPr>
        <w:bidi/>
        <w:jc w:val="both"/>
        <w:rPr>
          <w:rFonts w:ascii="T" w:hAnsi="T" w:cs="Simplified Arabic"/>
          <w:b/>
          <w:bCs/>
          <w:sz w:val="24"/>
          <w:szCs w:val="24"/>
          <w:shd w:val="clear" w:color="auto" w:fill="FFFFFF"/>
        </w:rPr>
      </w:pPr>
      <w:r w:rsidRPr="005D59A7">
        <w:rPr>
          <w:rFonts w:ascii="T" w:hAnsi="T" w:cs="Simplified Arabic"/>
          <w:b/>
          <w:bCs/>
          <w:sz w:val="24"/>
          <w:szCs w:val="24"/>
          <w:shd w:val="clear" w:color="auto" w:fill="FFFFFF"/>
          <w:rtl/>
        </w:rPr>
        <w:t xml:space="preserve">قيمة المشروع لمدة 3 سنوات (2017-2018-2019): 108,289,609 ريال سعودي. </w:t>
      </w:r>
    </w:p>
    <w:p w14:paraId="2B41A34E"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العوائد من المخالفات البيئية: </w:t>
      </w:r>
    </w:p>
    <w:p w14:paraId="1022A036"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15,745,000 ريال سعودي</w:t>
      </w:r>
    </w:p>
    <w:p w14:paraId="1B68E5ED"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19,568,000 ريال سعودي</w:t>
      </w:r>
    </w:p>
    <w:p w14:paraId="22497251"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31,916,000 ريال سعودي</w:t>
      </w:r>
    </w:p>
    <w:p w14:paraId="76B35042"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إجمالي العوائد: 67,238,000 ريال سعودي </w:t>
      </w:r>
    </w:p>
    <w:p w14:paraId="581AF514"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العجز: 41,051,609 ريال سعودي</w:t>
      </w:r>
    </w:p>
    <w:p w14:paraId="1D38D8E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متوسط راتب المفتش البيئي: 5,000 ريال سعودي. </w:t>
      </w:r>
    </w:p>
    <w:p w14:paraId="28E6118D"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غير كافي لاستقطاب الكفاءات المتخصصة والفنية اللازمة وخلق بيئية محفزة وذلك بسبب إتباع طريقة التوريد التقليدية وغياب المنافسة. </w:t>
      </w:r>
    </w:p>
    <w:p w14:paraId="1D3C1CD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المفتشين البيئيين: </w:t>
      </w:r>
    </w:p>
    <w:p w14:paraId="262A92E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70 مفتش بيئي</w:t>
      </w:r>
    </w:p>
    <w:p w14:paraId="4A51C5D6"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222 مفتش بيئي (قرار مجلس الوزراء بدعم برنامج التفتيش البيئي: زيادة بنسبة 68% )</w:t>
      </w:r>
    </w:p>
    <w:p w14:paraId="3E1F8580" w14:textId="77777777" w:rsidR="00646FBB"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264 مفتش بيئي (الزيادة: 16%)</w:t>
      </w:r>
    </w:p>
    <w:p w14:paraId="5A51426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المنشآت حسب قاعدة البيانات: </w:t>
      </w:r>
    </w:p>
    <w:p w14:paraId="7A6D97D9"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11,158 </w:t>
      </w:r>
    </w:p>
    <w:p w14:paraId="59675AA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13,627 (الزيادة: تمثل 18%)</w:t>
      </w:r>
    </w:p>
    <w:p w14:paraId="6D0D1453" w14:textId="77777777" w:rsidR="00F37362" w:rsidRPr="005D59A7" w:rsidRDefault="00F37362"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19,322 (الزيادة: تمثل 29%)</w:t>
      </w:r>
    </w:p>
    <w:p w14:paraId="221F5360"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منشآت لكل مفتش بيئي:</w:t>
      </w:r>
    </w:p>
    <w:p w14:paraId="26CE510F"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159منشأة لكل مفتش بيئي</w:t>
      </w:r>
    </w:p>
    <w:p w14:paraId="5408755B"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61 منشأة لكل مفتش بيئي (بفضل قرار مجلس الوزراء بدعم برنامج التفتيش البيئي)</w:t>
      </w:r>
    </w:p>
    <w:p w14:paraId="638AF3C8"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00440E40"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73 منشأة لكل مفتش بيئي (عدم توافق زيادة المنشآت 29% مع زيادة عدد المفتشين 16%)</w:t>
      </w:r>
    </w:p>
    <w:p w14:paraId="64B723AF" w14:textId="77777777" w:rsidR="00A27924" w:rsidRPr="005D59A7" w:rsidRDefault="00A27924"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منشآت لكل مفتش بيئي:</w:t>
      </w:r>
    </w:p>
    <w:p w14:paraId="60E0DD3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159منشأة لكل مفتش بيئي</w:t>
      </w:r>
    </w:p>
    <w:p w14:paraId="2D9395B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61 منشأة لكل مفتش بيئي (بفضل قرار مجلس الوزراء بدعم برنامج التفتيش البيئي)</w:t>
      </w:r>
    </w:p>
    <w:p w14:paraId="11E38EA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73 منشأة لكل مفتش بيئي (عدم توافق زيادة المنشآت 29% مع زيادة عدد المفتشين 16%)</w:t>
      </w:r>
    </w:p>
    <w:p w14:paraId="61E4A290"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عدد الزيارات التفتيشية:</w:t>
      </w:r>
    </w:p>
    <w:p w14:paraId="1B3D5EDB"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3,735 زيارة تفتيشية</w:t>
      </w:r>
    </w:p>
    <w:p w14:paraId="1C6CCAA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6,479 زيارة تفتيشية (بواقع نسبة زيادة 42%)</w:t>
      </w:r>
    </w:p>
    <w:p w14:paraId="14A7535E"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21,369 زيارة تفتيشية (بواقع نسبة زيادة 70%)</w:t>
      </w:r>
    </w:p>
    <w:p w14:paraId="723609CC"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زيارة لكل مفتش:</w:t>
      </w:r>
    </w:p>
    <w:p w14:paraId="1E22D05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53 زيارة لكل مفتش بيئي</w:t>
      </w:r>
    </w:p>
    <w:p w14:paraId="389F95EA"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29 زيارة لكل مفتش بيئي (قرار مجلس الوزراء بدعم برنامج التفتيش البيئي)</w:t>
      </w:r>
    </w:p>
    <w:p w14:paraId="5D46F29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81 زيارة لكل مفتش بيئي </w:t>
      </w:r>
    </w:p>
    <w:p w14:paraId="05D5A117"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المنشآت التي تم زيارتها: </w:t>
      </w:r>
    </w:p>
    <w:p w14:paraId="6F91AA1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3,474 منشأة (بواقع نسبة تغطية لإجمالي المنشآت 31% مقابل 159 منشأة/مفتش)</w:t>
      </w:r>
    </w:p>
    <w:p w14:paraId="42376A82"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5,345 منشأة (بواقع نسبة تغطية لإجمالي المنشآت 39% مقابل 61 منشأة/مفتش)</w:t>
      </w:r>
    </w:p>
    <w:p w14:paraId="62FDC694"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13,443 منشأة (بواقع نسبة تغطية لإجمالي المنشآت 70% مقابل 73 منشأة/مفتش)</w:t>
      </w:r>
    </w:p>
    <w:p w14:paraId="3CB8154D"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المخالفات المرصودة: </w:t>
      </w:r>
    </w:p>
    <w:p w14:paraId="7D15F646"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4,298 مخالفة مرصودة</w:t>
      </w:r>
    </w:p>
    <w:p w14:paraId="4E95CA53"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4,327 مخالفة مرصودة</w:t>
      </w:r>
    </w:p>
    <w:p w14:paraId="637FA565"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8,564 مخالفة مرصودة</w:t>
      </w:r>
    </w:p>
    <w:p w14:paraId="175AB6EE"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مخالفة لكل زيارة: </w:t>
      </w:r>
    </w:p>
    <w:p w14:paraId="0E2875B9"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1.2 مخالفة لكل زيارة تفتيشية (مقابل 70 مفتش بيئي بواقع 31% نسبة تغطية للمنشآت)</w:t>
      </w:r>
    </w:p>
    <w:p w14:paraId="4138E29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0.7 مخالفة لكل زيارة تفتيشية (مقابل 222 مفتش بيئي بواقع 39% نسبة تغطية للمنشآت) </w:t>
      </w:r>
    </w:p>
    <w:p w14:paraId="3E59B763"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0.4 مخالفة لكل زيارة تفتيشية (مقابل 264 مفتش بيئي بواقع 70% نسبة تغطية للمنشآت)</w:t>
      </w:r>
    </w:p>
    <w:p w14:paraId="12DD2676"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عدد المخالفات المعتمدة: </w:t>
      </w:r>
    </w:p>
    <w:p w14:paraId="49193A02"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2017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2919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1,379 مخالفة مرفوضة تشكل حوالي 32% من إجمالي المخالفات المرصودة.</w:t>
      </w:r>
    </w:p>
    <w:p w14:paraId="67D340F5"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2018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2,750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1,577 مخالفة مرفوضة تشكل حوالي 36% من إجمالي المخالفات المرصودة.</w:t>
      </w:r>
    </w:p>
    <w:p w14:paraId="2E6FD5DD"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2019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4,682 مخالفة معتمدة </w:t>
      </w:r>
      <w:r w:rsidRPr="005D59A7">
        <w:rPr>
          <w:rFonts w:ascii="T" w:hAnsi="T" w:cs="Simplified Arabic"/>
          <w:sz w:val="24"/>
          <w:szCs w:val="24"/>
          <w:shd w:val="clear" w:color="auto" w:fill="FFFFFF"/>
        </w:rPr>
        <w:sym w:font="Wingdings" w:char="F0DF"/>
      </w:r>
      <w:r w:rsidRPr="005D59A7">
        <w:rPr>
          <w:rFonts w:ascii="T" w:hAnsi="T" w:cs="Simplified Arabic"/>
          <w:sz w:val="24"/>
          <w:szCs w:val="24"/>
          <w:shd w:val="clear" w:color="auto" w:fill="FFFFFF"/>
          <w:rtl/>
        </w:rPr>
        <w:t xml:space="preserve"> 3,882 مخالفة مرفوضة تشكل حوالي 45% من إجمالي المخالفات المرصودة.</w:t>
      </w:r>
    </w:p>
    <w:p w14:paraId="136C577B"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تصنيف المخالفات المرصودة المعتمدة: </w:t>
      </w:r>
    </w:p>
    <w:p w14:paraId="3E64B524"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2017 -&gt; 1.018 مخالفة إدارية (35%) – 1,901 مخالفة فنية (65%).</w:t>
      </w:r>
    </w:p>
    <w:p w14:paraId="38860D68" w14:textId="77777777" w:rsidR="00440E40"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2018 -&gt; 644    مخالفة إدارية (23%) – 2,106 مخالفة فنية (77%).</w:t>
      </w:r>
    </w:p>
    <w:p w14:paraId="09BD14C5" w14:textId="1F77803F" w:rsidR="00AB4755" w:rsidRPr="005D59A7" w:rsidRDefault="00440E40" w:rsidP="00217271">
      <w:pPr>
        <w:bidi/>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2019 -&gt; 1,426 مخالفة إدارية (30%) – 3,256 مخالفة فنية (70%).</w:t>
      </w:r>
    </w:p>
    <w:p w14:paraId="10163DE2"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من منظور اقتصادي مؤسسي، يمكن توصيف نموذج تقديم خدمة التفتيش البيئي الحالي بأنه يعاني من فشل في التصميم التعاقدي (</w:t>
      </w:r>
      <w:r w:rsidRPr="005D59A7">
        <w:rPr>
          <w:rFonts w:ascii="T" w:eastAsia="Calibri" w:hAnsi="T" w:cs="Simplified Arabic"/>
          <w:sz w:val="24"/>
          <w:szCs w:val="24"/>
        </w:rPr>
        <w:t>Contractual Design Failure</w:t>
      </w:r>
      <w:r w:rsidRPr="005D59A7">
        <w:rPr>
          <w:rFonts w:ascii="T" w:eastAsia="Calibri" w:hAnsi="T" w:cs="Simplified Arabic"/>
          <w:sz w:val="24"/>
          <w:szCs w:val="24"/>
          <w:rtl/>
        </w:rPr>
        <w:t>). إذ يعتمد على نموذج التوريد التقليدي (</w:t>
      </w:r>
      <w:r w:rsidRPr="005D59A7">
        <w:rPr>
          <w:rFonts w:ascii="T" w:eastAsia="Calibri" w:hAnsi="T" w:cs="Simplified Arabic"/>
          <w:sz w:val="24"/>
          <w:szCs w:val="24"/>
        </w:rPr>
        <w:t>Input-Based Contracting</w:t>
      </w:r>
      <w:r w:rsidRPr="005D59A7">
        <w:rPr>
          <w:rFonts w:ascii="T" w:eastAsia="Calibri" w:hAnsi="T" w:cs="Simplified Arabic"/>
          <w:sz w:val="24"/>
          <w:szCs w:val="24"/>
          <w:rtl/>
        </w:rPr>
        <w:t>)، الذي يركز على توفير الموارد (عدد مفتشين، عدد زيارات، ساعات عمل) دون ربطها بمخرجات قابلة للقياس أو نتائج بيئية فعلية (</w:t>
      </w:r>
      <w:r w:rsidRPr="005D59A7">
        <w:rPr>
          <w:rFonts w:ascii="T" w:eastAsia="Calibri" w:hAnsi="T" w:cs="Simplified Arabic"/>
          <w:sz w:val="24"/>
          <w:szCs w:val="24"/>
        </w:rPr>
        <w:t>Outcome-Based Performance</w:t>
      </w:r>
      <w:r w:rsidRPr="005D59A7">
        <w:rPr>
          <w:rFonts w:ascii="T" w:eastAsia="Calibri" w:hAnsi="T" w:cs="Simplified Arabic"/>
          <w:sz w:val="24"/>
          <w:szCs w:val="24"/>
          <w:rtl/>
        </w:rPr>
        <w:t>). هذا النموذج يؤدي إلى ما يُعرف في الأدبيات الاقتصادية بمشكلة الوكيل-الأصيل (</w:t>
      </w:r>
      <w:r w:rsidRPr="005D59A7">
        <w:rPr>
          <w:rFonts w:ascii="T" w:eastAsia="Calibri" w:hAnsi="T" w:cs="Simplified Arabic"/>
          <w:sz w:val="24"/>
          <w:szCs w:val="24"/>
        </w:rPr>
        <w:t>Principal-Agent Problem</w:t>
      </w:r>
      <w:r w:rsidRPr="005D59A7">
        <w:rPr>
          <w:rFonts w:ascii="T" w:eastAsia="Calibri" w:hAnsi="T" w:cs="Simplified Arabic"/>
          <w:sz w:val="24"/>
          <w:szCs w:val="24"/>
          <w:rtl/>
        </w:rPr>
        <w:t>)، حيث لا تتطابق مصالح الجهة المنفذة (القطاع الخاص) مع أهداف الجهة المنظمة (الحكومة)، في ظل غياب مؤشرات أداء تعاقدية صارمة.</w:t>
      </w:r>
    </w:p>
    <w:p w14:paraId="73A2767A"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lastRenderedPageBreak/>
        <w:t>كما أن عدم وجود آليات لتقاسم المخاطر (</w:t>
      </w:r>
      <w:r w:rsidRPr="005D59A7">
        <w:rPr>
          <w:rFonts w:ascii="T" w:eastAsia="Calibri" w:hAnsi="T" w:cs="Simplified Arabic"/>
          <w:sz w:val="24"/>
          <w:szCs w:val="24"/>
        </w:rPr>
        <w:t>Risk Sharing Mechanisms</w:t>
      </w:r>
      <w:r w:rsidRPr="005D59A7">
        <w:rPr>
          <w:rFonts w:ascii="T" w:eastAsia="Calibri" w:hAnsi="T" w:cs="Simplified Arabic"/>
          <w:sz w:val="24"/>
          <w:szCs w:val="24"/>
          <w:rtl/>
        </w:rPr>
        <w:t>) يجعل الحكومة تتحمل كامل العبء المالي، بينما لا يتحمل القطاع الخاص سوى مسؤولية تنفيذية محدودة. ففي النموذج التقليدي، يتقاضى القطاع الخاص مقابل توفير الموارد (عدد المفتشين وساعات العمل) بغض النظر عن جودة المخرجات أو تحقيق النتائج المرجوة، مما يخلق فجوة بين التكلفة والقيمة.</w:t>
      </w:r>
    </w:p>
    <w:p w14:paraId="60E048BB"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ماليًا، يشير العجز المسجل البالغ 41,051,609 ريال سعودي خلال الفترة 2017-2019 إلى غياب نموذج استرداد التكاليف (</w:t>
      </w:r>
      <w:r w:rsidRPr="005D59A7">
        <w:rPr>
          <w:rFonts w:ascii="T" w:eastAsia="Calibri" w:hAnsi="T" w:cs="Simplified Arabic"/>
          <w:sz w:val="24"/>
          <w:szCs w:val="24"/>
        </w:rPr>
        <w:t>Cost Recovery Model</w:t>
      </w:r>
      <w:r w:rsidRPr="005D59A7">
        <w:rPr>
          <w:rFonts w:ascii="T" w:eastAsia="Calibri" w:hAnsi="T" w:cs="Simplified Arabic"/>
          <w:sz w:val="24"/>
          <w:szCs w:val="24"/>
          <w:rtl/>
        </w:rPr>
        <w:t>)، حيث لا يتم توظيف المخالفات البيئية أو الرسوم كأداة تمويل مستدامة للخدمة. بلغ إجمالي العوائد من المخالفات 67,238,000 ريال، بينما بلغت التكاليف التشغيلية 108,289,609 ريال، مما يعني أن الإيرادات غطت فقط 62% من التكاليف، مع عجز سنوي مستدام. هذا العجز يعكس عدم قدرة النموذج الحالي على تحقيق الاستدامة المالية، مما يستدعي البحث عن نماذج تمويل بديلة.</w:t>
      </w:r>
    </w:p>
    <w:p w14:paraId="6AAE0273"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كما أن انخفاض رواتب المفتشين إلى متوسط 5,000 ريال شهريًا يعكس خللًا في هيكل الحوافز (</w:t>
      </w:r>
      <w:r w:rsidRPr="005D59A7">
        <w:rPr>
          <w:rFonts w:ascii="T" w:eastAsia="Calibri" w:hAnsi="T" w:cs="Simplified Arabic"/>
          <w:sz w:val="24"/>
          <w:szCs w:val="24"/>
        </w:rPr>
        <w:t>Incentive Structure</w:t>
      </w:r>
      <w:r w:rsidRPr="005D59A7">
        <w:rPr>
          <w:rFonts w:ascii="T" w:eastAsia="Calibri" w:hAnsi="T" w:cs="Simplified Arabic"/>
          <w:sz w:val="24"/>
          <w:szCs w:val="24"/>
          <w:rtl/>
        </w:rPr>
        <w:t>)، حيث لا يتمتع المفتشون بمستوى دخل يتناسب مع حساسية مهامهم وتعقيداتها الفنية. هذا الضعف في الحوافز يؤدي إلى:</w:t>
      </w:r>
    </w:p>
    <w:p w14:paraId="26017E49"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صعوبة استقطاب الكفاءات المتخصصة (أصحاب الخبرات الفنية والقانونية والهندسية).</w:t>
      </w:r>
    </w:p>
    <w:p w14:paraId="6B5AA8B5"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ارتفاع معدلات دوران الموظفين (</w:t>
      </w:r>
      <w:r w:rsidRPr="005D59A7">
        <w:rPr>
          <w:rFonts w:ascii="T" w:eastAsia="Calibri" w:hAnsi="T" w:cs="Simplified Arabic"/>
          <w:sz w:val="24"/>
          <w:szCs w:val="24"/>
        </w:rPr>
        <w:t>Turnover</w:t>
      </w:r>
      <w:r w:rsidRPr="005D59A7">
        <w:rPr>
          <w:rFonts w:ascii="T" w:eastAsia="Calibri" w:hAnsi="T" w:cs="Simplified Arabic"/>
          <w:sz w:val="24"/>
          <w:szCs w:val="24"/>
          <w:rtl/>
        </w:rPr>
        <w:t>) مما يزيد من تكاليف التدريب.</w:t>
      </w:r>
    </w:p>
    <w:p w14:paraId="7B362EF6"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انخفاض الإنتاجية وضعف جودة الأداء.</w:t>
      </w:r>
    </w:p>
    <w:p w14:paraId="709150C0" w14:textId="77777777" w:rsidR="006E35DF" w:rsidRPr="005D59A7" w:rsidRDefault="006E35DF" w:rsidP="0045581D">
      <w:pPr>
        <w:pStyle w:val="ListParagraph"/>
        <w:numPr>
          <w:ilvl w:val="0"/>
          <w:numId w:val="30"/>
        </w:numPr>
        <w:bidi/>
        <w:spacing w:line="360" w:lineRule="auto"/>
        <w:jc w:val="lowKashida"/>
        <w:rPr>
          <w:rFonts w:ascii="T" w:eastAsia="Calibri" w:hAnsi="T" w:cs="Simplified Arabic"/>
          <w:sz w:val="24"/>
          <w:szCs w:val="24"/>
        </w:rPr>
      </w:pPr>
      <w:r w:rsidRPr="005D59A7">
        <w:rPr>
          <w:rFonts w:ascii="T" w:eastAsia="Calibri" w:hAnsi="T" w:cs="Simplified Arabic"/>
          <w:sz w:val="24"/>
          <w:szCs w:val="24"/>
          <w:rtl/>
        </w:rPr>
        <w:t>عدم وجود مسارات مهنية واضحة، مما يؤثر على الاستدامة البشرية.</w:t>
      </w:r>
    </w:p>
    <w:p w14:paraId="031D8D7F"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تشغيليًا، يمكن رصد عدة أوجه قصور إضافية في النموذج الحالي:</w:t>
      </w:r>
    </w:p>
    <w:p w14:paraId="233E0B41"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غياب التكامل بين الجهات ذات العلاقة (</w:t>
      </w:r>
      <w:r w:rsidRPr="005D59A7">
        <w:rPr>
          <w:rFonts w:ascii="T" w:eastAsia="Calibri" w:hAnsi="T" w:cs="Simplified Arabic"/>
          <w:sz w:val="24"/>
          <w:szCs w:val="24"/>
        </w:rPr>
        <w:t>Fragmentation</w:t>
      </w:r>
      <w:r w:rsidRPr="005D59A7">
        <w:rPr>
          <w:rFonts w:ascii="T" w:eastAsia="Calibri" w:hAnsi="T" w:cs="Simplified Arabic"/>
          <w:sz w:val="24"/>
          <w:szCs w:val="24"/>
          <w:rtl/>
        </w:rPr>
        <w:t>): حيث تعمل جهات متعددة (المركز الوطني للرقابة على الالتزام البيئي، وزارة البيئة والمياه والزراعة، الأمانات، الهيئة الملكية للجبيل وينبع) بشكل منفصل، مما يؤدي إلى ازدواجية الجهود أو فجوات في التغطية، وعدم تبادل المعلومات بشكل فعال.</w:t>
      </w:r>
    </w:p>
    <w:p w14:paraId="76516E55"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lastRenderedPageBreak/>
        <w:t>ضعف نظم المتابعة والتقييم (</w:t>
      </w:r>
      <w:r w:rsidRPr="005D59A7">
        <w:rPr>
          <w:rFonts w:ascii="T" w:eastAsia="Calibri" w:hAnsi="T" w:cs="Simplified Arabic"/>
          <w:sz w:val="24"/>
          <w:szCs w:val="24"/>
        </w:rPr>
        <w:t>Monitoring &amp; Evaluation Systems</w:t>
      </w:r>
      <w:r w:rsidRPr="005D59A7">
        <w:rPr>
          <w:rFonts w:ascii="T" w:eastAsia="Calibri" w:hAnsi="T" w:cs="Simplified Arabic"/>
          <w:sz w:val="24"/>
          <w:szCs w:val="24"/>
          <w:rtl/>
        </w:rPr>
        <w:t>): عدم وجود أنظمة متكاملة لتتبع أداء المفتشين، وجودة الزيارات، وتأثير التفتيش على معدلات الامتثال، مما يحد من القدرة على اتخاذ قرارات تحسين مستندة إلى بيانات دقيقة.</w:t>
      </w:r>
    </w:p>
    <w:p w14:paraId="5D1E2D0B" w14:textId="77777777"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محدودية استخدام مؤشرات الأداء الرئيسية (</w:t>
      </w:r>
      <w:r w:rsidRPr="005D59A7">
        <w:rPr>
          <w:rFonts w:ascii="T" w:eastAsia="Calibri" w:hAnsi="T" w:cs="Simplified Arabic"/>
          <w:sz w:val="24"/>
          <w:szCs w:val="24"/>
        </w:rPr>
        <w:t>KPIs</w:t>
      </w:r>
      <w:r w:rsidRPr="005D59A7">
        <w:rPr>
          <w:rFonts w:ascii="T" w:eastAsia="Calibri" w:hAnsi="T" w:cs="Simplified Arabic"/>
          <w:sz w:val="24"/>
          <w:szCs w:val="24"/>
          <w:rtl/>
        </w:rPr>
        <w:t>) المرتبطة بالأثر البيئي: حيث تركز المؤشرات الحالية على مخرجات العملية (عدد الزيارات، عدد المخالفات) بدلاً من النتائج البيئية الفعلية (انخفاض نسبة التلوث، تحسن جودة الهواء والمياه، زيادة معدلات الامتثال).</w:t>
      </w:r>
    </w:p>
    <w:p w14:paraId="467FAB68" w14:textId="11AA8813" w:rsidR="006E35DF" w:rsidRPr="005D59A7" w:rsidRDefault="006E35DF" w:rsidP="00217271">
      <w:pPr>
        <w:bidi/>
        <w:spacing w:line="360" w:lineRule="auto"/>
        <w:ind w:firstLine="720"/>
        <w:jc w:val="lowKashida"/>
        <w:rPr>
          <w:rFonts w:ascii="T" w:eastAsia="Calibri" w:hAnsi="T" w:cs="Simplified Arabic"/>
          <w:sz w:val="24"/>
          <w:szCs w:val="24"/>
        </w:rPr>
      </w:pPr>
      <w:r w:rsidRPr="005D59A7">
        <w:rPr>
          <w:rFonts w:ascii="T" w:eastAsia="Calibri" w:hAnsi="T" w:cs="Simplified Arabic"/>
          <w:sz w:val="24"/>
          <w:szCs w:val="24"/>
          <w:rtl/>
        </w:rPr>
        <w:t>عدم وجود مسارات مهنية واضحة للمفتشين: ما يؤثر على الاستدامة البشرية ويقلل من الاستقرار الوظيفي، ويؤدي إلى فقدان الخبرات المتراكمة.</w:t>
      </w:r>
    </w:p>
    <w:p w14:paraId="254C4413" w14:textId="777CCAFA"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الفجوة في الأدبيات ونمذجة الشراكات بين القطاعين العام والخاص</w:t>
      </w:r>
    </w:p>
    <w:p w14:paraId="79DC41E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على الرغم من التوجه المؤسسي نحو تعزيز الشراكات ضمن برنامج التحول الوطني ورؤية 2030، فإن الأدبيات الحالية لا تقدم نماذج تشغيلية قابلة للتطبيق في قطاع التفتيش البيئي، والذي يُصنف ضمن الخدمات التنظيمية عالية الحساسية</w:t>
      </w:r>
      <w:r w:rsidRPr="005D59A7">
        <w:rPr>
          <w:rFonts w:ascii="T" w:eastAsia="Calibri" w:hAnsi="T" w:cs="Simplified Arabic"/>
          <w:sz w:val="24"/>
          <w:szCs w:val="24"/>
        </w:rPr>
        <w:t xml:space="preserve"> (High-Sensitivity Regulatory Services). </w:t>
      </w:r>
      <w:r w:rsidRPr="005D59A7">
        <w:rPr>
          <w:rFonts w:ascii="T" w:eastAsia="Calibri" w:hAnsi="T" w:cs="Simplified Arabic"/>
          <w:sz w:val="24"/>
          <w:szCs w:val="24"/>
          <w:rtl/>
        </w:rPr>
        <w:t>وتكمن الإشكالية في أن تطبيق الشراكات بين القطاعين العام والخاص في هذا النوع من الخدمات يتطلب توازنًا دقيقًا بين ثلاثة أبعاد قد تكون متضاربة أحيانًا</w:t>
      </w:r>
      <w:r w:rsidRPr="005D59A7">
        <w:rPr>
          <w:rFonts w:ascii="T" w:eastAsia="Calibri" w:hAnsi="T" w:cs="Simplified Arabic"/>
          <w:sz w:val="24"/>
          <w:szCs w:val="24"/>
        </w:rPr>
        <w:t>:</w:t>
      </w:r>
    </w:p>
    <w:p w14:paraId="2A29FC0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الأول: الكفاءة الاقتصادية</w:t>
      </w:r>
      <w:r w:rsidRPr="005D59A7">
        <w:rPr>
          <w:rFonts w:ascii="T" w:eastAsia="Calibri" w:hAnsi="T" w:cs="Simplified Arabic"/>
          <w:sz w:val="24"/>
          <w:szCs w:val="24"/>
        </w:rPr>
        <w:t xml:space="preserve"> (Efficiency): </w:t>
      </w:r>
      <w:r w:rsidRPr="005D59A7">
        <w:rPr>
          <w:rFonts w:ascii="T" w:eastAsia="Calibri" w:hAnsi="T" w:cs="Simplified Arabic"/>
          <w:sz w:val="24"/>
          <w:szCs w:val="24"/>
          <w:rtl/>
        </w:rPr>
        <w:t>تحقيق أعلى مردود بأقل تكلفة، من خلال الاستفادة من خبرات القطاع الخاص وكفاءته التشغيلية، وتطبيق تقنيات حديثة، وتحسين إدارة الموارد، وتقليل الهدر</w:t>
      </w:r>
      <w:r w:rsidRPr="005D59A7">
        <w:rPr>
          <w:rFonts w:ascii="T" w:eastAsia="Calibri" w:hAnsi="T" w:cs="Simplified Arabic"/>
          <w:sz w:val="24"/>
          <w:szCs w:val="24"/>
        </w:rPr>
        <w:t>.</w:t>
      </w:r>
    </w:p>
    <w:p w14:paraId="70C98C0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الثاني: الحياد التنظيمي</w:t>
      </w:r>
      <w:r w:rsidRPr="005D59A7">
        <w:rPr>
          <w:rFonts w:ascii="T" w:eastAsia="Calibri" w:hAnsi="T" w:cs="Simplified Arabic"/>
          <w:sz w:val="24"/>
          <w:szCs w:val="24"/>
        </w:rPr>
        <w:t xml:space="preserve"> (Regulatory Neutrality): </w:t>
      </w:r>
      <w:r w:rsidRPr="005D59A7">
        <w:rPr>
          <w:rFonts w:ascii="T" w:eastAsia="Calibri" w:hAnsi="T" w:cs="Simplified Arabic"/>
          <w:sz w:val="24"/>
          <w:szCs w:val="24"/>
          <w:rtl/>
        </w:rPr>
        <w:t>ضمان عدم تأثير إشراك القطاع الخاص على استقلالية وحيادية الرقابة البيئية، والحفاظ على سلطة اتخاذ القرارات التنظيمية (مثل إصدار المخالفات، تحديد العقوبات) في يد الجهات الحكومية المختصة</w:t>
      </w:r>
      <w:r w:rsidRPr="005D59A7">
        <w:rPr>
          <w:rFonts w:ascii="T" w:eastAsia="Calibri" w:hAnsi="T" w:cs="Simplified Arabic"/>
          <w:sz w:val="24"/>
          <w:szCs w:val="24"/>
        </w:rPr>
        <w:t>.</w:t>
      </w:r>
    </w:p>
    <w:p w14:paraId="6FE9D38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البعد الثالث: المساءلة والشفافية</w:t>
      </w:r>
      <w:r w:rsidRPr="005D59A7">
        <w:rPr>
          <w:rFonts w:ascii="T" w:eastAsia="Calibri" w:hAnsi="T" w:cs="Simplified Arabic"/>
          <w:sz w:val="24"/>
          <w:szCs w:val="24"/>
        </w:rPr>
        <w:t xml:space="preserve"> (Accountability &amp; Transparency): </w:t>
      </w:r>
      <w:r w:rsidRPr="005D59A7">
        <w:rPr>
          <w:rFonts w:ascii="T" w:eastAsia="Calibri" w:hAnsi="T" w:cs="Simplified Arabic"/>
          <w:sz w:val="24"/>
          <w:szCs w:val="24"/>
          <w:rtl/>
        </w:rPr>
        <w:t>وضع آليات واضحة لمساءلة جميع الأطراف (الجهة الحكومية والقطاع الخاص)، وضمان شفافية العمليات، وإتاحة المعلومات للمواطنين والمستثمرين، مع الحفاظ على سرية المعلومات الحساسة</w:t>
      </w:r>
      <w:r w:rsidRPr="005D59A7">
        <w:rPr>
          <w:rFonts w:ascii="T" w:eastAsia="Calibri" w:hAnsi="T" w:cs="Simplified Arabic"/>
          <w:sz w:val="24"/>
          <w:szCs w:val="24"/>
        </w:rPr>
        <w:t>.</w:t>
      </w:r>
    </w:p>
    <w:p w14:paraId="66086DA3"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كما أن الأدبيات تفتقر إلى نماذج لدمج أدوات متقدمة مثل</w:t>
      </w:r>
      <w:r w:rsidRPr="005D59A7">
        <w:rPr>
          <w:rFonts w:ascii="T" w:eastAsia="Calibri" w:hAnsi="T" w:cs="Simplified Arabic"/>
          <w:sz w:val="24"/>
          <w:szCs w:val="24"/>
        </w:rPr>
        <w:t>:</w:t>
      </w:r>
    </w:p>
    <w:p w14:paraId="2C001F4E"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التعاقد القائم على الأداء</w:t>
      </w:r>
      <w:r w:rsidRPr="005D59A7">
        <w:rPr>
          <w:rFonts w:ascii="T" w:eastAsia="Calibri" w:hAnsi="T" w:cs="Simplified Arabic"/>
          <w:sz w:val="24"/>
          <w:szCs w:val="24"/>
        </w:rPr>
        <w:t xml:space="preserve"> (Performance-Based Contracting): </w:t>
      </w:r>
      <w:r w:rsidRPr="005D59A7">
        <w:rPr>
          <w:rFonts w:ascii="T" w:eastAsia="Calibri" w:hAnsi="T" w:cs="Simplified Arabic"/>
          <w:sz w:val="24"/>
          <w:szCs w:val="24"/>
          <w:rtl/>
        </w:rPr>
        <w:t>ربط تعويض القطاع الخاص بتحقيق مؤشرات أداء محددة وقابلة للقياس (مثل نسبة تغطية المنشآت، دقة الرصد، سرعة معالجة المخالفات، تقليل نسبة المخالفات المرفوضة)</w:t>
      </w:r>
      <w:r w:rsidRPr="005D59A7">
        <w:rPr>
          <w:rFonts w:ascii="T" w:eastAsia="Calibri" w:hAnsi="T" w:cs="Simplified Arabic"/>
          <w:sz w:val="24"/>
          <w:szCs w:val="24"/>
        </w:rPr>
        <w:t>.</w:t>
      </w:r>
    </w:p>
    <w:p w14:paraId="5ADF8FBE"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الدفع مقابل النتائج</w:t>
      </w:r>
      <w:r w:rsidRPr="005D59A7">
        <w:rPr>
          <w:rFonts w:ascii="T" w:eastAsia="Calibri" w:hAnsi="T" w:cs="Simplified Arabic"/>
          <w:sz w:val="24"/>
          <w:szCs w:val="24"/>
        </w:rPr>
        <w:t xml:space="preserve"> (Payment by Results): </w:t>
      </w:r>
      <w:r w:rsidRPr="005D59A7">
        <w:rPr>
          <w:rFonts w:ascii="T" w:eastAsia="Calibri" w:hAnsi="T" w:cs="Simplified Arabic"/>
          <w:sz w:val="24"/>
          <w:szCs w:val="24"/>
          <w:rtl/>
        </w:rPr>
        <w:t>حيث يتم الدفع للقطاع الخاص بناءً على النتائج البيئية المحققة (انخفاض المخالفات المتكررة، تحسن مؤشرات جودة البيئة، زيادة معدلات الامتثال) وليس فقط على توفير المدخلات</w:t>
      </w:r>
      <w:r w:rsidRPr="005D59A7">
        <w:rPr>
          <w:rFonts w:ascii="T" w:eastAsia="Calibri" w:hAnsi="T" w:cs="Simplified Arabic"/>
          <w:sz w:val="24"/>
          <w:szCs w:val="24"/>
        </w:rPr>
        <w:t>.</w:t>
      </w:r>
    </w:p>
    <w:p w14:paraId="35C41AF0" w14:textId="6DE245ED"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استخدام التكنولوجيا في التفتيش</w:t>
      </w:r>
      <w:r w:rsidRPr="005D59A7">
        <w:rPr>
          <w:rFonts w:ascii="T" w:eastAsia="Calibri" w:hAnsi="T" w:cs="Simplified Arabic"/>
          <w:sz w:val="24"/>
          <w:szCs w:val="24"/>
        </w:rPr>
        <w:t xml:space="preserve">: </w:t>
      </w:r>
      <w:r w:rsidRPr="005D59A7">
        <w:rPr>
          <w:rFonts w:ascii="T" w:eastAsia="Calibri" w:hAnsi="T" w:cs="Simplified Arabic"/>
          <w:sz w:val="24"/>
          <w:szCs w:val="24"/>
          <w:rtl/>
        </w:rPr>
        <w:t>توظيف الذكاء الاصطناعي، وتحليل البيانات الضخمة</w:t>
      </w:r>
      <w:r w:rsidRPr="005D59A7">
        <w:rPr>
          <w:rFonts w:ascii="T" w:eastAsia="Calibri" w:hAnsi="T" w:cs="Simplified Arabic"/>
          <w:sz w:val="24"/>
          <w:szCs w:val="24"/>
        </w:rPr>
        <w:t xml:space="preserve"> (Big Data)</w:t>
      </w:r>
      <w:r w:rsidRPr="005D59A7">
        <w:rPr>
          <w:rFonts w:ascii="T" w:eastAsia="Calibri" w:hAnsi="T" w:cs="Simplified Arabic"/>
          <w:sz w:val="24"/>
          <w:szCs w:val="24"/>
          <w:rtl/>
        </w:rPr>
        <w:t>، وإنترنت الأشياء</w:t>
      </w:r>
      <w:r w:rsidRPr="005D59A7">
        <w:rPr>
          <w:rFonts w:ascii="T" w:eastAsia="Calibri" w:hAnsi="T" w:cs="Simplified Arabic"/>
          <w:sz w:val="24"/>
          <w:szCs w:val="24"/>
        </w:rPr>
        <w:t xml:space="preserve"> (IoT)</w:t>
      </w:r>
      <w:r w:rsidRPr="005D59A7">
        <w:rPr>
          <w:rFonts w:ascii="T" w:eastAsia="Calibri" w:hAnsi="T" w:cs="Simplified Arabic"/>
          <w:sz w:val="24"/>
          <w:szCs w:val="24"/>
          <w:rtl/>
        </w:rPr>
        <w:t>، والطائرات بدون طيار</w:t>
      </w:r>
      <w:r w:rsidRPr="005D59A7">
        <w:rPr>
          <w:rFonts w:ascii="T" w:eastAsia="Calibri" w:hAnsi="T" w:cs="Simplified Arabic"/>
          <w:sz w:val="24"/>
          <w:szCs w:val="24"/>
        </w:rPr>
        <w:t xml:space="preserve"> (Drones)</w:t>
      </w:r>
      <w:r w:rsidRPr="005D59A7">
        <w:rPr>
          <w:rFonts w:ascii="T" w:eastAsia="Calibri" w:hAnsi="T" w:cs="Simplified Arabic"/>
          <w:sz w:val="24"/>
          <w:szCs w:val="24"/>
          <w:rtl/>
        </w:rPr>
        <w:t>، والتطبيقات الذكية في عمليات التفتيش لتحسين الكفاءة والدقة</w:t>
      </w:r>
      <w:r w:rsidRPr="005D59A7">
        <w:rPr>
          <w:rFonts w:ascii="T" w:eastAsia="Calibri" w:hAnsi="T" w:cs="Simplified Arabic"/>
          <w:sz w:val="24"/>
          <w:szCs w:val="24"/>
        </w:rPr>
        <w:t>.</w:t>
      </w:r>
    </w:p>
    <w:p w14:paraId="1B905C88" w14:textId="71EA78D9"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نماذج تسعير الخدمات الرقابية</w:t>
      </w:r>
      <w:r w:rsidRPr="005D59A7">
        <w:rPr>
          <w:rFonts w:ascii="T" w:eastAsia="Calibri" w:hAnsi="T" w:cs="Simplified Arabic"/>
          <w:sz w:val="24"/>
          <w:szCs w:val="24"/>
        </w:rPr>
        <w:t xml:space="preserve">: </w:t>
      </w:r>
      <w:r w:rsidRPr="005D59A7">
        <w:rPr>
          <w:rFonts w:ascii="T" w:eastAsia="Calibri" w:hAnsi="T" w:cs="Simplified Arabic"/>
          <w:sz w:val="24"/>
          <w:szCs w:val="24"/>
          <w:rtl/>
        </w:rPr>
        <w:t>تطوير آليات لتسعير الخدمات الرقابية بما يضمن استدامة التمويل دون تحميل المنشآت أعباء غير عادلة، مع مراعاة القدرة على الدفع وحجم المنشأة ومستوى المخاطر</w:t>
      </w:r>
      <w:r w:rsidRPr="005D59A7">
        <w:rPr>
          <w:rFonts w:ascii="T" w:eastAsia="Calibri" w:hAnsi="T" w:cs="Simplified Arabic"/>
          <w:sz w:val="24"/>
          <w:szCs w:val="24"/>
        </w:rPr>
        <w:t>.</w:t>
      </w:r>
    </w:p>
    <w:p w14:paraId="4B2B1039" w14:textId="1570D3B7" w:rsidR="00E9655D" w:rsidRPr="005D59A7" w:rsidRDefault="00E9655D"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تقييد نقل التجارب الدولية</w:t>
      </w:r>
      <w:r w:rsidRPr="005D59A7">
        <w:rPr>
          <w:rFonts w:ascii="T" w:eastAsia="Calibri" w:hAnsi="T" w:cs="Simplified Arabic"/>
          <w:sz w:val="24"/>
          <w:szCs w:val="24"/>
        </w:rPr>
        <w:t>: </w:t>
      </w:r>
      <w:r w:rsidRPr="005D59A7">
        <w:rPr>
          <w:rFonts w:ascii="T" w:eastAsia="Calibri" w:hAnsi="T" w:cs="Simplified Arabic"/>
          <w:sz w:val="24"/>
          <w:szCs w:val="24"/>
          <w:rtl/>
        </w:rPr>
        <w:t>عند النظر في الاستفادة من تجارب دول مثل المملكة المتحدة واسكتلندا في مجال الشراكات البيئية، تجدر الإشارة إلى أن الاختلافات في السياق المؤسسي والقانوني والاقتصادي بين هذه الدول والمملكة العربية السعودية تحد من قابلية النقل المباشر للنماذج. فاختلاف أنظمة العقود، ومستويات الشفافية، واستقلالية الهيئات التنظيمية، وهيكل سوق العمل، كلها عوامل تتطلب مواءمة مؤسسية دقيقة قبل تبني أي عناصر من تلك التجارب. كما أن تجارب تلك الدول قد تكون مرتبطة بسياقات قانونية وتاريخية مختلفة، مما يستدعي دراسة متأنية لمدى ملاءمتها للبيئة السعودية قبل اقتراح أي نموذج</w:t>
      </w:r>
      <w:r w:rsidRPr="005D59A7">
        <w:rPr>
          <w:rFonts w:ascii="T" w:eastAsia="Calibri" w:hAnsi="T" w:cs="Simplified Arabic"/>
          <w:sz w:val="24"/>
          <w:szCs w:val="24"/>
        </w:rPr>
        <w:t>.</w:t>
      </w:r>
    </w:p>
    <w:p w14:paraId="3F23C519"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بالإضافة إلى ذلك، لا توجد دراسات كافية تعالج كيفية</w:t>
      </w:r>
      <w:r w:rsidRPr="005D59A7">
        <w:rPr>
          <w:rFonts w:ascii="T" w:eastAsia="Calibri" w:hAnsi="T" w:cs="Simplified Arabic"/>
          <w:sz w:val="24"/>
          <w:szCs w:val="24"/>
        </w:rPr>
        <w:t>:</w:t>
      </w:r>
    </w:p>
    <w:p w14:paraId="5AA7B2ED" w14:textId="271CC6AD"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مؤشرات أداء بيئية قابلة للقياس</w:t>
      </w:r>
      <w:r w:rsidRPr="005D59A7">
        <w:rPr>
          <w:rFonts w:ascii="T" w:eastAsia="Calibri" w:hAnsi="T" w:cs="Simplified Arabic"/>
          <w:sz w:val="24"/>
          <w:szCs w:val="24"/>
        </w:rPr>
        <w:t xml:space="preserve"> </w:t>
      </w:r>
      <w:r w:rsidRPr="005D59A7">
        <w:rPr>
          <w:rFonts w:ascii="T" w:eastAsia="Calibri" w:hAnsi="T" w:cs="Simplified Arabic"/>
          <w:sz w:val="24"/>
          <w:szCs w:val="24"/>
          <w:rtl/>
        </w:rPr>
        <w:t>يمكن استخدامها كأساس للتعاقد مع القطاع الخاص، وتكون مرتبطة بالأثر البيئي الفعلي وليس فقط بمخرجات العملية</w:t>
      </w:r>
      <w:r w:rsidRPr="005D59A7">
        <w:rPr>
          <w:rFonts w:ascii="T" w:eastAsia="Calibri" w:hAnsi="T" w:cs="Simplified Arabic"/>
          <w:sz w:val="24"/>
          <w:szCs w:val="24"/>
        </w:rPr>
        <w:t>.</w:t>
      </w:r>
    </w:p>
    <w:p w14:paraId="75997D5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توزيع المسؤوليات بين الجهات المنظمة والمنفذة دون الإخلال بالسيادة التنظيمية، مع وضع آليات واضحة للرقابة والإشراف</w:t>
      </w:r>
      <w:r w:rsidRPr="005D59A7">
        <w:rPr>
          <w:rFonts w:ascii="T" w:eastAsia="Calibri" w:hAnsi="T" w:cs="Simplified Arabic"/>
          <w:sz w:val="24"/>
          <w:szCs w:val="24"/>
        </w:rPr>
        <w:t>.</w:t>
      </w:r>
    </w:p>
    <w:p w14:paraId="4DB766A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هيكلة عقود الشراكة لضمان استمرارية الخدمة في ظل تغير اللوائح البيئية أو الظروف الاقتصادية، مع مراعاة المرونة اللازمة للتكيف</w:t>
      </w:r>
      <w:r w:rsidRPr="005D59A7">
        <w:rPr>
          <w:rFonts w:ascii="T" w:eastAsia="Calibri" w:hAnsi="T" w:cs="Simplified Arabic"/>
          <w:sz w:val="24"/>
          <w:szCs w:val="24"/>
        </w:rPr>
        <w:t>.</w:t>
      </w:r>
    </w:p>
    <w:p w14:paraId="100771CF"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تقييم المخاطر المرتبطة بإشراك القطاع الخاص في الخدمات الرقابية (مخاطر السمعة، مخاطر التواطؤ، مخاطر الأمن المعلوماتي، مخاطر تضارب المصالح)</w:t>
      </w:r>
      <w:r w:rsidRPr="005D59A7">
        <w:rPr>
          <w:rFonts w:ascii="T" w:eastAsia="Calibri" w:hAnsi="T" w:cs="Simplified Arabic"/>
          <w:sz w:val="24"/>
          <w:szCs w:val="24"/>
        </w:rPr>
        <w:t>.</w:t>
      </w:r>
    </w:p>
    <w:p w14:paraId="58D4441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أنظمة حوافز فعالة تجذب الكفاءات الفنية والقانونية للعمل في مجال التفتيش البيئي من خلال القطاع الخاص، مع ضمان جودة الأداء واستمراريته</w:t>
      </w:r>
      <w:r w:rsidRPr="005D59A7">
        <w:rPr>
          <w:rFonts w:ascii="T" w:eastAsia="Calibri" w:hAnsi="T" w:cs="Simplified Arabic"/>
          <w:sz w:val="24"/>
          <w:szCs w:val="24"/>
        </w:rPr>
        <w:t>.</w:t>
      </w:r>
    </w:p>
    <w:p w14:paraId="010A6FBE" w14:textId="2931E458"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الأبعاد الاستراتيجية والتنموية للمشكلة</w:t>
      </w:r>
    </w:p>
    <w:p w14:paraId="086D884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لا تقتصر تداعيات القصور في التفتيش البيئي على الجانب التشغيلي، بل تمتد إلى أبعاد أوسع تشمل</w:t>
      </w:r>
      <w:r w:rsidRPr="005D59A7">
        <w:rPr>
          <w:rFonts w:ascii="T" w:eastAsia="Calibri" w:hAnsi="T" w:cs="Simplified Arabic"/>
          <w:sz w:val="24"/>
          <w:szCs w:val="24"/>
        </w:rPr>
        <w:t>:</w:t>
      </w:r>
    </w:p>
    <w:p w14:paraId="519D991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الاقتصادي: يؤدي ضعف الرقابة البيئية إلى زيادة تكلفة التدهور البيئي، والتي قدرت سابقًا بنحو 3.1% من الناتج المحلي الإجمالي (86 مليار ريال سعودي)، كما تؤثر على كفاءة استخدام الموارد العامة وتزيد من الأعباء المالية على الدولة. كما أن عدم كفاءة التفتيش قد يؤدي إلى زيادة المخالفات البيئية المتكررة، مما يزيد من تكاليف المعالجة والعلاج</w:t>
      </w:r>
      <w:r w:rsidRPr="005D59A7">
        <w:rPr>
          <w:rFonts w:ascii="T" w:eastAsia="Calibri" w:hAnsi="T" w:cs="Simplified Arabic"/>
          <w:sz w:val="24"/>
          <w:szCs w:val="24"/>
        </w:rPr>
        <w:t>.</w:t>
      </w:r>
    </w:p>
    <w:p w14:paraId="66C24285"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الصحي: من خلال زيادة معدلات التلوث البيئي وتأثيرها المباشر على الأمراض المزمنة والجهاز التنفسي، مما يؤثر على جودة الحياة ومتوسط العمر المتوقع. وقد حددت رؤية 2030 هدفًا لرفع متوسط العمر المتوقع من 74 إلى 80 عامًا، وهو هدف يرتبط بشكل مباشر بجودة البيئة ومستوى التلوث</w:t>
      </w:r>
      <w:r w:rsidRPr="005D59A7">
        <w:rPr>
          <w:rFonts w:ascii="T" w:eastAsia="Calibri" w:hAnsi="T" w:cs="Simplified Arabic"/>
          <w:sz w:val="24"/>
          <w:szCs w:val="24"/>
        </w:rPr>
        <w:t>.</w:t>
      </w:r>
    </w:p>
    <w:p w14:paraId="2F2F991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البعد الاستثماري: تتطلب بيئة الأعمال الحديثة إطارًا تنظيميًا فعالًا وواضحًا، حيث يعتبر المستثمرون المحليون والدوليون وجود نظام رقابي قوي مؤشرًا على استقرار واستدامة بيئة الاستثمار. كما أن الشفافية والالتزام البيئي يعززان سمعة المملكة كوجهة استثمارية جاذبة</w:t>
      </w:r>
      <w:r w:rsidRPr="005D59A7">
        <w:rPr>
          <w:rFonts w:ascii="T" w:eastAsia="Calibri" w:hAnsi="T" w:cs="Simplified Arabic"/>
          <w:sz w:val="24"/>
          <w:szCs w:val="24"/>
        </w:rPr>
        <w:t>.</w:t>
      </w:r>
    </w:p>
    <w:p w14:paraId="0595537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المؤسسي: يعكس أداء التفتيش البيئي نضج المنظومة المؤسسية وقدرتها على تنفيذ السياسات وتحقيق الأهداف الاستراتيجية. كما أن نجاح نماذج الشراكة في هذا القطاع يمكن أن يكون نموذجًا يُحتذى به في خدمات حكومية أخرى</w:t>
      </w:r>
      <w:r w:rsidRPr="005D59A7">
        <w:rPr>
          <w:rFonts w:ascii="T" w:eastAsia="Calibri" w:hAnsi="T" w:cs="Simplified Arabic"/>
          <w:sz w:val="24"/>
          <w:szCs w:val="24"/>
        </w:rPr>
        <w:t>.</w:t>
      </w:r>
    </w:p>
    <w:p w14:paraId="6146647B"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البعد البيئي: يمثل التفتيش البيئي الأداة التنفيذية المباشرة لتحقيق مستهدفات الإستراتيجية الوطنية للبيئة، خاصة الهدف الاستراتيجي 2.4.1 "الحد من التلوث بمختلف أنواعه" ضمن برنامج التحول الوطني. كما أنه يساهم في تحقيق أهداف المبادرة السعودية الخضراء</w:t>
      </w:r>
      <w:r w:rsidRPr="005D59A7">
        <w:rPr>
          <w:rFonts w:ascii="T" w:eastAsia="Calibri" w:hAnsi="T" w:cs="Simplified Arabic"/>
          <w:sz w:val="24"/>
          <w:szCs w:val="24"/>
        </w:rPr>
        <w:t xml:space="preserve"> (SGI) </w:t>
      </w:r>
      <w:r w:rsidRPr="005D59A7">
        <w:rPr>
          <w:rFonts w:ascii="T" w:eastAsia="Calibri" w:hAnsi="T" w:cs="Simplified Arabic"/>
          <w:sz w:val="24"/>
          <w:szCs w:val="24"/>
          <w:rtl/>
        </w:rPr>
        <w:t>التي تهدف إلى خفض الانبعاثات وزيادة الغطاء النباتي وحماية الحياة الفطرية</w:t>
      </w:r>
      <w:r w:rsidRPr="005D59A7">
        <w:rPr>
          <w:rFonts w:ascii="T" w:eastAsia="Calibri" w:hAnsi="T" w:cs="Simplified Arabic"/>
          <w:sz w:val="24"/>
          <w:szCs w:val="24"/>
        </w:rPr>
        <w:t>.</w:t>
      </w:r>
    </w:p>
    <w:p w14:paraId="12852178" w14:textId="51724E4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وبالتالي، فإن تحسين نظام التفتيش البيئي ليس مجرد إصلاح إداري، بل يمثل رافعة استراتيجية متعددة الأثر</w:t>
      </w:r>
      <w:r w:rsidRPr="005D59A7">
        <w:rPr>
          <w:rFonts w:ascii="T" w:eastAsia="Calibri" w:hAnsi="T" w:cs="Simplified Arabic"/>
          <w:sz w:val="24"/>
          <w:szCs w:val="24"/>
        </w:rPr>
        <w:t xml:space="preserve"> </w:t>
      </w:r>
      <w:r w:rsidRPr="005D59A7">
        <w:rPr>
          <w:rFonts w:ascii="T" w:eastAsia="Calibri" w:hAnsi="T" w:cs="Simplified Arabic"/>
          <w:sz w:val="24"/>
          <w:szCs w:val="24"/>
          <w:rtl/>
        </w:rPr>
        <w:t>تسهم في تحقيق أهداف متقاطعة بين الأبعاد الاقتصادية والاجتماعية والبيئية والمؤسسية</w:t>
      </w:r>
      <w:r w:rsidRPr="005D59A7">
        <w:rPr>
          <w:rFonts w:ascii="T" w:eastAsia="Calibri" w:hAnsi="T" w:cs="Simplified Arabic"/>
          <w:sz w:val="24"/>
          <w:szCs w:val="24"/>
        </w:rPr>
        <w:t>.</w:t>
      </w:r>
    </w:p>
    <w:p w14:paraId="3FE50394" w14:textId="16668EB1"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في ضوء التحليل السابق، يمكن صياغة مشكلة الدراسة كما يلي</w:t>
      </w:r>
      <w:r w:rsidRPr="005D59A7">
        <w:rPr>
          <w:rFonts w:ascii="T" w:eastAsia="Calibri" w:hAnsi="T" w:cs="Simplified Arabic"/>
          <w:sz w:val="24"/>
          <w:szCs w:val="24"/>
        </w:rPr>
        <w:t>:</w:t>
      </w:r>
    </w:p>
    <w:p w14:paraId="22B4CB97"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تتمثل مشكلة الدراسة في وجود اختلال هيكلي متعدد الأبعاد في نظام التفتيش البيئي في المملكة العربية السعودية، يتجلى في</w:t>
      </w:r>
      <w:r w:rsidRPr="005D59A7">
        <w:rPr>
          <w:rFonts w:ascii="T" w:eastAsia="Calibri" w:hAnsi="T" w:cs="Simplified Arabic"/>
          <w:sz w:val="24"/>
          <w:szCs w:val="24"/>
        </w:rPr>
        <w:t>:</w:t>
      </w:r>
    </w:p>
    <w:p w14:paraId="65B4E47A"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أولاً: فجوة بين التوسع الكمي ومحدودية الكفاءة النوعية: حيث تحقق زيادة ملحوظة في عدد المفتشين (277%) والزيارات (470%) والمنشآت المغطاة (287%)، لكنها لم تصاحبها زيادة مماثلة في جودة المخرجات (تراجع المخالفات لكل زيارة بنسبة 67%) ودقتها (ارتفاع نسبة المخالفات المرفوضة إلى 45%)</w:t>
      </w:r>
      <w:r w:rsidRPr="005D59A7">
        <w:rPr>
          <w:rFonts w:ascii="T" w:eastAsia="Calibri" w:hAnsi="T" w:cs="Simplified Arabic"/>
          <w:sz w:val="24"/>
          <w:szCs w:val="24"/>
        </w:rPr>
        <w:t>.</w:t>
      </w:r>
    </w:p>
    <w:p w14:paraId="1C6F5F07"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ثانيًا: قصور في التصميم التشغيلي والمالي لنموذج تقديم الخدمة: يعتمد النموذج الحالي على التوريد التقليدي</w:t>
      </w:r>
      <w:r w:rsidRPr="005D59A7">
        <w:rPr>
          <w:rFonts w:ascii="T" w:eastAsia="Calibri" w:hAnsi="T" w:cs="Simplified Arabic"/>
          <w:sz w:val="24"/>
          <w:szCs w:val="24"/>
        </w:rPr>
        <w:t xml:space="preserve"> (Input-Based) </w:t>
      </w:r>
      <w:r w:rsidRPr="005D59A7">
        <w:rPr>
          <w:rFonts w:ascii="T" w:eastAsia="Calibri" w:hAnsi="T" w:cs="Simplified Arabic"/>
          <w:sz w:val="24"/>
          <w:szCs w:val="24"/>
          <w:rtl/>
        </w:rPr>
        <w:t>بدلاً من التعاقد القائم على الأداء</w:t>
      </w:r>
      <w:r w:rsidRPr="005D59A7">
        <w:rPr>
          <w:rFonts w:ascii="T" w:eastAsia="Calibri" w:hAnsi="T" w:cs="Simplified Arabic"/>
          <w:sz w:val="24"/>
          <w:szCs w:val="24"/>
        </w:rPr>
        <w:t xml:space="preserve"> (Performance-Based)</w:t>
      </w:r>
      <w:r w:rsidRPr="005D59A7">
        <w:rPr>
          <w:rFonts w:ascii="T" w:eastAsia="Calibri" w:hAnsi="T" w:cs="Simplified Arabic"/>
          <w:sz w:val="24"/>
          <w:szCs w:val="24"/>
          <w:rtl/>
        </w:rPr>
        <w:t xml:space="preserve">، مما أدى إلى عجز </w:t>
      </w:r>
      <w:r w:rsidRPr="005D59A7">
        <w:rPr>
          <w:rFonts w:ascii="T" w:eastAsia="Calibri" w:hAnsi="T" w:cs="Simplified Arabic"/>
          <w:sz w:val="24"/>
          <w:szCs w:val="24"/>
          <w:rtl/>
        </w:rPr>
        <w:lastRenderedPageBreak/>
        <w:t>مالي مستدام (41 مليون ريال خلال 3 سنوات)، وضعف في هيكل الحوافز (رواتب المفتشين 5,000 ريال)، وعدم قدرة الخدمة على تحقيق استدامة مالية، إضافة إلى غياب آليات تقاسم المخاطر</w:t>
      </w:r>
      <w:r w:rsidRPr="005D59A7">
        <w:rPr>
          <w:rFonts w:ascii="T" w:eastAsia="Calibri" w:hAnsi="T" w:cs="Simplified Arabic"/>
          <w:sz w:val="24"/>
          <w:szCs w:val="24"/>
        </w:rPr>
        <w:t>.</w:t>
      </w:r>
    </w:p>
    <w:p w14:paraId="6A17C65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ثالثًا: ضعف في حوكمة البيانات وإدارة المعلومات: ارتفاع نسبة المخالفات المرفوضة (45%) يعكس ضعفًا في دقة الرصد، وسلامة الإجراءات النظامية، واستخدام التقنيات الحديثة في التفتيش، إضافة إلى غياب أنظمة متكاملة لتتبع الأداء</w:t>
      </w:r>
      <w:r w:rsidRPr="005D59A7">
        <w:rPr>
          <w:rFonts w:ascii="T" w:eastAsia="Calibri" w:hAnsi="T" w:cs="Simplified Arabic"/>
          <w:sz w:val="24"/>
          <w:szCs w:val="24"/>
        </w:rPr>
        <w:t>.</w:t>
      </w:r>
    </w:p>
    <w:p w14:paraId="6872E7F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رابعًا: عدم كفاءة في تخصيص الموارد ومواءمتها مع الاحتياج: عدم مواكبة زيادة عدد المفتشين (16%) لزيادة عدد المنشآت (29%)، مما أدى إلى تذبذب عبء العمل وعدم استقرار الأداء، وزيادة الضغط على المفتشين</w:t>
      </w:r>
      <w:r w:rsidRPr="005D59A7">
        <w:rPr>
          <w:rFonts w:ascii="T" w:eastAsia="Calibri" w:hAnsi="T" w:cs="Simplified Arabic"/>
          <w:sz w:val="24"/>
          <w:szCs w:val="24"/>
        </w:rPr>
        <w:t>.</w:t>
      </w:r>
    </w:p>
    <w:p w14:paraId="199E4C58"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خامسًا: غياب التكامل المؤسسي: عمل الجهات المعنية بشكل منفصل دون أنظمة تكامل فعالة، مما يؤدي إلى ازدواجية الجهود أو فجوات في التغطية، وعدم تبادل المعلومات بشكل فعال</w:t>
      </w:r>
      <w:r w:rsidRPr="005D59A7">
        <w:rPr>
          <w:rFonts w:ascii="T" w:eastAsia="Calibri" w:hAnsi="T" w:cs="Simplified Arabic"/>
          <w:sz w:val="24"/>
          <w:szCs w:val="24"/>
        </w:rPr>
        <w:t>.</w:t>
      </w:r>
    </w:p>
    <w:p w14:paraId="79FC1153"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سادسًا: غياب نماذج تطبيقية متقدمة في الأدبيات لهيكلة الشراكات بين القطاعين العام والخاص في الخدمات الرقابية البيئية عالية الحساسية، بما يشمل</w:t>
      </w:r>
      <w:r w:rsidRPr="005D59A7">
        <w:rPr>
          <w:rFonts w:ascii="T" w:eastAsia="Calibri" w:hAnsi="T" w:cs="Simplified Arabic"/>
          <w:sz w:val="24"/>
          <w:szCs w:val="24"/>
        </w:rPr>
        <w:t>:</w:t>
      </w:r>
    </w:p>
    <w:p w14:paraId="48743D8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تصميم مؤشرات أداء بيئية قابلة للقياس</w:t>
      </w:r>
      <w:r w:rsidRPr="005D59A7">
        <w:rPr>
          <w:rFonts w:ascii="T" w:eastAsia="Calibri" w:hAnsi="T" w:cs="Simplified Arabic"/>
          <w:sz w:val="24"/>
          <w:szCs w:val="24"/>
        </w:rPr>
        <w:t xml:space="preserve"> (Measurable Environmental KPIs).</w:t>
      </w:r>
    </w:p>
    <w:p w14:paraId="32F470AD"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توزيع المخاطر بين القطاعين العام والخاص</w:t>
      </w:r>
      <w:r w:rsidRPr="005D59A7">
        <w:rPr>
          <w:rFonts w:ascii="T" w:eastAsia="Calibri" w:hAnsi="T" w:cs="Simplified Arabic"/>
          <w:sz w:val="24"/>
          <w:szCs w:val="24"/>
        </w:rPr>
        <w:t xml:space="preserve"> (Risk Allocation).</w:t>
      </w:r>
    </w:p>
    <w:p w14:paraId="3F20D36F"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ضمان الحياد التنظيمي والشفافية والمساءلة</w:t>
      </w:r>
      <w:r w:rsidRPr="005D59A7">
        <w:rPr>
          <w:rFonts w:ascii="T" w:eastAsia="Calibri" w:hAnsi="T" w:cs="Simplified Arabic"/>
          <w:sz w:val="24"/>
          <w:szCs w:val="24"/>
        </w:rPr>
        <w:t xml:space="preserve"> (Regulatory Neutrality, Transparency &amp; Accountability).</w:t>
      </w:r>
    </w:p>
    <w:p w14:paraId="0D4544E0"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تطوير نماذج استرداد التكاليف</w:t>
      </w:r>
      <w:r w:rsidRPr="005D59A7">
        <w:rPr>
          <w:rFonts w:ascii="T" w:eastAsia="Calibri" w:hAnsi="T" w:cs="Simplified Arabic"/>
          <w:sz w:val="24"/>
          <w:szCs w:val="24"/>
        </w:rPr>
        <w:t xml:space="preserve"> (Cost Recovery Models).</w:t>
      </w:r>
    </w:p>
    <w:p w14:paraId="2403B0DC"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توظيف التقنيات الحديثة</w:t>
      </w:r>
      <w:r w:rsidRPr="005D59A7">
        <w:rPr>
          <w:rFonts w:ascii="T" w:eastAsia="Calibri" w:hAnsi="T" w:cs="Simplified Arabic"/>
          <w:sz w:val="24"/>
          <w:szCs w:val="24"/>
        </w:rPr>
        <w:t xml:space="preserve"> (RegTech &amp; GovTech) </w:t>
      </w:r>
      <w:r w:rsidRPr="005D59A7">
        <w:rPr>
          <w:rFonts w:ascii="T" w:eastAsia="Calibri" w:hAnsi="T" w:cs="Simplified Arabic"/>
          <w:sz w:val="24"/>
          <w:szCs w:val="24"/>
          <w:rtl/>
        </w:rPr>
        <w:t>في عمليات التفتيش</w:t>
      </w:r>
      <w:r w:rsidRPr="005D59A7">
        <w:rPr>
          <w:rFonts w:ascii="T" w:eastAsia="Calibri" w:hAnsi="T" w:cs="Simplified Arabic"/>
          <w:sz w:val="24"/>
          <w:szCs w:val="24"/>
        </w:rPr>
        <w:t>.</w:t>
      </w:r>
    </w:p>
    <w:p w14:paraId="15B31E26" w14:textId="77777777" w:rsidR="006E7C5B" w:rsidRPr="005D59A7" w:rsidRDefault="006E7C5B" w:rsidP="00217271">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t>هيكلة عقود قائمة على الأداء والنتائج</w:t>
      </w:r>
      <w:r w:rsidRPr="005D59A7">
        <w:rPr>
          <w:rFonts w:ascii="T" w:eastAsia="Calibri" w:hAnsi="T" w:cs="Simplified Arabic"/>
          <w:sz w:val="24"/>
          <w:szCs w:val="24"/>
        </w:rPr>
        <w:t xml:space="preserve"> (Performance-Based &amp; Results-Based Contracting).</w:t>
      </w:r>
    </w:p>
    <w:p w14:paraId="535388EC" w14:textId="77777777" w:rsidR="006E7C5B" w:rsidRPr="005D59A7" w:rsidRDefault="006E7C5B" w:rsidP="00DF52A6">
      <w:pPr>
        <w:bidi/>
        <w:spacing w:line="360" w:lineRule="auto"/>
        <w:ind w:firstLine="720"/>
        <w:jc w:val="lowKashida"/>
        <w:rPr>
          <w:rFonts w:ascii="T" w:eastAsia="Calibri" w:hAnsi="T" w:cs="Simplified Arabic"/>
          <w:sz w:val="24"/>
          <w:szCs w:val="24"/>
          <w:rtl/>
        </w:rPr>
      </w:pPr>
      <w:r w:rsidRPr="005D59A7">
        <w:rPr>
          <w:rFonts w:ascii="T" w:eastAsia="Calibri" w:hAnsi="T" w:cs="Simplified Arabic"/>
          <w:sz w:val="24"/>
          <w:szCs w:val="24"/>
          <w:rtl/>
        </w:rPr>
        <w:lastRenderedPageBreak/>
        <w:t>وعليه، تبرز الحاجة إلى تطوير نموذج تكاملي مبتكر قائم على الشراكات بين القطاعين العام والخاص يعيد هندسة منظومة التفتيش البيئي من منظور تشغيلي ومالي ومؤسسي، بما يحقق الكفاءة، ويعزز الامتثال البيئي، ويدعم مستهدفات الاستدامة ضمن رؤية السعودية 2030، مع الحفاظ على الحياد التنظيمي والشفافية والمساءلة</w:t>
      </w:r>
      <w:r w:rsidRPr="005D59A7">
        <w:rPr>
          <w:rFonts w:ascii="T" w:eastAsia="Calibri" w:hAnsi="T" w:cs="Simplified Arabic"/>
          <w:sz w:val="24"/>
          <w:szCs w:val="24"/>
        </w:rPr>
        <w:t>.</w:t>
      </w:r>
    </w:p>
    <w:p w14:paraId="548611FF" w14:textId="77777777" w:rsidR="00177E64" w:rsidRPr="005D59A7" w:rsidRDefault="00F873FA" w:rsidP="00DF52A6">
      <w:pPr>
        <w:pStyle w:val="Heading1"/>
        <w:bidi/>
        <w:rPr>
          <w:rFonts w:ascii="T" w:eastAsia="Times New Roman" w:hAnsi="T" w:cs="Simplified Arabic"/>
          <w:b/>
          <w:bCs/>
          <w:color w:val="auto"/>
          <w:sz w:val="24"/>
          <w:szCs w:val="24"/>
          <w:rtl/>
        </w:rPr>
      </w:pPr>
      <w:bookmarkStart w:id="7" w:name="_Toc225991324"/>
      <w:r w:rsidRPr="005D59A7">
        <w:rPr>
          <w:rFonts w:ascii="T" w:eastAsia="Times New Roman" w:hAnsi="T" w:cs="Simplified Arabic"/>
          <w:b/>
          <w:bCs/>
          <w:color w:val="auto"/>
          <w:sz w:val="24"/>
          <w:szCs w:val="24"/>
          <w:rtl/>
        </w:rPr>
        <w:t>تساؤلات الدراسة:</w:t>
      </w:r>
      <w:bookmarkEnd w:id="7"/>
    </w:p>
    <w:p w14:paraId="7D3A7CB2" w14:textId="77777777" w:rsidR="00D82B05" w:rsidRPr="005D59A7" w:rsidRDefault="00D82B05" w:rsidP="00DF52A6">
      <w:pPr>
        <w:bidi/>
        <w:ind w:left="84" w:firstLine="720"/>
        <w:jc w:val="both"/>
        <w:rPr>
          <w:rFonts w:ascii="T" w:hAnsi="T" w:cs="Simplified Arabic"/>
          <w:b/>
          <w:bCs/>
          <w:sz w:val="24"/>
          <w:szCs w:val="24"/>
          <w:shd w:val="clear" w:color="auto" w:fill="FFFFFF"/>
          <w:rtl/>
          <w:lang w:bidi="ar-EG"/>
        </w:rPr>
      </w:pPr>
      <w:r w:rsidRPr="005D59A7">
        <w:rPr>
          <w:rFonts w:ascii="T" w:hAnsi="T" w:cs="Simplified Arabic"/>
          <w:b/>
          <w:bCs/>
          <w:sz w:val="24"/>
          <w:szCs w:val="24"/>
          <w:shd w:val="clear" w:color="auto" w:fill="FFFFFF"/>
          <w:rtl/>
          <w:lang w:bidi="ar-EG"/>
        </w:rPr>
        <w:t>السؤال الرئيس</w:t>
      </w:r>
      <w:r w:rsidRPr="005D59A7">
        <w:rPr>
          <w:rFonts w:ascii="T" w:hAnsi="T" w:cs="Simplified Arabic"/>
          <w:b/>
          <w:bCs/>
          <w:sz w:val="24"/>
          <w:szCs w:val="24"/>
          <w:shd w:val="clear" w:color="auto" w:fill="FFFFFF"/>
          <w:lang w:bidi="ar-EG"/>
        </w:rPr>
        <w:t>:</w:t>
      </w:r>
    </w:p>
    <w:p w14:paraId="47CEB100" w14:textId="77777777" w:rsidR="00D82B05" w:rsidRPr="005D59A7" w:rsidRDefault="00D82B05" w:rsidP="00DF52A6">
      <w:pPr>
        <w:bidi/>
        <w:spacing w:line="360" w:lineRule="auto"/>
        <w:ind w:left="84" w:firstLine="72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ما مدى كفاءة وفعالية نموذج الحوكمة والتشغيل الحالي لخدمة التفتيش البيئي في المملكة العربية السعودية، كما تطبقه المركز الوطني للرقابة على الالتزام البيئي، وما مدى قدرة نموذج شراكة مقترح بين القطاعين العام والخاص</w:t>
      </w:r>
      <w:r w:rsidRPr="005D59A7">
        <w:rPr>
          <w:rFonts w:ascii="T" w:hAnsi="T" w:cs="Simplified Arabic"/>
          <w:sz w:val="24"/>
          <w:szCs w:val="24"/>
          <w:shd w:val="clear" w:color="auto" w:fill="FFFFFF"/>
          <w:lang w:bidi="ar-EG"/>
        </w:rPr>
        <w:t xml:space="preserve"> (PPP) </w:t>
      </w:r>
      <w:r w:rsidRPr="005D59A7">
        <w:rPr>
          <w:rFonts w:ascii="T" w:hAnsi="T" w:cs="Simplified Arabic"/>
          <w:sz w:val="24"/>
          <w:szCs w:val="24"/>
          <w:shd w:val="clear" w:color="auto" w:fill="FFFFFF"/>
          <w:rtl/>
          <w:lang w:bidi="ar-EG"/>
        </w:rPr>
        <w:t>على تحسين الكفاءة التشغيلية وجودة المخرجات وتحقيق الاستدامة المالية بما يتوافق مع مستهدفات رؤية السعودية 2030؟</w:t>
      </w:r>
    </w:p>
    <w:p w14:paraId="5E65EA66" w14:textId="77777777" w:rsidR="00D82B05" w:rsidRPr="005D59A7" w:rsidRDefault="00D82B05" w:rsidP="00DF52A6">
      <w:pPr>
        <w:bidi/>
        <w:spacing w:line="360" w:lineRule="auto"/>
        <w:ind w:left="84" w:firstLine="720"/>
        <w:jc w:val="both"/>
        <w:rPr>
          <w:rFonts w:ascii="T" w:hAnsi="T" w:cs="Simplified Arabic"/>
          <w:b/>
          <w:bCs/>
          <w:sz w:val="24"/>
          <w:szCs w:val="24"/>
          <w:shd w:val="clear" w:color="auto" w:fill="FFFFFF"/>
          <w:rtl/>
          <w:lang w:bidi="ar-EG"/>
        </w:rPr>
      </w:pPr>
      <w:r w:rsidRPr="005D59A7">
        <w:rPr>
          <w:rFonts w:ascii="T" w:hAnsi="T" w:cs="Simplified Arabic"/>
          <w:b/>
          <w:bCs/>
          <w:sz w:val="24"/>
          <w:szCs w:val="24"/>
          <w:shd w:val="clear" w:color="auto" w:fill="FFFFFF"/>
          <w:rtl/>
          <w:lang w:bidi="ar-EG"/>
        </w:rPr>
        <w:t>الأسئلة الفرعية</w:t>
      </w:r>
      <w:r w:rsidRPr="005D59A7">
        <w:rPr>
          <w:rFonts w:ascii="T" w:hAnsi="T" w:cs="Simplified Arabic"/>
          <w:b/>
          <w:bCs/>
          <w:sz w:val="24"/>
          <w:szCs w:val="24"/>
          <w:shd w:val="clear" w:color="auto" w:fill="FFFFFF"/>
          <w:lang w:bidi="ar-EG"/>
        </w:rPr>
        <w:t>:</w:t>
      </w:r>
    </w:p>
    <w:p w14:paraId="07B46018" w14:textId="77777777" w:rsidR="00D82B05" w:rsidRPr="005D59A7"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ما خصائص وأداء نموذج تقديم خدمة التفتيش البيئي الحالي من حيث الكفاءة التشغيلية، جودة المخرجات، مستوى التغطية، وآليات التوريد التقليدية؟</w:t>
      </w:r>
    </w:p>
    <w:p w14:paraId="32AD6D00" w14:textId="77777777" w:rsidR="00D82B05" w:rsidRPr="005D59A7"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إلى أي مدى يحقق النموذج الحالي كفاءة اقتصادية واستدامة مالية، وما فرص تحسين التكلفة والعائد (خصوصًا تكلفة الزيارة التفتيشية) في حال تطبيق نموذج شراكة مع القطاع الخاص؟</w:t>
      </w:r>
    </w:p>
    <w:p w14:paraId="7D6F56C0" w14:textId="77777777" w:rsidR="00D82B05" w:rsidRPr="005D59A7"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ما النماذج التعاقدية الأنسب</w:t>
      </w:r>
      <w:r w:rsidRPr="005D59A7">
        <w:rPr>
          <w:rFonts w:ascii="T" w:hAnsi="T" w:cs="Simplified Arabic"/>
          <w:sz w:val="24"/>
          <w:szCs w:val="24"/>
          <w:shd w:val="clear" w:color="auto" w:fill="FFFFFF"/>
          <w:lang w:bidi="ar-EG"/>
        </w:rPr>
        <w:t xml:space="preserve"> (</w:t>
      </w:r>
      <w:r w:rsidRPr="005D59A7">
        <w:rPr>
          <w:rFonts w:ascii="T" w:hAnsi="T" w:cs="Simplified Arabic"/>
          <w:sz w:val="24"/>
          <w:szCs w:val="24"/>
          <w:shd w:val="clear" w:color="auto" w:fill="FFFFFF"/>
          <w:rtl/>
          <w:lang w:bidi="ar-EG"/>
        </w:rPr>
        <w:t>مثل</w:t>
      </w:r>
      <w:r w:rsidRPr="005D59A7">
        <w:rPr>
          <w:rFonts w:ascii="T" w:hAnsi="T" w:cs="Simplified Arabic"/>
          <w:sz w:val="24"/>
          <w:szCs w:val="24"/>
          <w:shd w:val="clear" w:color="auto" w:fill="FFFFFF"/>
          <w:lang w:bidi="ar-EG"/>
        </w:rPr>
        <w:t xml:space="preserve"> DBO</w:t>
      </w:r>
      <w:r w:rsidRPr="005D59A7">
        <w:rPr>
          <w:rFonts w:ascii="T" w:hAnsi="T" w:cs="Simplified Arabic"/>
          <w:sz w:val="24"/>
          <w:szCs w:val="24"/>
          <w:shd w:val="clear" w:color="auto" w:fill="FFFFFF"/>
          <w:rtl/>
          <w:lang w:bidi="ar-EG"/>
        </w:rPr>
        <w:t xml:space="preserve">، </w:t>
      </w:r>
      <w:r w:rsidRPr="005D59A7">
        <w:rPr>
          <w:rFonts w:ascii="T" w:hAnsi="T" w:cs="Simplified Arabic"/>
          <w:sz w:val="24"/>
          <w:szCs w:val="24"/>
          <w:shd w:val="clear" w:color="auto" w:fill="FFFFFF"/>
          <w:lang w:bidi="ar-EG"/>
        </w:rPr>
        <w:t>DBFM</w:t>
      </w:r>
      <w:r w:rsidRPr="005D59A7">
        <w:rPr>
          <w:rFonts w:ascii="T" w:hAnsi="T" w:cs="Simplified Arabic"/>
          <w:sz w:val="24"/>
          <w:szCs w:val="24"/>
          <w:shd w:val="clear" w:color="auto" w:fill="FFFFFF"/>
          <w:rtl/>
          <w:lang w:bidi="ar-EG"/>
        </w:rPr>
        <w:t>، أو التعهيد المتقدم</w:t>
      </w:r>
      <w:r w:rsidRPr="005D59A7">
        <w:rPr>
          <w:rFonts w:ascii="T" w:hAnsi="T" w:cs="Simplified Arabic"/>
          <w:sz w:val="24"/>
          <w:szCs w:val="24"/>
          <w:shd w:val="clear" w:color="auto" w:fill="FFFFFF"/>
          <w:lang w:bidi="ar-EG"/>
        </w:rPr>
        <w:t xml:space="preserve">) </w:t>
      </w:r>
      <w:r w:rsidRPr="005D59A7">
        <w:rPr>
          <w:rFonts w:ascii="T" w:hAnsi="T" w:cs="Simplified Arabic"/>
          <w:sz w:val="24"/>
          <w:szCs w:val="24"/>
          <w:shd w:val="clear" w:color="auto" w:fill="FFFFFF"/>
          <w:rtl/>
          <w:lang w:bidi="ar-EG"/>
        </w:rPr>
        <w:t>لتقديم خدمة التفتيش البيئي، وما مدى ملاءمتها لطبيعة الخدمات الرقابية في القطاع البيئي السعودي؟</w:t>
      </w:r>
    </w:p>
    <w:p w14:paraId="02683D4A" w14:textId="77777777" w:rsidR="00D82B05" w:rsidRPr="005D59A7" w:rsidRDefault="00D82B05" w:rsidP="0045581D">
      <w:pPr>
        <w:pStyle w:val="ListParagraph"/>
        <w:numPr>
          <w:ilvl w:val="0"/>
          <w:numId w:val="27"/>
        </w:numPr>
        <w:bidi/>
        <w:spacing w:line="360" w:lineRule="auto"/>
        <w:ind w:left="84" w:firstLine="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كيف يمكن تصميم إطار متكامل لتوزيع المخاطر بين القطاعين العام والخاص، وربط الرسوم والعوائد بمؤشرات أداء قابلة للقياس، بما يحقق التوازن المالي ويعزز كفاءة وجودة الخدمة؟</w:t>
      </w:r>
    </w:p>
    <w:p w14:paraId="4993D2BC" w14:textId="15FEB165" w:rsidR="000D1D88" w:rsidRPr="005D59A7" w:rsidRDefault="00D82B05" w:rsidP="00DF52A6">
      <w:pPr>
        <w:bidi/>
        <w:spacing w:line="360" w:lineRule="auto"/>
        <w:ind w:left="84" w:firstLine="720"/>
        <w:jc w:val="both"/>
        <w:rPr>
          <w:rFonts w:ascii="T" w:hAnsi="T" w:cs="Simplified Arabic"/>
          <w:sz w:val="24"/>
          <w:szCs w:val="24"/>
          <w:shd w:val="clear" w:color="auto" w:fill="FFFFFF"/>
          <w:rtl/>
          <w:lang w:bidi="ar-EG"/>
        </w:rPr>
      </w:pPr>
      <w:r w:rsidRPr="005D59A7">
        <w:rPr>
          <w:rFonts w:ascii="T" w:hAnsi="T" w:cs="Simplified Arabic"/>
          <w:sz w:val="24"/>
          <w:szCs w:val="24"/>
          <w:shd w:val="clear" w:color="auto" w:fill="FFFFFF"/>
          <w:rtl/>
          <w:lang w:bidi="ar-EG"/>
        </w:rPr>
        <w:t>وستتم معالجة هذه التساؤلات من خلال تحليل البيانات المتاحة، والاستناد إلى الأدبيات العلمية والدراسات السابقة، وبما يدعم بناء نموذج تطبيقي متكامل يسهم في تطوير حوكمة وأداء خدمات التفتيش البيئي.</w:t>
      </w:r>
    </w:p>
    <w:p w14:paraId="66E81B4C" w14:textId="2D37D79A" w:rsidR="00F32747" w:rsidRPr="005D59A7" w:rsidRDefault="00F32747" w:rsidP="00DF52A6">
      <w:pPr>
        <w:pStyle w:val="Heading1"/>
        <w:bidi/>
        <w:spacing w:line="360" w:lineRule="auto"/>
        <w:rPr>
          <w:rFonts w:ascii="T" w:eastAsia="Times New Roman" w:hAnsi="T" w:cs="Simplified Arabic"/>
          <w:b/>
          <w:bCs/>
          <w:color w:val="auto"/>
          <w:sz w:val="24"/>
          <w:szCs w:val="24"/>
          <w:rtl/>
        </w:rPr>
      </w:pPr>
      <w:bookmarkStart w:id="8" w:name="_Toc225991325"/>
      <w:r w:rsidRPr="005D59A7">
        <w:rPr>
          <w:rFonts w:ascii="T" w:eastAsia="Times New Roman" w:hAnsi="T" w:cs="Simplified Arabic"/>
          <w:b/>
          <w:bCs/>
          <w:color w:val="auto"/>
          <w:sz w:val="24"/>
          <w:szCs w:val="24"/>
          <w:rtl/>
        </w:rPr>
        <w:lastRenderedPageBreak/>
        <w:t>فرضيات الدراسة</w:t>
      </w:r>
      <w:bookmarkEnd w:id="8"/>
    </w:p>
    <w:p w14:paraId="75E6BCCB" w14:textId="32E756B8" w:rsidR="00E9655D" w:rsidRPr="005D59A7"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5D59A7">
        <w:rPr>
          <w:rFonts w:ascii="T" w:hAnsi="T" w:cs="Simplified Arabic"/>
          <w:sz w:val="24"/>
          <w:szCs w:val="24"/>
          <w:shd w:val="clear" w:color="auto" w:fill="FFFFFF"/>
          <w:rtl/>
          <w:lang w:bidi="ar-EG"/>
        </w:rPr>
        <w:t>يتسم نموذج تقديم خدمة التفتيش البيئي الحالي بانخفاض ذي دلالة إحصائية في مستوى الكفاءة التشغيلية، ويُقاس ذلك من خلال مؤشرات الإنتاجية، ونسبة التغطية التفتيشية، وتكلفة الزيارة التفتيشية</w:t>
      </w:r>
      <w:r w:rsidRPr="005D59A7">
        <w:rPr>
          <w:rFonts w:ascii="T" w:hAnsi="T" w:cs="Simplified Arabic"/>
          <w:sz w:val="24"/>
          <w:szCs w:val="24"/>
          <w:shd w:val="clear" w:color="auto" w:fill="FFFFFF"/>
          <w:lang w:bidi="ar-EG"/>
        </w:rPr>
        <w:t>.</w:t>
      </w:r>
    </w:p>
    <w:p w14:paraId="2FE59BC7" w14:textId="6FF6A642" w:rsidR="00E9655D" w:rsidRPr="005D59A7"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5D59A7">
        <w:rPr>
          <w:rFonts w:ascii="T" w:hAnsi="T" w:cs="Simplified Arabic"/>
          <w:sz w:val="24"/>
          <w:szCs w:val="24"/>
          <w:shd w:val="clear" w:color="auto" w:fill="FFFFFF"/>
          <w:rtl/>
          <w:lang w:bidi="ar-EG"/>
        </w:rPr>
        <w:t>لا يحقق نموذج تقديم خدمة التفتيش البيئي الحالي مستوى كفاءة مالية مستدامة، حيث توجد علاقة ذات دلالة إحصائية بين ارتفاع التكاليف التشغيلية وانخفاض صافي العائد المالي للخدمة</w:t>
      </w:r>
      <w:r w:rsidRPr="005D59A7">
        <w:rPr>
          <w:rFonts w:ascii="T" w:hAnsi="T" w:cs="Simplified Arabic"/>
          <w:sz w:val="24"/>
          <w:szCs w:val="24"/>
          <w:shd w:val="clear" w:color="auto" w:fill="FFFFFF"/>
          <w:lang w:bidi="ar-EG"/>
        </w:rPr>
        <w:t>.</w:t>
      </w:r>
    </w:p>
    <w:p w14:paraId="1695E7A7" w14:textId="645534E0" w:rsidR="00E9655D" w:rsidRPr="005D59A7"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5D59A7">
        <w:rPr>
          <w:rFonts w:ascii="T" w:hAnsi="T" w:cs="Simplified Arabic"/>
          <w:sz w:val="24"/>
          <w:szCs w:val="24"/>
          <w:shd w:val="clear" w:color="auto" w:fill="FFFFFF"/>
          <w:rtl/>
          <w:lang w:bidi="ar-EG"/>
        </w:rPr>
        <w:t>يسهم تطبيق نموذج الشراكة بين القطاعين العام والخاص</w:t>
      </w:r>
      <w:r w:rsidRPr="005D59A7">
        <w:rPr>
          <w:rFonts w:ascii="T" w:hAnsi="T" w:cs="Simplified Arabic"/>
          <w:sz w:val="24"/>
          <w:szCs w:val="24"/>
          <w:shd w:val="clear" w:color="auto" w:fill="FFFFFF"/>
          <w:lang w:bidi="ar-EG"/>
        </w:rPr>
        <w:t xml:space="preserve"> (PPP) </w:t>
      </w:r>
      <w:r w:rsidRPr="005D59A7">
        <w:rPr>
          <w:rFonts w:ascii="T" w:hAnsi="T" w:cs="Simplified Arabic"/>
          <w:sz w:val="24"/>
          <w:szCs w:val="24"/>
          <w:shd w:val="clear" w:color="auto" w:fill="FFFFFF"/>
          <w:rtl/>
          <w:lang w:bidi="ar-EG"/>
        </w:rPr>
        <w:t>في تحسين ذي دلالة إحصائية في كل من الكفاءة التشغيلية وجودة مخرجات خدمة التفتيش البيئي مقارنة بالنموذج القائم</w:t>
      </w:r>
      <w:r w:rsidRPr="005D59A7">
        <w:rPr>
          <w:rFonts w:ascii="T" w:hAnsi="T" w:cs="Simplified Arabic"/>
          <w:sz w:val="24"/>
          <w:szCs w:val="24"/>
          <w:shd w:val="clear" w:color="auto" w:fill="FFFFFF"/>
          <w:lang w:bidi="ar-EG"/>
        </w:rPr>
        <w:t>.</w:t>
      </w:r>
    </w:p>
    <w:p w14:paraId="52570137" w14:textId="33DA5BCE" w:rsidR="00F32747" w:rsidRPr="005D59A7" w:rsidRDefault="00E9655D" w:rsidP="0045581D">
      <w:pPr>
        <w:pStyle w:val="ListParagraph"/>
        <w:numPr>
          <w:ilvl w:val="0"/>
          <w:numId w:val="31"/>
        </w:numPr>
        <w:bidi/>
        <w:spacing w:line="360" w:lineRule="auto"/>
        <w:jc w:val="both"/>
        <w:rPr>
          <w:rFonts w:ascii="T" w:hAnsi="T" w:cs="Simplified Arabic"/>
          <w:sz w:val="24"/>
          <w:szCs w:val="24"/>
          <w:shd w:val="clear" w:color="auto" w:fill="FFFFFF"/>
          <w:lang w:bidi="ar-EG"/>
        </w:rPr>
      </w:pPr>
      <w:r w:rsidRPr="005D59A7">
        <w:rPr>
          <w:rFonts w:ascii="T" w:hAnsi="T" w:cs="Simplified Arabic"/>
          <w:sz w:val="24"/>
          <w:szCs w:val="24"/>
          <w:shd w:val="clear" w:color="auto" w:fill="FFFFFF"/>
          <w:rtl/>
          <w:lang w:bidi="ar-EG"/>
        </w:rPr>
        <w:t>يؤدي تطبيق آليات متقدمة لتوزيع المخاطر وربط المدفوعات بمؤشرات أداء رئيسية</w:t>
      </w:r>
      <w:r w:rsidRPr="005D59A7">
        <w:rPr>
          <w:rFonts w:ascii="T" w:hAnsi="T" w:cs="Simplified Arabic"/>
          <w:sz w:val="24"/>
          <w:szCs w:val="24"/>
          <w:shd w:val="clear" w:color="auto" w:fill="FFFFFF"/>
          <w:lang w:bidi="ar-EG"/>
        </w:rPr>
        <w:t xml:space="preserve"> (KPIs) </w:t>
      </w:r>
      <w:r w:rsidRPr="005D59A7">
        <w:rPr>
          <w:rFonts w:ascii="T" w:hAnsi="T" w:cs="Simplified Arabic"/>
          <w:sz w:val="24"/>
          <w:szCs w:val="24"/>
          <w:shd w:val="clear" w:color="auto" w:fill="FFFFFF"/>
          <w:rtl/>
          <w:lang w:bidi="ar-EG"/>
        </w:rPr>
        <w:t>ضمن إطار الشراكة بين القطاعين العام والخاص إلى تحسين ذي دلالة إحصائية في الاستدامة المالية ورفع جودة الأداء لخدمة التفتيش البيئي</w:t>
      </w:r>
      <w:r w:rsidRPr="005D59A7">
        <w:rPr>
          <w:rFonts w:ascii="T" w:hAnsi="T" w:cs="Simplified Arabic"/>
          <w:sz w:val="24"/>
          <w:szCs w:val="24"/>
          <w:shd w:val="clear" w:color="auto" w:fill="FFFFFF"/>
          <w:lang w:bidi="ar-EG"/>
        </w:rPr>
        <w:t>.</w:t>
      </w:r>
      <w:r w:rsidRPr="005D59A7">
        <w:rPr>
          <w:rFonts w:ascii="T" w:hAnsi="T" w:cs="Simplified Arabic"/>
          <w:sz w:val="24"/>
          <w:szCs w:val="24"/>
          <w:shd w:val="clear" w:color="auto" w:fill="FFFFFF"/>
          <w:rtl/>
          <w:lang w:bidi="ar-EG"/>
        </w:rPr>
        <w:t>.</w:t>
      </w:r>
    </w:p>
    <w:p w14:paraId="47085ADA" w14:textId="5D35C45B" w:rsidR="004F7270" w:rsidRPr="005D59A7" w:rsidRDefault="00C11026" w:rsidP="00DF52A6">
      <w:pPr>
        <w:pStyle w:val="Heading1"/>
        <w:bidi/>
        <w:spacing w:line="360" w:lineRule="auto"/>
        <w:rPr>
          <w:rFonts w:ascii="T" w:eastAsia="Times New Roman" w:hAnsi="T" w:cs="Simplified Arabic"/>
          <w:b/>
          <w:bCs/>
          <w:color w:val="auto"/>
          <w:sz w:val="24"/>
          <w:szCs w:val="24"/>
          <w:rtl/>
        </w:rPr>
      </w:pPr>
      <w:bookmarkStart w:id="9" w:name="_Toc225991326"/>
      <w:r w:rsidRPr="005D59A7">
        <w:rPr>
          <w:rFonts w:ascii="T" w:eastAsia="Times New Roman" w:hAnsi="T" w:cs="Simplified Arabic"/>
          <w:b/>
          <w:bCs/>
          <w:color w:val="auto"/>
          <w:sz w:val="24"/>
          <w:szCs w:val="24"/>
          <w:rtl/>
        </w:rPr>
        <w:t>أهمية الدراسة (</w:t>
      </w:r>
      <w:r w:rsidR="000A1E46" w:rsidRPr="005D59A7">
        <w:rPr>
          <w:rFonts w:ascii="T" w:eastAsia="Times New Roman" w:hAnsi="T" w:cs="Simplified Arabic"/>
          <w:b/>
          <w:bCs/>
          <w:color w:val="auto"/>
          <w:sz w:val="24"/>
          <w:szCs w:val="24"/>
          <w:rtl/>
        </w:rPr>
        <w:t>النظرية والتطبيقية</w:t>
      </w:r>
      <w:r w:rsidRPr="005D59A7">
        <w:rPr>
          <w:rFonts w:ascii="T" w:eastAsia="Times New Roman" w:hAnsi="T" w:cs="Simplified Arabic"/>
          <w:b/>
          <w:bCs/>
          <w:color w:val="auto"/>
          <w:sz w:val="24"/>
          <w:szCs w:val="24"/>
          <w:rtl/>
        </w:rPr>
        <w:t>)</w:t>
      </w:r>
      <w:r w:rsidR="00883E09" w:rsidRPr="005D59A7">
        <w:rPr>
          <w:rFonts w:ascii="T" w:eastAsia="Times New Roman" w:hAnsi="T" w:cs="Simplified Arabic"/>
          <w:b/>
          <w:bCs/>
          <w:color w:val="auto"/>
          <w:sz w:val="24"/>
          <w:szCs w:val="24"/>
          <w:rtl/>
        </w:rPr>
        <w:t>:</w:t>
      </w:r>
      <w:bookmarkEnd w:id="9"/>
    </w:p>
    <w:p w14:paraId="26922DE5" w14:textId="77777777" w:rsidR="00A41647" w:rsidRPr="005D59A7" w:rsidRDefault="00A41647" w:rsidP="00F24293">
      <w:pPr>
        <w:pStyle w:val="Heading2"/>
        <w:bidi/>
        <w:rPr>
          <w:rFonts w:ascii="T" w:hAnsi="T" w:cs="Simplified Arabic"/>
          <w:b/>
          <w:bCs/>
          <w:color w:val="auto"/>
          <w:sz w:val="24"/>
          <w:szCs w:val="24"/>
          <w:rtl/>
        </w:rPr>
      </w:pPr>
      <w:bookmarkStart w:id="10" w:name="_Toc225991327"/>
      <w:r w:rsidRPr="005D59A7">
        <w:rPr>
          <w:rFonts w:ascii="T" w:hAnsi="T" w:cs="Simplified Arabic"/>
          <w:b/>
          <w:bCs/>
          <w:color w:val="auto"/>
          <w:sz w:val="24"/>
          <w:szCs w:val="24"/>
          <w:rtl/>
        </w:rPr>
        <w:t>الأهمية النظرية</w:t>
      </w:r>
      <w:bookmarkEnd w:id="10"/>
    </w:p>
    <w:p w14:paraId="50F775B8" w14:textId="77777777" w:rsidR="004D3152" w:rsidRPr="005D59A7" w:rsidRDefault="00890400"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يشهد القطاع البيئي في المملكة العربية السعودية تحولاً جذرياً، مدفوعاً بمبادرات وطنية طموحة ووعي متزايد بالتحديات البيئية الفريدة التي تواجهها البلاد. ورغم اعتماد المملكة تاريخياً على</w:t>
      </w:r>
      <w:r w:rsidRPr="005D59A7">
        <w:rPr>
          <w:rFonts w:ascii="T" w:hAnsi="T" w:cs="Simplified Arabic"/>
          <w:sz w:val="24"/>
          <w:szCs w:val="24"/>
        </w:rPr>
        <w:t xml:space="preserve"> </w:t>
      </w:r>
      <w:r w:rsidRPr="005D59A7">
        <w:rPr>
          <w:rFonts w:ascii="T" w:hAnsi="T" w:cs="Simplified Arabic"/>
          <w:sz w:val="24"/>
          <w:szCs w:val="24"/>
          <w:rtl/>
        </w:rPr>
        <w:t xml:space="preserve">النفط، </w:t>
      </w:r>
      <w:r w:rsidR="005F48DB" w:rsidRPr="005D59A7">
        <w:rPr>
          <w:rFonts w:ascii="T" w:hAnsi="T" w:cs="Simplified Arabic"/>
          <w:sz w:val="24"/>
          <w:szCs w:val="24"/>
          <w:rtl/>
        </w:rPr>
        <w:t>إلا أنها</w:t>
      </w:r>
      <w:r w:rsidRPr="005D59A7">
        <w:rPr>
          <w:rFonts w:ascii="T" w:hAnsi="T" w:cs="Simplified Arabic"/>
          <w:sz w:val="24"/>
          <w:szCs w:val="24"/>
          <w:rtl/>
        </w:rPr>
        <w:t xml:space="preserve"> تخطو الآن خطوات واسعة نحو مستقبل أكثر استدامة في إطار رؤيتها 2030 التي تُشكل جوهر التحول البيئي في المملكة. تُمثل رؤية 2030 إطاراً استراتيجياً شاملاً للتنويع الاقتصادي والتنمية المستدامة، يركز على إعادة بناء الإطار المؤسسي وتعزيز مشاركة القطاع الخاص في جميع القطاعات، بما في ذلك القطاع البيئي (</w:t>
      </w:r>
      <w:r w:rsidRPr="005D59A7">
        <w:rPr>
          <w:rFonts w:ascii="T" w:hAnsi="T" w:cs="Simplified Arabic"/>
          <w:sz w:val="24"/>
          <w:szCs w:val="24"/>
        </w:rPr>
        <w:t>Vision2030, 2025</w:t>
      </w:r>
      <w:r w:rsidRPr="005D59A7">
        <w:rPr>
          <w:rFonts w:ascii="T" w:hAnsi="T" w:cs="Simplified Arabic"/>
          <w:sz w:val="24"/>
          <w:szCs w:val="24"/>
          <w:rtl/>
        </w:rPr>
        <w:t>).</w:t>
      </w:r>
      <w:r w:rsidR="005A5496" w:rsidRPr="005D59A7">
        <w:rPr>
          <w:rFonts w:ascii="T" w:hAnsi="T" w:cs="Simplified Arabic"/>
          <w:sz w:val="24"/>
          <w:szCs w:val="24"/>
          <w:rtl/>
        </w:rPr>
        <w:t xml:space="preserve"> ف</w:t>
      </w:r>
      <w:r w:rsidR="00210FA3" w:rsidRPr="005D59A7">
        <w:rPr>
          <w:rFonts w:ascii="T" w:hAnsi="T" w:cs="Simplified Arabic"/>
          <w:sz w:val="24"/>
          <w:szCs w:val="24"/>
          <w:shd w:val="clear" w:color="auto" w:fill="FFFFFF"/>
          <w:rtl/>
        </w:rPr>
        <w:t>في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جوهرها،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تُعدّ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الشراكات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بين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القطاعين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العام</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والخاص</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أداة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إستراتيجية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للحكومات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لتحسين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تقديم</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الخدمات</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العامة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خلال</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تسخير</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نقاط</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قوة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كلاً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القطاعين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في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علاقة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طويلة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الأمد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تعود</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بالنفع</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على</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الطرفين. وتنبع</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أهميتها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مجموعة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واسعة</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المزايا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التي</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يُمكن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أن</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تُقدمها،</w:t>
      </w:r>
      <w:r w:rsidR="00DE47EC" w:rsidRPr="005D59A7">
        <w:rPr>
          <w:rFonts w:ascii="T" w:hAnsi="T" w:cs="Simplified Arabic"/>
          <w:sz w:val="24"/>
          <w:szCs w:val="24"/>
          <w:shd w:val="clear" w:color="auto" w:fill="FFFFFF"/>
          <w:rtl/>
        </w:rPr>
        <w:t xml:space="preserve"> </w:t>
      </w:r>
      <w:r w:rsidR="00210FA3" w:rsidRPr="005D59A7">
        <w:rPr>
          <w:rFonts w:ascii="T" w:hAnsi="T" w:cs="Simplified Arabic"/>
          <w:sz w:val="24"/>
          <w:szCs w:val="24"/>
          <w:shd w:val="clear" w:color="auto" w:fill="FFFFFF"/>
          <w:rtl/>
        </w:rPr>
        <w:t>مثل:</w:t>
      </w:r>
    </w:p>
    <w:p w14:paraId="06D13908" w14:textId="5BB7CCE9" w:rsidR="00210FA3" w:rsidRPr="005D59A7" w:rsidRDefault="00210FA3" w:rsidP="00410D73">
      <w:pPr>
        <w:pStyle w:val="ListParagraph"/>
        <w:bidi/>
        <w:spacing w:line="360" w:lineRule="auto"/>
        <w:ind w:left="84" w:firstLine="720"/>
        <w:jc w:val="both"/>
        <w:rPr>
          <w:rFonts w:ascii="T" w:hAnsi="T" w:cs="Simplified Arabic"/>
          <w:sz w:val="24"/>
          <w:szCs w:val="24"/>
        </w:rPr>
      </w:pPr>
      <w:r w:rsidRPr="005D59A7">
        <w:rPr>
          <w:rFonts w:ascii="T" w:hAnsi="T" w:cs="Simplified Arabic"/>
          <w:b/>
          <w:bCs/>
          <w:sz w:val="24"/>
          <w:szCs w:val="24"/>
          <w:rtl/>
        </w:rPr>
        <w:t>الوصول</w:t>
      </w:r>
      <w:r w:rsidR="0089666A" w:rsidRPr="005D59A7">
        <w:rPr>
          <w:rFonts w:ascii="T" w:hAnsi="T" w:cs="Simplified Arabic"/>
          <w:b/>
          <w:bCs/>
          <w:sz w:val="24"/>
          <w:szCs w:val="24"/>
          <w:rtl/>
        </w:rPr>
        <w:t xml:space="preserve"> </w:t>
      </w:r>
      <w:r w:rsidRPr="005D59A7">
        <w:rPr>
          <w:rFonts w:ascii="T" w:hAnsi="T" w:cs="Simplified Arabic"/>
          <w:b/>
          <w:bCs/>
          <w:sz w:val="24"/>
          <w:szCs w:val="24"/>
          <w:rtl/>
        </w:rPr>
        <w:t>إلى</w:t>
      </w:r>
      <w:r w:rsidR="0089666A" w:rsidRPr="005D59A7">
        <w:rPr>
          <w:rFonts w:ascii="T" w:hAnsi="T" w:cs="Simplified Arabic"/>
          <w:b/>
          <w:bCs/>
          <w:sz w:val="24"/>
          <w:szCs w:val="24"/>
          <w:rtl/>
        </w:rPr>
        <w:t xml:space="preserve"> </w:t>
      </w:r>
      <w:r w:rsidRPr="005D59A7">
        <w:rPr>
          <w:rFonts w:ascii="T" w:hAnsi="T" w:cs="Simplified Arabic"/>
          <w:b/>
          <w:bCs/>
          <w:sz w:val="24"/>
          <w:szCs w:val="24"/>
          <w:rtl/>
        </w:rPr>
        <w:t>تمويل</w:t>
      </w:r>
      <w:r w:rsidR="0089666A" w:rsidRPr="005D59A7">
        <w:rPr>
          <w:rFonts w:ascii="T" w:hAnsi="T" w:cs="Simplified Arabic"/>
          <w:b/>
          <w:bCs/>
          <w:sz w:val="24"/>
          <w:szCs w:val="24"/>
          <w:rtl/>
        </w:rPr>
        <w:t xml:space="preserve"> </w:t>
      </w:r>
      <w:r w:rsidRPr="005D59A7">
        <w:rPr>
          <w:rFonts w:ascii="T" w:hAnsi="T" w:cs="Simplified Arabic"/>
          <w:b/>
          <w:bCs/>
          <w:sz w:val="24"/>
          <w:szCs w:val="24"/>
          <w:rtl/>
        </w:rPr>
        <w:t>وخبرة</w:t>
      </w:r>
      <w:r w:rsidR="0089666A" w:rsidRPr="005D59A7">
        <w:rPr>
          <w:rFonts w:ascii="T" w:hAnsi="T" w:cs="Simplified Arabic"/>
          <w:b/>
          <w:bCs/>
          <w:sz w:val="24"/>
          <w:szCs w:val="24"/>
          <w:rtl/>
        </w:rPr>
        <w:t xml:space="preserve"> </w:t>
      </w:r>
      <w:r w:rsidRPr="005D59A7">
        <w:rPr>
          <w:rFonts w:ascii="T" w:hAnsi="T" w:cs="Simplified Arabic"/>
          <w:b/>
          <w:bCs/>
          <w:sz w:val="24"/>
          <w:szCs w:val="24"/>
          <w:rtl/>
        </w:rPr>
        <w:t>القطاع</w:t>
      </w:r>
      <w:r w:rsidR="0089666A" w:rsidRPr="005D59A7">
        <w:rPr>
          <w:rFonts w:ascii="T" w:hAnsi="T" w:cs="Simplified Arabic"/>
          <w:b/>
          <w:bCs/>
          <w:sz w:val="24"/>
          <w:szCs w:val="24"/>
          <w:rtl/>
        </w:rPr>
        <w:t xml:space="preserve"> </w:t>
      </w:r>
      <w:r w:rsidRPr="005D59A7">
        <w:rPr>
          <w:rFonts w:ascii="T" w:hAnsi="T" w:cs="Simplified Arabic"/>
          <w:b/>
          <w:bCs/>
          <w:sz w:val="24"/>
          <w:szCs w:val="24"/>
          <w:rtl/>
        </w:rPr>
        <w:t>الخاص:</w:t>
      </w:r>
      <w:r w:rsidRPr="005D59A7">
        <w:rPr>
          <w:rFonts w:ascii="T" w:hAnsi="T" w:cs="Simplified Arabic"/>
          <w:sz w:val="24"/>
          <w:szCs w:val="24"/>
          <w:rtl/>
        </w:rPr>
        <w:t>سد</w:t>
      </w:r>
      <w:r w:rsidR="0089666A" w:rsidRPr="005D59A7">
        <w:rPr>
          <w:rFonts w:ascii="T" w:hAnsi="T" w:cs="Simplified Arabic"/>
          <w:sz w:val="24"/>
          <w:szCs w:val="24"/>
          <w:rtl/>
        </w:rPr>
        <w:t xml:space="preserve"> </w:t>
      </w:r>
      <w:r w:rsidRPr="005D59A7">
        <w:rPr>
          <w:rFonts w:ascii="T" w:hAnsi="T" w:cs="Simplified Arabic"/>
          <w:sz w:val="24"/>
          <w:szCs w:val="24"/>
          <w:rtl/>
        </w:rPr>
        <w:t>فجوات</w:t>
      </w:r>
      <w:r w:rsidR="0089666A" w:rsidRPr="005D59A7">
        <w:rPr>
          <w:rFonts w:ascii="T" w:hAnsi="T" w:cs="Simplified Arabic"/>
          <w:sz w:val="24"/>
          <w:szCs w:val="24"/>
          <w:rtl/>
        </w:rPr>
        <w:t xml:space="preserve"> </w:t>
      </w:r>
      <w:r w:rsidRPr="005D59A7">
        <w:rPr>
          <w:rFonts w:ascii="T" w:hAnsi="T" w:cs="Simplified Arabic"/>
          <w:sz w:val="24"/>
          <w:szCs w:val="24"/>
          <w:rtl/>
        </w:rPr>
        <w:t>التمويل: غالباً</w:t>
      </w:r>
      <w:r w:rsidR="0089666A" w:rsidRPr="005D59A7">
        <w:rPr>
          <w:rFonts w:ascii="T" w:hAnsi="T" w:cs="Simplified Arabic"/>
          <w:sz w:val="24"/>
          <w:szCs w:val="24"/>
          <w:rtl/>
        </w:rPr>
        <w:t xml:space="preserve"> </w:t>
      </w:r>
      <w:r w:rsidRPr="005D59A7">
        <w:rPr>
          <w:rFonts w:ascii="T" w:hAnsi="T" w:cs="Simplified Arabic"/>
          <w:sz w:val="24"/>
          <w:szCs w:val="24"/>
          <w:rtl/>
        </w:rPr>
        <w:t>ما</w:t>
      </w:r>
      <w:r w:rsidR="0089666A" w:rsidRPr="005D59A7">
        <w:rPr>
          <w:rFonts w:ascii="T" w:hAnsi="T" w:cs="Simplified Arabic"/>
          <w:sz w:val="24"/>
          <w:szCs w:val="24"/>
          <w:rtl/>
        </w:rPr>
        <w:t xml:space="preserve"> </w:t>
      </w:r>
      <w:r w:rsidRPr="005D59A7">
        <w:rPr>
          <w:rFonts w:ascii="T" w:hAnsi="T" w:cs="Simplified Arabic"/>
          <w:sz w:val="24"/>
          <w:szCs w:val="24"/>
          <w:rtl/>
        </w:rPr>
        <w:t>تواجه</w:t>
      </w:r>
      <w:r w:rsidR="0089666A" w:rsidRPr="005D59A7">
        <w:rPr>
          <w:rFonts w:ascii="T" w:hAnsi="T" w:cs="Simplified Arabic"/>
          <w:sz w:val="24"/>
          <w:szCs w:val="24"/>
          <w:rtl/>
        </w:rPr>
        <w:t xml:space="preserve"> </w:t>
      </w:r>
      <w:r w:rsidRPr="005D59A7">
        <w:rPr>
          <w:rFonts w:ascii="T" w:hAnsi="T" w:cs="Simplified Arabic"/>
          <w:sz w:val="24"/>
          <w:szCs w:val="24"/>
          <w:rtl/>
        </w:rPr>
        <w:t>الحكومات</w:t>
      </w:r>
      <w:r w:rsidR="0089666A" w:rsidRPr="005D59A7">
        <w:rPr>
          <w:rFonts w:ascii="T" w:hAnsi="T" w:cs="Simplified Arabic"/>
          <w:sz w:val="24"/>
          <w:szCs w:val="24"/>
          <w:rtl/>
        </w:rPr>
        <w:t xml:space="preserve"> </w:t>
      </w:r>
      <w:r w:rsidRPr="005D59A7">
        <w:rPr>
          <w:rFonts w:ascii="T" w:hAnsi="T" w:cs="Simplified Arabic"/>
          <w:sz w:val="24"/>
          <w:szCs w:val="24"/>
          <w:rtl/>
        </w:rPr>
        <w:t>قيوداً</w:t>
      </w:r>
      <w:r w:rsidR="0089666A" w:rsidRPr="005D59A7">
        <w:rPr>
          <w:rFonts w:ascii="T" w:hAnsi="T" w:cs="Simplified Arabic"/>
          <w:sz w:val="24"/>
          <w:szCs w:val="24"/>
          <w:rtl/>
        </w:rPr>
        <w:t xml:space="preserve"> </w:t>
      </w:r>
      <w:r w:rsidRPr="005D59A7">
        <w:rPr>
          <w:rFonts w:ascii="T" w:hAnsi="T" w:cs="Simplified Arabic"/>
          <w:sz w:val="24"/>
          <w:szCs w:val="24"/>
          <w:rtl/>
        </w:rPr>
        <w:t>على</w:t>
      </w:r>
      <w:r w:rsidR="0089666A" w:rsidRPr="005D59A7">
        <w:rPr>
          <w:rFonts w:ascii="T" w:hAnsi="T" w:cs="Simplified Arabic"/>
          <w:sz w:val="24"/>
          <w:szCs w:val="24"/>
          <w:rtl/>
        </w:rPr>
        <w:t xml:space="preserve"> </w:t>
      </w:r>
      <w:r w:rsidRPr="005D59A7">
        <w:rPr>
          <w:rFonts w:ascii="T" w:hAnsi="T" w:cs="Simplified Arabic"/>
          <w:sz w:val="24"/>
          <w:szCs w:val="24"/>
          <w:rtl/>
        </w:rPr>
        <w:t>الميزانية،</w:t>
      </w:r>
      <w:r w:rsidR="0089666A" w:rsidRPr="005D59A7">
        <w:rPr>
          <w:rFonts w:ascii="T" w:hAnsi="T" w:cs="Simplified Arabic"/>
          <w:sz w:val="24"/>
          <w:szCs w:val="24"/>
          <w:rtl/>
        </w:rPr>
        <w:t xml:space="preserve"> </w:t>
      </w:r>
      <w:r w:rsidRPr="005D59A7">
        <w:rPr>
          <w:rFonts w:ascii="T" w:hAnsi="T" w:cs="Simplified Arabic"/>
          <w:sz w:val="24"/>
          <w:szCs w:val="24"/>
          <w:rtl/>
        </w:rPr>
        <w:t>وخاصةً</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مشاريع</w:t>
      </w:r>
      <w:r w:rsidR="0089666A" w:rsidRPr="005D59A7">
        <w:rPr>
          <w:rFonts w:ascii="T" w:hAnsi="T" w:cs="Simplified Arabic"/>
          <w:sz w:val="24"/>
          <w:szCs w:val="24"/>
          <w:rtl/>
        </w:rPr>
        <w:t xml:space="preserve"> </w:t>
      </w:r>
      <w:r w:rsidRPr="005D59A7">
        <w:rPr>
          <w:rFonts w:ascii="T" w:hAnsi="T" w:cs="Simplified Arabic"/>
          <w:sz w:val="24"/>
          <w:szCs w:val="24"/>
          <w:rtl/>
        </w:rPr>
        <w:t>البنية</w:t>
      </w:r>
      <w:r w:rsidR="0089666A" w:rsidRPr="005D59A7">
        <w:rPr>
          <w:rFonts w:ascii="T" w:hAnsi="T" w:cs="Simplified Arabic"/>
          <w:sz w:val="24"/>
          <w:szCs w:val="24"/>
          <w:rtl/>
        </w:rPr>
        <w:t xml:space="preserve"> </w:t>
      </w:r>
      <w:r w:rsidRPr="005D59A7">
        <w:rPr>
          <w:rFonts w:ascii="T" w:hAnsi="T" w:cs="Simplified Arabic"/>
          <w:sz w:val="24"/>
          <w:szCs w:val="24"/>
          <w:rtl/>
        </w:rPr>
        <w:t>التحتية</w:t>
      </w:r>
      <w:r w:rsidR="0089666A" w:rsidRPr="005D59A7">
        <w:rPr>
          <w:rFonts w:ascii="T" w:hAnsi="T" w:cs="Simplified Arabic"/>
          <w:sz w:val="24"/>
          <w:szCs w:val="24"/>
          <w:rtl/>
        </w:rPr>
        <w:t xml:space="preserve"> </w:t>
      </w:r>
      <w:r w:rsidRPr="005D59A7">
        <w:rPr>
          <w:rFonts w:ascii="T" w:hAnsi="T" w:cs="Simplified Arabic"/>
          <w:sz w:val="24"/>
          <w:szCs w:val="24"/>
          <w:rtl/>
        </w:rPr>
        <w:t>واسعة</w:t>
      </w:r>
      <w:r w:rsidR="0089666A" w:rsidRPr="005D59A7">
        <w:rPr>
          <w:rFonts w:ascii="T" w:hAnsi="T" w:cs="Simplified Arabic"/>
          <w:sz w:val="24"/>
          <w:szCs w:val="24"/>
          <w:rtl/>
        </w:rPr>
        <w:t xml:space="preserve"> </w:t>
      </w:r>
      <w:r w:rsidRPr="005D59A7">
        <w:rPr>
          <w:rFonts w:ascii="T" w:hAnsi="T" w:cs="Simplified Arabic"/>
          <w:sz w:val="24"/>
          <w:szCs w:val="24"/>
          <w:rtl/>
        </w:rPr>
        <w:t>النطاق. من دورها، تتيح</w:t>
      </w:r>
      <w:r w:rsidR="0089666A" w:rsidRPr="005D59A7">
        <w:rPr>
          <w:rFonts w:ascii="T" w:hAnsi="T" w:cs="Simplified Arabic"/>
          <w:sz w:val="24"/>
          <w:szCs w:val="24"/>
          <w:rtl/>
        </w:rPr>
        <w:t xml:space="preserve"> </w:t>
      </w:r>
      <w:r w:rsidRPr="005D59A7">
        <w:rPr>
          <w:rFonts w:ascii="T" w:hAnsi="T" w:cs="Simplified Arabic"/>
          <w:sz w:val="24"/>
          <w:szCs w:val="24"/>
          <w:rtl/>
        </w:rPr>
        <w:t>الشراكات</w:t>
      </w:r>
      <w:r w:rsidR="0089666A" w:rsidRPr="005D59A7">
        <w:rPr>
          <w:rFonts w:ascii="T" w:hAnsi="T" w:cs="Simplified Arabic"/>
          <w:sz w:val="24"/>
          <w:szCs w:val="24"/>
          <w:rtl/>
        </w:rPr>
        <w:t xml:space="preserve"> </w:t>
      </w:r>
      <w:r w:rsidRPr="005D59A7">
        <w:rPr>
          <w:rFonts w:ascii="T" w:hAnsi="T" w:cs="Simplified Arabic"/>
          <w:sz w:val="24"/>
          <w:szCs w:val="24"/>
          <w:rtl/>
        </w:rPr>
        <w:t>بين</w:t>
      </w:r>
      <w:r w:rsidR="0089666A" w:rsidRPr="005D59A7">
        <w:rPr>
          <w:rFonts w:ascii="T" w:hAnsi="T" w:cs="Simplified Arabic"/>
          <w:sz w:val="24"/>
          <w:szCs w:val="24"/>
          <w:rtl/>
        </w:rPr>
        <w:t xml:space="preserve"> </w:t>
      </w:r>
      <w:r w:rsidRPr="005D59A7">
        <w:rPr>
          <w:rFonts w:ascii="T" w:hAnsi="T" w:cs="Simplified Arabic"/>
          <w:sz w:val="24"/>
          <w:szCs w:val="24"/>
          <w:rtl/>
        </w:rPr>
        <w:t>القطاعين</w:t>
      </w:r>
      <w:r w:rsidR="0089666A" w:rsidRPr="005D59A7">
        <w:rPr>
          <w:rFonts w:ascii="T" w:hAnsi="T" w:cs="Simplified Arabic"/>
          <w:sz w:val="24"/>
          <w:szCs w:val="24"/>
          <w:rtl/>
        </w:rPr>
        <w:t xml:space="preserve"> </w:t>
      </w:r>
      <w:r w:rsidRPr="005D59A7">
        <w:rPr>
          <w:rFonts w:ascii="T" w:hAnsi="T" w:cs="Simplified Arabic"/>
          <w:sz w:val="24"/>
          <w:szCs w:val="24"/>
          <w:rtl/>
        </w:rPr>
        <w:t>العام</w:t>
      </w:r>
      <w:r w:rsidR="0089666A" w:rsidRPr="005D59A7">
        <w:rPr>
          <w:rFonts w:ascii="T" w:hAnsi="T" w:cs="Simplified Arabic"/>
          <w:sz w:val="24"/>
          <w:szCs w:val="24"/>
          <w:rtl/>
        </w:rPr>
        <w:t xml:space="preserve"> </w:t>
      </w:r>
      <w:r w:rsidRPr="005D59A7">
        <w:rPr>
          <w:rFonts w:ascii="T" w:hAnsi="T" w:cs="Simplified Arabic"/>
          <w:sz w:val="24"/>
          <w:szCs w:val="24"/>
          <w:rtl/>
        </w:rPr>
        <w:lastRenderedPageBreak/>
        <w:t>والخاص</w:t>
      </w:r>
      <w:r w:rsidR="0089666A" w:rsidRPr="005D59A7">
        <w:rPr>
          <w:rFonts w:ascii="T" w:hAnsi="T" w:cs="Simplified Arabic"/>
          <w:sz w:val="24"/>
          <w:szCs w:val="24"/>
          <w:rtl/>
        </w:rPr>
        <w:t xml:space="preserve"> </w:t>
      </w:r>
      <w:r w:rsidRPr="005D59A7">
        <w:rPr>
          <w:rFonts w:ascii="T" w:hAnsi="T" w:cs="Simplified Arabic"/>
          <w:sz w:val="24"/>
          <w:szCs w:val="24"/>
          <w:rtl/>
        </w:rPr>
        <w:t>الوصول</w:t>
      </w:r>
      <w:r w:rsidR="0089666A" w:rsidRPr="005D59A7">
        <w:rPr>
          <w:rFonts w:ascii="T" w:hAnsi="T" w:cs="Simplified Arabic"/>
          <w:sz w:val="24"/>
          <w:szCs w:val="24"/>
          <w:rtl/>
        </w:rPr>
        <w:t xml:space="preserve"> </w:t>
      </w:r>
      <w:r w:rsidRPr="005D59A7">
        <w:rPr>
          <w:rFonts w:ascii="T" w:hAnsi="T" w:cs="Simplified Arabic"/>
          <w:sz w:val="24"/>
          <w:szCs w:val="24"/>
          <w:rtl/>
        </w:rPr>
        <w:t>إلى</w:t>
      </w:r>
      <w:r w:rsidR="0089666A" w:rsidRPr="005D59A7">
        <w:rPr>
          <w:rFonts w:ascii="T" w:hAnsi="T" w:cs="Simplified Arabic"/>
          <w:sz w:val="24"/>
          <w:szCs w:val="24"/>
          <w:rtl/>
        </w:rPr>
        <w:t xml:space="preserve"> </w:t>
      </w:r>
      <w:r w:rsidRPr="005D59A7">
        <w:rPr>
          <w:rFonts w:ascii="T" w:hAnsi="T" w:cs="Simplified Arabic"/>
          <w:sz w:val="24"/>
          <w:szCs w:val="24"/>
          <w:rtl/>
        </w:rPr>
        <w:t>رأس</w:t>
      </w:r>
      <w:r w:rsidR="0089666A" w:rsidRPr="005D59A7">
        <w:rPr>
          <w:rFonts w:ascii="T" w:hAnsi="T" w:cs="Simplified Arabic"/>
          <w:sz w:val="24"/>
          <w:szCs w:val="24"/>
          <w:rtl/>
        </w:rPr>
        <w:t xml:space="preserve"> </w:t>
      </w:r>
      <w:r w:rsidRPr="005D59A7">
        <w:rPr>
          <w:rFonts w:ascii="T" w:hAnsi="T" w:cs="Simplified Arabic"/>
          <w:sz w:val="24"/>
          <w:szCs w:val="24"/>
          <w:rtl/>
        </w:rPr>
        <w:t>المال</w:t>
      </w:r>
      <w:r w:rsidR="0089666A" w:rsidRPr="005D59A7">
        <w:rPr>
          <w:rFonts w:ascii="T" w:hAnsi="T" w:cs="Simplified Arabic"/>
          <w:sz w:val="24"/>
          <w:szCs w:val="24"/>
          <w:rtl/>
        </w:rPr>
        <w:t xml:space="preserve"> </w:t>
      </w:r>
      <w:r w:rsidRPr="005D59A7">
        <w:rPr>
          <w:rFonts w:ascii="T" w:hAnsi="T" w:cs="Simplified Arabic"/>
          <w:sz w:val="24"/>
          <w:szCs w:val="24"/>
          <w:rtl/>
        </w:rPr>
        <w:t>الخاص،</w:t>
      </w:r>
      <w:r w:rsidR="0089666A" w:rsidRPr="005D59A7">
        <w:rPr>
          <w:rFonts w:ascii="T" w:hAnsi="T" w:cs="Simplified Arabic"/>
          <w:sz w:val="24"/>
          <w:szCs w:val="24"/>
          <w:rtl/>
        </w:rPr>
        <w:t xml:space="preserve"> </w:t>
      </w:r>
      <w:r w:rsidRPr="005D59A7">
        <w:rPr>
          <w:rFonts w:ascii="T" w:hAnsi="T" w:cs="Simplified Arabic"/>
          <w:sz w:val="24"/>
          <w:szCs w:val="24"/>
          <w:rtl/>
        </w:rPr>
        <w:t>مما</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إنجاز</w:t>
      </w:r>
      <w:r w:rsidR="0089666A" w:rsidRPr="005D59A7">
        <w:rPr>
          <w:rFonts w:ascii="T" w:hAnsi="T" w:cs="Simplified Arabic"/>
          <w:sz w:val="24"/>
          <w:szCs w:val="24"/>
          <w:rtl/>
        </w:rPr>
        <w:t xml:space="preserve"> </w:t>
      </w:r>
      <w:r w:rsidRPr="005D59A7">
        <w:rPr>
          <w:rFonts w:ascii="T" w:hAnsi="T" w:cs="Simplified Arabic"/>
          <w:sz w:val="24"/>
          <w:szCs w:val="24"/>
          <w:rtl/>
        </w:rPr>
        <w:t>المشاريع</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وقت</w:t>
      </w:r>
      <w:r w:rsidR="0089666A" w:rsidRPr="005D59A7">
        <w:rPr>
          <w:rFonts w:ascii="T" w:hAnsi="T" w:cs="Simplified Arabic"/>
          <w:sz w:val="24"/>
          <w:szCs w:val="24"/>
          <w:rtl/>
        </w:rPr>
        <w:t xml:space="preserve"> </w:t>
      </w:r>
      <w:r w:rsidRPr="005D59A7">
        <w:rPr>
          <w:rFonts w:ascii="T" w:hAnsi="T" w:cs="Simplified Arabic"/>
          <w:sz w:val="24"/>
          <w:szCs w:val="24"/>
          <w:rtl/>
        </w:rPr>
        <w:t>أسرع،</w:t>
      </w:r>
      <w:r w:rsidR="0089666A" w:rsidRPr="005D59A7">
        <w:rPr>
          <w:rFonts w:ascii="T" w:hAnsi="T" w:cs="Simplified Arabic"/>
          <w:sz w:val="24"/>
          <w:szCs w:val="24"/>
          <w:rtl/>
        </w:rPr>
        <w:t xml:space="preserve"> </w:t>
      </w:r>
      <w:r w:rsidRPr="005D59A7">
        <w:rPr>
          <w:rFonts w:ascii="T" w:hAnsi="T" w:cs="Simplified Arabic"/>
          <w:sz w:val="24"/>
          <w:szCs w:val="24"/>
          <w:rtl/>
        </w:rPr>
        <w:t>أو</w:t>
      </w:r>
      <w:r w:rsidR="0089666A" w:rsidRPr="005D59A7">
        <w:rPr>
          <w:rFonts w:ascii="T" w:hAnsi="T" w:cs="Simplified Arabic"/>
          <w:sz w:val="24"/>
          <w:szCs w:val="24"/>
          <w:rtl/>
        </w:rPr>
        <w:t xml:space="preserve"> </w:t>
      </w:r>
      <w:r w:rsidRPr="005D59A7">
        <w:rPr>
          <w:rFonts w:ascii="T" w:hAnsi="T" w:cs="Simplified Arabic"/>
          <w:sz w:val="24"/>
          <w:szCs w:val="24"/>
          <w:rtl/>
        </w:rPr>
        <w:t>حتى</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تنفيذها</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الأساس،</w:t>
      </w:r>
      <w:r w:rsidR="0089666A" w:rsidRPr="005D59A7">
        <w:rPr>
          <w:rFonts w:ascii="T" w:hAnsi="T" w:cs="Simplified Arabic"/>
          <w:sz w:val="24"/>
          <w:szCs w:val="24"/>
          <w:rtl/>
        </w:rPr>
        <w:t xml:space="preserve"> </w:t>
      </w:r>
      <w:r w:rsidRPr="005D59A7">
        <w:rPr>
          <w:rFonts w:ascii="T" w:hAnsi="T" w:cs="Simplified Arabic"/>
          <w:sz w:val="24"/>
          <w:szCs w:val="24"/>
          <w:rtl/>
        </w:rPr>
        <w:t>بالإضافة إلى</w:t>
      </w:r>
      <w:r w:rsidR="0089666A" w:rsidRPr="005D59A7">
        <w:rPr>
          <w:rFonts w:ascii="T" w:hAnsi="T" w:cs="Simplified Arabic"/>
          <w:sz w:val="24"/>
          <w:szCs w:val="24"/>
          <w:rtl/>
        </w:rPr>
        <w:t xml:space="preserve"> </w:t>
      </w:r>
      <w:r w:rsidRPr="005D59A7">
        <w:rPr>
          <w:rFonts w:ascii="T" w:hAnsi="T" w:cs="Simplified Arabic"/>
          <w:sz w:val="24"/>
          <w:szCs w:val="24"/>
          <w:rtl/>
        </w:rPr>
        <w:t>توزيع</w:t>
      </w:r>
      <w:r w:rsidR="0089666A" w:rsidRPr="005D59A7">
        <w:rPr>
          <w:rFonts w:ascii="T" w:hAnsi="T" w:cs="Simplified Arabic"/>
          <w:sz w:val="24"/>
          <w:szCs w:val="24"/>
          <w:rtl/>
        </w:rPr>
        <w:t xml:space="preserve"> </w:t>
      </w:r>
      <w:r w:rsidRPr="005D59A7">
        <w:rPr>
          <w:rFonts w:ascii="T" w:hAnsi="T" w:cs="Simplified Arabic"/>
          <w:sz w:val="24"/>
          <w:szCs w:val="24"/>
          <w:rtl/>
        </w:rPr>
        <w:t>التكاليف</w:t>
      </w:r>
      <w:r w:rsidR="0089666A" w:rsidRPr="005D59A7">
        <w:rPr>
          <w:rFonts w:ascii="T" w:hAnsi="T" w:cs="Simplified Arabic"/>
          <w:sz w:val="24"/>
          <w:szCs w:val="24"/>
          <w:rtl/>
        </w:rPr>
        <w:t xml:space="preserve"> </w:t>
      </w:r>
      <w:r w:rsidRPr="005D59A7">
        <w:rPr>
          <w:rFonts w:ascii="T" w:hAnsi="T" w:cs="Simplified Arabic"/>
          <w:sz w:val="24"/>
          <w:szCs w:val="24"/>
          <w:rtl/>
        </w:rPr>
        <w:t>على</w:t>
      </w:r>
      <w:r w:rsidR="0089666A" w:rsidRPr="005D59A7">
        <w:rPr>
          <w:rFonts w:ascii="T" w:hAnsi="T" w:cs="Simplified Arabic"/>
          <w:sz w:val="24"/>
          <w:szCs w:val="24"/>
          <w:rtl/>
        </w:rPr>
        <w:t xml:space="preserve"> </w:t>
      </w:r>
      <w:r w:rsidRPr="005D59A7">
        <w:rPr>
          <w:rFonts w:ascii="T" w:hAnsi="T" w:cs="Simplified Arabic"/>
          <w:sz w:val="24"/>
          <w:szCs w:val="24"/>
          <w:rtl/>
        </w:rPr>
        <w:t>فترة</w:t>
      </w:r>
      <w:r w:rsidR="0089666A" w:rsidRPr="005D59A7">
        <w:rPr>
          <w:rFonts w:ascii="T" w:hAnsi="T" w:cs="Simplified Arabic"/>
          <w:sz w:val="24"/>
          <w:szCs w:val="24"/>
          <w:rtl/>
        </w:rPr>
        <w:t xml:space="preserve"> </w:t>
      </w:r>
      <w:r w:rsidRPr="005D59A7">
        <w:rPr>
          <w:rFonts w:ascii="T" w:hAnsi="T" w:cs="Simplified Arabic"/>
          <w:sz w:val="24"/>
          <w:szCs w:val="24"/>
          <w:rtl/>
        </w:rPr>
        <w:t>زمنية</w:t>
      </w:r>
      <w:r w:rsidR="0089666A" w:rsidRPr="005D59A7">
        <w:rPr>
          <w:rFonts w:ascii="T" w:hAnsi="T" w:cs="Simplified Arabic"/>
          <w:sz w:val="24"/>
          <w:szCs w:val="24"/>
          <w:rtl/>
        </w:rPr>
        <w:t xml:space="preserve"> </w:t>
      </w:r>
      <w:r w:rsidRPr="005D59A7">
        <w:rPr>
          <w:rFonts w:ascii="T" w:hAnsi="T" w:cs="Simplified Arabic"/>
          <w:sz w:val="24"/>
          <w:szCs w:val="24"/>
          <w:rtl/>
        </w:rPr>
        <w:t>أطول.</w:t>
      </w:r>
    </w:p>
    <w:p w14:paraId="2385A1C1" w14:textId="77777777" w:rsidR="00210FA3"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الاستفادة</w:t>
      </w:r>
      <w:r w:rsidR="0089666A" w:rsidRPr="005D59A7">
        <w:rPr>
          <w:rFonts w:ascii="T" w:hAnsi="T" w:cs="Simplified Arabic"/>
          <w:sz w:val="24"/>
          <w:szCs w:val="24"/>
          <w:rtl/>
        </w:rPr>
        <w:t xml:space="preserve"> </w:t>
      </w:r>
      <w:r w:rsidRPr="005D59A7">
        <w:rPr>
          <w:rFonts w:ascii="T" w:hAnsi="T" w:cs="Simplified Arabic"/>
          <w:sz w:val="24"/>
          <w:szCs w:val="24"/>
          <w:rtl/>
        </w:rPr>
        <w:t>من</w:t>
      </w:r>
      <w:r w:rsidR="0089666A" w:rsidRPr="005D59A7">
        <w:rPr>
          <w:rFonts w:ascii="T" w:hAnsi="T" w:cs="Simplified Arabic"/>
          <w:sz w:val="24"/>
          <w:szCs w:val="24"/>
          <w:rtl/>
        </w:rPr>
        <w:t xml:space="preserve"> </w:t>
      </w:r>
      <w:r w:rsidRPr="005D59A7">
        <w:rPr>
          <w:rFonts w:ascii="T" w:hAnsi="T" w:cs="Simplified Arabic"/>
          <w:sz w:val="24"/>
          <w:szCs w:val="24"/>
          <w:rtl/>
        </w:rPr>
        <w:t>المهارات</w:t>
      </w:r>
      <w:r w:rsidR="0089666A" w:rsidRPr="005D59A7">
        <w:rPr>
          <w:rFonts w:ascii="T" w:hAnsi="T" w:cs="Simplified Arabic"/>
          <w:sz w:val="24"/>
          <w:szCs w:val="24"/>
          <w:rtl/>
        </w:rPr>
        <w:t xml:space="preserve"> </w:t>
      </w:r>
      <w:r w:rsidRPr="005D59A7">
        <w:rPr>
          <w:rFonts w:ascii="T" w:hAnsi="T" w:cs="Simplified Arabic"/>
          <w:sz w:val="24"/>
          <w:szCs w:val="24"/>
          <w:rtl/>
        </w:rPr>
        <w:t>المتخصصة: تُقدّم</w:t>
      </w:r>
      <w:r w:rsidR="0089666A" w:rsidRPr="005D59A7">
        <w:rPr>
          <w:rFonts w:ascii="T" w:hAnsi="T" w:cs="Simplified Arabic"/>
          <w:sz w:val="24"/>
          <w:szCs w:val="24"/>
          <w:rtl/>
        </w:rPr>
        <w:t xml:space="preserve"> </w:t>
      </w:r>
      <w:r w:rsidRPr="005D59A7">
        <w:rPr>
          <w:rFonts w:ascii="T" w:hAnsi="T" w:cs="Simplified Arabic"/>
          <w:sz w:val="24"/>
          <w:szCs w:val="24"/>
          <w:rtl/>
        </w:rPr>
        <w:t>الشركات</w:t>
      </w:r>
      <w:r w:rsidR="0089666A" w:rsidRPr="005D59A7">
        <w:rPr>
          <w:rFonts w:ascii="T" w:hAnsi="T" w:cs="Simplified Arabic"/>
          <w:sz w:val="24"/>
          <w:szCs w:val="24"/>
          <w:rtl/>
        </w:rPr>
        <w:t xml:space="preserve"> </w:t>
      </w:r>
      <w:r w:rsidRPr="005D59A7">
        <w:rPr>
          <w:rFonts w:ascii="T" w:hAnsi="T" w:cs="Simplified Arabic"/>
          <w:sz w:val="24"/>
          <w:szCs w:val="24"/>
          <w:rtl/>
        </w:rPr>
        <w:t>الخاصة</w:t>
      </w:r>
      <w:r w:rsidR="0089666A" w:rsidRPr="005D59A7">
        <w:rPr>
          <w:rFonts w:ascii="T" w:hAnsi="T" w:cs="Simplified Arabic"/>
          <w:sz w:val="24"/>
          <w:szCs w:val="24"/>
          <w:rtl/>
        </w:rPr>
        <w:t xml:space="preserve"> </w:t>
      </w:r>
      <w:r w:rsidRPr="005D59A7">
        <w:rPr>
          <w:rFonts w:ascii="T" w:hAnsi="T" w:cs="Simplified Arabic"/>
          <w:sz w:val="24"/>
          <w:szCs w:val="24"/>
          <w:rtl/>
        </w:rPr>
        <w:t>معارف</w:t>
      </w:r>
      <w:r w:rsidR="0089666A" w:rsidRPr="005D59A7">
        <w:rPr>
          <w:rFonts w:ascii="T" w:hAnsi="T" w:cs="Simplified Arabic"/>
          <w:sz w:val="24"/>
          <w:szCs w:val="24"/>
          <w:rtl/>
        </w:rPr>
        <w:t xml:space="preserve"> </w:t>
      </w:r>
      <w:r w:rsidRPr="005D59A7">
        <w:rPr>
          <w:rFonts w:ascii="T" w:hAnsi="T" w:cs="Simplified Arabic"/>
          <w:sz w:val="24"/>
          <w:szCs w:val="24"/>
          <w:rtl/>
        </w:rPr>
        <w:t>وخبرات</w:t>
      </w:r>
      <w:r w:rsidR="0089666A" w:rsidRPr="005D59A7">
        <w:rPr>
          <w:rFonts w:ascii="T" w:hAnsi="T" w:cs="Simplified Arabic"/>
          <w:sz w:val="24"/>
          <w:szCs w:val="24"/>
          <w:rtl/>
        </w:rPr>
        <w:t xml:space="preserve"> </w:t>
      </w:r>
      <w:r w:rsidRPr="005D59A7">
        <w:rPr>
          <w:rFonts w:ascii="T" w:hAnsi="T" w:cs="Simplified Arabic"/>
          <w:sz w:val="24"/>
          <w:szCs w:val="24"/>
          <w:rtl/>
        </w:rPr>
        <w:t>متخصصة</w:t>
      </w:r>
      <w:r w:rsidR="0089666A" w:rsidRPr="005D59A7">
        <w:rPr>
          <w:rFonts w:ascii="T" w:hAnsi="T" w:cs="Simplified Arabic"/>
          <w:sz w:val="24"/>
          <w:szCs w:val="24"/>
          <w:rtl/>
        </w:rPr>
        <w:t xml:space="preserve"> </w:t>
      </w:r>
      <w:r w:rsidRPr="005D59A7">
        <w:rPr>
          <w:rFonts w:ascii="T" w:hAnsi="T" w:cs="Simplified Arabic"/>
          <w:sz w:val="24"/>
          <w:szCs w:val="24"/>
          <w:rtl/>
        </w:rPr>
        <w:t>وأساليب</w:t>
      </w:r>
      <w:r w:rsidR="0089666A" w:rsidRPr="005D59A7">
        <w:rPr>
          <w:rFonts w:ascii="T" w:hAnsi="T" w:cs="Simplified Arabic"/>
          <w:sz w:val="24"/>
          <w:szCs w:val="24"/>
          <w:rtl/>
        </w:rPr>
        <w:t xml:space="preserve"> </w:t>
      </w:r>
      <w:r w:rsidRPr="005D59A7">
        <w:rPr>
          <w:rFonts w:ascii="T" w:hAnsi="T" w:cs="Simplified Arabic"/>
          <w:sz w:val="24"/>
          <w:szCs w:val="24"/>
          <w:rtl/>
        </w:rPr>
        <w:t>مبتكرة</w:t>
      </w:r>
      <w:r w:rsidR="0089666A" w:rsidRPr="005D59A7">
        <w:rPr>
          <w:rFonts w:ascii="T" w:hAnsi="T" w:cs="Simplified Arabic"/>
          <w:sz w:val="24"/>
          <w:szCs w:val="24"/>
          <w:rtl/>
        </w:rPr>
        <w:t xml:space="preserve"> </w:t>
      </w:r>
      <w:r w:rsidRPr="005D59A7">
        <w:rPr>
          <w:rFonts w:ascii="T" w:hAnsi="T" w:cs="Simplified Arabic"/>
          <w:sz w:val="24"/>
          <w:szCs w:val="24"/>
          <w:rtl/>
        </w:rPr>
        <w:t>قد</w:t>
      </w:r>
      <w:r w:rsidR="0089666A" w:rsidRPr="005D59A7">
        <w:rPr>
          <w:rFonts w:ascii="T" w:hAnsi="T" w:cs="Simplified Arabic"/>
          <w:sz w:val="24"/>
          <w:szCs w:val="24"/>
          <w:rtl/>
        </w:rPr>
        <w:t xml:space="preserve"> </w:t>
      </w:r>
      <w:r w:rsidRPr="005D59A7">
        <w:rPr>
          <w:rFonts w:ascii="T" w:hAnsi="T" w:cs="Simplified Arabic"/>
          <w:sz w:val="24"/>
          <w:szCs w:val="24"/>
          <w:rtl/>
        </w:rPr>
        <w:t>لا</w:t>
      </w:r>
      <w:r w:rsidR="0089666A" w:rsidRPr="005D59A7">
        <w:rPr>
          <w:rFonts w:ascii="T" w:hAnsi="T" w:cs="Simplified Arabic"/>
          <w:sz w:val="24"/>
          <w:szCs w:val="24"/>
          <w:rtl/>
        </w:rPr>
        <w:t xml:space="preserve"> </w:t>
      </w:r>
      <w:r w:rsidRPr="005D59A7">
        <w:rPr>
          <w:rFonts w:ascii="T" w:hAnsi="T" w:cs="Simplified Arabic"/>
          <w:sz w:val="24"/>
          <w:szCs w:val="24"/>
          <w:rtl/>
        </w:rPr>
        <w:t>تكون</w:t>
      </w:r>
      <w:r w:rsidR="0089666A" w:rsidRPr="005D59A7">
        <w:rPr>
          <w:rFonts w:ascii="T" w:hAnsi="T" w:cs="Simplified Arabic"/>
          <w:sz w:val="24"/>
          <w:szCs w:val="24"/>
          <w:rtl/>
        </w:rPr>
        <w:t xml:space="preserve"> </w:t>
      </w:r>
      <w:r w:rsidRPr="005D59A7">
        <w:rPr>
          <w:rFonts w:ascii="T" w:hAnsi="T" w:cs="Simplified Arabic"/>
          <w:sz w:val="24"/>
          <w:szCs w:val="24"/>
          <w:rtl/>
        </w:rPr>
        <w:t>متاحة</w:t>
      </w:r>
      <w:r w:rsidR="0089666A" w:rsidRPr="005D59A7">
        <w:rPr>
          <w:rFonts w:ascii="T" w:hAnsi="T" w:cs="Simplified Arabic"/>
          <w:sz w:val="24"/>
          <w:szCs w:val="24"/>
          <w:rtl/>
        </w:rPr>
        <w:t xml:space="preserve"> </w:t>
      </w:r>
      <w:r w:rsidRPr="005D59A7">
        <w:rPr>
          <w:rFonts w:ascii="T" w:hAnsi="T" w:cs="Simplified Arabic"/>
          <w:sz w:val="24"/>
          <w:szCs w:val="24"/>
          <w:rtl/>
        </w:rPr>
        <w:t>في</w:t>
      </w:r>
      <w:r w:rsidR="0089666A" w:rsidRPr="005D59A7">
        <w:rPr>
          <w:rFonts w:ascii="T" w:hAnsi="T" w:cs="Simplified Arabic"/>
          <w:sz w:val="24"/>
          <w:szCs w:val="24"/>
          <w:rtl/>
        </w:rPr>
        <w:t xml:space="preserve"> </w:t>
      </w:r>
      <w:r w:rsidRPr="005D59A7">
        <w:rPr>
          <w:rFonts w:ascii="T" w:hAnsi="T" w:cs="Simplified Arabic"/>
          <w:sz w:val="24"/>
          <w:szCs w:val="24"/>
          <w:rtl/>
        </w:rPr>
        <w:t>القطاع</w:t>
      </w:r>
      <w:r w:rsidR="0089666A" w:rsidRPr="005D59A7">
        <w:rPr>
          <w:rFonts w:ascii="T" w:hAnsi="T" w:cs="Simplified Arabic"/>
          <w:sz w:val="24"/>
          <w:szCs w:val="24"/>
          <w:rtl/>
        </w:rPr>
        <w:t xml:space="preserve"> </w:t>
      </w:r>
      <w:r w:rsidRPr="005D59A7">
        <w:rPr>
          <w:rFonts w:ascii="T" w:hAnsi="T" w:cs="Simplified Arabic"/>
          <w:sz w:val="24"/>
          <w:szCs w:val="24"/>
          <w:rtl/>
        </w:rPr>
        <w:t>العام. وهذا</w:t>
      </w:r>
      <w:r w:rsidR="0089666A" w:rsidRPr="005D59A7">
        <w:rPr>
          <w:rFonts w:ascii="T" w:hAnsi="T" w:cs="Simplified Arabic"/>
          <w:sz w:val="24"/>
          <w:szCs w:val="24"/>
          <w:rtl/>
        </w:rPr>
        <w:t xml:space="preserve"> </w:t>
      </w:r>
      <w:r w:rsidRPr="005D59A7">
        <w:rPr>
          <w:rFonts w:ascii="T" w:hAnsi="T" w:cs="Simplified Arabic"/>
          <w:sz w:val="24"/>
          <w:szCs w:val="24"/>
          <w:rtl/>
        </w:rPr>
        <w:t>يُمكن</w:t>
      </w:r>
      <w:r w:rsidR="0089666A" w:rsidRPr="005D59A7">
        <w:rPr>
          <w:rFonts w:ascii="T" w:hAnsi="T" w:cs="Simplified Arabic"/>
          <w:sz w:val="24"/>
          <w:szCs w:val="24"/>
          <w:rtl/>
        </w:rPr>
        <w:t xml:space="preserve"> </w:t>
      </w:r>
      <w:r w:rsidRPr="005D59A7">
        <w:rPr>
          <w:rFonts w:ascii="T" w:hAnsi="T" w:cs="Simplified Arabic"/>
          <w:sz w:val="24"/>
          <w:szCs w:val="24"/>
          <w:rtl/>
        </w:rPr>
        <w:t>أن</w:t>
      </w:r>
      <w:r w:rsidR="0089666A" w:rsidRPr="005D59A7">
        <w:rPr>
          <w:rFonts w:ascii="T" w:hAnsi="T" w:cs="Simplified Arabic"/>
          <w:sz w:val="24"/>
          <w:szCs w:val="24"/>
          <w:rtl/>
        </w:rPr>
        <w:t xml:space="preserve"> </w:t>
      </w:r>
      <w:r w:rsidRPr="005D59A7">
        <w:rPr>
          <w:rFonts w:ascii="T" w:hAnsi="T" w:cs="Simplified Arabic"/>
          <w:sz w:val="24"/>
          <w:szCs w:val="24"/>
          <w:rtl/>
        </w:rPr>
        <w:t>يُؤدي</w:t>
      </w:r>
      <w:r w:rsidR="0089666A" w:rsidRPr="005D59A7">
        <w:rPr>
          <w:rFonts w:ascii="T" w:hAnsi="T" w:cs="Simplified Arabic"/>
          <w:sz w:val="24"/>
          <w:szCs w:val="24"/>
          <w:rtl/>
        </w:rPr>
        <w:t xml:space="preserve"> </w:t>
      </w:r>
      <w:r w:rsidRPr="005D59A7">
        <w:rPr>
          <w:rFonts w:ascii="T" w:hAnsi="T" w:cs="Simplified Arabic"/>
          <w:sz w:val="24"/>
          <w:szCs w:val="24"/>
          <w:rtl/>
        </w:rPr>
        <w:t>إلى</w:t>
      </w:r>
      <w:r w:rsidR="0089666A" w:rsidRPr="005D59A7">
        <w:rPr>
          <w:rFonts w:ascii="T" w:hAnsi="T" w:cs="Simplified Arabic"/>
          <w:sz w:val="24"/>
          <w:szCs w:val="24"/>
          <w:rtl/>
        </w:rPr>
        <w:t xml:space="preserve"> </w:t>
      </w:r>
      <w:r w:rsidRPr="005D59A7">
        <w:rPr>
          <w:rFonts w:ascii="T" w:hAnsi="T" w:cs="Simplified Arabic"/>
          <w:sz w:val="24"/>
          <w:szCs w:val="24"/>
          <w:rtl/>
        </w:rPr>
        <w:t>تصميم</w:t>
      </w:r>
      <w:r w:rsidR="0089666A" w:rsidRPr="005D59A7">
        <w:rPr>
          <w:rFonts w:ascii="T" w:hAnsi="T" w:cs="Simplified Arabic"/>
          <w:sz w:val="24"/>
          <w:szCs w:val="24"/>
          <w:rtl/>
        </w:rPr>
        <w:t xml:space="preserve"> </w:t>
      </w:r>
      <w:r w:rsidRPr="005D59A7">
        <w:rPr>
          <w:rFonts w:ascii="T" w:hAnsi="T" w:cs="Simplified Arabic"/>
          <w:sz w:val="24"/>
          <w:szCs w:val="24"/>
          <w:rtl/>
        </w:rPr>
        <w:t>وبناء</w:t>
      </w:r>
      <w:r w:rsidR="0089666A" w:rsidRPr="005D59A7">
        <w:rPr>
          <w:rFonts w:ascii="T" w:hAnsi="T" w:cs="Simplified Arabic"/>
          <w:sz w:val="24"/>
          <w:szCs w:val="24"/>
          <w:rtl/>
        </w:rPr>
        <w:t xml:space="preserve"> </w:t>
      </w:r>
      <w:r w:rsidRPr="005D59A7">
        <w:rPr>
          <w:rFonts w:ascii="T" w:hAnsi="T" w:cs="Simplified Arabic"/>
          <w:sz w:val="24"/>
          <w:szCs w:val="24"/>
          <w:rtl/>
        </w:rPr>
        <w:t>وتشغيل</w:t>
      </w:r>
      <w:r w:rsidR="0089666A" w:rsidRPr="005D59A7">
        <w:rPr>
          <w:rFonts w:ascii="T" w:hAnsi="T" w:cs="Simplified Arabic"/>
          <w:sz w:val="24"/>
          <w:szCs w:val="24"/>
          <w:rtl/>
        </w:rPr>
        <w:t xml:space="preserve"> </w:t>
      </w:r>
      <w:r w:rsidRPr="005D59A7">
        <w:rPr>
          <w:rFonts w:ascii="T" w:hAnsi="T" w:cs="Simplified Arabic"/>
          <w:sz w:val="24"/>
          <w:szCs w:val="24"/>
          <w:rtl/>
        </w:rPr>
        <w:t>أكثر</w:t>
      </w:r>
      <w:r w:rsidR="0089666A" w:rsidRPr="005D59A7">
        <w:rPr>
          <w:rFonts w:ascii="T" w:hAnsi="T" w:cs="Simplified Arabic"/>
          <w:sz w:val="24"/>
          <w:szCs w:val="24"/>
          <w:rtl/>
        </w:rPr>
        <w:t xml:space="preserve"> </w:t>
      </w:r>
      <w:r w:rsidRPr="005D59A7">
        <w:rPr>
          <w:rFonts w:ascii="T" w:hAnsi="T" w:cs="Simplified Arabic"/>
          <w:sz w:val="24"/>
          <w:szCs w:val="24"/>
          <w:rtl/>
        </w:rPr>
        <w:t>كفاءة</w:t>
      </w:r>
      <w:r w:rsidR="0089666A" w:rsidRPr="005D59A7">
        <w:rPr>
          <w:rFonts w:ascii="T" w:hAnsi="T" w:cs="Simplified Arabic"/>
          <w:sz w:val="24"/>
          <w:szCs w:val="24"/>
          <w:rtl/>
        </w:rPr>
        <w:t xml:space="preserve"> </w:t>
      </w:r>
      <w:r w:rsidRPr="005D59A7">
        <w:rPr>
          <w:rFonts w:ascii="T" w:hAnsi="T" w:cs="Simplified Arabic"/>
          <w:sz w:val="24"/>
          <w:szCs w:val="24"/>
          <w:rtl/>
        </w:rPr>
        <w:t>للمشاريع.</w:t>
      </w:r>
    </w:p>
    <w:p w14:paraId="2B4A75C0" w14:textId="27DA7772"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تعزيز</w:t>
      </w:r>
      <w:r w:rsidR="00444E8E" w:rsidRPr="005D59A7">
        <w:rPr>
          <w:rFonts w:ascii="T" w:hAnsi="T" w:cs="Simplified Arabic"/>
          <w:sz w:val="24"/>
          <w:szCs w:val="24"/>
          <w:rtl/>
        </w:rPr>
        <w:t xml:space="preserve"> </w:t>
      </w:r>
      <w:r w:rsidRPr="005D59A7">
        <w:rPr>
          <w:rFonts w:ascii="T" w:hAnsi="T" w:cs="Simplified Arabic"/>
          <w:sz w:val="24"/>
          <w:szCs w:val="24"/>
          <w:rtl/>
        </w:rPr>
        <w:t>الكفاءة</w:t>
      </w:r>
      <w:r w:rsidR="00444E8E" w:rsidRPr="005D59A7">
        <w:rPr>
          <w:rFonts w:ascii="T" w:hAnsi="T" w:cs="Simplified Arabic"/>
          <w:sz w:val="24"/>
          <w:szCs w:val="24"/>
          <w:rtl/>
        </w:rPr>
        <w:t xml:space="preserve"> </w:t>
      </w:r>
      <w:r w:rsidRPr="005D59A7">
        <w:rPr>
          <w:rFonts w:ascii="T" w:hAnsi="T" w:cs="Simplified Arabic"/>
          <w:sz w:val="24"/>
          <w:szCs w:val="24"/>
          <w:rtl/>
        </w:rPr>
        <w:t>والابتكار:تحسين</w:t>
      </w:r>
      <w:r w:rsidR="00444E8E" w:rsidRPr="005D59A7">
        <w:rPr>
          <w:rFonts w:ascii="T" w:hAnsi="T" w:cs="Simplified Arabic"/>
          <w:sz w:val="24"/>
          <w:szCs w:val="24"/>
          <w:rtl/>
        </w:rPr>
        <w:t xml:space="preserve"> </w:t>
      </w:r>
      <w:r w:rsidRPr="005D59A7">
        <w:rPr>
          <w:rFonts w:ascii="T" w:hAnsi="T" w:cs="Simplified Arabic"/>
          <w:sz w:val="24"/>
          <w:szCs w:val="24"/>
          <w:rtl/>
        </w:rPr>
        <w:t>إنجاز</w:t>
      </w:r>
      <w:r w:rsidR="00444E8E" w:rsidRPr="005D59A7">
        <w:rPr>
          <w:rFonts w:ascii="T" w:hAnsi="T" w:cs="Simplified Arabic"/>
          <w:sz w:val="24"/>
          <w:szCs w:val="24"/>
          <w:rtl/>
        </w:rPr>
        <w:t xml:space="preserve"> </w:t>
      </w:r>
      <w:r w:rsidRPr="005D59A7">
        <w:rPr>
          <w:rFonts w:ascii="T" w:hAnsi="T" w:cs="Simplified Arabic"/>
          <w:sz w:val="24"/>
          <w:szCs w:val="24"/>
          <w:rtl/>
        </w:rPr>
        <w:t>المشاريع: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يُقدم</w:t>
      </w:r>
      <w:r w:rsidR="00444E8E" w:rsidRPr="005D59A7">
        <w:rPr>
          <w:rFonts w:ascii="T" w:hAnsi="T" w:cs="Simplified Arabic"/>
          <w:sz w:val="24"/>
          <w:szCs w:val="24"/>
          <w:rtl/>
        </w:rPr>
        <w:t xml:space="preserve"> </w:t>
      </w:r>
      <w:r w:rsidRPr="005D59A7">
        <w:rPr>
          <w:rFonts w:ascii="T" w:hAnsi="T" w:cs="Simplified Arabic"/>
          <w:sz w:val="24"/>
          <w:szCs w:val="24"/>
          <w:rtl/>
        </w:rPr>
        <w:t>شركاء</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تقنيات</w:t>
      </w:r>
      <w:r w:rsidR="00444E8E" w:rsidRPr="005D59A7">
        <w:rPr>
          <w:rFonts w:ascii="T" w:hAnsi="T" w:cs="Simplified Arabic"/>
          <w:sz w:val="24"/>
          <w:szCs w:val="24"/>
          <w:rtl/>
        </w:rPr>
        <w:t xml:space="preserve"> </w:t>
      </w:r>
      <w:r w:rsidRPr="005D59A7">
        <w:rPr>
          <w:rFonts w:ascii="T" w:hAnsi="T" w:cs="Simplified Arabic"/>
          <w:sz w:val="24"/>
          <w:szCs w:val="24"/>
          <w:rtl/>
        </w:rPr>
        <w:t>إدارة</w:t>
      </w:r>
      <w:r w:rsidR="00444E8E" w:rsidRPr="005D59A7">
        <w:rPr>
          <w:rFonts w:ascii="T" w:hAnsi="T" w:cs="Simplified Arabic"/>
          <w:sz w:val="24"/>
          <w:szCs w:val="24"/>
          <w:rtl/>
        </w:rPr>
        <w:t xml:space="preserve"> </w:t>
      </w:r>
      <w:r w:rsidRPr="005D59A7">
        <w:rPr>
          <w:rFonts w:ascii="T" w:hAnsi="T" w:cs="Simplified Arabic"/>
          <w:sz w:val="24"/>
          <w:szCs w:val="24"/>
          <w:rtl/>
        </w:rPr>
        <w:t>مشاريع</w:t>
      </w:r>
      <w:r w:rsidR="00444E8E" w:rsidRPr="005D59A7">
        <w:rPr>
          <w:rFonts w:ascii="T" w:hAnsi="T" w:cs="Simplified Arabic"/>
          <w:sz w:val="24"/>
          <w:szCs w:val="24"/>
          <w:rtl/>
        </w:rPr>
        <w:t xml:space="preserve"> </w:t>
      </w:r>
      <w:r w:rsidRPr="005D59A7">
        <w:rPr>
          <w:rFonts w:ascii="T" w:hAnsi="T" w:cs="Simplified Arabic"/>
          <w:sz w:val="24"/>
          <w:szCs w:val="24"/>
          <w:rtl/>
        </w:rPr>
        <w:t>متطورة،</w:t>
      </w:r>
      <w:r w:rsidR="00444E8E" w:rsidRPr="005D59A7">
        <w:rPr>
          <w:rFonts w:ascii="T" w:hAnsi="T" w:cs="Simplified Arabic"/>
          <w:sz w:val="24"/>
          <w:szCs w:val="24"/>
          <w:rtl/>
        </w:rPr>
        <w:t xml:space="preserve"> </w:t>
      </w:r>
      <w:r w:rsidRPr="005D59A7">
        <w:rPr>
          <w:rFonts w:ascii="T" w:hAnsi="T" w:cs="Simplified Arabic"/>
          <w:sz w:val="24"/>
          <w:szCs w:val="24"/>
          <w:rtl/>
        </w:rPr>
        <w:t>وعمليات</w:t>
      </w:r>
      <w:r w:rsidR="00444E8E" w:rsidRPr="005D59A7">
        <w:rPr>
          <w:rFonts w:ascii="T" w:hAnsi="T" w:cs="Simplified Arabic"/>
          <w:sz w:val="24"/>
          <w:szCs w:val="24"/>
          <w:rtl/>
        </w:rPr>
        <w:t xml:space="preserve"> </w:t>
      </w:r>
      <w:r w:rsidRPr="005D59A7">
        <w:rPr>
          <w:rFonts w:ascii="T" w:hAnsi="T" w:cs="Simplified Arabic"/>
          <w:sz w:val="24"/>
          <w:szCs w:val="24"/>
          <w:rtl/>
        </w:rPr>
        <w:t>مُبسطة،</w:t>
      </w:r>
      <w:r w:rsidR="00444E8E" w:rsidRPr="005D59A7">
        <w:rPr>
          <w:rFonts w:ascii="T" w:hAnsi="T" w:cs="Simplified Arabic"/>
          <w:sz w:val="24"/>
          <w:szCs w:val="24"/>
          <w:rtl/>
        </w:rPr>
        <w:t xml:space="preserve"> </w:t>
      </w:r>
      <w:r w:rsidRPr="005D59A7">
        <w:rPr>
          <w:rFonts w:ascii="T" w:hAnsi="T" w:cs="Simplified Arabic"/>
          <w:sz w:val="24"/>
          <w:szCs w:val="24"/>
          <w:rtl/>
        </w:rPr>
        <w:t>وتركيزًا</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الأداء،</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يُسهم</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تسريع</w:t>
      </w:r>
      <w:r w:rsidR="00444E8E" w:rsidRPr="005D59A7">
        <w:rPr>
          <w:rFonts w:ascii="T" w:hAnsi="T" w:cs="Simplified Arabic"/>
          <w:sz w:val="24"/>
          <w:szCs w:val="24"/>
          <w:rtl/>
        </w:rPr>
        <w:t xml:space="preserve"> </w:t>
      </w:r>
      <w:r w:rsidRPr="005D59A7">
        <w:rPr>
          <w:rFonts w:ascii="T" w:hAnsi="T" w:cs="Simplified Arabic"/>
          <w:sz w:val="24"/>
          <w:szCs w:val="24"/>
          <w:rtl/>
        </w:rPr>
        <w:t>إنجاز</w:t>
      </w:r>
      <w:r w:rsidR="00444E8E" w:rsidRPr="005D59A7">
        <w:rPr>
          <w:rFonts w:ascii="T" w:hAnsi="T" w:cs="Simplified Arabic"/>
          <w:sz w:val="24"/>
          <w:szCs w:val="24"/>
          <w:rtl/>
        </w:rPr>
        <w:t xml:space="preserve"> </w:t>
      </w:r>
      <w:r w:rsidRPr="005D59A7">
        <w:rPr>
          <w:rFonts w:ascii="T" w:hAnsi="T" w:cs="Simplified Arabic"/>
          <w:sz w:val="24"/>
          <w:szCs w:val="24"/>
          <w:rtl/>
        </w:rPr>
        <w:t>المشاريع</w:t>
      </w:r>
      <w:r w:rsidR="00444E8E" w:rsidRPr="005D59A7">
        <w:rPr>
          <w:rFonts w:ascii="T" w:hAnsi="T" w:cs="Simplified Arabic"/>
          <w:sz w:val="24"/>
          <w:szCs w:val="24"/>
          <w:rtl/>
        </w:rPr>
        <w:t xml:space="preserve"> </w:t>
      </w:r>
      <w:r w:rsidRPr="005D59A7">
        <w:rPr>
          <w:rFonts w:ascii="T" w:hAnsi="T" w:cs="Simplified Arabic"/>
          <w:sz w:val="24"/>
          <w:szCs w:val="24"/>
          <w:rtl/>
        </w:rPr>
        <w:t>وتقليل</w:t>
      </w:r>
      <w:r w:rsidR="00444E8E" w:rsidRPr="005D59A7">
        <w:rPr>
          <w:rFonts w:ascii="T" w:hAnsi="T" w:cs="Simplified Arabic"/>
          <w:sz w:val="24"/>
          <w:szCs w:val="24"/>
          <w:rtl/>
        </w:rPr>
        <w:t xml:space="preserve"> </w:t>
      </w:r>
      <w:r w:rsidRPr="005D59A7">
        <w:rPr>
          <w:rFonts w:ascii="T" w:hAnsi="T" w:cs="Simplified Arabic"/>
          <w:sz w:val="24"/>
          <w:szCs w:val="24"/>
          <w:rtl/>
        </w:rPr>
        <w:t>التأخير.</w:t>
      </w:r>
    </w:p>
    <w:p w14:paraId="62941A12"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الابتكار: تُحرك</w:t>
      </w:r>
      <w:r w:rsidR="00444E8E" w:rsidRPr="005D59A7">
        <w:rPr>
          <w:rFonts w:ascii="T" w:hAnsi="T" w:cs="Simplified Arabic"/>
          <w:sz w:val="24"/>
          <w:szCs w:val="24"/>
          <w:rtl/>
        </w:rPr>
        <w:t xml:space="preserve"> </w:t>
      </w:r>
      <w:r w:rsidRPr="005D59A7">
        <w:rPr>
          <w:rFonts w:ascii="T" w:hAnsi="T" w:cs="Simplified Arabic"/>
          <w:sz w:val="24"/>
          <w:szCs w:val="24"/>
          <w:rtl/>
        </w:rPr>
        <w:t>الكيانات</w:t>
      </w:r>
      <w:r w:rsidR="00444E8E" w:rsidRPr="005D59A7">
        <w:rPr>
          <w:rFonts w:ascii="T" w:hAnsi="T" w:cs="Simplified Arabic"/>
          <w:sz w:val="24"/>
          <w:szCs w:val="24"/>
          <w:rtl/>
        </w:rPr>
        <w:t xml:space="preserve"> </w:t>
      </w:r>
      <w:r w:rsidRPr="005D59A7">
        <w:rPr>
          <w:rFonts w:ascii="T" w:hAnsi="T" w:cs="Simplified Arabic"/>
          <w:sz w:val="24"/>
          <w:szCs w:val="24"/>
          <w:rtl/>
        </w:rPr>
        <w:t>الخاصة</w:t>
      </w:r>
      <w:r w:rsidR="00444E8E" w:rsidRPr="005D59A7">
        <w:rPr>
          <w:rFonts w:ascii="T" w:hAnsi="T" w:cs="Simplified Arabic"/>
          <w:sz w:val="24"/>
          <w:szCs w:val="24"/>
          <w:rtl/>
        </w:rPr>
        <w:t xml:space="preserve"> </w:t>
      </w:r>
      <w:r w:rsidRPr="005D59A7">
        <w:rPr>
          <w:rFonts w:ascii="T" w:hAnsi="T" w:cs="Simplified Arabic"/>
          <w:sz w:val="24"/>
          <w:szCs w:val="24"/>
          <w:rtl/>
        </w:rPr>
        <w:t>دوافع</w:t>
      </w:r>
      <w:r w:rsidR="00444E8E" w:rsidRPr="005D59A7">
        <w:rPr>
          <w:rFonts w:ascii="T" w:hAnsi="T" w:cs="Simplified Arabic"/>
          <w:sz w:val="24"/>
          <w:szCs w:val="24"/>
          <w:rtl/>
        </w:rPr>
        <w:t xml:space="preserve"> </w:t>
      </w:r>
      <w:r w:rsidRPr="005D59A7">
        <w:rPr>
          <w:rFonts w:ascii="T" w:hAnsi="T" w:cs="Simplified Arabic"/>
          <w:sz w:val="24"/>
          <w:szCs w:val="24"/>
          <w:rtl/>
        </w:rPr>
        <w:t>الربح</w:t>
      </w:r>
      <w:r w:rsidR="00444E8E" w:rsidRPr="005D59A7">
        <w:rPr>
          <w:rFonts w:ascii="T" w:hAnsi="T" w:cs="Simplified Arabic"/>
          <w:sz w:val="24"/>
          <w:szCs w:val="24"/>
          <w:rtl/>
        </w:rPr>
        <w:t xml:space="preserve"> </w:t>
      </w:r>
      <w:r w:rsidRPr="005D59A7">
        <w:rPr>
          <w:rFonts w:ascii="T" w:hAnsi="T" w:cs="Simplified Arabic"/>
          <w:sz w:val="24"/>
          <w:szCs w:val="24"/>
          <w:rtl/>
        </w:rPr>
        <w:t>والمنافسة،</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يُعزز</w:t>
      </w:r>
      <w:r w:rsidR="00444E8E" w:rsidRPr="005D59A7">
        <w:rPr>
          <w:rFonts w:ascii="T" w:hAnsi="T" w:cs="Simplified Arabic"/>
          <w:sz w:val="24"/>
          <w:szCs w:val="24"/>
          <w:rtl/>
        </w:rPr>
        <w:t xml:space="preserve"> </w:t>
      </w:r>
      <w:r w:rsidRPr="005D59A7">
        <w:rPr>
          <w:rFonts w:ascii="T" w:hAnsi="T" w:cs="Simplified Arabic"/>
          <w:sz w:val="24"/>
          <w:szCs w:val="24"/>
          <w:rtl/>
        </w:rPr>
        <w:t>الابتكار</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التكنولوجيا</w:t>
      </w:r>
      <w:r w:rsidR="00444E8E" w:rsidRPr="005D59A7">
        <w:rPr>
          <w:rFonts w:ascii="T" w:hAnsi="T" w:cs="Simplified Arabic"/>
          <w:sz w:val="24"/>
          <w:szCs w:val="24"/>
          <w:rtl/>
        </w:rPr>
        <w:t xml:space="preserve"> </w:t>
      </w:r>
      <w:r w:rsidRPr="005D59A7">
        <w:rPr>
          <w:rFonts w:ascii="T" w:hAnsi="T" w:cs="Simplified Arabic"/>
          <w:sz w:val="24"/>
          <w:szCs w:val="24"/>
          <w:rtl/>
        </w:rPr>
        <w:t>والعمليات</w:t>
      </w:r>
      <w:r w:rsidR="00444E8E" w:rsidRPr="005D59A7">
        <w:rPr>
          <w:rFonts w:ascii="T" w:hAnsi="T" w:cs="Simplified Arabic"/>
          <w:sz w:val="24"/>
          <w:szCs w:val="24"/>
          <w:rtl/>
        </w:rPr>
        <w:t xml:space="preserve"> </w:t>
      </w:r>
      <w:r w:rsidRPr="005D59A7">
        <w:rPr>
          <w:rFonts w:ascii="T" w:hAnsi="T" w:cs="Simplified Arabic"/>
          <w:sz w:val="24"/>
          <w:szCs w:val="24"/>
          <w:rtl/>
        </w:rPr>
        <w:t>وتقديم</w:t>
      </w:r>
      <w:r w:rsidR="00444E8E" w:rsidRPr="005D59A7">
        <w:rPr>
          <w:rFonts w:ascii="T" w:hAnsi="T" w:cs="Simplified Arabic"/>
          <w:sz w:val="24"/>
          <w:szCs w:val="24"/>
          <w:rtl/>
        </w:rPr>
        <w:t xml:space="preserve"> </w:t>
      </w:r>
      <w:r w:rsidRPr="005D59A7">
        <w:rPr>
          <w:rFonts w:ascii="T" w:hAnsi="T" w:cs="Simplified Arabic"/>
          <w:sz w:val="24"/>
          <w:szCs w:val="24"/>
          <w:rtl/>
        </w:rPr>
        <w:t>الخدمات. وهذا</w:t>
      </w:r>
      <w:r w:rsidR="00444E8E" w:rsidRPr="005D59A7">
        <w:rPr>
          <w:rFonts w:ascii="T" w:hAnsi="T" w:cs="Simplified Arabic"/>
          <w:sz w:val="24"/>
          <w:szCs w:val="24"/>
          <w:rtl/>
        </w:rPr>
        <w:t xml:space="preserve"> </w:t>
      </w:r>
      <w:r w:rsidRPr="005D59A7">
        <w:rPr>
          <w:rFonts w:ascii="T" w:hAnsi="T" w:cs="Simplified Arabic"/>
          <w:sz w:val="24"/>
          <w:szCs w:val="24"/>
          <w:rtl/>
        </w:rPr>
        <w:t>يُؤدي</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حلول</w:t>
      </w:r>
      <w:r w:rsidR="00444E8E" w:rsidRPr="005D59A7">
        <w:rPr>
          <w:rFonts w:ascii="T" w:hAnsi="T" w:cs="Simplified Arabic"/>
          <w:sz w:val="24"/>
          <w:szCs w:val="24"/>
          <w:rtl/>
        </w:rPr>
        <w:t xml:space="preserve"> </w:t>
      </w:r>
      <w:r w:rsidRPr="005D59A7">
        <w:rPr>
          <w:rFonts w:ascii="T" w:hAnsi="T" w:cs="Simplified Arabic"/>
          <w:sz w:val="24"/>
          <w:szCs w:val="24"/>
          <w:rtl/>
        </w:rPr>
        <w:t>ذات</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أعلى</w:t>
      </w:r>
      <w:r w:rsidR="00444E8E" w:rsidRPr="005D59A7">
        <w:rPr>
          <w:rFonts w:ascii="T" w:hAnsi="T" w:cs="Simplified Arabic"/>
          <w:sz w:val="24"/>
          <w:szCs w:val="24"/>
          <w:rtl/>
        </w:rPr>
        <w:t xml:space="preserve"> </w:t>
      </w:r>
      <w:r w:rsidRPr="005D59A7">
        <w:rPr>
          <w:rFonts w:ascii="T" w:hAnsi="T" w:cs="Simplified Arabic"/>
          <w:sz w:val="24"/>
          <w:szCs w:val="24"/>
          <w:rtl/>
        </w:rPr>
        <w:t>وفعالية</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حيث</w:t>
      </w:r>
      <w:r w:rsidR="00444E8E" w:rsidRPr="005D59A7">
        <w:rPr>
          <w:rFonts w:ascii="T" w:hAnsi="T" w:cs="Simplified Arabic"/>
          <w:sz w:val="24"/>
          <w:szCs w:val="24"/>
          <w:rtl/>
        </w:rPr>
        <w:t xml:space="preserve"> </w:t>
      </w:r>
      <w:r w:rsidRPr="005D59A7">
        <w:rPr>
          <w:rFonts w:ascii="T" w:hAnsi="T" w:cs="Simplified Arabic"/>
          <w:sz w:val="24"/>
          <w:szCs w:val="24"/>
          <w:rtl/>
        </w:rPr>
        <w:t>التكلفة.</w:t>
      </w:r>
    </w:p>
    <w:p w14:paraId="66B8FDC7" w14:textId="77777777" w:rsidR="005A5496"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نهج</w:t>
      </w:r>
      <w:r w:rsidR="00444E8E" w:rsidRPr="005D59A7">
        <w:rPr>
          <w:rFonts w:ascii="T" w:hAnsi="T" w:cs="Simplified Arabic"/>
          <w:sz w:val="24"/>
          <w:szCs w:val="24"/>
          <w:rtl/>
        </w:rPr>
        <w:t xml:space="preserve"> </w:t>
      </w:r>
      <w:r w:rsidRPr="005D59A7">
        <w:rPr>
          <w:rFonts w:ascii="T" w:hAnsi="T" w:cs="Simplified Arabic"/>
          <w:sz w:val="24"/>
          <w:szCs w:val="24"/>
          <w:rtl/>
        </w:rPr>
        <w:t>التكلفة</w:t>
      </w:r>
      <w:r w:rsidR="00444E8E" w:rsidRPr="005D59A7">
        <w:rPr>
          <w:rFonts w:ascii="T" w:hAnsi="T" w:cs="Simplified Arabic"/>
          <w:sz w:val="24"/>
          <w:szCs w:val="24"/>
          <w:rtl/>
        </w:rPr>
        <w:t xml:space="preserve"> </w:t>
      </w:r>
      <w:r w:rsidRPr="005D59A7">
        <w:rPr>
          <w:rFonts w:ascii="T" w:hAnsi="T" w:cs="Simplified Arabic"/>
          <w:sz w:val="24"/>
          <w:szCs w:val="24"/>
          <w:rtl/>
        </w:rPr>
        <w:t>الشاملة: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تُراعي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دورة</w:t>
      </w:r>
      <w:r w:rsidR="00444E8E" w:rsidRPr="005D59A7">
        <w:rPr>
          <w:rFonts w:ascii="T" w:hAnsi="T" w:cs="Simplified Arabic"/>
          <w:sz w:val="24"/>
          <w:szCs w:val="24"/>
          <w:rtl/>
        </w:rPr>
        <w:t xml:space="preserve"> </w:t>
      </w:r>
      <w:r w:rsidRPr="005D59A7">
        <w:rPr>
          <w:rFonts w:ascii="T" w:hAnsi="T" w:cs="Simplified Arabic"/>
          <w:sz w:val="24"/>
          <w:szCs w:val="24"/>
          <w:rtl/>
        </w:rPr>
        <w:t>حياة</w:t>
      </w:r>
      <w:r w:rsidR="00444E8E" w:rsidRPr="005D59A7">
        <w:rPr>
          <w:rFonts w:ascii="T" w:hAnsi="T" w:cs="Simplified Arabic"/>
          <w:sz w:val="24"/>
          <w:szCs w:val="24"/>
          <w:rtl/>
        </w:rPr>
        <w:t xml:space="preserve"> </w:t>
      </w:r>
      <w:r w:rsidRPr="005D59A7">
        <w:rPr>
          <w:rFonts w:ascii="T" w:hAnsi="T" w:cs="Simplified Arabic"/>
          <w:sz w:val="24"/>
          <w:szCs w:val="24"/>
          <w:rtl/>
        </w:rPr>
        <w:t>المشروع</w:t>
      </w:r>
      <w:r w:rsidR="00444E8E" w:rsidRPr="005D59A7">
        <w:rPr>
          <w:rFonts w:ascii="T" w:hAnsi="T" w:cs="Simplified Arabic"/>
          <w:sz w:val="24"/>
          <w:szCs w:val="24"/>
          <w:rtl/>
        </w:rPr>
        <w:t xml:space="preserve"> </w:t>
      </w:r>
      <w:r w:rsidRPr="005D59A7">
        <w:rPr>
          <w:rFonts w:ascii="T" w:hAnsi="T" w:cs="Simplified Arabic"/>
          <w:sz w:val="24"/>
          <w:szCs w:val="24"/>
          <w:rtl/>
        </w:rPr>
        <w:t>بأكملها،</w:t>
      </w:r>
      <w:r w:rsidR="00444E8E" w:rsidRPr="005D59A7">
        <w:rPr>
          <w:rFonts w:ascii="T" w:hAnsi="T" w:cs="Simplified Arabic"/>
          <w:sz w:val="24"/>
          <w:szCs w:val="24"/>
          <w:rtl/>
        </w:rPr>
        <w:t xml:space="preserve"> </w:t>
      </w:r>
      <w:r w:rsidRPr="005D59A7">
        <w:rPr>
          <w:rFonts w:ascii="T" w:hAnsi="T" w:cs="Simplified Arabic"/>
          <w:sz w:val="24"/>
          <w:szCs w:val="24"/>
          <w:rtl/>
        </w:rPr>
        <w:t>مما</w:t>
      </w:r>
      <w:r w:rsidR="00444E8E" w:rsidRPr="005D59A7">
        <w:rPr>
          <w:rFonts w:ascii="T" w:hAnsi="T" w:cs="Simplified Arabic"/>
          <w:sz w:val="24"/>
          <w:szCs w:val="24"/>
          <w:rtl/>
        </w:rPr>
        <w:t xml:space="preserve"> </w:t>
      </w:r>
      <w:r w:rsidRPr="005D59A7">
        <w:rPr>
          <w:rFonts w:ascii="T" w:hAnsi="T" w:cs="Simplified Arabic"/>
          <w:sz w:val="24"/>
          <w:szCs w:val="24"/>
          <w:rtl/>
        </w:rPr>
        <w:t>يُحفز</w:t>
      </w:r>
      <w:r w:rsidR="00444E8E" w:rsidRPr="005D59A7">
        <w:rPr>
          <w:rFonts w:ascii="T" w:hAnsi="T" w:cs="Simplified Arabic"/>
          <w:sz w:val="24"/>
          <w:szCs w:val="24"/>
          <w:rtl/>
        </w:rPr>
        <w:t xml:space="preserve"> </w:t>
      </w:r>
      <w:r w:rsidRPr="005D59A7">
        <w:rPr>
          <w:rFonts w:ascii="T" w:hAnsi="T" w:cs="Simplified Arabic"/>
          <w:sz w:val="24"/>
          <w:szCs w:val="24"/>
          <w:rtl/>
        </w:rPr>
        <w:t>الشركاء</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أعمال</w:t>
      </w:r>
      <w:r w:rsidR="00444E8E" w:rsidRPr="005D59A7">
        <w:rPr>
          <w:rFonts w:ascii="T" w:hAnsi="T" w:cs="Simplified Arabic"/>
          <w:sz w:val="24"/>
          <w:szCs w:val="24"/>
          <w:rtl/>
        </w:rPr>
        <w:t xml:space="preserve"> </w:t>
      </w:r>
      <w:r w:rsidRPr="005D59A7">
        <w:rPr>
          <w:rFonts w:ascii="T" w:hAnsi="T" w:cs="Simplified Arabic"/>
          <w:sz w:val="24"/>
          <w:szCs w:val="24"/>
          <w:rtl/>
        </w:rPr>
        <w:t>البناء</w:t>
      </w:r>
      <w:r w:rsidR="00444E8E" w:rsidRPr="005D59A7">
        <w:rPr>
          <w:rFonts w:ascii="T" w:hAnsi="T" w:cs="Simplified Arabic"/>
          <w:sz w:val="24"/>
          <w:szCs w:val="24"/>
          <w:rtl/>
        </w:rPr>
        <w:t xml:space="preserve"> </w:t>
      </w:r>
      <w:r w:rsidRPr="005D59A7">
        <w:rPr>
          <w:rFonts w:ascii="T" w:hAnsi="T" w:cs="Simplified Arabic"/>
          <w:sz w:val="24"/>
          <w:szCs w:val="24"/>
          <w:rtl/>
        </w:rPr>
        <w:t>والصيانة</w:t>
      </w:r>
      <w:r w:rsidR="00444E8E" w:rsidRPr="005D59A7">
        <w:rPr>
          <w:rFonts w:ascii="T" w:hAnsi="T" w:cs="Simplified Arabic"/>
          <w:sz w:val="24"/>
          <w:szCs w:val="24"/>
          <w:rtl/>
        </w:rPr>
        <w:t xml:space="preserve"> </w:t>
      </w:r>
      <w:r w:rsidRPr="005D59A7">
        <w:rPr>
          <w:rFonts w:ascii="T" w:hAnsi="T" w:cs="Simplified Arabic"/>
          <w:sz w:val="24"/>
          <w:szCs w:val="24"/>
          <w:rtl/>
        </w:rPr>
        <w:t>المستمرة</w:t>
      </w:r>
      <w:r w:rsidR="00444E8E" w:rsidRPr="005D59A7">
        <w:rPr>
          <w:rFonts w:ascii="T" w:hAnsi="T" w:cs="Simplified Arabic"/>
          <w:sz w:val="24"/>
          <w:szCs w:val="24"/>
          <w:rtl/>
        </w:rPr>
        <w:t xml:space="preserve"> </w:t>
      </w:r>
      <w:r w:rsidRPr="005D59A7">
        <w:rPr>
          <w:rFonts w:ascii="T" w:hAnsi="T" w:cs="Simplified Arabic"/>
          <w:sz w:val="24"/>
          <w:szCs w:val="24"/>
          <w:rtl/>
        </w:rPr>
        <w:t>لتقليل</w:t>
      </w:r>
      <w:r w:rsidR="00444E8E" w:rsidRPr="005D59A7">
        <w:rPr>
          <w:rFonts w:ascii="T" w:hAnsi="T" w:cs="Simplified Arabic"/>
          <w:sz w:val="24"/>
          <w:szCs w:val="24"/>
          <w:rtl/>
        </w:rPr>
        <w:t xml:space="preserve"> </w:t>
      </w:r>
      <w:r w:rsidRPr="005D59A7">
        <w:rPr>
          <w:rFonts w:ascii="T" w:hAnsi="T" w:cs="Simplified Arabic"/>
          <w:sz w:val="24"/>
          <w:szCs w:val="24"/>
          <w:rtl/>
        </w:rPr>
        <w:t>التكاليف</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المدى</w:t>
      </w:r>
      <w:r w:rsidR="00444E8E" w:rsidRPr="005D59A7">
        <w:rPr>
          <w:rFonts w:ascii="T" w:hAnsi="T" w:cs="Simplified Arabic"/>
          <w:sz w:val="24"/>
          <w:szCs w:val="24"/>
          <w:rtl/>
        </w:rPr>
        <w:t xml:space="preserve"> </w:t>
      </w:r>
      <w:r w:rsidRPr="005D59A7">
        <w:rPr>
          <w:rFonts w:ascii="T" w:hAnsi="T" w:cs="Simplified Arabic"/>
          <w:sz w:val="24"/>
          <w:szCs w:val="24"/>
          <w:rtl/>
        </w:rPr>
        <w:t>الطويل.</w:t>
      </w:r>
    </w:p>
    <w:p w14:paraId="4E0D94E8" w14:textId="03251EDE"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تقاسم</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وإدارتها:التوزيع</w:t>
      </w:r>
      <w:r w:rsidR="00444E8E" w:rsidRPr="005D59A7">
        <w:rPr>
          <w:rFonts w:ascii="T" w:hAnsi="T" w:cs="Simplified Arabic"/>
          <w:sz w:val="24"/>
          <w:szCs w:val="24"/>
          <w:rtl/>
        </w:rPr>
        <w:t xml:space="preserve"> </w:t>
      </w:r>
      <w:r w:rsidRPr="005D59A7">
        <w:rPr>
          <w:rFonts w:ascii="T" w:hAnsi="T" w:cs="Simplified Arabic"/>
          <w:sz w:val="24"/>
          <w:szCs w:val="24"/>
          <w:rtl/>
        </w:rPr>
        <w:t>الأمثل</w:t>
      </w:r>
      <w:r w:rsidR="00444E8E" w:rsidRPr="005D59A7">
        <w:rPr>
          <w:rFonts w:ascii="T" w:hAnsi="T" w:cs="Simplified Arabic"/>
          <w:sz w:val="24"/>
          <w:szCs w:val="24"/>
          <w:rtl/>
        </w:rPr>
        <w:t xml:space="preserve"> </w:t>
      </w:r>
      <w:r w:rsidRPr="005D59A7">
        <w:rPr>
          <w:rFonts w:ascii="T" w:hAnsi="T" w:cs="Simplified Arabic"/>
          <w:sz w:val="24"/>
          <w:szCs w:val="24"/>
          <w:rtl/>
        </w:rPr>
        <w:t>للمخاطر: تُتيح</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توزيع</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الكيانات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والخاصة،</w:t>
      </w:r>
      <w:r w:rsidR="00444E8E" w:rsidRPr="005D59A7">
        <w:rPr>
          <w:rFonts w:ascii="T" w:hAnsi="T" w:cs="Simplified Arabic"/>
          <w:sz w:val="24"/>
          <w:szCs w:val="24"/>
          <w:rtl/>
        </w:rPr>
        <w:t xml:space="preserve"> </w:t>
      </w:r>
      <w:r w:rsidRPr="005D59A7">
        <w:rPr>
          <w:rFonts w:ascii="T" w:hAnsi="T" w:cs="Simplified Arabic"/>
          <w:sz w:val="24"/>
          <w:szCs w:val="24"/>
          <w:rtl/>
        </w:rPr>
        <w:t>حيث</w:t>
      </w:r>
      <w:r w:rsidR="00444E8E" w:rsidRPr="005D59A7">
        <w:rPr>
          <w:rFonts w:ascii="T" w:hAnsi="T" w:cs="Simplified Arabic"/>
          <w:sz w:val="24"/>
          <w:szCs w:val="24"/>
          <w:rtl/>
        </w:rPr>
        <w:t xml:space="preserve"> </w:t>
      </w:r>
      <w:r w:rsidRPr="005D59A7">
        <w:rPr>
          <w:rFonts w:ascii="T" w:hAnsi="T" w:cs="Simplified Arabic"/>
          <w:sz w:val="24"/>
          <w:szCs w:val="24"/>
          <w:rtl/>
        </w:rPr>
        <w:t>يتحمل</w:t>
      </w:r>
      <w:r w:rsidR="00444E8E" w:rsidRPr="005D59A7">
        <w:rPr>
          <w:rFonts w:ascii="T" w:hAnsi="T" w:cs="Simplified Arabic"/>
          <w:sz w:val="24"/>
          <w:szCs w:val="24"/>
          <w:rtl/>
        </w:rPr>
        <w:t xml:space="preserve"> </w:t>
      </w:r>
      <w:r w:rsidRPr="005D59A7">
        <w:rPr>
          <w:rFonts w:ascii="T" w:hAnsi="T" w:cs="Simplified Arabic"/>
          <w:sz w:val="24"/>
          <w:szCs w:val="24"/>
          <w:rtl/>
        </w:rPr>
        <w:t>كل</w:t>
      </w:r>
      <w:r w:rsidR="00444E8E" w:rsidRPr="005D59A7">
        <w:rPr>
          <w:rFonts w:ascii="T" w:hAnsi="T" w:cs="Simplified Arabic"/>
          <w:sz w:val="24"/>
          <w:szCs w:val="24"/>
          <w:rtl/>
        </w:rPr>
        <w:t xml:space="preserve"> </w:t>
      </w:r>
      <w:r w:rsidRPr="005D59A7">
        <w:rPr>
          <w:rFonts w:ascii="T" w:hAnsi="T" w:cs="Simplified Arabic"/>
          <w:sz w:val="24"/>
          <w:szCs w:val="24"/>
          <w:rtl/>
        </w:rPr>
        <w:t>طرف</w:t>
      </w:r>
      <w:r w:rsidR="00444E8E" w:rsidRPr="005D59A7">
        <w:rPr>
          <w:rFonts w:ascii="T" w:hAnsi="T" w:cs="Simplified Arabic"/>
          <w:sz w:val="24"/>
          <w:szCs w:val="24"/>
          <w:rtl/>
        </w:rPr>
        <w:t xml:space="preserve"> </w:t>
      </w:r>
      <w:r w:rsidRPr="005D59A7">
        <w:rPr>
          <w:rFonts w:ascii="T" w:hAnsi="T" w:cs="Simplified Arabic"/>
          <w:sz w:val="24"/>
          <w:szCs w:val="24"/>
          <w:rtl/>
        </w:rPr>
        <w:t>المخاطر</w:t>
      </w:r>
      <w:r w:rsidR="00444E8E" w:rsidRPr="005D59A7">
        <w:rPr>
          <w:rFonts w:ascii="T" w:hAnsi="T" w:cs="Simplified Arabic"/>
          <w:sz w:val="24"/>
          <w:szCs w:val="24"/>
          <w:rtl/>
        </w:rPr>
        <w:t xml:space="preserve"> </w:t>
      </w:r>
      <w:r w:rsidRPr="005D59A7">
        <w:rPr>
          <w:rFonts w:ascii="T" w:hAnsi="T" w:cs="Simplified Arabic"/>
          <w:sz w:val="24"/>
          <w:szCs w:val="24"/>
          <w:rtl/>
        </w:rPr>
        <w:t>التي</w:t>
      </w:r>
      <w:r w:rsidR="00444E8E" w:rsidRPr="005D59A7">
        <w:rPr>
          <w:rFonts w:ascii="T" w:hAnsi="T" w:cs="Simplified Arabic"/>
          <w:sz w:val="24"/>
          <w:szCs w:val="24"/>
          <w:rtl/>
        </w:rPr>
        <w:t xml:space="preserve"> </w:t>
      </w:r>
      <w:r w:rsidRPr="005D59A7">
        <w:rPr>
          <w:rFonts w:ascii="T" w:hAnsi="T" w:cs="Simplified Arabic"/>
          <w:sz w:val="24"/>
          <w:szCs w:val="24"/>
          <w:rtl/>
        </w:rPr>
        <w:t>يُعدّ</w:t>
      </w:r>
      <w:r w:rsidR="00444E8E" w:rsidRPr="005D59A7">
        <w:rPr>
          <w:rFonts w:ascii="T" w:hAnsi="T" w:cs="Simplified Arabic"/>
          <w:sz w:val="24"/>
          <w:szCs w:val="24"/>
          <w:rtl/>
        </w:rPr>
        <w:t xml:space="preserve"> </w:t>
      </w:r>
      <w:r w:rsidRPr="005D59A7">
        <w:rPr>
          <w:rFonts w:ascii="T" w:hAnsi="T" w:cs="Simplified Arabic"/>
          <w:sz w:val="24"/>
          <w:szCs w:val="24"/>
          <w:rtl/>
        </w:rPr>
        <w:t>الأقدر</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تقييمها</w:t>
      </w:r>
      <w:r w:rsidR="00444E8E" w:rsidRPr="005D59A7">
        <w:rPr>
          <w:rFonts w:ascii="T" w:hAnsi="T" w:cs="Simplified Arabic"/>
          <w:sz w:val="24"/>
          <w:szCs w:val="24"/>
          <w:rtl/>
        </w:rPr>
        <w:t xml:space="preserve"> </w:t>
      </w:r>
      <w:r w:rsidRPr="005D59A7">
        <w:rPr>
          <w:rFonts w:ascii="T" w:hAnsi="T" w:cs="Simplified Arabic"/>
          <w:sz w:val="24"/>
          <w:szCs w:val="24"/>
          <w:rtl/>
        </w:rPr>
        <w:t>والتحكم</w:t>
      </w:r>
      <w:r w:rsidR="00444E8E" w:rsidRPr="005D59A7">
        <w:rPr>
          <w:rFonts w:ascii="T" w:hAnsi="T" w:cs="Simplified Arabic"/>
          <w:sz w:val="24"/>
          <w:szCs w:val="24"/>
          <w:rtl/>
        </w:rPr>
        <w:t xml:space="preserve"> </w:t>
      </w:r>
      <w:r w:rsidRPr="005D59A7">
        <w:rPr>
          <w:rFonts w:ascii="T" w:hAnsi="T" w:cs="Simplified Arabic"/>
          <w:sz w:val="24"/>
          <w:szCs w:val="24"/>
          <w:rtl/>
        </w:rPr>
        <w:t>فيها</w:t>
      </w:r>
      <w:r w:rsidR="00444E8E" w:rsidRPr="005D59A7">
        <w:rPr>
          <w:rFonts w:ascii="T" w:hAnsi="T" w:cs="Simplified Arabic"/>
          <w:sz w:val="24"/>
          <w:szCs w:val="24"/>
          <w:rtl/>
        </w:rPr>
        <w:t xml:space="preserve"> </w:t>
      </w:r>
      <w:r w:rsidRPr="005D59A7">
        <w:rPr>
          <w:rFonts w:ascii="T" w:hAnsi="T" w:cs="Simplified Arabic"/>
          <w:sz w:val="24"/>
          <w:szCs w:val="24"/>
          <w:rtl/>
        </w:rPr>
        <w:t>ومواجهتها. ويشمل</w:t>
      </w:r>
      <w:r w:rsidR="00444E8E" w:rsidRPr="005D59A7">
        <w:rPr>
          <w:rFonts w:ascii="T" w:hAnsi="T" w:cs="Simplified Arabic"/>
          <w:sz w:val="24"/>
          <w:szCs w:val="24"/>
          <w:rtl/>
        </w:rPr>
        <w:t xml:space="preserve"> </w:t>
      </w:r>
      <w:r w:rsidRPr="005D59A7">
        <w:rPr>
          <w:rFonts w:ascii="T" w:hAnsi="T" w:cs="Simplified Arabic"/>
          <w:sz w:val="24"/>
          <w:szCs w:val="24"/>
          <w:rtl/>
        </w:rPr>
        <w:t>ذلك</w:t>
      </w:r>
      <w:r w:rsidR="00444E8E" w:rsidRPr="005D59A7">
        <w:rPr>
          <w:rFonts w:ascii="T" w:hAnsi="T" w:cs="Simplified Arabic"/>
          <w:sz w:val="24"/>
          <w:szCs w:val="24"/>
          <w:rtl/>
        </w:rPr>
        <w:t xml:space="preserve"> </w:t>
      </w:r>
      <w:r w:rsidRPr="005D59A7">
        <w:rPr>
          <w:rFonts w:ascii="T" w:hAnsi="T" w:cs="Simplified Arabic"/>
          <w:sz w:val="24"/>
          <w:szCs w:val="24"/>
          <w:rtl/>
        </w:rPr>
        <w:t>مخاطر</w:t>
      </w:r>
      <w:r w:rsidR="00444E8E" w:rsidRPr="005D59A7">
        <w:rPr>
          <w:rFonts w:ascii="T" w:hAnsi="T" w:cs="Simplified Arabic"/>
          <w:sz w:val="24"/>
          <w:szCs w:val="24"/>
          <w:rtl/>
        </w:rPr>
        <w:t xml:space="preserve"> </w:t>
      </w:r>
      <w:r w:rsidRPr="005D59A7">
        <w:rPr>
          <w:rFonts w:ascii="T" w:hAnsi="T" w:cs="Simplified Arabic"/>
          <w:sz w:val="24"/>
          <w:szCs w:val="24"/>
          <w:rtl/>
        </w:rPr>
        <w:t>البناء،</w:t>
      </w:r>
      <w:r w:rsidR="00444E8E" w:rsidRPr="005D59A7">
        <w:rPr>
          <w:rFonts w:ascii="T" w:hAnsi="T" w:cs="Simplified Arabic"/>
          <w:sz w:val="24"/>
          <w:szCs w:val="24"/>
          <w:rtl/>
        </w:rPr>
        <w:t xml:space="preserve"> </w:t>
      </w:r>
      <w:r w:rsidRPr="005D59A7">
        <w:rPr>
          <w:rFonts w:ascii="T" w:hAnsi="T" w:cs="Simplified Arabic"/>
          <w:sz w:val="24"/>
          <w:szCs w:val="24"/>
          <w:rtl/>
        </w:rPr>
        <w:t>والمخاطر</w:t>
      </w:r>
      <w:r w:rsidR="00444E8E" w:rsidRPr="005D59A7">
        <w:rPr>
          <w:rFonts w:ascii="T" w:hAnsi="T" w:cs="Simplified Arabic"/>
          <w:sz w:val="24"/>
          <w:szCs w:val="24"/>
          <w:rtl/>
        </w:rPr>
        <w:t xml:space="preserve"> </w:t>
      </w:r>
      <w:r w:rsidRPr="005D59A7">
        <w:rPr>
          <w:rFonts w:ascii="T" w:hAnsi="T" w:cs="Simplified Arabic"/>
          <w:sz w:val="24"/>
          <w:szCs w:val="24"/>
          <w:rtl/>
        </w:rPr>
        <w:t>التشغيلية،</w:t>
      </w:r>
      <w:r w:rsidR="00444E8E" w:rsidRPr="005D59A7">
        <w:rPr>
          <w:rFonts w:ascii="T" w:hAnsi="T" w:cs="Simplified Arabic"/>
          <w:sz w:val="24"/>
          <w:szCs w:val="24"/>
          <w:rtl/>
        </w:rPr>
        <w:t xml:space="preserve"> </w:t>
      </w:r>
      <w:r w:rsidRPr="005D59A7">
        <w:rPr>
          <w:rFonts w:ascii="T" w:hAnsi="T" w:cs="Simplified Arabic"/>
          <w:sz w:val="24"/>
          <w:szCs w:val="24"/>
          <w:rtl/>
        </w:rPr>
        <w:t>والمخاطر</w:t>
      </w:r>
      <w:r w:rsidR="00444E8E" w:rsidRPr="005D59A7">
        <w:rPr>
          <w:rFonts w:ascii="T" w:hAnsi="T" w:cs="Simplified Arabic"/>
          <w:sz w:val="24"/>
          <w:szCs w:val="24"/>
          <w:rtl/>
        </w:rPr>
        <w:t xml:space="preserve"> </w:t>
      </w:r>
      <w:r w:rsidRPr="005D59A7">
        <w:rPr>
          <w:rFonts w:ascii="T" w:hAnsi="T" w:cs="Simplified Arabic"/>
          <w:sz w:val="24"/>
          <w:szCs w:val="24"/>
          <w:rtl/>
        </w:rPr>
        <w:t>المالية.</w:t>
      </w:r>
    </w:p>
    <w:p w14:paraId="7A1679DF" w14:textId="77777777" w:rsidR="00EA148A"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المساءلة: 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تتضمن</w:t>
      </w:r>
      <w:r w:rsidR="00444E8E" w:rsidRPr="005D59A7">
        <w:rPr>
          <w:rFonts w:ascii="T" w:hAnsi="T" w:cs="Simplified Arabic"/>
          <w:sz w:val="24"/>
          <w:szCs w:val="24"/>
          <w:rtl/>
        </w:rPr>
        <w:t xml:space="preserve"> </w:t>
      </w:r>
      <w:r w:rsidRPr="005D59A7">
        <w:rPr>
          <w:rFonts w:ascii="T" w:hAnsi="T" w:cs="Simplified Arabic"/>
          <w:sz w:val="24"/>
          <w:szCs w:val="24"/>
          <w:rtl/>
        </w:rPr>
        <w:t>الاتفاقيات</w:t>
      </w:r>
      <w:r w:rsidR="00444E8E" w:rsidRPr="005D59A7">
        <w:rPr>
          <w:rFonts w:ascii="T" w:hAnsi="T" w:cs="Simplified Arabic"/>
          <w:sz w:val="24"/>
          <w:szCs w:val="24"/>
          <w:rtl/>
        </w:rPr>
        <w:t xml:space="preserve"> </w:t>
      </w:r>
      <w:r w:rsidRPr="005D59A7">
        <w:rPr>
          <w:rFonts w:ascii="T" w:hAnsi="T" w:cs="Simplified Arabic"/>
          <w:sz w:val="24"/>
          <w:szCs w:val="24"/>
          <w:rtl/>
        </w:rPr>
        <w:t>التعاقدية</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مؤشرات</w:t>
      </w:r>
      <w:r w:rsidR="00444E8E" w:rsidRPr="005D59A7">
        <w:rPr>
          <w:rFonts w:ascii="T" w:hAnsi="T" w:cs="Simplified Arabic"/>
          <w:sz w:val="24"/>
          <w:szCs w:val="24"/>
          <w:rtl/>
        </w:rPr>
        <w:t xml:space="preserve"> </w:t>
      </w:r>
      <w:r w:rsidRPr="005D59A7">
        <w:rPr>
          <w:rFonts w:ascii="T" w:hAnsi="T" w:cs="Simplified Arabic"/>
          <w:sz w:val="24"/>
          <w:szCs w:val="24"/>
          <w:rtl/>
        </w:rPr>
        <w:t>ومعايير</w:t>
      </w:r>
      <w:r w:rsidR="00444E8E" w:rsidRPr="005D59A7">
        <w:rPr>
          <w:rFonts w:ascii="T" w:hAnsi="T" w:cs="Simplified Arabic"/>
          <w:sz w:val="24"/>
          <w:szCs w:val="24"/>
          <w:rtl/>
        </w:rPr>
        <w:t xml:space="preserve"> </w:t>
      </w:r>
      <w:r w:rsidRPr="005D59A7">
        <w:rPr>
          <w:rFonts w:ascii="T" w:hAnsi="T" w:cs="Simplified Arabic"/>
          <w:sz w:val="24"/>
          <w:szCs w:val="24"/>
          <w:rtl/>
        </w:rPr>
        <w:t>أداء</w:t>
      </w:r>
      <w:r w:rsidR="00444E8E" w:rsidRPr="005D59A7">
        <w:rPr>
          <w:rFonts w:ascii="T" w:hAnsi="T" w:cs="Simplified Arabic"/>
          <w:sz w:val="24"/>
          <w:szCs w:val="24"/>
          <w:rtl/>
        </w:rPr>
        <w:t xml:space="preserve"> </w:t>
      </w:r>
      <w:r w:rsidRPr="005D59A7">
        <w:rPr>
          <w:rFonts w:ascii="T" w:hAnsi="T" w:cs="Simplified Arabic"/>
          <w:sz w:val="24"/>
          <w:szCs w:val="24"/>
          <w:rtl/>
        </w:rPr>
        <w:t>واضحة،</w:t>
      </w:r>
      <w:r w:rsidR="00444E8E" w:rsidRPr="005D59A7">
        <w:rPr>
          <w:rFonts w:ascii="T" w:hAnsi="T" w:cs="Simplified Arabic"/>
          <w:sz w:val="24"/>
          <w:szCs w:val="24"/>
          <w:rtl/>
        </w:rPr>
        <w:t xml:space="preserve"> </w:t>
      </w:r>
      <w:r w:rsidRPr="005D59A7">
        <w:rPr>
          <w:rFonts w:ascii="T" w:hAnsi="T" w:cs="Simplified Arabic"/>
          <w:sz w:val="24"/>
          <w:szCs w:val="24"/>
          <w:rtl/>
        </w:rPr>
        <w:t>تُحمّل</w:t>
      </w:r>
      <w:r w:rsidR="00444E8E" w:rsidRPr="005D59A7">
        <w:rPr>
          <w:rFonts w:ascii="T" w:hAnsi="T" w:cs="Simplified Arabic"/>
          <w:sz w:val="24"/>
          <w:szCs w:val="24"/>
          <w:rtl/>
        </w:rPr>
        <w:t xml:space="preserve"> </w:t>
      </w:r>
      <w:r w:rsidRPr="005D59A7">
        <w:rPr>
          <w:rFonts w:ascii="T" w:hAnsi="T" w:cs="Simplified Arabic"/>
          <w:sz w:val="24"/>
          <w:szCs w:val="24"/>
          <w:rtl/>
        </w:rPr>
        <w:t>الشركاء</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مسؤولية</w:t>
      </w:r>
      <w:r w:rsidR="00444E8E" w:rsidRPr="005D59A7">
        <w:rPr>
          <w:rFonts w:ascii="T" w:hAnsi="T" w:cs="Simplified Arabic"/>
          <w:sz w:val="24"/>
          <w:szCs w:val="24"/>
          <w:rtl/>
        </w:rPr>
        <w:t xml:space="preserve"> </w:t>
      </w:r>
      <w:r w:rsidRPr="005D59A7">
        <w:rPr>
          <w:rFonts w:ascii="T" w:hAnsi="T" w:cs="Simplified Arabic"/>
          <w:sz w:val="24"/>
          <w:szCs w:val="24"/>
          <w:rtl/>
        </w:rPr>
        <w:t>تحقيق</w:t>
      </w:r>
      <w:r w:rsidR="00444E8E" w:rsidRPr="005D59A7">
        <w:rPr>
          <w:rFonts w:ascii="T" w:hAnsi="T" w:cs="Simplified Arabic"/>
          <w:sz w:val="24"/>
          <w:szCs w:val="24"/>
          <w:rtl/>
        </w:rPr>
        <w:t xml:space="preserve"> </w:t>
      </w:r>
      <w:r w:rsidRPr="005D59A7">
        <w:rPr>
          <w:rFonts w:ascii="T" w:hAnsi="T" w:cs="Simplified Arabic"/>
          <w:sz w:val="24"/>
          <w:szCs w:val="24"/>
          <w:rtl/>
        </w:rPr>
        <w:t>الأهداف. وغالبًا</w:t>
      </w:r>
      <w:r w:rsidR="00444E8E" w:rsidRPr="005D59A7">
        <w:rPr>
          <w:rFonts w:ascii="T" w:hAnsi="T" w:cs="Simplified Arabic"/>
          <w:sz w:val="24"/>
          <w:szCs w:val="24"/>
          <w:rtl/>
        </w:rPr>
        <w:t xml:space="preserve"> </w:t>
      </w:r>
      <w:r w:rsidRPr="005D59A7">
        <w:rPr>
          <w:rFonts w:ascii="T" w:hAnsi="T" w:cs="Simplified Arabic"/>
          <w:sz w:val="24"/>
          <w:szCs w:val="24"/>
          <w:rtl/>
        </w:rPr>
        <w:t>ما</w:t>
      </w:r>
      <w:r w:rsidR="00444E8E" w:rsidRPr="005D59A7">
        <w:rPr>
          <w:rFonts w:ascii="T" w:hAnsi="T" w:cs="Simplified Arabic"/>
          <w:sz w:val="24"/>
          <w:szCs w:val="24"/>
          <w:rtl/>
        </w:rPr>
        <w:t xml:space="preserve"> </w:t>
      </w:r>
      <w:r w:rsidRPr="005D59A7">
        <w:rPr>
          <w:rFonts w:ascii="T" w:hAnsi="T" w:cs="Simplified Arabic"/>
          <w:sz w:val="24"/>
          <w:szCs w:val="24"/>
          <w:rtl/>
        </w:rPr>
        <w:t>ترتبط</w:t>
      </w:r>
      <w:r w:rsidR="00444E8E" w:rsidRPr="005D59A7">
        <w:rPr>
          <w:rFonts w:ascii="T" w:hAnsi="T" w:cs="Simplified Arabic"/>
          <w:sz w:val="24"/>
          <w:szCs w:val="24"/>
          <w:rtl/>
        </w:rPr>
        <w:t xml:space="preserve"> </w:t>
      </w:r>
      <w:r w:rsidRPr="005D59A7">
        <w:rPr>
          <w:rFonts w:ascii="T" w:hAnsi="T" w:cs="Simplified Arabic"/>
          <w:sz w:val="24"/>
          <w:szCs w:val="24"/>
          <w:rtl/>
        </w:rPr>
        <w:t>ربحيتهم بهذه</w:t>
      </w:r>
      <w:r w:rsidR="00444E8E" w:rsidRPr="005D59A7">
        <w:rPr>
          <w:rFonts w:ascii="T" w:hAnsi="T" w:cs="Simplified Arabic"/>
          <w:sz w:val="24"/>
          <w:szCs w:val="24"/>
          <w:rtl/>
        </w:rPr>
        <w:t xml:space="preserve"> </w:t>
      </w:r>
      <w:r w:rsidRPr="005D59A7">
        <w:rPr>
          <w:rFonts w:ascii="T" w:hAnsi="T" w:cs="Simplified Arabic"/>
          <w:sz w:val="24"/>
          <w:szCs w:val="24"/>
          <w:rtl/>
        </w:rPr>
        <w:t>المقاييس.</w:t>
      </w:r>
    </w:p>
    <w:p w14:paraId="152A99A2" w14:textId="421DE4F1"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الخدمات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وتحقيق</w:t>
      </w:r>
      <w:r w:rsidR="00444E8E" w:rsidRPr="005D59A7">
        <w:rPr>
          <w:rFonts w:ascii="T" w:hAnsi="T" w:cs="Simplified Arabic"/>
          <w:sz w:val="24"/>
          <w:szCs w:val="24"/>
          <w:rtl/>
        </w:rPr>
        <w:t xml:space="preserve"> </w:t>
      </w:r>
      <w:r w:rsidRPr="005D59A7">
        <w:rPr>
          <w:rFonts w:ascii="T" w:hAnsi="T" w:cs="Simplified Arabic"/>
          <w:sz w:val="24"/>
          <w:szCs w:val="24"/>
          <w:rtl/>
        </w:rPr>
        <w:t>قيمة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المال:خدمات</w:t>
      </w:r>
      <w:r w:rsidR="00444E8E" w:rsidRPr="005D59A7">
        <w:rPr>
          <w:rFonts w:ascii="T" w:hAnsi="T" w:cs="Simplified Arabic"/>
          <w:sz w:val="24"/>
          <w:szCs w:val="24"/>
          <w:rtl/>
        </w:rPr>
        <w:t xml:space="preserve"> </w:t>
      </w:r>
      <w:r w:rsidRPr="005D59A7">
        <w:rPr>
          <w:rFonts w:ascii="T" w:hAnsi="T" w:cs="Simplified Arabic"/>
          <w:sz w:val="24"/>
          <w:szCs w:val="24"/>
          <w:rtl/>
        </w:rPr>
        <w:t>ذات</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أعلى: من</w:t>
      </w:r>
      <w:r w:rsidR="00444E8E" w:rsidRPr="005D59A7">
        <w:rPr>
          <w:rFonts w:ascii="T" w:hAnsi="T" w:cs="Simplified Arabic"/>
          <w:sz w:val="24"/>
          <w:szCs w:val="24"/>
          <w:rtl/>
        </w:rPr>
        <w:t xml:space="preserve"> </w:t>
      </w:r>
      <w:r w:rsidRPr="005D59A7">
        <w:rPr>
          <w:rFonts w:ascii="T" w:hAnsi="T" w:cs="Simplified Arabic"/>
          <w:sz w:val="24"/>
          <w:szCs w:val="24"/>
          <w:rtl/>
        </w:rPr>
        <w:t>خلال</w:t>
      </w:r>
      <w:r w:rsidR="00444E8E" w:rsidRPr="005D59A7">
        <w:rPr>
          <w:rFonts w:ascii="T" w:hAnsi="T" w:cs="Simplified Arabic"/>
          <w:sz w:val="24"/>
          <w:szCs w:val="24"/>
          <w:rtl/>
        </w:rPr>
        <w:t xml:space="preserve"> </w:t>
      </w:r>
      <w:r w:rsidRPr="005D59A7">
        <w:rPr>
          <w:rFonts w:ascii="T" w:hAnsi="T" w:cs="Simplified Arabic"/>
          <w:sz w:val="24"/>
          <w:szCs w:val="24"/>
          <w:rtl/>
        </w:rPr>
        <w:t>دمج</w:t>
      </w:r>
      <w:r w:rsidR="00444E8E" w:rsidRPr="005D59A7">
        <w:rPr>
          <w:rFonts w:ascii="T" w:hAnsi="T" w:cs="Simplified Arabic"/>
          <w:sz w:val="24"/>
          <w:szCs w:val="24"/>
          <w:rtl/>
        </w:rPr>
        <w:t xml:space="preserve"> </w:t>
      </w:r>
      <w:r w:rsidRPr="005D59A7">
        <w:rPr>
          <w:rFonts w:ascii="T" w:hAnsi="T" w:cs="Simplified Arabic"/>
          <w:sz w:val="24"/>
          <w:szCs w:val="24"/>
          <w:rtl/>
        </w:rPr>
        <w:t>كفاءة</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r w:rsidR="00444E8E" w:rsidRPr="005D59A7">
        <w:rPr>
          <w:rFonts w:ascii="T" w:hAnsi="T" w:cs="Simplified Arabic"/>
          <w:sz w:val="24"/>
          <w:szCs w:val="24"/>
          <w:rtl/>
        </w:rPr>
        <w:t xml:space="preserve"> </w:t>
      </w:r>
      <w:r w:rsidRPr="005D59A7">
        <w:rPr>
          <w:rFonts w:ascii="T" w:hAnsi="T" w:cs="Simplified Arabic"/>
          <w:sz w:val="24"/>
          <w:szCs w:val="24"/>
          <w:rtl/>
        </w:rPr>
        <w:t>وابتكاراته،</w:t>
      </w:r>
      <w:r w:rsidR="00444E8E" w:rsidRPr="005D59A7">
        <w:rPr>
          <w:rFonts w:ascii="T" w:hAnsi="T" w:cs="Simplified Arabic"/>
          <w:sz w:val="24"/>
          <w:szCs w:val="24"/>
          <w:rtl/>
        </w:rPr>
        <w:t xml:space="preserve"> </w:t>
      </w:r>
      <w:r w:rsidRPr="005D59A7">
        <w:rPr>
          <w:rFonts w:ascii="T" w:hAnsi="T" w:cs="Simplified Arabic"/>
          <w:sz w:val="24"/>
          <w:szCs w:val="24"/>
          <w:rtl/>
        </w:rPr>
        <w:t>يمكن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تؤدي</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تحسين</w:t>
      </w:r>
      <w:r w:rsidR="00444E8E" w:rsidRPr="005D59A7">
        <w:rPr>
          <w:rFonts w:ascii="T" w:hAnsi="T" w:cs="Simplified Arabic"/>
          <w:sz w:val="24"/>
          <w:szCs w:val="24"/>
          <w:rtl/>
        </w:rPr>
        <w:t xml:space="preserve"> </w:t>
      </w:r>
      <w:r w:rsidRPr="005D59A7">
        <w:rPr>
          <w:rFonts w:ascii="T" w:hAnsi="T" w:cs="Simplified Arabic"/>
          <w:sz w:val="24"/>
          <w:szCs w:val="24"/>
          <w:rtl/>
        </w:rPr>
        <w:t>جودة</w:t>
      </w:r>
      <w:r w:rsidR="00444E8E" w:rsidRPr="005D59A7">
        <w:rPr>
          <w:rFonts w:ascii="T" w:hAnsi="T" w:cs="Simplified Arabic"/>
          <w:sz w:val="24"/>
          <w:szCs w:val="24"/>
          <w:rtl/>
        </w:rPr>
        <w:t xml:space="preserve"> </w:t>
      </w:r>
      <w:r w:rsidRPr="005D59A7">
        <w:rPr>
          <w:rFonts w:ascii="T" w:hAnsi="T" w:cs="Simplified Arabic"/>
          <w:sz w:val="24"/>
          <w:szCs w:val="24"/>
          <w:rtl/>
        </w:rPr>
        <w:t>الخدمات</w:t>
      </w:r>
      <w:r w:rsidR="00444E8E" w:rsidRPr="005D59A7">
        <w:rPr>
          <w:rFonts w:ascii="T" w:hAnsi="T" w:cs="Simplified Arabic"/>
          <w:sz w:val="24"/>
          <w:szCs w:val="24"/>
          <w:rtl/>
        </w:rPr>
        <w:t xml:space="preserve"> </w:t>
      </w:r>
      <w:r w:rsidRPr="005D59A7">
        <w:rPr>
          <w:rFonts w:ascii="T" w:hAnsi="T" w:cs="Simplified Arabic"/>
          <w:sz w:val="24"/>
          <w:szCs w:val="24"/>
          <w:rtl/>
        </w:rPr>
        <w:t>العامة</w:t>
      </w:r>
      <w:r w:rsidR="00444E8E" w:rsidRPr="005D59A7">
        <w:rPr>
          <w:rFonts w:ascii="T" w:hAnsi="T" w:cs="Simplified Arabic"/>
          <w:sz w:val="24"/>
          <w:szCs w:val="24"/>
          <w:rtl/>
        </w:rPr>
        <w:t xml:space="preserve"> </w:t>
      </w:r>
      <w:r w:rsidRPr="005D59A7">
        <w:rPr>
          <w:rFonts w:ascii="T" w:hAnsi="T" w:cs="Simplified Arabic"/>
          <w:sz w:val="24"/>
          <w:szCs w:val="24"/>
          <w:rtl/>
        </w:rPr>
        <w:t>وسرعة</w:t>
      </w:r>
      <w:r w:rsidR="00444E8E" w:rsidRPr="005D59A7">
        <w:rPr>
          <w:rFonts w:ascii="T" w:hAnsi="T" w:cs="Simplified Arabic"/>
          <w:sz w:val="24"/>
          <w:szCs w:val="24"/>
          <w:rtl/>
        </w:rPr>
        <w:t xml:space="preserve"> </w:t>
      </w:r>
      <w:r w:rsidRPr="005D59A7">
        <w:rPr>
          <w:rFonts w:ascii="T" w:hAnsi="T" w:cs="Simplified Arabic"/>
          <w:sz w:val="24"/>
          <w:szCs w:val="24"/>
          <w:rtl/>
        </w:rPr>
        <w:t>تقديمها،</w:t>
      </w:r>
      <w:r w:rsidR="00444E8E" w:rsidRPr="005D59A7">
        <w:rPr>
          <w:rFonts w:ascii="T" w:hAnsi="T" w:cs="Simplified Arabic"/>
          <w:sz w:val="24"/>
          <w:szCs w:val="24"/>
          <w:rtl/>
        </w:rPr>
        <w:t xml:space="preserve"> </w:t>
      </w:r>
      <w:r w:rsidRPr="005D59A7">
        <w:rPr>
          <w:rFonts w:ascii="T" w:hAnsi="T" w:cs="Simplified Arabic"/>
          <w:sz w:val="24"/>
          <w:szCs w:val="24"/>
          <w:rtl/>
        </w:rPr>
        <w:t>بدءاً</w:t>
      </w:r>
      <w:r w:rsidR="00444E8E" w:rsidRPr="005D59A7">
        <w:rPr>
          <w:rFonts w:ascii="T" w:hAnsi="T" w:cs="Simplified Arabic"/>
          <w:sz w:val="24"/>
          <w:szCs w:val="24"/>
          <w:rtl/>
        </w:rPr>
        <w:t xml:space="preserve"> </w:t>
      </w:r>
      <w:r w:rsidRPr="005D59A7">
        <w:rPr>
          <w:rFonts w:ascii="T" w:hAnsi="T" w:cs="Simplified Arabic"/>
          <w:sz w:val="24"/>
          <w:szCs w:val="24"/>
          <w:rtl/>
        </w:rPr>
        <w:t>من</w:t>
      </w:r>
      <w:r w:rsidR="00444E8E" w:rsidRPr="005D59A7">
        <w:rPr>
          <w:rFonts w:ascii="T" w:hAnsi="T" w:cs="Simplified Arabic"/>
          <w:sz w:val="24"/>
          <w:szCs w:val="24"/>
          <w:rtl/>
        </w:rPr>
        <w:t xml:space="preserve"> </w:t>
      </w:r>
      <w:r w:rsidRPr="005D59A7">
        <w:rPr>
          <w:rFonts w:ascii="T" w:hAnsi="T" w:cs="Simplified Arabic"/>
          <w:sz w:val="24"/>
          <w:szCs w:val="24"/>
          <w:rtl/>
        </w:rPr>
        <w:t>شبكات</w:t>
      </w:r>
      <w:r w:rsidR="00444E8E" w:rsidRPr="005D59A7">
        <w:rPr>
          <w:rFonts w:ascii="T" w:hAnsi="T" w:cs="Simplified Arabic"/>
          <w:sz w:val="24"/>
          <w:szCs w:val="24"/>
          <w:rtl/>
        </w:rPr>
        <w:t xml:space="preserve"> </w:t>
      </w:r>
      <w:r w:rsidRPr="005D59A7">
        <w:rPr>
          <w:rFonts w:ascii="T" w:hAnsi="T" w:cs="Simplified Arabic"/>
          <w:sz w:val="24"/>
          <w:szCs w:val="24"/>
          <w:rtl/>
        </w:rPr>
        <w:t>النقل</w:t>
      </w:r>
      <w:r w:rsidR="00444E8E" w:rsidRPr="005D59A7">
        <w:rPr>
          <w:rFonts w:ascii="T" w:hAnsi="T" w:cs="Simplified Arabic"/>
          <w:sz w:val="24"/>
          <w:szCs w:val="24"/>
          <w:rtl/>
        </w:rPr>
        <w:t xml:space="preserve"> </w:t>
      </w:r>
      <w:r w:rsidRPr="005D59A7">
        <w:rPr>
          <w:rFonts w:ascii="T" w:hAnsi="T" w:cs="Simplified Arabic"/>
          <w:sz w:val="24"/>
          <w:szCs w:val="24"/>
          <w:rtl/>
        </w:rPr>
        <w:t>ومرافق</w:t>
      </w:r>
      <w:r w:rsidR="00444E8E" w:rsidRPr="005D59A7">
        <w:rPr>
          <w:rFonts w:ascii="T" w:hAnsi="T" w:cs="Simplified Arabic"/>
          <w:sz w:val="24"/>
          <w:szCs w:val="24"/>
          <w:rtl/>
        </w:rPr>
        <w:t xml:space="preserve"> </w:t>
      </w:r>
      <w:r w:rsidRPr="005D59A7">
        <w:rPr>
          <w:rFonts w:ascii="T" w:hAnsi="T" w:cs="Simplified Arabic"/>
          <w:sz w:val="24"/>
          <w:szCs w:val="24"/>
          <w:rtl/>
        </w:rPr>
        <w:t>الرعاية</w:t>
      </w:r>
      <w:r w:rsidR="00444E8E" w:rsidRPr="005D59A7">
        <w:rPr>
          <w:rFonts w:ascii="T" w:hAnsi="T" w:cs="Simplified Arabic"/>
          <w:sz w:val="24"/>
          <w:szCs w:val="24"/>
          <w:rtl/>
        </w:rPr>
        <w:t xml:space="preserve"> </w:t>
      </w:r>
      <w:r w:rsidRPr="005D59A7">
        <w:rPr>
          <w:rFonts w:ascii="T" w:hAnsi="T" w:cs="Simplified Arabic"/>
          <w:sz w:val="24"/>
          <w:szCs w:val="24"/>
          <w:rtl/>
        </w:rPr>
        <w:t>الصحية</w:t>
      </w:r>
      <w:r w:rsidR="00444E8E" w:rsidRPr="005D59A7">
        <w:rPr>
          <w:rFonts w:ascii="T" w:hAnsi="T" w:cs="Simplified Arabic"/>
          <w:sz w:val="24"/>
          <w:szCs w:val="24"/>
          <w:rtl/>
        </w:rPr>
        <w:t xml:space="preserve"> </w:t>
      </w:r>
      <w:r w:rsidRPr="005D59A7">
        <w:rPr>
          <w:rFonts w:ascii="T" w:hAnsi="T" w:cs="Simplified Arabic"/>
          <w:sz w:val="24"/>
          <w:szCs w:val="24"/>
          <w:rtl/>
        </w:rPr>
        <w:t>ووصولًا</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المؤسسات</w:t>
      </w:r>
      <w:r w:rsidR="00444E8E" w:rsidRPr="005D59A7">
        <w:rPr>
          <w:rFonts w:ascii="T" w:hAnsi="T" w:cs="Simplified Arabic"/>
          <w:sz w:val="24"/>
          <w:szCs w:val="24"/>
          <w:rtl/>
        </w:rPr>
        <w:t xml:space="preserve"> </w:t>
      </w:r>
      <w:r w:rsidRPr="005D59A7">
        <w:rPr>
          <w:rFonts w:ascii="T" w:hAnsi="T" w:cs="Simplified Arabic"/>
          <w:sz w:val="24"/>
          <w:szCs w:val="24"/>
          <w:rtl/>
        </w:rPr>
        <w:t>التعليمية.</w:t>
      </w:r>
    </w:p>
    <w:p w14:paraId="1E548E5B"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قيمة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 في</w:t>
      </w:r>
      <w:r w:rsidR="00444E8E" w:rsidRPr="005D59A7">
        <w:rPr>
          <w:rFonts w:ascii="T" w:hAnsi="T" w:cs="Simplified Arabic"/>
          <w:sz w:val="24"/>
          <w:szCs w:val="24"/>
          <w:rtl/>
        </w:rPr>
        <w:t xml:space="preserve"> </w:t>
      </w:r>
      <w:r w:rsidRPr="005D59A7">
        <w:rPr>
          <w:rFonts w:ascii="T" w:hAnsi="T" w:cs="Simplified Arabic"/>
          <w:sz w:val="24"/>
          <w:szCs w:val="24"/>
          <w:rtl/>
        </w:rPr>
        <w:t>حين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التكاليف</w:t>
      </w:r>
      <w:r w:rsidR="00444E8E" w:rsidRPr="005D59A7">
        <w:rPr>
          <w:rFonts w:ascii="T" w:hAnsi="T" w:cs="Simplified Arabic"/>
          <w:sz w:val="24"/>
          <w:szCs w:val="24"/>
          <w:rtl/>
        </w:rPr>
        <w:t xml:space="preserve"> </w:t>
      </w:r>
      <w:r w:rsidRPr="005D59A7">
        <w:rPr>
          <w:rFonts w:ascii="T" w:hAnsi="T" w:cs="Simplified Arabic"/>
          <w:sz w:val="24"/>
          <w:szCs w:val="24"/>
          <w:rtl/>
        </w:rPr>
        <w:t>الأولية</w:t>
      </w:r>
      <w:r w:rsidR="00444E8E" w:rsidRPr="005D59A7">
        <w:rPr>
          <w:rFonts w:ascii="T" w:hAnsi="T" w:cs="Simplified Arabic"/>
          <w:sz w:val="24"/>
          <w:szCs w:val="24"/>
          <w:rtl/>
        </w:rPr>
        <w:t xml:space="preserve"> </w:t>
      </w:r>
      <w:r w:rsidRPr="005D59A7">
        <w:rPr>
          <w:rFonts w:ascii="T" w:hAnsi="T" w:cs="Simplified Arabic"/>
          <w:sz w:val="24"/>
          <w:szCs w:val="24"/>
          <w:rtl/>
        </w:rPr>
        <w:t>قد</w:t>
      </w:r>
      <w:r w:rsidR="00444E8E" w:rsidRPr="005D59A7">
        <w:rPr>
          <w:rFonts w:ascii="T" w:hAnsi="T" w:cs="Simplified Arabic"/>
          <w:sz w:val="24"/>
          <w:szCs w:val="24"/>
          <w:rtl/>
        </w:rPr>
        <w:t xml:space="preserve"> </w:t>
      </w:r>
      <w:r w:rsidRPr="005D59A7">
        <w:rPr>
          <w:rFonts w:ascii="T" w:hAnsi="T" w:cs="Simplified Arabic"/>
          <w:sz w:val="24"/>
          <w:szCs w:val="24"/>
          <w:rtl/>
        </w:rPr>
        <w:t>تكون</w:t>
      </w:r>
      <w:r w:rsidR="00444E8E" w:rsidRPr="005D59A7">
        <w:rPr>
          <w:rFonts w:ascii="T" w:hAnsi="T" w:cs="Simplified Arabic"/>
          <w:sz w:val="24"/>
          <w:szCs w:val="24"/>
          <w:rtl/>
        </w:rPr>
        <w:t xml:space="preserve"> </w:t>
      </w:r>
      <w:r w:rsidRPr="005D59A7">
        <w:rPr>
          <w:rFonts w:ascii="T" w:hAnsi="T" w:cs="Simplified Arabic"/>
          <w:sz w:val="24"/>
          <w:szCs w:val="24"/>
          <w:rtl/>
        </w:rPr>
        <w:t>أعلى</w:t>
      </w:r>
      <w:r w:rsidR="00444E8E" w:rsidRPr="005D59A7">
        <w:rPr>
          <w:rFonts w:ascii="T" w:hAnsi="T" w:cs="Simplified Arabic"/>
          <w:sz w:val="24"/>
          <w:szCs w:val="24"/>
          <w:rtl/>
        </w:rPr>
        <w:t xml:space="preserve"> </w:t>
      </w:r>
      <w:r w:rsidRPr="005D59A7">
        <w:rPr>
          <w:rFonts w:ascii="T" w:hAnsi="T" w:cs="Simplified Arabic"/>
          <w:sz w:val="24"/>
          <w:szCs w:val="24"/>
          <w:rtl/>
        </w:rPr>
        <w:t>في</w:t>
      </w:r>
      <w:r w:rsidR="00444E8E" w:rsidRPr="005D59A7">
        <w:rPr>
          <w:rFonts w:ascii="T" w:hAnsi="T" w:cs="Simplified Arabic"/>
          <w:sz w:val="24"/>
          <w:szCs w:val="24"/>
          <w:rtl/>
        </w:rPr>
        <w:t xml:space="preserve"> </w:t>
      </w:r>
      <w:r w:rsidRPr="005D59A7">
        <w:rPr>
          <w:rFonts w:ascii="T" w:hAnsi="T" w:cs="Simplified Arabic"/>
          <w:sz w:val="24"/>
          <w:szCs w:val="24"/>
          <w:rtl/>
        </w:rPr>
        <w:t>بعض</w:t>
      </w:r>
      <w:r w:rsidR="00444E8E" w:rsidRPr="005D59A7">
        <w:rPr>
          <w:rFonts w:ascii="T" w:hAnsi="T" w:cs="Simplified Arabic"/>
          <w:sz w:val="24"/>
          <w:szCs w:val="24"/>
          <w:rtl/>
        </w:rPr>
        <w:t xml:space="preserve"> </w:t>
      </w:r>
      <w:r w:rsidRPr="005D59A7">
        <w:rPr>
          <w:rFonts w:ascii="T" w:hAnsi="T" w:cs="Simplified Arabic"/>
          <w:sz w:val="24"/>
          <w:szCs w:val="24"/>
          <w:rtl/>
        </w:rPr>
        <w:t>الأحيان،</w:t>
      </w:r>
      <w:r w:rsidR="00444E8E" w:rsidRPr="005D59A7">
        <w:rPr>
          <w:rFonts w:ascii="T" w:hAnsi="T" w:cs="Simplified Arabic"/>
          <w:sz w:val="24"/>
          <w:szCs w:val="24"/>
          <w:rtl/>
        </w:rPr>
        <w:t xml:space="preserve"> </w:t>
      </w:r>
      <w:r w:rsidRPr="005D59A7">
        <w:rPr>
          <w:rFonts w:ascii="T" w:hAnsi="T" w:cs="Simplified Arabic"/>
          <w:sz w:val="24"/>
          <w:szCs w:val="24"/>
          <w:rtl/>
        </w:rPr>
        <w:t>إلا</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القيمة</w:t>
      </w:r>
      <w:r w:rsidR="00444E8E" w:rsidRPr="005D59A7">
        <w:rPr>
          <w:rFonts w:ascii="T" w:hAnsi="T" w:cs="Simplified Arabic"/>
          <w:sz w:val="24"/>
          <w:szCs w:val="24"/>
          <w:rtl/>
        </w:rPr>
        <w:t xml:space="preserve"> </w:t>
      </w:r>
      <w:r w:rsidRPr="005D59A7">
        <w:rPr>
          <w:rFonts w:ascii="T" w:hAnsi="T" w:cs="Simplified Arabic"/>
          <w:sz w:val="24"/>
          <w:szCs w:val="24"/>
          <w:rtl/>
        </w:rPr>
        <w:t>الإجمالية</w:t>
      </w:r>
      <w:r w:rsidR="00444E8E" w:rsidRPr="005D59A7">
        <w:rPr>
          <w:rFonts w:ascii="T" w:hAnsi="T" w:cs="Simplified Arabic"/>
          <w:sz w:val="24"/>
          <w:szCs w:val="24"/>
          <w:rtl/>
        </w:rPr>
        <w:t xml:space="preserve"> </w:t>
      </w:r>
      <w:r w:rsidRPr="005D59A7">
        <w:rPr>
          <w:rFonts w:ascii="T" w:hAnsi="T" w:cs="Simplified Arabic"/>
          <w:sz w:val="24"/>
          <w:szCs w:val="24"/>
          <w:rtl/>
        </w:rPr>
        <w:t>مقابل</w:t>
      </w:r>
      <w:r w:rsidR="00444E8E" w:rsidRPr="005D59A7">
        <w:rPr>
          <w:rFonts w:ascii="T" w:hAnsi="T" w:cs="Simplified Arabic"/>
          <w:sz w:val="24"/>
          <w:szCs w:val="24"/>
          <w:rtl/>
        </w:rPr>
        <w:t xml:space="preserve"> </w:t>
      </w:r>
      <w:r w:rsidRPr="005D59A7">
        <w:rPr>
          <w:rFonts w:ascii="T" w:hAnsi="T" w:cs="Simplified Arabic"/>
          <w:sz w:val="24"/>
          <w:szCs w:val="24"/>
          <w:rtl/>
        </w:rPr>
        <w:t>المال</w:t>
      </w:r>
      <w:r w:rsidR="00444E8E" w:rsidRPr="005D59A7">
        <w:rPr>
          <w:rFonts w:ascii="T" w:hAnsi="T" w:cs="Simplified Arabic"/>
          <w:sz w:val="24"/>
          <w:szCs w:val="24"/>
          <w:rtl/>
        </w:rPr>
        <w:t xml:space="preserve"> </w:t>
      </w:r>
      <w:r w:rsidRPr="005D59A7">
        <w:rPr>
          <w:rFonts w:ascii="T" w:hAnsi="T" w:cs="Simplified Arabic"/>
          <w:sz w:val="24"/>
          <w:szCs w:val="24"/>
          <w:rtl/>
        </w:rPr>
        <w:t>يمكن</w:t>
      </w:r>
      <w:r w:rsidR="00444E8E" w:rsidRPr="005D59A7">
        <w:rPr>
          <w:rFonts w:ascii="T" w:hAnsi="T" w:cs="Simplified Arabic"/>
          <w:sz w:val="24"/>
          <w:szCs w:val="24"/>
          <w:rtl/>
        </w:rPr>
        <w:t xml:space="preserve"> </w:t>
      </w:r>
      <w:r w:rsidRPr="005D59A7">
        <w:rPr>
          <w:rFonts w:ascii="T" w:hAnsi="T" w:cs="Simplified Arabic"/>
          <w:sz w:val="24"/>
          <w:szCs w:val="24"/>
          <w:rtl/>
        </w:rPr>
        <w:t>أن</w:t>
      </w:r>
      <w:r w:rsidR="00444E8E" w:rsidRPr="005D59A7">
        <w:rPr>
          <w:rFonts w:ascii="T" w:hAnsi="T" w:cs="Simplified Arabic"/>
          <w:sz w:val="24"/>
          <w:szCs w:val="24"/>
          <w:rtl/>
        </w:rPr>
        <w:t xml:space="preserve"> </w:t>
      </w:r>
      <w:r w:rsidRPr="005D59A7">
        <w:rPr>
          <w:rFonts w:ascii="T" w:hAnsi="T" w:cs="Simplified Arabic"/>
          <w:sz w:val="24"/>
          <w:szCs w:val="24"/>
          <w:rtl/>
        </w:rPr>
        <w:t>تكون</w:t>
      </w:r>
      <w:r w:rsidR="00444E8E" w:rsidRPr="005D59A7">
        <w:rPr>
          <w:rFonts w:ascii="T" w:hAnsi="T" w:cs="Simplified Arabic"/>
          <w:sz w:val="24"/>
          <w:szCs w:val="24"/>
          <w:rtl/>
        </w:rPr>
        <w:t xml:space="preserve"> </w:t>
      </w:r>
      <w:r w:rsidRPr="005D59A7">
        <w:rPr>
          <w:rFonts w:ascii="T" w:hAnsi="T" w:cs="Simplified Arabic"/>
          <w:sz w:val="24"/>
          <w:szCs w:val="24"/>
          <w:rtl/>
        </w:rPr>
        <w:t>أكبر</w:t>
      </w:r>
      <w:r w:rsidR="00444E8E" w:rsidRPr="005D59A7">
        <w:rPr>
          <w:rFonts w:ascii="T" w:hAnsi="T" w:cs="Simplified Arabic"/>
          <w:sz w:val="24"/>
          <w:szCs w:val="24"/>
          <w:rtl/>
        </w:rPr>
        <w:t xml:space="preserve"> </w:t>
      </w:r>
      <w:r w:rsidRPr="005D59A7">
        <w:rPr>
          <w:rFonts w:ascii="T" w:hAnsi="T" w:cs="Simplified Arabic"/>
          <w:sz w:val="24"/>
          <w:szCs w:val="24"/>
          <w:rtl/>
        </w:rPr>
        <w:t>بفضل</w:t>
      </w:r>
      <w:r w:rsidR="00444E8E" w:rsidRPr="005D59A7">
        <w:rPr>
          <w:rFonts w:ascii="T" w:hAnsi="T" w:cs="Simplified Arabic"/>
          <w:sz w:val="24"/>
          <w:szCs w:val="24"/>
          <w:rtl/>
        </w:rPr>
        <w:t xml:space="preserve"> </w:t>
      </w:r>
      <w:r w:rsidRPr="005D59A7">
        <w:rPr>
          <w:rFonts w:ascii="T" w:hAnsi="T" w:cs="Simplified Arabic"/>
          <w:sz w:val="24"/>
          <w:szCs w:val="24"/>
          <w:rtl/>
        </w:rPr>
        <w:t>كفاءة</w:t>
      </w:r>
      <w:r w:rsidR="00444E8E" w:rsidRPr="005D59A7">
        <w:rPr>
          <w:rFonts w:ascii="T" w:hAnsi="T" w:cs="Simplified Arabic"/>
          <w:sz w:val="24"/>
          <w:szCs w:val="24"/>
          <w:rtl/>
        </w:rPr>
        <w:t xml:space="preserve"> </w:t>
      </w:r>
      <w:r w:rsidRPr="005D59A7">
        <w:rPr>
          <w:rFonts w:ascii="T" w:hAnsi="T" w:cs="Simplified Arabic"/>
          <w:sz w:val="24"/>
          <w:szCs w:val="24"/>
          <w:rtl/>
        </w:rPr>
        <w:t>التكلفة</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المدى</w:t>
      </w:r>
      <w:r w:rsidR="00444E8E" w:rsidRPr="005D59A7">
        <w:rPr>
          <w:rFonts w:ascii="T" w:hAnsi="T" w:cs="Simplified Arabic"/>
          <w:sz w:val="24"/>
          <w:szCs w:val="24"/>
          <w:rtl/>
        </w:rPr>
        <w:t xml:space="preserve"> </w:t>
      </w:r>
      <w:r w:rsidRPr="005D59A7">
        <w:rPr>
          <w:rFonts w:ascii="T" w:hAnsi="T" w:cs="Simplified Arabic"/>
          <w:sz w:val="24"/>
          <w:szCs w:val="24"/>
          <w:rtl/>
        </w:rPr>
        <w:t>الطويل،</w:t>
      </w:r>
      <w:r w:rsidR="00444E8E" w:rsidRPr="005D59A7">
        <w:rPr>
          <w:rFonts w:ascii="T" w:hAnsi="T" w:cs="Simplified Arabic"/>
          <w:sz w:val="24"/>
          <w:szCs w:val="24"/>
          <w:rtl/>
        </w:rPr>
        <w:t xml:space="preserve"> </w:t>
      </w:r>
      <w:r w:rsidRPr="005D59A7">
        <w:rPr>
          <w:rFonts w:ascii="T" w:hAnsi="T" w:cs="Simplified Arabic"/>
          <w:sz w:val="24"/>
          <w:szCs w:val="24"/>
          <w:rtl/>
        </w:rPr>
        <w:t>وسرعة</w:t>
      </w:r>
      <w:r w:rsidR="00444E8E" w:rsidRPr="005D59A7">
        <w:rPr>
          <w:rFonts w:ascii="T" w:hAnsi="T" w:cs="Simplified Arabic"/>
          <w:sz w:val="24"/>
          <w:szCs w:val="24"/>
          <w:rtl/>
        </w:rPr>
        <w:t xml:space="preserve"> </w:t>
      </w:r>
      <w:r w:rsidRPr="005D59A7">
        <w:rPr>
          <w:rFonts w:ascii="T" w:hAnsi="T" w:cs="Simplified Arabic"/>
          <w:sz w:val="24"/>
          <w:szCs w:val="24"/>
          <w:rtl/>
        </w:rPr>
        <w:t>التسليم،</w:t>
      </w:r>
      <w:r w:rsidR="00444E8E" w:rsidRPr="005D59A7">
        <w:rPr>
          <w:rFonts w:ascii="T" w:hAnsi="T" w:cs="Simplified Arabic"/>
          <w:sz w:val="24"/>
          <w:szCs w:val="24"/>
          <w:rtl/>
        </w:rPr>
        <w:t xml:space="preserve"> </w:t>
      </w:r>
      <w:r w:rsidRPr="005D59A7">
        <w:rPr>
          <w:rFonts w:ascii="T" w:hAnsi="T" w:cs="Simplified Arabic"/>
          <w:sz w:val="24"/>
          <w:szCs w:val="24"/>
          <w:rtl/>
        </w:rPr>
        <w:t>وتحسين</w:t>
      </w:r>
      <w:r w:rsidR="00444E8E" w:rsidRPr="005D59A7">
        <w:rPr>
          <w:rFonts w:ascii="T" w:hAnsi="T" w:cs="Simplified Arabic"/>
          <w:sz w:val="24"/>
          <w:szCs w:val="24"/>
          <w:rtl/>
        </w:rPr>
        <w:t xml:space="preserve"> </w:t>
      </w:r>
      <w:r w:rsidRPr="005D59A7">
        <w:rPr>
          <w:rFonts w:ascii="T" w:hAnsi="T" w:cs="Simplified Arabic"/>
          <w:sz w:val="24"/>
          <w:szCs w:val="24"/>
          <w:rtl/>
        </w:rPr>
        <w:t>الجودة.</w:t>
      </w:r>
    </w:p>
    <w:p w14:paraId="2CE5FCDF" w14:textId="77777777" w:rsidR="00EA21E0"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التركيز</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الكفاءات</w:t>
      </w:r>
      <w:r w:rsidR="00444E8E" w:rsidRPr="005D59A7">
        <w:rPr>
          <w:rFonts w:ascii="T" w:hAnsi="T" w:cs="Simplified Arabic"/>
          <w:sz w:val="24"/>
          <w:szCs w:val="24"/>
          <w:rtl/>
        </w:rPr>
        <w:t xml:space="preserve"> </w:t>
      </w:r>
      <w:r w:rsidRPr="005D59A7">
        <w:rPr>
          <w:rFonts w:ascii="T" w:hAnsi="T" w:cs="Simplified Arabic"/>
          <w:sz w:val="24"/>
          <w:szCs w:val="24"/>
          <w:rtl/>
        </w:rPr>
        <w:t>الأساسية: تتيح</w:t>
      </w:r>
      <w:r w:rsidR="00444E8E" w:rsidRPr="005D59A7">
        <w:rPr>
          <w:rFonts w:ascii="T" w:hAnsi="T" w:cs="Simplified Arabic"/>
          <w:sz w:val="24"/>
          <w:szCs w:val="24"/>
          <w:rtl/>
        </w:rPr>
        <w:t xml:space="preserve"> </w:t>
      </w:r>
      <w:r w:rsidRPr="005D59A7">
        <w:rPr>
          <w:rFonts w:ascii="T" w:hAnsi="T" w:cs="Simplified Arabic"/>
          <w:sz w:val="24"/>
          <w:szCs w:val="24"/>
          <w:rtl/>
        </w:rPr>
        <w:t>الشراكات</w:t>
      </w:r>
      <w:r w:rsidR="00444E8E" w:rsidRPr="005D59A7">
        <w:rPr>
          <w:rFonts w:ascii="T" w:hAnsi="T" w:cs="Simplified Arabic"/>
          <w:sz w:val="24"/>
          <w:szCs w:val="24"/>
          <w:rtl/>
        </w:rPr>
        <w:t xml:space="preserve"> </w:t>
      </w:r>
      <w:r w:rsidRPr="005D59A7">
        <w:rPr>
          <w:rFonts w:ascii="T" w:hAnsi="T" w:cs="Simplified Arabic"/>
          <w:sz w:val="24"/>
          <w:szCs w:val="24"/>
          <w:rtl/>
        </w:rPr>
        <w:t>بين</w:t>
      </w:r>
      <w:r w:rsidR="00444E8E" w:rsidRPr="005D59A7">
        <w:rPr>
          <w:rFonts w:ascii="T" w:hAnsi="T" w:cs="Simplified Arabic"/>
          <w:sz w:val="24"/>
          <w:szCs w:val="24"/>
          <w:rtl/>
        </w:rPr>
        <w:t xml:space="preserve"> </w:t>
      </w:r>
      <w:r w:rsidRPr="005D59A7">
        <w:rPr>
          <w:rFonts w:ascii="T" w:hAnsi="T" w:cs="Simplified Arabic"/>
          <w:sz w:val="24"/>
          <w:szCs w:val="24"/>
          <w:rtl/>
        </w:rPr>
        <w:t>القطاعين</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والخاص</w:t>
      </w:r>
      <w:r w:rsidR="00444E8E" w:rsidRPr="005D59A7">
        <w:rPr>
          <w:rFonts w:ascii="T" w:hAnsi="T" w:cs="Simplified Arabic"/>
          <w:sz w:val="24"/>
          <w:szCs w:val="24"/>
          <w:rtl/>
        </w:rPr>
        <w:t xml:space="preserve"> </w:t>
      </w:r>
      <w:r w:rsidRPr="005D59A7">
        <w:rPr>
          <w:rFonts w:ascii="T" w:hAnsi="T" w:cs="Simplified Arabic"/>
          <w:sz w:val="24"/>
          <w:szCs w:val="24"/>
          <w:rtl/>
        </w:rPr>
        <w:t>للقطاع</w:t>
      </w:r>
      <w:r w:rsidR="00444E8E" w:rsidRPr="005D59A7">
        <w:rPr>
          <w:rFonts w:ascii="T" w:hAnsi="T" w:cs="Simplified Arabic"/>
          <w:sz w:val="24"/>
          <w:szCs w:val="24"/>
          <w:rtl/>
        </w:rPr>
        <w:t xml:space="preserve"> </w:t>
      </w:r>
      <w:r w:rsidRPr="005D59A7">
        <w:rPr>
          <w:rFonts w:ascii="T" w:hAnsi="T" w:cs="Simplified Arabic"/>
          <w:sz w:val="24"/>
          <w:szCs w:val="24"/>
          <w:rtl/>
        </w:rPr>
        <w:t>العام</w:t>
      </w:r>
      <w:r w:rsidR="00444E8E" w:rsidRPr="005D59A7">
        <w:rPr>
          <w:rFonts w:ascii="T" w:hAnsi="T" w:cs="Simplified Arabic"/>
          <w:sz w:val="24"/>
          <w:szCs w:val="24"/>
          <w:rtl/>
        </w:rPr>
        <w:t xml:space="preserve"> </w:t>
      </w:r>
      <w:r w:rsidRPr="005D59A7">
        <w:rPr>
          <w:rFonts w:ascii="T" w:hAnsi="T" w:cs="Simplified Arabic"/>
          <w:sz w:val="24"/>
          <w:szCs w:val="24"/>
          <w:rtl/>
        </w:rPr>
        <w:t>التركيز</w:t>
      </w:r>
      <w:r w:rsidR="00444E8E" w:rsidRPr="005D59A7">
        <w:rPr>
          <w:rFonts w:ascii="T" w:hAnsi="T" w:cs="Simplified Arabic"/>
          <w:sz w:val="24"/>
          <w:szCs w:val="24"/>
          <w:rtl/>
        </w:rPr>
        <w:t xml:space="preserve"> </w:t>
      </w:r>
      <w:r w:rsidRPr="005D59A7">
        <w:rPr>
          <w:rFonts w:ascii="T" w:hAnsi="T" w:cs="Simplified Arabic"/>
          <w:sz w:val="24"/>
          <w:szCs w:val="24"/>
          <w:rtl/>
        </w:rPr>
        <w:t>على</w:t>
      </w:r>
      <w:r w:rsidR="00444E8E" w:rsidRPr="005D59A7">
        <w:rPr>
          <w:rFonts w:ascii="T" w:hAnsi="T" w:cs="Simplified Arabic"/>
          <w:sz w:val="24"/>
          <w:szCs w:val="24"/>
          <w:rtl/>
        </w:rPr>
        <w:t xml:space="preserve"> </w:t>
      </w:r>
      <w:r w:rsidRPr="005D59A7">
        <w:rPr>
          <w:rFonts w:ascii="T" w:hAnsi="T" w:cs="Simplified Arabic"/>
          <w:sz w:val="24"/>
          <w:szCs w:val="24"/>
          <w:rtl/>
        </w:rPr>
        <w:t>السياسات</w:t>
      </w:r>
      <w:r w:rsidR="00444E8E" w:rsidRPr="005D59A7">
        <w:rPr>
          <w:rFonts w:ascii="T" w:hAnsi="T" w:cs="Simplified Arabic"/>
          <w:sz w:val="24"/>
          <w:szCs w:val="24"/>
          <w:rtl/>
        </w:rPr>
        <w:t xml:space="preserve"> </w:t>
      </w:r>
      <w:r w:rsidRPr="005D59A7">
        <w:rPr>
          <w:rFonts w:ascii="T" w:hAnsi="T" w:cs="Simplified Arabic"/>
          <w:sz w:val="24"/>
          <w:szCs w:val="24"/>
          <w:rtl/>
        </w:rPr>
        <w:t>والتخطيط</w:t>
      </w:r>
      <w:r w:rsidR="00444E8E" w:rsidRPr="005D59A7">
        <w:rPr>
          <w:rFonts w:ascii="T" w:hAnsi="T" w:cs="Simplified Arabic"/>
          <w:sz w:val="24"/>
          <w:szCs w:val="24"/>
          <w:rtl/>
        </w:rPr>
        <w:t xml:space="preserve"> </w:t>
      </w:r>
      <w:r w:rsidRPr="005D59A7">
        <w:rPr>
          <w:rFonts w:ascii="T" w:hAnsi="T" w:cs="Simplified Arabic"/>
          <w:sz w:val="24"/>
          <w:szCs w:val="24"/>
          <w:rtl/>
        </w:rPr>
        <w:t>والتنظيم،</w:t>
      </w:r>
      <w:r w:rsidR="00444E8E" w:rsidRPr="005D59A7">
        <w:rPr>
          <w:rFonts w:ascii="T" w:hAnsi="T" w:cs="Simplified Arabic"/>
          <w:sz w:val="24"/>
          <w:szCs w:val="24"/>
          <w:rtl/>
        </w:rPr>
        <w:t xml:space="preserve"> </w:t>
      </w:r>
      <w:r w:rsidRPr="005D59A7">
        <w:rPr>
          <w:rFonts w:ascii="T" w:hAnsi="T" w:cs="Simplified Arabic"/>
          <w:sz w:val="24"/>
          <w:szCs w:val="24"/>
          <w:rtl/>
        </w:rPr>
        <w:t>وتفويض</w:t>
      </w:r>
      <w:r w:rsidR="00444E8E" w:rsidRPr="005D59A7">
        <w:rPr>
          <w:rFonts w:ascii="T" w:hAnsi="T" w:cs="Simplified Arabic"/>
          <w:sz w:val="24"/>
          <w:szCs w:val="24"/>
          <w:rtl/>
        </w:rPr>
        <w:t xml:space="preserve"> </w:t>
      </w:r>
      <w:r w:rsidRPr="005D59A7">
        <w:rPr>
          <w:rFonts w:ascii="T" w:hAnsi="T" w:cs="Simplified Arabic"/>
          <w:sz w:val="24"/>
          <w:szCs w:val="24"/>
          <w:rtl/>
        </w:rPr>
        <w:t>العمليات</w:t>
      </w:r>
      <w:r w:rsidR="00444E8E" w:rsidRPr="005D59A7">
        <w:rPr>
          <w:rFonts w:ascii="T" w:hAnsi="T" w:cs="Simplified Arabic"/>
          <w:sz w:val="24"/>
          <w:szCs w:val="24"/>
          <w:rtl/>
        </w:rPr>
        <w:t xml:space="preserve"> </w:t>
      </w:r>
      <w:r w:rsidRPr="005D59A7">
        <w:rPr>
          <w:rFonts w:ascii="T" w:hAnsi="T" w:cs="Simplified Arabic"/>
          <w:sz w:val="24"/>
          <w:szCs w:val="24"/>
          <w:rtl/>
        </w:rPr>
        <w:t>اليومية</w:t>
      </w:r>
      <w:r w:rsidR="00444E8E" w:rsidRPr="005D59A7">
        <w:rPr>
          <w:rFonts w:ascii="T" w:hAnsi="T" w:cs="Simplified Arabic"/>
          <w:sz w:val="24"/>
          <w:szCs w:val="24"/>
          <w:rtl/>
        </w:rPr>
        <w:t xml:space="preserve"> </w:t>
      </w:r>
      <w:r w:rsidRPr="005D59A7">
        <w:rPr>
          <w:rFonts w:ascii="T" w:hAnsi="T" w:cs="Simplified Arabic"/>
          <w:sz w:val="24"/>
          <w:szCs w:val="24"/>
          <w:rtl/>
        </w:rPr>
        <w:t>والمشاريع</w:t>
      </w:r>
      <w:r w:rsidR="003F7572" w:rsidRPr="005D59A7">
        <w:rPr>
          <w:rFonts w:ascii="T" w:hAnsi="T" w:cs="Simplified Arabic"/>
          <w:sz w:val="24"/>
          <w:szCs w:val="24"/>
          <w:rtl/>
        </w:rPr>
        <w:t xml:space="preserve"> ذات</w:t>
      </w:r>
      <w:r w:rsidR="00444E8E" w:rsidRPr="005D59A7">
        <w:rPr>
          <w:rFonts w:ascii="T" w:hAnsi="T" w:cs="Simplified Arabic"/>
          <w:sz w:val="24"/>
          <w:szCs w:val="24"/>
          <w:rtl/>
        </w:rPr>
        <w:t xml:space="preserve"> </w:t>
      </w:r>
      <w:r w:rsidRPr="005D59A7">
        <w:rPr>
          <w:rFonts w:ascii="T" w:hAnsi="T" w:cs="Simplified Arabic"/>
          <w:sz w:val="24"/>
          <w:szCs w:val="24"/>
          <w:rtl/>
        </w:rPr>
        <w:t>رأس</w:t>
      </w:r>
      <w:r w:rsidR="00444E8E" w:rsidRPr="005D59A7">
        <w:rPr>
          <w:rFonts w:ascii="T" w:hAnsi="T" w:cs="Simplified Arabic"/>
          <w:sz w:val="24"/>
          <w:szCs w:val="24"/>
          <w:rtl/>
        </w:rPr>
        <w:t xml:space="preserve"> </w:t>
      </w:r>
      <w:r w:rsidRPr="005D59A7">
        <w:rPr>
          <w:rFonts w:ascii="T" w:hAnsi="T" w:cs="Simplified Arabic"/>
          <w:sz w:val="24"/>
          <w:szCs w:val="24"/>
          <w:rtl/>
        </w:rPr>
        <w:t>المال</w:t>
      </w:r>
      <w:r w:rsidR="003F7572" w:rsidRPr="005D59A7">
        <w:rPr>
          <w:rFonts w:ascii="T" w:hAnsi="T" w:cs="Simplified Arabic"/>
          <w:sz w:val="24"/>
          <w:szCs w:val="24"/>
          <w:rtl/>
        </w:rPr>
        <w:t xml:space="preserve"> المرتفع</w:t>
      </w:r>
      <w:r w:rsidR="00444E8E" w:rsidRPr="005D59A7">
        <w:rPr>
          <w:rFonts w:ascii="T" w:hAnsi="T" w:cs="Simplified Arabic"/>
          <w:sz w:val="24"/>
          <w:szCs w:val="24"/>
          <w:rtl/>
        </w:rPr>
        <w:t xml:space="preserve"> </w:t>
      </w:r>
      <w:r w:rsidRPr="005D59A7">
        <w:rPr>
          <w:rFonts w:ascii="T" w:hAnsi="T" w:cs="Simplified Arabic"/>
          <w:sz w:val="24"/>
          <w:szCs w:val="24"/>
          <w:rtl/>
        </w:rPr>
        <w:t>إلى</w:t>
      </w:r>
      <w:r w:rsidR="00444E8E" w:rsidRPr="005D59A7">
        <w:rPr>
          <w:rFonts w:ascii="T" w:hAnsi="T" w:cs="Simplified Arabic"/>
          <w:sz w:val="24"/>
          <w:szCs w:val="24"/>
          <w:rtl/>
        </w:rPr>
        <w:t xml:space="preserve"> </w:t>
      </w:r>
      <w:r w:rsidRPr="005D59A7">
        <w:rPr>
          <w:rFonts w:ascii="T" w:hAnsi="T" w:cs="Simplified Arabic"/>
          <w:sz w:val="24"/>
          <w:szCs w:val="24"/>
          <w:rtl/>
        </w:rPr>
        <w:t>القطاع</w:t>
      </w:r>
      <w:r w:rsidR="00444E8E" w:rsidRPr="005D59A7">
        <w:rPr>
          <w:rFonts w:ascii="T" w:hAnsi="T" w:cs="Simplified Arabic"/>
          <w:sz w:val="24"/>
          <w:szCs w:val="24"/>
          <w:rtl/>
        </w:rPr>
        <w:t xml:space="preserve"> </w:t>
      </w:r>
      <w:r w:rsidRPr="005D59A7">
        <w:rPr>
          <w:rFonts w:ascii="T" w:hAnsi="T" w:cs="Simplified Arabic"/>
          <w:sz w:val="24"/>
          <w:szCs w:val="24"/>
          <w:rtl/>
        </w:rPr>
        <w:t>الخاص.</w:t>
      </w:r>
    </w:p>
    <w:p w14:paraId="6529959A" w14:textId="0FE4D789"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التحفيز</w:t>
      </w:r>
      <w:r w:rsidR="00444E8E" w:rsidRPr="005D59A7">
        <w:rPr>
          <w:rFonts w:ascii="T" w:hAnsi="T" w:cs="Simplified Arabic"/>
          <w:sz w:val="24"/>
          <w:szCs w:val="24"/>
          <w:rtl/>
        </w:rPr>
        <w:t xml:space="preserve"> </w:t>
      </w:r>
      <w:r w:rsidRPr="005D59A7">
        <w:rPr>
          <w:rFonts w:ascii="T" w:hAnsi="T" w:cs="Simplified Arabic"/>
          <w:sz w:val="24"/>
          <w:szCs w:val="24"/>
          <w:rtl/>
        </w:rPr>
        <w:t>الاقتصادي</w:t>
      </w:r>
      <w:r w:rsidR="004F25C0" w:rsidRPr="005D59A7">
        <w:rPr>
          <w:rFonts w:ascii="T" w:hAnsi="T" w:cs="Simplified Arabic"/>
          <w:sz w:val="24"/>
          <w:szCs w:val="24"/>
          <w:rtl/>
        </w:rPr>
        <w:t xml:space="preserve"> </w:t>
      </w:r>
      <w:r w:rsidRPr="005D59A7">
        <w:rPr>
          <w:rFonts w:ascii="T" w:hAnsi="T" w:cs="Simplified Arabic"/>
          <w:sz w:val="24"/>
          <w:szCs w:val="24"/>
          <w:rtl/>
        </w:rPr>
        <w:t>والنمو:خلق</w:t>
      </w:r>
      <w:r w:rsidR="004F25C0" w:rsidRPr="005D59A7">
        <w:rPr>
          <w:rFonts w:ascii="T" w:hAnsi="T" w:cs="Simplified Arabic"/>
          <w:sz w:val="24"/>
          <w:szCs w:val="24"/>
          <w:rtl/>
        </w:rPr>
        <w:t xml:space="preserve"> </w:t>
      </w: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العمل: يمكن</w:t>
      </w:r>
      <w:r w:rsidR="004F25C0" w:rsidRPr="005D59A7">
        <w:rPr>
          <w:rFonts w:ascii="T" w:hAnsi="T" w:cs="Simplified Arabic"/>
          <w:sz w:val="24"/>
          <w:szCs w:val="24"/>
          <w:rtl/>
        </w:rPr>
        <w:t xml:space="preserve"> </w:t>
      </w:r>
      <w:r w:rsidRPr="005D59A7">
        <w:rPr>
          <w:rFonts w:ascii="T" w:hAnsi="T" w:cs="Simplified Arabic"/>
          <w:sz w:val="24"/>
          <w:szCs w:val="24"/>
          <w:rtl/>
        </w:rPr>
        <w:t>للمشاريع</w:t>
      </w:r>
      <w:r w:rsidR="004F25C0" w:rsidRPr="005D59A7">
        <w:rPr>
          <w:rFonts w:ascii="T" w:hAnsi="T" w:cs="Simplified Arabic"/>
          <w:sz w:val="24"/>
          <w:szCs w:val="24"/>
          <w:rtl/>
        </w:rPr>
        <w:t xml:space="preserve"> </w:t>
      </w:r>
      <w:r w:rsidRPr="005D59A7">
        <w:rPr>
          <w:rFonts w:ascii="T" w:hAnsi="T" w:cs="Simplified Arabic"/>
          <w:sz w:val="24"/>
          <w:szCs w:val="24"/>
          <w:rtl/>
        </w:rPr>
        <w:t>الكبيرة</w:t>
      </w:r>
      <w:r w:rsidR="004F25C0" w:rsidRPr="005D59A7">
        <w:rPr>
          <w:rFonts w:ascii="T" w:hAnsi="T" w:cs="Simplified Arabic"/>
          <w:sz w:val="24"/>
          <w:szCs w:val="24"/>
          <w:rtl/>
        </w:rPr>
        <w:t xml:space="preserve"> </w:t>
      </w:r>
      <w:r w:rsidRPr="005D59A7">
        <w:rPr>
          <w:rFonts w:ascii="T" w:hAnsi="T" w:cs="Simplified Arabic"/>
          <w:sz w:val="24"/>
          <w:szCs w:val="24"/>
          <w:rtl/>
        </w:rPr>
        <w:t>الممولة</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خلال</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تحفيز</w:t>
      </w:r>
      <w:r w:rsidR="004F25C0" w:rsidRPr="005D59A7">
        <w:rPr>
          <w:rFonts w:ascii="T" w:hAnsi="T" w:cs="Simplified Arabic"/>
          <w:sz w:val="24"/>
          <w:szCs w:val="24"/>
          <w:rtl/>
        </w:rPr>
        <w:t xml:space="preserve"> </w:t>
      </w:r>
      <w:r w:rsidRPr="005D59A7">
        <w:rPr>
          <w:rFonts w:ascii="T" w:hAnsi="T" w:cs="Simplified Arabic"/>
          <w:sz w:val="24"/>
          <w:szCs w:val="24"/>
          <w:rtl/>
        </w:rPr>
        <w:t>النشاط</w:t>
      </w:r>
      <w:r w:rsidR="004F25C0" w:rsidRPr="005D59A7">
        <w:rPr>
          <w:rFonts w:ascii="T" w:hAnsi="T" w:cs="Simplified Arabic"/>
          <w:sz w:val="24"/>
          <w:szCs w:val="24"/>
          <w:rtl/>
        </w:rPr>
        <w:t xml:space="preserve"> </w:t>
      </w:r>
      <w:r w:rsidRPr="005D59A7">
        <w:rPr>
          <w:rFonts w:ascii="T" w:hAnsi="T" w:cs="Simplified Arabic"/>
          <w:sz w:val="24"/>
          <w:szCs w:val="24"/>
          <w:rtl/>
        </w:rPr>
        <w:t>الاقتصادي،</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يؤدي</w:t>
      </w:r>
      <w:r w:rsidR="004F25C0" w:rsidRPr="005D59A7">
        <w:rPr>
          <w:rFonts w:ascii="T" w:hAnsi="T" w:cs="Simplified Arabic"/>
          <w:sz w:val="24"/>
          <w:szCs w:val="24"/>
          <w:rtl/>
        </w:rPr>
        <w:t xml:space="preserve"> </w:t>
      </w:r>
      <w:r w:rsidRPr="005D59A7">
        <w:rPr>
          <w:rFonts w:ascii="T" w:hAnsi="T" w:cs="Simplified Arabic"/>
          <w:sz w:val="24"/>
          <w:szCs w:val="24"/>
          <w:rtl/>
        </w:rPr>
        <w:t>إلى</w:t>
      </w:r>
      <w:r w:rsidR="004F25C0" w:rsidRPr="005D59A7">
        <w:rPr>
          <w:rFonts w:ascii="T" w:hAnsi="T" w:cs="Simplified Arabic"/>
          <w:sz w:val="24"/>
          <w:szCs w:val="24"/>
          <w:rtl/>
        </w:rPr>
        <w:t xml:space="preserve"> </w:t>
      </w:r>
      <w:r w:rsidRPr="005D59A7">
        <w:rPr>
          <w:rFonts w:ascii="T" w:hAnsi="T" w:cs="Simplified Arabic"/>
          <w:sz w:val="24"/>
          <w:szCs w:val="24"/>
          <w:rtl/>
        </w:rPr>
        <w:t>خلق</w:t>
      </w:r>
      <w:r w:rsidR="004F25C0" w:rsidRPr="005D59A7">
        <w:rPr>
          <w:rFonts w:ascii="T" w:hAnsi="T" w:cs="Simplified Arabic"/>
          <w:sz w:val="24"/>
          <w:szCs w:val="24"/>
          <w:rtl/>
        </w:rPr>
        <w:t xml:space="preserve"> </w:t>
      </w: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عمل</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قطاعات</w:t>
      </w:r>
      <w:r w:rsidR="004F25C0" w:rsidRPr="005D59A7">
        <w:rPr>
          <w:rFonts w:ascii="T" w:hAnsi="T" w:cs="Simplified Arabic"/>
          <w:sz w:val="24"/>
          <w:szCs w:val="24"/>
          <w:rtl/>
        </w:rPr>
        <w:t xml:space="preserve"> </w:t>
      </w:r>
      <w:r w:rsidRPr="005D59A7">
        <w:rPr>
          <w:rFonts w:ascii="T" w:hAnsi="T" w:cs="Simplified Arabic"/>
          <w:sz w:val="24"/>
          <w:szCs w:val="24"/>
          <w:rtl/>
        </w:rPr>
        <w:t>البناء</w:t>
      </w:r>
      <w:r w:rsidR="004F25C0" w:rsidRPr="005D59A7">
        <w:rPr>
          <w:rFonts w:ascii="T" w:hAnsi="T" w:cs="Simplified Arabic"/>
          <w:sz w:val="24"/>
          <w:szCs w:val="24"/>
          <w:rtl/>
        </w:rPr>
        <w:t xml:space="preserve"> </w:t>
      </w:r>
      <w:r w:rsidRPr="005D59A7">
        <w:rPr>
          <w:rFonts w:ascii="T" w:hAnsi="T" w:cs="Simplified Arabic"/>
          <w:sz w:val="24"/>
          <w:szCs w:val="24"/>
          <w:rtl/>
        </w:rPr>
        <w:t>والمعدات</w:t>
      </w:r>
      <w:r w:rsidR="004F25C0" w:rsidRPr="005D59A7">
        <w:rPr>
          <w:rFonts w:ascii="T" w:hAnsi="T" w:cs="Simplified Arabic"/>
          <w:sz w:val="24"/>
          <w:szCs w:val="24"/>
          <w:rtl/>
        </w:rPr>
        <w:t xml:space="preserve"> </w:t>
      </w:r>
      <w:r w:rsidRPr="005D59A7">
        <w:rPr>
          <w:rFonts w:ascii="T" w:hAnsi="T" w:cs="Simplified Arabic"/>
          <w:sz w:val="24"/>
          <w:szCs w:val="24"/>
          <w:rtl/>
        </w:rPr>
        <w:t>وخدمات</w:t>
      </w:r>
      <w:r w:rsidR="004F25C0" w:rsidRPr="005D59A7">
        <w:rPr>
          <w:rFonts w:ascii="T" w:hAnsi="T" w:cs="Simplified Arabic"/>
          <w:sz w:val="24"/>
          <w:szCs w:val="24"/>
          <w:rtl/>
        </w:rPr>
        <w:t xml:space="preserve"> </w:t>
      </w:r>
      <w:r w:rsidRPr="005D59A7">
        <w:rPr>
          <w:rFonts w:ascii="T" w:hAnsi="T" w:cs="Simplified Arabic"/>
          <w:sz w:val="24"/>
          <w:szCs w:val="24"/>
          <w:rtl/>
        </w:rPr>
        <w:t>الدعم</w:t>
      </w:r>
      <w:r w:rsidR="004F25C0" w:rsidRPr="005D59A7">
        <w:rPr>
          <w:rFonts w:ascii="T" w:hAnsi="T" w:cs="Simplified Arabic"/>
          <w:sz w:val="24"/>
          <w:szCs w:val="24"/>
          <w:rtl/>
        </w:rPr>
        <w:t xml:space="preserve"> </w:t>
      </w:r>
      <w:r w:rsidRPr="005D59A7">
        <w:rPr>
          <w:rFonts w:ascii="T" w:hAnsi="T" w:cs="Simplified Arabic"/>
          <w:sz w:val="24"/>
          <w:szCs w:val="24"/>
          <w:rtl/>
        </w:rPr>
        <w:t>وغيرها</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الصناعات</w:t>
      </w:r>
      <w:r w:rsidR="004F25C0" w:rsidRPr="005D59A7">
        <w:rPr>
          <w:rFonts w:ascii="T" w:hAnsi="T" w:cs="Simplified Arabic"/>
          <w:sz w:val="24"/>
          <w:szCs w:val="24"/>
          <w:rtl/>
        </w:rPr>
        <w:t xml:space="preserve"> </w:t>
      </w:r>
      <w:r w:rsidRPr="005D59A7">
        <w:rPr>
          <w:rFonts w:ascii="T" w:hAnsi="T" w:cs="Simplified Arabic"/>
          <w:sz w:val="24"/>
          <w:szCs w:val="24"/>
          <w:rtl/>
        </w:rPr>
        <w:t>ذات</w:t>
      </w:r>
      <w:r w:rsidR="004F25C0" w:rsidRPr="005D59A7">
        <w:rPr>
          <w:rFonts w:ascii="T" w:hAnsi="T" w:cs="Simplified Arabic"/>
          <w:sz w:val="24"/>
          <w:szCs w:val="24"/>
          <w:rtl/>
        </w:rPr>
        <w:t xml:space="preserve"> </w:t>
      </w:r>
      <w:r w:rsidRPr="005D59A7">
        <w:rPr>
          <w:rFonts w:ascii="T" w:hAnsi="T" w:cs="Simplified Arabic"/>
          <w:sz w:val="24"/>
          <w:szCs w:val="24"/>
          <w:rtl/>
        </w:rPr>
        <w:t>الصلة.</w:t>
      </w:r>
    </w:p>
    <w:p w14:paraId="075D2E7C" w14:textId="77777777" w:rsidR="00210FA3" w:rsidRPr="005D59A7" w:rsidRDefault="00210FA3" w:rsidP="00DF52A6">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فرص</w:t>
      </w:r>
      <w:r w:rsidR="004F25C0" w:rsidRPr="005D59A7">
        <w:rPr>
          <w:rFonts w:ascii="T" w:hAnsi="T" w:cs="Simplified Arabic"/>
          <w:sz w:val="24"/>
          <w:szCs w:val="24"/>
          <w:rtl/>
        </w:rPr>
        <w:t xml:space="preserve"> </w:t>
      </w:r>
      <w:r w:rsidRPr="005D59A7">
        <w:rPr>
          <w:rFonts w:ascii="T" w:hAnsi="T" w:cs="Simplified Arabic"/>
          <w:sz w:val="24"/>
          <w:szCs w:val="24"/>
          <w:rtl/>
        </w:rPr>
        <w:t>الاستثمار: تتيح</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فرصًا</w:t>
      </w:r>
      <w:r w:rsidR="004F25C0" w:rsidRPr="005D59A7">
        <w:rPr>
          <w:rFonts w:ascii="T" w:hAnsi="T" w:cs="Simplified Arabic"/>
          <w:sz w:val="24"/>
          <w:szCs w:val="24"/>
          <w:rtl/>
        </w:rPr>
        <w:t xml:space="preserve"> </w:t>
      </w:r>
      <w:r w:rsidRPr="005D59A7">
        <w:rPr>
          <w:rFonts w:ascii="T" w:hAnsi="T" w:cs="Simplified Arabic"/>
          <w:sz w:val="24"/>
          <w:szCs w:val="24"/>
          <w:rtl/>
        </w:rPr>
        <w:t>استثمارية</w:t>
      </w:r>
      <w:r w:rsidR="004F25C0" w:rsidRPr="005D59A7">
        <w:rPr>
          <w:rFonts w:ascii="T" w:hAnsi="T" w:cs="Simplified Arabic"/>
          <w:sz w:val="24"/>
          <w:szCs w:val="24"/>
          <w:rtl/>
        </w:rPr>
        <w:t xml:space="preserve"> </w:t>
      </w:r>
      <w:r w:rsidRPr="005D59A7">
        <w:rPr>
          <w:rFonts w:ascii="T" w:hAnsi="T" w:cs="Simplified Arabic"/>
          <w:sz w:val="24"/>
          <w:szCs w:val="24"/>
          <w:rtl/>
        </w:rPr>
        <w:t>جديدة</w:t>
      </w:r>
      <w:r w:rsidR="004F25C0" w:rsidRPr="005D59A7">
        <w:rPr>
          <w:rFonts w:ascii="T" w:hAnsi="T" w:cs="Simplified Arabic"/>
          <w:sz w:val="24"/>
          <w:szCs w:val="24"/>
          <w:rtl/>
        </w:rPr>
        <w:t xml:space="preserve"> </w:t>
      </w:r>
      <w:r w:rsidRPr="005D59A7">
        <w:rPr>
          <w:rFonts w:ascii="T" w:hAnsi="T" w:cs="Simplified Arabic"/>
          <w:sz w:val="24"/>
          <w:szCs w:val="24"/>
          <w:rtl/>
        </w:rPr>
        <w:t>للشركات</w:t>
      </w:r>
      <w:r w:rsidR="004F25C0" w:rsidRPr="005D59A7">
        <w:rPr>
          <w:rFonts w:ascii="T" w:hAnsi="T" w:cs="Simplified Arabic"/>
          <w:sz w:val="24"/>
          <w:szCs w:val="24"/>
          <w:rtl/>
        </w:rPr>
        <w:t xml:space="preserve"> </w:t>
      </w:r>
      <w:r w:rsidRPr="005D59A7">
        <w:rPr>
          <w:rFonts w:ascii="T" w:hAnsi="T" w:cs="Simplified Arabic"/>
          <w:sz w:val="24"/>
          <w:szCs w:val="24"/>
          <w:rtl/>
        </w:rPr>
        <w:t>الخاصة،</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يساعدها</w:t>
      </w:r>
      <w:r w:rsidR="004F25C0" w:rsidRPr="005D59A7">
        <w:rPr>
          <w:rFonts w:ascii="T" w:hAnsi="T" w:cs="Simplified Arabic"/>
          <w:sz w:val="24"/>
          <w:szCs w:val="24"/>
          <w:rtl/>
        </w:rPr>
        <w:t xml:space="preserve"> </w:t>
      </w:r>
      <w:r w:rsidRPr="005D59A7">
        <w:rPr>
          <w:rFonts w:ascii="T" w:hAnsi="T" w:cs="Simplified Arabic"/>
          <w:sz w:val="24"/>
          <w:szCs w:val="24"/>
          <w:rtl/>
        </w:rPr>
        <w:t>على</w:t>
      </w:r>
      <w:r w:rsidR="004F25C0" w:rsidRPr="005D59A7">
        <w:rPr>
          <w:rFonts w:ascii="T" w:hAnsi="T" w:cs="Simplified Arabic"/>
          <w:sz w:val="24"/>
          <w:szCs w:val="24"/>
          <w:rtl/>
        </w:rPr>
        <w:t xml:space="preserve"> </w:t>
      </w:r>
      <w:r w:rsidRPr="005D59A7">
        <w:rPr>
          <w:rFonts w:ascii="T" w:hAnsi="T" w:cs="Simplified Arabic"/>
          <w:sz w:val="24"/>
          <w:szCs w:val="24"/>
          <w:rtl/>
        </w:rPr>
        <w:t>تطوير</w:t>
      </w:r>
      <w:r w:rsidR="004F25C0" w:rsidRPr="005D59A7">
        <w:rPr>
          <w:rFonts w:ascii="T" w:hAnsi="T" w:cs="Simplified Arabic"/>
          <w:sz w:val="24"/>
          <w:szCs w:val="24"/>
          <w:rtl/>
        </w:rPr>
        <w:t xml:space="preserve"> </w:t>
      </w:r>
      <w:r w:rsidRPr="005D59A7">
        <w:rPr>
          <w:rFonts w:ascii="T" w:hAnsi="T" w:cs="Simplified Arabic"/>
          <w:sz w:val="24"/>
          <w:szCs w:val="24"/>
          <w:rtl/>
        </w:rPr>
        <w:t>الخبرات</w:t>
      </w:r>
      <w:r w:rsidR="004F25C0" w:rsidRPr="005D59A7">
        <w:rPr>
          <w:rFonts w:ascii="T" w:hAnsi="T" w:cs="Simplified Arabic"/>
          <w:sz w:val="24"/>
          <w:szCs w:val="24"/>
          <w:rtl/>
        </w:rPr>
        <w:t xml:space="preserve"> </w:t>
      </w:r>
      <w:r w:rsidRPr="005D59A7">
        <w:rPr>
          <w:rFonts w:ascii="T" w:hAnsi="T" w:cs="Simplified Arabic"/>
          <w:sz w:val="24"/>
          <w:szCs w:val="24"/>
          <w:rtl/>
        </w:rPr>
        <w:t>والمهارات</w:t>
      </w:r>
      <w:r w:rsidR="004F25C0" w:rsidRPr="005D59A7">
        <w:rPr>
          <w:rFonts w:ascii="T" w:hAnsi="T" w:cs="Simplified Arabic"/>
          <w:sz w:val="24"/>
          <w:szCs w:val="24"/>
          <w:rtl/>
        </w:rPr>
        <w:t xml:space="preserve"> </w:t>
      </w:r>
      <w:r w:rsidRPr="005D59A7">
        <w:rPr>
          <w:rFonts w:ascii="T" w:hAnsi="T" w:cs="Simplified Arabic"/>
          <w:sz w:val="24"/>
          <w:szCs w:val="24"/>
          <w:rtl/>
        </w:rPr>
        <w:t>التي</w:t>
      </w:r>
      <w:r w:rsidR="004F25C0" w:rsidRPr="005D59A7">
        <w:rPr>
          <w:rFonts w:ascii="T" w:hAnsi="T" w:cs="Simplified Arabic"/>
          <w:sz w:val="24"/>
          <w:szCs w:val="24"/>
          <w:rtl/>
        </w:rPr>
        <w:t xml:space="preserve"> </w:t>
      </w:r>
      <w:r w:rsidRPr="005D59A7">
        <w:rPr>
          <w:rFonts w:ascii="T" w:hAnsi="T" w:cs="Simplified Arabic"/>
          <w:sz w:val="24"/>
          <w:szCs w:val="24"/>
          <w:rtl/>
        </w:rPr>
        <w:t>يمكن</w:t>
      </w:r>
      <w:r w:rsidR="004F25C0" w:rsidRPr="005D59A7">
        <w:rPr>
          <w:rFonts w:ascii="T" w:hAnsi="T" w:cs="Simplified Arabic"/>
          <w:sz w:val="24"/>
          <w:szCs w:val="24"/>
          <w:rtl/>
        </w:rPr>
        <w:t xml:space="preserve"> </w:t>
      </w:r>
      <w:r w:rsidRPr="005D59A7">
        <w:rPr>
          <w:rFonts w:ascii="T" w:hAnsi="T" w:cs="Simplified Arabic"/>
          <w:sz w:val="24"/>
          <w:szCs w:val="24"/>
          <w:rtl/>
        </w:rPr>
        <w:t>إعادة</w:t>
      </w:r>
      <w:r w:rsidR="004F25C0" w:rsidRPr="005D59A7">
        <w:rPr>
          <w:rFonts w:ascii="T" w:hAnsi="T" w:cs="Simplified Arabic"/>
          <w:sz w:val="24"/>
          <w:szCs w:val="24"/>
          <w:rtl/>
        </w:rPr>
        <w:t xml:space="preserve"> </w:t>
      </w:r>
      <w:r w:rsidRPr="005D59A7">
        <w:rPr>
          <w:rFonts w:ascii="T" w:hAnsi="T" w:cs="Simplified Arabic"/>
          <w:sz w:val="24"/>
          <w:szCs w:val="24"/>
          <w:rtl/>
        </w:rPr>
        <w:t>تطبيقها</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مشاريع</w:t>
      </w:r>
      <w:r w:rsidR="004F25C0" w:rsidRPr="005D59A7">
        <w:rPr>
          <w:rFonts w:ascii="T" w:hAnsi="T" w:cs="Simplified Arabic"/>
          <w:sz w:val="24"/>
          <w:szCs w:val="24"/>
          <w:rtl/>
        </w:rPr>
        <w:t xml:space="preserve"> </w:t>
      </w:r>
      <w:r w:rsidRPr="005D59A7">
        <w:rPr>
          <w:rFonts w:ascii="T" w:hAnsi="T" w:cs="Simplified Arabic"/>
          <w:sz w:val="24"/>
          <w:szCs w:val="24"/>
          <w:rtl/>
        </w:rPr>
        <w:t>أخرى.</w:t>
      </w:r>
    </w:p>
    <w:p w14:paraId="1CCCEFFD" w14:textId="77777777" w:rsidR="005A5496"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تطوير</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 تعتبر</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ضرورية</w:t>
      </w:r>
      <w:r w:rsidR="004F25C0" w:rsidRPr="005D59A7">
        <w:rPr>
          <w:rFonts w:ascii="T" w:hAnsi="T" w:cs="Simplified Arabic"/>
          <w:sz w:val="24"/>
          <w:szCs w:val="24"/>
          <w:rtl/>
        </w:rPr>
        <w:t xml:space="preserve"> </w:t>
      </w:r>
      <w:r w:rsidRPr="005D59A7">
        <w:rPr>
          <w:rFonts w:ascii="T" w:hAnsi="T" w:cs="Simplified Arabic"/>
          <w:sz w:val="24"/>
          <w:szCs w:val="24"/>
          <w:rtl/>
        </w:rPr>
        <w:t>لسد</w:t>
      </w:r>
      <w:r w:rsidR="004F25C0" w:rsidRPr="005D59A7">
        <w:rPr>
          <w:rFonts w:ascii="T" w:hAnsi="T" w:cs="Simplified Arabic"/>
          <w:sz w:val="24"/>
          <w:szCs w:val="24"/>
          <w:rtl/>
        </w:rPr>
        <w:t xml:space="preserve"> </w:t>
      </w:r>
      <w:r w:rsidRPr="005D59A7">
        <w:rPr>
          <w:rFonts w:ascii="T" w:hAnsi="T" w:cs="Simplified Arabic"/>
          <w:sz w:val="24"/>
          <w:szCs w:val="24"/>
          <w:rtl/>
        </w:rPr>
        <w:t>فجوات</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w:t>
      </w:r>
      <w:r w:rsidR="004F25C0" w:rsidRPr="005D59A7">
        <w:rPr>
          <w:rFonts w:ascii="T" w:hAnsi="T" w:cs="Simplified Arabic"/>
          <w:sz w:val="24"/>
          <w:szCs w:val="24"/>
          <w:rtl/>
        </w:rPr>
        <w:t xml:space="preserve"> </w:t>
      </w:r>
      <w:r w:rsidRPr="005D59A7">
        <w:rPr>
          <w:rFonts w:ascii="T" w:hAnsi="T" w:cs="Simplified Arabic"/>
          <w:sz w:val="24"/>
          <w:szCs w:val="24"/>
          <w:rtl/>
        </w:rPr>
        <w:t>وخاصة</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المجتمعات</w:t>
      </w:r>
      <w:r w:rsidR="004F25C0" w:rsidRPr="005D59A7">
        <w:rPr>
          <w:rFonts w:ascii="T" w:hAnsi="T" w:cs="Simplified Arabic"/>
          <w:sz w:val="24"/>
          <w:szCs w:val="24"/>
          <w:rtl/>
        </w:rPr>
        <w:t xml:space="preserve"> </w:t>
      </w:r>
      <w:r w:rsidRPr="005D59A7">
        <w:rPr>
          <w:rFonts w:ascii="T" w:hAnsi="T" w:cs="Simplified Arabic"/>
          <w:sz w:val="24"/>
          <w:szCs w:val="24"/>
          <w:rtl/>
        </w:rPr>
        <w:t>والبلدان</w:t>
      </w:r>
      <w:r w:rsidR="004F25C0" w:rsidRPr="005D59A7">
        <w:rPr>
          <w:rFonts w:ascii="T" w:hAnsi="T" w:cs="Simplified Arabic"/>
          <w:sz w:val="24"/>
          <w:szCs w:val="24"/>
          <w:rtl/>
        </w:rPr>
        <w:t xml:space="preserve"> </w:t>
      </w:r>
      <w:r w:rsidRPr="005D59A7">
        <w:rPr>
          <w:rFonts w:ascii="T" w:hAnsi="T" w:cs="Simplified Arabic"/>
          <w:sz w:val="24"/>
          <w:szCs w:val="24"/>
          <w:rtl/>
        </w:rPr>
        <w:t>النامية،</w:t>
      </w:r>
      <w:r w:rsidR="004F25C0" w:rsidRPr="005D59A7">
        <w:rPr>
          <w:rFonts w:ascii="T" w:hAnsi="T" w:cs="Simplified Arabic"/>
          <w:sz w:val="24"/>
          <w:szCs w:val="24"/>
          <w:rtl/>
        </w:rPr>
        <w:t xml:space="preserve"> </w:t>
      </w:r>
      <w:r w:rsidRPr="005D59A7">
        <w:rPr>
          <w:rFonts w:ascii="T" w:hAnsi="T" w:cs="Simplified Arabic"/>
          <w:sz w:val="24"/>
          <w:szCs w:val="24"/>
          <w:rtl/>
        </w:rPr>
        <w:t>مما</w:t>
      </w:r>
      <w:r w:rsidR="004F25C0" w:rsidRPr="005D59A7">
        <w:rPr>
          <w:rFonts w:ascii="T" w:hAnsi="T" w:cs="Simplified Arabic"/>
          <w:sz w:val="24"/>
          <w:szCs w:val="24"/>
          <w:rtl/>
        </w:rPr>
        <w:t xml:space="preserve"> </w:t>
      </w:r>
      <w:r w:rsidRPr="005D59A7">
        <w:rPr>
          <w:rFonts w:ascii="T" w:hAnsi="T" w:cs="Simplified Arabic"/>
          <w:sz w:val="24"/>
          <w:szCs w:val="24"/>
          <w:rtl/>
        </w:rPr>
        <w:t>يمكن</w:t>
      </w:r>
      <w:r w:rsidR="004F25C0" w:rsidRPr="005D59A7">
        <w:rPr>
          <w:rFonts w:ascii="T" w:hAnsi="T" w:cs="Simplified Arabic"/>
          <w:sz w:val="24"/>
          <w:szCs w:val="24"/>
          <w:rtl/>
        </w:rPr>
        <w:t xml:space="preserve"> </w:t>
      </w:r>
      <w:r w:rsidRPr="005D59A7">
        <w:rPr>
          <w:rFonts w:ascii="T" w:hAnsi="T" w:cs="Simplified Arabic"/>
          <w:sz w:val="24"/>
          <w:szCs w:val="24"/>
          <w:rtl/>
        </w:rPr>
        <w:t>أن</w:t>
      </w:r>
      <w:r w:rsidR="004F25C0" w:rsidRPr="005D59A7">
        <w:rPr>
          <w:rFonts w:ascii="T" w:hAnsi="T" w:cs="Simplified Arabic"/>
          <w:sz w:val="24"/>
          <w:szCs w:val="24"/>
          <w:rtl/>
        </w:rPr>
        <w:t xml:space="preserve"> </w:t>
      </w:r>
      <w:r w:rsidRPr="005D59A7">
        <w:rPr>
          <w:rFonts w:ascii="T" w:hAnsi="T" w:cs="Simplified Arabic"/>
          <w:sz w:val="24"/>
          <w:szCs w:val="24"/>
          <w:rtl/>
        </w:rPr>
        <w:t>يجذب</w:t>
      </w:r>
      <w:r w:rsidR="004F25C0" w:rsidRPr="005D59A7">
        <w:rPr>
          <w:rFonts w:ascii="T" w:hAnsi="T" w:cs="Simplified Arabic"/>
          <w:sz w:val="24"/>
          <w:szCs w:val="24"/>
          <w:rtl/>
        </w:rPr>
        <w:t xml:space="preserve"> </w:t>
      </w:r>
      <w:r w:rsidRPr="005D59A7">
        <w:rPr>
          <w:rFonts w:ascii="T" w:hAnsi="T" w:cs="Simplified Arabic"/>
          <w:sz w:val="24"/>
          <w:szCs w:val="24"/>
          <w:rtl/>
        </w:rPr>
        <w:t>المزيد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الشركات</w:t>
      </w:r>
      <w:r w:rsidR="004F25C0" w:rsidRPr="005D59A7">
        <w:rPr>
          <w:rFonts w:ascii="T" w:hAnsi="T" w:cs="Simplified Arabic"/>
          <w:sz w:val="24"/>
          <w:szCs w:val="24"/>
          <w:rtl/>
        </w:rPr>
        <w:t xml:space="preserve"> </w:t>
      </w:r>
      <w:r w:rsidRPr="005D59A7">
        <w:rPr>
          <w:rFonts w:ascii="T" w:hAnsi="T" w:cs="Simplified Arabic"/>
          <w:sz w:val="24"/>
          <w:szCs w:val="24"/>
          <w:rtl/>
        </w:rPr>
        <w:t>والمزيد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النمو</w:t>
      </w:r>
      <w:r w:rsidR="004F25C0" w:rsidRPr="005D59A7">
        <w:rPr>
          <w:rFonts w:ascii="T" w:hAnsi="T" w:cs="Simplified Arabic"/>
          <w:sz w:val="24"/>
          <w:szCs w:val="24"/>
          <w:rtl/>
        </w:rPr>
        <w:t xml:space="preserve"> </w:t>
      </w:r>
      <w:r w:rsidRPr="005D59A7">
        <w:rPr>
          <w:rFonts w:ascii="T" w:hAnsi="T" w:cs="Simplified Arabic"/>
          <w:sz w:val="24"/>
          <w:szCs w:val="24"/>
          <w:rtl/>
        </w:rPr>
        <w:t>الاقتصادي.</w:t>
      </w:r>
    </w:p>
    <w:p w14:paraId="3D4F134C" w14:textId="63AE72A5" w:rsidR="00A41647" w:rsidRPr="005D59A7" w:rsidRDefault="00210FA3" w:rsidP="00DF52A6">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لذلك،</w:t>
      </w:r>
      <w:r w:rsidR="004F25C0" w:rsidRPr="005D59A7">
        <w:rPr>
          <w:rFonts w:ascii="T" w:hAnsi="T" w:cs="Simplified Arabic"/>
          <w:sz w:val="24"/>
          <w:szCs w:val="24"/>
          <w:rtl/>
        </w:rPr>
        <w:t xml:space="preserve"> </w:t>
      </w:r>
      <w:r w:rsidRPr="005D59A7">
        <w:rPr>
          <w:rFonts w:ascii="T" w:hAnsi="T" w:cs="Simplified Arabic"/>
          <w:sz w:val="24"/>
          <w:szCs w:val="24"/>
          <w:rtl/>
        </w:rPr>
        <w:t>تعد</w:t>
      </w:r>
      <w:r w:rsidR="004F25C0" w:rsidRPr="005D59A7">
        <w:rPr>
          <w:rFonts w:ascii="T" w:hAnsi="T" w:cs="Simplified Arabic"/>
          <w:sz w:val="24"/>
          <w:szCs w:val="24"/>
          <w:rtl/>
        </w:rPr>
        <w:t xml:space="preserve"> </w:t>
      </w:r>
      <w:r w:rsidRPr="005D59A7">
        <w:rPr>
          <w:rFonts w:ascii="T" w:hAnsi="T" w:cs="Simplified Arabic"/>
          <w:sz w:val="24"/>
          <w:szCs w:val="24"/>
          <w:rtl/>
        </w:rPr>
        <w:t>الشراكات</w:t>
      </w:r>
      <w:r w:rsidR="004F25C0" w:rsidRPr="005D59A7">
        <w:rPr>
          <w:rFonts w:ascii="T" w:hAnsi="T" w:cs="Simplified Arabic"/>
          <w:sz w:val="24"/>
          <w:szCs w:val="24"/>
          <w:rtl/>
        </w:rPr>
        <w:t xml:space="preserve"> </w:t>
      </w:r>
      <w:r w:rsidRPr="005D59A7">
        <w:rPr>
          <w:rFonts w:ascii="T" w:hAnsi="T" w:cs="Simplified Arabic"/>
          <w:sz w:val="24"/>
          <w:szCs w:val="24"/>
          <w:rtl/>
        </w:rPr>
        <w:t>بين</w:t>
      </w:r>
      <w:r w:rsidR="004F25C0" w:rsidRPr="005D59A7">
        <w:rPr>
          <w:rFonts w:ascii="T" w:hAnsi="T" w:cs="Simplified Arabic"/>
          <w:sz w:val="24"/>
          <w:szCs w:val="24"/>
          <w:rtl/>
        </w:rPr>
        <w:t xml:space="preserve"> </w:t>
      </w:r>
      <w:r w:rsidRPr="005D59A7">
        <w:rPr>
          <w:rFonts w:ascii="T" w:hAnsi="T" w:cs="Simplified Arabic"/>
          <w:sz w:val="24"/>
          <w:szCs w:val="24"/>
          <w:rtl/>
        </w:rPr>
        <w:t>القطاعين</w:t>
      </w:r>
      <w:r w:rsidR="004F25C0" w:rsidRPr="005D59A7">
        <w:rPr>
          <w:rFonts w:ascii="T" w:hAnsi="T" w:cs="Simplified Arabic"/>
          <w:sz w:val="24"/>
          <w:szCs w:val="24"/>
          <w:rtl/>
        </w:rPr>
        <w:t xml:space="preserve"> </w:t>
      </w:r>
      <w:r w:rsidRPr="005D59A7">
        <w:rPr>
          <w:rFonts w:ascii="T" w:hAnsi="T" w:cs="Simplified Arabic"/>
          <w:sz w:val="24"/>
          <w:szCs w:val="24"/>
          <w:rtl/>
        </w:rPr>
        <w:t>العام</w:t>
      </w:r>
      <w:r w:rsidR="004F25C0" w:rsidRPr="005D59A7">
        <w:rPr>
          <w:rFonts w:ascii="T" w:hAnsi="T" w:cs="Simplified Arabic"/>
          <w:sz w:val="24"/>
          <w:szCs w:val="24"/>
          <w:rtl/>
        </w:rPr>
        <w:t xml:space="preserve"> </w:t>
      </w:r>
      <w:r w:rsidRPr="005D59A7">
        <w:rPr>
          <w:rFonts w:ascii="T" w:hAnsi="T" w:cs="Simplified Arabic"/>
          <w:sz w:val="24"/>
          <w:szCs w:val="24"/>
          <w:rtl/>
        </w:rPr>
        <w:t>والخاص</w:t>
      </w:r>
      <w:r w:rsidR="004F25C0" w:rsidRPr="005D59A7">
        <w:rPr>
          <w:rFonts w:ascii="T" w:hAnsi="T" w:cs="Simplified Arabic"/>
          <w:sz w:val="24"/>
          <w:szCs w:val="24"/>
          <w:rtl/>
        </w:rPr>
        <w:t xml:space="preserve"> </w:t>
      </w:r>
      <w:r w:rsidRPr="005D59A7">
        <w:rPr>
          <w:rFonts w:ascii="T" w:hAnsi="T" w:cs="Simplified Arabic"/>
          <w:sz w:val="24"/>
          <w:szCs w:val="24"/>
          <w:rtl/>
        </w:rPr>
        <w:t>مهمة</w:t>
      </w:r>
      <w:r w:rsidR="004F25C0" w:rsidRPr="005D59A7">
        <w:rPr>
          <w:rFonts w:ascii="T" w:hAnsi="T" w:cs="Simplified Arabic"/>
          <w:sz w:val="24"/>
          <w:szCs w:val="24"/>
          <w:rtl/>
        </w:rPr>
        <w:t xml:space="preserve"> </w:t>
      </w:r>
      <w:r w:rsidRPr="005D59A7">
        <w:rPr>
          <w:rFonts w:ascii="T" w:hAnsi="T" w:cs="Simplified Arabic"/>
          <w:sz w:val="24"/>
          <w:szCs w:val="24"/>
          <w:rtl/>
        </w:rPr>
        <w:t>لأنها</w:t>
      </w:r>
      <w:r w:rsidR="004F25C0" w:rsidRPr="005D59A7">
        <w:rPr>
          <w:rFonts w:ascii="T" w:hAnsi="T" w:cs="Simplified Arabic"/>
          <w:sz w:val="24"/>
          <w:szCs w:val="24"/>
          <w:rtl/>
        </w:rPr>
        <w:t xml:space="preserve"> </w:t>
      </w:r>
      <w:r w:rsidRPr="005D59A7">
        <w:rPr>
          <w:rFonts w:ascii="T" w:hAnsi="T" w:cs="Simplified Arabic"/>
          <w:sz w:val="24"/>
          <w:szCs w:val="24"/>
          <w:rtl/>
        </w:rPr>
        <w:t>توفر</w:t>
      </w:r>
      <w:r w:rsidR="004F25C0" w:rsidRPr="005D59A7">
        <w:rPr>
          <w:rFonts w:ascii="T" w:hAnsi="T" w:cs="Simplified Arabic"/>
          <w:sz w:val="24"/>
          <w:szCs w:val="24"/>
          <w:rtl/>
        </w:rPr>
        <w:t xml:space="preserve"> </w:t>
      </w:r>
      <w:r w:rsidRPr="005D59A7">
        <w:rPr>
          <w:rFonts w:ascii="T" w:hAnsi="T" w:cs="Simplified Arabic"/>
          <w:sz w:val="24"/>
          <w:szCs w:val="24"/>
          <w:rtl/>
        </w:rPr>
        <w:t>آلية</w:t>
      </w:r>
      <w:r w:rsidR="004F25C0" w:rsidRPr="005D59A7">
        <w:rPr>
          <w:rFonts w:ascii="T" w:hAnsi="T" w:cs="Simplified Arabic"/>
          <w:sz w:val="24"/>
          <w:szCs w:val="24"/>
          <w:rtl/>
        </w:rPr>
        <w:t xml:space="preserve"> </w:t>
      </w:r>
      <w:r w:rsidRPr="005D59A7">
        <w:rPr>
          <w:rFonts w:ascii="T" w:hAnsi="T" w:cs="Simplified Arabic"/>
          <w:sz w:val="24"/>
          <w:szCs w:val="24"/>
          <w:rtl/>
        </w:rPr>
        <w:t>قوية</w:t>
      </w:r>
      <w:r w:rsidR="004F25C0" w:rsidRPr="005D59A7">
        <w:rPr>
          <w:rFonts w:ascii="T" w:hAnsi="T" w:cs="Simplified Arabic"/>
          <w:sz w:val="24"/>
          <w:szCs w:val="24"/>
          <w:rtl/>
        </w:rPr>
        <w:t xml:space="preserve"> </w:t>
      </w:r>
      <w:r w:rsidRPr="005D59A7">
        <w:rPr>
          <w:rFonts w:ascii="T" w:hAnsi="T" w:cs="Simplified Arabic"/>
          <w:sz w:val="24"/>
          <w:szCs w:val="24"/>
          <w:rtl/>
        </w:rPr>
        <w:t>للحكومات</w:t>
      </w:r>
      <w:r w:rsidR="004F25C0" w:rsidRPr="005D59A7">
        <w:rPr>
          <w:rFonts w:ascii="T" w:hAnsi="T" w:cs="Simplified Arabic"/>
          <w:sz w:val="24"/>
          <w:szCs w:val="24"/>
          <w:rtl/>
        </w:rPr>
        <w:t xml:space="preserve"> </w:t>
      </w:r>
      <w:r w:rsidRPr="005D59A7">
        <w:rPr>
          <w:rFonts w:ascii="T" w:hAnsi="T" w:cs="Simplified Arabic"/>
          <w:sz w:val="24"/>
          <w:szCs w:val="24"/>
          <w:rtl/>
        </w:rPr>
        <w:t>لشراء</w:t>
      </w:r>
      <w:r w:rsidR="004F25C0" w:rsidRPr="005D59A7">
        <w:rPr>
          <w:rFonts w:ascii="T" w:hAnsi="T" w:cs="Simplified Arabic"/>
          <w:sz w:val="24"/>
          <w:szCs w:val="24"/>
          <w:rtl/>
        </w:rPr>
        <w:t xml:space="preserve"> </w:t>
      </w:r>
      <w:r w:rsidRPr="005D59A7">
        <w:rPr>
          <w:rFonts w:ascii="T" w:hAnsi="T" w:cs="Simplified Arabic"/>
          <w:sz w:val="24"/>
          <w:szCs w:val="24"/>
          <w:rtl/>
        </w:rPr>
        <w:t>وتنفيذ</w:t>
      </w:r>
      <w:r w:rsidR="004F25C0" w:rsidRPr="005D59A7">
        <w:rPr>
          <w:rFonts w:ascii="T" w:hAnsi="T" w:cs="Simplified Arabic"/>
          <w:sz w:val="24"/>
          <w:szCs w:val="24"/>
          <w:rtl/>
        </w:rPr>
        <w:t xml:space="preserve"> </w:t>
      </w:r>
      <w:r w:rsidRPr="005D59A7">
        <w:rPr>
          <w:rFonts w:ascii="T" w:hAnsi="T" w:cs="Simplified Arabic"/>
          <w:sz w:val="24"/>
          <w:szCs w:val="24"/>
          <w:rtl/>
        </w:rPr>
        <w:t>البنية</w:t>
      </w:r>
      <w:r w:rsidR="004F25C0" w:rsidRPr="005D59A7">
        <w:rPr>
          <w:rFonts w:ascii="T" w:hAnsi="T" w:cs="Simplified Arabic"/>
          <w:sz w:val="24"/>
          <w:szCs w:val="24"/>
          <w:rtl/>
        </w:rPr>
        <w:t xml:space="preserve"> </w:t>
      </w:r>
      <w:r w:rsidRPr="005D59A7">
        <w:rPr>
          <w:rFonts w:ascii="T" w:hAnsi="T" w:cs="Simplified Arabic"/>
          <w:sz w:val="24"/>
          <w:szCs w:val="24"/>
          <w:rtl/>
        </w:rPr>
        <w:t>التحتية</w:t>
      </w:r>
      <w:r w:rsidR="004F25C0" w:rsidRPr="005D59A7">
        <w:rPr>
          <w:rFonts w:ascii="T" w:hAnsi="T" w:cs="Simplified Arabic"/>
          <w:sz w:val="24"/>
          <w:szCs w:val="24"/>
          <w:rtl/>
        </w:rPr>
        <w:t xml:space="preserve"> </w:t>
      </w:r>
      <w:r w:rsidRPr="005D59A7">
        <w:rPr>
          <w:rFonts w:ascii="T" w:hAnsi="T" w:cs="Simplified Arabic"/>
          <w:sz w:val="24"/>
          <w:szCs w:val="24"/>
          <w:rtl/>
        </w:rPr>
        <w:t>والخدمات</w:t>
      </w:r>
      <w:r w:rsidR="004F25C0" w:rsidRPr="005D59A7">
        <w:rPr>
          <w:rFonts w:ascii="T" w:hAnsi="T" w:cs="Simplified Arabic"/>
          <w:sz w:val="24"/>
          <w:szCs w:val="24"/>
          <w:rtl/>
        </w:rPr>
        <w:t xml:space="preserve"> </w:t>
      </w:r>
      <w:r w:rsidRPr="005D59A7">
        <w:rPr>
          <w:rFonts w:ascii="T" w:hAnsi="T" w:cs="Simplified Arabic"/>
          <w:sz w:val="24"/>
          <w:szCs w:val="24"/>
          <w:rtl/>
        </w:rPr>
        <w:t>العامة</w:t>
      </w:r>
      <w:r w:rsidR="004F25C0" w:rsidRPr="005D59A7">
        <w:rPr>
          <w:rFonts w:ascii="T" w:hAnsi="T" w:cs="Simplified Arabic"/>
          <w:sz w:val="24"/>
          <w:szCs w:val="24"/>
          <w:rtl/>
        </w:rPr>
        <w:t xml:space="preserve"> </w:t>
      </w:r>
      <w:r w:rsidRPr="005D59A7">
        <w:rPr>
          <w:rFonts w:ascii="T" w:hAnsi="T" w:cs="Simplified Arabic"/>
          <w:sz w:val="24"/>
          <w:szCs w:val="24"/>
          <w:rtl/>
        </w:rPr>
        <w:t>الأساسية</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Pr="005D59A7">
        <w:rPr>
          <w:rFonts w:ascii="T" w:hAnsi="T" w:cs="Simplified Arabic"/>
          <w:sz w:val="24"/>
          <w:szCs w:val="24"/>
          <w:rtl/>
        </w:rPr>
        <w:t>خلال</w:t>
      </w:r>
      <w:r w:rsidR="004F25C0" w:rsidRPr="005D59A7">
        <w:rPr>
          <w:rFonts w:ascii="T" w:hAnsi="T" w:cs="Simplified Arabic"/>
          <w:sz w:val="24"/>
          <w:szCs w:val="24"/>
          <w:rtl/>
        </w:rPr>
        <w:t xml:space="preserve"> </w:t>
      </w:r>
      <w:r w:rsidRPr="005D59A7">
        <w:rPr>
          <w:rFonts w:ascii="T" w:hAnsi="T" w:cs="Simplified Arabic"/>
          <w:sz w:val="24"/>
          <w:szCs w:val="24"/>
          <w:rtl/>
        </w:rPr>
        <w:t>تسخير</w:t>
      </w:r>
      <w:r w:rsidR="004F25C0" w:rsidRPr="005D59A7">
        <w:rPr>
          <w:rFonts w:ascii="T" w:hAnsi="T" w:cs="Simplified Arabic"/>
          <w:sz w:val="24"/>
          <w:szCs w:val="24"/>
          <w:rtl/>
        </w:rPr>
        <w:t xml:space="preserve"> </w:t>
      </w:r>
      <w:r w:rsidRPr="005D59A7">
        <w:rPr>
          <w:rFonts w:ascii="T" w:hAnsi="T" w:cs="Simplified Arabic"/>
          <w:sz w:val="24"/>
          <w:szCs w:val="24"/>
          <w:rtl/>
        </w:rPr>
        <w:t>الموارد</w:t>
      </w:r>
      <w:r w:rsidR="004F25C0" w:rsidRPr="005D59A7">
        <w:rPr>
          <w:rFonts w:ascii="T" w:hAnsi="T" w:cs="Simplified Arabic"/>
          <w:sz w:val="24"/>
          <w:szCs w:val="24"/>
          <w:rtl/>
        </w:rPr>
        <w:t xml:space="preserve"> </w:t>
      </w:r>
      <w:r w:rsidRPr="005D59A7">
        <w:rPr>
          <w:rFonts w:ascii="T" w:hAnsi="T" w:cs="Simplified Arabic"/>
          <w:sz w:val="24"/>
          <w:szCs w:val="24"/>
          <w:rtl/>
        </w:rPr>
        <w:t>المالية</w:t>
      </w:r>
      <w:r w:rsidR="004F25C0" w:rsidRPr="005D59A7">
        <w:rPr>
          <w:rFonts w:ascii="T" w:hAnsi="T" w:cs="Simplified Arabic"/>
          <w:sz w:val="24"/>
          <w:szCs w:val="24"/>
          <w:rtl/>
        </w:rPr>
        <w:t xml:space="preserve"> </w:t>
      </w:r>
      <w:r w:rsidRPr="005D59A7">
        <w:rPr>
          <w:rFonts w:ascii="T" w:hAnsi="T" w:cs="Simplified Arabic"/>
          <w:sz w:val="24"/>
          <w:szCs w:val="24"/>
          <w:rtl/>
        </w:rPr>
        <w:t>والخبرة</w:t>
      </w:r>
      <w:r w:rsidR="004F25C0" w:rsidRPr="005D59A7">
        <w:rPr>
          <w:rFonts w:ascii="T" w:hAnsi="T" w:cs="Simplified Arabic"/>
          <w:sz w:val="24"/>
          <w:szCs w:val="24"/>
          <w:rtl/>
        </w:rPr>
        <w:t xml:space="preserve"> </w:t>
      </w:r>
      <w:r w:rsidRPr="005D59A7">
        <w:rPr>
          <w:rFonts w:ascii="T" w:hAnsi="T" w:cs="Simplified Arabic"/>
          <w:sz w:val="24"/>
          <w:szCs w:val="24"/>
          <w:rtl/>
        </w:rPr>
        <w:t>والابتكار</w:t>
      </w:r>
      <w:r w:rsidR="004F25C0" w:rsidRPr="005D59A7">
        <w:rPr>
          <w:rFonts w:ascii="T" w:hAnsi="T" w:cs="Simplified Arabic"/>
          <w:sz w:val="24"/>
          <w:szCs w:val="24"/>
          <w:rtl/>
        </w:rPr>
        <w:t xml:space="preserve"> </w:t>
      </w:r>
      <w:r w:rsidRPr="005D59A7">
        <w:rPr>
          <w:rFonts w:ascii="T" w:hAnsi="T" w:cs="Simplified Arabic"/>
          <w:sz w:val="24"/>
          <w:szCs w:val="24"/>
          <w:rtl/>
        </w:rPr>
        <w:t>في</w:t>
      </w:r>
      <w:r w:rsidR="004F25C0" w:rsidRPr="005D59A7">
        <w:rPr>
          <w:rFonts w:ascii="T" w:hAnsi="T" w:cs="Simplified Arabic"/>
          <w:sz w:val="24"/>
          <w:szCs w:val="24"/>
          <w:rtl/>
        </w:rPr>
        <w:t xml:space="preserve"> </w:t>
      </w:r>
      <w:r w:rsidRPr="005D59A7">
        <w:rPr>
          <w:rFonts w:ascii="T" w:hAnsi="T" w:cs="Simplified Arabic"/>
          <w:sz w:val="24"/>
          <w:szCs w:val="24"/>
          <w:rtl/>
        </w:rPr>
        <w:t>القطاع</w:t>
      </w:r>
      <w:r w:rsidR="004F25C0" w:rsidRPr="005D59A7">
        <w:rPr>
          <w:rFonts w:ascii="T" w:hAnsi="T" w:cs="Simplified Arabic"/>
          <w:sz w:val="24"/>
          <w:szCs w:val="24"/>
          <w:rtl/>
        </w:rPr>
        <w:t xml:space="preserve"> </w:t>
      </w:r>
      <w:r w:rsidRPr="005D59A7">
        <w:rPr>
          <w:rFonts w:ascii="T" w:hAnsi="T" w:cs="Simplified Arabic"/>
          <w:sz w:val="24"/>
          <w:szCs w:val="24"/>
          <w:rtl/>
        </w:rPr>
        <w:t>الخاص،</w:t>
      </w:r>
      <w:r w:rsidR="004F25C0" w:rsidRPr="005D59A7">
        <w:rPr>
          <w:rFonts w:ascii="T" w:hAnsi="T" w:cs="Simplified Arabic"/>
          <w:sz w:val="24"/>
          <w:szCs w:val="24"/>
          <w:rtl/>
        </w:rPr>
        <w:t xml:space="preserve"> </w:t>
      </w:r>
      <w:r w:rsidRPr="005D59A7">
        <w:rPr>
          <w:rFonts w:ascii="T" w:hAnsi="T" w:cs="Simplified Arabic"/>
          <w:sz w:val="24"/>
          <w:szCs w:val="24"/>
          <w:rtl/>
        </w:rPr>
        <w:t>بهدف</w:t>
      </w:r>
      <w:r w:rsidR="004F25C0" w:rsidRPr="005D59A7">
        <w:rPr>
          <w:rFonts w:ascii="T" w:hAnsi="T" w:cs="Simplified Arabic"/>
          <w:sz w:val="24"/>
          <w:szCs w:val="24"/>
          <w:rtl/>
        </w:rPr>
        <w:t xml:space="preserve"> </w:t>
      </w:r>
      <w:r w:rsidRPr="005D59A7">
        <w:rPr>
          <w:rFonts w:ascii="T" w:hAnsi="T" w:cs="Simplified Arabic"/>
          <w:sz w:val="24"/>
          <w:szCs w:val="24"/>
          <w:rtl/>
        </w:rPr>
        <w:t>تحقيق</w:t>
      </w:r>
      <w:r w:rsidR="004F25C0" w:rsidRPr="005D59A7">
        <w:rPr>
          <w:rFonts w:ascii="T" w:hAnsi="T" w:cs="Simplified Arabic"/>
          <w:sz w:val="24"/>
          <w:szCs w:val="24"/>
          <w:rtl/>
        </w:rPr>
        <w:t xml:space="preserve"> </w:t>
      </w:r>
      <w:r w:rsidRPr="005D59A7">
        <w:rPr>
          <w:rFonts w:ascii="T" w:hAnsi="T" w:cs="Simplified Arabic"/>
          <w:sz w:val="24"/>
          <w:szCs w:val="24"/>
          <w:rtl/>
        </w:rPr>
        <w:t>نتائج</w:t>
      </w:r>
      <w:r w:rsidR="004F25C0" w:rsidRPr="005D59A7">
        <w:rPr>
          <w:rFonts w:ascii="T" w:hAnsi="T" w:cs="Simplified Arabic"/>
          <w:sz w:val="24"/>
          <w:szCs w:val="24"/>
          <w:rtl/>
        </w:rPr>
        <w:t xml:space="preserve"> </w:t>
      </w:r>
      <w:r w:rsidRPr="005D59A7">
        <w:rPr>
          <w:rFonts w:ascii="T" w:hAnsi="T" w:cs="Simplified Arabic"/>
          <w:sz w:val="24"/>
          <w:szCs w:val="24"/>
          <w:rtl/>
        </w:rPr>
        <w:t>أكثر</w:t>
      </w:r>
      <w:r w:rsidR="004F25C0" w:rsidRPr="005D59A7">
        <w:rPr>
          <w:rFonts w:ascii="T" w:hAnsi="T" w:cs="Simplified Arabic"/>
          <w:sz w:val="24"/>
          <w:szCs w:val="24"/>
          <w:rtl/>
        </w:rPr>
        <w:t xml:space="preserve"> </w:t>
      </w:r>
      <w:r w:rsidRPr="005D59A7">
        <w:rPr>
          <w:rFonts w:ascii="T" w:hAnsi="T" w:cs="Simplified Arabic"/>
          <w:sz w:val="24"/>
          <w:szCs w:val="24"/>
          <w:rtl/>
        </w:rPr>
        <w:t>كفاءة</w:t>
      </w:r>
      <w:r w:rsidR="004F25C0" w:rsidRPr="005D59A7">
        <w:rPr>
          <w:rFonts w:ascii="T" w:hAnsi="T" w:cs="Simplified Arabic"/>
          <w:sz w:val="24"/>
          <w:szCs w:val="24"/>
          <w:rtl/>
        </w:rPr>
        <w:t xml:space="preserve"> </w:t>
      </w:r>
      <w:r w:rsidRPr="005D59A7">
        <w:rPr>
          <w:rFonts w:ascii="T" w:hAnsi="T" w:cs="Simplified Arabic"/>
          <w:sz w:val="24"/>
          <w:szCs w:val="24"/>
          <w:rtl/>
        </w:rPr>
        <w:t>وأعلى</w:t>
      </w:r>
      <w:r w:rsidR="004F25C0" w:rsidRPr="005D59A7">
        <w:rPr>
          <w:rFonts w:ascii="T" w:hAnsi="T" w:cs="Simplified Arabic"/>
          <w:sz w:val="24"/>
          <w:szCs w:val="24"/>
          <w:rtl/>
        </w:rPr>
        <w:t xml:space="preserve"> </w:t>
      </w:r>
      <w:r w:rsidRPr="005D59A7">
        <w:rPr>
          <w:rFonts w:ascii="T" w:hAnsi="T" w:cs="Simplified Arabic"/>
          <w:sz w:val="24"/>
          <w:szCs w:val="24"/>
          <w:rtl/>
        </w:rPr>
        <w:t>جودة</w:t>
      </w:r>
      <w:r w:rsidR="004F25C0" w:rsidRPr="005D59A7">
        <w:rPr>
          <w:rFonts w:ascii="T" w:hAnsi="T" w:cs="Simplified Arabic"/>
          <w:sz w:val="24"/>
          <w:szCs w:val="24"/>
          <w:rtl/>
        </w:rPr>
        <w:t xml:space="preserve"> </w:t>
      </w:r>
      <w:r w:rsidRPr="005D59A7">
        <w:rPr>
          <w:rFonts w:ascii="T" w:hAnsi="T" w:cs="Simplified Arabic"/>
          <w:sz w:val="24"/>
          <w:szCs w:val="24"/>
          <w:rtl/>
        </w:rPr>
        <w:t>وفي</w:t>
      </w:r>
      <w:r w:rsidR="004F25C0" w:rsidRPr="005D59A7">
        <w:rPr>
          <w:rFonts w:ascii="T" w:hAnsi="T" w:cs="Simplified Arabic"/>
          <w:sz w:val="24"/>
          <w:szCs w:val="24"/>
          <w:rtl/>
        </w:rPr>
        <w:t xml:space="preserve"> </w:t>
      </w:r>
      <w:r w:rsidRPr="005D59A7">
        <w:rPr>
          <w:rFonts w:ascii="T" w:hAnsi="T" w:cs="Simplified Arabic"/>
          <w:sz w:val="24"/>
          <w:szCs w:val="24"/>
          <w:rtl/>
        </w:rPr>
        <w:t>الوقت</w:t>
      </w:r>
      <w:r w:rsidR="004F25C0" w:rsidRPr="005D59A7">
        <w:rPr>
          <w:rFonts w:ascii="T" w:hAnsi="T" w:cs="Simplified Arabic"/>
          <w:sz w:val="24"/>
          <w:szCs w:val="24"/>
          <w:rtl/>
        </w:rPr>
        <w:t xml:space="preserve"> </w:t>
      </w:r>
      <w:r w:rsidRPr="005D59A7">
        <w:rPr>
          <w:rFonts w:ascii="T" w:hAnsi="T" w:cs="Simplified Arabic"/>
          <w:sz w:val="24"/>
          <w:szCs w:val="24"/>
          <w:rtl/>
        </w:rPr>
        <w:t>المناسب</w:t>
      </w:r>
      <w:r w:rsidR="004F25C0" w:rsidRPr="005D59A7">
        <w:rPr>
          <w:rFonts w:ascii="T" w:hAnsi="T" w:cs="Simplified Arabic"/>
          <w:sz w:val="24"/>
          <w:szCs w:val="24"/>
          <w:rtl/>
        </w:rPr>
        <w:t xml:space="preserve"> </w:t>
      </w:r>
      <w:r w:rsidRPr="005D59A7">
        <w:rPr>
          <w:rFonts w:ascii="T" w:hAnsi="T" w:cs="Simplified Arabic"/>
          <w:sz w:val="24"/>
          <w:szCs w:val="24"/>
          <w:rtl/>
        </w:rPr>
        <w:t>للمواطنين</w:t>
      </w:r>
      <w:r w:rsidR="004F25C0" w:rsidRPr="005D59A7">
        <w:rPr>
          <w:rFonts w:ascii="T" w:hAnsi="T" w:cs="Simplified Arabic"/>
          <w:sz w:val="24"/>
          <w:szCs w:val="24"/>
          <w:rtl/>
        </w:rPr>
        <w:t xml:space="preserve"> </w:t>
      </w:r>
      <w:r w:rsidRPr="005D59A7">
        <w:rPr>
          <w:rFonts w:ascii="T" w:hAnsi="T" w:cs="Simplified Arabic"/>
          <w:sz w:val="24"/>
          <w:szCs w:val="24"/>
          <w:rtl/>
        </w:rPr>
        <w:t>(</w:t>
      </w:r>
      <w:r w:rsidR="004D3152" w:rsidRPr="005D59A7">
        <w:rPr>
          <w:rFonts w:ascii="T" w:hAnsi="T" w:cs="Simplified Arabic"/>
          <w:sz w:val="24"/>
          <w:szCs w:val="24"/>
        </w:rPr>
        <w:t>PPP Aliance</w:t>
      </w:r>
      <w:r w:rsidRPr="005D59A7">
        <w:rPr>
          <w:rFonts w:ascii="T" w:hAnsi="T" w:cs="Simplified Arabic"/>
          <w:sz w:val="24"/>
          <w:szCs w:val="24"/>
        </w:rPr>
        <w:t>, 2024</w:t>
      </w:r>
      <w:r w:rsidRPr="005D59A7">
        <w:rPr>
          <w:rFonts w:ascii="T" w:hAnsi="T" w:cs="Simplified Arabic"/>
          <w:sz w:val="24"/>
          <w:szCs w:val="24"/>
          <w:rtl/>
        </w:rPr>
        <w:t>)</w:t>
      </w:r>
      <w:r w:rsidR="00A41647" w:rsidRPr="005D59A7">
        <w:rPr>
          <w:rFonts w:ascii="T" w:hAnsi="T" w:cs="Simplified Arabic"/>
          <w:sz w:val="24"/>
          <w:szCs w:val="24"/>
          <w:rtl/>
        </w:rPr>
        <w:t xml:space="preserve">. </w:t>
      </w:r>
      <w:r w:rsidR="005F48DB" w:rsidRPr="005D59A7">
        <w:rPr>
          <w:rFonts w:ascii="T" w:hAnsi="T" w:cs="Simplified Arabic"/>
          <w:sz w:val="24"/>
          <w:szCs w:val="24"/>
          <w:rtl/>
        </w:rPr>
        <w:t>وهنا تكمن الأهمية النظرية للدراسة في جوهر فعالية الشراكات بين القطاعين العام والخاص بشكل عام وفي القطاع البيئي على وجه الخصوص.</w:t>
      </w:r>
      <w:r w:rsidR="00285330" w:rsidRPr="005D59A7">
        <w:rPr>
          <w:rFonts w:ascii="T" w:hAnsi="T" w:cs="Simplified Arabic"/>
          <w:sz w:val="24"/>
          <w:szCs w:val="24"/>
        </w:rPr>
        <w:t>( Alomari,2018)</w:t>
      </w:r>
    </w:p>
    <w:p w14:paraId="3BF7AE62" w14:textId="77777777" w:rsidR="000073C4" w:rsidRPr="005D59A7" w:rsidRDefault="000073C4" w:rsidP="00F24293">
      <w:pPr>
        <w:pStyle w:val="Heading2"/>
        <w:bidi/>
        <w:rPr>
          <w:rFonts w:ascii="T" w:hAnsi="T" w:cs="Simplified Arabic"/>
          <w:b/>
          <w:bCs/>
          <w:color w:val="auto"/>
          <w:sz w:val="24"/>
          <w:szCs w:val="24"/>
          <w:rtl/>
        </w:rPr>
      </w:pPr>
      <w:bookmarkStart w:id="11" w:name="_Toc225991328"/>
      <w:r w:rsidRPr="005D59A7">
        <w:rPr>
          <w:rFonts w:ascii="T" w:hAnsi="T" w:cs="Simplified Arabic"/>
          <w:b/>
          <w:bCs/>
          <w:color w:val="auto"/>
          <w:sz w:val="24"/>
          <w:szCs w:val="24"/>
          <w:rtl/>
        </w:rPr>
        <w:t>الأهمية التطبيقية</w:t>
      </w:r>
      <w:bookmarkEnd w:id="11"/>
    </w:p>
    <w:p w14:paraId="27E9B51A" w14:textId="7B154B5F" w:rsidR="00646FBB" w:rsidRPr="005D59A7" w:rsidRDefault="00210FA3" w:rsidP="00F2429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على الرغم من التطور المشهود في الشراكة بين القطاعين العام والخاص</w:t>
      </w:r>
      <w:r w:rsidR="000073C4" w:rsidRPr="005D59A7">
        <w:rPr>
          <w:rFonts w:ascii="T" w:hAnsi="T" w:cs="Simplified Arabic"/>
          <w:sz w:val="24"/>
          <w:szCs w:val="24"/>
          <w:rtl/>
        </w:rPr>
        <w:t xml:space="preserve"> في بعض القطاعات في المملكة مثل الأمن والمرور والاتصالات وتقنية المعلومات</w:t>
      </w:r>
      <w:r w:rsidRPr="005D59A7">
        <w:rPr>
          <w:rFonts w:ascii="T" w:hAnsi="T" w:cs="Simplified Arabic"/>
          <w:sz w:val="24"/>
          <w:szCs w:val="24"/>
          <w:rtl/>
        </w:rPr>
        <w:t xml:space="preserve">، </w:t>
      </w:r>
      <w:r w:rsidR="000073C4" w:rsidRPr="005D59A7">
        <w:rPr>
          <w:rFonts w:ascii="T" w:hAnsi="T" w:cs="Simplified Arabic"/>
          <w:sz w:val="24"/>
          <w:szCs w:val="24"/>
          <w:rtl/>
        </w:rPr>
        <w:t>إلا أن القطاع البيئي</w:t>
      </w:r>
      <w:r w:rsidR="005F48DB" w:rsidRPr="005D59A7">
        <w:rPr>
          <w:rFonts w:ascii="T" w:hAnsi="T" w:cs="Simplified Arabic"/>
          <w:sz w:val="24"/>
          <w:szCs w:val="24"/>
          <w:rtl/>
        </w:rPr>
        <w:t xml:space="preserve"> بشكل عام</w:t>
      </w:r>
      <w:r w:rsidR="000073C4" w:rsidRPr="005D59A7">
        <w:rPr>
          <w:rFonts w:ascii="T" w:hAnsi="T" w:cs="Simplified Arabic"/>
          <w:sz w:val="24"/>
          <w:szCs w:val="24"/>
          <w:rtl/>
        </w:rPr>
        <w:t xml:space="preserve"> يفتقر إلى التميز التشغيلي والمشاركات الكافية بين القطاعين العام والخاص لتعظيم الإمكانات وزيادة الكفاءة وخفض التكاليف </w:t>
      </w:r>
      <w:r w:rsidR="000073C4" w:rsidRPr="005D59A7">
        <w:rPr>
          <w:rFonts w:ascii="T" w:hAnsi="T" w:cs="Simplified Arabic"/>
          <w:sz w:val="24"/>
          <w:szCs w:val="24"/>
          <w:rtl/>
        </w:rPr>
        <w:lastRenderedPageBreak/>
        <w:t xml:space="preserve">رغم </w:t>
      </w:r>
      <w:r w:rsidRPr="005D59A7">
        <w:rPr>
          <w:rFonts w:ascii="T" w:hAnsi="T" w:cs="Simplified Arabic"/>
          <w:sz w:val="24"/>
          <w:szCs w:val="24"/>
          <w:rtl/>
        </w:rPr>
        <w:t xml:space="preserve">إعادة </w:t>
      </w:r>
      <w:r w:rsidR="000073C4" w:rsidRPr="005D59A7">
        <w:rPr>
          <w:rFonts w:ascii="T" w:hAnsi="T" w:cs="Simplified Arabic"/>
          <w:sz w:val="24"/>
          <w:szCs w:val="24"/>
          <w:rtl/>
        </w:rPr>
        <w:t>ال</w:t>
      </w:r>
      <w:r w:rsidRPr="005D59A7">
        <w:rPr>
          <w:rFonts w:ascii="T" w:hAnsi="T" w:cs="Simplified Arabic"/>
          <w:sz w:val="24"/>
          <w:szCs w:val="24"/>
          <w:rtl/>
        </w:rPr>
        <w:t xml:space="preserve">هيكلة </w:t>
      </w:r>
      <w:r w:rsidR="000073C4" w:rsidRPr="005D59A7">
        <w:rPr>
          <w:rFonts w:ascii="T" w:hAnsi="T" w:cs="Simplified Arabic"/>
          <w:sz w:val="24"/>
          <w:szCs w:val="24"/>
          <w:rtl/>
        </w:rPr>
        <w:t>التي مر بها</w:t>
      </w:r>
      <w:r w:rsidRPr="005D59A7">
        <w:rPr>
          <w:rFonts w:ascii="T" w:hAnsi="T" w:cs="Simplified Arabic"/>
          <w:sz w:val="24"/>
          <w:szCs w:val="24"/>
          <w:rtl/>
        </w:rPr>
        <w:t>، فإنه ووفقًا</w:t>
      </w:r>
      <w:r w:rsidR="004F25C0" w:rsidRPr="005D59A7">
        <w:rPr>
          <w:rFonts w:ascii="T" w:hAnsi="T" w:cs="Simplified Arabic"/>
          <w:sz w:val="24"/>
          <w:szCs w:val="24"/>
          <w:rtl/>
        </w:rPr>
        <w:t xml:space="preserve"> </w:t>
      </w:r>
      <w:r w:rsidRPr="005D59A7">
        <w:rPr>
          <w:rFonts w:ascii="T" w:hAnsi="T" w:cs="Simplified Arabic"/>
          <w:sz w:val="24"/>
          <w:szCs w:val="24"/>
          <w:rtl/>
        </w:rPr>
        <w:t>للعديد</w:t>
      </w:r>
      <w:r w:rsidR="004F25C0" w:rsidRPr="005D59A7">
        <w:rPr>
          <w:rFonts w:ascii="T" w:hAnsi="T" w:cs="Simplified Arabic"/>
          <w:sz w:val="24"/>
          <w:szCs w:val="24"/>
          <w:rtl/>
        </w:rPr>
        <w:t xml:space="preserve"> </w:t>
      </w:r>
      <w:r w:rsidRPr="005D59A7">
        <w:rPr>
          <w:rFonts w:ascii="T" w:hAnsi="T" w:cs="Simplified Arabic"/>
          <w:sz w:val="24"/>
          <w:szCs w:val="24"/>
          <w:rtl/>
        </w:rPr>
        <w:t>من</w:t>
      </w:r>
      <w:r w:rsidR="004F25C0" w:rsidRPr="005D59A7">
        <w:rPr>
          <w:rFonts w:ascii="T" w:hAnsi="T" w:cs="Simplified Arabic"/>
          <w:sz w:val="24"/>
          <w:szCs w:val="24"/>
          <w:rtl/>
        </w:rPr>
        <w:t xml:space="preserve"> </w:t>
      </w:r>
      <w:r w:rsidR="00410D73" w:rsidRPr="005D59A7">
        <w:rPr>
          <w:rFonts w:ascii="T" w:hAnsi="T" w:cs="Simplified Arabic"/>
          <w:sz w:val="24"/>
          <w:szCs w:val="24"/>
          <w:rtl/>
        </w:rPr>
        <w:t>الدراسات،</w:t>
      </w:r>
      <w:r w:rsidRPr="005D59A7">
        <w:rPr>
          <w:rFonts w:ascii="T" w:hAnsi="T" w:cs="Simplified Arabic"/>
          <w:sz w:val="24"/>
          <w:szCs w:val="24"/>
          <w:rtl/>
        </w:rPr>
        <w:t xml:space="preserve"> ونظراً</w:t>
      </w:r>
      <w:r w:rsidR="004F25C0" w:rsidRPr="005D59A7">
        <w:rPr>
          <w:rFonts w:ascii="T" w:hAnsi="T" w:cs="Simplified Arabic"/>
          <w:sz w:val="24"/>
          <w:szCs w:val="24"/>
          <w:rtl/>
        </w:rPr>
        <w:t xml:space="preserve"> </w:t>
      </w:r>
      <w:r w:rsidRPr="005D59A7">
        <w:rPr>
          <w:rFonts w:ascii="T" w:hAnsi="T" w:cs="Simplified Arabic"/>
          <w:sz w:val="24"/>
          <w:szCs w:val="24"/>
          <w:rtl/>
        </w:rPr>
        <w:t>لطبيعتها،</w:t>
      </w:r>
      <w:r w:rsidR="004F25C0" w:rsidRPr="005D59A7">
        <w:rPr>
          <w:rFonts w:ascii="T" w:hAnsi="T" w:cs="Simplified Arabic"/>
          <w:sz w:val="24"/>
          <w:szCs w:val="24"/>
          <w:rtl/>
        </w:rPr>
        <w:t xml:space="preserve"> </w:t>
      </w:r>
      <w:r w:rsidRPr="005D59A7">
        <w:rPr>
          <w:rFonts w:ascii="T" w:hAnsi="T" w:cs="Simplified Arabic"/>
          <w:sz w:val="24"/>
          <w:szCs w:val="24"/>
          <w:rtl/>
        </w:rPr>
        <w:t>تواجه</w:t>
      </w:r>
      <w:r w:rsidR="004F25C0" w:rsidRPr="005D59A7">
        <w:rPr>
          <w:rFonts w:ascii="T" w:hAnsi="T" w:cs="Simplified Arabic"/>
          <w:sz w:val="24"/>
          <w:szCs w:val="24"/>
          <w:rtl/>
        </w:rPr>
        <w:t xml:space="preserve"> </w:t>
      </w:r>
      <w:r w:rsidRPr="005D59A7">
        <w:rPr>
          <w:rFonts w:ascii="T" w:hAnsi="T" w:cs="Simplified Arabic"/>
          <w:sz w:val="24"/>
          <w:szCs w:val="24"/>
          <w:rtl/>
        </w:rPr>
        <w:t>المملكة عدة</w:t>
      </w:r>
      <w:r w:rsidR="004F25C0" w:rsidRPr="005D59A7">
        <w:rPr>
          <w:rFonts w:ascii="T" w:hAnsi="T" w:cs="Simplified Arabic"/>
          <w:sz w:val="24"/>
          <w:szCs w:val="24"/>
          <w:rtl/>
        </w:rPr>
        <w:t xml:space="preserve"> </w:t>
      </w:r>
      <w:r w:rsidRPr="005D59A7">
        <w:rPr>
          <w:rFonts w:ascii="T" w:hAnsi="T" w:cs="Simplified Arabic"/>
          <w:sz w:val="24"/>
          <w:szCs w:val="24"/>
          <w:rtl/>
        </w:rPr>
        <w:t>تحديات</w:t>
      </w:r>
      <w:r w:rsidR="004F25C0" w:rsidRPr="005D59A7">
        <w:rPr>
          <w:rFonts w:ascii="T" w:hAnsi="T" w:cs="Simplified Arabic"/>
          <w:sz w:val="24"/>
          <w:szCs w:val="24"/>
          <w:rtl/>
        </w:rPr>
        <w:t xml:space="preserve"> </w:t>
      </w:r>
      <w:r w:rsidRPr="005D59A7">
        <w:rPr>
          <w:rFonts w:ascii="T" w:hAnsi="T" w:cs="Simplified Arabic"/>
          <w:sz w:val="24"/>
          <w:szCs w:val="24"/>
          <w:rtl/>
        </w:rPr>
        <w:t>بيئية</w:t>
      </w:r>
      <w:r w:rsidR="004F25C0" w:rsidRPr="005D59A7">
        <w:rPr>
          <w:rFonts w:ascii="T" w:hAnsi="T" w:cs="Simplified Arabic"/>
          <w:sz w:val="24"/>
          <w:szCs w:val="24"/>
          <w:rtl/>
        </w:rPr>
        <w:t xml:space="preserve"> </w:t>
      </w:r>
      <w:r w:rsidRPr="005D59A7">
        <w:rPr>
          <w:rFonts w:ascii="T" w:hAnsi="T" w:cs="Simplified Arabic"/>
          <w:sz w:val="24"/>
          <w:szCs w:val="24"/>
          <w:rtl/>
        </w:rPr>
        <w:t>جسيمة،</w:t>
      </w:r>
      <w:r w:rsidR="004F25C0" w:rsidRPr="005D59A7">
        <w:rPr>
          <w:rFonts w:ascii="T" w:hAnsi="T" w:cs="Simplified Arabic"/>
          <w:sz w:val="24"/>
          <w:szCs w:val="24"/>
          <w:rtl/>
        </w:rPr>
        <w:t xml:space="preserve"> </w:t>
      </w:r>
      <w:r w:rsidRPr="005D59A7">
        <w:rPr>
          <w:rFonts w:ascii="T" w:hAnsi="T" w:cs="Simplified Arabic"/>
          <w:sz w:val="24"/>
          <w:szCs w:val="24"/>
          <w:rtl/>
        </w:rPr>
        <w:t xml:space="preserve">منها </w:t>
      </w:r>
      <w:r w:rsidR="00285330" w:rsidRPr="005D59A7">
        <w:rPr>
          <w:rFonts w:ascii="T" w:hAnsi="T" w:cs="Simplified Arabic"/>
          <w:sz w:val="24"/>
          <w:szCs w:val="24"/>
        </w:rPr>
        <w:t>(liu,et al ,2021)</w:t>
      </w:r>
      <w:r w:rsidRPr="005D59A7">
        <w:rPr>
          <w:rFonts w:ascii="T" w:hAnsi="T" w:cs="Simplified Arabic"/>
          <w:sz w:val="24"/>
          <w:szCs w:val="24"/>
          <w:rtl/>
        </w:rPr>
        <w:t>:</w:t>
      </w:r>
    </w:p>
    <w:p w14:paraId="570C34AF"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ندرة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المياه: تُمثل</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تحدياً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كبيراً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باعتبار أن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المنطقة الجغرافية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قاحلة،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مما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يؤدي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إلى</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الاعتماد</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الكبير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على</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تحلية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المياه (وهي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عملية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كثيفة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الاستهلاك</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للطاقة) والمياه</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الجوفية.</w:t>
      </w:r>
    </w:p>
    <w:p w14:paraId="0A4E04D4"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تلوث</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الهواء</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والماء</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والتربة: ينجم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عن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الأنشطة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الصناعية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والتوسع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الحضري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وقضايا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إدارة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النفايات والتصحر.</w:t>
      </w:r>
    </w:p>
    <w:p w14:paraId="6E1BF807"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التصحر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وتدهور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الأراضي: يتفاقمان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بسبب</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المناخ</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والرعي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الجائر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والاستخدام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المستدام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للأراضي.</w:t>
      </w:r>
    </w:p>
    <w:p w14:paraId="42071B87" w14:textId="77777777" w:rsidR="00210FA3"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فقدان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التنوع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البيولوجي: معظم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النظم</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البيئية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المتنوعة مهددة،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بما</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في</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ذلك</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الحياة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البرية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والبحرية.</w:t>
      </w:r>
    </w:p>
    <w:p w14:paraId="25B7F4F8" w14:textId="77777777" w:rsidR="00AA4970" w:rsidRPr="005D59A7" w:rsidRDefault="00210FA3" w:rsidP="0045581D">
      <w:pPr>
        <w:pStyle w:val="ListParagraph"/>
        <w:numPr>
          <w:ilvl w:val="0"/>
          <w:numId w:val="1"/>
        </w:numPr>
        <w:bidi/>
        <w:spacing w:after="200" w:line="360" w:lineRule="auto"/>
        <w:ind w:left="84" w:firstLine="720"/>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آثار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المناخ: من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المتوقع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أن</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يتأثر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الشرق</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الأوسط</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بشدة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بارتفاع</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درجات</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الحرارة،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وتغير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أنماط</w:t>
      </w:r>
      <w:r w:rsidR="00AA4970" w:rsidRPr="005D59A7">
        <w:rPr>
          <w:rFonts w:ascii="T" w:hAnsi="T" w:cs="Simplified Arabic"/>
          <w:sz w:val="24"/>
          <w:szCs w:val="24"/>
          <w:shd w:val="clear" w:color="auto" w:fill="FFFFFF"/>
          <w:rtl/>
        </w:rPr>
        <w:t xml:space="preserve"> هطول ا</w:t>
      </w:r>
      <w:r w:rsidRPr="005D59A7">
        <w:rPr>
          <w:rFonts w:ascii="T" w:hAnsi="T" w:cs="Simplified Arabic"/>
          <w:sz w:val="24"/>
          <w:szCs w:val="24"/>
          <w:shd w:val="clear" w:color="auto" w:fill="FFFFFF"/>
          <w:rtl/>
        </w:rPr>
        <w:t>لأمطار،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وزيادة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وتيرة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الظواهر</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الجوية</w:t>
      </w:r>
      <w:r w:rsidR="00AA4970" w:rsidRPr="005D59A7">
        <w:rPr>
          <w:rFonts w:ascii="T" w:hAnsi="T" w:cs="Simplified Arabic"/>
          <w:sz w:val="24"/>
          <w:szCs w:val="24"/>
          <w:shd w:val="clear" w:color="auto" w:fill="FFFFFF"/>
          <w:rtl/>
        </w:rPr>
        <w:t xml:space="preserve"> </w:t>
      </w:r>
      <w:r w:rsidRPr="005D59A7">
        <w:rPr>
          <w:rFonts w:ascii="T" w:hAnsi="T" w:cs="Simplified Arabic"/>
          <w:sz w:val="24"/>
          <w:szCs w:val="24"/>
          <w:shd w:val="clear" w:color="auto" w:fill="FFFFFF"/>
          <w:rtl/>
        </w:rPr>
        <w:t>المتطرفة.</w:t>
      </w:r>
    </w:p>
    <w:p w14:paraId="5CC8A264" w14:textId="77777777"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تشكل</w:t>
      </w:r>
      <w:r w:rsidR="00AA4970" w:rsidRPr="005D59A7">
        <w:rPr>
          <w:rFonts w:ascii="T" w:hAnsi="T" w:cs="Simplified Arabic"/>
          <w:sz w:val="24"/>
          <w:szCs w:val="24"/>
          <w:rtl/>
        </w:rPr>
        <w:t xml:space="preserve"> </w:t>
      </w:r>
      <w:r w:rsidRPr="005D59A7">
        <w:rPr>
          <w:rFonts w:ascii="T" w:hAnsi="T" w:cs="Simplified Arabic"/>
          <w:sz w:val="24"/>
          <w:szCs w:val="24"/>
          <w:rtl/>
        </w:rPr>
        <w:t>مشكلة</w:t>
      </w:r>
      <w:r w:rsidR="00AA4970" w:rsidRPr="005D59A7">
        <w:rPr>
          <w:rFonts w:ascii="T" w:hAnsi="T" w:cs="Simplified Arabic"/>
          <w:sz w:val="24"/>
          <w:szCs w:val="24"/>
          <w:rtl/>
        </w:rPr>
        <w:t xml:space="preserve"> </w:t>
      </w:r>
      <w:r w:rsidRPr="005D59A7">
        <w:rPr>
          <w:rFonts w:ascii="T" w:hAnsi="T" w:cs="Simplified Arabic"/>
          <w:sz w:val="24"/>
          <w:szCs w:val="24"/>
          <w:rtl/>
        </w:rPr>
        <w:t>ظاهرة</w:t>
      </w:r>
      <w:r w:rsidR="00AA4970" w:rsidRPr="005D59A7">
        <w:rPr>
          <w:rFonts w:ascii="T" w:hAnsi="T" w:cs="Simplified Arabic"/>
          <w:sz w:val="24"/>
          <w:szCs w:val="24"/>
          <w:rtl/>
        </w:rPr>
        <w:t xml:space="preserve"> </w:t>
      </w:r>
      <w:r w:rsidRPr="005D59A7">
        <w:rPr>
          <w:rFonts w:ascii="T" w:hAnsi="T" w:cs="Simplified Arabic"/>
          <w:sz w:val="24"/>
          <w:szCs w:val="24"/>
          <w:rtl/>
        </w:rPr>
        <w:t>التصحر</w:t>
      </w:r>
      <w:r w:rsidR="00AA4970" w:rsidRPr="005D59A7">
        <w:rPr>
          <w:rFonts w:ascii="T" w:hAnsi="T" w:cs="Simplified Arabic"/>
          <w:sz w:val="24"/>
          <w:szCs w:val="24"/>
          <w:rtl/>
        </w:rPr>
        <w:t xml:space="preserve"> </w:t>
      </w:r>
      <w:r w:rsidRPr="005D59A7">
        <w:rPr>
          <w:rFonts w:ascii="T" w:hAnsi="T" w:cs="Simplified Arabic"/>
          <w:sz w:val="24"/>
          <w:szCs w:val="24"/>
          <w:rtl/>
        </w:rPr>
        <w:t>والاعتماد</w:t>
      </w:r>
      <w:r w:rsidR="00AA4970" w:rsidRPr="005D59A7">
        <w:rPr>
          <w:rFonts w:ascii="T" w:hAnsi="T" w:cs="Simplified Arabic"/>
          <w:sz w:val="24"/>
          <w:szCs w:val="24"/>
          <w:rtl/>
        </w:rPr>
        <w:t xml:space="preserve"> </w:t>
      </w:r>
      <w:r w:rsidRPr="005D59A7">
        <w:rPr>
          <w:rFonts w:ascii="T" w:hAnsi="T" w:cs="Simplified Arabic"/>
          <w:sz w:val="24"/>
          <w:szCs w:val="24"/>
          <w:rtl/>
        </w:rPr>
        <w:t>الاقتصادي</w:t>
      </w:r>
      <w:r w:rsidR="00AA4970" w:rsidRPr="005D59A7">
        <w:rPr>
          <w:rFonts w:ascii="T" w:hAnsi="T" w:cs="Simplified Arabic"/>
          <w:sz w:val="24"/>
          <w:szCs w:val="24"/>
          <w:rtl/>
        </w:rPr>
        <w:t xml:space="preserve"> </w:t>
      </w:r>
      <w:r w:rsidRPr="005D59A7">
        <w:rPr>
          <w:rFonts w:ascii="T" w:hAnsi="T" w:cs="Simplified Arabic"/>
          <w:sz w:val="24"/>
          <w:szCs w:val="24"/>
          <w:rtl/>
        </w:rPr>
        <w:t>على</w:t>
      </w:r>
      <w:r w:rsidR="00AA4970" w:rsidRPr="005D59A7">
        <w:rPr>
          <w:rFonts w:ascii="T" w:hAnsi="T" w:cs="Simplified Arabic"/>
          <w:sz w:val="24"/>
          <w:szCs w:val="24"/>
          <w:rtl/>
        </w:rPr>
        <w:t xml:space="preserve"> </w:t>
      </w:r>
      <w:r w:rsidRPr="005D59A7">
        <w:rPr>
          <w:rFonts w:ascii="T" w:hAnsi="T" w:cs="Simplified Arabic"/>
          <w:sz w:val="24"/>
          <w:szCs w:val="24"/>
          <w:rtl/>
        </w:rPr>
        <w:t>النفط مخاوف</w:t>
      </w:r>
      <w:r w:rsidR="00AA4970" w:rsidRPr="005D59A7">
        <w:rPr>
          <w:rFonts w:ascii="T" w:hAnsi="T" w:cs="Simplified Arabic"/>
          <w:sz w:val="24"/>
          <w:szCs w:val="24"/>
          <w:rtl/>
        </w:rPr>
        <w:t xml:space="preserve"> </w:t>
      </w:r>
      <w:r w:rsidRPr="005D59A7">
        <w:rPr>
          <w:rFonts w:ascii="T" w:hAnsi="T" w:cs="Simplified Arabic"/>
          <w:sz w:val="24"/>
          <w:szCs w:val="24"/>
          <w:rtl/>
        </w:rPr>
        <w:t>اقتصادية</w:t>
      </w:r>
      <w:r w:rsidR="00AA4970" w:rsidRPr="005D59A7">
        <w:rPr>
          <w:rFonts w:ascii="T" w:hAnsi="T" w:cs="Simplified Arabic"/>
          <w:sz w:val="24"/>
          <w:szCs w:val="24"/>
          <w:rtl/>
        </w:rPr>
        <w:t xml:space="preserve"> </w:t>
      </w:r>
      <w:r w:rsidRPr="005D59A7">
        <w:rPr>
          <w:rFonts w:ascii="T" w:hAnsi="T" w:cs="Simplified Arabic"/>
          <w:sz w:val="24"/>
          <w:szCs w:val="24"/>
          <w:rtl/>
        </w:rPr>
        <w:t>جسيمة</w:t>
      </w:r>
      <w:r w:rsidR="00AA4970" w:rsidRPr="005D59A7">
        <w:rPr>
          <w:rFonts w:ascii="T" w:hAnsi="T" w:cs="Simplified Arabic"/>
          <w:sz w:val="24"/>
          <w:szCs w:val="24"/>
          <w:rtl/>
        </w:rPr>
        <w:t xml:space="preserve"> </w:t>
      </w:r>
      <w:r w:rsidRPr="005D59A7">
        <w:rPr>
          <w:rFonts w:ascii="T" w:hAnsi="T" w:cs="Simplified Arabic"/>
          <w:sz w:val="24"/>
          <w:szCs w:val="24"/>
          <w:rtl/>
        </w:rPr>
        <w:t>وتعد أيضا</w:t>
      </w:r>
      <w:r w:rsidR="00AA4970" w:rsidRPr="005D59A7">
        <w:rPr>
          <w:rFonts w:ascii="T" w:hAnsi="T" w:cs="Simplified Arabic"/>
          <w:sz w:val="24"/>
          <w:szCs w:val="24"/>
          <w:rtl/>
        </w:rPr>
        <w:t xml:space="preserve"> </w:t>
      </w:r>
      <w:r w:rsidRPr="005D59A7">
        <w:rPr>
          <w:rFonts w:ascii="T" w:hAnsi="T" w:cs="Simplified Arabic"/>
          <w:sz w:val="24"/>
          <w:szCs w:val="24"/>
          <w:rtl/>
        </w:rPr>
        <w:t>أمراً</w:t>
      </w:r>
      <w:r w:rsidR="00AA4970" w:rsidRPr="005D59A7">
        <w:rPr>
          <w:rFonts w:ascii="T" w:hAnsi="T" w:cs="Simplified Arabic"/>
          <w:sz w:val="24"/>
          <w:szCs w:val="24"/>
          <w:rtl/>
        </w:rPr>
        <w:t xml:space="preserve"> </w:t>
      </w:r>
      <w:r w:rsidRPr="005D59A7">
        <w:rPr>
          <w:rFonts w:ascii="T" w:hAnsi="T" w:cs="Simplified Arabic"/>
          <w:sz w:val="24"/>
          <w:szCs w:val="24"/>
          <w:rtl/>
        </w:rPr>
        <w:t>مقلقاً</w:t>
      </w:r>
      <w:r w:rsidR="00AA4970" w:rsidRPr="005D59A7">
        <w:rPr>
          <w:rFonts w:ascii="T" w:hAnsi="T" w:cs="Simplified Arabic"/>
          <w:sz w:val="24"/>
          <w:szCs w:val="24"/>
          <w:rtl/>
        </w:rPr>
        <w:t xml:space="preserve"> </w:t>
      </w:r>
      <w:r w:rsidRPr="005D59A7">
        <w:rPr>
          <w:rFonts w:ascii="T" w:hAnsi="T" w:cs="Simplified Arabic"/>
          <w:sz w:val="24"/>
          <w:szCs w:val="24"/>
          <w:rtl/>
        </w:rPr>
        <w:t>يزيد</w:t>
      </w:r>
      <w:r w:rsidR="00AA4970" w:rsidRPr="005D59A7">
        <w:rPr>
          <w:rFonts w:ascii="T" w:hAnsi="T" w:cs="Simplified Arabic"/>
          <w:sz w:val="24"/>
          <w:szCs w:val="24"/>
          <w:rtl/>
        </w:rPr>
        <w:t xml:space="preserve"> </w:t>
      </w:r>
      <w:r w:rsidRPr="005D59A7">
        <w:rPr>
          <w:rFonts w:ascii="T" w:hAnsi="T" w:cs="Simplified Arabic"/>
          <w:sz w:val="24"/>
          <w:szCs w:val="24"/>
          <w:rtl/>
        </w:rPr>
        <w:t>من</w:t>
      </w:r>
      <w:r w:rsidR="00AA4970" w:rsidRPr="005D59A7">
        <w:rPr>
          <w:rFonts w:ascii="T" w:hAnsi="T" w:cs="Simplified Arabic"/>
          <w:sz w:val="24"/>
          <w:szCs w:val="24"/>
          <w:rtl/>
        </w:rPr>
        <w:t xml:space="preserve"> </w:t>
      </w:r>
      <w:r w:rsidRPr="005D59A7">
        <w:rPr>
          <w:rFonts w:ascii="T" w:hAnsi="T" w:cs="Simplified Arabic"/>
          <w:sz w:val="24"/>
          <w:szCs w:val="24"/>
          <w:rtl/>
        </w:rPr>
        <w:t>أعباء</w:t>
      </w:r>
      <w:r w:rsidR="00AA4970" w:rsidRPr="005D59A7">
        <w:rPr>
          <w:rFonts w:ascii="T" w:hAnsi="T" w:cs="Simplified Arabic"/>
          <w:sz w:val="24"/>
          <w:szCs w:val="24"/>
          <w:rtl/>
        </w:rPr>
        <w:t xml:space="preserve"> </w:t>
      </w:r>
      <w:r w:rsidRPr="005D59A7">
        <w:rPr>
          <w:rFonts w:ascii="T" w:hAnsi="T" w:cs="Simplified Arabic"/>
          <w:sz w:val="24"/>
          <w:szCs w:val="24"/>
          <w:rtl/>
        </w:rPr>
        <w:t>الأجهزة</w:t>
      </w:r>
      <w:r w:rsidR="00AA4970" w:rsidRPr="005D59A7">
        <w:rPr>
          <w:rFonts w:ascii="T" w:hAnsi="T" w:cs="Simplified Arabic"/>
          <w:sz w:val="24"/>
          <w:szCs w:val="24"/>
          <w:rtl/>
        </w:rPr>
        <w:t xml:space="preserve"> </w:t>
      </w:r>
      <w:r w:rsidRPr="005D59A7">
        <w:rPr>
          <w:rFonts w:ascii="T" w:hAnsi="T" w:cs="Simplified Arabic"/>
          <w:sz w:val="24"/>
          <w:szCs w:val="24"/>
          <w:rtl/>
        </w:rPr>
        <w:t>القائمة</w:t>
      </w:r>
      <w:r w:rsidR="00AA4970" w:rsidRPr="005D59A7">
        <w:rPr>
          <w:rFonts w:ascii="T" w:hAnsi="T" w:cs="Simplified Arabic"/>
          <w:sz w:val="24"/>
          <w:szCs w:val="24"/>
          <w:rtl/>
        </w:rPr>
        <w:t xml:space="preserve"> </w:t>
      </w:r>
      <w:r w:rsidRPr="005D59A7">
        <w:rPr>
          <w:rFonts w:ascii="T" w:hAnsi="T" w:cs="Simplified Arabic"/>
          <w:sz w:val="24"/>
          <w:szCs w:val="24"/>
          <w:rtl/>
        </w:rPr>
        <w:t>على</w:t>
      </w:r>
      <w:r w:rsidR="00AA4970" w:rsidRPr="005D59A7">
        <w:rPr>
          <w:rFonts w:ascii="T" w:hAnsi="T" w:cs="Simplified Arabic"/>
          <w:sz w:val="24"/>
          <w:szCs w:val="24"/>
          <w:rtl/>
        </w:rPr>
        <w:t xml:space="preserve"> </w:t>
      </w:r>
      <w:r w:rsidRPr="005D59A7">
        <w:rPr>
          <w:rFonts w:ascii="T" w:hAnsi="T" w:cs="Simplified Arabic"/>
          <w:sz w:val="24"/>
          <w:szCs w:val="24"/>
          <w:rtl/>
        </w:rPr>
        <w:t>مكافحة هذه</w:t>
      </w:r>
      <w:r w:rsidR="00AA4970" w:rsidRPr="005D59A7">
        <w:rPr>
          <w:rFonts w:ascii="T" w:hAnsi="T" w:cs="Simplified Arabic"/>
          <w:sz w:val="24"/>
          <w:szCs w:val="24"/>
          <w:rtl/>
        </w:rPr>
        <w:t xml:space="preserve"> </w:t>
      </w:r>
      <w:r w:rsidRPr="005D59A7">
        <w:rPr>
          <w:rFonts w:ascii="T" w:hAnsi="T" w:cs="Simplified Arabic"/>
          <w:sz w:val="24"/>
          <w:szCs w:val="24"/>
          <w:rtl/>
        </w:rPr>
        <w:t>الظواهر</w:t>
      </w:r>
      <w:r w:rsidR="00AA4970" w:rsidRPr="005D59A7">
        <w:rPr>
          <w:rFonts w:ascii="T" w:hAnsi="T" w:cs="Simplified Arabic"/>
          <w:sz w:val="24"/>
          <w:szCs w:val="24"/>
          <w:rtl/>
        </w:rPr>
        <w:t xml:space="preserve"> </w:t>
      </w:r>
      <w:r w:rsidRPr="005D59A7">
        <w:rPr>
          <w:rFonts w:ascii="T" w:hAnsi="T" w:cs="Simplified Arabic"/>
          <w:sz w:val="24"/>
          <w:szCs w:val="24"/>
          <w:rtl/>
        </w:rPr>
        <w:t>الطبيعية. عليه، فقد</w:t>
      </w:r>
      <w:r w:rsidR="00AA4970" w:rsidRPr="005D59A7">
        <w:rPr>
          <w:rFonts w:ascii="T" w:hAnsi="T" w:cs="Simplified Arabic"/>
          <w:sz w:val="24"/>
          <w:szCs w:val="24"/>
          <w:rtl/>
        </w:rPr>
        <w:t xml:space="preserve"> </w:t>
      </w:r>
      <w:r w:rsidRPr="005D59A7">
        <w:rPr>
          <w:rFonts w:ascii="T" w:hAnsi="T" w:cs="Simplified Arabic"/>
          <w:sz w:val="24"/>
          <w:szCs w:val="24"/>
          <w:rtl/>
        </w:rPr>
        <w:t>وضعت</w:t>
      </w:r>
      <w:r w:rsidR="00AA4970" w:rsidRPr="005D59A7">
        <w:rPr>
          <w:rFonts w:ascii="T" w:hAnsi="T" w:cs="Simplified Arabic"/>
          <w:sz w:val="24"/>
          <w:szCs w:val="24"/>
          <w:rtl/>
        </w:rPr>
        <w:t xml:space="preserve"> </w:t>
      </w:r>
      <w:r w:rsidRPr="005D59A7">
        <w:rPr>
          <w:rFonts w:ascii="T" w:hAnsi="T" w:cs="Simplified Arabic"/>
          <w:sz w:val="24"/>
          <w:szCs w:val="24"/>
          <w:rtl/>
        </w:rPr>
        <w:t>عدة</w:t>
      </w:r>
      <w:r w:rsidR="00AA4970" w:rsidRPr="005D59A7">
        <w:rPr>
          <w:rFonts w:ascii="T" w:hAnsi="T" w:cs="Simplified Arabic"/>
          <w:sz w:val="24"/>
          <w:szCs w:val="24"/>
          <w:rtl/>
        </w:rPr>
        <w:t xml:space="preserve"> </w:t>
      </w:r>
      <w:r w:rsidRPr="005D59A7">
        <w:rPr>
          <w:rFonts w:ascii="T" w:hAnsi="T" w:cs="Simplified Arabic"/>
          <w:sz w:val="24"/>
          <w:szCs w:val="24"/>
          <w:rtl/>
        </w:rPr>
        <w:t>دراسات</w:t>
      </w:r>
      <w:r w:rsidR="00AA4970" w:rsidRPr="005D59A7">
        <w:rPr>
          <w:rFonts w:ascii="T" w:hAnsi="T" w:cs="Simplified Arabic"/>
          <w:sz w:val="24"/>
          <w:szCs w:val="24"/>
          <w:rtl/>
        </w:rPr>
        <w:t xml:space="preserve"> </w:t>
      </w:r>
      <w:r w:rsidRPr="005D59A7">
        <w:rPr>
          <w:rFonts w:ascii="T" w:hAnsi="T" w:cs="Simplified Arabic"/>
          <w:sz w:val="24"/>
          <w:szCs w:val="24"/>
          <w:rtl/>
        </w:rPr>
        <w:t>سابقة</w:t>
      </w:r>
      <w:r w:rsidR="00AA4970" w:rsidRPr="005D59A7">
        <w:rPr>
          <w:rFonts w:ascii="T" w:hAnsi="T" w:cs="Simplified Arabic"/>
          <w:sz w:val="24"/>
          <w:szCs w:val="24"/>
          <w:rtl/>
        </w:rPr>
        <w:t xml:space="preserve"> </w:t>
      </w:r>
      <w:r w:rsidRPr="005D59A7">
        <w:rPr>
          <w:rFonts w:ascii="T" w:hAnsi="T" w:cs="Simplified Arabic"/>
          <w:sz w:val="24"/>
          <w:szCs w:val="24"/>
          <w:rtl/>
        </w:rPr>
        <w:t>التقديرات</w:t>
      </w:r>
      <w:r w:rsidR="00AA4970" w:rsidRPr="005D59A7">
        <w:rPr>
          <w:rFonts w:ascii="T" w:hAnsi="T" w:cs="Simplified Arabic"/>
          <w:sz w:val="24"/>
          <w:szCs w:val="24"/>
          <w:rtl/>
        </w:rPr>
        <w:t xml:space="preserve"> </w:t>
      </w:r>
      <w:r w:rsidRPr="005D59A7">
        <w:rPr>
          <w:rFonts w:ascii="T" w:hAnsi="T" w:cs="Simplified Arabic"/>
          <w:sz w:val="24"/>
          <w:szCs w:val="24"/>
          <w:rtl/>
        </w:rPr>
        <w:t>المناسبة</w:t>
      </w:r>
      <w:r w:rsidR="00AA4970" w:rsidRPr="005D59A7">
        <w:rPr>
          <w:rFonts w:ascii="T" w:hAnsi="T" w:cs="Simplified Arabic"/>
          <w:sz w:val="24"/>
          <w:szCs w:val="24"/>
          <w:rtl/>
        </w:rPr>
        <w:t xml:space="preserve"> </w:t>
      </w:r>
      <w:r w:rsidRPr="005D59A7">
        <w:rPr>
          <w:rFonts w:ascii="T" w:hAnsi="T" w:cs="Simplified Arabic"/>
          <w:sz w:val="24"/>
          <w:szCs w:val="24"/>
          <w:rtl/>
        </w:rPr>
        <w:t>لتقييم</w:t>
      </w:r>
      <w:r w:rsidR="00AA4970" w:rsidRPr="005D59A7">
        <w:rPr>
          <w:rFonts w:ascii="T" w:hAnsi="T" w:cs="Simplified Arabic"/>
          <w:sz w:val="24"/>
          <w:szCs w:val="24"/>
          <w:rtl/>
        </w:rPr>
        <w:t xml:space="preserve"> </w:t>
      </w:r>
      <w:r w:rsidRPr="005D59A7">
        <w:rPr>
          <w:rFonts w:ascii="T" w:hAnsi="T" w:cs="Simplified Arabic"/>
          <w:sz w:val="24"/>
          <w:szCs w:val="24"/>
          <w:rtl/>
        </w:rPr>
        <w:t>تكلفة</w:t>
      </w:r>
      <w:r w:rsidR="00AA4970" w:rsidRPr="005D59A7">
        <w:rPr>
          <w:rFonts w:ascii="T" w:hAnsi="T" w:cs="Simplified Arabic"/>
          <w:sz w:val="24"/>
          <w:szCs w:val="24"/>
          <w:rtl/>
        </w:rPr>
        <w:t xml:space="preserve"> </w:t>
      </w:r>
      <w:r w:rsidRPr="005D59A7">
        <w:rPr>
          <w:rFonts w:ascii="T" w:hAnsi="T" w:cs="Simplified Arabic"/>
          <w:sz w:val="24"/>
          <w:szCs w:val="24"/>
          <w:rtl/>
        </w:rPr>
        <w:t>التدهور</w:t>
      </w:r>
      <w:r w:rsidR="00AA4970" w:rsidRPr="005D59A7">
        <w:rPr>
          <w:rFonts w:ascii="T" w:hAnsi="T" w:cs="Simplified Arabic"/>
          <w:sz w:val="24"/>
          <w:szCs w:val="24"/>
          <w:rtl/>
        </w:rPr>
        <w:t xml:space="preserve"> </w:t>
      </w:r>
      <w:r w:rsidRPr="005D59A7">
        <w:rPr>
          <w:rFonts w:ascii="T" w:hAnsi="T" w:cs="Simplified Arabic"/>
          <w:sz w:val="24"/>
          <w:szCs w:val="24"/>
          <w:rtl/>
        </w:rPr>
        <w:t>البيئي</w:t>
      </w:r>
      <w:r w:rsidR="00AA4970" w:rsidRPr="005D59A7">
        <w:rPr>
          <w:rFonts w:ascii="T" w:hAnsi="T" w:cs="Simplified Arabic"/>
          <w:sz w:val="24"/>
          <w:szCs w:val="24"/>
          <w:rtl/>
        </w:rPr>
        <w:t xml:space="preserve"> </w:t>
      </w:r>
      <w:r w:rsidRPr="005D59A7">
        <w:rPr>
          <w:rFonts w:ascii="T" w:hAnsi="T" w:cs="Simplified Arabic"/>
          <w:sz w:val="24"/>
          <w:szCs w:val="24"/>
          <w:rtl/>
        </w:rPr>
        <w:t>في</w:t>
      </w:r>
      <w:r w:rsidR="00AA4970" w:rsidRPr="005D59A7">
        <w:rPr>
          <w:rFonts w:ascii="T" w:hAnsi="T" w:cs="Simplified Arabic"/>
          <w:sz w:val="24"/>
          <w:szCs w:val="24"/>
          <w:rtl/>
        </w:rPr>
        <w:t xml:space="preserve"> </w:t>
      </w:r>
      <w:r w:rsidRPr="005D59A7">
        <w:rPr>
          <w:rFonts w:ascii="T" w:hAnsi="T" w:cs="Simplified Arabic"/>
          <w:sz w:val="24"/>
          <w:szCs w:val="24"/>
          <w:rtl/>
        </w:rPr>
        <w:t>المملكة</w:t>
      </w:r>
      <w:r w:rsidR="00AA4970" w:rsidRPr="005D59A7">
        <w:rPr>
          <w:rFonts w:ascii="T" w:hAnsi="T" w:cs="Simplified Arabic"/>
          <w:sz w:val="24"/>
          <w:szCs w:val="24"/>
          <w:rtl/>
        </w:rPr>
        <w:t xml:space="preserve"> </w:t>
      </w:r>
      <w:r w:rsidRPr="005D59A7">
        <w:rPr>
          <w:rFonts w:ascii="T" w:hAnsi="T" w:cs="Simplified Arabic"/>
          <w:sz w:val="24"/>
          <w:szCs w:val="24"/>
          <w:rtl/>
        </w:rPr>
        <w:t>ومنها:</w:t>
      </w:r>
    </w:p>
    <w:p w14:paraId="6CA51856" w14:textId="77777777" w:rsidR="00372E00"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دراسة</w:t>
      </w:r>
      <w:r w:rsidR="00045246" w:rsidRPr="005D59A7">
        <w:rPr>
          <w:rFonts w:ascii="T" w:hAnsi="T" w:cs="Simplified Arabic"/>
          <w:sz w:val="24"/>
          <w:szCs w:val="24"/>
        </w:rPr>
        <w:t xml:space="preserve"> </w:t>
      </w:r>
      <w:r w:rsidRPr="005D59A7">
        <w:rPr>
          <w:rFonts w:ascii="T" w:hAnsi="T" w:cs="Simplified Arabic"/>
          <w:sz w:val="24"/>
          <w:szCs w:val="24"/>
          <w:rtl/>
        </w:rPr>
        <w:t>البنك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لعام </w:t>
      </w:r>
      <w:r w:rsidR="008200D7" w:rsidRPr="005D59A7">
        <w:rPr>
          <w:rFonts w:ascii="T" w:hAnsi="T" w:cs="Simplified Arabic"/>
          <w:sz w:val="24"/>
          <w:szCs w:val="24"/>
          <w:rtl/>
        </w:rPr>
        <w:t>2014</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الأرقام</w:t>
      </w:r>
      <w:r w:rsidR="00045246" w:rsidRPr="005D59A7">
        <w:rPr>
          <w:rFonts w:ascii="T" w:hAnsi="T" w:cs="Simplified Arabic"/>
          <w:sz w:val="24"/>
          <w:szCs w:val="24"/>
        </w:rPr>
        <w:t xml:space="preserve"> </w:t>
      </w:r>
      <w:r w:rsidRPr="005D59A7">
        <w:rPr>
          <w:rFonts w:ascii="T" w:hAnsi="T" w:cs="Simplified Arabic"/>
          <w:sz w:val="24"/>
          <w:szCs w:val="24"/>
          <w:rtl/>
        </w:rPr>
        <w:t>الرئيسية</w:t>
      </w:r>
      <w:r w:rsidR="00045246" w:rsidRPr="005D59A7">
        <w:rPr>
          <w:rFonts w:ascii="T" w:hAnsi="T" w:cs="Simplified Arabic"/>
          <w:sz w:val="24"/>
          <w:szCs w:val="24"/>
        </w:rPr>
        <w:t xml:space="preserve"> </w:t>
      </w:r>
      <w:r w:rsidRPr="005D59A7">
        <w:rPr>
          <w:rFonts w:ascii="T" w:hAnsi="T" w:cs="Simplified Arabic"/>
          <w:sz w:val="24"/>
          <w:szCs w:val="24"/>
          <w:rtl/>
        </w:rPr>
        <w:t>التي</w:t>
      </w:r>
      <w:r w:rsidR="00045246" w:rsidRPr="005D59A7">
        <w:rPr>
          <w:rFonts w:ascii="T" w:hAnsi="T" w:cs="Simplified Arabic"/>
          <w:sz w:val="24"/>
          <w:szCs w:val="24"/>
        </w:rPr>
        <w:t xml:space="preserve"> </w:t>
      </w:r>
      <w:r w:rsidRPr="005D59A7">
        <w:rPr>
          <w:rFonts w:ascii="T" w:hAnsi="T" w:cs="Simplified Arabic"/>
          <w:sz w:val="24"/>
          <w:szCs w:val="24"/>
          <w:rtl/>
        </w:rPr>
        <w:t>يُستشهد</w:t>
      </w:r>
      <w:r w:rsidR="00045246" w:rsidRPr="005D59A7">
        <w:rPr>
          <w:rFonts w:ascii="T" w:hAnsi="T" w:cs="Simplified Arabic"/>
          <w:sz w:val="24"/>
          <w:szCs w:val="24"/>
        </w:rPr>
        <w:t xml:space="preserve"> </w:t>
      </w:r>
      <w:r w:rsidRPr="005D59A7">
        <w:rPr>
          <w:rFonts w:ascii="T" w:hAnsi="T" w:cs="Simplified Arabic"/>
          <w:sz w:val="24"/>
          <w:szCs w:val="24"/>
          <w:rtl/>
        </w:rPr>
        <w:t>بها</w:t>
      </w:r>
      <w:r w:rsidR="00045246" w:rsidRPr="005D59A7">
        <w:rPr>
          <w:rFonts w:ascii="T" w:hAnsi="T" w:cs="Simplified Arabic"/>
          <w:sz w:val="24"/>
          <w:szCs w:val="24"/>
        </w:rPr>
        <w:t xml:space="preserve"> </w:t>
      </w:r>
      <w:r w:rsidRPr="005D59A7">
        <w:rPr>
          <w:rFonts w:ascii="T" w:hAnsi="T" w:cs="Simplified Arabic"/>
          <w:sz w:val="24"/>
          <w:szCs w:val="24"/>
          <w:rtl/>
        </w:rPr>
        <w:t>كثيراً</w:t>
      </w:r>
      <w:r w:rsidR="00045246" w:rsidRPr="005D59A7">
        <w:rPr>
          <w:rFonts w:ascii="T" w:hAnsi="T" w:cs="Simplified Arabic"/>
          <w:sz w:val="24"/>
          <w:szCs w:val="24"/>
        </w:rPr>
        <w:t xml:space="preserve"> </w:t>
      </w:r>
      <w:r w:rsidRPr="005D59A7">
        <w:rPr>
          <w:rFonts w:ascii="T" w:hAnsi="T" w:cs="Simplified Arabic"/>
          <w:sz w:val="24"/>
          <w:szCs w:val="24"/>
          <w:rtl/>
        </w:rPr>
        <w:t>دراسة</w:t>
      </w:r>
      <w:r w:rsidR="00045246" w:rsidRPr="005D59A7">
        <w:rPr>
          <w:rFonts w:ascii="T" w:hAnsi="T" w:cs="Simplified Arabic"/>
          <w:sz w:val="24"/>
          <w:szCs w:val="24"/>
        </w:rPr>
        <w:t xml:space="preserve"> </w:t>
      </w:r>
      <w:r w:rsidRPr="005D59A7">
        <w:rPr>
          <w:rFonts w:ascii="T" w:hAnsi="T" w:cs="Simplified Arabic"/>
          <w:sz w:val="24"/>
          <w:szCs w:val="24"/>
          <w:rtl/>
        </w:rPr>
        <w:t>أجراها</w:t>
      </w:r>
      <w:r w:rsidR="00045246" w:rsidRPr="005D59A7">
        <w:rPr>
          <w:rFonts w:ascii="T" w:hAnsi="T" w:cs="Simplified Arabic"/>
          <w:sz w:val="24"/>
          <w:szCs w:val="24"/>
        </w:rPr>
        <w:t xml:space="preserve"> </w:t>
      </w:r>
      <w:r w:rsidRPr="005D59A7">
        <w:rPr>
          <w:rFonts w:ascii="T" w:hAnsi="T" w:cs="Simplified Arabic"/>
          <w:sz w:val="24"/>
          <w:szCs w:val="24"/>
          <w:rtl/>
        </w:rPr>
        <w:t>البنك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عام </w:t>
      </w:r>
      <w:r w:rsidR="008200D7" w:rsidRPr="005D59A7">
        <w:rPr>
          <w:rFonts w:ascii="T" w:hAnsi="T" w:cs="Simplified Arabic"/>
          <w:sz w:val="24"/>
          <w:szCs w:val="24"/>
          <w:rtl/>
        </w:rPr>
        <w:t>2014</w:t>
      </w:r>
      <w:r w:rsidRPr="005D59A7">
        <w:rPr>
          <w:rFonts w:ascii="T" w:hAnsi="T" w:cs="Simplified Arabic"/>
          <w:sz w:val="24"/>
          <w:szCs w:val="24"/>
          <w:rtl/>
        </w:rPr>
        <w:t>،</w:t>
      </w:r>
      <w:r w:rsidR="00045246" w:rsidRPr="005D59A7">
        <w:rPr>
          <w:rFonts w:ascii="T" w:hAnsi="T" w:cs="Simplified Arabic"/>
          <w:sz w:val="24"/>
          <w:szCs w:val="24"/>
        </w:rPr>
        <w:t xml:space="preserve"> </w:t>
      </w:r>
      <w:r w:rsidRPr="005D59A7">
        <w:rPr>
          <w:rFonts w:ascii="T" w:hAnsi="T" w:cs="Simplified Arabic"/>
          <w:sz w:val="24"/>
          <w:szCs w:val="24"/>
          <w:rtl/>
        </w:rPr>
        <w:t>والتي</w:t>
      </w:r>
      <w:r w:rsidR="00045246" w:rsidRPr="005D59A7">
        <w:rPr>
          <w:rFonts w:ascii="T" w:hAnsi="T" w:cs="Simplified Arabic"/>
          <w:sz w:val="24"/>
          <w:szCs w:val="24"/>
        </w:rPr>
        <w:t xml:space="preserve"> </w:t>
      </w:r>
      <w:r w:rsidRPr="005D59A7">
        <w:rPr>
          <w:rFonts w:ascii="T" w:hAnsi="T" w:cs="Simplified Arabic"/>
          <w:sz w:val="24"/>
          <w:szCs w:val="24"/>
          <w:rtl/>
        </w:rPr>
        <w:t>قدرت</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تكلفة</w:t>
      </w:r>
      <w:r w:rsidR="00045246" w:rsidRPr="005D59A7">
        <w:rPr>
          <w:rFonts w:ascii="T" w:hAnsi="T" w:cs="Simplified Arabic"/>
          <w:sz w:val="24"/>
          <w:szCs w:val="24"/>
        </w:rPr>
        <w:t xml:space="preserve"> </w:t>
      </w:r>
      <w:r w:rsidRPr="005D59A7">
        <w:rPr>
          <w:rFonts w:ascii="T" w:hAnsi="T" w:cs="Simplified Arabic"/>
          <w:sz w:val="24"/>
          <w:szCs w:val="24"/>
          <w:rtl/>
        </w:rPr>
        <w:t>التدهور</w:t>
      </w:r>
      <w:r w:rsidR="00045246" w:rsidRPr="005D59A7">
        <w:rPr>
          <w:rFonts w:ascii="T" w:hAnsi="T" w:cs="Simplified Arabic"/>
          <w:sz w:val="24"/>
          <w:szCs w:val="24"/>
        </w:rPr>
        <w:t xml:space="preserve"> </w:t>
      </w:r>
      <w:r w:rsidRPr="005D59A7">
        <w:rPr>
          <w:rFonts w:ascii="T" w:hAnsi="T" w:cs="Simplified Arabic"/>
          <w:sz w:val="24"/>
          <w:szCs w:val="24"/>
          <w:rtl/>
        </w:rPr>
        <w:t>البيئي</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 xml:space="preserve">تجاوزت </w:t>
      </w:r>
      <w:r w:rsidR="008200D7" w:rsidRPr="005D59A7">
        <w:rPr>
          <w:rFonts w:ascii="T" w:hAnsi="T" w:cs="Simplified Arabic"/>
          <w:sz w:val="24"/>
          <w:szCs w:val="24"/>
          <w:rtl/>
        </w:rPr>
        <w:t>86</w:t>
      </w:r>
      <w:r w:rsidRPr="005D59A7">
        <w:rPr>
          <w:rFonts w:ascii="T" w:hAnsi="T" w:cs="Simplified Arabic"/>
          <w:sz w:val="24"/>
          <w:szCs w:val="24"/>
          <w:rtl/>
        </w:rPr>
        <w:t xml:space="preserve"> مليار</w:t>
      </w:r>
      <w:r w:rsidR="00045246" w:rsidRPr="005D59A7">
        <w:rPr>
          <w:rFonts w:ascii="T" w:hAnsi="T" w:cs="Simplified Arabic"/>
          <w:sz w:val="24"/>
          <w:szCs w:val="24"/>
        </w:rPr>
        <w:t xml:space="preserve"> </w:t>
      </w:r>
      <w:r w:rsidRPr="005D59A7">
        <w:rPr>
          <w:rFonts w:ascii="T" w:hAnsi="T" w:cs="Simplified Arabic"/>
          <w:sz w:val="24"/>
          <w:szCs w:val="24"/>
          <w:rtl/>
        </w:rPr>
        <w:t>ريال</w:t>
      </w:r>
      <w:r w:rsidR="00045246" w:rsidRPr="005D59A7">
        <w:rPr>
          <w:rFonts w:ascii="T" w:hAnsi="T" w:cs="Simplified Arabic"/>
          <w:sz w:val="24"/>
          <w:szCs w:val="24"/>
        </w:rPr>
        <w:t xml:space="preserve"> </w:t>
      </w:r>
      <w:r w:rsidRPr="005D59A7">
        <w:rPr>
          <w:rFonts w:ascii="T" w:hAnsi="T" w:cs="Simplified Arabic"/>
          <w:sz w:val="24"/>
          <w:szCs w:val="24"/>
          <w:rtl/>
        </w:rPr>
        <w:t>سعودي،</w:t>
      </w:r>
      <w:r w:rsidR="00045246" w:rsidRPr="005D59A7">
        <w:rPr>
          <w:rFonts w:ascii="T" w:hAnsi="T" w:cs="Simplified Arabic"/>
          <w:sz w:val="24"/>
          <w:szCs w:val="24"/>
        </w:rPr>
        <w:t xml:space="preserve"> </w:t>
      </w:r>
      <w:r w:rsidRPr="005D59A7">
        <w:rPr>
          <w:rFonts w:ascii="T" w:hAnsi="T" w:cs="Simplified Arabic"/>
          <w:sz w:val="24"/>
          <w:szCs w:val="24"/>
          <w:rtl/>
        </w:rPr>
        <w:t>أي</w:t>
      </w:r>
      <w:r w:rsidR="00045246" w:rsidRPr="005D59A7">
        <w:rPr>
          <w:rFonts w:ascii="T" w:hAnsi="T" w:cs="Simplified Arabic"/>
          <w:sz w:val="24"/>
          <w:szCs w:val="24"/>
        </w:rPr>
        <w:t xml:space="preserve"> </w:t>
      </w:r>
      <w:r w:rsidRPr="005D59A7">
        <w:rPr>
          <w:rFonts w:ascii="T" w:hAnsi="T" w:cs="Simplified Arabic"/>
          <w:sz w:val="24"/>
          <w:szCs w:val="24"/>
          <w:rtl/>
        </w:rPr>
        <w:t>ما</w:t>
      </w:r>
      <w:r w:rsidR="00045246" w:rsidRPr="005D59A7">
        <w:rPr>
          <w:rFonts w:ascii="T" w:hAnsi="T" w:cs="Simplified Arabic"/>
          <w:sz w:val="24"/>
          <w:szCs w:val="24"/>
        </w:rPr>
        <w:t xml:space="preserve"> </w:t>
      </w:r>
      <w:r w:rsidRPr="005D59A7">
        <w:rPr>
          <w:rFonts w:ascii="T" w:hAnsi="T" w:cs="Simplified Arabic"/>
          <w:sz w:val="24"/>
          <w:szCs w:val="24"/>
          <w:rtl/>
        </w:rPr>
        <w:t xml:space="preserve">يعادل </w:t>
      </w:r>
      <w:r w:rsidR="008200D7" w:rsidRPr="005D59A7">
        <w:rPr>
          <w:rFonts w:ascii="T" w:hAnsi="T" w:cs="Simplified Arabic"/>
          <w:sz w:val="24"/>
          <w:szCs w:val="24"/>
          <w:rtl/>
        </w:rPr>
        <w:t>3</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الناتج</w:t>
      </w:r>
      <w:r w:rsidR="00045246" w:rsidRPr="005D59A7">
        <w:rPr>
          <w:rFonts w:ascii="T" w:hAnsi="T" w:cs="Simplified Arabic"/>
          <w:sz w:val="24"/>
          <w:szCs w:val="24"/>
        </w:rPr>
        <w:t xml:space="preserve"> </w:t>
      </w:r>
      <w:r w:rsidRPr="005D59A7">
        <w:rPr>
          <w:rFonts w:ascii="T" w:hAnsi="T" w:cs="Simplified Arabic"/>
          <w:sz w:val="24"/>
          <w:szCs w:val="24"/>
          <w:rtl/>
        </w:rPr>
        <w:t>المحلي</w:t>
      </w:r>
      <w:r w:rsidR="00045246" w:rsidRPr="005D59A7">
        <w:rPr>
          <w:rFonts w:ascii="T" w:hAnsi="T" w:cs="Simplified Arabic"/>
          <w:sz w:val="24"/>
          <w:szCs w:val="24"/>
        </w:rPr>
        <w:t xml:space="preserve"> </w:t>
      </w:r>
      <w:r w:rsidRPr="005D59A7">
        <w:rPr>
          <w:rFonts w:ascii="T" w:hAnsi="T" w:cs="Simplified Arabic"/>
          <w:sz w:val="24"/>
          <w:szCs w:val="24"/>
          <w:rtl/>
        </w:rPr>
        <w:t>الإجمالي،</w:t>
      </w:r>
      <w:r w:rsidR="00045246" w:rsidRPr="005D59A7">
        <w:rPr>
          <w:rFonts w:ascii="T" w:hAnsi="T" w:cs="Simplified Arabic"/>
          <w:sz w:val="24"/>
          <w:szCs w:val="24"/>
        </w:rPr>
        <w:t xml:space="preserve"> </w:t>
      </w:r>
      <w:r w:rsidRPr="005D59A7">
        <w:rPr>
          <w:rFonts w:ascii="T" w:hAnsi="T" w:cs="Simplified Arabic"/>
          <w:sz w:val="24"/>
          <w:szCs w:val="24"/>
          <w:rtl/>
        </w:rPr>
        <w:t>وذلك</w:t>
      </w:r>
      <w:r w:rsidR="00045246" w:rsidRPr="005D59A7">
        <w:rPr>
          <w:rFonts w:ascii="T" w:hAnsi="T" w:cs="Simplified Arabic"/>
          <w:sz w:val="24"/>
          <w:szCs w:val="24"/>
        </w:rPr>
        <w:t xml:space="preserve"> </w:t>
      </w:r>
      <w:r w:rsidRPr="005D59A7">
        <w:rPr>
          <w:rFonts w:ascii="T" w:hAnsi="T" w:cs="Simplified Arabic"/>
          <w:sz w:val="24"/>
          <w:szCs w:val="24"/>
          <w:rtl/>
        </w:rPr>
        <w:t>بسبب</w:t>
      </w:r>
      <w:r w:rsidR="00045246" w:rsidRPr="005D59A7">
        <w:rPr>
          <w:rFonts w:ascii="T" w:hAnsi="T" w:cs="Simplified Arabic"/>
          <w:sz w:val="24"/>
          <w:szCs w:val="24"/>
        </w:rPr>
        <w:t xml:space="preserve"> </w:t>
      </w:r>
      <w:r w:rsidRPr="005D59A7">
        <w:rPr>
          <w:rFonts w:ascii="T" w:hAnsi="T" w:cs="Simplified Arabic"/>
          <w:sz w:val="24"/>
          <w:szCs w:val="24"/>
          <w:rtl/>
        </w:rPr>
        <w:t>عدم</w:t>
      </w:r>
      <w:r w:rsidR="00045246" w:rsidRPr="005D59A7">
        <w:rPr>
          <w:rFonts w:ascii="T" w:hAnsi="T" w:cs="Simplified Arabic"/>
          <w:sz w:val="24"/>
          <w:szCs w:val="24"/>
        </w:rPr>
        <w:t xml:space="preserve"> </w:t>
      </w:r>
      <w:r w:rsidRPr="005D59A7">
        <w:rPr>
          <w:rFonts w:ascii="T" w:hAnsi="T" w:cs="Simplified Arabic"/>
          <w:sz w:val="24"/>
          <w:szCs w:val="24"/>
          <w:rtl/>
        </w:rPr>
        <w:t>الالتزام</w:t>
      </w:r>
      <w:r w:rsidR="00045246" w:rsidRPr="005D59A7">
        <w:rPr>
          <w:rFonts w:ascii="T" w:hAnsi="T" w:cs="Simplified Arabic"/>
          <w:sz w:val="24"/>
          <w:szCs w:val="24"/>
        </w:rPr>
        <w:t xml:space="preserve"> </w:t>
      </w:r>
      <w:r w:rsidRPr="005D59A7">
        <w:rPr>
          <w:rFonts w:ascii="T" w:hAnsi="T" w:cs="Simplified Arabic"/>
          <w:sz w:val="24"/>
          <w:szCs w:val="24"/>
          <w:rtl/>
        </w:rPr>
        <w:t>بالضوابط</w:t>
      </w:r>
      <w:r w:rsidR="00045246" w:rsidRPr="005D59A7">
        <w:rPr>
          <w:rFonts w:ascii="T" w:hAnsi="T" w:cs="Simplified Arabic"/>
          <w:sz w:val="24"/>
          <w:szCs w:val="24"/>
        </w:rPr>
        <w:t xml:space="preserve"> </w:t>
      </w:r>
      <w:r w:rsidRPr="005D59A7">
        <w:rPr>
          <w:rFonts w:ascii="T" w:hAnsi="T" w:cs="Simplified Arabic"/>
          <w:sz w:val="24"/>
          <w:szCs w:val="24"/>
          <w:rtl/>
        </w:rPr>
        <w:t>والمعايير</w:t>
      </w:r>
      <w:r w:rsidR="00045246" w:rsidRPr="005D59A7">
        <w:rPr>
          <w:rFonts w:ascii="T" w:hAnsi="T" w:cs="Simplified Arabic"/>
          <w:sz w:val="24"/>
          <w:szCs w:val="24"/>
        </w:rPr>
        <w:t xml:space="preserve"> </w:t>
      </w:r>
      <w:r w:rsidRPr="005D59A7">
        <w:rPr>
          <w:rFonts w:ascii="T" w:hAnsi="T" w:cs="Simplified Arabic"/>
          <w:sz w:val="24"/>
          <w:szCs w:val="24"/>
          <w:rtl/>
        </w:rPr>
        <w:t>البيئية. وقد</w:t>
      </w:r>
      <w:r w:rsidR="00045246" w:rsidRPr="005D59A7">
        <w:rPr>
          <w:rFonts w:ascii="T" w:hAnsi="T" w:cs="Simplified Arabic"/>
          <w:sz w:val="24"/>
          <w:szCs w:val="24"/>
        </w:rPr>
        <w:t xml:space="preserve"> </w:t>
      </w:r>
      <w:r w:rsidRPr="005D59A7">
        <w:rPr>
          <w:rFonts w:ascii="T" w:hAnsi="T" w:cs="Simplified Arabic"/>
          <w:sz w:val="24"/>
          <w:szCs w:val="24"/>
          <w:rtl/>
        </w:rPr>
        <w:t>سلّط</w:t>
      </w:r>
      <w:r w:rsidR="00045246" w:rsidRPr="005D59A7">
        <w:rPr>
          <w:rFonts w:ascii="T" w:hAnsi="T" w:cs="Simplified Arabic"/>
          <w:sz w:val="24"/>
          <w:szCs w:val="24"/>
        </w:rPr>
        <w:t xml:space="preserve"> </w:t>
      </w:r>
      <w:r w:rsidRPr="005D59A7">
        <w:rPr>
          <w:rFonts w:ascii="T" w:hAnsi="T" w:cs="Simplified Arabic"/>
          <w:sz w:val="24"/>
          <w:szCs w:val="24"/>
          <w:rtl/>
        </w:rPr>
        <w:t>نائب</w:t>
      </w:r>
      <w:r w:rsidR="00045246" w:rsidRPr="005D59A7">
        <w:rPr>
          <w:rFonts w:ascii="T" w:hAnsi="T" w:cs="Simplified Arabic"/>
          <w:sz w:val="24"/>
          <w:szCs w:val="24"/>
        </w:rPr>
        <w:t xml:space="preserve"> </w:t>
      </w:r>
      <w:r w:rsidRPr="005D59A7">
        <w:rPr>
          <w:rFonts w:ascii="T" w:hAnsi="T" w:cs="Simplified Arabic"/>
          <w:sz w:val="24"/>
          <w:szCs w:val="24"/>
          <w:rtl/>
        </w:rPr>
        <w:t>وزير</w:t>
      </w:r>
      <w:r w:rsidR="00045246" w:rsidRPr="005D59A7">
        <w:rPr>
          <w:rFonts w:ascii="T" w:hAnsi="T" w:cs="Simplified Arabic"/>
          <w:sz w:val="24"/>
          <w:szCs w:val="24"/>
        </w:rPr>
        <w:t xml:space="preserve"> </w:t>
      </w:r>
      <w:r w:rsidRPr="005D59A7">
        <w:rPr>
          <w:rFonts w:ascii="T" w:hAnsi="T" w:cs="Simplified Arabic"/>
          <w:sz w:val="24"/>
          <w:szCs w:val="24"/>
          <w:rtl/>
        </w:rPr>
        <w:t>البيئة</w:t>
      </w:r>
      <w:r w:rsidR="00045246" w:rsidRPr="005D59A7">
        <w:rPr>
          <w:rFonts w:ascii="T" w:hAnsi="T" w:cs="Simplified Arabic"/>
          <w:sz w:val="24"/>
          <w:szCs w:val="24"/>
        </w:rPr>
        <w:t xml:space="preserve"> </w:t>
      </w:r>
      <w:r w:rsidRPr="005D59A7">
        <w:rPr>
          <w:rFonts w:ascii="T" w:hAnsi="T" w:cs="Simplified Arabic"/>
          <w:sz w:val="24"/>
          <w:szCs w:val="24"/>
          <w:rtl/>
        </w:rPr>
        <w:t>السعودي</w:t>
      </w:r>
      <w:r w:rsidR="00045246" w:rsidRPr="005D59A7">
        <w:rPr>
          <w:rFonts w:ascii="T" w:hAnsi="T" w:cs="Simplified Arabic"/>
          <w:sz w:val="24"/>
          <w:szCs w:val="24"/>
        </w:rPr>
        <w:t xml:space="preserve"> </w:t>
      </w:r>
      <w:r w:rsidRPr="005D59A7">
        <w:rPr>
          <w:rFonts w:ascii="T" w:hAnsi="T" w:cs="Simplified Arabic"/>
          <w:sz w:val="24"/>
          <w:szCs w:val="24"/>
          <w:rtl/>
        </w:rPr>
        <w:t>الضوء</w:t>
      </w:r>
      <w:r w:rsidR="00045246" w:rsidRPr="005D59A7">
        <w:rPr>
          <w:rFonts w:ascii="T" w:hAnsi="T" w:cs="Simplified Arabic"/>
          <w:sz w:val="24"/>
          <w:szCs w:val="24"/>
        </w:rPr>
        <w:t xml:space="preserve"> </w:t>
      </w:r>
      <w:r w:rsidRPr="005D59A7">
        <w:rPr>
          <w:rFonts w:ascii="T" w:hAnsi="T" w:cs="Simplified Arabic"/>
          <w:sz w:val="24"/>
          <w:szCs w:val="24"/>
          <w:rtl/>
        </w:rPr>
        <w:t>مؤخرًا</w:t>
      </w:r>
      <w:r w:rsidR="00045246" w:rsidRPr="005D59A7">
        <w:rPr>
          <w:rFonts w:ascii="T" w:hAnsi="T" w:cs="Simplified Arabic"/>
          <w:sz w:val="24"/>
          <w:szCs w:val="24"/>
        </w:rPr>
        <w:t xml:space="preserve"> </w:t>
      </w:r>
      <w:r w:rsidRPr="005D59A7">
        <w:rPr>
          <w:rFonts w:ascii="T" w:hAnsi="T" w:cs="Simplified Arabic"/>
          <w:sz w:val="24"/>
          <w:szCs w:val="24"/>
          <w:rtl/>
        </w:rPr>
        <w:t>على</w:t>
      </w:r>
      <w:r w:rsidR="00045246" w:rsidRPr="005D59A7">
        <w:rPr>
          <w:rFonts w:ascii="T" w:hAnsi="T" w:cs="Simplified Arabic"/>
          <w:sz w:val="24"/>
          <w:szCs w:val="24"/>
        </w:rPr>
        <w:t xml:space="preserve"> </w:t>
      </w:r>
      <w:r w:rsidRPr="005D59A7">
        <w:rPr>
          <w:rFonts w:ascii="T" w:hAnsi="T" w:cs="Simplified Arabic"/>
          <w:sz w:val="24"/>
          <w:szCs w:val="24"/>
          <w:rtl/>
        </w:rPr>
        <w:t>هذا</w:t>
      </w:r>
      <w:r w:rsidR="00045246" w:rsidRPr="005D59A7">
        <w:rPr>
          <w:rFonts w:ascii="T" w:hAnsi="T" w:cs="Simplified Arabic"/>
          <w:sz w:val="24"/>
          <w:szCs w:val="24"/>
        </w:rPr>
        <w:t xml:space="preserve"> </w:t>
      </w:r>
      <w:r w:rsidRPr="005D59A7">
        <w:rPr>
          <w:rFonts w:ascii="T" w:hAnsi="T" w:cs="Simplified Arabic"/>
          <w:sz w:val="24"/>
          <w:szCs w:val="24"/>
          <w:rtl/>
        </w:rPr>
        <w:t>الرقم</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 xml:space="preserve">فبراير </w:t>
      </w:r>
      <w:r w:rsidR="008200D7" w:rsidRPr="005D59A7">
        <w:rPr>
          <w:rFonts w:ascii="T" w:hAnsi="T" w:cs="Simplified Arabic"/>
          <w:sz w:val="24"/>
          <w:szCs w:val="24"/>
          <w:rtl/>
        </w:rPr>
        <w:t>2024</w:t>
      </w:r>
      <w:r w:rsidRPr="005D59A7">
        <w:rPr>
          <w:rFonts w:ascii="T" w:hAnsi="T" w:cs="Simplified Arabic"/>
          <w:sz w:val="24"/>
          <w:szCs w:val="24"/>
          <w:rtl/>
        </w:rPr>
        <w:t>،</w:t>
      </w:r>
      <w:r w:rsidR="00045246" w:rsidRPr="005D59A7">
        <w:rPr>
          <w:rFonts w:ascii="T" w:hAnsi="T" w:cs="Simplified Arabic"/>
          <w:sz w:val="24"/>
          <w:szCs w:val="24"/>
        </w:rPr>
        <w:t xml:space="preserve"> </w:t>
      </w:r>
      <w:r w:rsidRPr="005D59A7">
        <w:rPr>
          <w:rFonts w:ascii="T" w:hAnsi="T" w:cs="Simplified Arabic"/>
          <w:sz w:val="24"/>
          <w:szCs w:val="24"/>
          <w:rtl/>
        </w:rPr>
        <w:t>مؤكدًا</w:t>
      </w:r>
      <w:r w:rsidR="00045246" w:rsidRPr="005D59A7">
        <w:rPr>
          <w:rFonts w:ascii="T" w:hAnsi="T" w:cs="Simplified Arabic"/>
          <w:sz w:val="24"/>
          <w:szCs w:val="24"/>
        </w:rPr>
        <w:t xml:space="preserve"> </w:t>
      </w:r>
      <w:r w:rsidRPr="005D59A7">
        <w:rPr>
          <w:rFonts w:ascii="T" w:hAnsi="T" w:cs="Simplified Arabic"/>
          <w:sz w:val="24"/>
          <w:szCs w:val="24"/>
          <w:rtl/>
        </w:rPr>
        <w:t>على</w:t>
      </w:r>
      <w:r w:rsidR="00045246" w:rsidRPr="005D59A7">
        <w:rPr>
          <w:rFonts w:ascii="T" w:hAnsi="T" w:cs="Simplified Arabic"/>
          <w:sz w:val="24"/>
          <w:szCs w:val="24"/>
        </w:rPr>
        <w:t xml:space="preserve"> </w:t>
      </w:r>
      <w:r w:rsidRPr="005D59A7">
        <w:rPr>
          <w:rFonts w:ascii="T" w:hAnsi="T" w:cs="Simplified Arabic"/>
          <w:sz w:val="24"/>
          <w:szCs w:val="24"/>
          <w:rtl/>
        </w:rPr>
        <w:t>أهميته</w:t>
      </w:r>
      <w:r w:rsidR="00045246" w:rsidRPr="005D59A7">
        <w:rPr>
          <w:rFonts w:ascii="T" w:hAnsi="T" w:cs="Simplified Arabic"/>
          <w:sz w:val="24"/>
          <w:szCs w:val="24"/>
        </w:rPr>
        <w:t xml:space="preserve"> </w:t>
      </w:r>
      <w:r w:rsidRPr="005D59A7">
        <w:rPr>
          <w:rFonts w:ascii="T" w:hAnsi="T" w:cs="Simplified Arabic"/>
          <w:sz w:val="24"/>
          <w:szCs w:val="24"/>
          <w:rtl/>
        </w:rPr>
        <w:t>المستمرة (</w:t>
      </w:r>
      <w:r w:rsidRPr="005D59A7">
        <w:rPr>
          <w:rFonts w:ascii="T" w:hAnsi="T" w:cs="Simplified Arabic"/>
          <w:sz w:val="24"/>
          <w:szCs w:val="24"/>
        </w:rPr>
        <w:t>World Bank, 2014</w:t>
      </w:r>
      <w:r w:rsidRPr="005D59A7">
        <w:rPr>
          <w:rFonts w:ascii="T" w:hAnsi="T" w:cs="Simplified Arabic"/>
          <w:sz w:val="24"/>
          <w:szCs w:val="24"/>
          <w:rtl/>
        </w:rPr>
        <w:t>).</w:t>
      </w:r>
    </w:p>
    <w:p w14:paraId="14A37BE7" w14:textId="77777777" w:rsidR="00685A20" w:rsidRPr="005D59A7" w:rsidRDefault="00210FA3"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 يُعدّ</w:t>
      </w:r>
      <w:r w:rsidR="00045246" w:rsidRPr="005D59A7">
        <w:rPr>
          <w:rFonts w:ascii="T" w:hAnsi="T" w:cs="Simplified Arabic"/>
          <w:sz w:val="24"/>
          <w:szCs w:val="24"/>
        </w:rPr>
        <w:t xml:space="preserve"> </w:t>
      </w: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w:t>
      </w:r>
      <w:r w:rsidR="00045246" w:rsidRPr="005D59A7">
        <w:rPr>
          <w:rFonts w:ascii="T" w:hAnsi="T" w:cs="Simplified Arabic"/>
          <w:sz w:val="24"/>
          <w:szCs w:val="24"/>
        </w:rPr>
        <w:t xml:space="preserve"> </w:t>
      </w:r>
      <w:r w:rsidRPr="005D59A7">
        <w:rPr>
          <w:rFonts w:ascii="T" w:hAnsi="T" w:cs="Simplified Arabic"/>
          <w:sz w:val="24"/>
          <w:szCs w:val="24"/>
          <w:rtl/>
        </w:rPr>
        <w:t>مساهماً</w:t>
      </w:r>
      <w:r w:rsidR="00045246" w:rsidRPr="005D59A7">
        <w:rPr>
          <w:rFonts w:ascii="T" w:hAnsi="T" w:cs="Simplified Arabic"/>
          <w:sz w:val="24"/>
          <w:szCs w:val="24"/>
        </w:rPr>
        <w:t xml:space="preserve"> </w:t>
      </w:r>
      <w:r w:rsidRPr="005D59A7">
        <w:rPr>
          <w:rFonts w:ascii="T" w:hAnsi="T" w:cs="Simplified Arabic"/>
          <w:sz w:val="24"/>
          <w:szCs w:val="24"/>
          <w:rtl/>
        </w:rPr>
        <w:t>رئيسياً</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تكاليف</w:t>
      </w:r>
      <w:r w:rsidR="00045246" w:rsidRPr="005D59A7">
        <w:rPr>
          <w:rFonts w:ascii="T" w:hAnsi="T" w:cs="Simplified Arabic"/>
          <w:sz w:val="24"/>
          <w:szCs w:val="24"/>
        </w:rPr>
        <w:t xml:space="preserve"> </w:t>
      </w:r>
      <w:r w:rsidRPr="005D59A7">
        <w:rPr>
          <w:rFonts w:ascii="T" w:hAnsi="T" w:cs="Simplified Arabic"/>
          <w:sz w:val="24"/>
          <w:szCs w:val="24"/>
          <w:rtl/>
        </w:rPr>
        <w:t>التدهور</w:t>
      </w:r>
      <w:r w:rsidR="00045246" w:rsidRPr="005D59A7">
        <w:rPr>
          <w:rFonts w:ascii="T" w:hAnsi="T" w:cs="Simplified Arabic"/>
          <w:sz w:val="24"/>
          <w:szCs w:val="24"/>
        </w:rPr>
        <w:t xml:space="preserve"> </w:t>
      </w:r>
      <w:r w:rsidRPr="005D59A7">
        <w:rPr>
          <w:rFonts w:ascii="T" w:hAnsi="T" w:cs="Simplified Arabic"/>
          <w:sz w:val="24"/>
          <w:szCs w:val="24"/>
          <w:rtl/>
        </w:rPr>
        <w:t>البيئي. فقد</w:t>
      </w:r>
      <w:r w:rsidR="00045246" w:rsidRPr="005D59A7">
        <w:rPr>
          <w:rFonts w:ascii="T" w:hAnsi="T" w:cs="Simplified Arabic"/>
          <w:sz w:val="24"/>
          <w:szCs w:val="24"/>
        </w:rPr>
        <w:t xml:space="preserve"> </w:t>
      </w:r>
      <w:r w:rsidRPr="005D59A7">
        <w:rPr>
          <w:rFonts w:ascii="T" w:hAnsi="T" w:cs="Simplified Arabic"/>
          <w:sz w:val="24"/>
          <w:szCs w:val="24"/>
          <w:rtl/>
        </w:rPr>
        <w:t>أشار</w:t>
      </w:r>
      <w:r w:rsidR="00045246" w:rsidRPr="005D59A7">
        <w:rPr>
          <w:rFonts w:ascii="T" w:hAnsi="T" w:cs="Simplified Arabic"/>
          <w:sz w:val="24"/>
          <w:szCs w:val="24"/>
        </w:rPr>
        <w:t xml:space="preserve"> </w:t>
      </w:r>
      <w:r w:rsidRPr="005D59A7">
        <w:rPr>
          <w:rFonts w:ascii="T" w:hAnsi="T" w:cs="Simplified Arabic"/>
          <w:sz w:val="24"/>
          <w:szCs w:val="24"/>
          <w:rtl/>
        </w:rPr>
        <w:t>تقرير</w:t>
      </w:r>
      <w:r w:rsidR="00045246" w:rsidRPr="005D59A7">
        <w:rPr>
          <w:rFonts w:ascii="T" w:hAnsi="T" w:cs="Simplified Arabic"/>
          <w:sz w:val="24"/>
          <w:szCs w:val="24"/>
        </w:rPr>
        <w:t xml:space="preserve"> </w:t>
      </w:r>
      <w:r w:rsidRPr="005D59A7">
        <w:rPr>
          <w:rFonts w:ascii="T" w:hAnsi="T" w:cs="Simplified Arabic"/>
          <w:sz w:val="24"/>
          <w:szCs w:val="24"/>
          <w:rtl/>
        </w:rPr>
        <w:t>للبنك</w:t>
      </w:r>
      <w:r w:rsidR="00045246" w:rsidRPr="005D59A7">
        <w:rPr>
          <w:rFonts w:ascii="T" w:hAnsi="T" w:cs="Simplified Arabic"/>
          <w:sz w:val="24"/>
          <w:szCs w:val="24"/>
        </w:rPr>
        <w:t xml:space="preserve"> </w:t>
      </w:r>
      <w:r w:rsidRPr="005D59A7">
        <w:rPr>
          <w:rFonts w:ascii="T" w:hAnsi="T" w:cs="Simplified Arabic"/>
          <w:sz w:val="24"/>
          <w:szCs w:val="24"/>
          <w:rtl/>
        </w:rPr>
        <w:t>الدولي</w:t>
      </w:r>
      <w:r w:rsidR="00045246" w:rsidRPr="005D59A7">
        <w:rPr>
          <w:rFonts w:ascii="T" w:hAnsi="T" w:cs="Simplified Arabic"/>
          <w:sz w:val="24"/>
          <w:szCs w:val="24"/>
        </w:rPr>
        <w:t xml:space="preserve"> </w:t>
      </w:r>
      <w:r w:rsidRPr="005D59A7">
        <w:rPr>
          <w:rFonts w:ascii="T" w:hAnsi="T" w:cs="Simplified Arabic"/>
          <w:sz w:val="24"/>
          <w:szCs w:val="24"/>
          <w:rtl/>
        </w:rPr>
        <w:t xml:space="preserve">عام </w:t>
      </w:r>
      <w:r w:rsidR="008200D7" w:rsidRPr="005D59A7">
        <w:rPr>
          <w:rFonts w:ascii="T" w:hAnsi="T" w:cs="Simplified Arabic"/>
          <w:sz w:val="24"/>
          <w:szCs w:val="24"/>
          <w:rtl/>
        </w:rPr>
        <w:t>2022</w:t>
      </w:r>
      <w:r w:rsidRPr="005D59A7">
        <w:rPr>
          <w:rFonts w:ascii="T" w:hAnsi="T" w:cs="Simplified Arabic"/>
          <w:sz w:val="24"/>
          <w:szCs w:val="24"/>
          <w:rtl/>
        </w:rPr>
        <w:t xml:space="preserve"> إلى</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تلوث</w:t>
      </w:r>
      <w:r w:rsidR="00045246" w:rsidRPr="005D59A7">
        <w:rPr>
          <w:rFonts w:ascii="T" w:hAnsi="T" w:cs="Simplified Arabic"/>
          <w:sz w:val="24"/>
          <w:szCs w:val="24"/>
        </w:rPr>
        <w:t xml:space="preserve"> </w:t>
      </w:r>
      <w:r w:rsidRPr="005D59A7">
        <w:rPr>
          <w:rFonts w:ascii="T" w:hAnsi="T" w:cs="Simplified Arabic"/>
          <w:sz w:val="24"/>
          <w:szCs w:val="24"/>
          <w:rtl/>
        </w:rPr>
        <w:t>الهواء</w:t>
      </w:r>
      <w:r w:rsidR="00045246" w:rsidRPr="005D59A7">
        <w:rPr>
          <w:rFonts w:ascii="T" w:hAnsi="T" w:cs="Simplified Arabic"/>
          <w:sz w:val="24"/>
          <w:szCs w:val="24"/>
        </w:rPr>
        <w:t xml:space="preserve"> </w:t>
      </w:r>
      <w:r w:rsidRPr="005D59A7">
        <w:rPr>
          <w:rFonts w:ascii="T" w:hAnsi="T" w:cs="Simplified Arabic"/>
          <w:sz w:val="24"/>
          <w:szCs w:val="24"/>
          <w:rtl/>
        </w:rPr>
        <w:t>يُكلّف</w:t>
      </w:r>
      <w:r w:rsidR="00045246" w:rsidRPr="005D59A7">
        <w:rPr>
          <w:rFonts w:ascii="T" w:hAnsi="T" w:cs="Simplified Arabic"/>
          <w:sz w:val="24"/>
          <w:szCs w:val="24"/>
        </w:rPr>
        <w:t xml:space="preserve"> </w:t>
      </w:r>
      <w:r w:rsidRPr="005D59A7">
        <w:rPr>
          <w:rFonts w:ascii="T" w:hAnsi="T" w:cs="Simplified Arabic"/>
          <w:sz w:val="24"/>
          <w:szCs w:val="24"/>
          <w:rtl/>
        </w:rPr>
        <w:t>منطقة</w:t>
      </w:r>
      <w:r w:rsidR="00045246" w:rsidRPr="005D59A7">
        <w:rPr>
          <w:rFonts w:ascii="T" w:hAnsi="T" w:cs="Simplified Arabic"/>
          <w:sz w:val="24"/>
          <w:szCs w:val="24"/>
        </w:rPr>
        <w:t xml:space="preserve"> </w:t>
      </w:r>
      <w:r w:rsidRPr="005D59A7">
        <w:rPr>
          <w:rFonts w:ascii="T" w:hAnsi="T" w:cs="Simplified Arabic"/>
          <w:sz w:val="24"/>
          <w:szCs w:val="24"/>
          <w:rtl/>
        </w:rPr>
        <w:t>الشرق</w:t>
      </w:r>
      <w:r w:rsidR="00045246" w:rsidRPr="005D59A7">
        <w:rPr>
          <w:rFonts w:ascii="T" w:hAnsi="T" w:cs="Simplified Arabic"/>
          <w:sz w:val="24"/>
          <w:szCs w:val="24"/>
        </w:rPr>
        <w:t xml:space="preserve"> </w:t>
      </w:r>
      <w:r w:rsidRPr="005D59A7">
        <w:rPr>
          <w:rFonts w:ascii="T" w:hAnsi="T" w:cs="Simplified Arabic"/>
          <w:sz w:val="24"/>
          <w:szCs w:val="24"/>
          <w:rtl/>
        </w:rPr>
        <w:t>الأوسط</w:t>
      </w:r>
      <w:r w:rsidR="00045246" w:rsidRPr="005D59A7">
        <w:rPr>
          <w:rFonts w:ascii="T" w:hAnsi="T" w:cs="Simplified Arabic"/>
          <w:sz w:val="24"/>
          <w:szCs w:val="24"/>
        </w:rPr>
        <w:t xml:space="preserve"> </w:t>
      </w:r>
      <w:r w:rsidRPr="005D59A7">
        <w:rPr>
          <w:rFonts w:ascii="T" w:hAnsi="T" w:cs="Simplified Arabic"/>
          <w:sz w:val="24"/>
          <w:szCs w:val="24"/>
          <w:rtl/>
        </w:rPr>
        <w:t>وشمال</w:t>
      </w:r>
      <w:r w:rsidR="00045246" w:rsidRPr="005D59A7">
        <w:rPr>
          <w:rFonts w:ascii="T" w:hAnsi="T" w:cs="Simplified Arabic"/>
          <w:sz w:val="24"/>
          <w:szCs w:val="24"/>
        </w:rPr>
        <w:t xml:space="preserve"> </w:t>
      </w:r>
      <w:r w:rsidRPr="005D59A7">
        <w:rPr>
          <w:rFonts w:ascii="T" w:hAnsi="T" w:cs="Simplified Arabic"/>
          <w:sz w:val="24"/>
          <w:szCs w:val="24"/>
          <w:rtl/>
        </w:rPr>
        <w:t>إفريقيا</w:t>
      </w:r>
      <w:r w:rsidR="00045246" w:rsidRPr="005D59A7">
        <w:rPr>
          <w:rFonts w:ascii="T" w:hAnsi="T" w:cs="Simplified Arabic"/>
          <w:sz w:val="24"/>
          <w:szCs w:val="24"/>
        </w:rPr>
        <w:t xml:space="preserve"> </w:t>
      </w:r>
      <w:r w:rsidRPr="005D59A7">
        <w:rPr>
          <w:rFonts w:ascii="T" w:hAnsi="T" w:cs="Simplified Arabic"/>
          <w:sz w:val="24"/>
          <w:szCs w:val="24"/>
          <w:rtl/>
        </w:rPr>
        <w:t>بأكملها</w:t>
      </w:r>
      <w:r w:rsidR="00045246" w:rsidRPr="005D59A7">
        <w:rPr>
          <w:rFonts w:ascii="T" w:hAnsi="T" w:cs="Simplified Arabic"/>
          <w:sz w:val="24"/>
          <w:szCs w:val="24"/>
        </w:rPr>
        <w:t xml:space="preserve"> </w:t>
      </w:r>
      <w:r w:rsidRPr="005D59A7">
        <w:rPr>
          <w:rFonts w:ascii="T" w:hAnsi="T" w:cs="Simplified Arabic"/>
          <w:sz w:val="24"/>
          <w:szCs w:val="24"/>
          <w:rtl/>
        </w:rPr>
        <w:t xml:space="preserve">حوالي </w:t>
      </w:r>
      <w:r w:rsidR="008200D7" w:rsidRPr="005D59A7">
        <w:rPr>
          <w:rFonts w:ascii="T" w:hAnsi="T" w:cs="Simplified Arabic"/>
          <w:sz w:val="24"/>
          <w:szCs w:val="24"/>
          <w:rtl/>
        </w:rPr>
        <w:t>141</w:t>
      </w:r>
      <w:r w:rsidRPr="005D59A7">
        <w:rPr>
          <w:rFonts w:ascii="T" w:hAnsi="T" w:cs="Simplified Arabic"/>
          <w:sz w:val="24"/>
          <w:szCs w:val="24"/>
          <w:rtl/>
        </w:rPr>
        <w:t xml:space="preserve"> مليار</w:t>
      </w:r>
      <w:r w:rsidR="00045246" w:rsidRPr="005D59A7">
        <w:rPr>
          <w:rFonts w:ascii="T" w:hAnsi="T" w:cs="Simplified Arabic"/>
          <w:sz w:val="24"/>
          <w:szCs w:val="24"/>
        </w:rPr>
        <w:t xml:space="preserve"> </w:t>
      </w:r>
      <w:r w:rsidRPr="005D59A7">
        <w:rPr>
          <w:rFonts w:ascii="T" w:hAnsi="T" w:cs="Simplified Arabic"/>
          <w:sz w:val="24"/>
          <w:szCs w:val="24"/>
          <w:rtl/>
        </w:rPr>
        <w:t>دولار</w:t>
      </w:r>
      <w:r w:rsidR="00045246" w:rsidRPr="005D59A7">
        <w:rPr>
          <w:rFonts w:ascii="T" w:hAnsi="T" w:cs="Simplified Arabic"/>
          <w:sz w:val="24"/>
          <w:szCs w:val="24"/>
        </w:rPr>
        <w:t xml:space="preserve"> </w:t>
      </w:r>
      <w:r w:rsidRPr="005D59A7">
        <w:rPr>
          <w:rFonts w:ascii="T" w:hAnsi="T" w:cs="Simplified Arabic"/>
          <w:sz w:val="24"/>
          <w:szCs w:val="24"/>
          <w:rtl/>
        </w:rPr>
        <w:t>سنويًا،</w:t>
      </w:r>
      <w:r w:rsidR="00045246" w:rsidRPr="005D59A7">
        <w:rPr>
          <w:rFonts w:ascii="T" w:hAnsi="T" w:cs="Simplified Arabic"/>
          <w:sz w:val="24"/>
          <w:szCs w:val="24"/>
        </w:rPr>
        <w:t xml:space="preserve"> </w:t>
      </w:r>
      <w:r w:rsidRPr="005D59A7">
        <w:rPr>
          <w:rFonts w:ascii="T" w:hAnsi="T" w:cs="Simplified Arabic"/>
          <w:sz w:val="24"/>
          <w:szCs w:val="24"/>
          <w:rtl/>
        </w:rPr>
        <w:t>أي</w:t>
      </w:r>
      <w:r w:rsidR="00045246" w:rsidRPr="005D59A7">
        <w:rPr>
          <w:rFonts w:ascii="T" w:hAnsi="T" w:cs="Simplified Arabic"/>
          <w:sz w:val="24"/>
          <w:szCs w:val="24"/>
        </w:rPr>
        <w:t xml:space="preserve"> </w:t>
      </w:r>
      <w:r w:rsidRPr="005D59A7">
        <w:rPr>
          <w:rFonts w:ascii="T" w:hAnsi="T" w:cs="Simplified Arabic"/>
          <w:sz w:val="24"/>
          <w:szCs w:val="24"/>
          <w:rtl/>
        </w:rPr>
        <w:t>ما</w:t>
      </w:r>
      <w:r w:rsidR="00045246" w:rsidRPr="005D59A7">
        <w:rPr>
          <w:rFonts w:ascii="T" w:hAnsi="T" w:cs="Simplified Arabic"/>
          <w:sz w:val="24"/>
          <w:szCs w:val="24"/>
        </w:rPr>
        <w:t xml:space="preserve"> </w:t>
      </w:r>
      <w:r w:rsidRPr="005D59A7">
        <w:rPr>
          <w:rFonts w:ascii="T" w:hAnsi="T" w:cs="Simplified Arabic"/>
          <w:sz w:val="24"/>
          <w:szCs w:val="24"/>
          <w:rtl/>
        </w:rPr>
        <w:t xml:space="preserve">يعادل </w:t>
      </w:r>
      <w:r w:rsidR="008200D7" w:rsidRPr="005D59A7">
        <w:rPr>
          <w:rFonts w:ascii="T" w:hAnsi="T" w:cs="Simplified Arabic"/>
          <w:sz w:val="24"/>
          <w:szCs w:val="24"/>
          <w:rtl/>
        </w:rPr>
        <w:t>2</w:t>
      </w:r>
      <w:r w:rsidRPr="005D59A7">
        <w:rPr>
          <w:rFonts w:ascii="T" w:hAnsi="T" w:cs="Simplified Arabic"/>
          <w:sz w:val="24"/>
          <w:szCs w:val="24"/>
          <w:rtl/>
        </w:rPr>
        <w:t>٪ من</w:t>
      </w:r>
      <w:r w:rsidR="00045246" w:rsidRPr="005D59A7">
        <w:rPr>
          <w:rFonts w:ascii="T" w:hAnsi="T" w:cs="Simplified Arabic"/>
          <w:sz w:val="24"/>
          <w:szCs w:val="24"/>
        </w:rPr>
        <w:t xml:space="preserve"> </w:t>
      </w:r>
      <w:r w:rsidRPr="005D59A7">
        <w:rPr>
          <w:rFonts w:ascii="T" w:hAnsi="T" w:cs="Simplified Arabic"/>
          <w:sz w:val="24"/>
          <w:szCs w:val="24"/>
          <w:rtl/>
        </w:rPr>
        <w:t>الناتج</w:t>
      </w:r>
      <w:r w:rsidR="00045246" w:rsidRPr="005D59A7">
        <w:rPr>
          <w:rFonts w:ascii="T" w:hAnsi="T" w:cs="Simplified Arabic"/>
          <w:sz w:val="24"/>
          <w:szCs w:val="24"/>
        </w:rPr>
        <w:t xml:space="preserve"> </w:t>
      </w:r>
      <w:r w:rsidRPr="005D59A7">
        <w:rPr>
          <w:rFonts w:ascii="T" w:hAnsi="T" w:cs="Simplified Arabic"/>
          <w:sz w:val="24"/>
          <w:szCs w:val="24"/>
          <w:rtl/>
        </w:rPr>
        <w:t>الاقتصادي</w:t>
      </w:r>
      <w:r w:rsidR="00045246" w:rsidRPr="005D59A7">
        <w:rPr>
          <w:rFonts w:ascii="T" w:hAnsi="T" w:cs="Simplified Arabic"/>
          <w:sz w:val="24"/>
          <w:szCs w:val="24"/>
        </w:rPr>
        <w:t xml:space="preserve"> </w:t>
      </w:r>
      <w:r w:rsidRPr="005D59A7">
        <w:rPr>
          <w:rFonts w:ascii="T" w:hAnsi="T" w:cs="Simplified Arabic"/>
          <w:sz w:val="24"/>
          <w:szCs w:val="24"/>
          <w:rtl/>
        </w:rPr>
        <w:t>للمنطقة،</w:t>
      </w:r>
      <w:r w:rsidR="00045246" w:rsidRPr="005D59A7">
        <w:rPr>
          <w:rFonts w:ascii="T" w:hAnsi="T" w:cs="Simplified Arabic"/>
          <w:sz w:val="24"/>
          <w:szCs w:val="24"/>
        </w:rPr>
        <w:t xml:space="preserve"> </w:t>
      </w:r>
      <w:r w:rsidRPr="005D59A7">
        <w:rPr>
          <w:rFonts w:ascii="T" w:hAnsi="T" w:cs="Simplified Arabic"/>
          <w:sz w:val="24"/>
          <w:szCs w:val="24"/>
          <w:rtl/>
        </w:rPr>
        <w:t>مما</w:t>
      </w:r>
      <w:r w:rsidR="00045246" w:rsidRPr="005D59A7">
        <w:rPr>
          <w:rFonts w:ascii="T" w:hAnsi="T" w:cs="Simplified Arabic"/>
          <w:sz w:val="24"/>
          <w:szCs w:val="24"/>
        </w:rPr>
        <w:t xml:space="preserve"> </w:t>
      </w:r>
      <w:r w:rsidRPr="005D59A7">
        <w:rPr>
          <w:rFonts w:ascii="T" w:hAnsi="T" w:cs="Simplified Arabic"/>
          <w:sz w:val="24"/>
          <w:szCs w:val="24"/>
          <w:rtl/>
        </w:rPr>
        <w:t>يؤدي</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مشاكل</w:t>
      </w:r>
      <w:r w:rsidR="00045246" w:rsidRPr="005D59A7">
        <w:rPr>
          <w:rFonts w:ascii="T" w:hAnsi="T" w:cs="Simplified Arabic"/>
          <w:sz w:val="24"/>
          <w:szCs w:val="24"/>
        </w:rPr>
        <w:t xml:space="preserve"> </w:t>
      </w:r>
      <w:r w:rsidRPr="005D59A7">
        <w:rPr>
          <w:rFonts w:ascii="T" w:hAnsi="T" w:cs="Simplified Arabic"/>
          <w:sz w:val="24"/>
          <w:szCs w:val="24"/>
          <w:rtl/>
        </w:rPr>
        <w:t>صحية</w:t>
      </w:r>
      <w:r w:rsidR="00045246" w:rsidRPr="005D59A7">
        <w:rPr>
          <w:rFonts w:ascii="T" w:hAnsi="T" w:cs="Simplified Arabic"/>
          <w:sz w:val="24"/>
          <w:szCs w:val="24"/>
        </w:rPr>
        <w:t xml:space="preserve"> </w:t>
      </w:r>
      <w:r w:rsidRPr="005D59A7">
        <w:rPr>
          <w:rFonts w:ascii="T" w:hAnsi="T" w:cs="Simplified Arabic"/>
          <w:sz w:val="24"/>
          <w:szCs w:val="24"/>
          <w:rtl/>
        </w:rPr>
        <w:t>كبيرة</w:t>
      </w:r>
      <w:r w:rsidR="00045246" w:rsidRPr="005D59A7">
        <w:rPr>
          <w:rFonts w:ascii="T" w:hAnsi="T" w:cs="Simplified Arabic"/>
          <w:sz w:val="24"/>
          <w:szCs w:val="24"/>
        </w:rPr>
        <w:t xml:space="preserve"> </w:t>
      </w:r>
      <w:r w:rsidRPr="005D59A7">
        <w:rPr>
          <w:rFonts w:ascii="T" w:hAnsi="T" w:cs="Simplified Arabic"/>
          <w:sz w:val="24"/>
          <w:szCs w:val="24"/>
          <w:rtl/>
        </w:rPr>
        <w:t>ومعدلات</w:t>
      </w:r>
      <w:r w:rsidR="00045246" w:rsidRPr="005D59A7">
        <w:rPr>
          <w:rFonts w:ascii="T" w:hAnsi="T" w:cs="Simplified Arabic"/>
          <w:sz w:val="24"/>
          <w:szCs w:val="24"/>
        </w:rPr>
        <w:t xml:space="preserve"> </w:t>
      </w:r>
      <w:r w:rsidRPr="005D59A7">
        <w:rPr>
          <w:rFonts w:ascii="T" w:hAnsi="T" w:cs="Simplified Arabic"/>
          <w:sz w:val="24"/>
          <w:szCs w:val="24"/>
          <w:rtl/>
        </w:rPr>
        <w:t>وفيات. ورغم</w:t>
      </w:r>
      <w:r w:rsidR="00045246" w:rsidRPr="005D59A7">
        <w:rPr>
          <w:rFonts w:ascii="T" w:hAnsi="T" w:cs="Simplified Arabic"/>
          <w:sz w:val="24"/>
          <w:szCs w:val="24"/>
        </w:rPr>
        <w:t xml:space="preserve"> </w:t>
      </w:r>
      <w:r w:rsidRPr="005D59A7">
        <w:rPr>
          <w:rFonts w:ascii="T" w:hAnsi="T" w:cs="Simplified Arabic"/>
          <w:sz w:val="24"/>
          <w:szCs w:val="24"/>
          <w:rtl/>
        </w:rPr>
        <w:t>عدم</w:t>
      </w:r>
      <w:r w:rsidR="00045246" w:rsidRPr="005D59A7">
        <w:rPr>
          <w:rFonts w:ascii="T" w:hAnsi="T" w:cs="Simplified Arabic"/>
          <w:sz w:val="24"/>
          <w:szCs w:val="24"/>
        </w:rPr>
        <w:t xml:space="preserve"> </w:t>
      </w:r>
      <w:r w:rsidRPr="005D59A7">
        <w:rPr>
          <w:rFonts w:ascii="T" w:hAnsi="T" w:cs="Simplified Arabic"/>
          <w:sz w:val="24"/>
          <w:szCs w:val="24"/>
          <w:rtl/>
        </w:rPr>
        <w:t>تقديم</w:t>
      </w:r>
      <w:r w:rsidR="00045246" w:rsidRPr="005D59A7">
        <w:rPr>
          <w:rFonts w:ascii="T" w:hAnsi="T" w:cs="Simplified Arabic"/>
          <w:sz w:val="24"/>
          <w:szCs w:val="24"/>
        </w:rPr>
        <w:t xml:space="preserve"> </w:t>
      </w:r>
      <w:r w:rsidRPr="005D59A7">
        <w:rPr>
          <w:rFonts w:ascii="T" w:hAnsi="T" w:cs="Simplified Arabic"/>
          <w:sz w:val="24"/>
          <w:szCs w:val="24"/>
          <w:rtl/>
        </w:rPr>
        <w:lastRenderedPageBreak/>
        <w:t>رقم</w:t>
      </w:r>
      <w:r w:rsidR="00045246" w:rsidRPr="005D59A7">
        <w:rPr>
          <w:rFonts w:ascii="T" w:hAnsi="T" w:cs="Simplified Arabic"/>
          <w:sz w:val="24"/>
          <w:szCs w:val="24"/>
        </w:rPr>
        <w:t xml:space="preserve"> </w:t>
      </w:r>
      <w:r w:rsidRPr="005D59A7">
        <w:rPr>
          <w:rFonts w:ascii="T" w:hAnsi="T" w:cs="Simplified Arabic"/>
          <w:sz w:val="24"/>
          <w:szCs w:val="24"/>
          <w:rtl/>
        </w:rPr>
        <w:t>محدد</w:t>
      </w:r>
      <w:r w:rsidR="00045246" w:rsidRPr="005D59A7">
        <w:rPr>
          <w:rFonts w:ascii="T" w:hAnsi="T" w:cs="Simplified Arabic"/>
          <w:sz w:val="24"/>
          <w:szCs w:val="24"/>
        </w:rPr>
        <w:t xml:space="preserve"> </w:t>
      </w:r>
      <w:r w:rsidRPr="005D59A7">
        <w:rPr>
          <w:rFonts w:ascii="T" w:hAnsi="T" w:cs="Simplified Arabic"/>
          <w:sz w:val="24"/>
          <w:szCs w:val="24"/>
          <w:rtl/>
        </w:rPr>
        <w:t>للمملكة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وحدها</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هذا</w:t>
      </w:r>
      <w:r w:rsidR="00045246" w:rsidRPr="005D59A7">
        <w:rPr>
          <w:rFonts w:ascii="T" w:hAnsi="T" w:cs="Simplified Arabic"/>
          <w:sz w:val="24"/>
          <w:szCs w:val="24"/>
        </w:rPr>
        <w:t xml:space="preserve"> </w:t>
      </w:r>
      <w:r w:rsidRPr="005D59A7">
        <w:rPr>
          <w:rFonts w:ascii="T" w:hAnsi="T" w:cs="Simplified Arabic"/>
          <w:sz w:val="24"/>
          <w:szCs w:val="24"/>
          <w:rtl/>
        </w:rPr>
        <w:t>التقرير،</w:t>
      </w:r>
      <w:r w:rsidR="00045246" w:rsidRPr="005D59A7">
        <w:rPr>
          <w:rFonts w:ascii="T" w:hAnsi="T" w:cs="Simplified Arabic"/>
          <w:sz w:val="24"/>
          <w:szCs w:val="24"/>
        </w:rPr>
        <w:t xml:space="preserve"> </w:t>
      </w:r>
      <w:r w:rsidRPr="005D59A7">
        <w:rPr>
          <w:rFonts w:ascii="T" w:hAnsi="T" w:cs="Simplified Arabic"/>
          <w:sz w:val="24"/>
          <w:szCs w:val="24"/>
          <w:rtl/>
        </w:rPr>
        <w:t>إلا</w:t>
      </w:r>
      <w:r w:rsidR="00045246" w:rsidRPr="005D59A7">
        <w:rPr>
          <w:rFonts w:ascii="T" w:hAnsi="T" w:cs="Simplified Arabic"/>
          <w:sz w:val="24"/>
          <w:szCs w:val="24"/>
        </w:rPr>
        <w:t xml:space="preserve"> </w:t>
      </w:r>
      <w:r w:rsidRPr="005D59A7">
        <w:rPr>
          <w:rFonts w:ascii="T" w:hAnsi="T" w:cs="Simplified Arabic"/>
          <w:sz w:val="24"/>
          <w:szCs w:val="24"/>
          <w:rtl/>
        </w:rPr>
        <w:t>أنه</w:t>
      </w:r>
      <w:r w:rsidR="00045246" w:rsidRPr="005D59A7">
        <w:rPr>
          <w:rFonts w:ascii="T" w:hAnsi="T" w:cs="Simplified Arabic"/>
          <w:sz w:val="24"/>
          <w:szCs w:val="24"/>
        </w:rPr>
        <w:t xml:space="preserve"> </w:t>
      </w:r>
      <w:r w:rsidRPr="005D59A7">
        <w:rPr>
          <w:rFonts w:ascii="T" w:hAnsi="T" w:cs="Simplified Arabic"/>
          <w:sz w:val="24"/>
          <w:szCs w:val="24"/>
          <w:rtl/>
        </w:rPr>
        <w:t>بالنظر</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النشاط</w:t>
      </w:r>
      <w:r w:rsidR="00045246" w:rsidRPr="005D59A7">
        <w:rPr>
          <w:rFonts w:ascii="T" w:hAnsi="T" w:cs="Simplified Arabic"/>
          <w:sz w:val="24"/>
          <w:szCs w:val="24"/>
        </w:rPr>
        <w:t xml:space="preserve"> </w:t>
      </w:r>
      <w:r w:rsidRPr="005D59A7">
        <w:rPr>
          <w:rFonts w:ascii="T" w:hAnsi="T" w:cs="Simplified Arabic"/>
          <w:sz w:val="24"/>
          <w:szCs w:val="24"/>
          <w:rtl/>
        </w:rPr>
        <w:t>الصناعي</w:t>
      </w:r>
      <w:r w:rsidR="00045246" w:rsidRPr="005D59A7">
        <w:rPr>
          <w:rFonts w:ascii="T" w:hAnsi="T" w:cs="Simplified Arabic"/>
          <w:sz w:val="24"/>
          <w:szCs w:val="24"/>
        </w:rPr>
        <w:t xml:space="preserve"> </w:t>
      </w:r>
      <w:r w:rsidRPr="005D59A7">
        <w:rPr>
          <w:rFonts w:ascii="T" w:hAnsi="T" w:cs="Simplified Arabic"/>
          <w:sz w:val="24"/>
          <w:szCs w:val="24"/>
          <w:rtl/>
        </w:rPr>
        <w:t>والتحضر</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فإن</w:t>
      </w:r>
      <w:r w:rsidR="00045246" w:rsidRPr="005D59A7">
        <w:rPr>
          <w:rFonts w:ascii="T" w:hAnsi="T" w:cs="Simplified Arabic"/>
          <w:sz w:val="24"/>
          <w:szCs w:val="24"/>
        </w:rPr>
        <w:t xml:space="preserve"> </w:t>
      </w:r>
      <w:r w:rsidRPr="005D59A7">
        <w:rPr>
          <w:rFonts w:ascii="T" w:hAnsi="T" w:cs="Simplified Arabic"/>
          <w:sz w:val="24"/>
          <w:szCs w:val="24"/>
          <w:rtl/>
        </w:rPr>
        <w:t>حصتها</w:t>
      </w:r>
      <w:r w:rsidR="00045246" w:rsidRPr="005D59A7">
        <w:rPr>
          <w:rFonts w:ascii="T" w:hAnsi="T" w:cs="Simplified Arabic"/>
          <w:sz w:val="24"/>
          <w:szCs w:val="24"/>
        </w:rPr>
        <w:t xml:space="preserve"> </w:t>
      </w:r>
      <w:r w:rsidRPr="005D59A7">
        <w:rPr>
          <w:rFonts w:ascii="T" w:hAnsi="T" w:cs="Simplified Arabic"/>
          <w:sz w:val="24"/>
          <w:szCs w:val="24"/>
          <w:rtl/>
        </w:rPr>
        <w:t>ستكون</w:t>
      </w:r>
      <w:r w:rsidR="00045246" w:rsidRPr="005D59A7">
        <w:rPr>
          <w:rFonts w:ascii="T" w:hAnsi="T" w:cs="Simplified Arabic"/>
          <w:sz w:val="24"/>
          <w:szCs w:val="24"/>
        </w:rPr>
        <w:t xml:space="preserve"> </w:t>
      </w:r>
      <w:r w:rsidRPr="005D59A7">
        <w:rPr>
          <w:rFonts w:ascii="T" w:hAnsi="T" w:cs="Simplified Arabic"/>
          <w:sz w:val="24"/>
          <w:szCs w:val="24"/>
          <w:rtl/>
        </w:rPr>
        <w:t>كبيرة. كما</w:t>
      </w:r>
      <w:r w:rsidR="00045246" w:rsidRPr="005D59A7">
        <w:rPr>
          <w:rFonts w:ascii="T" w:hAnsi="T" w:cs="Simplified Arabic"/>
          <w:sz w:val="24"/>
          <w:szCs w:val="24"/>
        </w:rPr>
        <w:t xml:space="preserve"> </w:t>
      </w:r>
      <w:r w:rsidRPr="005D59A7">
        <w:rPr>
          <w:rFonts w:ascii="T" w:hAnsi="T" w:cs="Simplified Arabic"/>
          <w:sz w:val="24"/>
          <w:szCs w:val="24"/>
          <w:rtl/>
        </w:rPr>
        <w:t>تُظهر</w:t>
      </w:r>
      <w:r w:rsidR="00045246" w:rsidRPr="005D59A7">
        <w:rPr>
          <w:rFonts w:ascii="T" w:hAnsi="T" w:cs="Simplified Arabic"/>
          <w:sz w:val="24"/>
          <w:szCs w:val="24"/>
        </w:rPr>
        <w:t xml:space="preserve"> </w:t>
      </w:r>
      <w:r w:rsidRPr="005D59A7">
        <w:rPr>
          <w:rFonts w:ascii="T" w:hAnsi="T" w:cs="Simplified Arabic"/>
          <w:sz w:val="24"/>
          <w:szCs w:val="24"/>
          <w:rtl/>
        </w:rPr>
        <w:t>الدراسات</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زيادة</w:t>
      </w:r>
      <w:r w:rsidR="00045246" w:rsidRPr="005D59A7">
        <w:rPr>
          <w:rFonts w:ascii="T" w:hAnsi="T" w:cs="Simplified Arabic"/>
          <w:sz w:val="24"/>
          <w:szCs w:val="24"/>
        </w:rPr>
        <w:t xml:space="preserve"> </w:t>
      </w:r>
      <w:r w:rsidRPr="005D59A7">
        <w:rPr>
          <w:rFonts w:ascii="T" w:hAnsi="T" w:cs="Simplified Arabic"/>
          <w:sz w:val="24"/>
          <w:szCs w:val="24"/>
          <w:rtl/>
        </w:rPr>
        <w:t>انبعاثات</w:t>
      </w:r>
      <w:r w:rsidR="00045246" w:rsidRPr="005D59A7">
        <w:rPr>
          <w:rFonts w:ascii="T" w:hAnsi="T" w:cs="Simplified Arabic"/>
          <w:sz w:val="24"/>
          <w:szCs w:val="24"/>
        </w:rPr>
        <w:t xml:space="preserve"> </w:t>
      </w:r>
      <w:r w:rsidRPr="005D59A7">
        <w:rPr>
          <w:rFonts w:ascii="T" w:hAnsi="T" w:cs="Simplified Arabic"/>
          <w:sz w:val="24"/>
          <w:szCs w:val="24"/>
          <w:rtl/>
        </w:rPr>
        <w:t>ثاني</w:t>
      </w:r>
      <w:r w:rsidR="00045246" w:rsidRPr="005D59A7">
        <w:rPr>
          <w:rFonts w:ascii="T" w:hAnsi="T" w:cs="Simplified Arabic"/>
          <w:sz w:val="24"/>
          <w:szCs w:val="24"/>
        </w:rPr>
        <w:t xml:space="preserve"> </w:t>
      </w:r>
      <w:r w:rsidRPr="005D59A7">
        <w:rPr>
          <w:rFonts w:ascii="T" w:hAnsi="T" w:cs="Simplified Arabic"/>
          <w:sz w:val="24"/>
          <w:szCs w:val="24"/>
          <w:rtl/>
        </w:rPr>
        <w:t>أكسيد</w:t>
      </w:r>
      <w:r w:rsidR="00045246" w:rsidRPr="005D59A7">
        <w:rPr>
          <w:rFonts w:ascii="T" w:hAnsi="T" w:cs="Simplified Arabic"/>
          <w:sz w:val="24"/>
          <w:szCs w:val="24"/>
        </w:rPr>
        <w:t xml:space="preserve"> </w:t>
      </w:r>
      <w:r w:rsidRPr="005D59A7">
        <w:rPr>
          <w:rFonts w:ascii="T" w:hAnsi="T" w:cs="Simplified Arabic"/>
          <w:sz w:val="24"/>
          <w:szCs w:val="24"/>
          <w:rtl/>
        </w:rPr>
        <w:t>الكربون</w:t>
      </w:r>
      <w:r w:rsidR="00045246" w:rsidRPr="005D59A7">
        <w:rPr>
          <w:rFonts w:ascii="T" w:hAnsi="T" w:cs="Simplified Arabic"/>
          <w:sz w:val="24"/>
          <w:szCs w:val="24"/>
        </w:rPr>
        <w:t xml:space="preserve"> </w:t>
      </w:r>
      <w:r w:rsidRPr="005D59A7">
        <w:rPr>
          <w:rFonts w:ascii="T" w:hAnsi="T" w:cs="Simplified Arabic"/>
          <w:sz w:val="24"/>
          <w:szCs w:val="24"/>
          <w:rtl/>
        </w:rPr>
        <w:t>في</w:t>
      </w:r>
      <w:r w:rsidR="00045246" w:rsidRPr="005D59A7">
        <w:rPr>
          <w:rFonts w:ascii="T" w:hAnsi="T" w:cs="Simplified Arabic"/>
          <w:sz w:val="24"/>
          <w:szCs w:val="24"/>
        </w:rPr>
        <w:t xml:space="preserve"> </w:t>
      </w:r>
      <w:r w:rsidRPr="005D59A7">
        <w:rPr>
          <w:rFonts w:ascii="T" w:hAnsi="T" w:cs="Simplified Arabic"/>
          <w:sz w:val="24"/>
          <w:szCs w:val="24"/>
          <w:rtl/>
        </w:rPr>
        <w:t>المملكة</w:t>
      </w:r>
      <w:r w:rsidR="00045246" w:rsidRPr="005D59A7">
        <w:rPr>
          <w:rFonts w:ascii="T" w:hAnsi="T" w:cs="Simplified Arabic"/>
          <w:sz w:val="24"/>
          <w:szCs w:val="24"/>
        </w:rPr>
        <w:t xml:space="preserve"> </w:t>
      </w:r>
      <w:r w:rsidRPr="005D59A7">
        <w:rPr>
          <w:rFonts w:ascii="T" w:hAnsi="T" w:cs="Simplified Arabic"/>
          <w:sz w:val="24"/>
          <w:szCs w:val="24"/>
          <w:rtl/>
        </w:rPr>
        <w:t>العربية</w:t>
      </w:r>
      <w:r w:rsidR="00045246" w:rsidRPr="005D59A7">
        <w:rPr>
          <w:rFonts w:ascii="T" w:hAnsi="T" w:cs="Simplified Arabic"/>
          <w:sz w:val="24"/>
          <w:szCs w:val="24"/>
        </w:rPr>
        <w:t xml:space="preserve"> </w:t>
      </w:r>
      <w:r w:rsidRPr="005D59A7">
        <w:rPr>
          <w:rFonts w:ascii="T" w:hAnsi="T" w:cs="Simplified Arabic"/>
          <w:sz w:val="24"/>
          <w:szCs w:val="24"/>
          <w:rtl/>
        </w:rPr>
        <w:t>السعودية</w:t>
      </w:r>
      <w:r w:rsidR="00045246" w:rsidRPr="005D59A7">
        <w:rPr>
          <w:rFonts w:ascii="T" w:hAnsi="T" w:cs="Simplified Arabic"/>
          <w:sz w:val="24"/>
          <w:szCs w:val="24"/>
        </w:rPr>
        <w:t xml:space="preserve"> </w:t>
      </w:r>
      <w:r w:rsidRPr="005D59A7">
        <w:rPr>
          <w:rFonts w:ascii="T" w:hAnsi="T" w:cs="Simplified Arabic"/>
          <w:sz w:val="24"/>
          <w:szCs w:val="24"/>
          <w:rtl/>
        </w:rPr>
        <w:t xml:space="preserve">بنسبة </w:t>
      </w:r>
      <w:r w:rsidR="008200D7" w:rsidRPr="005D59A7">
        <w:rPr>
          <w:rFonts w:ascii="T" w:hAnsi="T" w:cs="Simplified Arabic"/>
          <w:sz w:val="24"/>
          <w:szCs w:val="24"/>
          <w:rtl/>
        </w:rPr>
        <w:t>10</w:t>
      </w:r>
      <w:r w:rsidRPr="005D59A7">
        <w:rPr>
          <w:rFonts w:ascii="T" w:hAnsi="T" w:cs="Simplified Arabic"/>
          <w:sz w:val="24"/>
          <w:szCs w:val="24"/>
          <w:rtl/>
        </w:rPr>
        <w:t>٪ يمكن</w:t>
      </w:r>
      <w:r w:rsidR="00045246" w:rsidRPr="005D59A7">
        <w:rPr>
          <w:rFonts w:ascii="T" w:hAnsi="T" w:cs="Simplified Arabic"/>
          <w:sz w:val="24"/>
          <w:szCs w:val="24"/>
        </w:rPr>
        <w:t xml:space="preserve"> </w:t>
      </w:r>
      <w:r w:rsidRPr="005D59A7">
        <w:rPr>
          <w:rFonts w:ascii="T" w:hAnsi="T" w:cs="Simplified Arabic"/>
          <w:sz w:val="24"/>
          <w:szCs w:val="24"/>
          <w:rtl/>
        </w:rPr>
        <w:t>أن</w:t>
      </w:r>
      <w:r w:rsidR="00045246" w:rsidRPr="005D59A7">
        <w:rPr>
          <w:rFonts w:ascii="T" w:hAnsi="T" w:cs="Simplified Arabic"/>
          <w:sz w:val="24"/>
          <w:szCs w:val="24"/>
        </w:rPr>
        <w:t xml:space="preserve"> </w:t>
      </w:r>
      <w:r w:rsidRPr="005D59A7">
        <w:rPr>
          <w:rFonts w:ascii="T" w:hAnsi="T" w:cs="Simplified Arabic"/>
          <w:sz w:val="24"/>
          <w:szCs w:val="24"/>
          <w:rtl/>
        </w:rPr>
        <w:t>تؤدي</w:t>
      </w:r>
      <w:r w:rsidR="00045246" w:rsidRPr="005D59A7">
        <w:rPr>
          <w:rFonts w:ascii="T" w:hAnsi="T" w:cs="Simplified Arabic"/>
          <w:sz w:val="24"/>
          <w:szCs w:val="24"/>
        </w:rPr>
        <w:t xml:space="preserve"> </w:t>
      </w:r>
      <w:r w:rsidRPr="005D59A7">
        <w:rPr>
          <w:rFonts w:ascii="T" w:hAnsi="T" w:cs="Simplified Arabic"/>
          <w:sz w:val="24"/>
          <w:szCs w:val="24"/>
          <w:rtl/>
        </w:rPr>
        <w:t>إلى</w:t>
      </w:r>
      <w:r w:rsidR="00045246" w:rsidRPr="005D59A7">
        <w:rPr>
          <w:rFonts w:ascii="T" w:hAnsi="T" w:cs="Simplified Arabic"/>
          <w:sz w:val="24"/>
          <w:szCs w:val="24"/>
        </w:rPr>
        <w:t xml:space="preserve"> </w:t>
      </w:r>
      <w:r w:rsidRPr="005D59A7">
        <w:rPr>
          <w:rFonts w:ascii="T" w:hAnsi="T" w:cs="Simplified Arabic"/>
          <w:sz w:val="24"/>
          <w:szCs w:val="24"/>
          <w:rtl/>
        </w:rPr>
        <w:t>انخفاض</w:t>
      </w:r>
      <w:r w:rsidR="00045246" w:rsidRPr="005D59A7">
        <w:rPr>
          <w:rFonts w:ascii="T" w:hAnsi="T" w:cs="Simplified Arabic"/>
          <w:sz w:val="24"/>
          <w:szCs w:val="24"/>
        </w:rPr>
        <w:t xml:space="preserve"> </w:t>
      </w:r>
      <w:r w:rsidRPr="005D59A7">
        <w:rPr>
          <w:rFonts w:ascii="T" w:hAnsi="T" w:cs="Simplified Arabic"/>
          <w:sz w:val="24"/>
          <w:szCs w:val="24"/>
          <w:rtl/>
        </w:rPr>
        <w:t>إنتاجية</w:t>
      </w:r>
      <w:r w:rsidR="00045246" w:rsidRPr="005D59A7">
        <w:rPr>
          <w:rFonts w:ascii="T" w:hAnsi="T" w:cs="Simplified Arabic"/>
          <w:sz w:val="24"/>
          <w:szCs w:val="24"/>
        </w:rPr>
        <w:t xml:space="preserve"> </w:t>
      </w:r>
      <w:r w:rsidRPr="005D59A7">
        <w:rPr>
          <w:rFonts w:ascii="T" w:hAnsi="T" w:cs="Simplified Arabic"/>
          <w:sz w:val="24"/>
          <w:szCs w:val="24"/>
          <w:rtl/>
        </w:rPr>
        <w:t>العمال</w:t>
      </w:r>
      <w:r w:rsidR="00045246" w:rsidRPr="005D59A7">
        <w:rPr>
          <w:rFonts w:ascii="T" w:hAnsi="T" w:cs="Simplified Arabic"/>
          <w:sz w:val="24"/>
          <w:szCs w:val="24"/>
        </w:rPr>
        <w:t xml:space="preserve"> </w:t>
      </w:r>
      <w:r w:rsidRPr="005D59A7">
        <w:rPr>
          <w:rFonts w:ascii="T" w:hAnsi="T" w:cs="Simplified Arabic"/>
          <w:sz w:val="24"/>
          <w:szCs w:val="24"/>
          <w:rtl/>
        </w:rPr>
        <w:t>وإنتاجية</w:t>
      </w:r>
      <w:r w:rsidR="00045246" w:rsidRPr="005D59A7">
        <w:rPr>
          <w:rFonts w:ascii="T" w:hAnsi="T" w:cs="Simplified Arabic"/>
          <w:sz w:val="24"/>
          <w:szCs w:val="24"/>
        </w:rPr>
        <w:t xml:space="preserve"> </w:t>
      </w:r>
      <w:r w:rsidRPr="005D59A7">
        <w:rPr>
          <w:rFonts w:ascii="T" w:hAnsi="T" w:cs="Simplified Arabic"/>
          <w:sz w:val="24"/>
          <w:szCs w:val="24"/>
          <w:rtl/>
        </w:rPr>
        <w:t>رأس</w:t>
      </w:r>
      <w:r w:rsidR="00045246" w:rsidRPr="005D59A7">
        <w:rPr>
          <w:rFonts w:ascii="T" w:hAnsi="T" w:cs="Simplified Arabic"/>
          <w:sz w:val="24"/>
          <w:szCs w:val="24"/>
        </w:rPr>
        <w:t xml:space="preserve"> </w:t>
      </w:r>
      <w:r w:rsidRPr="005D59A7">
        <w:rPr>
          <w:rFonts w:ascii="T" w:hAnsi="T" w:cs="Simplified Arabic"/>
          <w:sz w:val="24"/>
          <w:szCs w:val="24"/>
          <w:rtl/>
        </w:rPr>
        <w:t>المال</w:t>
      </w:r>
      <w:r w:rsidR="00045246" w:rsidRPr="005D59A7">
        <w:rPr>
          <w:rFonts w:ascii="T" w:hAnsi="T" w:cs="Simplified Arabic"/>
          <w:sz w:val="24"/>
          <w:szCs w:val="24"/>
        </w:rPr>
        <w:t xml:space="preserve"> </w:t>
      </w:r>
      <w:r w:rsidRPr="005D59A7">
        <w:rPr>
          <w:rFonts w:ascii="T" w:hAnsi="T" w:cs="Simplified Arabic"/>
          <w:sz w:val="24"/>
          <w:szCs w:val="24"/>
          <w:rtl/>
        </w:rPr>
        <w:t>المستثمر (</w:t>
      </w:r>
      <w:r w:rsidRPr="005D59A7">
        <w:rPr>
          <w:rFonts w:ascii="T" w:hAnsi="T" w:cs="Simplified Arabic"/>
          <w:sz w:val="24"/>
          <w:szCs w:val="24"/>
        </w:rPr>
        <w:t>World Bank, 2022</w:t>
      </w:r>
      <w:r w:rsidRPr="005D59A7">
        <w:rPr>
          <w:rFonts w:ascii="T" w:hAnsi="T" w:cs="Simplified Arabic"/>
          <w:sz w:val="24"/>
          <w:szCs w:val="24"/>
          <w:rtl/>
        </w:rPr>
        <w:t>).</w:t>
      </w:r>
    </w:p>
    <w:p w14:paraId="5ED50CAE" w14:textId="77777777" w:rsidR="00FB3FFD"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تدهور</w:t>
      </w:r>
      <w:r w:rsidR="00333C4D" w:rsidRPr="005D59A7">
        <w:rPr>
          <w:rFonts w:ascii="T" w:hAnsi="T" w:cs="Simplified Arabic"/>
          <w:sz w:val="24"/>
          <w:szCs w:val="24"/>
          <w:rtl/>
        </w:rPr>
        <w:t xml:space="preserve"> </w:t>
      </w:r>
      <w:r w:rsidRPr="005D59A7">
        <w:rPr>
          <w:rFonts w:ascii="T" w:hAnsi="T" w:cs="Simplified Arabic"/>
          <w:sz w:val="24"/>
          <w:szCs w:val="24"/>
          <w:rtl/>
        </w:rPr>
        <w:t>الأراضي: تواجه</w:t>
      </w:r>
      <w:r w:rsidR="009737DA" w:rsidRPr="005D59A7">
        <w:rPr>
          <w:rFonts w:ascii="T" w:hAnsi="T" w:cs="Simplified Arabic"/>
          <w:sz w:val="24"/>
          <w:szCs w:val="24"/>
        </w:rPr>
        <w:t xml:space="preserve"> </w:t>
      </w:r>
      <w:r w:rsidRPr="005D59A7">
        <w:rPr>
          <w:rFonts w:ascii="T" w:hAnsi="T" w:cs="Simplified Arabic"/>
          <w:sz w:val="24"/>
          <w:szCs w:val="24"/>
          <w:rtl/>
        </w:rPr>
        <w:t>المملكة</w:t>
      </w:r>
      <w:r w:rsidR="009737DA" w:rsidRPr="005D59A7">
        <w:rPr>
          <w:rFonts w:ascii="T" w:hAnsi="T" w:cs="Simplified Arabic"/>
          <w:sz w:val="24"/>
          <w:szCs w:val="24"/>
        </w:rPr>
        <w:t xml:space="preserve"> </w:t>
      </w:r>
      <w:r w:rsidRPr="005D59A7">
        <w:rPr>
          <w:rFonts w:ascii="T" w:hAnsi="T" w:cs="Simplified Arabic"/>
          <w:sz w:val="24"/>
          <w:szCs w:val="24"/>
          <w:rtl/>
        </w:rPr>
        <w:t>العربية</w:t>
      </w:r>
      <w:r w:rsidR="009737DA" w:rsidRPr="005D59A7">
        <w:rPr>
          <w:rFonts w:ascii="T" w:hAnsi="T" w:cs="Simplified Arabic"/>
          <w:sz w:val="24"/>
          <w:szCs w:val="24"/>
        </w:rPr>
        <w:t xml:space="preserve"> </w:t>
      </w:r>
      <w:r w:rsidRPr="005D59A7">
        <w:rPr>
          <w:rFonts w:ascii="T" w:hAnsi="T" w:cs="Simplified Arabic"/>
          <w:sz w:val="24"/>
          <w:szCs w:val="24"/>
          <w:rtl/>
        </w:rPr>
        <w:t>السعودية</w:t>
      </w:r>
      <w:r w:rsidR="009737DA" w:rsidRPr="005D59A7">
        <w:rPr>
          <w:rFonts w:ascii="T" w:hAnsi="T" w:cs="Simplified Arabic"/>
          <w:sz w:val="24"/>
          <w:szCs w:val="24"/>
        </w:rPr>
        <w:t xml:space="preserve"> </w:t>
      </w:r>
      <w:r w:rsidRPr="005D59A7">
        <w:rPr>
          <w:rFonts w:ascii="T" w:hAnsi="T" w:cs="Simplified Arabic"/>
          <w:sz w:val="24"/>
          <w:szCs w:val="24"/>
          <w:rtl/>
        </w:rPr>
        <w:t>تحديات</w:t>
      </w:r>
      <w:r w:rsidR="009737DA" w:rsidRPr="005D59A7">
        <w:rPr>
          <w:rFonts w:ascii="T" w:hAnsi="T" w:cs="Simplified Arabic"/>
          <w:sz w:val="24"/>
          <w:szCs w:val="24"/>
        </w:rPr>
        <w:t xml:space="preserve"> </w:t>
      </w:r>
      <w:r w:rsidRPr="005D59A7">
        <w:rPr>
          <w:rFonts w:ascii="T" w:hAnsi="T" w:cs="Simplified Arabic"/>
          <w:sz w:val="24"/>
          <w:szCs w:val="24"/>
          <w:rtl/>
        </w:rPr>
        <w:t>كبيرة</w:t>
      </w:r>
      <w:r w:rsidR="009737DA" w:rsidRPr="005D59A7">
        <w:rPr>
          <w:rFonts w:ascii="T" w:hAnsi="T" w:cs="Simplified Arabic"/>
          <w:sz w:val="24"/>
          <w:szCs w:val="24"/>
        </w:rPr>
        <w:t xml:space="preserve"> </w:t>
      </w:r>
      <w:r w:rsidRPr="005D59A7">
        <w:rPr>
          <w:rFonts w:ascii="T" w:hAnsi="T" w:cs="Simplified Arabic"/>
          <w:sz w:val="24"/>
          <w:szCs w:val="24"/>
          <w:rtl/>
        </w:rPr>
        <w:t>في</w:t>
      </w:r>
      <w:r w:rsidR="009737DA" w:rsidRPr="005D59A7">
        <w:rPr>
          <w:rFonts w:ascii="T" w:hAnsi="T" w:cs="Simplified Arabic"/>
          <w:sz w:val="24"/>
          <w:szCs w:val="24"/>
        </w:rPr>
        <w:t xml:space="preserve"> </w:t>
      </w:r>
      <w:r w:rsidRPr="005D59A7">
        <w:rPr>
          <w:rFonts w:ascii="T" w:hAnsi="T" w:cs="Simplified Arabic"/>
          <w:sz w:val="24"/>
          <w:szCs w:val="24"/>
          <w:rtl/>
        </w:rPr>
        <w:t>مجال</w:t>
      </w:r>
      <w:r w:rsidR="009737DA" w:rsidRPr="005D59A7">
        <w:rPr>
          <w:rFonts w:ascii="T" w:hAnsi="T" w:cs="Simplified Arabic"/>
          <w:sz w:val="24"/>
          <w:szCs w:val="24"/>
        </w:rPr>
        <w:t xml:space="preserve"> </w:t>
      </w:r>
      <w:r w:rsidRPr="005D59A7">
        <w:rPr>
          <w:rFonts w:ascii="T" w:hAnsi="T" w:cs="Simplified Arabic"/>
          <w:sz w:val="24"/>
          <w:szCs w:val="24"/>
          <w:rtl/>
        </w:rPr>
        <w:t>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حيث</w:t>
      </w:r>
      <w:r w:rsidR="009737DA" w:rsidRPr="005D59A7">
        <w:rPr>
          <w:rFonts w:ascii="T" w:hAnsi="T" w:cs="Simplified Arabic"/>
          <w:sz w:val="24"/>
          <w:szCs w:val="24"/>
        </w:rPr>
        <w:t xml:space="preserve"> </w:t>
      </w:r>
      <w:r w:rsidRPr="005D59A7">
        <w:rPr>
          <w:rFonts w:ascii="T" w:hAnsi="T" w:cs="Simplified Arabic"/>
          <w:sz w:val="24"/>
          <w:szCs w:val="24"/>
          <w:rtl/>
        </w:rPr>
        <w:t>تُصنف 95% من</w:t>
      </w:r>
      <w:r w:rsidR="009737DA" w:rsidRPr="005D59A7">
        <w:rPr>
          <w:rFonts w:ascii="T" w:hAnsi="T" w:cs="Simplified Arabic"/>
          <w:sz w:val="24"/>
          <w:szCs w:val="24"/>
        </w:rPr>
        <w:t xml:space="preserve"> </w:t>
      </w:r>
      <w:r w:rsidRPr="005D59A7">
        <w:rPr>
          <w:rFonts w:ascii="T" w:hAnsi="T" w:cs="Simplified Arabic"/>
          <w:sz w:val="24"/>
          <w:szCs w:val="24"/>
          <w:rtl/>
        </w:rPr>
        <w:t>أراضيها</w:t>
      </w:r>
      <w:r w:rsidR="009737DA" w:rsidRPr="005D59A7">
        <w:rPr>
          <w:rFonts w:ascii="T" w:hAnsi="T" w:cs="Simplified Arabic"/>
          <w:sz w:val="24"/>
          <w:szCs w:val="24"/>
        </w:rPr>
        <w:t xml:space="preserve"> </w:t>
      </w:r>
      <w:r w:rsidRPr="005D59A7">
        <w:rPr>
          <w:rFonts w:ascii="T" w:hAnsi="T" w:cs="Simplified Arabic"/>
          <w:sz w:val="24"/>
          <w:szCs w:val="24"/>
          <w:rtl/>
        </w:rPr>
        <w:t>على</w:t>
      </w:r>
      <w:r w:rsidR="009737DA" w:rsidRPr="005D59A7">
        <w:rPr>
          <w:rFonts w:ascii="T" w:hAnsi="T" w:cs="Simplified Arabic"/>
          <w:sz w:val="24"/>
          <w:szCs w:val="24"/>
        </w:rPr>
        <w:t xml:space="preserve"> </w:t>
      </w:r>
      <w:r w:rsidRPr="005D59A7">
        <w:rPr>
          <w:rFonts w:ascii="T" w:hAnsi="T" w:cs="Simplified Arabic"/>
          <w:sz w:val="24"/>
          <w:szCs w:val="24"/>
          <w:rtl/>
        </w:rPr>
        <w:t>أنها</w:t>
      </w:r>
      <w:r w:rsidR="009737DA" w:rsidRPr="005D59A7">
        <w:rPr>
          <w:rFonts w:ascii="T" w:hAnsi="T" w:cs="Simplified Arabic"/>
          <w:sz w:val="24"/>
          <w:szCs w:val="24"/>
        </w:rPr>
        <w:t xml:space="preserve"> </w:t>
      </w:r>
      <w:r w:rsidRPr="005D59A7">
        <w:rPr>
          <w:rFonts w:ascii="T" w:hAnsi="T" w:cs="Simplified Arabic"/>
          <w:sz w:val="24"/>
          <w:szCs w:val="24"/>
          <w:rtl/>
        </w:rPr>
        <w:t>صحراوية. في</w:t>
      </w:r>
      <w:r w:rsidR="009737DA" w:rsidRPr="005D59A7">
        <w:rPr>
          <w:rFonts w:ascii="T" w:hAnsi="T" w:cs="Simplified Arabic"/>
          <w:sz w:val="24"/>
          <w:szCs w:val="24"/>
        </w:rPr>
        <w:t xml:space="preserve"> </w:t>
      </w:r>
      <w:r w:rsidRPr="005D59A7">
        <w:rPr>
          <w:rFonts w:ascii="T" w:hAnsi="T" w:cs="Simplified Arabic"/>
          <w:sz w:val="24"/>
          <w:szCs w:val="24"/>
          <w:rtl/>
        </w:rPr>
        <w:t>عام 2019،</w:t>
      </w:r>
      <w:r w:rsidR="009737DA" w:rsidRPr="005D59A7">
        <w:rPr>
          <w:rFonts w:ascii="T" w:hAnsi="T" w:cs="Simplified Arabic"/>
          <w:sz w:val="24"/>
          <w:szCs w:val="24"/>
        </w:rPr>
        <w:t xml:space="preserve"> </w:t>
      </w:r>
      <w:r w:rsidRPr="005D59A7">
        <w:rPr>
          <w:rFonts w:ascii="T" w:hAnsi="T" w:cs="Simplified Arabic"/>
          <w:sz w:val="24"/>
          <w:szCs w:val="24"/>
          <w:rtl/>
        </w:rPr>
        <w:t>أثر</w:t>
      </w:r>
      <w:r w:rsidR="009737DA" w:rsidRPr="005D59A7">
        <w:rPr>
          <w:rFonts w:ascii="T" w:hAnsi="T" w:cs="Simplified Arabic"/>
          <w:sz w:val="24"/>
          <w:szCs w:val="24"/>
        </w:rPr>
        <w:t xml:space="preserve"> </w:t>
      </w:r>
      <w:r w:rsidRPr="005D59A7">
        <w:rPr>
          <w:rFonts w:ascii="T" w:hAnsi="T" w:cs="Simplified Arabic"/>
          <w:sz w:val="24"/>
          <w:szCs w:val="24"/>
          <w:rtl/>
        </w:rPr>
        <w:t>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على 20 مليون</w:t>
      </w:r>
      <w:r w:rsidR="009737DA" w:rsidRPr="005D59A7">
        <w:rPr>
          <w:rFonts w:ascii="T" w:hAnsi="T" w:cs="Simplified Arabic"/>
          <w:sz w:val="24"/>
          <w:szCs w:val="24"/>
        </w:rPr>
        <w:t xml:space="preserve"> </w:t>
      </w:r>
      <w:r w:rsidRPr="005D59A7">
        <w:rPr>
          <w:rFonts w:ascii="T" w:hAnsi="T" w:cs="Simplified Arabic"/>
          <w:sz w:val="24"/>
          <w:szCs w:val="24"/>
          <w:rtl/>
        </w:rPr>
        <w:t>هكتار،</w:t>
      </w:r>
      <w:r w:rsidR="009737DA" w:rsidRPr="005D59A7">
        <w:rPr>
          <w:rFonts w:ascii="T" w:hAnsi="T" w:cs="Simplified Arabic"/>
          <w:sz w:val="24"/>
          <w:szCs w:val="24"/>
        </w:rPr>
        <w:t xml:space="preserve"> </w:t>
      </w:r>
      <w:r w:rsidRPr="005D59A7">
        <w:rPr>
          <w:rFonts w:ascii="T" w:hAnsi="T" w:cs="Simplified Arabic"/>
          <w:sz w:val="24"/>
          <w:szCs w:val="24"/>
          <w:rtl/>
        </w:rPr>
        <w:t>أي</w:t>
      </w:r>
      <w:r w:rsidR="009737DA" w:rsidRPr="005D59A7">
        <w:rPr>
          <w:rFonts w:ascii="T" w:hAnsi="T" w:cs="Simplified Arabic"/>
          <w:sz w:val="24"/>
          <w:szCs w:val="24"/>
        </w:rPr>
        <w:t xml:space="preserve"> </w:t>
      </w:r>
      <w:r w:rsidRPr="005D59A7">
        <w:rPr>
          <w:rFonts w:ascii="T" w:hAnsi="T" w:cs="Simplified Arabic"/>
          <w:sz w:val="24"/>
          <w:szCs w:val="24"/>
          <w:rtl/>
        </w:rPr>
        <w:t>أكثر</w:t>
      </w:r>
      <w:r w:rsidR="009737DA" w:rsidRPr="005D59A7">
        <w:rPr>
          <w:rFonts w:ascii="T" w:hAnsi="T" w:cs="Simplified Arabic"/>
          <w:sz w:val="24"/>
          <w:szCs w:val="24"/>
        </w:rPr>
        <w:t xml:space="preserve"> </w:t>
      </w:r>
      <w:r w:rsidRPr="005D59A7">
        <w:rPr>
          <w:rFonts w:ascii="T" w:hAnsi="T" w:cs="Simplified Arabic"/>
          <w:sz w:val="24"/>
          <w:szCs w:val="24"/>
          <w:rtl/>
        </w:rPr>
        <w:t>من 10% من</w:t>
      </w:r>
      <w:r w:rsidR="009737DA" w:rsidRPr="005D59A7">
        <w:rPr>
          <w:rFonts w:ascii="T" w:hAnsi="T" w:cs="Simplified Arabic"/>
          <w:sz w:val="24"/>
          <w:szCs w:val="24"/>
        </w:rPr>
        <w:t xml:space="preserve"> </w:t>
      </w:r>
      <w:r w:rsidRPr="005D59A7">
        <w:rPr>
          <w:rFonts w:ascii="T" w:hAnsi="T" w:cs="Simplified Arabic"/>
          <w:sz w:val="24"/>
          <w:szCs w:val="24"/>
          <w:rtl/>
        </w:rPr>
        <w:t>أراضي</w:t>
      </w:r>
      <w:r w:rsidR="009737DA" w:rsidRPr="005D59A7">
        <w:rPr>
          <w:rFonts w:ascii="T" w:hAnsi="T" w:cs="Simplified Arabic"/>
          <w:sz w:val="24"/>
          <w:szCs w:val="24"/>
        </w:rPr>
        <w:t xml:space="preserve"> </w:t>
      </w:r>
      <w:r w:rsidRPr="005D59A7">
        <w:rPr>
          <w:rFonts w:ascii="T" w:hAnsi="T" w:cs="Simplified Arabic"/>
          <w:sz w:val="24"/>
          <w:szCs w:val="24"/>
          <w:rtl/>
        </w:rPr>
        <w:t>المملكة. تشمل</w:t>
      </w:r>
      <w:r w:rsidR="009737DA" w:rsidRPr="005D59A7">
        <w:rPr>
          <w:rFonts w:ascii="T" w:hAnsi="T" w:cs="Simplified Arabic"/>
          <w:sz w:val="24"/>
          <w:szCs w:val="24"/>
        </w:rPr>
        <w:t xml:space="preserve"> </w:t>
      </w:r>
      <w:r w:rsidRPr="005D59A7">
        <w:rPr>
          <w:rFonts w:ascii="T" w:hAnsi="T" w:cs="Simplified Arabic"/>
          <w:sz w:val="24"/>
          <w:szCs w:val="24"/>
          <w:rtl/>
        </w:rPr>
        <w:t>التكاليف</w:t>
      </w:r>
      <w:r w:rsidR="009737DA" w:rsidRPr="005D59A7">
        <w:rPr>
          <w:rFonts w:ascii="T" w:hAnsi="T" w:cs="Simplified Arabic"/>
          <w:sz w:val="24"/>
          <w:szCs w:val="24"/>
        </w:rPr>
        <w:t xml:space="preserve"> </w:t>
      </w:r>
      <w:r w:rsidRPr="005D59A7">
        <w:rPr>
          <w:rFonts w:ascii="T" w:hAnsi="T" w:cs="Simplified Arabic"/>
          <w:sz w:val="24"/>
          <w:szCs w:val="24"/>
          <w:rtl/>
        </w:rPr>
        <w:t>الاقتصادية</w:t>
      </w:r>
      <w:r w:rsidR="009737DA" w:rsidRPr="005D59A7">
        <w:rPr>
          <w:rFonts w:ascii="T" w:hAnsi="T" w:cs="Simplified Arabic"/>
          <w:sz w:val="24"/>
          <w:szCs w:val="24"/>
        </w:rPr>
        <w:t xml:space="preserve"> </w:t>
      </w:r>
      <w:r w:rsidRPr="005D59A7">
        <w:rPr>
          <w:rFonts w:ascii="T" w:hAnsi="T" w:cs="Simplified Arabic"/>
          <w:sz w:val="24"/>
          <w:szCs w:val="24"/>
          <w:rtl/>
        </w:rPr>
        <w:t>المرتبطة</w:t>
      </w:r>
      <w:r w:rsidR="009737DA" w:rsidRPr="005D59A7">
        <w:rPr>
          <w:rFonts w:ascii="T" w:hAnsi="T" w:cs="Simplified Arabic"/>
          <w:sz w:val="24"/>
          <w:szCs w:val="24"/>
        </w:rPr>
        <w:t xml:space="preserve"> </w:t>
      </w:r>
      <w:r w:rsidRPr="005D59A7">
        <w:rPr>
          <w:rFonts w:ascii="T" w:hAnsi="T" w:cs="Simplified Arabic"/>
          <w:sz w:val="24"/>
          <w:szCs w:val="24"/>
          <w:rtl/>
        </w:rPr>
        <w:t>بتدهور</w:t>
      </w:r>
      <w:r w:rsidR="009737DA" w:rsidRPr="005D59A7">
        <w:rPr>
          <w:rFonts w:ascii="T" w:hAnsi="T" w:cs="Simplified Arabic"/>
          <w:sz w:val="24"/>
          <w:szCs w:val="24"/>
        </w:rPr>
        <w:t xml:space="preserve"> </w:t>
      </w:r>
      <w:r w:rsidRPr="005D59A7">
        <w:rPr>
          <w:rFonts w:ascii="T" w:hAnsi="T" w:cs="Simplified Arabic"/>
          <w:sz w:val="24"/>
          <w:szCs w:val="24"/>
          <w:rtl/>
        </w:rPr>
        <w:t>الأراضي</w:t>
      </w:r>
      <w:r w:rsidR="009737DA" w:rsidRPr="005D59A7">
        <w:rPr>
          <w:rFonts w:ascii="T" w:hAnsi="T" w:cs="Simplified Arabic"/>
          <w:sz w:val="24"/>
          <w:szCs w:val="24"/>
        </w:rPr>
        <w:t xml:space="preserve"> </w:t>
      </w:r>
      <w:r w:rsidRPr="005D59A7">
        <w:rPr>
          <w:rFonts w:ascii="T" w:hAnsi="T" w:cs="Simplified Arabic"/>
          <w:sz w:val="24"/>
          <w:szCs w:val="24"/>
          <w:rtl/>
        </w:rPr>
        <w:t>انخفاض</w:t>
      </w:r>
      <w:r w:rsidR="009737DA" w:rsidRPr="005D59A7">
        <w:rPr>
          <w:rFonts w:ascii="T" w:hAnsi="T" w:cs="Simplified Arabic"/>
          <w:sz w:val="24"/>
          <w:szCs w:val="24"/>
        </w:rPr>
        <w:t xml:space="preserve"> </w:t>
      </w:r>
      <w:r w:rsidRPr="005D59A7">
        <w:rPr>
          <w:rFonts w:ascii="T" w:hAnsi="T" w:cs="Simplified Arabic"/>
          <w:sz w:val="24"/>
          <w:szCs w:val="24"/>
          <w:rtl/>
        </w:rPr>
        <w:t>الإنتاجية</w:t>
      </w:r>
      <w:r w:rsidR="009737DA" w:rsidRPr="005D59A7">
        <w:rPr>
          <w:rFonts w:ascii="T" w:hAnsi="T" w:cs="Simplified Arabic"/>
          <w:sz w:val="24"/>
          <w:szCs w:val="24"/>
        </w:rPr>
        <w:t xml:space="preserve"> </w:t>
      </w:r>
      <w:r w:rsidRPr="005D59A7">
        <w:rPr>
          <w:rFonts w:ascii="T" w:hAnsi="T" w:cs="Simplified Arabic"/>
          <w:sz w:val="24"/>
          <w:szCs w:val="24"/>
          <w:rtl/>
        </w:rPr>
        <w:t>الزراعية،</w:t>
      </w:r>
      <w:r w:rsidR="009737DA" w:rsidRPr="005D59A7">
        <w:rPr>
          <w:rFonts w:ascii="T" w:hAnsi="T" w:cs="Simplified Arabic"/>
          <w:sz w:val="24"/>
          <w:szCs w:val="24"/>
        </w:rPr>
        <w:t xml:space="preserve"> </w:t>
      </w:r>
      <w:r w:rsidRPr="005D59A7">
        <w:rPr>
          <w:rFonts w:ascii="T" w:hAnsi="T" w:cs="Simplified Arabic"/>
          <w:sz w:val="24"/>
          <w:szCs w:val="24"/>
          <w:rtl/>
        </w:rPr>
        <w:t>وفقدان</w:t>
      </w:r>
      <w:r w:rsidR="009737DA" w:rsidRPr="005D59A7">
        <w:rPr>
          <w:rFonts w:ascii="T" w:hAnsi="T" w:cs="Simplified Arabic"/>
          <w:sz w:val="24"/>
          <w:szCs w:val="24"/>
        </w:rPr>
        <w:t xml:space="preserve"> </w:t>
      </w:r>
      <w:r w:rsidRPr="005D59A7">
        <w:rPr>
          <w:rFonts w:ascii="T" w:hAnsi="T" w:cs="Simplified Arabic"/>
          <w:sz w:val="24"/>
          <w:szCs w:val="24"/>
          <w:rtl/>
        </w:rPr>
        <w:t>سبل</w:t>
      </w:r>
      <w:r w:rsidR="009737DA" w:rsidRPr="005D59A7">
        <w:rPr>
          <w:rFonts w:ascii="T" w:hAnsi="T" w:cs="Simplified Arabic"/>
          <w:sz w:val="24"/>
          <w:szCs w:val="24"/>
        </w:rPr>
        <w:t xml:space="preserve"> </w:t>
      </w:r>
      <w:r w:rsidRPr="005D59A7">
        <w:rPr>
          <w:rFonts w:ascii="T" w:hAnsi="T" w:cs="Simplified Arabic"/>
          <w:sz w:val="24"/>
          <w:szCs w:val="24"/>
          <w:rtl/>
        </w:rPr>
        <w:t>العيش،</w:t>
      </w:r>
      <w:r w:rsidR="009737DA" w:rsidRPr="005D59A7">
        <w:rPr>
          <w:rFonts w:ascii="T" w:hAnsi="T" w:cs="Simplified Arabic"/>
          <w:sz w:val="24"/>
          <w:szCs w:val="24"/>
        </w:rPr>
        <w:t xml:space="preserve"> </w:t>
      </w:r>
      <w:r w:rsidRPr="005D59A7">
        <w:rPr>
          <w:rFonts w:ascii="T" w:hAnsi="T" w:cs="Simplified Arabic"/>
          <w:sz w:val="24"/>
          <w:szCs w:val="24"/>
          <w:rtl/>
        </w:rPr>
        <w:t>وزيادة</w:t>
      </w:r>
      <w:r w:rsidR="009737DA" w:rsidRPr="005D59A7">
        <w:rPr>
          <w:rFonts w:ascii="T" w:hAnsi="T" w:cs="Simplified Arabic"/>
          <w:sz w:val="24"/>
          <w:szCs w:val="24"/>
        </w:rPr>
        <w:t xml:space="preserve"> </w:t>
      </w:r>
      <w:r w:rsidRPr="005D59A7">
        <w:rPr>
          <w:rFonts w:ascii="T" w:hAnsi="T" w:cs="Simplified Arabic"/>
          <w:sz w:val="24"/>
          <w:szCs w:val="24"/>
          <w:rtl/>
        </w:rPr>
        <w:t>الإنفاق</w:t>
      </w:r>
      <w:r w:rsidR="009737DA" w:rsidRPr="005D59A7">
        <w:rPr>
          <w:rFonts w:ascii="T" w:hAnsi="T" w:cs="Simplified Arabic"/>
          <w:sz w:val="24"/>
          <w:szCs w:val="24"/>
        </w:rPr>
        <w:t xml:space="preserve"> </w:t>
      </w:r>
      <w:r w:rsidRPr="005D59A7">
        <w:rPr>
          <w:rFonts w:ascii="T" w:hAnsi="T" w:cs="Simplified Arabic"/>
          <w:sz w:val="24"/>
          <w:szCs w:val="24"/>
          <w:rtl/>
        </w:rPr>
        <w:t>العام</w:t>
      </w:r>
      <w:r w:rsidR="009737DA" w:rsidRPr="005D59A7">
        <w:rPr>
          <w:rFonts w:ascii="T" w:hAnsi="T" w:cs="Simplified Arabic"/>
          <w:sz w:val="24"/>
          <w:szCs w:val="24"/>
        </w:rPr>
        <w:t xml:space="preserve"> </w:t>
      </w:r>
      <w:r w:rsidRPr="005D59A7">
        <w:rPr>
          <w:rFonts w:ascii="T" w:hAnsi="T" w:cs="Simplified Arabic"/>
          <w:sz w:val="24"/>
          <w:szCs w:val="24"/>
          <w:rtl/>
        </w:rPr>
        <w:t>على</w:t>
      </w:r>
      <w:r w:rsidR="009737DA" w:rsidRPr="005D59A7">
        <w:rPr>
          <w:rFonts w:ascii="T" w:hAnsi="T" w:cs="Simplified Arabic"/>
          <w:sz w:val="24"/>
          <w:szCs w:val="24"/>
        </w:rPr>
        <w:t xml:space="preserve"> </w:t>
      </w:r>
      <w:r w:rsidRPr="005D59A7">
        <w:rPr>
          <w:rFonts w:ascii="T" w:hAnsi="T" w:cs="Simplified Arabic"/>
          <w:sz w:val="24"/>
          <w:szCs w:val="24"/>
          <w:rtl/>
        </w:rPr>
        <w:t>النقل</w:t>
      </w:r>
      <w:r w:rsidR="009737DA" w:rsidRPr="005D59A7">
        <w:rPr>
          <w:rFonts w:ascii="T" w:hAnsi="T" w:cs="Simplified Arabic"/>
          <w:sz w:val="24"/>
          <w:szCs w:val="24"/>
        </w:rPr>
        <w:t xml:space="preserve"> </w:t>
      </w:r>
      <w:r w:rsidRPr="005D59A7">
        <w:rPr>
          <w:rFonts w:ascii="T" w:hAnsi="T" w:cs="Simplified Arabic"/>
          <w:sz w:val="24"/>
          <w:szCs w:val="24"/>
          <w:rtl/>
        </w:rPr>
        <w:t>والاستعادة</w:t>
      </w:r>
      <w:r w:rsidR="009737DA" w:rsidRPr="005D59A7">
        <w:rPr>
          <w:rFonts w:ascii="T" w:hAnsi="T" w:cs="Simplified Arabic"/>
          <w:sz w:val="24"/>
          <w:szCs w:val="24"/>
        </w:rPr>
        <w:t xml:space="preserve"> </w:t>
      </w:r>
      <w:r w:rsidRPr="005D59A7">
        <w:rPr>
          <w:rFonts w:ascii="T" w:hAnsi="T" w:cs="Simplified Arabic"/>
          <w:sz w:val="24"/>
          <w:szCs w:val="24"/>
          <w:rtl/>
        </w:rPr>
        <w:t>البيئية. ويسلط</w:t>
      </w:r>
      <w:r w:rsidR="009737DA" w:rsidRPr="005D59A7">
        <w:rPr>
          <w:rFonts w:ascii="T" w:hAnsi="T" w:cs="Simplified Arabic"/>
          <w:sz w:val="24"/>
          <w:szCs w:val="24"/>
        </w:rPr>
        <w:t xml:space="preserve"> </w:t>
      </w:r>
      <w:r w:rsidRPr="005D59A7">
        <w:rPr>
          <w:rFonts w:ascii="T" w:hAnsi="T" w:cs="Simplified Arabic"/>
          <w:sz w:val="24"/>
          <w:szCs w:val="24"/>
          <w:rtl/>
        </w:rPr>
        <w:t>هدف</w:t>
      </w:r>
      <w:r w:rsidR="009737DA" w:rsidRPr="005D59A7">
        <w:rPr>
          <w:rFonts w:ascii="T" w:hAnsi="T" w:cs="Simplified Arabic"/>
          <w:sz w:val="24"/>
          <w:szCs w:val="24"/>
        </w:rPr>
        <w:t xml:space="preserve"> </w:t>
      </w:r>
      <w:r w:rsidRPr="005D59A7">
        <w:rPr>
          <w:rFonts w:ascii="T" w:hAnsi="T" w:cs="Simplified Arabic"/>
          <w:sz w:val="24"/>
          <w:szCs w:val="24"/>
          <w:rtl/>
        </w:rPr>
        <w:t>اتفاقية</w:t>
      </w:r>
      <w:r w:rsidR="009737DA" w:rsidRPr="005D59A7">
        <w:rPr>
          <w:rFonts w:ascii="T" w:hAnsi="T" w:cs="Simplified Arabic"/>
          <w:sz w:val="24"/>
          <w:szCs w:val="24"/>
        </w:rPr>
        <w:t xml:space="preserve"> </w:t>
      </w:r>
      <w:r w:rsidRPr="005D59A7">
        <w:rPr>
          <w:rFonts w:ascii="T" w:hAnsi="T" w:cs="Simplified Arabic"/>
          <w:sz w:val="24"/>
          <w:szCs w:val="24"/>
          <w:rtl/>
        </w:rPr>
        <w:t>الأمم</w:t>
      </w:r>
      <w:r w:rsidR="009737DA" w:rsidRPr="005D59A7">
        <w:rPr>
          <w:rFonts w:ascii="T" w:hAnsi="T" w:cs="Simplified Arabic"/>
          <w:sz w:val="24"/>
          <w:szCs w:val="24"/>
        </w:rPr>
        <w:t xml:space="preserve"> </w:t>
      </w:r>
      <w:r w:rsidRPr="005D59A7">
        <w:rPr>
          <w:rFonts w:ascii="T" w:hAnsi="T" w:cs="Simplified Arabic"/>
          <w:sz w:val="24"/>
          <w:szCs w:val="24"/>
          <w:rtl/>
        </w:rPr>
        <w:t>المتحدة</w:t>
      </w:r>
      <w:r w:rsidR="009737DA" w:rsidRPr="005D59A7">
        <w:rPr>
          <w:rFonts w:ascii="T" w:hAnsi="T" w:cs="Simplified Arabic"/>
          <w:sz w:val="24"/>
          <w:szCs w:val="24"/>
        </w:rPr>
        <w:t xml:space="preserve"> </w:t>
      </w:r>
      <w:r w:rsidRPr="005D59A7">
        <w:rPr>
          <w:rFonts w:ascii="T" w:hAnsi="T" w:cs="Simplified Arabic"/>
          <w:sz w:val="24"/>
          <w:szCs w:val="24"/>
          <w:rtl/>
        </w:rPr>
        <w:t>لمكافحة</w:t>
      </w:r>
      <w:r w:rsidR="009737DA" w:rsidRPr="005D59A7">
        <w:rPr>
          <w:rFonts w:ascii="T" w:hAnsi="T" w:cs="Simplified Arabic"/>
          <w:sz w:val="24"/>
          <w:szCs w:val="24"/>
        </w:rPr>
        <w:t xml:space="preserve"> </w:t>
      </w:r>
      <w:r w:rsidRPr="005D59A7">
        <w:rPr>
          <w:rFonts w:ascii="T" w:hAnsi="T" w:cs="Simplified Arabic"/>
          <w:sz w:val="24"/>
          <w:szCs w:val="24"/>
          <w:rtl/>
        </w:rPr>
        <w:t>التصحر</w:t>
      </w:r>
      <w:r w:rsidR="009737DA" w:rsidRPr="005D59A7">
        <w:rPr>
          <w:rFonts w:ascii="T" w:hAnsi="T" w:cs="Simplified Arabic"/>
          <w:sz w:val="24"/>
          <w:szCs w:val="24"/>
        </w:rPr>
        <w:t xml:space="preserve"> </w:t>
      </w:r>
      <w:r w:rsidRPr="005D59A7">
        <w:rPr>
          <w:rFonts w:ascii="T" w:hAnsi="T" w:cs="Simplified Arabic"/>
          <w:sz w:val="24"/>
          <w:szCs w:val="24"/>
          <w:rtl/>
        </w:rPr>
        <w:t>لاستعادة 1.5 مليار</w:t>
      </w:r>
      <w:r w:rsidR="009737DA" w:rsidRPr="005D59A7">
        <w:rPr>
          <w:rFonts w:ascii="T" w:hAnsi="T" w:cs="Simplified Arabic"/>
          <w:sz w:val="24"/>
          <w:szCs w:val="24"/>
        </w:rPr>
        <w:t xml:space="preserve"> </w:t>
      </w:r>
      <w:r w:rsidR="009737DA" w:rsidRPr="005D59A7">
        <w:rPr>
          <w:rFonts w:ascii="T" w:hAnsi="T" w:cs="Simplified Arabic"/>
          <w:sz w:val="24"/>
          <w:szCs w:val="24"/>
          <w:rtl/>
        </w:rPr>
        <w:t xml:space="preserve">هكتار </w:t>
      </w:r>
      <w:r w:rsidRPr="005D59A7">
        <w:rPr>
          <w:rFonts w:ascii="T" w:hAnsi="T" w:cs="Simplified Arabic"/>
          <w:sz w:val="24"/>
          <w:szCs w:val="24"/>
          <w:rtl/>
        </w:rPr>
        <w:t>عالميًا</w:t>
      </w:r>
      <w:r w:rsidR="009737DA" w:rsidRPr="005D59A7">
        <w:rPr>
          <w:rFonts w:ascii="T" w:hAnsi="T" w:cs="Simplified Arabic"/>
          <w:sz w:val="24"/>
          <w:szCs w:val="24"/>
          <w:rtl/>
        </w:rPr>
        <w:t xml:space="preserve"> </w:t>
      </w:r>
      <w:r w:rsidRPr="005D59A7">
        <w:rPr>
          <w:rFonts w:ascii="T" w:hAnsi="T" w:cs="Simplified Arabic"/>
          <w:sz w:val="24"/>
          <w:szCs w:val="24"/>
          <w:rtl/>
        </w:rPr>
        <w:t>بحلول</w:t>
      </w:r>
      <w:r w:rsidR="009737DA" w:rsidRPr="005D59A7">
        <w:rPr>
          <w:rFonts w:ascii="T" w:hAnsi="T" w:cs="Simplified Arabic"/>
          <w:sz w:val="24"/>
          <w:szCs w:val="24"/>
          <w:rtl/>
        </w:rPr>
        <w:t xml:space="preserve"> </w:t>
      </w:r>
      <w:r w:rsidRPr="005D59A7">
        <w:rPr>
          <w:rFonts w:ascii="T" w:hAnsi="T" w:cs="Simplified Arabic"/>
          <w:sz w:val="24"/>
          <w:szCs w:val="24"/>
          <w:rtl/>
        </w:rPr>
        <w:t>عام 2030 الضوء</w:t>
      </w:r>
      <w:r w:rsidR="009737DA" w:rsidRPr="005D59A7">
        <w:rPr>
          <w:rFonts w:ascii="T" w:hAnsi="T" w:cs="Simplified Arabic"/>
          <w:sz w:val="24"/>
          <w:szCs w:val="24"/>
          <w:rtl/>
        </w:rPr>
        <w:t xml:space="preserve"> </w:t>
      </w:r>
      <w:r w:rsidRPr="005D59A7">
        <w:rPr>
          <w:rFonts w:ascii="T" w:hAnsi="T" w:cs="Simplified Arabic"/>
          <w:sz w:val="24"/>
          <w:szCs w:val="24"/>
          <w:rtl/>
        </w:rPr>
        <w:t>على</w:t>
      </w:r>
      <w:r w:rsidR="009737DA" w:rsidRPr="005D59A7">
        <w:rPr>
          <w:rFonts w:ascii="T" w:hAnsi="T" w:cs="Simplified Arabic"/>
          <w:sz w:val="24"/>
          <w:szCs w:val="24"/>
          <w:rtl/>
        </w:rPr>
        <w:t xml:space="preserve"> </w:t>
      </w:r>
      <w:r w:rsidRPr="005D59A7">
        <w:rPr>
          <w:rFonts w:ascii="T" w:hAnsi="T" w:cs="Simplified Arabic"/>
          <w:sz w:val="24"/>
          <w:szCs w:val="24"/>
          <w:rtl/>
        </w:rPr>
        <w:t>حجم</w:t>
      </w:r>
      <w:r w:rsidR="009737DA" w:rsidRPr="005D59A7">
        <w:rPr>
          <w:rFonts w:ascii="T" w:hAnsi="T" w:cs="Simplified Arabic"/>
          <w:sz w:val="24"/>
          <w:szCs w:val="24"/>
          <w:rtl/>
        </w:rPr>
        <w:t xml:space="preserve"> </w:t>
      </w:r>
      <w:r w:rsidRPr="005D59A7">
        <w:rPr>
          <w:rFonts w:ascii="T" w:hAnsi="T" w:cs="Simplified Arabic"/>
          <w:sz w:val="24"/>
          <w:szCs w:val="24"/>
          <w:rtl/>
        </w:rPr>
        <w:t>هذه</w:t>
      </w:r>
      <w:r w:rsidR="009737DA" w:rsidRPr="005D59A7">
        <w:rPr>
          <w:rFonts w:ascii="T" w:hAnsi="T" w:cs="Simplified Arabic"/>
          <w:sz w:val="24"/>
          <w:szCs w:val="24"/>
          <w:rtl/>
        </w:rPr>
        <w:t xml:space="preserve"> </w:t>
      </w:r>
      <w:r w:rsidRPr="005D59A7">
        <w:rPr>
          <w:rFonts w:ascii="T" w:hAnsi="T" w:cs="Simplified Arabic"/>
          <w:sz w:val="24"/>
          <w:szCs w:val="24"/>
          <w:rtl/>
        </w:rPr>
        <w:t>المشكلة (</w:t>
      </w:r>
      <w:r w:rsidRPr="005D59A7">
        <w:rPr>
          <w:rFonts w:ascii="T" w:hAnsi="T" w:cs="Simplified Arabic"/>
          <w:sz w:val="24"/>
          <w:szCs w:val="24"/>
        </w:rPr>
        <w:t>UNCCD, 2024</w:t>
      </w:r>
      <w:r w:rsidRPr="005D59A7">
        <w:rPr>
          <w:rFonts w:ascii="T" w:hAnsi="T" w:cs="Simplified Arabic"/>
          <w:sz w:val="24"/>
          <w:szCs w:val="24"/>
          <w:rtl/>
        </w:rPr>
        <w:t>).</w:t>
      </w:r>
    </w:p>
    <w:p w14:paraId="2E545F28" w14:textId="48E94FC4"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إدارة</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 وجدت</w:t>
      </w:r>
      <w:r w:rsidR="009737DA" w:rsidRPr="005D59A7">
        <w:rPr>
          <w:rFonts w:ascii="T" w:hAnsi="T" w:cs="Simplified Arabic"/>
          <w:sz w:val="24"/>
          <w:szCs w:val="24"/>
          <w:rtl/>
        </w:rPr>
        <w:t xml:space="preserve"> </w:t>
      </w:r>
      <w:r w:rsidRPr="005D59A7">
        <w:rPr>
          <w:rFonts w:ascii="T" w:hAnsi="T" w:cs="Simplified Arabic"/>
          <w:sz w:val="24"/>
          <w:szCs w:val="24"/>
          <w:rtl/>
        </w:rPr>
        <w:t>دراسة</w:t>
      </w:r>
      <w:r w:rsidR="009737DA" w:rsidRPr="005D59A7">
        <w:rPr>
          <w:rFonts w:ascii="T" w:hAnsi="T" w:cs="Simplified Arabic"/>
          <w:sz w:val="24"/>
          <w:szCs w:val="24"/>
          <w:rtl/>
        </w:rPr>
        <w:t xml:space="preserve"> </w:t>
      </w:r>
      <w:r w:rsidRPr="005D59A7">
        <w:rPr>
          <w:rFonts w:ascii="T" w:hAnsi="T" w:cs="Simplified Arabic"/>
          <w:sz w:val="24"/>
          <w:szCs w:val="24"/>
          <w:rtl/>
        </w:rPr>
        <w:t>ركزت</w:t>
      </w:r>
      <w:r w:rsidR="009737DA" w:rsidRPr="005D59A7">
        <w:rPr>
          <w:rFonts w:ascii="T" w:hAnsi="T" w:cs="Simplified Arabic"/>
          <w:sz w:val="24"/>
          <w:szCs w:val="24"/>
          <w:rtl/>
        </w:rPr>
        <w:t xml:space="preserve"> </w:t>
      </w:r>
      <w:r w:rsidRPr="005D59A7">
        <w:rPr>
          <w:rFonts w:ascii="T" w:hAnsi="T" w:cs="Simplified Arabic"/>
          <w:sz w:val="24"/>
          <w:szCs w:val="24"/>
          <w:rtl/>
        </w:rPr>
        <w:t>على</w:t>
      </w:r>
      <w:r w:rsidR="009737DA" w:rsidRPr="005D59A7">
        <w:rPr>
          <w:rFonts w:ascii="T" w:hAnsi="T" w:cs="Simplified Arabic"/>
          <w:sz w:val="24"/>
          <w:szCs w:val="24"/>
          <w:rtl/>
        </w:rPr>
        <w:t xml:space="preserve"> </w:t>
      </w:r>
      <w:r w:rsidRPr="005D59A7">
        <w:rPr>
          <w:rFonts w:ascii="T" w:hAnsi="T" w:cs="Simplified Arabic"/>
          <w:sz w:val="24"/>
          <w:szCs w:val="24"/>
          <w:rtl/>
        </w:rPr>
        <w:t>تكاليف</w:t>
      </w:r>
      <w:r w:rsidR="009737DA" w:rsidRPr="005D59A7">
        <w:rPr>
          <w:rFonts w:ascii="T" w:hAnsi="T" w:cs="Simplified Arabic"/>
          <w:sz w:val="24"/>
          <w:szCs w:val="24"/>
          <w:rtl/>
        </w:rPr>
        <w:t xml:space="preserve"> </w:t>
      </w:r>
      <w:r w:rsidRPr="005D59A7">
        <w:rPr>
          <w:rFonts w:ascii="T" w:hAnsi="T" w:cs="Simplified Arabic"/>
          <w:sz w:val="24"/>
          <w:szCs w:val="24"/>
          <w:rtl/>
        </w:rPr>
        <w:t>التدهور</w:t>
      </w:r>
      <w:r w:rsidR="009737DA" w:rsidRPr="005D59A7">
        <w:rPr>
          <w:rFonts w:ascii="T" w:hAnsi="T" w:cs="Simplified Arabic"/>
          <w:sz w:val="24"/>
          <w:szCs w:val="24"/>
          <w:rtl/>
        </w:rPr>
        <w:t xml:space="preserve"> </w:t>
      </w:r>
      <w:r w:rsidRPr="005D59A7">
        <w:rPr>
          <w:rFonts w:ascii="T" w:hAnsi="T" w:cs="Simplified Arabic"/>
          <w:sz w:val="24"/>
          <w:szCs w:val="24"/>
          <w:rtl/>
        </w:rPr>
        <w:t>البيئي</w:t>
      </w:r>
      <w:r w:rsidR="009737DA" w:rsidRPr="005D59A7">
        <w:rPr>
          <w:rFonts w:ascii="T" w:hAnsi="T" w:cs="Simplified Arabic"/>
          <w:sz w:val="24"/>
          <w:szCs w:val="24"/>
          <w:rtl/>
        </w:rPr>
        <w:t xml:space="preserve"> </w:t>
      </w:r>
      <w:r w:rsidRPr="005D59A7">
        <w:rPr>
          <w:rFonts w:ascii="T" w:hAnsi="T" w:cs="Simplified Arabic"/>
          <w:sz w:val="24"/>
          <w:szCs w:val="24"/>
          <w:rtl/>
        </w:rPr>
        <w:t>الناتج</w:t>
      </w:r>
      <w:r w:rsidR="009737DA" w:rsidRPr="005D59A7">
        <w:rPr>
          <w:rFonts w:ascii="T" w:hAnsi="T" w:cs="Simplified Arabic"/>
          <w:sz w:val="24"/>
          <w:szCs w:val="24"/>
          <w:rtl/>
        </w:rPr>
        <w:t xml:space="preserve"> </w:t>
      </w:r>
      <w:r w:rsidRPr="005D59A7">
        <w:rPr>
          <w:rFonts w:ascii="T" w:hAnsi="T" w:cs="Simplified Arabic"/>
          <w:sz w:val="24"/>
          <w:szCs w:val="24"/>
          <w:rtl/>
        </w:rPr>
        <w:t>عن</w:t>
      </w:r>
      <w:r w:rsidR="009737DA" w:rsidRPr="005D59A7">
        <w:rPr>
          <w:rFonts w:ascii="T" w:hAnsi="T" w:cs="Simplified Arabic"/>
          <w:sz w:val="24"/>
          <w:szCs w:val="24"/>
          <w:rtl/>
        </w:rPr>
        <w:t xml:space="preserve"> </w:t>
      </w:r>
      <w:r w:rsidRPr="005D59A7">
        <w:rPr>
          <w:rFonts w:ascii="T" w:hAnsi="T" w:cs="Simplified Arabic"/>
          <w:sz w:val="24"/>
          <w:szCs w:val="24"/>
          <w:rtl/>
        </w:rPr>
        <w:t>عدم</w:t>
      </w:r>
      <w:r w:rsidR="009737DA" w:rsidRPr="005D59A7">
        <w:rPr>
          <w:rFonts w:ascii="T" w:hAnsi="T" w:cs="Simplified Arabic"/>
          <w:sz w:val="24"/>
          <w:szCs w:val="24"/>
          <w:rtl/>
        </w:rPr>
        <w:t xml:space="preserve"> </w:t>
      </w:r>
      <w:r w:rsidRPr="005D59A7">
        <w:rPr>
          <w:rFonts w:ascii="T" w:hAnsi="T" w:cs="Simplified Arabic"/>
          <w:sz w:val="24"/>
          <w:szCs w:val="24"/>
          <w:rtl/>
        </w:rPr>
        <w:t>إعادة</w:t>
      </w:r>
      <w:r w:rsidR="009737DA" w:rsidRPr="005D59A7">
        <w:rPr>
          <w:rFonts w:ascii="T" w:hAnsi="T" w:cs="Simplified Arabic"/>
          <w:sz w:val="24"/>
          <w:szCs w:val="24"/>
          <w:rtl/>
        </w:rPr>
        <w:t xml:space="preserve"> </w:t>
      </w:r>
      <w:r w:rsidRPr="005D59A7">
        <w:rPr>
          <w:rFonts w:ascii="T" w:hAnsi="T" w:cs="Simplified Arabic"/>
          <w:sz w:val="24"/>
          <w:szCs w:val="24"/>
          <w:rtl/>
        </w:rPr>
        <w:t>استخدام</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w:t>
      </w:r>
      <w:r w:rsidR="009737DA" w:rsidRPr="005D59A7">
        <w:rPr>
          <w:rFonts w:ascii="T" w:hAnsi="T" w:cs="Simplified Arabic"/>
          <w:sz w:val="24"/>
          <w:szCs w:val="24"/>
          <w:rtl/>
        </w:rPr>
        <w:t xml:space="preserve"> </w:t>
      </w:r>
      <w:r w:rsidRPr="005D59A7">
        <w:rPr>
          <w:rFonts w:ascii="T" w:hAnsi="T" w:cs="Simplified Arabic"/>
          <w:sz w:val="24"/>
          <w:szCs w:val="24"/>
          <w:rtl/>
        </w:rPr>
        <w:t>المعالجة</w:t>
      </w:r>
      <w:r w:rsidR="009737DA" w:rsidRPr="005D59A7">
        <w:rPr>
          <w:rFonts w:ascii="T" w:hAnsi="T" w:cs="Simplified Arabic"/>
          <w:sz w:val="24"/>
          <w:szCs w:val="24"/>
          <w:rtl/>
        </w:rPr>
        <w:t xml:space="preserve"> </w:t>
      </w:r>
      <w:r w:rsidRPr="005D59A7">
        <w:rPr>
          <w:rFonts w:ascii="T" w:hAnsi="T" w:cs="Simplified Arabic"/>
          <w:sz w:val="24"/>
          <w:szCs w:val="24"/>
          <w:rtl/>
        </w:rPr>
        <w:t>بالكامل</w:t>
      </w:r>
      <w:r w:rsidR="009737DA" w:rsidRPr="005D59A7">
        <w:rPr>
          <w:rFonts w:ascii="T" w:hAnsi="T" w:cs="Simplified Arabic"/>
          <w:sz w:val="24"/>
          <w:szCs w:val="24"/>
          <w:rtl/>
        </w:rPr>
        <w:t xml:space="preserve"> </w:t>
      </w:r>
      <w:r w:rsidRPr="005D59A7">
        <w:rPr>
          <w:rFonts w:ascii="T" w:hAnsi="T" w:cs="Simplified Arabic"/>
          <w:sz w:val="24"/>
          <w:szCs w:val="24"/>
          <w:rtl/>
        </w:rPr>
        <w:t>في</w:t>
      </w:r>
      <w:r w:rsidR="009737DA" w:rsidRPr="005D59A7">
        <w:rPr>
          <w:rFonts w:ascii="T" w:hAnsi="T" w:cs="Simplified Arabic"/>
          <w:sz w:val="24"/>
          <w:szCs w:val="24"/>
          <w:rtl/>
        </w:rPr>
        <w:t xml:space="preserve"> </w:t>
      </w:r>
      <w:r w:rsidRPr="005D59A7">
        <w:rPr>
          <w:rFonts w:ascii="T" w:hAnsi="T" w:cs="Simplified Arabic"/>
          <w:sz w:val="24"/>
          <w:szCs w:val="24"/>
          <w:rtl/>
        </w:rPr>
        <w:t>المملكة</w:t>
      </w:r>
      <w:r w:rsidR="009737DA" w:rsidRPr="005D59A7">
        <w:rPr>
          <w:rFonts w:ascii="T" w:hAnsi="T" w:cs="Simplified Arabic"/>
          <w:sz w:val="24"/>
          <w:szCs w:val="24"/>
          <w:rtl/>
        </w:rPr>
        <w:t xml:space="preserve"> </w:t>
      </w:r>
      <w:r w:rsidRPr="005D59A7">
        <w:rPr>
          <w:rFonts w:ascii="T" w:hAnsi="T" w:cs="Simplified Arabic"/>
          <w:sz w:val="24"/>
          <w:szCs w:val="24"/>
          <w:rtl/>
        </w:rPr>
        <w:t>العربية</w:t>
      </w:r>
      <w:r w:rsidR="009737DA" w:rsidRPr="005D59A7">
        <w:rPr>
          <w:rFonts w:ascii="T" w:hAnsi="T" w:cs="Simplified Arabic"/>
          <w:sz w:val="24"/>
          <w:szCs w:val="24"/>
          <w:rtl/>
        </w:rPr>
        <w:t xml:space="preserve"> </w:t>
      </w:r>
      <w:r w:rsidRPr="005D59A7">
        <w:rPr>
          <w:rFonts w:ascii="T" w:hAnsi="T" w:cs="Simplified Arabic"/>
          <w:sz w:val="24"/>
          <w:szCs w:val="24"/>
          <w:rtl/>
        </w:rPr>
        <w:t>السعودية</w:t>
      </w:r>
      <w:r w:rsidR="009737DA" w:rsidRPr="005D59A7">
        <w:rPr>
          <w:rFonts w:ascii="T" w:hAnsi="T" w:cs="Simplified Arabic"/>
          <w:sz w:val="24"/>
          <w:szCs w:val="24"/>
          <w:rtl/>
        </w:rPr>
        <w:t xml:space="preserve"> </w:t>
      </w:r>
      <w:r w:rsidRPr="005D59A7">
        <w:rPr>
          <w:rFonts w:ascii="T" w:hAnsi="T" w:cs="Simplified Arabic"/>
          <w:sz w:val="24"/>
          <w:szCs w:val="24"/>
          <w:rtl/>
        </w:rPr>
        <w:t>أنه</w:t>
      </w:r>
      <w:r w:rsidR="009737DA" w:rsidRPr="005D59A7">
        <w:rPr>
          <w:rFonts w:ascii="T" w:hAnsi="T" w:cs="Simplified Arabic"/>
          <w:sz w:val="24"/>
          <w:szCs w:val="24"/>
          <w:rtl/>
        </w:rPr>
        <w:t xml:space="preserve"> </w:t>
      </w:r>
      <w:r w:rsidRPr="005D59A7">
        <w:rPr>
          <w:rFonts w:ascii="T" w:hAnsi="T" w:cs="Simplified Arabic"/>
          <w:sz w:val="24"/>
          <w:szCs w:val="24"/>
          <w:rtl/>
        </w:rPr>
        <w:t>في</w:t>
      </w:r>
      <w:r w:rsidR="009737DA" w:rsidRPr="005D59A7">
        <w:rPr>
          <w:rFonts w:ascii="T" w:hAnsi="T" w:cs="Simplified Arabic"/>
          <w:sz w:val="24"/>
          <w:szCs w:val="24"/>
          <w:rtl/>
        </w:rPr>
        <w:t xml:space="preserve"> </w:t>
      </w:r>
      <w:r w:rsidRPr="005D59A7">
        <w:rPr>
          <w:rFonts w:ascii="T" w:hAnsi="T" w:cs="Simplified Arabic"/>
          <w:sz w:val="24"/>
          <w:szCs w:val="24"/>
          <w:rtl/>
        </w:rPr>
        <w:t>عام 2019،</w:t>
      </w:r>
      <w:r w:rsidR="009737DA" w:rsidRPr="005D59A7">
        <w:rPr>
          <w:rFonts w:ascii="T" w:hAnsi="T" w:cs="Simplified Arabic"/>
          <w:sz w:val="24"/>
          <w:szCs w:val="24"/>
          <w:rtl/>
        </w:rPr>
        <w:t xml:space="preserve"> </w:t>
      </w:r>
      <w:r w:rsidRPr="005D59A7">
        <w:rPr>
          <w:rFonts w:ascii="T" w:hAnsi="T" w:cs="Simplified Arabic"/>
          <w:sz w:val="24"/>
          <w:szCs w:val="24"/>
          <w:rtl/>
        </w:rPr>
        <w:t>بلغ</w:t>
      </w:r>
      <w:r w:rsidR="009737DA" w:rsidRPr="005D59A7">
        <w:rPr>
          <w:rFonts w:ascii="T" w:hAnsi="T" w:cs="Simplified Arabic"/>
          <w:sz w:val="24"/>
          <w:szCs w:val="24"/>
          <w:rtl/>
        </w:rPr>
        <w:t xml:space="preserve"> </w:t>
      </w:r>
      <w:r w:rsidRPr="005D59A7">
        <w:rPr>
          <w:rFonts w:ascii="T" w:hAnsi="T" w:cs="Simplified Arabic"/>
          <w:sz w:val="24"/>
          <w:szCs w:val="24"/>
          <w:rtl/>
        </w:rPr>
        <w:t>إجمالي</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التي</w:t>
      </w:r>
      <w:r w:rsidR="009737DA" w:rsidRPr="005D59A7">
        <w:rPr>
          <w:rFonts w:ascii="T" w:hAnsi="T" w:cs="Simplified Arabic"/>
          <w:sz w:val="24"/>
          <w:szCs w:val="24"/>
          <w:rtl/>
        </w:rPr>
        <w:t xml:space="preserve"> </w:t>
      </w:r>
      <w:r w:rsidRPr="005D59A7">
        <w:rPr>
          <w:rFonts w:ascii="T" w:hAnsi="T" w:cs="Simplified Arabic"/>
          <w:sz w:val="24"/>
          <w:szCs w:val="24"/>
          <w:rtl/>
        </w:rPr>
        <w:t>يتحملها</w:t>
      </w:r>
      <w:r w:rsidR="009737DA" w:rsidRPr="005D59A7">
        <w:rPr>
          <w:rFonts w:ascii="T" w:hAnsi="T" w:cs="Simplified Arabic"/>
          <w:sz w:val="24"/>
          <w:szCs w:val="24"/>
          <w:rtl/>
        </w:rPr>
        <w:t xml:space="preserve"> </w:t>
      </w:r>
      <w:r w:rsidRPr="005D59A7">
        <w:rPr>
          <w:rFonts w:ascii="T" w:hAnsi="T" w:cs="Simplified Arabic"/>
          <w:sz w:val="24"/>
          <w:szCs w:val="24"/>
          <w:rtl/>
        </w:rPr>
        <w:t>الاقتصاد</w:t>
      </w:r>
      <w:r w:rsidR="009737DA" w:rsidRPr="005D59A7">
        <w:rPr>
          <w:rFonts w:ascii="T" w:hAnsi="T" w:cs="Simplified Arabic"/>
          <w:sz w:val="24"/>
          <w:szCs w:val="24"/>
          <w:rtl/>
        </w:rPr>
        <w:t xml:space="preserve"> </w:t>
      </w:r>
      <w:r w:rsidRPr="005D59A7">
        <w:rPr>
          <w:rFonts w:ascii="T" w:hAnsi="T" w:cs="Simplified Arabic"/>
          <w:sz w:val="24"/>
          <w:szCs w:val="24"/>
          <w:rtl/>
        </w:rPr>
        <w:t>السعودي</w:t>
      </w:r>
      <w:r w:rsidR="009737DA" w:rsidRPr="005D59A7">
        <w:rPr>
          <w:rFonts w:ascii="T" w:hAnsi="T" w:cs="Simplified Arabic"/>
          <w:sz w:val="24"/>
          <w:szCs w:val="24"/>
          <w:rtl/>
        </w:rPr>
        <w:t xml:space="preserve"> </w:t>
      </w:r>
      <w:r w:rsidRPr="005D59A7">
        <w:rPr>
          <w:rFonts w:ascii="T" w:hAnsi="T" w:cs="Simplified Arabic"/>
          <w:sz w:val="24"/>
          <w:szCs w:val="24"/>
          <w:rtl/>
        </w:rPr>
        <w:t>لمعالجة</w:t>
      </w:r>
      <w:r w:rsidR="009737DA" w:rsidRPr="005D59A7">
        <w:rPr>
          <w:rFonts w:ascii="T" w:hAnsi="T" w:cs="Simplified Arabic"/>
          <w:sz w:val="24"/>
          <w:szCs w:val="24"/>
          <w:rtl/>
        </w:rPr>
        <w:t xml:space="preserve"> </w:t>
      </w:r>
      <w:r w:rsidRPr="005D59A7">
        <w:rPr>
          <w:rFonts w:ascii="T" w:hAnsi="T" w:cs="Simplified Arabic"/>
          <w:sz w:val="24"/>
          <w:szCs w:val="24"/>
          <w:rtl/>
        </w:rPr>
        <w:t>مياه</w:t>
      </w:r>
      <w:r w:rsidR="009737DA" w:rsidRPr="005D59A7">
        <w:rPr>
          <w:rFonts w:ascii="T" w:hAnsi="T" w:cs="Simplified Arabic"/>
          <w:sz w:val="24"/>
          <w:szCs w:val="24"/>
          <w:rtl/>
        </w:rPr>
        <w:t xml:space="preserve"> </w:t>
      </w:r>
      <w:r w:rsidRPr="005D59A7">
        <w:rPr>
          <w:rFonts w:ascii="T" w:hAnsi="T" w:cs="Simplified Arabic"/>
          <w:sz w:val="24"/>
          <w:szCs w:val="24"/>
          <w:rtl/>
        </w:rPr>
        <w:t>الصرف</w:t>
      </w:r>
      <w:r w:rsidR="009737DA" w:rsidRPr="005D59A7">
        <w:rPr>
          <w:rFonts w:ascii="T" w:hAnsi="T" w:cs="Simplified Arabic"/>
          <w:sz w:val="24"/>
          <w:szCs w:val="24"/>
          <w:rtl/>
        </w:rPr>
        <w:t xml:space="preserve"> </w:t>
      </w:r>
      <w:r w:rsidRPr="005D59A7">
        <w:rPr>
          <w:rFonts w:ascii="T" w:hAnsi="T" w:cs="Simplified Arabic"/>
          <w:sz w:val="24"/>
          <w:szCs w:val="24"/>
          <w:rtl/>
        </w:rPr>
        <w:t>الصحي 658.67 مليون</w:t>
      </w:r>
      <w:r w:rsidR="009737DA" w:rsidRPr="005D59A7">
        <w:rPr>
          <w:rFonts w:ascii="T" w:hAnsi="T" w:cs="Simplified Arabic"/>
          <w:sz w:val="24"/>
          <w:szCs w:val="24"/>
          <w:rtl/>
        </w:rPr>
        <w:t xml:space="preserve"> </w:t>
      </w:r>
      <w:r w:rsidRPr="005D59A7">
        <w:rPr>
          <w:rFonts w:ascii="T" w:hAnsi="T" w:cs="Simplified Arabic"/>
          <w:sz w:val="24"/>
          <w:szCs w:val="24"/>
          <w:rtl/>
        </w:rPr>
        <w:t>دولار</w:t>
      </w:r>
      <w:r w:rsidR="009737DA" w:rsidRPr="005D59A7">
        <w:rPr>
          <w:rFonts w:ascii="T" w:hAnsi="T" w:cs="Simplified Arabic"/>
          <w:sz w:val="24"/>
          <w:szCs w:val="24"/>
          <w:rtl/>
        </w:rPr>
        <w:t xml:space="preserve"> </w:t>
      </w:r>
      <w:r w:rsidRPr="005D59A7">
        <w:rPr>
          <w:rFonts w:ascii="T" w:hAnsi="T" w:cs="Simplified Arabic"/>
          <w:sz w:val="24"/>
          <w:szCs w:val="24"/>
          <w:rtl/>
        </w:rPr>
        <w:t>أمريكي. شكلت</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المباشرة 75.5% من</w:t>
      </w:r>
      <w:r w:rsidR="009737DA" w:rsidRPr="005D59A7">
        <w:rPr>
          <w:rFonts w:ascii="T" w:hAnsi="T" w:cs="Simplified Arabic"/>
          <w:sz w:val="24"/>
          <w:szCs w:val="24"/>
          <w:rtl/>
        </w:rPr>
        <w:t xml:space="preserve"> </w:t>
      </w:r>
      <w:r w:rsidRPr="005D59A7">
        <w:rPr>
          <w:rFonts w:ascii="T" w:hAnsi="T" w:cs="Simplified Arabic"/>
          <w:sz w:val="24"/>
          <w:szCs w:val="24"/>
          <w:rtl/>
        </w:rPr>
        <w:t>هذا</w:t>
      </w:r>
      <w:r w:rsidR="009737DA" w:rsidRPr="005D59A7">
        <w:rPr>
          <w:rFonts w:ascii="T" w:hAnsi="T" w:cs="Simplified Arabic"/>
          <w:sz w:val="24"/>
          <w:szCs w:val="24"/>
          <w:rtl/>
        </w:rPr>
        <w:t xml:space="preserve"> </w:t>
      </w:r>
      <w:r w:rsidRPr="005D59A7">
        <w:rPr>
          <w:rFonts w:ascii="T" w:hAnsi="T" w:cs="Simplified Arabic"/>
          <w:sz w:val="24"/>
          <w:szCs w:val="24"/>
          <w:rtl/>
        </w:rPr>
        <w:t>الإجمالي،</w:t>
      </w:r>
      <w:r w:rsidR="009737DA" w:rsidRPr="005D59A7">
        <w:rPr>
          <w:rFonts w:ascii="T" w:hAnsi="T" w:cs="Simplified Arabic"/>
          <w:sz w:val="24"/>
          <w:szCs w:val="24"/>
          <w:rtl/>
        </w:rPr>
        <w:t xml:space="preserve"> </w:t>
      </w:r>
      <w:r w:rsidRPr="005D59A7">
        <w:rPr>
          <w:rFonts w:ascii="T" w:hAnsi="T" w:cs="Simplified Arabic"/>
          <w:sz w:val="24"/>
          <w:szCs w:val="24"/>
          <w:rtl/>
        </w:rPr>
        <w:t>بينما</w:t>
      </w:r>
      <w:r w:rsidR="009737DA" w:rsidRPr="005D59A7">
        <w:rPr>
          <w:rFonts w:ascii="T" w:hAnsi="T" w:cs="Simplified Arabic"/>
          <w:sz w:val="24"/>
          <w:szCs w:val="24"/>
          <w:rtl/>
        </w:rPr>
        <w:t xml:space="preserve"> </w:t>
      </w:r>
      <w:r w:rsidRPr="005D59A7">
        <w:rPr>
          <w:rFonts w:ascii="T" w:hAnsi="T" w:cs="Simplified Arabic"/>
          <w:sz w:val="24"/>
          <w:szCs w:val="24"/>
          <w:rtl/>
        </w:rPr>
        <w:t>شكلت</w:t>
      </w:r>
      <w:r w:rsidR="009737DA" w:rsidRPr="005D59A7">
        <w:rPr>
          <w:rFonts w:ascii="T" w:hAnsi="T" w:cs="Simplified Arabic"/>
          <w:sz w:val="24"/>
          <w:szCs w:val="24"/>
          <w:rtl/>
        </w:rPr>
        <w:t xml:space="preserve"> </w:t>
      </w:r>
      <w:r w:rsidRPr="005D59A7">
        <w:rPr>
          <w:rFonts w:ascii="T" w:hAnsi="T" w:cs="Simplified Arabic"/>
          <w:sz w:val="24"/>
          <w:szCs w:val="24"/>
          <w:rtl/>
        </w:rPr>
        <w:t>التكاليف</w:t>
      </w:r>
      <w:r w:rsidR="009737DA" w:rsidRPr="005D59A7">
        <w:rPr>
          <w:rFonts w:ascii="T" w:hAnsi="T" w:cs="Simplified Arabic"/>
          <w:sz w:val="24"/>
          <w:szCs w:val="24"/>
          <w:rtl/>
        </w:rPr>
        <w:t xml:space="preserve"> </w:t>
      </w:r>
      <w:r w:rsidRPr="005D59A7">
        <w:rPr>
          <w:rFonts w:ascii="T" w:hAnsi="T" w:cs="Simplified Arabic"/>
          <w:sz w:val="24"/>
          <w:szCs w:val="24"/>
          <w:rtl/>
        </w:rPr>
        <w:t>غير</w:t>
      </w:r>
      <w:r w:rsidR="009737DA" w:rsidRPr="005D59A7">
        <w:rPr>
          <w:rFonts w:ascii="T" w:hAnsi="T" w:cs="Simplified Arabic"/>
          <w:sz w:val="24"/>
          <w:szCs w:val="24"/>
          <w:rtl/>
        </w:rPr>
        <w:t xml:space="preserve"> </w:t>
      </w:r>
      <w:r w:rsidRPr="005D59A7">
        <w:rPr>
          <w:rFonts w:ascii="T" w:hAnsi="T" w:cs="Simplified Arabic"/>
          <w:sz w:val="24"/>
          <w:szCs w:val="24"/>
          <w:rtl/>
        </w:rPr>
        <w:t>المباشرة</w:t>
      </w:r>
      <w:r w:rsidR="009737DA" w:rsidRPr="005D59A7">
        <w:rPr>
          <w:rFonts w:ascii="T" w:hAnsi="T" w:cs="Simplified Arabic"/>
          <w:sz w:val="24"/>
          <w:szCs w:val="24"/>
          <w:rtl/>
        </w:rPr>
        <w:t xml:space="preserve"> </w:t>
      </w:r>
      <w:r w:rsidRPr="005D59A7">
        <w:rPr>
          <w:rFonts w:ascii="T" w:hAnsi="T" w:cs="Simplified Arabic"/>
          <w:sz w:val="24"/>
          <w:szCs w:val="24"/>
          <w:rtl/>
        </w:rPr>
        <w:t xml:space="preserve">نسبة 24.5% المتبقية </w:t>
      </w:r>
      <w:r w:rsidR="00FF0AED" w:rsidRPr="005D59A7">
        <w:rPr>
          <w:rFonts w:ascii="T" w:hAnsi="T" w:cs="Simplified Arabic"/>
          <w:sz w:val="24"/>
          <w:szCs w:val="24"/>
        </w:rPr>
        <w:t>(Dawoud, et al , 2022)</w:t>
      </w:r>
    </w:p>
    <w:p w14:paraId="75D3433E" w14:textId="77777777" w:rsidR="00210FA3"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الآثار</w:t>
      </w:r>
      <w:r w:rsidR="00665475" w:rsidRPr="005D59A7">
        <w:rPr>
          <w:rFonts w:ascii="T" w:hAnsi="T" w:cs="Simplified Arabic"/>
          <w:sz w:val="24"/>
          <w:szCs w:val="24"/>
        </w:rPr>
        <w:t xml:space="preserve"> </w:t>
      </w:r>
      <w:r w:rsidRPr="005D59A7">
        <w:rPr>
          <w:rFonts w:ascii="T" w:hAnsi="T" w:cs="Simplified Arabic"/>
          <w:sz w:val="24"/>
          <w:szCs w:val="24"/>
          <w:rtl/>
        </w:rPr>
        <w:t>الصحية: يؤثر</w:t>
      </w:r>
      <w:r w:rsidR="00665475" w:rsidRPr="005D59A7">
        <w:rPr>
          <w:rFonts w:ascii="T" w:hAnsi="T" w:cs="Simplified Arabic"/>
          <w:sz w:val="24"/>
          <w:szCs w:val="24"/>
        </w:rPr>
        <w:t xml:space="preserve"> </w:t>
      </w:r>
      <w:r w:rsidRPr="005D59A7">
        <w:rPr>
          <w:rFonts w:ascii="T" w:hAnsi="T" w:cs="Simplified Arabic"/>
          <w:sz w:val="24"/>
          <w:szCs w:val="24"/>
          <w:rtl/>
        </w:rPr>
        <w:t>التدهور</w:t>
      </w:r>
      <w:r w:rsidR="00665475" w:rsidRPr="005D59A7">
        <w:rPr>
          <w:rFonts w:ascii="T" w:hAnsi="T" w:cs="Simplified Arabic"/>
          <w:sz w:val="24"/>
          <w:szCs w:val="24"/>
        </w:rPr>
        <w:t xml:space="preserve"> </w:t>
      </w:r>
      <w:r w:rsidRPr="005D59A7">
        <w:rPr>
          <w:rFonts w:ascii="T" w:hAnsi="T" w:cs="Simplified Arabic"/>
          <w:sz w:val="24"/>
          <w:szCs w:val="24"/>
          <w:rtl/>
        </w:rPr>
        <w:t>البيئي،</w:t>
      </w:r>
      <w:r w:rsidR="00665475" w:rsidRPr="005D59A7">
        <w:rPr>
          <w:rFonts w:ascii="T" w:hAnsi="T" w:cs="Simplified Arabic"/>
          <w:sz w:val="24"/>
          <w:szCs w:val="24"/>
        </w:rPr>
        <w:t xml:space="preserve"> </w:t>
      </w:r>
      <w:r w:rsidRPr="005D59A7">
        <w:rPr>
          <w:rFonts w:ascii="T" w:hAnsi="T" w:cs="Simplified Arabic"/>
          <w:sz w:val="24"/>
          <w:szCs w:val="24"/>
          <w:rtl/>
        </w:rPr>
        <w:t>وخاصة</w:t>
      </w:r>
      <w:r w:rsidR="00665475" w:rsidRPr="005D59A7">
        <w:rPr>
          <w:rFonts w:ascii="T" w:hAnsi="T" w:cs="Simplified Arabic"/>
          <w:sz w:val="24"/>
          <w:szCs w:val="24"/>
        </w:rPr>
        <w:t xml:space="preserve"> </w:t>
      </w:r>
      <w:r w:rsidRPr="005D59A7">
        <w:rPr>
          <w:rFonts w:ascii="T" w:hAnsi="T" w:cs="Simplified Arabic"/>
          <w:sz w:val="24"/>
          <w:szCs w:val="24"/>
          <w:rtl/>
        </w:rPr>
        <w:t>تلوث</w:t>
      </w:r>
      <w:r w:rsidR="00665475" w:rsidRPr="005D59A7">
        <w:rPr>
          <w:rFonts w:ascii="T" w:hAnsi="T" w:cs="Simplified Arabic"/>
          <w:sz w:val="24"/>
          <w:szCs w:val="24"/>
        </w:rPr>
        <w:t xml:space="preserve"> </w:t>
      </w:r>
      <w:r w:rsidRPr="005D59A7">
        <w:rPr>
          <w:rFonts w:ascii="T" w:hAnsi="T" w:cs="Simplified Arabic"/>
          <w:sz w:val="24"/>
          <w:szCs w:val="24"/>
          <w:rtl/>
        </w:rPr>
        <w:t>الهواء</w:t>
      </w:r>
      <w:r w:rsidR="00665475" w:rsidRPr="005D59A7">
        <w:rPr>
          <w:rFonts w:ascii="T" w:hAnsi="T" w:cs="Simplified Arabic"/>
          <w:sz w:val="24"/>
          <w:szCs w:val="24"/>
        </w:rPr>
        <w:t xml:space="preserve"> </w:t>
      </w:r>
      <w:r w:rsidRPr="005D59A7">
        <w:rPr>
          <w:rFonts w:ascii="T" w:hAnsi="T" w:cs="Simplified Arabic"/>
          <w:sz w:val="24"/>
          <w:szCs w:val="24"/>
          <w:rtl/>
        </w:rPr>
        <w:t>والماء،</w:t>
      </w:r>
      <w:r w:rsidR="00665475" w:rsidRPr="005D59A7">
        <w:rPr>
          <w:rFonts w:ascii="T" w:hAnsi="T" w:cs="Simplified Arabic"/>
          <w:sz w:val="24"/>
          <w:szCs w:val="24"/>
        </w:rPr>
        <w:t xml:space="preserve"> </w:t>
      </w:r>
      <w:r w:rsidRPr="005D59A7">
        <w:rPr>
          <w:rFonts w:ascii="T" w:hAnsi="T" w:cs="Simplified Arabic"/>
          <w:sz w:val="24"/>
          <w:szCs w:val="24"/>
          <w:rtl/>
        </w:rPr>
        <w:t>بشكل</w:t>
      </w:r>
      <w:r w:rsidR="00665475" w:rsidRPr="005D59A7">
        <w:rPr>
          <w:rFonts w:ascii="T" w:hAnsi="T" w:cs="Simplified Arabic"/>
          <w:sz w:val="24"/>
          <w:szCs w:val="24"/>
        </w:rPr>
        <w:t xml:space="preserve"> </w:t>
      </w:r>
      <w:r w:rsidRPr="005D59A7">
        <w:rPr>
          <w:rFonts w:ascii="T" w:hAnsi="T" w:cs="Simplified Arabic"/>
          <w:sz w:val="24"/>
          <w:szCs w:val="24"/>
          <w:rtl/>
        </w:rPr>
        <w:t>مباشر</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الصحة</w:t>
      </w:r>
      <w:r w:rsidR="00665475" w:rsidRPr="005D59A7">
        <w:rPr>
          <w:rFonts w:ascii="T" w:hAnsi="T" w:cs="Simplified Arabic"/>
          <w:sz w:val="24"/>
          <w:szCs w:val="24"/>
        </w:rPr>
        <w:t xml:space="preserve"> </w:t>
      </w:r>
      <w:r w:rsidRPr="005D59A7">
        <w:rPr>
          <w:rFonts w:ascii="T" w:hAnsi="T" w:cs="Simplified Arabic"/>
          <w:sz w:val="24"/>
          <w:szCs w:val="24"/>
          <w:rtl/>
        </w:rPr>
        <w:t>العامة. يؤدي</w:t>
      </w:r>
      <w:r w:rsidR="00665475" w:rsidRPr="005D59A7">
        <w:rPr>
          <w:rFonts w:ascii="T" w:hAnsi="T" w:cs="Simplified Arabic"/>
          <w:sz w:val="24"/>
          <w:szCs w:val="24"/>
        </w:rPr>
        <w:t xml:space="preserve"> </w:t>
      </w:r>
      <w:r w:rsidRPr="005D59A7">
        <w:rPr>
          <w:rFonts w:ascii="T" w:hAnsi="T" w:cs="Simplified Arabic"/>
          <w:sz w:val="24"/>
          <w:szCs w:val="24"/>
          <w:rtl/>
        </w:rPr>
        <w:t>هذا</w:t>
      </w:r>
      <w:r w:rsidR="00665475" w:rsidRPr="005D59A7">
        <w:rPr>
          <w:rFonts w:ascii="T" w:hAnsi="T" w:cs="Simplified Arabic"/>
          <w:sz w:val="24"/>
          <w:szCs w:val="24"/>
        </w:rPr>
        <w:t xml:space="preserve"> </w:t>
      </w:r>
      <w:r w:rsidRPr="005D59A7">
        <w:rPr>
          <w:rFonts w:ascii="T" w:hAnsi="T" w:cs="Simplified Arabic"/>
          <w:sz w:val="24"/>
          <w:szCs w:val="24"/>
          <w:rtl/>
        </w:rPr>
        <w:t>إلى</w:t>
      </w:r>
      <w:r w:rsidR="00665475" w:rsidRPr="005D59A7">
        <w:rPr>
          <w:rFonts w:ascii="T" w:hAnsi="T" w:cs="Simplified Arabic"/>
          <w:sz w:val="24"/>
          <w:szCs w:val="24"/>
        </w:rPr>
        <w:t xml:space="preserve"> </w:t>
      </w:r>
      <w:r w:rsidRPr="005D59A7">
        <w:rPr>
          <w:rFonts w:ascii="T" w:hAnsi="T" w:cs="Simplified Arabic"/>
          <w:sz w:val="24"/>
          <w:szCs w:val="24"/>
          <w:rtl/>
        </w:rPr>
        <w:t>زيادة</w:t>
      </w:r>
      <w:r w:rsidR="00665475" w:rsidRPr="005D59A7">
        <w:rPr>
          <w:rFonts w:ascii="T" w:hAnsi="T" w:cs="Simplified Arabic"/>
          <w:sz w:val="24"/>
          <w:szCs w:val="24"/>
        </w:rPr>
        <w:t xml:space="preserve"> </w:t>
      </w:r>
      <w:r w:rsidRPr="005D59A7">
        <w:rPr>
          <w:rFonts w:ascii="T" w:hAnsi="T" w:cs="Simplified Arabic"/>
          <w:sz w:val="24"/>
          <w:szCs w:val="24"/>
          <w:rtl/>
        </w:rPr>
        <w:t>تكاليف</w:t>
      </w:r>
      <w:r w:rsidR="00665475" w:rsidRPr="005D59A7">
        <w:rPr>
          <w:rFonts w:ascii="T" w:hAnsi="T" w:cs="Simplified Arabic"/>
          <w:sz w:val="24"/>
          <w:szCs w:val="24"/>
        </w:rPr>
        <w:t xml:space="preserve"> </w:t>
      </w:r>
      <w:r w:rsidRPr="005D59A7">
        <w:rPr>
          <w:rFonts w:ascii="T" w:hAnsi="T" w:cs="Simplified Arabic"/>
          <w:sz w:val="24"/>
          <w:szCs w:val="24"/>
          <w:rtl/>
        </w:rPr>
        <w:t>الرعاية</w:t>
      </w:r>
      <w:r w:rsidR="00665475" w:rsidRPr="005D59A7">
        <w:rPr>
          <w:rFonts w:ascii="T" w:hAnsi="T" w:cs="Simplified Arabic"/>
          <w:sz w:val="24"/>
          <w:szCs w:val="24"/>
        </w:rPr>
        <w:t xml:space="preserve"> </w:t>
      </w:r>
      <w:r w:rsidRPr="005D59A7">
        <w:rPr>
          <w:rFonts w:ascii="T" w:hAnsi="T" w:cs="Simplified Arabic"/>
          <w:sz w:val="24"/>
          <w:szCs w:val="24"/>
          <w:rtl/>
        </w:rPr>
        <w:t>الصحية،</w:t>
      </w:r>
      <w:r w:rsidR="00665475" w:rsidRPr="005D59A7">
        <w:rPr>
          <w:rFonts w:ascii="T" w:hAnsi="T" w:cs="Simplified Arabic"/>
          <w:sz w:val="24"/>
          <w:szCs w:val="24"/>
        </w:rPr>
        <w:t xml:space="preserve"> </w:t>
      </w:r>
      <w:r w:rsidRPr="005D59A7">
        <w:rPr>
          <w:rFonts w:ascii="T" w:hAnsi="T" w:cs="Simplified Arabic"/>
          <w:sz w:val="24"/>
          <w:szCs w:val="24"/>
          <w:rtl/>
        </w:rPr>
        <w:t>وانخفاض</w:t>
      </w:r>
      <w:r w:rsidR="00665475" w:rsidRPr="005D59A7">
        <w:rPr>
          <w:rFonts w:ascii="T" w:hAnsi="T" w:cs="Simplified Arabic"/>
          <w:sz w:val="24"/>
          <w:szCs w:val="24"/>
        </w:rPr>
        <w:t xml:space="preserve"> </w:t>
      </w:r>
      <w:r w:rsidRPr="005D59A7">
        <w:rPr>
          <w:rFonts w:ascii="T" w:hAnsi="T" w:cs="Simplified Arabic"/>
          <w:sz w:val="24"/>
          <w:szCs w:val="24"/>
          <w:rtl/>
        </w:rPr>
        <w:t>الإنتاجية</w:t>
      </w:r>
      <w:r w:rsidR="00665475" w:rsidRPr="005D59A7">
        <w:rPr>
          <w:rFonts w:ascii="T" w:hAnsi="T" w:cs="Simplified Arabic"/>
          <w:sz w:val="24"/>
          <w:szCs w:val="24"/>
        </w:rPr>
        <w:t xml:space="preserve"> </w:t>
      </w:r>
      <w:r w:rsidRPr="005D59A7">
        <w:rPr>
          <w:rFonts w:ascii="T" w:hAnsi="T" w:cs="Simplified Arabic"/>
          <w:sz w:val="24"/>
          <w:szCs w:val="24"/>
          <w:rtl/>
        </w:rPr>
        <w:t>بسبب</w:t>
      </w:r>
      <w:r w:rsidR="00665475" w:rsidRPr="005D59A7">
        <w:rPr>
          <w:rFonts w:ascii="T" w:hAnsi="T" w:cs="Simplified Arabic"/>
          <w:sz w:val="24"/>
          <w:szCs w:val="24"/>
        </w:rPr>
        <w:t xml:space="preserve"> </w:t>
      </w:r>
      <w:r w:rsidRPr="005D59A7">
        <w:rPr>
          <w:rFonts w:ascii="T" w:hAnsi="T" w:cs="Simplified Arabic"/>
          <w:sz w:val="24"/>
          <w:szCs w:val="24"/>
          <w:rtl/>
        </w:rPr>
        <w:t>الأمراض،</w:t>
      </w:r>
      <w:r w:rsidR="00665475" w:rsidRPr="005D59A7">
        <w:rPr>
          <w:rFonts w:ascii="T" w:hAnsi="T" w:cs="Simplified Arabic"/>
          <w:sz w:val="24"/>
          <w:szCs w:val="24"/>
        </w:rPr>
        <w:t xml:space="preserve"> </w:t>
      </w:r>
      <w:r w:rsidRPr="005D59A7">
        <w:rPr>
          <w:rFonts w:ascii="T" w:hAnsi="T" w:cs="Simplified Arabic"/>
          <w:sz w:val="24"/>
          <w:szCs w:val="24"/>
          <w:rtl/>
        </w:rPr>
        <w:t>وارتفاع</w:t>
      </w:r>
      <w:r w:rsidR="00665475" w:rsidRPr="005D59A7">
        <w:rPr>
          <w:rFonts w:ascii="T" w:hAnsi="T" w:cs="Simplified Arabic"/>
          <w:sz w:val="24"/>
          <w:szCs w:val="24"/>
        </w:rPr>
        <w:t xml:space="preserve"> </w:t>
      </w:r>
      <w:r w:rsidRPr="005D59A7">
        <w:rPr>
          <w:rFonts w:ascii="T" w:hAnsi="T" w:cs="Simplified Arabic"/>
          <w:sz w:val="24"/>
          <w:szCs w:val="24"/>
          <w:rtl/>
        </w:rPr>
        <w:t>معدل</w:t>
      </w:r>
      <w:r w:rsidR="00665475" w:rsidRPr="005D59A7">
        <w:rPr>
          <w:rFonts w:ascii="T" w:hAnsi="T" w:cs="Simplified Arabic"/>
          <w:sz w:val="24"/>
          <w:szCs w:val="24"/>
        </w:rPr>
        <w:t xml:space="preserve"> </w:t>
      </w:r>
      <w:r w:rsidRPr="005D59A7">
        <w:rPr>
          <w:rFonts w:ascii="T" w:hAnsi="T" w:cs="Simplified Arabic"/>
          <w:sz w:val="24"/>
          <w:szCs w:val="24"/>
          <w:rtl/>
        </w:rPr>
        <w:t>الإصابة</w:t>
      </w:r>
      <w:r w:rsidR="00665475" w:rsidRPr="005D59A7">
        <w:rPr>
          <w:rFonts w:ascii="T" w:hAnsi="T" w:cs="Simplified Arabic"/>
          <w:sz w:val="24"/>
          <w:szCs w:val="24"/>
        </w:rPr>
        <w:t xml:space="preserve"> </w:t>
      </w:r>
      <w:r w:rsidRPr="005D59A7">
        <w:rPr>
          <w:rFonts w:ascii="T" w:hAnsi="T" w:cs="Simplified Arabic"/>
          <w:sz w:val="24"/>
          <w:szCs w:val="24"/>
          <w:rtl/>
        </w:rPr>
        <w:t>بأمراض</w:t>
      </w:r>
      <w:r w:rsidR="00665475" w:rsidRPr="005D59A7">
        <w:rPr>
          <w:rFonts w:ascii="T" w:hAnsi="T" w:cs="Simplified Arabic"/>
          <w:sz w:val="24"/>
          <w:szCs w:val="24"/>
        </w:rPr>
        <w:t xml:space="preserve"> </w:t>
      </w:r>
      <w:r w:rsidRPr="005D59A7">
        <w:rPr>
          <w:rFonts w:ascii="T" w:hAnsi="T" w:cs="Simplified Arabic"/>
          <w:sz w:val="24"/>
          <w:szCs w:val="24"/>
          <w:rtl/>
        </w:rPr>
        <w:t>مثل</w:t>
      </w:r>
      <w:r w:rsidR="00665475" w:rsidRPr="005D59A7">
        <w:rPr>
          <w:rFonts w:ascii="T" w:hAnsi="T" w:cs="Simplified Arabic"/>
          <w:sz w:val="24"/>
          <w:szCs w:val="24"/>
        </w:rPr>
        <w:t xml:space="preserve"> </w:t>
      </w:r>
      <w:r w:rsidRPr="005D59A7">
        <w:rPr>
          <w:rFonts w:ascii="T" w:hAnsi="T" w:cs="Simplified Arabic"/>
          <w:sz w:val="24"/>
          <w:szCs w:val="24"/>
          <w:rtl/>
        </w:rPr>
        <w:t>أمراض</w:t>
      </w:r>
      <w:r w:rsidR="00665475" w:rsidRPr="005D59A7">
        <w:rPr>
          <w:rFonts w:ascii="T" w:hAnsi="T" w:cs="Simplified Arabic"/>
          <w:sz w:val="24"/>
          <w:szCs w:val="24"/>
        </w:rPr>
        <w:t xml:space="preserve"> </w:t>
      </w:r>
      <w:r w:rsidRPr="005D59A7">
        <w:rPr>
          <w:rFonts w:ascii="T" w:hAnsi="T" w:cs="Simplified Arabic"/>
          <w:sz w:val="24"/>
          <w:szCs w:val="24"/>
          <w:rtl/>
        </w:rPr>
        <w:t>الجهاز</w:t>
      </w:r>
      <w:r w:rsidR="00665475" w:rsidRPr="005D59A7">
        <w:rPr>
          <w:rFonts w:ascii="T" w:hAnsi="T" w:cs="Simplified Arabic"/>
          <w:sz w:val="24"/>
          <w:szCs w:val="24"/>
        </w:rPr>
        <w:t xml:space="preserve"> </w:t>
      </w:r>
      <w:r w:rsidRPr="005D59A7">
        <w:rPr>
          <w:rFonts w:ascii="T" w:hAnsi="T" w:cs="Simplified Arabic"/>
          <w:sz w:val="24"/>
          <w:szCs w:val="24"/>
          <w:rtl/>
        </w:rPr>
        <w:t>التنفسي</w:t>
      </w:r>
      <w:r w:rsidR="00665475" w:rsidRPr="005D59A7">
        <w:rPr>
          <w:rFonts w:ascii="T" w:hAnsi="T" w:cs="Simplified Arabic"/>
          <w:sz w:val="24"/>
          <w:szCs w:val="24"/>
        </w:rPr>
        <w:t xml:space="preserve"> </w:t>
      </w:r>
      <w:r w:rsidRPr="005D59A7">
        <w:rPr>
          <w:rFonts w:ascii="T" w:hAnsi="T" w:cs="Simplified Arabic"/>
          <w:sz w:val="24"/>
          <w:szCs w:val="24"/>
          <w:rtl/>
        </w:rPr>
        <w:t>والسرطان (</w:t>
      </w:r>
      <w:r w:rsidRPr="005D59A7">
        <w:rPr>
          <w:rFonts w:ascii="T" w:hAnsi="T" w:cs="Simplified Arabic"/>
          <w:sz w:val="24"/>
          <w:szCs w:val="24"/>
        </w:rPr>
        <w:t>WHO, 2024</w:t>
      </w:r>
      <w:r w:rsidRPr="005D59A7">
        <w:rPr>
          <w:rFonts w:ascii="T" w:hAnsi="T" w:cs="Simplified Arabic"/>
          <w:sz w:val="24"/>
          <w:szCs w:val="24"/>
          <w:rtl/>
        </w:rPr>
        <w:t>).</w:t>
      </w:r>
    </w:p>
    <w:p w14:paraId="44C786D4" w14:textId="77777777" w:rsidR="00665475" w:rsidRPr="005D59A7" w:rsidRDefault="00210FA3" w:rsidP="000D16AD">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الاستهلاك</w:t>
      </w:r>
      <w:r w:rsidR="00665475" w:rsidRPr="005D59A7">
        <w:rPr>
          <w:rFonts w:ascii="T" w:hAnsi="T" w:cs="Simplified Arabic"/>
          <w:sz w:val="24"/>
          <w:szCs w:val="24"/>
        </w:rPr>
        <w:t xml:space="preserve"> </w:t>
      </w:r>
      <w:r w:rsidRPr="005D59A7">
        <w:rPr>
          <w:rFonts w:ascii="T" w:hAnsi="T" w:cs="Simplified Arabic"/>
          <w:sz w:val="24"/>
          <w:szCs w:val="24"/>
          <w:rtl/>
        </w:rPr>
        <w:t>غير</w:t>
      </w:r>
      <w:r w:rsidR="00665475" w:rsidRPr="005D59A7">
        <w:rPr>
          <w:rFonts w:ascii="T" w:hAnsi="T" w:cs="Simplified Arabic"/>
          <w:sz w:val="24"/>
          <w:szCs w:val="24"/>
        </w:rPr>
        <w:t xml:space="preserve"> </w:t>
      </w:r>
      <w:r w:rsidRPr="005D59A7">
        <w:rPr>
          <w:rFonts w:ascii="T" w:hAnsi="T" w:cs="Simplified Arabic"/>
          <w:sz w:val="24"/>
          <w:szCs w:val="24"/>
          <w:rtl/>
        </w:rPr>
        <w:t>المستدام</w:t>
      </w:r>
      <w:r w:rsidR="00665475" w:rsidRPr="005D59A7">
        <w:rPr>
          <w:rFonts w:ascii="T" w:hAnsi="T" w:cs="Simplified Arabic"/>
          <w:sz w:val="24"/>
          <w:szCs w:val="24"/>
        </w:rPr>
        <w:t xml:space="preserve"> </w:t>
      </w:r>
      <w:r w:rsidRPr="005D59A7">
        <w:rPr>
          <w:rFonts w:ascii="T" w:hAnsi="T" w:cs="Simplified Arabic"/>
          <w:sz w:val="24"/>
          <w:szCs w:val="24"/>
          <w:rtl/>
        </w:rPr>
        <w:t>للموارد: تُعد</w:t>
      </w:r>
      <w:r w:rsidR="00665475" w:rsidRPr="005D59A7">
        <w:rPr>
          <w:rFonts w:ascii="T" w:hAnsi="T" w:cs="Simplified Arabic"/>
          <w:sz w:val="24"/>
          <w:szCs w:val="24"/>
        </w:rPr>
        <w:t xml:space="preserve"> </w:t>
      </w:r>
      <w:r w:rsidRPr="005D59A7">
        <w:rPr>
          <w:rFonts w:ascii="T" w:hAnsi="T" w:cs="Simplified Arabic"/>
          <w:sz w:val="24"/>
          <w:szCs w:val="24"/>
          <w:rtl/>
        </w:rPr>
        <w:t>المملكة</w:t>
      </w:r>
      <w:r w:rsidR="00665475" w:rsidRPr="005D59A7">
        <w:rPr>
          <w:rFonts w:ascii="T" w:hAnsi="T" w:cs="Simplified Arabic"/>
          <w:sz w:val="24"/>
          <w:szCs w:val="24"/>
        </w:rPr>
        <w:t xml:space="preserve"> </w:t>
      </w:r>
      <w:r w:rsidRPr="005D59A7">
        <w:rPr>
          <w:rFonts w:ascii="T" w:hAnsi="T" w:cs="Simplified Arabic"/>
          <w:sz w:val="24"/>
          <w:szCs w:val="24"/>
          <w:rtl/>
        </w:rPr>
        <w:t>العربية</w:t>
      </w:r>
      <w:r w:rsidR="00665475" w:rsidRPr="005D59A7">
        <w:rPr>
          <w:rFonts w:ascii="T" w:hAnsi="T" w:cs="Simplified Arabic"/>
          <w:sz w:val="24"/>
          <w:szCs w:val="24"/>
        </w:rPr>
        <w:t xml:space="preserve"> </w:t>
      </w:r>
      <w:r w:rsidRPr="005D59A7">
        <w:rPr>
          <w:rFonts w:ascii="T" w:hAnsi="T" w:cs="Simplified Arabic"/>
          <w:sz w:val="24"/>
          <w:szCs w:val="24"/>
          <w:rtl/>
        </w:rPr>
        <w:t>السعودية</w:t>
      </w:r>
      <w:r w:rsidR="00665475" w:rsidRPr="005D59A7">
        <w:rPr>
          <w:rFonts w:ascii="T" w:hAnsi="T" w:cs="Simplified Arabic"/>
          <w:sz w:val="24"/>
          <w:szCs w:val="24"/>
        </w:rPr>
        <w:t xml:space="preserve"> </w:t>
      </w:r>
      <w:r w:rsidRPr="005D59A7">
        <w:rPr>
          <w:rFonts w:ascii="T" w:hAnsi="T" w:cs="Simplified Arabic"/>
          <w:sz w:val="24"/>
          <w:szCs w:val="24"/>
          <w:rtl/>
        </w:rPr>
        <w:t>من</w:t>
      </w:r>
      <w:r w:rsidR="00665475" w:rsidRPr="005D59A7">
        <w:rPr>
          <w:rFonts w:ascii="T" w:hAnsi="T" w:cs="Simplified Arabic"/>
          <w:sz w:val="24"/>
          <w:szCs w:val="24"/>
        </w:rPr>
        <w:t xml:space="preserve"> </w:t>
      </w:r>
      <w:r w:rsidRPr="005D59A7">
        <w:rPr>
          <w:rFonts w:ascii="T" w:hAnsi="T" w:cs="Simplified Arabic"/>
          <w:sz w:val="24"/>
          <w:szCs w:val="24"/>
          <w:rtl/>
        </w:rPr>
        <w:t>أكبر</w:t>
      </w:r>
      <w:r w:rsidR="00665475" w:rsidRPr="005D59A7">
        <w:rPr>
          <w:rFonts w:ascii="T" w:hAnsi="T" w:cs="Simplified Arabic"/>
          <w:sz w:val="24"/>
          <w:szCs w:val="24"/>
        </w:rPr>
        <w:t xml:space="preserve"> </w:t>
      </w:r>
      <w:r w:rsidRPr="005D59A7">
        <w:rPr>
          <w:rFonts w:ascii="T" w:hAnsi="T" w:cs="Simplified Arabic"/>
          <w:sz w:val="24"/>
          <w:szCs w:val="24"/>
          <w:rtl/>
        </w:rPr>
        <w:t>مستهلكي</w:t>
      </w:r>
      <w:r w:rsidR="00665475" w:rsidRPr="005D59A7">
        <w:rPr>
          <w:rFonts w:ascii="T" w:hAnsi="T" w:cs="Simplified Arabic"/>
          <w:sz w:val="24"/>
          <w:szCs w:val="24"/>
        </w:rPr>
        <w:t xml:space="preserve"> </w:t>
      </w:r>
      <w:r w:rsidRPr="005D59A7">
        <w:rPr>
          <w:rFonts w:ascii="T" w:hAnsi="T" w:cs="Simplified Arabic"/>
          <w:sz w:val="24"/>
          <w:szCs w:val="24"/>
          <w:rtl/>
        </w:rPr>
        <w:t>المياه</w:t>
      </w:r>
      <w:r w:rsidR="00665475" w:rsidRPr="005D59A7">
        <w:rPr>
          <w:rFonts w:ascii="T" w:hAnsi="T" w:cs="Simplified Arabic"/>
          <w:sz w:val="24"/>
          <w:szCs w:val="24"/>
        </w:rPr>
        <w:t xml:space="preserve"> </w:t>
      </w:r>
      <w:r w:rsidRPr="005D59A7">
        <w:rPr>
          <w:rFonts w:ascii="T" w:hAnsi="T" w:cs="Simplified Arabic"/>
          <w:sz w:val="24"/>
          <w:szCs w:val="24"/>
          <w:rtl/>
        </w:rPr>
        <w:t>للفرد</w:t>
      </w:r>
      <w:r w:rsidR="00665475" w:rsidRPr="005D59A7">
        <w:rPr>
          <w:rFonts w:ascii="T" w:hAnsi="T" w:cs="Simplified Arabic"/>
          <w:sz w:val="24"/>
          <w:szCs w:val="24"/>
        </w:rPr>
        <w:t xml:space="preserve"> </w:t>
      </w:r>
      <w:r w:rsidRPr="005D59A7">
        <w:rPr>
          <w:rFonts w:ascii="T" w:hAnsi="T" w:cs="Simplified Arabic"/>
          <w:sz w:val="24"/>
          <w:szCs w:val="24"/>
          <w:rtl/>
        </w:rPr>
        <w:t>في</w:t>
      </w:r>
      <w:r w:rsidR="00665475" w:rsidRPr="005D59A7">
        <w:rPr>
          <w:rFonts w:ascii="T" w:hAnsi="T" w:cs="Simplified Arabic"/>
          <w:sz w:val="24"/>
          <w:szCs w:val="24"/>
        </w:rPr>
        <w:t xml:space="preserve"> </w:t>
      </w:r>
      <w:r w:rsidRPr="005D59A7">
        <w:rPr>
          <w:rFonts w:ascii="T" w:hAnsi="T" w:cs="Simplified Arabic"/>
          <w:sz w:val="24"/>
          <w:szCs w:val="24"/>
          <w:rtl/>
        </w:rPr>
        <w:t>العالم،</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الرغم</w:t>
      </w:r>
      <w:r w:rsidR="00665475" w:rsidRPr="005D59A7">
        <w:rPr>
          <w:rFonts w:ascii="T" w:hAnsi="T" w:cs="Simplified Arabic"/>
          <w:sz w:val="24"/>
          <w:szCs w:val="24"/>
        </w:rPr>
        <w:t xml:space="preserve"> </w:t>
      </w:r>
      <w:r w:rsidRPr="005D59A7">
        <w:rPr>
          <w:rFonts w:ascii="T" w:hAnsi="T" w:cs="Simplified Arabic"/>
          <w:sz w:val="24"/>
          <w:szCs w:val="24"/>
          <w:rtl/>
        </w:rPr>
        <w:t>من</w:t>
      </w:r>
      <w:r w:rsidR="00665475" w:rsidRPr="005D59A7">
        <w:rPr>
          <w:rFonts w:ascii="T" w:hAnsi="T" w:cs="Simplified Arabic"/>
          <w:sz w:val="24"/>
          <w:szCs w:val="24"/>
        </w:rPr>
        <w:t xml:space="preserve"> </w:t>
      </w:r>
      <w:r w:rsidRPr="005D59A7">
        <w:rPr>
          <w:rFonts w:ascii="T" w:hAnsi="T" w:cs="Simplified Arabic"/>
          <w:sz w:val="24"/>
          <w:szCs w:val="24"/>
          <w:rtl/>
        </w:rPr>
        <w:t>وقوعها</w:t>
      </w:r>
      <w:r w:rsidR="00665475" w:rsidRPr="005D59A7">
        <w:rPr>
          <w:rFonts w:ascii="T" w:hAnsi="T" w:cs="Simplified Arabic"/>
          <w:sz w:val="24"/>
          <w:szCs w:val="24"/>
        </w:rPr>
        <w:t xml:space="preserve"> </w:t>
      </w:r>
      <w:r w:rsidRPr="005D59A7">
        <w:rPr>
          <w:rFonts w:ascii="T" w:hAnsi="T" w:cs="Simplified Arabic"/>
          <w:sz w:val="24"/>
          <w:szCs w:val="24"/>
          <w:rtl/>
        </w:rPr>
        <w:t>في</w:t>
      </w:r>
      <w:r w:rsidR="00665475" w:rsidRPr="005D59A7">
        <w:rPr>
          <w:rFonts w:ascii="T" w:hAnsi="T" w:cs="Simplified Arabic"/>
          <w:sz w:val="24"/>
          <w:szCs w:val="24"/>
        </w:rPr>
        <w:t xml:space="preserve"> </w:t>
      </w:r>
      <w:r w:rsidRPr="005D59A7">
        <w:rPr>
          <w:rFonts w:ascii="T" w:hAnsi="T" w:cs="Simplified Arabic"/>
          <w:sz w:val="24"/>
          <w:szCs w:val="24"/>
          <w:rtl/>
        </w:rPr>
        <w:t>إحدى</w:t>
      </w:r>
      <w:r w:rsidR="00665475" w:rsidRPr="005D59A7">
        <w:rPr>
          <w:rFonts w:ascii="T" w:hAnsi="T" w:cs="Simplified Arabic"/>
          <w:sz w:val="24"/>
          <w:szCs w:val="24"/>
        </w:rPr>
        <w:t xml:space="preserve"> </w:t>
      </w:r>
      <w:r w:rsidRPr="005D59A7">
        <w:rPr>
          <w:rFonts w:ascii="T" w:hAnsi="T" w:cs="Simplified Arabic"/>
          <w:sz w:val="24"/>
          <w:szCs w:val="24"/>
          <w:rtl/>
        </w:rPr>
        <w:t>أكثر</w:t>
      </w:r>
      <w:r w:rsidR="00665475" w:rsidRPr="005D59A7">
        <w:rPr>
          <w:rFonts w:ascii="T" w:hAnsi="T" w:cs="Simplified Arabic"/>
          <w:sz w:val="24"/>
          <w:szCs w:val="24"/>
        </w:rPr>
        <w:t xml:space="preserve"> </w:t>
      </w:r>
      <w:r w:rsidRPr="005D59A7">
        <w:rPr>
          <w:rFonts w:ascii="T" w:hAnsi="T" w:cs="Simplified Arabic"/>
          <w:sz w:val="24"/>
          <w:szCs w:val="24"/>
          <w:rtl/>
        </w:rPr>
        <w:t>المناطق</w:t>
      </w:r>
      <w:r w:rsidR="00665475" w:rsidRPr="005D59A7">
        <w:rPr>
          <w:rFonts w:ascii="T" w:hAnsi="T" w:cs="Simplified Arabic"/>
          <w:sz w:val="24"/>
          <w:szCs w:val="24"/>
        </w:rPr>
        <w:t xml:space="preserve"> </w:t>
      </w:r>
      <w:r w:rsidRPr="005D59A7">
        <w:rPr>
          <w:rFonts w:ascii="T" w:hAnsi="T" w:cs="Simplified Arabic"/>
          <w:sz w:val="24"/>
          <w:szCs w:val="24"/>
          <w:rtl/>
        </w:rPr>
        <w:t>جفافًا. هذا</w:t>
      </w:r>
      <w:r w:rsidR="00665475" w:rsidRPr="005D59A7">
        <w:rPr>
          <w:rFonts w:ascii="T" w:hAnsi="T" w:cs="Simplified Arabic"/>
          <w:sz w:val="24"/>
          <w:szCs w:val="24"/>
        </w:rPr>
        <w:t xml:space="preserve"> </w:t>
      </w:r>
      <w:r w:rsidRPr="005D59A7">
        <w:rPr>
          <w:rFonts w:ascii="T" w:hAnsi="T" w:cs="Simplified Arabic"/>
          <w:sz w:val="24"/>
          <w:szCs w:val="24"/>
          <w:rtl/>
        </w:rPr>
        <w:t>الاعتماد</w:t>
      </w:r>
      <w:r w:rsidR="00665475" w:rsidRPr="005D59A7">
        <w:rPr>
          <w:rFonts w:ascii="T" w:hAnsi="T" w:cs="Simplified Arabic"/>
          <w:sz w:val="24"/>
          <w:szCs w:val="24"/>
        </w:rPr>
        <w:t xml:space="preserve"> </w:t>
      </w:r>
      <w:r w:rsidRPr="005D59A7">
        <w:rPr>
          <w:rFonts w:ascii="T" w:hAnsi="T" w:cs="Simplified Arabic"/>
          <w:sz w:val="24"/>
          <w:szCs w:val="24"/>
          <w:rtl/>
        </w:rPr>
        <w:t>غير</w:t>
      </w:r>
      <w:r w:rsidR="00665475" w:rsidRPr="005D59A7">
        <w:rPr>
          <w:rFonts w:ascii="T" w:hAnsi="T" w:cs="Simplified Arabic"/>
          <w:sz w:val="24"/>
          <w:szCs w:val="24"/>
        </w:rPr>
        <w:t xml:space="preserve"> </w:t>
      </w:r>
      <w:r w:rsidRPr="005D59A7">
        <w:rPr>
          <w:rFonts w:ascii="T" w:hAnsi="T" w:cs="Simplified Arabic"/>
          <w:sz w:val="24"/>
          <w:szCs w:val="24"/>
          <w:rtl/>
        </w:rPr>
        <w:t>المستدام</w:t>
      </w:r>
      <w:r w:rsidR="00665475" w:rsidRPr="005D59A7">
        <w:rPr>
          <w:rFonts w:ascii="T" w:hAnsi="T" w:cs="Simplified Arabic"/>
          <w:sz w:val="24"/>
          <w:szCs w:val="24"/>
        </w:rPr>
        <w:t xml:space="preserve"> </w:t>
      </w:r>
      <w:r w:rsidRPr="005D59A7">
        <w:rPr>
          <w:rFonts w:ascii="T" w:hAnsi="T" w:cs="Simplified Arabic"/>
          <w:sz w:val="24"/>
          <w:szCs w:val="24"/>
          <w:rtl/>
        </w:rPr>
        <w:t>على</w:t>
      </w:r>
      <w:r w:rsidR="00665475" w:rsidRPr="005D59A7">
        <w:rPr>
          <w:rFonts w:ascii="T" w:hAnsi="T" w:cs="Simplified Arabic"/>
          <w:sz w:val="24"/>
          <w:szCs w:val="24"/>
        </w:rPr>
        <w:t xml:space="preserve"> </w:t>
      </w:r>
      <w:r w:rsidRPr="005D59A7">
        <w:rPr>
          <w:rFonts w:ascii="T" w:hAnsi="T" w:cs="Simplified Arabic"/>
          <w:sz w:val="24"/>
          <w:szCs w:val="24"/>
          <w:rtl/>
        </w:rPr>
        <w:t>مصادر</w:t>
      </w:r>
      <w:r w:rsidR="00665475" w:rsidRPr="005D59A7">
        <w:rPr>
          <w:rFonts w:ascii="T" w:hAnsi="T" w:cs="Simplified Arabic"/>
          <w:sz w:val="24"/>
          <w:szCs w:val="24"/>
        </w:rPr>
        <w:t xml:space="preserve"> </w:t>
      </w:r>
      <w:r w:rsidRPr="005D59A7">
        <w:rPr>
          <w:rFonts w:ascii="T" w:hAnsi="T" w:cs="Simplified Arabic"/>
          <w:sz w:val="24"/>
          <w:szCs w:val="24"/>
          <w:rtl/>
        </w:rPr>
        <w:t>المياه</w:t>
      </w:r>
      <w:r w:rsidR="00665475" w:rsidRPr="005D59A7">
        <w:rPr>
          <w:rFonts w:ascii="T" w:hAnsi="T" w:cs="Simplified Arabic"/>
          <w:sz w:val="24"/>
          <w:szCs w:val="24"/>
        </w:rPr>
        <w:t xml:space="preserve"> </w:t>
      </w:r>
      <w:r w:rsidRPr="005D59A7">
        <w:rPr>
          <w:rFonts w:ascii="T" w:hAnsi="T" w:cs="Simplified Arabic"/>
          <w:sz w:val="24"/>
          <w:szCs w:val="24"/>
          <w:rtl/>
        </w:rPr>
        <w:t>المحدودة،</w:t>
      </w:r>
      <w:r w:rsidR="00665475" w:rsidRPr="005D59A7">
        <w:rPr>
          <w:rFonts w:ascii="T" w:hAnsi="T" w:cs="Simplified Arabic"/>
          <w:sz w:val="24"/>
          <w:szCs w:val="24"/>
        </w:rPr>
        <w:t xml:space="preserve"> </w:t>
      </w:r>
      <w:r w:rsidRPr="005D59A7">
        <w:rPr>
          <w:rFonts w:ascii="T" w:hAnsi="T" w:cs="Simplified Arabic"/>
          <w:sz w:val="24"/>
          <w:szCs w:val="24"/>
          <w:rtl/>
        </w:rPr>
        <w:t>والذي</w:t>
      </w:r>
      <w:r w:rsidR="00665475" w:rsidRPr="005D59A7">
        <w:rPr>
          <w:rFonts w:ascii="T" w:hAnsi="T" w:cs="Simplified Arabic"/>
          <w:sz w:val="24"/>
          <w:szCs w:val="24"/>
        </w:rPr>
        <w:t xml:space="preserve"> </w:t>
      </w:r>
      <w:r w:rsidRPr="005D59A7">
        <w:rPr>
          <w:rFonts w:ascii="T" w:hAnsi="T" w:cs="Simplified Arabic"/>
          <w:sz w:val="24"/>
          <w:szCs w:val="24"/>
          <w:rtl/>
        </w:rPr>
        <w:t>يتفاقم</w:t>
      </w:r>
      <w:r w:rsidR="00665475" w:rsidRPr="005D59A7">
        <w:rPr>
          <w:rFonts w:ascii="T" w:hAnsi="T" w:cs="Simplified Arabic"/>
          <w:sz w:val="24"/>
          <w:szCs w:val="24"/>
        </w:rPr>
        <w:t xml:space="preserve"> </w:t>
      </w:r>
      <w:r w:rsidRPr="005D59A7">
        <w:rPr>
          <w:rFonts w:ascii="T" w:hAnsi="T" w:cs="Simplified Arabic"/>
          <w:sz w:val="24"/>
          <w:szCs w:val="24"/>
          <w:rtl/>
        </w:rPr>
        <w:t>بسبب</w:t>
      </w:r>
      <w:r w:rsidR="00665475" w:rsidRPr="005D59A7">
        <w:rPr>
          <w:rFonts w:ascii="T" w:hAnsi="T" w:cs="Simplified Arabic"/>
          <w:sz w:val="24"/>
          <w:szCs w:val="24"/>
        </w:rPr>
        <w:t xml:space="preserve"> </w:t>
      </w:r>
      <w:r w:rsidRPr="005D59A7">
        <w:rPr>
          <w:rFonts w:ascii="T" w:hAnsi="T" w:cs="Simplified Arabic"/>
          <w:sz w:val="24"/>
          <w:szCs w:val="24"/>
          <w:rtl/>
        </w:rPr>
        <w:t>التصحر،</w:t>
      </w:r>
      <w:r w:rsidR="00665475" w:rsidRPr="005D59A7">
        <w:rPr>
          <w:rFonts w:ascii="T" w:hAnsi="T" w:cs="Simplified Arabic"/>
          <w:sz w:val="24"/>
          <w:szCs w:val="24"/>
        </w:rPr>
        <w:t xml:space="preserve"> </w:t>
      </w:r>
      <w:r w:rsidRPr="005D59A7">
        <w:rPr>
          <w:rFonts w:ascii="T" w:hAnsi="T" w:cs="Simplified Arabic"/>
          <w:sz w:val="24"/>
          <w:szCs w:val="24"/>
          <w:rtl/>
        </w:rPr>
        <w:t>يُهدد</w:t>
      </w:r>
      <w:r w:rsidR="00665475" w:rsidRPr="005D59A7">
        <w:rPr>
          <w:rFonts w:ascii="T" w:hAnsi="T" w:cs="Simplified Arabic"/>
          <w:sz w:val="24"/>
          <w:szCs w:val="24"/>
        </w:rPr>
        <w:t xml:space="preserve"> </w:t>
      </w:r>
      <w:r w:rsidRPr="005D59A7">
        <w:rPr>
          <w:rFonts w:ascii="T" w:hAnsi="T" w:cs="Simplified Arabic"/>
          <w:sz w:val="24"/>
          <w:szCs w:val="24"/>
          <w:rtl/>
        </w:rPr>
        <w:t>بشكل</w:t>
      </w:r>
      <w:r w:rsidR="00665475" w:rsidRPr="005D59A7">
        <w:rPr>
          <w:rFonts w:ascii="T" w:hAnsi="T" w:cs="Simplified Arabic"/>
          <w:sz w:val="24"/>
          <w:szCs w:val="24"/>
        </w:rPr>
        <w:t xml:space="preserve"> </w:t>
      </w:r>
      <w:r w:rsidRPr="005D59A7">
        <w:rPr>
          <w:rFonts w:ascii="T" w:hAnsi="T" w:cs="Simplified Arabic"/>
          <w:sz w:val="24"/>
          <w:szCs w:val="24"/>
          <w:rtl/>
        </w:rPr>
        <w:t>أكبر</w:t>
      </w:r>
      <w:r w:rsidR="00665475" w:rsidRPr="005D59A7">
        <w:rPr>
          <w:rFonts w:ascii="T" w:hAnsi="T" w:cs="Simplified Arabic"/>
          <w:sz w:val="24"/>
          <w:szCs w:val="24"/>
        </w:rPr>
        <w:t xml:space="preserve"> </w:t>
      </w:r>
      <w:r w:rsidRPr="005D59A7">
        <w:rPr>
          <w:rFonts w:ascii="T" w:hAnsi="T" w:cs="Simplified Arabic"/>
          <w:sz w:val="24"/>
          <w:szCs w:val="24"/>
          <w:rtl/>
        </w:rPr>
        <w:t>توافر</w:t>
      </w:r>
      <w:r w:rsidR="00665475" w:rsidRPr="005D59A7">
        <w:rPr>
          <w:rFonts w:ascii="T" w:hAnsi="T" w:cs="Simplified Arabic"/>
          <w:sz w:val="24"/>
          <w:szCs w:val="24"/>
        </w:rPr>
        <w:t xml:space="preserve"> </w:t>
      </w:r>
      <w:r w:rsidRPr="005D59A7">
        <w:rPr>
          <w:rFonts w:ascii="T" w:hAnsi="T" w:cs="Simplified Arabic"/>
          <w:sz w:val="24"/>
          <w:szCs w:val="24"/>
          <w:rtl/>
        </w:rPr>
        <w:t>الموارد</w:t>
      </w:r>
      <w:r w:rsidR="00665475" w:rsidRPr="005D59A7">
        <w:rPr>
          <w:rFonts w:ascii="T" w:hAnsi="T" w:cs="Simplified Arabic"/>
          <w:sz w:val="24"/>
          <w:szCs w:val="24"/>
        </w:rPr>
        <w:t xml:space="preserve"> </w:t>
      </w:r>
      <w:r w:rsidRPr="005D59A7">
        <w:rPr>
          <w:rFonts w:ascii="T" w:hAnsi="T" w:cs="Simplified Arabic"/>
          <w:sz w:val="24"/>
          <w:szCs w:val="24"/>
          <w:rtl/>
        </w:rPr>
        <w:t>والإنتاجية</w:t>
      </w:r>
      <w:r w:rsidR="00665475" w:rsidRPr="005D59A7">
        <w:rPr>
          <w:rFonts w:ascii="T" w:hAnsi="T" w:cs="Simplified Arabic"/>
          <w:sz w:val="24"/>
          <w:szCs w:val="24"/>
        </w:rPr>
        <w:t xml:space="preserve"> </w:t>
      </w:r>
      <w:r w:rsidRPr="005D59A7">
        <w:rPr>
          <w:rFonts w:ascii="T" w:hAnsi="T" w:cs="Simplified Arabic"/>
          <w:sz w:val="24"/>
          <w:szCs w:val="24"/>
          <w:rtl/>
        </w:rPr>
        <w:t>الزراعية (</w:t>
      </w:r>
      <w:r w:rsidRPr="005D59A7">
        <w:rPr>
          <w:rFonts w:ascii="T" w:hAnsi="T" w:cs="Simplified Arabic"/>
          <w:sz w:val="24"/>
          <w:szCs w:val="24"/>
        </w:rPr>
        <w:t>CITA, 2024</w:t>
      </w:r>
      <w:r w:rsidRPr="005D59A7">
        <w:rPr>
          <w:rFonts w:ascii="T" w:hAnsi="T" w:cs="Simplified Arabic"/>
          <w:sz w:val="24"/>
          <w:szCs w:val="24"/>
          <w:rtl/>
        </w:rPr>
        <w:t>).</w:t>
      </w:r>
    </w:p>
    <w:p w14:paraId="358C3CAC" w14:textId="77777777" w:rsidR="005A5496" w:rsidRPr="005D59A7" w:rsidRDefault="005A5496"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وتكمن أهمية الدراسة في تطوير نموذج شراكة بين القطاعين العام والخاص بتفاصيل دقيقة لخدمة بيئية من اختيار الباحث، وحيث أن الشراكة بين القطاعين العام والخاص حذت نحو اتجاه مختلف وأكثر فاعلية </w:t>
      </w:r>
      <w:r w:rsidRPr="005D59A7">
        <w:rPr>
          <w:rFonts w:ascii="T" w:hAnsi="T" w:cs="Simplified Arabic"/>
          <w:sz w:val="24"/>
          <w:szCs w:val="24"/>
          <w:rtl/>
        </w:rPr>
        <w:lastRenderedPageBreak/>
        <w:t>بعد إطلاق رؤية المملكة 2030 وتعد حتى اليوم في مراحل مبدئية عند الأخذ بالاعتبار الخدمات الأساسية والهيكلة التنظيمية.</w:t>
      </w:r>
    </w:p>
    <w:p w14:paraId="60005B2A" w14:textId="1284440D" w:rsidR="00920785" w:rsidRPr="005D59A7" w:rsidRDefault="00FB7749" w:rsidP="000D16AD">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ومن هنا، تنبع الأهمية التطبيقية في اختيار خدمة بيئية محددة مثل التفتيش البيئي ودراسة الفجوة الحالية بها من الإجراءات والتكاليف الرأس مالية والتشغيلية، و</w:t>
      </w:r>
      <w:r w:rsidR="005F48DB" w:rsidRPr="005D59A7">
        <w:rPr>
          <w:rFonts w:ascii="T" w:hAnsi="T" w:cs="Simplified Arabic"/>
          <w:sz w:val="24"/>
          <w:szCs w:val="24"/>
          <w:rtl/>
        </w:rPr>
        <w:t>عرض الدراسات السابقة المتوفرة بهذا الخصوص ل</w:t>
      </w:r>
      <w:r w:rsidRPr="005D59A7">
        <w:rPr>
          <w:rFonts w:ascii="T" w:hAnsi="T" w:cs="Simplified Arabic"/>
          <w:sz w:val="24"/>
          <w:szCs w:val="24"/>
          <w:rtl/>
        </w:rPr>
        <w:t>اقتراح نموذج شراكة بين القطاعي</w:t>
      </w:r>
      <w:r w:rsidR="005F48DB" w:rsidRPr="005D59A7">
        <w:rPr>
          <w:rFonts w:ascii="T" w:hAnsi="T" w:cs="Simplified Arabic"/>
          <w:sz w:val="24"/>
          <w:szCs w:val="24"/>
          <w:rtl/>
        </w:rPr>
        <w:t>ن العام والخاص لها</w:t>
      </w:r>
      <w:r w:rsidR="00C54779" w:rsidRPr="005D59A7">
        <w:rPr>
          <w:rFonts w:ascii="T" w:hAnsi="T" w:cs="Simplified Arabic"/>
          <w:sz w:val="24"/>
          <w:szCs w:val="24"/>
          <w:rtl/>
        </w:rPr>
        <w:t xml:space="preserve"> والذي يمكن استخدامه كنموذج للخدمات الأخرى</w:t>
      </w:r>
      <w:r w:rsidR="005F48DB" w:rsidRPr="005D59A7">
        <w:rPr>
          <w:rFonts w:ascii="T" w:hAnsi="T" w:cs="Simplified Arabic"/>
          <w:sz w:val="24"/>
          <w:szCs w:val="24"/>
          <w:rtl/>
        </w:rPr>
        <w:t xml:space="preserve">. </w:t>
      </w:r>
    </w:p>
    <w:tbl>
      <w:tblPr>
        <w:tblStyle w:val="TableGrid"/>
        <w:bidiVisual/>
        <w:tblW w:w="0" w:type="auto"/>
        <w:tblLook w:val="04A0" w:firstRow="1" w:lastRow="0" w:firstColumn="1" w:lastColumn="0" w:noHBand="0" w:noVBand="1"/>
      </w:tblPr>
      <w:tblGrid>
        <w:gridCol w:w="1518"/>
        <w:gridCol w:w="1986"/>
        <w:gridCol w:w="2030"/>
        <w:gridCol w:w="2988"/>
      </w:tblGrid>
      <w:tr w:rsidR="0048002A" w:rsidRPr="005D59A7" w14:paraId="25B06AD0" w14:textId="77777777" w:rsidTr="00285330">
        <w:tc>
          <w:tcPr>
            <w:tcW w:w="0" w:type="auto"/>
            <w:hideMark/>
          </w:tcPr>
          <w:p w14:paraId="21B734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الفائدة المتوقعة</w:t>
            </w:r>
          </w:p>
        </w:tc>
        <w:tc>
          <w:tcPr>
            <w:tcW w:w="0" w:type="auto"/>
            <w:hideMark/>
          </w:tcPr>
          <w:p w14:paraId="0C57456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مؤشر الأداء الرئيسي</w:t>
            </w:r>
            <w:r w:rsidRPr="005D59A7">
              <w:rPr>
                <w:rFonts w:ascii="T" w:hAnsi="T" w:cs="Simplified Arabic"/>
                <w:sz w:val="24"/>
                <w:szCs w:val="24"/>
                <w:shd w:val="clear" w:color="auto" w:fill="FFFFFF"/>
              </w:rPr>
              <w:t xml:space="preserve"> (KPI)</w:t>
            </w:r>
          </w:p>
        </w:tc>
        <w:tc>
          <w:tcPr>
            <w:tcW w:w="0" w:type="auto"/>
            <w:hideMark/>
          </w:tcPr>
          <w:p w14:paraId="0B0F615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مصدر البيانات</w:t>
            </w:r>
          </w:p>
        </w:tc>
        <w:tc>
          <w:tcPr>
            <w:tcW w:w="0" w:type="auto"/>
            <w:hideMark/>
          </w:tcPr>
          <w:p w14:paraId="6815C19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طريقة القياس</w:t>
            </w:r>
          </w:p>
        </w:tc>
      </w:tr>
      <w:tr w:rsidR="0048002A" w:rsidRPr="005D59A7" w14:paraId="3384437D" w14:textId="77777777" w:rsidTr="00285330">
        <w:tc>
          <w:tcPr>
            <w:tcW w:w="0" w:type="auto"/>
            <w:hideMark/>
          </w:tcPr>
          <w:p w14:paraId="7BFE86CC"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خفض التكاليف التشغيلية</w:t>
            </w:r>
          </w:p>
        </w:tc>
        <w:tc>
          <w:tcPr>
            <w:tcW w:w="0" w:type="auto"/>
            <w:hideMark/>
          </w:tcPr>
          <w:p w14:paraId="6E864D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تكلفة الزيارة التفتيشية (ريال/زيارة)</w:t>
            </w:r>
          </w:p>
        </w:tc>
        <w:tc>
          <w:tcPr>
            <w:tcW w:w="0" w:type="auto"/>
            <w:hideMark/>
          </w:tcPr>
          <w:p w14:paraId="314998C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6F7696CE"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التكاليف التشغيلية ÷ عدد الزيارات</w:t>
            </w:r>
          </w:p>
        </w:tc>
      </w:tr>
      <w:tr w:rsidR="0048002A" w:rsidRPr="005D59A7" w14:paraId="039CD2B1" w14:textId="77777777" w:rsidTr="00285330">
        <w:tc>
          <w:tcPr>
            <w:tcW w:w="0" w:type="auto"/>
            <w:hideMark/>
          </w:tcPr>
          <w:p w14:paraId="741DE68D"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رفع كفاءة التغطية</w:t>
            </w:r>
          </w:p>
        </w:tc>
        <w:tc>
          <w:tcPr>
            <w:tcW w:w="0" w:type="auto"/>
            <w:hideMark/>
          </w:tcPr>
          <w:p w14:paraId="3A22AEC0"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تغطية المنشآت</w:t>
            </w:r>
            <w:r w:rsidRPr="005D59A7">
              <w:rPr>
                <w:rFonts w:ascii="T" w:hAnsi="T" w:cs="Simplified Arabic"/>
                <w:sz w:val="24"/>
                <w:szCs w:val="24"/>
                <w:shd w:val="clear" w:color="auto" w:fill="FFFFFF"/>
              </w:rPr>
              <w:t xml:space="preserve"> (%)</w:t>
            </w:r>
          </w:p>
        </w:tc>
        <w:tc>
          <w:tcPr>
            <w:tcW w:w="0" w:type="auto"/>
            <w:hideMark/>
          </w:tcPr>
          <w:p w14:paraId="5F96DB95"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3972C92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(المنشآت المزورة ÷ إجمالي المنشآت) × 100</w:t>
            </w:r>
          </w:p>
        </w:tc>
      </w:tr>
      <w:tr w:rsidR="0048002A" w:rsidRPr="005D59A7" w14:paraId="2C9F55A4" w14:textId="77777777" w:rsidTr="00285330">
        <w:tc>
          <w:tcPr>
            <w:tcW w:w="0" w:type="auto"/>
            <w:hideMark/>
          </w:tcPr>
          <w:p w14:paraId="324B6FC6"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تحسين جودة الرصد</w:t>
            </w:r>
          </w:p>
        </w:tc>
        <w:tc>
          <w:tcPr>
            <w:tcW w:w="0" w:type="auto"/>
            <w:hideMark/>
          </w:tcPr>
          <w:p w14:paraId="130BBD7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المخالفات المرفوضة</w:t>
            </w:r>
            <w:r w:rsidRPr="005D59A7">
              <w:rPr>
                <w:rFonts w:ascii="T" w:hAnsi="T" w:cs="Simplified Arabic"/>
                <w:sz w:val="24"/>
                <w:szCs w:val="24"/>
                <w:shd w:val="clear" w:color="auto" w:fill="FFFFFF"/>
              </w:rPr>
              <w:t xml:space="preserve"> (%)</w:t>
            </w:r>
          </w:p>
        </w:tc>
        <w:tc>
          <w:tcPr>
            <w:tcW w:w="0" w:type="auto"/>
            <w:hideMark/>
          </w:tcPr>
          <w:p w14:paraId="44717E50"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5107A05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(المخالفات المرفوضة ÷ إجمالي المخالفات المرصودة) × 100</w:t>
            </w:r>
          </w:p>
        </w:tc>
      </w:tr>
      <w:tr w:rsidR="0048002A" w:rsidRPr="005D59A7" w14:paraId="575765B0" w14:textId="77777777" w:rsidTr="00285330">
        <w:tc>
          <w:tcPr>
            <w:tcW w:w="0" w:type="auto"/>
            <w:hideMark/>
          </w:tcPr>
          <w:p w14:paraId="77A55036"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زيادة كفاءة الموارد</w:t>
            </w:r>
          </w:p>
        </w:tc>
        <w:tc>
          <w:tcPr>
            <w:tcW w:w="0" w:type="auto"/>
            <w:hideMark/>
          </w:tcPr>
          <w:p w14:paraId="1C032D71"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عدد المنشآت لكل مفتش</w:t>
            </w:r>
          </w:p>
        </w:tc>
        <w:tc>
          <w:tcPr>
            <w:tcW w:w="0" w:type="auto"/>
            <w:hideMark/>
          </w:tcPr>
          <w:p w14:paraId="40F30B6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4709A04C"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المنشآت ÷ عدد المفتشين</w:t>
            </w:r>
          </w:p>
        </w:tc>
      </w:tr>
      <w:tr w:rsidR="0048002A" w:rsidRPr="005D59A7" w14:paraId="34F8AC2E" w14:textId="77777777" w:rsidTr="00285330">
        <w:tc>
          <w:tcPr>
            <w:tcW w:w="0" w:type="auto"/>
            <w:hideMark/>
          </w:tcPr>
          <w:p w14:paraId="4EE50839"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تحسين سرعة الإجراءات</w:t>
            </w:r>
          </w:p>
        </w:tc>
        <w:tc>
          <w:tcPr>
            <w:tcW w:w="0" w:type="auto"/>
            <w:hideMark/>
          </w:tcPr>
          <w:p w14:paraId="43795324"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متوسط زمن إغلاق المخالفات (أيام)</w:t>
            </w:r>
          </w:p>
        </w:tc>
        <w:tc>
          <w:tcPr>
            <w:tcW w:w="0" w:type="auto"/>
            <w:hideMark/>
          </w:tcPr>
          <w:p w14:paraId="20775D27"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1E3D692D"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إجمالي زمن إغلاق المخالفات ÷ عدد المخالفات</w:t>
            </w:r>
          </w:p>
        </w:tc>
      </w:tr>
      <w:tr w:rsidR="0048002A" w:rsidRPr="005D59A7" w14:paraId="268506AF" w14:textId="77777777" w:rsidTr="00285330">
        <w:tc>
          <w:tcPr>
            <w:tcW w:w="0" w:type="auto"/>
            <w:hideMark/>
          </w:tcPr>
          <w:p w14:paraId="42F22977"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تحقيق الاستدامة المالية</w:t>
            </w:r>
          </w:p>
        </w:tc>
        <w:tc>
          <w:tcPr>
            <w:tcW w:w="0" w:type="auto"/>
            <w:hideMark/>
          </w:tcPr>
          <w:p w14:paraId="5F2DA261"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نسبة استرداد التكاليف</w:t>
            </w:r>
            <w:r w:rsidRPr="005D59A7">
              <w:rPr>
                <w:rFonts w:ascii="T" w:hAnsi="T" w:cs="Simplified Arabic"/>
                <w:sz w:val="24"/>
                <w:szCs w:val="24"/>
                <w:shd w:val="clear" w:color="auto" w:fill="FFFFFF"/>
              </w:rPr>
              <w:t xml:space="preserve"> (%)</w:t>
            </w:r>
          </w:p>
        </w:tc>
        <w:tc>
          <w:tcPr>
            <w:tcW w:w="0" w:type="auto"/>
            <w:hideMark/>
          </w:tcPr>
          <w:p w14:paraId="74BB4F82"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p>
        </w:tc>
        <w:tc>
          <w:tcPr>
            <w:tcW w:w="0" w:type="auto"/>
            <w:hideMark/>
          </w:tcPr>
          <w:p w14:paraId="50E61A1F" w14:textId="77777777" w:rsidR="00285330" w:rsidRPr="005D59A7" w:rsidRDefault="00285330" w:rsidP="000D16AD">
            <w:pPr>
              <w:bidi/>
              <w:spacing w:after="0" w:line="375" w:lineRule="atLeast"/>
              <w:rPr>
                <w:rFonts w:ascii="T" w:hAnsi="T" w:cs="Simplified Arabic"/>
                <w:sz w:val="24"/>
                <w:szCs w:val="24"/>
                <w:shd w:val="clear" w:color="auto" w:fill="FFFFFF"/>
              </w:rPr>
            </w:pPr>
            <w:r w:rsidRPr="005D59A7">
              <w:rPr>
                <w:rFonts w:ascii="T" w:hAnsi="T" w:cs="Simplified Arabic"/>
                <w:sz w:val="24"/>
                <w:szCs w:val="24"/>
                <w:shd w:val="clear" w:color="auto" w:fill="FFFFFF"/>
                <w:rtl/>
              </w:rPr>
              <w:t>(الإيرادات ÷ التكاليف) × 100</w:t>
            </w:r>
          </w:p>
        </w:tc>
      </w:tr>
    </w:tbl>
    <w:p w14:paraId="08B63B72" w14:textId="77777777" w:rsidR="00C41994" w:rsidRPr="005D59A7" w:rsidRDefault="00C11026" w:rsidP="00410D73">
      <w:pPr>
        <w:pStyle w:val="Heading1"/>
        <w:bidi/>
        <w:spacing w:line="360" w:lineRule="auto"/>
        <w:rPr>
          <w:rFonts w:ascii="T" w:eastAsia="Times New Roman" w:hAnsi="T" w:cs="Simplified Arabic"/>
          <w:b/>
          <w:bCs/>
          <w:color w:val="auto"/>
          <w:sz w:val="24"/>
          <w:szCs w:val="24"/>
          <w:rtl/>
        </w:rPr>
      </w:pPr>
      <w:bookmarkStart w:id="12" w:name="_Toc225991329"/>
      <w:r w:rsidRPr="005D59A7">
        <w:rPr>
          <w:rFonts w:ascii="T" w:eastAsia="Times New Roman" w:hAnsi="T" w:cs="Simplified Arabic"/>
          <w:b/>
          <w:bCs/>
          <w:color w:val="auto"/>
          <w:sz w:val="24"/>
          <w:szCs w:val="24"/>
          <w:rtl/>
        </w:rPr>
        <w:t>أ</w:t>
      </w:r>
      <w:r w:rsidR="00A16E60" w:rsidRPr="005D59A7">
        <w:rPr>
          <w:rFonts w:ascii="T" w:eastAsia="Times New Roman" w:hAnsi="T" w:cs="Simplified Arabic"/>
          <w:b/>
          <w:bCs/>
          <w:color w:val="auto"/>
          <w:sz w:val="24"/>
          <w:szCs w:val="24"/>
          <w:rtl/>
        </w:rPr>
        <w:t>هد</w:t>
      </w:r>
      <w:r w:rsidRPr="005D59A7">
        <w:rPr>
          <w:rFonts w:ascii="T" w:eastAsia="Times New Roman" w:hAnsi="T" w:cs="Simplified Arabic"/>
          <w:b/>
          <w:bCs/>
          <w:color w:val="auto"/>
          <w:sz w:val="24"/>
          <w:szCs w:val="24"/>
          <w:rtl/>
        </w:rPr>
        <w:t>ا</w:t>
      </w:r>
      <w:r w:rsidR="00A16E60" w:rsidRPr="005D59A7">
        <w:rPr>
          <w:rFonts w:ascii="T" w:eastAsia="Times New Roman" w:hAnsi="T" w:cs="Simplified Arabic"/>
          <w:b/>
          <w:bCs/>
          <w:color w:val="auto"/>
          <w:sz w:val="24"/>
          <w:szCs w:val="24"/>
          <w:rtl/>
        </w:rPr>
        <w:t>ف الدراسة:</w:t>
      </w:r>
      <w:bookmarkEnd w:id="12"/>
    </w:p>
    <w:p w14:paraId="5F0D662B" w14:textId="77777777" w:rsidR="006E7C5B" w:rsidRPr="005D59A7" w:rsidRDefault="006E7C5B"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تهدف هذه الدراسة إلى تطوير نموذج شراكة فعّال بين القطاعين العام والخاص</w:t>
      </w:r>
      <w:r w:rsidRPr="005D59A7">
        <w:rPr>
          <w:rFonts w:ascii="T" w:hAnsi="T" w:cs="Simplified Arabic"/>
          <w:sz w:val="24"/>
          <w:szCs w:val="24"/>
        </w:rPr>
        <w:t xml:space="preserve"> (PPP) </w:t>
      </w:r>
      <w:r w:rsidRPr="005D59A7">
        <w:rPr>
          <w:rFonts w:ascii="T" w:hAnsi="T" w:cs="Simplified Arabic"/>
          <w:sz w:val="24"/>
          <w:szCs w:val="24"/>
          <w:rtl/>
        </w:rPr>
        <w:t>لتقديم خدمة التفتيش البيئي في المملكة العربية السعودية، استنادًا إلى البيانات المتاحة للفترة (2019–2022)، وبما يتوافق مع مستهدفات رؤية السعودية 2030، وذلك بهدف تعزيز كفاءة الأداء التشغيلي، وتحقيق الاستدامة المالية، ورفع مستوى الامتثال البيئي. كما تسعى الدراسة إلى دعم توجهات إعادة هيكلة القطاع البيئي المنبثقة عن الإستراتيجية الوطنية للبيئة، من خلال تقديم إطار تحليلي وتطبيقي متكامل لنمذجة الشراكات في الخدمات الرقابية</w:t>
      </w:r>
      <w:r w:rsidRPr="005D59A7">
        <w:rPr>
          <w:rFonts w:ascii="T" w:hAnsi="T" w:cs="Simplified Arabic"/>
          <w:sz w:val="24"/>
          <w:szCs w:val="24"/>
        </w:rPr>
        <w:t>.</w:t>
      </w:r>
    </w:p>
    <w:p w14:paraId="6EE4CC3A" w14:textId="77777777" w:rsidR="006E7C5B" w:rsidRPr="005D59A7" w:rsidRDefault="006E7C5B"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وينبثق عن هذا الهدف العام مجموعة من الأهداف الفرعية، تم هيكلتها بما يتوافق مع منهجية التحليل المعتمدة في الدراسة، على النحو التالي</w:t>
      </w:r>
      <w:r w:rsidRPr="005D59A7">
        <w:rPr>
          <w:rFonts w:ascii="T" w:hAnsi="T" w:cs="Simplified Arabic"/>
          <w:sz w:val="24"/>
          <w:szCs w:val="24"/>
        </w:rPr>
        <w:t>:</w:t>
      </w:r>
    </w:p>
    <w:p w14:paraId="3FC04479" w14:textId="48821F4A"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تحليل وتوصيف مؤشرات الأداء الحالية لخدمة التفتيش البيئي كما تقدمها المركز الوطني للرقابة على الالتزام البيئي، من حيث الكفاءة التشغيلية، جودة المخرجات، مستوى التغطية، وآلية التوريد التقليدية، بهدف بناء قاعدة مرجعية دقيقة</w:t>
      </w:r>
      <w:r w:rsidRPr="005D59A7">
        <w:rPr>
          <w:rFonts w:ascii="T" w:hAnsi="T" w:cs="Simplified Arabic"/>
          <w:sz w:val="24"/>
          <w:szCs w:val="24"/>
        </w:rPr>
        <w:t xml:space="preserve"> </w:t>
      </w:r>
      <w:r w:rsidRPr="005D59A7">
        <w:rPr>
          <w:rFonts w:ascii="T" w:hAnsi="T" w:cs="Simplified Arabic"/>
          <w:sz w:val="24"/>
          <w:szCs w:val="24"/>
          <w:rtl/>
        </w:rPr>
        <w:t>تمكّن من إجراء المقارنات التحليلية اللاحقة</w:t>
      </w:r>
      <w:r w:rsidRPr="005D59A7">
        <w:rPr>
          <w:rFonts w:ascii="T" w:hAnsi="T" w:cs="Simplified Arabic"/>
          <w:sz w:val="24"/>
          <w:szCs w:val="24"/>
        </w:rPr>
        <w:t>.</w:t>
      </w:r>
    </w:p>
    <w:p w14:paraId="565567EB"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تحديد وتحليل أوجه القصور والاختلال في النموذج الحالي لتقديم الخدمة، سواء على المستوى التشغيلي أو المؤسسي أو التعاقدي، وربط هذه الفجوات بمؤشرات الأداء الفعلية، بما يسهم في تفسير أسباب انخفاض الكفاءة وجودة المخرجات</w:t>
      </w:r>
      <w:r w:rsidRPr="005D59A7">
        <w:rPr>
          <w:rFonts w:ascii="T" w:hAnsi="T" w:cs="Simplified Arabic"/>
          <w:sz w:val="24"/>
          <w:szCs w:val="24"/>
        </w:rPr>
        <w:t>.</w:t>
      </w:r>
    </w:p>
    <w:p w14:paraId="6E2AFA85" w14:textId="02846615" w:rsidR="00E6351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إجراء تحليل جدوى متكامل يركز على تقييم كفاءة النموذج الحالي مقارنة بالنماذج البديلة، وذلك من خلال</w:t>
      </w:r>
      <w:r w:rsidR="00E6351B" w:rsidRPr="005D59A7">
        <w:rPr>
          <w:rFonts w:ascii="T" w:hAnsi="T" w:cs="Simplified Arabic"/>
          <w:sz w:val="24"/>
          <w:szCs w:val="24"/>
          <w:rtl/>
        </w:rPr>
        <w:t xml:space="preserve"> تحليل مؤشر التكلفة التشغيلية للزيارة التفتيشية، وحساب التكلفة الحالية وتقدير التكلفة المستهدفة في ظل نموذج الشراكة، مع تحليل الإيرادات المحتملة وفجوة التمويل.</w:t>
      </w:r>
    </w:p>
    <w:p w14:paraId="18B373F8"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تطوير مجموعة من النماذج التعاقدية المناسبة لتقديم خدمة التفتيش البيئي، مثل نماذج التشغيل والصيانة</w:t>
      </w:r>
      <w:r w:rsidRPr="005D59A7">
        <w:rPr>
          <w:rFonts w:ascii="T" w:hAnsi="T" w:cs="Simplified Arabic"/>
          <w:sz w:val="24"/>
          <w:szCs w:val="24"/>
        </w:rPr>
        <w:t xml:space="preserve"> (O&amp;M/DBO)</w:t>
      </w:r>
      <w:r w:rsidRPr="005D59A7">
        <w:rPr>
          <w:rFonts w:ascii="T" w:hAnsi="T" w:cs="Simplified Arabic"/>
          <w:sz w:val="24"/>
          <w:szCs w:val="24"/>
          <w:rtl/>
        </w:rPr>
        <w:t>، ونماذج التصميم والبناء والتمويل والتشغيل</w:t>
      </w:r>
      <w:r w:rsidRPr="005D59A7">
        <w:rPr>
          <w:rFonts w:ascii="T" w:hAnsi="T" w:cs="Simplified Arabic"/>
          <w:sz w:val="24"/>
          <w:szCs w:val="24"/>
        </w:rPr>
        <w:t xml:space="preserve"> (DBFM)</w:t>
      </w:r>
      <w:r w:rsidRPr="005D59A7">
        <w:rPr>
          <w:rFonts w:ascii="T" w:hAnsi="T" w:cs="Simplified Arabic"/>
          <w:sz w:val="24"/>
          <w:szCs w:val="24"/>
          <w:rtl/>
        </w:rPr>
        <w:t>، ونماذج التعهيد المتقدم، مع تحليل مزايا وقيود كل نموذج من حيث الكفاءة والمرونة وقابلية التطبيق في السياق التنظيمي البيئي</w:t>
      </w:r>
      <w:r w:rsidRPr="005D59A7">
        <w:rPr>
          <w:rFonts w:ascii="T" w:hAnsi="T" w:cs="Simplified Arabic"/>
          <w:sz w:val="24"/>
          <w:szCs w:val="24"/>
        </w:rPr>
        <w:t>.</w:t>
      </w:r>
    </w:p>
    <w:p w14:paraId="41E7613C"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إعداد إطار تحليلي شامل لتحديد وتصنيف المخاطر المرتبطة بتطبيق نماذج</w:t>
      </w:r>
      <w:r w:rsidRPr="005D59A7">
        <w:rPr>
          <w:rFonts w:ascii="T" w:hAnsi="T" w:cs="Simplified Arabic"/>
          <w:sz w:val="24"/>
          <w:szCs w:val="24"/>
        </w:rPr>
        <w:t xml:space="preserve"> PPP </w:t>
      </w:r>
      <w:r w:rsidRPr="005D59A7">
        <w:rPr>
          <w:rFonts w:ascii="T" w:hAnsi="T" w:cs="Simplified Arabic"/>
          <w:sz w:val="24"/>
          <w:szCs w:val="24"/>
          <w:rtl/>
        </w:rPr>
        <w:t>في التفتيش البيئي، بما يشمل المخاطر التشغيلية والمالية والتنظيمية، واستخدام أدوات تحليل استراتيجية مثل</w:t>
      </w:r>
      <w:r w:rsidRPr="005D59A7">
        <w:rPr>
          <w:rFonts w:ascii="T" w:hAnsi="T" w:cs="Simplified Arabic"/>
          <w:sz w:val="24"/>
          <w:szCs w:val="24"/>
        </w:rPr>
        <w:t xml:space="preserve"> SWOT </w:t>
      </w:r>
      <w:r w:rsidRPr="005D59A7">
        <w:rPr>
          <w:rFonts w:ascii="T" w:hAnsi="T" w:cs="Simplified Arabic"/>
          <w:sz w:val="24"/>
          <w:szCs w:val="24"/>
          <w:rtl/>
        </w:rPr>
        <w:t>و</w:t>
      </w:r>
      <w:r w:rsidRPr="005D59A7">
        <w:rPr>
          <w:rFonts w:ascii="T" w:hAnsi="T" w:cs="Simplified Arabic"/>
          <w:sz w:val="24"/>
          <w:szCs w:val="24"/>
        </w:rPr>
        <w:t>PESTEL</w:t>
      </w:r>
      <w:r w:rsidRPr="005D59A7">
        <w:rPr>
          <w:rFonts w:ascii="T" w:hAnsi="T" w:cs="Simplified Arabic"/>
          <w:sz w:val="24"/>
          <w:szCs w:val="24"/>
          <w:rtl/>
        </w:rPr>
        <w:t>، ومن ثم تطوير مصفوفة لتوزيع هذه المخاطر بين القطاعين العام والخاص بما يحقق التوازن ويعزز الكفاءة</w:t>
      </w:r>
      <w:r w:rsidRPr="005D59A7">
        <w:rPr>
          <w:rFonts w:ascii="T" w:hAnsi="T" w:cs="Simplified Arabic"/>
          <w:sz w:val="24"/>
          <w:szCs w:val="24"/>
        </w:rPr>
        <w:t>.</w:t>
      </w:r>
    </w:p>
    <w:p w14:paraId="131D8D67"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تحليل وتطوير نماذج تسعير مبتكرة لخدمة التفتيش البيئي، تشمل ربط الرسوم بمستوى المخاطر البيئية للمنشآت، وتطبيق آليات الدفع مقابل الأداء، وتقييم سيناريوهات تحقيق التوازن المالي أو الفائض، بما يدعم استدامة التمويل ويحفز الامتثال</w:t>
      </w:r>
      <w:r w:rsidRPr="005D59A7">
        <w:rPr>
          <w:rFonts w:ascii="T" w:hAnsi="T" w:cs="Simplified Arabic"/>
          <w:sz w:val="24"/>
          <w:szCs w:val="24"/>
        </w:rPr>
        <w:t>.</w:t>
      </w:r>
    </w:p>
    <w:p w14:paraId="3E92BB83" w14:textId="77777777" w:rsidR="006E7C5B" w:rsidRPr="005D59A7" w:rsidRDefault="006E7C5B"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تجميع مخرجات التحليل السابقة في نموذج تطبيقي متكامل يوضح آلية تنفيذ الشراكة بين القطاعين العام والخاص في خدمة التفتيش البيئي، متضمنًا هيكل الحوكمة، وآليات التعاقد، ومؤشرات الأداء، ونموذج التمويل</w:t>
      </w:r>
      <w:r w:rsidRPr="005D59A7">
        <w:rPr>
          <w:rFonts w:ascii="T" w:hAnsi="T" w:cs="Simplified Arabic"/>
          <w:sz w:val="24"/>
          <w:szCs w:val="24"/>
        </w:rPr>
        <w:t>.</w:t>
      </w:r>
    </w:p>
    <w:p w14:paraId="325276B2" w14:textId="0984F74C" w:rsidR="00920785" w:rsidRPr="005D59A7" w:rsidRDefault="006E7C5B"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lastRenderedPageBreak/>
        <w:t>صياغة مجموعة من التوصيات التطبيقية الموجهة لصناع القرار، بما يدعم تحسين كفاءة الخدمة، وتعزيز الحوكمة، وتوسيع مشاركة القطاع الخاص، وتحقيق مستهدفات برنامج التحول الوطني، وضمان الاستدامة البيئية والمالية على المدى الطويل.</w:t>
      </w:r>
    </w:p>
    <w:p w14:paraId="20A0470F" w14:textId="77777777" w:rsidR="00694E3F" w:rsidRPr="005D59A7" w:rsidRDefault="006E5511" w:rsidP="00410D73">
      <w:pPr>
        <w:pStyle w:val="Heading1"/>
        <w:bidi/>
        <w:spacing w:line="360" w:lineRule="auto"/>
        <w:rPr>
          <w:rFonts w:ascii="T" w:eastAsia="Times New Roman" w:hAnsi="T" w:cs="Simplified Arabic"/>
          <w:b/>
          <w:bCs/>
          <w:color w:val="auto"/>
          <w:sz w:val="24"/>
          <w:szCs w:val="24"/>
        </w:rPr>
      </w:pPr>
      <w:bookmarkStart w:id="13" w:name="_Toc225991330"/>
      <w:r w:rsidRPr="005D59A7">
        <w:rPr>
          <w:rFonts w:ascii="T" w:eastAsia="Times New Roman" w:hAnsi="T" w:cs="Simplified Arabic"/>
          <w:b/>
          <w:bCs/>
          <w:color w:val="auto"/>
          <w:sz w:val="24"/>
          <w:szCs w:val="24"/>
          <w:rtl/>
        </w:rPr>
        <w:t>مفاهيم الدراسة:</w:t>
      </w:r>
      <w:bookmarkEnd w:id="13"/>
    </w:p>
    <w:p w14:paraId="3FD2CD5C" w14:textId="77777777" w:rsidR="00694E3F" w:rsidRPr="005D59A7" w:rsidRDefault="006E5511" w:rsidP="00410D73">
      <w:pPr>
        <w:pStyle w:val="Heading2"/>
        <w:bidi/>
        <w:rPr>
          <w:rFonts w:ascii="T" w:hAnsi="T" w:cs="Simplified Arabic"/>
          <w:color w:val="auto"/>
          <w:sz w:val="24"/>
          <w:szCs w:val="24"/>
          <w:rtl/>
        </w:rPr>
      </w:pPr>
      <w:bookmarkStart w:id="14" w:name="_Toc225991331"/>
      <w:r w:rsidRPr="005D59A7">
        <w:rPr>
          <w:rFonts w:ascii="T" w:hAnsi="T" w:cs="Simplified Arabic"/>
          <w:color w:val="auto"/>
          <w:sz w:val="24"/>
          <w:szCs w:val="24"/>
          <w:rtl/>
        </w:rPr>
        <w:t>المفاهيم ال</w:t>
      </w:r>
      <w:r w:rsidR="00694E3F" w:rsidRPr="005D59A7">
        <w:rPr>
          <w:rFonts w:ascii="T" w:hAnsi="T" w:cs="Simplified Arabic"/>
          <w:color w:val="auto"/>
          <w:sz w:val="24"/>
          <w:szCs w:val="24"/>
          <w:rtl/>
        </w:rPr>
        <w:t>اص</w:t>
      </w:r>
      <w:r w:rsidRPr="005D59A7">
        <w:rPr>
          <w:rFonts w:ascii="T" w:hAnsi="T" w:cs="Simplified Arabic"/>
          <w:color w:val="auto"/>
          <w:sz w:val="24"/>
          <w:szCs w:val="24"/>
          <w:rtl/>
        </w:rPr>
        <w:t>طلاحية</w:t>
      </w:r>
      <w:bookmarkEnd w:id="14"/>
    </w:p>
    <w:p w14:paraId="151D2422" w14:textId="6A087472" w:rsidR="009B69C0" w:rsidRPr="005D59A7" w:rsidRDefault="006E5511"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t>برنامج</w:t>
      </w:r>
      <w:r w:rsidRPr="005D59A7">
        <w:rPr>
          <w:rFonts w:ascii="T" w:hAnsi="T" w:cs="Simplified Arabic"/>
          <w:sz w:val="24"/>
          <w:szCs w:val="24"/>
        </w:rPr>
        <w:t xml:space="preserve"> </w:t>
      </w:r>
      <w:r w:rsidRPr="005D59A7">
        <w:rPr>
          <w:rFonts w:ascii="T" w:hAnsi="T" w:cs="Simplified Arabic"/>
          <w:sz w:val="24"/>
          <w:szCs w:val="24"/>
          <w:rtl/>
        </w:rPr>
        <w:t>التحول</w:t>
      </w:r>
      <w:r w:rsidRPr="005D59A7">
        <w:rPr>
          <w:rFonts w:ascii="T" w:hAnsi="T" w:cs="Simplified Arabic"/>
          <w:sz w:val="24"/>
          <w:szCs w:val="24"/>
        </w:rPr>
        <w:t xml:space="preserve"> </w:t>
      </w:r>
      <w:r w:rsidRPr="005D59A7">
        <w:rPr>
          <w:rFonts w:ascii="T" w:hAnsi="T" w:cs="Simplified Arabic"/>
          <w:sz w:val="24"/>
          <w:szCs w:val="24"/>
          <w:rtl/>
        </w:rPr>
        <w:t>الوطني (</w:t>
      </w:r>
      <w:r w:rsidRPr="005D59A7">
        <w:rPr>
          <w:rFonts w:ascii="T" w:hAnsi="T" w:cs="Simplified Arabic"/>
          <w:sz w:val="24"/>
          <w:szCs w:val="24"/>
        </w:rPr>
        <w:t>NTP</w:t>
      </w:r>
      <w:r w:rsidRPr="005D59A7">
        <w:rPr>
          <w:rFonts w:ascii="T" w:hAnsi="T" w:cs="Simplified Arabic"/>
          <w:sz w:val="24"/>
          <w:szCs w:val="24"/>
          <w:rtl/>
        </w:rPr>
        <w:t>): البرنامج الذي استندت عليه رؤية المملكة 2030 في إعادة هيكلة الجهات الحكومية والربط بينها ويشمل خدمات رقمية حكومية سهلة، توفير الجهد والوقت، بالإضافة إلى تعزيز دور القطاع الخاص ليشارك في تسهيل حياة المواطنين (</w:t>
      </w:r>
      <w:r w:rsidRPr="005D59A7">
        <w:rPr>
          <w:rFonts w:ascii="T" w:hAnsi="T" w:cs="Simplified Arabic"/>
          <w:sz w:val="24"/>
          <w:szCs w:val="24"/>
        </w:rPr>
        <w:t>Vision 2030, 2025</w:t>
      </w:r>
      <w:r w:rsidRPr="005D59A7">
        <w:rPr>
          <w:rFonts w:ascii="T" w:hAnsi="T" w:cs="Simplified Arabic"/>
          <w:sz w:val="24"/>
          <w:szCs w:val="24"/>
          <w:rtl/>
        </w:rPr>
        <w:t>) (</w:t>
      </w:r>
      <w:r w:rsidR="00747729" w:rsidRPr="005D59A7">
        <w:rPr>
          <w:rFonts w:ascii="T" w:hAnsi="T" w:cs="Simplified Arabic"/>
          <w:sz w:val="24"/>
          <w:szCs w:val="24"/>
        </w:rPr>
        <w:t>Alkhurayji,et al ,2024</w:t>
      </w:r>
      <w:r w:rsidRPr="005D59A7">
        <w:rPr>
          <w:rFonts w:ascii="T" w:hAnsi="T" w:cs="Simplified Arabic"/>
          <w:sz w:val="24"/>
          <w:szCs w:val="24"/>
          <w:rtl/>
        </w:rPr>
        <w:t>).</w:t>
      </w:r>
    </w:p>
    <w:p w14:paraId="19FFDA6F" w14:textId="7269D7CB"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الإستراتيجية</w:t>
      </w:r>
      <w:r w:rsidRPr="005D59A7">
        <w:rPr>
          <w:rFonts w:ascii="T" w:hAnsi="T" w:cs="Simplified Arabic"/>
          <w:sz w:val="24"/>
          <w:szCs w:val="24"/>
        </w:rPr>
        <w:t xml:space="preserve"> </w:t>
      </w:r>
      <w:r w:rsidRPr="005D59A7">
        <w:rPr>
          <w:rFonts w:ascii="T" w:hAnsi="T" w:cs="Simplified Arabic"/>
          <w:sz w:val="24"/>
          <w:szCs w:val="24"/>
          <w:rtl/>
        </w:rPr>
        <w:t>الوطنية</w:t>
      </w:r>
      <w:r w:rsidRPr="005D59A7">
        <w:rPr>
          <w:rFonts w:ascii="T" w:hAnsi="T" w:cs="Simplified Arabic"/>
          <w:sz w:val="24"/>
          <w:szCs w:val="24"/>
        </w:rPr>
        <w:t xml:space="preserve"> </w:t>
      </w:r>
      <w:r w:rsidRPr="005D59A7">
        <w:rPr>
          <w:rFonts w:ascii="T" w:hAnsi="T" w:cs="Simplified Arabic"/>
          <w:sz w:val="24"/>
          <w:szCs w:val="24"/>
          <w:rtl/>
        </w:rPr>
        <w:t>للبيئة (</w:t>
      </w:r>
      <w:r w:rsidRPr="005D59A7">
        <w:rPr>
          <w:rFonts w:ascii="T" w:hAnsi="T" w:cs="Simplified Arabic"/>
          <w:sz w:val="24"/>
          <w:szCs w:val="24"/>
        </w:rPr>
        <w:t>NET</w:t>
      </w:r>
      <w:r w:rsidRPr="005D59A7">
        <w:rPr>
          <w:rFonts w:ascii="T" w:hAnsi="T" w:cs="Simplified Arabic"/>
          <w:sz w:val="24"/>
          <w:szCs w:val="24"/>
          <w:rtl/>
        </w:rPr>
        <w:t>): الإستراتيجية المعنية بإعادة هيكلة قطاع البيئة والتي تم إطلاقها من قبل وزارة البيئة والمياه والزراعة والتي تشمل الدراسات المرجعية والميزانيات التشغيلية وإطلاق المراكز الوطنية البيئية الخمسة وصندوق البيئة</w:t>
      </w:r>
      <w:r w:rsidRPr="005D59A7">
        <w:rPr>
          <w:rFonts w:ascii="T" w:hAnsi="T" w:cs="Simplified Arabic"/>
          <w:sz w:val="24"/>
          <w:szCs w:val="24"/>
        </w:rPr>
        <w:t xml:space="preserve"> </w:t>
      </w:r>
      <w:r w:rsidR="00747729" w:rsidRPr="005D59A7">
        <w:rPr>
          <w:rFonts w:ascii="T" w:hAnsi="T" w:cs="Simplified Arabic"/>
          <w:sz w:val="24"/>
          <w:szCs w:val="24"/>
        </w:rPr>
        <w:t>(Alshuwaikhat ,et al ,2023)</w:t>
      </w:r>
      <w:r w:rsidRPr="005D59A7">
        <w:rPr>
          <w:rFonts w:ascii="T" w:hAnsi="T" w:cs="Simplified Arabic"/>
          <w:sz w:val="24"/>
          <w:szCs w:val="24"/>
          <w:rtl/>
        </w:rPr>
        <w:t>.</w:t>
      </w:r>
    </w:p>
    <w:p w14:paraId="076BA301" w14:textId="21DD5FE8"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وزارة</w:t>
      </w:r>
      <w:r w:rsidRPr="005D59A7">
        <w:rPr>
          <w:rFonts w:ascii="T" w:hAnsi="T" w:cs="Simplified Arabic"/>
          <w:sz w:val="24"/>
          <w:szCs w:val="24"/>
        </w:rPr>
        <w:t xml:space="preserve"> </w:t>
      </w:r>
      <w:r w:rsidRPr="005D59A7">
        <w:rPr>
          <w:rFonts w:ascii="T" w:hAnsi="T" w:cs="Simplified Arabic"/>
          <w:sz w:val="24"/>
          <w:szCs w:val="24"/>
          <w:rtl/>
        </w:rPr>
        <w:t>البيئة</w:t>
      </w:r>
      <w:r w:rsidRPr="005D59A7">
        <w:rPr>
          <w:rFonts w:ascii="T" w:hAnsi="T" w:cs="Simplified Arabic"/>
          <w:sz w:val="24"/>
          <w:szCs w:val="24"/>
        </w:rPr>
        <w:t xml:space="preserve"> </w:t>
      </w:r>
      <w:r w:rsidRPr="005D59A7">
        <w:rPr>
          <w:rFonts w:ascii="T" w:hAnsi="T" w:cs="Simplified Arabic"/>
          <w:sz w:val="24"/>
          <w:szCs w:val="24"/>
          <w:rtl/>
        </w:rPr>
        <w:t>والمياه</w:t>
      </w:r>
      <w:r w:rsidRPr="005D59A7">
        <w:rPr>
          <w:rFonts w:ascii="T" w:hAnsi="T" w:cs="Simplified Arabic"/>
          <w:sz w:val="24"/>
          <w:szCs w:val="24"/>
        </w:rPr>
        <w:t xml:space="preserve"> </w:t>
      </w:r>
      <w:r w:rsidRPr="005D59A7">
        <w:rPr>
          <w:rFonts w:ascii="T" w:hAnsi="T" w:cs="Simplified Arabic"/>
          <w:sz w:val="24"/>
          <w:szCs w:val="24"/>
          <w:rtl/>
        </w:rPr>
        <w:t>والزراعة (</w:t>
      </w:r>
      <w:r w:rsidRPr="005D59A7">
        <w:rPr>
          <w:rFonts w:ascii="T" w:hAnsi="T" w:cs="Simplified Arabic"/>
          <w:sz w:val="24"/>
          <w:szCs w:val="24"/>
        </w:rPr>
        <w:t>MEWA</w:t>
      </w:r>
      <w:r w:rsidRPr="005D59A7">
        <w:rPr>
          <w:rFonts w:ascii="T" w:hAnsi="T" w:cs="Simplified Arabic"/>
          <w:sz w:val="24"/>
          <w:szCs w:val="24"/>
          <w:rtl/>
        </w:rPr>
        <w:t xml:space="preserve">): الجهة الحكومية الرئيسية المسؤولة عن السياسات البيئية والتشريعات والتخطيط. </w:t>
      </w:r>
      <w:r w:rsidR="00747729" w:rsidRPr="005D59A7">
        <w:rPr>
          <w:rFonts w:ascii="T" w:hAnsi="T" w:cs="Simplified Arabic"/>
          <w:sz w:val="24"/>
          <w:szCs w:val="24"/>
          <w:rtl/>
        </w:rPr>
        <w:t>(</w:t>
      </w:r>
      <w:r w:rsidR="00747729" w:rsidRPr="005D59A7">
        <w:rPr>
          <w:rFonts w:ascii="T" w:hAnsi="T" w:cs="Simplified Arabic"/>
          <w:sz w:val="24"/>
          <w:szCs w:val="24"/>
        </w:rPr>
        <w:t>Odnoletkova &amp; Patzek, 2023</w:t>
      </w:r>
      <w:r w:rsidR="00747729" w:rsidRPr="005D59A7">
        <w:rPr>
          <w:rFonts w:ascii="T" w:hAnsi="T" w:cs="Simplified Arabic"/>
          <w:sz w:val="24"/>
          <w:szCs w:val="24"/>
          <w:rtl/>
        </w:rPr>
        <w:t>).‏</w:t>
      </w:r>
    </w:p>
    <w:p w14:paraId="47590633" w14:textId="1A205DC8"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للالتزام</w:t>
      </w:r>
      <w:r w:rsidRPr="005D59A7">
        <w:rPr>
          <w:rFonts w:ascii="T" w:hAnsi="T" w:cs="Simplified Arabic"/>
          <w:sz w:val="24"/>
          <w:szCs w:val="24"/>
        </w:rPr>
        <w:t xml:space="preserve"> </w:t>
      </w:r>
      <w:r w:rsidRPr="005D59A7">
        <w:rPr>
          <w:rFonts w:ascii="T" w:hAnsi="T" w:cs="Simplified Arabic"/>
          <w:sz w:val="24"/>
          <w:szCs w:val="24"/>
          <w:rtl/>
        </w:rPr>
        <w:t>البيئي (</w:t>
      </w:r>
      <w:r w:rsidRPr="005D59A7">
        <w:rPr>
          <w:rFonts w:ascii="T" w:hAnsi="T" w:cs="Simplified Arabic"/>
          <w:sz w:val="24"/>
          <w:szCs w:val="24"/>
        </w:rPr>
        <w:t>NCEC</w:t>
      </w:r>
      <w:r w:rsidRPr="005D59A7">
        <w:rPr>
          <w:rFonts w:ascii="T" w:hAnsi="T" w:cs="Simplified Arabic"/>
          <w:sz w:val="24"/>
          <w:szCs w:val="24"/>
          <w:rtl/>
        </w:rPr>
        <w:t xml:space="preserve">): يضمن الالتزام بالمعايير واللوائح البيئية، بما في ذلك إصدار التصاريح البيئية، ومراقبة التلوث، وتطبيق العقوبات. </w:t>
      </w:r>
      <w:r w:rsidR="007270C8" w:rsidRPr="005D59A7">
        <w:rPr>
          <w:rFonts w:ascii="T" w:hAnsi="T" w:cs="Simplified Arabic"/>
          <w:sz w:val="24"/>
          <w:szCs w:val="24"/>
          <w:rtl/>
        </w:rPr>
        <w:t>(</w:t>
      </w:r>
      <w:r w:rsidR="007270C8" w:rsidRPr="005D59A7">
        <w:rPr>
          <w:rFonts w:ascii="T" w:hAnsi="T" w:cs="Simplified Arabic"/>
          <w:sz w:val="24"/>
          <w:szCs w:val="24"/>
        </w:rPr>
        <w:t>Algamdy, 2022</w:t>
      </w:r>
      <w:r w:rsidR="007270C8" w:rsidRPr="005D59A7">
        <w:rPr>
          <w:rFonts w:ascii="T" w:hAnsi="T" w:cs="Simplified Arabic"/>
          <w:sz w:val="24"/>
          <w:szCs w:val="24"/>
          <w:rtl/>
        </w:rPr>
        <w:t>)</w:t>
      </w:r>
    </w:p>
    <w:p w14:paraId="3D4FAC24"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للغطاء</w:t>
      </w:r>
      <w:r w:rsidRPr="005D59A7">
        <w:rPr>
          <w:rFonts w:ascii="T" w:hAnsi="T" w:cs="Simplified Arabic"/>
          <w:sz w:val="24"/>
          <w:szCs w:val="24"/>
        </w:rPr>
        <w:t xml:space="preserve"> </w:t>
      </w:r>
      <w:r w:rsidRPr="005D59A7">
        <w:rPr>
          <w:rFonts w:ascii="T" w:hAnsi="T" w:cs="Simplified Arabic"/>
          <w:sz w:val="24"/>
          <w:szCs w:val="24"/>
          <w:rtl/>
        </w:rPr>
        <w:t>النباتي</w:t>
      </w:r>
      <w:r w:rsidRPr="005D59A7">
        <w:rPr>
          <w:rFonts w:ascii="T" w:hAnsi="T" w:cs="Simplified Arabic"/>
          <w:sz w:val="24"/>
          <w:szCs w:val="24"/>
        </w:rPr>
        <w:t xml:space="preserve"> </w:t>
      </w:r>
      <w:r w:rsidRPr="005D59A7">
        <w:rPr>
          <w:rFonts w:ascii="T" w:hAnsi="T" w:cs="Simplified Arabic"/>
          <w:sz w:val="24"/>
          <w:szCs w:val="24"/>
          <w:rtl/>
        </w:rPr>
        <w:t>ومكافحة</w:t>
      </w:r>
      <w:r w:rsidRPr="005D59A7">
        <w:rPr>
          <w:rFonts w:ascii="T" w:hAnsi="T" w:cs="Simplified Arabic"/>
          <w:sz w:val="24"/>
          <w:szCs w:val="24"/>
        </w:rPr>
        <w:t xml:space="preserve"> </w:t>
      </w:r>
      <w:r w:rsidRPr="005D59A7">
        <w:rPr>
          <w:rFonts w:ascii="T" w:hAnsi="T" w:cs="Simplified Arabic"/>
          <w:sz w:val="24"/>
          <w:szCs w:val="24"/>
          <w:rtl/>
        </w:rPr>
        <w:t>التصحر (</w:t>
      </w:r>
      <w:r w:rsidRPr="005D59A7">
        <w:rPr>
          <w:rFonts w:ascii="T" w:hAnsi="T" w:cs="Simplified Arabic"/>
          <w:sz w:val="24"/>
          <w:szCs w:val="24"/>
        </w:rPr>
        <w:t>NCVC</w:t>
      </w:r>
      <w:r w:rsidRPr="005D59A7">
        <w:rPr>
          <w:rFonts w:ascii="T" w:hAnsi="T" w:cs="Simplified Arabic"/>
          <w:sz w:val="24"/>
          <w:szCs w:val="24"/>
          <w:rtl/>
        </w:rPr>
        <w:t>): يركز على التشجير، وإعادة تأهيل الأراضي، ومكافحة التصحر (يتوفر رابط الجهة ضمن المراجع).</w:t>
      </w:r>
    </w:p>
    <w:p w14:paraId="348BC436"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للحياة</w:t>
      </w:r>
      <w:r w:rsidRPr="005D59A7">
        <w:rPr>
          <w:rFonts w:ascii="T" w:hAnsi="T" w:cs="Simplified Arabic"/>
          <w:sz w:val="24"/>
          <w:szCs w:val="24"/>
        </w:rPr>
        <w:t xml:space="preserve"> </w:t>
      </w:r>
      <w:r w:rsidRPr="005D59A7">
        <w:rPr>
          <w:rFonts w:ascii="T" w:hAnsi="T" w:cs="Simplified Arabic"/>
          <w:sz w:val="24"/>
          <w:szCs w:val="24"/>
          <w:rtl/>
        </w:rPr>
        <w:t>الفطرية (</w:t>
      </w:r>
      <w:r w:rsidRPr="005D59A7">
        <w:rPr>
          <w:rFonts w:ascii="T" w:hAnsi="T" w:cs="Simplified Arabic"/>
          <w:sz w:val="24"/>
          <w:szCs w:val="24"/>
        </w:rPr>
        <w:t>NCW</w:t>
      </w:r>
      <w:r w:rsidRPr="005D59A7">
        <w:rPr>
          <w:rFonts w:ascii="T" w:hAnsi="T" w:cs="Simplified Arabic"/>
          <w:sz w:val="24"/>
          <w:szCs w:val="24"/>
          <w:rtl/>
        </w:rPr>
        <w:t>): مسؤول عن تنمية وحماية الحياة الفطرية البرية والبحرية (يتوفر رابط الجهة ضمن المراجع).</w:t>
      </w:r>
    </w:p>
    <w:p w14:paraId="70F30B01" w14:textId="77777777" w:rsidR="00177E64" w:rsidRPr="005D59A7" w:rsidRDefault="006E5511" w:rsidP="0045581D">
      <w:pPr>
        <w:pStyle w:val="ListParagraph"/>
        <w:numPr>
          <w:ilvl w:val="0"/>
          <w:numId w:val="32"/>
        </w:numPr>
        <w:bidi/>
        <w:spacing w:line="360" w:lineRule="auto"/>
        <w:ind w:left="368"/>
        <w:jc w:val="both"/>
        <w:rPr>
          <w:rFonts w:ascii="T" w:hAnsi="T" w:cs="Simplified Arabic"/>
          <w:sz w:val="24"/>
          <w:szCs w:val="24"/>
        </w:rPr>
      </w:pPr>
      <w:r w:rsidRPr="005D59A7">
        <w:rPr>
          <w:rFonts w:ascii="T" w:hAnsi="T" w:cs="Simplified Arabic"/>
          <w:sz w:val="24"/>
          <w:szCs w:val="24"/>
          <w:rtl/>
        </w:rPr>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للأرصاد</w:t>
      </w:r>
      <w:r w:rsidRPr="005D59A7">
        <w:rPr>
          <w:rFonts w:ascii="T" w:hAnsi="T" w:cs="Simplified Arabic"/>
          <w:sz w:val="24"/>
          <w:szCs w:val="24"/>
        </w:rPr>
        <w:t xml:space="preserve"> </w:t>
      </w:r>
      <w:r w:rsidRPr="005D59A7">
        <w:rPr>
          <w:rFonts w:ascii="T" w:hAnsi="T" w:cs="Simplified Arabic"/>
          <w:sz w:val="24"/>
          <w:szCs w:val="24"/>
          <w:rtl/>
        </w:rPr>
        <w:t>الجوية (</w:t>
      </w:r>
      <w:r w:rsidRPr="005D59A7">
        <w:rPr>
          <w:rFonts w:ascii="T" w:hAnsi="T" w:cs="Simplified Arabic"/>
          <w:sz w:val="24"/>
          <w:szCs w:val="24"/>
        </w:rPr>
        <w:t>NCM</w:t>
      </w:r>
      <w:r w:rsidRPr="005D59A7">
        <w:rPr>
          <w:rFonts w:ascii="T" w:hAnsi="T" w:cs="Simplified Arabic"/>
          <w:sz w:val="24"/>
          <w:szCs w:val="24"/>
          <w:rtl/>
        </w:rPr>
        <w:t>): يُقدّم خدمات الأرصاد الجوية، ويرصد جودة الهواء (يتوفر رابط الجهة ضمن المراجع).</w:t>
      </w:r>
    </w:p>
    <w:p w14:paraId="36FA18D4" w14:textId="77777777" w:rsidR="00646FBB" w:rsidRPr="005D59A7" w:rsidRDefault="006E5511" w:rsidP="0045581D">
      <w:pPr>
        <w:pStyle w:val="ListParagraph"/>
        <w:numPr>
          <w:ilvl w:val="0"/>
          <w:numId w:val="32"/>
        </w:numPr>
        <w:bidi/>
        <w:spacing w:line="360" w:lineRule="auto"/>
        <w:ind w:left="368"/>
        <w:jc w:val="both"/>
        <w:rPr>
          <w:rFonts w:ascii="T" w:hAnsi="T" w:cs="Simplified Arabic"/>
          <w:sz w:val="24"/>
          <w:szCs w:val="24"/>
          <w:rtl/>
        </w:rPr>
      </w:pPr>
      <w:r w:rsidRPr="005D59A7">
        <w:rPr>
          <w:rFonts w:ascii="T" w:hAnsi="T" w:cs="Simplified Arabic"/>
          <w:sz w:val="24"/>
          <w:szCs w:val="24"/>
          <w:rtl/>
        </w:rPr>
        <w:lastRenderedPageBreak/>
        <w:t>المركز</w:t>
      </w:r>
      <w:r w:rsidRPr="005D59A7">
        <w:rPr>
          <w:rFonts w:ascii="T" w:hAnsi="T" w:cs="Simplified Arabic"/>
          <w:sz w:val="24"/>
          <w:szCs w:val="24"/>
        </w:rPr>
        <w:t xml:space="preserve"> </w:t>
      </w:r>
      <w:r w:rsidRPr="005D59A7">
        <w:rPr>
          <w:rFonts w:ascii="T" w:hAnsi="T" w:cs="Simplified Arabic"/>
          <w:sz w:val="24"/>
          <w:szCs w:val="24"/>
          <w:rtl/>
        </w:rPr>
        <w:t>الوطني</w:t>
      </w:r>
      <w:r w:rsidRPr="005D59A7">
        <w:rPr>
          <w:rFonts w:ascii="T" w:hAnsi="T" w:cs="Simplified Arabic"/>
          <w:sz w:val="24"/>
          <w:szCs w:val="24"/>
        </w:rPr>
        <w:t xml:space="preserve"> </w:t>
      </w:r>
      <w:r w:rsidRPr="005D59A7">
        <w:rPr>
          <w:rFonts w:ascii="T" w:hAnsi="T" w:cs="Simplified Arabic"/>
          <w:sz w:val="24"/>
          <w:szCs w:val="24"/>
          <w:rtl/>
        </w:rPr>
        <w:t>لإدارة</w:t>
      </w:r>
      <w:r w:rsidRPr="005D59A7">
        <w:rPr>
          <w:rFonts w:ascii="T" w:hAnsi="T" w:cs="Simplified Arabic"/>
          <w:sz w:val="24"/>
          <w:szCs w:val="24"/>
        </w:rPr>
        <w:t xml:space="preserve"> </w:t>
      </w:r>
      <w:r w:rsidRPr="005D59A7">
        <w:rPr>
          <w:rFonts w:ascii="T" w:hAnsi="T" w:cs="Simplified Arabic"/>
          <w:sz w:val="24"/>
          <w:szCs w:val="24"/>
          <w:rtl/>
        </w:rPr>
        <w:t>النفايات (</w:t>
      </w:r>
      <w:r w:rsidRPr="005D59A7">
        <w:rPr>
          <w:rFonts w:ascii="T" w:hAnsi="T" w:cs="Simplified Arabic"/>
          <w:sz w:val="24"/>
          <w:szCs w:val="24"/>
        </w:rPr>
        <w:t>MWAN</w:t>
      </w:r>
      <w:r w:rsidRPr="005D59A7">
        <w:rPr>
          <w:rFonts w:ascii="T" w:hAnsi="T" w:cs="Simplified Arabic"/>
          <w:sz w:val="24"/>
          <w:szCs w:val="24"/>
          <w:rtl/>
        </w:rPr>
        <w:t>): يُشرف على استراتيجيات ومبادرات إدارة النفايات (يتوفر رابط الجهة ضمن المراجع).</w:t>
      </w:r>
    </w:p>
    <w:p w14:paraId="33975369" w14:textId="77777777" w:rsidR="006E5511" w:rsidRPr="005D59A7" w:rsidRDefault="006E5511" w:rsidP="00410D73">
      <w:pPr>
        <w:pStyle w:val="Heading2"/>
        <w:bidi/>
        <w:rPr>
          <w:rFonts w:ascii="T" w:hAnsi="T" w:cs="Simplified Arabic"/>
          <w:color w:val="auto"/>
          <w:sz w:val="24"/>
          <w:szCs w:val="24"/>
          <w:rtl/>
        </w:rPr>
      </w:pPr>
      <w:bookmarkStart w:id="15" w:name="_Toc225991332"/>
      <w:r w:rsidRPr="005D59A7">
        <w:rPr>
          <w:rFonts w:ascii="T" w:hAnsi="T" w:cs="Simplified Arabic"/>
          <w:color w:val="auto"/>
          <w:sz w:val="24"/>
          <w:szCs w:val="24"/>
          <w:rtl/>
        </w:rPr>
        <w:t>المفاهيم الإجرائية</w:t>
      </w:r>
      <w:bookmarkEnd w:id="15"/>
    </w:p>
    <w:tbl>
      <w:tblPr>
        <w:tblStyle w:val="TableGrid"/>
        <w:bidiVisual/>
        <w:tblW w:w="0" w:type="auto"/>
        <w:tblLook w:val="04A0" w:firstRow="1" w:lastRow="0" w:firstColumn="1" w:lastColumn="0" w:noHBand="0" w:noVBand="1"/>
      </w:tblPr>
      <w:tblGrid>
        <w:gridCol w:w="1456"/>
        <w:gridCol w:w="2966"/>
        <w:gridCol w:w="2325"/>
        <w:gridCol w:w="1775"/>
      </w:tblGrid>
      <w:tr w:rsidR="0048002A" w:rsidRPr="005D59A7" w14:paraId="7FA088B3" w14:textId="77777777" w:rsidTr="007270C8">
        <w:tc>
          <w:tcPr>
            <w:tcW w:w="0" w:type="auto"/>
            <w:hideMark/>
          </w:tcPr>
          <w:p w14:paraId="6A7DFD0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المفهوم</w:t>
            </w:r>
          </w:p>
        </w:tc>
        <w:tc>
          <w:tcPr>
            <w:tcW w:w="0" w:type="auto"/>
            <w:hideMark/>
          </w:tcPr>
          <w:p w14:paraId="7E6186C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التعريف الإجرائي</w:t>
            </w:r>
          </w:p>
        </w:tc>
        <w:tc>
          <w:tcPr>
            <w:tcW w:w="0" w:type="auto"/>
            <w:hideMark/>
          </w:tcPr>
          <w:p w14:paraId="7E7D77A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مؤشر/طريقة القياس</w:t>
            </w:r>
          </w:p>
        </w:tc>
        <w:tc>
          <w:tcPr>
            <w:tcW w:w="0" w:type="auto"/>
            <w:hideMark/>
          </w:tcPr>
          <w:p w14:paraId="2E654F50"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مصدر البيانات</w:t>
            </w:r>
          </w:p>
        </w:tc>
      </w:tr>
      <w:tr w:rsidR="0048002A" w:rsidRPr="005D59A7" w14:paraId="4C77B5C3" w14:textId="77777777" w:rsidTr="007270C8">
        <w:tc>
          <w:tcPr>
            <w:tcW w:w="0" w:type="auto"/>
            <w:hideMark/>
          </w:tcPr>
          <w:p w14:paraId="4CA936A9"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الشراكة بين القطاعين العام والخاص</w:t>
            </w:r>
            <w:r w:rsidRPr="005D59A7">
              <w:rPr>
                <w:rFonts w:ascii="T" w:hAnsi="T" w:cs="Simplified Arabic"/>
                <w:sz w:val="24"/>
                <w:szCs w:val="24"/>
                <w:shd w:val="clear" w:color="auto" w:fill="FFFFFF"/>
              </w:rPr>
              <w:t xml:space="preserve"> (PPP)</w:t>
            </w:r>
          </w:p>
        </w:tc>
        <w:tc>
          <w:tcPr>
            <w:tcW w:w="0" w:type="auto"/>
            <w:hideMark/>
          </w:tcPr>
          <w:p w14:paraId="12A2C02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نموذج تعاقدي يجمع بين القطاعين العام والخاص لتقديم خدمة عامة، حيث يتولى القطاع الخاص تنفيذ الخدمة مقابل عائد مالي مرتبط بالأداء</w:t>
            </w:r>
          </w:p>
        </w:tc>
        <w:tc>
          <w:tcPr>
            <w:tcW w:w="0" w:type="auto"/>
            <w:hideMark/>
          </w:tcPr>
          <w:p w14:paraId="08B2219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نوع النموذج التعاقدي</w:t>
            </w:r>
            <w:r w:rsidRPr="005D59A7">
              <w:rPr>
                <w:rFonts w:ascii="T" w:hAnsi="T" w:cs="Simplified Arabic"/>
                <w:sz w:val="24"/>
                <w:szCs w:val="24"/>
                <w:shd w:val="clear" w:color="auto" w:fill="FFFFFF"/>
              </w:rPr>
              <w:t xml:space="preserve"> (O&amp;M / DBO / DBFM / Outsourcing)</w:t>
            </w:r>
          </w:p>
        </w:tc>
        <w:tc>
          <w:tcPr>
            <w:tcW w:w="0" w:type="auto"/>
            <w:hideMark/>
          </w:tcPr>
          <w:p w14:paraId="34C0332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للتخصيص</w:t>
            </w:r>
            <w:r w:rsidRPr="005D59A7">
              <w:rPr>
                <w:rFonts w:ascii="T" w:hAnsi="T" w:cs="Simplified Arabic"/>
                <w:sz w:val="24"/>
                <w:szCs w:val="24"/>
                <w:shd w:val="clear" w:color="auto" w:fill="FFFFFF"/>
              </w:rPr>
              <w:t xml:space="preserve"> (NCP, 2022)</w:t>
            </w:r>
          </w:p>
        </w:tc>
      </w:tr>
      <w:tr w:rsidR="0048002A" w:rsidRPr="005D59A7" w14:paraId="580E5B14" w14:textId="77777777" w:rsidTr="007270C8">
        <w:tc>
          <w:tcPr>
            <w:tcW w:w="0" w:type="auto"/>
            <w:hideMark/>
          </w:tcPr>
          <w:p w14:paraId="2784DC13"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الحوكمة البيئية</w:t>
            </w:r>
          </w:p>
        </w:tc>
        <w:tc>
          <w:tcPr>
            <w:tcW w:w="0" w:type="auto"/>
            <w:hideMark/>
          </w:tcPr>
          <w:p w14:paraId="2EFB7D6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الإطار المؤسسي والتشريعي المنظم لقطاع البيئة، بما في ذلك توزيع المسؤوليات والصلاحيات بين الجهات المعنية</w:t>
            </w:r>
          </w:p>
        </w:tc>
        <w:tc>
          <w:tcPr>
            <w:tcW w:w="0" w:type="auto"/>
            <w:hideMark/>
          </w:tcPr>
          <w:p w14:paraId="01068A40"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درجة وضوح توزيع المسؤوليات، عدد الجهات المعنية بالخدمة</w:t>
            </w:r>
          </w:p>
        </w:tc>
        <w:tc>
          <w:tcPr>
            <w:tcW w:w="0" w:type="auto"/>
            <w:hideMark/>
          </w:tcPr>
          <w:p w14:paraId="72F264B5"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الإستراتيجية الوطنية للبيئة</w:t>
            </w:r>
            <w:r w:rsidRPr="005D59A7">
              <w:rPr>
                <w:rFonts w:ascii="T" w:hAnsi="T" w:cs="Simplified Arabic"/>
                <w:sz w:val="24"/>
                <w:szCs w:val="24"/>
                <w:shd w:val="clear" w:color="auto" w:fill="FFFFFF"/>
              </w:rPr>
              <w:t xml:space="preserve"> (MEWA, 2020)</w:t>
            </w:r>
          </w:p>
        </w:tc>
      </w:tr>
      <w:tr w:rsidR="0048002A" w:rsidRPr="005D59A7" w14:paraId="2431BBF3" w14:textId="77777777" w:rsidTr="007270C8">
        <w:tc>
          <w:tcPr>
            <w:tcW w:w="0" w:type="auto"/>
            <w:hideMark/>
          </w:tcPr>
          <w:p w14:paraId="39C9063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كفاءة الخدمة</w:t>
            </w:r>
          </w:p>
        </w:tc>
        <w:tc>
          <w:tcPr>
            <w:tcW w:w="0" w:type="auto"/>
            <w:hideMark/>
          </w:tcPr>
          <w:p w14:paraId="7000B17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المخرجات إلى المدخلات في تقديم خدمة التفتيش البيئي، معبراً عنها بالتكلفة لكل وحدة خدمة</w:t>
            </w:r>
          </w:p>
        </w:tc>
        <w:tc>
          <w:tcPr>
            <w:tcW w:w="0" w:type="auto"/>
            <w:hideMark/>
          </w:tcPr>
          <w:p w14:paraId="65A6011E"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التكلفة التشغيلية للزيارة التفتيشية (ريال/زيارة)</w:t>
            </w:r>
          </w:p>
        </w:tc>
        <w:tc>
          <w:tcPr>
            <w:tcW w:w="0" w:type="auto"/>
            <w:hideMark/>
          </w:tcPr>
          <w:p w14:paraId="2C85CDB7"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09AF6901" w14:textId="77777777" w:rsidTr="007270C8">
        <w:tc>
          <w:tcPr>
            <w:tcW w:w="0" w:type="auto"/>
            <w:hideMark/>
          </w:tcPr>
          <w:p w14:paraId="2304244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جودة المخرجات</w:t>
            </w:r>
          </w:p>
        </w:tc>
        <w:tc>
          <w:tcPr>
            <w:tcW w:w="0" w:type="auto"/>
            <w:hideMark/>
          </w:tcPr>
          <w:p w14:paraId="70F0B12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مدى دقة وفعالية عمليات التفتيش البيئي، معبراً عنها بنسبة المخالفات المقبولة إدارياً وقانونياً</w:t>
            </w:r>
          </w:p>
        </w:tc>
        <w:tc>
          <w:tcPr>
            <w:tcW w:w="0" w:type="auto"/>
            <w:hideMark/>
          </w:tcPr>
          <w:p w14:paraId="5CC9EF13"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المخالفات المرفوضة</w:t>
            </w:r>
            <w:r w:rsidRPr="005D59A7">
              <w:rPr>
                <w:rFonts w:ascii="T" w:hAnsi="T" w:cs="Simplified Arabic"/>
                <w:sz w:val="24"/>
                <w:szCs w:val="24"/>
                <w:shd w:val="clear" w:color="auto" w:fill="FFFFFF"/>
              </w:rPr>
              <w:t xml:space="preserve"> (%)</w:t>
            </w:r>
          </w:p>
        </w:tc>
        <w:tc>
          <w:tcPr>
            <w:tcW w:w="0" w:type="auto"/>
            <w:hideMark/>
          </w:tcPr>
          <w:p w14:paraId="49E5A31D"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3B63B459" w14:textId="77777777" w:rsidTr="007270C8">
        <w:tc>
          <w:tcPr>
            <w:tcW w:w="0" w:type="auto"/>
            <w:hideMark/>
          </w:tcPr>
          <w:p w14:paraId="295BFA32"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مستوى التغطية</w:t>
            </w:r>
          </w:p>
        </w:tc>
        <w:tc>
          <w:tcPr>
            <w:tcW w:w="0" w:type="auto"/>
            <w:hideMark/>
          </w:tcPr>
          <w:p w14:paraId="489A17CC"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المنشآت التي تمت زيارتها تفتيشياً إلى إجمالي المنشآت المسجلة في قاعدة البيانات</w:t>
            </w:r>
          </w:p>
        </w:tc>
        <w:tc>
          <w:tcPr>
            <w:tcW w:w="0" w:type="auto"/>
            <w:hideMark/>
          </w:tcPr>
          <w:p w14:paraId="5A8FB976"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(المنشآت المزورة ÷ إجمالي المنشآت) × 100</w:t>
            </w:r>
          </w:p>
        </w:tc>
        <w:tc>
          <w:tcPr>
            <w:tcW w:w="0" w:type="auto"/>
            <w:hideMark/>
          </w:tcPr>
          <w:p w14:paraId="56CAC13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r w:rsidR="0048002A" w:rsidRPr="005D59A7" w14:paraId="31E15013" w14:textId="77777777" w:rsidTr="007270C8">
        <w:tc>
          <w:tcPr>
            <w:tcW w:w="0" w:type="auto"/>
            <w:hideMark/>
          </w:tcPr>
          <w:p w14:paraId="7B0A91D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كفاءة الموارد البشرية</w:t>
            </w:r>
          </w:p>
        </w:tc>
        <w:tc>
          <w:tcPr>
            <w:tcW w:w="0" w:type="auto"/>
            <w:hideMark/>
          </w:tcPr>
          <w:p w14:paraId="5F8A11AA"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مدى تناسب عدد المفتشين مع عدد المنشآت المشمولة بالتفتيش</w:t>
            </w:r>
          </w:p>
        </w:tc>
        <w:tc>
          <w:tcPr>
            <w:tcW w:w="0" w:type="auto"/>
            <w:hideMark/>
          </w:tcPr>
          <w:p w14:paraId="4ED48CE2"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عدد المنشآت لكل مفتش</w:t>
            </w:r>
          </w:p>
        </w:tc>
        <w:tc>
          <w:tcPr>
            <w:tcW w:w="0" w:type="auto"/>
            <w:hideMark/>
          </w:tcPr>
          <w:p w14:paraId="4B2DAA0B"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 xml:space="preserve">المركز الوطني للرقابة على الالتزام </w:t>
            </w:r>
            <w:r w:rsidRPr="005D59A7">
              <w:rPr>
                <w:rFonts w:ascii="T" w:hAnsi="T" w:cs="Simplified Arabic"/>
                <w:sz w:val="24"/>
                <w:szCs w:val="24"/>
                <w:shd w:val="clear" w:color="auto" w:fill="FFFFFF"/>
                <w:rtl/>
              </w:rPr>
              <w:lastRenderedPageBreak/>
              <w:t>البيئي</w:t>
            </w:r>
            <w:r w:rsidRPr="005D59A7">
              <w:rPr>
                <w:rFonts w:ascii="T" w:hAnsi="T" w:cs="Simplified Arabic"/>
                <w:sz w:val="24"/>
                <w:szCs w:val="24"/>
                <w:shd w:val="clear" w:color="auto" w:fill="FFFFFF"/>
              </w:rPr>
              <w:t xml:space="preserve"> (NCEC, 2020)</w:t>
            </w:r>
          </w:p>
        </w:tc>
      </w:tr>
      <w:tr w:rsidR="0048002A" w:rsidRPr="005D59A7" w14:paraId="489E7816" w14:textId="77777777" w:rsidTr="007270C8">
        <w:tc>
          <w:tcPr>
            <w:tcW w:w="0" w:type="auto"/>
            <w:hideMark/>
          </w:tcPr>
          <w:p w14:paraId="2BC9A7D8"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lastRenderedPageBreak/>
              <w:t>الجدوى المالية</w:t>
            </w:r>
          </w:p>
        </w:tc>
        <w:tc>
          <w:tcPr>
            <w:tcW w:w="0" w:type="auto"/>
            <w:hideMark/>
          </w:tcPr>
          <w:p w14:paraId="7238D31F"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قدرة النموذج التشغيلي على تحقيق توازن بين الإيرادات والتكاليف، مع تحقيق فائض أو تغطية العجز</w:t>
            </w:r>
          </w:p>
        </w:tc>
        <w:tc>
          <w:tcPr>
            <w:tcW w:w="0" w:type="auto"/>
            <w:hideMark/>
          </w:tcPr>
          <w:p w14:paraId="09083B4F"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نسبة استرداد التكاليف (%)، صافي العائد السنوي (ريال)</w:t>
            </w:r>
          </w:p>
        </w:tc>
        <w:tc>
          <w:tcPr>
            <w:tcW w:w="0" w:type="auto"/>
            <w:hideMark/>
          </w:tcPr>
          <w:p w14:paraId="1BD800AC" w14:textId="77777777" w:rsidR="007270C8" w:rsidRPr="005D59A7" w:rsidRDefault="007270C8" w:rsidP="00410D73">
            <w:pPr>
              <w:bidi/>
              <w:spacing w:after="200" w:line="276" w:lineRule="auto"/>
              <w:ind w:left="6"/>
              <w:jc w:val="both"/>
              <w:rPr>
                <w:rFonts w:ascii="T" w:hAnsi="T" w:cs="Simplified Arabic"/>
                <w:sz w:val="24"/>
                <w:szCs w:val="24"/>
                <w:shd w:val="clear" w:color="auto" w:fill="FFFFFF"/>
              </w:rPr>
            </w:pPr>
            <w:r w:rsidRPr="005D59A7">
              <w:rPr>
                <w:rFonts w:ascii="T" w:hAnsi="T" w:cs="Simplified Arabic"/>
                <w:sz w:val="24"/>
                <w:szCs w:val="24"/>
                <w:shd w:val="clear" w:color="auto" w:fill="FFFFFF"/>
                <w:rtl/>
              </w:rPr>
              <w:t>المركز الوطني للرقابة على الالتزام البيئي</w:t>
            </w:r>
            <w:r w:rsidRPr="005D59A7">
              <w:rPr>
                <w:rFonts w:ascii="T" w:hAnsi="T" w:cs="Simplified Arabic"/>
                <w:sz w:val="24"/>
                <w:szCs w:val="24"/>
                <w:shd w:val="clear" w:color="auto" w:fill="FFFFFF"/>
              </w:rPr>
              <w:t xml:space="preserve"> (NCEC, 2020)</w:t>
            </w:r>
          </w:p>
        </w:tc>
      </w:tr>
    </w:tbl>
    <w:p w14:paraId="570FAE87" w14:textId="77777777" w:rsidR="007270C8" w:rsidRPr="005D59A7" w:rsidRDefault="007270C8" w:rsidP="00DF52A6">
      <w:pPr>
        <w:bidi/>
        <w:spacing w:after="200" w:line="276" w:lineRule="auto"/>
        <w:ind w:left="8" w:firstLine="720"/>
        <w:jc w:val="both"/>
        <w:rPr>
          <w:rFonts w:ascii="T" w:hAnsi="T" w:cs="Simplified Arabic"/>
          <w:sz w:val="24"/>
          <w:szCs w:val="24"/>
          <w:shd w:val="clear" w:color="auto" w:fill="FFFFFF"/>
        </w:rPr>
      </w:pPr>
    </w:p>
    <w:p w14:paraId="65BA2C0D" w14:textId="1CA93507" w:rsidR="00F41E95" w:rsidRPr="005D59A7" w:rsidRDefault="00F41E95" w:rsidP="00410D73">
      <w:pPr>
        <w:pStyle w:val="Heading2"/>
        <w:bidi/>
        <w:rPr>
          <w:rFonts w:ascii="T" w:hAnsi="T" w:cs="Simplified Arabic"/>
          <w:color w:val="auto"/>
          <w:sz w:val="24"/>
          <w:szCs w:val="24"/>
          <w:rtl/>
        </w:rPr>
      </w:pPr>
      <w:bookmarkStart w:id="16" w:name="_Toc225991333"/>
      <w:r w:rsidRPr="005D59A7">
        <w:rPr>
          <w:rFonts w:ascii="T" w:hAnsi="T" w:cs="Simplified Arabic"/>
          <w:color w:val="auto"/>
          <w:sz w:val="24"/>
          <w:szCs w:val="24"/>
          <w:rtl/>
        </w:rPr>
        <w:t>المفاهيم التطبيقية</w:t>
      </w:r>
      <w:bookmarkEnd w:id="16"/>
    </w:p>
    <w:p w14:paraId="22640285" w14:textId="77777777" w:rsidR="00410D73" w:rsidRPr="005D59A7" w:rsidRDefault="00410D73" w:rsidP="00410D73">
      <w:pPr>
        <w:bidi/>
        <w:rPr>
          <w:rFonts w:ascii="T" w:hAnsi="T" w:cs="Simplified Arabic"/>
          <w:sz w:val="24"/>
          <w:szCs w:val="24"/>
          <w:rtl/>
        </w:rPr>
      </w:pPr>
    </w:p>
    <w:tbl>
      <w:tblPr>
        <w:tblStyle w:val="TableGrid"/>
        <w:tblpPr w:leftFromText="180" w:rightFromText="180" w:vertAnchor="text" w:tblpXSpec="right" w:tblpY="1"/>
        <w:tblOverlap w:val="never"/>
        <w:bidiVisual/>
        <w:tblW w:w="0" w:type="auto"/>
        <w:tblLook w:val="04A0" w:firstRow="1" w:lastRow="0" w:firstColumn="1" w:lastColumn="0" w:noHBand="0" w:noVBand="1"/>
      </w:tblPr>
      <w:tblGrid>
        <w:gridCol w:w="3050"/>
        <w:gridCol w:w="4240"/>
      </w:tblGrid>
      <w:tr w:rsidR="0048002A" w:rsidRPr="005D59A7" w14:paraId="67F2E174" w14:textId="77777777" w:rsidTr="00410D73">
        <w:tc>
          <w:tcPr>
            <w:tcW w:w="3050" w:type="dxa"/>
            <w:vAlign w:val="center"/>
          </w:tcPr>
          <w:p w14:paraId="3238EC87"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المصطلح</w:t>
            </w:r>
          </w:p>
        </w:tc>
        <w:tc>
          <w:tcPr>
            <w:tcW w:w="4240" w:type="dxa"/>
            <w:vAlign w:val="center"/>
          </w:tcPr>
          <w:p w14:paraId="4CD6CFE8"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التعريف</w:t>
            </w:r>
          </w:p>
        </w:tc>
      </w:tr>
      <w:tr w:rsidR="0048002A" w:rsidRPr="005D59A7" w14:paraId="30D4D57C" w14:textId="77777777" w:rsidTr="00410D73">
        <w:tc>
          <w:tcPr>
            <w:tcW w:w="3050" w:type="dxa"/>
            <w:vAlign w:val="center"/>
          </w:tcPr>
          <w:p w14:paraId="6BC007BD"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المفتش البيئي</w:t>
            </w:r>
          </w:p>
        </w:tc>
        <w:tc>
          <w:tcPr>
            <w:tcW w:w="4240" w:type="dxa"/>
            <w:vAlign w:val="center"/>
          </w:tcPr>
          <w:p w14:paraId="40F5CD61"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الموظف المختص والمسؤول عن القيام بالزيارة التفتيشية. يمتلك مؤهلات علمية وخلفية عملية ذات صلة بال</w:t>
            </w:r>
            <w:r w:rsidR="00463130" w:rsidRPr="005D59A7">
              <w:rPr>
                <w:rFonts w:ascii="T" w:hAnsi="T" w:cs="Simplified Arabic"/>
                <w:sz w:val="24"/>
                <w:szCs w:val="24"/>
                <w:rtl/>
              </w:rPr>
              <w:t>مجال.</w:t>
            </w:r>
          </w:p>
        </w:tc>
      </w:tr>
      <w:tr w:rsidR="0048002A" w:rsidRPr="005D59A7" w14:paraId="48859639" w14:textId="77777777" w:rsidTr="00410D73">
        <w:tc>
          <w:tcPr>
            <w:tcW w:w="3050" w:type="dxa"/>
            <w:vAlign w:val="center"/>
          </w:tcPr>
          <w:p w14:paraId="700EC851"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الزيارة التفتيشية</w:t>
            </w:r>
          </w:p>
        </w:tc>
        <w:tc>
          <w:tcPr>
            <w:tcW w:w="4240" w:type="dxa"/>
            <w:vAlign w:val="center"/>
          </w:tcPr>
          <w:p w14:paraId="0227B634"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زيارة المفتش البيئي للمنشأة للتأكد من مطابقة العمليات التشغيلية للاشتراطات والمعايير المندرجة تحت النظام العام للبيئية واللوائح التنفيذية.</w:t>
            </w:r>
          </w:p>
        </w:tc>
      </w:tr>
      <w:tr w:rsidR="0048002A" w:rsidRPr="005D59A7" w14:paraId="616D811B" w14:textId="77777777" w:rsidTr="00410D73">
        <w:tc>
          <w:tcPr>
            <w:tcW w:w="3050" w:type="dxa"/>
            <w:vAlign w:val="center"/>
          </w:tcPr>
          <w:p w14:paraId="47E0DE6D"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تكلفة الزيارة التفتيشية</w:t>
            </w:r>
          </w:p>
        </w:tc>
        <w:tc>
          <w:tcPr>
            <w:tcW w:w="4240" w:type="dxa"/>
            <w:vAlign w:val="center"/>
          </w:tcPr>
          <w:p w14:paraId="18C1E4A6"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يتم عقد الزيارات التفتيشية بدون مقابل مالي من قبل القطاع العام. الهدف الرئيسي لمشاركة القطاع الخاص هو فرض رسوم على الزيارة التفتيشية.</w:t>
            </w:r>
          </w:p>
        </w:tc>
      </w:tr>
      <w:tr w:rsidR="0048002A" w:rsidRPr="005D59A7" w14:paraId="7AFE670A" w14:textId="77777777" w:rsidTr="00410D73">
        <w:tc>
          <w:tcPr>
            <w:tcW w:w="3050" w:type="dxa"/>
            <w:vAlign w:val="center"/>
          </w:tcPr>
          <w:p w14:paraId="40FEC99E" w14:textId="77777777" w:rsidR="00F41E95" w:rsidRPr="005D59A7" w:rsidRDefault="00F41E95" w:rsidP="00410D73">
            <w:pPr>
              <w:bidi/>
              <w:jc w:val="center"/>
              <w:rPr>
                <w:rFonts w:ascii="T" w:hAnsi="T" w:cs="Simplified Arabic"/>
                <w:sz w:val="24"/>
                <w:szCs w:val="24"/>
                <w:rtl/>
              </w:rPr>
            </w:pPr>
            <w:r w:rsidRPr="005D59A7">
              <w:rPr>
                <w:rFonts w:ascii="T" w:hAnsi="T" w:cs="Simplified Arabic"/>
                <w:sz w:val="24"/>
                <w:szCs w:val="24"/>
                <w:rtl/>
              </w:rPr>
              <w:t>المخالفة البيئية</w:t>
            </w:r>
          </w:p>
        </w:tc>
        <w:tc>
          <w:tcPr>
            <w:tcW w:w="4240" w:type="dxa"/>
            <w:vAlign w:val="center"/>
          </w:tcPr>
          <w:p w14:paraId="09897FF4"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أي إجراء تشغيلي أو إنشائي مخالف للأنظمة العامة للبيئة واللوائح التنفيذية ذات الصلة من قبل المنشأة.</w:t>
            </w:r>
          </w:p>
        </w:tc>
      </w:tr>
      <w:tr w:rsidR="0048002A" w:rsidRPr="005D59A7" w14:paraId="60253EDA" w14:textId="77777777" w:rsidTr="00410D73">
        <w:tc>
          <w:tcPr>
            <w:tcW w:w="3050" w:type="dxa"/>
            <w:vAlign w:val="center"/>
          </w:tcPr>
          <w:p w14:paraId="0CC3DBB4"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المنشأة</w:t>
            </w:r>
          </w:p>
        </w:tc>
        <w:tc>
          <w:tcPr>
            <w:tcW w:w="4240" w:type="dxa"/>
            <w:vAlign w:val="center"/>
          </w:tcPr>
          <w:p w14:paraId="50D03F9D"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أي منشأة ذات نشاط له تأثير سلبي على البيئية، ويتم تصنيفها وفق النظام تحت 3 فئات حسب حجم الأثر المتوقع ونوع النشاط وحجمه.</w:t>
            </w:r>
          </w:p>
        </w:tc>
      </w:tr>
      <w:tr w:rsidR="0048002A" w:rsidRPr="005D59A7" w14:paraId="68959163" w14:textId="77777777" w:rsidTr="00410D73">
        <w:tc>
          <w:tcPr>
            <w:tcW w:w="3050" w:type="dxa"/>
            <w:vAlign w:val="center"/>
          </w:tcPr>
          <w:p w14:paraId="0FE922B7" w14:textId="77777777" w:rsidR="00F41E95" w:rsidRPr="005D59A7" w:rsidRDefault="002F1419" w:rsidP="00410D73">
            <w:pPr>
              <w:bidi/>
              <w:jc w:val="center"/>
              <w:rPr>
                <w:rFonts w:ascii="T" w:hAnsi="T" w:cs="Simplified Arabic"/>
                <w:sz w:val="24"/>
                <w:szCs w:val="24"/>
                <w:rtl/>
              </w:rPr>
            </w:pPr>
            <w:r w:rsidRPr="005D59A7">
              <w:rPr>
                <w:rFonts w:ascii="T" w:hAnsi="T" w:cs="Simplified Arabic"/>
                <w:sz w:val="24"/>
                <w:szCs w:val="24"/>
                <w:rtl/>
              </w:rPr>
              <w:t>نسبة التغطية</w:t>
            </w:r>
          </w:p>
        </w:tc>
        <w:tc>
          <w:tcPr>
            <w:tcW w:w="4240" w:type="dxa"/>
            <w:vAlign w:val="center"/>
          </w:tcPr>
          <w:p w14:paraId="7DE58112" w14:textId="77777777" w:rsidR="00F41E95" w:rsidRPr="005D59A7" w:rsidRDefault="00463130" w:rsidP="00410D73">
            <w:pPr>
              <w:bidi/>
              <w:jc w:val="center"/>
              <w:rPr>
                <w:rFonts w:ascii="T" w:hAnsi="T" w:cs="Simplified Arabic"/>
                <w:sz w:val="24"/>
                <w:szCs w:val="24"/>
                <w:rtl/>
              </w:rPr>
            </w:pPr>
            <w:r w:rsidRPr="005D59A7">
              <w:rPr>
                <w:rFonts w:ascii="T" w:hAnsi="T" w:cs="Simplified Arabic"/>
                <w:sz w:val="24"/>
                <w:szCs w:val="24"/>
                <w:rtl/>
              </w:rPr>
              <w:t>نسبة التغطية الجغرافية لعمليات التفتيش البيئي للمنشآت في كافة مناطق المملكة.</w:t>
            </w:r>
          </w:p>
        </w:tc>
      </w:tr>
    </w:tbl>
    <w:p w14:paraId="4CF77AED" w14:textId="577ECF3B" w:rsidR="00F41E95" w:rsidRPr="005D59A7" w:rsidRDefault="002F1419" w:rsidP="00DF52A6">
      <w:pPr>
        <w:pStyle w:val="Caption"/>
        <w:bidi/>
        <w:ind w:firstLine="720"/>
        <w:jc w:val="center"/>
        <w:rPr>
          <w:rFonts w:ascii="T" w:hAnsi="T" w:cs="Simplified Arabic"/>
          <w:color w:val="auto"/>
          <w:sz w:val="24"/>
          <w:szCs w:val="24"/>
          <w:rtl/>
        </w:rPr>
      </w:pPr>
      <w:r w:rsidRPr="005D59A7">
        <w:rPr>
          <w:rFonts w:ascii="T" w:hAnsi="T" w:cs="Simplified Arabic"/>
          <w:color w:val="auto"/>
          <w:sz w:val="24"/>
          <w:szCs w:val="24"/>
        </w:rPr>
        <w:br w:type="textWrapping" w:clear="all"/>
      </w:r>
      <w:bookmarkStart w:id="17" w:name="_Toc225991173"/>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1</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المصطلحات التطبيقية</w:t>
      </w:r>
      <w:bookmarkEnd w:id="17"/>
    </w:p>
    <w:p w14:paraId="211D57C7" w14:textId="77777777" w:rsidR="007270C8" w:rsidRPr="005D59A7" w:rsidRDefault="007270C8" w:rsidP="00DF52A6">
      <w:pPr>
        <w:shd w:val="clear" w:color="auto" w:fill="FFFFFF"/>
        <w:bidi/>
        <w:spacing w:before="240" w:after="240" w:line="240" w:lineRule="auto"/>
        <w:ind w:firstLine="720"/>
        <w:rPr>
          <w:rFonts w:ascii="T" w:hAnsi="T" w:cs="Simplified Arabic"/>
          <w:sz w:val="24"/>
          <w:szCs w:val="24"/>
        </w:rPr>
      </w:pPr>
      <w:r w:rsidRPr="005D59A7">
        <w:rPr>
          <w:rFonts w:ascii="T" w:hAnsi="T" w:cs="Simplified Arabic"/>
          <w:sz w:val="24"/>
          <w:szCs w:val="24"/>
          <w:rtl/>
        </w:rPr>
        <w:lastRenderedPageBreak/>
        <w:t>لضمان الدقة المفاهيمية في الدراسة، يتم التمييز بين المصطلحات التالية</w:t>
      </w:r>
      <w:r w:rsidRPr="005D59A7">
        <w:rPr>
          <w:rFonts w:ascii="T" w:hAnsi="T" w:cs="Simplified Arabic"/>
          <w:sz w:val="24"/>
          <w:szCs w:val="24"/>
        </w:rPr>
        <w:t>:</w:t>
      </w:r>
    </w:p>
    <w:tbl>
      <w:tblPr>
        <w:tblStyle w:val="TableGrid"/>
        <w:bidiVisual/>
        <w:tblW w:w="8635" w:type="dxa"/>
        <w:tblLook w:val="04A0" w:firstRow="1" w:lastRow="0" w:firstColumn="1" w:lastColumn="0" w:noHBand="0" w:noVBand="1"/>
      </w:tblPr>
      <w:tblGrid>
        <w:gridCol w:w="2283"/>
        <w:gridCol w:w="3379"/>
        <w:gridCol w:w="2973"/>
      </w:tblGrid>
      <w:tr w:rsidR="0048002A" w:rsidRPr="005D59A7" w14:paraId="54945F43" w14:textId="77777777" w:rsidTr="007270C8">
        <w:trPr>
          <w:trHeight w:val="372"/>
        </w:trPr>
        <w:tc>
          <w:tcPr>
            <w:tcW w:w="0" w:type="auto"/>
            <w:hideMark/>
          </w:tcPr>
          <w:p w14:paraId="7DBD2F8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المصطلح</w:t>
            </w:r>
          </w:p>
        </w:tc>
        <w:tc>
          <w:tcPr>
            <w:tcW w:w="0" w:type="auto"/>
            <w:hideMark/>
          </w:tcPr>
          <w:p w14:paraId="5DD53DC2"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التعريف</w:t>
            </w:r>
          </w:p>
        </w:tc>
        <w:tc>
          <w:tcPr>
            <w:tcW w:w="0" w:type="auto"/>
            <w:hideMark/>
          </w:tcPr>
          <w:p w14:paraId="58AF3516"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الاستخدام في الدراسة</w:t>
            </w:r>
          </w:p>
        </w:tc>
      </w:tr>
      <w:tr w:rsidR="0048002A" w:rsidRPr="005D59A7" w14:paraId="0286FD54" w14:textId="77777777" w:rsidTr="007270C8">
        <w:trPr>
          <w:trHeight w:val="1490"/>
        </w:trPr>
        <w:tc>
          <w:tcPr>
            <w:tcW w:w="0" w:type="auto"/>
            <w:hideMark/>
          </w:tcPr>
          <w:p w14:paraId="5B17781D"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الشراكة بين القطاعين العام والخاص</w:t>
            </w:r>
            <w:r w:rsidRPr="005D59A7">
              <w:rPr>
                <w:rFonts w:ascii="T" w:hAnsi="T" w:cs="Simplified Arabic"/>
                <w:sz w:val="24"/>
                <w:szCs w:val="24"/>
              </w:rPr>
              <w:t xml:space="preserve"> (PPP)</w:t>
            </w:r>
          </w:p>
        </w:tc>
        <w:tc>
          <w:tcPr>
            <w:tcW w:w="0" w:type="auto"/>
            <w:hideMark/>
          </w:tcPr>
          <w:p w14:paraId="2E67C428"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نموذج تعاقدي طويل الأجل يتعاون فيه القطاعان العام والخاص لتقديم خدمة عامة، حيث يتولى القطاع الخاص مسؤولية التمويل والبناء والتشغيل (كلياً أو جزئياً)، مع بقاء ملكية الأصول للقطاع العام</w:t>
            </w:r>
            <w:r w:rsidRPr="005D59A7">
              <w:rPr>
                <w:rFonts w:ascii="T" w:hAnsi="T" w:cs="Simplified Arabic"/>
                <w:sz w:val="24"/>
                <w:szCs w:val="24"/>
              </w:rPr>
              <w:t>.</w:t>
            </w:r>
          </w:p>
        </w:tc>
        <w:tc>
          <w:tcPr>
            <w:tcW w:w="0" w:type="auto"/>
            <w:hideMark/>
          </w:tcPr>
          <w:p w14:paraId="5DDD0148"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المصطلح المظلي الذي تعتمده الدراسة، ويشمل جميع نماذج التعاقد التي تتضمن مشاركة القطاع الخاص في تقديم الخدمة</w:t>
            </w:r>
            <w:r w:rsidRPr="005D59A7">
              <w:rPr>
                <w:rFonts w:ascii="T" w:hAnsi="T" w:cs="Simplified Arabic"/>
                <w:sz w:val="24"/>
                <w:szCs w:val="24"/>
              </w:rPr>
              <w:t>.</w:t>
            </w:r>
          </w:p>
        </w:tc>
      </w:tr>
      <w:tr w:rsidR="0048002A" w:rsidRPr="005D59A7" w14:paraId="47FBF719" w14:textId="77777777" w:rsidTr="007270C8">
        <w:trPr>
          <w:trHeight w:val="1117"/>
        </w:trPr>
        <w:tc>
          <w:tcPr>
            <w:tcW w:w="0" w:type="auto"/>
            <w:hideMark/>
          </w:tcPr>
          <w:p w14:paraId="0FB12EA6"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التخصيص</w:t>
            </w:r>
            <w:r w:rsidRPr="005D59A7">
              <w:rPr>
                <w:rFonts w:ascii="T" w:hAnsi="T" w:cs="Simplified Arabic"/>
                <w:sz w:val="24"/>
                <w:szCs w:val="24"/>
              </w:rPr>
              <w:t xml:space="preserve"> (Privatization)</w:t>
            </w:r>
          </w:p>
        </w:tc>
        <w:tc>
          <w:tcPr>
            <w:tcW w:w="0" w:type="auto"/>
            <w:hideMark/>
          </w:tcPr>
          <w:p w14:paraId="1B575373"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نقل ملكية الأصول أو الخدمات من القطاع العام إلى القطاع الخاص بشكل كامل أو جزئي، مع تحول المسؤولية الكاملة إلى القطاع الخاص</w:t>
            </w:r>
            <w:r w:rsidRPr="005D59A7">
              <w:rPr>
                <w:rFonts w:ascii="T" w:hAnsi="T" w:cs="Simplified Arabic"/>
                <w:sz w:val="24"/>
                <w:szCs w:val="24"/>
              </w:rPr>
              <w:t>.</w:t>
            </w:r>
          </w:p>
        </w:tc>
        <w:tc>
          <w:tcPr>
            <w:tcW w:w="0" w:type="auto"/>
            <w:hideMark/>
          </w:tcPr>
          <w:p w14:paraId="002935A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لا يدخل ضمن نطاق الدراسة، حيث تبقى ملكية خدمة التفتيش البيئي للقطاع العام</w:t>
            </w:r>
            <w:r w:rsidRPr="005D59A7">
              <w:rPr>
                <w:rFonts w:ascii="T" w:hAnsi="T" w:cs="Simplified Arabic"/>
                <w:sz w:val="24"/>
                <w:szCs w:val="24"/>
              </w:rPr>
              <w:t>.</w:t>
            </w:r>
          </w:p>
        </w:tc>
      </w:tr>
      <w:tr w:rsidR="0048002A" w:rsidRPr="005D59A7" w14:paraId="051A37FE" w14:textId="77777777" w:rsidTr="007270C8">
        <w:trPr>
          <w:trHeight w:val="1117"/>
        </w:trPr>
        <w:tc>
          <w:tcPr>
            <w:tcW w:w="0" w:type="auto"/>
            <w:hideMark/>
          </w:tcPr>
          <w:p w14:paraId="2843531A"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الخصخصة</w:t>
            </w:r>
            <w:r w:rsidRPr="005D59A7">
              <w:rPr>
                <w:rFonts w:ascii="T" w:hAnsi="T" w:cs="Simplified Arabic"/>
                <w:sz w:val="24"/>
                <w:szCs w:val="24"/>
              </w:rPr>
              <w:t xml:space="preserve"> (Corporatization)</w:t>
            </w:r>
          </w:p>
        </w:tc>
        <w:tc>
          <w:tcPr>
            <w:tcW w:w="0" w:type="auto"/>
            <w:hideMark/>
          </w:tcPr>
          <w:p w14:paraId="39D7C637"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تحويل جهة حكومية إلى شركة مملوكة للدولة مع تطبيق ممارسات القطاع الخاص في الإدارة والتشغيل</w:t>
            </w:r>
            <w:r w:rsidRPr="005D59A7">
              <w:rPr>
                <w:rFonts w:ascii="T" w:hAnsi="T" w:cs="Simplified Arabic"/>
                <w:sz w:val="24"/>
                <w:szCs w:val="24"/>
              </w:rPr>
              <w:t>.</w:t>
            </w:r>
          </w:p>
        </w:tc>
        <w:tc>
          <w:tcPr>
            <w:tcW w:w="0" w:type="auto"/>
            <w:hideMark/>
          </w:tcPr>
          <w:p w14:paraId="25DC078B"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لا يدخل ضمن نطاق الدراسة</w:t>
            </w:r>
            <w:r w:rsidRPr="005D59A7">
              <w:rPr>
                <w:rFonts w:ascii="T" w:hAnsi="T" w:cs="Simplified Arabic"/>
                <w:sz w:val="24"/>
                <w:szCs w:val="24"/>
              </w:rPr>
              <w:t>.</w:t>
            </w:r>
          </w:p>
        </w:tc>
      </w:tr>
      <w:tr w:rsidR="0048002A" w:rsidRPr="005D59A7" w14:paraId="463F9344" w14:textId="77777777" w:rsidTr="007270C8">
        <w:trPr>
          <w:trHeight w:val="1490"/>
        </w:trPr>
        <w:tc>
          <w:tcPr>
            <w:tcW w:w="0" w:type="auto"/>
            <w:hideMark/>
          </w:tcPr>
          <w:p w14:paraId="59E2AC3E"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التوريد</w:t>
            </w:r>
            <w:r w:rsidRPr="005D59A7">
              <w:rPr>
                <w:rFonts w:ascii="T" w:hAnsi="T" w:cs="Simplified Arabic"/>
                <w:sz w:val="24"/>
                <w:szCs w:val="24"/>
              </w:rPr>
              <w:t xml:space="preserve"> (Outsourcing)</w:t>
            </w:r>
          </w:p>
        </w:tc>
        <w:tc>
          <w:tcPr>
            <w:tcW w:w="0" w:type="auto"/>
            <w:hideMark/>
          </w:tcPr>
          <w:p w14:paraId="67F69D5D"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نموذج تعاقدي قصير الأجل تقوم فيه الجهة الحكومية بتعيين مقاول خارجي لتقديم خدمة محددة، مع احتفاظها بالمسؤولية الكاملة والرقابة المباشرة</w:t>
            </w:r>
            <w:r w:rsidRPr="005D59A7">
              <w:rPr>
                <w:rFonts w:ascii="T" w:hAnsi="T" w:cs="Simplified Arabic"/>
                <w:sz w:val="24"/>
                <w:szCs w:val="24"/>
              </w:rPr>
              <w:t>.</w:t>
            </w:r>
          </w:p>
        </w:tc>
        <w:tc>
          <w:tcPr>
            <w:tcW w:w="0" w:type="auto"/>
            <w:hideMark/>
          </w:tcPr>
          <w:p w14:paraId="7AFFE6A0" w14:textId="77777777" w:rsidR="007270C8" w:rsidRPr="005D59A7" w:rsidRDefault="007270C8" w:rsidP="00410D73">
            <w:pPr>
              <w:shd w:val="clear" w:color="auto" w:fill="FFFFFF"/>
              <w:bidi/>
              <w:spacing w:before="240" w:after="240" w:line="240" w:lineRule="auto"/>
              <w:rPr>
                <w:rFonts w:ascii="T" w:hAnsi="T" w:cs="Simplified Arabic"/>
                <w:sz w:val="24"/>
                <w:szCs w:val="24"/>
              </w:rPr>
            </w:pPr>
            <w:r w:rsidRPr="005D59A7">
              <w:rPr>
                <w:rFonts w:ascii="T" w:hAnsi="T" w:cs="Simplified Arabic"/>
                <w:sz w:val="24"/>
                <w:szCs w:val="24"/>
                <w:rtl/>
              </w:rPr>
              <w:t>يمثل النموذج التقليدي الحالي</w:t>
            </w:r>
            <w:r w:rsidRPr="005D59A7">
              <w:rPr>
                <w:rFonts w:ascii="T" w:hAnsi="T" w:cs="Simplified Arabic"/>
                <w:sz w:val="24"/>
                <w:szCs w:val="24"/>
              </w:rPr>
              <w:t xml:space="preserve"> (Input-Based Contracting) </w:t>
            </w:r>
            <w:r w:rsidRPr="005D59A7">
              <w:rPr>
                <w:rFonts w:ascii="T" w:hAnsi="T" w:cs="Simplified Arabic"/>
                <w:sz w:val="24"/>
                <w:szCs w:val="24"/>
                <w:rtl/>
              </w:rPr>
              <w:t>الذي تسعى الدراسة إلى تجاوزه نحو نموذج</w:t>
            </w:r>
            <w:r w:rsidRPr="005D59A7">
              <w:rPr>
                <w:rFonts w:ascii="T" w:hAnsi="T" w:cs="Simplified Arabic"/>
                <w:sz w:val="24"/>
                <w:szCs w:val="24"/>
              </w:rPr>
              <w:t xml:space="preserve"> PPP </w:t>
            </w:r>
            <w:r w:rsidRPr="005D59A7">
              <w:rPr>
                <w:rFonts w:ascii="T" w:hAnsi="T" w:cs="Simplified Arabic"/>
                <w:sz w:val="24"/>
                <w:szCs w:val="24"/>
                <w:rtl/>
              </w:rPr>
              <w:t>قائم على الأداء</w:t>
            </w:r>
            <w:r w:rsidRPr="005D59A7">
              <w:rPr>
                <w:rFonts w:ascii="T" w:hAnsi="T" w:cs="Simplified Arabic"/>
                <w:sz w:val="24"/>
                <w:szCs w:val="24"/>
              </w:rPr>
              <w:t>.</w:t>
            </w:r>
          </w:p>
        </w:tc>
      </w:tr>
    </w:tbl>
    <w:p w14:paraId="10017D62" w14:textId="77777777" w:rsidR="007270C8" w:rsidRPr="005D59A7" w:rsidRDefault="007270C8" w:rsidP="00410D73">
      <w:pPr>
        <w:pStyle w:val="ListParagraph"/>
        <w:bidi/>
        <w:spacing w:line="360" w:lineRule="auto"/>
        <w:ind w:left="84" w:firstLine="720"/>
        <w:jc w:val="both"/>
        <w:rPr>
          <w:rFonts w:ascii="T" w:hAnsi="T" w:cs="Simplified Arabic"/>
          <w:sz w:val="24"/>
          <w:szCs w:val="24"/>
        </w:rPr>
      </w:pPr>
      <w:r w:rsidRPr="005D59A7">
        <w:rPr>
          <w:rFonts w:ascii="T" w:hAnsi="T" w:cs="Simplified Arabic"/>
          <w:sz w:val="24"/>
          <w:szCs w:val="24"/>
          <w:rtl/>
        </w:rPr>
        <w:t>تبنى المصطلح المظلي</w:t>
      </w:r>
      <w:r w:rsidRPr="005D59A7">
        <w:rPr>
          <w:rFonts w:ascii="T" w:hAnsi="T" w:cs="Simplified Arabic"/>
          <w:sz w:val="24"/>
          <w:szCs w:val="24"/>
        </w:rPr>
        <w:t>: </w:t>
      </w:r>
      <w:r w:rsidRPr="005D59A7">
        <w:rPr>
          <w:rFonts w:ascii="T" w:hAnsi="T" w:cs="Simplified Arabic"/>
          <w:sz w:val="24"/>
          <w:szCs w:val="24"/>
          <w:rtl/>
        </w:rPr>
        <w:t>تعتمد الدراسة مصطلح </w:t>
      </w:r>
      <w:r w:rsidRPr="005D59A7">
        <w:rPr>
          <w:rFonts w:ascii="T" w:hAnsi="T" w:cs="Simplified Arabic"/>
          <w:sz w:val="24"/>
          <w:szCs w:val="24"/>
        </w:rPr>
        <w:t>"</w:t>
      </w:r>
      <w:r w:rsidRPr="005D59A7">
        <w:rPr>
          <w:rFonts w:ascii="T" w:hAnsi="T" w:cs="Simplified Arabic"/>
          <w:sz w:val="24"/>
          <w:szCs w:val="24"/>
          <w:rtl/>
        </w:rPr>
        <w:t>الشراكة بين القطاعين العام والخاص</w:t>
      </w:r>
      <w:r w:rsidRPr="005D59A7">
        <w:rPr>
          <w:rFonts w:ascii="T" w:hAnsi="T" w:cs="Simplified Arabic"/>
          <w:sz w:val="24"/>
          <w:szCs w:val="24"/>
        </w:rPr>
        <w:t xml:space="preserve"> (PPP)" </w:t>
      </w:r>
      <w:r w:rsidRPr="005D59A7">
        <w:rPr>
          <w:rFonts w:ascii="T" w:hAnsi="T" w:cs="Simplified Arabic"/>
          <w:sz w:val="24"/>
          <w:szCs w:val="24"/>
          <w:rtl/>
        </w:rPr>
        <w:t>كمصطلح مظلي يشير إلى جميع النماذج التعاقدية التي تتضمن تعاوناً هيكلياً طويل الأجل بين القطاعين العام والخاص في تقديم خدمة التفتيش البيئي، مع التركيز على نموذج التشغيل والصيانة</w:t>
      </w:r>
      <w:r w:rsidRPr="005D59A7">
        <w:rPr>
          <w:rFonts w:ascii="T" w:hAnsi="T" w:cs="Simplified Arabic"/>
          <w:sz w:val="24"/>
          <w:szCs w:val="24"/>
        </w:rPr>
        <w:t xml:space="preserve"> (O&amp;M) </w:t>
      </w:r>
      <w:r w:rsidRPr="005D59A7">
        <w:rPr>
          <w:rFonts w:ascii="T" w:hAnsi="T" w:cs="Simplified Arabic"/>
          <w:sz w:val="24"/>
          <w:szCs w:val="24"/>
          <w:rtl/>
        </w:rPr>
        <w:t>باعتباره الأنسب للخدمة</w:t>
      </w:r>
      <w:r w:rsidRPr="005D59A7">
        <w:rPr>
          <w:rFonts w:ascii="T" w:hAnsi="T" w:cs="Simplified Arabic"/>
          <w:sz w:val="24"/>
          <w:szCs w:val="24"/>
        </w:rPr>
        <w:t>.</w:t>
      </w:r>
    </w:p>
    <w:p w14:paraId="6B22ED22" w14:textId="77777777" w:rsidR="00177E64" w:rsidRPr="005D59A7" w:rsidRDefault="00177E64" w:rsidP="00861DC2">
      <w:pPr>
        <w:pStyle w:val="Heading1"/>
        <w:bidi/>
        <w:spacing w:line="360" w:lineRule="auto"/>
        <w:rPr>
          <w:rFonts w:ascii="T" w:eastAsia="Times New Roman" w:hAnsi="T" w:cs="Simplified Arabic"/>
          <w:b/>
          <w:bCs/>
          <w:color w:val="auto"/>
          <w:sz w:val="24"/>
          <w:szCs w:val="24"/>
          <w:rtl/>
        </w:rPr>
      </w:pPr>
      <w:bookmarkStart w:id="18" w:name="_Toc225991334"/>
      <w:r w:rsidRPr="005D59A7">
        <w:rPr>
          <w:rFonts w:ascii="T" w:eastAsia="Times New Roman" w:hAnsi="T" w:cs="Simplified Arabic"/>
          <w:b/>
          <w:bCs/>
          <w:color w:val="auto"/>
          <w:sz w:val="24"/>
          <w:szCs w:val="24"/>
          <w:rtl/>
        </w:rPr>
        <w:lastRenderedPageBreak/>
        <w:t>الدراسات المرجعية:</w:t>
      </w:r>
      <w:bookmarkEnd w:id="18"/>
    </w:p>
    <w:p w14:paraId="35F02737" w14:textId="77777777" w:rsidR="00177E64" w:rsidRPr="005D59A7" w:rsidRDefault="00177E64" w:rsidP="00410D7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سيتم</w:t>
      </w:r>
      <w:r w:rsidR="00556639" w:rsidRPr="005D59A7">
        <w:rPr>
          <w:rFonts w:ascii="T" w:hAnsi="T" w:cs="Simplified Arabic"/>
          <w:sz w:val="24"/>
          <w:szCs w:val="24"/>
          <w:rtl/>
        </w:rPr>
        <w:t xml:space="preserve"> التعليق على الدراسات السابقة في فصل الثاني والخاص بعرضها ومراجعتها، وتشمل أهم الدراسات المرجعية التي سيتم الاعتماد عليها ما يلي</w:t>
      </w:r>
      <w:r w:rsidRPr="005D59A7">
        <w:rPr>
          <w:rFonts w:ascii="T" w:hAnsi="T" w:cs="Simplified Arabic"/>
          <w:sz w:val="24"/>
          <w:szCs w:val="24"/>
          <w:rtl/>
        </w:rPr>
        <w:t>:</w:t>
      </w:r>
    </w:p>
    <w:tbl>
      <w:tblPr>
        <w:tblStyle w:val="TableGrid"/>
        <w:bidiVisual/>
        <w:tblW w:w="0" w:type="auto"/>
        <w:tblInd w:w="674" w:type="dxa"/>
        <w:tblLook w:val="04A0" w:firstRow="1" w:lastRow="0" w:firstColumn="1" w:lastColumn="0" w:noHBand="0" w:noVBand="1"/>
      </w:tblPr>
      <w:tblGrid>
        <w:gridCol w:w="2230"/>
        <w:gridCol w:w="2837"/>
        <w:gridCol w:w="2763"/>
      </w:tblGrid>
      <w:tr w:rsidR="0048002A" w:rsidRPr="005D59A7" w14:paraId="06B51CEA" w14:textId="77777777" w:rsidTr="00463130">
        <w:tc>
          <w:tcPr>
            <w:tcW w:w="2230" w:type="dxa"/>
            <w:vAlign w:val="center"/>
          </w:tcPr>
          <w:p w14:paraId="591D382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الدراسة/المرجع</w:t>
            </w:r>
          </w:p>
        </w:tc>
        <w:tc>
          <w:tcPr>
            <w:tcW w:w="2837" w:type="dxa"/>
            <w:vAlign w:val="center"/>
          </w:tcPr>
          <w:p w14:paraId="51011653"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المنهج</w:t>
            </w:r>
          </w:p>
        </w:tc>
        <w:tc>
          <w:tcPr>
            <w:tcW w:w="2763" w:type="dxa"/>
            <w:vAlign w:val="center"/>
          </w:tcPr>
          <w:p w14:paraId="31C25149"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أوجه الاستفادة</w:t>
            </w:r>
          </w:p>
        </w:tc>
      </w:tr>
      <w:tr w:rsidR="0048002A" w:rsidRPr="005D59A7" w14:paraId="19438BA1" w14:textId="77777777" w:rsidTr="00463130">
        <w:tc>
          <w:tcPr>
            <w:tcW w:w="2230" w:type="dxa"/>
            <w:vAlign w:val="center"/>
          </w:tcPr>
          <w:p w14:paraId="6D22E3B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رؤية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المملكة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العربية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السعودية 2030</w:t>
            </w:r>
          </w:p>
        </w:tc>
        <w:tc>
          <w:tcPr>
            <w:tcW w:w="2837" w:type="dxa"/>
            <w:vAlign w:val="center"/>
          </w:tcPr>
          <w:p w14:paraId="6E87ECB4"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وتشمل الإطار المؤسسي والأهداف والمبادرات والمشاريع والمؤشرات لإعادة هيكلة النظام الحكومي شاملاً كافة القطاعات</w:t>
            </w:r>
          </w:p>
        </w:tc>
        <w:tc>
          <w:tcPr>
            <w:tcW w:w="2763" w:type="dxa"/>
            <w:vAlign w:val="center"/>
          </w:tcPr>
          <w:p w14:paraId="6F9098D1"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الحصول على البيانات المتعلقة بمؤشرات الأداء والأهداف لقطاع البيئة وبرامج التخصيص</w:t>
            </w:r>
          </w:p>
        </w:tc>
      </w:tr>
      <w:tr w:rsidR="0048002A" w:rsidRPr="005D59A7" w14:paraId="61887E38" w14:textId="77777777" w:rsidTr="00463130">
        <w:tc>
          <w:tcPr>
            <w:tcW w:w="2230" w:type="dxa"/>
            <w:vAlign w:val="center"/>
          </w:tcPr>
          <w:p w14:paraId="4F50632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الجهات الحكومية المستهدفة مثل وزارة البيئة والمياه والزراعة والمراكز الوطنية البيئية ومركز التخصيص</w:t>
            </w:r>
          </w:p>
        </w:tc>
        <w:tc>
          <w:tcPr>
            <w:tcW w:w="2837" w:type="dxa"/>
            <w:vAlign w:val="center"/>
          </w:tcPr>
          <w:p w14:paraId="59F88377"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كافة المواقع الإلكترونية للجهات الممثلة لقطاع البيئة والمركز الوطني للتخصيص</w:t>
            </w:r>
          </w:p>
        </w:tc>
        <w:tc>
          <w:tcPr>
            <w:tcW w:w="2763" w:type="dxa"/>
            <w:vAlign w:val="center"/>
          </w:tcPr>
          <w:p w14:paraId="2DD86431"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وتمثل مصادر ذات أهمية للحصول على البيانات والمعلومات والمؤشرات والتقارير المتعلقة بالخدمات البيئية</w:t>
            </w:r>
          </w:p>
        </w:tc>
      </w:tr>
      <w:tr w:rsidR="0048002A" w:rsidRPr="005D59A7" w14:paraId="64D31E0A" w14:textId="77777777" w:rsidTr="00463130">
        <w:tc>
          <w:tcPr>
            <w:tcW w:w="2230" w:type="dxa"/>
            <w:vAlign w:val="center"/>
          </w:tcPr>
          <w:p w14:paraId="4C5F230E"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الملخص التنفيذي للإستراتيجية الوطنية للبيئة</w:t>
            </w:r>
          </w:p>
        </w:tc>
        <w:tc>
          <w:tcPr>
            <w:tcW w:w="2837" w:type="dxa"/>
            <w:vAlign w:val="center"/>
          </w:tcPr>
          <w:p w14:paraId="78D09B7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تقرير شامل قامت بإصداره وزارة البيئة والمياه والزراعة عام 2018</w:t>
            </w:r>
          </w:p>
        </w:tc>
        <w:tc>
          <w:tcPr>
            <w:tcW w:w="2763" w:type="dxa"/>
            <w:vAlign w:val="center"/>
          </w:tcPr>
          <w:p w14:paraId="75E8F3BA"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يشمل الإطار المؤسسي النظري والتنفيذي لإعادة هيكلة قطاع البيئة شاملاً تحليل الفجوة الحالية والدراسات المرجعية الإقليمية والدولية والمبادرات والمشاريع وغيرها.</w:t>
            </w:r>
          </w:p>
          <w:p w14:paraId="04DB1C23" w14:textId="77777777" w:rsidR="00C146B6" w:rsidRPr="005D59A7" w:rsidRDefault="00C146B6" w:rsidP="00410D73">
            <w:pPr>
              <w:pStyle w:val="ListParagraph"/>
              <w:bidi/>
              <w:ind w:left="0"/>
              <w:jc w:val="center"/>
              <w:rPr>
                <w:rFonts w:ascii="T" w:hAnsi="T" w:cs="Simplified Arabic"/>
                <w:sz w:val="24"/>
                <w:szCs w:val="24"/>
                <w:shd w:val="clear" w:color="auto" w:fill="FFFFFF"/>
                <w:rtl/>
              </w:rPr>
            </w:pPr>
          </w:p>
        </w:tc>
      </w:tr>
      <w:tr w:rsidR="0048002A" w:rsidRPr="005D59A7" w14:paraId="4B33FD1D" w14:textId="77777777" w:rsidTr="00463130">
        <w:tc>
          <w:tcPr>
            <w:tcW w:w="2230" w:type="dxa"/>
            <w:vAlign w:val="center"/>
          </w:tcPr>
          <w:p w14:paraId="12344FBC"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دليل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تخطيط</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وتطوير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قطاع</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الشراكة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بين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القطاعين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العام</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والخاص،</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الصادر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عن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المركز</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الوطني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للتخصيص (</w:t>
            </w:r>
            <w:r w:rsidRPr="005D59A7">
              <w:rPr>
                <w:rFonts w:ascii="T" w:hAnsi="T" w:cs="Simplified Arabic"/>
                <w:sz w:val="24"/>
                <w:szCs w:val="24"/>
                <w:shd w:val="clear" w:color="auto" w:fill="FFFFFF"/>
              </w:rPr>
              <w:t>NCP</w:t>
            </w:r>
            <w:r w:rsidRPr="005D59A7">
              <w:rPr>
                <w:rFonts w:ascii="T" w:hAnsi="T" w:cs="Simplified Arabic"/>
                <w:sz w:val="24"/>
                <w:szCs w:val="24"/>
                <w:shd w:val="clear" w:color="auto" w:fill="FFFFFF"/>
                <w:rtl/>
              </w:rPr>
              <w:t>)</w:t>
            </w:r>
          </w:p>
        </w:tc>
        <w:tc>
          <w:tcPr>
            <w:tcW w:w="2837" w:type="dxa"/>
            <w:vAlign w:val="center"/>
          </w:tcPr>
          <w:p w14:paraId="7BE39A90"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دليل يشمل الأطر التنفيذية لإجراءات بناء الشراكة مع القطاع الخاص في الجهات القطاعية بالمملكة والصادر من المركز الوطني للتخصيص عام 2022</w:t>
            </w:r>
          </w:p>
        </w:tc>
        <w:tc>
          <w:tcPr>
            <w:tcW w:w="2763" w:type="dxa"/>
            <w:vAlign w:val="center"/>
          </w:tcPr>
          <w:p w14:paraId="65AD7A26"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الإطار التنظيمي والإجرائي للشراكات بين القطاعين العام والخاص في المملكة.</w:t>
            </w:r>
          </w:p>
        </w:tc>
      </w:tr>
      <w:tr w:rsidR="0048002A" w:rsidRPr="005D59A7" w14:paraId="42DAFC62" w14:textId="77777777" w:rsidTr="00463130">
        <w:tc>
          <w:tcPr>
            <w:tcW w:w="2230" w:type="dxa"/>
            <w:vAlign w:val="center"/>
          </w:tcPr>
          <w:p w14:paraId="24821E4C"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برنامج</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العمل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البيئي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في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المملكة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العربية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السعودية (</w:t>
            </w:r>
            <w:r w:rsidRPr="005D59A7">
              <w:rPr>
                <w:rFonts w:ascii="T" w:hAnsi="T" w:cs="Simplified Arabic"/>
                <w:sz w:val="24"/>
                <w:szCs w:val="24"/>
                <w:shd w:val="clear" w:color="auto" w:fill="FFFFFF"/>
              </w:rPr>
              <w:t>SAEP</w:t>
            </w:r>
            <w:r w:rsidRPr="005D59A7">
              <w:rPr>
                <w:rFonts w:ascii="T" w:hAnsi="T" w:cs="Simplified Arabic"/>
                <w:sz w:val="24"/>
                <w:szCs w:val="24"/>
                <w:shd w:val="clear" w:color="auto" w:fill="FFFFFF"/>
                <w:rtl/>
              </w:rPr>
              <w:t>)</w:t>
            </w:r>
          </w:p>
        </w:tc>
        <w:tc>
          <w:tcPr>
            <w:tcW w:w="2837" w:type="dxa"/>
            <w:vAlign w:val="center"/>
          </w:tcPr>
          <w:p w14:paraId="2ED11E81" w14:textId="16E4D66C"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تقرير يشمل تكلفة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التدهور</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البيئي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في</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عام 2014 والصادر من</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البنك</w:t>
            </w:r>
            <w:r w:rsidRPr="005D59A7">
              <w:rPr>
                <w:rFonts w:ascii="T" w:hAnsi="T" w:cs="Simplified Arabic"/>
                <w:sz w:val="24"/>
                <w:szCs w:val="24"/>
                <w:shd w:val="clear" w:color="auto" w:fill="FFFFFF"/>
              </w:rPr>
              <w:t xml:space="preserve"> </w:t>
            </w:r>
            <w:r w:rsidR="00861DC2" w:rsidRPr="005D59A7">
              <w:rPr>
                <w:rFonts w:ascii="T" w:hAnsi="T" w:cs="Simplified Arabic"/>
                <w:sz w:val="24"/>
                <w:szCs w:val="24"/>
                <w:shd w:val="clear" w:color="auto" w:fill="FFFFFF"/>
                <w:rtl/>
              </w:rPr>
              <w:t>الدول قسم</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الممارسات</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العالمية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للبيئة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والموارد</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الطبيعية في 2016 والمختص</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بمنطقة</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الشرق</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الأوسط</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lastRenderedPageBreak/>
              <w:t>وشمال</w:t>
            </w:r>
            <w:r w:rsidRPr="005D59A7">
              <w:rPr>
                <w:rFonts w:ascii="T" w:hAnsi="T" w:cs="Simplified Arabic"/>
                <w:sz w:val="24"/>
                <w:szCs w:val="24"/>
                <w:shd w:val="clear" w:color="auto" w:fill="FFFFFF"/>
              </w:rPr>
              <w:t xml:space="preserve"> </w:t>
            </w:r>
            <w:r w:rsidRPr="005D59A7">
              <w:rPr>
                <w:rFonts w:ascii="T" w:hAnsi="T" w:cs="Simplified Arabic"/>
                <w:sz w:val="24"/>
                <w:szCs w:val="24"/>
                <w:shd w:val="clear" w:color="auto" w:fill="FFFFFF"/>
                <w:rtl/>
              </w:rPr>
              <w:t>أفريقيا</w:t>
            </w:r>
          </w:p>
        </w:tc>
        <w:tc>
          <w:tcPr>
            <w:tcW w:w="2763" w:type="dxa"/>
            <w:vAlign w:val="center"/>
          </w:tcPr>
          <w:p w14:paraId="278C0CFD" w14:textId="77777777" w:rsidR="00177E64" w:rsidRPr="005D59A7" w:rsidRDefault="00177E6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 xml:space="preserve">الأرقام والمعلومات الخاصة بتكاليف التدهور البيئي في المملكة قبل إنشاء المراكز وإطلاق الإستراتيجية الوطنية للبيئة. وتعد معلومات هامة لتقييم الفجوة التي </w:t>
            </w:r>
            <w:r w:rsidRPr="005D59A7">
              <w:rPr>
                <w:rFonts w:ascii="T" w:hAnsi="T" w:cs="Simplified Arabic"/>
                <w:sz w:val="24"/>
                <w:szCs w:val="24"/>
                <w:shd w:val="clear" w:color="auto" w:fill="FFFFFF"/>
                <w:rtl/>
              </w:rPr>
              <w:lastRenderedPageBreak/>
              <w:t>تستهدفها الدراسة</w:t>
            </w:r>
          </w:p>
        </w:tc>
      </w:tr>
      <w:tr w:rsidR="0048002A" w:rsidRPr="005D59A7" w14:paraId="7E726447" w14:textId="77777777" w:rsidTr="00463130">
        <w:tc>
          <w:tcPr>
            <w:tcW w:w="2230" w:type="dxa"/>
            <w:vAlign w:val="center"/>
          </w:tcPr>
          <w:p w14:paraId="66111776"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اللجنة الإشرافية</w:t>
            </w:r>
          </w:p>
        </w:tc>
        <w:tc>
          <w:tcPr>
            <w:tcW w:w="2837" w:type="dxa"/>
            <w:vAlign w:val="center"/>
          </w:tcPr>
          <w:p w14:paraId="38BDFE3B"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هي اللجنة التي تم اعتمادها لمشاريع تخصيص قطاع البيئة وتشمل وزير البيئة والمياه والزراعة والرئيس التنفيذي للمركز الوطني للتخصيص والرؤساء التنفيذيين للمراكز الوطنية البيئية الخمسة</w:t>
            </w:r>
          </w:p>
        </w:tc>
        <w:tc>
          <w:tcPr>
            <w:tcW w:w="2763" w:type="dxa"/>
            <w:vAlign w:val="center"/>
          </w:tcPr>
          <w:p w14:paraId="6BCEFAA4" w14:textId="77777777" w:rsidR="00EB4354" w:rsidRPr="005D59A7" w:rsidRDefault="00EB4354" w:rsidP="00410D73">
            <w:pPr>
              <w:pStyle w:val="ListParagraph"/>
              <w:bidi/>
              <w:ind w:left="0"/>
              <w:jc w:val="center"/>
              <w:rPr>
                <w:rFonts w:ascii="T" w:hAnsi="T" w:cs="Simplified Arabic"/>
                <w:sz w:val="24"/>
                <w:szCs w:val="24"/>
                <w:shd w:val="clear" w:color="auto" w:fill="FFFFFF"/>
                <w:rtl/>
              </w:rPr>
            </w:pPr>
            <w:r w:rsidRPr="005D59A7">
              <w:rPr>
                <w:rFonts w:ascii="T" w:hAnsi="T" w:cs="Simplified Arabic"/>
                <w:sz w:val="24"/>
                <w:szCs w:val="24"/>
                <w:shd w:val="clear" w:color="auto" w:fill="FFFFFF"/>
                <w:rtl/>
              </w:rPr>
              <w:t>مادة علمية مقدمة للجنة تشمل مقترح ومبادرة تخصيص التفتيش البيئي وتتبعها عدد من المواد العلمية المتعلقة مثل دراسات الجدوى وغيرها من المعلومات</w:t>
            </w:r>
          </w:p>
        </w:tc>
      </w:tr>
    </w:tbl>
    <w:p w14:paraId="057DFDFE" w14:textId="11C18907" w:rsidR="007F4785" w:rsidRPr="005D59A7" w:rsidRDefault="007F4785" w:rsidP="00DF52A6">
      <w:pPr>
        <w:pStyle w:val="Caption"/>
        <w:keepNext/>
        <w:bidi/>
        <w:ind w:firstLine="720"/>
        <w:jc w:val="center"/>
        <w:rPr>
          <w:rFonts w:ascii="T" w:hAnsi="T" w:cs="Simplified Arabic"/>
          <w:color w:val="auto"/>
          <w:sz w:val="24"/>
          <w:szCs w:val="24"/>
        </w:rPr>
      </w:pPr>
      <w:bookmarkStart w:id="19" w:name="_Toc225991174"/>
      <w:r w:rsidRPr="005D59A7">
        <w:rPr>
          <w:rFonts w:ascii="T" w:hAnsi="T" w:cs="Simplified Arabic"/>
          <w:color w:val="auto"/>
          <w:sz w:val="24"/>
          <w:szCs w:val="24"/>
        </w:rPr>
        <w:t xml:space="preserve">Table </w:t>
      </w:r>
      <w:r w:rsidR="00FD30BF" w:rsidRPr="005D59A7">
        <w:rPr>
          <w:rFonts w:ascii="T" w:hAnsi="T" w:cs="Simplified Arabic"/>
          <w:color w:val="auto"/>
          <w:sz w:val="24"/>
          <w:szCs w:val="24"/>
        </w:rPr>
        <w:fldChar w:fldCharType="begin"/>
      </w:r>
      <w:r w:rsidRPr="005D59A7">
        <w:rPr>
          <w:rFonts w:ascii="T" w:hAnsi="T" w:cs="Simplified Arabic"/>
          <w:color w:val="auto"/>
          <w:sz w:val="24"/>
          <w:szCs w:val="24"/>
        </w:rPr>
        <w:instrText xml:space="preserve"> SEQ Table \* ARABIC </w:instrText>
      </w:r>
      <w:r w:rsidR="00FD30BF" w:rsidRPr="005D59A7">
        <w:rPr>
          <w:rFonts w:ascii="T" w:hAnsi="T" w:cs="Simplified Arabic"/>
          <w:color w:val="auto"/>
          <w:sz w:val="24"/>
          <w:szCs w:val="24"/>
        </w:rPr>
        <w:fldChar w:fldCharType="separate"/>
      </w:r>
      <w:r w:rsidR="00C14A6F" w:rsidRPr="005D59A7">
        <w:rPr>
          <w:rFonts w:ascii="T" w:hAnsi="T" w:cs="Simplified Arabic"/>
          <w:noProof/>
          <w:color w:val="auto"/>
          <w:sz w:val="24"/>
          <w:szCs w:val="24"/>
        </w:rPr>
        <w:t>2</w:t>
      </w:r>
      <w:r w:rsidR="00FD30BF" w:rsidRPr="005D59A7">
        <w:rPr>
          <w:rFonts w:ascii="T" w:hAnsi="T" w:cs="Simplified Arabic"/>
          <w:color w:val="auto"/>
          <w:sz w:val="24"/>
          <w:szCs w:val="24"/>
        </w:rPr>
        <w:fldChar w:fldCharType="end"/>
      </w:r>
      <w:r w:rsidRPr="005D59A7">
        <w:rPr>
          <w:rFonts w:ascii="T" w:hAnsi="T" w:cs="Simplified Arabic"/>
          <w:noProof/>
          <w:color w:val="auto"/>
          <w:sz w:val="24"/>
          <w:szCs w:val="24"/>
          <w:rtl/>
        </w:rPr>
        <w:t>: الدراسات المرجعية المختارة</w:t>
      </w:r>
      <w:bookmarkEnd w:id="19"/>
    </w:p>
    <w:p w14:paraId="4D85B909" w14:textId="77777777" w:rsidR="00E4150D" w:rsidRPr="005D59A7" w:rsidRDefault="00CC208F" w:rsidP="00861DC2">
      <w:pPr>
        <w:pStyle w:val="Heading1"/>
        <w:bidi/>
        <w:spacing w:line="360" w:lineRule="auto"/>
        <w:rPr>
          <w:rFonts w:ascii="T" w:eastAsia="Times New Roman" w:hAnsi="T" w:cs="Simplified Arabic"/>
          <w:b/>
          <w:bCs/>
          <w:color w:val="auto"/>
          <w:sz w:val="24"/>
          <w:szCs w:val="24"/>
          <w:rtl/>
        </w:rPr>
      </w:pPr>
      <w:bookmarkStart w:id="20" w:name="_Toc225991335"/>
      <w:r w:rsidRPr="005D59A7">
        <w:rPr>
          <w:rFonts w:ascii="T" w:eastAsia="Times New Roman" w:hAnsi="T" w:cs="Simplified Arabic"/>
          <w:b/>
          <w:bCs/>
          <w:color w:val="auto"/>
          <w:sz w:val="24"/>
          <w:szCs w:val="24"/>
          <w:rtl/>
        </w:rPr>
        <w:t>حدود الدراسة:</w:t>
      </w:r>
      <w:bookmarkEnd w:id="20"/>
    </w:p>
    <w:p w14:paraId="77E9605D" w14:textId="77777777" w:rsidR="00FF0AED" w:rsidRPr="005D59A7" w:rsidRDefault="00FF0AED" w:rsidP="00861DC2">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تختص الدراسة بتقييم القطاع البيئي في المملكة العربية السعودية منذ انطلاق الرؤية وتقييم الهيكل التنظيمي له. وستركز الرسالة بشكل أدق على الموارد البشرية والمعلومات الأخرى الهامة الخاصة بخدمة التفتيش البيئي التي تم اختيارها لتطبيق نموذج شراكة مع القطاع الخاص لها. ويمكن تقسيم حدود الدراسة كالتالي</w:t>
      </w:r>
      <w:r w:rsidRPr="005D59A7">
        <w:rPr>
          <w:rFonts w:ascii="T" w:hAnsi="T" w:cs="Simplified Arabic"/>
          <w:sz w:val="24"/>
          <w:szCs w:val="24"/>
        </w:rPr>
        <w:t>:</w:t>
      </w:r>
    </w:p>
    <w:p w14:paraId="02E5CD71" w14:textId="77777777" w:rsidR="00FF0AED" w:rsidRPr="005D59A7" w:rsidRDefault="00FF0AED" w:rsidP="00861DC2">
      <w:pPr>
        <w:pStyle w:val="Heading2"/>
        <w:bidi/>
        <w:rPr>
          <w:rFonts w:ascii="T" w:hAnsi="T" w:cs="Simplified Arabic"/>
          <w:color w:val="auto"/>
          <w:sz w:val="24"/>
          <w:szCs w:val="24"/>
          <w:rtl/>
        </w:rPr>
      </w:pPr>
      <w:bookmarkStart w:id="21" w:name="_Toc225991336"/>
      <w:r w:rsidRPr="005D59A7">
        <w:rPr>
          <w:rFonts w:ascii="T" w:hAnsi="T" w:cs="Simplified Arabic"/>
          <w:color w:val="auto"/>
          <w:sz w:val="24"/>
          <w:szCs w:val="24"/>
          <w:rtl/>
        </w:rPr>
        <w:t>أولاً: الحدود المكانية</w:t>
      </w:r>
      <w:bookmarkEnd w:id="21"/>
    </w:p>
    <w:p w14:paraId="45071169" w14:textId="77777777" w:rsidR="00FF0AED" w:rsidRPr="005D59A7" w:rsidRDefault="00FF0AED" w:rsidP="00861DC2">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تقتصر الدراسة على التغطية الجغرافية التي تشملها خدمة التفتيش البيئي تحت إشراف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وهي كافة مناطق المملكة العربية السعودية (الرياض، مكة المكرمة، المدينة المنورة، الشرقية، عسير، تبوك، حائل، الحدود الشمالية، جازان، نجران، الباحة، الجوف، القصيم). ويتم اختيار عينة طبقية من المنشآت المشمولة بالتفتيش وفقاً لتصنيفها إلى ثلاث فئات رئيسية: المنشآت عالية الخطورة (مثل المصانع الكبرى والمنشآت البتروكيماوية)، والمنشآت متوسطة الخطورة (مثل المنشآت الصناعية المتوسطة والمرافق الخدمية)، والمنشآت منخفضة الخطورة (مثل المنشآت التجارية والمكاتب). ويهدف هذا التصنيف إلى ضمان تمثيل متوازن لجميع فئات المنشآت في التحليل، بما يعزز دقة النتائج وقابليتها للتعميم</w:t>
      </w:r>
      <w:r w:rsidRPr="005D59A7">
        <w:rPr>
          <w:rFonts w:ascii="T" w:hAnsi="T" w:cs="Simplified Arabic"/>
          <w:sz w:val="24"/>
          <w:szCs w:val="24"/>
        </w:rPr>
        <w:t>.</w:t>
      </w:r>
    </w:p>
    <w:p w14:paraId="4D5314A2" w14:textId="77777777" w:rsidR="00FF0AED" w:rsidRPr="005D59A7" w:rsidRDefault="00FF0AED" w:rsidP="00861DC2">
      <w:pPr>
        <w:pStyle w:val="Heading2"/>
        <w:bidi/>
        <w:rPr>
          <w:rFonts w:ascii="T" w:hAnsi="T" w:cs="Simplified Arabic"/>
          <w:color w:val="auto"/>
          <w:sz w:val="24"/>
          <w:szCs w:val="24"/>
          <w:rtl/>
        </w:rPr>
      </w:pPr>
      <w:bookmarkStart w:id="22" w:name="_Toc225991337"/>
      <w:r w:rsidRPr="005D59A7">
        <w:rPr>
          <w:rFonts w:ascii="T" w:hAnsi="T" w:cs="Simplified Arabic"/>
          <w:color w:val="auto"/>
          <w:sz w:val="24"/>
          <w:szCs w:val="24"/>
          <w:rtl/>
        </w:rPr>
        <w:t>ثانياً: الحدود الزمانية</w:t>
      </w:r>
      <w:bookmarkEnd w:id="22"/>
    </w:p>
    <w:p w14:paraId="074B6A2A"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تم جمع البيانات والمعلومات خلال الفترة 2019-2022، وتشمل دراسات ومعلومات تمتد من 2017 إلى 2022. وتعتمد الدراسة نافذة قياس محددة تتمثل في مقارنة أداء خدمة التفتيش البيئي بين فترتين: الفترة الأولى (2017-2019) التي تمثل مرحلة التوريد التقليدي بالكامل، والفترة الثانية (2020-2022) التي </w:t>
      </w:r>
      <w:r w:rsidRPr="005D59A7">
        <w:rPr>
          <w:rFonts w:ascii="T" w:hAnsi="T" w:cs="Simplified Arabic"/>
          <w:sz w:val="24"/>
          <w:szCs w:val="24"/>
          <w:rtl/>
        </w:rPr>
        <w:lastRenderedPageBreak/>
        <w:t>شهدت بداية التحول نحو نماذج تشغيلية مختلفة. ويهدف هذا التقسيم إلى إتاحة إمكانية قياس الفروق في مؤشرات الأداء الرئيسية (التكلفة التشغيلية، نسبة التغطية، نسبة المخالفات المرفوضة) بين النموذجين، مع تبرير اختيار الفترة الزمنية بناءً على توفر البيانات الرسمية من المركز الوطني للرقابة على الالتزام البيئي واستقرار الظروف التشغيلية خلال هذه الفترة</w:t>
      </w:r>
      <w:r w:rsidRPr="005D59A7">
        <w:rPr>
          <w:rFonts w:ascii="T" w:hAnsi="T" w:cs="Simplified Arabic"/>
          <w:sz w:val="24"/>
          <w:szCs w:val="24"/>
        </w:rPr>
        <w:t>.</w:t>
      </w:r>
    </w:p>
    <w:p w14:paraId="40807ADD" w14:textId="77777777" w:rsidR="00FF0AED" w:rsidRPr="005D59A7" w:rsidRDefault="00FF0AED" w:rsidP="00861DC2">
      <w:pPr>
        <w:pStyle w:val="Heading2"/>
        <w:bidi/>
        <w:rPr>
          <w:rFonts w:ascii="T" w:hAnsi="T" w:cs="Simplified Arabic"/>
          <w:color w:val="auto"/>
          <w:sz w:val="24"/>
          <w:szCs w:val="24"/>
          <w:rtl/>
        </w:rPr>
      </w:pPr>
      <w:bookmarkStart w:id="23" w:name="_Toc225991338"/>
      <w:r w:rsidRPr="005D59A7">
        <w:rPr>
          <w:rFonts w:ascii="T" w:hAnsi="T" w:cs="Simplified Arabic"/>
          <w:color w:val="auto"/>
          <w:sz w:val="24"/>
          <w:szCs w:val="24"/>
          <w:rtl/>
        </w:rPr>
        <w:t>ثالثاً: الحدود البشرية</w:t>
      </w:r>
      <w:bookmarkEnd w:id="23"/>
    </w:p>
    <w:p w14:paraId="1BF65A03"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تقتصر الدراسة على المفتشين البيئيين العاملين في خدمة التفتيش البيئي، وعناصر الموارد البشرية الأخرى ذات الصلة المباشرة بالخدمة (كالمشرفين، محللي البيانات، فرق الدعم الإداري). ويتم التركيز على تحليل كفاءة هيكل الموارد البشرية من حيث العدد، التوزيع الجغرافي، مؤهلات المفتشين، وهيكل الحوافز، بهدف تحديد الفجوات واقتراح التحسينات اللازمة لرفع كفاءة الخدمة وتحسين جودة المخرجات وتقليل التكاليف التشغيلية</w:t>
      </w:r>
      <w:r w:rsidRPr="005D59A7">
        <w:rPr>
          <w:rFonts w:ascii="T" w:hAnsi="T" w:cs="Simplified Arabic"/>
          <w:sz w:val="24"/>
          <w:szCs w:val="24"/>
        </w:rPr>
        <w:t>.</w:t>
      </w:r>
    </w:p>
    <w:p w14:paraId="5F1E10D1" w14:textId="77777777" w:rsidR="00FF0AED" w:rsidRPr="005D59A7" w:rsidRDefault="00FF0AED" w:rsidP="00DF0990">
      <w:pPr>
        <w:pStyle w:val="Heading2"/>
        <w:bidi/>
        <w:rPr>
          <w:rFonts w:ascii="T" w:hAnsi="T" w:cs="Simplified Arabic"/>
          <w:color w:val="auto"/>
          <w:sz w:val="24"/>
          <w:szCs w:val="24"/>
          <w:rtl/>
        </w:rPr>
      </w:pPr>
      <w:bookmarkStart w:id="24" w:name="_Toc225991339"/>
      <w:r w:rsidRPr="005D59A7">
        <w:rPr>
          <w:rFonts w:ascii="T" w:hAnsi="T" w:cs="Simplified Arabic"/>
          <w:color w:val="auto"/>
          <w:sz w:val="24"/>
          <w:szCs w:val="24"/>
          <w:rtl/>
        </w:rPr>
        <w:t>رابعاً: الحدود الموضوعية</w:t>
      </w:r>
      <w:bookmarkEnd w:id="24"/>
    </w:p>
    <w:p w14:paraId="1F781937"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يتم التعريج على إعادة هيكلة القطاع البيئي بشكل عام، مع الإشارة إلى المراكز الوطنية الأخرى (المركز الوطني لتنمية الغطاء النباتي، المركز الوطني لإدارة النفايات، المركز الوطني للأرصاد، المركز الوطني لتنمية الحياة الفطرية) بشكل موجز. غير أن الهدف الموضوعي الأساسي ينصب على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وتحديداً خدمة التفتيش البيئي، وذلك بسبب توفر الدراسات والبيانات المرتبطة بهذه الخدمة لدى الباحث، ولطبيعة هذه الخدمة كخدمة رقابية عالية الحساسية يمكن من خلالها اختبار نماذج الشراكة بين القطاعين العام والخاص في القطاع البيئي</w:t>
      </w:r>
      <w:r w:rsidRPr="005D59A7">
        <w:rPr>
          <w:rFonts w:ascii="T" w:hAnsi="T" w:cs="Simplified Arabic"/>
          <w:sz w:val="24"/>
          <w:szCs w:val="24"/>
        </w:rPr>
        <w:t>.</w:t>
      </w:r>
    </w:p>
    <w:p w14:paraId="72E9661D"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يتم استبعاد ما يلي من نطاق الدراسة</w:t>
      </w:r>
      <w:r w:rsidRPr="005D59A7">
        <w:rPr>
          <w:rFonts w:ascii="T" w:hAnsi="T" w:cs="Simplified Arabic"/>
          <w:sz w:val="24"/>
          <w:szCs w:val="24"/>
        </w:rPr>
        <w:t>:</w:t>
      </w:r>
    </w:p>
    <w:p w14:paraId="2488AFB1"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الخدمات البيئية الأخرى التي تقدمها المراكز الوطنية الأخرى (مثل خدمات التشجير، إدارة النفايات، الرصد الجوي، حماية المحميات الطبيعية)، وذلك لاختلاف طبيعتها التشغيلية وآليات الشراكة المناسبة لها، ولعدم توفر بيانات كمية موثقة مماثلة لتلك المتوفرة لخدمة التفتيش البيئي</w:t>
      </w:r>
      <w:r w:rsidRPr="005D59A7">
        <w:rPr>
          <w:rFonts w:ascii="T" w:hAnsi="T" w:cs="Simplified Arabic"/>
          <w:sz w:val="24"/>
          <w:szCs w:val="24"/>
        </w:rPr>
        <w:t>.</w:t>
      </w:r>
    </w:p>
    <w:p w14:paraId="768CA722"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عمليات التفتيش ذات الطبيعة الخاصة أو العالية الحساسية التي تتطلب تدخلاً مباشراً من الجهات الأمنية أو ذات الطابع السري، حيث تختلف آليات إدارتها وتوزيع المخاطر فيها عن عمليات التفتيش الروتينية</w:t>
      </w:r>
      <w:r w:rsidRPr="005D59A7">
        <w:rPr>
          <w:rFonts w:ascii="T" w:hAnsi="T" w:cs="Simplified Arabic"/>
          <w:sz w:val="24"/>
          <w:szCs w:val="24"/>
        </w:rPr>
        <w:t>.</w:t>
      </w:r>
    </w:p>
    <w:p w14:paraId="2155DA7F"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المنشآت التي لم تُسجل في قاعدة بيانات المركز الوطني للرقابة على الالتزام البيئي خلال الفترة الزمنية للدراسة، حيث لا تتوفر عنها بيانات موثقة يمكن الاعتماد عليها في التحليل</w:t>
      </w:r>
      <w:r w:rsidRPr="005D59A7">
        <w:rPr>
          <w:rFonts w:ascii="T" w:hAnsi="T" w:cs="Simplified Arabic"/>
          <w:sz w:val="24"/>
          <w:szCs w:val="24"/>
        </w:rPr>
        <w:t>.</w:t>
      </w:r>
    </w:p>
    <w:p w14:paraId="60DE4529" w14:textId="77777777"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الجوانب الفنية البحتة لأنظمة التفتيش البيئي (مثل معايير القياس والاختبارات المعملية)، حيث تركز الدراسة على الجوانب التشغيلية والإدارية والمالية للخدمة</w:t>
      </w:r>
      <w:r w:rsidRPr="005D59A7">
        <w:rPr>
          <w:rFonts w:ascii="T" w:hAnsi="T" w:cs="Simplified Arabic"/>
          <w:sz w:val="24"/>
          <w:szCs w:val="24"/>
        </w:rPr>
        <w:t>.</w:t>
      </w:r>
    </w:p>
    <w:p w14:paraId="687FCB34" w14:textId="09A37B8F" w:rsidR="00FF0AED" w:rsidRPr="005D59A7" w:rsidRDefault="00FF0A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يترتب على استبعاد هذه العناصر أن نتائج الدراسة تكون قابلة للتعميم على خدمة التفتيش البيئي الروتيني للمنشآت المسجلة ضمن قاعدة بيانات المركز الوطني للرقابة على الالتزام البيئي. أما تعميم النتائج على خدمات بيئية أخرى أو على عمليات التفتيش عالية المخاطر أو الخاصة، فيتطلب دراسات إضافية تأخذ في الاعتبار الخصائص المختلفة لكل خدمة أو نوع تفتيش</w:t>
      </w:r>
      <w:r w:rsidRPr="005D59A7">
        <w:rPr>
          <w:rFonts w:ascii="T" w:hAnsi="T" w:cs="Simplified Arabic"/>
          <w:sz w:val="24"/>
          <w:szCs w:val="24"/>
        </w:rPr>
        <w:t>.</w:t>
      </w:r>
    </w:p>
    <w:p w14:paraId="2C41608C" w14:textId="77777777" w:rsidR="00E4150D" w:rsidRPr="005D59A7" w:rsidRDefault="00E4150D" w:rsidP="00DF0990">
      <w:pPr>
        <w:pStyle w:val="Heading1"/>
        <w:bidi/>
        <w:spacing w:line="360" w:lineRule="auto"/>
        <w:rPr>
          <w:rFonts w:ascii="T" w:eastAsia="Times New Roman" w:hAnsi="T" w:cs="Simplified Arabic"/>
          <w:b/>
          <w:bCs/>
          <w:color w:val="auto"/>
          <w:sz w:val="24"/>
          <w:szCs w:val="24"/>
          <w:rtl/>
        </w:rPr>
      </w:pPr>
      <w:bookmarkStart w:id="25" w:name="_Toc225991340"/>
      <w:r w:rsidRPr="005D59A7">
        <w:rPr>
          <w:rFonts w:ascii="T" w:eastAsia="Times New Roman" w:hAnsi="T" w:cs="Simplified Arabic"/>
          <w:b/>
          <w:bCs/>
          <w:color w:val="auto"/>
          <w:sz w:val="24"/>
          <w:szCs w:val="24"/>
          <w:rtl/>
        </w:rPr>
        <w:t>إجراءات</w:t>
      </w:r>
      <w:r w:rsidR="00E1181E" w:rsidRPr="005D59A7">
        <w:rPr>
          <w:rFonts w:ascii="T" w:eastAsia="Times New Roman" w:hAnsi="T" w:cs="Simplified Arabic"/>
          <w:b/>
          <w:bCs/>
          <w:color w:val="auto"/>
          <w:sz w:val="24"/>
          <w:szCs w:val="24"/>
          <w:rtl/>
        </w:rPr>
        <w:t xml:space="preserve"> ومنهجية</w:t>
      </w:r>
      <w:r w:rsidRPr="005D59A7">
        <w:rPr>
          <w:rFonts w:ascii="T" w:eastAsia="Times New Roman" w:hAnsi="T" w:cs="Simplified Arabic"/>
          <w:b/>
          <w:bCs/>
          <w:color w:val="auto"/>
          <w:sz w:val="24"/>
          <w:szCs w:val="24"/>
          <w:rtl/>
        </w:rPr>
        <w:t xml:space="preserve"> الدراسة:</w:t>
      </w:r>
      <w:bookmarkEnd w:id="25"/>
    </w:p>
    <w:p w14:paraId="6321A004" w14:textId="77777777" w:rsidR="003530A3" w:rsidRPr="005D59A7" w:rsidRDefault="003530A3" w:rsidP="00DF0990">
      <w:pPr>
        <w:pStyle w:val="Heading2"/>
        <w:bidi/>
        <w:rPr>
          <w:rFonts w:ascii="T" w:hAnsi="T" w:cs="Simplified Arabic"/>
          <w:color w:val="auto"/>
          <w:sz w:val="24"/>
          <w:szCs w:val="24"/>
          <w:rtl/>
        </w:rPr>
      </w:pPr>
      <w:bookmarkStart w:id="26" w:name="_Toc225991341"/>
      <w:r w:rsidRPr="005D59A7">
        <w:rPr>
          <w:rFonts w:ascii="T" w:hAnsi="T" w:cs="Simplified Arabic"/>
          <w:color w:val="auto"/>
          <w:sz w:val="24"/>
          <w:szCs w:val="24"/>
          <w:rtl/>
        </w:rPr>
        <w:t>مجتمع وعينة الدراسة:</w:t>
      </w:r>
      <w:bookmarkEnd w:id="26"/>
    </w:p>
    <w:p w14:paraId="1C04AC65" w14:textId="77777777" w:rsidR="003530A3" w:rsidRPr="005D59A7" w:rsidRDefault="003530A3"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بحكم اختصاص الدراسة بعرض نموذج مقترح للشراكة مع القطاع الخاص في تقديم خدمة التفتيش البيئي، وهي خدمة مدرجة تحت القطاع البيئي بالمملكة، عليه، تعد الجهات المتمثلة في القطاع وعددها 7 وهي وزارة البيئة والمياه والزراعة والمركز الوطني للرقابة على الالتزام البيئي والمركز الوطني لتنمية الغطاء النباتي ومكافحة التصحر والمركز الوطني لتنمية الحياة الفطرية والمركز الوطني للأرصاد والمركز الوطني لإدارة النفايات وصندوق البيئة العينة الشاملة لمجتمع الدراسة. ويعد مجتمع الدراسة الدقيق هو الخدمات البيئية التي تقدمها هذه الجهات، بالإضافة إلى الجهة المعنية بالشراكات وبرامج التخصيص وهي المركز الوطني للتخصيص.</w:t>
      </w:r>
    </w:p>
    <w:p w14:paraId="7A566A97" w14:textId="77777777" w:rsidR="00646FBB" w:rsidRPr="005D59A7" w:rsidRDefault="003530A3" w:rsidP="00861DC2">
      <w:pPr>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بينما تعد عينة الدراسة هي الخدمة البيئية التي تم اختيارها لعمل نموذج شراكة بين القطاعين العام والخاص لها وهي خدمة التفتيش البيئي. ويشمل النموذج إعداد دراسة جدوى شاملة تشمل التكاليف التشغيلية والرأس مالية وعدد الموظفين وساعات العمل وتحليل المدخلات والمخرجات وحساب الرسوم والعوائد إن </w:t>
      </w:r>
      <w:r w:rsidRPr="005D59A7">
        <w:rPr>
          <w:rFonts w:ascii="T" w:hAnsi="T" w:cs="Simplified Arabic"/>
          <w:sz w:val="24"/>
          <w:szCs w:val="24"/>
          <w:shd w:val="clear" w:color="auto" w:fill="FFFFFF"/>
          <w:rtl/>
        </w:rPr>
        <w:lastRenderedPageBreak/>
        <w:t>وجدت وغيرها من العناصر. ويكون الهدف الرئيسي هو خلق نموذج تشغيلي إداري لخدمة بيئية لمشاركة القطاع الخاص بها من شأنه إيجاد عوائد للجهة المعنية أو تقليل التكاليف التشغيلية أو ميزانية الجهة، بالإضافة إلى رفع جودة المخرجات وخلق سوق عمل جديد يوفر الوظائف والفرص. وكما تم الذكر مسبقاً، يعد التفتيش البيئي هو الخيار الأمثل كخدمة بيئية مستهدفة</w:t>
      </w:r>
      <w:r w:rsidR="005A3D0B" w:rsidRPr="005D59A7">
        <w:rPr>
          <w:rFonts w:ascii="T" w:hAnsi="T" w:cs="Simplified Arabic"/>
          <w:sz w:val="24"/>
          <w:szCs w:val="24"/>
          <w:shd w:val="clear" w:color="auto" w:fill="FFFFFF"/>
          <w:rtl/>
        </w:rPr>
        <w:t xml:space="preserve"> ويعود ذلك إلى وجود دراسات سابقة لدى المراجع والمصادر التي يعتمد عليها الباحث.</w:t>
      </w:r>
    </w:p>
    <w:p w14:paraId="60442322" w14:textId="77777777" w:rsidR="00167E73" w:rsidRPr="005D59A7" w:rsidRDefault="00167E73" w:rsidP="00DF0990">
      <w:pPr>
        <w:pStyle w:val="Heading2"/>
        <w:bidi/>
        <w:rPr>
          <w:rFonts w:ascii="T" w:hAnsi="T" w:cs="Simplified Arabic"/>
          <w:color w:val="auto"/>
          <w:sz w:val="24"/>
          <w:szCs w:val="24"/>
          <w:rtl/>
        </w:rPr>
      </w:pPr>
      <w:bookmarkStart w:id="27" w:name="_Toc225991342"/>
      <w:r w:rsidRPr="005D59A7">
        <w:rPr>
          <w:rFonts w:ascii="T" w:hAnsi="T" w:cs="Simplified Arabic"/>
          <w:color w:val="auto"/>
          <w:sz w:val="24"/>
          <w:szCs w:val="24"/>
          <w:rtl/>
        </w:rPr>
        <w:t>وسائل جمع بيانات الدراسة</w:t>
      </w:r>
      <w:bookmarkEnd w:id="27"/>
    </w:p>
    <w:p w14:paraId="3104A7FE" w14:textId="77777777" w:rsidR="005E3641" w:rsidRPr="005D59A7" w:rsidRDefault="005956A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المصادر الحكومية المتعلقة بالدراسة، المنصات الإلكترونية للجهات المختصة، والبيانات الثانوية عبر الإنترنت، والبيانات المتعلقة بالمراجع الخاصة بالباحث. بالإضافة إلى البيانات الدقيقة التي قد يتطلبها البحث عند الحاجة وحسب المعلومات المطلوبة والمقابلات الشخصية مع الأشخاص والجهات ذوي العلاقة والمتمثلة على وجه الخصوص في البيانات التي يقدمها المركز الوطني للرقابة على الالتزام البيئي وذلك كونه الجهة المسؤولة عن تقديم خدمة التفتيش البيئي والجهة الرقابية التنفيذية على المراكز الأخرى والتابعة لقطاع البيئة ككل.</w:t>
      </w:r>
      <w:r w:rsidR="005E3641" w:rsidRPr="005D59A7">
        <w:rPr>
          <w:rFonts w:ascii="T" w:hAnsi="T" w:cs="Simplified Arabic"/>
          <w:sz w:val="24"/>
          <w:szCs w:val="24"/>
          <w:shd w:val="clear" w:color="auto" w:fill="FFFFFF"/>
          <w:rtl/>
        </w:rPr>
        <w:t xml:space="preserve"> عليه، فإن كافة الحسابات والدراسات المطلوبة للنموذج المقترح تدخل ضمن نطاق المعالجات الإحصائية المقترحة مثل عدد العاملين وساعات العمل والتكاليف التشغيلية والرأس مالية والأجهزة والمعدات ودراسات الجدوى لفرض رسوم تشغيلية وغيرها.</w:t>
      </w:r>
    </w:p>
    <w:p w14:paraId="0F8EF319" w14:textId="77777777" w:rsidR="00D11980" w:rsidRPr="005D59A7" w:rsidRDefault="00D11980" w:rsidP="008A5ED9">
      <w:pPr>
        <w:pStyle w:val="Heading2"/>
        <w:bidi/>
        <w:rPr>
          <w:rFonts w:ascii="T" w:hAnsi="T" w:cs="Simplified Arabic"/>
          <w:color w:val="auto"/>
          <w:sz w:val="24"/>
          <w:szCs w:val="24"/>
          <w:shd w:val="clear" w:color="auto" w:fill="FFFFFF"/>
          <w:rtl/>
        </w:rPr>
      </w:pPr>
      <w:bookmarkStart w:id="28" w:name="_Toc225991343"/>
      <w:r w:rsidRPr="005D59A7">
        <w:rPr>
          <w:rFonts w:ascii="T" w:hAnsi="T" w:cs="Simplified Arabic"/>
          <w:color w:val="auto"/>
          <w:sz w:val="24"/>
          <w:szCs w:val="24"/>
          <w:shd w:val="clear" w:color="auto" w:fill="FFFFFF"/>
          <w:rtl/>
        </w:rPr>
        <w:t>إطار التحليل</w:t>
      </w:r>
      <w:bookmarkEnd w:id="28"/>
    </w:p>
    <w:p w14:paraId="7A10CE4F" w14:textId="0D85481B" w:rsidR="000D1D88" w:rsidRPr="005D59A7" w:rsidRDefault="00D11980"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بحكم اعتماد الدراسة على عرض بيانات ومعلومات متعلقة بدراسة جدوى لمشاركة القطاع الخاص لخدمة التفتيش البيئي، فإن التحليل يعد تحليل المنافع والتكاليف حيث يتم جمع كافة المعلومات المتعلقة بالخدمة مثل عدد الموظفين وعدد المخالفات البيئية المرصودة وعدد الزيارات التفتيشية ومتوسط رواتب المفتشين وعدد المنشآت وتصنيفها وغيرها من المعلومات المتعلقة بحساب التكلفة التشغيلية للخدمة على عاتق القطاع العام ومن ثم بحث سبل تحديد تكلفة رمزية للخدمة يتم من خلالها إشراك القطاع الخاص لتوفير أعداد أكبر من المفتشين ورفع جودة الرقابة والمخرجات. </w:t>
      </w:r>
    </w:p>
    <w:p w14:paraId="6F95A14F" w14:textId="5CFC793E"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29" w:name="_Toc225991344"/>
      <w:r w:rsidRPr="005D59A7">
        <w:rPr>
          <w:rFonts w:ascii="T" w:hAnsi="T" w:cs="Simplified Arabic"/>
          <w:color w:val="auto"/>
          <w:sz w:val="24"/>
          <w:szCs w:val="24"/>
          <w:shd w:val="clear" w:color="auto" w:fill="FFFFFF"/>
          <w:rtl/>
        </w:rPr>
        <w:t>أدوات التحليل المالي ومعايير اتخاذ القرار</w:t>
      </w:r>
      <w:bookmarkEnd w:id="29"/>
    </w:p>
    <w:p w14:paraId="57264D18"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لتقييم الجدوى المالية للنموذج المقترح، سيتم الاعتماد على المقاييس المالية القياسية التالية</w:t>
      </w:r>
      <w:r w:rsidRPr="005D59A7">
        <w:rPr>
          <w:rFonts w:ascii="T" w:hAnsi="T" w:cs="Simplified Arabic"/>
          <w:sz w:val="24"/>
          <w:szCs w:val="24"/>
          <w:shd w:val="clear" w:color="auto" w:fill="FFFFFF"/>
        </w:rPr>
        <w:t>:</w:t>
      </w:r>
    </w:p>
    <w:p w14:paraId="0937F003"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يتم حساب صافي القيمة الحالية</w:t>
      </w:r>
      <w:r w:rsidRPr="005D59A7">
        <w:rPr>
          <w:rFonts w:ascii="T" w:hAnsi="T" w:cs="Simplified Arabic"/>
          <w:sz w:val="24"/>
          <w:szCs w:val="24"/>
          <w:shd w:val="clear" w:color="auto" w:fill="FFFFFF"/>
        </w:rPr>
        <w:t xml:space="preserve"> (Net Present Value - NPV) </w:t>
      </w:r>
      <w:r w:rsidRPr="005D59A7">
        <w:rPr>
          <w:rFonts w:ascii="T" w:hAnsi="T" w:cs="Simplified Arabic"/>
          <w:sz w:val="24"/>
          <w:szCs w:val="24"/>
          <w:shd w:val="clear" w:color="auto" w:fill="FFFFFF"/>
          <w:rtl/>
        </w:rPr>
        <w:t>كمجموع القيم الحالية للتدفقات النقدية المستقبلية مطروحاً منها الاستثمار الأولي، ويتم قبول النموذج إذا كانت قيمة</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أكبر من الصفر، مما يعني أن العوائد المتوقعة تفوق التكاليف الاستثمارية</w:t>
      </w:r>
      <w:r w:rsidRPr="005D59A7">
        <w:rPr>
          <w:rFonts w:ascii="T" w:hAnsi="T" w:cs="Simplified Arabic"/>
          <w:sz w:val="24"/>
          <w:szCs w:val="24"/>
          <w:shd w:val="clear" w:color="auto" w:fill="FFFFFF"/>
        </w:rPr>
        <w:t>.</w:t>
      </w:r>
    </w:p>
    <w:p w14:paraId="7ACE542C"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أما معدل العائد الداخلي</w:t>
      </w:r>
      <w:r w:rsidRPr="005D59A7">
        <w:rPr>
          <w:rFonts w:ascii="T" w:hAnsi="T" w:cs="Simplified Arabic"/>
          <w:sz w:val="24"/>
          <w:szCs w:val="24"/>
          <w:shd w:val="clear" w:color="auto" w:fill="FFFFFF"/>
        </w:rPr>
        <w:t xml:space="preserve"> (Internal Rate of Return - IRR) </w:t>
      </w:r>
      <w:r w:rsidRPr="005D59A7">
        <w:rPr>
          <w:rFonts w:ascii="T" w:hAnsi="T" w:cs="Simplified Arabic"/>
          <w:sz w:val="24"/>
          <w:szCs w:val="24"/>
          <w:shd w:val="clear" w:color="auto" w:fill="FFFFFF"/>
          <w:rtl/>
        </w:rPr>
        <w:t>فهو معدل الخصم الذي يجعل صافي القيمة الحالية يساوي صفراً، ويتم قبول النموذج إذا كان</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أكبر من تكلفة رأس المال المقدرة بـ 8-10%، وهو ما يشير إلى أن العائد على الاستثمار يفوق تكلفة التمويل</w:t>
      </w:r>
      <w:r w:rsidRPr="005D59A7">
        <w:rPr>
          <w:rFonts w:ascii="T" w:hAnsi="T" w:cs="Simplified Arabic"/>
          <w:sz w:val="24"/>
          <w:szCs w:val="24"/>
          <w:shd w:val="clear" w:color="auto" w:fill="FFFFFF"/>
        </w:rPr>
        <w:t>.</w:t>
      </w:r>
    </w:p>
    <w:p w14:paraId="46A66519"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كما سيتم حساب فترة الاسترداد</w:t>
      </w:r>
      <w:r w:rsidRPr="005D59A7">
        <w:rPr>
          <w:rFonts w:ascii="T" w:hAnsi="T" w:cs="Simplified Arabic"/>
          <w:sz w:val="24"/>
          <w:szCs w:val="24"/>
          <w:shd w:val="clear" w:color="auto" w:fill="FFFFFF"/>
        </w:rPr>
        <w:t xml:space="preserve"> (Payback Period) </w:t>
      </w:r>
      <w:r w:rsidRPr="005D59A7">
        <w:rPr>
          <w:rFonts w:ascii="T" w:hAnsi="T" w:cs="Simplified Arabic"/>
          <w:sz w:val="24"/>
          <w:szCs w:val="24"/>
          <w:shd w:val="clear" w:color="auto" w:fill="FFFFFF"/>
          <w:rtl/>
        </w:rPr>
        <w:t>وهي الوقت اللازم لاسترداد الاستثمار الأولي من التدفقات النقدية، ويتم قبول النموذج إذا كانت فترة الاسترداد أقل من 5 سنوات، وهو معيار يعكس سرعة استعادة رأس المال المستثمر</w:t>
      </w:r>
      <w:r w:rsidRPr="005D59A7">
        <w:rPr>
          <w:rFonts w:ascii="T" w:hAnsi="T" w:cs="Simplified Arabic"/>
          <w:sz w:val="24"/>
          <w:szCs w:val="24"/>
          <w:shd w:val="clear" w:color="auto" w:fill="FFFFFF"/>
        </w:rPr>
        <w:t>.</w:t>
      </w:r>
    </w:p>
    <w:p w14:paraId="11CA223F"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أما نسبة استرداد التكاليف</w:t>
      </w:r>
      <w:r w:rsidRPr="005D59A7">
        <w:rPr>
          <w:rFonts w:ascii="T" w:hAnsi="T" w:cs="Simplified Arabic"/>
          <w:sz w:val="24"/>
          <w:szCs w:val="24"/>
          <w:shd w:val="clear" w:color="auto" w:fill="FFFFFF"/>
        </w:rPr>
        <w:t xml:space="preserve"> (Cost Recovery Ratio) </w:t>
      </w:r>
      <w:r w:rsidRPr="005D59A7">
        <w:rPr>
          <w:rFonts w:ascii="T" w:hAnsi="T" w:cs="Simplified Arabic"/>
          <w:sz w:val="24"/>
          <w:szCs w:val="24"/>
          <w:shd w:val="clear" w:color="auto" w:fill="FFFFFF"/>
          <w:rtl/>
        </w:rPr>
        <w:t>فتحسب بقسمة الإيرادات المتوقعة على التكاليف التشغيلية مضروبة في 100، ويتم قبول النموذج إذا كانت النسبة تساوي أو تزيد عن 100%، مما يعني أن الإيرادات تغطي التكاليف التشغيلية بالكامل</w:t>
      </w:r>
      <w:r w:rsidRPr="005D59A7">
        <w:rPr>
          <w:rFonts w:ascii="T" w:hAnsi="T" w:cs="Simplified Arabic"/>
          <w:sz w:val="24"/>
          <w:szCs w:val="24"/>
          <w:shd w:val="clear" w:color="auto" w:fill="FFFFFF"/>
        </w:rPr>
        <w:t>.</w:t>
      </w:r>
    </w:p>
    <w:p w14:paraId="4F156762" w14:textId="36BAB290"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0" w:name="_Toc225991345"/>
      <w:r w:rsidRPr="005D59A7">
        <w:rPr>
          <w:rFonts w:ascii="T" w:hAnsi="T" w:cs="Simplified Arabic"/>
          <w:color w:val="auto"/>
          <w:sz w:val="24"/>
          <w:szCs w:val="24"/>
          <w:shd w:val="clear" w:color="auto" w:fill="FFFFFF"/>
          <w:rtl/>
        </w:rPr>
        <w:t>مؤشرات مستوى الخدمة</w:t>
      </w:r>
      <w:bookmarkEnd w:id="30"/>
    </w:p>
    <w:p w14:paraId="073921AD"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اعتماد مؤشرات الأداء الرئيسية التالية لقياس جودة الخدمة في النموذج المقترح.</w:t>
      </w:r>
    </w:p>
    <w:p w14:paraId="4A4D0DB4" w14:textId="0BFD15C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أول هذه المؤشرات هي نسبة تغطية المنشآت، والتي تقاس بقسمة عدد المنشآت التي تمت زيارتها تفتيشياً على إجمالي المنشآت المسجلة في قاعدة البيانات، مضروبة في 100، والمستهدف أن تصل هذه النسبة إلى 85% على الأقل</w:t>
      </w:r>
      <w:r w:rsidRPr="005D59A7">
        <w:rPr>
          <w:rFonts w:ascii="T" w:hAnsi="T" w:cs="Simplified Arabic"/>
          <w:sz w:val="24"/>
          <w:szCs w:val="24"/>
          <w:shd w:val="clear" w:color="auto" w:fill="FFFFFF"/>
        </w:rPr>
        <w:t>.</w:t>
      </w:r>
    </w:p>
    <w:p w14:paraId="4D3424E7"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المؤشر الثاني هو نسبة المخالفات المرفوضة، والتي تقاس بقسمة عدد المخالفات المرفوضة على إجمالي المخالفات المرصودة، مضروبة في 100، والمستهدف ألا تتجاوز هذه النسبة 20%، وذلك لضمان جودة ودقة عمليات الرصد</w:t>
      </w:r>
      <w:r w:rsidRPr="005D59A7">
        <w:rPr>
          <w:rFonts w:ascii="T" w:hAnsi="T" w:cs="Simplified Arabic"/>
          <w:sz w:val="24"/>
          <w:szCs w:val="24"/>
          <w:shd w:val="clear" w:color="auto" w:fill="FFFFFF"/>
        </w:rPr>
        <w:t>.</w:t>
      </w:r>
    </w:p>
    <w:p w14:paraId="7FE9BF65"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المؤشر الثالث هو متوسط زمن إغلاق المخالفة، ويقاس بقسمة إجمالي زمن إغلاق المخالفات على عدد المخالفات، والمستهدف ألا يتجاوز 30 يوماً، مما يعكس سرعة الإجراءات وفعاليتها</w:t>
      </w:r>
      <w:r w:rsidRPr="005D59A7">
        <w:rPr>
          <w:rFonts w:ascii="T" w:hAnsi="T" w:cs="Simplified Arabic"/>
          <w:sz w:val="24"/>
          <w:szCs w:val="24"/>
          <w:shd w:val="clear" w:color="auto" w:fill="FFFFFF"/>
        </w:rPr>
        <w:t>.</w:t>
      </w:r>
    </w:p>
    <w:p w14:paraId="22429C6C" w14:textId="77777777"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أما المؤشر الرابع فهو عدد الزيارات لكل مفتش سنوياً، ويقاس بقسمة إجمالي الزيارات على عدد المفتشين، والمستهدف أن يتراوح بين 50 و80 زيارة سنوياً، مما يعكس تحقيق توازن بين عبء العمل وجودة الأداء</w:t>
      </w:r>
      <w:r w:rsidRPr="005D59A7">
        <w:rPr>
          <w:rFonts w:ascii="T" w:hAnsi="T" w:cs="Simplified Arabic"/>
          <w:sz w:val="24"/>
          <w:szCs w:val="24"/>
          <w:shd w:val="clear" w:color="auto" w:fill="FFFFFF"/>
        </w:rPr>
        <w:t>.</w:t>
      </w:r>
    </w:p>
    <w:p w14:paraId="379637AD" w14:textId="2E9A4DFC" w:rsidR="005E5F72" w:rsidRPr="005D59A7" w:rsidRDefault="005E5F72"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1" w:name="_Toc225991346"/>
      <w:r w:rsidRPr="005D59A7">
        <w:rPr>
          <w:rFonts w:ascii="T" w:hAnsi="T" w:cs="Simplified Arabic"/>
          <w:color w:val="auto"/>
          <w:sz w:val="24"/>
          <w:szCs w:val="24"/>
          <w:shd w:val="clear" w:color="auto" w:fill="FFFFFF"/>
          <w:rtl/>
        </w:rPr>
        <w:t>أداة التحليل</w:t>
      </w:r>
      <w:bookmarkEnd w:id="31"/>
    </w:p>
    <w:p w14:paraId="4BFFA7B3" w14:textId="0521DCF9" w:rsidR="005E5F72" w:rsidRPr="005D59A7" w:rsidRDefault="005E5F72"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استخدام برنامج</w:t>
      </w:r>
      <w:r w:rsidRPr="005D59A7">
        <w:rPr>
          <w:rFonts w:ascii="T" w:hAnsi="T" w:cs="Simplified Arabic"/>
          <w:sz w:val="24"/>
          <w:szCs w:val="24"/>
          <w:shd w:val="clear" w:color="auto" w:fill="FFFFFF"/>
        </w:rPr>
        <w:t xml:space="preserve"> Microsoft Excel </w:t>
      </w:r>
      <w:r w:rsidRPr="005D59A7">
        <w:rPr>
          <w:rFonts w:ascii="T" w:hAnsi="T" w:cs="Simplified Arabic"/>
          <w:sz w:val="24"/>
          <w:szCs w:val="24"/>
          <w:shd w:val="clear" w:color="auto" w:fill="FFFFFF"/>
          <w:rtl/>
        </w:rPr>
        <w:t>كأداة رئيسية لإجراء التحليلات المالية والإحصائية، وذلك لتوفره وسهولة استخدامه وقدرته على تنفيذ حسابات</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Payback Period </w:t>
      </w:r>
      <w:r w:rsidRPr="005D59A7">
        <w:rPr>
          <w:rFonts w:ascii="T" w:hAnsi="T" w:cs="Simplified Arabic"/>
          <w:sz w:val="24"/>
          <w:szCs w:val="24"/>
          <w:shd w:val="clear" w:color="auto" w:fill="FFFFFF"/>
          <w:rtl/>
        </w:rPr>
        <w:t>باستخدام الدوال المالية المدمجة مثل</w:t>
      </w:r>
      <w:r w:rsidRPr="005D59A7">
        <w:rPr>
          <w:rFonts w:ascii="T" w:hAnsi="T" w:cs="Simplified Arabic"/>
          <w:sz w:val="24"/>
          <w:szCs w:val="24"/>
          <w:shd w:val="clear" w:color="auto" w:fill="FFFFFF"/>
        </w:rPr>
        <w:t xml:space="preserve"> NPV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IRR </w:t>
      </w:r>
      <w:r w:rsidRPr="005D59A7">
        <w:rPr>
          <w:rFonts w:ascii="T" w:hAnsi="T" w:cs="Simplified Arabic"/>
          <w:sz w:val="24"/>
          <w:szCs w:val="24"/>
          <w:shd w:val="clear" w:color="auto" w:fill="FFFFFF"/>
          <w:rtl/>
        </w:rPr>
        <w:t>و</w:t>
      </w:r>
      <w:r w:rsidRPr="005D59A7">
        <w:rPr>
          <w:rFonts w:ascii="T" w:hAnsi="T" w:cs="Simplified Arabic"/>
          <w:sz w:val="24"/>
          <w:szCs w:val="24"/>
          <w:shd w:val="clear" w:color="auto" w:fill="FFFFFF"/>
        </w:rPr>
        <w:t xml:space="preserve"> XNPV</w:t>
      </w:r>
      <w:r w:rsidRPr="005D59A7">
        <w:rPr>
          <w:rFonts w:ascii="T" w:hAnsi="T" w:cs="Simplified Arabic"/>
          <w:sz w:val="24"/>
          <w:szCs w:val="24"/>
          <w:shd w:val="clear" w:color="auto" w:fill="FFFFFF"/>
          <w:rtl/>
        </w:rPr>
        <w:t>، كما يتيح البرنامج إجراء تحليل الحساسية وإنشاء السيناريوهات المالية المختلفة</w:t>
      </w:r>
      <w:r w:rsidRPr="005D59A7">
        <w:rPr>
          <w:rFonts w:ascii="T" w:hAnsi="T" w:cs="Simplified Arabic"/>
          <w:sz w:val="24"/>
          <w:szCs w:val="24"/>
          <w:shd w:val="clear" w:color="auto" w:fill="FFFFFF"/>
        </w:rPr>
        <w:t>.</w:t>
      </w:r>
    </w:p>
    <w:p w14:paraId="1533FF73" w14:textId="06E8B36A" w:rsidR="004F7ABA" w:rsidRPr="005D59A7" w:rsidRDefault="004F7ABA" w:rsidP="0045581D">
      <w:pPr>
        <w:pStyle w:val="Heading3"/>
        <w:numPr>
          <w:ilvl w:val="0"/>
          <w:numId w:val="3"/>
        </w:numPr>
        <w:bidi/>
        <w:spacing w:line="360" w:lineRule="auto"/>
        <w:ind w:left="368" w:firstLine="720"/>
        <w:rPr>
          <w:rFonts w:ascii="T" w:hAnsi="T" w:cs="Simplified Arabic"/>
          <w:color w:val="auto"/>
          <w:sz w:val="24"/>
          <w:szCs w:val="24"/>
          <w:shd w:val="clear" w:color="auto" w:fill="FFFFFF"/>
          <w:rtl/>
        </w:rPr>
      </w:pPr>
      <w:bookmarkStart w:id="32" w:name="_Toc225991347"/>
      <w:r w:rsidRPr="005D59A7">
        <w:rPr>
          <w:rFonts w:ascii="T" w:hAnsi="T" w:cs="Simplified Arabic"/>
          <w:color w:val="auto"/>
          <w:sz w:val="24"/>
          <w:szCs w:val="24"/>
          <w:shd w:val="clear" w:color="auto" w:fill="FFFFFF"/>
          <w:rtl/>
        </w:rPr>
        <w:t>المتغيرات الضابطة</w:t>
      </w:r>
      <w:bookmarkEnd w:id="32"/>
    </w:p>
    <w:p w14:paraId="06DB8B37"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لضمان دقة تفسير النتائج وقابليتها للتعميم، تم تحديد مجموعة من المتغيرات الضابطة التي سيتم استخدامها في التحليل لتقييم تأثير العوامل المختلفة على كفاءة وجودة خدمة التفتيش البيئي. تساعد هذه المتغيرات في عزل تأثير العوامل الخارجية والتركيز على العلاقة الحقيقية بين المتغيرات المستقلة (نموذج التوريد التقليدي / نموذج الشراكة المقترح) والمتغيرات التابعة (الكفاءة التشغيلية، جودة المخرجات، الاستدامة المالية)</w:t>
      </w:r>
      <w:r w:rsidRPr="005D59A7">
        <w:rPr>
          <w:rFonts w:ascii="T" w:hAnsi="T" w:cs="Simplified Arabic"/>
          <w:sz w:val="24"/>
          <w:szCs w:val="24"/>
          <w:shd w:val="clear" w:color="auto" w:fill="FFFFFF"/>
        </w:rPr>
        <w:t>.</w:t>
      </w:r>
    </w:p>
    <w:p w14:paraId="38D87D30"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أولاً: تصنيف المنشآت حسب خطورة النشاط</w:t>
      </w:r>
    </w:p>
    <w:p w14:paraId="22FFC815" w14:textId="5037F313"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المشمولة بخدمة التفتيش البيئي إلى ثلاث فئات رئيسية وفقاً لمستوى تأثيرها البيئي المحتمل، وذلك بناءً على التصنيف المعتمد من المركز الوطني للرقابة على الالتزام البيئي</w:t>
      </w:r>
      <w:r w:rsidRPr="005D59A7">
        <w:rPr>
          <w:rFonts w:ascii="T" w:hAnsi="T" w:cs="Simplified Arabic"/>
          <w:sz w:val="24"/>
          <w:szCs w:val="24"/>
          <w:shd w:val="clear" w:color="auto" w:fill="FFFFFF"/>
        </w:rPr>
        <w:t xml:space="preserve"> (NCEC,  2020). </w:t>
      </w:r>
      <w:r w:rsidRPr="005D59A7">
        <w:rPr>
          <w:rFonts w:ascii="T" w:hAnsi="T" w:cs="Simplified Arabic"/>
          <w:sz w:val="24"/>
          <w:szCs w:val="24"/>
          <w:shd w:val="clear" w:color="auto" w:fill="FFFFFF"/>
          <w:rtl/>
        </w:rPr>
        <w:t>تشمل فئة المنشآت عالية الخطورة المنشآت ذات التأثير البيئي الكبير المحتمل، مثل المصانع الكبرى والمنشآت البتروكيماوية ومحطات الطاقة ومصانع الأسمنت، والتي تتطلب تفتيشاً مكثفاً ومتكرراً. أما فئة المنشآت متوسطة الخطورة فتشمل المنشآت ذات التأثير البيئي المتوسط مثل المنشآت الصناعية المتوسطة والمرافق الخدمية الكبرى والمستشفيات، والتي تتطلب تفتيشاً دورياً منتظماً. فيما تشمل فئة المنشآت منخفضة الخطورة المنشآت ذات التأثير البيئي المحدود مثل المنشآت التجارية والمكاتب والمرافق الصغيرة، والتي تتطلب تفتيشاً أقل تكراراً</w:t>
      </w:r>
      <w:r w:rsidRPr="005D59A7">
        <w:rPr>
          <w:rFonts w:ascii="T" w:hAnsi="T" w:cs="Simplified Arabic"/>
          <w:sz w:val="24"/>
          <w:szCs w:val="24"/>
          <w:shd w:val="clear" w:color="auto" w:fill="FFFFFF"/>
        </w:rPr>
        <w:t>.</w:t>
      </w:r>
    </w:p>
    <w:p w14:paraId="543F9213"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ثانياً: تصنيف المنشآت حسب الحجم</w:t>
      </w:r>
    </w:p>
    <w:p w14:paraId="4705364F"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حسب حجمها التشغيلي إلى ثلاث فئات: المنشآت الكبيرة التي يزيد عدد موظفيها عن 500 موظف أو ذات مساحة تشغيلية كبيرة أو إنتاج سنوي مرتفع، والمنشآت المتوسطة التي يتراوح عدد موظفيها بين 50 و500 موظف، والمنشآت الصغيرة التي يقل عدد موظفيها عن 50 موظفاً. يساعد هذا التصنيف في تقييم تأثير حجم المنشأة على تكلفة وكثافة التفتيش المطلوبة</w:t>
      </w:r>
      <w:r w:rsidRPr="005D59A7">
        <w:rPr>
          <w:rFonts w:ascii="T" w:hAnsi="T" w:cs="Simplified Arabic"/>
          <w:sz w:val="24"/>
          <w:szCs w:val="24"/>
          <w:shd w:val="clear" w:color="auto" w:fill="FFFFFF"/>
        </w:rPr>
        <w:t>.</w:t>
      </w:r>
    </w:p>
    <w:p w14:paraId="01434BEC"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ثالثاً: تصنيف المنشآت حسب نوع النشاط</w:t>
      </w:r>
    </w:p>
    <w:p w14:paraId="415401A0"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حسب النشاط الاقتصادي الرئيسي إلى خمس فئات: الصناعية (المنشآت العاملة في قطاع التصنيع والإنتاج الصناعي)، والخدمية (المستشفيات والفنادق والمطاعم والمراكز التجارية)، والزراعية (المنشآت العاملة في قطاع الزراعة والإنتاج الحيواني)، والإنشائية (المنشآت العاملة في قطاع البناء والتشييد)، والبتروكيماوية (المنشآت العاملة في قطاع النفط والغاز والبتروكيماويات). يساعد هذا التصنيف في تقييم تأثير نوع النشاط على طبيعة المخالفات البيئية المتوقعة وكثافة التفتيش المطلوبة</w:t>
      </w:r>
      <w:r w:rsidRPr="005D59A7">
        <w:rPr>
          <w:rFonts w:ascii="T" w:hAnsi="T" w:cs="Simplified Arabic"/>
          <w:sz w:val="24"/>
          <w:szCs w:val="24"/>
          <w:shd w:val="clear" w:color="auto" w:fill="FFFFFF"/>
        </w:rPr>
        <w:t>.</w:t>
      </w:r>
    </w:p>
    <w:p w14:paraId="7B758DDE"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رابعاً: تصنيف المنشآت حسب المنطقة الجغرافية</w:t>
      </w:r>
    </w:p>
    <w:p w14:paraId="45EE9521"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يتم تصنيف المنشآت حسب المنطقة الإدارية التي تقع فيها إلى خمس مناطق رئيسية: المنطقة الوسطى (الرياض، القصيم)، والمنطقة الشرقية (الدمام، الأحساء، الجبيل، الظهران)، والمنطقة الغربية (مكة المكرمة، جدة، المدينة المنورة، الطائف)، والمنطقة الشمالية (تبوك، حائل، الحدود الشمالية، الجوف)، والمنطقة الجنوبية (عسير، جازان، نجران، الباحة). يساعد هذا التصنيف في تقييم تأثير العوامل الجغرافية والمناخية والاقتصادية على أداء خدمة التفتيش البيئي</w:t>
      </w:r>
      <w:r w:rsidRPr="005D59A7">
        <w:rPr>
          <w:rFonts w:ascii="T" w:hAnsi="T" w:cs="Simplified Arabic"/>
          <w:sz w:val="24"/>
          <w:szCs w:val="24"/>
          <w:shd w:val="clear" w:color="auto" w:fill="FFFFFF"/>
        </w:rPr>
        <w:t>.</w:t>
      </w:r>
    </w:p>
    <w:p w14:paraId="4D47251C"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خامساً: آلية استخدام المتغيرات الضابطة في التحليل</w:t>
      </w:r>
    </w:p>
    <w:p w14:paraId="448A40E7" w14:textId="77777777" w:rsidR="004F7ABA" w:rsidRPr="005D59A7" w:rsidRDefault="004F7ABA" w:rsidP="00861DC2">
      <w:pPr>
        <w:pStyle w:val="ListParagraph"/>
        <w:bidi/>
        <w:spacing w:line="360" w:lineRule="auto"/>
        <w:ind w:left="368"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سيتم استخدام المتغيرات الضابطة وفق الآليات التالية: أولاً، التصنيف الطبقي</w:t>
      </w:r>
      <w:r w:rsidRPr="005D59A7">
        <w:rPr>
          <w:rFonts w:ascii="T" w:hAnsi="T" w:cs="Simplified Arabic"/>
          <w:sz w:val="24"/>
          <w:szCs w:val="24"/>
          <w:shd w:val="clear" w:color="auto" w:fill="FFFFFF"/>
        </w:rPr>
        <w:t xml:space="preserve"> (Stratification) </w:t>
      </w:r>
      <w:r w:rsidRPr="005D59A7">
        <w:rPr>
          <w:rFonts w:ascii="T" w:hAnsi="T" w:cs="Simplified Arabic"/>
          <w:sz w:val="24"/>
          <w:szCs w:val="24"/>
          <w:shd w:val="clear" w:color="auto" w:fill="FFFFFF"/>
          <w:rtl/>
        </w:rPr>
        <w:t>حيث سيتم تقسيم عينة الدراسة إلى طبقات متجانسة بناءً على المتغيرات الضابطة (خطورة النشاط، حجم المنشأة، نوع النشاط، المنطقة الجغرافية)، وذلك لضمان تمثيل متوازن لجميع الفئات في التحليل. ثانياً، المقارنة المتجانسة</w:t>
      </w:r>
      <w:r w:rsidRPr="005D59A7">
        <w:rPr>
          <w:rFonts w:ascii="T" w:hAnsi="T" w:cs="Simplified Arabic"/>
          <w:sz w:val="24"/>
          <w:szCs w:val="24"/>
          <w:shd w:val="clear" w:color="auto" w:fill="FFFFFF"/>
        </w:rPr>
        <w:t xml:space="preserve"> (Homogeneous Comparison) </w:t>
      </w:r>
      <w:r w:rsidRPr="005D59A7">
        <w:rPr>
          <w:rFonts w:ascii="T" w:hAnsi="T" w:cs="Simplified Arabic"/>
          <w:sz w:val="24"/>
          <w:szCs w:val="24"/>
          <w:shd w:val="clear" w:color="auto" w:fill="FFFFFF"/>
          <w:rtl/>
        </w:rPr>
        <w:t xml:space="preserve">حيث سيتم إجراء المقارنات بين النموذج الحالي والنموذج المقترح داخل كل طبقة من المتغيرات الضابطة على حدة، لضمان أن الفروق </w:t>
      </w:r>
      <w:r w:rsidRPr="005D59A7">
        <w:rPr>
          <w:rFonts w:ascii="T" w:hAnsi="T" w:cs="Simplified Arabic"/>
          <w:sz w:val="24"/>
          <w:szCs w:val="24"/>
          <w:shd w:val="clear" w:color="auto" w:fill="FFFFFF"/>
          <w:rtl/>
        </w:rPr>
        <w:lastRenderedPageBreak/>
        <w:t>في الأداء تعزى إلى النموذج التشغيلي وليس إلى اختلافات في خصائص المنشآت. ثالثاً، تحليل التباين متعدد المتغيرات</w:t>
      </w:r>
      <w:r w:rsidRPr="005D59A7">
        <w:rPr>
          <w:rFonts w:ascii="T" w:hAnsi="T" w:cs="Simplified Arabic"/>
          <w:sz w:val="24"/>
          <w:szCs w:val="24"/>
          <w:shd w:val="clear" w:color="auto" w:fill="FFFFFF"/>
        </w:rPr>
        <w:t xml:space="preserve"> (MANOVA) </w:t>
      </w:r>
      <w:r w:rsidRPr="005D59A7">
        <w:rPr>
          <w:rFonts w:ascii="T" w:hAnsi="T" w:cs="Simplified Arabic"/>
          <w:sz w:val="24"/>
          <w:szCs w:val="24"/>
          <w:shd w:val="clear" w:color="auto" w:fill="FFFFFF"/>
          <w:rtl/>
        </w:rPr>
        <w:t>لتقييم تأثير المتغيرات الضابطة على المؤشرات التابعة (التكلفة التشغيلية للزيارة، نسبة المخالفات المرفوضة، نسبة التغطية)، وذلك لتحديد ما إذا كانت الفروق بين المجموعات ذات دلالة إحصائية. رابعاً، تحليل الانحدار المتعدد</w:t>
      </w:r>
      <w:r w:rsidRPr="005D59A7">
        <w:rPr>
          <w:rFonts w:ascii="T" w:hAnsi="T" w:cs="Simplified Arabic"/>
          <w:sz w:val="24"/>
          <w:szCs w:val="24"/>
          <w:shd w:val="clear" w:color="auto" w:fill="FFFFFF"/>
        </w:rPr>
        <w:t xml:space="preserve"> (Multiple Regression) </w:t>
      </w:r>
      <w:r w:rsidRPr="005D59A7">
        <w:rPr>
          <w:rFonts w:ascii="T" w:hAnsi="T" w:cs="Simplified Arabic"/>
          <w:sz w:val="24"/>
          <w:szCs w:val="24"/>
          <w:shd w:val="clear" w:color="auto" w:fill="FFFFFF"/>
          <w:rtl/>
        </w:rPr>
        <w:t>لتقدير تأثير كل من المتغيرات المستقلة (نوع النموذج) والمتغيرات الضابطة على المتغيرات التابعة، وذلك لتحديد المساهم النسبي لكل متغير في تفسير التباين. خامساً، تحليل الحساسية</w:t>
      </w:r>
      <w:r w:rsidRPr="005D59A7">
        <w:rPr>
          <w:rFonts w:ascii="T" w:hAnsi="T" w:cs="Simplified Arabic"/>
          <w:sz w:val="24"/>
          <w:szCs w:val="24"/>
          <w:shd w:val="clear" w:color="auto" w:fill="FFFFFF"/>
        </w:rPr>
        <w:t xml:space="preserve"> (Sensitivity Analysis) </w:t>
      </w:r>
      <w:r w:rsidRPr="005D59A7">
        <w:rPr>
          <w:rFonts w:ascii="T" w:hAnsi="T" w:cs="Simplified Arabic"/>
          <w:sz w:val="24"/>
          <w:szCs w:val="24"/>
          <w:shd w:val="clear" w:color="auto" w:fill="FFFFFF"/>
          <w:rtl/>
        </w:rPr>
        <w:t>لتقييم مدى استقرار النتائج عند تغيير تصنيفات المتغيرات الضابطة</w:t>
      </w:r>
      <w:r w:rsidRPr="005D59A7">
        <w:rPr>
          <w:rFonts w:ascii="T" w:hAnsi="T" w:cs="Simplified Arabic"/>
          <w:sz w:val="24"/>
          <w:szCs w:val="24"/>
          <w:shd w:val="clear" w:color="auto" w:fill="FFFFFF"/>
        </w:rPr>
        <w:t>.</w:t>
      </w:r>
    </w:p>
    <w:p w14:paraId="14D664F1" w14:textId="317B29B9" w:rsidR="00E4150D" w:rsidRPr="005D59A7" w:rsidRDefault="005E3641" w:rsidP="008A5ED9">
      <w:pPr>
        <w:pStyle w:val="Heading2"/>
        <w:bidi/>
        <w:rPr>
          <w:rFonts w:ascii="T" w:hAnsi="T" w:cs="Simplified Arabic"/>
          <w:color w:val="auto"/>
          <w:sz w:val="24"/>
          <w:szCs w:val="24"/>
          <w:shd w:val="clear" w:color="auto" w:fill="FFFFFF"/>
          <w:rtl/>
        </w:rPr>
      </w:pPr>
      <w:bookmarkStart w:id="33" w:name="_Toc225991348"/>
      <w:r w:rsidRPr="005D59A7">
        <w:rPr>
          <w:rFonts w:ascii="T" w:hAnsi="T" w:cs="Simplified Arabic"/>
          <w:color w:val="auto"/>
          <w:sz w:val="24"/>
          <w:szCs w:val="24"/>
          <w:shd w:val="clear" w:color="auto" w:fill="FFFFFF"/>
          <w:rtl/>
        </w:rPr>
        <w:t>نموذج الدراسة</w:t>
      </w:r>
      <w:bookmarkEnd w:id="33"/>
    </w:p>
    <w:p w14:paraId="7FEB3B80" w14:textId="77777777" w:rsidR="00210FA3" w:rsidRPr="005D59A7" w:rsidRDefault="00E4150D" w:rsidP="00861DC2">
      <w:pPr>
        <w:bidi/>
        <w:spacing w:after="0" w:line="360" w:lineRule="auto"/>
        <w:ind w:left="720"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 xml:space="preserve">يعد منهج الدراسة مزيج بين الوصفي والتحليلي. ويتضح القسم الوصفي من خلال التقييم النظري للأدبيات الموجودة والمراجعة العامة للمعلومات المتعلقة بموضوع الرسالة. ومن ثم، يتدرج البحث وصولاً إلى القسم التحليلي الفني </w:t>
      </w:r>
      <w:r w:rsidR="005E3641" w:rsidRPr="005D59A7">
        <w:rPr>
          <w:rFonts w:ascii="T" w:hAnsi="T" w:cs="Simplified Arabic"/>
          <w:sz w:val="24"/>
          <w:szCs w:val="24"/>
          <w:shd w:val="clear" w:color="auto" w:fill="FFFFFF"/>
          <w:rtl/>
        </w:rPr>
        <w:t>لل</w:t>
      </w:r>
      <w:r w:rsidRPr="005D59A7">
        <w:rPr>
          <w:rFonts w:ascii="T" w:hAnsi="T" w:cs="Simplified Arabic"/>
          <w:sz w:val="24"/>
          <w:szCs w:val="24"/>
          <w:shd w:val="clear" w:color="auto" w:fill="FFFFFF"/>
          <w:rtl/>
        </w:rPr>
        <w:t xml:space="preserve">خدمة </w:t>
      </w:r>
      <w:r w:rsidR="005E3641" w:rsidRPr="005D59A7">
        <w:rPr>
          <w:rFonts w:ascii="T" w:hAnsi="T" w:cs="Simplified Arabic"/>
          <w:sz w:val="24"/>
          <w:szCs w:val="24"/>
          <w:shd w:val="clear" w:color="auto" w:fill="FFFFFF"/>
          <w:rtl/>
        </w:rPr>
        <w:t>ال</w:t>
      </w:r>
      <w:r w:rsidRPr="005D59A7">
        <w:rPr>
          <w:rFonts w:ascii="T" w:hAnsi="T" w:cs="Simplified Arabic"/>
          <w:sz w:val="24"/>
          <w:szCs w:val="24"/>
          <w:shd w:val="clear" w:color="auto" w:fill="FFFFFF"/>
          <w:rtl/>
        </w:rPr>
        <w:t xml:space="preserve">بيئية </w:t>
      </w:r>
      <w:r w:rsidR="005E3641" w:rsidRPr="005D59A7">
        <w:rPr>
          <w:rFonts w:ascii="T" w:hAnsi="T" w:cs="Simplified Arabic"/>
          <w:sz w:val="24"/>
          <w:szCs w:val="24"/>
          <w:shd w:val="clear" w:color="auto" w:fill="FFFFFF"/>
          <w:rtl/>
        </w:rPr>
        <w:t xml:space="preserve">المختارة </w:t>
      </w:r>
      <w:r w:rsidRPr="005D59A7">
        <w:rPr>
          <w:rFonts w:ascii="T" w:hAnsi="T" w:cs="Simplified Arabic"/>
          <w:sz w:val="24"/>
          <w:szCs w:val="24"/>
          <w:shd w:val="clear" w:color="auto" w:fill="FFFFFF"/>
          <w:rtl/>
        </w:rPr>
        <w:t>كنموذج وعمل دراسات الجدوى اللازمة لها لاقتراح نموذج شراكة بين القطاع العام والخاص لها شاملةً تحاليل الكفاءة التشغيلية والمالية.</w:t>
      </w:r>
      <w:r w:rsidR="005E3641" w:rsidRPr="005D59A7">
        <w:rPr>
          <w:rFonts w:ascii="T" w:hAnsi="T" w:cs="Simplified Arabic"/>
          <w:sz w:val="24"/>
          <w:szCs w:val="24"/>
          <w:shd w:val="clear" w:color="auto" w:fill="FFFFFF"/>
          <w:rtl/>
        </w:rPr>
        <w:t xml:space="preserve"> و</w:t>
      </w:r>
      <w:r w:rsidRPr="005D59A7">
        <w:rPr>
          <w:rFonts w:ascii="T" w:hAnsi="T" w:cs="Simplified Arabic"/>
          <w:sz w:val="24"/>
          <w:szCs w:val="24"/>
          <w:shd w:val="clear" w:color="auto" w:fill="FFFFFF"/>
          <w:rtl/>
        </w:rPr>
        <w:t xml:space="preserve">يعد التحليل وصفي كمي لتحليل الجدوى والتحليل المالي مثل تحليل التكاليف، وتحليل الكفاءة، وغيرها من التحاليل المطلوبة عند الحاجة وفقاً لبنود دراسة الجدوى الأولية </w:t>
      </w:r>
      <w:r w:rsidR="000C7BC3" w:rsidRPr="005D59A7">
        <w:rPr>
          <w:rFonts w:ascii="T" w:hAnsi="T" w:cs="Simplified Arabic"/>
          <w:sz w:val="24"/>
          <w:szCs w:val="24"/>
          <w:shd w:val="clear" w:color="auto" w:fill="FFFFFF"/>
          <w:rtl/>
        </w:rPr>
        <w:t>واشتراطات دليل تخصيص المشاريع الصادر من المركز الوطني للتخصيص</w:t>
      </w:r>
      <w:r w:rsidRPr="005D59A7">
        <w:rPr>
          <w:rFonts w:ascii="T" w:hAnsi="T" w:cs="Simplified Arabic"/>
          <w:sz w:val="24"/>
          <w:szCs w:val="24"/>
          <w:shd w:val="clear" w:color="auto" w:fill="FFFFFF"/>
          <w:rtl/>
        </w:rPr>
        <w:t>.</w:t>
      </w:r>
      <w:r w:rsidR="005E3641" w:rsidRPr="005D59A7">
        <w:rPr>
          <w:rFonts w:ascii="T" w:hAnsi="T" w:cs="Simplified Arabic"/>
          <w:sz w:val="24"/>
          <w:szCs w:val="24"/>
          <w:shd w:val="clear" w:color="auto" w:fill="FFFFFF"/>
          <w:rtl/>
        </w:rPr>
        <w:t xml:space="preserve"> وبالتالي، يوضح النموذج الموضح أدناه </w:t>
      </w:r>
      <w:r w:rsidR="00210FA3" w:rsidRPr="005D59A7">
        <w:rPr>
          <w:rFonts w:ascii="T" w:hAnsi="T" w:cs="Simplified Arabic"/>
          <w:sz w:val="24"/>
          <w:szCs w:val="24"/>
          <w:shd w:val="clear" w:color="auto" w:fill="FFFFFF"/>
          <w:rtl/>
        </w:rPr>
        <w:t>المراجعة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النظرية</w:t>
      </w:r>
      <w:r w:rsidR="005E3641" w:rsidRPr="005D59A7">
        <w:rPr>
          <w:rFonts w:ascii="T" w:hAnsi="T" w:cs="Simplified Arabic"/>
          <w:sz w:val="24"/>
          <w:szCs w:val="24"/>
          <w:shd w:val="clear" w:color="auto" w:fill="FFFFFF"/>
          <w:rtl/>
        </w:rPr>
        <w:t xml:space="preserve"> التي تعتمد</w:t>
      </w:r>
      <w:r w:rsidR="005E3641"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الدراسة</w:t>
      </w:r>
      <w:r w:rsidR="005E3641"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عليها. وتشمل</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إعادة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هيكلة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القطاع</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البيئي</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الحالية،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بما</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في</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ذلك</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رؤية 2030 والإستراتيجية</w:t>
      </w:r>
      <w:r w:rsidR="00AB3EFD" w:rsidRPr="005D59A7">
        <w:rPr>
          <w:rFonts w:ascii="T" w:hAnsi="T" w:cs="Simplified Arabic"/>
          <w:sz w:val="24"/>
          <w:szCs w:val="24"/>
          <w:shd w:val="clear" w:color="auto" w:fill="FFFFFF"/>
        </w:rPr>
        <w:t xml:space="preserve"> </w:t>
      </w:r>
      <w:r w:rsidR="00210FA3" w:rsidRPr="005D59A7">
        <w:rPr>
          <w:rFonts w:ascii="T" w:hAnsi="T" w:cs="Simplified Arabic"/>
          <w:sz w:val="24"/>
          <w:szCs w:val="24"/>
          <w:shd w:val="clear" w:color="auto" w:fill="FFFFFF"/>
          <w:rtl/>
        </w:rPr>
        <w:t>الوطنية</w:t>
      </w:r>
      <w:r w:rsidR="00AB3EFD" w:rsidRPr="005D59A7">
        <w:rPr>
          <w:rFonts w:ascii="T" w:hAnsi="T" w:cs="Simplified Arabic"/>
          <w:sz w:val="24"/>
          <w:szCs w:val="24"/>
          <w:shd w:val="clear" w:color="auto" w:fill="FFFFFF"/>
        </w:rPr>
        <w:t xml:space="preserve"> </w:t>
      </w:r>
      <w:r w:rsidR="005E3641" w:rsidRPr="005D59A7">
        <w:rPr>
          <w:rFonts w:ascii="T" w:hAnsi="T" w:cs="Simplified Arabic"/>
          <w:sz w:val="24"/>
          <w:szCs w:val="24"/>
          <w:shd w:val="clear" w:color="auto" w:fill="FFFFFF"/>
          <w:rtl/>
        </w:rPr>
        <w:t>للبيئة.</w:t>
      </w:r>
    </w:p>
    <w:p w14:paraId="7E56A86A" w14:textId="77777777" w:rsidR="00ED6028" w:rsidRPr="005D59A7" w:rsidRDefault="00ED6028" w:rsidP="00861DC2">
      <w:pPr>
        <w:pStyle w:val="ListParagraph"/>
        <w:bidi/>
        <w:spacing w:line="360" w:lineRule="auto"/>
        <w:ind w:firstLine="720"/>
        <w:rPr>
          <w:rFonts w:ascii="T" w:hAnsi="T" w:cs="Simplified Arabic"/>
          <w:sz w:val="24"/>
          <w:szCs w:val="24"/>
          <w:shd w:val="clear" w:color="auto" w:fill="FFFFFF"/>
          <w:rtl/>
        </w:rPr>
      </w:pPr>
    </w:p>
    <w:p w14:paraId="5D87E1B8" w14:textId="501DD20E" w:rsidR="00210FA3" w:rsidRPr="005D59A7" w:rsidRDefault="003B4A9A" w:rsidP="003B4A9A">
      <w:pPr>
        <w:bidi/>
        <w:spacing w:line="360" w:lineRule="auto"/>
        <w:rPr>
          <w:rFonts w:ascii="T" w:hAnsi="T" w:cs="Simplified Arabic"/>
          <w:sz w:val="24"/>
          <w:szCs w:val="24"/>
          <w:shd w:val="clear" w:color="auto" w:fill="FFFFFF"/>
          <w:rtl/>
        </w:rPr>
      </w:pPr>
      <w:r w:rsidRPr="005D59A7">
        <w:rPr>
          <w:rFonts w:ascii="T" w:hAnsi="T" w:cs="Simplified Arabic"/>
          <w:sz w:val="24"/>
          <w:szCs w:val="24"/>
          <w:shd w:val="clear" w:color="auto" w:fill="FFFFFF"/>
        </w:rPr>
        <w:lastRenderedPageBreak/>
        <w:t xml:space="preserve"> </w:t>
      </w:r>
      <w:r w:rsidR="002F608A" w:rsidRPr="005D59A7">
        <w:rPr>
          <w:rFonts w:ascii="T" w:hAnsi="T"/>
          <w:shd w:val="clear" w:color="auto" w:fill="FFFFFF"/>
        </w:rPr>
        <w:object w:dxaOrig="4320" w:dyaOrig="4320" w14:anchorId="7C503A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pt;height:235.5pt" o:ole="">
            <v:imagedata r:id="rId10" o:title=""/>
          </v:shape>
          <o:OLEObject Type="Embed" ProgID="FoxitReader.Document" ShapeID="_x0000_i1025" DrawAspect="Content" ObjectID="_1836754507" r:id="rId11"/>
        </w:object>
      </w:r>
    </w:p>
    <w:p w14:paraId="40EB2962" w14:textId="05E778E1" w:rsidR="000B0E21" w:rsidRPr="005D59A7" w:rsidRDefault="00920785" w:rsidP="00861DC2">
      <w:pPr>
        <w:pStyle w:val="Caption"/>
        <w:bidi/>
        <w:spacing w:line="360" w:lineRule="auto"/>
        <w:ind w:firstLine="720"/>
        <w:jc w:val="center"/>
        <w:rPr>
          <w:rFonts w:ascii="T" w:hAnsi="T" w:cs="Simplified Arabic"/>
          <w:noProof/>
          <w:color w:val="auto"/>
          <w:sz w:val="24"/>
          <w:szCs w:val="24"/>
          <w:rtl/>
        </w:rPr>
      </w:pPr>
      <w:bookmarkStart w:id="34" w:name="_Toc213846040"/>
      <w:bookmarkStart w:id="35" w:name="_Toc225991165"/>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1</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الإطار الهيكلي لنموذج الدراسة</w:t>
      </w:r>
      <w:bookmarkEnd w:id="34"/>
      <w:bookmarkEnd w:id="35"/>
    </w:p>
    <w:p w14:paraId="189F70C4" w14:textId="77777777" w:rsidR="00646FBB" w:rsidRPr="005D59A7" w:rsidRDefault="00646FBB" w:rsidP="00861DC2">
      <w:pPr>
        <w:bidi/>
        <w:spacing w:line="360" w:lineRule="auto"/>
        <w:ind w:firstLine="720"/>
        <w:rPr>
          <w:rFonts w:ascii="T" w:hAnsi="T" w:cs="Simplified Arabic"/>
          <w:sz w:val="24"/>
          <w:szCs w:val="24"/>
          <w:rtl/>
        </w:rPr>
      </w:pPr>
    </w:p>
    <w:p w14:paraId="37B5D2B7" w14:textId="77777777" w:rsidR="00A42786" w:rsidRPr="005D59A7" w:rsidRDefault="00A42786" w:rsidP="00861DC2">
      <w:pPr>
        <w:bidi/>
        <w:spacing w:after="200" w:line="360" w:lineRule="auto"/>
        <w:ind w:left="720" w:firstLine="720"/>
        <w:jc w:val="both"/>
        <w:rPr>
          <w:rFonts w:ascii="T" w:hAnsi="T" w:cs="Simplified Arabic"/>
          <w:sz w:val="24"/>
          <w:szCs w:val="24"/>
          <w:rtl/>
        </w:rPr>
      </w:pPr>
      <w:r w:rsidRPr="005D59A7">
        <w:rPr>
          <w:rFonts w:ascii="T" w:hAnsi="T" w:cs="Simplified Arabic"/>
          <w:sz w:val="24"/>
          <w:szCs w:val="24"/>
          <w:rtl/>
        </w:rPr>
        <w:t>يشير النموذج إلى</w:t>
      </w:r>
      <w:r w:rsidR="00333980" w:rsidRPr="005D59A7">
        <w:rPr>
          <w:rFonts w:ascii="T" w:hAnsi="T" w:cs="Simplified Arabic"/>
          <w:sz w:val="24"/>
          <w:szCs w:val="24"/>
          <w:rtl/>
        </w:rPr>
        <w:t xml:space="preserve"> </w:t>
      </w:r>
      <w:r w:rsidR="0010375B" w:rsidRPr="005D59A7">
        <w:rPr>
          <w:rFonts w:ascii="T" w:hAnsi="T" w:cs="Simplified Arabic"/>
          <w:sz w:val="24"/>
          <w:szCs w:val="24"/>
          <w:rtl/>
        </w:rPr>
        <w:t>إعادة الهيكلة للقطاع للبيئي</w:t>
      </w:r>
      <w:r w:rsidRPr="005D59A7">
        <w:rPr>
          <w:rFonts w:ascii="T" w:hAnsi="T" w:cs="Simplified Arabic"/>
          <w:sz w:val="24"/>
          <w:szCs w:val="24"/>
          <w:rtl/>
        </w:rPr>
        <w:t xml:space="preserve"> انطلاقاً من الرؤية ومروراً ببرنامج التحول الوطني وبرنامج التخصيص والإستراتيجية الوطنية للبيئة والجهات المستحدثة تحت إشراف وزارة البيئة والمياه والزراعة. كما يشير إلى أنه سيتم مناقشة الخدمات البيئية التي تقدمها الجهات وما يتم تقديمه من خلال القطاع الخاص مع التنويه بأنه سيتم عرض نموذج مقترح للشراكة مع القطاع الخاص لخدمة التفتيش البيئي. وكما تم الذكر مسبقاً، تم اختيار خدمة التفتيش البيئي لثلاثة أسباب رئيسية وهي: 1) يعد المركز الوطني للرقابة على الالتزام البيئي الجهة الرئيسية بين المراكز الخمسة المستحدثة من الإستراتيجية الوطنية للبيئة، 2) يعد التفتيش البيئي الخدمة الأساسية والرئيسية والدورية التي يقدمها المركز ويستند عليها بشكل رئيسي، 3) وجود بيانات ودراسات سابقة لدى الباحث في المستهدف المطلوب. </w:t>
      </w:r>
    </w:p>
    <w:p w14:paraId="55618335" w14:textId="77777777" w:rsidR="00C54779" w:rsidRPr="005D59A7" w:rsidRDefault="00AA774F" w:rsidP="00861DC2">
      <w:pPr>
        <w:bidi/>
        <w:spacing w:after="200" w:line="360" w:lineRule="auto"/>
        <w:ind w:left="720" w:firstLine="720"/>
        <w:jc w:val="both"/>
        <w:rPr>
          <w:rFonts w:ascii="T" w:hAnsi="T" w:cs="Simplified Arabic"/>
          <w:sz w:val="24"/>
          <w:szCs w:val="24"/>
          <w:rtl/>
        </w:rPr>
      </w:pPr>
      <w:r w:rsidRPr="005D59A7">
        <w:rPr>
          <w:rFonts w:ascii="T" w:hAnsi="T" w:cs="Simplified Arabic"/>
          <w:sz w:val="24"/>
          <w:szCs w:val="24"/>
          <w:rtl/>
        </w:rPr>
        <w:t>عليه، س</w:t>
      </w:r>
      <w:r w:rsidR="00C838F5" w:rsidRPr="005D59A7">
        <w:rPr>
          <w:rFonts w:ascii="T" w:hAnsi="T" w:cs="Simplified Arabic"/>
          <w:sz w:val="24"/>
          <w:szCs w:val="24"/>
          <w:rtl/>
        </w:rPr>
        <w:t>تساهم هذه الدراسة في تمكين القطاع الخاص من المشاركة في تقديم الخدمات البيئية مع القطاع العا</w:t>
      </w:r>
      <w:r w:rsidR="009F4758" w:rsidRPr="005D59A7">
        <w:rPr>
          <w:rFonts w:ascii="T" w:hAnsi="T" w:cs="Simplified Arabic"/>
          <w:sz w:val="24"/>
          <w:szCs w:val="24"/>
          <w:rtl/>
        </w:rPr>
        <w:t xml:space="preserve">م وذلك عن طريق </w:t>
      </w:r>
      <w:r w:rsidR="00C54779" w:rsidRPr="005D59A7">
        <w:rPr>
          <w:rFonts w:ascii="T" w:hAnsi="T" w:cs="Simplified Arabic"/>
          <w:sz w:val="24"/>
          <w:szCs w:val="24"/>
          <w:rtl/>
        </w:rPr>
        <w:t>عرض الدراسات والبيانات الموجودة وتحليلها لتكون نموذج يحتذى به في الخدمات الأخرى</w:t>
      </w:r>
      <w:r w:rsidR="009F4758" w:rsidRPr="005D59A7">
        <w:rPr>
          <w:rFonts w:ascii="T" w:hAnsi="T" w:cs="Simplified Arabic"/>
          <w:sz w:val="24"/>
          <w:szCs w:val="24"/>
          <w:rtl/>
        </w:rPr>
        <w:t xml:space="preserve">. وتتمثل العلاقة السببية أو </w:t>
      </w:r>
      <w:r w:rsidR="00EA0711" w:rsidRPr="005D59A7">
        <w:rPr>
          <w:rFonts w:ascii="T" w:hAnsi="T" w:cs="Simplified Arabic"/>
          <w:sz w:val="24"/>
          <w:szCs w:val="24"/>
          <w:rtl/>
        </w:rPr>
        <w:t>الإرتباطية</w:t>
      </w:r>
      <w:r w:rsidR="009F4758" w:rsidRPr="005D59A7">
        <w:rPr>
          <w:rFonts w:ascii="T" w:hAnsi="T" w:cs="Simplified Arabic"/>
          <w:sz w:val="24"/>
          <w:szCs w:val="24"/>
          <w:rtl/>
        </w:rPr>
        <w:t xml:space="preserve"> الأساسية في</w:t>
      </w:r>
      <w:r w:rsidR="00C838F5" w:rsidRPr="005D59A7">
        <w:rPr>
          <w:rFonts w:ascii="T" w:hAnsi="T" w:cs="Simplified Arabic"/>
          <w:sz w:val="24"/>
          <w:szCs w:val="24"/>
          <w:rtl/>
        </w:rPr>
        <w:t xml:space="preserve"> المساهمة في خفض التكاليف </w:t>
      </w:r>
      <w:r w:rsidR="00C838F5" w:rsidRPr="005D59A7">
        <w:rPr>
          <w:rFonts w:ascii="T" w:hAnsi="T" w:cs="Simplified Arabic"/>
          <w:sz w:val="24"/>
          <w:szCs w:val="24"/>
          <w:rtl/>
        </w:rPr>
        <w:lastRenderedPageBreak/>
        <w:t>على عاتق القطاع العام</w:t>
      </w:r>
      <w:r w:rsidR="00B71861" w:rsidRPr="005D59A7">
        <w:rPr>
          <w:rFonts w:ascii="T" w:hAnsi="T" w:cs="Simplified Arabic"/>
          <w:sz w:val="24"/>
          <w:szCs w:val="24"/>
          <w:rtl/>
        </w:rPr>
        <w:t xml:space="preserve"> والتموي</w:t>
      </w:r>
      <w:r w:rsidR="009F4758" w:rsidRPr="005D59A7">
        <w:rPr>
          <w:rFonts w:ascii="T" w:hAnsi="T" w:cs="Simplified Arabic"/>
          <w:sz w:val="24"/>
          <w:szCs w:val="24"/>
          <w:rtl/>
        </w:rPr>
        <w:t>ل البيئي القادم من صندوق البيئة للمراكز البيئية الخمسة عن طريق إشراك القطاع الخاص في تقديم الخدمات</w:t>
      </w:r>
      <w:r w:rsidR="00E4150D" w:rsidRPr="005D59A7">
        <w:rPr>
          <w:rFonts w:ascii="T" w:hAnsi="T" w:cs="Simplified Arabic"/>
          <w:sz w:val="24"/>
          <w:szCs w:val="24"/>
          <w:rtl/>
        </w:rPr>
        <w:t>.</w:t>
      </w:r>
    </w:p>
    <w:p w14:paraId="4C070464" w14:textId="77777777" w:rsidR="0010375B" w:rsidRPr="005D59A7" w:rsidRDefault="0010375B" w:rsidP="00E25EBC">
      <w:pPr>
        <w:bidi/>
        <w:spacing w:after="200" w:line="360" w:lineRule="auto"/>
        <w:ind w:left="84" w:firstLine="720"/>
        <w:jc w:val="both"/>
        <w:rPr>
          <w:rFonts w:ascii="T" w:hAnsi="T" w:cs="Simplified Arabic"/>
          <w:sz w:val="24"/>
          <w:szCs w:val="24"/>
          <w:rtl/>
        </w:rPr>
      </w:pPr>
      <w:r w:rsidRPr="005D59A7">
        <w:rPr>
          <w:rFonts w:ascii="T" w:hAnsi="T" w:cs="Simplified Arabic"/>
          <w:sz w:val="24"/>
          <w:szCs w:val="24"/>
          <w:rtl/>
        </w:rPr>
        <w:t xml:space="preserve"> </w:t>
      </w:r>
      <w:r w:rsidR="00060EF4" w:rsidRPr="005D59A7">
        <w:rPr>
          <w:rFonts w:ascii="T" w:hAnsi="T" w:cs="Simplified Arabic"/>
          <w:sz w:val="24"/>
          <w:szCs w:val="24"/>
          <w:rtl/>
        </w:rPr>
        <w:t>و</w:t>
      </w:r>
      <w:r w:rsidRPr="005D59A7">
        <w:rPr>
          <w:rFonts w:ascii="T" w:hAnsi="T" w:cs="Simplified Arabic"/>
          <w:sz w:val="24"/>
          <w:szCs w:val="24"/>
          <w:rtl/>
        </w:rPr>
        <w:t>تعد الخطوات الموضحة أدناه هي الخطوات الأساسية لتنفيذ الدراسة</w:t>
      </w:r>
      <w:r w:rsidR="00060EF4" w:rsidRPr="005D59A7">
        <w:rPr>
          <w:rFonts w:ascii="T" w:hAnsi="T" w:cs="Simplified Arabic"/>
          <w:sz w:val="24"/>
          <w:szCs w:val="24"/>
          <w:rtl/>
        </w:rPr>
        <w:t xml:space="preserve"> والتي سيتم مناقشتها في الفصول القادمة للرسالة:</w:t>
      </w:r>
    </w:p>
    <w:p w14:paraId="444049B8"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المراجعة الأدبية ابتداءً من رؤية المملكة ومبادرات الشراكة بين القطاعين العام والخاص.</w:t>
      </w:r>
    </w:p>
    <w:p w14:paraId="7158E611"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الإستراتيجية الوطنية للبيئة والهيكلة التنظيمية لقطاع البيئية.</w:t>
      </w:r>
    </w:p>
    <w:p w14:paraId="7A7F0C4A"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التعريف بالجهات المعنية ومهامها.</w:t>
      </w:r>
    </w:p>
    <w:p w14:paraId="7707654C" w14:textId="77777777" w:rsidR="005E3641"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مناقشة الخدمات البيئية المتوفرة.</w:t>
      </w:r>
    </w:p>
    <w:p w14:paraId="71C5FC88" w14:textId="77777777" w:rsidR="00C54779" w:rsidRPr="005D59A7" w:rsidRDefault="005E3641" w:rsidP="0045581D">
      <w:pPr>
        <w:pStyle w:val="ListParagraph"/>
        <w:numPr>
          <w:ilvl w:val="0"/>
          <w:numId w:val="2"/>
        </w:numPr>
        <w:bidi/>
        <w:spacing w:after="200" w:line="360" w:lineRule="auto"/>
        <w:ind w:left="84" w:firstLine="720"/>
        <w:rPr>
          <w:rFonts w:ascii="T" w:hAnsi="T" w:cs="Simplified Arabic"/>
          <w:sz w:val="24"/>
          <w:szCs w:val="24"/>
          <w:shd w:val="clear" w:color="auto" w:fill="FFFFFF"/>
        </w:rPr>
      </w:pPr>
      <w:r w:rsidRPr="005D59A7">
        <w:rPr>
          <w:rFonts w:ascii="T" w:hAnsi="T" w:cs="Simplified Arabic"/>
          <w:sz w:val="24"/>
          <w:szCs w:val="24"/>
          <w:shd w:val="clear" w:color="auto" w:fill="FFFFFF"/>
          <w:rtl/>
        </w:rPr>
        <w:t>إعداد وعرض دراسة الجدوى لخدمة التفتيش البيئي لاقتراح نموذج شراكة مع القطاع الخاص</w:t>
      </w:r>
      <w:r w:rsidR="00A42786" w:rsidRPr="005D59A7">
        <w:rPr>
          <w:rFonts w:ascii="T" w:hAnsi="T" w:cs="Simplified Arabic"/>
          <w:sz w:val="24"/>
          <w:szCs w:val="24"/>
          <w:shd w:val="clear" w:color="auto" w:fill="FFFFFF"/>
          <w:rtl/>
        </w:rPr>
        <w:t>.</w:t>
      </w:r>
    </w:p>
    <w:p w14:paraId="5375EB36" w14:textId="7E997925" w:rsidR="00B5432A" w:rsidRPr="005D59A7" w:rsidRDefault="00060EF4" w:rsidP="00E25EBC">
      <w:pPr>
        <w:bidi/>
        <w:spacing w:after="200" w:line="360" w:lineRule="auto"/>
        <w:ind w:left="84" w:firstLine="720"/>
        <w:jc w:val="both"/>
        <w:rPr>
          <w:rFonts w:ascii="T" w:hAnsi="T" w:cs="Simplified Arabic"/>
          <w:sz w:val="24"/>
          <w:szCs w:val="24"/>
          <w:rtl/>
        </w:rPr>
      </w:pPr>
      <w:r w:rsidRPr="005D59A7">
        <w:rPr>
          <w:rFonts w:ascii="T" w:hAnsi="T" w:cs="Simplified Arabic"/>
          <w:sz w:val="24"/>
          <w:szCs w:val="24"/>
          <w:rtl/>
        </w:rPr>
        <w:t xml:space="preserve">وفي </w:t>
      </w:r>
      <w:r w:rsidR="00DB16F3" w:rsidRPr="005D59A7">
        <w:rPr>
          <w:rFonts w:ascii="T" w:hAnsi="T" w:cs="Simplified Arabic"/>
          <w:sz w:val="24"/>
          <w:szCs w:val="24"/>
          <w:rtl/>
        </w:rPr>
        <w:t>ختام</w:t>
      </w:r>
      <w:r w:rsidRPr="005D59A7">
        <w:rPr>
          <w:rFonts w:ascii="T" w:hAnsi="T" w:cs="Simplified Arabic"/>
          <w:sz w:val="24"/>
          <w:szCs w:val="24"/>
          <w:rtl/>
        </w:rPr>
        <w:t xml:space="preserve"> هذا الفصل</w:t>
      </w:r>
      <w:r w:rsidR="00DB16F3" w:rsidRPr="005D59A7">
        <w:rPr>
          <w:rFonts w:ascii="T" w:hAnsi="T" w:cs="Simplified Arabic"/>
          <w:sz w:val="24"/>
          <w:szCs w:val="24"/>
          <w:rtl/>
        </w:rPr>
        <w:t>، يقدّم الفصل الثاني مراجعةً مُركّزة للأدبيات والنموذج المفاهيمي النهائي وفجوة البحث؛ ويعرض الفصل الثالث المنهجية التفصيلية وخطة التحليل</w:t>
      </w:r>
      <w:r w:rsidR="00E31E98" w:rsidRPr="005D59A7">
        <w:rPr>
          <w:rFonts w:ascii="T" w:hAnsi="T" w:cs="Simplified Arabic"/>
          <w:sz w:val="24"/>
          <w:szCs w:val="24"/>
          <w:rtl/>
        </w:rPr>
        <w:t xml:space="preserve">، بينما يستعرض الفصل </w:t>
      </w:r>
      <w:r w:rsidR="00EB1549" w:rsidRPr="005D59A7">
        <w:rPr>
          <w:rFonts w:ascii="T" w:hAnsi="T" w:cs="Simplified Arabic"/>
          <w:sz w:val="24"/>
          <w:szCs w:val="24"/>
          <w:rtl/>
        </w:rPr>
        <w:t>الرابع النتائج</w:t>
      </w:r>
      <w:r w:rsidR="00E31E98" w:rsidRPr="005D59A7">
        <w:rPr>
          <w:rFonts w:ascii="T" w:hAnsi="T" w:cs="Simplified Arabic"/>
          <w:sz w:val="24"/>
          <w:szCs w:val="24"/>
          <w:rtl/>
        </w:rPr>
        <w:t xml:space="preserve"> واختبار الفرضيات</w:t>
      </w:r>
      <w:r w:rsidR="00DB16F3" w:rsidRPr="005D59A7">
        <w:rPr>
          <w:rFonts w:ascii="T" w:hAnsi="T" w:cs="Simplified Arabic"/>
          <w:sz w:val="24"/>
          <w:szCs w:val="24"/>
          <w:rtl/>
        </w:rPr>
        <w:t xml:space="preserve">؛ </w:t>
      </w:r>
      <w:r w:rsidR="00E31E98" w:rsidRPr="005D59A7">
        <w:rPr>
          <w:rFonts w:ascii="T" w:hAnsi="T" w:cs="Simplified Arabic"/>
          <w:sz w:val="24"/>
          <w:szCs w:val="24"/>
          <w:rtl/>
        </w:rPr>
        <w:t>وتختتم الرسالة</w:t>
      </w:r>
      <w:r w:rsidR="00DB16F3" w:rsidRPr="005D59A7">
        <w:rPr>
          <w:rFonts w:ascii="T" w:hAnsi="T" w:cs="Simplified Arabic"/>
          <w:sz w:val="24"/>
          <w:szCs w:val="24"/>
          <w:rtl/>
        </w:rPr>
        <w:t xml:space="preserve"> </w:t>
      </w:r>
      <w:r w:rsidR="00E31E98" w:rsidRPr="005D59A7">
        <w:rPr>
          <w:rFonts w:ascii="T" w:hAnsi="T" w:cs="Simplified Arabic"/>
          <w:sz w:val="24"/>
          <w:szCs w:val="24"/>
          <w:rtl/>
        </w:rPr>
        <w:t>ب</w:t>
      </w:r>
      <w:r w:rsidR="00DB16F3" w:rsidRPr="005D59A7">
        <w:rPr>
          <w:rFonts w:ascii="T" w:hAnsi="T" w:cs="Simplified Arabic"/>
          <w:sz w:val="24"/>
          <w:szCs w:val="24"/>
          <w:rtl/>
        </w:rPr>
        <w:t xml:space="preserve">الفصل </w:t>
      </w:r>
      <w:r w:rsidR="00E31E98" w:rsidRPr="005D59A7">
        <w:rPr>
          <w:rFonts w:ascii="T" w:hAnsi="T" w:cs="Simplified Arabic"/>
          <w:sz w:val="24"/>
          <w:szCs w:val="24"/>
          <w:rtl/>
        </w:rPr>
        <w:t>الخامس ب</w:t>
      </w:r>
      <w:r w:rsidR="00DB16F3" w:rsidRPr="005D59A7">
        <w:rPr>
          <w:rFonts w:ascii="T" w:hAnsi="T" w:cs="Simplified Arabic"/>
          <w:sz w:val="24"/>
          <w:szCs w:val="24"/>
          <w:rtl/>
        </w:rPr>
        <w:t>مناقشة</w:t>
      </w:r>
      <w:r w:rsidRPr="005D59A7">
        <w:rPr>
          <w:rFonts w:ascii="T" w:hAnsi="T" w:cs="Simplified Arabic"/>
          <w:sz w:val="24"/>
          <w:szCs w:val="24"/>
          <w:rtl/>
        </w:rPr>
        <w:t xml:space="preserve"> مصفوفة المخاطر</w:t>
      </w:r>
      <w:r w:rsidR="00DB16F3" w:rsidRPr="005D59A7">
        <w:rPr>
          <w:rFonts w:ascii="T" w:hAnsi="T" w:cs="Simplified Arabic"/>
          <w:sz w:val="24"/>
          <w:szCs w:val="24"/>
          <w:rtl/>
        </w:rPr>
        <w:t xml:space="preserve"> والتوصيات والسياسات والحدود والبحوث المستقبلية.</w:t>
      </w:r>
    </w:p>
    <w:bookmarkEnd w:id="4"/>
    <w:p w14:paraId="6DCD4F8E" w14:textId="77777777" w:rsidR="00077001" w:rsidRPr="005D59A7" w:rsidRDefault="00077001" w:rsidP="00861DC2">
      <w:pPr>
        <w:bidi/>
        <w:spacing w:after="200" w:line="360" w:lineRule="auto"/>
        <w:ind w:left="720" w:firstLine="720"/>
        <w:jc w:val="both"/>
        <w:rPr>
          <w:rFonts w:ascii="T" w:hAnsi="T" w:cs="Simplified Arabic"/>
          <w:sz w:val="24"/>
          <w:szCs w:val="24"/>
          <w:rtl/>
        </w:rPr>
      </w:pPr>
    </w:p>
    <w:p w14:paraId="3F60071C" w14:textId="77777777" w:rsidR="008A5ED9" w:rsidRPr="005D59A7" w:rsidRDefault="008A5ED9" w:rsidP="008A5ED9">
      <w:pPr>
        <w:rPr>
          <w:rFonts w:ascii="T" w:hAnsi="T" w:cs="Simplified Arabic"/>
          <w:sz w:val="24"/>
          <w:szCs w:val="24"/>
          <w:shd w:val="clear" w:color="auto" w:fill="FFFFFF"/>
          <w:rtl/>
        </w:rPr>
      </w:pPr>
      <w:bookmarkStart w:id="36" w:name="_Hlk225713754"/>
    </w:p>
    <w:p w14:paraId="5563E49E" w14:textId="77777777" w:rsidR="008A5ED9" w:rsidRPr="005D59A7" w:rsidRDefault="008A5ED9" w:rsidP="008A5ED9">
      <w:pPr>
        <w:rPr>
          <w:rFonts w:ascii="T" w:hAnsi="T" w:cs="Simplified Arabic"/>
          <w:sz w:val="24"/>
          <w:szCs w:val="24"/>
          <w:shd w:val="clear" w:color="auto" w:fill="FFFFFF"/>
          <w:rtl/>
        </w:rPr>
      </w:pPr>
    </w:p>
    <w:p w14:paraId="1D3B5A52" w14:textId="77777777" w:rsidR="008A5ED9" w:rsidRPr="005D59A7" w:rsidRDefault="008A5ED9" w:rsidP="008A5ED9">
      <w:pPr>
        <w:rPr>
          <w:rFonts w:ascii="T" w:hAnsi="T" w:cs="Simplified Arabic"/>
          <w:sz w:val="24"/>
          <w:szCs w:val="24"/>
          <w:shd w:val="clear" w:color="auto" w:fill="FFFFFF"/>
          <w:rtl/>
        </w:rPr>
      </w:pPr>
    </w:p>
    <w:p w14:paraId="664818F5" w14:textId="77777777" w:rsidR="008A5ED9" w:rsidRPr="005D59A7" w:rsidRDefault="008A5ED9" w:rsidP="008A5ED9">
      <w:pPr>
        <w:rPr>
          <w:rFonts w:ascii="T" w:hAnsi="T" w:cs="Simplified Arabic"/>
          <w:sz w:val="24"/>
          <w:szCs w:val="24"/>
          <w:shd w:val="clear" w:color="auto" w:fill="FFFFFF"/>
          <w:rtl/>
        </w:rPr>
      </w:pPr>
    </w:p>
    <w:p w14:paraId="30930744" w14:textId="77777777" w:rsidR="008A5ED9" w:rsidRPr="005D59A7" w:rsidRDefault="008A5ED9" w:rsidP="008A5ED9">
      <w:pPr>
        <w:rPr>
          <w:rFonts w:ascii="T" w:hAnsi="T" w:cs="Simplified Arabic"/>
          <w:sz w:val="24"/>
          <w:szCs w:val="24"/>
          <w:shd w:val="clear" w:color="auto" w:fill="FFFFFF"/>
          <w:rtl/>
        </w:rPr>
      </w:pPr>
    </w:p>
    <w:p w14:paraId="53E4C31E" w14:textId="6D964224" w:rsidR="008A5ED9" w:rsidRPr="005D59A7" w:rsidRDefault="008A5ED9" w:rsidP="008A5ED9">
      <w:pPr>
        <w:rPr>
          <w:rFonts w:ascii="T" w:hAnsi="T" w:cs="Simplified Arabic"/>
          <w:sz w:val="24"/>
          <w:szCs w:val="24"/>
          <w:shd w:val="clear" w:color="auto" w:fill="FFFFFF"/>
          <w:rtl/>
        </w:rPr>
      </w:pPr>
    </w:p>
    <w:p w14:paraId="387450AC" w14:textId="6147980C" w:rsidR="008A5ED9" w:rsidRPr="005D59A7" w:rsidRDefault="008A5ED9" w:rsidP="008A5ED9">
      <w:pPr>
        <w:rPr>
          <w:rFonts w:ascii="T" w:hAnsi="T" w:cs="Simplified Arabic"/>
          <w:sz w:val="24"/>
          <w:szCs w:val="24"/>
          <w:shd w:val="clear" w:color="auto" w:fill="FFFFFF"/>
          <w:rtl/>
        </w:rPr>
      </w:pPr>
    </w:p>
    <w:p w14:paraId="300B8B94" w14:textId="77777777" w:rsidR="008A5ED9" w:rsidRPr="005D59A7" w:rsidRDefault="008A5ED9" w:rsidP="008A5ED9">
      <w:pPr>
        <w:rPr>
          <w:rFonts w:ascii="T" w:hAnsi="T" w:cs="Simplified Arabic"/>
          <w:sz w:val="24"/>
          <w:szCs w:val="24"/>
          <w:shd w:val="clear" w:color="auto" w:fill="FFFFFF"/>
          <w:rtl/>
        </w:rPr>
      </w:pPr>
    </w:p>
    <w:p w14:paraId="6FD19A19" w14:textId="36F79A3C" w:rsidR="00E31E98" w:rsidRPr="005D59A7" w:rsidRDefault="00E31E98" w:rsidP="00057D71">
      <w:pPr>
        <w:pStyle w:val="Heading1"/>
        <w:bidi/>
        <w:spacing w:line="360" w:lineRule="auto"/>
        <w:ind w:firstLine="720"/>
        <w:jc w:val="center"/>
        <w:rPr>
          <w:rFonts w:ascii="T" w:hAnsi="T" w:cs="Simplified Arabic"/>
          <w:b/>
          <w:bCs/>
          <w:color w:val="auto"/>
          <w:sz w:val="28"/>
          <w:szCs w:val="28"/>
          <w:u w:val="single"/>
          <w:shd w:val="clear" w:color="auto" w:fill="FFFFFF"/>
          <w:rtl/>
        </w:rPr>
      </w:pPr>
      <w:bookmarkStart w:id="37" w:name="_Toc225991349"/>
      <w:r w:rsidRPr="005D59A7">
        <w:rPr>
          <w:rFonts w:ascii="T" w:hAnsi="T" w:cs="Simplified Arabic"/>
          <w:b/>
          <w:bCs/>
          <w:color w:val="auto"/>
          <w:sz w:val="28"/>
          <w:szCs w:val="28"/>
          <w:u w:val="single"/>
          <w:shd w:val="clear" w:color="auto" w:fill="FFFFFF"/>
          <w:rtl/>
        </w:rPr>
        <w:lastRenderedPageBreak/>
        <w:t>الفصل الثاني: الإطار النظري للدراسة (مراجعة الأدبيات ذات العلاقة)</w:t>
      </w:r>
      <w:bookmarkEnd w:id="37"/>
    </w:p>
    <w:p w14:paraId="5B276226" w14:textId="29304036" w:rsidR="008432FD" w:rsidRPr="005D59A7" w:rsidRDefault="00B554E2"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في هذا الفصل ستتم مناقشة الأدبيات ذات العلاقة بالرسالة وذلك من خلال مناقشة التاريخ العام للشراكات مع القطاع الخاص وأهميتها وتطورها عبر السنوات. ومن ثم مناقشة رؤية المملكة 2030 كانطلاقة حقيقية لإعادة الهيكلة المؤسسية في المملكة وتفعيل الشراكات مع القطاع الخاص. وأخيراً، التعريج على قطاع البيئة وما مر به من إعادة هيكلة وإنشاء جهات متخصصة حديثة وإطلاق الإستراتيجية الوطنية للبيئة. </w:t>
      </w:r>
    </w:p>
    <w:p w14:paraId="6D03A8A1" w14:textId="77777777" w:rsidR="00843CD6" w:rsidRPr="005D59A7" w:rsidRDefault="00843CD6" w:rsidP="00861DC2">
      <w:pPr>
        <w:pStyle w:val="Heading1"/>
        <w:bidi/>
        <w:spacing w:line="360" w:lineRule="auto"/>
        <w:ind w:firstLine="720"/>
        <w:rPr>
          <w:rFonts w:ascii="T" w:hAnsi="T" w:cs="Simplified Arabic"/>
          <w:b/>
          <w:bCs/>
          <w:color w:val="auto"/>
          <w:sz w:val="24"/>
          <w:szCs w:val="24"/>
          <w:u w:val="single"/>
          <w:shd w:val="clear" w:color="auto" w:fill="FFFFFF"/>
        </w:rPr>
      </w:pPr>
      <w:bookmarkStart w:id="38" w:name="_Toc225991350"/>
      <w:r w:rsidRPr="005D59A7">
        <w:rPr>
          <w:rFonts w:ascii="T" w:hAnsi="T" w:cs="Simplified Arabic"/>
          <w:b/>
          <w:bCs/>
          <w:color w:val="auto"/>
          <w:sz w:val="24"/>
          <w:szCs w:val="24"/>
          <w:u w:val="single"/>
          <w:shd w:val="clear" w:color="auto" w:fill="FFFFFF"/>
          <w:rtl/>
        </w:rPr>
        <w:t>منهجية مراجعة الأدبيات</w:t>
      </w:r>
      <w:bookmarkEnd w:id="38"/>
    </w:p>
    <w:p w14:paraId="40692BC3" w14:textId="77777777" w:rsidR="00843CD6" w:rsidRPr="005D59A7" w:rsidRDefault="00843CD6" w:rsidP="00861DC2">
      <w:pPr>
        <w:bidi/>
        <w:spacing w:line="360" w:lineRule="auto"/>
        <w:ind w:firstLine="720"/>
        <w:jc w:val="both"/>
        <w:rPr>
          <w:rFonts w:ascii="T" w:hAnsi="T" w:cs="Simplified Arabic"/>
          <w:sz w:val="24"/>
          <w:szCs w:val="24"/>
        </w:rPr>
      </w:pPr>
      <w:r w:rsidRPr="005D59A7">
        <w:rPr>
          <w:rFonts w:ascii="T" w:hAnsi="T" w:cs="Simplified Arabic"/>
          <w:sz w:val="24"/>
          <w:szCs w:val="24"/>
          <w:rtl/>
        </w:rPr>
        <w:t>تم اعتماد منهجية منظمة ومرنة لمراجعة الأدبيات في هذا الفصل، وذلك بهدف ضمان الشمولية والموضوعية والدقة في تغطية الدراسات السابقة ذات الصلة بموضوع البحث. اعتمدت المراجعة على أسس ومعايير واضحة يمكن تلخيصها في المحاور التالية: مصادر البيانات، الكلمات المفتاحية، الفترة الزمنية، معايير الاختيار والاستبعاد، تنظيم المراجعة، إجراءات تحليل المحتوى، حدود المراجعة، وإجراءات التحديث</w:t>
      </w:r>
      <w:r w:rsidRPr="005D59A7">
        <w:rPr>
          <w:rFonts w:ascii="T" w:hAnsi="T" w:cs="Simplified Arabic"/>
          <w:sz w:val="24"/>
          <w:szCs w:val="24"/>
        </w:rPr>
        <w:t>.</w:t>
      </w:r>
    </w:p>
    <w:p w14:paraId="1DC0BAAC"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39" w:name="_Toc225991351"/>
      <w:r w:rsidRPr="005D59A7">
        <w:rPr>
          <w:rFonts w:ascii="T" w:eastAsiaTheme="majorEastAsia" w:hAnsi="T" w:cs="Simplified Arabic"/>
          <w:b/>
          <w:bCs/>
          <w:sz w:val="24"/>
          <w:szCs w:val="24"/>
          <w:u w:val="single"/>
          <w:shd w:val="clear" w:color="auto" w:fill="FFFFFF"/>
          <w:rtl/>
        </w:rPr>
        <w:t>أولاً: قواعد البيانات والمصادر</w:t>
      </w:r>
      <w:bookmarkEnd w:id="39"/>
    </w:p>
    <w:p w14:paraId="05C6225E"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تم الاعتماد على مجموعة متنوعة من قواعد البيانات والمصادر لضمان تغطية شاملة للأدبيات ذات الصلة. تم اختيار هذه المصادر بناءً على ثلاثة اعتبارات رئيسية: (1) تغطيتها الواسعة للمجالات ذات الصلة (الاقتصاد، الإدارة العامة، العلوم البيئية، الهندسة)، (2) مصداقيتها العلمية، (3) توفرها للباحث</w:t>
      </w:r>
      <w:r w:rsidRPr="005D59A7">
        <w:rPr>
          <w:rFonts w:ascii="T" w:hAnsi="T" w:cs="Simplified Arabic"/>
          <w:sz w:val="24"/>
          <w:szCs w:val="24"/>
        </w:rPr>
        <w:t>.</w:t>
      </w:r>
    </w:p>
    <w:p w14:paraId="1D21275F"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0" w:name="_Toc225991352"/>
      <w:r w:rsidRPr="005D59A7">
        <w:rPr>
          <w:rFonts w:ascii="T" w:eastAsiaTheme="majorEastAsia" w:hAnsi="T" w:cs="Simplified Arabic"/>
          <w:b/>
          <w:bCs/>
          <w:sz w:val="24"/>
          <w:szCs w:val="24"/>
          <w:u w:val="single"/>
          <w:shd w:val="clear" w:color="auto" w:fill="FFFFFF"/>
          <w:rtl/>
        </w:rPr>
        <w:t>قواعد البيانات العلمية المحكمة</w:t>
      </w:r>
      <w:r w:rsidRPr="005D59A7">
        <w:rPr>
          <w:rFonts w:ascii="T" w:eastAsiaTheme="majorEastAsia" w:hAnsi="T" w:cs="Simplified Arabic"/>
          <w:b/>
          <w:bCs/>
          <w:sz w:val="24"/>
          <w:szCs w:val="24"/>
          <w:u w:val="single"/>
          <w:shd w:val="clear" w:color="auto" w:fill="FFFFFF"/>
        </w:rPr>
        <w:t>:</w:t>
      </w:r>
      <w:bookmarkEnd w:id="40"/>
    </w:p>
    <w:tbl>
      <w:tblPr>
        <w:tblStyle w:val="TableGrid"/>
        <w:bidiVisual/>
        <w:tblW w:w="0" w:type="auto"/>
        <w:tblLook w:val="04A0" w:firstRow="1" w:lastRow="0" w:firstColumn="1" w:lastColumn="0" w:noHBand="0" w:noVBand="1"/>
      </w:tblPr>
      <w:tblGrid>
        <w:gridCol w:w="2226"/>
        <w:gridCol w:w="1672"/>
        <w:gridCol w:w="4624"/>
      </w:tblGrid>
      <w:tr w:rsidR="0048002A" w:rsidRPr="005D59A7" w14:paraId="4D21D4C6" w14:textId="77777777" w:rsidTr="00970F45">
        <w:tc>
          <w:tcPr>
            <w:tcW w:w="0" w:type="auto"/>
            <w:hideMark/>
          </w:tcPr>
          <w:p w14:paraId="1BF03C55"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قاعدة البيانات</w:t>
            </w:r>
          </w:p>
        </w:tc>
        <w:tc>
          <w:tcPr>
            <w:tcW w:w="0" w:type="auto"/>
            <w:hideMark/>
          </w:tcPr>
          <w:p w14:paraId="6A475408" w14:textId="77777777" w:rsidR="00843CD6" w:rsidRPr="005D59A7" w:rsidRDefault="00843CD6" w:rsidP="008A5ED9">
            <w:pPr>
              <w:bidi/>
              <w:spacing w:after="0" w:line="240" w:lineRule="auto"/>
              <w:rPr>
                <w:rFonts w:ascii="T" w:hAnsi="T" w:cs="Simplified Arabic"/>
                <w:sz w:val="24"/>
                <w:szCs w:val="24"/>
              </w:rPr>
            </w:pPr>
            <w:r w:rsidRPr="005D59A7">
              <w:rPr>
                <w:rFonts w:ascii="T" w:hAnsi="T" w:cs="Simplified Arabic"/>
                <w:sz w:val="24"/>
                <w:szCs w:val="24"/>
                <w:rtl/>
              </w:rPr>
              <w:t>مجال التغطية</w:t>
            </w:r>
          </w:p>
        </w:tc>
        <w:tc>
          <w:tcPr>
            <w:tcW w:w="0" w:type="auto"/>
            <w:hideMark/>
          </w:tcPr>
          <w:p w14:paraId="4D6F97DD" w14:textId="77777777" w:rsidR="00843CD6" w:rsidRPr="005D59A7" w:rsidRDefault="00843CD6" w:rsidP="008A5ED9">
            <w:pPr>
              <w:bidi/>
              <w:spacing w:after="0" w:line="240" w:lineRule="auto"/>
              <w:rPr>
                <w:rFonts w:ascii="T" w:hAnsi="T" w:cs="Simplified Arabic"/>
                <w:sz w:val="24"/>
                <w:szCs w:val="24"/>
              </w:rPr>
            </w:pPr>
            <w:r w:rsidRPr="005D59A7">
              <w:rPr>
                <w:rFonts w:ascii="T" w:hAnsi="T" w:cs="Simplified Arabic"/>
                <w:sz w:val="24"/>
                <w:szCs w:val="24"/>
                <w:rtl/>
              </w:rPr>
              <w:t>سبب الاختيار</w:t>
            </w:r>
          </w:p>
        </w:tc>
      </w:tr>
      <w:tr w:rsidR="0048002A" w:rsidRPr="005D59A7" w14:paraId="3AB60E17" w14:textId="77777777" w:rsidTr="00970F45">
        <w:tc>
          <w:tcPr>
            <w:tcW w:w="0" w:type="auto"/>
            <w:hideMark/>
          </w:tcPr>
          <w:p w14:paraId="25EC8174"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Scopus</w:t>
            </w:r>
          </w:p>
        </w:tc>
        <w:tc>
          <w:tcPr>
            <w:tcW w:w="0" w:type="auto"/>
            <w:hideMark/>
          </w:tcPr>
          <w:p w14:paraId="7D2F0A97"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10B63FB0"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أكبر قاعدة بيانات للدراسات المحكمة، تغطي أكثر من 22 ألف دورية علمية</w:t>
            </w:r>
          </w:p>
        </w:tc>
      </w:tr>
      <w:tr w:rsidR="0048002A" w:rsidRPr="005D59A7" w14:paraId="65D3D9B5" w14:textId="77777777" w:rsidTr="00970F45">
        <w:tc>
          <w:tcPr>
            <w:tcW w:w="0" w:type="auto"/>
            <w:hideMark/>
          </w:tcPr>
          <w:p w14:paraId="7547694F"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Web of Science (WoS)</w:t>
            </w:r>
          </w:p>
        </w:tc>
        <w:tc>
          <w:tcPr>
            <w:tcW w:w="0" w:type="auto"/>
            <w:hideMark/>
          </w:tcPr>
          <w:p w14:paraId="4F9FFD8D"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47CEDBD2"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 المجلات العلمية عالية التأثير</w:t>
            </w:r>
            <w:r w:rsidRPr="005D59A7">
              <w:rPr>
                <w:rFonts w:ascii="T" w:hAnsi="T" w:cs="Simplified Arabic"/>
                <w:sz w:val="24"/>
                <w:szCs w:val="24"/>
              </w:rPr>
              <w:t xml:space="preserve"> (Core Collection)</w:t>
            </w:r>
          </w:p>
        </w:tc>
      </w:tr>
      <w:tr w:rsidR="0048002A" w:rsidRPr="005D59A7" w14:paraId="3E50181C" w14:textId="77777777" w:rsidTr="00970F45">
        <w:tc>
          <w:tcPr>
            <w:tcW w:w="0" w:type="auto"/>
            <w:hideMark/>
          </w:tcPr>
          <w:p w14:paraId="0B53ED78"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Google Scholar</w:t>
            </w:r>
          </w:p>
        </w:tc>
        <w:tc>
          <w:tcPr>
            <w:tcW w:w="0" w:type="auto"/>
            <w:hideMark/>
          </w:tcPr>
          <w:p w14:paraId="2DC9B99C"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متعدد التخصصات</w:t>
            </w:r>
          </w:p>
        </w:tc>
        <w:tc>
          <w:tcPr>
            <w:tcW w:w="0" w:type="auto"/>
            <w:hideMark/>
          </w:tcPr>
          <w:p w14:paraId="2EE2652C"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واسعة للدراسات الأكاديمية والتقارير والكتب</w:t>
            </w:r>
          </w:p>
        </w:tc>
      </w:tr>
      <w:tr w:rsidR="0048002A" w:rsidRPr="005D59A7" w14:paraId="15CB5445" w14:textId="77777777" w:rsidTr="00970F45">
        <w:tc>
          <w:tcPr>
            <w:tcW w:w="0" w:type="auto"/>
            <w:hideMark/>
          </w:tcPr>
          <w:p w14:paraId="21B9BCD2"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ScienceDirect</w:t>
            </w:r>
          </w:p>
        </w:tc>
        <w:tc>
          <w:tcPr>
            <w:tcW w:w="0" w:type="auto"/>
            <w:hideMark/>
          </w:tcPr>
          <w:p w14:paraId="6D8D852D"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العلوم والطب والهندسة</w:t>
            </w:r>
          </w:p>
        </w:tc>
        <w:tc>
          <w:tcPr>
            <w:tcW w:w="0" w:type="auto"/>
            <w:hideMark/>
          </w:tcPr>
          <w:p w14:paraId="693AF4B9" w14:textId="77777777" w:rsidR="00843CD6" w:rsidRPr="005D59A7" w:rsidRDefault="00843CD6" w:rsidP="008A5ED9">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 منشورات</w:t>
            </w:r>
            <w:r w:rsidRPr="005D59A7">
              <w:rPr>
                <w:rFonts w:ascii="T" w:hAnsi="T" w:cs="Simplified Arabic"/>
                <w:sz w:val="24"/>
                <w:szCs w:val="24"/>
              </w:rPr>
              <w:t xml:space="preserve"> Elsevier </w:t>
            </w:r>
            <w:r w:rsidRPr="005D59A7">
              <w:rPr>
                <w:rFonts w:ascii="T" w:hAnsi="T" w:cs="Simplified Arabic"/>
                <w:sz w:val="24"/>
                <w:szCs w:val="24"/>
                <w:rtl/>
              </w:rPr>
              <w:t>في مجالات البيئة والإدارة</w:t>
            </w:r>
          </w:p>
        </w:tc>
      </w:tr>
    </w:tbl>
    <w:p w14:paraId="346CA698"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1" w:name="_Toc225991353"/>
      <w:r w:rsidRPr="005D59A7">
        <w:rPr>
          <w:rFonts w:ascii="T" w:eastAsiaTheme="majorEastAsia" w:hAnsi="T" w:cs="Simplified Arabic"/>
          <w:b/>
          <w:bCs/>
          <w:sz w:val="24"/>
          <w:szCs w:val="24"/>
          <w:u w:val="single"/>
          <w:shd w:val="clear" w:color="auto" w:fill="FFFFFF"/>
          <w:rtl/>
        </w:rPr>
        <w:lastRenderedPageBreak/>
        <w:t>المصادر الرسمية والتقارير</w:t>
      </w:r>
      <w:r w:rsidRPr="005D59A7">
        <w:rPr>
          <w:rFonts w:ascii="T" w:eastAsiaTheme="majorEastAsia" w:hAnsi="T" w:cs="Simplified Arabic"/>
          <w:b/>
          <w:bCs/>
          <w:sz w:val="24"/>
          <w:szCs w:val="24"/>
          <w:u w:val="single"/>
          <w:shd w:val="clear" w:color="auto" w:fill="FFFFFF"/>
        </w:rPr>
        <w:t>:</w:t>
      </w:r>
      <w:bookmarkEnd w:id="41"/>
    </w:p>
    <w:p w14:paraId="473FF2A7"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التقارير الحكومية السعودية</w:t>
      </w:r>
      <w:r w:rsidRPr="005D59A7">
        <w:rPr>
          <w:rFonts w:ascii="T" w:hAnsi="T" w:cs="Simplified Arabic"/>
          <w:sz w:val="24"/>
          <w:szCs w:val="24"/>
        </w:rPr>
        <w:t>: </w:t>
      </w:r>
      <w:r w:rsidRPr="005D59A7">
        <w:rPr>
          <w:rFonts w:ascii="T" w:hAnsi="T" w:cs="Simplified Arabic"/>
          <w:sz w:val="24"/>
          <w:szCs w:val="24"/>
          <w:rtl/>
        </w:rPr>
        <w:t>وزارة البيئة والمياه والزراعة</w:t>
      </w:r>
      <w:r w:rsidRPr="005D59A7">
        <w:rPr>
          <w:rFonts w:ascii="T" w:hAnsi="T" w:cs="Simplified Arabic"/>
          <w:sz w:val="24"/>
          <w:szCs w:val="24"/>
        </w:rPr>
        <w:t xml:space="preserve"> (MEWA)</w:t>
      </w:r>
      <w:r w:rsidRPr="005D59A7">
        <w:rPr>
          <w:rFonts w:ascii="T" w:hAnsi="T" w:cs="Simplified Arabic"/>
          <w:sz w:val="24"/>
          <w:szCs w:val="24"/>
          <w:rtl/>
        </w:rPr>
        <w:t>، المركز الوطني للتخصيص</w:t>
      </w:r>
      <w:r w:rsidRPr="005D59A7">
        <w:rPr>
          <w:rFonts w:ascii="T" w:hAnsi="T" w:cs="Simplified Arabic"/>
          <w:sz w:val="24"/>
          <w:szCs w:val="24"/>
        </w:rPr>
        <w:t xml:space="preserve"> (NCP)</w:t>
      </w:r>
      <w:r w:rsidRPr="005D59A7">
        <w:rPr>
          <w:rFonts w:ascii="T" w:hAnsi="T" w:cs="Simplified Arabic"/>
          <w:sz w:val="24"/>
          <w:szCs w:val="24"/>
          <w:rtl/>
        </w:rPr>
        <w:t>، المركز الوطني للرقابة على الالتزام البيئي</w:t>
      </w:r>
      <w:r w:rsidRPr="005D59A7">
        <w:rPr>
          <w:rFonts w:ascii="T" w:hAnsi="T" w:cs="Simplified Arabic"/>
          <w:sz w:val="24"/>
          <w:szCs w:val="24"/>
        </w:rPr>
        <w:t xml:space="preserve"> (NCEC)</w:t>
      </w:r>
      <w:r w:rsidRPr="005D59A7">
        <w:rPr>
          <w:rFonts w:ascii="T" w:hAnsi="T" w:cs="Simplified Arabic"/>
          <w:sz w:val="24"/>
          <w:szCs w:val="24"/>
          <w:rtl/>
        </w:rPr>
        <w:t>، صندوق البيئة</w:t>
      </w:r>
      <w:r w:rsidRPr="005D59A7">
        <w:rPr>
          <w:rFonts w:ascii="T" w:hAnsi="T" w:cs="Simplified Arabic"/>
          <w:sz w:val="24"/>
          <w:szCs w:val="24"/>
        </w:rPr>
        <w:t xml:space="preserve"> (EF).</w:t>
      </w:r>
    </w:p>
    <w:p w14:paraId="7B4CDDE9"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التقارير الدولية</w:t>
      </w:r>
      <w:r w:rsidRPr="005D59A7">
        <w:rPr>
          <w:rFonts w:ascii="T" w:hAnsi="T" w:cs="Simplified Arabic"/>
          <w:sz w:val="24"/>
          <w:szCs w:val="24"/>
        </w:rPr>
        <w:t>: </w:t>
      </w:r>
      <w:r w:rsidRPr="005D59A7">
        <w:rPr>
          <w:rFonts w:ascii="T" w:hAnsi="T" w:cs="Simplified Arabic"/>
          <w:sz w:val="24"/>
          <w:szCs w:val="24"/>
          <w:rtl/>
        </w:rPr>
        <w:t>البنك الدولي</w:t>
      </w:r>
      <w:r w:rsidRPr="005D59A7">
        <w:rPr>
          <w:rFonts w:ascii="T" w:hAnsi="T" w:cs="Simplified Arabic"/>
          <w:sz w:val="24"/>
          <w:szCs w:val="24"/>
        </w:rPr>
        <w:t xml:space="preserve"> (World Bank)</w:t>
      </w:r>
      <w:r w:rsidRPr="005D59A7">
        <w:rPr>
          <w:rFonts w:ascii="T" w:hAnsi="T" w:cs="Simplified Arabic"/>
          <w:sz w:val="24"/>
          <w:szCs w:val="24"/>
          <w:rtl/>
        </w:rPr>
        <w:t>، منظمة التعاون الاقتصادي والتنمية</w:t>
      </w:r>
      <w:r w:rsidRPr="005D59A7">
        <w:rPr>
          <w:rFonts w:ascii="T" w:hAnsi="T" w:cs="Simplified Arabic"/>
          <w:sz w:val="24"/>
          <w:szCs w:val="24"/>
        </w:rPr>
        <w:t xml:space="preserve"> (OECD)</w:t>
      </w:r>
      <w:r w:rsidRPr="005D59A7">
        <w:rPr>
          <w:rFonts w:ascii="T" w:hAnsi="T" w:cs="Simplified Arabic"/>
          <w:sz w:val="24"/>
          <w:szCs w:val="24"/>
          <w:rtl/>
        </w:rPr>
        <w:t>، الأمم المتحدة</w:t>
      </w:r>
      <w:r w:rsidRPr="005D59A7">
        <w:rPr>
          <w:rFonts w:ascii="T" w:hAnsi="T" w:cs="Simplified Arabic"/>
          <w:sz w:val="24"/>
          <w:szCs w:val="24"/>
        </w:rPr>
        <w:t xml:space="preserve"> (UN)</w:t>
      </w:r>
      <w:r w:rsidRPr="005D59A7">
        <w:rPr>
          <w:rFonts w:ascii="T" w:hAnsi="T" w:cs="Simplified Arabic"/>
          <w:sz w:val="24"/>
          <w:szCs w:val="24"/>
          <w:rtl/>
        </w:rPr>
        <w:t>، منظمة الصحة العالمية</w:t>
      </w:r>
      <w:r w:rsidRPr="005D59A7">
        <w:rPr>
          <w:rFonts w:ascii="T" w:hAnsi="T" w:cs="Simplified Arabic"/>
          <w:sz w:val="24"/>
          <w:szCs w:val="24"/>
        </w:rPr>
        <w:t xml:space="preserve"> (WHO)</w:t>
      </w:r>
      <w:r w:rsidRPr="005D59A7">
        <w:rPr>
          <w:rFonts w:ascii="T" w:hAnsi="T" w:cs="Simplified Arabic"/>
          <w:sz w:val="24"/>
          <w:szCs w:val="24"/>
          <w:rtl/>
        </w:rPr>
        <w:t>، الاتحاد الأوروبي</w:t>
      </w:r>
      <w:r w:rsidRPr="005D59A7">
        <w:rPr>
          <w:rFonts w:ascii="T" w:hAnsi="T" w:cs="Simplified Arabic"/>
          <w:sz w:val="24"/>
          <w:szCs w:val="24"/>
        </w:rPr>
        <w:t xml:space="preserve"> (EU).</w:t>
      </w:r>
    </w:p>
    <w:p w14:paraId="4EEA2D67"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الكتب والمراجع العلمية</w:t>
      </w:r>
      <w:r w:rsidRPr="005D59A7">
        <w:rPr>
          <w:rFonts w:ascii="T" w:hAnsi="T" w:cs="Simplified Arabic"/>
          <w:sz w:val="24"/>
          <w:szCs w:val="24"/>
        </w:rPr>
        <w:t>: </w:t>
      </w:r>
      <w:r w:rsidRPr="005D59A7">
        <w:rPr>
          <w:rFonts w:ascii="T" w:hAnsi="T" w:cs="Simplified Arabic"/>
          <w:sz w:val="24"/>
          <w:szCs w:val="24"/>
          <w:rtl/>
        </w:rPr>
        <w:t>الصادرة عن دور نشر أكاديمية موثوقة مثل</w:t>
      </w:r>
      <w:r w:rsidRPr="005D59A7">
        <w:rPr>
          <w:rFonts w:ascii="T" w:hAnsi="T" w:cs="Simplified Arabic"/>
          <w:sz w:val="24"/>
          <w:szCs w:val="24"/>
        </w:rPr>
        <w:t xml:space="preserve"> Springer</w:t>
      </w:r>
      <w:r w:rsidRPr="005D59A7">
        <w:rPr>
          <w:rFonts w:ascii="T" w:hAnsi="T" w:cs="Simplified Arabic"/>
          <w:sz w:val="24"/>
          <w:szCs w:val="24"/>
          <w:rtl/>
        </w:rPr>
        <w:t xml:space="preserve">، </w:t>
      </w:r>
      <w:r w:rsidRPr="005D59A7">
        <w:rPr>
          <w:rFonts w:ascii="T" w:hAnsi="T" w:cs="Simplified Arabic"/>
          <w:sz w:val="24"/>
          <w:szCs w:val="24"/>
        </w:rPr>
        <w:t>Elsevier</w:t>
      </w:r>
      <w:r w:rsidRPr="005D59A7">
        <w:rPr>
          <w:rFonts w:ascii="T" w:hAnsi="T" w:cs="Simplified Arabic"/>
          <w:sz w:val="24"/>
          <w:szCs w:val="24"/>
          <w:rtl/>
        </w:rPr>
        <w:t xml:space="preserve">، </w:t>
      </w:r>
      <w:r w:rsidRPr="005D59A7">
        <w:rPr>
          <w:rFonts w:ascii="T" w:hAnsi="T" w:cs="Simplified Arabic"/>
          <w:sz w:val="24"/>
          <w:szCs w:val="24"/>
        </w:rPr>
        <w:t>Routledge.</w:t>
      </w:r>
    </w:p>
    <w:p w14:paraId="08DCA8B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أطروحات الدكتوراه والماجستير</w:t>
      </w:r>
      <w:r w:rsidRPr="005D59A7">
        <w:rPr>
          <w:rFonts w:ascii="T" w:hAnsi="T" w:cs="Simplified Arabic"/>
          <w:sz w:val="24"/>
          <w:szCs w:val="24"/>
        </w:rPr>
        <w:t>: </w:t>
      </w:r>
      <w:r w:rsidRPr="005D59A7">
        <w:rPr>
          <w:rFonts w:ascii="T" w:hAnsi="T" w:cs="Simplified Arabic"/>
          <w:sz w:val="24"/>
          <w:szCs w:val="24"/>
          <w:rtl/>
        </w:rPr>
        <w:t>من الجامعات السعودية والعربية والعالمية، عبر قواعد بيانات مثل</w:t>
      </w:r>
      <w:r w:rsidRPr="005D59A7">
        <w:rPr>
          <w:rFonts w:ascii="T" w:hAnsi="T" w:cs="Simplified Arabic"/>
          <w:sz w:val="24"/>
          <w:szCs w:val="24"/>
        </w:rPr>
        <w:t xml:space="preserve"> ProQuest </w:t>
      </w:r>
      <w:r w:rsidRPr="005D59A7">
        <w:rPr>
          <w:rFonts w:ascii="T" w:hAnsi="T" w:cs="Simplified Arabic"/>
          <w:sz w:val="24"/>
          <w:szCs w:val="24"/>
          <w:rtl/>
        </w:rPr>
        <w:t>و</w:t>
      </w:r>
      <w:r w:rsidRPr="005D59A7">
        <w:rPr>
          <w:rFonts w:ascii="T" w:hAnsi="T" w:cs="Simplified Arabic"/>
          <w:sz w:val="24"/>
          <w:szCs w:val="24"/>
        </w:rPr>
        <w:t>DAR.</w:t>
      </w:r>
    </w:p>
    <w:p w14:paraId="1440C488" w14:textId="77777777" w:rsidR="00843CD6" w:rsidRPr="005D59A7" w:rsidRDefault="00843CD6" w:rsidP="00861DC2">
      <w:pPr>
        <w:shd w:val="clear" w:color="auto" w:fill="FFFFFF"/>
        <w:bidi/>
        <w:spacing w:before="480" w:after="240" w:line="360" w:lineRule="auto"/>
        <w:ind w:firstLine="720"/>
        <w:outlineLvl w:val="2"/>
        <w:rPr>
          <w:rFonts w:ascii="T" w:eastAsiaTheme="majorEastAsia" w:hAnsi="T" w:cs="Simplified Arabic"/>
          <w:b/>
          <w:bCs/>
          <w:sz w:val="24"/>
          <w:szCs w:val="24"/>
          <w:u w:val="single"/>
          <w:shd w:val="clear" w:color="auto" w:fill="FFFFFF"/>
        </w:rPr>
      </w:pPr>
      <w:bookmarkStart w:id="42" w:name="_Toc225991354"/>
      <w:r w:rsidRPr="005D59A7">
        <w:rPr>
          <w:rFonts w:ascii="T" w:eastAsiaTheme="majorEastAsia" w:hAnsi="T" w:cs="Simplified Arabic"/>
          <w:b/>
          <w:bCs/>
          <w:sz w:val="24"/>
          <w:szCs w:val="24"/>
          <w:u w:val="single"/>
          <w:shd w:val="clear" w:color="auto" w:fill="FFFFFF"/>
          <w:rtl/>
        </w:rPr>
        <w:t>ثانياً: الكلمات المفتاحية</w:t>
      </w:r>
      <w:bookmarkEnd w:id="42"/>
    </w:p>
    <w:p w14:paraId="13C03F4B"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تم استخدام مجموعة متكاملة من الكلمات المفتاحية باللغتين العربية والإنجليزية، وتم دمجها باستخدام أدوات البحث المنطقية</w:t>
      </w:r>
      <w:r w:rsidRPr="005D59A7">
        <w:rPr>
          <w:rFonts w:ascii="T" w:hAnsi="T" w:cs="Simplified Arabic"/>
          <w:sz w:val="24"/>
          <w:szCs w:val="24"/>
        </w:rPr>
        <w:t xml:space="preserve"> (Boolean Operators) </w:t>
      </w:r>
      <w:r w:rsidRPr="005D59A7">
        <w:rPr>
          <w:rFonts w:ascii="T" w:hAnsi="T" w:cs="Simplified Arabic"/>
          <w:sz w:val="24"/>
          <w:szCs w:val="24"/>
          <w:rtl/>
        </w:rPr>
        <w:t>مثل </w:t>
      </w:r>
      <w:r w:rsidRPr="005D59A7">
        <w:rPr>
          <w:rFonts w:ascii="T" w:hAnsi="T" w:cs="Simplified Arabic"/>
          <w:sz w:val="24"/>
          <w:szCs w:val="24"/>
        </w:rPr>
        <w:t>AND</w:t>
      </w:r>
      <w:r w:rsidRPr="005D59A7">
        <w:rPr>
          <w:rFonts w:ascii="T" w:hAnsi="T" w:cs="Simplified Arabic"/>
          <w:sz w:val="24"/>
          <w:szCs w:val="24"/>
          <w:rtl/>
        </w:rPr>
        <w:t>، </w:t>
      </w:r>
      <w:r w:rsidRPr="005D59A7">
        <w:rPr>
          <w:rFonts w:ascii="T" w:hAnsi="T" w:cs="Simplified Arabic"/>
          <w:sz w:val="24"/>
          <w:szCs w:val="24"/>
        </w:rPr>
        <w:t>OR</w:t>
      </w:r>
      <w:r w:rsidRPr="005D59A7">
        <w:rPr>
          <w:rFonts w:ascii="T" w:hAnsi="T" w:cs="Simplified Arabic"/>
          <w:sz w:val="24"/>
          <w:szCs w:val="24"/>
          <w:rtl/>
        </w:rPr>
        <w:t>، </w:t>
      </w:r>
      <w:r w:rsidRPr="005D59A7">
        <w:rPr>
          <w:rFonts w:ascii="T" w:hAnsi="T" w:cs="Simplified Arabic"/>
          <w:sz w:val="24"/>
          <w:szCs w:val="24"/>
        </w:rPr>
        <w:t>NOT </w:t>
      </w:r>
      <w:r w:rsidRPr="005D59A7">
        <w:rPr>
          <w:rFonts w:ascii="T" w:hAnsi="T" w:cs="Simplified Arabic"/>
          <w:sz w:val="24"/>
          <w:szCs w:val="24"/>
          <w:rtl/>
        </w:rPr>
        <w:t>لضمان دقة نتائج البحث. كلمات المفتاحية إلى أربع مجموعات رئيسية:</w:t>
      </w:r>
    </w:p>
    <w:p w14:paraId="5148E85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 xml:space="preserve"> المجموعة الأولى: مفاهيم الشراكة الأساسية</w:t>
      </w:r>
    </w:p>
    <w:tbl>
      <w:tblPr>
        <w:tblStyle w:val="TableGrid"/>
        <w:bidiVisual/>
        <w:tblW w:w="8650" w:type="dxa"/>
        <w:tblLook w:val="04A0" w:firstRow="1" w:lastRow="0" w:firstColumn="1" w:lastColumn="0" w:noHBand="0" w:noVBand="1"/>
      </w:tblPr>
      <w:tblGrid>
        <w:gridCol w:w="916"/>
        <w:gridCol w:w="7734"/>
      </w:tblGrid>
      <w:tr w:rsidR="0048002A" w:rsidRPr="005D59A7" w14:paraId="0A770DFA" w14:textId="77777777" w:rsidTr="00970F45">
        <w:trPr>
          <w:trHeight w:val="517"/>
        </w:trPr>
        <w:tc>
          <w:tcPr>
            <w:tcW w:w="0" w:type="auto"/>
            <w:hideMark/>
          </w:tcPr>
          <w:p w14:paraId="7505AE5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75FD1E0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8A3D9AD" w14:textId="77777777" w:rsidTr="00970F45">
        <w:trPr>
          <w:trHeight w:val="517"/>
        </w:trPr>
        <w:tc>
          <w:tcPr>
            <w:tcW w:w="0" w:type="auto"/>
            <w:hideMark/>
          </w:tcPr>
          <w:p w14:paraId="145FF24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3FDE926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"Public-Private Partnerships"</w:t>
            </w:r>
            <w:r w:rsidRPr="005D59A7">
              <w:rPr>
                <w:rFonts w:ascii="T" w:hAnsi="T" w:cs="Simplified Arabic"/>
                <w:sz w:val="24"/>
                <w:szCs w:val="24"/>
                <w:rtl/>
              </w:rPr>
              <w:t xml:space="preserve">، </w:t>
            </w:r>
            <w:r w:rsidRPr="005D59A7">
              <w:rPr>
                <w:rFonts w:ascii="T" w:hAnsi="T" w:cs="Simplified Arabic"/>
                <w:sz w:val="24"/>
                <w:szCs w:val="24"/>
              </w:rPr>
              <w:t>"PPP"</w:t>
            </w:r>
            <w:r w:rsidRPr="005D59A7">
              <w:rPr>
                <w:rFonts w:ascii="T" w:hAnsi="T" w:cs="Simplified Arabic"/>
                <w:sz w:val="24"/>
                <w:szCs w:val="24"/>
                <w:rtl/>
              </w:rPr>
              <w:t xml:space="preserve">، </w:t>
            </w:r>
            <w:r w:rsidRPr="005D59A7">
              <w:rPr>
                <w:rFonts w:ascii="T" w:hAnsi="T" w:cs="Simplified Arabic"/>
                <w:sz w:val="24"/>
                <w:szCs w:val="24"/>
              </w:rPr>
              <w:t>"P3"</w:t>
            </w:r>
            <w:r w:rsidRPr="005D59A7">
              <w:rPr>
                <w:rFonts w:ascii="T" w:hAnsi="T" w:cs="Simplified Arabic"/>
                <w:sz w:val="24"/>
                <w:szCs w:val="24"/>
                <w:rtl/>
              </w:rPr>
              <w:t xml:space="preserve">، </w:t>
            </w:r>
            <w:r w:rsidRPr="005D59A7">
              <w:rPr>
                <w:rFonts w:ascii="T" w:hAnsi="T" w:cs="Simplified Arabic"/>
                <w:sz w:val="24"/>
                <w:szCs w:val="24"/>
              </w:rPr>
              <w:t>"Private finance initiative"</w:t>
            </w:r>
            <w:r w:rsidRPr="005D59A7">
              <w:rPr>
                <w:rFonts w:ascii="T" w:hAnsi="T" w:cs="Simplified Arabic"/>
                <w:sz w:val="24"/>
                <w:szCs w:val="24"/>
                <w:rtl/>
              </w:rPr>
              <w:t xml:space="preserve">، </w:t>
            </w:r>
            <w:r w:rsidRPr="005D59A7">
              <w:rPr>
                <w:rFonts w:ascii="T" w:hAnsi="T" w:cs="Simplified Arabic"/>
                <w:sz w:val="24"/>
                <w:szCs w:val="24"/>
              </w:rPr>
              <w:t>"PFI"</w:t>
            </w:r>
          </w:p>
        </w:tc>
      </w:tr>
      <w:tr w:rsidR="0048002A" w:rsidRPr="005D59A7" w14:paraId="7E9977A6" w14:textId="77777777" w:rsidTr="00970F45">
        <w:trPr>
          <w:trHeight w:val="517"/>
        </w:trPr>
        <w:tc>
          <w:tcPr>
            <w:tcW w:w="0" w:type="auto"/>
            <w:hideMark/>
          </w:tcPr>
          <w:p w14:paraId="20E2B4A4"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3438B58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الشراكة بين القطاعين العام والخاص"، "المشاركة مع القطاع الخاص"، "مبادرة التمويل الخاص</w:t>
            </w:r>
            <w:r w:rsidRPr="005D59A7">
              <w:rPr>
                <w:rFonts w:ascii="T" w:hAnsi="T" w:cs="Simplified Arabic"/>
                <w:sz w:val="24"/>
                <w:szCs w:val="24"/>
              </w:rPr>
              <w:t>"</w:t>
            </w:r>
          </w:p>
        </w:tc>
      </w:tr>
    </w:tbl>
    <w:p w14:paraId="6090198F"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الثانية: مفاهيم الحوكمة والأداء</w:t>
      </w:r>
    </w:p>
    <w:tbl>
      <w:tblPr>
        <w:tblStyle w:val="TableGrid"/>
        <w:bidiVisual/>
        <w:tblW w:w="8475" w:type="dxa"/>
        <w:tblLook w:val="04A0" w:firstRow="1" w:lastRow="0" w:firstColumn="1" w:lastColumn="0" w:noHBand="0" w:noVBand="1"/>
      </w:tblPr>
      <w:tblGrid>
        <w:gridCol w:w="916"/>
        <w:gridCol w:w="7559"/>
      </w:tblGrid>
      <w:tr w:rsidR="0048002A" w:rsidRPr="005D59A7" w14:paraId="2B2799C2" w14:textId="77777777" w:rsidTr="00970F45">
        <w:trPr>
          <w:trHeight w:val="430"/>
        </w:trPr>
        <w:tc>
          <w:tcPr>
            <w:tcW w:w="0" w:type="auto"/>
            <w:hideMark/>
          </w:tcPr>
          <w:p w14:paraId="13315F5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68233EA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B1416D5" w14:textId="77777777" w:rsidTr="00970F45">
        <w:trPr>
          <w:trHeight w:val="843"/>
        </w:trPr>
        <w:tc>
          <w:tcPr>
            <w:tcW w:w="0" w:type="auto"/>
            <w:hideMark/>
          </w:tcPr>
          <w:p w14:paraId="2942827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lastRenderedPageBreak/>
              <w:t>الإنجليزية</w:t>
            </w:r>
          </w:p>
        </w:tc>
        <w:tc>
          <w:tcPr>
            <w:tcW w:w="0" w:type="auto"/>
            <w:hideMark/>
          </w:tcPr>
          <w:p w14:paraId="7792F02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"Environmental governance"</w:t>
            </w:r>
            <w:r w:rsidRPr="005D59A7">
              <w:rPr>
                <w:rFonts w:ascii="T" w:hAnsi="T" w:cs="Simplified Arabic"/>
                <w:sz w:val="24"/>
                <w:szCs w:val="24"/>
                <w:rtl/>
              </w:rPr>
              <w:t xml:space="preserve">، </w:t>
            </w:r>
            <w:r w:rsidRPr="005D59A7">
              <w:rPr>
                <w:rFonts w:ascii="T" w:hAnsi="T" w:cs="Simplified Arabic"/>
                <w:sz w:val="24"/>
                <w:szCs w:val="24"/>
              </w:rPr>
              <w:t>"Environmental compliance"</w:t>
            </w:r>
            <w:r w:rsidRPr="005D59A7">
              <w:rPr>
                <w:rFonts w:ascii="T" w:hAnsi="T" w:cs="Simplified Arabic"/>
                <w:sz w:val="24"/>
                <w:szCs w:val="24"/>
                <w:rtl/>
              </w:rPr>
              <w:t xml:space="preserve">، </w:t>
            </w:r>
            <w:r w:rsidRPr="005D59A7">
              <w:rPr>
                <w:rFonts w:ascii="T" w:hAnsi="T" w:cs="Simplified Arabic"/>
                <w:sz w:val="24"/>
                <w:szCs w:val="24"/>
              </w:rPr>
              <w:t>"Performance-based contracting"</w:t>
            </w:r>
            <w:r w:rsidRPr="005D59A7">
              <w:rPr>
                <w:rFonts w:ascii="T" w:hAnsi="T" w:cs="Simplified Arabic"/>
                <w:sz w:val="24"/>
                <w:szCs w:val="24"/>
                <w:rtl/>
              </w:rPr>
              <w:t xml:space="preserve">، </w:t>
            </w:r>
            <w:r w:rsidRPr="005D59A7">
              <w:rPr>
                <w:rFonts w:ascii="T" w:hAnsi="T" w:cs="Simplified Arabic"/>
                <w:sz w:val="24"/>
                <w:szCs w:val="24"/>
              </w:rPr>
              <w:t>"Output-based contracting"</w:t>
            </w:r>
            <w:r w:rsidRPr="005D59A7">
              <w:rPr>
                <w:rFonts w:ascii="T" w:hAnsi="T" w:cs="Simplified Arabic"/>
                <w:sz w:val="24"/>
                <w:szCs w:val="24"/>
                <w:rtl/>
              </w:rPr>
              <w:t xml:space="preserve">، </w:t>
            </w:r>
            <w:r w:rsidRPr="005D59A7">
              <w:rPr>
                <w:rFonts w:ascii="T" w:hAnsi="T" w:cs="Simplified Arabic"/>
                <w:sz w:val="24"/>
                <w:szCs w:val="24"/>
              </w:rPr>
              <w:t>"Risk allocation"</w:t>
            </w:r>
            <w:r w:rsidRPr="005D59A7">
              <w:rPr>
                <w:rFonts w:ascii="T" w:hAnsi="T" w:cs="Simplified Arabic"/>
                <w:sz w:val="24"/>
                <w:szCs w:val="24"/>
                <w:rtl/>
              </w:rPr>
              <w:t xml:space="preserve">، </w:t>
            </w:r>
            <w:r w:rsidRPr="005D59A7">
              <w:rPr>
                <w:rFonts w:ascii="T" w:hAnsi="T" w:cs="Simplified Arabic"/>
                <w:sz w:val="24"/>
                <w:szCs w:val="24"/>
              </w:rPr>
              <w:t>"Risk sharing"</w:t>
            </w:r>
          </w:p>
        </w:tc>
      </w:tr>
      <w:tr w:rsidR="0048002A" w:rsidRPr="005D59A7" w14:paraId="1AF11498" w14:textId="77777777" w:rsidTr="00970F45">
        <w:trPr>
          <w:trHeight w:val="430"/>
        </w:trPr>
        <w:tc>
          <w:tcPr>
            <w:tcW w:w="0" w:type="auto"/>
            <w:hideMark/>
          </w:tcPr>
          <w:p w14:paraId="2CBCBD3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5FB4175C"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الحوكمة البيئية"، "الامتثال البيئي"، "التعاقد القائم على الأداء"، "توزيع المخاطر"، "تقاسم المخاطر</w:t>
            </w:r>
            <w:r w:rsidRPr="005D59A7">
              <w:rPr>
                <w:rFonts w:ascii="T" w:hAnsi="T" w:cs="Simplified Arabic"/>
                <w:sz w:val="24"/>
                <w:szCs w:val="24"/>
              </w:rPr>
              <w:t>"</w:t>
            </w:r>
          </w:p>
        </w:tc>
      </w:tr>
    </w:tbl>
    <w:p w14:paraId="2DAFBB79"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الثالثة: مفاهيم التفتيش البيئي</w:t>
      </w:r>
    </w:p>
    <w:tbl>
      <w:tblPr>
        <w:tblStyle w:val="TableGrid"/>
        <w:bidiVisual/>
        <w:tblW w:w="8636" w:type="dxa"/>
        <w:tblLook w:val="04A0" w:firstRow="1" w:lastRow="0" w:firstColumn="1" w:lastColumn="0" w:noHBand="0" w:noVBand="1"/>
      </w:tblPr>
      <w:tblGrid>
        <w:gridCol w:w="916"/>
        <w:gridCol w:w="7720"/>
      </w:tblGrid>
      <w:tr w:rsidR="0048002A" w:rsidRPr="005D59A7" w14:paraId="7E7B8C5B" w14:textId="77777777" w:rsidTr="00970F45">
        <w:trPr>
          <w:trHeight w:val="379"/>
        </w:trPr>
        <w:tc>
          <w:tcPr>
            <w:tcW w:w="0" w:type="auto"/>
            <w:hideMark/>
          </w:tcPr>
          <w:p w14:paraId="49B7E9E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2F94E75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2AEB00FD" w14:textId="77777777" w:rsidTr="00970F45">
        <w:trPr>
          <w:trHeight w:val="758"/>
        </w:trPr>
        <w:tc>
          <w:tcPr>
            <w:tcW w:w="0" w:type="auto"/>
            <w:hideMark/>
          </w:tcPr>
          <w:p w14:paraId="64C46F2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5EE8FAD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"Environmental inspection"</w:t>
            </w:r>
            <w:r w:rsidRPr="005D59A7">
              <w:rPr>
                <w:rFonts w:ascii="T" w:hAnsi="T" w:cs="Simplified Arabic"/>
                <w:sz w:val="24"/>
                <w:szCs w:val="24"/>
                <w:rtl/>
              </w:rPr>
              <w:t xml:space="preserve">، </w:t>
            </w:r>
            <w:r w:rsidRPr="005D59A7">
              <w:rPr>
                <w:rFonts w:ascii="T" w:hAnsi="T" w:cs="Simplified Arabic"/>
                <w:sz w:val="24"/>
                <w:szCs w:val="24"/>
              </w:rPr>
              <w:t>"Environmental monitoring"</w:t>
            </w:r>
            <w:r w:rsidRPr="005D59A7">
              <w:rPr>
                <w:rFonts w:ascii="T" w:hAnsi="T" w:cs="Simplified Arabic"/>
                <w:sz w:val="24"/>
                <w:szCs w:val="24"/>
                <w:rtl/>
              </w:rPr>
              <w:t xml:space="preserve">، </w:t>
            </w:r>
            <w:r w:rsidRPr="005D59A7">
              <w:rPr>
                <w:rFonts w:ascii="T" w:hAnsi="T" w:cs="Simplified Arabic"/>
                <w:sz w:val="24"/>
                <w:szCs w:val="24"/>
              </w:rPr>
              <w:t>"Regulatory enforcement"</w:t>
            </w:r>
            <w:r w:rsidRPr="005D59A7">
              <w:rPr>
                <w:rFonts w:ascii="T" w:hAnsi="T" w:cs="Simplified Arabic"/>
                <w:sz w:val="24"/>
                <w:szCs w:val="24"/>
                <w:rtl/>
              </w:rPr>
              <w:t xml:space="preserve">، </w:t>
            </w:r>
            <w:r w:rsidRPr="005D59A7">
              <w:rPr>
                <w:rFonts w:ascii="T" w:hAnsi="T" w:cs="Simplified Arabic"/>
                <w:sz w:val="24"/>
                <w:szCs w:val="24"/>
              </w:rPr>
              <w:t>"Compliance monitoring"</w:t>
            </w:r>
            <w:r w:rsidRPr="005D59A7">
              <w:rPr>
                <w:rFonts w:ascii="T" w:hAnsi="T" w:cs="Simplified Arabic"/>
                <w:sz w:val="24"/>
                <w:szCs w:val="24"/>
                <w:rtl/>
              </w:rPr>
              <w:t xml:space="preserve">، </w:t>
            </w:r>
            <w:r w:rsidRPr="005D59A7">
              <w:rPr>
                <w:rFonts w:ascii="T" w:hAnsi="T" w:cs="Simplified Arabic"/>
                <w:sz w:val="24"/>
                <w:szCs w:val="24"/>
              </w:rPr>
              <w:t>"Inspection efficiency"</w:t>
            </w:r>
          </w:p>
        </w:tc>
      </w:tr>
      <w:tr w:rsidR="0048002A" w:rsidRPr="005D59A7" w14:paraId="2962C926" w14:textId="77777777" w:rsidTr="00970F45">
        <w:trPr>
          <w:trHeight w:val="379"/>
        </w:trPr>
        <w:tc>
          <w:tcPr>
            <w:tcW w:w="0" w:type="auto"/>
            <w:hideMark/>
          </w:tcPr>
          <w:p w14:paraId="1491B451"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34BF491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التفتيش البيئي"، "الرقابة البيئية"، "الإنفاذ التنظيمي"، "مراقبة الامتثال"، "كفاءة التفتيش</w:t>
            </w:r>
            <w:r w:rsidRPr="005D59A7">
              <w:rPr>
                <w:rFonts w:ascii="T" w:hAnsi="T" w:cs="Simplified Arabic"/>
                <w:sz w:val="24"/>
                <w:szCs w:val="24"/>
              </w:rPr>
              <w:t>"</w:t>
            </w:r>
          </w:p>
        </w:tc>
      </w:tr>
    </w:tbl>
    <w:p w14:paraId="4DCB8494" w14:textId="77777777" w:rsidR="00843CD6" w:rsidRPr="005D59A7" w:rsidRDefault="00843CD6"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المجموعة الرابعة: السياق السعودي</w:t>
      </w:r>
    </w:p>
    <w:tbl>
      <w:tblPr>
        <w:tblStyle w:val="TableGrid"/>
        <w:tblW w:w="8429" w:type="dxa"/>
        <w:tblLook w:val="04A0" w:firstRow="1" w:lastRow="0" w:firstColumn="1" w:lastColumn="0" w:noHBand="0" w:noVBand="1"/>
      </w:tblPr>
      <w:tblGrid>
        <w:gridCol w:w="916"/>
        <w:gridCol w:w="7513"/>
      </w:tblGrid>
      <w:tr w:rsidR="0048002A" w:rsidRPr="005D59A7" w14:paraId="4528862D" w14:textId="77777777" w:rsidTr="00970F45">
        <w:trPr>
          <w:trHeight w:val="401"/>
        </w:trPr>
        <w:tc>
          <w:tcPr>
            <w:tcW w:w="0" w:type="auto"/>
            <w:hideMark/>
          </w:tcPr>
          <w:p w14:paraId="13AA107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اللغة</w:t>
            </w:r>
          </w:p>
        </w:tc>
        <w:tc>
          <w:tcPr>
            <w:tcW w:w="0" w:type="auto"/>
            <w:hideMark/>
          </w:tcPr>
          <w:p w14:paraId="7E45570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الكلمات المفتاحية</w:t>
            </w:r>
          </w:p>
        </w:tc>
      </w:tr>
      <w:tr w:rsidR="0048002A" w:rsidRPr="005D59A7" w14:paraId="522CC962" w14:textId="77777777" w:rsidTr="00970F45">
        <w:trPr>
          <w:trHeight w:val="787"/>
        </w:trPr>
        <w:tc>
          <w:tcPr>
            <w:tcW w:w="0" w:type="auto"/>
            <w:hideMark/>
          </w:tcPr>
          <w:p w14:paraId="3EB0561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الإنجليزية</w:t>
            </w:r>
          </w:p>
        </w:tc>
        <w:tc>
          <w:tcPr>
            <w:tcW w:w="0" w:type="auto"/>
            <w:hideMark/>
          </w:tcPr>
          <w:p w14:paraId="0DE2D5B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"Saudi Vision 2030"</w:t>
            </w:r>
            <w:r w:rsidRPr="005D59A7">
              <w:rPr>
                <w:rFonts w:ascii="T" w:hAnsi="T" w:cs="Simplified Arabic"/>
                <w:sz w:val="24"/>
                <w:szCs w:val="24"/>
                <w:rtl/>
              </w:rPr>
              <w:t xml:space="preserve">، </w:t>
            </w:r>
            <w:r w:rsidRPr="005D59A7">
              <w:rPr>
                <w:rFonts w:ascii="T" w:hAnsi="T" w:cs="Simplified Arabic"/>
                <w:sz w:val="24"/>
                <w:szCs w:val="24"/>
              </w:rPr>
              <w:t>"Saudi environmental sector"</w:t>
            </w:r>
            <w:r w:rsidRPr="005D59A7">
              <w:rPr>
                <w:rFonts w:ascii="T" w:hAnsi="T" w:cs="Simplified Arabic"/>
                <w:sz w:val="24"/>
                <w:szCs w:val="24"/>
                <w:rtl/>
              </w:rPr>
              <w:t xml:space="preserve">، </w:t>
            </w:r>
            <w:r w:rsidRPr="005D59A7">
              <w:rPr>
                <w:rFonts w:ascii="T" w:hAnsi="T" w:cs="Simplified Arabic"/>
                <w:sz w:val="24"/>
                <w:szCs w:val="24"/>
              </w:rPr>
              <w:t>"National Environment Strategy"</w:t>
            </w:r>
            <w:r w:rsidRPr="005D59A7">
              <w:rPr>
                <w:rFonts w:ascii="T" w:hAnsi="T" w:cs="Simplified Arabic"/>
                <w:sz w:val="24"/>
                <w:szCs w:val="24"/>
                <w:rtl/>
              </w:rPr>
              <w:t xml:space="preserve">، </w:t>
            </w:r>
            <w:r w:rsidRPr="005D59A7">
              <w:rPr>
                <w:rFonts w:ascii="T" w:hAnsi="T" w:cs="Simplified Arabic"/>
                <w:sz w:val="24"/>
                <w:szCs w:val="24"/>
              </w:rPr>
              <w:t>"Saudi Green Initiative"</w:t>
            </w:r>
            <w:r w:rsidRPr="005D59A7">
              <w:rPr>
                <w:rFonts w:ascii="T" w:hAnsi="T" w:cs="Simplified Arabic"/>
                <w:sz w:val="24"/>
                <w:szCs w:val="24"/>
                <w:rtl/>
              </w:rPr>
              <w:t xml:space="preserve">، </w:t>
            </w:r>
            <w:r w:rsidRPr="005D59A7">
              <w:rPr>
                <w:rFonts w:ascii="T" w:hAnsi="T" w:cs="Simplified Arabic"/>
                <w:sz w:val="24"/>
                <w:szCs w:val="24"/>
              </w:rPr>
              <w:t>"NCEC"</w:t>
            </w:r>
          </w:p>
        </w:tc>
      </w:tr>
      <w:tr w:rsidR="0048002A" w:rsidRPr="005D59A7" w14:paraId="3367979C" w14:textId="77777777" w:rsidTr="00970F45">
        <w:trPr>
          <w:trHeight w:val="803"/>
        </w:trPr>
        <w:tc>
          <w:tcPr>
            <w:tcW w:w="0" w:type="auto"/>
            <w:hideMark/>
          </w:tcPr>
          <w:p w14:paraId="1B36858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العربية</w:t>
            </w:r>
          </w:p>
        </w:tc>
        <w:tc>
          <w:tcPr>
            <w:tcW w:w="0" w:type="auto"/>
            <w:hideMark/>
          </w:tcPr>
          <w:p w14:paraId="15AD461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w:t>
            </w:r>
            <w:r w:rsidRPr="005D59A7">
              <w:rPr>
                <w:rFonts w:ascii="T" w:hAnsi="T" w:cs="Simplified Arabic"/>
                <w:sz w:val="24"/>
                <w:szCs w:val="24"/>
                <w:rtl/>
              </w:rPr>
              <w:t>رؤية السعودية 2030"، "القطاع البيئي السعودي"، "الإستراتيجية الوطنية للبيئة"، "المبادرة السعودية الخضراء"، "المركز الوطني للرقابة على الالتزام البيئي</w:t>
            </w:r>
            <w:r w:rsidRPr="005D59A7">
              <w:rPr>
                <w:rFonts w:ascii="T" w:hAnsi="T" w:cs="Simplified Arabic"/>
                <w:sz w:val="24"/>
                <w:szCs w:val="24"/>
              </w:rPr>
              <w:t>"</w:t>
            </w:r>
          </w:p>
        </w:tc>
      </w:tr>
    </w:tbl>
    <w:p w14:paraId="283003AE" w14:textId="79BDB5C0" w:rsidR="00843CD6" w:rsidRPr="005D59A7" w:rsidRDefault="00843CD6" w:rsidP="00861DC2">
      <w:pPr>
        <w:bidi/>
        <w:spacing w:line="360" w:lineRule="auto"/>
        <w:ind w:firstLine="720"/>
        <w:rPr>
          <w:rFonts w:ascii="T" w:hAnsi="T" w:cs="Simplified Arabic"/>
          <w:sz w:val="24"/>
          <w:szCs w:val="24"/>
          <w:rtl/>
        </w:rPr>
      </w:pPr>
    </w:p>
    <w:p w14:paraId="0E730131"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ثالثاً: الفترة الزمنية</w:t>
      </w:r>
    </w:p>
    <w:p w14:paraId="6D017756" w14:textId="77777777"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تحديد الفترة الزمنية للمراجعة بناءً على تطور المجال والحاجة إلى تغطية كل من الدراسات المؤسسة والحديثة. تم تقسيم الفترة الزمنية إلى ثلاث فئات رئيسية</w:t>
      </w:r>
      <w:r w:rsidRPr="005D59A7">
        <w:rPr>
          <w:rFonts w:ascii="T" w:hAnsi="T" w:cs="Simplified Arabic"/>
          <w:sz w:val="24"/>
          <w:szCs w:val="24"/>
        </w:rPr>
        <w:t>:</w:t>
      </w:r>
    </w:p>
    <w:tbl>
      <w:tblPr>
        <w:tblStyle w:val="TableGrid"/>
        <w:bidiVisual/>
        <w:tblW w:w="0" w:type="auto"/>
        <w:tblLook w:val="04A0" w:firstRow="1" w:lastRow="0" w:firstColumn="1" w:lastColumn="0" w:noHBand="0" w:noVBand="1"/>
      </w:tblPr>
      <w:tblGrid>
        <w:gridCol w:w="2465"/>
        <w:gridCol w:w="1039"/>
        <w:gridCol w:w="4098"/>
        <w:gridCol w:w="920"/>
      </w:tblGrid>
      <w:tr w:rsidR="0048002A" w:rsidRPr="005D59A7" w14:paraId="015CE52D" w14:textId="77777777" w:rsidTr="00843CD6">
        <w:tc>
          <w:tcPr>
            <w:tcW w:w="0" w:type="auto"/>
            <w:hideMark/>
          </w:tcPr>
          <w:p w14:paraId="6C4C03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الفئة</w:t>
            </w:r>
          </w:p>
        </w:tc>
        <w:tc>
          <w:tcPr>
            <w:tcW w:w="0" w:type="auto"/>
            <w:hideMark/>
          </w:tcPr>
          <w:p w14:paraId="3B2DFBB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النطاق الزمني</w:t>
            </w:r>
          </w:p>
        </w:tc>
        <w:tc>
          <w:tcPr>
            <w:tcW w:w="0" w:type="auto"/>
            <w:hideMark/>
          </w:tcPr>
          <w:p w14:paraId="6E1E95B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الأساس المنطقي</w:t>
            </w:r>
          </w:p>
        </w:tc>
        <w:tc>
          <w:tcPr>
            <w:tcW w:w="0" w:type="auto"/>
            <w:hideMark/>
          </w:tcPr>
          <w:p w14:paraId="2661649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نسبة التغطية</w:t>
            </w:r>
          </w:p>
        </w:tc>
      </w:tr>
      <w:tr w:rsidR="0048002A" w:rsidRPr="005D59A7" w14:paraId="36F9B900" w14:textId="77777777" w:rsidTr="00843CD6">
        <w:tc>
          <w:tcPr>
            <w:tcW w:w="0" w:type="auto"/>
            <w:hideMark/>
          </w:tcPr>
          <w:p w14:paraId="63D0AD8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الأساسية</w:t>
            </w:r>
            <w:r w:rsidRPr="005D59A7">
              <w:rPr>
                <w:rFonts w:ascii="T" w:hAnsi="T" w:cs="Simplified Arabic"/>
                <w:sz w:val="24"/>
                <w:szCs w:val="24"/>
              </w:rPr>
              <w:t xml:space="preserve"> (Foundation)</w:t>
            </w:r>
          </w:p>
        </w:tc>
        <w:tc>
          <w:tcPr>
            <w:tcW w:w="0" w:type="auto"/>
            <w:hideMark/>
          </w:tcPr>
          <w:p w14:paraId="579E57D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1970-2000</w:t>
            </w:r>
          </w:p>
        </w:tc>
        <w:tc>
          <w:tcPr>
            <w:tcW w:w="0" w:type="auto"/>
            <w:hideMark/>
          </w:tcPr>
          <w:p w14:paraId="709C5D5E" w14:textId="3154F2D2"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النظريات المؤسسة (نظرية الوكالة) والتجارب التاريخية الأولى للشراكة</w:t>
            </w:r>
          </w:p>
        </w:tc>
        <w:tc>
          <w:tcPr>
            <w:tcW w:w="0" w:type="auto"/>
            <w:hideMark/>
          </w:tcPr>
          <w:p w14:paraId="39B6DAE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15%</w:t>
            </w:r>
          </w:p>
        </w:tc>
      </w:tr>
      <w:tr w:rsidR="0048002A" w:rsidRPr="005D59A7" w14:paraId="4821AEEC" w14:textId="77777777" w:rsidTr="00843CD6">
        <w:tc>
          <w:tcPr>
            <w:tcW w:w="0" w:type="auto"/>
            <w:hideMark/>
          </w:tcPr>
          <w:p w14:paraId="253AF4F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الحديثة</w:t>
            </w:r>
            <w:r w:rsidRPr="005D59A7">
              <w:rPr>
                <w:rFonts w:ascii="T" w:hAnsi="T" w:cs="Simplified Arabic"/>
                <w:sz w:val="24"/>
                <w:szCs w:val="24"/>
              </w:rPr>
              <w:t xml:space="preserve"> (Recent)</w:t>
            </w:r>
          </w:p>
        </w:tc>
        <w:tc>
          <w:tcPr>
            <w:tcW w:w="0" w:type="auto"/>
            <w:hideMark/>
          </w:tcPr>
          <w:p w14:paraId="61D56C6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2000-2015</w:t>
            </w:r>
          </w:p>
        </w:tc>
        <w:tc>
          <w:tcPr>
            <w:tcW w:w="0" w:type="auto"/>
            <w:hideMark/>
          </w:tcPr>
          <w:p w14:paraId="53AC3A6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تغطية تطور نماذج الشراكة وانتشارها عالميًا، وظهور الإطارات التشريعية والتنظيمية</w:t>
            </w:r>
          </w:p>
        </w:tc>
        <w:tc>
          <w:tcPr>
            <w:tcW w:w="0" w:type="auto"/>
            <w:hideMark/>
          </w:tcPr>
          <w:p w14:paraId="114967D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25%</w:t>
            </w:r>
          </w:p>
        </w:tc>
      </w:tr>
      <w:tr w:rsidR="0048002A" w:rsidRPr="005D59A7" w14:paraId="3D0D8B83" w14:textId="77777777" w:rsidTr="00843CD6">
        <w:tc>
          <w:tcPr>
            <w:tcW w:w="0" w:type="auto"/>
            <w:hideMark/>
          </w:tcPr>
          <w:p w14:paraId="4F406B5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المعاصرة</w:t>
            </w:r>
            <w:r w:rsidRPr="005D59A7">
              <w:rPr>
                <w:rFonts w:ascii="T" w:hAnsi="T" w:cs="Simplified Arabic"/>
                <w:sz w:val="24"/>
                <w:szCs w:val="24"/>
              </w:rPr>
              <w:t xml:space="preserve"> (Contemporary)</w:t>
            </w:r>
          </w:p>
        </w:tc>
        <w:tc>
          <w:tcPr>
            <w:tcW w:w="0" w:type="auto"/>
            <w:hideMark/>
          </w:tcPr>
          <w:p w14:paraId="756235F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t>2015-2025</w:t>
            </w:r>
          </w:p>
        </w:tc>
        <w:tc>
          <w:tcPr>
            <w:tcW w:w="0" w:type="auto"/>
            <w:hideMark/>
          </w:tcPr>
          <w:p w14:paraId="53BCB39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 xml:space="preserve">تغطية التطبيقات الحديثة للشراكة في القطاع البيئي، ودراسات الحالة في منطقة الشرق الأوسط، وما بعد </w:t>
            </w:r>
            <w:r w:rsidRPr="005D59A7">
              <w:rPr>
                <w:rFonts w:ascii="T" w:hAnsi="T" w:cs="Simplified Arabic"/>
                <w:sz w:val="24"/>
                <w:szCs w:val="24"/>
                <w:rtl/>
              </w:rPr>
              <w:lastRenderedPageBreak/>
              <w:t>رؤية 2030</w:t>
            </w:r>
          </w:p>
        </w:tc>
        <w:tc>
          <w:tcPr>
            <w:tcW w:w="0" w:type="auto"/>
            <w:hideMark/>
          </w:tcPr>
          <w:p w14:paraId="0941D1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Pr>
              <w:lastRenderedPageBreak/>
              <w:t>60%</w:t>
            </w:r>
          </w:p>
        </w:tc>
      </w:tr>
    </w:tbl>
    <w:p w14:paraId="4BADECCB" w14:textId="00936A7F"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إعطاء أولوية خاصة للدراسات المنشورة خلال السنوات الخمس الأخيرة (2020-2025) لضمان مواكبة أحدث التطورات في المجال، مع الاحتفاظ بالدراسات المؤسسة والتاريخية الضرورية لفهم تطور المفاهيم والنظريات</w:t>
      </w:r>
      <w:r w:rsidRPr="005D59A7">
        <w:rPr>
          <w:rFonts w:ascii="T" w:hAnsi="T" w:cs="Simplified Arabic"/>
          <w:sz w:val="24"/>
          <w:szCs w:val="24"/>
        </w:rPr>
        <w:t>.</w:t>
      </w:r>
    </w:p>
    <w:p w14:paraId="1C5111C3"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رابعاً: معايير الاختيار والاستبعاد</w:t>
      </w:r>
    </w:p>
    <w:p w14:paraId="6D232873" w14:textId="77777777" w:rsidR="00843CD6" w:rsidRPr="005D59A7" w:rsidRDefault="00843CD6" w:rsidP="00861DC2">
      <w:pPr>
        <w:shd w:val="clear" w:color="auto" w:fill="FFFFFF"/>
        <w:bidi/>
        <w:spacing w:before="240" w:after="240" w:line="360" w:lineRule="auto"/>
        <w:ind w:firstLine="720"/>
        <w:rPr>
          <w:rFonts w:ascii="T" w:hAnsi="T" w:cs="Simplified Arabic"/>
          <w:sz w:val="24"/>
          <w:szCs w:val="24"/>
        </w:rPr>
      </w:pPr>
      <w:r w:rsidRPr="005D59A7">
        <w:rPr>
          <w:rFonts w:ascii="T" w:hAnsi="T" w:cs="Simplified Arabic"/>
          <w:sz w:val="24"/>
          <w:szCs w:val="24"/>
          <w:rtl/>
        </w:rPr>
        <w:t>تم تطبيق مجموعة من المعايير المنهجية لاختيار أو استبعاد المصادر، بهدف ضمان جودة وملاءمة المواد التي تم تضمينها في المراجعة</w:t>
      </w:r>
      <w:r w:rsidRPr="005D59A7">
        <w:rPr>
          <w:rFonts w:ascii="T" w:hAnsi="T" w:cs="Simplified Arabic"/>
          <w:sz w:val="24"/>
          <w:szCs w:val="24"/>
        </w:rPr>
        <w:t>.</w:t>
      </w:r>
    </w:p>
    <w:p w14:paraId="78D3AFF8" w14:textId="77777777" w:rsidR="00843CD6" w:rsidRPr="005D59A7" w:rsidRDefault="00843CD6" w:rsidP="00861DC2">
      <w:pPr>
        <w:shd w:val="clear" w:color="auto" w:fill="FFFFFF"/>
        <w:bidi/>
        <w:spacing w:before="240" w:after="240" w:line="360" w:lineRule="auto"/>
        <w:ind w:firstLine="720"/>
        <w:jc w:val="both"/>
        <w:rPr>
          <w:rFonts w:ascii="T" w:hAnsi="T" w:cs="Simplified Arabic"/>
          <w:b/>
          <w:bCs/>
          <w:sz w:val="24"/>
          <w:szCs w:val="24"/>
        </w:rPr>
      </w:pPr>
      <w:r w:rsidRPr="005D59A7">
        <w:rPr>
          <w:rFonts w:ascii="T" w:hAnsi="T" w:cs="Simplified Arabic"/>
          <w:b/>
          <w:bCs/>
          <w:sz w:val="24"/>
          <w:szCs w:val="24"/>
          <w:rtl/>
        </w:rPr>
        <w:t>معايير الاختيار</w:t>
      </w:r>
      <w:r w:rsidRPr="005D59A7">
        <w:rPr>
          <w:rFonts w:ascii="T" w:hAnsi="T" w:cs="Simplified Arabic"/>
          <w:b/>
          <w:bCs/>
          <w:sz w:val="24"/>
          <w:szCs w:val="24"/>
        </w:rPr>
        <w:t xml:space="preserve"> (Inclusion Criteria):</w:t>
      </w:r>
    </w:p>
    <w:tbl>
      <w:tblPr>
        <w:tblStyle w:val="TableGrid"/>
        <w:bidiVisual/>
        <w:tblW w:w="8396" w:type="dxa"/>
        <w:tblLook w:val="04A0" w:firstRow="1" w:lastRow="0" w:firstColumn="1" w:lastColumn="0" w:noHBand="0" w:noVBand="1"/>
      </w:tblPr>
      <w:tblGrid>
        <w:gridCol w:w="1877"/>
        <w:gridCol w:w="6519"/>
      </w:tblGrid>
      <w:tr w:rsidR="0048002A" w:rsidRPr="005D59A7" w14:paraId="0279F5DC" w14:textId="77777777" w:rsidTr="00843CD6">
        <w:trPr>
          <w:trHeight w:val="395"/>
        </w:trPr>
        <w:tc>
          <w:tcPr>
            <w:tcW w:w="0" w:type="auto"/>
            <w:hideMark/>
          </w:tcPr>
          <w:p w14:paraId="279E4B3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المعيار</w:t>
            </w:r>
          </w:p>
        </w:tc>
        <w:tc>
          <w:tcPr>
            <w:tcW w:w="0" w:type="auto"/>
            <w:hideMark/>
          </w:tcPr>
          <w:p w14:paraId="7EB8614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الوصف</w:t>
            </w:r>
          </w:p>
        </w:tc>
      </w:tr>
      <w:tr w:rsidR="0048002A" w:rsidRPr="005D59A7" w14:paraId="047A3D07" w14:textId="77777777" w:rsidTr="00843CD6">
        <w:trPr>
          <w:trHeight w:val="379"/>
        </w:trPr>
        <w:tc>
          <w:tcPr>
            <w:tcW w:w="0" w:type="auto"/>
            <w:hideMark/>
          </w:tcPr>
          <w:p w14:paraId="087299D6"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المحكمة</w:t>
            </w:r>
          </w:p>
        </w:tc>
        <w:tc>
          <w:tcPr>
            <w:tcW w:w="0" w:type="auto"/>
            <w:hideMark/>
          </w:tcPr>
          <w:p w14:paraId="2F84609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المنشورة في مجلات علمية محكمة</w:t>
            </w:r>
            <w:r w:rsidRPr="005D59A7">
              <w:rPr>
                <w:rFonts w:ascii="T" w:hAnsi="T" w:cs="Simplified Arabic"/>
                <w:sz w:val="24"/>
                <w:szCs w:val="24"/>
              </w:rPr>
              <w:t xml:space="preserve"> (Peer-reviewed journals)</w:t>
            </w:r>
          </w:p>
        </w:tc>
      </w:tr>
      <w:tr w:rsidR="0048002A" w:rsidRPr="005D59A7" w14:paraId="2128D1E6" w14:textId="77777777" w:rsidTr="00843CD6">
        <w:trPr>
          <w:trHeight w:val="395"/>
        </w:trPr>
        <w:tc>
          <w:tcPr>
            <w:tcW w:w="0" w:type="auto"/>
            <w:hideMark/>
          </w:tcPr>
          <w:p w14:paraId="3EBD5FE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الرسمية</w:t>
            </w:r>
          </w:p>
        </w:tc>
        <w:tc>
          <w:tcPr>
            <w:tcW w:w="0" w:type="auto"/>
            <w:hideMark/>
          </w:tcPr>
          <w:p w14:paraId="021600C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الصادرة عن الجهات الحكومية السعودية والمنظمات الدولية</w:t>
            </w:r>
          </w:p>
        </w:tc>
      </w:tr>
      <w:tr w:rsidR="0048002A" w:rsidRPr="005D59A7" w14:paraId="202382DE" w14:textId="77777777" w:rsidTr="00843CD6">
        <w:trPr>
          <w:trHeight w:val="395"/>
        </w:trPr>
        <w:tc>
          <w:tcPr>
            <w:tcW w:w="0" w:type="auto"/>
            <w:hideMark/>
          </w:tcPr>
          <w:p w14:paraId="17D75D7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الكتب العلمية</w:t>
            </w:r>
          </w:p>
        </w:tc>
        <w:tc>
          <w:tcPr>
            <w:tcW w:w="0" w:type="auto"/>
            <w:hideMark/>
          </w:tcPr>
          <w:p w14:paraId="3C2986C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الكتب والمراجع الصادرة عن دور نشر أكاديمية موثوقة</w:t>
            </w:r>
          </w:p>
        </w:tc>
      </w:tr>
      <w:tr w:rsidR="0048002A" w:rsidRPr="005D59A7" w14:paraId="20748F55" w14:textId="77777777" w:rsidTr="00843CD6">
        <w:trPr>
          <w:trHeight w:val="379"/>
        </w:trPr>
        <w:tc>
          <w:tcPr>
            <w:tcW w:w="0" w:type="auto"/>
            <w:hideMark/>
          </w:tcPr>
          <w:p w14:paraId="3E0E0BB2"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الأطروحات الجامعية</w:t>
            </w:r>
          </w:p>
        </w:tc>
        <w:tc>
          <w:tcPr>
            <w:tcW w:w="0" w:type="auto"/>
            <w:hideMark/>
          </w:tcPr>
          <w:p w14:paraId="3BE377B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أطروحات الدكتوراه والماجستير من جامعات معترف بها</w:t>
            </w:r>
          </w:p>
        </w:tc>
      </w:tr>
      <w:tr w:rsidR="0048002A" w:rsidRPr="005D59A7" w14:paraId="5A3732B8" w14:textId="77777777" w:rsidTr="00843CD6">
        <w:trPr>
          <w:trHeight w:val="395"/>
        </w:trPr>
        <w:tc>
          <w:tcPr>
            <w:tcW w:w="0" w:type="auto"/>
            <w:hideMark/>
          </w:tcPr>
          <w:p w14:paraId="7864F9C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دراسات الحالة</w:t>
            </w:r>
          </w:p>
        </w:tc>
        <w:tc>
          <w:tcPr>
            <w:tcW w:w="0" w:type="auto"/>
            <w:hideMark/>
          </w:tcPr>
          <w:p w14:paraId="54D0681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دراسات الحالة الموثقة التي تتضمن بيانات كمية أو كيفية قابلة للتحقق</w:t>
            </w:r>
          </w:p>
        </w:tc>
      </w:tr>
      <w:tr w:rsidR="0048002A" w:rsidRPr="005D59A7" w14:paraId="5A6BFC8E" w14:textId="77777777" w:rsidTr="00843CD6">
        <w:trPr>
          <w:trHeight w:val="379"/>
        </w:trPr>
        <w:tc>
          <w:tcPr>
            <w:tcW w:w="0" w:type="auto"/>
            <w:hideMark/>
          </w:tcPr>
          <w:p w14:paraId="5E4F100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التنوع اللغوي</w:t>
            </w:r>
          </w:p>
        </w:tc>
        <w:tc>
          <w:tcPr>
            <w:tcW w:w="0" w:type="auto"/>
            <w:hideMark/>
          </w:tcPr>
          <w:p w14:paraId="1A26B7F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المنشورة باللغتين العربية والإنجليزية</w:t>
            </w:r>
          </w:p>
        </w:tc>
      </w:tr>
    </w:tbl>
    <w:p w14:paraId="7BC4C985" w14:textId="77777777" w:rsidR="00843CD6" w:rsidRPr="005D59A7" w:rsidRDefault="00843CD6" w:rsidP="00861DC2">
      <w:pPr>
        <w:shd w:val="clear" w:color="auto" w:fill="FFFFFF"/>
        <w:bidi/>
        <w:spacing w:before="240" w:after="240" w:line="360" w:lineRule="auto"/>
        <w:ind w:firstLine="720"/>
        <w:rPr>
          <w:rFonts w:ascii="T" w:hAnsi="T" w:cs="Simplified Arabic"/>
          <w:b/>
          <w:bCs/>
          <w:sz w:val="24"/>
          <w:szCs w:val="24"/>
        </w:rPr>
      </w:pPr>
      <w:r w:rsidRPr="005D59A7">
        <w:rPr>
          <w:rFonts w:ascii="T" w:hAnsi="T" w:cs="Simplified Arabic"/>
          <w:b/>
          <w:bCs/>
          <w:sz w:val="24"/>
          <w:szCs w:val="24"/>
          <w:rtl/>
        </w:rPr>
        <w:t>معايير</w:t>
      </w:r>
      <w:r w:rsidRPr="005D59A7">
        <w:rPr>
          <w:rFonts w:ascii="T" w:eastAsia="Times New Roman" w:hAnsi="T" w:cs="Simplified Arabic"/>
          <w:b/>
          <w:bCs/>
          <w:sz w:val="24"/>
          <w:szCs w:val="24"/>
          <w:rtl/>
        </w:rPr>
        <w:t xml:space="preserve"> </w:t>
      </w:r>
      <w:r w:rsidRPr="005D59A7">
        <w:rPr>
          <w:rFonts w:ascii="T" w:hAnsi="T" w:cs="Simplified Arabic"/>
          <w:b/>
          <w:bCs/>
          <w:sz w:val="24"/>
          <w:szCs w:val="24"/>
          <w:rtl/>
        </w:rPr>
        <w:t>الاستبعاد</w:t>
      </w:r>
      <w:r w:rsidRPr="005D59A7">
        <w:rPr>
          <w:rFonts w:ascii="T" w:hAnsi="T" w:cs="Simplified Arabic"/>
          <w:b/>
          <w:bCs/>
          <w:sz w:val="24"/>
          <w:szCs w:val="24"/>
        </w:rPr>
        <w:t xml:space="preserve"> (Exclusion Criteria):</w:t>
      </w:r>
    </w:p>
    <w:tbl>
      <w:tblPr>
        <w:tblStyle w:val="TableGrid"/>
        <w:bidiVisual/>
        <w:tblW w:w="7947" w:type="dxa"/>
        <w:tblLook w:val="04A0" w:firstRow="1" w:lastRow="0" w:firstColumn="1" w:lastColumn="0" w:noHBand="0" w:noVBand="1"/>
      </w:tblPr>
      <w:tblGrid>
        <w:gridCol w:w="1950"/>
        <w:gridCol w:w="5997"/>
      </w:tblGrid>
      <w:tr w:rsidR="0048002A" w:rsidRPr="005D59A7" w14:paraId="0DAEA4F4" w14:textId="77777777" w:rsidTr="00843CD6">
        <w:trPr>
          <w:trHeight w:val="395"/>
        </w:trPr>
        <w:tc>
          <w:tcPr>
            <w:tcW w:w="0" w:type="auto"/>
            <w:hideMark/>
          </w:tcPr>
          <w:p w14:paraId="45C24D88"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المعيار</w:t>
            </w:r>
          </w:p>
        </w:tc>
        <w:tc>
          <w:tcPr>
            <w:tcW w:w="0" w:type="auto"/>
            <w:hideMark/>
          </w:tcPr>
          <w:p w14:paraId="4A2522A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الوصف</w:t>
            </w:r>
          </w:p>
        </w:tc>
      </w:tr>
      <w:tr w:rsidR="0048002A" w:rsidRPr="005D59A7" w14:paraId="60210C2F" w14:textId="77777777" w:rsidTr="00843CD6">
        <w:trPr>
          <w:trHeight w:val="379"/>
        </w:trPr>
        <w:tc>
          <w:tcPr>
            <w:tcW w:w="0" w:type="auto"/>
            <w:hideMark/>
          </w:tcPr>
          <w:p w14:paraId="5697D92E"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المقالات غير المحكمة</w:t>
            </w:r>
          </w:p>
        </w:tc>
        <w:tc>
          <w:tcPr>
            <w:tcW w:w="0" w:type="auto"/>
            <w:hideMark/>
          </w:tcPr>
          <w:p w14:paraId="1A739B7F"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المقالات المنشورة في مجلات غير محكمة أو منصات إلكترونية غير موثقة</w:t>
            </w:r>
          </w:p>
        </w:tc>
      </w:tr>
      <w:tr w:rsidR="0048002A" w:rsidRPr="005D59A7" w14:paraId="4BEA8E5D" w14:textId="77777777" w:rsidTr="00843CD6">
        <w:trPr>
          <w:trHeight w:val="395"/>
        </w:trPr>
        <w:tc>
          <w:tcPr>
            <w:tcW w:w="0" w:type="auto"/>
            <w:hideMark/>
          </w:tcPr>
          <w:p w14:paraId="3C857AD9"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الإعلامية</w:t>
            </w:r>
          </w:p>
        </w:tc>
        <w:tc>
          <w:tcPr>
            <w:tcW w:w="0" w:type="auto"/>
            <w:hideMark/>
          </w:tcPr>
          <w:p w14:paraId="67C6AD13"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التقارير الإعلامية غير الموثقة أو الافتتاحيات</w:t>
            </w:r>
          </w:p>
        </w:tc>
      </w:tr>
      <w:tr w:rsidR="0048002A" w:rsidRPr="005D59A7" w14:paraId="07C7571F" w14:textId="77777777" w:rsidTr="00843CD6">
        <w:trPr>
          <w:trHeight w:val="395"/>
        </w:trPr>
        <w:tc>
          <w:tcPr>
            <w:tcW w:w="0" w:type="auto"/>
            <w:hideMark/>
          </w:tcPr>
          <w:p w14:paraId="268A053B"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الآراء الشخصية</w:t>
            </w:r>
          </w:p>
        </w:tc>
        <w:tc>
          <w:tcPr>
            <w:tcW w:w="0" w:type="auto"/>
            <w:hideMark/>
          </w:tcPr>
          <w:p w14:paraId="17F75D6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الآراء الشخصية والمدونات والتعليقات غير العلمية</w:t>
            </w:r>
          </w:p>
        </w:tc>
      </w:tr>
      <w:tr w:rsidR="0048002A" w:rsidRPr="005D59A7" w14:paraId="76D7E8AF" w14:textId="77777777" w:rsidTr="00843CD6">
        <w:trPr>
          <w:trHeight w:val="379"/>
        </w:trPr>
        <w:tc>
          <w:tcPr>
            <w:tcW w:w="0" w:type="auto"/>
            <w:hideMark/>
          </w:tcPr>
          <w:p w14:paraId="31A0BE37"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غير الموثقة</w:t>
            </w:r>
          </w:p>
        </w:tc>
        <w:tc>
          <w:tcPr>
            <w:tcW w:w="0" w:type="auto"/>
            <w:hideMark/>
          </w:tcPr>
          <w:p w14:paraId="7EAE113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التي لا تحدد تاريخ النشر أو المصدر بوضوح</w:t>
            </w:r>
          </w:p>
        </w:tc>
      </w:tr>
      <w:tr w:rsidR="0048002A" w:rsidRPr="005D59A7" w14:paraId="0AF2EA70" w14:textId="77777777" w:rsidTr="00843CD6">
        <w:trPr>
          <w:trHeight w:val="395"/>
        </w:trPr>
        <w:tc>
          <w:tcPr>
            <w:tcW w:w="0" w:type="auto"/>
            <w:hideMark/>
          </w:tcPr>
          <w:p w14:paraId="18E6FE75"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عدم الصلة</w:t>
            </w:r>
          </w:p>
        </w:tc>
        <w:tc>
          <w:tcPr>
            <w:tcW w:w="0" w:type="auto"/>
            <w:hideMark/>
          </w:tcPr>
          <w:p w14:paraId="70BC82CD"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الدراسات التي لا ترتبط بشكل مباشر بموضوع البحث</w:t>
            </w:r>
          </w:p>
        </w:tc>
      </w:tr>
      <w:tr w:rsidR="0048002A" w:rsidRPr="005D59A7" w14:paraId="5E9FCE8C" w14:textId="77777777" w:rsidTr="00843CD6">
        <w:trPr>
          <w:trHeight w:val="379"/>
        </w:trPr>
        <w:tc>
          <w:tcPr>
            <w:tcW w:w="0" w:type="auto"/>
            <w:hideMark/>
          </w:tcPr>
          <w:p w14:paraId="59932F9A"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المكررة</w:t>
            </w:r>
          </w:p>
        </w:tc>
        <w:tc>
          <w:tcPr>
            <w:tcW w:w="0" w:type="auto"/>
            <w:hideMark/>
          </w:tcPr>
          <w:p w14:paraId="7E961490" w14:textId="77777777" w:rsidR="00843CD6" w:rsidRPr="005D59A7" w:rsidRDefault="00843CD6" w:rsidP="00E25EBC">
            <w:pPr>
              <w:shd w:val="clear" w:color="auto" w:fill="FFFFFF"/>
              <w:bidi/>
              <w:spacing w:after="0" w:line="240" w:lineRule="auto"/>
              <w:jc w:val="both"/>
              <w:rPr>
                <w:rFonts w:ascii="T" w:hAnsi="T" w:cs="Simplified Arabic"/>
                <w:sz w:val="24"/>
                <w:szCs w:val="24"/>
              </w:rPr>
            </w:pPr>
            <w:r w:rsidRPr="005D59A7">
              <w:rPr>
                <w:rFonts w:ascii="T" w:hAnsi="T" w:cs="Simplified Arabic"/>
                <w:sz w:val="24"/>
                <w:szCs w:val="24"/>
                <w:rtl/>
              </w:rPr>
              <w:t>المصادر المكررة في أكثر من قاعدة بيانات</w:t>
            </w:r>
          </w:p>
        </w:tc>
      </w:tr>
    </w:tbl>
    <w:p w14:paraId="33C3C2FA" w14:textId="77777777" w:rsidR="00843CD6" w:rsidRPr="005D59A7" w:rsidRDefault="00843CD6" w:rsidP="00E25EBC">
      <w:pPr>
        <w:shd w:val="clear" w:color="auto" w:fill="FFFFFF"/>
        <w:bidi/>
        <w:spacing w:before="240" w:after="240" w:line="360" w:lineRule="auto"/>
        <w:ind w:firstLine="84"/>
        <w:rPr>
          <w:rFonts w:ascii="T" w:eastAsia="Times New Roman" w:hAnsi="T" w:cs="Simplified Arabic"/>
          <w:sz w:val="24"/>
          <w:szCs w:val="24"/>
        </w:rPr>
      </w:pPr>
      <w:r w:rsidRPr="005D59A7">
        <w:rPr>
          <w:rFonts w:ascii="T" w:hAnsi="T" w:cs="Simplified Arabic"/>
          <w:b/>
          <w:bCs/>
          <w:sz w:val="24"/>
          <w:szCs w:val="24"/>
          <w:rtl/>
        </w:rPr>
        <w:t>إجراءات ضمان الجودة</w:t>
      </w:r>
      <w:r w:rsidRPr="005D59A7">
        <w:rPr>
          <w:rFonts w:ascii="T" w:eastAsia="Times New Roman" w:hAnsi="T" w:cs="Simplified Arabic"/>
          <w:b/>
          <w:bCs/>
          <w:sz w:val="24"/>
          <w:szCs w:val="24"/>
        </w:rPr>
        <w:t>:</w:t>
      </w:r>
    </w:p>
    <w:p w14:paraId="781BBCCB"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lastRenderedPageBreak/>
        <w:t>تم التحقق من مصداقية المصادر من خلال التحقق من الناشر وتاريخ النشر وعدد الاستشهادات السابقة</w:t>
      </w:r>
      <w:r w:rsidRPr="005D59A7">
        <w:rPr>
          <w:rFonts w:ascii="T" w:hAnsi="T" w:cs="Simplified Arabic"/>
          <w:sz w:val="24"/>
          <w:szCs w:val="24"/>
        </w:rPr>
        <w:t>.</w:t>
      </w:r>
    </w:p>
    <w:p w14:paraId="5B26BEFE"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تفضيل المصادر ذات معامل التأثير العالي</w:t>
      </w:r>
      <w:r w:rsidRPr="005D59A7">
        <w:rPr>
          <w:rFonts w:ascii="T" w:hAnsi="T" w:cs="Simplified Arabic"/>
          <w:sz w:val="24"/>
          <w:szCs w:val="24"/>
        </w:rPr>
        <w:t xml:space="preserve"> (Impact Factor) </w:t>
      </w:r>
      <w:r w:rsidRPr="005D59A7">
        <w:rPr>
          <w:rFonts w:ascii="T" w:hAnsi="T" w:cs="Simplified Arabic"/>
          <w:sz w:val="24"/>
          <w:szCs w:val="24"/>
          <w:rtl/>
        </w:rPr>
        <w:t>في المجلات العلمية</w:t>
      </w:r>
      <w:r w:rsidRPr="005D59A7">
        <w:rPr>
          <w:rFonts w:ascii="T" w:hAnsi="T" w:cs="Simplified Arabic"/>
          <w:sz w:val="24"/>
          <w:szCs w:val="24"/>
        </w:rPr>
        <w:t>.</w:t>
      </w:r>
    </w:p>
    <w:p w14:paraId="7879EADD"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تفضيل التقارير الصادرة عن جهات رسمية ذات سمعة عالمية</w:t>
      </w:r>
      <w:r w:rsidRPr="005D59A7">
        <w:rPr>
          <w:rFonts w:ascii="T" w:hAnsi="T" w:cs="Simplified Arabic"/>
          <w:sz w:val="24"/>
          <w:szCs w:val="24"/>
        </w:rPr>
        <w:t xml:space="preserve"> (</w:t>
      </w:r>
      <w:r w:rsidRPr="005D59A7">
        <w:rPr>
          <w:rFonts w:ascii="T" w:hAnsi="T" w:cs="Simplified Arabic"/>
          <w:sz w:val="24"/>
          <w:szCs w:val="24"/>
          <w:rtl/>
        </w:rPr>
        <w:t xml:space="preserve">البنك الدولي، </w:t>
      </w:r>
      <w:r w:rsidRPr="005D59A7">
        <w:rPr>
          <w:rFonts w:ascii="T" w:hAnsi="T" w:cs="Simplified Arabic"/>
          <w:sz w:val="24"/>
          <w:szCs w:val="24"/>
        </w:rPr>
        <w:t>OECD</w:t>
      </w:r>
      <w:r w:rsidRPr="005D59A7">
        <w:rPr>
          <w:rFonts w:ascii="T" w:hAnsi="T" w:cs="Simplified Arabic"/>
          <w:sz w:val="24"/>
          <w:szCs w:val="24"/>
          <w:rtl/>
        </w:rPr>
        <w:t>، الأمم المتحدة</w:t>
      </w:r>
      <w:r w:rsidRPr="005D59A7">
        <w:rPr>
          <w:rFonts w:ascii="T" w:hAnsi="T" w:cs="Simplified Arabic"/>
          <w:sz w:val="24"/>
          <w:szCs w:val="24"/>
        </w:rPr>
        <w:t>).</w:t>
      </w:r>
    </w:p>
    <w:p w14:paraId="78342342" w14:textId="77777777" w:rsidR="00843CD6" w:rsidRPr="005D59A7" w:rsidRDefault="00843CD6" w:rsidP="0045581D">
      <w:pPr>
        <w:pStyle w:val="ListParagraph"/>
        <w:numPr>
          <w:ilvl w:val="0"/>
          <w:numId w:val="28"/>
        </w:numPr>
        <w:shd w:val="clear" w:color="auto" w:fill="FFFFFF"/>
        <w:bidi/>
        <w:spacing w:before="240" w:after="240" w:line="360" w:lineRule="auto"/>
        <w:ind w:firstLine="84"/>
        <w:rPr>
          <w:rFonts w:ascii="T" w:hAnsi="T" w:cs="Simplified Arabic"/>
          <w:sz w:val="24"/>
          <w:szCs w:val="24"/>
        </w:rPr>
      </w:pPr>
      <w:r w:rsidRPr="005D59A7">
        <w:rPr>
          <w:rFonts w:ascii="T" w:hAnsi="T" w:cs="Simplified Arabic"/>
          <w:sz w:val="24"/>
          <w:szCs w:val="24"/>
          <w:rtl/>
        </w:rPr>
        <w:t>تم اعتماد مبدأ "التشبع النظري</w:t>
      </w:r>
      <w:r w:rsidRPr="005D59A7">
        <w:rPr>
          <w:rFonts w:ascii="T" w:hAnsi="T" w:cs="Simplified Arabic"/>
          <w:sz w:val="24"/>
          <w:szCs w:val="24"/>
        </w:rPr>
        <w:t xml:space="preserve">" (Theoretical Saturation) </w:t>
      </w:r>
      <w:r w:rsidRPr="005D59A7">
        <w:rPr>
          <w:rFonts w:ascii="T" w:hAnsi="T" w:cs="Simplified Arabic"/>
          <w:sz w:val="24"/>
          <w:szCs w:val="24"/>
          <w:rtl/>
        </w:rPr>
        <w:t>كمعيار لوقف إضافة المصادر الجديدة</w:t>
      </w:r>
      <w:r w:rsidRPr="005D59A7">
        <w:rPr>
          <w:rFonts w:ascii="T" w:hAnsi="T" w:cs="Simplified Arabic"/>
          <w:sz w:val="24"/>
          <w:szCs w:val="24"/>
        </w:rPr>
        <w:t>.</w:t>
      </w:r>
    </w:p>
    <w:p w14:paraId="4B8FCF44" w14:textId="51784205" w:rsidR="001F38D7" w:rsidRPr="005D59A7" w:rsidRDefault="001F38D7" w:rsidP="00E25EBC">
      <w:pPr>
        <w:pStyle w:val="Heading1"/>
        <w:bidi/>
        <w:rPr>
          <w:rFonts w:ascii="T" w:hAnsi="T" w:cs="Simplified Arabic"/>
          <w:b/>
          <w:bCs/>
          <w:color w:val="auto"/>
          <w:sz w:val="24"/>
          <w:szCs w:val="24"/>
          <w:rtl/>
        </w:rPr>
      </w:pPr>
      <w:bookmarkStart w:id="43" w:name="_Toc225991355"/>
      <w:r w:rsidRPr="005D59A7">
        <w:rPr>
          <w:rFonts w:ascii="T" w:hAnsi="T" w:cs="Simplified Arabic"/>
          <w:b/>
          <w:bCs/>
          <w:color w:val="auto"/>
          <w:sz w:val="24"/>
          <w:szCs w:val="24"/>
          <w:rtl/>
        </w:rPr>
        <w:t>النظريات المفسرة</w:t>
      </w:r>
      <w:bookmarkEnd w:id="43"/>
    </w:p>
    <w:p w14:paraId="1F6D7ACC" w14:textId="2165703E" w:rsidR="001F38D7" w:rsidRPr="005D59A7" w:rsidRDefault="001F38D7" w:rsidP="00E25EBC">
      <w:pPr>
        <w:pStyle w:val="Heading2"/>
        <w:bidi/>
        <w:rPr>
          <w:rFonts w:ascii="T" w:hAnsi="T" w:cs="Simplified Arabic"/>
          <w:b/>
          <w:bCs/>
          <w:color w:val="auto"/>
          <w:sz w:val="24"/>
          <w:szCs w:val="24"/>
          <w:rtl/>
        </w:rPr>
      </w:pPr>
      <w:bookmarkStart w:id="44" w:name="_Toc225991356"/>
      <w:r w:rsidRPr="005D59A7">
        <w:rPr>
          <w:rFonts w:ascii="T" w:hAnsi="T" w:cs="Simplified Arabic"/>
          <w:b/>
          <w:bCs/>
          <w:color w:val="auto"/>
          <w:sz w:val="24"/>
          <w:szCs w:val="24"/>
          <w:rtl/>
        </w:rPr>
        <w:t>نظرية الوكالة</w:t>
      </w:r>
      <w:r w:rsidRPr="005D59A7">
        <w:rPr>
          <w:rFonts w:ascii="T" w:hAnsi="T" w:cs="Simplified Arabic"/>
          <w:b/>
          <w:bCs/>
          <w:color w:val="auto"/>
          <w:sz w:val="24"/>
          <w:szCs w:val="24"/>
        </w:rPr>
        <w:t xml:space="preserve"> (Agency Theory)</w:t>
      </w:r>
      <w:bookmarkEnd w:id="44"/>
    </w:p>
    <w:p w14:paraId="460CA2D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أولاً: مفهوم نظرية الوكالة وأساسها الفكري</w:t>
      </w:r>
    </w:p>
    <w:p w14:paraId="6DCF53C3" w14:textId="0D899C3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تعد نظرية الوكالة من النظريات المحورية في الفكر الإداري والاقتصادي المعاصر، حيث تسعى إلى تفسير العلاقات التعاقدية بين الأطراف المختلفة وفهم التحديات التي تنشأ عن فصل الملكية عن الإدارة. تعود جذور هذه النظرية إلى أعمال</w:t>
      </w:r>
      <w:r w:rsidRPr="005D59A7">
        <w:rPr>
          <w:rFonts w:ascii="T" w:hAnsi="T" w:cs="Simplified Arabic"/>
          <w:sz w:val="24"/>
          <w:szCs w:val="24"/>
        </w:rPr>
        <w:t xml:space="preserve"> Ross (1973) </w:t>
      </w:r>
      <w:r w:rsidRPr="005D59A7">
        <w:rPr>
          <w:rFonts w:ascii="T" w:hAnsi="T" w:cs="Simplified Arabic"/>
          <w:sz w:val="24"/>
          <w:szCs w:val="24"/>
          <w:rtl/>
        </w:rPr>
        <w:t>الذي صاغ مفهوم "علاقة الوكالة" لأول مرة، و</w:t>
      </w:r>
      <w:r w:rsidRPr="005D59A7">
        <w:rPr>
          <w:rFonts w:ascii="T" w:hAnsi="T" w:cs="Simplified Arabic"/>
          <w:sz w:val="24"/>
          <w:szCs w:val="24"/>
        </w:rPr>
        <w:t xml:space="preserve">Jensen &amp; Meckling (1976) </w:t>
      </w:r>
      <w:r w:rsidRPr="005D59A7">
        <w:rPr>
          <w:rFonts w:ascii="T" w:hAnsi="T" w:cs="Simplified Arabic"/>
          <w:sz w:val="24"/>
          <w:szCs w:val="24"/>
          <w:rtl/>
        </w:rPr>
        <w:t xml:space="preserve"> الذين قدما التعريف الكلاسيكي للنظرية. في جوهرها، تتناول نظرية الوكالة العلاقة بين "الأصيل</w:t>
      </w:r>
      <w:r w:rsidRPr="005D59A7">
        <w:rPr>
          <w:rFonts w:ascii="T" w:hAnsi="T" w:cs="Simplified Arabic"/>
          <w:sz w:val="24"/>
          <w:szCs w:val="24"/>
        </w:rPr>
        <w:t xml:space="preserve">" (Principal) </w:t>
      </w:r>
      <w:r w:rsidRPr="005D59A7">
        <w:rPr>
          <w:rFonts w:ascii="T" w:hAnsi="T" w:cs="Simplified Arabic"/>
          <w:sz w:val="24"/>
          <w:szCs w:val="24"/>
          <w:rtl/>
        </w:rPr>
        <w:t>الذي يفوض سلطاته وصلاحياته، و"الوكيل</w:t>
      </w:r>
      <w:r w:rsidRPr="005D59A7">
        <w:rPr>
          <w:rFonts w:ascii="T" w:hAnsi="T" w:cs="Simplified Arabic"/>
          <w:sz w:val="24"/>
          <w:szCs w:val="24"/>
        </w:rPr>
        <w:t xml:space="preserve">" (Agent) </w:t>
      </w:r>
      <w:r w:rsidRPr="005D59A7">
        <w:rPr>
          <w:rFonts w:ascii="T" w:hAnsi="T" w:cs="Simplified Arabic"/>
          <w:sz w:val="24"/>
          <w:szCs w:val="24"/>
          <w:rtl/>
        </w:rPr>
        <w:t>الذي يتولى تنفيذ المهام نيابة عن الأصيل</w:t>
      </w:r>
      <w:r w:rsidRPr="005D59A7">
        <w:rPr>
          <w:rFonts w:ascii="T" w:hAnsi="T" w:cs="Simplified Arabic"/>
          <w:sz w:val="24"/>
          <w:szCs w:val="24"/>
        </w:rPr>
        <w:t>.</w:t>
      </w:r>
    </w:p>
    <w:p w14:paraId="7232600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تفسر نظرية الوكالة كيفية تنظيم العلاقة بين المالكين (الأصيل) والمديرين (الوكيل) في المنظمات، حيث يفوض المالكون سلطات اتخاذ القرار إلى المديرين لإدارة أعمالهم. غير أن هذا التفويض يخلق حالة من عدم تطابق المصالح، حيث قد يسعى الوكيل لتحقيق أهدافه الشخصية على حساب مصالح الأصيل. وتلعب آليات حوكمة الشركات دوراً حاسماً في الحد من الآثار السلبية الناجمة عن هذه العلاقة، من خلال وضع أنظمة رقابية وحوافز مناسبة تهدف إلى مواءمة مصالح الطرفين</w:t>
      </w:r>
      <w:r w:rsidRPr="005D59A7">
        <w:rPr>
          <w:rFonts w:ascii="T" w:hAnsi="T" w:cs="Simplified Arabic"/>
          <w:sz w:val="24"/>
          <w:szCs w:val="24"/>
        </w:rPr>
        <w:t xml:space="preserve"> (Salem, Zbain, &amp; Abdullah, 2021).</w:t>
      </w:r>
    </w:p>
    <w:p w14:paraId="6E7C10E0" w14:textId="1E293CC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تطورت نظرية الوكالة عبر الزمن لتشمل تحليلاً أعمق لمشكلة "عدم تطابق المصالح</w:t>
      </w:r>
      <w:r w:rsidRPr="005D59A7">
        <w:rPr>
          <w:rFonts w:ascii="T" w:hAnsi="T" w:cs="Simplified Arabic"/>
          <w:sz w:val="24"/>
          <w:szCs w:val="24"/>
        </w:rPr>
        <w:t xml:space="preserve">" (Interest Misalignment) </w:t>
      </w:r>
      <w:r w:rsidRPr="005D59A7">
        <w:rPr>
          <w:rFonts w:ascii="T" w:hAnsi="T" w:cs="Simplified Arabic"/>
          <w:sz w:val="24"/>
          <w:szCs w:val="24"/>
          <w:rtl/>
        </w:rPr>
        <w:t>بين الأصيل والوكيل، وكيفية تصميم آليات الحوافز والرقابة للتخفيف من هذه المشكلة. وقد ساهمت أعمال</w:t>
      </w:r>
      <w:r w:rsidRPr="005D59A7">
        <w:rPr>
          <w:rFonts w:ascii="T" w:hAnsi="T" w:cs="Simplified Arabic"/>
          <w:sz w:val="24"/>
          <w:szCs w:val="24"/>
        </w:rPr>
        <w:t xml:space="preserve"> Eisenhardt (1989) </w:t>
      </w:r>
      <w:r w:rsidRPr="005D59A7">
        <w:rPr>
          <w:rFonts w:ascii="T" w:hAnsi="T" w:cs="Simplified Arabic"/>
          <w:sz w:val="24"/>
          <w:szCs w:val="24"/>
          <w:rtl/>
        </w:rPr>
        <w:t>في تقديم توليفة شاملة لنظرية الوكالة، حيث ميزت بين سيناريوهين رئيسيين: الأول عندما يكون سلوك الوكيل قابلاً للملاحظة</w:t>
      </w:r>
      <w:r w:rsidRPr="005D59A7">
        <w:rPr>
          <w:rFonts w:ascii="T" w:hAnsi="T" w:cs="Simplified Arabic"/>
          <w:sz w:val="24"/>
          <w:szCs w:val="24"/>
        </w:rPr>
        <w:t xml:space="preserve"> (Behavior-Based Contracting)</w:t>
      </w:r>
      <w:r w:rsidRPr="005D59A7">
        <w:rPr>
          <w:rFonts w:ascii="T" w:hAnsi="T" w:cs="Simplified Arabic"/>
          <w:sz w:val="24"/>
          <w:szCs w:val="24"/>
          <w:rtl/>
        </w:rPr>
        <w:t>، والثاني عندما تكون النتائج فقط هي القابلة للقياس</w:t>
      </w:r>
      <w:r w:rsidRPr="005D59A7">
        <w:rPr>
          <w:rFonts w:ascii="T" w:hAnsi="T" w:cs="Simplified Arabic"/>
          <w:sz w:val="24"/>
          <w:szCs w:val="24"/>
        </w:rPr>
        <w:t xml:space="preserve"> (Outcome-Based Contracting).</w:t>
      </w:r>
    </w:p>
    <w:p w14:paraId="2B1CE47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في سياق العلاقات التعاقدية بين القطاعين العام والخاص، طُبقت نظرية الوكالة بشكل متزايد لفهم التحديات التي تنشأ عندما يفوض القطاع العام (الأصيل) مسؤوليات تشغيلية إلى القطاع الخاص (الوكيل). وتشير أدبيات الحوكمة إلى أن المنظمات تبنت بشكل متزايد نماذج الشراكة كاستجابة للضغوط الهيكلية ولتوسيع نطاق سلطتها في مجالات جديدة، مما يعكس تطبيقًا لمبادئ نظرية الوكالة في السياقات متعددة الأطراف</w:t>
      </w:r>
      <w:r w:rsidRPr="005D59A7">
        <w:rPr>
          <w:rFonts w:ascii="T" w:hAnsi="T" w:cs="Simplified Arabic"/>
          <w:sz w:val="24"/>
          <w:szCs w:val="24"/>
        </w:rPr>
        <w:t xml:space="preserve"> (Salem, Zbain, &amp; Abdullah, 2021).</w:t>
      </w:r>
    </w:p>
    <w:p w14:paraId="5DE47AE7"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ثانياً: الافتراضات الأساسية لنظرية الوكالة</w:t>
      </w:r>
    </w:p>
    <w:p w14:paraId="214BD36D"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تقوم نظرية الوكالة على مجموعة من الافتراضات الأساسية التي تشكل الأساس المنطقي لفهم العلاقة بين الأصيل والوكيل. تساعد هذه الافتراضات في تفسير التحديات التي تنشأ في العلاقات التعاقدية وتوجيه تصميم آليات الحوكمة المناسبة</w:t>
      </w:r>
      <w:r w:rsidRPr="005D59A7">
        <w:rPr>
          <w:rFonts w:ascii="T" w:hAnsi="T" w:cs="Simplified Arabic"/>
          <w:sz w:val="24"/>
          <w:szCs w:val="24"/>
        </w:rPr>
        <w:t>.</w:t>
      </w:r>
    </w:p>
    <w:p w14:paraId="51838C17" w14:textId="28E136CC"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تضارب المصالح</w:t>
      </w:r>
      <w:r w:rsidRPr="005D59A7">
        <w:rPr>
          <w:rFonts w:ascii="T" w:hAnsi="T" w:cs="Simplified Arabic"/>
          <w:sz w:val="24"/>
          <w:szCs w:val="24"/>
        </w:rPr>
        <w:t xml:space="preserve"> (Conflict of Interest):</w:t>
      </w:r>
    </w:p>
    <w:p w14:paraId="6DB35A6C"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الأصيل والوكيل لديهما أهداف ومصالح مختلفة. فالأصيل يسعى إلى تحقيق أهداف اجتماعية وخدماتية عامة (مثل جودة التفتيش البيئي، والامتثال للمعايير)، بينما يسعى الوكيل إلى تعظيم أرباحه وتقليل تكاليفه. هذا التضارب في المصالح يخلق حاجة إلى آليات رقابية وحوافز لمواءمة سلوك الوكيل مع أهداف الأصيل</w:t>
      </w:r>
      <w:r w:rsidRPr="005D59A7">
        <w:rPr>
          <w:rFonts w:ascii="T" w:hAnsi="T" w:cs="Simplified Arabic"/>
          <w:sz w:val="24"/>
          <w:szCs w:val="24"/>
        </w:rPr>
        <w:t xml:space="preserve"> (Jensen &amp; Meckling, 1976).</w:t>
      </w:r>
    </w:p>
    <w:p w14:paraId="75FED09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يتجلى هذا التضارب بوضوح في سياق الشراكات بين القطاعين العام والخاص، حيث تسعى الجهات الحكومية إلى تحقيق أهداف اجتماعية وبيئية، بينما يسعى الشركاء من القطاع الخاص إلى تعظيم عوائدهم </w:t>
      </w:r>
      <w:r w:rsidRPr="005D59A7">
        <w:rPr>
          <w:rFonts w:ascii="T" w:hAnsi="T" w:cs="Simplified Arabic"/>
          <w:sz w:val="24"/>
          <w:szCs w:val="24"/>
          <w:rtl/>
        </w:rPr>
        <w:lastRenderedPageBreak/>
        <w:t>المالية. وقد أشارت الدراسات إلى أن آليات حوكمة الشركات تلعب دورًا محوريًا في معالجة هذا التضارب من خلال وضع أطر تنظيمية تحدد مسؤوليات وواجبات كل طرف (محمد علي خيري ويسري، 2022)</w:t>
      </w:r>
      <w:r w:rsidRPr="005D59A7">
        <w:rPr>
          <w:rFonts w:ascii="T" w:hAnsi="T" w:cs="Simplified Arabic"/>
          <w:sz w:val="24"/>
          <w:szCs w:val="24"/>
        </w:rPr>
        <w:t>.</w:t>
      </w:r>
    </w:p>
    <w:p w14:paraId="3945130E" w14:textId="54B6E2F3"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عدم تماثل المعلومات</w:t>
      </w:r>
      <w:r w:rsidRPr="005D59A7">
        <w:rPr>
          <w:rFonts w:ascii="T" w:hAnsi="T" w:cs="Simplified Arabic"/>
          <w:sz w:val="24"/>
          <w:szCs w:val="24"/>
        </w:rPr>
        <w:t xml:space="preserve"> (Information Asymmetry):</w:t>
      </w:r>
    </w:p>
    <w:p w14:paraId="4C0C3C6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الوكيل يمتلك معلومات أكثر من الأصيل حول العمليات التشغيلية والتكاليف والجهد المبذول. في سياق التفتيش البيئي، يكون للقطاع الخاص (المكلف بتنفيذ التفتيش) معلومات تفصيلية عن كيفية تنفيذ الزيارات التفتيشية، وجودة المفتشين، وكفاءة الإجراءات، بينما يفتقر القطاع العام إلى هذه المعلومات التفصيلية. هذا التفاوت في المعلومات يخلق إمكانية للسلوك الانتهازي من قبل الوكيل</w:t>
      </w:r>
      <w:r w:rsidRPr="005D59A7">
        <w:rPr>
          <w:rFonts w:ascii="T" w:hAnsi="T" w:cs="Simplified Arabic"/>
          <w:sz w:val="24"/>
          <w:szCs w:val="24"/>
        </w:rPr>
        <w:t xml:space="preserve"> (Eisenhardt, 1989).</w:t>
      </w:r>
    </w:p>
    <w:p w14:paraId="3AB86BBD" w14:textId="5F8F2FC6"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تشير الأدبيات إلى أن عدم تماثل المعلومات يعد من أهم التحديات التي تواجه العلاقات التعاقدية، حيث يمكن للوكيل استغلال هذه المعلومات لصالحه على حساب الأصيل. وتؤكد الدراسات أن آليات التحصين الإداري</w:t>
      </w:r>
      <w:r w:rsidRPr="005D59A7">
        <w:rPr>
          <w:rFonts w:ascii="T" w:hAnsi="T" w:cs="Simplified Arabic"/>
          <w:sz w:val="24"/>
          <w:szCs w:val="24"/>
        </w:rPr>
        <w:t xml:space="preserve"> (Managerial Entrenchment) </w:t>
      </w:r>
      <w:r w:rsidRPr="005D59A7">
        <w:rPr>
          <w:rFonts w:ascii="T" w:hAnsi="T" w:cs="Simplified Arabic"/>
          <w:sz w:val="24"/>
          <w:szCs w:val="24"/>
          <w:rtl/>
        </w:rPr>
        <w:t>يمكن أن تؤثر بشكل كبير على سلوك التكلفة غير المتماثل، حيث يستغل المديرون عدم تماثل المعلومات لتحقيق أهدافهم الشخصية (يسري،اخرون, 2022؛ عفيفي ,اخرون، 2023)</w:t>
      </w:r>
      <w:r w:rsidRPr="005D59A7">
        <w:rPr>
          <w:rFonts w:ascii="T" w:hAnsi="T" w:cs="Simplified Arabic"/>
          <w:sz w:val="24"/>
          <w:szCs w:val="24"/>
        </w:rPr>
        <w:t>.</w:t>
      </w:r>
    </w:p>
    <w:p w14:paraId="2934C408" w14:textId="1328AF07"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السلوك الانتهازي</w:t>
      </w:r>
      <w:r w:rsidRPr="005D59A7">
        <w:rPr>
          <w:rFonts w:ascii="T" w:hAnsi="T" w:cs="Simplified Arabic"/>
          <w:sz w:val="24"/>
          <w:szCs w:val="24"/>
        </w:rPr>
        <w:t xml:space="preserve"> (Opportunism):</w:t>
      </w:r>
    </w:p>
    <w:p w14:paraId="0DE62B5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يفترض أن الأطراف الاقتصادية قد تسعى لتحقيق مصالحها الخاصة بوسائل قد لا تكون شفافة أو نزيهة، بما في ذلك إخفاء المعلومات أو تشويهها. هذا السلوك، الذي يُعرِّف</w:t>
      </w:r>
      <w:r w:rsidRPr="005D59A7">
        <w:rPr>
          <w:rFonts w:ascii="T" w:hAnsi="T" w:cs="Simplified Arabic"/>
          <w:sz w:val="24"/>
          <w:szCs w:val="24"/>
        </w:rPr>
        <w:t xml:space="preserve"> Williamson (1975) </w:t>
      </w:r>
      <w:r w:rsidRPr="005D59A7">
        <w:rPr>
          <w:rFonts w:ascii="T" w:hAnsi="T" w:cs="Simplified Arabic"/>
          <w:sz w:val="24"/>
          <w:szCs w:val="24"/>
          <w:rtl/>
        </w:rPr>
        <w:t>بأنه "السعي وراء المصلحة الذاتية بالمكر والخداع"، يُعد تحديًا رئيسيًا في العلاقات التعاقدية، خاصة عندما تكون العقود غير مكتملة</w:t>
      </w:r>
      <w:r w:rsidRPr="005D59A7">
        <w:rPr>
          <w:rFonts w:ascii="T" w:hAnsi="T" w:cs="Simplified Arabic"/>
          <w:sz w:val="24"/>
          <w:szCs w:val="24"/>
        </w:rPr>
        <w:t xml:space="preserve"> (Williamson, 1985).</w:t>
      </w:r>
    </w:p>
    <w:p w14:paraId="0E421E2C" w14:textId="2327629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في نماذج التوريد التقليدية، قد يتجلى السلوك الانتهازي في تقديم جودة أقل من المتفق عليها، أو تضخيم ساعات العمل، أو تقليل الجهد المبذول في التدقيق. وقد أشارت الدراسات إلى أن السلوك الانتهازي </w:t>
      </w:r>
      <w:r w:rsidRPr="005D59A7">
        <w:rPr>
          <w:rFonts w:ascii="T" w:hAnsi="T" w:cs="Simplified Arabic"/>
          <w:sz w:val="24"/>
          <w:szCs w:val="24"/>
          <w:rtl/>
        </w:rPr>
        <w:lastRenderedPageBreak/>
        <w:t>يرتبط ارتباطًا وثيقًا بمشكلة التحصين الإداري، حيث يسعى المديرون إلى تعزيز مواقعهم وزيادة قوتهم التفاوضية على حساب المالكين (عفيفي ,اخرون، 2023)</w:t>
      </w:r>
      <w:r w:rsidRPr="005D59A7">
        <w:rPr>
          <w:rFonts w:ascii="T" w:hAnsi="T" w:cs="Simplified Arabic"/>
          <w:sz w:val="24"/>
          <w:szCs w:val="24"/>
        </w:rPr>
        <w:t>.</w:t>
      </w:r>
    </w:p>
    <w:p w14:paraId="33DC1BD3" w14:textId="38FD5DCC" w:rsidR="001F38D7" w:rsidRPr="005D59A7" w:rsidRDefault="001F38D7" w:rsidP="0045581D">
      <w:pPr>
        <w:pStyle w:val="ListParagraph"/>
        <w:numPr>
          <w:ilvl w:val="0"/>
          <w:numId w:val="29"/>
        </w:num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افتراض العقلانية المحدودة</w:t>
      </w:r>
      <w:r w:rsidRPr="005D59A7">
        <w:rPr>
          <w:rFonts w:ascii="T" w:hAnsi="T" w:cs="Simplified Arabic"/>
          <w:sz w:val="24"/>
          <w:szCs w:val="24"/>
        </w:rPr>
        <w:t xml:space="preserve"> (Bounded Rationality):</w:t>
      </w:r>
    </w:p>
    <w:p w14:paraId="4B66356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تترتب على العقلانية المحدودة عدة آثار مهمة في سياق الشراكات بين القطاعين العام والخاص. أولاً، يصعب توقع جميع المخاطر المحتملة وتوزيعها بشكل مسبق. ثانيًا، تظهر الحاجة إلى آليات تكيف وتعديل خلال فترة العقد. ثالثًا، تبرز أهمية الثقة والسمعة كآليات تكميلية للعقود المكتوبة. وقد أشارت الدراسات إلى أن فهم هذه الافتراضات يساعد في تصميم عقود أكثر مرونة وفعالية (بتول وعلي وخلف، 2011)</w:t>
      </w:r>
      <w:r w:rsidRPr="005D59A7">
        <w:rPr>
          <w:rFonts w:ascii="T" w:hAnsi="T" w:cs="Simplified Arabic"/>
          <w:sz w:val="24"/>
          <w:szCs w:val="24"/>
        </w:rPr>
        <w:t>.</w:t>
      </w:r>
    </w:p>
    <w:p w14:paraId="0217308E"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ثالثاً: تكاليف الوكالة</w:t>
      </w:r>
      <w:r w:rsidRPr="005D59A7">
        <w:rPr>
          <w:rFonts w:ascii="T" w:hAnsi="T" w:cs="Simplified Arabic"/>
          <w:b/>
          <w:bCs/>
          <w:sz w:val="24"/>
          <w:szCs w:val="24"/>
        </w:rPr>
        <w:t xml:space="preserve"> (Agency Costs)</w:t>
      </w:r>
    </w:p>
    <w:p w14:paraId="4EAE69F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تُعرّف تكاليف الوكالة بأنها إجمالي التكاليف الناشئة عن علاقة الوكالة، وتشمل ثلاثة أنواع رئيسية</w:t>
      </w:r>
      <w:r w:rsidRPr="005D59A7">
        <w:rPr>
          <w:rFonts w:ascii="T" w:hAnsi="T" w:cs="Simplified Arabic"/>
          <w:sz w:val="24"/>
          <w:szCs w:val="24"/>
        </w:rPr>
        <w:t>:</w:t>
      </w:r>
    </w:p>
    <w:p w14:paraId="1CA14F15"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الأول: تكاليف المراقبة</w:t>
      </w:r>
      <w:r w:rsidRPr="005D59A7">
        <w:rPr>
          <w:rFonts w:ascii="T" w:hAnsi="T" w:cs="Simplified Arabic"/>
          <w:sz w:val="24"/>
          <w:szCs w:val="24"/>
        </w:rPr>
        <w:t xml:space="preserve"> (Monitoring Costs):</w:t>
      </w:r>
    </w:p>
    <w:p w14:paraId="4ED184A9"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تمثل التكاليف التي يتحملها الأصيل لمراقبة سلوك الوكيل والتأكد من امتثاله للعقد. تشمل هذه التكاليف أنظمة الإبلاغ الدوري، والتدقيق المستقل، وأنظمة التفتيش المزدوج، والرقابة الداخلية. في سياق التفتيش البيئي، تشمل تكاليف المراقبة الإشراف على أداء القطاع الخاص، وتكاليف أنظمة الرقابة الداخلية، وتكاليف التدقيق والمراجعة</w:t>
      </w:r>
      <w:r w:rsidRPr="005D59A7">
        <w:rPr>
          <w:rFonts w:ascii="T" w:hAnsi="T" w:cs="Simplified Arabic"/>
          <w:sz w:val="24"/>
          <w:szCs w:val="24"/>
        </w:rPr>
        <w:t xml:space="preserve"> (Jensen &amp; Meckling, 1976).</w:t>
      </w:r>
    </w:p>
    <w:p w14:paraId="2DD660A5"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تشير الأدبيات إلى أن تكاليف المراقبة يمكن تخفيضها من خلال تصميم أنظمة حوافز فعالة تقلل من الحاجة إلى المراقبة المباشرة. فقد أظهرت الدراسات أن آليات حوكمة الشركات الفعالة تساهم في خفض تكاليف المراقبة من خلال تحسين شفافية المعلومات وتعزيز المساءلة</w:t>
      </w:r>
      <w:r w:rsidRPr="005D59A7">
        <w:rPr>
          <w:rFonts w:ascii="T" w:hAnsi="T" w:cs="Simplified Arabic"/>
          <w:sz w:val="24"/>
          <w:szCs w:val="24"/>
        </w:rPr>
        <w:t xml:space="preserve"> (Salem, Zbain, &amp; Abdullah, 2021).</w:t>
      </w:r>
    </w:p>
    <w:p w14:paraId="6C5EE22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الثاني: تكاليف التزام</w:t>
      </w:r>
      <w:r w:rsidRPr="005D59A7">
        <w:rPr>
          <w:rFonts w:ascii="T" w:hAnsi="T" w:cs="Simplified Arabic"/>
          <w:sz w:val="24"/>
          <w:szCs w:val="24"/>
        </w:rPr>
        <w:t xml:space="preserve"> (Bonding Costs):</w:t>
      </w:r>
    </w:p>
    <w:p w14:paraId="6719043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تمثل التكاليف التي يتحملها الوكيل لإثبات التزامه بتنفيذ العقد وفقًا لشروطه. تشمل هذه التكاليف تقديم الضمانات البنكية، وتكاليف إعداد التقارير الدورية، وتكاليف الامتثال لمعايير الجودة، وتكاليف التأمين ضد </w:t>
      </w:r>
      <w:r w:rsidRPr="005D59A7">
        <w:rPr>
          <w:rFonts w:ascii="T" w:hAnsi="T" w:cs="Simplified Arabic"/>
          <w:sz w:val="24"/>
          <w:szCs w:val="24"/>
          <w:rtl/>
        </w:rPr>
        <w:lastRenderedPageBreak/>
        <w:t>المخاطر. يتحمل الوكيل هذه التكاليف بهدف طمأنة الأصيل بأنه سينفذ العقد بأمانة وكفاءة</w:t>
      </w:r>
      <w:r w:rsidRPr="005D59A7">
        <w:rPr>
          <w:rFonts w:ascii="T" w:hAnsi="T" w:cs="Simplified Arabic"/>
          <w:sz w:val="24"/>
          <w:szCs w:val="24"/>
        </w:rPr>
        <w:t xml:space="preserve"> (Jensen &amp; Meckling, 1976).</w:t>
      </w:r>
    </w:p>
    <w:p w14:paraId="03E47538" w14:textId="5CA5FA5D"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أشارت دراسة </w:t>
      </w:r>
      <w:r w:rsidR="003709B2" w:rsidRPr="005D59A7">
        <w:rPr>
          <w:rFonts w:ascii="T" w:hAnsi="T" w:cs="Simplified Arabic"/>
          <w:sz w:val="24"/>
          <w:szCs w:val="24"/>
          <w:rtl/>
        </w:rPr>
        <w:t>نوري,اخرون</w:t>
      </w:r>
      <w:r w:rsidRPr="005D59A7">
        <w:rPr>
          <w:rFonts w:ascii="T" w:hAnsi="T" w:cs="Simplified Arabic"/>
          <w:sz w:val="24"/>
          <w:szCs w:val="24"/>
          <w:rtl/>
        </w:rPr>
        <w:t xml:space="preserve"> (2011) إلى أن تكاليف الالتزام تلعب دورًا مهمًا في بناء الثقة بين الأصيل والوكيل، حيث تعمل كإشارة</w:t>
      </w:r>
      <w:r w:rsidRPr="005D59A7">
        <w:rPr>
          <w:rFonts w:ascii="T" w:hAnsi="T" w:cs="Simplified Arabic"/>
          <w:sz w:val="24"/>
          <w:szCs w:val="24"/>
        </w:rPr>
        <w:t xml:space="preserve"> (Signaling) </w:t>
      </w:r>
      <w:r w:rsidRPr="005D59A7">
        <w:rPr>
          <w:rFonts w:ascii="T" w:hAnsi="T" w:cs="Simplified Arabic"/>
          <w:sz w:val="24"/>
          <w:szCs w:val="24"/>
          <w:rtl/>
        </w:rPr>
        <w:t>على نزاهة وكفاءة الوكيل. كما أشارت إلى أن حوكمة الشركات تساهم في تخفيض هذه التكاليف من خلال وضع معايير موحدة للإفصاح والشفافية</w:t>
      </w:r>
      <w:r w:rsidRPr="005D59A7">
        <w:rPr>
          <w:rFonts w:ascii="T" w:hAnsi="T" w:cs="Simplified Arabic"/>
          <w:sz w:val="24"/>
          <w:szCs w:val="24"/>
        </w:rPr>
        <w:t>.</w:t>
      </w:r>
    </w:p>
    <w:p w14:paraId="161D6C2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النوع الثالث: الخسارة المتبقية</w:t>
      </w:r>
      <w:r w:rsidRPr="005D59A7">
        <w:rPr>
          <w:rFonts w:ascii="T" w:hAnsi="T" w:cs="Simplified Arabic"/>
          <w:sz w:val="24"/>
          <w:szCs w:val="24"/>
        </w:rPr>
        <w:t xml:space="preserve"> (Residual Loss):</w:t>
      </w:r>
    </w:p>
    <w:p w14:paraId="0655678F"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Pr>
      </w:pPr>
      <w:r w:rsidRPr="005D59A7">
        <w:rPr>
          <w:rFonts w:ascii="T" w:hAnsi="T" w:cs="Simplified Arabic"/>
          <w:sz w:val="24"/>
          <w:szCs w:val="24"/>
          <w:rtl/>
        </w:rPr>
        <w:t>تمثل الخسارة في قيمة العقد الناتجة عن الفجوة بين قرارات الوكيل والقرارات التي كان سيتخذها الأصيل لو كان لديه نفس المعلومات. هذه الخسارة هي "الثمن" الذي يدفعه الأصيل مقابل تفويض السلطة للوكيل، وهي تنشأ حتى في ظل وجود أنظمة مراقبة وحوافز مثالية</w:t>
      </w:r>
      <w:r w:rsidRPr="005D59A7">
        <w:rPr>
          <w:rFonts w:ascii="T" w:hAnsi="T" w:cs="Simplified Arabic"/>
          <w:sz w:val="24"/>
          <w:szCs w:val="24"/>
        </w:rPr>
        <w:t xml:space="preserve"> (Jensen &amp; Meckling, 1976).</w:t>
      </w:r>
    </w:p>
    <w:p w14:paraId="653A690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في سياق خدمة التفتيش البيئي، تتجلى الخسارة المتبقية في انخفاض جودة التفتيش، وزيادة نسبة المخالفات المرفوضة، وتراجع كفاءة التغطية، والعجز المالي المستمر. وقد أظهرت البيانات أن النموذج التقليدي للتفتيش البيئي عانى من خسارة متبقية كبيرة تمثلت في عجز مالي بلغ 41 مليون ريال خلال الفترة 2017-2019 (المركز الوطني للرقابة على الالتزام البيئي، 2020)</w:t>
      </w:r>
      <w:r w:rsidRPr="005D59A7">
        <w:rPr>
          <w:rFonts w:ascii="T" w:hAnsi="T" w:cs="Simplified Arabic"/>
          <w:sz w:val="24"/>
          <w:szCs w:val="24"/>
        </w:rPr>
        <w:t>.</w:t>
      </w:r>
    </w:p>
    <w:p w14:paraId="51A2F5D5"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رابعاً: مشكلة الوكيل-الأصيل في عقود الشراكة</w:t>
      </w:r>
    </w:p>
    <w:p w14:paraId="73BDC80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تتجسد مشكلة الوكيل-الأصيل في عقود الشراكة بين القطاعين العام والخاص في عدة أبعاد رئيسية</w:t>
      </w:r>
      <w:r w:rsidRPr="005D59A7">
        <w:rPr>
          <w:rFonts w:ascii="T" w:hAnsi="T" w:cs="Simplified Arabic"/>
          <w:sz w:val="24"/>
          <w:szCs w:val="24"/>
        </w:rPr>
        <w:t>:</w:t>
      </w:r>
    </w:p>
    <w:p w14:paraId="238E745F"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الأول: مشكلة الاختيار السلبي</w:t>
      </w:r>
      <w:r w:rsidRPr="005D59A7">
        <w:rPr>
          <w:rFonts w:ascii="T" w:hAnsi="T" w:cs="Simplified Arabic"/>
          <w:sz w:val="24"/>
          <w:szCs w:val="24"/>
        </w:rPr>
        <w:t xml:space="preserve"> (Adverse Selection):</w:t>
      </w:r>
    </w:p>
    <w:p w14:paraId="17A4AF0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قبل توقيع العقد، حيث قد يقدم الوكيل معلومات غير دقيقة حول قدراته وكفاءاته بهدف الفوز بالعقد. في مشاريع التفتيش البيئي، قد تبالغ الشركات المتقدمة في تقدير قدرتها على تغطية عدد معين من المنشآت أو تحقيق مستويات جودة محددة</w:t>
      </w:r>
      <w:r w:rsidRPr="005D59A7">
        <w:rPr>
          <w:rFonts w:ascii="T" w:hAnsi="T" w:cs="Simplified Arabic"/>
          <w:sz w:val="24"/>
          <w:szCs w:val="24"/>
        </w:rPr>
        <w:t xml:space="preserve"> (Eisenhardt, 1989).</w:t>
      </w:r>
    </w:p>
    <w:p w14:paraId="5CB49628" w14:textId="2C71F414"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تشير الأدبيات إلى أن آليات التحصين الإداري تساهم في تفاقم مشكلة الاختيار السلبي، حيث يسعى المديرون إلى إظهار أداء أفضل من حقيقتهم بهدف تعزيز مواقعهم وزيادة قوتهم التفاوضية. وقد أظهرت الدراسات أن العلاقة بين التحصين الإداري والسلوك غير المتماثل للتكلفة تعكس وجود هذه المشكلة في العديد من المنظمات (يسري,اخرون، 2022؛ عفيفي ,اخرون، 2023)</w:t>
      </w:r>
      <w:r w:rsidRPr="005D59A7">
        <w:rPr>
          <w:rFonts w:ascii="T" w:hAnsi="T" w:cs="Simplified Arabic"/>
          <w:sz w:val="24"/>
          <w:szCs w:val="24"/>
        </w:rPr>
        <w:t>.</w:t>
      </w:r>
    </w:p>
    <w:p w14:paraId="47FAB91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الثاني: مشكلة المخاطر الخلقية</w:t>
      </w:r>
      <w:r w:rsidRPr="005D59A7">
        <w:rPr>
          <w:rFonts w:ascii="T" w:hAnsi="T" w:cs="Simplified Arabic"/>
          <w:sz w:val="24"/>
          <w:szCs w:val="24"/>
        </w:rPr>
        <w:t xml:space="preserve"> (Moral Hazard):</w:t>
      </w:r>
    </w:p>
    <w:p w14:paraId="0F6AE38D"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بعد توقيع العقد، حيث قد يبذل الوكيل جهدًا أقل من المتفق عليه لأنه لا يتحمل العواقب الكاملة لتقصيره. في النموذج التقليدي للتفتيش البيئي، حيث يتم الدفع مقابل المدخلات (عدد المفتشين، ساعات العمل) بغض النظر عن المخرجات، يكون هناك حافز ضعيف لبذل جهد عالي الجودة، مما يفسر ارتفاع نسبة المخالفات المرفوضة وضعف كفاءة الرصد (المركز الوطني للرقابة على الالتزام البيئي، 2020)</w:t>
      </w:r>
      <w:r w:rsidRPr="005D59A7">
        <w:rPr>
          <w:rFonts w:ascii="T" w:hAnsi="T" w:cs="Simplified Arabic"/>
          <w:sz w:val="24"/>
          <w:szCs w:val="24"/>
        </w:rPr>
        <w:t>.</w:t>
      </w:r>
    </w:p>
    <w:p w14:paraId="5F94CADE" w14:textId="2D001DFD"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تتضاعف مشكلة المخاطر الخلقية في حالة عدم وجود آليات رقابية فعالة. أن تضارب المصالح بين العاملين في الشركة (كأصحاب مصالح) والشركة نفسها يمكن أن يؤدي إلى سلوكيات غير مرغوب فيها، مثل تقليل الجهد أو الإهمال </w:t>
      </w:r>
      <w:r w:rsidR="003709B2" w:rsidRPr="005D59A7">
        <w:rPr>
          <w:rFonts w:ascii="T" w:hAnsi="T" w:cs="Simplified Arabic"/>
          <w:sz w:val="24"/>
          <w:szCs w:val="24"/>
          <w:rtl/>
        </w:rPr>
        <w:t>المتعمد</w:t>
      </w:r>
      <w:r w:rsidR="003709B2" w:rsidRPr="005D59A7">
        <w:rPr>
          <w:rFonts w:ascii="T" w:hAnsi="T" w:cs="Simplified Arabic"/>
          <w:sz w:val="24"/>
          <w:szCs w:val="24"/>
        </w:rPr>
        <w:t>.</w:t>
      </w:r>
      <w:r w:rsidR="003709B2" w:rsidRPr="005D59A7">
        <w:rPr>
          <w:rFonts w:ascii="T" w:hAnsi="T" w:cs="Simplified Arabic"/>
          <w:sz w:val="24"/>
          <w:szCs w:val="24"/>
          <w:rtl/>
        </w:rPr>
        <w:t xml:space="preserve"> (</w:t>
      </w:r>
      <w:r w:rsidRPr="005D59A7">
        <w:rPr>
          <w:rFonts w:ascii="T" w:hAnsi="T" w:cs="Simplified Arabic"/>
          <w:sz w:val="24"/>
          <w:szCs w:val="24"/>
          <w:rtl/>
        </w:rPr>
        <w:t>عبدو,اخرون ,2024)</w:t>
      </w:r>
    </w:p>
    <w:p w14:paraId="705FB506"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البعد الثالث: مشكلة استيلاء ذوي المصالح</w:t>
      </w:r>
      <w:r w:rsidRPr="005D59A7">
        <w:rPr>
          <w:rFonts w:ascii="T" w:hAnsi="T" w:cs="Simplified Arabic"/>
          <w:sz w:val="24"/>
          <w:szCs w:val="24"/>
        </w:rPr>
        <w:t xml:space="preserve"> (Hold-up Problem):</w:t>
      </w:r>
    </w:p>
    <w:p w14:paraId="6E1DABD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تحدث عندما يقوم الوكيل باستثمارات خاصة بالعقد (مثل تدريب مفتشين على أنظمة محددة)، وبعد أن تصبح هذه الاستثمارات محصورة في العلاقة، قد يحاول الوكيل استغلال ذلك لإعادة التفاوض على شروط العقد لصالحه</w:t>
      </w:r>
      <w:r w:rsidRPr="005D59A7">
        <w:rPr>
          <w:rFonts w:ascii="T" w:hAnsi="T" w:cs="Simplified Arabic"/>
          <w:sz w:val="24"/>
          <w:szCs w:val="24"/>
        </w:rPr>
        <w:t xml:space="preserve"> (Williamson, 1985).</w:t>
      </w:r>
    </w:p>
    <w:p w14:paraId="0FA2BB5E" w14:textId="5BCB5518"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هذه المشكلة شائعة في العقود طويلة الأجل حيث تتطلب خصوصية أصول عالية. وتشير الأدبيات إلى أن نظام الحاكمية المؤسسية يمكن أن يوفر حلاً مناسبًا لهذه المشكلة من خلال وضع أطر تنظيمية تحمي حقوق الأطراف وتوفر آليات لحل النزاعات (</w:t>
      </w:r>
      <w:r w:rsidR="003709B2" w:rsidRPr="005D59A7">
        <w:rPr>
          <w:rFonts w:ascii="T" w:hAnsi="T" w:cs="Simplified Arabic"/>
          <w:sz w:val="24"/>
          <w:szCs w:val="24"/>
          <w:rtl/>
        </w:rPr>
        <w:t>عثمان,اخرون</w:t>
      </w:r>
      <w:r w:rsidRPr="005D59A7">
        <w:rPr>
          <w:rFonts w:ascii="T" w:hAnsi="T" w:cs="Simplified Arabic"/>
          <w:sz w:val="24"/>
          <w:szCs w:val="24"/>
          <w:rtl/>
        </w:rPr>
        <w:t>، 2015)</w:t>
      </w:r>
      <w:r w:rsidRPr="005D59A7">
        <w:rPr>
          <w:rFonts w:ascii="T" w:hAnsi="T" w:cs="Simplified Arabic"/>
          <w:sz w:val="24"/>
          <w:szCs w:val="24"/>
        </w:rPr>
        <w:t>.</w:t>
      </w:r>
    </w:p>
    <w:p w14:paraId="61359981"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خامساً: آليات معالجة مشكلة الوكالة</w:t>
      </w:r>
    </w:p>
    <w:p w14:paraId="604EE4D2"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لتخفيف مشكلة الوكالة، طورت الأدبيات الإدارية والاقتصادية مجموعة من الآليات</w:t>
      </w:r>
      <w:r w:rsidRPr="005D59A7">
        <w:rPr>
          <w:rFonts w:ascii="T" w:hAnsi="T" w:cs="Simplified Arabic"/>
          <w:sz w:val="24"/>
          <w:szCs w:val="24"/>
        </w:rPr>
        <w:t>:</w:t>
      </w:r>
    </w:p>
    <w:p w14:paraId="0706ECE1" w14:textId="228C4DCA"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التعاقد القائم على الأداء</w:t>
      </w:r>
      <w:r w:rsidRPr="005D59A7">
        <w:rPr>
          <w:rFonts w:ascii="T" w:hAnsi="T" w:cs="Simplified Arabic"/>
          <w:sz w:val="24"/>
          <w:szCs w:val="24"/>
        </w:rPr>
        <w:t xml:space="preserve"> (Performance-Based Contracting):</w:t>
      </w:r>
    </w:p>
    <w:p w14:paraId="139359C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ربط تعويض الوكيل بتحقيق مؤشرات أداء محددة وقابلة للقياس بدلاً من الدفع مقابل المدخلات. في سياق التفتيش البيئي، يمكن ربط الدفع بمؤشرات مثل: عدد المخالفات المعتمدة، نسبة المخالفات المرفوضة، نسبة تغطية المنشآت، زمن إغلاق المخالفات</w:t>
      </w:r>
      <w:r w:rsidRPr="005D59A7">
        <w:rPr>
          <w:rFonts w:ascii="T" w:hAnsi="T" w:cs="Simplified Arabic"/>
          <w:sz w:val="24"/>
          <w:szCs w:val="24"/>
        </w:rPr>
        <w:t xml:space="preserve"> (Eisenhardt, 1989).</w:t>
      </w:r>
    </w:p>
    <w:p w14:paraId="30DE2918" w14:textId="06D844D2"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 xml:space="preserve">تشير الأبحاث إلى أن التعاقد القائم على الأداء يساهم في تقليل مشكلة عدم تطابق المصالح من خلال مواءمة حوافز الوكيل مع أهداف الأصيل. وقد أظهرت الدراسات أن الشركات التي تتبنى آليات حوكمة فعالة تحقق كفاءة استثمارية أعلى، مما يعكس فعالية هذه الآليات في معالجة مشكلة الوكالة (عفيفي </w:t>
      </w:r>
      <w:r w:rsidR="003709B2" w:rsidRPr="005D59A7">
        <w:rPr>
          <w:rFonts w:ascii="T" w:hAnsi="T" w:cs="Simplified Arabic"/>
          <w:sz w:val="24"/>
          <w:szCs w:val="24"/>
          <w:rtl/>
        </w:rPr>
        <w:t>,اخرون</w:t>
      </w:r>
      <w:r w:rsidRPr="005D59A7">
        <w:rPr>
          <w:rFonts w:ascii="T" w:hAnsi="T" w:cs="Simplified Arabic"/>
          <w:sz w:val="24"/>
          <w:szCs w:val="24"/>
          <w:rtl/>
        </w:rPr>
        <w:t>، 2023)</w:t>
      </w:r>
      <w:r w:rsidRPr="005D59A7">
        <w:rPr>
          <w:rFonts w:ascii="T" w:hAnsi="T" w:cs="Simplified Arabic"/>
          <w:sz w:val="24"/>
          <w:szCs w:val="24"/>
        </w:rPr>
        <w:t>.</w:t>
      </w:r>
    </w:p>
    <w:p w14:paraId="5AAC7B44" w14:textId="7B911093"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آليات المراقبة والرقابة</w:t>
      </w:r>
      <w:r w:rsidRPr="005D59A7">
        <w:rPr>
          <w:rFonts w:ascii="T" w:hAnsi="T" w:cs="Simplified Arabic"/>
          <w:sz w:val="24"/>
          <w:szCs w:val="24"/>
        </w:rPr>
        <w:t xml:space="preserve"> (Monitoring Mechanisms):</w:t>
      </w:r>
    </w:p>
    <w:p w14:paraId="2E3D1861"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تشمل أنظمة الإبلاغ الدوري، والتدقيق المستقل، وأنظمة التفتيش المزدوج. تهدف هذه الآليات إلى تقليل عدم تماثل المعلومات من خلال توفير تدفق منتظم للمعلومات من الوكيل إلى الأصيل</w:t>
      </w:r>
      <w:r w:rsidRPr="005D59A7">
        <w:rPr>
          <w:rFonts w:ascii="T" w:hAnsi="T" w:cs="Simplified Arabic"/>
          <w:sz w:val="24"/>
          <w:szCs w:val="24"/>
        </w:rPr>
        <w:t xml:space="preserve"> (Jensen &amp; Meckling, 1976).</w:t>
      </w:r>
    </w:p>
    <w:p w14:paraId="55EBB9DC" w14:textId="6435918A"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تعتبر هذه الآليات جزءًا أساسيًا من نظام الحوكمة المؤسسية، حيث تساهم في تخفيض مشاكل نظرية الوكالة من خلال تعزيز الشفافية والمساءلة. أن حوكمة الشركات تلعب دورًا محوريًا في تخفيض مشاكل نظرية الوكالة من خلال وضع أطر تنظيمية تحدد مسؤوليات الأطراف وتضمن حقوقهم</w:t>
      </w:r>
      <w:r w:rsidRPr="005D59A7">
        <w:rPr>
          <w:rFonts w:ascii="T" w:hAnsi="T" w:cs="Simplified Arabic"/>
          <w:sz w:val="24"/>
          <w:szCs w:val="24"/>
        </w:rPr>
        <w:t>.</w:t>
      </w:r>
      <w:r w:rsidR="003709B2" w:rsidRPr="005D59A7">
        <w:rPr>
          <w:rFonts w:ascii="T" w:hAnsi="T" w:cs="Simplified Arabic"/>
          <w:sz w:val="24"/>
          <w:szCs w:val="24"/>
          <w:rtl/>
        </w:rPr>
        <w:t>(نوري,اخرون,2011)</w:t>
      </w:r>
    </w:p>
    <w:p w14:paraId="4C27FC64" w14:textId="788B4BEC"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أنظمة الحوافز والعقوبات</w:t>
      </w:r>
      <w:r w:rsidRPr="005D59A7">
        <w:rPr>
          <w:rFonts w:ascii="T" w:hAnsi="T" w:cs="Simplified Arabic"/>
          <w:sz w:val="24"/>
          <w:szCs w:val="24"/>
        </w:rPr>
        <w:t xml:space="preserve"> (Incentive &amp; Penalty Systems):</w:t>
      </w:r>
    </w:p>
    <w:p w14:paraId="6B9B4F53"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تصميم عقود تتضمن مكافآت للأداء المتميز وعقوبات للأداء الضعيف. يمكن أن تشمل المكافآت نسبًا إضافية من الإيرادات، بينما تشمل العقوبات تخفيض الدفع أو إنهاء العقد</w:t>
      </w:r>
      <w:r w:rsidRPr="005D59A7">
        <w:rPr>
          <w:rFonts w:ascii="T" w:hAnsi="T" w:cs="Simplified Arabic"/>
          <w:sz w:val="24"/>
          <w:szCs w:val="24"/>
        </w:rPr>
        <w:t xml:space="preserve"> (Eisenhardt, 1989).</w:t>
      </w:r>
    </w:p>
    <w:p w14:paraId="4DB5946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تعمل أنظمة الحوافز والعقوبات على تحفيز الوكيل لبذل جهد أعلى وتقليل السلوك الانتهازي. وقد أظهرت الدراسات أن هذه الأنظمة تساهم في تخفيض مشكلة المخاطر الخلقية من خلال ربط مكافآت الوكيل بأدائه الفعلي</w:t>
      </w:r>
      <w:r w:rsidRPr="005D59A7">
        <w:rPr>
          <w:rFonts w:ascii="T" w:hAnsi="T" w:cs="Simplified Arabic"/>
          <w:sz w:val="24"/>
          <w:szCs w:val="24"/>
        </w:rPr>
        <w:t xml:space="preserve"> (Salem, Zbain, &amp; Abdullah, 2021).</w:t>
      </w:r>
    </w:p>
    <w:p w14:paraId="35B50E9A" w14:textId="12EC94D9"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تقاسم المخاطر</w:t>
      </w:r>
      <w:r w:rsidRPr="005D59A7">
        <w:rPr>
          <w:rFonts w:ascii="T" w:hAnsi="T" w:cs="Simplified Arabic"/>
          <w:sz w:val="24"/>
          <w:szCs w:val="24"/>
        </w:rPr>
        <w:t xml:space="preserve"> (Risk Sharing):</w:t>
      </w:r>
    </w:p>
    <w:p w14:paraId="11D34B00"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توزيع المخاطر بين الأصيل والوكيل وفقًا لمبدأ "الطرف الأكثر قدرة على إدارتها". المخاطر التشغيلية (مثل ضعف أداء المفتشين) يمكن نقلها إلى القطاع الخاص، بينما تبقى المخاطر التنظيمية (مثل تغير اللوائح) مع القطاع العام</w:t>
      </w:r>
      <w:r w:rsidRPr="005D59A7">
        <w:rPr>
          <w:rFonts w:ascii="T" w:hAnsi="T" w:cs="Simplified Arabic"/>
          <w:sz w:val="24"/>
          <w:szCs w:val="24"/>
        </w:rPr>
        <w:t xml:space="preserve"> (Williamson, 1985).</w:t>
      </w:r>
    </w:p>
    <w:p w14:paraId="4564AF0B" w14:textId="763F14FB"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يعتبر توزيع المخاطر بشكل عادل من أهم عناصر عقود الشراكة الناجحة. نظام الحاكمية المؤسسية يمثل الحل الأمثل للأطراف المتعارضة في ظل نظرية الوكالة، من خلال توزيع المسؤوليات والمخاطر بشكل متوازن</w:t>
      </w:r>
      <w:r w:rsidRPr="005D59A7">
        <w:rPr>
          <w:rFonts w:ascii="T" w:hAnsi="T" w:cs="Simplified Arabic"/>
          <w:sz w:val="24"/>
          <w:szCs w:val="24"/>
        </w:rPr>
        <w:t>.</w:t>
      </w:r>
      <w:r w:rsidR="003709B2" w:rsidRPr="005D59A7">
        <w:rPr>
          <w:rFonts w:ascii="T" w:hAnsi="T" w:cs="Simplified Arabic"/>
          <w:sz w:val="24"/>
          <w:szCs w:val="24"/>
          <w:rtl/>
        </w:rPr>
        <w:t>(عثمان,اخرون,2015)</w:t>
      </w:r>
    </w:p>
    <w:p w14:paraId="762A08D4"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سادساً: تطبيق النظرية على الدراسة الحالية</w:t>
      </w:r>
    </w:p>
    <w:p w14:paraId="45A1A414"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تُستخدم نظرية الوكالة في هذه الدراسة لتفسير العلاقة بين المركز الوطني للرقابة على الالتزام البيئي (الأصيل) والقطاع الخاص (الوكيل) في تقديم خدمة التفتيش البيئي. تشير النظرية إلى أن النموذج التقليدي القائم على التوريد</w:t>
      </w:r>
      <w:r w:rsidRPr="005D59A7">
        <w:rPr>
          <w:rFonts w:ascii="T" w:hAnsi="T" w:cs="Simplified Arabic"/>
          <w:sz w:val="24"/>
          <w:szCs w:val="24"/>
        </w:rPr>
        <w:t xml:space="preserve"> (Input-Based Contracting) </w:t>
      </w:r>
      <w:r w:rsidRPr="005D59A7">
        <w:rPr>
          <w:rFonts w:ascii="T" w:hAnsi="T" w:cs="Simplified Arabic"/>
          <w:sz w:val="24"/>
          <w:szCs w:val="24"/>
          <w:rtl/>
        </w:rPr>
        <w:t>يعاني من مشكلة الوكالة الأساسية، حيث يتم الدفع للقطاع الخاص مقابل توفير المدخلات (عدد المفتشين، ساعات العمل) بغض النظر عن جودة المخرجات</w:t>
      </w:r>
      <w:r w:rsidRPr="005D59A7">
        <w:rPr>
          <w:rFonts w:ascii="T" w:hAnsi="T" w:cs="Simplified Arabic"/>
          <w:sz w:val="24"/>
          <w:szCs w:val="24"/>
        </w:rPr>
        <w:t>.</w:t>
      </w:r>
    </w:p>
    <w:p w14:paraId="25E44F0E"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هذا النموذج أدى إلى عدة مظاهر لمشكلة الوكالة في خدمة التفتيش البيئي</w:t>
      </w:r>
      <w:r w:rsidRPr="005D59A7">
        <w:rPr>
          <w:rFonts w:ascii="T" w:hAnsi="T" w:cs="Simplified Arabic"/>
          <w:sz w:val="24"/>
          <w:szCs w:val="24"/>
        </w:rPr>
        <w:t>:</w:t>
      </w:r>
    </w:p>
    <w:p w14:paraId="63A9EE9A"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مشكلة المخاطر الخلقية: ضعف كفاءة الرصد (تراجع المخالفات لكل زيارة من 1.2 إلى 0.4) بسبب غياب الحوافز لبذل جهد عالي الجودة</w:t>
      </w:r>
      <w:r w:rsidRPr="005D59A7">
        <w:rPr>
          <w:rFonts w:ascii="T" w:hAnsi="T" w:cs="Simplified Arabic"/>
          <w:sz w:val="24"/>
          <w:szCs w:val="24"/>
        </w:rPr>
        <w:t>.</w:t>
      </w:r>
    </w:p>
    <w:p w14:paraId="13F522C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مشكلة الاختيار السلبي: ارتفاع نسبة المخالفات المرفوضة إلى 45% نتيجة تقديم معلومات غير دقيقة حول جودة التفتيش</w:t>
      </w:r>
      <w:r w:rsidRPr="005D59A7">
        <w:rPr>
          <w:rFonts w:ascii="T" w:hAnsi="T" w:cs="Simplified Arabic"/>
          <w:sz w:val="24"/>
          <w:szCs w:val="24"/>
        </w:rPr>
        <w:t>.</w:t>
      </w:r>
    </w:p>
    <w:p w14:paraId="52221E3B"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lastRenderedPageBreak/>
        <w:t>الخسارة المتبقية: العجز المالي المستمر (41 مليون ريال) نتيجة الفجوة بين الأداء الفعلي والأداء المطلوب</w:t>
      </w:r>
      <w:r w:rsidRPr="005D59A7">
        <w:rPr>
          <w:rFonts w:ascii="T" w:hAnsi="T" w:cs="Simplified Arabic"/>
          <w:sz w:val="24"/>
          <w:szCs w:val="24"/>
        </w:rPr>
        <w:t>.</w:t>
      </w:r>
    </w:p>
    <w:p w14:paraId="3A02E088" w14:textId="77777777"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وتقترح النظرية أن الانتقال إلى نموذج التعاقد القائم على الأداء</w:t>
      </w:r>
      <w:r w:rsidRPr="005D59A7">
        <w:rPr>
          <w:rFonts w:ascii="T" w:hAnsi="T" w:cs="Simplified Arabic"/>
          <w:sz w:val="24"/>
          <w:szCs w:val="24"/>
        </w:rPr>
        <w:t xml:space="preserve"> (Performance-Based Contracting)</w:t>
      </w:r>
      <w:r w:rsidRPr="005D59A7">
        <w:rPr>
          <w:rFonts w:ascii="T" w:hAnsi="T" w:cs="Simplified Arabic"/>
          <w:sz w:val="24"/>
          <w:szCs w:val="24"/>
          <w:rtl/>
        </w:rPr>
        <w:t>، مع ربط المقابل المالي بمؤشرات أداء محددة</w:t>
      </w:r>
      <w:r w:rsidRPr="005D59A7">
        <w:rPr>
          <w:rFonts w:ascii="T" w:hAnsi="T" w:cs="Simplified Arabic"/>
          <w:sz w:val="24"/>
          <w:szCs w:val="24"/>
        </w:rPr>
        <w:t xml:space="preserve"> (KPIs)</w:t>
      </w:r>
      <w:r w:rsidRPr="005D59A7">
        <w:rPr>
          <w:rFonts w:ascii="T" w:hAnsi="T" w:cs="Simplified Arabic"/>
          <w:sz w:val="24"/>
          <w:szCs w:val="24"/>
          <w:rtl/>
        </w:rPr>
        <w:t>، يمكن أن يخفف من مشكلة عدم تطابق المصالح ويحسن كفاءة وجودة الخدمة. هذا يتوافق مع ما أشارت إليه دراسة مجدي عبد اللطيف عبدو (2024) حول أهمية معالجة تضارب المصالح بين الأطراف المختلفة لتحقيق أداء أفضل</w:t>
      </w:r>
      <w:r w:rsidRPr="005D59A7">
        <w:rPr>
          <w:rFonts w:ascii="T" w:hAnsi="T" w:cs="Simplified Arabic"/>
          <w:sz w:val="24"/>
          <w:szCs w:val="24"/>
        </w:rPr>
        <w:t>.</w:t>
      </w:r>
    </w:p>
    <w:p w14:paraId="30C625FA" w14:textId="77777777" w:rsidR="001F38D7" w:rsidRPr="005D59A7" w:rsidRDefault="001F38D7" w:rsidP="00861DC2">
      <w:pPr>
        <w:shd w:val="clear" w:color="auto" w:fill="FFFFFF"/>
        <w:bidi/>
        <w:spacing w:before="240" w:after="240" w:line="360" w:lineRule="auto"/>
        <w:ind w:firstLine="720"/>
        <w:jc w:val="both"/>
        <w:rPr>
          <w:rFonts w:ascii="T" w:hAnsi="T" w:cs="Simplified Arabic"/>
          <w:b/>
          <w:bCs/>
          <w:sz w:val="24"/>
          <w:szCs w:val="24"/>
          <w:rtl/>
        </w:rPr>
      </w:pPr>
      <w:r w:rsidRPr="005D59A7">
        <w:rPr>
          <w:rFonts w:ascii="T" w:hAnsi="T" w:cs="Simplified Arabic"/>
          <w:b/>
          <w:bCs/>
          <w:sz w:val="24"/>
          <w:szCs w:val="24"/>
          <w:rtl/>
        </w:rPr>
        <w:t>سابعاً: العلاقة بين نظرية الوكالة وحوكمة الشركات</w:t>
      </w:r>
    </w:p>
    <w:p w14:paraId="3CABB273" w14:textId="6D14D76B" w:rsidR="001F38D7" w:rsidRPr="005D59A7" w:rsidRDefault="001F38D7" w:rsidP="00861DC2">
      <w:pPr>
        <w:shd w:val="clear" w:color="auto" w:fill="FFFFFF"/>
        <w:bidi/>
        <w:spacing w:before="240" w:after="240" w:line="360" w:lineRule="auto"/>
        <w:ind w:firstLine="720"/>
        <w:jc w:val="both"/>
        <w:rPr>
          <w:rFonts w:ascii="T" w:hAnsi="T" w:cs="Simplified Arabic"/>
          <w:sz w:val="24"/>
          <w:szCs w:val="24"/>
          <w:rtl/>
        </w:rPr>
      </w:pPr>
      <w:r w:rsidRPr="005D59A7">
        <w:rPr>
          <w:rFonts w:ascii="T" w:hAnsi="T" w:cs="Simplified Arabic"/>
          <w:sz w:val="24"/>
          <w:szCs w:val="24"/>
          <w:rtl/>
        </w:rPr>
        <w:t>ترتبط نظرية الوكالة ارتباطًا وثيقًا بحوكمة الشركات، حيث تشكل النظرية الأساس الفكري لفهم آليات الحوكمة ودورها في معالجة مشاكل الوكالة. حوكمة الشركات تلعب دورًا محوريًا في تخفيض مشاكل نظرية الوكالة من خلال</w:t>
      </w:r>
      <w:r w:rsidRPr="005D59A7">
        <w:rPr>
          <w:rFonts w:ascii="T" w:hAnsi="T" w:cs="Simplified Arabic"/>
          <w:sz w:val="24"/>
          <w:szCs w:val="24"/>
        </w:rPr>
        <w:t>:</w:t>
      </w:r>
    </w:p>
    <w:p w14:paraId="1EEA67C3"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وضع أطر تنظيمية تحدد مسؤوليات وواجبات الأطراف المختلفة</w:t>
      </w:r>
      <w:r w:rsidRPr="005D59A7">
        <w:rPr>
          <w:rFonts w:ascii="T" w:hAnsi="T" w:cs="Simplified Arabic"/>
          <w:sz w:val="24"/>
          <w:szCs w:val="24"/>
        </w:rPr>
        <w:t>.</w:t>
      </w:r>
    </w:p>
    <w:p w14:paraId="638DA0C3"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تعزيز الشفافية والإفصاح لتقليل عدم تماثل المعلومات</w:t>
      </w:r>
      <w:r w:rsidRPr="005D59A7">
        <w:rPr>
          <w:rFonts w:ascii="T" w:hAnsi="T" w:cs="Simplified Arabic"/>
          <w:sz w:val="24"/>
          <w:szCs w:val="24"/>
        </w:rPr>
        <w:t>.</w:t>
      </w:r>
    </w:p>
    <w:p w14:paraId="554AE265"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تصميم أنظمة حوافز فعالة لمواءمة مصالح الأصيل والوكيل</w:t>
      </w:r>
      <w:r w:rsidRPr="005D59A7">
        <w:rPr>
          <w:rFonts w:ascii="T" w:hAnsi="T" w:cs="Simplified Arabic"/>
          <w:sz w:val="24"/>
          <w:szCs w:val="24"/>
        </w:rPr>
        <w:t>.</w:t>
      </w:r>
    </w:p>
    <w:p w14:paraId="7A8CEEBF" w14:textId="77777777" w:rsidR="001F38D7" w:rsidRPr="005D59A7" w:rsidRDefault="001F38D7" w:rsidP="0045581D">
      <w:pPr>
        <w:pStyle w:val="ListParagraph"/>
        <w:numPr>
          <w:ilvl w:val="0"/>
          <w:numId w:val="33"/>
        </w:numPr>
        <w:shd w:val="clear" w:color="auto" w:fill="FFFFFF"/>
        <w:bidi/>
        <w:spacing w:before="240" w:after="240" w:line="360" w:lineRule="auto"/>
        <w:jc w:val="both"/>
        <w:rPr>
          <w:rFonts w:ascii="T" w:hAnsi="T" w:cs="Simplified Arabic"/>
          <w:sz w:val="24"/>
          <w:szCs w:val="24"/>
          <w:rtl/>
        </w:rPr>
      </w:pPr>
      <w:r w:rsidRPr="005D59A7">
        <w:rPr>
          <w:rFonts w:ascii="T" w:hAnsi="T" w:cs="Simplified Arabic"/>
          <w:sz w:val="24"/>
          <w:szCs w:val="24"/>
          <w:rtl/>
        </w:rPr>
        <w:t>إنشاء آليات رقابية مستقلة لمراقبة أداء الوكيل</w:t>
      </w:r>
      <w:r w:rsidRPr="005D59A7">
        <w:rPr>
          <w:rFonts w:ascii="T" w:hAnsi="T" w:cs="Simplified Arabic"/>
          <w:sz w:val="24"/>
          <w:szCs w:val="24"/>
        </w:rPr>
        <w:t>.</w:t>
      </w:r>
    </w:p>
    <w:p w14:paraId="73F2664F" w14:textId="77777777" w:rsidR="008432FD" w:rsidRPr="005D59A7" w:rsidRDefault="00545FDC" w:rsidP="0045581D">
      <w:pPr>
        <w:pStyle w:val="Heading2"/>
        <w:numPr>
          <w:ilvl w:val="2"/>
          <w:numId w:val="3"/>
        </w:numPr>
        <w:bidi/>
        <w:spacing w:line="360" w:lineRule="auto"/>
        <w:ind w:firstLine="720"/>
        <w:rPr>
          <w:rFonts w:ascii="T" w:hAnsi="T" w:cs="Simplified Arabic"/>
          <w:b/>
          <w:bCs/>
          <w:color w:val="auto"/>
          <w:sz w:val="24"/>
          <w:szCs w:val="24"/>
          <w:rtl/>
        </w:rPr>
      </w:pPr>
      <w:bookmarkStart w:id="45" w:name="_Toc225991357"/>
      <w:r w:rsidRPr="005D59A7">
        <w:rPr>
          <w:rFonts w:ascii="T" w:hAnsi="T" w:cs="Simplified Arabic"/>
          <w:b/>
          <w:bCs/>
          <w:color w:val="auto"/>
          <w:sz w:val="24"/>
          <w:szCs w:val="24"/>
          <w:rtl/>
        </w:rPr>
        <w:t xml:space="preserve">نظرة عامة عن </w:t>
      </w:r>
      <w:r w:rsidR="008432FD" w:rsidRPr="005D59A7">
        <w:rPr>
          <w:rFonts w:ascii="T" w:hAnsi="T" w:cs="Simplified Arabic"/>
          <w:b/>
          <w:bCs/>
          <w:color w:val="auto"/>
          <w:sz w:val="24"/>
          <w:szCs w:val="24"/>
          <w:rtl/>
        </w:rPr>
        <w:t>الشراكة مع القطاع الخاص</w:t>
      </w:r>
      <w:bookmarkEnd w:id="45"/>
      <w:r w:rsidR="008432FD" w:rsidRPr="005D59A7">
        <w:rPr>
          <w:rFonts w:ascii="T" w:hAnsi="T" w:cs="Simplified Arabic"/>
          <w:b/>
          <w:bCs/>
          <w:color w:val="auto"/>
          <w:sz w:val="24"/>
          <w:szCs w:val="24"/>
          <w:rtl/>
        </w:rPr>
        <w:t xml:space="preserve"> </w:t>
      </w:r>
    </w:p>
    <w:p w14:paraId="354BE6A0" w14:textId="77777777" w:rsidR="008432FD" w:rsidRPr="005D59A7" w:rsidRDefault="00BC6A9A" w:rsidP="0045581D">
      <w:pPr>
        <w:pStyle w:val="Heading3"/>
        <w:numPr>
          <w:ilvl w:val="0"/>
          <w:numId w:val="4"/>
        </w:numPr>
        <w:bidi/>
        <w:spacing w:line="360" w:lineRule="auto"/>
        <w:ind w:left="84" w:firstLine="720"/>
        <w:rPr>
          <w:rFonts w:ascii="T" w:hAnsi="T" w:cs="Simplified Arabic"/>
          <w:color w:val="auto"/>
          <w:sz w:val="24"/>
          <w:szCs w:val="24"/>
          <w:rtl/>
        </w:rPr>
      </w:pPr>
      <w:bookmarkStart w:id="46" w:name="_Toc225991358"/>
      <w:r w:rsidRPr="005D59A7">
        <w:rPr>
          <w:rFonts w:ascii="T" w:hAnsi="T" w:cs="Simplified Arabic"/>
          <w:color w:val="auto"/>
          <w:sz w:val="24"/>
          <w:szCs w:val="24"/>
          <w:rtl/>
        </w:rPr>
        <w:t>ما هي الشراكات مع القطاع الخاص؟</w:t>
      </w:r>
      <w:bookmarkEnd w:id="46"/>
      <w:r w:rsidRPr="005D59A7">
        <w:rPr>
          <w:rFonts w:ascii="T" w:hAnsi="T" w:cs="Simplified Arabic"/>
          <w:color w:val="auto"/>
          <w:sz w:val="24"/>
          <w:szCs w:val="24"/>
          <w:rtl/>
        </w:rPr>
        <w:t xml:space="preserve"> </w:t>
      </w:r>
    </w:p>
    <w:p w14:paraId="3BDB60C4" w14:textId="2D730187" w:rsidR="00BC6A9A" w:rsidRPr="005D59A7" w:rsidRDefault="00BC6A9A"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تُمثل الشراكات بين القطاعين العام والخاص نهجًا تعاونيًا لتوفير البنية التحتية والخدمات </w:t>
      </w:r>
      <w:r w:rsidR="00EB1549" w:rsidRPr="005D59A7">
        <w:rPr>
          <w:rFonts w:ascii="T" w:hAnsi="T" w:cs="Simplified Arabic"/>
          <w:sz w:val="24"/>
          <w:szCs w:val="24"/>
          <w:rtl/>
        </w:rPr>
        <w:t>العامة،</w:t>
      </w:r>
      <w:r w:rsidRPr="005D59A7">
        <w:rPr>
          <w:rFonts w:ascii="T" w:hAnsi="T" w:cs="Simplified Arabic"/>
          <w:sz w:val="24"/>
          <w:szCs w:val="24"/>
          <w:rtl/>
        </w:rPr>
        <w:t xml:space="preserve"> حيث تتعاون جهة حكومية مع شركة من القطاع الخاص. وقد اكتسب هذا النموذج زخمًا عالميًا كبيرًا في ظل سعي الحكومات إلى إيجاد طرق مبتكرة لتمويل وبناء وتشغيل المشاريع الأساسية التي قد تواجها قيودًا في التمويل أو تحديات في الكفاءة (</w:t>
      </w:r>
      <w:r w:rsidRPr="005D59A7">
        <w:rPr>
          <w:rFonts w:ascii="T" w:hAnsi="T" w:cs="Simplified Arabic"/>
          <w:sz w:val="24"/>
          <w:szCs w:val="24"/>
        </w:rPr>
        <w:t>Investopedia, 2024</w:t>
      </w:r>
      <w:r w:rsidRPr="005D59A7">
        <w:rPr>
          <w:rFonts w:ascii="T" w:hAnsi="T" w:cs="Simplified Arabic"/>
          <w:sz w:val="24"/>
          <w:szCs w:val="24"/>
          <w:rtl/>
        </w:rPr>
        <w:t>).</w:t>
      </w:r>
    </w:p>
    <w:p w14:paraId="524A348E" w14:textId="3D2B7236" w:rsidR="00BC6A9A" w:rsidRPr="005D59A7" w:rsidRDefault="00BC6A9A"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في جوهرها، تتضمن الشراكة بين القطاعين العام والخاص اتفاقية تعاقدية طويلة الأجل بين القطاعين. وخلافًا للمشتريات العامة التقليدية، حيث تتولى الحكومة تصميم المشروع وتمويله وتشغيله، عادةً ما تنقل هذه الشراكات مسؤوليات ومخاطر كبيرة إلى الشريك الخاص.</w:t>
      </w:r>
      <w:r w:rsidR="00E25EBC" w:rsidRPr="005D59A7">
        <w:rPr>
          <w:rFonts w:ascii="T" w:hAnsi="T" w:cs="Simplified Arabic"/>
          <w:sz w:val="24"/>
          <w:szCs w:val="24"/>
        </w:rPr>
        <w:t xml:space="preserve"> (Casady, et al ,2024)</w:t>
      </w:r>
      <w:r w:rsidRPr="005D59A7">
        <w:rPr>
          <w:rFonts w:ascii="T" w:hAnsi="T" w:cs="Simplified Arabic"/>
          <w:sz w:val="24"/>
          <w:szCs w:val="24"/>
          <w:rtl/>
        </w:rPr>
        <w:t xml:space="preserve"> ويشمل ذلك تصميم وبناء وتمويل وتشغيل وصيانة الأصول، مثل الطرق والجسور والمستشفيات والمدارس ومرافق معالجة المياه وأنظمة النقل العام، بالإضافة إلى الخدمات مثل التفتيش والصيانة وإعداد التقارير والعمليات ومراقبة الجودة وغيرها (</w:t>
      </w:r>
      <w:r w:rsidRPr="005D59A7">
        <w:rPr>
          <w:rFonts w:ascii="T" w:hAnsi="T" w:cs="Simplified Arabic"/>
          <w:sz w:val="24"/>
          <w:szCs w:val="24"/>
        </w:rPr>
        <w:t>World Bank Group, 2025</w:t>
      </w:r>
      <w:r w:rsidRPr="005D59A7">
        <w:rPr>
          <w:rFonts w:ascii="T" w:hAnsi="T" w:cs="Simplified Arabic"/>
          <w:sz w:val="24"/>
          <w:szCs w:val="24"/>
          <w:rtl/>
        </w:rPr>
        <w:t>).</w:t>
      </w:r>
    </w:p>
    <w:p w14:paraId="3B2C3472" w14:textId="77777777" w:rsidR="00BC6A9A" w:rsidRPr="005D59A7" w:rsidRDefault="00BC6A9A"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ويعد الأساس المنطقي وراء اعتماد الشراكات بين القطاعين العام والخاص متعدد الجوانب. فكثيرًا ما تستغل الحكومات خبرة القطاع الخاص وكفاءته وإمكانية حصوله على رأس المال لتسريع إنجاز المشاريع، وتحقيق قيمة أفضل مقابل المال، وتشجيع الابتكار. أما بالنسبة للقطاع الخاص، فتتيح الشراكات بين القطاعين العام والخاص فرصًا تجارية جديدة وإمكانية تحقيق تدفقات إيرادات طويلة الأجل، غالبًا ما ترتبط بالأداء وتقديم خدمات محددة (</w:t>
      </w:r>
      <w:r w:rsidRPr="005D59A7">
        <w:rPr>
          <w:rFonts w:ascii="T" w:hAnsi="T" w:cs="Simplified Arabic"/>
          <w:sz w:val="24"/>
          <w:szCs w:val="24"/>
        </w:rPr>
        <w:t>Investopedia, 2024</w:t>
      </w:r>
      <w:r w:rsidRPr="005D59A7">
        <w:rPr>
          <w:rFonts w:ascii="T" w:hAnsi="T" w:cs="Simplified Arabic"/>
          <w:sz w:val="24"/>
          <w:szCs w:val="24"/>
          <w:rtl/>
        </w:rPr>
        <w:t>).</w:t>
      </w:r>
    </w:p>
    <w:p w14:paraId="29E4DC2C" w14:textId="77777777" w:rsidR="00BC6A9A" w:rsidRPr="005D59A7" w:rsidRDefault="00BC6A9A" w:rsidP="00335E83">
      <w:pPr>
        <w:pStyle w:val="ListParagraph"/>
        <w:bidi/>
        <w:spacing w:line="360" w:lineRule="auto"/>
        <w:ind w:left="84" w:firstLine="720"/>
        <w:jc w:val="both"/>
        <w:rPr>
          <w:rFonts w:ascii="T" w:hAnsi="T" w:cs="Simplified Arabic"/>
          <w:sz w:val="24"/>
          <w:szCs w:val="24"/>
          <w:rtl/>
        </w:rPr>
      </w:pPr>
    </w:p>
    <w:p w14:paraId="4BDF46E5" w14:textId="77777777" w:rsidR="000832EB" w:rsidRPr="005D59A7" w:rsidRDefault="00BC6A9A"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تشير الشراكات بين القطاعين العام والخاص إلى علاقة قانونية أو تعاقدية بين الحكومة ومشروع تجاري خاص تهدف إلى توفير المرافق الأساسية والخدمات العامة</w:t>
      </w:r>
      <w:r w:rsidR="000832EB" w:rsidRPr="005D59A7">
        <w:rPr>
          <w:rFonts w:ascii="T" w:hAnsi="T" w:cs="Simplified Arabic"/>
          <w:sz w:val="24"/>
          <w:szCs w:val="24"/>
          <w:rtl/>
        </w:rPr>
        <w:t xml:space="preserve"> حيث تنشئ الشركات الخاصة شركة ذات غرض مخصص لبناء وتطوير وصيانة وتشغيل مشروع خلال الفترة التعاقدية المحددة</w:t>
      </w:r>
      <w:r w:rsidRPr="005D59A7">
        <w:rPr>
          <w:rFonts w:ascii="T" w:hAnsi="T" w:cs="Simplified Arabic"/>
          <w:sz w:val="24"/>
          <w:szCs w:val="24"/>
          <w:rtl/>
        </w:rPr>
        <w:t xml:space="preserve"> (</w:t>
      </w:r>
      <w:r w:rsidRPr="005D59A7">
        <w:rPr>
          <w:rFonts w:ascii="T" w:hAnsi="T" w:cs="Simplified Arabic"/>
          <w:sz w:val="24"/>
          <w:szCs w:val="24"/>
        </w:rPr>
        <w:t>LawTeacher, 2018</w:t>
      </w:r>
      <w:r w:rsidRPr="005D59A7">
        <w:rPr>
          <w:rFonts w:ascii="T" w:hAnsi="T" w:cs="Simplified Arabic"/>
          <w:sz w:val="24"/>
          <w:szCs w:val="24"/>
          <w:rtl/>
        </w:rPr>
        <w:t>).</w:t>
      </w:r>
    </w:p>
    <w:p w14:paraId="4FAFA0E6" w14:textId="173D6C1A" w:rsidR="00BC6A9A" w:rsidRPr="005D59A7" w:rsidRDefault="000832EB"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تتألف الشراكة في الغالب من مقاول بناء، وشركة صيانة، وممول بنكي (أو أكثر) عند الضرورة. وتتولى الشركة ذات الغرض الخاص مسؤولية توقيع العقد مع الحكومة والمقاولين من الباطن، بالإضافة إلى بناء المشروع وصيانته بهدف تقديم الخدمات العامة المتعلقة بالبنية التحتية والإسكان والنقل والصحة والتعليم والطاقة والدفاع وغيرها من المجالات </w:t>
      </w:r>
      <w:r w:rsidR="00E25EBC" w:rsidRPr="005D59A7">
        <w:rPr>
          <w:rFonts w:ascii="T" w:hAnsi="T" w:cs="Simplified Arabic"/>
          <w:sz w:val="24"/>
          <w:szCs w:val="24"/>
          <w:rtl/>
        </w:rPr>
        <w:t>(</w:t>
      </w:r>
      <w:r w:rsidR="00E25EBC" w:rsidRPr="005D59A7">
        <w:rPr>
          <w:rFonts w:ascii="T" w:hAnsi="T" w:cs="Simplified Arabic"/>
          <w:sz w:val="24"/>
          <w:szCs w:val="24"/>
        </w:rPr>
        <w:t>Ramolobe &amp; Khandanisa, 2024</w:t>
      </w:r>
      <w:r w:rsidR="00E25EBC" w:rsidRPr="005D59A7">
        <w:rPr>
          <w:rFonts w:ascii="T" w:hAnsi="T" w:cs="Simplified Arabic"/>
          <w:sz w:val="24"/>
          <w:szCs w:val="24"/>
          <w:rtl/>
        </w:rPr>
        <w:t>)</w:t>
      </w:r>
      <w:r w:rsidRPr="005D59A7">
        <w:rPr>
          <w:rFonts w:ascii="T" w:hAnsi="T" w:cs="Simplified Arabic"/>
          <w:sz w:val="24"/>
          <w:szCs w:val="24"/>
          <w:rtl/>
        </w:rPr>
        <w:t xml:space="preserve">. </w:t>
      </w:r>
      <w:r w:rsidR="00BC6A9A" w:rsidRPr="005D59A7">
        <w:rPr>
          <w:rFonts w:ascii="T" w:hAnsi="T" w:cs="Simplified Arabic"/>
          <w:sz w:val="24"/>
          <w:szCs w:val="24"/>
          <w:rtl/>
        </w:rPr>
        <w:t xml:space="preserve"> </w:t>
      </w:r>
    </w:p>
    <w:p w14:paraId="11CB5BEF" w14:textId="77777777" w:rsidR="00A36121" w:rsidRPr="005D59A7" w:rsidRDefault="002B25AB"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لا يوجد اتفاق واضح حول ما يعتبر شراكة بين القطاعين العام والخاص وما لا يعتبر كذلك، ولكن، تتميز الشراكة بين القطاعين العام والخاص بخصائص فريدة يمكن من خلالها التمييز وتوضيح وتعريف الشراكة مع القطاع الخاص مقارنة بالاتفاقيات التعاقدية التقليدية ومنها:</w:t>
      </w:r>
    </w:p>
    <w:p w14:paraId="323A7F57" w14:textId="77777777" w:rsidR="00A36121" w:rsidRPr="005D59A7" w:rsidRDefault="002B25AB"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 xml:space="preserve"> 1) يوفر القطاع الخاص التمويل اللازم لتنفيذ مشروع البنية التحتية وذلك من خلال الاستعانة بالمؤسسات المالية إن تطلب الأمر ذلك.</w:t>
      </w:r>
    </w:p>
    <w:p w14:paraId="169E38C0" w14:textId="77777777" w:rsidR="00A36121" w:rsidRPr="005D59A7" w:rsidRDefault="002B25AB"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 2) تتميز الشر</w:t>
      </w:r>
      <w:r w:rsidR="00EF3337" w:rsidRPr="005D59A7">
        <w:rPr>
          <w:rFonts w:ascii="T" w:hAnsi="T" w:cs="Simplified Arabic"/>
          <w:sz w:val="24"/>
          <w:szCs w:val="24"/>
          <w:rtl/>
        </w:rPr>
        <w:t>ا</w:t>
      </w:r>
      <w:r w:rsidRPr="005D59A7">
        <w:rPr>
          <w:rFonts w:ascii="T" w:hAnsi="T" w:cs="Simplified Arabic"/>
          <w:sz w:val="24"/>
          <w:szCs w:val="24"/>
          <w:rtl/>
        </w:rPr>
        <w:t>كة بين القطاع العام والخاص على أنها علاقة تعاقدية طويلة الأمد نسبياً وتختلف المدة الزمنية بحسب طبيعة المشروع. وفي حالة المشاريع الضخمة مثل مشاريع البنية التحتية تمتد المدة من 15 إلى 20 عاماً.</w:t>
      </w:r>
    </w:p>
    <w:p w14:paraId="6DE65756" w14:textId="77777777" w:rsidR="00A36121" w:rsidRPr="005D59A7" w:rsidRDefault="002B25AB"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 3) تتميز الشراكات بين القطاعين العام والخاص بالدور الاستراتيجي الذي يساهم فيه القطاع الخاص خلال مختلف مراحل المشروع من التصميم والتنفيذ حيث يكون المسؤول الأول عن ذلك.</w:t>
      </w:r>
    </w:p>
    <w:p w14:paraId="674C683B" w14:textId="77777777" w:rsidR="00A36121" w:rsidRPr="005D59A7" w:rsidRDefault="002B25AB"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 4) </w:t>
      </w:r>
      <w:r w:rsidR="00E12EB0" w:rsidRPr="005D59A7">
        <w:rPr>
          <w:rFonts w:ascii="T" w:hAnsi="T" w:cs="Simplified Arabic"/>
          <w:sz w:val="24"/>
          <w:szCs w:val="24"/>
          <w:rtl/>
        </w:rPr>
        <w:t>توزيع المخاطر من عاتق القطاع العام إلى القطاع الخاص، وتشمل هذه المخاطر خمسة أنواع رئيسية: مخاطر الإنشاء والتي تتضمن مشاكل التصميم وتأخيرات المشروع، والمخاطر المالية والتي تشمل أسعار الفائدة وأسعار الصرف، مخاطر الأداء والتي تشمل توافر الأصول والاستمرارية وجودة تقديم الخدمات، ومخاطر الطلب والتي تشمل الحاجة إلى الخدمات وكمية العرض والطلب في السوق المستهدف.</w:t>
      </w:r>
    </w:p>
    <w:p w14:paraId="1A880AAD" w14:textId="57760FE3" w:rsidR="00E12EB0" w:rsidRPr="005D59A7" w:rsidRDefault="00E12EB0"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 5) من أهم مميزات الشراكات بين القطاعين العام والخاص بأنها تشكل الحل الأمثل لتوفير البنية التحتية والخدمات العامة (</w:t>
      </w:r>
      <w:r w:rsidRPr="005D59A7">
        <w:rPr>
          <w:rFonts w:ascii="T" w:hAnsi="T" w:cs="Simplified Arabic"/>
          <w:sz w:val="24"/>
          <w:szCs w:val="24"/>
        </w:rPr>
        <w:t>LawTeacher, 2018</w:t>
      </w:r>
      <w:r w:rsidRPr="005D59A7">
        <w:rPr>
          <w:rFonts w:ascii="T" w:hAnsi="T" w:cs="Simplified Arabic"/>
          <w:sz w:val="24"/>
          <w:szCs w:val="24"/>
          <w:rtl/>
        </w:rPr>
        <w:t>).</w:t>
      </w:r>
    </w:p>
    <w:p w14:paraId="723ACBF9" w14:textId="77777777" w:rsidR="00E12EB0" w:rsidRPr="005D59A7" w:rsidRDefault="00E12EB0" w:rsidP="0045581D">
      <w:pPr>
        <w:pStyle w:val="Heading3"/>
        <w:numPr>
          <w:ilvl w:val="0"/>
          <w:numId w:val="4"/>
        </w:numPr>
        <w:bidi/>
        <w:spacing w:line="360" w:lineRule="auto"/>
        <w:ind w:left="84" w:firstLine="720"/>
        <w:rPr>
          <w:rFonts w:ascii="T" w:hAnsi="T" w:cs="Simplified Arabic"/>
          <w:color w:val="auto"/>
          <w:sz w:val="24"/>
          <w:szCs w:val="24"/>
          <w:rtl/>
        </w:rPr>
      </w:pPr>
      <w:bookmarkStart w:id="47" w:name="_Toc225991359"/>
      <w:r w:rsidRPr="005D59A7">
        <w:rPr>
          <w:rFonts w:ascii="T" w:hAnsi="T" w:cs="Simplified Arabic"/>
          <w:color w:val="auto"/>
          <w:sz w:val="24"/>
          <w:szCs w:val="24"/>
          <w:rtl/>
        </w:rPr>
        <w:t>لمحة تاريخية عن الشراكات مع القطاع الخاص</w:t>
      </w:r>
      <w:bookmarkEnd w:id="47"/>
    </w:p>
    <w:p w14:paraId="06BB3E2B" w14:textId="77777777" w:rsidR="003B2291" w:rsidRPr="005D59A7" w:rsidRDefault="003B2291"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شهدت الشراكات بين القطاعين العام والخاص تطوراً كبيراً عبر القرون، حيث نشأت الحاجة إليها نتيجة رغبة الحكومات في توفير الخدمات العامة الأساسية مع محدودية الموارد المالية. تعود جذور هذه الشراكات إلى العصور القديمة، حيث كان الأباطرة في روما القديمة يمنحون امتيازات للموانئ والطرق والمرافق العامة، كما هو مسجل في قانون ديجيست الذي يعود إلى القرن السادس الميلادي</w:t>
      </w:r>
      <w:r w:rsidRPr="005D59A7">
        <w:rPr>
          <w:rFonts w:ascii="T" w:hAnsi="T" w:cs="Simplified Arabic"/>
          <w:sz w:val="24"/>
          <w:szCs w:val="24"/>
        </w:rPr>
        <w:t xml:space="preserve"> (Hamilton, 2000). </w:t>
      </w:r>
      <w:r w:rsidRPr="005D59A7">
        <w:rPr>
          <w:rFonts w:ascii="T" w:hAnsi="T" w:cs="Simplified Arabic"/>
          <w:sz w:val="24"/>
          <w:szCs w:val="24"/>
          <w:rtl/>
        </w:rPr>
        <w:t>واستمر هذا النمط في أوروبا خلال العصور الوسطى، حيث منح الحكام حقوقاً طويلة الأجل لبناء القنوات والجسور، وفي فرنسا خلال القرنين الثاني عشر والثالث عشر، منحوا امتيازات للمدن المحصنة</w:t>
      </w:r>
      <w:r w:rsidRPr="005D59A7">
        <w:rPr>
          <w:rFonts w:ascii="T" w:hAnsi="T" w:cs="Simplified Arabic"/>
          <w:sz w:val="24"/>
          <w:szCs w:val="24"/>
        </w:rPr>
        <w:t xml:space="preserve"> (PPP Alliance, 2025).</w:t>
      </w:r>
    </w:p>
    <w:p w14:paraId="12C5134E" w14:textId="77777777" w:rsidR="003B2291" w:rsidRPr="005D59A7" w:rsidRDefault="003B2291"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شهد القرن التاسع عشر ازدهاراً كبيراً للتمويل بنظام الامتياز، خاصة في قطاعات السكك الحديدية والمرافق العامة، حيث منحت الحكومات الأوروبية امتيازات لرواد الأعمال من القطاع الخاص مع انتشار أفكار </w:t>
      </w:r>
      <w:r w:rsidRPr="005D59A7">
        <w:rPr>
          <w:rFonts w:ascii="T" w:hAnsi="T" w:cs="Simplified Arabic"/>
          <w:sz w:val="24"/>
          <w:szCs w:val="24"/>
          <w:rtl/>
        </w:rPr>
        <w:lastRenderedPageBreak/>
        <w:t>السوق الحرة</w:t>
      </w:r>
      <w:r w:rsidRPr="005D59A7">
        <w:rPr>
          <w:rFonts w:ascii="T" w:hAnsi="T" w:cs="Simplified Arabic"/>
          <w:sz w:val="24"/>
          <w:szCs w:val="24"/>
        </w:rPr>
        <w:t xml:space="preserve"> (Hamilton, 2000). </w:t>
      </w:r>
      <w:r w:rsidRPr="005D59A7">
        <w:rPr>
          <w:rFonts w:ascii="T" w:hAnsi="T" w:cs="Simplified Arabic"/>
          <w:sz w:val="24"/>
          <w:szCs w:val="24"/>
          <w:rtl/>
        </w:rPr>
        <w:t>أدت الحروب العالمية والسياسات الشعوبية في أوائل القرن العشرين إلى تراجع مشاركة القطاع الخاص، حيث قامت العديد من الدول بتأميم المرافق العامة والبنية التحتية، وفضلت قواعد الشراء التقليدية مشاريع الأشغال العامة الجاهزة</w:t>
      </w:r>
      <w:r w:rsidRPr="005D59A7">
        <w:rPr>
          <w:rFonts w:ascii="T" w:hAnsi="T" w:cs="Simplified Arabic"/>
          <w:sz w:val="24"/>
          <w:szCs w:val="24"/>
        </w:rPr>
        <w:t xml:space="preserve"> (PPP Alliance, 2025). </w:t>
      </w:r>
      <w:r w:rsidRPr="005D59A7">
        <w:rPr>
          <w:rFonts w:ascii="T" w:hAnsi="T" w:cs="Simplified Arabic"/>
          <w:sz w:val="24"/>
          <w:szCs w:val="24"/>
          <w:rtl/>
        </w:rPr>
        <w:t>وحتى ثمانينيات القرن العشرين، كانت معظم مشاريع البنية التحتية الكبيرة تُنفذ مباشرة من قبل الحكومات أو الشركات الحكومية</w:t>
      </w:r>
      <w:r w:rsidRPr="005D59A7">
        <w:rPr>
          <w:rFonts w:ascii="T" w:hAnsi="T" w:cs="Simplified Arabic"/>
          <w:sz w:val="24"/>
          <w:szCs w:val="24"/>
        </w:rPr>
        <w:t>.</w:t>
      </w:r>
    </w:p>
    <w:p w14:paraId="7C8807B2" w14:textId="77777777" w:rsidR="003B2291" w:rsidRPr="005D59A7" w:rsidRDefault="003B2291"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مع بداية ثمانينيات القرن العشرين، أدت الضغوط المالية والتوجه الجديد نحو أساليب السوق إلى إحياء مشاريع الشراكة بين القطاعين العام والخاص في الغرب</w:t>
      </w:r>
      <w:r w:rsidRPr="005D59A7">
        <w:rPr>
          <w:rFonts w:ascii="T" w:hAnsi="T" w:cs="Simplified Arabic"/>
          <w:sz w:val="24"/>
          <w:szCs w:val="24"/>
        </w:rPr>
        <w:t xml:space="preserve"> (Azarian et al., 2023). </w:t>
      </w:r>
      <w:r w:rsidRPr="005D59A7">
        <w:rPr>
          <w:rFonts w:ascii="T" w:hAnsi="T" w:cs="Simplified Arabic"/>
          <w:sz w:val="24"/>
          <w:szCs w:val="24"/>
          <w:rtl/>
        </w:rPr>
        <w:t>فقد نشأت الحاجة إلى تغيير أسلوب الشراء العام التقليدي بسبب المخاوف من ارتفاع مستويات الدين العام خلال الاضطرابات الاقتصادية في السبعينات والثمانينات، حيث سعت الحكومات إلى تشجيع الاستثمار الخاص في البنية التحتية</w:t>
      </w:r>
      <w:r w:rsidRPr="005D59A7">
        <w:rPr>
          <w:rFonts w:ascii="T" w:hAnsi="T" w:cs="Simplified Arabic"/>
          <w:sz w:val="24"/>
          <w:szCs w:val="24"/>
        </w:rPr>
        <w:t xml:space="preserve"> (Oyegbade et al., 2022). </w:t>
      </w:r>
      <w:r w:rsidRPr="005D59A7">
        <w:rPr>
          <w:rFonts w:ascii="T" w:hAnsi="T" w:cs="Simplified Arabic"/>
          <w:sz w:val="24"/>
          <w:szCs w:val="24"/>
          <w:rtl/>
        </w:rPr>
        <w:t>ومن أبرز البرامج التي ظهرت في هذه الفترة: مبادرة التمويل الخاص</w:t>
      </w:r>
      <w:r w:rsidRPr="005D59A7">
        <w:rPr>
          <w:rFonts w:ascii="T" w:hAnsi="T" w:cs="Simplified Arabic"/>
          <w:sz w:val="24"/>
          <w:szCs w:val="24"/>
        </w:rPr>
        <w:t xml:space="preserve"> (PFI) </w:t>
      </w:r>
      <w:r w:rsidRPr="005D59A7">
        <w:rPr>
          <w:rFonts w:ascii="T" w:hAnsi="T" w:cs="Simplified Arabic"/>
          <w:sz w:val="24"/>
          <w:szCs w:val="24"/>
          <w:rtl/>
        </w:rPr>
        <w:t>في المملكة المتحدة عام 1992، التي هدفت إلى "تعزيز الشراكات بين القطاعين العام والخاص" في بناء المستشفيات والمدارس والطرق، حيث قامت تحالفات خاصة بتمويل وبناء وتشغيل الأصول العامة مقابل رسوم سنوية مدفوعة من الدولة على مدى عقود</w:t>
      </w:r>
      <w:r w:rsidRPr="005D59A7">
        <w:rPr>
          <w:rFonts w:ascii="T" w:hAnsi="T" w:cs="Simplified Arabic"/>
          <w:sz w:val="24"/>
          <w:szCs w:val="24"/>
        </w:rPr>
        <w:t xml:space="preserve"> (Allen, 2003). </w:t>
      </w:r>
      <w:r w:rsidRPr="005D59A7">
        <w:rPr>
          <w:rFonts w:ascii="T" w:hAnsi="T" w:cs="Simplified Arabic"/>
          <w:sz w:val="24"/>
          <w:szCs w:val="24"/>
          <w:rtl/>
        </w:rPr>
        <w:t>توسع البرنامج بسرعة، فبحلول عام 2003 تم توقيع أكثر من 570 صفقة بقيمة تقارب 36 مليار جنيه إسترليني</w:t>
      </w:r>
      <w:r w:rsidRPr="005D59A7">
        <w:rPr>
          <w:rFonts w:ascii="T" w:hAnsi="T" w:cs="Simplified Arabic"/>
          <w:sz w:val="24"/>
          <w:szCs w:val="24"/>
        </w:rPr>
        <w:t>.</w:t>
      </w:r>
    </w:p>
    <w:p w14:paraId="099C224A" w14:textId="77777777" w:rsidR="003B2291" w:rsidRPr="005D59A7" w:rsidRDefault="003B2291" w:rsidP="00335E83">
      <w:pPr>
        <w:pStyle w:val="ListParagraph"/>
        <w:bidi/>
        <w:spacing w:line="360" w:lineRule="auto"/>
        <w:ind w:left="84" w:firstLine="720"/>
        <w:jc w:val="both"/>
        <w:rPr>
          <w:rFonts w:ascii="T" w:hAnsi="T" w:cs="Simplified Arabic"/>
          <w:sz w:val="24"/>
          <w:szCs w:val="24"/>
          <w:rtl/>
        </w:rPr>
      </w:pPr>
    </w:p>
    <w:p w14:paraId="45DC36A4" w14:textId="77777777" w:rsidR="003B2291" w:rsidRPr="005D59A7" w:rsidRDefault="003B2291"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في فرنسا، ساهم تقليد منح الامتيازات منذ القرن التاسع عشر في تطور نموذج الشراكة، حيث استحدثت الحكومة الفرنسية في أواخر التسعينيات والألفية الجديدة أنواعًا جديدة من العقود لمشاريع الشراكة الممولة حكوميًا، وكان من أهمها عقد الشراكة لعام 2004 الذي أضفى الطابع الرسمي على عمليات الشراء في إطار الشراكة على جميع المستويات الحكومية</w:t>
      </w:r>
      <w:r w:rsidRPr="005D59A7">
        <w:rPr>
          <w:rFonts w:ascii="T" w:hAnsi="T" w:cs="Simplified Arabic"/>
          <w:sz w:val="24"/>
          <w:szCs w:val="24"/>
        </w:rPr>
        <w:t xml:space="preserve"> (EPEC, 2012). </w:t>
      </w:r>
      <w:r w:rsidRPr="005D59A7">
        <w:rPr>
          <w:rFonts w:ascii="T" w:hAnsi="T" w:cs="Simplified Arabic"/>
          <w:sz w:val="24"/>
          <w:szCs w:val="24"/>
          <w:rtl/>
        </w:rPr>
        <w:t>في الولايات المتحدة، رغم أن الحكومات الفيدرالية وحكومات الولايات فضلت تمويل البنية التحتية عبر السندات العامة، إلا أن الاهتمام بالشراكات ازداد في تسعينيات القرن الماضي وحتى العقد الأول من الألفية الثانية، لا سيما في مجالات الطرق السريعة والنقل العام، وسنت عدة ولايات قوانين تُمكّن هذه الشراكات</w:t>
      </w:r>
      <w:r w:rsidRPr="005D59A7">
        <w:rPr>
          <w:rFonts w:ascii="T" w:hAnsi="T" w:cs="Simplified Arabic"/>
          <w:sz w:val="24"/>
          <w:szCs w:val="24"/>
        </w:rPr>
        <w:t xml:space="preserve"> (PPP in the US, 2025).</w:t>
      </w:r>
    </w:p>
    <w:p w14:paraId="3E45F26E" w14:textId="77777777" w:rsidR="003B2291" w:rsidRPr="005D59A7" w:rsidRDefault="003B2291"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لعبت المؤسسات متعددة الأطراف دورًا محوريًا في تطور الشراكات، حيث بدأت مجموعة البنك الدولي وبنوك التنمية الإقليمية بنشر أدلة مرجعية للشراكة وتشكيل فرق استشارية لمساعدة الدول على بناء قدراتها في </w:t>
      </w:r>
      <w:r w:rsidRPr="005D59A7">
        <w:rPr>
          <w:rFonts w:ascii="T" w:hAnsi="T" w:cs="Simplified Arabic"/>
          <w:sz w:val="24"/>
          <w:szCs w:val="24"/>
          <w:rtl/>
        </w:rPr>
        <w:lastRenderedPageBreak/>
        <w:t>هذا المجال</w:t>
      </w:r>
      <w:r w:rsidRPr="005D59A7">
        <w:rPr>
          <w:rFonts w:ascii="T" w:hAnsi="T" w:cs="Simplified Arabic"/>
          <w:sz w:val="24"/>
          <w:szCs w:val="24"/>
        </w:rPr>
        <w:t xml:space="preserve"> (PPP Alliance, 2025). </w:t>
      </w:r>
      <w:r w:rsidRPr="005D59A7">
        <w:rPr>
          <w:rFonts w:ascii="T" w:hAnsi="T" w:cs="Simplified Arabic"/>
          <w:sz w:val="24"/>
          <w:szCs w:val="24"/>
          <w:rtl/>
        </w:rPr>
        <w:t>كما أُنشئ المركز الأوروبي لخبرات الشراكة بين القطاعين العام والخاص</w:t>
      </w:r>
      <w:r w:rsidRPr="005D59A7">
        <w:rPr>
          <w:rFonts w:ascii="T" w:hAnsi="T" w:cs="Simplified Arabic"/>
          <w:sz w:val="24"/>
          <w:szCs w:val="24"/>
        </w:rPr>
        <w:t xml:space="preserve"> (EPEC) </w:t>
      </w:r>
      <w:r w:rsidRPr="005D59A7">
        <w:rPr>
          <w:rFonts w:ascii="T" w:hAnsi="T" w:cs="Simplified Arabic"/>
          <w:sz w:val="24"/>
          <w:szCs w:val="24"/>
          <w:rtl/>
        </w:rPr>
        <w:t>عام 2008 برعاية بنك الاستثمار الأوروبي والمفوضية الأوروبية لتبادل أفضل الممارسات بين الدول الأعضاء</w:t>
      </w:r>
      <w:r w:rsidRPr="005D59A7">
        <w:rPr>
          <w:rFonts w:ascii="T" w:hAnsi="T" w:cs="Simplified Arabic"/>
          <w:sz w:val="24"/>
          <w:szCs w:val="24"/>
        </w:rPr>
        <w:t>.</w:t>
      </w:r>
    </w:p>
    <w:p w14:paraId="667C47D7" w14:textId="77777777" w:rsidR="003B2291" w:rsidRPr="005D59A7" w:rsidRDefault="003B2291" w:rsidP="00335E83">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تطورت الأطر المؤسسية والمالية للشراكات لتشمل قوانين خاصة، وإنشاء وحدات مركزية للإشراف على المشاريع، وتطوير ترتيبات مالية مبتكرة، وآليات لتوزيع المخاطر</w:t>
      </w:r>
      <w:r w:rsidRPr="005D59A7">
        <w:rPr>
          <w:rFonts w:ascii="T" w:hAnsi="T" w:cs="Simplified Arabic"/>
          <w:sz w:val="24"/>
          <w:szCs w:val="24"/>
        </w:rPr>
        <w:t xml:space="preserve"> (World Bank, 2019). </w:t>
      </w:r>
      <w:r w:rsidRPr="005D59A7">
        <w:rPr>
          <w:rFonts w:ascii="T" w:hAnsi="T" w:cs="Simplified Arabic"/>
          <w:sz w:val="24"/>
          <w:szCs w:val="24"/>
          <w:rtl/>
        </w:rPr>
        <w:t>كما توسعت مجالات تطبيقها من البنية التحتية التقليدية (الطرق والجسور والمياه والطاقة) لتشمل البنية التحتية الاجتماعية (الصحة والتعليم)، والخدمات البلدية، والخدمات الرقمية، والبرامج البيئية والاجتماعية مثل الطاقة المتجددة ومحطات تحويل النفايات إلى طاقة</w:t>
      </w:r>
      <w:r w:rsidRPr="005D59A7">
        <w:rPr>
          <w:rFonts w:ascii="T" w:hAnsi="T" w:cs="Simplified Arabic"/>
          <w:sz w:val="24"/>
          <w:szCs w:val="24"/>
        </w:rPr>
        <w:t xml:space="preserve"> (PPP Alliance, 2025).</w:t>
      </w:r>
    </w:p>
    <w:p w14:paraId="4C5EDB12" w14:textId="77777777" w:rsidR="005206BA" w:rsidRPr="005D59A7" w:rsidRDefault="009D1585" w:rsidP="0045581D">
      <w:pPr>
        <w:pStyle w:val="Heading3"/>
        <w:numPr>
          <w:ilvl w:val="0"/>
          <w:numId w:val="4"/>
        </w:numPr>
        <w:bidi/>
        <w:spacing w:line="360" w:lineRule="auto"/>
        <w:ind w:firstLine="720"/>
        <w:rPr>
          <w:rFonts w:ascii="T" w:hAnsi="T" w:cs="Simplified Arabic"/>
          <w:color w:val="auto"/>
          <w:sz w:val="24"/>
          <w:szCs w:val="24"/>
          <w:rtl/>
        </w:rPr>
      </w:pPr>
      <w:bookmarkStart w:id="48" w:name="_Toc225991360"/>
      <w:r w:rsidRPr="005D59A7">
        <w:rPr>
          <w:rFonts w:ascii="T" w:hAnsi="T" w:cs="Simplified Arabic"/>
          <w:color w:val="auto"/>
          <w:sz w:val="24"/>
          <w:szCs w:val="24"/>
          <w:rtl/>
        </w:rPr>
        <w:t>منافع وفوائد الشراكة مع القطاع الخاص</w:t>
      </w:r>
      <w:bookmarkEnd w:id="48"/>
    </w:p>
    <w:p w14:paraId="6E070D70" w14:textId="77777777" w:rsidR="005206BA" w:rsidRPr="005D59A7" w:rsidRDefault="005206BA" w:rsidP="003B2291">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تختلف أسباب الشراكات بين القطاعين العام والخاص من بلد إلى آخر. ومع ذلك، فيما يلي بعض الأسباب العامة الموجزة التي تدفع الحكومات إلى تبني هذه الشراكات.</w:t>
      </w:r>
    </w:p>
    <w:p w14:paraId="1F9B81F8" w14:textId="3CDBADF4" w:rsidR="005206BA" w:rsidRPr="005D59A7" w:rsidRDefault="005206BA" w:rsidP="003B2291">
      <w:pPr>
        <w:pStyle w:val="ListParagraph"/>
        <w:bidi/>
        <w:spacing w:line="360" w:lineRule="auto"/>
        <w:ind w:left="84" w:firstLine="720"/>
        <w:jc w:val="both"/>
        <w:rPr>
          <w:rFonts w:ascii="T" w:hAnsi="T" w:cs="Simplified Arabic"/>
          <w:sz w:val="24"/>
          <w:szCs w:val="24"/>
          <w:rtl/>
          <w:lang w:bidi="ar-EG"/>
        </w:rPr>
      </w:pPr>
      <w:r w:rsidRPr="005D59A7">
        <w:rPr>
          <w:rFonts w:ascii="T" w:hAnsi="T" w:cs="Simplified Arabic"/>
          <w:sz w:val="24"/>
          <w:szCs w:val="24"/>
          <w:rtl/>
        </w:rPr>
        <w:t>أولاً، للسماح للقطاع الخاص بالتأثير على تقديم الخدمات العامة: فقد تمكن القطاع الخاص على مر السنين من الحفاظ على مستوى متميز في الإدارة والتنفيذ، إلا أن الوضع عادةً ما يكون عكس ذلك في معظم القطاعات العامة، التي تعاني من الديون وسوء الإدارة وانعدام الرقابة الفعالة. يُنظر إلى الشراكة بين القطاعين العام والخاص على أنها أداة فعالة لتوجيه تقديم الخدمات العامة بكفاءة، وقد كانت النتائج إيجابية في العديد من الحالات.</w:t>
      </w:r>
      <w:r w:rsidR="003B2291" w:rsidRPr="005D59A7">
        <w:rPr>
          <w:rFonts w:ascii="T" w:hAnsi="T" w:cs="Simplified Arabic"/>
          <w:sz w:val="24"/>
          <w:szCs w:val="24"/>
        </w:rPr>
        <w:t xml:space="preserve"> </w:t>
      </w:r>
      <w:r w:rsidR="003B2291" w:rsidRPr="005D59A7">
        <w:rPr>
          <w:rFonts w:ascii="T" w:hAnsi="T" w:cs="Simplified Arabic"/>
          <w:sz w:val="24"/>
          <w:szCs w:val="24"/>
          <w:lang w:bidi="ar-EG"/>
        </w:rPr>
        <w:t>(Verweij,et al,2022)</w:t>
      </w:r>
    </w:p>
    <w:p w14:paraId="2BD5B95F" w14:textId="77777777" w:rsidR="005206BA" w:rsidRPr="005D59A7" w:rsidRDefault="005206BA" w:rsidP="003B2291">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ثانيًا، قيود الميزانية: ترى معظم الدول المثقلة بالديون أن الشراكة بين القطاعين العام والخاص خيارٌ مجدٍ لتوفير الخدمات العامة مع القدرة على توجيه ميزانيتها المحدودة إلى مشاريع أخرى. وقد حقق هذا السبب تحديدًا نجاحًا كبيرًا.</w:t>
      </w:r>
    </w:p>
    <w:p w14:paraId="413546C8" w14:textId="77777777" w:rsidR="005206BA" w:rsidRPr="005D59A7" w:rsidRDefault="005206BA" w:rsidP="003B2291">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ثالثًا، فيما يتعلق بمعرفة القطاع الخاص: يتمتع القطاع الخاص بمستوى متقدم للغاية مقارنة بالقطاع العام، حيث أنه على اطلاع دائم بأحدث المعارف والخبرات التقنية لتعظيم إمكانات أي قطاع يشارك فيه. يحضر معظم موظفي القطاع الخاص ندوات وورش عمل، مما يزودهم بالمهارات الفكرية، وهي ميزة يفتقر إليها القطاع العام.</w:t>
      </w:r>
    </w:p>
    <w:p w14:paraId="33E93542" w14:textId="5F0B1D61" w:rsidR="005206BA" w:rsidRPr="005D59A7" w:rsidRDefault="005206BA" w:rsidP="003B2291">
      <w:pPr>
        <w:pStyle w:val="ListParagraph"/>
        <w:bidi/>
        <w:spacing w:line="360" w:lineRule="auto"/>
        <w:ind w:left="84" w:firstLine="720"/>
        <w:jc w:val="both"/>
        <w:rPr>
          <w:rFonts w:ascii="T" w:hAnsi="T" w:cs="Simplified Arabic"/>
          <w:sz w:val="24"/>
          <w:szCs w:val="24"/>
          <w:rtl/>
          <w:lang w:bidi="ar-EG"/>
        </w:rPr>
      </w:pPr>
      <w:r w:rsidRPr="005D59A7">
        <w:rPr>
          <w:rFonts w:ascii="T" w:hAnsi="T" w:cs="Simplified Arabic"/>
          <w:sz w:val="24"/>
          <w:szCs w:val="24"/>
          <w:rtl/>
        </w:rPr>
        <w:lastRenderedPageBreak/>
        <w:t>رابعًا، المعالجة المحاسبية للشراكات بين القطاعين العام والخاص خارج الميزانية العمومية: غالبًا ما تعاني القطاعات العامة من سوء إدارة سجلاتها المالية، مما يعيقها عن تحقيق أقصى إمكاناتها وضمان دوران فعال للأموال. وهنا يأتي دور القطاع الخاص لإنشاء وكالة مربحة لتقديم الخدمات العامة.</w:t>
      </w:r>
      <w:r w:rsidR="003B2291" w:rsidRPr="005D59A7">
        <w:rPr>
          <w:rFonts w:ascii="T" w:hAnsi="T" w:cs="Simplified Arabic"/>
          <w:sz w:val="24"/>
          <w:szCs w:val="24"/>
        </w:rPr>
        <w:t xml:space="preserve"> </w:t>
      </w:r>
      <w:r w:rsidR="003B2291" w:rsidRPr="005D59A7">
        <w:rPr>
          <w:rFonts w:ascii="T" w:hAnsi="T" w:cs="Simplified Arabic"/>
          <w:sz w:val="24"/>
          <w:szCs w:val="24"/>
          <w:lang w:bidi="ar-EG"/>
        </w:rPr>
        <w:t>(Verweij &amp; Satheesh, 2023)</w:t>
      </w:r>
    </w:p>
    <w:p w14:paraId="14ACED36" w14:textId="77777777" w:rsidR="005206BA" w:rsidRPr="005D59A7" w:rsidRDefault="005206BA" w:rsidP="003B2291">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خامساً، تُقدم حوافز لدعم القطاع الخاص، مثل الإعفاءات الضريبية في معظم الحالات.</w:t>
      </w:r>
    </w:p>
    <w:p w14:paraId="4914E7FD" w14:textId="77777777" w:rsidR="005206BA" w:rsidRPr="005D59A7" w:rsidRDefault="005206BA" w:rsidP="003B2291">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سادساً، الابتكار: يعني الابتكار إدخال شيء جديد. يقوم القطاع الخاص بإعادة ابتكار وتقديم تقنيات جديدة للمساعدة في تقديم خدمات عامة فعالة.</w:t>
      </w:r>
    </w:p>
    <w:p w14:paraId="4214B7AA" w14:textId="77777777" w:rsidR="005206BA" w:rsidRPr="005D59A7" w:rsidRDefault="005206BA" w:rsidP="003B2291">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يتمتع القطاع الخاص بمستوى أعلى من التقدم التكنولوجي ويواكب أحدث التقنيات، ولهذا السبب يحقق مشاركته في معظم الحالات نجاحًا كبيرًا في تقديم الخدمات العامة.</w:t>
      </w:r>
    </w:p>
    <w:p w14:paraId="2FD6DE09" w14:textId="77777777" w:rsidR="005206BA" w:rsidRPr="005D59A7" w:rsidRDefault="005206BA" w:rsidP="003B2291">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إدارة المخاطر - لا تقع المخاطر على عاتق طرف واحد فقط، بل يتم تقاسمها بين القطاعين الخاص والعام، وهو أمرٌ سليمٌ ومُستحسنٌ اقتصاديًا. وفي حال وقوع أي خسارة، تقع المسؤولية على عاتق الطرفين معًا بشكلٍ قاطع (</w:t>
      </w:r>
      <w:r w:rsidRPr="005D59A7">
        <w:rPr>
          <w:rFonts w:ascii="T" w:hAnsi="T" w:cs="Simplified Arabic"/>
          <w:sz w:val="24"/>
          <w:szCs w:val="24"/>
        </w:rPr>
        <w:t>Law Teacher, 2018</w:t>
      </w:r>
      <w:r w:rsidRPr="005D59A7">
        <w:rPr>
          <w:rFonts w:ascii="T" w:hAnsi="T" w:cs="Simplified Arabic"/>
          <w:sz w:val="24"/>
          <w:szCs w:val="24"/>
          <w:rtl/>
        </w:rPr>
        <w:t xml:space="preserve">). </w:t>
      </w:r>
    </w:p>
    <w:p w14:paraId="59D3ED7A" w14:textId="77777777" w:rsidR="00BC6A9A" w:rsidRPr="005D59A7" w:rsidRDefault="005206BA" w:rsidP="003B2291">
      <w:pPr>
        <w:pStyle w:val="ListParagraph"/>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وتعد من أهم أسباب ودوافع الشراكات مع القطاع الخاص على الأصعدة الدولية منذ بداية الألفية </w:t>
      </w:r>
      <w:r w:rsidR="00840C1E" w:rsidRPr="005D59A7">
        <w:rPr>
          <w:rFonts w:ascii="T" w:hAnsi="T" w:cs="Simplified Arabic"/>
          <w:sz w:val="24"/>
          <w:szCs w:val="24"/>
          <w:rtl/>
        </w:rPr>
        <w:t xml:space="preserve">الأسباب الآتية: </w:t>
      </w:r>
    </w:p>
    <w:p w14:paraId="324A565C" w14:textId="77777777" w:rsidR="00840C1E" w:rsidRPr="005D59A7" w:rsidRDefault="00840C1E" w:rsidP="0045581D">
      <w:pPr>
        <w:pStyle w:val="ListParagraph"/>
        <w:numPr>
          <w:ilvl w:val="0"/>
          <w:numId w:val="5"/>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القيود المالية: تواجه العديد من الحكومات ميزانيات محدودة أو ديوناً مرتفعة، مما يجعل الاستثمار العام المباشر أمراً صعباً. توفر الشراكات بين القطاعين العام والخاص وسيلةً لسد فجوة الميزانية عن طريق تحويل المدفوعات إلى ميزانيات مستقبلية. وبفضل تأجيل النفقات الفورية، بدت هذه الشراكات جذابة في ظل القواعد المالية الصارمة.</w:t>
      </w:r>
    </w:p>
    <w:p w14:paraId="68DFD69E" w14:textId="77777777" w:rsidR="00840C1E" w:rsidRPr="005D59A7" w:rsidRDefault="00840C1E" w:rsidP="0045581D">
      <w:pPr>
        <w:pStyle w:val="ListParagraph"/>
        <w:numPr>
          <w:ilvl w:val="0"/>
          <w:numId w:val="5"/>
        </w:numPr>
        <w:bidi/>
        <w:spacing w:line="360" w:lineRule="auto"/>
        <w:ind w:left="84" w:firstLine="720"/>
        <w:jc w:val="both"/>
        <w:rPr>
          <w:rFonts w:ascii="T" w:hAnsi="T" w:cs="Simplified Arabic"/>
          <w:sz w:val="24"/>
          <w:szCs w:val="24"/>
        </w:rPr>
      </w:pPr>
      <w:r w:rsidRPr="005D59A7">
        <w:rPr>
          <w:rFonts w:ascii="T" w:hAnsi="T" w:cs="Simplified Arabic"/>
          <w:sz w:val="24"/>
          <w:szCs w:val="24"/>
          <w:rtl/>
        </w:rPr>
        <w:t>فجوات الاستثمار في البنية التحتية: تشير التحليلات الدولية إلى أن احتياجات العالم من البنية التحتية ستبلغ حوالي 100 تريليون دولار بحلول عام 2040 (خاصة في قطاعات الطاقة والمياه والنقل). ومع ذلك، غالبًا ما يكون الاستثمار العام غير كافٍ (على سبيل المثال، تواجه الولايات المتحدة فجوة تبلغ عدة تريليونات من الدولارات). ويتم الترويج للشراكات بين القطاعين العام والخاص كوسيلة للاستفادة من رأس المال الخاص للمساعدة في سد هذه الفجوات. وكما يشير أحد محللي البنك الدولي، فإن التوسع الحضري الهائل وأهداف المناخ تخلق طلبًا ضخمًا "يجب تمويله" جزئيًا من خلال أدوات جديدة (</w:t>
      </w:r>
      <w:r w:rsidRPr="005D59A7">
        <w:rPr>
          <w:rFonts w:ascii="T" w:hAnsi="T" w:cs="Simplified Arabic"/>
          <w:sz w:val="24"/>
          <w:szCs w:val="24"/>
        </w:rPr>
        <w:t>Heathcote, 2017</w:t>
      </w:r>
      <w:r w:rsidRPr="005D59A7">
        <w:rPr>
          <w:rFonts w:ascii="T" w:hAnsi="T" w:cs="Simplified Arabic"/>
          <w:sz w:val="24"/>
          <w:szCs w:val="24"/>
          <w:rtl/>
        </w:rPr>
        <w:t>).</w:t>
      </w:r>
    </w:p>
    <w:p w14:paraId="2BD92502" w14:textId="77777777" w:rsidR="008E2625" w:rsidRPr="005D59A7" w:rsidRDefault="00840C1E" w:rsidP="0045581D">
      <w:pPr>
        <w:pStyle w:val="ListParagraph"/>
        <w:numPr>
          <w:ilvl w:val="0"/>
          <w:numId w:val="5"/>
        </w:numPr>
        <w:bidi/>
        <w:spacing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توافر رأس المال الخاص: يسعى المستثمرون المؤسسيون (صناديق التقاعد، وشركات التأمين، ومديرو الأصول) حاليًا إلى تحقيق عوائد طويلة الأجل مرتبطة بالتضخم. ويمكن لمشاريع البنية التحتية القائمة على الشراكة بين القطاعين العام والخاص أن تلبي احتياجاتهم. ولذلك، تستثمر صناديق التقاعد أو صناديق الثروة السيادية الكبيرة بنشاط في مشاريع الطرق السريعة أو مشاريع الطاقة القائمة على الشراكة بين القطاعين العام والخاص، مما يزيد من تدفق رأس المال إلى هذه المشاريع.</w:t>
      </w:r>
    </w:p>
    <w:p w14:paraId="446D7D31" w14:textId="77777777" w:rsidR="008A6100" w:rsidRPr="005D59A7" w:rsidRDefault="008A6100" w:rsidP="0045581D">
      <w:pPr>
        <w:pStyle w:val="ListParagraph"/>
        <w:numPr>
          <w:ilvl w:val="0"/>
          <w:numId w:val="5"/>
        </w:numPr>
        <w:bidi/>
        <w:spacing w:line="360" w:lineRule="auto"/>
        <w:ind w:left="84" w:firstLine="720"/>
        <w:jc w:val="both"/>
        <w:rPr>
          <w:rFonts w:ascii="T" w:hAnsi="T" w:cs="Simplified Arabic"/>
          <w:sz w:val="24"/>
          <w:szCs w:val="24"/>
          <w:rtl/>
        </w:rPr>
      </w:pPr>
      <w:r w:rsidRPr="005D59A7">
        <w:rPr>
          <w:rFonts w:ascii="T" w:hAnsi="T" w:cs="Simplified Arabic"/>
          <w:sz w:val="24"/>
          <w:szCs w:val="24"/>
          <w:rtl/>
        </w:rPr>
        <w:t>القيمة مقابل المال والخبرة: تشير الحكومات أيضاً إلى رغبتها في الاستفادة من كفاءة القطاع الخاص وابتكاره وإدارة المخاطر. ويرى المؤيدون أن الشراكات بين القطاعين العام والخاص قادرة على إنجاز المشاريع المعقدة بشكل أسرع أو بتكلفة أقل من خلال تسخير المنافسة وأفضل الممارسات. في الواقع، تشير الأبحاث إلى أن ضيق الميزانيات وتعقيد المشاريع قد دفعا صانعي السياسات إلى استكشاف "أنواع جديدة من الاتفاقيات" مع الشركات الخاصة.</w:t>
      </w:r>
    </w:p>
    <w:p w14:paraId="376894DF" w14:textId="77777777" w:rsidR="008A6100" w:rsidRPr="005D59A7" w:rsidRDefault="00D9445D" w:rsidP="0045581D">
      <w:pPr>
        <w:pStyle w:val="ListParagraph"/>
        <w:numPr>
          <w:ilvl w:val="0"/>
          <w:numId w:val="5"/>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الترويج الدولي: شجعت الوكالات متعددة الأطراف والدول المانحة بنشاط مشاريع الشراكة بين القطاعين العام والخاص في البلدان النامية كجزء من إصلاحات تمويل البنية التحتية. وقد مولت برامج مثل مرفق استشارات البنية التحتية بين القطاعين العام والخاص التابع للبنك الدولي (</w:t>
      </w:r>
      <w:r w:rsidRPr="005D59A7">
        <w:rPr>
          <w:rFonts w:ascii="T" w:hAnsi="T" w:cs="Simplified Arabic"/>
          <w:sz w:val="24"/>
          <w:szCs w:val="24"/>
        </w:rPr>
        <w:t>PPIAF</w:t>
      </w:r>
      <w:r w:rsidRPr="005D59A7">
        <w:rPr>
          <w:rFonts w:ascii="T" w:hAnsi="T" w:cs="Simplified Arabic"/>
          <w:sz w:val="24"/>
          <w:szCs w:val="24"/>
          <w:rtl/>
        </w:rPr>
        <w:t>) إصلاحات قانونية ووحدات للشراكة بين القطاعين العام والخاص ومشاريع تجريبية في جميع أنحاء العالم، مما ساهم في تعزيز مكانة هذه المشاريع.</w:t>
      </w:r>
    </w:p>
    <w:p w14:paraId="42240135" w14:textId="00C2944C" w:rsidR="00D9445D" w:rsidRPr="005D59A7" w:rsidRDefault="00D9445D" w:rsidP="003B2291">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مجتمعةً، تعني هذه العوامل أن الشراكات بين القطاعين العام والخاص قد تحولت من نموذج مشتريات متخصص إلى أداة سياسية رئيسية في العديد من الحكومات على مدى السنوات العشرين الماضية (</w:t>
      </w:r>
      <w:r w:rsidRPr="005D59A7">
        <w:rPr>
          <w:rFonts w:ascii="T" w:hAnsi="T" w:cs="Simplified Arabic"/>
          <w:sz w:val="24"/>
          <w:szCs w:val="24"/>
        </w:rPr>
        <w:t>Puentes &amp; Sabol, 2024</w:t>
      </w:r>
      <w:r w:rsidRPr="005D59A7">
        <w:rPr>
          <w:rFonts w:ascii="T" w:hAnsi="T" w:cs="Simplified Arabic"/>
          <w:sz w:val="24"/>
          <w:szCs w:val="24"/>
          <w:rtl/>
        </w:rPr>
        <w:t xml:space="preserve">). </w:t>
      </w:r>
    </w:p>
    <w:p w14:paraId="7A4F320E" w14:textId="77777777" w:rsidR="00D9445D" w:rsidRPr="005D59A7" w:rsidRDefault="00085801" w:rsidP="003B2291">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وتعود الشراكات مع القطاع الخاص بالمنفعة على العديد من الأطراف منها القطاع العام والقطاع الخاص نفسه والمستفيدين من الخدمات من الأفراد والأعمال والقطاعات وغيرها. ويمكن تلخيص أهم منافع الشراكات مع القطاع الخاص للقطاع العام ودافعي الضرائب والرسوم من الأفراد والمستفيدين كالتالي: </w:t>
      </w:r>
    </w:p>
    <w:p w14:paraId="4B404131" w14:textId="77777777" w:rsidR="00085801" w:rsidRPr="005D59A7" w:rsidRDefault="00085801" w:rsidP="0045581D">
      <w:pPr>
        <w:pStyle w:val="ListParagraph"/>
        <w:numPr>
          <w:ilvl w:val="0"/>
          <w:numId w:val="6"/>
        </w:numPr>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يُحسّن نظام الشراكة بين القطاعين العام والخاص تقديم الخدمات بفضل دمج القطاعين. وتركز الحكومة على وضع السياسات وخدمة الجمهور، بينما يتولى القطاع الخاص الوظائف غير الأساسية مثل تشغيل وصيانة البنية التحتية.</w:t>
      </w:r>
    </w:p>
    <w:p w14:paraId="7B11C33F" w14:textId="77777777" w:rsidR="00085801" w:rsidRPr="005D59A7" w:rsidRDefault="00085801" w:rsidP="0045581D">
      <w:pPr>
        <w:pStyle w:val="ListParagraph"/>
        <w:numPr>
          <w:ilvl w:val="0"/>
          <w:numId w:val="6"/>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القيمة مقابل المال: تتم إدارة المشاريع المشتركة بين القطاعين العام والخاص بكفاءة، مما يحقق الرضا.</w:t>
      </w:r>
    </w:p>
    <w:p w14:paraId="737C4EE8" w14:textId="77777777" w:rsidR="00085801" w:rsidRPr="005D59A7" w:rsidRDefault="00085801" w:rsidP="0045581D">
      <w:pPr>
        <w:pStyle w:val="ListParagraph"/>
        <w:numPr>
          <w:ilvl w:val="0"/>
          <w:numId w:val="6"/>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القيمة مقابل المال: تتم إدارة المشاريع المشتركة بين القطاعين العام والخاص بكفاءة، مما يحقق الرضا.</w:t>
      </w:r>
    </w:p>
    <w:p w14:paraId="02EC006A" w14:textId="77777777" w:rsidR="00085801" w:rsidRPr="005D59A7" w:rsidRDefault="00085801" w:rsidP="0045581D">
      <w:pPr>
        <w:pStyle w:val="ListParagraph"/>
        <w:numPr>
          <w:ilvl w:val="0"/>
          <w:numId w:val="6"/>
        </w:numPr>
        <w:bidi/>
        <w:spacing w:line="360" w:lineRule="auto"/>
        <w:ind w:left="84" w:firstLine="720"/>
        <w:jc w:val="both"/>
        <w:rPr>
          <w:rFonts w:ascii="T" w:hAnsi="T" w:cs="Simplified Arabic"/>
          <w:sz w:val="24"/>
          <w:szCs w:val="24"/>
        </w:rPr>
      </w:pPr>
      <w:r w:rsidRPr="005D59A7">
        <w:rPr>
          <w:rFonts w:ascii="T" w:hAnsi="T" w:cs="Simplified Arabic"/>
          <w:sz w:val="24"/>
          <w:szCs w:val="24"/>
          <w:rtl/>
        </w:rPr>
        <w:t>تحسين فعالية التكلفة: بفضل الخبرة الواسعة والمرونة، تقدم الشراكات بين القطاعين العام والخاص الخدمات العامة بتكلفة أقل من الشراكات التقليدية الأخرى. ويمكن توجيه المبلغ الموفر إلى خدمات أخرى.</w:t>
      </w:r>
    </w:p>
    <w:p w14:paraId="32D885CD" w14:textId="3B743FBB" w:rsidR="00085801" w:rsidRPr="005D59A7" w:rsidRDefault="00085801" w:rsidP="0045581D">
      <w:pPr>
        <w:pStyle w:val="ListParagraph"/>
        <w:numPr>
          <w:ilvl w:val="0"/>
          <w:numId w:val="6"/>
        </w:numPr>
        <w:bidi/>
        <w:spacing w:line="360" w:lineRule="auto"/>
        <w:ind w:left="84" w:firstLine="720"/>
        <w:jc w:val="both"/>
        <w:rPr>
          <w:rFonts w:ascii="T" w:hAnsi="T" w:cs="Simplified Arabic"/>
          <w:sz w:val="24"/>
          <w:szCs w:val="24"/>
        </w:rPr>
      </w:pPr>
      <w:r w:rsidRPr="005D59A7">
        <w:rPr>
          <w:rFonts w:ascii="T" w:hAnsi="T" w:cs="Simplified Arabic"/>
          <w:sz w:val="24"/>
          <w:szCs w:val="24"/>
          <w:rtl/>
        </w:rPr>
        <w:t>زيادة الاستثمار في البنية التحتية العامة -: المرافق الأساسية مثل المستشفيات والمدارس والطرق السريعة، مما يقلل من تكلفة رأس المال الحكومي، ويساعد على سد الفجوة بين الحاجة إلى البنية التحتية والقدرة المالية.</w:t>
      </w:r>
      <w:r w:rsidR="003B2291" w:rsidRPr="005D59A7">
        <w:rPr>
          <w:rFonts w:ascii="T" w:hAnsi="T" w:cs="Simplified Arabic"/>
          <w:sz w:val="24"/>
          <w:szCs w:val="24"/>
        </w:rPr>
        <w:t xml:space="preserve"> (Rodrigues, 2023)</w:t>
      </w:r>
    </w:p>
    <w:p w14:paraId="3791D228" w14:textId="77777777" w:rsidR="00085801" w:rsidRPr="005D59A7" w:rsidRDefault="00085801" w:rsidP="0045581D">
      <w:pPr>
        <w:pStyle w:val="ListParagraph"/>
        <w:numPr>
          <w:ilvl w:val="0"/>
          <w:numId w:val="6"/>
        </w:numPr>
        <w:bidi/>
        <w:spacing w:line="360" w:lineRule="auto"/>
        <w:ind w:left="84" w:firstLine="720"/>
        <w:jc w:val="both"/>
        <w:rPr>
          <w:rFonts w:ascii="T" w:hAnsi="T" w:cs="Simplified Arabic"/>
          <w:sz w:val="24"/>
          <w:szCs w:val="24"/>
        </w:rPr>
      </w:pPr>
      <w:r w:rsidRPr="005D59A7">
        <w:rPr>
          <w:rFonts w:ascii="T" w:hAnsi="T" w:cs="Simplified Arabic"/>
          <w:sz w:val="24"/>
          <w:szCs w:val="24"/>
          <w:rtl/>
        </w:rPr>
        <w:t>مستوى أعلى من الخدمة من خلال الابتكار.</w:t>
      </w:r>
    </w:p>
    <w:p w14:paraId="70381A5A" w14:textId="77777777" w:rsidR="00085801" w:rsidRPr="005D59A7" w:rsidRDefault="00085801" w:rsidP="0045581D">
      <w:pPr>
        <w:pStyle w:val="ListParagraph"/>
        <w:numPr>
          <w:ilvl w:val="0"/>
          <w:numId w:val="6"/>
        </w:numPr>
        <w:bidi/>
        <w:spacing w:line="360" w:lineRule="auto"/>
        <w:ind w:left="84" w:firstLine="720"/>
        <w:jc w:val="both"/>
        <w:rPr>
          <w:rFonts w:ascii="T" w:hAnsi="T" w:cs="Simplified Arabic"/>
          <w:sz w:val="24"/>
          <w:szCs w:val="24"/>
        </w:rPr>
      </w:pPr>
      <w:r w:rsidRPr="005D59A7">
        <w:rPr>
          <w:rFonts w:ascii="T" w:hAnsi="T" w:cs="Simplified Arabic"/>
          <w:sz w:val="24"/>
          <w:szCs w:val="24"/>
          <w:rtl/>
        </w:rPr>
        <w:t>يقلل من مخاطر القطاع العام: تعمل الشراكات بين القطاعين العام والخاص على نقل المخاطر من القطاع العام إلى القطاع الخاص، والذي تتم إدارته في معظم الحالات بشكل أفضل من قبل القطاع الخاص، وذلك لأن القطاع الخاص يمتلك في معظم الحالات الخبرة أو مجال التخصص، على سبيل المثال، يمكن لشركة خاصة متخصصة في إدارة المباني التعامل بفعالية مع أي مخاطر تنشأ عن العقارات التجارية.</w:t>
      </w:r>
    </w:p>
    <w:p w14:paraId="3357D606" w14:textId="77777777" w:rsidR="00085801" w:rsidRPr="005D59A7" w:rsidRDefault="00085801" w:rsidP="0045581D">
      <w:pPr>
        <w:pStyle w:val="ListParagraph"/>
        <w:numPr>
          <w:ilvl w:val="0"/>
          <w:numId w:val="6"/>
        </w:numPr>
        <w:bidi/>
        <w:spacing w:line="360" w:lineRule="auto"/>
        <w:ind w:left="84" w:firstLine="720"/>
        <w:jc w:val="both"/>
        <w:rPr>
          <w:rFonts w:ascii="T" w:hAnsi="T" w:cs="Simplified Arabic"/>
          <w:sz w:val="24"/>
          <w:szCs w:val="24"/>
        </w:rPr>
      </w:pPr>
      <w:r w:rsidRPr="005D59A7">
        <w:rPr>
          <w:rFonts w:ascii="T" w:hAnsi="T" w:cs="Simplified Arabic"/>
          <w:sz w:val="24"/>
          <w:szCs w:val="24"/>
          <w:rtl/>
        </w:rPr>
        <w:t>إنجاز المشاريع الرأسمالية بشكل أسرع: يتميز المستثمرون من القطاع الخاص بمرونة أكبر بطبيعتهم، ولديهم إمكانية وصول أوسع إلى الموارد المالية من المؤسسات المالية.</w:t>
      </w:r>
    </w:p>
    <w:p w14:paraId="4BBA6A3D" w14:textId="77777777" w:rsidR="00085801" w:rsidRPr="005D59A7" w:rsidRDefault="00085801" w:rsidP="0045581D">
      <w:pPr>
        <w:pStyle w:val="ListParagraph"/>
        <w:numPr>
          <w:ilvl w:val="0"/>
          <w:numId w:val="6"/>
        </w:numPr>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تحسين استقرار الميزانية: يساهم نقل المخاطر من القطاع العام إلى القطاع الخاص في خفض التكاليف المخصصة عادةً للظروف الطارئة. وتصبح الخدمات أكثر دقة وفعالية من حيث التكلفة، مما يؤدي إلى استخدام أموال دافعي الضرائب بكفاءة أكبر.</w:t>
      </w:r>
    </w:p>
    <w:p w14:paraId="498A79A1" w14:textId="77777777" w:rsidR="00085801" w:rsidRPr="005D59A7" w:rsidRDefault="00085801" w:rsidP="0045581D">
      <w:pPr>
        <w:pStyle w:val="ListParagraph"/>
        <w:numPr>
          <w:ilvl w:val="0"/>
          <w:numId w:val="6"/>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الاستخدام الأمثل للأصول: - يعمل القطاع الخاص على تحقيق أقصى استفادة من إمكانات وعوائد الاستثمارات. وينتج عن ذلك مستوى أعلى من الخدمات، وسهولة الوصول إلى الخدمات العامة، وخفض التكاليف على القطاع العام.</w:t>
      </w:r>
    </w:p>
    <w:p w14:paraId="6068FCAA" w14:textId="460092BA" w:rsidR="00085801" w:rsidRPr="005D59A7" w:rsidRDefault="00085801" w:rsidP="003B2291">
      <w:pPr>
        <w:bidi/>
        <w:spacing w:line="360" w:lineRule="auto"/>
        <w:ind w:left="84" w:firstLine="720"/>
        <w:jc w:val="both"/>
        <w:rPr>
          <w:rFonts w:ascii="T" w:hAnsi="T" w:cs="Simplified Arabic"/>
          <w:sz w:val="24"/>
          <w:szCs w:val="24"/>
          <w:rtl/>
          <w:lang w:bidi="ar-EG"/>
        </w:rPr>
      </w:pPr>
      <w:r w:rsidRPr="005D59A7">
        <w:rPr>
          <w:rFonts w:ascii="T" w:hAnsi="T" w:cs="Simplified Arabic"/>
          <w:sz w:val="24"/>
          <w:szCs w:val="24"/>
          <w:rtl/>
        </w:rPr>
        <w:t>بالإضافة، فإن للشراكات بين القطاعين العام والخاص منافع وفوائد كثيرة للقطاع الخاص نفسه حيث تتيح الشراكات بين القطاعين العام والخاص للقطاع الخاص الوصول إلى فرص استثمارية طويلة الأجل. ويمكن تأسيس الشركات بثقة وأمان من خلال ضمان الحصول على عقود حكومية. ويتم الدفع إما عن طريق رسوم متفق عليها مقابل الخدمة، أو من خلال تحصيل رسوم المستخدمين. وتبقى الإيرادات مضمونة لمدة تتراوح بين 15 و20 عامًا. وبفضل كفاءتها العالية، وقدراتها الإدارية والفنية والمالية، تستطيع الشركات الشريكة في القطاع الخاص توسيع نطاق خبراتها لتشمل فرصًا تجارية أخرى، وحتى مناطق أخرى، نظرًا لسجلها الحافل بالإنجازات.</w:t>
      </w:r>
      <w:r w:rsidR="003B2291" w:rsidRPr="005D59A7">
        <w:rPr>
          <w:rFonts w:ascii="T" w:hAnsi="T" w:cs="Simplified Arabic"/>
          <w:sz w:val="24"/>
          <w:szCs w:val="24"/>
        </w:rPr>
        <w:t xml:space="preserve"> </w:t>
      </w:r>
      <w:r w:rsidR="003B2291" w:rsidRPr="005D59A7">
        <w:rPr>
          <w:rFonts w:ascii="T" w:hAnsi="T" w:cs="Simplified Arabic"/>
          <w:sz w:val="24"/>
          <w:szCs w:val="24"/>
          <w:lang w:bidi="ar-EG"/>
        </w:rPr>
        <w:t>(Batjargal &amp; Zhang,2022)</w:t>
      </w:r>
    </w:p>
    <w:p w14:paraId="307F4C56" w14:textId="77777777" w:rsidR="00C15312" w:rsidRPr="005D59A7" w:rsidRDefault="00C23A5B" w:rsidP="0045581D">
      <w:pPr>
        <w:pStyle w:val="Heading3"/>
        <w:numPr>
          <w:ilvl w:val="0"/>
          <w:numId w:val="4"/>
        </w:numPr>
        <w:bidi/>
        <w:spacing w:line="360" w:lineRule="auto"/>
        <w:ind w:firstLine="720"/>
        <w:rPr>
          <w:rFonts w:ascii="T" w:hAnsi="T" w:cs="Simplified Arabic"/>
          <w:color w:val="auto"/>
          <w:sz w:val="24"/>
          <w:szCs w:val="24"/>
          <w:rtl/>
        </w:rPr>
      </w:pPr>
      <w:bookmarkStart w:id="49" w:name="_Toc225991361"/>
      <w:r w:rsidRPr="005D59A7">
        <w:rPr>
          <w:rFonts w:ascii="T" w:hAnsi="T" w:cs="Simplified Arabic"/>
          <w:color w:val="auto"/>
          <w:sz w:val="24"/>
          <w:szCs w:val="24"/>
          <w:rtl/>
        </w:rPr>
        <w:t>أنواع العقود وطرق التعاقد بين القطاعين العام والخاص</w:t>
      </w:r>
      <w:bookmarkEnd w:id="49"/>
    </w:p>
    <w:p w14:paraId="1EA03DF6" w14:textId="77777777" w:rsidR="00C23A5B" w:rsidRPr="005D59A7" w:rsidRDefault="00C23A5B" w:rsidP="00D7309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توجد أنواع ونماذج تنفيذ عديدة للشراكات بين القطاعين العام والخاص، وفيما يلي قائمة غير شاملة لبعض التصاميم:</w:t>
      </w:r>
    </w:p>
    <w:p w14:paraId="0475BB1F" w14:textId="08BECB55" w:rsidR="00C23A5B" w:rsidRPr="005D59A7" w:rsidRDefault="00C23A5B"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t>عقد التشغيل والصيانة (</w:t>
      </w:r>
      <w:r w:rsidRPr="005D59A7">
        <w:rPr>
          <w:rFonts w:ascii="T" w:hAnsi="T" w:cs="Simplified Arabic"/>
          <w:sz w:val="24"/>
          <w:szCs w:val="24"/>
        </w:rPr>
        <w:t>O &amp; M</w:t>
      </w:r>
      <w:r w:rsidRPr="005D59A7">
        <w:rPr>
          <w:rFonts w:ascii="T" w:hAnsi="T" w:cs="Simplified Arabic"/>
          <w:sz w:val="24"/>
          <w:szCs w:val="24"/>
          <w:rtl/>
        </w:rPr>
        <w:t>): يتولى وكيل اقتصادي خاص، بموجب عقد حكومي، تشغيل أصل مملوك للدولة لفترة زمنية محددة. وتبقى ملكية الأصل، من الناحية الرسمية، للجهة العامة. وفيما يتعلق بمخاطر القطاع الخاص ومشاركته، يُعد هذا النموذج منخفضاً نسبياً من حيث كلٍ من المشاركة والمخاطر</w:t>
      </w:r>
      <w:r w:rsidR="00D73094" w:rsidRPr="005D59A7">
        <w:rPr>
          <w:rFonts w:ascii="T" w:hAnsi="T" w:cs="Simplified Arabic"/>
          <w:sz w:val="24"/>
          <w:szCs w:val="24"/>
        </w:rPr>
        <w:t xml:space="preserve"> (Aboelazm,et al , 2025)</w:t>
      </w:r>
      <w:r w:rsidRPr="005D59A7">
        <w:rPr>
          <w:rFonts w:ascii="T" w:hAnsi="T" w:cs="Simplified Arabic"/>
          <w:sz w:val="24"/>
          <w:szCs w:val="24"/>
          <w:rtl/>
        </w:rPr>
        <w:t xml:space="preserve"> </w:t>
      </w:r>
    </w:p>
    <w:p w14:paraId="339842F1" w14:textId="5B94FBCB" w:rsidR="00C23A5B" w:rsidRPr="005D59A7" w:rsidRDefault="00C23A5B"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t>البناء والتمويل (</w:t>
      </w:r>
      <w:r w:rsidRPr="005D59A7">
        <w:rPr>
          <w:rFonts w:ascii="T" w:hAnsi="T" w:cs="Simplified Arabic"/>
          <w:sz w:val="24"/>
          <w:szCs w:val="24"/>
        </w:rPr>
        <w:t>BF</w:t>
      </w:r>
      <w:r w:rsidRPr="005D59A7">
        <w:rPr>
          <w:rFonts w:ascii="T" w:hAnsi="T" w:cs="Simplified Arabic"/>
          <w:sz w:val="24"/>
          <w:szCs w:val="24"/>
          <w:rtl/>
        </w:rPr>
        <w:t xml:space="preserve">): يقوم القطاع الخاص ببناء المشروع وتمويل تكلفته خلال فترة الإنشاء، ثم تُنقل المسؤولية إلى الجهة الحكومية. وفيما يتعلق بمخاطر القطاع الخاص ومشاركته، يُعد هذا النموذج منخفضًا نسبيًا في كلا المعيارين </w:t>
      </w:r>
      <w:r w:rsidR="00D73094" w:rsidRPr="005D59A7">
        <w:rPr>
          <w:rFonts w:ascii="T" w:hAnsi="T" w:cs="Simplified Arabic"/>
          <w:sz w:val="24"/>
          <w:szCs w:val="24"/>
          <w:rtl/>
        </w:rPr>
        <w:t>(</w:t>
      </w:r>
      <w:r w:rsidR="00D73094" w:rsidRPr="005D59A7">
        <w:rPr>
          <w:rFonts w:ascii="T" w:hAnsi="T" w:cs="Simplified Arabic"/>
          <w:sz w:val="24"/>
          <w:szCs w:val="24"/>
        </w:rPr>
        <w:t>Raina,et al ,2024</w:t>
      </w:r>
      <w:r w:rsidR="00D73094" w:rsidRPr="005D59A7">
        <w:rPr>
          <w:rFonts w:ascii="T" w:hAnsi="T" w:cs="Simplified Arabic"/>
          <w:sz w:val="24"/>
          <w:szCs w:val="24"/>
          <w:rtl/>
        </w:rPr>
        <w:t>)</w:t>
      </w:r>
      <w:r w:rsidRPr="005D59A7">
        <w:rPr>
          <w:rFonts w:ascii="T" w:hAnsi="T" w:cs="Simplified Arabic"/>
          <w:sz w:val="24"/>
          <w:szCs w:val="24"/>
          <w:rtl/>
        </w:rPr>
        <w:t xml:space="preserve">. </w:t>
      </w:r>
    </w:p>
    <w:p w14:paraId="734CF79B" w14:textId="77777777" w:rsidR="00C23A5B" w:rsidRPr="005D59A7" w:rsidRDefault="00C23A5B"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البناء والتشغيل والتحويل (</w:t>
      </w:r>
      <w:r w:rsidRPr="005D59A7">
        <w:rPr>
          <w:rFonts w:ascii="T" w:hAnsi="T" w:cs="Simplified Arabic"/>
          <w:sz w:val="24"/>
          <w:szCs w:val="24"/>
        </w:rPr>
        <w:t>BOT</w:t>
      </w:r>
      <w:r w:rsidRPr="005D59A7">
        <w:rPr>
          <w:rFonts w:ascii="T" w:hAnsi="T" w:cs="Simplified Arabic"/>
          <w:sz w:val="24"/>
          <w:szCs w:val="24"/>
          <w:rtl/>
        </w:rPr>
        <w:t>): يمثل نموذج البناء والتشغيل والتحويل تكاملاً كاملاً لتنفيذ المشروع: إذ ينظم العقد نفسه تصميم المشروع وبنائه وتشغيله وصيانته وتمويله. وبعد فترة امتياز معينة، يُعاد تسليم المنشأة إلى مالكها.</w:t>
      </w:r>
    </w:p>
    <w:p w14:paraId="6AC3F043" w14:textId="7D8C9134" w:rsidR="00C23A5B" w:rsidRPr="005D59A7" w:rsidRDefault="00C23A5B"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t>البناء - التملك - التشغيل - النقل (</w:t>
      </w:r>
      <w:r w:rsidRPr="005D59A7">
        <w:rPr>
          <w:rFonts w:ascii="T" w:hAnsi="T" w:cs="Simplified Arabic"/>
          <w:sz w:val="24"/>
          <w:szCs w:val="24"/>
        </w:rPr>
        <w:t>BOOT</w:t>
      </w:r>
      <w:r w:rsidRPr="005D59A7">
        <w:rPr>
          <w:rFonts w:ascii="T" w:hAnsi="T" w:cs="Simplified Arabic"/>
          <w:sz w:val="24"/>
          <w:szCs w:val="24"/>
          <w:rtl/>
        </w:rPr>
        <w:t>): يختلف هيكل البناء والتشغيل والتحويل (</w:t>
      </w:r>
      <w:r w:rsidRPr="005D59A7">
        <w:rPr>
          <w:rFonts w:ascii="T" w:hAnsi="T" w:cs="Simplified Arabic"/>
          <w:sz w:val="24"/>
          <w:szCs w:val="24"/>
        </w:rPr>
        <w:t>BOOT</w:t>
      </w:r>
      <w:r w:rsidRPr="005D59A7">
        <w:rPr>
          <w:rFonts w:ascii="T" w:hAnsi="T" w:cs="Simplified Arabic"/>
          <w:sz w:val="24"/>
          <w:szCs w:val="24"/>
          <w:rtl/>
        </w:rPr>
        <w:t>) عن هيكل البناء والتشغيل والتحويل (</w:t>
      </w:r>
      <w:r w:rsidRPr="005D59A7">
        <w:rPr>
          <w:rFonts w:ascii="T" w:hAnsi="T" w:cs="Simplified Arabic"/>
          <w:sz w:val="24"/>
          <w:szCs w:val="24"/>
        </w:rPr>
        <w:t>BOT</w:t>
      </w:r>
      <w:r w:rsidRPr="005D59A7">
        <w:rPr>
          <w:rFonts w:ascii="T" w:hAnsi="T" w:cs="Simplified Arabic"/>
          <w:sz w:val="24"/>
          <w:szCs w:val="24"/>
          <w:rtl/>
        </w:rPr>
        <w:t>) في أن الكيان الخاص يمتلك الأعمال. خلال فترة الامتياز، تمتلك الشركة الخاصة المنشأة وتديرها بهدف رئيسي هو استرداد تكاليف الاستثمار والصيانة مع السعي لتحقيق هامش ربح أعلى على المشروع. وقد تم استخدام هيكل البناء والتشغيل والتحويل (</w:t>
      </w:r>
      <w:r w:rsidRPr="005D59A7">
        <w:rPr>
          <w:rFonts w:ascii="T" w:hAnsi="T" w:cs="Simplified Arabic"/>
          <w:sz w:val="24"/>
          <w:szCs w:val="24"/>
        </w:rPr>
        <w:t>BOOT</w:t>
      </w:r>
      <w:r w:rsidRPr="005D59A7">
        <w:rPr>
          <w:rFonts w:ascii="T" w:hAnsi="T" w:cs="Simplified Arabic"/>
          <w:sz w:val="24"/>
          <w:szCs w:val="24"/>
          <w:rtl/>
        </w:rPr>
        <w:t>) في مشاريع مثل الطرق السريعة، وشبكات النقل الجماعي، والنقل بالسكك الحديدية، وتوليد الطاقة (</w:t>
      </w:r>
      <w:r w:rsidRPr="005D59A7">
        <w:rPr>
          <w:rFonts w:ascii="T" w:hAnsi="T" w:cs="Simplified Arabic"/>
          <w:sz w:val="24"/>
          <w:szCs w:val="24"/>
        </w:rPr>
        <w:t>Stafano, 2007</w:t>
      </w:r>
      <w:r w:rsidRPr="005D59A7">
        <w:rPr>
          <w:rFonts w:ascii="T" w:hAnsi="T" w:cs="Simplified Arabic"/>
          <w:sz w:val="24"/>
          <w:szCs w:val="24"/>
          <w:rtl/>
        </w:rPr>
        <w:t>).</w:t>
      </w:r>
    </w:p>
    <w:p w14:paraId="79E53D63" w14:textId="122AD6E2" w:rsidR="00C23A5B" w:rsidRPr="005D59A7" w:rsidRDefault="00C23A5B"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t>البناء والتملك والتشغيل (</w:t>
      </w:r>
      <w:r w:rsidRPr="005D59A7">
        <w:rPr>
          <w:rFonts w:ascii="T" w:hAnsi="T" w:cs="Simplified Arabic"/>
          <w:sz w:val="24"/>
          <w:szCs w:val="24"/>
        </w:rPr>
        <w:t>BOO</w:t>
      </w:r>
      <w:r w:rsidRPr="005D59A7">
        <w:rPr>
          <w:rFonts w:ascii="T" w:hAnsi="T" w:cs="Simplified Arabic"/>
          <w:sz w:val="24"/>
          <w:szCs w:val="24"/>
          <w:rtl/>
        </w:rPr>
        <w:t>): في مشاريع البناء والتشغيل والتملك (</w:t>
      </w:r>
      <w:r w:rsidRPr="005D59A7">
        <w:rPr>
          <w:rFonts w:ascii="T" w:hAnsi="T" w:cs="Simplified Arabic"/>
          <w:sz w:val="24"/>
          <w:szCs w:val="24"/>
        </w:rPr>
        <w:t>BOO</w:t>
      </w:r>
      <w:r w:rsidRPr="005D59A7">
        <w:rPr>
          <w:rFonts w:ascii="T" w:hAnsi="T" w:cs="Simplified Arabic"/>
          <w:sz w:val="24"/>
          <w:szCs w:val="24"/>
          <w:rtl/>
        </w:rPr>
        <w:t>)، تبقى ملكية المشروع عادةً للشركة المنفذة، مثل شبكات الهاتف المحمول. وبالتالي، تستفيد الشركة الخاصة من أي قيمة متبقية للمشروع. يُستخدم هذا الإطار عندما يتزامن العمر الافتراضي للمشروع مع فترة الامتياز. يتطلب نظام البناء والتشغيل والتملك مبالغ مالية ضخمة وفترة استرداد طويلة. ومن أمثلة مشاريع البناء والتشغيل والتملك محطات معالجة المياه</w:t>
      </w:r>
      <w:r w:rsidR="000536A3" w:rsidRPr="005D59A7">
        <w:rPr>
          <w:rFonts w:ascii="T" w:hAnsi="T" w:cs="Simplified Arabic"/>
          <w:sz w:val="24"/>
          <w:szCs w:val="24"/>
          <w:rtl/>
        </w:rPr>
        <w:t xml:space="preserve"> (</w:t>
      </w:r>
      <w:r w:rsidR="000536A3" w:rsidRPr="005D59A7">
        <w:rPr>
          <w:rFonts w:ascii="T" w:hAnsi="T" w:cs="Simplified Arabic"/>
          <w:sz w:val="24"/>
          <w:szCs w:val="24"/>
        </w:rPr>
        <w:t>.Grimsy,.Darrin, 2007</w:t>
      </w:r>
      <w:r w:rsidR="000536A3" w:rsidRPr="005D59A7">
        <w:rPr>
          <w:rFonts w:ascii="T" w:hAnsi="T" w:cs="Simplified Arabic"/>
          <w:sz w:val="24"/>
          <w:szCs w:val="24"/>
          <w:rtl/>
        </w:rPr>
        <w:t xml:space="preserve">). </w:t>
      </w:r>
    </w:p>
    <w:p w14:paraId="6A70F340" w14:textId="77777777" w:rsidR="000536A3" w:rsidRPr="005D59A7" w:rsidRDefault="000536A3"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t>البناء والتأجير والتحويل (</w:t>
      </w:r>
      <w:r w:rsidRPr="005D59A7">
        <w:rPr>
          <w:rFonts w:ascii="T" w:hAnsi="T" w:cs="Simplified Arabic"/>
          <w:sz w:val="24"/>
          <w:szCs w:val="24"/>
        </w:rPr>
        <w:t>BLT</w:t>
      </w:r>
      <w:r w:rsidRPr="005D59A7">
        <w:rPr>
          <w:rFonts w:ascii="T" w:hAnsi="T" w:cs="Simplified Arabic"/>
          <w:sz w:val="24"/>
          <w:szCs w:val="24"/>
          <w:rtl/>
        </w:rPr>
        <w:t>): بموجب اتفاقية البناء والتأجير، تقوم جهة خاصة ببناء مشروع متكامل وتأجيره للحكومة. وبهذه الطريقة، تنتقل السيطرة على المشروع من مالكه إلى المستأجر. بعبارة أخرى، تبقى الملكية للمساهمين، بينما تُؤجَّر أغراض التشغيل. بعد انتهاء مدة الإيجار، تنتقل ملكية الأصل ومسؤولية التشغيل إلى الحكومة بسعر متفق عليه مسبقاً.</w:t>
      </w:r>
    </w:p>
    <w:p w14:paraId="0A30DADC" w14:textId="3110463A" w:rsidR="000536A3" w:rsidRPr="005D59A7" w:rsidRDefault="000536A3"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t>التصميم والبناء والتمويل والصيانة (</w:t>
      </w:r>
      <w:r w:rsidRPr="005D59A7">
        <w:rPr>
          <w:rFonts w:ascii="T" w:hAnsi="T" w:cs="Simplified Arabic"/>
          <w:sz w:val="24"/>
          <w:szCs w:val="24"/>
        </w:rPr>
        <w:t>DBFM</w:t>
      </w:r>
      <w:r w:rsidRPr="005D59A7">
        <w:rPr>
          <w:rFonts w:ascii="T" w:hAnsi="T" w:cs="Simplified Arabic"/>
          <w:sz w:val="24"/>
          <w:szCs w:val="24"/>
          <w:rtl/>
        </w:rPr>
        <w:t xml:space="preserve">): يقوم القطاع الخاص بتصميم وبناء وتمويل الأصول، ويقدم خدمات إدارة وصيانة المرافق بموجب اتفاقية طويلة الأجل. ويتولى المالك (عادةً القطاع العام) تشغيل المنشأة. ويُعدّ هذا النموذج متوسطًا من حيث مستوى المخاطرة والمشاركة من جانب القطاع الخاص </w:t>
      </w:r>
      <w:r w:rsidR="00D73094" w:rsidRPr="005D59A7">
        <w:rPr>
          <w:rFonts w:ascii="T" w:hAnsi="T" w:cs="Simplified Arabic"/>
          <w:sz w:val="24"/>
          <w:szCs w:val="24"/>
          <w:rtl/>
        </w:rPr>
        <w:t>(</w:t>
      </w:r>
      <w:r w:rsidR="00D73094" w:rsidRPr="005D59A7">
        <w:rPr>
          <w:rFonts w:ascii="T" w:hAnsi="T" w:cs="Simplified Arabic"/>
          <w:sz w:val="24"/>
          <w:szCs w:val="24"/>
        </w:rPr>
        <w:t>Akinsulire, et al,2024</w:t>
      </w:r>
      <w:r w:rsidR="00D73094" w:rsidRPr="005D59A7">
        <w:rPr>
          <w:rFonts w:ascii="T" w:hAnsi="T" w:cs="Simplified Arabic"/>
          <w:sz w:val="24"/>
          <w:szCs w:val="24"/>
          <w:rtl/>
        </w:rPr>
        <w:t>)</w:t>
      </w:r>
      <w:r w:rsidRPr="005D59A7">
        <w:rPr>
          <w:rFonts w:ascii="T" w:hAnsi="T" w:cs="Simplified Arabic"/>
          <w:sz w:val="24"/>
          <w:szCs w:val="24"/>
          <w:rtl/>
        </w:rPr>
        <w:t xml:space="preserve">. </w:t>
      </w:r>
    </w:p>
    <w:p w14:paraId="0F48E006" w14:textId="784F6999" w:rsidR="000536A3" w:rsidRPr="005D59A7" w:rsidRDefault="000536A3"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التصميم والبناء والتمويل والصيانة والتشغيل (</w:t>
      </w:r>
      <w:r w:rsidRPr="005D59A7">
        <w:rPr>
          <w:rFonts w:ascii="T" w:hAnsi="T" w:cs="Simplified Arabic"/>
          <w:sz w:val="24"/>
          <w:szCs w:val="24"/>
        </w:rPr>
        <w:t>DBFMO</w:t>
      </w:r>
      <w:r w:rsidRPr="005D59A7">
        <w:rPr>
          <w:rFonts w:ascii="T" w:hAnsi="T" w:cs="Simplified Arabic"/>
          <w:sz w:val="24"/>
          <w:szCs w:val="24"/>
          <w:rtl/>
        </w:rPr>
        <w:t>): يُعدّ نموذج التصميم والبناء والتمويل والتشغيل أسلوبًا لتنفيذ المشاريع مشابهًا جدًا لنموذج البناء والتشغيل والتحويل (</w:t>
      </w:r>
      <w:r w:rsidRPr="005D59A7">
        <w:rPr>
          <w:rFonts w:ascii="T" w:hAnsi="T" w:cs="Simplified Arabic"/>
          <w:sz w:val="24"/>
          <w:szCs w:val="24"/>
        </w:rPr>
        <w:t>BOOT</w:t>
      </w:r>
      <w:r w:rsidRPr="005D59A7">
        <w:rPr>
          <w:rFonts w:ascii="T" w:hAnsi="T" w:cs="Simplified Arabic"/>
          <w:sz w:val="24"/>
          <w:szCs w:val="24"/>
          <w:rtl/>
        </w:rPr>
        <w:t xml:space="preserve">)، باستثناء عدم وجود نقل فعلي للملكية. علاوة على ذلك، يتحمل المقاول مخاطر التمويل حتى نهاية مدة العقد، ثم يتولى المالك مسؤولية الصيانة والتشغيل. يُستخدم هذا النموذج على نطاق واسع في مشاريع بنية تحتية محددة، مثل الطرق السريعة ذات الرسوم. تتولى شركة الإنشاءات الخاصة مسؤولية تصميم وبناء جزء من البنية التحتية لصالح الحكومة، وهي المالك الحقيقي. كما تتحمل الجهة الخاصة مسؤولية توفير التمويل خلال مرحلتي الإنشاء والتشغيل.[78] عادةً، يبدأ القطاع العام في سداد المدفوعات للقطاع الخاص مقابل استخدام الأصل بعد اكتمال الإنشاء. يُعدّ هذا النموذج الأكثر شيوعًا في الاتحاد الأوروبي، وفقًا لمحكمة المدققين الأوروبية </w:t>
      </w:r>
      <w:r w:rsidR="00D73094" w:rsidRPr="005D59A7">
        <w:rPr>
          <w:rFonts w:ascii="T" w:hAnsi="T" w:cs="Simplified Arabic"/>
          <w:sz w:val="24"/>
          <w:szCs w:val="24"/>
          <w:rtl/>
        </w:rPr>
        <w:t>(</w:t>
      </w:r>
      <w:r w:rsidR="00D73094" w:rsidRPr="005D59A7">
        <w:rPr>
          <w:rFonts w:ascii="T" w:hAnsi="T" w:cs="Simplified Arabic"/>
          <w:sz w:val="24"/>
          <w:szCs w:val="24"/>
        </w:rPr>
        <w:t>Raina,et al ,2024</w:t>
      </w:r>
      <w:r w:rsidR="00D73094" w:rsidRPr="005D59A7">
        <w:rPr>
          <w:rFonts w:ascii="T" w:hAnsi="T" w:cs="Simplified Arabic"/>
          <w:sz w:val="24"/>
          <w:szCs w:val="24"/>
          <w:rtl/>
        </w:rPr>
        <w:t>)</w:t>
      </w:r>
      <w:r w:rsidRPr="005D59A7">
        <w:rPr>
          <w:rFonts w:ascii="T" w:hAnsi="T" w:cs="Simplified Arabic"/>
          <w:sz w:val="24"/>
          <w:szCs w:val="24"/>
          <w:rtl/>
        </w:rPr>
        <w:t xml:space="preserve">. </w:t>
      </w:r>
    </w:p>
    <w:p w14:paraId="79C6FF32" w14:textId="199315DC" w:rsidR="000536A3" w:rsidRPr="005D59A7" w:rsidRDefault="000536A3"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t>التصميم والبناء والتشغيل والتحويل (</w:t>
      </w:r>
      <w:r w:rsidRPr="005D59A7">
        <w:rPr>
          <w:rFonts w:ascii="T" w:hAnsi="T" w:cs="Simplified Arabic"/>
          <w:sz w:val="24"/>
          <w:szCs w:val="24"/>
        </w:rPr>
        <w:t>DBOT</w:t>
      </w:r>
      <w:r w:rsidRPr="005D59A7">
        <w:rPr>
          <w:rFonts w:ascii="T" w:hAnsi="T" w:cs="Simplified Arabic"/>
          <w:sz w:val="24"/>
          <w:szCs w:val="24"/>
          <w:rtl/>
        </w:rPr>
        <w:t>): يُعدّ هذا الخيار التمويلي شائعًا عندما لا يكون لدى العميل أي فكرة عن تفاصيل المشروع. ولذلك، يُسند المشروع إلى شركة لتصميمه وبنائه وتشغيله، ثم نقله إلى شركة أخرى. ومن أمثلة هذه المشاريع إنشاء مصافي النفط (</w:t>
      </w:r>
      <w:r w:rsidRPr="005D59A7">
        <w:rPr>
          <w:rFonts w:ascii="T" w:hAnsi="T" w:cs="Simplified Arabic"/>
          <w:sz w:val="24"/>
          <w:szCs w:val="24"/>
        </w:rPr>
        <w:t>Ninad, 2010</w:t>
      </w:r>
      <w:r w:rsidRPr="005D59A7">
        <w:rPr>
          <w:rFonts w:ascii="T" w:hAnsi="T" w:cs="Simplified Arabic"/>
          <w:sz w:val="24"/>
          <w:szCs w:val="24"/>
          <w:rtl/>
        </w:rPr>
        <w:t xml:space="preserve">). </w:t>
      </w:r>
    </w:p>
    <w:p w14:paraId="62392A22" w14:textId="77777777" w:rsidR="000536A3" w:rsidRPr="005D59A7" w:rsidRDefault="005A249E"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t>التصميم - البناء - الإدارة - التمويل (</w:t>
      </w:r>
      <w:r w:rsidRPr="005D59A7">
        <w:rPr>
          <w:rFonts w:ascii="T" w:hAnsi="T" w:cs="Simplified Arabic"/>
          <w:sz w:val="24"/>
          <w:szCs w:val="24"/>
        </w:rPr>
        <w:t>DCMF</w:t>
      </w:r>
      <w:r w:rsidRPr="005D59A7">
        <w:rPr>
          <w:rFonts w:ascii="T" w:hAnsi="T" w:cs="Simplified Arabic"/>
          <w:sz w:val="24"/>
          <w:szCs w:val="24"/>
          <w:rtl/>
        </w:rPr>
        <w:t>): تُعهد إلى جهة خاصة بتصميم وبناء وإدارة وتمويل منشأة، وفقًا لمواصفات الحكومة. وتنتج التدفقات النقدية للمشروع من مدفوعات الحكومة مقابل إيجار المنشأة. ومن أمثلة نموذج التمويل المشترك بين القطاعين العام والخاص السجون والمستشفيات العامة.</w:t>
      </w:r>
    </w:p>
    <w:p w14:paraId="461235B0" w14:textId="18FA6BAE" w:rsidR="005A249E" w:rsidRPr="005D59A7" w:rsidRDefault="005A249E"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امتياز: الامتياز هو منح حقوق أو أراضٍ أو ممتلكات من قبل حكومة أو سلطة محلية أو شركة أو فرد أو أي كيان قانوني آخر. ويمكن تشغيل الخدمات العامة، مثل إمدادات المياه، بموجب امتياز. في حالة امتياز الخدمة العامة، تُبرم شركة خاصة اتفاقية مع الحكومة للحصول على الحق الحصري في تشغيل وصيانة واستثمار مرفق عام (مثل خصخصة المياه) لعدد محدد من السنوات </w:t>
      </w:r>
      <w:r w:rsidR="00D73094" w:rsidRPr="005D59A7">
        <w:rPr>
          <w:rFonts w:ascii="T" w:hAnsi="T" w:cs="Simplified Arabic"/>
          <w:sz w:val="24"/>
          <w:szCs w:val="24"/>
          <w:rtl/>
        </w:rPr>
        <w:t>(</w:t>
      </w:r>
      <w:r w:rsidR="00D73094" w:rsidRPr="005D59A7">
        <w:rPr>
          <w:rFonts w:ascii="T" w:hAnsi="T" w:cs="Simplified Arabic"/>
          <w:sz w:val="24"/>
          <w:szCs w:val="24"/>
        </w:rPr>
        <w:t>Alshboul &amp; Shehadeh, 2026</w:t>
      </w:r>
      <w:r w:rsidR="00D73094" w:rsidRPr="005D59A7">
        <w:rPr>
          <w:rFonts w:ascii="T" w:hAnsi="T" w:cs="Simplified Arabic"/>
          <w:sz w:val="24"/>
          <w:szCs w:val="24"/>
          <w:rtl/>
        </w:rPr>
        <w:t>)</w:t>
      </w:r>
      <w:r w:rsidRPr="005D59A7">
        <w:rPr>
          <w:rFonts w:ascii="T" w:hAnsi="T" w:cs="Simplified Arabic"/>
          <w:sz w:val="24"/>
          <w:szCs w:val="24"/>
          <w:rtl/>
        </w:rPr>
        <w:t>.</w:t>
      </w:r>
    </w:p>
    <w:p w14:paraId="43A28AE3" w14:textId="77777777" w:rsidR="005A249E" w:rsidRPr="005D59A7" w:rsidRDefault="0068067D" w:rsidP="00D7309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في حين أن مشاريع البنية التحتية طويلة الأجل تشكل الجزء الأكبر من الشراكات بين القطاعين العام والخاص في جميع أنحاء العالم، إلا أن هناك أنواعًا أخرى من الشراكات بين القطاعين العام والخاص تناسب أغراضًا وجهات فاعلة مختلفة.</w:t>
      </w:r>
    </w:p>
    <w:p w14:paraId="4DB6FA29" w14:textId="5A01ADED" w:rsidR="0068067D" w:rsidRPr="005D59A7" w:rsidRDefault="0068067D"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تسييل الأصول: من أشكال الشراكة بين القطاعين العام والخاص التي شاعت في المدن الأمريكية خلال القرن الحادي والعشرين، اتفاقيات تسييل الأصول. وتتعلق هذه الاتفاقيات بأصول المدينة المدرة للدخل (مثل مواقف السيارات، والمرائب، والعدادات، والإضاءة العامة، والطرق ذات الرسوم، وغيرها) وتحويلها إلى أصول مالية يمكن للمدينة تأجيرها لشركة خاصة مقابل تغطية تكاليف التشغيل والصيانة. وعادةً ما تُبرم هذه الصفقات خلال فترات الضائقة المالية التي تمر بها المدينة، وتُستخدم الإيرادات الفورية التي تحصل عليها البلديات لسداد الديون أو سد العجز في الميزانية. وقد تضمنت اتفاقية إفلاس ديترويت عام 2014 العديد من اتفاقيات تسييل الأصول (</w:t>
      </w:r>
      <w:r w:rsidRPr="005D59A7">
        <w:rPr>
          <w:rFonts w:ascii="T" w:hAnsi="T" w:cs="Simplified Arabic"/>
          <w:sz w:val="24"/>
          <w:szCs w:val="24"/>
        </w:rPr>
        <w:t>Heather, 2016</w:t>
      </w:r>
      <w:r w:rsidRPr="005D59A7">
        <w:rPr>
          <w:rFonts w:ascii="T" w:hAnsi="T" w:cs="Simplified Arabic"/>
          <w:sz w:val="24"/>
          <w:szCs w:val="24"/>
          <w:rtl/>
        </w:rPr>
        <w:t>).</w:t>
      </w:r>
    </w:p>
    <w:p w14:paraId="7FA7CC9C" w14:textId="0D7A5463" w:rsidR="0068067D" w:rsidRPr="005D59A7" w:rsidRDefault="0068067D" w:rsidP="00D73094">
      <w:pPr>
        <w:bidi/>
        <w:spacing w:line="360" w:lineRule="auto"/>
        <w:ind w:left="84" w:firstLine="720"/>
        <w:jc w:val="both"/>
        <w:rPr>
          <w:rFonts w:ascii="T" w:hAnsi="T" w:cs="Simplified Arabic"/>
          <w:sz w:val="24"/>
          <w:szCs w:val="24"/>
        </w:rPr>
      </w:pPr>
      <w:r w:rsidRPr="005D59A7">
        <w:rPr>
          <w:rFonts w:ascii="T" w:hAnsi="T" w:cs="Simplified Arabic"/>
          <w:sz w:val="24"/>
          <w:szCs w:val="24"/>
          <w:rtl/>
        </w:rPr>
        <w:t>شراكة عالمية بين القطاعين العام والخاص: الشراكة العالمية بين القطاعين العام والخاص هي آلية حوكمة تهدف إلى تعزيز التعاون بين القطاعين العام والخاص، وتحديداً بين منظمة حكومية دولية كالأمم المتحدة والشركات الخاصة. وتسعى هذه الشراكات، من بين أمور أخرى، إلى زيادة إمكانية الحصول على الأدوية واللقاحات الأساسية وغيرها (</w:t>
      </w:r>
      <w:r w:rsidRPr="005D59A7">
        <w:rPr>
          <w:rFonts w:ascii="T" w:hAnsi="T" w:cs="Simplified Arabic"/>
          <w:sz w:val="24"/>
          <w:szCs w:val="24"/>
        </w:rPr>
        <w:t>Kevin, 2016</w:t>
      </w:r>
      <w:r w:rsidRPr="005D59A7">
        <w:rPr>
          <w:rFonts w:ascii="T" w:hAnsi="T" w:cs="Simplified Arabic"/>
          <w:sz w:val="24"/>
          <w:szCs w:val="24"/>
          <w:rtl/>
        </w:rPr>
        <w:t xml:space="preserve">). </w:t>
      </w:r>
    </w:p>
    <w:p w14:paraId="4F662256" w14:textId="77777777" w:rsidR="00745C19" w:rsidRPr="005D59A7" w:rsidRDefault="00CB3FA0" w:rsidP="0045581D">
      <w:pPr>
        <w:pStyle w:val="Heading2"/>
        <w:numPr>
          <w:ilvl w:val="2"/>
          <w:numId w:val="3"/>
        </w:numPr>
        <w:bidi/>
        <w:spacing w:line="360" w:lineRule="auto"/>
        <w:ind w:firstLine="720"/>
        <w:rPr>
          <w:rFonts w:ascii="T" w:hAnsi="T" w:cs="Simplified Arabic"/>
          <w:b/>
          <w:bCs/>
          <w:color w:val="auto"/>
          <w:sz w:val="24"/>
          <w:szCs w:val="24"/>
          <w:rtl/>
        </w:rPr>
      </w:pPr>
      <w:bookmarkStart w:id="50" w:name="_Toc225991362"/>
      <w:r w:rsidRPr="005D59A7">
        <w:rPr>
          <w:rFonts w:ascii="T" w:hAnsi="T" w:cs="Simplified Arabic"/>
          <w:b/>
          <w:bCs/>
          <w:color w:val="auto"/>
          <w:sz w:val="24"/>
          <w:szCs w:val="24"/>
          <w:rtl/>
        </w:rPr>
        <w:t>رؤية المملكة 2030</w:t>
      </w:r>
      <w:bookmarkEnd w:id="50"/>
      <w:r w:rsidRPr="005D59A7">
        <w:rPr>
          <w:rFonts w:ascii="T" w:hAnsi="T" w:cs="Simplified Arabic"/>
          <w:b/>
          <w:bCs/>
          <w:color w:val="auto"/>
          <w:sz w:val="24"/>
          <w:szCs w:val="24"/>
          <w:rtl/>
        </w:rPr>
        <w:t xml:space="preserve"> </w:t>
      </w:r>
    </w:p>
    <w:p w14:paraId="1C401EE0" w14:textId="77777777" w:rsidR="00CB3FA0" w:rsidRPr="005D59A7" w:rsidRDefault="00057791" w:rsidP="0045581D">
      <w:pPr>
        <w:pStyle w:val="Heading3"/>
        <w:numPr>
          <w:ilvl w:val="0"/>
          <w:numId w:val="7"/>
        </w:numPr>
        <w:bidi/>
        <w:spacing w:line="360" w:lineRule="auto"/>
        <w:ind w:firstLine="720"/>
        <w:rPr>
          <w:rFonts w:ascii="T" w:hAnsi="T" w:cs="Simplified Arabic"/>
          <w:color w:val="auto"/>
          <w:sz w:val="24"/>
          <w:szCs w:val="24"/>
          <w:rtl/>
        </w:rPr>
      </w:pPr>
      <w:bookmarkStart w:id="51" w:name="_Toc225991363"/>
      <w:r w:rsidRPr="005D59A7">
        <w:rPr>
          <w:rFonts w:ascii="T" w:hAnsi="T" w:cs="Simplified Arabic"/>
          <w:color w:val="auto"/>
          <w:sz w:val="24"/>
          <w:szCs w:val="24"/>
          <w:rtl/>
        </w:rPr>
        <w:t>أهداف التنمية المستدامة</w:t>
      </w:r>
      <w:bookmarkEnd w:id="51"/>
    </w:p>
    <w:p w14:paraId="62ED44D9" w14:textId="189C94CB" w:rsidR="00057791" w:rsidRPr="005D59A7" w:rsidRDefault="00057791"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تُقدّم خطة التنمية المستدامة لعام 2030، التي اعتمدتها جميع الدول الأعضاء في الأمم المتحدة عام 2015، خارطة طريق مشتركة لتحقيق السلام والازدهار للبشرية وكوكب الأرض، حاضراً ومستقبلاً. وتتمحور هذه الخطة حول 17 هدفاً للتنمية المستدامة، تُشكّل دعوة ملحة للعمل من قِبل جميع الدول، المتقدمة والنامية، في إطار شراكة عالمية. وتُقرّ هذه الأهداف بأنّ القضاء على الفقر والحرمان يتطلب استراتيجيات تُحسّن الصحة والتعليم، وتُقلّل من عدم المساواة، وتُحفّز النمو الاقتصادي، مع العمل في الوقت نفسه على معالجة تغيّر المناخ والحفاظ على محيطاتنا وغاباتنا (</w:t>
      </w:r>
      <w:r w:rsidRPr="005D59A7">
        <w:rPr>
          <w:rFonts w:ascii="T" w:hAnsi="T" w:cs="Simplified Arabic"/>
          <w:sz w:val="24"/>
          <w:szCs w:val="24"/>
        </w:rPr>
        <w:t>UN-DESA, 2026</w:t>
      </w:r>
      <w:r w:rsidRPr="005D59A7">
        <w:rPr>
          <w:rFonts w:ascii="T" w:hAnsi="T" w:cs="Simplified Arabic"/>
          <w:sz w:val="24"/>
          <w:szCs w:val="24"/>
          <w:rtl/>
        </w:rPr>
        <w:t>). وتستند أهداف التنمية المستدامة إلى عقود من العمل الذي قامت به الدول والأمم المتحدة، بما في ذلك إدارة الشؤون الاقتصادية والاجتماعية التابعة للأمم المتحدة.</w:t>
      </w:r>
      <w:r w:rsidR="0072501F" w:rsidRPr="005D59A7">
        <w:rPr>
          <w:rFonts w:ascii="T" w:hAnsi="T" w:cs="Simplified Arabic"/>
          <w:sz w:val="24"/>
          <w:szCs w:val="24"/>
          <w:rtl/>
        </w:rPr>
        <w:t>(النعمى ,2022)</w:t>
      </w:r>
    </w:p>
    <w:p w14:paraId="437731FE" w14:textId="77777777" w:rsidR="00057791" w:rsidRPr="005D59A7" w:rsidRDefault="00057791"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في يونيو/حزيران 1992، وخلال قمة الأرض في ريو دي جانيرو، البرازيل، تبنت أكثر من 178 دولة جدول أعمال القرن الحادي والعشرين، وهو خطة عمل شاملة لبناء شراكة عالمية من أجل التنمية المستدامة لتحسين حياة الإنسان وحماية البيئة. وتبنت الدول الأعضاء بالإجماع إعلان الألفية في قمة الألفية التي عُقدت في سبتمبر/أيلول 2000 في مقر الأمم المتحدة بنيويورك. وأسفرت القمة عن وضع ثمانية أهداف إنمائية للألفية للحد من الفقر المدقع بحلول عام 2015 (</w:t>
      </w:r>
      <w:r w:rsidRPr="005D59A7">
        <w:rPr>
          <w:rFonts w:ascii="T" w:hAnsi="T" w:cs="Simplified Arabic"/>
          <w:sz w:val="24"/>
          <w:szCs w:val="24"/>
        </w:rPr>
        <w:t>UN-DESA, 2026</w:t>
      </w:r>
      <w:r w:rsidRPr="005D59A7">
        <w:rPr>
          <w:rFonts w:ascii="T" w:hAnsi="T" w:cs="Simplified Arabic"/>
          <w:sz w:val="24"/>
          <w:szCs w:val="24"/>
          <w:rtl/>
        </w:rPr>
        <w:t>).</w:t>
      </w:r>
    </w:p>
    <w:p w14:paraId="56F8C4AB"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شهدت الجهود الدولية لتحقيق التنمية المستدامة تطوراً كبيراً على مدار العقود الماضية. ففي عام 1992، تبنت أكثر من 178 دولة جدول أعمال القرن الحادي والعشرين في قمة الأرض بريو دي جانيرو، كخطة عمل شاملة لبناء شراكة عالمية من أجل التنمية المستدامة</w:t>
      </w:r>
      <w:r w:rsidRPr="005D59A7">
        <w:rPr>
          <w:rFonts w:ascii="T" w:hAnsi="T" w:cs="Simplified Arabic"/>
          <w:sz w:val="24"/>
          <w:szCs w:val="24"/>
        </w:rPr>
        <w:t xml:space="preserve"> (UN-DESA, 2026). </w:t>
      </w:r>
      <w:r w:rsidRPr="005D59A7">
        <w:rPr>
          <w:rFonts w:ascii="T" w:hAnsi="T" w:cs="Simplified Arabic"/>
          <w:sz w:val="24"/>
          <w:szCs w:val="24"/>
          <w:rtl/>
        </w:rPr>
        <w:t>وفي عام 2000، تبنت الدول الأعضاء إعلان الألفية، الذي أسفر عن وضع ثمانية أهداف إنمائية للألفية للحد من الفقر المدقع بحلول عام 2015</w:t>
      </w:r>
      <w:r w:rsidRPr="005D59A7">
        <w:rPr>
          <w:rFonts w:ascii="T" w:hAnsi="T" w:cs="Simplified Arabic"/>
          <w:sz w:val="24"/>
          <w:szCs w:val="24"/>
        </w:rPr>
        <w:t>.</w:t>
      </w:r>
    </w:p>
    <w:p w14:paraId="5FC23E86"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أعاد إعلان جوهانسبرج بشأن التنمية المستدامة وخطة تنفيذه (2002) تأكيد التزامات المجتمع الدولي بالقضاء على الفقر وحماية البيئة، مع التركيز بشكل أكبر على الشراكات متعددة الأطراف</w:t>
      </w:r>
      <w:r w:rsidRPr="005D59A7">
        <w:rPr>
          <w:rFonts w:ascii="T" w:hAnsi="T" w:cs="Simplified Arabic"/>
          <w:sz w:val="24"/>
          <w:szCs w:val="24"/>
        </w:rPr>
        <w:t xml:space="preserve"> (UN-DESA, 2026). </w:t>
      </w:r>
      <w:r w:rsidRPr="005D59A7">
        <w:rPr>
          <w:rFonts w:ascii="T" w:hAnsi="T" w:cs="Simplified Arabic"/>
          <w:sz w:val="24"/>
          <w:szCs w:val="24"/>
          <w:rtl/>
        </w:rPr>
        <w:t>وفي مؤتمر الأمم المتحدة للتنمية المستدامة (ريو+20) عام 2012، اعتمدت الدول الأعضاء الوثيقة الختامية "المستقبل الذي نريده"، والتي قررت إطلاق عملية لوضع مجموعة من أهداف التنمية المستدامة للبناء على الأهداف الإنمائية للألفية، وإنشاء المنتدى السياسي رفيع المستوى المعني بالتنمية المستدامة</w:t>
      </w:r>
      <w:r w:rsidRPr="005D59A7">
        <w:rPr>
          <w:rFonts w:ascii="T" w:hAnsi="T" w:cs="Simplified Arabic"/>
          <w:sz w:val="24"/>
          <w:szCs w:val="24"/>
        </w:rPr>
        <w:t>.</w:t>
      </w:r>
    </w:p>
    <w:p w14:paraId="359C627E" w14:textId="77777777" w:rsidR="0072501F" w:rsidRPr="005D59A7" w:rsidRDefault="0072501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في عام 2013، شكلت الجمعية العامة فريق عمل مفتوحًا لوضع مقترح بشأن أهداف التنمية المستدامة، وفي عام 2015 بدأت عملية التفاوض بشأن خطة التنمية لما بعد عام 2015. تُوِّجت هذه العملية باعتماد خطة التنمية المستدامة لعام 2030، التي تتضمن 17 هدفًا، في قمة الأمم المتحدة للتنمية المستدامة في سبتمبر 2015. وكان عام 2015 عامًا مفصليًا، حيث تم اعتماد إطار سنداي للحد من مخاطر الكوارث (مارس 2015)، وخطة عمل أديس أبابا بشأن تمويل التنمية (يوليو 2015)، واتفاقية باريس بشأن تغير المناخ (ديسمبر 2015)</w:t>
      </w:r>
      <w:r w:rsidRPr="005D59A7">
        <w:rPr>
          <w:rFonts w:ascii="T" w:hAnsi="T" w:cs="Simplified Arabic"/>
          <w:sz w:val="24"/>
          <w:szCs w:val="24"/>
        </w:rPr>
        <w:t xml:space="preserve"> (UN-DESA, 2026).</w:t>
      </w:r>
    </w:p>
    <w:p w14:paraId="0F380150" w14:textId="77777777" w:rsidR="00FC55F4" w:rsidRPr="005D59A7" w:rsidRDefault="00FC55F4" w:rsidP="00335E83">
      <w:pPr>
        <w:bidi/>
        <w:spacing w:line="360" w:lineRule="auto"/>
        <w:ind w:hanging="58"/>
        <w:jc w:val="center"/>
        <w:rPr>
          <w:rFonts w:ascii="T" w:hAnsi="T" w:cs="Simplified Arabic"/>
          <w:sz w:val="24"/>
          <w:szCs w:val="24"/>
          <w:rtl/>
        </w:rPr>
      </w:pPr>
      <w:r w:rsidRPr="005D59A7">
        <w:rPr>
          <w:rFonts w:ascii="T" w:hAnsi="T" w:cs="Simplified Arabic"/>
          <w:noProof/>
          <w:sz w:val="24"/>
          <w:szCs w:val="24"/>
          <w:rtl/>
        </w:rPr>
        <w:lastRenderedPageBreak/>
        <w:drawing>
          <wp:inline distT="0" distB="0" distL="0" distR="0" wp14:anchorId="2CE5CA3E" wp14:editId="746D1067">
            <wp:extent cx="5274086" cy="3534508"/>
            <wp:effectExtent l="0" t="0" r="0" b="0"/>
            <wp:docPr id="1" name="صورة 3" descr="C:\Users\PC\Desktop\Cga1FaAW4AAnq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Cga1FaAW4AAnquc.jpg"/>
                    <pic:cNvPicPr>
                      <a:picLocks noChangeAspect="1" noChangeArrowheads="1"/>
                    </pic:cNvPicPr>
                  </pic:nvPicPr>
                  <pic:blipFill>
                    <a:blip r:embed="rId12"/>
                    <a:srcRect/>
                    <a:stretch>
                      <a:fillRect/>
                    </a:stretch>
                  </pic:blipFill>
                  <pic:spPr bwMode="auto">
                    <a:xfrm>
                      <a:off x="0" y="0"/>
                      <a:ext cx="5280498" cy="3538805"/>
                    </a:xfrm>
                    <a:prstGeom prst="rect">
                      <a:avLst/>
                    </a:prstGeom>
                    <a:noFill/>
                    <a:ln w="9525">
                      <a:noFill/>
                      <a:miter lim="800000"/>
                      <a:headEnd/>
                      <a:tailEnd/>
                    </a:ln>
                  </pic:spPr>
                </pic:pic>
              </a:graphicData>
            </a:graphic>
          </wp:inline>
        </w:drawing>
      </w:r>
    </w:p>
    <w:p w14:paraId="7297207E" w14:textId="0E5DFAB3" w:rsidR="00FC55F4" w:rsidRPr="005D59A7" w:rsidRDefault="00FC55F4" w:rsidP="00861DC2">
      <w:pPr>
        <w:pStyle w:val="Caption"/>
        <w:bidi/>
        <w:spacing w:line="360" w:lineRule="auto"/>
        <w:ind w:firstLine="720"/>
        <w:jc w:val="center"/>
        <w:rPr>
          <w:rFonts w:ascii="T" w:hAnsi="T" w:cs="Simplified Arabic"/>
          <w:color w:val="auto"/>
          <w:sz w:val="24"/>
          <w:szCs w:val="24"/>
          <w:rtl/>
        </w:rPr>
      </w:pPr>
      <w:bookmarkStart w:id="52" w:name="_Toc225991166"/>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2</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xml:space="preserve">: أهداف التنمية المستدامة </w:t>
      </w:r>
      <w:r w:rsidRPr="005D59A7">
        <w:rPr>
          <w:rFonts w:ascii="T" w:hAnsi="T" w:cs="Simplified Arabic"/>
          <w:color w:val="auto"/>
          <w:sz w:val="24"/>
          <w:szCs w:val="24"/>
        </w:rPr>
        <w:t>UNDP Egypt</w:t>
      </w:r>
      <w:bookmarkEnd w:id="52"/>
    </w:p>
    <w:p w14:paraId="1AF9B6A4" w14:textId="77777777" w:rsidR="00FC55F4" w:rsidRPr="005D59A7" w:rsidRDefault="00C11E95" w:rsidP="0045581D">
      <w:pPr>
        <w:pStyle w:val="Heading3"/>
        <w:numPr>
          <w:ilvl w:val="0"/>
          <w:numId w:val="7"/>
        </w:numPr>
        <w:bidi/>
        <w:spacing w:line="360" w:lineRule="auto"/>
        <w:ind w:firstLine="720"/>
        <w:rPr>
          <w:rFonts w:ascii="T" w:hAnsi="T" w:cs="Simplified Arabic"/>
          <w:color w:val="auto"/>
          <w:sz w:val="24"/>
          <w:szCs w:val="24"/>
        </w:rPr>
      </w:pPr>
      <w:bookmarkStart w:id="53" w:name="_Toc225991364"/>
      <w:r w:rsidRPr="005D59A7">
        <w:rPr>
          <w:rFonts w:ascii="T" w:hAnsi="T" w:cs="Simplified Arabic"/>
          <w:color w:val="auto"/>
          <w:sz w:val="24"/>
          <w:szCs w:val="24"/>
          <w:rtl/>
        </w:rPr>
        <w:t xml:space="preserve">انطلاق </w:t>
      </w:r>
      <w:r w:rsidR="00FC55F4" w:rsidRPr="005D59A7">
        <w:rPr>
          <w:rFonts w:ascii="T" w:hAnsi="T" w:cs="Simplified Arabic"/>
          <w:color w:val="auto"/>
          <w:sz w:val="24"/>
          <w:szCs w:val="24"/>
          <w:rtl/>
        </w:rPr>
        <w:t>رؤية المملكة 2030</w:t>
      </w:r>
      <w:bookmarkEnd w:id="53"/>
    </w:p>
    <w:p w14:paraId="78E07276" w14:textId="77777777" w:rsidR="00FC55F4" w:rsidRPr="005D59A7" w:rsidRDefault="007A0C68" w:rsidP="00453B38">
      <w:pPr>
        <w:bidi/>
        <w:spacing w:line="360" w:lineRule="auto"/>
        <w:ind w:left="84" w:firstLine="720"/>
        <w:rPr>
          <w:rFonts w:ascii="T" w:hAnsi="T" w:cs="Simplified Arabic"/>
          <w:sz w:val="24"/>
          <w:szCs w:val="24"/>
          <w:rtl/>
        </w:rPr>
      </w:pPr>
      <w:r w:rsidRPr="005D59A7">
        <w:rPr>
          <w:rFonts w:ascii="T" w:hAnsi="T" w:cs="Simplified Arabic"/>
          <w:sz w:val="24"/>
          <w:szCs w:val="24"/>
          <w:rtl/>
        </w:rPr>
        <w:t>ب</w:t>
      </w:r>
      <w:r w:rsidR="00875D32" w:rsidRPr="005D59A7">
        <w:rPr>
          <w:rFonts w:ascii="T" w:hAnsi="T" w:cs="Simplified Arabic"/>
          <w:sz w:val="24"/>
          <w:szCs w:val="24"/>
          <w:rtl/>
        </w:rPr>
        <w:t>توجيه من خادم الحرمين الشريفين الملك سلمان بن عبدالعزيز آل سعود، انطلقت المملكة العربية السعودية في رحلة تحوّل نحو مستقبل واعد ومشرق، مع رؤية السعودية 2030 التي وضعها ولي العهد صاحب السمو الملكي الأمير محمد بن سلمان، رئيس مجلس الوزراء، في عام 2016 ميلاديًا</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تمثل رؤية السعودية 2030 خارطة طريق طموحة ترتكّز على مكامن القوة التي وهبها الله لهذه الأرض، وهي: العمق العربي والإسلامي، والقوة الاستثمارية، والموقع الاستراتيجي بين ثلاث قارات</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وإذ وضعت الرؤية في صميم أولوياتها تمكين المواطنين، وتنويع الاقتصاد، وتعزيز ريادة المملكة العالمية، كانت محاورها الثلاث هي بناء مجتمع حيوي، واقتصاد مزدهر ووطن طموح</w:t>
      </w:r>
      <w:r w:rsidR="00875D32" w:rsidRPr="005D59A7">
        <w:rPr>
          <w:rFonts w:ascii="T" w:hAnsi="T" w:cs="Simplified Arabic"/>
          <w:sz w:val="24"/>
          <w:szCs w:val="24"/>
        </w:rPr>
        <w:t>.</w:t>
      </w:r>
      <w:r w:rsidR="00875D32" w:rsidRPr="005D59A7">
        <w:rPr>
          <w:rFonts w:ascii="T" w:hAnsi="T" w:cs="Simplified Arabic"/>
          <w:sz w:val="24"/>
          <w:szCs w:val="24"/>
        </w:rPr>
        <w:br/>
      </w:r>
      <w:r w:rsidR="00875D32" w:rsidRPr="005D59A7">
        <w:rPr>
          <w:rFonts w:ascii="T" w:hAnsi="T" w:cs="Simplified Arabic"/>
          <w:sz w:val="24"/>
          <w:szCs w:val="24"/>
          <w:rtl/>
        </w:rPr>
        <w:t xml:space="preserve">صُمّمت الرؤية ليتم تنفيذها وفق ثلاثة مراحل رئيسية، تمتد كل مرحلة منها لخمسة سنوات، وتبنى على نجاحات المرحلة التي تسبقها؛ بدأت بإرساء أسس التحول عبر إصلاحات هيكلية واقتصادية ومالية واجتماعية واسعة النطاق، واستمرت في مرحلتها الثانية بدفع عجلة الإنجاز، والتركيز على تعظيم الفائدة من القطاعات ذات الأولوية، عبر استراتيجيات تنموية، فيما ستعزز المرحلة الثالثة من استدامة أثر التحول والاستفادة من فرص </w:t>
      </w:r>
      <w:r w:rsidR="00875D32" w:rsidRPr="005D59A7">
        <w:rPr>
          <w:rFonts w:ascii="T" w:hAnsi="T" w:cs="Simplified Arabic"/>
          <w:sz w:val="24"/>
          <w:szCs w:val="24"/>
          <w:rtl/>
        </w:rPr>
        <w:lastRenderedPageBreak/>
        <w:t>النمو الجديدة. بفضل ما حققته الرؤية حتى اليوم، تشهد المملكة أثر التحول على كافة الأصعدة، وتتولد فيها فرص النمو والفرص الاقتصادية بتسارع لا مثيل له، ويستمر التقدم في تحقيق أهداف رؤية السعودية 2030، من خلال برامج تحقيق الرؤية والاستراتيجيات الوطنية المتكاملة، والمشاريع الطموحة، لترسيخ أثرٍ دائمٍ يستمر إلى ما بعدها، ويدفع بالمزيد من التطورات والمنافع للمملكة العربية السعودية وشعبها. تشكل رؤية السعودية 2030 مستقبلًا تسير فيه الثقافة والابتكار جنبًا إلى جنب، يواكب التغيرات العالمية السريعة، ويستفيد منها، لتفتح المملكة آفاقًا أرحب لمواطنيها، والمقيمين على أراضيها، وزائريها من العالم أجمع</w:t>
      </w:r>
      <w:r w:rsidRPr="005D59A7">
        <w:rPr>
          <w:rFonts w:ascii="T" w:hAnsi="T" w:cs="Simplified Arabic"/>
          <w:sz w:val="24"/>
          <w:szCs w:val="24"/>
          <w:rtl/>
        </w:rPr>
        <w:t xml:space="preserve"> (</w:t>
      </w:r>
      <w:r w:rsidRPr="005D59A7">
        <w:rPr>
          <w:rFonts w:ascii="T" w:hAnsi="T" w:cs="Simplified Arabic"/>
          <w:sz w:val="24"/>
          <w:szCs w:val="24"/>
        </w:rPr>
        <w:t>Vision 2030, 2025</w:t>
      </w:r>
      <w:r w:rsidRPr="005D59A7">
        <w:rPr>
          <w:rFonts w:ascii="T" w:hAnsi="T" w:cs="Simplified Arabic"/>
          <w:sz w:val="24"/>
          <w:szCs w:val="24"/>
          <w:rtl/>
        </w:rPr>
        <w:t>).</w:t>
      </w:r>
    </w:p>
    <w:p w14:paraId="5594249C" w14:textId="77777777" w:rsidR="009E0C57" w:rsidRPr="005D59A7" w:rsidRDefault="008D7382"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المحور الأول, مجتمع حيوي</w:t>
      </w:r>
      <w:r w:rsidRPr="005D59A7">
        <w:rPr>
          <w:rFonts w:ascii="T" w:hAnsi="T" w:cs="Simplified Arabic"/>
          <w:sz w:val="24"/>
          <w:szCs w:val="24"/>
          <w:rtl/>
        </w:rPr>
        <w:t xml:space="preserve">: </w:t>
      </w:r>
    </w:p>
    <w:p w14:paraId="2F4D455F" w14:textId="77777777" w:rsidR="007A0C68" w:rsidRPr="005D59A7" w:rsidRDefault="008D7382"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تتحول رؤية السعودية 2030 إلى واقع في مجتمع نابض بالحياة. فالمجتمع المتماسك السعيد هو أهم أسس الازدهار الاقتصادي لمجتمع مواطنه مسؤول، وجذوره راسخة، تستند على قيم الإسلام السمحة والفخر بالوطن، مع الاعتزاز بالتراث والثقافة السعودية. في بيئة توفير خيارات ترفيه على مستوى عالمي، ونمط حياة مستدام، وأنظمة رعاية صحية واجتماعية فعالة، حيث تتميز المملكة بثقافتها الغنية، ووحدتها الوطنية وعقيدتها الإسلامية، كما تفخر المملكة على مدار العصور بضيافة الحجاج وإبراز قيمها للعالم (</w:t>
      </w:r>
      <w:r w:rsidRPr="005D59A7">
        <w:rPr>
          <w:rFonts w:ascii="T" w:hAnsi="T" w:cs="Simplified Arabic"/>
          <w:sz w:val="24"/>
          <w:szCs w:val="24"/>
        </w:rPr>
        <w:t>Vision 2030, 2025</w:t>
      </w:r>
      <w:r w:rsidRPr="005D59A7">
        <w:rPr>
          <w:rFonts w:ascii="T" w:hAnsi="T" w:cs="Simplified Arabic"/>
          <w:sz w:val="24"/>
          <w:szCs w:val="24"/>
          <w:rtl/>
        </w:rPr>
        <w:t xml:space="preserve">). </w:t>
      </w:r>
    </w:p>
    <w:p w14:paraId="0A4179A2" w14:textId="77777777" w:rsidR="009E0C57" w:rsidRPr="005D59A7" w:rsidRDefault="008D7382"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 xml:space="preserve">المحور الثاني، </w:t>
      </w:r>
      <w:r w:rsidR="00D35465" w:rsidRPr="005D59A7">
        <w:rPr>
          <w:rStyle w:val="Heading4Char"/>
          <w:rFonts w:ascii="T" w:hAnsi="T" w:cs="Simplified Arabic"/>
          <w:b w:val="0"/>
          <w:bCs w:val="0"/>
          <w:color w:val="auto"/>
          <w:sz w:val="24"/>
          <w:szCs w:val="24"/>
          <w:rtl/>
        </w:rPr>
        <w:t>اقتصاد مزدهر</w:t>
      </w:r>
      <w:r w:rsidR="00D35465" w:rsidRPr="005D59A7">
        <w:rPr>
          <w:rFonts w:ascii="T" w:hAnsi="T" w:cs="Simplified Arabic"/>
          <w:sz w:val="24"/>
          <w:szCs w:val="24"/>
          <w:rtl/>
        </w:rPr>
        <w:t>:</w:t>
      </w:r>
    </w:p>
    <w:p w14:paraId="0CE3F5C6" w14:textId="77777777" w:rsidR="00D35465" w:rsidRPr="005D59A7" w:rsidRDefault="00D35465"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مكنت الرؤية شباب الوطن من المشاركة الفاعلة في جميع القطاعات، ورسمت مستقبلاً واعداً يصنعونه بأيديهم، بعدما أعطت الأولوية للمبدعين، والموهوبين، ودعمت ثقافة الابتكار والمثابرة، ووفرت فرصأ مميزة للنمو، وعملت على توليد وظائف نوعية، مع استقطاب أفضل الخبرات العالمية. وفرت المملكة بيئة تنافسية جاذبة مفتوحة للأعمال، لبناء اقتصاد عالمي رائد، يعزز ريادة الأعمال، ويعيد هيكلة المدن الاقتصادية، ويسهم في إنشاء مناطق خاصة، ويطلق إمكانات سوق الطاقة، لجعله أكثر تنافسية، كما تستثمر المملكة من أجل مستقبل مشرق، بإطلاق العنان لقطاعات جديدة واعدة، وتخصيص المزيد من الخدمات الحكومية، </w:t>
      </w:r>
      <w:r w:rsidR="00717B72" w:rsidRPr="005D59A7">
        <w:rPr>
          <w:rFonts w:ascii="T" w:hAnsi="T" w:cs="Simplified Arabic"/>
          <w:sz w:val="24"/>
          <w:szCs w:val="24"/>
          <w:rtl/>
        </w:rPr>
        <w:t>لتنويع الاقتصاد وضمان استدامته</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w:t>
      </w:r>
    </w:p>
    <w:p w14:paraId="20587011" w14:textId="77777777" w:rsidR="00D35465" w:rsidRPr="005D59A7" w:rsidRDefault="00D35465"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lastRenderedPageBreak/>
        <w:t xml:space="preserve">تقع المملكة في ملتقى الطرق بين ثلاث قارات، وتسهم الرؤية في أن يكون موقعها فاعلاً لتصبح مركزاُ رئيسياً للتجارة الدولية، وتطلق شراكات جديدة لتنمية الاقتصاد ودعم الشركات المحلية في تنمية الصادرات. </w:t>
      </w:r>
    </w:p>
    <w:p w14:paraId="7BD00C6C" w14:textId="77777777" w:rsidR="00D35465" w:rsidRPr="005D59A7" w:rsidRDefault="00D35465" w:rsidP="0072501F">
      <w:pPr>
        <w:pStyle w:val="ListParagraph"/>
        <w:bidi/>
        <w:spacing w:line="360" w:lineRule="auto"/>
        <w:ind w:left="84"/>
        <w:jc w:val="both"/>
        <w:rPr>
          <w:rFonts w:ascii="T" w:hAnsi="T" w:cs="Simplified Arabic"/>
          <w:sz w:val="24"/>
          <w:szCs w:val="24"/>
          <w:rtl/>
        </w:rPr>
      </w:pPr>
      <w:r w:rsidRPr="005D59A7">
        <w:rPr>
          <w:rFonts w:ascii="T" w:hAnsi="T" w:cs="Simplified Arabic"/>
          <w:sz w:val="24"/>
          <w:szCs w:val="24"/>
          <w:rtl/>
        </w:rPr>
        <w:t xml:space="preserve">تسعى رؤية السعودية 2030 عبر جهود عديدة ومتنوعة، للوصول إلى اقتصاد مزدهر، يقود نحو وطن طموح، ومجتمع حيوي. </w:t>
      </w:r>
    </w:p>
    <w:p w14:paraId="1CB5E863" w14:textId="77777777" w:rsidR="009E0C57" w:rsidRPr="005D59A7" w:rsidRDefault="001846BB" w:rsidP="0045581D">
      <w:pPr>
        <w:pStyle w:val="ListParagraph"/>
        <w:numPr>
          <w:ilvl w:val="0"/>
          <w:numId w:val="8"/>
        </w:numPr>
        <w:bidi/>
        <w:spacing w:line="360" w:lineRule="auto"/>
        <w:ind w:left="84" w:firstLine="0"/>
        <w:jc w:val="both"/>
        <w:rPr>
          <w:rFonts w:ascii="T" w:hAnsi="T" w:cs="Simplified Arabic"/>
          <w:sz w:val="24"/>
          <w:szCs w:val="24"/>
        </w:rPr>
      </w:pPr>
      <w:r w:rsidRPr="005D59A7">
        <w:rPr>
          <w:rStyle w:val="Heading4Char"/>
          <w:rFonts w:ascii="T" w:hAnsi="T" w:cs="Simplified Arabic"/>
          <w:b w:val="0"/>
          <w:bCs w:val="0"/>
          <w:color w:val="auto"/>
          <w:sz w:val="24"/>
          <w:szCs w:val="24"/>
          <w:rtl/>
        </w:rPr>
        <w:t>المحور الثالث، وطن طموح</w:t>
      </w:r>
      <w:r w:rsidRPr="005D59A7">
        <w:rPr>
          <w:rFonts w:ascii="T" w:hAnsi="T" w:cs="Simplified Arabic"/>
          <w:sz w:val="24"/>
          <w:szCs w:val="24"/>
          <w:rtl/>
        </w:rPr>
        <w:t xml:space="preserve">: </w:t>
      </w:r>
    </w:p>
    <w:p w14:paraId="09A0DCFC" w14:textId="77777777" w:rsidR="001846BB" w:rsidRPr="005D59A7" w:rsidRDefault="001846BB"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تعزز رؤية السعودية 2030 الطموحة من وجود حكومة فاعلة، تعمل بشفافية ومسؤولية، وتحفز على المواطنة، وتشجع المجتمع بجميع فئاته، من مواطنين وقطاع خاص وقطاع غير ربحي على القيام بدورهم، وأخذ زمام المبادرة لاستكشاف الفرص واستثمارها للنهوض بالوط</w:t>
      </w:r>
      <w:r w:rsidR="00717B72" w:rsidRPr="005D59A7">
        <w:rPr>
          <w:rFonts w:ascii="T" w:hAnsi="T" w:cs="Simplified Arabic"/>
          <w:sz w:val="24"/>
          <w:szCs w:val="24"/>
          <w:rtl/>
        </w:rPr>
        <w:t>ن، والمساهمة في تشكيل المستقبل</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w:t>
      </w:r>
    </w:p>
    <w:p w14:paraId="7B4A654E" w14:textId="258BC4F3" w:rsidR="001846BB" w:rsidRPr="005D59A7" w:rsidRDefault="001846BB"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تتولى الحكومة مسؤوليات كبيرة تحتم المرونة في التعامل مع المتغيرات الحديثة والتحديات الجديدة، وتلتزم بالشفافية والخضوع </w:t>
      </w:r>
      <w:r w:rsidR="00E54263" w:rsidRPr="005D59A7">
        <w:rPr>
          <w:rFonts w:ascii="T" w:hAnsi="T" w:cs="Simplified Arabic"/>
          <w:sz w:val="24"/>
          <w:szCs w:val="24"/>
          <w:rtl/>
        </w:rPr>
        <w:t>للمسألة</w:t>
      </w:r>
      <w:r w:rsidRPr="005D59A7">
        <w:rPr>
          <w:rFonts w:ascii="T" w:hAnsi="T" w:cs="Simplified Arabic"/>
          <w:sz w:val="24"/>
          <w:szCs w:val="24"/>
          <w:rtl/>
        </w:rPr>
        <w:t>، وتعمل على إدارة مواردها المالية بكفاءة وفعالية، مع سرعة في الإنجاز ومراقبة للأداء. مهما كان القطاع الذي تعمل به، سيكون لديك دور مهم تؤديه للمساهمة في بناء وطنك، إذا كنت صاحب عمل أو تعمل في مؤسسة غير ربحية، أو في أي قطاع آخر، فأنت مدعو للمساهمة في تنمية هذا الوطن، وسيبقى القطاع غير الربحي جزءاً مهماً من مجتمعنا، يؤدي دوراً حاسماً في تلبية الاحت</w:t>
      </w:r>
      <w:r w:rsidR="00717B72" w:rsidRPr="005D59A7">
        <w:rPr>
          <w:rFonts w:ascii="T" w:hAnsi="T" w:cs="Simplified Arabic"/>
          <w:sz w:val="24"/>
          <w:szCs w:val="24"/>
          <w:rtl/>
        </w:rPr>
        <w:t>ياجات المجتمعية والرقي بالمجتمع</w:t>
      </w:r>
      <w:r w:rsidR="00717B72" w:rsidRPr="005D59A7">
        <w:rPr>
          <w:rFonts w:ascii="T" w:hAnsi="T" w:cs="Simplified Arabic"/>
          <w:sz w:val="24"/>
          <w:szCs w:val="24"/>
        </w:rPr>
        <w:t xml:space="preserve"> </w:t>
      </w:r>
      <w:r w:rsidR="00717B72" w:rsidRPr="005D59A7">
        <w:rPr>
          <w:rFonts w:ascii="T" w:hAnsi="T" w:cs="Simplified Arabic"/>
          <w:sz w:val="24"/>
          <w:szCs w:val="24"/>
          <w:rtl/>
        </w:rPr>
        <w:t>(</w:t>
      </w:r>
      <w:r w:rsidR="00717B72" w:rsidRPr="005D59A7">
        <w:rPr>
          <w:rFonts w:ascii="T" w:hAnsi="T" w:cs="Simplified Arabic"/>
          <w:sz w:val="24"/>
          <w:szCs w:val="24"/>
        </w:rPr>
        <w:t>Vision 2030, 2025</w:t>
      </w:r>
      <w:r w:rsidR="00717B72" w:rsidRPr="005D59A7">
        <w:rPr>
          <w:rFonts w:ascii="T" w:hAnsi="T" w:cs="Simplified Arabic"/>
          <w:sz w:val="24"/>
          <w:szCs w:val="24"/>
          <w:rtl/>
        </w:rPr>
        <w:t xml:space="preserve">). </w:t>
      </w:r>
      <w:r w:rsidRPr="005D59A7">
        <w:rPr>
          <w:rFonts w:ascii="T" w:hAnsi="T" w:cs="Simplified Arabic"/>
          <w:sz w:val="24"/>
          <w:szCs w:val="24"/>
          <w:rtl/>
        </w:rPr>
        <w:t xml:space="preserve"> </w:t>
      </w:r>
    </w:p>
    <w:p w14:paraId="668BB8C8" w14:textId="77777777" w:rsidR="00863EE1" w:rsidRPr="005D59A7" w:rsidRDefault="00717B72"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وقد انبثقت من هذه الرؤية ومحاورها الثلاث أحد عشر برنامجاً تكاملية من شأنها تحقيق الرؤية ومستهدفاتها. حيث تعد برامج تحقيق الرؤية القوة الدافعة لتحقيق رؤية السعودية 2030، وتعمل على ترجمتها </w:t>
      </w:r>
      <w:r w:rsidR="00863EE1" w:rsidRPr="005D59A7">
        <w:rPr>
          <w:rFonts w:ascii="T" w:hAnsi="T" w:cs="Simplified Arabic"/>
          <w:sz w:val="24"/>
          <w:szCs w:val="24"/>
          <w:rtl/>
        </w:rPr>
        <w:t>وتحويلها إلى واقع ملموس، يمثل كل برنامج خارطة طريق محددة، تتم موائمتها من خلال خطط التنفيذ المعتمدة، التي تسترشد بالأهداف المحددة مسبقاً ومؤشرات الأداء الرئيسية في غضون خمس سنوات. ومع تطور رؤية السعودية 2030، أعيدت هيكلة بعض برامج تحقيق الرؤية لتلبية الاحتياجات المتغيرة وعكس طموحات وقدرات المملكة وضمان تحقيق رؤية 2030 على أكمل وجه (</w:t>
      </w:r>
      <w:r w:rsidR="00863EE1" w:rsidRPr="005D59A7">
        <w:rPr>
          <w:rFonts w:ascii="T" w:hAnsi="T" w:cs="Simplified Arabic"/>
          <w:sz w:val="24"/>
          <w:szCs w:val="24"/>
        </w:rPr>
        <w:t>Vision 2030, 2025</w:t>
      </w:r>
      <w:r w:rsidR="00863EE1" w:rsidRPr="005D59A7">
        <w:rPr>
          <w:rFonts w:ascii="T" w:hAnsi="T" w:cs="Simplified Arabic"/>
          <w:sz w:val="24"/>
          <w:szCs w:val="24"/>
          <w:rtl/>
        </w:rPr>
        <w:t>).</w:t>
      </w:r>
    </w:p>
    <w:p w14:paraId="0B38766A" w14:textId="77777777" w:rsidR="00F87DA7" w:rsidRPr="005D59A7" w:rsidRDefault="00F87DA7" w:rsidP="0045581D">
      <w:pPr>
        <w:pStyle w:val="Heading2"/>
        <w:numPr>
          <w:ilvl w:val="2"/>
          <w:numId w:val="3"/>
        </w:numPr>
        <w:bidi/>
        <w:spacing w:line="360" w:lineRule="auto"/>
        <w:ind w:left="84" w:firstLine="0"/>
        <w:rPr>
          <w:rFonts w:ascii="T" w:hAnsi="T" w:cs="Simplified Arabic"/>
          <w:color w:val="auto"/>
          <w:sz w:val="24"/>
          <w:szCs w:val="24"/>
          <w:rtl/>
        </w:rPr>
      </w:pPr>
      <w:bookmarkStart w:id="54" w:name="_Toc225991365"/>
      <w:r w:rsidRPr="005D59A7">
        <w:rPr>
          <w:rFonts w:ascii="T" w:hAnsi="T" w:cs="Simplified Arabic"/>
          <w:color w:val="auto"/>
          <w:sz w:val="24"/>
          <w:szCs w:val="24"/>
          <w:rtl/>
        </w:rPr>
        <w:lastRenderedPageBreak/>
        <w:t>قطاع البيئة</w:t>
      </w:r>
      <w:r w:rsidR="0083758C" w:rsidRPr="005D59A7">
        <w:rPr>
          <w:rFonts w:ascii="T" w:hAnsi="T" w:cs="Simplified Arabic"/>
          <w:color w:val="auto"/>
          <w:sz w:val="24"/>
          <w:szCs w:val="24"/>
          <w:rtl/>
        </w:rPr>
        <w:t xml:space="preserve"> في المملكة العربية السعودية</w:t>
      </w:r>
      <w:bookmarkEnd w:id="54"/>
    </w:p>
    <w:p w14:paraId="10238669" w14:textId="77777777" w:rsidR="00F87DA7" w:rsidRPr="005D59A7" w:rsidRDefault="00F87DA7" w:rsidP="0045581D">
      <w:pPr>
        <w:pStyle w:val="Heading3"/>
        <w:numPr>
          <w:ilvl w:val="0"/>
          <w:numId w:val="9"/>
        </w:numPr>
        <w:bidi/>
        <w:spacing w:line="360" w:lineRule="auto"/>
        <w:ind w:left="84" w:firstLine="0"/>
        <w:rPr>
          <w:rFonts w:ascii="T" w:hAnsi="T" w:cs="Simplified Arabic"/>
          <w:color w:val="auto"/>
          <w:sz w:val="24"/>
          <w:szCs w:val="24"/>
          <w:rtl/>
        </w:rPr>
      </w:pPr>
      <w:bookmarkStart w:id="55" w:name="_Toc225991366"/>
      <w:r w:rsidRPr="005D59A7">
        <w:rPr>
          <w:rFonts w:ascii="T" w:hAnsi="T" w:cs="Simplified Arabic"/>
          <w:color w:val="auto"/>
          <w:sz w:val="24"/>
          <w:szCs w:val="24"/>
          <w:rtl/>
        </w:rPr>
        <w:t>علاقة الرؤية بالتحول بالقطاع في البيئي</w:t>
      </w:r>
      <w:bookmarkEnd w:id="55"/>
    </w:p>
    <w:p w14:paraId="63DB90A0"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البرامج المرتبطة بالتحول في القطاع البيئي</w:t>
      </w:r>
    </w:p>
    <w:p w14:paraId="79482BC1"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تعد البرامج التي لها ارتباط مباشر أو غير مباشر بالتحول في القطاع البيئي هي: برنامج التحول الوطني، وبرنامج التخصيص، وبرنامج صندوق الاستثمارات العامة.</w:t>
      </w:r>
    </w:p>
    <w:p w14:paraId="46EA2996"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أولاً: برنامج التحول الوطني</w:t>
      </w:r>
    </w:p>
    <w:p w14:paraId="5AF65E81"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برنامج التحول الوطني البرنامج الرئيسي لإحداث تحول في القطاعات الحكومية بالمملكة من حيث الهيكلة المؤسسية والارتقاء بجودة الخدمات وتفعيل الحكومة الرقمية وغيرها. تشمل أهداف البرنامج ذات العلاقة بالقطاع البيئي: الحد من التلوث بمختلف أنواعه، وحماية البيئة من الأخطار الطبيعية، وحماية وتهيئة المناطق الطبيعية، وضمان استفادة مستدامة من الموارد المائية. كما يرتبط هدف جذب الاستثمارات الأجنبية والمحلية بشكل غير مباشر بتحسين القطاع ومشاركة القطاع الخاص (</w:t>
      </w:r>
      <w:r w:rsidRPr="005D59A7">
        <w:rPr>
          <w:rFonts w:ascii="T" w:hAnsi="T" w:cs="Simplified Arabic"/>
          <w:sz w:val="24"/>
          <w:szCs w:val="24"/>
        </w:rPr>
        <w:t>Vision 2030, 2025</w:t>
      </w:r>
      <w:r w:rsidRPr="005D59A7">
        <w:rPr>
          <w:rFonts w:ascii="T" w:hAnsi="T" w:cs="Simplified Arabic"/>
          <w:sz w:val="24"/>
          <w:szCs w:val="24"/>
          <w:rtl/>
        </w:rPr>
        <w:t>).</w:t>
      </w:r>
    </w:p>
    <w:p w14:paraId="3219FA2B"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ثانياً: برنامج التخصيص</w:t>
      </w:r>
    </w:p>
    <w:p w14:paraId="5887A60C"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برنامج التخصيص ركيزة أساسية في تطوير القطاعات الحكومية وجذب الاستثمارات لتعزيز مشاركة القطاع الخاص ورفع كفاءة الخدمات الحكومية المقدمة وتقليل التكاليف التشغيلية لها، وهو عامل مساند رئيسي لبرنامج التحول الوطني في تحقيق أهدافه.</w:t>
      </w:r>
    </w:p>
    <w:p w14:paraId="1E9B7462"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تشمل أبرز إنجازات البرنامج تأسيس المركز الوطني للتخصيص (</w:t>
      </w:r>
      <w:r w:rsidRPr="005D59A7">
        <w:rPr>
          <w:rFonts w:ascii="T" w:hAnsi="T" w:cs="Simplified Arabic"/>
          <w:sz w:val="24"/>
          <w:szCs w:val="24"/>
        </w:rPr>
        <w:t>NCP</w:t>
      </w:r>
      <w:r w:rsidRPr="005D59A7">
        <w:rPr>
          <w:rFonts w:ascii="T" w:hAnsi="T" w:cs="Simplified Arabic"/>
          <w:sz w:val="24"/>
          <w:szCs w:val="24"/>
          <w:rtl/>
        </w:rPr>
        <w:t xml:space="preserve">)، وهو الجهة المسؤولة عن وضع الأطر والتشريعات لكافة الجهات الحكومية في مشاركة القطاع الخاص. وقد قام المركز بإنشاء دليل مشاريع التخصيص الذي يشمل كافة الإجراءات التنظيمية والخطوات التنفيذية للجهات في طرح خدماتها للشراكة مع القطاع الخاص. ومن إنجازات البرنامج أيضاً تهيئة وفتح قطاعات حيوية أمام التخصيص، واعتماد نظام التخصيص، وإعداد الأطر والأدوات النظامية له. أما أبرز مبادراته فتتمثل في تطوير الأطر التشريعية العامة </w:t>
      </w:r>
      <w:r w:rsidRPr="005D59A7">
        <w:rPr>
          <w:rFonts w:ascii="T" w:hAnsi="T" w:cs="Simplified Arabic"/>
          <w:sz w:val="24"/>
          <w:szCs w:val="24"/>
          <w:rtl/>
        </w:rPr>
        <w:lastRenderedPageBreak/>
        <w:t>للتخصيص، وتمكين المركز الوطني للتخصيص، ومبادرات استراتيجيات القطاعات المستهدفة بالتخصيص وتهيئة المشاريع (</w:t>
      </w:r>
      <w:r w:rsidRPr="005D59A7">
        <w:rPr>
          <w:rFonts w:ascii="T" w:hAnsi="T" w:cs="Simplified Arabic"/>
          <w:sz w:val="24"/>
          <w:szCs w:val="24"/>
        </w:rPr>
        <w:t>Vision 2030, 2025</w:t>
      </w:r>
      <w:r w:rsidRPr="005D59A7">
        <w:rPr>
          <w:rFonts w:ascii="T" w:hAnsi="T" w:cs="Simplified Arabic"/>
          <w:sz w:val="24"/>
          <w:szCs w:val="24"/>
          <w:rtl/>
        </w:rPr>
        <w:t>).</w:t>
      </w:r>
    </w:p>
    <w:p w14:paraId="5E49F1B8"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ثالثاً: برنامج صندوق الاستثمارات العامة</w:t>
      </w:r>
    </w:p>
    <w:p w14:paraId="69BC3F02" w14:textId="77777777" w:rsidR="00453B38" w:rsidRPr="005D59A7" w:rsidRDefault="00453B3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يعد صندوق الاستثمارات العامة ركيزة أساسية لاقتصاد المملكة، حيث يعنى بجذب وخلق وتمكين الاستثمارات المتنوعة لتحقيق عوائد مالية تدعم اقتصاد الدولة. تشمل أهدافه الاستراتيجية: تعظيم أصول الصندوق، وإطلاق قطاعات جديدة من خلاله، وتوطين التقنيات والمعرفة، وبناء شراكات اقتصادية استراتيجية (</w:t>
      </w:r>
      <w:r w:rsidRPr="005D59A7">
        <w:rPr>
          <w:rFonts w:ascii="T" w:hAnsi="T" w:cs="Simplified Arabic"/>
          <w:sz w:val="24"/>
          <w:szCs w:val="24"/>
        </w:rPr>
        <w:t>Vision 2030, 2025</w:t>
      </w:r>
      <w:r w:rsidRPr="005D59A7">
        <w:rPr>
          <w:rFonts w:ascii="T" w:hAnsi="T" w:cs="Simplified Arabic"/>
          <w:sz w:val="24"/>
          <w:szCs w:val="24"/>
          <w:rtl/>
        </w:rPr>
        <w:t>). وقد استثمر الصندوق في القطاع البيئي من خلال إنشاء والاستحواذ على شركات بيئية مثل الشركة السعودية لإعادة التدوير (</w:t>
      </w:r>
      <w:r w:rsidRPr="005D59A7">
        <w:rPr>
          <w:rFonts w:ascii="T" w:hAnsi="T" w:cs="Simplified Arabic"/>
          <w:sz w:val="24"/>
          <w:szCs w:val="24"/>
        </w:rPr>
        <w:t>SIRC</w:t>
      </w:r>
      <w:r w:rsidRPr="005D59A7">
        <w:rPr>
          <w:rFonts w:ascii="T" w:hAnsi="T" w:cs="Simplified Arabic"/>
          <w:sz w:val="24"/>
          <w:szCs w:val="24"/>
          <w:rtl/>
        </w:rPr>
        <w:t>)، مما يعكس التوجه نحو دعم الاستدامة البيئية عبر آليات الاستثمار والشراكة مع القطاع الخاص.</w:t>
      </w:r>
    </w:p>
    <w:p w14:paraId="5A592309" w14:textId="77777777" w:rsidR="00C31B82" w:rsidRPr="005D59A7" w:rsidRDefault="00917142" w:rsidP="0045581D">
      <w:pPr>
        <w:pStyle w:val="Heading3"/>
        <w:numPr>
          <w:ilvl w:val="0"/>
          <w:numId w:val="9"/>
        </w:numPr>
        <w:bidi/>
        <w:spacing w:line="360" w:lineRule="auto"/>
        <w:ind w:firstLine="720"/>
        <w:rPr>
          <w:rFonts w:ascii="T" w:hAnsi="T" w:cs="Simplified Arabic"/>
          <w:color w:val="auto"/>
          <w:sz w:val="24"/>
          <w:szCs w:val="24"/>
          <w:rtl/>
        </w:rPr>
      </w:pPr>
      <w:bookmarkStart w:id="56" w:name="_Toc225991367"/>
      <w:r w:rsidRPr="005D59A7">
        <w:rPr>
          <w:rFonts w:ascii="T" w:hAnsi="T" w:cs="Simplified Arabic"/>
          <w:color w:val="auto"/>
          <w:sz w:val="24"/>
          <w:szCs w:val="24"/>
          <w:rtl/>
        </w:rPr>
        <w:t>لمحة تاريخية عن قطاع البيئة في المملكة</w:t>
      </w:r>
      <w:bookmarkEnd w:id="56"/>
    </w:p>
    <w:p w14:paraId="28A208C2" w14:textId="1AFE1EFF" w:rsidR="00222118" w:rsidRPr="005D59A7" w:rsidRDefault="00222118" w:rsidP="00453B38">
      <w:pPr>
        <w:bidi/>
        <w:spacing w:line="360" w:lineRule="auto"/>
        <w:ind w:left="84" w:firstLine="720"/>
        <w:jc w:val="both"/>
        <w:rPr>
          <w:rFonts w:ascii="T" w:hAnsi="T" w:cs="Simplified Arabic"/>
          <w:sz w:val="24"/>
          <w:szCs w:val="24"/>
          <w:rtl/>
          <w:lang w:bidi="ar-EG"/>
        </w:rPr>
      </w:pPr>
      <w:r w:rsidRPr="005D59A7">
        <w:rPr>
          <w:rFonts w:ascii="T" w:hAnsi="T" w:cs="Simplified Arabic"/>
          <w:sz w:val="24"/>
          <w:szCs w:val="24"/>
          <w:rtl/>
        </w:rPr>
        <w:t xml:space="preserve">منذ القدم ومن قبل انطلاق رؤية المملكة 2030، كان النشاط البيئي في المملكة محدوداً نوعاً ما وذلك لعدة أساب منها الطبيعة الجغرافية للمملكة وبيئتها وتضاريسها الصحراوية، اعتماد اقتصاد المملكة على النفط، ندرة مصادر المياه الطبيعية ومياه الأمطار، المناخ الجاف والعواصف الرملية، قلة وجود القطاع الخاص وبالتحديد في القطاع، وغيرها من الأسباب والتي أدت إلى غياب وجود جهة مؤسسية رئيسية للقطاع. </w:t>
      </w:r>
      <w:r w:rsidR="00453B38" w:rsidRPr="005D59A7">
        <w:rPr>
          <w:rFonts w:ascii="T" w:hAnsi="T" w:cs="Simplified Arabic"/>
          <w:sz w:val="24"/>
          <w:szCs w:val="24"/>
          <w:rtl/>
          <w:lang w:bidi="ar-EG"/>
        </w:rPr>
        <w:t>(</w:t>
      </w:r>
      <w:r w:rsidR="00453B38" w:rsidRPr="005D59A7">
        <w:rPr>
          <w:rFonts w:ascii="T" w:hAnsi="T" w:cs="Simplified Arabic"/>
          <w:sz w:val="24"/>
          <w:szCs w:val="24"/>
          <w:lang w:bidi="ar-EG"/>
        </w:rPr>
        <w:t>Ghanem,  Alamri, 2023</w:t>
      </w:r>
      <w:r w:rsidR="00453B38" w:rsidRPr="005D59A7">
        <w:rPr>
          <w:rFonts w:ascii="T" w:hAnsi="T" w:cs="Simplified Arabic"/>
          <w:sz w:val="24"/>
          <w:szCs w:val="24"/>
          <w:rtl/>
          <w:lang w:bidi="ar-EG"/>
        </w:rPr>
        <w:t>)</w:t>
      </w:r>
    </w:p>
    <w:p w14:paraId="6B36B0F2" w14:textId="77777777" w:rsidR="00351607" w:rsidRPr="005D59A7" w:rsidRDefault="00222118" w:rsidP="00453B38">
      <w:p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كانت الجهة الرئيسية </w:t>
      </w:r>
      <w:r w:rsidR="007C62EE" w:rsidRPr="005D59A7">
        <w:rPr>
          <w:rFonts w:ascii="T" w:hAnsi="T" w:cs="Simplified Arabic"/>
          <w:sz w:val="24"/>
          <w:szCs w:val="24"/>
          <w:rtl/>
        </w:rPr>
        <w:t xml:space="preserve">المسؤولة هي مديرية الزراعة بوزارة المالية، وفي عام 1953م تم انشاء </w:t>
      </w:r>
      <w:r w:rsidRPr="005D59A7">
        <w:rPr>
          <w:rFonts w:ascii="T" w:hAnsi="T" w:cs="Simplified Arabic"/>
          <w:sz w:val="24"/>
          <w:szCs w:val="24"/>
          <w:rtl/>
        </w:rPr>
        <w:t xml:space="preserve">وزارة الزراعة </w:t>
      </w:r>
      <w:r w:rsidR="00351607" w:rsidRPr="005D59A7">
        <w:rPr>
          <w:rFonts w:ascii="T" w:hAnsi="T" w:cs="Simplified Arabic"/>
          <w:sz w:val="24"/>
          <w:szCs w:val="24"/>
          <w:rtl/>
        </w:rPr>
        <w:t>لتعنى لتهتم بالشؤون الزراعية والتنمية الريفية في المملكة. تلعب الوزارة دورًا أساسيًا في ضمان تطوير قطاع الزراعة بما يتناسب مع احتياجات المملكة في ظل تحديات مثل قلة المياه ومحدودية الأراضي الزراعية</w:t>
      </w:r>
      <w:r w:rsidR="00351607" w:rsidRPr="005D59A7">
        <w:rPr>
          <w:rFonts w:ascii="T" w:hAnsi="T" w:cs="Simplified Arabic"/>
          <w:sz w:val="24"/>
          <w:szCs w:val="24"/>
        </w:rPr>
        <w:t>.</w:t>
      </w:r>
      <w:r w:rsidR="00AF6F2B" w:rsidRPr="005D59A7">
        <w:rPr>
          <w:rFonts w:ascii="T" w:hAnsi="T" w:cs="Simplified Arabic"/>
          <w:sz w:val="24"/>
          <w:szCs w:val="24"/>
          <w:rtl/>
        </w:rPr>
        <w:t xml:space="preserve"> </w:t>
      </w:r>
      <w:r w:rsidR="00351607" w:rsidRPr="005D59A7">
        <w:rPr>
          <w:rFonts w:ascii="T" w:hAnsi="T" w:cs="Simplified Arabic"/>
          <w:sz w:val="24"/>
          <w:szCs w:val="24"/>
          <w:rtl/>
        </w:rPr>
        <w:t>وكانت مهامها متنوعة تشمل مجموعة من الأنشطة المتعلقة بتطوير القطاع الزراعي والموارد الطبيعية في المملكة. من أبرزها:</w:t>
      </w:r>
    </w:p>
    <w:p w14:paraId="2C2F3624" w14:textId="77777777" w:rsidR="00351607" w:rsidRPr="005D59A7" w:rsidRDefault="00351607" w:rsidP="0045581D">
      <w:pPr>
        <w:pStyle w:val="NormalWeb"/>
        <w:numPr>
          <w:ilvl w:val="0"/>
          <w:numId w:val="11"/>
        </w:numPr>
        <w:tabs>
          <w:tab w:val="clear" w:pos="1080"/>
        </w:tabs>
        <w:bidi/>
        <w:spacing w:line="360" w:lineRule="auto"/>
        <w:ind w:left="84" w:firstLine="0"/>
        <w:rPr>
          <w:rFonts w:ascii="T" w:hAnsi="T" w:cs="Simplified Arabic"/>
        </w:rPr>
      </w:pPr>
      <w:r w:rsidRPr="005D59A7">
        <w:rPr>
          <w:rStyle w:val="Strong"/>
          <w:rFonts w:ascii="T" w:hAnsi="T" w:cs="Simplified Arabic"/>
          <w:rtl/>
        </w:rPr>
        <w:t>تنمية القطاع الزراعي</w:t>
      </w:r>
      <w:r w:rsidRPr="005D59A7">
        <w:rPr>
          <w:rFonts w:ascii="T" w:hAnsi="T" w:cs="Simplified Arabic"/>
        </w:rPr>
        <w:t>:</w:t>
      </w:r>
    </w:p>
    <w:p w14:paraId="2A3CD13B"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العمل على تطوير الزراعة وتوفير البيئة المناسبة لتشجيع الإنتاج الزراعي</w:t>
      </w:r>
      <w:r w:rsidRPr="005D59A7">
        <w:rPr>
          <w:rFonts w:ascii="T" w:hAnsi="T" w:cs="Simplified Arabic"/>
        </w:rPr>
        <w:t>.</w:t>
      </w:r>
    </w:p>
    <w:p w14:paraId="7A338937"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lastRenderedPageBreak/>
        <w:t>تعزيز الإنتاج المحلي والمحافظة على الأمن الغذائي</w:t>
      </w:r>
      <w:r w:rsidRPr="005D59A7">
        <w:rPr>
          <w:rFonts w:ascii="T" w:hAnsi="T" w:cs="Simplified Arabic"/>
        </w:rPr>
        <w:t>.</w:t>
      </w:r>
    </w:p>
    <w:p w14:paraId="2623F972"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تحقيق الأمن الغذائي</w:t>
      </w:r>
      <w:r w:rsidRPr="005D59A7">
        <w:rPr>
          <w:rFonts w:ascii="T" w:hAnsi="T" w:cs="Simplified Arabic"/>
        </w:rPr>
        <w:t>:</w:t>
      </w:r>
    </w:p>
    <w:p w14:paraId="4D2544A2"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دعم الأمن الغذائي من خلال تطوير مشاريع زراعية متنوعة</w:t>
      </w:r>
      <w:r w:rsidRPr="005D59A7">
        <w:rPr>
          <w:rFonts w:ascii="T" w:hAnsi="T" w:cs="Simplified Arabic"/>
        </w:rPr>
        <w:t>.</w:t>
      </w:r>
    </w:p>
    <w:p w14:paraId="29C6D9D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الزراعة المستدامة وتوفير المنتجات الزراعية بأسعار مناسبة</w:t>
      </w:r>
      <w:r w:rsidRPr="005D59A7">
        <w:rPr>
          <w:rFonts w:ascii="T" w:hAnsi="T" w:cs="Simplified Arabic"/>
        </w:rPr>
        <w:t>.</w:t>
      </w:r>
    </w:p>
    <w:p w14:paraId="4CA0B30C"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إصدار السياسات والتشريعات</w:t>
      </w:r>
      <w:r w:rsidRPr="005D59A7">
        <w:rPr>
          <w:rFonts w:ascii="T" w:hAnsi="T" w:cs="Simplified Arabic"/>
        </w:rPr>
        <w:t>:</w:t>
      </w:r>
    </w:p>
    <w:p w14:paraId="4C01C34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وضع السياسات الزراعية والبيئية التي تدعم القطاع الزراعي وتوجهه نحو التنمية المستدامة</w:t>
      </w:r>
      <w:r w:rsidRPr="005D59A7">
        <w:rPr>
          <w:rFonts w:ascii="T" w:hAnsi="T" w:cs="Simplified Arabic"/>
        </w:rPr>
        <w:t>.</w:t>
      </w:r>
    </w:p>
    <w:p w14:paraId="7AAE490B"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وضع التشريعات والأنظمة التي تساعد على تحسين الإنتاج الزراعي</w:t>
      </w:r>
      <w:r w:rsidRPr="005D59A7">
        <w:rPr>
          <w:rFonts w:ascii="T" w:hAnsi="T" w:cs="Simplified Arabic"/>
        </w:rPr>
        <w:t>.</w:t>
      </w:r>
    </w:p>
    <w:p w14:paraId="0B3536AA"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البحث والتطوير الزراعي</w:t>
      </w:r>
      <w:r w:rsidRPr="005D59A7">
        <w:rPr>
          <w:rFonts w:ascii="T" w:hAnsi="T" w:cs="Simplified Arabic"/>
        </w:rPr>
        <w:t>:</w:t>
      </w:r>
    </w:p>
    <w:p w14:paraId="137EE16A"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دعم البحوث العلمية في المجال الزراعي لاكتشاف سبل جديدة لزيادة الإنتاج وتحسين الجودة</w:t>
      </w:r>
      <w:r w:rsidRPr="005D59A7">
        <w:rPr>
          <w:rFonts w:ascii="T" w:hAnsi="T" w:cs="Simplified Arabic"/>
        </w:rPr>
        <w:t>.</w:t>
      </w:r>
    </w:p>
    <w:p w14:paraId="059A6831" w14:textId="77777777" w:rsidR="00351607" w:rsidRPr="005D59A7" w:rsidRDefault="00351607" w:rsidP="0045581D">
      <w:pPr>
        <w:pStyle w:val="NormalWeb"/>
        <w:numPr>
          <w:ilvl w:val="1"/>
          <w:numId w:val="11"/>
        </w:numPr>
        <w:tabs>
          <w:tab w:val="clear" w:pos="1800"/>
          <w:tab w:val="num" w:pos="84"/>
        </w:tabs>
        <w:bidi/>
        <w:spacing w:line="360" w:lineRule="auto"/>
        <w:ind w:left="84" w:firstLine="0"/>
        <w:jc w:val="both"/>
        <w:rPr>
          <w:rFonts w:ascii="T" w:hAnsi="T" w:cs="Simplified Arabic"/>
        </w:rPr>
      </w:pPr>
      <w:r w:rsidRPr="005D59A7">
        <w:rPr>
          <w:rFonts w:ascii="T" w:hAnsi="T" w:cs="Simplified Arabic"/>
          <w:rtl/>
        </w:rPr>
        <w:t>تطوير تقنيات الزراعة الحديثة مثل الزراعة المائية والذكاء الاصطناعي في الزراعة</w:t>
      </w:r>
      <w:r w:rsidRPr="005D59A7">
        <w:rPr>
          <w:rFonts w:ascii="T" w:hAnsi="T" w:cs="Simplified Arabic"/>
        </w:rPr>
        <w:t>.</w:t>
      </w:r>
    </w:p>
    <w:p w14:paraId="0F9BDA9F"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تطوير الثروة الحيوانية</w:t>
      </w:r>
      <w:r w:rsidRPr="005D59A7">
        <w:rPr>
          <w:rFonts w:ascii="T" w:hAnsi="T" w:cs="Simplified Arabic"/>
        </w:rPr>
        <w:t>:</w:t>
      </w:r>
    </w:p>
    <w:p w14:paraId="691ECFCA"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العناية بتطوير وتربية المواشي والماشية من خلال تحسين السلالات ورعايتها</w:t>
      </w:r>
      <w:r w:rsidRPr="005D59A7">
        <w:rPr>
          <w:rFonts w:ascii="T" w:hAnsi="T" w:cs="Simplified Arabic"/>
        </w:rPr>
        <w:t>.</w:t>
      </w:r>
    </w:p>
    <w:p w14:paraId="5E1663E7" w14:textId="054F6E32"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تنفيذ برامج للحد من الأمراض الحيوانية وتحسين صحة الحيوان</w:t>
      </w:r>
      <w:r w:rsidRPr="005D59A7">
        <w:rPr>
          <w:rFonts w:ascii="T" w:hAnsi="T" w:cs="Simplified Arabic"/>
        </w:rPr>
        <w:t>.</w:t>
      </w:r>
      <w:r w:rsidR="00453B38" w:rsidRPr="005D59A7">
        <w:rPr>
          <w:rFonts w:ascii="T" w:hAnsi="T" w:cs="Simplified Arabic"/>
        </w:rPr>
        <w:t xml:space="preserve"> (Al-Otaibi &amp; Elimam,2024</w:t>
      </w:r>
      <w:r w:rsidR="00453B38" w:rsidRPr="005D59A7">
        <w:rPr>
          <w:rFonts w:ascii="T" w:hAnsi="T" w:cs="Simplified Arabic"/>
          <w:rtl/>
        </w:rPr>
        <w:t>)</w:t>
      </w:r>
    </w:p>
    <w:p w14:paraId="1C0387DC"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إدارة الموارد الطبيعية</w:t>
      </w:r>
      <w:r w:rsidRPr="005D59A7">
        <w:rPr>
          <w:rFonts w:ascii="T" w:hAnsi="T" w:cs="Simplified Arabic"/>
        </w:rPr>
        <w:t>:</w:t>
      </w:r>
    </w:p>
    <w:p w14:paraId="4E7FCED3"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الحفاظ على الموارد المائية والاهتمام بالري الزراعي</w:t>
      </w:r>
      <w:r w:rsidRPr="005D59A7">
        <w:rPr>
          <w:rFonts w:ascii="T" w:hAnsi="T" w:cs="Simplified Arabic"/>
        </w:rPr>
        <w:t>.</w:t>
      </w:r>
    </w:p>
    <w:p w14:paraId="182E4E92"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استخدام أساليب ري حديثة مثل الري بالتنقيط للحفاظ على المياه</w:t>
      </w:r>
      <w:r w:rsidRPr="005D59A7">
        <w:rPr>
          <w:rFonts w:ascii="T" w:hAnsi="T" w:cs="Simplified Arabic"/>
        </w:rPr>
        <w:t>.</w:t>
      </w:r>
    </w:p>
    <w:p w14:paraId="4388E951"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التعاون مع المنظمات الدولية</w:t>
      </w:r>
      <w:r w:rsidRPr="005D59A7">
        <w:rPr>
          <w:rFonts w:ascii="T" w:hAnsi="T" w:cs="Simplified Arabic"/>
        </w:rPr>
        <w:t>:</w:t>
      </w:r>
    </w:p>
    <w:p w14:paraId="766B9DB1"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التعاون مع المنظمات الدولية والإقليمية المعنية بالزراعة والبيئة</w:t>
      </w:r>
      <w:r w:rsidRPr="005D59A7">
        <w:rPr>
          <w:rFonts w:ascii="T" w:hAnsi="T" w:cs="Simplified Arabic"/>
        </w:rPr>
        <w:t>.</w:t>
      </w:r>
    </w:p>
    <w:p w14:paraId="198D8444"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المشاركة في الفعاليات الزراعية العالمية لعرض التطورات الزراعية في المملكة</w:t>
      </w:r>
      <w:r w:rsidRPr="005D59A7">
        <w:rPr>
          <w:rFonts w:ascii="T" w:hAnsi="T" w:cs="Simplified Arabic"/>
        </w:rPr>
        <w:t>.</w:t>
      </w:r>
    </w:p>
    <w:p w14:paraId="6517ED02"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تشجيع الاستثمار الزراعي</w:t>
      </w:r>
      <w:r w:rsidRPr="005D59A7">
        <w:rPr>
          <w:rFonts w:ascii="T" w:hAnsi="T" w:cs="Simplified Arabic"/>
        </w:rPr>
        <w:t>:</w:t>
      </w:r>
    </w:p>
    <w:p w14:paraId="61EC4A6E"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تقديم الدعم والتسهيلات للمستثمرين في القطاع الزراعي</w:t>
      </w:r>
      <w:r w:rsidRPr="005D59A7">
        <w:rPr>
          <w:rFonts w:ascii="T" w:hAnsi="T" w:cs="Simplified Arabic"/>
        </w:rPr>
        <w:t>.</w:t>
      </w:r>
    </w:p>
    <w:p w14:paraId="40F03C98"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تشجيع الاستثمار في التقنيات الحديثة والمشاريع الزراعية الكبيرة</w:t>
      </w:r>
      <w:r w:rsidRPr="005D59A7">
        <w:rPr>
          <w:rFonts w:ascii="T" w:hAnsi="T" w:cs="Simplified Arabic"/>
        </w:rPr>
        <w:t>.</w:t>
      </w:r>
    </w:p>
    <w:p w14:paraId="5B517CDE"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التوعية والتعليم الزراعي</w:t>
      </w:r>
      <w:r w:rsidRPr="005D59A7">
        <w:rPr>
          <w:rFonts w:ascii="T" w:hAnsi="T" w:cs="Simplified Arabic"/>
        </w:rPr>
        <w:t>:</w:t>
      </w:r>
    </w:p>
    <w:p w14:paraId="60302ED5"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lastRenderedPageBreak/>
        <w:t>نشر الوعي بين الفلاحين والمزارعين حول أفضل أساليب الزراعة والتقنيات الحديثة</w:t>
      </w:r>
      <w:r w:rsidRPr="005D59A7">
        <w:rPr>
          <w:rFonts w:ascii="T" w:hAnsi="T" w:cs="Simplified Arabic"/>
        </w:rPr>
        <w:t>.</w:t>
      </w:r>
    </w:p>
    <w:p w14:paraId="33818795" w14:textId="275B68D4"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تنظيم دورات تدريبية لتأهيل العاملين في القطاع الزراعي</w:t>
      </w:r>
      <w:r w:rsidRPr="005D59A7">
        <w:rPr>
          <w:rFonts w:ascii="T" w:hAnsi="T" w:cs="Simplified Arabic"/>
        </w:rPr>
        <w:t>.</w:t>
      </w:r>
      <w:r w:rsidR="00453B38" w:rsidRPr="005D59A7">
        <w:rPr>
          <w:rFonts w:ascii="T" w:hAnsi="T" w:cs="Simplified Arabic"/>
          <w:rtl/>
          <w:lang w:bidi="ar-EG"/>
        </w:rPr>
        <w:t xml:space="preserve"> </w:t>
      </w:r>
      <w:r w:rsidR="00453B38" w:rsidRPr="005D59A7">
        <w:rPr>
          <w:rFonts w:ascii="T" w:hAnsi="T" w:cs="Simplified Arabic"/>
          <w:rtl/>
        </w:rPr>
        <w:t>(</w:t>
      </w:r>
      <w:r w:rsidR="00453B38" w:rsidRPr="005D59A7">
        <w:rPr>
          <w:rFonts w:ascii="T" w:hAnsi="T" w:cs="Simplified Arabic"/>
        </w:rPr>
        <w:t>Emam, 2022</w:t>
      </w:r>
      <w:r w:rsidR="00453B38" w:rsidRPr="005D59A7">
        <w:rPr>
          <w:rFonts w:ascii="T" w:hAnsi="T" w:cs="Simplified Arabic"/>
          <w:rtl/>
        </w:rPr>
        <w:t>)</w:t>
      </w:r>
    </w:p>
    <w:p w14:paraId="0B3B2FAE" w14:textId="77777777" w:rsidR="00351607" w:rsidRPr="005D59A7" w:rsidRDefault="00351607" w:rsidP="0045581D">
      <w:pPr>
        <w:pStyle w:val="NormalWeb"/>
        <w:numPr>
          <w:ilvl w:val="0"/>
          <w:numId w:val="11"/>
        </w:numPr>
        <w:tabs>
          <w:tab w:val="clear" w:pos="1080"/>
          <w:tab w:val="num" w:pos="84"/>
        </w:tabs>
        <w:bidi/>
        <w:spacing w:line="360" w:lineRule="auto"/>
        <w:ind w:left="84" w:firstLine="0"/>
        <w:rPr>
          <w:rFonts w:ascii="T" w:hAnsi="T" w:cs="Simplified Arabic"/>
        </w:rPr>
      </w:pPr>
      <w:r w:rsidRPr="005D59A7">
        <w:rPr>
          <w:rStyle w:val="Strong"/>
          <w:rFonts w:ascii="T" w:hAnsi="T" w:cs="Simplified Arabic"/>
          <w:rtl/>
        </w:rPr>
        <w:t>مراقبة الإنتاج الزراعي</w:t>
      </w:r>
      <w:r w:rsidRPr="005D59A7">
        <w:rPr>
          <w:rFonts w:ascii="T" w:hAnsi="T" w:cs="Simplified Arabic"/>
        </w:rPr>
        <w:t>:</w:t>
      </w:r>
    </w:p>
    <w:p w14:paraId="78A0E3CD"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متابعة الإنتاج الزراعي المحلي وتقديم الدعم عند الحاجة</w:t>
      </w:r>
      <w:r w:rsidRPr="005D59A7">
        <w:rPr>
          <w:rFonts w:ascii="T" w:hAnsi="T" w:cs="Simplified Arabic"/>
        </w:rPr>
        <w:t>.</w:t>
      </w:r>
    </w:p>
    <w:p w14:paraId="4F501526" w14:textId="77777777" w:rsidR="00351607" w:rsidRPr="005D59A7" w:rsidRDefault="00351607" w:rsidP="0045581D">
      <w:pPr>
        <w:pStyle w:val="NormalWeb"/>
        <w:numPr>
          <w:ilvl w:val="1"/>
          <w:numId w:val="11"/>
        </w:numPr>
        <w:tabs>
          <w:tab w:val="clear" w:pos="1800"/>
          <w:tab w:val="num" w:pos="84"/>
        </w:tabs>
        <w:bidi/>
        <w:spacing w:line="360" w:lineRule="auto"/>
        <w:ind w:left="84" w:firstLine="0"/>
        <w:rPr>
          <w:rFonts w:ascii="T" w:hAnsi="T" w:cs="Simplified Arabic"/>
        </w:rPr>
      </w:pPr>
      <w:r w:rsidRPr="005D59A7">
        <w:rPr>
          <w:rFonts w:ascii="T" w:hAnsi="T" w:cs="Simplified Arabic"/>
          <w:rtl/>
        </w:rPr>
        <w:t>مراقبة جودة المنتجات الزراعية وتوفير الدعم للمزارعين لتسويق منتجاتهم</w:t>
      </w:r>
      <w:r w:rsidRPr="005D59A7">
        <w:rPr>
          <w:rFonts w:ascii="T" w:hAnsi="T" w:cs="Simplified Arabic"/>
        </w:rPr>
        <w:t>.</w:t>
      </w:r>
    </w:p>
    <w:p w14:paraId="4E483F60" w14:textId="77777777" w:rsidR="00917142" w:rsidRPr="005D59A7" w:rsidRDefault="00AF6F2B"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وفي عام </w:t>
      </w:r>
      <w:r w:rsidR="0083758C" w:rsidRPr="005D59A7">
        <w:rPr>
          <w:rFonts w:ascii="T" w:hAnsi="T" w:cs="Simplified Arabic"/>
          <w:sz w:val="24"/>
          <w:szCs w:val="24"/>
          <w:rtl/>
        </w:rPr>
        <w:t>1980</w:t>
      </w:r>
      <w:r w:rsidRPr="005D59A7">
        <w:rPr>
          <w:rFonts w:ascii="T" w:hAnsi="T" w:cs="Simplified Arabic"/>
          <w:sz w:val="24"/>
          <w:szCs w:val="24"/>
          <w:rtl/>
        </w:rPr>
        <w:t xml:space="preserve">، تم </w:t>
      </w:r>
      <w:r w:rsidR="0083758C" w:rsidRPr="005D59A7">
        <w:rPr>
          <w:rFonts w:ascii="T" w:hAnsi="T" w:cs="Simplified Arabic"/>
          <w:sz w:val="24"/>
          <w:szCs w:val="24"/>
          <w:rtl/>
        </w:rPr>
        <w:t>تأسيس الهيئة العامة لحماية البيئة كأول جهة حكومية تُعنى بحماية البيئة في المملكة هدفها التركيز على الحفاظ على البيئة ومكافحة التلوث وذلك مع ازدياد النشاطات الصناعية والاقتصادية بالإضافة إلى أنشطة التنقيب عن النفط ومعالجته</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0083758C" w:rsidRPr="005D59A7">
        <w:rPr>
          <w:rFonts w:ascii="T" w:hAnsi="T" w:cs="Simplified Arabic"/>
          <w:sz w:val="24"/>
          <w:szCs w:val="24"/>
          <w:rtl/>
        </w:rPr>
        <w:t>.</w:t>
      </w:r>
    </w:p>
    <w:p w14:paraId="44B42748" w14:textId="77777777" w:rsidR="00D50377" w:rsidRPr="005D59A7" w:rsidRDefault="00D50377"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وفي عام 2001،</w:t>
      </w:r>
      <w:r w:rsidR="0069634B" w:rsidRPr="005D59A7">
        <w:rPr>
          <w:rFonts w:ascii="T" w:hAnsi="T" w:cs="Simplified Arabic"/>
          <w:sz w:val="24"/>
          <w:szCs w:val="24"/>
          <w:rtl/>
        </w:rPr>
        <w:t xml:space="preserve"> تم إطلاق النظام العام للبيئة بموجب المرسوم الملكي رقم: م/34 وتاريخ 28/7/1422 وقرار مجلس الوزراء رقم 193 وتاريخ 7/7/1422 (</w:t>
      </w:r>
      <w:r w:rsidR="0069634B" w:rsidRPr="005D59A7">
        <w:rPr>
          <w:rFonts w:ascii="T" w:hAnsi="T" w:cs="Simplified Arabic"/>
          <w:sz w:val="24"/>
          <w:szCs w:val="24"/>
        </w:rPr>
        <w:t>Bureau of Experts, 2001</w:t>
      </w:r>
      <w:r w:rsidR="0069634B" w:rsidRPr="005D59A7">
        <w:rPr>
          <w:rFonts w:ascii="T" w:hAnsi="T" w:cs="Simplified Arabic"/>
          <w:sz w:val="24"/>
          <w:szCs w:val="24"/>
          <w:rtl/>
        </w:rPr>
        <w:t xml:space="preserve">). </w:t>
      </w:r>
      <w:r w:rsidR="00687FAF" w:rsidRPr="005D59A7">
        <w:rPr>
          <w:rFonts w:ascii="T" w:hAnsi="T" w:cs="Simplified Arabic"/>
          <w:sz w:val="24"/>
          <w:szCs w:val="24"/>
          <w:rtl/>
        </w:rPr>
        <w:t>ويقصد بـه الإطار القانوني والتنظيمي الذي يهدف إلى حماية البيئة، ومنع التلوث، وتحقيق التنمية المستدامة بما يوازن بين التنمية الاقتصادية والمحافظة على الموارد الطبيعية</w:t>
      </w:r>
      <w:r w:rsidR="00687FAF" w:rsidRPr="005D59A7">
        <w:rPr>
          <w:rFonts w:ascii="T" w:hAnsi="T" w:cs="Simplified Arabic"/>
          <w:sz w:val="24"/>
          <w:szCs w:val="24"/>
        </w:rPr>
        <w:t>.</w:t>
      </w:r>
      <w:r w:rsidR="00687FAF" w:rsidRPr="005D59A7">
        <w:rPr>
          <w:rFonts w:ascii="T" w:hAnsi="T" w:cs="Simplified Arabic"/>
          <w:sz w:val="24"/>
          <w:szCs w:val="24"/>
          <w:rtl/>
        </w:rPr>
        <w:t xml:space="preserve"> ويهدف النظام إلى حماية البيئة من التلوث بجميع أنواعه (هواء، ماء، تربة)، الحفاظ على الموارد الطبيعية، ضمان استخدام الموارد بشكل مستدام، حماية صحة الإنسان والكائنات الحية، إلزام الأفراد والمنشئات بالمعايير البيئية</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00687FAF" w:rsidRPr="005D59A7">
        <w:rPr>
          <w:rFonts w:ascii="T" w:hAnsi="T" w:cs="Simplified Arabic"/>
          <w:sz w:val="24"/>
          <w:szCs w:val="24"/>
          <w:rtl/>
        </w:rPr>
        <w:t xml:space="preserve">. </w:t>
      </w:r>
    </w:p>
    <w:p w14:paraId="4E53D417" w14:textId="77777777" w:rsidR="00687FAF" w:rsidRPr="005D59A7" w:rsidRDefault="00687FAF"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يلزم النظام جميع الأفراد والمنشئات بالحصول على تصاريح بيئية قبل ممارسة أي نشاط مؤثر على البيئة، الالتزام بالمعايير البيئية المعتمدة، إجراء تقييم الأثر البيئي للمشاريع الكبرى، عدم تصريف الملوثات في الهواء أو المياه أو التربة، التعامل الآمن مع النفايات الخطرة، وغيرها من الأنظمة والقوانين والتشريعات التي تلزم المخالفين بغرامات مالية والتعرض لإيقاف النشاط مؤقتاً أو بشكل دائم وإلزام المخالف بإزالة الضرر البيئي المحدث على نفقته الخاصة</w:t>
      </w:r>
      <w:r w:rsidR="00601B8A" w:rsidRPr="005D59A7">
        <w:rPr>
          <w:rFonts w:ascii="T" w:hAnsi="T" w:cs="Simplified Arabic"/>
          <w:sz w:val="24"/>
          <w:szCs w:val="24"/>
          <w:rtl/>
        </w:rPr>
        <w:t xml:space="preserve"> (</w:t>
      </w:r>
      <w:r w:rsidR="00601B8A" w:rsidRPr="005D59A7">
        <w:rPr>
          <w:rFonts w:ascii="T" w:hAnsi="T" w:cs="Simplified Arabic"/>
          <w:sz w:val="24"/>
          <w:szCs w:val="24"/>
        </w:rPr>
        <w:t>MEWA, 2026</w:t>
      </w:r>
      <w:r w:rsidR="00601B8A" w:rsidRPr="005D59A7">
        <w:rPr>
          <w:rFonts w:ascii="T" w:hAnsi="T" w:cs="Simplified Arabic"/>
          <w:sz w:val="24"/>
          <w:szCs w:val="24"/>
          <w:rtl/>
        </w:rPr>
        <w:t>)</w:t>
      </w:r>
      <w:r w:rsidRPr="005D59A7">
        <w:rPr>
          <w:rFonts w:ascii="T" w:hAnsi="T" w:cs="Simplified Arabic"/>
          <w:sz w:val="24"/>
          <w:szCs w:val="24"/>
          <w:rtl/>
        </w:rPr>
        <w:t xml:space="preserve">. </w:t>
      </w:r>
    </w:p>
    <w:p w14:paraId="00FC5585" w14:textId="77777777" w:rsidR="00687FAF" w:rsidRPr="005D59A7" w:rsidRDefault="001F441A" w:rsidP="00453B38">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وفي عام 2016، تم دمج عدد من الخدمات المدنية الأساسية وإعادة تسمية وزارة البيئة بمسمى وزارة البيئة والمياه والزراعة وتم من خلال ذلك التوسع في القطاع البيئي ونطاق تطبيقه. تم بعدها إعادة تحديث النظام العام للبيئة وإعادة تسمية الجهات المعنية مثل تحول الرئاسة العامة للأرصاد وحماية البيئة إلى الهيئة </w:t>
      </w:r>
      <w:r w:rsidRPr="005D59A7">
        <w:rPr>
          <w:rFonts w:ascii="T" w:hAnsi="T" w:cs="Simplified Arabic"/>
          <w:sz w:val="24"/>
          <w:szCs w:val="24"/>
          <w:rtl/>
        </w:rPr>
        <w:lastRenderedPageBreak/>
        <w:t xml:space="preserve">العامة للأرصاد وحماية البيئة، وصولاً إلى إطلاق الإستراتيجية الوطنية للبيئة التي اقتضت إلغاء الهيئة وإنشاء خمسة مراكز بيئية متخصصة إضافةً إلى صندوق البيئة وإطلاق مشروع خصخصة القطاع ومشاركة القطاع الخاص من قبل الوزارة وغيرها من الإجراءات التنظيمية والمؤسسية التي من شأنها إحداث نقلة نوعية في القطاع تواكب التطور والنمو الصناعي والسكاني والتجاري الذي تحذو نحوه الدولة </w:t>
      </w:r>
      <w:r w:rsidR="00313D83" w:rsidRPr="005D59A7">
        <w:rPr>
          <w:rFonts w:ascii="T" w:hAnsi="T" w:cs="Simplified Arabic"/>
          <w:sz w:val="24"/>
          <w:szCs w:val="24"/>
          <w:rtl/>
        </w:rPr>
        <w:t xml:space="preserve">تماشياً مع رؤيتها 2030. </w:t>
      </w:r>
    </w:p>
    <w:p w14:paraId="6B6976A7" w14:textId="77777777" w:rsidR="00313D83" w:rsidRPr="005D59A7" w:rsidRDefault="00A40B26" w:rsidP="0045581D">
      <w:pPr>
        <w:pStyle w:val="Heading3"/>
        <w:numPr>
          <w:ilvl w:val="0"/>
          <w:numId w:val="9"/>
        </w:numPr>
        <w:bidi/>
        <w:spacing w:line="360" w:lineRule="auto"/>
        <w:ind w:left="84" w:firstLine="720"/>
        <w:rPr>
          <w:rFonts w:ascii="T" w:hAnsi="T" w:cs="Simplified Arabic"/>
          <w:color w:val="auto"/>
          <w:sz w:val="24"/>
          <w:szCs w:val="24"/>
          <w:rtl/>
        </w:rPr>
      </w:pPr>
      <w:bookmarkStart w:id="57" w:name="_Toc225991368"/>
      <w:r w:rsidRPr="005D59A7">
        <w:rPr>
          <w:rFonts w:ascii="T" w:hAnsi="T" w:cs="Simplified Arabic"/>
          <w:color w:val="auto"/>
          <w:sz w:val="24"/>
          <w:szCs w:val="24"/>
          <w:rtl/>
        </w:rPr>
        <w:t>نبذة عن الجهات المتخصصة</w:t>
      </w:r>
      <w:bookmarkEnd w:id="57"/>
    </w:p>
    <w:p w14:paraId="47F9CC5F" w14:textId="77777777" w:rsidR="00A40B26" w:rsidRPr="005D59A7" w:rsidRDefault="00601B8A" w:rsidP="0045581D">
      <w:pPr>
        <w:pStyle w:val="Heading4"/>
        <w:numPr>
          <w:ilvl w:val="0"/>
          <w:numId w:val="12"/>
        </w:numPr>
        <w:bidi/>
        <w:spacing w:line="360" w:lineRule="auto"/>
        <w:ind w:left="84"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وزارة البيئة والمياه والزراعة</w:t>
      </w:r>
      <w:r w:rsidR="008E342C" w:rsidRPr="005D59A7">
        <w:rPr>
          <w:rFonts w:ascii="T" w:hAnsi="T" w:cs="Simplified Arabic"/>
          <w:b w:val="0"/>
          <w:bCs w:val="0"/>
          <w:color w:val="auto"/>
          <w:sz w:val="24"/>
          <w:szCs w:val="24"/>
        </w:rPr>
        <w:t xml:space="preserve"> </w:t>
      </w:r>
      <w:r w:rsidR="008E342C" w:rsidRPr="005D59A7">
        <w:rPr>
          <w:rFonts w:ascii="T" w:hAnsi="T" w:cs="Simplified Arabic"/>
          <w:b w:val="0"/>
          <w:bCs w:val="0"/>
          <w:i w:val="0"/>
          <w:iCs w:val="0"/>
          <w:color w:val="auto"/>
          <w:sz w:val="24"/>
          <w:szCs w:val="24"/>
        </w:rPr>
        <w:t xml:space="preserve">  </w:t>
      </w:r>
      <w:r w:rsidR="00AE1FA7" w:rsidRPr="005D59A7">
        <w:rPr>
          <w:rFonts w:ascii="T" w:hAnsi="T" w:cs="Simplified Arabic"/>
          <w:b w:val="0"/>
          <w:bCs w:val="0"/>
          <w:i w:val="0"/>
          <w:iCs w:val="0"/>
          <w:color w:val="auto"/>
          <w:sz w:val="24"/>
          <w:szCs w:val="24"/>
        </w:rPr>
        <w:t xml:space="preserve">  </w:t>
      </w:r>
    </w:p>
    <w:p w14:paraId="55222683" w14:textId="77777777" w:rsidR="00601B8A" w:rsidRPr="005D59A7" w:rsidRDefault="00601B8A" w:rsidP="004D5CF5">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المهام الرئيسية تشمل: </w:t>
      </w:r>
    </w:p>
    <w:p w14:paraId="1A2C4CCE"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الإشراف على شئون البيئة والمياه والزراعة في المملكة وتطويرها نحو الأفضل</w:t>
      </w:r>
      <w:r w:rsidR="00D27F89" w:rsidRPr="005D59A7">
        <w:rPr>
          <w:rFonts w:ascii="T" w:hAnsi="T" w:cs="Simplified Arabic"/>
          <w:sz w:val="24"/>
          <w:szCs w:val="24"/>
          <w:rtl/>
        </w:rPr>
        <w:t>.</w:t>
      </w:r>
    </w:p>
    <w:p w14:paraId="308B2CD0"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إرشاد المزارعين لأساليب الزراعة الحديثة</w:t>
      </w:r>
      <w:r w:rsidR="00D27F89" w:rsidRPr="005D59A7">
        <w:rPr>
          <w:rFonts w:ascii="T" w:hAnsi="T" w:cs="Simplified Arabic"/>
          <w:sz w:val="24"/>
          <w:szCs w:val="24"/>
          <w:rtl/>
        </w:rPr>
        <w:t>.</w:t>
      </w:r>
    </w:p>
    <w:p w14:paraId="66430752"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المحافظة على الغطاء النباتي من مراعي طبيعية أو مروية وغابات وتنميتها وتشجيره</w:t>
      </w:r>
      <w:r w:rsidR="00D27F89" w:rsidRPr="005D59A7">
        <w:rPr>
          <w:rFonts w:ascii="T" w:hAnsi="T" w:cs="Simplified Arabic"/>
          <w:sz w:val="24"/>
          <w:szCs w:val="24"/>
          <w:rtl/>
        </w:rPr>
        <w:t>.</w:t>
      </w:r>
    </w:p>
    <w:p w14:paraId="347CB3E0"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توفير مياه الري الصالحة للزراعة عن طريق الآبار والسدود والعقوم</w:t>
      </w:r>
      <w:r w:rsidR="00D27F89" w:rsidRPr="005D59A7">
        <w:rPr>
          <w:rFonts w:ascii="T" w:hAnsi="T" w:cs="Simplified Arabic"/>
          <w:sz w:val="24"/>
          <w:szCs w:val="24"/>
          <w:rtl/>
        </w:rPr>
        <w:t>.</w:t>
      </w:r>
    </w:p>
    <w:p w14:paraId="2F0D5F1C"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زيادة إمكانية إنتاج الأغذية محلياً</w:t>
      </w:r>
      <w:r w:rsidR="00D27F89" w:rsidRPr="005D59A7">
        <w:rPr>
          <w:rFonts w:ascii="T" w:hAnsi="T" w:cs="Simplified Arabic"/>
          <w:sz w:val="24"/>
          <w:szCs w:val="24"/>
          <w:rtl/>
        </w:rPr>
        <w:t>.</w:t>
      </w:r>
    </w:p>
    <w:p w14:paraId="2F067AA2" w14:textId="77777777" w:rsidR="00601B8A" w:rsidRPr="005D59A7" w:rsidRDefault="00601B8A" w:rsidP="0045581D">
      <w:pPr>
        <w:pStyle w:val="ListParagraph"/>
        <w:numPr>
          <w:ilvl w:val="0"/>
          <w:numId w:val="10"/>
        </w:numPr>
        <w:bidi/>
        <w:spacing w:line="360" w:lineRule="auto"/>
        <w:ind w:left="84" w:firstLine="720"/>
        <w:rPr>
          <w:rFonts w:ascii="T" w:hAnsi="T" w:cs="Simplified Arabic"/>
          <w:sz w:val="24"/>
          <w:szCs w:val="24"/>
        </w:rPr>
      </w:pPr>
      <w:r w:rsidRPr="005D59A7">
        <w:rPr>
          <w:rFonts w:ascii="T" w:hAnsi="T" w:cs="Simplified Arabic"/>
          <w:sz w:val="24"/>
          <w:szCs w:val="24"/>
          <w:rtl/>
        </w:rPr>
        <w:t>تنمية موارد الأراضي والقوى العاملة الزراعية</w:t>
      </w:r>
      <w:r w:rsidR="00D27F89" w:rsidRPr="005D59A7">
        <w:rPr>
          <w:rFonts w:ascii="T" w:hAnsi="T" w:cs="Simplified Arabic"/>
          <w:sz w:val="24"/>
          <w:szCs w:val="24"/>
          <w:rtl/>
        </w:rPr>
        <w:t>.</w:t>
      </w:r>
    </w:p>
    <w:p w14:paraId="269B5AF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إجراء الأبحاث التطبيقية التي تستهدف إدخال الأساليب المتطورة في الحقل الزراعي والحيواني والسمكي</w:t>
      </w:r>
      <w:r w:rsidR="00D27F89" w:rsidRPr="005D59A7">
        <w:rPr>
          <w:rFonts w:ascii="T" w:hAnsi="T" w:cs="Simplified Arabic"/>
          <w:sz w:val="24"/>
          <w:szCs w:val="24"/>
          <w:rtl/>
        </w:rPr>
        <w:t>.</w:t>
      </w:r>
    </w:p>
    <w:p w14:paraId="30FC8AF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واستثمار وتطوير الثروات المائية الحية (الصيد في البحار، الإستزراع السمكي) إجراء مسح استطلاعي لمناطق تجمعات الأسماك في البحار وكمياتها ونشر هذه المعلومات للمستفيدين والصيادين وتشجيع استخدام التقنية الحديثة لصيد الأسماك</w:t>
      </w:r>
      <w:r w:rsidR="00D27F89" w:rsidRPr="005D59A7">
        <w:rPr>
          <w:rFonts w:ascii="T" w:hAnsi="T" w:cs="Simplified Arabic"/>
          <w:sz w:val="24"/>
          <w:szCs w:val="24"/>
          <w:rtl/>
        </w:rPr>
        <w:t>.</w:t>
      </w:r>
    </w:p>
    <w:p w14:paraId="636C278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تقديم الإعانات المادية للمزارعين ومنح المعدات والقروض بالتنسيق مع صندوق التنمية الزراعية</w:t>
      </w:r>
      <w:r w:rsidR="00D27F89" w:rsidRPr="005D59A7">
        <w:rPr>
          <w:rFonts w:ascii="T" w:hAnsi="T" w:cs="Simplified Arabic"/>
          <w:sz w:val="24"/>
          <w:szCs w:val="24"/>
          <w:rtl/>
        </w:rPr>
        <w:t>.</w:t>
      </w:r>
    </w:p>
    <w:p w14:paraId="473470C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تهيئة الأراضي البور الصالحة للزراعة ومنحها للمواطنين لزراعتها</w:t>
      </w:r>
      <w:r w:rsidR="00D27F89" w:rsidRPr="005D59A7">
        <w:rPr>
          <w:rFonts w:ascii="T" w:hAnsi="T" w:cs="Simplified Arabic"/>
          <w:sz w:val="24"/>
          <w:szCs w:val="24"/>
          <w:rtl/>
        </w:rPr>
        <w:t>.</w:t>
      </w:r>
    </w:p>
    <w:p w14:paraId="41D7783B"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المحافظة على البيئة الزراعية البرية والبيئة المائية للثروة السمكية</w:t>
      </w:r>
      <w:r w:rsidR="00D27F89" w:rsidRPr="005D59A7">
        <w:rPr>
          <w:rFonts w:ascii="T" w:hAnsi="T" w:cs="Simplified Arabic"/>
          <w:sz w:val="24"/>
          <w:szCs w:val="24"/>
          <w:rtl/>
        </w:rPr>
        <w:t>.</w:t>
      </w:r>
    </w:p>
    <w:p w14:paraId="022C4588"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lastRenderedPageBreak/>
        <w:t>التشجيع على تصدير الفائض من الإنتاج الزراعي والحيواني والسمكي لخارج المملكة</w:t>
      </w:r>
      <w:r w:rsidR="00D27F89" w:rsidRPr="005D59A7">
        <w:rPr>
          <w:rFonts w:ascii="T" w:hAnsi="T" w:cs="Simplified Arabic"/>
          <w:sz w:val="24"/>
          <w:szCs w:val="24"/>
          <w:rtl/>
        </w:rPr>
        <w:t>.</w:t>
      </w:r>
    </w:p>
    <w:p w14:paraId="77741A9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العمل على تنمية الزراعة والثروة الحيوانية والسمكية والصناعات المتعلقة بها</w:t>
      </w:r>
      <w:r w:rsidR="00D27F89" w:rsidRPr="005D59A7">
        <w:rPr>
          <w:rFonts w:ascii="T" w:hAnsi="T" w:cs="Simplified Arabic"/>
          <w:sz w:val="24"/>
          <w:szCs w:val="24"/>
          <w:rtl/>
        </w:rPr>
        <w:t>.</w:t>
      </w:r>
    </w:p>
    <w:p w14:paraId="3C2C144E"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تحقيق الاكتفاء الذاتي من المنتجات الغذائية والنباتية والحيوانية ومشتقاتها</w:t>
      </w:r>
    </w:p>
    <w:p w14:paraId="0213C6D6"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تصميم وتنفيذ مشروعات الري والصرف وتشغيلها وصيانتها وتوزيع مياه الري لتشجيع كفاءة استخدام هذه الموارد</w:t>
      </w:r>
      <w:r w:rsidR="00D27F89" w:rsidRPr="005D59A7">
        <w:rPr>
          <w:rFonts w:ascii="T" w:hAnsi="T" w:cs="Simplified Arabic"/>
          <w:sz w:val="24"/>
          <w:szCs w:val="24"/>
          <w:rtl/>
        </w:rPr>
        <w:t>.</w:t>
      </w:r>
    </w:p>
    <w:p w14:paraId="4BBFB2B1" w14:textId="77777777" w:rsidR="00601B8A" w:rsidRPr="005D59A7" w:rsidRDefault="00601B8A" w:rsidP="0045581D">
      <w:pPr>
        <w:pStyle w:val="ListParagraph"/>
        <w:numPr>
          <w:ilvl w:val="0"/>
          <w:numId w:val="10"/>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الثروات الزراعية والحيوانية عن طريق تطبيق أنظمة الحجر الحيواني والنباتي على منافذ المملكة البرية والجوية والبحرية</w:t>
      </w:r>
      <w:r w:rsidR="00D27F89" w:rsidRPr="005D59A7">
        <w:rPr>
          <w:rFonts w:ascii="T" w:hAnsi="T" w:cs="Simplified Arabic"/>
          <w:sz w:val="24"/>
          <w:szCs w:val="24"/>
          <w:rtl/>
        </w:rPr>
        <w:t>.</w:t>
      </w:r>
    </w:p>
    <w:p w14:paraId="14371DED" w14:textId="77777777" w:rsidR="00D27F89" w:rsidRPr="005D59A7" w:rsidRDefault="00D27F89" w:rsidP="004D5CF5">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الرؤية: بيئة وموارد طبيعية مستدامة تحقق الأمن المائي، وتسهم في الأمن الغذائي، وتحسين جودة الحياة. </w:t>
      </w:r>
    </w:p>
    <w:p w14:paraId="2183CD9D" w14:textId="77777777" w:rsidR="00D27F89" w:rsidRPr="005D59A7" w:rsidRDefault="00D27F89" w:rsidP="004D5CF5">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الرسالة: السعي للتميز في تطوير وتطبيق السياسات الشاملة والاستراتيجيات الفعالة والارتقاء بالخدمات بمشاركة القطاع الخاص والجهات ذات العلاقة لازدهار واستدامة البيئة والمياه والزراعة. </w:t>
      </w:r>
    </w:p>
    <w:p w14:paraId="5873C292" w14:textId="77777777" w:rsidR="00D27F89" w:rsidRPr="005D59A7" w:rsidRDefault="00D27F89" w:rsidP="00861DC2">
      <w:pPr>
        <w:bidi/>
        <w:spacing w:line="360" w:lineRule="auto"/>
        <w:ind w:left="1440" w:firstLine="720"/>
        <w:rPr>
          <w:rFonts w:ascii="T" w:hAnsi="T" w:cs="Simplified Arabic"/>
          <w:sz w:val="24"/>
          <w:szCs w:val="24"/>
          <w:rtl/>
        </w:rPr>
      </w:pPr>
      <w:r w:rsidRPr="005D59A7">
        <w:rPr>
          <w:rFonts w:ascii="T" w:hAnsi="T" w:cs="Simplified Arabic"/>
          <w:noProof/>
          <w:sz w:val="24"/>
          <w:szCs w:val="24"/>
        </w:rPr>
        <w:drawing>
          <wp:inline distT="0" distB="0" distL="0" distR="0" wp14:anchorId="6EF310C3" wp14:editId="7DD706DE">
            <wp:extent cx="3590925" cy="3162300"/>
            <wp:effectExtent l="19050" t="0" r="9525" b="0"/>
            <wp:docPr id="2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3590925" cy="3162300"/>
                    </a:xfrm>
                    <a:prstGeom prst="rect">
                      <a:avLst/>
                    </a:prstGeom>
                    <a:noFill/>
                    <a:ln w="9525">
                      <a:noFill/>
                      <a:miter lim="800000"/>
                      <a:headEnd/>
                      <a:tailEnd/>
                    </a:ln>
                  </pic:spPr>
                </pic:pic>
              </a:graphicData>
            </a:graphic>
          </wp:inline>
        </w:drawing>
      </w:r>
    </w:p>
    <w:p w14:paraId="6BFC4044" w14:textId="4A8AFAEE" w:rsidR="00D27F89" w:rsidRPr="005D59A7" w:rsidRDefault="00D27F89" w:rsidP="00861DC2">
      <w:pPr>
        <w:pStyle w:val="Caption"/>
        <w:bidi/>
        <w:spacing w:line="360" w:lineRule="auto"/>
        <w:ind w:firstLine="720"/>
        <w:jc w:val="center"/>
        <w:rPr>
          <w:rFonts w:ascii="T" w:hAnsi="T" w:cs="Simplified Arabic"/>
          <w:color w:val="auto"/>
          <w:sz w:val="24"/>
          <w:szCs w:val="24"/>
          <w:rtl/>
        </w:rPr>
      </w:pPr>
      <w:bookmarkStart w:id="58" w:name="_Toc225991167"/>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3</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الرؤية والرسالة (وزارة البيئة والمياه والزراعة، 2026)</w:t>
      </w:r>
      <w:bookmarkEnd w:id="58"/>
    </w:p>
    <w:p w14:paraId="4006ECE4" w14:textId="77777777" w:rsidR="002D33E8" w:rsidRDefault="002D33E8" w:rsidP="00861DC2">
      <w:pPr>
        <w:bidi/>
        <w:spacing w:line="360" w:lineRule="auto"/>
        <w:ind w:firstLine="720"/>
        <w:rPr>
          <w:rFonts w:ascii="T" w:hAnsi="T" w:cs="Simplified Arabic"/>
          <w:sz w:val="24"/>
          <w:szCs w:val="24"/>
        </w:rPr>
      </w:pPr>
    </w:p>
    <w:p w14:paraId="473A59C1" w14:textId="2310367C" w:rsidR="00D27F89" w:rsidRPr="005D59A7" w:rsidRDefault="00D27F89" w:rsidP="002D33E8">
      <w:pPr>
        <w:bidi/>
        <w:spacing w:line="360" w:lineRule="auto"/>
        <w:ind w:firstLine="720"/>
        <w:rPr>
          <w:rFonts w:ascii="T" w:hAnsi="T" w:cs="Simplified Arabic"/>
          <w:sz w:val="24"/>
          <w:szCs w:val="24"/>
          <w:rtl/>
        </w:rPr>
      </w:pPr>
      <w:r w:rsidRPr="005D59A7">
        <w:rPr>
          <w:rFonts w:ascii="T" w:hAnsi="T" w:cs="Simplified Arabic"/>
          <w:sz w:val="24"/>
          <w:szCs w:val="24"/>
          <w:rtl/>
        </w:rPr>
        <w:lastRenderedPageBreak/>
        <w:t xml:space="preserve">أهداف الوزارة: </w:t>
      </w:r>
    </w:p>
    <w:p w14:paraId="24920E11"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المحافظة على البيئة والموارد الطبيعية وتنميتها المستدامة</w:t>
      </w:r>
      <w:r w:rsidRPr="005D59A7">
        <w:rPr>
          <w:rFonts w:ascii="T" w:hAnsi="T" w:cs="Simplified Arabic"/>
          <w:sz w:val="24"/>
          <w:szCs w:val="24"/>
        </w:rPr>
        <w:t>.</w:t>
      </w:r>
    </w:p>
    <w:p w14:paraId="12326A8F"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المساهمة في تحقيق الأمن الغذائي المستدام</w:t>
      </w:r>
      <w:r w:rsidRPr="005D59A7">
        <w:rPr>
          <w:rFonts w:ascii="T" w:hAnsi="T" w:cs="Simplified Arabic"/>
          <w:sz w:val="24"/>
          <w:szCs w:val="24"/>
        </w:rPr>
        <w:t>.</w:t>
      </w:r>
    </w:p>
    <w:p w14:paraId="332EB542"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خدمات ومنتجات مستدامة ذات جودة عالية</w:t>
      </w:r>
      <w:r w:rsidRPr="005D59A7">
        <w:rPr>
          <w:rFonts w:ascii="T" w:hAnsi="T" w:cs="Simplified Arabic"/>
          <w:sz w:val="24"/>
          <w:szCs w:val="24"/>
        </w:rPr>
        <w:t>.</w:t>
      </w:r>
    </w:p>
    <w:p w14:paraId="21EC7F7E"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تحقيق الأمن المائي</w:t>
      </w:r>
      <w:r w:rsidRPr="005D59A7">
        <w:rPr>
          <w:rFonts w:ascii="T" w:hAnsi="T" w:cs="Simplified Arabic"/>
          <w:sz w:val="24"/>
          <w:szCs w:val="24"/>
        </w:rPr>
        <w:t>.</w:t>
      </w:r>
    </w:p>
    <w:p w14:paraId="08E3C870"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التنمية المستدامة للقطاعات ذات الميز النسبية</w:t>
      </w:r>
      <w:r w:rsidRPr="005D59A7">
        <w:rPr>
          <w:rFonts w:ascii="T" w:hAnsi="T" w:cs="Simplified Arabic"/>
          <w:sz w:val="24"/>
          <w:szCs w:val="24"/>
        </w:rPr>
        <w:t>.</w:t>
      </w:r>
    </w:p>
    <w:p w14:paraId="258D24FD" w14:textId="77777777" w:rsidR="00D27F89" w:rsidRPr="005D59A7" w:rsidRDefault="00D27F89" w:rsidP="0045581D">
      <w:pPr>
        <w:pStyle w:val="ListParagraph"/>
        <w:numPr>
          <w:ilvl w:val="0"/>
          <w:numId w:val="13"/>
        </w:numPr>
        <w:bidi/>
        <w:spacing w:line="360" w:lineRule="auto"/>
        <w:ind w:left="84" w:firstLine="284"/>
        <w:rPr>
          <w:rFonts w:ascii="T" w:hAnsi="T" w:cs="Simplified Arabic"/>
          <w:sz w:val="24"/>
          <w:szCs w:val="24"/>
        </w:rPr>
      </w:pPr>
      <w:r w:rsidRPr="005D59A7">
        <w:rPr>
          <w:rFonts w:ascii="T" w:hAnsi="T" w:cs="Simplified Arabic"/>
          <w:sz w:val="24"/>
          <w:szCs w:val="24"/>
          <w:rtl/>
        </w:rPr>
        <w:t>تفعيل مشاركة القطاع الخاص ودور الجمعيات والمؤسسات غير الربحية.</w:t>
      </w:r>
    </w:p>
    <w:p w14:paraId="32D0CF82" w14:textId="77777777" w:rsidR="00D27F89" w:rsidRPr="005D59A7" w:rsidRDefault="00D27F89" w:rsidP="008239B0">
      <w:pPr>
        <w:pStyle w:val="ListParagraph"/>
        <w:bidi/>
        <w:spacing w:line="360" w:lineRule="auto"/>
        <w:ind w:left="84" w:firstLine="720"/>
        <w:rPr>
          <w:rFonts w:ascii="T" w:hAnsi="T" w:cs="Simplified Arabic"/>
          <w:sz w:val="24"/>
          <w:szCs w:val="24"/>
          <w:rtl/>
        </w:rPr>
      </w:pPr>
      <w:r w:rsidRPr="005D59A7">
        <w:rPr>
          <w:rFonts w:ascii="T" w:hAnsi="T" w:cs="Simplified Arabic"/>
          <w:noProof/>
          <w:sz w:val="24"/>
          <w:szCs w:val="24"/>
        </w:rPr>
        <w:drawing>
          <wp:inline distT="0" distB="0" distL="0" distR="0" wp14:anchorId="3D2F6092" wp14:editId="51E82DEB">
            <wp:extent cx="3902075" cy="2250831"/>
            <wp:effectExtent l="0" t="0" r="0" b="0"/>
            <wp:docPr id="3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3909073" cy="2254868"/>
                    </a:xfrm>
                    <a:prstGeom prst="rect">
                      <a:avLst/>
                    </a:prstGeom>
                    <a:noFill/>
                    <a:ln w="9525">
                      <a:noFill/>
                      <a:miter lim="800000"/>
                      <a:headEnd/>
                      <a:tailEnd/>
                    </a:ln>
                  </pic:spPr>
                </pic:pic>
              </a:graphicData>
            </a:graphic>
          </wp:inline>
        </w:drawing>
      </w:r>
    </w:p>
    <w:p w14:paraId="0FB580A7" w14:textId="3AC286FF" w:rsidR="00D27F89" w:rsidRPr="005D59A7" w:rsidRDefault="00D27F89" w:rsidP="00861DC2">
      <w:pPr>
        <w:pStyle w:val="Caption"/>
        <w:bidi/>
        <w:spacing w:line="360" w:lineRule="auto"/>
        <w:ind w:firstLine="720"/>
        <w:jc w:val="center"/>
        <w:rPr>
          <w:rFonts w:ascii="T" w:hAnsi="T" w:cs="Simplified Arabic"/>
          <w:color w:val="auto"/>
          <w:sz w:val="24"/>
          <w:szCs w:val="24"/>
          <w:rtl/>
        </w:rPr>
      </w:pPr>
      <w:r w:rsidRPr="005D59A7">
        <w:rPr>
          <w:rFonts w:ascii="T" w:hAnsi="T" w:cs="Simplified Arabic"/>
          <w:color w:val="auto"/>
          <w:sz w:val="24"/>
          <w:szCs w:val="24"/>
          <w:rtl/>
        </w:rPr>
        <w:t xml:space="preserve">                      </w:t>
      </w:r>
      <w:bookmarkStart w:id="59" w:name="_Toc225991168"/>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4</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أهداف الوزارة (وزارة البيئة والمياه والزراعة، 2026)</w:t>
      </w:r>
      <w:bookmarkEnd w:id="59"/>
    </w:p>
    <w:p w14:paraId="6544FC0B" w14:textId="1D67D658" w:rsidR="00D27F89" w:rsidRPr="005D59A7" w:rsidRDefault="0050288C" w:rsidP="00861DC2">
      <w:pPr>
        <w:bidi/>
        <w:spacing w:line="360" w:lineRule="auto"/>
        <w:ind w:firstLine="720"/>
        <w:rPr>
          <w:rFonts w:ascii="T" w:hAnsi="T" w:cs="Simplified Arabic"/>
          <w:sz w:val="24"/>
          <w:szCs w:val="24"/>
          <w:rtl/>
        </w:rPr>
      </w:pPr>
      <w:r w:rsidRPr="005D59A7">
        <w:rPr>
          <w:rFonts w:ascii="T" w:hAnsi="T" w:cs="Simplified Arabic"/>
          <w:sz w:val="24"/>
          <w:szCs w:val="24"/>
          <w:rtl/>
        </w:rPr>
        <w:t xml:space="preserve">وكالات الوزارة: </w:t>
      </w:r>
    </w:p>
    <w:p w14:paraId="228627DC"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البيئة.</w:t>
      </w:r>
    </w:p>
    <w:p w14:paraId="0FB3F20D"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المياه.</w:t>
      </w:r>
    </w:p>
    <w:p w14:paraId="05598902"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الزراعة.</w:t>
      </w:r>
    </w:p>
    <w:p w14:paraId="56E9D29D"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وكالة الأراضي والمعلومات الجيو مكانية. </w:t>
      </w:r>
    </w:p>
    <w:p w14:paraId="6341B669"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وكالة تقنية المعلومات والتحول الرقمي. </w:t>
      </w:r>
    </w:p>
    <w:p w14:paraId="6AFFD121"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البحث والابتكار.</w:t>
      </w:r>
    </w:p>
    <w:p w14:paraId="7306C9E8"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التخطيط والتميز المؤسسي.</w:t>
      </w:r>
    </w:p>
    <w:p w14:paraId="667CD14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 xml:space="preserve">وكالة الخدمات المشتركة. </w:t>
      </w:r>
    </w:p>
    <w:p w14:paraId="5D755E58"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الشؤون الاقتصادية والتخطيط.</w:t>
      </w:r>
    </w:p>
    <w:p w14:paraId="7AB12FBB"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وكالة الوزارة لخدمات المستفيدين وشؤون الفروع.</w:t>
      </w:r>
    </w:p>
    <w:p w14:paraId="7A8109FF"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مهام وكالة البيئة: </w:t>
      </w:r>
    </w:p>
    <w:p w14:paraId="43697F9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الإشراف على حماية البيئة والتنوع الأحيائي والحفاظ عليهما وتنميتهما. </w:t>
      </w:r>
    </w:p>
    <w:p w14:paraId="41507263"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الإشراف على الاتفاقيات الدولية ومتابعة تنفيذ الاستراتيجيات والمبادرات في قطاع البيئة وتعزيز قدرات التكيف المناخي. </w:t>
      </w:r>
    </w:p>
    <w:p w14:paraId="46411216"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إجراء الدراسات الإستراتيجية وإعداد مشاريع الأنظمة والتشريعات واللوائح التنفيذية لمجالات البيئة والأرصاد ومراجعتها بشكل دوري</w:t>
      </w:r>
      <w:r w:rsidRPr="005D59A7">
        <w:rPr>
          <w:rFonts w:ascii="T" w:hAnsi="T" w:cs="Simplified Arabic"/>
          <w:sz w:val="24"/>
          <w:szCs w:val="24"/>
        </w:rPr>
        <w:t>.</w:t>
      </w:r>
    </w:p>
    <w:p w14:paraId="495FB2D4"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رفع مستوى الوعي البيئي وتنمية ثقافة المحافظة على البيئة</w:t>
      </w:r>
      <w:r w:rsidRPr="005D59A7">
        <w:rPr>
          <w:rFonts w:ascii="T" w:hAnsi="T" w:cs="Simplified Arabic"/>
          <w:sz w:val="24"/>
          <w:szCs w:val="24"/>
        </w:rPr>
        <w:t>.</w:t>
      </w:r>
    </w:p>
    <w:p w14:paraId="775C4AE0"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تعزيز قدرات التأهب والاستجابة للطوارئ البيئية</w:t>
      </w:r>
      <w:r w:rsidRPr="005D59A7">
        <w:rPr>
          <w:rFonts w:ascii="T" w:hAnsi="T" w:cs="Simplified Arabic"/>
          <w:sz w:val="24"/>
          <w:szCs w:val="24"/>
        </w:rPr>
        <w:t>.</w:t>
      </w:r>
    </w:p>
    <w:p w14:paraId="2AB167BE"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Pr>
      </w:pPr>
      <w:r w:rsidRPr="005D59A7">
        <w:rPr>
          <w:rFonts w:ascii="T" w:hAnsi="T" w:cs="Simplified Arabic"/>
          <w:sz w:val="24"/>
          <w:szCs w:val="24"/>
          <w:rtl/>
        </w:rPr>
        <w:t>الإشراف على آليات التنسيق بين الوزارة والمراكز البيئية لضمان التكامل بين مكونات الإطار المؤسسي لقطاع البيئة</w:t>
      </w:r>
      <w:r w:rsidRPr="005D59A7">
        <w:rPr>
          <w:rFonts w:ascii="T" w:hAnsi="T" w:cs="Simplified Arabic"/>
          <w:sz w:val="24"/>
          <w:szCs w:val="24"/>
        </w:rPr>
        <w:t>.</w:t>
      </w:r>
    </w:p>
    <w:p w14:paraId="72E59AF1" w14:textId="77777777" w:rsidR="0050288C" w:rsidRPr="005D59A7" w:rsidRDefault="0050288C" w:rsidP="0045581D">
      <w:pPr>
        <w:pStyle w:val="ListParagraph"/>
        <w:numPr>
          <w:ilvl w:val="0"/>
          <w:numId w:val="14"/>
        </w:num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الجهات التابعة للوزارة: </w:t>
      </w:r>
    </w:p>
    <w:tbl>
      <w:tblPr>
        <w:tblStyle w:val="TableGrid"/>
        <w:bidiVisual/>
        <w:tblW w:w="0" w:type="auto"/>
        <w:tblInd w:w="720" w:type="dxa"/>
        <w:tblLook w:val="04A0" w:firstRow="1" w:lastRow="0" w:firstColumn="1" w:lastColumn="0" w:noHBand="0" w:noVBand="1"/>
      </w:tblPr>
      <w:tblGrid>
        <w:gridCol w:w="4168"/>
        <w:gridCol w:w="3634"/>
      </w:tblGrid>
      <w:tr w:rsidR="0048002A" w:rsidRPr="005D59A7" w14:paraId="693B9A80" w14:textId="77777777" w:rsidTr="008E342C">
        <w:tc>
          <w:tcPr>
            <w:tcW w:w="4261" w:type="dxa"/>
            <w:vAlign w:val="center"/>
          </w:tcPr>
          <w:p w14:paraId="6D761538" w14:textId="77777777" w:rsidR="00FF1690" w:rsidRPr="005D59A7" w:rsidRDefault="00FF1690"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tl/>
              </w:rPr>
              <w:t>الشعار</w:t>
            </w:r>
          </w:p>
        </w:tc>
        <w:tc>
          <w:tcPr>
            <w:tcW w:w="4261" w:type="dxa"/>
            <w:vAlign w:val="center"/>
          </w:tcPr>
          <w:p w14:paraId="66190758" w14:textId="77777777" w:rsidR="00FF1690" w:rsidRPr="005D59A7" w:rsidRDefault="00FF1690"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الاسم</w:t>
            </w:r>
          </w:p>
        </w:tc>
      </w:tr>
      <w:tr w:rsidR="0048002A" w:rsidRPr="005D59A7" w14:paraId="45DDAB0E" w14:textId="77777777" w:rsidTr="008E342C">
        <w:tc>
          <w:tcPr>
            <w:tcW w:w="4261" w:type="dxa"/>
            <w:vAlign w:val="center"/>
          </w:tcPr>
          <w:p w14:paraId="2EA3110B"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3F6C9E96" wp14:editId="450CC246">
                  <wp:extent cx="1943100" cy="1400175"/>
                  <wp:effectExtent l="19050" t="0" r="0" b="0"/>
                  <wp:docPr id="34"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1943100" cy="1400175"/>
                          </a:xfrm>
                          <a:prstGeom prst="rect">
                            <a:avLst/>
                          </a:prstGeom>
                          <a:noFill/>
                          <a:ln w="9525">
                            <a:noFill/>
                            <a:miter lim="800000"/>
                            <a:headEnd/>
                            <a:tailEnd/>
                          </a:ln>
                        </pic:spPr>
                      </pic:pic>
                    </a:graphicData>
                  </a:graphic>
                </wp:inline>
              </w:drawing>
            </w:r>
          </w:p>
        </w:tc>
        <w:tc>
          <w:tcPr>
            <w:tcW w:w="4261" w:type="dxa"/>
            <w:vAlign w:val="center"/>
          </w:tcPr>
          <w:p w14:paraId="40D1A618"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لكفاءة وترشيد المياه</w:t>
            </w:r>
          </w:p>
        </w:tc>
      </w:tr>
      <w:tr w:rsidR="0048002A" w:rsidRPr="005D59A7" w14:paraId="2940CC33" w14:textId="77777777" w:rsidTr="008E342C">
        <w:tc>
          <w:tcPr>
            <w:tcW w:w="4261" w:type="dxa"/>
            <w:vAlign w:val="center"/>
          </w:tcPr>
          <w:p w14:paraId="63F804BC"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1585D2D8" wp14:editId="49F67306">
                  <wp:extent cx="1724025" cy="1343025"/>
                  <wp:effectExtent l="19050" t="0" r="9525" b="0"/>
                  <wp:docPr id="37"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rcRect/>
                          <a:stretch>
                            <a:fillRect/>
                          </a:stretch>
                        </pic:blipFill>
                        <pic:spPr bwMode="auto">
                          <a:xfrm>
                            <a:off x="0" y="0"/>
                            <a:ext cx="1724025" cy="1343025"/>
                          </a:xfrm>
                          <a:prstGeom prst="rect">
                            <a:avLst/>
                          </a:prstGeom>
                          <a:noFill/>
                          <a:ln w="9525">
                            <a:noFill/>
                            <a:miter lim="800000"/>
                            <a:headEnd/>
                            <a:tailEnd/>
                          </a:ln>
                        </pic:spPr>
                      </pic:pic>
                    </a:graphicData>
                  </a:graphic>
                </wp:inline>
              </w:drawing>
            </w:r>
          </w:p>
        </w:tc>
        <w:tc>
          <w:tcPr>
            <w:tcW w:w="4261" w:type="dxa"/>
            <w:vAlign w:val="center"/>
          </w:tcPr>
          <w:p w14:paraId="3CDA9988"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سالك</w:t>
            </w:r>
          </w:p>
        </w:tc>
      </w:tr>
      <w:tr w:rsidR="0048002A" w:rsidRPr="005D59A7" w14:paraId="2CF699E2" w14:textId="77777777" w:rsidTr="008E342C">
        <w:tc>
          <w:tcPr>
            <w:tcW w:w="4261" w:type="dxa"/>
            <w:vAlign w:val="center"/>
          </w:tcPr>
          <w:p w14:paraId="35E6998B"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lastRenderedPageBreak/>
              <w:drawing>
                <wp:inline distT="0" distB="0" distL="0" distR="0" wp14:anchorId="0EA77CC2" wp14:editId="4A69CE35">
                  <wp:extent cx="1576834" cy="1219200"/>
                  <wp:effectExtent l="19050" t="0" r="4316" b="0"/>
                  <wp:docPr id="39"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srcRect/>
                          <a:stretch>
                            <a:fillRect/>
                          </a:stretch>
                        </pic:blipFill>
                        <pic:spPr bwMode="auto">
                          <a:xfrm>
                            <a:off x="0" y="0"/>
                            <a:ext cx="1581150" cy="1222537"/>
                          </a:xfrm>
                          <a:prstGeom prst="rect">
                            <a:avLst/>
                          </a:prstGeom>
                          <a:noFill/>
                          <a:ln w="9525">
                            <a:noFill/>
                            <a:miter lim="800000"/>
                            <a:headEnd/>
                            <a:tailEnd/>
                          </a:ln>
                        </pic:spPr>
                      </pic:pic>
                    </a:graphicData>
                  </a:graphic>
                </wp:inline>
              </w:drawing>
            </w:r>
          </w:p>
        </w:tc>
        <w:tc>
          <w:tcPr>
            <w:tcW w:w="4261" w:type="dxa"/>
            <w:vAlign w:val="center"/>
          </w:tcPr>
          <w:p w14:paraId="6A9D3B3E"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للرقابة على الالتزام البيئي</w:t>
            </w:r>
          </w:p>
        </w:tc>
      </w:tr>
      <w:tr w:rsidR="0048002A" w:rsidRPr="005D59A7" w14:paraId="4AB5060F" w14:textId="77777777" w:rsidTr="008E342C">
        <w:tc>
          <w:tcPr>
            <w:tcW w:w="4261" w:type="dxa"/>
            <w:vAlign w:val="center"/>
          </w:tcPr>
          <w:p w14:paraId="0B7A3D36"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581895C7" wp14:editId="4236DAEB">
                  <wp:extent cx="2228850" cy="1600200"/>
                  <wp:effectExtent l="19050" t="0" r="0" b="0"/>
                  <wp:docPr id="42"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srcRect/>
                          <a:stretch>
                            <a:fillRect/>
                          </a:stretch>
                        </pic:blipFill>
                        <pic:spPr bwMode="auto">
                          <a:xfrm>
                            <a:off x="0" y="0"/>
                            <a:ext cx="2228850" cy="1600200"/>
                          </a:xfrm>
                          <a:prstGeom prst="rect">
                            <a:avLst/>
                          </a:prstGeom>
                          <a:noFill/>
                          <a:ln w="9525">
                            <a:noFill/>
                            <a:miter lim="800000"/>
                            <a:headEnd/>
                            <a:tailEnd/>
                          </a:ln>
                        </pic:spPr>
                      </pic:pic>
                    </a:graphicData>
                  </a:graphic>
                </wp:inline>
              </w:drawing>
            </w:r>
          </w:p>
        </w:tc>
        <w:tc>
          <w:tcPr>
            <w:tcW w:w="4261" w:type="dxa"/>
            <w:vAlign w:val="center"/>
          </w:tcPr>
          <w:p w14:paraId="6B8AE661"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مركز الملك عبد العزيز للخيل العربية الأصيلة</w:t>
            </w:r>
          </w:p>
        </w:tc>
      </w:tr>
      <w:tr w:rsidR="0048002A" w:rsidRPr="005D59A7" w14:paraId="5547B3A8" w14:textId="77777777" w:rsidTr="008E342C">
        <w:tc>
          <w:tcPr>
            <w:tcW w:w="4261" w:type="dxa"/>
            <w:vAlign w:val="center"/>
          </w:tcPr>
          <w:p w14:paraId="1DB639CE"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4D794B3A" wp14:editId="4147D274">
                  <wp:extent cx="1409700" cy="1306163"/>
                  <wp:effectExtent l="19050" t="0" r="0" b="0"/>
                  <wp:docPr id="44"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srcRect/>
                          <a:stretch>
                            <a:fillRect/>
                          </a:stretch>
                        </pic:blipFill>
                        <pic:spPr bwMode="auto">
                          <a:xfrm>
                            <a:off x="0" y="0"/>
                            <a:ext cx="1409700" cy="1306163"/>
                          </a:xfrm>
                          <a:prstGeom prst="rect">
                            <a:avLst/>
                          </a:prstGeom>
                          <a:noFill/>
                          <a:ln w="9525">
                            <a:noFill/>
                            <a:miter lim="800000"/>
                            <a:headEnd/>
                            <a:tailEnd/>
                          </a:ln>
                        </pic:spPr>
                      </pic:pic>
                    </a:graphicData>
                  </a:graphic>
                </wp:inline>
              </w:drawing>
            </w:r>
          </w:p>
        </w:tc>
        <w:tc>
          <w:tcPr>
            <w:tcW w:w="4261" w:type="dxa"/>
            <w:vAlign w:val="center"/>
          </w:tcPr>
          <w:p w14:paraId="72D44AD5"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المركز الوطني لتنمية الحياة الفطرية</w:t>
            </w:r>
          </w:p>
        </w:tc>
      </w:tr>
      <w:tr w:rsidR="0048002A" w:rsidRPr="005D59A7" w14:paraId="0021AB3F" w14:textId="77777777" w:rsidTr="008E342C">
        <w:tc>
          <w:tcPr>
            <w:tcW w:w="4261" w:type="dxa"/>
            <w:vAlign w:val="center"/>
          </w:tcPr>
          <w:p w14:paraId="3AC40BA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7B617292" wp14:editId="64754159">
                  <wp:extent cx="1514475" cy="1363028"/>
                  <wp:effectExtent l="19050" t="0" r="9525" b="0"/>
                  <wp:docPr id="47"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srcRect/>
                          <a:stretch>
                            <a:fillRect/>
                          </a:stretch>
                        </pic:blipFill>
                        <pic:spPr bwMode="auto">
                          <a:xfrm>
                            <a:off x="0" y="0"/>
                            <a:ext cx="1514475" cy="1363028"/>
                          </a:xfrm>
                          <a:prstGeom prst="rect">
                            <a:avLst/>
                          </a:prstGeom>
                          <a:noFill/>
                          <a:ln w="9525">
                            <a:noFill/>
                            <a:miter lim="800000"/>
                            <a:headEnd/>
                            <a:tailEnd/>
                          </a:ln>
                        </pic:spPr>
                      </pic:pic>
                    </a:graphicData>
                  </a:graphic>
                </wp:inline>
              </w:drawing>
            </w:r>
          </w:p>
        </w:tc>
        <w:tc>
          <w:tcPr>
            <w:tcW w:w="4261" w:type="dxa"/>
            <w:vAlign w:val="center"/>
          </w:tcPr>
          <w:p w14:paraId="0DFEB991"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الشركة السعودية لشراكات المياه</w:t>
            </w:r>
          </w:p>
        </w:tc>
      </w:tr>
      <w:tr w:rsidR="0048002A" w:rsidRPr="005D59A7" w14:paraId="4FA2C7A5" w14:textId="77777777" w:rsidTr="008E342C">
        <w:tc>
          <w:tcPr>
            <w:tcW w:w="4261" w:type="dxa"/>
            <w:vAlign w:val="center"/>
          </w:tcPr>
          <w:p w14:paraId="26B352E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0158EC58" wp14:editId="4B6FACDB">
                  <wp:extent cx="1409700" cy="1316165"/>
                  <wp:effectExtent l="19050" t="0" r="0" b="0"/>
                  <wp:docPr id="50"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srcRect/>
                          <a:stretch>
                            <a:fillRect/>
                          </a:stretch>
                        </pic:blipFill>
                        <pic:spPr bwMode="auto">
                          <a:xfrm>
                            <a:off x="0" y="0"/>
                            <a:ext cx="1409700" cy="1316165"/>
                          </a:xfrm>
                          <a:prstGeom prst="rect">
                            <a:avLst/>
                          </a:prstGeom>
                          <a:noFill/>
                          <a:ln w="9525">
                            <a:noFill/>
                            <a:miter lim="800000"/>
                            <a:headEnd/>
                            <a:tailEnd/>
                          </a:ln>
                        </pic:spPr>
                      </pic:pic>
                    </a:graphicData>
                  </a:graphic>
                </wp:inline>
              </w:drawing>
            </w:r>
          </w:p>
        </w:tc>
        <w:tc>
          <w:tcPr>
            <w:tcW w:w="4261" w:type="dxa"/>
            <w:vAlign w:val="center"/>
          </w:tcPr>
          <w:p w14:paraId="487F1DB0"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الهيئة العامة للأمن الغذائي</w:t>
            </w:r>
          </w:p>
        </w:tc>
      </w:tr>
      <w:tr w:rsidR="0048002A" w:rsidRPr="005D59A7" w14:paraId="40EBDEAB" w14:textId="77777777" w:rsidTr="008E342C">
        <w:tc>
          <w:tcPr>
            <w:tcW w:w="4261" w:type="dxa"/>
            <w:vAlign w:val="center"/>
          </w:tcPr>
          <w:p w14:paraId="32D1F58F"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164732F1" wp14:editId="4479FD46">
                  <wp:extent cx="1272565" cy="1247775"/>
                  <wp:effectExtent l="19050" t="0" r="3785" b="0"/>
                  <wp:docPr id="52"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srcRect/>
                          <a:stretch>
                            <a:fillRect/>
                          </a:stretch>
                        </pic:blipFill>
                        <pic:spPr bwMode="auto">
                          <a:xfrm>
                            <a:off x="0" y="0"/>
                            <a:ext cx="1277099" cy="1252221"/>
                          </a:xfrm>
                          <a:prstGeom prst="rect">
                            <a:avLst/>
                          </a:prstGeom>
                          <a:noFill/>
                          <a:ln w="9525">
                            <a:noFill/>
                            <a:miter lim="800000"/>
                            <a:headEnd/>
                            <a:tailEnd/>
                          </a:ln>
                        </pic:spPr>
                      </pic:pic>
                    </a:graphicData>
                  </a:graphic>
                </wp:inline>
              </w:drawing>
            </w:r>
          </w:p>
        </w:tc>
        <w:tc>
          <w:tcPr>
            <w:tcW w:w="4261" w:type="dxa"/>
            <w:vAlign w:val="center"/>
          </w:tcPr>
          <w:p w14:paraId="3BC64903"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المؤسسة العامة لتحلية المياه المالحة</w:t>
            </w:r>
          </w:p>
        </w:tc>
      </w:tr>
      <w:tr w:rsidR="0048002A" w:rsidRPr="005D59A7" w14:paraId="36A187B8" w14:textId="77777777" w:rsidTr="008E342C">
        <w:tc>
          <w:tcPr>
            <w:tcW w:w="4261" w:type="dxa"/>
            <w:vAlign w:val="center"/>
          </w:tcPr>
          <w:p w14:paraId="33CA1326"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lastRenderedPageBreak/>
              <w:drawing>
                <wp:inline distT="0" distB="0" distL="0" distR="0" wp14:anchorId="16F64956" wp14:editId="01683918">
                  <wp:extent cx="1374140" cy="1304563"/>
                  <wp:effectExtent l="19050" t="0" r="0" b="0"/>
                  <wp:docPr id="53"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srcRect/>
                          <a:stretch>
                            <a:fillRect/>
                          </a:stretch>
                        </pic:blipFill>
                        <pic:spPr bwMode="auto">
                          <a:xfrm>
                            <a:off x="0" y="0"/>
                            <a:ext cx="1374140" cy="1304563"/>
                          </a:xfrm>
                          <a:prstGeom prst="rect">
                            <a:avLst/>
                          </a:prstGeom>
                          <a:noFill/>
                          <a:ln w="9525">
                            <a:noFill/>
                            <a:miter lim="800000"/>
                            <a:headEnd/>
                            <a:tailEnd/>
                          </a:ln>
                        </pic:spPr>
                      </pic:pic>
                    </a:graphicData>
                  </a:graphic>
                </wp:inline>
              </w:drawing>
            </w:r>
          </w:p>
        </w:tc>
        <w:tc>
          <w:tcPr>
            <w:tcW w:w="4261" w:type="dxa"/>
            <w:vAlign w:val="center"/>
          </w:tcPr>
          <w:p w14:paraId="6A4D6827"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شركة المياه الوطنية</w:t>
            </w:r>
          </w:p>
        </w:tc>
      </w:tr>
      <w:tr w:rsidR="0048002A" w:rsidRPr="005D59A7" w14:paraId="11D982C0" w14:textId="77777777" w:rsidTr="008E342C">
        <w:tc>
          <w:tcPr>
            <w:tcW w:w="4261" w:type="dxa"/>
            <w:vAlign w:val="center"/>
          </w:tcPr>
          <w:p w14:paraId="6DE078BB"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drawing>
                <wp:inline distT="0" distB="0" distL="0" distR="0" wp14:anchorId="166300D3" wp14:editId="6F234D7B">
                  <wp:extent cx="1276350" cy="1293368"/>
                  <wp:effectExtent l="19050" t="0" r="0" b="0"/>
                  <wp:docPr id="54"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srcRect/>
                          <a:stretch>
                            <a:fillRect/>
                          </a:stretch>
                        </pic:blipFill>
                        <pic:spPr bwMode="auto">
                          <a:xfrm>
                            <a:off x="0" y="0"/>
                            <a:ext cx="1276350" cy="1293368"/>
                          </a:xfrm>
                          <a:prstGeom prst="rect">
                            <a:avLst/>
                          </a:prstGeom>
                          <a:noFill/>
                          <a:ln w="9525">
                            <a:noFill/>
                            <a:miter lim="800000"/>
                            <a:headEnd/>
                            <a:tailEnd/>
                          </a:ln>
                        </pic:spPr>
                      </pic:pic>
                    </a:graphicData>
                  </a:graphic>
                </wp:inline>
              </w:drawing>
            </w:r>
          </w:p>
        </w:tc>
        <w:tc>
          <w:tcPr>
            <w:tcW w:w="4261" w:type="dxa"/>
            <w:vAlign w:val="center"/>
          </w:tcPr>
          <w:p w14:paraId="5784846F"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المؤسسة العامة للري</w:t>
            </w:r>
          </w:p>
        </w:tc>
      </w:tr>
      <w:tr w:rsidR="0048002A" w:rsidRPr="005D59A7" w14:paraId="2B98EEB5" w14:textId="77777777" w:rsidTr="008E342C">
        <w:tc>
          <w:tcPr>
            <w:tcW w:w="4261" w:type="dxa"/>
            <w:vAlign w:val="center"/>
          </w:tcPr>
          <w:p w14:paraId="6079ACDB" w14:textId="77777777" w:rsidR="008E342C" w:rsidRPr="005D59A7" w:rsidRDefault="008E342C" w:rsidP="00A40353">
            <w:pPr>
              <w:bidi/>
              <w:spacing w:after="0" w:line="360" w:lineRule="auto"/>
              <w:ind w:firstLine="720"/>
              <w:jc w:val="center"/>
              <w:rPr>
                <w:rFonts w:ascii="T" w:hAnsi="T" w:cs="Simplified Arabic"/>
                <w:noProof/>
                <w:sz w:val="24"/>
                <w:szCs w:val="24"/>
              </w:rPr>
            </w:pPr>
            <w:r w:rsidRPr="005D59A7">
              <w:rPr>
                <w:rFonts w:ascii="T" w:hAnsi="T" w:cs="Simplified Arabic"/>
                <w:noProof/>
                <w:sz w:val="24"/>
                <w:szCs w:val="24"/>
              </w:rPr>
              <w:drawing>
                <wp:inline distT="0" distB="0" distL="0" distR="0" wp14:anchorId="3860612E" wp14:editId="647CFCBF">
                  <wp:extent cx="1249821" cy="1266825"/>
                  <wp:effectExtent l="19050" t="0" r="7479" b="0"/>
                  <wp:docPr id="55"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srcRect/>
                          <a:stretch>
                            <a:fillRect/>
                          </a:stretch>
                        </pic:blipFill>
                        <pic:spPr bwMode="auto">
                          <a:xfrm>
                            <a:off x="0" y="0"/>
                            <a:ext cx="1249821" cy="1266825"/>
                          </a:xfrm>
                          <a:prstGeom prst="rect">
                            <a:avLst/>
                          </a:prstGeom>
                          <a:noFill/>
                          <a:ln w="9525">
                            <a:noFill/>
                            <a:miter lim="800000"/>
                            <a:headEnd/>
                            <a:tailEnd/>
                          </a:ln>
                        </pic:spPr>
                      </pic:pic>
                    </a:graphicData>
                  </a:graphic>
                </wp:inline>
              </w:drawing>
            </w:r>
          </w:p>
        </w:tc>
        <w:tc>
          <w:tcPr>
            <w:tcW w:w="4261" w:type="dxa"/>
            <w:vAlign w:val="center"/>
          </w:tcPr>
          <w:p w14:paraId="36E934BC" w14:textId="77777777" w:rsidR="008E342C" w:rsidRPr="005D59A7" w:rsidRDefault="008E342C" w:rsidP="00A40353">
            <w:pPr>
              <w:bidi/>
              <w:spacing w:after="0" w:line="360" w:lineRule="auto"/>
              <w:ind w:firstLine="720"/>
              <w:jc w:val="center"/>
              <w:rPr>
                <w:rFonts w:ascii="T" w:hAnsi="T" w:cs="Simplified Arabic"/>
                <w:sz w:val="24"/>
                <w:szCs w:val="24"/>
                <w:rtl/>
              </w:rPr>
            </w:pPr>
            <w:r w:rsidRPr="005D59A7">
              <w:rPr>
                <w:rFonts w:ascii="T" w:hAnsi="T" w:cs="Simplified Arabic"/>
                <w:sz w:val="24"/>
                <w:szCs w:val="24"/>
                <w:rtl/>
              </w:rPr>
              <w:t>صندوق التنمية الزراعية</w:t>
            </w:r>
          </w:p>
        </w:tc>
      </w:tr>
    </w:tbl>
    <w:p w14:paraId="250A6A80" w14:textId="7D6C941C" w:rsidR="0050288C" w:rsidRPr="005D59A7" w:rsidRDefault="008E342C" w:rsidP="00861DC2">
      <w:pPr>
        <w:pStyle w:val="Caption"/>
        <w:bidi/>
        <w:spacing w:line="360" w:lineRule="auto"/>
        <w:ind w:firstLine="720"/>
        <w:jc w:val="center"/>
        <w:rPr>
          <w:rFonts w:ascii="T" w:hAnsi="T" w:cs="Simplified Arabic"/>
          <w:noProof/>
          <w:color w:val="auto"/>
          <w:sz w:val="24"/>
          <w:szCs w:val="24"/>
          <w:rtl/>
        </w:rPr>
      </w:pPr>
      <w:bookmarkStart w:id="60" w:name="_Toc225991175"/>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3</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الجهات التابعة لوزارة البيئة والمياه والزراعة</w:t>
      </w:r>
      <w:bookmarkEnd w:id="60"/>
    </w:p>
    <w:p w14:paraId="0F1D42A8" w14:textId="77777777" w:rsidR="00DF6065" w:rsidRPr="005D59A7" w:rsidRDefault="00AA6140"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لتنمية الغطاء النباتي ومكافحة التصحر</w:t>
      </w:r>
    </w:p>
    <w:p w14:paraId="7092DBC7" w14:textId="77777777" w:rsidR="00AA6140" w:rsidRPr="005D59A7" w:rsidRDefault="00AA6140" w:rsidP="00A40353">
      <w:pPr>
        <w:bidi/>
        <w:spacing w:line="360" w:lineRule="auto"/>
        <w:ind w:left="84" w:firstLine="720"/>
        <w:jc w:val="both"/>
        <w:rPr>
          <w:rFonts w:ascii="T" w:hAnsi="T" w:cs="Simplified Arabic"/>
          <w:sz w:val="24"/>
          <w:szCs w:val="24"/>
          <w:shd w:val="clear" w:color="auto" w:fill="FFFFFF"/>
          <w:rtl/>
        </w:rPr>
      </w:pPr>
      <w:r w:rsidRPr="005D59A7">
        <w:rPr>
          <w:rFonts w:ascii="T" w:hAnsi="T" w:cs="Simplified Arabic"/>
          <w:sz w:val="24"/>
          <w:szCs w:val="24"/>
          <w:shd w:val="clear" w:color="auto" w:fill="FFFFFF"/>
          <w:rtl/>
        </w:rPr>
        <w:t>صدر قرار مجلس الوزراء رقم (٤١٧) بتاريخ ١٤٤٠/٠٧/١٩هـ بإنشاء المركز الوطني لتنمية الغطاء النباتي، ويأتي إنشاء المركز بهدف الإشراف على إدارة أراضي المراعي والغابات والمتنزهات الوطنية واستثمارها، والمحافظة على الموارد الوراثية النباتية والغطاء النباتي خارج المناطق المحمية في المملكة بجميع بيئاته، ومكافحة التصحر (</w:t>
      </w:r>
      <w:r w:rsidRPr="005D59A7">
        <w:rPr>
          <w:rFonts w:ascii="T" w:hAnsi="T" w:cs="Simplified Arabic"/>
          <w:sz w:val="24"/>
          <w:szCs w:val="24"/>
          <w:shd w:val="clear" w:color="auto" w:fill="FFFFFF"/>
        </w:rPr>
        <w:t>NCVC, 2026</w:t>
      </w:r>
      <w:r w:rsidRPr="005D59A7">
        <w:rPr>
          <w:rFonts w:ascii="T" w:hAnsi="T" w:cs="Simplified Arabic"/>
          <w:sz w:val="24"/>
          <w:szCs w:val="24"/>
          <w:shd w:val="clear" w:color="auto" w:fill="FFFFFF"/>
          <w:rtl/>
        </w:rPr>
        <w:t xml:space="preserve">). </w:t>
      </w:r>
    </w:p>
    <w:p w14:paraId="4D065CB3"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rtl/>
        </w:rPr>
      </w:pPr>
      <w:r w:rsidRPr="005D59A7">
        <w:rPr>
          <w:rFonts w:ascii="T" w:hAnsi="T" w:cs="Simplified Arabic"/>
          <w:shd w:val="clear" w:color="auto" w:fill="FFFFFF"/>
          <w:rtl/>
        </w:rPr>
        <w:t>و</w:t>
      </w:r>
      <w:r w:rsidRPr="005D59A7">
        <w:rPr>
          <w:rFonts w:ascii="T" w:hAnsi="T" w:cs="Simplified Arabic"/>
          <w:rtl/>
        </w:rPr>
        <w:t xml:space="preserve">يسعى المركز الوطني لتنمية الغطاء النباتي ومكافحة التصحر لتنفيذ الأهداف </w:t>
      </w:r>
      <w:r w:rsidR="00C44F90" w:rsidRPr="005D59A7">
        <w:rPr>
          <w:rFonts w:ascii="T" w:hAnsi="T" w:cs="Simplified Arabic"/>
          <w:rtl/>
        </w:rPr>
        <w:t>الإستراتيجية</w:t>
      </w:r>
      <w:r w:rsidRPr="005D59A7">
        <w:rPr>
          <w:rFonts w:ascii="T" w:hAnsi="T" w:cs="Simplified Arabic"/>
          <w:rtl/>
        </w:rPr>
        <w:t xml:space="preserve"> للمملكة التي تجسدها رؤية 2030، ويساهم في الارتقاء بمستوى المعيشة من خلال تخفيض المناطق الملوثة بيئيًا وإعادة تأهيلها، كما يحرص على تطوير حماية البيئة من الأخطار الطبيعية وتعزيز الوقاية من الحشرات والآفات المضرة بالغطاء النباتي، وتنمية القدرات الوطنية لتحقيق الحماية، وتنمية موارد المملكة الحيوية وضمان الاستفادة المستدامة منها</w:t>
      </w:r>
      <w:r w:rsidRPr="005D59A7">
        <w:rPr>
          <w:rFonts w:ascii="T" w:hAnsi="T" w:cs="Simplified Arabic"/>
        </w:rPr>
        <w:t>.</w:t>
      </w:r>
    </w:p>
    <w:p w14:paraId="081F1F2A" w14:textId="77777777" w:rsidR="00AA6140" w:rsidRPr="005D59A7" w:rsidRDefault="00AA6140" w:rsidP="00A40353">
      <w:pPr>
        <w:bidi/>
        <w:spacing w:line="360" w:lineRule="auto"/>
        <w:ind w:left="84" w:firstLine="720"/>
        <w:rPr>
          <w:rFonts w:ascii="T" w:hAnsi="T" w:cs="Simplified Arabic"/>
          <w:sz w:val="24"/>
          <w:szCs w:val="24"/>
          <w:shd w:val="clear" w:color="auto" w:fill="FFFFFF"/>
          <w:rtl/>
        </w:rPr>
      </w:pPr>
      <w:r w:rsidRPr="005D59A7">
        <w:rPr>
          <w:rFonts w:ascii="T" w:hAnsi="T" w:cs="Simplified Arabic"/>
          <w:sz w:val="24"/>
          <w:szCs w:val="24"/>
          <w:shd w:val="clear" w:color="auto" w:fill="FFFFFF"/>
          <w:rtl/>
        </w:rPr>
        <w:lastRenderedPageBreak/>
        <w:t xml:space="preserve">المسؤوليات الرئيسية: </w:t>
      </w:r>
    </w:p>
    <w:p w14:paraId="2CFB4375"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ضمان تطبيق الأنظمة والمعايير ذات الصلة.</w:t>
      </w:r>
    </w:p>
    <w:p w14:paraId="3E57B7FF"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حماية وتنمية الغابات واستدامتها.</w:t>
      </w:r>
    </w:p>
    <w:p w14:paraId="463A78F8"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الإدارة المستدامة للمراعي والمنتزهات الوطنية.</w:t>
      </w:r>
    </w:p>
    <w:p w14:paraId="4C3F98EF"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 xml:space="preserve">إعادة تأهيل الغطاء النباتي والتشجير. </w:t>
      </w:r>
    </w:p>
    <w:p w14:paraId="3EDAF6AB"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 xml:space="preserve">إشراك القطاع الخاص لأداء المهام ذات الصلة. </w:t>
      </w:r>
    </w:p>
    <w:p w14:paraId="7135E2E6" w14:textId="77777777" w:rsidR="00AA6140" w:rsidRPr="005D59A7" w:rsidRDefault="00AA6140" w:rsidP="0045581D">
      <w:pPr>
        <w:pStyle w:val="ListParagraph"/>
        <w:numPr>
          <w:ilvl w:val="0"/>
          <w:numId w:val="15"/>
        </w:numPr>
        <w:bidi/>
        <w:spacing w:line="360" w:lineRule="auto"/>
        <w:ind w:left="84" w:firstLine="425"/>
        <w:rPr>
          <w:rFonts w:ascii="T" w:hAnsi="T" w:cs="Simplified Arabic"/>
          <w:sz w:val="24"/>
          <w:szCs w:val="24"/>
        </w:rPr>
      </w:pPr>
      <w:r w:rsidRPr="005D59A7">
        <w:rPr>
          <w:rFonts w:ascii="T" w:hAnsi="T" w:cs="Simplified Arabic"/>
          <w:sz w:val="24"/>
          <w:szCs w:val="24"/>
          <w:rtl/>
        </w:rPr>
        <w:t>الالتزام بالاتفاقيات الدولية ذات الصلة.</w:t>
      </w:r>
    </w:p>
    <w:p w14:paraId="3B4E7728" w14:textId="77777777" w:rsidR="00D27F89" w:rsidRPr="005D59A7" w:rsidRDefault="00AA6140" w:rsidP="0045581D">
      <w:pPr>
        <w:pStyle w:val="ListParagraph"/>
        <w:numPr>
          <w:ilvl w:val="0"/>
          <w:numId w:val="15"/>
        </w:numPr>
        <w:bidi/>
        <w:spacing w:line="360" w:lineRule="auto"/>
        <w:ind w:left="84" w:firstLine="425"/>
        <w:rPr>
          <w:rFonts w:ascii="T" w:hAnsi="T" w:cs="Simplified Arabic"/>
          <w:sz w:val="24"/>
          <w:szCs w:val="24"/>
          <w:rtl/>
        </w:rPr>
      </w:pPr>
      <w:r w:rsidRPr="005D59A7">
        <w:rPr>
          <w:rFonts w:ascii="T" w:hAnsi="T" w:cs="Simplified Arabic"/>
          <w:sz w:val="24"/>
          <w:szCs w:val="24"/>
          <w:rtl/>
        </w:rPr>
        <w:t>رفع تقارير الأداء.</w:t>
      </w:r>
    </w:p>
    <w:p w14:paraId="4C3E1F0F" w14:textId="77777777" w:rsidR="001F441A" w:rsidRPr="005D59A7" w:rsidRDefault="00AA6140"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لتنمية الحياة الفطرية</w:t>
      </w:r>
    </w:p>
    <w:p w14:paraId="063A6103"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تتحقق جودة الحياة في رؤية 2030 بتكامل منظومة البيئة ولتحقيق الأمن الغذائي والمائي ورفاهية الحياة، ويعتبر المركز الوطني لتنمية الحياة الفطرية أحد مراكز المنظومة والذي يعمل على حماية النظم البيئية والتنوع الأحيائي وتنميته وإعادة توطينه، إضافة إلى هذا علاج المخاطر المتعلقة بالحياة الفطرية. وشهد العام 2022م تقدماً في حماية وتنمية البيئة البرية والبحرية ومجالات الإكثار للأنواع الحيوانية المهددة بالانقراض وإعادة التوطين وإدارة المناطق المحمية، ويولي المركز اهتمامًا في توطين واستقطاب الكفاءات السعودية لتحقيق الاعتماد الوطني على الكفاءات المحلية في مجال إدارة وتطوير المحميات الطبيعية من خلال التدريب والعمل الميداني مع خبراء عالميين متخصصين (</w:t>
      </w:r>
      <w:r w:rsidRPr="005D59A7">
        <w:rPr>
          <w:rFonts w:ascii="T" w:hAnsi="T" w:cs="Simplified Arabic"/>
          <w:shd w:val="clear" w:color="auto" w:fill="FFFFFF"/>
        </w:rPr>
        <w:t>NCW, 2026</w:t>
      </w:r>
      <w:r w:rsidRPr="005D59A7">
        <w:rPr>
          <w:rFonts w:ascii="T" w:hAnsi="T" w:cs="Simplified Arabic"/>
          <w:shd w:val="clear" w:color="auto" w:fill="FFFFFF"/>
          <w:rtl/>
        </w:rPr>
        <w:t>)</w:t>
      </w:r>
      <w:r w:rsidR="00C44F90" w:rsidRPr="005D59A7">
        <w:rPr>
          <w:rFonts w:ascii="T" w:hAnsi="T" w:cs="Simplified Arabic"/>
          <w:shd w:val="clear" w:color="auto" w:fill="FFFFFF"/>
          <w:rtl/>
        </w:rPr>
        <w:t>.</w:t>
      </w:r>
    </w:p>
    <w:p w14:paraId="08A86C69"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 xml:space="preserve">حقق المركز إنجازات غير مسبوقة في عدة مشاريع واكتشافات بيئية بمشاركة كفاءات وطنية بالاستعانة بخبراء عالميين من أهمها مشروع استكشاف التنوع الأحيائي في البحر الأحمر، واكتشاف مومياوات الفهد الصياد والعمل على برنامج إكثاره، و العمل على زيادة مساحة المحميات إلى ٣٠٪ ، وتسجيل مشروع محمية جزر فرسان في اليونسكو ، كما حرص المركز على توظيف أفضل التقنيات الحديثة لخدمة الحياة الفطرية وحمايتها وتنمينها وإعداد الأنظمة المساعدة في جمع البيانات والخرائط الرقمية. تترجم مؤشرات الأداء </w:t>
      </w:r>
      <w:r w:rsidRPr="005D59A7">
        <w:rPr>
          <w:rFonts w:ascii="T" w:hAnsi="T" w:cs="Simplified Arabic"/>
          <w:shd w:val="clear" w:color="auto" w:fill="FFFFFF"/>
          <w:rtl/>
        </w:rPr>
        <w:lastRenderedPageBreak/>
        <w:t>تقدم المركز الوطني لتنمية الحياة الفطرية نحو الريادة الإقليمية وتحقيق الأهداف ا</w:t>
      </w:r>
      <w:r w:rsidR="00C44F90" w:rsidRPr="005D59A7">
        <w:rPr>
          <w:rFonts w:ascii="T" w:hAnsi="T" w:cs="Simplified Arabic"/>
          <w:shd w:val="clear" w:color="auto" w:fill="FFFFFF"/>
          <w:rtl/>
        </w:rPr>
        <w:t>لوطنية والتحول إلى منظومة حضارية (</w:t>
      </w:r>
      <w:r w:rsidR="00C44F90" w:rsidRPr="005D59A7">
        <w:rPr>
          <w:rFonts w:ascii="T" w:hAnsi="T" w:cs="Simplified Arabic"/>
          <w:shd w:val="clear" w:color="auto" w:fill="FFFFFF"/>
        </w:rPr>
        <w:t>NCW, 2026</w:t>
      </w:r>
      <w:r w:rsidR="00C44F90" w:rsidRPr="005D59A7">
        <w:rPr>
          <w:rFonts w:ascii="T" w:hAnsi="T" w:cs="Simplified Arabic"/>
          <w:shd w:val="clear" w:color="auto" w:fill="FFFFFF"/>
          <w:rtl/>
        </w:rPr>
        <w:t>).</w:t>
      </w:r>
    </w:p>
    <w:p w14:paraId="4053B416"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 xml:space="preserve">رؤية المركز: ﺣﻴﺎة </w:t>
      </w:r>
      <w:r w:rsidR="00C44F90" w:rsidRPr="005D59A7">
        <w:rPr>
          <w:rFonts w:ascii="T" w:hAnsi="T" w:cs="Simplified Arabic"/>
          <w:shd w:val="clear" w:color="auto" w:fill="FFFFFF"/>
          <w:rtl/>
        </w:rPr>
        <w:t>فطرية</w:t>
      </w:r>
      <w:r w:rsidRPr="005D59A7">
        <w:rPr>
          <w:rFonts w:ascii="T" w:hAnsi="T" w:cs="Simplified Arabic"/>
          <w:shd w:val="clear" w:color="auto" w:fill="FFFFFF"/>
          <w:rtl/>
        </w:rPr>
        <w:t xml:space="preserve"> </w:t>
      </w:r>
      <w:r w:rsidR="00C44F90" w:rsidRPr="005D59A7">
        <w:rPr>
          <w:rFonts w:ascii="T" w:hAnsi="T" w:cs="Simplified Arabic"/>
          <w:shd w:val="clear" w:color="auto" w:fill="FFFFFF"/>
          <w:rtl/>
        </w:rPr>
        <w:t>وتنوع</w:t>
      </w:r>
      <w:r w:rsidRPr="005D59A7">
        <w:rPr>
          <w:rFonts w:ascii="T" w:hAnsi="T" w:cs="Simplified Arabic"/>
          <w:shd w:val="clear" w:color="auto" w:fill="FFFFFF"/>
          <w:rtl/>
        </w:rPr>
        <w:t xml:space="preserve"> أﺣﻴﺎﺋﻲ </w:t>
      </w:r>
      <w:r w:rsidR="00C44F90" w:rsidRPr="005D59A7">
        <w:rPr>
          <w:rFonts w:ascii="T" w:hAnsi="T" w:cs="Simplified Arabic"/>
          <w:shd w:val="clear" w:color="auto" w:fill="FFFFFF"/>
          <w:rtl/>
        </w:rPr>
        <w:t>ونظم</w:t>
      </w:r>
      <w:r w:rsidRPr="005D59A7">
        <w:rPr>
          <w:rFonts w:ascii="T" w:hAnsi="T" w:cs="Simplified Arabic"/>
          <w:shd w:val="clear" w:color="auto" w:fill="FFFFFF"/>
          <w:rtl/>
        </w:rPr>
        <w:t xml:space="preserve"> ﺑﻴﺌﻴﺔ ﺑ</w:t>
      </w:r>
      <w:r w:rsidRPr="005D59A7">
        <w:rPr>
          <w:rFonts w:ascii="T" w:hAnsi="T"/>
          <w:shd w:val="clear" w:color="auto" w:fill="FFFFFF"/>
          <w:rtl/>
        </w:rPr>
        <w:t>ﺮ</w:t>
      </w:r>
      <w:r w:rsidRPr="005D59A7">
        <w:rPr>
          <w:rFonts w:ascii="T" w:hAnsi="T" w:cs="Simplified Arabic"/>
          <w:shd w:val="clear" w:color="auto" w:fill="FFFFFF"/>
          <w:rtl/>
        </w:rPr>
        <w:t>ﻳﺔ وﺑﺤ</w:t>
      </w:r>
      <w:r w:rsidRPr="005D59A7">
        <w:rPr>
          <w:rFonts w:ascii="T" w:hAnsi="T"/>
          <w:shd w:val="clear" w:color="auto" w:fill="FFFFFF"/>
          <w:rtl/>
        </w:rPr>
        <w:t>ﺮ</w:t>
      </w:r>
      <w:r w:rsidRPr="005D59A7">
        <w:rPr>
          <w:rFonts w:ascii="T" w:hAnsi="T" w:cs="Simplified Arabic"/>
          <w:shd w:val="clear" w:color="auto" w:fill="FFFFFF"/>
          <w:rtl/>
        </w:rPr>
        <w:t xml:space="preserve">ﻳﺔ </w:t>
      </w:r>
      <w:r w:rsidR="00C44F90" w:rsidRPr="005D59A7">
        <w:rPr>
          <w:rFonts w:ascii="T" w:hAnsi="T" w:cs="Simplified Arabic"/>
          <w:shd w:val="clear" w:color="auto" w:fill="FFFFFF"/>
          <w:rtl/>
        </w:rPr>
        <w:t>مزدهرة</w:t>
      </w:r>
      <w:r w:rsidRPr="005D59A7">
        <w:rPr>
          <w:rFonts w:ascii="T" w:hAnsi="T" w:cs="Simplified Arabic"/>
          <w:shd w:val="clear" w:color="auto" w:fill="FFFFFF"/>
          <w:rtl/>
        </w:rPr>
        <w:t xml:space="preserve"> </w:t>
      </w:r>
      <w:r w:rsidR="00C44F90" w:rsidRPr="005D59A7">
        <w:rPr>
          <w:rFonts w:ascii="T" w:hAnsi="T" w:cs="Simplified Arabic"/>
          <w:shd w:val="clear" w:color="auto" w:fill="FFFFFF"/>
          <w:rtl/>
        </w:rPr>
        <w:t>ومستدامة</w:t>
      </w:r>
      <w:r w:rsidRPr="005D59A7">
        <w:rPr>
          <w:rFonts w:ascii="T" w:hAnsi="T" w:cs="Simplified Arabic"/>
          <w:shd w:val="clear" w:color="auto" w:fill="FFFFFF"/>
        </w:rPr>
        <w:t>.</w:t>
      </w:r>
    </w:p>
    <w:p w14:paraId="663095D1" w14:textId="77777777" w:rsidR="00AA6140" w:rsidRPr="005D59A7" w:rsidRDefault="00AA6140" w:rsidP="00A40353">
      <w:pPr>
        <w:pStyle w:val="NormalWeb"/>
        <w:shd w:val="clear" w:color="auto" w:fill="FFFFFF"/>
        <w:bidi/>
        <w:spacing w:before="0" w:beforeAutospacing="0" w:after="150" w:afterAutospacing="0" w:line="360" w:lineRule="auto"/>
        <w:ind w:left="84" w:firstLine="720"/>
        <w:jc w:val="both"/>
        <w:rPr>
          <w:rFonts w:ascii="T" w:hAnsi="T" w:cs="Simplified Arabic"/>
          <w:shd w:val="clear" w:color="auto" w:fill="FFFFFF"/>
          <w:rtl/>
        </w:rPr>
      </w:pPr>
      <w:r w:rsidRPr="005D59A7">
        <w:rPr>
          <w:rFonts w:ascii="T" w:hAnsi="T" w:cs="Simplified Arabic"/>
          <w:shd w:val="clear" w:color="auto" w:fill="FFFFFF"/>
          <w:rtl/>
        </w:rPr>
        <w:t>رسالة المركز: الحفـاظ علـى الحياة الفطرية والتنـوع الأحيائي والنظـــم البيئيـــة وتنميتهـــ مـــن خلال تعزيـــز المشاركة المجتمعية في برامج شاملة وفعالة لتحقيق الاستدامة البيئية وتعظيم الفوائد الاجتماعية والاقتصادية</w:t>
      </w:r>
      <w:r w:rsidRPr="005D59A7">
        <w:rPr>
          <w:rFonts w:ascii="T" w:hAnsi="T" w:cs="Simplified Arabic"/>
          <w:shd w:val="clear" w:color="auto" w:fill="FFFFFF"/>
        </w:rPr>
        <w:t>.</w:t>
      </w:r>
    </w:p>
    <w:p w14:paraId="70F06D5B" w14:textId="77777777" w:rsidR="00AA6140" w:rsidRPr="005D59A7" w:rsidRDefault="00AA6140" w:rsidP="00861DC2">
      <w:pPr>
        <w:bidi/>
        <w:spacing w:line="360" w:lineRule="auto"/>
        <w:ind w:left="360" w:firstLine="720"/>
        <w:rPr>
          <w:rFonts w:ascii="T" w:hAnsi="T" w:cs="Simplified Arabic"/>
          <w:sz w:val="24"/>
          <w:szCs w:val="24"/>
          <w:rtl/>
        </w:rPr>
      </w:pPr>
      <w:r w:rsidRPr="005D59A7">
        <w:rPr>
          <w:rFonts w:ascii="T" w:hAnsi="T" w:cs="Simplified Arabic"/>
          <w:sz w:val="24"/>
          <w:szCs w:val="24"/>
          <w:rtl/>
        </w:rPr>
        <w:t xml:space="preserve">أهداف المركز: </w:t>
      </w:r>
    </w:p>
    <w:p w14:paraId="52A0349E"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حماية وتنمية الحياة الفطرية والتنوع الأحيائي في البيئات البرية والساحلية والبحرية بشكل مستدام</w:t>
      </w:r>
      <w:r w:rsidRPr="005D59A7">
        <w:rPr>
          <w:rFonts w:ascii="T" w:hAnsi="T" w:cs="Simplified Arabic"/>
          <w:sz w:val="24"/>
          <w:szCs w:val="24"/>
        </w:rPr>
        <w:t>.</w:t>
      </w:r>
    </w:p>
    <w:p w14:paraId="670F7547"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 xml:space="preserve">إنشاء وإدارة المناطق المحمية ومراكز </w:t>
      </w:r>
      <w:r w:rsidR="00C44F90" w:rsidRPr="005D59A7">
        <w:rPr>
          <w:rFonts w:ascii="T" w:hAnsi="T" w:cs="Simplified Arabic"/>
          <w:sz w:val="24"/>
          <w:szCs w:val="24"/>
          <w:rtl/>
        </w:rPr>
        <w:t>إكثار</w:t>
      </w:r>
      <w:r w:rsidRPr="005D59A7">
        <w:rPr>
          <w:rFonts w:ascii="T" w:hAnsi="T" w:cs="Simplified Arabic"/>
          <w:sz w:val="24"/>
          <w:szCs w:val="24"/>
          <w:rtl/>
        </w:rPr>
        <w:t xml:space="preserve"> الأنواع الفطرية المهددة بالانقراض وإعادة توطينها في بيئتها الطبيعية</w:t>
      </w:r>
      <w:r w:rsidRPr="005D59A7">
        <w:rPr>
          <w:rFonts w:ascii="T" w:hAnsi="T" w:cs="Simplified Arabic"/>
          <w:sz w:val="24"/>
          <w:szCs w:val="24"/>
        </w:rPr>
        <w:t>.</w:t>
      </w:r>
    </w:p>
    <w:p w14:paraId="57130380"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بناء القاعدة المعرف</w:t>
      </w:r>
      <w:r w:rsidR="00C44F90" w:rsidRPr="005D59A7">
        <w:rPr>
          <w:rFonts w:ascii="T" w:hAnsi="T" w:cs="Simplified Arabic"/>
          <w:sz w:val="24"/>
          <w:szCs w:val="24"/>
          <w:rtl/>
        </w:rPr>
        <w:t>ية عن الحياة الفطرية والتنوع الأ</w:t>
      </w:r>
      <w:r w:rsidRPr="005D59A7">
        <w:rPr>
          <w:rFonts w:ascii="T" w:hAnsi="T" w:cs="Simplified Arabic"/>
          <w:sz w:val="24"/>
          <w:szCs w:val="24"/>
          <w:rtl/>
        </w:rPr>
        <w:t>حيائي في المملكة من خلال عمل المسوحات الميدانية والدراسات المتخصصة وبناء قواعد البيانات واتاحتها لذوي العلاقة</w:t>
      </w:r>
      <w:r w:rsidRPr="005D59A7">
        <w:rPr>
          <w:rFonts w:ascii="T" w:hAnsi="T" w:cs="Simplified Arabic"/>
          <w:sz w:val="24"/>
          <w:szCs w:val="24"/>
        </w:rPr>
        <w:t>.</w:t>
      </w:r>
    </w:p>
    <w:p w14:paraId="0F7A361F"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تعزيز الوعي المجتمعي في مجال الحياة الفطرية من خلال البرامج الارشادية والثقافية والإعلامية</w:t>
      </w:r>
      <w:r w:rsidRPr="005D59A7">
        <w:rPr>
          <w:rFonts w:ascii="T" w:hAnsi="T" w:cs="Simplified Arabic"/>
          <w:sz w:val="24"/>
          <w:szCs w:val="24"/>
        </w:rPr>
        <w:t>.</w:t>
      </w:r>
    </w:p>
    <w:p w14:paraId="5E7AF6F6"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Pr>
      </w:pPr>
      <w:r w:rsidRPr="005D59A7">
        <w:rPr>
          <w:rFonts w:ascii="T" w:hAnsi="T" w:cs="Simplified Arabic"/>
          <w:sz w:val="24"/>
          <w:szCs w:val="24"/>
          <w:rtl/>
        </w:rPr>
        <w:t>تعزيز التنوع الاقتصادي من خلال المساهمة في تطوير السياحة البيئية المستدامة والاستفادة من الموارد الوراثية وخدمات النظم البيئية</w:t>
      </w:r>
      <w:r w:rsidRPr="005D59A7">
        <w:rPr>
          <w:rFonts w:ascii="T" w:hAnsi="T" w:cs="Simplified Arabic"/>
          <w:sz w:val="24"/>
          <w:szCs w:val="24"/>
        </w:rPr>
        <w:t>.</w:t>
      </w:r>
    </w:p>
    <w:p w14:paraId="2E6121F2" w14:textId="77777777" w:rsidR="00AA6140" w:rsidRPr="005D59A7" w:rsidRDefault="00AA6140" w:rsidP="0045581D">
      <w:pPr>
        <w:pStyle w:val="ListParagraph"/>
        <w:numPr>
          <w:ilvl w:val="0"/>
          <w:numId w:val="19"/>
        </w:numPr>
        <w:bidi/>
        <w:spacing w:line="360" w:lineRule="auto"/>
        <w:ind w:left="84" w:firstLine="720"/>
        <w:jc w:val="both"/>
        <w:rPr>
          <w:rFonts w:ascii="T" w:hAnsi="T" w:cs="Simplified Arabic"/>
          <w:sz w:val="24"/>
          <w:szCs w:val="24"/>
          <w:rtl/>
        </w:rPr>
      </w:pPr>
      <w:r w:rsidRPr="005D59A7">
        <w:rPr>
          <w:rFonts w:ascii="T" w:hAnsi="T" w:cs="Simplified Arabic"/>
          <w:sz w:val="24"/>
          <w:szCs w:val="24"/>
          <w:rtl/>
        </w:rPr>
        <w:t>تشجيع البحث والابتكار في مجال المحافظة على الحياة الفطرية وتنميتها من خلال التعاون مع الجامعات ومراكز الأبحاث المحلية والعالمية</w:t>
      </w:r>
      <w:r w:rsidRPr="005D59A7">
        <w:rPr>
          <w:rFonts w:ascii="T" w:hAnsi="T" w:cs="Simplified Arabic"/>
          <w:sz w:val="24"/>
          <w:szCs w:val="24"/>
        </w:rPr>
        <w:t>.</w:t>
      </w:r>
    </w:p>
    <w:p w14:paraId="5F600DF0" w14:textId="77777777" w:rsidR="00AA6140" w:rsidRPr="005D59A7" w:rsidRDefault="002F1457"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المركز الوطني لإدارة النفايات</w:t>
      </w:r>
    </w:p>
    <w:p w14:paraId="0303A5E7" w14:textId="77777777" w:rsidR="002F1457" w:rsidRPr="005D59A7" w:rsidRDefault="002F1457"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رؤية المركز: الريادة في تنظيم قطاع إدارة النفايات بتبني مبادئ الاقتصاد الدائري لتحقيق الاستدامة وتعزيز حماية البيئة وجودة الحياة</w:t>
      </w:r>
      <w:r w:rsidR="00A37197" w:rsidRPr="005D59A7">
        <w:rPr>
          <w:rFonts w:ascii="T" w:hAnsi="T" w:cs="Simplified Arabic"/>
          <w:sz w:val="24"/>
          <w:szCs w:val="24"/>
          <w:rtl/>
        </w:rPr>
        <w:t>.</w:t>
      </w:r>
    </w:p>
    <w:p w14:paraId="3E00501B" w14:textId="77777777" w:rsidR="002F1457" w:rsidRPr="005D59A7" w:rsidRDefault="002F1457" w:rsidP="00A40353">
      <w:p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رسالة المركز: تنظيم قطاع جاذب من خلال تطبيق أفضل الممارسات والتقنيات والمعايير وتعزيز الشفافية والفعالية والامتثال والرقمنة والابتكار</w:t>
      </w:r>
      <w:r w:rsidR="00A37197" w:rsidRPr="005D59A7">
        <w:rPr>
          <w:rFonts w:ascii="T" w:hAnsi="T" w:cs="Simplified Arabic"/>
          <w:sz w:val="24"/>
          <w:szCs w:val="24"/>
          <w:rtl/>
        </w:rPr>
        <w:t>.</w:t>
      </w:r>
    </w:p>
    <w:p w14:paraId="2D0DF6B3"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أهداف المركز: </w:t>
      </w:r>
    </w:p>
    <w:p w14:paraId="0BBE082C"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تنظيم قطاع غدارة النفايات</w:t>
      </w:r>
      <w:r w:rsidR="00A37197" w:rsidRPr="005D59A7">
        <w:rPr>
          <w:rFonts w:ascii="T" w:hAnsi="T" w:cs="Simplified Arabic"/>
          <w:sz w:val="24"/>
          <w:szCs w:val="24"/>
          <w:rtl/>
        </w:rPr>
        <w:t>.</w:t>
      </w:r>
    </w:p>
    <w:p w14:paraId="144C3CFB"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تعزيز الجاذبية الاستثمارية والأداء الاقتصادي للقطاع</w:t>
      </w:r>
      <w:r w:rsidR="00A37197" w:rsidRPr="005D59A7">
        <w:rPr>
          <w:rFonts w:ascii="T" w:hAnsi="T" w:cs="Simplified Arabic"/>
          <w:sz w:val="24"/>
          <w:szCs w:val="24"/>
          <w:rtl/>
        </w:rPr>
        <w:t>.</w:t>
      </w:r>
    </w:p>
    <w:p w14:paraId="4BCC171D"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رفع مستويات الامتثال في القطاع.</w:t>
      </w:r>
    </w:p>
    <w:p w14:paraId="6F9F9AA2"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تعزيز السلوكيات السليمة والممارسات المبتكرة لإدارة النفايات.</w:t>
      </w:r>
    </w:p>
    <w:p w14:paraId="58FC36A8" w14:textId="77777777" w:rsidR="002F1457" w:rsidRPr="005D59A7" w:rsidRDefault="002F1457" w:rsidP="0045581D">
      <w:pPr>
        <w:pStyle w:val="ListParagraph"/>
        <w:numPr>
          <w:ilvl w:val="0"/>
          <w:numId w:val="16"/>
        </w:numPr>
        <w:bidi/>
        <w:spacing w:line="360" w:lineRule="auto"/>
        <w:ind w:left="84" w:firstLine="720"/>
        <w:rPr>
          <w:rFonts w:ascii="T" w:hAnsi="T" w:cs="Simplified Arabic"/>
          <w:sz w:val="24"/>
          <w:szCs w:val="24"/>
        </w:rPr>
      </w:pPr>
      <w:r w:rsidRPr="005D59A7">
        <w:rPr>
          <w:rFonts w:ascii="T" w:hAnsi="T" w:cs="Simplified Arabic"/>
          <w:sz w:val="24"/>
          <w:szCs w:val="24"/>
          <w:rtl/>
        </w:rPr>
        <w:t>تحقيق التحول الرقمي في القطاع وتعظيم الفائدة من البيانات.</w:t>
      </w:r>
    </w:p>
    <w:p w14:paraId="5EC9A3F8" w14:textId="77777777" w:rsidR="002F1457" w:rsidRPr="005D59A7" w:rsidRDefault="002F1457" w:rsidP="0045581D">
      <w:pPr>
        <w:pStyle w:val="Heading4"/>
        <w:numPr>
          <w:ilvl w:val="0"/>
          <w:numId w:val="12"/>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صندوق البيئة</w:t>
      </w:r>
    </w:p>
    <w:p w14:paraId="78A4523B"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سعى صندوق البيئة لتحقيق أهداف رؤية المملكة 2030 من خلال دعم الاستدامة المالية لقطاع البيئة وتحفيز التقنيات الصديقة للبيئة، ودعم البرامج والمبادرات البيئية</w:t>
      </w:r>
      <w:r w:rsidRPr="005D59A7">
        <w:rPr>
          <w:rFonts w:ascii="T" w:hAnsi="T" w:cs="Simplified Arabic"/>
          <w:sz w:val="24"/>
          <w:szCs w:val="24"/>
        </w:rPr>
        <w:t>.</w:t>
      </w:r>
    </w:p>
    <w:p w14:paraId="52F3AC46" w14:textId="77777777" w:rsidR="00B05050" w:rsidRPr="005D59A7" w:rsidRDefault="00B05050"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تأسس "صندوق البيئة" بموجب قرار مجلس الوزراء رقم [416] وتاريخ 19/7/1440 هـ، ويتمتع بالشخصية الاعتبارية والاستقلال المالي والإداري. وبوصفه مؤسسة وطنية للتمويل، يهدف الصندوق إلى تعزيز الاستدامة البيئية في المملكة، تماشيًا مع رؤية السعودية 2030 والاستراتيجية الوطنية للبيئة (</w:t>
      </w:r>
      <w:r w:rsidRPr="005D59A7">
        <w:rPr>
          <w:rFonts w:ascii="T" w:hAnsi="T" w:cs="Simplified Arabic"/>
          <w:sz w:val="24"/>
          <w:szCs w:val="24"/>
        </w:rPr>
        <w:t>EF, 2026</w:t>
      </w:r>
      <w:r w:rsidRPr="005D59A7">
        <w:rPr>
          <w:rFonts w:ascii="T" w:hAnsi="T" w:cs="Simplified Arabic"/>
          <w:sz w:val="24"/>
          <w:szCs w:val="24"/>
          <w:rtl/>
        </w:rPr>
        <w:t>).</w:t>
      </w:r>
    </w:p>
    <w:p w14:paraId="6924E998"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الرؤية: صندوق رائد لتمكين بيئة مستدامة.</w:t>
      </w:r>
    </w:p>
    <w:p w14:paraId="48226933"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الرسالة: تعظيم الموارد المالية وتبني أفضل الممارسات والتقنيات لتحقيق الاستدامة المالية وتعزيز الاستثمار والابتكار في مجالات البيئة</w:t>
      </w:r>
      <w:r w:rsidRPr="005D59A7">
        <w:rPr>
          <w:rFonts w:ascii="T" w:hAnsi="T" w:cs="Simplified Arabic"/>
          <w:sz w:val="24"/>
          <w:szCs w:val="24"/>
        </w:rPr>
        <w:t>.</w:t>
      </w:r>
    </w:p>
    <w:p w14:paraId="6B2AA277" w14:textId="77777777" w:rsidR="002F1457" w:rsidRPr="005D59A7" w:rsidRDefault="002F1457"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دور الصندوق: يهدف "صندوق البيئة" إلى تمكين قطاع البيئة، لتعزيز الاستدامة والابتكار الأخضر في مختلف الأنظمة البيئية في المملكة العربية السعودية</w:t>
      </w:r>
      <w:r w:rsidRPr="005D59A7">
        <w:rPr>
          <w:rFonts w:ascii="T" w:hAnsi="T" w:cs="Simplified Arabic"/>
          <w:sz w:val="24"/>
          <w:szCs w:val="24"/>
        </w:rPr>
        <w:t>.</w:t>
      </w:r>
    </w:p>
    <w:p w14:paraId="5DA7A05F"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تمويل الميزانيات التشغيلية المعتمدة للمراكز الوطنية لقطاع البيئة.</w:t>
      </w:r>
    </w:p>
    <w:p w14:paraId="02C04125"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تحفيز خطط حماية البيئة في المملكة وأنشطتها ومبادراتها والإسهام في تمويلها</w:t>
      </w:r>
      <w:r w:rsidR="00B05050" w:rsidRPr="005D59A7">
        <w:rPr>
          <w:rFonts w:ascii="T" w:hAnsi="T" w:cs="Simplified Arabic"/>
          <w:sz w:val="24"/>
          <w:szCs w:val="24"/>
          <w:rtl/>
        </w:rPr>
        <w:t>.</w:t>
      </w:r>
    </w:p>
    <w:p w14:paraId="248FD9BF" w14:textId="77777777" w:rsidR="002F1457" w:rsidRPr="005D59A7" w:rsidRDefault="002F1457"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تحفيز قطاع البيئة والدراسات والبحوث المتعلقة بها، والإسهام في تمويلها</w:t>
      </w:r>
      <w:r w:rsidR="00B05050" w:rsidRPr="005D59A7">
        <w:rPr>
          <w:rFonts w:ascii="T" w:hAnsi="T" w:cs="Simplified Arabic"/>
          <w:sz w:val="24"/>
          <w:szCs w:val="24"/>
          <w:rtl/>
        </w:rPr>
        <w:t>.</w:t>
      </w:r>
    </w:p>
    <w:p w14:paraId="3DA13BCC" w14:textId="77777777" w:rsidR="00B05050" w:rsidRPr="005D59A7" w:rsidRDefault="00B05050" w:rsidP="0045581D">
      <w:pPr>
        <w:pStyle w:val="ListParagraph"/>
        <w:numPr>
          <w:ilvl w:val="0"/>
          <w:numId w:val="17"/>
        </w:numPr>
        <w:bidi/>
        <w:spacing w:line="360" w:lineRule="auto"/>
        <w:ind w:left="84" w:firstLine="720"/>
        <w:rPr>
          <w:rFonts w:ascii="T" w:hAnsi="T" w:cs="Simplified Arabic"/>
          <w:sz w:val="24"/>
          <w:szCs w:val="24"/>
        </w:rPr>
      </w:pPr>
      <w:r w:rsidRPr="005D59A7">
        <w:rPr>
          <w:rFonts w:ascii="T" w:hAnsi="T" w:cs="Simplified Arabic"/>
          <w:sz w:val="24"/>
          <w:szCs w:val="24"/>
          <w:rtl/>
        </w:rPr>
        <w:t xml:space="preserve">استثمار أمواله بما يحقق أهدافه وفقاً للأحكام المنظمة لذلك. </w:t>
      </w:r>
    </w:p>
    <w:p w14:paraId="6D7FCF8F" w14:textId="77777777" w:rsidR="00B05050" w:rsidRPr="005D59A7" w:rsidRDefault="00B05050"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القطاعات التي يدعمها الصندوق: </w:t>
      </w:r>
    </w:p>
    <w:p w14:paraId="5B4A819B"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الأرصاد</w:t>
      </w:r>
      <w:r w:rsidR="00837A68" w:rsidRPr="005D59A7">
        <w:rPr>
          <w:rFonts w:ascii="T" w:hAnsi="T" w:cs="Simplified Arabic"/>
          <w:sz w:val="24"/>
          <w:szCs w:val="24"/>
          <w:rtl/>
        </w:rPr>
        <w:t>.</w:t>
      </w:r>
    </w:p>
    <w:p w14:paraId="545AFD6F"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الحياة الفطرية والبحرية</w:t>
      </w:r>
      <w:r w:rsidR="00837A68" w:rsidRPr="005D59A7">
        <w:rPr>
          <w:rFonts w:ascii="T" w:hAnsi="T" w:cs="Simplified Arabic"/>
          <w:sz w:val="24"/>
          <w:szCs w:val="24"/>
          <w:rtl/>
        </w:rPr>
        <w:t>.</w:t>
      </w:r>
    </w:p>
    <w:p w14:paraId="41B97B44"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الغطاء النباتي</w:t>
      </w:r>
      <w:r w:rsidR="00837A68" w:rsidRPr="005D59A7">
        <w:rPr>
          <w:rFonts w:ascii="T" w:hAnsi="T" w:cs="Simplified Arabic"/>
          <w:sz w:val="24"/>
          <w:szCs w:val="24"/>
          <w:rtl/>
        </w:rPr>
        <w:t>.</w:t>
      </w:r>
    </w:p>
    <w:p w14:paraId="03BAC7C8"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الالتزام البيئي</w:t>
      </w:r>
      <w:r w:rsidR="00837A68" w:rsidRPr="005D59A7">
        <w:rPr>
          <w:rFonts w:ascii="T" w:hAnsi="T" w:cs="Simplified Arabic"/>
          <w:sz w:val="24"/>
          <w:szCs w:val="24"/>
          <w:rtl/>
        </w:rPr>
        <w:t>.</w:t>
      </w:r>
    </w:p>
    <w:p w14:paraId="2F8F0299" w14:textId="77777777" w:rsidR="00B05050"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معالجة النفايات</w:t>
      </w:r>
      <w:r w:rsidR="00837A68" w:rsidRPr="005D59A7">
        <w:rPr>
          <w:rFonts w:ascii="T" w:hAnsi="T" w:cs="Simplified Arabic"/>
          <w:sz w:val="24"/>
          <w:szCs w:val="24"/>
          <w:rtl/>
        </w:rPr>
        <w:t>.</w:t>
      </w:r>
    </w:p>
    <w:p w14:paraId="1C63713D" w14:textId="77777777" w:rsidR="00222118" w:rsidRPr="005D59A7" w:rsidRDefault="00B05050" w:rsidP="0045581D">
      <w:pPr>
        <w:pStyle w:val="ListParagraph"/>
        <w:numPr>
          <w:ilvl w:val="0"/>
          <w:numId w:val="18"/>
        </w:numPr>
        <w:bidi/>
        <w:spacing w:line="360" w:lineRule="auto"/>
        <w:ind w:left="84" w:firstLine="720"/>
        <w:rPr>
          <w:rFonts w:ascii="T" w:hAnsi="T" w:cs="Simplified Arabic"/>
          <w:sz w:val="24"/>
          <w:szCs w:val="24"/>
        </w:rPr>
      </w:pPr>
      <w:r w:rsidRPr="005D59A7">
        <w:rPr>
          <w:rFonts w:ascii="T" w:hAnsi="T" w:cs="Simplified Arabic"/>
          <w:sz w:val="24"/>
          <w:szCs w:val="24"/>
          <w:rtl/>
        </w:rPr>
        <w:t>حماية الشعاب المرجانية والسلاحف البحرية.</w:t>
      </w:r>
    </w:p>
    <w:p w14:paraId="36AC8E4A" w14:textId="77777777" w:rsidR="000D4BE5" w:rsidRPr="005D59A7" w:rsidRDefault="000D4BE5" w:rsidP="00335E8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يوجد كذلك المركز الوطني للرقابة على الالتزام البيئي ويعد الجهة الرقابية والتنفيذية البيئية الأولى في المملكة تحت إشراف وزارة البيئة والمياه والزراعة. ولكن، بحكم اعتماد الرسالة وخصوصاً الجزء الفني منها على دراسة حالة لمشاركة القطاع الخاص في خدمة التفتيش البيئي والتي يتم تنفيذها من قبل المركز الوطني للرقابة على الالتزام البيئي، سيتم تخصيص فقرة مستقلة لدراسة المركز وتأسيسه وأهدافه وخدماته وغيرها من البنود في الفصل الثالث للحفاظ على التسلسل الفني تدرجاً لخدمة التفتيش البيئي. وفيما يلي جدول يلخص الجهات البيئية بالمملكة والتعريف الأساسي لها. </w:t>
      </w:r>
    </w:p>
    <w:tbl>
      <w:tblPr>
        <w:tblStyle w:val="TableGrid"/>
        <w:bidiVisual/>
        <w:tblW w:w="0" w:type="auto"/>
        <w:tblInd w:w="720" w:type="dxa"/>
        <w:tblLook w:val="04A0" w:firstRow="1" w:lastRow="0" w:firstColumn="1" w:lastColumn="0" w:noHBand="0" w:noVBand="1"/>
      </w:tblPr>
      <w:tblGrid>
        <w:gridCol w:w="2952"/>
        <w:gridCol w:w="2420"/>
        <w:gridCol w:w="2430"/>
      </w:tblGrid>
      <w:tr w:rsidR="0048002A" w:rsidRPr="005D59A7" w14:paraId="3E4C4A6E" w14:textId="77777777" w:rsidTr="000D4BE5">
        <w:tc>
          <w:tcPr>
            <w:tcW w:w="2952" w:type="dxa"/>
          </w:tcPr>
          <w:p w14:paraId="14DB76EA"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البرنامج/الجهة</w:t>
            </w:r>
          </w:p>
        </w:tc>
        <w:tc>
          <w:tcPr>
            <w:tcW w:w="2420" w:type="dxa"/>
          </w:tcPr>
          <w:p w14:paraId="426DB42B"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المسمى</w:t>
            </w:r>
          </w:p>
        </w:tc>
        <w:tc>
          <w:tcPr>
            <w:tcW w:w="2430" w:type="dxa"/>
          </w:tcPr>
          <w:p w14:paraId="05A5A234"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الهدف</w:t>
            </w:r>
          </w:p>
        </w:tc>
      </w:tr>
      <w:tr w:rsidR="0048002A" w:rsidRPr="005D59A7" w14:paraId="6E19CACE" w14:textId="77777777" w:rsidTr="000D4BE5">
        <w:tc>
          <w:tcPr>
            <w:tcW w:w="2952" w:type="dxa"/>
            <w:vAlign w:val="center"/>
          </w:tcPr>
          <w:p w14:paraId="0FD037E1"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drawing>
                <wp:inline distT="0" distB="0" distL="0" distR="0" wp14:anchorId="29F91FD4" wp14:editId="5546C5D5">
                  <wp:extent cx="1047750" cy="1047750"/>
                  <wp:effectExtent l="19050" t="0" r="0" b="0"/>
                  <wp:docPr id="61" name="صورة 6" descr="C:\Users\PC\Desktop\Adel's PHD\Thesis\Proposal\مجلد جديد\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Adel's PHD\Thesis\Proposal\مجلد جديد\images.jpg"/>
                          <pic:cNvPicPr>
                            <a:picLocks noChangeAspect="1" noChangeArrowheads="1"/>
                          </pic:cNvPicPr>
                        </pic:nvPicPr>
                        <pic:blipFill>
                          <a:blip r:embed="rId26"/>
                          <a:srcRect/>
                          <a:stretch>
                            <a:fillRect/>
                          </a:stretch>
                        </pic:blipFill>
                        <pic:spPr bwMode="auto">
                          <a:xfrm>
                            <a:off x="0" y="0"/>
                            <a:ext cx="1047750" cy="1047750"/>
                          </a:xfrm>
                          <a:prstGeom prst="rect">
                            <a:avLst/>
                          </a:prstGeom>
                          <a:noFill/>
                          <a:ln w="9525">
                            <a:noFill/>
                            <a:miter lim="800000"/>
                            <a:headEnd/>
                            <a:tailEnd/>
                          </a:ln>
                        </pic:spPr>
                      </pic:pic>
                    </a:graphicData>
                  </a:graphic>
                </wp:inline>
              </w:drawing>
            </w:r>
          </w:p>
        </w:tc>
        <w:tc>
          <w:tcPr>
            <w:tcW w:w="2420" w:type="dxa"/>
            <w:vAlign w:val="center"/>
          </w:tcPr>
          <w:p w14:paraId="41FC6504"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وزارة البيئة والمياه والزراعة</w:t>
            </w:r>
          </w:p>
        </w:tc>
        <w:tc>
          <w:tcPr>
            <w:tcW w:w="2430" w:type="dxa"/>
          </w:tcPr>
          <w:p w14:paraId="0ABC1FBA"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 xml:space="preserve">الجهة المشرعة والمسؤولة عن القطاع البيئي والتي قامت بتبني الهدف 2.4.1 الحد من التلوث بمختلف أنواعه وإطلاق الاستراتيجية الوطنية للبيئة والتي تم من خلالها إطلاق المراكز البيئية الخمسة وصندوق البيئة. </w:t>
            </w:r>
          </w:p>
        </w:tc>
      </w:tr>
      <w:tr w:rsidR="0048002A" w:rsidRPr="005D59A7" w14:paraId="6DCF9103" w14:textId="77777777" w:rsidTr="000D4BE5">
        <w:tc>
          <w:tcPr>
            <w:tcW w:w="2952" w:type="dxa"/>
            <w:vAlign w:val="center"/>
          </w:tcPr>
          <w:p w14:paraId="6E862F6D"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lastRenderedPageBreak/>
              <w:drawing>
                <wp:inline distT="0" distB="0" distL="0" distR="0" wp14:anchorId="1720509A" wp14:editId="4DC0DDB7">
                  <wp:extent cx="1019175" cy="1019175"/>
                  <wp:effectExtent l="19050" t="0" r="9525" b="0"/>
                  <wp:docPr id="62" name="صورة 7" descr="C:\Users\PC\Desktop\Adel's PHD\Thesis\Proposal\مجلد جديد\ncecks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Adel's PHD\Thesis\Proposal\مجلد جديد\ncecksa_logo.jpg"/>
                          <pic:cNvPicPr>
                            <a:picLocks noChangeAspect="1" noChangeArrowheads="1"/>
                          </pic:cNvPicPr>
                        </pic:nvPicPr>
                        <pic:blipFill>
                          <a:blip r:embed="rId27"/>
                          <a:srcRect/>
                          <a:stretch>
                            <a:fillRect/>
                          </a:stretch>
                        </pic:blipFill>
                        <pic:spPr bwMode="auto">
                          <a:xfrm>
                            <a:off x="0" y="0"/>
                            <a:ext cx="1019175" cy="1019175"/>
                          </a:xfrm>
                          <a:prstGeom prst="rect">
                            <a:avLst/>
                          </a:prstGeom>
                          <a:noFill/>
                          <a:ln w="9525">
                            <a:noFill/>
                            <a:miter lim="800000"/>
                            <a:headEnd/>
                            <a:tailEnd/>
                          </a:ln>
                        </pic:spPr>
                      </pic:pic>
                    </a:graphicData>
                  </a:graphic>
                </wp:inline>
              </w:drawing>
            </w:r>
          </w:p>
        </w:tc>
        <w:tc>
          <w:tcPr>
            <w:tcW w:w="2420" w:type="dxa"/>
            <w:vAlign w:val="center"/>
          </w:tcPr>
          <w:p w14:paraId="2CD66CB3"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للرقابة على الالتزام البيئي</w:t>
            </w:r>
          </w:p>
        </w:tc>
        <w:tc>
          <w:tcPr>
            <w:tcW w:w="2430" w:type="dxa"/>
          </w:tcPr>
          <w:p w14:paraId="3914CB7F"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الرقابة والإشراف على الالتزام البيئي في المملكة من خلال التفتيش البيئي وإصدار التراخيص وغيرها.</w:t>
            </w:r>
          </w:p>
        </w:tc>
      </w:tr>
      <w:tr w:rsidR="0048002A" w:rsidRPr="005D59A7" w14:paraId="474E8918" w14:textId="77777777" w:rsidTr="000D4BE5">
        <w:tc>
          <w:tcPr>
            <w:tcW w:w="2952" w:type="dxa"/>
            <w:vAlign w:val="center"/>
          </w:tcPr>
          <w:p w14:paraId="4EFB240A"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noProof/>
                <w:sz w:val="24"/>
                <w:szCs w:val="24"/>
                <w:rtl/>
              </w:rPr>
              <w:drawing>
                <wp:inline distT="0" distB="0" distL="0" distR="0" wp14:anchorId="7B06910A" wp14:editId="45F72B7D">
                  <wp:extent cx="904875" cy="904875"/>
                  <wp:effectExtent l="19050" t="0" r="9525" b="0"/>
                  <wp:docPr id="63" name="صورة 8" descr="C:\Users\PC\Desktop\Adel's PHD\Thesis\Proposal\مجلد جديد\_K51anlO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C\Desktop\Adel's PHD\Thesis\Proposal\مجلد جديد\_K51anlO_400x400.jpg"/>
                          <pic:cNvPicPr>
                            <a:picLocks noChangeAspect="1" noChangeArrowheads="1"/>
                          </pic:cNvPicPr>
                        </pic:nvPicPr>
                        <pic:blipFill>
                          <a:blip r:embed="rId28" cstate="print"/>
                          <a:srcRect/>
                          <a:stretch>
                            <a:fillRect/>
                          </a:stretch>
                        </pic:blipFill>
                        <pic:spPr bwMode="auto">
                          <a:xfrm>
                            <a:off x="0" y="0"/>
                            <a:ext cx="904875" cy="904875"/>
                          </a:xfrm>
                          <a:prstGeom prst="rect">
                            <a:avLst/>
                          </a:prstGeom>
                          <a:noFill/>
                          <a:ln w="9525">
                            <a:noFill/>
                            <a:miter lim="800000"/>
                            <a:headEnd/>
                            <a:tailEnd/>
                          </a:ln>
                        </pic:spPr>
                      </pic:pic>
                    </a:graphicData>
                  </a:graphic>
                </wp:inline>
              </w:drawing>
            </w:r>
          </w:p>
        </w:tc>
        <w:tc>
          <w:tcPr>
            <w:tcW w:w="2420" w:type="dxa"/>
            <w:vAlign w:val="center"/>
          </w:tcPr>
          <w:p w14:paraId="13A26888"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لتنمية الغطاء النباتي ومكافحة التصحر</w:t>
            </w:r>
          </w:p>
        </w:tc>
        <w:tc>
          <w:tcPr>
            <w:tcW w:w="2430" w:type="dxa"/>
          </w:tcPr>
          <w:p w14:paraId="5890D52A"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تنيمة الغطاء النباتي في المملكة وزيادة الغطاء الأخضر ومبادرات التشجير وغيرها.</w:t>
            </w:r>
          </w:p>
        </w:tc>
      </w:tr>
      <w:tr w:rsidR="0048002A" w:rsidRPr="005D59A7" w14:paraId="20257EDF" w14:textId="77777777" w:rsidTr="000D4BE5">
        <w:tc>
          <w:tcPr>
            <w:tcW w:w="2952" w:type="dxa"/>
            <w:vAlign w:val="center"/>
          </w:tcPr>
          <w:p w14:paraId="2AEE3995"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364C21D1" wp14:editId="21BA2CBD">
                  <wp:extent cx="1076325" cy="1009650"/>
                  <wp:effectExtent l="19050" t="0" r="9525" b="0"/>
                  <wp:docPr id="64" name="صورة 9" descr="C:\Users\PC\Desktop\Adel's PHD\Thesis\Proposal\مجلد جديد\uZQQOFMW_2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C\Desktop\Adel's PHD\Thesis\Proposal\مجلد جديد\uZQQOFMW_200x200.jpg"/>
                          <pic:cNvPicPr>
                            <a:picLocks noChangeAspect="1" noChangeArrowheads="1"/>
                          </pic:cNvPicPr>
                        </pic:nvPicPr>
                        <pic:blipFill>
                          <a:blip r:embed="rId29"/>
                          <a:srcRect/>
                          <a:stretch>
                            <a:fillRect/>
                          </a:stretch>
                        </pic:blipFill>
                        <pic:spPr bwMode="auto">
                          <a:xfrm>
                            <a:off x="0" y="0"/>
                            <a:ext cx="1076325" cy="1009650"/>
                          </a:xfrm>
                          <a:prstGeom prst="rect">
                            <a:avLst/>
                          </a:prstGeom>
                          <a:noFill/>
                          <a:ln w="9525">
                            <a:noFill/>
                            <a:miter lim="800000"/>
                            <a:headEnd/>
                            <a:tailEnd/>
                          </a:ln>
                        </pic:spPr>
                      </pic:pic>
                    </a:graphicData>
                  </a:graphic>
                </wp:inline>
              </w:drawing>
            </w:r>
          </w:p>
        </w:tc>
        <w:tc>
          <w:tcPr>
            <w:tcW w:w="2420" w:type="dxa"/>
            <w:vAlign w:val="center"/>
          </w:tcPr>
          <w:p w14:paraId="1023D722"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لتمنية الحياة الفطرية</w:t>
            </w:r>
          </w:p>
        </w:tc>
        <w:tc>
          <w:tcPr>
            <w:tcW w:w="2430" w:type="dxa"/>
          </w:tcPr>
          <w:p w14:paraId="4A00EA33"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حماية الحياة الفطرية في المملكة والتنوع الأحيائي والمحميات الطبيعية والكائنات الحية النادرة وغيرها.</w:t>
            </w:r>
          </w:p>
        </w:tc>
      </w:tr>
      <w:tr w:rsidR="0048002A" w:rsidRPr="005D59A7" w14:paraId="7BC71A0F" w14:textId="77777777" w:rsidTr="000D4BE5">
        <w:tc>
          <w:tcPr>
            <w:tcW w:w="2952" w:type="dxa"/>
            <w:vAlign w:val="center"/>
          </w:tcPr>
          <w:p w14:paraId="5980EA68"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7E531204" wp14:editId="53E72EF8">
                  <wp:extent cx="882585" cy="876300"/>
                  <wp:effectExtent l="19050" t="0" r="0" b="0"/>
                  <wp:docPr id="65" name="صورة 10" descr="C:\Users\PC\Desktop\Adel's PHD\Thesis\Proposal\مجلد جديد\ncm-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C\Desktop\Adel's PHD\Thesis\Proposal\مجلد جديد\ncm-logo.jpg"/>
                          <pic:cNvPicPr>
                            <a:picLocks noChangeAspect="1" noChangeArrowheads="1"/>
                          </pic:cNvPicPr>
                        </pic:nvPicPr>
                        <pic:blipFill>
                          <a:blip r:embed="rId30"/>
                          <a:srcRect/>
                          <a:stretch>
                            <a:fillRect/>
                          </a:stretch>
                        </pic:blipFill>
                        <pic:spPr bwMode="auto">
                          <a:xfrm>
                            <a:off x="0" y="0"/>
                            <a:ext cx="882585" cy="876300"/>
                          </a:xfrm>
                          <a:prstGeom prst="rect">
                            <a:avLst/>
                          </a:prstGeom>
                          <a:noFill/>
                          <a:ln w="9525">
                            <a:noFill/>
                            <a:miter lim="800000"/>
                            <a:headEnd/>
                            <a:tailEnd/>
                          </a:ln>
                        </pic:spPr>
                      </pic:pic>
                    </a:graphicData>
                  </a:graphic>
                </wp:inline>
              </w:drawing>
            </w:r>
          </w:p>
        </w:tc>
        <w:tc>
          <w:tcPr>
            <w:tcW w:w="2420" w:type="dxa"/>
            <w:vAlign w:val="center"/>
          </w:tcPr>
          <w:p w14:paraId="41AD76DE"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للأرصاد</w:t>
            </w:r>
          </w:p>
        </w:tc>
        <w:tc>
          <w:tcPr>
            <w:tcW w:w="2430" w:type="dxa"/>
          </w:tcPr>
          <w:p w14:paraId="36B5E962"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الأرصاد الجوية وتنبيهات الأمطار والأتربة والإنذارت والتوقعات.</w:t>
            </w:r>
          </w:p>
        </w:tc>
      </w:tr>
      <w:tr w:rsidR="0048002A" w:rsidRPr="005D59A7" w14:paraId="41E8AF5E" w14:textId="77777777" w:rsidTr="000D4BE5">
        <w:tc>
          <w:tcPr>
            <w:tcW w:w="2952" w:type="dxa"/>
            <w:vAlign w:val="center"/>
          </w:tcPr>
          <w:p w14:paraId="203F99E7"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6701C253" wp14:editId="4988C903">
                  <wp:extent cx="1009650" cy="904875"/>
                  <wp:effectExtent l="19050" t="0" r="0" b="0"/>
                  <wp:docPr id="66" name="صورة 11" descr="C:\Users\PC\Desktop\Adel's PHD\Thesis\Proposal\مجلد جديد\amo0sQOV_4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C\Desktop\Adel's PHD\Thesis\Proposal\مجلد جديد\amo0sQOV_400x400.jpg"/>
                          <pic:cNvPicPr>
                            <a:picLocks noChangeAspect="1" noChangeArrowheads="1"/>
                          </pic:cNvPicPr>
                        </pic:nvPicPr>
                        <pic:blipFill>
                          <a:blip r:embed="rId31" cstate="print"/>
                          <a:srcRect/>
                          <a:stretch>
                            <a:fillRect/>
                          </a:stretch>
                        </pic:blipFill>
                        <pic:spPr bwMode="auto">
                          <a:xfrm>
                            <a:off x="0" y="0"/>
                            <a:ext cx="1009650" cy="904875"/>
                          </a:xfrm>
                          <a:prstGeom prst="rect">
                            <a:avLst/>
                          </a:prstGeom>
                          <a:noFill/>
                          <a:ln w="9525">
                            <a:noFill/>
                            <a:miter lim="800000"/>
                            <a:headEnd/>
                            <a:tailEnd/>
                          </a:ln>
                        </pic:spPr>
                      </pic:pic>
                    </a:graphicData>
                  </a:graphic>
                </wp:inline>
              </w:drawing>
            </w:r>
          </w:p>
        </w:tc>
        <w:tc>
          <w:tcPr>
            <w:tcW w:w="2420" w:type="dxa"/>
            <w:vAlign w:val="center"/>
          </w:tcPr>
          <w:p w14:paraId="42FFEE7C"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المركز الوطني لإدارة النفايات</w:t>
            </w:r>
          </w:p>
        </w:tc>
        <w:tc>
          <w:tcPr>
            <w:tcW w:w="2430" w:type="dxa"/>
          </w:tcPr>
          <w:p w14:paraId="6F6CF465"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إدارة النفايات والبرامج الخاصة بها مثل إعادة التدوير والمدافن والرقابة على الآثار البيئية المصاحبة.</w:t>
            </w:r>
          </w:p>
        </w:tc>
      </w:tr>
      <w:tr w:rsidR="0048002A" w:rsidRPr="005D59A7" w14:paraId="4088F8FE" w14:textId="77777777" w:rsidTr="000D4BE5">
        <w:tc>
          <w:tcPr>
            <w:tcW w:w="2952" w:type="dxa"/>
            <w:vAlign w:val="center"/>
          </w:tcPr>
          <w:p w14:paraId="169C798D" w14:textId="77777777" w:rsidR="000D4BE5" w:rsidRPr="005D59A7" w:rsidRDefault="000D4BE5" w:rsidP="00A40353">
            <w:pPr>
              <w:pStyle w:val="ListParagraph"/>
              <w:bidi/>
              <w:spacing w:line="240" w:lineRule="auto"/>
              <w:ind w:left="0"/>
              <w:jc w:val="center"/>
              <w:rPr>
                <w:rFonts w:ascii="T" w:hAnsi="T" w:cs="Simplified Arabic"/>
                <w:noProof/>
                <w:sz w:val="24"/>
                <w:szCs w:val="24"/>
                <w:rtl/>
              </w:rPr>
            </w:pPr>
            <w:r w:rsidRPr="005D59A7">
              <w:rPr>
                <w:rFonts w:ascii="T" w:hAnsi="T" w:cs="Simplified Arabic"/>
                <w:noProof/>
                <w:sz w:val="24"/>
                <w:szCs w:val="24"/>
                <w:rtl/>
              </w:rPr>
              <w:drawing>
                <wp:inline distT="0" distB="0" distL="0" distR="0" wp14:anchorId="1F945048" wp14:editId="17D8ABFB">
                  <wp:extent cx="962025" cy="857250"/>
                  <wp:effectExtent l="19050" t="0" r="9525" b="0"/>
                  <wp:docPr id="67" name="صورة 12" descr="C:\Users\PC\Desktop\Adel's PHD\Thesis\Proposal\مجلد جديد\6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C\Desktop\Adel's PHD\Thesis\Proposal\مجلد جديد\6174.jpg"/>
                          <pic:cNvPicPr>
                            <a:picLocks noChangeAspect="1" noChangeArrowheads="1"/>
                          </pic:cNvPicPr>
                        </pic:nvPicPr>
                        <pic:blipFill>
                          <a:blip r:embed="rId32" cstate="print"/>
                          <a:srcRect/>
                          <a:stretch>
                            <a:fillRect/>
                          </a:stretch>
                        </pic:blipFill>
                        <pic:spPr bwMode="auto">
                          <a:xfrm>
                            <a:off x="0" y="0"/>
                            <a:ext cx="962025" cy="857250"/>
                          </a:xfrm>
                          <a:prstGeom prst="rect">
                            <a:avLst/>
                          </a:prstGeom>
                          <a:noFill/>
                          <a:ln w="9525">
                            <a:noFill/>
                            <a:miter lim="800000"/>
                            <a:headEnd/>
                            <a:tailEnd/>
                          </a:ln>
                        </pic:spPr>
                      </pic:pic>
                    </a:graphicData>
                  </a:graphic>
                </wp:inline>
              </w:drawing>
            </w:r>
          </w:p>
        </w:tc>
        <w:tc>
          <w:tcPr>
            <w:tcW w:w="2420" w:type="dxa"/>
            <w:vAlign w:val="center"/>
          </w:tcPr>
          <w:p w14:paraId="0BEFC5E1" w14:textId="77777777" w:rsidR="000D4BE5" w:rsidRPr="005D59A7" w:rsidRDefault="000D4BE5" w:rsidP="00A40353">
            <w:pPr>
              <w:pStyle w:val="ListParagraph"/>
              <w:bidi/>
              <w:spacing w:line="240" w:lineRule="auto"/>
              <w:ind w:left="0"/>
              <w:jc w:val="center"/>
              <w:rPr>
                <w:rFonts w:ascii="T" w:hAnsi="T" w:cs="Simplified Arabic"/>
                <w:sz w:val="24"/>
                <w:szCs w:val="24"/>
                <w:rtl/>
              </w:rPr>
            </w:pPr>
            <w:r w:rsidRPr="005D59A7">
              <w:rPr>
                <w:rFonts w:ascii="T" w:hAnsi="T" w:cs="Simplified Arabic"/>
                <w:sz w:val="24"/>
                <w:szCs w:val="24"/>
                <w:rtl/>
              </w:rPr>
              <w:t>صندوق البيئة</w:t>
            </w:r>
          </w:p>
        </w:tc>
        <w:tc>
          <w:tcPr>
            <w:tcW w:w="2430" w:type="dxa"/>
          </w:tcPr>
          <w:p w14:paraId="0887104C" w14:textId="77777777" w:rsidR="000D4BE5" w:rsidRPr="005D59A7" w:rsidRDefault="000D4BE5" w:rsidP="00A40353">
            <w:pPr>
              <w:pStyle w:val="ListParagraph"/>
              <w:bidi/>
              <w:spacing w:line="240" w:lineRule="auto"/>
              <w:ind w:left="0"/>
              <w:jc w:val="both"/>
              <w:rPr>
                <w:rFonts w:ascii="T" w:hAnsi="T" w:cs="Simplified Arabic"/>
                <w:sz w:val="24"/>
                <w:szCs w:val="24"/>
                <w:rtl/>
              </w:rPr>
            </w:pPr>
            <w:r w:rsidRPr="005D59A7">
              <w:rPr>
                <w:rFonts w:ascii="T" w:hAnsi="T" w:cs="Simplified Arabic"/>
                <w:sz w:val="24"/>
                <w:szCs w:val="24"/>
                <w:rtl/>
              </w:rPr>
              <w:t>الجهة المسؤولة عن تنسيق التمويل للمراكز الخمسة من خلال الوزارة والإشراف على تمويل كافة البرامج والمبادرات الخاصة بهم.</w:t>
            </w:r>
          </w:p>
        </w:tc>
      </w:tr>
    </w:tbl>
    <w:p w14:paraId="61C509C1" w14:textId="5EE566BA" w:rsidR="000D4BE5" w:rsidRPr="005D59A7" w:rsidRDefault="000D4BE5" w:rsidP="00861DC2">
      <w:pPr>
        <w:pStyle w:val="Caption"/>
        <w:bidi/>
        <w:spacing w:line="360" w:lineRule="auto"/>
        <w:ind w:firstLine="720"/>
        <w:jc w:val="center"/>
        <w:rPr>
          <w:rFonts w:ascii="T" w:hAnsi="T" w:cs="Simplified Arabic"/>
          <w:color w:val="auto"/>
          <w:sz w:val="24"/>
          <w:szCs w:val="24"/>
          <w:rtl/>
        </w:rPr>
      </w:pPr>
      <w:bookmarkStart w:id="61" w:name="_Toc225991176"/>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4</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الجهات البيئية بالمملكة العربية السعودية</w:t>
      </w:r>
      <w:bookmarkEnd w:id="61"/>
    </w:p>
    <w:p w14:paraId="20C3CF7E" w14:textId="77777777" w:rsidR="00FF1690" w:rsidRPr="005D59A7" w:rsidRDefault="00616CCD" w:rsidP="0045581D">
      <w:pPr>
        <w:pStyle w:val="Heading3"/>
        <w:numPr>
          <w:ilvl w:val="0"/>
          <w:numId w:val="9"/>
        </w:numPr>
        <w:bidi/>
        <w:spacing w:line="360" w:lineRule="auto"/>
        <w:ind w:firstLine="720"/>
        <w:rPr>
          <w:rFonts w:ascii="T" w:hAnsi="T" w:cs="Simplified Arabic"/>
          <w:color w:val="auto"/>
          <w:sz w:val="24"/>
          <w:szCs w:val="24"/>
          <w:rtl/>
        </w:rPr>
      </w:pPr>
      <w:bookmarkStart w:id="62" w:name="_Toc225991369"/>
      <w:r w:rsidRPr="005D59A7">
        <w:rPr>
          <w:rFonts w:ascii="T" w:hAnsi="T" w:cs="Simplified Arabic"/>
          <w:color w:val="auto"/>
          <w:sz w:val="24"/>
          <w:szCs w:val="24"/>
          <w:rtl/>
        </w:rPr>
        <w:lastRenderedPageBreak/>
        <w:t xml:space="preserve">تقرير دراسة </w:t>
      </w:r>
      <w:r w:rsidR="00A6181A" w:rsidRPr="005D59A7">
        <w:rPr>
          <w:rFonts w:ascii="T" w:hAnsi="T" w:cs="Simplified Arabic"/>
          <w:color w:val="auto"/>
          <w:sz w:val="24"/>
          <w:szCs w:val="24"/>
          <w:rtl/>
        </w:rPr>
        <w:t>الإستراتيجية</w:t>
      </w:r>
      <w:r w:rsidR="00FF1690" w:rsidRPr="005D59A7">
        <w:rPr>
          <w:rFonts w:ascii="T" w:hAnsi="T" w:cs="Simplified Arabic"/>
          <w:color w:val="auto"/>
          <w:sz w:val="24"/>
          <w:szCs w:val="24"/>
          <w:rtl/>
        </w:rPr>
        <w:t xml:space="preserve"> الوطنية للبيئة</w:t>
      </w:r>
      <w:r w:rsidRPr="005D59A7">
        <w:rPr>
          <w:rFonts w:ascii="T" w:hAnsi="T" w:cs="Simplified Arabic"/>
          <w:color w:val="auto"/>
          <w:sz w:val="24"/>
          <w:szCs w:val="24"/>
          <w:rtl/>
        </w:rPr>
        <w:t xml:space="preserve"> (وزارة البيئة والمياه والزراعة، 2018).</w:t>
      </w:r>
      <w:bookmarkEnd w:id="62"/>
    </w:p>
    <w:p w14:paraId="12FBE2DA" w14:textId="77777777" w:rsidR="00FF1690" w:rsidRPr="005D59A7" w:rsidRDefault="008C391A"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جاءت الحاجة إلى وجود إستراتيجية بيئية وطنية</w:t>
      </w:r>
      <w:r w:rsidRPr="005D59A7">
        <w:rPr>
          <w:rFonts w:ascii="T" w:hAnsi="T" w:cs="Simplified Arabic"/>
          <w:sz w:val="24"/>
          <w:szCs w:val="24"/>
        </w:rPr>
        <w:t xml:space="preserve"> </w:t>
      </w:r>
      <w:r w:rsidRPr="005D59A7">
        <w:rPr>
          <w:rFonts w:ascii="T" w:hAnsi="T" w:cs="Simplified Arabic"/>
          <w:sz w:val="24"/>
          <w:szCs w:val="24"/>
          <w:rtl/>
        </w:rPr>
        <w:t>على مدى العقود الماضية، حيث تفاقمت الضغوط على البيئة والموارد الطبيعية نتيجة الزيادة المطردة في عدد سكان المملكة (+136% على مدى السنوات الثلاثين الماضية)</w:t>
      </w:r>
    </w:p>
    <w:p w14:paraId="643A8302" w14:textId="77777777" w:rsidR="008C391A" w:rsidRPr="005D59A7" w:rsidRDefault="008C391A" w:rsidP="00A40353">
      <w:pPr>
        <w:bidi/>
        <w:spacing w:line="360" w:lineRule="auto"/>
        <w:ind w:left="84"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6E4A7D25" wp14:editId="3AAFE0CA">
            <wp:extent cx="3524250" cy="1047750"/>
            <wp:effectExtent l="19050" t="0" r="0" b="0"/>
            <wp:docPr id="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rcRect/>
                    <a:stretch>
                      <a:fillRect/>
                    </a:stretch>
                  </pic:blipFill>
                  <pic:spPr bwMode="auto">
                    <a:xfrm>
                      <a:off x="0" y="0"/>
                      <a:ext cx="3524250" cy="1047750"/>
                    </a:xfrm>
                    <a:prstGeom prst="rect">
                      <a:avLst/>
                    </a:prstGeom>
                    <a:noFill/>
                    <a:ln w="9525">
                      <a:noFill/>
                      <a:miter lim="800000"/>
                      <a:headEnd/>
                      <a:tailEnd/>
                    </a:ln>
                  </pic:spPr>
                </pic:pic>
              </a:graphicData>
            </a:graphic>
          </wp:inline>
        </w:drawing>
      </w:r>
    </w:p>
    <w:p w14:paraId="33C0DE4F" w14:textId="7159B753" w:rsidR="008C391A" w:rsidRPr="005D59A7" w:rsidRDefault="008C391A" w:rsidP="00A40353">
      <w:pPr>
        <w:pStyle w:val="Caption"/>
        <w:bidi/>
        <w:spacing w:line="360" w:lineRule="auto"/>
        <w:ind w:left="84" w:firstLine="720"/>
        <w:jc w:val="center"/>
        <w:rPr>
          <w:rFonts w:ascii="T" w:hAnsi="T" w:cs="Simplified Arabic"/>
          <w:color w:val="auto"/>
          <w:sz w:val="24"/>
          <w:szCs w:val="24"/>
          <w:rtl/>
        </w:rPr>
      </w:pPr>
      <w:bookmarkStart w:id="63" w:name="_Toc225991169"/>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5</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النمو السكاني خلال الثلاثين عاماً الماضية (بالملايين)</w:t>
      </w:r>
      <w:bookmarkEnd w:id="63"/>
    </w:p>
    <w:p w14:paraId="091D5CD6" w14:textId="77777777" w:rsidR="008C391A" w:rsidRPr="005D59A7" w:rsidRDefault="008C391A"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كما شهدت جميع القطاعات نمواً ملحوظاً (التصنيع، والطاقة، والنقل، والتعدين، والزراعة).</w:t>
      </w:r>
    </w:p>
    <w:p w14:paraId="467F32F1" w14:textId="77777777" w:rsidR="008C391A" w:rsidRPr="005D59A7" w:rsidRDefault="008C391A" w:rsidP="00A40353">
      <w:pPr>
        <w:bidi/>
        <w:spacing w:line="360" w:lineRule="auto"/>
        <w:ind w:left="84"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084F720A" wp14:editId="6AD69623">
            <wp:extent cx="3600450" cy="1123950"/>
            <wp:effectExtent l="19050" t="0" r="0" b="0"/>
            <wp:docPr id="5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srcRect/>
                    <a:stretch>
                      <a:fillRect/>
                    </a:stretch>
                  </pic:blipFill>
                  <pic:spPr bwMode="auto">
                    <a:xfrm>
                      <a:off x="0" y="0"/>
                      <a:ext cx="3600450" cy="1123950"/>
                    </a:xfrm>
                    <a:prstGeom prst="rect">
                      <a:avLst/>
                    </a:prstGeom>
                    <a:noFill/>
                    <a:ln w="9525">
                      <a:noFill/>
                      <a:miter lim="800000"/>
                      <a:headEnd/>
                      <a:tailEnd/>
                    </a:ln>
                  </pic:spPr>
                </pic:pic>
              </a:graphicData>
            </a:graphic>
          </wp:inline>
        </w:drawing>
      </w:r>
    </w:p>
    <w:p w14:paraId="18D2200B" w14:textId="19B1F55C" w:rsidR="008C391A" w:rsidRPr="005D59A7" w:rsidRDefault="008C391A" w:rsidP="00A40353">
      <w:pPr>
        <w:pStyle w:val="Caption"/>
        <w:bidi/>
        <w:spacing w:line="360" w:lineRule="auto"/>
        <w:ind w:left="84" w:firstLine="720"/>
        <w:jc w:val="center"/>
        <w:rPr>
          <w:rFonts w:ascii="T" w:hAnsi="T" w:cs="Simplified Arabic"/>
          <w:color w:val="auto"/>
          <w:sz w:val="24"/>
          <w:szCs w:val="24"/>
          <w:rtl/>
        </w:rPr>
      </w:pPr>
      <w:bookmarkStart w:id="64" w:name="_Toc225991170"/>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6</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نمو الناتج المحلي الإجمالي على مدار الثلاثين عاماً الماضية (بالمليارات من الريال السعودي بأسعار ثابتة/سنوياً)</w:t>
      </w:r>
      <w:bookmarkEnd w:id="64"/>
    </w:p>
    <w:p w14:paraId="50240D54" w14:textId="77777777" w:rsidR="00E71504" w:rsidRPr="005D59A7" w:rsidRDefault="00E71504" w:rsidP="00A40353">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إلا أن جهاز حماية البيئة لم يتكيف مع هذا النمو الكبير من خلال ضعف الالتزام بالضوابط والمعايير البيئية، ضعف الوعي البيئي وانتشار الممارسات الضارة، التدهور البيئي العام (مصادر الملوثات، والنفايات، وتدهور الغطاء النباتي والحياة البرية)، واحتلال المملكة مرتبة متدنية وفقًا لمؤشر الأداء البيئي (</w:t>
      </w:r>
      <w:r w:rsidRPr="005D59A7">
        <w:rPr>
          <w:rFonts w:ascii="T" w:hAnsi="T" w:cs="Simplified Arabic"/>
          <w:sz w:val="24"/>
          <w:szCs w:val="24"/>
        </w:rPr>
        <w:t>EPI</w:t>
      </w:r>
      <w:r w:rsidRPr="005D59A7">
        <w:rPr>
          <w:rFonts w:ascii="T" w:hAnsi="T" w:cs="Simplified Arabic"/>
          <w:sz w:val="24"/>
          <w:szCs w:val="24"/>
          <w:rtl/>
        </w:rPr>
        <w:t>) (المرتبة "86" لعام 2017 من بين 180 دولة). وقد استلزم هذا الوضع وضع استراتيجية بيئية وطنية تحدد إطاراً شاملاً لتنفيذ حلول جذرية معينة لتحسين أداء القطاع وحماية البيئة واستدامتها</w:t>
      </w:r>
      <w:r w:rsidR="000C74D1" w:rsidRPr="005D59A7">
        <w:rPr>
          <w:rFonts w:ascii="T" w:hAnsi="T" w:cs="Simplified Arabic"/>
          <w:sz w:val="24"/>
          <w:szCs w:val="24"/>
          <w:rtl/>
        </w:rPr>
        <w:t xml:space="preserve"> (</w:t>
      </w:r>
      <w:r w:rsidR="000C74D1" w:rsidRPr="005D59A7">
        <w:rPr>
          <w:rFonts w:ascii="T" w:hAnsi="T" w:cs="Simplified Arabic"/>
          <w:sz w:val="24"/>
          <w:szCs w:val="24"/>
        </w:rPr>
        <w:t>NES, 2018</w:t>
      </w:r>
      <w:r w:rsidR="000C74D1" w:rsidRPr="005D59A7">
        <w:rPr>
          <w:rFonts w:ascii="T" w:hAnsi="T" w:cs="Simplified Arabic"/>
          <w:sz w:val="24"/>
          <w:szCs w:val="24"/>
          <w:rtl/>
        </w:rPr>
        <w:t>)</w:t>
      </w:r>
      <w:r w:rsidRPr="005D59A7">
        <w:rPr>
          <w:rFonts w:ascii="T" w:hAnsi="T" w:cs="Simplified Arabic"/>
          <w:sz w:val="24"/>
          <w:szCs w:val="24"/>
          <w:rtl/>
        </w:rPr>
        <w:t>.</w:t>
      </w:r>
    </w:p>
    <w:p w14:paraId="1220265C" w14:textId="77777777" w:rsidR="00E71504" w:rsidRPr="005D59A7" w:rsidRDefault="00E71504"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 xml:space="preserve">تطمح </w:t>
      </w:r>
      <w:r w:rsidR="000C74D1" w:rsidRPr="005D59A7">
        <w:rPr>
          <w:rFonts w:ascii="T" w:hAnsi="T" w:cs="Simplified Arabic"/>
          <w:sz w:val="24"/>
          <w:szCs w:val="24"/>
          <w:rtl/>
        </w:rPr>
        <w:t>الإستراتيجية</w:t>
      </w:r>
      <w:r w:rsidRPr="005D59A7">
        <w:rPr>
          <w:rFonts w:ascii="T" w:hAnsi="T" w:cs="Simplified Arabic"/>
          <w:sz w:val="24"/>
          <w:szCs w:val="24"/>
          <w:rtl/>
        </w:rPr>
        <w:t xml:space="preserve"> الوطنية للبيئة إلى:</w:t>
      </w:r>
    </w:p>
    <w:p w14:paraId="766C5EE7"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تعزيز فعالية القطاع (الإطار المؤسسي، والحوكمة، ونموذج التشغيل، واللوائح البيئية، والاستدامة المالية للقطاع).</w:t>
      </w:r>
    </w:p>
    <w:p w14:paraId="3681A8B3"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زيادة الالتزام بالمعايير البيئية في جميع قطاعات التنمية والحد من التلوث والآثار السلبية على البيئة.</w:t>
      </w:r>
    </w:p>
    <w:p w14:paraId="27319A58"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تطوير الغطاء النباتي الطبيعي ومكافحة التصحر.</w:t>
      </w:r>
    </w:p>
    <w:p w14:paraId="34FAE81A"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حماية الحياة البرية والحفاظ على التنوع البيولوجي.</w:t>
      </w:r>
    </w:p>
    <w:p w14:paraId="18A707E3"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تشجيع مشاركة القطاع الخاص لتحسين جودة الخدمات، وتعزيز الاقتصاد، وتحفيز الابتكار.</w:t>
      </w:r>
    </w:p>
    <w:p w14:paraId="5AE64C28"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تعزيز القدرة الوطنية على التكيف مع تغير المناخ.</w:t>
      </w:r>
    </w:p>
    <w:p w14:paraId="50047951"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رفع مستوى الوعي البيئي وتعزيز دور المنظمات غير الحكومية والعمل التطوعي.</w:t>
      </w:r>
    </w:p>
    <w:p w14:paraId="56AEE9A6" w14:textId="77777777" w:rsidR="00E71504" w:rsidRPr="005D59A7" w:rsidRDefault="00E71504" w:rsidP="0045581D">
      <w:pPr>
        <w:pStyle w:val="ListParagraph"/>
        <w:numPr>
          <w:ilvl w:val="0"/>
          <w:numId w:val="20"/>
        </w:numPr>
        <w:bidi/>
        <w:spacing w:line="360" w:lineRule="auto"/>
        <w:ind w:left="84" w:firstLine="720"/>
        <w:rPr>
          <w:rFonts w:ascii="T" w:hAnsi="T" w:cs="Simplified Arabic"/>
          <w:sz w:val="24"/>
          <w:szCs w:val="24"/>
        </w:rPr>
      </w:pPr>
      <w:r w:rsidRPr="005D59A7">
        <w:rPr>
          <w:rFonts w:ascii="T" w:hAnsi="T" w:cs="Simplified Arabic"/>
          <w:sz w:val="24"/>
          <w:szCs w:val="24"/>
          <w:rtl/>
        </w:rPr>
        <w:t>تحسين جودة ونطاق تغطية خدمات الأرصاد الجوية.</w:t>
      </w:r>
    </w:p>
    <w:p w14:paraId="0F465B40" w14:textId="77777777" w:rsidR="00125FDB" w:rsidRPr="005D59A7" w:rsidRDefault="00E71504" w:rsidP="00A40353">
      <w:pPr>
        <w:bidi/>
        <w:spacing w:line="360" w:lineRule="auto"/>
        <w:ind w:left="84" w:firstLine="720"/>
        <w:rPr>
          <w:rFonts w:ascii="T" w:hAnsi="T" w:cs="Simplified Arabic"/>
          <w:sz w:val="24"/>
          <w:szCs w:val="24"/>
          <w:rtl/>
        </w:rPr>
      </w:pPr>
      <w:r w:rsidRPr="005D59A7">
        <w:rPr>
          <w:rFonts w:ascii="T" w:hAnsi="T" w:cs="Simplified Arabic"/>
          <w:sz w:val="24"/>
          <w:szCs w:val="24"/>
          <w:rtl/>
        </w:rPr>
        <w:t>تطلب إعداد الإستراتيجية الإشراف والحوكمة من قبل عدد من الجهات بمختلف التخصصات</w:t>
      </w:r>
      <w:r w:rsidR="00125FDB" w:rsidRPr="005D59A7">
        <w:rPr>
          <w:rFonts w:ascii="T" w:hAnsi="T" w:cs="Simplified Arabic"/>
          <w:sz w:val="24"/>
          <w:szCs w:val="24"/>
          <w:rtl/>
        </w:rPr>
        <w:t xml:space="preserve"> والهيكلة المؤسسية:</w:t>
      </w:r>
    </w:p>
    <w:p w14:paraId="192766D7" w14:textId="77777777" w:rsidR="00125FDB" w:rsidRPr="005D59A7" w:rsidRDefault="00125FDB"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اللجنة التوجيهية، برئاسة معالي وزير البيئة والمياه والزراعة، وعضوية 20 عضواً يمثلون جميع القطاعات ذات الصلة:</w:t>
      </w:r>
    </w:p>
    <w:p w14:paraId="17A10F9D"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البيئة والمياه والزراعة.</w:t>
      </w:r>
    </w:p>
    <w:p w14:paraId="18E0B4C8"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الاقتصاد والتخطيط.</w:t>
      </w:r>
    </w:p>
    <w:p w14:paraId="7F841FB7"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الطاقة والصناعة والموارد المعدنية.</w:t>
      </w:r>
    </w:p>
    <w:p w14:paraId="0AC19F21"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الصحة.</w:t>
      </w:r>
    </w:p>
    <w:p w14:paraId="41025AFA"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النقل.</w:t>
      </w:r>
    </w:p>
    <w:p w14:paraId="1269062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الشؤون البلدية والريفية.</w:t>
      </w:r>
    </w:p>
    <w:p w14:paraId="621EF8FC"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العامة للأرصاد الجوية وحماية البيئة.</w:t>
      </w:r>
    </w:p>
    <w:p w14:paraId="5942D96D"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للحياة البرية.</w:t>
      </w:r>
    </w:p>
    <w:p w14:paraId="749C0A6E"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الملكية بالجبيل وينبع.</w:t>
      </w:r>
    </w:p>
    <w:p w14:paraId="21490404"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الهيئة الملكية للجبيل و</w:t>
      </w:r>
    </w:p>
    <w:p w14:paraId="092BD038"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للسياحة والتراث الوطني.</w:t>
      </w:r>
    </w:p>
    <w:p w14:paraId="70DFA1B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المركز السعودي لكفاءة الطاقة.</w:t>
      </w:r>
    </w:p>
    <w:p w14:paraId="4E4D1F70"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اللجنة الوطنية لآلية التنمية النظيفة.</w:t>
      </w:r>
    </w:p>
    <w:p w14:paraId="7FBBD9AF"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عبد الله للعلوم والتكنولوجيا.</w:t>
      </w:r>
    </w:p>
    <w:p w14:paraId="649B1225"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فهد البترول والمعادن.</w:t>
      </w:r>
    </w:p>
    <w:p w14:paraId="2C141426" w14:textId="77777777" w:rsidR="00125FDB" w:rsidRPr="005D59A7" w:rsidRDefault="00125FDB"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سعود.</w:t>
      </w:r>
    </w:p>
    <w:p w14:paraId="1955AF34" w14:textId="77777777" w:rsidR="00125FDB"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لجنة علمية تتألف من 19 عضواً:</w:t>
      </w:r>
    </w:p>
    <w:p w14:paraId="072F169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وزارة البيئة والمياه والزراعة (إدارات البيئة، المياه، الزراعة، التخطيط، الخصخصة، ومكتب تحقيق الرؤية).</w:t>
      </w:r>
    </w:p>
    <w:p w14:paraId="34834BC5"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السعودية للحياة البرية.</w:t>
      </w:r>
    </w:p>
    <w:p w14:paraId="2BFE8A07"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الهيئة العامة للأرصاد الجوية وحماية البيئة.</w:t>
      </w:r>
    </w:p>
    <w:p w14:paraId="5F01F0A1"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عبد الله للعلوم والتكنولوجيا.</w:t>
      </w:r>
    </w:p>
    <w:p w14:paraId="68793244"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فهد البترول والمعادن.</w:t>
      </w:r>
    </w:p>
    <w:p w14:paraId="0C8A5C7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جامعة الملك سعود.</w:t>
      </w:r>
    </w:p>
    <w:p w14:paraId="330AA53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منظمة الأغذية والزراعة (الفاو).</w:t>
      </w:r>
    </w:p>
    <w:p w14:paraId="3A71E4BC"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خبراء البيئة السعوديون.</w:t>
      </w:r>
    </w:p>
    <w:p w14:paraId="3E60D664" w14:textId="77777777" w:rsidR="00957F3D"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دراسة يتألف من 18 عضواً:</w:t>
      </w:r>
    </w:p>
    <w:p w14:paraId="240D88D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من وزارة البيئة والمياه والزراعة يتألف من 8 أشخاص.</w:t>
      </w:r>
    </w:p>
    <w:p w14:paraId="3647FAD2"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فريق مكتب استشاري يتألف من "10" أشخاص.</w:t>
      </w:r>
    </w:p>
    <w:p w14:paraId="026E2C26"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خبراء دوليون.</w:t>
      </w:r>
    </w:p>
    <w:p w14:paraId="57A069D2" w14:textId="77777777" w:rsidR="00957F3D" w:rsidRPr="005D59A7" w:rsidRDefault="00957F3D" w:rsidP="0045581D">
      <w:pPr>
        <w:pStyle w:val="ListParagraph"/>
        <w:numPr>
          <w:ilvl w:val="0"/>
          <w:numId w:val="21"/>
        </w:numPr>
        <w:bidi/>
        <w:spacing w:line="360" w:lineRule="auto"/>
        <w:ind w:left="84" w:firstLine="720"/>
        <w:rPr>
          <w:rFonts w:ascii="T" w:hAnsi="T" w:cs="Simplified Arabic"/>
          <w:sz w:val="24"/>
          <w:szCs w:val="24"/>
        </w:rPr>
      </w:pPr>
      <w:r w:rsidRPr="005D59A7">
        <w:rPr>
          <w:rFonts w:ascii="T" w:hAnsi="T" w:cs="Simplified Arabic"/>
          <w:sz w:val="24"/>
          <w:szCs w:val="24"/>
          <w:rtl/>
        </w:rPr>
        <w:t>"25" خبيرًا في "17" مجالًا:</w:t>
      </w:r>
    </w:p>
    <w:p w14:paraId="40088A16"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الاستراتيجيات البيئية.</w:t>
      </w:r>
    </w:p>
    <w:p w14:paraId="22A654F2"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lastRenderedPageBreak/>
        <w:t>التنوع البيولوجي والحياة البرية الصحراوية.</w:t>
      </w:r>
    </w:p>
    <w:p w14:paraId="6215916B"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البيئة البحرية.</w:t>
      </w:r>
    </w:p>
    <w:p w14:paraId="707896FA"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التربة والتصحر.</w:t>
      </w:r>
    </w:p>
    <w:p w14:paraId="5D44DE3E"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جودة الهواء.</w:t>
      </w:r>
    </w:p>
    <w:p w14:paraId="360EE03E"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تغير المناخ.</w:t>
      </w:r>
    </w:p>
    <w:p w14:paraId="73BD7DB1"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الموارد المائية والمياه الجوفية الحماية من التلوث.</w:t>
      </w:r>
    </w:p>
    <w:p w14:paraId="478BE0F8"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النفايات الصلبة والخطرة.</w:t>
      </w:r>
    </w:p>
    <w:p w14:paraId="5C4252B3"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علم الأرصاد الجوية.</w:t>
      </w:r>
    </w:p>
    <w:p w14:paraId="776B773D"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الحوكمة البيئية والإطار المؤسسي.</w:t>
      </w:r>
    </w:p>
    <w:p w14:paraId="70CA53AC" w14:textId="77777777" w:rsidR="00957F3D" w:rsidRPr="005D59A7" w:rsidRDefault="00957F3D"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الخصخصة والاستثمار في قطاع البيئة.</w:t>
      </w:r>
    </w:p>
    <w:p w14:paraId="1CF8D8B6" w14:textId="77777777" w:rsidR="00957F3D"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الاقتصاد البيئي والاجتماعي.</w:t>
      </w:r>
    </w:p>
    <w:p w14:paraId="119E6EE6"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إعادة التأهيل والاستدامة وإعادة التدوير.</w:t>
      </w:r>
    </w:p>
    <w:p w14:paraId="06112A8D"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الاستجابة لحالات الطوارئ وحوادث انسكاب النفط.</w:t>
      </w:r>
    </w:p>
    <w:p w14:paraId="5B9A1127"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رأس المال البشري في قطاع البيئة.</w:t>
      </w:r>
    </w:p>
    <w:p w14:paraId="4090EC45" w14:textId="77777777" w:rsidR="000C74D1" w:rsidRPr="005D59A7" w:rsidRDefault="000C74D1" w:rsidP="0045581D">
      <w:pPr>
        <w:pStyle w:val="ListParagraph"/>
        <w:numPr>
          <w:ilvl w:val="1"/>
          <w:numId w:val="21"/>
        </w:numPr>
        <w:bidi/>
        <w:spacing w:line="360" w:lineRule="auto"/>
        <w:ind w:left="84" w:firstLine="720"/>
        <w:rPr>
          <w:rFonts w:ascii="T" w:hAnsi="T" w:cs="Simplified Arabic"/>
          <w:sz w:val="24"/>
          <w:szCs w:val="24"/>
        </w:rPr>
      </w:pPr>
      <w:r w:rsidRPr="005D59A7">
        <w:rPr>
          <w:rFonts w:ascii="T" w:hAnsi="T" w:cs="Simplified Arabic"/>
          <w:sz w:val="24"/>
          <w:szCs w:val="24"/>
          <w:rtl/>
        </w:rPr>
        <w:t>المعلومات والتكنولوجيا في قطاع البيئة.</w:t>
      </w:r>
    </w:p>
    <w:p w14:paraId="12C4EA83" w14:textId="77777777" w:rsidR="00297342" w:rsidRPr="005D59A7" w:rsidRDefault="00297342" w:rsidP="00861DC2">
      <w:pPr>
        <w:pStyle w:val="Heading4"/>
        <w:bidi/>
        <w:spacing w:line="360" w:lineRule="auto"/>
        <w:ind w:firstLine="720"/>
        <w:rPr>
          <w:rFonts w:ascii="T" w:hAnsi="T" w:cs="Simplified Arabic"/>
          <w:b w:val="0"/>
          <w:bCs w:val="0"/>
          <w:color w:val="auto"/>
          <w:sz w:val="24"/>
          <w:szCs w:val="24"/>
        </w:rPr>
      </w:pPr>
      <w:r w:rsidRPr="005D59A7">
        <w:rPr>
          <w:rFonts w:ascii="T" w:hAnsi="T" w:cs="Simplified Arabic"/>
          <w:b w:val="0"/>
          <w:bCs w:val="0"/>
          <w:color w:val="auto"/>
          <w:sz w:val="24"/>
          <w:szCs w:val="24"/>
          <w:rtl/>
        </w:rPr>
        <w:t>الإطار العام للإستراتيجية الوطنية للبيئة:</w:t>
      </w:r>
    </w:p>
    <w:p w14:paraId="26AF19D3"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تتوزع طموحات الإستراتيجية الوطنية للبيئة على أربعة أبعاد رئيسية: الاستدامة البيئية (الحفاظ على الموارد الطبيعية، الاستهلاك والإنتاج المستدام، إعادة تأهيل النظم البيئية المتدهورة)، والاستدامة الاقتصادية (بيئة مستدامة اقتصادياً، النمو الاقتصادي المستدام، تعزيز الشراكة بين القطاعين العام والخاص)، والرعاية الاجتماعية (الحد من التلوث، تحسين جودة الحياة، الترويج للسياحة البيئية)، والمشاركة البيئية (مساهمة المجتمع المدني، المشاركة الإقليمية والدولية الفعالة)</w:t>
      </w:r>
      <w:r w:rsidRPr="005D59A7">
        <w:rPr>
          <w:rFonts w:ascii="T" w:hAnsi="T" w:cs="Simplified Arabic"/>
          <w:sz w:val="24"/>
          <w:szCs w:val="24"/>
        </w:rPr>
        <w:t>.</w:t>
      </w:r>
    </w:p>
    <w:p w14:paraId="5FADD074"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تتوزع مجالات الاستدامة البيئية عبر خمسة قطاعات: النظم البيئية الأرضية (مواجهة تهديدات التنوع البيولوجي، حماية الموائل، مبادرات الحفاظ)، والنظم البيئية البحرية والساحلية (معالجة تهديدات البيئات البحرية، </w:t>
      </w:r>
      <w:r w:rsidRPr="005D59A7">
        <w:rPr>
          <w:rFonts w:ascii="T" w:hAnsi="T" w:cs="Simplified Arabic"/>
          <w:sz w:val="24"/>
          <w:szCs w:val="24"/>
          <w:rtl/>
        </w:rPr>
        <w:lastRenderedPageBreak/>
        <w:t>الحفاظ على الموائل، مبادرات الحفاظ)، والأرض والتصحر (مواجهة الإفراط في الاستهلاك، إدارة الموارد الطبيعية، إدارة الأراضي المستدامة)، وعلم الأرصاد الجوية (تحسين نطاق الخدمة، تطوير آليات التوريد، رفع جودة التقديم). كما تشمل جودة الهواء وتغير المناخ (مصادر التلوث، تحسين جودة الهواء، استراتيجيات التخفيف)، وموارد المياه (إدارة الطلب، ضمان الجودة والتوافر، الإدارة المتكاملة)، وإدارة النفايات والسلامة الكيميائية (تحديد مصادر النفايات، تطوير البنية التحتية، الإدارة المتكاملة)</w:t>
      </w:r>
      <w:r w:rsidRPr="005D59A7">
        <w:rPr>
          <w:rFonts w:ascii="T" w:hAnsi="T" w:cs="Simplified Arabic"/>
          <w:sz w:val="24"/>
          <w:szCs w:val="24"/>
        </w:rPr>
        <w:t xml:space="preserve"> (NES, 2018).</w:t>
      </w:r>
    </w:p>
    <w:p w14:paraId="0AE79EE9" w14:textId="62F654D5" w:rsidR="00377C52" w:rsidRPr="005D59A7" w:rsidRDefault="00031138" w:rsidP="000B0864">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t>عوامل تمكين الإستراتيجية الوطنية للبيئة</w:t>
      </w:r>
    </w:p>
    <w:p w14:paraId="6416E33C"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تتوزع عوامل تمكين تنفيذ الإستراتيجية الوطنية للبيئة على خمسة محاور رئيسية. المحور الأول: الإطار المؤسسي، ويشمل الهيكل القطاعي، وتحديد مسؤوليات أصحاب المصلحة، وتعزيز مشاركة القطاع الخاص، وإشراك المجتمع المدني، والتعاون الدولي والإقليمي. المحور الثاني: السياسات واللوائح، ويشمل تطوير اللوائح الفنية والاقتصادية (كالرسوم والمخالفات والتعريفات الجمركية)، وأنظمة الترخيص، وآليات المراقبة والامتثال البيئي والإنفاذ والعقوبات. المحور الثالث: العوامل الاقتصادية المساعدة، ويشمل تعزيز مصادر إيرادات القطاع، وتفعيل مشاركة القطاع الخاص، ودور صندوق البيئة، وتوفير حوافز للقطاعات التنموية. المحور الرابع: القدرات المطلوبة، ويشمل تطوير الموارد البشرية والتعليم، وتوطين التقنيات والأنظمة، وتعزيز التخطيط وإدارة المخاطر والتأهب للطوارئ، ودعم البحث والتطوير والابتكار، ونشر الوعي وتغيير السلوك. المحور الخامس: برامج التنفيذ وإدارة الأداء، ويشمل وضع برامج تنفيذية واضحة، وتطوير آليات الإشراف والتنسيق وإدارة الأداء، وخطط وآليات الرصد والتحكم (</w:t>
      </w:r>
      <w:r w:rsidRPr="005D59A7">
        <w:rPr>
          <w:rFonts w:ascii="T" w:hAnsi="T" w:cs="Simplified Arabic"/>
          <w:sz w:val="24"/>
          <w:szCs w:val="24"/>
        </w:rPr>
        <w:t>NES, 2018</w:t>
      </w:r>
      <w:r w:rsidRPr="005D59A7">
        <w:rPr>
          <w:rFonts w:ascii="T" w:hAnsi="T" w:cs="Simplified Arabic"/>
          <w:sz w:val="24"/>
          <w:szCs w:val="24"/>
          <w:rtl/>
        </w:rPr>
        <w:t>).</w:t>
      </w:r>
    </w:p>
    <w:p w14:paraId="072553EE" w14:textId="77777777" w:rsidR="00031138" w:rsidRPr="005D59A7" w:rsidRDefault="00205F80" w:rsidP="0045581D">
      <w:pPr>
        <w:pStyle w:val="Heading4"/>
        <w:numPr>
          <w:ilvl w:val="0"/>
          <w:numId w:val="23"/>
        </w:numPr>
        <w:bidi/>
        <w:spacing w:line="360" w:lineRule="auto"/>
        <w:ind w:left="84" w:firstLine="720"/>
        <w:rPr>
          <w:rFonts w:ascii="T" w:hAnsi="T" w:cs="Simplified Arabic"/>
          <w:b w:val="0"/>
          <w:bCs w:val="0"/>
          <w:color w:val="auto"/>
          <w:sz w:val="24"/>
          <w:szCs w:val="24"/>
        </w:rPr>
      </w:pPr>
      <w:r w:rsidRPr="005D59A7">
        <w:rPr>
          <w:rFonts w:ascii="T" w:hAnsi="T" w:cs="Simplified Arabic"/>
          <w:b w:val="0"/>
          <w:bCs w:val="0"/>
          <w:color w:val="auto"/>
          <w:sz w:val="24"/>
          <w:szCs w:val="24"/>
          <w:rtl/>
        </w:rPr>
        <w:t xml:space="preserve">بعض المختارات من دراسات تقييم الوضع البيئي الحالي: </w:t>
      </w:r>
    </w:p>
    <w:p w14:paraId="3E1188D5" w14:textId="642E0A81" w:rsidR="00205F80" w:rsidRPr="005D59A7" w:rsidRDefault="00205F80" w:rsidP="000B0864">
      <w:pPr>
        <w:bidi/>
        <w:spacing w:line="360" w:lineRule="auto"/>
        <w:ind w:left="804"/>
        <w:rPr>
          <w:rFonts w:ascii="T" w:hAnsi="T" w:cs="Simplified Arabic"/>
          <w:b/>
          <w:bCs/>
          <w:sz w:val="24"/>
          <w:szCs w:val="24"/>
        </w:rPr>
      </w:pPr>
      <w:r w:rsidRPr="005D59A7">
        <w:rPr>
          <w:rFonts w:ascii="T" w:hAnsi="T" w:cs="Simplified Arabic"/>
          <w:b/>
          <w:bCs/>
          <w:sz w:val="24"/>
          <w:szCs w:val="24"/>
          <w:rtl/>
        </w:rPr>
        <w:t>تقييم الوضع الحالي للحياة البرية البحرية والساحلية:</w:t>
      </w:r>
    </w:p>
    <w:p w14:paraId="41DE9EDF" w14:textId="77777777" w:rsidR="000B0864" w:rsidRPr="005D59A7" w:rsidRDefault="000B0864" w:rsidP="000B0864">
      <w:pPr>
        <w:bidi/>
        <w:spacing w:line="360" w:lineRule="auto"/>
        <w:ind w:left="84" w:firstLine="720"/>
        <w:jc w:val="both"/>
        <w:rPr>
          <w:rFonts w:ascii="T" w:hAnsi="T" w:cs="Simplified Arabic"/>
          <w:sz w:val="24"/>
          <w:szCs w:val="24"/>
          <w:rtl/>
        </w:rPr>
      </w:pPr>
      <w:r w:rsidRPr="005D59A7">
        <w:rPr>
          <w:rFonts w:ascii="T" w:hAnsi="T" w:cs="Simplified Arabic"/>
          <w:sz w:val="24"/>
          <w:szCs w:val="24"/>
          <w:rtl/>
        </w:rPr>
        <w:t xml:space="preserve">تواجه النظم البيئية البحرية والساحلية في المملكة العربية السعودية ضغوطاً متعددة، أبرزها استصلاح الأراضي والتجريف بسبب التوسع العمراني، وبناء منشآت النقل البحري والصناعية على السواحل، وتراكم النفايات السائلة والصلبة، وممارسات الصيد غير المشروعة، ونمو صناعة الاستزراع المائي. وقد أدت هذه الضغوط إلى تدهور كبير في هذه النظم البيئية، حيث سجلت أشجار المانغروف انخفاضاً بنسبة 75% خلال </w:t>
      </w:r>
      <w:r w:rsidRPr="005D59A7">
        <w:rPr>
          <w:rFonts w:ascii="T" w:hAnsi="T" w:cs="Simplified Arabic"/>
          <w:sz w:val="24"/>
          <w:szCs w:val="24"/>
          <w:rtl/>
        </w:rPr>
        <w:lastRenderedPageBreak/>
        <w:t>الفترة من 1985 إلى 2013، كما ساهمت عمليات الردم والتجريف والممارسات الخاطئة في الصيد في تدمير مساحات واسعة من الشعاب المرجانية، وتسببت حوادث التلوث النفطي خلال حرب الخليج في أضرار بالغة بأشجار المانغروف والمستنقعات المالحة والأعشاب البحرية. كما يعاني التنوع البيولوجي البحري من تهديدات خطيرة، حيث أصبحت أسماك القرش مهددة بالانقراض بسبب التهريب، وأدى الصيد الجائر إلى تعريض ثلاثة أنواع على الأقل من مجموعات الأسماك التجارية للخطر، كما أن أسماك الزينة مثل أسماك الفراشة وأسماك الملائكة مهددة بالانقراض بسبب زيادة الطلب العالمي عليها (</w:t>
      </w:r>
      <w:r w:rsidRPr="005D59A7">
        <w:rPr>
          <w:rFonts w:ascii="T" w:hAnsi="T" w:cs="Simplified Arabic"/>
          <w:sz w:val="24"/>
          <w:szCs w:val="24"/>
        </w:rPr>
        <w:t>NES, 2018</w:t>
      </w:r>
      <w:r w:rsidRPr="005D59A7">
        <w:rPr>
          <w:rFonts w:ascii="T" w:hAnsi="T" w:cs="Simplified Arabic"/>
          <w:sz w:val="24"/>
          <w:szCs w:val="24"/>
          <w:rtl/>
        </w:rPr>
        <w:t>).</w:t>
      </w:r>
    </w:p>
    <w:p w14:paraId="2AB9E893" w14:textId="77777777" w:rsidR="00A564F0" w:rsidRPr="005D59A7" w:rsidRDefault="00E70BD4" w:rsidP="00B3377E">
      <w:pPr>
        <w:bidi/>
        <w:spacing w:line="360" w:lineRule="auto"/>
        <w:ind w:left="226"/>
        <w:rPr>
          <w:rFonts w:ascii="T" w:hAnsi="T" w:cs="Simplified Arabic"/>
          <w:b/>
          <w:bCs/>
          <w:sz w:val="24"/>
          <w:szCs w:val="24"/>
        </w:rPr>
      </w:pPr>
      <w:r w:rsidRPr="005D59A7">
        <w:rPr>
          <w:rFonts w:ascii="T" w:hAnsi="T" w:cs="Simplified Arabic"/>
          <w:b/>
          <w:bCs/>
          <w:sz w:val="24"/>
          <w:szCs w:val="24"/>
          <w:rtl/>
        </w:rPr>
        <w:t>تقييم الوضع الحالي للغطاء النباتي:</w:t>
      </w:r>
    </w:p>
    <w:p w14:paraId="39CBCBB7"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يواجه الغطاء النباتي في المملكة العربية السعودية ضغوطاً متعددة، أبرزها الرعي الجائر وجمع الحطب، والتعدين واستخراج المحاجر، والأنشطة الترفيهية العشوائية والتوسع العمراني، والممارسات الزراعية الخاطئة، وفترات الجفاف المتكررة. تشكل المراعي نحو 37% من إجمالي مساحة المملكة (146 مليون هكتار)، ويعاني 70% منها من التصحر والتدهور، مع تآكل واسع للتربة يتفاقم بسبب الجفاف. أما الأراضي الحرجية فتشكل 1.1% من المساحة الإجمالية (2.1 مليون هكتار)، وتتأثر أكثر من 6,000 هكتار سنوياً بالآفات والأمراض، مع تزايد ظاهرة موت الأشجار في غابات العرعر، حيث فقدت محافظة الباحة 10% من غابات العرعر خلال الفترة 1984-2014. كما يعاني الغطاء النباتي من فقدان التنوع البيولوجي، حيث أصبح 656 نوعاً من النباتات مهددة بالانقراض، وتتزايد أعداد الأنواع الغازية الغريبة لتصل إلى 52 نوعاً. أما الأراضي الصالحة للزراعة فتشكل 1.7% من المساحة الإجمالية (3.42 مليون هكتار)، ويُستخدم منها فعلياً 1.18 مليون هكتار، وتُعاني 40% من هذه الأراضي من الملوحة بسبب أساليب الري غير السليمة، و67% منها من تآكل التربة بفعل الرياح (</w:t>
      </w:r>
      <w:r w:rsidRPr="005D59A7">
        <w:rPr>
          <w:rFonts w:ascii="T" w:hAnsi="T" w:cs="Simplified Arabic"/>
          <w:sz w:val="24"/>
          <w:szCs w:val="24"/>
        </w:rPr>
        <w:t>NES, 2018</w:t>
      </w:r>
      <w:r w:rsidRPr="005D59A7">
        <w:rPr>
          <w:rFonts w:ascii="T" w:hAnsi="T" w:cs="Simplified Arabic"/>
          <w:sz w:val="24"/>
          <w:szCs w:val="24"/>
          <w:rtl/>
        </w:rPr>
        <w:t>).</w:t>
      </w:r>
    </w:p>
    <w:p w14:paraId="10A4DA3E" w14:textId="77777777" w:rsidR="00450B96" w:rsidRPr="005D59A7" w:rsidRDefault="00450B96" w:rsidP="00861DC2">
      <w:pPr>
        <w:bidi/>
        <w:spacing w:line="360" w:lineRule="auto"/>
        <w:ind w:firstLine="720"/>
        <w:rPr>
          <w:rFonts w:ascii="T" w:hAnsi="T" w:cs="Simplified Arabic"/>
          <w:sz w:val="24"/>
          <w:szCs w:val="24"/>
          <w:rtl/>
        </w:rPr>
      </w:pPr>
    </w:p>
    <w:p w14:paraId="1F5523DD" w14:textId="77777777" w:rsidR="00450B96" w:rsidRPr="005D59A7" w:rsidRDefault="00450B96" w:rsidP="00861DC2">
      <w:pPr>
        <w:bidi/>
        <w:spacing w:line="360" w:lineRule="auto"/>
        <w:ind w:firstLine="720"/>
        <w:rPr>
          <w:rFonts w:ascii="T" w:hAnsi="T" w:cs="Simplified Arabic"/>
          <w:sz w:val="24"/>
          <w:szCs w:val="24"/>
          <w:rtl/>
        </w:rPr>
      </w:pPr>
    </w:p>
    <w:p w14:paraId="204D96A0" w14:textId="77777777" w:rsidR="00450B96" w:rsidRPr="005D59A7" w:rsidRDefault="00450B96" w:rsidP="00861DC2">
      <w:pPr>
        <w:bidi/>
        <w:spacing w:line="360" w:lineRule="auto"/>
        <w:ind w:firstLine="720"/>
        <w:rPr>
          <w:rFonts w:ascii="T" w:hAnsi="T" w:cs="Simplified Arabic"/>
          <w:sz w:val="24"/>
          <w:szCs w:val="24"/>
          <w:rtl/>
        </w:rPr>
      </w:pPr>
    </w:p>
    <w:p w14:paraId="496834EC" w14:textId="77777777" w:rsidR="00450B96" w:rsidRPr="005D59A7" w:rsidRDefault="00450B96" w:rsidP="0045581D">
      <w:pPr>
        <w:pStyle w:val="ListParagraph"/>
        <w:numPr>
          <w:ilvl w:val="0"/>
          <w:numId w:val="22"/>
        </w:numPr>
        <w:bidi/>
        <w:spacing w:line="360" w:lineRule="auto"/>
        <w:ind w:left="84" w:firstLine="720"/>
        <w:rPr>
          <w:rFonts w:ascii="T" w:hAnsi="T" w:cs="Simplified Arabic"/>
          <w:sz w:val="24"/>
          <w:szCs w:val="24"/>
        </w:rPr>
      </w:pPr>
      <w:r w:rsidRPr="005D59A7">
        <w:rPr>
          <w:rFonts w:ascii="T" w:hAnsi="T" w:cs="Simplified Arabic"/>
          <w:sz w:val="24"/>
          <w:szCs w:val="24"/>
          <w:rtl/>
        </w:rPr>
        <w:t>تقييم الأداء البيئي من حيث جودة الهواء:</w:t>
      </w:r>
    </w:p>
    <w:p w14:paraId="3E9FE258" w14:textId="3B5BBE98" w:rsidR="00B3377E" w:rsidRPr="005D59A7" w:rsidRDefault="00B3377E" w:rsidP="00B3377E">
      <w:pPr>
        <w:bidi/>
        <w:spacing w:line="360" w:lineRule="auto"/>
        <w:ind w:left="84" w:firstLine="720"/>
        <w:jc w:val="both"/>
        <w:rPr>
          <w:rFonts w:ascii="T" w:hAnsi="T" w:cs="Simplified Arabic"/>
          <w:sz w:val="24"/>
          <w:szCs w:val="24"/>
          <w:rtl/>
          <w:lang w:bidi="ar-EG"/>
        </w:rPr>
      </w:pPr>
      <w:r w:rsidRPr="005D59A7">
        <w:rPr>
          <w:rFonts w:ascii="T" w:hAnsi="T" w:cs="Simplified Arabic"/>
          <w:sz w:val="24"/>
          <w:szCs w:val="24"/>
          <w:rtl/>
        </w:rPr>
        <w:lastRenderedPageBreak/>
        <w:t xml:space="preserve">تواجه جودة الهواء في المملكة العربية السعودية ضغوطاً متعددة، أبرزها زيادة الانبعاثات من قطاعي الطاقة والتصنيع، إلى جانب الانبعاثات من المصادر الثانوية والعواصف الترابية. ويعاني القطاع البيئي من ضعف السيطرة على مصادر التلوث وضعف أنظمة الرصد، حيث أن البيانات المتاحة عن جودة الهواء غير مكتملة وغير موثوقة بدرجة عالية، ولا يوجد نظام لرصد وحصر انبعاثات المصادر. تشير المؤشرات إلى أن متوسط تركيز ثاني أكسيد النيتروجين يقل عن معيار الهيئة العامة للأرصاد الجوية وحماية البيئة (95 ميكروغرام/م³ مقابل 100)، لكنه يتجاوز الحد المسموح به من منظمة الصحة العالمية (40 ميكروغرام/م³). كما تتجاوز متوسطات التركيزات السنوية للأوزون المعايير في مدن مثل الرياض (160 ميكروغرام/م³)، بينما تقع معدلات التعرض لثاني أكسيد الكبريت في المدن الكبرى ضمن الحدود المقبولة بسبب انخفاض محتوى الكبريت في الديزل. أما بالنسبة للجسيمات الدقيقة </w:t>
      </w:r>
      <w:r w:rsidRPr="005D59A7">
        <w:rPr>
          <w:rFonts w:ascii="T" w:hAnsi="T" w:cs="Simplified Arabic"/>
          <w:sz w:val="24"/>
          <w:szCs w:val="24"/>
        </w:rPr>
        <w:t>PM2.5</w:t>
      </w:r>
      <w:r w:rsidRPr="005D59A7">
        <w:rPr>
          <w:rFonts w:ascii="T" w:hAnsi="T" w:cs="Simplified Arabic"/>
          <w:sz w:val="24"/>
          <w:szCs w:val="24"/>
          <w:rtl/>
        </w:rPr>
        <w:t xml:space="preserve">، فتبلغ مستوياتها المرتفعة في المدن الكبرى (71 ميكروغرام/م³ في الرياض)، متجاوزة بذلك معيار الهيئة العامة للأرصاد وحماية البيئة (15 ميكروغرام/م³) ومعيار البنك الدولي (10 ميكروغرام/م³). تجدر الإشارة إلى أن المصادر غير الطبيعية تساهم بشكل كبير في تركيز </w:t>
      </w:r>
      <w:r w:rsidRPr="005D59A7">
        <w:rPr>
          <w:rFonts w:ascii="T" w:hAnsi="T" w:cs="Simplified Arabic"/>
          <w:sz w:val="24"/>
          <w:szCs w:val="24"/>
        </w:rPr>
        <w:t>PM2.5</w:t>
      </w:r>
      <w:r w:rsidRPr="005D59A7">
        <w:rPr>
          <w:rFonts w:ascii="T" w:hAnsi="T" w:cs="Simplified Arabic"/>
          <w:sz w:val="24"/>
          <w:szCs w:val="24"/>
          <w:rtl/>
        </w:rPr>
        <w:t xml:space="preserve">، على عكس </w:t>
      </w:r>
      <w:r w:rsidRPr="005D59A7">
        <w:rPr>
          <w:rFonts w:ascii="T" w:hAnsi="T" w:cs="Simplified Arabic"/>
          <w:sz w:val="24"/>
          <w:szCs w:val="24"/>
        </w:rPr>
        <w:t>PM10</w:t>
      </w:r>
      <w:r w:rsidRPr="005D59A7">
        <w:rPr>
          <w:rFonts w:ascii="T" w:hAnsi="T" w:cs="Simplified Arabic"/>
          <w:sz w:val="24"/>
          <w:szCs w:val="24"/>
          <w:rtl/>
        </w:rPr>
        <w:t xml:space="preserve"> الذي تساهم فيه مصادر طبيعية مثل الغبار (</w:t>
      </w:r>
      <w:r w:rsidRPr="005D59A7">
        <w:rPr>
          <w:rFonts w:ascii="T" w:hAnsi="T" w:cs="Simplified Arabic"/>
          <w:sz w:val="24"/>
          <w:szCs w:val="24"/>
        </w:rPr>
        <w:t>NES, 2018</w:t>
      </w:r>
      <w:r w:rsidRPr="005D59A7">
        <w:rPr>
          <w:rFonts w:ascii="T" w:hAnsi="T" w:cs="Simplified Arabic"/>
          <w:sz w:val="24"/>
          <w:szCs w:val="24"/>
          <w:rtl/>
        </w:rPr>
        <w:t>).</w:t>
      </w:r>
    </w:p>
    <w:p w14:paraId="760CF8BF"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lang w:bidi="ar-EG"/>
        </w:rPr>
        <w:t>التحديات التي تواجه الإطار المؤسسي الحالي والدروس المستفادة</w:t>
      </w:r>
    </w:p>
    <w:p w14:paraId="6AAFB5CA"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أولاً: التحديات التي تواجه الإطار المؤسسي الحالي</w:t>
      </w:r>
    </w:p>
    <w:p w14:paraId="6A681FED"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تشتت المسؤوليات وتداخل الأدوار وانعدام المساءلة</w:t>
      </w:r>
    </w:p>
    <w:p w14:paraId="3744D110"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تراكم وتداخل المهام داخل الهيئات ذات الصلة</w:t>
      </w:r>
    </w:p>
    <w:p w14:paraId="56A68598"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غياب الهيئات المسؤولة عن الأدوار الرئيسية</w:t>
      </w:r>
    </w:p>
    <w:p w14:paraId="791A49F9"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انعدام التنسيق بين الجهات المصدرة للوائح التنظيمية</w:t>
      </w:r>
    </w:p>
    <w:p w14:paraId="69CCBB04"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عدم الفعالية بسبب ازدواجية المبادرات</w:t>
      </w:r>
    </w:p>
    <w:p w14:paraId="3035D6B2"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غياب شبه تام لمراقبة الأداء وتركيز محدود عليها</w:t>
      </w:r>
    </w:p>
    <w:p w14:paraId="16FC790F"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تضارب محتمل في المصالح</w:t>
      </w:r>
    </w:p>
    <w:p w14:paraId="620E6A44"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تشتيت الانتباه عن الأنشطة الأساسية (التركيز على الأرصاد على حساب حماية البيئة)</w:t>
      </w:r>
    </w:p>
    <w:p w14:paraId="17446E83"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lastRenderedPageBreak/>
        <w:t>ضعف التركيز على تنفيذ الاستراتيجيات والخطط</w:t>
      </w:r>
    </w:p>
    <w:p w14:paraId="22283123"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ضعف التمثيل الدولي وتنسيق المفاوضات</w:t>
      </w:r>
    </w:p>
    <w:p w14:paraId="2B28DF78" w14:textId="77777777" w:rsidR="00B3377E" w:rsidRPr="005D59A7" w:rsidRDefault="00B3377E" w:rsidP="0045581D">
      <w:pPr>
        <w:pStyle w:val="ListParagraph"/>
        <w:numPr>
          <w:ilvl w:val="0"/>
          <w:numId w:val="22"/>
        </w:numPr>
        <w:bidi/>
        <w:spacing w:line="360" w:lineRule="auto"/>
        <w:ind w:left="368"/>
        <w:jc w:val="both"/>
        <w:rPr>
          <w:rFonts w:ascii="T" w:hAnsi="T" w:cs="Simplified Arabic"/>
          <w:sz w:val="24"/>
          <w:szCs w:val="24"/>
          <w:rtl/>
        </w:rPr>
      </w:pPr>
      <w:r w:rsidRPr="005D59A7">
        <w:rPr>
          <w:rFonts w:ascii="T" w:hAnsi="T" w:cs="Simplified Arabic"/>
          <w:sz w:val="24"/>
          <w:szCs w:val="24"/>
          <w:rtl/>
        </w:rPr>
        <w:t>ضعف متابعة الالتزام بالمعاهدات الدولية</w:t>
      </w:r>
    </w:p>
    <w:p w14:paraId="776A05DC" w14:textId="77777777" w:rsidR="00B3377E" w:rsidRPr="005D59A7" w:rsidRDefault="00B3377E" w:rsidP="00B3377E">
      <w:pPr>
        <w:bidi/>
        <w:spacing w:line="360" w:lineRule="auto"/>
        <w:ind w:left="368" w:firstLine="720"/>
        <w:jc w:val="both"/>
        <w:rPr>
          <w:rFonts w:ascii="T" w:hAnsi="T" w:cs="Simplified Arabic"/>
          <w:sz w:val="24"/>
          <w:szCs w:val="24"/>
          <w:rtl/>
        </w:rPr>
      </w:pPr>
      <w:r w:rsidRPr="005D59A7">
        <w:rPr>
          <w:rFonts w:ascii="T" w:hAnsi="T" w:cs="Simplified Arabic"/>
          <w:sz w:val="24"/>
          <w:szCs w:val="24"/>
          <w:rtl/>
        </w:rPr>
        <w:t>ثانياً: الدروس المستفادة من أفضل الممارسات العالمية</w:t>
      </w:r>
    </w:p>
    <w:p w14:paraId="0D7B854B"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اقتصار وضع السياسات والاستراتيجيات على الوزارة</w:t>
      </w:r>
    </w:p>
    <w:p w14:paraId="03A6FC5F"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إسناد الوظائف التشغيلية (التنبؤات الجوية، التراخيص البيئية، المراقبة، إدارة الغابات والمحميات والمراعي) إلى وكالات حكومية متخصصة تتبع الوزارة</w:t>
      </w:r>
    </w:p>
    <w:p w14:paraId="2012EE43"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تولي الوزارة مهام التنسيق الداخلي ومراقبة أداء القطاع</w:t>
      </w:r>
    </w:p>
    <w:p w14:paraId="0FB8EBF3" w14:textId="77777777" w:rsidR="00B3377E" w:rsidRPr="005D59A7" w:rsidRDefault="00B3377E" w:rsidP="0045581D">
      <w:pPr>
        <w:pStyle w:val="ListParagraph"/>
        <w:numPr>
          <w:ilvl w:val="0"/>
          <w:numId w:val="34"/>
        </w:numPr>
        <w:bidi/>
        <w:spacing w:line="360" w:lineRule="auto"/>
        <w:ind w:left="368"/>
        <w:jc w:val="both"/>
        <w:rPr>
          <w:rFonts w:ascii="T" w:hAnsi="T" w:cs="Simplified Arabic"/>
          <w:sz w:val="24"/>
          <w:szCs w:val="24"/>
          <w:rtl/>
        </w:rPr>
      </w:pPr>
      <w:r w:rsidRPr="005D59A7">
        <w:rPr>
          <w:rFonts w:ascii="T" w:hAnsi="T" w:cs="Simplified Arabic"/>
          <w:sz w:val="24"/>
          <w:szCs w:val="24"/>
          <w:rtl/>
        </w:rPr>
        <w:t>جعل التعاون الدولي من مسؤولية الوزارة مع الاستعانة بالخبرات المناسبة</w:t>
      </w:r>
    </w:p>
    <w:p w14:paraId="7C09C6BC" w14:textId="77777777" w:rsidR="00B3377E" w:rsidRPr="005D59A7" w:rsidRDefault="00B3377E" w:rsidP="00B3377E">
      <w:pPr>
        <w:bidi/>
        <w:spacing w:line="360" w:lineRule="auto"/>
        <w:ind w:left="368" w:firstLine="720"/>
        <w:jc w:val="both"/>
        <w:rPr>
          <w:rFonts w:ascii="T" w:hAnsi="T" w:cs="Simplified Arabic"/>
          <w:b/>
          <w:bCs/>
          <w:sz w:val="24"/>
          <w:szCs w:val="24"/>
          <w:rtl/>
        </w:rPr>
      </w:pPr>
      <w:r w:rsidRPr="005D59A7">
        <w:rPr>
          <w:rFonts w:ascii="T" w:hAnsi="T" w:cs="Simplified Arabic"/>
          <w:b/>
          <w:bCs/>
          <w:sz w:val="24"/>
          <w:szCs w:val="24"/>
          <w:rtl/>
        </w:rPr>
        <w:t>تحليل اللوائح الحالية والدروس المستفادة</w:t>
      </w:r>
    </w:p>
    <w:p w14:paraId="1E1A15C8" w14:textId="77777777" w:rsidR="00B3377E" w:rsidRPr="005D59A7" w:rsidRDefault="00B3377E" w:rsidP="00B3377E">
      <w:pPr>
        <w:bidi/>
        <w:spacing w:line="360" w:lineRule="auto"/>
        <w:ind w:left="368" w:firstLine="720"/>
        <w:jc w:val="both"/>
        <w:rPr>
          <w:rFonts w:ascii="T" w:hAnsi="T" w:cs="Simplified Arabic"/>
          <w:b/>
          <w:bCs/>
          <w:sz w:val="24"/>
          <w:szCs w:val="24"/>
          <w:rtl/>
        </w:rPr>
      </w:pPr>
      <w:r w:rsidRPr="005D59A7">
        <w:rPr>
          <w:rFonts w:ascii="T" w:hAnsi="T" w:cs="Simplified Arabic"/>
          <w:b/>
          <w:bCs/>
          <w:sz w:val="24"/>
          <w:szCs w:val="24"/>
          <w:rtl/>
        </w:rPr>
        <w:t>أولاً: التحديات في اللوائح الحالية (استناداً إلى تحليل 106 لائحة)</w:t>
      </w:r>
    </w:p>
    <w:p w14:paraId="69C25A51" w14:textId="77777777" w:rsidR="00B3377E" w:rsidRPr="005D59A7" w:rsidRDefault="00B3377E" w:rsidP="00B3377E">
      <w:pPr>
        <w:bidi/>
        <w:spacing w:line="360" w:lineRule="auto"/>
        <w:ind w:left="368" w:firstLine="720"/>
        <w:jc w:val="both"/>
        <w:rPr>
          <w:rFonts w:ascii="T" w:hAnsi="T" w:cs="Simplified Arabic"/>
          <w:sz w:val="24"/>
          <w:szCs w:val="24"/>
          <w:rtl/>
        </w:rPr>
      </w:pPr>
    </w:p>
    <w:p w14:paraId="600FCC43"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تعدد الجهات المصدرة للوائح وضعف التنسيق</w:t>
      </w:r>
    </w:p>
    <w:p w14:paraId="22B870F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تعقيد وصعوبة تطبيق اللوائح</w:t>
      </w:r>
    </w:p>
    <w:p w14:paraId="4C4C550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العقوبات ضعيفة وغير رادعة</w:t>
      </w:r>
    </w:p>
    <w:p w14:paraId="1A74E1AA"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غموض بعض مواد القوانين (مثل المناطق المحيطة بالمحميات غير محددة بوضوح)</w:t>
      </w:r>
    </w:p>
    <w:p w14:paraId="12DCC1F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إغفال بعض الأنشطة (الأنشطة على الطرق الوعرة، إدارة الموارد المائية، مصادرة منتجات الأنواع المهددة، أنشطة التعدين، معالجة النفايات الإلكترونية والإطارات)</w:t>
      </w:r>
    </w:p>
    <w:p w14:paraId="156F471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تناول القوانين طريقة التفاعل مع المدن الصناعية والمنشآت الكبيرة</w:t>
      </w:r>
    </w:p>
    <w:p w14:paraId="64DD3B53"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تفصيل الإجراءات الأساسية (الترخيص، التفتيش البيئي، العقوبات)</w:t>
      </w:r>
    </w:p>
    <w:p w14:paraId="3FB9F71A"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تناول مشاركة القطاع الخاص</w:t>
      </w:r>
    </w:p>
    <w:p w14:paraId="07BD2D07"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ضعف الالتزام بالتعهدات الدولية باستثناء قضايا تغير المناخ</w:t>
      </w:r>
    </w:p>
    <w:p w14:paraId="48148018"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lastRenderedPageBreak/>
        <w:t>ثانياً: الحلول من أفضل الممارسات العالمية</w:t>
      </w:r>
    </w:p>
    <w:p w14:paraId="1D1B988D"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اعتماد جهة واحدة لإصدار القوانين واللوائح البيئية</w:t>
      </w:r>
    </w:p>
    <w:p w14:paraId="22720B29"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وضع قانون بيئي شامل لضمان اتساق اللوائح</w:t>
      </w:r>
    </w:p>
    <w:p w14:paraId="32A4070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تنظيم مشاركة القطاع الخاص</w:t>
      </w:r>
    </w:p>
    <w:p w14:paraId="291D5DFD"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تحديد حقوق وواجبات الجهات الفاعلة في القطاع</w:t>
      </w:r>
    </w:p>
    <w:p w14:paraId="5ACE1B41"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تحديد تفاصيل الإجراءات الرئيسية (الترخيص، التفتيش، كشف المخالفات)</w:t>
      </w:r>
    </w:p>
    <w:p w14:paraId="67EC7CE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تطوير معايير شاملة مع مبادئ توجيهية للمراجعة الدورية</w:t>
      </w:r>
    </w:p>
    <w:p w14:paraId="3501C392"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اعتماد عقوبات رادعة وصارمة</w:t>
      </w:r>
    </w:p>
    <w:p w14:paraId="079BAC96" w14:textId="77777777" w:rsidR="00B3377E" w:rsidRPr="005D59A7" w:rsidRDefault="00B3377E" w:rsidP="00922FF0">
      <w:pPr>
        <w:bidi/>
        <w:spacing w:line="360" w:lineRule="auto"/>
        <w:jc w:val="both"/>
        <w:rPr>
          <w:rFonts w:ascii="T" w:hAnsi="T" w:cs="Simplified Arabic"/>
          <w:b/>
          <w:bCs/>
          <w:sz w:val="24"/>
          <w:szCs w:val="24"/>
          <w:rtl/>
        </w:rPr>
      </w:pPr>
      <w:r w:rsidRPr="005D59A7">
        <w:rPr>
          <w:rFonts w:ascii="T" w:hAnsi="T" w:cs="Simplified Arabic"/>
          <w:b/>
          <w:bCs/>
          <w:sz w:val="24"/>
          <w:szCs w:val="24"/>
          <w:rtl/>
        </w:rPr>
        <w:t>العوامل الاقتصادية المساعدة لقطاع البيئة</w:t>
      </w:r>
    </w:p>
    <w:p w14:paraId="7A38A339" w14:textId="77777777" w:rsidR="00B3377E" w:rsidRPr="005D59A7" w:rsidRDefault="00B3377E" w:rsidP="00B3377E">
      <w:pPr>
        <w:bidi/>
        <w:spacing w:line="360" w:lineRule="auto"/>
        <w:ind w:left="84" w:firstLine="720"/>
        <w:jc w:val="both"/>
        <w:rPr>
          <w:rFonts w:ascii="T" w:hAnsi="T" w:cs="Simplified Arabic"/>
          <w:b/>
          <w:bCs/>
          <w:sz w:val="24"/>
          <w:szCs w:val="24"/>
          <w:rtl/>
        </w:rPr>
      </w:pPr>
      <w:r w:rsidRPr="005D59A7">
        <w:rPr>
          <w:rFonts w:ascii="T" w:hAnsi="T" w:cs="Simplified Arabic"/>
          <w:b/>
          <w:bCs/>
          <w:sz w:val="24"/>
          <w:szCs w:val="24"/>
          <w:rtl/>
        </w:rPr>
        <w:t>أولاً: التحديات الاقتصادية التي تواجه قطاع البيئة</w:t>
      </w:r>
    </w:p>
    <w:p w14:paraId="0514DE70"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ميزانية منخفضة لقطاع البيئة</w:t>
      </w:r>
    </w:p>
    <w:p w14:paraId="5B6E22F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قدرة القطاع على جمع الموارد المالية اللازمة لتطويره</w:t>
      </w:r>
    </w:p>
    <w:p w14:paraId="4E019390"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عدم فرض رسوم بيئية على الأنشطة القطاعية</w:t>
      </w:r>
    </w:p>
    <w:p w14:paraId="29A61F97"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غياب الحوافز لالتزام القطاعات التنموية بالمعايير البيئية (قروض ميسرة للمشاريع البيئية)</w:t>
      </w:r>
    </w:p>
    <w:p w14:paraId="326A1F01"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غياب إطار عمل لتشجيع مشاركة القطاع الخاص (إدارة النفايات، رصد الامتثال البيئي)</w:t>
      </w:r>
    </w:p>
    <w:p w14:paraId="69FAAAF8"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توافر الدعم للقطاعات المؤثرة على البيئة (المياه، الكهرباء، البنزين، الزراعة)</w:t>
      </w:r>
    </w:p>
    <w:p w14:paraId="069A76EB" w14:textId="77777777" w:rsidR="00B3377E" w:rsidRPr="005D59A7" w:rsidRDefault="00B3377E" w:rsidP="00B3377E">
      <w:pPr>
        <w:bidi/>
        <w:spacing w:line="360" w:lineRule="auto"/>
        <w:ind w:left="84" w:firstLine="720"/>
        <w:jc w:val="both"/>
        <w:rPr>
          <w:rFonts w:ascii="T" w:hAnsi="T" w:cs="Simplified Arabic"/>
          <w:sz w:val="24"/>
          <w:szCs w:val="24"/>
          <w:rtl/>
        </w:rPr>
      </w:pPr>
      <w:r w:rsidRPr="005D59A7">
        <w:rPr>
          <w:rFonts w:ascii="T" w:hAnsi="T" w:cs="Simplified Arabic"/>
          <w:sz w:val="24"/>
          <w:szCs w:val="24"/>
          <w:rtl/>
        </w:rPr>
        <w:t>ثانياً: الحلول من أفضل الممارسات العالمية</w:t>
      </w:r>
    </w:p>
    <w:p w14:paraId="5C230E14"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تمويل قطاع البيئة من خلال الغرامات والرسوم على التراخيص والمنتجات والخدمات</w:t>
      </w:r>
    </w:p>
    <w:p w14:paraId="76E45975"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تقديم إعانات مالية حكومية لسد الفجوة بين احتياجات القطاع ودخله</w:t>
      </w:r>
    </w:p>
    <w:p w14:paraId="52AAC34B"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توفير حوافز وتسهيلات مالية للقطاعات التنموية (تخفيض الرسوم الجمركية، قروض بفائدة منخفضة، تخفيض الضرائب على الاستثمارات البيئية)</w:t>
      </w:r>
    </w:p>
    <w:p w14:paraId="7FFF143C"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t>زيادة الحوافز لتشجيع مشاركة القطاع الخاص في خدمات البيئة والأرصاد</w:t>
      </w:r>
    </w:p>
    <w:p w14:paraId="7222133F" w14:textId="77777777" w:rsidR="00B3377E" w:rsidRPr="005D59A7" w:rsidRDefault="00B3377E" w:rsidP="0045581D">
      <w:pPr>
        <w:pStyle w:val="ListParagraph"/>
        <w:numPr>
          <w:ilvl w:val="0"/>
          <w:numId w:val="35"/>
        </w:numPr>
        <w:bidi/>
        <w:spacing w:line="360" w:lineRule="auto"/>
        <w:ind w:left="368"/>
        <w:jc w:val="both"/>
        <w:rPr>
          <w:rFonts w:ascii="T" w:hAnsi="T" w:cs="Simplified Arabic"/>
          <w:sz w:val="24"/>
          <w:szCs w:val="24"/>
          <w:rtl/>
        </w:rPr>
      </w:pPr>
      <w:r w:rsidRPr="005D59A7">
        <w:rPr>
          <w:rFonts w:ascii="T" w:hAnsi="T" w:cs="Simplified Arabic"/>
          <w:sz w:val="24"/>
          <w:szCs w:val="24"/>
          <w:rtl/>
        </w:rPr>
        <w:lastRenderedPageBreak/>
        <w:t>خفض الدعم الحكومي للقطاعات ذات التأثير السلبي على البيئة</w:t>
      </w:r>
      <w:r w:rsidRPr="005D59A7">
        <w:rPr>
          <w:rFonts w:ascii="T" w:hAnsi="T" w:cs="Simplified Arabic"/>
          <w:sz w:val="24"/>
          <w:szCs w:val="24"/>
        </w:rPr>
        <w:t xml:space="preserve"> (NES, 2018)</w:t>
      </w:r>
    </w:p>
    <w:p w14:paraId="654BD2D8" w14:textId="28E49DBC" w:rsidR="00B3377E" w:rsidRPr="005D59A7" w:rsidRDefault="00B3377E" w:rsidP="00B3377E">
      <w:pPr>
        <w:bidi/>
        <w:spacing w:line="360" w:lineRule="auto"/>
        <w:ind w:left="84" w:firstLine="720"/>
        <w:jc w:val="both"/>
        <w:rPr>
          <w:rFonts w:ascii="T" w:hAnsi="T" w:cs="Simplified Arabic"/>
          <w:sz w:val="24"/>
          <w:szCs w:val="24"/>
          <w:rtl/>
        </w:rPr>
      </w:pPr>
    </w:p>
    <w:p w14:paraId="6583F309" w14:textId="77777777" w:rsidR="00B3377E" w:rsidRPr="005D59A7" w:rsidRDefault="00B3377E" w:rsidP="00B3377E">
      <w:pPr>
        <w:bidi/>
        <w:spacing w:line="360" w:lineRule="auto"/>
        <w:ind w:left="84" w:firstLine="720"/>
        <w:jc w:val="both"/>
        <w:rPr>
          <w:rFonts w:ascii="T" w:hAnsi="T" w:cs="Simplified Arabic"/>
          <w:sz w:val="24"/>
          <w:szCs w:val="24"/>
          <w:rtl/>
        </w:rPr>
      </w:pPr>
    </w:p>
    <w:p w14:paraId="343C162E" w14:textId="77777777" w:rsidR="00910B36" w:rsidRPr="005D59A7" w:rsidRDefault="00910B36" w:rsidP="00861DC2">
      <w:pPr>
        <w:bidi/>
        <w:spacing w:line="360" w:lineRule="auto"/>
        <w:ind w:firstLine="720"/>
        <w:jc w:val="center"/>
        <w:rPr>
          <w:rFonts w:ascii="T" w:hAnsi="T" w:cs="Simplified Arabic"/>
          <w:sz w:val="24"/>
          <w:szCs w:val="24"/>
          <w:rtl/>
        </w:rPr>
      </w:pPr>
      <w:r w:rsidRPr="005D59A7">
        <w:rPr>
          <w:rFonts w:ascii="T" w:hAnsi="T" w:cs="Simplified Arabic"/>
          <w:noProof/>
          <w:sz w:val="24"/>
          <w:szCs w:val="24"/>
        </w:rPr>
        <w:drawing>
          <wp:inline distT="0" distB="0" distL="0" distR="0" wp14:anchorId="454AB8DF" wp14:editId="5EA31C1A">
            <wp:extent cx="4029075" cy="1949553"/>
            <wp:effectExtent l="19050" t="0" r="9525" b="0"/>
            <wp:docPr id="5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srcRect/>
                    <a:stretch>
                      <a:fillRect/>
                    </a:stretch>
                  </pic:blipFill>
                  <pic:spPr bwMode="auto">
                    <a:xfrm>
                      <a:off x="0" y="0"/>
                      <a:ext cx="4032637" cy="1951276"/>
                    </a:xfrm>
                    <a:prstGeom prst="rect">
                      <a:avLst/>
                    </a:prstGeom>
                    <a:noFill/>
                    <a:ln w="9525">
                      <a:noFill/>
                      <a:miter lim="800000"/>
                      <a:headEnd/>
                      <a:tailEnd/>
                    </a:ln>
                  </pic:spPr>
                </pic:pic>
              </a:graphicData>
            </a:graphic>
          </wp:inline>
        </w:drawing>
      </w:r>
    </w:p>
    <w:p w14:paraId="002BAC85" w14:textId="6E1677CD" w:rsidR="00910B36" w:rsidRPr="005D59A7" w:rsidRDefault="00910B36" w:rsidP="00861DC2">
      <w:pPr>
        <w:pStyle w:val="Caption"/>
        <w:bidi/>
        <w:spacing w:line="360" w:lineRule="auto"/>
        <w:ind w:firstLine="720"/>
        <w:jc w:val="center"/>
        <w:rPr>
          <w:rFonts w:ascii="T" w:hAnsi="T" w:cs="Simplified Arabic"/>
          <w:color w:val="auto"/>
          <w:sz w:val="24"/>
          <w:szCs w:val="24"/>
          <w:rtl/>
        </w:rPr>
      </w:pPr>
      <w:bookmarkStart w:id="65" w:name="_Toc225991171"/>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7</w:t>
      </w:r>
      <w:r w:rsidR="00FD30BF" w:rsidRPr="005D59A7">
        <w:rPr>
          <w:rFonts w:ascii="T" w:hAnsi="T" w:cs="Simplified Arabic"/>
          <w:color w:val="auto"/>
          <w:sz w:val="24"/>
          <w:szCs w:val="24"/>
          <w:rtl/>
        </w:rPr>
        <w:fldChar w:fldCharType="end"/>
      </w:r>
      <w:r w:rsidRPr="005D59A7">
        <w:rPr>
          <w:rFonts w:ascii="T" w:hAnsi="T" w:cs="Simplified Arabic"/>
          <w:color w:val="auto"/>
          <w:sz w:val="24"/>
          <w:szCs w:val="24"/>
          <w:rtl/>
        </w:rPr>
        <w:t>: الميزانية السنوية للموارد الطبيعية (الإستراتيجية الوطنية للبيئة)</w:t>
      </w:r>
      <w:bookmarkEnd w:id="65"/>
    </w:p>
    <w:p w14:paraId="26861A92" w14:textId="77777777" w:rsidR="00910B36" w:rsidRPr="005D59A7" w:rsidRDefault="00286DE0" w:rsidP="0045581D">
      <w:pPr>
        <w:pStyle w:val="Heading4"/>
        <w:numPr>
          <w:ilvl w:val="0"/>
          <w:numId w:val="24"/>
        </w:numPr>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تحليل القدرات المختلفة في قطاع البيئة والدروس المستفادة من أفضل الممارسات:</w:t>
      </w:r>
    </w:p>
    <w:tbl>
      <w:tblPr>
        <w:tblStyle w:val="TableGrid"/>
        <w:bidiVisual/>
        <w:tblW w:w="0" w:type="auto"/>
        <w:tblInd w:w="720" w:type="dxa"/>
        <w:tblLook w:val="04A0" w:firstRow="1" w:lastRow="0" w:firstColumn="1" w:lastColumn="0" w:noHBand="0" w:noVBand="1"/>
      </w:tblPr>
      <w:tblGrid>
        <w:gridCol w:w="3893"/>
        <w:gridCol w:w="3909"/>
      </w:tblGrid>
      <w:tr w:rsidR="0048002A" w:rsidRPr="005D59A7" w14:paraId="64B9D704" w14:textId="77777777" w:rsidTr="00286DE0">
        <w:tc>
          <w:tcPr>
            <w:tcW w:w="4261" w:type="dxa"/>
            <w:vAlign w:val="center"/>
          </w:tcPr>
          <w:p w14:paraId="01B62BFC" w14:textId="77777777" w:rsidR="00286DE0" w:rsidRPr="005D59A7" w:rsidRDefault="00286DE0" w:rsidP="00922FF0">
            <w:pPr>
              <w:bidi/>
              <w:spacing w:line="240" w:lineRule="auto"/>
              <w:ind w:firstLine="720"/>
              <w:jc w:val="center"/>
              <w:rPr>
                <w:rFonts w:ascii="T" w:hAnsi="T" w:cs="Simplified Arabic"/>
                <w:sz w:val="24"/>
                <w:szCs w:val="24"/>
                <w:rtl/>
              </w:rPr>
            </w:pPr>
            <w:r w:rsidRPr="005D59A7">
              <w:rPr>
                <w:rFonts w:ascii="T" w:hAnsi="T" w:cs="Simplified Arabic"/>
                <w:sz w:val="24"/>
                <w:szCs w:val="24"/>
                <w:rtl/>
              </w:rPr>
              <w:t>تحليل القدرات البشرية والتقنية الحالية وقدرات البحث والتطوير القدرات الحالية في مجال البحث والتطوير.</w:t>
            </w:r>
          </w:p>
        </w:tc>
        <w:tc>
          <w:tcPr>
            <w:tcW w:w="4261" w:type="dxa"/>
            <w:vAlign w:val="center"/>
          </w:tcPr>
          <w:p w14:paraId="44C21559" w14:textId="77777777" w:rsidR="00286DE0" w:rsidRPr="005D59A7" w:rsidRDefault="00286DE0" w:rsidP="00922FF0">
            <w:pPr>
              <w:bidi/>
              <w:spacing w:line="240" w:lineRule="auto"/>
              <w:ind w:firstLine="720"/>
              <w:jc w:val="center"/>
              <w:rPr>
                <w:rFonts w:ascii="T" w:hAnsi="T" w:cs="Simplified Arabic"/>
                <w:sz w:val="24"/>
                <w:szCs w:val="24"/>
                <w:rtl/>
              </w:rPr>
            </w:pPr>
            <w:r w:rsidRPr="005D59A7">
              <w:rPr>
                <w:rFonts w:ascii="T" w:hAnsi="T" w:cs="Simplified Arabic"/>
                <w:sz w:val="24"/>
                <w:szCs w:val="24"/>
                <w:rtl/>
              </w:rPr>
              <w:t>الحلول المتاحة بناءً على الدروس المستفادة من أفضل الممارسات العالمية.</w:t>
            </w:r>
          </w:p>
        </w:tc>
      </w:tr>
      <w:tr w:rsidR="0048002A" w:rsidRPr="005D59A7" w14:paraId="51819090" w14:textId="77777777" w:rsidTr="00286DE0">
        <w:tc>
          <w:tcPr>
            <w:tcW w:w="4261" w:type="dxa"/>
            <w:vAlign w:val="center"/>
          </w:tcPr>
          <w:p w14:paraId="487AA39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نقص في عدد العاملين في قطاع البيئة: على سبيل المثال، يبلغ إجمالي عدد موظفي "الهيئة العامة للأرصاد الجوية وحماية البيئة" 241 موظفًا فقط، بينما يُقدّر عدد الجهات التي يجب مراقبتها بعشرات الآلاف.</w:t>
            </w:r>
          </w:p>
          <w:p w14:paraId="23E20031"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عدد محدود من الموارد البشرية المتخصصة في الأنشطة البيئية الأنشطة البيئية.</w:t>
            </w:r>
          </w:p>
          <w:p w14:paraId="302E1DB6"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ضعف القدرة على استقطاب الكفاءات البشرية.</w:t>
            </w:r>
          </w:p>
          <w:p w14:paraId="743694A6" w14:textId="77777777" w:rsidR="00286DE0" w:rsidRPr="005D59A7" w:rsidRDefault="00286DE0" w:rsidP="00922FF0">
            <w:pPr>
              <w:bidi/>
              <w:spacing w:line="240" w:lineRule="auto"/>
              <w:ind w:left="74"/>
              <w:jc w:val="center"/>
              <w:rPr>
                <w:rFonts w:ascii="T" w:hAnsi="T" w:cs="Simplified Arabic"/>
                <w:sz w:val="24"/>
                <w:szCs w:val="24"/>
                <w:rtl/>
              </w:rPr>
            </w:pPr>
            <w:r w:rsidRPr="005D59A7">
              <w:rPr>
                <w:rFonts w:ascii="T" w:hAnsi="T" w:cs="Simplified Arabic"/>
                <w:sz w:val="24"/>
                <w:szCs w:val="24"/>
                <w:rtl/>
              </w:rPr>
              <w:t>تقنيات محدودة لرصد الامتثال البيئي غياب إجراءات عمل منهجية وموثقة محدودية أنشطة البحث البيئي بسبب حصرية المملكة فيما يتعلق بقضايا الجسيمات الدقيقة (</w:t>
            </w:r>
            <w:r w:rsidRPr="005D59A7">
              <w:rPr>
                <w:rFonts w:ascii="T" w:hAnsi="T" w:cs="Simplified Arabic"/>
                <w:sz w:val="24"/>
                <w:szCs w:val="24"/>
              </w:rPr>
              <w:t>PM10</w:t>
            </w:r>
            <w:r w:rsidRPr="005D59A7">
              <w:rPr>
                <w:rFonts w:ascii="T" w:hAnsi="T" w:cs="Simplified Arabic"/>
                <w:sz w:val="24"/>
                <w:szCs w:val="24"/>
                <w:rtl/>
              </w:rPr>
              <w:t xml:space="preserve"> و</w:t>
            </w:r>
            <w:r w:rsidRPr="005D59A7">
              <w:rPr>
                <w:rFonts w:ascii="T" w:hAnsi="T" w:cs="Simplified Arabic"/>
                <w:sz w:val="24"/>
                <w:szCs w:val="24"/>
              </w:rPr>
              <w:t>PM2.5</w:t>
            </w:r>
            <w:r w:rsidRPr="005D59A7">
              <w:rPr>
                <w:rFonts w:ascii="T" w:hAnsi="T" w:cs="Simplified Arabic"/>
                <w:sz w:val="24"/>
                <w:szCs w:val="24"/>
                <w:rtl/>
              </w:rPr>
              <w:t xml:space="preserve">)، </w:t>
            </w:r>
            <w:r w:rsidRPr="005D59A7">
              <w:rPr>
                <w:rFonts w:ascii="T" w:hAnsi="T" w:cs="Simplified Arabic"/>
                <w:sz w:val="24"/>
                <w:szCs w:val="24"/>
                <w:rtl/>
              </w:rPr>
              <w:lastRenderedPageBreak/>
              <w:t>والتصحر، وتغير المناخ.</w:t>
            </w:r>
          </w:p>
        </w:tc>
        <w:tc>
          <w:tcPr>
            <w:tcW w:w="4261" w:type="dxa"/>
            <w:vAlign w:val="center"/>
          </w:tcPr>
          <w:p w14:paraId="6CF193B8"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lastRenderedPageBreak/>
              <w:t>ينبغي للقطاع تعيين كفاءات بشرية متنوعة تشمل: المهندسين، والعلماء، والفنيين، وخبراء الاتصالات، والاقتصاديين.</w:t>
            </w:r>
          </w:p>
          <w:p w14:paraId="0ABCFDF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تقنيات المراقبة في الوقت الفعلي وإدارة البيانات وتحليلها.</w:t>
            </w:r>
          </w:p>
          <w:p w14:paraId="0F66E962"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معدات ميدانية ومختبرات لرصد الامتثال البيئي.</w:t>
            </w:r>
          </w:p>
          <w:p w14:paraId="7A141E7A"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اعتماد التقنيات الخاصة بحفظ الموارد الطبيعية.</w:t>
            </w:r>
          </w:p>
          <w:p w14:paraId="70E23244" w14:textId="77777777" w:rsidR="00286DE0" w:rsidRPr="005D59A7" w:rsidRDefault="00286DE0" w:rsidP="00922FF0">
            <w:pPr>
              <w:bidi/>
              <w:spacing w:line="240" w:lineRule="auto"/>
              <w:ind w:left="74"/>
              <w:jc w:val="center"/>
              <w:rPr>
                <w:rFonts w:ascii="T" w:hAnsi="T" w:cs="Simplified Arabic"/>
                <w:sz w:val="24"/>
                <w:szCs w:val="24"/>
              </w:rPr>
            </w:pPr>
            <w:r w:rsidRPr="005D59A7">
              <w:rPr>
                <w:rFonts w:ascii="T" w:hAnsi="T" w:cs="Simplified Arabic"/>
                <w:sz w:val="24"/>
                <w:szCs w:val="24"/>
                <w:rtl/>
              </w:rPr>
              <w:t>ينبغي تقديم الدعم لأنشطة البحث والتطوير من أجل تحسين أداء القطاع.</w:t>
            </w:r>
          </w:p>
          <w:p w14:paraId="30AF55F6" w14:textId="77777777" w:rsidR="00286DE0" w:rsidRPr="005D59A7" w:rsidRDefault="00286DE0" w:rsidP="00922FF0">
            <w:pPr>
              <w:bidi/>
              <w:spacing w:line="240" w:lineRule="auto"/>
              <w:ind w:left="74"/>
              <w:jc w:val="center"/>
              <w:rPr>
                <w:rFonts w:ascii="T" w:hAnsi="T" w:cs="Simplified Arabic"/>
                <w:sz w:val="24"/>
                <w:szCs w:val="24"/>
                <w:rtl/>
              </w:rPr>
            </w:pPr>
            <w:r w:rsidRPr="005D59A7">
              <w:rPr>
                <w:rFonts w:ascii="T" w:hAnsi="T" w:cs="Simplified Arabic"/>
                <w:sz w:val="24"/>
                <w:szCs w:val="24"/>
                <w:rtl/>
              </w:rPr>
              <w:lastRenderedPageBreak/>
              <w:t>ينبغي تصميم إجراءات عمل تحقق المرونة والفعالية في العمل.</w:t>
            </w:r>
          </w:p>
        </w:tc>
      </w:tr>
    </w:tbl>
    <w:p w14:paraId="7293C81D" w14:textId="4A6F6C6C" w:rsidR="00286DE0" w:rsidRPr="005D59A7" w:rsidRDefault="00AC74FF" w:rsidP="00861DC2">
      <w:pPr>
        <w:pStyle w:val="Caption"/>
        <w:bidi/>
        <w:spacing w:line="360" w:lineRule="auto"/>
        <w:ind w:firstLine="720"/>
        <w:jc w:val="center"/>
        <w:rPr>
          <w:rFonts w:ascii="T" w:hAnsi="T" w:cs="Simplified Arabic"/>
          <w:noProof/>
          <w:color w:val="auto"/>
          <w:sz w:val="24"/>
          <w:szCs w:val="24"/>
          <w:rtl/>
        </w:rPr>
      </w:pPr>
      <w:r w:rsidRPr="005D59A7">
        <w:rPr>
          <w:rFonts w:ascii="T" w:hAnsi="T" w:cs="Simplified Arabic"/>
          <w:color w:val="auto"/>
          <w:sz w:val="24"/>
          <w:szCs w:val="24"/>
          <w:rtl/>
        </w:rPr>
        <w:lastRenderedPageBreak/>
        <w:t xml:space="preserve">            </w:t>
      </w:r>
      <w:bookmarkStart w:id="66" w:name="_Toc225991177"/>
      <w:r w:rsidRPr="005D59A7">
        <w:rPr>
          <w:rFonts w:ascii="T" w:hAnsi="T" w:cs="Simplified Arabic"/>
          <w:color w:val="auto"/>
          <w:sz w:val="24"/>
          <w:szCs w:val="24"/>
        </w:rPr>
        <w:t>Table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Table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5</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تحليل القدرات المختلفة في قطاع البيئة والدروس المستفادة من أفضل الممارسات (الإستراتيجية الوطنية للبيئة)</w:t>
      </w:r>
      <w:bookmarkEnd w:id="66"/>
    </w:p>
    <w:p w14:paraId="4BE5A807" w14:textId="77777777" w:rsidR="00AC74FF" w:rsidRPr="005D59A7" w:rsidRDefault="00AC74FF" w:rsidP="00861DC2">
      <w:pPr>
        <w:pStyle w:val="Heading4"/>
        <w:bidi/>
        <w:spacing w:line="360" w:lineRule="auto"/>
        <w:ind w:firstLine="720"/>
        <w:rPr>
          <w:rFonts w:ascii="T" w:hAnsi="T" w:cs="Simplified Arabic"/>
          <w:color w:val="auto"/>
          <w:sz w:val="24"/>
          <w:szCs w:val="24"/>
          <w:rtl/>
        </w:rPr>
      </w:pPr>
      <w:r w:rsidRPr="005D59A7">
        <w:rPr>
          <w:rFonts w:ascii="T" w:hAnsi="T" w:cs="Simplified Arabic"/>
          <w:color w:val="auto"/>
          <w:sz w:val="24"/>
          <w:szCs w:val="24"/>
          <w:rtl/>
        </w:rPr>
        <w:t>التكلفة السنوية الإجمالية للتدهور البيئي:</w:t>
      </w:r>
    </w:p>
    <w:p w14:paraId="446BF533"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sz w:val="24"/>
          <w:szCs w:val="24"/>
          <w:rtl/>
        </w:rPr>
        <w:t>بلغت التكلفة السنوية الإجمالية للتدهور البيئي 86 مليار ريال سعودي في عام 2014، أي ما يعادل 3% من الناتج المحلي الإجمالي (</w:t>
      </w:r>
      <w:r w:rsidRPr="005D59A7">
        <w:rPr>
          <w:rFonts w:ascii="T" w:hAnsi="T" w:cs="Simplified Arabic"/>
          <w:sz w:val="24"/>
          <w:szCs w:val="24"/>
        </w:rPr>
        <w:t>NES, 2018</w:t>
      </w:r>
      <w:r w:rsidRPr="005D59A7">
        <w:rPr>
          <w:rFonts w:ascii="T" w:hAnsi="T" w:cs="Simplified Arabic"/>
          <w:sz w:val="24"/>
          <w:szCs w:val="24"/>
          <w:rtl/>
        </w:rPr>
        <w:t>).</w:t>
      </w:r>
    </w:p>
    <w:p w14:paraId="1D4D6638"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sz w:val="24"/>
          <w:szCs w:val="24"/>
          <w:rtl/>
        </w:rPr>
        <w:t>من أهم مصادر التدهور البيئي ما يلي:</w:t>
      </w:r>
    </w:p>
    <w:p w14:paraId="3D573DF2"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تلوث الهواء.</w:t>
      </w:r>
    </w:p>
    <w:p w14:paraId="56F05151"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الضغوط على موارد المياه وتلوثها.</w:t>
      </w:r>
    </w:p>
    <w:p w14:paraId="5C6C798C"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الضغوط على موارد الأرض.</w:t>
      </w:r>
    </w:p>
    <w:p w14:paraId="487FE9FE"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إدارة النفايات بطريقة غير مستدامة.</w:t>
      </w:r>
    </w:p>
    <w:p w14:paraId="6E4091F5"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عدم كفاية الحفاظ على الموارد الساحلية.</w:t>
      </w:r>
    </w:p>
    <w:p w14:paraId="3E2C584B"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الأضرار الناجمة عن الكوارث الطبيعية.</w:t>
      </w:r>
    </w:p>
    <w:p w14:paraId="46440B7D" w14:textId="77777777" w:rsidR="0089176E" w:rsidRPr="005D59A7" w:rsidRDefault="0089176E" w:rsidP="0045581D">
      <w:pPr>
        <w:pStyle w:val="ListParagraph"/>
        <w:numPr>
          <w:ilvl w:val="0"/>
          <w:numId w:val="25"/>
        </w:numPr>
        <w:bidi/>
        <w:spacing w:line="360" w:lineRule="auto"/>
        <w:ind w:firstLine="720"/>
        <w:rPr>
          <w:rFonts w:ascii="T" w:hAnsi="T" w:cs="Simplified Arabic"/>
          <w:sz w:val="24"/>
          <w:szCs w:val="24"/>
        </w:rPr>
      </w:pPr>
      <w:r w:rsidRPr="005D59A7">
        <w:rPr>
          <w:rFonts w:ascii="T" w:hAnsi="T" w:cs="Simplified Arabic"/>
          <w:sz w:val="24"/>
          <w:szCs w:val="24"/>
          <w:rtl/>
        </w:rPr>
        <w:t>عدم كفاءة الطاقة والاعتماد المحدود على مصادر الطاقة المتجددة.</w:t>
      </w:r>
    </w:p>
    <w:p w14:paraId="3B7996DF" w14:textId="77777777" w:rsidR="0089176E" w:rsidRPr="005D59A7" w:rsidRDefault="0089176E" w:rsidP="00861DC2">
      <w:pPr>
        <w:pStyle w:val="ListParagraph"/>
        <w:bidi/>
        <w:spacing w:line="360" w:lineRule="auto"/>
        <w:ind w:firstLine="720"/>
        <w:rPr>
          <w:rFonts w:ascii="T" w:hAnsi="T" w:cs="Simplified Arabic"/>
          <w:sz w:val="24"/>
          <w:szCs w:val="24"/>
          <w:rtl/>
        </w:rPr>
      </w:pPr>
    </w:p>
    <w:p w14:paraId="429DC865" w14:textId="77777777" w:rsidR="0089176E" w:rsidRPr="005D59A7" w:rsidRDefault="0089176E" w:rsidP="00861DC2">
      <w:pPr>
        <w:bidi/>
        <w:spacing w:line="360" w:lineRule="auto"/>
        <w:ind w:firstLine="720"/>
        <w:rPr>
          <w:rFonts w:ascii="T" w:hAnsi="T" w:cs="Simplified Arabic"/>
          <w:sz w:val="24"/>
          <w:szCs w:val="24"/>
          <w:rtl/>
        </w:rPr>
      </w:pPr>
      <w:r w:rsidRPr="005D59A7">
        <w:rPr>
          <w:rFonts w:ascii="T" w:hAnsi="T" w:cs="Simplified Arabic"/>
          <w:noProof/>
          <w:sz w:val="24"/>
          <w:szCs w:val="24"/>
        </w:rPr>
        <w:lastRenderedPageBreak/>
        <w:drawing>
          <wp:inline distT="0" distB="0" distL="0" distR="0" wp14:anchorId="3279EA29" wp14:editId="0A190323">
            <wp:extent cx="5219700" cy="3457575"/>
            <wp:effectExtent l="19050" t="0" r="0" b="0"/>
            <wp:docPr id="60"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srcRect/>
                    <a:stretch>
                      <a:fillRect/>
                    </a:stretch>
                  </pic:blipFill>
                  <pic:spPr bwMode="auto">
                    <a:xfrm>
                      <a:off x="0" y="0"/>
                      <a:ext cx="5219700" cy="3457575"/>
                    </a:xfrm>
                    <a:prstGeom prst="rect">
                      <a:avLst/>
                    </a:prstGeom>
                    <a:noFill/>
                    <a:ln w="9525">
                      <a:noFill/>
                      <a:miter lim="800000"/>
                      <a:headEnd/>
                      <a:tailEnd/>
                    </a:ln>
                  </pic:spPr>
                </pic:pic>
              </a:graphicData>
            </a:graphic>
          </wp:inline>
        </w:drawing>
      </w:r>
    </w:p>
    <w:p w14:paraId="3A1DAD4C" w14:textId="18B34E31" w:rsidR="0089176E" w:rsidRPr="005D59A7" w:rsidRDefault="0089176E" w:rsidP="00861DC2">
      <w:pPr>
        <w:pStyle w:val="Caption"/>
        <w:bidi/>
        <w:spacing w:line="360" w:lineRule="auto"/>
        <w:ind w:firstLine="720"/>
        <w:jc w:val="center"/>
        <w:rPr>
          <w:rFonts w:ascii="T" w:hAnsi="T" w:cs="Simplified Arabic"/>
          <w:noProof/>
          <w:color w:val="auto"/>
          <w:sz w:val="24"/>
          <w:szCs w:val="24"/>
          <w:rtl/>
        </w:rPr>
      </w:pPr>
      <w:bookmarkStart w:id="67" w:name="_Toc225991172"/>
      <w:r w:rsidRPr="005D59A7">
        <w:rPr>
          <w:rFonts w:ascii="T" w:hAnsi="T" w:cs="Simplified Arabic"/>
          <w:color w:val="auto"/>
          <w:sz w:val="24"/>
          <w:szCs w:val="24"/>
        </w:rPr>
        <w:t>Figure</w:t>
      </w:r>
      <w:r w:rsidRPr="005D59A7">
        <w:rPr>
          <w:rFonts w:ascii="T" w:hAnsi="T" w:cs="Simplified Arabic"/>
          <w:color w:val="auto"/>
          <w:sz w:val="24"/>
          <w:szCs w:val="24"/>
          <w:rtl/>
        </w:rPr>
        <w:t xml:space="preserve"> </w:t>
      </w:r>
      <w:r w:rsidR="00FD30BF" w:rsidRPr="005D59A7">
        <w:rPr>
          <w:rFonts w:ascii="T" w:hAnsi="T" w:cs="Simplified Arabic"/>
          <w:color w:val="auto"/>
          <w:sz w:val="24"/>
          <w:szCs w:val="24"/>
          <w:rtl/>
        </w:rPr>
        <w:fldChar w:fldCharType="begin"/>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SEQ</w:instrText>
      </w:r>
      <w:r w:rsidRPr="005D59A7">
        <w:rPr>
          <w:rFonts w:ascii="T" w:hAnsi="T" w:cs="Simplified Arabic"/>
          <w:color w:val="auto"/>
          <w:sz w:val="24"/>
          <w:szCs w:val="24"/>
          <w:rtl/>
        </w:rPr>
        <w:instrText xml:space="preserve"> </w:instrText>
      </w:r>
      <w:r w:rsidRPr="005D59A7">
        <w:rPr>
          <w:rFonts w:ascii="T" w:hAnsi="T" w:cs="Simplified Arabic"/>
          <w:color w:val="auto"/>
          <w:sz w:val="24"/>
          <w:szCs w:val="24"/>
        </w:rPr>
        <w:instrText>Figure \* ARABIC</w:instrText>
      </w:r>
      <w:r w:rsidRPr="005D59A7">
        <w:rPr>
          <w:rFonts w:ascii="T" w:hAnsi="T" w:cs="Simplified Arabic"/>
          <w:color w:val="auto"/>
          <w:sz w:val="24"/>
          <w:szCs w:val="24"/>
          <w:rtl/>
        </w:rPr>
        <w:instrText xml:space="preserve"> </w:instrText>
      </w:r>
      <w:r w:rsidR="00FD30BF" w:rsidRPr="005D59A7">
        <w:rPr>
          <w:rFonts w:ascii="T" w:hAnsi="T" w:cs="Simplified Arabic"/>
          <w:color w:val="auto"/>
          <w:sz w:val="24"/>
          <w:szCs w:val="24"/>
          <w:rtl/>
        </w:rPr>
        <w:fldChar w:fldCharType="separate"/>
      </w:r>
      <w:r w:rsidR="00C14A6F" w:rsidRPr="005D59A7">
        <w:rPr>
          <w:rFonts w:ascii="T" w:hAnsi="T" w:cs="Simplified Arabic"/>
          <w:noProof/>
          <w:color w:val="auto"/>
          <w:sz w:val="24"/>
          <w:szCs w:val="24"/>
          <w:rtl/>
        </w:rPr>
        <w:t>8</w:t>
      </w:r>
      <w:r w:rsidR="00FD30BF" w:rsidRPr="005D59A7">
        <w:rPr>
          <w:rFonts w:ascii="T" w:hAnsi="T" w:cs="Simplified Arabic"/>
          <w:color w:val="auto"/>
          <w:sz w:val="24"/>
          <w:szCs w:val="24"/>
          <w:rtl/>
        </w:rPr>
        <w:fldChar w:fldCharType="end"/>
      </w:r>
      <w:r w:rsidRPr="005D59A7">
        <w:rPr>
          <w:rFonts w:ascii="T" w:hAnsi="T" w:cs="Simplified Arabic"/>
          <w:noProof/>
          <w:color w:val="auto"/>
          <w:sz w:val="24"/>
          <w:szCs w:val="24"/>
          <w:rtl/>
        </w:rPr>
        <w:t>: تكلفة التدهور البيئي في المملكة (2014)</w:t>
      </w:r>
      <w:bookmarkEnd w:id="67"/>
    </w:p>
    <w:p w14:paraId="2EDC6982" w14:textId="77777777" w:rsidR="00581D5D" w:rsidRPr="005D59A7" w:rsidRDefault="00BF0DB3" w:rsidP="00861DC2">
      <w:pPr>
        <w:pStyle w:val="Heading4"/>
        <w:bidi/>
        <w:spacing w:line="360" w:lineRule="auto"/>
        <w:ind w:firstLine="720"/>
        <w:rPr>
          <w:rFonts w:ascii="T" w:hAnsi="T" w:cs="Simplified Arabic"/>
          <w:b w:val="0"/>
          <w:bCs w:val="0"/>
          <w:color w:val="auto"/>
          <w:sz w:val="24"/>
          <w:szCs w:val="24"/>
          <w:rtl/>
        </w:rPr>
      </w:pPr>
      <w:r w:rsidRPr="005D59A7">
        <w:rPr>
          <w:rFonts w:ascii="T" w:hAnsi="T" w:cs="Simplified Arabic"/>
          <w:b w:val="0"/>
          <w:bCs w:val="0"/>
          <w:color w:val="auto"/>
          <w:sz w:val="24"/>
          <w:szCs w:val="24"/>
          <w:rtl/>
        </w:rPr>
        <w:t>الأهداف البيئية الإستراتيجية</w:t>
      </w:r>
    </w:p>
    <w:p w14:paraId="58C85E58" w14:textId="77777777" w:rsidR="00BF0DB3" w:rsidRPr="005D59A7" w:rsidRDefault="00BF0DB3"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دعم الاستدامة البيئية من خلال الحفاظ على الموارد الطبيعية، والحد من التلوث، ومكافحة التصحر، وإدراج الأجندة البيئية في صلب التخطيط الوطني، وإعادة تأهيل النظم البيئية المتدهورة.</w:t>
      </w:r>
    </w:p>
    <w:p w14:paraId="19D82B34" w14:textId="77777777" w:rsidR="00BF0DB3" w:rsidRPr="005D59A7" w:rsidRDefault="00BF0DB3"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تحقيق حوكمة قوية لقطاعي البيئة والأرصاد الجوية، وتعزيز التنسيق بين الكيانات المرنة والفعالة والمستدامة مالياً، وإشراك القطاع الخاص لتقديم خدمات بيئية متميزة وعالية الجودة.</w:t>
      </w:r>
    </w:p>
    <w:p w14:paraId="14FE21CA" w14:textId="77777777" w:rsidR="008F4D56" w:rsidRPr="005D59A7" w:rsidRDefault="008F4D56"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تحسين نوعية الحياة للجميع وتحقيق أقصى قدر من التكيف مع تغير المناخ.</w:t>
      </w:r>
    </w:p>
    <w:p w14:paraId="74630930" w14:textId="77777777" w:rsidR="008F4D56" w:rsidRPr="005D59A7" w:rsidRDefault="008F4D56" w:rsidP="0045581D">
      <w:pPr>
        <w:pStyle w:val="ListParagraph"/>
        <w:numPr>
          <w:ilvl w:val="0"/>
          <w:numId w:val="26"/>
        </w:numPr>
        <w:bidi/>
        <w:spacing w:line="360" w:lineRule="auto"/>
        <w:ind w:firstLine="720"/>
        <w:jc w:val="both"/>
        <w:rPr>
          <w:rFonts w:ascii="T" w:hAnsi="T" w:cs="Simplified Arabic"/>
          <w:sz w:val="24"/>
          <w:szCs w:val="24"/>
        </w:rPr>
      </w:pPr>
      <w:r w:rsidRPr="005D59A7">
        <w:rPr>
          <w:rFonts w:ascii="T" w:hAnsi="T" w:cs="Simplified Arabic"/>
          <w:sz w:val="24"/>
          <w:szCs w:val="24"/>
          <w:rtl/>
        </w:rPr>
        <w:t>اعتماد أعلى المعايير المهنية والأخلاقية عند إدارة وتشغيل قطاعي البيئة والأرصاد الجوية، وإشراك المجتمع المدني في القضايا البيئية، ورفع مستوى الوعي البيئي داخل المملكة، والالتزام بالمعاهدات الدولية.</w:t>
      </w:r>
    </w:p>
    <w:p w14:paraId="6E0DFBCA" w14:textId="235D1352" w:rsidR="00843CD6" w:rsidRPr="005D59A7" w:rsidRDefault="00843CD6" w:rsidP="00922FF0">
      <w:pPr>
        <w:pStyle w:val="Heading1"/>
        <w:bidi/>
        <w:rPr>
          <w:rFonts w:ascii="T" w:hAnsi="T" w:cs="Simplified Arabic"/>
          <w:b/>
          <w:bCs/>
          <w:color w:val="auto"/>
          <w:sz w:val="24"/>
          <w:szCs w:val="24"/>
          <w:rtl/>
          <w:lang w:bidi="ar-EG"/>
        </w:rPr>
      </w:pPr>
      <w:bookmarkStart w:id="68" w:name="_Toc225991370"/>
      <w:r w:rsidRPr="005D59A7">
        <w:rPr>
          <w:rFonts w:ascii="T" w:hAnsi="T" w:cs="Simplified Arabic"/>
          <w:b/>
          <w:bCs/>
          <w:color w:val="auto"/>
          <w:sz w:val="24"/>
          <w:szCs w:val="24"/>
          <w:rtl/>
          <w:lang w:bidi="ar-EG"/>
        </w:rPr>
        <w:lastRenderedPageBreak/>
        <w:t>الدراسات السابقة</w:t>
      </w:r>
      <w:bookmarkEnd w:id="68"/>
    </w:p>
    <w:p w14:paraId="29AF6AAE" w14:textId="77777777" w:rsidR="00C57CC8" w:rsidRPr="005D59A7" w:rsidRDefault="00C57CC8" w:rsidP="00922FF0">
      <w:pPr>
        <w:pStyle w:val="Heading2"/>
        <w:bidi/>
        <w:rPr>
          <w:rFonts w:ascii="T" w:hAnsi="T" w:cs="Simplified Arabic"/>
          <w:color w:val="auto"/>
          <w:sz w:val="24"/>
          <w:szCs w:val="24"/>
          <w:rtl/>
          <w:lang w:bidi="ar-EG"/>
        </w:rPr>
      </w:pPr>
      <w:bookmarkStart w:id="69" w:name="_Toc225991371"/>
      <w:r w:rsidRPr="005D59A7">
        <w:rPr>
          <w:rFonts w:ascii="T" w:hAnsi="T" w:cs="Simplified Arabic"/>
          <w:color w:val="auto"/>
          <w:sz w:val="24"/>
          <w:szCs w:val="24"/>
          <w:rtl/>
          <w:lang w:bidi="ar-EG"/>
        </w:rPr>
        <w:t>المحور الأول: دراسات الشراكات بين القطاعين العام والخاص</w:t>
      </w:r>
      <w:r w:rsidRPr="005D59A7">
        <w:rPr>
          <w:rFonts w:ascii="T" w:hAnsi="T" w:cs="Simplified Arabic"/>
          <w:color w:val="auto"/>
          <w:sz w:val="24"/>
          <w:szCs w:val="24"/>
          <w:lang w:bidi="ar-EG"/>
        </w:rPr>
        <w:t xml:space="preserve"> (PPP)</w:t>
      </w:r>
      <w:bookmarkEnd w:id="69"/>
    </w:p>
    <w:p w14:paraId="117C8EA2"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lang w:bidi="ar-EG"/>
        </w:rPr>
        <w:t>أولاً: تطور مفهوم الشراكات بين القطاعين العام والخاص</w:t>
      </w:r>
    </w:p>
    <w:p w14:paraId="727891F9"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مفهوم الشراكات بين القطاعين العام والخاص تطوراً كبيراً على مدى العقود الماضية، حيث انتقل من كونه مجرد آلية تمويلية بديلة إلى إطار استراتيجي متكامل لإدارة وتنفيذ مشاريع البنية التحتية والخدمات العامة. في البداية، ركزت الأدبيات على تعريف</w:t>
      </w:r>
      <w:r w:rsidRPr="005D59A7">
        <w:rPr>
          <w:rFonts w:ascii="T" w:hAnsi="T" w:cs="Simplified Arabic"/>
          <w:sz w:val="24"/>
          <w:szCs w:val="24"/>
        </w:rPr>
        <w:t xml:space="preserve"> PPP </w:t>
      </w:r>
      <w:r w:rsidRPr="005D59A7">
        <w:rPr>
          <w:rFonts w:ascii="T" w:hAnsi="T" w:cs="Simplified Arabic"/>
          <w:sz w:val="24"/>
          <w:szCs w:val="24"/>
          <w:rtl/>
        </w:rPr>
        <w:t>كعلاقة تعاقدية بين جهة حكومية وكيان خاص لتوفير أصول أو خدمات كانت تقليدياً من مسؤولية القطاع العام، مع تقاسم المخاطر والموارد. تطور المفهوم ليشمل أبعاداً أوسع، حيث أصبح ينظر إلى</w:t>
      </w:r>
      <w:r w:rsidRPr="005D59A7">
        <w:rPr>
          <w:rFonts w:ascii="T" w:hAnsi="T" w:cs="Simplified Arabic"/>
          <w:sz w:val="24"/>
          <w:szCs w:val="24"/>
        </w:rPr>
        <w:t xml:space="preserve"> PPP </w:t>
      </w:r>
      <w:r w:rsidRPr="005D59A7">
        <w:rPr>
          <w:rFonts w:ascii="T" w:hAnsi="T" w:cs="Simplified Arabic"/>
          <w:sz w:val="24"/>
          <w:szCs w:val="24"/>
          <w:rtl/>
        </w:rPr>
        <w:t>كأداة لتحقيق التنمية المستدامة والابتكار في تقديم الخدمات العامة، خاصة في ظل التحديات البيئية والمناخية المتزايدة</w:t>
      </w:r>
      <w:r w:rsidRPr="005D59A7">
        <w:rPr>
          <w:rFonts w:ascii="T" w:hAnsi="T" w:cs="Simplified Arabic"/>
          <w:sz w:val="24"/>
          <w:szCs w:val="24"/>
        </w:rPr>
        <w:t>.</w:t>
      </w:r>
    </w:p>
    <w:p w14:paraId="05C4FC6D" w14:textId="0A55A9BF"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هذا السياق، أجرت دراسة</w:t>
      </w:r>
      <w:r w:rsidRPr="005D59A7">
        <w:rPr>
          <w:rFonts w:ascii="T" w:hAnsi="T" w:cs="Simplified Arabic"/>
          <w:sz w:val="24"/>
          <w:szCs w:val="24"/>
        </w:rPr>
        <w:t xml:space="preserve"> Casady, Cepparulo,(2024) </w:t>
      </w:r>
      <w:r w:rsidRPr="005D59A7">
        <w:rPr>
          <w:rFonts w:ascii="T" w:hAnsi="T" w:cs="Simplified Arabic"/>
          <w:sz w:val="24"/>
          <w:szCs w:val="24"/>
          <w:rtl/>
        </w:rPr>
        <w:t>هدفت الدراسة إلى تحليل الأدبيات المتعلقة باستخدام</w:t>
      </w:r>
      <w:r w:rsidRPr="005D59A7">
        <w:rPr>
          <w:rFonts w:ascii="T" w:hAnsi="T" w:cs="Simplified Arabic"/>
          <w:sz w:val="24"/>
          <w:szCs w:val="24"/>
        </w:rPr>
        <w:t xml:space="preserve"> PPP </w:t>
      </w:r>
      <w:r w:rsidRPr="005D59A7">
        <w:rPr>
          <w:rFonts w:ascii="T" w:hAnsi="T" w:cs="Simplified Arabic"/>
          <w:sz w:val="24"/>
          <w:szCs w:val="24"/>
          <w:rtl/>
        </w:rPr>
        <w:t>في تطوير البنية التحتية منخفضة الكربون والقادرة على التكيف مع المناخ. اعتمد الباحثون على مراجعة منهجية للأدبيات المنشورة خلال العقد الماضي، مع التركيز على الدراسات التي تناولت دمج اعتبارات الاستدامة البيئية في أطر</w:t>
      </w:r>
      <w:r w:rsidRPr="005D59A7">
        <w:rPr>
          <w:rFonts w:ascii="T" w:hAnsi="T" w:cs="Simplified Arabic"/>
          <w:sz w:val="24"/>
          <w:szCs w:val="24"/>
        </w:rPr>
        <w:t xml:space="preserve"> PPP. </w:t>
      </w:r>
      <w:r w:rsidRPr="005D59A7">
        <w:rPr>
          <w:rFonts w:ascii="T" w:hAnsi="T" w:cs="Simplified Arabic"/>
          <w:sz w:val="24"/>
          <w:szCs w:val="24"/>
          <w:rtl/>
        </w:rPr>
        <w:t>توصلت الدراسة إلى أن الأدبيات الحديثة حول</w:t>
      </w:r>
      <w:r w:rsidRPr="005D59A7">
        <w:rPr>
          <w:rFonts w:ascii="T" w:hAnsi="T" w:cs="Simplified Arabic"/>
          <w:sz w:val="24"/>
          <w:szCs w:val="24"/>
        </w:rPr>
        <w:t xml:space="preserve"> PPP </w:t>
      </w:r>
      <w:r w:rsidRPr="005D59A7">
        <w:rPr>
          <w:rFonts w:ascii="T" w:hAnsi="T" w:cs="Simplified Arabic"/>
          <w:sz w:val="24"/>
          <w:szCs w:val="24"/>
          <w:rtl/>
        </w:rPr>
        <w:t>للبنية التحتية منخفضة الكربون تظهر اتجاهاً متزايداً نحو دمج أهداف الاستدامة في أطر الشراكة، مما يعكس تحولاً من التركيز الضيق على الكفاءة المالية إلى اعتبارات بيئية واجتماعية أوسع. كما أشارت الدراسة إلى أن تصميم آليات تقاسم المخاطر المناسبة يشكل تحدياً رئيسياً في مشاريع</w:t>
      </w:r>
      <w:r w:rsidRPr="005D59A7">
        <w:rPr>
          <w:rFonts w:ascii="T" w:hAnsi="T" w:cs="Simplified Arabic"/>
          <w:sz w:val="24"/>
          <w:szCs w:val="24"/>
        </w:rPr>
        <w:t xml:space="preserve"> PPP </w:t>
      </w:r>
      <w:r w:rsidRPr="005D59A7">
        <w:rPr>
          <w:rFonts w:ascii="T" w:hAnsi="T" w:cs="Simplified Arabic"/>
          <w:sz w:val="24"/>
          <w:szCs w:val="24"/>
          <w:rtl/>
        </w:rPr>
        <w:t>الخضراء، نظراً لارتفاع درجة عدم اليقين المرتبطة بالتقنيات الجديدة والسياسات البيئية المتغيرة. أوصت الدراسة بضرورة تطوير أطر تنظيمية مرنة تدعم الابتكار في قطاع البنية التحتية المستدامة، مع تعزيز قدرات القطاع العام على إدارة عقود</w:t>
      </w:r>
      <w:r w:rsidRPr="005D59A7">
        <w:rPr>
          <w:rFonts w:ascii="T" w:hAnsi="T" w:cs="Simplified Arabic"/>
          <w:sz w:val="24"/>
          <w:szCs w:val="24"/>
        </w:rPr>
        <w:t xml:space="preserve"> PPP </w:t>
      </w:r>
      <w:r w:rsidRPr="005D59A7">
        <w:rPr>
          <w:rFonts w:ascii="T" w:hAnsi="T" w:cs="Simplified Arabic"/>
          <w:sz w:val="24"/>
          <w:szCs w:val="24"/>
          <w:rtl/>
        </w:rPr>
        <w:t>المعقدة في هذا المجال</w:t>
      </w:r>
      <w:r w:rsidRPr="005D59A7">
        <w:rPr>
          <w:rFonts w:ascii="T" w:hAnsi="T" w:cs="Simplified Arabic"/>
          <w:sz w:val="24"/>
          <w:szCs w:val="24"/>
        </w:rPr>
        <w:t>.</w:t>
      </w:r>
    </w:p>
    <w:p w14:paraId="3D267165" w14:textId="135DAE93"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تناولت دراسة</w:t>
      </w:r>
      <w:r w:rsidRPr="005D59A7">
        <w:rPr>
          <w:rFonts w:ascii="T" w:hAnsi="T" w:cs="Simplified Arabic"/>
          <w:sz w:val="24"/>
          <w:szCs w:val="24"/>
        </w:rPr>
        <w:t xml:space="preserve"> Quan </w:t>
      </w:r>
      <w:r w:rsidRPr="005D59A7">
        <w:rPr>
          <w:rFonts w:ascii="T" w:hAnsi="T" w:cs="Simplified Arabic"/>
          <w:sz w:val="24"/>
          <w:szCs w:val="24"/>
          <w:rtl/>
        </w:rPr>
        <w:t>و</w:t>
      </w:r>
      <w:r w:rsidRPr="005D59A7">
        <w:rPr>
          <w:rFonts w:ascii="T" w:hAnsi="T" w:cs="Simplified Arabic"/>
          <w:sz w:val="24"/>
          <w:szCs w:val="24"/>
        </w:rPr>
        <w:t xml:space="preserve"> Solheim (2023) </w:t>
      </w:r>
      <w:r w:rsidRPr="005D59A7">
        <w:rPr>
          <w:rFonts w:ascii="T" w:hAnsi="T" w:cs="Simplified Arabic"/>
          <w:sz w:val="24"/>
          <w:szCs w:val="24"/>
          <w:rtl/>
        </w:rPr>
        <w:t>تطور مفهوم</w:t>
      </w:r>
      <w:r w:rsidRPr="005D59A7">
        <w:rPr>
          <w:rFonts w:ascii="T" w:hAnsi="T" w:cs="Simplified Arabic"/>
          <w:sz w:val="24"/>
          <w:szCs w:val="24"/>
        </w:rPr>
        <w:t xml:space="preserve"> PPP </w:t>
      </w:r>
      <w:r w:rsidRPr="005D59A7">
        <w:rPr>
          <w:rFonts w:ascii="T" w:hAnsi="T" w:cs="Simplified Arabic"/>
          <w:sz w:val="24"/>
          <w:szCs w:val="24"/>
          <w:rtl/>
        </w:rPr>
        <w:t>في سياق المدن الذكية. هدفت الدراسة إلى إجراء مسح نقدي للأدبيات المتعلقة بـ</w:t>
      </w:r>
      <w:r w:rsidRPr="005D59A7">
        <w:rPr>
          <w:rFonts w:ascii="T" w:hAnsi="T" w:cs="Simplified Arabic"/>
          <w:sz w:val="24"/>
          <w:szCs w:val="24"/>
        </w:rPr>
        <w:t xml:space="preserve"> PPP </w:t>
      </w:r>
      <w:r w:rsidRPr="005D59A7">
        <w:rPr>
          <w:rFonts w:ascii="T" w:hAnsi="T" w:cs="Simplified Arabic"/>
          <w:sz w:val="24"/>
          <w:szCs w:val="24"/>
          <w:rtl/>
        </w:rPr>
        <w:t>في المدن الذكية، وتحديد الفجوات البحثية واقتراح أجندة بحثية مستقبلية. اعتمد الباحثون على مراجعة منهجية شاملة للأدبيات المنشورة خلال الفترة 2010-2022، مع تحليل نقدي للمفاهيم والنماذج والتحديات. توصلت الدراسة إلى أن مفهوم</w:t>
      </w:r>
      <w:r w:rsidRPr="005D59A7">
        <w:rPr>
          <w:rFonts w:ascii="T" w:hAnsi="T" w:cs="Simplified Arabic"/>
          <w:sz w:val="24"/>
          <w:szCs w:val="24"/>
        </w:rPr>
        <w:t xml:space="preserve"> PPP </w:t>
      </w:r>
      <w:r w:rsidRPr="005D59A7">
        <w:rPr>
          <w:rFonts w:ascii="T" w:hAnsi="T" w:cs="Simplified Arabic"/>
          <w:sz w:val="24"/>
          <w:szCs w:val="24"/>
          <w:rtl/>
        </w:rPr>
        <w:t xml:space="preserve">تطور </w:t>
      </w:r>
      <w:r w:rsidRPr="005D59A7">
        <w:rPr>
          <w:rFonts w:ascii="T" w:hAnsi="T" w:cs="Simplified Arabic"/>
          <w:sz w:val="24"/>
          <w:szCs w:val="24"/>
          <w:rtl/>
        </w:rPr>
        <w:lastRenderedPageBreak/>
        <w:t>ليشمل شراكات متعددة الأطراف تجمع بين القطاع العام والخاص والمجتمع المدني والأوساط الأكاديمية، مما يعكس تعقيداً متزايداً في هيكل الشراكة وأهدافها. كما أشارت الدراسة إلى أن مشاريع المدن الذكية تواجه تحديات فريدة تتعلق بخصوصية البيانات والأمن السيبراني والملكية الفكرية، مما يتطلب تطوير أطر حوكمة مبتكرة. أوصت الدراسة بضرورة إجراء المزيد من البحوث حول آليات قياس أداء</w:t>
      </w:r>
      <w:r w:rsidRPr="005D59A7">
        <w:rPr>
          <w:rFonts w:ascii="T" w:hAnsi="T" w:cs="Simplified Arabic"/>
          <w:sz w:val="24"/>
          <w:szCs w:val="24"/>
        </w:rPr>
        <w:t xml:space="preserve"> PPP </w:t>
      </w:r>
      <w:r w:rsidRPr="005D59A7">
        <w:rPr>
          <w:rFonts w:ascii="T" w:hAnsi="T" w:cs="Simplified Arabic"/>
          <w:sz w:val="24"/>
          <w:szCs w:val="24"/>
          <w:rtl/>
        </w:rPr>
        <w:t>في المدن الذكية، وتطوير نماذج تقاسم المخاطر المناسبة لهذا السياق الجديد</w:t>
      </w:r>
      <w:r w:rsidRPr="005D59A7">
        <w:rPr>
          <w:rFonts w:ascii="T" w:hAnsi="T" w:cs="Simplified Arabic"/>
          <w:sz w:val="24"/>
          <w:szCs w:val="24"/>
        </w:rPr>
        <w:t>.</w:t>
      </w:r>
    </w:p>
    <w:p w14:paraId="4E4CC3B8" w14:textId="521E8E3C"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أجرى</w:t>
      </w:r>
      <w:r w:rsidRPr="005D59A7">
        <w:rPr>
          <w:rFonts w:ascii="T" w:hAnsi="T" w:cs="Simplified Arabic"/>
          <w:sz w:val="24"/>
          <w:szCs w:val="24"/>
        </w:rPr>
        <w:t xml:space="preserve"> Khandanisa, Ramolobe (2024) </w:t>
      </w:r>
      <w:r w:rsidRPr="005D59A7">
        <w:rPr>
          <w:rFonts w:ascii="T" w:hAnsi="T" w:cs="Simplified Arabic"/>
          <w:sz w:val="24"/>
          <w:szCs w:val="24"/>
          <w:rtl/>
        </w:rPr>
        <w:t>دراسة هدفت إلى تحليل دور</w:t>
      </w:r>
      <w:r w:rsidRPr="005D59A7">
        <w:rPr>
          <w:rFonts w:ascii="T" w:hAnsi="T" w:cs="Simplified Arabic"/>
          <w:sz w:val="24"/>
          <w:szCs w:val="24"/>
        </w:rPr>
        <w:t xml:space="preserve"> PPP </w:t>
      </w:r>
      <w:r w:rsidRPr="005D59A7">
        <w:rPr>
          <w:rFonts w:ascii="T" w:hAnsi="T" w:cs="Simplified Arabic"/>
          <w:sz w:val="24"/>
          <w:szCs w:val="24"/>
          <w:rtl/>
        </w:rPr>
        <w:t>في تحقيق التنمية المستدامة على المستوى المحلي في جنوب أفريقيا. اعتمد الباحثون على منهجية دراسة حالة، مع تحليل بيانات من مشاريع</w:t>
      </w:r>
      <w:r w:rsidRPr="005D59A7">
        <w:rPr>
          <w:rFonts w:ascii="T" w:hAnsi="T" w:cs="Simplified Arabic"/>
          <w:sz w:val="24"/>
          <w:szCs w:val="24"/>
        </w:rPr>
        <w:t xml:space="preserve"> PPP </w:t>
      </w:r>
      <w:r w:rsidRPr="005D59A7">
        <w:rPr>
          <w:rFonts w:ascii="T" w:hAnsi="T" w:cs="Simplified Arabic"/>
          <w:sz w:val="24"/>
          <w:szCs w:val="24"/>
          <w:rtl/>
        </w:rPr>
        <w:t>منفذة في عدة بلديات. توصلت الدراسة إلى أن</w:t>
      </w:r>
      <w:r w:rsidRPr="005D59A7">
        <w:rPr>
          <w:rFonts w:ascii="T" w:hAnsi="T" w:cs="Simplified Arabic"/>
          <w:sz w:val="24"/>
          <w:szCs w:val="24"/>
        </w:rPr>
        <w:t xml:space="preserve"> PPP </w:t>
      </w:r>
      <w:r w:rsidRPr="005D59A7">
        <w:rPr>
          <w:rFonts w:ascii="T" w:hAnsi="T" w:cs="Simplified Arabic"/>
          <w:sz w:val="24"/>
          <w:szCs w:val="24"/>
          <w:rtl/>
        </w:rPr>
        <w:t>أصبح أداة محورية لتحقيق أهداف التنمية المستدامة للحكومات المحلية، خاصة في سياق الدول النامية حيث تتزايد الحاجة إلى البنية التحتية مع محدودية الموارد العامة. كما أشارت الدراسة إلى أن نجاح</w:t>
      </w:r>
      <w:r w:rsidRPr="005D59A7">
        <w:rPr>
          <w:rFonts w:ascii="T" w:hAnsi="T" w:cs="Simplified Arabic"/>
          <w:sz w:val="24"/>
          <w:szCs w:val="24"/>
        </w:rPr>
        <w:t xml:space="preserve"> PPP </w:t>
      </w:r>
      <w:r w:rsidRPr="005D59A7">
        <w:rPr>
          <w:rFonts w:ascii="T" w:hAnsi="T" w:cs="Simplified Arabic"/>
          <w:sz w:val="24"/>
          <w:szCs w:val="24"/>
          <w:rtl/>
        </w:rPr>
        <w:t>على المستوى المحلي يتطلب بناء قدرات مؤسسية متطورة، وتعزيز الشفافية والمشاركة المجتمعية. أوصت الدراسة بضرورة تطوير أطر تنظيمية مرنة تتناسب مع احتياجات الحكومات المحلية، مع توفير الدعم الفني والمالي لتعزيز قدراتها على إدارة عقود</w:t>
      </w:r>
      <w:r w:rsidRPr="005D59A7">
        <w:rPr>
          <w:rFonts w:ascii="T" w:hAnsi="T" w:cs="Simplified Arabic"/>
          <w:sz w:val="24"/>
          <w:szCs w:val="24"/>
        </w:rPr>
        <w:t xml:space="preserve"> PPP.</w:t>
      </w:r>
    </w:p>
    <w:p w14:paraId="1A207903"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دوافع تبني الشراكات بين القطاعين العام والخاص</w:t>
      </w:r>
    </w:p>
    <w:p w14:paraId="6ACF17AB"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تتنوع دوافع تبني الحكومات لنماذج الشراكة مع القطاع الخاص، ويمكن تصنيفها إلى عدة فئات رئيسية تشمل دوافع الكفاءة والابتكار، دوافع التمويل وسد الفجوات المالية، دوافع نقل وتوزيع المخاطر، ودوافع تحسين جودة الخدمات وتحقيق التنمية المستدامة</w:t>
      </w:r>
      <w:r w:rsidRPr="005D59A7">
        <w:rPr>
          <w:rFonts w:ascii="T" w:hAnsi="T" w:cs="Simplified Arabic"/>
          <w:sz w:val="24"/>
          <w:szCs w:val="24"/>
        </w:rPr>
        <w:t>.</w:t>
      </w:r>
    </w:p>
    <w:p w14:paraId="19ACBC8F" w14:textId="4D266459"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في مجال الابتكار، أجرى </w:t>
      </w:r>
      <w:r w:rsidRPr="005D59A7">
        <w:rPr>
          <w:rFonts w:ascii="T" w:hAnsi="T" w:cs="Simplified Arabic"/>
          <w:sz w:val="24"/>
          <w:szCs w:val="24"/>
        </w:rPr>
        <w:t xml:space="preserve">Liu, et al  (2024) </w:t>
      </w:r>
      <w:r w:rsidRPr="005D59A7">
        <w:rPr>
          <w:rFonts w:ascii="T" w:hAnsi="T" w:cs="Simplified Arabic"/>
          <w:sz w:val="24"/>
          <w:szCs w:val="24"/>
          <w:rtl/>
        </w:rPr>
        <w:t xml:space="preserve"> دراسة هدفت إلى تحليل تأثير</w:t>
      </w:r>
      <w:r w:rsidRPr="005D59A7">
        <w:rPr>
          <w:rFonts w:ascii="T" w:hAnsi="T" w:cs="Simplified Arabic"/>
          <w:sz w:val="24"/>
          <w:szCs w:val="24"/>
        </w:rPr>
        <w:t xml:space="preserve"> PPP </w:t>
      </w:r>
      <w:r w:rsidRPr="005D59A7">
        <w:rPr>
          <w:rFonts w:ascii="T" w:hAnsi="T" w:cs="Simplified Arabic"/>
          <w:sz w:val="24"/>
          <w:szCs w:val="24"/>
          <w:rtl/>
        </w:rPr>
        <w:t>على الابتكار في تسليم مشاريع البنية التحتية. اعتمد الباحثون على منهجية مختلطة جمعت بين تحليل بيانات كمية من 120 مشروع بنية تحتية ودراسات حالة نوعية لثمانية مشاريع</w:t>
      </w:r>
      <w:r w:rsidRPr="005D59A7">
        <w:rPr>
          <w:rFonts w:ascii="T" w:hAnsi="T" w:cs="Simplified Arabic"/>
          <w:sz w:val="24"/>
          <w:szCs w:val="24"/>
        </w:rPr>
        <w:t xml:space="preserve"> PPP. </w:t>
      </w:r>
      <w:r w:rsidRPr="005D59A7">
        <w:rPr>
          <w:rFonts w:ascii="T" w:hAnsi="T" w:cs="Simplified Arabic"/>
          <w:sz w:val="24"/>
          <w:szCs w:val="24"/>
          <w:rtl/>
        </w:rPr>
        <w:t>توصلت الدراسة إلى أن</w:t>
      </w:r>
      <w:r w:rsidRPr="005D59A7">
        <w:rPr>
          <w:rFonts w:ascii="T" w:hAnsi="T" w:cs="Simplified Arabic"/>
          <w:sz w:val="24"/>
          <w:szCs w:val="24"/>
        </w:rPr>
        <w:t xml:space="preserve"> PPP </w:t>
      </w:r>
      <w:r w:rsidRPr="005D59A7">
        <w:rPr>
          <w:rFonts w:ascii="T" w:hAnsi="T" w:cs="Simplified Arabic"/>
          <w:sz w:val="24"/>
          <w:szCs w:val="24"/>
          <w:rtl/>
        </w:rPr>
        <w:t>لها تأثير إيجابي كبير على الابتكار، حيث تعمل آليات السوق والمنافسة على تحفيز الشركاء من القطاع الخاص لتطوير حلول مبتكرة تقلل التكاليف وتحسن الجودة. وجدت الدراسة أن مشاريع</w:t>
      </w:r>
      <w:r w:rsidRPr="005D59A7">
        <w:rPr>
          <w:rFonts w:ascii="T" w:hAnsi="T" w:cs="Simplified Arabic"/>
          <w:sz w:val="24"/>
          <w:szCs w:val="24"/>
        </w:rPr>
        <w:t xml:space="preserve"> PPP </w:t>
      </w:r>
      <w:r w:rsidRPr="005D59A7">
        <w:rPr>
          <w:rFonts w:ascii="T" w:hAnsi="T" w:cs="Simplified Arabic"/>
          <w:sz w:val="24"/>
          <w:szCs w:val="24"/>
          <w:rtl/>
        </w:rPr>
        <w:t xml:space="preserve">تميل إلى تبني تقنيات وأساليب إدارة أكثر تقدماً مقارنة بالمشاريع التقليدية، مما يسهم في تسريع الإنجاز وتحسين الأداء بنسبة تتراوح بين 15-25%. كما </w:t>
      </w:r>
      <w:r w:rsidRPr="005D59A7">
        <w:rPr>
          <w:rFonts w:ascii="T" w:hAnsi="T" w:cs="Simplified Arabic"/>
          <w:sz w:val="24"/>
          <w:szCs w:val="24"/>
          <w:rtl/>
        </w:rPr>
        <w:lastRenderedPageBreak/>
        <w:t>أشارت الدراسة إلى أن التعاقد القائم على الأداء</w:t>
      </w:r>
      <w:r w:rsidRPr="005D59A7">
        <w:rPr>
          <w:rFonts w:ascii="T" w:hAnsi="T" w:cs="Simplified Arabic"/>
          <w:sz w:val="24"/>
          <w:szCs w:val="24"/>
        </w:rPr>
        <w:t xml:space="preserve"> (Performance-Based Contracting) </w:t>
      </w:r>
      <w:r w:rsidRPr="005D59A7">
        <w:rPr>
          <w:rFonts w:ascii="T" w:hAnsi="T" w:cs="Simplified Arabic"/>
          <w:sz w:val="24"/>
          <w:szCs w:val="24"/>
          <w:rtl/>
        </w:rPr>
        <w:t>يعزز الابتكار بشكل أكبر من العقود التقليدية، لأنه يربط تعويض القطاع الخاص بتحقيق نتائج محددة بدلاً من مجرد تنفيذ مهام محددة. أوصت الدراسة بضرورة تصميم عقود</w:t>
      </w:r>
      <w:r w:rsidRPr="005D59A7">
        <w:rPr>
          <w:rFonts w:ascii="T" w:hAnsi="T" w:cs="Simplified Arabic"/>
          <w:sz w:val="24"/>
          <w:szCs w:val="24"/>
        </w:rPr>
        <w:t xml:space="preserve"> PPP </w:t>
      </w:r>
      <w:r w:rsidRPr="005D59A7">
        <w:rPr>
          <w:rFonts w:ascii="T" w:hAnsi="T" w:cs="Simplified Arabic"/>
          <w:sz w:val="24"/>
          <w:szCs w:val="24"/>
          <w:rtl/>
        </w:rPr>
        <w:t>بشكل يحفز الابتكار، مع توفير المرونة اللازمة للتكيف مع التطورات التقنية خلال فترة العقد الطويلة</w:t>
      </w:r>
      <w:r w:rsidRPr="005D59A7">
        <w:rPr>
          <w:rFonts w:ascii="T" w:hAnsi="T" w:cs="Simplified Arabic"/>
          <w:sz w:val="24"/>
          <w:szCs w:val="24"/>
        </w:rPr>
        <w:t>.</w:t>
      </w:r>
    </w:p>
    <w:p w14:paraId="7E023BAB" w14:textId="5575CC15"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قطاع الإسكان، أجرى</w:t>
      </w:r>
      <w:r w:rsidRPr="005D59A7">
        <w:rPr>
          <w:rFonts w:ascii="T" w:hAnsi="T" w:cs="Simplified Arabic"/>
          <w:sz w:val="24"/>
          <w:szCs w:val="24"/>
        </w:rPr>
        <w:t xml:space="preserve"> Iwuanyanwu,et al (2024) </w:t>
      </w:r>
      <w:r w:rsidRPr="005D59A7">
        <w:rPr>
          <w:rFonts w:ascii="T" w:hAnsi="T" w:cs="Simplified Arabic"/>
          <w:sz w:val="24"/>
          <w:szCs w:val="24"/>
          <w:rtl/>
        </w:rPr>
        <w:t>دراسة هدفت إلى استعراض وتحليل أطر</w:t>
      </w:r>
      <w:r w:rsidRPr="005D59A7">
        <w:rPr>
          <w:rFonts w:ascii="T" w:hAnsi="T" w:cs="Simplified Arabic"/>
          <w:sz w:val="24"/>
          <w:szCs w:val="24"/>
        </w:rPr>
        <w:t xml:space="preserve"> PPP </w:t>
      </w:r>
      <w:r w:rsidRPr="005D59A7">
        <w:rPr>
          <w:rFonts w:ascii="T" w:hAnsi="T" w:cs="Simplified Arabic"/>
          <w:sz w:val="24"/>
          <w:szCs w:val="24"/>
          <w:rtl/>
        </w:rPr>
        <w:t>المستخدمة في تمويل الإسكان الميسر، واستخلاص الدروس والنماذج الناجحة من مختلف دول العالم. اعتمد الباحثون على مراجعة منهجية للأدبيات وتحليل مقارن لنماذج</w:t>
      </w:r>
      <w:r w:rsidRPr="005D59A7">
        <w:rPr>
          <w:rFonts w:ascii="T" w:hAnsi="T" w:cs="Simplified Arabic"/>
          <w:sz w:val="24"/>
          <w:szCs w:val="24"/>
        </w:rPr>
        <w:t xml:space="preserve"> PPP </w:t>
      </w:r>
      <w:r w:rsidRPr="005D59A7">
        <w:rPr>
          <w:rFonts w:ascii="T" w:hAnsi="T" w:cs="Simplified Arabic"/>
          <w:sz w:val="24"/>
          <w:szCs w:val="24"/>
          <w:rtl/>
        </w:rPr>
        <w:t>في الولايات المتحدة والمملكة المتحدة والهند والبرازيل. توصلت الدراسة إلى أن دوافع الكفاءة في قطاع الإسكان تشمل الاستفادة من قدرات القطاع الخاص في التصميم والبناء والإدارة، مما يؤدي إلى تحسين جودة المساكن وتقليل زمن التسليم بنسبة تصل إلى 30-40%. كما أشارت الدراسة إلى أن المنافسة بين الشركات الخاصة تحفز على الابتكار في مواد البناء وتقنيات البناء، مما يسهم في خفض التكاليف بنسبة 15-20% وزيادة الاستدامة البيئية للمشاريع السكنية. أوضحت الدراسة أن نجاح</w:t>
      </w:r>
      <w:r w:rsidRPr="005D59A7">
        <w:rPr>
          <w:rFonts w:ascii="T" w:hAnsi="T" w:cs="Simplified Arabic"/>
          <w:sz w:val="24"/>
          <w:szCs w:val="24"/>
        </w:rPr>
        <w:t xml:space="preserve"> PPP </w:t>
      </w:r>
      <w:r w:rsidRPr="005D59A7">
        <w:rPr>
          <w:rFonts w:ascii="T" w:hAnsi="T" w:cs="Simplified Arabic"/>
          <w:sz w:val="24"/>
          <w:szCs w:val="24"/>
          <w:rtl/>
        </w:rPr>
        <w:t>في قطاع الإسكان يعتمد بشكل كبير على دعم الحكومة من خلال توفير الأراضي بأسعار مخفضة، والإعفاءات الضريبية، وضمانات القروض. أوصت الدراسة بضرورة تطوير أطر تنظيمية واضحة تحمي حقوق المستفيدين وتضمن جودة المساكن، مع تصميم آليات تمويل مبتكرة تجمع بين رأس المال الخاص والمنح الحكومية</w:t>
      </w:r>
      <w:r w:rsidRPr="005D59A7">
        <w:rPr>
          <w:rFonts w:ascii="T" w:hAnsi="T" w:cs="Simplified Arabic"/>
          <w:sz w:val="24"/>
          <w:szCs w:val="24"/>
        </w:rPr>
        <w:t>.</w:t>
      </w:r>
    </w:p>
    <w:p w14:paraId="4BD2301D" w14:textId="0172F092"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مجال التعليم، أجرى</w:t>
      </w:r>
      <w:r w:rsidRPr="005D59A7">
        <w:rPr>
          <w:rFonts w:ascii="T" w:hAnsi="T" w:cs="Simplified Arabic"/>
          <w:sz w:val="24"/>
          <w:szCs w:val="24"/>
        </w:rPr>
        <w:t xml:space="preserve"> Okolie,et al (2023) </w:t>
      </w:r>
      <w:r w:rsidRPr="005D59A7">
        <w:rPr>
          <w:rFonts w:ascii="T" w:hAnsi="T" w:cs="Simplified Arabic"/>
          <w:sz w:val="24"/>
          <w:szCs w:val="24"/>
          <w:rtl/>
        </w:rPr>
        <w:t>دراسة هدفت إلى تحليل تطبيق نموذج</w:t>
      </w:r>
      <w:r w:rsidRPr="005D59A7">
        <w:rPr>
          <w:rFonts w:ascii="T" w:hAnsi="T" w:cs="Simplified Arabic"/>
          <w:sz w:val="24"/>
          <w:szCs w:val="24"/>
        </w:rPr>
        <w:t xml:space="preserve"> PPP </w:t>
      </w:r>
      <w:r w:rsidRPr="005D59A7">
        <w:rPr>
          <w:rFonts w:ascii="T" w:hAnsi="T" w:cs="Simplified Arabic"/>
          <w:sz w:val="24"/>
          <w:szCs w:val="24"/>
          <w:rtl/>
        </w:rPr>
        <w:t>في تنفيذ برامج التعليم العالي في نيجيريا، وتحديد التحديات والفرص المرتبطة به. اعتمد الباحثون على منهجية المسح والتحليل الوصفي، مع توزيع استبيانات على 250 من القيادات الأكاديمية والإدارية في الجامعات النيجيرية. توصلت الدراسة إلى أن دوافع التمويل كانت العامل الأكثر أهمية في تبني</w:t>
      </w:r>
      <w:r w:rsidRPr="005D59A7">
        <w:rPr>
          <w:rFonts w:ascii="T" w:hAnsi="T" w:cs="Simplified Arabic"/>
          <w:sz w:val="24"/>
          <w:szCs w:val="24"/>
        </w:rPr>
        <w:t xml:space="preserve"> PPP </w:t>
      </w:r>
      <w:r w:rsidRPr="005D59A7">
        <w:rPr>
          <w:rFonts w:ascii="T" w:hAnsi="T" w:cs="Simplified Arabic"/>
          <w:sz w:val="24"/>
          <w:szCs w:val="24"/>
          <w:rtl/>
        </w:rPr>
        <w:t>في التعليم العالي النيجيري، حيث ساعدت الشراكة في سد الفجوة التمويلية الكبيرة التي تعاني منها الجامعات الحكومية. وجدت الدراسة أن</w:t>
      </w:r>
      <w:r w:rsidRPr="005D59A7">
        <w:rPr>
          <w:rFonts w:ascii="T" w:hAnsi="T" w:cs="Simplified Arabic"/>
          <w:sz w:val="24"/>
          <w:szCs w:val="24"/>
        </w:rPr>
        <w:t xml:space="preserve"> PPP </w:t>
      </w:r>
      <w:r w:rsidRPr="005D59A7">
        <w:rPr>
          <w:rFonts w:ascii="T" w:hAnsi="T" w:cs="Simplified Arabic"/>
          <w:sz w:val="24"/>
          <w:szCs w:val="24"/>
          <w:rtl/>
        </w:rPr>
        <w:t xml:space="preserve">مكن من تطوير البنية التحتية وتحسين جودة التعليم في 70% من الجامعات التي طبقت هذا النموذج، رغم محدودية الموارد العامة. كما أشارت الدراسة إلى أن الشراكات ساهمت في تحسين فرص توظيف الخريجين من خلال ربط مخرجات التعليم باحتياجات سوق العمل، مما زاد من نسبة التوظيف بنحو 25%. </w:t>
      </w:r>
      <w:r w:rsidRPr="005D59A7">
        <w:rPr>
          <w:rFonts w:ascii="T" w:hAnsi="T" w:cs="Simplified Arabic"/>
          <w:sz w:val="24"/>
          <w:szCs w:val="24"/>
          <w:rtl/>
        </w:rPr>
        <w:lastRenderedPageBreak/>
        <w:t>أوصت الدراسة بضرورة تطوير أطر قانونية واضحة تنظم علاقة الجامعات بالقطاع الخاص، مع بناء قدرات الكوادر الإدارية في الجامعات لإدارة عقود</w:t>
      </w:r>
      <w:r w:rsidRPr="005D59A7">
        <w:rPr>
          <w:rFonts w:ascii="T" w:hAnsi="T" w:cs="Simplified Arabic"/>
          <w:sz w:val="24"/>
          <w:szCs w:val="24"/>
        </w:rPr>
        <w:t xml:space="preserve"> PPP </w:t>
      </w:r>
      <w:r w:rsidRPr="005D59A7">
        <w:rPr>
          <w:rFonts w:ascii="T" w:hAnsi="T" w:cs="Simplified Arabic"/>
          <w:sz w:val="24"/>
          <w:szCs w:val="24"/>
          <w:rtl/>
        </w:rPr>
        <w:t>بكفاءة</w:t>
      </w:r>
      <w:r w:rsidRPr="005D59A7">
        <w:rPr>
          <w:rFonts w:ascii="T" w:hAnsi="T" w:cs="Simplified Arabic"/>
          <w:sz w:val="24"/>
          <w:szCs w:val="24"/>
        </w:rPr>
        <w:t>.</w:t>
      </w:r>
    </w:p>
    <w:p w14:paraId="01414571"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نماذج الشراكات بين القطاعين العام والخاص</w:t>
      </w:r>
    </w:p>
    <w:p w14:paraId="4011B39A"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تتنوع نماذج</w:t>
      </w:r>
      <w:r w:rsidRPr="005D59A7">
        <w:rPr>
          <w:rFonts w:ascii="T" w:hAnsi="T" w:cs="Simplified Arabic"/>
          <w:sz w:val="24"/>
          <w:szCs w:val="24"/>
        </w:rPr>
        <w:t xml:space="preserve"> PPP </w:t>
      </w:r>
      <w:r w:rsidRPr="005D59A7">
        <w:rPr>
          <w:rFonts w:ascii="T" w:hAnsi="T" w:cs="Simplified Arabic"/>
          <w:sz w:val="24"/>
          <w:szCs w:val="24"/>
          <w:rtl/>
        </w:rPr>
        <w:t>وفقاً لنطاق مسؤوليات القطاع الخاص ودرجة تحمله للمخاطر. من أهم هذه النماذج نموذج التشغيل والصيانة</w:t>
      </w:r>
      <w:r w:rsidRPr="005D59A7">
        <w:rPr>
          <w:rFonts w:ascii="T" w:hAnsi="T" w:cs="Simplified Arabic"/>
          <w:sz w:val="24"/>
          <w:szCs w:val="24"/>
        </w:rPr>
        <w:t xml:space="preserve"> (O&amp;M)</w:t>
      </w:r>
      <w:r w:rsidRPr="005D59A7">
        <w:rPr>
          <w:rFonts w:ascii="T" w:hAnsi="T" w:cs="Simplified Arabic"/>
          <w:sz w:val="24"/>
          <w:szCs w:val="24"/>
          <w:rtl/>
        </w:rPr>
        <w:t>، نموذج البناء والتشغيل والتحويل</w:t>
      </w:r>
      <w:r w:rsidRPr="005D59A7">
        <w:rPr>
          <w:rFonts w:ascii="T" w:hAnsi="T" w:cs="Simplified Arabic"/>
          <w:sz w:val="24"/>
          <w:szCs w:val="24"/>
        </w:rPr>
        <w:t xml:space="preserve"> (BOT)</w:t>
      </w:r>
      <w:r w:rsidRPr="005D59A7">
        <w:rPr>
          <w:rFonts w:ascii="T" w:hAnsi="T" w:cs="Simplified Arabic"/>
          <w:sz w:val="24"/>
          <w:szCs w:val="24"/>
          <w:rtl/>
        </w:rPr>
        <w:t>، نموذج البناء والتملك والتشغيل والتحويل</w:t>
      </w:r>
      <w:r w:rsidRPr="005D59A7">
        <w:rPr>
          <w:rFonts w:ascii="T" w:hAnsi="T" w:cs="Simplified Arabic"/>
          <w:sz w:val="24"/>
          <w:szCs w:val="24"/>
        </w:rPr>
        <w:t xml:space="preserve"> (BOOT)</w:t>
      </w:r>
      <w:r w:rsidRPr="005D59A7">
        <w:rPr>
          <w:rFonts w:ascii="T" w:hAnsi="T" w:cs="Simplified Arabic"/>
          <w:sz w:val="24"/>
          <w:szCs w:val="24"/>
          <w:rtl/>
        </w:rPr>
        <w:t>، نموذج التصميم والبناء والتمويل والصيانة</w:t>
      </w:r>
      <w:r w:rsidRPr="005D59A7">
        <w:rPr>
          <w:rFonts w:ascii="T" w:hAnsi="T" w:cs="Simplified Arabic"/>
          <w:sz w:val="24"/>
          <w:szCs w:val="24"/>
        </w:rPr>
        <w:t xml:space="preserve"> (DBFM)</w:t>
      </w:r>
      <w:r w:rsidRPr="005D59A7">
        <w:rPr>
          <w:rFonts w:ascii="T" w:hAnsi="T" w:cs="Simplified Arabic"/>
          <w:sz w:val="24"/>
          <w:szCs w:val="24"/>
          <w:rtl/>
        </w:rPr>
        <w:t>، نموذج الامتياز</w:t>
      </w:r>
      <w:r w:rsidRPr="005D59A7">
        <w:rPr>
          <w:rFonts w:ascii="T" w:hAnsi="T" w:cs="Simplified Arabic"/>
          <w:sz w:val="24"/>
          <w:szCs w:val="24"/>
        </w:rPr>
        <w:t xml:space="preserve"> (Concession)</w:t>
      </w:r>
      <w:r w:rsidRPr="005D59A7">
        <w:rPr>
          <w:rFonts w:ascii="T" w:hAnsi="T" w:cs="Simplified Arabic"/>
          <w:sz w:val="24"/>
          <w:szCs w:val="24"/>
          <w:rtl/>
        </w:rPr>
        <w:t>، ونموذج الشراكة المؤسسية</w:t>
      </w:r>
      <w:r w:rsidRPr="005D59A7">
        <w:rPr>
          <w:rFonts w:ascii="T" w:hAnsi="T" w:cs="Simplified Arabic"/>
          <w:sz w:val="24"/>
          <w:szCs w:val="24"/>
        </w:rPr>
        <w:t xml:space="preserve"> (Institutional PPP).</w:t>
      </w:r>
    </w:p>
    <w:p w14:paraId="3844A23A" w14:textId="70AE3189"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هذا السياق، أجرت دراسة</w:t>
      </w:r>
      <w:r w:rsidRPr="005D59A7">
        <w:rPr>
          <w:rFonts w:ascii="T" w:hAnsi="T" w:cs="Simplified Arabic"/>
          <w:sz w:val="24"/>
          <w:szCs w:val="24"/>
        </w:rPr>
        <w:t xml:space="preserve"> Casady, et al (2024) </w:t>
      </w:r>
      <w:r w:rsidRPr="005D59A7">
        <w:rPr>
          <w:rFonts w:ascii="T" w:hAnsi="T" w:cs="Simplified Arabic"/>
          <w:sz w:val="24"/>
          <w:szCs w:val="24"/>
          <w:rtl/>
        </w:rPr>
        <w:t>تحليلاً مقارناً لنماذج</w:t>
      </w:r>
      <w:r w:rsidRPr="005D59A7">
        <w:rPr>
          <w:rFonts w:ascii="T" w:hAnsi="T" w:cs="Simplified Arabic"/>
          <w:sz w:val="24"/>
          <w:szCs w:val="24"/>
        </w:rPr>
        <w:t xml:space="preserve"> PPP </w:t>
      </w:r>
      <w:r w:rsidRPr="005D59A7">
        <w:rPr>
          <w:rFonts w:ascii="T" w:hAnsi="T" w:cs="Simplified Arabic"/>
          <w:sz w:val="24"/>
          <w:szCs w:val="24"/>
          <w:rtl/>
        </w:rPr>
        <w:t>المستخدمة في مشاريع البنية التحتية الخضراء. توصلت الدراسة إلى أن نموذج</w:t>
      </w:r>
      <w:r w:rsidRPr="005D59A7">
        <w:rPr>
          <w:rFonts w:ascii="T" w:hAnsi="T" w:cs="Simplified Arabic"/>
          <w:sz w:val="24"/>
          <w:szCs w:val="24"/>
        </w:rPr>
        <w:t xml:space="preserve"> BOOT </w:t>
      </w:r>
      <w:r w:rsidRPr="005D59A7">
        <w:rPr>
          <w:rFonts w:ascii="T" w:hAnsi="T" w:cs="Simplified Arabic"/>
          <w:sz w:val="24"/>
          <w:szCs w:val="24"/>
          <w:rtl/>
        </w:rPr>
        <w:t>يوفر حوافز أقوى للقطاع الخاص للاستثمار في الجودة والصيانة، حيث يستفيد من قيمة الأصول المتبقية بعد انتهاء فترة التشغيل. كما أشارت الدراسة إلى أن هذا النموذج مناسب بشكل خاص لمشاريع الطاقة المتجددة ومحطات معالجة المياه، التي تتطلب استثمارات أولية كبيرة وتقنيات متخصصة. وجدت الدراسة أن مشاريع</w:t>
      </w:r>
      <w:r w:rsidRPr="005D59A7">
        <w:rPr>
          <w:rFonts w:ascii="T" w:hAnsi="T" w:cs="Simplified Arabic"/>
          <w:sz w:val="24"/>
          <w:szCs w:val="24"/>
        </w:rPr>
        <w:t xml:space="preserve"> BOOT </w:t>
      </w:r>
      <w:r w:rsidRPr="005D59A7">
        <w:rPr>
          <w:rFonts w:ascii="T" w:hAnsi="T" w:cs="Simplified Arabic"/>
          <w:sz w:val="24"/>
          <w:szCs w:val="24"/>
          <w:rtl/>
        </w:rPr>
        <w:t>في قطاع الطاقة المتجددة حققت معدلات نجاح أعلى من مشاريع</w:t>
      </w:r>
      <w:r w:rsidRPr="005D59A7">
        <w:rPr>
          <w:rFonts w:ascii="T" w:hAnsi="T" w:cs="Simplified Arabic"/>
          <w:sz w:val="24"/>
          <w:szCs w:val="24"/>
        </w:rPr>
        <w:t xml:space="preserve"> BOT</w:t>
      </w:r>
      <w:r w:rsidRPr="005D59A7">
        <w:rPr>
          <w:rFonts w:ascii="T" w:hAnsi="T" w:cs="Simplified Arabic"/>
          <w:sz w:val="24"/>
          <w:szCs w:val="24"/>
          <w:rtl/>
        </w:rPr>
        <w:t>، حيث بلغت نسبة نجاحها 85% مقابل 70% لمشاريع</w:t>
      </w:r>
      <w:r w:rsidRPr="005D59A7">
        <w:rPr>
          <w:rFonts w:ascii="T" w:hAnsi="T" w:cs="Simplified Arabic"/>
          <w:sz w:val="24"/>
          <w:szCs w:val="24"/>
        </w:rPr>
        <w:t xml:space="preserve"> BOT. </w:t>
      </w:r>
      <w:r w:rsidRPr="005D59A7">
        <w:rPr>
          <w:rFonts w:ascii="T" w:hAnsi="T" w:cs="Simplified Arabic"/>
          <w:sz w:val="24"/>
          <w:szCs w:val="24"/>
          <w:rtl/>
        </w:rPr>
        <w:t>أوصت الدراسة بضرورة تصميم عقود</w:t>
      </w:r>
      <w:r w:rsidRPr="005D59A7">
        <w:rPr>
          <w:rFonts w:ascii="T" w:hAnsi="T" w:cs="Simplified Arabic"/>
          <w:sz w:val="24"/>
          <w:szCs w:val="24"/>
        </w:rPr>
        <w:t xml:space="preserve"> BOOT </w:t>
      </w:r>
      <w:r w:rsidRPr="005D59A7">
        <w:rPr>
          <w:rFonts w:ascii="T" w:hAnsi="T" w:cs="Simplified Arabic"/>
          <w:sz w:val="24"/>
          <w:szCs w:val="24"/>
          <w:rtl/>
        </w:rPr>
        <w:t>بشكل يوازن بين حاجة القطاع الخاص لتحقيق عوائد معقولة وحماية المصلحة العامة، مع تضمين آليات مراجعة دورية للأسعار والتكاليف</w:t>
      </w:r>
      <w:r w:rsidRPr="005D59A7">
        <w:rPr>
          <w:rFonts w:ascii="T" w:hAnsi="T" w:cs="Simplified Arabic"/>
          <w:sz w:val="24"/>
          <w:szCs w:val="24"/>
        </w:rPr>
        <w:t>.</w:t>
      </w:r>
    </w:p>
    <w:p w14:paraId="5919688E" w14:textId="2F500EEE"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تناولت دراسة</w:t>
      </w:r>
      <w:r w:rsidRPr="005D59A7">
        <w:rPr>
          <w:rFonts w:ascii="T" w:hAnsi="T" w:cs="Simplified Arabic"/>
          <w:sz w:val="24"/>
          <w:szCs w:val="24"/>
        </w:rPr>
        <w:t xml:space="preserve"> Quan, Solheim (2023) </w:t>
      </w:r>
      <w:r w:rsidRPr="005D59A7">
        <w:rPr>
          <w:rFonts w:ascii="T" w:hAnsi="T" w:cs="Simplified Arabic"/>
          <w:sz w:val="24"/>
          <w:szCs w:val="24"/>
          <w:rtl/>
        </w:rPr>
        <w:t>تحليل نماذج</w:t>
      </w:r>
      <w:r w:rsidRPr="005D59A7">
        <w:rPr>
          <w:rFonts w:ascii="T" w:hAnsi="T" w:cs="Simplified Arabic"/>
          <w:sz w:val="24"/>
          <w:szCs w:val="24"/>
        </w:rPr>
        <w:t xml:space="preserve"> PPP </w:t>
      </w:r>
      <w:r w:rsidRPr="005D59A7">
        <w:rPr>
          <w:rFonts w:ascii="T" w:hAnsi="T" w:cs="Simplified Arabic"/>
          <w:sz w:val="24"/>
          <w:szCs w:val="24"/>
          <w:rtl/>
        </w:rPr>
        <w:t>المناسبة لمشاريع المدن الذكية. توصلت الدراسة إلى أن نموذج</w:t>
      </w:r>
      <w:r w:rsidRPr="005D59A7">
        <w:rPr>
          <w:rFonts w:ascii="T" w:hAnsi="T" w:cs="Simplified Arabic"/>
          <w:sz w:val="24"/>
          <w:szCs w:val="24"/>
        </w:rPr>
        <w:t xml:space="preserve"> DBFM </w:t>
      </w:r>
      <w:r w:rsidRPr="005D59A7">
        <w:rPr>
          <w:rFonts w:ascii="T" w:hAnsi="T" w:cs="Simplified Arabic"/>
          <w:sz w:val="24"/>
          <w:szCs w:val="24"/>
          <w:rtl/>
        </w:rPr>
        <w:t>هو الأكثر شيوعاً في مشاريع المدن الذكية، حيث يتطلب التصميم والبناء خبرات تقنية متخصصة، بينما تبقى عمليات التشغيل اليومية ضمن مسؤولية البلدية. كما أشارت الدراسة إلى أن هذا النموذج يتيح للقطاع العام الاستفادة من خبرات القطاع الخاص في التصميم والبناء، مع الحفاظ على السيطرة على عمليات التشغيل الحيوية. أوضحت الدراسة أن مشاريع</w:t>
      </w:r>
      <w:r w:rsidRPr="005D59A7">
        <w:rPr>
          <w:rFonts w:ascii="T" w:hAnsi="T" w:cs="Simplified Arabic"/>
          <w:sz w:val="24"/>
          <w:szCs w:val="24"/>
        </w:rPr>
        <w:t xml:space="preserve"> DBFM </w:t>
      </w:r>
      <w:r w:rsidRPr="005D59A7">
        <w:rPr>
          <w:rFonts w:ascii="T" w:hAnsi="T" w:cs="Simplified Arabic"/>
          <w:sz w:val="24"/>
          <w:szCs w:val="24"/>
          <w:rtl/>
        </w:rPr>
        <w:t xml:space="preserve">في المدن الذكية حققت نتائج أفضل في مجالات كفاءة الطاقة وإدارة المرور وتحسين جودة الحياة، مقارنة بالمشاريع المنفذة </w:t>
      </w:r>
      <w:r w:rsidRPr="005D59A7">
        <w:rPr>
          <w:rFonts w:ascii="T" w:hAnsi="T" w:cs="Simplified Arabic"/>
          <w:sz w:val="24"/>
          <w:szCs w:val="24"/>
          <w:rtl/>
        </w:rPr>
        <w:lastRenderedPageBreak/>
        <w:t>بالطرق التقليدية. أوصت الدراسة بضرورة تطوير مؤشرات أداء خاصة بالمدن الذكية لقياس نجاح</w:t>
      </w:r>
      <w:r w:rsidRPr="005D59A7">
        <w:rPr>
          <w:rFonts w:ascii="T" w:hAnsi="T" w:cs="Simplified Arabic"/>
          <w:sz w:val="24"/>
          <w:szCs w:val="24"/>
        </w:rPr>
        <w:t xml:space="preserve"> PPP</w:t>
      </w:r>
      <w:r w:rsidRPr="005D59A7">
        <w:rPr>
          <w:rFonts w:ascii="T" w:hAnsi="T" w:cs="Simplified Arabic"/>
          <w:sz w:val="24"/>
          <w:szCs w:val="24"/>
          <w:rtl/>
        </w:rPr>
        <w:t>، مع التركيز على مؤشرات الابتكار والاستدامة والمرونة</w:t>
      </w:r>
      <w:r w:rsidRPr="005D59A7">
        <w:rPr>
          <w:rFonts w:ascii="T" w:hAnsi="T" w:cs="Simplified Arabic"/>
          <w:sz w:val="24"/>
          <w:szCs w:val="24"/>
        </w:rPr>
        <w:t>.</w:t>
      </w:r>
    </w:p>
    <w:p w14:paraId="5834B479"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أجرى</w:t>
      </w:r>
      <w:r w:rsidRPr="005D59A7">
        <w:rPr>
          <w:rFonts w:ascii="T" w:hAnsi="T" w:cs="Simplified Arabic"/>
          <w:sz w:val="24"/>
          <w:szCs w:val="24"/>
        </w:rPr>
        <w:t xml:space="preserve"> Akinsulire et al. (2024) </w:t>
      </w:r>
      <w:r w:rsidRPr="005D59A7">
        <w:rPr>
          <w:rFonts w:ascii="T" w:hAnsi="T" w:cs="Simplified Arabic"/>
          <w:sz w:val="24"/>
          <w:szCs w:val="24"/>
          <w:rtl/>
        </w:rPr>
        <w:t>تحليلاً مقارناً لنماذج</w:t>
      </w:r>
      <w:r w:rsidRPr="005D59A7">
        <w:rPr>
          <w:rFonts w:ascii="T" w:hAnsi="T" w:cs="Simplified Arabic"/>
          <w:sz w:val="24"/>
          <w:szCs w:val="24"/>
        </w:rPr>
        <w:t xml:space="preserve"> PPP </w:t>
      </w:r>
      <w:r w:rsidRPr="005D59A7">
        <w:rPr>
          <w:rFonts w:ascii="T" w:hAnsi="T" w:cs="Simplified Arabic"/>
          <w:sz w:val="24"/>
          <w:szCs w:val="24"/>
          <w:rtl/>
        </w:rPr>
        <w:t>في قطاع الإسكان الميسر. توصلت الدراسة إلى أن نموذج الامتياز</w:t>
      </w:r>
      <w:r w:rsidRPr="005D59A7">
        <w:rPr>
          <w:rFonts w:ascii="T" w:hAnsi="T" w:cs="Simplified Arabic"/>
          <w:sz w:val="24"/>
          <w:szCs w:val="24"/>
        </w:rPr>
        <w:t xml:space="preserve"> (Concession) </w:t>
      </w:r>
      <w:r w:rsidRPr="005D59A7">
        <w:rPr>
          <w:rFonts w:ascii="T" w:hAnsi="T" w:cs="Simplified Arabic"/>
          <w:sz w:val="24"/>
          <w:szCs w:val="24"/>
          <w:rtl/>
        </w:rPr>
        <w:t>هو الأكثر استخداماً في هذا القطاع، حيث يسمح للقطاع الخاص بتشغيل واستثمار المشاريع السكنية لفترة طويلة (عادة 30-50 سنة) مقابل دفع رسوم للحكومة. وجدت الدراسة أن هذا النموذج نجح في توفير ملايين الوحدات السكنية الميسرة في دول مثل الهند والبرازيل، حيث بلغ عدد الوحدات المنفذة عبر هذا النموذج أكثر من 5 ملايين وحدة خلال العقد الماضي. كما أشارت الدراسة إلى أن نجاح نموذج الامتياز في قطاع الإسكان يعتمد على توفير الحكومة للأراضي بأسعار مخفضة، وتقديم حوافز ضريبية للمطورين، وضمان استقرار السياسات السكنية. أوصت الدراسة بضرورة تطوير أطر تنظيمية تحمي حقوق المستأجرين وتضمن جودة المساكن، مع تصميم آليات رقابة مستقلة لمراقبة أداء الشركاء الخاصين</w:t>
      </w:r>
      <w:r w:rsidRPr="005D59A7">
        <w:rPr>
          <w:rFonts w:ascii="T" w:hAnsi="T" w:cs="Simplified Arabic"/>
          <w:sz w:val="24"/>
          <w:szCs w:val="24"/>
        </w:rPr>
        <w:t>.</w:t>
      </w:r>
    </w:p>
    <w:p w14:paraId="063B980B"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 عوامل نجاح وفشل الشراكات بين القطاعين العام والخاص</w:t>
      </w:r>
    </w:p>
    <w:p w14:paraId="37448795"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استخلصت الدراسات التحليلية مجموعة من العوامل الحاسمة لنجاح أو فشل مشاريع</w:t>
      </w:r>
      <w:r w:rsidRPr="005D59A7">
        <w:rPr>
          <w:rFonts w:ascii="T" w:hAnsi="T" w:cs="Simplified Arabic"/>
          <w:sz w:val="24"/>
          <w:szCs w:val="24"/>
        </w:rPr>
        <w:t xml:space="preserve"> PPP</w:t>
      </w:r>
      <w:r w:rsidRPr="005D59A7">
        <w:rPr>
          <w:rFonts w:ascii="T" w:hAnsi="T" w:cs="Simplified Arabic"/>
          <w:sz w:val="24"/>
          <w:szCs w:val="24"/>
          <w:rtl/>
        </w:rPr>
        <w:t>، تتعلق بالإطار القانوني والتنظيمي، والشفافية والمساءلة، وتوزيع المخاطر، والقدرات المؤسسية، والالتزام طويل الأجل، وتصميم حوافز فعالة</w:t>
      </w:r>
      <w:r w:rsidRPr="005D59A7">
        <w:rPr>
          <w:rFonts w:ascii="T" w:hAnsi="T" w:cs="Simplified Arabic"/>
          <w:sz w:val="24"/>
          <w:szCs w:val="24"/>
        </w:rPr>
        <w:t>.</w:t>
      </w:r>
    </w:p>
    <w:p w14:paraId="6409804F" w14:textId="42A29C6B"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مجال تسوية المنازعات، أجرى جراح (2025) دراسة هدفت إلى تحليل دور التحكيم في تسوية المنازعات الناشئة عن عقود</w:t>
      </w:r>
      <w:r w:rsidRPr="005D59A7">
        <w:rPr>
          <w:rFonts w:ascii="T" w:hAnsi="T" w:cs="Simplified Arabic"/>
          <w:sz w:val="24"/>
          <w:szCs w:val="24"/>
        </w:rPr>
        <w:t xml:space="preserve"> PPP </w:t>
      </w:r>
      <w:r w:rsidRPr="005D59A7">
        <w:rPr>
          <w:rFonts w:ascii="T" w:hAnsi="T" w:cs="Simplified Arabic"/>
          <w:sz w:val="24"/>
          <w:szCs w:val="24"/>
          <w:rtl/>
        </w:rPr>
        <w:t>في الأردن، وتقييم فعالية الإطار القانوني الحالي. اعتمد الباحثون على المنهج التحليلي المقارن، مع تحليل نصوص القوانين الأردنية والمقارنة مع القوانين الدولية والنماذج الاسترشادية. توصلت الدراسة إلى أن وضوح قواعد التحكيم وتسوية المنازعات في عقود</w:t>
      </w:r>
      <w:r w:rsidRPr="005D59A7">
        <w:rPr>
          <w:rFonts w:ascii="T" w:hAnsi="T" w:cs="Simplified Arabic"/>
          <w:sz w:val="24"/>
          <w:szCs w:val="24"/>
        </w:rPr>
        <w:t xml:space="preserve"> PPP </w:t>
      </w:r>
      <w:r w:rsidRPr="005D59A7">
        <w:rPr>
          <w:rFonts w:ascii="T" w:hAnsi="T" w:cs="Simplified Arabic"/>
          <w:sz w:val="24"/>
          <w:szCs w:val="24"/>
          <w:rtl/>
        </w:rPr>
        <w:t>يعد من أهم عوامل نجاح الشراكة، حيث يطمئن المستثمرين ويشجعهم على الاستثمار. كما أشارت الدراسة إلى أن غياب آليات فعالة لتسوية المنازعات كان سبباً رئيسياً في فشل العديد من مشاريع</w:t>
      </w:r>
      <w:r w:rsidRPr="005D59A7">
        <w:rPr>
          <w:rFonts w:ascii="T" w:hAnsi="T" w:cs="Simplified Arabic"/>
          <w:sz w:val="24"/>
          <w:szCs w:val="24"/>
        </w:rPr>
        <w:t xml:space="preserve"> PPP</w:t>
      </w:r>
      <w:r w:rsidRPr="005D59A7">
        <w:rPr>
          <w:rFonts w:ascii="T" w:hAnsi="T" w:cs="Simplified Arabic"/>
          <w:sz w:val="24"/>
          <w:szCs w:val="24"/>
          <w:rtl/>
        </w:rPr>
        <w:t xml:space="preserve">، حيث بلغت نسبة المشاريع التي واجهت نزاعات تعاقدية 35% من إجمالي المشاريع المنفذة في المنطقة العربية خلال العقد الماضي. أوصت الدراسة </w:t>
      </w:r>
      <w:r w:rsidRPr="005D59A7">
        <w:rPr>
          <w:rFonts w:ascii="T" w:hAnsi="T" w:cs="Simplified Arabic"/>
          <w:sz w:val="24"/>
          <w:szCs w:val="24"/>
          <w:rtl/>
        </w:rPr>
        <w:lastRenderedPageBreak/>
        <w:t>بضرورة تضمين عقود</w:t>
      </w:r>
      <w:r w:rsidRPr="005D59A7">
        <w:rPr>
          <w:rFonts w:ascii="T" w:hAnsi="T" w:cs="Simplified Arabic"/>
          <w:sz w:val="24"/>
          <w:szCs w:val="24"/>
        </w:rPr>
        <w:t xml:space="preserve"> PPP </w:t>
      </w:r>
      <w:r w:rsidRPr="005D59A7">
        <w:rPr>
          <w:rFonts w:ascii="T" w:hAnsi="T" w:cs="Simplified Arabic"/>
          <w:sz w:val="24"/>
          <w:szCs w:val="24"/>
          <w:rtl/>
        </w:rPr>
        <w:t>بنوداً واضحة للتحكيم، مع اعتماد قواعد إجرائية مرنة تسمح بحل النزاعات بشكل سريع ومنخفض التكلفة</w:t>
      </w:r>
      <w:r w:rsidRPr="005D59A7">
        <w:rPr>
          <w:rFonts w:ascii="T" w:hAnsi="T" w:cs="Simplified Arabic"/>
          <w:sz w:val="24"/>
          <w:szCs w:val="24"/>
        </w:rPr>
        <w:t>.</w:t>
      </w:r>
    </w:p>
    <w:p w14:paraId="2E87B4C7" w14:textId="7A735083"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من جهة أخرى، أجرى القطان (2026) دراسة </w:t>
      </w:r>
      <w:r w:rsidR="00BD0DA0" w:rsidRPr="005D59A7">
        <w:rPr>
          <w:rFonts w:ascii="T" w:hAnsi="T" w:cs="Simplified Arabic"/>
          <w:sz w:val="24"/>
          <w:szCs w:val="24"/>
          <w:rtl/>
        </w:rPr>
        <w:t>هدفت</w:t>
      </w:r>
      <w:r w:rsidRPr="005D59A7">
        <w:rPr>
          <w:rFonts w:ascii="T" w:hAnsi="T" w:cs="Simplified Arabic"/>
          <w:sz w:val="24"/>
          <w:szCs w:val="24"/>
          <w:rtl/>
        </w:rPr>
        <w:t xml:space="preserve"> إلى تحليل مفهوم التوازن المالي في عقود</w:t>
      </w:r>
      <w:r w:rsidRPr="005D59A7">
        <w:rPr>
          <w:rFonts w:ascii="T" w:hAnsi="T" w:cs="Simplified Arabic"/>
          <w:sz w:val="24"/>
          <w:szCs w:val="24"/>
        </w:rPr>
        <w:t xml:space="preserve"> PPP</w:t>
      </w:r>
      <w:r w:rsidRPr="005D59A7">
        <w:rPr>
          <w:rFonts w:ascii="T" w:hAnsi="T" w:cs="Simplified Arabic"/>
          <w:sz w:val="24"/>
          <w:szCs w:val="24"/>
          <w:rtl/>
        </w:rPr>
        <w:t>، وتحديد المبادئ الحاكمة لتحقيقه في ضوء التطبيقات المصرية والكويتية. اعتمد الباحثون على المنهج التحليلي المقارن، مع دراسة نماذج عقود</w:t>
      </w:r>
      <w:r w:rsidRPr="005D59A7">
        <w:rPr>
          <w:rFonts w:ascii="T" w:hAnsi="T" w:cs="Simplified Arabic"/>
          <w:sz w:val="24"/>
          <w:szCs w:val="24"/>
        </w:rPr>
        <w:t xml:space="preserve"> PPP </w:t>
      </w:r>
      <w:r w:rsidRPr="005D59A7">
        <w:rPr>
          <w:rFonts w:ascii="T" w:hAnsi="T" w:cs="Simplified Arabic"/>
          <w:sz w:val="24"/>
          <w:szCs w:val="24"/>
          <w:rtl/>
        </w:rPr>
        <w:t>في مصر والكويت وتحليل أحكام القضاء والإفتاء المتعلقة بها. توصلت الدراسة إلى أن تحقيق التوازن المالي في عقود</w:t>
      </w:r>
      <w:r w:rsidRPr="005D59A7">
        <w:rPr>
          <w:rFonts w:ascii="T" w:hAnsi="T" w:cs="Simplified Arabic"/>
          <w:sz w:val="24"/>
          <w:szCs w:val="24"/>
        </w:rPr>
        <w:t xml:space="preserve"> PPP </w:t>
      </w:r>
      <w:r w:rsidRPr="005D59A7">
        <w:rPr>
          <w:rFonts w:ascii="T" w:hAnsi="T" w:cs="Simplified Arabic"/>
          <w:sz w:val="24"/>
          <w:szCs w:val="24"/>
          <w:rtl/>
        </w:rPr>
        <w:t>يتطلب توزيعاً دقيقاً للمخاطر المالية والتشغيلية بين القطاعين العام والخاص، مع وضع آليات واضحة لإعادة التفاوض في حالة حدوث تغييرات غير متوقعة. كما أشارت الدراسة إلى أن غياب آليات إعادة التفاوض المنظمة كان سبباً في 40% من حالات فشل مشاريع</w:t>
      </w:r>
      <w:r w:rsidRPr="005D59A7">
        <w:rPr>
          <w:rFonts w:ascii="T" w:hAnsi="T" w:cs="Simplified Arabic"/>
          <w:sz w:val="24"/>
          <w:szCs w:val="24"/>
        </w:rPr>
        <w:t xml:space="preserve"> PPP </w:t>
      </w:r>
      <w:r w:rsidRPr="005D59A7">
        <w:rPr>
          <w:rFonts w:ascii="T" w:hAnsi="T" w:cs="Simplified Arabic"/>
          <w:sz w:val="24"/>
          <w:szCs w:val="24"/>
          <w:rtl/>
        </w:rPr>
        <w:t>أو إعادة هيكلتها. أوصت الدراسة بضرورة تضمين عقود</w:t>
      </w:r>
      <w:r w:rsidRPr="005D59A7">
        <w:rPr>
          <w:rFonts w:ascii="T" w:hAnsi="T" w:cs="Simplified Arabic"/>
          <w:sz w:val="24"/>
          <w:szCs w:val="24"/>
        </w:rPr>
        <w:t xml:space="preserve"> PPP </w:t>
      </w:r>
      <w:r w:rsidRPr="005D59A7">
        <w:rPr>
          <w:rFonts w:ascii="T" w:hAnsi="T" w:cs="Simplified Arabic"/>
          <w:sz w:val="24"/>
          <w:szCs w:val="24"/>
          <w:rtl/>
        </w:rPr>
        <w:t>بنوداً تحدد بوضوح حالات إعادة التفاوض والإجراءات المتبعة، مع اعتماد مبدأ "الظروف الطارئة</w:t>
      </w:r>
      <w:r w:rsidRPr="005D59A7">
        <w:rPr>
          <w:rFonts w:ascii="T" w:hAnsi="T" w:cs="Simplified Arabic"/>
          <w:sz w:val="24"/>
          <w:szCs w:val="24"/>
        </w:rPr>
        <w:t xml:space="preserve">" (Hardship) </w:t>
      </w:r>
      <w:r w:rsidRPr="005D59A7">
        <w:rPr>
          <w:rFonts w:ascii="T" w:hAnsi="T" w:cs="Simplified Arabic"/>
          <w:sz w:val="24"/>
          <w:szCs w:val="24"/>
          <w:rtl/>
        </w:rPr>
        <w:t>كأساس لتعديل شروط العقد</w:t>
      </w:r>
      <w:r w:rsidRPr="005D59A7">
        <w:rPr>
          <w:rFonts w:ascii="T" w:hAnsi="T" w:cs="Simplified Arabic"/>
          <w:sz w:val="24"/>
          <w:szCs w:val="24"/>
        </w:rPr>
        <w:t>.</w:t>
      </w:r>
    </w:p>
    <w:p w14:paraId="50E178AC" w14:textId="1256762A"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كما أجرى الجعافره (2023) </w:t>
      </w:r>
      <w:r w:rsidR="00BD0DA0" w:rsidRPr="005D59A7">
        <w:rPr>
          <w:rFonts w:ascii="T" w:hAnsi="T" w:cs="Simplified Arabic"/>
          <w:sz w:val="24"/>
          <w:szCs w:val="24"/>
          <w:rtl/>
        </w:rPr>
        <w:t>دراسة</w:t>
      </w:r>
      <w:r w:rsidRPr="005D59A7">
        <w:rPr>
          <w:rFonts w:ascii="T" w:hAnsi="T" w:cs="Simplified Arabic"/>
          <w:sz w:val="24"/>
          <w:szCs w:val="24"/>
          <w:rtl/>
        </w:rPr>
        <w:t xml:space="preserve"> هدفت</w:t>
      </w:r>
      <w:r w:rsidR="00BD0DA0" w:rsidRPr="005D59A7">
        <w:rPr>
          <w:rFonts w:ascii="T" w:hAnsi="T" w:cs="Simplified Arabic"/>
          <w:sz w:val="24"/>
          <w:szCs w:val="24"/>
          <w:rtl/>
        </w:rPr>
        <w:t xml:space="preserve"> </w:t>
      </w:r>
      <w:r w:rsidRPr="005D59A7">
        <w:rPr>
          <w:rFonts w:ascii="T" w:hAnsi="T" w:cs="Simplified Arabic"/>
          <w:sz w:val="24"/>
          <w:szCs w:val="24"/>
          <w:rtl/>
        </w:rPr>
        <w:t>إلى تحليل واقع</w:t>
      </w:r>
      <w:r w:rsidRPr="005D59A7">
        <w:rPr>
          <w:rFonts w:ascii="T" w:hAnsi="T" w:cs="Simplified Arabic"/>
          <w:sz w:val="24"/>
          <w:szCs w:val="24"/>
        </w:rPr>
        <w:t xml:space="preserve"> PPP </w:t>
      </w:r>
      <w:r w:rsidRPr="005D59A7">
        <w:rPr>
          <w:rFonts w:ascii="T" w:hAnsi="T" w:cs="Simplified Arabic"/>
          <w:sz w:val="24"/>
          <w:szCs w:val="24"/>
          <w:rtl/>
        </w:rPr>
        <w:t>في البلديات الأردنية من منظور تحصيل الضرائب والإيرادات. اعتمد الباحثون على منهجية دراسة الحالة، مع تحليل بيانات من 15 بلدية أردنية طبقت نماذج</w:t>
      </w:r>
      <w:r w:rsidRPr="005D59A7">
        <w:rPr>
          <w:rFonts w:ascii="T" w:hAnsi="T" w:cs="Simplified Arabic"/>
          <w:sz w:val="24"/>
          <w:szCs w:val="24"/>
        </w:rPr>
        <w:t xml:space="preserve"> PPP </w:t>
      </w:r>
      <w:r w:rsidRPr="005D59A7">
        <w:rPr>
          <w:rFonts w:ascii="T" w:hAnsi="T" w:cs="Simplified Arabic"/>
          <w:sz w:val="24"/>
          <w:szCs w:val="24"/>
          <w:rtl/>
        </w:rPr>
        <w:t>في تحصيل الضرائب العقارية ورسوم الخدمات. توصلت الدراسة إلى أن الشفافية في تحصيل الإيرادات وتوزيعها تعزز ثقة المستثمرين والجمهور في نموذج الشراكة، حيث ساهمت</w:t>
      </w:r>
      <w:r w:rsidRPr="005D59A7">
        <w:rPr>
          <w:rFonts w:ascii="T" w:hAnsi="T" w:cs="Simplified Arabic"/>
          <w:sz w:val="24"/>
          <w:szCs w:val="24"/>
        </w:rPr>
        <w:t xml:space="preserve"> PPP </w:t>
      </w:r>
      <w:r w:rsidRPr="005D59A7">
        <w:rPr>
          <w:rFonts w:ascii="T" w:hAnsi="T" w:cs="Simplified Arabic"/>
          <w:sz w:val="24"/>
          <w:szCs w:val="24"/>
          <w:rtl/>
        </w:rPr>
        <w:t>في زيادة كفاءة التحصيل الضريبي بنسبة 25-35% في البلديات التي طبقت هذا النموذج. كما أشارت الدراسة إلى أن ضعف الرقابة والإشراف على أداء الشركاء الخاصين أدى في بعض الحالات إلى تدهور جودة الخدمة وزيادة شكاوى المواطنين. أوصت الدراسة بضرورة تطوير أنظمة رقابة مستقلة لمراقبة أداء الشركاء الخاصين في تحصيل الإيرادات البلدية، مع إنشاء آليات شفافة للإبلاغ عن الأداء المالي للشراكة</w:t>
      </w:r>
      <w:r w:rsidRPr="005D59A7">
        <w:rPr>
          <w:rFonts w:ascii="T" w:hAnsi="T" w:cs="Simplified Arabic"/>
          <w:sz w:val="24"/>
          <w:szCs w:val="24"/>
        </w:rPr>
        <w:t>.</w:t>
      </w:r>
    </w:p>
    <w:p w14:paraId="3512DC36"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خامساً: التحديات التي تواجه الشراكات بين القطاعين العام والخاص</w:t>
      </w:r>
    </w:p>
    <w:p w14:paraId="2F96C614" w14:textId="7777777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تواجه مشاريع</w:t>
      </w:r>
      <w:r w:rsidRPr="005D59A7">
        <w:rPr>
          <w:rFonts w:ascii="T" w:hAnsi="T" w:cs="Simplified Arabic"/>
          <w:sz w:val="24"/>
          <w:szCs w:val="24"/>
        </w:rPr>
        <w:t xml:space="preserve"> PPP </w:t>
      </w:r>
      <w:r w:rsidRPr="005D59A7">
        <w:rPr>
          <w:rFonts w:ascii="T" w:hAnsi="T" w:cs="Simplified Arabic"/>
          <w:sz w:val="24"/>
          <w:szCs w:val="24"/>
          <w:rtl/>
        </w:rPr>
        <w:t>تحديات متعددة تتعلق بالمخاطر المختلفة، والحوكمة، وتعارض المصالح، والتكاليف المرتفعة، وعدم كفاية المرونة في العقود</w:t>
      </w:r>
      <w:r w:rsidRPr="005D59A7">
        <w:rPr>
          <w:rFonts w:ascii="T" w:hAnsi="T" w:cs="Simplified Arabic"/>
          <w:sz w:val="24"/>
          <w:szCs w:val="24"/>
        </w:rPr>
        <w:t>.</w:t>
      </w:r>
    </w:p>
    <w:p w14:paraId="3241C0DA" w14:textId="33965997"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في هذا السياق، أجرى شاهين ووحيد (2025) دراسة </w:t>
      </w:r>
      <w:r w:rsidR="00BD0DA0" w:rsidRPr="005D59A7">
        <w:rPr>
          <w:rFonts w:ascii="T" w:hAnsi="T" w:cs="Simplified Arabic"/>
          <w:sz w:val="24"/>
          <w:szCs w:val="24"/>
          <w:rtl/>
        </w:rPr>
        <w:t>ه</w:t>
      </w:r>
      <w:r w:rsidRPr="005D59A7">
        <w:rPr>
          <w:rFonts w:ascii="T" w:hAnsi="T" w:cs="Simplified Arabic"/>
          <w:sz w:val="24"/>
          <w:szCs w:val="24"/>
          <w:rtl/>
        </w:rPr>
        <w:t>دفت إلى تحليل جدوى استخدام</w:t>
      </w:r>
      <w:r w:rsidRPr="005D59A7">
        <w:rPr>
          <w:rFonts w:ascii="T" w:hAnsi="T" w:cs="Simplified Arabic"/>
          <w:sz w:val="24"/>
          <w:szCs w:val="24"/>
        </w:rPr>
        <w:t xml:space="preserve"> PPP </w:t>
      </w:r>
      <w:r w:rsidRPr="005D59A7">
        <w:rPr>
          <w:rFonts w:ascii="T" w:hAnsi="T" w:cs="Simplified Arabic"/>
          <w:sz w:val="24"/>
          <w:szCs w:val="24"/>
          <w:rtl/>
        </w:rPr>
        <w:t>في تطوير مشروعات الهيدروجين الأخضر في المنطقة الاقتصادية لقناة السويس. اعتمد الباحثون على منهجية دراسة الحالة والتحليل المالي، مع تطوير نموذج مالي لتقييم جدوى المشروع في ظل سيناريوهات مختلفة. توصلت الدراسة إلى أن ارتفاع درجة عدم اليقين التقني والسياسي يمثل التحدي الأكبر أمام</w:t>
      </w:r>
      <w:r w:rsidRPr="005D59A7">
        <w:rPr>
          <w:rFonts w:ascii="T" w:hAnsi="T" w:cs="Simplified Arabic"/>
          <w:sz w:val="24"/>
          <w:szCs w:val="24"/>
        </w:rPr>
        <w:t xml:space="preserve"> PPP </w:t>
      </w:r>
      <w:r w:rsidRPr="005D59A7">
        <w:rPr>
          <w:rFonts w:ascii="T" w:hAnsi="T" w:cs="Simplified Arabic"/>
          <w:sz w:val="24"/>
          <w:szCs w:val="24"/>
          <w:rtl/>
        </w:rPr>
        <w:t>في مشروعات الهيدروجين الأخضر، حيث تتغير التقنيات والأسعار بسرعة كبيرة مما يصعب تقدير الجدوى المالية للمشروع على المدى الطويل. كما أشارت الدراسة إلى أن عدم تضمين آليات مرنة للتكيف مع التغيرات المستقبلية يعد من أهم أسباب فشل مشاريع</w:t>
      </w:r>
      <w:r w:rsidRPr="005D59A7">
        <w:rPr>
          <w:rFonts w:ascii="T" w:hAnsi="T" w:cs="Simplified Arabic"/>
          <w:sz w:val="24"/>
          <w:szCs w:val="24"/>
        </w:rPr>
        <w:t xml:space="preserve"> PPP </w:t>
      </w:r>
      <w:r w:rsidRPr="005D59A7">
        <w:rPr>
          <w:rFonts w:ascii="T" w:hAnsi="T" w:cs="Simplified Arabic"/>
          <w:sz w:val="24"/>
          <w:szCs w:val="24"/>
          <w:rtl/>
        </w:rPr>
        <w:t>في القطاعات سريعة التغير. أوصت الدراسة بضرورة تطوير عقود</w:t>
      </w:r>
      <w:r w:rsidRPr="005D59A7">
        <w:rPr>
          <w:rFonts w:ascii="T" w:hAnsi="T" w:cs="Simplified Arabic"/>
          <w:sz w:val="24"/>
          <w:szCs w:val="24"/>
        </w:rPr>
        <w:t xml:space="preserve"> PPP </w:t>
      </w:r>
      <w:r w:rsidRPr="005D59A7">
        <w:rPr>
          <w:rFonts w:ascii="T" w:hAnsi="T" w:cs="Simplified Arabic"/>
          <w:sz w:val="24"/>
          <w:szCs w:val="24"/>
          <w:rtl/>
        </w:rPr>
        <w:t>مرنة تتضمن آليات لمراجعة الأسعار والتكاليف بشكل دوري، مع اعتماد هيكل تمويل يجمع بين رأس المال الخاص والمنح الحكومية لتقليل المخاطر المالية على القطاع الخاص</w:t>
      </w:r>
      <w:r w:rsidRPr="005D59A7">
        <w:rPr>
          <w:rFonts w:ascii="T" w:hAnsi="T" w:cs="Simplified Arabic"/>
          <w:sz w:val="24"/>
          <w:szCs w:val="24"/>
        </w:rPr>
        <w:t>.</w:t>
      </w:r>
    </w:p>
    <w:p w14:paraId="7AB2B316" w14:textId="20D6C922"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جهة أخرى، أجرى بوعنان وليندة (2025) دراسة هدفت إلى تحليل دور</w:t>
      </w:r>
      <w:r w:rsidRPr="005D59A7">
        <w:rPr>
          <w:rFonts w:ascii="T" w:hAnsi="T" w:cs="Simplified Arabic"/>
          <w:sz w:val="24"/>
          <w:szCs w:val="24"/>
        </w:rPr>
        <w:t xml:space="preserve"> PPP </w:t>
      </w:r>
      <w:r w:rsidRPr="005D59A7">
        <w:rPr>
          <w:rFonts w:ascii="T" w:hAnsi="T" w:cs="Simplified Arabic"/>
          <w:sz w:val="24"/>
          <w:szCs w:val="24"/>
          <w:rtl/>
        </w:rPr>
        <w:t>في تحفيز الاستثمار في الجزائر، وتحديد التحديات التي تواجه تطبيق هذا النموذج. اعتمد الباحثون على المنهج الوصفي التحليلي، مع مراجعة الأدبيات وتحليل التجارب الدولية المقارنة. توصلت الدراسة إلى أن ضعف أنظمة الرقابة والإشراف من قبل القطاع العام يعد من أهم التحديات التي تواجه</w:t>
      </w:r>
      <w:r w:rsidRPr="005D59A7">
        <w:rPr>
          <w:rFonts w:ascii="T" w:hAnsi="T" w:cs="Simplified Arabic"/>
          <w:sz w:val="24"/>
          <w:szCs w:val="24"/>
        </w:rPr>
        <w:t xml:space="preserve"> PPP</w:t>
      </w:r>
      <w:r w:rsidRPr="005D59A7">
        <w:rPr>
          <w:rFonts w:ascii="T" w:hAnsi="T" w:cs="Simplified Arabic"/>
          <w:sz w:val="24"/>
          <w:szCs w:val="24"/>
          <w:rtl/>
        </w:rPr>
        <w:t>، حيث يمكن أن يؤدي إلى تدهور جودة الخدمة وزيادة التكاليف دون أن تلاحظها الجهة الحكومية في الوقت المناسب. كما أشارت الدراسة إلى أن تكاليف إعداد عقود</w:t>
      </w:r>
      <w:r w:rsidRPr="005D59A7">
        <w:rPr>
          <w:rFonts w:ascii="T" w:hAnsi="T" w:cs="Simplified Arabic"/>
          <w:sz w:val="24"/>
          <w:szCs w:val="24"/>
        </w:rPr>
        <w:t xml:space="preserve"> PPP </w:t>
      </w:r>
      <w:r w:rsidRPr="005D59A7">
        <w:rPr>
          <w:rFonts w:ascii="T" w:hAnsi="T" w:cs="Simplified Arabic"/>
          <w:sz w:val="24"/>
          <w:szCs w:val="24"/>
          <w:rtl/>
        </w:rPr>
        <w:t>المرتفعة (تصل إلى 5-10% من قيمة المشروع) تشكل عائقاً أمام تطبيق هذا النموذج في المشاريع الصغيرة والمتوسطة. أوصت الدراسة بضرورة تطوير وحدات</w:t>
      </w:r>
      <w:r w:rsidRPr="005D59A7">
        <w:rPr>
          <w:rFonts w:ascii="T" w:hAnsi="T" w:cs="Simplified Arabic"/>
          <w:sz w:val="24"/>
          <w:szCs w:val="24"/>
        </w:rPr>
        <w:t xml:space="preserve"> PPP </w:t>
      </w:r>
      <w:r w:rsidRPr="005D59A7">
        <w:rPr>
          <w:rFonts w:ascii="T" w:hAnsi="T" w:cs="Simplified Arabic"/>
          <w:sz w:val="24"/>
          <w:szCs w:val="24"/>
          <w:rtl/>
        </w:rPr>
        <w:t>متخصصة في الجهات الحكومية لبناء القدرات المؤسسية، وتوحيد الإجراءات والنماذج التعاقدية لتقليل تكاليف الإعداد</w:t>
      </w:r>
      <w:r w:rsidRPr="005D59A7">
        <w:rPr>
          <w:rFonts w:ascii="T" w:hAnsi="T" w:cs="Simplified Arabic"/>
          <w:sz w:val="24"/>
          <w:szCs w:val="24"/>
        </w:rPr>
        <w:t>.</w:t>
      </w:r>
    </w:p>
    <w:p w14:paraId="348D5B83" w14:textId="77777777" w:rsidR="00ED0828" w:rsidRPr="005D59A7" w:rsidRDefault="00ED0828" w:rsidP="00861DC2">
      <w:pPr>
        <w:bidi/>
        <w:spacing w:line="360" w:lineRule="auto"/>
        <w:ind w:firstLine="720"/>
        <w:jc w:val="both"/>
        <w:rPr>
          <w:rFonts w:ascii="T" w:hAnsi="T" w:cs="Simplified Arabic"/>
          <w:sz w:val="24"/>
          <w:szCs w:val="24"/>
          <w:rtl/>
        </w:rPr>
      </w:pPr>
    </w:p>
    <w:p w14:paraId="2DFC88A2" w14:textId="789BBA9E" w:rsidR="00ED0828" w:rsidRPr="005D59A7" w:rsidRDefault="00ED0828"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كما أجرى كحيط، </w:t>
      </w:r>
      <w:r w:rsidR="00BD0DA0" w:rsidRPr="005D59A7">
        <w:rPr>
          <w:rFonts w:ascii="T" w:hAnsi="T" w:cs="Simplified Arabic"/>
          <w:sz w:val="24"/>
          <w:szCs w:val="24"/>
          <w:rtl/>
        </w:rPr>
        <w:t>اخرون</w:t>
      </w:r>
      <w:r w:rsidRPr="005D59A7">
        <w:rPr>
          <w:rFonts w:ascii="T" w:hAnsi="T" w:cs="Simplified Arabic"/>
          <w:sz w:val="24"/>
          <w:szCs w:val="24"/>
          <w:rtl/>
        </w:rPr>
        <w:t xml:space="preserve"> (2025) دراسة هدفت إلى تحليل واقع تطبيق</w:t>
      </w:r>
      <w:r w:rsidRPr="005D59A7">
        <w:rPr>
          <w:rFonts w:ascii="T" w:hAnsi="T" w:cs="Simplified Arabic"/>
          <w:sz w:val="24"/>
          <w:szCs w:val="24"/>
        </w:rPr>
        <w:t xml:space="preserve"> PPP </w:t>
      </w:r>
      <w:r w:rsidRPr="005D59A7">
        <w:rPr>
          <w:rFonts w:ascii="T" w:hAnsi="T" w:cs="Simplified Arabic"/>
          <w:sz w:val="24"/>
          <w:szCs w:val="24"/>
          <w:rtl/>
        </w:rPr>
        <w:t xml:space="preserve">في جامعة المستقبل العراقية، وتحديد التحديات والفرص المرتبطة به. اعتمد الباحثون على منهجية المسح الميداني، مع توزيع استبيانات على 200 من أعضاء الهيئة التدريسية والإدارية في الجامعة. توصلت الدراسة إلى أن تعارض المصالح بين الأهداف الأكاديمية للجامعة (الجودة العلمية، البحث الحر) والأهداف التجارية للقطاع الخاص </w:t>
      </w:r>
      <w:r w:rsidRPr="005D59A7">
        <w:rPr>
          <w:rFonts w:ascii="T" w:hAnsi="T" w:cs="Simplified Arabic"/>
          <w:sz w:val="24"/>
          <w:szCs w:val="24"/>
          <w:rtl/>
        </w:rPr>
        <w:lastRenderedPageBreak/>
        <w:t>(الربحية، الكفاءة) يمثل تحدياً رئيسياً في تطبيق</w:t>
      </w:r>
      <w:r w:rsidRPr="005D59A7">
        <w:rPr>
          <w:rFonts w:ascii="T" w:hAnsi="T" w:cs="Simplified Arabic"/>
          <w:sz w:val="24"/>
          <w:szCs w:val="24"/>
        </w:rPr>
        <w:t xml:space="preserve"> PPP </w:t>
      </w:r>
      <w:r w:rsidRPr="005D59A7">
        <w:rPr>
          <w:rFonts w:ascii="T" w:hAnsi="T" w:cs="Simplified Arabic"/>
          <w:sz w:val="24"/>
          <w:szCs w:val="24"/>
          <w:rtl/>
        </w:rPr>
        <w:t>في قطاع التعليم العالي. كما أشارت الدراسة إلى أن بناء الثقة بين الأطراف وتبادل المعرفة يعتبران عاملين حاسمين لنجاح الشراكة، حيث تتطلب العلاقة التعاقدية تجاوز النماذج التقليدية نحو علاقات أكثر تعاوناً وشفافية. أوصت الدراسة بضرورة تطوير آليات حوكمة تضمن تحقيق التوازن بين الأهداف الأكاديمية والتجارية، مع إنشاء لجان مشتركة للإشراف على تنفيذ الشراكة وحل النزاعات</w:t>
      </w:r>
      <w:r w:rsidRPr="005D59A7">
        <w:rPr>
          <w:rFonts w:ascii="T" w:hAnsi="T" w:cs="Simplified Arabic"/>
          <w:sz w:val="24"/>
          <w:szCs w:val="24"/>
        </w:rPr>
        <w:t>.</w:t>
      </w:r>
    </w:p>
    <w:p w14:paraId="1D964B48" w14:textId="77777777" w:rsidR="00C57CC8" w:rsidRPr="005D59A7" w:rsidRDefault="00C57CC8" w:rsidP="00C476D6">
      <w:pPr>
        <w:pStyle w:val="Heading2"/>
        <w:bidi/>
        <w:rPr>
          <w:rFonts w:ascii="T" w:hAnsi="T" w:cs="Simplified Arabic"/>
          <w:color w:val="auto"/>
          <w:sz w:val="24"/>
          <w:szCs w:val="24"/>
          <w:rtl/>
        </w:rPr>
      </w:pPr>
      <w:bookmarkStart w:id="70" w:name="_Toc225991372"/>
      <w:r w:rsidRPr="005D59A7">
        <w:rPr>
          <w:rFonts w:ascii="T" w:hAnsi="T" w:cs="Simplified Arabic"/>
          <w:color w:val="auto"/>
          <w:sz w:val="24"/>
          <w:szCs w:val="24"/>
          <w:rtl/>
        </w:rPr>
        <w:t>المحور الثاني: دراسات الحوكمة البيئية</w:t>
      </w:r>
      <w:bookmarkEnd w:id="70"/>
    </w:p>
    <w:p w14:paraId="3681114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مفهوم الحوكمة البيئية وتطورها</w:t>
      </w:r>
    </w:p>
    <w:p w14:paraId="1080D87E"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مفهوم الحوكمة البيئية تطوراً كبيراً خلال العقود الأخيرة، حيث انتقل من التركيز الضيق على الأنظمة والقوانين البيئية إلى إطار أوسع يشمل المؤسسات والعمليات والسلوكيات التي تتفاعل لتشكيل القرارات والنتائج البيئية. يعكس هذا التطور إدراكاً متزايداً بأن حماية البيئة تتطلب أكثر من مجرد وضع لوائح وعقوبات، بل تحتاج إلى نظم حوكمة متكاملة تشرك جميع أصحاب المصلحة وتعزز الشفافية والمساءلة</w:t>
      </w:r>
      <w:r w:rsidRPr="005D59A7">
        <w:rPr>
          <w:rFonts w:ascii="T" w:hAnsi="T" w:cs="Simplified Arabic"/>
          <w:sz w:val="24"/>
          <w:szCs w:val="24"/>
        </w:rPr>
        <w:t>.</w:t>
      </w:r>
    </w:p>
    <w:p w14:paraId="62074527" w14:textId="2E9AF257"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w:t>
      </w:r>
      <w:r w:rsidR="00354F1D" w:rsidRPr="005D59A7">
        <w:rPr>
          <w:rFonts w:ascii="T" w:hAnsi="T" w:cs="Simplified Arabic"/>
          <w:sz w:val="24"/>
          <w:szCs w:val="24"/>
          <w:rtl/>
        </w:rPr>
        <w:t>: التحول من الحوكمة البيئية إلى حوكمة الاستدامة</w:t>
      </w:r>
    </w:p>
    <w:p w14:paraId="0BC9A8C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Agrawal </w:t>
      </w:r>
      <w:r w:rsidRPr="005D59A7">
        <w:rPr>
          <w:rFonts w:ascii="T" w:hAnsi="T" w:cs="Simplified Arabic"/>
          <w:sz w:val="24"/>
          <w:szCs w:val="24"/>
          <w:rtl/>
        </w:rPr>
        <w:t>وآخرون (2022) إلى أن الحوكمة البيئية التقليدية ركزت بشكل أساسي على حل مشكلات بيئية محددة مثل تلوث الهواء وتدهور الغابات من خلال آليات تنظيمية مركزية تعتمد على سلطة الدولة في وضع القواعد وفرض العقوبات. غير أن هذه المقاربة أثبتت محدوديتها في مواجهة التحديات البيئية المعاصرة المعقدة والمتداخلة، مثل تغير المناخ وفقدان التنوع البيولوجي واستنزاف الموارد الطبيعية. أوضح الباحثون أن هذه التحديات تتسم بدرجة عالية من عدم اليقين والترابط عبر المكان والزمان، مما يجعل الحلول القطاعية والمركزية غير كافية</w:t>
      </w:r>
      <w:r w:rsidRPr="005D59A7">
        <w:rPr>
          <w:rFonts w:ascii="T" w:hAnsi="T" w:cs="Simplified Arabic"/>
          <w:sz w:val="24"/>
          <w:szCs w:val="24"/>
        </w:rPr>
        <w:t>.</w:t>
      </w:r>
    </w:p>
    <w:p w14:paraId="4ECCB09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هناك تحولاً عالمياً نحو "حوكمة من أجل الاستدامة</w:t>
      </w:r>
      <w:r w:rsidRPr="005D59A7">
        <w:rPr>
          <w:rFonts w:ascii="T" w:hAnsi="T" w:cs="Simplified Arabic"/>
          <w:sz w:val="24"/>
          <w:szCs w:val="24"/>
        </w:rPr>
        <w:t xml:space="preserve">" (Governance for Sustainability) </w:t>
      </w:r>
      <w:r w:rsidRPr="005D59A7">
        <w:rPr>
          <w:rFonts w:ascii="T" w:hAnsi="T" w:cs="Simplified Arabic"/>
          <w:sz w:val="24"/>
          <w:szCs w:val="24"/>
          <w:rtl/>
        </w:rPr>
        <w:t xml:space="preserve">تتجاوز النماذج التقليدية لتشمل أبعاداً اجتماعية واقتصادية وسياسية مترابطة. فبدلاً من التركيز على حل مشكلات بيئية معزولة، تركز حوكمة الاستدامة على تحقيق التوازن بين الأهداف البيئية والاقتصادية والاجتماعية. كما تتطلب هذه المقاربة الجديدة تكامل مستويات متعددة من الحوكمة (المحلية، الوطنية، الإقليمية، العالمية) وإشراك جهات فاعلة متنوعة (الحكومات، القطاع الخاص، المجتمع المدني، </w:t>
      </w:r>
      <w:r w:rsidRPr="005D59A7">
        <w:rPr>
          <w:rFonts w:ascii="T" w:hAnsi="T" w:cs="Simplified Arabic"/>
          <w:sz w:val="24"/>
          <w:szCs w:val="24"/>
          <w:rtl/>
        </w:rPr>
        <w:lastRenderedPageBreak/>
        <w:t>المؤسسات الأكاديمية، المجتمعات المحلية). أوضح الباحثون أن التحول نحو حوكمة الاستدامة يمثل تحدياً مؤسسياً كبيراً، لأنه يتطلب إعادة تصميم هياكل الحوكمة التقليدية وآلياتها، وتطوير قدرات جديدة للتنسيق والتعلم والتكيف</w:t>
      </w:r>
      <w:r w:rsidRPr="005D59A7">
        <w:rPr>
          <w:rFonts w:ascii="T" w:hAnsi="T" w:cs="Simplified Arabic"/>
          <w:sz w:val="24"/>
          <w:szCs w:val="24"/>
        </w:rPr>
        <w:t>.</w:t>
      </w:r>
    </w:p>
    <w:p w14:paraId="0D562095" w14:textId="51ACFC22"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w:t>
      </w:r>
      <w:r w:rsidR="00C476D6" w:rsidRPr="005D59A7">
        <w:rPr>
          <w:rFonts w:ascii="T" w:hAnsi="T" w:cs="Simplified Arabic"/>
          <w:sz w:val="24"/>
          <w:szCs w:val="24"/>
          <w:rtl/>
        </w:rPr>
        <w:t>لثا</w:t>
      </w:r>
      <w:r w:rsidRPr="005D59A7">
        <w:rPr>
          <w:rFonts w:ascii="T" w:hAnsi="T" w:cs="Simplified Arabic"/>
          <w:sz w:val="24"/>
          <w:szCs w:val="24"/>
          <w:rtl/>
        </w:rPr>
        <w:t>: تطور الحوكمة البيئية العالمية</w:t>
      </w:r>
    </w:p>
    <w:p w14:paraId="1851D50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قدم</w:t>
      </w:r>
      <w:r w:rsidRPr="005D59A7">
        <w:rPr>
          <w:rFonts w:ascii="T" w:hAnsi="T" w:cs="Simplified Arabic"/>
          <w:sz w:val="24"/>
          <w:szCs w:val="24"/>
        </w:rPr>
        <w:t xml:space="preserve"> Sörlin </w:t>
      </w:r>
      <w:r w:rsidRPr="005D59A7">
        <w:rPr>
          <w:rFonts w:ascii="T" w:hAnsi="T" w:cs="Simplified Arabic"/>
          <w:sz w:val="24"/>
          <w:szCs w:val="24"/>
          <w:rtl/>
        </w:rPr>
        <w:t>وآخرون (2025) تحليلاً تاريخياً معمقاً لتطور الحوكمة البيئية العالمية، مشيرين إلى أنها شهدت "تشتتاً كبيراً</w:t>
      </w:r>
      <w:r w:rsidRPr="005D59A7">
        <w:rPr>
          <w:rFonts w:ascii="T" w:hAnsi="T" w:cs="Simplified Arabic"/>
          <w:sz w:val="24"/>
          <w:szCs w:val="24"/>
        </w:rPr>
        <w:t xml:space="preserve">" (great dispersal) </w:t>
      </w:r>
      <w:r w:rsidRPr="005D59A7">
        <w:rPr>
          <w:rFonts w:ascii="T" w:hAnsi="T" w:cs="Simplified Arabic"/>
          <w:sz w:val="24"/>
          <w:szCs w:val="24"/>
          <w:rtl/>
        </w:rPr>
        <w:t>منذ مؤتمر الأمم المتحدة للبيئة والتنمية (قمة ريو) في عام 1992. قبل هذا التاريخ، كانت الحوكمة البيئية العالمية تتركز بشكل أساسي حول الاتفاقيات الدولية الكبرى التي تفاوضت عليها الحكومات الوطنية، مثل اتفاقية التنوع البيولوجي واتفاقية الأمم المتحدة الإطارية بشأن تغير المناخ. هذه الاتفاقيات أنشأت أطراً مؤسسية وقانونية عالمية تهدف إلى تنسيق الجهود الوطنية لحماية البيئة</w:t>
      </w:r>
      <w:r w:rsidRPr="005D59A7">
        <w:rPr>
          <w:rFonts w:ascii="T" w:hAnsi="T" w:cs="Simplified Arabic"/>
          <w:sz w:val="24"/>
          <w:szCs w:val="24"/>
        </w:rPr>
        <w:t>.</w:t>
      </w:r>
    </w:p>
    <w:p w14:paraId="00374CAC"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الباحثون أن العقود الثلاثة الماضية شهدت تحولاً جذرياً في مشهد الحوكمة البيئية العالمية، حيث انتقلت من نموذج مركزي يركز على الاتفاقيات الدولية إلى مشهد أكثر تشتتاً وتنوعاً. هذا المشهد الجديد يشمل مبادرات متعددة الأطراف (مثل أهداف التنمية المستدامة)، وتحالفات إقليمية (مثل الاتحاد الأوروبي)، واتفاقيات ثنائية بين الدول، وقوانين وطنية، ومبادرات محلية، وحتى مبادرات خاصة من القطاع الخاص والمجتمع المدني. أشار الباحثون إلى أن هذا التشتت يعكس كلاً من نقاط القوة ونقاط الضعف. من ناحية القوة، يزيد التشتت من مرونة الحوكمة وقدرتها على التكيف مع الظروف والسياقات المحلية المختلفة. كما يتيح تجريب نماذج مبتكرة على نطاق صغير قبل تعميمها. من ناحية الضعف، يؤدي التشتت إلى فقدان التنسيق والاتساق بين المبادرات المختلفة، وازدواجية الجهود، وتضارب السياسات، وفجوات في التغطية</w:t>
      </w:r>
      <w:r w:rsidRPr="005D59A7">
        <w:rPr>
          <w:rFonts w:ascii="T" w:hAnsi="T" w:cs="Simplified Arabic"/>
          <w:sz w:val="24"/>
          <w:szCs w:val="24"/>
        </w:rPr>
        <w:t>.</w:t>
      </w:r>
    </w:p>
    <w:p w14:paraId="6220DF1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تطوير آليات جديدة لتعزيز التكامل بين مختلف مستويات ومبادرات الحوكمة البيئية. هذه الآليات قد تشمل منصات للتنسيق وتبادل المعلومات، ومعايير مشتركة للرصد والإبلاغ، وآليات لبناء الثقة والتعاون بين الجهات الفاعلة المختلفة. كما أشاروا إلى أهمية تعزيز دور المؤسسات العلمية في توفير المعرفة والتحليلات اللازمة لدعم التكامل والتنسيق</w:t>
      </w:r>
      <w:r w:rsidRPr="005D59A7">
        <w:rPr>
          <w:rFonts w:ascii="T" w:hAnsi="T" w:cs="Simplified Arabic"/>
          <w:sz w:val="24"/>
          <w:szCs w:val="24"/>
        </w:rPr>
        <w:t>.</w:t>
      </w:r>
    </w:p>
    <w:p w14:paraId="19E5CB24" w14:textId="51181087"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w:t>
      </w:r>
      <w:r w:rsidR="00354F1D" w:rsidRPr="005D59A7">
        <w:rPr>
          <w:rFonts w:ascii="T" w:hAnsi="T" w:cs="Simplified Arabic"/>
          <w:sz w:val="24"/>
          <w:szCs w:val="24"/>
          <w:rtl/>
        </w:rPr>
        <w:t>ً: الأسس النظرية للحوكمة البيئية</w:t>
      </w:r>
    </w:p>
    <w:p w14:paraId="1176556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أوضح مرزاق (2023) أن مفهوم الحوكمة البيئية ظهر كإطار نظري وتطبيقي يهدف إلى تحسين إدارة الموارد الطبيعية وحماية البيئة من خلال تعزيز المشاركة والشفافية والمساءلة. أشار الباحث إلى أن الحوكمة البيئية تختلف عن الإدارة البيئية التقليدية في عدة جوانب جوهرية. أولاً، الإدارة البيئية التقليدية تركز بشكل أساسي على دور الحكومة كجهة تنظيمية ورقابية، بينما تشمل الحوكمة البيئية جميع أصحاب المصلحة (القطاع الخاص، المجتمع المدني، المواطنين، المؤسسات الأكاديمية) في عمليات صنع القرار والتنفيذ والمراقبة. ثانياً، الإدارة التقليدية تعتمد على آليات هرمية وأوامر من أعلى إلى أسفل، بينما تعتمد الحوكمة البيئية على آليات أكثر مرونة وتشاركية، تشمل التفاوض والشراكة والتنسيق الأفقي</w:t>
      </w:r>
      <w:r w:rsidRPr="005D59A7">
        <w:rPr>
          <w:rFonts w:ascii="T" w:hAnsi="T" w:cs="Simplified Arabic"/>
          <w:sz w:val="24"/>
          <w:szCs w:val="24"/>
        </w:rPr>
        <w:t>.</w:t>
      </w:r>
    </w:p>
    <w:p w14:paraId="41598F8D" w14:textId="54381772"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 إلى أن الحوكمة البيئية تستند إلى عدة أسس نظرية، منها نظرية الاختيار العام</w:t>
      </w:r>
      <w:r w:rsidRPr="005D59A7">
        <w:rPr>
          <w:rFonts w:ascii="T" w:hAnsi="T" w:cs="Simplified Arabic"/>
          <w:sz w:val="24"/>
          <w:szCs w:val="24"/>
        </w:rPr>
        <w:t xml:space="preserve"> </w:t>
      </w:r>
      <w:r w:rsidRPr="005D59A7">
        <w:rPr>
          <w:rFonts w:ascii="T" w:hAnsi="T" w:cs="Simplified Arabic"/>
          <w:sz w:val="24"/>
          <w:szCs w:val="24"/>
          <w:rtl/>
        </w:rPr>
        <w:t>التي تركز على دور الحوافز والمصالح الفردية في تشكيل السلوك البيئي، ونظرية الاعتماد على الموارد</w:t>
      </w:r>
      <w:r w:rsidRPr="005D59A7">
        <w:rPr>
          <w:rFonts w:ascii="T" w:hAnsi="T" w:cs="Simplified Arabic"/>
          <w:sz w:val="24"/>
          <w:szCs w:val="24"/>
        </w:rPr>
        <w:t xml:space="preserve"> (</w:t>
      </w:r>
      <w:r w:rsidRPr="005D59A7">
        <w:rPr>
          <w:rFonts w:ascii="T" w:hAnsi="T" w:cs="Simplified Arabic"/>
          <w:sz w:val="24"/>
          <w:szCs w:val="24"/>
          <w:rtl/>
        </w:rPr>
        <w:t>التي تشرح كيف تعتمد المنظمات على موارد من بيئتها الخارجية، ونظرية شبكات السياسات</w:t>
      </w:r>
      <w:r w:rsidRPr="005D59A7">
        <w:rPr>
          <w:rFonts w:ascii="T" w:hAnsi="T" w:cs="Simplified Arabic"/>
          <w:sz w:val="24"/>
          <w:szCs w:val="24"/>
        </w:rPr>
        <w:t xml:space="preserve"> </w:t>
      </w:r>
      <w:r w:rsidRPr="005D59A7">
        <w:rPr>
          <w:rFonts w:ascii="T" w:hAnsi="T" w:cs="Simplified Arabic"/>
          <w:sz w:val="24"/>
          <w:szCs w:val="24"/>
          <w:rtl/>
        </w:rPr>
        <w:t>التي تحلل التفاعلات بين الجهات الفاعلة المختلفة في صنع السياسات البيئية. كما أوضح أن الحوكمة البيئية تعتمد على مبدأ اللامركزية، الذي ينص على نقل السلطة والموارد من المستوى المركزي إلى المستويات المحلية، حيث تكون المعرفة المحلية أكثر دقة والقدرة على الاستجابة أكثر سرعة</w:t>
      </w:r>
      <w:r w:rsidRPr="005D59A7">
        <w:rPr>
          <w:rFonts w:ascii="T" w:hAnsi="T" w:cs="Simplified Arabic"/>
          <w:sz w:val="24"/>
          <w:szCs w:val="24"/>
        </w:rPr>
        <w:t>.</w:t>
      </w:r>
    </w:p>
    <w:p w14:paraId="1D71714F"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 إلى أن تطبيق الحوكمة البيئية يواجه عدة تحديات نظرية وعملية. من أهم هذه التحديات: صعوبة تحقيق التوازن بين المشاركة الموسعة والكفاءة في اتخاذ القرار، وخطر استيلاء النخب أو المجموعات ذات المصالح الخاصة على عمليات الحوكمة، وضعف قدرات المؤسسات المحلية على ممارسة مهام الحوكمة، وتعارض المصالح بين مختلف أصحاب المصلحة. كما أشار إلى أن الحوكمة البيئية تتطلب تغييراً ثقافياً عميقاً في طريقة فهم العلاقة بين المجتمع والبيئة، وفي طريقة ممارسة السلطة واتخاذ القرارات</w:t>
      </w:r>
      <w:r w:rsidRPr="005D59A7">
        <w:rPr>
          <w:rFonts w:ascii="T" w:hAnsi="T" w:cs="Simplified Arabic"/>
          <w:sz w:val="24"/>
          <w:szCs w:val="24"/>
        </w:rPr>
        <w:t>.</w:t>
      </w:r>
    </w:p>
    <w:p w14:paraId="493F99BF" w14:textId="30403216" w:rsidR="00354F1D" w:rsidRPr="005D59A7" w:rsidRDefault="00C476D6"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خامسا</w:t>
      </w:r>
      <w:r w:rsidR="00354F1D" w:rsidRPr="005D59A7">
        <w:rPr>
          <w:rFonts w:ascii="T" w:hAnsi="T" w:cs="Simplified Arabic"/>
          <w:sz w:val="24"/>
          <w:szCs w:val="24"/>
          <w:rtl/>
        </w:rPr>
        <w:t>: مبادئ الحوكمة البيئية</w:t>
      </w:r>
    </w:p>
    <w:p w14:paraId="27FA108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تقوم الحوكمة البيئية على مجموعة من المبادئ الأساسية التي تشكل الإطار المؤسسي والإجرائي لتطبيقها. من أهم هذه المبادئ: الشفافية، المساءلة، الامتثال، المشاركة، سيادة القانون، والفعالية. هذه المبادئ مترابطة ومتكاملة، وتطبيقها يتطلب توافر ظروف مؤسسية وسياسية وثقافية مناسبة</w:t>
      </w:r>
      <w:r w:rsidRPr="005D59A7">
        <w:rPr>
          <w:rFonts w:ascii="T" w:hAnsi="T" w:cs="Simplified Arabic"/>
          <w:sz w:val="24"/>
          <w:szCs w:val="24"/>
        </w:rPr>
        <w:t>.</w:t>
      </w:r>
    </w:p>
    <w:p w14:paraId="6F775D05" w14:textId="29CE4AD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الشفافية والوصول إلى المعلومات</w:t>
      </w:r>
    </w:p>
    <w:p w14:paraId="00ED569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تعد الشفافية من أهم مبادئ الحوكمة البيئية، حيث تعني إتاحة المعلومات البيئية للجمهور بشكل واضح ومفهوم وفي الوقت المناسب. تشمل المعلومات البيئية التي ينبغي إتاحتها: البيانات عن حالة البيئة، ومصادر التلوث، والتراخيص البيئية، ونتائج التفتيش والرصد، وعمليات صنع القرار البيئي. تتيح الشفافية للمواطنين والمجتمع المدني مراقبة أداء الجهات المعنية والمشاركة الفعالة في حماية البيئة</w:t>
      </w:r>
      <w:r w:rsidRPr="005D59A7">
        <w:rPr>
          <w:rFonts w:ascii="T" w:hAnsi="T" w:cs="Simplified Arabic"/>
          <w:sz w:val="24"/>
          <w:szCs w:val="24"/>
        </w:rPr>
        <w:t>.</w:t>
      </w:r>
    </w:p>
    <w:p w14:paraId="30B93A97" w14:textId="4524016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في سياق التحول الرقمي، أشار</w:t>
      </w:r>
      <w:r w:rsidRPr="005D59A7">
        <w:rPr>
          <w:rFonts w:ascii="T" w:hAnsi="T" w:cs="Simplified Arabic"/>
          <w:sz w:val="24"/>
          <w:szCs w:val="24"/>
        </w:rPr>
        <w:t xml:space="preserve"> Krogstie</w:t>
      </w:r>
      <w:r w:rsidR="0091720A" w:rsidRPr="005D59A7">
        <w:rPr>
          <w:rFonts w:ascii="T" w:hAnsi="T" w:cs="Simplified Arabic"/>
          <w:sz w:val="24"/>
          <w:szCs w:val="24"/>
        </w:rPr>
        <w:t>,et al</w:t>
      </w:r>
      <w:r w:rsidRPr="005D59A7">
        <w:rPr>
          <w:rFonts w:ascii="T" w:hAnsi="T" w:cs="Simplified Arabic"/>
          <w:sz w:val="24"/>
          <w:szCs w:val="24"/>
        </w:rPr>
        <w:t xml:space="preserve"> (2024) </w:t>
      </w:r>
      <w:r w:rsidRPr="005D59A7">
        <w:rPr>
          <w:rFonts w:ascii="T" w:hAnsi="T" w:cs="Simplified Arabic"/>
          <w:sz w:val="24"/>
          <w:szCs w:val="24"/>
          <w:rtl/>
        </w:rPr>
        <w:t>إلى أن تقنيات إنترنت الأشياء والذكاء الاصطناعي تتيح جمع وتحليل كميات هائلة من البيانات البيئية في الوقت الفعلي، مما يعزز الشفافية بشكل غير مسبوق. أوضح الباحثون أن شبكات الاستشعار الذكية يمكنها قياس جودة الهواء والمياه ومستويات التلوث واستهلاك الطاقة والانبعاثات بشكل مستمر وآلي. يمكن لهذه البيانات أن تُتاح للجمهور عبر منصات رقمية مفتوحة، مما يمكن المواطنين من متابعة حالة البيئة في مناطقهم والمقارنة بين المناطق المختلفة. كما يمكن للصحفيين والباحثين ومنظمات المجتمع المدني استخدام هذه البيانات لمراقبة أداء الجهات المعنية ومحاسبتها</w:t>
      </w:r>
      <w:r w:rsidRPr="005D59A7">
        <w:rPr>
          <w:rFonts w:ascii="T" w:hAnsi="T" w:cs="Simplified Arabic"/>
          <w:sz w:val="24"/>
          <w:szCs w:val="24"/>
        </w:rPr>
        <w:t>.</w:t>
      </w:r>
    </w:p>
    <w:p w14:paraId="02128E2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الذكاء الاصطناعي يمكن أن يساهم في تحليل هذه البيانات الضخمة واستخراج الأنماط والاتجاهات التي قد لا تظهر بالطرق التقليدية. على سبيل المثال، يمكن لخوارزميات التعلم الآلي تحديد العلاقات بين الأنشطة الاقتصادية والتلوث، أو التنبؤ بالانبعاثات المستقبلية بناءً على البيانات التاريخية. هذه التحليلات يمكن أن تعزز الشفافية من خلال كشف العلاقات الخفية والعوامل المؤثرة في الأداء البيئي</w:t>
      </w:r>
      <w:r w:rsidRPr="005D59A7">
        <w:rPr>
          <w:rFonts w:ascii="T" w:hAnsi="T" w:cs="Simplified Arabic"/>
          <w:sz w:val="24"/>
          <w:szCs w:val="24"/>
        </w:rPr>
        <w:t>.</w:t>
      </w:r>
    </w:p>
    <w:p w14:paraId="7AB43D0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غير أن الباحثين أشاروا إلى أن التحول الرقمي يثير تحديات جديدة للشفافية، منها: ضمان دقة وموثوقية البيانات المجمعة، وحماية خصوصية الأفراد والمؤسسات، ومنع التلاعب بالبيانات أو تحريفها، وضمان أن تكون المنصات الرقمية في متناول جميع المواطنين بغض النظر عن قدراتهم التقنية. كما أشاروا إلى أن تركيز السلطة والمعلومات في أيدي عدد قليل من الشركات التقنية الكبرى قد يخلق تحديات جديدة للشفافية والمساءلة</w:t>
      </w:r>
      <w:r w:rsidRPr="005D59A7">
        <w:rPr>
          <w:rFonts w:ascii="T" w:hAnsi="T" w:cs="Simplified Arabic"/>
          <w:sz w:val="24"/>
          <w:szCs w:val="24"/>
        </w:rPr>
        <w:t>.</w:t>
      </w:r>
    </w:p>
    <w:p w14:paraId="72D1D886" w14:textId="6A18D8B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المساءلة والرقابة</w:t>
      </w:r>
    </w:p>
    <w:p w14:paraId="19D5D25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تعد المساءلة</w:t>
      </w:r>
      <w:r w:rsidRPr="005D59A7">
        <w:rPr>
          <w:rFonts w:ascii="T" w:hAnsi="T" w:cs="Simplified Arabic"/>
          <w:sz w:val="24"/>
          <w:szCs w:val="24"/>
        </w:rPr>
        <w:t xml:space="preserve"> (Accountability) </w:t>
      </w:r>
      <w:r w:rsidRPr="005D59A7">
        <w:rPr>
          <w:rFonts w:ascii="T" w:hAnsi="T" w:cs="Simplified Arabic"/>
          <w:sz w:val="24"/>
          <w:szCs w:val="24"/>
          <w:rtl/>
        </w:rPr>
        <w:t>من المبادئ الأساسية للحوكمة البيئية، حيث تعني أن الجهات المعنية (الحكومات، الشركات، المؤسسات) يجب أن تتحمل مسؤولية أفعالها وقراراتها البيئية، وأن تخضع للمراقبة والمحاسبة من قبل الجهات المعنية (المواطنين، المجتمع المدني، السلطة القضائية، وسائل الإعلام). تشمل آليات المساءلة البيئية: أنظمة التقارير الدورية، والمراجعة المستقلة، وحق الوصول إلى العدالة، وآليات تظلم المواطنين</w:t>
      </w:r>
      <w:r w:rsidRPr="005D59A7">
        <w:rPr>
          <w:rFonts w:ascii="T" w:hAnsi="T" w:cs="Simplified Arabic"/>
          <w:sz w:val="24"/>
          <w:szCs w:val="24"/>
        </w:rPr>
        <w:t>.</w:t>
      </w:r>
    </w:p>
    <w:p w14:paraId="79042BA2"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Kloppenburg </w:t>
      </w:r>
      <w:r w:rsidRPr="005D59A7">
        <w:rPr>
          <w:rFonts w:ascii="T" w:hAnsi="T" w:cs="Simplified Arabic"/>
          <w:sz w:val="24"/>
          <w:szCs w:val="24"/>
          <w:rtl/>
        </w:rPr>
        <w:t>وآخرون (2022) إلى أن التحول الرقمي في الحوكمة البيئية يخلق فرصاً وتحديات جديدة للمساءلة. من ناحية الفرص، تتيح الأدوات الرقمية طرقاً جديدة للرصد والإبلاغ والمشاركة، مما يعزز شفافية العمليات البيئية ويسهل محاسبة الأطراف المعنية. على سبيل المثال، يمكن للمواطنين استخدام تطبيقات الهواتف الذكية للإبلاغ عن المخالفات البيئية، أو تتبع تنفيذ المشاريع البيئية، أو تقديم ملاحظاتهم على السياسات البيئية. كما يمكن لمنظمات المجتمع المدني استخدام تحليلات البيانات الضخمة لمراقبة أداء الشركات والجهات الحكومية وكشف الانتهاكات البيئية</w:t>
      </w:r>
      <w:r w:rsidRPr="005D59A7">
        <w:rPr>
          <w:rFonts w:ascii="T" w:hAnsi="T" w:cs="Simplified Arabic"/>
          <w:sz w:val="24"/>
          <w:szCs w:val="24"/>
        </w:rPr>
        <w:t>.</w:t>
      </w:r>
    </w:p>
    <w:p w14:paraId="2DE0708F"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من ناحية التحديات، أشار الباحثون إلى أن الأدوات الرقمية قد تخلق تحديات جديدة للمساءلة، منها: خصوصية وأمن البيانات البيئية، حيث قد يكشف جمع وتحليل البيانات البيئية معلومات حساسة عن الأفراد أو الشركات. كما أن تعقيد الخوارزميات والتقنيات الرقمية قد يجعل من الصعب على المواطنين العاديين فهم كيفية عملها وتقييم نزاهتها وموثوقيتها. بالإضافة إلى ذلك، قد تصبح الجهات التي تمتلك البيانات والتقنيات الرقمية (مثل شركات التكنولوجيا الكبرى) أكثر قدرة على التأثير في القرارات البيئية، مما قد يخلق تحديات جديدة للمساءلة الديمقراطية</w:t>
      </w:r>
      <w:r w:rsidRPr="005D59A7">
        <w:rPr>
          <w:rFonts w:ascii="T" w:hAnsi="T" w:cs="Simplified Arabic"/>
          <w:sz w:val="24"/>
          <w:szCs w:val="24"/>
        </w:rPr>
        <w:t>.</w:t>
      </w:r>
    </w:p>
    <w:p w14:paraId="510320BE"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تطوير أطر حوكمة رقمية تضم مبادئ الشفافية والمساءلة والإنصاف. هذه الأطر يجب أن تشمل آليات لضمان خصوصية وأمن البيانات، ومعايير واضحة لاستخدام الخوارزميات في اتخاذ القرارات البيئية، وآليات للمراجعة المستقلة والتظلم، وضمان وصول جميع المواطنين إلى المعلومات والأدوات الرقمية</w:t>
      </w:r>
      <w:r w:rsidRPr="005D59A7">
        <w:rPr>
          <w:rFonts w:ascii="T" w:hAnsi="T" w:cs="Simplified Arabic"/>
          <w:sz w:val="24"/>
          <w:szCs w:val="24"/>
        </w:rPr>
        <w:t>.</w:t>
      </w:r>
    </w:p>
    <w:p w14:paraId="641AC958" w14:textId="563EC57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المشاركة والمواطنة البيئية</w:t>
      </w:r>
    </w:p>
    <w:p w14:paraId="2BD3676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تعد مشاركة المواطنين والمجتمع المدني من المبادئ الأساسية للحوكمة البيئية الفعالة. المشاركة تعني إشراك غير الحكومة (المواطنين، المنظمات غير الحكومية، القطاع الخاص، المؤسسات الأكاديمية) في عمليات صنع القرار البيئي وتنفيذ السياسات ومراقبة الأداء. يمكن أن تتخذ المشاركة أشكالاً متنوعة، من التشاور العام والإطلاع على المعلومات، إلى المشاركة في اللجان الاستشارية، إلى الحق في تقديم الالتماسات والطعون القانونية</w:t>
      </w:r>
      <w:r w:rsidRPr="005D59A7">
        <w:rPr>
          <w:rFonts w:ascii="T" w:hAnsi="T" w:cs="Simplified Arabic"/>
          <w:sz w:val="24"/>
          <w:szCs w:val="24"/>
        </w:rPr>
        <w:t>.</w:t>
      </w:r>
    </w:p>
    <w:p w14:paraId="1C8525B6"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Newig </w:t>
      </w:r>
      <w:r w:rsidRPr="005D59A7">
        <w:rPr>
          <w:rFonts w:ascii="T" w:hAnsi="T" w:cs="Simplified Arabic"/>
          <w:sz w:val="24"/>
          <w:szCs w:val="24"/>
          <w:rtl/>
        </w:rPr>
        <w:t>وآخرون (2023) إلى أن مشاركة أصحاب المصلحة تعد أحد المبادئ الأساسية للحوكمة البيئية الفعالة، حيث تساهم في تحسين جودة القرارات وزيادة قبولها وتنفيذها. أوضح الباحثون، من خلال تحليل 305 دراسة حالة من مختلف دول العالم، أن مشاركة أصحاب المصلحة تؤدي إلى تحسين النتائج البيئية في حوالي 65% من الحالات. هذا التحسن يشمل جوانب متعددة: تحسين جودة القرارات البيئية (من خلال إدخال معارف وخبرات متنوعة)، وزيادة قبول القرارات (مما يسهل تنفيذها ويقلل الصراعات)، وبناء الثقة بين الأطراف المختلفة، وتعزيز التعلم والابتكار</w:t>
      </w:r>
      <w:r w:rsidRPr="005D59A7">
        <w:rPr>
          <w:rFonts w:ascii="T" w:hAnsi="T" w:cs="Simplified Arabic"/>
          <w:sz w:val="24"/>
          <w:szCs w:val="24"/>
        </w:rPr>
        <w:t>.</w:t>
      </w:r>
    </w:p>
    <w:p w14:paraId="33B9580C"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فعالية المشاركة تعتمد بشكل كبير على سياقها، حيث تكون أكثر نجاحاً عندما تتوفر عدة شروط: أن تكون المشاركة مبكرة (في مراحل صنع القرار الأولى، وليس بعد اتخاذ القرارات الرئيسية)، وأن تكون مستمرة (وليس حدثاً لمرة واحدة)، وأن تشمل جميع الأطراف ذات الصلة (وليس فقط الأطراف القوية أو ذات المصالح الواضحة). كما أن المشاركة تكون أكثر فعالية في البيئات الديمقراطية المستقرة ذات المؤسسات القوية والقدرات العالية، حيث تتوفر قنوات وآليات للمشاركة وحماية للمشاركين</w:t>
      </w:r>
      <w:r w:rsidRPr="005D59A7">
        <w:rPr>
          <w:rFonts w:ascii="T" w:hAnsi="T" w:cs="Simplified Arabic"/>
          <w:sz w:val="24"/>
          <w:szCs w:val="24"/>
        </w:rPr>
        <w:t>.</w:t>
      </w:r>
    </w:p>
    <w:p w14:paraId="3460F508"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المشاركة قد تواجه تحديات، منها: اختلاف القوى والمصالح بين الأطراف المشاركة، وصعوبة تحقيق التوازن بين الكفاءة (سرعة اتخاذ القرار) والشمولية (مشاركة الجميع)، وخطر استيلاء النخب أو المجموعات ذات المصالح الخاصة على العملية. كما أن بعض الدراسات أظهرت نتائج سلبية أو مختلطة للمشاركة، خاصة عندما تكون المشاركة شكلية (للمظهر فقط) أو متأخرة (بعد اتخاذ القرارات الرئيسية) أو تقتصر على فئات معينة (دون تمثيل مناسب لجميع الأطراف)</w:t>
      </w:r>
      <w:r w:rsidRPr="005D59A7">
        <w:rPr>
          <w:rFonts w:ascii="T" w:hAnsi="T" w:cs="Simplified Arabic"/>
          <w:sz w:val="24"/>
          <w:szCs w:val="24"/>
        </w:rPr>
        <w:t>.</w:t>
      </w:r>
    </w:p>
    <w:p w14:paraId="02D403A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أوصى الباحثون بضرورة تصميم عمليات مشاركة مصممة خصيصاً لكل سياق، مع التركيز على بناء الثقة وتبادل المعرفة بين الأطراف المختلفة، وتوفير الدعم الفني والمالي للمشاركين، وضمان أن تكون المشاركة حقيقية وليست شكلية. كما أوصوا بإجراء مزيد من البحوث حول آليات المشاركة الأكثر فعالية في السياقات المختلفة، وحول كيفية قياس تأثير المشاركة على النتائج البيئية</w:t>
      </w:r>
      <w:r w:rsidRPr="005D59A7">
        <w:rPr>
          <w:rFonts w:ascii="T" w:hAnsi="T" w:cs="Simplified Arabic"/>
          <w:sz w:val="24"/>
          <w:szCs w:val="24"/>
        </w:rPr>
        <w:t>.</w:t>
      </w:r>
    </w:p>
    <w:p w14:paraId="258AB03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دور الحوكمة في تحسين الأداء البيئي</w:t>
      </w:r>
    </w:p>
    <w:p w14:paraId="5495E49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تساهم الحوكمة البيئية في تحسين الأداء البيئي من خلال عدة آليات مترابطة، منها: تعزيز الابتكار البيئي، وتحسين كفاءة استخدام الموارد، وتقليل التلوث، وتشجيع الانتقال نحو الطاقة المستدامة، وتعزيز الامتثال البيئي، وتحسين الرصد والتقييم</w:t>
      </w:r>
      <w:r w:rsidRPr="005D59A7">
        <w:rPr>
          <w:rFonts w:ascii="T" w:hAnsi="T" w:cs="Simplified Arabic"/>
          <w:sz w:val="24"/>
          <w:szCs w:val="24"/>
        </w:rPr>
        <w:t>.</w:t>
      </w:r>
    </w:p>
    <w:p w14:paraId="156EABA7" w14:textId="77777777" w:rsidR="00354F1D" w:rsidRPr="005D59A7" w:rsidRDefault="00354F1D" w:rsidP="00861DC2">
      <w:pPr>
        <w:bidi/>
        <w:spacing w:line="360" w:lineRule="auto"/>
        <w:ind w:firstLine="720"/>
        <w:jc w:val="both"/>
        <w:rPr>
          <w:rFonts w:ascii="T" w:hAnsi="T" w:cs="Simplified Arabic"/>
          <w:sz w:val="24"/>
          <w:szCs w:val="24"/>
          <w:rtl/>
        </w:rPr>
      </w:pPr>
    </w:p>
    <w:p w14:paraId="51BBEDC0" w14:textId="4129352D"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والابتكار الأخضر</w:t>
      </w:r>
    </w:p>
    <w:p w14:paraId="62E11BD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Albitar </w:t>
      </w:r>
      <w:r w:rsidRPr="005D59A7">
        <w:rPr>
          <w:rFonts w:ascii="T" w:hAnsi="T" w:cs="Simplified Arabic"/>
          <w:sz w:val="24"/>
          <w:szCs w:val="24"/>
          <w:rtl/>
        </w:rPr>
        <w:t>وآخرون (2023) إلى أن الحوكمة البيئية تلعب دوراً تعديلياً مهماً في العلاقة بين الابتكار البيئي للأعمال وانبعاثات الكربون. أوضح الباحثون، من خلال تحليل بيانات من شركات في قطاعات متنوعة، أن أنظمة الحوكمة البيئية القوية (التي تتسم بالشفافية، والمساءلة، والامتثال، والمشاركة) تعزز من تأثير الابتكار البيئي في خفض الانبعاثات. بعبارة أخرى، الاستثمار في الابتكار البيئي (مثل تطوير تقنيات أنظف أو منتجات صديقة للبيئة) يكون أكثر فعالية في تحسين الأداء البيئي عندما تعمل الشركات في بيئات حوكمة قوية</w:t>
      </w:r>
      <w:r w:rsidRPr="005D59A7">
        <w:rPr>
          <w:rFonts w:ascii="T" w:hAnsi="T" w:cs="Simplified Arabic"/>
          <w:sz w:val="24"/>
          <w:szCs w:val="24"/>
        </w:rPr>
        <w:t>.</w:t>
      </w:r>
    </w:p>
    <w:p w14:paraId="3CF5D361"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الباحثون الآليات التي تفسر هذا التأثير المعدل. أولاً، أنظمة الحوكمة القوية تخلق ضغوطاً على الشركات للالتزام بالمعايير البيئية والشفافية في الإبلاغ عن أدائها، مما يحفزها على تحويل استثماراتها في الابتكار إلى تحسينات فعلية. ثانياً، الشفافية والمساءلة تسهل على المستثمرين والجهات التنظيمية والمجتمع المدني مراقبة أداء الشركات ومحاسبتها، مما يزيد من فعالية الابتكار البيئي. ثالثاً، المشاركة وتبادل المعرفة بين الشركات والجهات التنظيمية والجامعات تعزز من قدرة الشركات على تطوير وتطبيق ابتكارات بيئية فعالة</w:t>
      </w:r>
      <w:r w:rsidRPr="005D59A7">
        <w:rPr>
          <w:rFonts w:ascii="T" w:hAnsi="T" w:cs="Simplified Arabic"/>
          <w:sz w:val="24"/>
          <w:szCs w:val="24"/>
        </w:rPr>
        <w:t>.</w:t>
      </w:r>
    </w:p>
    <w:p w14:paraId="4B22771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أشار الباحثون إلى أن الشركات التي تعمل في بيئات حوكمة ضعيفة قد تستثمر في الابتكار البيئي بشكل رمزي أو تسويقي دون تحقيق تحسينات حقيقية في الأداء البيئي. على سبيل المثال، قد تعلن الشركة عن تطوير منتج صديق للبيئة دون تغيير عملياتها الأساسية الملوثة، أو قد تبالغ في فوائدها البيئية دون تقديم أدلة قابلة للتحقق. في غياب الشفافية والمساءلة، يصعب كشف هذه الممارسات ومحاسبة الشركات عليها</w:t>
      </w:r>
      <w:r w:rsidRPr="005D59A7">
        <w:rPr>
          <w:rFonts w:ascii="T" w:hAnsi="T" w:cs="Simplified Arabic"/>
          <w:sz w:val="24"/>
          <w:szCs w:val="24"/>
        </w:rPr>
        <w:t>.</w:t>
      </w:r>
    </w:p>
    <w:p w14:paraId="7FA6078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تعزيز أنظمة الحوكمة البيئية لتحقيق أقصى استفادة من الابتكار البيئي في خفض الانبعاثات وتحسين الأداء البيئي. هذه الأنظمة يجب أن تشمل معايير واضحة للإبلاغ البيئي، وآليات مستقلة للتحقق من صحة المعلومات البيئية، وعقوبات رادعة للتضليل البيئي، وحوافز للشركات التي تحقق تحسينات حقيقية في أدائها البيئي</w:t>
      </w:r>
      <w:r w:rsidRPr="005D59A7">
        <w:rPr>
          <w:rFonts w:ascii="T" w:hAnsi="T" w:cs="Simplified Arabic"/>
          <w:sz w:val="24"/>
          <w:szCs w:val="24"/>
        </w:rPr>
        <w:t>.</w:t>
      </w:r>
    </w:p>
    <w:p w14:paraId="3FBA9C97" w14:textId="64E9D0DE"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والانتقال الطاقي</w:t>
      </w:r>
    </w:p>
    <w:p w14:paraId="6CB4F965"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Bakhsh </w:t>
      </w:r>
      <w:r w:rsidRPr="005D59A7">
        <w:rPr>
          <w:rFonts w:ascii="T" w:hAnsi="T" w:cs="Simplified Arabic"/>
          <w:sz w:val="24"/>
          <w:szCs w:val="24"/>
          <w:rtl/>
        </w:rPr>
        <w:t>وآخرون (2024) إلى أن الحوكمة البيئية تعد عاملاً رئيسياً في تسريع الانتقال نحو الطاقة المستدامة. أوضح الباحثون، من خلال تحليل بيانات من مجموعة واسعة من الدول، أن الحوكمة البيئية الفعالة تساهم في تعزيز تأثير الاستثمار في الطاقة المتجددة على خفض الانبعاثات الكربونية. بعبارة أخرى، الاستثمار في الطاقة المتجددة (مثل طاقة الرياح والطاقة الشمسية) يكون أكثر فعالية في خفض الانبعاثات عندما يكون مصحوباً بأنظمة حوكمة بيئية قوية</w:t>
      </w:r>
      <w:r w:rsidRPr="005D59A7">
        <w:rPr>
          <w:rFonts w:ascii="T" w:hAnsi="T" w:cs="Simplified Arabic"/>
          <w:sz w:val="24"/>
          <w:szCs w:val="24"/>
        </w:rPr>
        <w:t>.</w:t>
      </w:r>
    </w:p>
    <w:p w14:paraId="5D74488B"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الباحثون أن الحوكمة البيئية تعزز الانتقال الطاقي من خلال عدة آليات. أولاً، أنظمة الحوكمة القوية توفر الاستقرار واليقين للمستثمرين في قطاع الطاقة المتجددة، من خلال وضع قواعد واضحة وطويلة الأجل، وآليات مستقلة لتسوية النزاعات، وحماية حقوق المستثمرين. هذا الاستقرار يشجع على الاستثمار في مشاريع الطاقة المتجددة الكبيرة والمكلفة التي تحتاج إلى عوائد على مدى عقود. ثانياً، الشفافية والمشاركة تسهلان بناء القبول الاجتماعي لمشاريع الطاقة المتجددة، من خلال إشراك المجتمعات المحلية في التخطيط واتخاذ القرار، وتوفير المعلومات حول الفوائد والمخاطر. ثالثاً، المساءلة والرقابة تضمن أن مشاريع الطاقة المتجددة تلتزم بالمعايير البيئية والاجتماعية، وتحد من الآثار السلبية المحتملة (مثل تأثير مزارع الرياح على الطيور أو تأثير السدود على النظم البيئية المائية)</w:t>
      </w:r>
      <w:r w:rsidRPr="005D59A7">
        <w:rPr>
          <w:rFonts w:ascii="T" w:hAnsi="T" w:cs="Simplified Arabic"/>
          <w:sz w:val="24"/>
          <w:szCs w:val="24"/>
        </w:rPr>
        <w:t>.</w:t>
      </w:r>
    </w:p>
    <w:p w14:paraId="6781B435"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أشار الباحثون إلى أن العوامل الجيوسياسية والتعقيد الاقتصادي يمكن أن تعزز أو تضعف من تأثير الحوكمة البيئية. في الدول ذات التعقيد الاقتصادي المرتفع (اقتصادات متنوعة ومتقدمة)، تكون الحوكمة البيئية أكثر فعالية لأنها تتفاعل مع مؤسسات اقتصادية قوية وكوادر بشرية مؤهلة. في المقابل، في الدول ذات التعقيد الاقتصادي المنخفض (التي تعتمد على تصدير المواد الخام)، قد تكون الحوكمة البيئية أقل فعالية بسبب ضعف المؤسسات وقلة الموارد. أما العوامل الجيوسياسية، فالتوترات والصراعات قد تضعف الحوكمة البيئية من خلال تحويل الانتباه والموارد بعيداً عن البيئة، وتقويض التعاون الدولي، وزيادة عدم اليقين للمستثمرين</w:t>
      </w:r>
      <w:r w:rsidRPr="005D59A7">
        <w:rPr>
          <w:rFonts w:ascii="T" w:hAnsi="T" w:cs="Simplified Arabic"/>
          <w:sz w:val="24"/>
          <w:szCs w:val="24"/>
        </w:rPr>
        <w:t>.</w:t>
      </w:r>
    </w:p>
    <w:p w14:paraId="5AD6794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أوصى الباحثون بضرورة تعزيز أنظمة الحوكمة البيئية كجزء أساسي من استراتيجيات الانتقال الطاقي، خاصة في الدول ذات التعقيد الاقتصادي المرتفع والتوترات الجيوسياسية. كما أوصوا بضرورة التعاون الدولي لدعم بناء القدرات المؤسسية في مجال الحوكمة البيئية في الدول النامية</w:t>
      </w:r>
      <w:r w:rsidRPr="005D59A7">
        <w:rPr>
          <w:rFonts w:ascii="T" w:hAnsi="T" w:cs="Simplified Arabic"/>
          <w:sz w:val="24"/>
          <w:szCs w:val="24"/>
        </w:rPr>
        <w:t>.</w:t>
      </w:r>
    </w:p>
    <w:p w14:paraId="3AE7AD4D" w14:textId="78FEC676"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الحوكمة البيئية وكفاءة الموارد</w:t>
      </w:r>
    </w:p>
    <w:p w14:paraId="6C62EB60" w14:textId="1155C32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صالح (2024) إلى أن الحوكمة البيئية تلعب دوراً حيوياً في تحسين كفاءة استخدام الموارد الطبيعية، من خلال تعزيز الشفافية والمساءلة والمشاركة في إدارة الموارد. أوضح الباحثون أن أنظمة الحوكمة البيئية القوية تساهم في تحسين كفاءة استخدام المياه والطاقة والأراضي، وتقليل الفاقد والهدر، وزيادة إعادة التدوير والاستفادة من المخلفات</w:t>
      </w:r>
      <w:r w:rsidRPr="005D59A7">
        <w:rPr>
          <w:rFonts w:ascii="T" w:hAnsi="T" w:cs="Simplified Arabic"/>
          <w:sz w:val="24"/>
          <w:szCs w:val="24"/>
        </w:rPr>
        <w:t>.</w:t>
      </w:r>
    </w:p>
    <w:p w14:paraId="771E3634" w14:textId="222C6BA3"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 أن الحوكمة البيئية تحسن كفاءة الموارد من خلال عدة آليات. أولاً، الشفافية في الإبلاغ عن استخدام الموارد وتكاليفها تسمح بتحديد أوجه الهدر والاستخدام غير الفعال. ثانياً، المساءلة تحفز الجهات المعنية على تحسين كفاءة استخدام الموارد، حيث يمكن محاسبتها على الأداء الضعيف. ثالثاً، المشاركة تتيح تبادل المعرفة والخبرات حول أفضل الممارسات في كفاءة الموارد بين مختلف الأطراف. رابعاً، الامتثال للمعايير واللوائح يفرض حداً أدنى من كفاءة الموارد على جميع الجهات الفاعلة</w:t>
      </w:r>
      <w:r w:rsidRPr="005D59A7">
        <w:rPr>
          <w:rFonts w:ascii="T" w:hAnsi="T" w:cs="Simplified Arabic"/>
          <w:sz w:val="24"/>
          <w:szCs w:val="24"/>
        </w:rPr>
        <w:t>.</w:t>
      </w:r>
    </w:p>
    <w:p w14:paraId="269E6C29" w14:textId="1D2A1619"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أشار الباحث إلى أن تحسين كفاءة الموارد من خلال الحوكمة البيئية يساهم في تحقيق فوائد اقتصادية وبيئية متعددة. اقتصادياً، تقليل استهلاك الموارد يخفض التكاليف التشغيلية ويزيد التنافسية. بيئياً، تقليل استهلاك </w:t>
      </w:r>
      <w:r w:rsidRPr="005D59A7">
        <w:rPr>
          <w:rFonts w:ascii="T" w:hAnsi="T" w:cs="Simplified Arabic"/>
          <w:sz w:val="24"/>
          <w:szCs w:val="24"/>
          <w:rtl/>
        </w:rPr>
        <w:lastRenderedPageBreak/>
        <w:t>الموارد يقلل من الضغط على النظم البيئية ويخفض التلوث والانبعاثات. اجتماعياً، كفاءة الموارد تساهم في تحقيق الأمن المائي والغذائي والطاقي، وتحسين جودة الحياة</w:t>
      </w:r>
      <w:r w:rsidRPr="005D59A7">
        <w:rPr>
          <w:rFonts w:ascii="T" w:hAnsi="T" w:cs="Simplified Arabic"/>
          <w:sz w:val="24"/>
          <w:szCs w:val="24"/>
        </w:rPr>
        <w:t>.</w:t>
      </w:r>
    </w:p>
    <w:p w14:paraId="24E168E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رابعاً: التحديات التي تواجه تطبيق الحوكمة البيئية</w:t>
      </w:r>
    </w:p>
    <w:p w14:paraId="76818F73"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تواجه تطبيق الحوكمة البيئية تحديات متعددة على المستويات المحلية والوطنية والدولية، تتعلق بالتعقيد المؤسسي، وعدم اليقين، والصراعات بين المصالح، والفجوات في القدرات والموارد، والتحولات التكنولوجية السريعة، والسياقات السياسية والاقتصادية غير المستقرة</w:t>
      </w:r>
      <w:r w:rsidRPr="005D59A7">
        <w:rPr>
          <w:rFonts w:ascii="T" w:hAnsi="T" w:cs="Simplified Arabic"/>
          <w:sz w:val="24"/>
          <w:szCs w:val="24"/>
        </w:rPr>
        <w:t>.</w:t>
      </w:r>
    </w:p>
    <w:p w14:paraId="51B58D8A"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عدم اليقين والحوكمة التكيفية</w:t>
      </w:r>
    </w:p>
    <w:p w14:paraId="537C48B9" w14:textId="49708EF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w:t>
      </w:r>
      <w:r w:rsidRPr="005D59A7">
        <w:rPr>
          <w:rFonts w:ascii="T" w:hAnsi="T" w:cs="Simplified Arabic"/>
          <w:sz w:val="24"/>
          <w:szCs w:val="24"/>
        </w:rPr>
        <w:t xml:space="preserve"> </w:t>
      </w:r>
      <w:r w:rsidR="0091720A" w:rsidRPr="005D59A7">
        <w:rPr>
          <w:rFonts w:ascii="T" w:hAnsi="T" w:cs="Simplified Arabic"/>
          <w:sz w:val="24"/>
          <w:szCs w:val="24"/>
        </w:rPr>
        <w:t>Mehta,</w:t>
      </w:r>
      <w:r w:rsidRPr="005D59A7">
        <w:rPr>
          <w:rFonts w:ascii="T" w:hAnsi="T" w:cs="Simplified Arabic"/>
          <w:sz w:val="24"/>
          <w:szCs w:val="24"/>
        </w:rPr>
        <w:t xml:space="preserve">Scoones (2025) </w:t>
      </w:r>
      <w:r w:rsidRPr="005D59A7">
        <w:rPr>
          <w:rFonts w:ascii="T" w:hAnsi="T" w:cs="Simplified Arabic"/>
          <w:sz w:val="24"/>
          <w:szCs w:val="24"/>
          <w:rtl/>
        </w:rPr>
        <w:t>إلى أن الحوكمة البيئية في عالم غير مؤكد تواجه تحديات كبيرة تتعلق بتغير المناخ، والأزمات الاقتصادية، والصراعات السياسية، والتحولات التكنولوجية السريعة، والجوائح الصحية. أوضح الباحثون أن هذه التحديات تتسم بدرجة عالية من عدم اليقين، حيث يصعب التنبؤ بمسارها وتوقيتها وتأثيراتها. كما أنها مترابطة، حيث يمكن لأزمة في مجال واحد (مثل جائحة صحية) أن تؤثر على مجالات أخرى (مثل الاقتصاد والبيئة)، مما يزيد من تعقيد إدارتها</w:t>
      </w:r>
      <w:r w:rsidRPr="005D59A7">
        <w:rPr>
          <w:rFonts w:ascii="T" w:hAnsi="T" w:cs="Simplified Arabic"/>
          <w:sz w:val="24"/>
          <w:szCs w:val="24"/>
        </w:rPr>
        <w:t>.</w:t>
      </w:r>
    </w:p>
    <w:p w14:paraId="07098E20" w14:textId="75BC3BE0"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عدم اليقين هذا يتطلب أنظمة حوكمة مرنة وقادرة على التكيف، تتسم بالقدرة على التعلم والتجريب والمراجعة المستمرة. الحوكمة التقليدية التي تعتمد على التخطيط طويل الأجل والتنبؤ تفترض عالماً مستقراً يمكن التنبؤ به، وهو ما لم يعد واقعياً في ظل التغيرات السريعة وغير المتوقعة. بدلاً من ذلك، هناك حاجة إلى مقاربات حوكمة تكيفية</w:t>
      </w:r>
      <w:r w:rsidR="0091720A" w:rsidRPr="005D59A7">
        <w:rPr>
          <w:rFonts w:ascii="T" w:hAnsi="T" w:cs="Simplified Arabic"/>
          <w:sz w:val="24"/>
          <w:szCs w:val="24"/>
          <w:rtl/>
        </w:rPr>
        <w:t xml:space="preserve"> </w:t>
      </w:r>
      <w:r w:rsidRPr="005D59A7">
        <w:rPr>
          <w:rFonts w:ascii="T" w:hAnsi="T" w:cs="Simplified Arabic"/>
          <w:sz w:val="24"/>
          <w:szCs w:val="24"/>
          <w:rtl/>
        </w:rPr>
        <w:t>تركز على المرونة والقدرة على التكيف والتعلم من التجارب</w:t>
      </w:r>
      <w:r w:rsidRPr="005D59A7">
        <w:rPr>
          <w:rFonts w:ascii="T" w:hAnsi="T" w:cs="Simplified Arabic"/>
          <w:sz w:val="24"/>
          <w:szCs w:val="24"/>
        </w:rPr>
        <w:t>.</w:t>
      </w:r>
    </w:p>
    <w:p w14:paraId="116B234D"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الباحثون أن الحوكمة التكيفية تتسم بعدة خصائص: أولاً، اللامركزية وتفويض السلطة إلى المستويات الأدنى التي تتمتع بمعلومات أكثر حداثة وقدرة على الاستجابة السريعة. ثانياً، التعلم المستمر من خلال المراقبة والتقييم المنتظمين، والتعديل المستمر للسياسات بناءً على ما يتم تعلمه. ثالثاً، التجريب والابتكار، من خلال اختبار حلول جديدة على نطاق صغير قبل تعميمها. رابعاً، المشاركة الواسعة، من خلال إشراك جميع أصحاب المصلحة في عمليات التعلم والتكيف. خامساً، بناء المرونة</w:t>
      </w:r>
      <w:r w:rsidRPr="005D59A7">
        <w:rPr>
          <w:rFonts w:ascii="T" w:hAnsi="T" w:cs="Simplified Arabic"/>
          <w:sz w:val="24"/>
          <w:szCs w:val="24"/>
        </w:rPr>
        <w:t xml:space="preserve"> (resilience)</w:t>
      </w:r>
      <w:r w:rsidRPr="005D59A7">
        <w:rPr>
          <w:rFonts w:ascii="T" w:hAnsi="T" w:cs="Simplified Arabic"/>
          <w:sz w:val="24"/>
          <w:szCs w:val="24"/>
          <w:rtl/>
        </w:rPr>
        <w:t>، أي القدرة على الصمود والنهوض بعد الصدمات والأزمات</w:t>
      </w:r>
      <w:r w:rsidRPr="005D59A7">
        <w:rPr>
          <w:rFonts w:ascii="T" w:hAnsi="T" w:cs="Simplified Arabic"/>
          <w:sz w:val="24"/>
          <w:szCs w:val="24"/>
        </w:rPr>
        <w:t>.</w:t>
      </w:r>
    </w:p>
    <w:p w14:paraId="6D2C65C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أوصى الباحثون بضرورة تبني مقاربات حوكمة تكيفية في مواجهة عدم اليقين، مع التركيز على بناء القدرات المؤسسية والبشرية اللازمة للتكيف والتعلم، وتعزيز المشاركة والشفافية لبناء الثقة في مواجهة عدم اليقين، وتطوير أنظمة مراقبة وتقييم تسمح بالتعلم المستمر والتعديل السريع للسياسات</w:t>
      </w:r>
      <w:r w:rsidRPr="005D59A7">
        <w:rPr>
          <w:rFonts w:ascii="T" w:hAnsi="T" w:cs="Simplified Arabic"/>
          <w:sz w:val="24"/>
          <w:szCs w:val="24"/>
        </w:rPr>
        <w:t>.</w:t>
      </w:r>
    </w:p>
    <w:p w14:paraId="0530AA04"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الفجوات في القدرات والموارد</w:t>
      </w:r>
    </w:p>
    <w:p w14:paraId="3F46AF29" w14:textId="2ACA915E"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أشار بن نواعي، </w:t>
      </w:r>
      <w:r w:rsidR="0091720A" w:rsidRPr="005D59A7">
        <w:rPr>
          <w:rFonts w:ascii="T" w:hAnsi="T" w:cs="Simplified Arabic"/>
          <w:sz w:val="24"/>
          <w:szCs w:val="24"/>
          <w:rtl/>
        </w:rPr>
        <w:t>اخرون</w:t>
      </w:r>
      <w:r w:rsidRPr="005D59A7">
        <w:rPr>
          <w:rFonts w:ascii="T" w:hAnsi="T" w:cs="Simplified Arabic"/>
          <w:sz w:val="24"/>
          <w:szCs w:val="24"/>
          <w:rtl/>
        </w:rPr>
        <w:t xml:space="preserve"> (2025) إلى أن تطبيق الحوكمة البيئية يواجه تحديات كبيرة تتعلق بضعف القدرات المؤسسية والبشرية، ومحدودية الموارد المالية والتقنية. أوضح الباحثون أن أنظمة الحوكمة البيئية تتطلب مؤسسات قوية قادرة على وضع السياسات، وتنفيذها، ومراقبة الالتزام، ومحاسبة المخالفين. كما تتطلب كوادر بشرية مؤهلة في مجالات متعددة: القانون البيئي، والاقتصاد البيئي، والهندسة البيئية، والإدارة البيئية، والاتصال والمشاركة</w:t>
      </w:r>
      <w:r w:rsidRPr="005D59A7">
        <w:rPr>
          <w:rFonts w:ascii="T" w:hAnsi="T" w:cs="Simplified Arabic"/>
          <w:sz w:val="24"/>
          <w:szCs w:val="24"/>
        </w:rPr>
        <w:t>.</w:t>
      </w:r>
    </w:p>
    <w:p w14:paraId="2EAFAAEA"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الباحثون إلى أن الفجوات في القدرات والموارد تؤدي إلى عدة مشكلات في تطبيق الحوكمة البيئية. أولاً، ضعف وضع السياسات البيئية: قد تكون السياسات غير واضحة أو غير قابلة للتنفيذ أو غير متسقة مع السياسات في القطاعات الأخرى. ثانياً، ضعف التنفيذ: قد لا تُنفذ السياسات بشكل فعال بسبب نقص الموارد أو الكوادر أو الإرادة السياسية. ثالثاً، ضعف المراقبة والرصد: قد لا تتم مراقبة الأداء البيئي بشكل كافٍ، مما يسمح باستمرار المخالفات دون اكتشافها. رابعاً، ضعف المحاسبة: قد لا تتم محاسبة المخالفين بسبب ضعف النظام القضائي أو الفساد أو نقص الموارد</w:t>
      </w:r>
      <w:r w:rsidRPr="005D59A7">
        <w:rPr>
          <w:rFonts w:ascii="T" w:hAnsi="T" w:cs="Simplified Arabic"/>
          <w:sz w:val="24"/>
          <w:szCs w:val="24"/>
        </w:rPr>
        <w:t>.</w:t>
      </w:r>
    </w:p>
    <w:p w14:paraId="43FF9230"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الباحثون أن هذه الفجوات تتفاقم في ظل التحولات السريعة والتحديات المتزايدة، حيث تزداد الحاجة إلى قدرات وموارد أكبر لمواكبة التغيرات. كما أن الفجوات في القدرات والموارد تؤدي إلى تفاوت في تطبيق الحوكمة البيئية بين المناطق والقطاعات المختلفة، حيث تتوفر القدرات والموارد بشكل أفضل في المناطق الحضرية والقطاعات الكبيرة عنها في المناطق الريفية والقطاعات الصغيرة</w:t>
      </w:r>
      <w:r w:rsidRPr="005D59A7">
        <w:rPr>
          <w:rFonts w:ascii="T" w:hAnsi="T" w:cs="Simplified Arabic"/>
          <w:sz w:val="24"/>
          <w:szCs w:val="24"/>
        </w:rPr>
        <w:t>.</w:t>
      </w:r>
    </w:p>
    <w:p w14:paraId="6D38622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أوصى الباحثون بضرورة الاستثمار في بناء القدرات المؤسسية والبشرية لتعزيز الحوكمة البيئية. هذا يشمل تطوير برامج تدريبية للكوادر العاملة في المجال البيئي، وإنشاء وحدات متخصصة للحوكمة البيئية في </w:t>
      </w:r>
      <w:r w:rsidRPr="005D59A7">
        <w:rPr>
          <w:rFonts w:ascii="T" w:hAnsi="T" w:cs="Simplified Arabic"/>
          <w:sz w:val="24"/>
          <w:szCs w:val="24"/>
          <w:rtl/>
        </w:rPr>
        <w:lastRenderedPageBreak/>
        <w:t>المؤسسات المعنية، وتطوير أنظمة معلومات بيئية متكاملة، وتوفير التمويل الكافي لأنشطة الرصد والمراقبة والتقييم. كما أوصوا بضرورة التعاون الدولي لدعم بناء القدرات في الدول ذات الموارد المحدودة</w:t>
      </w:r>
      <w:r w:rsidRPr="005D59A7">
        <w:rPr>
          <w:rFonts w:ascii="T" w:hAnsi="T" w:cs="Simplified Arabic"/>
          <w:sz w:val="24"/>
          <w:szCs w:val="24"/>
        </w:rPr>
        <w:t>.</w:t>
      </w:r>
    </w:p>
    <w:p w14:paraId="43174DF9" w14:textId="77777777"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تعارض المصالح والصراعات</w:t>
      </w:r>
    </w:p>
    <w:p w14:paraId="404DA7D4" w14:textId="383785E9"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القروى (2024) إلى أن تطبيق الحوكمة البيئية في المؤسسات يواجه تحديات تتعلق بتعارض المصالح بين مختلف الأطراف المعنية. أوضح الباحثون أن هناك غالباً تعارضاً بين الأهداف الاقتصادية (الربحية، النمو، خفض التكاليف) والأهداف البيئية (حماية البيئة، خفض التلوث، الاستدامة). هذا التعارض يخلق صراعات داخل المؤسسات (بين الإدارات المختلفة) وبين المؤسسات والمجتمع المحلي والجهات التنظيمية</w:t>
      </w:r>
      <w:r w:rsidRPr="005D59A7">
        <w:rPr>
          <w:rFonts w:ascii="T" w:hAnsi="T" w:cs="Simplified Arabic"/>
          <w:sz w:val="24"/>
          <w:szCs w:val="24"/>
        </w:rPr>
        <w:t>.</w:t>
      </w:r>
    </w:p>
    <w:p w14:paraId="035C70C5" w14:textId="45190F6A"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أشار الباحث إلى أن تعارض المصالح يمكن أن يؤدي إلى عدة مشكلات في تطبيق الحوكمة البيئية. أولاً، ضعف الالتزام بالسياسات البيئية: قد تتردد المؤسسات في تبني سياسات بيئية صارمة خوفاً من تأثيرها السلبي على أرباحها أو قدرتها التنافسية. ثانياً، ضعف الشفافية: قد تخفي المؤسسات معلومات عن أدائها البيئي خوفاً من العقوبات أو الإضرار بسمعتها. ثالثاً، ضعف المشاركة: قد تهمش المؤسسات أصحاب المصلحة المعنيين بالبيئة (مثل المجتمعات المحلية أو المنظمات البيئية) خوفاً من أن يعيقوا أهدافها الاقتصادية</w:t>
      </w:r>
      <w:r w:rsidRPr="005D59A7">
        <w:rPr>
          <w:rFonts w:ascii="T" w:hAnsi="T" w:cs="Simplified Arabic"/>
          <w:sz w:val="24"/>
          <w:szCs w:val="24"/>
        </w:rPr>
        <w:t>.</w:t>
      </w:r>
    </w:p>
    <w:p w14:paraId="3092177F" w14:textId="6D713231" w:rsidR="00354F1D" w:rsidRPr="005D59A7" w:rsidRDefault="00354F1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أوضح الباحث أن معالجة تعارض المصالح تتطلب آليات حوكمة قوية تضمن تحقيق التوازن بين الأهداف الاقتصادية والبيئية. من أهم هذه الآليات: وضع معايير واضحة لاتخاذ القرارات التي تمس البيئة، وإشراك جميع أصحاب المصلحة في عمليات صنع القرار، وإنشاء آليات مستقلة للرقابة والتظلم، وتطوير أنظمة حوافز تشجع على الالتزام البيئي، وفرض عقوبات رادعة على المخالفين</w:t>
      </w:r>
      <w:r w:rsidRPr="005D59A7">
        <w:rPr>
          <w:rFonts w:ascii="T" w:hAnsi="T" w:cs="Simplified Arabic"/>
          <w:sz w:val="24"/>
          <w:szCs w:val="24"/>
        </w:rPr>
        <w:t>.</w:t>
      </w:r>
    </w:p>
    <w:p w14:paraId="5A071F92" w14:textId="6B49B359" w:rsidR="00C57CC8" w:rsidRPr="005D59A7" w:rsidRDefault="00C57CC8" w:rsidP="00C476D6">
      <w:pPr>
        <w:pStyle w:val="Heading2"/>
        <w:bidi/>
        <w:rPr>
          <w:rFonts w:ascii="T" w:hAnsi="T" w:cs="Simplified Arabic"/>
          <w:color w:val="auto"/>
          <w:sz w:val="24"/>
          <w:szCs w:val="24"/>
          <w:rtl/>
        </w:rPr>
      </w:pPr>
      <w:bookmarkStart w:id="71" w:name="_Toc225991373"/>
      <w:r w:rsidRPr="005D59A7">
        <w:rPr>
          <w:rFonts w:ascii="T" w:hAnsi="T" w:cs="Simplified Arabic"/>
          <w:color w:val="auto"/>
          <w:sz w:val="24"/>
          <w:szCs w:val="24"/>
          <w:rtl/>
        </w:rPr>
        <w:t xml:space="preserve">المحور </w:t>
      </w:r>
      <w:r w:rsidR="0091720A" w:rsidRPr="005D59A7">
        <w:rPr>
          <w:rFonts w:ascii="T" w:hAnsi="T" w:cs="Simplified Arabic"/>
          <w:color w:val="auto"/>
          <w:sz w:val="24"/>
          <w:szCs w:val="24"/>
          <w:rtl/>
        </w:rPr>
        <w:t>الثالث</w:t>
      </w:r>
      <w:r w:rsidRPr="005D59A7">
        <w:rPr>
          <w:rFonts w:ascii="T" w:hAnsi="T" w:cs="Simplified Arabic"/>
          <w:color w:val="auto"/>
          <w:sz w:val="24"/>
          <w:szCs w:val="24"/>
          <w:rtl/>
        </w:rPr>
        <w:t>: دراسات العلاقة بين الشراكات والحوكمة</w:t>
      </w:r>
      <w:bookmarkEnd w:id="71"/>
    </w:p>
    <w:p w14:paraId="3092098C"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حول تأثير الشراكات على أنظمة الحوكمة</w:t>
      </w:r>
    </w:p>
    <w:p w14:paraId="6D851281"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تشير الأدبيات إلى أن الشراكات بين القطاعين العام والخاص تمثل تحولاً جوهرياً في طريقة إدارة وتقديم الخدمات العامة، مما يخلق تحديات جديدة لأنظمة الحوكمة التقليدية التي صممت أساساً للتعامل مع القطاع العام وحده</w:t>
      </w:r>
      <w:r w:rsidRPr="005D59A7">
        <w:rPr>
          <w:rFonts w:ascii="T" w:hAnsi="T" w:cs="Simplified Arabic"/>
          <w:sz w:val="24"/>
          <w:szCs w:val="24"/>
        </w:rPr>
        <w:t>.</w:t>
      </w:r>
    </w:p>
    <w:p w14:paraId="4F715F31" w14:textId="0D0DD609"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سعت دراسة (</w:t>
      </w:r>
      <w:r w:rsidRPr="005D59A7">
        <w:rPr>
          <w:rFonts w:ascii="T" w:hAnsi="T" w:cs="Simplified Arabic"/>
          <w:sz w:val="24"/>
          <w:szCs w:val="24"/>
        </w:rPr>
        <w:t>Hodge, Greve, &amp; Biygautane (2018</w:t>
      </w:r>
      <w:r w:rsidRPr="005D59A7">
        <w:rPr>
          <w:rFonts w:ascii="T" w:hAnsi="T" w:cs="Simplified Arabic"/>
          <w:sz w:val="24"/>
          <w:szCs w:val="24"/>
          <w:rtl/>
        </w:rPr>
        <w:t xml:space="preserve"> إلى تقديم إجابة شاملة على سؤال محوري: هل تنجح الشراكات بين القطاعين العام والخاص فعلاً؟ اعتمدوا على منهجية المراجعة المنهجية للأدبيات، محللين عقوداً من الدراسات النظرية والتطبيقية حول أداء الشراكات في مختلف دول العالم. توصلوا إلى أن الإجابة على هذا السؤال ليست بسيطة أو مطلقة، بل تعتمد بشكل كبير على السياق المؤسسي والسياسي والاقتصادي الذي تنفذ فيه الشراكة. أشار الباحثون إلى أن النجاح غالباً ما يُقاس بمقاييس محدودة مثل توفير التكاليف أو نقل المخاطر، بينما تُهمل أبعاد أخرى مثل الشفافية والمساءلة والقيمة الاجتماعية طويلة الأجل. كما لاحظ الباحثون وجود فجوة معرفية فيما يتعلق بكيفية تعلم المنظمات من تجاربها في الشراكات. أوصت الدراسة بضرورة تطوير أطر تقييم أكثر شمولاً تأخذ في الاعتبار الأبعاد المتعددة لأداء الشراكات، وإجراء المزيد من البحوث المقارنة بين الدول لتحديد العوامل المؤسسية والثقافية التي تؤثر على نجاح الشراكات</w:t>
      </w:r>
      <w:r w:rsidRPr="005D59A7">
        <w:rPr>
          <w:rFonts w:ascii="T" w:hAnsi="T" w:cs="Simplified Arabic"/>
          <w:sz w:val="24"/>
          <w:szCs w:val="24"/>
        </w:rPr>
        <w:t>.</w:t>
      </w:r>
    </w:p>
    <w:p w14:paraId="0BFD49B8" w14:textId="36106F6C"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ركزت دراسة </w:t>
      </w:r>
      <w:r w:rsidRPr="005D59A7">
        <w:rPr>
          <w:rFonts w:ascii="T" w:hAnsi="T" w:cs="Simplified Arabic"/>
          <w:sz w:val="24"/>
          <w:szCs w:val="24"/>
        </w:rPr>
        <w:t>Hodge &amp; Greve (2018)</w:t>
      </w:r>
      <w:r w:rsidRPr="005D59A7">
        <w:rPr>
          <w:rFonts w:ascii="T" w:hAnsi="T" w:cs="Simplified Arabic"/>
          <w:sz w:val="24"/>
          <w:szCs w:val="24"/>
          <w:rtl/>
        </w:rPr>
        <w:t xml:space="preserve"> على تطوير أجندة بحثية عالمية للشراكات بين القطاعين العام والخاص المعاصرة. اعتمدوا على مراجعة نقدية للأدبيات الحالية وتحليل للاتجاهات الناشئة في مجال أبحاث الشراكة. توصلوا إلى أن أبحاث الشراكة تحتاج إلى تجاوز الأسئلة التقليدية حول "هل تعمل الشراكة؟" إلى أسئلة أكثر تعقيداً حول "كيف ومتى ولماذا تعمل الشراكة في سياقات مختلفة؟". أشار الباحثون إلى أن أنظمة الحوكمة المؤثرة على أداء الشراكة تشمل ثلاثة مستويات مترابطة: مستوى السياسات الكلية (التي تحدد الإطار القانوني والمؤسسي العام)، ومستوى تنظيم القطاع (الذي يحدد قواعد المنافسة وحماية المستهلك)، ومستوى إدارة المشروع (الذي يشمل العقود وآليات المراقبة اليومية). كما أشاروا إلى أن نجاح الشراكات يتطلب توافقاً بين هذه المستويات الثلاثة. أوصى الباحثون بتوجيه البحوث المستقبلية نحو فهم التفاعلات بين هذه المستويات، ودور الجهات الفاعلة غير الحكومية (مثل المجتمع المدني ووسائل الإعلام) في تشكيل أداء الشراكات</w:t>
      </w:r>
      <w:r w:rsidRPr="005D59A7">
        <w:rPr>
          <w:rFonts w:ascii="T" w:hAnsi="T" w:cs="Simplified Arabic"/>
          <w:sz w:val="24"/>
          <w:szCs w:val="24"/>
        </w:rPr>
        <w:t>.</w:t>
      </w:r>
    </w:p>
    <w:p w14:paraId="2B49EF2C" w14:textId="6CC4DAC8"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أجرى </w:t>
      </w:r>
      <w:r w:rsidRPr="005D59A7">
        <w:rPr>
          <w:rFonts w:ascii="T" w:hAnsi="T" w:cs="Simplified Arabic"/>
          <w:sz w:val="24"/>
          <w:szCs w:val="24"/>
        </w:rPr>
        <w:t>Xiong, et al (2019)</w:t>
      </w:r>
      <w:r w:rsidRPr="005D59A7">
        <w:rPr>
          <w:rFonts w:ascii="T" w:hAnsi="T" w:cs="Simplified Arabic"/>
          <w:sz w:val="24"/>
          <w:szCs w:val="24"/>
          <w:rtl/>
        </w:rPr>
        <w:t xml:space="preserve"> مراجعة منهجية لأدبيات دراسات الحالة حول حوكمة الشراكات بين القطاعين العام والخاص. اعتمدوا على تحليل 87 دراسة حالة منشورة في مجلات محكمة، بهدف تحديد الأنماط المشتركة والفجوات المعرفية في هذا المجال. توصلوا إلى أن معظم دراسات الحالة ركزت على مرحلة توقيع العقد وما بعده، بينما أهملت مرحلة الإعداد والتخطيط التي تشكل الأساس لنجاح الشراكة. كما وجدوا أن الدراسات ركزت بشكل غير متناسب على مشاريع البنية التحتية الكبيرة في الدول المتقدمة، مع إهمال المشاريع الصغيرة </w:t>
      </w:r>
      <w:r w:rsidRPr="005D59A7">
        <w:rPr>
          <w:rFonts w:ascii="T" w:hAnsi="T" w:cs="Simplified Arabic"/>
          <w:sz w:val="24"/>
          <w:szCs w:val="24"/>
          <w:rtl/>
        </w:rPr>
        <w:lastRenderedPageBreak/>
        <w:t>والمتوسطة في الدول النامية. أشار الباحثون إلى أن حوكمة الشراكات تتأثر بعوامل سياقية متعددة، منها الاستقرار السياسي، وجودة المؤسسات القانونية، ومستوى الفساد، ودرجة تطور الأسواق المالية. أوصى الباحثون بضرورة إجراء المزيد من دراسات الحالة المقارنة التي تأخذ في الاعتبار هذه العوامل السياقية، وتطوير أطر نظرية أكثر حساسية للسياق في تحليل حوكمة الشراكات</w:t>
      </w:r>
      <w:r w:rsidRPr="005D59A7">
        <w:rPr>
          <w:rFonts w:ascii="T" w:hAnsi="T" w:cs="Simplified Arabic"/>
          <w:sz w:val="24"/>
          <w:szCs w:val="24"/>
        </w:rPr>
        <w:t>.</w:t>
      </w:r>
    </w:p>
    <w:p w14:paraId="34322A7A"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دراسات حول تأثير الحوكمة على تنظيم وأداء الشراكات</w:t>
      </w:r>
    </w:p>
    <w:p w14:paraId="039457CD"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تلعب الحوكمة دوراً حاسماً في تنظيم الشراكات وضمان نجاحها، من خلال وضع القواعد والمعايير التي تحكم العلاقة بين الشركاء، وتحديد آليات اتخاذ القرار، وضمان الالتزام بأهداف المصلحة العامة</w:t>
      </w:r>
      <w:r w:rsidRPr="005D59A7">
        <w:rPr>
          <w:rFonts w:ascii="T" w:hAnsi="T" w:cs="Simplified Arabic"/>
          <w:sz w:val="24"/>
          <w:szCs w:val="24"/>
        </w:rPr>
        <w:t>.</w:t>
      </w:r>
    </w:p>
    <w:p w14:paraId="6CBBC349" w14:textId="40ADE1A2"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Wang ,et al (2020)</w:t>
      </w:r>
      <w:r w:rsidRPr="005D59A7">
        <w:rPr>
          <w:rFonts w:ascii="T" w:hAnsi="T" w:cs="Simplified Arabic"/>
          <w:sz w:val="24"/>
          <w:szCs w:val="24"/>
          <w:rtl/>
        </w:rPr>
        <w:t xml:space="preserve"> إلى فهم تأثير الحوكمة على تنفيذ الشراكات بين القطاعين العام والخاص من خلال مقارنة منهجية بين المملكة المتحدة والصين. اعتمدوا على تحليل مقارن لحالتين دراسيتين بارزتين من كل دولة، مع التركيز على الاختلافات في الأطر المؤسسية والقانونية والثقافية بين السياقين. توصلوا إلى أن الاختلافات في أنظمة الحوكمة بين البلدين أدت إلى اختلافات جوهرية في أداء الشراكات. ففي المملكة المتحدة، حيث النظام القانوني أكثر تطوراً وشفافية، كانت الشراكات تميل إلى تحقيق توازن أفضل بين الكفاءة الاقتصادية والمساءلة العامة. في المقابل، في الصين، حيث الدولة تلعب دوراً أكثر مركزية وتوجيهاً، كانت الشراكات تميل إلى تحقيق كفاءة أعلى في التنفيذ ولكن مع تحديات أكبر في مجال الشفافية والمساءلة. أوصى الباحثون بضرورة تصميم أطر حوكمة الشراكات بما يتناسب مع السياق المؤسسي والثقافي لكل دولة، بدلاً من محاولة نقل النماذج الناجحة من سياق إلى آخر دون تعديل</w:t>
      </w:r>
      <w:r w:rsidRPr="005D59A7">
        <w:rPr>
          <w:rFonts w:ascii="T" w:hAnsi="T" w:cs="Simplified Arabic"/>
          <w:sz w:val="24"/>
          <w:szCs w:val="24"/>
        </w:rPr>
        <w:t>.</w:t>
      </w:r>
    </w:p>
    <w:p w14:paraId="668A8767" w14:textId="49FE7252"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ركز </w:t>
      </w:r>
      <w:r w:rsidR="00852494" w:rsidRPr="005D59A7">
        <w:rPr>
          <w:rFonts w:ascii="T" w:hAnsi="T" w:cs="Simplified Arabic"/>
          <w:sz w:val="24"/>
          <w:szCs w:val="24"/>
        </w:rPr>
        <w:t>Song &amp; Hao (2023)</w:t>
      </w:r>
      <w:r w:rsidR="00852494" w:rsidRPr="005D59A7">
        <w:rPr>
          <w:rFonts w:ascii="T" w:hAnsi="T" w:cs="Simplified Arabic"/>
          <w:sz w:val="24"/>
          <w:szCs w:val="24"/>
          <w:rtl/>
        </w:rPr>
        <w:t xml:space="preserve"> </w:t>
      </w:r>
      <w:r w:rsidRPr="005D59A7">
        <w:rPr>
          <w:rFonts w:ascii="T" w:hAnsi="T" w:cs="Simplified Arabic"/>
          <w:sz w:val="24"/>
          <w:szCs w:val="24"/>
          <w:rtl/>
        </w:rPr>
        <w:t>على تأثير آليات حوكمة المشروع على التنمية المستدامة لمشاريع الشراكات بين القطاعين العام والخاص. اعتمدوا على منهجية كمية، حيث قاموا بتحليل بيانات من 312 مشروع شراكة باستخدام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 xml:space="preserve">توصلوا إلى أن آليات حوكمة المشروع تؤثر بشكل إيجابي على الاستدامة الاقتصادية (من خلال خفض التكاليف وزيادة الكفاءة)، والاستدامة البيئية (من خلال الالتزام بالمعايير البيئية)، والاستدامة الاجتماعية (من خلال إشراك المجتمع المحلي ومراعاة احتياجاته). أشار الباحثون إلى أن آليات الحوكمة الأكثر فعالية تشمل: وضوح الأدوار والمسؤوليات، وآليات الرصد والتقييم المستمر، </w:t>
      </w:r>
      <w:r w:rsidRPr="005D59A7">
        <w:rPr>
          <w:rFonts w:ascii="T" w:hAnsi="T" w:cs="Simplified Arabic"/>
          <w:sz w:val="24"/>
          <w:szCs w:val="24"/>
          <w:rtl/>
        </w:rPr>
        <w:lastRenderedPageBreak/>
        <w:t>وإشراك أصحاب المصلحة في اتخاذ القرار، وآليات حل النزاعات السريعة والشفافة. كما وجدوا أن فعالية هذه الآليات تعتمد على قدرة أطراف الشراكة على بناء الثقة والتعاون المستدام. أوصى الباحثون بضرورة إدراج أهداف الاستدامة كأساس لتصميم آليات حوكمة مشاريع الشراكة، وليس كأهداف إضافية أو ثانوية</w:t>
      </w:r>
      <w:r w:rsidRPr="005D59A7">
        <w:rPr>
          <w:rFonts w:ascii="T" w:hAnsi="T" w:cs="Simplified Arabic"/>
          <w:sz w:val="24"/>
          <w:szCs w:val="24"/>
        </w:rPr>
        <w:t>.</w:t>
      </w:r>
    </w:p>
    <w:p w14:paraId="02470BF4" w14:textId="29333846"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بحث </w:t>
      </w:r>
      <w:r w:rsidR="00852494" w:rsidRPr="005D59A7">
        <w:rPr>
          <w:rFonts w:ascii="T" w:hAnsi="T" w:cs="Simplified Arabic"/>
          <w:sz w:val="24"/>
          <w:szCs w:val="24"/>
        </w:rPr>
        <w:t xml:space="preserve"> Zhang et al. (2020)</w:t>
      </w:r>
      <w:r w:rsidRPr="005D59A7">
        <w:rPr>
          <w:rFonts w:ascii="T" w:hAnsi="T" w:cs="Simplified Arabic"/>
          <w:sz w:val="24"/>
          <w:szCs w:val="24"/>
          <w:rtl/>
        </w:rPr>
        <w:t>في دور الشراكات بين القطاعين العام والخاص كاستجابة حوكمة للتوسع الحضري المستدام، مستخلصين الدروس من التجارب الصينية. اعتمدوا على منهجية دراسة الحالة المتعددة، محللين خمسة مشاريع شراكة في قطاعات مختلفة (النقل، الطاقة، معالجة المياه، والإسكان) في مدن صينية كبرى. توصلوا إلى أن الشراكات ساهمت بشكل كبير في تسريع وتيرة التوسع الحضري وتحسين جودة البنية التحتية، لكنها واجهت تحديات في تحقيق الاستدامة الاجتماعية والبيئية. أشار الباحثون إلى أن هذه التحديات تعود أساساً إلى ضعف آليات المشاركة المجتمعية والشفافية في بعض المشاريع، مما أدى إلى نزاعات مع المجتمعات المحلية وتأثيرات بيئية سلبية لم تؤخذ في الاعتبار بشكل كافٍ في مرحلة التخطيط. أوصى الباحثون بضرورة تعزيز أطر الحوكمة التي تضمن إشراك المجتمع المحلي في مراحل التخطيط والتنفيذ والتشغيل، وإجراء تقييمات أثر بيئي واجتماعي شفافة ومستقلة قبل الموافقة على مشاريع الشراكة</w:t>
      </w:r>
      <w:r w:rsidRPr="005D59A7">
        <w:rPr>
          <w:rFonts w:ascii="T" w:hAnsi="T" w:cs="Simplified Arabic"/>
          <w:sz w:val="24"/>
          <w:szCs w:val="24"/>
        </w:rPr>
        <w:t>.</w:t>
      </w:r>
    </w:p>
    <w:p w14:paraId="0C50B20A" w14:textId="77777777"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تساهم الحوكمة الفعالة بشكل كبير في تحديد وتقييم وتوزيع ومراقبة المخاطر المرتبطة بالشراكات بين القطاعين العام والخاص. تتنوع هذه المخاطر بين المالية والتشغيلية والقانونية والسياسية والبيئية، وإدارتها بشكل فعال تعد شرطاً أساسياً لنجاح الشراكة</w:t>
      </w:r>
      <w:r w:rsidRPr="005D59A7">
        <w:rPr>
          <w:rFonts w:ascii="T" w:hAnsi="T" w:cs="Simplified Arabic"/>
          <w:sz w:val="24"/>
          <w:szCs w:val="24"/>
        </w:rPr>
        <w:t>.</w:t>
      </w:r>
    </w:p>
    <w:p w14:paraId="012A91AB" w14:textId="7E44417C"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ركز </w:t>
      </w:r>
      <w:r w:rsidR="00875F77" w:rsidRPr="005D59A7">
        <w:rPr>
          <w:rFonts w:ascii="T" w:hAnsi="T" w:cs="Simplified Arabic"/>
          <w:sz w:val="24"/>
          <w:szCs w:val="24"/>
        </w:rPr>
        <w:t>Flyvbjerg (2014)</w:t>
      </w:r>
      <w:r w:rsidRPr="005D59A7">
        <w:rPr>
          <w:rFonts w:ascii="T" w:hAnsi="T" w:cs="Simplified Arabic"/>
          <w:sz w:val="24"/>
          <w:szCs w:val="24"/>
          <w:rtl/>
        </w:rPr>
        <w:t>على تحليل المخاطر المرتبطة بالمشاريع الكبرى، والتي تشكل جزءاً كبيراً من مشاريع الشراكة بين القطاعين العام والخاص. اعتمد على تحليل بيانات من أكثر من 2,000 مشروع كبير حول العالم، مستخدماً أساليب إحصائية لقياس الفجوة بين التقديرات الأولية والتكاليف الفعلية والفوائد المحققة. توصل الباحث إلى أن المشاريع الكبرى تعاني بشكل منهجي من ثلاث مشكلات مترابطة: تفاؤل غير واقعي في تقدير التكاليف والفوائد</w:t>
      </w:r>
      <w:r w:rsidRPr="005D59A7">
        <w:rPr>
          <w:rFonts w:ascii="T" w:hAnsi="T" w:cs="Simplified Arabic"/>
          <w:sz w:val="24"/>
          <w:szCs w:val="24"/>
        </w:rPr>
        <w:t xml:space="preserve"> (Optimism Bias)</w:t>
      </w:r>
      <w:r w:rsidRPr="005D59A7">
        <w:rPr>
          <w:rFonts w:ascii="T" w:hAnsi="T" w:cs="Simplified Arabic"/>
          <w:sz w:val="24"/>
          <w:szCs w:val="24"/>
          <w:rtl/>
        </w:rPr>
        <w:t>، وتلاعب استراتيجي بالمعلومات من قبل أصحاب المصلحة</w:t>
      </w:r>
      <w:r w:rsidRPr="005D59A7">
        <w:rPr>
          <w:rFonts w:ascii="T" w:hAnsi="T" w:cs="Simplified Arabic"/>
          <w:sz w:val="24"/>
          <w:szCs w:val="24"/>
        </w:rPr>
        <w:t xml:space="preserve"> (Strategic Misrepresentation)</w:t>
      </w:r>
      <w:r w:rsidRPr="005D59A7">
        <w:rPr>
          <w:rFonts w:ascii="T" w:hAnsi="T" w:cs="Simplified Arabic"/>
          <w:sz w:val="24"/>
          <w:szCs w:val="24"/>
          <w:rtl/>
        </w:rPr>
        <w:t>، وضعف آليات الرقابة والمساءلة. أشار الباحث إلى أن هذه المشكلات تؤدي إلى تجاوز التكاليف بنسبة تتراوح بين 50-100% في المتوسط، وتأخير التسليم بنسبة 30-</w:t>
      </w:r>
      <w:r w:rsidRPr="005D59A7">
        <w:rPr>
          <w:rFonts w:ascii="T" w:hAnsi="T" w:cs="Simplified Arabic"/>
          <w:sz w:val="24"/>
          <w:szCs w:val="24"/>
          <w:rtl/>
        </w:rPr>
        <w:lastRenderedPageBreak/>
        <w:t>50%، وضعف العوائد بشكل كبير عن التوقعات. أوصى الباحث بضرورة اعتماد آليات حوكمة رادعة، منها: المراجعة المستقلة لتقديرات التكاليف والفوائد قبل الموافقة على المشاريع، والشفافية الكاملة في عملية اتخاذ القرار، ومحاسبة المسؤولين عن التقديرات غير الواقعية</w:t>
      </w:r>
      <w:r w:rsidRPr="005D59A7">
        <w:rPr>
          <w:rFonts w:ascii="T" w:hAnsi="T" w:cs="Simplified Arabic"/>
          <w:sz w:val="24"/>
          <w:szCs w:val="24"/>
        </w:rPr>
        <w:t>.</w:t>
      </w:r>
    </w:p>
    <w:p w14:paraId="3E6EA8B4" w14:textId="7DE6D48B" w:rsidR="00F16AB7" w:rsidRPr="005D59A7" w:rsidRDefault="00F16AB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أجرى</w:t>
      </w:r>
      <w:r w:rsidR="00875F77" w:rsidRPr="005D59A7">
        <w:rPr>
          <w:rFonts w:ascii="T" w:hAnsi="T" w:cs="Simplified Arabic"/>
          <w:sz w:val="24"/>
          <w:szCs w:val="24"/>
        </w:rPr>
        <w:t xml:space="preserve"> Roehrich, et al (2014)</w:t>
      </w:r>
      <w:r w:rsidRPr="005D59A7">
        <w:rPr>
          <w:rFonts w:ascii="T" w:hAnsi="T" w:cs="Simplified Arabic"/>
          <w:sz w:val="24"/>
          <w:szCs w:val="24"/>
          <w:rtl/>
        </w:rPr>
        <w:t xml:space="preserve">مراجعة منهجية للأدبيات حول الشراكات بين القطاعين العام والخاص في قطاع الصحة، بهدف تقييم ما إذا كانت هذه الشراكات خياراً صحياً فعلاً. اعتمدوا على تحليل 129 دراسة منشورة في مجلات محكمة، مع التركيز على أربعة محاور: الأداء، والحوكمة، والشفافية، والمساءلة. توصلوا إلى أن الشراكات في قطاع الصحة حققت نجاحاً في تسريع بناء وتجهيز المرافق الصحية، لكنها واجهت تحديات في الحفاظ على جودة الخدمات الصحية وتكاليفها على المدى الطويل. أشار الباحثون إلى أن الشفافية المحدودة في عقود الشراكة (خاصة </w:t>
      </w:r>
      <w:r w:rsidR="005E42AD" w:rsidRPr="005D59A7">
        <w:rPr>
          <w:rFonts w:ascii="T" w:hAnsi="T" w:cs="Simplified Arabic"/>
          <w:sz w:val="24"/>
          <w:szCs w:val="24"/>
          <w:rtl/>
        </w:rPr>
        <w:t>فيما</w:t>
      </w:r>
      <w:r w:rsidRPr="005D59A7">
        <w:rPr>
          <w:rFonts w:ascii="T" w:hAnsi="T" w:cs="Simplified Arabic"/>
          <w:sz w:val="24"/>
          <w:szCs w:val="24"/>
          <w:rtl/>
        </w:rPr>
        <w:t xml:space="preserve"> يتعلق بتكاليف التشغيل والصيانة طويلة الأجل) كانت من أهم أسباب هذه التحديات. كما وجدوا أن ضعف آليات المساءلة أدى في بعض الحالات إلى تفضيل المصالح التجارية للشركاء الخاصين على حساب المصلحة العامة. أوصى الباحثون بضرورة تعزيز متطلبات الشفافية في عقود الشراكة في قطاع الصحة، بما يشمل نشر بنود العقود المتعلقة بالتكاليف ومعايير الجودة وآليات مراجعة الأسعار، وإنشاء آليات مستقلة لمراقبة أداء الشركاء الخاصين وحماية حقوق المرضى والمستفيدين</w:t>
      </w:r>
      <w:r w:rsidRPr="005D59A7">
        <w:rPr>
          <w:rFonts w:ascii="T" w:hAnsi="T" w:cs="Simplified Arabic"/>
          <w:sz w:val="24"/>
          <w:szCs w:val="24"/>
        </w:rPr>
        <w:t>.</w:t>
      </w:r>
    </w:p>
    <w:p w14:paraId="6F61B56D" w14:textId="439D8CDC" w:rsidR="00C57CC8" w:rsidRPr="005D59A7" w:rsidRDefault="00C57CC8" w:rsidP="00C476D6">
      <w:pPr>
        <w:pStyle w:val="Heading2"/>
        <w:bidi/>
        <w:rPr>
          <w:rFonts w:ascii="T" w:hAnsi="T" w:cs="Simplified Arabic"/>
          <w:color w:val="auto"/>
          <w:sz w:val="24"/>
          <w:szCs w:val="24"/>
          <w:rtl/>
        </w:rPr>
      </w:pPr>
      <w:bookmarkStart w:id="72" w:name="_Toc225991374"/>
      <w:r w:rsidRPr="005D59A7">
        <w:rPr>
          <w:rFonts w:ascii="T" w:hAnsi="T" w:cs="Simplified Arabic"/>
          <w:color w:val="auto"/>
          <w:sz w:val="24"/>
          <w:szCs w:val="24"/>
          <w:rtl/>
        </w:rPr>
        <w:t>المحور ال</w:t>
      </w:r>
      <w:r w:rsidR="00795AA3" w:rsidRPr="005D59A7">
        <w:rPr>
          <w:rFonts w:ascii="T" w:hAnsi="T" w:cs="Simplified Arabic"/>
          <w:color w:val="auto"/>
          <w:sz w:val="24"/>
          <w:szCs w:val="24"/>
          <w:rtl/>
        </w:rPr>
        <w:t>رابع</w:t>
      </w:r>
      <w:r w:rsidRPr="005D59A7">
        <w:rPr>
          <w:rFonts w:ascii="T" w:hAnsi="T" w:cs="Simplified Arabic"/>
          <w:color w:val="auto"/>
          <w:sz w:val="24"/>
          <w:szCs w:val="24"/>
          <w:rtl/>
        </w:rPr>
        <w:t>: دراسات العلاقة بين الحوكمة وإدارة الأداء</w:t>
      </w:r>
      <w:bookmarkEnd w:id="72"/>
    </w:p>
    <w:p w14:paraId="0459104F"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حول تأثير الحوكمة على تحسين الأداء المؤسسي</w:t>
      </w:r>
    </w:p>
    <w:p w14:paraId="67D36BB5"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تعتبر العلاقة بين الحوكمة وإدارة الأداء من المحاور الأساسية في الأدبيات الإدارية المعاصرة، حيث تشير الدراسات إلى أن تطبيق مبادئ الحوكمة الجيدة (الشفافية، المساءلة، المشاركة، سيادة القانون) يساهم بشكل كبير في تحسين الأداء المؤسسي على المستويات المالية والتشغيلية والاستراتيجية</w:t>
      </w:r>
      <w:r w:rsidRPr="005D59A7">
        <w:rPr>
          <w:rFonts w:ascii="T" w:hAnsi="T" w:cs="Simplified Arabic"/>
          <w:sz w:val="24"/>
          <w:szCs w:val="24"/>
        </w:rPr>
        <w:t>.</w:t>
      </w:r>
    </w:p>
    <w:p w14:paraId="104DE4C9" w14:textId="7EA5C526"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 xml:space="preserve">  Waardenburg, et al (2025)</w:t>
      </w:r>
      <w:r w:rsidRPr="005D59A7">
        <w:rPr>
          <w:rFonts w:ascii="T" w:hAnsi="T" w:cs="Simplified Arabic"/>
          <w:sz w:val="24"/>
          <w:szCs w:val="24"/>
          <w:rtl/>
        </w:rPr>
        <w:t xml:space="preserve">إلى تقديم مراجعة شاملة للأدبيات حول إدارة الأداء في الحوكمة التعاونية، وتوليف التحديات الرئيسية التي تواجه تطبيقها. اعتمدوا على مراجعة منهجية لـ 150 دراسة منشورة في مجلات محكمة خلال العقدين الماضيين، مع التركيز على السياقات التي تجمع بين قطاعات متعددة (حكومية، خاصة، غير ربحية). توصلوا إلى أن إدارة الأداء في الحوكمة التعاونية تواجه ثلاثة تحديات رئيسية: </w:t>
      </w:r>
      <w:r w:rsidRPr="005D59A7">
        <w:rPr>
          <w:rFonts w:ascii="T" w:hAnsi="T" w:cs="Simplified Arabic"/>
          <w:sz w:val="24"/>
          <w:szCs w:val="24"/>
          <w:rtl/>
        </w:rPr>
        <w:lastRenderedPageBreak/>
        <w:t>أولاً، تحديات القياس</w:t>
      </w:r>
      <w:r w:rsidRPr="005D59A7">
        <w:rPr>
          <w:rFonts w:ascii="T" w:hAnsi="T" w:cs="Simplified Arabic"/>
          <w:sz w:val="24"/>
          <w:szCs w:val="24"/>
        </w:rPr>
        <w:t xml:space="preserve"> (Measurement Challenges)</w:t>
      </w:r>
      <w:r w:rsidRPr="005D59A7">
        <w:rPr>
          <w:rFonts w:ascii="T" w:hAnsi="T" w:cs="Simplified Arabic"/>
          <w:sz w:val="24"/>
          <w:szCs w:val="24"/>
          <w:rtl/>
        </w:rPr>
        <w:t>، حيث يصعب قياس أداء الشراكات بسبب تعدد الأهداف وتضاربها أحياناً، وعدم توافق أنظمة القياس بين الشركاء. ثانياً، تحديات المساءلة</w:t>
      </w:r>
      <w:r w:rsidRPr="005D59A7">
        <w:rPr>
          <w:rFonts w:ascii="T" w:hAnsi="T" w:cs="Simplified Arabic"/>
          <w:sz w:val="24"/>
          <w:szCs w:val="24"/>
        </w:rPr>
        <w:t xml:space="preserve"> (Accountability Challenges)</w:t>
      </w:r>
      <w:r w:rsidRPr="005D59A7">
        <w:rPr>
          <w:rFonts w:ascii="T" w:hAnsi="T" w:cs="Simplified Arabic"/>
          <w:sz w:val="24"/>
          <w:szCs w:val="24"/>
          <w:rtl/>
        </w:rPr>
        <w:t>، حيث يصعب تحديد من المسؤول عن ماذا في ظل توزيع المسؤوليات بين شركاء متعددين. ثالثاً، تحديات التعلم</w:t>
      </w:r>
      <w:r w:rsidRPr="005D59A7">
        <w:rPr>
          <w:rFonts w:ascii="T" w:hAnsi="T" w:cs="Simplified Arabic"/>
          <w:sz w:val="24"/>
          <w:szCs w:val="24"/>
        </w:rPr>
        <w:t xml:space="preserve"> (Learning Challenges)</w:t>
      </w:r>
      <w:r w:rsidRPr="005D59A7">
        <w:rPr>
          <w:rFonts w:ascii="T" w:hAnsi="T" w:cs="Simplified Arabic"/>
          <w:sz w:val="24"/>
          <w:szCs w:val="24"/>
          <w:rtl/>
        </w:rPr>
        <w:t>، حيث يصعب تحويل نتائج تقييم الأداء إلى تحسينات فعلية في الأداء بسبب تعقيد العلاقات وتباين قدرات الشركاء على التعلم والتكيف. أوصى الباحثون بضرورة تطوير أنظمة إدارة أداء مصممة خصيصاً للحوكمة التعاونية، تتسم بالمرونة الكافية لاستيعاب تعدد الأهداف والشركاء، وتشمل آليات للمساءلة المتبادلة والتعلم الجماعي</w:t>
      </w:r>
      <w:r w:rsidRPr="005D59A7">
        <w:rPr>
          <w:rFonts w:ascii="T" w:hAnsi="T" w:cs="Simplified Arabic"/>
          <w:sz w:val="24"/>
          <w:szCs w:val="24"/>
        </w:rPr>
        <w:t>.</w:t>
      </w:r>
    </w:p>
    <w:p w14:paraId="22E7CF9F" w14:textId="427ED8D3"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Biondi &amp; Russo (2022)</w:t>
      </w:r>
      <w:r w:rsidRPr="005D59A7">
        <w:rPr>
          <w:rFonts w:ascii="T" w:hAnsi="T" w:cs="Simplified Arabic"/>
          <w:sz w:val="24"/>
          <w:szCs w:val="24"/>
          <w:rtl/>
        </w:rPr>
        <w:t>كيفية دمج التخطيط الاستراتيجي وإدارة الأداء في الجامعات، من خلال دراسة حالات متعددة. اعتمدوا على منهجية دراسة الحالة المقارنة، محللين أربع جامعات أوروبية طبقت أنظمة متكاملة للتخطيط الاستراتيجي وإدارة الأداء. توصلوا إلى أن دمج التخطيط الاستراتيجي مع إدارة الأداء يحقق فوائد كبيرة، منها: تحسين تخصيص الموارد بناءً على الأولويات الاستراتيجية، وزيادة الشفافية في تقييم الأداء، وتعزيز المساءلة على جميع المستويات. كما وجدوا أن نجاح هذا الدمج يعتمد على عدة عوامل: دعم القيادة العليا، وإشراك جميع أصحاب المصلحة في تصميم النظام، وتوفير التدريب اللازم للكوادر، وربط نتائج تقييم الأداء بالمكافآت والتطوير المهني. أشار الباحثون إلى أن غياب هذه العوامل يؤدي إلى فشل أنظمة إدارة الأداء، حيث تصبح شكلية أو موسمية دون تأثير حقيقي على الأداء. أوصى الباحثون بضرورة تصميم أنظمة إدارة أداء متكاملة تبدأ من التخطيط الاستراتيجي وتنتهي بتقييم النتائج وربطها بالتطوير المؤسسي</w:t>
      </w:r>
      <w:r w:rsidRPr="005D59A7">
        <w:rPr>
          <w:rFonts w:ascii="T" w:hAnsi="T" w:cs="Simplified Arabic"/>
          <w:sz w:val="24"/>
          <w:szCs w:val="24"/>
        </w:rPr>
        <w:t>.</w:t>
      </w:r>
    </w:p>
    <w:p w14:paraId="3284CAEC" w14:textId="18492E53"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بحث </w:t>
      </w:r>
      <w:r w:rsidRPr="005D59A7">
        <w:rPr>
          <w:rFonts w:ascii="T" w:hAnsi="T" w:cs="Simplified Arabic"/>
          <w:sz w:val="24"/>
          <w:szCs w:val="24"/>
        </w:rPr>
        <w:t xml:space="preserve"> Kaunda &amp; Pelser (2023)</w:t>
      </w:r>
      <w:r w:rsidRPr="005D59A7">
        <w:rPr>
          <w:rFonts w:ascii="T" w:hAnsi="T" w:cs="Simplified Arabic"/>
          <w:sz w:val="24"/>
          <w:szCs w:val="24"/>
          <w:rtl/>
        </w:rPr>
        <w:t xml:space="preserve">في العلاقة بين حوكمة الشركات وأداء المؤسسات المملوكة للدولة في اقتصاد نامٍ. اعتمدوا على منهجية كمية، حيث قاموا بتحليل بيانات من 45 مؤسسة مملوكة للدولة، باستخدام تحليل الانحدار المتعدد. توصلوا إلى أن هناك علاقة إيجابية قوية بين تطبيق مبادئ الحوكمة الجيدة (شفافية، مساءلة، استقلالية مجلس الإدارة) وأداء المؤسسات (مقاسة بالعائد على الأصول، والعائد على حقوق الملكية، والكفاءة التشغيلية). كما وجدوا أن أبعاد الحوكمة الأكثر تأثيراً على الأداء هي استقلالية مجلس الإدارة ووجود لجان تدقيق فعالة وشفافية الإفصاح المالي. أشار الباحثون إلى أن ضعف الحوكمة في المؤسسات المملوكة للدولة كان سبباً رئيسياً في ضعف أدائها، وارتفاع تكاليفها، وهدر الموارد العامة. أوصى الباحثون </w:t>
      </w:r>
      <w:r w:rsidRPr="005D59A7">
        <w:rPr>
          <w:rFonts w:ascii="T" w:hAnsi="T" w:cs="Simplified Arabic"/>
          <w:sz w:val="24"/>
          <w:szCs w:val="24"/>
          <w:rtl/>
        </w:rPr>
        <w:lastRenderedPageBreak/>
        <w:t>بضرورة تطبيق مبادئ الحوكمة الجيدة في المؤسسات المملوكة للدولة بنفس الصرامة المطبقة في الشركات الخاصة، مع تعزيز استقلالية مجالس الإدارة وآليات الرقابة الداخلية والخارجية</w:t>
      </w:r>
      <w:r w:rsidRPr="005D59A7">
        <w:rPr>
          <w:rFonts w:ascii="T" w:hAnsi="T" w:cs="Simplified Arabic"/>
          <w:sz w:val="24"/>
          <w:szCs w:val="24"/>
        </w:rPr>
        <w:t>.</w:t>
      </w:r>
    </w:p>
    <w:p w14:paraId="0BFEFC0B"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دراسات حول العلاقة بين الرقابة والنتائج المؤسسية</w:t>
      </w:r>
    </w:p>
    <w:p w14:paraId="5017FC19"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تشير الأدبيات إلى وجود علاقة قوية بين فعالية أنظمة الرقابة الداخلية والخارجية وجودة النتائج المؤسسية. فالرقابة ليست غاية في حد ذاتها، بل وسيلة لتحسين الأداء وضمان الامتثال وتحقيق الأهداف الاستراتيجية</w:t>
      </w:r>
      <w:r w:rsidRPr="005D59A7">
        <w:rPr>
          <w:rFonts w:ascii="T" w:hAnsi="T" w:cs="Simplified Arabic"/>
          <w:sz w:val="24"/>
          <w:szCs w:val="24"/>
        </w:rPr>
        <w:t>.</w:t>
      </w:r>
    </w:p>
    <w:p w14:paraId="368866EC" w14:textId="2974FF3A"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Atmaja, et al. (2022)</w:t>
      </w:r>
      <w:r w:rsidRPr="005D59A7">
        <w:rPr>
          <w:rFonts w:ascii="T" w:hAnsi="T" w:cs="Simplified Arabic"/>
          <w:sz w:val="24"/>
          <w:szCs w:val="24"/>
          <w:rtl/>
        </w:rPr>
        <w:t>تفعيل نماذج إدارة الأداء لتطوير جودة الموارد البشرية والإمكانات الاقتصادية وسياسات الحوكمة المالية. اعتمدوا على منهجية بحث إجرائي</w:t>
      </w:r>
      <w:r w:rsidRPr="005D59A7">
        <w:rPr>
          <w:rFonts w:ascii="T" w:hAnsi="T" w:cs="Simplified Arabic"/>
          <w:sz w:val="24"/>
          <w:szCs w:val="24"/>
        </w:rPr>
        <w:t xml:space="preserve"> (Action Research) </w:t>
      </w:r>
      <w:r w:rsidRPr="005D59A7">
        <w:rPr>
          <w:rFonts w:ascii="T" w:hAnsi="T" w:cs="Simplified Arabic"/>
          <w:sz w:val="24"/>
          <w:szCs w:val="24"/>
          <w:rtl/>
        </w:rPr>
        <w:t>في وزارة التعليم، حيث قاموا بتطبيق نموذج مقترح لإدارة الأداء على مدى 18 شهراً وتقييم نتائجه. توصلوا إلى أن تطبيق نموذج منظم لإدارة الأداء أدى إلى تحسينات ملموسة في جودة الموارد البشرية (من خلال ربط التدريب والتطوير بفجوات الأداء)، وفي الإمكانات الاقتصادية (من خلال تحسين كفاءة استخدام الموارد)، وفي سياسات الحوكمة المالية (من خلال تعزيز الشفافية والمساءلة في الإنفاق). أشار الباحثون إلى أن نجاح تطبيق نموذج إدارة الأداء يعتمد على: وضوح الأهداف والمؤشرات، ومشاركة جميع المستويات في التصميم والتنفيذ، وتوفير أنظمة معلومات متكاملة لدعم عملية التقييم، وربط نتائج التقييم بالقرارات (مكافآت، ترقيات، تطوير). أوصى الباحثون بضرورة اعتماد نماذج إدارة أداء متكاملة تشمل الأبعاد المالية والتشغيلية والبشرية، مع التركيز على التحسين المستمر وليس فقط على الرقابة والمحاسبة</w:t>
      </w:r>
      <w:r w:rsidRPr="005D59A7">
        <w:rPr>
          <w:rFonts w:ascii="T" w:hAnsi="T" w:cs="Simplified Arabic"/>
          <w:sz w:val="24"/>
          <w:szCs w:val="24"/>
        </w:rPr>
        <w:t>.</w:t>
      </w:r>
    </w:p>
    <w:p w14:paraId="22584478" w14:textId="79404CA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بحث </w:t>
      </w:r>
      <w:r w:rsidRPr="005D59A7">
        <w:rPr>
          <w:rFonts w:ascii="T" w:hAnsi="T" w:cs="Simplified Arabic"/>
          <w:sz w:val="24"/>
          <w:szCs w:val="24"/>
        </w:rPr>
        <w:t xml:space="preserve"> Yadav &amp; Prashar (2023)</w:t>
      </w:r>
      <w:r w:rsidRPr="005D59A7">
        <w:rPr>
          <w:rFonts w:ascii="T" w:hAnsi="T" w:cs="Simplified Arabic"/>
          <w:sz w:val="24"/>
          <w:szCs w:val="24"/>
          <w:rtl/>
        </w:rPr>
        <w:t>في تأثير التنوع بين الجنسين في مجالس الإدارة على أداء الشركات في المجالات البيئية والاجتماعية والحوكمة</w:t>
      </w:r>
      <w:r w:rsidRPr="005D59A7">
        <w:rPr>
          <w:rFonts w:ascii="T" w:hAnsi="T" w:cs="Simplified Arabic"/>
          <w:sz w:val="24"/>
          <w:szCs w:val="24"/>
        </w:rPr>
        <w:t xml:space="preserve"> (ESG). </w:t>
      </w:r>
      <w:r w:rsidRPr="005D59A7">
        <w:rPr>
          <w:rFonts w:ascii="T" w:hAnsi="T" w:cs="Simplified Arabic"/>
          <w:sz w:val="24"/>
          <w:szCs w:val="24"/>
          <w:rtl/>
        </w:rPr>
        <w:t xml:space="preserve">اعتمدوا على منهجية كمية، حيث قاموا بتحليل بيانات من 200 شركة هندية خلال الفترة 2015-2020، باستخدام نماذج تحليل الانحدار. توصلوا إلى أن وجود نساء في مجالس الإدارة يرتبط بشكل إيجابي بتحسين أداء الشركات في المجالات البيئية والاجتماعية والحوكمة. كما وجدوا أن هذا التأثير يكون أقوى عندما تشغل النساء مناصب قيادية في لجان الحوكمة والتدقيق، وعندما يكون هناك ثلاث نساء أو أكثر في مجلس الإدارة (كتلة حرجة). أشار الباحثون إلى أن تفسير هذه </w:t>
      </w:r>
      <w:r w:rsidRPr="005D59A7">
        <w:rPr>
          <w:rFonts w:ascii="T" w:hAnsi="T" w:cs="Simplified Arabic"/>
          <w:sz w:val="24"/>
          <w:szCs w:val="24"/>
          <w:rtl/>
        </w:rPr>
        <w:lastRenderedPageBreak/>
        <w:t>النتيجة يعود إلى أن النساء تميل إلى أن تكون أكثر حساسية للقضايا البيئية والاجتماعية، وأكثر التزاماً بالشفافية والمساءلة، وأكثر قدرة على إحداث توازن في قرارات مجلس الإدارة. أوصى الباحثون بضرورة تعزيز تمثيل النساء في مجالس الإدارة، ليس فقط كإجراء رمزي، بل كآلية لتحسين أداء الشركات في المجالات البيئية والاجتماعية والحوكمة</w:t>
      </w:r>
      <w:r w:rsidRPr="005D59A7">
        <w:rPr>
          <w:rFonts w:ascii="T" w:hAnsi="T" w:cs="Simplified Arabic"/>
          <w:sz w:val="24"/>
          <w:szCs w:val="24"/>
        </w:rPr>
        <w:t>.</w:t>
      </w:r>
    </w:p>
    <w:p w14:paraId="52DDFF0B" w14:textId="56A42028"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أجرى </w:t>
      </w:r>
      <w:r w:rsidRPr="005D59A7">
        <w:rPr>
          <w:rFonts w:ascii="T" w:hAnsi="T" w:cs="Simplified Arabic"/>
          <w:sz w:val="24"/>
          <w:szCs w:val="24"/>
        </w:rPr>
        <w:t>Martiny, et al. (2024)</w:t>
      </w:r>
      <w:r w:rsidRPr="005D59A7">
        <w:rPr>
          <w:rFonts w:ascii="T" w:hAnsi="T" w:cs="Simplified Arabic"/>
          <w:sz w:val="24"/>
          <w:szCs w:val="24"/>
          <w:rtl/>
        </w:rPr>
        <w:t xml:space="preserve"> مراجعة منهجية للأدبيات حول محددات أداء الشركات في المجالات البيئية والاجتماعية والحوكمة</w:t>
      </w:r>
      <w:r w:rsidRPr="005D59A7">
        <w:rPr>
          <w:rFonts w:ascii="T" w:hAnsi="T" w:cs="Simplified Arabic"/>
          <w:sz w:val="24"/>
          <w:szCs w:val="24"/>
        </w:rPr>
        <w:t xml:space="preserve"> (ESG). </w:t>
      </w:r>
      <w:r w:rsidRPr="005D59A7">
        <w:rPr>
          <w:rFonts w:ascii="T" w:hAnsi="T" w:cs="Simplified Arabic"/>
          <w:sz w:val="24"/>
          <w:szCs w:val="24"/>
          <w:rtl/>
        </w:rPr>
        <w:t>اعتمدوا على تحليل 210 دراسة منشورة في مجلات محكمة خلال الفترة 2010-2023، باستخدام منهجية مراجعة منهجية مقننة</w:t>
      </w:r>
      <w:r w:rsidRPr="005D59A7">
        <w:rPr>
          <w:rFonts w:ascii="T" w:hAnsi="T" w:cs="Simplified Arabic"/>
          <w:sz w:val="24"/>
          <w:szCs w:val="24"/>
        </w:rPr>
        <w:t xml:space="preserve"> (PRISMA). </w:t>
      </w:r>
      <w:r w:rsidRPr="005D59A7">
        <w:rPr>
          <w:rFonts w:ascii="T" w:hAnsi="T" w:cs="Simplified Arabic"/>
          <w:sz w:val="24"/>
          <w:szCs w:val="24"/>
          <w:rtl/>
        </w:rPr>
        <w:t>توصلوا إلى أن محددات أداء</w:t>
      </w:r>
      <w:r w:rsidRPr="005D59A7">
        <w:rPr>
          <w:rFonts w:ascii="T" w:hAnsi="T" w:cs="Simplified Arabic"/>
          <w:sz w:val="24"/>
          <w:szCs w:val="24"/>
        </w:rPr>
        <w:t xml:space="preserve"> ESG </w:t>
      </w:r>
      <w:r w:rsidRPr="005D59A7">
        <w:rPr>
          <w:rFonts w:ascii="T" w:hAnsi="T" w:cs="Simplified Arabic"/>
          <w:sz w:val="24"/>
          <w:szCs w:val="24"/>
          <w:rtl/>
        </w:rPr>
        <w:t>تتوزع على ثلاثة مستويات: مستوى البيئة الخارجية (السياسات الحكومية، الضغوط المجتمعية، المعايير الدولية)، ومستوى خصائص الشركة (الحجم، القطاع، هيكل الملكية، عمر الشركة)، ومستوى آليات الحوكمة الداخلية (استقلالية مجلس الإدارة، تنوع المجلس، وجود لجان متخصصة للاستدامة، جودة أنظمة الرقابة الداخلية). أشار الباحثون إلى أن آليات الحوكمة الداخلية هي المحدد الأكثر تأثيراً على أداء</w:t>
      </w:r>
      <w:r w:rsidRPr="005D59A7">
        <w:rPr>
          <w:rFonts w:ascii="T" w:hAnsi="T" w:cs="Simplified Arabic"/>
          <w:sz w:val="24"/>
          <w:szCs w:val="24"/>
        </w:rPr>
        <w:t xml:space="preserve"> ESG</w:t>
      </w:r>
      <w:r w:rsidRPr="005D59A7">
        <w:rPr>
          <w:rFonts w:ascii="T" w:hAnsi="T" w:cs="Simplified Arabic"/>
          <w:sz w:val="24"/>
          <w:szCs w:val="24"/>
          <w:rtl/>
        </w:rPr>
        <w:t>، حيث تفسر وحدها حوالي 40% من التباين في الأداء بين الشركات. كما وجدوا أن الشركات ذات أنظمة الحوكمة القوية تحقق أداء أفضل في</w:t>
      </w:r>
      <w:r w:rsidRPr="005D59A7">
        <w:rPr>
          <w:rFonts w:ascii="T" w:hAnsi="T" w:cs="Simplified Arabic"/>
          <w:sz w:val="24"/>
          <w:szCs w:val="24"/>
        </w:rPr>
        <w:t xml:space="preserve"> ESG</w:t>
      </w:r>
      <w:r w:rsidRPr="005D59A7">
        <w:rPr>
          <w:rFonts w:ascii="T" w:hAnsi="T" w:cs="Simplified Arabic"/>
          <w:sz w:val="24"/>
          <w:szCs w:val="24"/>
          <w:rtl/>
        </w:rPr>
        <w:t>، حتى في ظل بيئات خارجية غير مواتية</w:t>
      </w:r>
      <w:r w:rsidRPr="005D59A7">
        <w:rPr>
          <w:rFonts w:ascii="T" w:hAnsi="T" w:cs="Simplified Arabic"/>
          <w:sz w:val="24"/>
          <w:szCs w:val="24"/>
        </w:rPr>
        <w:t xml:space="preserve"> (</w:t>
      </w:r>
      <w:r w:rsidRPr="005D59A7">
        <w:rPr>
          <w:rFonts w:ascii="T" w:hAnsi="T" w:cs="Simplified Arabic"/>
          <w:sz w:val="24"/>
          <w:szCs w:val="24"/>
          <w:rtl/>
        </w:rPr>
        <w:t>مثل ضعف</w:t>
      </w:r>
      <w:r w:rsidRPr="005D59A7">
        <w:rPr>
          <w:rFonts w:ascii="T" w:hAnsi="T" w:cs="Simplified Arabic"/>
          <w:sz w:val="24"/>
          <w:szCs w:val="24"/>
        </w:rPr>
        <w:t xml:space="preserve"> enforcement </w:t>
      </w:r>
      <w:r w:rsidRPr="005D59A7">
        <w:rPr>
          <w:rFonts w:ascii="T" w:hAnsi="T" w:cs="Simplified Arabic"/>
          <w:sz w:val="24"/>
          <w:szCs w:val="24"/>
          <w:rtl/>
        </w:rPr>
        <w:t>الحكومي</w:t>
      </w:r>
      <w:r w:rsidRPr="005D59A7">
        <w:rPr>
          <w:rFonts w:ascii="T" w:hAnsi="T" w:cs="Simplified Arabic"/>
          <w:sz w:val="24"/>
          <w:szCs w:val="24"/>
        </w:rPr>
        <w:t xml:space="preserve">). </w:t>
      </w:r>
      <w:r w:rsidRPr="005D59A7">
        <w:rPr>
          <w:rFonts w:ascii="T" w:hAnsi="T" w:cs="Simplified Arabic"/>
          <w:sz w:val="24"/>
          <w:szCs w:val="24"/>
          <w:rtl/>
        </w:rPr>
        <w:t>أوصى الباحثون بضرورة تعزيز آليات الحوكمة الداخلية كأولوية لتحسين أداء</w:t>
      </w:r>
      <w:r w:rsidRPr="005D59A7">
        <w:rPr>
          <w:rFonts w:ascii="T" w:hAnsi="T" w:cs="Simplified Arabic"/>
          <w:sz w:val="24"/>
          <w:szCs w:val="24"/>
        </w:rPr>
        <w:t xml:space="preserve"> ESG</w:t>
      </w:r>
      <w:r w:rsidRPr="005D59A7">
        <w:rPr>
          <w:rFonts w:ascii="T" w:hAnsi="T" w:cs="Simplified Arabic"/>
          <w:sz w:val="24"/>
          <w:szCs w:val="24"/>
          <w:rtl/>
        </w:rPr>
        <w:t>، وليس الاعتماد فقط على الضغوط الخارجية أو المبادرات التطوعية</w:t>
      </w:r>
      <w:r w:rsidRPr="005D59A7">
        <w:rPr>
          <w:rFonts w:ascii="T" w:hAnsi="T" w:cs="Simplified Arabic"/>
          <w:sz w:val="24"/>
          <w:szCs w:val="24"/>
        </w:rPr>
        <w:t>.</w:t>
      </w:r>
    </w:p>
    <w:p w14:paraId="4E8A6A04"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دراسات حول الحوكمة كآلية لضبط جودة الخدمات</w:t>
      </w:r>
    </w:p>
    <w:p w14:paraId="2F11F080" w14:textId="77777777"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تعتبر الحوكمة آلية أساسية لضبط جودة الخدمات، خاصة في قطاعات الخدمات العامة التي تفتقر إلى آليات السوق التقليدية (المنافسة، اختيار المستهلك). فمن خلال وضع معايير واضحة، وآليات رقابة فعالة، ومساءلة صارمة، تساهم الحوكمة في تحسين جودة الخدمات وضمان اتساقها واستدامتها</w:t>
      </w:r>
      <w:r w:rsidRPr="005D59A7">
        <w:rPr>
          <w:rFonts w:ascii="T" w:hAnsi="T" w:cs="Simplified Arabic"/>
          <w:sz w:val="24"/>
          <w:szCs w:val="24"/>
        </w:rPr>
        <w:t>.</w:t>
      </w:r>
    </w:p>
    <w:p w14:paraId="7658E64F" w14:textId="409AAA51"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عبد الرزاق (2025) إعادة ابتكار نماذج تقييم الأداء في المؤسسات العامة، مع التركيز على استراتيجيات مبتكرة لتعزيز الفاعلية المؤسسية من خلال الحوكمة والإدارة الحديثة. اعتمدوا على منهجية مراجعة الأدبيات وتحليل نماذج تقييم الأداء المستخدمة في مؤسسات عامة في عدة دول عربية. توصلوا إلى أن نماذج </w:t>
      </w:r>
      <w:r w:rsidRPr="005D59A7">
        <w:rPr>
          <w:rFonts w:ascii="T" w:hAnsi="T" w:cs="Simplified Arabic"/>
          <w:sz w:val="24"/>
          <w:szCs w:val="24"/>
          <w:rtl/>
        </w:rPr>
        <w:lastRenderedPageBreak/>
        <w:t>تقييم الأداء التقليدية (التي تركز على المدخلات والعمليات) غير كافية لقياس الفاعلية المؤسسية في ظل التحولات السريعة في البيئة الخارجية. أشار الباحثون إلى أن الحوكمة تساهم في ضبط جودة الخدمات من خلال: وضع معايير جودة واضحة وقابلة للقياس، وإنشاء آليات رقابة داخلية وخارجية لمراقبة الالتزام بهذه المعايير، وربط نتائج تقييم الأداء بالمكافآت والعقوبات، وإشراك المستفيدين من الخدمات في تقييم الجودة. كما أشاروا إلى أن تطبيق مبادئ الحوكمة الجيدة (الشفافية، المساءلة، المشاركة) يؤدي إلى تحسين جودة الخدمات بنسبة تتراوح بين 20-30% حسب الدراسات الميدانية. أوصى الباحثون بضرورة تبني نماذج تقييم أداء متطورة تجمع بين المقاييس الكمية (مؤشرات الأداء) والنوعية (رضا المستفيدين)، مع التركيز على النتائج وليس فقط على العمليات</w:t>
      </w:r>
      <w:r w:rsidRPr="005D59A7">
        <w:rPr>
          <w:rFonts w:ascii="T" w:hAnsi="T" w:cs="Simplified Arabic"/>
          <w:sz w:val="24"/>
          <w:szCs w:val="24"/>
        </w:rPr>
        <w:t>.</w:t>
      </w:r>
    </w:p>
    <w:p w14:paraId="50B3B150" w14:textId="590DAAA0"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بحث سعد (2025) في أثر تطبيق مبادئ الحوكمة في تحسين الأداء الوظيفي للعاملين في المنظمات، مع التركيز على الدور الوسيط لأنماط القيادة. اعتمدوا على منهجية كمية، حيث قاموا بتوزيع استبيانات على 350 موظفاً في منظمات عامة وخاصة، واستخدموا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لتحليل البيانات. توصلوا إلى أن تطبيق مبادئ الحوكمة (الشفافية، المساءلة، العدالة، المشاركة) يؤثر إيجاباً على الأداء الوظيفي للعاملين، وهذا التأثير يتم بشكل مباشر وغير مباشر عبر أنماط القيادة. أشار الباحثون إلى أن أنماط القيادة التحويلية</w:t>
      </w:r>
      <w:r w:rsidRPr="005D59A7">
        <w:rPr>
          <w:rFonts w:ascii="T" w:hAnsi="T" w:cs="Simplified Arabic"/>
          <w:sz w:val="24"/>
          <w:szCs w:val="24"/>
        </w:rPr>
        <w:t xml:space="preserve"> (Transformational Leadership) </w:t>
      </w:r>
      <w:r w:rsidRPr="005D59A7">
        <w:rPr>
          <w:rFonts w:ascii="T" w:hAnsi="T" w:cs="Simplified Arabic"/>
          <w:sz w:val="24"/>
          <w:szCs w:val="24"/>
          <w:rtl/>
        </w:rPr>
        <w:t>تعزز من تأثير الحوكمة على الأداء الوظيفي، بينما أنماط القيادة التبادلية</w:t>
      </w:r>
      <w:r w:rsidRPr="005D59A7">
        <w:rPr>
          <w:rFonts w:ascii="T" w:hAnsi="T" w:cs="Simplified Arabic"/>
          <w:sz w:val="24"/>
          <w:szCs w:val="24"/>
        </w:rPr>
        <w:t xml:space="preserve"> (Transactional Leadership) </w:t>
      </w:r>
      <w:r w:rsidRPr="005D59A7">
        <w:rPr>
          <w:rFonts w:ascii="T" w:hAnsi="T" w:cs="Simplified Arabic"/>
          <w:sz w:val="24"/>
          <w:szCs w:val="24"/>
          <w:rtl/>
        </w:rPr>
        <w:t>تضعف هذا التأثير. كما وجدوا أن الشفافية في تقييم الأداء وربطه بالمكافآت كان العامل الأكثر تأثيراً على تحفيز العاملين وتحسين أدائهم. أوصى الباحثون بضرورة تبني أنماط قيادة تحويلية في المؤسسات التي تطبق مبادئ الحوكمة، مع التركيز على تمكين العاملين وإشراكهم في اتخاذ القرار، وليس فقط على الرقابة والمحاسبة</w:t>
      </w:r>
      <w:r w:rsidRPr="005D59A7">
        <w:rPr>
          <w:rFonts w:ascii="T" w:hAnsi="T" w:cs="Simplified Arabic"/>
          <w:sz w:val="24"/>
          <w:szCs w:val="24"/>
        </w:rPr>
        <w:t>.</w:t>
      </w:r>
    </w:p>
    <w:p w14:paraId="195AF821" w14:textId="74FE5100" w:rsidR="00795AA3" w:rsidRPr="005D59A7" w:rsidRDefault="00795AA3"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00CC7BCA" w:rsidRPr="005D59A7">
        <w:rPr>
          <w:rFonts w:ascii="T" w:hAnsi="T" w:cs="Simplified Arabic"/>
          <w:sz w:val="24"/>
          <w:szCs w:val="24"/>
          <w:rtl/>
        </w:rPr>
        <w:t>محضر،</w:t>
      </w:r>
      <w:r w:rsidRPr="005D59A7">
        <w:rPr>
          <w:rFonts w:ascii="T" w:hAnsi="T" w:cs="Simplified Arabic"/>
          <w:sz w:val="24"/>
          <w:szCs w:val="24"/>
          <w:rtl/>
        </w:rPr>
        <w:t xml:space="preserve"> اخرون (2024) أثر تطبيق الحوكمة على كفاءة الأداء المؤسسي في مستشفيات القطاع الحكومي. اعتمدوا على منهجية كمية، حيث قاموا بتوزيع استبيانات على 250 من القيادات الإدارية والطبية في 5 مستشفيات حكومية، واستخدموا تحليل الانحدار المتعدد لاختبار الفرضيات. توصلوا إلى أن تطبيق مبادئ الحوكمة (الشفافية في الإفصاح المالي والإداري، المساءلة عن النتائج، المشاركة في اتخاذ القرار، سيادة القانون واللوائح) يرتبط بشكل إيجابي بتحسين كفاءة الأداء المؤسسي (مقاسة بمعدلات الإشغال، متوسط </w:t>
      </w:r>
      <w:r w:rsidRPr="005D59A7">
        <w:rPr>
          <w:rFonts w:ascii="T" w:hAnsi="T" w:cs="Simplified Arabic"/>
          <w:sz w:val="24"/>
          <w:szCs w:val="24"/>
          <w:rtl/>
        </w:rPr>
        <w:lastRenderedPageBreak/>
        <w:t>فترة الإقامة، نسب العدوى، رضا المرضى). كما وجدوا أن المستشفيات التي طبقت الحوكمة بشكل أكثر صرامة حققت نتائج أفضل في مؤشرات الجودة والكفاءة. أشار الباحثون إلى أن الحوكمة تساهم في تحسين جودة الخدمات الصحية من خلال: تقليل الهدر والتكاليف غير الضرورية، وتحسين تخصيص الموارد، وتعزيز الامتثال لبروتوكولات العلاج، وزيادة رضا المرضى. أوصى الباحثون بضرورة تعميم تطبيق مبادئ الحوكمة في جميع مستشفيات القطاع الحكومي، مع تطوير مؤشرات أداء خاصة بجودة الخدمات الصحية، وإنشاء آليات مستقلة لرصد وتقييم الأداء بشكل دوري</w:t>
      </w:r>
      <w:r w:rsidRPr="005D59A7">
        <w:rPr>
          <w:rFonts w:ascii="T" w:hAnsi="T" w:cs="Simplified Arabic"/>
          <w:sz w:val="24"/>
          <w:szCs w:val="24"/>
        </w:rPr>
        <w:t>.</w:t>
      </w:r>
    </w:p>
    <w:p w14:paraId="3B5A0208" w14:textId="53D246F4" w:rsidR="00C57CC8" w:rsidRPr="005D59A7" w:rsidRDefault="00C57CC8" w:rsidP="00C476D6">
      <w:pPr>
        <w:pStyle w:val="Heading2"/>
        <w:bidi/>
        <w:rPr>
          <w:rFonts w:ascii="T" w:hAnsi="T" w:cs="Simplified Arabic"/>
          <w:color w:val="auto"/>
          <w:sz w:val="24"/>
          <w:szCs w:val="24"/>
          <w:rtl/>
        </w:rPr>
      </w:pPr>
      <w:bookmarkStart w:id="73" w:name="_Toc225991375"/>
      <w:r w:rsidRPr="005D59A7">
        <w:rPr>
          <w:rFonts w:ascii="T" w:hAnsi="T" w:cs="Simplified Arabic"/>
          <w:color w:val="auto"/>
          <w:sz w:val="24"/>
          <w:szCs w:val="24"/>
          <w:rtl/>
        </w:rPr>
        <w:t>المحور ا</w:t>
      </w:r>
      <w:r w:rsidR="00C476D6" w:rsidRPr="005D59A7">
        <w:rPr>
          <w:rFonts w:ascii="T" w:hAnsi="T" w:cs="Simplified Arabic"/>
          <w:color w:val="auto"/>
          <w:sz w:val="24"/>
          <w:szCs w:val="24"/>
          <w:rtl/>
        </w:rPr>
        <w:t>لخامس</w:t>
      </w:r>
      <w:r w:rsidRPr="005D59A7">
        <w:rPr>
          <w:rFonts w:ascii="T" w:hAnsi="T" w:cs="Simplified Arabic"/>
          <w:color w:val="auto"/>
          <w:sz w:val="24"/>
          <w:szCs w:val="24"/>
          <w:rtl/>
        </w:rPr>
        <w:t>: دراسات في السياق العربي والسعودي</w:t>
      </w:r>
      <w:bookmarkEnd w:id="73"/>
    </w:p>
    <w:p w14:paraId="4FB4F2D4"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دراسات تطبيق الشراكات بين القطاعين العام والخاص في السعودية</w:t>
      </w:r>
    </w:p>
    <w:p w14:paraId="6BD482A2"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شهدت المملكة العربية السعودية خلال السنوات الأخيرة تحولاً كبيراً في تبني نموذج الشراكات بين القطاعين العام والخاص، خاصة في قطاعات البنية التحتية والخدمات العامة والبيئة. تأتي هذه التطورات في إطار رؤية السعودية 2030 التي تهدف إلى تنويع الاقتصاد وتعزيز دور القطاع الخاص في التنمية</w:t>
      </w:r>
      <w:r w:rsidRPr="005D59A7">
        <w:rPr>
          <w:rFonts w:ascii="T" w:hAnsi="T" w:cs="Simplified Arabic"/>
          <w:sz w:val="24"/>
          <w:szCs w:val="24"/>
        </w:rPr>
        <w:t>.</w:t>
      </w:r>
    </w:p>
    <w:p w14:paraId="04E8BCC2" w14:textId="55A7FF55"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سعى </w:t>
      </w:r>
      <w:r w:rsidRPr="005D59A7">
        <w:rPr>
          <w:rFonts w:ascii="T" w:hAnsi="T" w:cs="Simplified Arabic"/>
          <w:sz w:val="24"/>
          <w:szCs w:val="24"/>
        </w:rPr>
        <w:t xml:space="preserve"> Jubair &amp; Singh (2022)</w:t>
      </w:r>
      <w:r w:rsidRPr="005D59A7">
        <w:rPr>
          <w:rFonts w:ascii="T" w:hAnsi="T" w:cs="Simplified Arabic"/>
          <w:sz w:val="24"/>
          <w:szCs w:val="24"/>
          <w:rtl/>
        </w:rPr>
        <w:t>إلى تحديد عوامل النجاح الحرجة لمشاريع الشراكة بين القطاعين العام والخاص في المملكة العربية السعودية. اعتمدوا على منهجية كمية، حيث قاموا بتوزيع استبيانات على 150 خبيراً وممارساً في مجال الشراكات في القطاعات المختلفة (النقل، المياه، الطاقة، البيئة). توصلوا إلى أن أهم عوامل النجاح الحرجة للشراكات في السياق السعودي تشمل: الاستقرار السياسي والدعم الحكومي القوي، ووضوح الإطار القانوني والتنظيمي، وتوفر الكوادر البشرية المؤهلة، والشفافية في عمليات الطرح والتعاقد، والتوزيع العادل للمخاطر بين الشركاء. أشار الباحثون إلى أن هذه العوامل تتفق إلى حد كبير مع الأدبيات العالمية، لكن هناك عوامل خاصة بالسياق السعودي مثل التوافق مع الشريعة الإسلامية ومراعاة البعد الثقافي في تصميم العقود وإدارة العلاقات مع الشركاء. أوصى الباحثون بضرورة بناء قدرات الكوادر الوطنية في مجال إدارة عقود الشراكة، وتطوير دليل وطني موحد لإجراءات الطرح والتعاقد، وإنشاء قاعدة بيانات وطنية لمشاريع الشراكة لتوثيق الدروس المستفادة</w:t>
      </w:r>
      <w:r w:rsidRPr="005D59A7">
        <w:rPr>
          <w:rFonts w:ascii="T" w:hAnsi="T" w:cs="Simplified Arabic"/>
          <w:sz w:val="24"/>
          <w:szCs w:val="24"/>
        </w:rPr>
        <w:t>.</w:t>
      </w:r>
    </w:p>
    <w:p w14:paraId="43932D4B" w14:textId="5B9C0661"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 xml:space="preserve">حلل </w:t>
      </w:r>
      <w:r w:rsidRPr="005D59A7">
        <w:rPr>
          <w:rFonts w:ascii="T" w:hAnsi="T" w:cs="Simplified Arabic"/>
          <w:sz w:val="24"/>
          <w:szCs w:val="24"/>
        </w:rPr>
        <w:t>Hidalgo (2024)</w:t>
      </w:r>
      <w:r w:rsidRPr="005D59A7">
        <w:rPr>
          <w:rFonts w:ascii="T" w:hAnsi="T" w:cs="Simplified Arabic"/>
          <w:sz w:val="24"/>
          <w:szCs w:val="24"/>
          <w:rtl/>
        </w:rPr>
        <w:t xml:space="preserve"> تطوير البنية التحتية في المملكة العربية السعودية من خلال نظام الشراكة بين القطاعين العام والخاص في إطار رؤية 2030. اعتمد على منهجية دراسة الحالة، محللاً ثلاث مشاريع شراكة كبرى في قطاعات النقل والمياه والطاقة. توصل الباحث إلى أن مشاريع الشراكة في السعودية حققت نجاحاً ملحوظاً في تسريع وتيرة تطوير البنية التحتية وتحسين جودتها، لكنها واجهت تحديات تتعلق بطول فترة الإعداد والتفاوض (بسبب تعقيد الإجراءات)، وصعوبة التنبؤ بالطلب المستقبلي (خاصة في المشاريع الجديدة)، والحاجة إلى تطوير قدرات القطاع العام في إدارة العقود طويلة الأجل. أشار الباحث إلى أن الإطار المؤسسي للشراكات في السعودية تطور بشكل كبير مع إنشاء المركز الوطني للتخصيص</w:t>
      </w:r>
      <w:r w:rsidRPr="005D59A7">
        <w:rPr>
          <w:rFonts w:ascii="T" w:hAnsi="T" w:cs="Simplified Arabic"/>
          <w:sz w:val="24"/>
          <w:szCs w:val="24"/>
        </w:rPr>
        <w:t xml:space="preserve"> (NCP) </w:t>
      </w:r>
      <w:r w:rsidRPr="005D59A7">
        <w:rPr>
          <w:rFonts w:ascii="T" w:hAnsi="T" w:cs="Simplified Arabic"/>
          <w:sz w:val="24"/>
          <w:szCs w:val="24"/>
          <w:rtl/>
        </w:rPr>
        <w:t>كجهة مركزية للإشراف على مشاريع الشراكة، مما ساهم في توحيد الإجراءات وزيادة الشفافية. أوصى الباحث بضرورة تبسيط إجراءات الموافقة على مشاريع الشراكة، وتطوير نماذج عقود موحدة تسرع عملية الإعداد، وتعزيز التعاون بين المركز الوطني للتخصيص والجهات القطاعية لبناء قدراتها</w:t>
      </w:r>
      <w:r w:rsidRPr="005D59A7">
        <w:rPr>
          <w:rFonts w:ascii="T" w:hAnsi="T" w:cs="Simplified Arabic"/>
          <w:sz w:val="24"/>
          <w:szCs w:val="24"/>
        </w:rPr>
        <w:t>.</w:t>
      </w:r>
    </w:p>
    <w:p w14:paraId="70ABB5BB" w14:textId="3E634E8A"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Guerrero, et al. (2024)</w:t>
      </w:r>
      <w:r w:rsidRPr="005D59A7">
        <w:rPr>
          <w:rFonts w:ascii="T" w:hAnsi="T" w:cs="Simplified Arabic"/>
          <w:sz w:val="24"/>
          <w:szCs w:val="24"/>
          <w:rtl/>
        </w:rPr>
        <w:t>السمات المحددة لتقليل الفجوة في البنية التحتية في المملكة العربية السعودية في إطار نظام الشراكة بين القطاعين العام والخاص. اعتمدوا على منهجية تحليل العوامل متعددة المعايير</w:t>
      </w:r>
      <w:r w:rsidRPr="005D59A7">
        <w:rPr>
          <w:rFonts w:ascii="T" w:hAnsi="T" w:cs="Simplified Arabic"/>
          <w:sz w:val="24"/>
          <w:szCs w:val="24"/>
        </w:rPr>
        <w:t xml:space="preserve"> (Multi-Criteria Analysis)</w:t>
      </w:r>
      <w:r w:rsidRPr="005D59A7">
        <w:rPr>
          <w:rFonts w:ascii="T" w:hAnsi="T" w:cs="Simplified Arabic"/>
          <w:sz w:val="24"/>
          <w:szCs w:val="24"/>
          <w:rtl/>
        </w:rPr>
        <w:t>، بالتعاون مع خبراء من القطاعين العام والخاص. توصلوا إلى أن السمات الأكثر تأثيراً في تقليل فجوة البنية التحتية تشمل: الاستقرار الاقتصادي والسياسي طويل الأجل، ووضوح الإطار القانوني والتنظيمي للشراكات، وتوفر خيارات تمويلية مناسبة (مثل صناديق البنية التحتية والتمويل الإسلامي)، والشفافية في تخصيص المخاطر بين الشركاء. أشار الباحثون إلى أن السعودية تتمتع بدرجة عالية من الاستقرار الاقتصادي والسياسي، وهو ما يشجع المستثمرين المحليين والدوليين على المشاركة في مشاريع الشراكة. كما أشاروا إلى أن تطوير سوق مالية متطورة وتوفر التمويل الإسلامي (الصكوك) يخلق بيئة جاذبة للاستثمار في مشاريع البنية التحتية. أوصى الباحثون بضرورة الاستمرار في تطوير الإطار القانوني والتنظيمي للشراكات، مع التركيز على توحيد العقود وتقليل التعقيد الإداري، وتوسيع نطاق استخدام أدوات التمويل الإسلامي في مشاريع الشراكة</w:t>
      </w:r>
      <w:r w:rsidRPr="005D59A7">
        <w:rPr>
          <w:rFonts w:ascii="T" w:hAnsi="T" w:cs="Simplified Arabic"/>
          <w:sz w:val="24"/>
          <w:szCs w:val="24"/>
        </w:rPr>
        <w:t>.</w:t>
      </w:r>
    </w:p>
    <w:p w14:paraId="5591B262"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دراسات الحوكمة والتحول المؤسسي في القطاع الحكومي السعودي</w:t>
      </w:r>
    </w:p>
    <w:p w14:paraId="5175389C"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شهد القطاع الحكومي السعودي تحولاً مؤسسياً كبيراً في ظل رؤية 2030، مع التركيز على تعزيز الحوكمة والشفافية والمساءلة، وتبني التقنيات الحديثة، وتطوير القيادة المؤسسية</w:t>
      </w:r>
      <w:r w:rsidRPr="005D59A7">
        <w:rPr>
          <w:rFonts w:ascii="T" w:hAnsi="T" w:cs="Simplified Arabic"/>
          <w:sz w:val="24"/>
          <w:szCs w:val="24"/>
        </w:rPr>
        <w:t>.</w:t>
      </w:r>
    </w:p>
    <w:p w14:paraId="50AFD169" w14:textId="6D84991B"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Alruwaili et al. (2024)</w:t>
      </w:r>
      <w:r w:rsidRPr="005D59A7">
        <w:rPr>
          <w:rFonts w:ascii="T" w:hAnsi="T" w:cs="Simplified Arabic"/>
          <w:sz w:val="24"/>
          <w:szCs w:val="24"/>
          <w:rtl/>
        </w:rPr>
        <w:t xml:space="preserve"> التفاعل بين إدارة المعرفة، والحوكمة الإلكترونية، وكفاءة أداء الأعمال في مؤسسات القطاع العام السعودي. اعتمدوا على منهجية كمية، حيث قاموا بتوزيع استبيانات على 300 موظف في 10 مؤسسات حكومية، واستخدموا نمذجة المعادلات الهيكلية</w:t>
      </w:r>
      <w:r w:rsidRPr="005D59A7">
        <w:rPr>
          <w:rFonts w:ascii="T" w:hAnsi="T" w:cs="Simplified Arabic"/>
          <w:sz w:val="24"/>
          <w:szCs w:val="24"/>
        </w:rPr>
        <w:t xml:space="preserve"> (SEM) </w:t>
      </w:r>
      <w:r w:rsidRPr="005D59A7">
        <w:rPr>
          <w:rFonts w:ascii="T" w:hAnsi="T" w:cs="Simplified Arabic"/>
          <w:sz w:val="24"/>
          <w:szCs w:val="24"/>
          <w:rtl/>
        </w:rPr>
        <w:t>لتحليل البيانات. توصلوا إلى وجود علاقة إيجابية قوية بين إدارة المعرفة والحوكمة الإلكترونية وكفاءة الأداء، حيث أن تطبيق الحوكمة الإلكترونية يعزز من فعالية إدارة المعرفة، وكلاهما يساهم في تحسين كفاءة الأداء المؤسسي. أشار الباحثون إلى أن التحول الرقمي في القطاع العام السعودي (بما في ذلك منصات الخدمات الإلكترونية، وأنظمة إدارة الوثائق، وقواعد البيانات المتكاملة) أسهم في تحسين الشفافية وتقليل الفساد وتسريع الإجراءات. كما أشاروا إلى أن تحديات تطبيق الحوكمة الإلكترونية تشمل: مقاومة التغيير من بعض الموظفين، وعدم كفاية البنية التحتية التقنية، ومخاطر الأمن السيبراني. أوصى الباحثون بضرورة الاستثمار في تدريب الكوادر البشرية على استخدام أنظمة الحوكمة الإلكترونية، وتطوير سياسات واضحة لحماية البيانات والخصوصية، وتعزيز ثقافة المشاركة وتبادل المعرفة بين المؤسسات الحكومية</w:t>
      </w:r>
      <w:r w:rsidRPr="005D59A7">
        <w:rPr>
          <w:rFonts w:ascii="T" w:hAnsi="T" w:cs="Simplified Arabic"/>
          <w:sz w:val="24"/>
          <w:szCs w:val="24"/>
        </w:rPr>
        <w:t>.</w:t>
      </w:r>
    </w:p>
    <w:p w14:paraId="2E7A668B" w14:textId="0F8CCA3F"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Bendary &amp; Rajadurai (2024)</w:t>
      </w:r>
      <w:r w:rsidRPr="005D59A7">
        <w:rPr>
          <w:rFonts w:ascii="T" w:hAnsi="T" w:cs="Simplified Arabic"/>
          <w:sz w:val="24"/>
          <w:szCs w:val="24"/>
          <w:rtl/>
        </w:rPr>
        <w:t xml:space="preserve">تبني التقنيات الناشئة والابتكار العام في القطاع العام السعودي، مع التركيز على تحديات التبني في ظل رؤية 2030. اعتمدوا على منهجية نوعية، حيث أجروا مقابلات معمقة مع 25 من صانعي القرار والخبراء في مجال التحول الرقمي في القطاع العام. توصلوا إلى أن التقنيات الناشئة (مثل الذكاء الاصطناعي، وإنترنت الأشياء، وسلسلة الكتل، وتحليل البيانات الضخمة) توفر فرصاً كبيرة لتحسين الحوكمة وزيادة الكفاءة في القطاع العام، لكن تبنيها يواجه تحديات تتعلق بالاستثمار المالي الكبير المطلوب، وندرة الكوادر البشرية المؤهلة، وعدم نضج الأطر التنظيمية لاستخدام هذه التقنيات. أشار الباحثون إلى أن السعودية قطعت خطوات كبيرة في تبني الابتكار العام، من خلال مبادرات مثل منصة "تطويرة" للحلول الابتكارية، وبرامج التسريع الحكومية، والشراكات مع شركات التقنية العالمية. كما أشاروا إلى أن تطبيق الذكاء الاصطناعي في تحليل البيانات وتحسين اتخاذ القرار يعد من أبرز مجالات الابتكار الواعدة في القطاع </w:t>
      </w:r>
      <w:r w:rsidRPr="005D59A7">
        <w:rPr>
          <w:rFonts w:ascii="T" w:hAnsi="T" w:cs="Simplified Arabic"/>
          <w:sz w:val="24"/>
          <w:szCs w:val="24"/>
          <w:rtl/>
        </w:rPr>
        <w:lastRenderedPageBreak/>
        <w:t>العام. أوصى الباحثون بضرورة تطوير استراتيجية وطنية لتبني التقنيات الناشئة في القطاع العام، مع التركيز على بناء القدرات البشرية وتطوير الأطر التنظيمية والحوكمة الرقمية</w:t>
      </w:r>
      <w:r w:rsidRPr="005D59A7">
        <w:rPr>
          <w:rFonts w:ascii="T" w:hAnsi="T" w:cs="Simplified Arabic"/>
          <w:sz w:val="24"/>
          <w:szCs w:val="24"/>
        </w:rPr>
        <w:t>.</w:t>
      </w:r>
    </w:p>
    <w:p w14:paraId="499BA151" w14:textId="78A76BBD"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 xml:space="preserve"> Bodrick ,et al. (2025)</w:t>
      </w:r>
      <w:r w:rsidRPr="005D59A7">
        <w:rPr>
          <w:rFonts w:ascii="T" w:hAnsi="T" w:cs="Simplified Arabic"/>
          <w:sz w:val="24"/>
          <w:szCs w:val="24"/>
          <w:rtl/>
        </w:rPr>
        <w:t>الديناميكية السياقية للقيادة التنظيمية في السعودية، مع التركيز على ما هو قادم بعد التغيير والتحول والانتقال. اعتمدوا على منهجية نوعية، حيث أجروا مقابلات معمقة مع 40 من القيادات التنفيذية في مؤسسات القطاعين العام والخاص، إلى جانب تحليل وثائقي لتقارير التحول المؤسسي. توصلوا إلى أن القيادة في السياق السعودي تمر بمرحلة تحول عميقة، تتطلب تجاوز النماذج القيادية التقليدية نحو نماذج أكثر مرونة وتشاركية وقدرة على التكيف مع التغيرات السريعة. أشار الباحثون إلى أن نجاح التحول المؤسسي في ظل رؤية 2030 يعتمد بشكل كبير على قدرة القيادات على التعامل مع تعقيدات التغيير، وإشراك جميع المستويات في عملية التحول، وبناء ثقافة مؤسسية داعمة للابتكار والتجريب. كما أشاروا إلى أن تحديات القيادة في السياق السعودي تشمل: الحاجة إلى تحقيق توازن بين الحفاظ على القيم الثقافية والانفتاح على الممارسات العالمية، وتطوير مسارات واعدة للقيادات الشابة، وبناء القدرات القيادية على إدارة الشراكات مع القطاع الخاص. أوصى الباحثون بضرورة الاستثمار في برامج تطوير القيادات الواعدة، وتبني نماذج قيادة موزعة</w:t>
      </w:r>
      <w:r w:rsidRPr="005D59A7">
        <w:rPr>
          <w:rFonts w:ascii="T" w:hAnsi="T" w:cs="Simplified Arabic"/>
          <w:sz w:val="24"/>
          <w:szCs w:val="24"/>
        </w:rPr>
        <w:t xml:space="preserve"> (Distributed Leadership) </w:t>
      </w:r>
      <w:r w:rsidRPr="005D59A7">
        <w:rPr>
          <w:rFonts w:ascii="T" w:hAnsi="T" w:cs="Simplified Arabic"/>
          <w:sz w:val="24"/>
          <w:szCs w:val="24"/>
          <w:rtl/>
        </w:rPr>
        <w:t>تشرك جميع المستويات في صنع القرار، وتطوير آليات لتقييم أداء القيادات وربطه بنتائج التحول المؤسسي</w:t>
      </w:r>
      <w:r w:rsidRPr="005D59A7">
        <w:rPr>
          <w:rFonts w:ascii="T" w:hAnsi="T" w:cs="Simplified Arabic"/>
          <w:sz w:val="24"/>
          <w:szCs w:val="24"/>
        </w:rPr>
        <w:t>.</w:t>
      </w:r>
    </w:p>
    <w:p w14:paraId="78995671"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دراسات التحول المؤسسي في القطاع البيئي السعودي</w:t>
      </w:r>
    </w:p>
    <w:p w14:paraId="2D96222A"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شهد القطاع البيئي السعودي تحولاً مؤسسياً كبيراً في السنوات الأخيرة، تمثل في إعادة الهيكلة، وإنشاء مراكز بيئية متخصصة، وإطلاق الإستراتيجية الوطنية للبيئة، وتعزيز الشراكات مع القطاع الخاص</w:t>
      </w:r>
      <w:r w:rsidRPr="005D59A7">
        <w:rPr>
          <w:rFonts w:ascii="T" w:hAnsi="T" w:cs="Simplified Arabic"/>
          <w:sz w:val="24"/>
          <w:szCs w:val="24"/>
        </w:rPr>
        <w:t>.</w:t>
      </w:r>
    </w:p>
    <w:p w14:paraId="5319F519" w14:textId="01EA6A51"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حلل </w:t>
      </w:r>
      <w:r w:rsidRPr="005D59A7">
        <w:rPr>
          <w:rFonts w:ascii="T" w:hAnsi="T" w:cs="Simplified Arabic"/>
          <w:sz w:val="24"/>
          <w:szCs w:val="24"/>
        </w:rPr>
        <w:t>Elkebti &amp; Khalifa (2025)</w:t>
      </w:r>
      <w:r w:rsidRPr="005D59A7">
        <w:rPr>
          <w:rFonts w:ascii="T" w:hAnsi="T" w:cs="Simplified Arabic"/>
          <w:sz w:val="24"/>
          <w:szCs w:val="24"/>
          <w:rtl/>
        </w:rPr>
        <w:t xml:space="preserve"> المبادرات الخضراء السعودية والشرق أوسطية، مع التركيز على دور الحوكمة البيئية، والتحول في مجال الطاقة المتجددة، والابتكار في تحقيق مستقبل أخضر إقليمي. اعتمدوا على منهجية تحليل البيانات الثانوية، حيث قاموا بتحليل تقارير دولية ووطنية حول أداء الدول في المؤشرات البيئية، ومبادرات الطاقة المتجددة، والابتكار الأخضر. توصلوا إلى أن المبادرة السعودية الخضراء</w:t>
      </w:r>
      <w:r w:rsidRPr="005D59A7">
        <w:rPr>
          <w:rFonts w:ascii="T" w:hAnsi="T" w:cs="Simplified Arabic"/>
          <w:sz w:val="24"/>
          <w:szCs w:val="24"/>
        </w:rPr>
        <w:t xml:space="preserve"> (SGI) </w:t>
      </w:r>
      <w:r w:rsidRPr="005D59A7">
        <w:rPr>
          <w:rFonts w:ascii="T" w:hAnsi="T" w:cs="Simplified Arabic"/>
          <w:sz w:val="24"/>
          <w:szCs w:val="24"/>
          <w:rtl/>
        </w:rPr>
        <w:t>ومبادرة الشرق الأوسط الأخضر</w:t>
      </w:r>
      <w:r w:rsidRPr="005D59A7">
        <w:rPr>
          <w:rFonts w:ascii="T" w:hAnsi="T" w:cs="Simplified Arabic"/>
          <w:sz w:val="24"/>
          <w:szCs w:val="24"/>
        </w:rPr>
        <w:t xml:space="preserve"> (MGI) </w:t>
      </w:r>
      <w:r w:rsidRPr="005D59A7">
        <w:rPr>
          <w:rFonts w:ascii="T" w:hAnsi="T" w:cs="Simplified Arabic"/>
          <w:sz w:val="24"/>
          <w:szCs w:val="24"/>
          <w:rtl/>
        </w:rPr>
        <w:t xml:space="preserve">تمثلان نقلة نوعية في الالتزام الإقليمي بالعمل البيئي، حيث تستهدفان </w:t>
      </w:r>
      <w:r w:rsidRPr="005D59A7">
        <w:rPr>
          <w:rFonts w:ascii="T" w:hAnsi="T" w:cs="Simplified Arabic"/>
          <w:sz w:val="24"/>
          <w:szCs w:val="24"/>
          <w:rtl/>
        </w:rPr>
        <w:lastRenderedPageBreak/>
        <w:t>خفض الانبعاثات، وزيادة الغطاء النباتي، وحماية الحياة الفطرية. أشار الباحثون إلى أن نجاح هذه المبادرات يعتمد بشكل كبير على تعزيز الحوكمة البيئية (بما يشمل الشفافية والمساءلة والمشاركة)، وتسريع التحول نحو الطاقة المتجددة، ودعم الابتكار في التقنيات الخضراء. كما أشاروا إلى أن المملكة قطعت خطوات كبيرة في مجال الطاقة المتجددة، من خلال مشاريع مثل سدير والسكة، والاستثمار في الهيدروجين الأخضر. أوصى الباحثون بضرورة تعزيز التعاون الإقليمي في مجال الحوكمة البيئية، وتبادل الخبرات في مجال الابتكار الأخضر، وتطوير آليات تمويل مبتكرة لدعم مشاريع الطاقة المتجددة والتكيف مع تغير المناخ</w:t>
      </w:r>
      <w:r w:rsidRPr="005D59A7">
        <w:rPr>
          <w:rFonts w:ascii="T" w:hAnsi="T" w:cs="Simplified Arabic"/>
          <w:sz w:val="24"/>
          <w:szCs w:val="24"/>
        </w:rPr>
        <w:t>.</w:t>
      </w:r>
    </w:p>
    <w:p w14:paraId="37050B5E" w14:textId="727F1149"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بحث </w:t>
      </w:r>
      <w:r w:rsidRPr="005D59A7">
        <w:rPr>
          <w:rFonts w:ascii="T" w:hAnsi="T" w:cs="Simplified Arabic"/>
          <w:sz w:val="24"/>
          <w:szCs w:val="24"/>
        </w:rPr>
        <w:t>Almeflh &amp; Almofleh (2025)</w:t>
      </w:r>
      <w:r w:rsidRPr="005D59A7">
        <w:rPr>
          <w:rFonts w:ascii="T" w:hAnsi="T" w:cs="Simplified Arabic"/>
          <w:sz w:val="24"/>
          <w:szCs w:val="24"/>
          <w:rtl/>
        </w:rPr>
        <w:t xml:space="preserve"> في المحفزات المؤسسية للمحاسبة البيئية واستجابات المنظمات في السياق السعودي. اعتمدوا على منهجية كمية، حيث قاموا بتوزيع استبيانات على 200 من المديرين الماليين والبيئيين في الشركات السعودية الكبرى. توصلوا إلى أن المحفزات المؤسسية للمحاسبة البيئية تشمل: الضغوط التنظيمية (قوانين وأنظمة بيئية أكثر صرامة)، والضغوط الاجتماعية (توقعات المجتمع والرأي العام)، والضغوط الاقتصادية (حوافز السوق وتكاليف الالتزام)، والضغوط المؤسسية الداخلية (التزام القيادة وثقافة المنظمة). أشار الباحثون إلى أن استجابات المنظمات لهذه المحفزات تتنوع بين الامتثال الأدنى (اتباع الحد الأدنى من المتطلبات القانونية)، والاستباقية (تجاوز المتطلبات القانونية طوعاً)، والريادة (دمج الاعتبارات البيئية في الاستراتيجية الأساسية للشركة). كما وجدوا أن الشركات التي تتبنى استجابات استباقية تحقق أداءً بيئياً ومالياً أفضل. أوصى الباحثون بضرورة تعزيز الأطر التنظيمية للمحاسبة البيئية والإفصاح عنها، وتطوير حوافز للشركات التي تتبنى ممارسات بيئية استباقية، وبناء قدرات المديرين الماليين والبيئيين في مجال المحاسبة البيئية</w:t>
      </w:r>
      <w:r w:rsidRPr="005D59A7">
        <w:rPr>
          <w:rFonts w:ascii="T" w:hAnsi="T" w:cs="Simplified Arabic"/>
          <w:sz w:val="24"/>
          <w:szCs w:val="24"/>
        </w:rPr>
        <w:t>.</w:t>
      </w:r>
    </w:p>
    <w:p w14:paraId="7D253087" w14:textId="271B1F48"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ركز </w:t>
      </w:r>
      <w:r w:rsidRPr="005D59A7">
        <w:rPr>
          <w:rFonts w:ascii="T" w:hAnsi="T" w:cs="Simplified Arabic"/>
          <w:sz w:val="24"/>
          <w:szCs w:val="24"/>
        </w:rPr>
        <w:t xml:space="preserve"> Alhosani (2025) </w:t>
      </w:r>
      <w:r w:rsidRPr="005D59A7">
        <w:rPr>
          <w:rFonts w:ascii="T" w:hAnsi="T" w:cs="Simplified Arabic"/>
          <w:sz w:val="24"/>
          <w:szCs w:val="24"/>
          <w:rtl/>
        </w:rPr>
        <w:t xml:space="preserve">على الاستفادة من الشراكات بين القطاعين العام والخاص لتعزيز الاقتصاد الدائري، من خلال دراسة حالة في إمارة عجمان. اعتمد على منهجية دراسة الحالة، حيث حلل تجربة إمارة عجمان في تطبيق الشراكات مع القطاع الخاص لإدارة النفايات الصناعية وتحقيق الاستدامة الاقتصادية. توصل الباحث إلى أن تطبيق نموذج الشراكة مع القطاع الخاص ساهم بشكل كبير في تحسين إدارة النفايات الصناعية، وزيادة نسب إعادة التدوير، وتقليل النفايات المرسلة إلى المطامر. أشار الباحث إلى أن عوامل نجاح هذه الشراكات تشمل: الإرادة السياسية القوية، والإطار القانوني الواضح، والشفافية في عمليات الطرح والتعاقد، وتوزيع المخاطر بشكل عادل بين الشركاء، وإشراك القطاع الخاص في تصميم الحلول المبتكرة. كما أشار إلى </w:t>
      </w:r>
      <w:r w:rsidRPr="005D59A7">
        <w:rPr>
          <w:rFonts w:ascii="T" w:hAnsi="T" w:cs="Simplified Arabic"/>
          <w:sz w:val="24"/>
          <w:szCs w:val="24"/>
          <w:rtl/>
        </w:rPr>
        <w:lastRenderedPageBreak/>
        <w:t>أن تطبيق مبادئ الاقتصاد الدائري من خلال الشراكات يحقق فوائد اقتصادية (توفير التكاليف، خلق فرص عمل، جذب استثمارات) وبيئية (تقليل التلوث، الحفاظ على الموارد) واجتماعية (تحسين جودة الحياة، رفع الوعي البيئي). أوصى الباحث بضرورة تعميم تجربة عجمان على مستوى الإمارات الأخرى ودول المنطقة، مع التركيز على تطوير أطر حوكمة مناسبة للاقتصاد الدائري، وتحفيز القطاع الخاص على الاستثمار في مشاريع إعادة التدوير والتدوير</w:t>
      </w:r>
      <w:r w:rsidRPr="005D59A7">
        <w:rPr>
          <w:rFonts w:ascii="T" w:hAnsi="T" w:cs="Simplified Arabic"/>
          <w:sz w:val="24"/>
          <w:szCs w:val="24"/>
        </w:rPr>
        <w:t>.</w:t>
      </w:r>
    </w:p>
    <w:p w14:paraId="17954E9E"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الفجوة البحثية للدراسة</w:t>
      </w:r>
    </w:p>
    <w:p w14:paraId="4F47579B"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تتمثل الفجوة البحثية في وجود تباين واضح بين التطور المؤسسي والسياسي الكبير الذي يشهده قطاع البيئة في المملكة العربية السعودية - خاصة في مجال التفتيش البيئي - وبين محدودية المعرفة العلمية والتطبيقية حول آليات تصميم وتنفيذ الشراكات بين القطاعين العام والخاص في هذا القطاع الحيوي. فبينما شهدت السنوات الأخيرة إصلاحات هيكلية جذرية تمثلت في إعادة هيكلة القطاع البيئي، وإنشاء المراكز الوطنية المتخصصة، وإطلاق الإستراتيجية الوطنية للبيئة، وطرح أول مشاريع الشراكة في التفتيش البيئي، نجد أن الأدبيات الأكاديمية والدراسات السابقة لم تواكب هذه التطورات، ولم تقدم نماذج متكاملة يمكن أن توجه عملية التحول من نموذج التوريد التقليدي إلى نموذج الشراكة القائم على الأداء</w:t>
      </w:r>
      <w:r w:rsidRPr="005D59A7">
        <w:rPr>
          <w:rFonts w:ascii="T" w:hAnsi="T" w:cs="Simplified Arabic"/>
          <w:sz w:val="24"/>
          <w:szCs w:val="24"/>
        </w:rPr>
        <w:t>.</w:t>
      </w:r>
    </w:p>
    <w:p w14:paraId="263BACC7"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يمكن تفصيل هذه الفجوة البحثية عبر أربعة مستويات مترابطة: الفجوة النظرية، الفجوة المنهجية، الفجوة التطبيقية، والفجوة السياقية</w:t>
      </w:r>
      <w:r w:rsidRPr="005D59A7">
        <w:rPr>
          <w:rFonts w:ascii="T" w:hAnsi="T" w:cs="Simplified Arabic"/>
          <w:sz w:val="24"/>
          <w:szCs w:val="24"/>
        </w:rPr>
        <w:t>.</w:t>
      </w:r>
    </w:p>
    <w:p w14:paraId="358EB66C" w14:textId="36098D6E"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الفجوة النظرية</w:t>
      </w:r>
    </w:p>
    <w:p w14:paraId="3EF9194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تعاني الأدبيات الحالية من غياب إطار نظري متكامل يفسر كيفية تحقيق التوازن بين الكفاءة الاقتصادية والحياد التنظيمي والشفافية والمساءلة في خدمات التفتيش البيئي عند تطبيق نموذج الشراكة بين القطاعين العام والخاص</w:t>
      </w:r>
      <w:r w:rsidRPr="005D59A7">
        <w:rPr>
          <w:rFonts w:ascii="T" w:hAnsi="T" w:cs="Simplified Arabic"/>
          <w:sz w:val="24"/>
          <w:szCs w:val="24"/>
        </w:rPr>
        <w:t>.</w:t>
      </w:r>
    </w:p>
    <w:p w14:paraId="7CDE25E8"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على الرغم من أن نظريتي الوكالة وتكاليف المعاملات تقدم أدوات تحليلية قوية لفهم العلاقات التعاقدية وتصميم آليات الحوافز، إلا أن تطبيقهما على الخدمات الرقابية عالية الحساسية</w:t>
      </w:r>
      <w:r w:rsidRPr="005D59A7">
        <w:rPr>
          <w:rFonts w:ascii="T" w:hAnsi="T" w:cs="Simplified Arabic"/>
          <w:sz w:val="24"/>
          <w:szCs w:val="24"/>
        </w:rPr>
        <w:t xml:space="preserve"> (High-Sensitivity Regulatory Services) </w:t>
      </w:r>
      <w:r w:rsidRPr="005D59A7">
        <w:rPr>
          <w:rFonts w:ascii="T" w:hAnsi="T" w:cs="Simplified Arabic"/>
          <w:sz w:val="24"/>
          <w:szCs w:val="24"/>
          <w:rtl/>
        </w:rPr>
        <w:t xml:space="preserve">مثل التفتيش البيئي لا يزال محدوداً. فمعظم الدراسات التي تناولت الشراكات في </w:t>
      </w:r>
      <w:r w:rsidRPr="005D59A7">
        <w:rPr>
          <w:rFonts w:ascii="T" w:hAnsi="T" w:cs="Simplified Arabic"/>
          <w:sz w:val="24"/>
          <w:szCs w:val="24"/>
          <w:rtl/>
        </w:rPr>
        <w:lastRenderedPageBreak/>
        <w:t>قطاع البيئة ركزت على مشاريع البنية التحتية البيئية (مثل محطات معالجة المياه، ومحطات الطاقة المتجددة، وإدارة النفايات)، وهي مشاريع تختلف اختلافاً جوهرياً عن خدمات التفتيش البيئي التي تتطلب موازنة دقيقة بين الكفاءة التشغيلية والحفاظ على سلطة اتخاذ القرارات التنظيمية في يد الجهات الحكومية</w:t>
      </w:r>
      <w:r w:rsidRPr="005D59A7">
        <w:rPr>
          <w:rFonts w:ascii="T" w:hAnsi="T" w:cs="Simplified Arabic"/>
          <w:sz w:val="24"/>
          <w:szCs w:val="24"/>
        </w:rPr>
        <w:t>.</w:t>
      </w:r>
    </w:p>
    <w:p w14:paraId="38BDEE4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علاوة على ذلك، تشير الدراسات إلى أن العقود الطويلة الأجل في مشاريع الشراكة تواجه تحديات تتعلق بعدم اكتمال العقود</w:t>
      </w:r>
      <w:r w:rsidRPr="005D59A7">
        <w:rPr>
          <w:rFonts w:ascii="T" w:hAnsi="T" w:cs="Simplified Arabic"/>
          <w:sz w:val="24"/>
          <w:szCs w:val="24"/>
        </w:rPr>
        <w:t xml:space="preserve"> (Incomplete Contracts) </w:t>
      </w:r>
      <w:r w:rsidRPr="005D59A7">
        <w:rPr>
          <w:rFonts w:ascii="T" w:hAnsi="T" w:cs="Simplified Arabic"/>
          <w:sz w:val="24"/>
          <w:szCs w:val="24"/>
          <w:rtl/>
        </w:rPr>
        <w:t>والحاجة إلى آليات تكيف وتعديل خلال فترة العقد. وفي سياق التفتيش البيئي، حيث تتغير اللوائح البيئية باستمرار وتظهر أنواع جديدة من التلوث، تصبح الحاجة إلى أطر حوكمة مرنة وقادرة على التكيف أكثر إلحاحاً. غير أن الأدبيات الحالية لا تقدم نماذج واضحة لتصميم آليات التكيف هذه في عقود شراكة خدمات التفتيش البيئي</w:t>
      </w:r>
      <w:r w:rsidRPr="005D59A7">
        <w:rPr>
          <w:rFonts w:ascii="T" w:hAnsi="T" w:cs="Simplified Arabic"/>
          <w:sz w:val="24"/>
          <w:szCs w:val="24"/>
        </w:rPr>
        <w:t>.</w:t>
      </w:r>
    </w:p>
    <w:p w14:paraId="2D71C6A6"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أن هناك فجوة نظرية تتعلق بفهم العلاقة بين الحوكمة البيئية وإدارة الأداء في سياق الشراكات. فبينما أشارت دراسة</w:t>
      </w:r>
      <w:r w:rsidRPr="005D59A7">
        <w:rPr>
          <w:rFonts w:ascii="T" w:hAnsi="T" w:cs="Simplified Arabic"/>
          <w:sz w:val="24"/>
          <w:szCs w:val="24"/>
        </w:rPr>
        <w:t xml:space="preserve"> Waardenburg, Groenleer, &amp; de Jong (2025) </w:t>
      </w:r>
      <w:r w:rsidRPr="005D59A7">
        <w:rPr>
          <w:rFonts w:ascii="T" w:hAnsi="T" w:cs="Simplified Arabic"/>
          <w:sz w:val="24"/>
          <w:szCs w:val="24"/>
          <w:rtl/>
        </w:rPr>
        <w:t>إلى تحديات قياس الأداء والمساءلة في الحوكمة التعاونية، ودراسة</w:t>
      </w:r>
      <w:r w:rsidRPr="005D59A7">
        <w:rPr>
          <w:rFonts w:ascii="T" w:hAnsi="T" w:cs="Simplified Arabic"/>
          <w:sz w:val="24"/>
          <w:szCs w:val="24"/>
        </w:rPr>
        <w:t xml:space="preserve"> Martiny et al. (2024) </w:t>
      </w:r>
      <w:r w:rsidRPr="005D59A7">
        <w:rPr>
          <w:rFonts w:ascii="T" w:hAnsi="T" w:cs="Simplified Arabic"/>
          <w:sz w:val="24"/>
          <w:szCs w:val="24"/>
          <w:rtl/>
        </w:rPr>
        <w:t>إلى محددات أداء</w:t>
      </w:r>
      <w:r w:rsidRPr="005D59A7">
        <w:rPr>
          <w:rFonts w:ascii="T" w:hAnsi="T" w:cs="Simplified Arabic"/>
          <w:sz w:val="24"/>
          <w:szCs w:val="24"/>
        </w:rPr>
        <w:t xml:space="preserve"> ESG</w:t>
      </w:r>
      <w:r w:rsidRPr="005D59A7">
        <w:rPr>
          <w:rFonts w:ascii="T" w:hAnsi="T" w:cs="Simplified Arabic"/>
          <w:sz w:val="24"/>
          <w:szCs w:val="24"/>
          <w:rtl/>
        </w:rPr>
        <w:t>، ودراسة</w:t>
      </w:r>
      <w:r w:rsidRPr="005D59A7">
        <w:rPr>
          <w:rFonts w:ascii="T" w:hAnsi="T" w:cs="Simplified Arabic"/>
          <w:sz w:val="24"/>
          <w:szCs w:val="24"/>
        </w:rPr>
        <w:t xml:space="preserve"> Biondi &amp; Russo (2022) </w:t>
      </w:r>
      <w:r w:rsidRPr="005D59A7">
        <w:rPr>
          <w:rFonts w:ascii="T" w:hAnsi="T" w:cs="Simplified Arabic"/>
          <w:sz w:val="24"/>
          <w:szCs w:val="24"/>
          <w:rtl/>
        </w:rPr>
        <w:t>إلى دمج التخطيط الاستراتيجي وإدارة الأداء، فإن هذه الدراسات لم تتناول بشكل خاص كيفية تصميم أنظمة إدارة أداء تناسب طبيعة خدمات التفتيش البيئي في إطار الشراكة مع القطاع الخاص</w:t>
      </w:r>
      <w:r w:rsidRPr="005D59A7">
        <w:rPr>
          <w:rFonts w:ascii="T" w:hAnsi="T" w:cs="Simplified Arabic"/>
          <w:sz w:val="24"/>
          <w:szCs w:val="24"/>
        </w:rPr>
        <w:t>.</w:t>
      </w:r>
    </w:p>
    <w:p w14:paraId="73DD9F0C" w14:textId="40EC5A16"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الفجوة المنهجية</w:t>
      </w:r>
    </w:p>
    <w:p w14:paraId="182B93E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تعاني الدراسات السابقة من قيود منهجية واضحة تحد من قدرتها على تقديم إجابات قاطعة حول فعالية الشراكات في تحسين أداء خدمات التفتيش البيئي</w:t>
      </w:r>
      <w:r w:rsidRPr="005D59A7">
        <w:rPr>
          <w:rFonts w:ascii="T" w:hAnsi="T" w:cs="Simplified Arabic"/>
          <w:sz w:val="24"/>
          <w:szCs w:val="24"/>
        </w:rPr>
        <w:t>.</w:t>
      </w:r>
    </w:p>
    <w:p w14:paraId="63271E8C"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غلبة الدراسات النوعية والنظرية على حساب الدراسات الكمية. معظم الدراسات التي تناولت الشراكات في قطاع البيئة اعتمدت على منهجيات نوعية مثل دراسات الحالة والمقابلات، مما يجعل من الصعب تعميم نتائجها أو قياس حجم تأثير المتغيرات المختلفة على أداء الشراكة. كما أن ندرة الدراسات الكمية التي تستخدم نماذج إحصائية لاختبار الفرضيات تحول دون الوصول إلى استنتاجات قاطعة حول العلاقات السببية بين متغيرات الحوكمة وأداء الشراكات</w:t>
      </w:r>
      <w:r w:rsidRPr="005D59A7">
        <w:rPr>
          <w:rFonts w:ascii="T" w:hAnsi="T" w:cs="Simplified Arabic"/>
          <w:sz w:val="24"/>
          <w:szCs w:val="24"/>
        </w:rPr>
        <w:t>.</w:t>
      </w:r>
    </w:p>
    <w:p w14:paraId="1C4CCE18"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lastRenderedPageBreak/>
        <w:t>ثانياً: غياب نماذج قياس أداء كمية خاصة بالتفتيش البيئي. في الوقت الذي تشير فيه دراسة</w:t>
      </w:r>
      <w:r w:rsidRPr="005D59A7">
        <w:rPr>
          <w:rFonts w:ascii="T" w:hAnsi="T" w:cs="Simplified Arabic"/>
          <w:sz w:val="24"/>
          <w:szCs w:val="24"/>
        </w:rPr>
        <w:t xml:space="preserve"> Alruwaili et al. (2024) </w:t>
      </w:r>
      <w:r w:rsidRPr="005D59A7">
        <w:rPr>
          <w:rFonts w:ascii="T" w:hAnsi="T" w:cs="Simplified Arabic"/>
          <w:sz w:val="24"/>
          <w:szCs w:val="24"/>
          <w:rtl/>
        </w:rPr>
        <w:t>إلى أهمية الحوكمة الإلكترونية وإدارة المعرفة في تحسين أداء القطاع العام، ودراسة</w:t>
      </w:r>
      <w:r w:rsidRPr="005D59A7">
        <w:rPr>
          <w:rFonts w:ascii="T" w:hAnsi="T" w:cs="Simplified Arabic"/>
          <w:sz w:val="24"/>
          <w:szCs w:val="24"/>
        </w:rPr>
        <w:t xml:space="preserve"> Yadav &amp; Prashar (2023) </w:t>
      </w:r>
      <w:r w:rsidRPr="005D59A7">
        <w:rPr>
          <w:rFonts w:ascii="T" w:hAnsi="T" w:cs="Simplified Arabic"/>
          <w:sz w:val="24"/>
          <w:szCs w:val="24"/>
          <w:rtl/>
        </w:rPr>
        <w:t>إلى تأثير تنوع مجلس الإدارة على أداء</w:t>
      </w:r>
      <w:r w:rsidRPr="005D59A7">
        <w:rPr>
          <w:rFonts w:ascii="T" w:hAnsi="T" w:cs="Simplified Arabic"/>
          <w:sz w:val="24"/>
          <w:szCs w:val="24"/>
        </w:rPr>
        <w:t xml:space="preserve"> ESG</w:t>
      </w:r>
      <w:r w:rsidRPr="005D59A7">
        <w:rPr>
          <w:rFonts w:ascii="T" w:hAnsi="T" w:cs="Simplified Arabic"/>
          <w:sz w:val="24"/>
          <w:szCs w:val="24"/>
          <w:rtl/>
        </w:rPr>
        <w:t>، فإن هذه الدراسات لم تقدم نماذج قياس كمية محددة لخدمة التفتيش البيئي، تشمل مؤشرات مثل التكلفة التشغيلية للزيارة التفتيشية، ونسبة المخالفات المرفوضة، ونسبة تغطية المنشآت، وزمن إغلاق المخالفات</w:t>
      </w:r>
      <w:r w:rsidRPr="005D59A7">
        <w:rPr>
          <w:rFonts w:ascii="T" w:hAnsi="T" w:cs="Simplified Arabic"/>
          <w:sz w:val="24"/>
          <w:szCs w:val="24"/>
        </w:rPr>
        <w:t>.</w:t>
      </w:r>
    </w:p>
    <w:p w14:paraId="7B2718C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محدودية استخدام تحليل البيانات الثانوية الرسمية. رغم توفر بيانات كمية رسمية من المركز الوطني للرقابة على الالتزام البيئي عن أداء خدمة التفتيش البيئي خلال الفترة 2017-2019، إلا أن هذه البيانات لم تخضع لتحليل إحصائي معمق في الدراسات السابقة، مما يمثل فرصة بحثية ثمينة يمكن استغلالها في هذه الدراسة. تشمل هذه البيانات مؤشرات مالية (تكاليف المشروع، عوائد المخالفات، العجز)، ومؤشرات تشغيلية (عدد المفتشين، عدد الزيارات، عدد المنشآت، نسبة التغطية)، ومؤشرات جودة (نسبة المخالفات المرفوضة، المخالفات لكل زيارة)</w:t>
      </w:r>
      <w:r w:rsidRPr="005D59A7">
        <w:rPr>
          <w:rFonts w:ascii="T" w:hAnsi="T" w:cs="Simplified Arabic"/>
          <w:sz w:val="24"/>
          <w:szCs w:val="24"/>
        </w:rPr>
        <w:t>.</w:t>
      </w:r>
    </w:p>
    <w:p w14:paraId="332B516B" w14:textId="4648CF9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الفجوة التطبيقية</w:t>
      </w:r>
    </w:p>
    <w:p w14:paraId="1FDF441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رغم الإصلاحات المؤسسية الكبيرة التي شهدها قطاع البيئة السعودي، والتوجه الواضح نحو تعزيز الشراكات مع القطاع الخاص، إلا أن التطبيق الفعلي لنماذج الشراكة في خدمات التفتيش البيئي لا يزال محدوداً، مما يخلق فجوة بين النظرية والتطبيق وبين السياسات والتنفيذ</w:t>
      </w:r>
      <w:r w:rsidRPr="005D59A7">
        <w:rPr>
          <w:rFonts w:ascii="T" w:hAnsi="T" w:cs="Simplified Arabic"/>
          <w:sz w:val="24"/>
          <w:szCs w:val="24"/>
        </w:rPr>
        <w:t>.</w:t>
      </w:r>
    </w:p>
    <w:p w14:paraId="7C2B63B7"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محدودية التطبيق الميداني لنماذج الشراكة في قطاع البيئة السعودي. على الرغم من الإعلان عن أول مشروع تفتيش بيئي بنظام الشراكة بين القطاعين العام والخاص في عام 2025، والذي يستهدف تغطية 250,000 منشأة، فإن التطبيق الفعلي لا يزال في مراحله الأولى، ولم تتوفر بعد دراسات تقييمية حول أداء هذا المشروع أو الدروس المستفادة منه. كما أن مشاريع التفتيش في قطاع الحياة الفطرية لا تزال في مرحلة الطرح المحدود لتغطية 14 منفذاً حدودياً و50,000 منفذ بيع</w:t>
      </w:r>
      <w:r w:rsidRPr="005D59A7">
        <w:rPr>
          <w:rFonts w:ascii="T" w:hAnsi="T" w:cs="Simplified Arabic"/>
          <w:sz w:val="24"/>
          <w:szCs w:val="24"/>
        </w:rPr>
        <w:t>.</w:t>
      </w:r>
    </w:p>
    <w:p w14:paraId="5D14362A"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ثانياً: غياب نموذج موحد لهيكلة عقود شراكة التفتيش البيئي. تشير الدراسات إلى أن نجاح الشراكات يعتمد بشكل كبير على تصميم العقد وتوزيع المخاطر بين الشركاء. غير أن الأدبيات الحالية لا تقدم نموذجاً </w:t>
      </w:r>
      <w:r w:rsidRPr="005D59A7">
        <w:rPr>
          <w:rFonts w:ascii="T" w:hAnsi="T" w:cs="Simplified Arabic"/>
          <w:sz w:val="24"/>
          <w:szCs w:val="24"/>
          <w:rtl/>
        </w:rPr>
        <w:lastRenderedPageBreak/>
        <w:t>موحداً لهيكلة عقود شراكة التفتيش البيئي، يشمل تحديد نطاق الخدمة، وآليات الدفع، ومؤشرات الأداء، وعقوبات التقصير، وآليات التكيف مع تغير اللوائح، وحقوق والتزامات كل طرف. كما أن تجارب دول أخرى في هذا المجال (مثل المملكة المتحدة واسكتلندا) تحتاج إلى تقييم دقيق لمدى قابلية نقلها إلى السياق السعودي، مع مراعاة الاختلافات في الأطر القانونية والمؤسسية والثقافية</w:t>
      </w:r>
      <w:r w:rsidRPr="005D59A7">
        <w:rPr>
          <w:rFonts w:ascii="T" w:hAnsi="T" w:cs="Simplified Arabic"/>
          <w:sz w:val="24"/>
          <w:szCs w:val="24"/>
        </w:rPr>
        <w:t>.</w:t>
      </w:r>
    </w:p>
    <w:p w14:paraId="13A9C2F9"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غياب آليات واضحة لربط المقابل المالي بمؤشرات الأداء. من أهم تحديات تصميم عقود شراكة التفتيش البيئي هو تحديد آلية مناسبة لربط المقابل المالي الذي يحصل عليه القطاع الخاص بمؤشرات أداء قابلة للقياس. في النموذج التقليدي، كان الدفع مقابل المدخلات (عدد المفتشين، ساعات العمل)، مما أدى إلى ضعف الحوافز وضعف جودة المخرجات. في النموذج المقترح، يجب الانتقال إلى الدفع مقابل المخرجات أو النتائج، مع تصميم آليات لقياس الأداء بشكل دوري ومستقل. غير أن الأدبيات الحالية لا تقدم نماذج واضحة لتصميم هذه الآليات في سياق التفتيش البيئي</w:t>
      </w:r>
      <w:r w:rsidRPr="005D59A7">
        <w:rPr>
          <w:rFonts w:ascii="T" w:hAnsi="T" w:cs="Simplified Arabic"/>
          <w:sz w:val="24"/>
          <w:szCs w:val="24"/>
        </w:rPr>
        <w:t>.</w:t>
      </w:r>
    </w:p>
    <w:p w14:paraId="6B680A76" w14:textId="7250A646"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الفجوة السياقية</w:t>
      </w:r>
    </w:p>
    <w:p w14:paraId="11662FCE"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تتمثل الفجوة السياقية في ندرة الدراسات التي تناولت تطبيق الشراكات بين القطاعين العام والخاص في قطاع البيئة السعودي بشكل عام، وفي خدمة التفتيش البيئي بشكل خاص، خاصة في ضوء الهيكلة المؤسسية الجديدة (المراكز البيئية الخمسة، صندوق البيئة) والإستراتيجية الوطنية للبيئة</w:t>
      </w:r>
      <w:r w:rsidRPr="005D59A7">
        <w:rPr>
          <w:rFonts w:ascii="T" w:hAnsi="T" w:cs="Simplified Arabic"/>
          <w:sz w:val="24"/>
          <w:szCs w:val="24"/>
        </w:rPr>
        <w:t>.</w:t>
      </w:r>
    </w:p>
    <w:p w14:paraId="1D55B66D"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أولاً: ندرة الدراسات حول الشراكات في القطاع البيئي السعودي. على الرغم من وجود دراسات تناولت عوامل النجاح الحرجة للشراكات في السعودية مثل دراسة</w:t>
      </w:r>
      <w:r w:rsidRPr="005D59A7">
        <w:rPr>
          <w:rFonts w:ascii="T" w:hAnsi="T" w:cs="Simplified Arabic"/>
          <w:sz w:val="24"/>
          <w:szCs w:val="24"/>
        </w:rPr>
        <w:t xml:space="preserve"> Jubair &amp; Singh (2022) </w:t>
      </w:r>
      <w:r w:rsidRPr="005D59A7">
        <w:rPr>
          <w:rFonts w:ascii="T" w:hAnsi="T" w:cs="Simplified Arabic"/>
          <w:sz w:val="24"/>
          <w:szCs w:val="24"/>
          <w:rtl/>
        </w:rPr>
        <w:t>ودراسة</w:t>
      </w:r>
      <w:r w:rsidRPr="005D59A7">
        <w:rPr>
          <w:rFonts w:ascii="T" w:hAnsi="T" w:cs="Simplified Arabic"/>
          <w:sz w:val="24"/>
          <w:szCs w:val="24"/>
        </w:rPr>
        <w:t xml:space="preserve"> Hidalgo (2024) </w:t>
      </w:r>
      <w:r w:rsidRPr="005D59A7">
        <w:rPr>
          <w:rFonts w:ascii="T" w:hAnsi="T" w:cs="Simplified Arabic"/>
          <w:sz w:val="24"/>
          <w:szCs w:val="24"/>
          <w:rtl/>
        </w:rPr>
        <w:t>ودراسة</w:t>
      </w:r>
      <w:r w:rsidRPr="005D59A7">
        <w:rPr>
          <w:rFonts w:ascii="T" w:hAnsi="T" w:cs="Simplified Arabic"/>
          <w:sz w:val="24"/>
          <w:szCs w:val="24"/>
        </w:rPr>
        <w:t xml:space="preserve"> Guerrero et al. (2024)</w:t>
      </w:r>
      <w:r w:rsidRPr="005D59A7">
        <w:rPr>
          <w:rFonts w:ascii="T" w:hAnsi="T" w:cs="Simplified Arabic"/>
          <w:sz w:val="24"/>
          <w:szCs w:val="24"/>
          <w:rtl/>
        </w:rPr>
        <w:t>، فإن هذه الدراسات تناولت قطاعات متعددة (النقل، المياه، الطاقة) دون تركيز خاص على قطاع البيئة. كما أن هذه الدراسات لم تتناول بالتحليل المؤشرات التشغيلية والمالية التفصيلية لخدمة التفتيش البيئي، مما يمثل فجوة بحثية واضحة</w:t>
      </w:r>
      <w:r w:rsidRPr="005D59A7">
        <w:rPr>
          <w:rFonts w:ascii="T" w:hAnsi="T" w:cs="Simplified Arabic"/>
          <w:sz w:val="24"/>
          <w:szCs w:val="24"/>
        </w:rPr>
        <w:t>.</w:t>
      </w:r>
    </w:p>
    <w:p w14:paraId="5F1184C3"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ثانياً: ندرة الدراسات حول الحوكمة البيئية في السعودية. أشارت دراسة</w:t>
      </w:r>
      <w:r w:rsidRPr="005D59A7">
        <w:rPr>
          <w:rFonts w:ascii="T" w:hAnsi="T" w:cs="Simplified Arabic"/>
          <w:sz w:val="24"/>
          <w:szCs w:val="24"/>
        </w:rPr>
        <w:t xml:space="preserve"> Elkebti &amp; Khalifa (2025) </w:t>
      </w:r>
      <w:r w:rsidRPr="005D59A7">
        <w:rPr>
          <w:rFonts w:ascii="T" w:hAnsi="T" w:cs="Simplified Arabic"/>
          <w:sz w:val="24"/>
          <w:szCs w:val="24"/>
          <w:rtl/>
        </w:rPr>
        <w:t>إلى أهمية الحوكمة البيئية في تحقيق مستقبل أخضر، ودراسة</w:t>
      </w:r>
      <w:r w:rsidRPr="005D59A7">
        <w:rPr>
          <w:rFonts w:ascii="T" w:hAnsi="T" w:cs="Simplified Arabic"/>
          <w:sz w:val="24"/>
          <w:szCs w:val="24"/>
        </w:rPr>
        <w:t xml:space="preserve"> Almeflh &amp; Almofleh (2025) </w:t>
      </w:r>
      <w:r w:rsidRPr="005D59A7">
        <w:rPr>
          <w:rFonts w:ascii="T" w:hAnsi="T" w:cs="Simplified Arabic"/>
          <w:sz w:val="24"/>
          <w:szCs w:val="24"/>
          <w:rtl/>
        </w:rPr>
        <w:t>إلى المحفزات المؤسسية للمحاسبة البيئية، ودراسة</w:t>
      </w:r>
      <w:r w:rsidRPr="005D59A7">
        <w:rPr>
          <w:rFonts w:ascii="T" w:hAnsi="T" w:cs="Simplified Arabic"/>
          <w:sz w:val="24"/>
          <w:szCs w:val="24"/>
        </w:rPr>
        <w:t xml:space="preserve"> Bodrick et al. (2025) </w:t>
      </w:r>
      <w:r w:rsidRPr="005D59A7">
        <w:rPr>
          <w:rFonts w:ascii="T" w:hAnsi="T" w:cs="Simplified Arabic"/>
          <w:sz w:val="24"/>
          <w:szCs w:val="24"/>
          <w:rtl/>
        </w:rPr>
        <w:t xml:space="preserve">إلى القيادة التنظيمية في سياق </w:t>
      </w:r>
      <w:r w:rsidRPr="005D59A7">
        <w:rPr>
          <w:rFonts w:ascii="T" w:hAnsi="T" w:cs="Simplified Arabic"/>
          <w:sz w:val="24"/>
          <w:szCs w:val="24"/>
          <w:rtl/>
        </w:rPr>
        <w:lastRenderedPageBreak/>
        <w:t>التحول. غير أن هذه الدراسات لم تتناول بشكل متخصص آليات الحوكمة المناسبة لخدمة التفتيش البيئي في إطار الشراكة مع القطاع الخاص، ولا كيفية ضمان الحياد التنظيمي والشفافية والمساءلة عند إشراك القطاع الخاص في الخدمات الرقابية</w:t>
      </w:r>
      <w:r w:rsidRPr="005D59A7">
        <w:rPr>
          <w:rFonts w:ascii="T" w:hAnsi="T" w:cs="Simplified Arabic"/>
          <w:sz w:val="24"/>
          <w:szCs w:val="24"/>
        </w:rPr>
        <w:t>.</w:t>
      </w:r>
    </w:p>
    <w:p w14:paraId="47729155" w14:textId="77777777" w:rsidR="003C54ED" w:rsidRPr="005D59A7" w:rsidRDefault="003C54ED"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ثالثاً: غياب دراسات تقييمية لمرحلة ما بعد إعادة الهيكلة. تم إعادة هيكلة القطاع البيئي السعودي في عام 2020، مع إنشاء المراكز الوطنية الخمسة وصندوق البيئة. غير أنه لا توجد دراسات تقييمية كافية حول أداء هذه الهيكلة الجديدة، وحول مدى نجاحها في تحقيق أهدافها (زيادة الكفاءة، تعزيز الشفافية، تفعيل مشاركة القطاع الخاص). كما لا توجد دراسات حول التحديات التي واجهت تنفيذ هذه الهيكلة، والدروس المستفادة التي يمكن تطبيقها في المراحل القادمة</w:t>
      </w:r>
      <w:r w:rsidRPr="005D59A7">
        <w:rPr>
          <w:rFonts w:ascii="T" w:hAnsi="T" w:cs="Simplified Arabic"/>
          <w:sz w:val="24"/>
          <w:szCs w:val="24"/>
        </w:rPr>
        <w:t>.</w:t>
      </w:r>
    </w:p>
    <w:p w14:paraId="4262A876" w14:textId="77777777" w:rsidR="00A63F47" w:rsidRPr="005D59A7" w:rsidRDefault="00A63F4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ترتبط هذه الفجوات مباشرة بأسئلة الدراسة الأربعة: حيث يسد السؤال الأول الفجوة المنهجية والسياقية من خلال تحليل مؤشرات الأداء الحالية، ويسد السؤال الثاني الفجوة المنهجية والتطبيقية من خلال تقدير الجدوى المالية للنموذج المقترح، ويسد السؤال الثالث الفجوة النظرية والتطبيقية من خلال تقييم ملاءمة النماذج التعاقدية، ويسد السؤال الرابع الفجوة النظرية والسياقية من خلال تصميم إطار متكامل لتوزيع المخاطر وربط الدفع بمؤشرات الأداء</w:t>
      </w:r>
      <w:r w:rsidRPr="005D59A7">
        <w:rPr>
          <w:rFonts w:ascii="T" w:hAnsi="T" w:cs="Simplified Arabic"/>
          <w:sz w:val="24"/>
          <w:szCs w:val="24"/>
        </w:rPr>
        <w:t>.</w:t>
      </w:r>
    </w:p>
    <w:p w14:paraId="483B6077" w14:textId="77777777" w:rsidR="00A63F47" w:rsidRPr="005D59A7" w:rsidRDefault="00A63F4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كما ترتبط الفجوات البحثية ارتباطاً وثيقاً بفرضيات الدراسة الأربع. فالفرضية الأولى (انخفاض الكفاءة التشغيلية للنموذج الحالي) والفرضية الثانية (عدم تحقيق الكفاءة المالية المستدامة) تسدان الفجوة المنهجية من خلال اختبار الفروق ذات الدلالة الإحصائية في مؤشرات الأداء والعلاقة بين التكاليف والعوائد. أما الفرضية الثالثة (تحسن الكفاءة التشغيلية وجودة المخرجات عند تطبيق نموذج الشراكة) والفرضية الرابعة</w:t>
      </w:r>
      <w:r w:rsidRPr="005D59A7">
        <w:rPr>
          <w:rFonts w:ascii="T" w:hAnsi="T" w:cs="Simplified Arabic"/>
          <w:sz w:val="24"/>
          <w:szCs w:val="24"/>
        </w:rPr>
        <w:t xml:space="preserve"> (</w:t>
      </w:r>
      <w:r w:rsidRPr="005D59A7">
        <w:rPr>
          <w:rFonts w:ascii="T" w:hAnsi="T" w:cs="Simplified Arabic"/>
          <w:sz w:val="24"/>
          <w:szCs w:val="24"/>
          <w:rtl/>
        </w:rPr>
        <w:t>تحسن الاستدامة المالية وجودة الأداء عند تطبيق آليات توزيع المخاطر وربط الدفع بـ</w:t>
      </w:r>
      <w:r w:rsidRPr="005D59A7">
        <w:rPr>
          <w:rFonts w:ascii="T" w:hAnsi="T" w:cs="Simplified Arabic"/>
          <w:sz w:val="24"/>
          <w:szCs w:val="24"/>
        </w:rPr>
        <w:t xml:space="preserve"> KPIs) </w:t>
      </w:r>
      <w:r w:rsidRPr="005D59A7">
        <w:rPr>
          <w:rFonts w:ascii="T" w:hAnsi="T" w:cs="Simplified Arabic"/>
          <w:sz w:val="24"/>
          <w:szCs w:val="24"/>
          <w:rtl/>
        </w:rPr>
        <w:t>فتسدان الفجوة النظرية والتطبيقية من خلال اختبار تأثير آليات الحوكمة والشراكة على الأداء. بهذا الشكل، تشكل الفجوات البحثية وأسئلة الدراسة وفرضياتها إطاراً متماسكاً يوجه الدراسة نحو أهدافها ويضمن اتساق منهجيتها مع طبيعة المشكلة المدروسة</w:t>
      </w:r>
      <w:r w:rsidRPr="005D59A7">
        <w:rPr>
          <w:rFonts w:ascii="T" w:hAnsi="T" w:cs="Simplified Arabic"/>
          <w:sz w:val="24"/>
          <w:szCs w:val="24"/>
        </w:rPr>
        <w:t>.</w:t>
      </w:r>
    </w:p>
    <w:p w14:paraId="4D93CDC8" w14:textId="3A4A4A99" w:rsidR="00A63F47" w:rsidRPr="005D59A7" w:rsidRDefault="00A63F47" w:rsidP="00861DC2">
      <w:pPr>
        <w:bidi/>
        <w:spacing w:line="360" w:lineRule="auto"/>
        <w:ind w:firstLine="720"/>
        <w:jc w:val="both"/>
        <w:rPr>
          <w:rFonts w:ascii="T" w:hAnsi="T" w:cs="Simplified Arabic"/>
          <w:sz w:val="24"/>
          <w:szCs w:val="24"/>
          <w:rtl/>
        </w:rPr>
      </w:pPr>
      <w:r w:rsidRPr="005D59A7">
        <w:rPr>
          <w:rFonts w:ascii="T" w:hAnsi="T" w:cs="Simplified Arabic"/>
          <w:sz w:val="24"/>
          <w:szCs w:val="24"/>
          <w:rtl/>
        </w:rPr>
        <w:t xml:space="preserve">تسعى هذه الدراسة إلى سد الفجوات البحثية المذكورة أعلاه من خلال منهجية متكاملة تعالج الأبعاد الأربعة للفجوة في آن واحد. فلسد الفجوة النظرية، تعتمد الدراسة إطاراً نظرياً متكاملاً يجمع بين نظريتي الوكالة </w:t>
      </w:r>
      <w:r w:rsidRPr="005D59A7">
        <w:rPr>
          <w:rFonts w:ascii="T" w:hAnsi="T" w:cs="Simplified Arabic"/>
          <w:sz w:val="24"/>
          <w:szCs w:val="24"/>
          <w:rtl/>
        </w:rPr>
        <w:lastRenderedPageBreak/>
        <w:t>(لتفسير علاقة الأصيل-الوكيل وتصميم آليات الحوافز والرقابة) ونظرية تكاليف المعاملات (لتفسير اختيار هيكل الحوكمة المناسب لخدمة التفتيش البيئي)، مع ربط هاتين النظريتين بفرضيات الدراسة الأربع لتوجيه تصميم النموذج المقترح وتحليل العلاقات بين المتغيرات. ولسد الفجوة المنهجية، تقوم الدراسة ببناء نموذج كمي قابل للاختبار لقياس تأثير الشراكة على مؤشرات أداء التفتيش البيئي (التكلفة التشغيلية للزيارة، نسبة المخالفات المرفوضة، نسبة التغطية، زمن إغلاق المخالفات)، مع إجراء تحليل إحصائي معمق للبيانات الكمية الرسمية الصادرة عن المركز الوطني للرقابة على الالتزام البيئي خلال الفترة 2017-2019، وتحليل الحساسية والسيناريوهات المتوقعة (الأساسي، المتفائل، المتشائم). ولسد الفجوة التطبيقية، تقوم الدراسة بتطوير نموذج مقترح متكامل لهيكلة عقود شراكة التفتيش البيئي يشمل تحديد نطاق الخدمة، وآليات الدفع القائمة على الأداء، ومؤشرات الأداء الرئيسية (</w:t>
      </w:r>
      <w:r w:rsidRPr="005D59A7">
        <w:rPr>
          <w:rFonts w:ascii="T" w:hAnsi="T" w:cs="Simplified Arabic"/>
          <w:sz w:val="24"/>
          <w:szCs w:val="24"/>
        </w:rPr>
        <w:t>KPIs</w:t>
      </w:r>
      <w:r w:rsidRPr="005D59A7">
        <w:rPr>
          <w:rFonts w:ascii="T" w:hAnsi="T" w:cs="Simplified Arabic"/>
          <w:sz w:val="24"/>
          <w:szCs w:val="24"/>
          <w:rtl/>
        </w:rPr>
        <w:t>)، وعقوبات التقصير، وآليات التكيف مع تغير اللوائح، وتوزيع المخاطر بين القطاعين العام والخاص وفق مبدأ "الطرف الأكثر قدرة على الإدارة". ولسد الفجوة السياقية، تصمم الدراسة نموذجها المقترح ليتوافق مع الهيكلة المؤسسية الحديثة لقطاع البيئة السعودي (المراكز البيئية الخمسة، صندوق البيئة، الإستراتيجية الوطنية للبيئة) ومع مستهدفات رؤية السعودية 2030، مستفيدة من تحليل البيانات المحلية والتجارب الدولية المقارنة مع تقييم دقيق لمدى قابلية نقلها إلى السياق السعودي.</w:t>
      </w:r>
    </w:p>
    <w:p w14:paraId="455D2BD6" w14:textId="22679825" w:rsidR="004F7ABA" w:rsidRPr="005D59A7" w:rsidRDefault="004F7ABA" w:rsidP="00861DC2">
      <w:pPr>
        <w:bidi/>
        <w:spacing w:line="360" w:lineRule="auto"/>
        <w:ind w:firstLine="720"/>
        <w:jc w:val="both"/>
        <w:rPr>
          <w:rFonts w:ascii="T" w:hAnsi="T" w:cs="Simplified Arabic"/>
          <w:sz w:val="24"/>
          <w:szCs w:val="24"/>
          <w:rtl/>
        </w:rPr>
      </w:pPr>
    </w:p>
    <w:p w14:paraId="7B449064" w14:textId="10643B13" w:rsidR="004F7ABA" w:rsidRPr="005D59A7" w:rsidRDefault="004F7ABA" w:rsidP="00861DC2">
      <w:pPr>
        <w:bidi/>
        <w:spacing w:line="360" w:lineRule="auto"/>
        <w:ind w:firstLine="720"/>
        <w:rPr>
          <w:rFonts w:ascii="T" w:hAnsi="T" w:cs="Simplified Arabic"/>
          <w:sz w:val="24"/>
          <w:szCs w:val="24"/>
          <w:rtl/>
        </w:rPr>
      </w:pPr>
    </w:p>
    <w:bookmarkEnd w:id="36"/>
    <w:p w14:paraId="703B0D5C" w14:textId="1B07C424" w:rsidR="004F7ABA" w:rsidRPr="005D59A7" w:rsidRDefault="004F7ABA" w:rsidP="00861DC2">
      <w:pPr>
        <w:bidi/>
        <w:spacing w:line="360" w:lineRule="auto"/>
        <w:ind w:firstLine="720"/>
        <w:rPr>
          <w:rFonts w:ascii="T" w:hAnsi="T" w:cs="Simplified Arabic"/>
          <w:sz w:val="24"/>
          <w:szCs w:val="24"/>
          <w:rtl/>
          <w:lang w:bidi="ar-EG"/>
        </w:rPr>
      </w:pPr>
    </w:p>
    <w:p w14:paraId="13FC6489" w14:textId="54A98BDF" w:rsidR="00A63F47" w:rsidRPr="005D59A7" w:rsidRDefault="00A63F47" w:rsidP="00861DC2">
      <w:pPr>
        <w:bidi/>
        <w:spacing w:line="360" w:lineRule="auto"/>
        <w:ind w:firstLine="720"/>
        <w:rPr>
          <w:rFonts w:ascii="T" w:hAnsi="T" w:cs="Simplified Arabic"/>
          <w:sz w:val="24"/>
          <w:szCs w:val="24"/>
          <w:rtl/>
          <w:lang w:bidi="ar-EG"/>
        </w:rPr>
      </w:pPr>
    </w:p>
    <w:p w14:paraId="0767DB62" w14:textId="3657EB42" w:rsidR="00A63F47" w:rsidRDefault="00A63F47" w:rsidP="00861DC2">
      <w:pPr>
        <w:bidi/>
        <w:spacing w:line="360" w:lineRule="auto"/>
        <w:ind w:firstLine="720"/>
        <w:rPr>
          <w:rFonts w:ascii="T" w:hAnsi="T" w:cs="Simplified Arabic"/>
          <w:sz w:val="24"/>
          <w:szCs w:val="24"/>
          <w:lang w:bidi="ar-EG"/>
        </w:rPr>
      </w:pPr>
    </w:p>
    <w:p w14:paraId="6CCBA2CA" w14:textId="77777777" w:rsidR="002D33E8" w:rsidRPr="005D59A7" w:rsidRDefault="002D33E8" w:rsidP="002D33E8">
      <w:pPr>
        <w:bidi/>
        <w:spacing w:line="360" w:lineRule="auto"/>
        <w:ind w:firstLine="720"/>
        <w:rPr>
          <w:rFonts w:ascii="T" w:hAnsi="T" w:cs="Simplified Arabic"/>
          <w:sz w:val="24"/>
          <w:szCs w:val="24"/>
          <w:rtl/>
          <w:lang w:bidi="ar-EG"/>
        </w:rPr>
      </w:pPr>
    </w:p>
    <w:p w14:paraId="65E926B4" w14:textId="3C7EBE87" w:rsidR="00A63F47" w:rsidRPr="005D59A7" w:rsidRDefault="00A63F47" w:rsidP="00861DC2">
      <w:pPr>
        <w:bidi/>
        <w:spacing w:line="360" w:lineRule="auto"/>
        <w:ind w:firstLine="720"/>
        <w:rPr>
          <w:rFonts w:ascii="T" w:hAnsi="T" w:cs="Simplified Arabic"/>
          <w:sz w:val="24"/>
          <w:szCs w:val="24"/>
          <w:rtl/>
          <w:lang w:bidi="ar-EG"/>
        </w:rPr>
      </w:pPr>
    </w:p>
    <w:p w14:paraId="56C63B66" w14:textId="77777777" w:rsidR="00DD48D8" w:rsidRPr="005D59A7" w:rsidRDefault="00DD48D8" w:rsidP="0048002A">
      <w:pPr>
        <w:pStyle w:val="Heading1"/>
        <w:bidi/>
        <w:rPr>
          <w:rFonts w:ascii="T" w:eastAsia="Calibri" w:hAnsi="T" w:cs="Simplified Arabic"/>
          <w:color w:val="auto"/>
          <w:sz w:val="24"/>
          <w:szCs w:val="24"/>
          <w:lang w:bidi="ar-EG"/>
        </w:rPr>
      </w:pPr>
      <w:bookmarkStart w:id="74" w:name="_Toc225991376"/>
      <w:bookmarkStart w:id="75" w:name="_Hlk225644657"/>
      <w:bookmarkEnd w:id="0"/>
    </w:p>
    <w:p w14:paraId="2F850BC5" w14:textId="351737D8" w:rsidR="00A63F47" w:rsidRPr="002D33E8" w:rsidRDefault="00A63F47" w:rsidP="00DD48D8">
      <w:pPr>
        <w:pStyle w:val="Heading1"/>
        <w:bidi/>
        <w:rPr>
          <w:rFonts w:ascii="T" w:eastAsia="Calibri" w:hAnsi="T" w:cs="Simplified Arabic"/>
          <w:b/>
          <w:bCs/>
          <w:color w:val="auto"/>
          <w:sz w:val="24"/>
          <w:szCs w:val="24"/>
          <w:rtl/>
          <w:lang w:bidi="ar-EG"/>
        </w:rPr>
      </w:pPr>
      <w:r w:rsidRPr="002D33E8">
        <w:rPr>
          <w:rFonts w:ascii="T" w:eastAsia="Calibri" w:hAnsi="T" w:cs="Simplified Arabic"/>
          <w:b/>
          <w:bCs/>
          <w:color w:val="auto"/>
          <w:sz w:val="24"/>
          <w:szCs w:val="24"/>
          <w:rtl/>
          <w:lang w:bidi="ar-EG"/>
        </w:rPr>
        <w:t>قائمة المراجع</w:t>
      </w:r>
      <w:bookmarkEnd w:id="74"/>
    </w:p>
    <w:p w14:paraId="1E2141A3"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t>أولا :المراجع العربية</w:t>
      </w:r>
    </w:p>
    <w:p w14:paraId="7CDFBF1C"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ابراهيم عبد الله التويجري. (2024). المستحدث في نظام البيئة السعودي 2020. المجلة الأردنية في القانون والعلوم السياسية, 16</w:t>
      </w:r>
      <w:r w:rsidRPr="005D59A7">
        <w:rPr>
          <w:rFonts w:ascii="T" w:eastAsia="Calibri" w:hAnsi="T" w:cs="Simplified Arabic"/>
          <w:sz w:val="24"/>
          <w:szCs w:val="24"/>
          <w:lang w:bidi="ar-EG"/>
        </w:rPr>
        <w:t>(1).</w:t>
      </w:r>
    </w:p>
    <w:p w14:paraId="2EB39E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شيماء عادل فاضل. (2024). الجهود الدولية الخضراء تجاه التلوث البيئي في بلدان الخليج العربي–الانجازات وضرورات التفعيل-السعودية وقطر أنموذجا</w:t>
      </w:r>
      <w:r w:rsidRPr="005D59A7">
        <w:rPr>
          <w:rFonts w:ascii="T" w:eastAsia="Calibri" w:hAnsi="T" w:cs="Simplified Arabic"/>
          <w:sz w:val="24"/>
          <w:szCs w:val="24"/>
          <w:lang w:bidi="ar-EG"/>
        </w:rPr>
        <w:t>. Political Issues, (79), 1-26.</w:t>
      </w:r>
      <w:r w:rsidRPr="005D59A7">
        <w:rPr>
          <w:rFonts w:ascii="T" w:eastAsia="Calibri" w:hAnsi="T" w:cs="Simplified Arabic"/>
          <w:sz w:val="24"/>
          <w:szCs w:val="24"/>
          <w:rtl/>
          <w:lang w:bidi="ar-EG"/>
        </w:rPr>
        <w:t>‏</w:t>
      </w:r>
    </w:p>
    <w:p w14:paraId="3BD505D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(2022). دليل تخطيط وتطوير قطاع الشراكة بين القطاعين العام والخاص</w:t>
      </w:r>
      <w:r w:rsidRPr="005D59A7">
        <w:rPr>
          <w:rFonts w:ascii="T" w:eastAsia="Calibri" w:hAnsi="T" w:cs="Simplified Arabic"/>
          <w:sz w:val="24"/>
          <w:szCs w:val="24"/>
          <w:lang w:bidi="ar-EG"/>
        </w:rPr>
        <w:t>. https://www.ncp.gov.sa</w:t>
      </w:r>
    </w:p>
    <w:p w14:paraId="764E0BC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للتخصيص. (2025). المركز الوطني للرقابة على الالتزام البيئي يطلق مشروع التفتيش البيئي بالتعاون مع وزارة البيئة والمياه والزراعة والمركز الوطني للتخصيص</w:t>
      </w:r>
      <w:r w:rsidRPr="005D59A7">
        <w:rPr>
          <w:rFonts w:ascii="T" w:eastAsia="Calibri" w:hAnsi="T" w:cs="Simplified Arabic"/>
          <w:sz w:val="24"/>
          <w:szCs w:val="24"/>
          <w:lang w:bidi="ar-EG"/>
        </w:rPr>
        <w:t>. https://www.ncp.gov.sa</w:t>
      </w:r>
    </w:p>
    <w:p w14:paraId="2B26C9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للرقابة على الالتزام البيئي. (2020). بيانات خدمة التفتيش البيئي 2017-2019</w:t>
      </w:r>
      <w:r w:rsidRPr="005D59A7">
        <w:rPr>
          <w:rFonts w:ascii="T" w:eastAsia="Calibri" w:hAnsi="T" w:cs="Simplified Arabic"/>
          <w:sz w:val="24"/>
          <w:szCs w:val="24"/>
          <w:lang w:bidi="ar-EG"/>
        </w:rPr>
        <w:t xml:space="preserve"> https://www.ncec.gov.sa</w:t>
      </w:r>
    </w:p>
    <w:p w14:paraId="09FDD5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الحياة الفطرية. (2020). عن المركز</w:t>
      </w:r>
      <w:r w:rsidRPr="005D59A7">
        <w:rPr>
          <w:rFonts w:ascii="T" w:eastAsia="Calibri" w:hAnsi="T" w:cs="Simplified Arabic"/>
          <w:sz w:val="24"/>
          <w:szCs w:val="24"/>
          <w:lang w:bidi="ar-EG"/>
        </w:rPr>
        <w:t>. https://www.ncw.gov.sa</w:t>
      </w:r>
    </w:p>
    <w:p w14:paraId="69EF58B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لتنمية الغطاء النباتي ومكافحة التصحر. (2020). عن المركز</w:t>
      </w:r>
      <w:r w:rsidRPr="005D59A7">
        <w:rPr>
          <w:rFonts w:ascii="T" w:eastAsia="Calibri" w:hAnsi="T" w:cs="Simplified Arabic"/>
          <w:sz w:val="24"/>
          <w:szCs w:val="24"/>
          <w:lang w:bidi="ar-EG"/>
        </w:rPr>
        <w:t>. https://www.ncvc.gov.sa</w:t>
      </w:r>
    </w:p>
    <w:p w14:paraId="1E2ADE4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لإدارة النفايات. (2020). عن المركز</w:t>
      </w:r>
      <w:r w:rsidRPr="005D59A7">
        <w:rPr>
          <w:rFonts w:ascii="T" w:eastAsia="Calibri" w:hAnsi="T" w:cs="Simplified Arabic"/>
          <w:sz w:val="24"/>
          <w:szCs w:val="24"/>
          <w:lang w:bidi="ar-EG"/>
        </w:rPr>
        <w:t>. https://www.mwan.gov.sa</w:t>
      </w:r>
    </w:p>
    <w:p w14:paraId="6D9D874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المركز الوطني للأرصاد. (2020). عن المركز</w:t>
      </w:r>
      <w:r w:rsidRPr="005D59A7">
        <w:rPr>
          <w:rFonts w:ascii="T" w:eastAsia="Calibri" w:hAnsi="T" w:cs="Simplified Arabic"/>
          <w:sz w:val="24"/>
          <w:szCs w:val="24"/>
          <w:lang w:bidi="ar-EG"/>
        </w:rPr>
        <w:t>. https://www.ncm.gov.sa</w:t>
      </w:r>
    </w:p>
    <w:p w14:paraId="4F5ABD6D"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رؤية السعودية 2030. (2025). مبادرات الاستدامة البيئية</w:t>
      </w:r>
      <w:r w:rsidRPr="005D59A7">
        <w:rPr>
          <w:rFonts w:ascii="T" w:eastAsia="Calibri" w:hAnsi="T" w:cs="Simplified Arabic"/>
          <w:sz w:val="24"/>
          <w:szCs w:val="24"/>
          <w:lang w:bidi="ar-EG"/>
        </w:rPr>
        <w:t xml:space="preserve">. </w:t>
      </w:r>
      <w:hyperlink r:id="rId37" w:history="1">
        <w:r w:rsidRPr="005D59A7">
          <w:rPr>
            <w:rFonts w:ascii="T" w:eastAsia="Calibri" w:hAnsi="T" w:cs="Simplified Arabic"/>
            <w:sz w:val="24"/>
            <w:szCs w:val="24"/>
            <w:u w:val="single"/>
            <w:lang w:bidi="ar-EG"/>
          </w:rPr>
          <w:t>https://www.vision2030.gov.sa</w:t>
        </w:r>
      </w:hyperlink>
    </w:p>
    <w:p w14:paraId="6721DF5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بتول، محمد نوري، علي، &amp; خلف سلمان. (2011). حوكمة الشركات ودورها في تخفيض مشاكل نظرية الوكالة. مجلة الاقتصاد و التنمية البشرية, 2(2), 25-51.</w:t>
      </w:r>
    </w:p>
    <w:p w14:paraId="19818677"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خيري، محمد علي، &amp; يسري. (2022). أثر التحصين الإداري على السلوك غير المتماثل للتكلفة في إطار نظرية الوكالة: دراسة تطبيقية. المجلة المصرية للدراسات التجارية, 46(4), 336-396.</w:t>
      </w:r>
    </w:p>
    <w:p w14:paraId="19103AC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سالم، نبيل جعفر، زبين، حيدر عبد، &amp; عبدالله، نضال هاشم. (2021). استعمال آليات حوكمة الشركات للحد من ادارة الارباح في ظل نظرية الوكالة. </w:t>
      </w:r>
      <w:r w:rsidRPr="005D59A7">
        <w:rPr>
          <w:rFonts w:ascii="T" w:eastAsia="Calibri" w:hAnsi="T" w:cs="Simplified Arabic"/>
          <w:sz w:val="24"/>
          <w:szCs w:val="24"/>
          <w:lang w:bidi="ar-EG"/>
        </w:rPr>
        <w:t>Journal of Madenat Alelem University College, 13(1), 202-218</w:t>
      </w:r>
      <w:r w:rsidRPr="005D59A7">
        <w:rPr>
          <w:rFonts w:ascii="T" w:eastAsia="Calibri" w:hAnsi="T" w:cs="Simplified Arabic"/>
          <w:sz w:val="24"/>
          <w:szCs w:val="24"/>
          <w:rtl/>
          <w:lang w:bidi="ar-EG"/>
        </w:rPr>
        <w:t>.</w:t>
      </w:r>
    </w:p>
    <w:p w14:paraId="1EAAC872"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 xml:space="preserve">عبدالرزاق محمد عثمان، أسامه عبدالمنعم علي، &amp; احمد يوسف دودين. (2015). نظام الحاكمية المؤسسية الحل السليم للأطراف المتعارضة في ظل نظريه الوكالة. </w:t>
      </w:r>
      <w:r w:rsidRPr="005D59A7">
        <w:rPr>
          <w:rFonts w:ascii="T" w:eastAsia="Calibri" w:hAnsi="T" w:cs="Simplified Arabic"/>
          <w:sz w:val="24"/>
          <w:szCs w:val="24"/>
          <w:lang w:bidi="ar-EG"/>
        </w:rPr>
        <w:t>Queen Arwa University Journal, 14(14), 209-234</w:t>
      </w:r>
      <w:r w:rsidRPr="005D59A7">
        <w:rPr>
          <w:rFonts w:ascii="T" w:eastAsia="Calibri" w:hAnsi="T" w:cs="Simplified Arabic"/>
          <w:sz w:val="24"/>
          <w:szCs w:val="24"/>
          <w:rtl/>
          <w:lang w:bidi="ar-EG"/>
        </w:rPr>
        <w:t>.</w:t>
      </w:r>
    </w:p>
    <w:p w14:paraId="18D878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عبدو، مجدي عبد اللطيف. (2024). نظريــة الوكالة الرابعة (تضارب المصالح بين العاملين بالشركة كأصحاب مصالح والشركة). مجلة الاصالة, 1(10).</w:t>
      </w:r>
    </w:p>
    <w:p w14:paraId="4383A01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عفيفى، أشرف السعيد أحمد السيد، عبدالرحمن، &amp; وليد محمد محمد السيد. (2023). العلاقة بين آليات التحصين الإداري وكفاءة الاستثمار في إطار نظرية الوكالة: دراسة اختبارية على الشركات المساهمة المصرية. مجلة البحوث الإدارية, 41(3).</w:t>
      </w:r>
    </w:p>
    <w:p w14:paraId="2BA13965"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 xml:space="preserve">احمد كحيط, علي علوان, البتول عبد المهدي, &amp; سما موسى. (2025). الشراكات بين القطاعين العام والخاص من أجل التنمية المستدامة: دراسة ميدانية في جامعة المستقبل. </w:t>
      </w:r>
      <w:r w:rsidRPr="005D59A7">
        <w:rPr>
          <w:rFonts w:ascii="T" w:eastAsia="Calibri" w:hAnsi="T" w:cs="Simplified Arabic"/>
          <w:sz w:val="24"/>
          <w:szCs w:val="24"/>
          <w:lang w:bidi="ar-EG"/>
        </w:rPr>
        <w:t>Enterprenuership Journal For Finance and Bussiness, 140-147</w:t>
      </w:r>
      <w:r w:rsidRPr="005D59A7">
        <w:rPr>
          <w:rFonts w:ascii="T" w:eastAsia="Calibri" w:hAnsi="T" w:cs="Simplified Arabic"/>
          <w:sz w:val="24"/>
          <w:szCs w:val="24"/>
          <w:rtl/>
          <w:lang w:bidi="ar-EG"/>
        </w:rPr>
        <w:t>.‏</w:t>
      </w:r>
    </w:p>
    <w:p w14:paraId="6323A384"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جراح, &amp; محمد شريف علي محمد. (2025). تسوية منازعات عقود الشراكة بين القطاعين العام والخاص من خلال التحكيم في القانون الأردني. مجلة البحوث القانونية والإقتصادية (المنصورة), 15(94.), 1-42.</w:t>
      </w:r>
    </w:p>
    <w:p w14:paraId="6944F84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عصام عبد الرحمن الجعافره. (2023). التحصيل الضريبي في البلديات وواقع الشراكات بين القطاعين العام والخاص. مجلة العلوم الإنسانية والطبيعية, 4(12), 465-479.</w:t>
      </w:r>
    </w:p>
    <w:p w14:paraId="15F4FF1B"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بوعنان, &amp; ليندة. (2025). الشراكة بين القطاعين العام والخاص كآلية لدفع عملية الاستثمار. مجلة الاستاذ الباحث للدراسات القانونية والسياسية, 10(2), 547-572.</w:t>
      </w:r>
    </w:p>
    <w:p w14:paraId="72EB5D5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القطان, إسراء عبد العزيز خليل, أمين, محمد سعيد حسين, سليم, &amp; محمد محمود. (2026). المبادئ الحاكمة لفكرة التوازن المالي في عقود الشراكة بين القطاعين العام والخاص (دراسة تطبيقية مقارنة في مصر والكويت). المجلة القانونية, 27(3), 1115-1140.</w:t>
      </w:r>
    </w:p>
    <w:p w14:paraId="4A68A4BA"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شاهين, &amp; وحيد. (2025). جدوى الشراكة بين القطاعين العام والخاص في تعزيز استدامة مشروعات الهيدروجين الأخضر بالمواني البحرية: دراسة حالة مقترحة للمنطقة الاقتصادية لقناة السويس. افاق الطاقة, 3(7), 113-148.</w:t>
      </w:r>
    </w:p>
    <w:p w14:paraId="2B84506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منار, &amp; جمال الدين حافظ. (2024). دور الحوكمة البيئية لنشر الوعى وتعزيز ثقافة الاستدامة البيئية في القطاعات الصناعية. آفاق آسيوية, 9(15), 65-78.</w:t>
      </w:r>
    </w:p>
    <w:p w14:paraId="0E0D81A6"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قراس, مرزاقة, &amp; دمدوم. (2024). الحوكمة البيئية في السياسات الدولية (</w:t>
      </w:r>
      <w:r w:rsidRPr="005D59A7">
        <w:rPr>
          <w:rFonts w:ascii="T" w:eastAsia="Calibri" w:hAnsi="T" w:cs="Simplified Arabic"/>
          <w:sz w:val="24"/>
          <w:szCs w:val="24"/>
          <w:lang w:bidi="ar-EG"/>
        </w:rPr>
        <w:t>Doctoral dissertation</w:t>
      </w:r>
      <w:r w:rsidRPr="005D59A7">
        <w:rPr>
          <w:rFonts w:ascii="T" w:eastAsia="Calibri" w:hAnsi="T" w:cs="Simplified Arabic"/>
          <w:sz w:val="24"/>
          <w:szCs w:val="24"/>
          <w:rtl/>
          <w:lang w:bidi="ar-EG"/>
        </w:rPr>
        <w:t>, جامعة قسنطينة 3 صالح بوبنيدر، كلية العلوم السياسية).</w:t>
      </w:r>
    </w:p>
    <w:p w14:paraId="373364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lastRenderedPageBreak/>
        <w:t>صالح, ه. ع. ا. إ., &amp; هدى عبد الغفار إبراهيم. (2024). دور الحوكمة البيئية فى التصدي للتغير المناخي. المجلة المصرية لبحوث الأعلام, 2024(89), 1393-1425.</w:t>
      </w:r>
    </w:p>
    <w:p w14:paraId="49B44EC3"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مرزاق, &amp; فايزة. (2023). مفهوم الحوكمة البيئية ومبادئها. مجلة البيئة والتنمية المستدامة وصحة الإنسان, 1(2), 255-266.</w:t>
      </w:r>
    </w:p>
    <w:p w14:paraId="253E672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بن نواعي, هواري, لواتي, خاتمة, منقوري, &amp; منال ابتسام. (2025). الحوكمة البيئية في الجزائر–تحديات وآفاق. المشكاة في الاقتصاد التنمية و القانون, 8(1), 63-78.</w:t>
      </w:r>
    </w:p>
    <w:p w14:paraId="66092F78"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القروى, ش. إ. ع., &amp; شذى إسماعيل عبده. (2024). دور الحوكمة البيئية فى تعزيز تبنى إستراتيجية التحول للإبتكار الأخضر وخلق قيمة للمنشآت المصرية (دراسة تطبيقية). المجلة العلمية للبحوث التجارية (جامعة المنوفية), 55(4), 743-784.</w:t>
      </w:r>
    </w:p>
    <w:p w14:paraId="096EEDAE"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علاء الدين, يوسفي, هني, &amp; عامر. (2024). الحوكمة البيئية ودورها في تعزيز التنمية الزراعية المستدامة. مجلة الدراسات القانونية والاقتصادية, 6(2), 649-668.</w:t>
      </w:r>
    </w:p>
    <w:p w14:paraId="7FA0F2F1"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اعبيد, زينب, الهيري, &amp; عبد الرزاق. (2025). إعادة ابتكار نماذج تقييم الأداء في المؤسسات العامة: استراتيجيات مبتكرة لتعزيز الفاعلية المؤسسية من خلال الحوكمة والإدارة الحديثة. المجلة العربية للإدارة, 81-96.</w:t>
      </w:r>
    </w:p>
    <w:p w14:paraId="5C94F35F" w14:textId="77777777"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صلاح عزمى, &amp; سعد. (2025). أثر تطبيق مبادئ الحوكمة فى تحسين الأداء الوظيفى للعاملين بالمنظمات: الدور الوسيط لأنماط القيادة. المجلة العلمية للدراسات التجارية والبيئية, 16(3), 2178-2214.</w:t>
      </w:r>
    </w:p>
    <w:p w14:paraId="59496C09" w14:textId="5A7188C1" w:rsidR="00A63F47" w:rsidRPr="005D59A7" w:rsidRDefault="00A63F47" w:rsidP="00A63F47">
      <w:pPr>
        <w:bidi/>
        <w:jc w:val="both"/>
        <w:rPr>
          <w:rFonts w:ascii="T" w:eastAsia="Calibri" w:hAnsi="T" w:cs="Simplified Arabic"/>
          <w:sz w:val="24"/>
          <w:szCs w:val="24"/>
          <w:rtl/>
          <w:lang w:bidi="ar-EG"/>
        </w:rPr>
      </w:pPr>
      <w:r w:rsidRPr="005D59A7">
        <w:rPr>
          <w:rFonts w:ascii="T" w:eastAsia="Calibri" w:hAnsi="T" w:cs="Simplified Arabic"/>
          <w:sz w:val="24"/>
          <w:szCs w:val="24"/>
          <w:rtl/>
          <w:lang w:bidi="ar-EG"/>
        </w:rPr>
        <w:t>حسان حسين محضر, أحمد سيد بدوي, إيمان, فؤاد سليمان, &amp; أمل. (2024). أثر تطبيق الحوكمة على كفاءة الأداء المؤسسي في مستشفيات القطاع الحكومي بمكة المكرمة. المجلة العلمية للدراسات التجارية والبيئية, 15(4), 3925-3955.</w:t>
      </w:r>
    </w:p>
    <w:p w14:paraId="50982DA7" w14:textId="41CF08E3" w:rsidR="00C476D6" w:rsidRDefault="00C476D6" w:rsidP="00C476D6">
      <w:pPr>
        <w:bidi/>
        <w:jc w:val="both"/>
        <w:rPr>
          <w:rFonts w:ascii="T" w:eastAsia="Calibri" w:hAnsi="T" w:cs="Simplified Arabic"/>
          <w:sz w:val="24"/>
          <w:szCs w:val="24"/>
          <w:lang w:bidi="ar-EG"/>
        </w:rPr>
      </w:pPr>
      <w:r w:rsidRPr="005D59A7">
        <w:rPr>
          <w:rFonts w:ascii="T" w:eastAsia="Calibri" w:hAnsi="T" w:cs="Simplified Arabic"/>
          <w:sz w:val="24"/>
          <w:szCs w:val="24"/>
          <w:rtl/>
          <w:lang w:bidi="ar-EG"/>
        </w:rPr>
        <w:t>امتنان حسن النعمي. (2022). دور ريادة الأعمال في تحقيق أهداف التنمية المستدامة في ضوء رؤية المملكة 2030: دراسة تطبيقية على أمانة منطقة عسير. مجلة العلوم الإقتصادية و الإدارية و القانونية, 6(25), 71-93.</w:t>
      </w:r>
    </w:p>
    <w:p w14:paraId="5F94A259" w14:textId="77777777" w:rsidR="002D33E8" w:rsidRDefault="002D33E8" w:rsidP="002D33E8">
      <w:pPr>
        <w:bidi/>
        <w:jc w:val="both"/>
        <w:rPr>
          <w:rFonts w:ascii="T" w:eastAsia="Calibri" w:hAnsi="T" w:cs="Simplified Arabic"/>
          <w:sz w:val="24"/>
          <w:szCs w:val="24"/>
          <w:lang w:bidi="ar-EG"/>
        </w:rPr>
      </w:pPr>
    </w:p>
    <w:p w14:paraId="1CAABC35" w14:textId="77777777" w:rsidR="002D33E8" w:rsidRDefault="002D33E8" w:rsidP="002D33E8">
      <w:pPr>
        <w:bidi/>
        <w:jc w:val="both"/>
        <w:rPr>
          <w:rFonts w:ascii="T" w:eastAsia="Calibri" w:hAnsi="T" w:cs="Simplified Arabic"/>
          <w:sz w:val="24"/>
          <w:szCs w:val="24"/>
          <w:lang w:bidi="ar-EG"/>
        </w:rPr>
      </w:pPr>
    </w:p>
    <w:p w14:paraId="5607DA06" w14:textId="77777777" w:rsidR="002D33E8" w:rsidRDefault="002D33E8" w:rsidP="002D33E8">
      <w:pPr>
        <w:bidi/>
        <w:jc w:val="both"/>
        <w:rPr>
          <w:rFonts w:ascii="T" w:eastAsia="Calibri" w:hAnsi="T" w:cs="Simplified Arabic"/>
          <w:sz w:val="24"/>
          <w:szCs w:val="24"/>
          <w:lang w:bidi="ar-EG"/>
        </w:rPr>
      </w:pPr>
    </w:p>
    <w:p w14:paraId="7BBBEC8A" w14:textId="77777777" w:rsidR="002D33E8" w:rsidRDefault="002D33E8" w:rsidP="002D33E8">
      <w:pPr>
        <w:bidi/>
        <w:jc w:val="both"/>
        <w:rPr>
          <w:rFonts w:ascii="T" w:eastAsia="Calibri" w:hAnsi="T" w:cs="Simplified Arabic"/>
          <w:sz w:val="24"/>
          <w:szCs w:val="24"/>
          <w:lang w:bidi="ar-EG"/>
        </w:rPr>
      </w:pPr>
    </w:p>
    <w:p w14:paraId="6DE9974D" w14:textId="77777777" w:rsidR="002D33E8" w:rsidRDefault="002D33E8" w:rsidP="002D33E8">
      <w:pPr>
        <w:bidi/>
        <w:jc w:val="both"/>
        <w:rPr>
          <w:rFonts w:ascii="T" w:eastAsia="Calibri" w:hAnsi="T" w:cs="Simplified Arabic"/>
          <w:sz w:val="24"/>
          <w:szCs w:val="24"/>
          <w:lang w:bidi="ar-EG"/>
        </w:rPr>
      </w:pPr>
    </w:p>
    <w:p w14:paraId="7D686E9D" w14:textId="77777777" w:rsidR="002D33E8" w:rsidRPr="005D59A7" w:rsidRDefault="002D33E8" w:rsidP="002D33E8">
      <w:pPr>
        <w:bidi/>
        <w:jc w:val="both"/>
        <w:rPr>
          <w:rFonts w:ascii="T" w:eastAsia="Calibri" w:hAnsi="T" w:cs="Simplified Arabic"/>
          <w:sz w:val="24"/>
          <w:szCs w:val="24"/>
          <w:rtl/>
          <w:lang w:bidi="ar-EG"/>
        </w:rPr>
      </w:pPr>
    </w:p>
    <w:p w14:paraId="70C27E04" w14:textId="77777777" w:rsidR="00A63F47" w:rsidRPr="002D33E8" w:rsidRDefault="00A63F47" w:rsidP="00A63F47">
      <w:pPr>
        <w:bidi/>
        <w:rPr>
          <w:rFonts w:ascii="T" w:eastAsia="Calibri" w:hAnsi="T" w:cs="Simplified Arabic"/>
          <w:b/>
          <w:bCs/>
          <w:sz w:val="24"/>
          <w:szCs w:val="24"/>
          <w:rtl/>
          <w:lang w:bidi="ar-EG"/>
        </w:rPr>
      </w:pPr>
      <w:r w:rsidRPr="002D33E8">
        <w:rPr>
          <w:rFonts w:ascii="T" w:eastAsia="Calibri" w:hAnsi="T" w:cs="Simplified Arabic"/>
          <w:b/>
          <w:bCs/>
          <w:sz w:val="24"/>
          <w:szCs w:val="24"/>
          <w:rtl/>
          <w:lang w:bidi="ar-EG"/>
        </w:rPr>
        <w:lastRenderedPageBreak/>
        <w:t>ثانيا المراجع الأجنبية</w:t>
      </w:r>
    </w:p>
    <w:p w14:paraId="70695D1B" w14:textId="77777777" w:rsidR="00A63F47" w:rsidRPr="005D59A7" w:rsidRDefault="00A63F47" w:rsidP="00A63F47">
      <w:pPr>
        <w:rPr>
          <w:rFonts w:ascii="T" w:eastAsia="Calibri" w:hAnsi="T" w:cs="Arial"/>
          <w:lang w:bidi="ar-EG"/>
        </w:rPr>
      </w:pPr>
      <w:hyperlink r:id="rId38" w:history="1">
        <w:r w:rsidRPr="005D59A7">
          <w:rPr>
            <w:rFonts w:ascii="T" w:eastAsia="Calibri" w:hAnsi="T" w:cs="Arial"/>
            <w:u w:val="single"/>
            <w:lang w:bidi="ar-EG"/>
          </w:rPr>
          <w:t>https://documents1.worldbank.org/curated/en/381221644297502516/pdf/Overview.pdf</w:t>
        </w:r>
      </w:hyperlink>
    </w:p>
    <w:p w14:paraId="1525C62E"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Tahat, K. (2014). Knowledge management: public private participation (Ppps) in the Kingdom of Saudi Arabia:“a case study in water sector”. Procedia-Social and Behavioral Sciences, 147, 527-534.</w:t>
      </w:r>
      <w:r w:rsidRPr="005D59A7">
        <w:rPr>
          <w:rFonts w:ascii="T" w:eastAsia="Calibri" w:hAnsi="T" w:cs="Arial"/>
          <w:rtl/>
          <w:lang w:bidi="ar-EG"/>
        </w:rPr>
        <w:t>‏</w:t>
      </w:r>
    </w:p>
    <w:p w14:paraId="65307F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Alomari, M. A. N. (2018). Applying Good Governance Practices in the Middle East in the Case of Environmental Protection: A Saudi Arabian Case Study (Doctoral dissertation, University of Leeds).</w:t>
      </w:r>
      <w:r w:rsidRPr="005D59A7">
        <w:rPr>
          <w:rFonts w:ascii="T" w:eastAsia="Calibri" w:hAnsi="T" w:cs="Arial"/>
          <w:rtl/>
          <w:lang w:bidi="ar-EG"/>
        </w:rPr>
        <w:t>‏</w:t>
      </w:r>
    </w:p>
    <w:p w14:paraId="1095FCC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T., Mostafa, S., Mohamed, S., &amp; Nguyen, T. S. (2021). Emerging themes of public-private partnership application in developing smart city projects: a conceptual framework. Built Environment Project and Asset Management, 11(1), 138-156.</w:t>
      </w:r>
      <w:r w:rsidRPr="005D59A7">
        <w:rPr>
          <w:rFonts w:ascii="T" w:eastAsia="Calibri" w:hAnsi="T" w:cs="Arial"/>
          <w:rtl/>
          <w:lang w:bidi="ar-EG"/>
        </w:rPr>
        <w:t>‏</w:t>
      </w:r>
    </w:p>
    <w:p w14:paraId="650E1E6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Dawoud, M. A., Ewea, H. A., &amp; Alaswad, S. O. (2022). The future of wastewater treatment and reuse in Kingdom of Saudi Arabia. Desalination and Water Treatment, 263, 127-138.</w:t>
      </w:r>
      <w:r w:rsidRPr="005D59A7">
        <w:rPr>
          <w:rFonts w:ascii="T" w:eastAsia="Calibri" w:hAnsi="T" w:cs="Arial"/>
          <w:rtl/>
          <w:lang w:bidi="ar-EG"/>
        </w:rPr>
        <w:t>‏</w:t>
      </w:r>
    </w:p>
    <w:p w14:paraId="69B1284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Alkhurayji, K., Alzahrani, H. A., Alotaibi, A. S., Alharbi, A. G., Zandan, A. A., Alsheikhi, H., ... &amp; Alsheikhi, H. (2024). Potential and risks behind the national transformation program in Saudi Arabia. Cureus, 16(7).</w:t>
      </w:r>
      <w:r w:rsidRPr="005D59A7">
        <w:rPr>
          <w:rFonts w:ascii="T" w:eastAsia="Calibri" w:hAnsi="T" w:cs="Arial"/>
          <w:rtl/>
          <w:lang w:bidi="ar-EG"/>
        </w:rPr>
        <w:t>‏</w:t>
      </w:r>
    </w:p>
    <w:p w14:paraId="4C6374AD"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Alshuwaikhat, H. M., Adenle, Y. A., &amp; Alotaishan, T. N. (2023). The development of a grey relational analysis-based composite index for environmental sustainability assessment: Towards a net-zero emissions strategy in Saudi Arabia. Heliyon, 9(7).</w:t>
      </w:r>
    </w:p>
    <w:p w14:paraId="1E7FE9DD"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Odnoletkova, N., &amp; Patzek, T. W. (2023). Water resources in Saudi Arabia: trends in rainfall, water consumption, and analysis of agricultural water footprint. npj Sustainable Agriculture, 1(1), 7.</w:t>
      </w:r>
      <w:r w:rsidRPr="005D59A7">
        <w:rPr>
          <w:rFonts w:ascii="T" w:eastAsia="Calibri" w:hAnsi="T" w:cs="Arial"/>
          <w:rtl/>
          <w:lang w:bidi="ar-EG"/>
        </w:rPr>
        <w:t>‏</w:t>
      </w:r>
    </w:p>
    <w:p w14:paraId="2C3B950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Algamdy, N. G. (2022). Regulation weakness and lack of public awareness has impeded the implementation of environmental policies in Saudi Arabia</w:t>
      </w:r>
      <w:bookmarkEnd w:id="75"/>
    </w:p>
    <w:p w14:paraId="04D13445"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Eisenhardt, K. M. (1989). Agency theory: An assessment and review. Academy of Management Review, 14(1), 57-74.</w:t>
      </w:r>
    </w:p>
    <w:p w14:paraId="68CEDECE"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Jensen, M. C., &amp; Meckling, W. H. (1976). Theory of the firm: Managerial behavior, agency costs and ownership structure. Journal of Financial Economics, 3(4), 305-360.</w:t>
      </w:r>
    </w:p>
    <w:p w14:paraId="63467753"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Ross, S. A. (1973). The economic theory of agency: The principal's problem. The American Economic Review, 63(2), 134-139.</w:t>
      </w:r>
    </w:p>
    <w:p w14:paraId="215C9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(1975). Markets and hierarchies: Analysis and antitrust implications. Free Press.</w:t>
      </w:r>
    </w:p>
    <w:p w14:paraId="788BB1B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Williamson, O. E. (1985). The economic institutions of capitalism. Free Press.</w:t>
      </w:r>
    </w:p>
    <w:p w14:paraId="222E4FB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Casady, C. B., Cepparulo, A., &amp; Giuriato, L. (2024). Public-private partnerships for low-carbon, climate-resilient infrastructure: Insights from the literature. Journal of Cleaner Production, 470, 143338.</w:t>
      </w:r>
      <w:r w:rsidRPr="005D59A7">
        <w:rPr>
          <w:rFonts w:ascii="T" w:eastAsia="Calibri" w:hAnsi="T" w:cs="Arial"/>
          <w:rtl/>
          <w:lang w:bidi="ar-EG"/>
        </w:rPr>
        <w:t>‏</w:t>
      </w:r>
    </w:p>
    <w:p w14:paraId="65B3FD6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Quan, X., &amp; Solheim, M. C. (2023). Public-private partnerships in smart cities: A critical survey and research agenda. City, Culture and Society, 32, 100491.</w:t>
      </w:r>
      <w:r w:rsidRPr="005D59A7">
        <w:rPr>
          <w:rFonts w:ascii="T" w:eastAsia="Calibri" w:hAnsi="T" w:cs="Arial"/>
          <w:rtl/>
          <w:lang w:bidi="ar-EG"/>
        </w:rPr>
        <w:t>‏</w:t>
      </w:r>
    </w:p>
    <w:p w14:paraId="450D834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Ramolobe, K. S., &amp; Khandanisa,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27133D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Abdul, S., Adeghe, E. P., Adegoke, B. O., Adegoke, A. A., &amp; Udedeh, E. H. (2024). Public-private partnerships in health sector innovation: Lessons from around the world. Magna Scientia Advanced Biology and Pharmacy, 12(1), 045-059.</w:t>
      </w:r>
      <w:r w:rsidRPr="005D59A7">
        <w:rPr>
          <w:rFonts w:ascii="T" w:eastAsia="Calibri" w:hAnsi="T" w:cs="Arial"/>
          <w:rtl/>
          <w:lang w:bidi="ar-EG"/>
        </w:rPr>
        <w:t>‏</w:t>
      </w:r>
    </w:p>
    <w:p w14:paraId="3BDEE08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Liu, L. X., Clegg, S., &amp; Pollack, J. (2024). The effect of public–private partnerships on innovation in infrastructure delivery. Project Management Journal, 55(1), 31-49.</w:t>
      </w:r>
      <w:r w:rsidRPr="005D59A7">
        <w:rPr>
          <w:rFonts w:ascii="T" w:eastAsia="Calibri" w:hAnsi="T" w:cs="Arial"/>
          <w:rtl/>
          <w:lang w:bidi="ar-EG"/>
        </w:rPr>
        <w:t>‏</w:t>
      </w:r>
    </w:p>
    <w:p w14:paraId="7057721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Akinsulire, A. A., Idemudia, C., Okwandu, A. C., &amp; Iwuanyanwu,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5C05277"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Ogunode, N. J., Edinoh, K., &amp; Okolie, R. C. (2023). Public private partnership model and implementation of tertiary education program in Nigeria. AMERICAN Journal of Science on Integration and Human Development, 1(06), 1-12.</w:t>
      </w:r>
      <w:r w:rsidRPr="005D59A7">
        <w:rPr>
          <w:rFonts w:ascii="T" w:eastAsia="Calibri" w:hAnsi="T" w:cs="Arial"/>
          <w:rtl/>
          <w:lang w:bidi="ar-EG"/>
        </w:rPr>
        <w:t>‏</w:t>
      </w:r>
    </w:p>
    <w:p w14:paraId="1E2879F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Agrawal, A., Brandhorst, S., Jain, M., Liao, C., Pradhan, N., &amp; Solomon, D. (2022). From environmental governance to governance for sustainability. One Earth, 5(6), 615-621.</w:t>
      </w:r>
      <w:r w:rsidRPr="005D59A7">
        <w:rPr>
          <w:rFonts w:ascii="T" w:eastAsia="Calibri" w:hAnsi="T" w:cs="Arial"/>
          <w:rtl/>
          <w:lang w:bidi="ar-EG"/>
        </w:rPr>
        <w:t>‏</w:t>
      </w:r>
    </w:p>
    <w:p w14:paraId="11DBF7AA"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Newig, J., Jager, N. W., Challies, E., &amp; Kochskämper, E. (2023). Does stakeholder participation improve environmental governance? Evidence from a meta-analysis of 305 case studies. Global Environmental Change, 82, 102705.</w:t>
      </w:r>
      <w:r w:rsidRPr="005D59A7">
        <w:rPr>
          <w:rFonts w:ascii="T" w:eastAsia="Calibri" w:hAnsi="T" w:cs="Arial"/>
          <w:rtl/>
          <w:lang w:bidi="ar-EG"/>
        </w:rPr>
        <w:t>‏</w:t>
      </w:r>
    </w:p>
    <w:p w14:paraId="3EB8DCB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Sörlin, S., Warde, P., Akerman, I., Höglund Hellgren, J., Höhler, S., Isberg, E., ... &amp; Schrøder, T. H. (2025). The great dispersal: The fall and rise of global environmental governance. Ambio, 54(8), 1267-1288.</w:t>
      </w:r>
      <w:r w:rsidRPr="005D59A7">
        <w:rPr>
          <w:rFonts w:ascii="T" w:eastAsia="Calibri" w:hAnsi="T" w:cs="Arial"/>
          <w:rtl/>
          <w:lang w:bidi="ar-EG"/>
        </w:rPr>
        <w:t>‏</w:t>
      </w:r>
    </w:p>
    <w:p w14:paraId="54F76B6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Bibri, S. E., Huang, J., &amp; Krogstie, J. (2024). Artificial intelligence of things for synergizing smarter eco-city brain, metabolism, and platform: Pioneering data-driven environmental governance. Sustainable Cities and Society, 108, 105516.</w:t>
      </w:r>
      <w:r w:rsidRPr="005D59A7">
        <w:rPr>
          <w:rFonts w:ascii="T" w:eastAsia="Calibri" w:hAnsi="T" w:cs="Arial"/>
          <w:rtl/>
          <w:lang w:bidi="ar-EG"/>
        </w:rPr>
        <w:t>‏</w:t>
      </w:r>
    </w:p>
    <w:p w14:paraId="32DF7CD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Bakhsh, S., Zhang, W., Ali, K., &amp; Oláh, J. (2024). Strategy towards sustainable energy transition: The effect of environmental governance, economic complexity and geopolitics. Energy Strategy Reviews, 52, 101330.</w:t>
      </w:r>
      <w:r w:rsidRPr="005D59A7">
        <w:rPr>
          <w:rFonts w:ascii="T" w:eastAsia="Calibri" w:hAnsi="T" w:cs="Arial"/>
          <w:rtl/>
          <w:lang w:bidi="ar-EG"/>
        </w:rPr>
        <w:t>‏</w:t>
      </w:r>
    </w:p>
    <w:p w14:paraId="42C4658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Albitar, K., Borgi, H., Khan, M., &amp; Zahra, A. (2023). Business environmental innovation and CO2 emissions: The moderating role of environmental governance. Business strategy and the environment, 32(4), 1996-2007.</w:t>
      </w:r>
      <w:r w:rsidRPr="005D59A7">
        <w:rPr>
          <w:rFonts w:ascii="T" w:eastAsia="Calibri" w:hAnsi="T" w:cs="Arial"/>
          <w:rtl/>
          <w:lang w:bidi="ar-EG"/>
        </w:rPr>
        <w:t>‏</w:t>
      </w:r>
    </w:p>
    <w:p w14:paraId="03787CD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Kloppenburg, S., Gupta, A., Kruk, S. R., Makris, S., Bergsvik, R., Korenhof, P., ... &amp; Toonen, H. M. (2022). Scrutinizing environmental governance in a digital age: New ways of seeing, participating, and intervening. One Earth, 5(3), 232-241.</w:t>
      </w:r>
      <w:r w:rsidRPr="005D59A7">
        <w:rPr>
          <w:rFonts w:ascii="T" w:eastAsia="Calibri" w:hAnsi="T" w:cs="Arial"/>
          <w:rtl/>
          <w:lang w:bidi="ar-EG"/>
        </w:rPr>
        <w:t>‏</w:t>
      </w:r>
    </w:p>
    <w:p w14:paraId="405AC4F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Mehta, L., Leach, M., &amp; Scoones, I. (2025). Environmental governance in an uncertain world. IDS bulletin, 56(1A).</w:t>
      </w:r>
      <w:r w:rsidRPr="005D59A7">
        <w:rPr>
          <w:rFonts w:ascii="T" w:eastAsia="Calibri" w:hAnsi="T" w:cs="Arial"/>
          <w:rtl/>
          <w:lang w:bidi="ar-EG"/>
        </w:rPr>
        <w:t>‏</w:t>
      </w:r>
    </w:p>
    <w:p w14:paraId="7542DE5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Flyvbjerg, B. (2014). What you should know about megaprojects and why: An overview.</w:t>
      </w:r>
    </w:p>
    <w:p w14:paraId="2157B82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Hodge, G. A., &amp; Greve, C. (2018). Contemporary public-private partnership: Towards a global research agenda.</w:t>
      </w:r>
    </w:p>
    <w:p w14:paraId="3D413572" w14:textId="77777777" w:rsidR="00A63F47" w:rsidRPr="005D59A7" w:rsidRDefault="00A63F47" w:rsidP="00A63F47">
      <w:pPr>
        <w:jc w:val="both"/>
        <w:rPr>
          <w:rFonts w:ascii="T" w:eastAsia="Calibri" w:hAnsi="T" w:cs="Arial"/>
          <w:rtl/>
          <w:lang w:bidi="ar-EG"/>
        </w:rPr>
      </w:pPr>
    </w:p>
    <w:p w14:paraId="09AC188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Hodge, G. A., Greve, C., &amp; Biygautane, M. (2018). Do public–private partnerships work? What and how have we been learning so far?</w:t>
      </w:r>
    </w:p>
    <w:p w14:paraId="2A34C848"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Roehrich, J. K., Lewis, M. A., &amp; George, G. (2014). Are public–private partnerships a healthy option? A systematic literature review.</w:t>
      </w:r>
    </w:p>
    <w:p w14:paraId="45F44D9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Song, Y., &amp; Hao, S. (2023). Influence of project governance mechanisms on the sustainable development of public-private partnership projects.</w:t>
      </w:r>
    </w:p>
    <w:p w14:paraId="4850A498" w14:textId="77777777" w:rsidR="00A63F47" w:rsidRPr="005D59A7" w:rsidRDefault="00A63F47" w:rsidP="00A63F47">
      <w:pPr>
        <w:jc w:val="both"/>
        <w:rPr>
          <w:rFonts w:ascii="T" w:eastAsia="Calibri" w:hAnsi="T" w:cs="Arial"/>
          <w:rtl/>
          <w:lang w:bidi="ar-EG"/>
        </w:rPr>
      </w:pPr>
    </w:p>
    <w:p w14:paraId="58C72AC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Wang, Y., et al. (2020). The influence of governance on the implementation of public–private partnerships in the United Kingdom and China: A systematic comparison.</w:t>
      </w:r>
    </w:p>
    <w:p w14:paraId="6BC183D6"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Xiong, W., Chen, B., Wang, H., &amp; Zhu, D. (2019). Governing public–private partnerships: A systematic review of case study literature.</w:t>
      </w:r>
    </w:p>
    <w:p w14:paraId="79EB9DA1" w14:textId="77777777" w:rsidR="00A63F47" w:rsidRPr="005D59A7" w:rsidRDefault="00A63F47" w:rsidP="00A63F47">
      <w:pPr>
        <w:jc w:val="both"/>
        <w:rPr>
          <w:rFonts w:ascii="T" w:eastAsia="Calibri" w:hAnsi="T" w:cs="Arial"/>
          <w:rtl/>
          <w:lang w:bidi="ar-EG"/>
        </w:rPr>
      </w:pPr>
    </w:p>
    <w:p w14:paraId="5F0B111D"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Zhang, X., et al. (2020). Public–private partnerships as a governance response to sustainable urbanization: Lessons from China.</w:t>
      </w:r>
    </w:p>
    <w:p w14:paraId="469C6777"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Waardenburg, M., Groenleer, M., &amp; de Jong, J. (2025). Performance management in collaborative governance: a review of the literature and synthesis of the challenges. Public Performance &amp; Management Review, 48(4), 735-767.</w:t>
      </w:r>
      <w:r w:rsidRPr="005D59A7">
        <w:rPr>
          <w:rFonts w:ascii="T" w:eastAsia="Calibri" w:hAnsi="T" w:cs="Arial"/>
          <w:rtl/>
          <w:lang w:bidi="ar-EG"/>
        </w:rPr>
        <w:t>‏</w:t>
      </w:r>
    </w:p>
    <w:p w14:paraId="793A299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Atmaja, D. S., Fachrurazi, F., Abdullah, A., Fauziah, F., Zaroni, A. N., &amp; Yusuf, M. (2022). Actualization of performance management models for the development of human resources quality, economic potential, and financial governance policy in Indonesia Ministry of Education.</w:t>
      </w:r>
      <w:r w:rsidRPr="005D59A7">
        <w:rPr>
          <w:rFonts w:ascii="T" w:eastAsia="Calibri" w:hAnsi="T" w:cs="Arial"/>
          <w:rtl/>
          <w:lang w:bidi="ar-EG"/>
        </w:rPr>
        <w:t>‏</w:t>
      </w:r>
    </w:p>
    <w:p w14:paraId="4759FB71"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Biondi, L., &amp; Russo, S. (2022). Integrating strategic planning and performance management in universities: a multiple case-study analysis. journal of management and governance, 26(2), 417-448.</w:t>
      </w:r>
      <w:r w:rsidRPr="005D59A7">
        <w:rPr>
          <w:rFonts w:ascii="T" w:eastAsia="Calibri" w:hAnsi="T" w:cs="Arial"/>
          <w:rtl/>
          <w:lang w:bidi="ar-EG"/>
        </w:rPr>
        <w:t>‏</w:t>
      </w:r>
    </w:p>
    <w:p w14:paraId="620FEE7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Yadav, P., &amp; Prashar, A. (2023). Board gender diversity: implications for environment, social, and governance (ESG) performance of Indian firms. International Journal of Productivity and Performance Management, 72(9), 2654-2673.</w:t>
      </w:r>
      <w:r w:rsidRPr="005D59A7">
        <w:rPr>
          <w:rFonts w:ascii="T" w:eastAsia="Calibri" w:hAnsi="T" w:cs="Arial"/>
          <w:rtl/>
          <w:lang w:bidi="ar-EG"/>
        </w:rPr>
        <w:t>‏</w:t>
      </w:r>
    </w:p>
    <w:p w14:paraId="183B87C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Martiny, A., Taglialatela, J., Testa, F., &amp; Iraldo, F. (2024). Determinants of environmental social and governance (ESG) performance: A systematic literature review. Journal of Cleaner Production, 456, 142213.</w:t>
      </w:r>
      <w:r w:rsidRPr="005D59A7">
        <w:rPr>
          <w:rFonts w:ascii="T" w:eastAsia="Calibri" w:hAnsi="T" w:cs="Arial"/>
          <w:rtl/>
          <w:lang w:bidi="ar-EG"/>
        </w:rPr>
        <w:t>‏</w:t>
      </w:r>
    </w:p>
    <w:p w14:paraId="3ED564AB"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Kaunda, E., &amp; Pelser, T. (2023). Corporate governance and performance of state-owned enterprises in a least developed economy. South African Journal of Business Management, 54(1), 3827.</w:t>
      </w:r>
      <w:r w:rsidRPr="005D59A7">
        <w:rPr>
          <w:rFonts w:ascii="T" w:eastAsia="Calibri" w:hAnsi="T" w:cs="Arial"/>
          <w:rtl/>
          <w:lang w:bidi="ar-EG"/>
        </w:rPr>
        <w:t>‏</w:t>
      </w:r>
    </w:p>
    <w:p w14:paraId="1B83B98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Jubair, S. M. B., &amp; Singh, J. S. K. (2022). Critical success factors of Public-private Partnership (PPP) projects in the Kingdom of Saudi Arabia. Webology, 19(1), 1521-1540.</w:t>
      </w:r>
      <w:r w:rsidRPr="005D59A7">
        <w:rPr>
          <w:rFonts w:ascii="T" w:eastAsia="Calibri" w:hAnsi="T" w:cs="Arial"/>
          <w:rtl/>
          <w:lang w:bidi="ar-EG"/>
        </w:rPr>
        <w:t>‏</w:t>
      </w:r>
    </w:p>
    <w:p w14:paraId="27706B5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Hidalgo, A. J. G. (2024). Infrastructure Development in Saudi Arabia Through the Public-Private Partnership Scheme Within the Saudi Vision 2030 (Doctoral dissertation, Doctoral dissertation, UNIVERSIDAD POLITÉCNICA DE MADRID).</w:t>
      </w:r>
      <w:r w:rsidRPr="005D59A7">
        <w:rPr>
          <w:rFonts w:ascii="T" w:eastAsia="Calibri" w:hAnsi="T" w:cs="Arial"/>
          <w:rtl/>
          <w:lang w:bidi="ar-EG"/>
        </w:rPr>
        <w:t>‏</w:t>
      </w:r>
    </w:p>
    <w:p w14:paraId="1ED2F4E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lastRenderedPageBreak/>
        <w:t>Guerrero, A., Lara-Galera, A., Alcaraz Carrillo de Albornoz, V., &amp; Arévalo Sarrate, C. (2024). Determinant features to reduce the infrastructure gap in Saudi Arabia under a public–private partnership scheme. Buildings, 14(3), 699.</w:t>
      </w:r>
      <w:r w:rsidRPr="005D59A7">
        <w:rPr>
          <w:rFonts w:ascii="T" w:eastAsia="Calibri" w:hAnsi="T" w:cs="Arial"/>
          <w:rtl/>
          <w:lang w:bidi="ar-EG"/>
        </w:rPr>
        <w:t>‏</w:t>
      </w:r>
    </w:p>
    <w:p w14:paraId="1E08EA0D" w14:textId="77777777" w:rsidR="00A63F47" w:rsidRPr="005D59A7" w:rsidRDefault="00A63F47" w:rsidP="00A63F47">
      <w:pPr>
        <w:jc w:val="both"/>
        <w:rPr>
          <w:rFonts w:ascii="T" w:eastAsia="Calibri" w:hAnsi="T" w:cs="Arial"/>
          <w:rtl/>
          <w:lang w:bidi="ar-EG"/>
        </w:rPr>
      </w:pPr>
    </w:p>
    <w:p w14:paraId="5707C2CC"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Alruwaili, R., Al-Anzi, S., Alkhasha, A., &amp; Benlaria, H. O. U. C. I. N. E. (2024). The Interplay of Knowledge Management, E-Governance, and Business Performance Efficiency: Insights from Saudi Public Sector Institutions. WSEAS Transactions on Business and Economics, 21, 2026-2041.</w:t>
      </w:r>
      <w:r w:rsidRPr="005D59A7">
        <w:rPr>
          <w:rFonts w:ascii="T" w:eastAsia="Calibri" w:hAnsi="T" w:cs="Arial"/>
          <w:rtl/>
          <w:lang w:bidi="ar-EG"/>
        </w:rPr>
        <w:t>‏</w:t>
      </w:r>
    </w:p>
    <w:p w14:paraId="5FC8F049"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Bendary, M. G., &amp; Rajadurai, J. (2024). Emerging Technologies and Public Innovation in the Saudi Public Sector: an analysis of Adoption and challenges amidst Vision 2030. The Innovation Journal, 29(1), 1-42.</w:t>
      </w:r>
      <w:r w:rsidRPr="005D59A7">
        <w:rPr>
          <w:rFonts w:ascii="T" w:eastAsia="Calibri" w:hAnsi="T" w:cs="Arial"/>
          <w:rtl/>
          <w:lang w:bidi="ar-EG"/>
        </w:rPr>
        <w:t>‏</w:t>
      </w:r>
    </w:p>
    <w:p w14:paraId="3AB71B1A"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Bodrick, M. M., Alkindi, E. T., Alassaf, M. I., Alrasi, M. Y., Aljuffali, L., Alhawas, A. A., ... &amp; Alsuhaim, M. I. (2025). The Contextual Dynamism of Organizational Leadership in Saudi Arabia: What is Next After Change, Transition, and Transformation-Is it Transmogrification?. Journal of Business and Management Studies, 7(3), 355-363.</w:t>
      </w:r>
      <w:r w:rsidRPr="005D59A7">
        <w:rPr>
          <w:rFonts w:ascii="T" w:eastAsia="Calibri" w:hAnsi="T" w:cs="Arial"/>
          <w:rtl/>
          <w:lang w:bidi="ar-EG"/>
        </w:rPr>
        <w:t>‏</w:t>
      </w:r>
    </w:p>
    <w:p w14:paraId="1D979495"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Elkebti, O. A. M., &amp; Khalifa, W. M. (2025). Assessing the saudi and middle east green initiatives: the role of environmental governance, renewable energy transition, and innovation in achieving a regional green future. Sustainability, 17(12), 5307.</w:t>
      </w:r>
      <w:r w:rsidRPr="005D59A7">
        <w:rPr>
          <w:rFonts w:ascii="T" w:eastAsia="Calibri" w:hAnsi="T" w:cs="Arial"/>
          <w:rtl/>
          <w:lang w:bidi="ar-EG"/>
        </w:rPr>
        <w:t>‏</w:t>
      </w:r>
    </w:p>
    <w:p w14:paraId="5B2BCD54"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Almeflh, A. A., &amp; Almofleh, M. I. (2025). Institutional drivers of environmental accounting and responses of organizations. Discover Sustainability.</w:t>
      </w:r>
      <w:r w:rsidRPr="005D59A7">
        <w:rPr>
          <w:rFonts w:ascii="T" w:eastAsia="Calibri" w:hAnsi="T" w:cs="Arial"/>
          <w:rtl/>
          <w:lang w:bidi="ar-EG"/>
        </w:rPr>
        <w:t>‏</w:t>
      </w:r>
    </w:p>
    <w:p w14:paraId="3A70E802"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Jan, D., Nigar, M., Ullah, F., Nizar, A., Fatima, N., Hussain, I., &amp; Rahman, S. U. (2025). Impact of public-private partnership and technology transfer on environmental sustainability. Social Science Review Archives, 3(1), 2569-2589.</w:t>
      </w:r>
      <w:r w:rsidRPr="005D59A7">
        <w:rPr>
          <w:rFonts w:ascii="T" w:eastAsia="Calibri" w:hAnsi="T" w:cs="Arial"/>
          <w:rtl/>
          <w:lang w:bidi="ar-EG"/>
        </w:rPr>
        <w:t>‏</w:t>
      </w:r>
    </w:p>
    <w:p w14:paraId="18815C10" w14:textId="77777777" w:rsidR="00A63F47" w:rsidRPr="005D59A7" w:rsidRDefault="00A63F47" w:rsidP="00A63F47">
      <w:pPr>
        <w:jc w:val="both"/>
        <w:rPr>
          <w:rFonts w:ascii="T" w:eastAsia="Calibri" w:hAnsi="T" w:cs="Arial"/>
          <w:lang w:bidi="ar-EG"/>
        </w:rPr>
      </w:pPr>
      <w:r w:rsidRPr="005D59A7">
        <w:rPr>
          <w:rFonts w:ascii="T" w:eastAsia="Calibri" w:hAnsi="T" w:cs="Arial"/>
          <w:lang w:bidi="ar-EG"/>
        </w:rPr>
        <w:t>Alhosani, K. (2025). Leveraging public–private partnerships for a circular industry economy: Advancing economic sustainability in industrial waste management in the Emirate of Ajman, UAE. Challenges, 16(3), 31.</w:t>
      </w:r>
      <w:r w:rsidRPr="005D59A7">
        <w:rPr>
          <w:rFonts w:ascii="T" w:eastAsia="Calibri" w:hAnsi="T" w:cs="Arial"/>
          <w:rtl/>
          <w:lang w:bidi="ar-EG"/>
        </w:rPr>
        <w:t>‏</w:t>
      </w:r>
    </w:p>
    <w:p w14:paraId="35B5824B" w14:textId="3E94D404" w:rsidR="00A63F47" w:rsidRPr="005D59A7" w:rsidRDefault="00A63F47" w:rsidP="00A63F47">
      <w:pPr>
        <w:jc w:val="both"/>
        <w:rPr>
          <w:rFonts w:ascii="T" w:eastAsia="Calibri" w:hAnsi="T" w:cs="Arial"/>
          <w:lang w:bidi="ar-EG"/>
        </w:rPr>
      </w:pPr>
      <w:r w:rsidRPr="005D59A7">
        <w:rPr>
          <w:rFonts w:ascii="T" w:eastAsia="Calibri" w:hAnsi="T" w:cs="Arial"/>
          <w:lang w:bidi="ar-EG"/>
        </w:rPr>
        <w:t>Sampieri, S., &amp; Mazzetto, S. (2025). Public–Private Partnership for the Sustainable Development of Tourism Hospitality: Comparisons Between Italy and Saudi Arabia. Sustainability, 17(15), 6662.</w:t>
      </w:r>
      <w:r w:rsidRPr="005D59A7">
        <w:rPr>
          <w:rFonts w:ascii="T" w:eastAsia="Calibri" w:hAnsi="T" w:cs="Arial"/>
          <w:rtl/>
          <w:lang w:bidi="ar-EG"/>
        </w:rPr>
        <w:t>‏</w:t>
      </w:r>
    </w:p>
    <w:p w14:paraId="074B6D6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Casady, C. B., Cepparulo, A., &amp; Giuriato, L. (2024). Public-private partnerships for low-carbon, climate-resilient infrastructure: Insights from the literature. Journal of Cleaner Production, 470, 143338.</w:t>
      </w:r>
      <w:r w:rsidRPr="005D59A7">
        <w:rPr>
          <w:rFonts w:ascii="T" w:eastAsia="Calibri" w:hAnsi="T" w:cs="Arial"/>
          <w:rtl/>
          <w:lang w:bidi="ar-EG"/>
        </w:rPr>
        <w:t>‏</w:t>
      </w:r>
    </w:p>
    <w:p w14:paraId="73AFE0CD"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Ramolobe, K. S., &amp; Khandanisa, U. (2024). The role of public–private partnership in achieving local government sustainable development. Africa’s public service delivery and performance review, 12(1), 816.</w:t>
      </w:r>
      <w:r w:rsidRPr="005D59A7">
        <w:rPr>
          <w:rFonts w:ascii="T" w:eastAsia="Calibri" w:hAnsi="T" w:cs="Arial"/>
          <w:rtl/>
          <w:lang w:bidi="ar-EG"/>
        </w:rPr>
        <w:t>‏</w:t>
      </w:r>
    </w:p>
    <w:p w14:paraId="3D501784"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Azarian, M., Shiferaw, A. T., Stevik, T. K., Lædre, O., &amp; Wondimu, P. A. (2023). Public-private partnership: A bibliometric analysis and historical evolution. Buildings, 13(8), 2035.</w:t>
      </w:r>
      <w:r w:rsidRPr="005D59A7">
        <w:rPr>
          <w:rFonts w:ascii="T" w:eastAsia="Calibri" w:hAnsi="T" w:cs="Arial"/>
          <w:rtl/>
          <w:lang w:bidi="ar-EG"/>
        </w:rPr>
        <w:t>‏</w:t>
      </w:r>
    </w:p>
    <w:p w14:paraId="44A2E890"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Oyegbade, I. K., Igwe, A. N., Ofodile, O. C., &amp; Azubuike, C. (2022). Advancing SME financing through public-private partnerships and low-cost lending: A framework for inclusive growth. Iconic Research and Engineering Journals, 6(2), 289-302.</w:t>
      </w:r>
      <w:r w:rsidRPr="005D59A7">
        <w:rPr>
          <w:rFonts w:ascii="T" w:eastAsia="Calibri" w:hAnsi="T" w:cs="Arial"/>
          <w:rtl/>
          <w:lang w:bidi="ar-EG"/>
        </w:rPr>
        <w:t>‏</w:t>
      </w:r>
    </w:p>
    <w:p w14:paraId="38C0AC56"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lastRenderedPageBreak/>
        <w:t>Verweij, S., van Meerkerk, I., &amp; Casady, C. B. (2022). The performance advantage of public-private partnerships: does it exist or not?. In Assessing the Performance Advantage of Public-Private Partnerships (pp. 1-26). Edward Elgar Publishing.</w:t>
      </w:r>
      <w:r w:rsidRPr="005D59A7">
        <w:rPr>
          <w:rFonts w:ascii="T" w:eastAsia="Calibri" w:hAnsi="T" w:cs="Arial"/>
          <w:rtl/>
          <w:lang w:bidi="ar-EG"/>
        </w:rPr>
        <w:t>‏</w:t>
      </w:r>
    </w:p>
    <w:p w14:paraId="52A038C8"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Verweij, S., &amp; Satheesh, S. A. (2023). In search of the collaborative advantage of public‐private partnerships: A comparative analysis of Dutch transport infrastructure projects. Public Administration Review, 83(3), 679-690.</w:t>
      </w:r>
      <w:r w:rsidRPr="005D59A7">
        <w:rPr>
          <w:rFonts w:ascii="T" w:eastAsia="Calibri" w:hAnsi="T" w:cs="Arial"/>
          <w:rtl/>
          <w:lang w:bidi="ar-EG"/>
        </w:rPr>
        <w:t>‏</w:t>
      </w:r>
    </w:p>
    <w:p w14:paraId="67AF2CD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Rodrigues, N. J. (2023, June). Public–private partnerships model applied to hospitals—a critical review. In Healthcare (Vol. 11, No. 12, p. 1723). MDPI.</w:t>
      </w:r>
      <w:r w:rsidRPr="005D59A7">
        <w:rPr>
          <w:rFonts w:ascii="T" w:eastAsia="Calibri" w:hAnsi="T" w:cs="Arial"/>
          <w:rtl/>
          <w:lang w:bidi="ar-EG"/>
        </w:rPr>
        <w:t>‏</w:t>
      </w:r>
    </w:p>
    <w:p w14:paraId="465737CD"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Batjargal, T., &amp; Zhang, M. (2022). Review on the public-private partnership. Management Studies, 10(1), 1-11.</w:t>
      </w:r>
      <w:r w:rsidRPr="005D59A7">
        <w:rPr>
          <w:rFonts w:ascii="T" w:eastAsia="Calibri" w:hAnsi="T" w:cs="Arial"/>
          <w:rtl/>
          <w:lang w:bidi="ar-EG"/>
        </w:rPr>
        <w:t>‏</w:t>
      </w:r>
    </w:p>
    <w:p w14:paraId="1B048034"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Aboelazm, K. S., Tawakol, F., Ibrahim, E., &amp; Ramadan, S. A. (2025). The legal framework for BOT contracts in Egypt and the United Arab Emirates. Journal of Lifestyle and SDGs Review, 5(2), e03286-e03286.</w:t>
      </w:r>
      <w:r w:rsidRPr="005D59A7">
        <w:rPr>
          <w:rFonts w:ascii="T" w:eastAsia="Calibri" w:hAnsi="T" w:cs="Arial"/>
          <w:rtl/>
          <w:lang w:bidi="ar-EG"/>
        </w:rPr>
        <w:t>‏</w:t>
      </w:r>
    </w:p>
    <w:p w14:paraId="16B6FE5F"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Raina, N., Zavalloni, M., &amp; Viaggi, D. (2024). Incentive mechanisms of carbon farming contracts: A systematic mapping study. Journal of Environmental Management, 352, 120126.</w:t>
      </w:r>
      <w:r w:rsidRPr="005D59A7">
        <w:rPr>
          <w:rFonts w:ascii="T" w:eastAsia="Calibri" w:hAnsi="T" w:cs="Arial"/>
          <w:rtl/>
          <w:lang w:bidi="ar-EG"/>
        </w:rPr>
        <w:t>‏</w:t>
      </w:r>
    </w:p>
    <w:p w14:paraId="05492DD3"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Akinsulire, A. A., Idemudia, C., Okwandu, A. C., &amp; Iwuanyanwu, O. (2024). Public-Private partnership frameworks for financing affordable housing: Lessons and models. International Journal of Management &amp; Entrepreneurship Research, 6(7), 2314-2331.</w:t>
      </w:r>
      <w:r w:rsidRPr="005D59A7">
        <w:rPr>
          <w:rFonts w:ascii="T" w:eastAsia="Calibri" w:hAnsi="T" w:cs="Arial"/>
          <w:rtl/>
          <w:lang w:bidi="ar-EG"/>
        </w:rPr>
        <w:t>‏</w:t>
      </w:r>
    </w:p>
    <w:p w14:paraId="636FAAAD"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Alshboul, O., &amp; Shehadeh, A. (2026). Enhancing infrastructure project outcomes through optimized contractual structures and long-term warranties. Engineering, Construction and Architectural Management, 33(3), 2220-2242.</w:t>
      </w:r>
      <w:r w:rsidRPr="005D59A7">
        <w:rPr>
          <w:rFonts w:ascii="T" w:eastAsia="Calibri" w:hAnsi="T" w:cs="Arial"/>
          <w:rtl/>
          <w:lang w:bidi="ar-EG"/>
        </w:rPr>
        <w:t>‏</w:t>
      </w:r>
    </w:p>
    <w:p w14:paraId="4DF3A370"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Ghanem, A. M., &amp; Alamri, Y. A. (2023). The impact of the green Middle East initiative on sustainable development in the Kingdom of Saudi Arabia. Journal of the Saudi Society of Agricultural Sciences, 22(1), 35-46.</w:t>
      </w:r>
      <w:r w:rsidRPr="005D59A7">
        <w:rPr>
          <w:rFonts w:ascii="T" w:eastAsia="Calibri" w:hAnsi="T" w:cs="Arial"/>
          <w:rtl/>
          <w:lang w:bidi="ar-EG"/>
        </w:rPr>
        <w:t>‏</w:t>
      </w:r>
    </w:p>
    <w:p w14:paraId="16D1CB71" w14:textId="77777777" w:rsidR="00C476D6" w:rsidRPr="005D59A7" w:rsidRDefault="00C476D6" w:rsidP="00C476D6">
      <w:pPr>
        <w:jc w:val="both"/>
        <w:rPr>
          <w:rFonts w:ascii="T" w:eastAsia="Calibri" w:hAnsi="T" w:cs="Arial"/>
          <w:lang w:bidi="ar-EG"/>
        </w:rPr>
      </w:pPr>
      <w:r w:rsidRPr="005D59A7">
        <w:rPr>
          <w:rFonts w:ascii="T" w:eastAsia="Calibri" w:hAnsi="T" w:cs="Arial"/>
          <w:lang w:bidi="ar-EG"/>
        </w:rPr>
        <w:t>Al-Otaibi, A., &amp; Elimam, H. (2024). Impact of Interrelationships among the Economic Sectors on Achieving Sustainable Development in the Kingdom of Saudi Arabia. European Journal of Sustainable Development, 13(1), 87-87.</w:t>
      </w:r>
      <w:r w:rsidRPr="005D59A7">
        <w:rPr>
          <w:rFonts w:ascii="T" w:eastAsia="Calibri" w:hAnsi="T" w:cs="Arial"/>
          <w:rtl/>
          <w:lang w:bidi="ar-EG"/>
        </w:rPr>
        <w:t>‏</w:t>
      </w:r>
    </w:p>
    <w:p w14:paraId="6E967857" w14:textId="09767A08" w:rsidR="00C476D6" w:rsidRPr="005D59A7" w:rsidRDefault="00C476D6" w:rsidP="00C476D6">
      <w:pPr>
        <w:jc w:val="both"/>
        <w:rPr>
          <w:rFonts w:ascii="T" w:eastAsia="Calibri" w:hAnsi="T" w:cs="Arial"/>
          <w:lang w:bidi="ar-EG"/>
        </w:rPr>
      </w:pPr>
      <w:r w:rsidRPr="005D59A7">
        <w:rPr>
          <w:rFonts w:ascii="T" w:eastAsia="Calibri" w:hAnsi="T" w:cs="Arial"/>
          <w:lang w:bidi="ar-EG"/>
        </w:rPr>
        <w:t>Emam, A. (2022). Present and future: Does agriculture affect economic growth and the environment in the Kingdom of Saudi Arabia?. Agricultural Economics/Zemědělská Ekonomika, 68(10).</w:t>
      </w:r>
      <w:r w:rsidRPr="005D59A7">
        <w:rPr>
          <w:rFonts w:ascii="T" w:eastAsia="Calibri" w:hAnsi="T" w:cs="Arial"/>
          <w:rtl/>
          <w:lang w:bidi="ar-EG"/>
        </w:rPr>
        <w:t>‏</w:t>
      </w:r>
    </w:p>
    <w:p w14:paraId="4304B7F3" w14:textId="7D187D1F" w:rsidR="003F5C18" w:rsidRPr="005D59A7" w:rsidRDefault="003F5C18" w:rsidP="00C476D6">
      <w:pPr>
        <w:jc w:val="both"/>
        <w:rPr>
          <w:rFonts w:ascii="T" w:eastAsia="Calibri" w:hAnsi="T" w:cs="Arial"/>
          <w:lang w:bidi="ar-EG"/>
        </w:rPr>
      </w:pPr>
    </w:p>
    <w:sectPr w:rsidR="003F5C18" w:rsidRPr="005D59A7" w:rsidSect="00395E1F">
      <w:headerReference w:type="even" r:id="rId39"/>
      <w:headerReference w:type="default" r:id="rId40"/>
      <w:footerReference w:type="default" r:id="rId41"/>
      <w:headerReference w:type="first" r:id="rId42"/>
      <w:footerReference w:type="first" r:id="rId4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9EABF" w14:textId="77777777" w:rsidR="004B59DA" w:rsidRDefault="004B59DA" w:rsidP="00F628F0">
      <w:pPr>
        <w:spacing w:after="0" w:line="240" w:lineRule="auto"/>
      </w:pPr>
      <w:r>
        <w:separator/>
      </w:r>
    </w:p>
  </w:endnote>
  <w:endnote w:type="continuationSeparator" w:id="0">
    <w:p w14:paraId="419C2EA3" w14:textId="77777777" w:rsidR="004B59DA" w:rsidRDefault="004B59D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 w:name="T">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1DDEAF7B" w14:textId="77777777" w:rsidR="004B53E2" w:rsidRDefault="00EE7CFA">
        <w:pPr>
          <w:pStyle w:val="Footer"/>
          <w:jc w:val="center"/>
        </w:pPr>
        <w:r>
          <w:fldChar w:fldCharType="begin"/>
        </w:r>
        <w:r>
          <w:instrText xml:space="preserve"> PAGE   \* MERGEFORMAT </w:instrText>
        </w:r>
        <w:r>
          <w:fldChar w:fldCharType="separate"/>
        </w:r>
        <w:r w:rsidR="00DA7252">
          <w:rPr>
            <w:noProof/>
          </w:rPr>
          <w:t>3</w:t>
        </w:r>
        <w:r>
          <w:rPr>
            <w:noProof/>
          </w:rPr>
          <w:fldChar w:fldCharType="end"/>
        </w:r>
      </w:p>
    </w:sdtContent>
  </w:sdt>
  <w:p w14:paraId="02FECB92" w14:textId="77777777" w:rsidR="004B53E2" w:rsidRDefault="004B53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82BF" w14:textId="77777777" w:rsidR="004B53E2" w:rsidRPr="00883E09" w:rsidRDefault="004B53E2"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10ED3024" wp14:editId="765C8F72">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sidRPr="004B1E9E">
      <w:rPr>
        <w:rFonts w:hint="cs"/>
        <w:b/>
        <w:bCs/>
        <w:color w:val="C45911"/>
        <w:sz w:val="24"/>
        <w:szCs w:val="24"/>
        <w:rtl/>
        <w:lang w:bidi="ar-EG"/>
      </w:rPr>
      <w:t>مشروع خطة بحث علمى لتسجيل درجة الدكتوراه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084F0" w14:textId="77777777" w:rsidR="004B59DA" w:rsidRDefault="004B59DA" w:rsidP="00F628F0">
      <w:pPr>
        <w:spacing w:after="0" w:line="240" w:lineRule="auto"/>
      </w:pPr>
      <w:r>
        <w:separator/>
      </w:r>
    </w:p>
  </w:footnote>
  <w:footnote w:type="continuationSeparator" w:id="0">
    <w:p w14:paraId="16B4DC14" w14:textId="77777777" w:rsidR="004B59DA" w:rsidRDefault="004B59D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59FD7" w14:textId="77777777" w:rsidR="004B53E2" w:rsidRDefault="004B59DA">
    <w:pPr>
      <w:pStyle w:val="Header"/>
    </w:pPr>
    <w:r>
      <w:rPr>
        <w:noProof/>
      </w:rPr>
      <w:pict w14:anchorId="122CA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13279" w14:textId="77777777" w:rsidR="004B53E2" w:rsidRDefault="004B59DA">
    <w:pPr>
      <w:pStyle w:val="Header"/>
    </w:pPr>
    <w:r>
      <w:rPr>
        <w:noProof/>
      </w:rPr>
      <w:pict w14:anchorId="57026B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008CA38D" w14:textId="77777777" w:rsidR="004B53E2" w:rsidRDefault="004B59DA">
        <w:pPr>
          <w:pStyle w:val="Header"/>
        </w:pPr>
        <w:r>
          <w:rPr>
            <w:noProof/>
          </w:rPr>
          <w:pict w14:anchorId="12EC5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5721"/>
    <w:multiLevelType w:val="hybridMultilevel"/>
    <w:tmpl w:val="D1927EFE"/>
    <w:lvl w:ilvl="0" w:tplc="04090001">
      <w:start w:val="1"/>
      <w:numFmt w:val="bullet"/>
      <w:lvlText w:val=""/>
      <w:lvlJc w:val="left"/>
      <w:pPr>
        <w:ind w:left="1440" w:hanging="360"/>
      </w:pPr>
      <w:rPr>
        <w:rFonts w:ascii="Symbol" w:hAnsi="Symbol" w:hint="default"/>
        <w:b/>
        <w:bCs/>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 w15:restartNumberingAfterBreak="0">
    <w:nsid w:val="01902BED"/>
    <w:multiLevelType w:val="hybridMultilevel"/>
    <w:tmpl w:val="D2464B22"/>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2" w15:restartNumberingAfterBreak="0">
    <w:nsid w:val="06CD1AF4"/>
    <w:multiLevelType w:val="hybridMultilevel"/>
    <w:tmpl w:val="55366C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C460252"/>
    <w:multiLevelType w:val="hybridMultilevel"/>
    <w:tmpl w:val="62BE7F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CA36A07"/>
    <w:multiLevelType w:val="hybridMultilevel"/>
    <w:tmpl w:val="AD7CDC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DA1C99"/>
    <w:multiLevelType w:val="hybridMultilevel"/>
    <w:tmpl w:val="620E26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E8201B"/>
    <w:multiLevelType w:val="hybridMultilevel"/>
    <w:tmpl w:val="A664B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0A3693"/>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2705ED"/>
    <w:multiLevelType w:val="hybridMultilevel"/>
    <w:tmpl w:val="17404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DF7FB5"/>
    <w:multiLevelType w:val="hybridMultilevel"/>
    <w:tmpl w:val="D6D2C710"/>
    <w:lvl w:ilvl="0" w:tplc="70840F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733FD9"/>
    <w:multiLevelType w:val="hybridMultilevel"/>
    <w:tmpl w:val="4E2E98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C471018"/>
    <w:multiLevelType w:val="hybridMultilevel"/>
    <w:tmpl w:val="5D169F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1D7E1E76"/>
    <w:multiLevelType w:val="multilevel"/>
    <w:tmpl w:val="8FDED1D8"/>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 w15:restartNumberingAfterBreak="0">
    <w:nsid w:val="221C3706"/>
    <w:multiLevelType w:val="hybridMultilevel"/>
    <w:tmpl w:val="508A1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2A97696"/>
    <w:multiLevelType w:val="hybridMultilevel"/>
    <w:tmpl w:val="F1D4D30C"/>
    <w:lvl w:ilvl="0" w:tplc="4EE89E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87236C"/>
    <w:multiLevelType w:val="hybridMultilevel"/>
    <w:tmpl w:val="D42EA8C8"/>
    <w:lvl w:ilvl="0" w:tplc="5C082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A361DFF"/>
    <w:multiLevelType w:val="hybridMultilevel"/>
    <w:tmpl w:val="A906C32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7" w15:restartNumberingAfterBreak="0">
    <w:nsid w:val="30FB5883"/>
    <w:multiLevelType w:val="hybridMultilevel"/>
    <w:tmpl w:val="E44E0AC4"/>
    <w:lvl w:ilvl="0" w:tplc="231A24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552321"/>
    <w:multiLevelType w:val="hybridMultilevel"/>
    <w:tmpl w:val="CF88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601EFA"/>
    <w:multiLevelType w:val="hybridMultilevel"/>
    <w:tmpl w:val="F71C7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C03B0B"/>
    <w:multiLevelType w:val="hybridMultilevel"/>
    <w:tmpl w:val="A14C67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5500353E"/>
    <w:multiLevelType w:val="hybridMultilevel"/>
    <w:tmpl w:val="9F9483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65677BD"/>
    <w:multiLevelType w:val="hybridMultilevel"/>
    <w:tmpl w:val="D2883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BF31AA"/>
    <w:multiLevelType w:val="hybridMultilevel"/>
    <w:tmpl w:val="F51605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CAE4284"/>
    <w:multiLevelType w:val="hybridMultilevel"/>
    <w:tmpl w:val="1134729E"/>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25" w15:restartNumberingAfterBreak="0">
    <w:nsid w:val="5F0D4A18"/>
    <w:multiLevelType w:val="hybridMultilevel"/>
    <w:tmpl w:val="263E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FF1234"/>
    <w:multiLevelType w:val="hybridMultilevel"/>
    <w:tmpl w:val="29F28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660426"/>
    <w:multiLevelType w:val="hybridMultilevel"/>
    <w:tmpl w:val="94B094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FC5A3F"/>
    <w:multiLevelType w:val="hybridMultilevel"/>
    <w:tmpl w:val="A2285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745FCE"/>
    <w:multiLevelType w:val="hybridMultilevel"/>
    <w:tmpl w:val="3AE4BA0A"/>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30" w15:restartNumberingAfterBreak="0">
    <w:nsid w:val="74E96EE0"/>
    <w:multiLevelType w:val="hybridMultilevel"/>
    <w:tmpl w:val="A162A4F2"/>
    <w:lvl w:ilvl="0" w:tplc="0604119C">
      <w:start w:val="1"/>
      <w:numFmt w:val="arabicAlpha"/>
      <w:lvlText w:val="%1."/>
      <w:lvlJc w:val="left"/>
      <w:pPr>
        <w:ind w:left="1500" w:hanging="360"/>
      </w:pPr>
      <w:rPr>
        <w:rFonts w:asciiTheme="majorHAnsi" w:eastAsiaTheme="majorEastAsia" w:hAnsiTheme="majorHAnsi" w:cstheme="majorBidi"/>
        <w:sz w:val="24"/>
        <w:szCs w:val="24"/>
      </w:rPr>
    </w:lvl>
    <w:lvl w:ilvl="1" w:tplc="A4F020F4">
      <w:start w:val="1"/>
      <w:numFmt w:val="arabicAlpha"/>
      <w:lvlText w:val="%2."/>
      <w:lvlJc w:val="left"/>
      <w:pPr>
        <w:ind w:left="2220" w:hanging="360"/>
      </w:pPr>
      <w:rPr>
        <w:rFonts w:asciiTheme="majorBidi" w:eastAsiaTheme="minorHAnsi" w:hAnsiTheme="majorBidi" w:cstheme="majorBidi"/>
        <w:sz w:val="24"/>
        <w:szCs w:val="24"/>
      </w:rPr>
    </w:lvl>
    <w:lvl w:ilvl="2" w:tplc="781424A4">
      <w:start w:val="1"/>
      <w:numFmt w:val="decimal"/>
      <w:lvlText w:val="%3."/>
      <w:lvlJc w:val="left"/>
      <w:pPr>
        <w:ind w:left="360" w:hanging="360"/>
      </w:pPr>
      <w:rPr>
        <w:rFonts w:hint="default"/>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1" w15:restartNumberingAfterBreak="0">
    <w:nsid w:val="75690AFB"/>
    <w:multiLevelType w:val="hybridMultilevel"/>
    <w:tmpl w:val="DEE6B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C263C8"/>
    <w:multiLevelType w:val="hybridMultilevel"/>
    <w:tmpl w:val="65B8A5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7B262C5E"/>
    <w:multiLevelType w:val="hybridMultilevel"/>
    <w:tmpl w:val="5840F7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D0E65C1"/>
    <w:multiLevelType w:val="hybridMultilevel"/>
    <w:tmpl w:val="C76AA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46019321">
    <w:abstractNumId w:val="0"/>
  </w:num>
  <w:num w:numId="2" w16cid:durableId="410351905">
    <w:abstractNumId w:val="21"/>
  </w:num>
  <w:num w:numId="3" w16cid:durableId="1325157696">
    <w:abstractNumId w:val="30"/>
  </w:num>
  <w:num w:numId="4" w16cid:durableId="2039357801">
    <w:abstractNumId w:val="9"/>
  </w:num>
  <w:num w:numId="5" w16cid:durableId="1533884337">
    <w:abstractNumId w:val="34"/>
  </w:num>
  <w:num w:numId="6" w16cid:durableId="2054226251">
    <w:abstractNumId w:val="32"/>
  </w:num>
  <w:num w:numId="7" w16cid:durableId="1458719105">
    <w:abstractNumId w:val="14"/>
  </w:num>
  <w:num w:numId="8" w16cid:durableId="555632091">
    <w:abstractNumId w:val="5"/>
  </w:num>
  <w:num w:numId="9" w16cid:durableId="1146707979">
    <w:abstractNumId w:val="17"/>
  </w:num>
  <w:num w:numId="10" w16cid:durableId="1446727003">
    <w:abstractNumId w:val="16"/>
  </w:num>
  <w:num w:numId="11" w16cid:durableId="1699507385">
    <w:abstractNumId w:val="12"/>
  </w:num>
  <w:num w:numId="12" w16cid:durableId="302270761">
    <w:abstractNumId w:val="15"/>
  </w:num>
  <w:num w:numId="13" w16cid:durableId="842548633">
    <w:abstractNumId w:val="13"/>
  </w:num>
  <w:num w:numId="14" w16cid:durableId="831723582">
    <w:abstractNumId w:val="3"/>
  </w:num>
  <w:num w:numId="15" w16cid:durableId="1362901396">
    <w:abstractNumId w:val="23"/>
  </w:num>
  <w:num w:numId="16" w16cid:durableId="21322791">
    <w:abstractNumId w:val="11"/>
  </w:num>
  <w:num w:numId="17" w16cid:durableId="125242430">
    <w:abstractNumId w:val="20"/>
  </w:num>
  <w:num w:numId="18" w16cid:durableId="1754205149">
    <w:abstractNumId w:val="2"/>
  </w:num>
  <w:num w:numId="19" w16cid:durableId="121388362">
    <w:abstractNumId w:val="10"/>
  </w:num>
  <w:num w:numId="20" w16cid:durableId="212735804">
    <w:abstractNumId w:val="18"/>
  </w:num>
  <w:num w:numId="21" w16cid:durableId="1608082247">
    <w:abstractNumId w:val="28"/>
  </w:num>
  <w:num w:numId="22" w16cid:durableId="879247505">
    <w:abstractNumId w:val="33"/>
  </w:num>
  <w:num w:numId="23" w16cid:durableId="1883205722">
    <w:abstractNumId w:val="27"/>
  </w:num>
  <w:num w:numId="24" w16cid:durableId="1539926617">
    <w:abstractNumId w:val="31"/>
  </w:num>
  <w:num w:numId="25" w16cid:durableId="399525898">
    <w:abstractNumId w:val="25"/>
  </w:num>
  <w:num w:numId="26" w16cid:durableId="1389840408">
    <w:abstractNumId w:val="22"/>
  </w:num>
  <w:num w:numId="27" w16cid:durableId="1367366629">
    <w:abstractNumId w:val="19"/>
  </w:num>
  <w:num w:numId="28" w16cid:durableId="1355500316">
    <w:abstractNumId w:val="6"/>
  </w:num>
  <w:num w:numId="29" w16cid:durableId="723330832">
    <w:abstractNumId w:val="26"/>
  </w:num>
  <w:num w:numId="30" w16cid:durableId="780302943">
    <w:abstractNumId w:val="8"/>
  </w:num>
  <w:num w:numId="31" w16cid:durableId="3096861">
    <w:abstractNumId w:val="7"/>
  </w:num>
  <w:num w:numId="32" w16cid:durableId="650674015">
    <w:abstractNumId w:val="1"/>
  </w:num>
  <w:num w:numId="33" w16cid:durableId="852112861">
    <w:abstractNumId w:val="4"/>
  </w:num>
  <w:num w:numId="34" w16cid:durableId="880559814">
    <w:abstractNumId w:val="24"/>
  </w:num>
  <w:num w:numId="35" w16cid:durableId="36778370">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7F04"/>
    <w:rsid w:val="000073C4"/>
    <w:rsid w:val="00012C1E"/>
    <w:rsid w:val="00015F0D"/>
    <w:rsid w:val="00017326"/>
    <w:rsid w:val="00020023"/>
    <w:rsid w:val="00027A34"/>
    <w:rsid w:val="00031138"/>
    <w:rsid w:val="000322E7"/>
    <w:rsid w:val="000322FF"/>
    <w:rsid w:val="00036454"/>
    <w:rsid w:val="00040783"/>
    <w:rsid w:val="00044CFD"/>
    <w:rsid w:val="00045246"/>
    <w:rsid w:val="00050B89"/>
    <w:rsid w:val="000536A3"/>
    <w:rsid w:val="00057791"/>
    <w:rsid w:val="000577B4"/>
    <w:rsid w:val="00057CFC"/>
    <w:rsid w:val="00057D71"/>
    <w:rsid w:val="00060EF4"/>
    <w:rsid w:val="00061A09"/>
    <w:rsid w:val="0007466E"/>
    <w:rsid w:val="00074A1B"/>
    <w:rsid w:val="00077001"/>
    <w:rsid w:val="0008247C"/>
    <w:rsid w:val="000824DD"/>
    <w:rsid w:val="000832EB"/>
    <w:rsid w:val="00083409"/>
    <w:rsid w:val="00083C08"/>
    <w:rsid w:val="00085801"/>
    <w:rsid w:val="00086462"/>
    <w:rsid w:val="00087E4F"/>
    <w:rsid w:val="00090A9C"/>
    <w:rsid w:val="0009151C"/>
    <w:rsid w:val="00092C24"/>
    <w:rsid w:val="00093DC3"/>
    <w:rsid w:val="000940A0"/>
    <w:rsid w:val="00097FAE"/>
    <w:rsid w:val="000A1D3E"/>
    <w:rsid w:val="000A1E46"/>
    <w:rsid w:val="000A310D"/>
    <w:rsid w:val="000A3759"/>
    <w:rsid w:val="000A49ED"/>
    <w:rsid w:val="000A6578"/>
    <w:rsid w:val="000A749C"/>
    <w:rsid w:val="000B0864"/>
    <w:rsid w:val="000B0B32"/>
    <w:rsid w:val="000B0E21"/>
    <w:rsid w:val="000B18BD"/>
    <w:rsid w:val="000B480B"/>
    <w:rsid w:val="000B4A59"/>
    <w:rsid w:val="000B706D"/>
    <w:rsid w:val="000B7FF8"/>
    <w:rsid w:val="000C6F91"/>
    <w:rsid w:val="000C74D1"/>
    <w:rsid w:val="000C7BC3"/>
    <w:rsid w:val="000D0869"/>
    <w:rsid w:val="000D16AD"/>
    <w:rsid w:val="000D1D88"/>
    <w:rsid w:val="000D35AF"/>
    <w:rsid w:val="000D3EAE"/>
    <w:rsid w:val="000D4BE5"/>
    <w:rsid w:val="000D5131"/>
    <w:rsid w:val="000D6FF2"/>
    <w:rsid w:val="000E23AB"/>
    <w:rsid w:val="000E5E9A"/>
    <w:rsid w:val="000E6887"/>
    <w:rsid w:val="000F0A0D"/>
    <w:rsid w:val="000F1437"/>
    <w:rsid w:val="000F25C9"/>
    <w:rsid w:val="000F797A"/>
    <w:rsid w:val="000F7F04"/>
    <w:rsid w:val="0010375B"/>
    <w:rsid w:val="001041E7"/>
    <w:rsid w:val="00110419"/>
    <w:rsid w:val="00110665"/>
    <w:rsid w:val="0011126E"/>
    <w:rsid w:val="00116AE4"/>
    <w:rsid w:val="00117CA1"/>
    <w:rsid w:val="00124F46"/>
    <w:rsid w:val="00125FDB"/>
    <w:rsid w:val="00134C25"/>
    <w:rsid w:val="0013659B"/>
    <w:rsid w:val="001418CD"/>
    <w:rsid w:val="001421FE"/>
    <w:rsid w:val="00152104"/>
    <w:rsid w:val="0015279C"/>
    <w:rsid w:val="00152B1C"/>
    <w:rsid w:val="00160349"/>
    <w:rsid w:val="001603EF"/>
    <w:rsid w:val="001618EF"/>
    <w:rsid w:val="001624C4"/>
    <w:rsid w:val="001641DC"/>
    <w:rsid w:val="00164370"/>
    <w:rsid w:val="001654CD"/>
    <w:rsid w:val="001656CC"/>
    <w:rsid w:val="00167548"/>
    <w:rsid w:val="00167E73"/>
    <w:rsid w:val="00171756"/>
    <w:rsid w:val="001723AA"/>
    <w:rsid w:val="00172951"/>
    <w:rsid w:val="00172A48"/>
    <w:rsid w:val="00175636"/>
    <w:rsid w:val="001762F4"/>
    <w:rsid w:val="00177E64"/>
    <w:rsid w:val="00180799"/>
    <w:rsid w:val="00180A9B"/>
    <w:rsid w:val="001846BB"/>
    <w:rsid w:val="00185F71"/>
    <w:rsid w:val="00194D56"/>
    <w:rsid w:val="00195226"/>
    <w:rsid w:val="001A3911"/>
    <w:rsid w:val="001A5804"/>
    <w:rsid w:val="001A680C"/>
    <w:rsid w:val="001A7C13"/>
    <w:rsid w:val="001B5421"/>
    <w:rsid w:val="001B7B64"/>
    <w:rsid w:val="001C01BE"/>
    <w:rsid w:val="001C1B15"/>
    <w:rsid w:val="001C2D09"/>
    <w:rsid w:val="001C2E98"/>
    <w:rsid w:val="001C2FF0"/>
    <w:rsid w:val="001C3DA0"/>
    <w:rsid w:val="001C426A"/>
    <w:rsid w:val="001C482F"/>
    <w:rsid w:val="001C7DB2"/>
    <w:rsid w:val="001D038E"/>
    <w:rsid w:val="001D47AD"/>
    <w:rsid w:val="001D55C5"/>
    <w:rsid w:val="001D5668"/>
    <w:rsid w:val="001E252D"/>
    <w:rsid w:val="001E2F2A"/>
    <w:rsid w:val="001E32DF"/>
    <w:rsid w:val="001E3406"/>
    <w:rsid w:val="001F38D7"/>
    <w:rsid w:val="001F3B56"/>
    <w:rsid w:val="001F441A"/>
    <w:rsid w:val="0020239B"/>
    <w:rsid w:val="002059BA"/>
    <w:rsid w:val="00205F80"/>
    <w:rsid w:val="00210FA3"/>
    <w:rsid w:val="0021305C"/>
    <w:rsid w:val="00213EAB"/>
    <w:rsid w:val="00217271"/>
    <w:rsid w:val="0022051E"/>
    <w:rsid w:val="00220CE6"/>
    <w:rsid w:val="00222118"/>
    <w:rsid w:val="00222468"/>
    <w:rsid w:val="002267E3"/>
    <w:rsid w:val="00231AB1"/>
    <w:rsid w:val="00232A16"/>
    <w:rsid w:val="00233335"/>
    <w:rsid w:val="0024045F"/>
    <w:rsid w:val="00240A75"/>
    <w:rsid w:val="0024189A"/>
    <w:rsid w:val="00242A04"/>
    <w:rsid w:val="00250CC6"/>
    <w:rsid w:val="00251580"/>
    <w:rsid w:val="00257F01"/>
    <w:rsid w:val="002616CF"/>
    <w:rsid w:val="00263733"/>
    <w:rsid w:val="00264677"/>
    <w:rsid w:val="00265C31"/>
    <w:rsid w:val="00266F9C"/>
    <w:rsid w:val="00271AB6"/>
    <w:rsid w:val="00274C5B"/>
    <w:rsid w:val="002752CD"/>
    <w:rsid w:val="00280FF6"/>
    <w:rsid w:val="00285330"/>
    <w:rsid w:val="00286DE0"/>
    <w:rsid w:val="00291499"/>
    <w:rsid w:val="002917E3"/>
    <w:rsid w:val="00291C72"/>
    <w:rsid w:val="00292D05"/>
    <w:rsid w:val="00297342"/>
    <w:rsid w:val="002A06BA"/>
    <w:rsid w:val="002A113E"/>
    <w:rsid w:val="002A2235"/>
    <w:rsid w:val="002A64F2"/>
    <w:rsid w:val="002B25AB"/>
    <w:rsid w:val="002B338E"/>
    <w:rsid w:val="002B6766"/>
    <w:rsid w:val="002C2285"/>
    <w:rsid w:val="002C3A90"/>
    <w:rsid w:val="002D019D"/>
    <w:rsid w:val="002D11A9"/>
    <w:rsid w:val="002D1A48"/>
    <w:rsid w:val="002D1C95"/>
    <w:rsid w:val="002D3349"/>
    <w:rsid w:val="002D33E8"/>
    <w:rsid w:val="002D4E65"/>
    <w:rsid w:val="002D638C"/>
    <w:rsid w:val="002D6703"/>
    <w:rsid w:val="002D68BB"/>
    <w:rsid w:val="002E03CF"/>
    <w:rsid w:val="002E0EA6"/>
    <w:rsid w:val="002E38A7"/>
    <w:rsid w:val="002E539B"/>
    <w:rsid w:val="002E59F5"/>
    <w:rsid w:val="002F0EEA"/>
    <w:rsid w:val="002F1419"/>
    <w:rsid w:val="002F1457"/>
    <w:rsid w:val="002F20A7"/>
    <w:rsid w:val="002F20B5"/>
    <w:rsid w:val="002F608A"/>
    <w:rsid w:val="003004F3"/>
    <w:rsid w:val="00313D83"/>
    <w:rsid w:val="00316776"/>
    <w:rsid w:val="003223F2"/>
    <w:rsid w:val="00322A0D"/>
    <w:rsid w:val="00322CDE"/>
    <w:rsid w:val="003235C8"/>
    <w:rsid w:val="00327C8D"/>
    <w:rsid w:val="00333980"/>
    <w:rsid w:val="00333C4D"/>
    <w:rsid w:val="00333FF1"/>
    <w:rsid w:val="00334002"/>
    <w:rsid w:val="00335E83"/>
    <w:rsid w:val="00343773"/>
    <w:rsid w:val="00344BDC"/>
    <w:rsid w:val="00344EDD"/>
    <w:rsid w:val="00345A4A"/>
    <w:rsid w:val="00345D80"/>
    <w:rsid w:val="00351607"/>
    <w:rsid w:val="003530A3"/>
    <w:rsid w:val="003543E8"/>
    <w:rsid w:val="00354F1D"/>
    <w:rsid w:val="00355B45"/>
    <w:rsid w:val="00356156"/>
    <w:rsid w:val="00360A3F"/>
    <w:rsid w:val="00362333"/>
    <w:rsid w:val="00362920"/>
    <w:rsid w:val="0036440D"/>
    <w:rsid w:val="00364C07"/>
    <w:rsid w:val="0036731C"/>
    <w:rsid w:val="003709B2"/>
    <w:rsid w:val="00372E00"/>
    <w:rsid w:val="00377C52"/>
    <w:rsid w:val="00377CB0"/>
    <w:rsid w:val="00381E67"/>
    <w:rsid w:val="00382750"/>
    <w:rsid w:val="00384B6D"/>
    <w:rsid w:val="0038743B"/>
    <w:rsid w:val="003924E8"/>
    <w:rsid w:val="00395E1F"/>
    <w:rsid w:val="0039652C"/>
    <w:rsid w:val="00397058"/>
    <w:rsid w:val="003A34C1"/>
    <w:rsid w:val="003A4334"/>
    <w:rsid w:val="003A7CBD"/>
    <w:rsid w:val="003B0F00"/>
    <w:rsid w:val="003B1418"/>
    <w:rsid w:val="003B2291"/>
    <w:rsid w:val="003B4A9A"/>
    <w:rsid w:val="003B6969"/>
    <w:rsid w:val="003C05E1"/>
    <w:rsid w:val="003C54ED"/>
    <w:rsid w:val="003C5564"/>
    <w:rsid w:val="003D1456"/>
    <w:rsid w:val="003D3563"/>
    <w:rsid w:val="003D5F89"/>
    <w:rsid w:val="003D6483"/>
    <w:rsid w:val="003D7E7F"/>
    <w:rsid w:val="003E1E60"/>
    <w:rsid w:val="003E7520"/>
    <w:rsid w:val="003F5C18"/>
    <w:rsid w:val="003F6189"/>
    <w:rsid w:val="003F69BC"/>
    <w:rsid w:val="003F7572"/>
    <w:rsid w:val="00402760"/>
    <w:rsid w:val="00403930"/>
    <w:rsid w:val="004040B9"/>
    <w:rsid w:val="0040510D"/>
    <w:rsid w:val="00410D73"/>
    <w:rsid w:val="004121EE"/>
    <w:rsid w:val="0041471D"/>
    <w:rsid w:val="004158D6"/>
    <w:rsid w:val="0042564C"/>
    <w:rsid w:val="004277F3"/>
    <w:rsid w:val="0043343C"/>
    <w:rsid w:val="0043372F"/>
    <w:rsid w:val="0043449E"/>
    <w:rsid w:val="004352D2"/>
    <w:rsid w:val="00436B59"/>
    <w:rsid w:val="00436F3A"/>
    <w:rsid w:val="00440E40"/>
    <w:rsid w:val="004413CD"/>
    <w:rsid w:val="0044258D"/>
    <w:rsid w:val="00443A60"/>
    <w:rsid w:val="00444B1D"/>
    <w:rsid w:val="00444B3C"/>
    <w:rsid w:val="00444E8E"/>
    <w:rsid w:val="00450B96"/>
    <w:rsid w:val="00453B38"/>
    <w:rsid w:val="0045581D"/>
    <w:rsid w:val="00457F37"/>
    <w:rsid w:val="00463130"/>
    <w:rsid w:val="00464365"/>
    <w:rsid w:val="004655B7"/>
    <w:rsid w:val="00466097"/>
    <w:rsid w:val="00466C60"/>
    <w:rsid w:val="0046701C"/>
    <w:rsid w:val="004670FD"/>
    <w:rsid w:val="0047238C"/>
    <w:rsid w:val="00473F99"/>
    <w:rsid w:val="0047515D"/>
    <w:rsid w:val="0048002A"/>
    <w:rsid w:val="00481A79"/>
    <w:rsid w:val="0048364F"/>
    <w:rsid w:val="0048465E"/>
    <w:rsid w:val="004848D1"/>
    <w:rsid w:val="00485BD0"/>
    <w:rsid w:val="004862B9"/>
    <w:rsid w:val="00486B51"/>
    <w:rsid w:val="00487152"/>
    <w:rsid w:val="00487A44"/>
    <w:rsid w:val="0049045F"/>
    <w:rsid w:val="00491DEB"/>
    <w:rsid w:val="00492E40"/>
    <w:rsid w:val="004A10BC"/>
    <w:rsid w:val="004B0549"/>
    <w:rsid w:val="004B1E9E"/>
    <w:rsid w:val="004B250F"/>
    <w:rsid w:val="004B28F9"/>
    <w:rsid w:val="004B484B"/>
    <w:rsid w:val="004B4D60"/>
    <w:rsid w:val="004B53E2"/>
    <w:rsid w:val="004B59DA"/>
    <w:rsid w:val="004B78C6"/>
    <w:rsid w:val="004B7E79"/>
    <w:rsid w:val="004C0D1E"/>
    <w:rsid w:val="004C1CC5"/>
    <w:rsid w:val="004C27F9"/>
    <w:rsid w:val="004C6B2B"/>
    <w:rsid w:val="004C7503"/>
    <w:rsid w:val="004C7B52"/>
    <w:rsid w:val="004C7E01"/>
    <w:rsid w:val="004D075E"/>
    <w:rsid w:val="004D2A39"/>
    <w:rsid w:val="004D3152"/>
    <w:rsid w:val="004D5AC1"/>
    <w:rsid w:val="004D5CF5"/>
    <w:rsid w:val="004D6DB2"/>
    <w:rsid w:val="004D7783"/>
    <w:rsid w:val="004D7E25"/>
    <w:rsid w:val="004D7F28"/>
    <w:rsid w:val="004E01F6"/>
    <w:rsid w:val="004E0E5B"/>
    <w:rsid w:val="004E29E3"/>
    <w:rsid w:val="004E7BDE"/>
    <w:rsid w:val="004F154C"/>
    <w:rsid w:val="004F1607"/>
    <w:rsid w:val="004F1964"/>
    <w:rsid w:val="004F1CF1"/>
    <w:rsid w:val="004F25C0"/>
    <w:rsid w:val="004F7270"/>
    <w:rsid w:val="004F7ABA"/>
    <w:rsid w:val="0050023D"/>
    <w:rsid w:val="0050288C"/>
    <w:rsid w:val="0050451B"/>
    <w:rsid w:val="0050470E"/>
    <w:rsid w:val="00506D21"/>
    <w:rsid w:val="0050709D"/>
    <w:rsid w:val="005144E3"/>
    <w:rsid w:val="00515088"/>
    <w:rsid w:val="0052019E"/>
    <w:rsid w:val="005206BA"/>
    <w:rsid w:val="00520EA9"/>
    <w:rsid w:val="0053336F"/>
    <w:rsid w:val="00533AA9"/>
    <w:rsid w:val="005346ED"/>
    <w:rsid w:val="00535ED5"/>
    <w:rsid w:val="0053681E"/>
    <w:rsid w:val="005426F5"/>
    <w:rsid w:val="005433BE"/>
    <w:rsid w:val="00545742"/>
    <w:rsid w:val="00545FDC"/>
    <w:rsid w:val="00546BB3"/>
    <w:rsid w:val="005532E5"/>
    <w:rsid w:val="00555689"/>
    <w:rsid w:val="00556639"/>
    <w:rsid w:val="00560CC1"/>
    <w:rsid w:val="0056155E"/>
    <w:rsid w:val="00563091"/>
    <w:rsid w:val="00570C03"/>
    <w:rsid w:val="00574384"/>
    <w:rsid w:val="00581170"/>
    <w:rsid w:val="00581D5D"/>
    <w:rsid w:val="00584C41"/>
    <w:rsid w:val="00584F2C"/>
    <w:rsid w:val="0059257E"/>
    <w:rsid w:val="00594D10"/>
    <w:rsid w:val="00595574"/>
    <w:rsid w:val="005956AA"/>
    <w:rsid w:val="00597208"/>
    <w:rsid w:val="005A249E"/>
    <w:rsid w:val="005A3266"/>
    <w:rsid w:val="005A3959"/>
    <w:rsid w:val="005A3D0B"/>
    <w:rsid w:val="005A400D"/>
    <w:rsid w:val="005A4F66"/>
    <w:rsid w:val="005A5496"/>
    <w:rsid w:val="005A76D0"/>
    <w:rsid w:val="005A7EB2"/>
    <w:rsid w:val="005B076E"/>
    <w:rsid w:val="005B19BB"/>
    <w:rsid w:val="005B1B89"/>
    <w:rsid w:val="005B2344"/>
    <w:rsid w:val="005B25B6"/>
    <w:rsid w:val="005B2E32"/>
    <w:rsid w:val="005B51DA"/>
    <w:rsid w:val="005B65AE"/>
    <w:rsid w:val="005B7779"/>
    <w:rsid w:val="005C1223"/>
    <w:rsid w:val="005C13D3"/>
    <w:rsid w:val="005C3DA2"/>
    <w:rsid w:val="005C4EB2"/>
    <w:rsid w:val="005D1768"/>
    <w:rsid w:val="005D2492"/>
    <w:rsid w:val="005D3D19"/>
    <w:rsid w:val="005D59A7"/>
    <w:rsid w:val="005E1B7D"/>
    <w:rsid w:val="005E24FB"/>
    <w:rsid w:val="005E3641"/>
    <w:rsid w:val="005E42AD"/>
    <w:rsid w:val="005E4CDF"/>
    <w:rsid w:val="005E5F72"/>
    <w:rsid w:val="005E6A87"/>
    <w:rsid w:val="005F2661"/>
    <w:rsid w:val="005F4381"/>
    <w:rsid w:val="005F48DB"/>
    <w:rsid w:val="005F5AF5"/>
    <w:rsid w:val="005F70FC"/>
    <w:rsid w:val="005F7345"/>
    <w:rsid w:val="00601B8A"/>
    <w:rsid w:val="00602907"/>
    <w:rsid w:val="006052B6"/>
    <w:rsid w:val="0061026F"/>
    <w:rsid w:val="00616CCD"/>
    <w:rsid w:val="00621F2E"/>
    <w:rsid w:val="0062589E"/>
    <w:rsid w:val="00625A3C"/>
    <w:rsid w:val="00625E98"/>
    <w:rsid w:val="00626E7A"/>
    <w:rsid w:val="006272BA"/>
    <w:rsid w:val="00633F98"/>
    <w:rsid w:val="00634932"/>
    <w:rsid w:val="006447D8"/>
    <w:rsid w:val="00644F28"/>
    <w:rsid w:val="00646FBB"/>
    <w:rsid w:val="0065187E"/>
    <w:rsid w:val="00655684"/>
    <w:rsid w:val="00655E8D"/>
    <w:rsid w:val="00660743"/>
    <w:rsid w:val="00661A1D"/>
    <w:rsid w:val="00663189"/>
    <w:rsid w:val="00664639"/>
    <w:rsid w:val="00665475"/>
    <w:rsid w:val="00667BBF"/>
    <w:rsid w:val="006731F3"/>
    <w:rsid w:val="00676B85"/>
    <w:rsid w:val="0068067D"/>
    <w:rsid w:val="00681E12"/>
    <w:rsid w:val="00685A20"/>
    <w:rsid w:val="00686195"/>
    <w:rsid w:val="00687F77"/>
    <w:rsid w:val="00687FAF"/>
    <w:rsid w:val="00694E3F"/>
    <w:rsid w:val="0069634B"/>
    <w:rsid w:val="0069637E"/>
    <w:rsid w:val="006A1FAE"/>
    <w:rsid w:val="006A2752"/>
    <w:rsid w:val="006A2AF0"/>
    <w:rsid w:val="006A6532"/>
    <w:rsid w:val="006A7DC3"/>
    <w:rsid w:val="006B1075"/>
    <w:rsid w:val="006B366F"/>
    <w:rsid w:val="006B4D08"/>
    <w:rsid w:val="006B51C2"/>
    <w:rsid w:val="006C0B2D"/>
    <w:rsid w:val="006C10F3"/>
    <w:rsid w:val="006C2E76"/>
    <w:rsid w:val="006C41A4"/>
    <w:rsid w:val="006C4D98"/>
    <w:rsid w:val="006C54C9"/>
    <w:rsid w:val="006C74C3"/>
    <w:rsid w:val="006C74D7"/>
    <w:rsid w:val="006D2973"/>
    <w:rsid w:val="006D38FF"/>
    <w:rsid w:val="006D5422"/>
    <w:rsid w:val="006E35DF"/>
    <w:rsid w:val="006E5511"/>
    <w:rsid w:val="006E6AA3"/>
    <w:rsid w:val="006E7C5B"/>
    <w:rsid w:val="006F1837"/>
    <w:rsid w:val="006F3CD1"/>
    <w:rsid w:val="006F4E00"/>
    <w:rsid w:val="00701E8F"/>
    <w:rsid w:val="0070272D"/>
    <w:rsid w:val="00703A9A"/>
    <w:rsid w:val="00703D81"/>
    <w:rsid w:val="00704C25"/>
    <w:rsid w:val="00705F1D"/>
    <w:rsid w:val="00706AC7"/>
    <w:rsid w:val="00707214"/>
    <w:rsid w:val="00711248"/>
    <w:rsid w:val="00713A6D"/>
    <w:rsid w:val="00714B91"/>
    <w:rsid w:val="0071759B"/>
    <w:rsid w:val="00717602"/>
    <w:rsid w:val="00717B72"/>
    <w:rsid w:val="007239AC"/>
    <w:rsid w:val="00723E95"/>
    <w:rsid w:val="0072501F"/>
    <w:rsid w:val="00725275"/>
    <w:rsid w:val="00725411"/>
    <w:rsid w:val="007270C8"/>
    <w:rsid w:val="00730F61"/>
    <w:rsid w:val="00733953"/>
    <w:rsid w:val="00736364"/>
    <w:rsid w:val="0073642B"/>
    <w:rsid w:val="007365C5"/>
    <w:rsid w:val="0073682E"/>
    <w:rsid w:val="00740AB1"/>
    <w:rsid w:val="00745357"/>
    <w:rsid w:val="0074573E"/>
    <w:rsid w:val="00745C19"/>
    <w:rsid w:val="00747729"/>
    <w:rsid w:val="007507AF"/>
    <w:rsid w:val="00750F2F"/>
    <w:rsid w:val="00754496"/>
    <w:rsid w:val="00764F11"/>
    <w:rsid w:val="0076684E"/>
    <w:rsid w:val="00766937"/>
    <w:rsid w:val="00766A58"/>
    <w:rsid w:val="00773957"/>
    <w:rsid w:val="00773B98"/>
    <w:rsid w:val="007745B7"/>
    <w:rsid w:val="007764F4"/>
    <w:rsid w:val="00776AB8"/>
    <w:rsid w:val="00781550"/>
    <w:rsid w:val="007822A3"/>
    <w:rsid w:val="00784FE2"/>
    <w:rsid w:val="00785011"/>
    <w:rsid w:val="00785B37"/>
    <w:rsid w:val="00790119"/>
    <w:rsid w:val="007905CF"/>
    <w:rsid w:val="00790B4E"/>
    <w:rsid w:val="00793616"/>
    <w:rsid w:val="00794183"/>
    <w:rsid w:val="00795AA3"/>
    <w:rsid w:val="007969DC"/>
    <w:rsid w:val="00797AF9"/>
    <w:rsid w:val="00797DEA"/>
    <w:rsid w:val="007A0C68"/>
    <w:rsid w:val="007A31DC"/>
    <w:rsid w:val="007A55D4"/>
    <w:rsid w:val="007B0E69"/>
    <w:rsid w:val="007B1E8D"/>
    <w:rsid w:val="007B29E4"/>
    <w:rsid w:val="007B3A5C"/>
    <w:rsid w:val="007B5C56"/>
    <w:rsid w:val="007C1F01"/>
    <w:rsid w:val="007C22B7"/>
    <w:rsid w:val="007C29B8"/>
    <w:rsid w:val="007C428F"/>
    <w:rsid w:val="007C62EE"/>
    <w:rsid w:val="007D39B9"/>
    <w:rsid w:val="007D58CE"/>
    <w:rsid w:val="007D7D94"/>
    <w:rsid w:val="007E3985"/>
    <w:rsid w:val="007E4447"/>
    <w:rsid w:val="007F4183"/>
    <w:rsid w:val="007F4785"/>
    <w:rsid w:val="007F7F8F"/>
    <w:rsid w:val="007F7FF6"/>
    <w:rsid w:val="008022F1"/>
    <w:rsid w:val="00802902"/>
    <w:rsid w:val="00802EEF"/>
    <w:rsid w:val="00806D31"/>
    <w:rsid w:val="00810AE7"/>
    <w:rsid w:val="008120F4"/>
    <w:rsid w:val="00812521"/>
    <w:rsid w:val="00816A01"/>
    <w:rsid w:val="008173B3"/>
    <w:rsid w:val="00817E2A"/>
    <w:rsid w:val="008200D7"/>
    <w:rsid w:val="008239B0"/>
    <w:rsid w:val="00824BD7"/>
    <w:rsid w:val="00831B04"/>
    <w:rsid w:val="008323F4"/>
    <w:rsid w:val="008357E5"/>
    <w:rsid w:val="008364C6"/>
    <w:rsid w:val="00836D37"/>
    <w:rsid w:val="0083758C"/>
    <w:rsid w:val="00837A68"/>
    <w:rsid w:val="00840269"/>
    <w:rsid w:val="00840C1E"/>
    <w:rsid w:val="008432FD"/>
    <w:rsid w:val="00843CD6"/>
    <w:rsid w:val="00844D37"/>
    <w:rsid w:val="00847EE2"/>
    <w:rsid w:val="00852494"/>
    <w:rsid w:val="00854E14"/>
    <w:rsid w:val="00855C53"/>
    <w:rsid w:val="00856201"/>
    <w:rsid w:val="00861DC2"/>
    <w:rsid w:val="0086333D"/>
    <w:rsid w:val="00863EE1"/>
    <w:rsid w:val="00864B2B"/>
    <w:rsid w:val="00866982"/>
    <w:rsid w:val="00875CA4"/>
    <w:rsid w:val="00875D32"/>
    <w:rsid w:val="00875F77"/>
    <w:rsid w:val="008804AB"/>
    <w:rsid w:val="008806D9"/>
    <w:rsid w:val="0088301D"/>
    <w:rsid w:val="00883E09"/>
    <w:rsid w:val="008849D8"/>
    <w:rsid w:val="00886510"/>
    <w:rsid w:val="00887763"/>
    <w:rsid w:val="00890400"/>
    <w:rsid w:val="0089176E"/>
    <w:rsid w:val="00894F92"/>
    <w:rsid w:val="0089666A"/>
    <w:rsid w:val="008A09DC"/>
    <w:rsid w:val="008A2025"/>
    <w:rsid w:val="008A2744"/>
    <w:rsid w:val="008A2AD6"/>
    <w:rsid w:val="008A2AF8"/>
    <w:rsid w:val="008A3CF5"/>
    <w:rsid w:val="008A4734"/>
    <w:rsid w:val="008A5ED9"/>
    <w:rsid w:val="008A6100"/>
    <w:rsid w:val="008A69EA"/>
    <w:rsid w:val="008A7D25"/>
    <w:rsid w:val="008B04DC"/>
    <w:rsid w:val="008B0F36"/>
    <w:rsid w:val="008B2727"/>
    <w:rsid w:val="008B4C77"/>
    <w:rsid w:val="008B5953"/>
    <w:rsid w:val="008C140C"/>
    <w:rsid w:val="008C2AA8"/>
    <w:rsid w:val="008C391A"/>
    <w:rsid w:val="008D036F"/>
    <w:rsid w:val="008D1B67"/>
    <w:rsid w:val="008D26C5"/>
    <w:rsid w:val="008D5F2C"/>
    <w:rsid w:val="008D6BF2"/>
    <w:rsid w:val="008D7382"/>
    <w:rsid w:val="008E18C4"/>
    <w:rsid w:val="008E1DF8"/>
    <w:rsid w:val="008E25FD"/>
    <w:rsid w:val="008E2625"/>
    <w:rsid w:val="008E342C"/>
    <w:rsid w:val="008E7947"/>
    <w:rsid w:val="008F160E"/>
    <w:rsid w:val="008F16AD"/>
    <w:rsid w:val="008F2772"/>
    <w:rsid w:val="008F29D2"/>
    <w:rsid w:val="008F4D56"/>
    <w:rsid w:val="0090098E"/>
    <w:rsid w:val="0090102E"/>
    <w:rsid w:val="009031D3"/>
    <w:rsid w:val="009071FF"/>
    <w:rsid w:val="00910B36"/>
    <w:rsid w:val="00911494"/>
    <w:rsid w:val="0091232D"/>
    <w:rsid w:val="009139AE"/>
    <w:rsid w:val="00914DEE"/>
    <w:rsid w:val="009157BC"/>
    <w:rsid w:val="00916122"/>
    <w:rsid w:val="00916986"/>
    <w:rsid w:val="00917142"/>
    <w:rsid w:val="0091720A"/>
    <w:rsid w:val="009173BC"/>
    <w:rsid w:val="00917C97"/>
    <w:rsid w:val="00920785"/>
    <w:rsid w:val="00921E2A"/>
    <w:rsid w:val="00922314"/>
    <w:rsid w:val="00922FF0"/>
    <w:rsid w:val="00931406"/>
    <w:rsid w:val="0093756B"/>
    <w:rsid w:val="009400C2"/>
    <w:rsid w:val="009434F8"/>
    <w:rsid w:val="009462FA"/>
    <w:rsid w:val="009505DD"/>
    <w:rsid w:val="00955905"/>
    <w:rsid w:val="00955EBF"/>
    <w:rsid w:val="00957F3D"/>
    <w:rsid w:val="00962E14"/>
    <w:rsid w:val="0096761A"/>
    <w:rsid w:val="009705B3"/>
    <w:rsid w:val="00971016"/>
    <w:rsid w:val="00972BEC"/>
    <w:rsid w:val="009737DA"/>
    <w:rsid w:val="009748C1"/>
    <w:rsid w:val="00975E1E"/>
    <w:rsid w:val="0098045D"/>
    <w:rsid w:val="009813A6"/>
    <w:rsid w:val="00985460"/>
    <w:rsid w:val="00986198"/>
    <w:rsid w:val="0099046D"/>
    <w:rsid w:val="00996AB0"/>
    <w:rsid w:val="009A3B11"/>
    <w:rsid w:val="009A6165"/>
    <w:rsid w:val="009B170B"/>
    <w:rsid w:val="009B52FF"/>
    <w:rsid w:val="009B69C0"/>
    <w:rsid w:val="009B7B1F"/>
    <w:rsid w:val="009C2244"/>
    <w:rsid w:val="009C3C7B"/>
    <w:rsid w:val="009C43E5"/>
    <w:rsid w:val="009D1181"/>
    <w:rsid w:val="009D1585"/>
    <w:rsid w:val="009D1C20"/>
    <w:rsid w:val="009D1D31"/>
    <w:rsid w:val="009D6C7E"/>
    <w:rsid w:val="009E0C57"/>
    <w:rsid w:val="009E1886"/>
    <w:rsid w:val="009E2CE9"/>
    <w:rsid w:val="009E4604"/>
    <w:rsid w:val="009E468F"/>
    <w:rsid w:val="009F1183"/>
    <w:rsid w:val="009F1514"/>
    <w:rsid w:val="009F2F7B"/>
    <w:rsid w:val="009F44B4"/>
    <w:rsid w:val="009F4758"/>
    <w:rsid w:val="009F535E"/>
    <w:rsid w:val="009F589F"/>
    <w:rsid w:val="009F7119"/>
    <w:rsid w:val="009F73D2"/>
    <w:rsid w:val="009F7C4D"/>
    <w:rsid w:val="00A00401"/>
    <w:rsid w:val="00A043DE"/>
    <w:rsid w:val="00A05BAE"/>
    <w:rsid w:val="00A11618"/>
    <w:rsid w:val="00A12ADA"/>
    <w:rsid w:val="00A1327B"/>
    <w:rsid w:val="00A145E1"/>
    <w:rsid w:val="00A14CF4"/>
    <w:rsid w:val="00A1570C"/>
    <w:rsid w:val="00A15C4F"/>
    <w:rsid w:val="00A16E60"/>
    <w:rsid w:val="00A23560"/>
    <w:rsid w:val="00A23D85"/>
    <w:rsid w:val="00A2724A"/>
    <w:rsid w:val="00A27924"/>
    <w:rsid w:val="00A36121"/>
    <w:rsid w:val="00A37197"/>
    <w:rsid w:val="00A37539"/>
    <w:rsid w:val="00A40353"/>
    <w:rsid w:val="00A40B26"/>
    <w:rsid w:val="00A40B4C"/>
    <w:rsid w:val="00A40E05"/>
    <w:rsid w:val="00A41647"/>
    <w:rsid w:val="00A42786"/>
    <w:rsid w:val="00A432F8"/>
    <w:rsid w:val="00A45E81"/>
    <w:rsid w:val="00A51842"/>
    <w:rsid w:val="00A52B66"/>
    <w:rsid w:val="00A564F0"/>
    <w:rsid w:val="00A60347"/>
    <w:rsid w:val="00A6181A"/>
    <w:rsid w:val="00A62487"/>
    <w:rsid w:val="00A63AF0"/>
    <w:rsid w:val="00A63F47"/>
    <w:rsid w:val="00A646EC"/>
    <w:rsid w:val="00A65000"/>
    <w:rsid w:val="00A66488"/>
    <w:rsid w:val="00A67E70"/>
    <w:rsid w:val="00A70534"/>
    <w:rsid w:val="00A71888"/>
    <w:rsid w:val="00A73A46"/>
    <w:rsid w:val="00A74A2B"/>
    <w:rsid w:val="00A7525C"/>
    <w:rsid w:val="00A76C20"/>
    <w:rsid w:val="00A77B25"/>
    <w:rsid w:val="00A82431"/>
    <w:rsid w:val="00A83153"/>
    <w:rsid w:val="00A8785A"/>
    <w:rsid w:val="00A90432"/>
    <w:rsid w:val="00A90611"/>
    <w:rsid w:val="00A9090D"/>
    <w:rsid w:val="00A91782"/>
    <w:rsid w:val="00A92D32"/>
    <w:rsid w:val="00A92EC2"/>
    <w:rsid w:val="00AA10FE"/>
    <w:rsid w:val="00AA4673"/>
    <w:rsid w:val="00AA4970"/>
    <w:rsid w:val="00AA6140"/>
    <w:rsid w:val="00AA6E91"/>
    <w:rsid w:val="00AA774F"/>
    <w:rsid w:val="00AB045E"/>
    <w:rsid w:val="00AB0DB7"/>
    <w:rsid w:val="00AB0E27"/>
    <w:rsid w:val="00AB2EFD"/>
    <w:rsid w:val="00AB3EFD"/>
    <w:rsid w:val="00AB4755"/>
    <w:rsid w:val="00AB4F83"/>
    <w:rsid w:val="00AB7439"/>
    <w:rsid w:val="00AC0351"/>
    <w:rsid w:val="00AC24D4"/>
    <w:rsid w:val="00AC3C9E"/>
    <w:rsid w:val="00AC3F5D"/>
    <w:rsid w:val="00AC46F5"/>
    <w:rsid w:val="00AC4F32"/>
    <w:rsid w:val="00AC74FF"/>
    <w:rsid w:val="00AC7D37"/>
    <w:rsid w:val="00AD0603"/>
    <w:rsid w:val="00AD11DA"/>
    <w:rsid w:val="00AD191A"/>
    <w:rsid w:val="00AD2996"/>
    <w:rsid w:val="00AD4B04"/>
    <w:rsid w:val="00AD5DDB"/>
    <w:rsid w:val="00AD71FF"/>
    <w:rsid w:val="00AD783C"/>
    <w:rsid w:val="00AD7BAB"/>
    <w:rsid w:val="00AE1FA7"/>
    <w:rsid w:val="00AE6B9C"/>
    <w:rsid w:val="00AF62C2"/>
    <w:rsid w:val="00AF6F2B"/>
    <w:rsid w:val="00B00D76"/>
    <w:rsid w:val="00B0235B"/>
    <w:rsid w:val="00B03D10"/>
    <w:rsid w:val="00B05050"/>
    <w:rsid w:val="00B05FDA"/>
    <w:rsid w:val="00B102D0"/>
    <w:rsid w:val="00B10506"/>
    <w:rsid w:val="00B146C0"/>
    <w:rsid w:val="00B15810"/>
    <w:rsid w:val="00B16420"/>
    <w:rsid w:val="00B254CA"/>
    <w:rsid w:val="00B32BC6"/>
    <w:rsid w:val="00B32E4E"/>
    <w:rsid w:val="00B3377E"/>
    <w:rsid w:val="00B34014"/>
    <w:rsid w:val="00B344E2"/>
    <w:rsid w:val="00B4152E"/>
    <w:rsid w:val="00B43F32"/>
    <w:rsid w:val="00B4456F"/>
    <w:rsid w:val="00B53190"/>
    <w:rsid w:val="00B5432A"/>
    <w:rsid w:val="00B554E2"/>
    <w:rsid w:val="00B601A0"/>
    <w:rsid w:val="00B61F61"/>
    <w:rsid w:val="00B627EA"/>
    <w:rsid w:val="00B62EC9"/>
    <w:rsid w:val="00B63BBC"/>
    <w:rsid w:val="00B64D6C"/>
    <w:rsid w:val="00B71861"/>
    <w:rsid w:val="00B74CCD"/>
    <w:rsid w:val="00B802A8"/>
    <w:rsid w:val="00B828C8"/>
    <w:rsid w:val="00B90CF8"/>
    <w:rsid w:val="00B91290"/>
    <w:rsid w:val="00B91986"/>
    <w:rsid w:val="00B91DC7"/>
    <w:rsid w:val="00B96E4F"/>
    <w:rsid w:val="00BA6451"/>
    <w:rsid w:val="00BA688E"/>
    <w:rsid w:val="00BA68CA"/>
    <w:rsid w:val="00BB3408"/>
    <w:rsid w:val="00BB4052"/>
    <w:rsid w:val="00BB46BB"/>
    <w:rsid w:val="00BB5045"/>
    <w:rsid w:val="00BB5DCC"/>
    <w:rsid w:val="00BB7979"/>
    <w:rsid w:val="00BB7B8C"/>
    <w:rsid w:val="00BC5AEB"/>
    <w:rsid w:val="00BC6A9A"/>
    <w:rsid w:val="00BC7341"/>
    <w:rsid w:val="00BC78DA"/>
    <w:rsid w:val="00BD0DA0"/>
    <w:rsid w:val="00BD17E4"/>
    <w:rsid w:val="00BD4333"/>
    <w:rsid w:val="00BD507A"/>
    <w:rsid w:val="00BD624D"/>
    <w:rsid w:val="00BE07E2"/>
    <w:rsid w:val="00BE0E69"/>
    <w:rsid w:val="00BE2447"/>
    <w:rsid w:val="00BE2AD6"/>
    <w:rsid w:val="00BE5146"/>
    <w:rsid w:val="00BE609B"/>
    <w:rsid w:val="00BF00BC"/>
    <w:rsid w:val="00BF0DB3"/>
    <w:rsid w:val="00BF10E4"/>
    <w:rsid w:val="00BF1C82"/>
    <w:rsid w:val="00BF20DB"/>
    <w:rsid w:val="00BF2A76"/>
    <w:rsid w:val="00BF2F3B"/>
    <w:rsid w:val="00BF4225"/>
    <w:rsid w:val="00BF5F2F"/>
    <w:rsid w:val="00C00BB4"/>
    <w:rsid w:val="00C05DEE"/>
    <w:rsid w:val="00C11026"/>
    <w:rsid w:val="00C1168C"/>
    <w:rsid w:val="00C11E95"/>
    <w:rsid w:val="00C1324B"/>
    <w:rsid w:val="00C144E4"/>
    <w:rsid w:val="00C146B6"/>
    <w:rsid w:val="00C14A6F"/>
    <w:rsid w:val="00C15312"/>
    <w:rsid w:val="00C2122A"/>
    <w:rsid w:val="00C2376A"/>
    <w:rsid w:val="00C23A5B"/>
    <w:rsid w:val="00C25807"/>
    <w:rsid w:val="00C26FE5"/>
    <w:rsid w:val="00C31B82"/>
    <w:rsid w:val="00C335F7"/>
    <w:rsid w:val="00C343A2"/>
    <w:rsid w:val="00C34D41"/>
    <w:rsid w:val="00C35EB8"/>
    <w:rsid w:val="00C37D5D"/>
    <w:rsid w:val="00C41994"/>
    <w:rsid w:val="00C42F03"/>
    <w:rsid w:val="00C44E75"/>
    <w:rsid w:val="00C44F90"/>
    <w:rsid w:val="00C45804"/>
    <w:rsid w:val="00C472D8"/>
    <w:rsid w:val="00C476D6"/>
    <w:rsid w:val="00C476E1"/>
    <w:rsid w:val="00C47CF9"/>
    <w:rsid w:val="00C54779"/>
    <w:rsid w:val="00C5525B"/>
    <w:rsid w:val="00C56B6D"/>
    <w:rsid w:val="00C57CC8"/>
    <w:rsid w:val="00C61182"/>
    <w:rsid w:val="00C61A9B"/>
    <w:rsid w:val="00C62DC1"/>
    <w:rsid w:val="00C63E7E"/>
    <w:rsid w:val="00C64343"/>
    <w:rsid w:val="00C711EB"/>
    <w:rsid w:val="00C74AAF"/>
    <w:rsid w:val="00C74C76"/>
    <w:rsid w:val="00C761FF"/>
    <w:rsid w:val="00C76706"/>
    <w:rsid w:val="00C76A6D"/>
    <w:rsid w:val="00C7708D"/>
    <w:rsid w:val="00C77C57"/>
    <w:rsid w:val="00C80BC2"/>
    <w:rsid w:val="00C81765"/>
    <w:rsid w:val="00C83842"/>
    <w:rsid w:val="00C838F5"/>
    <w:rsid w:val="00C83C24"/>
    <w:rsid w:val="00C84462"/>
    <w:rsid w:val="00C84FED"/>
    <w:rsid w:val="00C8560F"/>
    <w:rsid w:val="00C859D7"/>
    <w:rsid w:val="00C8705F"/>
    <w:rsid w:val="00C87AB5"/>
    <w:rsid w:val="00C93ED6"/>
    <w:rsid w:val="00C9578D"/>
    <w:rsid w:val="00C974FB"/>
    <w:rsid w:val="00CA1B14"/>
    <w:rsid w:val="00CA1F19"/>
    <w:rsid w:val="00CA2707"/>
    <w:rsid w:val="00CA3B5F"/>
    <w:rsid w:val="00CA5042"/>
    <w:rsid w:val="00CA5CF6"/>
    <w:rsid w:val="00CB09E2"/>
    <w:rsid w:val="00CB0A76"/>
    <w:rsid w:val="00CB0E67"/>
    <w:rsid w:val="00CB0EF4"/>
    <w:rsid w:val="00CB3FA0"/>
    <w:rsid w:val="00CC081F"/>
    <w:rsid w:val="00CC208F"/>
    <w:rsid w:val="00CC365B"/>
    <w:rsid w:val="00CC3C32"/>
    <w:rsid w:val="00CC7BCA"/>
    <w:rsid w:val="00CD67C0"/>
    <w:rsid w:val="00CD7C8F"/>
    <w:rsid w:val="00CE13A5"/>
    <w:rsid w:val="00CE39F0"/>
    <w:rsid w:val="00CE45FE"/>
    <w:rsid w:val="00CF0EE2"/>
    <w:rsid w:val="00CF3854"/>
    <w:rsid w:val="00CF38E8"/>
    <w:rsid w:val="00CF6A3F"/>
    <w:rsid w:val="00D0035F"/>
    <w:rsid w:val="00D012B5"/>
    <w:rsid w:val="00D046CC"/>
    <w:rsid w:val="00D05EDF"/>
    <w:rsid w:val="00D068B9"/>
    <w:rsid w:val="00D07515"/>
    <w:rsid w:val="00D11980"/>
    <w:rsid w:val="00D1286C"/>
    <w:rsid w:val="00D20E96"/>
    <w:rsid w:val="00D235C5"/>
    <w:rsid w:val="00D23CA7"/>
    <w:rsid w:val="00D2769A"/>
    <w:rsid w:val="00D27F89"/>
    <w:rsid w:val="00D31072"/>
    <w:rsid w:val="00D31D7E"/>
    <w:rsid w:val="00D35465"/>
    <w:rsid w:val="00D41982"/>
    <w:rsid w:val="00D42EAD"/>
    <w:rsid w:val="00D454FB"/>
    <w:rsid w:val="00D47F4C"/>
    <w:rsid w:val="00D50377"/>
    <w:rsid w:val="00D52BB9"/>
    <w:rsid w:val="00D52E56"/>
    <w:rsid w:val="00D56B5E"/>
    <w:rsid w:val="00D635F7"/>
    <w:rsid w:val="00D64645"/>
    <w:rsid w:val="00D65A22"/>
    <w:rsid w:val="00D66F8C"/>
    <w:rsid w:val="00D67D0F"/>
    <w:rsid w:val="00D70797"/>
    <w:rsid w:val="00D725A6"/>
    <w:rsid w:val="00D73094"/>
    <w:rsid w:val="00D734B0"/>
    <w:rsid w:val="00D73F64"/>
    <w:rsid w:val="00D76071"/>
    <w:rsid w:val="00D826CC"/>
    <w:rsid w:val="00D82B05"/>
    <w:rsid w:val="00D83327"/>
    <w:rsid w:val="00D83A0C"/>
    <w:rsid w:val="00D9144F"/>
    <w:rsid w:val="00D91ED1"/>
    <w:rsid w:val="00D9445D"/>
    <w:rsid w:val="00D97C4E"/>
    <w:rsid w:val="00DA01BA"/>
    <w:rsid w:val="00DA1963"/>
    <w:rsid w:val="00DA2BD7"/>
    <w:rsid w:val="00DA33BD"/>
    <w:rsid w:val="00DA4ACF"/>
    <w:rsid w:val="00DA5FAE"/>
    <w:rsid w:val="00DA6097"/>
    <w:rsid w:val="00DA624F"/>
    <w:rsid w:val="00DA6668"/>
    <w:rsid w:val="00DA70E5"/>
    <w:rsid w:val="00DA7252"/>
    <w:rsid w:val="00DB05E2"/>
    <w:rsid w:val="00DB16F3"/>
    <w:rsid w:val="00DB67ED"/>
    <w:rsid w:val="00DB7493"/>
    <w:rsid w:val="00DC034B"/>
    <w:rsid w:val="00DC1CF7"/>
    <w:rsid w:val="00DC2C32"/>
    <w:rsid w:val="00DC7903"/>
    <w:rsid w:val="00DD48D8"/>
    <w:rsid w:val="00DD4E9D"/>
    <w:rsid w:val="00DE47EC"/>
    <w:rsid w:val="00DE4849"/>
    <w:rsid w:val="00DF0990"/>
    <w:rsid w:val="00DF0F3B"/>
    <w:rsid w:val="00DF131B"/>
    <w:rsid w:val="00DF30DF"/>
    <w:rsid w:val="00DF3BE2"/>
    <w:rsid w:val="00DF4B48"/>
    <w:rsid w:val="00DF52A6"/>
    <w:rsid w:val="00DF6065"/>
    <w:rsid w:val="00DF6DD4"/>
    <w:rsid w:val="00E01563"/>
    <w:rsid w:val="00E01A48"/>
    <w:rsid w:val="00E02281"/>
    <w:rsid w:val="00E02D99"/>
    <w:rsid w:val="00E031FB"/>
    <w:rsid w:val="00E05C68"/>
    <w:rsid w:val="00E110F9"/>
    <w:rsid w:val="00E1181E"/>
    <w:rsid w:val="00E11EF3"/>
    <w:rsid w:val="00E12EB0"/>
    <w:rsid w:val="00E132BC"/>
    <w:rsid w:val="00E1626D"/>
    <w:rsid w:val="00E1712F"/>
    <w:rsid w:val="00E20214"/>
    <w:rsid w:val="00E234C5"/>
    <w:rsid w:val="00E25EBC"/>
    <w:rsid w:val="00E26F2B"/>
    <w:rsid w:val="00E31E98"/>
    <w:rsid w:val="00E3299D"/>
    <w:rsid w:val="00E34F6D"/>
    <w:rsid w:val="00E3576C"/>
    <w:rsid w:val="00E36535"/>
    <w:rsid w:val="00E37AA8"/>
    <w:rsid w:val="00E4150D"/>
    <w:rsid w:val="00E415CF"/>
    <w:rsid w:val="00E424FA"/>
    <w:rsid w:val="00E45FD8"/>
    <w:rsid w:val="00E501DC"/>
    <w:rsid w:val="00E51F55"/>
    <w:rsid w:val="00E54263"/>
    <w:rsid w:val="00E57E7F"/>
    <w:rsid w:val="00E6351B"/>
    <w:rsid w:val="00E638A6"/>
    <w:rsid w:val="00E667FB"/>
    <w:rsid w:val="00E70A28"/>
    <w:rsid w:val="00E70BD4"/>
    <w:rsid w:val="00E70E4C"/>
    <w:rsid w:val="00E71504"/>
    <w:rsid w:val="00E73C9E"/>
    <w:rsid w:val="00E74D61"/>
    <w:rsid w:val="00E77C52"/>
    <w:rsid w:val="00E8068C"/>
    <w:rsid w:val="00E84470"/>
    <w:rsid w:val="00E85F1D"/>
    <w:rsid w:val="00E872CF"/>
    <w:rsid w:val="00E954F5"/>
    <w:rsid w:val="00E95A7C"/>
    <w:rsid w:val="00E9655D"/>
    <w:rsid w:val="00E965A0"/>
    <w:rsid w:val="00EA0044"/>
    <w:rsid w:val="00EA0711"/>
    <w:rsid w:val="00EA12C8"/>
    <w:rsid w:val="00EA148A"/>
    <w:rsid w:val="00EA1DF9"/>
    <w:rsid w:val="00EA21E0"/>
    <w:rsid w:val="00EA2B10"/>
    <w:rsid w:val="00EA2C08"/>
    <w:rsid w:val="00EA3D95"/>
    <w:rsid w:val="00EA69AC"/>
    <w:rsid w:val="00EA6F99"/>
    <w:rsid w:val="00EB0482"/>
    <w:rsid w:val="00EB1549"/>
    <w:rsid w:val="00EB4354"/>
    <w:rsid w:val="00EB684E"/>
    <w:rsid w:val="00EB726A"/>
    <w:rsid w:val="00EB7436"/>
    <w:rsid w:val="00EC1B1C"/>
    <w:rsid w:val="00EC25CF"/>
    <w:rsid w:val="00EC4694"/>
    <w:rsid w:val="00ED0828"/>
    <w:rsid w:val="00ED0BDF"/>
    <w:rsid w:val="00ED35FF"/>
    <w:rsid w:val="00ED6028"/>
    <w:rsid w:val="00ED77A3"/>
    <w:rsid w:val="00EE7CFA"/>
    <w:rsid w:val="00EE7D55"/>
    <w:rsid w:val="00EF040F"/>
    <w:rsid w:val="00EF1678"/>
    <w:rsid w:val="00EF1685"/>
    <w:rsid w:val="00EF1DEE"/>
    <w:rsid w:val="00EF3337"/>
    <w:rsid w:val="00F0083C"/>
    <w:rsid w:val="00F014A5"/>
    <w:rsid w:val="00F05002"/>
    <w:rsid w:val="00F053D4"/>
    <w:rsid w:val="00F07039"/>
    <w:rsid w:val="00F11C14"/>
    <w:rsid w:val="00F1353B"/>
    <w:rsid w:val="00F1554E"/>
    <w:rsid w:val="00F16AB7"/>
    <w:rsid w:val="00F17A30"/>
    <w:rsid w:val="00F20D35"/>
    <w:rsid w:val="00F23CD5"/>
    <w:rsid w:val="00F24293"/>
    <w:rsid w:val="00F24CAC"/>
    <w:rsid w:val="00F26752"/>
    <w:rsid w:val="00F27D48"/>
    <w:rsid w:val="00F31D55"/>
    <w:rsid w:val="00F32247"/>
    <w:rsid w:val="00F32504"/>
    <w:rsid w:val="00F32747"/>
    <w:rsid w:val="00F336DC"/>
    <w:rsid w:val="00F33CA6"/>
    <w:rsid w:val="00F37362"/>
    <w:rsid w:val="00F41E95"/>
    <w:rsid w:val="00F43227"/>
    <w:rsid w:val="00F43BA7"/>
    <w:rsid w:val="00F4536C"/>
    <w:rsid w:val="00F45432"/>
    <w:rsid w:val="00F46A8B"/>
    <w:rsid w:val="00F522E0"/>
    <w:rsid w:val="00F55531"/>
    <w:rsid w:val="00F5781A"/>
    <w:rsid w:val="00F6047E"/>
    <w:rsid w:val="00F624E5"/>
    <w:rsid w:val="00F628F0"/>
    <w:rsid w:val="00F635B4"/>
    <w:rsid w:val="00F63970"/>
    <w:rsid w:val="00F64E3B"/>
    <w:rsid w:val="00F71C4B"/>
    <w:rsid w:val="00F73EE4"/>
    <w:rsid w:val="00F74068"/>
    <w:rsid w:val="00F77CC4"/>
    <w:rsid w:val="00F77E17"/>
    <w:rsid w:val="00F800B0"/>
    <w:rsid w:val="00F81045"/>
    <w:rsid w:val="00F81CEC"/>
    <w:rsid w:val="00F85E9A"/>
    <w:rsid w:val="00F86AAD"/>
    <w:rsid w:val="00F873FA"/>
    <w:rsid w:val="00F87DA7"/>
    <w:rsid w:val="00F909EF"/>
    <w:rsid w:val="00F92126"/>
    <w:rsid w:val="00F92EA4"/>
    <w:rsid w:val="00F93DE0"/>
    <w:rsid w:val="00F97E66"/>
    <w:rsid w:val="00FA28F4"/>
    <w:rsid w:val="00FA2BA7"/>
    <w:rsid w:val="00FA4160"/>
    <w:rsid w:val="00FA7C41"/>
    <w:rsid w:val="00FA7D4D"/>
    <w:rsid w:val="00FB1A85"/>
    <w:rsid w:val="00FB340F"/>
    <w:rsid w:val="00FB3FFD"/>
    <w:rsid w:val="00FB40CE"/>
    <w:rsid w:val="00FB4EC1"/>
    <w:rsid w:val="00FB5943"/>
    <w:rsid w:val="00FB599B"/>
    <w:rsid w:val="00FB67F2"/>
    <w:rsid w:val="00FB7749"/>
    <w:rsid w:val="00FB7B59"/>
    <w:rsid w:val="00FC1345"/>
    <w:rsid w:val="00FC38DA"/>
    <w:rsid w:val="00FC3BCE"/>
    <w:rsid w:val="00FC4060"/>
    <w:rsid w:val="00FC4679"/>
    <w:rsid w:val="00FC55F4"/>
    <w:rsid w:val="00FC5AB7"/>
    <w:rsid w:val="00FC7BDD"/>
    <w:rsid w:val="00FD0199"/>
    <w:rsid w:val="00FD131E"/>
    <w:rsid w:val="00FD224B"/>
    <w:rsid w:val="00FD30BF"/>
    <w:rsid w:val="00FD53D0"/>
    <w:rsid w:val="00FD6092"/>
    <w:rsid w:val="00FD65D4"/>
    <w:rsid w:val="00FD7DB5"/>
    <w:rsid w:val="00FE4B4E"/>
    <w:rsid w:val="00FE5AC1"/>
    <w:rsid w:val="00FE6577"/>
    <w:rsid w:val="00FF0AED"/>
    <w:rsid w:val="00FF1690"/>
    <w:rsid w:val="00FF2D1F"/>
    <w:rsid w:val="00FF793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CA875"/>
  <w15:docId w15:val="{73C3A9DC-B64B-4185-B8C3-F1BC158B5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AA3"/>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A21E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C3A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citation-32">
    <w:name w:val="citation-32"/>
    <w:basedOn w:val="DefaultParagraphFont"/>
    <w:rsid w:val="00914DEE"/>
  </w:style>
  <w:style w:type="character" w:customStyle="1" w:styleId="citation-31">
    <w:name w:val="citation-31"/>
    <w:basedOn w:val="DefaultParagraphFont"/>
    <w:rsid w:val="00914DEE"/>
  </w:style>
  <w:style w:type="character" w:customStyle="1" w:styleId="citation-30">
    <w:name w:val="citation-30"/>
    <w:basedOn w:val="DefaultParagraphFont"/>
    <w:rsid w:val="00914DEE"/>
  </w:style>
  <w:style w:type="character" w:customStyle="1" w:styleId="citation-29">
    <w:name w:val="citation-29"/>
    <w:basedOn w:val="DefaultParagraphFont"/>
    <w:rsid w:val="00914DEE"/>
  </w:style>
  <w:style w:type="character" w:customStyle="1" w:styleId="citation-28">
    <w:name w:val="citation-28"/>
    <w:basedOn w:val="DefaultParagraphFont"/>
    <w:rsid w:val="00914DEE"/>
  </w:style>
  <w:style w:type="character" w:customStyle="1" w:styleId="citation-27">
    <w:name w:val="citation-27"/>
    <w:basedOn w:val="DefaultParagraphFont"/>
    <w:rsid w:val="00914DEE"/>
  </w:style>
  <w:style w:type="character" w:customStyle="1" w:styleId="citation-26">
    <w:name w:val="citation-26"/>
    <w:basedOn w:val="DefaultParagraphFont"/>
    <w:rsid w:val="00914DEE"/>
  </w:style>
  <w:style w:type="character" w:customStyle="1" w:styleId="citation-25">
    <w:name w:val="citation-25"/>
    <w:basedOn w:val="DefaultParagraphFont"/>
    <w:rsid w:val="00914DEE"/>
  </w:style>
  <w:style w:type="character" w:customStyle="1" w:styleId="citation-24">
    <w:name w:val="citation-24"/>
    <w:basedOn w:val="DefaultParagraphFont"/>
    <w:rsid w:val="00914DEE"/>
  </w:style>
  <w:style w:type="character" w:customStyle="1" w:styleId="citation-23">
    <w:name w:val="citation-23"/>
    <w:basedOn w:val="DefaultParagraphFont"/>
    <w:rsid w:val="00914DEE"/>
  </w:style>
  <w:style w:type="character" w:customStyle="1" w:styleId="citation-22">
    <w:name w:val="citation-22"/>
    <w:basedOn w:val="DefaultParagraphFont"/>
    <w:rsid w:val="00914DEE"/>
  </w:style>
  <w:style w:type="character" w:customStyle="1" w:styleId="citation-21">
    <w:name w:val="citation-21"/>
    <w:basedOn w:val="DefaultParagraphFont"/>
    <w:rsid w:val="00914DEE"/>
  </w:style>
  <w:style w:type="character" w:customStyle="1" w:styleId="citation-20">
    <w:name w:val="citation-20"/>
    <w:basedOn w:val="DefaultParagraphFont"/>
    <w:rsid w:val="00914DEE"/>
  </w:style>
  <w:style w:type="character" w:customStyle="1" w:styleId="citation-19">
    <w:name w:val="citation-19"/>
    <w:basedOn w:val="DefaultParagraphFont"/>
    <w:rsid w:val="00914DEE"/>
  </w:style>
  <w:style w:type="character" w:customStyle="1" w:styleId="citation-18">
    <w:name w:val="citation-18"/>
    <w:basedOn w:val="DefaultParagraphFont"/>
    <w:rsid w:val="00914DEE"/>
  </w:style>
  <w:style w:type="character" w:customStyle="1" w:styleId="citation-17">
    <w:name w:val="citation-17"/>
    <w:basedOn w:val="DefaultParagraphFont"/>
    <w:rsid w:val="00914DEE"/>
  </w:style>
  <w:style w:type="character" w:customStyle="1" w:styleId="citation-16">
    <w:name w:val="citation-16"/>
    <w:basedOn w:val="DefaultParagraphFont"/>
    <w:rsid w:val="00914DEE"/>
  </w:style>
  <w:style w:type="character" w:customStyle="1" w:styleId="citation-15">
    <w:name w:val="citation-15"/>
    <w:basedOn w:val="DefaultParagraphFont"/>
    <w:rsid w:val="00914DEE"/>
  </w:style>
  <w:style w:type="character" w:customStyle="1" w:styleId="citation-14">
    <w:name w:val="citation-14"/>
    <w:basedOn w:val="DefaultParagraphFont"/>
    <w:rsid w:val="00914DEE"/>
  </w:style>
  <w:style w:type="character" w:customStyle="1" w:styleId="citation-13">
    <w:name w:val="citation-13"/>
    <w:basedOn w:val="DefaultParagraphFont"/>
    <w:rsid w:val="00914DEE"/>
  </w:style>
  <w:style w:type="character" w:customStyle="1" w:styleId="citation-12">
    <w:name w:val="citation-12"/>
    <w:basedOn w:val="DefaultParagraphFont"/>
    <w:rsid w:val="00914DEE"/>
  </w:style>
  <w:style w:type="character" w:customStyle="1" w:styleId="citation-11">
    <w:name w:val="citation-11"/>
    <w:basedOn w:val="DefaultParagraphFont"/>
    <w:rsid w:val="00914DEE"/>
  </w:style>
  <w:style w:type="character" w:customStyle="1" w:styleId="citation-10">
    <w:name w:val="citation-10"/>
    <w:basedOn w:val="DefaultParagraphFont"/>
    <w:rsid w:val="00914DEE"/>
  </w:style>
  <w:style w:type="character" w:customStyle="1" w:styleId="citation-9">
    <w:name w:val="citation-9"/>
    <w:basedOn w:val="DefaultParagraphFont"/>
    <w:rsid w:val="00914DEE"/>
  </w:style>
  <w:style w:type="character" w:customStyle="1" w:styleId="citation-8">
    <w:name w:val="citation-8"/>
    <w:basedOn w:val="DefaultParagraphFont"/>
    <w:rsid w:val="00914DEE"/>
  </w:style>
  <w:style w:type="character" w:customStyle="1" w:styleId="citation-7">
    <w:name w:val="citation-7"/>
    <w:basedOn w:val="DefaultParagraphFont"/>
    <w:rsid w:val="00914DEE"/>
  </w:style>
  <w:style w:type="character" w:customStyle="1" w:styleId="citation-6">
    <w:name w:val="citation-6"/>
    <w:basedOn w:val="DefaultParagraphFont"/>
    <w:rsid w:val="00914DEE"/>
  </w:style>
  <w:style w:type="character" w:customStyle="1" w:styleId="citation-5">
    <w:name w:val="citation-5"/>
    <w:basedOn w:val="DefaultParagraphFont"/>
    <w:rsid w:val="00914DEE"/>
  </w:style>
  <w:style w:type="character" w:customStyle="1" w:styleId="citation-4">
    <w:name w:val="citation-4"/>
    <w:basedOn w:val="DefaultParagraphFont"/>
    <w:rsid w:val="00914DEE"/>
  </w:style>
  <w:style w:type="character" w:customStyle="1" w:styleId="citation-3">
    <w:name w:val="citation-3"/>
    <w:basedOn w:val="DefaultParagraphFont"/>
    <w:rsid w:val="00914DEE"/>
  </w:style>
  <w:style w:type="character" w:customStyle="1" w:styleId="citation-2">
    <w:name w:val="citation-2"/>
    <w:basedOn w:val="DefaultParagraphFont"/>
    <w:rsid w:val="00914DEE"/>
  </w:style>
  <w:style w:type="character" w:customStyle="1" w:styleId="citation-1">
    <w:name w:val="citation-1"/>
    <w:basedOn w:val="DefaultParagraphFont"/>
    <w:rsid w:val="00914DEE"/>
  </w:style>
  <w:style w:type="character" w:customStyle="1" w:styleId="citation-0">
    <w:name w:val="citation-0"/>
    <w:basedOn w:val="DefaultParagraphFont"/>
    <w:rsid w:val="00D41982"/>
  </w:style>
  <w:style w:type="character" w:customStyle="1" w:styleId="uv3um">
    <w:name w:val="uv3um"/>
    <w:basedOn w:val="DefaultParagraphFont"/>
    <w:rsid w:val="00210FA3"/>
  </w:style>
  <w:style w:type="character" w:styleId="Hyperlink">
    <w:name w:val="Hyperlink"/>
    <w:basedOn w:val="DefaultParagraphFont"/>
    <w:uiPriority w:val="99"/>
    <w:unhideWhenUsed/>
    <w:rsid w:val="00210FA3"/>
    <w:rPr>
      <w:color w:val="0000FF" w:themeColor="hyperlink"/>
      <w:u w:val="single"/>
    </w:rPr>
  </w:style>
  <w:style w:type="character" w:customStyle="1" w:styleId="Heading3Char">
    <w:name w:val="Heading 3 Char"/>
    <w:basedOn w:val="DefaultParagraphFont"/>
    <w:link w:val="Heading3"/>
    <w:uiPriority w:val="9"/>
    <w:rsid w:val="00EA21E0"/>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EA21E0"/>
    <w:pPr>
      <w:spacing w:before="480" w:line="276" w:lineRule="auto"/>
      <w:outlineLvl w:val="9"/>
    </w:pPr>
    <w:rPr>
      <w:b/>
      <w:bCs/>
      <w:sz w:val="28"/>
      <w:szCs w:val="28"/>
    </w:rPr>
  </w:style>
  <w:style w:type="paragraph" w:styleId="TOC1">
    <w:name w:val="toc 1"/>
    <w:basedOn w:val="Normal"/>
    <w:next w:val="Normal"/>
    <w:autoRedefine/>
    <w:uiPriority w:val="39"/>
    <w:unhideWhenUsed/>
    <w:rsid w:val="00B53190"/>
    <w:pPr>
      <w:tabs>
        <w:tab w:val="right" w:leader="dot" w:pos="8296"/>
      </w:tabs>
      <w:bidi/>
      <w:spacing w:after="100"/>
    </w:pPr>
  </w:style>
  <w:style w:type="paragraph" w:styleId="TOC2">
    <w:name w:val="toc 2"/>
    <w:basedOn w:val="Normal"/>
    <w:next w:val="Normal"/>
    <w:autoRedefine/>
    <w:uiPriority w:val="39"/>
    <w:unhideWhenUsed/>
    <w:rsid w:val="00685A20"/>
    <w:pPr>
      <w:tabs>
        <w:tab w:val="left" w:pos="440"/>
        <w:tab w:val="right" w:leader="dot" w:pos="8296"/>
      </w:tabs>
      <w:bidi/>
      <w:spacing w:after="100"/>
      <w:ind w:left="220"/>
    </w:pPr>
  </w:style>
  <w:style w:type="paragraph" w:styleId="TOC3">
    <w:name w:val="toc 3"/>
    <w:basedOn w:val="Normal"/>
    <w:next w:val="Normal"/>
    <w:autoRedefine/>
    <w:uiPriority w:val="39"/>
    <w:unhideWhenUsed/>
    <w:rsid w:val="00EA21E0"/>
    <w:pPr>
      <w:spacing w:after="100"/>
      <w:ind w:left="440"/>
    </w:pPr>
  </w:style>
  <w:style w:type="paragraph" w:styleId="Quote">
    <w:name w:val="Quote"/>
    <w:basedOn w:val="Normal"/>
    <w:next w:val="Normal"/>
    <w:link w:val="QuoteChar"/>
    <w:uiPriority w:val="29"/>
    <w:qFormat/>
    <w:rsid w:val="00C8560F"/>
    <w:rPr>
      <w:i/>
      <w:iCs/>
      <w:color w:val="000000" w:themeColor="text1"/>
    </w:rPr>
  </w:style>
  <w:style w:type="character" w:customStyle="1" w:styleId="QuoteChar">
    <w:name w:val="Quote Char"/>
    <w:basedOn w:val="DefaultParagraphFont"/>
    <w:link w:val="Quote"/>
    <w:uiPriority w:val="29"/>
    <w:rsid w:val="00C8560F"/>
    <w:rPr>
      <w:i/>
      <w:iCs/>
      <w:color w:val="000000" w:themeColor="text1"/>
    </w:rPr>
  </w:style>
  <w:style w:type="paragraph" w:styleId="IntenseQuote">
    <w:name w:val="Intense Quote"/>
    <w:basedOn w:val="Normal"/>
    <w:next w:val="Normal"/>
    <w:link w:val="IntenseQuoteChar"/>
    <w:uiPriority w:val="30"/>
    <w:qFormat/>
    <w:rsid w:val="00C8560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8560F"/>
    <w:rPr>
      <w:b/>
      <w:bCs/>
      <w:i/>
      <w:iCs/>
      <w:color w:val="4F81BD" w:themeColor="accent1"/>
    </w:rPr>
  </w:style>
  <w:style w:type="character" w:customStyle="1" w:styleId="fontstyle01">
    <w:name w:val="fontstyle01"/>
    <w:basedOn w:val="DefaultParagraphFont"/>
    <w:rsid w:val="0013659B"/>
    <w:rPr>
      <w:rFonts w:ascii="ArialMT" w:hAnsi="ArialMT" w:hint="default"/>
      <w:b w:val="0"/>
      <w:bCs w:val="0"/>
      <w:i w:val="0"/>
      <w:iCs w:val="0"/>
      <w:color w:val="000000"/>
      <w:sz w:val="24"/>
      <w:szCs w:val="24"/>
    </w:rPr>
  </w:style>
  <w:style w:type="character" w:customStyle="1" w:styleId="fontstyle21">
    <w:name w:val="fontstyle21"/>
    <w:basedOn w:val="DefaultParagraphFont"/>
    <w:rsid w:val="0013659B"/>
    <w:rPr>
      <w:rFonts w:ascii="Wingdings-Regular" w:hAnsi="Wingdings-Regular" w:hint="default"/>
      <w:b w:val="0"/>
      <w:bCs w:val="0"/>
      <w:i w:val="0"/>
      <w:iCs w:val="0"/>
      <w:color w:val="000000"/>
      <w:sz w:val="24"/>
      <w:szCs w:val="24"/>
    </w:rPr>
  </w:style>
  <w:style w:type="character" w:customStyle="1" w:styleId="Heading4Char">
    <w:name w:val="Heading 4 Char"/>
    <w:basedOn w:val="DefaultParagraphFont"/>
    <w:link w:val="Heading4"/>
    <w:uiPriority w:val="9"/>
    <w:rsid w:val="002C3A90"/>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F81045"/>
    <w:rPr>
      <w:i/>
      <w:iCs/>
    </w:rPr>
  </w:style>
  <w:style w:type="paragraph" w:styleId="Caption">
    <w:name w:val="caption"/>
    <w:basedOn w:val="Normal"/>
    <w:next w:val="Normal"/>
    <w:uiPriority w:val="35"/>
    <w:unhideWhenUsed/>
    <w:qFormat/>
    <w:rsid w:val="00E234C5"/>
    <w:pPr>
      <w:spacing w:after="200" w:line="240" w:lineRule="auto"/>
    </w:pPr>
    <w:rPr>
      <w:b/>
      <w:bCs/>
      <w:color w:val="4F81BD" w:themeColor="accent1"/>
      <w:sz w:val="18"/>
      <w:szCs w:val="18"/>
    </w:rPr>
  </w:style>
  <w:style w:type="paragraph" w:styleId="FootnoteText">
    <w:name w:val="footnote text"/>
    <w:basedOn w:val="Normal"/>
    <w:link w:val="FootnoteTextChar"/>
    <w:uiPriority w:val="99"/>
    <w:semiHidden/>
    <w:unhideWhenUsed/>
    <w:rsid w:val="007F47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785"/>
    <w:rPr>
      <w:sz w:val="20"/>
      <w:szCs w:val="20"/>
    </w:rPr>
  </w:style>
  <w:style w:type="character" w:styleId="FootnoteReference">
    <w:name w:val="footnote reference"/>
    <w:basedOn w:val="DefaultParagraphFont"/>
    <w:uiPriority w:val="99"/>
    <w:semiHidden/>
    <w:unhideWhenUsed/>
    <w:rsid w:val="007F4785"/>
    <w:rPr>
      <w:vertAlign w:val="superscript"/>
    </w:rPr>
  </w:style>
  <w:style w:type="paragraph" w:styleId="TableofFigures">
    <w:name w:val="table of figures"/>
    <w:basedOn w:val="Normal"/>
    <w:next w:val="Normal"/>
    <w:uiPriority w:val="99"/>
    <w:unhideWhenUsed/>
    <w:rsid w:val="00920785"/>
    <w:pPr>
      <w:spacing w:after="0"/>
    </w:pPr>
  </w:style>
  <w:style w:type="character" w:customStyle="1" w:styleId="sar-symbol">
    <w:name w:val="sar-symbol"/>
    <w:basedOn w:val="DefaultParagraphFont"/>
    <w:rsid w:val="00EB7436"/>
  </w:style>
  <w:style w:type="character" w:styleId="UnresolvedMention">
    <w:name w:val="Unresolved Mention"/>
    <w:basedOn w:val="DefaultParagraphFont"/>
    <w:uiPriority w:val="99"/>
    <w:semiHidden/>
    <w:unhideWhenUsed/>
    <w:rsid w:val="003F5C18"/>
    <w:rPr>
      <w:color w:val="605E5C"/>
      <w:shd w:val="clear" w:color="auto" w:fill="E1DFDD"/>
    </w:rPr>
  </w:style>
  <w:style w:type="paragraph" w:customStyle="1" w:styleId="ds-markdown-paragraph">
    <w:name w:val="ds-markdown-paragraph"/>
    <w:basedOn w:val="Normal"/>
    <w:rsid w:val="00843CD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4769">
      <w:bodyDiv w:val="1"/>
      <w:marLeft w:val="0"/>
      <w:marRight w:val="0"/>
      <w:marTop w:val="0"/>
      <w:marBottom w:val="0"/>
      <w:divBdr>
        <w:top w:val="none" w:sz="0" w:space="0" w:color="auto"/>
        <w:left w:val="none" w:sz="0" w:space="0" w:color="auto"/>
        <w:bottom w:val="none" w:sz="0" w:space="0" w:color="auto"/>
        <w:right w:val="none" w:sz="0" w:space="0" w:color="auto"/>
      </w:divBdr>
    </w:div>
    <w:div w:id="56710726">
      <w:bodyDiv w:val="1"/>
      <w:marLeft w:val="0"/>
      <w:marRight w:val="0"/>
      <w:marTop w:val="0"/>
      <w:marBottom w:val="0"/>
      <w:divBdr>
        <w:top w:val="none" w:sz="0" w:space="0" w:color="auto"/>
        <w:left w:val="none" w:sz="0" w:space="0" w:color="auto"/>
        <w:bottom w:val="none" w:sz="0" w:space="0" w:color="auto"/>
        <w:right w:val="none" w:sz="0" w:space="0" w:color="auto"/>
      </w:divBdr>
    </w:div>
    <w:div w:id="63333577">
      <w:bodyDiv w:val="1"/>
      <w:marLeft w:val="0"/>
      <w:marRight w:val="0"/>
      <w:marTop w:val="0"/>
      <w:marBottom w:val="0"/>
      <w:divBdr>
        <w:top w:val="none" w:sz="0" w:space="0" w:color="auto"/>
        <w:left w:val="none" w:sz="0" w:space="0" w:color="auto"/>
        <w:bottom w:val="none" w:sz="0" w:space="0" w:color="auto"/>
        <w:right w:val="none" w:sz="0" w:space="0" w:color="auto"/>
      </w:divBdr>
    </w:div>
    <w:div w:id="109931733">
      <w:bodyDiv w:val="1"/>
      <w:marLeft w:val="0"/>
      <w:marRight w:val="0"/>
      <w:marTop w:val="0"/>
      <w:marBottom w:val="0"/>
      <w:divBdr>
        <w:top w:val="none" w:sz="0" w:space="0" w:color="auto"/>
        <w:left w:val="none" w:sz="0" w:space="0" w:color="auto"/>
        <w:bottom w:val="none" w:sz="0" w:space="0" w:color="auto"/>
        <w:right w:val="none" w:sz="0" w:space="0" w:color="auto"/>
      </w:divBdr>
    </w:div>
    <w:div w:id="119149211">
      <w:bodyDiv w:val="1"/>
      <w:marLeft w:val="0"/>
      <w:marRight w:val="0"/>
      <w:marTop w:val="0"/>
      <w:marBottom w:val="0"/>
      <w:divBdr>
        <w:top w:val="none" w:sz="0" w:space="0" w:color="auto"/>
        <w:left w:val="none" w:sz="0" w:space="0" w:color="auto"/>
        <w:bottom w:val="none" w:sz="0" w:space="0" w:color="auto"/>
        <w:right w:val="none" w:sz="0" w:space="0" w:color="auto"/>
      </w:divBdr>
    </w:div>
    <w:div w:id="120653279">
      <w:bodyDiv w:val="1"/>
      <w:marLeft w:val="0"/>
      <w:marRight w:val="0"/>
      <w:marTop w:val="0"/>
      <w:marBottom w:val="0"/>
      <w:divBdr>
        <w:top w:val="none" w:sz="0" w:space="0" w:color="auto"/>
        <w:left w:val="none" w:sz="0" w:space="0" w:color="auto"/>
        <w:bottom w:val="none" w:sz="0" w:space="0" w:color="auto"/>
        <w:right w:val="none" w:sz="0" w:space="0" w:color="auto"/>
      </w:divBdr>
    </w:div>
    <w:div w:id="122886512">
      <w:bodyDiv w:val="1"/>
      <w:marLeft w:val="0"/>
      <w:marRight w:val="0"/>
      <w:marTop w:val="0"/>
      <w:marBottom w:val="0"/>
      <w:divBdr>
        <w:top w:val="none" w:sz="0" w:space="0" w:color="auto"/>
        <w:left w:val="none" w:sz="0" w:space="0" w:color="auto"/>
        <w:bottom w:val="none" w:sz="0" w:space="0" w:color="auto"/>
        <w:right w:val="none" w:sz="0" w:space="0" w:color="auto"/>
      </w:divBdr>
    </w:div>
    <w:div w:id="139156907">
      <w:bodyDiv w:val="1"/>
      <w:marLeft w:val="0"/>
      <w:marRight w:val="0"/>
      <w:marTop w:val="0"/>
      <w:marBottom w:val="0"/>
      <w:divBdr>
        <w:top w:val="none" w:sz="0" w:space="0" w:color="auto"/>
        <w:left w:val="none" w:sz="0" w:space="0" w:color="auto"/>
        <w:bottom w:val="none" w:sz="0" w:space="0" w:color="auto"/>
        <w:right w:val="none" w:sz="0" w:space="0" w:color="auto"/>
      </w:divBdr>
      <w:divsChild>
        <w:div w:id="1707482685">
          <w:marLeft w:val="0"/>
          <w:marRight w:val="0"/>
          <w:marTop w:val="0"/>
          <w:marBottom w:val="0"/>
          <w:divBdr>
            <w:top w:val="none" w:sz="0" w:space="0" w:color="auto"/>
            <w:left w:val="none" w:sz="0" w:space="0" w:color="auto"/>
            <w:bottom w:val="none" w:sz="0" w:space="0" w:color="auto"/>
            <w:right w:val="none" w:sz="0" w:space="0" w:color="auto"/>
          </w:divBdr>
          <w:divsChild>
            <w:div w:id="749546311">
              <w:marLeft w:val="0"/>
              <w:marRight w:val="0"/>
              <w:marTop w:val="0"/>
              <w:marBottom w:val="0"/>
              <w:divBdr>
                <w:top w:val="none" w:sz="0" w:space="0" w:color="auto"/>
                <w:left w:val="none" w:sz="0" w:space="0" w:color="auto"/>
                <w:bottom w:val="none" w:sz="0" w:space="0" w:color="auto"/>
                <w:right w:val="none" w:sz="0" w:space="0" w:color="auto"/>
              </w:divBdr>
              <w:divsChild>
                <w:div w:id="926500199">
                  <w:marLeft w:val="0"/>
                  <w:marRight w:val="0"/>
                  <w:marTop w:val="0"/>
                  <w:marBottom w:val="0"/>
                  <w:divBdr>
                    <w:top w:val="none" w:sz="0" w:space="0" w:color="auto"/>
                    <w:left w:val="none" w:sz="0" w:space="0" w:color="auto"/>
                    <w:bottom w:val="none" w:sz="0" w:space="0" w:color="auto"/>
                    <w:right w:val="none" w:sz="0" w:space="0" w:color="auto"/>
                  </w:divBdr>
                  <w:divsChild>
                    <w:div w:id="367612258">
                      <w:marLeft w:val="0"/>
                      <w:marRight w:val="0"/>
                      <w:marTop w:val="0"/>
                      <w:marBottom w:val="0"/>
                      <w:divBdr>
                        <w:top w:val="none" w:sz="0" w:space="0" w:color="auto"/>
                        <w:left w:val="none" w:sz="0" w:space="0" w:color="auto"/>
                        <w:bottom w:val="none" w:sz="0" w:space="0" w:color="auto"/>
                        <w:right w:val="none" w:sz="0" w:space="0" w:color="auto"/>
                      </w:divBdr>
                      <w:divsChild>
                        <w:div w:id="800030349">
                          <w:marLeft w:val="0"/>
                          <w:marRight w:val="0"/>
                          <w:marTop w:val="0"/>
                          <w:marBottom w:val="0"/>
                          <w:divBdr>
                            <w:top w:val="none" w:sz="0" w:space="0" w:color="auto"/>
                            <w:left w:val="none" w:sz="0" w:space="0" w:color="auto"/>
                            <w:bottom w:val="none" w:sz="0" w:space="0" w:color="auto"/>
                            <w:right w:val="none" w:sz="0" w:space="0" w:color="auto"/>
                          </w:divBdr>
                          <w:divsChild>
                            <w:div w:id="1742174398">
                              <w:marLeft w:val="0"/>
                              <w:marRight w:val="0"/>
                              <w:marTop w:val="0"/>
                              <w:marBottom w:val="0"/>
                              <w:divBdr>
                                <w:top w:val="none" w:sz="0" w:space="0" w:color="auto"/>
                                <w:left w:val="none" w:sz="0" w:space="0" w:color="auto"/>
                                <w:bottom w:val="none" w:sz="0" w:space="0" w:color="auto"/>
                                <w:right w:val="none" w:sz="0" w:space="0" w:color="auto"/>
                              </w:divBdr>
                              <w:divsChild>
                                <w:div w:id="17914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04589">
      <w:bodyDiv w:val="1"/>
      <w:marLeft w:val="0"/>
      <w:marRight w:val="0"/>
      <w:marTop w:val="0"/>
      <w:marBottom w:val="0"/>
      <w:divBdr>
        <w:top w:val="none" w:sz="0" w:space="0" w:color="auto"/>
        <w:left w:val="none" w:sz="0" w:space="0" w:color="auto"/>
        <w:bottom w:val="none" w:sz="0" w:space="0" w:color="auto"/>
        <w:right w:val="none" w:sz="0" w:space="0" w:color="auto"/>
      </w:divBdr>
    </w:div>
    <w:div w:id="153299848">
      <w:bodyDiv w:val="1"/>
      <w:marLeft w:val="0"/>
      <w:marRight w:val="0"/>
      <w:marTop w:val="0"/>
      <w:marBottom w:val="0"/>
      <w:divBdr>
        <w:top w:val="none" w:sz="0" w:space="0" w:color="auto"/>
        <w:left w:val="none" w:sz="0" w:space="0" w:color="auto"/>
        <w:bottom w:val="none" w:sz="0" w:space="0" w:color="auto"/>
        <w:right w:val="none" w:sz="0" w:space="0" w:color="auto"/>
      </w:divBdr>
    </w:div>
    <w:div w:id="162088229">
      <w:bodyDiv w:val="1"/>
      <w:marLeft w:val="0"/>
      <w:marRight w:val="0"/>
      <w:marTop w:val="0"/>
      <w:marBottom w:val="0"/>
      <w:divBdr>
        <w:top w:val="none" w:sz="0" w:space="0" w:color="auto"/>
        <w:left w:val="none" w:sz="0" w:space="0" w:color="auto"/>
        <w:bottom w:val="none" w:sz="0" w:space="0" w:color="auto"/>
        <w:right w:val="none" w:sz="0" w:space="0" w:color="auto"/>
      </w:divBdr>
    </w:div>
    <w:div w:id="170607193">
      <w:bodyDiv w:val="1"/>
      <w:marLeft w:val="0"/>
      <w:marRight w:val="0"/>
      <w:marTop w:val="0"/>
      <w:marBottom w:val="0"/>
      <w:divBdr>
        <w:top w:val="none" w:sz="0" w:space="0" w:color="auto"/>
        <w:left w:val="none" w:sz="0" w:space="0" w:color="auto"/>
        <w:bottom w:val="none" w:sz="0" w:space="0" w:color="auto"/>
        <w:right w:val="none" w:sz="0" w:space="0" w:color="auto"/>
      </w:divBdr>
      <w:divsChild>
        <w:div w:id="570849225">
          <w:marLeft w:val="0"/>
          <w:marRight w:val="720"/>
          <w:marTop w:val="0"/>
          <w:marBottom w:val="0"/>
          <w:divBdr>
            <w:top w:val="none" w:sz="0" w:space="0" w:color="auto"/>
            <w:left w:val="none" w:sz="0" w:space="0" w:color="auto"/>
            <w:bottom w:val="none" w:sz="0" w:space="0" w:color="auto"/>
            <w:right w:val="none" w:sz="0" w:space="0" w:color="auto"/>
          </w:divBdr>
        </w:div>
      </w:divsChild>
    </w:div>
    <w:div w:id="177550312">
      <w:bodyDiv w:val="1"/>
      <w:marLeft w:val="0"/>
      <w:marRight w:val="0"/>
      <w:marTop w:val="0"/>
      <w:marBottom w:val="0"/>
      <w:divBdr>
        <w:top w:val="none" w:sz="0" w:space="0" w:color="auto"/>
        <w:left w:val="none" w:sz="0" w:space="0" w:color="auto"/>
        <w:bottom w:val="none" w:sz="0" w:space="0" w:color="auto"/>
        <w:right w:val="none" w:sz="0" w:space="0" w:color="auto"/>
      </w:divBdr>
      <w:divsChild>
        <w:div w:id="2015183839">
          <w:marLeft w:val="0"/>
          <w:marRight w:val="0"/>
          <w:marTop w:val="0"/>
          <w:marBottom w:val="0"/>
          <w:divBdr>
            <w:top w:val="none" w:sz="0" w:space="0" w:color="auto"/>
            <w:left w:val="none" w:sz="0" w:space="0" w:color="auto"/>
            <w:bottom w:val="none" w:sz="0" w:space="0" w:color="auto"/>
            <w:right w:val="none" w:sz="0" w:space="0" w:color="auto"/>
          </w:divBdr>
        </w:div>
      </w:divsChild>
    </w:div>
    <w:div w:id="200360377">
      <w:bodyDiv w:val="1"/>
      <w:marLeft w:val="0"/>
      <w:marRight w:val="0"/>
      <w:marTop w:val="0"/>
      <w:marBottom w:val="0"/>
      <w:divBdr>
        <w:top w:val="none" w:sz="0" w:space="0" w:color="auto"/>
        <w:left w:val="none" w:sz="0" w:space="0" w:color="auto"/>
        <w:bottom w:val="none" w:sz="0" w:space="0" w:color="auto"/>
        <w:right w:val="none" w:sz="0" w:space="0" w:color="auto"/>
      </w:divBdr>
    </w:div>
    <w:div w:id="204685130">
      <w:bodyDiv w:val="1"/>
      <w:marLeft w:val="0"/>
      <w:marRight w:val="0"/>
      <w:marTop w:val="0"/>
      <w:marBottom w:val="0"/>
      <w:divBdr>
        <w:top w:val="none" w:sz="0" w:space="0" w:color="auto"/>
        <w:left w:val="none" w:sz="0" w:space="0" w:color="auto"/>
        <w:bottom w:val="none" w:sz="0" w:space="0" w:color="auto"/>
        <w:right w:val="none" w:sz="0" w:space="0" w:color="auto"/>
      </w:divBdr>
    </w:div>
    <w:div w:id="226117153">
      <w:bodyDiv w:val="1"/>
      <w:marLeft w:val="0"/>
      <w:marRight w:val="0"/>
      <w:marTop w:val="0"/>
      <w:marBottom w:val="0"/>
      <w:divBdr>
        <w:top w:val="none" w:sz="0" w:space="0" w:color="auto"/>
        <w:left w:val="none" w:sz="0" w:space="0" w:color="auto"/>
        <w:bottom w:val="none" w:sz="0" w:space="0" w:color="auto"/>
        <w:right w:val="none" w:sz="0" w:space="0" w:color="auto"/>
      </w:divBdr>
    </w:div>
    <w:div w:id="233275003">
      <w:bodyDiv w:val="1"/>
      <w:marLeft w:val="0"/>
      <w:marRight w:val="0"/>
      <w:marTop w:val="0"/>
      <w:marBottom w:val="0"/>
      <w:divBdr>
        <w:top w:val="none" w:sz="0" w:space="0" w:color="auto"/>
        <w:left w:val="none" w:sz="0" w:space="0" w:color="auto"/>
        <w:bottom w:val="none" w:sz="0" w:space="0" w:color="auto"/>
        <w:right w:val="none" w:sz="0" w:space="0" w:color="auto"/>
      </w:divBdr>
    </w:div>
    <w:div w:id="237251979">
      <w:bodyDiv w:val="1"/>
      <w:marLeft w:val="0"/>
      <w:marRight w:val="0"/>
      <w:marTop w:val="0"/>
      <w:marBottom w:val="0"/>
      <w:divBdr>
        <w:top w:val="none" w:sz="0" w:space="0" w:color="auto"/>
        <w:left w:val="none" w:sz="0" w:space="0" w:color="auto"/>
        <w:bottom w:val="none" w:sz="0" w:space="0" w:color="auto"/>
        <w:right w:val="none" w:sz="0" w:space="0" w:color="auto"/>
      </w:divBdr>
    </w:div>
    <w:div w:id="240062365">
      <w:bodyDiv w:val="1"/>
      <w:marLeft w:val="0"/>
      <w:marRight w:val="0"/>
      <w:marTop w:val="0"/>
      <w:marBottom w:val="0"/>
      <w:divBdr>
        <w:top w:val="none" w:sz="0" w:space="0" w:color="auto"/>
        <w:left w:val="none" w:sz="0" w:space="0" w:color="auto"/>
        <w:bottom w:val="none" w:sz="0" w:space="0" w:color="auto"/>
        <w:right w:val="none" w:sz="0" w:space="0" w:color="auto"/>
      </w:divBdr>
    </w:div>
    <w:div w:id="246311375">
      <w:bodyDiv w:val="1"/>
      <w:marLeft w:val="0"/>
      <w:marRight w:val="0"/>
      <w:marTop w:val="0"/>
      <w:marBottom w:val="0"/>
      <w:divBdr>
        <w:top w:val="none" w:sz="0" w:space="0" w:color="auto"/>
        <w:left w:val="none" w:sz="0" w:space="0" w:color="auto"/>
        <w:bottom w:val="none" w:sz="0" w:space="0" w:color="auto"/>
        <w:right w:val="none" w:sz="0" w:space="0" w:color="auto"/>
      </w:divBdr>
    </w:div>
    <w:div w:id="255402438">
      <w:bodyDiv w:val="1"/>
      <w:marLeft w:val="0"/>
      <w:marRight w:val="0"/>
      <w:marTop w:val="0"/>
      <w:marBottom w:val="0"/>
      <w:divBdr>
        <w:top w:val="none" w:sz="0" w:space="0" w:color="auto"/>
        <w:left w:val="none" w:sz="0" w:space="0" w:color="auto"/>
        <w:bottom w:val="none" w:sz="0" w:space="0" w:color="auto"/>
        <w:right w:val="none" w:sz="0" w:space="0" w:color="auto"/>
      </w:divBdr>
    </w:div>
    <w:div w:id="271865022">
      <w:bodyDiv w:val="1"/>
      <w:marLeft w:val="0"/>
      <w:marRight w:val="0"/>
      <w:marTop w:val="0"/>
      <w:marBottom w:val="0"/>
      <w:divBdr>
        <w:top w:val="none" w:sz="0" w:space="0" w:color="auto"/>
        <w:left w:val="none" w:sz="0" w:space="0" w:color="auto"/>
        <w:bottom w:val="none" w:sz="0" w:space="0" w:color="auto"/>
        <w:right w:val="none" w:sz="0" w:space="0" w:color="auto"/>
      </w:divBdr>
    </w:div>
    <w:div w:id="293489229">
      <w:bodyDiv w:val="1"/>
      <w:marLeft w:val="0"/>
      <w:marRight w:val="0"/>
      <w:marTop w:val="0"/>
      <w:marBottom w:val="0"/>
      <w:divBdr>
        <w:top w:val="none" w:sz="0" w:space="0" w:color="auto"/>
        <w:left w:val="none" w:sz="0" w:space="0" w:color="auto"/>
        <w:bottom w:val="none" w:sz="0" w:space="0" w:color="auto"/>
        <w:right w:val="none" w:sz="0" w:space="0" w:color="auto"/>
      </w:divBdr>
    </w:div>
    <w:div w:id="324866508">
      <w:bodyDiv w:val="1"/>
      <w:marLeft w:val="0"/>
      <w:marRight w:val="0"/>
      <w:marTop w:val="0"/>
      <w:marBottom w:val="0"/>
      <w:divBdr>
        <w:top w:val="none" w:sz="0" w:space="0" w:color="auto"/>
        <w:left w:val="none" w:sz="0" w:space="0" w:color="auto"/>
        <w:bottom w:val="none" w:sz="0" w:space="0" w:color="auto"/>
        <w:right w:val="none" w:sz="0" w:space="0" w:color="auto"/>
      </w:divBdr>
    </w:div>
    <w:div w:id="327682731">
      <w:bodyDiv w:val="1"/>
      <w:marLeft w:val="0"/>
      <w:marRight w:val="0"/>
      <w:marTop w:val="0"/>
      <w:marBottom w:val="0"/>
      <w:divBdr>
        <w:top w:val="none" w:sz="0" w:space="0" w:color="auto"/>
        <w:left w:val="none" w:sz="0" w:space="0" w:color="auto"/>
        <w:bottom w:val="none" w:sz="0" w:space="0" w:color="auto"/>
        <w:right w:val="none" w:sz="0" w:space="0" w:color="auto"/>
      </w:divBdr>
    </w:div>
    <w:div w:id="336661074">
      <w:bodyDiv w:val="1"/>
      <w:marLeft w:val="0"/>
      <w:marRight w:val="0"/>
      <w:marTop w:val="0"/>
      <w:marBottom w:val="0"/>
      <w:divBdr>
        <w:top w:val="none" w:sz="0" w:space="0" w:color="auto"/>
        <w:left w:val="none" w:sz="0" w:space="0" w:color="auto"/>
        <w:bottom w:val="none" w:sz="0" w:space="0" w:color="auto"/>
        <w:right w:val="none" w:sz="0" w:space="0" w:color="auto"/>
      </w:divBdr>
    </w:div>
    <w:div w:id="352999222">
      <w:bodyDiv w:val="1"/>
      <w:marLeft w:val="0"/>
      <w:marRight w:val="0"/>
      <w:marTop w:val="0"/>
      <w:marBottom w:val="0"/>
      <w:divBdr>
        <w:top w:val="none" w:sz="0" w:space="0" w:color="auto"/>
        <w:left w:val="none" w:sz="0" w:space="0" w:color="auto"/>
        <w:bottom w:val="none" w:sz="0" w:space="0" w:color="auto"/>
        <w:right w:val="none" w:sz="0" w:space="0" w:color="auto"/>
      </w:divBdr>
    </w:div>
    <w:div w:id="365906174">
      <w:bodyDiv w:val="1"/>
      <w:marLeft w:val="0"/>
      <w:marRight w:val="0"/>
      <w:marTop w:val="0"/>
      <w:marBottom w:val="0"/>
      <w:divBdr>
        <w:top w:val="none" w:sz="0" w:space="0" w:color="auto"/>
        <w:left w:val="none" w:sz="0" w:space="0" w:color="auto"/>
        <w:bottom w:val="none" w:sz="0" w:space="0" w:color="auto"/>
        <w:right w:val="none" w:sz="0" w:space="0" w:color="auto"/>
      </w:divBdr>
    </w:div>
    <w:div w:id="372273725">
      <w:bodyDiv w:val="1"/>
      <w:marLeft w:val="0"/>
      <w:marRight w:val="0"/>
      <w:marTop w:val="0"/>
      <w:marBottom w:val="0"/>
      <w:divBdr>
        <w:top w:val="none" w:sz="0" w:space="0" w:color="auto"/>
        <w:left w:val="none" w:sz="0" w:space="0" w:color="auto"/>
        <w:bottom w:val="none" w:sz="0" w:space="0" w:color="auto"/>
        <w:right w:val="none" w:sz="0" w:space="0" w:color="auto"/>
      </w:divBdr>
    </w:div>
    <w:div w:id="374165390">
      <w:bodyDiv w:val="1"/>
      <w:marLeft w:val="0"/>
      <w:marRight w:val="0"/>
      <w:marTop w:val="0"/>
      <w:marBottom w:val="0"/>
      <w:divBdr>
        <w:top w:val="none" w:sz="0" w:space="0" w:color="auto"/>
        <w:left w:val="none" w:sz="0" w:space="0" w:color="auto"/>
        <w:bottom w:val="none" w:sz="0" w:space="0" w:color="auto"/>
        <w:right w:val="none" w:sz="0" w:space="0" w:color="auto"/>
      </w:divBdr>
    </w:div>
    <w:div w:id="380054508">
      <w:bodyDiv w:val="1"/>
      <w:marLeft w:val="0"/>
      <w:marRight w:val="0"/>
      <w:marTop w:val="0"/>
      <w:marBottom w:val="0"/>
      <w:divBdr>
        <w:top w:val="none" w:sz="0" w:space="0" w:color="auto"/>
        <w:left w:val="none" w:sz="0" w:space="0" w:color="auto"/>
        <w:bottom w:val="none" w:sz="0" w:space="0" w:color="auto"/>
        <w:right w:val="none" w:sz="0" w:space="0" w:color="auto"/>
      </w:divBdr>
      <w:divsChild>
        <w:div w:id="817385328">
          <w:marLeft w:val="0"/>
          <w:marRight w:val="547"/>
          <w:marTop w:val="0"/>
          <w:marBottom w:val="0"/>
          <w:divBdr>
            <w:top w:val="none" w:sz="0" w:space="0" w:color="auto"/>
            <w:left w:val="none" w:sz="0" w:space="0" w:color="auto"/>
            <w:bottom w:val="none" w:sz="0" w:space="0" w:color="auto"/>
            <w:right w:val="none" w:sz="0" w:space="0" w:color="auto"/>
          </w:divBdr>
        </w:div>
      </w:divsChild>
    </w:div>
    <w:div w:id="380986454">
      <w:bodyDiv w:val="1"/>
      <w:marLeft w:val="0"/>
      <w:marRight w:val="0"/>
      <w:marTop w:val="0"/>
      <w:marBottom w:val="0"/>
      <w:divBdr>
        <w:top w:val="none" w:sz="0" w:space="0" w:color="auto"/>
        <w:left w:val="none" w:sz="0" w:space="0" w:color="auto"/>
        <w:bottom w:val="none" w:sz="0" w:space="0" w:color="auto"/>
        <w:right w:val="none" w:sz="0" w:space="0" w:color="auto"/>
      </w:divBdr>
    </w:div>
    <w:div w:id="400181198">
      <w:bodyDiv w:val="1"/>
      <w:marLeft w:val="0"/>
      <w:marRight w:val="0"/>
      <w:marTop w:val="0"/>
      <w:marBottom w:val="0"/>
      <w:divBdr>
        <w:top w:val="none" w:sz="0" w:space="0" w:color="auto"/>
        <w:left w:val="none" w:sz="0" w:space="0" w:color="auto"/>
        <w:bottom w:val="none" w:sz="0" w:space="0" w:color="auto"/>
        <w:right w:val="none" w:sz="0" w:space="0" w:color="auto"/>
      </w:divBdr>
    </w:div>
    <w:div w:id="407187887">
      <w:bodyDiv w:val="1"/>
      <w:marLeft w:val="0"/>
      <w:marRight w:val="0"/>
      <w:marTop w:val="0"/>
      <w:marBottom w:val="0"/>
      <w:divBdr>
        <w:top w:val="none" w:sz="0" w:space="0" w:color="auto"/>
        <w:left w:val="none" w:sz="0" w:space="0" w:color="auto"/>
        <w:bottom w:val="none" w:sz="0" w:space="0" w:color="auto"/>
        <w:right w:val="none" w:sz="0" w:space="0" w:color="auto"/>
      </w:divBdr>
    </w:div>
    <w:div w:id="411464374">
      <w:bodyDiv w:val="1"/>
      <w:marLeft w:val="0"/>
      <w:marRight w:val="0"/>
      <w:marTop w:val="0"/>
      <w:marBottom w:val="0"/>
      <w:divBdr>
        <w:top w:val="none" w:sz="0" w:space="0" w:color="auto"/>
        <w:left w:val="none" w:sz="0" w:space="0" w:color="auto"/>
        <w:bottom w:val="none" w:sz="0" w:space="0" w:color="auto"/>
        <w:right w:val="none" w:sz="0" w:space="0" w:color="auto"/>
      </w:divBdr>
    </w:div>
    <w:div w:id="411900596">
      <w:bodyDiv w:val="1"/>
      <w:marLeft w:val="0"/>
      <w:marRight w:val="0"/>
      <w:marTop w:val="0"/>
      <w:marBottom w:val="0"/>
      <w:divBdr>
        <w:top w:val="none" w:sz="0" w:space="0" w:color="auto"/>
        <w:left w:val="none" w:sz="0" w:space="0" w:color="auto"/>
        <w:bottom w:val="none" w:sz="0" w:space="0" w:color="auto"/>
        <w:right w:val="none" w:sz="0" w:space="0" w:color="auto"/>
      </w:divBdr>
    </w:div>
    <w:div w:id="460341830">
      <w:bodyDiv w:val="1"/>
      <w:marLeft w:val="0"/>
      <w:marRight w:val="0"/>
      <w:marTop w:val="0"/>
      <w:marBottom w:val="0"/>
      <w:divBdr>
        <w:top w:val="none" w:sz="0" w:space="0" w:color="auto"/>
        <w:left w:val="none" w:sz="0" w:space="0" w:color="auto"/>
        <w:bottom w:val="none" w:sz="0" w:space="0" w:color="auto"/>
        <w:right w:val="none" w:sz="0" w:space="0" w:color="auto"/>
      </w:divBdr>
      <w:divsChild>
        <w:div w:id="1091199734">
          <w:marLeft w:val="0"/>
          <w:marRight w:val="547"/>
          <w:marTop w:val="0"/>
          <w:marBottom w:val="0"/>
          <w:divBdr>
            <w:top w:val="none" w:sz="0" w:space="0" w:color="auto"/>
            <w:left w:val="none" w:sz="0" w:space="0" w:color="auto"/>
            <w:bottom w:val="none" w:sz="0" w:space="0" w:color="auto"/>
            <w:right w:val="none" w:sz="0" w:space="0" w:color="auto"/>
          </w:divBdr>
        </w:div>
      </w:divsChild>
    </w:div>
    <w:div w:id="471554954">
      <w:bodyDiv w:val="1"/>
      <w:marLeft w:val="0"/>
      <w:marRight w:val="0"/>
      <w:marTop w:val="0"/>
      <w:marBottom w:val="0"/>
      <w:divBdr>
        <w:top w:val="none" w:sz="0" w:space="0" w:color="auto"/>
        <w:left w:val="none" w:sz="0" w:space="0" w:color="auto"/>
        <w:bottom w:val="none" w:sz="0" w:space="0" w:color="auto"/>
        <w:right w:val="none" w:sz="0" w:space="0" w:color="auto"/>
      </w:divBdr>
      <w:divsChild>
        <w:div w:id="945775323">
          <w:marLeft w:val="0"/>
          <w:marRight w:val="0"/>
          <w:marTop w:val="0"/>
          <w:marBottom w:val="0"/>
          <w:divBdr>
            <w:top w:val="none" w:sz="0" w:space="0" w:color="auto"/>
            <w:left w:val="none" w:sz="0" w:space="0" w:color="auto"/>
            <w:bottom w:val="none" w:sz="0" w:space="0" w:color="auto"/>
            <w:right w:val="none" w:sz="0" w:space="0" w:color="auto"/>
          </w:divBdr>
        </w:div>
      </w:divsChild>
    </w:div>
    <w:div w:id="508059909">
      <w:bodyDiv w:val="1"/>
      <w:marLeft w:val="0"/>
      <w:marRight w:val="0"/>
      <w:marTop w:val="0"/>
      <w:marBottom w:val="0"/>
      <w:divBdr>
        <w:top w:val="none" w:sz="0" w:space="0" w:color="auto"/>
        <w:left w:val="none" w:sz="0" w:space="0" w:color="auto"/>
        <w:bottom w:val="none" w:sz="0" w:space="0" w:color="auto"/>
        <w:right w:val="none" w:sz="0" w:space="0" w:color="auto"/>
      </w:divBdr>
    </w:div>
    <w:div w:id="512574127">
      <w:bodyDiv w:val="1"/>
      <w:marLeft w:val="0"/>
      <w:marRight w:val="0"/>
      <w:marTop w:val="0"/>
      <w:marBottom w:val="0"/>
      <w:divBdr>
        <w:top w:val="none" w:sz="0" w:space="0" w:color="auto"/>
        <w:left w:val="none" w:sz="0" w:space="0" w:color="auto"/>
        <w:bottom w:val="none" w:sz="0" w:space="0" w:color="auto"/>
        <w:right w:val="none" w:sz="0" w:space="0" w:color="auto"/>
      </w:divBdr>
    </w:div>
    <w:div w:id="522784424">
      <w:bodyDiv w:val="1"/>
      <w:marLeft w:val="0"/>
      <w:marRight w:val="0"/>
      <w:marTop w:val="0"/>
      <w:marBottom w:val="0"/>
      <w:divBdr>
        <w:top w:val="none" w:sz="0" w:space="0" w:color="auto"/>
        <w:left w:val="none" w:sz="0" w:space="0" w:color="auto"/>
        <w:bottom w:val="none" w:sz="0" w:space="0" w:color="auto"/>
        <w:right w:val="none" w:sz="0" w:space="0" w:color="auto"/>
      </w:divBdr>
    </w:div>
    <w:div w:id="553658070">
      <w:bodyDiv w:val="1"/>
      <w:marLeft w:val="0"/>
      <w:marRight w:val="0"/>
      <w:marTop w:val="0"/>
      <w:marBottom w:val="0"/>
      <w:divBdr>
        <w:top w:val="none" w:sz="0" w:space="0" w:color="auto"/>
        <w:left w:val="none" w:sz="0" w:space="0" w:color="auto"/>
        <w:bottom w:val="none" w:sz="0" w:space="0" w:color="auto"/>
        <w:right w:val="none" w:sz="0" w:space="0" w:color="auto"/>
      </w:divBdr>
    </w:div>
    <w:div w:id="560556903">
      <w:bodyDiv w:val="1"/>
      <w:marLeft w:val="0"/>
      <w:marRight w:val="0"/>
      <w:marTop w:val="0"/>
      <w:marBottom w:val="0"/>
      <w:divBdr>
        <w:top w:val="none" w:sz="0" w:space="0" w:color="auto"/>
        <w:left w:val="none" w:sz="0" w:space="0" w:color="auto"/>
        <w:bottom w:val="none" w:sz="0" w:space="0" w:color="auto"/>
        <w:right w:val="none" w:sz="0" w:space="0" w:color="auto"/>
      </w:divBdr>
    </w:div>
    <w:div w:id="623077945">
      <w:bodyDiv w:val="1"/>
      <w:marLeft w:val="0"/>
      <w:marRight w:val="0"/>
      <w:marTop w:val="0"/>
      <w:marBottom w:val="0"/>
      <w:divBdr>
        <w:top w:val="none" w:sz="0" w:space="0" w:color="auto"/>
        <w:left w:val="none" w:sz="0" w:space="0" w:color="auto"/>
        <w:bottom w:val="none" w:sz="0" w:space="0" w:color="auto"/>
        <w:right w:val="none" w:sz="0" w:space="0" w:color="auto"/>
      </w:divBdr>
    </w:div>
    <w:div w:id="623803896">
      <w:bodyDiv w:val="1"/>
      <w:marLeft w:val="0"/>
      <w:marRight w:val="0"/>
      <w:marTop w:val="0"/>
      <w:marBottom w:val="0"/>
      <w:divBdr>
        <w:top w:val="none" w:sz="0" w:space="0" w:color="auto"/>
        <w:left w:val="none" w:sz="0" w:space="0" w:color="auto"/>
        <w:bottom w:val="none" w:sz="0" w:space="0" w:color="auto"/>
        <w:right w:val="none" w:sz="0" w:space="0" w:color="auto"/>
      </w:divBdr>
    </w:div>
    <w:div w:id="637108109">
      <w:bodyDiv w:val="1"/>
      <w:marLeft w:val="0"/>
      <w:marRight w:val="0"/>
      <w:marTop w:val="0"/>
      <w:marBottom w:val="0"/>
      <w:divBdr>
        <w:top w:val="none" w:sz="0" w:space="0" w:color="auto"/>
        <w:left w:val="none" w:sz="0" w:space="0" w:color="auto"/>
        <w:bottom w:val="none" w:sz="0" w:space="0" w:color="auto"/>
        <w:right w:val="none" w:sz="0" w:space="0" w:color="auto"/>
      </w:divBdr>
    </w:div>
    <w:div w:id="651522120">
      <w:bodyDiv w:val="1"/>
      <w:marLeft w:val="0"/>
      <w:marRight w:val="0"/>
      <w:marTop w:val="0"/>
      <w:marBottom w:val="0"/>
      <w:divBdr>
        <w:top w:val="none" w:sz="0" w:space="0" w:color="auto"/>
        <w:left w:val="none" w:sz="0" w:space="0" w:color="auto"/>
        <w:bottom w:val="none" w:sz="0" w:space="0" w:color="auto"/>
        <w:right w:val="none" w:sz="0" w:space="0" w:color="auto"/>
      </w:divBdr>
    </w:div>
    <w:div w:id="673605005">
      <w:bodyDiv w:val="1"/>
      <w:marLeft w:val="0"/>
      <w:marRight w:val="0"/>
      <w:marTop w:val="0"/>
      <w:marBottom w:val="0"/>
      <w:divBdr>
        <w:top w:val="none" w:sz="0" w:space="0" w:color="auto"/>
        <w:left w:val="none" w:sz="0" w:space="0" w:color="auto"/>
        <w:bottom w:val="none" w:sz="0" w:space="0" w:color="auto"/>
        <w:right w:val="none" w:sz="0" w:space="0" w:color="auto"/>
      </w:divBdr>
    </w:div>
    <w:div w:id="703023930">
      <w:bodyDiv w:val="1"/>
      <w:marLeft w:val="0"/>
      <w:marRight w:val="0"/>
      <w:marTop w:val="0"/>
      <w:marBottom w:val="0"/>
      <w:divBdr>
        <w:top w:val="none" w:sz="0" w:space="0" w:color="auto"/>
        <w:left w:val="none" w:sz="0" w:space="0" w:color="auto"/>
        <w:bottom w:val="none" w:sz="0" w:space="0" w:color="auto"/>
        <w:right w:val="none" w:sz="0" w:space="0" w:color="auto"/>
      </w:divBdr>
    </w:div>
    <w:div w:id="722754180">
      <w:bodyDiv w:val="1"/>
      <w:marLeft w:val="0"/>
      <w:marRight w:val="0"/>
      <w:marTop w:val="0"/>
      <w:marBottom w:val="0"/>
      <w:divBdr>
        <w:top w:val="none" w:sz="0" w:space="0" w:color="auto"/>
        <w:left w:val="none" w:sz="0" w:space="0" w:color="auto"/>
        <w:bottom w:val="none" w:sz="0" w:space="0" w:color="auto"/>
        <w:right w:val="none" w:sz="0" w:space="0" w:color="auto"/>
      </w:divBdr>
    </w:div>
    <w:div w:id="764424719">
      <w:bodyDiv w:val="1"/>
      <w:marLeft w:val="0"/>
      <w:marRight w:val="0"/>
      <w:marTop w:val="0"/>
      <w:marBottom w:val="0"/>
      <w:divBdr>
        <w:top w:val="none" w:sz="0" w:space="0" w:color="auto"/>
        <w:left w:val="none" w:sz="0" w:space="0" w:color="auto"/>
        <w:bottom w:val="none" w:sz="0" w:space="0" w:color="auto"/>
        <w:right w:val="none" w:sz="0" w:space="0" w:color="auto"/>
      </w:divBdr>
      <w:divsChild>
        <w:div w:id="965697934">
          <w:marLeft w:val="0"/>
          <w:marRight w:val="0"/>
          <w:marTop w:val="0"/>
          <w:marBottom w:val="0"/>
          <w:divBdr>
            <w:top w:val="none" w:sz="0" w:space="0" w:color="auto"/>
            <w:left w:val="none" w:sz="0" w:space="0" w:color="auto"/>
            <w:bottom w:val="none" w:sz="0" w:space="0" w:color="auto"/>
            <w:right w:val="none" w:sz="0" w:space="0" w:color="auto"/>
          </w:divBdr>
        </w:div>
        <w:div w:id="420495679">
          <w:marLeft w:val="0"/>
          <w:marRight w:val="0"/>
          <w:marTop w:val="0"/>
          <w:marBottom w:val="0"/>
          <w:divBdr>
            <w:top w:val="none" w:sz="0" w:space="0" w:color="auto"/>
            <w:left w:val="none" w:sz="0" w:space="0" w:color="auto"/>
            <w:bottom w:val="none" w:sz="0" w:space="0" w:color="auto"/>
            <w:right w:val="none" w:sz="0" w:space="0" w:color="auto"/>
          </w:divBdr>
        </w:div>
      </w:divsChild>
    </w:div>
    <w:div w:id="767694286">
      <w:bodyDiv w:val="1"/>
      <w:marLeft w:val="0"/>
      <w:marRight w:val="0"/>
      <w:marTop w:val="0"/>
      <w:marBottom w:val="0"/>
      <w:divBdr>
        <w:top w:val="none" w:sz="0" w:space="0" w:color="auto"/>
        <w:left w:val="none" w:sz="0" w:space="0" w:color="auto"/>
        <w:bottom w:val="none" w:sz="0" w:space="0" w:color="auto"/>
        <w:right w:val="none" w:sz="0" w:space="0" w:color="auto"/>
      </w:divBdr>
    </w:div>
    <w:div w:id="771586378">
      <w:bodyDiv w:val="1"/>
      <w:marLeft w:val="0"/>
      <w:marRight w:val="0"/>
      <w:marTop w:val="0"/>
      <w:marBottom w:val="0"/>
      <w:divBdr>
        <w:top w:val="none" w:sz="0" w:space="0" w:color="auto"/>
        <w:left w:val="none" w:sz="0" w:space="0" w:color="auto"/>
        <w:bottom w:val="none" w:sz="0" w:space="0" w:color="auto"/>
        <w:right w:val="none" w:sz="0" w:space="0" w:color="auto"/>
      </w:divBdr>
    </w:div>
    <w:div w:id="792675640">
      <w:bodyDiv w:val="1"/>
      <w:marLeft w:val="0"/>
      <w:marRight w:val="0"/>
      <w:marTop w:val="0"/>
      <w:marBottom w:val="0"/>
      <w:divBdr>
        <w:top w:val="none" w:sz="0" w:space="0" w:color="auto"/>
        <w:left w:val="none" w:sz="0" w:space="0" w:color="auto"/>
        <w:bottom w:val="none" w:sz="0" w:space="0" w:color="auto"/>
        <w:right w:val="none" w:sz="0" w:space="0" w:color="auto"/>
      </w:divBdr>
    </w:div>
    <w:div w:id="805657432">
      <w:bodyDiv w:val="1"/>
      <w:marLeft w:val="0"/>
      <w:marRight w:val="0"/>
      <w:marTop w:val="0"/>
      <w:marBottom w:val="0"/>
      <w:divBdr>
        <w:top w:val="none" w:sz="0" w:space="0" w:color="auto"/>
        <w:left w:val="none" w:sz="0" w:space="0" w:color="auto"/>
        <w:bottom w:val="none" w:sz="0" w:space="0" w:color="auto"/>
        <w:right w:val="none" w:sz="0" w:space="0" w:color="auto"/>
      </w:divBdr>
    </w:div>
    <w:div w:id="807480344">
      <w:bodyDiv w:val="1"/>
      <w:marLeft w:val="0"/>
      <w:marRight w:val="0"/>
      <w:marTop w:val="0"/>
      <w:marBottom w:val="0"/>
      <w:divBdr>
        <w:top w:val="none" w:sz="0" w:space="0" w:color="auto"/>
        <w:left w:val="none" w:sz="0" w:space="0" w:color="auto"/>
        <w:bottom w:val="none" w:sz="0" w:space="0" w:color="auto"/>
        <w:right w:val="none" w:sz="0" w:space="0" w:color="auto"/>
      </w:divBdr>
    </w:div>
    <w:div w:id="842474991">
      <w:bodyDiv w:val="1"/>
      <w:marLeft w:val="0"/>
      <w:marRight w:val="0"/>
      <w:marTop w:val="0"/>
      <w:marBottom w:val="0"/>
      <w:divBdr>
        <w:top w:val="none" w:sz="0" w:space="0" w:color="auto"/>
        <w:left w:val="none" w:sz="0" w:space="0" w:color="auto"/>
        <w:bottom w:val="none" w:sz="0" w:space="0" w:color="auto"/>
        <w:right w:val="none" w:sz="0" w:space="0" w:color="auto"/>
      </w:divBdr>
    </w:div>
    <w:div w:id="857037508">
      <w:bodyDiv w:val="1"/>
      <w:marLeft w:val="0"/>
      <w:marRight w:val="0"/>
      <w:marTop w:val="0"/>
      <w:marBottom w:val="0"/>
      <w:divBdr>
        <w:top w:val="none" w:sz="0" w:space="0" w:color="auto"/>
        <w:left w:val="none" w:sz="0" w:space="0" w:color="auto"/>
        <w:bottom w:val="none" w:sz="0" w:space="0" w:color="auto"/>
        <w:right w:val="none" w:sz="0" w:space="0" w:color="auto"/>
      </w:divBdr>
    </w:div>
    <w:div w:id="859129332">
      <w:bodyDiv w:val="1"/>
      <w:marLeft w:val="0"/>
      <w:marRight w:val="0"/>
      <w:marTop w:val="0"/>
      <w:marBottom w:val="0"/>
      <w:divBdr>
        <w:top w:val="none" w:sz="0" w:space="0" w:color="auto"/>
        <w:left w:val="none" w:sz="0" w:space="0" w:color="auto"/>
        <w:bottom w:val="none" w:sz="0" w:space="0" w:color="auto"/>
        <w:right w:val="none" w:sz="0" w:space="0" w:color="auto"/>
      </w:divBdr>
    </w:div>
    <w:div w:id="893270413">
      <w:bodyDiv w:val="1"/>
      <w:marLeft w:val="0"/>
      <w:marRight w:val="0"/>
      <w:marTop w:val="0"/>
      <w:marBottom w:val="0"/>
      <w:divBdr>
        <w:top w:val="none" w:sz="0" w:space="0" w:color="auto"/>
        <w:left w:val="none" w:sz="0" w:space="0" w:color="auto"/>
        <w:bottom w:val="none" w:sz="0" w:space="0" w:color="auto"/>
        <w:right w:val="none" w:sz="0" w:space="0" w:color="auto"/>
      </w:divBdr>
      <w:divsChild>
        <w:div w:id="279843399">
          <w:marLeft w:val="0"/>
          <w:marRight w:val="0"/>
          <w:marTop w:val="0"/>
          <w:marBottom w:val="0"/>
          <w:divBdr>
            <w:top w:val="none" w:sz="0" w:space="0" w:color="auto"/>
            <w:left w:val="none" w:sz="0" w:space="0" w:color="auto"/>
            <w:bottom w:val="none" w:sz="0" w:space="0" w:color="auto"/>
            <w:right w:val="none" w:sz="0" w:space="0" w:color="auto"/>
          </w:divBdr>
        </w:div>
      </w:divsChild>
    </w:div>
    <w:div w:id="913321488">
      <w:bodyDiv w:val="1"/>
      <w:marLeft w:val="0"/>
      <w:marRight w:val="0"/>
      <w:marTop w:val="0"/>
      <w:marBottom w:val="0"/>
      <w:divBdr>
        <w:top w:val="none" w:sz="0" w:space="0" w:color="auto"/>
        <w:left w:val="none" w:sz="0" w:space="0" w:color="auto"/>
        <w:bottom w:val="none" w:sz="0" w:space="0" w:color="auto"/>
        <w:right w:val="none" w:sz="0" w:space="0" w:color="auto"/>
      </w:divBdr>
    </w:div>
    <w:div w:id="920522837">
      <w:bodyDiv w:val="1"/>
      <w:marLeft w:val="0"/>
      <w:marRight w:val="0"/>
      <w:marTop w:val="0"/>
      <w:marBottom w:val="0"/>
      <w:divBdr>
        <w:top w:val="none" w:sz="0" w:space="0" w:color="auto"/>
        <w:left w:val="none" w:sz="0" w:space="0" w:color="auto"/>
        <w:bottom w:val="none" w:sz="0" w:space="0" w:color="auto"/>
        <w:right w:val="none" w:sz="0" w:space="0" w:color="auto"/>
      </w:divBdr>
      <w:divsChild>
        <w:div w:id="1324117882">
          <w:marLeft w:val="0"/>
          <w:marRight w:val="720"/>
          <w:marTop w:val="0"/>
          <w:marBottom w:val="0"/>
          <w:divBdr>
            <w:top w:val="none" w:sz="0" w:space="0" w:color="auto"/>
            <w:left w:val="none" w:sz="0" w:space="0" w:color="auto"/>
            <w:bottom w:val="none" w:sz="0" w:space="0" w:color="auto"/>
            <w:right w:val="none" w:sz="0" w:space="0" w:color="auto"/>
          </w:divBdr>
        </w:div>
      </w:divsChild>
    </w:div>
    <w:div w:id="937175215">
      <w:bodyDiv w:val="1"/>
      <w:marLeft w:val="0"/>
      <w:marRight w:val="0"/>
      <w:marTop w:val="0"/>
      <w:marBottom w:val="0"/>
      <w:divBdr>
        <w:top w:val="none" w:sz="0" w:space="0" w:color="auto"/>
        <w:left w:val="none" w:sz="0" w:space="0" w:color="auto"/>
        <w:bottom w:val="none" w:sz="0" w:space="0" w:color="auto"/>
        <w:right w:val="none" w:sz="0" w:space="0" w:color="auto"/>
      </w:divBdr>
    </w:div>
    <w:div w:id="95632855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669573">
      <w:bodyDiv w:val="1"/>
      <w:marLeft w:val="0"/>
      <w:marRight w:val="0"/>
      <w:marTop w:val="0"/>
      <w:marBottom w:val="0"/>
      <w:divBdr>
        <w:top w:val="none" w:sz="0" w:space="0" w:color="auto"/>
        <w:left w:val="none" w:sz="0" w:space="0" w:color="auto"/>
        <w:bottom w:val="none" w:sz="0" w:space="0" w:color="auto"/>
        <w:right w:val="none" w:sz="0" w:space="0" w:color="auto"/>
      </w:divBdr>
    </w:div>
    <w:div w:id="993264728">
      <w:bodyDiv w:val="1"/>
      <w:marLeft w:val="0"/>
      <w:marRight w:val="0"/>
      <w:marTop w:val="0"/>
      <w:marBottom w:val="0"/>
      <w:divBdr>
        <w:top w:val="none" w:sz="0" w:space="0" w:color="auto"/>
        <w:left w:val="none" w:sz="0" w:space="0" w:color="auto"/>
        <w:bottom w:val="none" w:sz="0" w:space="0" w:color="auto"/>
        <w:right w:val="none" w:sz="0" w:space="0" w:color="auto"/>
      </w:divBdr>
    </w:div>
    <w:div w:id="993491249">
      <w:bodyDiv w:val="1"/>
      <w:marLeft w:val="0"/>
      <w:marRight w:val="0"/>
      <w:marTop w:val="0"/>
      <w:marBottom w:val="0"/>
      <w:divBdr>
        <w:top w:val="none" w:sz="0" w:space="0" w:color="auto"/>
        <w:left w:val="none" w:sz="0" w:space="0" w:color="auto"/>
        <w:bottom w:val="none" w:sz="0" w:space="0" w:color="auto"/>
        <w:right w:val="none" w:sz="0" w:space="0" w:color="auto"/>
      </w:divBdr>
    </w:div>
    <w:div w:id="1003165299">
      <w:bodyDiv w:val="1"/>
      <w:marLeft w:val="0"/>
      <w:marRight w:val="0"/>
      <w:marTop w:val="0"/>
      <w:marBottom w:val="0"/>
      <w:divBdr>
        <w:top w:val="none" w:sz="0" w:space="0" w:color="auto"/>
        <w:left w:val="none" w:sz="0" w:space="0" w:color="auto"/>
        <w:bottom w:val="none" w:sz="0" w:space="0" w:color="auto"/>
        <w:right w:val="none" w:sz="0" w:space="0" w:color="auto"/>
      </w:divBdr>
    </w:div>
    <w:div w:id="1037047281">
      <w:bodyDiv w:val="1"/>
      <w:marLeft w:val="0"/>
      <w:marRight w:val="0"/>
      <w:marTop w:val="0"/>
      <w:marBottom w:val="0"/>
      <w:divBdr>
        <w:top w:val="none" w:sz="0" w:space="0" w:color="auto"/>
        <w:left w:val="none" w:sz="0" w:space="0" w:color="auto"/>
        <w:bottom w:val="none" w:sz="0" w:space="0" w:color="auto"/>
        <w:right w:val="none" w:sz="0" w:space="0" w:color="auto"/>
      </w:divBdr>
    </w:div>
    <w:div w:id="1039159699">
      <w:bodyDiv w:val="1"/>
      <w:marLeft w:val="0"/>
      <w:marRight w:val="0"/>
      <w:marTop w:val="0"/>
      <w:marBottom w:val="0"/>
      <w:divBdr>
        <w:top w:val="none" w:sz="0" w:space="0" w:color="auto"/>
        <w:left w:val="none" w:sz="0" w:space="0" w:color="auto"/>
        <w:bottom w:val="none" w:sz="0" w:space="0" w:color="auto"/>
        <w:right w:val="none" w:sz="0" w:space="0" w:color="auto"/>
      </w:divBdr>
    </w:div>
    <w:div w:id="1076898509">
      <w:bodyDiv w:val="1"/>
      <w:marLeft w:val="0"/>
      <w:marRight w:val="0"/>
      <w:marTop w:val="0"/>
      <w:marBottom w:val="0"/>
      <w:divBdr>
        <w:top w:val="none" w:sz="0" w:space="0" w:color="auto"/>
        <w:left w:val="none" w:sz="0" w:space="0" w:color="auto"/>
        <w:bottom w:val="none" w:sz="0" w:space="0" w:color="auto"/>
        <w:right w:val="none" w:sz="0" w:space="0" w:color="auto"/>
      </w:divBdr>
    </w:div>
    <w:div w:id="1095899796">
      <w:bodyDiv w:val="1"/>
      <w:marLeft w:val="0"/>
      <w:marRight w:val="0"/>
      <w:marTop w:val="0"/>
      <w:marBottom w:val="0"/>
      <w:divBdr>
        <w:top w:val="none" w:sz="0" w:space="0" w:color="auto"/>
        <w:left w:val="none" w:sz="0" w:space="0" w:color="auto"/>
        <w:bottom w:val="none" w:sz="0" w:space="0" w:color="auto"/>
        <w:right w:val="none" w:sz="0" w:space="0" w:color="auto"/>
      </w:divBdr>
    </w:div>
    <w:div w:id="1104157494">
      <w:bodyDiv w:val="1"/>
      <w:marLeft w:val="0"/>
      <w:marRight w:val="0"/>
      <w:marTop w:val="0"/>
      <w:marBottom w:val="0"/>
      <w:divBdr>
        <w:top w:val="none" w:sz="0" w:space="0" w:color="auto"/>
        <w:left w:val="none" w:sz="0" w:space="0" w:color="auto"/>
        <w:bottom w:val="none" w:sz="0" w:space="0" w:color="auto"/>
        <w:right w:val="none" w:sz="0" w:space="0" w:color="auto"/>
      </w:divBdr>
      <w:divsChild>
        <w:div w:id="1246495576">
          <w:marLeft w:val="0"/>
          <w:marRight w:val="0"/>
          <w:marTop w:val="0"/>
          <w:marBottom w:val="0"/>
          <w:divBdr>
            <w:top w:val="none" w:sz="0" w:space="0" w:color="auto"/>
            <w:left w:val="none" w:sz="0" w:space="0" w:color="auto"/>
            <w:bottom w:val="none" w:sz="0" w:space="0" w:color="auto"/>
            <w:right w:val="none" w:sz="0" w:space="0" w:color="auto"/>
          </w:divBdr>
          <w:divsChild>
            <w:div w:id="1043168213">
              <w:marLeft w:val="0"/>
              <w:marRight w:val="0"/>
              <w:marTop w:val="0"/>
              <w:marBottom w:val="0"/>
              <w:divBdr>
                <w:top w:val="none" w:sz="0" w:space="0" w:color="auto"/>
                <w:left w:val="none" w:sz="0" w:space="0" w:color="auto"/>
                <w:bottom w:val="none" w:sz="0" w:space="0" w:color="auto"/>
                <w:right w:val="none" w:sz="0" w:space="0" w:color="auto"/>
              </w:divBdr>
              <w:divsChild>
                <w:div w:id="401830788">
                  <w:marLeft w:val="0"/>
                  <w:marRight w:val="0"/>
                  <w:marTop w:val="0"/>
                  <w:marBottom w:val="0"/>
                  <w:divBdr>
                    <w:top w:val="none" w:sz="0" w:space="0" w:color="auto"/>
                    <w:left w:val="none" w:sz="0" w:space="0" w:color="auto"/>
                    <w:bottom w:val="none" w:sz="0" w:space="0" w:color="auto"/>
                    <w:right w:val="none" w:sz="0" w:space="0" w:color="auto"/>
                  </w:divBdr>
                  <w:divsChild>
                    <w:div w:id="268970628">
                      <w:marLeft w:val="0"/>
                      <w:marRight w:val="0"/>
                      <w:marTop w:val="0"/>
                      <w:marBottom w:val="0"/>
                      <w:divBdr>
                        <w:top w:val="none" w:sz="0" w:space="0" w:color="auto"/>
                        <w:left w:val="none" w:sz="0" w:space="0" w:color="auto"/>
                        <w:bottom w:val="none" w:sz="0" w:space="0" w:color="auto"/>
                        <w:right w:val="none" w:sz="0" w:space="0" w:color="auto"/>
                      </w:divBdr>
                    </w:div>
                    <w:div w:id="3361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558548">
      <w:bodyDiv w:val="1"/>
      <w:marLeft w:val="0"/>
      <w:marRight w:val="0"/>
      <w:marTop w:val="0"/>
      <w:marBottom w:val="0"/>
      <w:divBdr>
        <w:top w:val="none" w:sz="0" w:space="0" w:color="auto"/>
        <w:left w:val="none" w:sz="0" w:space="0" w:color="auto"/>
        <w:bottom w:val="none" w:sz="0" w:space="0" w:color="auto"/>
        <w:right w:val="none" w:sz="0" w:space="0" w:color="auto"/>
      </w:divBdr>
    </w:div>
    <w:div w:id="1118599713">
      <w:bodyDiv w:val="1"/>
      <w:marLeft w:val="0"/>
      <w:marRight w:val="0"/>
      <w:marTop w:val="0"/>
      <w:marBottom w:val="0"/>
      <w:divBdr>
        <w:top w:val="none" w:sz="0" w:space="0" w:color="auto"/>
        <w:left w:val="none" w:sz="0" w:space="0" w:color="auto"/>
        <w:bottom w:val="none" w:sz="0" w:space="0" w:color="auto"/>
        <w:right w:val="none" w:sz="0" w:space="0" w:color="auto"/>
      </w:divBdr>
    </w:div>
    <w:div w:id="1122574519">
      <w:bodyDiv w:val="1"/>
      <w:marLeft w:val="0"/>
      <w:marRight w:val="0"/>
      <w:marTop w:val="0"/>
      <w:marBottom w:val="0"/>
      <w:divBdr>
        <w:top w:val="none" w:sz="0" w:space="0" w:color="auto"/>
        <w:left w:val="none" w:sz="0" w:space="0" w:color="auto"/>
        <w:bottom w:val="none" w:sz="0" w:space="0" w:color="auto"/>
        <w:right w:val="none" w:sz="0" w:space="0" w:color="auto"/>
      </w:divBdr>
    </w:div>
    <w:div w:id="1139179059">
      <w:bodyDiv w:val="1"/>
      <w:marLeft w:val="0"/>
      <w:marRight w:val="0"/>
      <w:marTop w:val="0"/>
      <w:marBottom w:val="0"/>
      <w:divBdr>
        <w:top w:val="none" w:sz="0" w:space="0" w:color="auto"/>
        <w:left w:val="none" w:sz="0" w:space="0" w:color="auto"/>
        <w:bottom w:val="none" w:sz="0" w:space="0" w:color="auto"/>
        <w:right w:val="none" w:sz="0" w:space="0" w:color="auto"/>
      </w:divBdr>
    </w:div>
    <w:div w:id="1141729716">
      <w:bodyDiv w:val="1"/>
      <w:marLeft w:val="0"/>
      <w:marRight w:val="0"/>
      <w:marTop w:val="0"/>
      <w:marBottom w:val="0"/>
      <w:divBdr>
        <w:top w:val="none" w:sz="0" w:space="0" w:color="auto"/>
        <w:left w:val="none" w:sz="0" w:space="0" w:color="auto"/>
        <w:bottom w:val="none" w:sz="0" w:space="0" w:color="auto"/>
        <w:right w:val="none" w:sz="0" w:space="0" w:color="auto"/>
      </w:divBdr>
    </w:div>
    <w:div w:id="1145123691">
      <w:bodyDiv w:val="1"/>
      <w:marLeft w:val="0"/>
      <w:marRight w:val="0"/>
      <w:marTop w:val="0"/>
      <w:marBottom w:val="0"/>
      <w:divBdr>
        <w:top w:val="none" w:sz="0" w:space="0" w:color="auto"/>
        <w:left w:val="none" w:sz="0" w:space="0" w:color="auto"/>
        <w:bottom w:val="none" w:sz="0" w:space="0" w:color="auto"/>
        <w:right w:val="none" w:sz="0" w:space="0" w:color="auto"/>
      </w:divBdr>
    </w:div>
    <w:div w:id="1161577779">
      <w:bodyDiv w:val="1"/>
      <w:marLeft w:val="0"/>
      <w:marRight w:val="0"/>
      <w:marTop w:val="0"/>
      <w:marBottom w:val="0"/>
      <w:divBdr>
        <w:top w:val="none" w:sz="0" w:space="0" w:color="auto"/>
        <w:left w:val="none" w:sz="0" w:space="0" w:color="auto"/>
        <w:bottom w:val="none" w:sz="0" w:space="0" w:color="auto"/>
        <w:right w:val="none" w:sz="0" w:space="0" w:color="auto"/>
      </w:divBdr>
    </w:div>
    <w:div w:id="1180966922">
      <w:bodyDiv w:val="1"/>
      <w:marLeft w:val="0"/>
      <w:marRight w:val="0"/>
      <w:marTop w:val="0"/>
      <w:marBottom w:val="0"/>
      <w:divBdr>
        <w:top w:val="none" w:sz="0" w:space="0" w:color="auto"/>
        <w:left w:val="none" w:sz="0" w:space="0" w:color="auto"/>
        <w:bottom w:val="none" w:sz="0" w:space="0" w:color="auto"/>
        <w:right w:val="none" w:sz="0" w:space="0" w:color="auto"/>
      </w:divBdr>
    </w:div>
    <w:div w:id="1218130255">
      <w:bodyDiv w:val="1"/>
      <w:marLeft w:val="0"/>
      <w:marRight w:val="0"/>
      <w:marTop w:val="0"/>
      <w:marBottom w:val="0"/>
      <w:divBdr>
        <w:top w:val="none" w:sz="0" w:space="0" w:color="auto"/>
        <w:left w:val="none" w:sz="0" w:space="0" w:color="auto"/>
        <w:bottom w:val="none" w:sz="0" w:space="0" w:color="auto"/>
        <w:right w:val="none" w:sz="0" w:space="0" w:color="auto"/>
      </w:divBdr>
    </w:div>
    <w:div w:id="1230076165">
      <w:bodyDiv w:val="1"/>
      <w:marLeft w:val="0"/>
      <w:marRight w:val="0"/>
      <w:marTop w:val="0"/>
      <w:marBottom w:val="0"/>
      <w:divBdr>
        <w:top w:val="none" w:sz="0" w:space="0" w:color="auto"/>
        <w:left w:val="none" w:sz="0" w:space="0" w:color="auto"/>
        <w:bottom w:val="none" w:sz="0" w:space="0" w:color="auto"/>
        <w:right w:val="none" w:sz="0" w:space="0" w:color="auto"/>
      </w:divBdr>
      <w:divsChild>
        <w:div w:id="2126146950">
          <w:marLeft w:val="0"/>
          <w:marRight w:val="547"/>
          <w:marTop w:val="0"/>
          <w:marBottom w:val="0"/>
          <w:divBdr>
            <w:top w:val="none" w:sz="0" w:space="0" w:color="auto"/>
            <w:left w:val="none" w:sz="0" w:space="0" w:color="auto"/>
            <w:bottom w:val="none" w:sz="0" w:space="0" w:color="auto"/>
            <w:right w:val="none" w:sz="0" w:space="0" w:color="auto"/>
          </w:divBdr>
        </w:div>
      </w:divsChild>
    </w:div>
    <w:div w:id="1239823348">
      <w:bodyDiv w:val="1"/>
      <w:marLeft w:val="0"/>
      <w:marRight w:val="0"/>
      <w:marTop w:val="0"/>
      <w:marBottom w:val="0"/>
      <w:divBdr>
        <w:top w:val="none" w:sz="0" w:space="0" w:color="auto"/>
        <w:left w:val="none" w:sz="0" w:space="0" w:color="auto"/>
        <w:bottom w:val="none" w:sz="0" w:space="0" w:color="auto"/>
        <w:right w:val="none" w:sz="0" w:space="0" w:color="auto"/>
      </w:divBdr>
    </w:div>
    <w:div w:id="1282297420">
      <w:bodyDiv w:val="1"/>
      <w:marLeft w:val="0"/>
      <w:marRight w:val="0"/>
      <w:marTop w:val="0"/>
      <w:marBottom w:val="0"/>
      <w:divBdr>
        <w:top w:val="none" w:sz="0" w:space="0" w:color="auto"/>
        <w:left w:val="none" w:sz="0" w:space="0" w:color="auto"/>
        <w:bottom w:val="none" w:sz="0" w:space="0" w:color="auto"/>
        <w:right w:val="none" w:sz="0" w:space="0" w:color="auto"/>
      </w:divBdr>
    </w:div>
    <w:div w:id="1292247322">
      <w:bodyDiv w:val="1"/>
      <w:marLeft w:val="0"/>
      <w:marRight w:val="0"/>
      <w:marTop w:val="0"/>
      <w:marBottom w:val="0"/>
      <w:divBdr>
        <w:top w:val="none" w:sz="0" w:space="0" w:color="auto"/>
        <w:left w:val="none" w:sz="0" w:space="0" w:color="auto"/>
        <w:bottom w:val="none" w:sz="0" w:space="0" w:color="auto"/>
        <w:right w:val="none" w:sz="0" w:space="0" w:color="auto"/>
      </w:divBdr>
    </w:div>
    <w:div w:id="1295604616">
      <w:bodyDiv w:val="1"/>
      <w:marLeft w:val="0"/>
      <w:marRight w:val="0"/>
      <w:marTop w:val="0"/>
      <w:marBottom w:val="0"/>
      <w:divBdr>
        <w:top w:val="none" w:sz="0" w:space="0" w:color="auto"/>
        <w:left w:val="none" w:sz="0" w:space="0" w:color="auto"/>
        <w:bottom w:val="none" w:sz="0" w:space="0" w:color="auto"/>
        <w:right w:val="none" w:sz="0" w:space="0" w:color="auto"/>
      </w:divBdr>
    </w:div>
    <w:div w:id="1306281441">
      <w:bodyDiv w:val="1"/>
      <w:marLeft w:val="0"/>
      <w:marRight w:val="0"/>
      <w:marTop w:val="0"/>
      <w:marBottom w:val="0"/>
      <w:divBdr>
        <w:top w:val="none" w:sz="0" w:space="0" w:color="auto"/>
        <w:left w:val="none" w:sz="0" w:space="0" w:color="auto"/>
        <w:bottom w:val="none" w:sz="0" w:space="0" w:color="auto"/>
        <w:right w:val="none" w:sz="0" w:space="0" w:color="auto"/>
      </w:divBdr>
      <w:divsChild>
        <w:div w:id="1283993989">
          <w:marLeft w:val="-225"/>
          <w:marRight w:val="-225"/>
          <w:marTop w:val="0"/>
          <w:marBottom w:val="0"/>
          <w:divBdr>
            <w:top w:val="none" w:sz="0" w:space="0" w:color="auto"/>
            <w:left w:val="none" w:sz="0" w:space="0" w:color="auto"/>
            <w:bottom w:val="none" w:sz="0" w:space="0" w:color="auto"/>
            <w:right w:val="none" w:sz="0" w:space="0" w:color="auto"/>
          </w:divBdr>
          <w:divsChild>
            <w:div w:id="156456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1833">
      <w:bodyDiv w:val="1"/>
      <w:marLeft w:val="0"/>
      <w:marRight w:val="0"/>
      <w:marTop w:val="0"/>
      <w:marBottom w:val="0"/>
      <w:divBdr>
        <w:top w:val="none" w:sz="0" w:space="0" w:color="auto"/>
        <w:left w:val="none" w:sz="0" w:space="0" w:color="auto"/>
        <w:bottom w:val="none" w:sz="0" w:space="0" w:color="auto"/>
        <w:right w:val="none" w:sz="0" w:space="0" w:color="auto"/>
      </w:divBdr>
      <w:divsChild>
        <w:div w:id="1107627765">
          <w:marLeft w:val="0"/>
          <w:marRight w:val="720"/>
          <w:marTop w:val="0"/>
          <w:marBottom w:val="0"/>
          <w:divBdr>
            <w:top w:val="none" w:sz="0" w:space="0" w:color="auto"/>
            <w:left w:val="none" w:sz="0" w:space="0" w:color="auto"/>
            <w:bottom w:val="none" w:sz="0" w:space="0" w:color="auto"/>
            <w:right w:val="none" w:sz="0" w:space="0" w:color="auto"/>
          </w:divBdr>
        </w:div>
      </w:divsChild>
    </w:div>
    <w:div w:id="1312446948">
      <w:bodyDiv w:val="1"/>
      <w:marLeft w:val="0"/>
      <w:marRight w:val="0"/>
      <w:marTop w:val="0"/>
      <w:marBottom w:val="0"/>
      <w:divBdr>
        <w:top w:val="none" w:sz="0" w:space="0" w:color="auto"/>
        <w:left w:val="none" w:sz="0" w:space="0" w:color="auto"/>
        <w:bottom w:val="none" w:sz="0" w:space="0" w:color="auto"/>
        <w:right w:val="none" w:sz="0" w:space="0" w:color="auto"/>
      </w:divBdr>
    </w:div>
    <w:div w:id="1385328423">
      <w:bodyDiv w:val="1"/>
      <w:marLeft w:val="0"/>
      <w:marRight w:val="0"/>
      <w:marTop w:val="0"/>
      <w:marBottom w:val="0"/>
      <w:divBdr>
        <w:top w:val="none" w:sz="0" w:space="0" w:color="auto"/>
        <w:left w:val="none" w:sz="0" w:space="0" w:color="auto"/>
        <w:bottom w:val="none" w:sz="0" w:space="0" w:color="auto"/>
        <w:right w:val="none" w:sz="0" w:space="0" w:color="auto"/>
      </w:divBdr>
    </w:div>
    <w:div w:id="1426924425">
      <w:bodyDiv w:val="1"/>
      <w:marLeft w:val="0"/>
      <w:marRight w:val="0"/>
      <w:marTop w:val="0"/>
      <w:marBottom w:val="0"/>
      <w:divBdr>
        <w:top w:val="none" w:sz="0" w:space="0" w:color="auto"/>
        <w:left w:val="none" w:sz="0" w:space="0" w:color="auto"/>
        <w:bottom w:val="none" w:sz="0" w:space="0" w:color="auto"/>
        <w:right w:val="none" w:sz="0" w:space="0" w:color="auto"/>
      </w:divBdr>
    </w:div>
    <w:div w:id="1429734549">
      <w:bodyDiv w:val="1"/>
      <w:marLeft w:val="0"/>
      <w:marRight w:val="0"/>
      <w:marTop w:val="0"/>
      <w:marBottom w:val="0"/>
      <w:divBdr>
        <w:top w:val="none" w:sz="0" w:space="0" w:color="auto"/>
        <w:left w:val="none" w:sz="0" w:space="0" w:color="auto"/>
        <w:bottom w:val="none" w:sz="0" w:space="0" w:color="auto"/>
        <w:right w:val="none" w:sz="0" w:space="0" w:color="auto"/>
      </w:divBdr>
    </w:div>
    <w:div w:id="1493333630">
      <w:bodyDiv w:val="1"/>
      <w:marLeft w:val="0"/>
      <w:marRight w:val="0"/>
      <w:marTop w:val="0"/>
      <w:marBottom w:val="0"/>
      <w:divBdr>
        <w:top w:val="none" w:sz="0" w:space="0" w:color="auto"/>
        <w:left w:val="none" w:sz="0" w:space="0" w:color="auto"/>
        <w:bottom w:val="none" w:sz="0" w:space="0" w:color="auto"/>
        <w:right w:val="none" w:sz="0" w:space="0" w:color="auto"/>
      </w:divBdr>
    </w:div>
    <w:div w:id="1506431123">
      <w:bodyDiv w:val="1"/>
      <w:marLeft w:val="0"/>
      <w:marRight w:val="0"/>
      <w:marTop w:val="0"/>
      <w:marBottom w:val="0"/>
      <w:divBdr>
        <w:top w:val="none" w:sz="0" w:space="0" w:color="auto"/>
        <w:left w:val="none" w:sz="0" w:space="0" w:color="auto"/>
        <w:bottom w:val="none" w:sz="0" w:space="0" w:color="auto"/>
        <w:right w:val="none" w:sz="0" w:space="0" w:color="auto"/>
      </w:divBdr>
    </w:div>
    <w:div w:id="1550071826">
      <w:bodyDiv w:val="1"/>
      <w:marLeft w:val="0"/>
      <w:marRight w:val="0"/>
      <w:marTop w:val="0"/>
      <w:marBottom w:val="0"/>
      <w:divBdr>
        <w:top w:val="none" w:sz="0" w:space="0" w:color="auto"/>
        <w:left w:val="none" w:sz="0" w:space="0" w:color="auto"/>
        <w:bottom w:val="none" w:sz="0" w:space="0" w:color="auto"/>
        <w:right w:val="none" w:sz="0" w:space="0" w:color="auto"/>
      </w:divBdr>
    </w:div>
    <w:div w:id="1582132423">
      <w:bodyDiv w:val="1"/>
      <w:marLeft w:val="0"/>
      <w:marRight w:val="0"/>
      <w:marTop w:val="0"/>
      <w:marBottom w:val="0"/>
      <w:divBdr>
        <w:top w:val="none" w:sz="0" w:space="0" w:color="auto"/>
        <w:left w:val="none" w:sz="0" w:space="0" w:color="auto"/>
        <w:bottom w:val="none" w:sz="0" w:space="0" w:color="auto"/>
        <w:right w:val="none" w:sz="0" w:space="0" w:color="auto"/>
      </w:divBdr>
    </w:div>
    <w:div w:id="1611278792">
      <w:bodyDiv w:val="1"/>
      <w:marLeft w:val="0"/>
      <w:marRight w:val="0"/>
      <w:marTop w:val="0"/>
      <w:marBottom w:val="0"/>
      <w:divBdr>
        <w:top w:val="none" w:sz="0" w:space="0" w:color="auto"/>
        <w:left w:val="none" w:sz="0" w:space="0" w:color="auto"/>
        <w:bottom w:val="none" w:sz="0" w:space="0" w:color="auto"/>
        <w:right w:val="none" w:sz="0" w:space="0" w:color="auto"/>
      </w:divBdr>
    </w:div>
    <w:div w:id="1628730823">
      <w:bodyDiv w:val="1"/>
      <w:marLeft w:val="0"/>
      <w:marRight w:val="0"/>
      <w:marTop w:val="0"/>
      <w:marBottom w:val="0"/>
      <w:divBdr>
        <w:top w:val="none" w:sz="0" w:space="0" w:color="auto"/>
        <w:left w:val="none" w:sz="0" w:space="0" w:color="auto"/>
        <w:bottom w:val="none" w:sz="0" w:space="0" w:color="auto"/>
        <w:right w:val="none" w:sz="0" w:space="0" w:color="auto"/>
      </w:divBdr>
      <w:divsChild>
        <w:div w:id="1197887748">
          <w:marLeft w:val="0"/>
          <w:marRight w:val="0"/>
          <w:marTop w:val="0"/>
          <w:marBottom w:val="0"/>
          <w:divBdr>
            <w:top w:val="none" w:sz="0" w:space="0" w:color="auto"/>
            <w:left w:val="none" w:sz="0" w:space="0" w:color="auto"/>
            <w:bottom w:val="none" w:sz="0" w:space="0" w:color="auto"/>
            <w:right w:val="none" w:sz="0" w:space="0" w:color="auto"/>
          </w:divBdr>
        </w:div>
        <w:div w:id="287324189">
          <w:marLeft w:val="0"/>
          <w:marRight w:val="0"/>
          <w:marTop w:val="0"/>
          <w:marBottom w:val="0"/>
          <w:divBdr>
            <w:top w:val="none" w:sz="0" w:space="0" w:color="auto"/>
            <w:left w:val="none" w:sz="0" w:space="0" w:color="auto"/>
            <w:bottom w:val="none" w:sz="0" w:space="0" w:color="auto"/>
            <w:right w:val="none" w:sz="0" w:space="0" w:color="auto"/>
          </w:divBdr>
        </w:div>
        <w:div w:id="653878299">
          <w:marLeft w:val="0"/>
          <w:marRight w:val="0"/>
          <w:marTop w:val="0"/>
          <w:marBottom w:val="0"/>
          <w:divBdr>
            <w:top w:val="none" w:sz="0" w:space="0" w:color="auto"/>
            <w:left w:val="none" w:sz="0" w:space="0" w:color="auto"/>
            <w:bottom w:val="none" w:sz="0" w:space="0" w:color="auto"/>
            <w:right w:val="none" w:sz="0" w:space="0" w:color="auto"/>
          </w:divBdr>
        </w:div>
        <w:div w:id="1066150090">
          <w:marLeft w:val="0"/>
          <w:marRight w:val="0"/>
          <w:marTop w:val="0"/>
          <w:marBottom w:val="0"/>
          <w:divBdr>
            <w:top w:val="none" w:sz="0" w:space="0" w:color="auto"/>
            <w:left w:val="none" w:sz="0" w:space="0" w:color="auto"/>
            <w:bottom w:val="none" w:sz="0" w:space="0" w:color="auto"/>
            <w:right w:val="none" w:sz="0" w:space="0" w:color="auto"/>
          </w:divBdr>
        </w:div>
      </w:divsChild>
    </w:div>
    <w:div w:id="1641422676">
      <w:bodyDiv w:val="1"/>
      <w:marLeft w:val="0"/>
      <w:marRight w:val="0"/>
      <w:marTop w:val="0"/>
      <w:marBottom w:val="0"/>
      <w:divBdr>
        <w:top w:val="none" w:sz="0" w:space="0" w:color="auto"/>
        <w:left w:val="none" w:sz="0" w:space="0" w:color="auto"/>
        <w:bottom w:val="none" w:sz="0" w:space="0" w:color="auto"/>
        <w:right w:val="none" w:sz="0" w:space="0" w:color="auto"/>
      </w:divBdr>
    </w:div>
    <w:div w:id="1681159667">
      <w:bodyDiv w:val="1"/>
      <w:marLeft w:val="0"/>
      <w:marRight w:val="0"/>
      <w:marTop w:val="0"/>
      <w:marBottom w:val="0"/>
      <w:divBdr>
        <w:top w:val="none" w:sz="0" w:space="0" w:color="auto"/>
        <w:left w:val="none" w:sz="0" w:space="0" w:color="auto"/>
        <w:bottom w:val="none" w:sz="0" w:space="0" w:color="auto"/>
        <w:right w:val="none" w:sz="0" w:space="0" w:color="auto"/>
      </w:divBdr>
    </w:div>
    <w:div w:id="1684435156">
      <w:bodyDiv w:val="1"/>
      <w:marLeft w:val="0"/>
      <w:marRight w:val="0"/>
      <w:marTop w:val="0"/>
      <w:marBottom w:val="0"/>
      <w:divBdr>
        <w:top w:val="none" w:sz="0" w:space="0" w:color="auto"/>
        <w:left w:val="none" w:sz="0" w:space="0" w:color="auto"/>
        <w:bottom w:val="none" w:sz="0" w:space="0" w:color="auto"/>
        <w:right w:val="none" w:sz="0" w:space="0" w:color="auto"/>
      </w:divBdr>
    </w:div>
    <w:div w:id="1700475045">
      <w:bodyDiv w:val="1"/>
      <w:marLeft w:val="0"/>
      <w:marRight w:val="0"/>
      <w:marTop w:val="0"/>
      <w:marBottom w:val="0"/>
      <w:divBdr>
        <w:top w:val="none" w:sz="0" w:space="0" w:color="auto"/>
        <w:left w:val="none" w:sz="0" w:space="0" w:color="auto"/>
        <w:bottom w:val="none" w:sz="0" w:space="0" w:color="auto"/>
        <w:right w:val="none" w:sz="0" w:space="0" w:color="auto"/>
      </w:divBdr>
    </w:div>
    <w:div w:id="1704868986">
      <w:bodyDiv w:val="1"/>
      <w:marLeft w:val="0"/>
      <w:marRight w:val="0"/>
      <w:marTop w:val="0"/>
      <w:marBottom w:val="0"/>
      <w:divBdr>
        <w:top w:val="none" w:sz="0" w:space="0" w:color="auto"/>
        <w:left w:val="none" w:sz="0" w:space="0" w:color="auto"/>
        <w:bottom w:val="none" w:sz="0" w:space="0" w:color="auto"/>
        <w:right w:val="none" w:sz="0" w:space="0" w:color="auto"/>
      </w:divBdr>
      <w:divsChild>
        <w:div w:id="502089213">
          <w:marLeft w:val="0"/>
          <w:marRight w:val="403"/>
          <w:marTop w:val="0"/>
          <w:marBottom w:val="0"/>
          <w:divBdr>
            <w:top w:val="none" w:sz="0" w:space="0" w:color="auto"/>
            <w:left w:val="none" w:sz="0" w:space="0" w:color="auto"/>
            <w:bottom w:val="none" w:sz="0" w:space="0" w:color="auto"/>
            <w:right w:val="none" w:sz="0" w:space="0" w:color="auto"/>
          </w:divBdr>
        </w:div>
        <w:div w:id="531302810">
          <w:marLeft w:val="0"/>
          <w:marRight w:val="403"/>
          <w:marTop w:val="0"/>
          <w:marBottom w:val="0"/>
          <w:divBdr>
            <w:top w:val="none" w:sz="0" w:space="0" w:color="auto"/>
            <w:left w:val="none" w:sz="0" w:space="0" w:color="auto"/>
            <w:bottom w:val="none" w:sz="0" w:space="0" w:color="auto"/>
            <w:right w:val="none" w:sz="0" w:space="0" w:color="auto"/>
          </w:divBdr>
        </w:div>
        <w:div w:id="851264786">
          <w:marLeft w:val="0"/>
          <w:marRight w:val="403"/>
          <w:marTop w:val="0"/>
          <w:marBottom w:val="0"/>
          <w:divBdr>
            <w:top w:val="none" w:sz="0" w:space="0" w:color="auto"/>
            <w:left w:val="none" w:sz="0" w:space="0" w:color="auto"/>
            <w:bottom w:val="none" w:sz="0" w:space="0" w:color="auto"/>
            <w:right w:val="none" w:sz="0" w:space="0" w:color="auto"/>
          </w:divBdr>
        </w:div>
        <w:div w:id="1699045056">
          <w:marLeft w:val="0"/>
          <w:marRight w:val="403"/>
          <w:marTop w:val="0"/>
          <w:marBottom w:val="0"/>
          <w:divBdr>
            <w:top w:val="none" w:sz="0" w:space="0" w:color="auto"/>
            <w:left w:val="none" w:sz="0" w:space="0" w:color="auto"/>
            <w:bottom w:val="none" w:sz="0" w:space="0" w:color="auto"/>
            <w:right w:val="none" w:sz="0" w:space="0" w:color="auto"/>
          </w:divBdr>
        </w:div>
      </w:divsChild>
    </w:div>
    <w:div w:id="1714957922">
      <w:bodyDiv w:val="1"/>
      <w:marLeft w:val="0"/>
      <w:marRight w:val="0"/>
      <w:marTop w:val="0"/>
      <w:marBottom w:val="0"/>
      <w:divBdr>
        <w:top w:val="none" w:sz="0" w:space="0" w:color="auto"/>
        <w:left w:val="none" w:sz="0" w:space="0" w:color="auto"/>
        <w:bottom w:val="none" w:sz="0" w:space="0" w:color="auto"/>
        <w:right w:val="none" w:sz="0" w:space="0" w:color="auto"/>
      </w:divBdr>
    </w:div>
    <w:div w:id="1732579539">
      <w:bodyDiv w:val="1"/>
      <w:marLeft w:val="0"/>
      <w:marRight w:val="0"/>
      <w:marTop w:val="0"/>
      <w:marBottom w:val="0"/>
      <w:divBdr>
        <w:top w:val="none" w:sz="0" w:space="0" w:color="auto"/>
        <w:left w:val="none" w:sz="0" w:space="0" w:color="auto"/>
        <w:bottom w:val="none" w:sz="0" w:space="0" w:color="auto"/>
        <w:right w:val="none" w:sz="0" w:space="0" w:color="auto"/>
      </w:divBdr>
    </w:div>
    <w:div w:id="1748646997">
      <w:bodyDiv w:val="1"/>
      <w:marLeft w:val="0"/>
      <w:marRight w:val="0"/>
      <w:marTop w:val="0"/>
      <w:marBottom w:val="0"/>
      <w:divBdr>
        <w:top w:val="none" w:sz="0" w:space="0" w:color="auto"/>
        <w:left w:val="none" w:sz="0" w:space="0" w:color="auto"/>
        <w:bottom w:val="none" w:sz="0" w:space="0" w:color="auto"/>
        <w:right w:val="none" w:sz="0" w:space="0" w:color="auto"/>
      </w:divBdr>
    </w:div>
    <w:div w:id="1766530959">
      <w:bodyDiv w:val="1"/>
      <w:marLeft w:val="0"/>
      <w:marRight w:val="0"/>
      <w:marTop w:val="0"/>
      <w:marBottom w:val="0"/>
      <w:divBdr>
        <w:top w:val="none" w:sz="0" w:space="0" w:color="auto"/>
        <w:left w:val="none" w:sz="0" w:space="0" w:color="auto"/>
        <w:bottom w:val="none" w:sz="0" w:space="0" w:color="auto"/>
        <w:right w:val="none" w:sz="0" w:space="0" w:color="auto"/>
      </w:divBdr>
    </w:div>
    <w:div w:id="1774980434">
      <w:bodyDiv w:val="1"/>
      <w:marLeft w:val="0"/>
      <w:marRight w:val="0"/>
      <w:marTop w:val="0"/>
      <w:marBottom w:val="0"/>
      <w:divBdr>
        <w:top w:val="none" w:sz="0" w:space="0" w:color="auto"/>
        <w:left w:val="none" w:sz="0" w:space="0" w:color="auto"/>
        <w:bottom w:val="none" w:sz="0" w:space="0" w:color="auto"/>
        <w:right w:val="none" w:sz="0" w:space="0" w:color="auto"/>
      </w:divBdr>
    </w:div>
    <w:div w:id="1789395433">
      <w:bodyDiv w:val="1"/>
      <w:marLeft w:val="0"/>
      <w:marRight w:val="0"/>
      <w:marTop w:val="0"/>
      <w:marBottom w:val="0"/>
      <w:divBdr>
        <w:top w:val="none" w:sz="0" w:space="0" w:color="auto"/>
        <w:left w:val="none" w:sz="0" w:space="0" w:color="auto"/>
        <w:bottom w:val="none" w:sz="0" w:space="0" w:color="auto"/>
        <w:right w:val="none" w:sz="0" w:space="0" w:color="auto"/>
      </w:divBdr>
    </w:div>
    <w:div w:id="1842771944">
      <w:bodyDiv w:val="1"/>
      <w:marLeft w:val="0"/>
      <w:marRight w:val="0"/>
      <w:marTop w:val="0"/>
      <w:marBottom w:val="0"/>
      <w:divBdr>
        <w:top w:val="none" w:sz="0" w:space="0" w:color="auto"/>
        <w:left w:val="none" w:sz="0" w:space="0" w:color="auto"/>
        <w:bottom w:val="none" w:sz="0" w:space="0" w:color="auto"/>
        <w:right w:val="none" w:sz="0" w:space="0" w:color="auto"/>
      </w:divBdr>
    </w:div>
    <w:div w:id="1863203193">
      <w:bodyDiv w:val="1"/>
      <w:marLeft w:val="0"/>
      <w:marRight w:val="0"/>
      <w:marTop w:val="0"/>
      <w:marBottom w:val="0"/>
      <w:divBdr>
        <w:top w:val="none" w:sz="0" w:space="0" w:color="auto"/>
        <w:left w:val="none" w:sz="0" w:space="0" w:color="auto"/>
        <w:bottom w:val="none" w:sz="0" w:space="0" w:color="auto"/>
        <w:right w:val="none" w:sz="0" w:space="0" w:color="auto"/>
      </w:divBdr>
    </w:div>
    <w:div w:id="1876381238">
      <w:bodyDiv w:val="1"/>
      <w:marLeft w:val="0"/>
      <w:marRight w:val="0"/>
      <w:marTop w:val="0"/>
      <w:marBottom w:val="0"/>
      <w:divBdr>
        <w:top w:val="none" w:sz="0" w:space="0" w:color="auto"/>
        <w:left w:val="none" w:sz="0" w:space="0" w:color="auto"/>
        <w:bottom w:val="none" w:sz="0" w:space="0" w:color="auto"/>
        <w:right w:val="none" w:sz="0" w:space="0" w:color="auto"/>
      </w:divBdr>
    </w:div>
    <w:div w:id="1935363078">
      <w:bodyDiv w:val="1"/>
      <w:marLeft w:val="0"/>
      <w:marRight w:val="0"/>
      <w:marTop w:val="0"/>
      <w:marBottom w:val="0"/>
      <w:divBdr>
        <w:top w:val="none" w:sz="0" w:space="0" w:color="auto"/>
        <w:left w:val="none" w:sz="0" w:space="0" w:color="auto"/>
        <w:bottom w:val="none" w:sz="0" w:space="0" w:color="auto"/>
        <w:right w:val="none" w:sz="0" w:space="0" w:color="auto"/>
      </w:divBdr>
    </w:div>
    <w:div w:id="1947687298">
      <w:bodyDiv w:val="1"/>
      <w:marLeft w:val="0"/>
      <w:marRight w:val="0"/>
      <w:marTop w:val="0"/>
      <w:marBottom w:val="0"/>
      <w:divBdr>
        <w:top w:val="none" w:sz="0" w:space="0" w:color="auto"/>
        <w:left w:val="none" w:sz="0" w:space="0" w:color="auto"/>
        <w:bottom w:val="none" w:sz="0" w:space="0" w:color="auto"/>
        <w:right w:val="none" w:sz="0" w:space="0" w:color="auto"/>
      </w:divBdr>
      <w:divsChild>
        <w:div w:id="2137720609">
          <w:marLeft w:val="0"/>
          <w:marRight w:val="547"/>
          <w:marTop w:val="0"/>
          <w:marBottom w:val="0"/>
          <w:divBdr>
            <w:top w:val="none" w:sz="0" w:space="0" w:color="auto"/>
            <w:left w:val="none" w:sz="0" w:space="0" w:color="auto"/>
            <w:bottom w:val="none" w:sz="0" w:space="0" w:color="auto"/>
            <w:right w:val="none" w:sz="0" w:space="0" w:color="auto"/>
          </w:divBdr>
        </w:div>
      </w:divsChild>
    </w:div>
    <w:div w:id="1997492819">
      <w:bodyDiv w:val="1"/>
      <w:marLeft w:val="0"/>
      <w:marRight w:val="0"/>
      <w:marTop w:val="0"/>
      <w:marBottom w:val="0"/>
      <w:divBdr>
        <w:top w:val="none" w:sz="0" w:space="0" w:color="auto"/>
        <w:left w:val="none" w:sz="0" w:space="0" w:color="auto"/>
        <w:bottom w:val="none" w:sz="0" w:space="0" w:color="auto"/>
        <w:right w:val="none" w:sz="0" w:space="0" w:color="auto"/>
      </w:divBdr>
    </w:div>
    <w:div w:id="2022855473">
      <w:bodyDiv w:val="1"/>
      <w:marLeft w:val="0"/>
      <w:marRight w:val="0"/>
      <w:marTop w:val="0"/>
      <w:marBottom w:val="0"/>
      <w:divBdr>
        <w:top w:val="none" w:sz="0" w:space="0" w:color="auto"/>
        <w:left w:val="none" w:sz="0" w:space="0" w:color="auto"/>
        <w:bottom w:val="none" w:sz="0" w:space="0" w:color="auto"/>
        <w:right w:val="none" w:sz="0" w:space="0" w:color="auto"/>
      </w:divBdr>
    </w:div>
    <w:div w:id="2040009240">
      <w:bodyDiv w:val="1"/>
      <w:marLeft w:val="0"/>
      <w:marRight w:val="0"/>
      <w:marTop w:val="0"/>
      <w:marBottom w:val="0"/>
      <w:divBdr>
        <w:top w:val="none" w:sz="0" w:space="0" w:color="auto"/>
        <w:left w:val="none" w:sz="0" w:space="0" w:color="auto"/>
        <w:bottom w:val="none" w:sz="0" w:space="0" w:color="auto"/>
        <w:right w:val="none" w:sz="0" w:space="0" w:color="auto"/>
      </w:divBdr>
    </w:div>
    <w:div w:id="2051876496">
      <w:bodyDiv w:val="1"/>
      <w:marLeft w:val="0"/>
      <w:marRight w:val="0"/>
      <w:marTop w:val="0"/>
      <w:marBottom w:val="0"/>
      <w:divBdr>
        <w:top w:val="none" w:sz="0" w:space="0" w:color="auto"/>
        <w:left w:val="none" w:sz="0" w:space="0" w:color="auto"/>
        <w:bottom w:val="none" w:sz="0" w:space="0" w:color="auto"/>
        <w:right w:val="none" w:sz="0" w:space="0" w:color="auto"/>
      </w:divBdr>
    </w:div>
    <w:div w:id="2061248570">
      <w:bodyDiv w:val="1"/>
      <w:marLeft w:val="0"/>
      <w:marRight w:val="0"/>
      <w:marTop w:val="0"/>
      <w:marBottom w:val="0"/>
      <w:divBdr>
        <w:top w:val="none" w:sz="0" w:space="0" w:color="auto"/>
        <w:left w:val="none" w:sz="0" w:space="0" w:color="auto"/>
        <w:bottom w:val="none" w:sz="0" w:space="0" w:color="auto"/>
        <w:right w:val="none" w:sz="0" w:space="0" w:color="auto"/>
      </w:divBdr>
    </w:div>
    <w:div w:id="20653286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022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header" Target="header1.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hyperlink" Target="https://www.vision2030.gov.sa"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hyperlink" Target="https://documents1.worldbank.org/curated/en/381221644297502516/pdf/Overview.pdf" TargetMode="External"/><Relationship Id="rId20" Type="http://schemas.openxmlformats.org/officeDocument/2006/relationships/image" Target="media/image12.png"/><Relationship Id="rId4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29.png"/></Relationships>
</file>

<file path=word/_rels/header3.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CAAC3-21C0-434C-9F13-E1C545AAB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147</Pages>
  <Words>36035</Words>
  <Characters>203240</Characters>
  <Application>Microsoft Office Word</Application>
  <DocSecurity>0</DocSecurity>
  <Lines>3695</Lines>
  <Paragraphs>1627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Grizli777</Company>
  <LinksUpToDate>false</LinksUpToDate>
  <CharactersWithSpaces>237648</CharactersWithSpaces>
  <SharedDoc>false</SharedDoc>
  <HLinks>
    <vt:vector size="204" baseType="variant">
      <vt:variant>
        <vt:i4>1900614</vt:i4>
      </vt:variant>
      <vt:variant>
        <vt:i4>273</vt:i4>
      </vt:variant>
      <vt:variant>
        <vt:i4>0</vt:i4>
      </vt:variant>
      <vt:variant>
        <vt:i4>5</vt:i4>
      </vt:variant>
      <vt:variant>
        <vt:lpwstr>https://www.redseaglobal.com/ar/</vt:lpwstr>
      </vt:variant>
      <vt:variant>
        <vt:lpwstr/>
      </vt:variant>
      <vt:variant>
        <vt:i4>1966136</vt:i4>
      </vt:variant>
      <vt:variant>
        <vt:i4>200</vt:i4>
      </vt:variant>
      <vt:variant>
        <vt:i4>0</vt:i4>
      </vt:variant>
      <vt:variant>
        <vt:i4>5</vt:i4>
      </vt:variant>
      <vt:variant>
        <vt:lpwstr/>
      </vt:variant>
      <vt:variant>
        <vt:lpwstr>_Toc216252988</vt:lpwstr>
      </vt:variant>
      <vt:variant>
        <vt:i4>1966136</vt:i4>
      </vt:variant>
      <vt:variant>
        <vt:i4>194</vt:i4>
      </vt:variant>
      <vt:variant>
        <vt:i4>0</vt:i4>
      </vt:variant>
      <vt:variant>
        <vt:i4>5</vt:i4>
      </vt:variant>
      <vt:variant>
        <vt:lpwstr/>
      </vt:variant>
      <vt:variant>
        <vt:lpwstr>_Toc216252987</vt:lpwstr>
      </vt:variant>
      <vt:variant>
        <vt:i4>1966136</vt:i4>
      </vt:variant>
      <vt:variant>
        <vt:i4>188</vt:i4>
      </vt:variant>
      <vt:variant>
        <vt:i4>0</vt:i4>
      </vt:variant>
      <vt:variant>
        <vt:i4>5</vt:i4>
      </vt:variant>
      <vt:variant>
        <vt:lpwstr/>
      </vt:variant>
      <vt:variant>
        <vt:lpwstr>_Toc216252986</vt:lpwstr>
      </vt:variant>
      <vt:variant>
        <vt:i4>2031672</vt:i4>
      </vt:variant>
      <vt:variant>
        <vt:i4>179</vt:i4>
      </vt:variant>
      <vt:variant>
        <vt:i4>0</vt:i4>
      </vt:variant>
      <vt:variant>
        <vt:i4>5</vt:i4>
      </vt:variant>
      <vt:variant>
        <vt:lpwstr/>
      </vt:variant>
      <vt:variant>
        <vt:lpwstr>_Toc216252996</vt:lpwstr>
      </vt:variant>
      <vt:variant>
        <vt:i4>2031672</vt:i4>
      </vt:variant>
      <vt:variant>
        <vt:i4>173</vt:i4>
      </vt:variant>
      <vt:variant>
        <vt:i4>0</vt:i4>
      </vt:variant>
      <vt:variant>
        <vt:i4>5</vt:i4>
      </vt:variant>
      <vt:variant>
        <vt:lpwstr/>
      </vt:variant>
      <vt:variant>
        <vt:lpwstr>_Toc216252995</vt:lpwstr>
      </vt:variant>
      <vt:variant>
        <vt:i4>2031672</vt:i4>
      </vt:variant>
      <vt:variant>
        <vt:i4>167</vt:i4>
      </vt:variant>
      <vt:variant>
        <vt:i4>0</vt:i4>
      </vt:variant>
      <vt:variant>
        <vt:i4>5</vt:i4>
      </vt:variant>
      <vt:variant>
        <vt:lpwstr/>
      </vt:variant>
      <vt:variant>
        <vt:lpwstr>_Toc216252994</vt:lpwstr>
      </vt:variant>
      <vt:variant>
        <vt:i4>1376312</vt:i4>
      </vt:variant>
      <vt:variant>
        <vt:i4>158</vt:i4>
      </vt:variant>
      <vt:variant>
        <vt:i4>0</vt:i4>
      </vt:variant>
      <vt:variant>
        <vt:i4>5</vt:i4>
      </vt:variant>
      <vt:variant>
        <vt:lpwstr/>
      </vt:variant>
      <vt:variant>
        <vt:lpwstr>_Toc216252934</vt:lpwstr>
      </vt:variant>
      <vt:variant>
        <vt:i4>1376312</vt:i4>
      </vt:variant>
      <vt:variant>
        <vt:i4>152</vt:i4>
      </vt:variant>
      <vt:variant>
        <vt:i4>0</vt:i4>
      </vt:variant>
      <vt:variant>
        <vt:i4>5</vt:i4>
      </vt:variant>
      <vt:variant>
        <vt:lpwstr/>
      </vt:variant>
      <vt:variant>
        <vt:lpwstr>_Toc216252933</vt:lpwstr>
      </vt:variant>
      <vt:variant>
        <vt:i4>1376312</vt:i4>
      </vt:variant>
      <vt:variant>
        <vt:i4>146</vt:i4>
      </vt:variant>
      <vt:variant>
        <vt:i4>0</vt:i4>
      </vt:variant>
      <vt:variant>
        <vt:i4>5</vt:i4>
      </vt:variant>
      <vt:variant>
        <vt:lpwstr/>
      </vt:variant>
      <vt:variant>
        <vt:lpwstr>_Toc216252932</vt:lpwstr>
      </vt:variant>
      <vt:variant>
        <vt:i4>1376312</vt:i4>
      </vt:variant>
      <vt:variant>
        <vt:i4>140</vt:i4>
      </vt:variant>
      <vt:variant>
        <vt:i4>0</vt:i4>
      </vt:variant>
      <vt:variant>
        <vt:i4>5</vt:i4>
      </vt:variant>
      <vt:variant>
        <vt:lpwstr/>
      </vt:variant>
      <vt:variant>
        <vt:lpwstr>_Toc216252931</vt:lpwstr>
      </vt:variant>
      <vt:variant>
        <vt:i4>1376312</vt:i4>
      </vt:variant>
      <vt:variant>
        <vt:i4>134</vt:i4>
      </vt:variant>
      <vt:variant>
        <vt:i4>0</vt:i4>
      </vt:variant>
      <vt:variant>
        <vt:i4>5</vt:i4>
      </vt:variant>
      <vt:variant>
        <vt:lpwstr/>
      </vt:variant>
      <vt:variant>
        <vt:lpwstr>_Toc216252930</vt:lpwstr>
      </vt:variant>
      <vt:variant>
        <vt:i4>1310776</vt:i4>
      </vt:variant>
      <vt:variant>
        <vt:i4>128</vt:i4>
      </vt:variant>
      <vt:variant>
        <vt:i4>0</vt:i4>
      </vt:variant>
      <vt:variant>
        <vt:i4>5</vt:i4>
      </vt:variant>
      <vt:variant>
        <vt:lpwstr/>
      </vt:variant>
      <vt:variant>
        <vt:lpwstr>_Toc216252929</vt:lpwstr>
      </vt:variant>
      <vt:variant>
        <vt:i4>1310776</vt:i4>
      </vt:variant>
      <vt:variant>
        <vt:i4>122</vt:i4>
      </vt:variant>
      <vt:variant>
        <vt:i4>0</vt:i4>
      </vt:variant>
      <vt:variant>
        <vt:i4>5</vt:i4>
      </vt:variant>
      <vt:variant>
        <vt:lpwstr/>
      </vt:variant>
      <vt:variant>
        <vt:lpwstr>_Toc216252928</vt:lpwstr>
      </vt:variant>
      <vt:variant>
        <vt:i4>1310776</vt:i4>
      </vt:variant>
      <vt:variant>
        <vt:i4>116</vt:i4>
      </vt:variant>
      <vt:variant>
        <vt:i4>0</vt:i4>
      </vt:variant>
      <vt:variant>
        <vt:i4>5</vt:i4>
      </vt:variant>
      <vt:variant>
        <vt:lpwstr/>
      </vt:variant>
      <vt:variant>
        <vt:lpwstr>_Toc216252927</vt:lpwstr>
      </vt:variant>
      <vt:variant>
        <vt:i4>1310776</vt:i4>
      </vt:variant>
      <vt:variant>
        <vt:i4>110</vt:i4>
      </vt:variant>
      <vt:variant>
        <vt:i4>0</vt:i4>
      </vt:variant>
      <vt:variant>
        <vt:i4>5</vt:i4>
      </vt:variant>
      <vt:variant>
        <vt:lpwstr/>
      </vt:variant>
      <vt:variant>
        <vt:lpwstr>_Toc216252926</vt:lpwstr>
      </vt:variant>
      <vt:variant>
        <vt:i4>1310776</vt:i4>
      </vt:variant>
      <vt:variant>
        <vt:i4>104</vt:i4>
      </vt:variant>
      <vt:variant>
        <vt:i4>0</vt:i4>
      </vt:variant>
      <vt:variant>
        <vt:i4>5</vt:i4>
      </vt:variant>
      <vt:variant>
        <vt:lpwstr/>
      </vt:variant>
      <vt:variant>
        <vt:lpwstr>_Toc216252925</vt:lpwstr>
      </vt:variant>
      <vt:variant>
        <vt:i4>1310776</vt:i4>
      </vt:variant>
      <vt:variant>
        <vt:i4>98</vt:i4>
      </vt:variant>
      <vt:variant>
        <vt:i4>0</vt:i4>
      </vt:variant>
      <vt:variant>
        <vt:i4>5</vt:i4>
      </vt:variant>
      <vt:variant>
        <vt:lpwstr/>
      </vt:variant>
      <vt:variant>
        <vt:lpwstr>_Toc216252924</vt:lpwstr>
      </vt:variant>
      <vt:variant>
        <vt:i4>1310776</vt:i4>
      </vt:variant>
      <vt:variant>
        <vt:i4>92</vt:i4>
      </vt:variant>
      <vt:variant>
        <vt:i4>0</vt:i4>
      </vt:variant>
      <vt:variant>
        <vt:i4>5</vt:i4>
      </vt:variant>
      <vt:variant>
        <vt:lpwstr/>
      </vt:variant>
      <vt:variant>
        <vt:lpwstr>_Toc216252923</vt:lpwstr>
      </vt:variant>
      <vt:variant>
        <vt:i4>1310776</vt:i4>
      </vt:variant>
      <vt:variant>
        <vt:i4>86</vt:i4>
      </vt:variant>
      <vt:variant>
        <vt:i4>0</vt:i4>
      </vt:variant>
      <vt:variant>
        <vt:i4>5</vt:i4>
      </vt:variant>
      <vt:variant>
        <vt:lpwstr/>
      </vt:variant>
      <vt:variant>
        <vt:lpwstr>_Toc216252922</vt:lpwstr>
      </vt:variant>
      <vt:variant>
        <vt:i4>1310776</vt:i4>
      </vt:variant>
      <vt:variant>
        <vt:i4>80</vt:i4>
      </vt:variant>
      <vt:variant>
        <vt:i4>0</vt:i4>
      </vt:variant>
      <vt:variant>
        <vt:i4>5</vt:i4>
      </vt:variant>
      <vt:variant>
        <vt:lpwstr/>
      </vt:variant>
      <vt:variant>
        <vt:lpwstr>_Toc216252921</vt:lpwstr>
      </vt:variant>
      <vt:variant>
        <vt:i4>1310776</vt:i4>
      </vt:variant>
      <vt:variant>
        <vt:i4>74</vt:i4>
      </vt:variant>
      <vt:variant>
        <vt:i4>0</vt:i4>
      </vt:variant>
      <vt:variant>
        <vt:i4>5</vt:i4>
      </vt:variant>
      <vt:variant>
        <vt:lpwstr/>
      </vt:variant>
      <vt:variant>
        <vt:lpwstr>_Toc216252920</vt:lpwstr>
      </vt:variant>
      <vt:variant>
        <vt:i4>1507384</vt:i4>
      </vt:variant>
      <vt:variant>
        <vt:i4>68</vt:i4>
      </vt:variant>
      <vt:variant>
        <vt:i4>0</vt:i4>
      </vt:variant>
      <vt:variant>
        <vt:i4>5</vt:i4>
      </vt:variant>
      <vt:variant>
        <vt:lpwstr/>
      </vt:variant>
      <vt:variant>
        <vt:lpwstr>_Toc216252919</vt:lpwstr>
      </vt:variant>
      <vt:variant>
        <vt:i4>1507384</vt:i4>
      </vt:variant>
      <vt:variant>
        <vt:i4>62</vt:i4>
      </vt:variant>
      <vt:variant>
        <vt:i4>0</vt:i4>
      </vt:variant>
      <vt:variant>
        <vt:i4>5</vt:i4>
      </vt:variant>
      <vt:variant>
        <vt:lpwstr/>
      </vt:variant>
      <vt:variant>
        <vt:lpwstr>_Toc216252918</vt:lpwstr>
      </vt:variant>
      <vt:variant>
        <vt:i4>1507384</vt:i4>
      </vt:variant>
      <vt:variant>
        <vt:i4>56</vt:i4>
      </vt:variant>
      <vt:variant>
        <vt:i4>0</vt:i4>
      </vt:variant>
      <vt:variant>
        <vt:i4>5</vt:i4>
      </vt:variant>
      <vt:variant>
        <vt:lpwstr/>
      </vt:variant>
      <vt:variant>
        <vt:lpwstr>_Toc216252917</vt:lpwstr>
      </vt:variant>
      <vt:variant>
        <vt:i4>1507384</vt:i4>
      </vt:variant>
      <vt:variant>
        <vt:i4>50</vt:i4>
      </vt:variant>
      <vt:variant>
        <vt:i4>0</vt:i4>
      </vt:variant>
      <vt:variant>
        <vt:i4>5</vt:i4>
      </vt:variant>
      <vt:variant>
        <vt:lpwstr/>
      </vt:variant>
      <vt:variant>
        <vt:lpwstr>_Toc216252916</vt:lpwstr>
      </vt:variant>
      <vt:variant>
        <vt:i4>1507384</vt:i4>
      </vt:variant>
      <vt:variant>
        <vt:i4>44</vt:i4>
      </vt:variant>
      <vt:variant>
        <vt:i4>0</vt:i4>
      </vt:variant>
      <vt:variant>
        <vt:i4>5</vt:i4>
      </vt:variant>
      <vt:variant>
        <vt:lpwstr/>
      </vt:variant>
      <vt:variant>
        <vt:lpwstr>_Toc216252915</vt:lpwstr>
      </vt:variant>
      <vt:variant>
        <vt:i4>1507384</vt:i4>
      </vt:variant>
      <vt:variant>
        <vt:i4>38</vt:i4>
      </vt:variant>
      <vt:variant>
        <vt:i4>0</vt:i4>
      </vt:variant>
      <vt:variant>
        <vt:i4>5</vt:i4>
      </vt:variant>
      <vt:variant>
        <vt:lpwstr/>
      </vt:variant>
      <vt:variant>
        <vt:lpwstr>_Toc216252914</vt:lpwstr>
      </vt:variant>
      <vt:variant>
        <vt:i4>1507384</vt:i4>
      </vt:variant>
      <vt:variant>
        <vt:i4>32</vt:i4>
      </vt:variant>
      <vt:variant>
        <vt:i4>0</vt:i4>
      </vt:variant>
      <vt:variant>
        <vt:i4>5</vt:i4>
      </vt:variant>
      <vt:variant>
        <vt:lpwstr/>
      </vt:variant>
      <vt:variant>
        <vt:lpwstr>_Toc216252913</vt:lpwstr>
      </vt:variant>
      <vt:variant>
        <vt:i4>1507384</vt:i4>
      </vt:variant>
      <vt:variant>
        <vt:i4>26</vt:i4>
      </vt:variant>
      <vt:variant>
        <vt:i4>0</vt:i4>
      </vt:variant>
      <vt:variant>
        <vt:i4>5</vt:i4>
      </vt:variant>
      <vt:variant>
        <vt:lpwstr/>
      </vt:variant>
      <vt:variant>
        <vt:lpwstr>_Toc216252912</vt:lpwstr>
      </vt:variant>
      <vt:variant>
        <vt:i4>1507384</vt:i4>
      </vt:variant>
      <vt:variant>
        <vt:i4>20</vt:i4>
      </vt:variant>
      <vt:variant>
        <vt:i4>0</vt:i4>
      </vt:variant>
      <vt:variant>
        <vt:i4>5</vt:i4>
      </vt:variant>
      <vt:variant>
        <vt:lpwstr/>
      </vt:variant>
      <vt:variant>
        <vt:lpwstr>_Toc216252911</vt:lpwstr>
      </vt:variant>
      <vt:variant>
        <vt:i4>1507384</vt:i4>
      </vt:variant>
      <vt:variant>
        <vt:i4>14</vt:i4>
      </vt:variant>
      <vt:variant>
        <vt:i4>0</vt:i4>
      </vt:variant>
      <vt:variant>
        <vt:i4>5</vt:i4>
      </vt:variant>
      <vt:variant>
        <vt:lpwstr/>
      </vt:variant>
      <vt:variant>
        <vt:lpwstr>_Toc216252910</vt:lpwstr>
      </vt:variant>
      <vt:variant>
        <vt:i4>1441848</vt:i4>
      </vt:variant>
      <vt:variant>
        <vt:i4>8</vt:i4>
      </vt:variant>
      <vt:variant>
        <vt:i4>0</vt:i4>
      </vt:variant>
      <vt:variant>
        <vt:i4>5</vt:i4>
      </vt:variant>
      <vt:variant>
        <vt:lpwstr/>
      </vt:variant>
      <vt:variant>
        <vt:lpwstr>_Toc216252909</vt:lpwstr>
      </vt:variant>
      <vt:variant>
        <vt:i4>1441848</vt:i4>
      </vt:variant>
      <vt:variant>
        <vt:i4>2</vt:i4>
      </vt:variant>
      <vt:variant>
        <vt:i4>0</vt:i4>
      </vt:variant>
      <vt:variant>
        <vt:i4>5</vt:i4>
      </vt:variant>
      <vt:variant>
        <vt:lpwstr/>
      </vt:variant>
      <vt:variant>
        <vt:lpwstr>_Toc216252908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Adel Hammas</cp:lastModifiedBy>
  <cp:revision>64</cp:revision>
  <cp:lastPrinted>2026-04-02T01:02:00Z</cp:lastPrinted>
  <dcterms:created xsi:type="dcterms:W3CDTF">2026-03-04T09:23:00Z</dcterms:created>
  <dcterms:modified xsi:type="dcterms:W3CDTF">2026-04-03T17:49:00Z</dcterms:modified>
</cp:coreProperties>
</file>