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743D2" w14:textId="1F3FFD38" w:rsidR="006E7EAE" w:rsidRPr="00713B01" w:rsidRDefault="006E7EAE" w:rsidP="006E7EAE">
      <w:pPr>
        <w:rPr>
          <w:rFonts w:ascii="Simplified Arabic" w:hAnsi="Simplified Arabic" w:cs="Simplified Arabic"/>
          <w:b/>
          <w:bCs/>
          <w:sz w:val="24"/>
          <w:szCs w:val="24"/>
        </w:rPr>
      </w:pPr>
      <w:r w:rsidRPr="00713B01">
        <w:rPr>
          <w:rFonts w:ascii="Simplified Arabic" w:hAnsi="Simplified Arabic" w:cs="Simplified Arabic" w:hint="cs"/>
          <w:b/>
          <w:bCs/>
          <w:sz w:val="24"/>
          <w:szCs w:val="24"/>
          <w:rtl/>
        </w:rPr>
        <w:t>أود</w:t>
      </w:r>
      <w:r w:rsidR="00D307D8" w:rsidRPr="00713B01">
        <w:rPr>
          <w:rFonts w:ascii="Simplified Arabic" w:hAnsi="Simplified Arabic" w:cs="Simplified Arabic" w:hint="cs"/>
          <w:b/>
          <w:bCs/>
          <w:sz w:val="24"/>
          <w:szCs w:val="24"/>
          <w:rtl/>
        </w:rPr>
        <w:t xml:space="preserve"> شكركم على جميع الملاحظات القيمة والتي استفدت من كل ما ورد فيها كما اود</w:t>
      </w:r>
      <w:r w:rsidRPr="00713B01">
        <w:rPr>
          <w:rFonts w:ascii="Simplified Arabic" w:hAnsi="Simplified Arabic" w:cs="Simplified Arabic" w:hint="cs"/>
          <w:b/>
          <w:bCs/>
          <w:sz w:val="24"/>
          <w:szCs w:val="24"/>
          <w:rtl/>
        </w:rPr>
        <w:t xml:space="preserve"> افادتكم </w:t>
      </w:r>
      <w:r w:rsidR="00D307D8" w:rsidRPr="00713B01">
        <w:rPr>
          <w:rFonts w:ascii="Simplified Arabic" w:hAnsi="Simplified Arabic" w:cs="Simplified Arabic" w:hint="cs"/>
          <w:b/>
          <w:bCs/>
          <w:sz w:val="24"/>
          <w:szCs w:val="24"/>
          <w:rtl/>
        </w:rPr>
        <w:t xml:space="preserve">بأن </w:t>
      </w:r>
      <w:r w:rsidRPr="00713B01">
        <w:rPr>
          <w:rFonts w:ascii="Simplified Arabic" w:hAnsi="Simplified Arabic" w:cs="Simplified Arabic"/>
          <w:b/>
          <w:bCs/>
          <w:sz w:val="24"/>
          <w:szCs w:val="24"/>
          <w:rtl/>
        </w:rPr>
        <w:t xml:space="preserve"> العمل </w:t>
      </w:r>
      <w:r w:rsidR="00D307D8" w:rsidRPr="00713B01">
        <w:rPr>
          <w:rFonts w:ascii="Simplified Arabic" w:hAnsi="Simplified Arabic" w:cs="Simplified Arabic" w:hint="cs"/>
          <w:b/>
          <w:bCs/>
          <w:sz w:val="24"/>
          <w:szCs w:val="24"/>
          <w:rtl/>
        </w:rPr>
        <w:t xml:space="preserve">جاري </w:t>
      </w:r>
      <w:r w:rsidRPr="00713B01">
        <w:rPr>
          <w:rFonts w:ascii="Simplified Arabic" w:hAnsi="Simplified Arabic" w:cs="Simplified Arabic"/>
          <w:b/>
          <w:bCs/>
          <w:sz w:val="24"/>
          <w:szCs w:val="24"/>
          <w:rtl/>
        </w:rPr>
        <w:t>على معالجتها في النسخة المنقحة</w:t>
      </w:r>
      <w:r w:rsidR="00D307D8" w:rsidRPr="00713B01">
        <w:rPr>
          <w:rFonts w:ascii="Simplified Arabic" w:hAnsi="Simplified Arabic" w:cs="Simplified Arabic" w:hint="cs"/>
          <w:b/>
          <w:bCs/>
          <w:sz w:val="24"/>
          <w:szCs w:val="24"/>
          <w:rtl/>
        </w:rPr>
        <w:t>( التسليم الثاني )</w:t>
      </w:r>
      <w:r w:rsidRPr="00713B01">
        <w:rPr>
          <w:rFonts w:ascii="Simplified Arabic" w:hAnsi="Simplified Arabic" w:cs="Simplified Arabic"/>
          <w:b/>
          <w:bCs/>
          <w:sz w:val="24"/>
          <w:szCs w:val="24"/>
          <w:rtl/>
        </w:rPr>
        <w:t>، وذلك على النحو الآتي</w:t>
      </w:r>
      <w:r w:rsidRPr="00713B01">
        <w:rPr>
          <w:rFonts w:ascii="Simplified Arabic" w:hAnsi="Simplified Arabic" w:cs="Simplified Arabic"/>
          <w:b/>
          <w:bCs/>
          <w:sz w:val="24"/>
          <w:szCs w:val="24"/>
        </w:rPr>
        <w:t>:</w:t>
      </w:r>
    </w:p>
    <w:p w14:paraId="3201C082" w14:textId="0A41F426" w:rsidR="006E7EAE" w:rsidRPr="00713B01" w:rsidRDefault="006E7EAE" w:rsidP="006E7EAE">
      <w:pPr>
        <w:numPr>
          <w:ilvl w:val="0"/>
          <w:numId w:val="6"/>
        </w:numPr>
        <w:rPr>
          <w:rFonts w:ascii="Simplified Arabic" w:hAnsi="Simplified Arabic" w:cs="Simplified Arabic"/>
          <w:b/>
          <w:bCs/>
          <w:sz w:val="24"/>
          <w:szCs w:val="24"/>
        </w:rPr>
      </w:pPr>
      <w:r w:rsidRPr="00713B01">
        <w:rPr>
          <w:rFonts w:ascii="Simplified Arabic" w:hAnsi="Simplified Arabic" w:cs="Simplified Arabic"/>
          <w:b/>
          <w:bCs/>
          <w:sz w:val="24"/>
          <w:szCs w:val="24"/>
          <w:rtl/>
        </w:rPr>
        <w:t>توفير روابط أو نسخ</w:t>
      </w:r>
      <w:r w:rsidRPr="00713B01">
        <w:rPr>
          <w:rFonts w:ascii="Simplified Arabic" w:hAnsi="Simplified Arabic" w:cs="Simplified Arabic"/>
          <w:b/>
          <w:bCs/>
          <w:sz w:val="24"/>
          <w:szCs w:val="24"/>
        </w:rPr>
        <w:t xml:space="preserve"> (PDF) </w:t>
      </w:r>
      <w:r w:rsidRPr="00713B01">
        <w:rPr>
          <w:rFonts w:ascii="Simplified Arabic" w:hAnsi="Simplified Arabic" w:cs="Simplified Arabic" w:hint="cs"/>
          <w:b/>
          <w:bCs/>
          <w:sz w:val="24"/>
          <w:szCs w:val="24"/>
          <w:rtl/>
        </w:rPr>
        <w:t xml:space="preserve">لجميع </w:t>
      </w:r>
      <w:r w:rsidRPr="00713B01">
        <w:rPr>
          <w:rFonts w:ascii="Simplified Arabic" w:hAnsi="Simplified Arabic" w:cs="Simplified Arabic"/>
          <w:b/>
          <w:bCs/>
          <w:sz w:val="24"/>
          <w:szCs w:val="24"/>
          <w:rtl/>
        </w:rPr>
        <w:t xml:space="preserve"> المراجع والبحوث المعتمدة في الرسال</w:t>
      </w:r>
      <w:r w:rsidRPr="00713B01">
        <w:rPr>
          <w:rFonts w:ascii="Simplified Arabic" w:hAnsi="Simplified Arabic" w:cs="Simplified Arabic" w:hint="cs"/>
          <w:b/>
          <w:bCs/>
          <w:sz w:val="24"/>
          <w:szCs w:val="24"/>
          <w:rtl/>
        </w:rPr>
        <w:t xml:space="preserve">ة وعددها اكثر من 44 ملف بي دي اف ، لكن هناك بعض الكتب تم الاستشهاد بها ولدي ككتب ورقية </w:t>
      </w:r>
      <w:r w:rsidRPr="00713B01">
        <w:rPr>
          <w:rFonts w:ascii="Simplified Arabic" w:hAnsi="Simplified Arabic" w:cs="Simplified Arabic"/>
          <w:b/>
          <w:bCs/>
          <w:sz w:val="24"/>
          <w:szCs w:val="24"/>
        </w:rPr>
        <w:t>.</w:t>
      </w:r>
      <w:r w:rsidR="00D307D8" w:rsidRPr="00713B01">
        <w:rPr>
          <w:rFonts w:ascii="Simplified Arabic" w:hAnsi="Simplified Arabic" w:cs="Simplified Arabic" w:hint="cs"/>
          <w:b/>
          <w:bCs/>
          <w:sz w:val="24"/>
          <w:szCs w:val="24"/>
          <w:rtl/>
        </w:rPr>
        <w:t xml:space="preserve"> </w:t>
      </w:r>
    </w:p>
    <w:p w14:paraId="08430064" w14:textId="77777777" w:rsidR="006E7EAE" w:rsidRPr="00713B01" w:rsidRDefault="006E7EAE" w:rsidP="006E7EAE">
      <w:pPr>
        <w:numPr>
          <w:ilvl w:val="0"/>
          <w:numId w:val="6"/>
        </w:numPr>
        <w:rPr>
          <w:rFonts w:ascii="Simplified Arabic" w:hAnsi="Simplified Arabic" w:cs="Simplified Arabic"/>
          <w:b/>
          <w:bCs/>
          <w:sz w:val="24"/>
          <w:szCs w:val="24"/>
        </w:rPr>
      </w:pPr>
      <w:r w:rsidRPr="00713B01">
        <w:rPr>
          <w:rFonts w:ascii="Simplified Arabic" w:hAnsi="Simplified Arabic" w:cs="Simplified Arabic"/>
          <w:b/>
          <w:bCs/>
          <w:sz w:val="24"/>
          <w:szCs w:val="24"/>
          <w:rtl/>
        </w:rPr>
        <w:t>معالجة الملاحظة المتعلقة بالمادة</w:t>
      </w:r>
      <w:r w:rsidRPr="00713B01">
        <w:rPr>
          <w:rFonts w:ascii="Simplified Arabic" w:hAnsi="Simplified Arabic" w:cs="Simplified Arabic"/>
          <w:b/>
          <w:bCs/>
          <w:sz w:val="24"/>
          <w:szCs w:val="24"/>
        </w:rPr>
        <w:t xml:space="preserve"> (13).</w:t>
      </w:r>
    </w:p>
    <w:p w14:paraId="0D72A28C" w14:textId="77777777" w:rsidR="006E7EAE" w:rsidRPr="00713B01" w:rsidRDefault="006E7EAE" w:rsidP="006E7EAE">
      <w:pPr>
        <w:numPr>
          <w:ilvl w:val="0"/>
          <w:numId w:val="6"/>
        </w:numPr>
        <w:rPr>
          <w:rFonts w:ascii="Simplified Arabic" w:hAnsi="Simplified Arabic" w:cs="Simplified Arabic"/>
          <w:b/>
          <w:bCs/>
          <w:sz w:val="24"/>
          <w:szCs w:val="24"/>
        </w:rPr>
      </w:pPr>
      <w:r w:rsidRPr="00713B01">
        <w:rPr>
          <w:rFonts w:ascii="Simplified Arabic" w:hAnsi="Simplified Arabic" w:cs="Simplified Arabic"/>
          <w:b/>
          <w:bCs/>
          <w:sz w:val="24"/>
          <w:szCs w:val="24"/>
          <w:rtl/>
        </w:rPr>
        <w:t>معالجة الملاحظة المتعلقة بمركز الحوار الوطني</w:t>
      </w:r>
      <w:r w:rsidRPr="00713B01">
        <w:rPr>
          <w:rFonts w:ascii="Simplified Arabic" w:hAnsi="Simplified Arabic" w:cs="Simplified Arabic"/>
          <w:b/>
          <w:bCs/>
          <w:sz w:val="24"/>
          <w:szCs w:val="24"/>
        </w:rPr>
        <w:t>.</w:t>
      </w:r>
    </w:p>
    <w:p w14:paraId="01D27A67" w14:textId="2DA434EC" w:rsidR="006E7EAE" w:rsidRPr="00713B01" w:rsidRDefault="006E7EAE" w:rsidP="006E7EAE">
      <w:pPr>
        <w:rPr>
          <w:rFonts w:ascii="Simplified Arabic" w:hAnsi="Simplified Arabic" w:cs="Simplified Arabic"/>
          <w:b/>
          <w:bCs/>
          <w:sz w:val="24"/>
          <w:szCs w:val="24"/>
          <w:rtl/>
        </w:rPr>
      </w:pPr>
      <w:r w:rsidRPr="00713B01">
        <w:rPr>
          <w:rFonts w:ascii="Simplified Arabic" w:hAnsi="Simplified Arabic" w:cs="Simplified Arabic"/>
          <w:b/>
          <w:bCs/>
          <w:sz w:val="24"/>
          <w:szCs w:val="24"/>
          <w:rtl/>
        </w:rPr>
        <w:t xml:space="preserve">كما </w:t>
      </w:r>
      <w:r w:rsidR="00B81954" w:rsidRPr="00713B01">
        <w:rPr>
          <w:rFonts w:ascii="Simplified Arabic" w:hAnsi="Simplified Arabic" w:cs="Simplified Arabic" w:hint="cs"/>
          <w:b/>
          <w:bCs/>
          <w:sz w:val="24"/>
          <w:szCs w:val="24"/>
          <w:rtl/>
        </w:rPr>
        <w:t>سيتم</w:t>
      </w:r>
      <w:r w:rsidRPr="00713B01">
        <w:rPr>
          <w:rFonts w:ascii="Simplified Arabic" w:hAnsi="Simplified Arabic" w:cs="Simplified Arabic"/>
          <w:b/>
          <w:bCs/>
          <w:sz w:val="24"/>
          <w:szCs w:val="24"/>
          <w:rtl/>
        </w:rPr>
        <w:t xml:space="preserve"> في النسخة المنقحة</w:t>
      </w:r>
      <w:r w:rsidR="00B81954" w:rsidRPr="00713B01">
        <w:rPr>
          <w:rFonts w:ascii="Simplified Arabic" w:hAnsi="Simplified Arabic" w:cs="Simplified Arabic" w:hint="cs"/>
          <w:b/>
          <w:bCs/>
          <w:sz w:val="24"/>
          <w:szCs w:val="24"/>
          <w:rtl/>
        </w:rPr>
        <w:t xml:space="preserve"> (التسليم الثاني ) : </w:t>
      </w:r>
    </w:p>
    <w:p w14:paraId="02AE74F9" w14:textId="77777777" w:rsidR="006E7EAE" w:rsidRPr="00713B01" w:rsidRDefault="006E7EAE" w:rsidP="006E7EAE">
      <w:pPr>
        <w:numPr>
          <w:ilvl w:val="0"/>
          <w:numId w:val="7"/>
        </w:numPr>
        <w:rPr>
          <w:rFonts w:ascii="Simplified Arabic" w:hAnsi="Simplified Arabic" w:cs="Simplified Arabic"/>
          <w:b/>
          <w:bCs/>
          <w:sz w:val="24"/>
          <w:szCs w:val="24"/>
        </w:rPr>
      </w:pPr>
      <w:r w:rsidRPr="00713B01">
        <w:rPr>
          <w:rFonts w:ascii="Simplified Arabic" w:hAnsi="Simplified Arabic" w:cs="Simplified Arabic"/>
          <w:b/>
          <w:bCs/>
          <w:sz w:val="24"/>
          <w:szCs w:val="24"/>
          <w:rtl/>
        </w:rPr>
        <w:t>توثيق جميع الاستشهادات برقم الصفحة التي نُقلت منها الفكرة أو النص</w:t>
      </w:r>
      <w:r w:rsidRPr="00713B01">
        <w:rPr>
          <w:rFonts w:ascii="Simplified Arabic" w:hAnsi="Simplified Arabic" w:cs="Simplified Arabic"/>
          <w:b/>
          <w:bCs/>
          <w:sz w:val="24"/>
          <w:szCs w:val="24"/>
        </w:rPr>
        <w:t>.</w:t>
      </w:r>
    </w:p>
    <w:p w14:paraId="79CA26BC" w14:textId="77777777" w:rsidR="006E7EAE" w:rsidRPr="00713B01" w:rsidRDefault="006E7EAE" w:rsidP="006E7EAE">
      <w:pPr>
        <w:numPr>
          <w:ilvl w:val="0"/>
          <w:numId w:val="7"/>
        </w:numPr>
        <w:rPr>
          <w:rFonts w:ascii="Simplified Arabic" w:hAnsi="Simplified Arabic" w:cs="Simplified Arabic"/>
          <w:b/>
          <w:bCs/>
          <w:sz w:val="24"/>
          <w:szCs w:val="24"/>
        </w:rPr>
      </w:pPr>
      <w:r w:rsidRPr="00713B01">
        <w:rPr>
          <w:rFonts w:ascii="Simplified Arabic" w:hAnsi="Simplified Arabic" w:cs="Simplified Arabic"/>
          <w:b/>
          <w:bCs/>
          <w:sz w:val="24"/>
          <w:szCs w:val="24"/>
          <w:rtl/>
        </w:rPr>
        <w:t>توفير نسخ</w:t>
      </w:r>
      <w:r w:rsidRPr="00713B01">
        <w:rPr>
          <w:rFonts w:ascii="Simplified Arabic" w:hAnsi="Simplified Arabic" w:cs="Simplified Arabic"/>
          <w:b/>
          <w:bCs/>
          <w:sz w:val="24"/>
          <w:szCs w:val="24"/>
        </w:rPr>
        <w:t xml:space="preserve"> (PDF) </w:t>
      </w:r>
      <w:r w:rsidRPr="00713B01">
        <w:rPr>
          <w:rFonts w:ascii="Simplified Arabic" w:hAnsi="Simplified Arabic" w:cs="Simplified Arabic"/>
          <w:b/>
          <w:bCs/>
          <w:sz w:val="24"/>
          <w:szCs w:val="24"/>
          <w:rtl/>
        </w:rPr>
        <w:t>للمراجع عند الحاجة</w:t>
      </w:r>
      <w:r w:rsidRPr="00713B01">
        <w:rPr>
          <w:rFonts w:ascii="Simplified Arabic" w:hAnsi="Simplified Arabic" w:cs="Simplified Arabic"/>
          <w:b/>
          <w:bCs/>
          <w:sz w:val="24"/>
          <w:szCs w:val="24"/>
        </w:rPr>
        <w:t>.</w:t>
      </w:r>
    </w:p>
    <w:p w14:paraId="5B3CE690" w14:textId="77777777" w:rsidR="006E7EAE" w:rsidRPr="00713B01" w:rsidRDefault="006E7EAE" w:rsidP="006E7EAE">
      <w:pPr>
        <w:numPr>
          <w:ilvl w:val="0"/>
          <w:numId w:val="7"/>
        </w:numPr>
        <w:rPr>
          <w:rFonts w:ascii="Simplified Arabic" w:hAnsi="Simplified Arabic" w:cs="Simplified Arabic"/>
          <w:b/>
          <w:bCs/>
          <w:sz w:val="24"/>
          <w:szCs w:val="24"/>
        </w:rPr>
      </w:pPr>
      <w:r w:rsidRPr="00713B01">
        <w:rPr>
          <w:rFonts w:ascii="Simplified Arabic" w:hAnsi="Simplified Arabic" w:cs="Simplified Arabic"/>
          <w:b/>
          <w:bCs/>
          <w:sz w:val="24"/>
          <w:szCs w:val="24"/>
          <w:rtl/>
        </w:rPr>
        <w:t>مراجعة جميع المواد النظامية وأرقامها مراجعة دقيقة</w:t>
      </w:r>
      <w:r w:rsidRPr="00713B01">
        <w:rPr>
          <w:rFonts w:ascii="Simplified Arabic" w:hAnsi="Simplified Arabic" w:cs="Simplified Arabic"/>
          <w:b/>
          <w:bCs/>
          <w:sz w:val="24"/>
          <w:szCs w:val="24"/>
        </w:rPr>
        <w:t>.</w:t>
      </w:r>
    </w:p>
    <w:p w14:paraId="4A6606A4" w14:textId="77777777" w:rsidR="006E7EAE" w:rsidRPr="00713B01" w:rsidRDefault="006E7EAE" w:rsidP="006E7EAE">
      <w:pPr>
        <w:numPr>
          <w:ilvl w:val="0"/>
          <w:numId w:val="7"/>
        </w:numPr>
        <w:rPr>
          <w:rFonts w:ascii="Simplified Arabic" w:hAnsi="Simplified Arabic" w:cs="Simplified Arabic"/>
          <w:b/>
          <w:bCs/>
          <w:sz w:val="24"/>
          <w:szCs w:val="24"/>
        </w:rPr>
      </w:pPr>
      <w:r w:rsidRPr="00713B01">
        <w:rPr>
          <w:rFonts w:ascii="Simplified Arabic" w:hAnsi="Simplified Arabic" w:cs="Simplified Arabic"/>
          <w:b/>
          <w:bCs/>
          <w:sz w:val="24"/>
          <w:szCs w:val="24"/>
          <w:rtl/>
        </w:rPr>
        <w:t>مراجعة جميع الملاحظات المتعلقة بالنقل والاستشهاد والتأكد من صحة أرقام الصفحات في الهوامش</w:t>
      </w:r>
      <w:r w:rsidRPr="00713B01">
        <w:rPr>
          <w:rFonts w:ascii="Simplified Arabic" w:hAnsi="Simplified Arabic" w:cs="Simplified Arabic"/>
          <w:b/>
          <w:bCs/>
          <w:sz w:val="24"/>
          <w:szCs w:val="24"/>
        </w:rPr>
        <w:t>.</w:t>
      </w:r>
    </w:p>
    <w:p w14:paraId="4719A3BC" w14:textId="2EF0DEF2" w:rsidR="006E7EAE" w:rsidRDefault="006E7EAE" w:rsidP="006E7EAE">
      <w:pPr>
        <w:rPr>
          <w:rFonts w:ascii="Simplified Arabic" w:hAnsi="Simplified Arabic" w:cs="Simplified Arabic"/>
          <w:b/>
          <w:bCs/>
          <w:sz w:val="24"/>
          <w:szCs w:val="24"/>
          <w:rtl/>
        </w:rPr>
      </w:pPr>
      <w:r w:rsidRPr="00713B01">
        <w:rPr>
          <w:rFonts w:ascii="Simplified Arabic" w:hAnsi="Simplified Arabic" w:cs="Simplified Arabic"/>
          <w:b/>
          <w:bCs/>
          <w:sz w:val="24"/>
          <w:szCs w:val="24"/>
          <w:rtl/>
        </w:rPr>
        <w:t>آمل مراجعة النسخة المنقحة</w:t>
      </w:r>
      <w:r w:rsidR="00A12122">
        <w:rPr>
          <w:rFonts w:ascii="Simplified Arabic" w:hAnsi="Simplified Arabic" w:cs="Simplified Arabic" w:hint="cs"/>
          <w:b/>
          <w:bCs/>
          <w:sz w:val="24"/>
          <w:szCs w:val="24"/>
          <w:rtl/>
        </w:rPr>
        <w:t xml:space="preserve"> التي تم ارفاقها</w:t>
      </w:r>
      <w:r w:rsidRPr="00713B01">
        <w:rPr>
          <w:rFonts w:ascii="Simplified Arabic" w:hAnsi="Simplified Arabic" w:cs="Simplified Arabic"/>
          <w:b/>
          <w:bCs/>
          <w:sz w:val="24"/>
          <w:szCs w:val="24"/>
          <w:rtl/>
        </w:rPr>
        <w:t xml:space="preserve"> وإفادتي بأي ملاحظات إضافي</w:t>
      </w:r>
      <w:r w:rsidRPr="00713B01">
        <w:rPr>
          <w:rFonts w:ascii="Simplified Arabic" w:hAnsi="Simplified Arabic" w:cs="Simplified Arabic" w:hint="cs"/>
          <w:b/>
          <w:bCs/>
          <w:sz w:val="24"/>
          <w:szCs w:val="24"/>
          <w:rtl/>
        </w:rPr>
        <w:t>ة علما اني اعمل حاليا أيضا على مدى توازن الفصول في الرساله .</w:t>
      </w:r>
    </w:p>
    <w:p w14:paraId="133D43DD" w14:textId="54980A62" w:rsidR="00A12122" w:rsidRPr="00713B01" w:rsidRDefault="00A12122" w:rsidP="006E7EAE">
      <w:pPr>
        <w:rPr>
          <w:rFonts w:ascii="Simplified Arabic" w:hAnsi="Simplified Arabic" w:cs="Simplified Arabic"/>
          <w:b/>
          <w:bCs/>
          <w:sz w:val="24"/>
          <w:szCs w:val="24"/>
        </w:rPr>
      </w:pPr>
      <w:r w:rsidRPr="00A12122">
        <w:rPr>
          <w:rFonts w:ascii="Simplified Arabic" w:hAnsi="Simplified Arabic" w:cs="Simplified Arabic" w:hint="cs"/>
          <w:b/>
          <w:bCs/>
          <w:sz w:val="24"/>
          <w:szCs w:val="24"/>
          <w:highlight w:val="red"/>
          <w:rtl/>
        </w:rPr>
        <w:t>وفي حال رغبة اللجنه بأي مرجع بي دي اف  محدد من النسخة المنقحة للتسليم الثاني فقط تزويدي به وسيتم ارساله في نفس التذكرة</w:t>
      </w:r>
      <w:r>
        <w:rPr>
          <w:rFonts w:ascii="Simplified Arabic" w:hAnsi="Simplified Arabic" w:cs="Simplified Arabic" w:hint="cs"/>
          <w:b/>
          <w:bCs/>
          <w:sz w:val="24"/>
          <w:szCs w:val="24"/>
          <w:rtl/>
        </w:rPr>
        <w:t xml:space="preserve"> </w:t>
      </w:r>
    </w:p>
    <w:p w14:paraId="3BB43809" w14:textId="3AC57BBA" w:rsidR="00D307D8" w:rsidRPr="00713B01" w:rsidRDefault="006E7EAE" w:rsidP="00713B01">
      <w:pPr>
        <w:rPr>
          <w:rFonts w:ascii="Simplified Arabic" w:hAnsi="Simplified Arabic" w:cs="Simplified Arabic"/>
          <w:b/>
          <w:bCs/>
          <w:sz w:val="24"/>
          <w:szCs w:val="24"/>
          <w:rtl/>
        </w:rPr>
      </w:pPr>
      <w:r w:rsidRPr="00713B01">
        <w:rPr>
          <w:rFonts w:ascii="Simplified Arabic" w:hAnsi="Simplified Arabic" w:cs="Simplified Arabic"/>
          <w:b/>
          <w:bCs/>
          <w:sz w:val="24"/>
          <w:szCs w:val="24"/>
          <w:highlight w:val="darkYellow"/>
          <w:rtl/>
        </w:rPr>
        <w:t>ولدي استفسار: بدأت العمل على الفصل الأخير، فهل يمكن تسليمه الآن مع مراجعة جميع الفصول المنجزة، حتى أتمكن من تنفيذ أي تعديلات مطلوبة</w:t>
      </w:r>
      <w:r w:rsidR="00B81954" w:rsidRPr="00713B01">
        <w:rPr>
          <w:rFonts w:ascii="Simplified Arabic" w:hAnsi="Simplified Arabic" w:cs="Simplified Arabic" w:hint="cs"/>
          <w:b/>
          <w:bCs/>
          <w:sz w:val="24"/>
          <w:szCs w:val="24"/>
          <w:highlight w:val="darkYellow"/>
          <w:rtl/>
        </w:rPr>
        <w:t xml:space="preserve"> في كامل الرسالة</w:t>
      </w:r>
      <w:r w:rsidRPr="00713B01">
        <w:rPr>
          <w:rFonts w:ascii="Simplified Arabic" w:hAnsi="Simplified Arabic" w:cs="Simplified Arabic"/>
          <w:b/>
          <w:bCs/>
          <w:sz w:val="24"/>
          <w:szCs w:val="24"/>
          <w:highlight w:val="darkYellow"/>
          <w:rtl/>
        </w:rPr>
        <w:t xml:space="preserve"> والتفرغ في الفصل القادم لنشر البحوث؟</w:t>
      </w:r>
    </w:p>
    <w:p w14:paraId="716CD3F1" w14:textId="29E3149F" w:rsidR="00713B01" w:rsidRPr="00713B01" w:rsidRDefault="00713B01" w:rsidP="00D307D8">
      <w:pPr>
        <w:rPr>
          <w:rFonts w:ascii="Simplified Arabic" w:hAnsi="Simplified Arabic" w:cs="Simplified Arabic"/>
          <w:b/>
          <w:bCs/>
          <w:sz w:val="24"/>
          <w:szCs w:val="24"/>
          <w:rtl/>
        </w:rPr>
      </w:pPr>
    </w:p>
    <w:p w14:paraId="4BE921A5" w14:textId="027FDBC5" w:rsidR="00D307D8" w:rsidRPr="00713B01" w:rsidRDefault="00D307D8" w:rsidP="00D307D8">
      <w:pPr>
        <w:rPr>
          <w:rFonts w:ascii="Simplified Arabic" w:hAnsi="Simplified Arabic" w:cs="Simplified Arabic"/>
          <w:b/>
          <w:bCs/>
          <w:color w:val="EE0000"/>
          <w:sz w:val="24"/>
          <w:szCs w:val="24"/>
          <w:highlight w:val="yellow"/>
          <w:rtl/>
        </w:rPr>
      </w:pPr>
      <w:r w:rsidRPr="00713B01">
        <w:rPr>
          <w:rFonts w:ascii="Simplified Arabic" w:hAnsi="Simplified Arabic" w:cs="Simplified Arabic" w:hint="cs"/>
          <w:b/>
          <w:bCs/>
          <w:color w:val="EE0000"/>
          <w:sz w:val="24"/>
          <w:szCs w:val="24"/>
          <w:highlight w:val="yellow"/>
          <w:rtl/>
        </w:rPr>
        <w:t xml:space="preserve">اما فيما يخص الملاحظات التي تم طلبها /1- </w:t>
      </w:r>
      <w:r w:rsidRPr="00713B01">
        <w:rPr>
          <w:rFonts w:ascii="Simplified Arabic" w:hAnsi="Simplified Arabic" w:cs="Simplified Arabic"/>
          <w:b/>
          <w:bCs/>
          <w:color w:val="EE0000"/>
          <w:sz w:val="24"/>
          <w:szCs w:val="24"/>
          <w:highlight w:val="yellow"/>
          <w:rtl/>
        </w:rPr>
        <w:t xml:space="preserve">تقديم رابط تحميل </w:t>
      </w:r>
      <w:r w:rsidRPr="00713B01">
        <w:rPr>
          <w:rFonts w:ascii="Simplified Arabic" w:hAnsi="Simplified Arabic" w:cs="Simplified Arabic" w:hint="cs"/>
          <w:b/>
          <w:bCs/>
          <w:color w:val="EE0000"/>
          <w:sz w:val="24"/>
          <w:szCs w:val="24"/>
          <w:highlight w:val="yellow"/>
          <w:rtl/>
        </w:rPr>
        <w:t xml:space="preserve">بعض </w:t>
      </w:r>
      <w:r w:rsidRPr="00713B01">
        <w:rPr>
          <w:rFonts w:ascii="Simplified Arabic" w:hAnsi="Simplified Arabic" w:cs="Simplified Arabic"/>
          <w:b/>
          <w:bCs/>
          <w:color w:val="EE0000"/>
          <w:sz w:val="24"/>
          <w:szCs w:val="24"/>
          <w:highlight w:val="yellow"/>
          <w:rtl/>
        </w:rPr>
        <w:t>المر</w:t>
      </w:r>
      <w:r w:rsidRPr="00713B01">
        <w:rPr>
          <w:rFonts w:ascii="Simplified Arabic" w:hAnsi="Simplified Arabic" w:cs="Simplified Arabic" w:hint="cs"/>
          <w:b/>
          <w:bCs/>
          <w:color w:val="EE0000"/>
          <w:sz w:val="24"/>
          <w:szCs w:val="24"/>
          <w:highlight w:val="yellow"/>
          <w:rtl/>
        </w:rPr>
        <w:t>ا</w:t>
      </w:r>
      <w:r w:rsidRPr="00713B01">
        <w:rPr>
          <w:rFonts w:ascii="Simplified Arabic" w:hAnsi="Simplified Arabic" w:cs="Simplified Arabic"/>
          <w:b/>
          <w:bCs/>
          <w:color w:val="EE0000"/>
          <w:sz w:val="24"/>
          <w:szCs w:val="24"/>
          <w:highlight w:val="yellow"/>
          <w:rtl/>
        </w:rPr>
        <w:t>جع بصيغ  ب د ف أو  تقديم المرجع نفسه</w:t>
      </w:r>
      <w:r w:rsidRPr="00713B01">
        <w:rPr>
          <w:rFonts w:ascii="Simplified Arabic" w:hAnsi="Simplified Arabic" w:cs="Simplified Arabic" w:hint="cs"/>
          <w:b/>
          <w:bCs/>
          <w:color w:val="EE0000"/>
          <w:sz w:val="24"/>
          <w:szCs w:val="24"/>
          <w:highlight w:val="yellow"/>
          <w:rtl/>
        </w:rPr>
        <w:t xml:space="preserve"> لبعض البحوث المعتمدة في الرسالة </w:t>
      </w:r>
    </w:p>
    <w:p w14:paraId="49BCA5E9" w14:textId="77777777" w:rsidR="00D307D8" w:rsidRPr="00713B01" w:rsidRDefault="00D307D8" w:rsidP="00D307D8">
      <w:pPr>
        <w:rPr>
          <w:rFonts w:ascii="Simplified Arabic" w:hAnsi="Simplified Arabic" w:cs="Simplified Arabic"/>
          <w:b/>
          <w:bCs/>
          <w:color w:val="EE0000"/>
          <w:sz w:val="24"/>
          <w:szCs w:val="24"/>
          <w:highlight w:val="yellow"/>
          <w:rtl/>
        </w:rPr>
      </w:pPr>
      <w:r w:rsidRPr="00713B01">
        <w:rPr>
          <w:rFonts w:ascii="Simplified Arabic" w:hAnsi="Simplified Arabic" w:cs="Simplified Arabic" w:hint="cs"/>
          <w:b/>
          <w:bCs/>
          <w:color w:val="EE0000"/>
          <w:sz w:val="24"/>
          <w:szCs w:val="24"/>
          <w:highlight w:val="yellow"/>
          <w:rtl/>
        </w:rPr>
        <w:t>2- ملاحظة تخص المادة 13</w:t>
      </w:r>
    </w:p>
    <w:p w14:paraId="6535B5DB" w14:textId="77777777" w:rsidR="00D307D8" w:rsidRPr="00713B01" w:rsidRDefault="00D307D8" w:rsidP="00D307D8">
      <w:pPr>
        <w:rPr>
          <w:rFonts w:ascii="Simplified Arabic" w:hAnsi="Simplified Arabic" w:cs="Simplified Arabic"/>
          <w:b/>
          <w:bCs/>
          <w:color w:val="EE0000"/>
          <w:sz w:val="24"/>
          <w:szCs w:val="24"/>
          <w:rtl/>
        </w:rPr>
      </w:pPr>
      <w:r w:rsidRPr="00713B01">
        <w:rPr>
          <w:rFonts w:ascii="Simplified Arabic" w:hAnsi="Simplified Arabic" w:cs="Simplified Arabic" w:hint="cs"/>
          <w:b/>
          <w:bCs/>
          <w:color w:val="EE0000"/>
          <w:sz w:val="24"/>
          <w:szCs w:val="24"/>
          <w:highlight w:val="yellow"/>
          <w:rtl/>
        </w:rPr>
        <w:t>3- ملاحظة تخص مركز الحوار الوطني</w:t>
      </w:r>
    </w:p>
    <w:p w14:paraId="611558DF" w14:textId="588E8712" w:rsidR="00D307D8" w:rsidRPr="00713B01" w:rsidRDefault="00D307D8" w:rsidP="00D307D8">
      <w:pPr>
        <w:rPr>
          <w:rFonts w:ascii="Simplified Arabic" w:hAnsi="Simplified Arabic" w:cs="Simplified Arabic"/>
          <w:b/>
          <w:bCs/>
          <w:sz w:val="24"/>
          <w:szCs w:val="24"/>
          <w:rtl/>
        </w:rPr>
      </w:pPr>
    </w:p>
    <w:p w14:paraId="38A7D635" w14:textId="5C441423" w:rsidR="00A22D8B" w:rsidRPr="00713B01" w:rsidRDefault="00D307D8" w:rsidP="00AF01F6">
      <w:pPr>
        <w:jc w:val="center"/>
        <w:rPr>
          <w:rFonts w:ascii="Simplified Arabic" w:hAnsi="Simplified Arabic" w:cs="Simplified Arabic"/>
          <w:b/>
          <w:bCs/>
          <w:sz w:val="24"/>
          <w:szCs w:val="24"/>
          <w:rtl/>
        </w:rPr>
      </w:pPr>
      <w:r w:rsidRPr="00713B01">
        <w:rPr>
          <w:rFonts w:ascii="Simplified Arabic" w:hAnsi="Simplified Arabic" w:cs="Simplified Arabic" w:hint="cs"/>
          <w:b/>
          <w:bCs/>
          <w:sz w:val="24"/>
          <w:szCs w:val="24"/>
          <w:highlight w:val="yellow"/>
          <w:rtl/>
        </w:rPr>
        <w:t>تم معالجة و ترتيب الملاحظات التي أوردتها اللجنة</w:t>
      </w:r>
      <w:r w:rsidR="00713B01">
        <w:rPr>
          <w:rFonts w:ascii="Simplified Arabic" w:hAnsi="Simplified Arabic" w:cs="Simplified Arabic" w:hint="cs"/>
          <w:b/>
          <w:bCs/>
          <w:sz w:val="24"/>
          <w:szCs w:val="24"/>
          <w:highlight w:val="yellow"/>
          <w:rtl/>
        </w:rPr>
        <w:t xml:space="preserve"> ابتداء بتعليق اللجنة ثم الرد عليها</w:t>
      </w:r>
      <w:r w:rsidRPr="00713B01">
        <w:rPr>
          <w:rFonts w:ascii="Simplified Arabic" w:hAnsi="Simplified Arabic" w:cs="Simplified Arabic" w:hint="cs"/>
          <w:b/>
          <w:bCs/>
          <w:sz w:val="24"/>
          <w:szCs w:val="24"/>
          <w:highlight w:val="yellow"/>
          <w:rtl/>
        </w:rPr>
        <w:t xml:space="preserve"> وترقيمها لسهولة الاطلاع والرد</w:t>
      </w:r>
    </w:p>
    <w:p w14:paraId="10C217AA" w14:textId="42F7D3F8" w:rsidR="00F65282" w:rsidRPr="00713B01" w:rsidRDefault="00A22D8B" w:rsidP="00A22D8B">
      <w:pPr>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darkCyan"/>
          <w:u w:val="single"/>
          <w:rtl/>
        </w:rPr>
        <w:lastRenderedPageBreak/>
        <w:t>أولاً : الملاحظات المتعلقة بتوثيق المراجع :</w:t>
      </w:r>
    </w:p>
    <w:p w14:paraId="60C3491D" w14:textId="0BFCB81E" w:rsidR="00F65282" w:rsidRPr="00713B01" w:rsidRDefault="00F65282" w:rsidP="00A22D8B">
      <w:pPr>
        <w:pStyle w:val="a3"/>
        <w:numPr>
          <w:ilvl w:val="0"/>
          <w:numId w:val="2"/>
        </w:numPr>
        <w:rPr>
          <w:rFonts w:ascii="Simplified Arabic" w:hAnsi="Simplified Arabic" w:cs="Simplified Arabic"/>
          <w:sz w:val="24"/>
          <w:szCs w:val="24"/>
          <w:u w:val="single"/>
          <w:rtl/>
        </w:rPr>
      </w:pPr>
      <w:r w:rsidRPr="00713B01">
        <w:rPr>
          <w:rFonts w:ascii="Simplified Arabic" w:hAnsi="Simplified Arabic" w:cs="Simplified Arabic"/>
          <w:b/>
          <w:bCs/>
          <w:sz w:val="24"/>
          <w:szCs w:val="24"/>
          <w:u w:val="single"/>
          <w:rtl/>
        </w:rPr>
        <w:t>دراسة (قاسم / غاسم، 202</w:t>
      </w:r>
      <w:r w:rsidR="00AF01F6" w:rsidRPr="00713B01">
        <w:rPr>
          <w:rFonts w:ascii="Simplified Arabic" w:hAnsi="Simplified Arabic" w:cs="Simplified Arabic" w:hint="cs"/>
          <w:b/>
          <w:bCs/>
          <w:sz w:val="24"/>
          <w:szCs w:val="24"/>
          <w:u w:val="single"/>
          <w:rtl/>
        </w:rPr>
        <w:t>4</w:t>
      </w:r>
      <w:r w:rsidRPr="00713B01">
        <w:rPr>
          <w:rFonts w:ascii="Simplified Arabic" w:hAnsi="Simplified Arabic" w:cs="Simplified Arabic"/>
          <w:b/>
          <w:bCs/>
          <w:sz w:val="24"/>
          <w:szCs w:val="24"/>
          <w:u w:val="single"/>
          <w:rtl/>
        </w:rPr>
        <w:t>م): "دور الذكاء الاصطناعي في مكافحة الجريمة الإلكترونية":</w:t>
      </w:r>
      <w:r w:rsidRPr="00713B01">
        <w:rPr>
          <w:rFonts w:ascii="Simplified Arabic" w:hAnsi="Simplified Arabic" w:cs="Simplified Arabic"/>
          <w:sz w:val="24"/>
          <w:szCs w:val="24"/>
          <w:u w:val="single"/>
          <w:rtl/>
        </w:rPr>
        <w:t xml:space="preserve"> </w:t>
      </w:r>
    </w:p>
    <w:p w14:paraId="3ED8D559" w14:textId="77777777" w:rsidR="00F65282" w:rsidRPr="00713B01" w:rsidRDefault="00F65282" w:rsidP="00F65282">
      <w:pPr>
        <w:numPr>
          <w:ilvl w:val="1"/>
          <w:numId w:val="2"/>
        </w:numPr>
        <w:rPr>
          <w:rFonts w:ascii="Simplified Arabic" w:hAnsi="Simplified Arabic" w:cs="Simplified Arabic"/>
          <w:sz w:val="24"/>
          <w:szCs w:val="24"/>
          <w:rtl/>
        </w:rPr>
      </w:pPr>
      <w:r w:rsidRPr="00713B01">
        <w:rPr>
          <w:rFonts w:ascii="Times New Roman" w:hAnsi="Times New Roman" w:cs="Times New Roman" w:hint="cs"/>
          <w:sz w:val="24"/>
          <w:szCs w:val="24"/>
          <w:rtl/>
        </w:rPr>
        <w:t>​</w:t>
      </w:r>
      <w:r w:rsidRPr="00713B01">
        <w:rPr>
          <w:rFonts w:ascii="Simplified Arabic" w:hAnsi="Simplified Arabic" w:cs="Simplified Arabic"/>
          <w:b/>
          <w:bCs/>
          <w:sz w:val="24"/>
          <w:szCs w:val="24"/>
          <w:rtl/>
        </w:rPr>
        <w:t>مكان الورود في النص:</w:t>
      </w:r>
      <w:r w:rsidRPr="00713B01">
        <w:rPr>
          <w:rFonts w:ascii="Simplified Arabic" w:hAnsi="Simplified Arabic" w:cs="Simplified Arabic"/>
          <w:sz w:val="24"/>
          <w:szCs w:val="24"/>
          <w:rtl/>
        </w:rPr>
        <w:t xml:space="preserve"> وردت مرة باسم "قاسم" ومرة باسم "غاسم".</w:t>
      </w:r>
    </w:p>
    <w:p w14:paraId="62B55442" w14:textId="5D4EACBC" w:rsidR="00AF01F6" w:rsidRPr="00713B01" w:rsidRDefault="00F65282" w:rsidP="00AF01F6">
      <w:pPr>
        <w:rPr>
          <w:rFonts w:ascii="Simplified Arabic" w:hAnsi="Simplified Arabic" w:cs="Simplified Arabic"/>
          <w:sz w:val="24"/>
          <w:szCs w:val="24"/>
          <w:rtl/>
        </w:rPr>
      </w:pPr>
      <w:r w:rsidRPr="00713B01">
        <w:rPr>
          <w:rFonts w:ascii="Simplified Arabic" w:hAnsi="Simplified Arabic" w:cs="Simplified Arabic"/>
          <w:sz w:val="24"/>
          <w:szCs w:val="24"/>
          <w:rtl/>
        </w:rPr>
        <w:t>البحث في الفهارس الأكاديمية عن أطروحة أو دراسة بهذا الاسم والترتيب اللفظي الدقيق تحت اسم "غاسم" لم يسفر عن أي أصل. الخلط الهجائي الكهذا (قاسم ضد غاسم) مع ثبات العنوان يشير إلى أن المرجع تم توليده عشوائياً أو نقله من مسودة غير مدققة، وهو غير حقيقي بالصيغة المطروحة</w:t>
      </w:r>
    </w:p>
    <w:p w14:paraId="60D3BE95" w14:textId="57F9D9B6" w:rsidR="00AF01F6" w:rsidRPr="00713B01" w:rsidRDefault="00AF01F6" w:rsidP="00F65282">
      <w:pPr>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green"/>
          <w:u w:val="single"/>
          <w:rtl/>
        </w:rPr>
        <w:t>الرد على ما ورد من اللجنة :</w:t>
      </w:r>
      <w:r w:rsidRPr="00713B01">
        <w:rPr>
          <w:rFonts w:ascii="Simplified Arabic" w:hAnsi="Simplified Arabic" w:cs="Simplified Arabic" w:hint="cs"/>
          <w:b/>
          <w:bCs/>
          <w:sz w:val="24"/>
          <w:szCs w:val="24"/>
          <w:u w:val="single"/>
          <w:rtl/>
        </w:rPr>
        <w:t xml:space="preserve"> </w:t>
      </w:r>
    </w:p>
    <w:p w14:paraId="6F34ACBE" w14:textId="3EA5DB33" w:rsidR="00AF01F6" w:rsidRPr="00713B01" w:rsidRDefault="00AF01F6" w:rsidP="00AF01F6">
      <w:pPr>
        <w:pBdr>
          <w:bottom w:val="single" w:sz="4" w:space="0" w:color="BFBFBF"/>
        </w:pBdr>
        <w:spacing w:before="220" w:after="100"/>
        <w:rPr>
          <w:sz w:val="24"/>
          <w:szCs w:val="24"/>
          <w:rtl/>
        </w:rPr>
      </w:pPr>
      <w:r w:rsidRPr="00713B01">
        <w:rPr>
          <w:b/>
          <w:bCs/>
          <w:color w:val="2E7D32"/>
          <w:sz w:val="24"/>
          <w:szCs w:val="24"/>
          <w:rtl/>
        </w:rPr>
        <w:t>دراسة (قاسم / ، 202</w:t>
      </w:r>
      <w:r w:rsidRPr="00713B01">
        <w:rPr>
          <w:rFonts w:hint="cs"/>
          <w:b/>
          <w:bCs/>
          <w:color w:val="2E7D32"/>
          <w:sz w:val="24"/>
          <w:szCs w:val="24"/>
          <w:rtl/>
        </w:rPr>
        <w:t>4</w:t>
      </w:r>
      <w:r w:rsidRPr="00713B01">
        <w:rPr>
          <w:b/>
          <w:bCs/>
          <w:color w:val="2E7D32"/>
          <w:sz w:val="24"/>
          <w:szCs w:val="24"/>
          <w:rtl/>
        </w:rPr>
        <w:t>م): دور الذكاء الاصطناعي في مكافحة الجريمة الإلكترونية</w:t>
      </w:r>
    </w:p>
    <w:p w14:paraId="52D3D8AD" w14:textId="07716F1A" w:rsidR="00AF01F6" w:rsidRPr="00713B01" w:rsidRDefault="00AF01F6" w:rsidP="00AF01F6">
      <w:pPr>
        <w:spacing w:after="80" w:line="300" w:lineRule="auto"/>
        <w:ind w:left="280"/>
        <w:rPr>
          <w:sz w:val="24"/>
          <w:szCs w:val="24"/>
        </w:rPr>
      </w:pPr>
      <w:r w:rsidRPr="00713B01">
        <w:rPr>
          <w:color w:val="2E7D32"/>
          <w:sz w:val="24"/>
          <w:szCs w:val="24"/>
          <w:rtl/>
        </w:rPr>
        <w:t>المرجع حقيقي وموجود، والنسخة الكاملة مرفقة (المرفق 01)، وهو منشور في مجلة محكّمة ومتاح على موقعها الرسمي.</w:t>
      </w:r>
    </w:p>
    <w:p w14:paraId="242C552B" w14:textId="77777777" w:rsidR="00AF01F6" w:rsidRPr="00713B01" w:rsidRDefault="00AF01F6" w:rsidP="00AF01F6">
      <w:pPr>
        <w:spacing w:after="80" w:line="300" w:lineRule="auto"/>
        <w:ind w:left="280"/>
        <w:rPr>
          <w:sz w:val="24"/>
          <w:szCs w:val="24"/>
        </w:rPr>
      </w:pPr>
      <w:r w:rsidRPr="00713B01">
        <w:rPr>
          <w:b/>
          <w:bCs/>
          <w:sz w:val="24"/>
          <w:szCs w:val="24"/>
          <w:rtl/>
        </w:rPr>
        <w:t xml:space="preserve">التوثيق الصحيح: </w:t>
      </w:r>
      <w:r w:rsidRPr="00713B01">
        <w:rPr>
          <w:sz w:val="24"/>
          <w:szCs w:val="24"/>
          <w:rtl/>
        </w:rPr>
        <w:t>قاسم، مراد محمد غالب. (2024م). دور الذكاء الاصطناعي في مكافحة الجريمة الإلكترونية: دراسة مقارنة. المجلة العصرية للدراسات القانونية، الكلية العصرية الجامعية، رام الله – فلسطين، المجلد (2)، العدد (2)، ص 90 وما بعدها.</w:t>
      </w:r>
    </w:p>
    <w:p w14:paraId="53CC10D0" w14:textId="77777777" w:rsidR="00AF01F6" w:rsidRPr="00713B01" w:rsidRDefault="00AF01F6" w:rsidP="00AF01F6">
      <w:pPr>
        <w:spacing w:after="80" w:line="300" w:lineRule="auto"/>
        <w:ind w:left="280"/>
        <w:rPr>
          <w:sz w:val="24"/>
          <w:szCs w:val="24"/>
        </w:rPr>
      </w:pPr>
      <w:r w:rsidRPr="00713B01">
        <w:rPr>
          <w:b/>
          <w:bCs/>
          <w:sz w:val="24"/>
          <w:szCs w:val="24"/>
          <w:rtl/>
        </w:rPr>
        <w:t xml:space="preserve">رابط التحميل: </w:t>
      </w:r>
      <w:r w:rsidRPr="00713B01">
        <w:rPr>
          <w:sz w:val="24"/>
          <w:szCs w:val="24"/>
          <w:rtl/>
        </w:rPr>
        <w:t>https://mucjournals.muc.edu.ps/index.php/pub/article/view/95</w:t>
      </w:r>
    </w:p>
    <w:p w14:paraId="2B758615" w14:textId="283EF1C8" w:rsidR="00AF01F6" w:rsidRPr="00713B01" w:rsidRDefault="00AF01F6" w:rsidP="00A22D8B">
      <w:pPr>
        <w:spacing w:after="80" w:line="300" w:lineRule="auto"/>
        <w:ind w:left="280"/>
        <w:rPr>
          <w:sz w:val="24"/>
          <w:szCs w:val="24"/>
          <w:rtl/>
        </w:rPr>
      </w:pPr>
      <w:r w:rsidRPr="00713B01">
        <w:rPr>
          <w:b/>
          <w:bCs/>
          <w:sz w:val="24"/>
          <w:szCs w:val="24"/>
          <w:rtl/>
        </w:rPr>
        <w:t xml:space="preserve">التصحيح في الأطروحة: </w:t>
      </w:r>
      <w:r w:rsidRPr="00713B01">
        <w:rPr>
          <w:sz w:val="24"/>
          <w:szCs w:val="24"/>
          <w:rtl/>
        </w:rPr>
        <w:t xml:space="preserve">الاسم الصحيح للباحث هو "قاسم"، وما ورد بصيغة "غاسم" خطأ كتابي سيُوحَّد في كامل الأطروحة، </w:t>
      </w:r>
    </w:p>
    <w:p w14:paraId="0D362603" w14:textId="77777777" w:rsidR="00D307D8" w:rsidRPr="00713B01" w:rsidRDefault="00D307D8" w:rsidP="00A22D8B">
      <w:pPr>
        <w:spacing w:after="80" w:line="300" w:lineRule="auto"/>
        <w:ind w:left="280"/>
        <w:rPr>
          <w:sz w:val="24"/>
          <w:szCs w:val="24"/>
          <w:rtl/>
        </w:rPr>
      </w:pPr>
    </w:p>
    <w:p w14:paraId="18BCF238" w14:textId="77777777" w:rsidR="00D307D8" w:rsidRPr="00713B01" w:rsidRDefault="00D307D8" w:rsidP="00A22D8B">
      <w:pPr>
        <w:spacing w:after="80" w:line="300" w:lineRule="auto"/>
        <w:ind w:left="280"/>
        <w:rPr>
          <w:sz w:val="24"/>
          <w:szCs w:val="24"/>
          <w:rtl/>
        </w:rPr>
      </w:pPr>
    </w:p>
    <w:p w14:paraId="0C0A298D" w14:textId="77777777" w:rsidR="00D307D8" w:rsidRPr="00713B01" w:rsidRDefault="00D307D8" w:rsidP="00A22D8B">
      <w:pPr>
        <w:spacing w:after="80" w:line="300" w:lineRule="auto"/>
        <w:ind w:left="280"/>
        <w:rPr>
          <w:sz w:val="24"/>
          <w:szCs w:val="24"/>
          <w:rtl/>
        </w:rPr>
      </w:pPr>
    </w:p>
    <w:p w14:paraId="7068B9B3" w14:textId="77777777" w:rsidR="00A22D8B" w:rsidRPr="00713B01" w:rsidRDefault="00A22D8B" w:rsidP="00A22D8B">
      <w:pPr>
        <w:spacing w:after="80" w:line="300" w:lineRule="auto"/>
        <w:ind w:left="280"/>
        <w:rPr>
          <w:sz w:val="24"/>
          <w:szCs w:val="24"/>
          <w:rtl/>
        </w:rPr>
      </w:pPr>
    </w:p>
    <w:p w14:paraId="2B092195" w14:textId="77777777" w:rsidR="00F65282" w:rsidRPr="00713B01" w:rsidRDefault="00F65282" w:rsidP="00F65282">
      <w:pPr>
        <w:numPr>
          <w:ilvl w:val="0"/>
          <w:numId w:val="2"/>
        </w:numPr>
        <w:rPr>
          <w:rFonts w:ascii="Simplified Arabic" w:hAnsi="Simplified Arabic" w:cs="Simplified Arabic"/>
          <w:sz w:val="24"/>
          <w:szCs w:val="24"/>
          <w:u w:val="single"/>
        </w:rPr>
      </w:pPr>
      <w:r w:rsidRPr="00713B01">
        <w:rPr>
          <w:rFonts w:ascii="Simplified Arabic" w:hAnsi="Simplified Arabic" w:cs="Simplified Arabic"/>
          <w:b/>
          <w:bCs/>
          <w:sz w:val="24"/>
          <w:szCs w:val="24"/>
          <w:u w:val="single"/>
          <w:rtl/>
        </w:rPr>
        <w:t>دراسة (إسماعيل، 2025م):</w:t>
      </w:r>
      <w:r w:rsidRPr="00713B01">
        <w:rPr>
          <w:rFonts w:ascii="Simplified Arabic" w:hAnsi="Simplified Arabic" w:cs="Simplified Arabic"/>
          <w:sz w:val="24"/>
          <w:szCs w:val="24"/>
          <w:u w:val="single"/>
          <w:rtl/>
        </w:rPr>
        <w:t xml:space="preserve"> </w:t>
      </w:r>
    </w:p>
    <w:p w14:paraId="30ED5B3A" w14:textId="626287DD" w:rsidR="00AF01F6" w:rsidRPr="00713B01" w:rsidRDefault="00F65282" w:rsidP="00AF01F6">
      <w:pPr>
        <w:numPr>
          <w:ilvl w:val="1"/>
          <w:numId w:val="2"/>
        </w:numPr>
        <w:rPr>
          <w:rFonts w:ascii="Simplified Arabic" w:hAnsi="Simplified Arabic" w:cs="Simplified Arabic"/>
          <w:sz w:val="24"/>
          <w:szCs w:val="24"/>
        </w:rPr>
      </w:pPr>
      <w:r w:rsidRPr="00713B01">
        <w:rPr>
          <w:rFonts w:ascii="Simplified Arabic" w:hAnsi="Simplified Arabic" w:cs="Simplified Arabic"/>
          <w:sz w:val="24"/>
          <w:szCs w:val="24"/>
          <w:rtl/>
        </w:rPr>
        <w:t xml:space="preserve"> لا يوجد مرجع علمي موثق ومستقر في البيئة الأكاديمية بهذا الاسم والتاريخ يغطي هذه الجزئية المحددة بالشكل المذكور، فضلاً عن عدم وجود أي بيانات نشر (دار نشر، مجلة، جامعة) تدعمها، وهي محاولة واضحة لوضع "مرجع حديث جداً" دون أساس واقعي.</w:t>
      </w:r>
    </w:p>
    <w:p w14:paraId="25945AAA" w14:textId="0D00EF05" w:rsidR="00AF01F6" w:rsidRPr="00713B01" w:rsidRDefault="00AF01F6" w:rsidP="00AF01F6">
      <w:pPr>
        <w:pStyle w:val="a3"/>
        <w:rPr>
          <w:rFonts w:ascii="Simplified Arabic" w:hAnsi="Simplified Arabic" w:cs="Simplified Arabic"/>
          <w:b/>
          <w:bCs/>
          <w:sz w:val="24"/>
          <w:szCs w:val="24"/>
          <w:u w:val="single"/>
        </w:rPr>
      </w:pPr>
      <w:r w:rsidRPr="00713B01">
        <w:rPr>
          <w:rFonts w:ascii="Simplified Arabic" w:hAnsi="Simplified Arabic" w:cs="Simplified Arabic" w:hint="cs"/>
          <w:b/>
          <w:bCs/>
          <w:sz w:val="24"/>
          <w:szCs w:val="24"/>
          <w:highlight w:val="green"/>
          <w:u w:val="single"/>
          <w:rtl/>
        </w:rPr>
        <w:t>الرد على ما ورد من اللجنة :</w:t>
      </w:r>
      <w:r w:rsidRPr="00713B01">
        <w:rPr>
          <w:rFonts w:ascii="Simplified Arabic" w:hAnsi="Simplified Arabic" w:cs="Simplified Arabic" w:hint="cs"/>
          <w:b/>
          <w:bCs/>
          <w:sz w:val="24"/>
          <w:szCs w:val="24"/>
          <w:u w:val="single"/>
          <w:rtl/>
        </w:rPr>
        <w:t xml:space="preserve"> </w:t>
      </w:r>
    </w:p>
    <w:p w14:paraId="53ABE56D" w14:textId="77777777" w:rsidR="00AF01F6" w:rsidRPr="00713B01" w:rsidRDefault="00AF01F6" w:rsidP="00A22D8B">
      <w:pPr>
        <w:pStyle w:val="a3"/>
        <w:pBdr>
          <w:bottom w:val="single" w:sz="4" w:space="0" w:color="BFBFBF"/>
        </w:pBdr>
        <w:spacing w:before="220" w:after="100"/>
        <w:rPr>
          <w:sz w:val="24"/>
          <w:szCs w:val="24"/>
        </w:rPr>
      </w:pPr>
      <w:r w:rsidRPr="00713B01">
        <w:rPr>
          <w:b/>
          <w:bCs/>
          <w:color w:val="2E7D32"/>
          <w:sz w:val="24"/>
          <w:szCs w:val="24"/>
          <w:rtl/>
        </w:rPr>
        <w:t>دراسة (إسماعيل، 2025م): تأثير الذكاء الاصطناعي على المهن القانونية</w:t>
      </w:r>
    </w:p>
    <w:p w14:paraId="048D5C52" w14:textId="79031CB6" w:rsidR="00AF01F6" w:rsidRPr="00713B01" w:rsidRDefault="00AF01F6" w:rsidP="00AF01F6">
      <w:pPr>
        <w:pStyle w:val="a3"/>
        <w:spacing w:after="80" w:line="300" w:lineRule="auto"/>
        <w:rPr>
          <w:sz w:val="24"/>
          <w:szCs w:val="24"/>
        </w:rPr>
      </w:pPr>
      <w:r w:rsidRPr="00713B01">
        <w:rPr>
          <w:color w:val="2E7D32"/>
          <w:sz w:val="24"/>
          <w:szCs w:val="24"/>
          <w:rtl/>
        </w:rPr>
        <w:t>المرجع حقيقي وموجود، والنسخة الكاملة مرفقة (المرفق 02)، وهو منشور في مجلة الباحث العربي (ISSN: 2709-0647) ومتاح على موقعها الرسمي.</w:t>
      </w:r>
    </w:p>
    <w:p w14:paraId="3E1B6179" w14:textId="77777777" w:rsidR="00AF01F6" w:rsidRPr="00713B01" w:rsidRDefault="00AF01F6" w:rsidP="00505E14">
      <w:pPr>
        <w:spacing w:after="80" w:line="300" w:lineRule="auto"/>
        <w:ind w:left="360"/>
        <w:rPr>
          <w:sz w:val="24"/>
          <w:szCs w:val="24"/>
        </w:rPr>
      </w:pPr>
      <w:r w:rsidRPr="00713B01">
        <w:rPr>
          <w:b/>
          <w:bCs/>
          <w:sz w:val="24"/>
          <w:szCs w:val="24"/>
          <w:rtl/>
        </w:rPr>
        <w:t xml:space="preserve">التوثيق الصحيح: </w:t>
      </w:r>
      <w:r w:rsidRPr="00713B01">
        <w:rPr>
          <w:sz w:val="24"/>
          <w:szCs w:val="24"/>
          <w:rtl/>
        </w:rPr>
        <w:t>إسماعيل، محمد شحادة. (2025م). تأثير الذكاء الاصطناعي على المهن القانونية. مجلة الباحث العربي، المجلد (6)، العدد (1). (استُلم البحث في 15/12/2024م وقُبل للنشر في 17/03/2025م).</w:t>
      </w:r>
    </w:p>
    <w:p w14:paraId="3B7734D3" w14:textId="77777777" w:rsidR="00AF01F6" w:rsidRPr="00713B01" w:rsidRDefault="00AF01F6" w:rsidP="00505E14">
      <w:pPr>
        <w:spacing w:after="80" w:line="300" w:lineRule="auto"/>
        <w:ind w:left="360"/>
        <w:rPr>
          <w:sz w:val="24"/>
          <w:szCs w:val="24"/>
        </w:rPr>
      </w:pPr>
      <w:r w:rsidRPr="00713B01">
        <w:rPr>
          <w:b/>
          <w:bCs/>
          <w:sz w:val="24"/>
          <w:szCs w:val="24"/>
          <w:rtl/>
        </w:rPr>
        <w:lastRenderedPageBreak/>
        <w:t xml:space="preserve">رابط التحميل: </w:t>
      </w:r>
      <w:r w:rsidRPr="00713B01">
        <w:rPr>
          <w:sz w:val="24"/>
          <w:szCs w:val="24"/>
          <w:rtl/>
        </w:rPr>
        <w:t>https://journal.carjj.org/index.php/AR/article/view/159</w:t>
      </w:r>
    </w:p>
    <w:p w14:paraId="4EA80FF5" w14:textId="77777777" w:rsidR="00AF01F6" w:rsidRPr="00713B01" w:rsidRDefault="00AF01F6" w:rsidP="00AF01F6">
      <w:pPr>
        <w:pStyle w:val="a3"/>
        <w:rPr>
          <w:rFonts w:ascii="Simplified Arabic" w:hAnsi="Simplified Arabic" w:cs="Simplified Arabic"/>
          <w:sz w:val="24"/>
          <w:szCs w:val="24"/>
          <w:rtl/>
        </w:rPr>
      </w:pPr>
    </w:p>
    <w:p w14:paraId="3B91F23C" w14:textId="1CAC559C" w:rsidR="00A22D8B" w:rsidRPr="00713B01" w:rsidRDefault="00A22D8B" w:rsidP="00A22D8B">
      <w:pPr>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u w:val="single"/>
          <w:rtl/>
        </w:rPr>
        <w:t xml:space="preserve">    </w:t>
      </w:r>
      <w:r w:rsidR="006A0CAE" w:rsidRPr="00713B01">
        <w:rPr>
          <w:rFonts w:ascii="Simplified Arabic" w:hAnsi="Simplified Arabic" w:cs="Simplified Arabic" w:hint="cs"/>
          <w:b/>
          <w:bCs/>
          <w:sz w:val="24"/>
          <w:szCs w:val="24"/>
          <w:u w:val="single"/>
          <w:rtl/>
        </w:rPr>
        <w:t>3-</w:t>
      </w:r>
      <w:r w:rsidRPr="00713B01">
        <w:rPr>
          <w:rFonts w:ascii="Simplified Arabic" w:hAnsi="Simplified Arabic" w:cs="Simplified Arabic" w:hint="cs"/>
          <w:b/>
          <w:bCs/>
          <w:sz w:val="24"/>
          <w:szCs w:val="24"/>
          <w:u w:val="single"/>
          <w:rtl/>
        </w:rPr>
        <w:t xml:space="preserve"> </w:t>
      </w:r>
      <w:r w:rsidRPr="00713B01">
        <w:rPr>
          <w:rFonts w:ascii="Simplified Arabic" w:hAnsi="Simplified Arabic" w:cs="Simplified Arabic"/>
          <w:b/>
          <w:bCs/>
          <w:sz w:val="24"/>
          <w:szCs w:val="24"/>
          <w:u w:val="single"/>
          <w:rtl/>
        </w:rPr>
        <w:t xml:space="preserve">الغنامي،نايف بن ناشي. (2024م). حجية الدليل الرقمي في نظام الإثبات السعودي. </w:t>
      </w:r>
      <w:r w:rsidRPr="00713B01">
        <w:rPr>
          <w:rFonts w:ascii="Simplified Arabic" w:hAnsi="Simplified Arabic" w:cs="Simplified Arabic"/>
          <w:b/>
          <w:bCs/>
          <w:sz w:val="24"/>
          <w:szCs w:val="24"/>
          <w:highlight w:val="yellow"/>
          <w:u w:val="single"/>
          <w:rtl/>
        </w:rPr>
        <w:t>مجلة مواق</w:t>
      </w:r>
      <w:r w:rsidRPr="00713B01">
        <w:rPr>
          <w:rFonts w:ascii="Simplified Arabic" w:hAnsi="Simplified Arabic" w:cs="Simplified Arabic"/>
          <w:b/>
          <w:bCs/>
          <w:sz w:val="24"/>
          <w:szCs w:val="24"/>
          <w:u w:val="single"/>
          <w:rtl/>
        </w:rPr>
        <w:t xml:space="preserve"> ، للدراسات الإسلامية والاجتماعية، (43)، ص145</w:t>
      </w:r>
    </w:p>
    <w:p w14:paraId="0BA8B584" w14:textId="0AFABA57" w:rsidR="00A22D8B" w:rsidRPr="00713B01" w:rsidRDefault="00A22D8B" w:rsidP="00A22D8B">
      <w:pPr>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green"/>
          <w:u w:val="single"/>
          <w:rtl/>
        </w:rPr>
        <w:t>الرد على ما ورد من اللجنة :</w:t>
      </w:r>
      <w:r w:rsidRPr="00713B01">
        <w:rPr>
          <w:rFonts w:ascii="Simplified Arabic" w:hAnsi="Simplified Arabic" w:cs="Simplified Arabic" w:hint="cs"/>
          <w:b/>
          <w:bCs/>
          <w:sz w:val="24"/>
          <w:szCs w:val="24"/>
          <w:u w:val="single"/>
          <w:rtl/>
        </w:rPr>
        <w:t xml:space="preserve"> </w:t>
      </w:r>
    </w:p>
    <w:p w14:paraId="043649ED" w14:textId="710E95A0" w:rsidR="00A22D8B" w:rsidRPr="00713B01" w:rsidRDefault="00A22D8B" w:rsidP="00A22D8B">
      <w:pPr>
        <w:pBdr>
          <w:bottom w:val="single" w:sz="4" w:space="0" w:color="BFBFBF"/>
        </w:pBdr>
        <w:spacing w:before="220" w:after="100"/>
        <w:rPr>
          <w:sz w:val="24"/>
          <w:szCs w:val="24"/>
        </w:rPr>
      </w:pPr>
      <w:r w:rsidRPr="00713B01">
        <w:rPr>
          <w:b/>
          <w:bCs/>
          <w:color w:val="B26A00"/>
          <w:sz w:val="24"/>
          <w:szCs w:val="24"/>
          <w:rtl/>
        </w:rPr>
        <w:t xml:space="preserve">الغنامي، نايف بن ناشي (2024م): "حجية الدليل الرقمي في نظام الإثبات السعودي"، مجلة </w:t>
      </w:r>
      <w:r w:rsidRPr="00713B01">
        <w:rPr>
          <w:rFonts w:hint="cs"/>
          <w:b/>
          <w:bCs/>
          <w:color w:val="B26A00"/>
          <w:sz w:val="24"/>
          <w:szCs w:val="24"/>
          <w:rtl/>
        </w:rPr>
        <w:t>رؤى الاداب</w:t>
      </w:r>
      <w:r w:rsidRPr="00713B01">
        <w:rPr>
          <w:b/>
          <w:bCs/>
          <w:color w:val="B26A00"/>
          <w:sz w:val="24"/>
          <w:szCs w:val="24"/>
          <w:rtl/>
        </w:rPr>
        <w:t>، (43)</w:t>
      </w:r>
    </w:p>
    <w:p w14:paraId="31BEB010" w14:textId="77777777" w:rsidR="00A22D8B" w:rsidRPr="00713B01" w:rsidRDefault="00A22D8B" w:rsidP="00A22D8B">
      <w:pPr>
        <w:spacing w:after="80" w:line="300" w:lineRule="auto"/>
        <w:ind w:left="280"/>
        <w:rPr>
          <w:sz w:val="24"/>
          <w:szCs w:val="24"/>
        </w:rPr>
      </w:pPr>
      <w:r w:rsidRPr="00713B01">
        <w:rPr>
          <w:b/>
          <w:bCs/>
          <w:sz w:val="24"/>
          <w:szCs w:val="24"/>
          <w:rtl/>
        </w:rPr>
        <w:t xml:space="preserve">نتيجة التحقق: </w:t>
      </w:r>
      <w:r w:rsidRPr="00713B01">
        <w:rPr>
          <w:color w:val="B26A00"/>
          <w:sz w:val="24"/>
          <w:szCs w:val="24"/>
          <w:rtl/>
        </w:rPr>
        <w:t>"الضوابط القانونية للذكاء الاصطناعي في إبرام المعاملات القانونية" (د. نايف بن ناشي الغنامي، أستاذ مشارك – الجامعة السعودية الإلكترونية).</w:t>
      </w:r>
      <w:r w:rsidRPr="00713B01">
        <w:rPr>
          <w:rFonts w:hint="cs"/>
          <w:sz w:val="24"/>
          <w:szCs w:val="24"/>
          <w:rtl/>
        </w:rPr>
        <w:t xml:space="preserve"> مرفق6</w:t>
      </w:r>
    </w:p>
    <w:p w14:paraId="445ECEF4" w14:textId="77777777" w:rsidR="00A22D8B" w:rsidRPr="00713B01" w:rsidRDefault="00A22D8B" w:rsidP="00A22D8B">
      <w:pPr>
        <w:rPr>
          <w:rFonts w:ascii="Simplified Arabic" w:hAnsi="Simplified Arabic" w:cs="Simplified Arabic"/>
          <w:sz w:val="24"/>
          <w:szCs w:val="24"/>
          <w:rtl/>
        </w:rPr>
      </w:pPr>
    </w:p>
    <w:p w14:paraId="357D2834" w14:textId="77777777" w:rsidR="00505E14" w:rsidRPr="00713B01" w:rsidRDefault="00505E14" w:rsidP="00A22D8B">
      <w:pPr>
        <w:rPr>
          <w:rFonts w:ascii="Simplified Arabic" w:hAnsi="Simplified Arabic" w:cs="Simplified Arabic"/>
          <w:sz w:val="24"/>
          <w:szCs w:val="24"/>
          <w:rtl/>
        </w:rPr>
      </w:pPr>
    </w:p>
    <w:p w14:paraId="5C4BB000" w14:textId="1AA15B2F" w:rsidR="00505E14" w:rsidRPr="00713B01" w:rsidRDefault="00505E14" w:rsidP="00505E14">
      <w:pPr>
        <w:pStyle w:val="a3"/>
        <w:numPr>
          <w:ilvl w:val="0"/>
          <w:numId w:val="4"/>
        </w:numPr>
        <w:rPr>
          <w:rFonts w:ascii="Simplified Arabic" w:hAnsi="Simplified Arabic" w:cs="Simplified Arabic"/>
          <w:sz w:val="24"/>
          <w:szCs w:val="24"/>
        </w:rPr>
      </w:pPr>
      <w:r w:rsidRPr="00713B01">
        <w:rPr>
          <w:rFonts w:ascii="Simplified Arabic" w:hAnsi="Simplified Arabic" w:cs="Simplified Arabic"/>
          <w:b/>
          <w:bCs/>
          <w:sz w:val="24"/>
          <w:szCs w:val="24"/>
          <w:u w:val="single"/>
          <w:rtl/>
        </w:rPr>
        <w:t xml:space="preserve">وفي سياق التحليل الاجتماعي والنفسي، كشفت عبد الرحمن </w:t>
      </w:r>
      <w:r w:rsidRPr="00713B01">
        <w:rPr>
          <w:rFonts w:ascii="Simplified Arabic" w:hAnsi="Simplified Arabic" w:cs="Simplified Arabic"/>
          <w:sz w:val="24"/>
          <w:szCs w:val="24"/>
          <w:rtl/>
        </w:rPr>
        <w:t>أن مفهوم الثقة في العدالة الرقمية ينقسم إلى بُعدين: ثقة إجرائية تتعلق بنزاهة الإجراءات وشفافيتها، وثقة نتيجية تتعلق بعدالة 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sidRPr="00713B01">
        <w:rPr>
          <w:sz w:val="24"/>
          <w:szCs w:val="24"/>
          <w:rtl/>
        </w:rPr>
        <w:footnoteReference w:id="1"/>
      </w:r>
    </w:p>
    <w:p w14:paraId="5EABE63C" w14:textId="77777777" w:rsidR="00505E14" w:rsidRPr="00713B01" w:rsidRDefault="00505E14" w:rsidP="00505E14">
      <w:pPr>
        <w:ind w:left="360"/>
        <w:rPr>
          <w:rFonts w:ascii="Simplified Arabic" w:hAnsi="Simplified Arabic" w:cs="Simplified Arabic"/>
          <w:sz w:val="24"/>
          <w:szCs w:val="24"/>
          <w:rtl/>
        </w:rPr>
      </w:pPr>
      <w:r w:rsidRPr="00713B01">
        <w:rPr>
          <w:rFonts w:ascii="Simplified Arabic" w:hAnsi="Simplified Arabic" w:cs="Simplified Arabic"/>
          <w:sz w:val="24"/>
          <w:szCs w:val="24"/>
          <w:rtl/>
        </w:rPr>
        <w:t>الاستشهاد في الأسفل ص 42</w:t>
      </w:r>
    </w:p>
    <w:p w14:paraId="35D5C3DC" w14:textId="2D86BD25" w:rsidR="00505E14" w:rsidRPr="00713B01" w:rsidRDefault="00505E14" w:rsidP="00505E14">
      <w:pPr>
        <w:ind w:left="360"/>
        <w:rPr>
          <w:rFonts w:ascii="Simplified Arabic" w:hAnsi="Simplified Arabic" w:cs="Simplified Arabic"/>
          <w:sz w:val="24"/>
          <w:szCs w:val="24"/>
          <w:rtl/>
        </w:rPr>
      </w:pPr>
      <w:r w:rsidRPr="00713B01">
        <w:rPr>
          <w:rFonts w:ascii="Simplified Arabic" w:hAnsi="Simplified Arabic" w:cs="Simplified Arabic"/>
          <w:sz w:val="24"/>
          <w:szCs w:val="24"/>
          <w:rtl/>
        </w:rPr>
        <w:t>وعند الرجوع للبحث تبين أنه يبدأ من الصفحة 2278</w:t>
      </w:r>
      <w:r w:rsidRPr="00713B01">
        <w:rPr>
          <w:rFonts w:ascii="Simplified Arabic" w:hAnsi="Simplified Arabic" w:cs="Simplified Arabic" w:hint="cs"/>
          <w:sz w:val="24"/>
          <w:szCs w:val="24"/>
          <w:rtl/>
        </w:rPr>
        <w:t xml:space="preserve"> </w:t>
      </w:r>
      <w:r w:rsidRPr="00713B01">
        <w:rPr>
          <w:rFonts w:ascii="Simplified Arabic" w:hAnsi="Simplified Arabic" w:cs="Simplified Arabic"/>
          <w:sz w:val="24"/>
          <w:szCs w:val="24"/>
          <w:rtl/>
        </w:rPr>
        <w:t>وبأن كافة المعلومات المستشهد بها لم ترد في البحث</w:t>
      </w:r>
      <w:r w:rsidR="003855AB" w:rsidRPr="00713B01">
        <w:rPr>
          <w:rFonts w:ascii="Simplified Arabic" w:hAnsi="Simplified Arabic" w:cs="Simplified Arabic" w:hint="cs"/>
          <w:sz w:val="24"/>
          <w:szCs w:val="24"/>
          <w:rtl/>
        </w:rPr>
        <w:t>.</w:t>
      </w:r>
    </w:p>
    <w:p w14:paraId="3767E1A6" w14:textId="6A5ECA9C" w:rsidR="00505E14" w:rsidRPr="00713B01" w:rsidRDefault="00505E14" w:rsidP="00505E14">
      <w:pPr>
        <w:ind w:left="360"/>
        <w:rPr>
          <w:rFonts w:ascii="Simplified Arabic" w:hAnsi="Simplified Arabic" w:cs="Simplified Arabic"/>
          <w:sz w:val="24"/>
          <w:szCs w:val="24"/>
          <w:rtl/>
        </w:rPr>
      </w:pPr>
      <w:r w:rsidRPr="00713B01">
        <w:rPr>
          <w:rFonts w:ascii="Simplified Arabic" w:hAnsi="Simplified Arabic" w:cs="Simplified Arabic" w:hint="cs"/>
          <w:sz w:val="24"/>
          <w:szCs w:val="24"/>
          <w:highlight w:val="green"/>
          <w:rtl/>
        </w:rPr>
        <w:t>الرد على ملاحظة اللجنة :</w:t>
      </w:r>
    </w:p>
    <w:p w14:paraId="60B92B4F" w14:textId="77777777" w:rsidR="003855AB" w:rsidRPr="00713B01" w:rsidRDefault="003855AB" w:rsidP="003855AB">
      <w:pPr>
        <w:ind w:left="360"/>
        <w:rPr>
          <w:rFonts w:ascii="Simplified Arabic" w:hAnsi="Simplified Arabic" w:cs="Simplified Arabic"/>
          <w:sz w:val="24"/>
          <w:szCs w:val="24"/>
        </w:rPr>
      </w:pPr>
      <w:r w:rsidRPr="00713B01">
        <w:rPr>
          <w:rFonts w:ascii="Simplified Arabic" w:hAnsi="Simplified Arabic" w:cs="Simplified Arabic"/>
          <w:sz w:val="24"/>
          <w:szCs w:val="24"/>
          <w:rtl/>
        </w:rPr>
        <w:t>فيما يخص الملاحظة الواردة على الفقرة المتعلقة بمفهوم الثقة في العدالة الرقمية (ص 42 من الحاشية):</w:t>
      </w:r>
    </w:p>
    <w:p w14:paraId="3ABF4EDD" w14:textId="34AE4E41" w:rsidR="003855AB" w:rsidRPr="00713B01" w:rsidRDefault="003855AB" w:rsidP="003855AB">
      <w:pPr>
        <w:ind w:left="360"/>
        <w:rPr>
          <w:rFonts w:ascii="Simplified Arabic" w:hAnsi="Simplified Arabic" w:cs="Simplified Arabic"/>
          <w:sz w:val="24"/>
          <w:szCs w:val="24"/>
          <w:rtl/>
        </w:rPr>
      </w:pPr>
      <w:r w:rsidRPr="00713B01">
        <w:rPr>
          <w:rFonts w:ascii="Simplified Arabic" w:hAnsi="Simplified Arabic" w:cs="Simplified Arabic"/>
          <w:sz w:val="24"/>
          <w:szCs w:val="24"/>
          <w:rtl/>
        </w:rPr>
        <w:t>ما ذكرته اللجنة صحيح؛ فبعد مراجعة الموضع تبين أن الاقتباس المنسوب إلى (عبد الرحمن) لا يطابق المُحال إليه، وأن الإحالة وردت غير دقيقة، وقد حذفتها من المتن ومن قائمة المراجع.</w:t>
      </w:r>
    </w:p>
    <w:p w14:paraId="584153F8" w14:textId="77777777" w:rsidR="003855AB" w:rsidRPr="00713B01" w:rsidRDefault="003855AB" w:rsidP="003855AB">
      <w:pPr>
        <w:ind w:left="360"/>
        <w:rPr>
          <w:rFonts w:ascii="Simplified Arabic" w:hAnsi="Simplified Arabic" w:cs="Simplified Arabic"/>
          <w:sz w:val="24"/>
          <w:szCs w:val="24"/>
          <w:rtl/>
        </w:rPr>
      </w:pPr>
      <w:r w:rsidRPr="00713B01">
        <w:rPr>
          <w:rFonts w:ascii="Simplified Arabic" w:hAnsi="Simplified Arabic" w:cs="Simplified Arabic"/>
          <w:sz w:val="24"/>
          <w:szCs w:val="24"/>
          <w:rtl/>
        </w:rPr>
        <w:t>وقد أعدت صياغة الفقرة بوصفها تحليلاً خاصاً بالباحث مسنوداً إلى مصادر موثقة، على النحو الآتي:</w:t>
      </w:r>
    </w:p>
    <w:p w14:paraId="5D3F2935" w14:textId="77777777" w:rsidR="003855AB" w:rsidRPr="00713B01" w:rsidRDefault="003855AB" w:rsidP="003855AB">
      <w:pPr>
        <w:ind w:left="360"/>
        <w:rPr>
          <w:rFonts w:ascii="Simplified Arabic" w:hAnsi="Simplified Arabic" w:cs="Simplified Arabic"/>
          <w:sz w:val="24"/>
          <w:szCs w:val="24"/>
          <w:rtl/>
        </w:rPr>
      </w:pPr>
      <w:r w:rsidRPr="00713B01">
        <w:rPr>
          <w:rFonts w:ascii="Simplified Arabic" w:hAnsi="Simplified Arabic" w:cs="Simplified Arabic"/>
          <w:sz w:val="24"/>
          <w:szCs w:val="24"/>
          <w:rtl/>
        </w:rPr>
        <w:t xml:space="preserve">«ويمكن القول إن ثقة المتقاضين في العدالة الرقمية تقوم على بُعدين متمايزين: أولهما يتصل بالإجراءات ذاتها من حيث شفافيتها واتساقها وسرعة الفصل في الدعاوى، وثانيهما يتصل بعدالة الأحكام الصادرة عنها. فالذكاء الاصطناعي قد يدعم البُعد الأول بما يوفره من اتساق وسرعة، وبما يتيحه نشر الأحكام إلكترونياً </w:t>
      </w:r>
      <w:r w:rsidRPr="00713B01">
        <w:rPr>
          <w:rFonts w:ascii="Simplified Arabic" w:hAnsi="Simplified Arabic" w:cs="Simplified Arabic"/>
          <w:sz w:val="24"/>
          <w:szCs w:val="24"/>
          <w:rtl/>
        </w:rPr>
        <w:lastRenderedPageBreak/>
        <w:t>من شفافية تزرع الثقة في القضاء، غير أن الخلل التقني أو تحيز البيانات قد يفضي إلى أحكام غير عادلة تنال من قبول الأفراد للأنظمة القضائية وثقتهم بها، وهو ما حدا بالميثاق الأخلاقي الأوروبي لاستخدام الذكاء الاصطناعي في الأنظمة القضائية الصادر عن مجلس أوروبا عام 2018م إلى تقرير مبادئ الشفافية والحياد وعدم التمييز ضماناً لهذه الثقة.»</w:t>
      </w:r>
    </w:p>
    <w:p w14:paraId="5B1CC778" w14:textId="77777777" w:rsidR="003855AB" w:rsidRPr="00713B01" w:rsidRDefault="003855AB" w:rsidP="003855AB">
      <w:pPr>
        <w:ind w:left="360"/>
        <w:rPr>
          <w:rFonts w:ascii="Simplified Arabic" w:hAnsi="Simplified Arabic" w:cs="Simplified Arabic"/>
          <w:sz w:val="24"/>
          <w:szCs w:val="24"/>
          <w:rtl/>
        </w:rPr>
      </w:pPr>
      <w:r w:rsidRPr="00713B01">
        <w:rPr>
          <w:rFonts w:ascii="Simplified Arabic" w:hAnsi="Simplified Arabic" w:cs="Simplified Arabic"/>
          <w:sz w:val="24"/>
          <w:szCs w:val="24"/>
          <w:highlight w:val="green"/>
          <w:rtl/>
        </w:rPr>
        <w:t>وتوثيقها في الحواشي كالآتي:</w:t>
      </w:r>
    </w:p>
    <w:p w14:paraId="7A1D320A" w14:textId="77777777" w:rsidR="003855AB" w:rsidRPr="00713B01" w:rsidRDefault="003855AB" w:rsidP="003855AB">
      <w:pPr>
        <w:numPr>
          <w:ilvl w:val="0"/>
          <w:numId w:val="5"/>
        </w:numPr>
        <w:rPr>
          <w:rFonts w:ascii="Simplified Arabic" w:hAnsi="Simplified Arabic" w:cs="Simplified Arabic"/>
          <w:sz w:val="24"/>
          <w:szCs w:val="24"/>
          <w:rtl/>
        </w:rPr>
      </w:pPr>
      <w:r w:rsidRPr="00713B01">
        <w:rPr>
          <w:rFonts w:ascii="Simplified Arabic" w:hAnsi="Simplified Arabic" w:cs="Simplified Arabic"/>
          <w:sz w:val="24"/>
          <w:szCs w:val="24"/>
          <w:rtl/>
        </w:rPr>
        <w:t>بلال، فاطمة عبد العزيز حسن (2023م). دور الذكاء الاصطناعي في تعزيز العدالة الناجزة أمام القضاء: دراسة مقارنة مع النظامين القانوني والقضائي في دولة قطر. رسالة ماجستير، كلية القانون، جامعة قطر، ص46 (فيما يتعلق بأثر الشفافية ونشر الأحكام في غرس الثقة بالقضاء).</w:t>
      </w:r>
    </w:p>
    <w:p w14:paraId="4D15959B" w14:textId="77777777" w:rsidR="003855AB" w:rsidRPr="00713B01" w:rsidRDefault="003855AB" w:rsidP="003855AB">
      <w:pPr>
        <w:numPr>
          <w:ilvl w:val="0"/>
          <w:numId w:val="5"/>
        </w:numPr>
        <w:rPr>
          <w:rFonts w:ascii="Simplified Arabic" w:hAnsi="Simplified Arabic" w:cs="Simplified Arabic"/>
          <w:sz w:val="24"/>
          <w:szCs w:val="24"/>
          <w:rtl/>
        </w:rPr>
      </w:pPr>
      <w:r w:rsidRPr="00713B01">
        <w:rPr>
          <w:rFonts w:ascii="Simplified Arabic" w:hAnsi="Simplified Arabic" w:cs="Simplified Arabic"/>
          <w:sz w:val="24"/>
          <w:szCs w:val="24"/>
          <w:rtl/>
        </w:rPr>
        <w:t>محمود، سيد أحمد؛ وعناني، مريم عماد. الذكاء الاصطناعي والعمل القضائي: دراسة تحليلية مقارنة. ضمن أعمال «التحديات والآفاق القانونية والاقتصادية للذكاء الاصطناعي»، كلية الحقوق، جامعة عين شمس، ص939 (فيما يتعلق بأثر الخلل التقني على عدالة الأحكام وثقة الأفراد بالأنظمة القضائية).</w:t>
      </w:r>
    </w:p>
    <w:p w14:paraId="50192B68" w14:textId="77777777" w:rsidR="003855AB" w:rsidRPr="00713B01" w:rsidRDefault="003855AB" w:rsidP="003855AB">
      <w:pPr>
        <w:numPr>
          <w:ilvl w:val="0"/>
          <w:numId w:val="5"/>
        </w:numPr>
        <w:rPr>
          <w:rFonts w:ascii="Simplified Arabic" w:hAnsi="Simplified Arabic" w:cs="Simplified Arabic"/>
          <w:sz w:val="24"/>
          <w:szCs w:val="24"/>
          <w:rtl/>
        </w:rPr>
      </w:pPr>
      <w:r w:rsidRPr="00713B01">
        <w:rPr>
          <w:rFonts w:ascii="Simplified Arabic" w:hAnsi="Simplified Arabic" w:cs="Simplified Arabic"/>
          <w:sz w:val="24"/>
          <w:szCs w:val="24"/>
        </w:rPr>
        <w:t>European Commission for the Efficiency of Justice (CEPEJ), European Ethical Charter on the Use of Artificial Intelligence in Judicial Systems and their Environment, Council of Europe, Strasbourg, 2018</w:t>
      </w:r>
      <w:r w:rsidRPr="00713B01">
        <w:rPr>
          <w:rFonts w:ascii="Simplified Arabic" w:hAnsi="Simplified Arabic" w:cs="Simplified Arabic"/>
          <w:sz w:val="24"/>
          <w:szCs w:val="24"/>
          <w:rtl/>
        </w:rPr>
        <w:t>.</w:t>
      </w:r>
    </w:p>
    <w:p w14:paraId="70A31549" w14:textId="673A3FFD" w:rsidR="003855AB" w:rsidRPr="00713B01" w:rsidRDefault="003855AB" w:rsidP="003855AB">
      <w:pPr>
        <w:ind w:left="360"/>
        <w:rPr>
          <w:rFonts w:ascii="Simplified Arabic" w:hAnsi="Simplified Arabic" w:cs="Simplified Arabic"/>
          <w:sz w:val="24"/>
          <w:szCs w:val="24"/>
          <w:rtl/>
        </w:rPr>
      </w:pPr>
      <w:r w:rsidRPr="00713B01">
        <w:rPr>
          <w:rFonts w:ascii="Simplified Arabic" w:hAnsi="Simplified Arabic" w:cs="Simplified Arabic"/>
          <w:sz w:val="24"/>
          <w:szCs w:val="24"/>
          <w:rtl/>
        </w:rPr>
        <w:t xml:space="preserve">والمصدران الأول والثاني </w:t>
      </w:r>
      <w:r w:rsidR="00225FD1">
        <w:rPr>
          <w:rFonts w:ascii="Simplified Arabic" w:hAnsi="Simplified Arabic" w:cs="Simplified Arabic" w:hint="cs"/>
          <w:sz w:val="24"/>
          <w:szCs w:val="24"/>
          <w:rtl/>
        </w:rPr>
        <w:t>موجودان في حالة الطلب برفعها</w:t>
      </w:r>
      <w:r w:rsidRPr="00713B01">
        <w:rPr>
          <w:rFonts w:ascii="Simplified Arabic" w:hAnsi="Simplified Arabic" w:cs="Simplified Arabic"/>
          <w:sz w:val="24"/>
          <w:szCs w:val="24"/>
          <w:rtl/>
        </w:rPr>
        <w:t>)، والميثاق الأوروبي متاح على الموقع الرسمي لمجلس أوروبا.</w:t>
      </w:r>
    </w:p>
    <w:p w14:paraId="163F9196" w14:textId="77777777" w:rsidR="00505E14" w:rsidRPr="00713B01" w:rsidRDefault="00505E14" w:rsidP="00505E14">
      <w:pPr>
        <w:ind w:left="360"/>
        <w:rPr>
          <w:rFonts w:ascii="Simplified Arabic" w:hAnsi="Simplified Arabic" w:cs="Simplified Arabic"/>
          <w:sz w:val="24"/>
          <w:szCs w:val="24"/>
          <w:rtl/>
        </w:rPr>
      </w:pPr>
    </w:p>
    <w:p w14:paraId="2FF1C9C2" w14:textId="77777777" w:rsidR="003855AB" w:rsidRPr="00713B01" w:rsidRDefault="003855AB" w:rsidP="003855AB">
      <w:pPr>
        <w:pStyle w:val="a3"/>
        <w:numPr>
          <w:ilvl w:val="0"/>
          <w:numId w:val="4"/>
        </w:numPr>
        <w:rPr>
          <w:rFonts w:ascii="Simplified Arabic" w:hAnsi="Simplified Arabic" w:cs="Simplified Arabic"/>
          <w:b/>
          <w:bCs/>
          <w:sz w:val="24"/>
          <w:szCs w:val="24"/>
          <w:u w:val="single"/>
        </w:rPr>
      </w:pPr>
      <w:r w:rsidRPr="00713B01">
        <w:rPr>
          <w:rFonts w:ascii="Simplified Arabic" w:hAnsi="Simplified Arabic" w:cs="Simplified Arabic"/>
          <w:b/>
          <w:bCs/>
          <w:sz w:val="24"/>
          <w:szCs w:val="24"/>
          <w:u w:val="single"/>
          <w:rtl/>
        </w:rPr>
        <w:t>جابر عبد الله (د.ت). المسؤولية عن الذكاء الاصطناعي بين القانون الخاص والقانون العام. بحث منشور في مجلة العدالة. المحكمة الدستورية العليا، مصر.</w:t>
      </w:r>
    </w:p>
    <w:p w14:paraId="037838BB" w14:textId="77777777" w:rsidR="003855AB" w:rsidRPr="00713B01" w:rsidRDefault="003855AB" w:rsidP="003855AB">
      <w:pPr>
        <w:pStyle w:val="a3"/>
        <w:ind w:left="360"/>
        <w:rPr>
          <w:rFonts w:ascii="Simplified Arabic" w:hAnsi="Simplified Arabic" w:cs="Simplified Arabic"/>
          <w:b/>
          <w:bCs/>
          <w:sz w:val="24"/>
          <w:szCs w:val="24"/>
          <w:u w:val="single"/>
          <w:rtl/>
        </w:rPr>
      </w:pPr>
    </w:p>
    <w:p w14:paraId="44AFB69F" w14:textId="2CC57D81" w:rsidR="003855AB" w:rsidRPr="00713B01" w:rsidRDefault="003855AB" w:rsidP="003855AB">
      <w:pPr>
        <w:pStyle w:val="a3"/>
        <w:ind w:left="360"/>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green"/>
          <w:u w:val="single"/>
          <w:rtl/>
        </w:rPr>
        <w:t>الرد على ملاحظة اللجنة</w:t>
      </w:r>
      <w:r w:rsidRPr="00713B01">
        <w:rPr>
          <w:rFonts w:ascii="Simplified Arabic" w:hAnsi="Simplified Arabic" w:cs="Simplified Arabic" w:hint="cs"/>
          <w:b/>
          <w:bCs/>
          <w:sz w:val="24"/>
          <w:szCs w:val="24"/>
          <w:u w:val="single"/>
          <w:rtl/>
        </w:rPr>
        <w:t>:</w:t>
      </w:r>
    </w:p>
    <w:p w14:paraId="25BB4BFB" w14:textId="77777777" w:rsidR="009B2F06" w:rsidRPr="00713B01" w:rsidRDefault="009B2F06" w:rsidP="009B2F06">
      <w:pPr>
        <w:pStyle w:val="a3"/>
        <w:ind w:left="360"/>
        <w:rPr>
          <w:rFonts w:ascii="Simplified Arabic" w:hAnsi="Simplified Arabic" w:cs="Simplified Arabic"/>
          <w:sz w:val="24"/>
          <w:szCs w:val="24"/>
        </w:rPr>
      </w:pPr>
      <w:r w:rsidRPr="00713B01">
        <w:rPr>
          <w:rFonts w:ascii="Simplified Arabic" w:hAnsi="Simplified Arabic" w:cs="Simplified Arabic"/>
          <w:sz w:val="24"/>
          <w:szCs w:val="24"/>
          <w:rtl/>
        </w:rPr>
        <w:t>البحث المشار إليه موجود، ونسخته الكاملة مرفقة بصيغة (ب د ف) — المرفق رقم (03).</w:t>
      </w:r>
    </w:p>
    <w:p w14:paraId="1D5E97E7" w14:textId="7CAF0BBD" w:rsidR="009B2F06" w:rsidRPr="00713B01" w:rsidRDefault="009B2F06" w:rsidP="009B2F06">
      <w:pPr>
        <w:pStyle w:val="a3"/>
        <w:ind w:left="360"/>
        <w:rPr>
          <w:rFonts w:ascii="Simplified Arabic" w:hAnsi="Simplified Arabic" w:cs="Simplified Arabic"/>
          <w:sz w:val="24"/>
          <w:szCs w:val="24"/>
          <w:rtl/>
        </w:rPr>
      </w:pPr>
      <w:r w:rsidRPr="00713B01">
        <w:rPr>
          <w:rFonts w:ascii="Simplified Arabic" w:hAnsi="Simplified Arabic" w:cs="Simplified Arabic"/>
          <w:sz w:val="24"/>
          <w:szCs w:val="24"/>
          <w:rtl/>
        </w:rPr>
        <w:t xml:space="preserve">وأشير إلى أن بيانات النشر وردت في </w:t>
      </w:r>
      <w:r w:rsidRPr="00713B01">
        <w:rPr>
          <w:rFonts w:ascii="Simplified Arabic" w:hAnsi="Simplified Arabic" w:cs="Simplified Arabic" w:hint="cs"/>
          <w:sz w:val="24"/>
          <w:szCs w:val="24"/>
          <w:rtl/>
        </w:rPr>
        <w:t>هي سبب اللبس في الموضوع</w:t>
      </w:r>
      <w:r w:rsidRPr="00713B01">
        <w:rPr>
          <w:rFonts w:ascii="Simplified Arabic" w:hAnsi="Simplified Arabic" w:cs="Simplified Arabic"/>
          <w:sz w:val="24"/>
          <w:szCs w:val="24"/>
          <w:rtl/>
        </w:rPr>
        <w:t>؛ فالبحث بعنوان «المسئولية عن الذكاء الاصطناعي بين القانون الخاص والقانون العام»، لمؤلفه أ.د. محمد محمد عبد اللطيف، أستاذ القانون العام بكلية الحقوق جامعة المنصورة، وهو بحث مقدم إلى مؤتمر «الجوانب القانونية والاقتصادية للذكاء الاصطناعي وتكنولوجيا المعلومات» المنعقد بكلية الحقوق جامعة المنصورة خلال الفترة 23–24 مايو 2021م، كما هو ثابت في صفحة غلاف البحث المرفق.</w:t>
      </w:r>
    </w:p>
    <w:p w14:paraId="06C17343" w14:textId="62625036" w:rsidR="003855AB" w:rsidRPr="00713B01" w:rsidRDefault="009B2F06" w:rsidP="009B2F06">
      <w:pPr>
        <w:pStyle w:val="a3"/>
        <w:ind w:left="360"/>
        <w:rPr>
          <w:rFonts w:ascii="Simplified Arabic" w:hAnsi="Simplified Arabic" w:cs="Simplified Arabic"/>
          <w:sz w:val="24"/>
          <w:szCs w:val="24"/>
          <w:rtl/>
        </w:rPr>
      </w:pPr>
      <w:r w:rsidRPr="00713B01">
        <w:rPr>
          <w:rFonts w:ascii="Simplified Arabic" w:hAnsi="Simplified Arabic" w:cs="Simplified Arabic"/>
          <w:sz w:val="24"/>
          <w:szCs w:val="24"/>
          <w:rtl/>
        </w:rPr>
        <w:lastRenderedPageBreak/>
        <w:t>وعليه فقد صُحّح التوثيق في متن الأطروحة وقائمة المراجع ليصبح: عبد اللطيف، محمد محمد. (2021م). المسئولية عن الذكاء الاصطناعي بين القانون الخاص والقانون العام. بحث مقدم إلى مؤتمر الجوانب القانونية والاقتصادية للذكاء الاصطناعي وتكنولوجيا المعلومات، كلية الحقوق، جامعة المنصورة.</w:t>
      </w:r>
    </w:p>
    <w:p w14:paraId="401EADE6" w14:textId="77777777" w:rsidR="003855AB" w:rsidRPr="00713B01" w:rsidRDefault="003855AB" w:rsidP="003855AB">
      <w:pPr>
        <w:rPr>
          <w:rFonts w:ascii="Simplified Arabic" w:hAnsi="Simplified Arabic" w:cs="Simplified Arabic"/>
          <w:sz w:val="24"/>
          <w:szCs w:val="24"/>
        </w:rPr>
      </w:pPr>
    </w:p>
    <w:p w14:paraId="0CEC025A" w14:textId="77777777" w:rsidR="009B2F06" w:rsidRPr="00713B01" w:rsidRDefault="009B2F06" w:rsidP="009B2F06">
      <w:pPr>
        <w:pStyle w:val="a3"/>
        <w:numPr>
          <w:ilvl w:val="0"/>
          <w:numId w:val="4"/>
        </w:numPr>
        <w:rPr>
          <w:rFonts w:ascii="Simplified Arabic" w:hAnsi="Simplified Arabic" w:cs="Simplified Arabic"/>
          <w:b/>
          <w:bCs/>
          <w:sz w:val="24"/>
          <w:szCs w:val="24"/>
          <w:u w:val="single"/>
        </w:rPr>
      </w:pPr>
      <w:r w:rsidRPr="00713B01">
        <w:rPr>
          <w:rFonts w:ascii="Simplified Arabic" w:hAnsi="Simplified Arabic" w:cs="Simplified Arabic"/>
          <w:b/>
          <w:bCs/>
          <w:sz w:val="24"/>
          <w:szCs w:val="24"/>
          <w:u w:val="single"/>
          <w:rtl/>
        </w:rPr>
        <w:t>العلي، عبدالعزيز عبدالناصر</w:t>
      </w:r>
      <w:r w:rsidRPr="00713B01">
        <w:rPr>
          <w:rFonts w:ascii="Simplified Arabic" w:hAnsi="Simplified Arabic" w:cs="Simplified Arabic"/>
          <w:b/>
          <w:bCs/>
          <w:sz w:val="24"/>
          <w:szCs w:val="24"/>
          <w:u w:val="single"/>
        </w:rPr>
        <w:t xml:space="preserve"> (2024). </w:t>
      </w:r>
      <w:r w:rsidRPr="00713B01">
        <w:rPr>
          <w:rFonts w:ascii="Simplified Arabic" w:hAnsi="Simplified Arabic" w:cs="Simplified Arabic"/>
          <w:b/>
          <w:bCs/>
          <w:i/>
          <w:iCs/>
          <w:sz w:val="24"/>
          <w:szCs w:val="24"/>
          <w:u w:val="single"/>
          <w:rtl/>
        </w:rPr>
        <w:t>الذكاء الاصطناعي ودوره في إبرام العقود التجارية الذكية</w:t>
      </w:r>
      <w:r w:rsidRPr="00713B01">
        <w:rPr>
          <w:rFonts w:ascii="Simplified Arabic" w:hAnsi="Simplified Arabic" w:cs="Simplified Arabic"/>
          <w:b/>
          <w:bCs/>
          <w:sz w:val="24"/>
          <w:szCs w:val="24"/>
          <w:u w:val="single"/>
        </w:rPr>
        <w:t xml:space="preserve">.   </w:t>
      </w:r>
    </w:p>
    <w:p w14:paraId="428F80AD" w14:textId="5B5C5F8D" w:rsidR="009B2F06" w:rsidRPr="00713B01" w:rsidRDefault="009B2F06" w:rsidP="009B2F06">
      <w:pPr>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green"/>
          <w:u w:val="single"/>
          <w:rtl/>
        </w:rPr>
        <w:t>الرد على ملاحظة اللجنة :</w:t>
      </w:r>
    </w:p>
    <w:p w14:paraId="0D408DB2" w14:textId="2C77E5E9" w:rsidR="009B2F06" w:rsidRPr="00713B01" w:rsidRDefault="009B2F06" w:rsidP="009B2F06">
      <w:pPr>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u w:val="single"/>
          <w:rtl/>
        </w:rPr>
        <w:t>توثيق البحث المختص بالعقود التجارية الذكية:</w:t>
      </w:r>
    </w:p>
    <w:p w14:paraId="21BE806F" w14:textId="2DDB1DED" w:rsidR="009B2F06" w:rsidRPr="00713B01" w:rsidRDefault="009B2F06" w:rsidP="009B2F06">
      <w:pPr>
        <w:rPr>
          <w:rFonts w:ascii="Simplified Arabic" w:hAnsi="Simplified Arabic" w:cs="Simplified Arabic"/>
          <w:sz w:val="24"/>
          <w:szCs w:val="24"/>
        </w:rPr>
      </w:pPr>
      <w:r w:rsidRPr="00713B01">
        <w:rPr>
          <w:rFonts w:ascii="Simplified Arabic" w:hAnsi="Simplified Arabic" w:cs="Simplified Arabic" w:hint="cs"/>
          <w:sz w:val="24"/>
          <w:szCs w:val="24"/>
          <w:rtl/>
        </w:rPr>
        <w:t>ا</w:t>
      </w:r>
      <w:r w:rsidRPr="00713B01">
        <w:rPr>
          <w:rFonts w:ascii="Simplified Arabic" w:hAnsi="Simplified Arabic" w:cs="Simplified Arabic"/>
          <w:sz w:val="24"/>
          <w:szCs w:val="24"/>
          <w:rtl/>
        </w:rPr>
        <w:t>لبحث المشار إليه موجود، ونسخته الكاملة مرفقة بصيغة (ب د ف) — المرفق رقم (05)، وهو متاح كذلك على بنك المعرفة المصري على الرابط:</w:t>
      </w:r>
      <w:r w:rsidRPr="00713B01">
        <w:rPr>
          <w:rFonts w:ascii="Simplified Arabic" w:hAnsi="Simplified Arabic" w:cs="Simplified Arabic"/>
          <w:sz w:val="24"/>
          <w:szCs w:val="24"/>
          <w:rtl/>
        </w:rPr>
        <w:br/>
      </w:r>
      <w:hyperlink r:id="rId7" w:history="1">
        <w:r w:rsidRPr="00713B01">
          <w:rPr>
            <w:rStyle w:val="Hyperlink"/>
            <w:rFonts w:ascii="Simplified Arabic" w:hAnsi="Simplified Arabic" w:cs="Simplified Arabic"/>
            <w:sz w:val="24"/>
            <w:szCs w:val="24"/>
            <w:u w:val="none"/>
          </w:rPr>
          <w:t>https://mjle.journals.ekb.eg/article_413796.html</w:t>
        </w:r>
      </w:hyperlink>
    </w:p>
    <w:p w14:paraId="2451F8B8" w14:textId="77777777" w:rsidR="009B2F06" w:rsidRPr="00713B01" w:rsidRDefault="009B2F06" w:rsidP="009B2F06">
      <w:pPr>
        <w:rPr>
          <w:rFonts w:ascii="Simplified Arabic" w:hAnsi="Simplified Arabic" w:cs="Simplified Arabic"/>
          <w:sz w:val="24"/>
          <w:szCs w:val="24"/>
          <w:rtl/>
        </w:rPr>
      </w:pPr>
      <w:r w:rsidRPr="00713B01">
        <w:rPr>
          <w:rFonts w:ascii="Simplified Arabic" w:hAnsi="Simplified Arabic" w:cs="Simplified Arabic"/>
          <w:sz w:val="24"/>
          <w:szCs w:val="24"/>
          <w:rtl/>
        </w:rPr>
        <w:t xml:space="preserve">وأشير إلى أن بيانات النشر وردت في الأطروحة بصورة غير دقيقة؛ فعنوان البحث الصحيح «الذكاء الاصطناعي ودوره في إبرام العقود التجارية» دون كلمة (الذكية)، ومؤلفته د. سعاد حسني محمد علي، مدرس القانون التجاري والبحري بكلية الحقوق جامعة عين شمس، والبحث منشور بمجلة البحوث القانونية والاقتصادية الصادرة عن كلية الحقوق جامعة المنصورة عام 2024م، ص799 وما بعدها، وله معرّف رقمي: </w:t>
      </w:r>
      <w:r w:rsidRPr="00713B01">
        <w:rPr>
          <w:rFonts w:ascii="Simplified Arabic" w:hAnsi="Simplified Arabic" w:cs="Simplified Arabic"/>
          <w:sz w:val="24"/>
          <w:szCs w:val="24"/>
        </w:rPr>
        <w:t>DOI: 10.21608/mjle.2024.413796</w:t>
      </w:r>
    </w:p>
    <w:p w14:paraId="77BF6EE0" w14:textId="77777777" w:rsidR="009B2F06" w:rsidRPr="00713B01" w:rsidRDefault="009B2F06" w:rsidP="009B2F06">
      <w:pPr>
        <w:rPr>
          <w:rFonts w:ascii="Simplified Arabic" w:hAnsi="Simplified Arabic" w:cs="Simplified Arabic"/>
          <w:sz w:val="24"/>
          <w:szCs w:val="24"/>
          <w:rtl/>
        </w:rPr>
      </w:pPr>
      <w:r w:rsidRPr="00713B01">
        <w:rPr>
          <w:rFonts w:ascii="Simplified Arabic" w:hAnsi="Simplified Arabic" w:cs="Simplified Arabic"/>
          <w:sz w:val="24"/>
          <w:szCs w:val="24"/>
          <w:rtl/>
        </w:rPr>
        <w:t>وعليه فقد صُحّح التوثيق في متن الأطروحة وقائمة المراجع ليصبح: علي، سعاد حسني محمد. (2024م). الذكاء الاصطناعي ودوره في إبرام العقود التجارية. مجلة البحوث القانونية والاقتصادية، كلية الحقوق، جامعة المنصورة، ص799 وما بعدها.</w:t>
      </w:r>
    </w:p>
    <w:p w14:paraId="4B97445D" w14:textId="77777777" w:rsidR="006B428B" w:rsidRPr="00713B01" w:rsidRDefault="006B428B" w:rsidP="009B2F06">
      <w:pPr>
        <w:rPr>
          <w:rFonts w:ascii="Simplified Arabic" w:hAnsi="Simplified Arabic" w:cs="Simplified Arabic"/>
          <w:sz w:val="24"/>
          <w:szCs w:val="24"/>
          <w:rtl/>
        </w:rPr>
      </w:pPr>
    </w:p>
    <w:p w14:paraId="31189003" w14:textId="77777777" w:rsidR="006B428B" w:rsidRPr="00713B01" w:rsidRDefault="006B428B" w:rsidP="009B2F06">
      <w:pPr>
        <w:rPr>
          <w:rFonts w:ascii="Simplified Arabic" w:hAnsi="Simplified Arabic" w:cs="Simplified Arabic"/>
          <w:sz w:val="24"/>
          <w:szCs w:val="24"/>
          <w:rtl/>
        </w:rPr>
      </w:pPr>
    </w:p>
    <w:p w14:paraId="06FA473B" w14:textId="77777777" w:rsidR="006B428B" w:rsidRPr="00713B01" w:rsidRDefault="006B428B" w:rsidP="009B2F06">
      <w:pPr>
        <w:rPr>
          <w:rFonts w:ascii="Simplified Arabic" w:hAnsi="Simplified Arabic" w:cs="Simplified Arabic"/>
          <w:sz w:val="24"/>
          <w:szCs w:val="24"/>
          <w:rtl/>
        </w:rPr>
      </w:pPr>
    </w:p>
    <w:p w14:paraId="1123F53B" w14:textId="77777777" w:rsidR="009B2F06" w:rsidRPr="00713B01" w:rsidRDefault="009B2F06" w:rsidP="009B2F06">
      <w:pPr>
        <w:rPr>
          <w:rFonts w:ascii="Simplified Arabic" w:hAnsi="Simplified Arabic" w:cs="Simplified Arabic"/>
          <w:b/>
          <w:bCs/>
          <w:sz w:val="24"/>
          <w:szCs w:val="24"/>
          <w:u w:val="single"/>
          <w:rtl/>
        </w:rPr>
      </w:pPr>
    </w:p>
    <w:p w14:paraId="54A38960" w14:textId="77777777" w:rsidR="009B2F06" w:rsidRPr="00713B01" w:rsidRDefault="009B2F06" w:rsidP="009B2F06">
      <w:pPr>
        <w:pStyle w:val="a3"/>
        <w:numPr>
          <w:ilvl w:val="0"/>
          <w:numId w:val="4"/>
        </w:numPr>
        <w:rPr>
          <w:rFonts w:ascii="Simplified Arabic" w:hAnsi="Simplified Arabic" w:cs="Simplified Arabic"/>
          <w:b/>
          <w:bCs/>
          <w:sz w:val="24"/>
          <w:szCs w:val="24"/>
          <w:u w:val="single"/>
        </w:rPr>
      </w:pPr>
      <w:r w:rsidRPr="00713B01">
        <w:rPr>
          <w:rFonts w:ascii="Simplified Arabic" w:hAnsi="Simplified Arabic" w:cs="Simplified Arabic"/>
          <w:b/>
          <w:bCs/>
          <w:sz w:val="24"/>
          <w:szCs w:val="24"/>
          <w:u w:val="single"/>
          <w:rtl/>
        </w:rPr>
        <w:t>المسؤولية المدنية عن أفعال الذكاء الاصطناعي. مجلة علمية قانونية،  ص115</w:t>
      </w:r>
    </w:p>
    <w:p w14:paraId="18CE9711" w14:textId="77777777" w:rsidR="009B2F06" w:rsidRPr="00713B01" w:rsidRDefault="009B2F06" w:rsidP="009B2F06">
      <w:pPr>
        <w:pStyle w:val="a3"/>
        <w:ind w:left="360"/>
        <w:rPr>
          <w:rFonts w:ascii="Simplified Arabic" w:hAnsi="Simplified Arabic" w:cs="Simplified Arabic"/>
          <w:b/>
          <w:bCs/>
          <w:sz w:val="24"/>
          <w:szCs w:val="24"/>
          <w:u w:val="single"/>
          <w:rtl/>
        </w:rPr>
      </w:pPr>
    </w:p>
    <w:p w14:paraId="5B99ABC3" w14:textId="0F30D6DA" w:rsidR="009B2F06" w:rsidRPr="00713B01" w:rsidRDefault="009B2F06" w:rsidP="009B2F06">
      <w:pPr>
        <w:pStyle w:val="a3"/>
        <w:ind w:left="360"/>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green"/>
          <w:u w:val="single"/>
          <w:rtl/>
        </w:rPr>
        <w:t>الرد على ملاحظة اللجنة :</w:t>
      </w:r>
    </w:p>
    <w:p w14:paraId="2D3F5ED0" w14:textId="1949E2E7" w:rsidR="009C2798" w:rsidRPr="00713B01" w:rsidRDefault="009C2798" w:rsidP="009C2798">
      <w:pPr>
        <w:pStyle w:val="a3"/>
        <w:ind w:left="360"/>
        <w:rPr>
          <w:rFonts w:ascii="Simplified Arabic" w:hAnsi="Simplified Arabic" w:cs="Simplified Arabic"/>
          <w:sz w:val="24"/>
          <w:szCs w:val="24"/>
          <w:rtl/>
        </w:rPr>
      </w:pPr>
      <w:r w:rsidRPr="00713B01">
        <w:rPr>
          <w:rFonts w:ascii="Simplified Arabic" w:hAnsi="Simplified Arabic" w:cs="Simplified Arabic" w:hint="cs"/>
          <w:sz w:val="24"/>
          <w:szCs w:val="24"/>
          <w:rtl/>
        </w:rPr>
        <w:t>ب</w:t>
      </w:r>
      <w:r w:rsidRPr="00713B01">
        <w:rPr>
          <w:rFonts w:ascii="Simplified Arabic" w:hAnsi="Simplified Arabic" w:cs="Simplified Arabic"/>
          <w:sz w:val="24"/>
          <w:szCs w:val="24"/>
          <w:rtl/>
        </w:rPr>
        <w:t xml:space="preserve">عد إعادة التحقق تبين أن </w:t>
      </w:r>
      <w:r w:rsidRPr="00713B01">
        <w:rPr>
          <w:rFonts w:ascii="Simplified Arabic" w:hAnsi="Simplified Arabic" w:cs="Simplified Arabic" w:hint="cs"/>
          <w:sz w:val="24"/>
          <w:szCs w:val="24"/>
          <w:rtl/>
        </w:rPr>
        <w:t>اللبس في الموضوع ان</w:t>
      </w:r>
      <w:r w:rsidRPr="00713B01">
        <w:rPr>
          <w:rFonts w:ascii="Simplified Arabic" w:hAnsi="Simplified Arabic" w:cs="Simplified Arabic"/>
          <w:sz w:val="24"/>
          <w:szCs w:val="24"/>
          <w:rtl/>
        </w:rPr>
        <w:t xml:space="preserve"> الإحالة وردت بتوثيق غير مكتمل — دون اسم مجلة محدد أو بيانات عدد وسنة نشر يمكن التحقق منها — </w:t>
      </w:r>
      <w:r w:rsidRPr="00713B01">
        <w:rPr>
          <w:rFonts w:ascii="Simplified Arabic" w:hAnsi="Simplified Arabic" w:cs="Simplified Arabic" w:hint="cs"/>
          <w:sz w:val="24"/>
          <w:szCs w:val="24"/>
          <w:rtl/>
        </w:rPr>
        <w:t xml:space="preserve">وبعد مراجعة المعلومة المذكورة في الصفحة تبين </w:t>
      </w:r>
      <w:r w:rsidRPr="00713B01">
        <w:rPr>
          <w:rFonts w:ascii="Simplified Arabic" w:hAnsi="Simplified Arabic" w:cs="Simplified Arabic"/>
          <w:sz w:val="24"/>
          <w:szCs w:val="24"/>
          <w:rtl/>
        </w:rPr>
        <w:t>إسناد</w:t>
      </w:r>
      <w:r w:rsidRPr="00713B01">
        <w:rPr>
          <w:rFonts w:ascii="Simplified Arabic" w:hAnsi="Simplified Arabic" w:cs="Simplified Arabic" w:hint="cs"/>
          <w:sz w:val="24"/>
          <w:szCs w:val="24"/>
          <w:rtl/>
        </w:rPr>
        <w:t xml:space="preserve"> تلك المعلومة ووجود</w:t>
      </w:r>
      <w:r w:rsidRPr="00713B01">
        <w:rPr>
          <w:rFonts w:ascii="Simplified Arabic" w:hAnsi="Simplified Arabic" w:cs="Simplified Arabic"/>
          <w:sz w:val="24"/>
          <w:szCs w:val="24"/>
          <w:rtl/>
        </w:rPr>
        <w:t xml:space="preserve"> المحتوى المتعلق بالمسؤولية المدنية عن فعل الذكاء الاصطناعي إلى بحث </w:t>
      </w:r>
      <w:r w:rsidRPr="00713B01">
        <w:rPr>
          <w:rFonts w:ascii="Simplified Arabic" w:hAnsi="Simplified Arabic" w:cs="Simplified Arabic"/>
          <w:sz w:val="24"/>
          <w:szCs w:val="24"/>
          <w:rtl/>
        </w:rPr>
        <w:lastRenderedPageBreak/>
        <w:t>محكّم متخصص في النظام السعودي، مرفق بنصه الكامل بصيغة (ب د ف) — المرفق رقم (04) — وتوثيقه:</w:t>
      </w:r>
    </w:p>
    <w:p w14:paraId="73251E23" w14:textId="77777777" w:rsidR="009C2798" w:rsidRPr="00713B01" w:rsidRDefault="009C2798" w:rsidP="009C2798">
      <w:pPr>
        <w:pStyle w:val="a3"/>
        <w:ind w:left="360"/>
        <w:rPr>
          <w:rFonts w:ascii="Simplified Arabic" w:hAnsi="Simplified Arabic" w:cs="Simplified Arabic"/>
          <w:sz w:val="24"/>
          <w:szCs w:val="24"/>
          <w:rtl/>
        </w:rPr>
      </w:pPr>
      <w:r w:rsidRPr="00713B01">
        <w:rPr>
          <w:rFonts w:ascii="Simplified Arabic" w:hAnsi="Simplified Arabic" w:cs="Simplified Arabic"/>
          <w:sz w:val="24"/>
          <w:szCs w:val="24"/>
          <w:rtl/>
        </w:rPr>
        <w:t>المالكي، خالد بن عبد الرحيم بن جابر. (2024م). المسؤولية المدنية عن فعل الذكاء الاصطناعي في النظام السعودي: دراسة تحليلية تأصيلية. مجلة البحوث الفقهية والقانونية، كلية الشريعة والقانون بدمنهور، جامعة الأزهر، العدد السابع والأربعون، أكتوبر 2024م / 1446هـ.</w:t>
      </w:r>
    </w:p>
    <w:p w14:paraId="720216FA" w14:textId="606E7452" w:rsidR="009C2798" w:rsidRPr="00713B01" w:rsidRDefault="009C2798" w:rsidP="009C2798">
      <w:pPr>
        <w:pStyle w:val="a3"/>
        <w:ind w:left="360"/>
        <w:rPr>
          <w:rFonts w:ascii="Simplified Arabic" w:hAnsi="Simplified Arabic" w:cs="Simplified Arabic"/>
          <w:sz w:val="24"/>
          <w:szCs w:val="24"/>
          <w:rtl/>
        </w:rPr>
      </w:pPr>
      <w:r w:rsidRPr="00713B01">
        <w:rPr>
          <w:rFonts w:ascii="Simplified Arabic" w:hAnsi="Simplified Arabic" w:cs="Simplified Arabic"/>
          <w:sz w:val="24"/>
          <w:szCs w:val="24"/>
          <w:rtl/>
        </w:rPr>
        <w:t xml:space="preserve">وقد روجعت مواضع الاستشهاد ذات الصلة في الأطروحة </w:t>
      </w:r>
      <w:r w:rsidRPr="00713B01">
        <w:rPr>
          <w:rFonts w:ascii="Simplified Arabic" w:hAnsi="Simplified Arabic" w:cs="Simplified Arabic" w:hint="cs"/>
          <w:sz w:val="24"/>
          <w:szCs w:val="24"/>
          <w:rtl/>
        </w:rPr>
        <w:t>ومراجعة</w:t>
      </w:r>
      <w:r w:rsidRPr="00713B01">
        <w:rPr>
          <w:rFonts w:ascii="Simplified Arabic" w:hAnsi="Simplified Arabic" w:cs="Simplified Arabic"/>
          <w:sz w:val="24"/>
          <w:szCs w:val="24"/>
          <w:rtl/>
        </w:rPr>
        <w:t xml:space="preserve"> أرقام الصفحات</w:t>
      </w:r>
      <w:r w:rsidRPr="00713B01">
        <w:rPr>
          <w:rFonts w:ascii="Simplified Arabic" w:hAnsi="Simplified Arabic" w:cs="Simplified Arabic" w:hint="cs"/>
          <w:sz w:val="24"/>
          <w:szCs w:val="24"/>
          <w:rtl/>
        </w:rPr>
        <w:t xml:space="preserve"> والمعلومات</w:t>
      </w:r>
      <w:r w:rsidRPr="00713B01">
        <w:rPr>
          <w:rFonts w:ascii="Simplified Arabic" w:hAnsi="Simplified Arabic" w:cs="Simplified Arabic"/>
          <w:sz w:val="24"/>
          <w:szCs w:val="24"/>
          <w:rtl/>
        </w:rPr>
        <w:t xml:space="preserve"> وفق النسخة المرفقة.</w:t>
      </w:r>
    </w:p>
    <w:p w14:paraId="08CBE5F3" w14:textId="16E715DA" w:rsidR="000F3B2D" w:rsidRPr="00713B01" w:rsidRDefault="000F3B2D" w:rsidP="000F3B2D">
      <w:pPr>
        <w:pStyle w:val="font-claude-response-body"/>
        <w:numPr>
          <w:ilvl w:val="0"/>
          <w:numId w:val="4"/>
        </w:numPr>
        <w:bidi/>
        <w:rPr>
          <w:u w:val="single"/>
        </w:rPr>
      </w:pPr>
      <w:r w:rsidRPr="00713B01">
        <w:rPr>
          <w:rStyle w:val="a7"/>
          <w:rFonts w:hint="cs"/>
          <w:u w:val="single"/>
          <w:rtl/>
        </w:rPr>
        <w:t>ب</w:t>
      </w:r>
      <w:r w:rsidRPr="00713B01">
        <w:rPr>
          <w:rStyle w:val="a7"/>
          <w:u w:val="single"/>
          <w:rtl/>
        </w:rPr>
        <w:t>شأن الإحالات الواردة في البنود المتعلقة بـ: (حمدان، 2023م) عن التحيز في نماذج الذكاء الاصطناعي، و(عبد الرحمن، د.ت) عن الحوكمة الرقمية وضوابط حماية البيانات، و(خليل، 2022م) عن المسؤولية القانونية عن أفعال الذكاء الاصطناعي، و(الحربي، 2019م) عن مدى الاعتراف بالشخصية القانونية للذكاء الاصطناعي:</w:t>
      </w:r>
    </w:p>
    <w:p w14:paraId="4CF9151A" w14:textId="77777777" w:rsidR="000F3B2D" w:rsidRPr="00713B01" w:rsidRDefault="000F3B2D" w:rsidP="000F3B2D">
      <w:pPr>
        <w:pStyle w:val="font-claude-response-body"/>
        <w:bidi/>
        <w:ind w:left="360"/>
        <w:rPr>
          <w:u w:val="single"/>
          <w:rtl/>
        </w:rPr>
      </w:pPr>
    </w:p>
    <w:p w14:paraId="6A4C3131" w14:textId="69E41A54" w:rsidR="000F3B2D" w:rsidRPr="00713B01" w:rsidRDefault="000F3B2D" w:rsidP="000F3B2D">
      <w:pPr>
        <w:pStyle w:val="font-claude-response-body"/>
        <w:bidi/>
        <w:ind w:left="360"/>
        <w:rPr>
          <w:u w:val="single"/>
        </w:rPr>
      </w:pPr>
      <w:r w:rsidRPr="00713B01">
        <w:rPr>
          <w:rFonts w:hint="cs"/>
          <w:highlight w:val="green"/>
          <w:u w:val="single"/>
          <w:rtl/>
        </w:rPr>
        <w:t>الرد على ملاحظات اللجنة :</w:t>
      </w:r>
    </w:p>
    <w:p w14:paraId="1141524C" w14:textId="77777777" w:rsidR="000F3B2D" w:rsidRPr="00713B01" w:rsidRDefault="000F3B2D" w:rsidP="000F3B2D">
      <w:pPr>
        <w:pStyle w:val="font-claude-response-body"/>
        <w:bidi/>
        <w:ind w:left="360"/>
        <w:rPr>
          <w:rtl/>
        </w:rPr>
      </w:pPr>
      <w:r w:rsidRPr="00713B01">
        <w:rPr>
          <w:rtl/>
        </w:rPr>
        <w:t>بمراجعة المواضع المشار إليها، أعيد التحقق من مضمون المعلومات الواردة فيها وتصويب توثيقها إلى مصادرها الصحيحة، المرفقة جميعها بنصوصها الكاملة، وذلك على النحو الآتي:</w:t>
      </w:r>
    </w:p>
    <w:p w14:paraId="11FEE5AD" w14:textId="77777777" w:rsidR="000F3B2D" w:rsidRPr="00713B01" w:rsidRDefault="000F3B2D" w:rsidP="000F3B2D">
      <w:pPr>
        <w:pStyle w:val="font-claude-response-body"/>
        <w:bidi/>
        <w:ind w:left="360"/>
        <w:rPr>
          <w:rtl/>
        </w:rPr>
      </w:pPr>
      <w:r w:rsidRPr="00713B01">
        <w:rPr>
          <w:rtl/>
        </w:rPr>
        <w:t>أولاً — فيما يتعلق بالتحيز في نماذج الذكاء الاصطناعي وأثره على التطبيقات في البيئة المحلية: صُوّب التوثيق إلى الوثائق الرسمية الصادرة عن الهيئة السعودية للبيانات والذكاء الاصطناعي (سدايا)؛ إذ عرّف «دليل أخلاقيات الذكاء الاصطناعي» (الطبعة الثانية، أبريل 2024م، ص17) صور التحيز، ومنها التحيز الضمني وتحيز البيانات وتحيز النموذج، وعدّه من أبرز تحديات هذه الأنظمة (ص21)، كما أوجبت وثيقة «مبادئ أخلاقيات الذكاء الاصطناعي» (سبتمبر 2023م، ص13) تنقيح بيانات التدريب من التحيز — المرفقان رقم (07) و(08).</w:t>
      </w:r>
    </w:p>
    <w:p w14:paraId="7ABDEABD" w14:textId="77777777" w:rsidR="000F3B2D" w:rsidRPr="00713B01" w:rsidRDefault="000F3B2D" w:rsidP="000F3B2D">
      <w:pPr>
        <w:pStyle w:val="font-claude-response-body"/>
        <w:bidi/>
        <w:ind w:left="360"/>
        <w:rPr>
          <w:rtl/>
        </w:rPr>
      </w:pPr>
      <w:r w:rsidRPr="00713B01">
        <w:rPr>
          <w:rtl/>
        </w:rPr>
        <w:t>ثانياً — فيما يتعلق بضوابط حماية البيانات في القطاع القانوني: صُوّب التوثيق إلى نظام حماية البيانات الشخصية الصادر بالمرسوم الملكي رقم (م/19) وتاريخ 9/2/1443هـ، المعدل بالمرسوم الملكي رقم (م/148) وتاريخ 5/9/1444هـ، بوصفه المصدر النظامي المباشر لهذه الضوابط — المرفق رقم (11)، مع الاستئناس ببحث المالكي (2024م) فيما يتصل بتطبيقاته على القطاع القانوني — المرفق رقم (04).</w:t>
      </w:r>
    </w:p>
    <w:p w14:paraId="62E35AF3" w14:textId="77777777" w:rsidR="000F3B2D" w:rsidRPr="00713B01" w:rsidRDefault="000F3B2D" w:rsidP="000F3B2D">
      <w:pPr>
        <w:pStyle w:val="font-claude-response-body"/>
        <w:bidi/>
        <w:ind w:left="360"/>
        <w:rPr>
          <w:rtl/>
        </w:rPr>
      </w:pPr>
      <w:r w:rsidRPr="00713B01">
        <w:rPr>
          <w:rtl/>
        </w:rPr>
        <w:t>ثالثاً — فيما يتعلق بالمسؤولية القانونية عن أفعال الذكاء الاصطناعي: صُوّب التوثيق إلى بحث أ.د. محمد محمد عبد اللطيف «المسئولية عن الذكاء الاصطناعي بين القانون الخاص والقانون العام» (كلية الحقوق، جامعة المنصورة، 2021م) — المرفق رقم (03)، وبحث المالكي «المسؤولية المدنية عن فعل الذكاء الاصطناعي في النظام السعودي: دراسة تحليلية تأصيلية» (مجلة البحوث الفقهية والقانونية، كلية الشريعة والقانون بدمنهور، جامعة الأزهر، العدد 47، 2024م) — المرفق رقم (04).</w:t>
      </w:r>
    </w:p>
    <w:p w14:paraId="47250181" w14:textId="77777777" w:rsidR="000F3B2D" w:rsidRPr="00713B01" w:rsidRDefault="000F3B2D" w:rsidP="000F3B2D">
      <w:pPr>
        <w:pStyle w:val="font-claude-response-body"/>
        <w:bidi/>
        <w:ind w:left="360"/>
        <w:rPr>
          <w:rtl/>
        </w:rPr>
      </w:pPr>
      <w:r w:rsidRPr="00713B01">
        <w:rPr>
          <w:rtl/>
        </w:rPr>
        <w:t>رابعاً — فيما يتعلق بمدى الاعتراف بالشخصية القانونية للذكاء الاصطناعي: صُوّب التوثيق إلى بحث المالكي (2024م) ذاته، الذي أفرد مبحثاً كاملاً لنظريات الشخصية القانونية للذكاء الاصطناعي، متناولاً نظرية الاعتراف بها ونظرية إنكارها والقياس على الشخصية الاعتبارية للشركات (ص1792–1796 وما بعدها) — المرفق رقم (04).</w:t>
      </w:r>
    </w:p>
    <w:p w14:paraId="32CF5E9A" w14:textId="1FF113CE" w:rsidR="00A22D8B" w:rsidRPr="00713B01" w:rsidRDefault="000F3B2D" w:rsidP="000F3B2D">
      <w:pPr>
        <w:pStyle w:val="font-claude-response-body"/>
        <w:bidi/>
        <w:rPr>
          <w:rtl/>
        </w:rPr>
      </w:pPr>
      <w:r w:rsidRPr="00713B01">
        <w:rPr>
          <w:rtl/>
        </w:rPr>
        <w:t>وقد عُدّلت الإحالات في متن الأطروحة وحواشيها وقائمة المراجع بما يتفق مع ذلك، وضُبطت أرقام الصفحات وفق النسخ المرفقة.</w:t>
      </w:r>
    </w:p>
    <w:p w14:paraId="67D9E303" w14:textId="1D2460A6" w:rsidR="00A22D8B" w:rsidRPr="00713B01" w:rsidRDefault="00A22D8B" w:rsidP="00AF01F6">
      <w:pPr>
        <w:rPr>
          <w:rFonts w:ascii="Simplified Arabic" w:hAnsi="Simplified Arabic" w:cs="Simplified Arabic"/>
          <w:b/>
          <w:bCs/>
          <w:sz w:val="24"/>
          <w:szCs w:val="24"/>
          <w:rtl/>
        </w:rPr>
      </w:pPr>
      <w:r w:rsidRPr="00713B01">
        <w:rPr>
          <w:rFonts w:ascii="Simplified Arabic" w:hAnsi="Simplified Arabic" w:cs="Simplified Arabic" w:hint="cs"/>
          <w:b/>
          <w:bCs/>
          <w:sz w:val="24"/>
          <w:szCs w:val="24"/>
          <w:highlight w:val="darkCyan"/>
          <w:rtl/>
        </w:rPr>
        <w:lastRenderedPageBreak/>
        <w:t>ثانيا: ملاحظة اللجنة فيما يخص المادة 13 :</w:t>
      </w:r>
      <w:r w:rsidRPr="00713B01">
        <w:rPr>
          <w:rFonts w:ascii="Simplified Arabic" w:hAnsi="Simplified Arabic" w:cs="Simplified Arabic" w:hint="cs"/>
          <w:b/>
          <w:bCs/>
          <w:sz w:val="24"/>
          <w:szCs w:val="24"/>
          <w:rtl/>
        </w:rPr>
        <w:t xml:space="preserve"> </w:t>
      </w:r>
    </w:p>
    <w:p w14:paraId="57F6661F"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بناء نتائج قانونية على نص قانوني غير حقيقي</w:t>
      </w:r>
    </w:p>
    <w:p w14:paraId="22B89A4A"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 xml:space="preserve">اعتمد النص مرارًا على المادة (13) من نظام المحاماة السعودي وأشار مثلا في الصفحة 25 </w:t>
      </w:r>
    </w:p>
    <w:p w14:paraId="1F03D95C" w14:textId="77777777" w:rsidR="00A22D8B" w:rsidRPr="00713B01" w:rsidRDefault="00A22D8B" w:rsidP="00A22D8B">
      <w:pPr>
        <w:rPr>
          <w:rFonts w:ascii="Simplified Arabic" w:hAnsi="Simplified Arabic" w:cs="Simplified Arabic"/>
          <w:sz w:val="24"/>
          <w:szCs w:val="24"/>
          <w:rtl/>
        </w:rPr>
      </w:pPr>
      <w:r w:rsidRPr="00713B01">
        <w:rPr>
          <w:rFonts w:ascii="Simplified Arabic" w:hAnsi="Simplified Arabic" w:cs="Simplified Arabic"/>
          <w:sz w:val="24"/>
          <w:szCs w:val="24"/>
          <w:rtl/>
        </w:rPr>
        <w:t>"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p>
    <w:p w14:paraId="71B6550B" w14:textId="77777777" w:rsidR="00A22D8B" w:rsidRPr="00713B01" w:rsidRDefault="00A22D8B" w:rsidP="00A22D8B">
      <w:pPr>
        <w:rPr>
          <w:rFonts w:ascii="Simplified Arabic" w:hAnsi="Simplified Arabic" w:cs="Simplified Arabic"/>
          <w:sz w:val="24"/>
          <w:szCs w:val="24"/>
          <w:rtl/>
        </w:rPr>
      </w:pPr>
      <w:r w:rsidRPr="00713B01">
        <w:rPr>
          <w:rFonts w:ascii="Simplified Arabic" w:hAnsi="Simplified Arabic" w:cs="Simplified Arabic"/>
          <w:sz w:val="24"/>
          <w:szCs w:val="24"/>
          <w:rtl/>
        </w:rPr>
        <w:t>بينما المادة 13 في حقيقتها تنصل" للمحامي أن يسلك الطريق التي يراها ناجحة في الدفاع عن موكله، ولا تجوز مساءلته عما يورده في مرافعته كتابيا أو مشافهة مما يستلزمه حق الدفاع</w:t>
      </w:r>
    </w:p>
    <w:p w14:paraId="7AE970CB"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تحميل مواد نظام المحاماة ما لا تحتمله (خطورة: عالية)</w:t>
      </w:r>
    </w:p>
    <w:p w14:paraId="689907DE"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مثال واضح:</w:t>
      </w:r>
    </w:p>
    <w:p w14:paraId="51CFADAF"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المادة (13)</w:t>
      </w:r>
    </w:p>
    <w:p w14:paraId="2746EAD7"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يفسرها الباحث على أنها تشمل:</w:t>
      </w:r>
    </w:p>
    <w:p w14:paraId="66AC12E5" w14:textId="77777777" w:rsidR="00A22D8B" w:rsidRPr="00713B01" w:rsidRDefault="00A22D8B" w:rsidP="00A22D8B">
      <w:pPr>
        <w:numPr>
          <w:ilvl w:val="0"/>
          <w:numId w:val="3"/>
        </w:numPr>
        <w:rPr>
          <w:rFonts w:ascii="Simplified Arabic" w:hAnsi="Simplified Arabic" w:cs="Simplified Arabic"/>
          <w:sz w:val="24"/>
          <w:szCs w:val="24"/>
        </w:rPr>
      </w:pPr>
      <w:r w:rsidRPr="00713B01">
        <w:rPr>
          <w:rFonts w:ascii="Simplified Arabic" w:hAnsi="Simplified Arabic" w:cs="Simplified Arabic"/>
          <w:sz w:val="24"/>
          <w:szCs w:val="24"/>
          <w:rtl/>
        </w:rPr>
        <w:t>المسؤولية الرقمية.</w:t>
      </w:r>
    </w:p>
    <w:p w14:paraId="725DBE65" w14:textId="77777777" w:rsidR="00A22D8B" w:rsidRPr="00713B01" w:rsidRDefault="00A22D8B" w:rsidP="00A22D8B">
      <w:pPr>
        <w:numPr>
          <w:ilvl w:val="0"/>
          <w:numId w:val="3"/>
        </w:numPr>
        <w:rPr>
          <w:rFonts w:ascii="Simplified Arabic" w:hAnsi="Simplified Arabic" w:cs="Simplified Arabic"/>
          <w:sz w:val="24"/>
          <w:szCs w:val="24"/>
        </w:rPr>
      </w:pPr>
      <w:r w:rsidRPr="00713B01">
        <w:rPr>
          <w:rFonts w:ascii="Simplified Arabic" w:hAnsi="Simplified Arabic" w:cs="Simplified Arabic"/>
          <w:sz w:val="24"/>
          <w:szCs w:val="24"/>
          <w:rtl/>
        </w:rPr>
        <w:t>الذكاء الاصطناعي.</w:t>
      </w:r>
    </w:p>
    <w:p w14:paraId="115E156A" w14:textId="77777777" w:rsidR="00A22D8B" w:rsidRPr="00713B01" w:rsidRDefault="00A22D8B" w:rsidP="00A22D8B">
      <w:pPr>
        <w:numPr>
          <w:ilvl w:val="0"/>
          <w:numId w:val="3"/>
        </w:numPr>
        <w:rPr>
          <w:rFonts w:ascii="Simplified Arabic" w:hAnsi="Simplified Arabic" w:cs="Simplified Arabic"/>
          <w:sz w:val="24"/>
          <w:szCs w:val="24"/>
        </w:rPr>
      </w:pPr>
      <w:r w:rsidRPr="00713B01">
        <w:rPr>
          <w:rFonts w:ascii="Simplified Arabic" w:hAnsi="Simplified Arabic" w:cs="Simplified Arabic"/>
          <w:sz w:val="24"/>
          <w:szCs w:val="24"/>
          <w:rtl/>
        </w:rPr>
        <w:t>الأنظمة الذكية.</w:t>
      </w:r>
    </w:p>
    <w:p w14:paraId="61684C90" w14:textId="77777777" w:rsidR="00A22D8B" w:rsidRPr="00713B01" w:rsidRDefault="00A22D8B" w:rsidP="00A22D8B">
      <w:pPr>
        <w:numPr>
          <w:ilvl w:val="0"/>
          <w:numId w:val="3"/>
        </w:numPr>
        <w:rPr>
          <w:rFonts w:ascii="Simplified Arabic" w:hAnsi="Simplified Arabic" w:cs="Simplified Arabic"/>
          <w:sz w:val="24"/>
          <w:szCs w:val="24"/>
        </w:rPr>
      </w:pPr>
      <w:r w:rsidRPr="00713B01">
        <w:rPr>
          <w:rFonts w:ascii="Simplified Arabic" w:hAnsi="Simplified Arabic" w:cs="Simplified Arabic"/>
          <w:sz w:val="24"/>
          <w:szCs w:val="24"/>
          <w:rtl/>
        </w:rPr>
        <w:t>الخوارزميات.</w:t>
      </w:r>
    </w:p>
    <w:p w14:paraId="794E0DF8" w14:textId="77777777" w:rsidR="00A22D8B" w:rsidRPr="00713B01" w:rsidRDefault="00A22D8B" w:rsidP="00A22D8B">
      <w:pPr>
        <w:rPr>
          <w:rFonts w:ascii="Simplified Arabic" w:hAnsi="Simplified Arabic" w:cs="Simplified Arabic"/>
          <w:sz w:val="24"/>
          <w:szCs w:val="24"/>
        </w:rPr>
      </w:pPr>
      <w:r w:rsidRPr="00713B01">
        <w:rPr>
          <w:rFonts w:ascii="Simplified Arabic" w:hAnsi="Simplified Arabic" w:cs="Simplified Arabic"/>
          <w:sz w:val="24"/>
          <w:szCs w:val="24"/>
          <w:rtl/>
        </w:rPr>
        <w:t>بينما النص النظامي لا يتناول ذلك صراحة.</w:t>
      </w:r>
    </w:p>
    <w:p w14:paraId="6C42C116" w14:textId="77777777" w:rsidR="00A22D8B" w:rsidRPr="00713B01" w:rsidRDefault="00A22D8B" w:rsidP="00AF01F6">
      <w:pPr>
        <w:pStyle w:val="a3"/>
        <w:rPr>
          <w:rFonts w:ascii="Simplified Arabic" w:hAnsi="Simplified Arabic" w:cs="Simplified Arabic"/>
          <w:sz w:val="24"/>
          <w:szCs w:val="24"/>
          <w:rtl/>
        </w:rPr>
      </w:pPr>
    </w:p>
    <w:p w14:paraId="3191B29A" w14:textId="29E42B32" w:rsidR="00A22D8B" w:rsidRPr="00713B01" w:rsidRDefault="006A0CAE" w:rsidP="00AF01F6">
      <w:pPr>
        <w:pStyle w:val="a3"/>
        <w:rPr>
          <w:rFonts w:ascii="Simplified Arabic" w:hAnsi="Simplified Arabic" w:cs="Simplified Arabic"/>
          <w:b/>
          <w:bCs/>
          <w:sz w:val="24"/>
          <w:szCs w:val="24"/>
          <w:u w:val="single"/>
          <w:rtl/>
        </w:rPr>
      </w:pPr>
      <w:r w:rsidRPr="00713B01">
        <w:rPr>
          <w:rFonts w:ascii="Simplified Arabic" w:hAnsi="Simplified Arabic" w:cs="Simplified Arabic" w:hint="cs"/>
          <w:b/>
          <w:bCs/>
          <w:sz w:val="24"/>
          <w:szCs w:val="24"/>
          <w:highlight w:val="darkCyan"/>
          <w:u w:val="single"/>
          <w:rtl/>
        </w:rPr>
        <w:t>الرد على الملاحظة :</w:t>
      </w:r>
    </w:p>
    <w:p w14:paraId="0B8AAA1C" w14:textId="77777777" w:rsidR="006A0CAE" w:rsidRPr="00713B01" w:rsidRDefault="006A0CAE" w:rsidP="006A0CAE">
      <w:pPr>
        <w:spacing w:after="120" w:line="300" w:lineRule="auto"/>
        <w:rPr>
          <w:sz w:val="24"/>
          <w:szCs w:val="24"/>
        </w:rPr>
      </w:pPr>
      <w:r w:rsidRPr="00713B01">
        <w:rPr>
          <w:sz w:val="24"/>
          <w:szCs w:val="24"/>
          <w:rtl/>
        </w:rPr>
        <w:t>الملاحظة في محلها؛ فالمادة الثالثة عشرة من نظام المحاماة الصادر بالمرسوم الملكي رقم (م/38) وتاريخ 28/7/1422هـ تنص على أن: "للمحامي أن يسلك الطريق التي يراها ناجحة في الدفاع عن موكله، ولا تجوز مساءلته عما يورده في مرافعته كتابياً أو مشافهةً مما يستلزمه حق الدفاع"، وهي بذلك تتعلق بحرية المحامي في الدفاع وحصانة مرافعته، ولا صلة لها بمسؤوليته عن تصرفات العاملين في مكتبه، ولا تحتمل التفسير الذي ورد في الأطروحة بشأن "المسؤولية الرقمية" والأنظمة الذكية والخوارزميات.</w:t>
      </w:r>
    </w:p>
    <w:p w14:paraId="61ACA6AC" w14:textId="77777777" w:rsidR="006A0CAE" w:rsidRPr="00713B01" w:rsidRDefault="006A0CAE" w:rsidP="006A0CAE">
      <w:pPr>
        <w:spacing w:after="80" w:line="300" w:lineRule="auto"/>
        <w:rPr>
          <w:sz w:val="24"/>
          <w:szCs w:val="24"/>
        </w:rPr>
      </w:pPr>
      <w:r w:rsidRPr="00713B01">
        <w:rPr>
          <w:sz w:val="24"/>
          <w:szCs w:val="24"/>
          <w:rtl/>
        </w:rPr>
        <w:lastRenderedPageBreak/>
        <w:t>وسيُصحَّح التأسيس النظامي في المواضع كافة (ومنها ص 25) على النحو الآتي:</w:t>
      </w:r>
    </w:p>
    <w:p w14:paraId="3782FEA9" w14:textId="77777777" w:rsidR="006A0CAE" w:rsidRPr="00713B01" w:rsidRDefault="006A0CAE" w:rsidP="006A0CAE">
      <w:pPr>
        <w:spacing w:after="80" w:line="300" w:lineRule="auto"/>
        <w:ind w:left="280"/>
        <w:rPr>
          <w:sz w:val="24"/>
          <w:szCs w:val="24"/>
        </w:rPr>
      </w:pPr>
      <w:r w:rsidRPr="00713B01">
        <w:rPr>
          <w:b/>
          <w:bCs/>
          <w:sz w:val="24"/>
          <w:szCs w:val="24"/>
          <w:rtl/>
        </w:rPr>
        <w:t xml:space="preserve">الأساس الأول: </w:t>
      </w:r>
      <w:r w:rsidRPr="00713B01">
        <w:rPr>
          <w:sz w:val="24"/>
          <w:szCs w:val="24"/>
          <w:rtl/>
        </w:rPr>
        <w:t>المادة (الحادية والأربعون) من نظام المحاماة، التي تجيز للمحامي الاستعانة في مكتبه بمحامين بموجب عقد عمل "تحت مسؤوليته وإشرافه"، بوصفها الأصل النظامي لمسؤولية المحامي عمّن يعملون تحت إشرافه.</w:t>
      </w:r>
    </w:p>
    <w:p w14:paraId="37705BA2" w14:textId="77777777" w:rsidR="006A0CAE" w:rsidRPr="00713B01" w:rsidRDefault="006A0CAE" w:rsidP="006A0CAE">
      <w:pPr>
        <w:spacing w:after="80" w:line="300" w:lineRule="auto"/>
        <w:ind w:left="280"/>
        <w:rPr>
          <w:sz w:val="24"/>
          <w:szCs w:val="24"/>
        </w:rPr>
      </w:pPr>
      <w:r w:rsidRPr="00713B01">
        <w:rPr>
          <w:b/>
          <w:bCs/>
          <w:sz w:val="24"/>
          <w:szCs w:val="24"/>
          <w:rtl/>
        </w:rPr>
        <w:t xml:space="preserve">الأساس الثاني: </w:t>
      </w:r>
      <w:r w:rsidRPr="00713B01">
        <w:rPr>
          <w:sz w:val="24"/>
          <w:szCs w:val="24"/>
          <w:rtl/>
        </w:rPr>
        <w:t>المادة (التاسعة والعشرون بعد المائة)، الفقرة (2)، من نظام المعاملات المدنية الصادر بالمرسوم الملكي رقم (م/191) وتاريخ 29/11/1444هـ، التي تقرر مسؤولية المتبوع تجاه المتضرر عن الضرر الذي يحدثه تابعه بخطئه أثناء تأدية عمله أو بسببه، بوصفها القاعدة العامة التي يمكن البناء عليها عند بحث المسؤولية عن الأضرار الناشئة عن استخدام الأنظمة الذكية في مكاتب المحاماة.</w:t>
      </w:r>
    </w:p>
    <w:p w14:paraId="6C781F34" w14:textId="77777777" w:rsidR="006A0CAE" w:rsidRPr="00713B01" w:rsidRDefault="006A0CAE" w:rsidP="006A0CAE">
      <w:pPr>
        <w:spacing w:after="200" w:line="300" w:lineRule="auto"/>
        <w:rPr>
          <w:sz w:val="24"/>
          <w:szCs w:val="24"/>
        </w:rPr>
      </w:pPr>
      <w:r w:rsidRPr="00713B01">
        <w:rPr>
          <w:sz w:val="24"/>
          <w:szCs w:val="24"/>
          <w:rtl/>
        </w:rPr>
        <w:t>وبذلك يستقيم الاستدلال دون تحميل المادة (13) ما لا تحتمله، مع إعادة صياغة الفقرات المبنية على التفسير السابق.</w:t>
      </w:r>
    </w:p>
    <w:p w14:paraId="447F3011" w14:textId="77777777" w:rsidR="00A22D8B" w:rsidRPr="00713B01" w:rsidRDefault="00A22D8B" w:rsidP="00AF01F6">
      <w:pPr>
        <w:rPr>
          <w:rFonts w:ascii="Simplified Arabic" w:hAnsi="Simplified Arabic" w:cs="Simplified Arabic"/>
          <w:sz w:val="24"/>
          <w:szCs w:val="24"/>
          <w:rtl/>
        </w:rPr>
      </w:pPr>
    </w:p>
    <w:p w14:paraId="36894F76" w14:textId="77777777" w:rsidR="00A22D8B" w:rsidRPr="00713B01" w:rsidRDefault="00A22D8B" w:rsidP="00AF01F6">
      <w:pPr>
        <w:pStyle w:val="a3"/>
        <w:rPr>
          <w:rFonts w:ascii="Simplified Arabic" w:hAnsi="Simplified Arabic" w:cs="Simplified Arabic"/>
          <w:sz w:val="24"/>
          <w:szCs w:val="24"/>
          <w:rtl/>
        </w:rPr>
      </w:pPr>
    </w:p>
    <w:p w14:paraId="58C36CC9" w14:textId="77777777" w:rsidR="000F3B2D" w:rsidRPr="00713B01" w:rsidRDefault="000F3B2D" w:rsidP="00AF01F6">
      <w:pPr>
        <w:pStyle w:val="a3"/>
        <w:rPr>
          <w:rFonts w:ascii="Simplified Arabic" w:hAnsi="Simplified Arabic" w:cs="Simplified Arabic"/>
          <w:sz w:val="24"/>
          <w:szCs w:val="24"/>
          <w:rtl/>
        </w:rPr>
      </w:pPr>
    </w:p>
    <w:p w14:paraId="67020AE0" w14:textId="77777777" w:rsidR="000F3B2D" w:rsidRPr="00713B01" w:rsidRDefault="000F3B2D" w:rsidP="00AF01F6">
      <w:pPr>
        <w:pStyle w:val="a3"/>
        <w:rPr>
          <w:rFonts w:ascii="Simplified Arabic" w:hAnsi="Simplified Arabic" w:cs="Simplified Arabic"/>
          <w:sz w:val="24"/>
          <w:szCs w:val="24"/>
          <w:rtl/>
        </w:rPr>
      </w:pPr>
    </w:p>
    <w:p w14:paraId="3B05B828" w14:textId="77777777" w:rsidR="000F3B2D" w:rsidRPr="00713B01" w:rsidRDefault="000F3B2D" w:rsidP="00AF01F6">
      <w:pPr>
        <w:pStyle w:val="a3"/>
        <w:rPr>
          <w:rFonts w:ascii="Simplified Arabic" w:hAnsi="Simplified Arabic" w:cs="Simplified Arabic"/>
          <w:sz w:val="24"/>
          <w:szCs w:val="24"/>
          <w:rtl/>
        </w:rPr>
      </w:pPr>
    </w:p>
    <w:p w14:paraId="21042FBF" w14:textId="79A7B928" w:rsidR="00A22D8B" w:rsidRPr="00713B01" w:rsidRDefault="006A0CAE" w:rsidP="00AF01F6">
      <w:pPr>
        <w:rPr>
          <w:rFonts w:ascii="Simplified Arabic" w:hAnsi="Simplified Arabic" w:cs="Simplified Arabic"/>
          <w:b/>
          <w:bCs/>
          <w:sz w:val="24"/>
          <w:szCs w:val="24"/>
          <w:rtl/>
        </w:rPr>
      </w:pPr>
      <w:r w:rsidRPr="00713B01">
        <w:rPr>
          <w:rFonts w:ascii="Simplified Arabic" w:hAnsi="Simplified Arabic" w:cs="Simplified Arabic" w:hint="cs"/>
          <w:b/>
          <w:bCs/>
          <w:sz w:val="24"/>
          <w:szCs w:val="24"/>
          <w:highlight w:val="darkCyan"/>
          <w:rtl/>
        </w:rPr>
        <w:t>ثالثاً : فيما يخص الملاحظة المتعلقة بـ مركز الحوار الوطني :</w:t>
      </w:r>
    </w:p>
    <w:p w14:paraId="30210786" w14:textId="77777777" w:rsidR="006A0CAE" w:rsidRPr="00713B01" w:rsidRDefault="006A0CAE" w:rsidP="006A0CAE">
      <w:pPr>
        <w:rPr>
          <w:rFonts w:ascii="Simplified Arabic" w:hAnsi="Simplified Arabic" w:cs="Simplified Arabic"/>
          <w:sz w:val="24"/>
          <w:szCs w:val="24"/>
          <w:rtl/>
        </w:rPr>
      </w:pPr>
      <w:r w:rsidRPr="00713B01">
        <w:rPr>
          <w:rFonts w:ascii="Simplified Arabic" w:hAnsi="Simplified Arabic" w:cs="Simplified Arabic"/>
          <w:sz w:val="24"/>
          <w:szCs w:val="24"/>
          <w:rtl/>
        </w:rPr>
        <w:t xml:space="preserve">وقد أشارت الدراسة الصادرة عن مركز الملك عبد العزيز للحوار الوطني (2023م) إلى أن التحيز الخوارزمي يُشكّل أحد التحديات الكبرى في تطبيق تقنيات الذكاء الاصطناعي في البيئة العربية والإسلامية، مُوصيةً بتطوير نماذج عربية متخصصة مُدرَّبة على بيانات تعكس السياق الثقافي والقيمي المحلي </w:t>
      </w:r>
    </w:p>
    <w:p w14:paraId="7E2A5DCB" w14:textId="77777777" w:rsidR="006A0CAE" w:rsidRPr="00713B01" w:rsidRDefault="006A0CAE" w:rsidP="006A0CAE">
      <w:pPr>
        <w:rPr>
          <w:rFonts w:ascii="Simplified Arabic" w:hAnsi="Simplified Arabic" w:cs="Simplified Arabic"/>
          <w:sz w:val="24"/>
          <w:szCs w:val="24"/>
          <w:rtl/>
        </w:rPr>
      </w:pPr>
      <w:r w:rsidRPr="00713B01">
        <w:rPr>
          <w:rFonts w:ascii="Simplified Arabic" w:hAnsi="Simplified Arabic" w:cs="Simplified Arabic"/>
          <w:sz w:val="24"/>
          <w:szCs w:val="24"/>
          <w:rtl/>
        </w:rPr>
        <w:t>مركز الملك عبد العزيز للحوار الوطني. (2023م). الذكاء الاصطناعي والهوية الثقافية والقيمية: رؤية سعودية. الرياض: مركز الملك عبد العزيز للحوار الوطني</w:t>
      </w:r>
    </w:p>
    <w:p w14:paraId="3A5D24D7" w14:textId="77777777" w:rsidR="006A0CAE" w:rsidRPr="00713B01" w:rsidRDefault="006A0CAE" w:rsidP="006A0CAE">
      <w:pPr>
        <w:rPr>
          <w:rFonts w:ascii="Simplified Arabic" w:hAnsi="Simplified Arabic" w:cs="Simplified Arabic"/>
          <w:sz w:val="24"/>
          <w:szCs w:val="24"/>
          <w:rtl/>
        </w:rPr>
      </w:pPr>
      <w:r w:rsidRPr="00713B01">
        <w:rPr>
          <w:rFonts w:ascii="Simplified Arabic" w:hAnsi="Simplified Arabic" w:cs="Simplified Arabic"/>
          <w:sz w:val="24"/>
          <w:szCs w:val="24"/>
          <w:rtl/>
        </w:rPr>
        <w:t>ولدى البحث تبين انه لا يوجد  مثل هكذا دراسة</w:t>
      </w:r>
    </w:p>
    <w:p w14:paraId="7E32D6AD" w14:textId="77777777" w:rsidR="009656BF" w:rsidRPr="00713B01" w:rsidRDefault="009656BF" w:rsidP="00AF01F6">
      <w:pPr>
        <w:rPr>
          <w:rFonts w:ascii="Simplified Arabic" w:hAnsi="Simplified Arabic" w:cs="Simplified Arabic"/>
          <w:sz w:val="24"/>
          <w:szCs w:val="24"/>
          <w:rtl/>
        </w:rPr>
      </w:pPr>
    </w:p>
    <w:p w14:paraId="648B44A0" w14:textId="22D83ABD" w:rsidR="009656BF" w:rsidRPr="00713B01" w:rsidRDefault="009656BF" w:rsidP="00AF01F6">
      <w:pPr>
        <w:rPr>
          <w:rFonts w:ascii="Simplified Arabic" w:hAnsi="Simplified Arabic" w:cs="Simplified Arabic"/>
          <w:color w:val="EE0000"/>
          <w:sz w:val="24"/>
          <w:szCs w:val="24"/>
          <w:rtl/>
        </w:rPr>
      </w:pPr>
      <w:r w:rsidRPr="00713B01">
        <w:rPr>
          <w:rFonts w:ascii="Simplified Arabic" w:hAnsi="Simplified Arabic" w:cs="Simplified Arabic" w:hint="cs"/>
          <w:color w:val="EE0000"/>
          <w:sz w:val="24"/>
          <w:szCs w:val="24"/>
          <w:highlight w:val="darkCyan"/>
          <w:rtl/>
        </w:rPr>
        <w:t>الرد على ملاحظة اللجنة:</w:t>
      </w:r>
    </w:p>
    <w:p w14:paraId="4EE043FB" w14:textId="76608C7D" w:rsidR="009656BF" w:rsidRPr="00713B01" w:rsidRDefault="009656BF" w:rsidP="009656BF">
      <w:pPr>
        <w:rPr>
          <w:rFonts w:ascii="Simplified Arabic" w:hAnsi="Simplified Arabic" w:cs="Simplified Arabic"/>
          <w:sz w:val="24"/>
          <w:szCs w:val="24"/>
          <w:rtl/>
        </w:rPr>
      </w:pPr>
      <w:r w:rsidRPr="00713B01">
        <w:rPr>
          <w:rFonts w:ascii="Simplified Arabic" w:hAnsi="Simplified Arabic" w:cs="Simplified Arabic"/>
          <w:sz w:val="24"/>
          <w:szCs w:val="24"/>
          <w:rtl/>
        </w:rPr>
        <w:t>بعد إعادة التحقق تبيّن أن الإحالة «الذكاء الاصطناعي والهوية الثقافية والقيمية: رؤية سعودية» منسوبة إلى مركز الملك عبد العزيز للحوار الوطني قد وردت خطأً، إذ لم يصدر عن المركز إصدار بهذا العنوان، وقد جرى حذف هذه الإحالة من متن الأطروحة وقائمة المراجع.</w:t>
      </w:r>
    </w:p>
    <w:p w14:paraId="0C9CE135" w14:textId="77777777" w:rsidR="009656BF" w:rsidRPr="00713B01" w:rsidRDefault="009656BF" w:rsidP="009656BF">
      <w:pPr>
        <w:rPr>
          <w:rFonts w:ascii="Simplified Arabic" w:hAnsi="Simplified Arabic" w:cs="Simplified Arabic"/>
          <w:sz w:val="24"/>
          <w:szCs w:val="24"/>
          <w:rtl/>
        </w:rPr>
      </w:pPr>
      <w:r w:rsidRPr="00713B01">
        <w:rPr>
          <w:rFonts w:ascii="Simplified Arabic" w:hAnsi="Simplified Arabic" w:cs="Simplified Arabic"/>
          <w:sz w:val="24"/>
          <w:szCs w:val="24"/>
          <w:highlight w:val="darkCyan"/>
          <w:rtl/>
        </w:rPr>
        <w:t>وأما مضمون الفقرة العلمي</w:t>
      </w:r>
      <w:r w:rsidRPr="00713B01">
        <w:rPr>
          <w:rFonts w:ascii="Simplified Arabic" w:hAnsi="Simplified Arabic" w:cs="Simplified Arabic"/>
          <w:sz w:val="24"/>
          <w:szCs w:val="24"/>
          <w:rtl/>
        </w:rPr>
        <w:t xml:space="preserve"> — من أن التحيز الخوارزمي يُعد أحد التحديات الكبرى في تطبيق تقنيات الذكاء الاصطناعي، وأهمية تطوير نماذج تراعي السياق الثقافي والقيمي للبيئة العربية والإسلامية — فهو مضمون صحيح في ذاته وله أصل ثابت في مصادر رسمية موثقة، وقد أُعيد إسناده إليها على النحو الآتي:</w:t>
      </w:r>
    </w:p>
    <w:p w14:paraId="79786CBE" w14:textId="77777777" w:rsidR="009656BF" w:rsidRPr="00713B01" w:rsidRDefault="009656BF" w:rsidP="009656BF">
      <w:pPr>
        <w:rPr>
          <w:rFonts w:ascii="Simplified Arabic" w:hAnsi="Simplified Arabic" w:cs="Simplified Arabic"/>
          <w:sz w:val="24"/>
          <w:szCs w:val="24"/>
          <w:rtl/>
        </w:rPr>
      </w:pPr>
      <w:r w:rsidRPr="00713B01">
        <w:rPr>
          <w:rFonts w:ascii="Simplified Arabic" w:hAnsi="Simplified Arabic" w:cs="Simplified Arabic"/>
          <w:sz w:val="24"/>
          <w:szCs w:val="24"/>
          <w:rtl/>
        </w:rPr>
        <w:lastRenderedPageBreak/>
        <w:t>فقد عرّف «دليل أخلاقيات الذكاء الاصطناعي» الصادر عن الهيئة السعودية للبيانات والذكاء الاصطناعي (سدايا) في طبعته الثانية (أبريل 2024م، ص17) صوراً متعددة للتحيز، منها التحيز الضمني وتحيز البيانات وتحيز النموذج، وعدّه من أبرز تحديات هذه الأنظمة (ص21)، كما أوجبت وثيقة «مبادئ أخلاقيات الذكاء الاصطناعي» (سدايا، سبتمبر 2023م، ص13) — ضمن مبدأ النزاهة والإنصاف — تنقيح بيانات التدريب من التحيز وبناء الخوارزميات بمنأى عنه. وأما البعد الثقافي والقيمي، فيؤصّله «ميثاق الرياض للذكاء الاصطناعي في العالم الإسلامي» الذي أطلقته منظمة الإيسيسكو بالشراكة مع سدايا خلال القمة العالمية للذكاء الاصطناعي بالرياض (سبتمبر 2024م)، ووافقت عليه ثلاث وخمسون دولة إسلامية بالإجماع، بوصفه إطاراً أخلاقياً متوافقاً مع قيم العالم الإسلامي وخصوصيته الثقافية، وهو ما ترجمته المملكة عملياً بتطوير نموذج «علّام» (</w:t>
      </w:r>
      <w:r w:rsidRPr="00713B01">
        <w:rPr>
          <w:rFonts w:ascii="Simplified Arabic" w:hAnsi="Simplified Arabic" w:cs="Simplified Arabic"/>
          <w:sz w:val="24"/>
          <w:szCs w:val="24"/>
        </w:rPr>
        <w:t>ALLaM</w:t>
      </w:r>
      <w:r w:rsidRPr="00713B01">
        <w:rPr>
          <w:rFonts w:ascii="Simplified Arabic" w:hAnsi="Simplified Arabic" w:cs="Simplified Arabic"/>
          <w:sz w:val="24"/>
          <w:szCs w:val="24"/>
          <w:rtl/>
        </w:rPr>
        <w:t>) اللغوي العربي المدرَّب على بيانات تعكس اللغة العربية وسياقها الثقافي والقيمي.</w:t>
      </w:r>
    </w:p>
    <w:p w14:paraId="1BF0A199" w14:textId="43E5FF5A" w:rsidR="009656BF" w:rsidRPr="00713B01" w:rsidRDefault="009656BF" w:rsidP="008E4BD4">
      <w:pPr>
        <w:rPr>
          <w:rFonts w:ascii="Simplified Arabic" w:hAnsi="Simplified Arabic" w:cs="Simplified Arabic"/>
          <w:sz w:val="24"/>
          <w:szCs w:val="24"/>
          <w:rtl/>
        </w:rPr>
      </w:pPr>
      <w:r w:rsidRPr="00713B01">
        <w:rPr>
          <w:rFonts w:ascii="Simplified Arabic" w:hAnsi="Simplified Arabic" w:cs="Simplified Arabic"/>
          <w:sz w:val="24"/>
          <w:szCs w:val="24"/>
          <w:rtl/>
        </w:rPr>
        <w:t>وعليه، فقد عُدّلت الفقرة (ص125) وإسنادها بما يتفق مع هذه المصادر، علماً بأن وثيقتي سدايا المشار إليهما مرفقتان ضمن ملف مصادر الأطروحة بنصّيهما الكاملين، وميثاق الرياض ونموذج «علّام» متاحان عبر القنوات الرسمية للإيسيسكو ووكالة الأنباء السعودية</w:t>
      </w:r>
      <w:r w:rsidR="008E4BD4" w:rsidRPr="00713B01">
        <w:rPr>
          <w:rFonts w:ascii="Simplified Arabic" w:hAnsi="Simplified Arabic" w:cs="Simplified Arabic" w:hint="cs"/>
          <w:sz w:val="24"/>
          <w:szCs w:val="24"/>
          <w:rtl/>
        </w:rPr>
        <w:t>.</w:t>
      </w:r>
    </w:p>
    <w:p w14:paraId="56B68E64" w14:textId="77777777" w:rsidR="009656BF" w:rsidRPr="00713B01" w:rsidRDefault="009656BF" w:rsidP="00AF01F6">
      <w:pPr>
        <w:rPr>
          <w:rFonts w:ascii="Simplified Arabic" w:hAnsi="Simplified Arabic" w:cs="Simplified Arabic"/>
          <w:sz w:val="24"/>
          <w:szCs w:val="24"/>
          <w:rtl/>
        </w:rPr>
      </w:pPr>
    </w:p>
    <w:p w14:paraId="18E77BA1" w14:textId="77777777" w:rsidR="008E4BD4" w:rsidRPr="00713B01" w:rsidRDefault="008E4BD4" w:rsidP="00AF01F6">
      <w:pPr>
        <w:rPr>
          <w:rFonts w:ascii="Simplified Arabic" w:hAnsi="Simplified Arabic" w:cs="Simplified Arabic"/>
          <w:sz w:val="24"/>
          <w:szCs w:val="24"/>
        </w:rPr>
      </w:pPr>
    </w:p>
    <w:p w14:paraId="462D8E30" w14:textId="77777777" w:rsidR="00BE5E05" w:rsidRPr="00713B01" w:rsidRDefault="00BE5E05" w:rsidP="00F65282">
      <w:pPr>
        <w:rPr>
          <w:rFonts w:ascii="Simplified Arabic" w:hAnsi="Simplified Arabic" w:cs="Simplified Arabic"/>
          <w:sz w:val="24"/>
          <w:szCs w:val="24"/>
        </w:rPr>
      </w:pPr>
    </w:p>
    <w:sectPr w:rsidR="00BE5E05" w:rsidRPr="00713B01" w:rsidSect="009F56E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8EB3" w14:textId="77777777" w:rsidR="005C5620" w:rsidRDefault="005C5620" w:rsidP="00BE5E05">
      <w:pPr>
        <w:spacing w:after="0" w:line="240" w:lineRule="auto"/>
      </w:pPr>
      <w:r>
        <w:separator/>
      </w:r>
    </w:p>
  </w:endnote>
  <w:endnote w:type="continuationSeparator" w:id="0">
    <w:p w14:paraId="7523A69E" w14:textId="77777777" w:rsidR="005C5620" w:rsidRDefault="005C5620" w:rsidP="00BE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AEF3A" w14:textId="77777777" w:rsidR="005C5620" w:rsidRDefault="005C5620" w:rsidP="00BE5E05">
      <w:pPr>
        <w:spacing w:after="0" w:line="240" w:lineRule="auto"/>
      </w:pPr>
      <w:r>
        <w:separator/>
      </w:r>
    </w:p>
  </w:footnote>
  <w:footnote w:type="continuationSeparator" w:id="0">
    <w:p w14:paraId="5D9178F5" w14:textId="77777777" w:rsidR="005C5620" w:rsidRDefault="005C5620" w:rsidP="00BE5E05">
      <w:pPr>
        <w:spacing w:after="0" w:line="240" w:lineRule="auto"/>
      </w:pPr>
      <w:r>
        <w:continuationSeparator/>
      </w:r>
    </w:p>
  </w:footnote>
  <w:footnote w:id="1">
    <w:p w14:paraId="27487114" w14:textId="77777777" w:rsidR="00505E14" w:rsidRPr="009B6344" w:rsidRDefault="00505E14" w:rsidP="00505E14">
      <w:pPr>
        <w:jc w:val="right"/>
        <w:rPr>
          <w:rFonts w:ascii="Times New Roman" w:hAnsi="Times New Roman" w:cs="Times New Roman"/>
          <w:sz w:val="18"/>
          <w:szCs w:val="18"/>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B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791E33"/>
    <w:multiLevelType w:val="multilevel"/>
    <w:tmpl w:val="9716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93595C"/>
    <w:multiLevelType w:val="hybridMultilevel"/>
    <w:tmpl w:val="DBECA58A"/>
    <w:lvl w:ilvl="0" w:tplc="9D184984">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1002AE"/>
    <w:multiLevelType w:val="multilevel"/>
    <w:tmpl w:val="7DC09C38"/>
    <w:lvl w:ilvl="0">
      <w:start w:val="1"/>
      <w:numFmt w:val="decimal"/>
      <w:lvlText w:val="%1-"/>
      <w:lvlJc w:val="left"/>
      <w:pPr>
        <w:tabs>
          <w:tab w:val="num" w:pos="720"/>
        </w:tabs>
        <w:ind w:left="720" w:hanging="360"/>
      </w:pPr>
      <w:rPr>
        <w:rFonts w:ascii="Simplified Arabic" w:eastAsiaTheme="minorHAnsi" w:hAnsi="Simplified Arabic" w:cs="Simplified Arabic"/>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D726F"/>
    <w:multiLevelType w:val="multilevel"/>
    <w:tmpl w:val="9B7A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4A0274"/>
    <w:multiLevelType w:val="multilevel"/>
    <w:tmpl w:val="8FEA9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84CED"/>
    <w:multiLevelType w:val="hybridMultilevel"/>
    <w:tmpl w:val="747AF6BE"/>
    <w:lvl w:ilvl="0" w:tplc="67DE3E48">
      <w:start w:val="4"/>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03649322">
    <w:abstractNumId w:val="2"/>
  </w:num>
  <w:num w:numId="2" w16cid:durableId="2093894821">
    <w:abstractNumId w:val="3"/>
  </w:num>
  <w:num w:numId="3" w16cid:durableId="1828325272">
    <w:abstractNumId w:val="0"/>
  </w:num>
  <w:num w:numId="4" w16cid:durableId="848524886">
    <w:abstractNumId w:val="6"/>
  </w:num>
  <w:num w:numId="5" w16cid:durableId="160388460">
    <w:abstractNumId w:val="5"/>
  </w:num>
  <w:num w:numId="6" w16cid:durableId="749273669">
    <w:abstractNumId w:val="4"/>
  </w:num>
  <w:num w:numId="7" w16cid:durableId="17319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D20"/>
    <w:rsid w:val="00005EAB"/>
    <w:rsid w:val="000F3B2D"/>
    <w:rsid w:val="001B0115"/>
    <w:rsid w:val="00225FD1"/>
    <w:rsid w:val="002D1D20"/>
    <w:rsid w:val="00334AFC"/>
    <w:rsid w:val="003855AB"/>
    <w:rsid w:val="003C1183"/>
    <w:rsid w:val="004D1CB1"/>
    <w:rsid w:val="00505E14"/>
    <w:rsid w:val="005C5620"/>
    <w:rsid w:val="005F00C4"/>
    <w:rsid w:val="005F5DF1"/>
    <w:rsid w:val="006A0CAE"/>
    <w:rsid w:val="006B428B"/>
    <w:rsid w:val="006E7EAE"/>
    <w:rsid w:val="00713B01"/>
    <w:rsid w:val="00830913"/>
    <w:rsid w:val="008E4BD4"/>
    <w:rsid w:val="009656BF"/>
    <w:rsid w:val="009B2F06"/>
    <w:rsid w:val="009C2798"/>
    <w:rsid w:val="009C6564"/>
    <w:rsid w:val="009F56EB"/>
    <w:rsid w:val="00A12122"/>
    <w:rsid w:val="00A22587"/>
    <w:rsid w:val="00A22D8B"/>
    <w:rsid w:val="00AF01F6"/>
    <w:rsid w:val="00AF1D5A"/>
    <w:rsid w:val="00B00557"/>
    <w:rsid w:val="00B26B1B"/>
    <w:rsid w:val="00B81954"/>
    <w:rsid w:val="00BB2B95"/>
    <w:rsid w:val="00BE5E05"/>
    <w:rsid w:val="00C04A43"/>
    <w:rsid w:val="00C839DD"/>
    <w:rsid w:val="00D307D8"/>
    <w:rsid w:val="00E207FF"/>
    <w:rsid w:val="00F65282"/>
    <w:rsid w:val="00F95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C6C1E"/>
  <w15:chartTrackingRefBased/>
  <w15:docId w15:val="{03E6F28E-547F-40F4-8B81-9B9D9161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E1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5282"/>
    <w:pPr>
      <w:ind w:left="720"/>
      <w:contextualSpacing/>
    </w:pPr>
  </w:style>
  <w:style w:type="paragraph" w:styleId="a4">
    <w:name w:val="header"/>
    <w:basedOn w:val="a"/>
    <w:link w:val="Char"/>
    <w:uiPriority w:val="99"/>
    <w:unhideWhenUsed/>
    <w:rsid w:val="00505E14"/>
    <w:pPr>
      <w:tabs>
        <w:tab w:val="center" w:pos="4153"/>
        <w:tab w:val="right" w:pos="8306"/>
      </w:tabs>
      <w:spacing w:after="0" w:line="240" w:lineRule="auto"/>
    </w:pPr>
  </w:style>
  <w:style w:type="character" w:customStyle="1" w:styleId="Char">
    <w:name w:val="رأس الصفحة Char"/>
    <w:basedOn w:val="a0"/>
    <w:link w:val="a4"/>
    <w:uiPriority w:val="99"/>
    <w:rsid w:val="00505E14"/>
  </w:style>
  <w:style w:type="paragraph" w:styleId="a5">
    <w:name w:val="footer"/>
    <w:basedOn w:val="a"/>
    <w:link w:val="Char0"/>
    <w:uiPriority w:val="99"/>
    <w:unhideWhenUsed/>
    <w:rsid w:val="00505E14"/>
    <w:pPr>
      <w:tabs>
        <w:tab w:val="center" w:pos="4153"/>
        <w:tab w:val="right" w:pos="8306"/>
      </w:tabs>
      <w:spacing w:after="0" w:line="240" w:lineRule="auto"/>
    </w:pPr>
  </w:style>
  <w:style w:type="character" w:customStyle="1" w:styleId="Char0">
    <w:name w:val="تذييل الصفحة Char"/>
    <w:basedOn w:val="a0"/>
    <w:link w:val="a5"/>
    <w:uiPriority w:val="99"/>
    <w:rsid w:val="00505E14"/>
  </w:style>
  <w:style w:type="character" w:styleId="Hyperlink">
    <w:name w:val="Hyperlink"/>
    <w:basedOn w:val="a0"/>
    <w:uiPriority w:val="99"/>
    <w:unhideWhenUsed/>
    <w:rsid w:val="009B2F06"/>
    <w:rPr>
      <w:color w:val="0563C1" w:themeColor="hyperlink"/>
      <w:u w:val="single"/>
    </w:rPr>
  </w:style>
  <w:style w:type="character" w:styleId="a6">
    <w:name w:val="Unresolved Mention"/>
    <w:basedOn w:val="a0"/>
    <w:uiPriority w:val="99"/>
    <w:semiHidden/>
    <w:unhideWhenUsed/>
    <w:rsid w:val="009B2F06"/>
    <w:rPr>
      <w:color w:val="605E5C"/>
      <w:shd w:val="clear" w:color="auto" w:fill="E1DFDD"/>
    </w:rPr>
  </w:style>
  <w:style w:type="paragraph" w:customStyle="1" w:styleId="font-claude-response-body">
    <w:name w:val="font-claude-response-body"/>
    <w:basedOn w:val="a"/>
    <w:rsid w:val="000F3B2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0F3B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jle.journals.ekb.eg/article_41379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2332</Words>
  <Characters>13296</Characters>
  <Application>Microsoft Office Word</Application>
  <DocSecurity>0</DocSecurity>
  <Lines>110</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Ibrahim</dc:creator>
  <cp:keywords/>
  <dc:description/>
  <cp:lastModifiedBy>حسان</cp:lastModifiedBy>
  <cp:revision>11</cp:revision>
  <dcterms:created xsi:type="dcterms:W3CDTF">2026-07-22T16:08:00Z</dcterms:created>
  <dcterms:modified xsi:type="dcterms:W3CDTF">2026-07-28T15:20:00Z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84262d50-e55c-48e0-b896-a599e6733fa9</vt:lpwstr>
  </property>
</Properties>
</file>