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Midocean University</w:t>
      </w:r>
    </w:p>
    <w:p w14:paraId="77E1648A"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College of Management</w:t>
      </w:r>
    </w:p>
    <w:p w14:paraId="1CDB06FC" w14:textId="4C668BA6" w:rsidR="00EA22ED" w:rsidRPr="00E97D90" w:rsidRDefault="00EA22ED" w:rsidP="00A51982">
      <w:pPr>
        <w:bidi/>
        <w:rPr>
          <w:rFonts w:asciiTheme="majorBidi" w:hAnsiTheme="majorBidi" w:cstheme="majorBidi"/>
          <w:sz w:val="24"/>
          <w:szCs w:val="24"/>
          <w:rtl/>
          <w:lang w:bidi="ar-SY"/>
        </w:rPr>
      </w:pPr>
      <w:r w:rsidRPr="00E97D90">
        <w:rPr>
          <w:rFonts w:asciiTheme="majorBidi" w:hAnsiTheme="majorBidi" w:cstheme="majorBidi"/>
          <w:sz w:val="24"/>
          <w:szCs w:val="24"/>
        </w:rPr>
        <w:t>Leader Name:</w:t>
      </w:r>
    </w:p>
    <w:p w14:paraId="19A7A6F9" w14:textId="77777777" w:rsidR="00EA22ED" w:rsidRPr="00E97D90" w:rsidRDefault="00EA22ED" w:rsidP="00A51982">
      <w:pPr>
        <w:bidi/>
        <w:rPr>
          <w:rFonts w:asciiTheme="majorBidi" w:hAnsiTheme="majorBidi" w:cstheme="majorBidi"/>
          <w:b/>
          <w:bCs/>
          <w:sz w:val="24"/>
          <w:szCs w:val="24"/>
          <w:u w:val="single"/>
        </w:rPr>
      </w:pPr>
      <w:r w:rsidRPr="00E97D90">
        <w:rPr>
          <w:rFonts w:asciiTheme="majorBidi" w:hAnsiTheme="majorBidi" w:cstheme="majorBidi"/>
          <w:b/>
          <w:bCs/>
          <w:sz w:val="24"/>
          <w:szCs w:val="24"/>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22"/>
        <w:gridCol w:w="1123"/>
        <w:gridCol w:w="1003"/>
        <w:gridCol w:w="1256"/>
        <w:gridCol w:w="3852"/>
      </w:tblGrid>
      <w:tr w:rsidR="00EA22ED" w:rsidRPr="00E97D90" w14:paraId="678369B7" w14:textId="77777777" w:rsidTr="005C37CB">
        <w:trPr>
          <w:trHeight w:val="453"/>
        </w:trPr>
        <w:tc>
          <w:tcPr>
            <w:tcW w:w="3822" w:type="dxa"/>
            <w:shd w:val="clear" w:color="auto" w:fill="EEECE1" w:themeFill="background2"/>
            <w:vAlign w:val="center"/>
          </w:tcPr>
          <w:p w14:paraId="4FBD657D" w14:textId="77777777" w:rsidR="00EA22ED" w:rsidRPr="00E97D90" w:rsidRDefault="00EA22ED" w:rsidP="00A51982">
            <w:pPr>
              <w:bidi/>
              <w:rPr>
                <w:rFonts w:asciiTheme="majorBidi" w:hAnsiTheme="majorBidi" w:cstheme="majorBidi"/>
                <w:sz w:val="24"/>
                <w:szCs w:val="24"/>
              </w:rPr>
            </w:pPr>
          </w:p>
        </w:tc>
        <w:tc>
          <w:tcPr>
            <w:tcW w:w="1123" w:type="dxa"/>
            <w:shd w:val="clear" w:color="auto" w:fill="EEECE1" w:themeFill="background2"/>
            <w:vAlign w:val="center"/>
          </w:tcPr>
          <w:p w14:paraId="2FEB4DBE"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Accepted</w:t>
            </w:r>
          </w:p>
        </w:tc>
        <w:tc>
          <w:tcPr>
            <w:tcW w:w="1003" w:type="dxa"/>
            <w:shd w:val="clear" w:color="auto" w:fill="EEECE1" w:themeFill="background2"/>
            <w:vAlign w:val="center"/>
          </w:tcPr>
          <w:p w14:paraId="711249FD"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Refused</w:t>
            </w:r>
          </w:p>
        </w:tc>
        <w:tc>
          <w:tcPr>
            <w:tcW w:w="1256" w:type="dxa"/>
            <w:shd w:val="clear" w:color="auto" w:fill="EEECE1" w:themeFill="background2"/>
            <w:vAlign w:val="center"/>
          </w:tcPr>
          <w:p w14:paraId="65AD5230"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Developed</w:t>
            </w:r>
          </w:p>
        </w:tc>
        <w:tc>
          <w:tcPr>
            <w:tcW w:w="3852" w:type="dxa"/>
            <w:shd w:val="clear" w:color="auto" w:fill="EEECE1" w:themeFill="background2"/>
            <w:vAlign w:val="center"/>
          </w:tcPr>
          <w:p w14:paraId="4536EF34" w14:textId="77777777" w:rsidR="00EA22ED" w:rsidRPr="00E97D90" w:rsidRDefault="00EA22ED" w:rsidP="00A51982">
            <w:pPr>
              <w:bidi/>
              <w:rPr>
                <w:rFonts w:asciiTheme="majorBidi" w:hAnsiTheme="majorBidi" w:cstheme="majorBidi"/>
                <w:sz w:val="24"/>
                <w:szCs w:val="24"/>
              </w:rPr>
            </w:pPr>
            <w:r w:rsidRPr="00E97D90">
              <w:rPr>
                <w:rFonts w:asciiTheme="majorBidi" w:hAnsiTheme="majorBidi" w:cstheme="majorBidi"/>
                <w:sz w:val="24"/>
                <w:szCs w:val="24"/>
              </w:rPr>
              <w:t>Comment</w:t>
            </w:r>
          </w:p>
        </w:tc>
      </w:tr>
      <w:tr w:rsidR="001A4068" w:rsidRPr="00E97D90" w14:paraId="68F04C9F" w14:textId="77777777" w:rsidTr="005C37CB">
        <w:trPr>
          <w:trHeight w:val="473"/>
        </w:trPr>
        <w:tc>
          <w:tcPr>
            <w:tcW w:w="3822" w:type="dxa"/>
            <w:shd w:val="clear" w:color="auto" w:fill="EEECE1" w:themeFill="background2"/>
            <w:vAlign w:val="center"/>
          </w:tcPr>
          <w:p w14:paraId="377B8ACA" w14:textId="77777777" w:rsidR="001A4068" w:rsidRPr="00E97D90" w:rsidRDefault="001A4068"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Cover</w:t>
            </w:r>
          </w:p>
        </w:tc>
        <w:tc>
          <w:tcPr>
            <w:tcW w:w="1123" w:type="dxa"/>
            <w:vAlign w:val="center"/>
          </w:tcPr>
          <w:p w14:paraId="19884426" w14:textId="5A829B94" w:rsidR="001A4068" w:rsidRPr="00E97D90" w:rsidRDefault="001A4068" w:rsidP="00A51982">
            <w:pPr>
              <w:bidi/>
              <w:rPr>
                <w:rFonts w:asciiTheme="majorBidi" w:hAnsiTheme="majorBidi" w:cstheme="majorBidi"/>
                <w:sz w:val="24"/>
                <w:szCs w:val="24"/>
              </w:rPr>
            </w:pPr>
          </w:p>
        </w:tc>
        <w:tc>
          <w:tcPr>
            <w:tcW w:w="1003" w:type="dxa"/>
            <w:vAlign w:val="center"/>
          </w:tcPr>
          <w:p w14:paraId="1BAB1456" w14:textId="77777777" w:rsidR="001A4068" w:rsidRPr="00E97D90" w:rsidRDefault="001A4068" w:rsidP="00A51982">
            <w:pPr>
              <w:bidi/>
              <w:rPr>
                <w:rFonts w:asciiTheme="majorBidi" w:hAnsiTheme="majorBidi" w:cstheme="majorBidi"/>
                <w:sz w:val="24"/>
                <w:szCs w:val="24"/>
              </w:rPr>
            </w:pPr>
          </w:p>
        </w:tc>
        <w:tc>
          <w:tcPr>
            <w:tcW w:w="1256" w:type="dxa"/>
            <w:vAlign w:val="center"/>
          </w:tcPr>
          <w:p w14:paraId="0D37F95E" w14:textId="2EF57FA6" w:rsidR="001A4068" w:rsidRPr="00E97D90" w:rsidRDefault="001A4068" w:rsidP="00A51982">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766419F" w14:textId="4A05EFC3" w:rsidR="001A4068" w:rsidRPr="00E97D90" w:rsidRDefault="001A4068" w:rsidP="00A51982">
            <w:pPr>
              <w:bidi/>
              <w:rPr>
                <w:rFonts w:asciiTheme="majorBidi" w:hAnsiTheme="majorBidi" w:cstheme="majorBidi"/>
                <w:sz w:val="24"/>
                <w:szCs w:val="24"/>
              </w:rPr>
            </w:pPr>
            <w:r>
              <w:rPr>
                <w:rFonts w:hint="cs"/>
                <w:rtl/>
              </w:rPr>
              <w:t xml:space="preserve">يرجى حذف اسم المشرف </w:t>
            </w:r>
            <w:r w:rsidRPr="00DA7441">
              <w:rPr>
                <w:rtl/>
              </w:rPr>
              <w:t xml:space="preserve">، مع إعادة ضبط المحاذاة وتوحيد الخطوط </w:t>
            </w:r>
            <w:r w:rsidR="00CA563C">
              <w:rPr>
                <w:rFonts w:hint="cs"/>
                <w:rtl/>
              </w:rPr>
              <w:t xml:space="preserve"> </w:t>
            </w:r>
          </w:p>
        </w:tc>
      </w:tr>
      <w:tr w:rsidR="0034462E" w:rsidRPr="00E97D90" w14:paraId="0B601F59" w14:textId="77777777" w:rsidTr="005C37CB">
        <w:trPr>
          <w:trHeight w:val="453"/>
        </w:trPr>
        <w:tc>
          <w:tcPr>
            <w:tcW w:w="3822" w:type="dxa"/>
            <w:shd w:val="clear" w:color="auto" w:fill="EEECE1" w:themeFill="background2"/>
            <w:vAlign w:val="center"/>
          </w:tcPr>
          <w:p w14:paraId="65B86420"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Title</w:t>
            </w:r>
          </w:p>
        </w:tc>
        <w:tc>
          <w:tcPr>
            <w:tcW w:w="1123" w:type="dxa"/>
            <w:vAlign w:val="center"/>
          </w:tcPr>
          <w:p w14:paraId="6DE5FCD5" w14:textId="58D0DC75" w:rsidR="0034462E" w:rsidRPr="00E97D90" w:rsidRDefault="0034462E" w:rsidP="00CA563C">
            <w:pPr>
              <w:bidi/>
              <w:rPr>
                <w:rFonts w:asciiTheme="majorBidi" w:hAnsiTheme="majorBidi" w:cstheme="majorBidi"/>
                <w:sz w:val="24"/>
                <w:szCs w:val="24"/>
              </w:rPr>
            </w:pPr>
          </w:p>
        </w:tc>
        <w:tc>
          <w:tcPr>
            <w:tcW w:w="1003" w:type="dxa"/>
            <w:vAlign w:val="center"/>
          </w:tcPr>
          <w:p w14:paraId="2B217616"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3DBBE376" w14:textId="5FA64AD2"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6C120BEB" w14:textId="3019BBCB" w:rsidR="0034462E" w:rsidRPr="00E97D90" w:rsidRDefault="0034462E" w:rsidP="00CA563C">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العنوان «دور العلاقات العامة في ترويج الفعاليات الوطنية وأثره في تعزيز المواطنة» واضح ومباشر، ويعكس متغيرين رئيسين (دور العلاقات العامة، تعزيز المواطنة)</w:t>
            </w:r>
            <w:r w:rsidRPr="00B301AD">
              <w:t xml:space="preserve">. </w:t>
            </w:r>
            <w:r w:rsidRPr="00B301AD">
              <w:rPr>
                <w:b/>
                <w:bCs/>
                <w:rtl/>
              </w:rPr>
              <w:t>نقطة قوة</w:t>
            </w:r>
            <w:r w:rsidRPr="00B301AD">
              <w:rPr>
                <w:b/>
                <w:bCs/>
              </w:rPr>
              <w:t>:</w:t>
            </w:r>
            <w:r w:rsidRPr="00B301AD">
              <w:t xml:space="preserve"> </w:t>
            </w:r>
            <w:r w:rsidRPr="00B301AD">
              <w:rPr>
                <w:rtl/>
              </w:rPr>
              <w:t>العنوان يُظهر بجلاء مجال الدراسة (العلاقات العامة والفعاليات الوطنية) والنتيجة المتوقعة (تعزيز المواطنة)، وله مقابل إنجليزي جيد الصياغة</w:t>
            </w:r>
            <w:r w:rsidRPr="00B301AD">
              <w:t xml:space="preserve">. </w:t>
            </w:r>
            <w:r w:rsidRPr="00B301AD">
              <w:rPr>
                <w:b/>
                <w:bCs/>
                <w:rtl/>
              </w:rPr>
              <w:t>نقطة ضعف</w:t>
            </w:r>
            <w:r w:rsidRPr="00B301AD">
              <w:rPr>
                <w:b/>
                <w:bCs/>
              </w:rPr>
              <w:t>:</w:t>
            </w:r>
            <w:r w:rsidRPr="00B301AD">
              <w:t xml:space="preserve"> </w:t>
            </w:r>
            <w:r w:rsidRPr="00B301AD">
              <w:rPr>
                <w:rtl/>
              </w:rPr>
              <w:t>لا يُصرّح في العنوان بالسياق الجغرافي (المملكة العربية السعودية) رغم وضوحه في المتن، كما لا يشير إلى أن الدراسة تحليلية/نوعية</w:t>
            </w:r>
            <w:r w:rsidRPr="00B301AD">
              <w:t xml:space="preserve">. </w:t>
            </w:r>
            <w:r w:rsidRPr="00B301AD">
              <w:rPr>
                <w:b/>
                <w:bCs/>
                <w:rtl/>
              </w:rPr>
              <w:t>مقترح تطوير</w:t>
            </w:r>
            <w:r w:rsidRPr="00B301AD">
              <w:rPr>
                <w:b/>
                <w:bCs/>
              </w:rPr>
              <w:t>:</w:t>
            </w:r>
            <w:r w:rsidRPr="00B301AD">
              <w:t xml:space="preserve"> </w:t>
            </w:r>
            <w:r w:rsidRPr="00B301AD">
              <w:rPr>
                <w:rtl/>
              </w:rPr>
              <w:t>إضافة الإطار المكاني في العنوان (في المملكة العربية السعودية)، وترك توصيف المنهج (تحليلية وصفية) لقسم المنهجية</w:t>
            </w:r>
            <w:r w:rsidRPr="00B301AD">
              <w:t>.</w:t>
            </w:r>
          </w:p>
        </w:tc>
      </w:tr>
      <w:tr w:rsidR="0034462E" w:rsidRPr="00E97D90" w14:paraId="1849A8E7" w14:textId="77777777" w:rsidTr="005C37CB">
        <w:trPr>
          <w:trHeight w:val="453"/>
        </w:trPr>
        <w:tc>
          <w:tcPr>
            <w:tcW w:w="3822" w:type="dxa"/>
            <w:shd w:val="clear" w:color="auto" w:fill="EEECE1" w:themeFill="background2"/>
            <w:vAlign w:val="center"/>
          </w:tcPr>
          <w:p w14:paraId="019F5F3F"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Introduction</w:t>
            </w:r>
          </w:p>
        </w:tc>
        <w:tc>
          <w:tcPr>
            <w:tcW w:w="1123" w:type="dxa"/>
            <w:vAlign w:val="center"/>
          </w:tcPr>
          <w:p w14:paraId="5A15930E" w14:textId="01D8E619" w:rsidR="0034462E" w:rsidRPr="00E97D90" w:rsidRDefault="0034462E" w:rsidP="00CA563C">
            <w:pPr>
              <w:bidi/>
              <w:rPr>
                <w:rFonts w:asciiTheme="majorBidi" w:hAnsiTheme="majorBidi" w:cstheme="majorBidi"/>
                <w:sz w:val="24"/>
                <w:szCs w:val="24"/>
              </w:rPr>
            </w:pPr>
          </w:p>
        </w:tc>
        <w:tc>
          <w:tcPr>
            <w:tcW w:w="1003" w:type="dxa"/>
            <w:vAlign w:val="center"/>
          </w:tcPr>
          <w:p w14:paraId="08B76F82"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003D90FE" w14:textId="50F2F09B"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CCF2FE2" w14:textId="77777777" w:rsidR="0034462E" w:rsidRDefault="0034462E" w:rsidP="00CA563C">
            <w:pPr>
              <w:bidi/>
              <w:rPr>
                <w:rtl/>
              </w:rPr>
            </w:pPr>
            <w:r w:rsidRPr="00B301AD">
              <w:rPr>
                <w:b/>
                <w:bCs/>
                <w:rtl/>
              </w:rPr>
              <w:t>التقييم</w:t>
            </w:r>
            <w:r w:rsidRPr="00B301AD">
              <w:rPr>
                <w:b/>
                <w:bCs/>
              </w:rPr>
              <w:t>:</w:t>
            </w:r>
            <w:r w:rsidRPr="00B301AD">
              <w:t xml:space="preserve"> </w:t>
            </w:r>
            <w:r w:rsidRPr="00B301AD">
              <w:rPr>
                <w:rtl/>
              </w:rPr>
              <w:t>الملخص العربي والإنجليزي يلخصان بوضوح هدف الدراسة، والمنهج (وصفي تحليلي)، ومجال التحليل (منصات ووثائق سعودية متصلة باليوم الوطني ويوم التأسيس والثقافة والترفيه)، والمحاور الرئيسة للتحليل، وأبرز النتائج، والإطار المقترح، مع كلمات مفتاحية مناسبة</w:t>
            </w:r>
            <w:r w:rsidRPr="00B301AD">
              <w:t xml:space="preserve">. </w:t>
            </w:r>
            <w:r w:rsidRPr="00B301AD">
              <w:rPr>
                <w:b/>
                <w:bCs/>
                <w:rtl/>
              </w:rPr>
              <w:t>نقطة قوة</w:t>
            </w:r>
            <w:r w:rsidRPr="00B301AD">
              <w:rPr>
                <w:b/>
                <w:bCs/>
              </w:rPr>
              <w:t>:</w:t>
            </w:r>
            <w:r w:rsidRPr="00B301AD">
              <w:t xml:space="preserve"> </w:t>
            </w:r>
            <w:r w:rsidRPr="00B301AD">
              <w:rPr>
                <w:rtl/>
              </w:rPr>
              <w:t>الملخصان متماسكَان، يحددان بوضوح الهدف والمنهج وأهم النتائج، ويظهران القيمة النظرية والتطبيقية للدراسة</w:t>
            </w:r>
            <w:r w:rsidRPr="00B301AD">
              <w:t xml:space="preserve">. </w:t>
            </w:r>
            <w:r w:rsidRPr="00B301AD">
              <w:rPr>
                <w:b/>
                <w:bCs/>
                <w:rtl/>
              </w:rPr>
              <w:t>نقطة ضعف</w:t>
            </w:r>
            <w:r w:rsidRPr="00B301AD">
              <w:rPr>
                <w:b/>
                <w:bCs/>
              </w:rPr>
              <w:t>:</w:t>
            </w:r>
            <w:r w:rsidRPr="00B301AD">
              <w:t xml:space="preserve"> </w:t>
            </w:r>
            <w:r w:rsidRPr="00B301AD">
              <w:rPr>
                <w:rtl/>
              </w:rPr>
              <w:t>يمكن إظهار مشكلة الدراسة/الفجوة البحثية بصورة أكثر صراحة في الملخص، وكذلك توضيح حدود المنهج (نوعي/تحليلي، دون بيانات ميدانية كمية)</w:t>
            </w:r>
            <w:r w:rsidRPr="00B301AD">
              <w:t xml:space="preserve">. </w:t>
            </w:r>
            <w:r w:rsidRPr="00B301AD">
              <w:rPr>
                <w:b/>
                <w:bCs/>
                <w:rtl/>
              </w:rPr>
              <w:t>مقترح تطوير</w:t>
            </w:r>
            <w:r w:rsidRPr="00B301AD">
              <w:rPr>
                <w:b/>
                <w:bCs/>
              </w:rPr>
              <w:t>:</w:t>
            </w:r>
            <w:r w:rsidRPr="00B301AD">
              <w:t xml:space="preserve"> </w:t>
            </w:r>
            <w:r w:rsidRPr="00B301AD">
              <w:rPr>
                <w:rtl/>
              </w:rPr>
              <w:t>إضافة جملة قصيرة في الملخص تبرز بوضوح الفجوة التي تعالجها الدراسة، مع توضيح أن البيانات قائمة على تحليل وثائق ومنصات رسمية لا على مسوح استبيانية</w:t>
            </w:r>
            <w:r w:rsidRPr="00B301AD">
              <w:t>.</w:t>
            </w:r>
          </w:p>
          <w:p w14:paraId="54F00DAE" w14:textId="15DB3E44" w:rsidR="008C4C70" w:rsidRPr="00E97D90" w:rsidRDefault="008C4C70" w:rsidP="008C4C70">
            <w:pPr>
              <w:bidi/>
              <w:rPr>
                <w:rFonts w:asciiTheme="majorBidi" w:hAnsiTheme="majorBidi" w:cstheme="majorBidi"/>
                <w:sz w:val="24"/>
                <w:szCs w:val="24"/>
                <w:rtl/>
                <w:lang w:bidi="ar-EG"/>
              </w:rPr>
            </w:pPr>
            <w:r w:rsidRPr="00B301AD">
              <w:rPr>
                <w:b/>
                <w:bCs/>
                <w:rtl/>
              </w:rPr>
              <w:t>نقطة ضعف</w:t>
            </w:r>
            <w:r w:rsidRPr="00B301AD">
              <w:rPr>
                <w:b/>
                <w:bCs/>
              </w:rPr>
              <w:t>:</w:t>
            </w:r>
            <w:r w:rsidRPr="00B301AD">
              <w:t xml:space="preserve"> </w:t>
            </w:r>
            <w:r w:rsidRPr="00B301AD">
              <w:rPr>
                <w:rtl/>
              </w:rPr>
              <w:t xml:space="preserve">المقدمة طويلة </w:t>
            </w:r>
            <w:r>
              <w:rPr>
                <w:rFonts w:hint="cs"/>
                <w:rtl/>
              </w:rPr>
              <w:t xml:space="preserve">ولا يوجد بها دراسات سابقة او مراجع ويجب توثيقها </w:t>
            </w:r>
            <w:r w:rsidRPr="00B301AD">
              <w:rPr>
                <w:rtl/>
              </w:rPr>
              <w:t xml:space="preserve">، وتحتاج بعض الفقرات إلى تكثيف لغوي وتقليل التكرار </w:t>
            </w:r>
            <w:r w:rsidRPr="00B301AD">
              <w:rPr>
                <w:b/>
                <w:bCs/>
                <w:rtl/>
              </w:rPr>
              <w:t>مقترح تطوير</w:t>
            </w:r>
            <w:r w:rsidRPr="00B301AD">
              <w:rPr>
                <w:b/>
                <w:bCs/>
              </w:rPr>
              <w:t>:</w:t>
            </w:r>
            <w:r w:rsidRPr="00B301AD">
              <w:t xml:space="preserve"> </w:t>
            </w:r>
            <w:r w:rsidRPr="00B301AD">
              <w:rPr>
                <w:rtl/>
              </w:rPr>
              <w:t>إعادة تنظيم المقدمة في فقرات قصيرة: ، ثم الانتقال مباشرة إلى مشكلة الدراس</w:t>
            </w:r>
            <w:r w:rsidR="00686B38">
              <w:rPr>
                <w:rFonts w:hint="cs"/>
                <w:rtl/>
              </w:rPr>
              <w:t>ة</w:t>
            </w:r>
          </w:p>
        </w:tc>
      </w:tr>
      <w:tr w:rsidR="0034462E" w:rsidRPr="00E97D90" w14:paraId="1476836D" w14:textId="77777777" w:rsidTr="005C37CB">
        <w:trPr>
          <w:trHeight w:val="453"/>
        </w:trPr>
        <w:tc>
          <w:tcPr>
            <w:tcW w:w="3822" w:type="dxa"/>
            <w:shd w:val="clear" w:color="auto" w:fill="EEECE1" w:themeFill="background2"/>
            <w:vAlign w:val="center"/>
          </w:tcPr>
          <w:p w14:paraId="5CE15BDD"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Problem</w:t>
            </w:r>
          </w:p>
        </w:tc>
        <w:tc>
          <w:tcPr>
            <w:tcW w:w="1123" w:type="dxa"/>
            <w:vAlign w:val="center"/>
          </w:tcPr>
          <w:p w14:paraId="4C8E2518" w14:textId="5372625D" w:rsidR="0034462E" w:rsidRPr="00E97D90" w:rsidRDefault="0034462E" w:rsidP="00CA563C">
            <w:pPr>
              <w:bidi/>
              <w:rPr>
                <w:rFonts w:asciiTheme="majorBidi" w:hAnsiTheme="majorBidi" w:cstheme="majorBidi"/>
                <w:sz w:val="24"/>
                <w:szCs w:val="24"/>
              </w:rPr>
            </w:pPr>
          </w:p>
        </w:tc>
        <w:tc>
          <w:tcPr>
            <w:tcW w:w="1003" w:type="dxa"/>
            <w:vAlign w:val="center"/>
          </w:tcPr>
          <w:p w14:paraId="0431F492"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0B803945" w14:textId="3227CF5A"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5121B055" w14:textId="43FF1F02" w:rsidR="0034462E" w:rsidRPr="00E97D90" w:rsidRDefault="0034462E" w:rsidP="00CA563C">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مشكلة الدراسة مصاغة بوضوح ضمن المقدمة؛ حيث تشير إلى توسع الفعاليات الوطنية واستخدام المنصات الرقمية مع تركّز التقييم على مؤشرات كمية (الوصول، الحضور) مقابل ضعف قياس الأثر العميق على أبعاد المواطنة، ووجود فجوة بين الخطاب والممارسة وبين الترويج و«التجربة» الفعلية</w:t>
            </w:r>
            <w:r w:rsidRPr="00B301AD">
              <w:t xml:space="preserve">. </w:t>
            </w:r>
            <w:r w:rsidRPr="00B301AD">
              <w:rPr>
                <w:b/>
                <w:bCs/>
                <w:rtl/>
              </w:rPr>
              <w:t>نقطة قوة</w:t>
            </w:r>
            <w:r w:rsidRPr="00B301AD">
              <w:rPr>
                <w:b/>
                <w:bCs/>
              </w:rPr>
              <w:t>:</w:t>
            </w:r>
            <w:r w:rsidRPr="00B301AD">
              <w:t xml:space="preserve"> </w:t>
            </w:r>
            <w:r w:rsidRPr="00B301AD">
              <w:rPr>
                <w:rtl/>
              </w:rPr>
              <w:t xml:space="preserve">المشكلة مبنية على ملاحظة نقدية لواقع الفعاليات الوطنية، تبيّن الفرق بين الانتشار اللحظي وتأثيرها طويل المدى في المعرفة، </w:t>
            </w:r>
            <w:r w:rsidRPr="00B301AD">
              <w:rPr>
                <w:rtl/>
              </w:rPr>
              <w:lastRenderedPageBreak/>
              <w:t>والانتماء، والسلوك، وتربط هذا كله بدور العلاقات العامة</w:t>
            </w:r>
            <w:r w:rsidRPr="00B301AD">
              <w:t xml:space="preserve">. </w:t>
            </w:r>
            <w:r w:rsidRPr="00B301AD">
              <w:rPr>
                <w:b/>
                <w:bCs/>
                <w:rtl/>
              </w:rPr>
              <w:t>نقطة ضعف</w:t>
            </w:r>
            <w:r w:rsidRPr="00B301AD">
              <w:rPr>
                <w:b/>
                <w:bCs/>
              </w:rPr>
              <w:t>:</w:t>
            </w:r>
            <w:r w:rsidRPr="00B301AD">
              <w:t xml:space="preserve"> </w:t>
            </w:r>
            <w:r w:rsidRPr="00B301AD">
              <w:rPr>
                <w:rtl/>
              </w:rPr>
              <w:t>تحتاج المشكلة إلى فقرة مستقلة ومركّزة تجمع عناصرها (الواقع، القصور، الفجوة) وتنتهي مباشرة بالسؤال الرئيس، بدلاً من تشتتها بين المقدمة والتحليل المفاهيمي</w:t>
            </w:r>
            <w:r w:rsidRPr="00B301AD">
              <w:t xml:space="preserve">. </w:t>
            </w:r>
            <w:r w:rsidRPr="00B301AD">
              <w:rPr>
                <w:b/>
                <w:bCs/>
                <w:rtl/>
              </w:rPr>
              <w:t>مقترح تطوير</w:t>
            </w:r>
            <w:r w:rsidRPr="00B301AD">
              <w:rPr>
                <w:b/>
                <w:bCs/>
              </w:rPr>
              <w:t>:</w:t>
            </w:r>
            <w:r w:rsidRPr="00B301AD">
              <w:t xml:space="preserve"> </w:t>
            </w:r>
            <w:r w:rsidRPr="00B301AD">
              <w:rPr>
                <w:rtl/>
              </w:rPr>
              <w:t>صياغة فقرة خاصة بعنوان «مشكلة الدراسة» تلخص بوضوح: أين يكمن القصور في الممارسة الحالية؟ وما الذي لم تعالجه الدراسات السابقة؟ وكيف يهدف هذا البحث إلى سد هذه الفجوة؟</w:t>
            </w:r>
          </w:p>
        </w:tc>
      </w:tr>
      <w:tr w:rsidR="0034462E" w:rsidRPr="00E97D90" w14:paraId="6EE58949" w14:textId="77777777" w:rsidTr="005C37CB">
        <w:trPr>
          <w:trHeight w:val="558"/>
        </w:trPr>
        <w:tc>
          <w:tcPr>
            <w:tcW w:w="3822" w:type="dxa"/>
            <w:shd w:val="clear" w:color="auto" w:fill="EEECE1" w:themeFill="background2"/>
            <w:vAlign w:val="center"/>
          </w:tcPr>
          <w:p w14:paraId="219C9835"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Importance of The Study</w:t>
            </w:r>
          </w:p>
        </w:tc>
        <w:tc>
          <w:tcPr>
            <w:tcW w:w="1123" w:type="dxa"/>
            <w:vAlign w:val="center"/>
          </w:tcPr>
          <w:p w14:paraId="0F87F828" w14:textId="0CF4B8DD" w:rsidR="0034462E" w:rsidRPr="00E97D90" w:rsidRDefault="0034462E" w:rsidP="00CA563C">
            <w:pPr>
              <w:bidi/>
              <w:rPr>
                <w:rFonts w:asciiTheme="majorBidi" w:hAnsiTheme="majorBidi" w:cstheme="majorBidi"/>
                <w:sz w:val="24"/>
                <w:szCs w:val="24"/>
              </w:rPr>
            </w:pPr>
          </w:p>
        </w:tc>
        <w:tc>
          <w:tcPr>
            <w:tcW w:w="1003" w:type="dxa"/>
            <w:vAlign w:val="center"/>
          </w:tcPr>
          <w:p w14:paraId="6E47D445"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54A74EAE" w14:textId="15646B30"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1824D8B" w14:textId="41E7C407" w:rsidR="0034462E" w:rsidRPr="00E97D90" w:rsidRDefault="0034462E" w:rsidP="00CA563C">
            <w:pPr>
              <w:bidi/>
              <w:rPr>
                <w:rFonts w:asciiTheme="majorBidi" w:hAnsiTheme="majorBidi" w:cstheme="majorBidi"/>
                <w:sz w:val="24"/>
                <w:szCs w:val="24"/>
                <w:rtl/>
                <w:lang w:bidi="ar-EG"/>
              </w:rPr>
            </w:pPr>
            <w:r w:rsidRPr="00B301AD">
              <w:rPr>
                <w:b/>
                <w:bCs/>
                <w:rtl/>
              </w:rPr>
              <w:t>التقييم</w:t>
            </w:r>
            <w:r w:rsidRPr="00B301AD">
              <w:rPr>
                <w:b/>
                <w:bCs/>
              </w:rPr>
              <w:t>:</w:t>
            </w:r>
            <w:r w:rsidRPr="00B301AD">
              <w:t xml:space="preserve"> </w:t>
            </w:r>
            <w:r w:rsidRPr="00B301AD">
              <w:rPr>
                <w:rtl/>
              </w:rPr>
              <w:t>الأهمية موزعة إلى جانب نظري (ربط العلاقات العامة بإدارة الفعاليات الوطنية والمواطنة ضمن إطار متكامل) وجانب تطبيقي (مساعدة الجهات المنظمة للفعاليات الوطنية على التخطيط والتقييم بما يتجاوز المؤشرات السطحية)</w:t>
            </w:r>
            <w:r w:rsidRPr="00B301AD">
              <w:t xml:space="preserve">. </w:t>
            </w:r>
            <w:r w:rsidRPr="00B301AD">
              <w:rPr>
                <w:b/>
                <w:bCs/>
                <w:rtl/>
              </w:rPr>
              <w:t>نقطة قوة</w:t>
            </w:r>
            <w:r w:rsidRPr="00B301AD">
              <w:rPr>
                <w:b/>
                <w:bCs/>
              </w:rPr>
              <w:t>:</w:t>
            </w:r>
            <w:r w:rsidRPr="00B301AD">
              <w:t xml:space="preserve"> </w:t>
            </w:r>
            <w:r w:rsidRPr="00B301AD">
              <w:rPr>
                <w:rtl/>
              </w:rPr>
              <w:t>توضح الأهمية النظرية مساهمة الدراسة في تجميع مفاهيم العلاقات العامة والهوية الوطنية والمواطنة والفعاليات ضمن مسار تفسيري واحد، بينما تبرز الأهمية التطبيقية في تزويد الجهات المعنية بإطار عملي للتخطيط والقياس</w:t>
            </w:r>
            <w:r w:rsidRPr="00B301AD">
              <w:t xml:space="preserve">. </w:t>
            </w:r>
            <w:r w:rsidRPr="00B301AD">
              <w:rPr>
                <w:b/>
                <w:bCs/>
                <w:rtl/>
              </w:rPr>
              <w:t>نقطة ضعف</w:t>
            </w:r>
            <w:r w:rsidRPr="00B301AD">
              <w:rPr>
                <w:b/>
                <w:bCs/>
              </w:rPr>
              <w:t>:</w:t>
            </w:r>
            <w:r w:rsidRPr="00B301AD">
              <w:t xml:space="preserve"> </w:t>
            </w:r>
            <w:r w:rsidRPr="00B301AD">
              <w:rPr>
                <w:rtl/>
              </w:rPr>
              <w:t>يمكن مزيد من التفصيل في الأهمية التطبيقية، عبر ذكر أمثلة نوعية للجهات المستفيدة (الهيئات الثقافية، الترفيهية، الجهات المسؤولة عن اليوم الوطني ويوم التأسيس…)</w:t>
            </w:r>
            <w:r w:rsidRPr="00B301AD">
              <w:t xml:space="preserve">. </w:t>
            </w:r>
            <w:r w:rsidRPr="00B301AD">
              <w:rPr>
                <w:b/>
                <w:bCs/>
                <w:rtl/>
              </w:rPr>
              <w:t>مقترح تطوير</w:t>
            </w:r>
            <w:r w:rsidRPr="00B301AD">
              <w:rPr>
                <w:b/>
                <w:bCs/>
              </w:rPr>
              <w:t>:</w:t>
            </w:r>
            <w:r w:rsidRPr="00B301AD">
              <w:t xml:space="preserve"> </w:t>
            </w:r>
            <w:r w:rsidRPr="00B301AD">
              <w:rPr>
                <w:rtl/>
              </w:rPr>
              <w:t>إضافة نقاط محددة تبين كيف يمكن توظيف الإطار المقترح ومؤشرات القياس في تصميم سياسات وبرامج وعمليات تقييم للفعاليات الوطنية</w:t>
            </w:r>
            <w:r w:rsidRPr="00B301AD">
              <w:t>.</w:t>
            </w:r>
          </w:p>
        </w:tc>
      </w:tr>
      <w:tr w:rsidR="0034462E" w:rsidRPr="00E97D90" w14:paraId="4E506947" w14:textId="77777777" w:rsidTr="005C37CB">
        <w:trPr>
          <w:trHeight w:val="605"/>
        </w:trPr>
        <w:tc>
          <w:tcPr>
            <w:tcW w:w="3822" w:type="dxa"/>
            <w:shd w:val="clear" w:color="auto" w:fill="EEECE1" w:themeFill="background2"/>
            <w:vAlign w:val="center"/>
          </w:tcPr>
          <w:p w14:paraId="76D0B3C5"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Objectives of The Study</w:t>
            </w:r>
          </w:p>
        </w:tc>
        <w:tc>
          <w:tcPr>
            <w:tcW w:w="1123" w:type="dxa"/>
            <w:vAlign w:val="center"/>
          </w:tcPr>
          <w:p w14:paraId="3F8D8F51" w14:textId="2364A8DD" w:rsidR="0034462E" w:rsidRPr="00E97D90" w:rsidRDefault="0034462E" w:rsidP="00CA563C">
            <w:pPr>
              <w:bidi/>
              <w:rPr>
                <w:rFonts w:asciiTheme="majorBidi" w:hAnsiTheme="majorBidi" w:cstheme="majorBidi"/>
                <w:sz w:val="24"/>
                <w:szCs w:val="24"/>
              </w:rPr>
            </w:pPr>
          </w:p>
        </w:tc>
        <w:tc>
          <w:tcPr>
            <w:tcW w:w="1003" w:type="dxa"/>
            <w:vAlign w:val="center"/>
          </w:tcPr>
          <w:p w14:paraId="34BFEEEB"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423D74B4" w14:textId="4870D8BE"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AB2F43B" w14:textId="1588D852" w:rsidR="0034462E" w:rsidRPr="00E97D90" w:rsidRDefault="0034462E" w:rsidP="00CA563C">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الأهداف واضحة؛ تتضمن: تحليل الدور الاستراتيجي للعلاقات العامة قبل/أثناء/بعد الفعاليات الوطنية، تحديد مكوّنات الرسالة والتفاعل والوعي والانخراط، تفسير العلاقة بين الفعاليات الوطنية وأبعاد المواطنة، واستخلاص التحديات واقتراح إطار ومؤشرات للقياس</w:t>
            </w:r>
            <w:r w:rsidRPr="00B301AD">
              <w:t xml:space="preserve">. </w:t>
            </w:r>
            <w:r w:rsidRPr="00B301AD">
              <w:rPr>
                <w:b/>
                <w:bCs/>
                <w:rtl/>
              </w:rPr>
              <w:t>نقطة قوة</w:t>
            </w:r>
            <w:r w:rsidRPr="00B301AD">
              <w:rPr>
                <w:b/>
                <w:bCs/>
              </w:rPr>
              <w:t>:</w:t>
            </w:r>
            <w:r w:rsidRPr="00B301AD">
              <w:t xml:space="preserve"> </w:t>
            </w:r>
            <w:r w:rsidRPr="00B301AD">
              <w:rPr>
                <w:rtl/>
              </w:rPr>
              <w:t>الأهداف متسقة مع المشكلة والأسئلة والفرضيات، وتغطي تحليل الدور، وتفسير العلاقة، وتقديم نموذج تطبيقي</w:t>
            </w:r>
            <w:r w:rsidRPr="00B301AD">
              <w:t xml:space="preserve">. </w:t>
            </w:r>
            <w:r w:rsidRPr="00B301AD">
              <w:rPr>
                <w:b/>
                <w:bCs/>
                <w:rtl/>
              </w:rPr>
              <w:t>نقطة ضعف</w:t>
            </w:r>
            <w:r w:rsidRPr="00B301AD">
              <w:rPr>
                <w:b/>
                <w:bCs/>
              </w:rPr>
              <w:t>:</w:t>
            </w:r>
            <w:r w:rsidRPr="00B301AD">
              <w:t xml:space="preserve"> </w:t>
            </w:r>
            <w:r w:rsidRPr="00B301AD">
              <w:rPr>
                <w:rtl/>
              </w:rPr>
              <w:t>صياغة الأهداف متقدمة وناضجة لكنها متشابكة؛ يمكن تفكيكها إلى هدف عام وأهداف فرعية أكثر اختصارًا لتسهيل الربط بين كل هدف ومنهجية التحليل</w:t>
            </w:r>
            <w:r w:rsidRPr="00B301AD">
              <w:t xml:space="preserve">. </w:t>
            </w:r>
            <w:r w:rsidRPr="00B301AD">
              <w:rPr>
                <w:b/>
                <w:bCs/>
                <w:rtl/>
              </w:rPr>
              <w:t>مقترح تطوير</w:t>
            </w:r>
            <w:r w:rsidRPr="00B301AD">
              <w:rPr>
                <w:b/>
                <w:bCs/>
              </w:rPr>
              <w:t>:</w:t>
            </w:r>
            <w:r w:rsidRPr="00B301AD">
              <w:t xml:space="preserve"> </w:t>
            </w:r>
            <w:r w:rsidRPr="00B301AD">
              <w:rPr>
                <w:rtl/>
              </w:rPr>
              <w:t>إعادة صياغة الأهداف في صورة: هدف عام + 3–4 أهداف فرعية واضحة، وربط كل هدف مباشرة بسؤال أو فرضية ومحور في بطاقة التحليل</w:t>
            </w:r>
            <w:r w:rsidRPr="00B301AD">
              <w:t>.</w:t>
            </w:r>
          </w:p>
        </w:tc>
      </w:tr>
      <w:tr w:rsidR="0034462E" w:rsidRPr="00E97D90" w14:paraId="0AF6A553" w14:textId="77777777" w:rsidTr="005C37CB">
        <w:trPr>
          <w:trHeight w:val="1097"/>
        </w:trPr>
        <w:tc>
          <w:tcPr>
            <w:tcW w:w="3822" w:type="dxa"/>
            <w:shd w:val="clear" w:color="auto" w:fill="EEECE1" w:themeFill="background2"/>
            <w:vAlign w:val="center"/>
          </w:tcPr>
          <w:p w14:paraId="7DE3AD91"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Study Questions</w:t>
            </w:r>
          </w:p>
        </w:tc>
        <w:tc>
          <w:tcPr>
            <w:tcW w:w="1123" w:type="dxa"/>
            <w:vAlign w:val="center"/>
          </w:tcPr>
          <w:p w14:paraId="22869FA5" w14:textId="12E55CC7" w:rsidR="0034462E" w:rsidRPr="00E97D90" w:rsidRDefault="0034462E" w:rsidP="00CA563C">
            <w:pPr>
              <w:bidi/>
              <w:rPr>
                <w:rFonts w:asciiTheme="majorBidi" w:hAnsiTheme="majorBidi" w:cstheme="majorBidi"/>
                <w:sz w:val="24"/>
                <w:szCs w:val="24"/>
              </w:rPr>
            </w:pPr>
          </w:p>
        </w:tc>
        <w:tc>
          <w:tcPr>
            <w:tcW w:w="1003" w:type="dxa"/>
            <w:vAlign w:val="center"/>
          </w:tcPr>
          <w:p w14:paraId="21A73C1C"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27B9B65F" w14:textId="1D2509B2"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A9616D5" w14:textId="41AAF77A" w:rsidR="0034462E" w:rsidRPr="00E97D90" w:rsidRDefault="0034462E" w:rsidP="00CA563C">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الأسئلة الأربعة مصاغة بوضوح وتتناول: أدوار العلاقات العامة في التخطيط والترويج وإدارة العلاقة، عناصر الرسالة والقنوات والتفاعل، أثر ذلك على أبعاد المواطنة، ونموذج تطبيقي يمكن أن تستفيد منه الجهات. الفرضيات تصوغ مسارات العلاقة بين جودة التخطيط والترويج المتكامل وبين فعالية الفعاليات وأثرها على المواطنة</w:t>
            </w:r>
            <w:r w:rsidRPr="00B301AD">
              <w:t xml:space="preserve">. </w:t>
            </w:r>
            <w:r w:rsidRPr="00B301AD">
              <w:rPr>
                <w:b/>
                <w:bCs/>
                <w:rtl/>
              </w:rPr>
              <w:t>نقطة قوة</w:t>
            </w:r>
            <w:r w:rsidRPr="00B301AD">
              <w:rPr>
                <w:b/>
                <w:bCs/>
              </w:rPr>
              <w:t>:</w:t>
            </w:r>
            <w:r w:rsidRPr="00B301AD">
              <w:t xml:space="preserve"> </w:t>
            </w:r>
            <w:r w:rsidRPr="00B301AD">
              <w:rPr>
                <w:rtl/>
              </w:rPr>
              <w:t>هناك ترابط منطقي بين الأسئلة والفرضيات، ما يسمح بتحويل الأسئلة الفكرية إلى مسارات تحليلية ملموسة في الإطار المقترح</w:t>
            </w:r>
            <w:r w:rsidRPr="00B301AD">
              <w:t xml:space="preserve">. </w:t>
            </w:r>
            <w:r w:rsidRPr="00B301AD">
              <w:rPr>
                <w:b/>
                <w:bCs/>
                <w:rtl/>
              </w:rPr>
              <w:t>نقطة ضعف</w:t>
            </w:r>
            <w:r w:rsidRPr="00B301AD">
              <w:rPr>
                <w:b/>
                <w:bCs/>
              </w:rPr>
              <w:t>:</w:t>
            </w:r>
            <w:r w:rsidRPr="00B301AD">
              <w:t xml:space="preserve"> </w:t>
            </w:r>
            <w:r w:rsidRPr="00B301AD">
              <w:rPr>
                <w:rtl/>
              </w:rPr>
              <w:t>الفرضيات أقرب إلى «توقعات نظرية» في دراسة نوعية تحليلية؛ تحتاج إلى توضيح أن اختبارها سيتم من خلال تحليل الوثائق ومؤشرات التمثيل والتكامل والتجربة، لا من خلال اختبارات إحصائية</w:t>
            </w:r>
            <w:r w:rsidRPr="00B301AD">
              <w:t xml:space="preserve">. </w:t>
            </w:r>
            <w:r w:rsidRPr="00B301AD">
              <w:rPr>
                <w:b/>
                <w:bCs/>
                <w:rtl/>
              </w:rPr>
              <w:t>مقترح تطوير</w:t>
            </w:r>
            <w:r w:rsidRPr="00B301AD">
              <w:rPr>
                <w:b/>
                <w:bCs/>
              </w:rPr>
              <w:t>:</w:t>
            </w:r>
            <w:r w:rsidRPr="00B301AD">
              <w:t xml:space="preserve"> </w:t>
            </w:r>
            <w:r w:rsidRPr="00B301AD">
              <w:rPr>
                <w:rtl/>
              </w:rPr>
              <w:t xml:space="preserve">توضيح في </w:t>
            </w:r>
            <w:r w:rsidRPr="00B301AD">
              <w:rPr>
                <w:rtl/>
              </w:rPr>
              <w:lastRenderedPageBreak/>
              <w:t>المنهجية أن الفرضيات ستُختبر عبر «اختبار تفسيري/تحليلي» بالاستناد إلى نتائج بطاقة التحليل، وليس عبر أدوات رقمية إحصائية، لتكون منسجمة مع طبيعة البيانات</w:t>
            </w:r>
            <w:r w:rsidRPr="00B301AD">
              <w:t>.</w:t>
            </w:r>
          </w:p>
        </w:tc>
      </w:tr>
      <w:tr w:rsidR="0034462E" w:rsidRPr="00E97D90" w14:paraId="619084FA" w14:textId="77777777" w:rsidTr="005C37CB">
        <w:trPr>
          <w:trHeight w:val="622"/>
        </w:trPr>
        <w:tc>
          <w:tcPr>
            <w:tcW w:w="3822" w:type="dxa"/>
            <w:shd w:val="clear" w:color="auto" w:fill="EEECE1" w:themeFill="background2"/>
            <w:vAlign w:val="center"/>
          </w:tcPr>
          <w:p w14:paraId="3331209E" w14:textId="1FC4EBE0"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Theoretical Framework</w:t>
            </w:r>
          </w:p>
        </w:tc>
        <w:tc>
          <w:tcPr>
            <w:tcW w:w="1123" w:type="dxa"/>
            <w:vAlign w:val="center"/>
          </w:tcPr>
          <w:p w14:paraId="7EBD2177" w14:textId="245F516A" w:rsidR="0034462E" w:rsidRPr="00E97D90" w:rsidRDefault="0034462E" w:rsidP="00CA563C">
            <w:pPr>
              <w:bidi/>
              <w:rPr>
                <w:rFonts w:asciiTheme="majorBidi" w:hAnsiTheme="majorBidi" w:cstheme="majorBidi"/>
                <w:sz w:val="24"/>
                <w:szCs w:val="24"/>
              </w:rPr>
            </w:pPr>
          </w:p>
        </w:tc>
        <w:tc>
          <w:tcPr>
            <w:tcW w:w="1003" w:type="dxa"/>
            <w:vAlign w:val="center"/>
          </w:tcPr>
          <w:p w14:paraId="38B9CACA"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4AA58B43" w14:textId="4F30ADA3"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BDC680C" w14:textId="7B44B3C7" w:rsidR="0034462E" w:rsidRPr="00E97D90" w:rsidRDefault="0034462E" w:rsidP="00CA563C">
            <w:pPr>
              <w:bidi/>
              <w:rPr>
                <w:rFonts w:asciiTheme="majorBidi" w:hAnsiTheme="majorBidi" w:cstheme="majorBidi"/>
                <w:sz w:val="24"/>
                <w:szCs w:val="24"/>
                <w:lang w:bidi="ar-EG"/>
              </w:rPr>
            </w:pPr>
            <w:r w:rsidRPr="00B301AD">
              <w:rPr>
                <w:b/>
                <w:bCs/>
                <w:rtl/>
              </w:rPr>
              <w:t>التقييم</w:t>
            </w:r>
            <w:r w:rsidRPr="00B301AD">
              <w:rPr>
                <w:b/>
                <w:bCs/>
              </w:rPr>
              <w:t>:</w:t>
            </w:r>
            <w:r w:rsidRPr="00B301AD">
              <w:t xml:space="preserve"> </w:t>
            </w:r>
            <w:r w:rsidRPr="00B301AD">
              <w:rPr>
                <w:rtl/>
              </w:rPr>
              <w:t>الإطار النظري متقدم؛ يتضمن تناول العلاقات العامة كإدارة استراتيجية للعلاقات، وأدوارها قبل/أثناء/بعد الفعاليات، ومفهوم الفعاليات الوطنية كتجربة اتصالية، ودور الفعاليات في بناء الهوية الوطنية والمواطنة، مع التركيز على أبعاد المواطنة المعرفية والوجدانية والسلوكية</w:t>
            </w:r>
            <w:r w:rsidRPr="00B301AD">
              <w:t xml:space="preserve">. </w:t>
            </w:r>
            <w:r w:rsidRPr="00B301AD">
              <w:rPr>
                <w:b/>
                <w:bCs/>
                <w:rtl/>
              </w:rPr>
              <w:t>نقطة قوة</w:t>
            </w:r>
            <w:r w:rsidRPr="00B301AD">
              <w:rPr>
                <w:b/>
                <w:bCs/>
              </w:rPr>
              <w:t>:</w:t>
            </w:r>
            <w:r w:rsidRPr="00B301AD">
              <w:t xml:space="preserve"> </w:t>
            </w:r>
            <w:r w:rsidRPr="00B301AD">
              <w:rPr>
                <w:rtl/>
              </w:rPr>
              <w:t>ثراء النظريّة، وتداخل مفاهيم العلاقات العامة والتواصل التفاعلي والهوية الوطنية والمواطنة، مع استحضار مفاهيم مثل إدارة التجربة، وقيمة التمثيل والمشاركة، والانتقال من «الإعلان» إلى «العلاقة</w:t>
            </w:r>
            <w:r w:rsidRPr="00B301AD">
              <w:t xml:space="preserve">». </w:t>
            </w:r>
            <w:r w:rsidRPr="00B301AD">
              <w:rPr>
                <w:b/>
                <w:bCs/>
                <w:rtl/>
              </w:rPr>
              <w:t>نقطة ضعف</w:t>
            </w:r>
            <w:r w:rsidRPr="00B301AD">
              <w:rPr>
                <w:b/>
                <w:bCs/>
              </w:rPr>
              <w:t>:</w:t>
            </w:r>
            <w:r w:rsidRPr="00B301AD">
              <w:t xml:space="preserve"> </w:t>
            </w:r>
            <w:r w:rsidRPr="00B301AD">
              <w:rPr>
                <w:rtl/>
              </w:rPr>
              <w:t>كثافة الإطار النظري قد تجعل القراءة صعبة إذا لم يُدعَم برسومات/خرائط مفاهيمية؛ كما أن بعض المفاهيم المأخوذة من الأدبيات الأجنبية يمكن توثيقها وإحالتها بشكل أوضح في المتن</w:t>
            </w:r>
            <w:r w:rsidRPr="00B301AD">
              <w:t xml:space="preserve">. </w:t>
            </w:r>
            <w:r w:rsidRPr="00B301AD">
              <w:rPr>
                <w:b/>
                <w:bCs/>
                <w:rtl/>
              </w:rPr>
              <w:t>مقترح تطوير</w:t>
            </w:r>
            <w:r w:rsidRPr="00B301AD">
              <w:rPr>
                <w:b/>
                <w:bCs/>
              </w:rPr>
              <w:t>:</w:t>
            </w:r>
            <w:r w:rsidRPr="00B301AD">
              <w:t xml:space="preserve"> </w:t>
            </w:r>
            <w:r w:rsidRPr="00B301AD">
              <w:rPr>
                <w:rtl/>
              </w:rPr>
              <w:t>إضافة مخطط أو نموذج مفاهيمي يوضح مسار الأثر من التخطيط الاتصالي إلى المواطنة، مع إحالات داخلية أوضح (سنة/اسم الباحث) عند عرض كل مفهوم رئيس</w:t>
            </w:r>
            <w:r w:rsidRPr="00B301AD">
              <w:t>.</w:t>
            </w:r>
            <w:r w:rsidR="00D64AC6">
              <w:rPr>
                <w:rFonts w:hint="cs"/>
                <w:rtl/>
              </w:rPr>
              <w:t xml:space="preserve">يجب توثيق </w:t>
            </w:r>
            <w:r w:rsidR="00EF7BD5">
              <w:rPr>
                <w:rFonts w:hint="cs"/>
                <w:rtl/>
              </w:rPr>
              <w:t>وفقا لقواعد</w:t>
            </w:r>
            <w:r w:rsidR="00EF7BD5">
              <w:t>APA</w:t>
            </w:r>
          </w:p>
        </w:tc>
      </w:tr>
      <w:tr w:rsidR="0034462E" w:rsidRPr="00E97D90" w14:paraId="4E69D530" w14:textId="77777777" w:rsidTr="005C37CB">
        <w:trPr>
          <w:trHeight w:val="574"/>
        </w:trPr>
        <w:tc>
          <w:tcPr>
            <w:tcW w:w="3822" w:type="dxa"/>
            <w:shd w:val="clear" w:color="auto" w:fill="EEECE1" w:themeFill="background2"/>
            <w:vAlign w:val="center"/>
          </w:tcPr>
          <w:p w14:paraId="004A44E3"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Theoretical Premises of Study</w:t>
            </w:r>
          </w:p>
        </w:tc>
        <w:tc>
          <w:tcPr>
            <w:tcW w:w="1123" w:type="dxa"/>
            <w:vAlign w:val="center"/>
          </w:tcPr>
          <w:p w14:paraId="3C4178AE" w14:textId="77C31543" w:rsidR="0034462E" w:rsidRPr="00E97D90" w:rsidRDefault="0034462E" w:rsidP="00CA563C">
            <w:pPr>
              <w:bidi/>
              <w:rPr>
                <w:rFonts w:asciiTheme="majorBidi" w:hAnsiTheme="majorBidi" w:cstheme="majorBidi"/>
                <w:sz w:val="24"/>
                <w:szCs w:val="24"/>
              </w:rPr>
            </w:pPr>
          </w:p>
        </w:tc>
        <w:tc>
          <w:tcPr>
            <w:tcW w:w="1003" w:type="dxa"/>
            <w:vAlign w:val="center"/>
          </w:tcPr>
          <w:p w14:paraId="36BF783D"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6A7499E5" w14:textId="219B9D9D"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640C8F3" w14:textId="3C51805A" w:rsidR="0034462E" w:rsidRPr="00E97D90" w:rsidRDefault="0034462E" w:rsidP="00CA563C">
            <w:pPr>
              <w:bidi/>
              <w:rPr>
                <w:rFonts w:asciiTheme="majorBidi" w:hAnsiTheme="majorBidi" w:cstheme="majorBidi"/>
                <w:sz w:val="24"/>
                <w:szCs w:val="24"/>
                <w:lang w:bidi="ar-EG"/>
              </w:rPr>
            </w:pPr>
            <w:r w:rsidRPr="00B301AD">
              <w:rPr>
                <w:b/>
                <w:bCs/>
                <w:rtl/>
              </w:rPr>
              <w:t>التقييم</w:t>
            </w:r>
            <w:r w:rsidRPr="00B301AD">
              <w:rPr>
                <w:b/>
                <w:bCs/>
              </w:rPr>
              <w:t>:</w:t>
            </w:r>
            <w:r w:rsidRPr="00B301AD">
              <w:t xml:space="preserve"> </w:t>
            </w:r>
            <w:r w:rsidRPr="00B301AD">
              <w:rPr>
                <w:rtl/>
              </w:rPr>
              <w:t>قسم الدراسات السابقة منظم، ويعرض أعمالًا حديثة في مجالات: المواطنة، المشاركة المدنية، العلامة الوطنية، الفعاليات الكبرى، شبكات العلاقات، التفاعل الرقمي، مع تعقيب جيد يبرز أوجه الاتفاق (أهمية التفاعل، الثقة، المشاركة) وأوجه القصور (قلة التركيز على الفعاليات الوطنية السعودية كمجال متكامل للعلاقات العامة والمواطنة)</w:t>
            </w:r>
            <w:r w:rsidRPr="00B301AD">
              <w:t xml:space="preserve">. </w:t>
            </w:r>
            <w:r w:rsidRPr="00B301AD">
              <w:rPr>
                <w:b/>
                <w:bCs/>
                <w:rtl/>
              </w:rPr>
              <w:t>نقطة قوة</w:t>
            </w:r>
            <w:r w:rsidRPr="00B301AD">
              <w:rPr>
                <w:b/>
                <w:bCs/>
              </w:rPr>
              <w:t>:</w:t>
            </w:r>
            <w:r w:rsidRPr="00B301AD">
              <w:t xml:space="preserve"> </w:t>
            </w:r>
            <w:r w:rsidRPr="00B301AD">
              <w:rPr>
                <w:rtl/>
              </w:rPr>
              <w:t>اختيار مراجع حديثة ومتخصصة في العلاقات العامة والعلامة الوطنية والمواطنة، مع محاولة بناء جسر بينها وبين السياق السعودي</w:t>
            </w:r>
            <w:r w:rsidRPr="00B301AD">
              <w:t xml:space="preserve">. </w:t>
            </w:r>
            <w:r w:rsidRPr="00B301AD">
              <w:rPr>
                <w:b/>
                <w:bCs/>
                <w:rtl/>
              </w:rPr>
              <w:t>نقطة ضعف</w:t>
            </w:r>
            <w:r w:rsidRPr="00B301AD">
              <w:rPr>
                <w:b/>
                <w:bCs/>
              </w:rPr>
              <w:t>:</w:t>
            </w:r>
            <w:r w:rsidRPr="00B301AD">
              <w:t xml:space="preserve"> </w:t>
            </w:r>
            <w:r w:rsidRPr="00B301AD">
              <w:rPr>
                <w:rtl/>
              </w:rPr>
              <w:t>يمكن توسيع حضور بعض الدراسات العربية أو الخليجية – إن وُجدت – لتعزيز ملاءمة الإطار مع البيئة المحلية، وتوضيح أكثر منهجية التفريق بين ما قدمته هذه الدراسات وما ستقدمه الدراسة الحالية</w:t>
            </w:r>
            <w:r w:rsidRPr="00B301AD">
              <w:t xml:space="preserve">. </w:t>
            </w:r>
            <w:r w:rsidRPr="00B301AD">
              <w:rPr>
                <w:b/>
                <w:bCs/>
                <w:rtl/>
              </w:rPr>
              <w:t>مقترح تطوير</w:t>
            </w:r>
            <w:r w:rsidRPr="00B301AD">
              <w:rPr>
                <w:b/>
                <w:bCs/>
              </w:rPr>
              <w:t>:</w:t>
            </w:r>
            <w:r w:rsidRPr="00B301AD">
              <w:t xml:space="preserve"> </w:t>
            </w:r>
            <w:r w:rsidRPr="00B301AD">
              <w:rPr>
                <w:rtl/>
              </w:rPr>
              <w:t>إضافة جدول أو فقرة مقارنة تُلخّص لكل دراسة: الهدف، المنهج، النتائج، وحدودها، ثم تختتم بصياغة مركزة للفجوة البحثية التي تملؤها هذه الرسالة</w:t>
            </w:r>
            <w:r w:rsidRPr="00B301AD">
              <w:t>.</w:t>
            </w:r>
          </w:p>
        </w:tc>
      </w:tr>
      <w:tr w:rsidR="0034462E" w:rsidRPr="00E97D90" w14:paraId="58CBC7E9" w14:textId="77777777" w:rsidTr="005C37CB">
        <w:trPr>
          <w:trHeight w:val="533"/>
        </w:trPr>
        <w:tc>
          <w:tcPr>
            <w:tcW w:w="3822" w:type="dxa"/>
            <w:shd w:val="clear" w:color="auto" w:fill="EEECE1" w:themeFill="background2"/>
            <w:vAlign w:val="center"/>
          </w:tcPr>
          <w:p w14:paraId="4D247425"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Research Methodology</w:t>
            </w:r>
          </w:p>
        </w:tc>
        <w:tc>
          <w:tcPr>
            <w:tcW w:w="1123" w:type="dxa"/>
            <w:vAlign w:val="center"/>
          </w:tcPr>
          <w:p w14:paraId="0A8883E4" w14:textId="7704BEEE" w:rsidR="0034462E" w:rsidRPr="00E97D90" w:rsidRDefault="0034462E" w:rsidP="00CA563C">
            <w:pPr>
              <w:bidi/>
              <w:rPr>
                <w:rFonts w:asciiTheme="majorBidi" w:hAnsiTheme="majorBidi" w:cstheme="majorBidi"/>
                <w:sz w:val="24"/>
                <w:szCs w:val="24"/>
              </w:rPr>
            </w:pPr>
          </w:p>
        </w:tc>
        <w:tc>
          <w:tcPr>
            <w:tcW w:w="1003" w:type="dxa"/>
            <w:vAlign w:val="center"/>
          </w:tcPr>
          <w:p w14:paraId="32386A24"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394CB647" w14:textId="6BB7F20A"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4EF99B68" w14:textId="6216ECE8" w:rsidR="0034462E" w:rsidRPr="00E97D90" w:rsidRDefault="0034462E" w:rsidP="00CA563C">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المنهجية نوعية/وصفية تحليلية، تعتمد تحليل مضمون/محتوى مقصود لوثائق ومنصات سعودية رسمية متصلة باليوم الوطني ويوم التأسيس والثقافة والترفيه، خلال الفترة 2021–2026، باستخدام بطاقة تحليل محددة المحاور</w:t>
            </w:r>
            <w:r w:rsidRPr="00B301AD">
              <w:t xml:space="preserve">. </w:t>
            </w:r>
            <w:r w:rsidRPr="00B301AD">
              <w:rPr>
                <w:b/>
                <w:bCs/>
                <w:rtl/>
              </w:rPr>
              <w:t>نقطة قوة</w:t>
            </w:r>
            <w:r w:rsidRPr="00B301AD">
              <w:rPr>
                <w:b/>
                <w:bCs/>
              </w:rPr>
              <w:t>:</w:t>
            </w:r>
            <w:r w:rsidRPr="00B301AD">
              <w:t xml:space="preserve"> </w:t>
            </w:r>
            <w:r w:rsidRPr="00B301AD">
              <w:rPr>
                <w:rtl/>
              </w:rPr>
              <w:t>نوع المنهج متسق مع طبيعة الأسئلة المفاهيمية والتركيز على الرسائل والخطاب والتمثيل، واختيار الفترة الزمنية مناسب للتطور الأخير في الفعاليات الوطنية</w:t>
            </w:r>
            <w:r w:rsidRPr="00B301AD">
              <w:t xml:space="preserve">. </w:t>
            </w:r>
            <w:r w:rsidRPr="00B301AD">
              <w:rPr>
                <w:b/>
                <w:bCs/>
                <w:rtl/>
              </w:rPr>
              <w:t>نقطة ضعف</w:t>
            </w:r>
            <w:r w:rsidRPr="00B301AD">
              <w:rPr>
                <w:b/>
                <w:bCs/>
              </w:rPr>
              <w:t>:</w:t>
            </w:r>
            <w:r w:rsidRPr="00B301AD">
              <w:t xml:space="preserve"> </w:t>
            </w:r>
            <w:r w:rsidRPr="00B301AD">
              <w:rPr>
                <w:rtl/>
              </w:rPr>
              <w:t>ما زالت معايير اختيار عينة المنصات والوثائق بحاجة إلى مزيد من التحديد (عدد المنصات، نوع كل منصة، المعايير الدقيقة للانتقاء)، وكذلك آلية ضمان «التمثيل» للتنوع في الفعاليات</w:t>
            </w:r>
            <w:r w:rsidRPr="00B301AD">
              <w:t xml:space="preserve">. </w:t>
            </w:r>
            <w:r w:rsidRPr="00B301AD">
              <w:rPr>
                <w:b/>
                <w:bCs/>
                <w:rtl/>
              </w:rPr>
              <w:t>مقترح تطوير</w:t>
            </w:r>
            <w:r w:rsidRPr="00B301AD">
              <w:rPr>
                <w:b/>
                <w:bCs/>
              </w:rPr>
              <w:t>:</w:t>
            </w:r>
            <w:r w:rsidRPr="00B301AD">
              <w:t xml:space="preserve"> </w:t>
            </w:r>
            <w:r w:rsidRPr="00B301AD">
              <w:rPr>
                <w:rtl/>
              </w:rPr>
              <w:t xml:space="preserve">إضافة توصيف كمي/نوعي لعينة التحليل (عدد الوثائق/المنصات، أنواعها، معايير </w:t>
            </w:r>
            <w:r w:rsidRPr="00B301AD">
              <w:rPr>
                <w:rtl/>
              </w:rPr>
              <w:lastRenderedPageBreak/>
              <w:t>تضمين/استبعاد)، وبيان كيف سيُضمن التوازن بين أنواع الفعاليات والمناطق والمناسبات</w:t>
            </w:r>
            <w:r w:rsidRPr="00B301AD">
              <w:t>.</w:t>
            </w:r>
          </w:p>
        </w:tc>
      </w:tr>
      <w:tr w:rsidR="0034462E" w:rsidRPr="00E97D90" w14:paraId="3D41E8ED" w14:textId="77777777" w:rsidTr="005C37CB">
        <w:trPr>
          <w:trHeight w:val="453"/>
        </w:trPr>
        <w:tc>
          <w:tcPr>
            <w:tcW w:w="3822" w:type="dxa"/>
            <w:shd w:val="clear" w:color="auto" w:fill="EEECE1" w:themeFill="background2"/>
            <w:vAlign w:val="center"/>
          </w:tcPr>
          <w:p w14:paraId="1CC11B66"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lastRenderedPageBreak/>
              <w:t>Study Tools</w:t>
            </w:r>
          </w:p>
        </w:tc>
        <w:tc>
          <w:tcPr>
            <w:tcW w:w="1123" w:type="dxa"/>
            <w:vAlign w:val="center"/>
          </w:tcPr>
          <w:p w14:paraId="3744E528" w14:textId="0C1DAAE6" w:rsidR="0034462E" w:rsidRPr="00E97D90" w:rsidRDefault="0034462E" w:rsidP="00CA563C">
            <w:pPr>
              <w:bidi/>
              <w:rPr>
                <w:rFonts w:asciiTheme="majorBidi" w:hAnsiTheme="majorBidi" w:cstheme="majorBidi"/>
                <w:sz w:val="24"/>
                <w:szCs w:val="24"/>
              </w:rPr>
            </w:pPr>
          </w:p>
        </w:tc>
        <w:tc>
          <w:tcPr>
            <w:tcW w:w="1003" w:type="dxa"/>
            <w:vAlign w:val="center"/>
          </w:tcPr>
          <w:p w14:paraId="691805D9"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59A53943" w14:textId="0ACD5682"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32929A9B" w14:textId="15C4729F" w:rsidR="0034462E" w:rsidRPr="00E97D90" w:rsidRDefault="0034462E" w:rsidP="00CA563C">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الأداة الرئيسة هي «بطاقة تحليل» تتضمن محاور واضحة مثل: وضوح الهدف والجمهور، جودة السرد الوطني، تكامل القنوات، مستوى التفاعل والمشاركة، المصداقية، الشمول، مؤشرات الأثر، وأبعاد المواطنة؛ مع وصف مبدئي لكيفية استخدامها</w:t>
            </w:r>
            <w:r w:rsidRPr="00B301AD">
              <w:t xml:space="preserve">. </w:t>
            </w:r>
            <w:r w:rsidRPr="00B301AD">
              <w:rPr>
                <w:b/>
                <w:bCs/>
                <w:rtl/>
              </w:rPr>
              <w:t>نقطة قوة</w:t>
            </w:r>
            <w:r w:rsidRPr="00B301AD">
              <w:rPr>
                <w:b/>
                <w:bCs/>
              </w:rPr>
              <w:t>:</w:t>
            </w:r>
            <w:r w:rsidRPr="00B301AD">
              <w:t xml:space="preserve"> </w:t>
            </w:r>
            <w:r w:rsidRPr="00B301AD">
              <w:rPr>
                <w:rtl/>
              </w:rPr>
              <w:t>تصميم بطاقة تحليل متعددة الأبعاد يتيح تحويل المفاهيم النظرية (التخطيط، السرد، التفاعل، المواطنة) إلى مؤشرات عملية قابلة للرصد والمقارنة</w:t>
            </w:r>
            <w:r w:rsidRPr="00B301AD">
              <w:t xml:space="preserve">. </w:t>
            </w:r>
            <w:r w:rsidRPr="00B301AD">
              <w:rPr>
                <w:b/>
                <w:bCs/>
                <w:rtl/>
              </w:rPr>
              <w:t>نقطة ضعف</w:t>
            </w:r>
            <w:r w:rsidRPr="00B301AD">
              <w:rPr>
                <w:b/>
                <w:bCs/>
              </w:rPr>
              <w:t>:</w:t>
            </w:r>
            <w:r w:rsidRPr="00B301AD">
              <w:t xml:space="preserve"> </w:t>
            </w:r>
            <w:r w:rsidRPr="00B301AD">
              <w:rPr>
                <w:rtl/>
              </w:rPr>
              <w:t>لم تُعرض بعد أمثلة لبنود البطاقة وطريقة الترميز (مقاييس رقمية/فئات وصفية)، ولا آلية التحقق من صدقها وثبات استخدامها بين محلل وآخر</w:t>
            </w:r>
            <w:r w:rsidRPr="00B301AD">
              <w:t xml:space="preserve">. </w:t>
            </w:r>
            <w:r w:rsidRPr="00B301AD">
              <w:rPr>
                <w:b/>
                <w:bCs/>
                <w:rtl/>
              </w:rPr>
              <w:t>مقترح تطوير</w:t>
            </w:r>
            <w:r w:rsidRPr="00B301AD">
              <w:rPr>
                <w:b/>
                <w:bCs/>
              </w:rPr>
              <w:t>:</w:t>
            </w:r>
            <w:r w:rsidRPr="00B301AD">
              <w:t xml:space="preserve"> </w:t>
            </w:r>
            <w:r w:rsidRPr="00B301AD">
              <w:rPr>
                <w:rtl/>
              </w:rPr>
              <w:t>عرض نموذج مبسط للبطاقة في الملحق، مع شرح لنظام الترميز (مثلاً: مقياس 1–5 لكل بُعد، أو فئات وصفية محددة)، وتوضيح خطة تحكيم البطاقة وتجريبها على عينة صغيرة قبل التطبيق الكامل</w:t>
            </w:r>
            <w:r w:rsidRPr="00B301AD">
              <w:t>.</w:t>
            </w:r>
          </w:p>
        </w:tc>
      </w:tr>
      <w:tr w:rsidR="0034462E" w:rsidRPr="00E97D90" w14:paraId="47D83E04" w14:textId="77777777" w:rsidTr="005C37CB">
        <w:trPr>
          <w:trHeight w:val="453"/>
        </w:trPr>
        <w:tc>
          <w:tcPr>
            <w:tcW w:w="3822" w:type="dxa"/>
            <w:shd w:val="clear" w:color="auto" w:fill="EEECE1" w:themeFill="background2"/>
            <w:vAlign w:val="center"/>
          </w:tcPr>
          <w:p w14:paraId="2491A3EA"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Fields of Study</w:t>
            </w:r>
          </w:p>
        </w:tc>
        <w:tc>
          <w:tcPr>
            <w:tcW w:w="1123" w:type="dxa"/>
            <w:vAlign w:val="center"/>
          </w:tcPr>
          <w:p w14:paraId="024A1D5B" w14:textId="6931E589" w:rsidR="0034462E" w:rsidRPr="00E97D90" w:rsidRDefault="0034462E" w:rsidP="00CA563C">
            <w:pPr>
              <w:bidi/>
              <w:rPr>
                <w:rFonts w:asciiTheme="majorBidi" w:hAnsiTheme="majorBidi" w:cstheme="majorBidi"/>
                <w:sz w:val="24"/>
                <w:szCs w:val="24"/>
              </w:rPr>
            </w:pPr>
          </w:p>
        </w:tc>
        <w:tc>
          <w:tcPr>
            <w:tcW w:w="1003" w:type="dxa"/>
            <w:vAlign w:val="center"/>
          </w:tcPr>
          <w:p w14:paraId="7054DB43"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026C83D2" w14:textId="027C69DC"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1809B7AE" w14:textId="100ECB5F" w:rsidR="0034462E" w:rsidRPr="00E97D90" w:rsidRDefault="0034462E" w:rsidP="00CA563C">
            <w:pPr>
              <w:bidi/>
              <w:rPr>
                <w:rFonts w:asciiTheme="majorBidi" w:hAnsiTheme="majorBidi" w:cstheme="majorBidi"/>
                <w:sz w:val="24"/>
                <w:szCs w:val="24"/>
              </w:rPr>
            </w:pPr>
            <w:r w:rsidRPr="00B301AD">
              <w:rPr>
                <w:b/>
                <w:bCs/>
                <w:rtl/>
              </w:rPr>
              <w:t>التقييم</w:t>
            </w:r>
            <w:r w:rsidRPr="00B301AD">
              <w:rPr>
                <w:b/>
                <w:bCs/>
              </w:rPr>
              <w:t>:</w:t>
            </w:r>
            <w:r w:rsidRPr="00B301AD">
              <w:t xml:space="preserve"> </w:t>
            </w:r>
            <w:r w:rsidRPr="00B301AD">
              <w:rPr>
                <w:rtl/>
              </w:rPr>
              <w:t>حدود الدراسة محددة: موضوعيًا (دور العلاقات العامة في ترويج الفعاليات الوطنية وأثره في المواطنة)، مكانيًا (المملكة العربية السعودية)، زمانيًا (الفترة من 2021 إلى 2026)، ومصدرًا (الوثائق والمنصات الرسمية السعودية ذات الصلة)</w:t>
            </w:r>
            <w:r w:rsidRPr="00B301AD">
              <w:t xml:space="preserve">. </w:t>
            </w:r>
            <w:r w:rsidRPr="00B301AD">
              <w:rPr>
                <w:b/>
                <w:bCs/>
                <w:rtl/>
              </w:rPr>
              <w:t>نقطة قوة</w:t>
            </w:r>
            <w:r w:rsidRPr="00B301AD">
              <w:rPr>
                <w:b/>
                <w:bCs/>
              </w:rPr>
              <w:t>:</w:t>
            </w:r>
            <w:r w:rsidRPr="00B301AD">
              <w:t xml:space="preserve"> </w:t>
            </w:r>
            <w:r w:rsidRPr="00B301AD">
              <w:rPr>
                <w:rtl/>
              </w:rPr>
              <w:t>هذه الحدود تضبط نطاق الدراسة وتجعله منسجمًا مع الهدف والمنهج، وتوضح أن التركيز على «المصادر الرسمية» جزء من تصميم البحث</w:t>
            </w:r>
            <w:r w:rsidRPr="00B301AD">
              <w:t xml:space="preserve">. </w:t>
            </w:r>
            <w:r w:rsidRPr="00B301AD">
              <w:rPr>
                <w:b/>
                <w:bCs/>
                <w:rtl/>
              </w:rPr>
              <w:t>نقطة ضعف</w:t>
            </w:r>
            <w:r w:rsidRPr="00B301AD">
              <w:rPr>
                <w:b/>
                <w:bCs/>
              </w:rPr>
              <w:t>:</w:t>
            </w:r>
            <w:r w:rsidRPr="00B301AD">
              <w:t xml:space="preserve"> </w:t>
            </w:r>
            <w:r w:rsidRPr="00B301AD">
              <w:rPr>
                <w:rtl/>
              </w:rPr>
              <w:t>لم تُذكر بوضوح أي حدود تتعلق بنوع الجمهور المستهدف في التحليل (الجماهير الداخلية/الخارجية)، ولا إن كان سيتم استبعاد المحتوى غير الرسمي (حسابات الأفراد، المؤثرين)</w:t>
            </w:r>
            <w:r w:rsidRPr="00B301AD">
              <w:t xml:space="preserve">. </w:t>
            </w:r>
            <w:r w:rsidRPr="00B301AD">
              <w:rPr>
                <w:b/>
                <w:bCs/>
                <w:rtl/>
              </w:rPr>
              <w:t>مقترح تطوير</w:t>
            </w:r>
            <w:r w:rsidRPr="00B301AD">
              <w:rPr>
                <w:b/>
                <w:bCs/>
              </w:rPr>
              <w:t>:</w:t>
            </w:r>
            <w:r w:rsidRPr="00B301AD">
              <w:t xml:space="preserve"> </w:t>
            </w:r>
            <w:r w:rsidRPr="00B301AD">
              <w:rPr>
                <w:rtl/>
              </w:rPr>
              <w:t>إضافة سطرين يوضّحان بدقة: أنواع المنصات (وزارات، هيئات، منصات فعاليات)، ونطاق المحتوى المشمول (رسمي فقط/مع محتوى جماهيري منتخب)، لتوضيح إطار التحليل</w:t>
            </w:r>
            <w:r w:rsidRPr="00B301AD">
              <w:t>.</w:t>
            </w:r>
          </w:p>
        </w:tc>
      </w:tr>
      <w:tr w:rsidR="0034462E" w:rsidRPr="00E97D90" w14:paraId="3A1E1457" w14:textId="77777777" w:rsidTr="005C37CB">
        <w:trPr>
          <w:trHeight w:val="884"/>
        </w:trPr>
        <w:tc>
          <w:tcPr>
            <w:tcW w:w="3822" w:type="dxa"/>
            <w:shd w:val="clear" w:color="auto" w:fill="EEECE1" w:themeFill="background2"/>
            <w:vAlign w:val="center"/>
          </w:tcPr>
          <w:p w14:paraId="3ED53708" w14:textId="77777777" w:rsidR="0034462E" w:rsidRPr="00E97D90" w:rsidRDefault="0034462E" w:rsidP="0034462E">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List of The References and Preliminary Resources</w:t>
            </w:r>
          </w:p>
        </w:tc>
        <w:tc>
          <w:tcPr>
            <w:tcW w:w="1123" w:type="dxa"/>
            <w:vAlign w:val="center"/>
          </w:tcPr>
          <w:p w14:paraId="14ACF76A" w14:textId="08F50E05" w:rsidR="0034462E" w:rsidRPr="00E97D90" w:rsidRDefault="0034462E" w:rsidP="00CA563C">
            <w:pPr>
              <w:bidi/>
              <w:rPr>
                <w:rFonts w:asciiTheme="majorBidi" w:hAnsiTheme="majorBidi" w:cstheme="majorBidi"/>
                <w:sz w:val="24"/>
                <w:szCs w:val="24"/>
              </w:rPr>
            </w:pPr>
          </w:p>
        </w:tc>
        <w:tc>
          <w:tcPr>
            <w:tcW w:w="1003" w:type="dxa"/>
            <w:vAlign w:val="center"/>
          </w:tcPr>
          <w:p w14:paraId="4A9C5840" w14:textId="77777777" w:rsidR="0034462E" w:rsidRPr="00E97D90" w:rsidRDefault="0034462E" w:rsidP="00CA563C">
            <w:pPr>
              <w:bidi/>
              <w:rPr>
                <w:rFonts w:asciiTheme="majorBidi" w:hAnsiTheme="majorBidi" w:cstheme="majorBidi"/>
                <w:sz w:val="24"/>
                <w:szCs w:val="24"/>
              </w:rPr>
            </w:pPr>
          </w:p>
        </w:tc>
        <w:tc>
          <w:tcPr>
            <w:tcW w:w="1256" w:type="dxa"/>
            <w:vAlign w:val="center"/>
          </w:tcPr>
          <w:p w14:paraId="6AF278AC" w14:textId="3C2796B4" w:rsidR="0034462E" w:rsidRPr="00E97D90" w:rsidRDefault="0034462E" w:rsidP="00CA563C">
            <w:pPr>
              <w:bidi/>
              <w:rPr>
                <w:rFonts w:asciiTheme="majorBidi" w:hAnsiTheme="majorBidi" w:cstheme="majorBidi"/>
                <w:sz w:val="24"/>
                <w:szCs w:val="24"/>
              </w:rPr>
            </w:pPr>
            <w:r w:rsidRPr="00E97D90">
              <w:rPr>
                <w:rFonts w:asciiTheme="majorBidi" w:hAnsiTheme="majorBidi" w:cstheme="majorBidi"/>
                <w:sz w:val="24"/>
                <w:szCs w:val="24"/>
                <w:rtl/>
              </w:rPr>
              <w:t>*</w:t>
            </w:r>
          </w:p>
        </w:tc>
        <w:tc>
          <w:tcPr>
            <w:tcW w:w="3852" w:type="dxa"/>
            <w:tcBorders>
              <w:top w:val="single" w:sz="6" w:space="0" w:color="DDDDDD"/>
              <w:left w:val="single" w:sz="6" w:space="0" w:color="DDDDDD"/>
              <w:bottom w:val="single" w:sz="6" w:space="0" w:color="DDDDDD"/>
              <w:right w:val="single" w:sz="6" w:space="0" w:color="DDDDDD"/>
            </w:tcBorders>
            <w:vAlign w:val="center"/>
          </w:tcPr>
          <w:p w14:paraId="730C4E20" w14:textId="7064EC68" w:rsidR="0034462E" w:rsidRPr="00E97D90" w:rsidRDefault="0034462E" w:rsidP="00CA563C">
            <w:pPr>
              <w:bidi/>
              <w:rPr>
                <w:rFonts w:asciiTheme="majorBidi" w:hAnsiTheme="majorBidi" w:cstheme="majorBidi"/>
                <w:sz w:val="24"/>
                <w:szCs w:val="24"/>
                <w:lang w:bidi="ar-SY"/>
              </w:rPr>
            </w:pPr>
            <w:r w:rsidRPr="00B301AD">
              <w:rPr>
                <w:b/>
                <w:bCs/>
                <w:rtl/>
              </w:rPr>
              <w:t>التقييم</w:t>
            </w:r>
            <w:r w:rsidRPr="00B301AD">
              <w:rPr>
                <w:b/>
                <w:bCs/>
              </w:rPr>
              <w:t>:</w:t>
            </w:r>
            <w:r w:rsidRPr="00B301AD">
              <w:t xml:space="preserve"> </w:t>
            </w:r>
            <w:r w:rsidRPr="00B301AD">
              <w:rPr>
                <w:rtl/>
              </w:rPr>
              <w:t>قائمة المراجع غنية ومتنوعة؛ تشمل وثائق وتقارير سعودية رسمية (رؤية 2030، تقارير الهيئات، منصات الأيام الوطنية) إلى جانب دراسات دولية حديثة في العلاقات العامة، العلامة الوطنية، المواطنة، المشاركة المدنية، والفعاليات الكبرى</w:t>
            </w:r>
            <w:r w:rsidRPr="00B301AD">
              <w:t xml:space="preserve">. </w:t>
            </w:r>
            <w:r w:rsidRPr="00B301AD">
              <w:rPr>
                <w:b/>
                <w:bCs/>
                <w:rtl/>
              </w:rPr>
              <w:t>نقطة قوة</w:t>
            </w:r>
            <w:r w:rsidRPr="00B301AD">
              <w:rPr>
                <w:b/>
                <w:bCs/>
              </w:rPr>
              <w:t>:</w:t>
            </w:r>
            <w:r w:rsidRPr="00B301AD">
              <w:t xml:space="preserve"> </w:t>
            </w:r>
            <w:r w:rsidRPr="00B301AD">
              <w:rPr>
                <w:rtl/>
              </w:rPr>
              <w:t>توظيف مراجع رسمية محلية مع أحدث الأدبيات الدولية يعطي الرسالة عمقًا محليًا وعالميًا في آن واحد</w:t>
            </w:r>
            <w:r w:rsidRPr="00B301AD">
              <w:t xml:space="preserve">. </w:t>
            </w:r>
            <w:r w:rsidRPr="00B301AD">
              <w:rPr>
                <w:b/>
                <w:bCs/>
                <w:rtl/>
              </w:rPr>
              <w:t>نقطة ضعف</w:t>
            </w:r>
            <w:r w:rsidRPr="00B301AD">
              <w:rPr>
                <w:b/>
                <w:bCs/>
              </w:rPr>
              <w:t>:</w:t>
            </w:r>
            <w:r w:rsidRPr="00B301AD">
              <w:t xml:space="preserve"> </w:t>
            </w:r>
            <w:r w:rsidRPr="00B301AD">
              <w:rPr>
                <w:rtl/>
              </w:rPr>
              <w:t>أسلوب التوثيق يحتاج إلى مراجعة طفيفة لتوحيد طريقة كتابة المراجع العربية والإنجليزية</w:t>
            </w:r>
            <w:r w:rsidRPr="00B301AD">
              <w:t xml:space="preserve"> (</w:t>
            </w:r>
            <w:r w:rsidRPr="00B301AD">
              <w:rPr>
                <w:rtl/>
              </w:rPr>
              <w:t>علامات الترقيم، ترتيب العناصر، أسلوب</w:t>
            </w:r>
            <w:r w:rsidRPr="00B301AD">
              <w:t xml:space="preserve"> APA </w:t>
            </w:r>
            <w:r w:rsidRPr="00B301AD">
              <w:rPr>
                <w:rtl/>
              </w:rPr>
              <w:t>أو غيره</w:t>
            </w:r>
            <w:r w:rsidRPr="00B301AD">
              <w:t xml:space="preserve">) </w:t>
            </w:r>
            <w:r w:rsidRPr="00B301AD">
              <w:rPr>
                <w:rtl/>
              </w:rPr>
              <w:t>خاصة في النسخة النهائية</w:t>
            </w:r>
            <w:r w:rsidRPr="00B301AD">
              <w:t xml:space="preserve">. </w:t>
            </w:r>
            <w:r w:rsidRPr="00B301AD">
              <w:rPr>
                <w:b/>
                <w:bCs/>
                <w:rtl/>
              </w:rPr>
              <w:t>مقترح تطوير</w:t>
            </w:r>
            <w:r w:rsidRPr="00B301AD">
              <w:rPr>
                <w:b/>
                <w:bCs/>
              </w:rPr>
              <w:t>:</w:t>
            </w:r>
            <w:r w:rsidRPr="00B301AD">
              <w:t xml:space="preserve"> </w:t>
            </w:r>
            <w:r w:rsidRPr="00B301AD">
              <w:rPr>
                <w:rtl/>
              </w:rPr>
              <w:t>مراجعة التنسيق النهائي لقائمة المراجع وفق نظام توثيق موحّد</w:t>
            </w:r>
            <w:r w:rsidRPr="00B301AD">
              <w:t xml:space="preserve"> (</w:t>
            </w:r>
            <w:r w:rsidRPr="00B301AD">
              <w:rPr>
                <w:rtl/>
              </w:rPr>
              <w:t>مثل</w:t>
            </w:r>
            <w:r w:rsidRPr="00B301AD">
              <w:t xml:space="preserve"> APA7)</w:t>
            </w:r>
            <w:r w:rsidRPr="00B301AD">
              <w:rPr>
                <w:rtl/>
              </w:rPr>
              <w:t>، مع التأكد من تطابق إحالات المتن مع بيانات القائمة</w:t>
            </w:r>
            <w:r w:rsidRPr="00B301AD">
              <w:t>.</w:t>
            </w:r>
          </w:p>
        </w:tc>
      </w:tr>
      <w:tr w:rsidR="006837F1" w:rsidRPr="00E97D90" w14:paraId="718B8A21" w14:textId="77777777" w:rsidTr="005C37CB">
        <w:trPr>
          <w:trHeight w:val="1403"/>
        </w:trPr>
        <w:tc>
          <w:tcPr>
            <w:tcW w:w="3822" w:type="dxa"/>
            <w:shd w:val="clear" w:color="auto" w:fill="EEECE1" w:themeFill="background2"/>
            <w:vAlign w:val="center"/>
          </w:tcPr>
          <w:p w14:paraId="2EFF2B0B" w14:textId="77777777" w:rsidR="006837F1" w:rsidRPr="00E97D90" w:rsidRDefault="006837F1" w:rsidP="00A51982">
            <w:pPr>
              <w:pStyle w:val="ListParagraph"/>
              <w:numPr>
                <w:ilvl w:val="0"/>
                <w:numId w:val="1"/>
              </w:numPr>
              <w:bidi/>
              <w:rPr>
                <w:rFonts w:asciiTheme="majorBidi" w:hAnsiTheme="majorBidi" w:cstheme="majorBidi"/>
                <w:sz w:val="24"/>
                <w:szCs w:val="24"/>
              </w:rPr>
            </w:pPr>
            <w:r w:rsidRPr="00E97D90">
              <w:rPr>
                <w:rFonts w:asciiTheme="majorBidi" w:hAnsiTheme="majorBidi" w:cstheme="majorBidi"/>
                <w:sz w:val="24"/>
                <w:szCs w:val="24"/>
              </w:rPr>
              <w:t>General Comments (Optional)</w:t>
            </w:r>
          </w:p>
        </w:tc>
        <w:tc>
          <w:tcPr>
            <w:tcW w:w="7234" w:type="dxa"/>
            <w:gridSpan w:val="4"/>
            <w:vAlign w:val="center"/>
          </w:tcPr>
          <w:p w14:paraId="0E230BE2" w14:textId="6D36AFE4" w:rsidR="006837F1" w:rsidRPr="009878D8" w:rsidRDefault="00CA563C" w:rsidP="00CA563C">
            <w:pPr>
              <w:bidi/>
              <w:rPr>
                <w:rFonts w:asciiTheme="majorBidi" w:hAnsiTheme="majorBidi" w:cstheme="majorBidi"/>
                <w:sz w:val="24"/>
                <w:szCs w:val="24"/>
                <w:rtl/>
                <w:lang w:bidi="ar-EG"/>
              </w:rPr>
            </w:pPr>
            <w:r w:rsidRPr="00B301AD">
              <w:rPr>
                <w:rtl/>
              </w:rPr>
              <w:t>الخطة/البحث المبدئي متقدم وناضج؛ موضوعه مهم وحديث، وبناؤه النظري والمنهجي متماسك، ويقدم مساهمة حقيقية في فهم دور العلاقات العامة في الفعاليات الوطنية السعودية من منظور المواطنة، مع إطار تطبيقي واضح</w:t>
            </w:r>
            <w:r w:rsidRPr="00B301AD">
              <w:t xml:space="preserve">. </w:t>
            </w:r>
            <w:r w:rsidRPr="00B301AD">
              <w:rPr>
                <w:b/>
                <w:bCs/>
                <w:rtl/>
              </w:rPr>
              <w:t>نقطة قوة</w:t>
            </w:r>
            <w:r w:rsidRPr="00B301AD">
              <w:rPr>
                <w:b/>
                <w:bCs/>
              </w:rPr>
              <w:t>:</w:t>
            </w:r>
            <w:r w:rsidRPr="00B301AD">
              <w:t xml:space="preserve"> </w:t>
            </w:r>
            <w:r w:rsidRPr="00B301AD">
              <w:rPr>
                <w:rtl/>
              </w:rPr>
              <w:t>تميّز الموضوع، والعمق النظري، وحداثة المراجع، وترابط المشكلة مع الأهداف والأسئلة والمنهج والأداة؛ تجعل هذه الرسالة مرشحة لتكون عملًا نوعيًا مرجعيًا في مجال العلاقات العامة الوطنية</w:t>
            </w:r>
            <w:r w:rsidRPr="00B301AD">
              <w:t xml:space="preserve">. </w:t>
            </w:r>
            <w:r w:rsidRPr="00B301AD">
              <w:rPr>
                <w:b/>
                <w:bCs/>
                <w:rtl/>
              </w:rPr>
              <w:t>نقطة ضعف</w:t>
            </w:r>
            <w:r w:rsidRPr="00B301AD">
              <w:rPr>
                <w:b/>
                <w:bCs/>
              </w:rPr>
              <w:t>:</w:t>
            </w:r>
            <w:r w:rsidRPr="00B301AD">
              <w:t xml:space="preserve"> </w:t>
            </w:r>
            <w:r w:rsidRPr="00B301AD">
              <w:rPr>
                <w:rtl/>
              </w:rPr>
              <w:t xml:space="preserve">تحتاج النسخة النهائية إلى مزيد من الضبط في عرض تفاصيل العينة وأداة التحليل وآلية اختبار الفرضيات نوعيًا، وإظهار الفجوة البحثية في فقرة مركّزة يسهل </w:t>
            </w:r>
            <w:r w:rsidRPr="00B301AD">
              <w:rPr>
                <w:rtl/>
              </w:rPr>
              <w:lastRenderedPageBreak/>
              <w:t>اقتباسها</w:t>
            </w:r>
            <w:r w:rsidRPr="00B301AD">
              <w:t xml:space="preserve">. </w:t>
            </w:r>
            <w:r w:rsidRPr="00B301AD">
              <w:rPr>
                <w:b/>
                <w:bCs/>
                <w:rtl/>
              </w:rPr>
              <w:t>مقترح تطوير</w:t>
            </w:r>
            <w:r w:rsidRPr="00B301AD">
              <w:rPr>
                <w:b/>
                <w:bCs/>
              </w:rPr>
              <w:t>:</w:t>
            </w:r>
            <w:r w:rsidRPr="00B301AD">
              <w:t xml:space="preserve"> </w:t>
            </w:r>
            <w:r w:rsidRPr="00B301AD">
              <w:rPr>
                <w:rtl/>
              </w:rPr>
              <w:t>عند تحويل هذه الخطة إلى مسودة نهائية، يُستحسن: استكمال وصف المنهج والأداة والعينة؛ إضافة مخطط مفاهيمي لمسار الأثر؛ وتحسين توحيد التوثيق؛ لتكون الرسالة جاهزة للتحكيم الأكاديمي والنشر</w:t>
            </w:r>
            <w:r w:rsidRPr="00B301AD">
              <w:t>.</w:t>
            </w:r>
          </w:p>
        </w:tc>
      </w:tr>
    </w:tbl>
    <w:p w14:paraId="113F1A90" w14:textId="77777777" w:rsidR="00846C7F" w:rsidRPr="00E97D90" w:rsidRDefault="00EA22ED" w:rsidP="00A51982">
      <w:pPr>
        <w:bidi/>
        <w:rPr>
          <w:rFonts w:asciiTheme="majorBidi" w:hAnsiTheme="majorBidi" w:cstheme="majorBidi"/>
          <w:sz w:val="24"/>
          <w:szCs w:val="24"/>
        </w:rPr>
      </w:pPr>
      <w:r w:rsidRPr="00E97D90">
        <w:rPr>
          <w:rFonts w:asciiTheme="majorBidi" w:hAnsiTheme="majorBidi" w:cstheme="majorBidi"/>
          <w:noProof/>
          <w:sz w:val="24"/>
          <w:szCs w:val="24"/>
        </w:rPr>
        <w:lastRenderedPageBreak/>
        <w:drawing>
          <wp:anchor distT="0" distB="0" distL="114300" distR="114300" simplePos="0" relativeHeight="251659264" behindDoc="0" locked="0" layoutInCell="1" allowOverlap="1" wp14:anchorId="3CEAC27B" wp14:editId="5D52C506">
            <wp:simplePos x="0" y="0"/>
            <wp:positionH relativeFrom="margin">
              <wp:posOffset>5426710</wp:posOffset>
            </wp:positionH>
            <wp:positionV relativeFrom="margin">
              <wp:posOffset>275616</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RPr="00E97D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B024D0"/>
    <w:multiLevelType w:val="hybridMultilevel"/>
    <w:tmpl w:val="A868140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1" w15:restartNumberingAfterBreak="0">
    <w:nsid w:val="2BCA131C"/>
    <w:multiLevelType w:val="multilevel"/>
    <w:tmpl w:val="A4A8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9876C6"/>
    <w:multiLevelType w:val="multilevel"/>
    <w:tmpl w:val="AB102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AC0A24"/>
    <w:multiLevelType w:val="multilevel"/>
    <w:tmpl w:val="63C2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257A"/>
    <w:multiLevelType w:val="multilevel"/>
    <w:tmpl w:val="020A9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DE5B82"/>
    <w:multiLevelType w:val="hybridMultilevel"/>
    <w:tmpl w:val="ED6A8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4944951">
    <w:abstractNumId w:val="3"/>
  </w:num>
  <w:num w:numId="2" w16cid:durableId="2089962515">
    <w:abstractNumId w:val="4"/>
  </w:num>
  <w:num w:numId="3" w16cid:durableId="2083289215">
    <w:abstractNumId w:val="1"/>
  </w:num>
  <w:num w:numId="4" w16cid:durableId="303580148">
    <w:abstractNumId w:val="2"/>
  </w:num>
  <w:num w:numId="5" w16cid:durableId="1979142386">
    <w:abstractNumId w:val="0"/>
  </w:num>
  <w:num w:numId="6" w16cid:durableId="325744750">
    <w:abstractNumId w:val="6"/>
  </w:num>
  <w:num w:numId="7" w16cid:durableId="9823493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044C2"/>
    <w:rsid w:val="0002285F"/>
    <w:rsid w:val="00042048"/>
    <w:rsid w:val="00044E78"/>
    <w:rsid w:val="00051A54"/>
    <w:rsid w:val="00052246"/>
    <w:rsid w:val="000558DB"/>
    <w:rsid w:val="000752A2"/>
    <w:rsid w:val="000A17F9"/>
    <w:rsid w:val="000B5645"/>
    <w:rsid w:val="000C0B19"/>
    <w:rsid w:val="000F19BA"/>
    <w:rsid w:val="001046F1"/>
    <w:rsid w:val="001059A7"/>
    <w:rsid w:val="001113C7"/>
    <w:rsid w:val="00111601"/>
    <w:rsid w:val="00111952"/>
    <w:rsid w:val="00113AAD"/>
    <w:rsid w:val="00140032"/>
    <w:rsid w:val="00143BB3"/>
    <w:rsid w:val="00156FFD"/>
    <w:rsid w:val="00173184"/>
    <w:rsid w:val="001741C7"/>
    <w:rsid w:val="00177708"/>
    <w:rsid w:val="001A4068"/>
    <w:rsid w:val="001A52BE"/>
    <w:rsid w:val="001A66A5"/>
    <w:rsid w:val="001C558A"/>
    <w:rsid w:val="001C7A74"/>
    <w:rsid w:val="001D19DA"/>
    <w:rsid w:val="001E1839"/>
    <w:rsid w:val="001E3E4F"/>
    <w:rsid w:val="001E5635"/>
    <w:rsid w:val="00201FB0"/>
    <w:rsid w:val="00203058"/>
    <w:rsid w:val="00207574"/>
    <w:rsid w:val="0029051C"/>
    <w:rsid w:val="0029569B"/>
    <w:rsid w:val="002D36E5"/>
    <w:rsid w:val="002E3034"/>
    <w:rsid w:val="002F25F3"/>
    <w:rsid w:val="00322349"/>
    <w:rsid w:val="0034462E"/>
    <w:rsid w:val="00376F09"/>
    <w:rsid w:val="0038605F"/>
    <w:rsid w:val="00391D31"/>
    <w:rsid w:val="003A1818"/>
    <w:rsid w:val="003C2E22"/>
    <w:rsid w:val="003C5249"/>
    <w:rsid w:val="003D45C5"/>
    <w:rsid w:val="003E7851"/>
    <w:rsid w:val="003F37CB"/>
    <w:rsid w:val="00403EC4"/>
    <w:rsid w:val="00420CED"/>
    <w:rsid w:val="00433632"/>
    <w:rsid w:val="00453248"/>
    <w:rsid w:val="00481B6A"/>
    <w:rsid w:val="0048345E"/>
    <w:rsid w:val="004A2ECC"/>
    <w:rsid w:val="004A3773"/>
    <w:rsid w:val="004B23D4"/>
    <w:rsid w:val="004C4FD7"/>
    <w:rsid w:val="004D1A2B"/>
    <w:rsid w:val="004D3F97"/>
    <w:rsid w:val="00570846"/>
    <w:rsid w:val="00594F3A"/>
    <w:rsid w:val="00596636"/>
    <w:rsid w:val="005A0C87"/>
    <w:rsid w:val="005B68DD"/>
    <w:rsid w:val="005C37CB"/>
    <w:rsid w:val="005F10F5"/>
    <w:rsid w:val="006072C8"/>
    <w:rsid w:val="00614C61"/>
    <w:rsid w:val="00653CFC"/>
    <w:rsid w:val="0066297E"/>
    <w:rsid w:val="006675A8"/>
    <w:rsid w:val="00671883"/>
    <w:rsid w:val="00673646"/>
    <w:rsid w:val="006776F3"/>
    <w:rsid w:val="006837F1"/>
    <w:rsid w:val="00686B38"/>
    <w:rsid w:val="006A60A5"/>
    <w:rsid w:val="006B0C30"/>
    <w:rsid w:val="006B25BF"/>
    <w:rsid w:val="006C66C0"/>
    <w:rsid w:val="006F1FFF"/>
    <w:rsid w:val="00703C23"/>
    <w:rsid w:val="007118AC"/>
    <w:rsid w:val="007416A8"/>
    <w:rsid w:val="007430A5"/>
    <w:rsid w:val="00775755"/>
    <w:rsid w:val="00786DA9"/>
    <w:rsid w:val="0078785A"/>
    <w:rsid w:val="00797511"/>
    <w:rsid w:val="007C1EAB"/>
    <w:rsid w:val="007D4DD8"/>
    <w:rsid w:val="007D7C47"/>
    <w:rsid w:val="007E71FE"/>
    <w:rsid w:val="007F1453"/>
    <w:rsid w:val="00800D55"/>
    <w:rsid w:val="00811C8D"/>
    <w:rsid w:val="0081715E"/>
    <w:rsid w:val="00831FDA"/>
    <w:rsid w:val="00845A4C"/>
    <w:rsid w:val="00846C7F"/>
    <w:rsid w:val="008532AD"/>
    <w:rsid w:val="008605E3"/>
    <w:rsid w:val="00874FEF"/>
    <w:rsid w:val="008A568A"/>
    <w:rsid w:val="008B63CC"/>
    <w:rsid w:val="008C4C70"/>
    <w:rsid w:val="008D1EF9"/>
    <w:rsid w:val="008E6B59"/>
    <w:rsid w:val="0091700B"/>
    <w:rsid w:val="009317B6"/>
    <w:rsid w:val="00933CEC"/>
    <w:rsid w:val="0094465F"/>
    <w:rsid w:val="009471F0"/>
    <w:rsid w:val="00951643"/>
    <w:rsid w:val="009534AB"/>
    <w:rsid w:val="0096386A"/>
    <w:rsid w:val="00975B40"/>
    <w:rsid w:val="009847B5"/>
    <w:rsid w:val="009878D8"/>
    <w:rsid w:val="009D155C"/>
    <w:rsid w:val="009E6EAB"/>
    <w:rsid w:val="009F216F"/>
    <w:rsid w:val="00A006C8"/>
    <w:rsid w:val="00A037F5"/>
    <w:rsid w:val="00A12C45"/>
    <w:rsid w:val="00A21227"/>
    <w:rsid w:val="00A275F3"/>
    <w:rsid w:val="00A5093B"/>
    <w:rsid w:val="00A51982"/>
    <w:rsid w:val="00A524A4"/>
    <w:rsid w:val="00A53C73"/>
    <w:rsid w:val="00A569E6"/>
    <w:rsid w:val="00AA01E8"/>
    <w:rsid w:val="00AC6933"/>
    <w:rsid w:val="00B14A9D"/>
    <w:rsid w:val="00B17AF9"/>
    <w:rsid w:val="00B25705"/>
    <w:rsid w:val="00B34B41"/>
    <w:rsid w:val="00B5398C"/>
    <w:rsid w:val="00B5600A"/>
    <w:rsid w:val="00B60F8D"/>
    <w:rsid w:val="00B6677B"/>
    <w:rsid w:val="00B752C5"/>
    <w:rsid w:val="00B92A16"/>
    <w:rsid w:val="00BB5048"/>
    <w:rsid w:val="00BC6EA5"/>
    <w:rsid w:val="00C01738"/>
    <w:rsid w:val="00C11D7B"/>
    <w:rsid w:val="00C401D0"/>
    <w:rsid w:val="00C61289"/>
    <w:rsid w:val="00C70D9B"/>
    <w:rsid w:val="00C95FF8"/>
    <w:rsid w:val="00CA563C"/>
    <w:rsid w:val="00CC1374"/>
    <w:rsid w:val="00CC5AD4"/>
    <w:rsid w:val="00CC5E5E"/>
    <w:rsid w:val="00CC6788"/>
    <w:rsid w:val="00CD288B"/>
    <w:rsid w:val="00CD5611"/>
    <w:rsid w:val="00CD77B3"/>
    <w:rsid w:val="00CE635E"/>
    <w:rsid w:val="00CF4697"/>
    <w:rsid w:val="00CF701C"/>
    <w:rsid w:val="00D0023E"/>
    <w:rsid w:val="00D06A80"/>
    <w:rsid w:val="00D210B4"/>
    <w:rsid w:val="00D43D13"/>
    <w:rsid w:val="00D6251F"/>
    <w:rsid w:val="00D64AC6"/>
    <w:rsid w:val="00D715C9"/>
    <w:rsid w:val="00D868C0"/>
    <w:rsid w:val="00DA0635"/>
    <w:rsid w:val="00DB5AC0"/>
    <w:rsid w:val="00DC0BB7"/>
    <w:rsid w:val="00DC2D0C"/>
    <w:rsid w:val="00DC45D6"/>
    <w:rsid w:val="00DF220A"/>
    <w:rsid w:val="00DF4355"/>
    <w:rsid w:val="00E01D40"/>
    <w:rsid w:val="00E044DC"/>
    <w:rsid w:val="00E12531"/>
    <w:rsid w:val="00E41CFE"/>
    <w:rsid w:val="00E479FD"/>
    <w:rsid w:val="00E47B38"/>
    <w:rsid w:val="00E60CC4"/>
    <w:rsid w:val="00E6582D"/>
    <w:rsid w:val="00E90CF2"/>
    <w:rsid w:val="00E960BE"/>
    <w:rsid w:val="00E97D90"/>
    <w:rsid w:val="00EA22ED"/>
    <w:rsid w:val="00EE318B"/>
    <w:rsid w:val="00EF0FEB"/>
    <w:rsid w:val="00EF7BD5"/>
    <w:rsid w:val="00F449A1"/>
    <w:rsid w:val="00F44FEE"/>
    <w:rsid w:val="00F63605"/>
    <w:rsid w:val="00F83467"/>
    <w:rsid w:val="00F915E6"/>
    <w:rsid w:val="00FA3CBD"/>
    <w:rsid w:val="00FB28F8"/>
    <w:rsid w:val="00FB5CDF"/>
    <w:rsid w:val="00FD0059"/>
    <w:rsid w:val="00FE28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CC5E5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797248">
      <w:bodyDiv w:val="1"/>
      <w:marLeft w:val="0"/>
      <w:marRight w:val="0"/>
      <w:marTop w:val="0"/>
      <w:marBottom w:val="0"/>
      <w:divBdr>
        <w:top w:val="none" w:sz="0" w:space="0" w:color="auto"/>
        <w:left w:val="none" w:sz="0" w:space="0" w:color="auto"/>
        <w:bottom w:val="none" w:sz="0" w:space="0" w:color="auto"/>
        <w:right w:val="none" w:sz="0" w:space="0" w:color="auto"/>
      </w:divBdr>
    </w:div>
    <w:div w:id="400451373">
      <w:bodyDiv w:val="1"/>
      <w:marLeft w:val="0"/>
      <w:marRight w:val="0"/>
      <w:marTop w:val="0"/>
      <w:marBottom w:val="0"/>
      <w:divBdr>
        <w:top w:val="none" w:sz="0" w:space="0" w:color="auto"/>
        <w:left w:val="none" w:sz="0" w:space="0" w:color="auto"/>
        <w:bottom w:val="none" w:sz="0" w:space="0" w:color="auto"/>
        <w:right w:val="none" w:sz="0" w:space="0" w:color="auto"/>
      </w:divBdr>
    </w:div>
    <w:div w:id="552616298">
      <w:bodyDiv w:val="1"/>
      <w:marLeft w:val="0"/>
      <w:marRight w:val="0"/>
      <w:marTop w:val="0"/>
      <w:marBottom w:val="0"/>
      <w:divBdr>
        <w:top w:val="none" w:sz="0" w:space="0" w:color="auto"/>
        <w:left w:val="none" w:sz="0" w:space="0" w:color="auto"/>
        <w:bottom w:val="none" w:sz="0" w:space="0" w:color="auto"/>
        <w:right w:val="none" w:sz="0" w:space="0" w:color="auto"/>
      </w:divBdr>
    </w:div>
    <w:div w:id="681396860">
      <w:bodyDiv w:val="1"/>
      <w:marLeft w:val="0"/>
      <w:marRight w:val="0"/>
      <w:marTop w:val="0"/>
      <w:marBottom w:val="0"/>
      <w:divBdr>
        <w:top w:val="none" w:sz="0" w:space="0" w:color="auto"/>
        <w:left w:val="none" w:sz="0" w:space="0" w:color="auto"/>
        <w:bottom w:val="none" w:sz="0" w:space="0" w:color="auto"/>
        <w:right w:val="none" w:sz="0" w:space="0" w:color="auto"/>
      </w:divBdr>
    </w:div>
    <w:div w:id="970941864">
      <w:bodyDiv w:val="1"/>
      <w:marLeft w:val="0"/>
      <w:marRight w:val="0"/>
      <w:marTop w:val="0"/>
      <w:marBottom w:val="0"/>
      <w:divBdr>
        <w:top w:val="none" w:sz="0" w:space="0" w:color="auto"/>
        <w:left w:val="none" w:sz="0" w:space="0" w:color="auto"/>
        <w:bottom w:val="none" w:sz="0" w:space="0" w:color="auto"/>
        <w:right w:val="none" w:sz="0" w:space="0" w:color="auto"/>
      </w:divBdr>
    </w:div>
    <w:div w:id="1230266869">
      <w:bodyDiv w:val="1"/>
      <w:marLeft w:val="0"/>
      <w:marRight w:val="0"/>
      <w:marTop w:val="0"/>
      <w:marBottom w:val="0"/>
      <w:divBdr>
        <w:top w:val="none" w:sz="0" w:space="0" w:color="auto"/>
        <w:left w:val="none" w:sz="0" w:space="0" w:color="auto"/>
        <w:bottom w:val="none" w:sz="0" w:space="0" w:color="auto"/>
        <w:right w:val="none" w:sz="0" w:space="0" w:color="auto"/>
      </w:divBdr>
    </w:div>
    <w:div w:id="1342125663">
      <w:bodyDiv w:val="1"/>
      <w:marLeft w:val="0"/>
      <w:marRight w:val="0"/>
      <w:marTop w:val="0"/>
      <w:marBottom w:val="0"/>
      <w:divBdr>
        <w:top w:val="none" w:sz="0" w:space="0" w:color="auto"/>
        <w:left w:val="none" w:sz="0" w:space="0" w:color="auto"/>
        <w:bottom w:val="none" w:sz="0" w:space="0" w:color="auto"/>
        <w:right w:val="none" w:sz="0" w:space="0" w:color="auto"/>
      </w:divBdr>
    </w:div>
    <w:div w:id="1723627370">
      <w:bodyDiv w:val="1"/>
      <w:marLeft w:val="0"/>
      <w:marRight w:val="0"/>
      <w:marTop w:val="0"/>
      <w:marBottom w:val="0"/>
      <w:divBdr>
        <w:top w:val="none" w:sz="0" w:space="0" w:color="auto"/>
        <w:left w:val="none" w:sz="0" w:space="0" w:color="auto"/>
        <w:bottom w:val="none" w:sz="0" w:space="0" w:color="auto"/>
        <w:right w:val="none" w:sz="0" w:space="0" w:color="auto"/>
      </w:divBdr>
    </w:div>
    <w:div w:id="2119910236">
      <w:bodyDiv w:val="1"/>
      <w:marLeft w:val="0"/>
      <w:marRight w:val="0"/>
      <w:marTop w:val="0"/>
      <w:marBottom w:val="0"/>
      <w:divBdr>
        <w:top w:val="none" w:sz="0" w:space="0" w:color="auto"/>
        <w:left w:val="none" w:sz="0" w:space="0" w:color="auto"/>
        <w:bottom w:val="none" w:sz="0" w:space="0" w:color="auto"/>
        <w:right w:val="none" w:sz="0" w:space="0" w:color="auto"/>
      </w:divBdr>
    </w:div>
    <w:div w:id="214600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5</Pages>
  <Words>1517</Words>
  <Characters>8650</Characters>
  <Application>Microsoft Office Word</Application>
  <DocSecurity>0</DocSecurity>
  <Lines>72</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Microsoft</cp:lastModifiedBy>
  <cp:revision>43</cp:revision>
  <dcterms:created xsi:type="dcterms:W3CDTF">2026-04-05T09:05:00Z</dcterms:created>
  <dcterms:modified xsi:type="dcterms:W3CDTF">2026-08-11T09:50:00Z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