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654B5" w14:textId="77777777" w:rsidR="00A97A7C" w:rsidRDefault="00250688" w:rsidP="00A97A7C">
      <w:pPr>
        <w:bidi/>
        <w:spacing w:line="240" w:lineRule="auto"/>
        <w:ind w:hanging="283"/>
        <w:jc w:val="both"/>
        <w:rPr>
          <w:rFonts w:ascii="ae_Cortoba" w:hAnsi="ae_Cortoba" w:cs="ae_Cortoba"/>
          <w:b/>
          <w:bCs/>
          <w:sz w:val="28"/>
          <w:szCs w:val="28"/>
          <w:rtl/>
        </w:rPr>
      </w:pPr>
      <w:r>
        <w:rPr>
          <w:rFonts w:ascii="Times New Roman"/>
          <w:b/>
          <w:bCs/>
          <w:noProof/>
          <w:sz w:val="28"/>
          <w:szCs w:val="28"/>
        </w:rPr>
        <w:drawing>
          <wp:anchor distT="0" distB="0" distL="114300" distR="114300" simplePos="0" relativeHeight="251659264" behindDoc="0" locked="0" layoutInCell="1" allowOverlap="1" wp14:anchorId="2F5E9D7A" wp14:editId="2BA4A67D">
            <wp:simplePos x="0" y="0"/>
            <wp:positionH relativeFrom="margin">
              <wp:posOffset>-100330</wp:posOffset>
            </wp:positionH>
            <wp:positionV relativeFrom="margin">
              <wp:posOffset>-342900</wp:posOffset>
            </wp:positionV>
            <wp:extent cx="2261870" cy="1000125"/>
            <wp:effectExtent l="0" t="0" r="5080" b="952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61870" cy="1000125"/>
                    </a:xfrm>
                    <a:prstGeom prst="rect">
                      <a:avLst/>
                    </a:prstGeom>
                  </pic:spPr>
                </pic:pic>
              </a:graphicData>
            </a:graphic>
            <wp14:sizeRelH relativeFrom="margin">
              <wp14:pctWidth>0</wp14:pctWidth>
            </wp14:sizeRelH>
            <wp14:sizeRelV relativeFrom="margin">
              <wp14:pctHeight>0</wp14:pctHeight>
            </wp14:sizeRelV>
          </wp:anchor>
        </w:drawing>
      </w:r>
      <w:r>
        <w:rPr>
          <w:rFonts w:ascii="ae_Cortoba" w:hAnsi="ae_Cortoba" w:cs="ae_Cortoba" w:hint="cs"/>
          <w:b/>
          <w:bCs/>
          <w:sz w:val="28"/>
          <w:szCs w:val="28"/>
          <w:rtl/>
        </w:rPr>
        <w:t xml:space="preserve">جامعة ميد أوشن </w:t>
      </w:r>
      <w:r>
        <w:rPr>
          <w:rFonts w:ascii="ae_Cortoba" w:hAnsi="ae_Cortoba" w:cs="ae_Cortoba"/>
          <w:b/>
          <w:bCs/>
          <w:sz w:val="28"/>
          <w:szCs w:val="28"/>
          <w:rtl/>
        </w:rPr>
        <w:t>–</w:t>
      </w:r>
    </w:p>
    <w:p w14:paraId="6DAC9C29" w14:textId="77777777" w:rsidR="00A97A7C" w:rsidRPr="00A97A7C" w:rsidRDefault="00A97A7C" w:rsidP="00A97A7C">
      <w:pPr>
        <w:bidi/>
        <w:spacing w:line="240" w:lineRule="auto"/>
        <w:ind w:hanging="283"/>
        <w:jc w:val="both"/>
        <w:rPr>
          <w:rFonts w:ascii="ae_Cortoba" w:hAnsi="ae_Cortoba" w:cs="ae_Cortoba"/>
          <w:b/>
          <w:bCs/>
          <w:sz w:val="28"/>
          <w:szCs w:val="28"/>
          <w:rtl/>
        </w:rPr>
      </w:pPr>
      <w:r>
        <w:rPr>
          <w:rFonts w:ascii="ae_Cortoba" w:hAnsi="ae_Cortoba" w:cs="ae_Cortoba" w:hint="cs"/>
          <w:b/>
          <w:bCs/>
          <w:sz w:val="28"/>
          <w:szCs w:val="28"/>
          <w:rtl/>
        </w:rPr>
        <w:t xml:space="preserve"> برنامج الدكتوراة</w:t>
      </w:r>
    </w:p>
    <w:p w14:paraId="11EFCD21" w14:textId="77777777" w:rsidR="00250688" w:rsidRDefault="00250688" w:rsidP="00250688">
      <w:pPr>
        <w:bidi/>
        <w:spacing w:line="240" w:lineRule="auto"/>
        <w:jc w:val="both"/>
        <w:rPr>
          <w:rFonts w:ascii="Calibri" w:hAnsi="Calibri" w:cs="Calibri"/>
          <w:b/>
          <w:bCs/>
          <w:color w:val="8496B0" w:themeColor="text2" w:themeTint="99"/>
          <w:sz w:val="40"/>
          <w:szCs w:val="40"/>
          <w:rtl/>
        </w:rPr>
      </w:pPr>
    </w:p>
    <w:p w14:paraId="379D24C2" w14:textId="77777777" w:rsidR="00F02C92" w:rsidRDefault="00F02C92" w:rsidP="00F02C92">
      <w:pPr>
        <w:bidi/>
        <w:spacing w:line="240" w:lineRule="auto"/>
        <w:jc w:val="both"/>
        <w:rPr>
          <w:rFonts w:ascii="Calibri" w:hAnsi="Calibri" w:cs="Calibri"/>
          <w:b/>
          <w:bCs/>
          <w:color w:val="8496B0" w:themeColor="text2" w:themeTint="99"/>
          <w:sz w:val="40"/>
          <w:szCs w:val="40"/>
          <w:rtl/>
        </w:rPr>
      </w:pPr>
    </w:p>
    <w:p w14:paraId="2298020B" w14:textId="77777777" w:rsidR="00F02C92" w:rsidRDefault="00F02C92" w:rsidP="00F02C92">
      <w:pPr>
        <w:bidi/>
        <w:spacing w:line="240" w:lineRule="auto"/>
        <w:jc w:val="both"/>
        <w:rPr>
          <w:rFonts w:ascii="Calibri" w:hAnsi="Calibri" w:cs="Calibri"/>
          <w:b/>
          <w:bCs/>
          <w:color w:val="8496B0" w:themeColor="text2" w:themeTint="99"/>
          <w:sz w:val="40"/>
          <w:szCs w:val="40"/>
          <w:rtl/>
        </w:rPr>
      </w:pPr>
    </w:p>
    <w:p w14:paraId="3C931220" w14:textId="77777777" w:rsidR="00250688" w:rsidRPr="00A97A7C" w:rsidRDefault="00250688" w:rsidP="00F02C92">
      <w:pPr>
        <w:bidi/>
        <w:spacing w:line="240" w:lineRule="auto"/>
        <w:jc w:val="center"/>
        <w:rPr>
          <w:rFonts w:asciiTheme="majorBidi" w:hAnsiTheme="majorBidi" w:cstheme="majorBidi"/>
          <w:b/>
          <w:bCs/>
          <w:color w:val="EE0000"/>
          <w:sz w:val="40"/>
          <w:szCs w:val="40"/>
          <w:rtl/>
        </w:rPr>
      </w:pPr>
      <w:r>
        <w:rPr>
          <w:rFonts w:asciiTheme="majorBidi" w:hAnsiTheme="majorBidi" w:cstheme="majorBidi"/>
          <w:b/>
          <w:bCs/>
          <w:color w:val="EE0000"/>
          <w:sz w:val="40"/>
          <w:szCs w:val="40"/>
          <w:rtl/>
        </w:rPr>
        <w:t xml:space="preserve">(متطلب الفصل </w:t>
      </w:r>
      <w:r>
        <w:rPr>
          <w:rFonts w:asciiTheme="majorBidi" w:hAnsiTheme="majorBidi" w:cstheme="majorBidi" w:hint="cs"/>
          <w:b/>
          <w:bCs/>
          <w:color w:val="EE0000"/>
          <w:sz w:val="40"/>
          <w:szCs w:val="40"/>
          <w:rtl/>
        </w:rPr>
        <w:t>السادس</w:t>
      </w:r>
      <w:r>
        <w:rPr>
          <w:rFonts w:asciiTheme="majorBidi" w:hAnsiTheme="majorBidi" w:cstheme="majorBidi"/>
          <w:b/>
          <w:bCs/>
          <w:color w:val="EE0000"/>
          <w:sz w:val="40"/>
          <w:szCs w:val="40"/>
          <w:rtl/>
        </w:rPr>
        <w:t>: الفصل الأول</w:t>
      </w:r>
      <w:r>
        <w:rPr>
          <w:rFonts w:asciiTheme="majorBidi" w:hAnsiTheme="majorBidi" w:cstheme="majorBidi" w:hint="cs"/>
          <w:b/>
          <w:bCs/>
          <w:color w:val="EE0000"/>
          <w:sz w:val="40"/>
          <w:szCs w:val="40"/>
          <w:rtl/>
        </w:rPr>
        <w:t xml:space="preserve"> + الفصل الثاني</w:t>
      </w:r>
      <w:r>
        <w:rPr>
          <w:rFonts w:asciiTheme="majorBidi" w:hAnsiTheme="majorBidi" w:cstheme="majorBidi"/>
          <w:b/>
          <w:bCs/>
          <w:color w:val="EE0000"/>
          <w:sz w:val="40"/>
          <w:szCs w:val="40"/>
          <w:rtl/>
        </w:rPr>
        <w:t>)</w:t>
      </w:r>
    </w:p>
    <w:p w14:paraId="712B1CF4" w14:textId="77777777" w:rsidR="00250688" w:rsidRPr="00A97A7C" w:rsidRDefault="00250688" w:rsidP="00250688">
      <w:pPr>
        <w:bidi/>
        <w:spacing w:line="240" w:lineRule="auto"/>
        <w:jc w:val="both"/>
        <w:rPr>
          <w:rFonts w:asciiTheme="majorBidi" w:hAnsiTheme="majorBidi" w:cstheme="majorBidi"/>
          <w:b/>
          <w:bCs/>
          <w:color w:val="8496B0" w:themeColor="text2" w:themeTint="99"/>
          <w:sz w:val="40"/>
          <w:szCs w:val="40"/>
          <w:rtl/>
        </w:rPr>
      </w:pPr>
    </w:p>
    <w:p w14:paraId="1E02B9D9" w14:textId="77777777" w:rsidR="00250688" w:rsidRPr="00271741" w:rsidRDefault="00A97A7C" w:rsidP="00250688">
      <w:pPr>
        <w:bidi/>
        <w:spacing w:line="240" w:lineRule="auto"/>
        <w:jc w:val="center"/>
        <w:rPr>
          <w:rFonts w:asciiTheme="majorBidi" w:hAnsiTheme="majorBidi" w:cstheme="majorBidi"/>
          <w:b/>
          <w:bCs/>
          <w:sz w:val="36"/>
          <w:szCs w:val="36"/>
          <w:rtl/>
        </w:rPr>
      </w:pPr>
      <w:r>
        <w:rPr>
          <w:rFonts w:asciiTheme="majorBidi" w:hAnsiTheme="majorBidi" w:cstheme="majorBidi" w:hint="cs"/>
          <w:b/>
          <w:bCs/>
          <w:sz w:val="36"/>
          <w:szCs w:val="36"/>
          <w:rtl/>
        </w:rPr>
        <w:t xml:space="preserve">أطروحة مقدمة لجامعة ميدأوشن </w:t>
      </w:r>
      <w:r>
        <w:rPr>
          <w:rFonts w:asciiTheme="majorBidi" w:hAnsiTheme="majorBidi" w:cstheme="majorBidi"/>
          <w:b/>
          <w:bCs/>
          <w:sz w:val="36"/>
          <w:szCs w:val="36"/>
          <w:rtl/>
        </w:rPr>
        <w:t>لنيل درجة الدكتوراه في القانون بعنوان:</w:t>
      </w:r>
    </w:p>
    <w:p w14:paraId="69A08163" w14:textId="77777777" w:rsidR="00250688" w:rsidRPr="00A97A7C" w:rsidRDefault="00250688" w:rsidP="00250688">
      <w:pPr>
        <w:pStyle w:val="ab"/>
        <w:bidi/>
        <w:spacing w:before="0" w:beforeAutospacing="0" w:after="0" w:afterAutospacing="0"/>
        <w:ind w:right="-270"/>
        <w:rPr>
          <w:rFonts w:asciiTheme="majorBidi" w:hAnsiTheme="majorBidi" w:cstheme="majorBidi"/>
          <w:b/>
          <w:bCs/>
          <w:color w:val="0000FF"/>
          <w:sz w:val="32"/>
          <w:szCs w:val="32"/>
        </w:rPr>
      </w:pPr>
    </w:p>
    <w:p w14:paraId="4D909EB6" w14:textId="77777777" w:rsidR="00250688" w:rsidRPr="00A97A7C" w:rsidRDefault="00250688" w:rsidP="00250688">
      <w:pPr>
        <w:pStyle w:val="ab"/>
        <w:bidi/>
        <w:spacing w:before="0" w:beforeAutospacing="0" w:after="0" w:afterAutospacing="0"/>
        <w:ind w:right="-270"/>
        <w:jc w:val="both"/>
        <w:rPr>
          <w:rFonts w:asciiTheme="majorBidi" w:hAnsiTheme="majorBidi" w:cstheme="majorBidi"/>
          <w:b/>
          <w:bCs/>
          <w:color w:val="0000FF"/>
          <w:sz w:val="32"/>
          <w:szCs w:val="32"/>
          <w:rtl/>
          <w:lang w:bidi="ar-JO"/>
        </w:rPr>
      </w:pPr>
    </w:p>
    <w:p w14:paraId="40258D99" w14:textId="77777777" w:rsidR="00A10B6F" w:rsidRPr="00A10B6F" w:rsidRDefault="00A10B6F" w:rsidP="00A10B6F">
      <w:pPr>
        <w:spacing w:line="360" w:lineRule="auto"/>
        <w:ind w:left="534" w:hanging="340"/>
        <w:jc w:val="center"/>
        <w:rPr>
          <w:rFonts w:asciiTheme="majorBidi" w:hAnsiTheme="majorBidi" w:cstheme="majorBidi"/>
          <w:noProof/>
          <w:color w:val="44546A" w:themeColor="text2"/>
          <w:sz w:val="32"/>
          <w:szCs w:val="32"/>
        </w:rPr>
      </w:pPr>
      <w:r>
        <w:rPr>
          <w:rFonts w:asciiTheme="majorBidi" w:hAnsiTheme="majorBidi" w:cstheme="majorBidi"/>
          <w:b/>
          <w:bCs/>
          <w:noProof/>
          <w:color w:val="44546A" w:themeColor="text2"/>
          <w:sz w:val="32"/>
          <w:szCs w:val="32"/>
          <w:rtl/>
        </w:rPr>
        <w:t xml:space="preserve">الإطار القانوني </w:t>
      </w:r>
      <w:r>
        <w:rPr>
          <w:rFonts w:asciiTheme="majorBidi" w:hAnsiTheme="majorBidi" w:cstheme="majorBidi" w:hint="cs"/>
          <w:b/>
          <w:bCs/>
          <w:noProof/>
          <w:color w:val="44546A" w:themeColor="text2"/>
          <w:sz w:val="32"/>
          <w:szCs w:val="32"/>
          <w:rtl/>
        </w:rPr>
        <w:t>لتوظيف</w:t>
      </w:r>
      <w:r>
        <w:rPr>
          <w:rFonts w:asciiTheme="majorBidi" w:hAnsiTheme="majorBidi" w:cstheme="majorBidi"/>
          <w:b/>
          <w:bCs/>
          <w:noProof/>
          <w:color w:val="44546A" w:themeColor="text2"/>
          <w:sz w:val="32"/>
          <w:szCs w:val="32"/>
          <w:rtl/>
        </w:rPr>
        <w:t xml:space="preserve"> الذكاء الاصطناعي في تطوير الخدمات القانونية بمكاتب المحاماة في المملكة العربية السعودية – دراسة تحليلية في ضوء الأنظمة واللوائح السعودية</w:t>
      </w:r>
    </w:p>
    <w:p w14:paraId="7BB60C7B" w14:textId="77777777" w:rsidR="00250688" w:rsidRPr="00A97A7C" w:rsidRDefault="00250688" w:rsidP="00250688">
      <w:pPr>
        <w:spacing w:line="360" w:lineRule="auto"/>
        <w:ind w:left="534" w:hanging="340"/>
        <w:jc w:val="right"/>
        <w:rPr>
          <w:rFonts w:asciiTheme="majorBidi" w:hAnsiTheme="majorBidi" w:cstheme="majorBidi"/>
          <w:noProof/>
          <w:sz w:val="20"/>
          <w:szCs w:val="20"/>
          <w:rtl/>
        </w:rPr>
      </w:pPr>
    </w:p>
    <w:p w14:paraId="1209CC16" w14:textId="77777777" w:rsidR="00960AA5" w:rsidRPr="00960AA5" w:rsidRDefault="00960AA5" w:rsidP="00960AA5">
      <w:pPr>
        <w:pStyle w:val="ab"/>
        <w:bidi/>
        <w:spacing w:before="0" w:beforeAutospacing="0" w:after="0" w:afterAutospacing="0"/>
        <w:ind w:right="-270"/>
        <w:jc w:val="center"/>
        <w:rPr>
          <w:rFonts w:asciiTheme="majorBidi" w:hAnsiTheme="majorBidi" w:cstheme="majorBidi"/>
          <w:b/>
          <w:bCs/>
          <w:color w:val="0070C0"/>
          <w:szCs w:val="28"/>
        </w:rPr>
      </w:pPr>
      <w:r>
        <w:rPr>
          <w:rFonts w:asciiTheme="majorBidi" w:hAnsiTheme="majorBidi" w:cstheme="majorBidi"/>
          <w:b/>
          <w:bCs/>
          <w:color w:val="0070C0"/>
          <w:szCs w:val="28"/>
        </w:rPr>
        <w:t>The Legal Framework for Employing Artificial Intelligence in the Development of Legal Services by Law Firms in the Kingdom of Saudi Arabia: An Analytical Study in Light of Saudi Laws and Regulations</w:t>
      </w:r>
    </w:p>
    <w:p w14:paraId="1CE73625" w14:textId="77777777" w:rsidR="00250688" w:rsidRPr="00960AA5" w:rsidRDefault="00250688" w:rsidP="00250688">
      <w:pPr>
        <w:pStyle w:val="ab"/>
        <w:bidi/>
        <w:spacing w:before="0" w:beforeAutospacing="0" w:after="0" w:afterAutospacing="0"/>
        <w:ind w:right="-270"/>
        <w:rPr>
          <w:rFonts w:asciiTheme="majorBidi" w:hAnsiTheme="majorBidi" w:cstheme="majorBidi"/>
          <w:b/>
          <w:bCs/>
          <w:color w:val="0070C0"/>
          <w:szCs w:val="28"/>
          <w:rtl/>
        </w:rPr>
      </w:pPr>
    </w:p>
    <w:p w14:paraId="6D14EE39"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70C0"/>
          <w:sz w:val="36"/>
          <w:szCs w:val="36"/>
          <w:rtl/>
        </w:rPr>
      </w:pPr>
    </w:p>
    <w:p w14:paraId="5703F72B"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70C0"/>
          <w:sz w:val="36"/>
          <w:szCs w:val="36"/>
          <w:rtl/>
        </w:rPr>
      </w:pPr>
    </w:p>
    <w:tbl>
      <w:tblPr>
        <w:tblStyle w:val="aa"/>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36"/>
        <w:gridCol w:w="5778"/>
      </w:tblGrid>
      <w:tr w:rsidR="00250688" w:rsidRPr="00A97A7C" w14:paraId="5635BE27" w14:textId="77777777" w:rsidTr="00E33865">
        <w:tc>
          <w:tcPr>
            <w:tcW w:w="1763" w:type="dxa"/>
          </w:tcPr>
          <w:p w14:paraId="4E2E0D34"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اسم الباحث</w:t>
            </w:r>
          </w:p>
        </w:tc>
        <w:tc>
          <w:tcPr>
            <w:tcW w:w="252" w:type="dxa"/>
          </w:tcPr>
          <w:p w14:paraId="57BD62E6"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w:t>
            </w:r>
          </w:p>
        </w:tc>
        <w:tc>
          <w:tcPr>
            <w:tcW w:w="5778" w:type="dxa"/>
          </w:tcPr>
          <w:p w14:paraId="1787F7AF"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FF"/>
                <w:sz w:val="36"/>
                <w:szCs w:val="36"/>
                <w:rtl/>
              </w:rPr>
            </w:pPr>
            <w:r>
              <w:rPr>
                <w:rFonts w:asciiTheme="majorBidi" w:hAnsiTheme="majorBidi" w:cstheme="majorBidi"/>
                <w:b/>
                <w:bCs/>
                <w:color w:val="0000FF"/>
                <w:sz w:val="36"/>
                <w:szCs w:val="36"/>
                <w:rtl/>
              </w:rPr>
              <w:t>حسان صلاح عبد الرحمن جمبي</w:t>
            </w:r>
          </w:p>
        </w:tc>
      </w:tr>
      <w:tr w:rsidR="00250688" w:rsidRPr="00A97A7C" w14:paraId="7C37EA29" w14:textId="77777777" w:rsidTr="00E33865">
        <w:tc>
          <w:tcPr>
            <w:tcW w:w="1763" w:type="dxa"/>
          </w:tcPr>
          <w:p w14:paraId="66CCC63E"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الرقم الاكاديمي</w:t>
            </w:r>
          </w:p>
        </w:tc>
        <w:tc>
          <w:tcPr>
            <w:tcW w:w="252" w:type="dxa"/>
          </w:tcPr>
          <w:p w14:paraId="58DE1DD3"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w:t>
            </w:r>
          </w:p>
        </w:tc>
        <w:tc>
          <w:tcPr>
            <w:tcW w:w="5778" w:type="dxa"/>
          </w:tcPr>
          <w:p w14:paraId="5C2B17AB" w14:textId="77777777" w:rsidR="00250688" w:rsidRPr="00A97A7C" w:rsidRDefault="00250688" w:rsidP="00250688">
            <w:pPr>
              <w:pStyle w:val="ab"/>
              <w:tabs>
                <w:tab w:val="left" w:pos="1781"/>
                <w:tab w:val="center" w:pos="2916"/>
              </w:tabs>
              <w:bidi/>
              <w:spacing w:before="0" w:beforeAutospacing="0" w:after="0" w:afterAutospacing="0"/>
              <w:ind w:right="-270"/>
              <w:jc w:val="center"/>
              <w:rPr>
                <w:rFonts w:asciiTheme="majorBidi" w:hAnsiTheme="majorBidi" w:cstheme="majorBidi"/>
                <w:b/>
                <w:bCs/>
                <w:color w:val="0000FF"/>
                <w:sz w:val="36"/>
                <w:szCs w:val="36"/>
                <w:rtl/>
              </w:rPr>
            </w:pPr>
            <w:r>
              <w:rPr>
                <w:rFonts w:asciiTheme="majorBidi" w:hAnsiTheme="majorBidi" w:cstheme="majorBidi"/>
                <w:b/>
                <w:bCs/>
                <w:color w:val="0000FF"/>
                <w:sz w:val="36"/>
                <w:szCs w:val="36"/>
                <w:rtl/>
              </w:rPr>
              <w:t>242002299</w:t>
            </w:r>
          </w:p>
        </w:tc>
      </w:tr>
      <w:tr w:rsidR="00250688" w:rsidRPr="00A97A7C" w14:paraId="6C6CA4D9" w14:textId="77777777" w:rsidTr="00E33865">
        <w:tc>
          <w:tcPr>
            <w:tcW w:w="1763" w:type="dxa"/>
          </w:tcPr>
          <w:p w14:paraId="081F2E72"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البرنامج</w:t>
            </w:r>
          </w:p>
        </w:tc>
        <w:tc>
          <w:tcPr>
            <w:tcW w:w="252" w:type="dxa"/>
          </w:tcPr>
          <w:p w14:paraId="2F456F28"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w:t>
            </w:r>
          </w:p>
        </w:tc>
        <w:tc>
          <w:tcPr>
            <w:tcW w:w="5778" w:type="dxa"/>
          </w:tcPr>
          <w:p w14:paraId="15C61DA9"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FF"/>
                <w:sz w:val="36"/>
                <w:szCs w:val="36"/>
                <w:rtl/>
              </w:rPr>
            </w:pPr>
            <w:r>
              <w:rPr>
                <w:rFonts w:asciiTheme="majorBidi" w:hAnsiTheme="majorBidi" w:cstheme="majorBidi"/>
                <w:b/>
                <w:bCs/>
                <w:color w:val="0000FF"/>
                <w:sz w:val="36"/>
                <w:szCs w:val="36"/>
                <w:rtl/>
              </w:rPr>
              <w:t>دكتوراه القانون</w:t>
            </w:r>
          </w:p>
        </w:tc>
      </w:tr>
      <w:tr w:rsidR="00250688" w:rsidRPr="00A97A7C" w14:paraId="42B0E002" w14:textId="77777777" w:rsidTr="00E33865">
        <w:tc>
          <w:tcPr>
            <w:tcW w:w="1763" w:type="dxa"/>
          </w:tcPr>
          <w:p w14:paraId="1EFD0B7A"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p>
        </w:tc>
        <w:tc>
          <w:tcPr>
            <w:tcW w:w="252" w:type="dxa"/>
          </w:tcPr>
          <w:p w14:paraId="6CADF77F"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p>
        </w:tc>
        <w:tc>
          <w:tcPr>
            <w:tcW w:w="5778" w:type="dxa"/>
          </w:tcPr>
          <w:p w14:paraId="68FCBB78"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FF"/>
                <w:sz w:val="36"/>
                <w:szCs w:val="36"/>
                <w:rtl/>
              </w:rPr>
            </w:pPr>
          </w:p>
        </w:tc>
      </w:tr>
    </w:tbl>
    <w:p w14:paraId="168E7868" w14:textId="77777777" w:rsidR="00250688" w:rsidRPr="00A97A7C" w:rsidRDefault="00250688" w:rsidP="00250688">
      <w:pPr>
        <w:pStyle w:val="ab"/>
        <w:bidi/>
        <w:spacing w:before="0" w:beforeAutospacing="0" w:after="0" w:afterAutospacing="0"/>
        <w:ind w:right="-270"/>
        <w:jc w:val="both"/>
        <w:rPr>
          <w:rFonts w:asciiTheme="majorBidi" w:hAnsiTheme="majorBidi" w:cstheme="majorBidi"/>
          <w:b/>
          <w:bCs/>
          <w:color w:val="0000FF"/>
          <w:sz w:val="36"/>
          <w:szCs w:val="36"/>
          <w:rtl/>
        </w:rPr>
      </w:pPr>
    </w:p>
    <w:p w14:paraId="72ADF2CA" w14:textId="77777777" w:rsidR="00250688" w:rsidRPr="00A97A7C" w:rsidRDefault="00250688" w:rsidP="00250688">
      <w:pPr>
        <w:spacing w:line="240" w:lineRule="auto"/>
        <w:rPr>
          <w:rFonts w:asciiTheme="majorBidi" w:hAnsiTheme="majorBidi" w:cstheme="majorBidi"/>
          <w:noProof/>
          <w:rtl/>
          <w:lang w:bidi="ar-JO"/>
        </w:rPr>
      </w:pPr>
    </w:p>
    <w:p w14:paraId="16481464" w14:textId="77777777" w:rsidR="00BC5F38" w:rsidRDefault="00250688" w:rsidP="008535D1">
      <w:pPr>
        <w:jc w:val="center"/>
        <w:rPr>
          <w:rFonts w:asciiTheme="majorBidi" w:hAnsiTheme="majorBidi" w:cstheme="majorBidi"/>
          <w:b/>
          <w:bCs/>
          <w:color w:val="FF0000"/>
          <w:sz w:val="28"/>
          <w:szCs w:val="28"/>
          <w:rtl/>
        </w:rPr>
      </w:pPr>
      <w:r>
        <w:rPr>
          <w:rFonts w:asciiTheme="majorBidi" w:hAnsiTheme="majorBidi" w:cstheme="majorBidi"/>
          <w:b/>
          <w:bCs/>
          <w:color w:val="FF0000"/>
          <w:sz w:val="28"/>
          <w:szCs w:val="28"/>
          <w:rtl/>
        </w:rPr>
        <w:t>1447ه          -  2025 م</w:t>
      </w:r>
    </w:p>
    <w:p w14:paraId="6642EE1B" w14:textId="77777777" w:rsidR="00960AA5" w:rsidRDefault="00960AA5" w:rsidP="008535D1">
      <w:pPr>
        <w:jc w:val="center"/>
        <w:rPr>
          <w:rFonts w:asciiTheme="majorBidi" w:hAnsiTheme="majorBidi" w:cstheme="majorBidi"/>
          <w:b/>
          <w:bCs/>
          <w:color w:val="FF0000"/>
          <w:sz w:val="28"/>
          <w:szCs w:val="28"/>
        </w:rPr>
      </w:pPr>
    </w:p>
    <w:p w14:paraId="30B58156" w14:textId="77777777" w:rsidR="00F219B4" w:rsidRPr="00BC5F38" w:rsidRDefault="00F219B4" w:rsidP="00F219B4">
      <w:pPr>
        <w:jc w:val="center"/>
        <w:rPr>
          <w:rFonts w:asciiTheme="majorBidi" w:hAnsiTheme="majorBidi" w:cstheme="majorBidi"/>
          <w:b/>
          <w:bCs/>
          <w:sz w:val="32"/>
          <w:szCs w:val="32"/>
        </w:rPr>
      </w:pPr>
      <w:r>
        <w:rPr>
          <w:rFonts w:asciiTheme="majorBidi" w:hAnsiTheme="majorBidi" w:cstheme="majorBidi"/>
          <w:b/>
          <w:bCs/>
          <w:sz w:val="32"/>
          <w:szCs w:val="32"/>
          <w:rtl/>
        </w:rPr>
        <w:lastRenderedPageBreak/>
        <w:t>الفصل التمهيد</w:t>
      </w:r>
      <w:r>
        <w:rPr>
          <w:rFonts w:asciiTheme="majorBidi" w:hAnsiTheme="majorBidi" w:cstheme="majorBidi" w:hint="cs"/>
          <w:b/>
          <w:bCs/>
          <w:sz w:val="32"/>
          <w:szCs w:val="32"/>
          <w:rtl/>
        </w:rPr>
        <w:t>ي</w:t>
      </w:r>
    </w:p>
    <w:p w14:paraId="3E2F9FED" w14:textId="77777777" w:rsidR="00F219B4" w:rsidRPr="00BC5F38" w:rsidRDefault="00F219B4" w:rsidP="00F219B4">
      <w:pPr>
        <w:jc w:val="center"/>
        <w:rPr>
          <w:rFonts w:asciiTheme="majorBidi" w:hAnsiTheme="majorBidi" w:cstheme="majorBidi"/>
          <w:b/>
          <w:bCs/>
          <w:sz w:val="28"/>
          <w:szCs w:val="28"/>
        </w:rPr>
      </w:pPr>
      <w:r>
        <w:rPr>
          <w:rFonts w:asciiTheme="majorBidi" w:hAnsiTheme="majorBidi" w:cstheme="majorBidi"/>
          <w:b/>
          <w:bCs/>
          <w:sz w:val="28"/>
          <w:szCs w:val="28"/>
          <w:rtl/>
        </w:rPr>
        <w:t>الإطار العام للدراسة</w:t>
      </w:r>
    </w:p>
    <w:p w14:paraId="44171F37" w14:textId="77777777" w:rsidR="00F91E80" w:rsidRPr="00BC5F38" w:rsidRDefault="00F91E80" w:rsidP="00F219B4">
      <w:pPr>
        <w:jc w:val="center"/>
        <w:rPr>
          <w:rFonts w:asciiTheme="majorBidi" w:hAnsiTheme="majorBidi" w:cstheme="majorBidi"/>
          <w:b/>
          <w:bCs/>
          <w:sz w:val="24"/>
          <w:szCs w:val="24"/>
          <w:rtl/>
        </w:rPr>
      </w:pPr>
    </w:p>
    <w:p w14:paraId="46154BD5" w14:textId="77777777" w:rsidR="00F91E80" w:rsidRPr="00BC5F38" w:rsidRDefault="00F219B4" w:rsidP="00A60CD0">
      <w:pPr>
        <w:jc w:val="right"/>
        <w:rPr>
          <w:rFonts w:asciiTheme="majorBidi" w:hAnsiTheme="majorBidi" w:cstheme="majorBidi"/>
          <w:b/>
          <w:bCs/>
          <w:sz w:val="28"/>
          <w:szCs w:val="28"/>
        </w:rPr>
      </w:pPr>
      <w:r>
        <w:rPr>
          <w:rFonts w:asciiTheme="majorBidi" w:hAnsiTheme="majorBidi" w:cstheme="majorBidi"/>
          <w:b/>
          <w:bCs/>
          <w:sz w:val="28"/>
          <w:szCs w:val="28"/>
          <w:rtl/>
        </w:rPr>
        <w:t>مقدمة الدارسة:</w:t>
      </w:r>
    </w:p>
    <w:p w14:paraId="3A0B15D4" w14:textId="77777777" w:rsidR="00F219B4" w:rsidRPr="00BC5F38" w:rsidRDefault="00F219B4" w:rsidP="00A60CD0">
      <w:pPr>
        <w:jc w:val="right"/>
        <w:rPr>
          <w:rFonts w:asciiTheme="majorBidi" w:hAnsiTheme="majorBidi" w:cstheme="majorBidi"/>
          <w:sz w:val="24"/>
          <w:szCs w:val="24"/>
          <w:rtl/>
        </w:rPr>
      </w:pPr>
      <w:r>
        <w:rPr>
          <w:rFonts w:asciiTheme="majorBidi" w:hAnsiTheme="majorBidi" w:cstheme="majorBidi"/>
          <w:sz w:val="24"/>
          <w:szCs w:val="24"/>
          <w:rtl/>
        </w:rPr>
        <w:t>شهد العالم في السنوات الأخيرة ثورة تقنية متسارعة، أبرز مظاهرها تصاعد استخدام تقنيات الذكاء الاصطناعي، لاسيما في المجالات المهنية التخصصية مثل المحاماة، وقد باتت أدوات الذكاء الاصطناعي التنبؤية والتوليدية تستخدم تدريجياً في تحليل المستندات القانونية، وإنشاء العقود، والبحث في السوابق القضائية، وتقديم الدعم القانوني المؤتمت.</w:t>
      </w:r>
    </w:p>
    <w:p w14:paraId="56512B9F" w14:textId="77777777" w:rsidR="00F219B4" w:rsidRPr="00BC5F38" w:rsidRDefault="00F219B4" w:rsidP="00A60CD0">
      <w:pPr>
        <w:jc w:val="right"/>
        <w:rPr>
          <w:rFonts w:asciiTheme="majorBidi" w:hAnsiTheme="majorBidi" w:cstheme="majorBidi"/>
          <w:sz w:val="24"/>
          <w:szCs w:val="24"/>
        </w:rPr>
      </w:pPr>
      <w:r>
        <w:rPr>
          <w:rFonts w:asciiTheme="majorBidi" w:hAnsiTheme="majorBidi" w:cstheme="majorBidi"/>
          <w:sz w:val="24"/>
          <w:szCs w:val="24"/>
          <w:rtl/>
        </w:rPr>
        <w:t xml:space="preserve"> هذا التقدُّم يطرح تساؤلات قانونية ومهنية عميقة حول حدود التوظيف، والمسؤولية، والموثوقية، خاصة في البيئات العدلية المنظمة، حيث انه في المملكة العربية السعودية برز اهتمام رسمي متزايد بتقنين استخدام الذكاء الاصطناعي يتجسد في جهود الهيئة السعودية للبيانات والذكاء الاصطناعي "سدايا" التي أصدرت في (نوفمبر، 2023) وثيقة بعنوان </w:t>
      </w:r>
      <w:r>
        <w:rPr>
          <w:rFonts w:asciiTheme="majorBidi" w:hAnsiTheme="majorBidi" w:cstheme="majorBidi"/>
          <w:b/>
          <w:bCs/>
          <w:sz w:val="24"/>
          <w:szCs w:val="24"/>
          <w:rtl/>
        </w:rPr>
        <w:t xml:space="preserve">"مبادئ أخلاقيات الذكاء الاصطناعي" </w:t>
      </w:r>
    </w:p>
    <w:p w14:paraId="03036927" w14:textId="77777777" w:rsidR="00F219B4" w:rsidRPr="00BC5F38" w:rsidRDefault="00F219B4" w:rsidP="00A60CD0">
      <w:pPr>
        <w:jc w:val="right"/>
        <w:rPr>
          <w:rFonts w:asciiTheme="majorBidi" w:hAnsiTheme="majorBidi" w:cstheme="majorBidi"/>
          <w:sz w:val="24"/>
          <w:szCs w:val="24"/>
        </w:rPr>
      </w:pPr>
      <w:r>
        <w:rPr>
          <w:rFonts w:asciiTheme="majorBidi" w:hAnsiTheme="majorBidi" w:cstheme="majorBidi"/>
          <w:sz w:val="24"/>
          <w:szCs w:val="24"/>
          <w:rtl/>
        </w:rPr>
        <w:t>أكدت فيها على ضرورة تقليل المخاطر المحتملة والأضرار غير المقصودة ، وهو ما يبرز التوجه الرسمي نحو تقنين وضبط استخدام هذه التقنية داخل القطاعات المهنية مؤكدة في وثيقتها الرسمية أنه :</w:t>
      </w:r>
    </w:p>
    <w:p w14:paraId="34E5B058" w14:textId="77777777" w:rsidR="00F219B4" w:rsidRPr="00BC5F38" w:rsidRDefault="00F219B4" w:rsidP="00A60CD0">
      <w:pPr>
        <w:jc w:val="right"/>
        <w:rPr>
          <w:rFonts w:asciiTheme="majorBidi" w:hAnsiTheme="majorBidi" w:cstheme="majorBidi"/>
          <w:sz w:val="24"/>
          <w:szCs w:val="24"/>
          <w:rtl/>
        </w:rPr>
      </w:pPr>
      <w:r>
        <w:rPr>
          <w:rFonts w:asciiTheme="majorBidi" w:hAnsiTheme="majorBidi" w:cstheme="majorBidi"/>
          <w:sz w:val="24"/>
          <w:szCs w:val="24"/>
          <w:rtl/>
        </w:rPr>
        <w:t>"يجب على نظام الذكاء الاصطناعي العمل على تقليل المخاطر المحتملة والأضرار غير المقصودة إلى أدنى حد ممكن"</w:t>
      </w:r>
      <w:r>
        <w:rPr>
          <w:rStyle w:val="af"/>
          <w:rFonts w:asciiTheme="majorBidi" w:hAnsiTheme="majorBidi" w:cstheme="majorBidi"/>
          <w:sz w:val="24"/>
          <w:szCs w:val="24"/>
          <w:rtl/>
        </w:rPr>
        <w:footnoteReference w:id="1"/>
      </w:r>
    </w:p>
    <w:p w14:paraId="6AAAFC21" w14:textId="77777777" w:rsidR="00A94FD1" w:rsidRPr="00BC5F38" w:rsidRDefault="00A94FD1" w:rsidP="00A60CD0">
      <w:pPr>
        <w:jc w:val="right"/>
        <w:rPr>
          <w:rFonts w:asciiTheme="majorBidi" w:hAnsiTheme="majorBidi" w:cstheme="majorBidi"/>
          <w:sz w:val="24"/>
          <w:szCs w:val="24"/>
        </w:rPr>
      </w:pPr>
      <w:r>
        <w:rPr>
          <w:rFonts w:asciiTheme="majorBidi" w:hAnsiTheme="majorBidi" w:cstheme="majorBidi"/>
          <w:sz w:val="24"/>
          <w:szCs w:val="24"/>
          <w:rtl/>
        </w:rPr>
        <w:t>إلا أن هذا التوجيه الأخلاقي لم يُترجم بعد إلى إطار تنظيمي متكامل داخل بعض القطاعات المهنية الحساسة، وعلى رأسها مهنة المحاماة.</w:t>
      </w:r>
    </w:p>
    <w:p w14:paraId="3C977EDE" w14:textId="77777777" w:rsidR="00A94FD1" w:rsidRPr="00BC5F38" w:rsidRDefault="00A94FD1" w:rsidP="00A60CD0">
      <w:pPr>
        <w:jc w:val="right"/>
        <w:rPr>
          <w:rFonts w:asciiTheme="majorBidi" w:hAnsiTheme="majorBidi" w:cstheme="majorBidi"/>
          <w:sz w:val="24"/>
          <w:szCs w:val="24"/>
          <w:rtl/>
        </w:rPr>
      </w:pPr>
      <w:r>
        <w:rPr>
          <w:rFonts w:asciiTheme="majorBidi" w:hAnsiTheme="majorBidi" w:cstheme="majorBidi"/>
          <w:sz w:val="24"/>
          <w:szCs w:val="24"/>
          <w:rtl/>
        </w:rPr>
        <w:t xml:space="preserve">وعلى صعيد الممارسة العملية الميدانية التي خضتها داخل مكاتب محاماة سعودية وبعض الجهات القانونية ، تبيّن وجود استخدام جزئي لتقنيات الذكاء الاصطناعي، ولكن دون وجود إطار قانوني ينظم هذا الاستخدام، أو يُحدد مسؤولية المحامي في حال حدوث خطأ تقني، أو يحفظ خصوصية بيانات العملاء ضمن قواعد واضحة ومُلزمة، ويظهر نظام المحاماة السعودي الصادر بالمرسوم الملكي (م/38) بتاريخ 28/7/1422هـ، كالإطار التنظيمي الأساسي للمهنة، حيث تنص المادة (41) منه على أنه: </w:t>
      </w:r>
    </w:p>
    <w:p w14:paraId="1AEACE50" w14:textId="77777777" w:rsidR="00A94FD1" w:rsidRPr="00BC5F38" w:rsidRDefault="00A94FD1" w:rsidP="00A60CD0">
      <w:pPr>
        <w:jc w:val="right"/>
        <w:rPr>
          <w:rFonts w:asciiTheme="majorBidi" w:hAnsiTheme="majorBidi" w:cstheme="majorBidi"/>
          <w:b/>
          <w:bCs/>
          <w:sz w:val="24"/>
          <w:szCs w:val="24"/>
          <w:rtl/>
        </w:rPr>
      </w:pPr>
      <w:r>
        <w:rPr>
          <w:rFonts w:asciiTheme="majorBidi" w:hAnsiTheme="majorBidi" w:cstheme="majorBidi"/>
          <w:sz w:val="24"/>
          <w:szCs w:val="24"/>
          <w:rtl/>
        </w:rPr>
        <w:t>"يجوز للمحامي السعودي المحترف الاستعانة بمحامٍ معتمد غير سعودي في مكتبه، بشرط تحمّله المسؤولية الكاملة وخضوع العلاقة لضوابط تفصيلية تُصدر باللائحة التنفيذية"</w:t>
      </w:r>
      <w:r>
        <w:rPr>
          <w:rStyle w:val="af"/>
          <w:rFonts w:asciiTheme="majorBidi" w:hAnsiTheme="majorBidi" w:cstheme="majorBidi"/>
          <w:sz w:val="24"/>
          <w:szCs w:val="24"/>
          <w:rtl/>
        </w:rPr>
        <w:footnoteReference w:id="2"/>
      </w:r>
    </w:p>
    <w:p w14:paraId="3CF9875D" w14:textId="77777777" w:rsidR="00A94FD1" w:rsidRPr="00BC5F38" w:rsidRDefault="00A94FD1" w:rsidP="00A60CD0">
      <w:pPr>
        <w:jc w:val="right"/>
        <w:rPr>
          <w:rFonts w:asciiTheme="majorBidi" w:hAnsiTheme="majorBidi" w:cstheme="majorBidi"/>
          <w:sz w:val="24"/>
          <w:szCs w:val="24"/>
          <w:rtl/>
        </w:rPr>
      </w:pPr>
      <w:r>
        <w:rPr>
          <w:rFonts w:asciiTheme="majorBidi" w:hAnsiTheme="majorBidi" w:cstheme="majorBidi"/>
          <w:sz w:val="24"/>
          <w:szCs w:val="24"/>
          <w:rtl/>
        </w:rPr>
        <w:t>لكن هذه المادة – وسائر اللائحة – لم تتطرق بشكل صريح إلى توظيف الأدوات التقنية الذكية، ولا إلى حدود المسؤولية الناتجة عن استخدامها، مما يفتح الباب أمام إشكالات قانونية تتعلق بالمهنية والخصوصية والتبعية.</w:t>
      </w:r>
    </w:p>
    <w:p w14:paraId="4BCACC62" w14:textId="77777777" w:rsidR="00A94FD1" w:rsidRPr="00BC5F38" w:rsidRDefault="00A94FD1" w:rsidP="00A60CD0">
      <w:pPr>
        <w:jc w:val="right"/>
        <w:rPr>
          <w:rFonts w:asciiTheme="majorBidi" w:hAnsiTheme="majorBidi" w:cstheme="majorBidi"/>
          <w:sz w:val="24"/>
          <w:szCs w:val="24"/>
        </w:rPr>
      </w:pPr>
      <w:r>
        <w:rPr>
          <w:rFonts w:asciiTheme="majorBidi" w:hAnsiTheme="majorBidi" w:cstheme="majorBidi"/>
          <w:sz w:val="24"/>
          <w:szCs w:val="24"/>
          <w:rtl/>
        </w:rPr>
        <w:t>وقد أشار الدكتور خالد المالكي في دراسته: (المسؤولية المدنية عن فعل الذكاء الاصطناعي في النظام السعودي) :</w:t>
      </w:r>
    </w:p>
    <w:p w14:paraId="3E0F9E06" w14:textId="77777777" w:rsidR="00A94FD1" w:rsidRPr="00BC5F38" w:rsidRDefault="00A94FD1" w:rsidP="006713B6">
      <w:pPr>
        <w:jc w:val="right"/>
        <w:rPr>
          <w:rFonts w:asciiTheme="majorBidi" w:hAnsiTheme="majorBidi" w:cstheme="majorBidi"/>
          <w:sz w:val="24"/>
          <w:szCs w:val="24"/>
          <w:rtl/>
        </w:rPr>
      </w:pPr>
      <w:r>
        <w:rPr>
          <w:rFonts w:asciiTheme="majorBidi" w:hAnsiTheme="majorBidi" w:cstheme="majorBidi"/>
          <w:sz w:val="24"/>
          <w:szCs w:val="24"/>
          <w:rtl/>
        </w:rPr>
        <w:lastRenderedPageBreak/>
        <w:t>"التشريع والفقه السعودي لم يحددا بعد كيفية التعامل مع الأفعال الناتجة عن أنظمة ذكية مستقلة، ما يُظهر حاجة ماسّة إلى تنظيم تشريعي يعالج هذا الفراغ"</w:t>
      </w:r>
      <w:r>
        <w:rPr>
          <w:rStyle w:val="af"/>
          <w:rFonts w:asciiTheme="majorBidi" w:hAnsiTheme="majorBidi" w:cstheme="majorBidi"/>
          <w:sz w:val="24"/>
          <w:szCs w:val="24"/>
          <w:rtl/>
        </w:rPr>
        <w:footnoteReference w:id="3"/>
      </w:r>
    </w:p>
    <w:p w14:paraId="782E1E86" w14:textId="77777777" w:rsidR="00F219B4" w:rsidRPr="00BC5F38" w:rsidRDefault="00A94FD1" w:rsidP="006713B6">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هذا المنطلق، تتناول هذه الدراسة – ذات الطبيعة التحليلية– الإطار القانوني المنظم لاستخدام تقنيات الذكاء الاصطناعي داخل مكاتب المحاماة، وتسعى إلى تقديم معالجة نوعية تكشف أوجه القصور في التنظيم القائم، وتقترح إطارًا وطنيًا متكاملًا يضمن التوظيف الآمن والمهني لهذه التقنيات. ويستند التحليل إلى مراجعة عدد من الأنظمة السعودية ذات العلاقة، مثل نظام المحاماة، ونظام حماية البيانات الشخصية، ونظام التعاملات الإلكترونية، لتقييم مدى كفاءتها في ضبط استخدام الذكاء الاصطناعي قانونيًا ومهنيًا. كما تركز الدراسة على استقراء واقع الممارسة التقنية في مكاتب المحاماة، وتشخيص التحديات النظامية والمهنية المصاحبة لها، تمهيدًا لبناء تصور تنظيمي وطني يحقق التوازن بين الكفاءة التقنية من جهة، ومتطلبات حماية الخصوصية والمسؤولية القانونية من جهة أخرى، ويعزز في الوقت ذاته الاستخدام الآمن والمنظم للتقنيات الذكية في البيئة العدلية السعودية.</w:t>
      </w:r>
    </w:p>
    <w:p w14:paraId="1C55EC6C" w14:textId="77777777" w:rsidR="00D57654" w:rsidRDefault="00000000" w:rsidP="006713B6">
      <w:pPr>
        <w:jc w:val="right"/>
        <w:rPr>
          <w:rFonts w:asciiTheme="majorBidi" w:hAnsiTheme="majorBidi" w:cstheme="majorBidi"/>
          <w:sz w:val="24"/>
          <w:szCs w:val="24"/>
          <w:rtl/>
        </w:rPr>
      </w:pPr>
      <w:r>
        <w:rPr>
          <w:rFonts w:asciiTheme="majorBidi" w:hAnsiTheme="majorBidi" w:cstheme="majorBidi"/>
          <w:sz w:val="24"/>
          <w:szCs w:val="24"/>
          <w:rtl/>
        </w:rPr>
        <w:t>وفي ضوء التجربة الإماراتية، رصد العجماني وسيد أن محاكم مركز دبي المالي الدولي طوّرت نهجاً مبتكراً في إدارة ملفات القضايا التجارية بالذكاء الاصطناعي، مع التزام صارم بمبادئ حماية البيانات، وهو ما يُقدّم نموذجاً تجريبياً صالحاً للدراسة والاستلهام في السياق القضائي السعودي، لا سيما في ضوء الخطط التوسعية لمحاكم مركز الملك عبدالله المالي.</w:t>
      </w:r>
      <w:r w:rsidRPr="00000002">
        <w:rPr>
          <w:rtl/>
        </w:rPr>
        <w:footnoteReference w:id="4"/>
      </w:r>
    </w:p>
    <w:p w14:paraId="275BBAE3" w14:textId="77777777" w:rsidR="00D57654" w:rsidRDefault="00000000" w:rsidP="006713B6">
      <w:pPr>
        <w:jc w:val="right"/>
        <w:rPr>
          <w:rFonts w:asciiTheme="majorBidi" w:hAnsiTheme="majorBidi" w:cstheme="majorBidi"/>
          <w:sz w:val="24"/>
          <w:szCs w:val="24"/>
          <w:rtl/>
        </w:rPr>
      </w:pPr>
      <w:r>
        <w:rPr>
          <w:rFonts w:asciiTheme="majorBidi" w:hAnsiTheme="majorBidi" w:cstheme="majorBidi"/>
          <w:sz w:val="24"/>
          <w:szCs w:val="24"/>
          <w:rtl/>
        </w:rPr>
        <w:t>وفي الإطار الجنائي المقارن، رأى العطار والنوايسة أن نظم حماية البيانات لا تُعالج بشكل كافٍ حالة تسرب البيانات القانونية الحساسة نتيجة اختراق منصة ذكاء اصطناعي، وذلك لأن العقوبات المقررة لانتهاكات الخصوصية لم تُصَغ مع استحضار سيناريو الاختراق التقني الذي يُفضي فيه نظام آلي إلى كشف ملفات موكلين أمام أطراف غير مصرح لهم.</w:t>
      </w:r>
      <w:r w:rsidRPr="00000002">
        <w:rPr>
          <w:rtl/>
        </w:rPr>
        <w:footnoteReference w:id="5"/>
      </w:r>
    </w:p>
    <w:p w14:paraId="051D4D2B" w14:textId="77777777" w:rsidR="00D57654" w:rsidRDefault="00000000" w:rsidP="006713B6">
      <w:pPr>
        <w:jc w:val="right"/>
        <w:rPr>
          <w:rFonts w:asciiTheme="majorBidi" w:hAnsiTheme="majorBidi" w:cstheme="majorBidi"/>
          <w:sz w:val="24"/>
          <w:szCs w:val="24"/>
          <w:rtl/>
        </w:rPr>
      </w:pPr>
      <w:r>
        <w:rPr>
          <w:rFonts w:asciiTheme="majorBidi" w:hAnsiTheme="majorBidi" w:cstheme="majorBidi"/>
          <w:sz w:val="24"/>
          <w:szCs w:val="24"/>
          <w:rtl/>
        </w:rPr>
        <w:t>وعلى صعيد الإصلاح التشريعي، دعا المعلم إلى تعديل لائحة نظام حماية البيانات الشخصية بإضافة فصل مستقل يُنظّم معالجة البيانات القانونية بالذكاء الاصطناعي، يشمل: اشتراطات الحصول على الموافقة، وضوابط التخزين والحذف، ومعايير أمن المعلومات المتوافقة مع المستجدات التقنية في هذا المجال.</w:t>
      </w:r>
      <w:r w:rsidRPr="00000002">
        <w:rPr>
          <w:rtl/>
        </w:rPr>
        <w:footnoteReference w:id="6"/>
      </w:r>
    </w:p>
    <w:p w14:paraId="50260EA9" w14:textId="77777777" w:rsidR="00D57654" w:rsidRDefault="00000000" w:rsidP="006713B6">
      <w:pPr>
        <w:jc w:val="right"/>
        <w:rPr>
          <w:rFonts w:asciiTheme="majorBidi" w:hAnsiTheme="majorBidi" w:cstheme="majorBidi"/>
          <w:sz w:val="24"/>
          <w:szCs w:val="24"/>
          <w:rtl/>
        </w:rPr>
      </w:pPr>
      <w:r>
        <w:rPr>
          <w:rFonts w:asciiTheme="majorBidi" w:hAnsiTheme="majorBidi" w:cstheme="majorBidi"/>
          <w:sz w:val="24"/>
          <w:szCs w:val="24"/>
          <w:rtl/>
        </w:rPr>
        <w:t>وفي ضوء هذا التحليل، لاحظت عبد الرحمن أن مسألة الشخصية القانونية للذكاء الاصطناعي وإن كانت مثار جدل فلسفي في الفقه المقارن، إلا أن لها أبعاداً عملية مباشرة تتعلق بنظام حماية البيانات؛ إذ يختلف النظام حين تكون الجهة المعالِجة للبيانات شخصاً قانونياً تنتهي مسؤوليته بإفلاسه، عنه حين تكون منصة ذكاء اصطناعي قد تتعدد جهات ملكيتها وتشغيلها.</w:t>
      </w:r>
      <w:r w:rsidRPr="00000002">
        <w:rPr>
          <w:rtl/>
        </w:rPr>
        <w:footnoteReference w:id="7"/>
      </w:r>
    </w:p>
    <w:p w14:paraId="5F0D5165" w14:textId="77777777" w:rsidR="00D57654" w:rsidRDefault="00000000" w:rsidP="006713B6">
      <w:pPr>
        <w:jc w:val="right"/>
        <w:rPr>
          <w:rFonts w:asciiTheme="majorBidi" w:hAnsiTheme="majorBidi" w:cstheme="majorBidi"/>
          <w:sz w:val="24"/>
          <w:szCs w:val="24"/>
          <w:rtl/>
        </w:rPr>
      </w:pPr>
      <w:r>
        <w:rPr>
          <w:rFonts w:asciiTheme="majorBidi" w:hAnsiTheme="majorBidi" w:cstheme="majorBidi"/>
          <w:sz w:val="24"/>
          <w:szCs w:val="24"/>
          <w:rtl/>
        </w:rPr>
        <w:t xml:space="preserve">وفي السياق التحليلي ذاته، استعرض العرشاني ثلاثة نماذج مقارنة لحماية بيانات المتقاضين في ظل الذكاء الاصطناعي القضائي: النموذج الأوروبي القائم على مبدأ الحد الأدنى من البيانات، والنموذج الأمريكي القائم </w:t>
      </w:r>
      <w:r>
        <w:rPr>
          <w:rFonts w:asciiTheme="majorBidi" w:hAnsiTheme="majorBidi" w:cstheme="majorBidi"/>
          <w:sz w:val="24"/>
          <w:szCs w:val="24"/>
          <w:rtl/>
        </w:rPr>
        <w:lastRenderedPageBreak/>
        <w:t>على المنفعة الوظيفية، والنموذج الخليجي الناشئ الذي يمزج بين الاثنين مع مراعاة الاشتراطات الدينية والثقافية في التعامل مع المعلومات الشخصية.</w:t>
      </w:r>
      <w:r w:rsidRPr="00000002">
        <w:rPr>
          <w:rtl/>
        </w:rPr>
        <w:footnoteReference w:id="8"/>
      </w:r>
    </w:p>
    <w:p w14:paraId="1CF86E07" w14:textId="77777777" w:rsidR="00D57654" w:rsidRDefault="00000000" w:rsidP="006713B6">
      <w:pPr>
        <w:jc w:val="right"/>
        <w:rPr>
          <w:rFonts w:asciiTheme="majorBidi" w:hAnsiTheme="majorBidi" w:cstheme="majorBidi"/>
          <w:sz w:val="24"/>
          <w:szCs w:val="24"/>
          <w:rtl/>
        </w:rPr>
      </w:pPr>
      <w:r>
        <w:rPr>
          <w:rFonts w:asciiTheme="majorBidi" w:hAnsiTheme="majorBidi" w:cstheme="majorBidi"/>
          <w:sz w:val="24"/>
          <w:szCs w:val="24"/>
          <w:rtl/>
        </w:rPr>
        <w:t>وفيما يتعلق بتقاطع نظام حماية البيانات الشخصية مع منظومة الذكاء الاصطناعي القانوني، بيّن المعلم أن هذا النظام الصادر عام 1443هـ يفرض قيوداً صريحة على معالجة البيانات الحساسة بما يشمل بيانات القضايا القانونية، إلا أنه لا يتضمن نصاً خاصاً يُحدّد الإجراءات الواجبة حين تكون الجهة المعالِجة نظاماً آلياً ذكياً لا موظفاً بشرياً.</w:t>
      </w:r>
      <w:r w:rsidRPr="00000002">
        <w:rPr>
          <w:rtl/>
        </w:rPr>
        <w:footnoteReference w:id="9"/>
      </w:r>
    </w:p>
    <w:p w14:paraId="01A1D053" w14:textId="77777777" w:rsidR="00D57654" w:rsidRDefault="00000000" w:rsidP="006713B6">
      <w:pPr>
        <w:jc w:val="right"/>
        <w:rPr>
          <w:rFonts w:asciiTheme="majorBidi" w:hAnsiTheme="majorBidi" w:cstheme="majorBidi"/>
          <w:sz w:val="24"/>
          <w:szCs w:val="24"/>
          <w:rtl/>
        </w:rPr>
      </w:pPr>
      <w:r>
        <w:rPr>
          <w:rFonts w:asciiTheme="majorBidi" w:hAnsiTheme="majorBidi" w:cstheme="majorBidi"/>
          <w:sz w:val="24"/>
          <w:szCs w:val="24"/>
          <w:rtl/>
        </w:rPr>
        <w:t>وعلى صعيد المسؤولية الجزائية المرتبطة بانتهاك بيانات المتقاضين، رصد المعيبد حالات عدة في السياق المقارن يُوظَّف فيها الذكاء الاصطناعي للوصول غير المشروع إلى ملفات القضايا أو التنبؤ بقرارات القضاة استناداً إلى بيانات محمية، منبّهاً إلى أن النظام الجزائي السعودي لا يتضمن نصوصاً صريحة تُجرّم هذه الصور الجديدة من الاختراق الرقمي.</w:t>
      </w:r>
      <w:r w:rsidRPr="00000001">
        <w:rPr>
          <w:rtl/>
        </w:rPr>
        <w:footnoteReference w:id="10"/>
      </w:r>
    </w:p>
    <w:p w14:paraId="37C1A218" w14:textId="77777777" w:rsidR="00D57654" w:rsidRDefault="00000000" w:rsidP="006713B6">
      <w:pPr>
        <w:jc w:val="right"/>
        <w:rPr>
          <w:rFonts w:asciiTheme="majorBidi" w:hAnsiTheme="majorBidi" w:cstheme="majorBidi"/>
          <w:sz w:val="24"/>
          <w:szCs w:val="24"/>
          <w:rtl/>
        </w:rPr>
      </w:pPr>
      <w:r>
        <w:rPr>
          <w:rFonts w:asciiTheme="majorBidi" w:hAnsiTheme="majorBidi" w:cstheme="majorBidi"/>
          <w:sz w:val="24"/>
          <w:szCs w:val="24"/>
          <w:rtl/>
        </w:rPr>
        <w:t>ومن منظور حماية الدليل الرقمي، كشف الغنامي أن نظام حماية البيانات الشخصية السعودي الصادر عام 1443هـ وإن أسّس منظومة مهمة للخصوصية الرقمية، إلا أنه أغفل بيان حجية البيانات التي تعتمدها أنظمة الذكاء الاصطناعي في توليد تقاريرها القانونية، وهو فراغ قد يُفضي إلى نزاعات إجرائية حول قبول هذه التقارير دليلاً قضائياً.</w:t>
      </w:r>
      <w:r w:rsidRPr="00000001">
        <w:rPr>
          <w:rtl/>
        </w:rPr>
        <w:footnoteReference w:id="11"/>
      </w:r>
    </w:p>
    <w:p w14:paraId="1A74576D" w14:textId="77777777" w:rsidR="00A4106D" w:rsidRPr="00BC5F38" w:rsidRDefault="00A4106D" w:rsidP="00A60CD0">
      <w:pPr>
        <w:jc w:val="right"/>
        <w:rPr>
          <w:rFonts w:asciiTheme="majorBidi" w:hAnsiTheme="majorBidi" w:cstheme="majorBidi"/>
          <w:color w:val="000000" w:themeColor="text1"/>
          <w:sz w:val="24"/>
          <w:szCs w:val="24"/>
        </w:rPr>
      </w:pPr>
    </w:p>
    <w:p w14:paraId="7C4AB454" w14:textId="77777777" w:rsidR="00A4106D" w:rsidRPr="00BC5F38" w:rsidRDefault="00A4106D" w:rsidP="00A60CD0">
      <w:pPr>
        <w:jc w:val="right"/>
        <w:rPr>
          <w:rFonts w:asciiTheme="majorBidi" w:hAnsiTheme="majorBidi" w:cstheme="majorBidi"/>
          <w:b/>
          <w:bCs/>
          <w:sz w:val="28"/>
          <w:szCs w:val="28"/>
          <w:rtl/>
        </w:rPr>
      </w:pPr>
      <w:r>
        <w:rPr>
          <w:rFonts w:asciiTheme="majorBidi" w:hAnsiTheme="majorBidi" w:cstheme="majorBidi"/>
          <w:b/>
          <w:bCs/>
          <w:sz w:val="28"/>
          <w:szCs w:val="28"/>
          <w:rtl/>
        </w:rPr>
        <w:t>مشكلة الدراسة:</w:t>
      </w:r>
    </w:p>
    <w:p w14:paraId="58F50282" w14:textId="77777777" w:rsidR="00A4106D" w:rsidRPr="00BC5F38" w:rsidRDefault="00A4106D" w:rsidP="00A60CD0">
      <w:pPr>
        <w:bidi/>
        <w:spacing w:after="200" w:line="276" w:lineRule="auto"/>
        <w:rPr>
          <w:rFonts w:asciiTheme="majorBidi" w:hAnsiTheme="majorBidi" w:cstheme="majorBidi"/>
          <w:sz w:val="24"/>
          <w:szCs w:val="24"/>
        </w:rPr>
      </w:pPr>
      <w:r>
        <w:rPr>
          <w:rFonts w:asciiTheme="majorBidi" w:hAnsiTheme="majorBidi" w:cstheme="majorBidi"/>
          <w:sz w:val="24"/>
          <w:szCs w:val="24"/>
          <w:rtl/>
        </w:rPr>
        <w:t>شهدت مهنة المحاماة، في السنوات الأخيرة، تحولات لافتة بفعل تطور تقنيات الذكاء الاصطناعي، حيث بدأت أدوات ذكية تدخل في مجالات تحليل الوثائق، وصياغة العقود، وإدارة البيانات القانونية، وتقديم استشارات أولية، مما انعكس على طبيعة العمل القانوني، وساهم في تعزيز الكفاءة والسرعة. إلا أن هذا التوسع يثير إشكالات قانونية وتنظيمية متعددة تتعلق بحماية حقوق العملاء، ومدى نظامية المخرجات، وتحديد المسؤوليات القانونية داخل المهنة</w:t>
      </w:r>
      <w:r>
        <w:rPr>
          <w:rFonts w:asciiTheme="majorBidi" w:hAnsiTheme="majorBidi" w:cstheme="majorBidi"/>
          <w:sz w:val="24"/>
          <w:szCs w:val="24"/>
        </w:rPr>
        <w:t>.</w:t>
      </w:r>
    </w:p>
    <w:p w14:paraId="4A6E2924" w14:textId="77777777" w:rsidR="00A4106D" w:rsidRPr="00BC5F38" w:rsidRDefault="00A4106D" w:rsidP="00A60CD0">
      <w:pPr>
        <w:bidi/>
        <w:spacing w:after="200" w:line="276" w:lineRule="auto"/>
        <w:rPr>
          <w:rFonts w:asciiTheme="majorBidi" w:hAnsiTheme="majorBidi" w:cstheme="majorBidi"/>
          <w:sz w:val="24"/>
          <w:szCs w:val="24"/>
        </w:rPr>
      </w:pPr>
      <w:r>
        <w:rPr>
          <w:rFonts w:asciiTheme="majorBidi" w:hAnsiTheme="majorBidi" w:cstheme="majorBidi"/>
          <w:sz w:val="24"/>
          <w:szCs w:val="24"/>
          <w:rtl/>
        </w:rPr>
        <w:t>في المملكة العربية السعودية، ورغم الخطوات الجادة نحو التحول الرقمي، وصدور عدد من الوثائق المهمة مثل "مبادئ أخلاقيات الذكاء الاصطناعي" عن الهيئة السعودية للبيانات والذكاء الاصطناعي (سدايا)، لا تزال هناك فجوة واضحة في التنظيم القانوني لاستخدام هذه التقنيات داخل مكاتب المحاماة. فعدد من الأنظمة ذات الصلة، كنظام المحاماة، ونظام حماية البيانات الشخصية، ونظام المعاملات المدنية، لا تقدم معالجة صريحة أو تفصيلية لهذه المسألة المستجدة، سواء من حيث التكييف القانوني، أو المسؤوليات، أو الضمانات</w:t>
      </w:r>
      <w:r>
        <w:rPr>
          <w:rFonts w:asciiTheme="majorBidi" w:hAnsiTheme="majorBidi" w:cstheme="majorBidi"/>
          <w:sz w:val="24"/>
          <w:szCs w:val="24"/>
        </w:rPr>
        <w:t>.</w:t>
      </w:r>
    </w:p>
    <w:p w14:paraId="7F2D23D7" w14:textId="77777777" w:rsidR="00A4106D" w:rsidRPr="00BC5F38" w:rsidRDefault="00A4106D" w:rsidP="00A60CD0">
      <w:pPr>
        <w:bidi/>
        <w:spacing w:after="200" w:line="276" w:lineRule="auto"/>
        <w:rPr>
          <w:rFonts w:asciiTheme="majorBidi" w:hAnsiTheme="majorBidi" w:cstheme="majorBidi"/>
          <w:sz w:val="24"/>
          <w:szCs w:val="24"/>
        </w:rPr>
      </w:pPr>
      <w:r>
        <w:rPr>
          <w:rFonts w:asciiTheme="majorBidi" w:hAnsiTheme="majorBidi" w:cstheme="majorBidi"/>
          <w:sz w:val="24"/>
          <w:szCs w:val="24"/>
          <w:rtl/>
        </w:rPr>
        <w:t xml:space="preserve">كما يُلاحظ تنامي استخدام الأفراد أنفسهم لتطبيقات الذكاء الاصطناعي القانونية، في صياغة عقودهم، أو كتابة مذكراتهم، أو فهم أنظمتهم، مما يعرضهم لمخاطر قانونية حقيقية نتيجة نقص الوعي بالنظام، أو الاعتماد على </w:t>
      </w:r>
      <w:r>
        <w:rPr>
          <w:rFonts w:asciiTheme="majorBidi" w:hAnsiTheme="majorBidi" w:cstheme="majorBidi"/>
          <w:sz w:val="24"/>
          <w:szCs w:val="24"/>
          <w:rtl/>
        </w:rPr>
        <w:lastRenderedPageBreak/>
        <w:t>أدوات لا تعكس الخصوصية التشريعية للسعودية، ولا تأخذ في الاعتبار السياقات النظامية الدقيقة، مما يضع تحديًا إضافيًا على المشرّع ومهنة المحاماة معًا</w:t>
      </w:r>
      <w:r>
        <w:rPr>
          <w:rFonts w:asciiTheme="majorBidi" w:hAnsiTheme="majorBidi" w:cstheme="majorBidi"/>
          <w:sz w:val="24"/>
          <w:szCs w:val="24"/>
        </w:rPr>
        <w:t>.</w:t>
      </w:r>
    </w:p>
    <w:p w14:paraId="01C4E02D" w14:textId="77777777" w:rsidR="00A4106D" w:rsidRPr="00BC5F38" w:rsidRDefault="00A4106D" w:rsidP="00A60CD0">
      <w:pPr>
        <w:bidi/>
        <w:spacing w:after="200" w:line="276" w:lineRule="auto"/>
        <w:rPr>
          <w:rFonts w:asciiTheme="majorBidi" w:hAnsiTheme="majorBidi" w:cstheme="majorBidi"/>
          <w:sz w:val="24"/>
          <w:szCs w:val="24"/>
          <w:rtl/>
        </w:rPr>
      </w:pPr>
      <w:r>
        <w:rPr>
          <w:rFonts w:asciiTheme="majorBidi" w:hAnsiTheme="majorBidi" w:cstheme="majorBidi"/>
          <w:sz w:val="24"/>
          <w:szCs w:val="24"/>
          <w:rtl/>
        </w:rPr>
        <w:t>ومن خلال مراجعتي للدراسات السابقة، يظهر أن أغلبها تناول الذكاء الاصطناعي إما من زاوية قضائية أو فقهية نظرية عامة، دون تخصيص كافٍ للتطبيقات المهنية لهذه التقنية داخل مكاتب المحاماة. ومن أبرز هذه الدراسات</w:t>
      </w:r>
      <w:r>
        <w:rPr>
          <w:rFonts w:asciiTheme="majorBidi" w:hAnsiTheme="majorBidi" w:cstheme="majorBidi"/>
          <w:sz w:val="24"/>
          <w:szCs w:val="24"/>
        </w:rPr>
        <w:t xml:space="preserve">: </w:t>
      </w:r>
      <w:r>
        <w:rPr>
          <w:rFonts w:asciiTheme="majorBidi" w:hAnsiTheme="majorBidi" w:cstheme="majorBidi"/>
          <w:sz w:val="24"/>
          <w:szCs w:val="24"/>
          <w:rtl/>
        </w:rPr>
        <w:t>دراسة د. خالد المالكي (2021م) حول المسؤولية المدنية عن فعل الذكاء الاصطناعي في النظام السعودي</w:t>
      </w:r>
      <w:r>
        <w:rPr>
          <w:rStyle w:val="af"/>
          <w:rFonts w:asciiTheme="majorBidi" w:hAnsiTheme="majorBidi" w:cstheme="majorBidi"/>
          <w:sz w:val="24"/>
          <w:szCs w:val="24"/>
          <w:rtl/>
        </w:rPr>
        <w:footnoteReference w:id="12"/>
      </w:r>
      <w:r>
        <w:rPr>
          <w:rFonts w:asciiTheme="majorBidi" w:hAnsiTheme="majorBidi" w:cstheme="majorBidi"/>
          <w:sz w:val="24"/>
          <w:szCs w:val="24"/>
          <w:rtl/>
        </w:rPr>
        <w:t>، والتي ركزت على التوصيف النظري للمسؤولية، دون أن تتطرق إلى أبعاد الاستخدام المهني أو الإشكالات العملية التي يطرحها الواقع الميداني داخل مكاتب المحاماة.</w:t>
      </w:r>
    </w:p>
    <w:p w14:paraId="78D8D591" w14:textId="77777777" w:rsidR="00A302BC" w:rsidRPr="00BC5F38" w:rsidRDefault="00A302BC" w:rsidP="00A302BC">
      <w:pPr>
        <w:bidi/>
        <w:spacing w:after="200" w:line="276" w:lineRule="auto"/>
        <w:rPr>
          <w:rFonts w:asciiTheme="majorBidi" w:hAnsiTheme="majorBidi" w:cstheme="majorBidi"/>
          <w:sz w:val="24"/>
          <w:szCs w:val="24"/>
          <w:rtl/>
        </w:rPr>
      </w:pPr>
      <w:r>
        <w:rPr>
          <w:rFonts w:asciiTheme="majorBidi" w:hAnsiTheme="majorBidi" w:cstheme="majorBidi"/>
          <w:sz w:val="24"/>
          <w:szCs w:val="24"/>
          <w:rtl/>
        </w:rPr>
        <w:t>وتجدر الإشارة إلى أن الذكاء الاصطناعي المقصود في هذه الدراسة يتمثل في الأدوات التنبؤية أو التوليدية التي تُستخدم فعليًا داخل مكاتب المحاماة في المملكة العربية السعودية، لأغراض مثل تحليل المستندات، وتوليد النصوص القانونية، وإدارة بيانات القضايا، وليس المقصود الأنظمة الرقمية العامة أو الذكاء الاصطناعي المستخدم في القضاء</w:t>
      </w:r>
      <w:r>
        <w:rPr>
          <w:rFonts w:asciiTheme="majorBidi" w:hAnsiTheme="majorBidi" w:cstheme="majorBidi"/>
          <w:sz w:val="24"/>
          <w:szCs w:val="24"/>
        </w:rPr>
        <w:t>.</w:t>
      </w:r>
    </w:p>
    <w:p w14:paraId="318616DD"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t>وقد تناول إسماعيل (2025م) في دراسته المنشورة بمجلة الباحث العربي الإطارَ المفاهيمي للذكاء الاصطناعي وواقع تطبيقه على المهن القانونية، مؤكدًا أن الذكاء الاصطناعي غدا اليوم شريكًا حتميًا في الممارسة القانونية، وأن المكاتب التي لا تتبنى أدواته التوليدية تخاطر بالتخلف عن السوق القانوني الرقمي المتنامي.</w:t>
      </w:r>
      <w:r w:rsidRPr="00000001">
        <w:rPr>
          <w:rtl/>
        </w:rPr>
        <w:footnoteReference w:id="13"/>
      </w:r>
    </w:p>
    <w:p w14:paraId="0027D828" w14:textId="77777777" w:rsidR="00A302BC" w:rsidRPr="00BC5F38" w:rsidRDefault="00A302BC" w:rsidP="00A302BC">
      <w:pPr>
        <w:bidi/>
        <w:spacing w:after="200" w:line="276" w:lineRule="auto"/>
        <w:rPr>
          <w:rFonts w:asciiTheme="majorBidi" w:hAnsiTheme="majorBidi" w:cstheme="majorBidi"/>
          <w:sz w:val="24"/>
          <w:szCs w:val="24"/>
          <w:rtl/>
        </w:rPr>
      </w:pPr>
      <w:r>
        <w:rPr>
          <w:rFonts w:asciiTheme="majorBidi" w:hAnsiTheme="majorBidi" w:cstheme="majorBidi"/>
          <w:sz w:val="24"/>
          <w:szCs w:val="24"/>
          <w:rtl/>
        </w:rPr>
        <w:t xml:space="preserve">ومن هنا، تتحدد مشكلة الدراسة في </w:t>
      </w:r>
      <w:r>
        <w:rPr>
          <w:rFonts w:asciiTheme="majorBidi" w:hAnsiTheme="majorBidi" w:cstheme="majorBidi"/>
          <w:b/>
          <w:bCs/>
          <w:sz w:val="24"/>
          <w:szCs w:val="24"/>
          <w:rtl/>
        </w:rPr>
        <w:t>قصور الإطار النظامي في المملكة العربية السعودية عن تنظيم استخدام الذكاء الاصطناعي في تطوير الخدمات القانونية داخل مكاتب المحاماة</w:t>
      </w:r>
      <w:r>
        <w:rPr>
          <w:rFonts w:asciiTheme="majorBidi" w:hAnsiTheme="majorBidi" w:cstheme="majorBidi"/>
          <w:sz w:val="24"/>
          <w:szCs w:val="24"/>
          <w:rtl/>
        </w:rPr>
        <w:t>، سواء من حيث التكييف القانوني للمخرجات، أو تحديد المسؤولية النظامية، أو ضمانات حماية البيانات، في ظل غياب تصور تنظيمي واضح يحدد نطاق الاستخدام المشروع ويواكب هذا التحول التقني. ويزداد تعقيد هذه الإشكالية مع تزايد اعتماد المكاتب القانونية والأفراد على هذه التقنيات دون مرجعية قانونية دقيقة أو إطار تشريعي متكامل يضمن الاستخدام الآمن والمسؤول لها</w:t>
      </w:r>
      <w:r>
        <w:rPr>
          <w:rFonts w:asciiTheme="majorBidi" w:hAnsiTheme="majorBidi" w:cstheme="majorBidi"/>
          <w:sz w:val="24"/>
          <w:szCs w:val="24"/>
        </w:rPr>
        <w:t>.</w:t>
      </w:r>
    </w:p>
    <w:p w14:paraId="139C2F08"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t>وفي السياق ذاته، أكد الغنامي (د.ت) في بحثه الصادر عن الجامعة السعودية الإلكترونية أن الضوابط النظامية للذكاء الاصطناعي في إبرام المعاملات القانونية لا تزال في طور النشأة، وأن غياب التأطير التشريعي الشامل يولّد فراغًا قانونيًا يطال صحة التصرفات التي تُبرمها الأنظمة الذكية نيابةً عن المحامين.</w:t>
      </w:r>
      <w:r w:rsidRPr="00000001">
        <w:rPr>
          <w:rtl/>
        </w:rPr>
        <w:footnoteReference w:id="14"/>
      </w:r>
    </w:p>
    <w:p w14:paraId="69C4F7BC" w14:textId="77777777" w:rsidR="00A302BC" w:rsidRPr="00BC5F38" w:rsidRDefault="00A302BC" w:rsidP="00A302BC">
      <w:pPr>
        <w:bidi/>
        <w:spacing w:after="200" w:line="276" w:lineRule="auto"/>
        <w:rPr>
          <w:rFonts w:asciiTheme="majorBidi" w:hAnsiTheme="majorBidi" w:cstheme="majorBidi"/>
          <w:sz w:val="24"/>
          <w:szCs w:val="24"/>
          <w:rtl/>
        </w:rPr>
      </w:pPr>
      <w:r>
        <w:rPr>
          <w:rFonts w:asciiTheme="majorBidi" w:hAnsiTheme="majorBidi" w:cstheme="majorBidi"/>
          <w:sz w:val="24"/>
          <w:szCs w:val="24"/>
          <w:rtl/>
        </w:rPr>
        <w:t>بناءً على ما تبيَّن من فجوات تشريعية وتنظيمية، فإن هذه الدراسة تتجه نحو صياغة إطار قانوني وطني متكامل لتنظيم توظيف تقنيات الذكاء الاصطناعي في مكاتب المحاماة، يقوم على ثلاثة محاور رئيسية مترابطة</w:t>
      </w:r>
      <w:r>
        <w:rPr>
          <w:rFonts w:asciiTheme="majorBidi" w:hAnsiTheme="majorBidi" w:cstheme="majorBidi"/>
          <w:sz w:val="24"/>
          <w:szCs w:val="24"/>
        </w:rPr>
        <w:t xml:space="preserve">: </w:t>
      </w:r>
      <w:r>
        <w:rPr>
          <w:rFonts w:asciiTheme="majorBidi" w:hAnsiTheme="majorBidi" w:cstheme="majorBidi"/>
          <w:b/>
          <w:bCs/>
          <w:sz w:val="24"/>
          <w:szCs w:val="24"/>
          <w:rtl/>
        </w:rPr>
        <w:t>أولًا</w:t>
      </w:r>
      <w:r>
        <w:rPr>
          <w:rFonts w:asciiTheme="majorBidi" w:hAnsiTheme="majorBidi" w:cstheme="majorBidi"/>
          <w:sz w:val="24"/>
          <w:szCs w:val="24"/>
          <w:rtl/>
        </w:rPr>
        <w:t xml:space="preserve">، وضع معايير دقيقة وملزمة لترخيص وتشغيل الأدوات التقنية الذكية، بما يضمن موثوقية المخرجات وحجيتها النظامية؛ </w:t>
      </w:r>
      <w:r>
        <w:rPr>
          <w:rFonts w:asciiTheme="majorBidi" w:hAnsiTheme="majorBidi" w:cstheme="majorBidi"/>
          <w:b/>
          <w:bCs/>
          <w:sz w:val="24"/>
          <w:szCs w:val="24"/>
          <w:rtl/>
        </w:rPr>
        <w:t>ثانيًا</w:t>
      </w:r>
      <w:r>
        <w:rPr>
          <w:rFonts w:asciiTheme="majorBidi" w:hAnsiTheme="majorBidi" w:cstheme="majorBidi"/>
          <w:sz w:val="24"/>
          <w:szCs w:val="24"/>
          <w:rtl/>
        </w:rPr>
        <w:t xml:space="preserve">، إقرار ضوابط تفصيلية لحماية الخصوصية وسرية بيانات العملاء، وتحديد المسؤوليات النظامية والمهنية بدقة تجاه أي إخلال أو ضرر؛ </w:t>
      </w:r>
      <w:r>
        <w:rPr>
          <w:rFonts w:asciiTheme="majorBidi" w:hAnsiTheme="majorBidi" w:cstheme="majorBidi"/>
          <w:b/>
          <w:bCs/>
          <w:sz w:val="24"/>
          <w:szCs w:val="24"/>
          <w:rtl/>
        </w:rPr>
        <w:t>ثالثًا</w:t>
      </w:r>
      <w:r>
        <w:rPr>
          <w:rFonts w:asciiTheme="majorBidi" w:hAnsiTheme="majorBidi" w:cstheme="majorBidi"/>
          <w:sz w:val="24"/>
          <w:szCs w:val="24"/>
          <w:rtl/>
        </w:rPr>
        <w:t>، إنشاء آليات رقابة وحوكمة مهنية داخل المكاتب، تعزز الاستخدام المنضبط والآمن للتقنيات، وتحد من المخاطر المرتبطة بها. ويهدف هذا الإطار المقترح إلى تحقيق التوازن بين الاستفادة من مزايا الكفاءة التقنية التي توفرها هذه الأدوات، وضمان حماية الحقوق والمتطلبات النظامية، في انسجام تام مع مستهدفات التحول العدلي الرقمي ضمن رؤية المملكة 2030</w:t>
      </w:r>
      <w:r>
        <w:rPr>
          <w:rFonts w:asciiTheme="majorBidi" w:hAnsiTheme="majorBidi" w:cstheme="majorBidi"/>
          <w:sz w:val="24"/>
          <w:szCs w:val="24"/>
        </w:rPr>
        <w:t>.</w:t>
      </w:r>
    </w:p>
    <w:p w14:paraId="4460C77C" w14:textId="77777777" w:rsidR="00A4106D" w:rsidRPr="00BC5F38" w:rsidRDefault="00A4106D" w:rsidP="00A4106D">
      <w:pPr>
        <w:jc w:val="right"/>
        <w:rPr>
          <w:rFonts w:asciiTheme="majorBidi" w:hAnsiTheme="majorBidi" w:cstheme="majorBidi"/>
          <w:sz w:val="24"/>
          <w:szCs w:val="24"/>
        </w:rPr>
      </w:pPr>
    </w:p>
    <w:p w14:paraId="4FD1CA72" w14:textId="77777777" w:rsidR="006363BC" w:rsidRPr="00BC5F38" w:rsidRDefault="006363BC" w:rsidP="00A4106D">
      <w:pPr>
        <w:jc w:val="right"/>
        <w:rPr>
          <w:rFonts w:asciiTheme="majorBidi" w:hAnsiTheme="majorBidi" w:cstheme="majorBidi"/>
          <w:b/>
          <w:bCs/>
          <w:sz w:val="28"/>
          <w:szCs w:val="28"/>
          <w:rtl/>
        </w:rPr>
      </w:pPr>
      <w:r>
        <w:rPr>
          <w:rFonts w:asciiTheme="majorBidi" w:hAnsiTheme="majorBidi" w:cstheme="majorBidi" w:hint="cs"/>
          <w:b/>
          <w:bCs/>
          <w:sz w:val="28"/>
          <w:szCs w:val="28"/>
          <w:rtl/>
        </w:rPr>
        <w:t>أهمية الدراسة:</w:t>
      </w:r>
    </w:p>
    <w:p w14:paraId="3E504E8E" w14:textId="77777777" w:rsidR="006363BC" w:rsidRPr="00BC5F38" w:rsidRDefault="006363BC" w:rsidP="006363BC">
      <w:pPr>
        <w:bidi/>
        <w:spacing w:after="200" w:line="276" w:lineRule="auto"/>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تنبع أهمية هذه الدراسة من ارتباطها بموضوع معاصر وذو طابع استراتيجي يمسّ التطور المهني والتشريعي في البيئة العدلية السعودية، حيث تتناول إشكالية تنظيم استخدام تقنيات الذكاء الاصطناعي داخل مكاتب المحاماة، في وقت تتسارع فيه مبادرات التحول الرقمي ضمن رؤية المملكة 2030. وتتمثل القيمة العلمية للدراسة في مساهمتها في إثراء الأدبيات القانونية المحلية والعربية، من خلال تحليل لم يُتناول بعمق سابقًا في سياق المحاماة تحديدًا، مما يمنحها أصالة أكاديمية ويوفّر مرجعًا علميًا منهجيًا للباحثين مستقبلاً في مجال القانون والتقنية. كما تتمثل الأهمية العملية للدراسة في تقديم حلول واقعية قابلة للتطبيق، من خلال تصور تنظيمي مقترح يمكن الاستفادة منه تشريعيًا ومهنيًا في ضبط العلاقة بين التقنية والممارسة القانونية، بما يعزز موثوقية مخرجات الذكاء الاصطناعي ويحفظ حقوق المتعاملين به. وتبرز أيضًا الأهمية الاقتصادية للدراسة في كونها تسهم في تقنين استخدام أدوات تقنية ذات تكلفة مرتفعة عند سوء الاستخدام، أو عند غياب التنظيم، مما يقلل من المخاطر القانونية والمهنية ويزيد من كفاءة الاستثمار في القطاع العدلي الخاص. أما على المستوى المجتمعي، فتوفر الدراسة أساسًا تنظيميًا يحمي الأفراد والمؤسسات من الوقوع في مخالفات نظامية ناجمة عن استخدام الذكاء الاصطناعي دون إطار قانوني واضح. وتخدم نتائجها أيضًا المجتمع القانوني من ممارسين ومشرّعين، عبر توضيح الأبعاد النظامية للتعامل مع هذه التقنيات، واقتراح مسارات تشريعية ومهنية واقعية تراعي خصوصية البيئة السعودية</w:t>
      </w:r>
      <w:r>
        <w:rPr>
          <w:rFonts w:asciiTheme="majorBidi" w:hAnsiTheme="majorBidi" w:cstheme="majorBidi"/>
          <w:color w:val="000000" w:themeColor="text1"/>
          <w:sz w:val="24"/>
          <w:szCs w:val="24"/>
        </w:rPr>
        <w:t>.</w:t>
      </w:r>
    </w:p>
    <w:p w14:paraId="29E280F1" w14:textId="77777777" w:rsidR="006363BC" w:rsidRPr="00BC5F38" w:rsidRDefault="006363BC" w:rsidP="006363BC">
      <w:pPr>
        <w:bidi/>
        <w:spacing w:after="200" w:line="276" w:lineRule="auto"/>
        <w:rPr>
          <w:rFonts w:asciiTheme="majorBidi" w:hAnsiTheme="majorBidi" w:cstheme="majorBidi"/>
          <w:color w:val="000000" w:themeColor="text1"/>
          <w:sz w:val="24"/>
          <w:szCs w:val="24"/>
          <w:rtl/>
        </w:rPr>
      </w:pPr>
    </w:p>
    <w:p w14:paraId="717971D8" w14:textId="77777777" w:rsidR="006363BC" w:rsidRPr="00BC5F38" w:rsidRDefault="006363BC" w:rsidP="006713B6">
      <w:pPr>
        <w:bidi/>
        <w:spacing w:after="200" w:line="276" w:lineRule="auto"/>
        <w:jc w:val="both"/>
        <w:rPr>
          <w:rFonts w:asciiTheme="majorBidi" w:hAnsiTheme="majorBidi" w:cstheme="majorBidi"/>
          <w:b/>
          <w:bCs/>
          <w:color w:val="000000" w:themeColor="text1"/>
          <w:sz w:val="24"/>
          <w:szCs w:val="24"/>
          <w:rtl/>
        </w:rPr>
      </w:pPr>
      <w:r>
        <w:rPr>
          <w:rFonts w:asciiTheme="majorBidi" w:hAnsiTheme="majorBidi" w:cstheme="majorBidi" w:hint="cs"/>
          <w:b/>
          <w:bCs/>
          <w:color w:val="000000" w:themeColor="text1"/>
          <w:sz w:val="24"/>
          <w:szCs w:val="24"/>
          <w:rtl/>
        </w:rPr>
        <w:t>أهداف الدراسة:</w:t>
      </w:r>
    </w:p>
    <w:p w14:paraId="5B115292" w14:textId="77777777" w:rsidR="006363BC" w:rsidRPr="00BC5F38" w:rsidRDefault="006363BC" w:rsidP="006713B6">
      <w:pPr>
        <w:bidi/>
        <w:spacing w:after="200" w:line="240" w:lineRule="auto"/>
        <w:jc w:val="both"/>
        <w:rPr>
          <w:rFonts w:asciiTheme="majorBidi" w:hAnsiTheme="majorBidi" w:cstheme="majorBidi"/>
          <w:sz w:val="24"/>
          <w:szCs w:val="24"/>
        </w:rPr>
      </w:pPr>
      <w:r>
        <w:rPr>
          <w:rFonts w:asciiTheme="majorBidi" w:hAnsiTheme="majorBidi" w:cstheme="majorBidi"/>
          <w:sz w:val="24"/>
          <w:szCs w:val="24"/>
          <w:rtl/>
        </w:rPr>
        <w:t>تهدف هذه الدراسة إلى تقديم معالجة تحليلية وتنظيمية شاملة للإطار القانوني المنظم لاستخدام تقنيات الذكاء الاصطناعي في مهنة المحاماة داخل المملكة العربية السعودية، وذلك من خلال تحقيق الأهداف التالية</w:t>
      </w:r>
      <w:r>
        <w:rPr>
          <w:rFonts w:asciiTheme="majorBidi" w:hAnsiTheme="majorBidi" w:cstheme="majorBidi"/>
          <w:sz w:val="24"/>
          <w:szCs w:val="24"/>
        </w:rPr>
        <w:t>:</w:t>
      </w:r>
    </w:p>
    <w:p w14:paraId="4299827B" w14:textId="77777777" w:rsidR="006363BC" w:rsidRPr="00BC5F38" w:rsidRDefault="006363BC" w:rsidP="006713B6">
      <w:pPr>
        <w:numPr>
          <w:ilvl w:val="0"/>
          <w:numId w:val="2"/>
        </w:numPr>
        <w:bidi/>
        <w:spacing w:after="200" w:line="240" w:lineRule="auto"/>
        <w:jc w:val="both"/>
        <w:rPr>
          <w:rFonts w:asciiTheme="majorBidi" w:hAnsiTheme="majorBidi" w:cstheme="majorBidi"/>
          <w:sz w:val="24"/>
          <w:szCs w:val="24"/>
        </w:rPr>
      </w:pPr>
      <w:r>
        <w:rPr>
          <w:rFonts w:asciiTheme="majorBidi" w:hAnsiTheme="majorBidi" w:cstheme="majorBidi"/>
          <w:b/>
          <w:bCs/>
          <w:sz w:val="24"/>
          <w:szCs w:val="24"/>
          <w:rtl/>
        </w:rPr>
        <w:t>تحليل الأنظمة السعودية ذات العلاقة</w:t>
      </w:r>
      <w:r>
        <w:rPr>
          <w:rFonts w:asciiTheme="majorBidi" w:hAnsiTheme="majorBidi" w:cstheme="majorBidi"/>
          <w:sz w:val="24"/>
          <w:szCs w:val="24"/>
          <w:rtl/>
        </w:rPr>
        <w:t xml:space="preserve"> بتنظيم مهنة المحاماة وحماية البيانات والتعاملات الإلكترونية، بهدف تقييم مدى كفاءتها وقدرتها على مواكبة التحول التقني داخل المكاتب القانونية</w:t>
      </w:r>
      <w:r>
        <w:rPr>
          <w:rFonts w:asciiTheme="majorBidi" w:hAnsiTheme="majorBidi" w:cstheme="majorBidi"/>
          <w:sz w:val="24"/>
          <w:szCs w:val="24"/>
        </w:rPr>
        <w:t>.</w:t>
      </w:r>
    </w:p>
    <w:p w14:paraId="162F818D" w14:textId="77777777" w:rsidR="00D57654" w:rsidRDefault="00000000" w:rsidP="006713B6">
      <w:pPr>
        <w:jc w:val="right"/>
        <w:rPr>
          <w:rFonts w:asciiTheme="majorBidi" w:hAnsiTheme="majorBidi" w:cstheme="majorBidi"/>
          <w:sz w:val="24"/>
          <w:szCs w:val="24"/>
          <w:rtl/>
        </w:rPr>
      </w:pPr>
      <w:r>
        <w:rPr>
          <w:rFonts w:asciiTheme="majorBidi" w:hAnsiTheme="majorBidi" w:cstheme="majorBidi"/>
          <w:sz w:val="24"/>
          <w:szCs w:val="24"/>
          <w:rtl/>
        </w:rPr>
        <w:t>ومن منظور العدالة الناجزة، دافع العجماني وسيد عن توظيف الذكاء الاصطناعي في إدارة القضايا وتوجيه المتقاضين، مستدلَّين بأن تجربة الإمارات أثبتت قدرة هذه الأنظمة على تقليص مدد الفصل في النزاعات التجارية وزيادة كفاءة التسوية الودية، غير أنهما يُحذّران من تمديد هذه التجربة إلى القضايا الجنائية أو الشخصية التي تنطوي على حقوق لصيقة بالإنسان.</w:t>
      </w:r>
      <w:r w:rsidRPr="00000002">
        <w:rPr>
          <w:rtl/>
        </w:rPr>
        <w:footnoteReference w:id="15"/>
      </w:r>
    </w:p>
    <w:p w14:paraId="3789C209" w14:textId="77777777" w:rsidR="00D57654" w:rsidRDefault="00000000" w:rsidP="006713B6">
      <w:pPr>
        <w:jc w:val="right"/>
        <w:rPr>
          <w:rFonts w:asciiTheme="majorBidi" w:hAnsiTheme="majorBidi" w:cstheme="majorBidi"/>
          <w:sz w:val="24"/>
          <w:szCs w:val="24"/>
          <w:rtl/>
        </w:rPr>
      </w:pPr>
      <w:r>
        <w:rPr>
          <w:rFonts w:asciiTheme="majorBidi" w:hAnsiTheme="majorBidi" w:cstheme="majorBidi"/>
          <w:sz w:val="24"/>
          <w:szCs w:val="24"/>
          <w:rtl/>
        </w:rPr>
        <w:t>وبالنظر في تحليل كيانات الذكاء الاصطناعي من منظور المسؤولية الجنائية، ذهب العطار والنوايسة إلى أن كيانات الذكاء الاصطناعي ذاتية التعلم تُشكّل تحدياً جوهرياً لمبدأ الشخصية الجنائية، إذ يستلزم قيام المسؤولية الجنائية تقليدياً توافر عنصري الإرادة والإدراك في الفاعل، وهو ما لا ينطبق على الأنظمة الآلية مهما بلغت درجة تعقيدها وقدرتها على محاكاة السلوك الإنساني.</w:t>
      </w:r>
      <w:r w:rsidRPr="00000002">
        <w:rPr>
          <w:rtl/>
        </w:rPr>
        <w:footnoteReference w:id="16"/>
      </w:r>
    </w:p>
    <w:p w14:paraId="3AE59582" w14:textId="77777777" w:rsidR="00D57654" w:rsidRDefault="00000000" w:rsidP="006713B6">
      <w:pPr>
        <w:jc w:val="right"/>
        <w:rPr>
          <w:rFonts w:asciiTheme="majorBidi" w:hAnsiTheme="majorBidi" w:cstheme="majorBidi"/>
          <w:sz w:val="24"/>
          <w:szCs w:val="24"/>
          <w:rtl/>
        </w:rPr>
      </w:pPr>
      <w:r>
        <w:rPr>
          <w:rFonts w:asciiTheme="majorBidi" w:hAnsiTheme="majorBidi" w:cstheme="majorBidi"/>
          <w:sz w:val="24"/>
          <w:szCs w:val="24"/>
          <w:rtl/>
        </w:rPr>
        <w:t xml:space="preserve">وفي سياق تحليل الأنظمة السعودية المنظِّمة للفضاء الرقمي القانوني، أوضح المعلم أن المنظومة التشريعية السعودية تتشكل من طبقات تنظيمية متعددة تشمل: نظام الاتصالات، ونظام مكافحة الجرائم المعلوماتية، ونظام </w:t>
      </w:r>
      <w:r>
        <w:rPr>
          <w:rFonts w:asciiTheme="majorBidi" w:hAnsiTheme="majorBidi" w:cstheme="majorBidi"/>
          <w:sz w:val="24"/>
          <w:szCs w:val="24"/>
          <w:rtl/>
        </w:rPr>
        <w:lastRenderedPageBreak/>
        <w:t>حماية البيانات الشخصية، إلى جانب الاشتراطات الخاصة التي أصدرتها هيئة البيانات والذكاء الاصطناعي، إلا أن هذه الطبقات لا تُشكّل إطاراً موحداً يحكم توظيف الذكاء الاصطناعي في المهن القانونية تحديداً.</w:t>
      </w:r>
      <w:r w:rsidRPr="00000002">
        <w:rPr>
          <w:rtl/>
        </w:rPr>
        <w:footnoteReference w:id="17"/>
      </w:r>
    </w:p>
    <w:p w14:paraId="14A56596" w14:textId="77777777" w:rsidR="00D57654" w:rsidRDefault="00000000" w:rsidP="006713B6">
      <w:pPr>
        <w:jc w:val="right"/>
        <w:rPr>
          <w:rFonts w:asciiTheme="majorBidi" w:hAnsiTheme="majorBidi" w:cstheme="majorBidi"/>
          <w:sz w:val="24"/>
          <w:szCs w:val="24"/>
          <w:rtl/>
        </w:rPr>
      </w:pPr>
      <w:r>
        <w:rPr>
          <w:rFonts w:asciiTheme="majorBidi" w:hAnsiTheme="majorBidi" w:cstheme="majorBidi"/>
          <w:sz w:val="24"/>
          <w:szCs w:val="24"/>
          <w:rtl/>
        </w:rPr>
        <w:t>وقد ذهب الشراري إلى أن تحليل المنظومة التشريعية الوطنية في مواجهة الذكاء الاصطناعي لا ينبغي أن يقتصر على الأحكام المدنية، بل يمتد ليشمل الأطر المهنية والتأديبية والإجرائية، مستنداً في ذلك إلى منهج مقارن يربط بين التجارب التشريعية الكويتية والسعودية والإماراتية، ومنتهياً إلى أن القاسم المشترك بين هذه التجارب هو غياب النص الصريح الذي يُحدّد الطرف المسؤول حين يتسبب نظام ذكاء اصطناعي في ضرر ذي طابع قانوني.</w:t>
      </w:r>
      <w:r w:rsidRPr="00000001">
        <w:rPr>
          <w:rtl/>
        </w:rPr>
        <w:footnoteReference w:id="18"/>
      </w:r>
    </w:p>
    <w:p w14:paraId="2836D84D" w14:textId="77777777" w:rsidR="006363BC" w:rsidRPr="00BC5F38" w:rsidRDefault="006363BC" w:rsidP="006713B6">
      <w:pPr>
        <w:numPr>
          <w:ilvl w:val="0"/>
          <w:numId w:val="2"/>
        </w:numPr>
        <w:bidi/>
        <w:spacing w:after="200" w:line="240" w:lineRule="auto"/>
        <w:jc w:val="both"/>
        <w:rPr>
          <w:rFonts w:asciiTheme="majorBidi" w:hAnsiTheme="majorBidi" w:cstheme="majorBidi"/>
          <w:sz w:val="24"/>
          <w:szCs w:val="24"/>
        </w:rPr>
      </w:pPr>
      <w:r>
        <w:rPr>
          <w:rFonts w:asciiTheme="majorBidi" w:hAnsiTheme="majorBidi" w:cstheme="majorBidi"/>
          <w:b/>
          <w:bCs/>
          <w:sz w:val="24"/>
          <w:szCs w:val="24"/>
          <w:rtl/>
        </w:rPr>
        <w:t>تقييم الحجية القانونية للمخرجات الصادرة عن أدوات الذكاء الاصطناعي</w:t>
      </w:r>
      <w:r>
        <w:rPr>
          <w:rFonts w:asciiTheme="majorBidi" w:hAnsiTheme="majorBidi" w:cstheme="majorBidi"/>
          <w:sz w:val="24"/>
          <w:szCs w:val="24"/>
          <w:rtl/>
        </w:rPr>
        <w:t xml:space="preserve"> مثل العقود والمذكرات والتقارير القانونية، مع بيان الضوابط النظامية التي تحكم اعتمادها والآثار القانونية المترتبة على استخدامها دون إطار قانوني منضبط</w:t>
      </w:r>
      <w:r>
        <w:rPr>
          <w:rFonts w:asciiTheme="majorBidi" w:hAnsiTheme="majorBidi" w:cstheme="majorBidi"/>
          <w:sz w:val="24"/>
          <w:szCs w:val="24"/>
        </w:rPr>
        <w:t>.</w:t>
      </w:r>
    </w:p>
    <w:p w14:paraId="5B14CD46" w14:textId="77777777" w:rsidR="006363BC" w:rsidRPr="00BC5F38" w:rsidRDefault="006363BC" w:rsidP="006713B6">
      <w:pPr>
        <w:numPr>
          <w:ilvl w:val="0"/>
          <w:numId w:val="2"/>
        </w:numPr>
        <w:bidi/>
        <w:spacing w:after="200" w:line="240" w:lineRule="auto"/>
        <w:jc w:val="both"/>
        <w:rPr>
          <w:rFonts w:asciiTheme="majorBidi" w:hAnsiTheme="majorBidi" w:cstheme="majorBidi"/>
          <w:sz w:val="24"/>
          <w:szCs w:val="24"/>
        </w:rPr>
      </w:pPr>
      <w:r>
        <w:rPr>
          <w:rFonts w:asciiTheme="majorBidi" w:hAnsiTheme="majorBidi" w:cstheme="majorBidi"/>
          <w:b/>
          <w:bCs/>
          <w:sz w:val="24"/>
          <w:szCs w:val="24"/>
          <w:rtl/>
        </w:rPr>
        <w:t>تحديد أبعاد المسؤولية القانونية والمهنية</w:t>
      </w:r>
      <w:r>
        <w:rPr>
          <w:rFonts w:asciiTheme="majorBidi" w:hAnsiTheme="majorBidi" w:cstheme="majorBidi"/>
          <w:sz w:val="24"/>
          <w:szCs w:val="24"/>
          <w:rtl/>
        </w:rPr>
        <w:t xml:space="preserve"> الناتجة عن اعتماد مكاتب المحاماة على تقنيات الذكاء الاصطناعي، ودراسة المسؤوليات المترتبة على كل من المطور والمستخدم وجهات الإشراف</w:t>
      </w:r>
      <w:r>
        <w:rPr>
          <w:rFonts w:asciiTheme="majorBidi" w:hAnsiTheme="majorBidi" w:cstheme="majorBidi"/>
          <w:sz w:val="24"/>
          <w:szCs w:val="24"/>
        </w:rPr>
        <w:t>.</w:t>
      </w:r>
    </w:p>
    <w:p w14:paraId="4813E553" w14:textId="77777777" w:rsidR="00D57654" w:rsidRDefault="00000000" w:rsidP="006713B6">
      <w:pPr>
        <w:jc w:val="right"/>
        <w:rPr>
          <w:rFonts w:asciiTheme="majorBidi" w:hAnsiTheme="majorBidi" w:cstheme="majorBidi"/>
          <w:sz w:val="24"/>
          <w:szCs w:val="24"/>
          <w:rtl/>
        </w:rPr>
      </w:pPr>
      <w:r>
        <w:rPr>
          <w:rFonts w:asciiTheme="majorBidi" w:hAnsiTheme="majorBidi" w:cstheme="majorBidi"/>
          <w:sz w:val="24"/>
          <w:szCs w:val="24"/>
          <w:rtl/>
        </w:rPr>
        <w:t>وفي إطار تحديد أبعاد المسؤولية، رسمت عبد الرحمن خريطة مفاهيمية دقيقة لأبعاد المسؤولية القانونية في سياق الذكاء الاصطناعي تُميّز بين البُعد الشخصي المرتبط بالمستخدم المهني، والبُعد الموضوعي المتصل بطبيعة الضرر وآليات إثباته، والبُعد الزمني المتعلق بلحظة نشأة المسؤولية: هل هي عند تصميم النظام أم عند نشره أم عند توظيفه في خدمة قانونية بعينها؟</w:t>
      </w:r>
      <w:r w:rsidRPr="00000002">
        <w:rPr>
          <w:rtl/>
        </w:rPr>
        <w:footnoteReference w:id="19"/>
      </w:r>
    </w:p>
    <w:p w14:paraId="3E517466" w14:textId="77777777" w:rsidR="00D57654" w:rsidRDefault="00000000" w:rsidP="006713B6">
      <w:pPr>
        <w:jc w:val="right"/>
        <w:rPr>
          <w:rFonts w:asciiTheme="majorBidi" w:hAnsiTheme="majorBidi" w:cstheme="majorBidi"/>
          <w:sz w:val="24"/>
          <w:szCs w:val="24"/>
          <w:rtl/>
        </w:rPr>
      </w:pPr>
      <w:r>
        <w:rPr>
          <w:rFonts w:asciiTheme="majorBidi" w:hAnsiTheme="majorBidi" w:cstheme="majorBidi"/>
          <w:sz w:val="24"/>
          <w:szCs w:val="24"/>
          <w:rtl/>
        </w:rPr>
        <w:t>وفي سياق تحديد الأبعاد القانونية والمهنية لهذه المسؤولية، تُميّز الخميسي بين ثلاثة مستويات متداخلة: المسؤولية العقدية الناشئة عن اتفاق الأطراف، والمسؤولية التقصيرية المرتبطة بالإخلال بواجب الحيطة المهنية، والمسؤولية التأديبية الخاضعة لرقابة الهيئات المهنية، مؤكدةً أن الذكاء الاصطناعي أربك الحدود الفاصلة بين هذه الصور لأنه يُشكّل طرفاً فاعلاً لا وسيلة محايدة في العلاقة القانونية.</w:t>
      </w:r>
      <w:r w:rsidRPr="00000001">
        <w:rPr>
          <w:rtl/>
        </w:rPr>
        <w:footnoteReference w:id="20"/>
      </w:r>
    </w:p>
    <w:p w14:paraId="55EB3F53" w14:textId="77777777" w:rsidR="006363BC" w:rsidRPr="00BC5F38" w:rsidRDefault="006363BC" w:rsidP="006713B6">
      <w:pPr>
        <w:numPr>
          <w:ilvl w:val="0"/>
          <w:numId w:val="2"/>
        </w:numPr>
        <w:bidi/>
        <w:spacing w:after="200" w:line="240" w:lineRule="auto"/>
        <w:jc w:val="both"/>
        <w:rPr>
          <w:rFonts w:asciiTheme="majorBidi" w:hAnsiTheme="majorBidi" w:cstheme="majorBidi"/>
          <w:sz w:val="24"/>
          <w:szCs w:val="24"/>
        </w:rPr>
      </w:pPr>
      <w:r>
        <w:rPr>
          <w:rFonts w:asciiTheme="majorBidi" w:hAnsiTheme="majorBidi" w:cstheme="majorBidi"/>
          <w:b/>
          <w:bCs/>
          <w:sz w:val="24"/>
          <w:szCs w:val="24"/>
          <w:rtl/>
        </w:rPr>
        <w:t>تحليل واقع الاستخدام غير المنظم لتقنيات الذكاء الاصطناعي</w:t>
      </w:r>
      <w:r>
        <w:rPr>
          <w:rFonts w:asciiTheme="majorBidi" w:hAnsiTheme="majorBidi" w:cstheme="majorBidi"/>
          <w:sz w:val="24"/>
          <w:szCs w:val="24"/>
          <w:rtl/>
        </w:rPr>
        <w:t xml:space="preserve"> في المجال القانوني، سواء من قبل مكاتب غير مرخصة أو أفراد غير مختصين، وبيان التحديات التي تفرضها هذه الممارسات على المهنة والبيئة التنظيمية</w:t>
      </w:r>
      <w:r>
        <w:rPr>
          <w:rFonts w:asciiTheme="majorBidi" w:hAnsiTheme="majorBidi" w:cstheme="majorBidi"/>
          <w:sz w:val="24"/>
          <w:szCs w:val="24"/>
        </w:rPr>
        <w:t>.</w:t>
      </w:r>
    </w:p>
    <w:p w14:paraId="3CE93DED" w14:textId="77777777" w:rsidR="00D57654" w:rsidRDefault="00000000" w:rsidP="006713B6">
      <w:pPr>
        <w:jc w:val="right"/>
        <w:rPr>
          <w:rFonts w:asciiTheme="majorBidi" w:hAnsiTheme="majorBidi" w:cstheme="majorBidi"/>
          <w:sz w:val="24"/>
          <w:szCs w:val="24"/>
          <w:rtl/>
        </w:rPr>
      </w:pPr>
      <w:r>
        <w:rPr>
          <w:rFonts w:asciiTheme="majorBidi" w:hAnsiTheme="majorBidi" w:cstheme="majorBidi"/>
          <w:sz w:val="24"/>
          <w:szCs w:val="24"/>
          <w:rtl/>
        </w:rPr>
        <w:t>وفيما يخص التحولات المهنية المصاحبة لانتشار الذكاء الاصطناعي، رصدت عبد الرحمن ظاهرة ما أسمتها الهشاشة القانونية الناجمة عن اعتماد المحامين على مخرجات أنظمة لم يتدربوا على تقييمها ونقدها، مشيرةً إلى أن هذه الهشاشة تتجلى في عجز المحامي عن تبرير مخرج النظام أمام القضاء حين يُطعن فيه الخصم.</w:t>
      </w:r>
      <w:r w:rsidRPr="00000002">
        <w:rPr>
          <w:rtl/>
        </w:rPr>
        <w:footnoteReference w:id="21"/>
      </w:r>
    </w:p>
    <w:p w14:paraId="5AF980B7" w14:textId="77777777" w:rsidR="00D57654" w:rsidRDefault="00000000" w:rsidP="006713B6">
      <w:pPr>
        <w:jc w:val="right"/>
        <w:rPr>
          <w:rFonts w:asciiTheme="majorBidi" w:hAnsiTheme="majorBidi" w:cstheme="majorBidi"/>
          <w:sz w:val="24"/>
          <w:szCs w:val="24"/>
          <w:rtl/>
        </w:rPr>
      </w:pPr>
      <w:r>
        <w:rPr>
          <w:rFonts w:asciiTheme="majorBidi" w:hAnsiTheme="majorBidi" w:cstheme="majorBidi"/>
          <w:sz w:val="24"/>
          <w:szCs w:val="24"/>
          <w:rtl/>
        </w:rPr>
        <w:t xml:space="preserve">وقد رصد العجماني وسيد في دراستهما حول العدالة الناجزة في الإمارات أن الاستخدام غير المنظم للذكاء الاصطناعي في المنظومة القضائية يُفضي إلى إشكاليتين متداخلتين: الأولى تتعلق بغياب آليات التحقق من </w:t>
      </w:r>
      <w:r>
        <w:rPr>
          <w:rFonts w:asciiTheme="majorBidi" w:hAnsiTheme="majorBidi" w:cstheme="majorBidi"/>
          <w:sz w:val="24"/>
          <w:szCs w:val="24"/>
          <w:rtl/>
        </w:rPr>
        <w:lastRenderedPageBreak/>
        <w:t>موثوقية مخرجات النظام، والثانية بانعدام المرجعية التشريعية التي تُحدّد الأثر القانوني لهذه المخرجات على مجريات التقاضي.</w:t>
      </w:r>
      <w:r w:rsidRPr="00000002">
        <w:rPr>
          <w:rtl/>
        </w:rPr>
        <w:footnoteReference w:id="22"/>
      </w:r>
    </w:p>
    <w:p w14:paraId="30CBE198" w14:textId="77777777" w:rsidR="006363BC" w:rsidRPr="00BC5F38" w:rsidRDefault="006363BC" w:rsidP="006713B6">
      <w:pPr>
        <w:numPr>
          <w:ilvl w:val="0"/>
          <w:numId w:val="2"/>
        </w:numPr>
        <w:bidi/>
        <w:spacing w:after="200" w:line="240" w:lineRule="auto"/>
        <w:rPr>
          <w:rFonts w:asciiTheme="majorBidi" w:hAnsiTheme="majorBidi" w:cstheme="majorBidi"/>
          <w:sz w:val="24"/>
          <w:szCs w:val="24"/>
        </w:rPr>
      </w:pPr>
      <w:r>
        <w:rPr>
          <w:rFonts w:asciiTheme="majorBidi" w:hAnsiTheme="majorBidi" w:cstheme="majorBidi"/>
          <w:b/>
          <w:bCs/>
          <w:sz w:val="24"/>
          <w:szCs w:val="24"/>
          <w:rtl/>
        </w:rPr>
        <w:t>اقتراح تصور تنظيمي وطني متكامل</w:t>
      </w:r>
      <w:r>
        <w:rPr>
          <w:rFonts w:asciiTheme="majorBidi" w:hAnsiTheme="majorBidi" w:cstheme="majorBidi"/>
          <w:sz w:val="24"/>
          <w:szCs w:val="24"/>
          <w:rtl/>
        </w:rPr>
        <w:t xml:space="preserve"> يوازن بين الكفاءة التقنية، وحماية الحقوق النظامية والمهنية، ويسهم في تعزيز التحول العدلي الرقمي بما ينسجم مع مبادرات رؤية المملكة 2030</w:t>
      </w:r>
      <w:r>
        <w:rPr>
          <w:rFonts w:asciiTheme="majorBidi" w:hAnsiTheme="majorBidi" w:cstheme="majorBidi"/>
          <w:sz w:val="24"/>
          <w:szCs w:val="24"/>
        </w:rPr>
        <w:t>.</w:t>
      </w:r>
    </w:p>
    <w:p w14:paraId="189A5A64" w14:textId="77777777" w:rsidR="00D57654" w:rsidRDefault="00000000" w:rsidP="006713B6">
      <w:pPr>
        <w:jc w:val="right"/>
        <w:rPr>
          <w:rFonts w:asciiTheme="majorBidi" w:hAnsiTheme="majorBidi" w:cstheme="majorBidi"/>
          <w:sz w:val="24"/>
          <w:szCs w:val="24"/>
          <w:rtl/>
        </w:rPr>
      </w:pPr>
      <w:r>
        <w:rPr>
          <w:rFonts w:asciiTheme="majorBidi" w:hAnsiTheme="majorBidi" w:cstheme="majorBidi"/>
          <w:sz w:val="24"/>
          <w:szCs w:val="24"/>
          <w:rtl/>
        </w:rPr>
        <w:t>وفي سياق اقتراح التصورات التنظيمية الشاملة، أكد العرشاني ضرورة أن يستند أي إطار تنظيمي ناجع في مجال الذكاء الاصطناعي القضائي إلى ثلاثة ركائز: ركيزة التقنين التشريعي الذي يُحدّد القواعد والحدود، وركيزة التقنين التقني الذي يضبط مواصفات الأنظمة المسموح بها، وركيزة التقنين المهني الذي يُلزم المهنيين القانونيين بالتدريب والإفصاح والمراجعة الدورية.</w:t>
      </w:r>
      <w:r w:rsidRPr="00000002">
        <w:rPr>
          <w:rtl/>
        </w:rPr>
        <w:footnoteReference w:id="23"/>
      </w:r>
    </w:p>
    <w:p w14:paraId="748A5D75" w14:textId="77777777" w:rsidR="00D57654" w:rsidRDefault="00000000" w:rsidP="006713B6">
      <w:pPr>
        <w:jc w:val="right"/>
        <w:rPr>
          <w:rFonts w:asciiTheme="majorBidi" w:hAnsiTheme="majorBidi" w:cstheme="majorBidi"/>
          <w:sz w:val="24"/>
          <w:szCs w:val="24"/>
          <w:rtl/>
        </w:rPr>
      </w:pPr>
      <w:r>
        <w:rPr>
          <w:rFonts w:asciiTheme="majorBidi" w:hAnsiTheme="majorBidi" w:cstheme="majorBidi"/>
          <w:sz w:val="24"/>
          <w:szCs w:val="24"/>
          <w:rtl/>
        </w:rPr>
        <w:t>وبشأن التصور التنظيمي الوطني المقترح، خلصت الجلعود إلى أن القضاء السعودي يحتاج إلى منظومة تشريعية متكاملة تُحدّد شروط قبول مخرجات الذكاء الاصطناعي دليلاً أمام المحاكم، وتشترط الإفصاح عن طبيعة الأداة المستخدمة وآلية عملها ودرجة موثوقيتها، وأن هذا التنظيم لا يُغلق باب الاستعانة بتقنيات الذكاء الاصطناعي، وإنما يرسم حدوده ويضبط شروط الاحتجاج بمخرجاته.</w:t>
      </w:r>
      <w:r w:rsidRPr="00000001">
        <w:rPr>
          <w:rtl/>
        </w:rPr>
        <w:footnoteReference w:id="24"/>
      </w:r>
    </w:p>
    <w:p w14:paraId="7B303501" w14:textId="77777777" w:rsidR="006363BC" w:rsidRPr="00BC5F38" w:rsidRDefault="006363BC" w:rsidP="00A4106D">
      <w:pPr>
        <w:jc w:val="right"/>
        <w:rPr>
          <w:rFonts w:ascii="Traditional Arabic" w:hAnsi="Traditional Arabic" w:cs="Traditional Arabic"/>
          <w:b/>
          <w:bCs/>
          <w:sz w:val="24"/>
          <w:szCs w:val="24"/>
        </w:rPr>
      </w:pPr>
    </w:p>
    <w:p w14:paraId="036E6FF6" w14:textId="77777777" w:rsidR="006363BC" w:rsidRPr="00BC5F38" w:rsidRDefault="006363BC" w:rsidP="00A4106D">
      <w:pPr>
        <w:jc w:val="right"/>
        <w:rPr>
          <w:rFonts w:asciiTheme="majorBidi" w:hAnsiTheme="majorBidi" w:cstheme="majorBidi"/>
          <w:b/>
          <w:bCs/>
          <w:sz w:val="28"/>
          <w:szCs w:val="28"/>
        </w:rPr>
      </w:pPr>
      <w:r>
        <w:rPr>
          <w:rFonts w:asciiTheme="majorBidi" w:hAnsiTheme="majorBidi" w:cstheme="majorBidi"/>
          <w:b/>
          <w:bCs/>
          <w:sz w:val="28"/>
          <w:szCs w:val="28"/>
          <w:rtl/>
        </w:rPr>
        <w:t>تساؤلات الدراسة:</w:t>
      </w:r>
    </w:p>
    <w:p w14:paraId="3EC9E8F0" w14:textId="77777777" w:rsidR="006363BC" w:rsidRPr="00BC5F38" w:rsidRDefault="006363BC" w:rsidP="006363BC">
      <w:pPr>
        <w:pStyle w:val="a6"/>
        <w:numPr>
          <w:ilvl w:val="0"/>
          <w:numId w:val="3"/>
        </w:numPr>
        <w:spacing w:after="200" w:line="276" w:lineRule="auto"/>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إلى أي مدى تنتشر استخدامات تقنيات الذكاء الاصطناعي داخل مكاتب المحاماة السعودية المرخَّصة خلال الفترة (2020–2025)، وما أبرز مجالات هذا الاستخدام وأساليب الحوكمة الداخلية المطبقة لإدارته؟</w:t>
      </w:r>
    </w:p>
    <w:p w14:paraId="62FA1E58" w14:textId="77777777" w:rsidR="006363BC" w:rsidRPr="00BC5F38" w:rsidRDefault="006363BC" w:rsidP="006363BC">
      <w:pPr>
        <w:pStyle w:val="a6"/>
        <w:numPr>
          <w:ilvl w:val="0"/>
          <w:numId w:val="3"/>
        </w:numPr>
        <w:spacing w:after="200" w:line="276" w:lineRule="auto"/>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ما مدى كفاية الإطار النظامي السعودي القائم لتنظيم استخدام تقنيات الذكاء الاصطناعي في الخدمات القانونية التي تقدمها مكاتب المحاماة، وذلك وفق معايير الشمول، والاتساق، والقابلية للإنفاذ؟</w:t>
      </w:r>
    </w:p>
    <w:p w14:paraId="306B0A09" w14:textId="77777777" w:rsidR="006363BC" w:rsidRPr="00BC5F38" w:rsidRDefault="006363BC" w:rsidP="006363BC">
      <w:pPr>
        <w:pStyle w:val="a6"/>
        <w:numPr>
          <w:ilvl w:val="0"/>
          <w:numId w:val="3"/>
        </w:numPr>
        <w:spacing w:after="200" w:line="276" w:lineRule="auto"/>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كيف يمكن تكييف المخرجات الصادرة عن أدوات الذكاء الاصطناعي—وخاصة العقود، والمذكرات، والتقارير القانونية—قانونيًا وفقًا للأنظمة السعودية ذات الصلة؟</w:t>
      </w:r>
    </w:p>
    <w:p w14:paraId="156CBC9C" w14:textId="77777777" w:rsidR="006363BC" w:rsidRPr="00BC5F38" w:rsidRDefault="006363BC" w:rsidP="006363BC">
      <w:pPr>
        <w:pStyle w:val="a6"/>
        <w:numPr>
          <w:ilvl w:val="0"/>
          <w:numId w:val="3"/>
        </w:numPr>
        <w:spacing w:after="200" w:line="276" w:lineRule="auto"/>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ما حدود المسؤولية النظامية والمهنية المترتبة على استخدام تقنيات الذكاء الاصطناعي في مكاتب المحاماة، وما الضمانات والآليات النظامية الكفيلة بحماية الخصوصية وسرية بيانات العملاء؟</w:t>
      </w:r>
    </w:p>
    <w:p w14:paraId="078C6F23" w14:textId="77777777" w:rsidR="006363BC" w:rsidRPr="00BC5F38" w:rsidRDefault="006363BC" w:rsidP="006363BC">
      <w:pPr>
        <w:pStyle w:val="a6"/>
        <w:numPr>
          <w:ilvl w:val="0"/>
          <w:numId w:val="3"/>
        </w:numPr>
        <w:spacing w:after="200" w:line="276" w:lineRule="auto"/>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ما أوجه القصور التنظيمي أو الفراغ التشريعي عند مقارنة الوضع السعودي بالتجارب الدولية المختارة (الاتحاد الأوروبي، المملكة المتحدة، الولايات المتحدة)، وما الدروس القابلة للتكييف مع البيئة القانونية السعودية؟</w:t>
      </w:r>
    </w:p>
    <w:p w14:paraId="3190499D" w14:textId="77777777" w:rsidR="00B92CB9" w:rsidRPr="00BC5F38" w:rsidRDefault="006363BC" w:rsidP="00F91E80">
      <w:pPr>
        <w:pStyle w:val="a6"/>
        <w:numPr>
          <w:ilvl w:val="0"/>
          <w:numId w:val="3"/>
        </w:numPr>
        <w:spacing w:after="200" w:line="276" w:lineRule="auto"/>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ما التصوّر التنظيمي المتكامل والقابل للتطبيق الذي يوازن بين الكفاءة التقنية والحماية النظامية في بيئة مكاتب المحاماة السعودية، وبما ينسجم مع مستهدفات التحول العدلي ضمن رؤية المملكة 2030؟</w:t>
      </w:r>
    </w:p>
    <w:p w14:paraId="0764D2D9" w14:textId="77777777" w:rsidR="00F91E80" w:rsidRPr="00BC5F38" w:rsidRDefault="00F91E80" w:rsidP="00F91E80">
      <w:pPr>
        <w:bidi/>
        <w:spacing w:after="200" w:line="276" w:lineRule="auto"/>
        <w:rPr>
          <w:rFonts w:asciiTheme="majorBidi" w:hAnsiTheme="majorBidi" w:cstheme="majorBidi"/>
          <w:color w:val="000000" w:themeColor="text1"/>
          <w:sz w:val="24"/>
          <w:szCs w:val="24"/>
        </w:rPr>
      </w:pPr>
    </w:p>
    <w:p w14:paraId="41F974E5" w14:textId="77777777" w:rsidR="00CA064E" w:rsidRPr="00BC5F38" w:rsidRDefault="00575B64" w:rsidP="0024502C">
      <w:pPr>
        <w:jc w:val="right"/>
        <w:rPr>
          <w:rFonts w:asciiTheme="majorBidi" w:hAnsiTheme="majorBidi" w:cstheme="majorBidi"/>
          <w:b/>
          <w:bCs/>
          <w:sz w:val="28"/>
          <w:szCs w:val="28"/>
          <w:rtl/>
        </w:rPr>
      </w:pPr>
      <w:r>
        <w:rPr>
          <w:rFonts w:asciiTheme="majorBidi" w:hAnsiTheme="majorBidi" w:cstheme="majorBidi" w:hint="cs"/>
          <w:b/>
          <w:bCs/>
          <w:sz w:val="28"/>
          <w:szCs w:val="28"/>
          <w:rtl/>
        </w:rPr>
        <w:t>منهج الدراسة:</w:t>
      </w:r>
    </w:p>
    <w:p w14:paraId="1A065986" w14:textId="77777777" w:rsidR="00F91E80" w:rsidRPr="00BC5F38" w:rsidRDefault="00F91E80" w:rsidP="00F91E80">
      <w:pPr>
        <w:numPr>
          <w:ilvl w:val="0"/>
          <w:numId w:val="4"/>
        </w:numPr>
        <w:bidi/>
        <w:spacing w:after="200" w:line="276" w:lineRule="auto"/>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المنهج الاستنباطي (التحليلي)</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 xml:space="preserve">ويُعد المنهج الرئيسي في هذه الدراسة، حيث يقوم الباحث بتحليل النصوص النظامية السعودية ذات العلاقة، مثل نظام المحاماة، ونظام حماية البيانات الشخصية، ونظام </w:t>
      </w:r>
      <w:r>
        <w:rPr>
          <w:rFonts w:asciiTheme="majorBidi" w:hAnsiTheme="majorBidi" w:cstheme="majorBidi"/>
          <w:color w:val="000000" w:themeColor="text1"/>
          <w:sz w:val="24"/>
          <w:szCs w:val="24"/>
          <w:rtl/>
        </w:rPr>
        <w:lastRenderedPageBreak/>
        <w:t>المعاملات المدنية، بهدف الكشف عن مدى كفايتها في تنظيم استخدام تقنيات الذكاء الاصطناعي داخل مكاتب المحاماة، والوقوف على أوجه القصور والتداخل بين النصوص القائمة</w:t>
      </w:r>
      <w:r>
        <w:rPr>
          <w:rFonts w:asciiTheme="majorBidi" w:hAnsiTheme="majorBidi" w:cstheme="majorBidi"/>
          <w:color w:val="000000" w:themeColor="text1"/>
          <w:sz w:val="24"/>
          <w:szCs w:val="24"/>
        </w:rPr>
        <w:t>.</w:t>
      </w:r>
    </w:p>
    <w:p w14:paraId="00A5257A" w14:textId="77777777" w:rsidR="00F91E80" w:rsidRPr="00BC5F38" w:rsidRDefault="00F91E80" w:rsidP="00F91E80">
      <w:pPr>
        <w:numPr>
          <w:ilvl w:val="0"/>
          <w:numId w:val="4"/>
        </w:numPr>
        <w:bidi/>
        <w:spacing w:after="200" w:line="276" w:lineRule="auto"/>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المنهج الوصفي</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ويظهر بشكل مساند من خلال استعراض الأدبيات النظامية والفقهية والآراء القانونية ذات العلاقة، وتحليلها من منظور تطبيقي، لبيان واقع استخدام الذكاء الاصطناعي داخل المهنة، وبيان موقع المملكة من خارطة التنظيم القانوني المقارن</w:t>
      </w:r>
      <w:r>
        <w:rPr>
          <w:rFonts w:asciiTheme="majorBidi" w:hAnsiTheme="majorBidi" w:cstheme="majorBidi"/>
          <w:color w:val="000000" w:themeColor="text1"/>
          <w:sz w:val="24"/>
          <w:szCs w:val="24"/>
        </w:rPr>
        <w:t>.</w:t>
      </w:r>
    </w:p>
    <w:p w14:paraId="5A9B6AD9" w14:textId="77777777" w:rsidR="00F91E80" w:rsidRPr="00BC5F38" w:rsidRDefault="00F91E80" w:rsidP="0024502C">
      <w:pPr>
        <w:jc w:val="right"/>
        <w:rPr>
          <w:rFonts w:asciiTheme="majorBidi" w:hAnsiTheme="majorBidi" w:cstheme="majorBidi"/>
          <w:color w:val="000000" w:themeColor="text1"/>
          <w:sz w:val="24"/>
          <w:szCs w:val="24"/>
        </w:rPr>
      </w:pPr>
    </w:p>
    <w:p w14:paraId="175EE326" w14:textId="77777777" w:rsidR="00EF14BA" w:rsidRPr="00BC5F38" w:rsidRDefault="00F91E80" w:rsidP="00F91E80">
      <w:pPr>
        <w:jc w:val="right"/>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حدود الدراسة:</w:t>
      </w:r>
    </w:p>
    <w:p w14:paraId="2E3CDF5B" w14:textId="77777777" w:rsidR="00F91E80" w:rsidRPr="00BC5F38" w:rsidRDefault="00F91E80" w:rsidP="00F91E80">
      <w:pPr>
        <w:jc w:val="right"/>
        <w:rPr>
          <w:rFonts w:asciiTheme="majorBidi" w:hAnsiTheme="majorBidi" w:cstheme="majorBidi"/>
          <w:b/>
          <w:bCs/>
          <w:color w:val="000000" w:themeColor="text1"/>
          <w:sz w:val="24"/>
          <w:szCs w:val="24"/>
          <w:rtl/>
        </w:rPr>
      </w:pPr>
      <w:r>
        <w:rPr>
          <w:rFonts w:asciiTheme="majorBidi" w:hAnsiTheme="majorBidi" w:cstheme="majorBidi"/>
          <w:b/>
          <w:bCs/>
          <w:color w:val="000000" w:themeColor="text1"/>
          <w:sz w:val="24"/>
          <w:szCs w:val="24"/>
          <w:rtl/>
        </w:rPr>
        <w:t xml:space="preserve">تتحدد هذه الدراسة ضمن مجموعة من الحدود التي تضبط نطاقها العلمي والعملي، وذلك على </w:t>
      </w:r>
      <w:r>
        <w:rPr>
          <w:rFonts w:asciiTheme="majorBidi" w:hAnsiTheme="majorBidi" w:cstheme="majorBidi" w:hint="cs"/>
          <w:b/>
          <w:bCs/>
          <w:color w:val="000000" w:themeColor="text1"/>
          <w:sz w:val="24"/>
          <w:szCs w:val="24"/>
          <w:rtl/>
        </w:rPr>
        <w:t>النحو التالي:</w:t>
      </w:r>
    </w:p>
    <w:p w14:paraId="70516286" w14:textId="77777777" w:rsidR="00F91E80" w:rsidRPr="00BC5F38" w:rsidRDefault="00F91E80" w:rsidP="00F91E80">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أولًا: الحدود المكانية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تنحصر الدراسة في المملكة العربية السعودية، باعتبارها البيئة النظامية والمهنية المستهدفة، وموضع التحليل التنظيمي لأطر توظيف الذكاء الاصطناعي في تطوير خدمات مكاتب المحاماة</w:t>
      </w:r>
      <w:r>
        <w:rPr>
          <w:rFonts w:asciiTheme="majorBidi" w:hAnsiTheme="majorBidi" w:cstheme="majorBidi"/>
          <w:color w:val="000000" w:themeColor="text1"/>
          <w:sz w:val="24"/>
          <w:szCs w:val="24"/>
        </w:rPr>
        <w:t>. </w:t>
      </w:r>
    </w:p>
    <w:p w14:paraId="7D3D9EEB" w14:textId="77777777" w:rsidR="00F91E80" w:rsidRPr="00BC5F38" w:rsidRDefault="00F91E80" w:rsidP="00F91E80">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ثانيًا: الحدود الزمانية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تشمل الدراسة الفترة الممتدة من عام 2020م حتى عام 2025م، وهي مرحلة شهدت تصاعدًا ملحوظًا في الاهتمام الرسمي بتقنين الذكاء الاصطناعي، وصدور عدد من الوثائق التنظيمية والمبادرات الرقمية ذات الصلة بموضوع الدراسة</w:t>
      </w:r>
      <w:r>
        <w:rPr>
          <w:rFonts w:asciiTheme="majorBidi" w:hAnsiTheme="majorBidi" w:cstheme="majorBidi"/>
          <w:color w:val="000000" w:themeColor="text1"/>
          <w:sz w:val="24"/>
          <w:szCs w:val="24"/>
        </w:rPr>
        <w:t>. </w:t>
      </w:r>
    </w:p>
    <w:p w14:paraId="4006A178" w14:textId="77777777" w:rsidR="00F91E80" w:rsidRPr="00BC5F38" w:rsidRDefault="00F91E80" w:rsidP="00830A22">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ثالثًا: الحدود البشرية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تقتصر الدراسة على المحامين النظاميين والممارسين داخل مكاتب المحاماة، إلى جانب الجهات التنظيمية ذات العلاقة، دون التوسع إلى القضاة أو الأفراد خارج الإطار المهني القانوني</w:t>
      </w:r>
      <w:r>
        <w:rPr>
          <w:rFonts w:asciiTheme="majorBidi" w:hAnsiTheme="majorBidi" w:cstheme="majorBidi" w:hint="cs"/>
          <w:color w:val="000000" w:themeColor="text1"/>
          <w:sz w:val="24"/>
          <w:szCs w:val="24"/>
          <w:rtl/>
        </w:rPr>
        <w:t xml:space="preserve">. </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t> </w:t>
      </w:r>
    </w:p>
    <w:p w14:paraId="596D5B6C" w14:textId="77777777" w:rsidR="00F91E80" w:rsidRPr="00BC5F38" w:rsidRDefault="00830A22" w:rsidP="00830A22">
      <w:pPr>
        <w:jc w:val="right"/>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الدراسات المرجعية السابقة :</w:t>
      </w:r>
    </w:p>
    <w:p w14:paraId="53592E7A" w14:textId="77777777" w:rsidR="00830A22" w:rsidRPr="00BC5F38" w:rsidRDefault="00830A22" w:rsidP="00830A22">
      <w:pPr>
        <w:bidi/>
        <w:spacing w:after="200" w:line="276" w:lineRule="auto"/>
        <w:rPr>
          <w:rFonts w:asciiTheme="majorBidi" w:hAnsiTheme="majorBidi" w:cstheme="majorBidi"/>
          <w:sz w:val="24"/>
          <w:szCs w:val="24"/>
        </w:rPr>
      </w:pPr>
      <w:r>
        <w:rPr>
          <w:rFonts w:asciiTheme="majorBidi" w:hAnsiTheme="majorBidi" w:cstheme="majorBidi"/>
          <w:sz w:val="24"/>
          <w:szCs w:val="24"/>
          <w:rtl/>
        </w:rPr>
        <w:t>شهدت البيئة الأكاديمية السعودية والعربية اهتمامًا متناميًا بموضوع الذكاء الاصطناعي في المجال القانوني، إلا أن معظم تلك الدراسات تركّزت في الجوانب العامة كالمسؤولية والتكييف الفقهي، دون أن تمتد بعمق إلى الإطار التنظيمي والمهني لمكاتب المحاماة. وفيما يلي عرض لأبرز الدراسات المرجعية ذات الصلة، مع تحليل نقدي لمجالات تقاطعها مع هذه الدراسة</w:t>
      </w:r>
      <w:r>
        <w:rPr>
          <w:rFonts w:asciiTheme="majorBidi" w:hAnsiTheme="majorBidi" w:cstheme="majorBidi"/>
          <w:sz w:val="24"/>
          <w:szCs w:val="24"/>
        </w:rPr>
        <w:t>:</w:t>
      </w:r>
    </w:p>
    <w:p w14:paraId="1F58DBE8" w14:textId="77777777" w:rsidR="00830A22" w:rsidRPr="00BC5F38" w:rsidRDefault="00830A22" w:rsidP="00830A22">
      <w:pPr>
        <w:bidi/>
        <w:spacing w:after="200" w:line="276" w:lineRule="auto"/>
        <w:rPr>
          <w:rFonts w:asciiTheme="majorBidi" w:hAnsiTheme="majorBidi" w:cstheme="majorBidi"/>
          <w:sz w:val="24"/>
          <w:szCs w:val="24"/>
        </w:rPr>
      </w:pPr>
      <w:r>
        <w:rPr>
          <w:rFonts w:asciiTheme="majorBidi" w:hAnsiTheme="majorBidi" w:cstheme="majorBidi"/>
          <w:b/>
          <w:bCs/>
          <w:sz w:val="24"/>
          <w:szCs w:val="24"/>
        </w:rPr>
        <w:t>1</w:t>
      </w:r>
      <w:r>
        <w:rPr>
          <w:rFonts w:asciiTheme="majorBidi" w:hAnsiTheme="majorBidi" w:cstheme="majorBidi"/>
          <w:b/>
          <w:bCs/>
          <w:sz w:val="24"/>
          <w:szCs w:val="24"/>
          <w:rtl/>
        </w:rPr>
        <w:t>- خليل، محمد سعيد</w:t>
      </w:r>
      <w:r>
        <w:rPr>
          <w:rFonts w:asciiTheme="majorBidi" w:hAnsiTheme="majorBidi" w:cstheme="majorBidi"/>
          <w:b/>
          <w:bCs/>
          <w:sz w:val="24"/>
          <w:szCs w:val="24"/>
        </w:rPr>
        <w:t xml:space="preserve"> (2022).</w:t>
      </w:r>
      <w:r>
        <w:rPr>
          <w:rFonts w:asciiTheme="majorBidi" w:hAnsiTheme="majorBidi" w:cstheme="majorBidi"/>
          <w:sz w:val="24"/>
          <w:szCs w:val="24"/>
        </w:rPr>
        <w:t xml:space="preserve"> </w:t>
      </w:r>
      <w:r>
        <w:rPr>
          <w:rFonts w:asciiTheme="majorBidi" w:hAnsiTheme="majorBidi" w:cstheme="majorBidi"/>
          <w:i/>
          <w:iCs/>
          <w:sz w:val="24"/>
          <w:szCs w:val="24"/>
          <w:rtl/>
        </w:rPr>
        <w:t>المسؤولية القانونية عن أفعال الذكاء الاصطناعي</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هدفت إلى تحليل الأبعاد القانونية للمسؤولية في حال استخدام أنظمة الذكاء الاصطناعي، وبيّنت أن غياب الشخص الطبيعي أو الاعتباري يعيق تحديد المسؤولية القانونية بدقة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تميّز هذه الدراسة</w:t>
      </w:r>
      <w:r>
        <w:rPr>
          <w:rFonts w:asciiTheme="majorBidi" w:hAnsiTheme="majorBidi" w:cstheme="majorBidi"/>
          <w:b/>
          <w:bCs/>
          <w:sz w:val="24"/>
          <w:szCs w:val="24"/>
        </w:rPr>
        <w:t>:</w:t>
      </w:r>
      <w:r>
        <w:rPr>
          <w:rFonts w:asciiTheme="majorBidi" w:hAnsiTheme="majorBidi" w:cstheme="majorBidi"/>
          <w:sz w:val="24"/>
          <w:szCs w:val="24"/>
        </w:rPr>
        <w:t xml:space="preserve"> </w:t>
      </w:r>
      <w:r>
        <w:rPr>
          <w:rFonts w:asciiTheme="majorBidi" w:hAnsiTheme="majorBidi" w:cstheme="majorBidi"/>
          <w:sz w:val="24"/>
          <w:szCs w:val="24"/>
          <w:rtl/>
        </w:rPr>
        <w:t>تركز الدراسة الحالية على ممارسات مهنية فعلية، كتوقيع العقود القانونية، وليس على الجوانب النظرية للمسؤولية فقط</w:t>
      </w:r>
      <w:r>
        <w:rPr>
          <w:rFonts w:asciiTheme="majorBidi" w:hAnsiTheme="majorBidi" w:cstheme="majorBidi"/>
          <w:sz w:val="24"/>
          <w:szCs w:val="24"/>
        </w:rPr>
        <w:t>.</w:t>
      </w:r>
    </w:p>
    <w:p w14:paraId="2EF9281A" w14:textId="77777777" w:rsidR="00830A22" w:rsidRPr="00BC5F38" w:rsidRDefault="00830A22" w:rsidP="00830A22">
      <w:pPr>
        <w:bidi/>
        <w:spacing w:after="200" w:line="276" w:lineRule="auto"/>
        <w:rPr>
          <w:rFonts w:asciiTheme="majorBidi" w:hAnsiTheme="majorBidi" w:cstheme="majorBidi"/>
          <w:sz w:val="24"/>
          <w:szCs w:val="24"/>
        </w:rPr>
      </w:pPr>
      <w:r>
        <w:rPr>
          <w:rFonts w:asciiTheme="majorBidi" w:hAnsiTheme="majorBidi" w:cstheme="majorBidi"/>
          <w:b/>
          <w:bCs/>
          <w:sz w:val="24"/>
          <w:szCs w:val="24"/>
        </w:rPr>
        <w:t>2</w:t>
      </w:r>
      <w:r>
        <w:rPr>
          <w:rFonts w:asciiTheme="majorBidi" w:hAnsiTheme="majorBidi" w:cstheme="majorBidi"/>
          <w:b/>
          <w:bCs/>
          <w:sz w:val="24"/>
          <w:szCs w:val="24"/>
          <w:rtl/>
        </w:rPr>
        <w:t>-المالكي، خالد</w:t>
      </w:r>
      <w:r>
        <w:rPr>
          <w:rFonts w:asciiTheme="majorBidi" w:hAnsiTheme="majorBidi" w:cstheme="majorBidi"/>
          <w:b/>
          <w:bCs/>
          <w:sz w:val="24"/>
          <w:szCs w:val="24"/>
        </w:rPr>
        <w:t xml:space="preserve"> (2023).</w:t>
      </w:r>
      <w:r>
        <w:rPr>
          <w:rFonts w:asciiTheme="majorBidi" w:hAnsiTheme="majorBidi" w:cstheme="majorBidi"/>
          <w:sz w:val="24"/>
          <w:szCs w:val="24"/>
        </w:rPr>
        <w:t xml:space="preserve"> </w:t>
      </w:r>
      <w:r>
        <w:rPr>
          <w:rFonts w:asciiTheme="majorBidi" w:hAnsiTheme="majorBidi" w:cstheme="majorBidi"/>
          <w:i/>
          <w:iCs/>
          <w:sz w:val="24"/>
          <w:szCs w:val="24"/>
          <w:rtl/>
        </w:rPr>
        <w:t>المسؤولية المدنية عن فعل الذكاء الاصطناعي في النظام السعودي</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تناولت الدراسة العلاقة بين الفقه الإسلامي والنظام السعودي بشأن المسؤولية المدنية الناشئة عن الأضرار التقنية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تميّز هذه الدراسة</w:t>
      </w:r>
      <w:r>
        <w:rPr>
          <w:rFonts w:asciiTheme="majorBidi" w:hAnsiTheme="majorBidi" w:cstheme="majorBidi"/>
          <w:b/>
          <w:bCs/>
          <w:sz w:val="24"/>
          <w:szCs w:val="24"/>
        </w:rPr>
        <w:t>:</w:t>
      </w:r>
      <w:r>
        <w:rPr>
          <w:rFonts w:asciiTheme="majorBidi" w:hAnsiTheme="majorBidi" w:cstheme="majorBidi"/>
          <w:sz w:val="24"/>
          <w:szCs w:val="24"/>
        </w:rPr>
        <w:t xml:space="preserve"> </w:t>
      </w:r>
      <w:r>
        <w:rPr>
          <w:rFonts w:asciiTheme="majorBidi" w:hAnsiTheme="majorBidi" w:cstheme="majorBidi"/>
          <w:sz w:val="24"/>
          <w:szCs w:val="24"/>
          <w:rtl/>
        </w:rPr>
        <w:t>تعتمد الرسالة الحالية نتائج هذه الدراسة كأساس لتصور تنظيمي مهني أكثر تخصصًا بمهنة المحاماة</w:t>
      </w:r>
      <w:r>
        <w:rPr>
          <w:rFonts w:asciiTheme="majorBidi" w:hAnsiTheme="majorBidi" w:cstheme="majorBidi"/>
          <w:sz w:val="24"/>
          <w:szCs w:val="24"/>
        </w:rPr>
        <w:t>.</w:t>
      </w:r>
    </w:p>
    <w:p w14:paraId="2784389A" w14:textId="77777777" w:rsidR="00830A22" w:rsidRPr="00BC5F38" w:rsidRDefault="00830A22" w:rsidP="00830A22">
      <w:pPr>
        <w:bidi/>
        <w:spacing w:after="200" w:line="276" w:lineRule="auto"/>
        <w:rPr>
          <w:rFonts w:asciiTheme="majorBidi" w:hAnsiTheme="majorBidi" w:cstheme="majorBidi"/>
          <w:sz w:val="24"/>
          <w:szCs w:val="24"/>
        </w:rPr>
      </w:pPr>
      <w:r>
        <w:rPr>
          <w:rFonts w:asciiTheme="majorBidi" w:hAnsiTheme="majorBidi" w:cstheme="majorBidi"/>
          <w:b/>
          <w:bCs/>
          <w:sz w:val="24"/>
          <w:szCs w:val="24"/>
        </w:rPr>
        <w:t xml:space="preserve">-3 </w:t>
      </w:r>
      <w:r>
        <w:rPr>
          <w:rFonts w:asciiTheme="majorBidi" w:hAnsiTheme="majorBidi" w:cstheme="majorBidi"/>
          <w:b/>
          <w:bCs/>
          <w:sz w:val="24"/>
          <w:szCs w:val="24"/>
          <w:rtl/>
        </w:rPr>
        <w:t>الغنامي، نايف بن ناشي</w:t>
      </w:r>
      <w:r>
        <w:rPr>
          <w:rFonts w:asciiTheme="majorBidi" w:hAnsiTheme="majorBidi" w:cstheme="majorBidi"/>
          <w:b/>
          <w:bCs/>
          <w:sz w:val="24"/>
          <w:szCs w:val="24"/>
        </w:rPr>
        <w:t xml:space="preserve"> (2024).</w:t>
      </w:r>
      <w:r>
        <w:rPr>
          <w:rFonts w:asciiTheme="majorBidi" w:hAnsiTheme="majorBidi" w:cstheme="majorBidi"/>
          <w:sz w:val="24"/>
          <w:szCs w:val="24"/>
        </w:rPr>
        <w:t xml:space="preserve"> </w:t>
      </w:r>
      <w:r>
        <w:rPr>
          <w:rFonts w:asciiTheme="majorBidi" w:hAnsiTheme="majorBidi" w:cstheme="majorBidi"/>
          <w:i/>
          <w:iCs/>
          <w:sz w:val="24"/>
          <w:szCs w:val="24"/>
          <w:rtl/>
        </w:rPr>
        <w:t>الضوابط القانونية للذكاء الاصطناعي في إبرام المعاملات القانونية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ركزت على الضوابط النظامية للعقود الذكية والتوقيع الإلكتروني</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lastRenderedPageBreak/>
        <w:t>تميّز هذه الدراسة</w:t>
      </w:r>
      <w:r>
        <w:rPr>
          <w:rFonts w:asciiTheme="majorBidi" w:hAnsiTheme="majorBidi" w:cstheme="majorBidi"/>
          <w:b/>
          <w:bCs/>
          <w:sz w:val="24"/>
          <w:szCs w:val="24"/>
        </w:rPr>
        <w:t>:</w:t>
      </w:r>
      <w:r>
        <w:rPr>
          <w:rFonts w:asciiTheme="majorBidi" w:hAnsiTheme="majorBidi" w:cstheme="majorBidi"/>
          <w:sz w:val="24"/>
          <w:szCs w:val="24"/>
        </w:rPr>
        <w:t xml:space="preserve"> </w:t>
      </w:r>
      <w:r>
        <w:rPr>
          <w:rFonts w:asciiTheme="majorBidi" w:hAnsiTheme="majorBidi" w:cstheme="majorBidi"/>
          <w:sz w:val="24"/>
          <w:szCs w:val="24"/>
          <w:rtl/>
        </w:rPr>
        <w:t>توسّع الرسالة الحالية نطاق التحليل ليشمل الخدمات القانونية في مكاتب المحاماة، وليس العقود فقط</w:t>
      </w:r>
      <w:r>
        <w:rPr>
          <w:rFonts w:asciiTheme="majorBidi" w:hAnsiTheme="majorBidi" w:cstheme="majorBidi"/>
          <w:sz w:val="24"/>
          <w:szCs w:val="24"/>
        </w:rPr>
        <w:t>.</w:t>
      </w:r>
    </w:p>
    <w:p w14:paraId="167C268B" w14:textId="77777777" w:rsidR="00830A22" w:rsidRPr="00BC5F38" w:rsidRDefault="00830A22" w:rsidP="00830A22">
      <w:pPr>
        <w:bidi/>
        <w:spacing w:after="200" w:line="276" w:lineRule="auto"/>
        <w:rPr>
          <w:rFonts w:asciiTheme="majorBidi" w:hAnsiTheme="majorBidi" w:cstheme="majorBidi"/>
          <w:sz w:val="24"/>
          <w:szCs w:val="24"/>
        </w:rPr>
      </w:pPr>
      <w:r>
        <w:rPr>
          <w:rFonts w:asciiTheme="majorBidi" w:hAnsiTheme="majorBidi" w:cstheme="majorBidi"/>
          <w:b/>
          <w:bCs/>
          <w:sz w:val="24"/>
          <w:szCs w:val="24"/>
        </w:rPr>
        <w:t>4</w:t>
      </w:r>
      <w:r>
        <w:rPr>
          <w:rFonts w:asciiTheme="majorBidi" w:hAnsiTheme="majorBidi" w:cstheme="majorBidi"/>
          <w:b/>
          <w:bCs/>
          <w:sz w:val="24"/>
          <w:szCs w:val="24"/>
          <w:rtl/>
        </w:rPr>
        <w:t>-العلي، عبدالعزيز عبدالناصر</w:t>
      </w:r>
      <w:r>
        <w:rPr>
          <w:rFonts w:asciiTheme="majorBidi" w:hAnsiTheme="majorBidi" w:cstheme="majorBidi"/>
          <w:b/>
          <w:bCs/>
          <w:sz w:val="24"/>
          <w:szCs w:val="24"/>
        </w:rPr>
        <w:t xml:space="preserve"> (2024).</w:t>
      </w:r>
      <w:r>
        <w:rPr>
          <w:rFonts w:asciiTheme="majorBidi" w:hAnsiTheme="majorBidi" w:cstheme="majorBidi"/>
          <w:sz w:val="24"/>
          <w:szCs w:val="24"/>
        </w:rPr>
        <w:t xml:space="preserve"> </w:t>
      </w:r>
      <w:r>
        <w:rPr>
          <w:rFonts w:asciiTheme="majorBidi" w:hAnsiTheme="majorBidi" w:cstheme="majorBidi"/>
          <w:i/>
          <w:iCs/>
          <w:sz w:val="24"/>
          <w:szCs w:val="24"/>
          <w:rtl/>
        </w:rPr>
        <w:t>الذكاء الاصطناعي ودوره في إبرام العقود التجارية الذكية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ركزت على الحجية النظامية للعقود الذكية وأوصت بإطار قانوني شامل</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تميّز هذه الدراسة</w:t>
      </w:r>
      <w:r>
        <w:rPr>
          <w:rFonts w:asciiTheme="majorBidi" w:hAnsiTheme="majorBidi" w:cstheme="majorBidi"/>
          <w:b/>
          <w:bCs/>
          <w:sz w:val="24"/>
          <w:szCs w:val="24"/>
        </w:rPr>
        <w:t>:</w:t>
      </w:r>
      <w:r>
        <w:rPr>
          <w:rFonts w:asciiTheme="majorBidi" w:hAnsiTheme="majorBidi" w:cstheme="majorBidi"/>
          <w:sz w:val="24"/>
          <w:szCs w:val="24"/>
        </w:rPr>
        <w:t xml:space="preserve"> </w:t>
      </w:r>
      <w:r>
        <w:rPr>
          <w:rFonts w:asciiTheme="majorBidi" w:hAnsiTheme="majorBidi" w:cstheme="majorBidi"/>
          <w:sz w:val="24"/>
          <w:szCs w:val="24"/>
          <w:rtl/>
        </w:rPr>
        <w:t>تعتبر العقود الذكية أحد مخرجات أدوات الذكاء الاصطناعي التي تتناولها الرسالة ضمن تصور شامل يشمل البنية المؤسسية والتنظيمية</w:t>
      </w:r>
      <w:r>
        <w:rPr>
          <w:rFonts w:asciiTheme="majorBidi" w:hAnsiTheme="majorBidi" w:cstheme="majorBidi"/>
          <w:sz w:val="24"/>
          <w:szCs w:val="24"/>
        </w:rPr>
        <w:t>.</w:t>
      </w:r>
    </w:p>
    <w:p w14:paraId="33DF579F" w14:textId="77777777" w:rsidR="00B16B4E" w:rsidRDefault="00000000">
      <w:pPr>
        <w:jc w:val="both"/>
        <w:rPr>
          <w:rFonts w:asciiTheme="majorBidi" w:hAnsiTheme="majorBidi" w:cstheme="majorBidi"/>
          <w:sz w:val="24"/>
          <w:szCs w:val="24"/>
          <w:rtl/>
        </w:rPr>
      </w:pPr>
      <w:r>
        <w:rPr>
          <w:rFonts w:asciiTheme="majorBidi" w:hAnsiTheme="majorBidi" w:cstheme="majorBidi"/>
          <w:sz w:val="24"/>
          <w:szCs w:val="24"/>
          <w:rtl/>
        </w:rPr>
        <w:t>وتمثل العقود الذكية القائمة على الذكاء الاصطناعي أحد أبرز التحديات القانونية للمحامي السعودي، إذ تفتقر إلى إطار تنظيمي صريح يحدد طبيعتها القانونية في ظل النظام الحالي.</w:t>
      </w:r>
      <w:r>
        <w:rPr>
          <w:rtl/>
        </w:rPr>
        <w:footnoteReference w:id="25"/>
      </w:r>
    </w:p>
    <w:p w14:paraId="1A314049" w14:textId="77777777" w:rsidR="00830A22" w:rsidRPr="00BC5F38" w:rsidRDefault="00830A22" w:rsidP="00830A22">
      <w:pPr>
        <w:bidi/>
        <w:spacing w:after="200" w:line="276" w:lineRule="auto"/>
        <w:rPr>
          <w:rFonts w:asciiTheme="majorBidi" w:hAnsiTheme="majorBidi" w:cstheme="majorBidi"/>
          <w:sz w:val="24"/>
          <w:szCs w:val="24"/>
        </w:rPr>
      </w:pPr>
      <w:r>
        <w:rPr>
          <w:rFonts w:asciiTheme="majorBidi" w:hAnsiTheme="majorBidi" w:cstheme="majorBidi"/>
          <w:b/>
          <w:bCs/>
          <w:sz w:val="24"/>
          <w:szCs w:val="24"/>
        </w:rPr>
        <w:t>5</w:t>
      </w:r>
      <w:r>
        <w:rPr>
          <w:rFonts w:asciiTheme="majorBidi" w:hAnsiTheme="majorBidi" w:cstheme="majorBidi"/>
          <w:b/>
          <w:bCs/>
          <w:sz w:val="24"/>
          <w:szCs w:val="24"/>
          <w:rtl/>
        </w:rPr>
        <w:t>-رجب، ياسر محمد عبدالسلام</w:t>
      </w:r>
      <w:r>
        <w:rPr>
          <w:rFonts w:asciiTheme="majorBidi" w:hAnsiTheme="majorBidi" w:cstheme="majorBidi"/>
          <w:b/>
          <w:bCs/>
          <w:sz w:val="24"/>
          <w:szCs w:val="24"/>
        </w:rPr>
        <w:t xml:space="preserve"> (2023).</w:t>
      </w:r>
      <w:r>
        <w:rPr>
          <w:rFonts w:asciiTheme="majorBidi" w:hAnsiTheme="majorBidi" w:cstheme="majorBidi"/>
          <w:sz w:val="24"/>
          <w:szCs w:val="24"/>
        </w:rPr>
        <w:t xml:space="preserve"> </w:t>
      </w:r>
      <w:r>
        <w:rPr>
          <w:rFonts w:asciiTheme="majorBidi" w:hAnsiTheme="majorBidi" w:cstheme="majorBidi"/>
          <w:i/>
          <w:iCs/>
          <w:sz w:val="24"/>
          <w:szCs w:val="24"/>
          <w:rtl/>
        </w:rPr>
        <w:t>دور الدولة في تأطير أخلاقيات الذكاء الاصطناعي – دراسة مقارنة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درست التجارب الدولية في وضع السياسات الأخلاقية، مع التركيز على العلاقة بين التنظيم والسياسات العامة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تميّز هذه الدراسة</w:t>
      </w:r>
      <w:r>
        <w:rPr>
          <w:rFonts w:asciiTheme="majorBidi" w:hAnsiTheme="majorBidi" w:cstheme="majorBidi"/>
          <w:b/>
          <w:bCs/>
          <w:sz w:val="24"/>
          <w:szCs w:val="24"/>
        </w:rPr>
        <w:t>:</w:t>
      </w:r>
      <w:r>
        <w:rPr>
          <w:rFonts w:asciiTheme="majorBidi" w:hAnsiTheme="majorBidi" w:cstheme="majorBidi"/>
          <w:sz w:val="24"/>
          <w:szCs w:val="24"/>
        </w:rPr>
        <w:t xml:space="preserve"> </w:t>
      </w:r>
      <w:r>
        <w:rPr>
          <w:rFonts w:asciiTheme="majorBidi" w:hAnsiTheme="majorBidi" w:cstheme="majorBidi"/>
          <w:sz w:val="24"/>
          <w:szCs w:val="24"/>
          <w:rtl/>
        </w:rPr>
        <w:t>بينما تركّز الدراسة الحالية على التنظيم القانوني المباشر والتشريعي في المجال المهني، اقتصرت الدراسة السابقة على البعد الأخلاقي العام</w:t>
      </w:r>
      <w:r>
        <w:rPr>
          <w:rFonts w:asciiTheme="majorBidi" w:hAnsiTheme="majorBidi" w:cstheme="majorBidi"/>
          <w:sz w:val="24"/>
          <w:szCs w:val="24"/>
        </w:rPr>
        <w:t>.</w:t>
      </w:r>
    </w:p>
    <w:p w14:paraId="6E7BFBF8" w14:textId="77777777" w:rsidR="00830A22" w:rsidRPr="00BC5F38" w:rsidRDefault="00830A22" w:rsidP="00830A22">
      <w:pPr>
        <w:bidi/>
        <w:spacing w:after="200" w:line="276" w:lineRule="auto"/>
        <w:rPr>
          <w:rFonts w:asciiTheme="majorBidi" w:hAnsiTheme="majorBidi" w:cstheme="majorBidi"/>
          <w:b/>
          <w:bCs/>
          <w:sz w:val="24"/>
          <w:szCs w:val="24"/>
        </w:rPr>
      </w:pPr>
      <w:r>
        <w:rPr>
          <w:rFonts w:asciiTheme="majorBidi" w:hAnsiTheme="majorBidi" w:cstheme="majorBidi"/>
          <w:b/>
          <w:bCs/>
          <w:sz w:val="24"/>
          <w:szCs w:val="24"/>
          <w:rtl/>
        </w:rPr>
        <w:t>التحليل النقدي المقارن</w:t>
      </w:r>
      <w:r>
        <w:rPr>
          <w:rFonts w:asciiTheme="majorBidi" w:hAnsiTheme="majorBidi" w:cstheme="majorBidi"/>
          <w:b/>
          <w:bCs/>
          <w:sz w:val="24"/>
          <w:szCs w:val="24"/>
        </w:rPr>
        <w:t>:</w:t>
      </w:r>
    </w:p>
    <w:p w14:paraId="257E55ED" w14:textId="77777777" w:rsidR="00830A22" w:rsidRPr="00BC5F38" w:rsidRDefault="00830A22" w:rsidP="00830A22">
      <w:pPr>
        <w:bidi/>
        <w:spacing w:after="200" w:line="276" w:lineRule="auto"/>
        <w:rPr>
          <w:rFonts w:asciiTheme="majorBidi" w:hAnsiTheme="majorBidi" w:cstheme="majorBidi"/>
          <w:sz w:val="24"/>
          <w:szCs w:val="24"/>
        </w:rPr>
      </w:pPr>
      <w:r>
        <w:rPr>
          <w:rFonts w:asciiTheme="majorBidi" w:hAnsiTheme="majorBidi" w:cstheme="majorBidi"/>
          <w:sz w:val="24"/>
          <w:szCs w:val="24"/>
          <w:rtl/>
        </w:rPr>
        <w:t>على الرغم من القيمة العلمية لكل دراسة من الدراسات السابقة، إلا أن أياً منها لم تتناول بشكل مباشر</w:t>
      </w:r>
      <w:r>
        <w:rPr>
          <w:rFonts w:asciiTheme="majorBidi" w:hAnsiTheme="majorBidi" w:cstheme="majorBidi"/>
          <w:sz w:val="24"/>
          <w:szCs w:val="24"/>
        </w:rPr>
        <w:t>:</w:t>
      </w:r>
    </w:p>
    <w:p w14:paraId="7AB3303F" w14:textId="77777777" w:rsidR="00830A22" w:rsidRPr="00BC5F38" w:rsidRDefault="00830A22">
      <w:pPr>
        <w:numPr>
          <w:ilvl w:val="0"/>
          <w:numId w:val="5"/>
        </w:numPr>
        <w:bidi/>
        <w:spacing w:after="200" w:line="276" w:lineRule="auto"/>
        <w:rPr>
          <w:rFonts w:asciiTheme="majorBidi" w:hAnsiTheme="majorBidi" w:cstheme="majorBidi"/>
          <w:sz w:val="24"/>
          <w:szCs w:val="24"/>
        </w:rPr>
      </w:pPr>
      <w:r>
        <w:rPr>
          <w:rFonts w:asciiTheme="majorBidi" w:hAnsiTheme="majorBidi" w:cstheme="majorBidi"/>
          <w:sz w:val="24"/>
          <w:szCs w:val="24"/>
          <w:rtl/>
        </w:rPr>
        <w:t>واقع الممارسة المهنية في مكاتب المحاماة السعودية</w:t>
      </w:r>
      <w:r>
        <w:rPr>
          <w:rFonts w:asciiTheme="majorBidi" w:hAnsiTheme="majorBidi" w:cstheme="majorBidi"/>
          <w:sz w:val="24"/>
          <w:szCs w:val="24"/>
        </w:rPr>
        <w:t>.</w:t>
      </w:r>
    </w:p>
    <w:p w14:paraId="474EE835" w14:textId="77777777" w:rsidR="00830A22" w:rsidRPr="00BC5F38" w:rsidRDefault="00830A22">
      <w:pPr>
        <w:numPr>
          <w:ilvl w:val="0"/>
          <w:numId w:val="5"/>
        </w:numPr>
        <w:bidi/>
        <w:spacing w:after="200" w:line="276" w:lineRule="auto"/>
        <w:rPr>
          <w:rFonts w:asciiTheme="majorBidi" w:hAnsiTheme="majorBidi" w:cstheme="majorBidi"/>
          <w:sz w:val="24"/>
          <w:szCs w:val="24"/>
        </w:rPr>
      </w:pPr>
      <w:r>
        <w:rPr>
          <w:rFonts w:asciiTheme="majorBidi" w:hAnsiTheme="majorBidi" w:cstheme="majorBidi"/>
          <w:sz w:val="24"/>
          <w:szCs w:val="24"/>
          <w:rtl/>
        </w:rPr>
        <w:t>مسؤولية المحامي النظامية عند استخدام أدوات الذكاء الاصطناعي</w:t>
      </w:r>
      <w:r>
        <w:rPr>
          <w:rFonts w:asciiTheme="majorBidi" w:hAnsiTheme="majorBidi" w:cstheme="majorBidi"/>
          <w:sz w:val="24"/>
          <w:szCs w:val="24"/>
        </w:rPr>
        <w:t>.</w:t>
      </w:r>
    </w:p>
    <w:p w14:paraId="392F14E4" w14:textId="77777777" w:rsidR="00830A22" w:rsidRPr="00BC5F38" w:rsidRDefault="00830A22">
      <w:pPr>
        <w:numPr>
          <w:ilvl w:val="0"/>
          <w:numId w:val="5"/>
        </w:numPr>
        <w:bidi/>
        <w:spacing w:after="200" w:line="276" w:lineRule="auto"/>
        <w:rPr>
          <w:rFonts w:asciiTheme="majorBidi" w:hAnsiTheme="majorBidi" w:cstheme="majorBidi"/>
          <w:sz w:val="24"/>
          <w:szCs w:val="24"/>
        </w:rPr>
      </w:pPr>
      <w:r>
        <w:rPr>
          <w:rFonts w:asciiTheme="majorBidi" w:hAnsiTheme="majorBidi" w:cstheme="majorBidi"/>
          <w:sz w:val="24"/>
          <w:szCs w:val="24"/>
          <w:rtl/>
        </w:rPr>
        <w:t>تصور تشريعي متكامل يتضمن الترخيص، والرقابة، وتحديد الأدوار القانونية للأدوات الذكية</w:t>
      </w:r>
      <w:r>
        <w:rPr>
          <w:rFonts w:asciiTheme="majorBidi" w:hAnsiTheme="majorBidi" w:cstheme="majorBidi"/>
          <w:sz w:val="24"/>
          <w:szCs w:val="24"/>
        </w:rPr>
        <w:t>.</w:t>
      </w:r>
    </w:p>
    <w:p w14:paraId="5E414E49" w14:textId="77777777" w:rsidR="00830A22" w:rsidRPr="00BC5F38" w:rsidRDefault="00830A22" w:rsidP="00830A22">
      <w:pPr>
        <w:bidi/>
        <w:spacing w:after="200" w:line="276" w:lineRule="auto"/>
        <w:rPr>
          <w:rFonts w:asciiTheme="majorBidi" w:hAnsiTheme="majorBidi" w:cstheme="majorBidi"/>
          <w:sz w:val="24"/>
          <w:szCs w:val="24"/>
          <w:rtl/>
        </w:rPr>
      </w:pPr>
      <w:r>
        <w:rPr>
          <w:rFonts w:asciiTheme="majorBidi" w:hAnsiTheme="majorBidi" w:cstheme="majorBidi"/>
          <w:sz w:val="24"/>
          <w:szCs w:val="24"/>
          <w:rtl/>
        </w:rPr>
        <w:t>ومن هنا، تنبع أهمية هذه الرسالة في تقديم معالجة منهجية تحليلية، قائمة على احتياجات واقعية لمهنة المحاماة، تسعى لسد فراغ تنظيمي لا تزال الدراسات السابقة بعيدة عن تغطيته بالكامل</w:t>
      </w:r>
      <w:r>
        <w:rPr>
          <w:rFonts w:asciiTheme="majorBidi" w:hAnsiTheme="majorBidi" w:cstheme="majorBidi"/>
          <w:sz w:val="24"/>
          <w:szCs w:val="24"/>
        </w:rPr>
        <w:t>.</w:t>
      </w:r>
    </w:p>
    <w:p w14:paraId="0A653019" w14:textId="77777777" w:rsidR="008C5A8E" w:rsidRPr="00BC5F38" w:rsidRDefault="008C5A8E" w:rsidP="008C5A8E">
      <w:pPr>
        <w:bidi/>
        <w:spacing w:after="200" w:line="276" w:lineRule="auto"/>
        <w:rPr>
          <w:rFonts w:asciiTheme="majorBidi" w:hAnsiTheme="majorBidi" w:cstheme="majorBidi"/>
          <w:sz w:val="24"/>
          <w:szCs w:val="24"/>
          <w:rtl/>
        </w:rPr>
      </w:pPr>
    </w:p>
    <w:p w14:paraId="66F2DFEF" w14:textId="77777777" w:rsidR="008C5A8E" w:rsidRPr="00BC5F38" w:rsidRDefault="008C5A8E" w:rsidP="008C5A8E">
      <w:pPr>
        <w:bidi/>
        <w:spacing w:after="200" w:line="276" w:lineRule="auto"/>
        <w:rPr>
          <w:rFonts w:asciiTheme="majorBidi" w:hAnsiTheme="majorBidi" w:cstheme="majorBidi"/>
          <w:b/>
          <w:bCs/>
          <w:sz w:val="28"/>
          <w:szCs w:val="28"/>
        </w:rPr>
      </w:pPr>
      <w:r>
        <w:rPr>
          <w:rFonts w:asciiTheme="majorBidi" w:hAnsiTheme="majorBidi" w:cstheme="majorBidi" w:hint="cs"/>
          <w:b/>
          <w:bCs/>
          <w:sz w:val="28"/>
          <w:szCs w:val="28"/>
          <w:rtl/>
        </w:rPr>
        <w:t>مصطلحات وتعريفات الدراسة:</w:t>
      </w:r>
    </w:p>
    <w:p w14:paraId="0E85BE27" w14:textId="77777777" w:rsidR="008C5A8E" w:rsidRPr="00BC5F38" w:rsidRDefault="008C5A8E" w:rsidP="008C5A8E">
      <w:pPr>
        <w:bidi/>
        <w:spacing w:after="200" w:line="276" w:lineRule="auto"/>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أولًا</w:t>
      </w:r>
      <w:r>
        <w:rPr>
          <w:rFonts w:asciiTheme="majorBidi" w:hAnsiTheme="majorBidi" w:cstheme="majorBidi"/>
          <w:b/>
          <w:bCs/>
          <w:color w:val="000000" w:themeColor="text1"/>
          <w:sz w:val="24"/>
          <w:szCs w:val="24"/>
        </w:rPr>
        <w:t xml:space="preserve">: </w:t>
      </w:r>
      <w:r>
        <w:rPr>
          <w:rFonts w:asciiTheme="majorBidi" w:hAnsiTheme="majorBidi" w:cstheme="majorBidi"/>
          <w:b/>
          <w:bCs/>
          <w:color w:val="000000" w:themeColor="text1"/>
          <w:sz w:val="24"/>
          <w:szCs w:val="24"/>
          <w:rtl/>
        </w:rPr>
        <w:t>الذكاء الاصطناعي</w:t>
      </w:r>
    </w:p>
    <w:p w14:paraId="3BDC87FB" w14:textId="77777777" w:rsidR="00B102AB" w:rsidRPr="00BC5F38" w:rsidRDefault="008C5A8E" w:rsidP="00BC5F38">
      <w:pPr>
        <w:bidi/>
        <w:spacing w:after="200" w:line="276" w:lineRule="auto"/>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Pr>
        <w:br/>
      </w:r>
      <w:r>
        <w:rPr>
          <w:rFonts w:ascii="Segoe UI Emoji" w:hAnsi="Segoe UI Emoji" w:cs="Segoe UI Emoji"/>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b/>
          <w:bCs/>
          <w:color w:val="000000" w:themeColor="text1"/>
          <w:sz w:val="24"/>
          <w:szCs w:val="24"/>
          <w:rtl/>
        </w:rPr>
        <w:t>التعريف الإجرائي</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في سياق هذه الدراسة، يُقصد بالذكاء الاصطناعي مجموعة الأدوات الذكية التنبؤية أو التوليدية المستخدمة فعليًا داخل مكاتب المحاماة السعودية، بهدف إعداد العقود، وتحليل القضايا، وتقديم استشارات قانونية عبر تقنيات مؤتمتة.</w:t>
      </w:r>
      <w:r>
        <w:rPr>
          <w:rStyle w:val="af"/>
          <w:rFonts w:asciiTheme="majorBidi" w:hAnsiTheme="majorBidi" w:cstheme="majorBidi"/>
          <w:color w:val="000000" w:themeColor="text1"/>
          <w:sz w:val="24"/>
          <w:szCs w:val="24"/>
          <w:rtl/>
        </w:rPr>
        <w:footnoteReference w:id="26"/>
      </w:r>
    </w:p>
    <w:p w14:paraId="1659694D" w14:textId="77777777" w:rsidR="00D57654" w:rsidRDefault="00000000" w:rsidP="006713B6">
      <w:pPr>
        <w:jc w:val="right"/>
        <w:rPr>
          <w:rFonts w:asciiTheme="majorBidi" w:hAnsiTheme="majorBidi" w:cstheme="majorBidi"/>
          <w:sz w:val="24"/>
          <w:szCs w:val="24"/>
          <w:rtl/>
        </w:rPr>
      </w:pPr>
      <w:r>
        <w:rPr>
          <w:rFonts w:asciiTheme="majorBidi" w:hAnsiTheme="majorBidi" w:cstheme="majorBidi"/>
          <w:sz w:val="24"/>
          <w:szCs w:val="24"/>
          <w:rtl/>
        </w:rPr>
        <w:t xml:space="preserve">وفي المقام ذاته، أكدت عبد الرحمن ضرورة التمييز الإجرائي بين ما تُسمّيه المخرجات الاستشارية التي تُقدّم خيارات للمهني دون أن تُلزمه، والمخرجات الحكمية التي تُصيغ نتيجة نهائية كأن يُصدر النظام تقييماً بأن دعوى </w:t>
      </w:r>
      <w:r>
        <w:rPr>
          <w:rFonts w:asciiTheme="majorBidi" w:hAnsiTheme="majorBidi" w:cstheme="majorBidi"/>
          <w:sz w:val="24"/>
          <w:szCs w:val="24"/>
          <w:rtl/>
        </w:rPr>
        <w:lastRenderedPageBreak/>
        <w:t>معينة لها حظ كبير من الفوز، إذ تختلف الآثار القانونية لكل منهما اختلافاً جوهرياً من حيث مسؤولية المحامي واحتجاج الموكل بها.</w:t>
      </w:r>
      <w:r w:rsidRPr="00000002">
        <w:rPr>
          <w:rtl/>
        </w:rPr>
        <w:footnoteReference w:id="27"/>
      </w:r>
    </w:p>
    <w:p w14:paraId="7F295C87" w14:textId="77777777" w:rsidR="00D57654" w:rsidRDefault="00000000" w:rsidP="006713B6">
      <w:pPr>
        <w:jc w:val="right"/>
        <w:rPr>
          <w:rFonts w:asciiTheme="majorBidi" w:hAnsiTheme="majorBidi" w:cstheme="majorBidi"/>
          <w:sz w:val="24"/>
          <w:szCs w:val="24"/>
          <w:rtl/>
        </w:rPr>
      </w:pPr>
      <w:r>
        <w:rPr>
          <w:rFonts w:asciiTheme="majorBidi" w:hAnsiTheme="majorBidi" w:cstheme="majorBidi"/>
          <w:sz w:val="24"/>
          <w:szCs w:val="24"/>
          <w:rtl/>
        </w:rPr>
        <w:t>وعلى الصعيد التطبيقي، لاحظ العجماني وسيد أن تجربة الإمارات في تعريف الأنظمة الذكية القضائية اتسمت بالبراغماتية؛ إذ آثرت الجهات المعنية وضع تعريفات مرنة تتوسع تدريجياً بحسب التجارب التطبيقية بدلاً من تقنين تعريف جامد مانع قد يعيق الابتكار أو يخلق ثغرات حين يظهر نظام لا يستوفي شكلياً التعريف القائم وإن كانت آثاره مطابقة له.</w:t>
      </w:r>
      <w:r w:rsidRPr="00000002">
        <w:rPr>
          <w:rtl/>
        </w:rPr>
        <w:footnoteReference w:id="28"/>
      </w:r>
    </w:p>
    <w:p w14:paraId="70CF91AA" w14:textId="77777777" w:rsidR="00D57654" w:rsidRDefault="00000000" w:rsidP="006713B6">
      <w:pPr>
        <w:jc w:val="right"/>
        <w:rPr>
          <w:rFonts w:asciiTheme="majorBidi" w:hAnsiTheme="majorBidi" w:cstheme="majorBidi"/>
          <w:sz w:val="24"/>
          <w:szCs w:val="24"/>
          <w:rtl/>
        </w:rPr>
      </w:pPr>
      <w:r>
        <w:rPr>
          <w:rFonts w:asciiTheme="majorBidi" w:hAnsiTheme="majorBidi" w:cstheme="majorBidi"/>
          <w:sz w:val="24"/>
          <w:szCs w:val="24"/>
          <w:rtl/>
        </w:rPr>
        <w:t>وفيما يخص التعريفات المتعلقة بالمسؤولية الجنائية الناجمة عن كيانات الذكاء الاصطناعي، ميّز العطار والنوايسة بين ثلاثة مستويات من الكيانات: الأداة الذكية التي تعمل وفق تعليمات محددة مسبقاً، والوكيل الذكي الذي يتخذ قرارات في حدود سياق محدد، والكيان الذاتي الذي يُعيد رسم قواعد عمله استجابةً للمعطيات، مُقرّرَين أن التعريف القانوني الملزم يجب أن يُفرّق بين هذه المستويات لضبط درجة المسؤولية المناسبة لكل منها.</w:t>
      </w:r>
      <w:r w:rsidRPr="00000002">
        <w:rPr>
          <w:rtl/>
        </w:rPr>
        <w:footnoteReference w:id="29"/>
      </w:r>
    </w:p>
    <w:p w14:paraId="661412E1" w14:textId="77777777" w:rsidR="00D57654" w:rsidRDefault="00000000" w:rsidP="006713B6">
      <w:pPr>
        <w:jc w:val="right"/>
        <w:rPr>
          <w:rFonts w:asciiTheme="majorBidi" w:hAnsiTheme="majorBidi" w:cstheme="majorBidi"/>
          <w:sz w:val="24"/>
          <w:szCs w:val="24"/>
          <w:rtl/>
        </w:rPr>
      </w:pPr>
      <w:r>
        <w:rPr>
          <w:rFonts w:asciiTheme="majorBidi" w:hAnsiTheme="majorBidi" w:cstheme="majorBidi"/>
          <w:sz w:val="24"/>
          <w:szCs w:val="24"/>
          <w:rtl/>
        </w:rPr>
        <w:t>وبصدد التعريفات الإجرائية لأنظمة الذكاء الاصطناعي القضائية، انتهى العرشاني إلى أن أجدى التعريفات ما ربط بين الوظيفة والأثر: فالنظام يُعدّ ذكياً قانونياً إذا كان قادراً على توليد حُجج قانونية أو تصنيف وقائع أو الإفضاء إلى توصيات ذات أثر في حقوق الأطراف، وأن هذا التعريف الوظيفي هو الأنسب لأغراض التنظيم لأنه يُركّز على الأثر لا على البنية التقنية.</w:t>
      </w:r>
      <w:r w:rsidRPr="00000002">
        <w:rPr>
          <w:rtl/>
        </w:rPr>
        <w:footnoteReference w:id="30"/>
      </w:r>
    </w:p>
    <w:p w14:paraId="2B251FC6" w14:textId="77777777" w:rsidR="00D57654" w:rsidRDefault="00000000" w:rsidP="006713B6">
      <w:pPr>
        <w:jc w:val="right"/>
        <w:rPr>
          <w:rFonts w:asciiTheme="majorBidi" w:hAnsiTheme="majorBidi" w:cstheme="majorBidi"/>
          <w:sz w:val="24"/>
          <w:szCs w:val="24"/>
          <w:rtl/>
        </w:rPr>
      </w:pPr>
      <w:r>
        <w:rPr>
          <w:rFonts w:asciiTheme="majorBidi" w:hAnsiTheme="majorBidi" w:cstheme="majorBidi"/>
          <w:sz w:val="24"/>
          <w:szCs w:val="24"/>
          <w:rtl/>
        </w:rPr>
        <w:t>وفي سياق وضع التعريفات الإجرائية الدقيقة، اقترح المعلم جملة من المصطلحات التي تستوجب التعريف التشريعي قبل الشروع في تنظيم الذكاء الاصطناعي في الممارسة القانونية، أبرزها: النظام الذكي المساعد، والقرار الخوارزمي، والمخرج القانوني الآلي، والتقرير الذكي، مؤكداً أن تعدد المصطلحات واضطرابها في الكتابات الفقهية الراهنة يُشكّل عائقاً أمام بناء منظومة تشريعية متماسكة.</w:t>
      </w:r>
      <w:r w:rsidRPr="00000002">
        <w:rPr>
          <w:rtl/>
        </w:rPr>
        <w:footnoteReference w:id="31"/>
      </w:r>
    </w:p>
    <w:p w14:paraId="4A40C732" w14:textId="77777777" w:rsidR="00D57654" w:rsidRDefault="00000000" w:rsidP="006713B6">
      <w:pPr>
        <w:jc w:val="right"/>
        <w:rPr>
          <w:rFonts w:asciiTheme="majorBidi" w:hAnsiTheme="majorBidi" w:cstheme="majorBidi"/>
          <w:sz w:val="24"/>
          <w:szCs w:val="24"/>
          <w:rtl/>
        </w:rPr>
      </w:pPr>
      <w:r>
        <w:rPr>
          <w:rFonts w:asciiTheme="majorBidi" w:hAnsiTheme="majorBidi" w:cstheme="majorBidi"/>
          <w:sz w:val="24"/>
          <w:szCs w:val="24"/>
          <w:rtl/>
        </w:rPr>
        <w:t>وقد انتهت الخميسي في سياق مقارب إلى أن التعريف الإجرائي لأي مفهوم في مجال الذكاء الاصطناعي ينبغي أن يكون وظيفياً لا تقنياً، أي أن يُحدّد ما يفعله النظام في السياق القانوني وما يترتب عليه من آثار، لا كيف يعمل من الناحية الحسابية، وذلك لأن القانون يتعامل مع النتائج لا مع الخوارزميات.</w:t>
      </w:r>
      <w:r w:rsidRPr="00000001">
        <w:rPr>
          <w:rtl/>
        </w:rPr>
        <w:footnoteReference w:id="32"/>
      </w:r>
    </w:p>
    <w:p w14:paraId="3226A1F5" w14:textId="77777777" w:rsidR="00D57654" w:rsidRDefault="00000000" w:rsidP="006713B6">
      <w:pPr>
        <w:jc w:val="right"/>
        <w:rPr>
          <w:rFonts w:asciiTheme="majorBidi" w:hAnsiTheme="majorBidi" w:cstheme="majorBidi"/>
          <w:sz w:val="24"/>
          <w:szCs w:val="24"/>
          <w:rtl/>
        </w:rPr>
      </w:pPr>
      <w:r>
        <w:rPr>
          <w:rFonts w:asciiTheme="majorBidi" w:hAnsiTheme="majorBidi" w:cstheme="majorBidi"/>
          <w:sz w:val="24"/>
          <w:szCs w:val="24"/>
          <w:rtl/>
        </w:rPr>
        <w:t xml:space="preserve">وفي إطار التعريفات الإجرائية الضرورية لضبط مفاهيم هذا البحث، تجدر الإشارة إلى ما أوردته الجلعود من ضرورة التمييز بين مستويين في فهم الذكاء الاصطناعي القضائي: المستوى الوظيفي الذي يُعرّفه من حيث </w:t>
      </w:r>
      <w:r>
        <w:rPr>
          <w:rFonts w:asciiTheme="majorBidi" w:hAnsiTheme="majorBidi" w:cstheme="majorBidi"/>
          <w:sz w:val="24"/>
          <w:szCs w:val="24"/>
          <w:rtl/>
        </w:rPr>
        <w:lastRenderedPageBreak/>
        <w:t>المهام التي يؤديها كالتصنيف والتوقع والتوليد، والمستوى المعياري الذي يُعرّفه من حيث الضوابط التي يخضع لها كالشفافية والمحاسبة وقابلية التفسير.</w:t>
      </w:r>
      <w:r w:rsidRPr="00000001">
        <w:rPr>
          <w:rtl/>
        </w:rPr>
        <w:footnoteReference w:id="33"/>
      </w:r>
    </w:p>
    <w:p w14:paraId="0F1FF0D9" w14:textId="77777777" w:rsidR="008C5A8E" w:rsidRPr="00BC5F38" w:rsidRDefault="008C5A8E" w:rsidP="008C5A8E">
      <w:pPr>
        <w:bidi/>
        <w:spacing w:after="200" w:line="276" w:lineRule="auto"/>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ثانيًا</w:t>
      </w:r>
      <w:r>
        <w:rPr>
          <w:rFonts w:asciiTheme="majorBidi" w:hAnsiTheme="majorBidi" w:cstheme="majorBidi"/>
          <w:b/>
          <w:bCs/>
          <w:color w:val="000000" w:themeColor="text1"/>
          <w:sz w:val="24"/>
          <w:szCs w:val="24"/>
        </w:rPr>
        <w:t xml:space="preserve">: </w:t>
      </w:r>
      <w:r>
        <w:rPr>
          <w:rFonts w:asciiTheme="majorBidi" w:hAnsiTheme="majorBidi" w:cstheme="majorBidi"/>
          <w:b/>
          <w:bCs/>
          <w:color w:val="000000" w:themeColor="text1"/>
          <w:sz w:val="24"/>
          <w:szCs w:val="24"/>
          <w:rtl/>
        </w:rPr>
        <w:t>مكاتب المحاماة</w:t>
      </w:r>
    </w:p>
    <w:p w14:paraId="57677B30" w14:textId="77777777" w:rsidR="00C35724" w:rsidRDefault="008C5A8E" w:rsidP="00D41CB7">
      <w:pPr>
        <w:bidi/>
        <w:spacing w:after="200" w:line="276" w:lineRule="auto"/>
        <w:rPr>
          <w:rFonts w:asciiTheme="majorBidi" w:hAnsiTheme="majorBidi" w:cstheme="majorBidi"/>
          <w:color w:val="000000" w:themeColor="text1"/>
          <w:sz w:val="24"/>
          <w:szCs w:val="24"/>
          <w:rtl/>
        </w:rPr>
      </w:pPr>
      <w:r>
        <w:rPr>
          <w:rFonts w:ascii="Segoe UI Emoji" w:hAnsi="Segoe UI Emoji" w:cs="Segoe UI Emoji"/>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b/>
          <w:bCs/>
          <w:color w:val="000000" w:themeColor="text1"/>
          <w:sz w:val="24"/>
          <w:szCs w:val="24"/>
          <w:rtl/>
        </w:rPr>
        <w:t>التعريف الإجرائي</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المقصود بها في هذه الدراسة: الكيانات القانونية المرخصة في المملكة العربية السعودية والتي بدأت، أو يُحتمل أن تبدأ، بتوظيف أدوات الذكاء الاصطناعي لتقديم خدماتها القانونية بشكل أكثر كفاءة وتنظيمًا</w:t>
      </w:r>
      <w:r>
        <w:rPr>
          <w:rFonts w:asciiTheme="majorBidi" w:hAnsiTheme="majorBidi" w:cstheme="majorBidi"/>
          <w:color w:val="000000" w:themeColor="text1"/>
          <w:sz w:val="24"/>
          <w:szCs w:val="24"/>
        </w:rPr>
        <w:t>.</w:t>
      </w:r>
    </w:p>
    <w:p w14:paraId="37EDCFC8"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t>وفي هذا الصدد، أفادت دراسة فاطمة بالل (2023م) — وهي رسالة ماجستير مجازة من كلية القانون بجامعة قطر — بأن الكيانات القانونية المرخصة في دول الخليج بدأت تواجه تحديات هيكلية متجددة في ظل اعتماد تقنيات الذكاء الاصطناعي، إذ إن مناهج التقاضي التقليدية باتت غير كافية لاستيعاب النماذج الذكية الجديدة في تقديم الخدمات القانونية.</w:t>
      </w:r>
      <w:r w:rsidRPr="00000001">
        <w:rPr>
          <w:rtl/>
        </w:rPr>
        <w:footnoteReference w:id="34"/>
      </w:r>
    </w:p>
    <w:p w14:paraId="39490259" w14:textId="77777777" w:rsidR="008C5A8E" w:rsidRPr="00D41CB7" w:rsidRDefault="008C5A8E" w:rsidP="00C35724">
      <w:pPr>
        <w:bidi/>
        <w:spacing w:after="200" w:line="276" w:lineRule="auto"/>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ثالثًا</w:t>
      </w:r>
      <w:r>
        <w:rPr>
          <w:rFonts w:asciiTheme="majorBidi" w:hAnsiTheme="majorBidi" w:cstheme="majorBidi"/>
          <w:b/>
          <w:bCs/>
          <w:color w:val="000000" w:themeColor="text1"/>
          <w:sz w:val="24"/>
          <w:szCs w:val="24"/>
        </w:rPr>
        <w:t xml:space="preserve">: </w:t>
      </w:r>
      <w:r>
        <w:rPr>
          <w:rFonts w:asciiTheme="majorBidi" w:hAnsiTheme="majorBidi" w:cstheme="majorBidi"/>
          <w:b/>
          <w:bCs/>
          <w:color w:val="000000" w:themeColor="text1"/>
          <w:sz w:val="24"/>
          <w:szCs w:val="24"/>
          <w:rtl/>
        </w:rPr>
        <w:t>الإطار القانوني</w:t>
      </w:r>
    </w:p>
    <w:p w14:paraId="40EBF03E" w14:textId="77777777" w:rsidR="00D41CB7" w:rsidRPr="00D41CB7" w:rsidRDefault="008C5A8E" w:rsidP="00D41CB7">
      <w:pPr>
        <w:bidi/>
        <w:spacing w:after="200" w:line="276" w:lineRule="auto"/>
        <w:rPr>
          <w:rFonts w:asciiTheme="majorBidi" w:hAnsiTheme="majorBidi" w:cstheme="majorBidi"/>
          <w:color w:val="000000" w:themeColor="text1"/>
          <w:sz w:val="24"/>
          <w:szCs w:val="24"/>
        </w:rPr>
      </w:pPr>
      <w:r>
        <w:rPr>
          <w:rFonts w:ascii="Segoe UI Emoji" w:hAnsi="Segoe UI Emoji" w:cs="Segoe UI Emoji"/>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b/>
          <w:bCs/>
          <w:color w:val="000000" w:themeColor="text1"/>
          <w:sz w:val="24"/>
          <w:szCs w:val="24"/>
          <w:rtl/>
        </w:rPr>
        <w:t>التعريف الإجرائي</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يشير في هذا السياق إلى الأنظمة السعودية ذات الصلة بتنظيم الذكاء الاصطناعي داخل مكاتب المحاماة، مثل نظام المحاماة، ونظام حماية البيانات الشخصية، ونظام المعاملات المدنية، وغيرها من الأطر التشريعية ذات العلاقة</w:t>
      </w:r>
      <w:r>
        <w:rPr>
          <w:rFonts w:asciiTheme="majorBidi" w:hAnsiTheme="majorBidi" w:cstheme="majorBidi"/>
          <w:color w:val="000000" w:themeColor="text1"/>
          <w:sz w:val="24"/>
          <w:szCs w:val="24"/>
        </w:rPr>
        <w:t>.</w:t>
      </w:r>
    </w:p>
    <w:p w14:paraId="366C412F" w14:textId="77777777" w:rsidR="008C5A8E" w:rsidRPr="00BC5F38" w:rsidRDefault="008C5A8E" w:rsidP="008C5A8E">
      <w:pPr>
        <w:bidi/>
        <w:spacing w:after="200" w:line="276" w:lineRule="auto"/>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رابعًا</w:t>
      </w:r>
      <w:r>
        <w:rPr>
          <w:rFonts w:asciiTheme="majorBidi" w:hAnsiTheme="majorBidi" w:cstheme="majorBidi"/>
          <w:b/>
          <w:bCs/>
          <w:color w:val="000000" w:themeColor="text1"/>
          <w:sz w:val="24"/>
          <w:szCs w:val="24"/>
        </w:rPr>
        <w:t xml:space="preserve">: </w:t>
      </w:r>
      <w:r>
        <w:rPr>
          <w:rFonts w:asciiTheme="majorBidi" w:hAnsiTheme="majorBidi" w:cstheme="majorBidi"/>
          <w:b/>
          <w:bCs/>
          <w:color w:val="000000" w:themeColor="text1"/>
          <w:sz w:val="24"/>
          <w:szCs w:val="24"/>
          <w:rtl/>
        </w:rPr>
        <w:t>المسؤولية القانونية</w:t>
      </w:r>
    </w:p>
    <w:p w14:paraId="720D6690" w14:textId="77777777" w:rsidR="00D41CB7" w:rsidRPr="00BC5F38" w:rsidRDefault="008C5A8E" w:rsidP="00D41CB7">
      <w:pPr>
        <w:bidi/>
        <w:spacing w:after="200" w:line="276" w:lineRule="auto"/>
        <w:rPr>
          <w:rFonts w:asciiTheme="majorBidi" w:hAnsiTheme="majorBidi" w:cstheme="majorBidi"/>
          <w:color w:val="000000" w:themeColor="text1"/>
          <w:sz w:val="24"/>
          <w:szCs w:val="24"/>
          <w:rtl/>
        </w:rPr>
      </w:pPr>
      <w:r>
        <w:rPr>
          <w:rFonts w:ascii="Segoe UI Emoji" w:hAnsi="Segoe UI Emoji" w:cs="Segoe UI Emoji"/>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b/>
          <w:bCs/>
          <w:color w:val="000000" w:themeColor="text1"/>
          <w:sz w:val="24"/>
          <w:szCs w:val="24"/>
          <w:rtl/>
        </w:rPr>
        <w:t>التعريف الإجرائي</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تُفهم هنا باعتبارها الآثار القانونية المترتبة على استخدام أدوات الذكاء الاصطناعي داخل مكاتب المحاماة، عند حدوث ضرر نتيجة خلل في التكييف القانوني للمخرجات أو إخلال بالضوابط التنظيمية المعتمدة</w:t>
      </w:r>
      <w:r>
        <w:rPr>
          <w:rFonts w:asciiTheme="majorBidi" w:hAnsiTheme="majorBidi" w:cstheme="majorBidi"/>
          <w:color w:val="000000" w:themeColor="text1"/>
          <w:sz w:val="24"/>
          <w:szCs w:val="24"/>
        </w:rPr>
        <w:t>.</w:t>
      </w:r>
    </w:p>
    <w:p w14:paraId="07248EE3" w14:textId="77777777" w:rsidR="00B102AB" w:rsidRPr="00BC5F38" w:rsidRDefault="00B102AB" w:rsidP="00B102AB">
      <w:pPr>
        <w:bidi/>
        <w:spacing w:after="200" w:line="276" w:lineRule="auto"/>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خامسًا</w:t>
      </w:r>
      <w:r>
        <w:rPr>
          <w:rFonts w:asciiTheme="majorBidi" w:hAnsiTheme="majorBidi" w:cstheme="majorBidi"/>
          <w:b/>
          <w:bCs/>
          <w:color w:val="000000" w:themeColor="text1"/>
          <w:sz w:val="24"/>
          <w:szCs w:val="24"/>
        </w:rPr>
        <w:t xml:space="preserve">: </w:t>
      </w:r>
      <w:r>
        <w:rPr>
          <w:rFonts w:asciiTheme="majorBidi" w:hAnsiTheme="majorBidi" w:cstheme="majorBidi"/>
          <w:b/>
          <w:bCs/>
          <w:color w:val="000000" w:themeColor="text1"/>
          <w:sz w:val="24"/>
          <w:szCs w:val="24"/>
          <w:rtl/>
        </w:rPr>
        <w:t>الخصوصية وحماية البيانات</w:t>
      </w:r>
    </w:p>
    <w:p w14:paraId="208A5596" w14:textId="77777777" w:rsidR="00B102AB" w:rsidRPr="00BC5F38" w:rsidRDefault="00B102AB" w:rsidP="00D41CB7">
      <w:pPr>
        <w:bidi/>
        <w:spacing w:after="200" w:line="276" w:lineRule="auto"/>
        <w:rPr>
          <w:rFonts w:asciiTheme="majorBidi" w:hAnsiTheme="majorBidi" w:cstheme="majorBidi"/>
          <w:color w:val="000000" w:themeColor="text1"/>
          <w:sz w:val="24"/>
          <w:szCs w:val="24"/>
        </w:rPr>
      </w:pPr>
      <w:r>
        <w:rPr>
          <w:rFonts w:ascii="Segoe UI Emoji" w:hAnsi="Segoe UI Emoji" w:cs="Segoe UI Emoji"/>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b/>
          <w:bCs/>
          <w:color w:val="000000" w:themeColor="text1"/>
          <w:sz w:val="24"/>
          <w:szCs w:val="24"/>
          <w:rtl/>
        </w:rPr>
        <w:t>التعريف الإجرائي</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تُفهم في هذه الدراسة ضمن نطاق حماية المعلومات القانونية الخاصة بالعملاء أثناء استخدامها أو تخزينها أو تحليلها عبر أدوات الذكاء الاصطناعي، بما يتوافق مع نظام حماية البيانات الشخصية في المملكة</w:t>
      </w:r>
      <w:r>
        <w:rPr>
          <w:rFonts w:asciiTheme="majorBidi" w:hAnsiTheme="majorBidi" w:cstheme="majorBidi"/>
          <w:color w:val="000000" w:themeColor="text1"/>
          <w:sz w:val="24"/>
          <w:szCs w:val="24"/>
        </w:rPr>
        <w:t>.</w:t>
      </w:r>
    </w:p>
    <w:p w14:paraId="76021B07" w14:textId="77777777" w:rsidR="00B102AB" w:rsidRPr="00BC5F38" w:rsidRDefault="00B102AB" w:rsidP="00B102AB">
      <w:pPr>
        <w:bidi/>
        <w:spacing w:after="200" w:line="276" w:lineRule="auto"/>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سادسًا</w:t>
      </w:r>
      <w:r>
        <w:rPr>
          <w:rFonts w:asciiTheme="majorBidi" w:hAnsiTheme="majorBidi" w:cstheme="majorBidi"/>
          <w:b/>
          <w:bCs/>
          <w:color w:val="000000" w:themeColor="text1"/>
          <w:sz w:val="24"/>
          <w:szCs w:val="24"/>
        </w:rPr>
        <w:t xml:space="preserve">: </w:t>
      </w:r>
      <w:r>
        <w:rPr>
          <w:rFonts w:asciiTheme="majorBidi" w:hAnsiTheme="majorBidi" w:cstheme="majorBidi"/>
          <w:b/>
          <w:bCs/>
          <w:color w:val="000000" w:themeColor="text1"/>
          <w:sz w:val="24"/>
          <w:szCs w:val="24"/>
          <w:rtl/>
        </w:rPr>
        <w:t>التحول الرقمي العدلي</w:t>
      </w:r>
    </w:p>
    <w:p w14:paraId="49D3DCF2" w14:textId="77777777" w:rsidR="00830A22" w:rsidRPr="00D41CB7" w:rsidRDefault="00B102AB" w:rsidP="00D41CB7">
      <w:pPr>
        <w:bidi/>
        <w:spacing w:after="200" w:line="276" w:lineRule="auto"/>
        <w:rPr>
          <w:rFonts w:asciiTheme="majorBidi" w:hAnsiTheme="majorBidi" w:cstheme="majorBidi"/>
          <w:color w:val="000000" w:themeColor="text1"/>
          <w:sz w:val="24"/>
          <w:szCs w:val="24"/>
          <w:rtl/>
        </w:rPr>
      </w:pPr>
      <w:r>
        <w:rPr>
          <w:rFonts w:ascii="Segoe UI Emoji" w:hAnsi="Segoe UI Emoji" w:cs="Segoe UI Emoji"/>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b/>
          <w:bCs/>
          <w:color w:val="000000" w:themeColor="text1"/>
          <w:sz w:val="24"/>
          <w:szCs w:val="24"/>
          <w:rtl/>
        </w:rPr>
        <w:t>التعريف الإجرائي</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يُقصد به في هذا السياق إدخال تقنيات الذكاء الاصطناعي في خدمات مكاتب المحاماة السعودية كجزء من خطة التحول الرقمي العدلي التي تتبناها المملكة في إطار رؤية 2030</w:t>
      </w:r>
      <w:r>
        <w:rPr>
          <w:rFonts w:asciiTheme="majorBidi" w:hAnsiTheme="majorBidi" w:cstheme="majorBidi"/>
          <w:color w:val="000000" w:themeColor="text1"/>
          <w:sz w:val="24"/>
          <w:szCs w:val="24"/>
        </w:rPr>
        <w:t>.</w:t>
      </w:r>
    </w:p>
    <w:p w14:paraId="5FCFFE10" w14:textId="77777777" w:rsidR="00B102AB" w:rsidRDefault="00B102AB" w:rsidP="00830A22">
      <w:pPr>
        <w:jc w:val="right"/>
        <w:rPr>
          <w:rFonts w:asciiTheme="majorBidi" w:hAnsiTheme="majorBidi" w:cstheme="majorBidi"/>
          <w:b/>
          <w:bCs/>
          <w:color w:val="000000" w:themeColor="text1"/>
          <w:sz w:val="24"/>
          <w:szCs w:val="24"/>
        </w:rPr>
      </w:pPr>
    </w:p>
    <w:p w14:paraId="3A2C0EA2" w14:textId="77777777" w:rsidR="006713B6" w:rsidRPr="00BC5F38" w:rsidRDefault="006713B6" w:rsidP="00830A22">
      <w:pPr>
        <w:jc w:val="right"/>
        <w:rPr>
          <w:rFonts w:asciiTheme="majorBidi" w:hAnsiTheme="majorBidi" w:cstheme="majorBidi"/>
          <w:b/>
          <w:bCs/>
          <w:color w:val="000000" w:themeColor="text1"/>
          <w:sz w:val="24"/>
          <w:szCs w:val="24"/>
        </w:rPr>
      </w:pPr>
    </w:p>
    <w:p w14:paraId="495296F6" w14:textId="77777777" w:rsidR="00B102AB" w:rsidRPr="00D41CB7" w:rsidRDefault="00271741" w:rsidP="00830A22">
      <w:pPr>
        <w:jc w:val="right"/>
        <w:rPr>
          <w:rFonts w:asciiTheme="majorBidi" w:hAnsiTheme="majorBidi" w:cstheme="majorBidi"/>
          <w:b/>
          <w:bCs/>
          <w:color w:val="000000" w:themeColor="text1"/>
          <w:sz w:val="32"/>
          <w:szCs w:val="32"/>
        </w:rPr>
      </w:pPr>
      <w:r>
        <w:rPr>
          <w:rFonts w:asciiTheme="majorBidi" w:hAnsiTheme="majorBidi" w:cstheme="majorBidi"/>
          <w:b/>
          <w:bCs/>
          <w:color w:val="000000" w:themeColor="text1"/>
          <w:sz w:val="32"/>
          <w:szCs w:val="32"/>
          <w:rtl/>
        </w:rPr>
        <w:lastRenderedPageBreak/>
        <w:t>خطة الدراسة وهيكل الفصول:</w:t>
      </w:r>
    </w:p>
    <w:p w14:paraId="00762B78" w14:textId="77777777" w:rsidR="00065298" w:rsidRPr="00BC5F38" w:rsidRDefault="00454BE9" w:rsidP="00065298">
      <w:pPr>
        <w:jc w:val="right"/>
        <w:rPr>
          <w:rFonts w:asciiTheme="majorBidi" w:hAnsiTheme="majorBidi" w:cstheme="majorBidi"/>
          <w:b/>
          <w:bCs/>
          <w:color w:val="000000" w:themeColor="text1"/>
          <w:sz w:val="24"/>
          <w:szCs w:val="24"/>
          <w:rtl/>
        </w:rPr>
      </w:pPr>
      <w:r>
        <w:rPr>
          <w:rFonts w:asciiTheme="majorBidi" w:hAnsiTheme="majorBidi" w:cstheme="majorBidi"/>
          <w:b/>
          <w:bCs/>
          <w:color w:val="000000" w:themeColor="text1"/>
          <w:sz w:val="24"/>
          <w:szCs w:val="24"/>
          <w:rtl/>
        </w:rPr>
        <w:t>الفصل التمهيدي: الإطار العام للدراسة</w:t>
      </w:r>
      <w:r>
        <w:rPr>
          <w:rFonts w:asciiTheme="majorBidi" w:hAnsiTheme="majorBidi" w:cstheme="majorBidi" w:hint="cs"/>
          <w:b/>
          <w:bCs/>
          <w:color w:val="000000" w:themeColor="text1"/>
          <w:sz w:val="24"/>
          <w:szCs w:val="24"/>
          <w:rtl/>
        </w:rPr>
        <w:t xml:space="preserve"> </w:t>
      </w:r>
    </w:p>
    <w:p w14:paraId="506E54BD" w14:textId="77777777" w:rsidR="001E4959" w:rsidRPr="00BC5F38" w:rsidRDefault="00065298" w:rsidP="00065298">
      <w:pPr>
        <w:jc w:val="right"/>
        <w:rPr>
          <w:rFonts w:asciiTheme="majorBidi" w:hAnsiTheme="majorBidi" w:cstheme="majorBidi"/>
          <w:color w:val="000000" w:themeColor="text1"/>
          <w:sz w:val="24"/>
          <w:szCs w:val="24"/>
          <w:rtl/>
        </w:rPr>
      </w:pPr>
      <w:r>
        <w:rPr>
          <w:rFonts w:asciiTheme="majorBidi" w:hAnsiTheme="majorBidi" w:cstheme="majorBidi" w:hint="cs"/>
          <w:b/>
          <w:bCs/>
          <w:color w:val="000000" w:themeColor="text1"/>
          <w:sz w:val="24"/>
          <w:szCs w:val="24"/>
          <w:rtl/>
        </w:rPr>
        <w:t>ويشمل هذا الفصل :</w:t>
      </w:r>
      <w:r>
        <w:rPr>
          <w:rFonts w:asciiTheme="majorBidi" w:hAnsiTheme="majorBidi" w:cstheme="majorBidi" w:hint="cs"/>
          <w:color w:val="000000" w:themeColor="text1"/>
          <w:sz w:val="24"/>
          <w:szCs w:val="24"/>
          <w:rtl/>
        </w:rPr>
        <w:t xml:space="preserve"> </w:t>
      </w:r>
      <w:r>
        <w:rPr>
          <w:rFonts w:asciiTheme="majorBidi" w:hAnsiTheme="majorBidi" w:cstheme="majorBidi"/>
          <w:color w:val="000000" w:themeColor="text1"/>
          <w:sz w:val="24"/>
          <w:szCs w:val="24"/>
          <w:rtl/>
        </w:rPr>
        <w:t xml:space="preserve">مقدمة الدراسة، مشكلة الدراسة، أهمية الدراسة، أهداف الدراسة، </w:t>
      </w:r>
      <w:r>
        <w:rPr>
          <w:rFonts w:asciiTheme="majorBidi" w:hAnsiTheme="majorBidi" w:cstheme="majorBidi" w:hint="cs"/>
          <w:color w:val="000000" w:themeColor="text1"/>
          <w:sz w:val="24"/>
          <w:szCs w:val="24"/>
          <w:rtl/>
        </w:rPr>
        <w:t>تساؤلات الدراسة</w:t>
      </w:r>
      <w:r>
        <w:rPr>
          <w:rFonts w:asciiTheme="majorBidi" w:hAnsiTheme="majorBidi" w:cstheme="majorBidi"/>
          <w:color w:val="000000" w:themeColor="text1"/>
          <w:sz w:val="24"/>
          <w:szCs w:val="24"/>
          <w:rtl/>
        </w:rPr>
        <w:t xml:space="preserve">، منهج الدراسة، حدود الدراسة، </w:t>
      </w:r>
      <w:r>
        <w:rPr>
          <w:rFonts w:asciiTheme="majorBidi" w:hAnsiTheme="majorBidi" w:cstheme="majorBidi" w:hint="cs"/>
          <w:color w:val="000000" w:themeColor="text1"/>
          <w:sz w:val="24"/>
          <w:szCs w:val="24"/>
          <w:rtl/>
        </w:rPr>
        <w:t>الدراسات المرجعية السابقة</w:t>
      </w:r>
      <w:r>
        <w:rPr>
          <w:rFonts w:asciiTheme="majorBidi" w:hAnsiTheme="majorBidi" w:cstheme="majorBidi"/>
          <w:color w:val="000000" w:themeColor="text1"/>
          <w:sz w:val="24"/>
          <w:szCs w:val="24"/>
          <w:rtl/>
        </w:rPr>
        <w:t xml:space="preserve">، </w:t>
      </w:r>
      <w:r>
        <w:rPr>
          <w:rFonts w:asciiTheme="majorBidi" w:hAnsiTheme="majorBidi" w:cstheme="majorBidi" w:hint="cs"/>
          <w:color w:val="000000" w:themeColor="text1"/>
          <w:sz w:val="24"/>
          <w:szCs w:val="24"/>
          <w:rtl/>
        </w:rPr>
        <w:t>مصطلحات الدراسة وتعريفاتها</w:t>
      </w:r>
      <w:r>
        <w:rPr>
          <w:rFonts w:asciiTheme="majorBidi" w:hAnsiTheme="majorBidi" w:cstheme="majorBidi"/>
          <w:color w:val="000000" w:themeColor="text1"/>
          <w:sz w:val="24"/>
          <w:szCs w:val="24"/>
          <w:rtl/>
        </w:rPr>
        <w:t>، خطة الدراسة وهيكل الفصول</w:t>
      </w:r>
      <w:r>
        <w:rPr>
          <w:rFonts w:asciiTheme="majorBidi" w:hAnsiTheme="majorBidi" w:cstheme="majorBidi" w:hint="cs"/>
          <w:color w:val="000000" w:themeColor="text1"/>
          <w:sz w:val="24"/>
          <w:szCs w:val="24"/>
          <w:rtl/>
        </w:rPr>
        <w:t>.</w:t>
      </w:r>
    </w:p>
    <w:p w14:paraId="33B5AEB4" w14:textId="77777777" w:rsidR="00454BE9" w:rsidRPr="00BC5F38" w:rsidRDefault="00454BE9" w:rsidP="00C3572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xml:space="preserve">الفصل الأول: </w:t>
      </w:r>
      <w:r>
        <w:rPr>
          <w:rFonts w:hint="cs"/>
          <w:b/>
          <w:bCs/>
          <w:rtl/>
        </w:rPr>
        <w:t>النظام القانوني السعودي لاستخدام الذكاء الاصطناعي في مهنة المحاماة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المبحث الأول:</w:t>
      </w:r>
      <w:r>
        <w:rPr>
          <w:rFonts w:asciiTheme="majorBidi" w:hAnsiTheme="majorBidi" w:cstheme="majorBidi"/>
          <w:color w:val="000000" w:themeColor="text1"/>
          <w:sz w:val="24"/>
          <w:szCs w:val="24"/>
          <w:rtl/>
        </w:rPr>
        <w:t xml:space="preserve"> التنظيم </w:t>
      </w:r>
      <w:r>
        <w:rPr>
          <w:rFonts w:asciiTheme="majorBidi" w:hAnsiTheme="majorBidi" w:cstheme="majorBidi" w:hint="cs"/>
          <w:color w:val="000000" w:themeColor="text1"/>
          <w:sz w:val="24"/>
          <w:szCs w:val="24"/>
          <w:rtl/>
        </w:rPr>
        <w:t>التشريعي</w:t>
      </w:r>
      <w:r>
        <w:rPr>
          <w:rFonts w:asciiTheme="majorBidi" w:hAnsiTheme="majorBidi" w:cstheme="majorBidi"/>
          <w:color w:val="000000" w:themeColor="text1"/>
          <w:sz w:val="24"/>
          <w:szCs w:val="24"/>
          <w:rtl/>
        </w:rPr>
        <w:t xml:space="preserve"> لمهنة المحاماة وتقنيات 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نظام المحاماة واللائحة التنفيذية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دور الأنظمة المكملة (حماية البيانات، الإثبات، الإجراءات</w:t>
      </w:r>
      <w:r>
        <w:rPr>
          <w:rFonts w:asciiTheme="majorBidi" w:hAnsiTheme="majorBidi" w:cstheme="majorBidi" w:hint="cs"/>
          <w:color w:val="000000" w:themeColor="text1"/>
          <w:sz w:val="24"/>
          <w:szCs w:val="24"/>
          <w:rtl/>
        </w:rPr>
        <w:t>...الخ</w:t>
      </w:r>
      <w:r>
        <w:rPr>
          <w:rFonts w:asciiTheme="majorBidi" w:hAnsiTheme="majorBidi" w:cstheme="majorBidi"/>
          <w:color w:val="000000" w:themeColor="text1"/>
          <w:sz w:val="24"/>
          <w:szCs w:val="24"/>
          <w:rtl/>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 xml:space="preserve">المبحث الثاني: </w:t>
      </w:r>
      <w:r>
        <w:rPr>
          <w:rFonts w:asciiTheme="majorBidi" w:hAnsiTheme="majorBidi" w:cstheme="majorBidi"/>
          <w:color w:val="000000" w:themeColor="text1"/>
          <w:sz w:val="24"/>
          <w:szCs w:val="24"/>
          <w:rtl/>
        </w:rPr>
        <w:t>تحليل الفجوات في التنظيم الحالي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قصور النصوص التنظيمية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آثار غياب التنظيم على الممارسة</w:t>
      </w:r>
    </w:p>
    <w:p w14:paraId="33EBA79E" w14:textId="77777777" w:rsidR="00454BE9" w:rsidRPr="00836102" w:rsidRDefault="00454BE9" w:rsidP="00836102">
      <w:pPr>
        <w:jc w:val="right"/>
        <w:rPr>
          <w:rFonts w:asciiTheme="majorBidi" w:hAnsiTheme="majorBidi"/>
          <w:b/>
          <w:bCs/>
          <w:color w:val="000000" w:themeColor="text1"/>
          <w:sz w:val="24"/>
          <w:szCs w:val="24"/>
        </w:rPr>
      </w:pPr>
      <w:r>
        <w:rPr>
          <w:rFonts w:asciiTheme="majorBidi" w:hAnsiTheme="majorBidi" w:cstheme="majorBidi"/>
          <w:b/>
          <w:bCs/>
          <w:color w:val="000000" w:themeColor="text1"/>
          <w:sz w:val="24"/>
          <w:szCs w:val="24"/>
          <w:rtl/>
        </w:rPr>
        <w:t>الفصل الثاني: التكييف القانوني والفقهي والمسؤولية النظامية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المبحث الأول</w:t>
      </w:r>
      <w:r>
        <w:rPr>
          <w:rFonts w:asciiTheme="majorBidi" w:hAnsiTheme="majorBidi" w:cstheme="majorBidi"/>
          <w:color w:val="000000" w:themeColor="text1"/>
          <w:sz w:val="24"/>
          <w:szCs w:val="24"/>
          <w:rtl/>
        </w:rPr>
        <w:t>: التكييف النظامي والفقهي للمخرجات الذكية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حجية العقود والتقارير القانونية المنتجة آليًا</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مشروعية استخدامها أمام الجهات القضائية مع الإشارة إلى بعض التجارب الدولية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المبحث الثاني:</w:t>
      </w:r>
      <w:r>
        <w:rPr>
          <w:rFonts w:asciiTheme="majorBidi" w:hAnsiTheme="majorBidi" w:cstheme="majorBidi"/>
          <w:color w:val="000000" w:themeColor="text1"/>
          <w:sz w:val="24"/>
          <w:szCs w:val="24"/>
          <w:rtl/>
        </w:rPr>
        <w:t xml:space="preserve"> </w:t>
      </w:r>
      <w:r>
        <w:rPr>
          <w:rFonts w:asciiTheme="majorBidi" w:hAnsiTheme="majorBidi"/>
          <w:b/>
          <w:bCs/>
          <w:color w:val="000000" w:themeColor="text1"/>
          <w:sz w:val="24"/>
          <w:szCs w:val="24"/>
          <w:rtl/>
        </w:rPr>
        <w:t>المسؤولية القانونية والمهنية عن استخدام تقنيات الذكاء الاصطناعي في مكاتب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المسؤولية المدنية والمهنية للمحامي عند استخدام الذكاء الاصطناعي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مسؤولية المطور، المستخدم، ومقدم التقنية مع مقارنة مختصرة بالتجربة الأوروبية</w:t>
      </w:r>
    </w:p>
    <w:p w14:paraId="7E879775" w14:textId="77777777" w:rsidR="00454BE9" w:rsidRPr="00BC5F38" w:rsidRDefault="00454BE9" w:rsidP="00454BE9">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الفصل الثالث: واقع وتحديات استخدام الذكاء الاصطناعي في مكاتب المحاماة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 xml:space="preserve">المبحث الأول: </w:t>
      </w:r>
      <w:r>
        <w:rPr>
          <w:rFonts w:asciiTheme="majorBidi" w:hAnsiTheme="majorBidi" w:cstheme="majorBidi"/>
          <w:color w:val="000000" w:themeColor="text1"/>
          <w:sz w:val="24"/>
          <w:szCs w:val="24"/>
          <w:rtl/>
        </w:rPr>
        <w:t>التطبيقات المهنية المعاصرة في السعودية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أدوات الذكاء الاصطناعي المتداولة في السوق القانوني السعودي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مدى توافقها مع البيئة النظامية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المبحث الثاني:</w:t>
      </w:r>
      <w:r>
        <w:rPr>
          <w:rFonts w:asciiTheme="majorBidi" w:hAnsiTheme="majorBidi" w:cstheme="majorBidi"/>
          <w:color w:val="000000" w:themeColor="text1"/>
          <w:sz w:val="24"/>
          <w:szCs w:val="24"/>
          <w:rtl/>
        </w:rPr>
        <w:t xml:space="preserve"> أنماط الاستخدام الفردي للتقنيات القانونية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طبيعة الاستخدامات الفردية ومخاطرها في السياق السعودي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التكييف النظامي لهذه الممارسات مع إشارة إلى التجربة الإماراتية</w:t>
      </w:r>
    </w:p>
    <w:p w14:paraId="1F2B99FE" w14:textId="77777777" w:rsidR="00454BE9" w:rsidRPr="00BC5F38" w:rsidRDefault="00454BE9" w:rsidP="00454BE9">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xml:space="preserve">الفصل </w:t>
      </w:r>
      <w:r>
        <w:rPr>
          <w:rFonts w:asciiTheme="majorBidi" w:hAnsiTheme="majorBidi" w:cstheme="majorBidi" w:hint="cs"/>
          <w:b/>
          <w:bCs/>
          <w:color w:val="000000" w:themeColor="text1"/>
          <w:sz w:val="24"/>
          <w:szCs w:val="24"/>
          <w:rtl/>
        </w:rPr>
        <w:t>الرابع</w:t>
      </w:r>
      <w:r>
        <w:rPr>
          <w:rFonts w:asciiTheme="majorBidi" w:hAnsiTheme="majorBidi" w:cstheme="majorBidi"/>
          <w:b/>
          <w:bCs/>
          <w:color w:val="000000" w:themeColor="text1"/>
          <w:sz w:val="24"/>
          <w:szCs w:val="24"/>
          <w:rtl/>
        </w:rPr>
        <w:t>: التصور التنظيمي المقترح</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تمهيد</w:t>
      </w:r>
      <w:r>
        <w:rPr>
          <w:rFonts w:asciiTheme="majorBidi" w:hAnsiTheme="majorBidi" w:cstheme="majorBidi"/>
          <w:color w:val="000000" w:themeColor="text1"/>
          <w:sz w:val="24"/>
          <w:szCs w:val="24"/>
          <w:rtl/>
        </w:rPr>
        <w:t>: يربط الفجوات التي تم تحديدها في الفصول الأولى والثانية والثالثة بملامح التصور المقترح، موضحًا أن هذا التصور جاء لمعالجة تلك الفجوات بما يتوافق مع البيئة النظامية السعودية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المبحث الأول:</w:t>
      </w:r>
      <w:r>
        <w:rPr>
          <w:rFonts w:asciiTheme="majorBidi" w:hAnsiTheme="majorBidi" w:cstheme="majorBidi"/>
          <w:color w:val="000000" w:themeColor="text1"/>
          <w:sz w:val="24"/>
          <w:szCs w:val="24"/>
          <w:rtl/>
        </w:rPr>
        <w:t xml:space="preserve"> ملامح التشريع المقترح</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شروط الترخيص ومعايير تشغيل أدوات الذكاء الاصطناعي في القطاع القانوني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الضمانات القانونية لحماية البيانات والمسؤولية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 xml:space="preserve">المبحث الثاني: </w:t>
      </w:r>
      <w:r>
        <w:rPr>
          <w:rFonts w:asciiTheme="majorBidi" w:hAnsiTheme="majorBidi" w:cstheme="majorBidi"/>
          <w:color w:val="000000" w:themeColor="text1"/>
          <w:sz w:val="24"/>
          <w:szCs w:val="24"/>
          <w:rtl/>
        </w:rPr>
        <w:t>التكامل مع رؤية المملكة 2030</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دعم التحول العدلي الرقمي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فرص وإمكانات تطوير الإطار التشريعي الحالي</w:t>
      </w:r>
    </w:p>
    <w:p w14:paraId="373EEF8E" w14:textId="457513A6" w:rsidR="008F1250" w:rsidRPr="006713B6" w:rsidRDefault="00454BE9" w:rsidP="006713B6">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الخاتمة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النتائج</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التوصيات</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الإسهامات العلمي</w:t>
      </w:r>
      <w:r w:rsidR="006713B6">
        <w:rPr>
          <w:rFonts w:asciiTheme="majorBidi" w:hAnsiTheme="majorBidi" w:cstheme="majorBidi" w:hint="cs"/>
          <w:color w:val="000000" w:themeColor="text1"/>
          <w:sz w:val="24"/>
          <w:szCs w:val="24"/>
          <w:rtl/>
        </w:rPr>
        <w:t>ة</w:t>
      </w:r>
    </w:p>
    <w:p w14:paraId="0478D94E" w14:textId="77777777" w:rsidR="008F1250" w:rsidRPr="00BC5F38" w:rsidRDefault="008F1250" w:rsidP="00830A22">
      <w:pPr>
        <w:jc w:val="right"/>
        <w:rPr>
          <w:rFonts w:asciiTheme="majorBidi" w:hAnsiTheme="majorBidi" w:cstheme="majorBidi"/>
          <w:b/>
          <w:bCs/>
          <w:color w:val="000000" w:themeColor="text1"/>
          <w:sz w:val="24"/>
          <w:szCs w:val="24"/>
        </w:rPr>
      </w:pPr>
    </w:p>
    <w:p w14:paraId="2B353A16" w14:textId="77777777" w:rsidR="00F7053A" w:rsidRPr="00BC5F38" w:rsidRDefault="00F7053A" w:rsidP="00830A22">
      <w:pPr>
        <w:jc w:val="right"/>
        <w:rPr>
          <w:rFonts w:asciiTheme="majorBidi" w:hAnsiTheme="majorBidi" w:cstheme="majorBidi"/>
          <w:b/>
          <w:bCs/>
          <w:color w:val="000000" w:themeColor="text1"/>
          <w:sz w:val="24"/>
          <w:szCs w:val="24"/>
        </w:rPr>
      </w:pPr>
    </w:p>
    <w:p w14:paraId="34023309" w14:textId="77777777" w:rsidR="00F7053A" w:rsidRPr="00D41CB7" w:rsidRDefault="00F7053A" w:rsidP="00F7053A">
      <w:pPr>
        <w:jc w:val="center"/>
        <w:rPr>
          <w:rFonts w:asciiTheme="majorBidi" w:hAnsiTheme="majorBidi" w:cstheme="majorBidi"/>
          <w:b/>
          <w:bCs/>
          <w:color w:val="000000" w:themeColor="text1"/>
          <w:sz w:val="32"/>
          <w:szCs w:val="32"/>
          <w:rtl/>
        </w:rPr>
      </w:pPr>
      <w:r>
        <w:rPr>
          <w:rFonts w:asciiTheme="majorBidi" w:hAnsiTheme="majorBidi" w:cstheme="majorBidi"/>
          <w:b/>
          <w:bCs/>
          <w:color w:val="000000" w:themeColor="text1"/>
          <w:sz w:val="32"/>
          <w:szCs w:val="32"/>
          <w:rtl/>
        </w:rPr>
        <w:t>الفصل الأول</w:t>
      </w:r>
    </w:p>
    <w:p w14:paraId="536CC054" w14:textId="77777777" w:rsidR="00F7053A" w:rsidRDefault="0008617A" w:rsidP="0008617A">
      <w:pPr>
        <w:jc w:val="center"/>
        <w:rPr>
          <w:b/>
          <w:bCs/>
          <w:sz w:val="32"/>
          <w:szCs w:val="32"/>
          <w:rtl/>
        </w:rPr>
      </w:pPr>
      <w:r>
        <w:rPr>
          <w:rFonts w:hint="cs"/>
          <w:b/>
          <w:bCs/>
          <w:sz w:val="32"/>
          <w:szCs w:val="32"/>
          <w:rtl/>
        </w:rPr>
        <w:t>النظام القانوني السعودي لاستخدام الذكاء الاصطناعي في مهنة المحاماة</w:t>
      </w:r>
    </w:p>
    <w:p w14:paraId="0E1B2B1D" w14:textId="77777777" w:rsidR="0008617A" w:rsidRPr="0008617A" w:rsidRDefault="0008617A" w:rsidP="0008617A">
      <w:pPr>
        <w:jc w:val="center"/>
        <w:rPr>
          <w:rFonts w:asciiTheme="majorBidi" w:hAnsiTheme="majorBidi" w:cstheme="majorBidi"/>
          <w:b/>
          <w:bCs/>
          <w:color w:val="000000" w:themeColor="text1"/>
          <w:sz w:val="32"/>
          <w:szCs w:val="32"/>
          <w:rtl/>
        </w:rPr>
      </w:pPr>
    </w:p>
    <w:p w14:paraId="4351ADC9" w14:textId="77777777" w:rsidR="00450EAF" w:rsidRPr="00450EAF" w:rsidRDefault="00450EAF" w:rsidP="006713B6">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يُعَدّ هذا الفصل المدخل النظامي الرئيس للرسالة، إذ يتناول بالدراسة والتحليل الأُطر التشريعية والتنظيمية التي تحكم مهنة المحاماة في المملكة العربية السعودية، ومدى استيعابها لمفاهيم وتقنيات الذكاء الاصطناعي الحديثة في الممارسة المهنية. ويهدف إلى تتبّع تطوّر التنظيم النظامي للمهنة في ضوء التحوّل الرقمي الذي تشهده المنظومة العدلية ضمن رؤية المملكة 2030، وإبراز الفجوات النظامية التي قد تحدّ من توظيف التقنيات الذكية في العمل القانوني</w:t>
      </w:r>
      <w:r>
        <w:rPr>
          <w:rFonts w:asciiTheme="majorBidi" w:hAnsiTheme="majorBidi" w:cstheme="majorBidi"/>
          <w:color w:val="000000" w:themeColor="text1"/>
          <w:sz w:val="24"/>
          <w:szCs w:val="24"/>
        </w:rPr>
        <w:t>.</w:t>
      </w:r>
    </w:p>
    <w:p w14:paraId="2F84BEFA" w14:textId="77777777" w:rsidR="00D57654" w:rsidRDefault="00000000" w:rsidP="006713B6">
      <w:pPr>
        <w:jc w:val="right"/>
        <w:rPr>
          <w:rFonts w:asciiTheme="majorBidi" w:hAnsiTheme="majorBidi" w:cstheme="majorBidi"/>
          <w:sz w:val="24"/>
          <w:szCs w:val="24"/>
          <w:rtl/>
        </w:rPr>
      </w:pPr>
      <w:r>
        <w:rPr>
          <w:rFonts w:asciiTheme="majorBidi" w:hAnsiTheme="majorBidi" w:cstheme="majorBidi"/>
          <w:sz w:val="24"/>
          <w:szCs w:val="24"/>
          <w:rtl/>
        </w:rPr>
        <w:t>ومن المنطلق ذاته، أسهمت دراسة التونسي والمعلم (2024م) المنشورة بالمجلة العربية للنشر العلمي في تقديم رؤية تحليلية مقارنة للقواعد والإجراءات المنظمة لاستخدامات الذكاء الاصطناعي في المملكة العربية السعودية، وأكدت أن الفجوة التشريعية بين مرحلة الاستخدام الميداني ومرحلة الضبط النظامي لا تزال واسعة، وأن التأطير القانوني الشامل يستلزم تدخلًا تشريعيًا صريحًا على مستوى الأنظمة الأساسية.</w:t>
      </w:r>
      <w:r w:rsidRPr="00000001">
        <w:rPr>
          <w:rtl/>
        </w:rPr>
        <w:footnoteReference w:id="35"/>
      </w:r>
    </w:p>
    <w:p w14:paraId="129F5730" w14:textId="77777777" w:rsidR="00450EAF" w:rsidRPr="00450EAF" w:rsidRDefault="00450EAF" w:rsidP="006713B6">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وتبرز أهمية هذا الفصل من كونه يحدّد الأساس القانوني الذي تُبنى عليه الفصول اللاحقة؛ إذ يربط بين القواعد النظامية الراسخة في نظام المحاماة ولائحته التنفيذية، وبين المتطلبات المستحدثة التي أفرزها تطوّر أدوات الذكاء الاصطناعي في المجال القانوني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ولا يقتصر ذلك على الإطار العام لممارسة المهنة، بل يمتد ليشمل العلاقة المباشرة بين هذه التشريعات وبين المهام اليومية للمحامي؛ فالنصوص النظامية لمهنة المحاماة تضبط مسؤوليات المحامي المهنية</w:t>
      </w:r>
      <w:r>
        <w:rPr>
          <w:rFonts w:asciiTheme="majorBidi" w:hAnsiTheme="majorBidi" w:cstheme="majorBidi"/>
          <w:color w:val="000000" w:themeColor="text1"/>
          <w:sz w:val="24"/>
          <w:szCs w:val="24"/>
          <w:rtl/>
        </w:rPr>
        <w:t xml:space="preserve">، بينما يرتبط </w:t>
      </w:r>
      <w:r>
        <w:rPr>
          <w:rFonts w:asciiTheme="majorBidi" w:hAnsiTheme="majorBidi" w:cstheme="majorBidi"/>
          <w:b/>
          <w:bCs/>
          <w:color w:val="000000" w:themeColor="text1"/>
          <w:sz w:val="24"/>
          <w:szCs w:val="24"/>
          <w:rtl/>
        </w:rPr>
        <w:t>نظام حماية البيانات الشخصية</w:t>
      </w:r>
      <w:r>
        <w:rPr>
          <w:rFonts w:asciiTheme="majorBidi" w:hAnsiTheme="majorBidi" w:cstheme="majorBidi"/>
          <w:color w:val="000000" w:themeColor="text1"/>
          <w:sz w:val="24"/>
          <w:szCs w:val="24"/>
          <w:rtl/>
        </w:rPr>
        <w:t xml:space="preserve"> بآليات تعامل المحامي مع بيانات عملائه الرقمية، ويرتبط </w:t>
      </w:r>
      <w:r>
        <w:rPr>
          <w:rFonts w:asciiTheme="majorBidi" w:hAnsiTheme="majorBidi" w:cstheme="majorBidi"/>
          <w:b/>
          <w:bCs/>
          <w:color w:val="000000" w:themeColor="text1"/>
          <w:sz w:val="24"/>
          <w:szCs w:val="24"/>
          <w:rtl/>
        </w:rPr>
        <w:t>نظام الإثبات</w:t>
      </w:r>
      <w:r>
        <w:rPr>
          <w:rFonts w:asciiTheme="majorBidi" w:hAnsiTheme="majorBidi" w:cstheme="majorBidi"/>
          <w:color w:val="000000" w:themeColor="text1"/>
          <w:sz w:val="24"/>
          <w:szCs w:val="24"/>
          <w:rtl/>
        </w:rPr>
        <w:t xml:space="preserve"> بحجية المستندات الإلكترونية وتحضير الأدلة الرقمية التي يعتمد عليها المحامي في مذكراته، كما يؤثر </w:t>
      </w:r>
      <w:r>
        <w:rPr>
          <w:rFonts w:asciiTheme="majorBidi" w:hAnsiTheme="majorBidi" w:cstheme="majorBidi"/>
          <w:b/>
          <w:bCs/>
          <w:color w:val="000000" w:themeColor="text1"/>
          <w:sz w:val="24"/>
          <w:szCs w:val="24"/>
          <w:rtl/>
        </w:rPr>
        <w:t>نظام الإجراءات الجزائية</w:t>
      </w:r>
      <w:r>
        <w:rPr>
          <w:rFonts w:asciiTheme="majorBidi" w:hAnsiTheme="majorBidi" w:cstheme="majorBidi"/>
          <w:color w:val="000000" w:themeColor="text1"/>
          <w:sz w:val="24"/>
          <w:szCs w:val="24"/>
          <w:rtl/>
        </w:rPr>
        <w:t xml:space="preserve"> على ممارساته العملية في التحقيق والدفاع والامتثال للمواعيد والإخطارات الإلكترونية. ويُسهم هذا التكامل النظامي في تشكيل البيئة العملية التي يعمل فيها المحامي يوميًا، خاصة في ظل التوسع في استخدام الأنظمة التقنية والمنصّات العدلية الرقمية</w:t>
      </w:r>
      <w:r>
        <w:rPr>
          <w:rFonts w:asciiTheme="majorBidi" w:hAnsiTheme="majorBidi" w:cstheme="majorBidi"/>
          <w:color w:val="000000" w:themeColor="text1"/>
          <w:sz w:val="24"/>
          <w:szCs w:val="24"/>
        </w:rPr>
        <w:t>.</w:t>
      </w:r>
    </w:p>
    <w:p w14:paraId="05E0822A" w14:textId="77777777" w:rsidR="00450EAF" w:rsidRPr="00450EAF" w:rsidRDefault="00450EAF" w:rsidP="006713B6">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وفي هذا السياق، يسعى الفصل إلى بيان مدى جاهزية الإطار النظامي السعودي لاستيعاب التحولات التقنية، ومدى اتساقه مع المبادئ الأخلاقية التي أرستها الهيئة السعودية للبيانات والذكاء الاصطناعي (سدايا) بشأن تطوير واستخدام تقنيات الذكاء الاصطناعي في المجالات المهنية المختلفة</w:t>
      </w:r>
      <w:r>
        <w:rPr>
          <w:rFonts w:asciiTheme="majorBidi" w:hAnsiTheme="majorBidi" w:cstheme="majorBidi"/>
          <w:color w:val="000000" w:themeColor="text1"/>
          <w:sz w:val="24"/>
          <w:szCs w:val="24"/>
        </w:rPr>
        <w:t>.</w:t>
      </w:r>
    </w:p>
    <w:p w14:paraId="10EE41CE"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ويُقسَّم هذا الفصل إلى مبحثين رئيسين</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يتناول المبحث الأول التنظيم </w:t>
      </w:r>
      <w:r>
        <w:rPr>
          <w:rFonts w:asciiTheme="majorBidi" w:hAnsiTheme="majorBidi" w:cstheme="majorBidi" w:hint="cs"/>
          <w:color w:val="000000" w:themeColor="text1"/>
          <w:sz w:val="24"/>
          <w:szCs w:val="24"/>
          <w:rtl/>
        </w:rPr>
        <w:t>التشريعي</w:t>
      </w:r>
      <w:r>
        <w:rPr>
          <w:rFonts w:asciiTheme="majorBidi" w:hAnsiTheme="majorBidi" w:cstheme="majorBidi"/>
          <w:color w:val="000000" w:themeColor="text1"/>
          <w:sz w:val="24"/>
          <w:szCs w:val="24"/>
          <w:rtl/>
        </w:rPr>
        <w:t xml:space="preserve"> لمهنة المحاماة وتقنيات الذكاء الاصطناعي، من خلال دراسة النصوص النظامية وتحليلها في ضوء التطورات التقنية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بينما يُركّز المبحث الثاني على تحليل الفجوات في التنظيم الحالي، ورصد أوجه القصور التي قد تعيق التكامل بين التشريعات المهنية ومتطلبات التحوّل الرقمي، تمهيدًا لاقتراح تصور تنظيمي متكامل في الفصل الخامس</w:t>
      </w:r>
      <w:r>
        <w:rPr>
          <w:rFonts w:asciiTheme="majorBidi" w:hAnsiTheme="majorBidi" w:cstheme="majorBidi"/>
          <w:color w:val="000000" w:themeColor="text1"/>
          <w:sz w:val="24"/>
          <w:szCs w:val="24"/>
        </w:rPr>
        <w:t>.</w:t>
      </w:r>
    </w:p>
    <w:p w14:paraId="1F5F2653" w14:textId="77777777" w:rsidR="00CF47E9" w:rsidRPr="00BC5F38" w:rsidRDefault="00CF47E9" w:rsidP="00CF47E9">
      <w:pPr>
        <w:jc w:val="right"/>
        <w:rPr>
          <w:rFonts w:asciiTheme="majorBidi" w:hAnsiTheme="majorBidi" w:cstheme="majorBidi"/>
          <w:color w:val="000000" w:themeColor="text1"/>
          <w:sz w:val="24"/>
          <w:szCs w:val="24"/>
          <w:rtl/>
        </w:rPr>
      </w:pPr>
    </w:p>
    <w:p w14:paraId="204DF141" w14:textId="77777777" w:rsidR="00F7053A" w:rsidRPr="00D41CB7" w:rsidRDefault="00CF47E9" w:rsidP="00CF47E9">
      <w:pPr>
        <w:jc w:val="center"/>
        <w:rPr>
          <w:rFonts w:asciiTheme="majorBidi" w:hAnsiTheme="majorBidi" w:cstheme="majorBidi"/>
          <w:b/>
          <w:bCs/>
          <w:color w:val="000000" w:themeColor="text1"/>
          <w:sz w:val="32"/>
          <w:szCs w:val="32"/>
        </w:rPr>
      </w:pPr>
      <w:r>
        <w:rPr>
          <w:rFonts w:asciiTheme="majorBidi" w:hAnsiTheme="majorBidi" w:cstheme="majorBidi" w:hint="cs"/>
          <w:b/>
          <w:bCs/>
          <w:color w:val="000000" w:themeColor="text1"/>
          <w:sz w:val="32"/>
          <w:szCs w:val="32"/>
          <w:rtl/>
        </w:rPr>
        <w:lastRenderedPageBreak/>
        <w:t>المبحث الأول</w:t>
      </w:r>
    </w:p>
    <w:p w14:paraId="692D1FCE" w14:textId="77777777" w:rsidR="00CF47E9" w:rsidRPr="00D41CB7" w:rsidRDefault="00CF47E9" w:rsidP="00CF47E9">
      <w:pPr>
        <w:jc w:val="center"/>
        <w:rPr>
          <w:rFonts w:asciiTheme="majorBidi" w:hAnsiTheme="majorBidi" w:cstheme="majorBidi"/>
          <w:b/>
          <w:bCs/>
          <w:color w:val="000000" w:themeColor="text1"/>
          <w:sz w:val="32"/>
          <w:szCs w:val="32"/>
          <w:rtl/>
        </w:rPr>
      </w:pPr>
      <w:r>
        <w:rPr>
          <w:rFonts w:asciiTheme="majorBidi" w:hAnsiTheme="majorBidi" w:cstheme="majorBidi"/>
          <w:b/>
          <w:bCs/>
          <w:color w:val="000000" w:themeColor="text1"/>
          <w:sz w:val="32"/>
          <w:szCs w:val="32"/>
          <w:rtl/>
        </w:rPr>
        <w:t xml:space="preserve">الإطار </w:t>
      </w:r>
      <w:r>
        <w:rPr>
          <w:rFonts w:asciiTheme="majorBidi" w:hAnsiTheme="majorBidi" w:cstheme="majorBidi" w:hint="cs"/>
          <w:b/>
          <w:bCs/>
          <w:color w:val="000000" w:themeColor="text1"/>
          <w:sz w:val="32"/>
          <w:szCs w:val="32"/>
          <w:rtl/>
        </w:rPr>
        <w:t>التشريعي</w:t>
      </w:r>
      <w:r>
        <w:rPr>
          <w:rFonts w:asciiTheme="majorBidi" w:hAnsiTheme="majorBidi" w:cstheme="majorBidi"/>
          <w:b/>
          <w:bCs/>
          <w:color w:val="000000" w:themeColor="text1"/>
          <w:sz w:val="32"/>
          <w:szCs w:val="32"/>
          <w:rtl/>
        </w:rPr>
        <w:t xml:space="preserve"> لمهنة المحاماة وتقنيات الذكاء الاصطناعي</w:t>
      </w:r>
    </w:p>
    <w:p w14:paraId="032A0FD6" w14:textId="77777777" w:rsidR="00E77780" w:rsidRPr="00BC5F38" w:rsidRDefault="00E77780" w:rsidP="00CF47E9">
      <w:pPr>
        <w:jc w:val="center"/>
        <w:rPr>
          <w:rFonts w:asciiTheme="majorBidi" w:hAnsiTheme="majorBidi" w:cstheme="majorBidi"/>
          <w:b/>
          <w:bCs/>
          <w:color w:val="000000" w:themeColor="text1"/>
          <w:sz w:val="24"/>
          <w:szCs w:val="24"/>
          <w:rtl/>
        </w:rPr>
      </w:pPr>
    </w:p>
    <w:p w14:paraId="7FAE2ABA"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تُعد مهنة المحاماة من أبرز المهن القانونية التي شهدت تطورًا تشريعيًا وتنظيميًا متواصلًا في المملكة العربية السعودية، لما لها من أثر مباشر في تحقيق العدالة وصون الحقوق وحماية المصالح. ومع التحول الرقمي الذي تشهده المنظومة العدلية ضمن رؤية المملكة 2030، برزت الحاجة إلى دراسة الإطار القانوني المنظِّم لهذه المهنة في ضوء المتغيرات التقنية الحديثة، ولا سيما تقنيات الذكاء الاصطناعي التي بدأت تدخل تدريجيًا في مجالات البحث القانوني، وصياغة العقود، وإدارة القضايا</w:t>
      </w:r>
      <w:r>
        <w:rPr>
          <w:rFonts w:asciiTheme="majorBidi" w:hAnsiTheme="majorBidi" w:cstheme="majorBidi"/>
          <w:color w:val="000000" w:themeColor="text1"/>
          <w:sz w:val="24"/>
          <w:szCs w:val="24"/>
        </w:rPr>
        <w:t>.</w:t>
      </w:r>
    </w:p>
    <w:p w14:paraId="57AA254C"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ويركز هذا المبحث على تحليل الأسس القانونية التي يقوم عليها تنظيم مهنة المحاماة في المملكة، واستعراض الأنظمة واللوائح ذات الصلة، مع بيان مدى قدرتها على استيعاب التحول التقني المتسارع الذي تشهده الممارسات القانونية المعاصرة. وتزداد أهمية ذلك في ظل التأثير المباشر لهذه الأنظمة على العمل اليومي للمحامي؛ إذ يحدد </w:t>
      </w:r>
      <w:r>
        <w:rPr>
          <w:rFonts w:asciiTheme="majorBidi" w:hAnsiTheme="majorBidi" w:cstheme="majorBidi"/>
          <w:b/>
          <w:bCs/>
          <w:color w:val="000000" w:themeColor="text1"/>
          <w:sz w:val="24"/>
          <w:szCs w:val="24"/>
          <w:rtl/>
        </w:rPr>
        <w:t>نظام المحاماة</w:t>
      </w:r>
      <w:r>
        <w:rPr>
          <w:rFonts w:asciiTheme="majorBidi" w:hAnsiTheme="majorBidi" w:cstheme="majorBidi"/>
          <w:color w:val="000000" w:themeColor="text1"/>
          <w:sz w:val="24"/>
          <w:szCs w:val="24"/>
          <w:rtl/>
        </w:rPr>
        <w:t xml:space="preserve"> إطار مسؤولياته وواجباته المهنية، بينما ينظّم </w:t>
      </w:r>
      <w:r>
        <w:rPr>
          <w:rFonts w:asciiTheme="majorBidi" w:hAnsiTheme="majorBidi" w:cstheme="majorBidi"/>
          <w:b/>
          <w:bCs/>
          <w:color w:val="000000" w:themeColor="text1"/>
          <w:sz w:val="24"/>
          <w:szCs w:val="24"/>
          <w:rtl/>
        </w:rPr>
        <w:t>نظام حماية البيانات الشخصية</w:t>
      </w:r>
      <w:r>
        <w:rPr>
          <w:rFonts w:asciiTheme="majorBidi" w:hAnsiTheme="majorBidi" w:cstheme="majorBidi"/>
          <w:color w:val="000000" w:themeColor="text1"/>
          <w:sz w:val="24"/>
          <w:szCs w:val="24"/>
          <w:rtl/>
        </w:rPr>
        <w:t xml:space="preserve"> الآليات التي يلتزم بها المحامي في حفظ بيانات موكليه ومعالجتها داخل بيئة العمل الرقمية، ويضبط </w:t>
      </w:r>
      <w:r>
        <w:rPr>
          <w:rFonts w:asciiTheme="majorBidi" w:hAnsiTheme="majorBidi" w:cstheme="majorBidi"/>
          <w:b/>
          <w:bCs/>
          <w:color w:val="000000" w:themeColor="text1"/>
          <w:sz w:val="24"/>
          <w:szCs w:val="24"/>
          <w:rtl/>
        </w:rPr>
        <w:t>نظام الإثبات</w:t>
      </w:r>
      <w:r>
        <w:rPr>
          <w:rFonts w:asciiTheme="majorBidi" w:hAnsiTheme="majorBidi" w:cstheme="majorBidi"/>
          <w:color w:val="000000" w:themeColor="text1"/>
          <w:sz w:val="24"/>
          <w:szCs w:val="24"/>
          <w:rtl/>
        </w:rPr>
        <w:t xml:space="preserve"> قواعد التعامل مع المستندات الإلكترونية والأدلة الرقمية التي يعتمد عليها المحامي في مذكراته ودفوعه، في حين ينعكس </w:t>
      </w:r>
      <w:r>
        <w:rPr>
          <w:rFonts w:asciiTheme="majorBidi" w:hAnsiTheme="majorBidi" w:cstheme="majorBidi"/>
          <w:b/>
          <w:bCs/>
          <w:color w:val="000000" w:themeColor="text1"/>
          <w:sz w:val="24"/>
          <w:szCs w:val="24"/>
          <w:rtl/>
        </w:rPr>
        <w:t>نظام الإجراءات الجزائية</w:t>
      </w:r>
      <w:r>
        <w:rPr>
          <w:rFonts w:asciiTheme="majorBidi" w:hAnsiTheme="majorBidi" w:cstheme="majorBidi"/>
          <w:color w:val="000000" w:themeColor="text1"/>
          <w:sz w:val="24"/>
          <w:szCs w:val="24"/>
          <w:rtl/>
        </w:rPr>
        <w:t xml:space="preserve"> على ممارساته في التحقيق والدفاع، وعلى التزامه بالمواعيد والطلبات الإلكترونية ضمن المنظومة العدلية التقنية</w:t>
      </w:r>
      <w:r>
        <w:rPr>
          <w:rFonts w:asciiTheme="majorBidi" w:hAnsiTheme="majorBidi" w:cstheme="majorBidi"/>
          <w:color w:val="000000" w:themeColor="text1"/>
          <w:sz w:val="24"/>
          <w:szCs w:val="24"/>
        </w:rPr>
        <w:t>.</w:t>
      </w:r>
    </w:p>
    <w:p w14:paraId="3565AB9A"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وتضع اللائحة التنفيذية لنظام المحاماة التفاصيل الإجرائية التي تُعمّق الاشتراطات التي أرساها النظام؛ إذ تُحدد المتطلبات المهنية للحصول على الترخيص والتجديد، وآليات المساءلة والإشراف المؤسسي على المحامين الممارسين، ومع أن هذه اللائحة لم تتضمن أحكامًا صريحة تُنظّم استخدام التقنيات الذكية، فإن قواعدها العامة تُشكّل القاعدة القانونية الأساسية لأي معالجة نظامية مستقبلية في هذا الشأن.</w:t>
      </w:r>
      <w:r>
        <w:rPr>
          <w:rStyle w:val="af"/>
          <w:rFonts w:asciiTheme="majorBidi" w:hAnsiTheme="majorBidi" w:cstheme="majorBidi"/>
          <w:sz w:val="24"/>
          <w:szCs w:val="24"/>
          <w:rtl/>
        </w:rPr>
        <w:footnoteReference w:id="36"/>
      </w:r>
    </w:p>
    <w:p w14:paraId="1875085E"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وبذلك، فإن الإطار القانوني لمهنة المحاماة لا يُعد نظامًا نظريًا مجردًا، بل يشكّل مجموعة من الالتزامات العملية التي تُمارَس يوميًا داخل مكاتب المحامين ومع الجهات العدلية، ولا سيما مع تزايد الاعتماد على الأدوات الرقمية والذكاء الاصطناعي في تقديم الخدمات القانونية</w:t>
      </w:r>
      <w:r>
        <w:rPr>
          <w:rFonts w:asciiTheme="majorBidi" w:hAnsiTheme="majorBidi" w:cstheme="majorBidi"/>
          <w:color w:val="000000" w:themeColor="text1"/>
          <w:sz w:val="24"/>
          <w:szCs w:val="24"/>
        </w:rPr>
        <w:t>.</w:t>
      </w:r>
    </w:p>
    <w:p w14:paraId="5CCEB452"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وينقسم هذا المبحث إلى مطلبين رئيسين</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يعالج المطلب الأول نظام المحاماة واللائحة التنفيذية بوصفهما الإطار القانوني الأساس لممارسة المهنة،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بينما يتناول المطلب الثاني الأنظمة القانونية المكملة التي تدعم مهنة المحاماة في بيئتها التقنية الحديثة، مثل نظام حماية البيانات الشخصية، ونظام الإثبات، ونظام الإجراءات الجزائية، وغيرها من الأنظمة ذات الصلة</w:t>
      </w:r>
      <w:r>
        <w:rPr>
          <w:rFonts w:asciiTheme="majorBidi" w:hAnsiTheme="majorBidi" w:cstheme="majorBidi"/>
          <w:color w:val="000000" w:themeColor="text1"/>
          <w:sz w:val="24"/>
          <w:szCs w:val="24"/>
        </w:rPr>
        <w:t>.</w:t>
      </w:r>
    </w:p>
    <w:p w14:paraId="00E89425" w14:textId="77777777" w:rsidR="00E77780" w:rsidRPr="00BC5F38" w:rsidRDefault="00E77780" w:rsidP="00D41CB7">
      <w:pPr>
        <w:rPr>
          <w:rFonts w:asciiTheme="majorBidi" w:hAnsiTheme="majorBidi" w:cstheme="majorBidi"/>
          <w:color w:val="000000" w:themeColor="text1"/>
          <w:sz w:val="24"/>
          <w:szCs w:val="24"/>
        </w:rPr>
      </w:pPr>
    </w:p>
    <w:p w14:paraId="7588078F" w14:textId="77777777" w:rsidR="00E77780" w:rsidRDefault="00E77780" w:rsidP="00E77780">
      <w:pPr>
        <w:jc w:val="right"/>
        <w:rPr>
          <w:rFonts w:asciiTheme="majorBidi" w:hAnsiTheme="majorBidi" w:cstheme="majorBidi"/>
          <w:color w:val="000000" w:themeColor="text1"/>
          <w:sz w:val="24"/>
          <w:szCs w:val="24"/>
        </w:rPr>
      </w:pPr>
    </w:p>
    <w:p w14:paraId="7E96FB06" w14:textId="77777777" w:rsidR="00781B0D" w:rsidRDefault="00781B0D" w:rsidP="00E77780">
      <w:pPr>
        <w:jc w:val="right"/>
        <w:rPr>
          <w:rFonts w:asciiTheme="majorBidi" w:hAnsiTheme="majorBidi" w:cstheme="majorBidi"/>
          <w:color w:val="000000" w:themeColor="text1"/>
          <w:sz w:val="24"/>
          <w:szCs w:val="24"/>
        </w:rPr>
      </w:pPr>
    </w:p>
    <w:p w14:paraId="2CDDC2CE" w14:textId="77777777" w:rsidR="00BC6811" w:rsidRDefault="00BC6811" w:rsidP="00E77780">
      <w:pPr>
        <w:jc w:val="right"/>
        <w:rPr>
          <w:rFonts w:asciiTheme="majorBidi" w:hAnsiTheme="majorBidi" w:cstheme="majorBidi"/>
          <w:color w:val="000000" w:themeColor="text1"/>
          <w:sz w:val="24"/>
          <w:szCs w:val="24"/>
        </w:rPr>
      </w:pPr>
    </w:p>
    <w:p w14:paraId="01290726" w14:textId="77777777" w:rsidR="00781B0D" w:rsidRPr="00BC5F38" w:rsidRDefault="00781B0D" w:rsidP="00E77780">
      <w:pPr>
        <w:jc w:val="right"/>
        <w:rPr>
          <w:rFonts w:asciiTheme="majorBidi" w:hAnsiTheme="majorBidi" w:cstheme="majorBidi"/>
          <w:color w:val="000000" w:themeColor="text1"/>
          <w:sz w:val="24"/>
          <w:szCs w:val="24"/>
        </w:rPr>
      </w:pPr>
    </w:p>
    <w:p w14:paraId="1E03FAEC" w14:textId="77777777" w:rsidR="00E77780" w:rsidRPr="00D41CB7" w:rsidRDefault="00E15647" w:rsidP="00E15647">
      <w:pPr>
        <w:jc w:val="center"/>
        <w:rPr>
          <w:rFonts w:asciiTheme="majorBidi" w:hAnsiTheme="majorBidi" w:cstheme="majorBidi"/>
          <w:b/>
          <w:bCs/>
          <w:color w:val="000000" w:themeColor="text1"/>
          <w:sz w:val="32"/>
          <w:szCs w:val="32"/>
        </w:rPr>
      </w:pPr>
      <w:r>
        <w:rPr>
          <w:rFonts w:asciiTheme="majorBidi" w:hAnsiTheme="majorBidi" w:cstheme="majorBidi" w:hint="cs"/>
          <w:b/>
          <w:bCs/>
          <w:color w:val="000000" w:themeColor="text1"/>
          <w:sz w:val="32"/>
          <w:szCs w:val="32"/>
          <w:rtl/>
        </w:rPr>
        <w:lastRenderedPageBreak/>
        <w:t>المطلب الأول</w:t>
      </w:r>
    </w:p>
    <w:p w14:paraId="19BDF978" w14:textId="77777777" w:rsidR="00E15647" w:rsidRPr="00D41CB7" w:rsidRDefault="00E15647" w:rsidP="00E15647">
      <w:pPr>
        <w:jc w:val="center"/>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tl/>
        </w:rPr>
        <w:t>نظام المحاماة واللائحة التنفيذية بوصفهما الإطار القانوني الأساس لممارسة المهنة</w:t>
      </w:r>
    </w:p>
    <w:p w14:paraId="28182562" w14:textId="77777777" w:rsidR="00E15647" w:rsidRPr="00BC5F38" w:rsidRDefault="00E15647" w:rsidP="00E15647">
      <w:pPr>
        <w:jc w:val="right"/>
        <w:rPr>
          <w:rFonts w:asciiTheme="majorBidi" w:hAnsiTheme="majorBidi" w:cstheme="majorBidi"/>
          <w:b/>
          <w:bCs/>
          <w:color w:val="000000" w:themeColor="text1"/>
          <w:sz w:val="24"/>
          <w:szCs w:val="24"/>
          <w:rtl/>
        </w:rPr>
      </w:pPr>
    </w:p>
    <w:p w14:paraId="415EE5F3" w14:textId="77777777" w:rsidR="00E77780" w:rsidRPr="00BC5F38" w:rsidRDefault="00E15647" w:rsidP="00535C4D">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أولًا: الخلفية التشريعية لنظام المحاماة</w:t>
      </w:r>
      <w:r>
        <w:rPr>
          <w:rFonts w:asciiTheme="majorBidi" w:hAnsiTheme="majorBidi" w:cstheme="majorBidi" w:hint="cs"/>
          <w:b/>
          <w:bCs/>
          <w:color w:val="000000" w:themeColor="text1"/>
          <w:sz w:val="24"/>
          <w:szCs w:val="24"/>
          <w:rtl/>
        </w:rPr>
        <w:t xml:space="preserve"> وربطها مع نصوص المواد :</w:t>
      </w:r>
    </w:p>
    <w:p w14:paraId="70A86617" w14:textId="77777777" w:rsidR="00535C4D" w:rsidRPr="00535C4D" w:rsidRDefault="00535C4D" w:rsidP="00535C4D">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 xml:space="preserve">: </w:t>
      </w: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السياق التاريخي والغاية النظامية من التشريع</w:t>
      </w:r>
      <w:r>
        <w:rPr>
          <w:rFonts w:asciiTheme="majorBidi" w:hAnsiTheme="majorBidi" w:cstheme="majorBidi"/>
          <w:b/>
          <w:bCs/>
          <w:color w:val="000000" w:themeColor="text1"/>
          <w:sz w:val="24"/>
          <w:szCs w:val="24"/>
        </w:rPr>
        <w:t xml:space="preserve">- </w:t>
      </w:r>
    </w:p>
    <w:p w14:paraId="07617B8B" w14:textId="77777777" w:rsidR="00535C4D" w:rsidRPr="00535C4D" w:rsidRDefault="00535C4D" w:rsidP="00535C4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صدر نظام المحاماة بالمرسوم الملكي رقم م 38 بتاريخ 28 / 7 / 1422 هـ في سياق تشريعي هدف إلى بناء منظومة قانونية متكاملة تعزز مبدأ العدالة وتنظم المهن القانونية المساندة للقضاء</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قبل صدوره، كانت المهنة تمارس بصورة فردية وعرفية، دون اشتراط مؤهلات أو معايير موحدة، مما أدى إلى تفاوت في الممارسة القانونية</w:t>
      </w:r>
      <w:r>
        <w:rPr>
          <w:rFonts w:asciiTheme="majorBidi" w:hAnsiTheme="majorBidi" w:cstheme="majorBidi"/>
          <w:color w:val="000000" w:themeColor="text1"/>
          <w:sz w:val="24"/>
          <w:szCs w:val="24"/>
        </w:rPr>
        <w:t>.</w:t>
      </w:r>
    </w:p>
    <w:p w14:paraId="41CD2849"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وقد عالج الغنامي في دراسته حول الضوابط القانونية للذكاء الاصطناعي في إبرام المعاملات القانونية الإطارَ النظامي المنظِّم لتوظيف أنظمة الذكاء الاصطناعي في السياق القانوني السعودي، مشيرًا إلى أن القواعد الناظمة لمهنة المحاماة تُشكّل المرجعية الأساسية التي ينبغي استكمالها بنصوص خاصة تعالج حوكمة هذه التقنيات.</w:t>
      </w:r>
      <w:r>
        <w:rPr>
          <w:rStyle w:val="af"/>
          <w:rFonts w:asciiTheme="majorBidi" w:hAnsiTheme="majorBidi" w:cstheme="majorBidi"/>
          <w:sz w:val="24"/>
          <w:szCs w:val="24"/>
          <w:rtl/>
        </w:rPr>
        <w:footnoteReference w:id="37"/>
      </w:r>
    </w:p>
    <w:p w14:paraId="768F5979" w14:textId="77777777" w:rsidR="00535C4D" w:rsidRPr="00535C4D" w:rsidRDefault="00535C4D" w:rsidP="00535C4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وتضمنت المادة الأولى من النظام أن</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tl/>
        </w:rPr>
        <w:t xml:space="preserve"> مهنة المحاماة تشارك السلطة القضائية في تحقيق العدالة وتمارس وفق أحكام الشريعة الإسلامية والأنظمة المرعية</w:t>
      </w:r>
      <w:r>
        <w:rPr>
          <w:rFonts w:asciiTheme="majorBidi" w:hAnsiTheme="majorBidi" w:cstheme="majorBidi" w:hint="cs"/>
          <w:color w:val="000000" w:themeColor="text1"/>
          <w:sz w:val="24"/>
          <w:szCs w:val="24"/>
          <w:rtl/>
        </w:rPr>
        <w:t>)</w:t>
      </w:r>
      <w:r>
        <w:rPr>
          <w:rStyle w:val="af"/>
          <w:rFonts w:asciiTheme="majorBidi" w:hAnsiTheme="majorBidi" w:cstheme="majorBidi"/>
          <w:color w:val="000000" w:themeColor="text1"/>
          <w:sz w:val="24"/>
          <w:szCs w:val="24"/>
          <w:rtl/>
        </w:rPr>
        <w:footnoteReference w:id="38"/>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hint="cs"/>
          <w:color w:val="000000" w:themeColor="text1"/>
          <w:sz w:val="24"/>
          <w:szCs w:val="24"/>
          <w:rtl/>
        </w:rPr>
        <w:t>و</w:t>
      </w:r>
      <w:r>
        <w:rPr>
          <w:rFonts w:asciiTheme="majorBidi" w:hAnsiTheme="majorBidi" w:cstheme="majorBidi"/>
          <w:color w:val="000000" w:themeColor="text1"/>
          <w:sz w:val="24"/>
          <w:szCs w:val="24"/>
          <w:rtl/>
        </w:rPr>
        <w:t>هذا النص يعكس فلسفة تشريعية تعتبر المحامي شريكًا في تحقيق العدالة، لا مجرد وكيل عن الأطراف، وهو ما يجعل المهنة جزءًا من منظومة العدالة ذاتها</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وقد أشار العيسى في دراسته عن القواعد والإجراءات المنظمة لاستخدامات الذكاء الاصطناعي إلى أن المشرع السعودي أراد بصدور النظام توسيع نطاق العدالة المؤسسية وربط المحاماة بالسلطة القضائية كأحد أركانها</w:t>
      </w:r>
      <w:r>
        <w:rPr>
          <w:rStyle w:val="af"/>
          <w:rFonts w:asciiTheme="majorBidi" w:hAnsiTheme="majorBidi" w:cstheme="majorBidi"/>
          <w:color w:val="000000" w:themeColor="text1"/>
          <w:sz w:val="24"/>
          <w:szCs w:val="24"/>
          <w:rtl/>
        </w:rPr>
        <w:footnoteReference w:id="39"/>
      </w:r>
      <w:r>
        <w:rPr>
          <w:rFonts w:asciiTheme="majorBidi" w:hAnsiTheme="majorBidi" w:cstheme="majorBidi"/>
          <w:color w:val="000000" w:themeColor="text1"/>
          <w:sz w:val="24"/>
          <w:szCs w:val="24"/>
        </w:rPr>
        <w:t>.</w:t>
      </w:r>
    </w:p>
    <w:p w14:paraId="746878CE" w14:textId="77777777" w:rsidR="00535C4D" w:rsidRPr="00D41CB7" w:rsidRDefault="00535C4D"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ومع ذلك، يتضح أن المشرع حين وضع هذا النص لم يكن يتصور البيئة الرقمية الحديثة التي أصبحت العدالة فيها تُمارس من خلال أنظمة ذكية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فالأنظمة المرعية وقتها كانت تقليدية تعتمد على الورق والمرافعة المباشرة، في حين يشهد الواقع اليوم توسعًا في الاعتماد على التقنيات والذكاء الاصطناعي ضمن منظومة العدالة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ولذلك أصبح من الضروري إعادة تفسير المادة الأولى بما يواكب التحول العدلي الرقمي الذي تجسد في إنشاء المحكمة الإلكترونية ومنصة ناجز، وهو التحول الذي وثقته وزارة العدل في تقرير العدالة الناجزة عام </w:t>
      </w:r>
      <w:r>
        <w:rPr>
          <w:rStyle w:val="af"/>
          <w:rFonts w:asciiTheme="majorBidi" w:hAnsiTheme="majorBidi" w:cstheme="majorBidi"/>
          <w:color w:val="000000" w:themeColor="text1"/>
          <w:sz w:val="24"/>
          <w:szCs w:val="24"/>
          <w:rtl/>
        </w:rPr>
        <w:footnoteReference w:id="40"/>
      </w:r>
      <w:r>
        <w:rPr>
          <w:rFonts w:asciiTheme="majorBidi" w:hAnsiTheme="majorBidi" w:cstheme="majorBidi"/>
          <w:color w:val="000000" w:themeColor="text1"/>
          <w:sz w:val="24"/>
          <w:szCs w:val="24"/>
          <w:rtl/>
        </w:rPr>
        <w:t>2022</w:t>
      </w:r>
      <w:r>
        <w:rPr>
          <w:rFonts w:asciiTheme="majorBidi" w:hAnsiTheme="majorBidi" w:cstheme="majorBidi"/>
          <w:color w:val="000000" w:themeColor="text1"/>
          <w:sz w:val="24"/>
          <w:szCs w:val="24"/>
        </w:rPr>
        <w:t>.</w:t>
      </w:r>
    </w:p>
    <w:p w14:paraId="66EF6ECB" w14:textId="77777777" w:rsidR="0026477A" w:rsidRPr="0026477A" w:rsidRDefault="0026477A" w:rsidP="0026477A">
      <w:pPr>
        <w:jc w:val="right"/>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المادة الثانية وتحديات تعريف الممارسة القانونية</w:t>
      </w:r>
      <w:r>
        <w:rPr>
          <w:rFonts w:asciiTheme="majorBidi" w:hAnsiTheme="majorBidi" w:cstheme="majorBidi" w:hint="cs"/>
          <w:b/>
          <w:bCs/>
          <w:color w:val="000000" w:themeColor="text1"/>
          <w:sz w:val="24"/>
          <w:szCs w:val="24"/>
          <w:rtl/>
        </w:rPr>
        <w:t>:</w:t>
      </w:r>
    </w:p>
    <w:p w14:paraId="0A7A5A9C" w14:textId="77777777" w:rsidR="0026477A" w:rsidRPr="0026477A" w:rsidRDefault="0026477A" w:rsidP="0026477A">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تنص المادة الثانية من النظام على أن المحامي هو كل شخص مقيّد في جدول المحامين الممارسين يزاول المهنة بعد الحصول على ترخيص</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وهذا النص يؤكد الطابع الشخصي للممارسة القانونية ويقصرها على الأشخاص الطبيعيين المرخص لهم فقط</w:t>
      </w:r>
      <w:r>
        <w:rPr>
          <w:rFonts w:asciiTheme="majorBidi" w:hAnsiTheme="majorBidi" w:cstheme="majorBidi"/>
          <w:color w:val="000000" w:themeColor="text1"/>
          <w:sz w:val="24"/>
          <w:szCs w:val="24"/>
        </w:rPr>
        <w:t>.</w:t>
      </w:r>
    </w:p>
    <w:p w14:paraId="12F2C5A0" w14:textId="77777777" w:rsidR="0026477A" w:rsidRPr="0026477A" w:rsidRDefault="0026477A" w:rsidP="0026477A">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لكن في ضوء التطورات الحديثة، أصبحت بعض الأعمال القانونية تؤدى عبر أنظمة ذكاء اصطناعي قادرة على تحليل الوقائع وإعداد المذكرات وصياغة العقود</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lastRenderedPageBreak/>
        <w:t>ويثير هذا تساؤلًا جوهريًا: هل يعد استخدام هذه الأنظمة مشاركة من جهة غير مرخصة في المهنة؟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وهل يبقى المحامي مسؤولًا عن عمل هذه الأدوات رغم أنه لم يباشرها بيده؟</w:t>
      </w:r>
    </w:p>
    <w:p w14:paraId="06945263" w14:textId="77777777" w:rsidR="0026477A" w:rsidRPr="00BC5F38" w:rsidRDefault="0026477A" w:rsidP="0026477A">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يرى محمد إسماعيل</w:t>
      </w:r>
      <w:r>
        <w:rPr>
          <w:rStyle w:val="af"/>
          <w:rFonts w:asciiTheme="majorBidi" w:hAnsiTheme="majorBidi" w:cstheme="majorBidi"/>
          <w:color w:val="000000" w:themeColor="text1"/>
          <w:sz w:val="24"/>
          <w:szCs w:val="24"/>
          <w:rtl/>
        </w:rPr>
        <w:footnoteReference w:id="41"/>
      </w:r>
      <w:r>
        <w:rPr>
          <w:rFonts w:asciiTheme="majorBidi" w:hAnsiTheme="majorBidi" w:cstheme="majorBidi"/>
          <w:color w:val="000000" w:themeColor="text1"/>
          <w:sz w:val="24"/>
          <w:szCs w:val="24"/>
          <w:rtl/>
        </w:rPr>
        <w:t xml:space="preserve"> في دراسته حول تأثير الذكاء الاصطناعي على المهن القانونية أن النصوص التي تحصر الممارسة في الأشخاص تواجه تحديًا حقيقيًا في عصر التحول التقني، وأن الحل يكمن في إدماج التقنية بوصفها وسيلة تنفيذ لا شخصًا مستقلًا في المهنة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وعليه، فإن المادة الثانية تحتاج إلى تفسير حديث أو تعديل تشريعي يفرّق بين ممارسة المهنة بواسطة الإنسان وممارستها بمساعدة أدوات تقنية مرخصة</w:t>
      </w:r>
      <w:r>
        <w:rPr>
          <w:rFonts w:asciiTheme="majorBidi" w:hAnsiTheme="majorBidi" w:cstheme="majorBidi" w:hint="cs"/>
          <w:color w:val="000000" w:themeColor="text1"/>
          <w:sz w:val="24"/>
          <w:szCs w:val="24"/>
          <w:rtl/>
        </w:rPr>
        <w:t>.</w:t>
      </w:r>
    </w:p>
    <w:p w14:paraId="0329497B" w14:textId="77777777" w:rsidR="0026477A" w:rsidRPr="0026477A" w:rsidRDefault="0026477A" w:rsidP="0026477A">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نطاق المهنة في المادة الثالثة وظهور الذكاء الاصطناعي كمنافس تنظيمي</w:t>
      </w:r>
      <w:r>
        <w:rPr>
          <w:rFonts w:asciiTheme="majorBidi" w:hAnsiTheme="majorBidi" w:cstheme="majorBidi" w:hint="cs"/>
          <w:b/>
          <w:bCs/>
          <w:color w:val="000000" w:themeColor="text1"/>
          <w:sz w:val="24"/>
          <w:szCs w:val="24"/>
          <w:rtl/>
        </w:rPr>
        <w:t>:</w:t>
      </w:r>
      <w:r>
        <w:rPr>
          <w:rFonts w:asciiTheme="majorBidi" w:hAnsiTheme="majorBidi" w:cstheme="majorBidi"/>
          <w:b/>
          <w:bCs/>
          <w:color w:val="000000" w:themeColor="text1"/>
          <w:sz w:val="24"/>
          <w:szCs w:val="24"/>
        </w:rPr>
        <w:t>-</w:t>
      </w:r>
    </w:p>
    <w:p w14:paraId="61F498EC" w14:textId="77777777" w:rsidR="0026477A" w:rsidRPr="0026477A" w:rsidRDefault="0026477A" w:rsidP="0026477A">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حددت المادة الثالثة من النظام نطاق المهنة بأنه يشمل الترافع عن الخصوم، وإبداء الرأي والمشورة الشرعية والنظامية، وصياغة العقود، واتخاذ الإجراءات التي يقتضيها ذلك</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وهذه المجالات هي نفسها التي بدأت أنظمة الذكاء الاصطناعي في ممارستها مؤخرًا من خلال برامج البحث والتحليل وصياغة العقود القانونية إلكترونيًا</w:t>
      </w:r>
      <w:r>
        <w:rPr>
          <w:rFonts w:asciiTheme="majorBidi" w:hAnsiTheme="majorBidi" w:cstheme="majorBidi"/>
          <w:color w:val="000000" w:themeColor="text1"/>
          <w:sz w:val="24"/>
          <w:szCs w:val="24"/>
        </w:rPr>
        <w:t>.</w:t>
      </w:r>
    </w:p>
    <w:p w14:paraId="7F9B7A23" w14:textId="77777777" w:rsidR="0026477A" w:rsidRPr="00BC5F38" w:rsidRDefault="0026477A"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أظهرت دراسات فاطمة بلال</w:t>
      </w:r>
      <w:r>
        <w:rPr>
          <w:rStyle w:val="af"/>
          <w:rFonts w:asciiTheme="majorBidi" w:hAnsiTheme="majorBidi" w:cstheme="majorBidi"/>
          <w:color w:val="000000" w:themeColor="text1"/>
          <w:sz w:val="24"/>
          <w:szCs w:val="24"/>
          <w:rtl/>
        </w:rPr>
        <w:footnoteReference w:id="42"/>
      </w:r>
      <w:r>
        <w:rPr>
          <w:rFonts w:asciiTheme="majorBidi" w:hAnsiTheme="majorBidi" w:cstheme="majorBidi"/>
          <w:color w:val="000000" w:themeColor="text1"/>
          <w:sz w:val="24"/>
          <w:szCs w:val="24"/>
          <w:rtl/>
        </w:rPr>
        <w:t xml:space="preserve"> حول العدالة الرقمية أن بعض هذه الأدوات أصبحت تقدم خدمات قانونية شبيهة بما يقدمه المحامي، ما يجعلها منافسًا تنظيميًا غير منظم</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فالنظام لم يشر إلى دور التقنية ولم يضع إطارًا لاستخدامها داخل مكاتب المحاماة، مما أوجد فراغًا تشريعيًا ينبغي معالجته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ومن ثم، فإن المادة الثالثة تمثل نقطة التقاء بين النصوص التقليدية والواقع الرقمي الذي يستدعي تنظيما جديدًا لحدود المهنة في ظل التحول التقني</w:t>
      </w:r>
      <w:r>
        <w:rPr>
          <w:rFonts w:asciiTheme="majorBidi" w:hAnsiTheme="majorBidi" w:cstheme="majorBidi" w:hint="cs"/>
          <w:color w:val="000000" w:themeColor="text1"/>
          <w:sz w:val="24"/>
          <w:szCs w:val="24"/>
          <w:rtl/>
        </w:rPr>
        <w:t>.</w:t>
      </w:r>
    </w:p>
    <w:p w14:paraId="0AA990D9" w14:textId="77777777" w:rsidR="0026477A" w:rsidRPr="0026477A" w:rsidRDefault="0026477A" w:rsidP="00BC6811">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xml:space="preserve"> المادة الثالثة عشرة ومسؤولية المحامي عن الأفعال التقنية:</w:t>
      </w:r>
      <w:r>
        <w:rPr>
          <w:rFonts w:asciiTheme="majorBidi" w:hAnsiTheme="majorBidi" w:cstheme="majorBidi"/>
          <w:b/>
          <w:bCs/>
          <w:color w:val="000000" w:themeColor="text1"/>
          <w:sz w:val="24"/>
          <w:szCs w:val="24"/>
        </w:rPr>
        <w:t>-</w:t>
      </w:r>
    </w:p>
    <w:p w14:paraId="26267953" w14:textId="77777777" w:rsidR="00D57654" w:rsidRDefault="00000000" w:rsidP="00BC6811">
      <w:pPr>
        <w:jc w:val="right"/>
        <w:rPr>
          <w:rFonts w:asciiTheme="majorBidi" w:hAnsiTheme="majorBidi" w:cstheme="majorBidi"/>
          <w:sz w:val="24"/>
          <w:szCs w:val="24"/>
          <w:rtl/>
        </w:rPr>
      </w:pPr>
      <w:r>
        <w:rPr>
          <w:rFonts w:asciiTheme="majorBidi" w:hAnsiTheme="majorBidi" w:cstheme="majorBidi"/>
          <w:sz w:val="24"/>
          <w:szCs w:val="24"/>
          <w:rtl/>
        </w:rPr>
        <w:t>وعلى الصعيد الجزائي المتعلق بمواد المحاماة، أشار العطار والنوايسة إلى أن النصوص التأديبية في نظام المحاماة لم تتضمن حتى الآن جزاءات صريحة على الإخلال بمعايير الكفاءة الرقمية، وهو ما يجعل تطبيق المادة الثالثة عشرة في مواجهة محامٍ استخدم أداة ذكاء اصطناعي دون فحص كافٍ رهيناً بالتفسير التوسعي الذي قد لا يكون متاحاً في الأنظمة التي تعتمد مبدأ لا عقوبة بلا نص صريح.</w:t>
      </w:r>
      <w:r w:rsidRPr="00000002">
        <w:rPr>
          <w:rtl/>
        </w:rPr>
        <w:footnoteReference w:id="43"/>
      </w:r>
    </w:p>
    <w:p w14:paraId="2D092A3D" w14:textId="77777777" w:rsidR="00D57654" w:rsidRDefault="00000000" w:rsidP="00BC6811">
      <w:pPr>
        <w:jc w:val="right"/>
        <w:rPr>
          <w:rFonts w:asciiTheme="majorBidi" w:hAnsiTheme="majorBidi" w:cstheme="majorBidi"/>
          <w:sz w:val="24"/>
          <w:szCs w:val="24"/>
          <w:rtl/>
        </w:rPr>
      </w:pPr>
      <w:r>
        <w:rPr>
          <w:rFonts w:asciiTheme="majorBidi" w:hAnsiTheme="majorBidi" w:cstheme="majorBidi"/>
          <w:sz w:val="24"/>
          <w:szCs w:val="24"/>
          <w:rtl/>
        </w:rPr>
        <w:t>وفيما يخص المادة الثالثة عشرة من نظام المحاماة وواجبات المحامي تجاه موكله، أوضح المعلم أن تفسير هذه المادة في ضوء الذكاء الاصطناعي يستلزم إعادة قراءة مفهوم العناية اللازمة بما يشمل الكفاءة التقنية الرقمية؛ إذ لا يُعدّ المحامي قائماً بواجبه كاملاً حين يُقدّم لموكله مشورة مبنية على مخرج آلي لم يتحقق من صحته أو لم يُفصح عن مصدره.</w:t>
      </w:r>
      <w:r w:rsidRPr="00000002">
        <w:rPr>
          <w:rtl/>
        </w:rPr>
        <w:footnoteReference w:id="44"/>
      </w:r>
    </w:p>
    <w:p w14:paraId="53A62BC5" w14:textId="77777777" w:rsidR="00D57654" w:rsidRDefault="00000000" w:rsidP="00BC6811">
      <w:pPr>
        <w:jc w:val="right"/>
        <w:rPr>
          <w:rFonts w:asciiTheme="majorBidi" w:hAnsiTheme="majorBidi" w:cstheme="majorBidi"/>
          <w:sz w:val="24"/>
          <w:szCs w:val="24"/>
          <w:rtl/>
        </w:rPr>
      </w:pPr>
      <w:r>
        <w:rPr>
          <w:rFonts w:asciiTheme="majorBidi" w:hAnsiTheme="majorBidi" w:cstheme="majorBidi"/>
          <w:sz w:val="24"/>
          <w:szCs w:val="24"/>
          <w:rtl/>
        </w:rPr>
        <w:t xml:space="preserve">وفيما يتعلق بتطبيق نصوص المادة الثالثة عشرة من نظام المحاماة السعودي في سياق الذكاء الاصطناعي، يرى المعيبد أن هذه المادة التي تُحدّد واجبات المحامي تجاه موكله لم تُصَغ لتستوعب فرضية اعتماد المحامي على </w:t>
      </w:r>
      <w:r>
        <w:rPr>
          <w:rFonts w:asciiTheme="majorBidi" w:hAnsiTheme="majorBidi" w:cstheme="majorBidi"/>
          <w:sz w:val="24"/>
          <w:szCs w:val="24"/>
          <w:rtl/>
        </w:rPr>
        <w:lastRenderedPageBreak/>
        <w:t>نظام ذكاء اصطناعي في إعداد دفاعه، وأن توسيع نطاق تطبيقها يستلزم تفسيراً قضائياً موسّعاً أو تعديلاً تشريعياً صريحاً.</w:t>
      </w:r>
      <w:r w:rsidRPr="00000001">
        <w:rPr>
          <w:rtl/>
        </w:rPr>
        <w:footnoteReference w:id="45"/>
      </w:r>
    </w:p>
    <w:p w14:paraId="28E9F497" w14:textId="77777777" w:rsidR="0026477A" w:rsidRPr="0026477A" w:rsidRDefault="0026477A"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تنص المادة الثالثة عشرة على أن المحامي مسؤول عن أعماله ومسؤول عن تصرفات من يباشر العمل تحت إشرافه في مكتبه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ويُفهم من هذا النص أنه يمكن تحميل المحامي مسؤولية الأفعال التي تصدر عن أي وسيلة أو أداة تعمل تحت إشرافه، بما في ذلك أنظمة الذكاء الاصطناعي التي يعتمد عليها في إنجاز أعماله</w:t>
      </w:r>
      <w:r>
        <w:rPr>
          <w:rFonts w:asciiTheme="majorBidi" w:hAnsiTheme="majorBidi" w:cstheme="majorBidi"/>
          <w:color w:val="000000" w:themeColor="text1"/>
          <w:sz w:val="24"/>
          <w:szCs w:val="24"/>
        </w:rPr>
        <w:t>.</w:t>
      </w:r>
    </w:p>
    <w:p w14:paraId="32591E65" w14:textId="77777777" w:rsidR="00A40287" w:rsidRPr="00BC5F38" w:rsidRDefault="0026477A" w:rsidP="002A34EF">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وقد بيّن خالد المالكي</w:t>
      </w:r>
      <w:r>
        <w:rPr>
          <w:rStyle w:val="af"/>
          <w:rFonts w:asciiTheme="majorBidi" w:hAnsiTheme="majorBidi" w:cstheme="majorBidi"/>
          <w:color w:val="000000" w:themeColor="text1"/>
          <w:sz w:val="24"/>
          <w:szCs w:val="24"/>
          <w:rtl/>
        </w:rPr>
        <w:footnoteReference w:id="46"/>
      </w:r>
      <w:r>
        <w:rPr>
          <w:rFonts w:asciiTheme="majorBidi" w:hAnsiTheme="majorBidi" w:cstheme="majorBidi"/>
          <w:color w:val="000000" w:themeColor="text1"/>
          <w:sz w:val="24"/>
          <w:szCs w:val="24"/>
          <w:rtl/>
        </w:rPr>
        <w:t xml:space="preserve"> في بحثه حول المسؤولية المدنية عن فعل الذكاء الاصطناعي في النظام السعودي أن مبدأ الإشراف يشمل كل الوسائل التي يستخدمها المهني في أداء عمله، وأنه يظل مسؤولًا عن نتائجها القانونية ما لم يثبت أنه بذل العناية اللازمة للتحقق من صحتها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وبذلك يمكن القول إن المادة الثالثة عشرة تشكّل الأساس الذي يمكن أن تُبنى عليه قواعد المسؤولية المهنية الرقمية للمحامي في المستقبل</w:t>
      </w:r>
      <w:r>
        <w:rPr>
          <w:rFonts w:asciiTheme="majorBidi" w:hAnsiTheme="majorBidi" w:cstheme="majorBidi" w:hint="cs"/>
          <w:color w:val="000000" w:themeColor="text1"/>
          <w:sz w:val="24"/>
          <w:szCs w:val="24"/>
          <w:rtl/>
        </w:rPr>
        <w:t>.</w:t>
      </w:r>
    </w:p>
    <w:p w14:paraId="1FEFE4DB"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وفيما يخص المسؤولية المهنية الرقمية بوجه خاص، كشف العطار والنوايسة عن فراغ جزائي جوهري يتمثل في انعدام النص الذي يُجرّم إهمال التحقق من سلامة النظام الذكي قبل اعتماد مخرجاته في الدفع القانوني أو التوصية القانونية، مُقترِحَين تجريم الإهمال الجسيم في هذا الشأن بوصفه صورة من صور الإهمال المهني المُعاقَب عليه.</w:t>
      </w:r>
      <w:r w:rsidRPr="00000002">
        <w:rPr>
          <w:rtl/>
        </w:rPr>
        <w:footnoteReference w:id="47"/>
      </w:r>
    </w:p>
    <w:p w14:paraId="512B6911"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وبصدد المسؤولية المهنية الرقمية، جاء في دراسة المعيبد أن المحامي الذي يستخدم نظام ذكاء اصطناعي في تقديم استشارة قانونية يتحمل مسؤولية جزائية كاملة إذا ثبت أن النظام أنتج توصية مضللة أفضت إلى ضرر قانوني، شريطة أن يكون المحامي قد علم بالطابع الاحتمالي لمخرجات النظام ولم يتخذ التحقق اللازم قبل إفصاحها للعميل.</w:t>
      </w:r>
      <w:r w:rsidRPr="00000001">
        <w:rPr>
          <w:rtl/>
        </w:rPr>
        <w:footnoteReference w:id="48"/>
      </w:r>
    </w:p>
    <w:p w14:paraId="096AA445" w14:textId="77777777" w:rsidR="0026477A" w:rsidRPr="00BC5F38" w:rsidRDefault="0026477A" w:rsidP="0026477A">
      <w:pPr>
        <w:jc w:val="right"/>
        <w:rPr>
          <w:rFonts w:asciiTheme="majorBidi" w:hAnsiTheme="majorBidi" w:cstheme="majorBidi"/>
          <w:color w:val="000000" w:themeColor="text1"/>
          <w:sz w:val="24"/>
          <w:szCs w:val="24"/>
        </w:rPr>
      </w:pPr>
    </w:p>
    <w:p w14:paraId="5B2C9E8A"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المادة الحادية والثلاثون ونطاق التأديب التقني</w:t>
      </w:r>
      <w:r>
        <w:rPr>
          <w:rFonts w:asciiTheme="majorBidi" w:hAnsiTheme="majorBidi" w:cstheme="majorBidi" w:hint="cs"/>
          <w:b/>
          <w:bCs/>
          <w:color w:val="000000" w:themeColor="text1"/>
          <w:sz w:val="24"/>
          <w:szCs w:val="24"/>
          <w:rtl/>
        </w:rPr>
        <w:t xml:space="preserve"> :</w:t>
      </w:r>
    </w:p>
    <w:p w14:paraId="59CB0C2B"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نصت المادة الحادية والثلاثون على أن العقوبات التأديبية تشمل الإنذار واللوم والمنع من مزاولة المهنة مؤقتًا أو شطب الاسم من الجدول</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ورغم أن المادة لم تتضمن نصوصًا تتعلق بالأخطاء التقنية، إلا أن مفهوم الإخلال بواجبات المهنة يمكن أن يُفسر على نحو يشمل استخدام الأدوات الذكية بطريقة غير مشروعة أو إهمال أمن البيانات القانونية</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5D9EA702" w14:textId="77777777" w:rsidR="00A40287" w:rsidRPr="00BC5F38" w:rsidRDefault="00A40287"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ويرى العيسى</w:t>
      </w:r>
      <w:r>
        <w:rPr>
          <w:rStyle w:val="af"/>
          <w:rFonts w:asciiTheme="majorBidi" w:hAnsiTheme="majorBidi" w:cstheme="majorBidi"/>
          <w:color w:val="000000" w:themeColor="text1"/>
          <w:sz w:val="24"/>
          <w:szCs w:val="24"/>
          <w:rtl/>
        </w:rPr>
        <w:footnoteReference w:id="49"/>
      </w:r>
      <w:r>
        <w:rPr>
          <w:rFonts w:asciiTheme="majorBidi" w:hAnsiTheme="majorBidi" w:cstheme="majorBidi"/>
          <w:color w:val="000000" w:themeColor="text1"/>
          <w:sz w:val="24"/>
          <w:szCs w:val="24"/>
          <w:rtl/>
        </w:rPr>
        <w:t xml:space="preserve"> أن المشرع السعودي ترك للمجالس التأديبية والجهات الرقابية سلطة تقديرية واسعة لتكييف صور الإخلال المهني بما يتناسب مع التطورات الحديثة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وبالتالي يمكن تطبيق هذه المادة على الأخطاء الناشئة عن سوء استخدام التقنيات أو الذكاء الاصطناعي في مكاتب المحاماة</w:t>
      </w:r>
      <w:r>
        <w:rPr>
          <w:rFonts w:asciiTheme="majorBidi" w:hAnsiTheme="majorBidi" w:cstheme="majorBidi" w:hint="cs"/>
          <w:color w:val="000000" w:themeColor="text1"/>
          <w:sz w:val="24"/>
          <w:szCs w:val="24"/>
          <w:rtl/>
        </w:rPr>
        <w:t>.</w:t>
      </w:r>
    </w:p>
    <w:p w14:paraId="2A79EC51"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Pr>
        <w:lastRenderedPageBreak/>
        <w:t xml:space="preserve">: </w:t>
      </w:r>
      <w:r>
        <w:rPr>
          <w:rFonts w:asciiTheme="majorBidi" w:hAnsiTheme="majorBidi" w:cstheme="majorBidi"/>
          <w:b/>
          <w:bCs/>
          <w:color w:val="000000" w:themeColor="text1"/>
          <w:sz w:val="24"/>
          <w:szCs w:val="24"/>
          <w:rtl/>
        </w:rPr>
        <w:t>- التحول العدلي الرقمي وتأثيره على صلاحية النظام</w:t>
      </w:r>
    </w:p>
    <w:p w14:paraId="226BAB2E"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منذ عام 2018 بدأت وزارة العدل تنفيذ برنامج العدالة الرقمية الذي أوجد المحكمة الإلكترونية ومنصة ناجز وخدمات التقاضي عن بعد</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غير أن نظام المحاماة ظل دون تعديل جوهري يواكب هذا التحول، فلم يتضمن نصوصًا تنظم التمثيل الرقمي أو العمل القانوني عبر الوسائط الإلكترونية</w:t>
      </w:r>
      <w:r>
        <w:rPr>
          <w:rFonts w:asciiTheme="majorBidi" w:hAnsiTheme="majorBidi" w:cstheme="majorBidi"/>
          <w:color w:val="000000" w:themeColor="text1"/>
          <w:sz w:val="24"/>
          <w:szCs w:val="24"/>
        </w:rPr>
        <w:t>.</w:t>
      </w:r>
    </w:p>
    <w:p w14:paraId="1792CFB1" w14:textId="77777777" w:rsidR="00A40287" w:rsidRPr="00A40287" w:rsidRDefault="00A40287"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وتشير تقارير وزارة العدل لعام 2022 إلى أن أكثر من تسعين في المئة من خدمات المحاكم أصبحت رقمية، بينما لا يزال نظام المحاماة يعمل وفق بنية تقليدية صُممت لعصر الورق</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هذا التباين بين الواقع العملي والنصوص التشريعية يعكس حاجة ملحة إلى تحديث النظام بحيث يشمل تنظيمًا صريحًا لتقنيات الذكاء الاصطناعي في الممارسة القانونية</w:t>
      </w:r>
      <w:r>
        <w:rPr>
          <w:rFonts w:asciiTheme="majorBidi" w:hAnsiTheme="majorBidi" w:cstheme="majorBidi" w:hint="cs"/>
          <w:color w:val="000000" w:themeColor="text1"/>
          <w:sz w:val="24"/>
          <w:szCs w:val="24"/>
          <w:rtl/>
        </w:rPr>
        <w:t>.</w:t>
      </w:r>
    </w:p>
    <w:p w14:paraId="763673D1"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ويُؤكد نظام المحاماة السعودي بنصه الصريح في المادة (11) أن على المحامي الذي يقبل توكيلًا في قضية "الانصراف لإتمامها والاستمرار في القيام بها حتى انقضائها بحكم نهائي أو انتهاء المهمة"، وهو الالتزام الذي يُمتد ليشمل صحة الأدوات والوسائل المُستخدمة في تنفيذه بما فيها الأدوات الرقمية.</w:t>
      </w:r>
      <w:r>
        <w:rPr>
          <w:rStyle w:val="af"/>
          <w:rFonts w:asciiTheme="majorBidi" w:hAnsiTheme="majorBidi" w:cstheme="majorBidi"/>
          <w:sz w:val="24"/>
          <w:szCs w:val="24"/>
          <w:rtl/>
        </w:rPr>
        <w:footnoteReference w:id="50"/>
      </w:r>
    </w:p>
    <w:p w14:paraId="220613CF"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الخلاصة التحليلية</w:t>
      </w:r>
      <w:r>
        <w:rPr>
          <w:rFonts w:asciiTheme="majorBidi" w:hAnsiTheme="majorBidi" w:cstheme="majorBidi" w:hint="cs"/>
          <w:b/>
          <w:bCs/>
          <w:color w:val="000000" w:themeColor="text1"/>
          <w:sz w:val="24"/>
          <w:szCs w:val="24"/>
          <w:rtl/>
        </w:rPr>
        <w:t xml:space="preserve"> :</w:t>
      </w:r>
    </w:p>
    <w:p w14:paraId="5E32C1D7"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وفي هذا السياق، أثبتت الدراسات المقارنة أن الفجوة بين الأطر التشريعية القائمة ومتطلبات تنظيم الذكاء الاصطناعي ظاهرة واسعة الانتشار؛ فقد خلص التونسي والمعلم في بحثهما المنشور ضمن المجلة العربية للنشر العلمي إلى أن المنظومة التشريعية في المملكة العربية السعودية تمتلك مقومات تنظيمية واعدة، لكنها تفتقر إلى إطار موحّد يُحكم ضبط استخدامات الذكاء الاصطناعي ويُعيّن المسؤوليات المدنية والجنائية المترتبة عليها بصورة صريحة.</w:t>
      </w:r>
      <w:r>
        <w:rPr>
          <w:rStyle w:val="af"/>
          <w:rFonts w:asciiTheme="majorBidi" w:hAnsiTheme="majorBidi" w:cstheme="majorBidi"/>
          <w:sz w:val="24"/>
          <w:szCs w:val="24"/>
          <w:rtl/>
        </w:rPr>
        <w:footnoteReference w:id="51"/>
      </w:r>
    </w:p>
    <w:p w14:paraId="5C43468C"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خلال تحليل المواد النظامية الأساسية يتضح أن نظام المحاماة يمثل قاعدة صلبة لتنظيم المهنة من حيث الترخيص والمساءلة، لكنه لا يستوعب التطور التقني الحديث الذي غيّر شكل ممارسة العدالة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فالنظام الحالي يعالج مسؤولية الإنسان، بينما أصبح الواقع يفرض مسؤوليات جديدة تتعلق بالأنظمة الذكية والأدوات التقنية المستخدمة داخل مكاتب المحاماة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وعليه، فإن تحديث النظام ليشمل ضوابط استخدام الذكاء الاصطناعي أصبح ضرورة لضمان توافق الممارسة المهنية مع التحول العدلي الرقمي، وهو ما تمثل هذه الدراسة إطارًا علميًا لتحليله واقتراح تنظيمه</w:t>
      </w:r>
      <w:r>
        <w:rPr>
          <w:rFonts w:asciiTheme="majorBidi" w:hAnsiTheme="majorBidi" w:cstheme="majorBidi" w:hint="cs"/>
          <w:color w:val="000000" w:themeColor="text1"/>
          <w:sz w:val="24"/>
          <w:szCs w:val="24"/>
          <w:rtl/>
        </w:rPr>
        <w:t>.</w:t>
      </w:r>
    </w:p>
    <w:p w14:paraId="1BF642DA" w14:textId="77777777" w:rsidR="00A40287" w:rsidRPr="0026477A" w:rsidRDefault="00A40287" w:rsidP="0026477A">
      <w:pPr>
        <w:jc w:val="right"/>
        <w:rPr>
          <w:rFonts w:asciiTheme="majorBidi" w:hAnsiTheme="majorBidi" w:cstheme="majorBidi"/>
          <w:color w:val="000000" w:themeColor="text1"/>
          <w:sz w:val="24"/>
          <w:szCs w:val="24"/>
        </w:rPr>
      </w:pPr>
    </w:p>
    <w:p w14:paraId="516F5E71"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ثانيًا: الطبيعة القانونية لمهنة المحاماة في النظام السعودي</w:t>
      </w:r>
      <w:r>
        <w:rPr>
          <w:rFonts w:asciiTheme="majorBidi" w:hAnsiTheme="majorBidi" w:cstheme="majorBidi" w:hint="cs"/>
          <w:b/>
          <w:bCs/>
          <w:color w:val="000000" w:themeColor="text1"/>
          <w:sz w:val="24"/>
          <w:szCs w:val="24"/>
          <w:rtl/>
        </w:rPr>
        <w:t>:</w:t>
      </w:r>
    </w:p>
    <w:p w14:paraId="3886E633"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 xml:space="preserve">وفي ضوء إطار حوكمة الذكاء الاصطناعي الذي أرسته الهيئة السعودية للبيانات والذكاء الاصطناعي (سدايا)، أصدرت الهيئة في سبتمبر 2024م وثيقة "إطار تبني الذكاء الاصطناعي" التي تُعدّ المرجع التشغيلي لإدماج الذكاء الاصطناعي في المنظمات السعودية؛ إذ تُحدد ستة ركائز رئيسية لتبني الذكاء الاصطناعي بصورة محوكمة ومسؤولة، تشمل: التأسيس، وتحديد التوجه، وتقييم النضج والجاهزية، وتفعيل التبني، وبناء الممكنات، والمتابعة </w:t>
      </w:r>
      <w:r>
        <w:rPr>
          <w:rFonts w:asciiTheme="majorBidi" w:hAnsiTheme="majorBidi" w:cstheme="majorBidi"/>
          <w:sz w:val="24"/>
          <w:szCs w:val="24"/>
          <w:rtl/>
        </w:rPr>
        <w:lastRenderedPageBreak/>
        <w:t>والتحسين المستمر. وتُلزم هذه الوثيقة المنظمات بما فيها مكاتب المحاماة بتأسيس وحدة مختصة بالذكاء الاصطناعي وبناء قدرات بشرية مؤهلة لإدارته.</w:t>
      </w:r>
      <w:r>
        <w:rPr>
          <w:rStyle w:val="af"/>
          <w:rFonts w:asciiTheme="majorBidi" w:hAnsiTheme="majorBidi" w:cstheme="majorBidi"/>
          <w:sz w:val="24"/>
          <w:szCs w:val="24"/>
          <w:rtl/>
        </w:rPr>
        <w:footnoteReference w:id="52"/>
      </w:r>
    </w:p>
    <w:p w14:paraId="2A3A0181"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تتسم مهنة المحاماة في النظام السعودي بطبيعة قانونية خاصة تجعلها مختلفة عن سائر المهن الحرة التقليدية. فهي من جهة مهنة يمارسها الأفراد لحسابهم الخاص، ويبرمون من خلالها عقود أتعاب مع موكليهم، ومن جهة أخرى تعد جزءًا من المنظومة العدلية التي تستهدف حماية الحقوق وتحقيق العدالة. هذه الازدواجية بين البعد المهني والبعد العدلي هي المدخل لفهم كيفية تعامل النظام السعودي مع أي أدوات جديدة تدخل في صميم ممارسة المهنة، وفي مقدمتها تقنيات الذكاء الاصطناعي</w:t>
      </w:r>
      <w:r>
        <w:rPr>
          <w:rFonts w:asciiTheme="majorBidi" w:hAnsiTheme="majorBidi" w:cstheme="majorBidi"/>
          <w:color w:val="000000" w:themeColor="text1"/>
          <w:sz w:val="24"/>
          <w:szCs w:val="24"/>
        </w:rPr>
        <w:t>.</w:t>
      </w:r>
    </w:p>
    <w:p w14:paraId="0E587693"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فمن الناحية الأولى، تمارس المحاماة بوصفها نشاطًا مهنيًا قائمًا على العقد بين المحامي وموكله. يتفق الطرفان على الأتعاب، وعلى نطاق التمثيل القانوني، وعلى طبيعة الخدمة المقدمة. هذا الجانب التعاقدي يفتح الباب طبيعيًا أمام تطويع الوسائل الحديثة لزيادة كفاءة العمل المهني، مثل استخدام الأنظمة الذكية في البحث القانوني وإدارة القضايا وتحليل العقود. وقد أشارت دراسات إسماعيل</w:t>
      </w:r>
      <w:r>
        <w:rPr>
          <w:rStyle w:val="af"/>
          <w:rFonts w:asciiTheme="majorBidi" w:hAnsiTheme="majorBidi" w:cstheme="majorBidi"/>
          <w:color w:val="000000" w:themeColor="text1"/>
          <w:sz w:val="24"/>
          <w:szCs w:val="24"/>
          <w:rtl/>
        </w:rPr>
        <w:footnoteReference w:id="53"/>
      </w:r>
      <w:r>
        <w:rPr>
          <w:rFonts w:asciiTheme="majorBidi" w:hAnsiTheme="majorBidi" w:cstheme="majorBidi"/>
          <w:color w:val="000000" w:themeColor="text1"/>
          <w:sz w:val="24"/>
          <w:szCs w:val="24"/>
          <w:rtl/>
        </w:rPr>
        <w:t xml:space="preserve"> عن تأثير الذكاء الاصطناعي على المهن القانونية إلى أن المحامين في البيئات الحديثة يتجهون إلى تبني هذه الأدوات بوصفها ميزة تنافسية تتيح لهم تقديم خدمات أسرع وأدق من غيرهم</w:t>
      </w:r>
      <w:r>
        <w:rPr>
          <w:rFonts w:asciiTheme="majorBidi" w:hAnsiTheme="majorBidi" w:cstheme="majorBidi"/>
          <w:color w:val="000000" w:themeColor="text1"/>
          <w:sz w:val="24"/>
          <w:szCs w:val="24"/>
        </w:rPr>
        <w:t>.</w:t>
      </w:r>
    </w:p>
    <w:p w14:paraId="72C9AE88"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لكن من الناحية الثانية، لا ينظر النظام السعودي إلى المحاماة باعتبارها نشاطًا تجاريًا صرفًا، بل يجعلها مهنة ذات ارتباط وثيق بالصالح العام. فالمحامي يمثل حلقة وصل بين الأفراد والسلطة القضائية، ويؤدي دورًا في تمكين الوصول إلى العدالة، ويخضع في سلوكه المهني لرقابة تنظيمية وتأديبية. وقد بينت دراسات العيسى</w:t>
      </w:r>
      <w:r>
        <w:rPr>
          <w:rStyle w:val="af"/>
          <w:rFonts w:asciiTheme="majorBidi" w:hAnsiTheme="majorBidi" w:cstheme="majorBidi"/>
          <w:color w:val="000000" w:themeColor="text1"/>
          <w:sz w:val="24"/>
          <w:szCs w:val="24"/>
          <w:rtl/>
        </w:rPr>
        <w:footnoteReference w:id="54"/>
      </w:r>
      <w:r>
        <w:rPr>
          <w:rFonts w:asciiTheme="majorBidi" w:hAnsiTheme="majorBidi" w:cstheme="majorBidi"/>
          <w:color w:val="000000" w:themeColor="text1"/>
          <w:sz w:val="24"/>
          <w:szCs w:val="24"/>
          <w:rtl/>
        </w:rPr>
        <w:t xml:space="preserve"> أن المشرع السعودي يتعامل مع المحاماة بوصفها ركيزة من ركائز العدالة المؤسسية، لا مجرد خدمة قانونية خاصة. هذا البعد العدلي يجعل المهنة مقيدة بجملة من الالتزامات التي لا يمكن تجاوزها بدعوى التطور التقني أو الحرية المهنية</w:t>
      </w:r>
      <w:r>
        <w:rPr>
          <w:rFonts w:asciiTheme="majorBidi" w:hAnsiTheme="majorBidi" w:cstheme="majorBidi"/>
          <w:color w:val="000000" w:themeColor="text1"/>
          <w:sz w:val="24"/>
          <w:szCs w:val="24"/>
        </w:rPr>
        <w:t>.</w:t>
      </w:r>
    </w:p>
    <w:p w14:paraId="3E397C09"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وتنعكس هذه الطبيعة المزدوجة مباشرة على مسألة توظيف الذكاء الاصطناعي في مكاتب المحاماة. فالمحامي، بحكم صفته المهنية الحرة، قد يسعى إلى استخدام أنظمة ذكية لتوليد المذكرات أو صياغة العقود أو تحليل المخاطر القانونية، باعتبارها أدوات تعزز كفاءة الأداء وتقلل الكلفة والوقت. لكن بصفته جزءًا من المنظومة العدلية، يظل ملزمًا بأن تكون هذه الوسائل منسجمة مع مقتضيات العدالة، وأن لا تؤدي إلى الإخلال بحقوق الموكلين أو سرية بياناتهم أو ضمانات المحاكمة العادلة. وهنا يظهر التحدي التشريعي الحقيقي الذي تتناوله هذه الدراسة، وهو كيفية بناء إطار قانوني يسمح بالاستفادة من الذكاء الاصطناعي من دون أن يخل ذلك بجوهر المهنة وطبيعتها العدلية</w:t>
      </w:r>
      <w:r>
        <w:rPr>
          <w:rFonts w:asciiTheme="majorBidi" w:hAnsiTheme="majorBidi" w:cstheme="majorBidi"/>
          <w:color w:val="000000" w:themeColor="text1"/>
          <w:sz w:val="24"/>
          <w:szCs w:val="24"/>
        </w:rPr>
        <w:t>.</w:t>
      </w:r>
    </w:p>
    <w:p w14:paraId="3E583D03"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أن استقلال المحامي يمثل عنصرًا جوهريًا في هذه الطبيعة القانونية الخاصة. فالاستقلال لا يعني فقط عدم خضوع المحامي للضغوط من الخصوم أو الجهات الرسمية، بل يعني أيضًا قدرته على تكوين رأيه القانوني بناء على اجتهاده وخبرته وتحليله للنصوص والوقائع. ومع دخول الأنظمة الذكية إلى بيئة العمل القانوني، أصبح هذا الاستقلال مهددًا بنوع جديد من التأثير غير المباشر، يتمثل في اعتماد المحامي على مخرجات نظام تحليلي أو مولد للنصوص قد لا يكون شفافًا في طريقة عمله أو مصادر بياناته. وقد نبهت أبحاث فاطمة بلال</w:t>
      </w:r>
      <w:r>
        <w:rPr>
          <w:rStyle w:val="af"/>
          <w:rFonts w:asciiTheme="majorBidi" w:hAnsiTheme="majorBidi" w:cstheme="majorBidi"/>
          <w:color w:val="000000" w:themeColor="text1"/>
          <w:sz w:val="24"/>
          <w:szCs w:val="24"/>
          <w:rtl/>
        </w:rPr>
        <w:footnoteReference w:id="55"/>
      </w:r>
      <w:r>
        <w:rPr>
          <w:rFonts w:asciiTheme="majorBidi" w:hAnsiTheme="majorBidi" w:cstheme="majorBidi"/>
          <w:color w:val="000000" w:themeColor="text1"/>
          <w:sz w:val="24"/>
          <w:szCs w:val="24"/>
          <w:rtl/>
        </w:rPr>
        <w:t xml:space="preserve"> حول العدالة الرقمية إلى أن الإفراط في الاعتماد على الخوارزميات في اتخاذ القرارات القانونية قد يؤدي إلى إضعاف الدور الإنساني في تقدير الملابسات الفردية لكل قضية، وهو ما يتعارض مع فلسفة العدالة ذاتها</w:t>
      </w:r>
      <w:r>
        <w:rPr>
          <w:rFonts w:asciiTheme="majorBidi" w:hAnsiTheme="majorBidi" w:cstheme="majorBidi"/>
          <w:color w:val="000000" w:themeColor="text1"/>
          <w:sz w:val="24"/>
          <w:szCs w:val="24"/>
        </w:rPr>
        <w:t>.</w:t>
      </w:r>
    </w:p>
    <w:p w14:paraId="5A296A77" w14:textId="77777777" w:rsidR="00AA06F2" w:rsidRPr="00AA06F2" w:rsidRDefault="00AA06F2"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ومن الزاوية الفقهية، تشكل المحاماة امتدادًا مؤسسيًا لعقد الوكالة، حيث يقوم المحامي مقام موكله في مباشرة حقوقه والمطالبة بها. إلا أن النظام السعودي لم يكتف بهذا التكييف الفقهي التقليدي، بل نظم المهنة كإطار قانوني مستقل يشترط الترخيص والتأهيل العلمي والتسجيل في جداول رسمية. هذا التطور جعل المحاماة تخرج من </w:t>
      </w:r>
      <w:r>
        <w:rPr>
          <w:rFonts w:asciiTheme="majorBidi" w:hAnsiTheme="majorBidi" w:cstheme="majorBidi"/>
          <w:color w:val="000000" w:themeColor="text1"/>
          <w:sz w:val="24"/>
          <w:szCs w:val="24"/>
          <w:rtl/>
        </w:rPr>
        <w:lastRenderedPageBreak/>
        <w:t>نطاق الوكالة الخاصة إلى نطاق الوظيفة العامة ذات المسؤولية المجتمعية. وبناء على هذا التكييف، لا يمكن اعتبار الذكاء الاصطناعي وكيلاً أو ممثلًا قانونيًا، لأنه يفتقر إلى الأهلية والإرادة والتمييز، وإنما يظل مجرد أداة يستخدمها المحامي الذي يحمل وحده صفة التمثيل أمام الجهات القضائية والإدارية. وهذا ما يؤكده أيضًا تطور الأحكام المدنية الحديثة في المملكة في تنظيم العقود والوكالات في نظام المعاملات المدنية</w:t>
      </w:r>
      <w:r>
        <w:rPr>
          <w:rFonts w:asciiTheme="majorBidi" w:hAnsiTheme="majorBidi" w:cstheme="majorBidi"/>
          <w:color w:val="000000" w:themeColor="text1"/>
          <w:sz w:val="24"/>
          <w:szCs w:val="24"/>
        </w:rPr>
        <w:t>.</w:t>
      </w:r>
    </w:p>
    <w:p w14:paraId="01E630EC" w14:textId="77777777" w:rsidR="00AA06F2" w:rsidRPr="00AA06F2" w:rsidRDefault="00AA06F2"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ويتصل بذلك البعد الأخلاقي للمهنة، الذي يعد جزءًا من طبيعتها القانونية. فالمحامي ملزم بالمحافظة على السرية المهنية، واحترام خصوصية موكليه، وعدم استغلال المعلومات التي يطلع عليها في غير مصلحتهم. ومع ظهور تقنيات الذكاء الاصطناعي التي تعتمد في عملها على معالجة البيانات وتخزينها وتحليلها، أصبح هذا الالتزام الأخلاقي مهددًا بمخاطر جديدة. فقد يؤدي إدخال بيانات الموكلين في أنظمة سحابية خارجية أو منصات ذكاء اصطناعي غير منضبطة إلى تعريض هذه البيانات للانكشاف أو الاستغلال. وقد شددت وثيقة مبادئ أخلاقيات الذكاء الاصطناعي الصادرة عن سدايا</w:t>
      </w:r>
      <w:r>
        <w:rPr>
          <w:rStyle w:val="af"/>
          <w:rFonts w:asciiTheme="majorBidi" w:hAnsiTheme="majorBidi" w:cstheme="majorBidi"/>
          <w:color w:val="000000" w:themeColor="text1"/>
          <w:sz w:val="24"/>
          <w:szCs w:val="24"/>
          <w:rtl/>
        </w:rPr>
        <w:footnoteReference w:id="56"/>
      </w:r>
      <w:r>
        <w:rPr>
          <w:rFonts w:asciiTheme="majorBidi" w:hAnsiTheme="majorBidi" w:cstheme="majorBidi"/>
          <w:color w:val="000000" w:themeColor="text1"/>
          <w:sz w:val="24"/>
          <w:szCs w:val="24"/>
          <w:rtl/>
        </w:rPr>
        <w:t xml:space="preserve"> على ضرورة حماية الخصوصية وضمان الشفافية والمساءلة عند استخدام هذه التقنيات في القطاعات المهنية، وهو ما ينسجم مع طبيعة مهنة المحاماة التي تقوم على الثقة والسرية</w:t>
      </w:r>
      <w:r>
        <w:rPr>
          <w:rFonts w:asciiTheme="majorBidi" w:hAnsiTheme="majorBidi" w:cstheme="majorBidi"/>
          <w:color w:val="000000" w:themeColor="text1"/>
          <w:sz w:val="24"/>
          <w:szCs w:val="24"/>
        </w:rPr>
        <w:t>.</w:t>
      </w:r>
    </w:p>
    <w:p w14:paraId="76EF9177"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السياق الدولي المقارن لمبادئ أخلاقيات الذكاء الاصطناعي، كشف العجماني وسيد أن التجربة الإماراتية أثبتت أن تطبيق هذه المبادئ في السياق القضائي يحتاج إلى مترجِم مؤسسي يُحوّل المبادئ العامة إلى قواعد إجرائية قابلة للتطبيق؛ وقد اضطلعت وزارة العدل الإماراتية بهذا الدور عبر إصدار دليل اشتراطات الذكاء الاصطناعي القضائي.</w:t>
      </w:r>
      <w:r w:rsidRPr="00000002">
        <w:rPr>
          <w:rtl/>
        </w:rPr>
        <w:footnoteReference w:id="57"/>
      </w:r>
    </w:p>
    <w:p w14:paraId="5FAC8A3A"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وفيما يخص وثيقة مبادئ أخلاقيات الذكاء الاصطناعي التي أصدرتها هيئة سدايا، ذهب المعلم إلى أن الوثيقة تُقرّ بمبادئ جوهرية كالشفافية والعدالة وحماية الخصوصية، إلا أن قيمتها التطبيقية في القطاع القانوني تظل محدودة ما لم تُفصَّل في لوائح تنفيذية مُلزِمة تُحدّد آليات الالتزام وعقوبات المخالفة وجهات الرقابة المختصة.</w:t>
      </w:r>
      <w:r w:rsidRPr="00000002">
        <w:rPr>
          <w:rtl/>
        </w:rPr>
        <w:footnoteReference w:id="58"/>
      </w:r>
    </w:p>
    <w:p w14:paraId="793FB78C"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ضوء وثيقة مبادئ أخلاقيات الذكاء الاصطناعي الصادرة عن هيئة البيانات والذكاء الاصطناعي (سدايا)، لاحظ الغنامي أن هذه الوثيقة أرست مبادئ الشفافية والمساءلة وضمان الجودة إلا أنها أغفلت بيان آليات تطبيقها على سياق المهن القانونية تحديداً، وهو ما يستوجب وضع لوائح تنفيذية مُكمّلة تُعالج خصوصية المحاماة والقضاء والتوثيق.</w:t>
      </w:r>
      <w:r w:rsidRPr="00000001">
        <w:rPr>
          <w:rtl/>
        </w:rPr>
        <w:footnoteReference w:id="59"/>
      </w:r>
    </w:p>
    <w:p w14:paraId="1C7165F4" w14:textId="77777777" w:rsidR="00AA06F2" w:rsidRDefault="00AA06F2" w:rsidP="002A34EF">
      <w:pPr>
        <w:jc w:val="right"/>
        <w:rPr>
          <w:rFonts w:asciiTheme="majorBidi" w:hAnsiTheme="majorBidi" w:cstheme="majorBidi"/>
          <w:color w:val="000000" w:themeColor="text1"/>
          <w:sz w:val="24"/>
          <w:szCs w:val="24"/>
          <w:rtl/>
        </w:rPr>
      </w:pPr>
      <w:r>
        <w:rPr>
          <w:rFonts w:asciiTheme="majorBidi" w:hAnsiTheme="majorBidi" w:cstheme="majorBidi"/>
          <w:b/>
          <w:bCs/>
          <w:color w:val="000000" w:themeColor="text1"/>
          <w:sz w:val="24"/>
          <w:szCs w:val="24"/>
          <w:rtl/>
        </w:rPr>
        <w:t>ومن خلال هذا التحليل</w:t>
      </w:r>
      <w:r>
        <w:rPr>
          <w:rFonts w:asciiTheme="majorBidi" w:hAnsiTheme="majorBidi" w:cstheme="majorBidi"/>
          <w:color w:val="000000" w:themeColor="text1"/>
          <w:sz w:val="24"/>
          <w:szCs w:val="24"/>
          <w:rtl/>
        </w:rPr>
        <w:t>، يتضح أن الطبيعة القانونية لمهنة المحاماة في النظام السعودي لا تقتصر على تعريف شكلي للمهنة وحدود اختصاصها، بل تمتد لتشمل شبكة من القيم والمبادئ، مثل الاستقلال والمسؤولية والسرية والبعد العدلي العام. هذه العناصر مجتمعة تحدد الإطار الذي يجب أن يتحرك داخله أي تنظيم لتوظيف الذكاء الاصطناعي في مكاتب المحاماة. ومن ثم فإن أي إطار قانوني مقترح لتنظيم هذه التقنيات، كما تسعى هذه الرسالة إلى بنائه، لا بد أن يراعي هذه الطبيعة الخاصة، وأن يحافظ على مركزية المحامي الإنسان في اتخاذ القرار القانوني، مع السماح في الوقت نفسه باستثمار قدرات الذكاء الاصطناعي في تطوير جودة وكفاءة الخدمات القانونية</w:t>
      </w:r>
      <w:r>
        <w:rPr>
          <w:rFonts w:asciiTheme="majorBidi" w:hAnsiTheme="majorBidi" w:cstheme="majorBidi" w:hint="cs"/>
          <w:color w:val="000000" w:themeColor="text1"/>
          <w:sz w:val="24"/>
          <w:szCs w:val="24"/>
          <w:rtl/>
        </w:rPr>
        <w:t>.</w:t>
      </w:r>
    </w:p>
    <w:p w14:paraId="4561114A" w14:textId="77777777" w:rsidR="00D41CB7" w:rsidRPr="00AA06F2" w:rsidRDefault="00D41CB7" w:rsidP="002A34EF">
      <w:pPr>
        <w:jc w:val="right"/>
        <w:rPr>
          <w:rFonts w:asciiTheme="majorBidi" w:hAnsiTheme="majorBidi" w:cstheme="majorBidi"/>
          <w:color w:val="000000" w:themeColor="text1"/>
          <w:sz w:val="24"/>
          <w:szCs w:val="24"/>
        </w:rPr>
      </w:pPr>
    </w:p>
    <w:p w14:paraId="37E120F2" w14:textId="77777777" w:rsidR="006F4E03" w:rsidRPr="006F4E03" w:rsidRDefault="006F4E03" w:rsidP="002A34E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ثالثًا: البنية النصية لنظام المحاماة وأثرها في التحول التقني</w:t>
      </w:r>
      <w:r>
        <w:rPr>
          <w:rFonts w:asciiTheme="majorBidi" w:hAnsiTheme="majorBidi" w:cstheme="majorBidi" w:hint="cs"/>
          <w:b/>
          <w:bCs/>
          <w:color w:val="000000" w:themeColor="text1"/>
          <w:sz w:val="24"/>
          <w:szCs w:val="24"/>
          <w:rtl/>
        </w:rPr>
        <w:t>:</w:t>
      </w:r>
    </w:p>
    <w:p w14:paraId="52B9AE51"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lastRenderedPageBreak/>
        <w:t>وفي سياق إثبات التصرفات القانونية الرقمية، خلص الأسيوطي في دراسته المنشورة بمجلة الباحث العربي إلى أن عصر الذكاء الاصطناعي قد أفرز علاقات ومراكز قانونية جديدة أثبتت عجز القواعد القانونية الحالية عن استيعابها وتنظيمها؛ وذلك لأن المفهوم الحديث لتكنولوجيا الذكاء الاصطناعي تجاوز نطاق التكنولوجيا في صورتها التقليدية التي لم تثر كثيرًا من الإشكاليات القانونية.</w:t>
      </w:r>
      <w:r>
        <w:rPr>
          <w:rStyle w:val="af"/>
          <w:rFonts w:asciiTheme="majorBidi" w:hAnsiTheme="majorBidi" w:cstheme="majorBidi"/>
          <w:sz w:val="24"/>
          <w:szCs w:val="24"/>
          <w:rtl/>
        </w:rPr>
        <w:footnoteReference w:id="60"/>
      </w:r>
    </w:p>
    <w:p w14:paraId="3861416D" w14:textId="77777777" w:rsidR="006F4E03" w:rsidRPr="006F4E03" w:rsidRDefault="006F4E03" w:rsidP="006F4E03">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Pr>
        <w:t xml:space="preserve">: </w:t>
      </w:r>
      <w:r>
        <w:rPr>
          <w:rFonts w:asciiTheme="majorBidi" w:hAnsiTheme="majorBidi" w:cstheme="majorBidi" w:hint="cs"/>
          <w:b/>
          <w:bCs/>
          <w:color w:val="000000" w:themeColor="text1"/>
          <w:sz w:val="24"/>
          <w:szCs w:val="24"/>
          <w:rtl/>
        </w:rPr>
        <w:t xml:space="preserve">1- </w:t>
      </w:r>
      <w:r>
        <w:rPr>
          <w:rFonts w:asciiTheme="majorBidi" w:hAnsiTheme="majorBidi" w:cstheme="majorBidi"/>
          <w:b/>
          <w:bCs/>
          <w:color w:val="000000" w:themeColor="text1"/>
          <w:sz w:val="24"/>
          <w:szCs w:val="24"/>
          <w:rtl/>
        </w:rPr>
        <w:t>البناء الهيكلي للنظام وطبيعة صياغته التشريعية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جاء نظام المحاماة بصياغة تقليدية تنتمي إلى الجيل الأول من التشريعات العدلية السعودية، حيث رُوعي فيه الطابع الإجرائي والتنظيمي أكثر من الطابع التقني أو المستقبلي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يتكوّن النظام من عدة أبواب تتناول شروط القيد في جدول المحامين، وحقوقهم وواجباتهم، وأحكام التأديب، والجزاءات النظامية، دون أن يتضمن أي باب مستقل لتنظيم الوسائل أو الأدوات التي تُستخدم في الممارسة المهنية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وهذه الصياغة تعكس مرحلة تشريعية سبقت التحول الرقمي، حيث كان التشريع يركّز على ضبط العلاقة بين المحامي وموكله، وبين المحامي والسلطة العدلية، من منظور الورق والمرافعة الحضورية</w:t>
      </w:r>
      <w:r>
        <w:rPr>
          <w:rFonts w:asciiTheme="majorBidi" w:hAnsiTheme="majorBidi" w:cstheme="majorBidi"/>
          <w:color w:val="000000" w:themeColor="text1"/>
          <w:sz w:val="24"/>
          <w:szCs w:val="24"/>
        </w:rPr>
        <w:t>.</w:t>
      </w:r>
    </w:p>
    <w:p w14:paraId="0617D0F0" w14:textId="77777777" w:rsidR="006F4E03" w:rsidRPr="006F4E03" w:rsidRDefault="006F4E03"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لكن البنية النصية بهذا الشكل تُظهر أن النظام لم يُصمم ليستوعب التقنيات القانونية الحديثة مثل الذكاء الاصطناعي، إذ تغيب فيه المفاهيم المتعلقة بحفظ البيانات الرقمية، أو استخدام الخوارزميات في البحث والتحليل، أو الاعتماد على الأدوات الذكية في إعداد الأعمال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ويرى العيسى</w:t>
      </w:r>
      <w:r>
        <w:rPr>
          <w:rStyle w:val="af"/>
          <w:rFonts w:asciiTheme="majorBidi" w:hAnsiTheme="majorBidi" w:cstheme="majorBidi"/>
          <w:color w:val="000000" w:themeColor="text1"/>
          <w:sz w:val="24"/>
          <w:szCs w:val="24"/>
          <w:rtl/>
        </w:rPr>
        <w:footnoteReference w:id="61"/>
      </w:r>
      <w:r>
        <w:rPr>
          <w:rFonts w:asciiTheme="majorBidi" w:hAnsiTheme="majorBidi" w:cstheme="majorBidi"/>
          <w:color w:val="000000" w:themeColor="text1"/>
          <w:sz w:val="24"/>
          <w:szCs w:val="24"/>
          <w:rtl/>
        </w:rPr>
        <w:t xml:space="preserve"> أن هذه الفجوة النصية ليست قصورًا تشريعيًا متعمدًا، بل نتيجة طبيعية لتغير الإطار الزمني والمعرفي الذي وُضع فيه النظام، وهو ما يفرض إعادة صياغة بعض مواده أو استحداث مواد جديدة تراعي التطورات التقنية المتسارعة في بيئة العدالة</w:t>
      </w:r>
      <w:r>
        <w:rPr>
          <w:rFonts w:asciiTheme="majorBidi" w:hAnsiTheme="majorBidi" w:cstheme="majorBidi"/>
          <w:color w:val="000000" w:themeColor="text1"/>
          <w:sz w:val="24"/>
          <w:szCs w:val="24"/>
        </w:rPr>
        <w:t>.</w:t>
      </w:r>
    </w:p>
    <w:p w14:paraId="5AB72E99" w14:textId="77777777" w:rsidR="006F4E03" w:rsidRPr="006F4E03" w:rsidRDefault="006F4E03" w:rsidP="006F4E03">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2- </w:t>
      </w:r>
      <w:r>
        <w:rPr>
          <w:rFonts w:asciiTheme="majorBidi" w:hAnsiTheme="majorBidi" w:cstheme="majorBidi"/>
          <w:b/>
          <w:bCs/>
          <w:color w:val="000000" w:themeColor="text1"/>
          <w:sz w:val="24"/>
          <w:szCs w:val="24"/>
          <w:rtl/>
        </w:rPr>
        <w:t>الطابع الشخصي للنصوص النظامية وحدودها في البيئة الرقمية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تقوم البنية النصية للنظام على مبدأ "الشخص الطبيعي" كمركز رئيس في ممارسة المهنة، إذ تُوجّه جميع الالتزامات والحقوق إلى المحامي بصفته الفردية، دون أن تتوسع لتشمل الكيانات التقنية أو المنصات الرقمية التي أصبحت اليوم جزءًا من الممارسة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فالنظام يربط المهنة بالأهلية الشخصية والمعرفة القانونية والخبرة العملية، لكنه لا يتعامل مع الذكاء الاصطناعي بوصفه مكوّنًا جديدًا في عملية إنتاج الخدمة القانونية</w:t>
      </w:r>
      <w:r>
        <w:rPr>
          <w:rFonts w:asciiTheme="majorBidi" w:hAnsiTheme="majorBidi" w:cstheme="majorBidi"/>
          <w:color w:val="000000" w:themeColor="text1"/>
          <w:sz w:val="24"/>
          <w:szCs w:val="24"/>
        </w:rPr>
        <w:t>.</w:t>
      </w:r>
    </w:p>
    <w:p w14:paraId="40839240" w14:textId="77777777" w:rsidR="006F4E03" w:rsidRPr="006F4E03" w:rsidRDefault="006F4E03" w:rsidP="006F4E03">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في المقابل، تعتمد مكاتب المحاماة الحديثة على نظم إدارة القضايا الإلكترونية، ومنصات توليد العقود، وبرامج التحليل القانوني المدعومة بالذكاء الاصطناعي. وهذه الأدوات أصبحت تؤدي أدوارًا تتجاوز المساعدة التقنية إلى الإسهام في اتخاذ القرار القانوني نفسه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هذا التباين بين الطابع الشخصي للنظام والطابع التشاركي للتقنيات الحديثة يكشف عن فجوة مفهومية داخل البناء النصي للنظام، حيث يُفترض أن يُعاد تعريف مفهوم "الممارسة القانونية" ليشمل الوسائل الرقمية التي يباشر من خلالها المحامي عمله</w:t>
      </w:r>
      <w:r>
        <w:rPr>
          <w:rFonts w:asciiTheme="majorBidi" w:hAnsiTheme="majorBidi" w:cstheme="majorBidi"/>
          <w:color w:val="000000" w:themeColor="text1"/>
          <w:sz w:val="24"/>
          <w:szCs w:val="24"/>
        </w:rPr>
        <w:t>.</w:t>
      </w:r>
    </w:p>
    <w:p w14:paraId="128E85F5" w14:textId="77777777" w:rsidR="006F4E03" w:rsidRPr="006F4E03" w:rsidRDefault="006F4E03"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أوضحت دراسة إسماعيل</w:t>
      </w:r>
      <w:r>
        <w:rPr>
          <w:rStyle w:val="af"/>
          <w:rFonts w:asciiTheme="majorBidi" w:hAnsiTheme="majorBidi" w:cstheme="majorBidi"/>
          <w:color w:val="000000" w:themeColor="text1"/>
          <w:sz w:val="24"/>
          <w:szCs w:val="24"/>
          <w:rtl/>
        </w:rPr>
        <w:footnoteReference w:id="62"/>
      </w:r>
      <w:r>
        <w:rPr>
          <w:rFonts w:asciiTheme="majorBidi" w:hAnsiTheme="majorBidi" w:cstheme="majorBidi"/>
          <w:color w:val="000000" w:themeColor="text1"/>
          <w:sz w:val="24"/>
          <w:szCs w:val="24"/>
          <w:rtl/>
        </w:rPr>
        <w:t xml:space="preserve"> حول المهن القانونية أن الأنظمة الحديثة في بعض الدول (كالاتحاد الأوروبي والإمارات) بدأت تُدخل في تعريف المهنة "الأدوات التقنية المساعدة" وتنظم مسؤوليتها القانونية والأخلاقية، وهو ما لا يزال غائبًا عن الصياغة السعودية الحالية</w:t>
      </w:r>
      <w:r>
        <w:rPr>
          <w:rFonts w:asciiTheme="majorBidi" w:hAnsiTheme="majorBidi" w:cstheme="majorBidi"/>
          <w:color w:val="000000" w:themeColor="text1"/>
          <w:sz w:val="24"/>
          <w:szCs w:val="24"/>
        </w:rPr>
        <w:t>.</w:t>
      </w:r>
    </w:p>
    <w:p w14:paraId="00B5C047" w14:textId="77777777" w:rsidR="00085940" w:rsidRDefault="006F4E03" w:rsidP="00085940">
      <w:pPr>
        <w:jc w:val="right"/>
        <w:rPr>
          <w:rFonts w:asciiTheme="majorBidi" w:hAnsiTheme="majorBidi" w:cstheme="majorBidi"/>
          <w:b/>
          <w:bCs/>
          <w:color w:val="000000" w:themeColor="text1"/>
          <w:sz w:val="24"/>
          <w:szCs w:val="24"/>
          <w:rtl/>
        </w:rPr>
      </w:pPr>
      <w:r>
        <w:rPr>
          <w:rFonts w:asciiTheme="majorBidi" w:hAnsiTheme="majorBidi" w:cstheme="majorBidi" w:hint="cs"/>
          <w:b/>
          <w:bCs/>
          <w:color w:val="000000" w:themeColor="text1"/>
          <w:sz w:val="24"/>
          <w:szCs w:val="24"/>
          <w:rtl/>
        </w:rPr>
        <w:t xml:space="preserve">3- </w:t>
      </w:r>
      <w:r>
        <w:rPr>
          <w:rFonts w:asciiTheme="majorBidi" w:hAnsiTheme="majorBidi" w:cstheme="majorBidi"/>
          <w:b/>
          <w:bCs/>
          <w:color w:val="000000" w:themeColor="text1"/>
          <w:sz w:val="24"/>
          <w:szCs w:val="24"/>
          <w:rtl/>
        </w:rPr>
        <w:t>غياب المفاهيم الرقمية في الهيكل النصي للنظام</w:t>
      </w:r>
    </w:p>
    <w:p w14:paraId="579E2714"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lastRenderedPageBreak/>
        <w:t>ويدعم هذا الطرح ما أورده إسماعيل (2025م) من أن أنظمة المهن القانونية في الدول العربية تفتقر في مجملها إلى تعريف تشريعي صريح للأدوات التقنية المساعدة، مما يجعلها عاجزة عن ملاحقة التحولات الرقمية التي تعيشها مكاتب المحاماة، ويفسح المجال لاجتهادات قضائية متباينة في التعامل مع مخرجات هذه الأدوات.</w:t>
      </w:r>
      <w:r w:rsidRPr="00000001">
        <w:rPr>
          <w:rtl/>
        </w:rPr>
        <w:footnoteReference w:id="63"/>
      </w:r>
    </w:p>
    <w:p w14:paraId="694E0873" w14:textId="77777777" w:rsidR="00085940" w:rsidRPr="00085940" w:rsidRDefault="00085940" w:rsidP="002A34EF">
      <w:pPr>
        <w:jc w:val="right"/>
        <w:rPr>
          <w:rFonts w:asciiTheme="majorBidi" w:hAnsiTheme="majorBidi" w:cstheme="majorBidi"/>
          <w:color w:val="000000" w:themeColor="text1"/>
        </w:rPr>
      </w:pPr>
      <w:r>
        <w:rPr>
          <w:rFonts w:ascii="Times New Roman" w:eastAsia="Times New Roman" w:hAnsi="Times New Roman" w:cs="Times New Roman"/>
          <w:sz w:val="24"/>
          <w:szCs w:val="24"/>
          <w:rtl/>
        </w:rPr>
        <w:t xml:space="preserve"> </w:t>
      </w:r>
      <w:r>
        <w:rPr>
          <w:rFonts w:asciiTheme="majorBidi" w:hAnsiTheme="majorBidi" w:cstheme="majorBidi"/>
          <w:color w:val="000000" w:themeColor="text1"/>
          <w:rtl/>
        </w:rPr>
        <w:t>من الملاحظ أن نظام المحاماة لم يتضمن أي تعريفات أو إشارات إلى مفاهيم أصبحت اليوم أساسية في الممارسة القانونية الرقمية، مثل البيانات القانونية، الخصوصية، الأمن السيبراني، أو الذكاء الاصطناعي القانوني. ويُعدّ هذا الغياب أحد أهم مظاهر القصور في البنية النصية للنظام، ولا سيما أن المهنة باتت تعتمد اعتمادًا جوهريًا على إدارة معلومات حساسة داخل بيئات إلكترونية</w:t>
      </w:r>
      <w:r>
        <w:rPr>
          <w:rFonts w:asciiTheme="majorBidi" w:hAnsiTheme="majorBidi" w:cstheme="majorBidi"/>
          <w:color w:val="000000" w:themeColor="text1"/>
        </w:rPr>
        <w:t>.</w:t>
      </w:r>
    </w:p>
    <w:p w14:paraId="71A71571"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ويمكن تعليل هذا الغياب جزئيًا بما ذكره محمود وعناني (د.ت) من أن المنظومات القانونية التقليدية تتسم بالمحافظة الهيكلية، إذ تُقاوم إدراج المصطلحات التقنية الناشئة في نصوصها التشريعية حتى بعد شيوع هذه التقنيات استخدامًا، وهو ما يجعل التشريعات القائمة دومًا في حالة تأخر بنيوي عن الواقع الرقمي.</w:t>
      </w:r>
      <w:r w:rsidRPr="00000001">
        <w:rPr>
          <w:rtl/>
        </w:rPr>
        <w:footnoteReference w:id="64"/>
      </w:r>
    </w:p>
    <w:p w14:paraId="31EE7EF2" w14:textId="77777777" w:rsidR="00085940" w:rsidRPr="00085940" w:rsidRDefault="00085940"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وتبرز هنا أهمية الربط بين نظام المحاماة والأنظمة المكملة مثل نظام حماية البيانات الشخصية ونظام الإثبات ونظام المعاملات المدنية. فبينما وضعت هذه الأنظمة ضوابط واضحة للتعامل مع المعلومات الرقمية، ظل نظام المحاماة يفتقر إلى النصوص التي تحدد التزامات المحامي عند التعامل مع قواعد البيانات، أو عند استخدام أدوات تحليل ذكية لمعالجة وثائق الموكلين</w:t>
      </w:r>
      <w:r>
        <w:rPr>
          <w:rFonts w:asciiTheme="majorBidi" w:hAnsiTheme="majorBidi" w:cstheme="majorBidi"/>
          <w:color w:val="000000" w:themeColor="text1"/>
          <w:sz w:val="24"/>
          <w:szCs w:val="24"/>
        </w:rPr>
        <w:t>.</w:t>
      </w:r>
    </w:p>
    <w:p w14:paraId="2588DD29" w14:textId="77777777" w:rsidR="00085940" w:rsidRPr="00085940" w:rsidRDefault="00085940"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وقد بينت </w:t>
      </w:r>
      <w:r>
        <w:rPr>
          <w:rFonts w:asciiTheme="majorBidi" w:hAnsiTheme="majorBidi" w:cstheme="majorBidi"/>
          <w:b/>
          <w:bCs/>
          <w:color w:val="000000" w:themeColor="text1"/>
          <w:sz w:val="24"/>
          <w:szCs w:val="24"/>
          <w:rtl/>
        </w:rPr>
        <w:t>وثيقة مبادئ أخلاقيات الذكاء الاصطناعي</w:t>
      </w:r>
      <w:r>
        <w:rPr>
          <w:rFonts w:asciiTheme="majorBidi" w:hAnsiTheme="majorBidi" w:cstheme="majorBidi"/>
          <w:color w:val="000000" w:themeColor="text1"/>
          <w:sz w:val="24"/>
          <w:szCs w:val="24"/>
          <w:rtl/>
        </w:rPr>
        <w:t xml:space="preserve"> الصادرة عن الهيئة السعودية للبيانات والذكاء الاصطناعي (سدايا) لعام 2023 أن الالتزام بالشفافية والمساءلة والخصوصية يجب أن يكون مبدأً عامًا في القطاعات التي تستخدم تقنيات الذكاء الاصطناعي، وفي مقدمتها القطاعات العدلية والقانونية</w:t>
      </w:r>
      <w:r>
        <w:rPr>
          <w:rFonts w:asciiTheme="majorBidi" w:hAnsiTheme="majorBidi" w:cstheme="majorBidi"/>
          <w:color w:val="000000" w:themeColor="text1"/>
          <w:sz w:val="24"/>
          <w:szCs w:val="24"/>
        </w:rPr>
        <w:t>.</w:t>
      </w:r>
    </w:p>
    <w:p w14:paraId="0E99402B" w14:textId="77777777" w:rsidR="00085940" w:rsidRPr="00085940" w:rsidRDefault="00085940" w:rsidP="002A34E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وانطلاقًا من ذلك، فإن معالجة هذا القصور لا تقتصر على مجرد الإشارة إلى غياب المفاهيم الرقمية، بل تستلزم اقتراح تعديلات عملية على النظام يمكن أن تسهم في بناء إطار تنظيمي أكثر شمولًا يتواءم مع بيئة العمل القانونية الحديثة. ومن أبرز المقترحات العملية التي يمكن تضمينها في النظام</w:t>
      </w:r>
      <w:r>
        <w:rPr>
          <w:rFonts w:asciiTheme="majorBidi" w:hAnsiTheme="majorBidi" w:cstheme="majorBidi"/>
          <w:b/>
          <w:bCs/>
          <w:color w:val="000000" w:themeColor="text1"/>
          <w:sz w:val="24"/>
          <w:szCs w:val="24"/>
        </w:rPr>
        <w:t>:</w:t>
      </w:r>
    </w:p>
    <w:p w14:paraId="283F7608" w14:textId="77777777" w:rsidR="00085940" w:rsidRPr="00085940" w:rsidRDefault="00085940" w:rsidP="002A34EF">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إضافة تعريفات نظامية جديدة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تضمين فصل تعريفي يشمل مصطلحات مثل</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البيانات القانونية الرقمية</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المعالجة الإلكترونية للمعلومات</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الأمن السيبراني القانوني</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أدوات الذكاء الاصطناعي القانونية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وهو ما يسهّل ضبط الالتزامات المهنية للمحامي عند ممارسة أعماله التقنية</w:t>
      </w:r>
      <w:r>
        <w:rPr>
          <w:rFonts w:asciiTheme="majorBidi" w:hAnsiTheme="majorBidi" w:cstheme="majorBidi"/>
          <w:color w:val="000000" w:themeColor="text1"/>
          <w:sz w:val="24"/>
          <w:szCs w:val="24"/>
        </w:rPr>
        <w:t>.</w:t>
      </w:r>
    </w:p>
    <w:p w14:paraId="259FE487"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ضوء هذا التحليل، خلص المعلم إلى أن وثيقة مبادئ أخلاقيات الذكاء الاصطناعي تُمثّل نقطة انطلاق صالحة لإعادة تعريف المسؤولية المهنية في العصر الرقمي، إلا أنه يُلاحظ أن الوثيقة تُعالج الذكاء الاصطناعي بوصفه أداة تقنية عامة لا بوصفه عنصراً فاعلاً في منظومة تقديم الخدمات القانونية، وهو ما يُستوجب معه صياغة وثيقة متخصصة للقطاع القانوني تُراعي خصوصيات السرية والحياد والنزاهة.</w:t>
      </w:r>
      <w:r w:rsidRPr="00000002">
        <w:rPr>
          <w:rtl/>
        </w:rPr>
        <w:footnoteReference w:id="65"/>
      </w:r>
    </w:p>
    <w:p w14:paraId="020EDDCC"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lastRenderedPageBreak/>
        <w:t>وفيما يتعلق بالبيانات القانونية الرقمية المتعلقة بأحكام القضاء، نبّه العرشاني إلى إشكالية الاستخدام الثانوي لهذه البيانات في تدريب نماذج الذكاء الاصطناعي، مُشيراً إلى أن كثيراً من الشركات التقنية تُوظّف البيانات التي يُدخلها المحامون في أنظمتها لتحسين نماذجها دون إخطار واضح، وهو ما يُمثّل انتهاكاً محتملاً لمبدأ السرية المهنية حتى لو كانت الشروط والأحكام تُجيز ذلك ضمنياً.</w:t>
      </w:r>
      <w:r w:rsidRPr="00000002">
        <w:rPr>
          <w:rtl/>
        </w:rPr>
        <w:footnoteReference w:id="66"/>
      </w:r>
    </w:p>
    <w:p w14:paraId="0F5F8AEB"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وبصدد إضافة تعريفات نظامية جديدة، أوضحت عبد الرحمن أن التشريعات العربية تعتمد في معالجة المستجدات التقنية على أحد مسارين: مسار التعديل التشريعي المباشر الذي يستلزم وقتاً تشريعياً طويلاً، ومسار اللوائح التنفيذية التي تتيح مرونة أعلى وسرعة استجابة أكبر للمتغيرات التقنية، مُقترِحةً أن يسلك النظام السعودي المسار الثاني في المرحلة الراهنة مع التهيؤ للتعديل التشريعي على المدى البعيد.</w:t>
      </w:r>
      <w:r w:rsidRPr="00000002">
        <w:rPr>
          <w:rtl/>
        </w:rPr>
        <w:footnoteReference w:id="67"/>
      </w:r>
    </w:p>
    <w:p w14:paraId="5F610880"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وفيما يخص البيانات القانونية الرقمية التي تُغذّي أنظمة الذكاء الاصطناعي المستخدمة في المحاماة، ألحّت الخميسي على أهمية التمييز بين بيانات محمية بالسرية المهنية لا يجوز إدخالها في منصات مفتوحة، وبيانات عامة يمكن توظيفها دون انتهاك الخصوصية، وبيانات مجهولة الهوية تخضع لاشتراطات دنيا قبل توظيفها في التدريب الآلي.</w:t>
      </w:r>
      <w:r w:rsidRPr="00000001">
        <w:rPr>
          <w:rtl/>
        </w:rPr>
        <w:footnoteReference w:id="68"/>
      </w:r>
    </w:p>
    <w:p w14:paraId="28901102"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سياق إضافة تعريفات نظامية جديدة تستوعب التطور التقني، اقترحت الأمين مجموعة من المفاهيم الجديرة بالتدوين التشريعي، أبرزها: مفهوم المسؤولية المُشتركة حين يتدخل الذكاء الاصطناعي في صياغة عقد قانوني، ومفهوم الإفصاح التقني الذي يُلزم المحامي بإبلاغ موكله باستخدام هذه الأنظمة، ومفهوم ضمان الجودة الخوارزمية المتعلق بالتحقق من دقة المخرجات قبل تقديمها.</w:t>
      </w:r>
      <w:r w:rsidRPr="00000001">
        <w:rPr>
          <w:rtl/>
        </w:rPr>
        <w:footnoteReference w:id="69"/>
      </w:r>
    </w:p>
    <w:p w14:paraId="39E952E4" w14:textId="77777777" w:rsidR="00085940" w:rsidRPr="00085940" w:rsidRDefault="00085940" w:rsidP="0008594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النص على “المسؤولية الرقمية للمحامي</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بحيث يلتزم المحامي بحماية البيانات، وتأمين أنظمة مكتبه التقنية، وضمان سلامة معالجة المستندات عبر المنصات الذكية، وربط الإخلال بهذه الالتزامات بالمسؤولية التأديبية والمهنية</w:t>
      </w:r>
      <w:r>
        <w:rPr>
          <w:rFonts w:asciiTheme="majorBidi" w:hAnsiTheme="majorBidi" w:cstheme="majorBidi"/>
          <w:color w:val="000000" w:themeColor="text1"/>
          <w:sz w:val="24"/>
          <w:szCs w:val="24"/>
        </w:rPr>
        <w:t>.</w:t>
      </w:r>
    </w:p>
    <w:p w14:paraId="471DD483" w14:textId="77777777" w:rsidR="00085940" w:rsidRPr="00085940" w:rsidRDefault="00085940" w:rsidP="0008594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إدراج مفهوم “السرية التقنية للمعلومات القانونية</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بحيث لا تقتصر السرية على حفظ المستندات ورقيًا، بل تمتد إلى حماية المعلومات المخزنة على الأجهزة، والسحابات الإلكترونية، وقواعد البيانات التي تُستخدم في أعمال المكتب</w:t>
      </w:r>
      <w:r>
        <w:rPr>
          <w:rFonts w:asciiTheme="majorBidi" w:hAnsiTheme="majorBidi" w:cstheme="majorBidi"/>
          <w:color w:val="000000" w:themeColor="text1"/>
          <w:sz w:val="24"/>
          <w:szCs w:val="24"/>
        </w:rPr>
        <w:t>.</w:t>
      </w:r>
    </w:p>
    <w:p w14:paraId="5E6E7DB4" w14:textId="77777777" w:rsidR="00085940" w:rsidRPr="00085940" w:rsidRDefault="00085940" w:rsidP="0008594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تضمين نصوص تنظّم استخدام أدوات 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مثل اشتراط</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الالتزام بالشفافية عند استخدام الأدوات الذكية في إعداد مذكرات أو تحليل مستندات</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عدم الاعتماد الكلّي على المخرجات الآلية دون مراجعة بشرية</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ضمان عدم إرسال بيانات الموكلين إلى أدوات أو منصات لا تلتزم بضوابط الخصوصية</w:t>
      </w:r>
      <w:r>
        <w:rPr>
          <w:rFonts w:asciiTheme="majorBidi" w:hAnsiTheme="majorBidi" w:cstheme="majorBidi"/>
          <w:color w:val="000000" w:themeColor="text1"/>
          <w:sz w:val="24"/>
          <w:szCs w:val="24"/>
        </w:rPr>
        <w:t>.</w:t>
      </w:r>
    </w:p>
    <w:p w14:paraId="4FD9539B" w14:textId="77777777" w:rsidR="00085940" w:rsidRPr="00085940" w:rsidRDefault="00085940" w:rsidP="0008594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إنشاء إطار رقابي مهني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يتضمن إصدار “مدونة سلوك رقمي للمحامين” تشرف عليها وزارة العدل، تُحدّد معايير الاستخدام الأخلاقي للتقنيات، ومعايير حفظ البيانات، والتعامل مع المخاطر التقنية داخل مكاتب المحاماة</w:t>
      </w:r>
      <w:r>
        <w:rPr>
          <w:rFonts w:asciiTheme="majorBidi" w:hAnsiTheme="majorBidi" w:cstheme="majorBidi"/>
          <w:color w:val="000000" w:themeColor="text1"/>
          <w:sz w:val="24"/>
          <w:szCs w:val="24"/>
        </w:rPr>
        <w:t>.</w:t>
      </w:r>
    </w:p>
    <w:p w14:paraId="5F694CC1" w14:textId="77777777" w:rsidR="006F4E03" w:rsidRPr="006F4E03" w:rsidRDefault="00C00F5F" w:rsidP="006F4E03">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lastRenderedPageBreak/>
        <w:t xml:space="preserve">4- </w:t>
      </w:r>
      <w:r>
        <w:rPr>
          <w:rFonts w:asciiTheme="majorBidi" w:hAnsiTheme="majorBidi" w:cstheme="majorBidi"/>
          <w:b/>
          <w:bCs/>
          <w:color w:val="000000" w:themeColor="text1"/>
          <w:sz w:val="24"/>
          <w:szCs w:val="24"/>
          <w:rtl/>
        </w:rPr>
        <w:t>القابلية البنيوية للتحديث التشريعي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على الرغم من الطابع التقليدي للنظام، إلا أن بنيته التشريعية قابلة للتطوير والتحديث دون الإخلال بجوهره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فالنظام يتميز بأنه قائم على مبادئ عامة وليس على تفصيلات جامدة، مما يمنح المشرع مرونة في إدخال التعديلات اللازمة لمواكبة التحول الرقمي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وقد استُخدمت هذه المرونة سابقًا في تطوير اللوائح التنفيذية للنظام، مثل إضافة أحكام تتعلق بالقيد الإلكتروني للمحامين أو التعامل مع السجلات الرقمية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ويُتوقع أن تكون المرحلة المقبلة فرصة لإدخال نصوص جديدة تنظم العلاقة بين مكاتب المحاماة والتقنيات القانونية، وتحدد شروط استخدام الأنظمة الذكية في أعمال الاستشارات والصياغة والتحليل القانوني</w:t>
      </w:r>
      <w:r>
        <w:rPr>
          <w:rFonts w:asciiTheme="majorBidi" w:hAnsiTheme="majorBidi" w:cstheme="majorBidi"/>
          <w:color w:val="000000" w:themeColor="text1"/>
          <w:sz w:val="24"/>
          <w:szCs w:val="24"/>
        </w:rPr>
        <w:t>.</w:t>
      </w:r>
    </w:p>
    <w:p w14:paraId="65B27415" w14:textId="77777777" w:rsidR="006F4E03" w:rsidRPr="006F4E03" w:rsidRDefault="006F4E03"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ويرى المالكي</w:t>
      </w:r>
      <w:r>
        <w:rPr>
          <w:rStyle w:val="af"/>
          <w:rFonts w:asciiTheme="majorBidi" w:hAnsiTheme="majorBidi" w:cstheme="majorBidi"/>
          <w:color w:val="000000" w:themeColor="text1"/>
          <w:sz w:val="24"/>
          <w:szCs w:val="24"/>
          <w:rtl/>
        </w:rPr>
        <w:footnoteReference w:id="70"/>
      </w:r>
      <w:r>
        <w:rPr>
          <w:rFonts w:asciiTheme="majorBidi" w:hAnsiTheme="majorBidi" w:cstheme="majorBidi"/>
          <w:color w:val="000000" w:themeColor="text1"/>
          <w:sz w:val="24"/>
          <w:szCs w:val="24"/>
          <w:rtl/>
        </w:rPr>
        <w:t xml:space="preserve"> أن نجاح هذا التحديث يعتمد على وجود تصور تشريعي متكامل يراعي التوازن بين التطور التقني وحماية القيم العدلية، بحيث لا يؤدي التطوير إلى تقويض مبدأ المسؤولية الشخصية أو انتهاك سرية البيانات القانونية</w:t>
      </w:r>
      <w:r>
        <w:rPr>
          <w:rFonts w:asciiTheme="majorBidi" w:hAnsiTheme="majorBidi" w:cstheme="majorBidi"/>
          <w:color w:val="000000" w:themeColor="text1"/>
          <w:sz w:val="24"/>
          <w:szCs w:val="24"/>
        </w:rPr>
        <w:t>.</w:t>
      </w:r>
    </w:p>
    <w:p w14:paraId="0A1C4005" w14:textId="77777777" w:rsidR="006F4E03" w:rsidRPr="006F4E03" w:rsidRDefault="006F4E03" w:rsidP="006F4E03">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5- </w:t>
      </w:r>
      <w:r>
        <w:rPr>
          <w:rFonts w:asciiTheme="majorBidi" w:hAnsiTheme="majorBidi" w:cstheme="majorBidi"/>
          <w:b/>
          <w:bCs/>
          <w:color w:val="000000" w:themeColor="text1"/>
          <w:sz w:val="24"/>
          <w:szCs w:val="24"/>
          <w:rtl/>
        </w:rPr>
        <w:t>الحاجة إلى بنية تشريعية متكاملة تربط النظام بالذكاء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إن تحليل البنية النصية لنظام المحاماة يوضح أن التشريع الحالي وضع أساسًا متينًا لضبط المهنة، لكنه لم يبنِ منظومة تقنية تشريعية تستوعب الذكاء الاصطناعي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ومن ثم، فإن الخطوة المستقبلية ليست في استبدال النظام القائم، بل في تطوير بنيته بإضافة </w:t>
      </w:r>
      <w:r>
        <w:rPr>
          <w:rFonts w:asciiTheme="majorBidi" w:hAnsiTheme="majorBidi" w:cstheme="majorBidi"/>
          <w:b/>
          <w:bCs/>
          <w:color w:val="000000" w:themeColor="text1"/>
          <w:sz w:val="24"/>
          <w:szCs w:val="24"/>
          <w:rtl/>
        </w:rPr>
        <w:t>نصوص فرعية تتناول بوضوح</w:t>
      </w:r>
      <w:r>
        <w:rPr>
          <w:rFonts w:asciiTheme="majorBidi" w:hAnsiTheme="majorBidi" w:cstheme="majorBidi" w:hint="cs"/>
          <w:b/>
          <w:bCs/>
          <w:color w:val="000000" w:themeColor="text1"/>
          <w:sz w:val="24"/>
          <w:szCs w:val="24"/>
          <w:rtl/>
        </w:rPr>
        <w:t xml:space="preserve"> بعض هذه النقاط:</w:t>
      </w:r>
    </w:p>
    <w:p w14:paraId="78D0B2FD"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وفي إطار منظومة الإثبات الرقمي، يُقرّ نظام الإثبات السعودي (م43/1443هـ) في مادته السادسة والسبعين بحجية الوسائل الإلكترونية في الإثبات بشروط محددة، وقد أجاز للمحكمة الاستناد إليها في القضايا المنظورة. غير أن الغموض يظل سيد الموقف فيما يتعلق بمخرجات الذكاء الاصطناعي تحديدًا، مما يُفضي إلى سلطة تقديرية واسعة للقاضي ينبغي تأطيرها نظاميًا للحدّ من التباين في الأحكام القضائية.</w:t>
      </w:r>
      <w:r>
        <w:rPr>
          <w:rStyle w:val="af"/>
          <w:rFonts w:asciiTheme="majorBidi" w:hAnsiTheme="majorBidi" w:cstheme="majorBidi"/>
          <w:sz w:val="24"/>
          <w:szCs w:val="24"/>
          <w:rtl/>
        </w:rPr>
        <w:footnoteReference w:id="71"/>
      </w:r>
    </w:p>
    <w:p w14:paraId="796F966F" w14:textId="77777777" w:rsidR="006F4E03" w:rsidRPr="006F4E03" w:rsidRDefault="006F4E03">
      <w:pPr>
        <w:numPr>
          <w:ilvl w:val="0"/>
          <w:numId w:val="6"/>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تعريف التقنية القانونية وأدوات الذكاء الاصطناعي المسموح بها في المهنة</w:t>
      </w:r>
      <w:r>
        <w:rPr>
          <w:rFonts w:asciiTheme="majorBidi" w:hAnsiTheme="majorBidi" w:cstheme="majorBidi"/>
          <w:color w:val="000000" w:themeColor="text1"/>
          <w:sz w:val="24"/>
          <w:szCs w:val="24"/>
        </w:rPr>
        <w:t>.</w:t>
      </w:r>
    </w:p>
    <w:p w14:paraId="48EB0A59" w14:textId="77777777" w:rsidR="006F4E03" w:rsidRPr="006F4E03" w:rsidRDefault="006F4E03">
      <w:pPr>
        <w:numPr>
          <w:ilvl w:val="0"/>
          <w:numId w:val="6"/>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التزامات المحامي عند استخدام هذه الأدوات، من حيث المراجعة والتحقق والمساءلة</w:t>
      </w:r>
      <w:r>
        <w:rPr>
          <w:rFonts w:asciiTheme="majorBidi" w:hAnsiTheme="majorBidi" w:cstheme="majorBidi"/>
          <w:color w:val="000000" w:themeColor="text1"/>
          <w:sz w:val="24"/>
          <w:szCs w:val="24"/>
        </w:rPr>
        <w:t>.</w:t>
      </w:r>
    </w:p>
    <w:p w14:paraId="7BF8D311" w14:textId="77777777" w:rsidR="006F4E03" w:rsidRPr="006F4E03" w:rsidRDefault="006F4E03">
      <w:pPr>
        <w:numPr>
          <w:ilvl w:val="0"/>
          <w:numId w:val="6"/>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معايير حماية البيانات والخصوصية في الأنشطة القانونية الرقمية</w:t>
      </w:r>
      <w:r>
        <w:rPr>
          <w:rFonts w:asciiTheme="majorBidi" w:hAnsiTheme="majorBidi" w:cstheme="majorBidi"/>
          <w:color w:val="000000" w:themeColor="text1"/>
          <w:sz w:val="24"/>
          <w:szCs w:val="24"/>
        </w:rPr>
        <w:t>.</w:t>
      </w:r>
    </w:p>
    <w:p w14:paraId="13C6321B" w14:textId="77777777" w:rsidR="006F4E03" w:rsidRPr="006F4E03" w:rsidRDefault="006F4E03">
      <w:pPr>
        <w:numPr>
          <w:ilvl w:val="0"/>
          <w:numId w:val="6"/>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قواعد المسؤولية النظامية في حال الخطأ التقني أو الإخلال بالسرية المعلوماتية</w:t>
      </w:r>
      <w:r>
        <w:rPr>
          <w:rFonts w:asciiTheme="majorBidi" w:hAnsiTheme="majorBidi" w:cstheme="majorBidi"/>
          <w:color w:val="000000" w:themeColor="text1"/>
          <w:sz w:val="24"/>
          <w:szCs w:val="24"/>
        </w:rPr>
        <w:t>.</w:t>
      </w:r>
    </w:p>
    <w:p w14:paraId="357D0442" w14:textId="77777777" w:rsidR="00C00F5F" w:rsidRPr="00BC5F38" w:rsidRDefault="006F4E03" w:rsidP="006F4E03">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هذه البنود تمثل الأساس لبناء الإطار التنظيمي المقترح الذي ستتناوله الفصول اللاحقة في هذه الدراسة، من خلال تصور تشريعي يسعى إلى دمج التقنية ضمن بنية النظام دون الإخلال بمبادئ العدالة أو استقلال المهنة</w:t>
      </w:r>
    </w:p>
    <w:p w14:paraId="181938A3" w14:textId="77777777" w:rsidR="00C00F5F" w:rsidRPr="00BC5F38" w:rsidRDefault="00C00F5F" w:rsidP="00D41CB7">
      <w:pPr>
        <w:rPr>
          <w:rFonts w:asciiTheme="majorBidi" w:hAnsiTheme="majorBidi" w:cstheme="majorBidi"/>
          <w:color w:val="000000" w:themeColor="text1"/>
          <w:sz w:val="24"/>
          <w:szCs w:val="24"/>
        </w:rPr>
      </w:pPr>
    </w:p>
    <w:p w14:paraId="1A9E84D5" w14:textId="77777777" w:rsidR="00C00F5F" w:rsidRPr="00C00F5F" w:rsidRDefault="00C00F5F" w:rsidP="00C00F5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رابعًا: نطاق عمل المحامي في ضوء النظام وتأثره بالذكاء الاصطناعي</w:t>
      </w:r>
    </w:p>
    <w:p w14:paraId="4E5A9B05"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 xml:space="preserve">ويُعدّ تأثير الذكاء الاصطناعي على المهن القانونية من أبرز التحولات التي رصدتها الدراسات الأكاديمية الحديثة؛ إذ أكد إسماعيل في دراسته الصادرة عن مجلة الباحث العربي عام 2025م أن عدة مهن باتت تعتمد اعتمادًا متصاعدًا على تقنيات الذكاء الاصطناعي، وفي مقدمتها مهن المحاماة والقضاء، مستعرضًا جملة من النماذج </w:t>
      </w:r>
      <w:r>
        <w:rPr>
          <w:rFonts w:asciiTheme="majorBidi" w:hAnsiTheme="majorBidi" w:cstheme="majorBidi"/>
          <w:sz w:val="24"/>
          <w:szCs w:val="24"/>
          <w:rtl/>
        </w:rPr>
        <w:lastRenderedPageBreak/>
        <w:t>التطبيقية الدولية التي كرّست الذكاء الاصطناعي في البيئة القانونية، وخلص إلى أن ثمة مزايا جوهرية لهذا التوظيف، غير أنه يصطحب معه تحديات هيكلية تستلزم ضبطًا مؤسسيًا واضحًا.</w:t>
      </w:r>
      <w:r>
        <w:rPr>
          <w:rStyle w:val="af"/>
          <w:rFonts w:asciiTheme="majorBidi" w:hAnsiTheme="majorBidi" w:cstheme="majorBidi"/>
          <w:sz w:val="24"/>
          <w:szCs w:val="24"/>
          <w:rtl/>
        </w:rPr>
        <w:footnoteReference w:id="72"/>
      </w:r>
    </w:p>
    <w:p w14:paraId="04F9FF23" w14:textId="77777777" w:rsidR="00C00F5F" w:rsidRPr="00C00F5F" w:rsidRDefault="00C00F5F" w:rsidP="00D41CB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تحديد نطاق العمل النظامي للمحامي</w:t>
      </w:r>
      <w:r>
        <w:rPr>
          <w:rFonts w:asciiTheme="majorBidi" w:hAnsiTheme="majorBidi" w:cstheme="majorBidi" w:hint="cs"/>
          <w:b/>
          <w:bCs/>
          <w:color w:val="000000" w:themeColor="text1"/>
          <w:sz w:val="24"/>
          <w:szCs w:val="24"/>
          <w:rtl/>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نص نظام المحاماة في مادته الثالثة على أن مهنة المحاماة تشمل الترافع عن الخصوم، وتقديم الاستشارات النظامية والشرعية، وصياغة العقود، ومتابعة الإجراءات أمام الجهات القضائية والإدارية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وهذا التعريف الواسع يعكس رؤية المشرع لدور المحامي بوصفه الممثل القانوني المتكامل للموكل في جميع مراحل النزاع أو المعاملة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وقد أوضحت رسالة فاطمة بلال</w:t>
      </w:r>
      <w:r>
        <w:rPr>
          <w:rStyle w:val="af"/>
          <w:rFonts w:asciiTheme="majorBidi" w:hAnsiTheme="majorBidi" w:cstheme="majorBidi"/>
          <w:color w:val="000000" w:themeColor="text1"/>
          <w:sz w:val="24"/>
          <w:szCs w:val="24"/>
          <w:rtl/>
        </w:rPr>
        <w:footnoteReference w:id="73"/>
      </w:r>
      <w:r>
        <w:rPr>
          <w:rFonts w:asciiTheme="majorBidi" w:hAnsiTheme="majorBidi" w:cstheme="majorBidi"/>
          <w:color w:val="000000" w:themeColor="text1"/>
          <w:sz w:val="24"/>
          <w:szCs w:val="24"/>
          <w:rtl/>
        </w:rPr>
        <w:t xml:space="preserve"> حول </w:t>
      </w:r>
      <w:r>
        <w:rPr>
          <w:rFonts w:asciiTheme="majorBidi" w:hAnsiTheme="majorBidi" w:cstheme="majorBidi"/>
          <w:i/>
          <w:iCs/>
          <w:color w:val="000000" w:themeColor="text1"/>
          <w:sz w:val="24"/>
          <w:szCs w:val="24"/>
          <w:rtl/>
        </w:rPr>
        <w:t>دور الذكاء الاصطناعي في تعزيز العدالة الناجزة</w:t>
      </w:r>
      <w:r>
        <w:rPr>
          <w:rFonts w:asciiTheme="majorBidi" w:hAnsiTheme="majorBidi" w:cstheme="majorBidi"/>
          <w:color w:val="000000" w:themeColor="text1"/>
          <w:sz w:val="24"/>
          <w:szCs w:val="24"/>
          <w:rtl/>
        </w:rPr>
        <w:t xml:space="preserve"> أن طبيعة المهام القانونية في المملكة اتسعت لتشمل أعمالًا تحليلية واستشارية تعتمد على التكنولوجيا، خصوصًا في مراحل إعداد المستندات ومراجعتها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ويعني ذلك أن نطاق عمل المحامي أصبح أكثر تعقيدًا وتداخلًا مع الوسائل التقنية الحديثة، مما يتطلب إعادة نظر في كيفية تنظيم الأدوات التي تُستخدم في أداء هذه المهام</w:t>
      </w:r>
      <w:r>
        <w:rPr>
          <w:rFonts w:asciiTheme="majorBidi" w:hAnsiTheme="majorBidi" w:cstheme="majorBidi"/>
          <w:color w:val="000000" w:themeColor="text1"/>
          <w:sz w:val="24"/>
          <w:szCs w:val="24"/>
        </w:rPr>
        <w:t>.</w:t>
      </w:r>
    </w:p>
    <w:p w14:paraId="05BD9FE9" w14:textId="77777777" w:rsidR="00C00F5F" w:rsidRPr="00C00F5F" w:rsidRDefault="00C00F5F" w:rsidP="00D41CB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التحول من العمل الورقي إلى العمل الرقمي</w:t>
      </w:r>
      <w:r>
        <w:rPr>
          <w:rFonts w:asciiTheme="majorBidi" w:hAnsiTheme="majorBidi" w:cstheme="majorBidi" w:hint="cs"/>
          <w:b/>
          <w:bCs/>
          <w:color w:val="000000" w:themeColor="text1"/>
          <w:sz w:val="24"/>
          <w:szCs w:val="24"/>
          <w:rtl/>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مع دخول الذكاء الاصطناعي في البيئة العدلية السعودية، تحوّل جزء كبير من أعمال المحامي من الورق والمرافعات الحضورية إلى أنظمة رقمية متكاملة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فاليوم تُرفع الدعاوى إلكترونيًا عبر منصة ناجز، وتُدار القضايا رقمياً، ويُقدَّم كثير من الطلبات إلكترونيًا دون حضور فعلي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وقد أظهرت دراسة المركز السعودي للأبحاث القضائية حول </w:t>
      </w:r>
      <w:r>
        <w:rPr>
          <w:rFonts w:asciiTheme="majorBidi" w:hAnsiTheme="majorBidi" w:cstheme="majorBidi"/>
          <w:i/>
          <w:iCs/>
          <w:color w:val="000000" w:themeColor="text1"/>
          <w:sz w:val="24"/>
          <w:szCs w:val="24"/>
          <w:rtl/>
        </w:rPr>
        <w:t>استخدام الذكاء الاصطناعي في المحاكم</w:t>
      </w:r>
      <w:r>
        <w:rPr>
          <w:rFonts w:asciiTheme="majorBidi" w:hAnsiTheme="majorBidi" w:cstheme="majorBidi"/>
          <w:color w:val="000000" w:themeColor="text1"/>
          <w:sz w:val="24"/>
          <w:szCs w:val="24"/>
          <w:rtl/>
        </w:rPr>
        <w:t xml:space="preserve"> أن 92٪ من الخدمات العدلية باتت تُقدّم إلكترونيًا، مما جعل المهارات التقنية للمحامي عنصرًا أساسيًا في كفاءته المهنية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إلا أن هذا التحول الرقمي أوجد إشكالات جديدة، مثل تحديد المسؤولية عن الخطأ التقني في المعاملات، ومدى حجية المستندات الإلكترونية أمام القضاء، وهي مسائل لم يعالجها النظام بصياغة واضحة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وتؤكد رسالة الغنامي</w:t>
      </w:r>
      <w:r>
        <w:rPr>
          <w:rStyle w:val="af"/>
          <w:rFonts w:asciiTheme="majorBidi" w:hAnsiTheme="majorBidi" w:cstheme="majorBidi"/>
          <w:color w:val="000000" w:themeColor="text1"/>
          <w:sz w:val="24"/>
          <w:szCs w:val="24"/>
          <w:rtl/>
        </w:rPr>
        <w:footnoteReference w:id="74"/>
      </w:r>
      <w:r>
        <w:rPr>
          <w:rFonts w:asciiTheme="majorBidi" w:hAnsiTheme="majorBidi" w:cstheme="majorBidi"/>
          <w:color w:val="000000" w:themeColor="text1"/>
          <w:sz w:val="24"/>
          <w:szCs w:val="24"/>
          <w:rtl/>
        </w:rPr>
        <w:t xml:space="preserve"> حول </w:t>
      </w:r>
      <w:r>
        <w:rPr>
          <w:rFonts w:asciiTheme="majorBidi" w:hAnsiTheme="majorBidi" w:cstheme="majorBidi"/>
          <w:i/>
          <w:iCs/>
          <w:color w:val="000000" w:themeColor="text1"/>
          <w:sz w:val="24"/>
          <w:szCs w:val="24"/>
          <w:rtl/>
        </w:rPr>
        <w:t>الضوابط القانونية للذكاء الاصطناعي في المعاملات القانونية</w:t>
      </w:r>
      <w:r>
        <w:rPr>
          <w:rFonts w:asciiTheme="majorBidi" w:hAnsiTheme="majorBidi" w:cstheme="majorBidi"/>
          <w:color w:val="000000" w:themeColor="text1"/>
          <w:sz w:val="24"/>
          <w:szCs w:val="24"/>
          <w:rtl/>
        </w:rPr>
        <w:t xml:space="preserve"> أن البيئة العدلية السعودية بحاجة إلى تحديث تشريعي يواكب هذا التحول، ويضع معايير واضحة لاستخدام الأنظمة الذكية في الإجراءات القانونية</w:t>
      </w:r>
      <w:r>
        <w:rPr>
          <w:rFonts w:asciiTheme="majorBidi" w:hAnsiTheme="majorBidi" w:cstheme="majorBidi"/>
          <w:color w:val="000000" w:themeColor="text1"/>
          <w:sz w:val="24"/>
          <w:szCs w:val="24"/>
        </w:rPr>
        <w:t>.</w:t>
      </w:r>
    </w:p>
    <w:p w14:paraId="56AC57FA" w14:textId="77777777" w:rsidR="00C00F5F" w:rsidRPr="00C00F5F" w:rsidRDefault="00C00F5F" w:rsidP="00C00F5F">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المجالات العملية المتأثرة بالذكاء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يُعدّ نطاق عمل المحامي من أكثر المجالات القابلة للتأثر المباشر بالتقنيات الذكية، إذ بدأت التطبيقات الحديثة تتغلغل في صميم الأعمال اليومية للمكاتب القانونية، مثل</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2CB803B6" w14:textId="77777777" w:rsidR="00C00F5F" w:rsidRPr="00C00F5F" w:rsidRDefault="00C00F5F">
      <w:pPr>
        <w:numPr>
          <w:ilvl w:val="0"/>
          <w:numId w:val="7"/>
        </w:num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تحليل النصوص القانونية</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من خلال برمجيات قادرة على استخراج السوابق والأحكام ذات الصلة بسرعة عالية</w:t>
      </w:r>
    </w:p>
    <w:p w14:paraId="2A733A8E" w14:textId="77777777" w:rsidR="00C00F5F" w:rsidRPr="00C00F5F" w:rsidRDefault="00C00F5F">
      <w:pPr>
        <w:numPr>
          <w:ilvl w:val="0"/>
          <w:numId w:val="7"/>
        </w:num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صياغة العقود</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عبر أدوات توليد النصوص التي تنتج مسودات مبدئية للعقود اعتمادًا على مدخلات المستخدم</w:t>
      </w:r>
      <w:r>
        <w:rPr>
          <w:rFonts w:asciiTheme="majorBidi" w:hAnsiTheme="majorBidi" w:cstheme="majorBidi"/>
          <w:color w:val="000000" w:themeColor="text1"/>
          <w:sz w:val="24"/>
          <w:szCs w:val="24"/>
        </w:rPr>
        <w:t>.</w:t>
      </w:r>
    </w:p>
    <w:p w14:paraId="219A2078" w14:textId="77777777" w:rsidR="00C00F5F" w:rsidRPr="00C00F5F" w:rsidRDefault="00C00F5F">
      <w:pPr>
        <w:numPr>
          <w:ilvl w:val="0"/>
          <w:numId w:val="7"/>
        </w:num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إدارة القضايا</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باستخدام أنظمة رقمية تسجل المواعيد والمذكرات وتتابع مراحل التقاضي</w:t>
      </w:r>
      <w:r>
        <w:rPr>
          <w:rFonts w:asciiTheme="majorBidi" w:hAnsiTheme="majorBidi" w:cstheme="majorBidi"/>
          <w:color w:val="000000" w:themeColor="text1"/>
          <w:sz w:val="24"/>
          <w:szCs w:val="24"/>
        </w:rPr>
        <w:t>.</w:t>
      </w:r>
    </w:p>
    <w:p w14:paraId="30DC6EFD" w14:textId="77777777" w:rsidR="00C00F5F" w:rsidRPr="00C00F5F" w:rsidRDefault="00C00F5F">
      <w:pPr>
        <w:numPr>
          <w:ilvl w:val="0"/>
          <w:numId w:val="7"/>
        </w:num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التنبؤ بالأحكام</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عبر نماذج تعلم آلي تقيّم احتمالات النجاح في الدعاوى بناءً على بيانات سابقة</w:t>
      </w:r>
      <w:r>
        <w:rPr>
          <w:rFonts w:asciiTheme="majorBidi" w:hAnsiTheme="majorBidi" w:cstheme="majorBidi"/>
          <w:color w:val="000000" w:themeColor="text1"/>
          <w:sz w:val="24"/>
          <w:szCs w:val="24"/>
        </w:rPr>
        <w:t>.</w:t>
      </w:r>
    </w:p>
    <w:p w14:paraId="139AC01F" w14:textId="77777777" w:rsidR="00C00F5F" w:rsidRPr="00C00F5F" w:rsidRDefault="00C00F5F"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وقد أوضح مرسي</w:t>
      </w:r>
      <w:r>
        <w:rPr>
          <w:rStyle w:val="af"/>
          <w:rFonts w:asciiTheme="majorBidi" w:hAnsiTheme="majorBidi" w:cstheme="majorBidi"/>
          <w:color w:val="000000" w:themeColor="text1"/>
          <w:sz w:val="24"/>
          <w:szCs w:val="24"/>
          <w:rtl/>
        </w:rPr>
        <w:footnoteReference w:id="75"/>
      </w:r>
      <w:r>
        <w:rPr>
          <w:rFonts w:asciiTheme="majorBidi" w:hAnsiTheme="majorBidi" w:cstheme="majorBidi"/>
          <w:color w:val="000000" w:themeColor="text1"/>
          <w:sz w:val="24"/>
          <w:szCs w:val="24"/>
          <w:rtl/>
        </w:rPr>
        <w:t xml:space="preserve"> في بحثه </w:t>
      </w:r>
      <w:r>
        <w:rPr>
          <w:rFonts w:asciiTheme="majorBidi" w:hAnsiTheme="majorBidi" w:cstheme="majorBidi"/>
          <w:i/>
          <w:iCs/>
          <w:color w:val="000000" w:themeColor="text1"/>
          <w:sz w:val="24"/>
          <w:szCs w:val="24"/>
          <w:rtl/>
        </w:rPr>
        <w:t>مدى ملاءمة عقود الذكاء الاصطناعي المبرمة عبر تقنية البلوك تشين لقانون العقود</w:t>
      </w:r>
      <w:r>
        <w:rPr>
          <w:rFonts w:asciiTheme="majorBidi" w:hAnsiTheme="majorBidi" w:cstheme="majorBidi"/>
          <w:color w:val="000000" w:themeColor="text1"/>
          <w:sz w:val="24"/>
          <w:szCs w:val="24"/>
          <w:rtl/>
        </w:rPr>
        <w:t xml:space="preserve"> أن هذه الأدوات القانونية الذكية تمثل نقلة نوعية في تنظيم التعاملات، لكنها تثير تساؤلات عميقة حول مدى اعتبارها من قبيل "العمل القانوني" بالمعنى المقصود في نظام المحاماة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فالمحامي في النظام السعودي يُفترض أن يُمارس العمل القانوني شخصيًا، بينما تقوم هذه الأنظمة بأداء مهام تحليلية وصياغية كانت تُعد جزءًا من جوهر المهنة</w:t>
      </w:r>
      <w:r>
        <w:rPr>
          <w:rFonts w:asciiTheme="majorBidi" w:hAnsiTheme="majorBidi" w:cstheme="majorBidi"/>
          <w:color w:val="000000" w:themeColor="text1"/>
          <w:sz w:val="24"/>
          <w:szCs w:val="24"/>
        </w:rPr>
        <w:t>.</w:t>
      </w:r>
    </w:p>
    <w:p w14:paraId="32C9216E" w14:textId="77777777" w:rsidR="00C00F5F" w:rsidRPr="00C00F5F" w:rsidRDefault="00122234" w:rsidP="00D41CB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الذكاء الاصطناعي كمساعد قانوني لا كممارس مهني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يتفق غالب الباحثين السعوديين، ومنهم خالد المالكي ومرام الربيع</w:t>
      </w:r>
      <w:r>
        <w:rPr>
          <w:rStyle w:val="af"/>
          <w:rFonts w:asciiTheme="majorBidi" w:hAnsiTheme="majorBidi" w:cstheme="majorBidi"/>
          <w:color w:val="000000" w:themeColor="text1"/>
          <w:sz w:val="24"/>
          <w:szCs w:val="24"/>
          <w:rtl/>
        </w:rPr>
        <w:footnoteReference w:id="76"/>
      </w:r>
      <w:r>
        <w:rPr>
          <w:rFonts w:asciiTheme="majorBidi" w:hAnsiTheme="majorBidi" w:cstheme="majorBidi"/>
          <w:color w:val="000000" w:themeColor="text1"/>
          <w:sz w:val="24"/>
          <w:szCs w:val="24"/>
          <w:rtl/>
        </w:rPr>
        <w:t>، على أن الذكاء الاصطناعي لا يمكن أن يرقى إلى مرتبة "الممارس القانوني"، لافتقاده الأهلية والتمييز والإرادة، وهي مقومات جوهرية في العمل القانوني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لكنهم يؤكدون في الوقت ذاته أن الذكاء الاصطناعي يمكن أن يُستثمر كـ"مساعد قانوني" يُسند إليه جمع المعلومات وتحليلها، أو المساعدة في صياغة المستندات، مع بقاء المحامي المسؤول النظامي عن صحة العمل ونتيجته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وقد أظهرت رسالة الربيع </w:t>
      </w:r>
      <w:r>
        <w:rPr>
          <w:rFonts w:asciiTheme="majorBidi" w:hAnsiTheme="majorBidi" w:cstheme="majorBidi"/>
          <w:i/>
          <w:iCs/>
          <w:color w:val="000000" w:themeColor="text1"/>
          <w:sz w:val="24"/>
          <w:szCs w:val="24"/>
          <w:rtl/>
        </w:rPr>
        <w:t>المسؤولية المدنية عن أفعال الذكاء الاصطناعي</w:t>
      </w:r>
      <w:r>
        <w:rPr>
          <w:rFonts w:asciiTheme="majorBidi" w:hAnsiTheme="majorBidi" w:cstheme="majorBidi"/>
          <w:color w:val="000000" w:themeColor="text1"/>
          <w:sz w:val="24"/>
          <w:szCs w:val="24"/>
          <w:rtl/>
        </w:rPr>
        <w:t xml:space="preserve"> أن التقنية تُعتبر امتدادًا لأداة المحامي المهنية، مثل الباحث المساعد أو المستشار المتدرب، ولا يمكن فصل نتائجها عن مسؤولية من يستخدمها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ومن ثم، فإن نطاق العمل القانوني في النظام السعودي سيبقى مرتبطًا بالمحامي الإنسان، على أن تُنظَّم الأدوات الذكية بوصفها وسائل ضمنية داخل هذا النطاق، لا جهات فاعلة مستقلة</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69144D54" w14:textId="77777777" w:rsidR="00C00F5F" w:rsidRPr="00C00F5F" w:rsidRDefault="00122234" w:rsidP="00D41CB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أثر الذكاء الاصطناعي على هيكلة مكاتب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أدى دخول الأدوات الذكية إلى إعادة تشكيل بيئة العمل داخل مكاتب المحاماة في المملكة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فالمكاتب الكبيرة أصبحت تخصص أقسامًا تقنية لتحليل القضايا، وتطوير نماذج الذكاء الاصطناعي الخاصة بها، بينما تتجه المكاتب الصغيرة إلى الاستعانة بمنصات جاهزة تقدم خدمات قانونية 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وقد بيّن عبدالعزيز العلي</w:t>
      </w:r>
      <w:r>
        <w:rPr>
          <w:rStyle w:val="af"/>
          <w:rFonts w:asciiTheme="majorBidi" w:hAnsiTheme="majorBidi" w:cstheme="majorBidi"/>
          <w:color w:val="000000" w:themeColor="text1"/>
          <w:sz w:val="24"/>
          <w:szCs w:val="24"/>
          <w:rtl/>
        </w:rPr>
        <w:footnoteReference w:id="77"/>
      </w:r>
      <w:r>
        <w:rPr>
          <w:rFonts w:asciiTheme="majorBidi" w:hAnsiTheme="majorBidi" w:cstheme="majorBidi"/>
          <w:color w:val="000000" w:themeColor="text1"/>
          <w:sz w:val="24"/>
          <w:szCs w:val="24"/>
          <w:rtl/>
        </w:rPr>
        <w:t xml:space="preserve"> في بحثه </w:t>
      </w:r>
      <w:r>
        <w:rPr>
          <w:rFonts w:asciiTheme="majorBidi" w:hAnsiTheme="majorBidi" w:cstheme="majorBidi"/>
          <w:i/>
          <w:iCs/>
          <w:color w:val="000000" w:themeColor="text1"/>
          <w:sz w:val="24"/>
          <w:szCs w:val="24"/>
          <w:rtl/>
        </w:rPr>
        <w:t>الذكاء الاصطناعي ودوره في إبرام العقود التجارية الذكية</w:t>
      </w:r>
      <w:r>
        <w:rPr>
          <w:rFonts w:asciiTheme="majorBidi" w:hAnsiTheme="majorBidi" w:cstheme="majorBidi"/>
          <w:color w:val="000000" w:themeColor="text1"/>
          <w:sz w:val="24"/>
          <w:szCs w:val="24"/>
          <w:rtl/>
        </w:rPr>
        <w:t xml:space="preserve"> أن هذا التحول يخلق نوعًا جديدًا من المكاتب القانونية "الهجينة" التي تجمع بين الخبرة البشرية والأنظمة الذكية في تقديم الخدمة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إلا أن هذا التوسع التقني يحتاج إلى ضبط تشريعي واضح يحفظ خصوصية المهنة ويمنع تهميش العنصر البشري، خاصة في الأعمال التي تتطلب تقديرًا قانونيًا واجتهادًا شخصيًا لا يمكن أتمتته</w:t>
      </w:r>
      <w:r>
        <w:rPr>
          <w:rFonts w:asciiTheme="majorBidi" w:hAnsiTheme="majorBidi" w:cstheme="majorBidi"/>
          <w:color w:val="000000" w:themeColor="text1"/>
          <w:sz w:val="24"/>
          <w:szCs w:val="24"/>
        </w:rPr>
        <w:t>.</w:t>
      </w:r>
    </w:p>
    <w:p w14:paraId="4AE77D96" w14:textId="77777777" w:rsidR="00C00F5F" w:rsidRPr="00C00F5F" w:rsidRDefault="00122234" w:rsidP="00C00F5F">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التحديات النظامية المرتبطة بتوسّع نطاق العمل الذكي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تواجه مكاتب المحاماة السعودية عدة تحديات مع ازدياد اعتمادها على الذكاء الاصطناعي، من أبرزها</w:t>
      </w:r>
      <w:r>
        <w:rPr>
          <w:rFonts w:asciiTheme="majorBidi" w:hAnsiTheme="majorBidi" w:cstheme="majorBidi"/>
          <w:color w:val="000000" w:themeColor="text1"/>
          <w:sz w:val="24"/>
          <w:szCs w:val="24"/>
        </w:rPr>
        <w:t>:</w:t>
      </w:r>
    </w:p>
    <w:p w14:paraId="2DC9B6D0" w14:textId="77777777" w:rsidR="00C00F5F" w:rsidRPr="00C00F5F" w:rsidRDefault="00C00F5F">
      <w:pPr>
        <w:numPr>
          <w:ilvl w:val="0"/>
          <w:numId w:val="8"/>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غياب المعايير التي تحدد مسؤولية المحامي عند استخدام أدوات ذكية في تحليل البيانات أو صياغة العقود</w:t>
      </w:r>
      <w:r>
        <w:rPr>
          <w:rFonts w:asciiTheme="majorBidi" w:hAnsiTheme="majorBidi" w:cstheme="majorBidi"/>
          <w:color w:val="000000" w:themeColor="text1"/>
          <w:sz w:val="24"/>
          <w:szCs w:val="24"/>
        </w:rPr>
        <w:t>.</w:t>
      </w:r>
    </w:p>
    <w:p w14:paraId="2E7722CE" w14:textId="77777777" w:rsidR="00C00F5F" w:rsidRPr="00C00F5F" w:rsidRDefault="00C00F5F">
      <w:pPr>
        <w:numPr>
          <w:ilvl w:val="0"/>
          <w:numId w:val="8"/>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عدم وضوح موقف النظام من التعامل مع المنصات الأجنبية أو البرامج السحابية التي تعالج بيانات الموكلين خارج المملكة</w:t>
      </w:r>
      <w:r>
        <w:rPr>
          <w:rFonts w:asciiTheme="majorBidi" w:hAnsiTheme="majorBidi" w:cstheme="majorBidi"/>
          <w:color w:val="000000" w:themeColor="text1"/>
          <w:sz w:val="24"/>
          <w:szCs w:val="24"/>
        </w:rPr>
        <w:t>.</w:t>
      </w:r>
    </w:p>
    <w:p w14:paraId="2B7EF920" w14:textId="77777777" w:rsidR="00C00F5F" w:rsidRPr="00C00F5F" w:rsidRDefault="00C00F5F">
      <w:pPr>
        <w:numPr>
          <w:ilvl w:val="0"/>
          <w:numId w:val="8"/>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الحاجة إلى قواعد واضحة بشأن حجية المخرجات التقنية أمام القضاء، ومدى اعتبارها أدلة أو قرائن قانونية</w:t>
      </w:r>
      <w:r>
        <w:rPr>
          <w:rFonts w:asciiTheme="majorBidi" w:hAnsiTheme="majorBidi" w:cstheme="majorBidi"/>
          <w:color w:val="000000" w:themeColor="text1"/>
          <w:sz w:val="24"/>
          <w:szCs w:val="24"/>
        </w:rPr>
        <w:t>.</w:t>
      </w:r>
    </w:p>
    <w:p w14:paraId="4128149F" w14:textId="77777777" w:rsidR="00C00F5F" w:rsidRPr="00C00F5F" w:rsidRDefault="00C00F5F">
      <w:pPr>
        <w:numPr>
          <w:ilvl w:val="0"/>
          <w:numId w:val="8"/>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غياب التنظيم المهني الذي يُلزم المكاتب باتباع معايير أمن المعلومات عند التعامل مع القضايا الإلكترونية</w:t>
      </w:r>
      <w:r>
        <w:rPr>
          <w:rFonts w:asciiTheme="majorBidi" w:hAnsiTheme="majorBidi" w:cstheme="majorBidi"/>
          <w:color w:val="000000" w:themeColor="text1"/>
          <w:sz w:val="24"/>
          <w:szCs w:val="24"/>
        </w:rPr>
        <w:t>.</w:t>
      </w:r>
    </w:p>
    <w:p w14:paraId="39ABE2FE" w14:textId="77777777" w:rsidR="00C00F5F" w:rsidRPr="00C00F5F" w:rsidRDefault="00C00F5F"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وقد تناولت رسالة قاسم</w:t>
      </w:r>
      <w:r>
        <w:rPr>
          <w:rStyle w:val="af"/>
          <w:rFonts w:asciiTheme="majorBidi" w:hAnsiTheme="majorBidi" w:cstheme="majorBidi"/>
          <w:color w:val="000000" w:themeColor="text1"/>
          <w:sz w:val="24"/>
          <w:szCs w:val="24"/>
          <w:rtl/>
        </w:rPr>
        <w:footnoteReference w:id="78"/>
      </w:r>
      <w:r>
        <w:rPr>
          <w:rFonts w:asciiTheme="majorBidi" w:hAnsiTheme="majorBidi" w:cstheme="majorBidi"/>
          <w:color w:val="000000" w:themeColor="text1"/>
          <w:sz w:val="24"/>
          <w:szCs w:val="24"/>
          <w:rtl/>
        </w:rPr>
        <w:t xml:space="preserve"> </w:t>
      </w:r>
      <w:r>
        <w:rPr>
          <w:rFonts w:asciiTheme="majorBidi" w:hAnsiTheme="majorBidi" w:cstheme="majorBidi"/>
          <w:i/>
          <w:iCs/>
          <w:color w:val="000000" w:themeColor="text1"/>
          <w:sz w:val="24"/>
          <w:szCs w:val="24"/>
          <w:rtl/>
        </w:rPr>
        <w:t>دور الذكاء الاصطناعي في مكافحة الجريمة الإلكترونية</w:t>
      </w:r>
      <w:r>
        <w:rPr>
          <w:rFonts w:asciiTheme="majorBidi" w:hAnsiTheme="majorBidi" w:cstheme="majorBidi"/>
          <w:color w:val="000000" w:themeColor="text1"/>
          <w:sz w:val="24"/>
          <w:szCs w:val="24"/>
          <w:rtl/>
        </w:rPr>
        <w:t xml:space="preserve"> هذه الإشكالات من زاوية أمنية، موضحة أن الإخلال بأمن البيانات في المهن القانونية قد يؤدي إلى مسؤولية جزائية ومهنية في الوقت نفسه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وهذا يبرز الحاجة إلى بناء منظومة تشريعية متكاملة تربط بين نظام المحاماة ونظام حماية البيانات ونظام الجرائم المعلوماتية</w:t>
      </w:r>
      <w:r>
        <w:rPr>
          <w:rFonts w:asciiTheme="majorBidi" w:hAnsiTheme="majorBidi" w:cstheme="majorBidi"/>
          <w:color w:val="000000" w:themeColor="text1"/>
          <w:sz w:val="24"/>
          <w:szCs w:val="24"/>
        </w:rPr>
        <w:t>.</w:t>
      </w:r>
    </w:p>
    <w:p w14:paraId="122FEBD7"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t>وفي هذا السياق، طالب الغنامي (د.ت) بضرورة تشييد منظومة تشريعية متكاملة تجمع بين نظام المحاماة ونظام حماية البيانات الشخصية، مقترحًا أن تُنشأ لجنة مشتركة بين هيئة المحامين السعوديين وهيئة سدايا للبيانات والذكاء الاصطناعي بهدف وضع ضوابط قانونية تفصيلية تحكم استخدام الأنظمة الذكية في تقديم الخدمات القانونية.</w:t>
      </w:r>
      <w:r w:rsidRPr="00000001">
        <w:rPr>
          <w:rtl/>
        </w:rPr>
        <w:footnoteReference w:id="79"/>
      </w:r>
    </w:p>
    <w:p w14:paraId="5377481C"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t>وقد أسهمت دراسة غاسم (2022م) المعنونة "دور الذكاء الاصطناعي في مكافحة الجريمة الإلكترونية - دراسة مقارنة" في تأصيل العلاقة بين التقنيات الذكية ومنظومة مكافحة الجرائم الإلكترونية، إذ أكدت الدراسة أن استخدام الذكاء الاصطناعي داخل المكاتب القانونية يفرض على المحامي التزامًا مزدوجًا: الالتزام بالسرية تجاه موكليه، والالتزام بالإفصاح الكافي عن البنية التقنية لأدوات العمل.</w:t>
      </w:r>
      <w:r w:rsidRPr="00000001">
        <w:rPr>
          <w:rtl/>
        </w:rPr>
        <w:footnoteReference w:id="80"/>
      </w:r>
    </w:p>
    <w:p w14:paraId="22162C12" w14:textId="77777777" w:rsidR="00C00F5F" w:rsidRPr="00C00F5F" w:rsidRDefault="00122234" w:rsidP="002A34EF">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الرؤية المستقبلية لنطاق العمل المهني في ظل 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إن إدماج الذكاء الاصطناعي في نطاق عمل المحامي لا يُعد مسألة اختيارية بقدر ما هو تطور حتمي تفرضه بيئة العمل القانونية الحديثة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لكن هذا الإدماج يجب أن يتم في إطار يضمن</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47A57678"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وفيما يخص الرؤية المستقبلية من منظور مقارن، استحضر العجماني وسيد تجربة منصة ROSS الأمريكية التي رفعت إنتاجية محامي البحث القانوني بنسبة تزيد على 40%، مُشيرَين إلى أن هذا المثال يُبرهن على أن الفائدة التطبيقية للذكاء الاصطناعي القانوني حقيقية لا وهمية، وأن القضية الجوهرية ليست في قبول التقنية أو رفضها، بل في صياغة إطار يجعل هذا القبول رشيداً ومنضبطاً.</w:t>
      </w:r>
      <w:r w:rsidRPr="00000002">
        <w:rPr>
          <w:rtl/>
        </w:rPr>
        <w:footnoteReference w:id="81"/>
      </w:r>
    </w:p>
    <w:p w14:paraId="31BEC1D2"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وفيما يتعلق بالإطار الضامن لإدماج الذكاء الاصطناعي في العمل القانوني، وضع المعلم شروطاً ثلاثة لأي إدماج رشيد: أولاً التحقق المستقل من دقة النظام وموثوقيته، وثانياً الإفصاح للموكل بطبيعة الأداة المستخدمة، وثالثاً الاحتفاظ بالقرار الأخير في أيدي المهني المرخّص القادر على تحمّل المسؤولية القانونية.</w:t>
      </w:r>
      <w:r w:rsidRPr="00000002">
        <w:rPr>
          <w:rtl/>
        </w:rPr>
        <w:footnoteReference w:id="82"/>
      </w:r>
    </w:p>
    <w:p w14:paraId="7E1E6229"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وعلى صعيد الرؤية المستقبلية، أكد العرشاني أن التحول الرقمي في المنظومة القضائية لا يُشكّل تهديداً وجودياً لمهنة المحاماة، بل هو إعادة ترتيب لنطاق مهامها؛ إذ إن المحامي سيُركّز طاقته على الجوانب التفاوضية والإبداعية والأخلاقية التي تستعصي على الخوارزمية، في حين تتولى الأخيرة المهام الروتينية كالبحث والتصنيف والمعالجة النصية.</w:t>
      </w:r>
      <w:r w:rsidRPr="00000002">
        <w:rPr>
          <w:rtl/>
        </w:rPr>
        <w:footnoteReference w:id="83"/>
      </w:r>
    </w:p>
    <w:p w14:paraId="6EA8CD08"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lastRenderedPageBreak/>
        <w:t>غير أن الجلعود تُنبّه إلى أن إدماج الذكاء الاصطناعي في الإجراءات القضائية يجب أن يمر بمرحلة تقييم مستقل تتولى فيها جهة محايدة التحقق من دقة النظام واتساقه وخلوّه من التحيز قبل اعتماده رسمياً، مستندةً في ذلك إلى تجارب قضائية أوروبية أثبتت أن أنظمة تنبؤ بالمخاطر الجنائية انطوت على تحيزات طائفية لم تُكشف إلا بعد نشرها.</w:t>
      </w:r>
      <w:r w:rsidRPr="00000001">
        <w:rPr>
          <w:rtl/>
        </w:rPr>
        <w:footnoteReference w:id="84"/>
      </w:r>
    </w:p>
    <w:p w14:paraId="5CCE9BC6"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وعلى صعيد الرؤية المستقبلية لنطاق العمل القانوني في ظل الذكاء الاصطناعي، ذهب الشراري إلى أن التحول التقني لن يُلغي دور المحامي بل سيُعيد رسم نطاق مهمته؛ إذ ستنتقل قيمته من الاضطلاع بالمهام التكرارية كالبحث والصياغة الأولية إلى التركيز على الجوانب التفاوضية والاستراتيجية والتأويلية التي تحتاج إلى الحكمة الإنسانية، غير أن هذا الانتقال يستلزم مراجعة شاملة لمناهج التدريب القانوني وأخلاقيات المهنة.</w:t>
      </w:r>
      <w:r w:rsidRPr="00000001">
        <w:rPr>
          <w:rtl/>
        </w:rPr>
        <w:footnoteReference w:id="85"/>
      </w:r>
    </w:p>
    <w:p w14:paraId="7D3ADC1C" w14:textId="77777777" w:rsidR="00C00F5F" w:rsidRPr="00C00F5F" w:rsidRDefault="00C00F5F" w:rsidP="002A34EF">
      <w:pPr>
        <w:numPr>
          <w:ilvl w:val="0"/>
          <w:numId w:val="9"/>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بقاء العنصر الإنساني في مركز اتخاذ القرار القانوني</w:t>
      </w:r>
      <w:r>
        <w:rPr>
          <w:rFonts w:asciiTheme="majorBidi" w:hAnsiTheme="majorBidi" w:cstheme="majorBidi"/>
          <w:color w:val="000000" w:themeColor="text1"/>
          <w:sz w:val="24"/>
          <w:szCs w:val="24"/>
        </w:rPr>
        <w:t>.</w:t>
      </w:r>
    </w:p>
    <w:p w14:paraId="561B0E90"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وعلى الصعيد الحقوقي، نبّهت عبد الرحمن إلى أن إقصاء العنصر الإنساني من مركز اتخاذ القرار القانوني قد يُشكّل انتهاكاً لحق المتقاضي في التمثيل القانوني الحقيقي، لأن المادة السادسة من الإعلان العالمي لحقوق الإنسان تُكرّس حق كل شخص في التمثيل القانوني الفعّال، وهو حق يستلزم وجود محامٍ إنساني يتحمل المسؤولية الفعلية لا مجرد تحقق من مخرجات آلية.</w:t>
      </w:r>
      <w:r w:rsidRPr="00000002">
        <w:rPr>
          <w:rtl/>
        </w:rPr>
        <w:footnoteReference w:id="86"/>
      </w:r>
    </w:p>
    <w:p w14:paraId="670A95D5"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السياق الجنائي لهذه المسألة، شدّد العطار والنوايسة على أن بقاء العنصر الإنساني في مركز اتخاذ القرار القانوني ليس خياراً يُترك للممارسين، بل هو اشتراط نظامي يترتب على تجاهله قيام المسؤولية الجنائية في حالات الإهمال الجسيم، مستدلَّين على ذلك بالمبدأ الجزائي العام القائل بأن المتسبب بالإهمال يتحمل من المسؤولية ما يتحمله المباشر في بعض الصور.</w:t>
      </w:r>
      <w:r w:rsidRPr="00000002">
        <w:rPr>
          <w:rtl/>
        </w:rPr>
        <w:footnoteReference w:id="87"/>
      </w:r>
    </w:p>
    <w:p w14:paraId="1C22FF52"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السياق ذاته، أكدت الخميسي أن بقاء العنصر الإنساني في مركز اتخاذ القرار القانوني ليس مجرد ضمانة أخلاقية، بل هو اشتراط قانوني يمسّ صحة التصرفات القانونية وحجيتها؛ إذ إن القرار الصادر عن نظام آلي دون مراجعة إنسانية قد يُطعن في صحته من حيث الإرادة وانعدام الشخصية القانونية للنظام.</w:t>
      </w:r>
      <w:r w:rsidRPr="00000001">
        <w:rPr>
          <w:rtl/>
        </w:rPr>
        <w:footnoteReference w:id="88"/>
      </w:r>
    </w:p>
    <w:p w14:paraId="05A9B8B2" w14:textId="77777777" w:rsidR="00C00F5F" w:rsidRPr="00C00F5F" w:rsidRDefault="00C00F5F" w:rsidP="002A34EF">
      <w:pPr>
        <w:numPr>
          <w:ilvl w:val="0"/>
          <w:numId w:val="9"/>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وضوح حدود المسؤولية المهنية عن الأعمال الذكية</w:t>
      </w:r>
      <w:r>
        <w:rPr>
          <w:rFonts w:asciiTheme="majorBidi" w:hAnsiTheme="majorBidi" w:cstheme="majorBidi"/>
          <w:color w:val="000000" w:themeColor="text1"/>
          <w:sz w:val="24"/>
          <w:szCs w:val="24"/>
        </w:rPr>
        <w:t>.</w:t>
      </w:r>
    </w:p>
    <w:p w14:paraId="5B1F3837" w14:textId="77777777" w:rsidR="00C00F5F" w:rsidRPr="00C00F5F" w:rsidRDefault="00C00F5F" w:rsidP="002A34EF">
      <w:pPr>
        <w:numPr>
          <w:ilvl w:val="0"/>
          <w:numId w:val="9"/>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حماية بيانات الموكلين والمستندات القانونية من المخاطر التقنية</w:t>
      </w:r>
      <w:r>
        <w:rPr>
          <w:rFonts w:asciiTheme="majorBidi" w:hAnsiTheme="majorBidi" w:cstheme="majorBidi"/>
          <w:color w:val="000000" w:themeColor="text1"/>
          <w:sz w:val="24"/>
          <w:szCs w:val="24"/>
        </w:rPr>
        <w:t>.</w:t>
      </w:r>
    </w:p>
    <w:p w14:paraId="57BC6E9F" w14:textId="77777777" w:rsidR="00C00F5F" w:rsidRPr="00C00F5F" w:rsidRDefault="00C00F5F" w:rsidP="002A34EF">
      <w:pPr>
        <w:numPr>
          <w:ilvl w:val="0"/>
          <w:numId w:val="9"/>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توفير معايير مهنية وطنية لاستخدام الذكاء الاصطناعي في المهنة</w:t>
      </w:r>
      <w:r>
        <w:rPr>
          <w:rFonts w:asciiTheme="majorBidi" w:hAnsiTheme="majorBidi" w:cstheme="majorBidi"/>
          <w:color w:val="000000" w:themeColor="text1"/>
          <w:sz w:val="24"/>
          <w:szCs w:val="24"/>
        </w:rPr>
        <w:t>.</w:t>
      </w:r>
    </w:p>
    <w:p w14:paraId="72EC9F07" w14:textId="77777777" w:rsidR="0016208C" w:rsidRDefault="00C00F5F"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ويُتوقع أن تشهد المرحلة القادمة سنّ لوائح مهنية جديدة تُعالج هذه المسائل، بحيث يصبح الذكاء الاصطناعي جزءًا من منظومة الممارسة القانونية المنظمة، لا أداة عشوائية خارج الرقابة العدلية</w:t>
      </w:r>
      <w:r>
        <w:rPr>
          <w:rFonts w:asciiTheme="majorBidi" w:hAnsiTheme="majorBidi" w:cstheme="majorBidi" w:hint="cs"/>
          <w:color w:val="000000" w:themeColor="text1"/>
          <w:sz w:val="24"/>
          <w:szCs w:val="24"/>
          <w:rtl/>
        </w:rPr>
        <w:t>.</w:t>
      </w:r>
    </w:p>
    <w:p w14:paraId="7A9DC481" w14:textId="77777777" w:rsidR="00D41CB7" w:rsidRPr="00BC5F38" w:rsidRDefault="00D41CB7" w:rsidP="00D41CB7">
      <w:pPr>
        <w:jc w:val="right"/>
        <w:rPr>
          <w:rFonts w:asciiTheme="majorBidi" w:hAnsiTheme="majorBidi" w:cstheme="majorBidi"/>
          <w:color w:val="000000" w:themeColor="text1"/>
          <w:sz w:val="24"/>
          <w:szCs w:val="24"/>
        </w:rPr>
      </w:pPr>
    </w:p>
    <w:p w14:paraId="11887789" w14:textId="77777777" w:rsidR="0016208C" w:rsidRPr="0016208C" w:rsidRDefault="0016208C" w:rsidP="0016208C">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lastRenderedPageBreak/>
        <w:t>خامسًا: دور اللائحة التنفيذية ومساحة المرونة التقنية</w:t>
      </w:r>
      <w:r>
        <w:rPr>
          <w:rFonts w:asciiTheme="majorBidi" w:hAnsiTheme="majorBidi" w:cstheme="majorBidi" w:hint="cs"/>
          <w:b/>
          <w:bCs/>
          <w:color w:val="000000" w:themeColor="text1"/>
          <w:sz w:val="24"/>
          <w:szCs w:val="24"/>
          <w:rtl/>
        </w:rPr>
        <w:t>:</w:t>
      </w:r>
    </w:p>
    <w:p w14:paraId="3B5E812F"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تُعد اللائحة التنفيذية لنظام المحاماة من أبرز الأدوات التنظيمية التي منحت المشرّع السعودي مساحة مرنة للتعامل مع متغيرات المهنة ومواكبة التطورات التقنية دون الحاجة إلى تعديل النظام الأساسي في كل مرحلة. فهي تمثل الإطار الإجرائي التطبيقي لنظام المحاماة الصادر عام 1422هـ، وتأتي لتفصيل ما ورد فيه من أحكام عامة تتعلق بالقيد والترخيص ومزاولة المهنة وآدابها وتأديب المخالفين. وقد صدر آخر تحديث شامل للائحة بقرار وزير العدل رقم </w:t>
      </w:r>
      <w:r>
        <w:rPr>
          <w:rFonts w:asciiTheme="majorBidi" w:hAnsiTheme="majorBidi" w:cstheme="majorBidi"/>
          <w:color w:val="000000" w:themeColor="text1"/>
          <w:sz w:val="24"/>
          <w:szCs w:val="24"/>
        </w:rPr>
        <w:t xml:space="preserve">(5165) </w:t>
      </w:r>
      <w:r>
        <w:rPr>
          <w:rFonts w:asciiTheme="majorBidi" w:hAnsiTheme="majorBidi" w:cstheme="majorBidi"/>
          <w:color w:val="000000" w:themeColor="text1"/>
          <w:sz w:val="24"/>
          <w:szCs w:val="24"/>
          <w:rtl/>
        </w:rPr>
        <w:t xml:space="preserve">بتاريخ </w:t>
      </w:r>
      <w:r>
        <w:rPr>
          <w:rFonts w:asciiTheme="majorBidi" w:hAnsiTheme="majorBidi" w:cstheme="majorBidi"/>
          <w:color w:val="000000" w:themeColor="text1"/>
          <w:sz w:val="24"/>
          <w:szCs w:val="24"/>
        </w:rPr>
        <w:t>12 / 3 / 1441</w:t>
      </w:r>
      <w:r>
        <w:rPr>
          <w:rFonts w:asciiTheme="majorBidi" w:hAnsiTheme="majorBidi" w:cstheme="majorBidi"/>
          <w:color w:val="000000" w:themeColor="text1"/>
          <w:sz w:val="24"/>
          <w:szCs w:val="24"/>
          <w:rtl/>
        </w:rPr>
        <w:t>هـ، وهو قرار منشور في بوابة وزارة العدل الرسمية، ما يجعل الإشارة إليه ضرورية توثيقيًا عند تناول الإطار التنظيمي المعاصر للمهنة</w:t>
      </w:r>
      <w:r>
        <w:rPr>
          <w:rFonts w:asciiTheme="majorBidi" w:hAnsiTheme="majorBidi" w:cstheme="majorBidi"/>
          <w:color w:val="000000" w:themeColor="text1"/>
          <w:sz w:val="24"/>
          <w:szCs w:val="24"/>
        </w:rPr>
        <w:t>.</w:t>
      </w:r>
    </w:p>
    <w:p w14:paraId="338ECDAE"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ويكتسب هذا التحديث أهميته من كونه جاء في ظل بيئة عدلية تشهد تحوّلًا رقميًا واسعًا، مما جعل اللائحة أكثر انفتاحًا على استيعاب الممارسات الإلكترونية الحديثة، وإن لم تتضمن نصوصًا مباشرة تتناول تقنيات الذكاء الاصطناعي أو الأتمتة القانونية. وتتميز اللائحة بمرونتها التشريعية، إذ تصدر بقرار من وزير العدل، ما يمنحها قابلية أسرع للتعديل مقارنة بالنظام ذاته الذي يحتاج إلى إجراءات تشريعية أطول</w:t>
      </w:r>
      <w:r>
        <w:rPr>
          <w:rFonts w:asciiTheme="majorBidi" w:hAnsiTheme="majorBidi" w:cstheme="majorBidi"/>
          <w:color w:val="000000" w:themeColor="text1"/>
          <w:sz w:val="24"/>
          <w:szCs w:val="24"/>
        </w:rPr>
        <w:t>.</w:t>
      </w:r>
    </w:p>
    <w:p w14:paraId="08754B61"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وتتضح هذه المرونة من خلال إمكانية توظيف اللائحة في تنظيم عدد من التطبيقات التقنية الحديثة داخل مكاتب المحاماة، من خلال أمثلة عملية، من أبرزها</w:t>
      </w:r>
      <w:r>
        <w:rPr>
          <w:rFonts w:asciiTheme="majorBidi" w:hAnsiTheme="majorBidi" w:cstheme="majorBidi"/>
          <w:color w:val="000000" w:themeColor="text1"/>
          <w:sz w:val="24"/>
          <w:szCs w:val="24"/>
        </w:rPr>
        <w:t>:</w:t>
      </w:r>
    </w:p>
    <w:p w14:paraId="16D98070" w14:textId="77777777" w:rsidR="00085940" w:rsidRPr="00085940" w:rsidRDefault="00085940">
      <w:pPr>
        <w:numPr>
          <w:ilvl w:val="0"/>
          <w:numId w:val="10"/>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تنظيم استخدام الأنظمة الذكية في إدارة القضايا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يمكن للائحة أن تنص على أن الأنظمة التقنية التي تُستخدم لإدارة ملفات القضايا يجب أن تكون مرخّصة وملتزمة بمعايير حماية البيانات، مع إلزام مكاتب المحاماة بتوثيق أي معالجة إلكترونية للبيانات القانونية</w:t>
      </w:r>
      <w:r>
        <w:rPr>
          <w:rFonts w:asciiTheme="majorBidi" w:hAnsiTheme="majorBidi" w:cstheme="majorBidi"/>
          <w:color w:val="000000" w:themeColor="text1"/>
          <w:sz w:val="24"/>
          <w:szCs w:val="24"/>
        </w:rPr>
        <w:t>.</w:t>
      </w:r>
    </w:p>
    <w:p w14:paraId="31210502" w14:textId="77777777" w:rsidR="00085940" w:rsidRPr="00085940" w:rsidRDefault="00085940">
      <w:pPr>
        <w:numPr>
          <w:ilvl w:val="0"/>
          <w:numId w:val="10"/>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وضع معايير مهنية لاستخدام أدوات الذكاء الاصطناعي في تحليل المستندات</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مثل النص على واجب المحامي في مراجعة المخرجات التي تولدها الأنظمة الذكية، وعدم اعتماد النتائج الآلية دون تدقيق قانوني بشري، حماية لحقوق الموكلين ومنع الأخطاء المهنية الناتجة عن الاعتماد الكلي على التقنية</w:t>
      </w:r>
      <w:r>
        <w:rPr>
          <w:rFonts w:asciiTheme="majorBidi" w:hAnsiTheme="majorBidi" w:cstheme="majorBidi"/>
          <w:color w:val="000000" w:themeColor="text1"/>
          <w:sz w:val="24"/>
          <w:szCs w:val="24"/>
        </w:rPr>
        <w:t>.</w:t>
      </w:r>
    </w:p>
    <w:p w14:paraId="5AC9D9AB" w14:textId="77777777" w:rsidR="00085940" w:rsidRPr="00085940" w:rsidRDefault="00085940">
      <w:pPr>
        <w:numPr>
          <w:ilvl w:val="0"/>
          <w:numId w:val="10"/>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تنظيم وسائل الأمان السيبراني داخل مكاتب المحاماة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من خلال تضمين اللائحة نصوصًا تُلزم المكاتب باستخدام بروتوكولات حماية إلكترونية معينة، وتشفير الملفات، والالتزام بما ورد في نظام حماية البيانات الشخصية في شأن أمن المعلومات</w:t>
      </w:r>
      <w:r>
        <w:rPr>
          <w:rFonts w:asciiTheme="majorBidi" w:hAnsiTheme="majorBidi" w:cstheme="majorBidi"/>
          <w:color w:val="000000" w:themeColor="text1"/>
          <w:sz w:val="24"/>
          <w:szCs w:val="24"/>
        </w:rPr>
        <w:t>.</w:t>
      </w:r>
    </w:p>
    <w:p w14:paraId="0CB05AF4" w14:textId="77777777" w:rsidR="00085940" w:rsidRPr="00085940" w:rsidRDefault="00085940">
      <w:pPr>
        <w:numPr>
          <w:ilvl w:val="0"/>
          <w:numId w:val="10"/>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ضبط استخدام المنصات الرقمية في صياغة العقود والمذكرات</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مثل اشتراط أن تكون منصات الصياغة القانونية المستعانة بها معتمدة رسميًا، أو أن تخضع لرقابة تقنية من الجهات المختصة لضمان التزامها بمبادئ الشفافية والسرية</w:t>
      </w:r>
      <w:r>
        <w:rPr>
          <w:rFonts w:asciiTheme="majorBidi" w:hAnsiTheme="majorBidi" w:cstheme="majorBidi"/>
          <w:color w:val="000000" w:themeColor="text1"/>
          <w:sz w:val="24"/>
          <w:szCs w:val="24"/>
        </w:rPr>
        <w:t>.</w:t>
      </w:r>
    </w:p>
    <w:p w14:paraId="649DF058"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وتشير رسالة الدكتور نايف الغنامي حول “الضوابط القانونية للذكاء الاصطناعي في إبرام المعاملات القانونية” إلى أن المشرع السعودي يملك من خلال الأدوات التنفيذية قدرة مرنة على تنظيم المسائل التقنية عبر القرارات الوزارية دون الإخلال بالهيكل التشريعي العام، وهو ما ينسجم مع طبيعة اللائحة التنفيذية لنظام المحاماة</w:t>
      </w:r>
      <w:r>
        <w:rPr>
          <w:rFonts w:asciiTheme="majorBidi" w:hAnsiTheme="majorBidi" w:cstheme="majorBidi"/>
          <w:color w:val="000000" w:themeColor="text1"/>
          <w:sz w:val="24"/>
          <w:szCs w:val="24"/>
        </w:rPr>
        <w:t>.</w:t>
      </w:r>
    </w:p>
    <w:p w14:paraId="1A1A5888"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يؤكد الباحث مصطفى الأسيوطي في دراسته حول “حماية التصرفات القانونية وإثباتها عبر تطبيق الذكاء الاصطناعي” أن الأنظمة التنفيذية تمثل الوسيلة الأمثل لترجمة المبادئ التقنية إلى التزامات قانونية واقعية، لأن الممارسات التقنية تتغير بوتيرة أسرع من التشريعات الأساسية</w:t>
      </w:r>
      <w:r>
        <w:rPr>
          <w:rFonts w:asciiTheme="majorBidi" w:hAnsiTheme="majorBidi" w:cstheme="majorBidi"/>
          <w:color w:val="000000" w:themeColor="text1"/>
          <w:sz w:val="24"/>
          <w:szCs w:val="24"/>
        </w:rPr>
        <w:t>.</w:t>
      </w:r>
    </w:p>
    <w:p w14:paraId="7FC316D8"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وتدعم هذه الرؤية دراسة مراد محمد قاسم حول “دور الذكاء الاصطناعي في مكافحة الجريمة الإلكترونية”، والتي أظهرت أن أغلب النظم العدلية الحديثة لم تُدخل التقنيات القانونية المتقدمة في نصوص القوانين الأساسية، وإنما بدأت بتنظيمها عبر اللوائح التنفيذية والتعليمات الوزارية</w:t>
      </w:r>
      <w:r>
        <w:rPr>
          <w:rFonts w:asciiTheme="majorBidi" w:hAnsiTheme="majorBidi" w:cstheme="majorBidi"/>
          <w:color w:val="000000" w:themeColor="text1"/>
          <w:sz w:val="24"/>
          <w:szCs w:val="24"/>
        </w:rPr>
        <w:t>.</w:t>
      </w:r>
    </w:p>
    <w:p w14:paraId="7A505A92"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وانطلاقًا من مفهوم “التأطير المرن” الذي طرحه ياسر رجب في دراسته حول أخلاقيات الذكاء الاصطناعي، يمكن النظر إلى اللائحة التنفيذية بوصفها الأداة الأكثر قدرة على التكيّف مع المستجدات التقنية. فالمرونة هنا لا </w:t>
      </w:r>
      <w:r>
        <w:rPr>
          <w:rFonts w:asciiTheme="majorBidi" w:hAnsiTheme="majorBidi" w:cstheme="majorBidi"/>
          <w:color w:val="000000" w:themeColor="text1"/>
          <w:sz w:val="24"/>
          <w:szCs w:val="24"/>
          <w:rtl/>
        </w:rPr>
        <w:lastRenderedPageBreak/>
        <w:t>تعني ضعف الضبط، بل تعزيز القدرة على التحديث المستمر، خاصة في الجوانب المتعلقة بحماية البيانات القانونية، وتوثيق المعاملات الإلكترونية، وتنظيم مسؤوليات المحامي التقنية</w:t>
      </w:r>
      <w:r>
        <w:rPr>
          <w:rFonts w:asciiTheme="majorBidi" w:hAnsiTheme="majorBidi" w:cstheme="majorBidi"/>
          <w:color w:val="000000" w:themeColor="text1"/>
          <w:sz w:val="24"/>
          <w:szCs w:val="24"/>
        </w:rPr>
        <w:t>.</w:t>
      </w:r>
    </w:p>
    <w:p w14:paraId="77AF87D9"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أما من الناحية العملية، فقد سمحت اللائحة التنفيذية في شكلها الحالي باستخدام الوسائل الإلكترونية في إجراءات مثل تقديم طلبات القيد إلكترونيًا وإدارة السجلات عبر الأنظمة الرقمية. وهذه الإشارات، وإن كانت محدودة، تمثل نواة يمكن البناء عليها لتشمل مستقبلًا تنظيم الذكاء الاصطناعي القانوني وآليات ترخيصه وشروط اعتماده داخل بيئة العمل العدلي</w:t>
      </w:r>
      <w:r>
        <w:rPr>
          <w:rFonts w:asciiTheme="majorBidi" w:hAnsiTheme="majorBidi" w:cstheme="majorBidi"/>
          <w:color w:val="000000" w:themeColor="text1"/>
          <w:sz w:val="24"/>
          <w:szCs w:val="24"/>
        </w:rPr>
        <w:t>.</w:t>
      </w:r>
    </w:p>
    <w:p w14:paraId="23FB96EE" w14:textId="77777777" w:rsidR="00085940" w:rsidRPr="00085940" w:rsidRDefault="00085940" w:rsidP="00085940">
      <w:pPr>
        <w:jc w:val="right"/>
        <w:rPr>
          <w:rFonts w:asciiTheme="majorBidi" w:hAnsiTheme="majorBidi" w:cstheme="majorBidi"/>
          <w:b/>
          <w:bCs/>
          <w:color w:val="000000" w:themeColor="text1"/>
          <w:sz w:val="24"/>
          <w:szCs w:val="24"/>
        </w:rPr>
      </w:pPr>
      <w:r>
        <w:rPr>
          <w:rFonts w:asciiTheme="majorBidi" w:hAnsiTheme="majorBidi" w:cstheme="majorBidi"/>
          <w:color w:val="000000" w:themeColor="text1"/>
          <w:sz w:val="24"/>
          <w:szCs w:val="24"/>
          <w:rtl/>
        </w:rPr>
        <w:t>وبناءً على ما تقدم، يمكن القول إن اللائحة التنفيذية لنظام المحاماة تمثل حجر الزاوية في أي مشروع مستقبلي لتنظيم توظيف الذكاء الاصطناعي في العمل القانوني، نظرًا لمرونتها التشريعية وقدرتها على تحقيق التوازن بين التطور التقني والحفاظ على القيم العدلية، بما في ذلك استقلال المحامي وسرية المعلومات وضمان العدالة الناجزة</w:t>
      </w:r>
      <w:r>
        <w:rPr>
          <w:rFonts w:asciiTheme="majorBidi" w:hAnsiTheme="majorBidi" w:cstheme="majorBidi"/>
          <w:b/>
          <w:bCs/>
          <w:color w:val="000000" w:themeColor="text1"/>
          <w:sz w:val="24"/>
          <w:szCs w:val="24"/>
        </w:rPr>
        <w:t>.</w:t>
      </w:r>
    </w:p>
    <w:p w14:paraId="05D9EF1F" w14:textId="77777777" w:rsidR="00974C84" w:rsidRPr="00BC5F38" w:rsidRDefault="00974C84" w:rsidP="00122234">
      <w:pPr>
        <w:jc w:val="right"/>
        <w:rPr>
          <w:rFonts w:asciiTheme="majorBidi" w:hAnsiTheme="majorBidi" w:cstheme="majorBidi"/>
          <w:b/>
          <w:bCs/>
          <w:color w:val="000000" w:themeColor="text1"/>
          <w:sz w:val="24"/>
          <w:szCs w:val="24"/>
        </w:rPr>
      </w:pPr>
    </w:p>
    <w:p w14:paraId="14B736C1" w14:textId="77777777" w:rsidR="00974C84" w:rsidRPr="00974C84" w:rsidRDefault="00974C84" w:rsidP="00974C8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سادسًا: أوجه القوة في نظام المحاماة في مواجهة التحول الرقمي</w:t>
      </w:r>
    </w:p>
    <w:p w14:paraId="53BC5052" w14:textId="77777777" w:rsidR="00974C84" w:rsidRPr="00974C84" w:rsidRDefault="00974C84" w:rsidP="00974C8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على الرغم من أن نظام المحاماة السعودي صدر في مرحلة ما قبل الثورة الرقمية، إلا أنه يتضمن بنية تشريعية متماسكة تمكّنه من التكيّف مع التحولات التقنية الحديثة. فالنظام لم يُصمم ليكون مجرد لائحة سلوك مهني أو ميثاق شرف، بل ليكون إطارًا قانونيًا شاملًا يضبط العلاقة بين المحامي، وموكله، والسلطة العدلية، ويؤسس لمسؤوليات مهنية ومدنية يمكن توسيع نطاقها لتشمل الممارسات التقنية الجديدة. ومن أبرز مظاهر القوة في هذا النظام أنه يقوم على مبادئ عامة غير جامدة، ما يمنحه قابلية التطوير والتفسير في ضوء المستجدات دون الحاجة إلى إعادة بنائه من الصفر. فالمواد التي تنظم المسؤولية المهنية، والسرية، والإشراف على المتدربين، والتأديب المهني، يمكن قراءتها اليوم قراءة موسّعة تجعلها قادرة على استيعاب الذكاء الاصطناعي في بنية العمل القانوني</w:t>
      </w:r>
      <w:r>
        <w:rPr>
          <w:rFonts w:asciiTheme="majorBidi" w:hAnsiTheme="majorBidi" w:cstheme="majorBidi"/>
          <w:color w:val="000000" w:themeColor="text1"/>
          <w:sz w:val="24"/>
          <w:szCs w:val="24"/>
        </w:rPr>
        <w:t>.</w:t>
      </w:r>
    </w:p>
    <w:p w14:paraId="7A623B31" w14:textId="77777777" w:rsidR="00974C84" w:rsidRPr="00974C84" w:rsidRDefault="00974C84" w:rsidP="00974C8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إن الطبيعة المرنة للنظام ترتبط بفلسفته التشريعية القائمة على مبدأ الثقة في الاجتهاد المهني للمحامي ومسؤوليته الشخصية عن أعماله. فالمادة الثالثة عشرة التي تُحمّله مسؤولية تصرفات العاملين في مكتبه تُعدّ قاعدة متينة يمكن البناء عليها لتوسيع نطاق المسؤولية ليشمل الأفعال الناتجة عن استخدام الأنظمة الذكية أو البرمجيات القانونية. وقد أوضح الدكتور خالد المالكي في دراسته حول المسؤولية المدنية عن فعل الذكاء الاصطناعي أن النصوص القانونية التي تُحمّل الإنسان مسؤولية الإشراف تُعدّ كافية لتأسيس قواعد “المسؤولية الرقمية” دون الحاجة إلى تشريع جديد مستقل، شريطة تفسيرها تفسيرًا مرنًا يتناسب مع التطور التقني. هذا المنهج التشريعي القائم على المرونة يضمن بقاء النظام متسقًا مع تطورات المهنة دون أن يفقد صلته بمبادئ العدالة</w:t>
      </w:r>
      <w:r>
        <w:rPr>
          <w:rFonts w:asciiTheme="majorBidi" w:hAnsiTheme="majorBidi" w:cstheme="majorBidi"/>
          <w:color w:val="000000" w:themeColor="text1"/>
          <w:sz w:val="24"/>
          <w:szCs w:val="24"/>
        </w:rPr>
        <w:t>.</w:t>
      </w:r>
    </w:p>
    <w:p w14:paraId="2585CC1A" w14:textId="77777777" w:rsidR="00974C84" w:rsidRPr="00974C84" w:rsidRDefault="00974C84" w:rsidP="00974C8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أن قوة النظام تتجلى في ارتباطه الوثيق بمنظومة الأنظمة العدلية السعودية التي شهدت خلال السنوات الأخيرة تحديثًا شاملًا، مثل نظام الإثبات ونظام الإجراءات الجزائية ونظام حماية البيانات الشخصية ونظام المعاملات المدنية. وهذه الأنظمة تمثل البيئة القانونية المساندة التي يمكن من خلالها إعادة تفسير أحكام نظام المحاماة في سياق التحول الرقمي. فعلى سبيل المثال، يمكن ربط الالتزام بسرية الموكلين بما ورد في نظام حماية البيانات الشخصية من ضوابط صارمة لحفظ ومعالجة المعلومات، وبذلك يمتد مفهوم السرية المهنية إلى المجال الرقمي من خلال شبكة متكاملة من الأنظمة. وقد أشار الدكتور نايف الغنامي</w:t>
      </w:r>
      <w:r>
        <w:rPr>
          <w:rStyle w:val="af"/>
          <w:rFonts w:asciiTheme="majorBidi" w:hAnsiTheme="majorBidi" w:cstheme="majorBidi"/>
          <w:color w:val="000000" w:themeColor="text1"/>
          <w:sz w:val="24"/>
          <w:szCs w:val="24"/>
          <w:rtl/>
        </w:rPr>
        <w:footnoteReference w:id="89"/>
      </w:r>
      <w:r>
        <w:rPr>
          <w:rFonts w:asciiTheme="majorBidi" w:hAnsiTheme="majorBidi" w:cstheme="majorBidi"/>
          <w:color w:val="000000" w:themeColor="text1"/>
          <w:sz w:val="24"/>
          <w:szCs w:val="24"/>
          <w:rtl/>
        </w:rPr>
        <w:t xml:space="preserve"> في رسالته عن الضوابط القانونية للذكاء الاصطناعي إلى أن قوة النظام القانوني السعودي تكمن في تكامله الهيكلي، لا في استقلالية كل نظام عن الآخر، وهو ما يسمح بإعادة بناء الإطار المهني للمحاماة على أسس رقمية متماسكة دون إخلال بالمنظومة التشريعية القائمة</w:t>
      </w:r>
      <w:r>
        <w:rPr>
          <w:rFonts w:asciiTheme="majorBidi" w:hAnsiTheme="majorBidi" w:cstheme="majorBidi"/>
          <w:color w:val="000000" w:themeColor="text1"/>
          <w:sz w:val="24"/>
          <w:szCs w:val="24"/>
        </w:rPr>
        <w:t>.</w:t>
      </w:r>
    </w:p>
    <w:p w14:paraId="18F3BA52" w14:textId="77777777" w:rsidR="00974C84" w:rsidRPr="00974C84" w:rsidRDefault="00974C84"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ويُضاف إلى ذلك أن النظام يكرّس في جوهره فكرة الرقابة المؤسسية والمساءلة المهنية، وهما عنصران يشكلان أساسًا يمكن من خلاله تطوير نظم محاسبة رقمية للممارسات التقنية داخل مكاتب المحاماة. فوجود لجان تأديبية </w:t>
      </w:r>
      <w:r>
        <w:rPr>
          <w:rFonts w:asciiTheme="majorBidi" w:hAnsiTheme="majorBidi" w:cstheme="majorBidi"/>
          <w:color w:val="000000" w:themeColor="text1"/>
          <w:sz w:val="24"/>
          <w:szCs w:val="24"/>
          <w:rtl/>
        </w:rPr>
        <w:lastRenderedPageBreak/>
        <w:t>مستقلة وهيئة تنظيمية مهنية كهيئة المحامين السعوديين يمنح المشرّع أداة فعّالة لفرض المعايير الأخلاقية والتنظيمية في بيئة العمل الذكية. وقد أكدت رسالة فاطمة بلال أن الإطار المهني السعودي يمتلك مقومات التحول إلى نموذج عدلي رقمي متكامل لأنه يربط الأداء المهني برقابة مؤسسية دائمة، وهذا يسهّل إدماج الذكاء الاصطناعي في المهنة دون أن يؤدي إلى فوضى مهنية أو تضارب في المسؤوليات</w:t>
      </w:r>
      <w:r>
        <w:rPr>
          <w:rFonts w:asciiTheme="majorBidi" w:hAnsiTheme="majorBidi" w:cstheme="majorBidi"/>
          <w:color w:val="000000" w:themeColor="text1"/>
          <w:sz w:val="24"/>
          <w:szCs w:val="24"/>
        </w:rPr>
        <w:t>.</w:t>
      </w:r>
    </w:p>
    <w:p w14:paraId="593F8A18" w14:textId="77777777" w:rsidR="00974C84" w:rsidRPr="00974C84" w:rsidRDefault="00974C84"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أوجه القوة الأخرى أن النظام السعودي للمحاماة متسق مع المبادئ الأخلاقية العامة للعدالة كما نصت عليها وثيقة مبادئ أخلاقيات الذكاء الاصطناعي الصادرة عن الهيئة السعودية للبيانات والذكاء الاصطناعي (سدايا) عام 2023، والتي أكدت أن أي توظيف للذكاء الاصطناعي يجب أن يكون قائمًا على الشفافية والمساءلة وحماية الخصوصية. فالمبادئ الأخلاقية التي أقرها النظام – كالسرية والولاء والصدق – تتكامل مع هذه الوثيقة وتشكل أساسًا متينًا لبناء ضوابط مهنية تحكم استخدام التقنية في بيئة المحاماة. ويرى الدكتور ياسر محمد رجب</w:t>
      </w:r>
      <w:r>
        <w:rPr>
          <w:rStyle w:val="af"/>
          <w:rFonts w:asciiTheme="majorBidi" w:hAnsiTheme="majorBidi" w:cstheme="majorBidi"/>
          <w:color w:val="000000" w:themeColor="text1"/>
          <w:sz w:val="24"/>
          <w:szCs w:val="24"/>
          <w:rtl/>
        </w:rPr>
        <w:footnoteReference w:id="90"/>
      </w:r>
      <w:r>
        <w:rPr>
          <w:rFonts w:asciiTheme="majorBidi" w:hAnsiTheme="majorBidi" w:cstheme="majorBidi"/>
          <w:color w:val="000000" w:themeColor="text1"/>
          <w:sz w:val="24"/>
          <w:szCs w:val="24"/>
          <w:rtl/>
        </w:rPr>
        <w:t xml:space="preserve"> في دراسته المقارنة حول تأطير أخلاقيات الذكاء الاصطناعي أن المجتمعات القانونية التي تملك منظومات مهنية واضحة أكثر قدرة على تقنين التكنولوجيا من غيرها، لأن القيم الأخلاقية المترسخة توفر أساسًا تشريعيًا لتوجيه استخدام الأنظمة الذكية في الاتجاه الصحيح</w:t>
      </w:r>
      <w:r>
        <w:rPr>
          <w:rFonts w:asciiTheme="majorBidi" w:hAnsiTheme="majorBidi" w:cstheme="majorBidi"/>
          <w:color w:val="000000" w:themeColor="text1"/>
          <w:sz w:val="24"/>
          <w:szCs w:val="24"/>
        </w:rPr>
        <w:t>.</w:t>
      </w:r>
    </w:p>
    <w:p w14:paraId="75A19E4C"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ويتقاطع هذا الطرح مع ما خلصت إليه دراسة إسماعيل (2025م) من أن الدول التي تمتلك منظومات مهنية ناضجة، كما هو الحال في المملكة العربية السعودية بعد رؤية 2030، تملك قدرة تنظيمية أعلى على استيعاب أخلاقيات الذكاء الاصطناعي وتحويلها إلى قواعد سلوكية ملزمة داخل مكاتب المحاماة.</w:t>
      </w:r>
      <w:r w:rsidRPr="00000001">
        <w:rPr>
          <w:rtl/>
        </w:rPr>
        <w:footnoteReference w:id="91"/>
      </w:r>
    </w:p>
    <w:p w14:paraId="5442B2CF" w14:textId="77777777" w:rsidR="00974C84" w:rsidRPr="00974C84" w:rsidRDefault="00974C84"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ولا يمكن إغفال جانب آخر من جوانب القوة يتمثل في القابلية المؤسسية للنظام للتكامل مع رؤية المملكة 2030 وبرامج التحول العدلي. فقد أثبتت التجربة خلال السنوات الأخيرة أن النظام العدلي السعودي قادر على التحديث الذاتي السريع عبر إدخال الخدمات الإلكترونية في المحاكم، وتفعيل التقاضي عن بُعد، وتوسيع قاعدة البيانات القضائية الرقمية. هذا التوجه لا يتعارض مع نظام المحاماة، بل يعزّز دوره من خلال خلق بيئة قانونية حديثة تتطلب تطوير قدرات مكاتب المحاماة لتتكامل مع التحول الرقمي. وقد أوضحت دراسة المركز السعودي للأبحاث القضائية حول استخدام الذكاء الاصطناعي في المحاكم أن مهنة المحاماة تمثل أحد الأعمدة التي يجب تحديثها مواكبة للتحول العدلي الرقمي، لأن المحامي هو الوسيط الأساسي بين المواطن والمنصات القضائية</w:t>
      </w:r>
      <w:r>
        <w:rPr>
          <w:rFonts w:asciiTheme="majorBidi" w:hAnsiTheme="majorBidi" w:cstheme="majorBidi"/>
          <w:color w:val="000000" w:themeColor="text1"/>
          <w:sz w:val="24"/>
          <w:szCs w:val="24"/>
        </w:rPr>
        <w:t>.</w:t>
      </w:r>
    </w:p>
    <w:p w14:paraId="1DD289F1"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ويقابل ذلك ما أوضحه التونسي والمعلم (2024م) من أن الإطار التنظيمي السعودي يتميز بقابلية عالية للتكيف مع متطلبات حوكمة الذكاء الاصطناعي، لا سيما أن الأنظمة الصادرة في إطار رؤية 2030 تتضمن مبادئ مرونة تشريعية تتيح توسيع نطاق تطبيقها دون الحاجة إلى تعديلات جذرية في البنية النظامية القائمة.</w:t>
      </w:r>
      <w:r w:rsidRPr="00000001">
        <w:rPr>
          <w:rtl/>
        </w:rPr>
        <w:footnoteReference w:id="92"/>
      </w:r>
    </w:p>
    <w:p w14:paraId="310294C1" w14:textId="77777777" w:rsidR="00974C84" w:rsidRPr="00974C84" w:rsidRDefault="00974C84"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وبناء على ذلك، يمكن القول إن نظام المحاماة لا يقف في مواجهة التحول الرقمي، بل يحتوي ضمن بنيته الداخلية على عناصر قوة يمكن استثمارها لتطوير الإطار القانوني للذكاء الاصطناعي في المهنة. فمرونته في الصياغة، وتكامله مع الأنظمة العدلية، وارتباطه بالقيم الأخلاقية، ووجود مؤسسات مهنية رقابية قادرة على إصدار لوائح تفصيلية، كلها عوامل تجعل منه نظامًا مؤهلاً ليكون نواة لإطار تشريعي مستقبلي متكامل يحكم استخدام الذكاء الاصطناعي في خدمات مكاتب المحاماة، دون أن يمسّ جوهر المهنة أو استقلالها العدلي</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4B117E6A" w14:textId="77777777" w:rsidR="00974C84" w:rsidRDefault="00974C84" w:rsidP="00122234">
      <w:pPr>
        <w:jc w:val="right"/>
        <w:rPr>
          <w:rFonts w:asciiTheme="majorBidi" w:hAnsiTheme="majorBidi" w:cstheme="majorBidi"/>
          <w:b/>
          <w:bCs/>
          <w:color w:val="000000" w:themeColor="text1"/>
          <w:sz w:val="24"/>
          <w:szCs w:val="24"/>
        </w:rPr>
      </w:pPr>
    </w:p>
    <w:p w14:paraId="792B7B3A" w14:textId="77777777" w:rsidR="007F1A18" w:rsidRPr="00BC5F38" w:rsidRDefault="007F1A18" w:rsidP="00122234">
      <w:pPr>
        <w:jc w:val="right"/>
        <w:rPr>
          <w:rFonts w:asciiTheme="majorBidi" w:hAnsiTheme="majorBidi" w:cstheme="majorBidi"/>
          <w:b/>
          <w:bCs/>
          <w:color w:val="000000" w:themeColor="text1"/>
          <w:sz w:val="24"/>
          <w:szCs w:val="24"/>
          <w:rtl/>
        </w:rPr>
      </w:pPr>
    </w:p>
    <w:p w14:paraId="14234E4B" w14:textId="77777777" w:rsidR="001F1442" w:rsidRPr="001F1442" w:rsidRDefault="001F1442" w:rsidP="001F1442">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سابعًا: أوجه القصور التشريعي في ظل الذكاء الاصطناعي</w:t>
      </w:r>
    </w:p>
    <w:p w14:paraId="297F4E37"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lastRenderedPageBreak/>
        <w:t>وفي تفصيل أوجه القصور التشريعي، رصد المعلم ثماني ثغرات تنظيمية رئيسية في المنظومة التشريعية السعودية المتعلقة بالذكاء الاصطناعي القانوني، أبرزها: غياب اشتراط الترخيص لأنظمة الذكاء الاصطناعي المستخدمة في القطاع القانوني، وغياب آلية للإشعار الفوري عند وقوع خروقات بيانية تمس معلومات الموكلين، وغياب نظام تعويضي خاص بأضرار الذكاء الاصطناعي القانوني.</w:t>
      </w:r>
      <w:r w:rsidRPr="00000002">
        <w:rPr>
          <w:rtl/>
        </w:rPr>
        <w:footnoteReference w:id="93"/>
      </w:r>
    </w:p>
    <w:p w14:paraId="13E86BF3"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سياق أوجه القصور التشريعي، اعتبر الشراري أن أشد الثغرات خطورةً هي غياب نص يُحدّد الأثر القانوني لمخرجات الذكاء الاصطناعي في إجراءات التقاضي؛ فلا النظام السعودي ولا نظيره الكويتي يُجيب بوضوح على السؤال: هل يُعدّ المستند الصادر عن نظام ذكاء اصطناعي سنداً عرفياً أم دليلاً قرينياً أم مجرد رأي خبير استشاري؟ وهذا الغموض قد يُعرّض صحة الإجراءات للطعن.</w:t>
      </w:r>
      <w:r w:rsidRPr="00000001">
        <w:rPr>
          <w:rtl/>
        </w:rPr>
        <w:footnoteReference w:id="94"/>
      </w:r>
    </w:p>
    <w:p w14:paraId="56820631" w14:textId="77777777" w:rsidR="007F1A18" w:rsidRPr="007F1A18" w:rsidRDefault="007F1A18"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على الرغم من المرونة التي يتسم بها نظام المحاماة وقدرته على استيعاب التحولات المهنية، إلا أن تحليل نصوصه وتطبيقاته العملية يُظهر عدة أوجه قصور تشريعي عند مقارنته بالتحولات التقنية التي فرضتها الثورة الرقمية والذكاء الاصطناعي، الأمر الذي يستلزم عرض هذه المظاهر في عناوين فرعية مستقلة تسهّل القراءة والفصل بين المعلومات المستندة إلى المراجع ورأي الباحث</w:t>
      </w:r>
      <w:r>
        <w:rPr>
          <w:rFonts w:asciiTheme="majorBidi" w:hAnsiTheme="majorBidi" w:cstheme="majorBidi"/>
          <w:color w:val="000000" w:themeColor="text1"/>
          <w:sz w:val="24"/>
          <w:szCs w:val="24"/>
        </w:rPr>
        <w:t>.</w:t>
      </w:r>
    </w:p>
    <w:p w14:paraId="5534797D"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التعريفات التقنية في نصوص النظام</w:t>
      </w:r>
    </w:p>
    <w:p w14:paraId="59259BA2"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المقابل، استعرضت عبد الرحمن النموذج الأوروبي في تعريف الذكاء الاصطناعي المرتفع الخطورة في القانون الأوروبي للذكاء الاصطناعي الصادر عام 2024م، موضحةً أن هذا القانون يضع أنظمة الذكاء الاصطناعي المستخدمة في إجراءات التقاضي وإدارة العدالة ضمن الفئة الأعلى خطورة التي تستوجب أقصى درجات الرقابة والاشتراطات التقنية، وهو توجه يرى الباحث أنه جدير بالاعتبار في صياغة التشريعات السعودية المستقبلية.</w:t>
      </w:r>
      <w:r w:rsidRPr="00000002">
        <w:rPr>
          <w:rtl/>
        </w:rPr>
        <w:footnoteReference w:id="95"/>
      </w:r>
    </w:p>
    <w:p w14:paraId="12D06CEC"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مواجهة غياب التعريفات التقنية في نصوص الأنظمة القانونية، اقترح العرشاني أسلوب الإحالة التشريعية المرنة، وهو أن يُشير النص التشريعي إلى أن الذكاء الاصطناعي يُقصد به ما تُحدّده الهيئة المختصة بلائحة قابلة للتحديث بما يتواكب مع التطور التقني المتسارع، بدلاً من تضمين تعريف تقني جامد في صلب النص يُضحي متقادماً بسرعة.</w:t>
      </w:r>
      <w:r w:rsidRPr="00000002">
        <w:rPr>
          <w:rtl/>
        </w:rPr>
        <w:footnoteReference w:id="96"/>
      </w:r>
    </w:p>
    <w:p w14:paraId="60EF4FC2"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وفيما يخص غياب التعريفات التقنية في نصوص النظام، خلص المعيبد إلى أن الأنظمة الجزائية السعودية لا تتضمن أي تعريف لنظام الذكاء الاصطناعي أو لمفهوم الخوارزمية أو التعلم الآلي، مما يُفضي إلى إشكاليات إثبات جوهرية حين يستدعي الفصل في النزاع تحديداً دقيقاً لما إذا كانت الأداة المستخدمة تندرج فعلاً ضمن تعريف الذكاء الاصطناعي أم لا.</w:t>
      </w:r>
      <w:r w:rsidRPr="00000001">
        <w:rPr>
          <w:rtl/>
        </w:rPr>
        <w:footnoteReference w:id="97"/>
      </w:r>
    </w:p>
    <w:p w14:paraId="57D39DE4" w14:textId="77777777" w:rsidR="007F1A18" w:rsidRPr="007F1A18" w:rsidRDefault="007F1A18"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يُلاحظ غياب أي تعريف نظامي للمفاهيم التقنية الأساسية مثل التقنيات القانونية، البيانات الرقمية، والذكاء الاصطناعي القانوني. وقد أكدت مرام الربيع في دراستها حول المسؤولية المدنية عن أفعال الذكاء الاصطناعي </w:t>
      </w:r>
      <w:r>
        <w:rPr>
          <w:rFonts w:asciiTheme="majorBidi" w:hAnsiTheme="majorBidi" w:cstheme="majorBidi"/>
          <w:color w:val="000000" w:themeColor="text1"/>
          <w:sz w:val="24"/>
          <w:szCs w:val="24"/>
          <w:rtl/>
        </w:rPr>
        <w:lastRenderedPageBreak/>
        <w:t>أن غياب هذه المفاهيم يخلق فراغًا تشريعيًا يعوق تحديد مسؤوليات الأطراف التقنية والبشرية داخل الممارسة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إن غياب التعريفات يؤثر مباشرة في قدرة النظام على ضبط الممارسات التقنية الحديثة داخل البيئة القانونية</w:t>
      </w:r>
      <w:r>
        <w:rPr>
          <w:rFonts w:asciiTheme="majorBidi" w:hAnsiTheme="majorBidi" w:cstheme="majorBidi"/>
          <w:color w:val="000000" w:themeColor="text1"/>
          <w:sz w:val="24"/>
          <w:szCs w:val="24"/>
        </w:rPr>
        <w:t>.</w:t>
      </w:r>
    </w:p>
    <w:p w14:paraId="6C5D1A8D"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القصور في تنظيم معالجة البيانات القانونية الرقمية</w:t>
      </w:r>
    </w:p>
    <w:p w14:paraId="4AD0948C"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وفي الإطار المقارن، خلص العجماني وسيد إلى أن قصور التنظيم في مجال معالجة البيانات القانونية بالذكاء الاصطناعي يُمكن معالجته عبر مسار من مرحلتين: المرحلة الأولى تُركّز على تطوير المعايير الطوعية الإرشادية بالتشاور مع الجهات المهنية، والمرحلة الثانية تُحوّل هذه المعايير إلى اشتراطات ملزمة بعد اختبارها ميدانياً وتحقيق القبول المؤسسي اللازم.</w:t>
      </w:r>
      <w:r w:rsidRPr="00000002">
        <w:rPr>
          <w:rtl/>
        </w:rPr>
        <w:footnoteReference w:id="98"/>
      </w:r>
    </w:p>
    <w:p w14:paraId="3EDFAC7B"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وفيما يتعلق بالقصور في تنظيم معالجة البيانات القانونية، أشار العطار والنوايسة إلى أن هذا القصور يتجلى بوضوح حين تُحلّل وقائع جريمة ما باستخدام منصة ذكاء اصطناعي تابعة لجهة خارج نطاق الاختصاص القضائي السعودي، مما يُثير تساؤلات معقدة حول الاختصاص الإجرائي وسيادة البيانات والحماية الجزائية للمعلومات الأمنية الحساسة.</w:t>
      </w:r>
      <w:r w:rsidRPr="00000002">
        <w:rPr>
          <w:rtl/>
        </w:rPr>
        <w:footnoteReference w:id="99"/>
      </w:r>
    </w:p>
    <w:p w14:paraId="25E8BA8F"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وبالنظر إلى القصور في تنظيم معالجة البيانات القانونية، رأت الأمين أن تدفق البيانات الحساسة من ملفات الدعاوى إلى منصات الذكاء الاصطناعي السحابية يُشكّل ثغرة تشريعية بالغة الخطورة، إذ لا يتضمن نظام المحاماة السعودي ما يُلزم المحامي بالحصول على موافقة مسبقة من موكله قبل إدخال وقائع قضيته في أداة ذكاء اصطناعي تابعة لجهة خارجية.</w:t>
      </w:r>
      <w:r w:rsidRPr="00000001">
        <w:rPr>
          <w:rtl/>
        </w:rPr>
        <w:footnoteReference w:id="100"/>
      </w:r>
    </w:p>
    <w:p w14:paraId="6C49CB8D"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لم يتناول النظام مسألة معالجة البيانات القانونية الإلكترونية، رغم أنّها محور أساسي في عمل المكاتب القانونية الحديثة. وأشار د. عبد الله حمادي في بحثه حول المسؤولية المدنية عن أفعال الذكاء الاصطناعي إلى أن عدم المواءمة بين نظام المحاماة ونظام حماية البيانات الشخصية يخلق تضاربًا في تحديد المسؤوليات عند تسرب البيانات</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إن الربط المباشر بين النظامين أصبح ضرورة مهنية لضمان حماية بيانات الموكلين</w:t>
      </w:r>
      <w:r>
        <w:rPr>
          <w:rFonts w:asciiTheme="majorBidi" w:hAnsiTheme="majorBidi" w:cstheme="majorBidi"/>
          <w:color w:val="000000" w:themeColor="text1"/>
          <w:sz w:val="24"/>
          <w:szCs w:val="24"/>
        </w:rPr>
        <w:t>.</w:t>
      </w:r>
    </w:p>
    <w:p w14:paraId="6612C4A0"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تنظيم واضح لاستخدام الأدوات التقنية في الأعمال القانونية</w:t>
      </w:r>
    </w:p>
    <w:p w14:paraId="790E173F"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المادة الثالثة من النظام لم توضّح حدود استخدام الأدوات الذكية في الأعمال الحساسة مثل الاستشارات وصياغة المذكرات. ويرى د. أحمد الحربي في دراسته حول الشخصية القانونية للذكاء الاصطناعي أن هذا الغموض يجعل المحامي في موقف غير محدد عند اعتماد الأنظمة الذكية في العمل المهني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كان من الواجب وضع معايير تنظّم الاستخدام المشروع للأدوات التقنية في الممارسات المهنية اليومية</w:t>
      </w:r>
      <w:r>
        <w:rPr>
          <w:rFonts w:asciiTheme="majorBidi" w:hAnsiTheme="majorBidi" w:cstheme="majorBidi"/>
          <w:color w:val="000000" w:themeColor="text1"/>
          <w:sz w:val="24"/>
          <w:szCs w:val="24"/>
        </w:rPr>
        <w:t>.</w:t>
      </w:r>
    </w:p>
    <w:p w14:paraId="2C9EC605"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عدم تحديد المسؤولية عند وقوع خطأ تقني</w:t>
      </w:r>
    </w:p>
    <w:p w14:paraId="621F8AA7"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تنص المادة (13) على مسؤولية المحامي عن العاملين في مكتبه، لكنها لم تُحدد المسؤولية عند وقوع خطأ تقني داخل المكتب القانوني. وأشار د. محمد خليل في بحثه المسؤولية القانونية عن أفعال الذكاء الاصطناعي إلى أن </w:t>
      </w:r>
      <w:r>
        <w:rPr>
          <w:rFonts w:asciiTheme="majorBidi" w:hAnsiTheme="majorBidi" w:cstheme="majorBidi"/>
          <w:color w:val="000000" w:themeColor="text1"/>
          <w:sz w:val="24"/>
          <w:szCs w:val="24"/>
          <w:rtl/>
        </w:rPr>
        <w:lastRenderedPageBreak/>
        <w:t>القانون لم يحدد مركز “الآلة الذكية” في المسؤولية المدنية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هذا القصور يجعل معالجة الأخطاء التقنية محل اجتهادات مختلفة وغير موحدة بين المكاتب</w:t>
      </w:r>
      <w:r>
        <w:rPr>
          <w:rFonts w:asciiTheme="majorBidi" w:hAnsiTheme="majorBidi" w:cstheme="majorBidi"/>
          <w:color w:val="000000" w:themeColor="text1"/>
          <w:sz w:val="24"/>
          <w:szCs w:val="24"/>
        </w:rPr>
        <w:t>.</w:t>
      </w:r>
    </w:p>
    <w:p w14:paraId="6F170487"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تنظيم ملكية المخرجات التي تنتجها الأنظمة الذكية</w:t>
      </w:r>
    </w:p>
    <w:p w14:paraId="6115A368"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النظام لم يحدد ملكية العقود أو المذكرات التي تولدها الأنظمة الذكية. وقد ناقش د. عبد العزيز العلي في بحثه العقود التجارية الذكية خطورة غياب التنظيم الخاص بحقوق الملكية الفكرية للمحتوى القانوني الناتج عن أدوات الذكاء الاصطناعي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تحديد المالك القانوني للمخرجات الذكية أصبح أمرًا جوهريًا في حماية الحقوق المهنية</w:t>
      </w:r>
      <w:r>
        <w:rPr>
          <w:rFonts w:asciiTheme="majorBidi" w:hAnsiTheme="majorBidi" w:cstheme="majorBidi"/>
          <w:color w:val="000000" w:themeColor="text1"/>
          <w:sz w:val="24"/>
          <w:szCs w:val="24"/>
        </w:rPr>
        <w:t>.</w:t>
      </w:r>
    </w:p>
    <w:p w14:paraId="162AAA12"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الضوابط الخاصة باستخدام البرمجيات الأجنبية في العمل القانوني</w:t>
      </w:r>
    </w:p>
    <w:p w14:paraId="7DCB2D7B"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تستخدم مكاتب المحاماة في المملكة أدوات تحليل قانوني أجنبية دون إطار نظامي ينظم ذلك. وأشار محمد إبراهيم مرسي في دراسته حول عقود الذكاء الاصطناعي عبر تقنية البلوك تشين إلى المخاطر المرتبطة بالاعتماد على أنظمة خارج الولاية السعودية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هذا القصور يثير قضايا تتعلق بالسيادة المعلوماتية وأمن بيانات القضايا</w:t>
      </w:r>
      <w:r>
        <w:rPr>
          <w:rFonts w:asciiTheme="majorBidi" w:hAnsiTheme="majorBidi" w:cstheme="majorBidi"/>
          <w:color w:val="000000" w:themeColor="text1"/>
          <w:sz w:val="24"/>
          <w:szCs w:val="24"/>
        </w:rPr>
        <w:t>.</w:t>
      </w:r>
    </w:p>
    <w:p w14:paraId="769CC9AE"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ضعف المحفزات النظامية لتبني التقنيات القانونية الوطنية</w:t>
      </w:r>
    </w:p>
    <w:p w14:paraId="77F21E1B"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رغم دعم رؤية 2030 للتحول الرقمي، لا يتضمن النظام نصوصًا تشجع على تطوير أدوات قانونية محلية. ويرى د. محمد سعيد خليل أن المشرّع بحاجة للانتقال من “التحكم المهني” إلى “التنظيم التطويري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تحفيز الابتكار القانوني المحلي يمثل خطوة رئيسية في بناء منظومة قانونية حديثة</w:t>
      </w:r>
      <w:r>
        <w:rPr>
          <w:rFonts w:asciiTheme="majorBidi" w:hAnsiTheme="majorBidi" w:cstheme="majorBidi"/>
          <w:color w:val="000000" w:themeColor="text1"/>
          <w:sz w:val="24"/>
          <w:szCs w:val="24"/>
        </w:rPr>
        <w:t>.</w:t>
      </w:r>
    </w:p>
    <w:p w14:paraId="1E79E26E"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معالجة التوازن بين السرية المهنية والشفافية التقنية</w:t>
      </w:r>
    </w:p>
    <w:p w14:paraId="44F049BD"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النظام لا يحدد ما إذا كان المحامي ملزمًا بالإفصاح عن استخدام الأنظمة الذكية في أعماله. وأشار د. عبد الله حمادي إلى أن السرية في البيئة الرقمية تختلف عن السرية التقليدية وتستلزم قواعد جديدة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تنظيم مسألة الإفصاح عن استخدام التقنية أصبح ضرورة لضبط الجانب الأخلاقي للمهنة</w:t>
      </w:r>
      <w:r>
        <w:rPr>
          <w:rFonts w:asciiTheme="majorBidi" w:hAnsiTheme="majorBidi" w:cstheme="majorBidi"/>
          <w:color w:val="000000" w:themeColor="text1"/>
          <w:sz w:val="24"/>
          <w:szCs w:val="24"/>
        </w:rPr>
        <w:t>.</w:t>
      </w:r>
    </w:p>
    <w:p w14:paraId="51499ED7" w14:textId="77777777" w:rsidR="007F1A18" w:rsidRPr="00AB2138" w:rsidRDefault="00AB2138" w:rsidP="00AB2138">
      <w:pPr>
        <w:jc w:val="right"/>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 xml:space="preserve">مما سبق </w:t>
      </w:r>
      <w:r>
        <w:rPr>
          <w:rFonts w:asciiTheme="majorBidi" w:hAnsiTheme="majorBidi" w:cstheme="majorBidi"/>
          <w:color w:val="000000" w:themeColor="text1"/>
          <w:sz w:val="24"/>
          <w:szCs w:val="24"/>
          <w:rtl/>
        </w:rPr>
        <w:t>يتضح أن نظام المحاماة، رغم ثباته، يحتاج إلى مراجعة شاملة تستوعب المفاهيم الرقمية الحديثة، وتربط المهنة بالضوابط التقنية والأخلاقية لاستخدام الذكاء الاصطناعي، وتحدد حدود المسؤولية القانونية، وتُعالج الفجوات الرقمية التي أصبحت جزءًا من الممارسة اليومية للمحامي</w:t>
      </w:r>
      <w:r>
        <w:rPr>
          <w:rFonts w:asciiTheme="majorBidi" w:hAnsiTheme="majorBidi" w:cstheme="majorBidi"/>
          <w:color w:val="000000" w:themeColor="text1"/>
          <w:sz w:val="24"/>
          <w:szCs w:val="24"/>
        </w:rPr>
        <w:t>.</w:t>
      </w:r>
    </w:p>
    <w:p w14:paraId="105F8D61" w14:textId="77777777" w:rsidR="001F1442" w:rsidRPr="001F1442" w:rsidRDefault="001F1442" w:rsidP="00D41CB7">
      <w:pPr>
        <w:jc w:val="right"/>
        <w:rPr>
          <w:rFonts w:asciiTheme="majorBidi" w:hAnsiTheme="majorBidi" w:cstheme="majorBidi"/>
          <w:color w:val="000000" w:themeColor="text1"/>
          <w:sz w:val="24"/>
          <w:szCs w:val="24"/>
          <w:rtl/>
        </w:rPr>
      </w:pPr>
    </w:p>
    <w:p w14:paraId="3CBF6B99" w14:textId="77777777" w:rsidR="000A1619" w:rsidRPr="000A1619" w:rsidRDefault="000A1619" w:rsidP="000A1619">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ثامنًا: التفسير القانوني الموسّع للنظام تمهيدًا للتطوير القانوني</w:t>
      </w:r>
    </w:p>
    <w:p w14:paraId="168FB09D"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وتُعدّ الترتيبات التنظيمية للهيئة السعودية للبيانات والذكاء الاصطناعي الصادرة بقرار مجلس الوزراء رقم (292) وتاريخ 1441/4/27هـ والمعدلة بقرار رقم (195) وتاريخ 1444/3/15هـ من أبرز الوثائق التنظيمية التي أرست البنية المؤسسية للحوكمة الرقمية في المملكة؛ إذ منحت الهيئة صلاحيات واسعة تشمل: وضع سياسات ومعايير وضوابط خاصة بالبيانات والذكاء الاصطناعي وتعميمها على الجهات الحكومية وغير الحكومية، ومتابعة الالتزام بها. وهذا يجعل الهيئة جهةً تنظيمية عليا في مجال الذكاء الاصطناعي تستلزم تفاعلًا تشريعيًا موازيًا من قِبَل المنظومة القانونية والمهنية.</w:t>
      </w:r>
      <w:r>
        <w:rPr>
          <w:rStyle w:val="af"/>
          <w:rFonts w:asciiTheme="majorBidi" w:hAnsiTheme="majorBidi" w:cstheme="majorBidi"/>
          <w:sz w:val="24"/>
          <w:szCs w:val="24"/>
          <w:rtl/>
        </w:rPr>
        <w:footnoteReference w:id="101"/>
      </w:r>
    </w:p>
    <w:p w14:paraId="21773D52"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تُعد التفسير القانوني الموسّع للنصوص القانونية من أبرز أدوات التطوير التشريعي في الأنظمة المعاصرة، فهي لا تهدف إلى تجاوز النص، بل إلى إحياء معناه في ضوء الواقع الرقمي المتجدد. وفي الحالة السعودية، يمكن القول إن نظام المحاماة — رغم صياغته التقليدية — يحمل قابلية تأويلية عالية تتيح إعادة تفسيره في سياق </w:t>
      </w:r>
      <w:r>
        <w:rPr>
          <w:rFonts w:asciiTheme="majorBidi" w:hAnsiTheme="majorBidi" w:cstheme="majorBidi"/>
          <w:color w:val="000000" w:themeColor="text1"/>
          <w:sz w:val="24"/>
          <w:szCs w:val="24"/>
          <w:rtl/>
        </w:rPr>
        <w:lastRenderedPageBreak/>
        <w:t>الثورة التقنية والذكاء الاصطناعي دون الحاجة إلى تعديل جذري في بنيته. فالمشرّع السعودي صاغ نصوص النظام بصياغات عامة مرنة تسمح باستيعاب التطور، وهو ما يشكل الأساس المنهجي لهذه القراءة</w:t>
      </w:r>
      <w:r>
        <w:rPr>
          <w:rFonts w:asciiTheme="majorBidi" w:hAnsiTheme="majorBidi" w:cstheme="majorBidi"/>
          <w:color w:val="000000" w:themeColor="text1"/>
          <w:sz w:val="24"/>
          <w:szCs w:val="24"/>
        </w:rPr>
        <w:t>.</w:t>
      </w:r>
    </w:p>
    <w:p w14:paraId="767834CC"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ويرى الغنامي (د.ت) في هذا الصدد أن التفسير الموسّع للنصوص النظامية السعودية، لا سيما نصوص نظام المحاماة ونظام التعاملات الإلكترونية، يُمكِّن من استيعاب منظومة الذكاء الاصطناعي ضمن الإطار القانوني القائم، دون انتظار تشريع مستقل قد يتأخر سنوات في ظل الإيقاع التسريعي للتقنية.</w:t>
      </w:r>
      <w:r w:rsidRPr="00000001">
        <w:rPr>
          <w:rtl/>
        </w:rPr>
        <w:footnoteReference w:id="102"/>
      </w:r>
    </w:p>
    <w:p w14:paraId="7C8E7748"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تظهر أولى بوادر هذا التأويل في </w:t>
      </w:r>
      <w:r>
        <w:rPr>
          <w:rFonts w:asciiTheme="majorBidi" w:hAnsiTheme="majorBidi" w:cstheme="majorBidi"/>
          <w:b/>
          <w:bCs/>
          <w:color w:val="000000" w:themeColor="text1"/>
          <w:sz w:val="24"/>
          <w:szCs w:val="24"/>
          <w:rtl/>
        </w:rPr>
        <w:t>المادة الأولى</w:t>
      </w:r>
      <w:r>
        <w:rPr>
          <w:rFonts w:asciiTheme="majorBidi" w:hAnsiTheme="majorBidi" w:cstheme="majorBidi"/>
          <w:color w:val="000000" w:themeColor="text1"/>
          <w:sz w:val="24"/>
          <w:szCs w:val="24"/>
          <w:rtl/>
        </w:rPr>
        <w:t xml:space="preserve"> من النظام التي تنص على أن </w:t>
      </w:r>
      <w:r>
        <w:rPr>
          <w:rFonts w:asciiTheme="majorBidi" w:hAnsiTheme="majorBidi" w:cstheme="majorBidi"/>
          <w:i/>
          <w:iCs/>
          <w:color w:val="000000" w:themeColor="text1"/>
          <w:sz w:val="24"/>
          <w:szCs w:val="24"/>
        </w:rPr>
        <w:t>"</w:t>
      </w:r>
      <w:r>
        <w:rPr>
          <w:rFonts w:asciiTheme="majorBidi" w:hAnsiTheme="majorBidi" w:cstheme="majorBidi"/>
          <w:i/>
          <w:iCs/>
          <w:color w:val="000000" w:themeColor="text1"/>
          <w:sz w:val="24"/>
          <w:szCs w:val="24"/>
          <w:rtl/>
        </w:rPr>
        <w:t>مهنة المحاماة تشارك السلطة القضائية في تحقيق العدالة</w:t>
      </w:r>
      <w:r>
        <w:rPr>
          <w:rFonts w:asciiTheme="majorBidi" w:hAnsiTheme="majorBidi" w:cstheme="majorBidi"/>
          <w:i/>
          <w:i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 xml:space="preserve">ورغم أن مفهوم العدالة كان تقليديًا يرتبط بالمرافعة الورقية والحضور المادي، إلا أن منظومة العدالة اليوم تقوم على منصات رقمية وأنظمة ذكية. وبذلك يمكن تفسير المشاركة في تحقيق العدالة — وفق التفسير القانوني الموسّع — على أنها تشمل المشاركة في </w:t>
      </w:r>
      <w:r>
        <w:rPr>
          <w:rFonts w:asciiTheme="majorBidi" w:hAnsiTheme="majorBidi" w:cstheme="majorBidi"/>
          <w:i/>
          <w:iCs/>
          <w:color w:val="000000" w:themeColor="text1"/>
          <w:sz w:val="24"/>
          <w:szCs w:val="24"/>
          <w:rtl/>
        </w:rPr>
        <w:t>بناء البيئة الرقمية للعدالة</w:t>
      </w:r>
      <w:r>
        <w:rPr>
          <w:rFonts w:asciiTheme="majorBidi" w:hAnsiTheme="majorBidi" w:cstheme="majorBidi"/>
          <w:color w:val="000000" w:themeColor="text1"/>
          <w:sz w:val="24"/>
          <w:szCs w:val="24"/>
          <w:rtl/>
        </w:rPr>
        <w:t>، واستخدام أدوات الذكاء الاصطناعي لتحسين كفاءة الخدمات العدلية وتسريع الفصل في المنازعات. وقد أشار الدكتور إبراهيم العيسى في بحثه عن القواعد المنظمة لاستخدامات الذكاء الاصطناعي إلى أن النصوص ذات الطبيعة الغائية تصلح كإطار قانوني لإدماج التقنيات الحديثة دون تعديل جوهري للنظام</w:t>
      </w:r>
      <w:r>
        <w:rPr>
          <w:rFonts w:asciiTheme="majorBidi" w:hAnsiTheme="majorBidi" w:cstheme="majorBidi"/>
          <w:color w:val="000000" w:themeColor="text1"/>
          <w:sz w:val="24"/>
          <w:szCs w:val="24"/>
        </w:rPr>
        <w:t>.</w:t>
      </w:r>
    </w:p>
    <w:p w14:paraId="00830B0F"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وقد استند محمود وعناني (د.ت) إلى التجارب القانونية المقارنة في فرنسا وكندا للإشارة إلى أن أولى بوادر التأويل الموسَّع في مجال الذكاء الاصطناعي القضائي بدأت بصدور قرارات قضائية قبلت الاستشهاد بالتقارير الذكية كقرائن مدعِّمة للدليل، لا كأدلة قاطعة، وهو ما يمكن تبنّيه في الاجتهاد القضائي السعودي.</w:t>
      </w:r>
      <w:r w:rsidRPr="00000001">
        <w:rPr>
          <w:rtl/>
        </w:rPr>
        <w:footnoteReference w:id="103"/>
      </w:r>
    </w:p>
    <w:p w14:paraId="3E4BE257"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وفيما يتعلق بتعزيز الاجتهاد القضائي من خلال التكوين المتخصص، دعا المعلم إلى إنشاء برامج تدريبية متخصصة للقضاة تُعنى بمعطيات الذكاء الاصطناعي وآثاره الإجرائية، مستنداً إلى أن الاجتهاد الرشيد في القضايا التقنية يتطلب إلماماً بالمفاهيم الأساسية للأنظمة الذكية، وإلا تحوّل الاجتهاد إلى محض تخمين في مواجهة حقائق تقنية غامضة.</w:t>
      </w:r>
      <w:r w:rsidRPr="00000002">
        <w:rPr>
          <w:rtl/>
        </w:rPr>
        <w:footnoteReference w:id="104"/>
      </w:r>
    </w:p>
    <w:p w14:paraId="0036FDAD"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وفي ضوء الاجتهاد القضائي المقارن في المسائل التقنية، استعرض العرشاني عدة قضايا أوروبية وأمريكية برزت فيها أنظمة الذكاء الاصطناعي طرفاً فاعلاً في النزاع، خالصاً إلى أن الاجتهاد القضائي في هذه الأنظمة يتسم بالحذر والتدرج، مع الميل إلى تطبيق المبادئ القانونية العامة بتكييفات مبتكرة بدلاً من انتظار التشريع الصريح.</w:t>
      </w:r>
      <w:r w:rsidRPr="00000002">
        <w:rPr>
          <w:rtl/>
        </w:rPr>
        <w:footnoteReference w:id="105"/>
      </w:r>
    </w:p>
    <w:p w14:paraId="58AE7B29"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وعلى صعيد الاجتهاد القضائي السعودي في هذا الشأن، لفتت الجلعود إلى أن عدم وجود سوابق قضائية راسخة في مسألة ذكاء اصطناعي يُنشئ عبء الإثبات من جهة، وضعف الاتساق في المعالجة القضائية من جهة أخرى؛ لأن كل قاضٍ يُعمل اجتهاده الخاص في ظل غياب الدليل التشريعي أو المرجع الفقهي الضابط.</w:t>
      </w:r>
      <w:r w:rsidRPr="00000001">
        <w:rPr>
          <w:rtl/>
        </w:rPr>
        <w:footnoteReference w:id="106"/>
      </w:r>
    </w:p>
    <w:p w14:paraId="38B7BF45"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كما يمكن تأويل </w:t>
      </w:r>
      <w:r>
        <w:rPr>
          <w:rFonts w:asciiTheme="majorBidi" w:hAnsiTheme="majorBidi" w:cstheme="majorBidi"/>
          <w:b/>
          <w:bCs/>
          <w:color w:val="000000" w:themeColor="text1"/>
          <w:sz w:val="24"/>
          <w:szCs w:val="24"/>
          <w:rtl/>
        </w:rPr>
        <w:t>المادة الثالثة عشرة</w:t>
      </w:r>
      <w:r>
        <w:rPr>
          <w:rFonts w:asciiTheme="majorBidi" w:hAnsiTheme="majorBidi" w:cstheme="majorBidi"/>
          <w:color w:val="000000" w:themeColor="text1"/>
          <w:sz w:val="24"/>
          <w:szCs w:val="24"/>
          <w:rtl/>
        </w:rPr>
        <w:t xml:space="preserve"> </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 xml:space="preserve">التي تنص على مسؤولية المحامي عن “الأعمال التي تتم تحت إشرافه” — لتشمل الأنظمة الذكية التي يعتمد عليها في أداء مهامه اليومية. فوفق هذا التفسير، يصبح النظام الذكي جزءًا من دائرة الإشراف المهني، ويتحمّل المحامي تبعات مخرجاته كما يتحمّل تبعات أفعال العاملين معه. </w:t>
      </w:r>
      <w:r>
        <w:rPr>
          <w:rFonts w:asciiTheme="majorBidi" w:hAnsiTheme="majorBidi" w:cstheme="majorBidi"/>
          <w:color w:val="000000" w:themeColor="text1"/>
          <w:sz w:val="24"/>
          <w:szCs w:val="24"/>
          <w:rtl/>
        </w:rPr>
        <w:lastRenderedPageBreak/>
        <w:t>وقد دعم الدكتور مصطفى الأسيوطي في دراسته حول حماية التصرفات القانونية بالذكاء الاصطناعي هذا الاتجاه، مؤكدًا أن الوسائل التقنية الحديثة يمكن إدخالها في الإطار القانوني القائم عبر التفسير دون الحاجة إلى إنشاء كيانات قانونية جديدة</w:t>
      </w:r>
      <w:r>
        <w:rPr>
          <w:rFonts w:asciiTheme="majorBidi" w:hAnsiTheme="majorBidi" w:cstheme="majorBidi"/>
          <w:color w:val="000000" w:themeColor="text1"/>
          <w:sz w:val="24"/>
          <w:szCs w:val="24"/>
        </w:rPr>
        <w:t>.</w:t>
      </w:r>
    </w:p>
    <w:p w14:paraId="7C318717"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ويمكن أيضًا إعادة تفسير النصوص المتعلقة بآداب المهنة وواجباتها، الواردة في </w:t>
      </w:r>
      <w:r>
        <w:rPr>
          <w:rFonts w:asciiTheme="majorBidi" w:hAnsiTheme="majorBidi" w:cstheme="majorBidi"/>
          <w:b/>
          <w:bCs/>
          <w:color w:val="000000" w:themeColor="text1"/>
          <w:sz w:val="24"/>
          <w:szCs w:val="24"/>
          <w:rtl/>
        </w:rPr>
        <w:t>المادة الثالثة</w:t>
      </w:r>
      <w:r>
        <w:rPr>
          <w:rFonts w:asciiTheme="majorBidi" w:hAnsiTheme="majorBidi" w:cstheme="majorBidi"/>
          <w:color w:val="000000" w:themeColor="text1"/>
          <w:sz w:val="24"/>
          <w:szCs w:val="24"/>
          <w:rtl/>
        </w:rPr>
        <w:t xml:space="preserve"> و</w:t>
      </w:r>
      <w:r>
        <w:rPr>
          <w:rFonts w:asciiTheme="majorBidi" w:hAnsiTheme="majorBidi" w:cstheme="majorBidi"/>
          <w:b/>
          <w:bCs/>
          <w:color w:val="000000" w:themeColor="text1"/>
          <w:sz w:val="24"/>
          <w:szCs w:val="24"/>
          <w:rtl/>
        </w:rPr>
        <w:t>المادة الحادية عشرة</w:t>
      </w:r>
      <w:r>
        <w:rPr>
          <w:rFonts w:asciiTheme="majorBidi" w:hAnsiTheme="majorBidi" w:cstheme="majorBidi"/>
          <w:color w:val="000000" w:themeColor="text1"/>
          <w:sz w:val="24"/>
          <w:szCs w:val="24"/>
          <w:rtl/>
        </w:rPr>
        <w:t>، بما يتسع ليشمل الالتزامات الرقمية الحديثة؛ فالقيم التي نص عليها النظام — مثل الأمانة والسرية والصدق — جاءت كقيم عامة غير محصورة، مما يتيح مدّها لتشمل حماية البيانات الإلكترونية، وتأمين المعلومات، والامتناع عن إدخال بيانات الموكلين في أنظمة غير مرخصة. ويجد هذا التفسير سنده في مبادئ وثيقة سدايا لأخلاقيات الذكاء الاصطناعي التي تؤكد أن حماية الخصوصية مسؤولية مشتركة بين الإنسان والتقنية</w:t>
      </w:r>
      <w:r>
        <w:rPr>
          <w:rFonts w:asciiTheme="majorBidi" w:hAnsiTheme="majorBidi" w:cstheme="majorBidi"/>
          <w:color w:val="000000" w:themeColor="text1"/>
          <w:sz w:val="24"/>
          <w:szCs w:val="24"/>
        </w:rPr>
        <w:t>.</w:t>
      </w:r>
    </w:p>
    <w:p w14:paraId="13187312"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وعلى صعيد التطور الفقهي في مسألة السرية، لفتت عبد الرحمن إلى أن الفقه القانوني المقارن انتقل من تصور السرية واجباً سلبياً يقتضي عدم الإفصاح، إلى تصورها واجباً إيجابياً يستلزم اتخاذ الإجراءات الكافية لحفظ المعلومات من الاطلاع غير المشروع؛ وهو تطور جوهري يرتد أثره مباشرة على مسؤولية المحامي الذي يستخدم منصات ذكاء اصطناعي دون ضمانات أمنية كافية.</w:t>
      </w:r>
      <w:r w:rsidRPr="00000002">
        <w:rPr>
          <w:rtl/>
        </w:rPr>
        <w:footnoteReference w:id="107"/>
      </w:r>
    </w:p>
    <w:p w14:paraId="2C033ACE"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وبالنسبة للمادة الحادية عشرة الضامنة لمبدأ السرية، رأى العجماني وسيد أن هذه المادة وأمثالها في الأنظمة الخليجية تُجسّد مبدأً أعمق من مجرد واجب تعاقدي، إذ هي التزام مهني نظامي يمتد إلى ما بعد انتهاء العلاقة بالموكل، وأن هذا الامتداد يستوجب بالضرورة سريانه على أي بيانات مُدخَلة في أنظمة ذكاء اصطناعي طوال فترة احتفاظها بهذه البيانات.</w:t>
      </w:r>
      <w:r w:rsidRPr="00000002">
        <w:rPr>
          <w:rtl/>
        </w:rPr>
        <w:footnoteReference w:id="108"/>
      </w:r>
    </w:p>
    <w:p w14:paraId="12F3AC55"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وفي ما يخص المادة الحادية عشرة المتعلقة بالسر المهني وضمانات السرية، وصف الغنامي الوضع الراهن بأنه يفتقر إلى نص صريح يُجرّم إفشاء أسرار الموكل عبر منصات الذكاء الاصطناعي غير الآمنة، مقترحاً أن يُعدَّل النظام لينص صراحةً على أن واجب السرية يمتد إلى أي طريقة أو وسيلة يُستعان بها في معالجة معلومات الموكل، بما يشمل الأدوات التقنية الذكية.</w:t>
      </w:r>
      <w:r w:rsidRPr="00000001">
        <w:rPr>
          <w:rtl/>
        </w:rPr>
        <w:footnoteReference w:id="109"/>
      </w:r>
    </w:p>
    <w:p w14:paraId="2926F4E6"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ومن جهة أخرى، يمكن الاستفادة من </w:t>
      </w:r>
      <w:r>
        <w:rPr>
          <w:rFonts w:asciiTheme="majorBidi" w:hAnsiTheme="majorBidi" w:cstheme="majorBidi"/>
          <w:b/>
          <w:bCs/>
          <w:color w:val="000000" w:themeColor="text1"/>
          <w:sz w:val="24"/>
          <w:szCs w:val="24"/>
          <w:rtl/>
        </w:rPr>
        <w:t>المادة (١١) من نظام الإثبات لعام 1443هـ</w:t>
      </w:r>
      <w:r>
        <w:rPr>
          <w:rFonts w:asciiTheme="majorBidi" w:hAnsiTheme="majorBidi" w:cstheme="majorBidi"/>
          <w:color w:val="000000" w:themeColor="text1"/>
          <w:sz w:val="24"/>
          <w:szCs w:val="24"/>
          <w:rtl/>
        </w:rPr>
        <w:t xml:space="preserve"> التي أقرت حجية الأدلة الرقمية متى توافرت متطلبات الموثوقية، لتوسيع نطاق القواعد التي يمكن للمحامي الاستناد إليها عند استخدام أدوات الذكاء الاصطناعي في إعداد المذكرات والعقود. فإذا ثبت للمحامي أن الأداة الذكية المستخدمة معتمدة وتعمل تحت معايير مهنية، يمكن اعتبار مخرجاتها مستندًا ذا حجية في العمل القانوني وفقًا لروح النظام</w:t>
      </w:r>
      <w:r>
        <w:rPr>
          <w:rFonts w:asciiTheme="majorBidi" w:hAnsiTheme="majorBidi" w:cstheme="majorBidi"/>
          <w:color w:val="000000" w:themeColor="text1"/>
          <w:sz w:val="24"/>
          <w:szCs w:val="24"/>
        </w:rPr>
        <w:t>.</w:t>
      </w:r>
    </w:p>
    <w:p w14:paraId="568DE1FC"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ويمكن كذلك قراءة أحكام علاقة المحامي بالجهات التنظيمية، الواردة في </w:t>
      </w:r>
      <w:r>
        <w:rPr>
          <w:rFonts w:asciiTheme="majorBidi" w:hAnsiTheme="majorBidi" w:cstheme="majorBidi"/>
          <w:b/>
          <w:bCs/>
          <w:color w:val="000000" w:themeColor="text1"/>
          <w:sz w:val="24"/>
          <w:szCs w:val="24"/>
          <w:rtl/>
        </w:rPr>
        <w:t>المادة (١٧)</w:t>
      </w:r>
      <w:r>
        <w:rPr>
          <w:rFonts w:asciiTheme="majorBidi" w:hAnsiTheme="majorBidi" w:cstheme="majorBidi"/>
          <w:color w:val="000000" w:themeColor="text1"/>
          <w:sz w:val="24"/>
          <w:szCs w:val="24"/>
          <w:rtl/>
        </w:rPr>
        <w:t>، قراءة تأويلية تسمح بتوسيع مفهوم “التعاون المؤسسي” ليشمل المشاركة في تطوير الأدوات الذكية المستخدمة في القطاع العدلي، وإنشاء لجان فنية مشتركة مع وزارة العدل وهيئة المحامين لتنظيم اعتماد التقنيات القانونية. وهذا الاتجاه يتوافق مع ما طرحه الدكتور ياسر رجب حول مفهوم “إدارة التقنية” كجزء من الدور التشريعي الحديث</w:t>
      </w:r>
      <w:r>
        <w:rPr>
          <w:rFonts w:asciiTheme="majorBidi" w:hAnsiTheme="majorBidi" w:cstheme="majorBidi"/>
          <w:color w:val="000000" w:themeColor="text1"/>
          <w:sz w:val="24"/>
          <w:szCs w:val="24"/>
        </w:rPr>
        <w:t>.</w:t>
      </w:r>
    </w:p>
    <w:p w14:paraId="1C2376DC"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أما </w:t>
      </w:r>
      <w:r>
        <w:rPr>
          <w:rFonts w:asciiTheme="majorBidi" w:hAnsiTheme="majorBidi" w:cstheme="majorBidi"/>
          <w:b/>
          <w:bCs/>
          <w:color w:val="000000" w:themeColor="text1"/>
          <w:sz w:val="24"/>
          <w:szCs w:val="24"/>
          <w:rtl/>
        </w:rPr>
        <w:t>نظام القضاء السعودي</w:t>
      </w:r>
      <w:r>
        <w:rPr>
          <w:rFonts w:asciiTheme="majorBidi" w:hAnsiTheme="majorBidi" w:cstheme="majorBidi"/>
          <w:color w:val="000000" w:themeColor="text1"/>
          <w:sz w:val="24"/>
          <w:szCs w:val="24"/>
          <w:rtl/>
        </w:rPr>
        <w:t xml:space="preserve">، وخاصة </w:t>
      </w:r>
      <w:r>
        <w:rPr>
          <w:rFonts w:asciiTheme="majorBidi" w:hAnsiTheme="majorBidi" w:cstheme="majorBidi"/>
          <w:b/>
          <w:bCs/>
          <w:color w:val="000000" w:themeColor="text1"/>
          <w:sz w:val="24"/>
          <w:szCs w:val="24"/>
          <w:rtl/>
        </w:rPr>
        <w:t>المادة السادسة</w:t>
      </w:r>
      <w:r>
        <w:rPr>
          <w:rFonts w:asciiTheme="majorBidi" w:hAnsiTheme="majorBidi" w:cstheme="majorBidi"/>
          <w:color w:val="000000" w:themeColor="text1"/>
          <w:sz w:val="24"/>
          <w:szCs w:val="24"/>
          <w:rtl/>
        </w:rPr>
        <w:t xml:space="preserve"> التي تنص على تعاون القضاة والمحامين والنيابة العامة لتحقيق العدالة، فيمكن أن يُقرأ في ضوء البيئة الرقمية باعتباره يشمل التعاون في تطوير البنية التقنية للعدالة، بما في ذلك المساهمة في تصميم واعتماد الأنظمة الذكية المستخدمة من قبل المحاكم ومكاتب المحاماة</w:t>
      </w:r>
      <w:r>
        <w:rPr>
          <w:rFonts w:asciiTheme="majorBidi" w:hAnsiTheme="majorBidi" w:cstheme="majorBidi"/>
          <w:color w:val="000000" w:themeColor="text1"/>
          <w:sz w:val="24"/>
          <w:szCs w:val="24"/>
        </w:rPr>
        <w:t>.</w:t>
      </w:r>
    </w:p>
    <w:p w14:paraId="1793A87F" w14:textId="77777777" w:rsidR="00780164" w:rsidRDefault="007F1A18" w:rsidP="007F1A18">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lastRenderedPageBreak/>
        <w:t>إن التفسير القانوني الموسّع للنظام لا تهدف إلى سدّ الفراغات فحسب، بل إلى إعادة إحياء النصوص بما يتوافق مع التحولات التقنية والاجتماعية التي تشهدها المملكة. فالنظام كُتب بروح مرنة قابلة للتطوير، وهو ما ينسجم مع التوجه السعودي نحو بناء منظومة عدلية رقمية ديناميكية. ويمكن القول إن التطوير التشريعي الأمثل لا يكون بإلغاء النصوص القائمة، بل بإعادة تفسيرها ودمجها واستثمار قيمها، لتشكيل نظام قانوني رقمي متكامل يجمع بين الأصالة العدلية والحداثة التقنية</w:t>
      </w:r>
      <w:r>
        <w:rPr>
          <w:rFonts w:asciiTheme="majorBidi" w:hAnsiTheme="majorBidi" w:cstheme="majorBidi" w:hint="cs"/>
          <w:color w:val="000000" w:themeColor="text1"/>
          <w:sz w:val="24"/>
          <w:szCs w:val="24"/>
          <w:rtl/>
        </w:rPr>
        <w:t>.</w:t>
      </w:r>
    </w:p>
    <w:p w14:paraId="16B3CA0F" w14:textId="77777777" w:rsidR="00780164" w:rsidRDefault="00780164" w:rsidP="007F1A18">
      <w:pPr>
        <w:jc w:val="right"/>
        <w:rPr>
          <w:rFonts w:asciiTheme="majorBidi" w:hAnsiTheme="majorBidi" w:cstheme="majorBidi"/>
          <w:color w:val="000000" w:themeColor="text1"/>
          <w:sz w:val="24"/>
          <w:szCs w:val="24"/>
          <w:rtl/>
        </w:rPr>
      </w:pPr>
    </w:p>
    <w:p w14:paraId="0A5B6497" w14:textId="77777777" w:rsidR="00780164" w:rsidRPr="00780164" w:rsidRDefault="00780164" w:rsidP="0078016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وفي ضوء ما تقدّم،</w:t>
      </w:r>
      <w:r>
        <w:rPr>
          <w:rFonts w:asciiTheme="majorBidi" w:hAnsiTheme="majorBidi" w:cstheme="majorBidi"/>
          <w:color w:val="000000" w:themeColor="text1"/>
          <w:sz w:val="24"/>
          <w:szCs w:val="24"/>
          <w:rtl/>
        </w:rPr>
        <w:t xml:space="preserve"> يتضح أن نظام المحاماة السعودي صدر في مرحلة تشريعية سابقة للتحول الرقمي، إلا أنه تأسس على بنية قانونية متينة هدفت إلى تعزيز العدالة وتنظيم المهنة في إطار مؤسسي قابل للتطور. وتتميز مهنة المحاماة بطبيعتها القانونية المركّبة، إذ تجمع بين الصفة العدلية العامة والحرية المهنية، وهو ما يجعلها قابلة من حيث الأصل لاستيعاب التقنيات الحديثة، بما في ذلك الذكاء الاصطناعي، شريطة أن تظل الرقابة الأخلاقية والقانونية قائمة على عمل المحامي ذاته بوصفه المسؤول المهني، لا على النظام التقني المستخدم. كما يُلاحظ أن البنية النصية للنظام ركزت في تنظيمها على الشخص الطبيعي والالتزامات التقليدية المرتبطة بالممارسة المهنية، دون إدراج مفاهيم رقمية صريحة، غير أن هذه النصوص اتسمت بقدر من المرونة يسمح بإدخال ضوابط تقنية ضمن الهيكل التشريعي القائم دون الحاجة إلى إعادة بناء النظام من جذوره</w:t>
      </w:r>
      <w:r>
        <w:rPr>
          <w:rFonts w:asciiTheme="majorBidi" w:hAnsiTheme="majorBidi" w:cstheme="majorBidi"/>
          <w:color w:val="000000" w:themeColor="text1"/>
          <w:sz w:val="24"/>
          <w:szCs w:val="24"/>
        </w:rPr>
        <w:t>.</w:t>
      </w:r>
    </w:p>
    <w:p w14:paraId="6F2E9EBD" w14:textId="77777777" w:rsidR="00C94490" w:rsidRDefault="00780164" w:rsidP="0078016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ومن ناحية أخرى،</w:t>
      </w:r>
      <w:r>
        <w:rPr>
          <w:rFonts w:asciiTheme="majorBidi" w:hAnsiTheme="majorBidi" w:cstheme="majorBidi"/>
          <w:color w:val="000000" w:themeColor="text1"/>
          <w:sz w:val="24"/>
          <w:szCs w:val="24"/>
          <w:rtl/>
        </w:rPr>
        <w:t xml:space="preserve"> أفرز التطور التقني، ولا سيما في مجالات الترافع والاستشارة والصياغة القانونية، تحديات عملية تتطلب تحديدًا دقيقًا لنطاق استخدام الذكاء الاصطناعي، والتمييز بين دوره كمساعد قانوني يدعم عمل المحامي، وبين تحوّله إلى بديل قد يمس جوهر المهنة ووظيفتها العدلية. وفي هذا السياق، تبرز اللائحة التنفيذية لنظام المحاماة بوصفها الأداة الأكثر مرونة لتنظيم هذه الاستخدامات، من خلال إصدار قواعد تفصيلية تضمن الاستخدام الآمن والمشروع للتقنيات القانونية. ورغم ما يتمتع به النظام من أوجه قوة تتمثل في مرونته، وارتباطه بالأنظمة العدلية الحديثة، وتوافقه مع مبادئ العدالة والشفافية، ووجود مؤسسات مهنية قادرة على الضبط والتقنين، إلا أن التحليل يكشف عن أوجه قصور تشريعي، من أبرزها غياب التعريفات النظامية للمفاهيم التقنية، وضعف الربط بين نظام المحاماة وأنظمة البيانات ذات الصلة، وعدم تنظيم المسؤولية عن الأخطاء التقنية، فضلًا عن غموض المركز النظامي للتقنية في الممارسة القانونية. ومن ثم، تبرز أهمية تبنّي قراءة تأويلية للنصوص القائمة، تسمح بتوسيع نطاق تطبيقها ليشمل استخدامات الذكاء الاصطناعي، من خلال تطوير الفهم التطبيقي للنصوص دون المساس بالبنية التشريعية أو الإخلال بالقيم العدلية التي يقوم عليها النظام</w:t>
      </w:r>
      <w:r>
        <w:rPr>
          <w:rFonts w:asciiTheme="majorBidi" w:hAnsiTheme="majorBidi" w:cstheme="majorBidi"/>
          <w:color w:val="000000" w:themeColor="text1"/>
          <w:sz w:val="24"/>
          <w:szCs w:val="24"/>
        </w:rPr>
        <w:t>.</w:t>
      </w:r>
    </w:p>
    <w:p w14:paraId="6A8CA71A" w14:textId="77777777" w:rsidR="00ED0A7F" w:rsidRPr="00BC5F38" w:rsidRDefault="00ED0A7F" w:rsidP="00C94490">
      <w:pPr>
        <w:jc w:val="right"/>
        <w:rPr>
          <w:rFonts w:asciiTheme="majorBidi" w:hAnsiTheme="majorBidi" w:cstheme="majorBidi"/>
          <w:color w:val="000000" w:themeColor="text1"/>
          <w:sz w:val="24"/>
          <w:szCs w:val="24"/>
          <w:rtl/>
        </w:rPr>
      </w:pPr>
    </w:p>
    <w:p w14:paraId="30F386C2" w14:textId="77777777" w:rsidR="00C94490" w:rsidRPr="00D41CB7" w:rsidRDefault="00C94490" w:rsidP="00C94490">
      <w:pPr>
        <w:jc w:val="center"/>
        <w:rPr>
          <w:rFonts w:asciiTheme="majorBidi" w:hAnsiTheme="majorBidi" w:cstheme="majorBidi"/>
          <w:b/>
          <w:bCs/>
          <w:color w:val="000000" w:themeColor="text1"/>
          <w:sz w:val="32"/>
          <w:szCs w:val="32"/>
        </w:rPr>
      </w:pPr>
      <w:r>
        <w:rPr>
          <w:rFonts w:asciiTheme="majorBidi" w:hAnsiTheme="majorBidi" w:cstheme="majorBidi" w:hint="cs"/>
          <w:b/>
          <w:bCs/>
          <w:color w:val="000000" w:themeColor="text1"/>
          <w:sz w:val="32"/>
          <w:szCs w:val="32"/>
          <w:rtl/>
        </w:rPr>
        <w:t>المطلب الثاني</w:t>
      </w:r>
    </w:p>
    <w:p w14:paraId="0985930D" w14:textId="77777777" w:rsidR="00C94490" w:rsidRDefault="00ED0A7F" w:rsidP="00ED0A7F">
      <w:pPr>
        <w:jc w:val="center"/>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tl/>
        </w:rPr>
        <w:t>دور الأنظمة المكملة في تنظيم توظيف الذكاء الاصطناعي في مكاتب المحاماة</w:t>
      </w:r>
    </w:p>
    <w:p w14:paraId="646713A4" w14:textId="77777777" w:rsidR="005B3BD6" w:rsidRDefault="005B3BD6" w:rsidP="00ED0A7F">
      <w:pPr>
        <w:jc w:val="center"/>
        <w:rPr>
          <w:rFonts w:asciiTheme="majorBidi" w:hAnsiTheme="majorBidi" w:cstheme="majorBidi"/>
          <w:b/>
          <w:bCs/>
          <w:color w:val="000000" w:themeColor="text1"/>
          <w:sz w:val="28"/>
          <w:szCs w:val="28"/>
          <w:rtl/>
        </w:rPr>
      </w:pPr>
    </w:p>
    <w:p w14:paraId="61696413" w14:textId="77777777" w:rsidR="005B3BD6" w:rsidRDefault="005B3BD6" w:rsidP="005B3BD6">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لا يمكن دراسة الإطار القانوني المنظم لتوظيف الذكاء الاصطناعي في مكاتب المحاماة بمعزل عن المنظومة العدلية السعودية الكلية، إذ إن مهنة المحاماة ليست جزيرة قانونية مستقلة، بل هي جزء من شبكة تشريعية أوسع تشمل أنظمة العدالة، والمعاملات، والبيانات، والإثبات، والمسؤولية، وكلها تتقاطع في ضبط السلوك المهني في البيئة الرقمية. ومن خلال هذه الأنظمة المتكاملة، تتضح معالم البنية القانونية التي يمكن أن تستوعب التطورات التقنية في الممارسة القانونية وتُعيد تعريف مفهوم العمل المهني في ضوء أدوات الذكاء الاصطناعي</w:t>
      </w:r>
      <w:r>
        <w:rPr>
          <w:rFonts w:asciiTheme="majorBidi" w:hAnsiTheme="majorBidi" w:cstheme="majorBidi" w:hint="cs"/>
          <w:color w:val="000000" w:themeColor="text1"/>
          <w:sz w:val="24"/>
          <w:szCs w:val="24"/>
          <w:rtl/>
        </w:rPr>
        <w:t>.</w:t>
      </w:r>
    </w:p>
    <w:p w14:paraId="23312384" w14:textId="77777777" w:rsidR="0095427D" w:rsidRPr="0095427D" w:rsidRDefault="0095427D" w:rsidP="0095427D">
      <w:pPr>
        <w:jc w:val="right"/>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 xml:space="preserve">أولا: </w:t>
      </w:r>
      <w:r>
        <w:rPr>
          <w:rFonts w:asciiTheme="majorBidi" w:hAnsiTheme="majorBidi" w:cstheme="majorBidi"/>
          <w:b/>
          <w:bCs/>
          <w:color w:val="000000" w:themeColor="text1"/>
          <w:sz w:val="24"/>
          <w:szCs w:val="24"/>
          <w:rtl/>
        </w:rPr>
        <w:t>نظام حماية البيانات الشخصية (1443هـ)</w:t>
      </w:r>
    </w:p>
    <w:p w14:paraId="2F2C4709"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يُعد نظام حماية البيانات الشخصية الصادر عام 1443هـ الإطار النظامي الأهم في المملكة لتنظيم جمع البيانات ومعالجتها وحفظها، وهو من أكثر الأنظمة ارتباطًا بموضوع الرسالة، لأن الذكاء الاصطناعي في مكاتب المحاماة يقوم جوهريًا على تحليل ومعالجة بيانات قانونية وشخصية عالية الحساسية. فالمحامي الذي يستخدم </w:t>
      </w:r>
      <w:r>
        <w:rPr>
          <w:rFonts w:asciiTheme="majorBidi" w:hAnsiTheme="majorBidi" w:cstheme="majorBidi"/>
          <w:color w:val="000000" w:themeColor="text1"/>
          <w:sz w:val="24"/>
          <w:szCs w:val="24"/>
          <w:rtl/>
        </w:rPr>
        <w:lastRenderedPageBreak/>
        <w:t>نظامًا ذكياً لصياغة العقود، أو لتتبع الدعاوى، أو لتحليل الأنظمة والوقائع، يصبح في مواجهة مباشرة مع التزامات نظامية تفرضها عليه مواد النظام، خصوصًا المادة الخامسة التي تُلزم بعدم معالجة البيانات إلا بعد موافقة صريحة، والمادة الثانية عشرة التي تُحظر نقل البيانات إلى خارج المملكة دون تقويم مخاطر معتمد</w:t>
      </w:r>
      <w:r>
        <w:rPr>
          <w:rFonts w:asciiTheme="majorBidi" w:hAnsiTheme="majorBidi" w:cstheme="majorBidi"/>
          <w:color w:val="000000" w:themeColor="text1"/>
          <w:sz w:val="24"/>
          <w:szCs w:val="24"/>
        </w:rPr>
        <w:t>.</w:t>
      </w:r>
    </w:p>
    <w:p w14:paraId="50ADF411"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الناحية التحليلية، يمكن القول إن هذا النظام ينقل مفهوم السرية المهنية التقليدية في المحاماة إلى مستوى السرية الرقمية، بحيث لم تعد الأمانة مقتصرة على حفظ الوثائق الورقية، بل تمتد إلى تأمين البيانات التي تعالجها الأنظمة الذكية داخل المكتب. وهذا التحول يُعيد تعريف الالتزام المهني للمحامي ليصبح التزامًا مزدوجًا: قانونيًّا بموجب النظام، وأخلاقيًّا بموجب مبادئ العدالة الرقمية</w:t>
      </w:r>
      <w:r>
        <w:rPr>
          <w:rFonts w:asciiTheme="majorBidi" w:hAnsiTheme="majorBidi" w:cstheme="majorBidi"/>
          <w:color w:val="000000" w:themeColor="text1"/>
          <w:sz w:val="24"/>
          <w:szCs w:val="24"/>
        </w:rPr>
        <w:t>.</w:t>
      </w:r>
    </w:p>
    <w:p w14:paraId="3C791B2D"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ويؤكد خالد المالكي</w:t>
      </w:r>
      <w:r>
        <w:rPr>
          <w:rStyle w:val="af"/>
          <w:rFonts w:asciiTheme="majorBidi" w:hAnsiTheme="majorBidi" w:cstheme="majorBidi"/>
          <w:color w:val="000000" w:themeColor="text1"/>
          <w:sz w:val="24"/>
          <w:szCs w:val="24"/>
          <w:rtl/>
        </w:rPr>
        <w:footnoteReference w:id="110"/>
      </w:r>
      <w:r>
        <w:rPr>
          <w:rFonts w:asciiTheme="majorBidi" w:hAnsiTheme="majorBidi" w:cstheme="majorBidi"/>
          <w:color w:val="000000" w:themeColor="text1"/>
          <w:sz w:val="24"/>
          <w:szCs w:val="24"/>
          <w:rtl/>
        </w:rPr>
        <w:t xml:space="preserve"> (2024) أن مسؤولية المحامي في البيئة التقنية لا تقتصر على نتائج عمله البشري، بل تشمل إشرافه على الأدوات التقنية التي يستخدمها، ما يجعله مسؤولًا عن أي إخلال بنظام حماية البيانات الشخصية إذا نُفّذ بواسطة برنامج ذكاء اصطناعي تابع له. كما تشير مرام الربيع</w:t>
      </w:r>
      <w:r>
        <w:rPr>
          <w:rStyle w:val="af"/>
          <w:rFonts w:asciiTheme="majorBidi" w:hAnsiTheme="majorBidi" w:cstheme="majorBidi"/>
          <w:color w:val="000000" w:themeColor="text1"/>
          <w:sz w:val="24"/>
          <w:szCs w:val="24"/>
          <w:rtl/>
        </w:rPr>
        <w:footnoteReference w:id="111"/>
      </w:r>
      <w:r>
        <w:rPr>
          <w:rFonts w:asciiTheme="majorBidi" w:hAnsiTheme="majorBidi" w:cstheme="majorBidi"/>
          <w:color w:val="000000" w:themeColor="text1"/>
          <w:sz w:val="24"/>
          <w:szCs w:val="24"/>
          <w:rtl/>
        </w:rPr>
        <w:t xml:space="preserve"> (2022) إلى أن الخطأ في معالجة البيانات داخل الأنظمة الذكية يدخل ضمن المسؤولية المدنية المهنية متى ثبت تقصير المحامي في التحقق من أمان النظام المستخدم</w:t>
      </w:r>
      <w:r>
        <w:rPr>
          <w:rFonts w:asciiTheme="majorBidi" w:hAnsiTheme="majorBidi" w:cstheme="majorBidi"/>
          <w:color w:val="000000" w:themeColor="text1"/>
          <w:sz w:val="24"/>
          <w:szCs w:val="24"/>
        </w:rPr>
        <w:t>.</w:t>
      </w:r>
    </w:p>
    <w:p w14:paraId="0D144F83"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وتتضح أهمية هذا النظام أيضًا من خلال الدليل الاسترشادي لتقويم مخاطر نقل البيانات الشخصية إلى خارج المملكة (سدايا، 2023)</w:t>
      </w:r>
      <w:r>
        <w:rPr>
          <w:rStyle w:val="af"/>
          <w:rFonts w:asciiTheme="majorBidi" w:hAnsiTheme="majorBidi" w:cstheme="majorBidi"/>
          <w:color w:val="000000" w:themeColor="text1"/>
          <w:sz w:val="24"/>
          <w:szCs w:val="24"/>
          <w:rtl/>
        </w:rPr>
        <w:footnoteReference w:id="112"/>
      </w:r>
      <w:r>
        <w:rPr>
          <w:rFonts w:asciiTheme="majorBidi" w:hAnsiTheme="majorBidi" w:cstheme="majorBidi"/>
          <w:color w:val="000000" w:themeColor="text1"/>
          <w:sz w:val="24"/>
          <w:szCs w:val="24"/>
          <w:rtl/>
        </w:rPr>
        <w:t>، الذي شدّد على أن الجهات المهنية – ومن ضمنها مكاتب المحاماة – يجب أن تجري تقييم أثر تقني قبل استخدام أي منصة ذكاء اصطناعي أجنبية لتحليل البيانات القانونية. وهذا يعكس بوضوح أن الدولة تتعامل مع الذكاء الاصطناعي بوصفه نشاطًا منظمًا يخضع للرقابة القانونية، وليس مجرد أداة فنية</w:t>
      </w:r>
      <w:r>
        <w:rPr>
          <w:rFonts w:asciiTheme="majorBidi" w:hAnsiTheme="majorBidi" w:cstheme="majorBidi"/>
          <w:color w:val="000000" w:themeColor="text1"/>
          <w:sz w:val="24"/>
          <w:szCs w:val="24"/>
        </w:rPr>
        <w:t>.</w:t>
      </w:r>
    </w:p>
    <w:p w14:paraId="5F3B16FA"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وبالتالي، فإن نظام حماية البيانات الشخصية يشكّل أحد أعمدة الإطار القانوني لتوظيف الذكاء الاصطناعي في مكاتب المحاماة، لأنه يوازن بين حق الموكل في الخصوصية وحق المحامي في استخدام التقنية لتطوير خدمته، مع وضع ضوابط دقيقة تضمن حماية الحقوق دون تعطيل الابتكار. وهو ما يتفق مع رؤية المملكة 2030 التي تربط التحول الرقمي بسيادة القانون وضمان الثقة في المنظومة العدلية</w:t>
      </w:r>
      <w:r>
        <w:rPr>
          <w:rFonts w:asciiTheme="majorBidi" w:hAnsiTheme="majorBidi" w:cstheme="majorBidi"/>
          <w:color w:val="000000" w:themeColor="text1"/>
          <w:sz w:val="24"/>
          <w:szCs w:val="24"/>
        </w:rPr>
        <w:t>.</w:t>
      </w:r>
    </w:p>
    <w:p w14:paraId="78ED4C1C"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t>ويضيف الغنامي (د.ت) أن اشتراط الحصول على موافقة مسبقة لمعالجة بيانات الموكل بواسطة الأنظمة الذكية يُعدّ التزامًا نظاميًا صريحًا يفرضه نظام حماية البيانات الشخصية الصادر بالمرسوم الملكي رقم م/19 لعام 1443هـ، وأن الإخلال بهذا الالتزام يُرتّب مسؤولية مدنية وتأديبية على المحامي المستخدِم للأداة الذكية.</w:t>
      </w:r>
      <w:r w:rsidRPr="00000001">
        <w:rPr>
          <w:rtl/>
        </w:rPr>
        <w:footnoteReference w:id="113"/>
      </w:r>
    </w:p>
    <w:p w14:paraId="428DBF77" w14:textId="77777777" w:rsidR="00ED0A7F" w:rsidRDefault="00ED0A7F" w:rsidP="005B3BD6">
      <w:pPr>
        <w:jc w:val="right"/>
        <w:rPr>
          <w:rFonts w:asciiTheme="majorBidi" w:hAnsiTheme="majorBidi" w:cstheme="majorBidi"/>
          <w:color w:val="000000" w:themeColor="text1"/>
          <w:sz w:val="24"/>
          <w:szCs w:val="24"/>
        </w:rPr>
      </w:pPr>
    </w:p>
    <w:p w14:paraId="52F70448" w14:textId="77777777" w:rsidR="004855F3" w:rsidRDefault="004855F3" w:rsidP="00A742CD">
      <w:pPr>
        <w:jc w:val="right"/>
        <w:rPr>
          <w:rFonts w:asciiTheme="majorBidi" w:hAnsiTheme="majorBidi" w:cstheme="majorBidi"/>
          <w:b/>
          <w:bCs/>
          <w:color w:val="000000" w:themeColor="text1"/>
          <w:rtl/>
        </w:rPr>
      </w:pPr>
      <w:r>
        <w:rPr>
          <w:rFonts w:asciiTheme="majorBidi" w:hAnsiTheme="majorBidi" w:cstheme="majorBidi" w:hint="cs"/>
          <w:b/>
          <w:bCs/>
          <w:color w:val="000000" w:themeColor="text1"/>
          <w:sz w:val="24"/>
          <w:szCs w:val="24"/>
          <w:rtl/>
        </w:rPr>
        <w:t xml:space="preserve">ثانياً : </w:t>
      </w:r>
      <w:r>
        <w:rPr>
          <w:rFonts w:asciiTheme="majorBidi" w:hAnsiTheme="majorBidi" w:cstheme="majorBidi"/>
          <w:b/>
          <w:bCs/>
          <w:color w:val="000000" w:themeColor="text1"/>
          <w:rtl/>
        </w:rPr>
        <w:t>نظام الإثبات (1443هـ)</w:t>
      </w:r>
      <w:r>
        <w:rPr>
          <w:rFonts w:asciiTheme="majorBidi" w:hAnsiTheme="majorBidi" w:cstheme="majorBidi" w:hint="cs"/>
          <w:b/>
          <w:bCs/>
          <w:color w:val="000000" w:themeColor="text1"/>
          <w:rtl/>
        </w:rPr>
        <w:t xml:space="preserve"> :</w:t>
      </w:r>
    </w:p>
    <w:p w14:paraId="696C2601"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t>وفي إطار نظام الإثبات الصادر عام 1443هـ، أوضحت دراسة مركز الدراسات والبحوث القانونية (2024م) أن النظام يتيح قبول الأدلة الرقمية بما فيها مخرجات الأنظمة الذكية، غير أن ذلك مشروط بضمان صحة الأداة الذكية المولِّدة للدليل وخلوّها من التحيز، مما يُلقي على عاتق المحامي عبء إثبات مصداقية الأداة قبل الاستناد إلى مخرجاتها.</w:t>
      </w:r>
      <w:r w:rsidRPr="00000001">
        <w:rPr>
          <w:rtl/>
        </w:rPr>
        <w:footnoteReference w:id="114"/>
      </w:r>
    </w:p>
    <w:p w14:paraId="74FAEB1F"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جاء نظام الإثبات لعام 1443هـ بوصفه أحد أبرز التحولات في البنية العدلية السعودية، إذ نقل الإثبات من بيئة يغلب عليها الطابع الورقي إلى بيئة تعترف رسميًا بالأدلة الإلكترونية والرقمية. وهذا التطور يرتبط بصورة </w:t>
      </w:r>
      <w:r>
        <w:rPr>
          <w:rFonts w:asciiTheme="majorBidi" w:hAnsiTheme="majorBidi" w:cstheme="majorBidi"/>
          <w:color w:val="000000" w:themeColor="text1"/>
          <w:sz w:val="24"/>
          <w:szCs w:val="24"/>
          <w:rtl/>
        </w:rPr>
        <w:lastRenderedPageBreak/>
        <w:t>مباشرة بموضوع الرسالة، لأن جزءًا كبيرًا من مخرجات أنظمة الذكاء الاصطناعي في مكاتب المحاماة يظهر في صورة مستندات رقمية، أو تحليلات إلكترونية، أو معاملات تتم عبر المنصات التقنية</w:t>
      </w:r>
      <w:r>
        <w:rPr>
          <w:rFonts w:asciiTheme="majorBidi" w:hAnsiTheme="majorBidi" w:cstheme="majorBidi"/>
          <w:color w:val="000000" w:themeColor="text1"/>
          <w:sz w:val="24"/>
          <w:szCs w:val="24"/>
        </w:rPr>
        <w:t>.</w:t>
      </w:r>
    </w:p>
    <w:p w14:paraId="591B00A4"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قرر النظام في عدد من مواده، وبصفة خاصة المادتين (8) و(9)، أن الأدلة الإلكترونية والمحررات الرقمية تعد حجّة معتبرة متى توافرت لها شروط معينة، من أهمها: إمكان نسبة المستند إلى صاحبه، وسلامة وسيلة حفظه ونقله، وعدم العبث بمحتواه. وهذه الشروط تُلقي بعبء مباشر على مكاتب المحاماة التي تعتمد على الذكاء الاصطناعي في إعداد المذكرات أو العقود؛ إذ لا يكفي أن ينتج النظام نصًا قانونيًا، بل يجب على المحامي التأكد من أن طريقة إنشاء النص وحفظه وتقديمه تتوافق مع معايير الموثوقية التي يضعها النظام</w:t>
      </w:r>
      <w:r>
        <w:rPr>
          <w:rFonts w:asciiTheme="majorBidi" w:hAnsiTheme="majorBidi" w:cstheme="majorBidi"/>
          <w:color w:val="000000" w:themeColor="text1"/>
          <w:sz w:val="24"/>
          <w:szCs w:val="24"/>
        </w:rPr>
        <w:t>.</w:t>
      </w:r>
    </w:p>
    <w:p w14:paraId="7BF4817F"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ويرتبط ذلك بشكل وثيق بآليات </w:t>
      </w:r>
      <w:r>
        <w:rPr>
          <w:rFonts w:asciiTheme="majorBidi" w:hAnsiTheme="majorBidi" w:cstheme="majorBidi"/>
          <w:b/>
          <w:bCs/>
          <w:color w:val="000000" w:themeColor="text1"/>
          <w:sz w:val="24"/>
          <w:szCs w:val="24"/>
          <w:rtl/>
        </w:rPr>
        <w:t>تحصيل الموافقة الصريحة</w:t>
      </w:r>
      <w:r>
        <w:rPr>
          <w:rFonts w:asciiTheme="majorBidi" w:hAnsiTheme="majorBidi" w:cstheme="majorBidi"/>
          <w:color w:val="000000" w:themeColor="text1"/>
          <w:sz w:val="24"/>
          <w:szCs w:val="24"/>
          <w:rtl/>
        </w:rPr>
        <w:t xml:space="preserve"> في التعاملات الرقمية، وهي من المسائل المحورية في النظام. فوفقًا لحكم المادة (25) من نظام الإثبات والمادة (4) من نظام حماية البيانات الشخصية، تُعد الموافقة الصريحة شرطًا لصلاحية التعامل مع البيانات أو المحررات الرقمية. وتشمل هذه الموافقة، وفقًا للنظامين، الموافقات الرقمية الموثقة من خلال التوقيع الإلكتروني أو البصمة الرقمية أو أي وسيلة تقنية تعتمدها الجهات المختصة، متى أمكن التحقق من هوية صاحبها وسلامة الإجراء. وهذا يفتح بابًا مهمًا يتعلق بمدى حجية التوقيعات الإلكترونية التي يتم توليدها من خلال أنظمة الذكاء الاصطناعي، وهل تعد توقيعًا صحيحًا. الاتجاه الغالب في الفقه النظامي السعودي يميل إلى أن التوقيع الإلكتروني صحيح متى كان صادرًا عن المستخدم البشري نفسه أو تم تحت رقابته وإشرافه، أما التواقيع الآلية التي تُنشئها برامج الذكاء الاصطناعي دون تدخل بشري مباشر فلا تتمتع بالحجية إلا إذا صادق عليها المحامي صراحة</w:t>
      </w:r>
      <w:r>
        <w:rPr>
          <w:rFonts w:asciiTheme="majorBidi" w:hAnsiTheme="majorBidi" w:cstheme="majorBidi"/>
          <w:color w:val="000000" w:themeColor="text1"/>
          <w:sz w:val="24"/>
          <w:szCs w:val="24"/>
        </w:rPr>
        <w:t>.</w:t>
      </w:r>
    </w:p>
    <w:p w14:paraId="6E18D0E2"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وفيما يتعلق بالنماذج العملية لنماذج الموافقة، نبّهت عبد الرحمن إلى خطورة النماذج الجاهزة المطوّلة التي يوقّع عليها الموكل دون قراءة، مُقترِحةً اعتماد نموذج الموافقة الإلكترونية التفاعلية الذي يُلزم الموكل بالإجابة على أسئلة متعلقة بطبيعة الأداة المستخدمة قبل التوقيع، بما يُكرّس الموافقة المستنيرة الحقيقية ويُبعد الشك عن صحة الموافقة ومشروعيتها.</w:t>
      </w:r>
      <w:r w:rsidRPr="00000002">
        <w:rPr>
          <w:rtl/>
        </w:rPr>
        <w:footnoteReference w:id="115"/>
      </w:r>
    </w:p>
    <w:p w14:paraId="49124FBC"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وفي تحليل مدى إلزامية الموافقة الصريحة من المنظور الجزائي، أكد العطار والنوايسة أن غياب الموافقة الصريحة في الحالات التي يستوجبها القانون قد يُكيَّف جزائياً باعتباره تجاوزاً لحدود الوكالة وصورة من صور خيانة الأمانة المهنية، مستشهدَين بحالات مقارنة أُدين فيها محامون بتهمة الإخلال بالأمانة حين نقلوا معلومات الموكلين إلى أطراف ثالثة بلا إذن حتى وإن لم يقصدوا الإضرار.</w:t>
      </w:r>
      <w:r w:rsidRPr="00000002">
        <w:rPr>
          <w:rtl/>
        </w:rPr>
        <w:footnoteReference w:id="116"/>
      </w:r>
    </w:p>
    <w:p w14:paraId="5E89ACD9"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وفي سياق تحصيل الموافقة الصريحة المستنيرة، استعرض المعلم نموذج الموافقة الطبقية المعتمد في بعض التشريعات الرائدة، والذي يُفرّق بين موافقة الموكل على استخدام الذكاء الاصطناعي في المهام الروتينية، وموافقة خاصة على استخدامه في الاطلاع على البيانات الحساسة، وموافقة مشددة على استخدامه في التوصيات التي تمس حقوق جوهرية للموكل.</w:t>
      </w:r>
      <w:r w:rsidRPr="00000002">
        <w:rPr>
          <w:rtl/>
        </w:rPr>
        <w:footnoteReference w:id="117"/>
      </w:r>
    </w:p>
    <w:p w14:paraId="62B8DA98"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lastRenderedPageBreak/>
        <w:t>وفي هذا الإطار، دعت الأمين إلى اعتماد نموذج إفصاح مهني موحّد تُصدره هيئة المحامين السعوديين يُلزم كل محامٍ بالإفصاح كتابةً عن استخدامه لأنظمة الذكاء الاصطناعي في أعماله، ويُحدّد نوع الأنظمة المستخدمة وغرضها وضماناتها التقنية، بما يُحوّل الإفصاح من التزام أخلاقي إلى واجب نظامي قابل للتطبيق.</w:t>
      </w:r>
      <w:r w:rsidRPr="00000001">
        <w:rPr>
          <w:rtl/>
        </w:rPr>
        <w:footnoteReference w:id="118"/>
      </w:r>
    </w:p>
    <w:p w14:paraId="68A6EA49"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وفيما يتعلق بتحصيل الموافقة الصريحة من الموكل عند استخدام الذكاء الاصطناعي، أوضحت الخميسي أن هذه الموافقة لا ينبغي أن تكون مجرد إجراء شكلي في عقد الوكالة، بل ينبغي أن تكون موافقة مستنيرة حقيقية يُدرك معها الموكل طبيعة النظام المستخدم، ودرجة دقته، وطريقة حفظ بياناته، والجهة التي تتولى إدارة المنصة، وحدود المسؤولية في حال الخطأ.</w:t>
      </w:r>
      <w:r w:rsidRPr="00000001">
        <w:rPr>
          <w:rtl/>
        </w:rPr>
        <w:footnoteReference w:id="119"/>
      </w:r>
    </w:p>
    <w:p w14:paraId="6676D007"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ومن زاوية أخرى، يفتح نظام الإثبات الباب لتكوين "بيئة إثبات رقمية" داخل الممارسة المهنية، حيث يصبح التعامل مع الملفات الإلكترونية والمنصات العدلية الرقمية جزءًا من العمل اليومي للمحامي. وتزداد هذه البيئة تعقيدًا مع دخول الذكاء الاصطناعي في تحليل السوابق القضائية أو ترتيب المستندات أو تجهيز المذكرات، وهي مخرجات يمكن تقديمها أمام القضاء كمستندات أو تقارير رقمية. وهنا تبرز مسألة </w:t>
      </w:r>
      <w:r>
        <w:rPr>
          <w:rFonts w:asciiTheme="majorBidi" w:hAnsiTheme="majorBidi" w:cstheme="majorBidi"/>
          <w:b/>
          <w:bCs/>
          <w:color w:val="000000" w:themeColor="text1"/>
          <w:sz w:val="24"/>
          <w:szCs w:val="24"/>
          <w:rtl/>
        </w:rPr>
        <w:t>المسؤولية المهنية الرقمية</w:t>
      </w:r>
      <w:r>
        <w:rPr>
          <w:rFonts w:asciiTheme="majorBidi" w:hAnsiTheme="majorBidi" w:cstheme="majorBidi"/>
          <w:color w:val="000000" w:themeColor="text1"/>
          <w:sz w:val="24"/>
          <w:szCs w:val="24"/>
          <w:rtl/>
        </w:rPr>
        <w:t xml:space="preserve"> للمحامي؛ إذ تذهب مجلة الشريعة والقانون في دراستها حول الذكاء الاصطناعي والعمل القضائي إلى أن المهني لا يجوز له أن يتنصل من مسؤولية الدليل بحجة أن مصدره نظام ذكي، بل يظل ملزمًا بالتثبت من صحة الدليل ومنهج إنتاجه قبل تقديمه</w:t>
      </w:r>
      <w:r>
        <w:rPr>
          <w:rFonts w:asciiTheme="majorBidi" w:hAnsiTheme="majorBidi" w:cstheme="majorBidi"/>
          <w:color w:val="000000" w:themeColor="text1"/>
          <w:sz w:val="24"/>
          <w:szCs w:val="24"/>
        </w:rPr>
        <w:t>.</w:t>
      </w:r>
    </w:p>
    <w:p w14:paraId="771790C1"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أشارت الأبحاث المنشورة في مجلة العدالة حول المسؤولية عن الذكاء الاصطناعي إلى أن الأدلة الرقمية أصبحت تشمل سجلات إلكترونية وبيانات ميتاداتا وتقارير تحليلية تنتجها الأنظمة الذكية. وهذا يطرح سؤالًا جوهريًا</w:t>
      </w:r>
      <w:r>
        <w:rPr>
          <w:rFonts w:asciiTheme="majorBidi" w:hAnsiTheme="majorBidi" w:cstheme="majorBidi"/>
          <w:color w:val="000000" w:themeColor="text1"/>
          <w:sz w:val="24"/>
          <w:szCs w:val="24"/>
        </w:rPr>
        <w:t xml:space="preserve">: </w:t>
      </w:r>
      <w:r>
        <w:rPr>
          <w:rFonts w:asciiTheme="majorBidi" w:hAnsiTheme="majorBidi" w:cstheme="majorBidi"/>
          <w:b/>
          <w:bCs/>
          <w:color w:val="000000" w:themeColor="text1"/>
          <w:sz w:val="24"/>
          <w:szCs w:val="24"/>
          <w:rtl/>
        </w:rPr>
        <w:t>هل يُعدّ ما ينتجه الذكاء الاصطناعي دليلًا بذاته؟ أم مجرد أداة مساعدة لا تكتسب الحجية إلا بعد مراجعة المحامي واعتماده؟</w:t>
      </w:r>
      <w:r>
        <w:rPr>
          <w:rFonts w:asciiTheme="majorBidi" w:hAnsiTheme="majorBidi" w:cstheme="majorBidi"/>
          <w:color w:val="000000" w:themeColor="text1"/>
          <w:sz w:val="24"/>
          <w:szCs w:val="24"/>
          <w:rtl/>
        </w:rPr>
        <w:t xml:space="preserve"> الاتجاه السائد في الفقه النظامي السعودي يرى أن الأداة التقنية ليست “شخصًا” ذا ذمة قانونية، بل هي وسيلة في يد المحامي، وبالتالي فإن الحجية تُنسب إلى ما يعتمد عليه المحامي بعد فحصه وتدقيقه</w:t>
      </w:r>
      <w:r>
        <w:rPr>
          <w:rFonts w:asciiTheme="majorBidi" w:hAnsiTheme="majorBidi" w:cstheme="majorBidi"/>
          <w:color w:val="000000" w:themeColor="text1"/>
          <w:sz w:val="24"/>
          <w:szCs w:val="24"/>
        </w:rPr>
        <w:t>.</w:t>
      </w:r>
    </w:p>
    <w:p w14:paraId="5E1931C0"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ويمتد نطاق التأثير إلى مجال الخبرة الفنية، إذ قد يحتاج القاضي — مع انتشار الأنظمة الذكية — إلى الاطلاع على خبرة تقنية متخصصة لفهم آلية عمل النظام المستخدم من قبل المحامي أو الخصم. وهنا تصبح تقارير الخبرة التقنية جزءًا من الدليل الخاضع لأحكام نظام الإثبات. وبذلك يزداد العبء المهني على المحامي في اختيار أنظمة ذكاء اصطناعي قابلة للتفسير وليست "صناديق سوداء" لا يمكن فهم منهجها؛ لأن غموض الآلية قد يضعف من قوة الدليل أمام القضاء</w:t>
      </w:r>
      <w:r>
        <w:rPr>
          <w:rFonts w:asciiTheme="majorBidi" w:hAnsiTheme="majorBidi" w:cstheme="majorBidi"/>
          <w:color w:val="000000" w:themeColor="text1"/>
          <w:sz w:val="24"/>
          <w:szCs w:val="24"/>
        </w:rPr>
        <w:t>.</w:t>
      </w:r>
    </w:p>
    <w:p w14:paraId="0796737C"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وفي سياق رؤية المملكة 2030 وبرامج التحول الرقمي للقطاع العدلي، يبدو واضحًا أن نظام الإثبات جاء ليمنح الثقة الرسمية في الأدلة الرقمية ويقنن دخول التقنية في منظومة العدالة. وقد أشارت فاطمة بلال في دراستها حول دور الذكاء الاصطناعي في تعزيز العدالة الناجزة إلى أن الاعتراف بالمستندات الإلكترونية يشكل خطوة جوهرية في بناء منظومة عدلية تعتمد على التقنية. ومن ثمّ، يصبح نظام الإثبات عنصرًا محوريًا في الإطار القانوني لتوظيف الذكاء الاصطناعي في مكاتب المحاماة؛ لأنه يحدد متى يكون الناتج التقني دليلًا معتبرًا، ومتى يكون مجرد مسودة أو أداة داخلية لا ترقى إلى مرتبة الحجّة القضائية</w:t>
      </w:r>
      <w:r>
        <w:rPr>
          <w:rFonts w:asciiTheme="majorBidi" w:hAnsiTheme="majorBidi" w:cstheme="majorBidi"/>
          <w:color w:val="000000" w:themeColor="text1"/>
          <w:sz w:val="24"/>
          <w:szCs w:val="24"/>
        </w:rPr>
        <w:t>.</w:t>
      </w:r>
    </w:p>
    <w:p w14:paraId="31D922A1"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وباختصار، فإن نظام الإثبات لا يكتفي بالاعتراف بالأدلة الرقمية، بل يعيد تعريف دور المحامي في زمن الذكاء الاصطناعي؛ إذ يفرض عليه مسؤولية مضاعفة في التعامل مع المخرجات التقنية، وفحص صحتها، وتقديمها في </w:t>
      </w:r>
      <w:r>
        <w:rPr>
          <w:rFonts w:asciiTheme="majorBidi" w:hAnsiTheme="majorBidi" w:cstheme="majorBidi"/>
          <w:color w:val="000000" w:themeColor="text1"/>
          <w:sz w:val="24"/>
          <w:szCs w:val="24"/>
          <w:rtl/>
        </w:rPr>
        <w:lastRenderedPageBreak/>
        <w:t>إطار قانوني منضبط، بما يتوافق مع الهدف الرئيس للرسالة في وضع إطار قانوني سعودي متكامل ينظم توظيف الذكاء الاصطناعي في تطوير خدمات مكاتب المحاماة دون المساس بقواعد العدالة وحجية الإثبات</w:t>
      </w:r>
      <w:r>
        <w:rPr>
          <w:rFonts w:asciiTheme="majorBidi" w:hAnsiTheme="majorBidi" w:cstheme="majorBidi"/>
          <w:color w:val="000000" w:themeColor="text1"/>
          <w:sz w:val="24"/>
          <w:szCs w:val="24"/>
        </w:rPr>
        <w:t>.</w:t>
      </w:r>
    </w:p>
    <w:p w14:paraId="7212585F" w14:textId="77777777" w:rsidR="00A742CD" w:rsidRDefault="00A742CD" w:rsidP="00A742CD">
      <w:pPr>
        <w:jc w:val="right"/>
        <w:rPr>
          <w:rFonts w:asciiTheme="majorBidi" w:hAnsiTheme="majorBidi" w:cstheme="majorBidi"/>
          <w:color w:val="000000" w:themeColor="text1"/>
          <w:sz w:val="24"/>
          <w:szCs w:val="24"/>
        </w:rPr>
      </w:pPr>
    </w:p>
    <w:p w14:paraId="44D52534" w14:textId="77777777" w:rsidR="004855F3" w:rsidRPr="004855F3" w:rsidRDefault="004855F3" w:rsidP="004855F3">
      <w:pPr>
        <w:jc w:val="center"/>
        <w:rPr>
          <w:rFonts w:asciiTheme="majorBidi" w:hAnsiTheme="majorBidi" w:cstheme="majorBidi"/>
          <w:color w:val="000000" w:themeColor="text1"/>
          <w:sz w:val="24"/>
          <w:szCs w:val="24"/>
        </w:rPr>
      </w:pPr>
    </w:p>
    <w:p w14:paraId="40011CEC" w14:textId="77777777" w:rsidR="00925C7C" w:rsidRDefault="00925C7C" w:rsidP="00925C7C">
      <w:pPr>
        <w:jc w:val="right"/>
        <w:rPr>
          <w:rFonts w:asciiTheme="majorBidi" w:hAnsiTheme="majorBidi" w:cstheme="majorBidi"/>
          <w:b/>
          <w:bCs/>
          <w:color w:val="000000" w:themeColor="text1"/>
          <w:rtl/>
        </w:rPr>
      </w:pPr>
      <w:r>
        <w:rPr>
          <w:rFonts w:asciiTheme="majorBidi" w:hAnsiTheme="majorBidi" w:cstheme="majorBidi" w:hint="cs"/>
          <w:b/>
          <w:bCs/>
          <w:color w:val="000000" w:themeColor="text1"/>
          <w:sz w:val="24"/>
          <w:szCs w:val="24"/>
          <w:rtl/>
        </w:rPr>
        <w:t xml:space="preserve">ثالثاً : </w:t>
      </w:r>
      <w:r>
        <w:rPr>
          <w:rFonts w:asciiTheme="majorBidi" w:hAnsiTheme="majorBidi" w:cstheme="majorBidi"/>
          <w:b/>
          <w:bCs/>
          <w:color w:val="000000" w:themeColor="text1"/>
          <w:rtl/>
        </w:rPr>
        <w:t>نظام المعاملات المدنية (1445هـ)</w:t>
      </w:r>
      <w:r>
        <w:rPr>
          <w:rFonts w:asciiTheme="majorBidi" w:hAnsiTheme="majorBidi" w:cstheme="majorBidi" w:hint="cs"/>
          <w:b/>
          <w:bCs/>
          <w:color w:val="000000" w:themeColor="text1"/>
          <w:rtl/>
        </w:rPr>
        <w:t xml:space="preserve"> :</w:t>
      </w:r>
    </w:p>
    <w:p w14:paraId="05BF6C32"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وفيما يخص التكامل بين نظام المعاملات المدنية ومتطلبات الذكاء الاصطناعي، أكد العرشاني ضرورة صياغة لائحة تفسيرية تُبيّن كيفية تطبيق المبادئ العامة في النظام على الحالات الناشئة عن الذكاء الاصطناعي، إذ إن الفراغ التفسيري قد يكون أشد أثراً من الفراغ التشريعي، لأن القاضي المجتهد أمام نص عام قد يُؤوّله في اتجاهات متباينة تُخل بمبدأ توحيد القضاء.</w:t>
      </w:r>
      <w:r w:rsidRPr="00000002">
        <w:rPr>
          <w:rtl/>
        </w:rPr>
        <w:footnoteReference w:id="120"/>
      </w:r>
    </w:p>
    <w:p w14:paraId="1BA66134"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وفي ضوء نظام المعاملات المدنية الصادر عام 1445هـ، أوضح العجماني وسيد أن هذا النظام ورغم حداثته يتضمن قواعد عامة للمسؤولية التقصيرية يمكن توظيفها في قضايا الضرر الناجم عن الذكاء الاصطناعي، غير أن القواعد العامة لا تُغني عن النص الخاص لأنها تُلقي عبء إثبات الخطأ على المتضرر الذي يعجز في أغلب الأحيان عن الإحاطة بالتفاصيل التقنية المعقدة للنظام الذكي.</w:t>
      </w:r>
      <w:r w:rsidRPr="00000002">
        <w:rPr>
          <w:rtl/>
        </w:rPr>
        <w:footnoteReference w:id="121"/>
      </w:r>
    </w:p>
    <w:p w14:paraId="58EBD3B8"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وفي ضوء نظام المعاملات المدنية الجديد الصادر عام 1445هـ، لاحظ المعيبد أن النظام يُرسي قواعد المسؤولية التقصيرية على أساس الخطأ والضرر والعلاقة السببية، غير أنه لا يتناول مسألة تحديد الخطأ حين ينبثق الضرر من مخرجات نظام ذكاء اصطناعي، مما يُلقي عبئاً تفسيرياً مضاعفاً على القضاء في غياب نص خاص يُرتّب المسؤولية وفق معطيات العصر الرقمي.</w:t>
      </w:r>
      <w:r w:rsidRPr="00000001">
        <w:rPr>
          <w:rtl/>
        </w:rPr>
        <w:footnoteReference w:id="122"/>
      </w:r>
    </w:p>
    <w:p w14:paraId="6A260CCA" w14:textId="77777777" w:rsidR="00925C7C" w:rsidRPr="00925C7C" w:rsidRDefault="00925C7C"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يمثّل نظام المعاملات المدنية أحد أهم التطورات التشريعية في المملكة العربية السعودية، إذ وضع الأساس القانوني الحديث للمعاملات والعقود في بيئة رقمية متسارعة، وكرّس لأول مرة مبادئ صريحة تتصل بالعقود الإلكترونية والذكاء الاصطناعي. وتكمن صلته المباشرة بعنوان الرسالة في أنه يحدّد الإطار الذي تعمل ضمنه مكاتب المحاماة عند صياغة العقود أو مراجعتها باستخدام الأدوات التقنية الذكية، مما يجعله جزءًا رئيسًا من المنظومة النظامية المكملة لنظام المحاماة</w:t>
      </w:r>
      <w:r>
        <w:rPr>
          <w:rFonts w:asciiTheme="majorBidi" w:hAnsiTheme="majorBidi" w:cstheme="majorBidi"/>
          <w:color w:val="000000" w:themeColor="text1"/>
          <w:sz w:val="24"/>
          <w:szCs w:val="24"/>
        </w:rPr>
        <w:t>.</w:t>
      </w:r>
    </w:p>
    <w:p w14:paraId="50C57E25" w14:textId="77777777" w:rsidR="00925C7C" w:rsidRPr="00925C7C" w:rsidRDefault="00925C7C"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النظام أقرّ في مادته (الثالثة عشرة)</w:t>
      </w:r>
      <w:r>
        <w:rPr>
          <w:rStyle w:val="af"/>
          <w:rFonts w:asciiTheme="majorBidi" w:hAnsiTheme="majorBidi" w:cstheme="majorBidi"/>
          <w:color w:val="000000" w:themeColor="text1"/>
          <w:sz w:val="24"/>
          <w:szCs w:val="24"/>
          <w:rtl/>
        </w:rPr>
        <w:footnoteReference w:id="123"/>
      </w:r>
      <w:r>
        <w:rPr>
          <w:rFonts w:asciiTheme="majorBidi" w:hAnsiTheme="majorBidi" w:cstheme="majorBidi"/>
          <w:color w:val="000000" w:themeColor="text1"/>
          <w:sz w:val="24"/>
          <w:szCs w:val="24"/>
          <w:rtl/>
        </w:rPr>
        <w:t xml:space="preserve"> مبدأ حرية التعاقد والرضا، ونصّ على أن التعاقد قد يتم بأية وسيلة تفيد تبادل الإيجاب والقبول، وهو ما يشمل اليوم التعاقد عبر الأنظمة الإلكترونية أو الذكاء الاصطناعي. كما أكّد في مواده اللاحقة على حجية المراسلات الإلكترونية والمحررات الرقمية، ما دام يمكن التحقق من نسبتها إلى أطرافها، مما يفتح الباب أمام استخدام أدوات الذكاء الاصطناعي في صياغة العقود وتحليلها دون الخروج عن الإطار القانوني الصحيح</w:t>
      </w:r>
      <w:r>
        <w:rPr>
          <w:rFonts w:asciiTheme="majorBidi" w:hAnsiTheme="majorBidi" w:cstheme="majorBidi"/>
          <w:color w:val="000000" w:themeColor="text1"/>
          <w:sz w:val="24"/>
          <w:szCs w:val="24"/>
        </w:rPr>
        <w:t>.</w:t>
      </w:r>
    </w:p>
    <w:p w14:paraId="43852656" w14:textId="77777777" w:rsidR="00925C7C" w:rsidRPr="00925C7C" w:rsidRDefault="00925C7C"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التحليل القانوني لهذا النظام يبين أن المشرّع السعودي لم يغفل أثر التقنية الحديثة على طبيعة الإرادة التعاقدية، بل أعاد صياغة مفهومها بما يتلاءم مع “الإرادة المبرمجة” التي أصبحت جزءًا من المعاملات الذكية. فالعقد الذكي </w:t>
      </w:r>
      <w:r>
        <w:rPr>
          <w:rFonts w:asciiTheme="majorBidi" w:hAnsiTheme="majorBidi" w:cstheme="majorBidi"/>
          <w:color w:val="000000" w:themeColor="text1"/>
          <w:sz w:val="24"/>
          <w:szCs w:val="24"/>
          <w:rtl/>
        </w:rPr>
        <w:lastRenderedPageBreak/>
        <w:t>– في جوهره – ليس سوى اتفاق بشري تُبرمج أحكامه في خوارزمية تنفّذ الالتزامات تلقائيًا عند تحقق شروط محددة، مما يتطلب من المحامي أن يجمع بين الفهم القانوني والمنهج التقني لتأمين سلامة التعاقد وحماية أطرافه</w:t>
      </w:r>
      <w:r>
        <w:rPr>
          <w:rFonts w:asciiTheme="majorBidi" w:hAnsiTheme="majorBidi" w:cstheme="majorBidi"/>
          <w:color w:val="000000" w:themeColor="text1"/>
          <w:sz w:val="24"/>
          <w:szCs w:val="24"/>
        </w:rPr>
        <w:t>.</w:t>
      </w:r>
    </w:p>
    <w:p w14:paraId="661C835D" w14:textId="77777777" w:rsidR="00925C7C" w:rsidRPr="00925C7C" w:rsidRDefault="00925C7C" w:rsidP="00925C7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أوضح عبدالعزيز العلي</w:t>
      </w:r>
      <w:r>
        <w:rPr>
          <w:rStyle w:val="af"/>
          <w:rFonts w:asciiTheme="majorBidi" w:hAnsiTheme="majorBidi" w:cstheme="majorBidi"/>
          <w:color w:val="000000" w:themeColor="text1"/>
          <w:sz w:val="24"/>
          <w:szCs w:val="24"/>
          <w:rtl/>
        </w:rPr>
        <w:footnoteReference w:id="124"/>
      </w:r>
      <w:r>
        <w:rPr>
          <w:rFonts w:asciiTheme="majorBidi" w:hAnsiTheme="majorBidi" w:cstheme="majorBidi"/>
          <w:color w:val="000000" w:themeColor="text1"/>
          <w:sz w:val="24"/>
          <w:szCs w:val="24"/>
          <w:rtl/>
        </w:rPr>
        <w:t xml:space="preserve"> (2024) في دراسته عن الذكاء الاصطناعي ودوره في إبرام العقود التجارية الذكية أن العقود الذكية لا تُلغِي دور المحامي، بل تزيد من أهميته في مراجعة الخوارزميات التي تنفذ العقد، والتأكد من مطابقتها للقواعد النظامية، وخاصة في الجوانب المتعلقة بعيوب الإرادة والتزامات التنفيذ. وهو ما يعيد تعريف دور المحامي في بيئة الذكاء الاصطناعي من ممارس تقليدي إلى “مستشار قانوني تقني” قادر على التوفيق بين نص النظام ومقتضيات الواقع الرقمي</w:t>
      </w:r>
      <w:r>
        <w:rPr>
          <w:rFonts w:asciiTheme="majorBidi" w:hAnsiTheme="majorBidi" w:cstheme="majorBidi"/>
          <w:color w:val="000000" w:themeColor="text1"/>
          <w:sz w:val="24"/>
          <w:szCs w:val="24"/>
        </w:rPr>
        <w:t>.</w:t>
      </w:r>
    </w:p>
    <w:p w14:paraId="6EE8639E" w14:textId="77777777" w:rsidR="00925C7C" w:rsidRPr="00925C7C" w:rsidRDefault="00925C7C" w:rsidP="00925C7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جهة أخرى، يتكامل نظام المعاملات المدنية مع نظام التعاملات الإلكترونية (1428هـ) في تثبيت مبدأ المشروعية للوثائق الإلكترونية والتوقيعات الرقمية، مما يرسّخ حجية الأدلة الرقمية أمام القضاء ويضمن استقرار التعاملات القانونية الناتجة عن الأنظمة الذكية. وقد أشار خالد المالكي</w:t>
      </w:r>
      <w:r>
        <w:rPr>
          <w:rStyle w:val="af"/>
          <w:rFonts w:asciiTheme="majorBidi" w:hAnsiTheme="majorBidi" w:cstheme="majorBidi"/>
          <w:color w:val="000000" w:themeColor="text1"/>
          <w:sz w:val="24"/>
          <w:szCs w:val="24"/>
          <w:rtl/>
        </w:rPr>
        <w:footnoteReference w:id="125"/>
      </w:r>
      <w:r>
        <w:rPr>
          <w:rFonts w:asciiTheme="majorBidi" w:hAnsiTheme="majorBidi" w:cstheme="majorBidi"/>
          <w:color w:val="000000" w:themeColor="text1"/>
          <w:sz w:val="24"/>
          <w:szCs w:val="24"/>
          <w:rtl/>
        </w:rPr>
        <w:t xml:space="preserve"> (2024) إلى أن هذه المنظومة المزدوجة تخلق بيئة قانونية متكاملة تتيح للمحامين استخدام أدوات الذكاء الاصطناعي بثقة، شريطة الالتزام بضوابط النظام في حفظ السجلات الرقمية وتوثيق العمليات التعاقدية</w:t>
      </w:r>
      <w:r>
        <w:rPr>
          <w:rFonts w:asciiTheme="majorBidi" w:hAnsiTheme="majorBidi" w:cstheme="majorBidi"/>
          <w:color w:val="000000" w:themeColor="text1"/>
          <w:sz w:val="24"/>
          <w:szCs w:val="24"/>
        </w:rPr>
        <w:t>.</w:t>
      </w:r>
    </w:p>
    <w:p w14:paraId="6442A69F" w14:textId="77777777" w:rsidR="00925C7C" w:rsidRPr="00925C7C" w:rsidRDefault="00925C7C" w:rsidP="00925C7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زاوية أخلاقية، يتكامل هذا النظام مع وثيقة مبادئ أخلاقيات الذكاء الاصطناعي (سدايا، 2023) التي تشدد على مبدأ العدالة والشفافية في الأنظمة الذكية، ما يفرض على المحامي واجبًا مهنيًا بعدم استخدام أدوات تقنية تخلّ بتوازن العقود أو تؤدي إلى استغلال أحد الأطراف، تطبيقًا لمبدأ حسن النية الذي نص عليه النظام المدني في مادته (الأولى). وهذا الربط بين النظام المدني والضوابط الأخلاقية للذكاء الاصطناعي يعكس فلسفة تشريعية حديثة تجعل التقنية خادمة للعدالة لا أداة للمخاطر القانونية</w:t>
      </w:r>
      <w:r>
        <w:rPr>
          <w:rFonts w:asciiTheme="majorBidi" w:hAnsiTheme="majorBidi" w:cstheme="majorBidi"/>
          <w:color w:val="000000" w:themeColor="text1"/>
          <w:sz w:val="24"/>
          <w:szCs w:val="24"/>
        </w:rPr>
        <w:t>.</w:t>
      </w:r>
    </w:p>
    <w:p w14:paraId="6BFF1646" w14:textId="77777777" w:rsidR="00925C7C" w:rsidRPr="00925C7C" w:rsidRDefault="00925C7C" w:rsidP="005562A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وفي ضوء رؤية المملكة 2030، فإن نظام المعاملات المدنية يمثّل ركيزة لتفعيل الاقتصاد الرقمي والعدالة الذكية، ويمنح المحامين إطارًا قانونيًا مرنًا يمكنهم من دمج أدوات الذكاء الاصطناعي في أعمالهم اليومية دون الخروج عن حدود المشروعية. وبذلك يصبح النظام المدني جزءًا من الإطار الكلي لتنظيم الذكاء الاصطناعي في مكاتب المحاماة، لأنه يضبط العلاقة بين التقنية والإرادة التعاقدية، ويحول دون تحول الذكاء الاصطناعي إلى طرف قانوني مستقل، محافظًا على مركزية الإنسان في العملية التعاقدية</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34066694" w14:textId="77777777" w:rsidR="00925C7C" w:rsidRPr="00925C7C" w:rsidRDefault="00925C7C" w:rsidP="00925C7C">
      <w:pPr>
        <w:jc w:val="right"/>
        <w:rPr>
          <w:rFonts w:asciiTheme="majorBidi" w:hAnsiTheme="majorBidi" w:cstheme="majorBidi"/>
          <w:color w:val="000000" w:themeColor="text1"/>
          <w:sz w:val="24"/>
          <w:szCs w:val="24"/>
          <w:rtl/>
        </w:rPr>
      </w:pPr>
    </w:p>
    <w:p w14:paraId="749A0C03" w14:textId="77777777" w:rsidR="004855F3" w:rsidRPr="0095427D" w:rsidRDefault="005562AF" w:rsidP="00A918AE">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رابعاً : </w:t>
      </w:r>
      <w:r>
        <w:rPr>
          <w:rFonts w:asciiTheme="majorBidi" w:hAnsiTheme="majorBidi" w:cstheme="majorBidi"/>
          <w:b/>
          <w:bCs/>
          <w:color w:val="000000" w:themeColor="text1"/>
          <w:rtl/>
        </w:rPr>
        <w:t xml:space="preserve">نظام الإجراءات الجزائية (1435هـ) </w:t>
      </w:r>
      <w:r>
        <w:rPr>
          <w:rFonts w:asciiTheme="majorBidi" w:hAnsiTheme="majorBidi" w:cstheme="majorBidi" w:hint="cs"/>
          <w:b/>
          <w:bCs/>
          <w:color w:val="000000" w:themeColor="text1"/>
          <w:rtl/>
        </w:rPr>
        <w:t xml:space="preserve">، </w:t>
      </w:r>
      <w:r>
        <w:rPr>
          <w:rFonts w:asciiTheme="majorBidi" w:hAnsiTheme="majorBidi" w:cstheme="majorBidi"/>
          <w:b/>
          <w:bCs/>
          <w:color w:val="000000" w:themeColor="text1"/>
          <w:rtl/>
        </w:rPr>
        <w:t>ونظام مكافحة الجرائم المعلوماتية (1428هـ)</w:t>
      </w:r>
      <w:r>
        <w:rPr>
          <w:rFonts w:asciiTheme="majorBidi" w:hAnsiTheme="majorBidi" w:cstheme="majorBidi" w:hint="cs"/>
          <w:b/>
          <w:bCs/>
          <w:color w:val="000000" w:themeColor="text1"/>
          <w:rtl/>
        </w:rPr>
        <w:t xml:space="preserve"> :</w:t>
      </w:r>
    </w:p>
    <w:p w14:paraId="54CBBD89"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يُعدّ كل من نظام الإجراءات الجزائية ونظام مكافحة الجرائم المعلوماتية من أهم الأنظمة الداعمة للإطار العدلي في المملكة، ولهما ارتباط مباشر بموضوع الرسالة من زاوية ضبط استخدام الذكاء الاصطناعي في مكاتب المحاماة، خصوصًا فيما يتعلق بجمع المعلومات وتحليل الأدلة وحماية سرية البيانات القانونية. فبينما ينظّم نظام الإجراءات الجزائية قواعد سير العدالة الجنائية ويؤكد على سلامة إجراءات التقاضي، فإن نظام مكافحة الجرائم المعلوماتية يُعدّ خط الدفاع النظامي ضد إساءة استخدام التقنية والبيانات في المجال العدلي</w:t>
      </w:r>
      <w:r>
        <w:rPr>
          <w:rFonts w:asciiTheme="majorBidi" w:hAnsiTheme="majorBidi" w:cstheme="majorBidi"/>
          <w:color w:val="000000" w:themeColor="text1"/>
          <w:sz w:val="24"/>
          <w:szCs w:val="24"/>
        </w:rPr>
        <w:t>.</w:t>
      </w:r>
    </w:p>
    <w:p w14:paraId="273300B8"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وينص نظام الإجراءات الجزائية في مادته الثانية على أن إجراءات التحقيق والمحاكمة يجب أن تتم وفق أحكام الشريعة والأنظمة المرعية بما يضمن صيانة الحقوق وحماية الخصوصية. وهذا النص يُلزم المحامي الذي يستخدم أدوات الذكاء الاصطناعي في تحليل القضايا أو التواصل مع الجهات العدلية بأن يلتزم بضمانات السرية وعدم انتهاك حرمة البيانات، إذ إن أي خرق لهذه الضمانات قد يؤدي إلى بطلان الدليل أو مساءلة تأديبية. كما أن المادة (161) من النظام توجب المحافظة على سرية المعلومات التي يطلع عليها المحامي أثناء التحقيق أو المحاكمة، وهو التزام يمتد ليشمل المعلومات التي تُعالَج عبر الأنظمة الذكية داخل مكاتب المحاماة</w:t>
      </w:r>
      <w:r>
        <w:rPr>
          <w:rFonts w:asciiTheme="majorBidi" w:hAnsiTheme="majorBidi" w:cstheme="majorBidi"/>
          <w:color w:val="000000" w:themeColor="text1"/>
          <w:sz w:val="24"/>
          <w:szCs w:val="24"/>
        </w:rPr>
        <w:t>.</w:t>
      </w:r>
    </w:p>
    <w:p w14:paraId="6AAF656A"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أما نظام مكافحة الجرائم المعلوماتية، فقد نص في مادته الثالثة على تجريم الدخول غير المشروع إلى الأنظمة المعلوماتية أو اعتراض البيانات أثناء نقلها أو إفشائها. وهذا يعني أن المحامي الذي يستخدم منصة ذكاء اصطناعي لمعالجة بيانات الموكلين يجب أن يتحقق من أن المنصة مرخصة وآمنة داخل المملكة، وإلا فقد يعدّ استخدامه للمنصة شكلًا من أشكال الإخلال النظامي. وقد أشار مراد محمد غالب قاسم في دراسته حول مكافحة الجريمة الإلكترونية إلى أن الذكاء الاصطناعي يمكن أن يكون أداة مشروعة أو وسيلة ضارة بحسب نية الاستخدام ونتيجته، وهو ما يتقاطع مع ما ذكرته مرام الربيع حول أن الخطأ التقني قد يتحول إلى خطأ جسيم إذا أدى إلى ضرر يمسّ الأمن المعلوماتي أو العدالة الرقمية</w:t>
      </w:r>
      <w:r>
        <w:rPr>
          <w:rFonts w:asciiTheme="majorBidi" w:hAnsiTheme="majorBidi" w:cstheme="majorBidi"/>
          <w:color w:val="000000" w:themeColor="text1"/>
          <w:sz w:val="24"/>
          <w:szCs w:val="24"/>
        </w:rPr>
        <w:t>.</w:t>
      </w:r>
    </w:p>
    <w:p w14:paraId="65D273CA"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ولإيضاح مخاطر إساءة استخدام الذكاء الاصطناعي داخل مكاتب المحاماة، يمكن عرض عدد من الأمثلة العملية التي تكشف حدود المسؤولية القانونية للمحامي</w:t>
      </w:r>
      <w:r>
        <w:rPr>
          <w:rFonts w:asciiTheme="majorBidi" w:hAnsiTheme="majorBidi" w:cstheme="majorBidi"/>
          <w:color w:val="000000" w:themeColor="text1"/>
          <w:sz w:val="24"/>
          <w:szCs w:val="24"/>
        </w:rPr>
        <w:t>:</w:t>
      </w:r>
    </w:p>
    <w:p w14:paraId="55B0F5E1"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وفي هذا الشأن، أصدرت الهيئة السعودية للبيانات والذكاء الاصطناعي (سدايا) في فبراير 2025م الدليل الاسترشادي لتقويم مخاطر نقل البيانات الشخصية إلى خارج المملكة، وهو دليل إجرائي تفصيلي يُرسي منهجية متكاملة لتقييم المخاطر المرتبطة بمعالجة البيانات وتحديد الآثار السلبية المحتملة على الأطراف ذات الصلة. وتتعلق هذه الضمانات بصورة مباشرة بمكاتب المحاماة التي تُدخل بيانات العملاء السرية في منصات ذكاء اصطناعي تُدار خوادمها خارج المملكة، مما يستوجب إجراء تقويم مسبق للمخاطر قبل أي عملية نقل أو إفصاح.</w:t>
      </w:r>
      <w:r>
        <w:rPr>
          <w:rStyle w:val="af"/>
          <w:rFonts w:asciiTheme="majorBidi" w:hAnsiTheme="majorBidi" w:cstheme="majorBidi"/>
          <w:sz w:val="24"/>
          <w:szCs w:val="24"/>
          <w:rtl/>
        </w:rPr>
        <w:footnoteReference w:id="126"/>
      </w:r>
    </w:p>
    <w:p w14:paraId="00D5AF5B"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استخدام نظام ذكاء اصطناعي غير مرخص</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قد يلجأ بعض المحامين إلى أنظمة تحليل قانوني مجانية أو غير مرخّصة لمعالجة ملفات حساسة. فإذا تبين لاحقًا أن هذه الأنظمة تحفظ البيانات في خوادم خارجية أو تشاركها مع أطراف غير مصرح لها، فإن ذلك قد يعدّ إفشاءً غير مشروع للبيانات طبقًا للمادة الثالثة من نظام مكافحة الجرائم المعلوماتية، وقد يخضع المحامي للمساءلة لعدم التحقق من سلامة النظام</w:t>
      </w:r>
      <w:r>
        <w:rPr>
          <w:rFonts w:asciiTheme="majorBidi" w:hAnsiTheme="majorBidi" w:cstheme="majorBidi"/>
          <w:color w:val="000000" w:themeColor="text1"/>
          <w:sz w:val="24"/>
          <w:szCs w:val="24"/>
        </w:rPr>
        <w:t>.</w:t>
      </w:r>
    </w:p>
    <w:p w14:paraId="20B4D7C7"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مثال 2: إدخال بيانات قضايا حساسة في منصة تفتقر لمستوى أمان كافٍ</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إذا أدى هذا الإهمال إلى تسريب بيانات، فقد يعد ذلك إخلالًا بواجب السرية المهنية المنصوص عليه في المادة (161) من نظام الإجراءات الجزائية، وقد يشكل خطأ مهنيًا جسيمًا يستوجب المساءلة التأديبية أمام هيئة المحامين</w:t>
      </w:r>
      <w:r>
        <w:rPr>
          <w:rFonts w:asciiTheme="majorBidi" w:hAnsiTheme="majorBidi" w:cstheme="majorBidi"/>
          <w:color w:val="000000" w:themeColor="text1"/>
          <w:sz w:val="24"/>
          <w:szCs w:val="24"/>
        </w:rPr>
        <w:t>.</w:t>
      </w:r>
    </w:p>
    <w:p w14:paraId="54C6BD18"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مثال 3: اعتماد المحامي على تحليل خاطئ يقدمه نظام ذكاء 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قد يولد النظام الذكي استنتاجات غير دقيقة عن السوابق القضائية أو توصيات قانونية مضللة. فإذا قدّم المحامي هذه المخرجات للقضاء دون فحص أو تدقيق، ثم ظهر أنها خاطئة أو مزورة تقنيًا</w:t>
      </w:r>
      <w:r>
        <w:rPr>
          <w:rFonts w:asciiTheme="majorBidi" w:hAnsiTheme="majorBidi" w:cstheme="majorBidi"/>
          <w:color w:val="000000" w:themeColor="text1"/>
          <w:sz w:val="24"/>
          <w:szCs w:val="24"/>
        </w:rPr>
        <w:t xml:space="preserve"> (Deepfake Evidence)</w:t>
      </w:r>
      <w:r>
        <w:rPr>
          <w:rFonts w:asciiTheme="majorBidi" w:hAnsiTheme="majorBidi" w:cstheme="majorBidi"/>
          <w:color w:val="000000" w:themeColor="text1"/>
          <w:sz w:val="24"/>
          <w:szCs w:val="24"/>
          <w:rtl/>
        </w:rPr>
        <w:t>، فقد يُسأل مهنيًا عن الإخلال بواجب العناية والفحص، لأن مسؤولية الدليل — وفق الأنظمة السعودية — تُنسب لمن يقدمه، لا للأداة التقنية المستخدمة في إنتاجه</w:t>
      </w:r>
      <w:r>
        <w:rPr>
          <w:rFonts w:asciiTheme="majorBidi" w:hAnsiTheme="majorBidi" w:cstheme="majorBidi"/>
          <w:color w:val="000000" w:themeColor="text1"/>
          <w:sz w:val="24"/>
          <w:szCs w:val="24"/>
        </w:rPr>
        <w:t>.</w:t>
      </w:r>
    </w:p>
    <w:p w14:paraId="675111DA"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مثال 4: استخدام الذكاء الاصطناعي في محادثات مع الموكل دون تنبيه إلى مخاطر الخصوصية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قد يولد النظام سجلات محادثة تُخزّن في خوادم أجنبية دون علم الموكل. هذا قد يعرض المحامي للمساءلة النظامية، لأن الموافقة الصريحة المطلوبة على معالجة البيانات — وفق نظام حماية البيانات الشخصية — تشترط العلم والإذن المسبق، وهو ما قد ينتفي في مثل هذه الحالات</w:t>
      </w:r>
      <w:r>
        <w:rPr>
          <w:rFonts w:asciiTheme="majorBidi" w:hAnsiTheme="majorBidi" w:cstheme="majorBidi"/>
          <w:color w:val="000000" w:themeColor="text1"/>
          <w:sz w:val="24"/>
          <w:szCs w:val="24"/>
        </w:rPr>
        <w:t>.</w:t>
      </w:r>
    </w:p>
    <w:p w14:paraId="2C26CF55"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إن العلاقة بين النظامين تكاملية؛ فالأول (نظام الإجراءات الجزائية) يضمن سلامة الإجراءات، والثاني (نظام مكافحة الجرائم المعلوماتية) يوفر الحماية التقنية لهذه الإجراءات في بيئة رقمية. ومن خلال هذا التكامل، تُعاد صياغة مسؤولية المحامي في ظل الذكاء الاصطناعي بحيث تشمل الالتزام بضمان أمن البيانات، والتحقق من مشروعية الأدوات التقنية المستخدمة، وحماية الخصوصية أثناء استخدامها في التحليل أو المرافعة</w:t>
      </w:r>
      <w:r>
        <w:rPr>
          <w:rFonts w:asciiTheme="majorBidi" w:hAnsiTheme="majorBidi" w:cstheme="majorBidi"/>
          <w:color w:val="000000" w:themeColor="text1"/>
          <w:sz w:val="24"/>
          <w:szCs w:val="24"/>
        </w:rPr>
        <w:t>.</w:t>
      </w:r>
    </w:p>
    <w:p w14:paraId="67ECC25F"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كما أن نظام مكافحة الجرائم المعلوماتية يتصل بشكل وثيق بوثيقة مبادئ أخلاقيات الذكاء الاصطناعي (سدايا، 2023)، التي أكدت على مبدأ الشفافية والمسؤولية، ما يعني أن أي استخدام تقني داخل المجال العدلي يجب أن يكون قابلاً للتتبع والمساءلة. وهذا يفتح المجال أمام إنشاء لائحة مهنية مستقبلية تنظّم استخدام الأنظمة الذكية داخل مكاتب المحاماة بما يمنع تعارضها مع الأنظمة الجزائية أو الأمنية</w:t>
      </w:r>
      <w:r>
        <w:rPr>
          <w:rFonts w:asciiTheme="majorBidi" w:hAnsiTheme="majorBidi" w:cstheme="majorBidi"/>
          <w:color w:val="000000" w:themeColor="text1"/>
          <w:sz w:val="24"/>
          <w:szCs w:val="24"/>
        </w:rPr>
        <w:t>.</w:t>
      </w:r>
    </w:p>
    <w:p w14:paraId="00E9B632" w14:textId="77777777" w:rsidR="00A918AE" w:rsidRPr="00A918AE"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وعليه، فإن نظام الإجراءات الجزائية ونظام مكافحة الجرائم المعلوماتية يشكّلان إطارًا وقائيًا وتنظيميًا ضامنًا للاستخدام المشروع للذكاء الاصطناعي في مكاتب المحاماة، ويحددان الخط الفاصل بين التقنيات المساعدة التي تعزز كفاءة المهنة، وبين الممارسات التي قد تعدّ إخلالًا بنزاهة العدالة أو تهديدًا للأمن المعلوماتي</w:t>
      </w:r>
      <w:r>
        <w:rPr>
          <w:rFonts w:asciiTheme="majorBidi" w:hAnsiTheme="majorBidi" w:cstheme="majorBidi"/>
          <w:color w:val="000000" w:themeColor="text1"/>
          <w:sz w:val="24"/>
          <w:szCs w:val="24"/>
        </w:rPr>
        <w:t>..</w:t>
      </w:r>
    </w:p>
    <w:p w14:paraId="20FF3D0F" w14:textId="77777777" w:rsidR="004855F3" w:rsidRDefault="004855F3" w:rsidP="005B3BD6">
      <w:pPr>
        <w:jc w:val="right"/>
        <w:rPr>
          <w:rFonts w:asciiTheme="majorBidi" w:hAnsiTheme="majorBidi" w:cstheme="majorBidi"/>
          <w:color w:val="000000" w:themeColor="text1"/>
          <w:sz w:val="24"/>
          <w:szCs w:val="24"/>
        </w:rPr>
      </w:pPr>
    </w:p>
    <w:p w14:paraId="7AD63852" w14:textId="77777777" w:rsidR="00A918AE" w:rsidRPr="0095427D" w:rsidRDefault="00A918AE" w:rsidP="00A918AE">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خامساً : </w:t>
      </w:r>
      <w:r>
        <w:rPr>
          <w:rFonts w:asciiTheme="majorBidi" w:hAnsiTheme="majorBidi" w:cstheme="majorBidi"/>
          <w:b/>
          <w:bCs/>
          <w:color w:val="000000" w:themeColor="text1"/>
          <w:rtl/>
        </w:rPr>
        <w:t>نظام التعاملات الإلكترونية (1428هـ)</w:t>
      </w:r>
      <w:r>
        <w:rPr>
          <w:rFonts w:asciiTheme="majorBidi" w:hAnsiTheme="majorBidi" w:cstheme="majorBidi" w:hint="cs"/>
          <w:b/>
          <w:bCs/>
          <w:color w:val="000000" w:themeColor="text1"/>
          <w:rtl/>
        </w:rPr>
        <w:t xml:space="preserve"> :</w:t>
      </w:r>
    </w:p>
    <w:p w14:paraId="073B9F43"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يُعد نظام التعاملات الإلكترونية من الأنظمة السعودية الرائدة التي أرست الإطار النظامي للتحول الرقمي في مختلف القطاعات، وهو يرتبط ارتباطًا مباشرًا بموضوع الرسالة من حيث تمهيده لاستخدام الأدوات الذكية والأنظمة التقنية في إنجاز الأعمال القانونية داخل مكاتب المحاماة. فهذا النظام لم يقتصر على إقرار حجية الوثائق الإلكترونية، بل وضع الأسس القانونية التي تمكّن المحامي من إدارة معاملاته وعلاقاته التعاقدية ومراسلاته المهنية عبر الوسائط الرقمية، بما في ذلك المنصات القائمة على الذكاء الاصطناعي</w:t>
      </w:r>
      <w:r>
        <w:rPr>
          <w:rFonts w:asciiTheme="majorBidi" w:hAnsiTheme="majorBidi" w:cstheme="majorBidi"/>
          <w:color w:val="000000" w:themeColor="text1"/>
          <w:sz w:val="24"/>
          <w:szCs w:val="24"/>
        </w:rPr>
        <w:t>.</w:t>
      </w:r>
    </w:p>
    <w:p w14:paraId="155973C8"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أقرّ النظام في مادته الخامسة أن "المعاملات والتوقيعات الإلكترونية تكون صحيحة ومنتجة لآثارها النظامية إذا تم إنشاؤها أو تبادلها أو حفظها وفقًا لأحكام هذا النظام". وهذا النص يفتح المجال أمام مكاتب المحاماة لاستخدام الأنظمة الذكية في إعداد العقود أو تبادل المذكرات القانونية أو إدارة ملفات العملاء إلكترونيًا، مع بقاء آثارها النظامية نافذة ما دامت تتوافق مع متطلبات الموثوقية والأمان التقني. كما تنص المادة السابعة على أن “الكتابة الإلكترونية تقوم مقام الكتابة العادية”، وهو ما يمنح الذكاء الاصطناعي المستخدم في صياغة الوثائق القانونية قوة إجرائية متى كان النظام المستخدم معتمدًا وموثوقًا</w:t>
      </w:r>
      <w:r>
        <w:rPr>
          <w:rFonts w:asciiTheme="majorBidi" w:hAnsiTheme="majorBidi" w:cstheme="majorBidi"/>
          <w:color w:val="000000" w:themeColor="text1"/>
          <w:sz w:val="24"/>
          <w:szCs w:val="24"/>
        </w:rPr>
        <w:t>.</w:t>
      </w:r>
    </w:p>
    <w:p w14:paraId="23BB7A1A"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زاوية التحليل القانوني، فإن هذا النظام يُعدّ نقطة التقاء بين الجانب الفني والتشريعي في مهنة المحاماة؛ إذ مكّن المحامي من ممارسة أنشطته في بيئة رقمية مؤمنة دون أن يفقد التوثيق قيمته القانونية. وبهذا المعنى، يُعد النظام “الجسر التشريعي” الذي عبرت من خلاله المهنة من المرحلة الورقية إلى مرحلة الذكاء الاصطناعي، إذ جعل من الممكن التعامل مع المحررات الرقمية بوصفها مستندات رسمية، وهو ما أشار إليه خالد المالكي</w:t>
      </w:r>
      <w:r>
        <w:rPr>
          <w:rStyle w:val="af"/>
          <w:rFonts w:asciiTheme="majorBidi" w:hAnsiTheme="majorBidi" w:cstheme="majorBidi"/>
          <w:color w:val="000000" w:themeColor="text1"/>
          <w:sz w:val="24"/>
          <w:szCs w:val="24"/>
          <w:rtl/>
        </w:rPr>
        <w:footnoteReference w:id="127"/>
      </w:r>
      <w:r>
        <w:rPr>
          <w:rFonts w:asciiTheme="majorBidi" w:hAnsiTheme="majorBidi" w:cstheme="majorBidi"/>
          <w:color w:val="000000" w:themeColor="text1"/>
          <w:sz w:val="24"/>
          <w:szCs w:val="24"/>
          <w:rtl/>
        </w:rPr>
        <w:t xml:space="preserve"> (2024) عندما اعتبر أن الأنظمة السعودية الحديثة نجحت في تقنين الأدلة التقنية ضمن منظومة العدالة دون الإخلال بمبدأ اليقين القانوني</w:t>
      </w:r>
      <w:r>
        <w:rPr>
          <w:rFonts w:asciiTheme="majorBidi" w:hAnsiTheme="majorBidi" w:cstheme="majorBidi"/>
          <w:color w:val="000000" w:themeColor="text1"/>
          <w:sz w:val="24"/>
          <w:szCs w:val="24"/>
        </w:rPr>
        <w:t>.</w:t>
      </w:r>
    </w:p>
    <w:p w14:paraId="6A4804FE"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ويرى عبدالعزيز العلي</w:t>
      </w:r>
      <w:r>
        <w:rPr>
          <w:rStyle w:val="af"/>
          <w:rFonts w:asciiTheme="majorBidi" w:hAnsiTheme="majorBidi" w:cstheme="majorBidi"/>
          <w:color w:val="000000" w:themeColor="text1"/>
          <w:sz w:val="24"/>
          <w:szCs w:val="24"/>
          <w:rtl/>
        </w:rPr>
        <w:footnoteReference w:id="128"/>
      </w:r>
      <w:r>
        <w:rPr>
          <w:rFonts w:asciiTheme="majorBidi" w:hAnsiTheme="majorBidi" w:cstheme="majorBidi"/>
          <w:color w:val="000000" w:themeColor="text1"/>
          <w:sz w:val="24"/>
          <w:szCs w:val="24"/>
          <w:rtl/>
        </w:rPr>
        <w:t xml:space="preserve"> (2024) في دراسته عن العقود الذكية أن نظام التعاملات الإلكترونية أسس لمبدأ قابلية الأتمتة القانونية، لأن اعترافه بالتوقيعات الرقمية والوثائق الإلكترونية سمح بتطبيق الخوارزميات الذكية في تنفيذ العقود. وهذا يعني أن المحامي الذي يستخدم الذكاء الاصطناعي في صياغة أو مراجعة العقود يستند ضمنًا إلى هذا النظام الذي منح الصبغة القانونية للإجراءات الإلكترونية. وبذلك يصبح النظام بمثابة مظلة قانونية تحمي نشاط المحامي في بيئة رقمية معقّدة</w:t>
      </w:r>
      <w:r>
        <w:rPr>
          <w:rFonts w:asciiTheme="majorBidi" w:hAnsiTheme="majorBidi" w:cstheme="majorBidi"/>
          <w:color w:val="000000" w:themeColor="text1"/>
          <w:sz w:val="24"/>
          <w:szCs w:val="24"/>
        </w:rPr>
        <w:t>.</w:t>
      </w:r>
    </w:p>
    <w:p w14:paraId="67F48466"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أن النظام يتكامل مع نظام حماية البيانات الشخصية من زاوية الأمن السيبراني، إذ نص في مادته العاشرة على ضرورة حماية المعلومات ومنع الوصول غير المصرح به، وهو ما يتلاقى مع التزامات مكاتب المحاماة في الحفاظ على سرية بيانات عملائها. ويعزز هذا التكامل ما ورد في وثيقة مبادئ أخلاقيات الذكاء الاصطناعي (سدايا، 2023) التي شددت على مبدأ العدالة والمسؤولية في تطوير الأنظمة التقنية، مؤكدة أن التحول الرقمي يجب أن يُدار في بيئة قانونية تراعي القيم الأخلاقية وحماية الحقوق</w:t>
      </w:r>
      <w:r>
        <w:rPr>
          <w:rFonts w:asciiTheme="majorBidi" w:hAnsiTheme="majorBidi" w:cstheme="majorBidi"/>
          <w:color w:val="000000" w:themeColor="text1"/>
          <w:sz w:val="24"/>
          <w:szCs w:val="24"/>
        </w:rPr>
        <w:t>.</w:t>
      </w:r>
    </w:p>
    <w:p w14:paraId="2A882E20"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من ناحية مهنية، أتاح النظام للمحامي السعودي أن يدير مكتبه إلكترونيًا، ويرسل المذكرات والعقود ويبرم الاتفاقيات رقمياً دون إخلال بحجيتها، بل وبما يضمن توثيق كل خطوة عبر التوقيعات الرقمية والوسائط الموثوقة. وهذه المرونة القانونية تمهد لتكامل الذكاء الاصطناعي في أعمال المكاتب القانونية من خلال أدوات البحث والتحليل والصياغة الإلكترونية، بما يسهم في تطوير جودة الخدمة وتسريع إنجازها</w:t>
      </w:r>
      <w:r>
        <w:rPr>
          <w:rFonts w:asciiTheme="majorBidi" w:hAnsiTheme="majorBidi" w:cstheme="majorBidi"/>
          <w:color w:val="000000" w:themeColor="text1"/>
          <w:sz w:val="24"/>
          <w:szCs w:val="24"/>
        </w:rPr>
        <w:t>.</w:t>
      </w:r>
    </w:p>
    <w:p w14:paraId="455E38C6"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ويُمكن القول في الختام إن نظام التعاملات الإلكترونية يشكل أحد أهم ركائز الإطار القانوني لتوظيف الذكاء الاصطناعي في مكاتب المحاماة؛ لأنه أرسى المفهوم القانوني للوثيقة الإلكترونية، وفتح الباب أمام اعتماد الأدوات الذكية في الأعمال القانونية دون فقدان الصفة الرسمية أو الحجية النظامية. وهو ما يعزز اتجاه الرسالة نحو بيان كيف مكّنت البيئة النظامية السعودية مهنة المحاماة من الاندماج في التحول العدلي الرقمي، دون الإخلال بضمانات الموثوقية والعدالة</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4AB4D1C8" w14:textId="77777777" w:rsidR="00A918AE" w:rsidRDefault="00A918AE" w:rsidP="005B3BD6">
      <w:pPr>
        <w:jc w:val="right"/>
        <w:rPr>
          <w:rFonts w:asciiTheme="majorBidi" w:hAnsiTheme="majorBidi" w:cstheme="majorBidi"/>
          <w:color w:val="000000" w:themeColor="text1"/>
          <w:sz w:val="24"/>
          <w:szCs w:val="24"/>
        </w:rPr>
      </w:pPr>
    </w:p>
    <w:p w14:paraId="15E0B4EF" w14:textId="77777777" w:rsidR="003A40AC" w:rsidRPr="003A40AC" w:rsidRDefault="003A40AC" w:rsidP="003A40AC">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سادساً : </w:t>
      </w:r>
      <w:r>
        <w:rPr>
          <w:rFonts w:asciiTheme="majorBidi" w:hAnsiTheme="majorBidi" w:cstheme="majorBidi"/>
          <w:b/>
          <w:bCs/>
          <w:color w:val="000000" w:themeColor="text1"/>
          <w:rtl/>
        </w:rPr>
        <w:t>نظام الشركات (1441هـ)</w:t>
      </w:r>
      <w:r>
        <w:rPr>
          <w:rFonts w:asciiTheme="majorBidi" w:hAnsiTheme="majorBidi" w:cstheme="majorBidi" w:hint="cs"/>
          <w:b/>
          <w:bCs/>
          <w:color w:val="000000" w:themeColor="text1"/>
          <w:rtl/>
        </w:rPr>
        <w:t xml:space="preserve"> :</w:t>
      </w:r>
    </w:p>
    <w:p w14:paraId="6889EF0B"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يُعدّ نظام الشركات أحد الأنظمة الجوهرية التي تمسّ مهنة المحاماة مباشرة، إذ ينظم تكوين المكاتب القانونية وشركات المحاماة ويحدد أطر إدارتها ومسؤوليات الشركاء فيها. وترتبط أهميته بموضوع الرسالة من زاوية أنه يشكل الإطار المؤسسي الذي يُتيح لمكاتب المحاماة تبني التحول التقني وتوظيف الذكاء الاصطناعي في أعمالها ضمن بنية نظامية منضبطة. فبينما يركّز نظام المحاماة على الفرد الممارس، فإن نظام الشركات المهنية ينقل الممارسة إلى نطاق مؤسسي أوسع، يجعل تبني التقنية جزءًا من البنية التشغيلية للشركة لا مجرد خيار مهني فردي</w:t>
      </w:r>
      <w:r>
        <w:rPr>
          <w:rFonts w:asciiTheme="majorBidi" w:hAnsiTheme="majorBidi" w:cstheme="majorBidi"/>
          <w:color w:val="000000" w:themeColor="text1"/>
          <w:sz w:val="24"/>
          <w:szCs w:val="24"/>
        </w:rPr>
        <w:t>.</w:t>
      </w:r>
    </w:p>
    <w:p w14:paraId="0EA45802"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نصّت المادة (الثالثة) من النظام على أن الشركة المهنية تهدف إلى ممارسة مهنة حرة واحدة أو أكثر وفقًا لأحكام النظام والأنظمة المنظمة لتلك المهن. وتبعًا لذلك، يجوز لشركات المحاماة أن تُدرج ضمن بنيتها التشغيلية أنظمة ذكاء اصطناعي مساندة في البحث القانوني، وإدارة القضايا، وإعداد العقود، وتحليل البيانات. إلا أن استخدام هذه الأنظمة لا يُعفي الشركاء من مسؤوليتهم المهنية، بل يجعلها تضامنية، كما ورد في المادة (الخامسة عشرة) التي تنص على أن “الشركاء مسؤولون بالتضامن عن أعمال الشركة”. وهذا يعني أن أي خطأ أو إخلال ينتج عن النظام التقني المستخدم داخل الشركة ينعكس مسؤوليةً على جميع الشركاء، طالما كان النشاط ضمن نطاق عملها</w:t>
      </w:r>
      <w:r>
        <w:rPr>
          <w:rFonts w:asciiTheme="majorBidi" w:hAnsiTheme="majorBidi" w:cstheme="majorBidi"/>
          <w:color w:val="000000" w:themeColor="text1"/>
          <w:sz w:val="24"/>
          <w:szCs w:val="24"/>
        </w:rPr>
        <w:t>.</w:t>
      </w:r>
    </w:p>
    <w:p w14:paraId="51D1047D"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من الناحية التحليلية، يشكل النظام خطوة استراتيجية في تمكين المكاتب القانونية من استثمار التقنية بأمان قانوني. فهو يوفّر إطارًا مرنًا يسمح بالتوسع في الخدمات واستحداث أقسام تقنية قانونية متخصصة، شريطة أن تظل تحت إشراف محامين مرخصين. وقد أشار محمد شحادة إسماعيل </w:t>
      </w:r>
      <w:r>
        <w:rPr>
          <w:rStyle w:val="af"/>
          <w:rFonts w:asciiTheme="majorBidi" w:hAnsiTheme="majorBidi" w:cstheme="majorBidi"/>
          <w:color w:val="000000" w:themeColor="text1"/>
          <w:sz w:val="24"/>
          <w:szCs w:val="24"/>
          <w:rtl/>
        </w:rPr>
        <w:footnoteReference w:id="129"/>
      </w:r>
      <w:r>
        <w:rPr>
          <w:rFonts w:asciiTheme="majorBidi" w:hAnsiTheme="majorBidi" w:cstheme="majorBidi"/>
          <w:color w:val="000000" w:themeColor="text1"/>
          <w:sz w:val="24"/>
          <w:szCs w:val="24"/>
          <w:rtl/>
        </w:rPr>
        <w:t>(2023) في دراسته عن تأثير الذكاء الاصطناعي على المهن القانونية إلى أن الإطار التنظيمي للشركات المهنية في السعودية يمثل بيئة خصبة لتطبيق الذكاء الاصطناعي المؤسسي، لأنه يجمع بين الكفاءة التكنولوجية والمسؤولية القانونية الواضحة. ويضيف أن هذا النظام يمنح للمكتب القانوني القدرة على تطوير خدماته وتحسين الأداء باستخدام التقنية، دون المساس بمبدأ المسؤولية الفردية للمحامي عن مخرجات عمله</w:t>
      </w:r>
      <w:r>
        <w:rPr>
          <w:rFonts w:asciiTheme="majorBidi" w:hAnsiTheme="majorBidi" w:cstheme="majorBidi"/>
          <w:color w:val="000000" w:themeColor="text1"/>
          <w:sz w:val="24"/>
          <w:szCs w:val="24"/>
        </w:rPr>
        <w:t>.</w:t>
      </w:r>
    </w:p>
    <w:p w14:paraId="5AA61F5A"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ويرتبط هذا النظام أيضًا بنظام حماية البيانات الشخصية من جهة الأمن المعلوماتي، إذ تلتزم الشركات المهنية وفقًا للمادة (الثالثة والعشرين) بالمحافظة على السرية المهنية وضمان حماية بيانات عملائها. وهذا الالتزام يشمل الأنظمة التقنية التي تديرها الشركة، بما فيها أنظمة الذكاء الاصطناعي. ويشير عبدالله حمادي</w:t>
      </w:r>
      <w:r>
        <w:rPr>
          <w:rStyle w:val="af"/>
          <w:rFonts w:asciiTheme="majorBidi" w:hAnsiTheme="majorBidi" w:cstheme="majorBidi"/>
          <w:color w:val="000000" w:themeColor="text1"/>
          <w:sz w:val="24"/>
          <w:szCs w:val="24"/>
          <w:rtl/>
        </w:rPr>
        <w:footnoteReference w:id="130"/>
      </w:r>
      <w:r>
        <w:rPr>
          <w:rFonts w:asciiTheme="majorBidi" w:hAnsiTheme="majorBidi" w:cstheme="majorBidi"/>
          <w:color w:val="000000" w:themeColor="text1"/>
          <w:sz w:val="24"/>
          <w:szCs w:val="24"/>
          <w:rtl/>
        </w:rPr>
        <w:t xml:space="preserve"> (2022) إلى أن البنية المؤسسية للشركات المهنية تخلق مستوى إضافيًا من الرقابة الداخلية، يجعل من الممكن تطبيق سياسات حوكمة تقنية تحكم الوصول إلى البيانات وتمنع إساءة استخدامها، ما يعزز الثقة في الممارسة القانونية التقنية</w:t>
      </w:r>
      <w:r>
        <w:rPr>
          <w:rFonts w:asciiTheme="majorBidi" w:hAnsiTheme="majorBidi" w:cstheme="majorBidi"/>
          <w:color w:val="000000" w:themeColor="text1"/>
          <w:sz w:val="24"/>
          <w:szCs w:val="24"/>
        </w:rPr>
        <w:t>.</w:t>
      </w:r>
    </w:p>
    <w:p w14:paraId="320DA7C6"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ومن جهة التكامل، فإن نظام الشركات المهنية يرتبط كذلك بوثيقة مبادئ أخلاقيات الذكاء الاصطناعي (سدايا، 2023) التي تؤكد على مبدأ “المساءلة والشفافية”</w:t>
      </w:r>
      <w:r>
        <w:rPr>
          <w:rStyle w:val="af"/>
          <w:rFonts w:asciiTheme="majorBidi" w:hAnsiTheme="majorBidi" w:cstheme="majorBidi"/>
          <w:color w:val="000000" w:themeColor="text1"/>
          <w:sz w:val="24"/>
          <w:szCs w:val="24"/>
          <w:rtl/>
        </w:rPr>
        <w:footnoteReference w:id="131"/>
      </w:r>
      <w:r>
        <w:rPr>
          <w:rFonts w:asciiTheme="majorBidi" w:hAnsiTheme="majorBidi" w:cstheme="majorBidi"/>
          <w:color w:val="000000" w:themeColor="text1"/>
          <w:sz w:val="24"/>
          <w:szCs w:val="24"/>
          <w:rtl/>
        </w:rPr>
        <w:t>. إذ يتطلب من شركات المحاماة أن توثّق آليات استخدام الذكاء الاصطناعي لديها، وتحتفظ بسجلات واضحة تبيّن مدى التزام أنظمتها بالضوابط الوطنية للحوكمة التقنية. وهذا يتماشى مع الهدف العام للرسالة في بناء تصور تنظيمي متكامل يحدد واجبات مكاتب المحاماة في التعامل مع التقنية بما يضمن الشفافية والمساءلة القانونية</w:t>
      </w:r>
      <w:r>
        <w:rPr>
          <w:rFonts w:asciiTheme="majorBidi" w:hAnsiTheme="majorBidi" w:cstheme="majorBidi"/>
          <w:color w:val="000000" w:themeColor="text1"/>
          <w:sz w:val="24"/>
          <w:szCs w:val="24"/>
        </w:rPr>
        <w:t>.</w:t>
      </w:r>
    </w:p>
    <w:p w14:paraId="50EA15DE"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وعلى صعيد رؤية المملكة 2030، يشكل النظام أحد ركائز التحول المهني نحو اقتصاد المعرفة، لأنه يمكّن الشركات القانونية من استثمار التقنية ضمن أطر نظامية حديثة، ويؤكد أن الابتكار في الممارسة القانونية لا يتعارض مع التزام المهني بالقواعد العدلية. وبهذا، يمكن القول إن نظام الشركات المهنية يمثل الإطار التنظيمي المؤسسي لتفعيل الذكاء الاصطناعي في مكاتب المحاماة، لأنه يجمع بين التمكين التقني والانضباط النظامي، ويوفر أساسًا قانونيًا يحقق توازنًا بين الابتكار والمسؤولية</w:t>
      </w:r>
      <w:r>
        <w:rPr>
          <w:rFonts w:asciiTheme="majorBidi" w:hAnsiTheme="majorBidi" w:cstheme="majorBidi"/>
          <w:color w:val="000000" w:themeColor="text1"/>
          <w:sz w:val="24"/>
          <w:szCs w:val="24"/>
        </w:rPr>
        <w:t>.</w:t>
      </w:r>
    </w:p>
    <w:p w14:paraId="3F55D5AB" w14:textId="77777777" w:rsidR="003A40AC" w:rsidRDefault="003A40AC" w:rsidP="005B3BD6">
      <w:pPr>
        <w:jc w:val="right"/>
        <w:rPr>
          <w:rFonts w:asciiTheme="majorBidi" w:hAnsiTheme="majorBidi" w:cstheme="majorBidi"/>
          <w:color w:val="000000" w:themeColor="text1"/>
          <w:sz w:val="24"/>
          <w:szCs w:val="24"/>
        </w:rPr>
      </w:pPr>
    </w:p>
    <w:p w14:paraId="5AF2C9CD" w14:textId="77777777" w:rsidR="003A40AC" w:rsidRPr="003A40AC" w:rsidRDefault="003A40AC" w:rsidP="003A40AC">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سابعاً : </w:t>
      </w:r>
      <w:r>
        <w:rPr>
          <w:rFonts w:asciiTheme="majorBidi" w:hAnsiTheme="majorBidi" w:cstheme="majorBidi"/>
          <w:b/>
          <w:bCs/>
          <w:color w:val="000000" w:themeColor="text1"/>
          <w:rtl/>
        </w:rPr>
        <w:t>نظام القضاء (1428هـ)</w:t>
      </w:r>
      <w:r>
        <w:rPr>
          <w:rFonts w:asciiTheme="majorBidi" w:hAnsiTheme="majorBidi" w:cstheme="majorBidi" w:hint="cs"/>
          <w:b/>
          <w:bCs/>
          <w:color w:val="000000" w:themeColor="text1"/>
          <w:rtl/>
        </w:rPr>
        <w:t xml:space="preserve"> :</w:t>
      </w:r>
    </w:p>
    <w:p w14:paraId="2F349EA8"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يُعتبر نظام القضاء أحد الركائز الجوهرية في البناء العدلي السعودي، إذ يُحدد الهيكل التنظيمي للسلطة القضائية ويضع القواعد العامة لإدارة العدالة في المملكة. وترتبط أهميته بموضوع الرسالة من زاوية أنه يُشكّل الإطار المؤسسي الأعلى الذي تعمل ضمنه مكاتب المحاماة، كما يُمثل البيئة التي يُمارَس فيها أثر توظيف الذكاء الاصطناعي على العدالة ذاتها. فإذا كان نظام المحاماة ينظّم المهنة، والأنظمة المكملة تضبط الأدوات التقنية، فإن نظام القضاء هو الذي يمنح هذا التكامل مشروعيته ويُحدّد حدوده في إطار العدالة</w:t>
      </w:r>
      <w:r>
        <w:rPr>
          <w:rFonts w:asciiTheme="majorBidi" w:hAnsiTheme="majorBidi" w:cstheme="majorBidi"/>
          <w:color w:val="000000" w:themeColor="text1"/>
          <w:sz w:val="24"/>
          <w:szCs w:val="24"/>
        </w:rPr>
        <w:t>.</w:t>
      </w:r>
    </w:p>
    <w:p w14:paraId="10B75D10"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أقر النظام في مادته الأولى أن القضاء سلطة مستقلة، ولا سلطان على القضاة في قضائهم لغير أحكام الشريعة الإسلامية والأنظمة المرعية. وهذا النص يُبرز العلاقة العضوية بين العدالة والقانون، لكنه أيضًا يُتيح مساحة لتطور أدوات القضاء ما دامت لا تُخلّ بالمبادئ الأساسية. ومن هذا المنطلق، أصبحت البيئة القضائية اليوم أكثر انفتاحًا على التحول الرقمي، عبر منصات التقاضي الإلكتروني مثل </w:t>
      </w:r>
      <w:r>
        <w:rPr>
          <w:rFonts w:asciiTheme="majorBidi" w:hAnsiTheme="majorBidi" w:cstheme="majorBidi"/>
          <w:i/>
          <w:iCs/>
          <w:color w:val="000000" w:themeColor="text1"/>
          <w:sz w:val="24"/>
          <w:szCs w:val="24"/>
          <w:rtl/>
        </w:rPr>
        <w:t>ناجز</w:t>
      </w:r>
      <w:r>
        <w:rPr>
          <w:rFonts w:asciiTheme="majorBidi" w:hAnsiTheme="majorBidi" w:cstheme="majorBidi"/>
          <w:color w:val="000000" w:themeColor="text1"/>
          <w:sz w:val="24"/>
          <w:szCs w:val="24"/>
          <w:rtl/>
        </w:rPr>
        <w:t xml:space="preserve"> والمحكمة الإلكترونية، ما جعل مهنة المحاماة شريكًا مباشرًا في هذا التحول. وهنا يبرز البعد التنظيمي في عنوان الرسالة؛ إذ يُعاد تعريف العلاقة بين المحامي والقضاء في ظل الذكاء الاصطناعي، من علاقة تقليدية إلى علاقة رقمية مؤسسية تُدار عبر أنظمة ذكية مؤمّنة</w:t>
      </w:r>
      <w:r>
        <w:rPr>
          <w:rFonts w:asciiTheme="majorBidi" w:hAnsiTheme="majorBidi" w:cstheme="majorBidi"/>
          <w:color w:val="000000" w:themeColor="text1"/>
          <w:sz w:val="24"/>
          <w:szCs w:val="24"/>
        </w:rPr>
        <w:t>.</w:t>
      </w:r>
    </w:p>
    <w:p w14:paraId="6579F3F8"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أشار فاطمة بلال</w:t>
      </w:r>
      <w:r>
        <w:rPr>
          <w:rStyle w:val="af"/>
          <w:rFonts w:asciiTheme="majorBidi" w:hAnsiTheme="majorBidi" w:cstheme="majorBidi"/>
          <w:color w:val="000000" w:themeColor="text1"/>
          <w:sz w:val="24"/>
          <w:szCs w:val="24"/>
          <w:rtl/>
        </w:rPr>
        <w:footnoteReference w:id="132"/>
      </w:r>
      <w:r>
        <w:rPr>
          <w:rFonts w:asciiTheme="majorBidi" w:hAnsiTheme="majorBidi" w:cstheme="majorBidi"/>
          <w:color w:val="000000" w:themeColor="text1"/>
          <w:sz w:val="24"/>
          <w:szCs w:val="24"/>
          <w:rtl/>
        </w:rPr>
        <w:t xml:space="preserve"> (2023) في رسالتها حول </w:t>
      </w:r>
      <w:r>
        <w:rPr>
          <w:rFonts w:asciiTheme="majorBidi" w:hAnsiTheme="majorBidi" w:cstheme="majorBidi"/>
          <w:i/>
          <w:iCs/>
          <w:color w:val="000000" w:themeColor="text1"/>
          <w:sz w:val="24"/>
          <w:szCs w:val="24"/>
          <w:rtl/>
        </w:rPr>
        <w:t>دور الذكاء الاصطناعي في تعزيز العدالة الناجزة</w:t>
      </w:r>
      <w:r>
        <w:rPr>
          <w:rFonts w:asciiTheme="majorBidi" w:hAnsiTheme="majorBidi" w:cstheme="majorBidi"/>
          <w:color w:val="000000" w:themeColor="text1"/>
          <w:sz w:val="24"/>
          <w:szCs w:val="24"/>
          <w:rtl/>
        </w:rPr>
        <w:t xml:space="preserve"> إلى أن وزارة العدل السعودية أنجزت نقلة نوعية في أتمتة الإجراءات القضائية، حتى أصبحت أكثر من (90%) من الخدمات العدلية تُقدَّم إلكترونيًا. هذا الواقع يفرض على المحامي أن يطوّر أدواته وأساليبه، لأن طبيعة التقاضي نفسها تغيّرت من بيئة شفوية إلى بيئة رقمية تعتمد على تحليل البيانات والأرشفة الإلكترونية، مما يجعل استخدام أدوات الذكاء الاصطناعي ضرورة مهنية لضمان الكفاءة والسرعة. وهنا تظهر صلة النظام بالرسالة، فنجاح العدالة الرقمية لا يكتمل دون تمكين المحامي من العمل ضمن المنظومة التقنية للقضاء</w:t>
      </w:r>
      <w:r>
        <w:rPr>
          <w:rFonts w:asciiTheme="majorBidi" w:hAnsiTheme="majorBidi" w:cstheme="majorBidi"/>
          <w:color w:val="000000" w:themeColor="text1"/>
          <w:sz w:val="24"/>
          <w:szCs w:val="24"/>
        </w:rPr>
        <w:t>.</w:t>
      </w:r>
    </w:p>
    <w:p w14:paraId="12916409"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زاوية تحليلية، يمكن القول إن نظام القضاء يمهّد لتكامل تشريعي مع الأنظمة المكملة السابقة (الإثبات، حماية البيانات، التعاملات الإلكترونية) في إطار “عدالة رقمية متكاملة”. إذ أصبح القاضي يعتمد على النظم الإلكترونية في تبادل المذكرات وجدولة الجلسات وتسجيل الأحكام، بينما يستخدم المحامي الذكاء الاصطناعي في تحليل السوابق القضائية وصياغة المرافعات. وهذا التفاعل يخلق نظامًا قضائيًا جديدًا قائمًا على “الشراكة التقنية بين القضاء والمحاماة”، وهي فكرة محورية في رسالة الدكتوراه التي تسعى لتحديد الإطار القانوني المنظم لهذا التكامل</w:t>
      </w:r>
      <w:r>
        <w:rPr>
          <w:rFonts w:asciiTheme="majorBidi" w:hAnsiTheme="majorBidi" w:cstheme="majorBidi"/>
          <w:color w:val="000000" w:themeColor="text1"/>
          <w:sz w:val="24"/>
          <w:szCs w:val="24"/>
        </w:rPr>
        <w:t>.</w:t>
      </w:r>
    </w:p>
    <w:p w14:paraId="6EB7792B"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 xml:space="preserve">كما أن هذا النظام يرتبط بوثيقة مبادئ أخلاقيات الذكاء الاصطناعي (سدايا، 2023) من حيث ترسيخ مبادئ الشفافية والمساءلة في العمل القضائي، بما يضمن أن استخدام الأنظمة الذكية في القضاء يتم تحت رقابة إنسانية تحافظ على العدالة. فالمحاكم الذكية لا تهدف إلى استبدال القاضي أو المحامي، وإنما إلى دعم قراراتهما بالأدوات التقنية التي تعزز دقة العمل وسرعته. ويشير </w:t>
      </w:r>
      <w:r>
        <w:rPr>
          <w:rFonts w:asciiTheme="majorBidi" w:hAnsiTheme="majorBidi" w:cstheme="majorBidi" w:hint="cs"/>
          <w:color w:val="000000" w:themeColor="text1"/>
          <w:sz w:val="24"/>
          <w:szCs w:val="24"/>
          <w:rtl/>
        </w:rPr>
        <w:t>خالد</w:t>
      </w:r>
      <w:r>
        <w:rPr>
          <w:rFonts w:asciiTheme="majorBidi" w:hAnsiTheme="majorBidi" w:cstheme="majorBidi"/>
          <w:color w:val="000000" w:themeColor="text1"/>
          <w:sz w:val="24"/>
          <w:szCs w:val="24"/>
          <w:rtl/>
        </w:rPr>
        <w:t xml:space="preserve"> المالكي</w:t>
      </w:r>
      <w:r>
        <w:rPr>
          <w:rStyle w:val="af"/>
          <w:rFonts w:asciiTheme="majorBidi" w:hAnsiTheme="majorBidi" w:cstheme="majorBidi"/>
          <w:color w:val="000000" w:themeColor="text1"/>
          <w:sz w:val="24"/>
          <w:szCs w:val="24"/>
          <w:rtl/>
        </w:rPr>
        <w:footnoteReference w:id="133"/>
      </w:r>
      <w:r>
        <w:rPr>
          <w:rFonts w:asciiTheme="majorBidi" w:hAnsiTheme="majorBidi" w:cstheme="majorBidi"/>
          <w:color w:val="000000" w:themeColor="text1"/>
          <w:sz w:val="24"/>
          <w:szCs w:val="24"/>
          <w:rtl/>
        </w:rPr>
        <w:t xml:space="preserve"> (2024) إلى أن دمج الذكاء الاصطناعي في القضاء والمحاماة معًا يستوجب بناء إطار تشريعي موحّد يوازن بين الاستقلال القضائي والرقابة التقنية، وهو ما تسعى هذه الدراسة إلى بلورته تنظيميًا</w:t>
      </w:r>
      <w:r>
        <w:rPr>
          <w:rFonts w:asciiTheme="majorBidi" w:hAnsiTheme="majorBidi" w:cstheme="majorBidi"/>
          <w:color w:val="000000" w:themeColor="text1"/>
          <w:sz w:val="24"/>
          <w:szCs w:val="24"/>
        </w:rPr>
        <w:t>.</w:t>
      </w:r>
    </w:p>
    <w:p w14:paraId="0FB066E7"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ويُضاف إلى ذلك أن المادة (الثانية والأربعين) من نظام القضاء نصّت على إنشاء مجلس أعلى للقضاء يتولى الإشراف على شؤون المحاكم، ما يمنح هذا المجلس صلاحية تبني السياسات العدلية الرقمية وتنظيم العلاقة بين القضاء ومكونات العدالة الأخرى، ومنها مهنة المحاماة. وهذا يفتح الباب أمام إصدار لوائح تنظيمية مستقبلية تضع معايير لاستخدام الذكاء الاصطناعي في العمل القضائي والمرافعات، وهو أحد التوصيات التي تندرج ضمن التصور التنظيمي المقترح في هذه الرسالة</w:t>
      </w:r>
      <w:r>
        <w:rPr>
          <w:rFonts w:asciiTheme="majorBidi" w:hAnsiTheme="majorBidi" w:cstheme="majorBidi"/>
          <w:color w:val="000000" w:themeColor="text1"/>
          <w:sz w:val="24"/>
          <w:szCs w:val="24"/>
        </w:rPr>
        <w:t>.</w:t>
      </w:r>
    </w:p>
    <w:p w14:paraId="7D685E31"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t>وبحسب ما انتهى إليه محمود وعناني (د.ت) في دراستهما المقارنة، فإن ربط استقلالية القضاء بمتطلبات الشفافية الخوارزمية يمثل المعادلة الأدق في تنظيم اعتماد الذكاء الاصطناعي في مرافق العدالة، إذ لا يمكن القبول بأداة ذكية تصدر أحكامًا أو توصيات قضائية دون أن يكون قراراتها قابلة للتفسير والمراجعة من قِبَل الجهة القضائية المختصة.</w:t>
      </w:r>
      <w:r w:rsidRPr="00000001">
        <w:rPr>
          <w:rtl/>
        </w:rPr>
        <w:footnoteReference w:id="134"/>
      </w:r>
    </w:p>
    <w:p w14:paraId="27F2796F"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وعليه، فإن نظام القضاء يمثل الإطار المؤسسي الذي تُمارَس فيه جميع آثار توظيف الذكاء الاصطناعي في مكاتب المحاماة، لأنه يحدد طبيعة العدالة التي يسعى النظام القانوني السعودي إلى تحقيقها: عدالة </w:t>
      </w:r>
      <w:r>
        <w:rPr>
          <w:rFonts w:asciiTheme="majorBidi" w:hAnsiTheme="majorBidi" w:cstheme="majorBidi" w:hint="cs"/>
          <w:color w:val="000000" w:themeColor="text1"/>
          <w:sz w:val="24"/>
          <w:szCs w:val="24"/>
          <w:rtl/>
        </w:rPr>
        <w:t>مؤتمته</w:t>
      </w:r>
      <w:r>
        <w:rPr>
          <w:rFonts w:asciiTheme="majorBidi" w:hAnsiTheme="majorBidi" w:cstheme="majorBidi"/>
          <w:color w:val="000000" w:themeColor="text1"/>
          <w:sz w:val="24"/>
          <w:szCs w:val="24"/>
          <w:rtl/>
        </w:rPr>
        <w:t>، رقمية، ومنضبطة بالقانون. ومن ثم، فإن تطوير الإطار القانوني لتوظيف الذكاء الاصطناعي في المهنة لا بد أن يُقرأ في سياق هذا النظام الذي يضمن أن تظل العدالة غاية التحول التقني، لا مجرد نتيجة له</w:t>
      </w:r>
      <w:r>
        <w:rPr>
          <w:rFonts w:asciiTheme="majorBidi" w:hAnsiTheme="majorBidi" w:cstheme="majorBidi"/>
          <w:color w:val="000000" w:themeColor="text1"/>
          <w:sz w:val="24"/>
          <w:szCs w:val="24"/>
        </w:rPr>
        <w:t>.</w:t>
      </w:r>
    </w:p>
    <w:p w14:paraId="1C296614" w14:textId="77777777" w:rsidR="003A40AC" w:rsidRDefault="003A40AC" w:rsidP="005B3BD6">
      <w:pPr>
        <w:jc w:val="right"/>
        <w:rPr>
          <w:rFonts w:asciiTheme="majorBidi" w:hAnsiTheme="majorBidi" w:cstheme="majorBidi"/>
          <w:color w:val="000000" w:themeColor="text1"/>
          <w:sz w:val="24"/>
          <w:szCs w:val="24"/>
        </w:rPr>
      </w:pPr>
    </w:p>
    <w:p w14:paraId="7B3DBD11" w14:textId="77777777" w:rsidR="00061491" w:rsidRDefault="00061491" w:rsidP="00061491">
      <w:pPr>
        <w:jc w:val="right"/>
        <w:rPr>
          <w:rFonts w:asciiTheme="majorBidi" w:hAnsiTheme="majorBidi" w:cstheme="majorBidi"/>
          <w:b/>
          <w:bCs/>
          <w:color w:val="000000" w:themeColor="text1"/>
          <w:rtl/>
        </w:rPr>
      </w:pPr>
      <w:r>
        <w:rPr>
          <w:rFonts w:asciiTheme="majorBidi" w:hAnsiTheme="majorBidi" w:cstheme="majorBidi" w:hint="cs"/>
          <w:b/>
          <w:bCs/>
          <w:color w:val="000000" w:themeColor="text1"/>
          <w:sz w:val="24"/>
          <w:szCs w:val="24"/>
          <w:rtl/>
        </w:rPr>
        <w:t xml:space="preserve">ثامناً : </w:t>
      </w:r>
      <w:r>
        <w:rPr>
          <w:rFonts w:asciiTheme="majorBidi" w:hAnsiTheme="majorBidi" w:cstheme="majorBidi"/>
          <w:b/>
          <w:bCs/>
          <w:color w:val="000000" w:themeColor="text1"/>
          <w:rtl/>
        </w:rPr>
        <w:t>الوثائق التنظيمية والأخلاقية – سدايا</w:t>
      </w:r>
      <w:r>
        <w:rPr>
          <w:rFonts w:asciiTheme="majorBidi" w:hAnsiTheme="majorBidi" w:cstheme="majorBidi" w:hint="cs"/>
          <w:b/>
          <w:bCs/>
          <w:color w:val="000000" w:themeColor="text1"/>
          <w:rtl/>
        </w:rPr>
        <w:t xml:space="preserve"> :</w:t>
      </w:r>
    </w:p>
    <w:p w14:paraId="0A8B3109"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تُمثّل الوثائق الصادرة عن الهيئة السعودية للبيانات والذكاء الاصطناعي (سدايا) الإطار المرجعي المكمل للأنظمة العدلية في المملكة، إذ تُحدّد المبادئ الأخلاقية والتنظيمية الحاكمة لاستخدام الذكاء الاصطناعي في القطاعات المختلفة، ومن ضمنها القطاع القانوني ومكاتب المحاماة. وتبرز أهمية هذه الوثائق بالنسبة لموضوع الرسالة من كونها تهدف إلى تحويل “الاستخدام التقني” إلى ممارسة منضبطة بالقيم والضوابط الأخلاقية، بحيث لا يكون الذكاء الاصطناعي مجرد أداة تقنية، بل جزءًا من منظومة العدالة القائمة على حماية الحقوق وصون البيانات</w:t>
      </w:r>
      <w:r>
        <w:rPr>
          <w:rFonts w:asciiTheme="majorBidi" w:hAnsiTheme="majorBidi" w:cstheme="majorBidi"/>
          <w:color w:val="000000" w:themeColor="text1"/>
          <w:sz w:val="24"/>
          <w:szCs w:val="24"/>
        </w:rPr>
        <w:t>.</w:t>
      </w:r>
    </w:p>
    <w:p w14:paraId="18E4E37D"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وتشمل هذه الوثائق: وثيقة مبادئ أخلاقيات الذكاء الاصطناعي، وإطار تبنّي الذكاء الاصطناعي في المملكة، والدليل الاسترشادي لتقويم مخاطر نقل البيانات الشخصية إلى خارج المملكة. وتمثل هذه الوثائق إطارًا تنظيميًا “غير تشريعي” يوجّه السياسات التقنية ويكمل القواعد العدلية، إلا أن إلزاميتها القانونية داخل مكاتب المحاماة لا تتحقق إلا من خلال صدور قرارات تنظيمية أو لوائح مهنية تعتمدها وزارة العدل أو هيئة المحامين السعوديين. وهذا البعد مهم في ضبط المسؤولية القانونية؛ إذ لا يُساءل مكتب المحاماة تأديبيًا إلا إذا اقترنت هذه الوثائق بقرارات تنظيمية تُحوّلها إلى قواعد واجبة الاتباع</w:t>
      </w:r>
      <w:r>
        <w:rPr>
          <w:rFonts w:asciiTheme="majorBidi" w:hAnsiTheme="majorBidi" w:cstheme="majorBidi"/>
          <w:color w:val="000000" w:themeColor="text1"/>
          <w:sz w:val="24"/>
          <w:szCs w:val="24"/>
        </w:rPr>
        <w:t>.</w:t>
      </w:r>
    </w:p>
    <w:p w14:paraId="1FF7F540"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وتؤكد وثيقة مبادئ أخلاقيات الذكاء الاصطناعي على مبادئ العدالة، والشفافية، والمساءلة، وحماية الخصوصية، وهي مبادئ تتقاطع مباشرة مع الالتزامات المهنية للمحامي. فمبدأ “المساءلة” يعني أن الجهة التي تستخدم التقنية </w:t>
      </w:r>
      <w:r>
        <w:rPr>
          <w:rFonts w:asciiTheme="majorBidi" w:hAnsiTheme="majorBidi" w:cstheme="majorBidi"/>
          <w:color w:val="000000" w:themeColor="text1"/>
          <w:sz w:val="24"/>
          <w:szCs w:val="24"/>
          <w:rtl/>
        </w:rPr>
        <w:lastRenderedPageBreak/>
        <w:t>— ومنها مكاتب المحاماة — تظل مسؤولة عن نتائج استخدامها. ويشير خالد المالكي إلى أن دمج المبادئ الأخلاقية في المنظومة العدلية يسهم في توسيع نطاق المسؤولية المهنية لتشمل الآثار الاجتماعية والتقنية للذكاء الاصطناعي، وليس فقط نتائجه القانونية. ومع أن الوثيقة غير ملزمة بذاتها، إلا أن اعتمادها بقرار تنظيمي من وزارة العدل أو هيئة المحامين كفيل بتحويلها إلى معيار مهني ملزم داخل المكاتب القانونية</w:t>
      </w:r>
      <w:r>
        <w:rPr>
          <w:rFonts w:asciiTheme="majorBidi" w:hAnsiTheme="majorBidi" w:cstheme="majorBidi"/>
          <w:color w:val="000000" w:themeColor="text1"/>
          <w:sz w:val="24"/>
          <w:szCs w:val="24"/>
        </w:rPr>
        <w:t>.</w:t>
      </w:r>
    </w:p>
    <w:p w14:paraId="06884CA1"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أما إطار تبنّي الذكاء الاصطناعي (سدايا، 2023) فيُعدّ وثيقة تنفيذية تحدد مستويات النضج المؤسسي للتقنية، ومعايير الحوكمة وإدارة الأنظمة الذكية. ويمكن لمكاتب المحاماة الاستفادة منه لتقييم جاهزيتها التقنية، وتحديد مستوى الامتثال الأخلاقي والقانوني لديها، وبشكل خاص في ما يتعلق بإدارة بيانات الموكلين واستخدام أدوات الذكاء الاصطناعي في إعداد الوثائق والمذكرات. وهذه الممارسات لا يمكن ضبطها بفعالية إلا إذا تم دمج الإطار داخل لوائح مهنية تُلزم المحامين بالخضوع لتقويم دوري لمدى الامتثال لمعايير الحوكمة الرقمية</w:t>
      </w:r>
      <w:r>
        <w:rPr>
          <w:rFonts w:asciiTheme="majorBidi" w:hAnsiTheme="majorBidi" w:cstheme="majorBidi"/>
          <w:color w:val="000000" w:themeColor="text1"/>
          <w:sz w:val="24"/>
          <w:szCs w:val="24"/>
        </w:rPr>
        <w:t>.</w:t>
      </w:r>
    </w:p>
    <w:p w14:paraId="35F06EB1"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أما الدليل الاسترشادي لتقويم مخاطر نقل البيانات الشخصية إلى خارج المملكة، فيمثل وثيقة وقائية مكملة لنظام حماية البيانات الشخصية، لأنه يضع معايير دقيقة لدراسة المخاطر قبل استخدام منصات ذكاء اصطناعي أجنبية. وهذا الأمر جوهري بالنسبة لمكاتب المحاماة التي تتعامل مع بيانات حساسة لا يجوز إخراجها خارج الحدود الوطنية دون مبرر نظامي. ومن ثمّ، يصبح الالتزام بهذا الدليل ضرورة مهنية، غير أنه لا يكتسب القوة النظامية إلا إذا تبنته جهة اختصاص كمصدر إلزامي، كأن تصدر هيئة المحامين دليل التزام تقني يعتمد معايير سدايا كحدّ أدنى للامتثال</w:t>
      </w:r>
      <w:r>
        <w:rPr>
          <w:rFonts w:asciiTheme="majorBidi" w:hAnsiTheme="majorBidi" w:cstheme="majorBidi"/>
          <w:color w:val="000000" w:themeColor="text1"/>
          <w:sz w:val="24"/>
          <w:szCs w:val="24"/>
        </w:rPr>
        <w:t>.</w:t>
      </w:r>
    </w:p>
    <w:p w14:paraId="63D34A99"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وتشير الدراسات المقارنة، ومنها دراسة ياسر محمد عبدالسلام رجب، إلى أن التجارب العالمية الناجحة في توظيف التقنية داخل القطاعات العدلية لا تقتصر على إصدار أنظمة قانونية فحسب، بل تحتاج أيضًا إلى منظومة قيمية تُوجّه الممارسات اليومية للمحامين والعاملين في المنظومة العدلية. ومن هنا يتضح الدور المحوري لوثائق سدايا في تعزيز ثقافة الاستخدام المسؤول للذكاء الاصطناعي وربط التقنية بالقيم القانونية</w:t>
      </w:r>
      <w:r>
        <w:rPr>
          <w:rFonts w:asciiTheme="majorBidi" w:hAnsiTheme="majorBidi" w:cstheme="majorBidi"/>
          <w:color w:val="000000" w:themeColor="text1"/>
          <w:sz w:val="24"/>
          <w:szCs w:val="24"/>
        </w:rPr>
        <w:t>.</w:t>
      </w:r>
    </w:p>
    <w:p w14:paraId="3BE1C8AB"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ويُضاف إلى ذلك أن تأثير هذه الوثائق لا يقتصر على المستوى التشريعي أو المفاهيمي، بل يمتد إلى الممارسة اليومية داخل مكاتب المحاماة؛ إذ تتطلب مبادئ العدالة والشفافية والمساءلة تطوير برامج تدريبية إلزامية للمحامين والعاملين في المكاتب القانونية حول الاستخدام الآمن والمسؤول للذكاء الاصطناعي، وآليات حماية بيانات الموكلين، وكيفية التعامل مع الأنظمة الذكية وفق الضوابط الأخلاقية والعدلية. كما تتطلب هذه الوثائق نشر ثقافة “المحو الأمّي الرقمي القانوني” بحيث يكون المحامي قادرًا على فهم مخاطر التقنية وواجباته عند استخدامها، لا مجرد الاعتماد عليها بوصفها أداة مساعدة</w:t>
      </w:r>
      <w:r>
        <w:rPr>
          <w:rFonts w:asciiTheme="majorBidi" w:hAnsiTheme="majorBidi" w:cstheme="majorBidi"/>
          <w:color w:val="000000" w:themeColor="text1"/>
          <w:sz w:val="24"/>
          <w:szCs w:val="24"/>
        </w:rPr>
        <w:t>.</w:t>
      </w:r>
    </w:p>
    <w:p w14:paraId="5FDC0FFA"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خلال هذه الوثائق الثلاث، يتضح أن المملكة انتقلت من مرحلة “تنظيم التقنية” إلى مرحلة “حوكمتها”، وهو ما ينسجم مع رؤية المملكة 2030 التي تقوم على بناء منظومة رقمية حديثة تُوازن بين الابتكار وحماية الحقوق. وتُمثل هذه الوثائق جزءًا أساسيًا من الإطار القانوني لتوظيف الذكاء الاصطناعي في مكاتب المحاماة، لأنها ترسم الحدود الأخلاقية والتنظيمية للعلاقة بين المحامي والتقنية والموكل والمجتمع، وتؤكد أن التحول الرقمي ليس مجرد تطوير أدوات، بل بناء منظومة قيمية وتشريعية متكاملة</w:t>
      </w:r>
      <w:r>
        <w:rPr>
          <w:rFonts w:asciiTheme="majorBidi" w:hAnsiTheme="majorBidi" w:cstheme="majorBidi"/>
          <w:color w:val="000000" w:themeColor="text1"/>
          <w:sz w:val="24"/>
          <w:szCs w:val="24"/>
        </w:rPr>
        <w:t>.</w:t>
      </w:r>
    </w:p>
    <w:p w14:paraId="185DCB14"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ويُضيف إطار تبني الذكاء الاصطناعي الصادر عن سدايا بُعدًا تطبيقيًا مهمًا في هذا السياق؛ إذ يُؤكد أن التطور المتسارع في تقنيات الذكاء الاصطناعي أفضى إلى تغيير مشهد الأعمال في قطاعات متعددة، وأن تبني هذه التقنيات بطريقة محوكمة ومسؤولة يستلزم استيفاء ستة ركائز تنظيمية تشمل تأسيس وحدات مختصة، وبناء قدرات بشرية، وتقييم المخاطر، والمتابعة المستمرة. وهذه الركائز تُوجِب تكاملًا بين الإطار التقني والإطار التشريعي والمهني على حدٍّ سواء.</w:t>
      </w:r>
      <w:r>
        <w:rPr>
          <w:rStyle w:val="af"/>
          <w:rFonts w:asciiTheme="majorBidi" w:hAnsiTheme="majorBidi" w:cstheme="majorBidi"/>
          <w:sz w:val="24"/>
          <w:szCs w:val="24"/>
          <w:rtl/>
        </w:rPr>
        <w:footnoteReference w:id="135"/>
      </w:r>
    </w:p>
    <w:p w14:paraId="61448F43" w14:textId="77777777" w:rsidR="00061491" w:rsidRDefault="00061491" w:rsidP="00061491">
      <w:pPr>
        <w:jc w:val="right"/>
        <w:rPr>
          <w:rFonts w:asciiTheme="majorBidi" w:hAnsiTheme="majorBidi" w:cstheme="majorBidi"/>
          <w:color w:val="000000" w:themeColor="text1"/>
          <w:sz w:val="24"/>
          <w:szCs w:val="24"/>
        </w:rPr>
      </w:pPr>
    </w:p>
    <w:p w14:paraId="1E38E4BE" w14:textId="77777777" w:rsidR="00E82B9E" w:rsidRPr="00E82B9E" w:rsidRDefault="00E82B9E" w:rsidP="00191993">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lastRenderedPageBreak/>
        <w:t>وفي ضوء ما سبق عرضه،</w:t>
      </w:r>
      <w:r>
        <w:rPr>
          <w:rFonts w:asciiTheme="majorBidi" w:hAnsiTheme="majorBidi" w:cstheme="majorBidi"/>
          <w:color w:val="000000" w:themeColor="text1"/>
          <w:sz w:val="24"/>
          <w:szCs w:val="24"/>
          <w:rtl/>
        </w:rPr>
        <w:t xml:space="preserve"> يتضح من تحليل الأنظمة المكملة أن البيئة النظامية السعودية قد أرست دعائم متينة لمرحلة جديدة من الممارسة القانونية الذكية، تقوم على تحقيق التوازن بين الابتكار التقني والضبط القانوني. فقد أسهم كل نظام من هذه الأنظمة في بناء جانب محدد من الإطار العام لتوظيف الذكاء الاصطناعي في مكاتب المحاماة، ضمن رؤية تنظيمية متكاملة تتناغم مع أهداف التحول العدلي والرقمي في المملكة. وفي هذا السياق، جاء نظام حماية البيانات الشخصية ليضع الحدود الكفيلة بحماية أسرار الموكلين ومنع إساءة استخدام المعلومات في ظل الأدوات الذكية، ليشكّل بذلك الضامن الأساسي للخصوصية المهنية الرقمية، في حين أقر نظام الإثبات حجية الأدلة الرقمية والمستندات الإلكترونية، وفتح المجال أمام قبول مخرجات الذكاء الاصطناعي كمستندات معتبرة متى ما توافرت فيها معايير الموثوقية، الأمر الذي مكّن المحامي من توظيف التقنية دون المساس بقواعد العدالة الإجرائية</w:t>
      </w:r>
      <w:r>
        <w:rPr>
          <w:rFonts w:asciiTheme="majorBidi" w:hAnsiTheme="majorBidi" w:cstheme="majorBidi"/>
          <w:color w:val="000000" w:themeColor="text1"/>
          <w:sz w:val="24"/>
          <w:szCs w:val="24"/>
        </w:rPr>
        <w:t>.</w:t>
      </w:r>
    </w:p>
    <w:p w14:paraId="07AC19FB" w14:textId="77777777" w:rsidR="00D57654" w:rsidRDefault="00000000" w:rsidP="00191993">
      <w:pPr>
        <w:jc w:val="right"/>
        <w:rPr>
          <w:rFonts w:asciiTheme="majorBidi" w:hAnsiTheme="majorBidi" w:cstheme="majorBidi"/>
          <w:sz w:val="24"/>
          <w:szCs w:val="24"/>
          <w:rtl/>
        </w:rPr>
      </w:pPr>
      <w:r>
        <w:rPr>
          <w:rFonts w:asciiTheme="majorBidi" w:hAnsiTheme="majorBidi" w:cstheme="majorBidi"/>
          <w:sz w:val="24"/>
          <w:szCs w:val="24"/>
          <w:rtl/>
        </w:rPr>
        <w:t>وقد أسهمت دراسة التونسي والمعلم (2024م) في إضاءة هذه المنظومة المكملة، مشيرةً إلى أن الدولة السعودية قد انتهجت نهجًا تدريجيًا حذرًا في تأطير استخدامات الذكاء الاصطناعي، بدءًا بالوثائق التوجيهية وانتهاءً بالأنظمة الملزِمة، وهو ما يعني أن الإطار القانوني الحالي وإن كان ناقصًا فإنه يحمل بذور اكتماله.</w:t>
      </w:r>
      <w:r w:rsidRPr="00000001">
        <w:rPr>
          <w:rtl/>
        </w:rPr>
        <w:footnoteReference w:id="136"/>
      </w:r>
    </w:p>
    <w:p w14:paraId="706D5433" w14:textId="77777777" w:rsidR="00E82B9E" w:rsidRPr="00E82B9E" w:rsidRDefault="00E82B9E" w:rsidP="00191993">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ومن جانب آخر،</w:t>
      </w:r>
      <w:r>
        <w:rPr>
          <w:rFonts w:asciiTheme="majorBidi" w:hAnsiTheme="majorBidi" w:cstheme="majorBidi"/>
          <w:color w:val="000000" w:themeColor="text1"/>
          <w:sz w:val="24"/>
          <w:szCs w:val="24"/>
          <w:rtl/>
        </w:rPr>
        <w:t xml:space="preserve"> كرّس نظام المعاملات المدنية مبدأ التعاقد الإلكتروني والعقود الذكية، وأسهم في إعادة تعريف الإرادة القانونية في بيئة رقمية تحكمها الخوارزميات، بما أوجد بُعدًا جديدًا لدور المحامي كمستشار قانوني تقني. كما حدّد كل من نظام الإجراءات الجزائية ونظام مكافحة الجرائم المعلوماتية الضوابط النظامية التي تمنع التجاوز في استخدام البيانات والتقنيات، وجعلا من الأمن المعلوماتي جزءًا لا يتجزأ من منظومة العدالة، بما يضمن خضوع مكاتب المحاماة للمساءلة النظامية عند استخدام الأنظمة الذكية. وأسهم نظام التعاملات الإلكترونية في إضفاء الصفة النظامية على الوثيقة والتوقيع الإلكترونيين، الأمر الذي منح الممارسة القانونية الرقمية غطاءً نظاميًا واضحًا، في حين وفّر نظام الشركات المهنية الإطار المؤسسي الذي يمكّن مكاتب المحاماة من توظيف التقنيات الحديثة ضمن بنية مهنية منظمة، تتحمل المسؤولية النظامية عن نتائج هذا الاستخدام. وفي الإطار ذاته، أكّد نظام القضاء ووثائق الهيئة السعودية للبيانات والذكاء الاصطناعي (سدايا) على البعد الأخلاقي والمؤسسي للعدالة الذكية، بما يضمن بقاء الإنسان، قاضيًا كان أو محاميًا، محور العملية العدلية رغم تصاعد الاعتماد على الأدوات التقنية</w:t>
      </w:r>
      <w:r>
        <w:rPr>
          <w:rFonts w:asciiTheme="majorBidi" w:hAnsiTheme="majorBidi" w:cstheme="majorBidi"/>
          <w:color w:val="000000" w:themeColor="text1"/>
          <w:sz w:val="24"/>
          <w:szCs w:val="24"/>
        </w:rPr>
        <w:t>.</w:t>
      </w:r>
    </w:p>
    <w:p w14:paraId="2D441433" w14:textId="77777777" w:rsidR="00D57654" w:rsidRDefault="00000000" w:rsidP="00191993">
      <w:pPr>
        <w:jc w:val="right"/>
        <w:rPr>
          <w:rFonts w:asciiTheme="majorBidi" w:hAnsiTheme="majorBidi" w:cstheme="majorBidi"/>
          <w:sz w:val="24"/>
          <w:szCs w:val="24"/>
          <w:rtl/>
        </w:rPr>
      </w:pPr>
      <w:r>
        <w:rPr>
          <w:rFonts w:asciiTheme="majorBidi" w:hAnsiTheme="majorBidi" w:cstheme="majorBidi"/>
          <w:sz w:val="24"/>
          <w:szCs w:val="24"/>
          <w:rtl/>
        </w:rPr>
        <w:t>وعلى الصعيد الجزائي، استعرضت الأمين التساؤل القانوني الجوهري: هل يمكن مساءلة المحامي جزائياً عن خطأ ارتكبه نظام ذكاء اصطناعي حين أدخله في دفاعه؟ وقد انتهت إلى أن الإجابة رهينة بإثبات القصد أو الإهمال الجسيم من جانب المحامي، إذ لا يتصور المشرّع الجزائي تحمّل المسؤولية عن فعل الغير ما لم يثبت الاشتراك في الإرادة أو التقصير الصارخ في الرقابة.</w:t>
      </w:r>
      <w:r w:rsidRPr="00000001">
        <w:rPr>
          <w:rtl/>
        </w:rPr>
        <w:footnoteReference w:id="137"/>
      </w:r>
    </w:p>
    <w:p w14:paraId="27C7C31E" w14:textId="77777777" w:rsidR="00D57654" w:rsidRDefault="00000000" w:rsidP="00191993">
      <w:pPr>
        <w:jc w:val="right"/>
        <w:rPr>
          <w:rFonts w:asciiTheme="majorBidi" w:hAnsiTheme="majorBidi" w:cstheme="majorBidi"/>
          <w:sz w:val="24"/>
          <w:szCs w:val="24"/>
          <w:rtl/>
        </w:rPr>
      </w:pPr>
      <w:r>
        <w:rPr>
          <w:rFonts w:asciiTheme="majorBidi" w:hAnsiTheme="majorBidi" w:cstheme="majorBidi"/>
          <w:sz w:val="24"/>
          <w:szCs w:val="24"/>
          <w:rtl/>
        </w:rPr>
        <w:t>وفي سياق تحمل المسؤولية عند تعدد المتسببين، خلصت الخميسي إلى أن نظرية التسبب المشترك في الفقه القانوني المقارن توفر أداة مناسبة لمعالجة هذا التداخل، إذ تُتيح توزيع التبعة وفق النسب المئوية للإسهام، وإن استلزم ذلك في القضايا التقنية الاستعانة بخبراء متخصصين قادرين على تحديد درجة إسهام كل طرف في إنتاج الضرر الناجم عن النظام الذكي.</w:t>
      </w:r>
      <w:r w:rsidRPr="00000001">
        <w:rPr>
          <w:rtl/>
        </w:rPr>
        <w:footnoteReference w:id="138"/>
      </w:r>
    </w:p>
    <w:p w14:paraId="35952087" w14:textId="77777777" w:rsidR="00D57654" w:rsidRDefault="00000000" w:rsidP="00191993">
      <w:pPr>
        <w:jc w:val="right"/>
        <w:rPr>
          <w:rFonts w:asciiTheme="majorBidi" w:hAnsiTheme="majorBidi" w:cstheme="majorBidi"/>
          <w:sz w:val="24"/>
          <w:szCs w:val="24"/>
          <w:rtl/>
        </w:rPr>
      </w:pPr>
      <w:r>
        <w:rPr>
          <w:rFonts w:asciiTheme="majorBidi" w:hAnsiTheme="majorBidi" w:cstheme="majorBidi"/>
          <w:sz w:val="24"/>
          <w:szCs w:val="24"/>
          <w:rtl/>
        </w:rPr>
        <w:t xml:space="preserve">وفي مسألة توزيع أعباء المسؤولية في الأضرار الرقمية، دعا الغنامي إلى اعتماد نموذج المسؤولية الموزعة الذي يأخذ في الاعتبار إسهام كل طرف في سلسلة القيمة: المطوّر الذي صمّم الخوارزمية، والمشغّل الذي دمجها </w:t>
      </w:r>
      <w:r>
        <w:rPr>
          <w:rFonts w:asciiTheme="majorBidi" w:hAnsiTheme="majorBidi" w:cstheme="majorBidi"/>
          <w:sz w:val="24"/>
          <w:szCs w:val="24"/>
          <w:rtl/>
        </w:rPr>
        <w:lastRenderedPageBreak/>
        <w:t>في خدمته، والمحامي الذي استخدمها في سياق مهني، لأن الضرر في الغالب نتاج تفاعل هذه الأطراف الثلاثة لا فعل طرف واحد.</w:t>
      </w:r>
      <w:r w:rsidRPr="00000001">
        <w:rPr>
          <w:rtl/>
        </w:rPr>
        <w:footnoteReference w:id="139"/>
      </w:r>
    </w:p>
    <w:p w14:paraId="350DB196" w14:textId="77777777" w:rsidR="00D57654" w:rsidRDefault="00000000" w:rsidP="00191993">
      <w:pPr>
        <w:jc w:val="right"/>
        <w:rPr>
          <w:rFonts w:asciiTheme="majorBidi" w:hAnsiTheme="majorBidi" w:cstheme="majorBidi"/>
          <w:sz w:val="24"/>
          <w:szCs w:val="24"/>
          <w:rtl/>
        </w:rPr>
      </w:pPr>
      <w:r>
        <w:rPr>
          <w:rFonts w:asciiTheme="majorBidi" w:hAnsiTheme="majorBidi" w:cstheme="majorBidi"/>
          <w:sz w:val="24"/>
          <w:szCs w:val="24"/>
          <w:rtl/>
        </w:rPr>
        <w:t>وبالنظر إلى منظومة التعاقد الذكي، رأت علي (د.ت) في دراستها المنشورة بمجلة الشريعة والقانون لجامعة الأزهر أن تقنية سلسلة الكتل (Blockchain) التي تشتغل عليها العقود الذكية تطرح إشكالية جوهرية تتعلق بتحديد القانون الواجب التطبيق، إذ إن الطابع اللامركزي لهذه العقود يجعلها بمنأى عن نطاق الولاية القضائية الإقليمية التقليدية.</w:t>
      </w:r>
      <w:r w:rsidRPr="00000001">
        <w:rPr>
          <w:rtl/>
        </w:rPr>
        <w:footnoteReference w:id="140"/>
      </w:r>
    </w:p>
    <w:p w14:paraId="69629976" w14:textId="77777777" w:rsidR="00E82B9E" w:rsidRPr="00E82B9E" w:rsidRDefault="00E82B9E" w:rsidP="00191993">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وبناءً على ذلك،</w:t>
      </w:r>
      <w:r>
        <w:rPr>
          <w:rFonts w:asciiTheme="majorBidi" w:hAnsiTheme="majorBidi" w:cstheme="majorBidi"/>
          <w:color w:val="000000" w:themeColor="text1"/>
          <w:sz w:val="24"/>
          <w:szCs w:val="24"/>
          <w:rtl/>
        </w:rPr>
        <w:t xml:space="preserve"> يمكن القول إن هذه المنظومة النظامية، وإن لم تُصغ ابتداءً لتنظيم الذكاء الاصطناعي في المهنة القانونية، إلا أنها أرست الأسس التي تجعل من الممكن تطوير إطار قانوني سعودي متكامل لتوظيف الذكاء الاصطناعي في مكاتب المحاماة، يقوم على حماية البيانات وموثوقية الأدلة، والتمكين المؤسسي للمكاتب المهنية في تبنّي التقنية، والضبط الأخلاقي الذي يحافظ على العدالة وحقوق الإنسان. وبهذا المعنى، يُعد هذا المطلب حلقة وصل منهجية بين النصوص القانونية القائمة والرؤية المستقبلية للرسالة، إذ يمهّد للانتقال في الفصول اللاحقة إلى تحليل الفجوات النظامية واقتراح التصور التنظيمي الشامل الذي يضمن توظيف الذكاء الاصطناعي في مهنة المحاماة بما يخدم العدالة ويصون مبادئها</w:t>
      </w:r>
      <w:r>
        <w:rPr>
          <w:rFonts w:asciiTheme="majorBidi" w:hAnsiTheme="majorBidi" w:cstheme="majorBidi"/>
          <w:color w:val="000000" w:themeColor="text1"/>
          <w:sz w:val="24"/>
          <w:szCs w:val="24"/>
        </w:rPr>
        <w:t>.</w:t>
      </w:r>
    </w:p>
    <w:p w14:paraId="06A63922" w14:textId="77777777" w:rsidR="0089710C" w:rsidRPr="0089710C" w:rsidRDefault="0089710C" w:rsidP="0089710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w:t>
      </w:r>
    </w:p>
    <w:p w14:paraId="2B300968" w14:textId="77777777" w:rsidR="00DC0BE2" w:rsidRDefault="00DC0BE2" w:rsidP="00191993">
      <w:pPr>
        <w:rPr>
          <w:rFonts w:asciiTheme="majorBidi" w:hAnsiTheme="majorBidi" w:cstheme="majorBidi"/>
          <w:color w:val="000000" w:themeColor="text1"/>
          <w:sz w:val="24"/>
          <w:szCs w:val="24"/>
        </w:rPr>
      </w:pPr>
    </w:p>
    <w:p w14:paraId="6CE59752" w14:textId="77777777" w:rsidR="00DC0BE2" w:rsidRPr="00BC5F38" w:rsidRDefault="00DC0BE2" w:rsidP="00807AA1">
      <w:pPr>
        <w:rPr>
          <w:rFonts w:asciiTheme="majorBidi" w:hAnsiTheme="majorBidi" w:cstheme="majorBidi"/>
          <w:color w:val="000000" w:themeColor="text1"/>
          <w:sz w:val="24"/>
          <w:szCs w:val="24"/>
          <w:rtl/>
        </w:rPr>
      </w:pPr>
    </w:p>
    <w:p w14:paraId="3EEB1C00" w14:textId="77777777" w:rsidR="00DC0BE2" w:rsidRPr="00D41CB7" w:rsidRDefault="00DC0BE2" w:rsidP="00DC0BE2">
      <w:pPr>
        <w:jc w:val="center"/>
        <w:rPr>
          <w:rFonts w:asciiTheme="majorBidi" w:hAnsiTheme="majorBidi" w:cstheme="majorBidi"/>
          <w:b/>
          <w:bCs/>
          <w:color w:val="000000" w:themeColor="text1"/>
          <w:sz w:val="32"/>
          <w:szCs w:val="32"/>
          <w:rtl/>
        </w:rPr>
      </w:pPr>
      <w:r>
        <w:rPr>
          <w:rFonts w:asciiTheme="majorBidi" w:hAnsiTheme="majorBidi" w:cstheme="majorBidi" w:hint="cs"/>
          <w:b/>
          <w:bCs/>
          <w:color w:val="000000" w:themeColor="text1"/>
          <w:sz w:val="32"/>
          <w:szCs w:val="32"/>
          <w:rtl/>
        </w:rPr>
        <w:t>المبحث الثاني</w:t>
      </w:r>
    </w:p>
    <w:p w14:paraId="5C9E058A" w14:textId="77777777" w:rsidR="00DC0BE2" w:rsidRDefault="00DC0BE2" w:rsidP="00DC0BE2">
      <w:pPr>
        <w:jc w:val="center"/>
        <w:rPr>
          <w:rFonts w:asciiTheme="majorBidi" w:hAnsiTheme="majorBidi" w:cstheme="majorBidi"/>
          <w:b/>
          <w:bCs/>
          <w:color w:val="000000" w:themeColor="text1"/>
          <w:sz w:val="32"/>
          <w:szCs w:val="32"/>
          <w:rtl/>
        </w:rPr>
      </w:pPr>
      <w:r>
        <w:rPr>
          <w:rFonts w:asciiTheme="majorBidi" w:hAnsiTheme="majorBidi" w:cstheme="majorBidi" w:hint="cs"/>
          <w:b/>
          <w:bCs/>
          <w:color w:val="000000" w:themeColor="text1"/>
          <w:sz w:val="32"/>
          <w:szCs w:val="32"/>
          <w:rtl/>
        </w:rPr>
        <w:t>تحليل الفجوات في التنظيم الحالي</w:t>
      </w:r>
    </w:p>
    <w:p w14:paraId="35475B4C" w14:textId="77777777" w:rsidR="00DC0BE2" w:rsidRPr="00DC0BE2" w:rsidRDefault="00DC0BE2" w:rsidP="0010656B">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يمثّل هذا المبحث مرحلة تحليلية انتقالية في سياق الرسالة، إذ يأتي بعد استعراض الإطار النظامي العام للمحاماة والأنظمة المكملة له، لينتقل من الوصف إلى النقد والتحليل. فبينما تناول المبحث الأول القواعد النظامية القائمة التي تشكّل الإطار القانوني لتوظيف الذكاء الاصطناعي في مكاتب المحاماة، يركّز هذا المبحث على </w:t>
      </w:r>
      <w:r>
        <w:rPr>
          <w:rFonts w:asciiTheme="majorBidi" w:hAnsiTheme="majorBidi" w:cstheme="majorBidi"/>
          <w:b/>
          <w:bCs/>
          <w:color w:val="000000" w:themeColor="text1"/>
          <w:sz w:val="24"/>
          <w:szCs w:val="24"/>
          <w:rtl/>
        </w:rPr>
        <w:t>تحديد الفجوات التشريعية والتنظيمية</w:t>
      </w:r>
      <w:r>
        <w:rPr>
          <w:rFonts w:asciiTheme="majorBidi" w:hAnsiTheme="majorBidi" w:cstheme="majorBidi"/>
          <w:color w:val="000000" w:themeColor="text1"/>
          <w:sz w:val="24"/>
          <w:szCs w:val="24"/>
          <w:rtl/>
        </w:rPr>
        <w:t xml:space="preserve"> التي تُعيق التطبيق العملي لهذه التقنيات داخل البيئة القانونية السعودية، وتحليل آثار هذا النقص على الممارسة المهنية والعدلية</w:t>
      </w:r>
      <w:r>
        <w:rPr>
          <w:rFonts w:asciiTheme="majorBidi" w:hAnsiTheme="majorBidi" w:cstheme="majorBidi"/>
          <w:color w:val="000000" w:themeColor="text1"/>
          <w:sz w:val="24"/>
          <w:szCs w:val="24"/>
        </w:rPr>
        <w:t>.</w:t>
      </w:r>
    </w:p>
    <w:p w14:paraId="0D863620" w14:textId="77777777" w:rsidR="00D57654" w:rsidRDefault="00000000" w:rsidP="0010656B">
      <w:pPr>
        <w:jc w:val="right"/>
        <w:rPr>
          <w:rFonts w:asciiTheme="majorBidi" w:hAnsiTheme="majorBidi" w:cstheme="majorBidi"/>
          <w:sz w:val="24"/>
          <w:szCs w:val="24"/>
          <w:rtl/>
        </w:rPr>
      </w:pPr>
      <w:r>
        <w:rPr>
          <w:rFonts w:asciiTheme="majorBidi" w:hAnsiTheme="majorBidi" w:cstheme="majorBidi"/>
          <w:sz w:val="24"/>
          <w:szCs w:val="24"/>
          <w:rtl/>
        </w:rPr>
        <w:t>وفيما يتعلق بالفجوة المؤسسية في منظومة الرقابة على الذكاء الاصطناعي القانوني، خلص العجماني وسيد إلى أن الغياب الأبرز ليس في النصوص التشريعية وحدها، بل في غياب جهة رقابية متخصصة تضم خبراء قانونيين وتقنيين على حد سواء، وتضطلع بتقييم الأنظمة الذكية المستخدمة في القطاع القانوني وإصدار شهادات الجدارة والاعتماد.</w:t>
      </w:r>
      <w:r w:rsidRPr="00000002">
        <w:rPr>
          <w:rtl/>
        </w:rPr>
        <w:footnoteReference w:id="141"/>
      </w:r>
    </w:p>
    <w:p w14:paraId="70D70FFC"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 xml:space="preserve">وفي تحديد الفجوات التشريعية والتنظيمية، أكدت عبد الرحمن أن الفراغ التشريعي الأشد أثراً في مجال الذكاء الاصطناعي القانوني يتمثل في انعدام النص الذي يُحدّد طبيعة العلاقة بين المحامي والعميل حين يدخل في تلك </w:t>
      </w:r>
      <w:r>
        <w:rPr>
          <w:rFonts w:asciiTheme="majorBidi" w:hAnsiTheme="majorBidi" w:cstheme="majorBidi"/>
          <w:sz w:val="24"/>
          <w:szCs w:val="24"/>
          <w:rtl/>
        </w:rPr>
        <w:lastRenderedPageBreak/>
        <w:t>العلاقة طرف ثالث هو المنصة التقنية؛ لأن هذا الغياب يُسقط واجبات الشفافية والأمانة من دائرة التطبيق الفعلي.</w:t>
      </w:r>
      <w:r w:rsidRPr="00000002">
        <w:rPr>
          <w:rtl/>
        </w:rPr>
        <w:footnoteReference w:id="142"/>
      </w:r>
    </w:p>
    <w:p w14:paraId="058D36C1"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ضوء هذه الفجوات التشريعية والتنظيمية، خلص الشراري إلى أن الدول الخليجية تواجه جميعها تحدياً مشتركاً يتمثل في الاعتماد على نصوص صِيغت في مرحلة ما قبل الذكاء الاصطناعي لتحكيم نزاعات تنشأ في مرحلة ما بعده، داعياً إلى بناء مرجعية تشريعية جديدة تُفرّق بين الذكاء الاصطناعي بوصفه أداة، وبوصفه طرفاً فاعلاً، وبوصفه منصة تقديم خدمات قانونية.</w:t>
      </w:r>
      <w:r w:rsidRPr="00000001">
        <w:rPr>
          <w:rtl/>
        </w:rPr>
        <w:footnoteReference w:id="143"/>
      </w:r>
    </w:p>
    <w:p w14:paraId="157A3580" w14:textId="77777777" w:rsidR="00DC0BE2" w:rsidRPr="00DC0BE2" w:rsidRDefault="00DC0BE2" w:rsidP="000D4B35">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إن تطور أدوات الذكاء الاصطناعي في العمل القانوني لم يقابله إلى الآن تحديث تشريعي موازٍ يُنظّم استخدامها بدقة، مما أدى إلى بقاء بعض الجوانب في منطقة رمادية من حيث المسؤولية القانونية، وضمانات حماية البيانات، وحجية المخرجات التقنية، وحدود الترخيص المهني. هذا القصور لا يعني غياب الإطار النظامي، وإنما محدودية مواكبته للتحول التقني، وهو ما تسعى هذه الرسالة إلى معالجته تنظيميًا</w:t>
      </w:r>
      <w:r>
        <w:rPr>
          <w:rFonts w:asciiTheme="majorBidi" w:hAnsiTheme="majorBidi" w:cstheme="majorBidi"/>
          <w:color w:val="000000" w:themeColor="text1"/>
          <w:sz w:val="24"/>
          <w:szCs w:val="24"/>
        </w:rPr>
        <w:t>.</w:t>
      </w:r>
    </w:p>
    <w:p w14:paraId="0C63297F" w14:textId="77777777" w:rsidR="00DC0BE2" w:rsidRPr="00807AA1" w:rsidRDefault="00DC0BE2" w:rsidP="000D4B35">
      <w:pPr>
        <w:jc w:val="right"/>
        <w:rPr>
          <w:rFonts w:asciiTheme="majorBidi" w:hAnsiTheme="majorBidi" w:cstheme="majorBidi"/>
          <w:b/>
          <w:bCs/>
          <w:color w:val="000000" w:themeColor="text1"/>
          <w:sz w:val="24"/>
          <w:szCs w:val="24"/>
          <w:rtl/>
        </w:rPr>
      </w:pPr>
      <w:r>
        <w:rPr>
          <w:rFonts w:asciiTheme="majorBidi" w:hAnsiTheme="majorBidi" w:cstheme="majorBidi"/>
          <w:b/>
          <w:bCs/>
          <w:color w:val="000000" w:themeColor="text1"/>
          <w:sz w:val="24"/>
          <w:szCs w:val="24"/>
          <w:rtl/>
        </w:rPr>
        <w:t>ويتكون هذا المبحث من مطلبين رئيسين</w:t>
      </w:r>
      <w:r>
        <w:rPr>
          <w:rFonts w:asciiTheme="majorBidi" w:hAnsiTheme="majorBidi" w:cstheme="majorBidi" w:hint="cs"/>
          <w:b/>
          <w:bCs/>
          <w:color w:val="000000" w:themeColor="text1"/>
          <w:sz w:val="24"/>
          <w:szCs w:val="24"/>
          <w:rtl/>
        </w:rPr>
        <w:t>:</w:t>
      </w:r>
    </w:p>
    <w:p w14:paraId="533BB73D"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ضوء هذه الفجوات المتشعبة، استلزم التحليل تقسيم هذا المبحث إلى مطلبين: يتناول الأول المنظومة التشريعية السعودية الراهنة ومدى استيعابها لمتطلبات الذكاء الاصطناعي المهني، فيما يُعالج الثاني التجارب المقارنة واستخلاص التوصيات. وقد استند الباحث في هذا التقسيم إلى ما أوضحه العرشاني من أن أي قراءة تحليلية في هذا الموضوع ينبغي أن تجمع بين المقاربة الوطنية والأفق المقارن لاستجلاء مكامن القصور واستكشاف سبل المعالجة.</w:t>
      </w:r>
      <w:r w:rsidRPr="00000002">
        <w:rPr>
          <w:rtl/>
        </w:rPr>
        <w:footnoteReference w:id="144"/>
      </w:r>
    </w:p>
    <w:p w14:paraId="34F191A7"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تكملة هذا التحليل، رسم المعلم جدولاً تقييمياً للتشريعات السعودية ذات الصلة بالذكاء الاصطناعي القانوني، خلص فيه إلى أن نظام المحاماة يحتل ذيل القائمة من حيث جاهزيته للتعامل مع متطلبات التحول الرقمي، في حين تُبدي أنظمة التجارة الإلكترونية والمعاملات المدنية استعداداً نسبياً أعلى لاستيعاب التحولات التقنية المتسارعة.</w:t>
      </w:r>
      <w:r w:rsidRPr="00000002">
        <w:rPr>
          <w:rtl/>
        </w:rPr>
        <w:footnoteReference w:id="145"/>
      </w:r>
    </w:p>
    <w:p w14:paraId="326D7C20"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وقد حدّد الغنامي ثلاثة مستويات للفجوة التشريعية في هذا الحقل: الفجوة المفاهيمية المتمثلة في غياب تعريف قانوني دقيق لمخرجات الذكاء الاصطناعي، والفجوة الإجرائية المتجلية في عدم وجود قواعد واضحة لقبول هذه المخرجات دليلاً، والفجوة العقابية المتعلقة بخلو النظام من نصوص صريحة تُحدّد الجزاء المترتب على سوء استخدام هذه الأنظمة في السياق القضائي.</w:t>
      </w:r>
      <w:r w:rsidRPr="00000001">
        <w:rPr>
          <w:rtl/>
        </w:rPr>
        <w:footnoteReference w:id="146"/>
      </w:r>
    </w:p>
    <w:p w14:paraId="2D3FA3E7" w14:textId="77777777" w:rsidR="00DC0BE2" w:rsidRPr="00DC0BE2" w:rsidRDefault="00DC0BE2" w:rsidP="000D4B35">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المطلب الأول: قصور النصوص التنظيمية</w:t>
      </w:r>
      <w:r>
        <w:rPr>
          <w:rFonts w:asciiTheme="majorBidi" w:hAnsiTheme="majorBidi" w:cstheme="majorBidi"/>
          <w:color w:val="000000" w:themeColor="text1"/>
          <w:sz w:val="24"/>
          <w:szCs w:val="24"/>
          <w:rtl/>
        </w:rPr>
        <w:t>، ويتناول بالدراسة التحليلية مدى ملاءمة النصوص الحالية في نظام المحاماة والأنظمة المكملة لتغطية واقع الممارسات التقنية الحديثة، مع بيان أوجه الغموض التشريعي، وتضارب المفاهيم النظامية التي تثيرها مخرجات الذكاء الاصطناعي</w:t>
      </w:r>
      <w:r>
        <w:rPr>
          <w:rFonts w:asciiTheme="majorBidi" w:hAnsiTheme="majorBidi" w:cstheme="majorBidi"/>
          <w:color w:val="000000" w:themeColor="text1"/>
          <w:sz w:val="24"/>
          <w:szCs w:val="24"/>
        </w:rPr>
        <w:t>.</w:t>
      </w:r>
    </w:p>
    <w:p w14:paraId="7D7FAB4F" w14:textId="77777777" w:rsidR="00DC0BE2" w:rsidRPr="00DC0BE2" w:rsidRDefault="00DC0BE2" w:rsidP="00DC0BE2">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lastRenderedPageBreak/>
        <w:t>المطلب الثاني: آثار غياب التنظيم على الممارسة</w:t>
      </w:r>
      <w:r>
        <w:rPr>
          <w:rFonts w:asciiTheme="majorBidi" w:hAnsiTheme="majorBidi" w:cstheme="majorBidi"/>
          <w:color w:val="000000" w:themeColor="text1"/>
          <w:sz w:val="24"/>
          <w:szCs w:val="24"/>
          <w:rtl/>
        </w:rPr>
        <w:t>، ويتناول الانعكاسات العملية لهذا القصور على واقع مكاتب المحاماة، من حيث المسؤولية المهنية، والالتزامات النظامية تجاه الموكلين، وجودة الخدمات القانونية المقدّمة باستخدام الأنظمة الذكية</w:t>
      </w:r>
      <w:r>
        <w:rPr>
          <w:rFonts w:asciiTheme="majorBidi" w:hAnsiTheme="majorBidi" w:cstheme="majorBidi"/>
          <w:color w:val="000000" w:themeColor="text1"/>
          <w:sz w:val="24"/>
          <w:szCs w:val="24"/>
        </w:rPr>
        <w:t>.</w:t>
      </w:r>
    </w:p>
    <w:p w14:paraId="25DBE019" w14:textId="77777777" w:rsidR="00DC0BE2" w:rsidRPr="00DC0BE2" w:rsidRDefault="00DC0BE2" w:rsidP="00DC0BE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ويهدف هذا المبحث إلى بيان أن التطور التقني تجاوز الإطار القانوني التقليدي، وأن المشرّع السعودي – رغم تقدمه في تبني أنظمة مساندة للتحول الرقمي – لا يزال بحاجة إلى إصدار تنظيمات خاصة تُعنى بتوظيف الذكاء الاصطناعي في المهن العدلية، سواء من حيث الترخيص، أو الرقابة، أو حماية الحقوق. ويمهّد هذا المبحث للفصل التالي الذي يناقش المسؤولية القانونية والفقهية للمخرجات الذكية، وصولًا إلى وضع تصور نظامي شامل ينظّم الممارسة القانونية في بيئة الذكاء الاصطناعي بما يتسق مع رؤية المملكة 2030 ومبادئ العدالة الرقمية</w:t>
      </w:r>
      <w:r>
        <w:rPr>
          <w:rFonts w:asciiTheme="majorBidi" w:hAnsiTheme="majorBidi" w:cstheme="majorBidi"/>
          <w:color w:val="000000" w:themeColor="text1"/>
          <w:sz w:val="24"/>
          <w:szCs w:val="24"/>
        </w:rPr>
        <w:t>.</w:t>
      </w:r>
    </w:p>
    <w:p w14:paraId="7F30F638" w14:textId="77777777" w:rsidR="00DC0BE2" w:rsidRDefault="00DC0BE2" w:rsidP="00DC0BE2">
      <w:pPr>
        <w:jc w:val="right"/>
        <w:rPr>
          <w:rFonts w:asciiTheme="majorBidi" w:hAnsiTheme="majorBidi" w:cstheme="majorBidi"/>
          <w:color w:val="000000" w:themeColor="text1"/>
          <w:sz w:val="24"/>
          <w:szCs w:val="24"/>
        </w:rPr>
      </w:pPr>
    </w:p>
    <w:p w14:paraId="1462CC11" w14:textId="77777777" w:rsidR="00807AA1" w:rsidRPr="00BC5F38" w:rsidRDefault="00807AA1" w:rsidP="00807AA1">
      <w:pPr>
        <w:jc w:val="right"/>
        <w:rPr>
          <w:rFonts w:asciiTheme="majorBidi" w:hAnsiTheme="majorBidi" w:cstheme="majorBidi"/>
          <w:color w:val="000000" w:themeColor="text1"/>
          <w:sz w:val="24"/>
          <w:szCs w:val="24"/>
          <w:rtl/>
        </w:rPr>
      </w:pPr>
    </w:p>
    <w:p w14:paraId="2D3B5642" w14:textId="77777777" w:rsidR="00807AA1" w:rsidRPr="00D41CB7" w:rsidRDefault="00807AA1" w:rsidP="00807AA1">
      <w:pPr>
        <w:jc w:val="center"/>
        <w:rPr>
          <w:rFonts w:asciiTheme="majorBidi" w:hAnsiTheme="majorBidi" w:cstheme="majorBidi"/>
          <w:b/>
          <w:bCs/>
          <w:color w:val="000000" w:themeColor="text1"/>
          <w:sz w:val="32"/>
          <w:szCs w:val="32"/>
        </w:rPr>
      </w:pPr>
      <w:r>
        <w:rPr>
          <w:rFonts w:asciiTheme="majorBidi" w:hAnsiTheme="majorBidi" w:cstheme="majorBidi" w:hint="cs"/>
          <w:b/>
          <w:bCs/>
          <w:color w:val="000000" w:themeColor="text1"/>
          <w:sz w:val="32"/>
          <w:szCs w:val="32"/>
          <w:rtl/>
        </w:rPr>
        <w:t>المطلب الأول</w:t>
      </w:r>
    </w:p>
    <w:p w14:paraId="5868F0A6" w14:textId="77777777" w:rsidR="00807AA1" w:rsidRDefault="00807AA1" w:rsidP="00807AA1">
      <w:pPr>
        <w:jc w:val="center"/>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tl/>
        </w:rPr>
        <w:t>قصور النصوص التنظيمية</w:t>
      </w:r>
    </w:p>
    <w:p w14:paraId="4CE505DE" w14:textId="77777777" w:rsidR="00047425" w:rsidRDefault="00047425" w:rsidP="00807AA1">
      <w:pPr>
        <w:jc w:val="center"/>
        <w:rPr>
          <w:rFonts w:asciiTheme="majorBidi" w:hAnsiTheme="majorBidi" w:cstheme="majorBidi"/>
          <w:b/>
          <w:bCs/>
          <w:color w:val="000000" w:themeColor="text1"/>
          <w:sz w:val="28"/>
          <w:szCs w:val="28"/>
          <w:rtl/>
        </w:rPr>
      </w:pPr>
    </w:p>
    <w:p w14:paraId="091EEF44" w14:textId="77777777" w:rsidR="00047425" w:rsidRDefault="00047425" w:rsidP="00047425">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تكشف القراءة التحليلية لنظام المحاماة والأنظمة المكملة له عن فجوة واضحة بين التطور التقني في الممارسة القانونية وبين الإطار التشريعي المنظّم لها، إذ لا تزال النصوص النظامية السعودية – رغم حداثة بعضها – تتعامل مع مهنة المحاماة بمنطق الممارسة التقليدية التي يُمارس فيها العمل القانوني بصورة يدوية وشخصية. وفي المقابل، أصبحت مكاتب المحاماة الحديثة تعتمد بصورة متزايدة على أنظمة الذكاء الاصطناعي في تحليل القضايا، وإدارة البيانات، وصياغة العقود، دون أن يكون لذلك أي تنظيم صريح في البنية القانونية القائمة</w:t>
      </w:r>
      <w:r>
        <w:rPr>
          <w:rFonts w:asciiTheme="majorBidi" w:hAnsiTheme="majorBidi" w:cstheme="majorBidi" w:hint="cs"/>
          <w:color w:val="000000" w:themeColor="text1"/>
          <w:sz w:val="24"/>
          <w:szCs w:val="24"/>
          <w:rtl/>
        </w:rPr>
        <w:t>.</w:t>
      </w:r>
    </w:p>
    <w:p w14:paraId="02CDC079" w14:textId="77777777" w:rsidR="00047425" w:rsidRDefault="00047425" w:rsidP="00047425">
      <w:pPr>
        <w:jc w:val="right"/>
        <w:rPr>
          <w:rFonts w:asciiTheme="majorBidi" w:hAnsiTheme="majorBidi" w:cstheme="majorBidi"/>
          <w:color w:val="000000" w:themeColor="text1"/>
          <w:sz w:val="24"/>
          <w:szCs w:val="24"/>
          <w:rtl/>
        </w:rPr>
      </w:pPr>
    </w:p>
    <w:p w14:paraId="2A5DA159" w14:textId="77777777" w:rsidR="00D843CF" w:rsidRPr="00D843CF" w:rsidRDefault="00D843CF" w:rsidP="00D843C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أولًا: الصمت التشريعي تجاه التقنيات القانونية</w:t>
      </w:r>
    </w:p>
    <w:p w14:paraId="6503A06F"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يثير التأمل في البنية الحالية لنظام المحاماة والأنظمة العدلية المرتبطة به مسألة جوهرية تتصل بموضوع هذه الرسالة، وهي أن المشرّع السعودي نظم مهنة المحاماة على افتراض أدوات تقليدية للعمل، من غير أي تصور لاستخدام أنظمة الذكاء الاصطناعي أو الأدوات الرقمية في الأداء المهني. ولا يتجلى الصمت التشريعي فقط في غياب النصوص المتعلقة بالذكاء الاصطناعي، بل أيضًا في غياب الاعتراف بالتقنيات القانونية كجزء من بنية العمل القانوني ذاته، في وقت تجاوزت فيه مكاتب المحاماة هذا الافتراض منذ سنوات</w:t>
      </w:r>
      <w:r>
        <w:rPr>
          <w:rFonts w:asciiTheme="majorBidi" w:hAnsiTheme="majorBidi" w:cstheme="majorBidi"/>
          <w:color w:val="000000" w:themeColor="text1"/>
          <w:sz w:val="24"/>
          <w:szCs w:val="24"/>
        </w:rPr>
        <w:t>.</w:t>
      </w:r>
    </w:p>
    <w:p w14:paraId="572EAFA5"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أشار إبراهيم العيسى في دراسته حول القواعد المنظمة لاستخدامات الذكاء الاصطناعي إلى أن هذا الفراغ التشريعي يجعل تحديد المشروعية التقنية معلقًا على التفسير والاجتهاد، لا على نص نظامي صريح. ويؤكد نايف بن ناشي الغنامي في رسالته للدكتوراه حول الضوابط القانونية للذكاء الاصطناعي أن عدم إدراج تعريف نظامي للتقنيات الذكية يجعل من الصعب تحديد مركزها القانوني، ولا سيما عند وقوع الضرر أو الإخلال المهني</w:t>
      </w:r>
      <w:r>
        <w:rPr>
          <w:rFonts w:asciiTheme="majorBidi" w:hAnsiTheme="majorBidi" w:cstheme="majorBidi"/>
          <w:color w:val="000000" w:themeColor="text1"/>
          <w:sz w:val="24"/>
          <w:szCs w:val="24"/>
        </w:rPr>
        <w:t>.</w:t>
      </w:r>
    </w:p>
    <w:p w14:paraId="3515274E"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ومن منظور المقارنة التشريعية، فقد اتجهت عدة دول إلى إدراج نصوص صريحة تنظّم استخدام الذكاء الاصطناعي في المهن القانونية. ففي </w:t>
      </w:r>
      <w:r>
        <w:rPr>
          <w:rFonts w:asciiTheme="majorBidi" w:hAnsiTheme="majorBidi" w:cstheme="majorBidi"/>
          <w:b/>
          <w:bCs/>
          <w:color w:val="000000" w:themeColor="text1"/>
          <w:sz w:val="24"/>
          <w:szCs w:val="24"/>
          <w:rtl/>
        </w:rPr>
        <w:t>الاتحاد الأوروبي</w:t>
      </w:r>
      <w:r>
        <w:rPr>
          <w:rFonts w:asciiTheme="majorBidi" w:hAnsiTheme="majorBidi" w:cstheme="majorBidi"/>
          <w:color w:val="000000" w:themeColor="text1"/>
          <w:sz w:val="24"/>
          <w:szCs w:val="24"/>
          <w:rtl/>
        </w:rPr>
        <w:t>، جاء مشروع قانون الذكاء الاصطناعي</w:t>
      </w:r>
      <w:r>
        <w:rPr>
          <w:rFonts w:asciiTheme="majorBidi" w:hAnsiTheme="majorBidi" w:cstheme="majorBidi"/>
          <w:color w:val="000000" w:themeColor="text1"/>
          <w:sz w:val="24"/>
          <w:szCs w:val="24"/>
        </w:rPr>
        <w:t xml:space="preserve"> (EU Artificial Intelligence Act – 2024) </w:t>
      </w:r>
      <w:r>
        <w:rPr>
          <w:rFonts w:asciiTheme="majorBidi" w:hAnsiTheme="majorBidi" w:cstheme="majorBidi"/>
          <w:color w:val="000000" w:themeColor="text1"/>
          <w:sz w:val="24"/>
          <w:szCs w:val="24"/>
          <w:rtl/>
        </w:rPr>
        <w:t xml:space="preserve">ليضع إطارًا ملزمًا للمهن عالية المخاطر، ومنها الخدمات القانونية، واشترط أن تكون أنظمة الذكاء الاصطناعي المستخدمة في العمل القانوني قابلة للتفسير وخاضعة لتقييم مخاطر دوري. وفي </w:t>
      </w:r>
      <w:r>
        <w:rPr>
          <w:rFonts w:asciiTheme="majorBidi" w:hAnsiTheme="majorBidi" w:cstheme="majorBidi"/>
          <w:b/>
          <w:bCs/>
          <w:color w:val="000000" w:themeColor="text1"/>
          <w:sz w:val="24"/>
          <w:szCs w:val="24"/>
          <w:rtl/>
        </w:rPr>
        <w:t>سنغافورة</w:t>
      </w:r>
      <w:r>
        <w:rPr>
          <w:rFonts w:asciiTheme="majorBidi" w:hAnsiTheme="majorBidi" w:cstheme="majorBidi"/>
          <w:color w:val="000000" w:themeColor="text1"/>
          <w:sz w:val="24"/>
          <w:szCs w:val="24"/>
          <w:rtl/>
        </w:rPr>
        <w:t xml:space="preserve">، أصدرت هيئة تطوير الإعلام والاتصالات إرشادات ملزمة لمكاتب المحاماة بشأن استخدام الأنظمة الذكية في صياغة المستندات، وحددت مسؤوليات المحامي عند اعتماد مخرجات تقنية. أما </w:t>
      </w:r>
      <w:r>
        <w:rPr>
          <w:rFonts w:asciiTheme="majorBidi" w:hAnsiTheme="majorBidi" w:cstheme="majorBidi"/>
          <w:b/>
          <w:bCs/>
          <w:color w:val="000000" w:themeColor="text1"/>
          <w:sz w:val="24"/>
          <w:szCs w:val="24"/>
          <w:rtl/>
        </w:rPr>
        <w:t>المملكة المتحدة</w:t>
      </w:r>
      <w:r>
        <w:rPr>
          <w:rFonts w:asciiTheme="majorBidi" w:hAnsiTheme="majorBidi" w:cstheme="majorBidi"/>
          <w:color w:val="000000" w:themeColor="text1"/>
          <w:sz w:val="24"/>
          <w:szCs w:val="24"/>
          <w:rtl/>
        </w:rPr>
        <w:t xml:space="preserve"> فقد نصت في "مدونة السلوك المهني للمحامين لعام 2023" على حظر الاعتماد على أنظمة </w:t>
      </w:r>
      <w:r>
        <w:rPr>
          <w:rFonts w:asciiTheme="majorBidi" w:hAnsiTheme="majorBidi" w:cstheme="majorBidi"/>
          <w:color w:val="000000" w:themeColor="text1"/>
          <w:sz w:val="24"/>
          <w:szCs w:val="24"/>
          <w:rtl/>
        </w:rPr>
        <w:lastRenderedPageBreak/>
        <w:t>الذكاء الاصطناعي دون مراجعة بشرية كاملة، وفرضت التزامًا بالإفصاح عند استخدام الأدوات الذكية في تجهيز المستندات</w:t>
      </w:r>
      <w:r>
        <w:rPr>
          <w:rFonts w:asciiTheme="majorBidi" w:hAnsiTheme="majorBidi" w:cstheme="majorBidi"/>
          <w:color w:val="000000" w:themeColor="text1"/>
          <w:sz w:val="24"/>
          <w:szCs w:val="24"/>
        </w:rPr>
        <w:t>.</w:t>
      </w:r>
    </w:p>
    <w:p w14:paraId="0791B76D"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وتعزز هذه التجارب الدولية الحجة النظامية لضرورة تحديث التشريعات السعودية، لأن إدراج النصوص التقنية في التشريعات المقارنة لم يكن رفاهية تنظيمية، بل استجابة مباشرة لظهور مخاطر مهنية وقانونية حقيقية</w:t>
      </w:r>
      <w:r>
        <w:rPr>
          <w:rFonts w:asciiTheme="majorBidi" w:hAnsiTheme="majorBidi" w:cstheme="majorBidi"/>
          <w:color w:val="000000" w:themeColor="text1"/>
          <w:sz w:val="24"/>
          <w:szCs w:val="24"/>
        </w:rPr>
        <w:t>.</w:t>
      </w:r>
    </w:p>
    <w:p w14:paraId="7C368D23"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الناحية القانونية، فإن غياب تعريف نظامي للذكاء الاصطناعي في البيئة السعودية يؤدي إلى نتائج عملية مهمة. فمن جهة المسؤولية الجزائية، يصبح من الصعب تحديد ما إذا كان الضرر الناتج عن استخدام نظام ذكاء اصطناعي يدخل في نطاق الخطأ المهني، أو الإهمال الجسيم، أو الفعل الجزائي المتعلق بالبيانات. وفي غياب تعريف واضح للأداة التقنية، قد يختلف التكييف القضائي بين المحاكم. ومن جهة أخرى، فإن المسؤولية التأديبية للمحامي قد تصبح محل اجتهاد، لأن النظام لا ينص على معايير السلوك التقني المهني، ولا على نطاق الاستخدام المشروع لأدوات الذكاء الاصطناعي</w:t>
      </w:r>
      <w:r>
        <w:rPr>
          <w:rFonts w:asciiTheme="majorBidi" w:hAnsiTheme="majorBidi" w:cstheme="majorBidi"/>
          <w:color w:val="000000" w:themeColor="text1"/>
          <w:sz w:val="24"/>
          <w:szCs w:val="24"/>
        </w:rPr>
        <w:t>.</w:t>
      </w:r>
    </w:p>
    <w:p w14:paraId="53D16EED"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أشار عبد الله حمادي ومحمد سعيد خليل في دراساتهما المنشورة إلى أن الفراغ التشريعي في هذا الجانب يفتح الباب أمام تضارب في التفسير بين جهات التحقيق والجهات القضائية، وقد يؤدي إلى تحميل المحامي مسؤولية أفعال تقنية لم تُدرس نظاميًا بعد</w:t>
      </w:r>
      <w:r>
        <w:rPr>
          <w:rFonts w:asciiTheme="majorBidi" w:hAnsiTheme="majorBidi" w:cstheme="majorBidi"/>
          <w:color w:val="000000" w:themeColor="text1"/>
          <w:sz w:val="24"/>
          <w:szCs w:val="24"/>
        </w:rPr>
        <w:t>.</w:t>
      </w:r>
    </w:p>
    <w:p w14:paraId="249953A4"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ومع ذلك، فإن معالجة هذا الصمت لا تتطلب بالضرورة إعادة صياغة النظام بالكامل، بل يمكن سدّ الفجوة من خلال تعديلات محددة تتناسب مع البيئة النظامية السعودية. ومن أبرز المقترحات التشريعية المناسبة</w:t>
      </w:r>
      <w:r>
        <w:rPr>
          <w:rFonts w:asciiTheme="majorBidi" w:hAnsiTheme="majorBidi" w:cstheme="majorBidi"/>
          <w:color w:val="000000" w:themeColor="text1"/>
          <w:sz w:val="24"/>
          <w:szCs w:val="24"/>
        </w:rPr>
        <w:t>:</w:t>
      </w:r>
    </w:p>
    <w:p w14:paraId="292A7061"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إضافة تعريفات نظامية جديدة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مثل تعريف “التقنية القانونية”، و“النظام الذكي القانوني”، و“المخرجات القانونية الرقمية”، بحيث يصبح لهذه المفاهيم مركز نظامي واضح داخل النظام</w:t>
      </w:r>
      <w:r>
        <w:rPr>
          <w:rFonts w:asciiTheme="majorBidi" w:hAnsiTheme="majorBidi" w:cstheme="majorBidi"/>
          <w:color w:val="000000" w:themeColor="text1"/>
          <w:sz w:val="24"/>
          <w:szCs w:val="24"/>
        </w:rPr>
        <w:t>.</w:t>
      </w:r>
    </w:p>
    <w:p w14:paraId="5C25FCBF"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تعديل مادة نطاق عمل المحامي</w:t>
      </w:r>
      <w:r>
        <w:rPr>
          <w:rFonts w:asciiTheme="majorBidi" w:hAnsiTheme="majorBidi" w:cstheme="majorBidi"/>
          <w:color w:val="000000" w:themeColor="text1"/>
          <w:sz w:val="24"/>
          <w:szCs w:val="24"/>
          <w:rtl/>
        </w:rPr>
        <w:t xml:space="preserve"> في نظام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ليتم النص صراحة على أن من أعمال المحامي “استخدام الأنظمة التقنية والذكاء الاصطناعي في حدود الضوابط النظامية واللائحة التنفيذية</w:t>
      </w:r>
      <w:r>
        <w:rPr>
          <w:rFonts w:asciiTheme="majorBidi" w:hAnsiTheme="majorBidi" w:cstheme="majorBidi"/>
          <w:color w:val="000000" w:themeColor="text1"/>
          <w:sz w:val="24"/>
          <w:szCs w:val="24"/>
        </w:rPr>
        <w:t>”.</w:t>
      </w:r>
    </w:p>
    <w:p w14:paraId="385E1E7A"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إدراج مادة خاصة بالمسؤولية التقنية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تحدد مسؤولية المحامي عند استخدام الأدوات الذكية، وتفرض عليه واجب التدقيق والفحص المهني للمخرجات التقنية، مع بيان المسؤولية التأديبية عند الإخلال</w:t>
      </w:r>
      <w:r>
        <w:rPr>
          <w:rFonts w:asciiTheme="majorBidi" w:hAnsiTheme="majorBidi" w:cstheme="majorBidi"/>
          <w:color w:val="000000" w:themeColor="text1"/>
          <w:sz w:val="24"/>
          <w:szCs w:val="24"/>
        </w:rPr>
        <w:t>.</w:t>
      </w:r>
    </w:p>
    <w:p w14:paraId="0DC4082A"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إدراج مادة تنظم أدوات الذكاء الاصطناعي</w:t>
      </w:r>
      <w:r>
        <w:rPr>
          <w:rFonts w:asciiTheme="majorBidi" w:hAnsiTheme="majorBidi" w:cstheme="majorBidi"/>
          <w:color w:val="000000" w:themeColor="text1"/>
          <w:sz w:val="24"/>
          <w:szCs w:val="24"/>
          <w:rtl/>
        </w:rPr>
        <w:t xml:space="preserve"> داخل اللائحة التنفيذية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تشمل معايير الأمن السيبراني، واشتراطات الاعتماد، وآليات التحقق من سلامة أنظمة الذكاء الاصطناعي المستخدمة في الممارسات القانونية</w:t>
      </w:r>
      <w:r>
        <w:rPr>
          <w:rFonts w:asciiTheme="majorBidi" w:hAnsiTheme="majorBidi" w:cstheme="majorBidi"/>
          <w:color w:val="000000" w:themeColor="text1"/>
          <w:sz w:val="24"/>
          <w:szCs w:val="24"/>
        </w:rPr>
        <w:t>.</w:t>
      </w:r>
    </w:p>
    <w:p w14:paraId="3479DE91"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إنشاء لجنة مهنية للرقابة التقنية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بإشراف وزارة العدل وهيئة المحامين، تتولى اعتماد الأنظمة الذكية المستخدمة في المهنة وتقييم مخاطرها</w:t>
      </w:r>
      <w:r>
        <w:rPr>
          <w:rFonts w:asciiTheme="majorBidi" w:hAnsiTheme="majorBidi" w:cstheme="majorBidi"/>
          <w:color w:val="000000" w:themeColor="text1"/>
          <w:sz w:val="24"/>
          <w:szCs w:val="24"/>
        </w:rPr>
        <w:t>.</w:t>
      </w:r>
    </w:p>
    <w:p w14:paraId="425C3A11"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خلال هذا التحليل، يتضح أن الصمت التشريعي لا يمثل غيابًا في النصوص فحسب، بل يعكس غياب رؤية تنظيمية للتقنيات القانونية. وتؤكد التجارب الدولية أن إدخال تقنيات الذكاء الاصطناعي في المهنة دون تشريع واضح قد يؤدي إلى اختلاف في التكييف القانوني وتضارب في المسؤولية. ومن ثمّ، فإن تحديث النظام السعودي ليشمل هذه التقنيات أصبح ضرورة تنظيمية لضمان توازن الممارسة القانونية بين الابتكار وحماية الحقوق</w:t>
      </w:r>
      <w:r>
        <w:rPr>
          <w:rFonts w:asciiTheme="majorBidi" w:hAnsiTheme="majorBidi" w:cstheme="majorBidi"/>
          <w:color w:val="000000" w:themeColor="text1"/>
          <w:sz w:val="24"/>
          <w:szCs w:val="24"/>
        </w:rPr>
        <w:t>.</w:t>
      </w:r>
    </w:p>
    <w:p w14:paraId="672C6C66" w14:textId="77777777" w:rsidR="00D843CF" w:rsidRPr="00D843CF" w:rsidRDefault="00D843CF" w:rsidP="00D843CF">
      <w:pPr>
        <w:jc w:val="right"/>
        <w:rPr>
          <w:rFonts w:asciiTheme="majorBidi" w:hAnsiTheme="majorBidi" w:cstheme="majorBidi"/>
          <w:color w:val="000000" w:themeColor="text1"/>
          <w:sz w:val="24"/>
          <w:szCs w:val="24"/>
        </w:rPr>
      </w:pPr>
    </w:p>
    <w:p w14:paraId="2E47772C" w14:textId="77777777" w:rsidR="00047425" w:rsidRPr="00047425" w:rsidRDefault="00047425" w:rsidP="00047425">
      <w:pPr>
        <w:jc w:val="right"/>
        <w:rPr>
          <w:rFonts w:asciiTheme="majorBidi" w:hAnsiTheme="majorBidi" w:cstheme="majorBidi"/>
          <w:color w:val="000000" w:themeColor="text1"/>
          <w:sz w:val="24"/>
          <w:szCs w:val="24"/>
        </w:rPr>
      </w:pPr>
    </w:p>
    <w:p w14:paraId="06B39EF7" w14:textId="77777777" w:rsidR="00D150CD" w:rsidRPr="00D150CD" w:rsidRDefault="00D150CD" w:rsidP="00D150CD">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ثانيًا: غياب التعريف النظامي للذكاء الاصطناعي والأدوات القانونية الذكية</w:t>
      </w:r>
    </w:p>
    <w:p w14:paraId="33E62440"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lastRenderedPageBreak/>
        <w:t>وقد أشارت الدراسات القانونية المقارنة إلى أن غياب التعريفات النظامية الدقيقة يُفضي إلى تفاوت في تطبيق القواعد القانونية، وخاصة في مجال المسؤولية؛ ففي سياق دراستها للآثار القانونية المترتبة على استخدام الذكاء الاصطناعي، لاحظت لقرب أن أكثر ما يُعيق ترسيخ حوكمة الذكاء الاصطناعي هو افتقار كثير من المنظومات التشريعية إلى تعريف قانوني مُقنَّن يُحدد ماهية هذه التقنيات ويرسم حدود تطبيق القواعد القانونية عليها، مما يفتح الباب أمام الاجتهادات القضائية المتباينة.</w:t>
      </w:r>
      <w:r>
        <w:rPr>
          <w:rStyle w:val="af"/>
          <w:rFonts w:asciiTheme="majorBidi" w:hAnsiTheme="majorBidi" w:cstheme="majorBidi"/>
          <w:sz w:val="24"/>
          <w:szCs w:val="24"/>
          <w:rtl/>
        </w:rPr>
        <w:footnoteReference w:id="147"/>
      </w:r>
    </w:p>
    <w:p w14:paraId="1F097FC5"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غياب المفهوم النظامي للذكاء الاصطناعي في التشريعات العدلية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حتى الآن لا يوجد في الأنظمة السعودية – بما في ذلك نظام المحاماة، ونظام حماية البيانات الشخصية، ونظام المعاملات المدنية – أي تعريف صريح للذكاء الاصطناعي أو للأدوات القانونية الذكية، رغم أن هذه الأدوات أصبحت جزءًا من بيئة العمل القانوني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يرى بعض الفقه بن ناشي الغنامي</w:t>
      </w:r>
      <w:r>
        <w:rPr>
          <w:rStyle w:val="af"/>
          <w:rFonts w:asciiTheme="majorBidi" w:hAnsiTheme="majorBidi" w:cstheme="majorBidi"/>
          <w:color w:val="000000" w:themeColor="text1"/>
          <w:sz w:val="24"/>
          <w:szCs w:val="24"/>
          <w:rtl/>
        </w:rPr>
        <w:footnoteReference w:id="148"/>
      </w:r>
      <w:r>
        <w:rPr>
          <w:rFonts w:asciiTheme="majorBidi" w:hAnsiTheme="majorBidi" w:cstheme="majorBidi"/>
          <w:color w:val="000000" w:themeColor="text1"/>
          <w:sz w:val="24"/>
          <w:szCs w:val="24"/>
          <w:rtl/>
        </w:rPr>
        <w:t xml:space="preserve"> أن هذا الغياب المفاهيمي يُحدث خللاً في بناء الأحكام النظامية، لأن التشريع حين لا يُعرّف المفهوم لا يستطيع ضبط تطبيقاته، ولا تمييز استخداماته المشروعة عن غير المشروعة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كما أن عبد الله حمادي يؤكد أن المسؤولية القانونية لا يمكن أن تُبنى على أداة غير معرّفة تشريعيًا، لأن تحديد نطاق الذمة القانونية أو المهنية يستند أولًا إلى تحديد طبيعة الفاعل، سواء كان شخصًا طبيعيًا أو نظامًا ذكيًا تابعًا له</w:t>
      </w:r>
      <w:r>
        <w:rPr>
          <w:rFonts w:asciiTheme="majorBidi" w:hAnsiTheme="majorBidi" w:cstheme="majorBidi"/>
          <w:color w:val="000000" w:themeColor="text1"/>
          <w:sz w:val="24"/>
          <w:szCs w:val="24"/>
        </w:rPr>
        <w:t>.</w:t>
      </w:r>
    </w:p>
    <w:p w14:paraId="4A777E36"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غموض التوصيف النظامي للأداة التقنية القانونية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الأنظمة العدلية السعودية تتعامل مع “المستند” و”المحرر” و”الأداة” بمفهوم مادي تقليدي، ولم تُدخل في بنيتها مفاهيم مثل النظام الذكي أو البرنامج القانوني التفاعلي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يوضح إبراهيم العيسى</w:t>
      </w:r>
      <w:r>
        <w:rPr>
          <w:rStyle w:val="af"/>
          <w:rFonts w:asciiTheme="majorBidi" w:hAnsiTheme="majorBidi" w:cstheme="majorBidi"/>
          <w:color w:val="000000" w:themeColor="text1"/>
          <w:sz w:val="24"/>
          <w:szCs w:val="24"/>
          <w:rtl/>
        </w:rPr>
        <w:footnoteReference w:id="149"/>
      </w:r>
      <w:r>
        <w:rPr>
          <w:rFonts w:asciiTheme="majorBidi" w:hAnsiTheme="majorBidi" w:cstheme="majorBidi"/>
          <w:color w:val="000000" w:themeColor="text1"/>
          <w:sz w:val="24"/>
          <w:szCs w:val="24"/>
          <w:rtl/>
        </w:rPr>
        <w:t xml:space="preserve"> أن هذا الغموض يجعل الذكاء الاصطناعي في الممارسة القانونية خارج الإطار التشريعي، فلا هو وسيلة معترف بها رسميًا، ولا هو ممنوع نظامًا، مما يخلق ازدواجية في التفسير بين السماح والسكوت</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وهذا الوضع ينعكس على أعمال المحامين الذين يستخدمون أنظمة تحليل أو كتابة ذكية، إذ يظلون في مواجهة مسؤولية مبهمة عن أفعال نظام لم يحدده التشريع ضمن نطاق المهنة أو خارجها</w:t>
      </w:r>
      <w:r>
        <w:rPr>
          <w:rFonts w:asciiTheme="majorBidi" w:hAnsiTheme="majorBidi" w:cstheme="majorBidi"/>
          <w:color w:val="000000" w:themeColor="text1"/>
          <w:sz w:val="24"/>
          <w:szCs w:val="24"/>
        </w:rPr>
        <w:t>.</w:t>
      </w:r>
    </w:p>
    <w:p w14:paraId="6531A8B2"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غياب التكييف النظامي للمخرجات الذكية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ما تنتجه أنظمة الذكاء الاصطناعي من نصوص قانونية، أو مذكرات، أو عقود، لا يُعدّ من الناحية النظامية “مستندًا” أو “رأيًا قانونيًا” بالمعنى الوارد في الأنظمة العدلية الحالية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يشير محمد سعيد خليل</w:t>
      </w:r>
      <w:r>
        <w:rPr>
          <w:rStyle w:val="af"/>
          <w:rFonts w:asciiTheme="majorBidi" w:hAnsiTheme="majorBidi" w:cstheme="majorBidi"/>
          <w:color w:val="000000" w:themeColor="text1"/>
          <w:sz w:val="24"/>
          <w:szCs w:val="24"/>
          <w:rtl/>
        </w:rPr>
        <w:footnoteReference w:id="150"/>
      </w:r>
      <w:r>
        <w:rPr>
          <w:rFonts w:asciiTheme="majorBidi" w:hAnsiTheme="majorBidi" w:cstheme="majorBidi"/>
          <w:color w:val="000000" w:themeColor="text1"/>
          <w:sz w:val="24"/>
          <w:szCs w:val="24"/>
          <w:rtl/>
        </w:rPr>
        <w:t xml:space="preserve"> إلى أن هذا الغموض يفرغ المخرجات الذكية من القيمة القانونية ما لم يعتمدها المحامي بنفسه ويقدّمها بصفته الشخصية أمام الجهات القضائية، مما يعيد مركز الثقة إلى الإنسان لا إلى النظام</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ويرى خالد المالكي</w:t>
      </w:r>
      <w:r>
        <w:rPr>
          <w:rStyle w:val="af"/>
          <w:rFonts w:asciiTheme="majorBidi" w:hAnsiTheme="majorBidi" w:cstheme="majorBidi"/>
          <w:color w:val="000000" w:themeColor="text1"/>
          <w:sz w:val="24"/>
          <w:szCs w:val="24"/>
          <w:rtl/>
        </w:rPr>
        <w:footnoteReference w:id="151"/>
      </w:r>
      <w:r>
        <w:rPr>
          <w:rFonts w:asciiTheme="majorBidi" w:hAnsiTheme="majorBidi" w:cstheme="majorBidi"/>
          <w:color w:val="000000" w:themeColor="text1"/>
          <w:sz w:val="24"/>
          <w:szCs w:val="24"/>
          <w:rtl/>
        </w:rPr>
        <w:t xml:space="preserve"> أن هذا الوضع يخلق تداخلاً بين حجية العمل الذكي وحجية العمل المهني، فالمسؤولية النهائية تظل على المحامي حتى لو كانت المعلومة أو التحليل صادرًا عن النظام الذكي، لأن النظام نفسه بلا أهلية نظامية أو ذمة قانونية</w:t>
      </w:r>
      <w:r>
        <w:rPr>
          <w:rFonts w:asciiTheme="majorBidi" w:hAnsiTheme="majorBidi" w:cstheme="majorBidi"/>
          <w:color w:val="000000" w:themeColor="text1"/>
          <w:sz w:val="24"/>
          <w:szCs w:val="24"/>
        </w:rPr>
        <w:t>.</w:t>
      </w:r>
    </w:p>
    <w:p w14:paraId="3D218EA7"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انعكاس الغياب المفاهيمي على بناء المسؤولية المهنية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نتيجة لعدم وجود تعريف واضح للأدوات الذكية، يصعب تحديد ما إذا كان الخطأ الناتج عن النظام الذكي يعدّ </w:t>
      </w:r>
      <w:r>
        <w:rPr>
          <w:rFonts w:asciiTheme="majorBidi" w:hAnsiTheme="majorBidi" w:cstheme="majorBidi"/>
          <w:color w:val="000000" w:themeColor="text1"/>
          <w:sz w:val="24"/>
          <w:szCs w:val="24"/>
          <w:rtl/>
        </w:rPr>
        <w:lastRenderedPageBreak/>
        <w:t>خطأ شخصيًا للمحامي، أم خطأ في الأداة التقنية نفسها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توضح مرام الربيع</w:t>
      </w:r>
      <w:r>
        <w:rPr>
          <w:rStyle w:val="af"/>
          <w:rFonts w:asciiTheme="majorBidi" w:hAnsiTheme="majorBidi" w:cstheme="majorBidi"/>
          <w:color w:val="000000" w:themeColor="text1"/>
          <w:sz w:val="24"/>
          <w:szCs w:val="24"/>
          <w:rtl/>
        </w:rPr>
        <w:footnoteReference w:id="152"/>
      </w:r>
      <w:r>
        <w:rPr>
          <w:rFonts w:asciiTheme="majorBidi" w:hAnsiTheme="majorBidi" w:cstheme="majorBidi"/>
          <w:color w:val="000000" w:themeColor="text1"/>
          <w:sz w:val="24"/>
          <w:szCs w:val="24"/>
          <w:rtl/>
        </w:rPr>
        <w:t xml:space="preserve"> أن الغموض في المفهوم يؤدي إلى اتساع رقعة المسؤولية على نحو قد يُثني المحامين عن استخدام التقنيات الحديثة خوفًا من الوقوع في مساءلات غير منضبطة، وهو ما يعيق التطور المهني والتحول الرقمي في القطاع القانوني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كما أن ياسر محمد عبد السلام رجب</w:t>
      </w:r>
      <w:r>
        <w:rPr>
          <w:rStyle w:val="af"/>
          <w:rFonts w:asciiTheme="majorBidi" w:hAnsiTheme="majorBidi" w:cstheme="majorBidi"/>
          <w:color w:val="000000" w:themeColor="text1"/>
          <w:sz w:val="24"/>
          <w:szCs w:val="24"/>
          <w:rtl/>
        </w:rPr>
        <w:footnoteReference w:id="153"/>
      </w:r>
      <w:r>
        <w:rPr>
          <w:rFonts w:asciiTheme="majorBidi" w:hAnsiTheme="majorBidi" w:cstheme="majorBidi"/>
          <w:color w:val="000000" w:themeColor="text1"/>
          <w:sz w:val="24"/>
          <w:szCs w:val="24"/>
          <w:rtl/>
        </w:rPr>
        <w:t xml:space="preserve"> يشير في دراسته المقارنة إلى أن الدول التي سبقت في تقنين الذكاء الاصطناعي، مثل الاتحاد الأوروبي والإمارات، بدأت بمرحلة المفاهيم قبل التشريع، فعرّفت ماهية النظام الذكي وحدود عمله لتُبنى عليها بقية الأحكام القانونية</w:t>
      </w:r>
      <w:r>
        <w:rPr>
          <w:rFonts w:asciiTheme="majorBidi" w:hAnsiTheme="majorBidi" w:cstheme="majorBidi"/>
          <w:color w:val="000000" w:themeColor="text1"/>
          <w:sz w:val="24"/>
          <w:szCs w:val="24"/>
        </w:rPr>
        <w:t>.</w:t>
      </w:r>
    </w:p>
    <w:p w14:paraId="4B6A7C47"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الحاجة إلى تضمين تعريف نظامي موحد في التشريعات العدلية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يؤكد عبدالعزيز العلي</w:t>
      </w:r>
      <w:r>
        <w:rPr>
          <w:rStyle w:val="af"/>
          <w:rFonts w:asciiTheme="majorBidi" w:hAnsiTheme="majorBidi" w:cstheme="majorBidi"/>
          <w:color w:val="000000" w:themeColor="text1"/>
          <w:sz w:val="24"/>
          <w:szCs w:val="24"/>
          <w:rtl/>
        </w:rPr>
        <w:footnoteReference w:id="154"/>
      </w:r>
      <w:r>
        <w:rPr>
          <w:rFonts w:asciiTheme="majorBidi" w:hAnsiTheme="majorBidi" w:cstheme="majorBidi"/>
          <w:color w:val="000000" w:themeColor="text1"/>
          <w:sz w:val="24"/>
          <w:szCs w:val="24"/>
          <w:rtl/>
        </w:rPr>
        <w:t xml:space="preserve"> أن إدراج تعريف شامل للذكاء الاصطناعي في النظام السعودي لم يعد ترفًا علميًا، بل ضرورة مهنية لحماية العدالة وضبط الممارسة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ويدعو إلى صياغة تعريف يتسق مع البيئة السعودية، يربط بين المفهوم التقني والمفهوم الفقهي للنظام، بحيث لا يتعارض مع مبادئ الشريعة الإسلامية التي تقوم عليها الأنظمة العدلية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كما تتفق وثيقة مبادئ أخلاقيات الذكاء الاصطناعي الصادرة عن سدايا على أن وضوح المفاهيم هو الخطوة الأولى لحوكمة الاستخدامات التقنية وضمان المسؤولية الأخلاقية للممارسين</w:t>
      </w:r>
      <w:r>
        <w:rPr>
          <w:rFonts w:asciiTheme="majorBidi" w:hAnsiTheme="majorBidi" w:cstheme="majorBidi"/>
          <w:color w:val="000000" w:themeColor="text1"/>
          <w:sz w:val="24"/>
          <w:szCs w:val="24"/>
        </w:rPr>
        <w:t>.</w:t>
      </w:r>
    </w:p>
    <w:p w14:paraId="4F2E80F1"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أثر غياب التعريف على العدالة الرقمية والتحول المهني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بيّنت فاطمة بلال</w:t>
      </w:r>
      <w:r>
        <w:rPr>
          <w:rStyle w:val="af"/>
          <w:rFonts w:asciiTheme="majorBidi" w:hAnsiTheme="majorBidi" w:cstheme="majorBidi"/>
          <w:color w:val="000000" w:themeColor="text1"/>
          <w:sz w:val="24"/>
          <w:szCs w:val="24"/>
          <w:rtl/>
        </w:rPr>
        <w:footnoteReference w:id="155"/>
      </w:r>
      <w:r>
        <w:rPr>
          <w:rFonts w:asciiTheme="majorBidi" w:hAnsiTheme="majorBidi" w:cstheme="majorBidi"/>
          <w:color w:val="000000" w:themeColor="text1"/>
          <w:sz w:val="24"/>
          <w:szCs w:val="24"/>
          <w:rtl/>
        </w:rPr>
        <w:t xml:space="preserve"> في دراستها حول العدالة الناجزة أن الأنظمة الرقمية داخل القضاء السعودي تتوسع بوتيرة أسرع من التشريعات التي تنظمها، مما يخلق فجوة بين الواقع القانوني والنص النظامي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وغياب التعريف النظامي الدقيق للذكاء الاصطناعي يُبقي المحاكم والمحامين في منطقة تقديرية، تعتمد على اجتهادات فردية بدل أن تُبنى على معايير نظامية واضحة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وبالتالي فإن توحيد المفهوم التشريعي للذكاء الاصطناعي والأدوات القانونية الذكية يُعد خطوة أساسية لإرساء العدالة الرقمية وضمان اتساق التنظيم بين القضاء والمهنة القانونية</w:t>
      </w:r>
      <w:r>
        <w:rPr>
          <w:rFonts w:asciiTheme="majorBidi" w:hAnsiTheme="majorBidi" w:cstheme="majorBidi"/>
          <w:color w:val="000000" w:themeColor="text1"/>
          <w:sz w:val="24"/>
          <w:szCs w:val="24"/>
        </w:rPr>
        <w:t>.</w:t>
      </w:r>
    </w:p>
    <w:p w14:paraId="46156C86" w14:textId="77777777" w:rsidR="00807AA1" w:rsidRDefault="00807AA1" w:rsidP="00807AA1">
      <w:pPr>
        <w:jc w:val="right"/>
        <w:rPr>
          <w:rFonts w:asciiTheme="majorBidi" w:hAnsiTheme="majorBidi" w:cstheme="majorBidi"/>
          <w:color w:val="000000" w:themeColor="text1"/>
          <w:sz w:val="24"/>
          <w:szCs w:val="24"/>
        </w:rPr>
      </w:pPr>
    </w:p>
    <w:p w14:paraId="3EF13BC1" w14:textId="77777777" w:rsidR="00F237E4" w:rsidRPr="00F237E4" w:rsidRDefault="00F237E4" w:rsidP="00F237E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ثالثًا: ضعف الترابط بين نظام حماية البيانات والممارسة المهنية</w:t>
      </w:r>
      <w:r>
        <w:rPr>
          <w:rFonts w:asciiTheme="majorBidi" w:hAnsiTheme="majorBidi" w:cstheme="majorBidi" w:hint="cs"/>
          <w:b/>
          <w:bCs/>
          <w:color w:val="000000" w:themeColor="text1"/>
          <w:sz w:val="24"/>
          <w:szCs w:val="24"/>
          <w:rtl/>
        </w:rPr>
        <w:t>:</w:t>
      </w:r>
    </w:p>
    <w:p w14:paraId="478E243E"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وعلى صعيد المرجعية الرسمية، أصدرت الهيئة السعودية للبيانات والذكاء الاصطناعي (سدايا) في سبتمبر 2023م وثيقة "مبادئ أخلاقيات الذكاء الاصطناعي" التي حددت سبعة مبادئ جوهرية لضمان تطوير هذه التقنيات واستخدامها بصورة مسؤولة وأخلاقية، شملت النزاهة والإنصاف، والخصوصية والأمن، والإنسانية، والمنافع الاجتماعية، والموثوقية، والشفافية، والمساءلة. غير أن هذه الوثيقة تظل ذات طبيعة استرشادية لا إلزامية، مما يُضعف من إمكانية الاحتجاج بها في المنازعات القانونية المتعلقة بمكاتب المحاماة.</w:t>
      </w:r>
      <w:r>
        <w:rPr>
          <w:rStyle w:val="af"/>
          <w:rFonts w:asciiTheme="majorBidi" w:hAnsiTheme="majorBidi" w:cstheme="majorBidi"/>
          <w:sz w:val="24"/>
          <w:szCs w:val="24"/>
          <w:rtl/>
        </w:rPr>
        <w:footnoteReference w:id="156"/>
      </w:r>
    </w:p>
    <w:p w14:paraId="33114327"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قصور التنسيق بين النظام العام للمعلومات والممارسة القانونية الخاصة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رغم أن نظام حماية البيانات الشخصية الصادر عام 1443هـ يُعد من أكثر الأنظمة تطورًا في المنطقة من حيث حماية الخصوصية وتنظيم المعالجة الرقمية، إلا أنه لم يُفرد أحكامًا خاصة بالمهن العدلية أو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يوضح خالد المالكي</w:t>
      </w:r>
      <w:r>
        <w:rPr>
          <w:rStyle w:val="af"/>
          <w:rFonts w:asciiTheme="majorBidi" w:hAnsiTheme="majorBidi" w:cstheme="majorBidi"/>
          <w:color w:val="000000" w:themeColor="text1"/>
          <w:sz w:val="24"/>
          <w:szCs w:val="24"/>
          <w:rtl/>
        </w:rPr>
        <w:footnoteReference w:id="157"/>
      </w:r>
      <w:r>
        <w:rPr>
          <w:rFonts w:asciiTheme="majorBidi" w:hAnsiTheme="majorBidi" w:cstheme="majorBidi"/>
          <w:color w:val="000000" w:themeColor="text1"/>
          <w:sz w:val="24"/>
          <w:szCs w:val="24"/>
          <w:rtl/>
        </w:rPr>
        <w:t xml:space="preserve"> أن مكاتب المحاماة تتعامل مع بيانات حساسة تشمل العقود، والاعترافات، والمراسلات السرية، ومع ذلك لا يميز النظام بين البيانات التجارية والبيانات القانونية ذات الطبيعة العدلية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lastRenderedPageBreak/>
        <w:t>هذا الخلط بين طبيعة البيانات يُنتج ضعفًا في التطبيق، ويجعل المحامي خاضعًا لنصوص عامة لا تراعي خصوصية المهنة القانونية القائمة على الثقة والسرية المطلقة</w:t>
      </w:r>
      <w:r>
        <w:rPr>
          <w:rFonts w:asciiTheme="majorBidi" w:hAnsiTheme="majorBidi" w:cstheme="majorBidi"/>
          <w:color w:val="000000" w:themeColor="text1"/>
          <w:sz w:val="24"/>
          <w:szCs w:val="24"/>
        </w:rPr>
        <w:t>.</w:t>
      </w:r>
    </w:p>
    <w:p w14:paraId="384A06D6"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غياب الربط المؤسسي بين وزارة العدل وهيئة حماية البيانات</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لم يتضمن النظام آلية تنسيقية بين الهيئة السعودية للبيانات والذكاء الاصطناعي (سدايا) بصفتها الجهة التنظيمية، ووزارة العدل بصفتها المشرفة على مهنة المحاماة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وترى بعض الدراسات الربيع</w:t>
      </w:r>
      <w:r>
        <w:rPr>
          <w:rStyle w:val="af"/>
          <w:rFonts w:asciiTheme="majorBidi" w:hAnsiTheme="majorBidi" w:cstheme="majorBidi"/>
          <w:color w:val="000000" w:themeColor="text1"/>
          <w:sz w:val="24"/>
          <w:szCs w:val="24"/>
          <w:rtl/>
        </w:rPr>
        <w:footnoteReference w:id="158"/>
      </w:r>
      <w:r>
        <w:rPr>
          <w:rFonts w:asciiTheme="majorBidi" w:hAnsiTheme="majorBidi" w:cstheme="majorBidi"/>
          <w:color w:val="000000" w:themeColor="text1"/>
          <w:sz w:val="24"/>
          <w:szCs w:val="24"/>
          <w:rtl/>
        </w:rPr>
        <w:t xml:space="preserve"> أن غياب هذا الربط المؤسسي يؤدي إلى ازدواجية في المسؤوليات الرقابية، ويترك فراغًا تنظيميًا في تحديد الجهة المختصة بمحاسبة المخالفات المرتبطة بمعالجة البيانات داخل المكاتب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وتوصي الباحثة بإنشاء وحدة رقابية مشتركة أو لجنة مهنية متخصصة تتولى مراقبة التزام مكاتب المحاماة بضوابط حماية البيانات وفق طابعها العدلي لا التجاري</w:t>
      </w:r>
      <w:r>
        <w:rPr>
          <w:rFonts w:asciiTheme="majorBidi" w:hAnsiTheme="majorBidi" w:cstheme="majorBidi"/>
          <w:color w:val="000000" w:themeColor="text1"/>
          <w:sz w:val="24"/>
          <w:szCs w:val="24"/>
        </w:rPr>
        <w:t>.</w:t>
      </w:r>
    </w:p>
    <w:p w14:paraId="0AF50727"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عدم تحديد واجبات المحامي الرقمية في المعالجة التقنية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يشير عبد الله حمادي إلى أن النظام حمّل “المتحكم في البيانات” المسؤولية عن الالتزام بالضوابط الفنية والتنظيمية، لكنه لم يحدّد مركز المحامي القانوني في هذا السياق: هل يُعد متحكمًا بالبيانات أم مجرد مستخدم؟</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غياب هذا التوصيف يجعل المسؤولية المهنية للمحامي غير واضحة عند استخدامه أدوات ذكاء اصطناعي لمعالجة بيانات موكليه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وفي ظل توسع المكاتب في استخدام المنصات السحابية لتحليل القضايا، تزداد احتمالية وقوع مخالفات غير مقصودة ناتجة عن ضعف فهم الالتزامات النظامية للمعالجة الرقمية</w:t>
      </w:r>
      <w:r>
        <w:rPr>
          <w:rFonts w:asciiTheme="majorBidi" w:hAnsiTheme="majorBidi" w:cstheme="majorBidi"/>
          <w:color w:val="000000" w:themeColor="text1"/>
          <w:sz w:val="24"/>
          <w:szCs w:val="24"/>
        </w:rPr>
        <w:t>.</w:t>
      </w:r>
    </w:p>
    <w:p w14:paraId="75201A9D"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التحديات التقنية في تطبيق مبدأ السيادة الوطنية للبيانات</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شددت الهيئة السعودية للبيانات والذكاء الاصطناعي في دليلها الاسترشادي لتقويم مخاطر نقل البيانات إلى خارج المملكة على ضرورة إجراء تقييم فني وقانوني قبل استخدام أي منصة أجنبية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إلا أن العديد من مكاتب المحاماة تعتمد على أدوات ذكاء اصطناعي عالمية دون وعي كامل بمتطلبات السيادة الرقمية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ويؤكد إبراهيم العيسى</w:t>
      </w:r>
      <w:r>
        <w:rPr>
          <w:rStyle w:val="af"/>
          <w:rFonts w:asciiTheme="majorBidi" w:hAnsiTheme="majorBidi" w:cstheme="majorBidi"/>
          <w:color w:val="000000" w:themeColor="text1"/>
          <w:sz w:val="24"/>
          <w:szCs w:val="24"/>
          <w:rtl/>
        </w:rPr>
        <w:footnoteReference w:id="159"/>
      </w:r>
      <w:r>
        <w:rPr>
          <w:rFonts w:asciiTheme="majorBidi" w:hAnsiTheme="majorBidi" w:cstheme="majorBidi"/>
          <w:color w:val="000000" w:themeColor="text1"/>
          <w:sz w:val="24"/>
          <w:szCs w:val="24"/>
          <w:rtl/>
        </w:rPr>
        <w:t xml:space="preserve"> أن هذا الاستخدام العابر للحدود يشكل خطرًا مباشرًا على العدالة، لأن تسرب البيانات أو معالجتها في أنظمة غير خاضعة للولاية الوطنية يُعد مساسًا بسيادة القضاء السعودي ذاته، وليس مجرد مخالفة مهنية</w:t>
      </w:r>
      <w:r>
        <w:rPr>
          <w:rFonts w:asciiTheme="majorBidi" w:hAnsiTheme="majorBidi" w:cstheme="majorBidi"/>
          <w:color w:val="000000" w:themeColor="text1"/>
          <w:sz w:val="24"/>
          <w:szCs w:val="24"/>
        </w:rPr>
        <w:t>.</w:t>
      </w:r>
    </w:p>
    <w:p w14:paraId="6BA9E2C2"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انعدام الحماية النظامية للبيانات الناتجة عن الذكاء الاصطناعي نفسه</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تناولت أنظمة حماية البيانات مسألة جمع ومعالجة المعلومات، لكنها لم تتطرق إلى “البيانات المولَّدة” التي ينتجها الذكاء الاصطناعي من خلال تحليل بيانات الموكلين أو القضايا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يوضح نايف الغنامي أن هذه البيانات الجديدة تكتسب طابعًا قانونيًا خاصًا لأنها قد تحتوي على نتائج تحليلية أو استنتاجات تؤثر في الموقف القضائي أو التعاقدي، ومع ذلك لا يوجد نص يحكم ملكيتها أو سرية تداولها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غياب هذا النوع من الحماية يجعل مكاتب المحاماة معرضة لخطر تسرب التحليلات الذكية أو إساءة استخدامها من قبل أطراف خارجية أو منافسين</w:t>
      </w:r>
      <w:r>
        <w:rPr>
          <w:rFonts w:asciiTheme="majorBidi" w:hAnsiTheme="majorBidi" w:cstheme="majorBidi"/>
          <w:color w:val="000000" w:themeColor="text1"/>
          <w:sz w:val="24"/>
          <w:szCs w:val="24"/>
        </w:rPr>
        <w:t>.</w:t>
      </w:r>
    </w:p>
    <w:p w14:paraId="6F6D11B4"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الفراغ التشريعي في تكييف الانتهاكات المهنية للبيانات</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في حال إخلال المحامي بواجب حماية بيانات موكله الرقمية، لا يوجد نص يوضح ما إذا كان الفعل يُعد مخالفة مهنية بموجب نظام المحاماة أو جريمة معلوماتية بموجب نظام مكافحة الجرائم المعلوماتية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يذكر مراد محمد غالب قاسم أن هذا الغموض يولد تضاربًا في التكييف القانوني، فبعض الانتهاكات قد تُعامَل كتقصير مهني، بينما تُصنّف في وقائع مشابهة كجرائم معلوماتية، مما يضعف الثقة في اتساق العدالة </w:t>
      </w:r>
      <w:r>
        <w:rPr>
          <w:rFonts w:asciiTheme="majorBidi" w:hAnsiTheme="majorBidi" w:cstheme="majorBidi"/>
          <w:color w:val="000000" w:themeColor="text1"/>
          <w:sz w:val="24"/>
          <w:szCs w:val="24"/>
          <w:rtl/>
        </w:rPr>
        <w:lastRenderedPageBreak/>
        <w:t>الرقمية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ومن ثمّ، تظهر الحاجة إلى نصوص توحّد الإطار التأديبي والجنائي لانتهاكات البيانات القانونية، بحيث تكون العقوبات متناسبة مع خطورة الفعل وطبيعته العدلية</w:t>
      </w:r>
      <w:r>
        <w:rPr>
          <w:rFonts w:asciiTheme="majorBidi" w:hAnsiTheme="majorBidi" w:cstheme="majorBidi"/>
          <w:color w:val="000000" w:themeColor="text1"/>
          <w:sz w:val="24"/>
          <w:szCs w:val="24"/>
        </w:rPr>
        <w:t>.</w:t>
      </w:r>
    </w:p>
    <w:p w14:paraId="464D0F84"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الحاجة إلى إدماج متطلبات حماية البيانات ضمن لائحة مهنة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يؤكد عبدالعزيز العلي</w:t>
      </w:r>
      <w:r>
        <w:rPr>
          <w:rStyle w:val="af"/>
          <w:rFonts w:asciiTheme="majorBidi" w:hAnsiTheme="majorBidi" w:cstheme="majorBidi"/>
          <w:color w:val="000000" w:themeColor="text1"/>
          <w:sz w:val="24"/>
          <w:szCs w:val="24"/>
          <w:rtl/>
        </w:rPr>
        <w:footnoteReference w:id="160"/>
      </w:r>
      <w:r>
        <w:rPr>
          <w:rFonts w:asciiTheme="majorBidi" w:hAnsiTheme="majorBidi" w:cstheme="majorBidi"/>
          <w:color w:val="000000" w:themeColor="text1"/>
          <w:sz w:val="24"/>
          <w:szCs w:val="24"/>
          <w:rtl/>
        </w:rPr>
        <w:t xml:space="preserve"> أن تطوير لائحة تنفيذية محدثة لنظام المحاماة هو الطريق الأمثل لسد الفجوة بين المهنة والتقنية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وينبغي أن تتضمن هذه اللائحة التزامات واضحة تتعلق بحماية البيانات الرقمية، تشمل اشتراط أن تكون المنصات التقنية المستخدمة داخل المكاتب مرخّصة وموثوقة وتخضع للرقابة المحلية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كما توصي وثيقة مبادئ أخلاقيات الذكاء الاصطناعي الصادرة عن سدايا بدمج مبدأ “المساءلة التقنية” في المهن ذات الحساسية العالية، وفي مقدمتها المحاماة، لضمان الاستخدام المسؤول للتقنيات الذكية</w:t>
      </w:r>
      <w:r>
        <w:rPr>
          <w:rFonts w:asciiTheme="majorBidi" w:hAnsiTheme="majorBidi" w:cstheme="majorBidi"/>
          <w:color w:val="000000" w:themeColor="text1"/>
          <w:sz w:val="24"/>
          <w:szCs w:val="24"/>
        </w:rPr>
        <w:t>.</w:t>
      </w:r>
    </w:p>
    <w:p w14:paraId="15590ECD" w14:textId="77777777" w:rsidR="00F237E4" w:rsidRDefault="00F237E4" w:rsidP="00807AA1">
      <w:pPr>
        <w:jc w:val="right"/>
        <w:rPr>
          <w:rFonts w:asciiTheme="majorBidi" w:hAnsiTheme="majorBidi" w:cstheme="majorBidi"/>
          <w:color w:val="000000" w:themeColor="text1"/>
          <w:sz w:val="24"/>
          <w:szCs w:val="24"/>
        </w:rPr>
      </w:pPr>
    </w:p>
    <w:p w14:paraId="14998BC4"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رابعًا: الحاجة إلى إدراج فصل خاص في اللائحة التنفيذية لنظام المحاماة ينظم التقنيات القانونية والذكاء الاصطناعي</w:t>
      </w:r>
    </w:p>
    <w:p w14:paraId="6193A801"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وفي هذا الإطار، يرى المركز الدراسات والبحوث القانونية في دراسته المعنونة باستخدام الذكاء الاصطناعي في المحاكم، والصادرة بالتعاون مع خبراء دوليين لإثراء البيئة القانونية السعودية، أن تطبيق الذكاء الاصطناعي في القطاع العدلي يمر بطور الانتشار التدريجي، وأن من أبرز التحديات عدم فهم منهجية عمل هذه التقنية وكيفية توظيفها، مما يستدعي بناء إطار تنظيمي واضح يُحدد نطاق الاستخدام المشروع ويُرسّخ معايير الحوكمة والمساءلة.</w:t>
      </w:r>
      <w:r>
        <w:rPr>
          <w:rStyle w:val="af"/>
          <w:rFonts w:asciiTheme="majorBidi" w:hAnsiTheme="majorBidi" w:cstheme="majorBidi"/>
          <w:sz w:val="24"/>
          <w:szCs w:val="24"/>
          <w:rtl/>
        </w:rPr>
        <w:footnoteReference w:id="161"/>
      </w:r>
    </w:p>
    <w:p w14:paraId="78A12B57"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قصور مستوى “النظام” ومرونة مستوى “اللائحة</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نظام المحاماة وُضع في لحظة تاريخية لم تكن التقنيات القانونية جزءًا من بنية المهنة، ولذلك فإن تعديل النظام نفسه يُعدّ خطوة ثقيلة إجرائيًا وتستغرق زمنًا طويلًا. في المقابل، تتمتع اللائحة التنفيذية بدرجة أعلى من المرونة وإمكان التحديث المستمر وفق تطورات الممارسة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يشير إبراهيم العيسى في دراسته عن القواعد والإجراءات المنظمة لاستخدامات الذكاء الاصطناعي في المملكة إلى أن البيئة التقنية شديدة التغير تحتاج إلى أدوات تنظيم سريعة الاستجابة، وأن اللائحة التنفيذية تمثّل الأداة الأنسب لضبط التفاصيل المهنية المتغيرة دون المساس بالبناء النظامي الأعلى. ومن ثمّ، فإن إدراج فصل خاص في اللائحة التنفيذية لنظام المحاماة يُعد الخيار الأكثر توازنًا بين الحاجة إلى التنظيم وعدم إثقال كاهل النظام بتعديلات متكررة</w:t>
      </w:r>
      <w:r>
        <w:rPr>
          <w:rFonts w:asciiTheme="majorBidi" w:hAnsiTheme="majorBidi" w:cstheme="majorBidi"/>
          <w:color w:val="000000" w:themeColor="text1"/>
          <w:sz w:val="24"/>
          <w:szCs w:val="24"/>
        </w:rPr>
        <w:t>.</w:t>
      </w:r>
    </w:p>
    <w:p w14:paraId="5A08A7E8"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سدّ الفجوة بين النص التقليدي والممارسة الرقمية داخل مكاتب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الممارسة الواقعية في عدد من مكاتب المحاماة الكبرى والمتوسطة في المملكة كشفت عن اعتماد متزايد على أنظمة إدارة القضايا الإلكترونية، ومنصات البحث النظامي الذكية، والأدوات المعتمدة على نماذج اللغة في صياغة العقود والمذكرات. هذه الممارسة تجري اليوم في ظل فراغ تنظيمي كامل من حيث ضوابط الاعتماد، ومعايير الأمان، وحدود المسؤولية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تؤكد فاطمة بلال</w:t>
      </w:r>
      <w:r>
        <w:rPr>
          <w:rStyle w:val="af"/>
          <w:rFonts w:asciiTheme="majorBidi" w:hAnsiTheme="majorBidi" w:cstheme="majorBidi"/>
          <w:color w:val="000000" w:themeColor="text1"/>
          <w:sz w:val="24"/>
          <w:szCs w:val="24"/>
          <w:rtl/>
        </w:rPr>
        <w:footnoteReference w:id="162"/>
      </w:r>
      <w:r>
        <w:rPr>
          <w:rFonts w:asciiTheme="majorBidi" w:hAnsiTheme="majorBidi" w:cstheme="majorBidi"/>
          <w:color w:val="000000" w:themeColor="text1"/>
          <w:sz w:val="24"/>
          <w:szCs w:val="24"/>
          <w:rtl/>
        </w:rPr>
        <w:t xml:space="preserve"> في دراستها عن العدالة الناجزة أن التحول الرقمي في قطاع القضاء لا يمكن أن ينجح بصورة متوازنة ما لم يُواكبه تحول منظم في أدوات المحاماة، وأن استمرار المكاتب في استخدام التقنية خارج أي إطار تفصيلي مكتوب يعرّض المنظومة العدلية لمخاطر متعلقة بجودة الخدمة، وتفاوت المعايير المهنية، وتضارب الممارسات بين مكتب وآخر</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lastRenderedPageBreak/>
        <w:t>الفصل المقترح في اللائحة يمكن أن يكون الجسر الذي يربط بين النص التقليدي والممارسة الرقمية، من خلال تحويل العرف التقني الجاري في المكاتب إلى معايير مكتوبة يمكن الرجوع إليها ومحاسبة الممارسين على أساسها</w:t>
      </w:r>
      <w:r>
        <w:rPr>
          <w:rFonts w:asciiTheme="majorBidi" w:hAnsiTheme="majorBidi" w:cstheme="majorBidi"/>
          <w:color w:val="000000" w:themeColor="text1"/>
          <w:sz w:val="24"/>
          <w:szCs w:val="24"/>
        </w:rPr>
        <w:t>.</w:t>
      </w:r>
    </w:p>
    <w:p w14:paraId="191E6080" w14:textId="77777777" w:rsidR="00957EC0" w:rsidRPr="00957EC0" w:rsidRDefault="00957EC0" w:rsidP="000D4B35">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تنظيم العلاقة بين المحامي ومزوّدي التقنيات القانونية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في الواقع المهني الحالي، تتعامل مكاتب المحاماة مع عدد من مزوّدي المنصات التقنية، سواء في الداخل أو الخارج، لتوفير خدمات مثل إدارة المستندات، والتحليل القانوني، والتراسل الآمن. هذه العلاقة التعاقدية تظل خارج أي إطار مهني محدد، إذ لا توجد معايير تلزم المحامي بالتحقق من مستوى أمان المنصة، أو موقع تخزين البيانات، أو مدى امتثالها للأنظمة السعودية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يوضح نايف بن ناشي الغنامي</w:t>
      </w:r>
      <w:r>
        <w:rPr>
          <w:rStyle w:val="af"/>
          <w:rFonts w:asciiTheme="majorBidi" w:hAnsiTheme="majorBidi" w:cstheme="majorBidi"/>
          <w:color w:val="000000" w:themeColor="text1"/>
          <w:sz w:val="24"/>
          <w:szCs w:val="24"/>
          <w:rtl/>
        </w:rPr>
        <w:footnoteReference w:id="163"/>
      </w:r>
      <w:r>
        <w:rPr>
          <w:rFonts w:asciiTheme="majorBidi" w:hAnsiTheme="majorBidi" w:cstheme="majorBidi"/>
          <w:color w:val="000000" w:themeColor="text1"/>
          <w:sz w:val="24"/>
          <w:szCs w:val="24"/>
          <w:rtl/>
        </w:rPr>
        <w:t xml:space="preserve"> في رسالته للدكتوراه أن ترك العلاقة بين المحامي ومزوّد التقنية دون ضوابط مهنية يُضعف من أثر الأنظمة، كحماية البيانات ومكافحة الجرائم المعلوماتية، لأن المحامي قد يتعامل بحسن نية مع منصة أجنبية لا تخضع لأي التزام وطني بحماية الخصوصية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لذلك، يمكن للفصل المقترح أن يضع قواعد صريحة تفرض على مكاتب المحاماة التحقق من المنصات المستخدمة، وأن ينص على وجوب أن تكون أي منصة يُدخل فيها المحامي بيانات موكليه مرخصة، أو على الأقل مستوفية لاشتراطات معينة تُحدَّد من وزارة العدل بالتنسيق مع سدايا</w:t>
      </w:r>
      <w:r>
        <w:rPr>
          <w:rFonts w:asciiTheme="majorBidi" w:hAnsiTheme="majorBidi" w:cstheme="majorBidi"/>
          <w:color w:val="000000" w:themeColor="text1"/>
          <w:sz w:val="24"/>
          <w:szCs w:val="24"/>
        </w:rPr>
        <w:t>.</w:t>
      </w:r>
    </w:p>
    <w:p w14:paraId="3D68D396"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وتعزّز هذه الحجة ما خلص إليه مركز الدراسات والبحوث القانونية (2024م) من أن العلاقة بين المحامي ومزود الأداة الذكية هي علاقة عقدية خدمية تخضع لأحكام نظام التعاملات الإلكترونية وقواعد المسؤولية العقدية الواردة في نظام المعاملات المدنية، وأن إسقاط الضوابط المهنية عن هذه العلاقة يفضي إلى فراغ قانوني خطير.</w:t>
      </w:r>
      <w:r w:rsidRPr="00000001">
        <w:rPr>
          <w:rtl/>
        </w:rPr>
        <w:footnoteReference w:id="164"/>
      </w:r>
    </w:p>
    <w:p w14:paraId="7989E719" w14:textId="77777777" w:rsidR="003835A4" w:rsidRDefault="00957EC0" w:rsidP="000D4B35">
      <w:pPr>
        <w:ind w:left="360"/>
        <w:jc w:val="right"/>
        <w:rPr>
          <w:rFonts w:asciiTheme="majorBidi" w:hAnsiTheme="majorBidi" w:cstheme="majorBidi"/>
          <w:b/>
          <w:bCs/>
          <w:color w:val="000000" w:themeColor="text1"/>
          <w:sz w:val="24"/>
          <w:szCs w:val="24"/>
          <w:rtl/>
        </w:rPr>
      </w:pPr>
      <w:r>
        <w:rPr>
          <w:rFonts w:asciiTheme="majorBidi" w:hAnsiTheme="majorBidi" w:cstheme="majorBidi"/>
          <w:b/>
          <w:bCs/>
          <w:color w:val="000000" w:themeColor="text1"/>
          <w:sz w:val="24"/>
          <w:szCs w:val="24"/>
          <w:rtl/>
        </w:rPr>
        <w:t>تأطير المسؤولية المهنية عن استخدام الذكاء الاصطناعي</w:t>
      </w:r>
    </w:p>
    <w:p w14:paraId="3A73A078"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وفيما يتعلق بحدود تأطير المسؤولية المهنية، أشارت عبد الرحمن إلى ضرورة مراعاة مبدأ التعادل؛ بمعنى ألا تكون المسؤولية المفروضة على المحامي المستخدم للذكاء الاصطناعي أشد من المسؤولية المفروضة على المحامي الذي لم يستخدمه وارتكب الخطأ ذاته بطريقة تقليدية، لأن التشديد غير المتناسب قد يُثبّط التحول الرقمي الذي تستهدفه رؤية 2030.</w:t>
      </w:r>
      <w:r w:rsidRPr="00000002">
        <w:rPr>
          <w:rtl/>
        </w:rPr>
        <w:footnoteReference w:id="165"/>
      </w:r>
    </w:p>
    <w:p w14:paraId="00DFF523"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إطار المسؤولية المهنية الجنائية، أوضح العطار والنوايسة أن الإهمال الجسيم في الرقابة على نظام الذكاء الاصطناعي المستخدم في تقديم المشورة القانونية قد يرقى إلى درجة الخطأ الجنائي الموجب للمساءلة الجزائية، شريطة إثبات العلاقة السببية بين الإهمال في الرقابة والضرر اللاحق بالموكل أو المتضرر من المشورة الخاطئة.</w:t>
      </w:r>
      <w:r w:rsidRPr="00000002">
        <w:rPr>
          <w:rtl/>
        </w:rPr>
        <w:footnoteReference w:id="166"/>
      </w:r>
    </w:p>
    <w:p w14:paraId="2ACBF584"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 xml:space="preserve">وفيما يتعلق بتأطير المسؤولية المهنية، اقترح العجماني وسيد تبني نظرية المسؤولية المتشعبة في القضايا الناجمة عن الذكاء الاصطناعي، إذ تنقسم المسؤولية بين المحامي المستخدم، والمطوّر الأصلي للنظام، والوسيط الذي </w:t>
      </w:r>
      <w:r>
        <w:rPr>
          <w:rFonts w:asciiTheme="majorBidi" w:hAnsiTheme="majorBidi" w:cstheme="majorBidi"/>
          <w:sz w:val="24"/>
          <w:szCs w:val="24"/>
          <w:rtl/>
        </w:rPr>
        <w:lastRenderedPageBreak/>
        <w:t>يُتيح الوصول إلى النظام، مع منح القضاء صلاحية التوزيع النسبي وفق درجة الإسهام المثبتة بالخبرة التقنية.</w:t>
      </w:r>
      <w:r w:rsidRPr="00000002">
        <w:rPr>
          <w:rtl/>
        </w:rPr>
        <w:footnoteReference w:id="167"/>
      </w:r>
    </w:p>
    <w:p w14:paraId="6D968C76"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وبالمقابل، ترى الجلعود أن تأطير المسؤولية المهنية ينبغي أن يُراعي مبدأ التناسب؛ فالمحامي الذي يستخدم أداة ذكاء اصطناعي بسيطة لمعالجة النصوص لا يُعامَل كمن يستخدم نظاماً تنبؤياً معقداً يتخذ قرارات استراتيجية، والتمييز بين درجات التعقيد والأثر هو جوهر أي منظومة تشريعية رشيدة في هذا المجال.</w:t>
      </w:r>
      <w:r w:rsidRPr="00000001">
        <w:rPr>
          <w:rtl/>
        </w:rPr>
        <w:footnoteReference w:id="168"/>
      </w:r>
    </w:p>
    <w:p w14:paraId="43978975"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باب تأطير المسؤولية المهنية، ميّز الشراري بين معيارين يتنافسان في السياق الفقهي المقارن: معيار المحامي المعقول الذي يُقيس أداء المحامي بالمعيار التقليدي القائم على الحكمة المهنية المتعارف عليها، ومعيار المحامي الرقمي الكفء الذي يُضيف إلى المعيار الأول اشتراط الكفاءة في انتقاء أنظمة الذكاء الاصطناعي وتقييم مخرجاتها ونقد توصياتها.</w:t>
      </w:r>
      <w:r w:rsidRPr="00000001">
        <w:rPr>
          <w:rtl/>
        </w:rPr>
        <w:footnoteReference w:id="169"/>
      </w:r>
    </w:p>
    <w:p w14:paraId="27813608"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تشير الأدبيات القانونية الحديثة التي تناولت المسؤولية المدنية عن أفعال الذكاء الاصطناعي — ومنها أبحاث خالد المالكي ومرام الربيع — إلى غياب نموذج معياري واضح يُحتكم إليه عند تقييم خطأ المحامي في استخدام الأنظمة الذكية داخل مكاتب المحاماة. فالمسؤولية المهنية في نظام المحاماة تُبنى على مبدأ “العناية المهنية المعتادة”، غير أن هذا المبدأ لم يُعرّف بعد في سياق التقنية، مما يطرح تساؤلات عملية حول مسؤولية المحامي عند الاستعانة بالذكاء الاصطناعي في أعمال ذات أثر عدلي مباشر</w:t>
      </w:r>
      <w:r>
        <w:rPr>
          <w:rFonts w:asciiTheme="majorBidi" w:hAnsiTheme="majorBidi" w:cstheme="majorBidi"/>
          <w:color w:val="000000" w:themeColor="text1"/>
          <w:sz w:val="24"/>
          <w:szCs w:val="24"/>
        </w:rPr>
        <w:t>.</w:t>
      </w:r>
    </w:p>
    <w:p w14:paraId="2302934B"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ويُثار التساؤل هنا: ما هي حدود العناية المهنية الرقمية؟ وهل يُلزم المحامي بفهم الآلية التقنية للنظام؟ أم يكفي التأكد من موثوقية المصدر؟ أم يجب عليه اختبار النتائج ومقارنتها بالسوابق النظامية قبل تقديمها للقضاء؟ وقد أكدت دراسة الأسيوطي حول حماية التصرفات القانونية عبر الذكاء الاصطناعي أن الاعتماد على المخرجات التقنية دون مراجعة بشرية يمثل انحرافًا عن السلوك المهني المألوف في المهن القانونية</w:t>
      </w:r>
      <w:r>
        <w:rPr>
          <w:rFonts w:asciiTheme="majorBidi" w:hAnsiTheme="majorBidi" w:cstheme="majorBidi"/>
          <w:color w:val="000000" w:themeColor="text1"/>
          <w:sz w:val="24"/>
          <w:szCs w:val="24"/>
        </w:rPr>
        <w:t>.</w:t>
      </w:r>
    </w:p>
    <w:p w14:paraId="34D97B8A"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أجل معالجة هذا الفراغ، يمكن للائحة التنفيذية لنظام المحاماة أن تضع فصلًا خاصًا بالمسؤولية التقنية، يتضمن قواعد مهنية مفصلة، من أهمها</w:t>
      </w:r>
      <w:r>
        <w:rPr>
          <w:rFonts w:asciiTheme="majorBidi" w:hAnsiTheme="majorBidi" w:cstheme="majorBidi"/>
          <w:color w:val="000000" w:themeColor="text1"/>
          <w:sz w:val="24"/>
          <w:szCs w:val="24"/>
        </w:rPr>
        <w:t>:</w:t>
      </w:r>
    </w:p>
    <w:p w14:paraId="16652810"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التزام المحامي بإجراء مراجعة بشرية إلزامية لجميع المذكرات أو التحليلات التي ينتجها النظام الذكي قبل تقديمها للقضاء أو للجهات العدلية، وهو ما يتفق مع ما ورد في دراسة محمد سعيد خليل حول ضرورة الرقابة البشرية في المهن العدلية عند استخدام الأنظمة الذكية</w:t>
      </w:r>
      <w:r>
        <w:rPr>
          <w:rFonts w:asciiTheme="majorBidi" w:hAnsiTheme="majorBidi" w:cstheme="majorBidi"/>
          <w:color w:val="000000" w:themeColor="text1"/>
          <w:sz w:val="24"/>
          <w:szCs w:val="24"/>
        </w:rPr>
        <w:t>.</w:t>
      </w:r>
    </w:p>
    <w:p w14:paraId="41BEB9DD"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واجب توثيق الخطوات التقنية التي اتخذها المحامي عند استخدام النظام الذكي، بما في ذلك تحديد إصدار النظام، وطريقة توليد المخرجات، وبيان ما إذا كانت خاضعة لأي تعديل أو تدقيق بعد توليدها. وقد أشارت دراسة فاطمة بلال حول العدالة الرقمية إلى أن التوثيق يمثل ضمانة أساسية ضد الأخطاء التقنية غير المتعمدة</w:t>
      </w:r>
      <w:r>
        <w:rPr>
          <w:rFonts w:asciiTheme="majorBidi" w:hAnsiTheme="majorBidi" w:cstheme="majorBidi"/>
          <w:color w:val="000000" w:themeColor="text1"/>
          <w:sz w:val="24"/>
          <w:szCs w:val="24"/>
        </w:rPr>
        <w:t>.</w:t>
      </w:r>
    </w:p>
    <w:p w14:paraId="4CED3B23"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اعتبار الإخلال بضوابط التقنية — متى ترتب عليه ضرر للموكل — صورة من صور الإهمال المهني الجسيم. ويستند هذا الاتجاه إلى ما قرره المالكي من أن الخطأ التقني في السياق الرقمي يُعدّ خطأ جسيمًا إذا أمكن الاحتراز عنه باستخدام معايير الأمن السيبراني والتحقق المهني المتعارف عليها</w:t>
      </w:r>
      <w:r>
        <w:rPr>
          <w:rFonts w:asciiTheme="majorBidi" w:hAnsiTheme="majorBidi" w:cstheme="majorBidi"/>
          <w:color w:val="000000" w:themeColor="text1"/>
          <w:sz w:val="24"/>
          <w:szCs w:val="24"/>
        </w:rPr>
        <w:t>.</w:t>
      </w:r>
    </w:p>
    <w:p w14:paraId="44027E1D"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ولكي تتضح طبيعة “الإهمال المهني الجسيم” في السياق الرقمي، فإن تقييمه يجب أن يستند إلى معايير فنية واضحة، من أهمها</w:t>
      </w:r>
      <w:r>
        <w:rPr>
          <w:rFonts w:asciiTheme="majorBidi" w:hAnsiTheme="majorBidi" w:cstheme="majorBidi"/>
          <w:color w:val="000000" w:themeColor="text1"/>
          <w:sz w:val="24"/>
          <w:szCs w:val="24"/>
        </w:rPr>
        <w:t>:</w:t>
      </w:r>
    </w:p>
    <w:p w14:paraId="2EACF48E"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lastRenderedPageBreak/>
        <w:t xml:space="preserve">• </w:t>
      </w:r>
      <w:r>
        <w:rPr>
          <w:rFonts w:asciiTheme="majorBidi" w:hAnsiTheme="majorBidi" w:cstheme="majorBidi"/>
          <w:color w:val="000000" w:themeColor="text1"/>
          <w:sz w:val="24"/>
          <w:szCs w:val="24"/>
          <w:rtl/>
        </w:rPr>
        <w:t>معيار الموثوقية التقنية: هل استخدم المحامي نظامًا معتمدًا ومرخصًا داخل المملكة؟ وهل تجاهل التحذيرات المرتبطة باستخدام منصات غير آمنة؟</w:t>
      </w:r>
    </w:p>
    <w:p w14:paraId="3C2EB325"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معيار التحقق البشري: هل اكتفى المحامي بنقل مخرجات النظام دون مراجعة بشرية أو مقارنة بالسوابق القضائية؟</w:t>
      </w:r>
    </w:p>
    <w:p w14:paraId="669B57D3"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معيار سلامة البيانات: هل أدخل بيانات الموكل في نظام ذكي يخزن المعلومات خارج المملكة دون تقويم للمخاطر وفق دليل سدايا؟</w:t>
      </w:r>
    </w:p>
    <w:p w14:paraId="70851B22"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معيار الإفصاح: هل أخفى المحامي عن الموكل أو المحكمة أنه استخدم نظامًا ذكيًا في توليد المستند؟ وهل أدى ذلك إلى تضليل أو خلل في الثقة المهنية؟</w:t>
      </w:r>
    </w:p>
    <w:p w14:paraId="3D6ECD41"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معيار الكفاءة المهنية: هل استخدم المحامي نظامًا معقدًا لا يستطيع تفسير طريقة عمله أمام القضاء، بما يجعل الإثبات مستحيلاً أو مشوبًا بالغموض؟ وقد أكدت دراسة مرسي حول الذكاء الاصطناعي والبلوكتشين أن الأنظمة غير القابلة للتفسير تُعد الأكثر خطورة في السياق القانوني</w:t>
      </w:r>
      <w:r>
        <w:rPr>
          <w:rFonts w:asciiTheme="majorBidi" w:hAnsiTheme="majorBidi" w:cstheme="majorBidi"/>
          <w:color w:val="000000" w:themeColor="text1"/>
          <w:sz w:val="24"/>
          <w:szCs w:val="24"/>
        </w:rPr>
        <w:t>.</w:t>
      </w:r>
    </w:p>
    <w:p w14:paraId="5EC511A6"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وعند اجتماع هذه المعايير، يمكن أن يُعدّ الإخلال بها إهمالًا مهنيًا جسيمًا يُسأل عنه المحامي تأديبيًا ومدنيًا، خصوصًا إذا ترتب على ذلك ضرر للمُوكّل أو التأثير على نزاهة العدالة. وتؤكد مجلة العدالة في عددها المتعلق بالمسؤولية عن الذكاء الاصطناعي أن المحامي يظل مسؤولًا عن كل ما يقدمه للجهات العدلية، سواء كان ناتجًا عن عمله الشخصي أو عن نظام ذكي استعان به</w:t>
      </w:r>
      <w:r>
        <w:rPr>
          <w:rFonts w:asciiTheme="majorBidi" w:hAnsiTheme="majorBidi" w:cstheme="majorBidi"/>
          <w:color w:val="000000" w:themeColor="text1"/>
          <w:sz w:val="24"/>
          <w:szCs w:val="24"/>
        </w:rPr>
        <w:t>.</w:t>
      </w:r>
    </w:p>
    <w:p w14:paraId="494301BE"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وبذلك، فإن تأطير المسؤولية المهنية الرقمية لا يقوم فقط على تحديد الواجبات، بل على وضع معايير فنية واضحة تُطبّق عند تقييم الإخلال. وهذا ما يجعل اللائحة التنفيذية المكان الأنسب لإدراج هذه الضوابط، لأنها أكثر مرونة في التعديل والتطوير بما يواكب سرعة التغيرات التقنية في مكاتب المحاماة</w:t>
      </w:r>
      <w:r>
        <w:rPr>
          <w:rFonts w:asciiTheme="majorBidi" w:hAnsiTheme="majorBidi" w:cstheme="majorBidi"/>
          <w:color w:val="000000" w:themeColor="text1"/>
          <w:sz w:val="24"/>
          <w:szCs w:val="24"/>
        </w:rPr>
        <w:t>.</w:t>
      </w:r>
    </w:p>
    <w:p w14:paraId="2AA6BA34" w14:textId="77777777" w:rsidR="003835A4" w:rsidRPr="00957EC0" w:rsidRDefault="003835A4" w:rsidP="003835A4">
      <w:pPr>
        <w:ind w:left="360"/>
        <w:jc w:val="right"/>
        <w:rPr>
          <w:rFonts w:asciiTheme="majorBidi" w:hAnsiTheme="majorBidi" w:cstheme="majorBidi"/>
          <w:color w:val="000000" w:themeColor="text1"/>
          <w:sz w:val="24"/>
          <w:szCs w:val="24"/>
          <w:rtl/>
        </w:rPr>
      </w:pPr>
    </w:p>
    <w:p w14:paraId="5942311C"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دمج مبادئ أخلاقيات الذكاء الاصطناعي في أخلاقيات مهنة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وثيقة مبادئ أخلاقيات الذكاء الاصطناعي الصادرة عن سدايا وضعت إطارًا قيميا عامًا لاستخدام التقنية، لكنها لم تُترجم حتى الآن إلى التزامات مهنية محددة داخل قطاع المحاماة. في المقابل، مهنة المحاماة في جوهرها مهنة أخلاقية، تقوم على الأمانة والسرية والاستقلالية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يلاحظ ياسر محمد عبد السلام رجب </w:t>
      </w:r>
      <w:r>
        <w:rPr>
          <w:rStyle w:val="af"/>
          <w:rFonts w:asciiTheme="majorBidi" w:hAnsiTheme="majorBidi" w:cstheme="majorBidi"/>
          <w:color w:val="000000" w:themeColor="text1"/>
          <w:sz w:val="24"/>
          <w:szCs w:val="24"/>
          <w:rtl/>
        </w:rPr>
        <w:footnoteReference w:id="170"/>
      </w:r>
      <w:r>
        <w:rPr>
          <w:rFonts w:asciiTheme="majorBidi" w:hAnsiTheme="majorBidi" w:cstheme="majorBidi"/>
          <w:color w:val="000000" w:themeColor="text1"/>
          <w:sz w:val="24"/>
          <w:szCs w:val="24"/>
          <w:rtl/>
        </w:rPr>
        <w:t>في دراسته عن تأطير أخلاقيات الذكاء الاصطناعي أن الانتقال من النص الأخلاقي العام إلى القاعدة المهنية الملزمة هو ما يمنح الأخلاقيات قوة حقيقية في الواقع. ومن هذا المنطلق، فإن إفراد فصل في اللائحة التنفيذية يدمج مبادئ العدالة، والشفافية، وعدم التمييز، وحماية الخصوصية في سلوك المحامي التقني، سيحوّل هذه المبادئ من شعارات عامة إلى التزامات يمكن مساءلة المحامي عن الإخلال بها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ويمكن أن يتضمن هذا الفصل إلزام المكاتب بوضع سياسات داخلية مكتوبة لاستخدام الذكاء الاصطناعي، وتدريب المحامين والمتدربين على التعامل المسؤول مع الأنظمة الذكية، وتوثيق أي حالات إخلال أو مخاطر تقنية للتعامل معها تأديبيًا</w:t>
      </w:r>
      <w:r>
        <w:rPr>
          <w:rFonts w:asciiTheme="majorBidi" w:hAnsiTheme="majorBidi" w:cstheme="majorBidi"/>
          <w:color w:val="000000" w:themeColor="text1"/>
          <w:sz w:val="24"/>
          <w:szCs w:val="24"/>
        </w:rPr>
        <w:t>.</w:t>
      </w:r>
    </w:p>
    <w:p w14:paraId="5B62DF4E"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استيعاب التحول العدلي الرقمي وضبطه من داخل المهنة نفسها</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تؤكد فاطمة بلال في دراستها حول العدالة الناجزة أن وزارة العدل قطعت شوطًا كبيرًا في بناء منظومة القضاء الإلكتروني، لكن مهنة المحاماة لم تواكب هذا التحول من حيث البناء التنظيمي الداخلي. فالمحامي اليوم يعمل في بيئة رقمية بالكامل تقريبًا، من القيد في الدعاوى وحتى حضور الجلسات عن بُعد، دون أن يجد في لائحته التنفيذية ما ينظّم دوره التقني أو يحميه من تبعات الأخطاء الرقمية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إدراج فصل خاص في اللائحة التنفيذية لنظام المحاماة لن يكون مجرد إضافة شكلية، بل هو خطوة تعكس </w:t>
      </w:r>
      <w:r>
        <w:rPr>
          <w:rFonts w:asciiTheme="majorBidi" w:hAnsiTheme="majorBidi" w:cstheme="majorBidi"/>
          <w:color w:val="000000" w:themeColor="text1"/>
          <w:sz w:val="24"/>
          <w:szCs w:val="24"/>
          <w:rtl/>
        </w:rPr>
        <w:lastRenderedPageBreak/>
        <w:t>اعترافًا رسميًا بأن المهنة دخلت مرحلة جديدة هي مرحلة “المحاماة الرقمية”، وأن هذه المرحلة تحتاج إلى مدونة تنظيمية خاصة بها تحت مظلة النظام القائم، تمهيدًا لأي تطوير نظامي مستقبلي</w:t>
      </w:r>
      <w:r>
        <w:rPr>
          <w:rFonts w:asciiTheme="majorBidi" w:hAnsiTheme="majorBidi" w:cstheme="majorBidi"/>
          <w:color w:val="000000" w:themeColor="text1"/>
          <w:sz w:val="24"/>
          <w:szCs w:val="24"/>
        </w:rPr>
        <w:t>.</w:t>
      </w:r>
    </w:p>
    <w:p w14:paraId="7B1D8EE5"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تهيئة الأرضية التنظيمية للتصور المقترح في الفصول اللاحقة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من منظور منهجي مرتبط بالرسالة نفسها، فإن اقتراح فصل في اللائحة التنفيذية يمثّل خطوة وسيطة بين الإطار النظامي العام الذي عُرض في المبحث الأول، والتصور التنظيمي التفصيلي الذي سيُعرض في الفصل الخامس</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هذا الفصل المقترح هو الأداة الواقعية التي يمكن أن تُنفَّذ من خلالها توصيات الرسالة على المدى القريب، دون انتظار تعديل نظامي شامل. ولذلك، فإن التحليل العميق لفكرة إدراج هذا الفصل يدخل في صميم هدف الرسالة، لأنه يقدّم تصورًا عمليًا لكيفية ترجمة النتائج العلمية إلى آليات تنظيمية قابلة للتطبيق داخل مكاتب المحاماة وفي إطار المنظومة العدلية السعودية</w:t>
      </w:r>
      <w:r>
        <w:rPr>
          <w:rFonts w:asciiTheme="majorBidi" w:hAnsiTheme="majorBidi" w:cstheme="majorBidi"/>
          <w:color w:val="000000" w:themeColor="text1"/>
          <w:sz w:val="24"/>
          <w:szCs w:val="24"/>
        </w:rPr>
        <w:t>.</w:t>
      </w:r>
    </w:p>
    <w:p w14:paraId="37FFE60C" w14:textId="77777777" w:rsidR="00957EC0" w:rsidRDefault="00957EC0" w:rsidP="00807AA1">
      <w:pPr>
        <w:jc w:val="right"/>
        <w:rPr>
          <w:rFonts w:asciiTheme="majorBidi" w:hAnsiTheme="majorBidi" w:cstheme="majorBidi"/>
          <w:color w:val="000000" w:themeColor="text1"/>
          <w:sz w:val="24"/>
          <w:szCs w:val="24"/>
        </w:rPr>
      </w:pPr>
    </w:p>
    <w:p w14:paraId="6F2921C3"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خامسًا: غياب الإطار الرقابي المهني لاستخدام التقنية في مكاتب المحاماة</w:t>
      </w:r>
    </w:p>
    <w:p w14:paraId="18013A04"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إلى جانب القصور التشريعي في النصوص، يبرز وجه آخر من أوجه الضعف في تنظيم توظيف الذكاء الاصطناعي في مكاتب المحاماة، يتمثل في غياب إطار رقابي مهني واضح يضبط استخدام هذه التقنيات داخل الممارسة اليومية للمحامي. فالنظام السعودي يشتمل على قواعد تأديبية وأحكام عامة تتعلق بمساءلة المحامي عن الإخلال بواجباته، لكنه لا يقدّم حتى الآن نموذجًا رقابيًا متخصصًا يتعامل مع المخاطر المهنية المرتبطة بالتقنية القانونية والأنظمة الذكية</w:t>
      </w:r>
      <w:r>
        <w:rPr>
          <w:rFonts w:asciiTheme="majorBidi" w:hAnsiTheme="majorBidi" w:cstheme="majorBidi"/>
          <w:color w:val="000000" w:themeColor="text1"/>
          <w:sz w:val="24"/>
          <w:szCs w:val="24"/>
        </w:rPr>
        <w:t>.</w:t>
      </w:r>
    </w:p>
    <w:p w14:paraId="021B6ED1"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فمسؤولية المحامي التأديبية اليوم تقوم في غالبها على مفاهيم تقليدية، مثل الإخلال بواجب الأمانة، أو مخالفة أحكام النظام، أو الإضرار بالمصلحة المشروعة للموكل. غير أن هذه المفاهيم لم تُعاد صياغتها في ضوء الواقع الرقمي الجديد الذي أصبحت فيه الأخطاء التقنية، أو سوء اختيار المنصات الذكية، أو ضعف تأمين البيانات، من أبرز ما يهدد مصلحة الموكل وسمعة المهنة. ويلاحظ خالد المالكي في دراسته عن المسؤولية المدنية عن فعل الذكاء الاصطناعي أن البناء التأديبي في المهن القانونية لم يواكب بعدُ التطور التقني، وأن جزءًا كبيرًا من الأفعال الضارة التي تنشأ عن استخدام الأنظمة الذكية لا يجد وصفًا مهنيًا واضحًا يبرر المساءلة أو يحدد درجتها وخطورتها</w:t>
      </w:r>
      <w:r>
        <w:rPr>
          <w:rFonts w:asciiTheme="majorBidi" w:hAnsiTheme="majorBidi" w:cstheme="majorBidi"/>
          <w:color w:val="000000" w:themeColor="text1"/>
          <w:sz w:val="24"/>
          <w:szCs w:val="24"/>
        </w:rPr>
        <w:t>.</w:t>
      </w:r>
    </w:p>
    <w:p w14:paraId="717706B7"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أن مهنة المحاماة في المملكة، على خلاف بعض التجارب المقارنة، ما زالت تفتقر إلى كيان مهني رقابي متخصص في الجانب التقني، يتابع أنماط استخدام الذكاء الاصطناعي داخل المكاتب، ويضع أدلة إرشادية ملزمة، ويراقب التزام الممارسين بها. فالمجالس التأديبية والجهات القضائية المعنية بمساءلة المحامين تتعامل مع المخالفات بحسب ما يعرض عليها من وقائع، ومن دون أن تستند إلى معايير تقنية أو مهنية سابقة التعريف تحكم ما إذا كان استخدام نظام معين يُعد مقبولًا مهنيًا أم لا. وهذا ما حذرت منه فاطمة بلال في دراستها عن العدالة الناجزة، حين أشارت إلى أن التحول الرقمي إذا لم تصحبه رقابة مهنية واعية، قد يؤدي إلى تفاوت كبير في جودة الخدمات القانونية، بل وإلى تعميق الفجوة بين المكاتب القادرة على إدارة التقنية والمكاتب التي تستخدمها بصورة عشوائية أو غير آمنة</w:t>
      </w:r>
      <w:r>
        <w:rPr>
          <w:rFonts w:asciiTheme="majorBidi" w:hAnsiTheme="majorBidi" w:cstheme="majorBidi"/>
          <w:color w:val="000000" w:themeColor="text1"/>
          <w:sz w:val="24"/>
          <w:szCs w:val="24"/>
        </w:rPr>
        <w:t>.</w:t>
      </w:r>
    </w:p>
    <w:p w14:paraId="7E497C8F"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ويشير ياسر محمد عبد السلام رجب </w:t>
      </w:r>
      <w:r>
        <w:rPr>
          <w:rStyle w:val="af"/>
          <w:rFonts w:asciiTheme="majorBidi" w:hAnsiTheme="majorBidi" w:cstheme="majorBidi"/>
          <w:color w:val="000000" w:themeColor="text1"/>
          <w:sz w:val="24"/>
          <w:szCs w:val="24"/>
          <w:rtl/>
        </w:rPr>
        <w:footnoteReference w:id="171"/>
      </w:r>
      <w:r>
        <w:rPr>
          <w:rFonts w:asciiTheme="majorBidi" w:hAnsiTheme="majorBidi" w:cstheme="majorBidi"/>
          <w:color w:val="000000" w:themeColor="text1"/>
          <w:sz w:val="24"/>
          <w:szCs w:val="24"/>
          <w:rtl/>
        </w:rPr>
        <w:t>في دراسته المقارنة حول دور الدولة في تأطير أخلاقيات الذكاء الاصطناعي إلى أن الاقتصار على النصوص العامة، دون إنشاء آليات مهنية للحوكمة، يجعل المنظومة الأخلاقية للتقنية مجرد إعلان نوايا لا ينفذ إلى سلوك الممارسين اليومي. ويطبَّق هذا التحليل على مهنة المحاماة في السعودية؛ إذ صدرت وثائق وطنية متقدمة عن سدايا تتعلق بمبادئ أخلاقيات الذكاء الاصطناعي وحوكمة البيانات، لكنها لم تُترجم إلى لوائح مهنية داخلية تلزم مكاتب المحاماة بتبني سياسات واضحة لاستخدام الأنظمة الذكية، أو بإنشاء سجلات تقنية للأنظمة المستخدمة، أو بإخضاع هذه الأنظمة لتدقيق دوري من جهة مختصة</w:t>
      </w:r>
      <w:r>
        <w:rPr>
          <w:rFonts w:asciiTheme="majorBidi" w:hAnsiTheme="majorBidi" w:cstheme="majorBidi"/>
          <w:color w:val="000000" w:themeColor="text1"/>
          <w:sz w:val="24"/>
          <w:szCs w:val="24"/>
        </w:rPr>
        <w:t>.</w:t>
      </w:r>
    </w:p>
    <w:p w14:paraId="643C883C"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 xml:space="preserve">من جانب آخر، يبين إبراهيم العيسى </w:t>
      </w:r>
      <w:r>
        <w:rPr>
          <w:rStyle w:val="af"/>
          <w:rFonts w:asciiTheme="majorBidi" w:hAnsiTheme="majorBidi" w:cstheme="majorBidi"/>
          <w:color w:val="000000" w:themeColor="text1"/>
          <w:sz w:val="24"/>
          <w:szCs w:val="24"/>
          <w:rtl/>
        </w:rPr>
        <w:footnoteReference w:id="172"/>
      </w:r>
      <w:r>
        <w:rPr>
          <w:rFonts w:asciiTheme="majorBidi" w:hAnsiTheme="majorBidi" w:cstheme="majorBidi"/>
          <w:color w:val="000000" w:themeColor="text1"/>
          <w:sz w:val="24"/>
          <w:szCs w:val="24"/>
          <w:rtl/>
        </w:rPr>
        <w:t>في دراسته عن القواعد والإجراءات المنظمة لاستخدامات الذكاء الاصطناعي أن ترك مساحة واسعة لتقدير المحامي في اختيار أدواته التقنية، من دون معايير رقابية مهنية، قد يؤدي إلى تفاوت كبير في درجة حماية حقوق الموكلين. فمكتب يعتمد على أنظمة مؤمنة خاضعة لرقابة وطنية سيختلف في مستوى الأمان والمهنية عن مكتب آخر يستخدم منصات مجانية أو تجارية غير خاضعة لأي تدقيق أو ترخيص. ومع غياب إطار رقابي مهني، يصعب على الموكلين، بل وعلى الجهات القضائية نفسها، تقييم مدى التزام المكتب بالمعايير التقنية الملائمة، مما يضعف الشفافية في سوق الخدمات القانونية</w:t>
      </w:r>
      <w:r>
        <w:rPr>
          <w:rFonts w:asciiTheme="majorBidi" w:hAnsiTheme="majorBidi" w:cstheme="majorBidi"/>
          <w:color w:val="000000" w:themeColor="text1"/>
          <w:sz w:val="24"/>
          <w:szCs w:val="24"/>
        </w:rPr>
        <w:t>.</w:t>
      </w:r>
    </w:p>
    <w:p w14:paraId="0143639B"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ويطرح نايف بن ناشي الغنامي</w:t>
      </w:r>
      <w:r>
        <w:rPr>
          <w:rStyle w:val="af"/>
          <w:rFonts w:asciiTheme="majorBidi" w:hAnsiTheme="majorBidi" w:cstheme="majorBidi"/>
          <w:color w:val="000000" w:themeColor="text1"/>
          <w:sz w:val="24"/>
          <w:szCs w:val="24"/>
          <w:rtl/>
        </w:rPr>
        <w:footnoteReference w:id="173"/>
      </w:r>
      <w:r>
        <w:rPr>
          <w:rFonts w:asciiTheme="majorBidi" w:hAnsiTheme="majorBidi" w:cstheme="majorBidi"/>
          <w:color w:val="000000" w:themeColor="text1"/>
          <w:sz w:val="24"/>
          <w:szCs w:val="24"/>
          <w:rtl/>
        </w:rPr>
        <w:t xml:space="preserve"> في هذا السياق فكرة الإطار الرقابي المهني بوصفه خطوة مكملة للتنظيم التشريعي؛ إذ يرى أن الاكتفاء بنصوص عامة في نظام المحاماة أو في الأنظمة المكملة لا يكفي لضبط الممارسة، ما لم تُنشأ داخل المهنة نفسها آليات رقابة ولجان متخصصة قادرة على تقييم استخدام التقنية وفق معايير مهنية واضحة. ويمكن لهذا الإطار أن يتجسد في مدونة مهنية رقمية تصدر عن وزارة العدل أو هيئة المحامين السعوديين، تنص على ضوابط استخدام الذكاء الاصطناعي، ومعايير اختيار المنصات، وواجب توثيق الإجراءات التقنية، وآليات التحقيق في أي إخلال يرتبط بإساءة استخدام هذه الأدوات</w:t>
      </w:r>
      <w:r>
        <w:rPr>
          <w:rFonts w:asciiTheme="majorBidi" w:hAnsiTheme="majorBidi" w:cstheme="majorBidi"/>
          <w:color w:val="000000" w:themeColor="text1"/>
          <w:sz w:val="24"/>
          <w:szCs w:val="24"/>
        </w:rPr>
        <w:t>.</w:t>
      </w:r>
    </w:p>
    <w:p w14:paraId="1150E3D0"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بهذا المعنى، فإن غياب الإطار الرقابي المهني في مجال التقنية القانونية لا يُعد مجرد نقص تنظيمي ثانوي، بل هو عنصر أساسي يفسر جزءًا من القصور في حماية الثقة العامة في المهنة، وفي ضمان انسجام استخدام الذكاء الاصطناعي مع رسالة العدالة. ومن ثم، فإن معالجة هذا النقص تُعد ركنًا مهمًا من أركان التصور التنظيمي الذي تهدف هذه الرسالة إلى بنائه، بحيث لا يقتصر الإصلاح على تعديل النصوص أو إضافة تعريفات، بل يمتد إلى إنشاء منظومة رقابية مهنية قادرة على مواكبة سرعة التطور التقني، وضمان ألا تتحول أدوات الذكاء الاصطناعي من وسيلة لتطوير الخدمة القانونية إلى مصدر تهديد لحقوق المتقاضين وكرامة المهنة</w:t>
      </w:r>
      <w:r>
        <w:rPr>
          <w:rFonts w:asciiTheme="majorBidi" w:hAnsiTheme="majorBidi" w:cstheme="majorBidi"/>
          <w:color w:val="000000" w:themeColor="text1"/>
          <w:sz w:val="24"/>
          <w:szCs w:val="24"/>
        </w:rPr>
        <w:t>.</w:t>
      </w:r>
    </w:p>
    <w:p w14:paraId="6740665F" w14:textId="77777777" w:rsidR="00957EC0" w:rsidRDefault="00957EC0" w:rsidP="00807AA1">
      <w:pPr>
        <w:jc w:val="right"/>
        <w:rPr>
          <w:rFonts w:asciiTheme="majorBidi" w:hAnsiTheme="majorBidi" w:cstheme="majorBidi"/>
          <w:color w:val="000000" w:themeColor="text1"/>
          <w:sz w:val="24"/>
          <w:szCs w:val="24"/>
        </w:rPr>
      </w:pPr>
    </w:p>
    <w:p w14:paraId="2CA43E9D" w14:textId="77777777" w:rsidR="00957EC0" w:rsidRPr="00D41CB7" w:rsidRDefault="00957EC0" w:rsidP="00957EC0">
      <w:pPr>
        <w:jc w:val="center"/>
        <w:rPr>
          <w:rFonts w:asciiTheme="majorBidi" w:hAnsiTheme="majorBidi" w:cstheme="majorBidi"/>
          <w:b/>
          <w:bCs/>
          <w:color w:val="000000" w:themeColor="text1"/>
          <w:sz w:val="32"/>
          <w:szCs w:val="32"/>
        </w:rPr>
      </w:pPr>
      <w:r>
        <w:rPr>
          <w:rFonts w:asciiTheme="majorBidi" w:hAnsiTheme="majorBidi" w:cstheme="majorBidi" w:hint="cs"/>
          <w:b/>
          <w:bCs/>
          <w:color w:val="000000" w:themeColor="text1"/>
          <w:sz w:val="32"/>
          <w:szCs w:val="32"/>
          <w:rtl/>
        </w:rPr>
        <w:t>المطلب الثاني</w:t>
      </w:r>
    </w:p>
    <w:p w14:paraId="3402E501" w14:textId="77777777" w:rsidR="00957EC0" w:rsidRDefault="00957EC0" w:rsidP="00957EC0">
      <w:pPr>
        <w:jc w:val="center"/>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آثار غياب التنظيم على الممارسة</w:t>
      </w:r>
    </w:p>
    <w:p w14:paraId="6E181447" w14:textId="77777777" w:rsidR="003835A4" w:rsidRPr="003835A4" w:rsidRDefault="003835A4" w:rsidP="003835A4">
      <w:pPr>
        <w:jc w:val="right"/>
        <w:rPr>
          <w:rFonts w:asciiTheme="majorBidi" w:hAnsiTheme="majorBidi" w:cstheme="majorBidi"/>
          <w:b/>
          <w:bCs/>
          <w:color w:val="000000" w:themeColor="text1"/>
          <w:sz w:val="24"/>
          <w:szCs w:val="24"/>
        </w:rPr>
      </w:pPr>
      <w:r>
        <w:rPr>
          <w:rFonts w:asciiTheme="majorBidi" w:hAnsiTheme="majorBidi" w:cstheme="majorBidi"/>
          <w:color w:val="000000" w:themeColor="text1"/>
          <w:sz w:val="24"/>
          <w:szCs w:val="24"/>
          <w:rtl/>
        </w:rPr>
        <w:t>كشف الواقع المهني في مكاتب المحاماة السعودية عن أن استخدام التقنيات الذكية سبق بكثير تطور النصوص التنظيمية. فالأنظمة ما تزال تتعامل مع المهنة كما لو كانت تُمارس في بيئة ورقية تقليدية، بينما انتقلت الممارسة الفعلية إلى بيئة رقمية تعتمد على منصات إلكترونية وأدوات بحث قانوني ذكية وأنظمة إدارة قضايا ونماذج تحليل وصياغة قائمة على الذكاء الاصطناعي. وقد ألقى هذا التباين بظلاله على المسؤولية المهنية، وعلى علاقة المحامي بموكله، وعلى جودة الخدمة القانونية ذاتها</w:t>
      </w:r>
      <w:r>
        <w:rPr>
          <w:rFonts w:asciiTheme="majorBidi" w:hAnsiTheme="majorBidi" w:cstheme="majorBidi"/>
          <w:color w:val="000000" w:themeColor="text1"/>
          <w:sz w:val="24"/>
          <w:szCs w:val="24"/>
        </w:rPr>
        <w:t>.</w:t>
      </w:r>
    </w:p>
    <w:p w14:paraId="2CCEDB7C"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وقد استعرض التونسي والمعلم في بحثهما جملةً من النماذج التطبيقية لأبرز الإشكاليات التي نتجت عن غياب الإطار التنظيمي لاستخدامات الذكاء الاصطناعي، مشيرَين إلى أن هذا الغياب ألقى بظلاله على بعض الجهات في مختلف الدول. وبالنظر إلى الحالة السعودية، فإن تفاوت الممارسة في مكاتب المحاماة يُعكس بجلاء هذا الواقع، مما يستدعي تدخلًا تشريعيًا عاجلًا يُكمل التوجيهات الاسترشادية الصادرة عن سدايا بأحكام نظامية ملزمة ومتخصصة.</w:t>
      </w:r>
      <w:r>
        <w:rPr>
          <w:rStyle w:val="af"/>
          <w:rFonts w:asciiTheme="majorBidi" w:hAnsiTheme="majorBidi" w:cstheme="majorBidi"/>
          <w:sz w:val="24"/>
          <w:szCs w:val="24"/>
          <w:rtl/>
        </w:rPr>
        <w:footnoteReference w:id="174"/>
      </w:r>
    </w:p>
    <w:p w14:paraId="16C6E8E9" w14:textId="77777777" w:rsidR="003835A4" w:rsidRPr="003835A4" w:rsidRDefault="003835A4" w:rsidP="003835A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أولًا: اضطراب حدود المسؤولية المهنية في ظل الأدوات الذكية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غياب تنظيم صريح لاستخدام الذكاء الاصطناعي في مكاتب المحاماة يجعل تقدير المسؤولية المهنية مسألة معقدة. </w:t>
      </w:r>
      <w:r>
        <w:rPr>
          <w:rFonts w:asciiTheme="majorBidi" w:hAnsiTheme="majorBidi" w:cstheme="majorBidi"/>
          <w:color w:val="000000" w:themeColor="text1"/>
          <w:sz w:val="24"/>
          <w:szCs w:val="24"/>
          <w:rtl/>
        </w:rPr>
        <w:lastRenderedPageBreak/>
        <w:t>فالمحامي قد يعتمد على الأنظمة الذكية في صياغة المذكرات أو تحليل الأنظمة، غير أن النظام لا يحدد متى يكون هذا الاعتماد مشروعًا، ولا متى يتحول إلى تقصير مهني. ويبين محمد شحادة إسماعيل في دراسته حول تأثير الذكاء الاصطناعي على المهن القانونية أن الاعتماد غير المنضبط على الأدوات التقنية قد يحوّل المحامي من صاحب اجتهاد مستقل إلى “ناقل” لمخرجات النظام، مما يخلق اضطرابًا خطيرًا في تحديد المسؤولية المهنية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وتزداد الحاجة إلى تحديد الحدود بين ما يعدّ اجتهادًا شخصيًا للمحامي وما يعدّ نتيجة للأداة التقنية، لأن مسؤولية المحامي في الأنظمة السعودية تُبنى على معيار “الخطأ المهني”، وهو معيار لا يمكن ضبطه دون معرفة الجانب البشري والجانب التقني في العملية المهنية. فإذا وقع خلل في التكييف أو الاستنباط نتيجة اعتماد على أداة ذكية، يصبح من غير الواضح ما إذا كانت المسؤولية تقع على المحامي، أم على مزود التقنية، أم أن النظام نفسه لا يقدم إطارًا كافيًا لتحديد هذه المسؤولية</w:t>
      </w:r>
      <w:r>
        <w:rPr>
          <w:rFonts w:asciiTheme="majorBidi" w:hAnsiTheme="majorBidi" w:cstheme="majorBidi"/>
          <w:color w:val="000000" w:themeColor="text1"/>
          <w:sz w:val="24"/>
          <w:szCs w:val="24"/>
        </w:rPr>
        <w:t>.</w:t>
      </w:r>
    </w:p>
    <w:p w14:paraId="67E1E359" w14:textId="77777777" w:rsidR="003835A4" w:rsidRPr="003835A4" w:rsidRDefault="003835A4" w:rsidP="003835A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ثانيًا: غياب الإفصاح عن استخدام الأنظمة الذكية وتأثيره على الثقة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تؤكد الأدبيات الحديثة — ومن بينها دراسة سلسلة المعرفة القانونية — أن من أبرز المخاطر المهنية الناشئة في البيئة الرقمية هو غياب الشفافية بين المحامي وموكله بشأن طريقة إنجاز العمل القانوني. فالأنظمة الذكية كثيرًا ما تتولى إعداد مسودات أو تلخيص مستندات أو إجراء تحليل قانوني، لكن الموكل لا يعلم بذلك، ولا توجد نصوص نظامية تُلزم المحامي بالإفصاح عن استخدام هذه الأدوات أو الحصول على موافقة مسبقة عند إدخال بياناته في أنظمة معالجة ذكية</w:t>
      </w:r>
      <w:r>
        <w:rPr>
          <w:rFonts w:asciiTheme="majorBidi" w:hAnsiTheme="majorBidi" w:cstheme="majorBidi"/>
          <w:color w:val="000000" w:themeColor="text1"/>
          <w:sz w:val="24"/>
          <w:szCs w:val="24"/>
        </w:rPr>
        <w:t>.</w:t>
      </w:r>
    </w:p>
    <w:p w14:paraId="5FDBA9B8" w14:textId="77777777" w:rsidR="00B16B4E" w:rsidRDefault="00000000" w:rsidP="000D4B35">
      <w:pPr>
        <w:rPr>
          <w:rFonts w:asciiTheme="majorBidi" w:hAnsiTheme="majorBidi" w:cstheme="majorBidi"/>
          <w:sz w:val="24"/>
          <w:szCs w:val="24"/>
          <w:rtl/>
        </w:rPr>
      </w:pPr>
      <w:r>
        <w:rPr>
          <w:rFonts w:asciiTheme="majorBidi" w:hAnsiTheme="majorBidi" w:cstheme="majorBidi"/>
          <w:sz w:val="24"/>
          <w:szCs w:val="24"/>
          <w:rtl/>
        </w:rPr>
        <w:t>ويُعدّ الإفصاح عن استخدام الأنظمة الذكية التزامًا مهنيًا جوهريًا، إذ يرتبط بمبدأ الشفافية وحسن النية، ويجد سنده في نظام مكافحة الجرائم المعلوماتية الصادر بالمرسوم الملكي رقم م/17 لعام 1428هـ.</w:t>
      </w:r>
      <w:r>
        <w:rPr>
          <w:rtl/>
        </w:rPr>
        <w:footnoteReference w:id="175"/>
      </w:r>
    </w:p>
    <w:p w14:paraId="090AD043" w14:textId="77777777" w:rsidR="00B16B4E" w:rsidRDefault="00000000" w:rsidP="000D4B35">
      <w:pPr>
        <w:bidi/>
        <w:jc w:val="both"/>
        <w:rPr>
          <w:rFonts w:asciiTheme="majorBidi" w:hAnsiTheme="majorBidi" w:cstheme="majorBidi"/>
          <w:sz w:val="24"/>
          <w:szCs w:val="24"/>
          <w:rtl/>
        </w:rPr>
      </w:pPr>
      <w:r>
        <w:rPr>
          <w:rFonts w:asciiTheme="majorBidi" w:hAnsiTheme="majorBidi" w:cstheme="majorBidi"/>
          <w:sz w:val="24"/>
          <w:szCs w:val="24"/>
          <w:rtl/>
        </w:rPr>
        <w:t>وتُدعم هذه النتيجة بما أكده المالكي من أن أنظمة المسؤولية المدنية في المملكة العربية السعودية تفتقر إلى نصوص صريحة تُنظّم توزيع المسؤولية عند الأضرار الناجمة عن استخدام تقنيات الذكاء الاصطناعي في الخدمات القانونية، مما يُفضي إلى اعتماد القضاء على القياس والتفسير التوسعي للقواعد العامة، مع ما ينطوي عليه ذلك من حالة عدم يقين قانوني تضرّ باستقرار المعاملات وتُضعف الثقة في منظومة تقديم الخدمات القانونية الرقمية.</w:t>
      </w:r>
      <w:r>
        <w:rPr>
          <w:rStyle w:val="af"/>
          <w:rFonts w:asciiTheme="majorBidi" w:hAnsiTheme="majorBidi" w:cstheme="majorBidi"/>
          <w:sz w:val="24"/>
          <w:szCs w:val="24"/>
          <w:rtl/>
        </w:rPr>
        <w:footnoteReference w:id="176"/>
      </w:r>
    </w:p>
    <w:p w14:paraId="7EE45AB3" w14:textId="77777777" w:rsidR="003835A4" w:rsidRPr="003835A4" w:rsidRDefault="003835A4" w:rsidP="000D4B35">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ويؤدي هذا الغياب في النصوص إلى هشاشة واضحة في مركز الموكل، لأن الثقة في مكتب المحامي تقوم تقليديًا على افتراض أن العمل المهني يتم بواسطة اجتهاد بشري مباشر. أما في البيئة الرقمية، فقد يُبنى قرار مهم أو يُقدم رأي قانوني معتمد على مخرجات نظام تقني دون علم الموكل أو دون قدر كافٍ من الرقابة البشرية. وفي حال ترتب ضرر نتيجة خطأ تقني أو ضعف أمان المنصة، يجد الموكل نفسه دون وسيلة واضحة للاعتراض أو المساءلة</w:t>
      </w:r>
      <w:r>
        <w:rPr>
          <w:rFonts w:asciiTheme="majorBidi" w:hAnsiTheme="majorBidi" w:cstheme="majorBidi"/>
          <w:color w:val="000000" w:themeColor="text1"/>
          <w:sz w:val="24"/>
          <w:szCs w:val="24"/>
        </w:rPr>
        <w:t>.</w:t>
      </w:r>
    </w:p>
    <w:p w14:paraId="1978865B" w14:textId="77777777" w:rsidR="003835A4" w:rsidRPr="003835A4" w:rsidRDefault="003835A4" w:rsidP="000D4B35">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ويتعمق هذا الأثر السلبي عندما تتعامل مكاتب المحاماة مع قواعد بيانات حساسة تتضمن معلومات شخصية وتجارية وقضائية تُرفع أحيانًا إلى أنظمة سحابية أو منصات ذكاء اصطناعي لأغراض التحليل أو الإدارة. وتشير الدراسات — ومنها دراسة سلسلة المعرفة القانونية — إلى أن أبرز ما يهدد المهن القانونية في البيئة الرقمية هو تآكل مركز “الموثوقية المطلقة” التي تتمتع بها مكاتب المحاماة. وفي ظل غياب قواعد مهنية خاصة بالمعالجة التقنية للبيانات داخل المكاتب، قد يعتمد المحامي على منصات غير آمنة أو مجانية دون إدراك حجم المخاطر أو طبيعة الجهات التي يمكنها الوصول إلى البيانات</w:t>
      </w:r>
      <w:r>
        <w:rPr>
          <w:rFonts w:asciiTheme="majorBidi" w:hAnsiTheme="majorBidi" w:cstheme="majorBidi"/>
          <w:color w:val="000000" w:themeColor="text1"/>
          <w:sz w:val="24"/>
          <w:szCs w:val="24"/>
        </w:rPr>
        <w:t>.</w:t>
      </w:r>
    </w:p>
    <w:p w14:paraId="3FC71851" w14:textId="77777777" w:rsidR="003835A4" w:rsidRPr="003835A4" w:rsidRDefault="003835A4" w:rsidP="003835A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ومع أن نظام حماية البيانات الشخصية يضع إطارًا عامًا للحماية، فإن عدم الربط بينه وبين تنظيم مهنة المحاماة يترك الموكل دون آلية واضحة لمساءلة المحامي عن خياراته التقنية. فغياب التنظيم لا يمس فقط الجانب الفني، بل يصل إلى جوهر العلاقة المهنية، ويجعل الثقة بين المحامي وموكله أكثر هشاشة في ظل الأدوات الذكية</w:t>
      </w:r>
      <w:r>
        <w:rPr>
          <w:rFonts w:asciiTheme="majorBidi" w:hAnsiTheme="majorBidi" w:cstheme="majorBidi"/>
          <w:color w:val="000000" w:themeColor="text1"/>
          <w:sz w:val="24"/>
          <w:szCs w:val="24"/>
        </w:rPr>
        <w:t>.</w:t>
      </w:r>
    </w:p>
    <w:p w14:paraId="53FCAB4C" w14:textId="77777777" w:rsidR="003835A4" w:rsidRPr="003835A4" w:rsidRDefault="003835A4" w:rsidP="003835A4">
      <w:pPr>
        <w:jc w:val="right"/>
        <w:rPr>
          <w:rFonts w:asciiTheme="majorBidi" w:hAnsiTheme="majorBidi" w:cstheme="majorBidi"/>
          <w:color w:val="000000" w:themeColor="text1"/>
          <w:sz w:val="24"/>
          <w:szCs w:val="24"/>
          <w:rtl/>
        </w:rPr>
      </w:pPr>
    </w:p>
    <w:p w14:paraId="1F447494" w14:textId="77777777" w:rsidR="000003D3" w:rsidRPr="000003D3" w:rsidRDefault="000003D3" w:rsidP="000003D3">
      <w:pPr>
        <w:jc w:val="right"/>
        <w:rPr>
          <w:rFonts w:asciiTheme="majorBidi" w:hAnsiTheme="majorBidi" w:cstheme="majorBidi"/>
          <w:b/>
          <w:bCs/>
          <w:sz w:val="24"/>
          <w:szCs w:val="24"/>
        </w:rPr>
      </w:pPr>
      <w:r>
        <w:rPr>
          <w:rFonts w:asciiTheme="majorBidi" w:hAnsiTheme="majorBidi" w:cstheme="majorBidi"/>
          <w:b/>
          <w:bCs/>
          <w:sz w:val="24"/>
          <w:szCs w:val="24"/>
          <w:rtl/>
        </w:rPr>
        <w:t>ثالثًا: تفاوت حاد في جودة الخدمات القانونية بين المكاتب</w:t>
      </w:r>
    </w:p>
    <w:p w14:paraId="20390FCF"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ويُضيف التونسي والمعلم في بحثهما إلى هذا السياق أن انعدام قواعد اشتراطات موحدة للأدوات الذكية المستخدمة في تقديم الخدمات القانونية يُوجد فجوةً نوعيةً واضحةً بين المكاتب التي تمتلك إمكانات تقنية متقدمة وتلك التي تعمل بالأدوات التقليدية، وهو تفاوت يُلقي بظلاله على مبدأ المساواة في تلقّي الخدمة القانونية ويطرح تساؤلات جدية حول واجب المحامي تجاه موكله في ظل هذه الفجوة الرقمية.</w:t>
      </w:r>
      <w:r>
        <w:rPr>
          <w:rStyle w:val="af"/>
          <w:rFonts w:asciiTheme="majorBidi" w:hAnsiTheme="majorBidi" w:cstheme="majorBidi"/>
          <w:sz w:val="24"/>
          <w:szCs w:val="24"/>
          <w:rtl/>
        </w:rPr>
        <w:footnoteReference w:id="177"/>
      </w:r>
    </w:p>
    <w:p w14:paraId="48203AF6" w14:textId="77777777" w:rsidR="000003D3" w:rsidRPr="000003D3" w:rsidRDefault="000003D3" w:rsidP="000003D3">
      <w:pPr>
        <w:jc w:val="right"/>
        <w:rPr>
          <w:rFonts w:asciiTheme="majorBidi" w:hAnsiTheme="majorBidi" w:cstheme="majorBidi"/>
          <w:sz w:val="24"/>
          <w:szCs w:val="24"/>
        </w:rPr>
      </w:pPr>
      <w:r>
        <w:rPr>
          <w:rFonts w:asciiTheme="majorBidi" w:hAnsiTheme="majorBidi" w:cstheme="majorBidi"/>
          <w:sz w:val="24"/>
          <w:szCs w:val="24"/>
          <w:rtl/>
        </w:rPr>
        <w:t>الفراغ التنظيمي في مجال الذكاء الاصطناعي داخل مكاتب المحاماة أدى عمليًا إلى خلق بيئة تنافسية غير متوازنة. فبعض المكاتب استثمرت في أدوات ذكية متقدمة، ووضعت لها سياسات داخلية، واعتمدت فرقًا قانونية قادرة على التمييز بين المخرجات التقنية المقبولة وتلك التي تحتاج إلى مراجعة عميقة، بينما لجأت مكاتب أخرى إلى استعمال أدوات مجانية أو بدائية، أو امتنعت عن استخدام التقنية تمامًا خوفًا من المسؤولية أو الجهل بضوابطها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مجلة العدالة في بحثها حول المسؤولية عن الذكاء الاصطناعي تشير إلى أن غياب المعايير المهنية التقنية يؤدي إلى “فوضى في الجودة” داخل السوق القانوني؛ فموكلان في قضيتين متشابهتين قد يحصلان على مستوى مختلف جذريًا من الخدمة لمجرد اختلاف سياسة المكتب تجاه التقنية، لا لاختلاف في الكفاءة العلمية للمحامين</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مصطفى الأسيوطي</w:t>
      </w:r>
      <w:r>
        <w:rPr>
          <w:rStyle w:val="af"/>
          <w:rFonts w:asciiTheme="majorBidi" w:hAnsiTheme="majorBidi" w:cstheme="majorBidi"/>
          <w:sz w:val="24"/>
          <w:szCs w:val="24"/>
          <w:rtl/>
        </w:rPr>
        <w:footnoteReference w:id="178"/>
      </w:r>
      <w:r>
        <w:rPr>
          <w:rFonts w:asciiTheme="majorBidi" w:hAnsiTheme="majorBidi" w:cstheme="majorBidi"/>
          <w:sz w:val="24"/>
          <w:szCs w:val="24"/>
          <w:rtl/>
        </w:rPr>
        <w:t>، في بحثه عن حماية التصرفات القانونية وإثباتها عبر تطبيقات الذكاء الاصطناعي، يلفت النظر إلى أن المكاتب التي تحسن توظيف التقنية ضمن ضوابط منهجية تحقق جودة أعلى وسرعة أكبر في الإنجاز، لكن في غياب تنظيم مهني، قد تُتهم هذه المكاتب بالتفريط في السرية أو الاعتماد المفرط على الآلات، في حين لا يُحاسب من يستخدم التقنية بشكل عشوائي أو غير آمن. هذا التناقض يضعف فكرة المنافسة العادلة، ويجعل تطور الجودة مرتبطًا باجتهاد كل مكتب لا بإطار عام يضمن حدًا أدنى من الممارسة التقنية المسؤولة</w:t>
      </w:r>
      <w:r>
        <w:rPr>
          <w:rFonts w:asciiTheme="majorBidi" w:hAnsiTheme="majorBidi" w:cstheme="majorBidi"/>
          <w:sz w:val="24"/>
          <w:szCs w:val="24"/>
        </w:rPr>
        <w:t>.</w:t>
      </w:r>
    </w:p>
    <w:p w14:paraId="1782C324" w14:textId="77777777" w:rsidR="000003D3" w:rsidRPr="000003D3" w:rsidRDefault="000003D3" w:rsidP="000003D3">
      <w:pPr>
        <w:jc w:val="right"/>
        <w:rPr>
          <w:rFonts w:asciiTheme="majorBidi" w:hAnsiTheme="majorBidi" w:cstheme="majorBidi"/>
          <w:b/>
          <w:bCs/>
          <w:sz w:val="24"/>
          <w:szCs w:val="24"/>
        </w:rPr>
      </w:pPr>
      <w:r>
        <w:rPr>
          <w:rFonts w:asciiTheme="majorBidi" w:hAnsiTheme="majorBidi" w:cstheme="majorBidi"/>
          <w:b/>
          <w:bCs/>
          <w:sz w:val="24"/>
          <w:szCs w:val="24"/>
          <w:rtl/>
        </w:rPr>
        <w:t>رابعًا: تضارب في الممارسة بين القضاء والمكاتب بسبب غياب قواعد واضحة للأدلة الذكية</w:t>
      </w:r>
    </w:p>
    <w:p w14:paraId="0E84F268" w14:textId="77777777" w:rsidR="000003D3" w:rsidRPr="000003D3" w:rsidRDefault="000003D3" w:rsidP="000003D3">
      <w:pPr>
        <w:jc w:val="right"/>
        <w:rPr>
          <w:rFonts w:asciiTheme="majorBidi" w:hAnsiTheme="majorBidi" w:cstheme="majorBidi"/>
          <w:sz w:val="24"/>
          <w:szCs w:val="24"/>
        </w:rPr>
      </w:pPr>
      <w:r>
        <w:rPr>
          <w:rFonts w:asciiTheme="majorBidi" w:hAnsiTheme="majorBidi" w:cstheme="majorBidi"/>
          <w:sz w:val="24"/>
          <w:szCs w:val="24"/>
          <w:rtl/>
        </w:rPr>
        <w:t>المحاكم السعودية تشهد توسعًا مستمرًا في الاعتماد على الأنظمة الإلكترونية ومنصات التقاضي، لكن هذا التطور لم يُرافقه تنظيم تفصيلي لمكانة المذكرات أو التقارير أو الملخصات التي تنتج عن أنظمة الذكاء الاصطناعي داخل مكاتب المحاماة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مجلة الشريعة والقانون</w:t>
      </w:r>
      <w:r>
        <w:rPr>
          <w:rStyle w:val="af"/>
          <w:rFonts w:asciiTheme="majorBidi" w:hAnsiTheme="majorBidi" w:cstheme="majorBidi"/>
          <w:sz w:val="24"/>
          <w:szCs w:val="24"/>
          <w:rtl/>
        </w:rPr>
        <w:footnoteReference w:id="179"/>
      </w:r>
      <w:r>
        <w:rPr>
          <w:rFonts w:asciiTheme="majorBidi" w:hAnsiTheme="majorBidi" w:cstheme="majorBidi"/>
          <w:sz w:val="24"/>
          <w:szCs w:val="24"/>
          <w:rtl/>
        </w:rPr>
        <w:t xml:space="preserve"> في دراستها عن الذكاء الاصطناعي والعمل القضائي تؤكد أن القاضي أصبح يتلقى اليوم مذكرات قد أُعدت جزئيًا أو كليًا بمساعدة أدوات ذكية، دون أن يكون ملزمًا بمعيار محدد في تقييمها: هل يُعطيها ذات الوزن الذي يعطيه للمذكرة التقليدية؟ هل يطالب المحامي بالإفصاح عن طريقة إعدادها؟ هل يحق له التشكيك في دقتها بسبب مصدرها التقني؟</w:t>
      </w:r>
      <w:r>
        <w:rPr>
          <w:rFonts w:asciiTheme="majorBidi" w:hAnsiTheme="majorBidi" w:cstheme="majorBidi"/>
          <w:sz w:val="24"/>
          <w:szCs w:val="24"/>
        </w:rPr>
        <w:br/>
      </w:r>
      <w:r>
        <w:rPr>
          <w:rFonts w:asciiTheme="majorBidi" w:hAnsiTheme="majorBidi" w:cstheme="majorBidi"/>
          <w:sz w:val="24"/>
          <w:szCs w:val="24"/>
          <w:rtl/>
        </w:rPr>
        <w:t>في ظل غياب تنظيم خاص، يصبح تعامل القضاة مع هذه المخرجات رهينًا للاجتهاد الفردي؛ فبعضهم يتوجس من الاعتماد على نصوص معدة بواسطة أنظمة ذكية، فيتشدّد في تقدير حجيتها، بينما قد يقبل آخر بها ما دامت صادرة عن محامٍ مرخَّص. هذا التضارب ينعكس مباشرة على مكاتب المحاماة؛ إذ تجد نفسها أمام بيئة قضائية غير متجانسة في استقبال الأدوات الحديثة، مما يجعل الاستثمار في الذكاء الاصطناعي مخاطرة مهنية غير محسوبة في بعض الأحيان</w:t>
      </w:r>
      <w:r>
        <w:rPr>
          <w:rFonts w:asciiTheme="majorBidi" w:hAnsiTheme="majorBidi" w:cstheme="majorBidi"/>
          <w:sz w:val="24"/>
          <w:szCs w:val="24"/>
        </w:rPr>
        <w:t>.</w:t>
      </w:r>
    </w:p>
    <w:p w14:paraId="1D542759"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lastRenderedPageBreak/>
        <w:t>وفي هذا الصدد، نبّهت رسالة بالل (2023م) إلى أن غياب النص الصريح يفتح المجال لتقدير قضائي مطلق في قبول مخرجات الأنظمة الذكية أو ردّها، وهو ما يخلق تفاوتًا في معاملة المتقاضين يتعارض مع مبدأ المساواة أمام القضاء المكفول بموجب الأنظمة الأساسية للحكم في المملكة العربية السعودية.</w:t>
      </w:r>
      <w:r w:rsidRPr="00000001">
        <w:rPr>
          <w:rtl/>
        </w:rPr>
        <w:footnoteReference w:id="180"/>
      </w:r>
    </w:p>
    <w:p w14:paraId="40763136"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t>ويُسند ذلك ما أورده محمود وعناني (د.ت) من أن القضاة في المحاكم المدنية التي تستخدم الأنظمة الذكية يجدون أنفسهم أمام مفارقة منهجية: فهم يُدركون أن المذكرة المعدّة بمساعدة الذكاء الاصطناعي قد تكون أكثر استيعابًا وتوثيقًا من المذكرة التقليدية، لكنهم في الوقت ذاته يفتقرون إلى معيار نظامي يضبط طريقة قبولها وتقييمها.</w:t>
      </w:r>
      <w:r w:rsidRPr="00000001">
        <w:rPr>
          <w:rtl/>
        </w:rPr>
        <w:footnoteReference w:id="181"/>
      </w:r>
    </w:p>
    <w:p w14:paraId="114AC115" w14:textId="77777777" w:rsidR="000003D3" w:rsidRPr="000003D3" w:rsidRDefault="000003D3" w:rsidP="000003D3">
      <w:pPr>
        <w:jc w:val="right"/>
        <w:rPr>
          <w:rFonts w:asciiTheme="majorBidi" w:hAnsiTheme="majorBidi" w:cstheme="majorBidi"/>
          <w:b/>
          <w:bCs/>
          <w:sz w:val="24"/>
          <w:szCs w:val="24"/>
        </w:rPr>
      </w:pPr>
      <w:r>
        <w:rPr>
          <w:rFonts w:asciiTheme="majorBidi" w:hAnsiTheme="majorBidi" w:cstheme="majorBidi"/>
          <w:b/>
          <w:bCs/>
          <w:sz w:val="24"/>
          <w:szCs w:val="24"/>
          <w:rtl/>
        </w:rPr>
        <w:t>خامسًا: تشجيع الممارسات غير الرسمية والالتفاف على غياب التنظيم</w:t>
      </w:r>
    </w:p>
    <w:p w14:paraId="7BDDFBA5"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t>وقد رصدت دراسة إسماعيل (2025م) نمطًا متكررًا في أوساط المحامين العرب المستخدمين للذكاء الاصطناعي يتمثل في الالتفاف على الغياب التنظيمي عبر تبني ممارسات غير رسمية تعوّض النص الغائب، وهو نمط يُفضي وإن بدا عمليًا في المدى القصير إلى تضارب السوابق المهنية وانعدام معيار موحّد للجودة والمساءلة.</w:t>
      </w:r>
      <w:r w:rsidRPr="00000001">
        <w:rPr>
          <w:rtl/>
        </w:rPr>
        <w:footnoteReference w:id="182"/>
      </w:r>
    </w:p>
    <w:p w14:paraId="0E0BF1EA" w14:textId="77777777" w:rsidR="000003D3" w:rsidRPr="000003D3" w:rsidRDefault="000003D3" w:rsidP="000003D3">
      <w:pPr>
        <w:jc w:val="right"/>
        <w:rPr>
          <w:rFonts w:asciiTheme="majorBidi" w:hAnsiTheme="majorBidi" w:cstheme="majorBidi"/>
          <w:sz w:val="24"/>
          <w:szCs w:val="24"/>
        </w:rPr>
      </w:pPr>
      <w:r>
        <w:rPr>
          <w:rFonts w:asciiTheme="majorBidi" w:hAnsiTheme="majorBidi" w:cstheme="majorBidi"/>
          <w:sz w:val="24"/>
          <w:szCs w:val="24"/>
          <w:rtl/>
        </w:rPr>
        <w:t>حين لا يضع المشرّع إطارًا واضحًا لاستخدام الذكاء الاصطناعي في المهنة، تتولد تلقائيًا ممارسات غير رسمية تحاول ملء الفراغ. ففي الواقع العملي، قد يلجأ بعض المحامين إلى استخدام أدوات خارجية غير مصرّح بها، أو إلى تفويض جزء من العمل القانوني إلى أنظمة آلية دون إخبار الموكل بذلك، أو إلى الاعتماد على قوالب معدة تقنيًا وإعادة تمريرها دون مراجعة كافية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دراسة “الذكاء الاصطناعي والآثار القانونية المترتبة عن استخدامه” المنشورة في إحدى المجلات العلمية تبيّن أن غياب التنظيم لا يؤدي إلى توقف استخدام التقنية، بل إلى استخدامها في “ظل المنطقة الرمادية”، حيث لا توجد رقابة واضحة ولا شفافية كافية. وفي هذه البيئة، يصبح من الصعب على الموكل، بل وعلى الجهات الرقابية، الكشف عن مدى التزام المكتب بمعايير مهنية سليمة في توظيف الذكاء الاصطناعي</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هذه الممارسات غير الرسمية قد تتسع مع الوقت لتشكّل عرفًا تقنيًا غير مكتوب داخل المهنة، وهو أمر بالغ الخطورة؛ لأن الأعراف التي تتكون بعيدًا عن عين التنظيم والرقابة قد تكرّس أنماطًا من السلوك لا تنسجم مع رسالة العدالة، مثل تغليب السرعة على الجودة، أو التضحية بسرية البيانات في مقابل تقليل التكلفة</w:t>
      </w:r>
      <w:r>
        <w:rPr>
          <w:rFonts w:asciiTheme="majorBidi" w:hAnsiTheme="majorBidi" w:cstheme="majorBidi"/>
          <w:sz w:val="24"/>
          <w:szCs w:val="24"/>
        </w:rPr>
        <w:t>.</w:t>
      </w:r>
    </w:p>
    <w:p w14:paraId="7B4C52FB" w14:textId="77777777" w:rsidR="000003D3" w:rsidRDefault="000003D3" w:rsidP="000D4B35">
      <w:pPr>
        <w:jc w:val="right"/>
        <w:rPr>
          <w:rFonts w:asciiTheme="majorBidi" w:hAnsiTheme="majorBidi" w:cstheme="majorBidi"/>
          <w:b/>
          <w:bCs/>
          <w:sz w:val="24"/>
          <w:szCs w:val="24"/>
          <w:rtl/>
        </w:rPr>
      </w:pPr>
      <w:r>
        <w:rPr>
          <w:rFonts w:asciiTheme="majorBidi" w:hAnsiTheme="majorBidi" w:cstheme="majorBidi"/>
          <w:b/>
          <w:bCs/>
          <w:sz w:val="24"/>
          <w:szCs w:val="24"/>
          <w:rtl/>
        </w:rPr>
        <w:t>سادسًا: إضعاف ثقة المتعاملين في التحول العدلي الرقمي</w:t>
      </w:r>
    </w:p>
    <w:p w14:paraId="3A185122"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تحليل آليات استعادة الثقة المهزوزة، اقترح العجماني وسيد منظومة شفافية قضائية رقمية تُلزم الجهات القضائية بالإفصاح عن الأنظمة الذكية التي توظّفها، وتُوفر للمتقاضين ملخصاً مبسطاً عن آليات عمل هذه الأنظمة وحدودها، وتُتيح آلية للطعن في قراءة النظام إذا رأى المتقاضي أن النتيجة الخوارزمية انطوت على تحيز غير مبرر.</w:t>
      </w:r>
      <w:r w:rsidRPr="00000002">
        <w:rPr>
          <w:rtl/>
        </w:rPr>
        <w:footnoteReference w:id="183"/>
      </w:r>
    </w:p>
    <w:p w14:paraId="51ED5932"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 xml:space="preserve">وفيما يخص علاقة الثقة بالتحول العدلي الرقمي، رصد المعلم أن استطلاعات الرأي المعتمدة في عدد من الدول الخليجية تُشير إلى أن ما نسبته 60% من المتقاضين لا يعلمون باستخدام الذكاء الاصطناعي في معالجة ملفاتهم </w:t>
      </w:r>
      <w:r>
        <w:rPr>
          <w:rFonts w:asciiTheme="majorBidi" w:hAnsiTheme="majorBidi" w:cstheme="majorBidi"/>
          <w:sz w:val="24"/>
          <w:szCs w:val="24"/>
          <w:rtl/>
        </w:rPr>
        <w:lastRenderedPageBreak/>
        <w:t>القضائية، وأن هذا الجهل لا يعكس رضا بالأمر الواقع، بل مجرد انعدام الإفصاح من جهات التقاضي، وهو ما يُهدد الثقة بمنظومة العدالة حين يُكشف عنه لاحقاً.</w:t>
      </w:r>
      <w:r w:rsidRPr="00000002">
        <w:rPr>
          <w:rtl/>
        </w:rPr>
        <w:footnoteReference w:id="184"/>
      </w:r>
    </w:p>
    <w:p w14:paraId="1983B6D2" w14:textId="77777777" w:rsidR="00D57654" w:rsidRDefault="00000000" w:rsidP="000D4B35">
      <w:pPr>
        <w:rPr>
          <w:rFonts w:asciiTheme="majorBidi" w:hAnsiTheme="majorBidi" w:cstheme="majorBidi"/>
          <w:sz w:val="24"/>
          <w:szCs w:val="24"/>
          <w:rtl/>
        </w:rPr>
      </w:pPr>
      <w:r>
        <w:rPr>
          <w:rFonts w:asciiTheme="majorBidi" w:hAnsiTheme="majorBidi" w:cstheme="majorBidi"/>
          <w:sz w:val="24"/>
          <w:szCs w:val="24"/>
          <w:rtl/>
        </w:rPr>
        <w:t>وفي سياق إضعاف الثقة المرتبط بالتحول العدلي الرقمي، لفتت الجلعود إلى أن انعدام الشفافية في آليات عمل أنظمة الذكاء الاصطناعي المستخدمة في القضاء يُشكّل عائقاً نفسياً وقانونياً أمام قبول المتقاضين لمخرجاتها؛ إذ يصعب على الخصم أن يُفنّد حكماً إذا كانت المعطيات التي بُني عليها مُخفاة داخل صندوق أسود خوارزمي لا يمكن فحصه.</w:t>
      </w:r>
      <w:r w:rsidRPr="00000001">
        <w:rPr>
          <w:rtl/>
        </w:rPr>
        <w:footnoteReference w:id="185"/>
      </w:r>
    </w:p>
    <w:p w14:paraId="6D096017" w14:textId="77777777" w:rsidR="004F7A59" w:rsidRPr="004F7A59" w:rsidRDefault="004F7A59" w:rsidP="000D4B35">
      <w:pPr>
        <w:jc w:val="right"/>
        <w:rPr>
          <w:rFonts w:asciiTheme="majorBidi" w:hAnsiTheme="majorBidi" w:cstheme="majorBidi"/>
          <w:sz w:val="24"/>
          <w:szCs w:val="24"/>
        </w:rPr>
      </w:pPr>
      <w:r>
        <w:rPr>
          <w:rFonts w:asciiTheme="majorBidi" w:hAnsiTheme="majorBidi" w:cstheme="majorBidi"/>
          <w:sz w:val="24"/>
          <w:szCs w:val="24"/>
          <w:rtl/>
        </w:rPr>
        <w:t>أحد أهم أهداف التحول الرقمي في العدالة هو تعزيز ثقة الأفراد في أن البيئة الإلكترونية لا تقل أمانًا وكفاءة عن البيئة التقليدية، بل قد تتفوق عليها بفضل قدرتها على توحيد الإجراءات وتحسين جودة الخدمات وسرعة الوصول إليها. غير أن غياب تنظيم واضح لاستخدام الذكاء الاصطناعي في مكاتب المحاماة يهدد هذا الهدف من الداخل؛ إذ إن إحساس المتقاضين بأن التقنية قد تشكل خطرًا على سرية بياناتهم، أو أن المسؤولية المهنية غير واضحة عند وقوع الخطأ، أو أن جودة الخدمة تختلف باختلاف الأدوات الذكية المستخدمة، يؤدي إلى اهتزاز الثقة بالعدالة الرقمية نفسها</w:t>
      </w:r>
      <w:r>
        <w:rPr>
          <w:rFonts w:asciiTheme="majorBidi" w:hAnsiTheme="majorBidi" w:cstheme="majorBidi"/>
          <w:sz w:val="24"/>
          <w:szCs w:val="24"/>
        </w:rPr>
        <w:t>.</w:t>
      </w:r>
    </w:p>
    <w:p w14:paraId="1BB84F57" w14:textId="77777777" w:rsidR="004F7A59" w:rsidRPr="004F7A59" w:rsidRDefault="004F7A59" w:rsidP="000D4B35">
      <w:pPr>
        <w:jc w:val="right"/>
        <w:rPr>
          <w:rFonts w:asciiTheme="majorBidi" w:hAnsiTheme="majorBidi" w:cstheme="majorBidi"/>
          <w:sz w:val="24"/>
          <w:szCs w:val="24"/>
        </w:rPr>
      </w:pPr>
      <w:r>
        <w:rPr>
          <w:rFonts w:asciiTheme="majorBidi" w:hAnsiTheme="majorBidi" w:cstheme="majorBidi"/>
          <w:sz w:val="24"/>
          <w:szCs w:val="24"/>
          <w:rtl/>
        </w:rPr>
        <w:t>وتشير دراسات منشورة في مجلة العدالة وعدد من المجلات القانونية المتخصصة في الذكاء الاصطناعي إلى أن ثقة الجمهور في المهن القانونية ترتبط بوضوح معايير العمل أكثر من ارتباطها بتطور أدوات العمل. فالإنسان لا يخشى الأداة التقنية بحد ذاتها، بل يخشى استخدامًا غير منضبط أو غير خاضع للمساءلة. ومن ثم، فإن إدخال الذكاء الاصطناعي في بيئة مهنية تفتقر إلى تنظيم واضح قد يجعله عنصرًا مقلقًا بدلًا من أن يكون عنصرًا داعمًا للثقة</w:t>
      </w:r>
      <w:r>
        <w:rPr>
          <w:rFonts w:asciiTheme="majorBidi" w:hAnsiTheme="majorBidi" w:cstheme="majorBidi"/>
          <w:sz w:val="24"/>
          <w:szCs w:val="24"/>
        </w:rPr>
        <w:t>.</w:t>
      </w:r>
    </w:p>
    <w:p w14:paraId="08C86F30" w14:textId="77777777" w:rsidR="004F7A59" w:rsidRPr="004F7A59" w:rsidRDefault="004F7A59" w:rsidP="000D4B35">
      <w:pPr>
        <w:jc w:val="right"/>
        <w:rPr>
          <w:rFonts w:asciiTheme="majorBidi" w:hAnsiTheme="majorBidi" w:cstheme="majorBidi"/>
          <w:sz w:val="24"/>
          <w:szCs w:val="24"/>
        </w:rPr>
      </w:pPr>
      <w:r>
        <w:rPr>
          <w:rFonts w:asciiTheme="majorBidi" w:hAnsiTheme="majorBidi" w:cstheme="majorBidi"/>
          <w:sz w:val="24"/>
          <w:szCs w:val="24"/>
          <w:rtl/>
        </w:rPr>
        <w:t>وفي هذا السياق، تبرز الحاجة الملحّة إلى تضمين معايير الشفافية والسرية والأمان ضمن التنظيمات المهنية لمكاتب المحاماة؛ فهذه المعايير لا تُعدّ قيمًا أخلاقية فحسب، بل هي متطلبات تقنية وقانونية ضرورية لضمان ثقة المتعاملين في الأنظمة العدلية الرقمية. فالشفافية تضمن معرفة الموكل بكيفية استخدام بياناته وبالأدوات التقنية المشاركة في إنجاز عمله، والسرية تعزز حماية المعلومات الحساسة من التسرب والاستخدام غير المشروع، بينما يوفّر الأمان التقني ضمانات تمنع إساءة الاستخدام أو التلاعب بالمخرجات الذكية</w:t>
      </w:r>
      <w:r>
        <w:rPr>
          <w:rFonts w:asciiTheme="majorBidi" w:hAnsiTheme="majorBidi" w:cstheme="majorBidi"/>
          <w:sz w:val="24"/>
          <w:szCs w:val="24"/>
        </w:rPr>
        <w:t>.</w:t>
      </w:r>
    </w:p>
    <w:p w14:paraId="0C5E28DB" w14:textId="77777777" w:rsidR="004F7A59" w:rsidRPr="004F7A59" w:rsidRDefault="004F7A59" w:rsidP="000D4B35">
      <w:pPr>
        <w:jc w:val="right"/>
        <w:rPr>
          <w:rFonts w:asciiTheme="majorBidi" w:hAnsiTheme="majorBidi" w:cstheme="majorBidi"/>
          <w:b/>
          <w:bCs/>
          <w:sz w:val="24"/>
          <w:szCs w:val="24"/>
        </w:rPr>
      </w:pPr>
      <w:r>
        <w:rPr>
          <w:rFonts w:asciiTheme="majorBidi" w:hAnsiTheme="majorBidi" w:cstheme="majorBidi"/>
          <w:sz w:val="24"/>
          <w:szCs w:val="24"/>
          <w:rtl/>
        </w:rPr>
        <w:t>إن غياب هذه المعايير ضمن إطار تنظيمي واضح يؤدي إلى نتائج عملية بالغة الخطورة؛ إذ يربك معايير المسؤولية المهنية، ويضعف حماية الموكل، ويخلق تفاوتًا كبيرًا في جودة الخدمات القانونية، ويفتح الباب أمام تباين في تعامل القضاء مع المخرجات الذكية، وقد يشجع ممارسات تقنية غير رسمية تضر بالعدالة. وهذه النتائج مجتمعة تُبرز ضرورة بناء إطار نظامي ومهني شامل ينظم توظيف الذكاء الاصطناعي في مهنة المحاماة، ويرسّخ مبادئ الشفافية والسرية والأمان كمتطلبات أساسية لضمان ثقة المجتمع في العدالة الرقمية</w:t>
      </w:r>
      <w:r>
        <w:rPr>
          <w:rFonts w:asciiTheme="majorBidi" w:hAnsiTheme="majorBidi" w:cstheme="majorBidi"/>
          <w:b/>
          <w:bCs/>
          <w:sz w:val="24"/>
          <w:szCs w:val="24"/>
        </w:rPr>
        <w:t>.</w:t>
      </w:r>
    </w:p>
    <w:p w14:paraId="135217AD" w14:textId="77777777" w:rsidR="004F7A59" w:rsidRDefault="004F7A59" w:rsidP="000D4B35">
      <w:pPr>
        <w:jc w:val="right"/>
        <w:rPr>
          <w:rFonts w:asciiTheme="majorBidi" w:hAnsiTheme="majorBidi" w:cstheme="majorBidi"/>
          <w:b/>
          <w:bCs/>
          <w:sz w:val="24"/>
          <w:szCs w:val="24"/>
        </w:rPr>
      </w:pPr>
    </w:p>
    <w:p w14:paraId="4F631194" w14:textId="77777777" w:rsidR="00E82B9E" w:rsidRDefault="00E82B9E" w:rsidP="000D4B35">
      <w:pPr>
        <w:jc w:val="right"/>
        <w:rPr>
          <w:rFonts w:asciiTheme="majorBidi" w:hAnsiTheme="majorBidi" w:cstheme="majorBidi"/>
          <w:b/>
          <w:bCs/>
          <w:sz w:val="24"/>
          <w:szCs w:val="24"/>
        </w:rPr>
      </w:pPr>
    </w:p>
    <w:p w14:paraId="26A62A6B" w14:textId="77777777" w:rsidR="00E82B9E" w:rsidRPr="000003D3" w:rsidRDefault="00E82B9E" w:rsidP="000D4B35">
      <w:pPr>
        <w:jc w:val="right"/>
        <w:rPr>
          <w:rFonts w:asciiTheme="majorBidi" w:hAnsiTheme="majorBidi" w:cstheme="majorBidi"/>
          <w:b/>
          <w:bCs/>
          <w:sz w:val="24"/>
          <w:szCs w:val="24"/>
        </w:rPr>
      </w:pPr>
    </w:p>
    <w:p w14:paraId="4FB60191" w14:textId="77777777" w:rsidR="00E82B9E" w:rsidRPr="00E82B9E" w:rsidRDefault="00E82B9E" w:rsidP="000D4B35">
      <w:pPr>
        <w:jc w:val="right"/>
        <w:rPr>
          <w:rFonts w:asciiTheme="majorBidi" w:hAnsiTheme="majorBidi" w:cstheme="majorBidi"/>
          <w:sz w:val="24"/>
          <w:szCs w:val="24"/>
        </w:rPr>
      </w:pPr>
      <w:r>
        <w:rPr>
          <w:rFonts w:asciiTheme="majorBidi" w:hAnsiTheme="majorBidi" w:cstheme="majorBidi"/>
          <w:b/>
          <w:bCs/>
          <w:sz w:val="24"/>
          <w:szCs w:val="24"/>
          <w:rtl/>
        </w:rPr>
        <w:t>وخلاصة ما أسفر عنه هذا المبحث،</w:t>
      </w:r>
      <w:r>
        <w:rPr>
          <w:rFonts w:asciiTheme="majorBidi" w:hAnsiTheme="majorBidi" w:cstheme="majorBidi"/>
          <w:sz w:val="24"/>
          <w:szCs w:val="24"/>
          <w:rtl/>
        </w:rPr>
        <w:t xml:space="preserve"> يتبيّن من خلال التحليل المتعمق لنصوص نظام المحاماة والأنظمة المكملة له، مقرونًا بدراسة واقع الممارسة في مكاتب المحاماة السعودية، أن المنظومة النظامية الحالية ما زالت تُدار بذهنية تشريعية سابقة للتحول الرقمي، في حين أن الممارسة المهنية قد تجاوزت هذا الإطار ودخلت مرحلة جديدة تقوم على الأدوات الذكية، والمنصات الرقمية، والتحليل التقني للمعلومات القانونية. ويُعد هذا التباين بين </w:t>
      </w:r>
      <w:r>
        <w:rPr>
          <w:rFonts w:asciiTheme="majorBidi" w:hAnsiTheme="majorBidi" w:cstheme="majorBidi"/>
          <w:sz w:val="24"/>
          <w:szCs w:val="24"/>
          <w:rtl/>
        </w:rPr>
        <w:lastRenderedPageBreak/>
        <w:t>النص النظامي والواقع العملي جوهر الفجوة التنظيمية التي تناولها هذا المبحث، إذ أصبح الواقع المهني يتحرك بوتيرة أسرع من قدرة النصوص القائمة على الاستيعاب والتنظيم</w:t>
      </w:r>
      <w:r>
        <w:rPr>
          <w:rFonts w:asciiTheme="majorBidi" w:hAnsiTheme="majorBidi" w:cstheme="majorBidi"/>
          <w:sz w:val="24"/>
          <w:szCs w:val="24"/>
        </w:rPr>
        <w:t>.</w:t>
      </w:r>
    </w:p>
    <w:p w14:paraId="14670872" w14:textId="77777777" w:rsidR="00D57654" w:rsidRDefault="00000000" w:rsidP="000D4B35">
      <w:pPr>
        <w:rPr>
          <w:rFonts w:asciiTheme="majorBidi" w:hAnsiTheme="majorBidi" w:cstheme="majorBidi"/>
          <w:sz w:val="24"/>
          <w:szCs w:val="24"/>
          <w:rtl/>
        </w:rPr>
      </w:pPr>
      <w:r>
        <w:rPr>
          <w:rFonts w:asciiTheme="majorBidi" w:hAnsiTheme="majorBidi" w:cstheme="majorBidi"/>
          <w:sz w:val="24"/>
          <w:szCs w:val="24"/>
          <w:rtl/>
        </w:rPr>
        <w:t>وخلاصةً لما أسفر عنه هذا المبحث، يرى العرشاني أن منظومة الذكاء الاصطناعي القضائي تحتاج في المرحلة الراهنة إلى مقاربة ثلاثية الأبعاد: بُعد التشريع التدريجي الذي يُواكب التطور التقني، وبُعد التأهيل المهني الذي يُكسب القضاة والمحامين والمتقاضين الوعي الكافي، وبُعد التقييم المستقل الدوري الذي يُخضع الأنظمة الذكية المستخدمة لمراجعة موضوعية منتظمة.</w:t>
      </w:r>
      <w:r w:rsidRPr="00000002">
        <w:rPr>
          <w:rtl/>
        </w:rPr>
        <w:footnoteReference w:id="186"/>
      </w:r>
    </w:p>
    <w:p w14:paraId="4FBBBF0D" w14:textId="77777777" w:rsidR="00D57654" w:rsidRDefault="00000000" w:rsidP="000D4B35">
      <w:pPr>
        <w:rPr>
          <w:rFonts w:asciiTheme="majorBidi" w:hAnsiTheme="majorBidi" w:cstheme="majorBidi"/>
          <w:sz w:val="24"/>
          <w:szCs w:val="24"/>
          <w:rtl/>
        </w:rPr>
      </w:pPr>
      <w:r>
        <w:rPr>
          <w:rFonts w:asciiTheme="majorBidi" w:hAnsiTheme="majorBidi" w:cstheme="majorBidi"/>
          <w:sz w:val="24"/>
          <w:szCs w:val="24"/>
          <w:rtl/>
        </w:rPr>
        <w:t>وخلاصةً لمحاور هذا المبحث، أكد الشراري أن غياب منظومة تشريعية متسقة في مسألة الذكاء الاصطناعي القانوني يُولّد ثلاثة مخاطر متداخلة: خطر التحيز في المعالجة الآلية، وخطر انعدام المساءلة عن أخطاء النظام، وخطر التمييز غير المقصود في الخدمات القانونية حين تُعتمد نماذج غير محايدة في التصنيف والتنبؤ، وأن التشريع الفعّال هو وحده الكفيل بمعالجة هذه المخاطر الثلاثة بصورة منهجية.</w:t>
      </w:r>
      <w:r w:rsidRPr="00000001">
        <w:rPr>
          <w:rtl/>
        </w:rPr>
        <w:footnoteReference w:id="187"/>
      </w:r>
    </w:p>
    <w:p w14:paraId="709D340E" w14:textId="77777777" w:rsidR="00E82B9E" w:rsidRPr="00E82B9E" w:rsidRDefault="00E82B9E" w:rsidP="000D4B35">
      <w:pPr>
        <w:jc w:val="right"/>
        <w:rPr>
          <w:rFonts w:asciiTheme="majorBidi" w:hAnsiTheme="majorBidi" w:cstheme="majorBidi"/>
          <w:sz w:val="24"/>
          <w:szCs w:val="24"/>
        </w:rPr>
      </w:pPr>
      <w:r>
        <w:rPr>
          <w:rFonts w:asciiTheme="majorBidi" w:hAnsiTheme="majorBidi" w:cstheme="majorBidi"/>
          <w:b/>
          <w:bCs/>
          <w:sz w:val="24"/>
          <w:szCs w:val="24"/>
          <w:rtl/>
        </w:rPr>
        <w:t>وقد أظهر التحليل في هذا السياق</w:t>
      </w:r>
      <w:r>
        <w:rPr>
          <w:rFonts w:asciiTheme="majorBidi" w:hAnsiTheme="majorBidi" w:cstheme="majorBidi"/>
          <w:sz w:val="24"/>
          <w:szCs w:val="24"/>
          <w:rtl/>
        </w:rPr>
        <w:t xml:space="preserve"> أن نظام المحاماة السعودي، رغم صلابته في تنظيم الجوانب التقليدية للمهنة، لم يواكب التطور التقني من حيث المفاهيم والنصوص، إذ ما زال ينظر إلى المحامي بوصفه فاعلًا بشريًا محضًا، ويفترض أن أدواته مادية وتقليدية، دون إدراج أي تعريف أو تنظيم للأدوات الذكية التي أصبحت اليوم عنصرًا جوهريًا في العمل القانوني. وقد أفضى هذا الصمت التشريعي إلى غموض مفاهيمي واسع، تمثل في عدم وضوح طبيعة الأنظمة الذكية المستخدمة في الممارسة المهنية، ومركزها القانوني، وحدود مسؤوليتها عند وقوع الخطأ، فضلًا عن ضعف الربط المؤسسي بين الأنظمة ذات العلاقة، مثل نظام حماية البيانات الشخصية، ونظام مكافحة الجرائم المعلوماتية، ونظام المعاملات المدنية، بما يحقق التكامل المطلوب في تنظيم الذكاء الاصطناعي المهني. ونتيجة لذلك، تجاوزت الممارسة النص، فأصبح المحامي يوظف أدوات الذكاء الاصطناعي في البحث والتحليل والصياغة، في ظل غياب إطار نظامي يضبط هذا الاستخدام أو يوجهه</w:t>
      </w:r>
      <w:r>
        <w:rPr>
          <w:rFonts w:asciiTheme="majorBidi" w:hAnsiTheme="majorBidi" w:cstheme="majorBidi"/>
          <w:sz w:val="24"/>
          <w:szCs w:val="24"/>
        </w:rPr>
        <w:t>.</w:t>
      </w:r>
    </w:p>
    <w:p w14:paraId="59E2F139" w14:textId="77777777" w:rsidR="00D57654" w:rsidRDefault="00000000" w:rsidP="000D4B35">
      <w:pPr>
        <w:rPr>
          <w:rFonts w:asciiTheme="majorBidi" w:hAnsiTheme="majorBidi" w:cstheme="majorBidi"/>
          <w:sz w:val="24"/>
          <w:szCs w:val="24"/>
          <w:rtl/>
        </w:rPr>
      </w:pPr>
      <w:r>
        <w:rPr>
          <w:rFonts w:asciiTheme="majorBidi" w:hAnsiTheme="majorBidi" w:cstheme="majorBidi"/>
          <w:sz w:val="24"/>
          <w:szCs w:val="24"/>
          <w:rtl/>
        </w:rPr>
        <w:t>وفي سياق التحليل الاجتماعي والنفسي، كشفت عبد الرحمن أن مفهوم الثقة في العدالة الرقمية ينقسم إلى بُعدين: ثقة إجرائية تتعلق بنزاهة الإجراءات وشفافيتها، وثقة نتيجية تتعلق بعدالة الأحكام الصادرة، مُشيرةً إلى أن الذكاء الاصطناعي قد يُعزز الثقة الإجرائية بفضل الاتساق والسرعة، لكنه قد يُضعف الثقة النتيجية إذا أُسيئ توظيفه أو أفرز تحيزات نظامية.</w:t>
      </w:r>
      <w:r w:rsidRPr="00000002">
        <w:rPr>
          <w:rtl/>
        </w:rPr>
        <w:footnoteReference w:id="188"/>
      </w:r>
    </w:p>
    <w:p w14:paraId="724D0686" w14:textId="77777777" w:rsidR="00D57654" w:rsidRDefault="00000000" w:rsidP="000D4B35">
      <w:pPr>
        <w:rPr>
          <w:rFonts w:asciiTheme="majorBidi" w:hAnsiTheme="majorBidi" w:cstheme="majorBidi"/>
          <w:sz w:val="24"/>
          <w:szCs w:val="24"/>
          <w:rtl/>
        </w:rPr>
      </w:pPr>
      <w:r>
        <w:rPr>
          <w:rFonts w:asciiTheme="majorBidi" w:hAnsiTheme="majorBidi" w:cstheme="majorBidi"/>
          <w:sz w:val="24"/>
          <w:szCs w:val="24"/>
          <w:rtl/>
        </w:rPr>
        <w:t>وقد أظهر التحليل الميداني المقارن الذي أجراه العطار والنوايسة أن الدول التي أفصحت مبكراً عن توظيف الذكاء الاصطناعي في منظومتها القضائية واجهت مقاومة شعبية أولية تلاشت تدريجياً حين لمس المتقاضون تحسناً فعلياً في سرعة البت بالقضايا وعدالة توزيع المواعيد، مما يُشير إلى أن الشفافية والنتائج الملموسة هما الكفيلان ببناء ثقة مستدامة في العدالة الرقمية.</w:t>
      </w:r>
      <w:r w:rsidRPr="00000002">
        <w:rPr>
          <w:rtl/>
        </w:rPr>
        <w:footnoteReference w:id="189"/>
      </w:r>
    </w:p>
    <w:p w14:paraId="10003553" w14:textId="77777777" w:rsidR="00D57654" w:rsidRDefault="00000000" w:rsidP="000D4B35">
      <w:pPr>
        <w:rPr>
          <w:rFonts w:asciiTheme="majorBidi" w:hAnsiTheme="majorBidi" w:cstheme="majorBidi"/>
          <w:sz w:val="24"/>
          <w:szCs w:val="24"/>
          <w:rtl/>
        </w:rPr>
      </w:pPr>
      <w:r>
        <w:rPr>
          <w:rFonts w:asciiTheme="majorBidi" w:hAnsiTheme="majorBidi" w:cstheme="majorBidi"/>
          <w:sz w:val="24"/>
          <w:szCs w:val="24"/>
          <w:rtl/>
        </w:rPr>
        <w:t xml:space="preserve">وقد أظهر تحليل الأمين في هذا السياق أن مسار بناء الثقة في منظومة العدالة الرقمية يمر بثلاث محطات أساسية: محطة التشريع التي تُرسي حقوق المتقاضين إزاء استخدام الذكاء الاصطناعي، ومحطة التدريب التي </w:t>
      </w:r>
      <w:r>
        <w:rPr>
          <w:rFonts w:asciiTheme="majorBidi" w:hAnsiTheme="majorBidi" w:cstheme="majorBidi"/>
          <w:sz w:val="24"/>
          <w:szCs w:val="24"/>
          <w:rtl/>
        </w:rPr>
        <w:lastRenderedPageBreak/>
        <w:t>تُؤهّل القضاة والمحامين لتقييم مخرجاته ونقدها، ومحطة التقييم المستقل التي تُخضع هذه الأنظمة لمراجعات دورية من جهات محايدة قبل توسيع نطاق تطبيقها.</w:t>
      </w:r>
      <w:r w:rsidRPr="00000001">
        <w:rPr>
          <w:rtl/>
        </w:rPr>
        <w:footnoteReference w:id="190"/>
      </w:r>
    </w:p>
    <w:p w14:paraId="730A6154" w14:textId="77777777" w:rsidR="00E82B9E" w:rsidRPr="00E82B9E" w:rsidRDefault="00E82B9E" w:rsidP="000D4B35">
      <w:pPr>
        <w:jc w:val="right"/>
        <w:rPr>
          <w:rFonts w:asciiTheme="majorBidi" w:hAnsiTheme="majorBidi" w:cstheme="majorBidi"/>
          <w:sz w:val="24"/>
          <w:szCs w:val="24"/>
        </w:rPr>
      </w:pPr>
      <w:r>
        <w:rPr>
          <w:rFonts w:asciiTheme="majorBidi" w:hAnsiTheme="majorBidi" w:cstheme="majorBidi"/>
          <w:b/>
          <w:bCs/>
          <w:sz w:val="24"/>
          <w:szCs w:val="24"/>
          <w:rtl/>
        </w:rPr>
        <w:t>كما كشف هذا المبحث</w:t>
      </w:r>
      <w:r>
        <w:rPr>
          <w:rFonts w:asciiTheme="majorBidi" w:hAnsiTheme="majorBidi" w:cstheme="majorBidi"/>
          <w:sz w:val="24"/>
          <w:szCs w:val="24"/>
          <w:rtl/>
        </w:rPr>
        <w:t xml:space="preserve"> عن الآثار العملية المباشرة لهذا القصور على واقع الممارسة اليومية في مكاتب المحاماة، إذ انعكس غياب التنظيم على اضطراب معايير المسؤولية المهنية، فلم يعد من الواضح متى يكون الخطأ ناتجًا عن إهمال بشري، ومتى يكون نتيجة خلل تقني، ومن يتحمل تبعاته النظامية. وامتد هذا الأثر إلى ضعف حماية الموكلين وبياناتهم في ظل توسع المعالجة الرقمية دون ضوابط مهنية واضحة، الأمر الذي أضعف مركز الثقة بين الموكل ومكتبه القانوني. كما ظهر التفاوت في جودة الخدمات القانونية بين المكاتب تبعًا لاختلاف وعيها بالتقنيات أو حذرها منها، إلى جانب تضارب تعامل الجهات القضائية مع المخرجات الذكية في غياب إطار يحدد حجيتها وموقعها في منظومة الإثبات، وهو ما أفضى إلى بروز ممارسات تقنية غير رسمية تفتقر إلى الرقابة والشفافية، وأثّر سلبًا في صورة العدالة الرقمية وثقة المتعاملين بها</w:t>
      </w:r>
      <w:r>
        <w:rPr>
          <w:rFonts w:asciiTheme="majorBidi" w:hAnsiTheme="majorBidi" w:cstheme="majorBidi"/>
          <w:sz w:val="24"/>
          <w:szCs w:val="24"/>
        </w:rPr>
        <w:t>.</w:t>
      </w:r>
    </w:p>
    <w:p w14:paraId="7044CBD9" w14:textId="77777777" w:rsidR="00E82B9E" w:rsidRPr="00E82B9E" w:rsidRDefault="00E82B9E" w:rsidP="000D4B35">
      <w:pPr>
        <w:jc w:val="right"/>
        <w:rPr>
          <w:rFonts w:asciiTheme="majorBidi" w:hAnsiTheme="majorBidi" w:cstheme="majorBidi"/>
          <w:sz w:val="24"/>
          <w:szCs w:val="24"/>
        </w:rPr>
      </w:pPr>
      <w:r>
        <w:rPr>
          <w:rFonts w:asciiTheme="majorBidi" w:hAnsiTheme="majorBidi" w:cstheme="majorBidi"/>
          <w:b/>
          <w:bCs/>
          <w:sz w:val="24"/>
          <w:szCs w:val="24"/>
          <w:rtl/>
        </w:rPr>
        <w:t>ويُستخلص مما سبق</w:t>
      </w:r>
      <w:r>
        <w:rPr>
          <w:rFonts w:asciiTheme="majorBidi" w:hAnsiTheme="majorBidi" w:cstheme="majorBidi"/>
          <w:sz w:val="24"/>
          <w:szCs w:val="24"/>
          <w:rtl/>
        </w:rPr>
        <w:t xml:space="preserve"> أن الفجوة التنظيمية محل الدراسة لا تقتصر على قصور النصوص النظامية فحسب، بل تمثل ظاهرة مركبة ذات أبعاد تشريعية ومؤسسية ومهنية، تجمع بين صمت النظام، وغموض المفاهيم، وتعدد المرجعيات، وغياب الرقابة المتخصصة، وتراخي الأطر الأخلاقية في ضبط الممارسة التقنية. وقد أدت هذه العوامل مجتمعة إلى ممارسة مهنة المحاماة للتحول التقني دون مظلة نظامية واضحة، بما يعرّضها لمخاطر قانونية ومهنية ويقوّض مبادئ الثقة والعدالة التي تقوم عليها المهنة</w:t>
      </w:r>
      <w:r>
        <w:rPr>
          <w:rFonts w:asciiTheme="majorBidi" w:hAnsiTheme="majorBidi" w:cstheme="majorBidi"/>
          <w:sz w:val="24"/>
          <w:szCs w:val="24"/>
        </w:rPr>
        <w:t>.</w:t>
      </w:r>
    </w:p>
    <w:p w14:paraId="1A4D393F" w14:textId="77777777" w:rsidR="00E82B9E" w:rsidRPr="00E82B9E" w:rsidRDefault="00E82B9E" w:rsidP="000D4B35">
      <w:pPr>
        <w:jc w:val="right"/>
        <w:rPr>
          <w:rFonts w:asciiTheme="majorBidi" w:hAnsiTheme="majorBidi" w:cstheme="majorBidi"/>
          <w:sz w:val="24"/>
          <w:szCs w:val="24"/>
        </w:rPr>
      </w:pPr>
      <w:r>
        <w:rPr>
          <w:rFonts w:asciiTheme="majorBidi" w:hAnsiTheme="majorBidi" w:cstheme="majorBidi"/>
          <w:b/>
          <w:bCs/>
          <w:sz w:val="24"/>
          <w:szCs w:val="24"/>
          <w:rtl/>
        </w:rPr>
        <w:t>ومن ثمّ،</w:t>
      </w:r>
      <w:r>
        <w:rPr>
          <w:rFonts w:asciiTheme="majorBidi" w:hAnsiTheme="majorBidi" w:cstheme="majorBidi"/>
          <w:sz w:val="24"/>
          <w:szCs w:val="24"/>
          <w:rtl/>
        </w:rPr>
        <w:t xml:space="preserve"> فإن تجاوز هذه الفجوة يتطلب تبنّي رؤية إصلاحية متكاملة تجمع بين تطوير النصوص النظامية، وتعزيز دور اللوائح التنفيذية، وإنشاء أطر رقابية مهنية متخصصة، وصياغة تعريفات دقيقة للتقنيات القانونية ومخرجات الذكاء الاصطناعي، بما يفضي إلى بناء بيئة تشريعية ومؤسسية قادرة على استيعاب الممارسة الرقمية الحديثة. وعلى هذا الأساس، تمثّل نتائج هذا المبحث قاعدة منهجية للانتقال في الفصول اللاحقة إلى دراسة التكييف النظامي والفقهي للمخرجات الذكية، ثم تقديم التصور التنظيمي المقترح، بما يضمن الانتقال من مرحلة القصور التشريعي إلى مرحلة التنظيم الواعي للتحول التقني في مهنة المحاماة</w:t>
      </w:r>
      <w:r>
        <w:rPr>
          <w:rFonts w:asciiTheme="majorBidi" w:hAnsiTheme="majorBidi" w:cstheme="majorBidi"/>
          <w:sz w:val="24"/>
          <w:szCs w:val="24"/>
        </w:rPr>
        <w:t>.</w:t>
      </w:r>
    </w:p>
    <w:p w14:paraId="1F99F1A4" w14:textId="77777777" w:rsidR="000003D3" w:rsidRPr="000003D3" w:rsidRDefault="000003D3" w:rsidP="000D4B35">
      <w:pPr>
        <w:jc w:val="right"/>
        <w:rPr>
          <w:rFonts w:asciiTheme="majorBidi" w:hAnsiTheme="majorBidi" w:cstheme="majorBidi"/>
          <w:sz w:val="24"/>
          <w:szCs w:val="24"/>
        </w:rPr>
      </w:pPr>
    </w:p>
    <w:p w14:paraId="6FD7EC8E" w14:textId="77777777" w:rsidR="00E82B9E" w:rsidRPr="00E82B9E" w:rsidRDefault="00E82B9E" w:rsidP="000D4B35">
      <w:pPr>
        <w:jc w:val="right"/>
        <w:rPr>
          <w:rFonts w:asciiTheme="majorBidi" w:hAnsiTheme="majorBidi" w:cstheme="majorBidi"/>
          <w:b/>
          <w:bCs/>
          <w:sz w:val="24"/>
          <w:szCs w:val="24"/>
        </w:rPr>
      </w:pPr>
      <w:r>
        <w:rPr>
          <w:rFonts w:asciiTheme="majorBidi" w:hAnsiTheme="majorBidi" w:cstheme="majorBidi"/>
          <w:b/>
          <w:bCs/>
          <w:sz w:val="24"/>
          <w:szCs w:val="24"/>
          <w:rtl/>
        </w:rPr>
        <w:t>وفي ضوء ما تضمّنه هذا الفصل من تحليل، يتبيّن أن الإطار النظامي لمهنة المحاماة في المملكة العربية السعودية يقف اليوم على مفترق طرق بين الماضي الورقي والمستقبل الرقمي. فالنظام الذي وُضع في بدايات القرن الحالي استطاع أن يرسّخ الأسس القانونية التقليدية للمهنة من حيث الترخيص والممارسة والمسؤولية، إلا أنه لم يُبنَ على تصورٍ يستوعب التحول التقني والذكاء الاصطناعي الذي أصبح عنصرًا حتميًا في بيئة العدالة الحديثة. وقد أسفر ذلك عن بروز فجوة واضحة بين النصوص النظامية الثابتة والممارسات المهنية المتطورة التي باتت تعتمد على أدوات رقمية وأنظمة ذكية في التحليل والصياغة وإدارة القضايا</w:t>
      </w:r>
      <w:r>
        <w:rPr>
          <w:rFonts w:asciiTheme="majorBidi" w:hAnsiTheme="majorBidi" w:cstheme="majorBidi"/>
          <w:b/>
          <w:bCs/>
          <w:sz w:val="24"/>
          <w:szCs w:val="24"/>
        </w:rPr>
        <w:t>.</w:t>
      </w:r>
    </w:p>
    <w:p w14:paraId="499AE478" w14:textId="77777777" w:rsidR="00E82B9E" w:rsidRPr="00E82B9E" w:rsidRDefault="00E82B9E" w:rsidP="000D4B35">
      <w:pPr>
        <w:jc w:val="right"/>
        <w:rPr>
          <w:rFonts w:asciiTheme="majorBidi" w:hAnsiTheme="majorBidi" w:cstheme="majorBidi"/>
          <w:b/>
          <w:bCs/>
          <w:sz w:val="24"/>
          <w:szCs w:val="24"/>
        </w:rPr>
      </w:pPr>
      <w:r>
        <w:rPr>
          <w:rFonts w:asciiTheme="majorBidi" w:hAnsiTheme="majorBidi" w:cstheme="majorBidi"/>
          <w:b/>
          <w:bCs/>
          <w:sz w:val="24"/>
          <w:szCs w:val="24"/>
          <w:rtl/>
        </w:rPr>
        <w:t>وقد أظهر الفصل، من خلال مبحثيه، أن الأنظمة ذات العلاقة بمهنة المحاماة – كأنظمة حماية البيانات الشخصية، والإثبات، والمعاملات المدنية، والإجراءات الجزائية، والتعاملات الإلكترونية – وفّرت إطارًا عامًا يدعم التحول العدلي الرقمي، إلا أنها لم تتضمّن بعد أحكامًا تفصيلية تضبط العلاقة بين المحامي والتقنية الذكية، ولا تحدد على نحو دقيق حدود استخدام الأدوات الرقمية في الممارسة القانونية. وفي المقابل، كشف التحليل أن هذا القصور التشريعي لم يظل حبيس النصوص، بل انعكس عمليًا على واقع مكاتب المحاماة، من حيث تضارب المسؤوليات المهنية، وتفاوت جودة الخدمات القانونية، وضعف الحماية النظامية للبيانات، وتراجع مستوى الثقة في المخرجات التقنية داخل بيئة العدالة</w:t>
      </w:r>
      <w:r>
        <w:rPr>
          <w:rFonts w:asciiTheme="majorBidi" w:hAnsiTheme="majorBidi" w:cstheme="majorBidi"/>
          <w:b/>
          <w:bCs/>
          <w:sz w:val="24"/>
          <w:szCs w:val="24"/>
        </w:rPr>
        <w:t>.</w:t>
      </w:r>
    </w:p>
    <w:p w14:paraId="563BA430" w14:textId="77777777" w:rsidR="00C41E32" w:rsidRDefault="00000000" w:rsidP="000D4B35">
      <w:pPr>
        <w:bidi/>
        <w:jc w:val="both"/>
        <w:rPr>
          <w:rFonts w:asciiTheme="majorBidi" w:hAnsiTheme="majorBidi" w:cstheme="majorBidi"/>
          <w:sz w:val="24"/>
          <w:szCs w:val="24"/>
          <w:rtl/>
        </w:rPr>
      </w:pPr>
      <w:r>
        <w:rPr>
          <w:rFonts w:asciiTheme="majorBidi" w:hAnsiTheme="majorBidi" w:cstheme="majorBidi"/>
          <w:sz w:val="24"/>
          <w:szCs w:val="24"/>
          <w:rtl/>
        </w:rPr>
        <w:t xml:space="preserve">وفي تأكيد نتائج هذا التحليل، خلص المالكي إلى أن المنظومة القانونية السعودية تفتقر إلى نصوص صريحة تُبيّن أحكام الضرر الناجم عن استخدام الذكاء الاصطناعي، وتُنظّم توزيع المسؤولية بين مطورّ التقنية ومستخدمها </w:t>
      </w:r>
      <w:r>
        <w:rPr>
          <w:rFonts w:asciiTheme="majorBidi" w:hAnsiTheme="majorBidi" w:cstheme="majorBidi"/>
          <w:sz w:val="24"/>
          <w:szCs w:val="24"/>
          <w:rtl/>
        </w:rPr>
        <w:lastRenderedPageBreak/>
        <w:t>المهني، وهو فراغ تشريعي يجعل القضاء مُضطرًا إلى اللجوء إلى القواعد العامة للمسؤولية المدنية والتفسير القياسي، في غياب نص خاص يُعالج هذه الإشكالية بدقة وتفصيل.</w:t>
      </w:r>
      <w:r>
        <w:rPr>
          <w:rStyle w:val="af"/>
          <w:rFonts w:asciiTheme="majorBidi" w:hAnsiTheme="majorBidi" w:cstheme="majorBidi"/>
          <w:sz w:val="24"/>
          <w:szCs w:val="24"/>
          <w:rtl/>
        </w:rPr>
        <w:footnoteReference w:id="191"/>
      </w:r>
    </w:p>
    <w:p w14:paraId="4916A20C" w14:textId="77777777" w:rsidR="00E82B9E" w:rsidRPr="00E82B9E" w:rsidRDefault="00E82B9E" w:rsidP="00E82B9E">
      <w:pPr>
        <w:jc w:val="right"/>
        <w:rPr>
          <w:rFonts w:asciiTheme="majorBidi" w:hAnsiTheme="majorBidi" w:cstheme="majorBidi"/>
          <w:b/>
          <w:bCs/>
          <w:sz w:val="24"/>
          <w:szCs w:val="24"/>
        </w:rPr>
      </w:pPr>
      <w:r>
        <w:rPr>
          <w:rFonts w:asciiTheme="majorBidi" w:hAnsiTheme="majorBidi" w:cstheme="majorBidi"/>
          <w:b/>
          <w:bCs/>
          <w:sz w:val="24"/>
          <w:szCs w:val="24"/>
          <w:rtl/>
        </w:rPr>
        <w:t>ويُستفاد مما سبق أن مهنة المحاماة في المملكة تمر بمرحلة انتقالية دقيقة؛ فهي من جهة تستفيد من التحول الرقمي الذي تقوده الدولة ضمن رؤية المملكة 2030، ومن جهة أخرى تفتقر إلى تنظيم مهني دقيق يضمن أن يكون هذا التحول منضبطًا بالقواعد القانونية والأخلاقية للمهنة. فالنظام القائم، وإن كان متينًا في ضبط السلوك المهني التقليدي، إلا أنه بحاجة إلى تحديث يعيد صياغة مفاهيم الممارسة القانونية بما يستوعب أدوات الذكاء الاصطناعي بوصفها امتدادًا للاجتهاد البشري، لا بديلًا عنه</w:t>
      </w:r>
      <w:r>
        <w:rPr>
          <w:rFonts w:asciiTheme="majorBidi" w:hAnsiTheme="majorBidi" w:cstheme="majorBidi"/>
          <w:b/>
          <w:bCs/>
          <w:sz w:val="24"/>
          <w:szCs w:val="24"/>
        </w:rPr>
        <w:t>.</w:t>
      </w:r>
    </w:p>
    <w:p w14:paraId="045393AF" w14:textId="77777777" w:rsidR="00AB2138" w:rsidRDefault="00E82B9E" w:rsidP="00E82B9E">
      <w:pPr>
        <w:jc w:val="right"/>
        <w:rPr>
          <w:rFonts w:asciiTheme="majorBidi" w:hAnsiTheme="majorBidi" w:cstheme="majorBidi"/>
          <w:b/>
          <w:bCs/>
          <w:sz w:val="24"/>
          <w:szCs w:val="24"/>
          <w:rtl/>
        </w:rPr>
      </w:pPr>
      <w:r>
        <w:rPr>
          <w:rFonts w:asciiTheme="majorBidi" w:hAnsiTheme="majorBidi" w:cstheme="majorBidi"/>
          <w:b/>
          <w:bCs/>
          <w:sz w:val="24"/>
          <w:szCs w:val="24"/>
          <w:rtl/>
        </w:rPr>
        <w:t>وانطلاقًا من هذه النتائج، يمهّد هذا الفصل للانتقال إلى الفصل الثاني، الذي يتناول التكييف القانوني والفقهي للمخرجات الذكية والمسؤولية النظامية المترتبة عليها، بوصفه امتدادًا منهجيًا للتحليل السابق، ويهدف إلى بيان كيفية تفاعل المفاهيم الفقهية والنظامية التقليدية مع واقع جديد تتشارك فيه الأنظمة الذكية مع المحامين في إنتاج العمل القانوني، بما يتيح للمشرّع وضع قواعد تضمن بقاء الذكاء الاصطناعي في دائرة المساعدة المشروعة، لا في موضع المنافسة أو الإحلال، وبما يسهم في بناء إطار قانوني متكامل لتوظيف الذكاء الاصطناعي في تطوير خدمات مكاتب المحاماة، على نحو يحفظ أصالة المهنة ويحقق في الوقت ذاته متطلبات العدالة الرقمية الحديثة</w:t>
      </w:r>
    </w:p>
    <w:p w14:paraId="15555494"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ويُدعم هذا التقدير ما خلصت إليه دراسة إسماعيل المنشورة عام 2025م من أن الدول الرائدة عالميًا في استخدام الذكاء الاصطناعي في المهن القانونية تتميز بامتلاكها أطرًا تشريعية مرنةً قادرةً على استيعاب المستجدات التقنية وتكييفها قانونيًا، مما يُشير إلى أن الإصلاح التشريعي الموجّه ليس ترفًا أكاديميًا بل ضرورةٌ مهنية وسياسية تتطلب تدخلًا تشريعيًا عاجلًا لإرساء قواعد عادلة وقابلة للتطبيق في ظل التسارع المتنامي لتوظيف هذه التقنيات.</w:t>
      </w:r>
      <w:r>
        <w:rPr>
          <w:rStyle w:val="af"/>
          <w:rFonts w:asciiTheme="majorBidi" w:hAnsiTheme="majorBidi" w:cstheme="majorBidi"/>
          <w:sz w:val="24"/>
          <w:szCs w:val="24"/>
          <w:rtl/>
        </w:rPr>
        <w:footnoteReference w:id="192"/>
      </w:r>
    </w:p>
    <w:p w14:paraId="059A677E" w14:textId="77777777" w:rsidR="00AB2138" w:rsidRDefault="00AB2138" w:rsidP="00E82B9E">
      <w:pPr>
        <w:jc w:val="right"/>
        <w:rPr>
          <w:rFonts w:asciiTheme="majorBidi" w:hAnsiTheme="majorBidi" w:cstheme="majorBidi"/>
          <w:b/>
          <w:bCs/>
          <w:sz w:val="24"/>
          <w:szCs w:val="24"/>
          <w:rtl/>
        </w:rPr>
      </w:pPr>
    </w:p>
    <w:p w14:paraId="0F810952" w14:textId="77777777" w:rsidR="00AB2138" w:rsidRDefault="00AB2138" w:rsidP="00E82B9E">
      <w:pPr>
        <w:jc w:val="right"/>
        <w:rPr>
          <w:rFonts w:asciiTheme="majorBidi" w:hAnsiTheme="majorBidi" w:cstheme="majorBidi"/>
          <w:b/>
          <w:bCs/>
          <w:sz w:val="24"/>
          <w:szCs w:val="24"/>
          <w:rtl/>
        </w:rPr>
      </w:pPr>
    </w:p>
    <w:p w14:paraId="644F3946" w14:textId="77777777" w:rsidR="00AB2138" w:rsidRDefault="00AB2138" w:rsidP="00E82B9E">
      <w:pPr>
        <w:jc w:val="right"/>
        <w:rPr>
          <w:rFonts w:asciiTheme="majorBidi" w:hAnsiTheme="majorBidi" w:cstheme="majorBidi"/>
          <w:b/>
          <w:bCs/>
          <w:sz w:val="24"/>
          <w:szCs w:val="24"/>
          <w:rtl/>
        </w:rPr>
      </w:pPr>
    </w:p>
    <w:p w14:paraId="4E550BE5" w14:textId="77777777" w:rsidR="00AB2138" w:rsidRDefault="00AB2138" w:rsidP="00E82B9E">
      <w:pPr>
        <w:jc w:val="right"/>
        <w:rPr>
          <w:rFonts w:asciiTheme="majorBidi" w:hAnsiTheme="majorBidi" w:cstheme="majorBidi"/>
          <w:b/>
          <w:bCs/>
          <w:sz w:val="24"/>
          <w:szCs w:val="24"/>
          <w:rtl/>
        </w:rPr>
      </w:pPr>
    </w:p>
    <w:p w14:paraId="2FB62563" w14:textId="77777777" w:rsidR="00E82B9E" w:rsidRDefault="00E82B9E" w:rsidP="00E82B9E">
      <w:pPr>
        <w:jc w:val="right"/>
        <w:rPr>
          <w:rFonts w:asciiTheme="majorBidi" w:hAnsiTheme="majorBidi" w:cstheme="majorBidi"/>
          <w:b/>
          <w:bCs/>
          <w:sz w:val="24"/>
          <w:szCs w:val="24"/>
          <w:rtl/>
        </w:rPr>
      </w:pPr>
    </w:p>
    <w:p w14:paraId="79C50E98" w14:textId="77777777" w:rsidR="00AB2138" w:rsidRDefault="00AB2138" w:rsidP="00E82B9E">
      <w:pPr>
        <w:jc w:val="right"/>
        <w:rPr>
          <w:rFonts w:asciiTheme="majorBidi" w:hAnsiTheme="majorBidi" w:cstheme="majorBidi"/>
          <w:b/>
          <w:bCs/>
          <w:sz w:val="24"/>
          <w:szCs w:val="24"/>
          <w:rtl/>
        </w:rPr>
      </w:pPr>
    </w:p>
    <w:p w14:paraId="17CDCFF0" w14:textId="77777777" w:rsidR="00AB2138" w:rsidRDefault="00AB2138" w:rsidP="00E82B9E">
      <w:pPr>
        <w:jc w:val="right"/>
        <w:rPr>
          <w:rFonts w:asciiTheme="majorBidi" w:hAnsiTheme="majorBidi" w:cstheme="majorBidi"/>
          <w:b/>
          <w:bCs/>
          <w:sz w:val="24"/>
          <w:szCs w:val="24"/>
          <w:rtl/>
        </w:rPr>
      </w:pPr>
    </w:p>
    <w:p w14:paraId="4DAEE142" w14:textId="77777777" w:rsidR="00AB2138" w:rsidRDefault="00AB2138" w:rsidP="00E82B9E">
      <w:pPr>
        <w:jc w:val="right"/>
        <w:rPr>
          <w:rFonts w:asciiTheme="majorBidi" w:hAnsiTheme="majorBidi" w:cstheme="majorBidi"/>
          <w:b/>
          <w:bCs/>
          <w:sz w:val="24"/>
          <w:szCs w:val="24"/>
          <w:rtl/>
        </w:rPr>
      </w:pPr>
    </w:p>
    <w:p w14:paraId="49048E39" w14:textId="77777777" w:rsidR="00AB2138" w:rsidRDefault="00AB2138" w:rsidP="00E82B9E">
      <w:pPr>
        <w:jc w:val="right"/>
        <w:rPr>
          <w:rFonts w:asciiTheme="majorBidi" w:hAnsiTheme="majorBidi" w:cstheme="majorBidi"/>
          <w:b/>
          <w:bCs/>
          <w:sz w:val="24"/>
          <w:szCs w:val="24"/>
          <w:rtl/>
        </w:rPr>
      </w:pPr>
    </w:p>
    <w:p w14:paraId="4ED0F41A" w14:textId="77777777" w:rsidR="00AB2138" w:rsidRDefault="00AB2138" w:rsidP="00E82B9E">
      <w:pPr>
        <w:jc w:val="right"/>
        <w:rPr>
          <w:rFonts w:asciiTheme="majorBidi" w:hAnsiTheme="majorBidi" w:cstheme="majorBidi"/>
          <w:b/>
          <w:bCs/>
          <w:sz w:val="24"/>
          <w:szCs w:val="24"/>
          <w:rtl/>
        </w:rPr>
      </w:pPr>
    </w:p>
    <w:p w14:paraId="413169A7" w14:textId="77777777" w:rsidR="00AB2138" w:rsidRDefault="00AB2138" w:rsidP="00E82B9E">
      <w:pPr>
        <w:jc w:val="right"/>
        <w:rPr>
          <w:rFonts w:asciiTheme="majorBidi" w:hAnsiTheme="majorBidi" w:cstheme="majorBidi"/>
          <w:b/>
          <w:bCs/>
          <w:sz w:val="24"/>
          <w:szCs w:val="24"/>
          <w:rtl/>
        </w:rPr>
      </w:pPr>
    </w:p>
    <w:p w14:paraId="325543DC" w14:textId="77777777" w:rsidR="00F532FA" w:rsidRDefault="00F532FA" w:rsidP="000D4B35">
      <w:pPr>
        <w:rPr>
          <w:rFonts w:asciiTheme="majorBidi" w:hAnsiTheme="majorBidi" w:cstheme="majorBidi"/>
          <w:b/>
          <w:bCs/>
          <w:sz w:val="24"/>
          <w:szCs w:val="24"/>
        </w:rPr>
      </w:pPr>
    </w:p>
    <w:p w14:paraId="0C191A27" w14:textId="77777777" w:rsidR="00624037" w:rsidRPr="00D41CB7" w:rsidRDefault="00624037" w:rsidP="00624037">
      <w:pPr>
        <w:jc w:val="center"/>
        <w:rPr>
          <w:rFonts w:asciiTheme="majorBidi" w:hAnsiTheme="majorBidi" w:cstheme="majorBidi"/>
          <w:b/>
          <w:bCs/>
          <w:color w:val="000000" w:themeColor="text1"/>
          <w:sz w:val="32"/>
          <w:szCs w:val="32"/>
          <w:rtl/>
        </w:rPr>
      </w:pPr>
      <w:r>
        <w:rPr>
          <w:rFonts w:asciiTheme="majorBidi" w:hAnsiTheme="majorBidi" w:cstheme="majorBidi"/>
          <w:b/>
          <w:bCs/>
          <w:color w:val="000000" w:themeColor="text1"/>
          <w:sz w:val="32"/>
          <w:szCs w:val="32"/>
          <w:rtl/>
        </w:rPr>
        <w:lastRenderedPageBreak/>
        <w:t xml:space="preserve">الفصل </w:t>
      </w:r>
      <w:r>
        <w:rPr>
          <w:rFonts w:asciiTheme="majorBidi" w:hAnsiTheme="majorBidi" w:cstheme="majorBidi" w:hint="cs"/>
          <w:b/>
          <w:bCs/>
          <w:color w:val="000000" w:themeColor="text1"/>
          <w:sz w:val="32"/>
          <w:szCs w:val="32"/>
          <w:rtl/>
        </w:rPr>
        <w:t>الثاني</w:t>
      </w:r>
    </w:p>
    <w:p w14:paraId="3A0D0BBB" w14:textId="77777777" w:rsidR="00624037" w:rsidRDefault="00624037" w:rsidP="00624037">
      <w:pPr>
        <w:jc w:val="center"/>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التكييف القانوني والفقهي والمسؤولية النظامية</w:t>
      </w:r>
    </w:p>
    <w:p w14:paraId="2187DC4D" w14:textId="77777777" w:rsidR="00624037" w:rsidRPr="00D41CB7" w:rsidRDefault="00624037" w:rsidP="00624037">
      <w:pPr>
        <w:jc w:val="center"/>
        <w:rPr>
          <w:rFonts w:asciiTheme="majorBidi" w:hAnsiTheme="majorBidi" w:cstheme="majorBidi"/>
          <w:b/>
          <w:bCs/>
          <w:color w:val="000000" w:themeColor="text1"/>
          <w:sz w:val="28"/>
          <w:szCs w:val="28"/>
          <w:rtl/>
        </w:rPr>
      </w:pPr>
    </w:p>
    <w:p w14:paraId="741B47DE"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hint="cs"/>
          <w:sz w:val="24"/>
          <w:szCs w:val="24"/>
          <w:rtl/>
        </w:rPr>
        <w:t>ي</w:t>
      </w:r>
      <w:r>
        <w:rPr>
          <w:rFonts w:asciiTheme="majorBidi" w:hAnsiTheme="majorBidi" w:cstheme="majorBidi"/>
          <w:sz w:val="24"/>
          <w:szCs w:val="24"/>
          <w:rtl/>
        </w:rPr>
        <w:t>مثل هذا الفصل الامتداد النظري التحليلي لأطروحة الدراسة، إذ ينتقل البحث من توصيف الإطار النظامي المنظم لمهنة المحاماة – كما عُولج في الفصل الأول – إلى استكشاف الطبيعة القانونية للمخرجات الذكية ذاتها، وتحديد مركزها النظامي، وحدود الاعتداد بها، والمسؤولية المترتبة على استخدامها. فإذا كانت النصوص التقليدية في نظام المحاماة</w:t>
      </w:r>
      <w:r>
        <w:rPr>
          <w:rStyle w:val="af"/>
          <w:rFonts w:asciiTheme="majorBidi" w:hAnsiTheme="majorBidi" w:cstheme="majorBidi"/>
          <w:sz w:val="24"/>
          <w:szCs w:val="24"/>
          <w:rtl/>
        </w:rPr>
        <w:footnoteReference w:id="193"/>
      </w:r>
      <w:r>
        <w:rPr>
          <w:rFonts w:asciiTheme="majorBidi" w:hAnsiTheme="majorBidi" w:cstheme="majorBidi"/>
          <w:sz w:val="24"/>
          <w:szCs w:val="24"/>
          <w:rtl/>
        </w:rPr>
        <w:t xml:space="preserve"> قد افترضت أن العمل القانوني نتاج جهد بشري مباشر، قائم على الاجتهاد الفردي وتحمل المسؤولية الشخصية ، فإن إدماج تقنيات الذكاء الاصطناعي في مراحل التحليل القانوني وصياغة العقود وإعداد المذكرات أوجد نمطًا جديدًا من “الإنتاج القانوني المركب” الذي تتداخل فيه الإرادة البشرية مع المعالجة الخوارزمية</w:t>
      </w:r>
      <w:r>
        <w:rPr>
          <w:rFonts w:asciiTheme="majorBidi" w:hAnsiTheme="majorBidi" w:cstheme="majorBidi"/>
          <w:sz w:val="24"/>
          <w:szCs w:val="24"/>
        </w:rPr>
        <w:t>.</w:t>
      </w:r>
    </w:p>
    <w:p w14:paraId="55A0FDF1"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ولا يقف هذا التحول عند حدود التطوير التقني، بل يمتد إلى صميم النظرية العامة للتصرف القانوني، وإلى مفاهيم الإرادة والنسبة والحجية، بل وإلى إعادة توزيع المخاطر والمسؤوليات داخل البنية المهنية. فالعمل القانوني الذي كان يُنسب تقليديًا إلى المحامي بوصفه فاعلًا بشريًا منفردًا، أصبح اليوم نتاج منظومة قد تشمل مطور النظام، ومزود التقنية، وقواعد بيانات ضخمة، وخوارزميات تحليلية قد تسهم في تشكيل مضمون الرأي أو الصياغة. ومن ثم فإن الإشكال لا يتعلق بمجرد مشروعية استخدام التقنية، بل بمدى اندراج مخرجاتها ضمن المفاهيم النظامية القائمة، ومدى كفاية القواعد التقليدية لاستيعاب هذا النمط المستحدث من الإنتاج القانوني</w:t>
      </w:r>
      <w:r>
        <w:rPr>
          <w:rFonts w:asciiTheme="majorBidi" w:hAnsiTheme="majorBidi" w:cstheme="majorBidi"/>
          <w:sz w:val="24"/>
          <w:szCs w:val="24"/>
        </w:rPr>
        <w:t>.</w:t>
      </w:r>
    </w:p>
    <w:p w14:paraId="1C3AEEC7"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ويزداد هذا التساؤل تعقيدًا في ضوء صدور نظام المعاملات المدنية لعام 1445هـ</w:t>
      </w:r>
      <w:r>
        <w:rPr>
          <w:rStyle w:val="af"/>
          <w:rFonts w:asciiTheme="majorBidi" w:hAnsiTheme="majorBidi" w:cstheme="majorBidi"/>
          <w:sz w:val="24"/>
          <w:szCs w:val="24"/>
          <w:rtl/>
        </w:rPr>
        <w:footnoteReference w:id="194"/>
      </w:r>
      <w:r>
        <w:rPr>
          <w:rFonts w:asciiTheme="majorBidi" w:hAnsiTheme="majorBidi" w:cstheme="majorBidi"/>
          <w:sz w:val="24"/>
          <w:szCs w:val="24"/>
          <w:rtl/>
        </w:rPr>
        <w:t>، الذي أعاد تأصيل النظرية العامة للالتزام والعقد، وكرّس مفهوم الإرادة القانونية بوصفها أساسًا لإنشاء الالتزام. فإذا كان العقد – وفقًا لهذا النظام – ينعقد بتلاقي إرادتين معتبرتين صادرتين عن ذوي أهلية ومتجهتين إلى إحداث أثر قانوني معين، فإن إدماج المعالجة الخوارزمية في صياغة العقود أو تحليلها يفرض إعادة النظر في مفهوم “الإرادة” وحدود نسبتها، خاصة عندما تسهم الخوارزمية في تشكيل مضمون التصرف لا في مجرد التعبير عنه</w:t>
      </w:r>
      <w:r>
        <w:rPr>
          <w:rFonts w:asciiTheme="majorBidi" w:hAnsiTheme="majorBidi" w:cstheme="majorBidi"/>
          <w:sz w:val="24"/>
          <w:szCs w:val="24"/>
        </w:rPr>
        <w:t>.</w:t>
      </w:r>
    </w:p>
    <w:p w14:paraId="1BE7152C"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كما أن نظام الإثبات الصادر عام 1443</w:t>
      </w:r>
      <w:r>
        <w:rPr>
          <w:rStyle w:val="af"/>
          <w:rFonts w:asciiTheme="majorBidi" w:hAnsiTheme="majorBidi" w:cstheme="majorBidi"/>
          <w:sz w:val="24"/>
          <w:szCs w:val="24"/>
          <w:rtl/>
        </w:rPr>
        <w:footnoteReference w:id="195"/>
      </w:r>
      <w:r>
        <w:rPr>
          <w:rFonts w:asciiTheme="majorBidi" w:hAnsiTheme="majorBidi" w:cstheme="majorBidi"/>
          <w:sz w:val="24"/>
          <w:szCs w:val="24"/>
          <w:rtl/>
        </w:rPr>
        <w:t>هـ أقر حجية المحررات الإلكترونية، وأجاز الإثبات بكافة الوسائل النظامية ما لم يرد نص بخلاف ذلك ، وهو ما يعكس تبني المشرّع لمبدأ الحياد التقني. غير أن الاعتراف بالمحرر الإلكتروني لا يعني التسليم تلقائيًا بحجية كل مخرج قانوني منتج آليًا؛ إذ إن الإشكال هنا لا يتعلق بوسيلة التوثيق، بل بآلية التكوين الفكري للمحرر ومدى إمكانية نسبته إلى إرادة بشرية واعية. وقد أوضح الأسيوطي</w:t>
      </w:r>
      <w:r>
        <w:rPr>
          <w:rStyle w:val="af"/>
          <w:rFonts w:asciiTheme="majorBidi" w:hAnsiTheme="majorBidi" w:cstheme="majorBidi"/>
          <w:sz w:val="24"/>
          <w:szCs w:val="24"/>
          <w:rtl/>
        </w:rPr>
        <w:footnoteReference w:id="196"/>
      </w:r>
      <w:r>
        <w:rPr>
          <w:rFonts w:asciiTheme="majorBidi" w:hAnsiTheme="majorBidi" w:cstheme="majorBidi"/>
          <w:sz w:val="24"/>
          <w:szCs w:val="24"/>
          <w:rtl/>
        </w:rPr>
        <w:t xml:space="preserve"> (2020) أن الحجية في البيئة الرقمية ترتبط بإمكانية التحقق من المصدر وسلامة المحتوى وقابلية تتبع التعديلات، الأمر الذي يجعل قابلية التفسير عنصرًا جوهريًا في تقييم المخرجات الخوارزمية</w:t>
      </w:r>
      <w:r>
        <w:rPr>
          <w:rFonts w:asciiTheme="majorBidi" w:hAnsiTheme="majorBidi" w:cstheme="majorBidi"/>
          <w:sz w:val="24"/>
          <w:szCs w:val="24"/>
        </w:rPr>
        <w:t>.</w:t>
      </w:r>
    </w:p>
    <w:p w14:paraId="0B23FA66"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جانب آخر، يفرض نظام حماية البيانات الشخصية (1443هـ)</w:t>
      </w:r>
      <w:r>
        <w:rPr>
          <w:rStyle w:val="af"/>
          <w:rFonts w:asciiTheme="majorBidi" w:hAnsiTheme="majorBidi" w:cstheme="majorBidi"/>
          <w:sz w:val="24"/>
          <w:szCs w:val="24"/>
          <w:rtl/>
        </w:rPr>
        <w:footnoteReference w:id="197"/>
      </w:r>
      <w:r>
        <w:rPr>
          <w:rFonts w:asciiTheme="majorBidi" w:hAnsiTheme="majorBidi" w:cstheme="majorBidi"/>
          <w:sz w:val="24"/>
          <w:szCs w:val="24"/>
          <w:rtl/>
        </w:rPr>
        <w:t xml:space="preserve"> إطارًا تنظيميًا لمعالجة البيانات واستخدامها، بما يشمل متطلبات المشروعية والغرض المحدد وتقليل المعالجة. فإذا كانت المخرجات القانونية الذكية تعتمد في جوهرها على تحليل بيانات ضخمة، فإن سلامة هذه البيانات ومشروعية جمعها تمثل عنصرًا مؤثرًا في تقييم مشروعية المخرج ذاته، سواء من زاوية الحجية أو من زاوية المسؤولية</w:t>
      </w:r>
      <w:r>
        <w:rPr>
          <w:rFonts w:asciiTheme="majorBidi" w:hAnsiTheme="majorBidi" w:cstheme="majorBidi"/>
          <w:sz w:val="24"/>
          <w:szCs w:val="24"/>
        </w:rPr>
        <w:t>.</w:t>
      </w:r>
    </w:p>
    <w:p w14:paraId="7E49E47B"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lastRenderedPageBreak/>
        <w:t>وقد تناولت الدراسات القانونية الحديثة هذه الإشكالية من زوايا متعددة. فذهب المالكي</w:t>
      </w:r>
      <w:r>
        <w:rPr>
          <w:rStyle w:val="af"/>
          <w:rFonts w:asciiTheme="majorBidi" w:hAnsiTheme="majorBidi" w:cstheme="majorBidi"/>
          <w:sz w:val="24"/>
          <w:szCs w:val="24"/>
          <w:rtl/>
        </w:rPr>
        <w:footnoteReference w:id="198"/>
      </w:r>
      <w:r>
        <w:rPr>
          <w:rFonts w:asciiTheme="majorBidi" w:hAnsiTheme="majorBidi" w:cstheme="majorBidi"/>
          <w:sz w:val="24"/>
          <w:szCs w:val="24"/>
          <w:rtl/>
        </w:rPr>
        <w:t xml:space="preserve"> إلى أن الذكاء الاصطناعي لا يُعد شخصًا قانونيًا مستقلًا، وأن المسؤولية تبقى لصيقة بالمستخدم الذي يمارس الرقابة عليه. كما أكدت مجلة العدالة</w:t>
      </w:r>
      <w:r>
        <w:rPr>
          <w:rStyle w:val="af"/>
          <w:rFonts w:asciiTheme="majorBidi" w:hAnsiTheme="majorBidi" w:cstheme="majorBidi"/>
          <w:sz w:val="24"/>
          <w:szCs w:val="24"/>
          <w:rtl/>
        </w:rPr>
        <w:footnoteReference w:id="199"/>
      </w:r>
      <w:r>
        <w:rPr>
          <w:rFonts w:asciiTheme="majorBidi" w:hAnsiTheme="majorBidi" w:cstheme="majorBidi"/>
          <w:sz w:val="24"/>
          <w:szCs w:val="24"/>
          <w:rtl/>
        </w:rPr>
        <w:t xml:space="preserve"> (2022) ضرورة ضبط المسؤولية المهنية في سياق استخدام الأنظمة الذكية داخل الممارسة القانونية، منعًا لحدوث فراغ تنظيمي أو تضارب في توزيع المخاطر. وفي السياق ذاته، أشارت مجلة الشريعة والقانون</w:t>
      </w:r>
      <w:r>
        <w:rPr>
          <w:rStyle w:val="af"/>
          <w:rFonts w:asciiTheme="majorBidi" w:hAnsiTheme="majorBidi" w:cstheme="majorBidi"/>
          <w:sz w:val="24"/>
          <w:szCs w:val="24"/>
          <w:rtl/>
        </w:rPr>
        <w:footnoteReference w:id="200"/>
      </w:r>
      <w:r>
        <w:rPr>
          <w:rFonts w:asciiTheme="majorBidi" w:hAnsiTheme="majorBidi" w:cstheme="majorBidi"/>
          <w:sz w:val="24"/>
          <w:szCs w:val="24"/>
          <w:rtl/>
        </w:rPr>
        <w:t xml:space="preserve"> (2022) إلى أن إدماج الذكاء الاصطناعي في العمل القانوني لا يجوز أن يمس جوهر الوظيفة المهنية أو يضعف معيار الاجتهاد البشري</w:t>
      </w:r>
      <w:r>
        <w:rPr>
          <w:rFonts w:asciiTheme="majorBidi" w:hAnsiTheme="majorBidi" w:cstheme="majorBidi"/>
          <w:sz w:val="24"/>
          <w:szCs w:val="24"/>
        </w:rPr>
        <w:t>.</w:t>
      </w:r>
    </w:p>
    <w:p w14:paraId="73CF432F"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أما فيما يتعلق بالعقود الذكية، فقد ناقش مرسي</w:t>
      </w:r>
      <w:r>
        <w:rPr>
          <w:rStyle w:val="af"/>
          <w:rFonts w:asciiTheme="majorBidi" w:hAnsiTheme="majorBidi" w:cstheme="majorBidi"/>
          <w:sz w:val="24"/>
          <w:szCs w:val="24"/>
          <w:rtl/>
        </w:rPr>
        <w:footnoteReference w:id="201"/>
      </w:r>
      <w:r>
        <w:rPr>
          <w:rFonts w:asciiTheme="majorBidi" w:hAnsiTheme="majorBidi" w:cstheme="majorBidi"/>
          <w:sz w:val="24"/>
          <w:szCs w:val="24"/>
          <w:rtl/>
        </w:rPr>
        <w:t xml:space="preserve"> (2023) مدى ملاءمة العقود المبرمة عبر أنظمة مؤتمتة لقانون العقود التقليدي، مؤكدًا أن الإشكال لا يكمن في الوسيلة التقنية ذاتها، بل في مدى تحقق الإرادة النظامية وانعكاسها الصحيح في صيغة العقد. كما بيّن العلي </w:t>
      </w:r>
      <w:r>
        <w:rPr>
          <w:rStyle w:val="af"/>
          <w:rFonts w:asciiTheme="majorBidi" w:hAnsiTheme="majorBidi" w:cstheme="majorBidi"/>
          <w:sz w:val="24"/>
          <w:szCs w:val="24"/>
          <w:rtl/>
        </w:rPr>
        <w:footnoteReference w:id="202"/>
      </w:r>
      <w:r>
        <w:rPr>
          <w:rFonts w:asciiTheme="majorBidi" w:hAnsiTheme="majorBidi" w:cstheme="majorBidi"/>
          <w:sz w:val="24"/>
          <w:szCs w:val="24"/>
          <w:rtl/>
        </w:rPr>
        <w:t>(2024) أن العقود التجارية الذكية تظل خاضعة للأركان العامة للعقد، غير أن التنفيذ المؤتمت يثير إشكالات تتعلق باستمرار سيطرة الإرادة البشرية على مسار الالتزام</w:t>
      </w:r>
      <w:r>
        <w:rPr>
          <w:rFonts w:asciiTheme="majorBidi" w:hAnsiTheme="majorBidi" w:cstheme="majorBidi"/>
          <w:sz w:val="24"/>
          <w:szCs w:val="24"/>
        </w:rPr>
        <w:t>.</w:t>
      </w:r>
    </w:p>
    <w:p w14:paraId="71514FB1"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ومن الناحية الفقهية، فإن نسبة الأفعال في الفقه الإسلامي لا تقوم إلا إلى مكلف ذي ذمة، ولا يُتصور إسناد حكم شرعي إلى غير مكلف. وقد ناقش الحربي مسألة الاعتراف بالشخصية القانونية للذكاء الاصطناعي، وخلص إلى أن الإطار التقليدي للنظرية القانونية لا يسمح بمنح التقنية ذمة مستقلة دون إعادة بناء جوهرية لمفاهيم الأهلية والنسبة. ويبدو أن القياس على أحكام الوكالة أو التسبب يظل هو الأقرب للتكييف، مع بقاء المسؤولية على عاتق الفاعل البشري الذي أذن واستخدم واعتمد</w:t>
      </w:r>
      <w:r>
        <w:rPr>
          <w:rFonts w:asciiTheme="majorBidi" w:hAnsiTheme="majorBidi" w:cstheme="majorBidi"/>
          <w:sz w:val="24"/>
          <w:szCs w:val="24"/>
        </w:rPr>
        <w:t>.</w:t>
      </w:r>
    </w:p>
    <w:p w14:paraId="576B2F9D"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وفي السياق التنظيمي الوطني، أكدت الهيئة السعودية للبيانات والذكاء الاصطناعي في وثيقة مبادئ أخلاقيات الذكاء الاصطناعي على مبادئ المساءلة والشفافية وقابلية التتبع (الهيئة السعودية للبيانات والذكاء الاصطناعي، 2023)</w:t>
      </w:r>
      <w:r>
        <w:rPr>
          <w:rStyle w:val="af"/>
          <w:rFonts w:asciiTheme="majorBidi" w:hAnsiTheme="majorBidi" w:cstheme="majorBidi"/>
          <w:sz w:val="24"/>
          <w:szCs w:val="24"/>
          <w:rtl/>
        </w:rPr>
        <w:footnoteReference w:id="203"/>
      </w:r>
      <w:r>
        <w:rPr>
          <w:rFonts w:asciiTheme="majorBidi" w:hAnsiTheme="majorBidi" w:cstheme="majorBidi"/>
          <w:sz w:val="24"/>
          <w:szCs w:val="24"/>
          <w:rtl/>
        </w:rPr>
        <w:t>، كما شدد إطار تبني الذكاء الاصطناعي على ضرورة وضوح الأدوار والمسؤوليات وعدم إعفاء أي جهة من تحمل تبعة قراراتها الخوارزمية. ويُفهم من ذلك أن الاتجاه الوطني لا يميل إلى إسناد الفعل إلى التقنية ذاتها، بل إلى تثبيت المسؤولية في يد الإنسان</w:t>
      </w:r>
      <w:r>
        <w:rPr>
          <w:rFonts w:asciiTheme="majorBidi" w:hAnsiTheme="majorBidi" w:cstheme="majorBidi"/>
          <w:sz w:val="24"/>
          <w:szCs w:val="24"/>
        </w:rPr>
        <w:t>.</w:t>
      </w:r>
    </w:p>
    <w:p w14:paraId="460E6CAE"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وانطلاقًا مما سبق، يقوم هذا الفصل على فرضية مفادها أن المخرجات القانونية المنتجة عبر أنظمة الذكاء الاصطناعي لا تكتسب حجيتها أو مشروعيتها من ذاتها، بل من اندماجها الواعي في الإرادة البشرية، ومن خضوعها لمعيار العناية المهنية، ومن قابليتها للفحص والمساءلة. غير أن هذا التصور لا ينفي الحاجة إلى إعادة قراءة أركان المسؤولية المدنية في ضوء تعقيد العلاقة السببية وتعدد الأطراف المتدخلة في إنتاج المخرج</w:t>
      </w:r>
      <w:r>
        <w:rPr>
          <w:rFonts w:asciiTheme="majorBidi" w:hAnsiTheme="majorBidi" w:cstheme="majorBidi"/>
          <w:sz w:val="24"/>
          <w:szCs w:val="24"/>
        </w:rPr>
        <w:t>.</w:t>
      </w:r>
    </w:p>
    <w:p w14:paraId="326C3677"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السياق التشريعي السعودي لمعيار العناية المهنية، أفاد المعلم أن الهيئة السعودية للمحامين المرخصين تملك صلاحية إصدار معايير أخلاقية ملزمة وفق نظام المحاماة، وأن هذه الصلاحية تُتيح لها تحديد متطلبات الكفاءة الرقمية ومعايير الإفصاح عن توظيف الذكاء الاصطناعي دون انتظار تعديل تشريعي، وهو مسار أسرع وأكثر مرونة في التعامل مع المتغيرات التقنية.</w:t>
      </w:r>
      <w:r w:rsidRPr="00000002">
        <w:rPr>
          <w:rtl/>
        </w:rPr>
        <w:footnoteReference w:id="204"/>
      </w:r>
    </w:p>
    <w:p w14:paraId="7C72323E"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 xml:space="preserve">وفي تطور معيار العناية المهنية في ظل الذكاء الاصطناعي، خلص العرشاني إلى أن هذا المعيار يشهد تحولاً من معيار المحامي الذي يُتقن القانون إلى معيار المحامي الذي يُتقن القانون ويُحسن توظيف أدواته الرقمية </w:t>
      </w:r>
      <w:r>
        <w:rPr>
          <w:rFonts w:asciiTheme="majorBidi" w:hAnsiTheme="majorBidi" w:cstheme="majorBidi"/>
          <w:sz w:val="24"/>
          <w:szCs w:val="24"/>
          <w:rtl/>
        </w:rPr>
        <w:lastRenderedPageBreak/>
        <w:t>بمسؤولية، مُستشهداً بأن بعض نقابات المحامين الأوروبية بات يُدرج الكفاءة الرقمية ضمن متطلبات الترخيص المهني وشروط التجديد الدوري.</w:t>
      </w:r>
      <w:r w:rsidRPr="00000002">
        <w:rPr>
          <w:rtl/>
        </w:rPr>
        <w:footnoteReference w:id="205"/>
      </w:r>
    </w:p>
    <w:p w14:paraId="43FE6B82"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سياق معيار العناية المهنية المرتقب، اقترح الشراري مفهوم العناية المهنية الرقمية المعززة، الذي يُلزم المحامي المستخدم للذكاء الاصطناعي بالتحقق من ثلاثة عناصر قبل تقديم أي مخرج آلي: صحة المعلومات المُدخَلة في النظام، ودرجة موثوقية النظام في السياق الموضوعي للقضية، وغياب أي تعارض بين مخرجات النظام ومتطلبات واجب الأمانة تجاه الموكل.</w:t>
      </w:r>
      <w:r w:rsidRPr="00000001">
        <w:rPr>
          <w:rtl/>
        </w:rPr>
        <w:footnoteReference w:id="206"/>
      </w:r>
    </w:p>
    <w:p w14:paraId="126F4527"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وتجدر الإشارة هنا إلى ما أوردته الخميسي بشأن تطور معيار العناية المهنية في الفقه القانوني المقارن، إذ رصدت اتجاهاً واضحاً نحو تبني معيار العناية المهنية الرقمية التي تشمل، فضلاً عن المهارات القانونية التقليدية، معرفة المحامي بالأدوات التقنية المستخدمة في مجاله، والقدرة على تقييم موثوقيتها، وإدارة المخاطر المرتبطة بتوظيفها في سياق تمثيل العملاء.</w:t>
      </w:r>
      <w:r w:rsidRPr="00000001">
        <w:rPr>
          <w:rtl/>
        </w:rPr>
        <w:footnoteReference w:id="207"/>
      </w:r>
    </w:p>
    <w:p w14:paraId="51BCA45C"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وبناءً عليه، ينقسم هذا الفصل إلى مبحثين رئيسين</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 xml:space="preserve">يتناول </w:t>
      </w:r>
      <w:r>
        <w:rPr>
          <w:rFonts w:asciiTheme="majorBidi" w:hAnsiTheme="majorBidi" w:cstheme="majorBidi"/>
          <w:b/>
          <w:bCs/>
          <w:sz w:val="24"/>
          <w:szCs w:val="24"/>
          <w:rtl/>
        </w:rPr>
        <w:t>المبحث الأول</w:t>
      </w:r>
      <w:r>
        <w:rPr>
          <w:rFonts w:asciiTheme="majorBidi" w:hAnsiTheme="majorBidi" w:cstheme="majorBidi"/>
          <w:sz w:val="24"/>
          <w:szCs w:val="24"/>
          <w:rtl/>
        </w:rPr>
        <w:t xml:space="preserve"> التكييف النظامي والفقهي للمخرجات الذكية من حيث حجيتها ومشروعيتها القضائية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 xml:space="preserve">أما </w:t>
      </w:r>
      <w:r>
        <w:rPr>
          <w:rFonts w:asciiTheme="majorBidi" w:hAnsiTheme="majorBidi" w:cstheme="majorBidi"/>
          <w:b/>
          <w:bCs/>
          <w:sz w:val="24"/>
          <w:szCs w:val="24"/>
          <w:rtl/>
        </w:rPr>
        <w:t>المبحث الثاني</w:t>
      </w:r>
      <w:r>
        <w:rPr>
          <w:rFonts w:asciiTheme="majorBidi" w:hAnsiTheme="majorBidi" w:cstheme="majorBidi"/>
          <w:sz w:val="24"/>
          <w:szCs w:val="24"/>
          <w:rtl/>
        </w:rPr>
        <w:t xml:space="preserve"> فيعالج المسؤولية القانونية والمهنية المترتبة على استخدامها، من خلال تحليل أركان المسؤولية، ومعيار الخطأ، وتوزيع المخاطر بين المستخدم ومطور التقنية ومقدم الخدمة، مع إشارة مقارنة إلى الاتجاه الأوروبي</w:t>
      </w:r>
      <w:r>
        <w:rPr>
          <w:rFonts w:asciiTheme="majorBidi" w:hAnsiTheme="majorBidi" w:cstheme="majorBidi"/>
          <w:sz w:val="24"/>
          <w:szCs w:val="24"/>
        </w:rPr>
        <w:t>.</w:t>
      </w:r>
    </w:p>
    <w:p w14:paraId="4CFA4A4B"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ويمثل هذا الفصل الأساس النظري الذي تُبنى عليه المعالجة التنظيمية المقترحة في الفصول اللاحقة، ويهدف إلى تحقيق توازن دقيق بين تشجيع الابتكار التقني في مكاتب المحاماة وصون ضمانات العدالة ومبادئ المشروعية والمسؤولية</w:t>
      </w:r>
      <w:r>
        <w:rPr>
          <w:rFonts w:asciiTheme="majorBidi" w:hAnsiTheme="majorBidi" w:cstheme="majorBidi"/>
          <w:sz w:val="24"/>
          <w:szCs w:val="24"/>
        </w:rPr>
        <w:t>.</w:t>
      </w:r>
    </w:p>
    <w:p w14:paraId="3900F62A" w14:textId="77777777" w:rsidR="00624037" w:rsidRDefault="00624037" w:rsidP="00624037">
      <w:pPr>
        <w:jc w:val="right"/>
        <w:rPr>
          <w:rFonts w:asciiTheme="majorBidi" w:hAnsiTheme="majorBidi" w:cstheme="majorBidi"/>
          <w:sz w:val="24"/>
          <w:szCs w:val="24"/>
        </w:rPr>
      </w:pPr>
    </w:p>
    <w:p w14:paraId="74F077B4" w14:textId="77777777" w:rsidR="00624037" w:rsidRDefault="00624037" w:rsidP="00624037">
      <w:pPr>
        <w:rPr>
          <w:rFonts w:asciiTheme="majorBidi" w:hAnsiTheme="majorBidi" w:cstheme="majorBidi"/>
          <w:sz w:val="24"/>
          <w:szCs w:val="24"/>
        </w:rPr>
      </w:pPr>
    </w:p>
    <w:p w14:paraId="482D3B69" w14:textId="77777777" w:rsidR="00624037" w:rsidRDefault="00624037" w:rsidP="00624037">
      <w:pPr>
        <w:jc w:val="right"/>
        <w:rPr>
          <w:rFonts w:asciiTheme="majorBidi" w:hAnsiTheme="majorBidi" w:cstheme="majorBidi"/>
          <w:sz w:val="24"/>
          <w:szCs w:val="24"/>
        </w:rPr>
      </w:pPr>
    </w:p>
    <w:p w14:paraId="0A4D1147" w14:textId="77777777" w:rsidR="00624037" w:rsidRPr="000A2E06" w:rsidRDefault="00624037" w:rsidP="00624037">
      <w:pPr>
        <w:jc w:val="center"/>
        <w:rPr>
          <w:rFonts w:asciiTheme="majorBidi" w:hAnsiTheme="majorBidi" w:cstheme="majorBidi"/>
          <w:b/>
          <w:bCs/>
          <w:sz w:val="32"/>
          <w:szCs w:val="32"/>
        </w:rPr>
      </w:pPr>
      <w:r>
        <w:rPr>
          <w:rFonts w:asciiTheme="majorBidi" w:hAnsiTheme="majorBidi" w:cstheme="majorBidi"/>
          <w:b/>
          <w:bCs/>
          <w:sz w:val="32"/>
          <w:szCs w:val="32"/>
          <w:rtl/>
        </w:rPr>
        <w:t>المبحث الأول</w:t>
      </w:r>
    </w:p>
    <w:p w14:paraId="499C7402" w14:textId="77777777" w:rsidR="00624037" w:rsidRPr="000A2E06" w:rsidRDefault="00624037" w:rsidP="00624037">
      <w:pPr>
        <w:jc w:val="center"/>
        <w:rPr>
          <w:rFonts w:asciiTheme="majorBidi" w:hAnsiTheme="majorBidi" w:cstheme="majorBidi"/>
          <w:b/>
          <w:bCs/>
          <w:sz w:val="32"/>
          <w:szCs w:val="32"/>
        </w:rPr>
      </w:pPr>
      <w:r>
        <w:rPr>
          <w:rFonts w:asciiTheme="majorBidi" w:hAnsiTheme="majorBidi" w:cstheme="majorBidi"/>
          <w:b/>
          <w:bCs/>
          <w:sz w:val="32"/>
          <w:szCs w:val="32"/>
          <w:rtl/>
        </w:rPr>
        <w:t>التكييف النظامي والفقهي للمخرجات الذكية</w:t>
      </w:r>
    </w:p>
    <w:p w14:paraId="121B58CE"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لم يعد توظيف الذكاء الاصطناعي في مكاتب المحاماة مجرد أداة تقنية مساعدة لتسريع العمل أو تنظيم الملفات أو تحسين إدارة الوقت، بل أصبح في صورته المعاصرة قادرًا على إنتاج “مخرجات قانونية” قد تُقدَّم للمتقاضين أو للجهات القضائية بوصفها عقودًا مكتملة الصياغة، أو تقارير تحليلية، أو مذكرات دفاع، أو آراء استشارية، أو حتى تصورات قانونية قائمة على تحليل أنماط السوابق القضائية. وهذه النقلة النوعية تنقل النقاش من مستوى الوسيلة التقنية إلى مستوى البنية النظرية للتصرف القانوني ذاته، وتطرح سؤالًا تأسيسيًا يتجاوز حدود التقنية إلى جوهر النظام القانوني: ما الطبيعة القانونية لهذه المخرجات؟ وهل تُعامل بوصفها مجرد وسائل تحرير وصياغة، أم باعتبارها عنصرًا مؤثرًا في تكوين الإرادة القانونية ونسبة التصرف وحجيته؟</w:t>
      </w:r>
    </w:p>
    <w:p w14:paraId="3E2A95C7"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إن خطورة هذا السؤال لا تكمن في حداثته فحسب، بل في كونه يمس ركائز مستقرة في النظرية العامة للالتزام. فقد قام البناء التقليدي للتصرف القانوني في الفقه الإسلامي ثم في التشريعات المدنية الحديثة على مركزية الإرادة البشرية، باعتبارها مصدر الإلزام ومنشأ الأثر القانوني. وقد أكد نظام المعاملات المدنية الصادر عام 1445هـ هذا المعنى حين قرر أن العقد ينعقد بتلاقي إرادتين معتبرتين، صادرتين عن ذوي أهلية، ومتجهتين إلى إحداث أثر قانوني معين، مع توافر الأركان والشروط المقررة نظامًا</w:t>
      </w:r>
      <w:r>
        <w:rPr>
          <w:rStyle w:val="af"/>
          <w:rFonts w:asciiTheme="majorBidi" w:hAnsiTheme="majorBidi" w:cstheme="majorBidi"/>
          <w:sz w:val="24"/>
          <w:szCs w:val="24"/>
          <w:rtl/>
        </w:rPr>
        <w:footnoteReference w:id="208"/>
      </w:r>
      <w:r>
        <w:rPr>
          <w:rFonts w:asciiTheme="majorBidi" w:hAnsiTheme="majorBidi" w:cstheme="majorBidi"/>
          <w:sz w:val="24"/>
          <w:szCs w:val="24"/>
          <w:rtl/>
        </w:rPr>
        <w:t>. ويُفهم من هذا التأصيل أن الإرادة ليست مجرد نية داخلية، بل تعبير منضبط يمكن نسبته إلى شخص معين، ويُرتب في ذمته التزامات محددة</w:t>
      </w:r>
      <w:r>
        <w:rPr>
          <w:rFonts w:asciiTheme="majorBidi" w:hAnsiTheme="majorBidi" w:cstheme="majorBidi"/>
          <w:sz w:val="24"/>
          <w:szCs w:val="24"/>
        </w:rPr>
        <w:t>.</w:t>
      </w:r>
    </w:p>
    <w:p w14:paraId="02C0BCF4"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إدماج المعالجة الخوارزمية في صياغة العقود أو تحليلها يثير تساؤلًا حول مدى بقاء الإرادة البشرية في موقع “المنشئ الأصلي” للتصرف، أم أنها تتحول أحيانًا إلى إرادة مُجيزة أو مُعتمدة لما أنتجته الخوارزمية. فالمخرجات الذكية لا تقتصر على تنفيذ أوامر صريحة، بل قد تقوم بتحليل معطيات ضخمة، واستخلاص أنماط، واقتراح صيغ تعاقدية أو توصيفات قانونية قد لا تخطر على ذهن المستخدم ابتداءً. وفي هذه الحالة، يصبح السؤال: هل يظل التصرف انعكاسًا خالصًا لإرادة بشرية، أم يصبح نتاجًا مركبًا تشترك في تشكيله منظومة تقنية تحليلية؟</w:t>
      </w:r>
    </w:p>
    <w:p w14:paraId="371D7EF5"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ويتصل بهذا التساؤل جانبٌ آخر يتعلق بالحجية. فقد أقر نظام الإثبات لعام </w:t>
      </w:r>
      <w:r>
        <w:rPr>
          <w:rStyle w:val="af"/>
          <w:rFonts w:asciiTheme="majorBidi" w:hAnsiTheme="majorBidi" w:cstheme="majorBidi"/>
          <w:sz w:val="24"/>
          <w:szCs w:val="24"/>
          <w:rtl/>
        </w:rPr>
        <w:footnoteReference w:id="209"/>
      </w:r>
      <w:r>
        <w:rPr>
          <w:rFonts w:asciiTheme="majorBidi" w:hAnsiTheme="majorBidi" w:cstheme="majorBidi"/>
          <w:sz w:val="24"/>
          <w:szCs w:val="24"/>
          <w:rtl/>
        </w:rPr>
        <w:t>1443هـ حجية المحررات الإلكترونية، وأجاز الإثبات بكافة الوسائل النظامية ما لم يرد نص بخلاف ذلك، بما يعكس تبني المشرّع لمبدأ الحياد التقني. إلا أن هذا الإقرار يفترض – في جوهره – وجود محرر يمكن نسبته إلى مصدر محدد، سواء بالتوقيع أو بوسائل الاعتماد المعتبرة. أما في حالة المخرجات المنتجة آليًا، فإن الإشكال لا يتعلق بشكل المحرر أو وسيطه الإلكتروني، بل بآلية تكوين مضمونه ومدى إمكانية نسبته إلى إرادة بشرية واعية تتحمل تبعته</w:t>
      </w:r>
      <w:r>
        <w:rPr>
          <w:rFonts w:asciiTheme="majorBidi" w:hAnsiTheme="majorBidi" w:cstheme="majorBidi"/>
          <w:sz w:val="24"/>
          <w:szCs w:val="24"/>
        </w:rPr>
        <w:t>.</w:t>
      </w:r>
    </w:p>
    <w:p w14:paraId="019C5E31"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تناول الأسيوطي مسألة حماية التصرفات القانونية في البيئة الرقمية، وأكد أن الحجية لا تقوم على مجرد وجود وسيط إلكتروني، بل على إمكانية التحقق من المصدر وسلامة المحتوى وقابلية الفحص والتتبع (الأسيوطي، 2020)</w:t>
      </w:r>
      <w:r>
        <w:rPr>
          <w:rStyle w:val="af"/>
          <w:rFonts w:asciiTheme="majorBidi" w:hAnsiTheme="majorBidi" w:cstheme="majorBidi"/>
          <w:sz w:val="24"/>
          <w:szCs w:val="24"/>
          <w:rtl/>
        </w:rPr>
        <w:footnoteReference w:id="210"/>
      </w:r>
      <w:r>
        <w:rPr>
          <w:rFonts w:asciiTheme="majorBidi" w:hAnsiTheme="majorBidi" w:cstheme="majorBidi"/>
          <w:sz w:val="24"/>
          <w:szCs w:val="24"/>
          <w:rtl/>
        </w:rPr>
        <w:t>. ويكتسب هذا الطرح أهمية خاصة في سياق المخرجات التوليدية التي قد تنتج نصوصًا قانونية متماسكة ظاهريًا، لكنها لا تُظهر بوضوح مسار تكوينها أو مصادرها أو حدود الاعتماد عليها، الأمر الذي يثير إشكالية تتعلق بمعيار الثقة القانونية وإمكان إخضاع المخرج للفحص النقدي</w:t>
      </w:r>
      <w:r>
        <w:rPr>
          <w:rFonts w:asciiTheme="majorBidi" w:hAnsiTheme="majorBidi" w:cstheme="majorBidi"/>
          <w:sz w:val="24"/>
          <w:szCs w:val="24"/>
        </w:rPr>
        <w:t>.</w:t>
      </w:r>
    </w:p>
    <w:p w14:paraId="66D63878"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وقد أوضح مركز الدراسات والبحوث القانونية (2024م) أن المخرجات التوليدية للذكاء الاصطناعي — لا سيما تلك المستخدمة في إعداد الحجج القانونية — تشكّل تحديًا ضمنيًا للضمانات الإجرائية المتعلقة بصحة الإثبات، إذ إن هذه المخرجات قد تنطوي على أخطاء واقعية أو تحيزات خوارزمية لا يلتفت إليها المحامي المستخدِم.</w:t>
      </w:r>
      <w:r w:rsidRPr="00000001">
        <w:rPr>
          <w:rtl/>
        </w:rPr>
        <w:footnoteReference w:id="211"/>
      </w:r>
    </w:p>
    <w:p w14:paraId="4341360D"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كما يفرض نظام حماية البيانات الشخصية (1443هـ) بعدًا إضافيًا في هذا السياق، إذ ينظم معالجة البيانات ويقرر مسؤولية الجهة المعالجة عند مخالفة أحكامه، ويشترط مشروعية الجمع والغرض المحدد وتقليل المعالجة  وبما أن كثيرًا من الأنظمة الذكية تعتمد على تحليل بيانات ضخمة قد تشمل بيانات شخصية أو حساسة، فإن سلامة مصدر البيانات ومشروعية استخدامها تصبح عنصرًا مؤثرًا في تقييم مشروعية المخرج ذاته، سواء من زاوية الحجية أو من زاوية المسؤولية</w:t>
      </w:r>
      <w:r>
        <w:rPr>
          <w:rFonts w:asciiTheme="majorBidi" w:hAnsiTheme="majorBidi" w:cstheme="majorBidi"/>
          <w:sz w:val="24"/>
          <w:szCs w:val="24"/>
        </w:rPr>
        <w:t>.</w:t>
      </w:r>
    </w:p>
    <w:p w14:paraId="37C36997"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ويُستأنس في هذا السياق بما ذهب إليه الغنامي (د.ت) من أن نظام حماية البيانات الشخصية يفرض على مكتب المحاماة قيدًا جوهريًا يتمثل في ضرورة تحديد الغرض من معالجة بيانات الموكل معالجةً ذكية، مع التزام مبدأ التناسب بين حجم البيانات المُعالَجة والغرض القانوني المشروع من هذه المعالجة.</w:t>
      </w:r>
      <w:r w:rsidRPr="00000001">
        <w:rPr>
          <w:rtl/>
        </w:rPr>
        <w:footnoteReference w:id="212"/>
      </w:r>
    </w:p>
    <w:p w14:paraId="5EB689AA"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وفي الإطار الوطني لحوكمة الذكاء الاصطناعي، أكدت الهيئة السعودية للبيانات والذكاء الاصطناعي في وثيقة “مبادئ أخلاقيات الذكاء الاصطناعي” على مبادئ المساءلة والشفافية وعدم الإضرار وقابلية التتبع (الهيئة السعودية للبيانات والذكاء الاصطناعي، 2023)، كما شدد “إطار تبني الذكاء الاصطناعي” على ضرورة وضوح الأدوار والمسؤوليات وعدم إسناد القرار النهائي إلى النظام الآلي بصورة مستقلة (الهيئة السعودية للبيانات والذكاء الاصطناعي، 2024). ويُفهم من هذه الوثائق أن التوجه التنظيمي الوطني لا يعترف للذكاء الاصطناعي بصفة الفاعل القانوني المستقل، بل يرسخ مبدأ بقاء المسؤولية في يد الإنسان، حتى في حال الاستعانة بالأنظمة الذكية</w:t>
      </w:r>
      <w:r>
        <w:rPr>
          <w:rFonts w:asciiTheme="majorBidi" w:hAnsiTheme="majorBidi" w:cstheme="majorBidi"/>
          <w:sz w:val="24"/>
          <w:szCs w:val="24"/>
        </w:rPr>
        <w:t>.</w:t>
      </w:r>
    </w:p>
    <w:p w14:paraId="1BCC275C"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عالجت الدراسات القانونية الحديثة هذه المسألة من زوايا متعددة. فالمالكي يرى أن الذكاء الاصطناعي لا يُعد شخصًا قانونيًا مستقلًا، وأن المسؤولية تبقى لصيقة بالمستخدم أو المشغل الذي يمارس الرقابة عليه (المالكي، 2024). وفي سياق موازٍ، نبهت مجلة العدالة إلى ضرورة ضبط المسؤولية المهنية في استخدام الأنظمة الذكية داخل الممارسة القانونية، منعًا لاضطراب المعايير وفقدان الثقة في المخرجات (مجلة العدالة، 2022). كما أشارت مجلة الشريعة والقانون إلى أن الإفراط في الاعتماد على الأنظمة التحليلية قد يمس جوهر الوظيفة القانونية القائمة على الاجتهاد البشري، إذا تحول الاستخدام إلى بديل عن التمحيص والمراجعة (مجلة الشريعة والقانون، 2022)</w:t>
      </w:r>
      <w:r>
        <w:rPr>
          <w:rFonts w:asciiTheme="majorBidi" w:hAnsiTheme="majorBidi" w:cstheme="majorBidi"/>
          <w:sz w:val="24"/>
          <w:szCs w:val="24"/>
        </w:rPr>
        <w:t>.</w:t>
      </w:r>
    </w:p>
    <w:p w14:paraId="020EBDC8"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الناحية الفقهية، فإن نسبة القول أو الفعل في الشريعة لا تقوم إلا إلى مكلف ذي ذمة، ولا يُتصور إسناد حكم إلى غير مكلف. وقد ناقش الحربي مسألة الاعتراف بالشخصية القانونية للذكاء الاصطناعي، وخلص إلى صعوبة منح التقنية ذمة مستقلة في ظل البناء التقليدي للنظرية القانونية (الحربي، دون تاريخ). ويبدو أن القياس الأقرب في هذا السياق هو قياس المخرجات الذكية على صور الوكالة أو التسبب، حيث تُنسب النتائج إلى من أذن واستخدم واعتمد، بشرط تحقق القدرة الواقعية على الرقابة وعدم التفريط</w:t>
      </w:r>
      <w:r>
        <w:rPr>
          <w:rFonts w:asciiTheme="majorBidi" w:hAnsiTheme="majorBidi" w:cstheme="majorBidi"/>
          <w:sz w:val="24"/>
          <w:szCs w:val="24"/>
        </w:rPr>
        <w:t>.</w:t>
      </w:r>
    </w:p>
    <w:p w14:paraId="0A934E78"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وعليه، فإن الإشكالية التي يعالجها هذا المبحث ليست إشكالية قبول التقنية أو رفضها، بل إشكالية إدراجها ضمن البنية المفاهيمية القائمة للنظام القانوني، وتحديد موقعها بين الإرادة والنسبة والحجية والمسؤولية. فالمخرجات الذكية لا يمكن التعامل معها بوصفها مجرد “أدوات صماء”، ولا بوصفها “فاعلين قانونيين مستقلين”، بل بوصفها عنصرًا وسيطًا متقدمًا داخل منظومة تصرف قانوني يظل في جوهره بشري المصدر</w:t>
      </w:r>
      <w:r>
        <w:rPr>
          <w:rFonts w:asciiTheme="majorBidi" w:hAnsiTheme="majorBidi" w:cstheme="majorBidi"/>
          <w:sz w:val="24"/>
          <w:szCs w:val="24"/>
        </w:rPr>
        <w:t>.</w:t>
      </w:r>
    </w:p>
    <w:p w14:paraId="5035F689"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وانطلاقًا من ذلك، ينقسم هذا المبحث إلى مطلبين</w:t>
      </w:r>
      <w:r>
        <w:rPr>
          <w:rFonts w:asciiTheme="majorBidi" w:hAnsiTheme="majorBidi" w:cstheme="majorBidi"/>
          <w:b/>
          <w:bCs/>
          <w:sz w:val="24"/>
          <w:szCs w:val="24"/>
        </w:rPr>
        <w:t>:</w:t>
      </w:r>
      <w:r>
        <w:rPr>
          <w:rFonts w:asciiTheme="majorBidi" w:hAnsiTheme="majorBidi" w:cstheme="majorBidi"/>
          <w:sz w:val="24"/>
          <w:szCs w:val="24"/>
        </w:rPr>
        <w:br/>
      </w:r>
      <w:r>
        <w:rPr>
          <w:rFonts w:asciiTheme="majorBidi" w:hAnsiTheme="majorBidi" w:cstheme="majorBidi"/>
          <w:sz w:val="24"/>
          <w:szCs w:val="24"/>
          <w:rtl/>
        </w:rPr>
        <w:t xml:space="preserve">يتناول </w:t>
      </w:r>
      <w:r>
        <w:rPr>
          <w:rFonts w:asciiTheme="majorBidi" w:hAnsiTheme="majorBidi" w:cstheme="majorBidi"/>
          <w:b/>
          <w:bCs/>
          <w:sz w:val="24"/>
          <w:szCs w:val="24"/>
          <w:rtl/>
        </w:rPr>
        <w:t>المطلب الأول</w:t>
      </w:r>
      <w:r>
        <w:rPr>
          <w:rFonts w:asciiTheme="majorBidi" w:hAnsiTheme="majorBidi" w:cstheme="majorBidi"/>
          <w:sz w:val="24"/>
          <w:szCs w:val="24"/>
          <w:rtl/>
        </w:rPr>
        <w:t xml:space="preserve"> حجية العقود والتقارير القانونية المنتجة آليًا من حيث التكوين والنسبة والحجية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 xml:space="preserve">أما </w:t>
      </w:r>
      <w:r>
        <w:rPr>
          <w:rFonts w:asciiTheme="majorBidi" w:hAnsiTheme="majorBidi" w:cstheme="majorBidi"/>
          <w:b/>
          <w:bCs/>
          <w:sz w:val="24"/>
          <w:szCs w:val="24"/>
          <w:rtl/>
        </w:rPr>
        <w:t>المطلب الثاني</w:t>
      </w:r>
      <w:r>
        <w:rPr>
          <w:rFonts w:asciiTheme="majorBidi" w:hAnsiTheme="majorBidi" w:cstheme="majorBidi"/>
          <w:sz w:val="24"/>
          <w:szCs w:val="24"/>
          <w:rtl/>
        </w:rPr>
        <w:t xml:space="preserve"> فيبحث مشروعية استخدام هذه المخرجات أمام الجهات القضائية، في ضوء الضمانات الإجرائية وسلطة القاضي في تقدير الأدلة، مع الإشارة إلى بعض التجارب الدولية بوصفها مؤشرات تنظيمية مقارنة لا محل استبدال</w:t>
      </w:r>
      <w:r>
        <w:rPr>
          <w:rFonts w:asciiTheme="majorBidi" w:hAnsiTheme="majorBidi" w:cstheme="majorBidi"/>
          <w:sz w:val="24"/>
          <w:szCs w:val="24"/>
        </w:rPr>
        <w:t>.</w:t>
      </w:r>
    </w:p>
    <w:p w14:paraId="413FC54B" w14:textId="77777777" w:rsidR="00355E75" w:rsidRDefault="00624037" w:rsidP="00624037">
      <w:pPr>
        <w:jc w:val="right"/>
        <w:rPr>
          <w:rFonts w:asciiTheme="majorBidi" w:hAnsiTheme="majorBidi" w:cstheme="majorBidi"/>
          <w:sz w:val="24"/>
          <w:szCs w:val="24"/>
          <w:rtl/>
        </w:rPr>
      </w:pPr>
      <w:r>
        <w:rPr>
          <w:rFonts w:asciiTheme="majorBidi" w:hAnsiTheme="majorBidi" w:cstheme="majorBidi"/>
          <w:sz w:val="24"/>
          <w:szCs w:val="24"/>
          <w:rtl/>
        </w:rPr>
        <w:t>ويمثل هذا التمهيد الأساس النظري الذي سيُبنى عليه التحليل التفصيلي في المطلبين اللاحقين، تمهيدًا للانتقال – في المبحث الثاني – إلى معالجة سؤال المسؤولية القانونية والمهنية عن هذه المخرجات في بيئة إنتاج قانوني مركبة</w:t>
      </w:r>
    </w:p>
    <w:p w14:paraId="4680AF81" w14:textId="77777777" w:rsidR="00355E75" w:rsidRDefault="00355E75" w:rsidP="00624037">
      <w:pPr>
        <w:jc w:val="right"/>
        <w:rPr>
          <w:rFonts w:asciiTheme="majorBidi" w:hAnsiTheme="majorBidi" w:cstheme="majorBidi"/>
          <w:sz w:val="24"/>
          <w:szCs w:val="24"/>
          <w:rtl/>
        </w:rPr>
      </w:pPr>
    </w:p>
    <w:p w14:paraId="51D9B8DC" w14:textId="77777777" w:rsidR="00355E75" w:rsidRDefault="00355E75" w:rsidP="00624037">
      <w:pPr>
        <w:jc w:val="right"/>
        <w:rPr>
          <w:rFonts w:asciiTheme="majorBidi" w:hAnsiTheme="majorBidi" w:cstheme="majorBidi"/>
          <w:sz w:val="24"/>
          <w:szCs w:val="24"/>
        </w:rPr>
      </w:pPr>
    </w:p>
    <w:p w14:paraId="213AF8A0" w14:textId="77777777" w:rsidR="004E4D2E" w:rsidRDefault="004E4D2E" w:rsidP="00624037">
      <w:pPr>
        <w:jc w:val="right"/>
        <w:rPr>
          <w:rFonts w:asciiTheme="majorBidi" w:hAnsiTheme="majorBidi" w:cstheme="majorBidi"/>
          <w:sz w:val="24"/>
          <w:szCs w:val="24"/>
        </w:rPr>
      </w:pPr>
    </w:p>
    <w:p w14:paraId="169CBC2A" w14:textId="77777777" w:rsidR="004E4D2E" w:rsidRDefault="004E4D2E" w:rsidP="00624037">
      <w:pPr>
        <w:jc w:val="right"/>
        <w:rPr>
          <w:rFonts w:asciiTheme="majorBidi" w:hAnsiTheme="majorBidi" w:cstheme="majorBidi"/>
          <w:sz w:val="24"/>
          <w:szCs w:val="24"/>
        </w:rPr>
      </w:pPr>
    </w:p>
    <w:p w14:paraId="0122C301" w14:textId="77777777" w:rsidR="004E4D2E" w:rsidRDefault="004E4D2E" w:rsidP="00624037">
      <w:pPr>
        <w:jc w:val="right"/>
        <w:rPr>
          <w:rFonts w:asciiTheme="majorBidi" w:hAnsiTheme="majorBidi" w:cstheme="majorBidi"/>
          <w:sz w:val="24"/>
          <w:szCs w:val="24"/>
          <w:rtl/>
        </w:rPr>
      </w:pPr>
    </w:p>
    <w:p w14:paraId="2895B753" w14:textId="77777777" w:rsidR="00624037" w:rsidRPr="000A2E06" w:rsidRDefault="00624037" w:rsidP="00624037">
      <w:pPr>
        <w:jc w:val="right"/>
        <w:rPr>
          <w:rFonts w:asciiTheme="majorBidi" w:hAnsiTheme="majorBidi" w:cstheme="majorBidi"/>
          <w:sz w:val="24"/>
          <w:szCs w:val="24"/>
        </w:rPr>
      </w:pPr>
    </w:p>
    <w:p w14:paraId="12A6B81B" w14:textId="77777777" w:rsidR="00624037" w:rsidRPr="00850F57" w:rsidRDefault="00624037" w:rsidP="00624037">
      <w:pPr>
        <w:jc w:val="center"/>
        <w:rPr>
          <w:rFonts w:asciiTheme="majorBidi" w:hAnsiTheme="majorBidi" w:cstheme="majorBidi"/>
          <w:b/>
          <w:bCs/>
          <w:sz w:val="32"/>
          <w:szCs w:val="32"/>
        </w:rPr>
      </w:pPr>
      <w:r>
        <w:rPr>
          <w:rFonts w:asciiTheme="majorBidi" w:hAnsiTheme="majorBidi" w:cstheme="majorBidi"/>
          <w:b/>
          <w:bCs/>
          <w:sz w:val="32"/>
          <w:szCs w:val="32"/>
          <w:rtl/>
        </w:rPr>
        <w:lastRenderedPageBreak/>
        <w:t>المطلب الأول</w:t>
      </w:r>
    </w:p>
    <w:p w14:paraId="20F1AC31" w14:textId="77777777" w:rsidR="00624037" w:rsidRDefault="00624037" w:rsidP="00624037">
      <w:pPr>
        <w:jc w:val="center"/>
        <w:rPr>
          <w:rFonts w:asciiTheme="majorBidi" w:hAnsiTheme="majorBidi" w:cstheme="majorBidi"/>
          <w:b/>
          <w:bCs/>
          <w:sz w:val="32"/>
          <w:szCs w:val="32"/>
          <w:rtl/>
        </w:rPr>
      </w:pPr>
      <w:r>
        <w:rPr>
          <w:rFonts w:asciiTheme="majorBidi" w:hAnsiTheme="majorBidi" w:cstheme="majorBidi"/>
          <w:b/>
          <w:bCs/>
          <w:sz w:val="32"/>
          <w:szCs w:val="32"/>
          <w:rtl/>
        </w:rPr>
        <w:t>حجية العقود والتقارير القانونية المنتجة آليًا</w:t>
      </w:r>
    </w:p>
    <w:p w14:paraId="7267991B" w14:textId="77777777" w:rsidR="00624037" w:rsidRPr="00850F57" w:rsidRDefault="00624037" w:rsidP="00624037">
      <w:pPr>
        <w:jc w:val="center"/>
        <w:rPr>
          <w:rFonts w:asciiTheme="majorBidi" w:hAnsiTheme="majorBidi" w:cstheme="majorBidi"/>
          <w:b/>
          <w:bCs/>
          <w:sz w:val="32"/>
          <w:szCs w:val="32"/>
        </w:rPr>
      </w:pPr>
    </w:p>
    <w:p w14:paraId="0B69A1B0"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أولًا: مفهوم الحجية في النظرية العامة للتصرف القانوني</w:t>
      </w:r>
    </w:p>
    <w:p w14:paraId="6E6CA098"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الحجية في التصور القانوني ليست وصفًا شكليًا للمحرر، بل هي مركز قانوني مركب ينشأ عن توافر شروط محددة تتصل بصحة التكوين، وسلامة النسبة، وقابلية الاحتجاج أمام الغير. وقد قرر نظام المعاملات المدنية أن التصرف القانوني يقوم على إرادة معتبرة شرعًا ونظامًا، تصدر عن ذي أهلية، وتتجه إلى إحداث أثر قانوني معين. ويُفهم من هذا النص أن الحجية لا تُفهم بمعزل عن الإرادة، وأن الإرادة لا تُفهم بمعزل عن النسبة</w:t>
      </w:r>
      <w:r>
        <w:rPr>
          <w:rFonts w:asciiTheme="majorBidi" w:hAnsiTheme="majorBidi" w:cstheme="majorBidi"/>
          <w:sz w:val="24"/>
          <w:szCs w:val="24"/>
        </w:rPr>
        <w:t>.</w:t>
      </w:r>
    </w:p>
    <w:p w14:paraId="5859E83E"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المخرجات القانونية المنتجة عبر أنظمة الذكاء الاصطناعي تثير تساؤلًا جوهريًا: هل يمكن القول إن الإرادة في هذه الحالة تظل “إرادة بشرية خالصة”، أم أنها إرادة مركبة تتداخل فيها عناصر تحليلية غير بشرية؟</w:t>
      </w:r>
      <w:r>
        <w:rPr>
          <w:rFonts w:asciiTheme="majorBidi" w:hAnsiTheme="majorBidi" w:cstheme="majorBidi"/>
          <w:sz w:val="24"/>
          <w:szCs w:val="24"/>
        </w:rPr>
        <w:br/>
      </w:r>
      <w:r>
        <w:rPr>
          <w:rFonts w:asciiTheme="majorBidi" w:hAnsiTheme="majorBidi" w:cstheme="majorBidi"/>
          <w:sz w:val="24"/>
          <w:szCs w:val="24"/>
          <w:rtl/>
        </w:rPr>
        <w:t>هذا السؤال لا يمس الوسيلة التقنية بقدر ما يمس معيار “الانتماء الإرادي” للتصرف</w:t>
      </w:r>
      <w:r>
        <w:rPr>
          <w:rFonts w:asciiTheme="majorBidi" w:hAnsiTheme="majorBidi" w:cstheme="majorBidi"/>
          <w:sz w:val="24"/>
          <w:szCs w:val="24"/>
        </w:rPr>
        <w:t>.</w:t>
      </w:r>
    </w:p>
    <w:p w14:paraId="0C2F8AA3"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في الفقه المدني التقليدي، يُشترط لقيام التصرف أن يكون التعبير عن الإرادة صادرًا عن شخص محدد، بحيث يمكن نسبته إليه وتحميله تبعته. فإذا كان النظام الذكي قد شارك في صياغة العقد أو التقرير القانوني، فإن التكييف يتوقف على مدى اندماج هذا المخرج في إرادة المستخدم واعتماده الواعي له</w:t>
      </w:r>
      <w:r>
        <w:rPr>
          <w:rFonts w:asciiTheme="majorBidi" w:hAnsiTheme="majorBidi" w:cstheme="majorBidi"/>
          <w:sz w:val="24"/>
          <w:szCs w:val="24"/>
        </w:rPr>
        <w:t>.</w:t>
      </w:r>
    </w:p>
    <w:p w14:paraId="16E64936"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 المالكي إلى أن الذكاء الاصطناعي – من حيث الأصل – لا يتمتع بإرادة قانونية مستقلة، ولا يمكن إسناد الفعل إليه بوصفه شخصًا قانونيًا، وأن المسؤولية تبقى في يد المشغل أو المستخدم (المالكي، 2024)</w:t>
      </w:r>
      <w:r>
        <w:rPr>
          <w:rStyle w:val="af"/>
          <w:rFonts w:asciiTheme="majorBidi" w:hAnsiTheme="majorBidi" w:cstheme="majorBidi"/>
          <w:sz w:val="24"/>
          <w:szCs w:val="24"/>
          <w:rtl/>
        </w:rPr>
        <w:footnoteReference w:id="213"/>
      </w:r>
      <w:r>
        <w:rPr>
          <w:rFonts w:asciiTheme="majorBidi" w:hAnsiTheme="majorBidi" w:cstheme="majorBidi"/>
          <w:sz w:val="24"/>
          <w:szCs w:val="24"/>
          <w:rtl/>
        </w:rPr>
        <w:t>. غير أن هذا الطرح، وإن كان صحيحًا في مستوى المسؤولية، يحتاج إلى تعميق عند بحث الحجية؛ لأن الحجية لا تتعلق فقط بمن يتحمل التبعة، بل بمن يُعد مصدرًا للتكوين الإرادي</w:t>
      </w:r>
      <w:r>
        <w:rPr>
          <w:rFonts w:asciiTheme="majorBidi" w:hAnsiTheme="majorBidi" w:cstheme="majorBidi"/>
          <w:sz w:val="24"/>
          <w:szCs w:val="24"/>
        </w:rPr>
        <w:t>.</w:t>
      </w:r>
    </w:p>
    <w:p w14:paraId="1B9366B9" w14:textId="77777777" w:rsidR="00624037" w:rsidRPr="00850F57" w:rsidRDefault="00355E75"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الحجية في المخرجات الذكية لا تُقاس بمعيار “من كتب النص”، بل بمعيار “من تبنّى المضمون بعد فهمٍ وتمحيص”. فإذا كان المحامي قد اعتمد المخرج اعتمادًا شكليًا دون مراجعة جوهرية، فإن نسبة الإرادة تصبح ضعيفة، حتى لو ظل الشكل مستوفيًا. أما إذا كان الاعتماد مسبوقًا بمراجعة نقدية واعية، فإن المخرج يندمج في إرادته ويكتسب حجية كاملة</w:t>
      </w:r>
      <w:r>
        <w:rPr>
          <w:rFonts w:asciiTheme="majorBidi" w:hAnsiTheme="majorBidi" w:cstheme="majorBidi"/>
          <w:sz w:val="24"/>
          <w:szCs w:val="24"/>
        </w:rPr>
        <w:t>.</w:t>
      </w:r>
    </w:p>
    <w:p w14:paraId="00D89357" w14:textId="77777777" w:rsidR="00624037" w:rsidRPr="00850F57" w:rsidRDefault="00624037" w:rsidP="00624037">
      <w:pPr>
        <w:jc w:val="right"/>
        <w:rPr>
          <w:rFonts w:asciiTheme="majorBidi" w:hAnsiTheme="majorBidi" w:cstheme="majorBidi"/>
          <w:sz w:val="24"/>
          <w:szCs w:val="24"/>
        </w:rPr>
      </w:pPr>
    </w:p>
    <w:p w14:paraId="0F9912B3"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ثانيًا: نظرية الإرادة في مواجهة المعالجة الخوارزمية</w:t>
      </w:r>
    </w:p>
    <w:p w14:paraId="7E6F294D"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وفي هذا السياق الأكاديمي، استعرض أبو العيد في بحثه حول الذكاء الاصطناعي والقانون الإشكالية الجوهرية المتعلقة بغياب الإرادة الحقيقية عن أنظمة الذكاء الاصطناعي؛ إذ يؤكد أن هذه الأنظمة، وإن بلغت من القدرة الحسابية والتنبؤية حدًا مذهلًا، تفتقر إلى الأهلية القانونية اللازمة للإقرار بمسؤوليتها المستقلة، وأن القانون ما زال يُعوّل على الإنسان صاحب الإرادة المدنية بوصفه المرجع الأول في تحديد الحقوق والالتزامات الناجمة عن استخدام هذه التقنيات.</w:t>
      </w:r>
      <w:r>
        <w:rPr>
          <w:rStyle w:val="af"/>
          <w:rFonts w:asciiTheme="majorBidi" w:hAnsiTheme="majorBidi" w:cstheme="majorBidi"/>
          <w:sz w:val="24"/>
          <w:szCs w:val="24"/>
          <w:rtl/>
        </w:rPr>
        <w:footnoteReference w:id="214"/>
      </w:r>
    </w:p>
    <w:p w14:paraId="0990773C"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قامت نظرية الإرادة في الفقه المدني على مبدأ سلطان الإرادة، الذي يجعل الإرادة مصدر الالتزام ومناطه. غير أن الفقه الحديث تطور إلى ما يُعرف بـ “نظرية التوازن الموضوعي”، التي تقيد الإرادة بضوابط العدالة والنظام </w:t>
      </w:r>
      <w:r>
        <w:rPr>
          <w:rFonts w:asciiTheme="majorBidi" w:hAnsiTheme="majorBidi" w:cstheme="majorBidi"/>
          <w:sz w:val="24"/>
          <w:szCs w:val="24"/>
          <w:rtl/>
        </w:rPr>
        <w:lastRenderedPageBreak/>
        <w:t>العام. وفي سياق الذكاء الاصطناعي، لا يكفي القول بوجود إرادة شكلية؛ بل ينبغي بحث ما إذا كانت الإرادة قد تشكلت بحرية ووعي أم تأثرت بمعالجة خوارزمية غير مدركة بالكامل</w:t>
      </w:r>
      <w:r>
        <w:rPr>
          <w:rFonts w:asciiTheme="majorBidi" w:hAnsiTheme="majorBidi" w:cstheme="majorBidi"/>
          <w:sz w:val="24"/>
          <w:szCs w:val="24"/>
        </w:rPr>
        <w:t>.</w:t>
      </w:r>
    </w:p>
    <w:p w14:paraId="063AE53C"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الأنظمة التوليدية قد تقدم للمستخدم صياغات قانونية “مقنعة”، ما يخلق نوعًا من الاعتماد المعرفي على النظام. وهنا يثور تساؤل نظري: هل يؤدي الاعتماد المكثف على التحليل الخوارزمي إلى إضعاف عنصر الإرادة الحرة؟</w:t>
      </w:r>
      <w:r>
        <w:rPr>
          <w:rFonts w:asciiTheme="majorBidi" w:hAnsiTheme="majorBidi" w:cstheme="majorBidi"/>
          <w:sz w:val="24"/>
          <w:szCs w:val="24"/>
        </w:rPr>
        <w:br/>
      </w:r>
      <w:r>
        <w:rPr>
          <w:rFonts w:asciiTheme="majorBidi" w:hAnsiTheme="majorBidi" w:cstheme="majorBidi"/>
          <w:sz w:val="24"/>
          <w:szCs w:val="24"/>
          <w:rtl/>
        </w:rPr>
        <w:t>هذا السؤال يقترب من نظرية “العيوب الإرادية”، لأن الإرادة إذا تشكلت بناءً على تحليل غير قابل للفحص أو قائم على بيانات منحازة، فقد يكون ذلك مؤثرًا في صحتها</w:t>
      </w:r>
      <w:r>
        <w:rPr>
          <w:rFonts w:asciiTheme="majorBidi" w:hAnsiTheme="majorBidi" w:cstheme="majorBidi"/>
          <w:sz w:val="24"/>
          <w:szCs w:val="24"/>
        </w:rPr>
        <w:t>.</w:t>
      </w:r>
    </w:p>
    <w:p w14:paraId="1C78D743"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قرر نظام المعاملات المدنية أن الإرادة إذا شابها عيب مؤثر كان التصرف قابلًا للإبطال (هيئة الخبراء بمجلس الوزراء، 1445هـ)</w:t>
      </w:r>
      <w:r>
        <w:rPr>
          <w:rStyle w:val="af"/>
          <w:rFonts w:asciiTheme="majorBidi" w:hAnsiTheme="majorBidi" w:cstheme="majorBidi"/>
          <w:sz w:val="24"/>
          <w:szCs w:val="24"/>
          <w:rtl/>
        </w:rPr>
        <w:footnoteReference w:id="215"/>
      </w:r>
      <w:r>
        <w:rPr>
          <w:rFonts w:asciiTheme="majorBidi" w:hAnsiTheme="majorBidi" w:cstheme="majorBidi"/>
          <w:sz w:val="24"/>
          <w:szCs w:val="24"/>
          <w:rtl/>
        </w:rPr>
        <w:t>. ومن ثم، فإن استخدام نظام ذكي يقدم توصيفًا قانونيًا خاطئًا بصورة منهجية قد يثير إشكالًا يتعلق بسلامة تكوين الإرادة، لا بمجرد خطأ في الصياغة</w:t>
      </w:r>
      <w:r>
        <w:rPr>
          <w:rFonts w:asciiTheme="majorBidi" w:hAnsiTheme="majorBidi" w:cstheme="majorBidi"/>
          <w:sz w:val="24"/>
          <w:szCs w:val="24"/>
        </w:rPr>
        <w:t>.</w:t>
      </w:r>
    </w:p>
    <w:p w14:paraId="62E6DC1C" w14:textId="77777777" w:rsidR="00624037" w:rsidRPr="00850F57" w:rsidRDefault="00355E75"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لا أرى أن الاعتماد على الذكاء الاصطناعي يُعد في ذاته عيبًا في الإرادة، لكن الخطر يكمن في “الاعتماد غير المفحوص”. فإذا فقد المستخدم القدرة الواقعية على تقييم المخرج أو أصبح عاجزًا عن تفسيره، فإن معيار الإرادة الواعية يتعرض للاهتزاز. ومن ثم، فإن معيار الفحص النقدي يجب أن يُدمج ضمن مفهوم الإرادة في البيئة الرقمية</w:t>
      </w:r>
      <w:r>
        <w:rPr>
          <w:rFonts w:asciiTheme="majorBidi" w:hAnsiTheme="majorBidi" w:cstheme="majorBidi"/>
          <w:sz w:val="24"/>
          <w:szCs w:val="24"/>
        </w:rPr>
        <w:t>.</w:t>
      </w:r>
    </w:p>
    <w:p w14:paraId="4D9715E8" w14:textId="77777777" w:rsidR="00624037" w:rsidRPr="00850F57" w:rsidRDefault="00624037" w:rsidP="00624037">
      <w:pPr>
        <w:jc w:val="right"/>
        <w:rPr>
          <w:rFonts w:asciiTheme="majorBidi" w:hAnsiTheme="majorBidi" w:cstheme="majorBidi"/>
          <w:sz w:val="24"/>
          <w:szCs w:val="24"/>
        </w:rPr>
      </w:pPr>
    </w:p>
    <w:p w14:paraId="38304929"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ثالثًا: حجية المحررات الإلكترونية وحدود القياس عليها</w:t>
      </w:r>
    </w:p>
    <w:p w14:paraId="2F73889B"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أقر نظام الإثبات حجية المحررات الإلكترونية، وأجاز الاحتجاج بها متى ثبتت نسبتها وسلامتها (هيئة الخبراء بمجلس الوزراء، 1443هـ)</w:t>
      </w:r>
      <w:r>
        <w:rPr>
          <w:rStyle w:val="af"/>
          <w:rFonts w:asciiTheme="majorBidi" w:hAnsiTheme="majorBidi" w:cstheme="majorBidi"/>
          <w:sz w:val="24"/>
          <w:szCs w:val="24"/>
          <w:rtl/>
        </w:rPr>
        <w:footnoteReference w:id="216"/>
      </w:r>
      <w:r>
        <w:rPr>
          <w:rFonts w:asciiTheme="majorBidi" w:hAnsiTheme="majorBidi" w:cstheme="majorBidi"/>
          <w:sz w:val="24"/>
          <w:szCs w:val="24"/>
          <w:rtl/>
        </w:rPr>
        <w:t>. وقد استقر الفقه على أن الاعتداد بالمحرر الإلكتروني يقوم على عنصرين: صحة النسبة، وسلامة الوسيط</w:t>
      </w:r>
      <w:r>
        <w:rPr>
          <w:rFonts w:asciiTheme="majorBidi" w:hAnsiTheme="majorBidi" w:cstheme="majorBidi"/>
          <w:sz w:val="24"/>
          <w:szCs w:val="24"/>
        </w:rPr>
        <w:t>.</w:t>
      </w:r>
    </w:p>
    <w:p w14:paraId="7E4C6C8F"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المخرجات المنتجة آليًا تختلف عن المحررات الإلكترونية التقليدية في نقطة جوهرية؛ إذ إن المحرر الإلكتروني غالبًا ما يكون مجرد نسخة رقمية من إرادة بشرية مكتملة، بينما المخرج الذكي قد يكون نتاج معالجة تحليلية أسهمت في تكوين المضمون ذاته</w:t>
      </w:r>
      <w:r>
        <w:rPr>
          <w:rFonts w:asciiTheme="majorBidi" w:hAnsiTheme="majorBidi" w:cstheme="majorBidi"/>
          <w:sz w:val="24"/>
          <w:szCs w:val="24"/>
        </w:rPr>
        <w:t>.</w:t>
      </w:r>
    </w:p>
    <w:p w14:paraId="54EDAA60"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أوضح الأسيوطي</w:t>
      </w:r>
      <w:r>
        <w:rPr>
          <w:rStyle w:val="af"/>
          <w:rFonts w:asciiTheme="majorBidi" w:hAnsiTheme="majorBidi" w:cstheme="majorBidi"/>
          <w:sz w:val="24"/>
          <w:szCs w:val="24"/>
          <w:rtl/>
        </w:rPr>
        <w:footnoteReference w:id="217"/>
      </w:r>
      <w:r>
        <w:rPr>
          <w:rFonts w:asciiTheme="majorBidi" w:hAnsiTheme="majorBidi" w:cstheme="majorBidi"/>
          <w:sz w:val="24"/>
          <w:szCs w:val="24"/>
          <w:rtl/>
        </w:rPr>
        <w:t xml:space="preserve"> أن الحجية الرقمية تقوم على قابلية التحقق من المصدر وسلامة المحتوى وقابلية التتبع (الأسيوطي، 2020). وهذا يفتح بابًا مهمًا في تقييم المخرجات الذكية: هل يمكن تتبع آلية تكوينها؟ وهل يمكن فحص أساسها؟ أم أنها تقدم نتيجة دون مسار واضح؟</w:t>
      </w:r>
    </w:p>
    <w:p w14:paraId="3CAE0B9A"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معيار “قابلية التفسير” هنا يصبح عنصرًا مكملًا للحجية، لأن القضاء لا يستطيع الاعتداد بمحرر لا يمكن فهم أسس تكوينه في حدود معقولة</w:t>
      </w:r>
      <w:r>
        <w:rPr>
          <w:rFonts w:asciiTheme="majorBidi" w:hAnsiTheme="majorBidi" w:cstheme="majorBidi"/>
          <w:sz w:val="24"/>
          <w:szCs w:val="24"/>
        </w:rPr>
        <w:t>.</w:t>
      </w:r>
    </w:p>
    <w:p w14:paraId="7BFFEDE8" w14:textId="77777777" w:rsidR="00624037" w:rsidRDefault="00355E75" w:rsidP="00CF598B">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القياس على المحررات الإلكترونية صحيح من حيث الشكل، لكنه غير كافٍ من حيث الجوهر. فالمخرجات الذكية تحتاج إلى معيار إضافي يتمثل في “إمكان التحقق المهني”، أي قدرة المستخدم على تفسير المخرج والدفاع عنه علميًا وقانونيًا</w:t>
      </w:r>
      <w:r>
        <w:rPr>
          <w:rFonts w:asciiTheme="majorBidi" w:hAnsiTheme="majorBidi" w:cstheme="majorBidi"/>
          <w:sz w:val="24"/>
          <w:szCs w:val="24"/>
        </w:rPr>
        <w:t>.</w:t>
      </w:r>
    </w:p>
    <w:p w14:paraId="2456CAC1" w14:textId="77777777" w:rsidR="00624037" w:rsidRDefault="00624037" w:rsidP="00624037">
      <w:pPr>
        <w:jc w:val="right"/>
        <w:rPr>
          <w:rFonts w:asciiTheme="majorBidi" w:hAnsiTheme="majorBidi" w:cstheme="majorBidi"/>
          <w:sz w:val="24"/>
          <w:szCs w:val="24"/>
        </w:rPr>
      </w:pPr>
    </w:p>
    <w:p w14:paraId="61E2BEB1" w14:textId="77777777" w:rsidR="004E4D2E" w:rsidRDefault="004E4D2E" w:rsidP="00624037">
      <w:pPr>
        <w:jc w:val="right"/>
        <w:rPr>
          <w:rFonts w:asciiTheme="majorBidi" w:hAnsiTheme="majorBidi" w:cstheme="majorBidi"/>
          <w:sz w:val="24"/>
          <w:szCs w:val="24"/>
        </w:rPr>
      </w:pPr>
    </w:p>
    <w:p w14:paraId="30AD1020" w14:textId="77777777" w:rsidR="00624037" w:rsidRPr="00850F57" w:rsidRDefault="00624037" w:rsidP="00624037">
      <w:pPr>
        <w:jc w:val="right"/>
        <w:rPr>
          <w:rFonts w:asciiTheme="majorBidi" w:hAnsiTheme="majorBidi" w:cstheme="majorBidi"/>
          <w:sz w:val="24"/>
          <w:szCs w:val="24"/>
        </w:rPr>
      </w:pPr>
    </w:p>
    <w:p w14:paraId="7A50766F"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lastRenderedPageBreak/>
        <w:t>رابعًا: العقود الذكية والتنفيذ المؤتمت</w:t>
      </w:r>
    </w:p>
    <w:p w14:paraId="7BDC8638"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وفي الاتجاه ذاته، بحث مرسي في دراسته مدى ملاءمة عقود الذكاء الاصطناعي المبرمة عبر تقنية البلوك تشين لقانون العقود التقليدي، مستهدفًا إثبات قدرة هذه العقود على إتمام المعاملات التجارية دون الإخلال بحقوق الأطراف أو انتهاك خصوصيتهم، ومنتهيًا إلى أن اشتراط الأهلية في أطراف العقد يُعدّ من أعقد الإشكاليات التي تواجه منظومة العقود الذكية، لا سيما أن هذه العقود لا تتحقق من هوية أطرافها ولا من اكتمال أهليتهم القانونية بالصورة الكافية.</w:t>
      </w:r>
      <w:r>
        <w:rPr>
          <w:rStyle w:val="af"/>
          <w:rFonts w:asciiTheme="majorBidi" w:hAnsiTheme="majorBidi" w:cstheme="majorBidi"/>
          <w:sz w:val="24"/>
          <w:szCs w:val="24"/>
          <w:rtl/>
        </w:rPr>
        <w:footnoteReference w:id="218"/>
      </w:r>
    </w:p>
    <w:p w14:paraId="561602F6"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وعلى صعيد الدراسات القانونية المتخصصة، تناولت علي في بحثها المقارن آلية العقود الذكية ذات الخصائص الفريدة التي غيّرت مسار العملية التعاقدية، مشيرةً إلى أن هذه العقود تُشكّل أحد أبرز التحديات القانونية المعاصرة، وتطرح تساؤلات دقيقة حول كيفية إبرام العقود عبر برامج حاسوبية تعتمد كليًا على الذكاء الاصطناعي، وما طبيعتها القانونية، ومدى استيفائها للأركان اللازمة لصحة العقود في القانون الوضعي.</w:t>
      </w:r>
      <w:r>
        <w:rPr>
          <w:rStyle w:val="af"/>
          <w:rFonts w:asciiTheme="majorBidi" w:hAnsiTheme="majorBidi" w:cstheme="majorBidi"/>
          <w:sz w:val="24"/>
          <w:szCs w:val="24"/>
          <w:rtl/>
        </w:rPr>
        <w:footnoteReference w:id="219"/>
      </w:r>
    </w:p>
    <w:p w14:paraId="257C7182"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تناول مرسي مسألة العقود المبرمة عبر أنظمة مؤتمتة، وخلص إلى أن هذه العقود لا تخرج عن الأركان العامة للعقد ما دام التراضي قائمًا (مرسي، 2023)</w:t>
      </w:r>
      <w:r>
        <w:rPr>
          <w:rStyle w:val="af"/>
          <w:rFonts w:asciiTheme="majorBidi" w:hAnsiTheme="majorBidi" w:cstheme="majorBidi"/>
          <w:sz w:val="24"/>
          <w:szCs w:val="24"/>
          <w:rtl/>
        </w:rPr>
        <w:footnoteReference w:id="220"/>
      </w:r>
      <w:r>
        <w:rPr>
          <w:rFonts w:asciiTheme="majorBidi" w:hAnsiTheme="majorBidi" w:cstheme="majorBidi"/>
          <w:sz w:val="24"/>
          <w:szCs w:val="24"/>
          <w:rtl/>
        </w:rPr>
        <w:t>. كما أكد العلي أن العقود التجارية الذكية تظل خاضعة للقواعد العامة، غير أن التنفيذ المؤتمت يثير تحديات تتعلق بتوزيع المخاطر (العلي، 2024)</w:t>
      </w:r>
      <w:r>
        <w:rPr>
          <w:rFonts w:asciiTheme="majorBidi" w:hAnsiTheme="majorBidi" w:cstheme="majorBidi"/>
          <w:sz w:val="24"/>
          <w:szCs w:val="24"/>
        </w:rPr>
        <w:t>.</w:t>
      </w:r>
    </w:p>
    <w:p w14:paraId="321B4F69"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وفي ضوء نظام المعاملات المدنية، فإن العقد ينعقد بتوافر الإيجاب والقبول، ولا يشترط وسيلة معينة للتعبير (هيئة الخبراء بمجلس الوزراء، 1445هـ). ومن ثم، فإن استخدام نظام ذكي في صياغة العقد لا ينزع عنه صفته القانونية. غير أن التنفيذ التلقائي – خاصة عبر البرمجة المسبقة – قد يؤدي إلى نتائج لا يمكن إيقافها بسهولة، وهو ما يرفع معيار العناية في مرحلة الإعداد</w:t>
      </w:r>
      <w:r>
        <w:rPr>
          <w:rFonts w:asciiTheme="majorBidi" w:hAnsiTheme="majorBidi" w:cstheme="majorBidi"/>
          <w:sz w:val="24"/>
          <w:szCs w:val="24"/>
        </w:rPr>
        <w:t>.</w:t>
      </w:r>
    </w:p>
    <w:p w14:paraId="5CC2380C"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العقود الذكية لا تُحدث قطيعة مع النظرية العامة للعقد، لكنها تكشف عن قصور في تصورنا التقليدي للخطأ العقدي. فالخطأ البرمجي قد يكون أشد أثرًا من الخطأ في الصياغة، لأنه يُنفذ آليًا دون فرصة للمراجعة اللحظية. ومن ثم، فإن الحجية العقدية هنا يجب أن تُقرأ في ضوء معيار العناية التقنية المشددة</w:t>
      </w:r>
      <w:r>
        <w:rPr>
          <w:rFonts w:asciiTheme="majorBidi" w:hAnsiTheme="majorBidi" w:cstheme="majorBidi"/>
          <w:sz w:val="24"/>
          <w:szCs w:val="24"/>
        </w:rPr>
        <w:t>.</w:t>
      </w:r>
    </w:p>
    <w:p w14:paraId="21ED1A73" w14:textId="77777777" w:rsidR="00624037" w:rsidRPr="00850F57" w:rsidRDefault="00624037" w:rsidP="00624037">
      <w:pPr>
        <w:jc w:val="right"/>
        <w:rPr>
          <w:rFonts w:asciiTheme="majorBidi" w:hAnsiTheme="majorBidi" w:cstheme="majorBidi"/>
          <w:sz w:val="24"/>
          <w:szCs w:val="24"/>
          <w:rtl/>
        </w:rPr>
      </w:pPr>
    </w:p>
    <w:p w14:paraId="201C6B72"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خامسًا: التكييف الفقهي ونظرية النسبة</w:t>
      </w:r>
    </w:p>
    <w:p w14:paraId="7D52BAB2"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يقوم الفقه الإسلامي على مبدأ أن “الأعمال بالنيات”، وأن الفعل يُنسب إلى فاعله المكلف. ولا يتصور في الفقه إسناد حكم إلى غير ذي ذمة. ومن ثم، فإن الذكاء الاصطناعي لا يمكن اعتباره فاعلًا شرعيًا مستقلًا</w:t>
      </w:r>
      <w:r>
        <w:rPr>
          <w:rFonts w:asciiTheme="majorBidi" w:hAnsiTheme="majorBidi" w:cstheme="majorBidi"/>
          <w:sz w:val="24"/>
          <w:szCs w:val="24"/>
        </w:rPr>
        <w:t>.</w:t>
      </w:r>
    </w:p>
    <w:p w14:paraId="69D12709"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ناقش الحربي مسألة الاعتراف بالشخصية القانونية للذكاء الاصطناعي، وانتهى إلى أن منح التقنية ذمة مستقلة يقتضي إعادة بناء جوهرية لمفاهيم الأهلية والنسبة (الحربي، دون تاريخ). ويبدو أن الأقرب للتكييف هو اعتبار النظام الذكي أداة تنفيذية تُنسب آثارها إلى من فعّلها</w:t>
      </w:r>
      <w:r>
        <w:rPr>
          <w:rFonts w:asciiTheme="majorBidi" w:hAnsiTheme="majorBidi" w:cstheme="majorBidi"/>
          <w:sz w:val="24"/>
          <w:szCs w:val="24"/>
        </w:rPr>
        <w:t>.</w:t>
      </w:r>
    </w:p>
    <w:p w14:paraId="17D38586"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الفقه يميز بين المباشر والمتسبب، ويقرر أن المتسبب يضمن إذا كان متعديًا أو مفرطًا. فإذا استخدم المحامي نظامًا دون فهم كافٍ أو دون مراجعة، فقد يتحقق معنى التفريط</w:t>
      </w:r>
      <w:r>
        <w:rPr>
          <w:rFonts w:asciiTheme="majorBidi" w:hAnsiTheme="majorBidi" w:cstheme="majorBidi"/>
          <w:sz w:val="24"/>
          <w:szCs w:val="24"/>
        </w:rPr>
        <w:t>.</w:t>
      </w:r>
    </w:p>
    <w:p w14:paraId="28B625D2"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lastRenderedPageBreak/>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القياس على أحكام التسبب أقرب من القياس على الوكالة؛ لأن النظام الذكي لا يملك إرادة مستقلة، بل يعمل في إطار برمجي. ومن ثم، فإن النسبة تبقى في يد المستخدم، لكن معيار التفريط يصبح هو الفيصل في تقييم الحجية والمسؤولية</w:t>
      </w:r>
      <w:r>
        <w:rPr>
          <w:rFonts w:asciiTheme="majorBidi" w:hAnsiTheme="majorBidi" w:cstheme="majorBidi"/>
          <w:sz w:val="24"/>
          <w:szCs w:val="24"/>
        </w:rPr>
        <w:t>.</w:t>
      </w:r>
    </w:p>
    <w:p w14:paraId="6ED5AF58"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سادسًا: التمييز بين الحجية الشكلية والحجية الموضوعية في المخرجات الذكية</w:t>
      </w:r>
    </w:p>
    <w:p w14:paraId="16B4BCCE"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أبرز الإشكالات النظرية في هذا السياق ضرورة التمييز بين ما يمكن تسميته بـ “الحجية الشكلية” و”الحجية الموضوعية”. فالحجية الشكلية تتحقق عندما يستوفي المحرر شروطه الشكلية من حيث التوقيع أو الاعتماد أو سلامة الوسيط الإلكتروني وفق ما قرره نظام الإثبات. أما الحجية الموضوعية فتتعلق بسلامة التكوين الإرادي، وصحة الأساس الذي بني عليه المضمون</w:t>
      </w:r>
      <w:r>
        <w:rPr>
          <w:rFonts w:asciiTheme="majorBidi" w:hAnsiTheme="majorBidi" w:cstheme="majorBidi"/>
          <w:sz w:val="24"/>
          <w:szCs w:val="24"/>
        </w:rPr>
        <w:t>.</w:t>
      </w:r>
    </w:p>
    <w:p w14:paraId="2EBBEBCD"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في المحررات التقليدية، كان الافتراض الغالب أن الشكل والمضمون صادران عن إرادة واحدة. أما في المخرجات المنتجة آليًا، فقد يتحقق الشكل عبر اعتماد المحامي للمحرر، بينما يكون التكوين الموضوعي قد تم عبر معالجة خوارزمية لا تخضع لرقابة دقيقة من المستخدم</w:t>
      </w:r>
      <w:r>
        <w:rPr>
          <w:rFonts w:asciiTheme="majorBidi" w:hAnsiTheme="majorBidi" w:cstheme="majorBidi"/>
          <w:sz w:val="24"/>
          <w:szCs w:val="24"/>
        </w:rPr>
        <w:t>.</w:t>
      </w:r>
    </w:p>
    <w:p w14:paraId="7A51DD74"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 الأسيوطي إلى أن الثقة في البيئة الرقمية لا تنشأ من مجرد وجود وسيط تقني، بل من إمكانية التحقق من المصدر والأساس الذي بُني عليه المحتوى (الأسيوطي، 2020). وهذا يفرض إعادة قراءة الحجية بوصفها عملية مركبة، لا وصفًا جامدًا</w:t>
      </w:r>
      <w:r>
        <w:rPr>
          <w:rFonts w:asciiTheme="majorBidi" w:hAnsiTheme="majorBidi" w:cstheme="majorBidi"/>
          <w:sz w:val="24"/>
          <w:szCs w:val="24"/>
        </w:rPr>
        <w:t>.</w:t>
      </w:r>
    </w:p>
    <w:p w14:paraId="31A99E02"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أخطر ما قد يواجه البيئة القانونية هو الخلط بين الحجية الشكلية والحجية الموضوعية. فقد يطمئن المستخدم إلى أن المخرج “مستوفٍ شكليًا”، لكنه يغفل عن ضعف الأساس الموضوعي. ومن ثم فإن معيار الحجية في المخرجات الذكية يجب أن يُبنى على ازدواجية واضحة: سلامة الشكل + سلامة التكوين الواعي</w:t>
      </w:r>
      <w:r>
        <w:rPr>
          <w:rFonts w:asciiTheme="majorBidi" w:hAnsiTheme="majorBidi" w:cstheme="majorBidi"/>
          <w:sz w:val="24"/>
          <w:szCs w:val="24"/>
        </w:rPr>
        <w:t>.</w:t>
      </w:r>
    </w:p>
    <w:p w14:paraId="531F77BC" w14:textId="77777777" w:rsidR="00624037" w:rsidRPr="00850F57" w:rsidRDefault="00624037" w:rsidP="00624037">
      <w:pPr>
        <w:jc w:val="right"/>
        <w:rPr>
          <w:rFonts w:asciiTheme="majorBidi" w:hAnsiTheme="majorBidi" w:cstheme="majorBidi"/>
          <w:sz w:val="24"/>
          <w:szCs w:val="24"/>
          <w:rtl/>
        </w:rPr>
      </w:pPr>
    </w:p>
    <w:p w14:paraId="79414C4C"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سابعًا: نظرية المخاطر وتحوّل معيار الثقة</w:t>
      </w:r>
    </w:p>
    <w:p w14:paraId="5918FA1E"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التطورات اللافتة في الفقه المدني الحديث ما يُعرف بـ “نظرية المخاطر”، التي تقوم على توزيع تبعة النشاط الخطِر على من يجنيه أو يستفيد منه. وإذا كان توظيف أنظمة الذكاء الاصطناعي في العمل القانوني يُعد نشاطًا ينطوي على مخاطر تقنية (انحياز البيانات، أخطاء تحليلية، نتائج غير متوقعة)، فإن معيار الثقة في المخرجات لا يمكن أن يقوم على الافتراض البسيط بأن التقنية معصومة</w:t>
      </w:r>
      <w:r>
        <w:rPr>
          <w:rFonts w:asciiTheme="majorBidi" w:hAnsiTheme="majorBidi" w:cstheme="majorBidi"/>
          <w:sz w:val="24"/>
          <w:szCs w:val="24"/>
        </w:rPr>
        <w:t>.</w:t>
      </w:r>
    </w:p>
    <w:p w14:paraId="2E402A24"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ناقشت مجلة العدالة مسألة ضبط المسؤولية في ظل استخدام الأنظمة الذكية، مؤكدة ضرورة بناء إطار يوازن بين الاستفادة من التقنية وتحديد تبعة مخاطرها (مجلة العدالة، 2022)</w:t>
      </w:r>
      <w:r>
        <w:rPr>
          <w:rStyle w:val="af"/>
          <w:rFonts w:asciiTheme="majorBidi" w:hAnsiTheme="majorBidi" w:cstheme="majorBidi"/>
          <w:sz w:val="24"/>
          <w:szCs w:val="24"/>
          <w:rtl/>
        </w:rPr>
        <w:footnoteReference w:id="221"/>
      </w:r>
      <w:r>
        <w:rPr>
          <w:rFonts w:asciiTheme="majorBidi" w:hAnsiTheme="majorBidi" w:cstheme="majorBidi"/>
          <w:sz w:val="24"/>
          <w:szCs w:val="24"/>
          <w:rtl/>
        </w:rPr>
        <w:t>. ويقود هذا الطرح إلى سؤال: هل ينبغي أن يُشدد معيار الحجية في المخرجات الذكية بسبب طبيعة المخاطر الكامنة فيها؟</w:t>
      </w:r>
    </w:p>
    <w:p w14:paraId="6E9D675D"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المخاطر التقنية لا تُنقص الحجية ابتداءً، لكنها تفرض معيار تحقق أعلى. فكلما زادت درجة اعتماد المخرج على معالجة تحليلية معقدة، زاد واجب الفحص والمراجعة. ومن ثم فإن معيار الثقة في المخرجات الذكية ليس مساويًا لمعيار الثقة في الصياغة البشرية التقليدية، بل قد يكون أشد</w:t>
      </w:r>
      <w:r>
        <w:rPr>
          <w:rFonts w:asciiTheme="majorBidi" w:hAnsiTheme="majorBidi" w:cstheme="majorBidi"/>
          <w:sz w:val="24"/>
          <w:szCs w:val="24"/>
        </w:rPr>
        <w:t>.</w:t>
      </w:r>
    </w:p>
    <w:p w14:paraId="27935525" w14:textId="77777777" w:rsidR="00624037" w:rsidRPr="00850F57" w:rsidRDefault="00624037" w:rsidP="00624037">
      <w:pPr>
        <w:jc w:val="right"/>
        <w:rPr>
          <w:rFonts w:asciiTheme="majorBidi" w:hAnsiTheme="majorBidi" w:cstheme="majorBidi"/>
          <w:sz w:val="24"/>
          <w:szCs w:val="24"/>
        </w:rPr>
      </w:pPr>
    </w:p>
    <w:p w14:paraId="5A3637BE"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ثامنًا: حجية التقارير القانونية التحليلية المنتجة آليًا</w:t>
      </w:r>
    </w:p>
    <w:p w14:paraId="6D0562EA"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لا تقتصر المخرجات الذكية على العقود، بل تمتد إلى التقارير القانونية والتحليلات القائمة على استقراء السوابق أو تصنيف الوقائع. وهنا يثور سؤال مختلف: هل يُعامل التقرير التحليلي المولد آليًا بوصفه رأيًا مهنيًا، أم مجرد أداة مساعدة داخلية؟</w:t>
      </w:r>
    </w:p>
    <w:p w14:paraId="02B0A49F"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نص نظام الإثبات على أن للمحكمة سلطة تقدير الأدلة، وأنها غير مقيدة إلا بما يرد في النظام (هيئة الخبراء بمجلس الوزراء، 1443هـ). ومن ثم فإن التقرير القانوني – سواء أكان بشريًا أم مدعومًا بخوارزمية – لا يتمتع بقوة إلزامية بذاته، بل يخضع للتقدير القضائي</w:t>
      </w:r>
      <w:r>
        <w:rPr>
          <w:rFonts w:asciiTheme="majorBidi" w:hAnsiTheme="majorBidi" w:cstheme="majorBidi"/>
          <w:sz w:val="24"/>
          <w:szCs w:val="24"/>
        </w:rPr>
        <w:t>.</w:t>
      </w:r>
    </w:p>
    <w:p w14:paraId="4DA813BE"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الفرق الجوهري يكمن في إمكانية مناقشة الأساس. فالتقرير البشري يمكن استجواب صاحبه حول منهجه وأسانيده، بينما قد يكون التقرير المولد آليًا قائمًا على تحليل لا يمكن شرحه تفصيليًا</w:t>
      </w:r>
      <w:r>
        <w:rPr>
          <w:rFonts w:asciiTheme="majorBidi" w:hAnsiTheme="majorBidi" w:cstheme="majorBidi"/>
          <w:sz w:val="24"/>
          <w:szCs w:val="24"/>
        </w:rPr>
        <w:t>.</w:t>
      </w:r>
    </w:p>
    <w:p w14:paraId="440A51C4"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حذرت مجلة الشريعة والقانون من الإفراط في الاعتماد على التحليل الخوارزمي في العمل القضائي، لما قد يسببه من إضعاف للاجتهاد القضائي (مجلة الشريعة والقانون، 2022)</w:t>
      </w:r>
      <w:r>
        <w:rPr>
          <w:rStyle w:val="af"/>
          <w:rFonts w:asciiTheme="majorBidi" w:hAnsiTheme="majorBidi" w:cstheme="majorBidi"/>
          <w:sz w:val="24"/>
          <w:szCs w:val="24"/>
          <w:rtl/>
        </w:rPr>
        <w:footnoteReference w:id="222"/>
      </w:r>
      <w:r>
        <w:rPr>
          <w:rFonts w:asciiTheme="majorBidi" w:hAnsiTheme="majorBidi" w:cstheme="majorBidi"/>
          <w:sz w:val="24"/>
          <w:szCs w:val="24"/>
        </w:rPr>
        <w:t>.</w:t>
      </w:r>
    </w:p>
    <w:p w14:paraId="5AEFB2B4"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التقارير المولدة آليًا يجب أن تُعامل بوصفها “أدوات دعم تحليلي”، لا مصادر حجة مستقلة. ويجب أن يظل المحامي قادرًا على شرح مضمون التقرير والدفاع عنه، وإلا أصبحت الحجية محل شك</w:t>
      </w:r>
      <w:r>
        <w:rPr>
          <w:rFonts w:asciiTheme="majorBidi" w:hAnsiTheme="majorBidi" w:cstheme="majorBidi"/>
          <w:sz w:val="24"/>
          <w:szCs w:val="24"/>
        </w:rPr>
        <w:t>.</w:t>
      </w:r>
    </w:p>
    <w:p w14:paraId="38A78FD0" w14:textId="77777777" w:rsidR="00624037" w:rsidRPr="00850F57" w:rsidRDefault="00624037" w:rsidP="00624037">
      <w:pPr>
        <w:jc w:val="right"/>
        <w:rPr>
          <w:rFonts w:asciiTheme="majorBidi" w:hAnsiTheme="majorBidi" w:cstheme="majorBidi"/>
          <w:sz w:val="24"/>
          <w:szCs w:val="24"/>
        </w:rPr>
      </w:pPr>
    </w:p>
    <w:p w14:paraId="0F44F209"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تاسعًا: أثر حوكمة البيانات على الحجية</w:t>
      </w:r>
    </w:p>
    <w:p w14:paraId="63060415"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سلامة المخرج القانوني لا تنفصل عن سلامة البيانات التي بُني عليها. وقد قرر نظام حماية البيانات الشخصية ضوابط دقيقة لمعالجة البيانات، بما في ذلك مشروعية الجمع وتحديد الغرض وتقليل المعالجة (هيئة الخبراء بمجلس الوزراء، 1443هـ)</w:t>
      </w:r>
      <w:r>
        <w:rPr>
          <w:rFonts w:asciiTheme="majorBidi" w:hAnsiTheme="majorBidi" w:cstheme="majorBidi"/>
          <w:sz w:val="24"/>
          <w:szCs w:val="24"/>
        </w:rPr>
        <w:t>.</w:t>
      </w:r>
    </w:p>
    <w:p w14:paraId="78D77809"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فإذا استند نظام ذكي إلى بيانات غير مشروعة أو غير دقيقة أو متحيزة، فإن المخرج الناتج قد يكون مشوبًا بخلل منهجي. وهنا تظهر العلاقة بين حوكمة البيانات والحجية القانونية</w:t>
      </w:r>
      <w:r>
        <w:rPr>
          <w:rFonts w:asciiTheme="majorBidi" w:hAnsiTheme="majorBidi" w:cstheme="majorBidi"/>
          <w:sz w:val="24"/>
          <w:szCs w:val="24"/>
        </w:rPr>
        <w:t>.</w:t>
      </w:r>
    </w:p>
    <w:p w14:paraId="7D24EC60"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أكدت وثيقة مبادئ أخلاقيات الذكاء الاصطناعي على العدالة وعدم التحيز والشفافية (الهيئة السعودية للبيانات والذكاء الاصطناعي، 2023)، وهو ما يعني أن مشروعية البيانات شرط ضمني في مشروعية المخرج</w:t>
      </w:r>
      <w:r>
        <w:rPr>
          <w:rFonts w:asciiTheme="majorBidi" w:hAnsiTheme="majorBidi" w:cstheme="majorBidi"/>
          <w:sz w:val="24"/>
          <w:szCs w:val="24"/>
        </w:rPr>
        <w:t>.</w:t>
      </w:r>
    </w:p>
    <w:p w14:paraId="0C8D0980"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حجية المخرجات الذكية لا يمكن فصلها عن جودة البيانات. فإذا كانت البيانات منحازة أو ناقصة، فإن الحجية الموضوعية للمخرج تتأثر حتى لو استوفى الشكل. ومن ثم، فإن الإطار القانوني لتوظيف الذكاء الاصطناعي في مكاتب المحاماة يجب أن يدمج بين قواعد الإثبات وقواعد حماية البيانات</w:t>
      </w:r>
      <w:r>
        <w:rPr>
          <w:rFonts w:asciiTheme="majorBidi" w:hAnsiTheme="majorBidi" w:cstheme="majorBidi"/>
          <w:sz w:val="24"/>
          <w:szCs w:val="24"/>
        </w:rPr>
        <w:t>.</w:t>
      </w:r>
    </w:p>
    <w:p w14:paraId="19B23943" w14:textId="77777777" w:rsidR="00624037" w:rsidRPr="00850F57" w:rsidRDefault="00624037" w:rsidP="00624037">
      <w:pPr>
        <w:jc w:val="right"/>
        <w:rPr>
          <w:rFonts w:asciiTheme="majorBidi" w:hAnsiTheme="majorBidi" w:cstheme="majorBidi"/>
          <w:sz w:val="24"/>
          <w:szCs w:val="24"/>
        </w:rPr>
      </w:pPr>
    </w:p>
    <w:p w14:paraId="654B76EF"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عاشرًا: إعادة بناء معيار الحجية في البيئة الرقمية</w:t>
      </w:r>
    </w:p>
    <w:p w14:paraId="1B1EA67D"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خلال التحليل السابق، يتضح أن الحجية في المخرجات الذكية لا يمكن اختزالها في معيار واحد. بل تقوم على</w:t>
      </w:r>
      <w:r>
        <w:rPr>
          <w:rFonts w:asciiTheme="majorBidi" w:hAnsiTheme="majorBidi" w:cstheme="majorBidi" w:hint="cs"/>
          <w:sz w:val="24"/>
          <w:szCs w:val="24"/>
          <w:rtl/>
        </w:rPr>
        <w:t xml:space="preserve"> </w:t>
      </w:r>
      <w:r>
        <w:rPr>
          <w:rFonts w:asciiTheme="majorBidi" w:hAnsiTheme="majorBidi" w:cstheme="majorBidi"/>
          <w:sz w:val="24"/>
          <w:szCs w:val="24"/>
          <w:rtl/>
        </w:rPr>
        <w:t>منظومة مركبة تشمل</w:t>
      </w:r>
      <w:r>
        <w:rPr>
          <w:rFonts w:asciiTheme="majorBidi" w:hAnsiTheme="majorBidi" w:cstheme="majorBidi"/>
          <w:sz w:val="24"/>
          <w:szCs w:val="24"/>
        </w:rPr>
        <w:t>:</w:t>
      </w:r>
    </w:p>
    <w:p w14:paraId="01E5BFF6"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t>صحة التكوين الإرادي وفق نظام المعاملات المدنية (هيئة الخبراء بمجلس الوزراء، 1445هـ)</w:t>
      </w:r>
      <w:r>
        <w:rPr>
          <w:rStyle w:val="af"/>
          <w:rFonts w:asciiTheme="majorBidi" w:hAnsiTheme="majorBidi" w:cstheme="majorBidi"/>
          <w:sz w:val="24"/>
          <w:szCs w:val="24"/>
          <w:rtl/>
        </w:rPr>
        <w:footnoteReference w:id="223"/>
      </w:r>
      <w:r>
        <w:rPr>
          <w:rFonts w:asciiTheme="majorBidi" w:hAnsiTheme="majorBidi" w:cstheme="majorBidi"/>
          <w:sz w:val="24"/>
          <w:szCs w:val="24"/>
        </w:rPr>
        <w:t>.</w:t>
      </w:r>
    </w:p>
    <w:p w14:paraId="6601FCD5"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t>صحة النسبة وسلامة الوسيط وفق نظام الإثبات (هيئة الخبراء بمجلس الوزراء، 1443هـ)</w:t>
      </w:r>
      <w:r>
        <w:rPr>
          <w:rStyle w:val="af"/>
          <w:rFonts w:asciiTheme="majorBidi" w:hAnsiTheme="majorBidi" w:cstheme="majorBidi"/>
          <w:sz w:val="24"/>
          <w:szCs w:val="24"/>
          <w:rtl/>
        </w:rPr>
        <w:footnoteReference w:id="224"/>
      </w:r>
      <w:r>
        <w:rPr>
          <w:rFonts w:asciiTheme="majorBidi" w:hAnsiTheme="majorBidi" w:cstheme="majorBidi"/>
          <w:sz w:val="24"/>
          <w:szCs w:val="24"/>
        </w:rPr>
        <w:t>.</w:t>
      </w:r>
    </w:p>
    <w:p w14:paraId="754D679F"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t>قابلية الفحص والتفسير وفق ما قرره الأسيوطي</w:t>
      </w:r>
      <w:r>
        <w:rPr>
          <w:rStyle w:val="af"/>
          <w:rFonts w:asciiTheme="majorBidi" w:hAnsiTheme="majorBidi" w:cstheme="majorBidi"/>
          <w:sz w:val="24"/>
          <w:szCs w:val="24"/>
          <w:rtl/>
        </w:rPr>
        <w:footnoteReference w:id="225"/>
      </w:r>
      <w:r>
        <w:rPr>
          <w:rFonts w:asciiTheme="majorBidi" w:hAnsiTheme="majorBidi" w:cstheme="majorBidi"/>
          <w:sz w:val="24"/>
          <w:szCs w:val="24"/>
        </w:rPr>
        <w:t xml:space="preserve"> (2020).</w:t>
      </w:r>
    </w:p>
    <w:p w14:paraId="358D335A"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t>مشروعية البيانات وفق نظام حماية البيانات الشخصية</w:t>
      </w:r>
      <w:r>
        <w:rPr>
          <w:rStyle w:val="af"/>
          <w:rFonts w:asciiTheme="majorBidi" w:hAnsiTheme="majorBidi" w:cstheme="majorBidi"/>
          <w:sz w:val="24"/>
          <w:szCs w:val="24"/>
          <w:rtl/>
        </w:rPr>
        <w:footnoteReference w:id="226"/>
      </w:r>
      <w:r>
        <w:rPr>
          <w:rFonts w:asciiTheme="majorBidi" w:hAnsiTheme="majorBidi" w:cstheme="majorBidi"/>
          <w:sz w:val="24"/>
          <w:szCs w:val="24"/>
          <w:rtl/>
        </w:rPr>
        <w:t xml:space="preserve"> (هيئة الخبراء بمجلس الوزراء، 1443هـ)</w:t>
      </w:r>
      <w:r>
        <w:rPr>
          <w:rFonts w:asciiTheme="majorBidi" w:hAnsiTheme="majorBidi" w:cstheme="majorBidi"/>
          <w:sz w:val="24"/>
          <w:szCs w:val="24"/>
        </w:rPr>
        <w:t>.</w:t>
      </w:r>
    </w:p>
    <w:p w14:paraId="04F7CF74" w14:textId="77777777" w:rsidR="00624037" w:rsidRDefault="00624037" w:rsidP="00624037">
      <w:pPr>
        <w:ind w:left="360"/>
        <w:jc w:val="right"/>
        <w:rPr>
          <w:rFonts w:asciiTheme="majorBidi" w:hAnsiTheme="majorBidi" w:cstheme="majorBidi"/>
          <w:sz w:val="24"/>
          <w:szCs w:val="24"/>
          <w:rtl/>
        </w:rPr>
      </w:pPr>
      <w:r>
        <w:rPr>
          <w:rFonts w:asciiTheme="majorBidi" w:hAnsiTheme="majorBidi" w:cstheme="majorBidi"/>
          <w:sz w:val="24"/>
          <w:szCs w:val="24"/>
          <w:rtl/>
        </w:rPr>
        <w:lastRenderedPageBreak/>
        <w:t>بقاء المسؤولية البشرية وفق مبادئ سدايا</w:t>
      </w:r>
      <w:r>
        <w:rPr>
          <w:rStyle w:val="af"/>
          <w:rFonts w:asciiTheme="majorBidi" w:hAnsiTheme="majorBidi" w:cstheme="majorBidi"/>
          <w:sz w:val="24"/>
          <w:szCs w:val="24"/>
          <w:rtl/>
        </w:rPr>
        <w:footnoteReference w:id="227"/>
      </w:r>
      <w:r>
        <w:rPr>
          <w:rFonts w:asciiTheme="majorBidi" w:hAnsiTheme="majorBidi" w:cstheme="majorBidi"/>
          <w:sz w:val="24"/>
          <w:szCs w:val="24"/>
          <w:rtl/>
        </w:rPr>
        <w:t xml:space="preserve"> (الهيئة السعودية للبيانات والذكاء الاصطناعي، 2023؛</w:t>
      </w:r>
      <w:r>
        <w:rPr>
          <w:rFonts w:asciiTheme="majorBidi" w:hAnsiTheme="majorBidi" w:cstheme="majorBidi" w:hint="cs"/>
          <w:sz w:val="24"/>
          <w:szCs w:val="24"/>
          <w:rtl/>
        </w:rPr>
        <w:t xml:space="preserve"> </w:t>
      </w:r>
    </w:p>
    <w:p w14:paraId="31DE3AC1"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t xml:space="preserve"> </w:t>
      </w:r>
    </w:p>
    <w:p w14:paraId="3580DEFF"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Pr>
        <w:br/>
      </w:r>
      <w:r>
        <w:rPr>
          <w:rFonts w:asciiTheme="majorBidi" w:hAnsiTheme="majorBidi" w:cstheme="majorBidi" w:hint="cs"/>
          <w:sz w:val="24"/>
          <w:szCs w:val="24"/>
          <w:rtl/>
        </w:rPr>
        <w:t xml:space="preserve">مما سبق </w:t>
      </w:r>
      <w:r>
        <w:rPr>
          <w:rFonts w:asciiTheme="majorBidi" w:hAnsiTheme="majorBidi" w:cstheme="majorBidi"/>
          <w:sz w:val="24"/>
          <w:szCs w:val="24"/>
          <w:rtl/>
        </w:rPr>
        <w:t>أرى أن المخرجات القانونية المنتجة آليًا لا ينبغي النظر إليها باعتبارها فاعلًا قانونيًا جديدًا، ولا باعتبارها مجرد وسيلة تحرير محايدة، بل باعتبارها “عنصرًا تحليليًا وسيطًا” داخل عملية تصرف قانوني يظل في جوهره بشري المصدر</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وتكتسب هذه المخرجات حجيتها عندما تندمج اندماجًا واعيًا في إرادة بشرية مسؤولة، وتخضع لمعيار فحص مهني كافٍ، وتقوم على بيانات مشروعة، وتظل قابلة للتفسير في حدود معقولة</w:t>
      </w:r>
      <w:r>
        <w:rPr>
          <w:rFonts w:asciiTheme="majorBidi" w:hAnsiTheme="majorBidi" w:cstheme="majorBidi"/>
          <w:sz w:val="24"/>
          <w:szCs w:val="24"/>
        </w:rPr>
        <w:t>.</w:t>
      </w:r>
    </w:p>
    <w:p w14:paraId="2BF7B128"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أما إذا تحولت إلى مخرجات يُعتمد عليها دون فهم، أو تقوم على معالجة غير قابلة للفحص، فإن الحجية تصبح شكلية أكثر منها موضوعية، وهو ما قد يُحدث خللًا في توازن النظام القانوني</w:t>
      </w:r>
      <w:r>
        <w:rPr>
          <w:rFonts w:asciiTheme="majorBidi" w:hAnsiTheme="majorBidi" w:cstheme="majorBidi"/>
          <w:sz w:val="24"/>
          <w:szCs w:val="24"/>
        </w:rPr>
        <w:t>.</w:t>
      </w:r>
    </w:p>
    <w:p w14:paraId="5854212C" w14:textId="77777777" w:rsidR="00624037" w:rsidRPr="00CF4F0F" w:rsidRDefault="00624037" w:rsidP="00624037">
      <w:pPr>
        <w:jc w:val="right"/>
        <w:rPr>
          <w:rFonts w:asciiTheme="majorBidi" w:hAnsiTheme="majorBidi" w:cstheme="majorBidi"/>
          <w:sz w:val="24"/>
          <w:szCs w:val="24"/>
          <w:u w:val="single"/>
        </w:rPr>
      </w:pPr>
      <w:r>
        <w:rPr>
          <w:rFonts w:asciiTheme="majorBidi" w:hAnsiTheme="majorBidi" w:cstheme="majorBidi"/>
          <w:i/>
          <w:iCs/>
          <w:sz w:val="24"/>
          <w:szCs w:val="24"/>
          <w:u w:val="single"/>
          <w:rtl/>
        </w:rPr>
        <w:t>وبذلك يكون هذا المطلب قد أسس للإطار النظري الذي يمكّن من الانتقال في المطلب الثاني إلى بحث مشروعية استخدام هذه المخرجات أمام الجهات القضائية، في ضوء ضمانات العدالة الإجرائية وسلطة القاضي في تقدير الدليل</w:t>
      </w:r>
      <w:r>
        <w:rPr>
          <w:rFonts w:asciiTheme="majorBidi" w:hAnsiTheme="majorBidi" w:cstheme="majorBidi"/>
          <w:sz w:val="24"/>
          <w:szCs w:val="24"/>
          <w:u w:val="single"/>
        </w:rPr>
        <w:t>.</w:t>
      </w:r>
    </w:p>
    <w:p w14:paraId="2E89866D"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التحول في مفهوم الاجتهاد المهني وأثره على الحجية</w:t>
      </w:r>
    </w:p>
    <w:p w14:paraId="6CF6DD96"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المسائل التي لم تحظ بالعناية الكافية في النقاش القانوني مسألة تأثير المخرجات الذكية على مفهوم “الاجتهاد المهني” ذاته. فالمحامي – في البناء التقليدي – يُعد صاحب رأي قانوني مستقل، يقوم على تحليل الوقائع والنصوص والسوابق، ويُسأل مهنيًا عن سلامة منهجه ونتيجته. أما في البيئة المعززة بالذكاء الاصطناعي، فإن الرأي قد يتشكل – جزئيًا أو كليًا – بناءً على معالجة خوارزمية تستند إلى قواعد بيانات واسعة</w:t>
      </w:r>
      <w:r>
        <w:rPr>
          <w:rFonts w:asciiTheme="majorBidi" w:hAnsiTheme="majorBidi" w:cstheme="majorBidi"/>
          <w:sz w:val="24"/>
          <w:szCs w:val="24"/>
        </w:rPr>
        <w:t>.</w:t>
      </w:r>
    </w:p>
    <w:p w14:paraId="559FA31A"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وقد أشار الغنامي </w:t>
      </w:r>
      <w:r>
        <w:rPr>
          <w:rStyle w:val="af"/>
          <w:rFonts w:asciiTheme="majorBidi" w:hAnsiTheme="majorBidi" w:cstheme="majorBidi"/>
          <w:sz w:val="24"/>
          <w:szCs w:val="24"/>
          <w:rtl/>
        </w:rPr>
        <w:footnoteReference w:id="228"/>
      </w:r>
      <w:r>
        <w:rPr>
          <w:rFonts w:asciiTheme="majorBidi" w:hAnsiTheme="majorBidi" w:cstheme="majorBidi"/>
          <w:sz w:val="24"/>
          <w:szCs w:val="24"/>
          <w:rtl/>
        </w:rPr>
        <w:t>في دراسته حول الضوابط القانونية لاستخدام الذكاء الاصطناعي في المعاملات القانونية إلى أن إدخال التقنية في عملية اتخاذ القرار القانوني لا ينبغي أن يُفضي إلى “تفريغ الاجتهاد من مضمونه الإنساني”، بل إلى دعمه وتوسيع آفاقه (الغنامي، 2023). وهذا الطرح يثير سؤالًا دقيقًا: هل يُعد الرأي القانوني المدعوم بخوارزمية رأيًا شخصيًا للمحامي، أم رأيًا مشترك التكوين؟</w:t>
      </w:r>
    </w:p>
    <w:p w14:paraId="6840ED97"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الحجية هنا ترتبط بمدى بقاء الاجتهاد عنصرًا بشريًا حاكمًا، لا تابعًا. فإذا أصبح دور المحامي مقتصرًا على نقل نتيجة النظام دون تحليل إضافي، فإن الحجية تتحول من حجية رأي مهني إلى حجية أداة تحليلية، وهو تحول خطِر من منظور الثقة القانونية</w:t>
      </w:r>
      <w:r>
        <w:rPr>
          <w:rFonts w:asciiTheme="majorBidi" w:hAnsiTheme="majorBidi" w:cstheme="majorBidi"/>
          <w:sz w:val="24"/>
          <w:szCs w:val="24"/>
        </w:rPr>
        <w:t>.</w:t>
      </w:r>
    </w:p>
    <w:p w14:paraId="1DE7AF32"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الاجتهاد المهني لا ينتفي باستخدام الذكاء الاصطناعي، لكنه يتغير في طبيعته. فالمحامي في البيئة الرقمية مطالب بأن يمارس “اجتهادًا نقديًا” تجاه المخرج، لا مجرد اجتهاد إنشائي. ومن ثم فإن معيار الحجية ينبغي أن يُقاس بمدى ممارسة هذا الاجتهاد النقدي، لا بمجرد صدور المخرج عنه</w:t>
      </w:r>
      <w:r>
        <w:rPr>
          <w:rFonts w:asciiTheme="majorBidi" w:hAnsiTheme="majorBidi" w:cstheme="majorBidi"/>
          <w:sz w:val="24"/>
          <w:szCs w:val="24"/>
        </w:rPr>
        <w:t>.</w:t>
      </w:r>
    </w:p>
    <w:p w14:paraId="5C38D5DF" w14:textId="77777777" w:rsidR="00624037" w:rsidRPr="00F20C0E" w:rsidRDefault="00624037" w:rsidP="00624037">
      <w:pPr>
        <w:jc w:val="right"/>
        <w:rPr>
          <w:rFonts w:asciiTheme="majorBidi" w:hAnsiTheme="majorBidi" w:cstheme="majorBidi"/>
          <w:sz w:val="24"/>
          <w:szCs w:val="24"/>
          <w:rtl/>
        </w:rPr>
      </w:pPr>
    </w:p>
    <w:p w14:paraId="0B71BB82"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المخرجات الذكية بوصفها قرائن تحليلية لا أدلة قاطعة</w:t>
      </w:r>
    </w:p>
    <w:p w14:paraId="2533287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الإشكالات المهمة في سياق الحجية ما يتصل بطبيعة المخرجات التحليلية القائمة على استقراء السوابق أو تصنيف الأنماط. فهذه المخرجات – بطبيعتها – تقوم على تحليل احتمالي أو إحصائي، وهو ما يختلف عن الإثبات المباشر للوقائع</w:t>
      </w:r>
      <w:r>
        <w:rPr>
          <w:rFonts w:asciiTheme="majorBidi" w:hAnsiTheme="majorBidi" w:cstheme="majorBidi"/>
          <w:sz w:val="24"/>
          <w:szCs w:val="24"/>
        </w:rPr>
        <w:t>.</w:t>
      </w:r>
    </w:p>
    <w:p w14:paraId="36A54171"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وقد قرر نظام الإثبات أن للقاضي سلطة تقدير القرائن بحسب قوة دلالتها</w:t>
      </w:r>
      <w:r>
        <w:rPr>
          <w:rFonts w:asciiTheme="majorBidi" w:hAnsiTheme="majorBidi" w:cstheme="majorBidi" w:hint="cs"/>
          <w:sz w:val="24"/>
          <w:szCs w:val="24"/>
          <w:rtl/>
        </w:rPr>
        <w:t xml:space="preserve"> </w:t>
      </w:r>
      <w:r>
        <w:rPr>
          <w:rFonts w:asciiTheme="majorBidi" w:hAnsiTheme="majorBidi" w:cstheme="majorBidi"/>
          <w:sz w:val="24"/>
          <w:szCs w:val="24"/>
          <w:rtl/>
        </w:rPr>
        <w:t>وبناءً على ذلك، فإن التحليل الخوارزمي لا يمكن اعتباره دليلًا قاطعًا، بل يدخل – في أفضل الأحوال – ضمن نطاق القرائن المساعدة</w:t>
      </w:r>
      <w:r>
        <w:rPr>
          <w:rFonts w:asciiTheme="majorBidi" w:hAnsiTheme="majorBidi" w:cstheme="majorBidi"/>
          <w:sz w:val="24"/>
          <w:szCs w:val="24"/>
        </w:rPr>
        <w:t>.</w:t>
      </w:r>
    </w:p>
    <w:p w14:paraId="7CCC5374"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حذرت مجلة الشريعة والقانون من تحويل التحليل الإحصائي إلى بديل عن الاستدلال القانوني، مؤكدة أن القضاء لا يقوم على حساب الاحتمالات بل على تطبيق النص على الواقعة الثابتة (مجلة الشريعة والقانون، 2022)</w:t>
      </w:r>
      <w:r>
        <w:rPr>
          <w:rFonts w:asciiTheme="majorBidi" w:hAnsiTheme="majorBidi" w:cstheme="majorBidi"/>
          <w:sz w:val="24"/>
          <w:szCs w:val="24"/>
        </w:rPr>
        <w:t>.</w:t>
      </w:r>
    </w:p>
    <w:p w14:paraId="45AA8D50"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المخرجات الذكية، خاصة تلك القائمة على تحليل السوابق، يجب أن تُعامل بوصفها “قرائن تحليلية” لا أكثر. فإذا تم تقديمها للمحكمة باعتبارها نتيجة علمية حتمية، فإن ذلك يخل بطبيعة الاستدلال القضائي. ومن ثم فإن حجيتها تظل نسبية، مرتبطة بقدرتها على الإقناع لا بالإلزام</w:t>
      </w:r>
      <w:r>
        <w:rPr>
          <w:rFonts w:asciiTheme="majorBidi" w:hAnsiTheme="majorBidi" w:cstheme="majorBidi"/>
          <w:sz w:val="24"/>
          <w:szCs w:val="24"/>
        </w:rPr>
        <w:t>.</w:t>
      </w:r>
    </w:p>
    <w:p w14:paraId="3AFC1FC9" w14:textId="77777777" w:rsidR="00624037" w:rsidRPr="00F20C0E" w:rsidRDefault="00624037" w:rsidP="00624037">
      <w:pPr>
        <w:jc w:val="right"/>
        <w:rPr>
          <w:rFonts w:asciiTheme="majorBidi" w:hAnsiTheme="majorBidi" w:cstheme="majorBidi"/>
          <w:sz w:val="24"/>
          <w:szCs w:val="24"/>
        </w:rPr>
      </w:pPr>
    </w:p>
    <w:p w14:paraId="755C472B"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الحجية ومبدأ الاستقرار القانوني</w:t>
      </w:r>
    </w:p>
    <w:p w14:paraId="70234510"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الحجية في جوهرها لا تخدم فقط أطراف التصرف، بل تخدم مبدأ الاستقرار القانوني. فالاستقرار يقوم على الثقة في أن التصرفات المنتجة وفق القواعد النظامية تُرتب آثارها بصورة يمكن التنبؤ بها</w:t>
      </w:r>
      <w:r>
        <w:rPr>
          <w:rFonts w:asciiTheme="majorBidi" w:hAnsiTheme="majorBidi" w:cstheme="majorBidi"/>
          <w:sz w:val="24"/>
          <w:szCs w:val="24"/>
        </w:rPr>
        <w:t>.</w:t>
      </w:r>
    </w:p>
    <w:p w14:paraId="141D6E2D"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الاعتماد المكثف على أنظمة ذكية قد يؤدي إلى تفاوت في النتائج باختلاف النظام المستخدم أو قاعدة البيانات المعتمدة أو طريقة التدريب. وهذا يثير إشكالًا يتعلق بوحدة المعايير</w:t>
      </w:r>
      <w:r>
        <w:rPr>
          <w:rFonts w:asciiTheme="majorBidi" w:hAnsiTheme="majorBidi" w:cstheme="majorBidi"/>
          <w:sz w:val="24"/>
          <w:szCs w:val="24"/>
        </w:rPr>
        <w:t>.</w:t>
      </w:r>
    </w:p>
    <w:p w14:paraId="48187576"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 العيسى إلى ضرورة وجود ضوابط تنظيمية موحدة لاستخدامات الذكاء الاصطناعي، منعًا لحدوث تباين في النتائج القانونية بسبب اختلاف الأنظمة (العيسى، 2022)</w:t>
      </w:r>
      <w:r>
        <w:rPr>
          <w:rStyle w:val="af"/>
          <w:rFonts w:asciiTheme="majorBidi" w:hAnsiTheme="majorBidi" w:cstheme="majorBidi"/>
          <w:sz w:val="24"/>
          <w:szCs w:val="24"/>
          <w:rtl/>
        </w:rPr>
        <w:footnoteReference w:id="229"/>
      </w:r>
      <w:r>
        <w:rPr>
          <w:rFonts w:asciiTheme="majorBidi" w:hAnsiTheme="majorBidi" w:cstheme="majorBidi"/>
          <w:sz w:val="24"/>
          <w:szCs w:val="24"/>
        </w:rPr>
        <w:t>.</w:t>
      </w:r>
    </w:p>
    <w:p w14:paraId="6D5F03C9"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حجية المخرجات الذكية لا تتعلق فقط بصحة التصرف الفردي، بل بمدى انسجامها مع مبدأ الاستقرار القانوني. فإذا أدى تعدد الأنظمة إلى نتائج متناقضة في حالات متشابهة، فإن الثقة في المخرجات تضعف. ومن ثم فإن الإطار القانوني لتوظيف الذكاء الاصطناعي في مكاتب المحاماة ينبغي أن يضع حدًا أدنى من المعايير المهنية الموحدة</w:t>
      </w:r>
      <w:r>
        <w:rPr>
          <w:rFonts w:asciiTheme="majorBidi" w:hAnsiTheme="majorBidi" w:cstheme="majorBidi"/>
          <w:sz w:val="24"/>
          <w:szCs w:val="24"/>
        </w:rPr>
        <w:t>.</w:t>
      </w:r>
    </w:p>
    <w:p w14:paraId="712120A4" w14:textId="77777777" w:rsidR="00624037" w:rsidRPr="00F20C0E" w:rsidRDefault="00624037" w:rsidP="00624037">
      <w:pPr>
        <w:jc w:val="right"/>
        <w:rPr>
          <w:rFonts w:asciiTheme="majorBidi" w:hAnsiTheme="majorBidi" w:cstheme="majorBidi"/>
          <w:sz w:val="24"/>
          <w:szCs w:val="24"/>
        </w:rPr>
      </w:pPr>
    </w:p>
    <w:p w14:paraId="1EEE1FB4"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مفهوم “الثقة المشروطة” في المخرجات القانونية</w:t>
      </w:r>
    </w:p>
    <w:p w14:paraId="3042F410"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تقوم الحجية في البيئة التقليدية على افتراض الثقة في المصدر المهني. أما في البيئة الرقمية، فإن الثقة لا يمكن أن تكون مطلقة، بل تصبح “ثقة مشروطة” بمدى تحقق معايير الشفافية والفحص</w:t>
      </w:r>
      <w:r>
        <w:rPr>
          <w:rFonts w:asciiTheme="majorBidi" w:hAnsiTheme="majorBidi" w:cstheme="majorBidi"/>
          <w:sz w:val="24"/>
          <w:szCs w:val="24"/>
        </w:rPr>
        <w:t>.</w:t>
      </w:r>
    </w:p>
    <w:p w14:paraId="1399E215"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أكدت وثيقة مبادئ أخلاقيات الذكاء الاصطناعي على مبدأ الشفافية وقابلية التفسير وعدم الإضرار (الهيئة السعودية للبيانات والذكاء الاصطناعي، 2023)، وهو ما يعني أن الثقة في المخرجات ليست افتراضًا، بل نتيجة تحقق شروط معينة</w:t>
      </w:r>
      <w:r>
        <w:rPr>
          <w:rFonts w:asciiTheme="majorBidi" w:hAnsiTheme="majorBidi" w:cstheme="majorBidi"/>
          <w:sz w:val="24"/>
          <w:szCs w:val="24"/>
        </w:rPr>
        <w:t>.</w:t>
      </w:r>
    </w:p>
    <w:p w14:paraId="1182F20F" w14:textId="77777777" w:rsidR="00624037" w:rsidRPr="00F20C0E" w:rsidRDefault="00AC4E6B" w:rsidP="00AC4E6B">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أ</w:t>
      </w:r>
      <w:r>
        <w:rPr>
          <w:rFonts w:asciiTheme="majorBidi" w:hAnsiTheme="majorBidi" w:cstheme="majorBidi"/>
          <w:sz w:val="24"/>
          <w:szCs w:val="24"/>
          <w:rtl/>
        </w:rPr>
        <w:t>رى أن الثقة في المخرجات الذكية يجب أن تُبنى على معيارين</w:t>
      </w:r>
    </w:p>
    <w:p w14:paraId="678CE64A" w14:textId="77777777" w:rsidR="00624037" w:rsidRPr="00F20C0E" w:rsidRDefault="00624037">
      <w:pPr>
        <w:numPr>
          <w:ilvl w:val="0"/>
          <w:numId w:val="11"/>
        </w:numPr>
        <w:jc w:val="right"/>
        <w:rPr>
          <w:rFonts w:asciiTheme="majorBidi" w:hAnsiTheme="majorBidi" w:cstheme="majorBidi"/>
          <w:sz w:val="24"/>
          <w:szCs w:val="24"/>
        </w:rPr>
      </w:pPr>
      <w:r>
        <w:rPr>
          <w:rFonts w:asciiTheme="majorBidi" w:hAnsiTheme="majorBidi" w:cstheme="majorBidi"/>
          <w:sz w:val="24"/>
          <w:szCs w:val="24"/>
          <w:rtl/>
        </w:rPr>
        <w:t>وضوح حدود النظام المستخدم</w:t>
      </w:r>
      <w:r>
        <w:rPr>
          <w:rFonts w:asciiTheme="majorBidi" w:hAnsiTheme="majorBidi" w:cstheme="majorBidi"/>
          <w:sz w:val="24"/>
          <w:szCs w:val="24"/>
        </w:rPr>
        <w:t>.</w:t>
      </w:r>
    </w:p>
    <w:p w14:paraId="236B919B" w14:textId="77777777" w:rsidR="00624037" w:rsidRPr="00F20C0E" w:rsidRDefault="00624037">
      <w:pPr>
        <w:numPr>
          <w:ilvl w:val="0"/>
          <w:numId w:val="11"/>
        </w:numPr>
        <w:jc w:val="right"/>
        <w:rPr>
          <w:rFonts w:asciiTheme="majorBidi" w:hAnsiTheme="majorBidi" w:cstheme="majorBidi"/>
          <w:sz w:val="24"/>
          <w:szCs w:val="24"/>
        </w:rPr>
      </w:pPr>
      <w:r>
        <w:rPr>
          <w:rFonts w:asciiTheme="majorBidi" w:hAnsiTheme="majorBidi" w:cstheme="majorBidi"/>
          <w:sz w:val="24"/>
          <w:szCs w:val="24"/>
          <w:rtl/>
        </w:rPr>
        <w:t>قدرة المستخدم على تفسير النتيجة والدفاع عنها</w:t>
      </w:r>
      <w:r>
        <w:rPr>
          <w:rFonts w:asciiTheme="majorBidi" w:hAnsiTheme="majorBidi" w:cstheme="majorBidi"/>
          <w:sz w:val="24"/>
          <w:szCs w:val="24"/>
        </w:rPr>
        <w:t>.</w:t>
      </w:r>
    </w:p>
    <w:p w14:paraId="70BDB049"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وبغير ذلك، تصبح الحجية مبنية على ثقة تقنية لا على ثقة قانونية</w:t>
      </w:r>
      <w:r>
        <w:rPr>
          <w:rFonts w:asciiTheme="majorBidi" w:hAnsiTheme="majorBidi" w:cstheme="majorBidi"/>
          <w:sz w:val="24"/>
          <w:szCs w:val="24"/>
        </w:rPr>
        <w:t>.</w:t>
      </w:r>
    </w:p>
    <w:p w14:paraId="3820DD93" w14:textId="77777777" w:rsidR="00624037" w:rsidRPr="00F20C0E" w:rsidRDefault="00624037" w:rsidP="00624037">
      <w:pPr>
        <w:jc w:val="right"/>
        <w:rPr>
          <w:rFonts w:asciiTheme="majorBidi" w:hAnsiTheme="majorBidi" w:cstheme="majorBidi"/>
          <w:sz w:val="24"/>
          <w:szCs w:val="24"/>
        </w:rPr>
      </w:pPr>
    </w:p>
    <w:p w14:paraId="5FE13062"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lastRenderedPageBreak/>
        <w:t>من الحجية الفردية إلى الحجية المؤسسية</w:t>
      </w:r>
    </w:p>
    <w:p w14:paraId="5D0A1397"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في الممارسة التقليدية، تُنسب الحجية إلى شخص المحامي. أما في البيئة الرقمية، فقد تصبح المخرجات نتاج منظومة مؤسسية تشمل مزود التقنية ومطور النظام وفريق البيانات</w:t>
      </w:r>
      <w:r>
        <w:rPr>
          <w:rFonts w:asciiTheme="majorBidi" w:hAnsiTheme="majorBidi" w:cstheme="majorBidi"/>
          <w:sz w:val="24"/>
          <w:szCs w:val="24"/>
        </w:rPr>
        <w:t>.</w:t>
      </w:r>
    </w:p>
    <w:p w14:paraId="669E6896"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وهنا يثور تساؤل: هل تبقى الحجية فردية أم تتحول إلى حجية مؤسسية؟</w:t>
      </w:r>
    </w:p>
    <w:p w14:paraId="661F2F70"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أكد إطار تبني الذكاء الاصطناعي ضرورة وضوح الأدوار والمسؤوليات داخل الجهات (الهيئة السعودية للبيانات والذكاء الاصطناعي، 2024)، وهو ما يعني أن الحجية لا يمكن فصلها عن البنية المؤسسية التي أنتجت المخرج</w:t>
      </w:r>
      <w:r>
        <w:rPr>
          <w:rFonts w:asciiTheme="majorBidi" w:hAnsiTheme="majorBidi" w:cstheme="majorBidi"/>
          <w:sz w:val="24"/>
          <w:szCs w:val="24"/>
        </w:rPr>
        <w:t>.</w:t>
      </w:r>
    </w:p>
    <w:p w14:paraId="556BB992"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الحجية في المخرجات الذكية تتجه نحو طابع مؤسسي، لأن عملية الإنتاج لم تعد فردية بالكامل. ومن ثم فإن الإطار التنظيمي لمكاتب المحاماة يجب أن يعترف بهذا التحول، ويحدد مسؤوليات واضحة داخل المؤسسة المهنية</w:t>
      </w:r>
      <w:r>
        <w:rPr>
          <w:rFonts w:asciiTheme="majorBidi" w:hAnsiTheme="majorBidi" w:cstheme="majorBidi"/>
          <w:sz w:val="24"/>
          <w:szCs w:val="24"/>
        </w:rPr>
        <w:t>.</w:t>
      </w:r>
    </w:p>
    <w:p w14:paraId="20BB06BC" w14:textId="77777777" w:rsidR="00624037" w:rsidRPr="00F20C0E" w:rsidRDefault="00624037" w:rsidP="00624037">
      <w:pPr>
        <w:jc w:val="right"/>
        <w:rPr>
          <w:rFonts w:asciiTheme="majorBidi" w:hAnsiTheme="majorBidi" w:cstheme="majorBidi"/>
          <w:sz w:val="24"/>
          <w:szCs w:val="24"/>
        </w:rPr>
      </w:pPr>
    </w:p>
    <w:p w14:paraId="41FE14F7"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قراءة نقدية ختامية للمطلب</w:t>
      </w:r>
    </w:p>
    <w:p w14:paraId="4B772A30"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يتبين من مجموع ما سبق أن حجية العقود والتقارير القانونية المنتجة آليًا ليست مسألة شكلية تتعلق بوسيط إلكتروني، ولا مسألة تقنية بحتة تتعلق بمدى تطور الخوارزمية، بل هي مسألة نظرية تمس جوهر الإرادة والنسبة والثقة والاستقرار</w:t>
      </w:r>
      <w:r>
        <w:rPr>
          <w:rFonts w:asciiTheme="majorBidi" w:hAnsiTheme="majorBidi" w:cstheme="majorBidi"/>
          <w:sz w:val="24"/>
          <w:szCs w:val="24"/>
        </w:rPr>
        <w:t>.</w:t>
      </w:r>
    </w:p>
    <w:p w14:paraId="359A40D7"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وقد تناول جابر في بحثه المنشور ضمن المجلة الدولية للبحوث النوعية المتخصصة (IJSSR) عام 2023م موضوع تطبيقات الذكاء الاصطناعي في الحكم القضائي، مستعرضًا العلاقة بين الذكاء الاصطناعي والدعاوى القضائية وسُبل الإثبات والنفي بواسطته. وتوصل إلى جملة من النتائج الجوهرية، منها: أن استعانة القاضي بالذكاء الاصطناعي في استنباط القرائن تبقى رهينةً بتقدير القاضي لا بالإلزام النظامي، وأن إقرار النظام الاصطناعي لا يُعدّ دليلًا نافذًا في النظام القانوني الحالي، وأن عدم توافر شروط الشهادة يمنع اعتماد تقنيات الذكاء الاصطناعي بديلًا عنها.</w:t>
      </w:r>
      <w:r>
        <w:rPr>
          <w:rStyle w:val="af"/>
          <w:rFonts w:asciiTheme="majorBidi" w:hAnsiTheme="majorBidi" w:cstheme="majorBidi"/>
          <w:sz w:val="24"/>
          <w:szCs w:val="24"/>
          <w:rtl/>
        </w:rPr>
        <w:footnoteReference w:id="230"/>
      </w:r>
    </w:p>
    <w:p w14:paraId="79B643E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فالذكاء الاصطناعي لا ينشئ بذاته تصرفًا قانونيًا، لكنه قد يسهم في تشكيله. والحجية لا تُستمد من الآلة، بل من الإنسان الذي يعتمدها ويُحسن استخدامها ويخضعها للفحص</w:t>
      </w:r>
      <w:r>
        <w:rPr>
          <w:rFonts w:asciiTheme="majorBidi" w:hAnsiTheme="majorBidi" w:cstheme="majorBidi"/>
          <w:sz w:val="24"/>
          <w:szCs w:val="24"/>
        </w:rPr>
        <w:t>.</w:t>
      </w:r>
    </w:p>
    <w:p w14:paraId="6058FAC5"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ويظهر من تحليل هذا المطلب :</w:t>
      </w:r>
      <w:r>
        <w:rPr>
          <w:rFonts w:asciiTheme="majorBidi" w:hAnsiTheme="majorBidi" w:cstheme="majorBidi"/>
          <w:sz w:val="24"/>
          <w:szCs w:val="24"/>
        </w:rPr>
        <w:br/>
      </w:r>
      <w:r>
        <w:rPr>
          <w:rFonts w:asciiTheme="majorBidi" w:hAnsiTheme="majorBidi" w:cstheme="majorBidi" w:hint="cs"/>
          <w:sz w:val="24"/>
          <w:szCs w:val="24"/>
          <w:rtl/>
        </w:rPr>
        <w:t>ا</w:t>
      </w:r>
      <w:r>
        <w:rPr>
          <w:rFonts w:asciiTheme="majorBidi" w:hAnsiTheme="majorBidi" w:cstheme="majorBidi"/>
          <w:sz w:val="24"/>
          <w:szCs w:val="24"/>
          <w:rtl/>
        </w:rPr>
        <w:t>ن التكييف الصحيح للمخرجات القانونية المنتجة آليًا في النظام السعودي يقوم على ثلاثة أعمدة</w:t>
      </w:r>
    </w:p>
    <w:p w14:paraId="50993467" w14:textId="77777777" w:rsidR="00624037" w:rsidRPr="00F20C0E" w:rsidRDefault="00624037">
      <w:pPr>
        <w:numPr>
          <w:ilvl w:val="0"/>
          <w:numId w:val="12"/>
        </w:numPr>
        <w:jc w:val="right"/>
        <w:rPr>
          <w:rFonts w:asciiTheme="majorBidi" w:hAnsiTheme="majorBidi" w:cstheme="majorBidi"/>
          <w:sz w:val="24"/>
          <w:szCs w:val="24"/>
        </w:rPr>
      </w:pPr>
      <w:r>
        <w:rPr>
          <w:rFonts w:asciiTheme="majorBidi" w:hAnsiTheme="majorBidi" w:cstheme="majorBidi"/>
          <w:sz w:val="24"/>
          <w:szCs w:val="24"/>
          <w:rtl/>
        </w:rPr>
        <w:t>اندماج واعٍ في إرادة بشرية مسؤولة</w:t>
      </w:r>
      <w:r>
        <w:rPr>
          <w:rFonts w:asciiTheme="majorBidi" w:hAnsiTheme="majorBidi" w:cstheme="majorBidi"/>
          <w:sz w:val="24"/>
          <w:szCs w:val="24"/>
        </w:rPr>
        <w:t>.</w:t>
      </w:r>
    </w:p>
    <w:p w14:paraId="207C2F48" w14:textId="77777777" w:rsidR="00624037" w:rsidRPr="00F20C0E" w:rsidRDefault="00624037">
      <w:pPr>
        <w:numPr>
          <w:ilvl w:val="0"/>
          <w:numId w:val="12"/>
        </w:numPr>
        <w:jc w:val="right"/>
        <w:rPr>
          <w:rFonts w:asciiTheme="majorBidi" w:hAnsiTheme="majorBidi" w:cstheme="majorBidi"/>
          <w:sz w:val="24"/>
          <w:szCs w:val="24"/>
        </w:rPr>
      </w:pPr>
      <w:r>
        <w:rPr>
          <w:rFonts w:asciiTheme="majorBidi" w:hAnsiTheme="majorBidi" w:cstheme="majorBidi"/>
          <w:sz w:val="24"/>
          <w:szCs w:val="24"/>
          <w:rtl/>
        </w:rPr>
        <w:t>قابلية مهنية للفحص والتفسير</w:t>
      </w:r>
      <w:r>
        <w:rPr>
          <w:rFonts w:asciiTheme="majorBidi" w:hAnsiTheme="majorBidi" w:cstheme="majorBidi"/>
          <w:sz w:val="24"/>
          <w:szCs w:val="24"/>
        </w:rPr>
        <w:t>.</w:t>
      </w:r>
    </w:p>
    <w:p w14:paraId="572EAB28" w14:textId="77777777" w:rsidR="00624037" w:rsidRPr="00F20C0E" w:rsidRDefault="00624037">
      <w:pPr>
        <w:numPr>
          <w:ilvl w:val="0"/>
          <w:numId w:val="12"/>
        </w:numPr>
        <w:jc w:val="right"/>
        <w:rPr>
          <w:rFonts w:asciiTheme="majorBidi" w:hAnsiTheme="majorBidi" w:cstheme="majorBidi"/>
          <w:sz w:val="24"/>
          <w:szCs w:val="24"/>
        </w:rPr>
      </w:pPr>
      <w:r>
        <w:rPr>
          <w:rFonts w:asciiTheme="majorBidi" w:hAnsiTheme="majorBidi" w:cstheme="majorBidi"/>
          <w:sz w:val="24"/>
          <w:szCs w:val="24"/>
          <w:rtl/>
        </w:rPr>
        <w:t>خضوع لضوابط حوكمة البيانات والمسؤولية المؤسسية</w:t>
      </w:r>
      <w:r>
        <w:rPr>
          <w:rFonts w:asciiTheme="majorBidi" w:hAnsiTheme="majorBidi" w:cstheme="majorBidi"/>
          <w:sz w:val="24"/>
          <w:szCs w:val="24"/>
        </w:rPr>
        <w:t>.</w:t>
      </w:r>
    </w:p>
    <w:p w14:paraId="3468FAB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وبذلك تبقى الحجية محفوظة ضمن الإطار التقليدي للتصرف القانوني، مع تطوير معاييره بما يتلاءم مع البيئة الرقمية، دون الاعتراف للذكاء الاصطناعي بصفة الفاعل القانوني المستقل</w:t>
      </w:r>
      <w:r>
        <w:rPr>
          <w:rFonts w:asciiTheme="majorBidi" w:hAnsiTheme="majorBidi" w:cstheme="majorBidi"/>
          <w:sz w:val="24"/>
          <w:szCs w:val="24"/>
        </w:rPr>
        <w:t>.</w:t>
      </w:r>
    </w:p>
    <w:p w14:paraId="3A68235D" w14:textId="77777777" w:rsidR="00624037" w:rsidRDefault="00624037" w:rsidP="00624037">
      <w:pPr>
        <w:jc w:val="right"/>
        <w:rPr>
          <w:rFonts w:asciiTheme="majorBidi" w:hAnsiTheme="majorBidi" w:cstheme="majorBidi"/>
          <w:sz w:val="24"/>
          <w:szCs w:val="24"/>
        </w:rPr>
      </w:pPr>
    </w:p>
    <w:p w14:paraId="4821868B" w14:textId="77777777" w:rsidR="003048E3" w:rsidRDefault="003048E3" w:rsidP="00624037">
      <w:pPr>
        <w:jc w:val="right"/>
        <w:rPr>
          <w:rFonts w:asciiTheme="majorBidi" w:hAnsiTheme="majorBidi" w:cstheme="majorBidi"/>
          <w:sz w:val="24"/>
          <w:szCs w:val="24"/>
        </w:rPr>
      </w:pPr>
    </w:p>
    <w:p w14:paraId="49336194" w14:textId="77777777" w:rsidR="003048E3" w:rsidRDefault="003048E3" w:rsidP="00624037">
      <w:pPr>
        <w:jc w:val="right"/>
        <w:rPr>
          <w:rFonts w:asciiTheme="majorBidi" w:hAnsiTheme="majorBidi" w:cstheme="majorBidi"/>
          <w:sz w:val="24"/>
          <w:szCs w:val="24"/>
        </w:rPr>
      </w:pPr>
    </w:p>
    <w:p w14:paraId="533357DC" w14:textId="77777777" w:rsidR="00CF598B" w:rsidRDefault="00CF598B" w:rsidP="00624037">
      <w:pPr>
        <w:jc w:val="right"/>
        <w:rPr>
          <w:rFonts w:asciiTheme="majorBidi" w:hAnsiTheme="majorBidi" w:cstheme="majorBidi"/>
          <w:sz w:val="24"/>
          <w:szCs w:val="24"/>
        </w:rPr>
      </w:pPr>
    </w:p>
    <w:p w14:paraId="73BE7EBE" w14:textId="77777777" w:rsidR="00CF598B" w:rsidRDefault="00CF598B" w:rsidP="00624037">
      <w:pPr>
        <w:jc w:val="right"/>
        <w:rPr>
          <w:rFonts w:asciiTheme="majorBidi" w:hAnsiTheme="majorBidi" w:cstheme="majorBidi"/>
          <w:sz w:val="24"/>
          <w:szCs w:val="24"/>
        </w:rPr>
      </w:pPr>
    </w:p>
    <w:p w14:paraId="6E112779" w14:textId="77777777" w:rsidR="00624037" w:rsidRPr="00F20C0E" w:rsidRDefault="00624037" w:rsidP="00624037">
      <w:pPr>
        <w:jc w:val="center"/>
        <w:rPr>
          <w:rFonts w:asciiTheme="majorBidi" w:hAnsiTheme="majorBidi" w:cstheme="majorBidi"/>
          <w:b/>
          <w:bCs/>
          <w:sz w:val="32"/>
          <w:szCs w:val="32"/>
        </w:rPr>
      </w:pPr>
      <w:r>
        <w:rPr>
          <w:rFonts w:asciiTheme="majorBidi" w:hAnsiTheme="majorBidi" w:cstheme="majorBidi"/>
          <w:b/>
          <w:bCs/>
          <w:sz w:val="32"/>
          <w:szCs w:val="32"/>
          <w:rtl/>
        </w:rPr>
        <w:t>المطلب الثاني</w:t>
      </w:r>
    </w:p>
    <w:p w14:paraId="23242EE4" w14:textId="77777777" w:rsidR="00624037" w:rsidRPr="00F20C0E" w:rsidRDefault="00624037" w:rsidP="00624037">
      <w:pPr>
        <w:jc w:val="center"/>
        <w:rPr>
          <w:rFonts w:asciiTheme="majorBidi" w:hAnsiTheme="majorBidi" w:cstheme="majorBidi"/>
          <w:b/>
          <w:bCs/>
          <w:sz w:val="32"/>
          <w:szCs w:val="32"/>
        </w:rPr>
      </w:pPr>
      <w:r>
        <w:rPr>
          <w:rFonts w:asciiTheme="majorBidi" w:hAnsiTheme="majorBidi" w:cstheme="majorBidi"/>
          <w:b/>
          <w:bCs/>
          <w:sz w:val="32"/>
          <w:szCs w:val="32"/>
          <w:rtl/>
        </w:rPr>
        <w:t>مشروعية استخدامها أمام الجهات القضائية مع الإشارة إلى بعض التجارب الدولية</w:t>
      </w:r>
    </w:p>
    <w:p w14:paraId="3E27A3E4"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إذا كان البحث في حجية العقود والتقارير القانونية المنتجة آليًا قد انصرف – في المطلب الأول – إلى تحليل طبيعتها من حيث التكوين والنسبة والأساس النظري للاعتداد بها، فإن الانتقال إلى هذا المطلب يقتضي طرح سؤال أكثر دقة وحساسية: هل يُعد استخدام هذه المخرجات أمام الجهات القضائية مشروعًا في ضوء النظام السعودي، وما الضوابط التي تحكم هذا الاستخدام؟ ثم إلى أي مدى يمكن الاستئناس ببعض التجارب الدولية في تنظيم هذه المسألة دون الإخلال بخصوصية البيئة النظامية الوطنية؟</w:t>
      </w:r>
    </w:p>
    <w:p w14:paraId="11C72B1C"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مشروعية استخدام المخرجات الذكية أمام القضاء لا تُختزل في مجرد الاعتراف بالمحررات الإلكترونية أو تبني مبدأ الحياد التقني، بل ترتبط بمدى انسجام هذه المخرجات مع ضمانات التقاضي، وسلطة المحكمة في تقدير الدليل، ومبدأ المواجهة بين الخصوم، فضلًا عن متطلبات الشفافية والمساءلة التي أكدتها الوثائق الوطنية في مجال حوكمة الذكاء الاصطناعي</w:t>
      </w:r>
      <w:r>
        <w:rPr>
          <w:rFonts w:asciiTheme="majorBidi" w:hAnsiTheme="majorBidi" w:cstheme="majorBidi"/>
          <w:sz w:val="24"/>
          <w:szCs w:val="24"/>
        </w:rPr>
        <w:t>.</w:t>
      </w:r>
    </w:p>
    <w:p w14:paraId="20CD9D60"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فقد أقر نظام الإثبات لعام 1443هـ حجية المحررات الإلكترونية، وقرر أن الإثبات يكون بكافة الوسائل النظامية، وأكد أن للمحكمة سلطة تقدير الأدلة بحسب قناعتها المستمدة من أوراق الدعوى (هيئة الخبراء بمجلس الوزراء، 1443هـ). غير أن هذا الإقرار لا يعني أن كل مخرج تقني يُقبل أمام القضاء دون قيد، بل يظل خاضعًا لمعيار المشروعية الإجرائية والموضوعية</w:t>
      </w:r>
      <w:r>
        <w:rPr>
          <w:rFonts w:asciiTheme="majorBidi" w:hAnsiTheme="majorBidi" w:cstheme="majorBidi"/>
          <w:sz w:val="24"/>
          <w:szCs w:val="24"/>
        </w:rPr>
        <w:t>.</w:t>
      </w:r>
    </w:p>
    <w:p w14:paraId="0B1B3B4D"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ومن ثم فإن هذا </w:t>
      </w:r>
      <w:r>
        <w:rPr>
          <w:rFonts w:asciiTheme="majorBidi" w:hAnsiTheme="majorBidi" w:cstheme="majorBidi"/>
          <w:b/>
          <w:bCs/>
          <w:sz w:val="24"/>
          <w:szCs w:val="24"/>
          <w:rtl/>
        </w:rPr>
        <w:t xml:space="preserve">المطلب ينطلق من فرضية أساسية </w:t>
      </w:r>
      <w:r>
        <w:rPr>
          <w:rFonts w:asciiTheme="majorBidi" w:hAnsiTheme="majorBidi" w:cstheme="majorBidi"/>
          <w:sz w:val="24"/>
          <w:szCs w:val="24"/>
          <w:rtl/>
        </w:rPr>
        <w:t>مؤداها أن مشروعية استخدام المخرجات الذكية أمام الجهات القضائية تقوم على ثلاثة مرتكزات متداخلة</w:t>
      </w:r>
      <w:r>
        <w:rPr>
          <w:rFonts w:asciiTheme="majorBidi" w:hAnsiTheme="majorBidi" w:cstheme="majorBidi"/>
          <w:sz w:val="24"/>
          <w:szCs w:val="24"/>
        </w:rPr>
        <w:t>:</w:t>
      </w:r>
    </w:p>
    <w:p w14:paraId="2EBEC121"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أولها:</w:t>
      </w:r>
      <w:r>
        <w:rPr>
          <w:rFonts w:asciiTheme="majorBidi" w:hAnsiTheme="majorBidi" w:cstheme="majorBidi"/>
          <w:sz w:val="24"/>
          <w:szCs w:val="24"/>
          <w:rtl/>
        </w:rPr>
        <w:t xml:space="preserve"> المرتكز النظامي، المتعلق بمدى اتساق الاستخدام مع أحكام نظام الإثبات، ونظام المرافعات الشرعية، ونظام الإجراءات الجزائية، من حيث قبول الوسائل الإلكترونية، وضمان حق الدفاع، وسلطة القاضي في تقدير الأدلة (هيئة الخبراء بمجلس الوزراء، 1443هـ؛ 1435هـ)</w:t>
      </w:r>
      <w:r>
        <w:rPr>
          <w:rFonts w:asciiTheme="majorBidi" w:hAnsiTheme="majorBidi" w:cstheme="majorBidi"/>
          <w:sz w:val="24"/>
          <w:szCs w:val="24"/>
        </w:rPr>
        <w:t>.</w:t>
      </w:r>
    </w:p>
    <w:p w14:paraId="6703E5C1"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ويُرسي نظام القضاء السعودي الصادر بالمرسوم الملكي رقم م/78 وتاريخ 19/9/1428هـ ضمانات استقلال القضاء وحياده، مؤكدًا في مادته الأولى أن القضاة مستقلون لا سلطان عليهم في قضائهم لغير أحكام الشريعة الإسلامية والأنظمة المرعية. وتُشكّل هذه الضمانة حجر أساس لأي نقاش حول استخدام الذكاء الاصطناعي في إصدار الأحكام أو مساندة القاضي في تقدير الأدلة؛ إذ إن إدخال هذه التقنيات لا يجوز أن يُخلّ باستقلالية القاضي أو يُشكّل مصدر ضغط خارجي على قرارته القضائية.</w:t>
      </w:r>
      <w:r>
        <w:rPr>
          <w:rStyle w:val="af"/>
          <w:rFonts w:asciiTheme="majorBidi" w:hAnsiTheme="majorBidi" w:cstheme="majorBidi"/>
          <w:sz w:val="24"/>
          <w:szCs w:val="24"/>
          <w:rtl/>
        </w:rPr>
        <w:footnoteReference w:id="231"/>
      </w:r>
    </w:p>
    <w:p w14:paraId="1B9203F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وثانيها:</w:t>
      </w:r>
      <w:r>
        <w:rPr>
          <w:rFonts w:asciiTheme="majorBidi" w:hAnsiTheme="majorBidi" w:cstheme="majorBidi"/>
          <w:sz w:val="24"/>
          <w:szCs w:val="24"/>
          <w:rtl/>
        </w:rPr>
        <w:t xml:space="preserve"> المرتكز المهني، المتصل بحدود الدور الذي يجوز للمحامي أن يُسند فيه جزءًا من تحليله أو صياغته إلى نظام ذكي، دون أن يتحول إلى ناقل آلي لنتيجة غير مفحوصة، وهو ما تناولته بعض الدراسات القانونية المعاصرة عند بحثها في المسؤولية المهنية المرتبطة باستخدام الذكاء الاصطناعي (المالكي، 2024؛ خليل، 2022)</w:t>
      </w:r>
      <w:r>
        <w:rPr>
          <w:rFonts w:asciiTheme="majorBidi" w:hAnsiTheme="majorBidi" w:cstheme="majorBidi"/>
          <w:sz w:val="24"/>
          <w:szCs w:val="24"/>
        </w:rPr>
        <w:t>.</w:t>
      </w:r>
    </w:p>
    <w:p w14:paraId="4BAFE9CF"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lastRenderedPageBreak/>
        <w:t xml:space="preserve">وثالثها: </w:t>
      </w:r>
      <w:r>
        <w:rPr>
          <w:rFonts w:asciiTheme="majorBidi" w:hAnsiTheme="majorBidi" w:cstheme="majorBidi"/>
          <w:sz w:val="24"/>
          <w:szCs w:val="24"/>
          <w:rtl/>
        </w:rPr>
        <w:t>المرتكز المقارن، الذي يهدف إلى استجلاء الكيفية التي تعاملت بها بعض الأنظمة القانونية مع هذه المسألة، خاصة في ظل صدور تنظيمات حديثة للذكاء الاصطناعي في بعض الدول، بما يسمح باستخلاص مؤشرات تنظيمية يمكن الاستئناس بها دون أن تُعد بديلًا عن البناء الوطني</w:t>
      </w:r>
      <w:r>
        <w:rPr>
          <w:rFonts w:asciiTheme="majorBidi" w:hAnsiTheme="majorBidi" w:cstheme="majorBidi"/>
          <w:sz w:val="24"/>
          <w:szCs w:val="24"/>
        </w:rPr>
        <w:t>.</w:t>
      </w:r>
    </w:p>
    <w:p w14:paraId="36A98F6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وفيما يتعلق بالمرتكز النظامي، فإن مبدأ الحياد التقني الذي كرسه نظام الإثبات يعني أن الوسيلة لا تُرفض لكونها إلكترونية، بل يُنظر إلى سلامة نسبتها ومطابقتها للشروط النظامية (هيئة الخبراء بمجلس الوزراء، 1443هـ). إلا أن المخرجات الذكية تثير إشكالًا إضافيًا يتمثل في طبيعة تكوينها التحليلي؛ إذ قد تقوم على معالجة خوارزمية معقدة يصعب على الخصم أو حتى المحكمة الإحاطة بكامل تفاصيلها</w:t>
      </w:r>
      <w:r>
        <w:rPr>
          <w:rFonts w:asciiTheme="majorBidi" w:hAnsiTheme="majorBidi" w:cstheme="majorBidi"/>
          <w:sz w:val="24"/>
          <w:szCs w:val="24"/>
        </w:rPr>
        <w:t>.</w:t>
      </w:r>
    </w:p>
    <w:p w14:paraId="21F031A6"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 الأسيوطي إلى أن الاعتداد بالأدلة الرقمية يتطلب قابلية التتبع والتحقق، بما يضمن إمكان فحصها ومناقشتها أمام القضاء (الأسيوطي، 2020)</w:t>
      </w:r>
      <w:r>
        <w:rPr>
          <w:rStyle w:val="af"/>
          <w:rFonts w:asciiTheme="majorBidi" w:hAnsiTheme="majorBidi" w:cstheme="majorBidi"/>
          <w:sz w:val="24"/>
          <w:szCs w:val="24"/>
          <w:rtl/>
        </w:rPr>
        <w:footnoteReference w:id="232"/>
      </w:r>
      <w:r>
        <w:rPr>
          <w:rFonts w:asciiTheme="majorBidi" w:hAnsiTheme="majorBidi" w:cstheme="majorBidi"/>
          <w:sz w:val="24"/>
          <w:szCs w:val="24"/>
          <w:rtl/>
        </w:rPr>
        <w:t>. وهذا يضع شرطًا ضمنيًا لمشروعية استخدام المخرجات الذكية، وهو أن تكون قابلة للفحص والمناقشة، وألا تُقدَّم بوصفها نتائج مغلقة لا تقبل التفكيك</w:t>
      </w:r>
      <w:r>
        <w:rPr>
          <w:rFonts w:asciiTheme="majorBidi" w:hAnsiTheme="majorBidi" w:cstheme="majorBidi"/>
          <w:sz w:val="24"/>
          <w:szCs w:val="24"/>
        </w:rPr>
        <w:t>.</w:t>
      </w:r>
    </w:p>
    <w:p w14:paraId="16AD7A1C"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أما من الناحية المهنية، فإن استخدام المخرجات الذكية أمام القضاء يثير تساؤلًا حول حدود التفويض التقني في العمل القانوني. فإذا قدم المحامي مذكرة أو تقريرًا أُنتج بمعالجة خوارزمية، فإن مسؤوليته المهنية لا تنتفي لمجرد أن النظام هو الذي اقترح الصياغة أو التحليل. وقد أكدت مجلة العدالة ضرورة بقاء المسؤولية المهنية قائمة عند استخدام الأنظمة الذكية، منعًا لحدوث فراغ تنظيمي (مجلة العدالة، 2022)</w:t>
      </w:r>
      <w:r>
        <w:rPr>
          <w:rStyle w:val="af"/>
          <w:rFonts w:asciiTheme="majorBidi" w:hAnsiTheme="majorBidi" w:cstheme="majorBidi"/>
          <w:sz w:val="24"/>
          <w:szCs w:val="24"/>
          <w:rtl/>
        </w:rPr>
        <w:footnoteReference w:id="233"/>
      </w:r>
      <w:r>
        <w:rPr>
          <w:rFonts w:asciiTheme="majorBidi" w:hAnsiTheme="majorBidi" w:cstheme="majorBidi"/>
          <w:sz w:val="24"/>
          <w:szCs w:val="24"/>
        </w:rPr>
        <w:t>.</w:t>
      </w:r>
    </w:p>
    <w:p w14:paraId="18323E9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ويعني ذلك أن مشروعية الاستخدام أمام القضاء لا تنفصل عن بقاء العنصر البشري في موقع السيطرة والتحكم، وهو ما يتفق مع ما أكدته الهيئة السعودية للبيانات والذكاء الاصطناعي في مبادئ أخلاقيات الذكاء الاصطناعي من ضرورة وجود إشراف بشري فعّال، وقابلية تفسير المخرجات، وتحمل المسؤولية عن نتائجها (الهيئة السعودية للبيانات والذكاء الاصطناعي، 2023). كما شدد إطار تبني الذكاء الاصطناعي على وضوح الأدوار وعدم إسناد القرار النهائي إلى النظام بصورة مستقلة (الهيئة السعودية للبيانات والذكاء الاصطناعي، 2024)</w:t>
      </w:r>
      <w:r>
        <w:rPr>
          <w:rFonts w:asciiTheme="majorBidi" w:hAnsiTheme="majorBidi" w:cstheme="majorBidi"/>
          <w:sz w:val="24"/>
          <w:szCs w:val="24"/>
        </w:rPr>
        <w:t>.</w:t>
      </w:r>
    </w:p>
    <w:p w14:paraId="5A9900F3"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أما المرتكز المقارن، فيكتسب أهميته من أن بعض الأنظمة القانونية الحديثة قد واجهت بالفعل مسألة استخدام الذكاء الاصطناعي في السياق القضائي، سواء في تقديم المذكرات المدعومة بتحليل آلي، أو في استخدام أدوات تنبؤية. وقد اتجه التنظيم الأوروبي في قانون الذكاء الاصطناعي</w:t>
      </w:r>
      <w:r>
        <w:rPr>
          <w:rFonts w:asciiTheme="majorBidi" w:hAnsiTheme="majorBidi" w:cstheme="majorBidi"/>
          <w:sz w:val="24"/>
          <w:szCs w:val="24"/>
        </w:rPr>
        <w:t xml:space="preserve"> (AI Act) </w:t>
      </w:r>
      <w:r>
        <w:rPr>
          <w:rFonts w:asciiTheme="majorBidi" w:hAnsiTheme="majorBidi" w:cstheme="majorBidi"/>
          <w:sz w:val="24"/>
          <w:szCs w:val="24"/>
          <w:rtl/>
        </w:rPr>
        <w:t>إلى تصنيف بعض أنظمة الذكاء الاصطناعي المستخدمة في المجال القضائي ضمن فئة “الأنظمة عالية المخاطر”، وفرض عليها متطلبات تتعلق بالشفافية والإشراف البشري وإدارة المخاطر</w:t>
      </w:r>
      <w:r>
        <w:rPr>
          <w:rFonts w:asciiTheme="majorBidi" w:hAnsiTheme="majorBidi" w:cstheme="majorBidi"/>
          <w:sz w:val="24"/>
          <w:szCs w:val="24"/>
        </w:rPr>
        <w:t xml:space="preserve"> (European Parliament &amp; Council of the European Union, 2024). </w:t>
      </w:r>
      <w:r>
        <w:rPr>
          <w:rFonts w:asciiTheme="majorBidi" w:hAnsiTheme="majorBidi" w:cstheme="majorBidi"/>
          <w:sz w:val="24"/>
          <w:szCs w:val="24"/>
          <w:rtl/>
        </w:rPr>
        <w:t>ويعكس هذا الاتجاه إدراكًا تشريعيًا لحساسية البيئة القضائية، وضرورة وضع ضوابط خاصة لاستخدام التقنية فيها</w:t>
      </w:r>
      <w:r>
        <w:rPr>
          <w:rFonts w:asciiTheme="majorBidi" w:hAnsiTheme="majorBidi" w:cstheme="majorBidi"/>
          <w:sz w:val="24"/>
          <w:szCs w:val="24"/>
        </w:rPr>
        <w:t>.</w:t>
      </w:r>
    </w:p>
    <w:p w14:paraId="3AC6440B"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t>وبالنظر إلى اتجاه التنظيم الأوروبي في قانون الذكاء الاصطناعي، لاحظ المعلم أن هذا القانون يُرسي نظام المساءلة القائمة على الخطر بدلاً من نظام المساءلة القائمة على الخطأ بالنسبة لأنظمة الذكاء الاصطناعي ذات المخاطر العالية، وأن هذا التحول المفاهيمي يتيح للمتضررين تعويضاً أيسر إثباتاً وأكثر اتساقاً مع مبدأ العدالة التوزيعية.</w:t>
      </w:r>
      <w:r w:rsidRPr="00000002">
        <w:rPr>
          <w:rtl/>
        </w:rPr>
        <w:footnoteReference w:id="234"/>
      </w:r>
    </w:p>
    <w:p w14:paraId="632D24B3" w14:textId="77777777" w:rsidR="00D57654" w:rsidRDefault="00000000" w:rsidP="004E4D2E">
      <w:pPr>
        <w:jc w:val="right"/>
        <w:rPr>
          <w:rFonts w:asciiTheme="majorBidi" w:hAnsiTheme="majorBidi" w:cstheme="majorBidi"/>
          <w:sz w:val="24"/>
          <w:szCs w:val="24"/>
          <w:rtl/>
        </w:rPr>
      </w:pPr>
      <w:r>
        <w:rPr>
          <w:rFonts w:asciiTheme="majorBidi" w:hAnsiTheme="majorBidi" w:cstheme="majorBidi"/>
          <w:sz w:val="24"/>
          <w:szCs w:val="24"/>
          <w:rtl/>
        </w:rPr>
        <w:t xml:space="preserve">وفي السياق المقارن، أشار الشراري إلى أن التنظيم الأوروبي في قانون الذكاء الاصطناعي اعتمد مقاربة تصنيفية مبتكرة قائمة على درجة الخطورة، حيث تخضع الأنظمة ذات الاستخدام القضائي والقانوني لأعلى </w:t>
      </w:r>
      <w:r>
        <w:rPr>
          <w:rFonts w:asciiTheme="majorBidi" w:hAnsiTheme="majorBidi" w:cstheme="majorBidi"/>
          <w:sz w:val="24"/>
          <w:szCs w:val="24"/>
          <w:rtl/>
        </w:rPr>
        <w:lastRenderedPageBreak/>
        <w:t>مستويات الرقابة والاشتراطات التقنية، وهو نهج يرى الباحث أنه جدير بالاستلهام في السياق السعودي مع مراعاة الخصوصية الثقافية والنظامية.</w:t>
      </w:r>
      <w:r w:rsidRPr="00000001">
        <w:rPr>
          <w:rtl/>
        </w:rPr>
        <w:footnoteReference w:id="235"/>
      </w:r>
    </w:p>
    <w:p w14:paraId="55E5C489" w14:textId="77777777" w:rsidR="00D57654" w:rsidRDefault="00000000" w:rsidP="004E4D2E">
      <w:pPr>
        <w:jc w:val="right"/>
        <w:rPr>
          <w:rFonts w:asciiTheme="majorBidi" w:hAnsiTheme="majorBidi" w:cstheme="majorBidi"/>
          <w:sz w:val="24"/>
          <w:szCs w:val="24"/>
          <w:rtl/>
        </w:rPr>
      </w:pPr>
      <w:r>
        <w:rPr>
          <w:rFonts w:asciiTheme="majorBidi" w:hAnsiTheme="majorBidi" w:cstheme="majorBidi"/>
          <w:sz w:val="24"/>
          <w:szCs w:val="24"/>
          <w:rtl/>
        </w:rPr>
        <w:t>وعلى صعيد تطبيق معيار درجة الخطورة على النظام السعودي، أشار العرشاني إلى أن أنظمة الذكاء الاصطناعي المستخدمة في قضايا الأحوال الشخصية كالطلاق والحضانة والميراث ينبغي أن تنتمي إلى الفئة الأشد خطورة بالنسبة للنظام السعودي، لحساسيتها الدينية والاجتماعية البالغة، مُقترِحاً أن يُحرَّم على هذه الأنظمة إصدار أي توصية نهائية في هذه المسائل دون مراجعة قضائية إنسانية صريحة.</w:t>
      </w:r>
      <w:r w:rsidRPr="00000002">
        <w:rPr>
          <w:rtl/>
        </w:rPr>
        <w:footnoteReference w:id="236"/>
      </w:r>
    </w:p>
    <w:p w14:paraId="6AB1AFFB" w14:textId="77777777" w:rsidR="00D57654" w:rsidRDefault="00000000" w:rsidP="004E4D2E">
      <w:pPr>
        <w:jc w:val="right"/>
        <w:rPr>
          <w:rFonts w:asciiTheme="majorBidi" w:hAnsiTheme="majorBidi" w:cstheme="majorBidi"/>
          <w:sz w:val="24"/>
          <w:szCs w:val="24"/>
          <w:rtl/>
        </w:rPr>
      </w:pPr>
      <w:r>
        <w:rPr>
          <w:rFonts w:asciiTheme="majorBidi" w:hAnsiTheme="majorBidi" w:cstheme="majorBidi"/>
          <w:sz w:val="24"/>
          <w:szCs w:val="24"/>
          <w:rtl/>
        </w:rPr>
        <w:t>وفي سياق التصنيف بحسب درجة الخطورة، أبدت الجلعود اهتماماً خاصاً بأنظمة الذكاء الاصطناعي المستخدمة في تقدير القرائن وتوجيه قرارات التقاضي، معتبرةً إياها من فئة الأنظمة عالية الخطورة التي ينبغي ألا يُعتمد على مخرجاتها انفرادياً دون مراجعة قضائية معمّقة، لما قد تنطوي عليه من تحيزات مرتبطة بطبيعة بيانات التدريب المستخدمة في بنائها.</w:t>
      </w:r>
      <w:r w:rsidRPr="00000001">
        <w:rPr>
          <w:rtl/>
        </w:rPr>
        <w:footnoteReference w:id="237"/>
      </w:r>
    </w:p>
    <w:p w14:paraId="3DB925D2" w14:textId="77777777" w:rsidR="00624037" w:rsidRPr="00F20C0E" w:rsidRDefault="00624037" w:rsidP="004E4D2E">
      <w:pPr>
        <w:jc w:val="right"/>
        <w:rPr>
          <w:rFonts w:asciiTheme="majorBidi" w:hAnsiTheme="majorBidi" w:cstheme="majorBidi"/>
          <w:sz w:val="24"/>
          <w:szCs w:val="24"/>
        </w:rPr>
      </w:pPr>
      <w:r>
        <w:rPr>
          <w:rFonts w:asciiTheme="majorBidi" w:hAnsiTheme="majorBidi" w:cstheme="majorBidi"/>
          <w:sz w:val="24"/>
          <w:szCs w:val="24"/>
          <w:rtl/>
        </w:rPr>
        <w:t>غير أن الاستفادة من التجارب الدولية لا تعني نقلها بحرفيتها، بل تقتضي تحليلها في ضوء البنية النظامية الوطنية، التي تقوم على مركزية القاضي في تكوين قناعته، وعلى عدم وجود نظام السوابق الملزمة بالمعنى الأنجلوسكسوني، وهو ما يجعل وظيفة التحليل الخوارزمي في البيئة السعودية ذات طبيعة استرشادية لا تقريرية</w:t>
      </w:r>
      <w:r>
        <w:rPr>
          <w:rFonts w:asciiTheme="majorBidi" w:hAnsiTheme="majorBidi" w:cstheme="majorBidi"/>
          <w:sz w:val="24"/>
          <w:szCs w:val="24"/>
        </w:rPr>
        <w:t>.</w:t>
      </w:r>
    </w:p>
    <w:p w14:paraId="02ECC9E0" w14:textId="77777777" w:rsidR="00624037" w:rsidRPr="00F20C0E" w:rsidRDefault="00AC4E6B" w:rsidP="004E4D2E">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مشروعية استخدام المخرجات الذكية أمام الجهات القضائية في النظام السعودي تقوم على مبدأ “القبول المشروط”، لا القبول المطلق ولا الرفض المطلق. فهي مقبولة متى كانت</w:t>
      </w:r>
      <w:r>
        <w:rPr>
          <w:rFonts w:asciiTheme="majorBidi" w:hAnsiTheme="majorBidi" w:cstheme="majorBidi"/>
          <w:sz w:val="24"/>
          <w:szCs w:val="24"/>
        </w:rPr>
        <w:t>:</w:t>
      </w:r>
      <w:r>
        <w:rPr>
          <w:rFonts w:asciiTheme="majorBidi" w:hAnsiTheme="majorBidi" w:cstheme="majorBidi"/>
          <w:sz w:val="24"/>
          <w:szCs w:val="24"/>
        </w:rPr>
        <w:br/>
        <w:t xml:space="preserve">– </w:t>
      </w:r>
      <w:r>
        <w:rPr>
          <w:rFonts w:asciiTheme="majorBidi" w:hAnsiTheme="majorBidi" w:cstheme="majorBidi"/>
          <w:sz w:val="24"/>
          <w:szCs w:val="24"/>
          <w:rtl/>
        </w:rPr>
        <w:t>صادرة عن محامٍ تبناها عن وعي،</w:t>
      </w:r>
      <w:r>
        <w:rPr>
          <w:rFonts w:asciiTheme="majorBidi" w:hAnsiTheme="majorBidi" w:cstheme="majorBidi"/>
          <w:sz w:val="24"/>
          <w:szCs w:val="24"/>
        </w:rPr>
        <w:br/>
        <w:t xml:space="preserve">– </w:t>
      </w:r>
      <w:r>
        <w:rPr>
          <w:rFonts w:asciiTheme="majorBidi" w:hAnsiTheme="majorBidi" w:cstheme="majorBidi"/>
          <w:sz w:val="24"/>
          <w:szCs w:val="24"/>
          <w:rtl/>
        </w:rPr>
        <w:t>قابلة للفحص والمناقشة أمام الخصم،</w:t>
      </w:r>
      <w:r>
        <w:rPr>
          <w:rFonts w:asciiTheme="majorBidi" w:hAnsiTheme="majorBidi" w:cstheme="majorBidi"/>
          <w:sz w:val="24"/>
          <w:szCs w:val="24"/>
        </w:rPr>
        <w:br/>
        <w:t xml:space="preserve">– </w:t>
      </w:r>
      <w:r>
        <w:rPr>
          <w:rFonts w:asciiTheme="majorBidi" w:hAnsiTheme="majorBidi" w:cstheme="majorBidi"/>
          <w:sz w:val="24"/>
          <w:szCs w:val="24"/>
          <w:rtl/>
        </w:rPr>
        <w:t>خاضعة لسلطة القاضي في التقدير،</w:t>
      </w:r>
      <w:r>
        <w:rPr>
          <w:rFonts w:asciiTheme="majorBidi" w:hAnsiTheme="majorBidi" w:cstheme="majorBidi"/>
          <w:sz w:val="24"/>
          <w:szCs w:val="24"/>
        </w:rPr>
        <w:br/>
        <w:t xml:space="preserve">– </w:t>
      </w:r>
      <w:r>
        <w:rPr>
          <w:rFonts w:asciiTheme="majorBidi" w:hAnsiTheme="majorBidi" w:cstheme="majorBidi"/>
          <w:sz w:val="24"/>
          <w:szCs w:val="24"/>
          <w:rtl/>
        </w:rPr>
        <w:t>متسقة مع ضوابط الشفافية والمسؤولية المنصوص عليها في الوثائق الوطنية</w:t>
      </w:r>
      <w:r>
        <w:rPr>
          <w:rFonts w:asciiTheme="majorBidi" w:hAnsiTheme="majorBidi" w:cstheme="majorBidi"/>
          <w:sz w:val="24"/>
          <w:szCs w:val="24"/>
        </w:rPr>
        <w:t>.</w:t>
      </w:r>
    </w:p>
    <w:p w14:paraId="51094F05" w14:textId="77777777" w:rsidR="00624037" w:rsidRPr="00F20C0E" w:rsidRDefault="00624037" w:rsidP="004E4D2E">
      <w:pPr>
        <w:jc w:val="right"/>
        <w:rPr>
          <w:rFonts w:asciiTheme="majorBidi" w:hAnsiTheme="majorBidi" w:cstheme="majorBidi"/>
          <w:sz w:val="24"/>
          <w:szCs w:val="24"/>
        </w:rPr>
      </w:pPr>
      <w:r>
        <w:rPr>
          <w:rFonts w:asciiTheme="majorBidi" w:hAnsiTheme="majorBidi" w:cstheme="majorBidi"/>
          <w:sz w:val="24"/>
          <w:szCs w:val="24"/>
          <w:rtl/>
        </w:rPr>
        <w:t>أما إذا قُدمت بوصفها نتائج تقنية مغلقة أو بديلًا عن الاجتهاد القضائي، فإن استخدامها يخرج عن حدود المشروعية الإجرائية</w:t>
      </w:r>
      <w:r>
        <w:rPr>
          <w:rFonts w:asciiTheme="majorBidi" w:hAnsiTheme="majorBidi" w:cstheme="majorBidi"/>
          <w:sz w:val="24"/>
          <w:szCs w:val="24"/>
        </w:rPr>
        <w:t>.</w:t>
      </w:r>
    </w:p>
    <w:p w14:paraId="6D2958F2" w14:textId="77777777" w:rsidR="00624037" w:rsidRPr="00F20C0E" w:rsidRDefault="00624037" w:rsidP="004E4D2E">
      <w:pPr>
        <w:jc w:val="right"/>
        <w:rPr>
          <w:rFonts w:asciiTheme="majorBidi" w:hAnsiTheme="majorBidi" w:cstheme="majorBidi"/>
          <w:sz w:val="24"/>
          <w:szCs w:val="24"/>
        </w:rPr>
      </w:pPr>
      <w:r>
        <w:rPr>
          <w:rFonts w:asciiTheme="majorBidi" w:hAnsiTheme="majorBidi" w:cstheme="majorBidi"/>
          <w:sz w:val="24"/>
          <w:szCs w:val="24"/>
          <w:rtl/>
        </w:rPr>
        <w:t>وانطلاقًا من هذا التمهيد، سيعالج هذا المطلب – في فقراته اللاحقة – ضوابط هذا الاستخدام المشروع في ضوء النظام السعودي، ثم يقف عند بعض التجارب الدولية الحديثة بوصفها نماذج مقارنة، وصولًا إلى صياغة تصور تنظيمي متوازن ينسجم مع أهداف هذه الدراسة</w:t>
      </w:r>
      <w:r>
        <w:rPr>
          <w:rFonts w:asciiTheme="majorBidi" w:hAnsiTheme="majorBidi" w:cstheme="majorBidi"/>
          <w:sz w:val="24"/>
          <w:szCs w:val="24"/>
        </w:rPr>
        <w:t>.</w:t>
      </w:r>
    </w:p>
    <w:p w14:paraId="66461C7F" w14:textId="77777777" w:rsidR="00624037" w:rsidRDefault="00624037" w:rsidP="004E4D2E">
      <w:pPr>
        <w:jc w:val="right"/>
        <w:rPr>
          <w:rFonts w:asciiTheme="majorBidi" w:hAnsiTheme="majorBidi" w:cstheme="majorBidi"/>
          <w:sz w:val="24"/>
          <w:szCs w:val="24"/>
        </w:rPr>
      </w:pPr>
    </w:p>
    <w:p w14:paraId="2AC01339" w14:textId="77777777" w:rsidR="00624037" w:rsidRPr="00B4002A" w:rsidRDefault="00624037" w:rsidP="004E4D2E">
      <w:pPr>
        <w:jc w:val="right"/>
        <w:rPr>
          <w:rFonts w:asciiTheme="majorBidi" w:hAnsiTheme="majorBidi" w:cstheme="majorBidi"/>
          <w:b/>
          <w:bCs/>
          <w:sz w:val="24"/>
          <w:szCs w:val="24"/>
        </w:rPr>
      </w:pPr>
      <w:r>
        <w:rPr>
          <w:rFonts w:asciiTheme="majorBidi" w:hAnsiTheme="majorBidi" w:cstheme="majorBidi"/>
          <w:b/>
          <w:bCs/>
          <w:sz w:val="24"/>
          <w:szCs w:val="24"/>
          <w:rtl/>
        </w:rPr>
        <w:t>الضوابط الإجرائية لمشروعية تقديم المخرجات الذكية أمام القضاء</w:t>
      </w:r>
    </w:p>
    <w:p w14:paraId="25AE3871" w14:textId="77777777" w:rsidR="00624037" w:rsidRPr="00B4002A" w:rsidRDefault="00624037" w:rsidP="004E4D2E">
      <w:pPr>
        <w:jc w:val="right"/>
        <w:rPr>
          <w:rFonts w:asciiTheme="majorBidi" w:hAnsiTheme="majorBidi" w:cstheme="majorBidi"/>
          <w:sz w:val="24"/>
          <w:szCs w:val="24"/>
        </w:rPr>
      </w:pPr>
      <w:r>
        <w:rPr>
          <w:rFonts w:asciiTheme="majorBidi" w:hAnsiTheme="majorBidi" w:cstheme="majorBidi"/>
          <w:sz w:val="24"/>
          <w:szCs w:val="24"/>
          <w:rtl/>
        </w:rPr>
        <w:t>إن أول معيار حاكم لمشروعية استخدام المخرجات القانونية المنتجة آليًا أمام الجهات القضائية يتمثل في مدى انسجام هذا الاستخدام مع القواعد الإجرائية المنظمة للخصومة. فالقضاء ليس ساحة عرض تقني، وإنما نظام منضبط تحكمه ضمانات دقيقة، في مقدمتها حق الدفاع، ومبدأ المواجهة، وعلانية الإجراءات، وسلطة المحكمة في تكوين قناعتها</w:t>
      </w:r>
      <w:r>
        <w:rPr>
          <w:rFonts w:asciiTheme="majorBidi" w:hAnsiTheme="majorBidi" w:cstheme="majorBidi"/>
          <w:sz w:val="24"/>
          <w:szCs w:val="24"/>
        </w:rPr>
        <w:t>.</w:t>
      </w:r>
    </w:p>
    <w:p w14:paraId="27B80C83" w14:textId="77777777" w:rsidR="00624037" w:rsidRPr="00B4002A" w:rsidRDefault="00624037" w:rsidP="004E4D2E">
      <w:pPr>
        <w:jc w:val="right"/>
        <w:rPr>
          <w:rFonts w:asciiTheme="majorBidi" w:hAnsiTheme="majorBidi" w:cstheme="majorBidi"/>
          <w:sz w:val="24"/>
          <w:szCs w:val="24"/>
        </w:rPr>
      </w:pPr>
      <w:r>
        <w:rPr>
          <w:rFonts w:asciiTheme="majorBidi" w:hAnsiTheme="majorBidi" w:cstheme="majorBidi"/>
          <w:sz w:val="24"/>
          <w:szCs w:val="24"/>
          <w:rtl/>
        </w:rPr>
        <w:t xml:space="preserve">وقد قرر نظام الإثبات لعام 1443هـ أن للمحكمة سلطة تقدير الأدلة دون تقيد بوسيلة معينة، ما لم يرد نص خاص، كما أقر حجية الوسائل الإلكترونية متى ثبتت نسبتها وسلامتها (هيئة الخبراء بمجلس الوزراء، </w:t>
      </w:r>
      <w:r>
        <w:rPr>
          <w:rFonts w:asciiTheme="majorBidi" w:hAnsiTheme="majorBidi" w:cstheme="majorBidi"/>
          <w:sz w:val="24"/>
          <w:szCs w:val="24"/>
          <w:rtl/>
        </w:rPr>
        <w:lastRenderedPageBreak/>
        <w:t>1443هـ). غير أن هذه السلطة التقديرية لا تعني أن كل وسيلة إلكترونية مقبولة بذاتها، بل تظل خاضعة لمعيار الفحص القضائي</w:t>
      </w:r>
      <w:r>
        <w:rPr>
          <w:rFonts w:asciiTheme="majorBidi" w:hAnsiTheme="majorBidi" w:cstheme="majorBidi"/>
          <w:sz w:val="24"/>
          <w:szCs w:val="24"/>
        </w:rPr>
        <w:t>.</w:t>
      </w:r>
    </w:p>
    <w:p w14:paraId="5AC4BFAD"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هنا يبرز سؤال جوهري</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هل تتيح المخرجات الذكية للخصم إمكانية مناقشتها والطعن فيها بذات الدرجة التي تتيحها المذكرات التقليدية؟</w:t>
      </w:r>
    </w:p>
    <w:p w14:paraId="48FA31A1"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إذا كان التقرير أو التحليل مبنيًا على معالجة خوارزمية معقدة لا يمكن تفسيرها أو تتبعها، فإن الخصم قد يُحرم عمليًا من حقه في الرد الفعّال. وقد أشار الأسيوطي إلى أن سلامة الدليل الرقمي لا تتحقق بمجرد وجوده في صيغة إلكترونية، بل تتطلب إمكانية التحقق من مصدره وآلية إنتاجه (الأسيوطي، 2020).</w:t>
      </w:r>
      <w:r>
        <w:rPr>
          <w:rStyle w:val="af"/>
          <w:rFonts w:asciiTheme="majorBidi" w:hAnsiTheme="majorBidi" w:cstheme="majorBidi"/>
          <w:sz w:val="24"/>
          <w:szCs w:val="24"/>
          <w:rtl/>
        </w:rPr>
        <w:footnoteReference w:id="238"/>
      </w:r>
      <w:r>
        <w:rPr>
          <w:rFonts w:asciiTheme="majorBidi" w:hAnsiTheme="majorBidi" w:cstheme="majorBidi"/>
          <w:sz w:val="24"/>
          <w:szCs w:val="24"/>
          <w:rtl/>
        </w:rPr>
        <w:t xml:space="preserve"> وهذا المبدأ يكتسب أهمية مضاعفة في سياق المخرجات الذكية، لأن آلية التوليد نفسها قد تكون جزءًا من قوة الدليل</w:t>
      </w:r>
      <w:r>
        <w:rPr>
          <w:rFonts w:asciiTheme="majorBidi" w:hAnsiTheme="majorBidi" w:cstheme="majorBidi"/>
          <w:sz w:val="24"/>
          <w:szCs w:val="24"/>
        </w:rPr>
        <w:t>.</w:t>
      </w:r>
    </w:p>
    <w:p w14:paraId="414EC8E7" w14:textId="77777777" w:rsidR="00624037" w:rsidRPr="00B4002A"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مشروعية تقديم المخرجات الذكية أمام القضاء مشروطة بقابليتها للمناقشة. فإذا كان النظام المستخدم ينتج تحليلًا لا يمكن تفسير منطقه أو منهجه، فإن تقديمه أمام المحكمة يخل بمبدأ المواجهة، حتى وإن استوفى الشكل الإلكتروني. ومن ثم فإن قابلية الشرح والتفسير تصبح شرطًا ضمنيًا لقبول هذه المخرجات</w:t>
      </w:r>
      <w:r>
        <w:rPr>
          <w:rFonts w:asciiTheme="majorBidi" w:hAnsiTheme="majorBidi" w:cstheme="majorBidi"/>
          <w:sz w:val="24"/>
          <w:szCs w:val="24"/>
        </w:rPr>
        <w:t>.</w:t>
      </w:r>
    </w:p>
    <w:p w14:paraId="067E107A" w14:textId="77777777" w:rsidR="00624037" w:rsidRPr="00B4002A" w:rsidRDefault="00624037" w:rsidP="00624037">
      <w:pPr>
        <w:jc w:val="right"/>
        <w:rPr>
          <w:rFonts w:asciiTheme="majorBidi" w:hAnsiTheme="majorBidi" w:cstheme="majorBidi"/>
          <w:sz w:val="24"/>
          <w:szCs w:val="24"/>
        </w:rPr>
      </w:pPr>
    </w:p>
    <w:p w14:paraId="2D4AC188" w14:textId="77777777" w:rsidR="00624037" w:rsidRPr="00B4002A"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سلطة القاضي في تقدير المخرجات الذكية</w:t>
      </w:r>
    </w:p>
    <w:p w14:paraId="27EF5480"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يُعد مبدأ حرية القاضي في تكوين قناعته من المبادئ الراسخة في النظام السعودي، حيث لم يقيد نظام الإثبات المحكمة بوسائل محددة في تقدير الأدلة، بل منحها سلطة واسعة في وزنها بحسب ظروف الدعوى (هيئة الخبراء بمجلس الوزراء، 1443هـ). وهذا يعني أن المخرجات الذكية – مهما بلغت درجة تطورها – لا يمكن أن تكون ملزمة للقاضي بذاتها</w:t>
      </w:r>
      <w:r>
        <w:rPr>
          <w:rFonts w:asciiTheme="majorBidi" w:hAnsiTheme="majorBidi" w:cstheme="majorBidi"/>
          <w:sz w:val="24"/>
          <w:szCs w:val="24"/>
        </w:rPr>
        <w:t>.</w:t>
      </w:r>
    </w:p>
    <w:p w14:paraId="23898107"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إلا أن الإشكال لا يكمن في الإلزام المباشر، بل في التأثير غير المباشر. فالتقارير التحليلية القائمة على استقراء السوابق أو تحليل أنماط الأحكام قد تُحدث أثرًا نفسيًا أو استرشاديًا قويًا، خاصة إذا قُدمت بلغة تقنية توحي بالدقة العلمية. وقد حذرت مجلة الشريعة والقانون من تحويل التحليل الخوارزمي إلى مرجع حاسم في العمل القضائي، لما قد يترتب عليه من تآكل دور الاجتهاد القضائي (مجلة الشريعة والقانون، 2022)</w:t>
      </w:r>
      <w:r>
        <w:rPr>
          <w:rFonts w:asciiTheme="majorBidi" w:hAnsiTheme="majorBidi" w:cstheme="majorBidi"/>
          <w:sz w:val="24"/>
          <w:szCs w:val="24"/>
        </w:rPr>
        <w:t>.</w:t>
      </w:r>
    </w:p>
    <w:p w14:paraId="6D27AACE"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ثم فإن مشروعية الاستخدام أمام القضاء تقتضي أن يبقى المخرج في إطار الوسيلة الإقناعية، لا المرجعية الملزمة</w:t>
      </w:r>
      <w:r>
        <w:rPr>
          <w:rFonts w:asciiTheme="majorBidi" w:hAnsiTheme="majorBidi" w:cstheme="majorBidi"/>
          <w:sz w:val="24"/>
          <w:szCs w:val="24"/>
        </w:rPr>
        <w:t>.</w:t>
      </w:r>
    </w:p>
    <w:p w14:paraId="25D082B2" w14:textId="77777777" w:rsidR="00624037" w:rsidRPr="00B4002A"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أخطر ما يمكن أن يحدث هو انتقال مركز الثقل من “اقتناع القاضي” إلى “نتيجة النظام”. فالقضاء نشاط تفسيري إنساني، لا عملية حسابية. وإذا أصبحت المخرجات الذكية تُقدَّم بوصفها نتائج حاسمة، فإن ذلك يخل بالتوازن بين التقنية والاجتهاد القضائي. ومن ثم فإن دورها يجب أن يظل استرشاديًا لا تقريريًا</w:t>
      </w:r>
      <w:r>
        <w:rPr>
          <w:rFonts w:asciiTheme="majorBidi" w:hAnsiTheme="majorBidi" w:cstheme="majorBidi"/>
          <w:sz w:val="24"/>
          <w:szCs w:val="24"/>
        </w:rPr>
        <w:t>.</w:t>
      </w:r>
    </w:p>
    <w:p w14:paraId="4B32A2D5" w14:textId="77777777" w:rsidR="00624037" w:rsidRDefault="00624037" w:rsidP="00624037">
      <w:pPr>
        <w:jc w:val="right"/>
        <w:rPr>
          <w:rFonts w:asciiTheme="majorBidi" w:hAnsiTheme="majorBidi" w:cstheme="majorBidi"/>
          <w:sz w:val="24"/>
          <w:szCs w:val="24"/>
        </w:rPr>
      </w:pPr>
    </w:p>
    <w:p w14:paraId="709D99BF" w14:textId="77777777" w:rsidR="00CF598B" w:rsidRDefault="00CF598B" w:rsidP="00624037">
      <w:pPr>
        <w:jc w:val="right"/>
        <w:rPr>
          <w:rFonts w:asciiTheme="majorBidi" w:hAnsiTheme="majorBidi" w:cstheme="majorBidi"/>
          <w:sz w:val="24"/>
          <w:szCs w:val="24"/>
        </w:rPr>
      </w:pPr>
    </w:p>
    <w:p w14:paraId="69202274" w14:textId="77777777" w:rsidR="00CF598B" w:rsidRPr="00B4002A" w:rsidRDefault="00CF598B" w:rsidP="00624037">
      <w:pPr>
        <w:jc w:val="right"/>
        <w:rPr>
          <w:rFonts w:asciiTheme="majorBidi" w:hAnsiTheme="majorBidi" w:cstheme="majorBidi"/>
          <w:sz w:val="24"/>
          <w:szCs w:val="24"/>
        </w:rPr>
      </w:pPr>
    </w:p>
    <w:p w14:paraId="10D6B5E7" w14:textId="77777777" w:rsidR="00624037" w:rsidRPr="00B4002A"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التكييف النظامي للتقارير المدعومة بالذكاء الاصطناعي</w:t>
      </w:r>
    </w:p>
    <w:p w14:paraId="180D18C4"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الناحية التكييفية، يمكن النظر إلى المذكرات أو التقارير المدعومة بالذكاء الاصطناعي باعتبارها أعمالًا مهنية صادرة عن محامٍ، لا باعتبارها منتجات تقنية مستقلة. فالمسؤولية المهنية عن محتواها تظل قائمة على عاتق مقدمها، حتى لو استعان في إعدادها بنظام ذكي</w:t>
      </w:r>
      <w:r>
        <w:rPr>
          <w:rFonts w:asciiTheme="majorBidi" w:hAnsiTheme="majorBidi" w:cstheme="majorBidi"/>
          <w:sz w:val="24"/>
          <w:szCs w:val="24"/>
        </w:rPr>
        <w:t>.</w:t>
      </w:r>
    </w:p>
    <w:p w14:paraId="497BD35F"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وقد أكد المالكي أن المسؤولية عن نتائج استخدام الذكاء الاصطناعي تبقى في يد المشغل أو المستخدم، لا في يد النظام ذاته (المالكي، 2024)</w:t>
      </w:r>
      <w:r>
        <w:rPr>
          <w:rStyle w:val="af"/>
          <w:rFonts w:asciiTheme="majorBidi" w:hAnsiTheme="majorBidi" w:cstheme="majorBidi"/>
          <w:sz w:val="24"/>
          <w:szCs w:val="24"/>
          <w:rtl/>
        </w:rPr>
        <w:footnoteReference w:id="239"/>
      </w:r>
      <w:r>
        <w:rPr>
          <w:rFonts w:asciiTheme="majorBidi" w:hAnsiTheme="majorBidi" w:cstheme="majorBidi"/>
          <w:sz w:val="24"/>
          <w:szCs w:val="24"/>
          <w:rtl/>
        </w:rPr>
        <w:t>. وهذا المبدأ، إذا أُسقط على البيئة القضائية، يعني أن المحكمة لا تنظر إلى “النظام”، بل إلى المحامي الذي تبنى المخرج ووقع عليه</w:t>
      </w:r>
      <w:r>
        <w:rPr>
          <w:rFonts w:asciiTheme="majorBidi" w:hAnsiTheme="majorBidi" w:cstheme="majorBidi"/>
          <w:sz w:val="24"/>
          <w:szCs w:val="24"/>
        </w:rPr>
        <w:t>.</w:t>
      </w:r>
    </w:p>
    <w:p w14:paraId="2E68B7E2"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إلا أن هذا التكييف لا يعفي من ضرورة الإفصاح – في بعض الحالات – عن طبيعة الاستعانة بالنظام، خاصة إذا كان التحليل القائم على البيانات جزءًا جوهريًا من الحجة</w:t>
      </w:r>
      <w:r>
        <w:rPr>
          <w:rFonts w:asciiTheme="majorBidi" w:hAnsiTheme="majorBidi" w:cstheme="majorBidi"/>
          <w:sz w:val="24"/>
          <w:szCs w:val="24"/>
        </w:rPr>
        <w:t>.</w:t>
      </w:r>
    </w:p>
    <w:p w14:paraId="026320D0" w14:textId="77777777" w:rsidR="00624037" w:rsidRPr="00B4002A"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التكييف الصحيح لهذه المخرجات أمام القضاء هو اعتبارها “رأيًا مهنيًا مدعومًا بأداة تحليلية”. فهي ليست تقريرًا خبيرًا مستقلًا، وليست دليلًا تقنيًا قائمًا بذاته، بل جزء من بناء الحجة القانونية. ومن ثم فإن مشروعيتها ترتبط بمدى تحمل مقدمها لمسؤوليتها كاملة</w:t>
      </w:r>
      <w:r>
        <w:rPr>
          <w:rFonts w:asciiTheme="majorBidi" w:hAnsiTheme="majorBidi" w:cstheme="majorBidi"/>
          <w:sz w:val="24"/>
          <w:szCs w:val="24"/>
        </w:rPr>
        <w:t>.</w:t>
      </w:r>
    </w:p>
    <w:p w14:paraId="2FEE7885" w14:textId="77777777" w:rsidR="00624037" w:rsidRPr="00B4002A" w:rsidRDefault="00624037" w:rsidP="00624037">
      <w:pPr>
        <w:jc w:val="right"/>
        <w:rPr>
          <w:rFonts w:asciiTheme="majorBidi" w:hAnsiTheme="majorBidi" w:cstheme="majorBidi"/>
          <w:sz w:val="24"/>
          <w:szCs w:val="24"/>
          <w:rtl/>
        </w:rPr>
      </w:pPr>
    </w:p>
    <w:p w14:paraId="6A925F8E" w14:textId="77777777" w:rsidR="00624037" w:rsidRPr="00B4002A"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العلاقة بين الشفافية والمشروعية القضائية</w:t>
      </w:r>
    </w:p>
    <w:p w14:paraId="0C68C83F"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أكدت الهيئة السعودية للبيانات والذكاء الاصطناعي في وثيقة مبادئ أخلاقيات الذكاء الاصطناعي على مبدأ الشفافية وقابلية التفسير والمساءلة (الهيئة السعودية للبيانات والذكاء الاصطناعي، 2023)، كما شدد إطار تبني الذكاء الاصطناعي على ضرورة وضوح الأدوار والمسؤوليات (الهيئة السعودية للبيانات والذكاء الاصطناعي، 2024)</w:t>
      </w:r>
      <w:r>
        <w:rPr>
          <w:rStyle w:val="af"/>
          <w:rFonts w:asciiTheme="majorBidi" w:hAnsiTheme="majorBidi" w:cstheme="majorBidi"/>
          <w:sz w:val="24"/>
          <w:szCs w:val="24"/>
          <w:rtl/>
        </w:rPr>
        <w:footnoteReference w:id="240"/>
      </w:r>
      <w:r>
        <w:rPr>
          <w:rFonts w:asciiTheme="majorBidi" w:hAnsiTheme="majorBidi" w:cstheme="majorBidi"/>
          <w:sz w:val="24"/>
          <w:szCs w:val="24"/>
        </w:rPr>
        <w:t>.</w:t>
      </w:r>
    </w:p>
    <w:p w14:paraId="2AD6BD74"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وفي سياق التقاضي، فإن هذه المبادئ لا تبقى مجرد إرشادات إدارية، بل تتحول إلى ضمانات إجرائية. فالمخرج الذي لا يمكن تفسيره أو تتبع أساسه قد يُضعف الثقة في العملية القضائية ذاتها</w:t>
      </w:r>
      <w:r>
        <w:rPr>
          <w:rFonts w:asciiTheme="majorBidi" w:hAnsiTheme="majorBidi" w:cstheme="majorBidi"/>
          <w:sz w:val="24"/>
          <w:szCs w:val="24"/>
        </w:rPr>
        <w:t>.</w:t>
      </w:r>
    </w:p>
    <w:p w14:paraId="0B2ED732"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ثم فإن مشروعية الاستخدام القضائي لا تنفصل عن الامتثال لمبادئ الحوكمة الوطنية</w:t>
      </w:r>
      <w:r>
        <w:rPr>
          <w:rFonts w:asciiTheme="majorBidi" w:hAnsiTheme="majorBidi" w:cstheme="majorBidi"/>
          <w:sz w:val="24"/>
          <w:szCs w:val="24"/>
        </w:rPr>
        <w:t>.</w:t>
      </w:r>
    </w:p>
    <w:p w14:paraId="1F025AA7" w14:textId="77777777" w:rsidR="00624037" w:rsidRPr="00B4002A"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مبدأ الشفافية في البيئة القضائية يتجاوز كونه مبدأ أخلاقيًا، ليصبح شرطًا إجرائيًا. فالمخرجات الذكية التي لا يمكن تفسيرها تفسيرًا معقولًا أمام المحكمة ينبغي التعامل معها بحذر شديد، وربما رفضها إذا تعارضت مع حق الدفاع</w:t>
      </w:r>
      <w:r>
        <w:rPr>
          <w:rFonts w:asciiTheme="majorBidi" w:hAnsiTheme="majorBidi" w:cstheme="majorBidi"/>
          <w:sz w:val="24"/>
          <w:szCs w:val="24"/>
        </w:rPr>
        <w:t>.</w:t>
      </w:r>
    </w:p>
    <w:p w14:paraId="385C8911"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المعايير العملية لقبول المخرجات الذكية أمام القضاء</w:t>
      </w:r>
    </w:p>
    <w:p w14:paraId="51032731"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إذا كان الإطار النظري لمشروعية استخدام المخرجات الذكية أمام الجهات القضائية قد ارتبط بسلطة القاضي وضمانات المواجهة ووجوب الشفافية، فإن الانتقال إلى المستوى العملي يقتضي تحديد معايير يمكن من خلالها التمييز بين الاستخدام المشروع والاستخدام غير المشروع</w:t>
      </w:r>
      <w:r>
        <w:rPr>
          <w:rFonts w:asciiTheme="majorBidi" w:hAnsiTheme="majorBidi" w:cstheme="majorBidi"/>
          <w:sz w:val="24"/>
          <w:szCs w:val="24"/>
        </w:rPr>
        <w:t>.</w:t>
      </w:r>
    </w:p>
    <w:p w14:paraId="010370BA"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انطلاقًا من نظام الإثبات، فإن قبول أي وسيلة إثبات يخضع لمعيارين أساسيين</w:t>
      </w:r>
      <w:r>
        <w:rPr>
          <w:rFonts w:asciiTheme="majorBidi" w:hAnsiTheme="majorBidi" w:cstheme="majorBidi"/>
          <w:sz w:val="24"/>
          <w:szCs w:val="24"/>
        </w:rPr>
        <w:t>:</w:t>
      </w:r>
    </w:p>
    <w:p w14:paraId="7C082E96" w14:textId="77777777" w:rsidR="00624037" w:rsidRPr="002E352F" w:rsidRDefault="00624037">
      <w:pPr>
        <w:numPr>
          <w:ilvl w:val="0"/>
          <w:numId w:val="13"/>
        </w:numPr>
        <w:jc w:val="right"/>
        <w:rPr>
          <w:rFonts w:asciiTheme="majorBidi" w:hAnsiTheme="majorBidi" w:cstheme="majorBidi"/>
          <w:sz w:val="24"/>
          <w:szCs w:val="24"/>
        </w:rPr>
      </w:pPr>
      <w:r>
        <w:rPr>
          <w:rFonts w:asciiTheme="majorBidi" w:hAnsiTheme="majorBidi" w:cstheme="majorBidi"/>
          <w:sz w:val="24"/>
          <w:szCs w:val="24"/>
          <w:rtl/>
        </w:rPr>
        <w:t>سلامة النسبة وصحة المصدر</w:t>
      </w:r>
      <w:r>
        <w:rPr>
          <w:rFonts w:asciiTheme="majorBidi" w:hAnsiTheme="majorBidi" w:cstheme="majorBidi"/>
          <w:sz w:val="24"/>
          <w:szCs w:val="24"/>
        </w:rPr>
        <w:t>.</w:t>
      </w:r>
    </w:p>
    <w:p w14:paraId="60F03856" w14:textId="77777777" w:rsidR="00624037" w:rsidRPr="002E352F" w:rsidRDefault="00624037">
      <w:pPr>
        <w:numPr>
          <w:ilvl w:val="0"/>
          <w:numId w:val="13"/>
        </w:numPr>
        <w:jc w:val="right"/>
        <w:rPr>
          <w:rFonts w:asciiTheme="majorBidi" w:hAnsiTheme="majorBidi" w:cstheme="majorBidi"/>
          <w:sz w:val="24"/>
          <w:szCs w:val="24"/>
        </w:rPr>
      </w:pPr>
      <w:r>
        <w:rPr>
          <w:rFonts w:asciiTheme="majorBidi" w:hAnsiTheme="majorBidi" w:cstheme="majorBidi"/>
          <w:sz w:val="24"/>
          <w:szCs w:val="24"/>
          <w:rtl/>
        </w:rPr>
        <w:t>قدرة المحكمة على تقدير الدليل في ضوء ظروف الدعوى (هيئة الخبراء بمجلس الوزراء، 1443هـ)</w:t>
      </w:r>
      <w:r>
        <w:rPr>
          <w:rFonts w:asciiTheme="majorBidi" w:hAnsiTheme="majorBidi" w:cstheme="majorBidi"/>
          <w:sz w:val="24"/>
          <w:szCs w:val="24"/>
        </w:rPr>
        <w:t>.</w:t>
      </w:r>
    </w:p>
    <w:p w14:paraId="7AAE2CC1"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وبتطبيق هذين المعيارين على المخرجات الذكية، يمكن استخلاص ضوابط عملية أهمها</w:t>
      </w:r>
      <w:r>
        <w:rPr>
          <w:rFonts w:asciiTheme="majorBidi" w:hAnsiTheme="majorBidi" w:cstheme="majorBidi"/>
          <w:sz w:val="24"/>
          <w:szCs w:val="24"/>
        </w:rPr>
        <w:t>:</w:t>
      </w:r>
    </w:p>
    <w:p w14:paraId="06F7EF70"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أولًا</w:t>
      </w:r>
      <w:r>
        <w:rPr>
          <w:rFonts w:asciiTheme="majorBidi" w:hAnsiTheme="majorBidi" w:cstheme="majorBidi"/>
          <w:sz w:val="24"/>
          <w:szCs w:val="24"/>
          <w:rtl/>
        </w:rPr>
        <w:t>: أن يكون المخرج صادرًا عن محامٍ تبناه صراحة وتحمل مسؤوليته المهنية، فلا يُقدَّم بوصفه منتجًا تقنيًا مستقلًا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ثانيًا</w:t>
      </w:r>
      <w:r>
        <w:rPr>
          <w:rFonts w:asciiTheme="majorBidi" w:hAnsiTheme="majorBidi" w:cstheme="majorBidi"/>
          <w:sz w:val="24"/>
          <w:szCs w:val="24"/>
          <w:rtl/>
        </w:rPr>
        <w:t>: أن يكون محتواه قابلاً للفحص والمناقشة، بحيث يستطيع الخصم تفكيك الأساس الذي بُني عليه</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ثالثًا</w:t>
      </w:r>
      <w:r>
        <w:rPr>
          <w:rFonts w:asciiTheme="majorBidi" w:hAnsiTheme="majorBidi" w:cstheme="majorBidi"/>
          <w:sz w:val="24"/>
          <w:szCs w:val="24"/>
          <w:rtl/>
        </w:rPr>
        <w:t>: ألا يتضمن ادعاءً بصفة “القطعية العلمية”، بل يُقدم ضمن إطار الاستدلال القانوني القابل للرد</w:t>
      </w:r>
      <w:r>
        <w:rPr>
          <w:rFonts w:asciiTheme="majorBidi" w:hAnsiTheme="majorBidi" w:cstheme="majorBidi"/>
          <w:sz w:val="24"/>
          <w:szCs w:val="24"/>
        </w:rPr>
        <w:t>.</w:t>
      </w:r>
    </w:p>
    <w:p w14:paraId="70A950F5"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وقد أكد خليل أن المسؤولية القانونية عن أفعال الذكاء الاصطناعي لا تعفي المستخدم من واجب التحقق، بل قد تشدد معيار العناية المهنية في بعض الحالات (خليل، 2022)</w:t>
      </w:r>
      <w:r>
        <w:rPr>
          <w:rStyle w:val="af"/>
          <w:rFonts w:asciiTheme="majorBidi" w:hAnsiTheme="majorBidi" w:cstheme="majorBidi"/>
          <w:sz w:val="24"/>
          <w:szCs w:val="24"/>
          <w:rtl/>
        </w:rPr>
        <w:footnoteReference w:id="241"/>
      </w:r>
      <w:r>
        <w:rPr>
          <w:rFonts w:asciiTheme="majorBidi" w:hAnsiTheme="majorBidi" w:cstheme="majorBidi"/>
          <w:sz w:val="24"/>
          <w:szCs w:val="24"/>
          <w:rtl/>
        </w:rPr>
        <w:t>. وهذا التشديد ينعكس في البيئة القضائية على مستوى تقديم المذكرات أو التقارير</w:t>
      </w:r>
      <w:r>
        <w:rPr>
          <w:rFonts w:asciiTheme="majorBidi" w:hAnsiTheme="majorBidi" w:cstheme="majorBidi"/>
          <w:sz w:val="24"/>
          <w:szCs w:val="24"/>
        </w:rPr>
        <w:t>.</w:t>
      </w:r>
    </w:p>
    <w:p w14:paraId="2A93CCD4" w14:textId="77777777" w:rsidR="00624037" w:rsidRPr="002E352F"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المعيار العملي الأهم هو بقاء “القابلية للنقاش”. فإذا كان المخرج لا يسمح بالمناقشة التفصيلية، أو إذا كان يعتمد على معالجة لا يمكن توضيحها، فإن قبوله أمام القضاء يهدد مبدأ المواجهة. ومن ثم فإن قابلية الشرح ليست ترفًا تقنيًا، بل شرطًا جوهريًا للمشروعية</w:t>
      </w:r>
      <w:r>
        <w:rPr>
          <w:rFonts w:asciiTheme="majorBidi" w:hAnsiTheme="majorBidi" w:cstheme="majorBidi"/>
          <w:sz w:val="24"/>
          <w:szCs w:val="24"/>
        </w:rPr>
        <w:t>.</w:t>
      </w:r>
    </w:p>
    <w:p w14:paraId="0325A461" w14:textId="77777777" w:rsidR="00624037" w:rsidRPr="002E352F" w:rsidRDefault="00624037" w:rsidP="00624037">
      <w:pPr>
        <w:jc w:val="right"/>
        <w:rPr>
          <w:rFonts w:asciiTheme="majorBidi" w:hAnsiTheme="majorBidi" w:cstheme="majorBidi"/>
          <w:sz w:val="24"/>
          <w:szCs w:val="24"/>
        </w:rPr>
      </w:pPr>
    </w:p>
    <w:p w14:paraId="561FDC07"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التفرقة بين القضاء المدني والقضاء الجزائي</w:t>
      </w:r>
    </w:p>
    <w:p w14:paraId="1F48DAA1"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تختلف طبيعة الإثبات بين المجال المدني والجزائي، وهو ما يؤثر مباشرة في تقييم مشروعية استخدام المخرجات الذكية</w:t>
      </w:r>
      <w:r>
        <w:rPr>
          <w:rFonts w:asciiTheme="majorBidi" w:hAnsiTheme="majorBidi" w:cstheme="majorBidi"/>
          <w:sz w:val="24"/>
          <w:szCs w:val="24"/>
        </w:rPr>
        <w:t>.</w:t>
      </w:r>
    </w:p>
    <w:p w14:paraId="48F8140D"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في المجال المدني، يقوم الإثبات في الأصل على مبدأ حرية الإثبات ما لم يرد نص خاص، ويُترك للقاضي تقدير الدليل في ضوء ظروف الدعوى (هيئة الخبراء بمجلس الوزراء، 1443هـ)</w:t>
      </w:r>
      <w:r>
        <w:rPr>
          <w:rStyle w:val="af"/>
          <w:rFonts w:asciiTheme="majorBidi" w:hAnsiTheme="majorBidi" w:cstheme="majorBidi"/>
          <w:sz w:val="24"/>
          <w:szCs w:val="24"/>
          <w:rtl/>
        </w:rPr>
        <w:footnoteReference w:id="242"/>
      </w:r>
      <w:r>
        <w:rPr>
          <w:rFonts w:asciiTheme="majorBidi" w:hAnsiTheme="majorBidi" w:cstheme="majorBidi"/>
          <w:sz w:val="24"/>
          <w:szCs w:val="24"/>
          <w:rtl/>
        </w:rPr>
        <w:t>. ومن ثم فإن تقديم تحليل مدعوم بالذكاء الاصطناعي في نزاع تجاري أو مدني قد يكون مقبولًا بوصفه عنصرًا استرشاديًا، ما دام لا يخل بحقوق الخصوم</w:t>
      </w:r>
      <w:r>
        <w:rPr>
          <w:rFonts w:asciiTheme="majorBidi" w:hAnsiTheme="majorBidi" w:cstheme="majorBidi"/>
          <w:sz w:val="24"/>
          <w:szCs w:val="24"/>
        </w:rPr>
        <w:t>.</w:t>
      </w:r>
    </w:p>
    <w:p w14:paraId="70260E16"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أما في المجال الجزائي، فإن معايير الإثبات أكثر تشددًا، ويغلب عليها مبدأ الاقتناع القضائي المبني على أدلة قاطعة أو قوية، مع مراعاة</w:t>
      </w:r>
      <w:r>
        <w:rPr>
          <w:rFonts w:asciiTheme="majorBidi" w:hAnsiTheme="majorBidi" w:cstheme="majorBidi"/>
          <w:sz w:val="24"/>
          <w:szCs w:val="24"/>
        </w:rPr>
        <w:t xml:space="preserve"> </w:t>
      </w:r>
      <w:r>
        <w:rPr>
          <w:rFonts w:asciiTheme="majorBidi" w:hAnsiTheme="majorBidi" w:cstheme="majorBidi"/>
          <w:sz w:val="24"/>
          <w:szCs w:val="24"/>
          <w:rtl/>
        </w:rPr>
        <w:t>(هيئة الخبراء بمجلس الوزراء، 1435هـ – نظام الإجراءات الجزائية). وفي هذا السياق، فإن استخدام أدوات تنبؤية أو تحليل احتمالي قد يثير إشكالات أعمق تتعلق بقرينة البراءة</w:t>
      </w:r>
      <w:r>
        <w:rPr>
          <w:rFonts w:asciiTheme="majorBidi" w:hAnsiTheme="majorBidi" w:cstheme="majorBidi"/>
          <w:sz w:val="24"/>
          <w:szCs w:val="24"/>
        </w:rPr>
        <w:t>.</w:t>
      </w:r>
    </w:p>
    <w:p w14:paraId="7EF75A40"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وقد أشار مراد محمد غالب قاسم</w:t>
      </w:r>
      <w:r>
        <w:rPr>
          <w:rStyle w:val="af"/>
          <w:rFonts w:asciiTheme="majorBidi" w:hAnsiTheme="majorBidi" w:cstheme="majorBidi"/>
          <w:sz w:val="24"/>
          <w:szCs w:val="24"/>
          <w:rtl/>
        </w:rPr>
        <w:footnoteReference w:id="243"/>
      </w:r>
      <w:r>
        <w:rPr>
          <w:rFonts w:asciiTheme="majorBidi" w:hAnsiTheme="majorBidi" w:cstheme="majorBidi"/>
          <w:sz w:val="24"/>
          <w:szCs w:val="24"/>
          <w:rtl/>
        </w:rPr>
        <w:t xml:space="preserve"> في دراسته حول الذكاء الاصطناعي ومكافحة الجريمة الإلكترونية إلى أن الاعتماد على أدوات تحليلية في المجال الجنائي يجب أن يكون محاطًا بضمانات دقيقة، منعًا لتحول التحليل الاحتمالي إلى بديل عن الإثبات المباشر (قاسم، 2024)</w:t>
      </w:r>
      <w:r>
        <w:rPr>
          <w:rFonts w:asciiTheme="majorBidi" w:hAnsiTheme="majorBidi" w:cstheme="majorBidi"/>
          <w:sz w:val="24"/>
          <w:szCs w:val="24"/>
        </w:rPr>
        <w:t>.</w:t>
      </w:r>
    </w:p>
    <w:p w14:paraId="724E379E" w14:textId="77777777" w:rsidR="00D57654" w:rsidRDefault="00000000" w:rsidP="00A83851">
      <w:pPr>
        <w:jc w:val="right"/>
        <w:rPr>
          <w:rFonts w:asciiTheme="majorBidi" w:hAnsiTheme="majorBidi" w:cstheme="majorBidi"/>
          <w:sz w:val="24"/>
          <w:szCs w:val="24"/>
          <w:rtl/>
        </w:rPr>
      </w:pPr>
      <w:r>
        <w:rPr>
          <w:rFonts w:asciiTheme="majorBidi" w:hAnsiTheme="majorBidi" w:cstheme="majorBidi"/>
          <w:sz w:val="24"/>
          <w:szCs w:val="24"/>
          <w:rtl/>
        </w:rPr>
        <w:t>وفي إطار مقارن موسَّع، رصدت دراسة التونسي والمعلم (2024م) الفوارق الجوهرية بين التجربتين الأوروبية والسعودية في تنظيم الذكاء الاصطناعي، وأكدت أن النموذج السعودي يتميز بمرونة تنظيمية أعلى ولكنه يفتقر إلى آليات إنفاذ فعّالة لضمان الامتثال لمتطلبات أخلاقيات الذكاء الاصطناعي داخل المكاتب المهنية.</w:t>
      </w:r>
      <w:r w:rsidRPr="00000001">
        <w:rPr>
          <w:rtl/>
        </w:rPr>
        <w:footnoteReference w:id="244"/>
      </w:r>
    </w:p>
    <w:p w14:paraId="3DB897AB" w14:textId="77777777" w:rsidR="00624037" w:rsidRPr="002E352F" w:rsidRDefault="001C2B27"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نطاق المشروعية في المجال المدني أوسع منه في المجال الجزائي. ففي القضايا المدنية يمكن قبول المخرجات الذكية ضمن إطار الاستدلال والموازنة، أما في القضايا الجزائية فيجب أن يظل استخدامها محدودًا للغاية، وألا يُبنى عليه حكم بالإدانة دون أدلة مستقلة تدعمه</w:t>
      </w:r>
      <w:r>
        <w:rPr>
          <w:rFonts w:asciiTheme="majorBidi" w:hAnsiTheme="majorBidi" w:cstheme="majorBidi"/>
          <w:sz w:val="24"/>
          <w:szCs w:val="24"/>
        </w:rPr>
        <w:t>.</w:t>
      </w:r>
    </w:p>
    <w:p w14:paraId="6D9F4AEB"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t>وتتوافق هذه الرؤية مع ما انتهت إليه دراسة إسماعيل (2025م) من أن المجال المدني يتيح هامشًا أوسع لاستخدام مخرجات الذكاء الاصطناعي مقارنةً بالمجال الجزائي، نظرًا لاشتراط درجات إثبات مختلفة في كل منهما، مما يعني وجود ضوابط أكثر صرامة على توظيف الأنظمة الذكية في مسائل الاتهام والعقوبة.</w:t>
      </w:r>
      <w:r w:rsidRPr="00000001">
        <w:rPr>
          <w:rtl/>
        </w:rPr>
        <w:footnoteReference w:id="245"/>
      </w:r>
    </w:p>
    <w:p w14:paraId="130A045F" w14:textId="77777777" w:rsidR="00624037" w:rsidRPr="002E352F" w:rsidRDefault="00624037" w:rsidP="00624037">
      <w:pPr>
        <w:jc w:val="right"/>
        <w:rPr>
          <w:rFonts w:asciiTheme="majorBidi" w:hAnsiTheme="majorBidi" w:cstheme="majorBidi"/>
          <w:sz w:val="24"/>
          <w:szCs w:val="24"/>
        </w:rPr>
      </w:pPr>
    </w:p>
    <w:p w14:paraId="025672AD"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حدود استخدامها في المسائل التقديرية</w:t>
      </w:r>
    </w:p>
    <w:p w14:paraId="497A193C"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t>وفيما يتعلق بحدود استخدام الذكاء الاصطناعي في المسائل التقديرية، أكد العرشاني أن حدود الاستخدام المشروع ترتبط ارتباطاً وثيقاً بمدى إمكانية العزو والتفسير؛ فالنظام الذكي الذي لا يمكن تفسير آلية وصوله إلى توصيته يُشكّل خطراً جوهرياً في المسائل التقديرية التي تتطلب من القاضي أو المحامي تبرير المنطق الذي استند إليه.</w:t>
      </w:r>
      <w:r w:rsidRPr="00000002">
        <w:rPr>
          <w:rtl/>
        </w:rPr>
        <w:footnoteReference w:id="246"/>
      </w:r>
    </w:p>
    <w:p w14:paraId="6C26EA17"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t>وفيما يتعلق بحدود استخدام الذكاء الاصطناعي في المسائل التقديرية، استقر رأي الجلعود على أن ثمة فئتين من القرارات ينبغي أن تظلا حكراً على الذكاء الإنساني: الأولى قرارات تقدير الدليل ووزنه، والثانية قرارات تكييف الوقائع ومطابقتها بالنصوص النظامية، لأن هذين النوعين ينطويان على بُعد أخلاقي واجتهادي لا تستطيع الخوارزمية الإحاطة به.</w:t>
      </w:r>
      <w:r w:rsidRPr="00000001">
        <w:rPr>
          <w:rtl/>
        </w:rPr>
        <w:footnoteReference w:id="247"/>
      </w:r>
    </w:p>
    <w:p w14:paraId="2BEF564A"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المسائل الدقيقة مسألة استخدام المخرجات الذكية في القضايا التي تقوم على تقدير شخصي أو موازنة قيمية، مثل تقدير التعويض، أو تقدير مدى توافر حسن النية، أو تفسير نية المتعاقدين</w:t>
      </w:r>
      <w:r>
        <w:rPr>
          <w:rFonts w:asciiTheme="majorBidi" w:hAnsiTheme="majorBidi" w:cstheme="majorBidi"/>
          <w:sz w:val="24"/>
          <w:szCs w:val="24"/>
        </w:rPr>
        <w:t>.</w:t>
      </w:r>
    </w:p>
    <w:p w14:paraId="17CE17F2"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فهذه المسائل بطبيعتها لا تخضع لحساب رياضي، بل تتطلب تقديرًا إنسانيًا يستند إلى فهم السياق والملابسات. وقد قرر نظام المعاملات المدنية أن تفسير العقود يتم وفقًا للنية المشتركة للمتعاقدين، لا بالوقوف عند ظاهر الألفاظ فحسب (هيئة الخبراء بمجلس الوزراء، 1445هـ). وهذا التفسير يتطلب قراءة سياقية لا يمكن اختزالها في تحليل بيانات</w:t>
      </w:r>
      <w:r>
        <w:rPr>
          <w:rFonts w:asciiTheme="majorBidi" w:hAnsiTheme="majorBidi" w:cstheme="majorBidi"/>
          <w:sz w:val="24"/>
          <w:szCs w:val="24"/>
        </w:rPr>
        <w:t>.</w:t>
      </w:r>
    </w:p>
    <w:p w14:paraId="58796831"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ثم فإن تقديم تحليل خوارزمي لتحديد “المعنى الأرجح” قد يكون مساعدًا، لكنه لا يمكن أن يحل محل الاجتهاد القضائي في تفسير الإرادة</w:t>
      </w:r>
      <w:r>
        <w:rPr>
          <w:rFonts w:asciiTheme="majorBidi" w:hAnsiTheme="majorBidi" w:cstheme="majorBidi"/>
          <w:sz w:val="24"/>
          <w:szCs w:val="24"/>
        </w:rPr>
        <w:t>.</w:t>
      </w:r>
    </w:p>
    <w:p w14:paraId="449F125E" w14:textId="77777777" w:rsidR="00624037" w:rsidRPr="002E352F" w:rsidRDefault="001C2B27"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المخرجات الذكية يجب أن تبقى في دائرة المسائل القابلة للتحليل الموضوعي، لا أن تمتد إلى المجالات التقديرية الخالصة. فالقضاء في هذه المسائل يستند إلى تقدير إنساني مركب لا يمكن استبداله بخوارزمية، مهما بلغت درجة تطورها</w:t>
      </w:r>
      <w:r>
        <w:rPr>
          <w:rFonts w:asciiTheme="majorBidi" w:hAnsiTheme="majorBidi" w:cstheme="majorBidi"/>
          <w:sz w:val="24"/>
          <w:szCs w:val="24"/>
        </w:rPr>
        <w:t>.</w:t>
      </w:r>
    </w:p>
    <w:p w14:paraId="25906F93" w14:textId="77777777" w:rsidR="00624037" w:rsidRPr="002E352F" w:rsidRDefault="00624037" w:rsidP="00624037">
      <w:pPr>
        <w:jc w:val="right"/>
        <w:rPr>
          <w:rFonts w:asciiTheme="majorBidi" w:hAnsiTheme="majorBidi" w:cstheme="majorBidi"/>
          <w:sz w:val="24"/>
          <w:szCs w:val="24"/>
          <w:rtl/>
        </w:rPr>
      </w:pPr>
    </w:p>
    <w:p w14:paraId="3115228F"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التمهيد للبعد المقارن: لماذا نحتاج إلى التجارب الدولية؟</w:t>
      </w:r>
    </w:p>
    <w:p w14:paraId="12DB9EB8"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إدخال عنصر المقارنة في هذا المطلب لا يهدف إلى استيراد حلول جاهزة، بل إلى فهم الاتجاهات التنظيمية التي سعت إلى معالجة التحديات ذاتها. فالتجارب الدولية تقدم مؤشرات على كيفية التوفيق بين التطور التقني وضمانات العدالة</w:t>
      </w:r>
      <w:r>
        <w:rPr>
          <w:rFonts w:asciiTheme="majorBidi" w:hAnsiTheme="majorBidi" w:cstheme="majorBidi"/>
          <w:sz w:val="24"/>
          <w:szCs w:val="24"/>
        </w:rPr>
        <w:t>.</w:t>
      </w:r>
    </w:p>
    <w:p w14:paraId="0E64B95C"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اتجه التنظيم الأوروبي في قانون الذكاء الاصطناعي</w:t>
      </w:r>
      <w:r>
        <w:rPr>
          <w:rFonts w:asciiTheme="majorBidi" w:hAnsiTheme="majorBidi" w:cstheme="majorBidi"/>
          <w:sz w:val="24"/>
          <w:szCs w:val="24"/>
        </w:rPr>
        <w:t xml:space="preserve"> (AI Act) </w:t>
      </w:r>
      <w:r>
        <w:rPr>
          <w:rFonts w:asciiTheme="majorBidi" w:hAnsiTheme="majorBidi" w:cstheme="majorBidi"/>
          <w:sz w:val="24"/>
          <w:szCs w:val="24"/>
          <w:rtl/>
        </w:rPr>
        <w:t>إلى تصنيف بعض أنظمة الذكاء الاصطناعي المستخدمة في المجال القضائي ضمن فئة “الأنظمة عالية المخاطر”، وفرض عليها متطلبات تتعلق بإدارة المخاطر والشفافية والإشراف البشري</w:t>
      </w:r>
      <w:r>
        <w:rPr>
          <w:rFonts w:asciiTheme="majorBidi" w:hAnsiTheme="majorBidi" w:cstheme="majorBidi"/>
          <w:sz w:val="24"/>
          <w:szCs w:val="24"/>
        </w:rPr>
        <w:t xml:space="preserve"> (European Parliament &amp; Council of the European Union, 2024). </w:t>
      </w:r>
      <w:r>
        <w:rPr>
          <w:rFonts w:asciiTheme="majorBidi" w:hAnsiTheme="majorBidi" w:cstheme="majorBidi"/>
          <w:sz w:val="24"/>
          <w:szCs w:val="24"/>
          <w:rtl/>
        </w:rPr>
        <w:t>ويعكس هذا الاتجاه اعترافًا بحساسية البيئة القضائية، وضرورة وضع ضوابط خاصة لاستخدام التقنية فيها</w:t>
      </w:r>
      <w:r>
        <w:rPr>
          <w:rFonts w:asciiTheme="majorBidi" w:hAnsiTheme="majorBidi" w:cstheme="majorBidi"/>
          <w:sz w:val="24"/>
          <w:szCs w:val="24"/>
        </w:rPr>
        <w:t>.</w:t>
      </w:r>
    </w:p>
    <w:p w14:paraId="4927C0F5"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lastRenderedPageBreak/>
        <w:t>غير أن البيئة النظامية السعودية تختلف في بنيتها عن بعض الأنظمة المقارنة، خاصة في مسألة عدم وجود نظام سوابق ملزمة، وفي مركزية سلطة القاضي في تكوين قناعته. ومن ثم فإن المقارنة ينبغي أن تكون استرشادية لا إحلالية</w:t>
      </w:r>
      <w:r>
        <w:rPr>
          <w:rFonts w:asciiTheme="majorBidi" w:hAnsiTheme="majorBidi" w:cstheme="majorBidi"/>
          <w:sz w:val="24"/>
          <w:szCs w:val="24"/>
        </w:rPr>
        <w:t>.</w:t>
      </w:r>
    </w:p>
    <w:p w14:paraId="15225C3C" w14:textId="77777777" w:rsidR="00D57654" w:rsidRDefault="00000000" w:rsidP="00A83851">
      <w:pPr>
        <w:jc w:val="right"/>
        <w:rPr>
          <w:rFonts w:asciiTheme="majorBidi" w:hAnsiTheme="majorBidi" w:cstheme="majorBidi"/>
          <w:sz w:val="24"/>
          <w:szCs w:val="24"/>
          <w:rtl/>
        </w:rPr>
      </w:pPr>
      <w:r>
        <w:rPr>
          <w:rFonts w:asciiTheme="majorBidi" w:hAnsiTheme="majorBidi" w:cstheme="majorBidi"/>
          <w:sz w:val="24"/>
          <w:szCs w:val="24"/>
          <w:rtl/>
        </w:rPr>
        <w:t>وعلى الصعيد الجزائي، رأى العطار والنوايسة أن غياب السوابق الملزمة في المسائل الجزائية المرتبطة بالذكاء الاصطناعي يُفضي إلى إشكالية مضاعفة تتمثل في تباين الأحكام؛ فقد تُعامَل الجريمة الواحدة معاملات مختلفة من دائرة لأخرى تبعاً لاجتهاد القاضي في تطبيق النصوص العامة، وهو ما يمس مبدأ المساواة أمام القانون ويُثير تساؤلات جوهرية حول العدالة التوزيعية في القضاء الجنائي.</w:t>
      </w:r>
      <w:r w:rsidRPr="00000002">
        <w:rPr>
          <w:rtl/>
        </w:rPr>
        <w:footnoteReference w:id="248"/>
      </w:r>
    </w:p>
    <w:p w14:paraId="62392C7B" w14:textId="77777777" w:rsidR="00D57654" w:rsidRDefault="00000000" w:rsidP="00A83851">
      <w:pPr>
        <w:jc w:val="right"/>
        <w:rPr>
          <w:rFonts w:asciiTheme="majorBidi" w:hAnsiTheme="majorBidi" w:cstheme="majorBidi"/>
          <w:sz w:val="24"/>
          <w:szCs w:val="24"/>
          <w:rtl/>
        </w:rPr>
      </w:pPr>
      <w:r>
        <w:rPr>
          <w:rFonts w:asciiTheme="majorBidi" w:hAnsiTheme="majorBidi" w:cstheme="majorBidi"/>
          <w:sz w:val="24"/>
          <w:szCs w:val="24"/>
          <w:rtl/>
        </w:rPr>
        <w:t>وفي ضوء غياب نظام السوابق الملزمة في منظومة التقاضي السعودي، أكد العجماني وسيد أن هذا الغياب يزداد أثره السلبي في القضايا التقنية الناشئة، مقترحَين إنشاء دليل إرشادي قضائي وطني يتضمن التوجيهات الشرعية والنظامية التي تُرشد القضاة في التعامل مع الحجج والأدلة المعتمدة على الذكاء الاصطناعي، دون أن يصل إلى مستوى السابقة الملزمة التي قد تتعارض مع خصائص المنظومة القضائية السعودية.</w:t>
      </w:r>
      <w:r w:rsidRPr="00000002">
        <w:rPr>
          <w:rtl/>
        </w:rPr>
        <w:footnoteReference w:id="249"/>
      </w:r>
    </w:p>
    <w:p w14:paraId="466C5DD9" w14:textId="77777777" w:rsidR="00D57654" w:rsidRDefault="00000000" w:rsidP="00A83851">
      <w:pPr>
        <w:jc w:val="right"/>
        <w:rPr>
          <w:rFonts w:asciiTheme="majorBidi" w:hAnsiTheme="majorBidi" w:cstheme="majorBidi"/>
          <w:sz w:val="24"/>
          <w:szCs w:val="24"/>
          <w:rtl/>
        </w:rPr>
      </w:pPr>
      <w:r>
        <w:rPr>
          <w:rFonts w:asciiTheme="majorBidi" w:hAnsiTheme="majorBidi" w:cstheme="majorBidi"/>
          <w:sz w:val="24"/>
          <w:szCs w:val="24"/>
          <w:rtl/>
        </w:rPr>
        <w:t>وفيما يتعلق بمسألة عدم وجود نظام سوابق قضائية ملزمة في المنظومة القضائية السعودية، أفاد الغنامي بأن هذا الغياب يتضاعف أثره السلبي في المسائل التقنية الناشئة كالذكاء الاصطناعي؛ إذ يُفضي إلى تباين في المعالجة القضائية من دائرة إلى أخرى، وهو ما يمس مبدأ المساواة أمام القضاء ومبدأ اليقين القانوني اللذَين تؤكد عليهما نظرية التقاضي العادل.</w:t>
      </w:r>
      <w:r w:rsidRPr="00000001">
        <w:rPr>
          <w:rtl/>
        </w:rPr>
        <w:footnoteReference w:id="250"/>
      </w:r>
    </w:p>
    <w:p w14:paraId="46592EA4" w14:textId="77777777" w:rsidR="00624037" w:rsidRPr="002E352F" w:rsidRDefault="001C2B27" w:rsidP="00A83851">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الاستفادة من التجارب الدولية يجب أن تكون انتقائية، تركز على المبادئ العامة مثل الشفافية والإشراف البشري وإدارة المخاطر، دون نقل آليات تنظيمية قد لا تتسق مع خصوصية النظام السعودي</w:t>
      </w:r>
      <w:r>
        <w:rPr>
          <w:rFonts w:asciiTheme="majorBidi" w:hAnsiTheme="majorBidi" w:cstheme="majorBidi"/>
          <w:sz w:val="24"/>
          <w:szCs w:val="24"/>
        </w:rPr>
        <w:t>.</w:t>
      </w:r>
    </w:p>
    <w:p w14:paraId="665F1720" w14:textId="77777777" w:rsidR="00624037" w:rsidRDefault="00624037" w:rsidP="00624037">
      <w:pPr>
        <w:jc w:val="right"/>
        <w:rPr>
          <w:rFonts w:asciiTheme="majorBidi" w:hAnsiTheme="majorBidi" w:cstheme="majorBidi"/>
          <w:sz w:val="24"/>
          <w:szCs w:val="24"/>
        </w:rPr>
      </w:pPr>
    </w:p>
    <w:p w14:paraId="690726C0"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التجارب الدولية في تنظيم استخدام المخرجات الذكية أمام القضاء</w:t>
      </w:r>
    </w:p>
    <w:p w14:paraId="526684D1"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أولًا: التجربة الأوروبية – تنظيم المخاطر بدل حظر التقنية</w:t>
      </w:r>
    </w:p>
    <w:p w14:paraId="42022370"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يُعد قانون الذكاء الاصطناعي الصادر عن الاتحاد الأوروبي</w:t>
      </w:r>
      <w:r>
        <w:rPr>
          <w:rFonts w:asciiTheme="majorBidi" w:hAnsiTheme="majorBidi" w:cstheme="majorBidi"/>
          <w:sz w:val="24"/>
          <w:szCs w:val="24"/>
        </w:rPr>
        <w:t xml:space="preserve"> (AI Act) </w:t>
      </w:r>
      <w:r>
        <w:rPr>
          <w:rFonts w:asciiTheme="majorBidi" w:hAnsiTheme="majorBidi" w:cstheme="majorBidi"/>
          <w:sz w:val="24"/>
          <w:szCs w:val="24"/>
          <w:rtl/>
        </w:rPr>
        <w:t>من أوائل التشريعات الشاملة التي تناولت استخدام أنظمة الذكاء الاصطناعي في القطاعات الحساسة، ومن بينها المجال القضائي. وقد تبنى المشرّع الأوروبي منهج “تصنيف المخاطر”، حيث قسّم الأنظمة إلى مستويات مختلفة بحسب خطورتها، واعتبر بعض التطبيقات المستخدمة في سياق العدالة أو إنفاذ القانون ضمن فئة “الأنظمة عالية المخاطر</w:t>
      </w:r>
      <w:r>
        <w:rPr>
          <w:rFonts w:asciiTheme="majorBidi" w:hAnsiTheme="majorBidi" w:cstheme="majorBidi"/>
          <w:sz w:val="24"/>
          <w:szCs w:val="24"/>
        </w:rPr>
        <w:t>” (European Parliament &amp; Council of the European Union, 2024).</w:t>
      </w:r>
    </w:p>
    <w:p w14:paraId="67164D89"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ويترتب على هذا التصنيف فرض التزامات إضافية، من أهمها</w:t>
      </w:r>
      <w:r>
        <w:rPr>
          <w:rFonts w:asciiTheme="majorBidi" w:hAnsiTheme="majorBidi" w:cstheme="majorBidi"/>
          <w:sz w:val="24"/>
          <w:szCs w:val="24"/>
        </w:rPr>
        <w:t>:</w:t>
      </w:r>
    </w:p>
    <w:p w14:paraId="5DA97668" w14:textId="77777777" w:rsidR="00624037" w:rsidRPr="002E352F" w:rsidRDefault="00624037">
      <w:pPr>
        <w:numPr>
          <w:ilvl w:val="0"/>
          <w:numId w:val="14"/>
        </w:numPr>
        <w:jc w:val="right"/>
        <w:rPr>
          <w:rFonts w:asciiTheme="majorBidi" w:hAnsiTheme="majorBidi" w:cstheme="majorBidi"/>
          <w:sz w:val="24"/>
          <w:szCs w:val="24"/>
        </w:rPr>
      </w:pPr>
      <w:r>
        <w:rPr>
          <w:rFonts w:asciiTheme="majorBidi" w:hAnsiTheme="majorBidi" w:cstheme="majorBidi"/>
          <w:sz w:val="24"/>
          <w:szCs w:val="24"/>
          <w:rtl/>
        </w:rPr>
        <w:t>وجود إشراف بشري فعّال</w:t>
      </w:r>
      <w:r>
        <w:rPr>
          <w:rFonts w:asciiTheme="majorBidi" w:hAnsiTheme="majorBidi" w:cstheme="majorBidi"/>
          <w:sz w:val="24"/>
          <w:szCs w:val="24"/>
        </w:rPr>
        <w:t>.</w:t>
      </w:r>
    </w:p>
    <w:p w14:paraId="4930545D" w14:textId="77777777" w:rsidR="00624037" w:rsidRPr="002E352F" w:rsidRDefault="00624037">
      <w:pPr>
        <w:numPr>
          <w:ilvl w:val="0"/>
          <w:numId w:val="14"/>
        </w:numPr>
        <w:jc w:val="right"/>
        <w:rPr>
          <w:rFonts w:asciiTheme="majorBidi" w:hAnsiTheme="majorBidi" w:cstheme="majorBidi"/>
          <w:sz w:val="24"/>
          <w:szCs w:val="24"/>
        </w:rPr>
      </w:pPr>
      <w:r>
        <w:rPr>
          <w:rFonts w:asciiTheme="majorBidi" w:hAnsiTheme="majorBidi" w:cstheme="majorBidi"/>
          <w:sz w:val="24"/>
          <w:szCs w:val="24"/>
          <w:rtl/>
        </w:rPr>
        <w:t>ضمان جودة البيانات المستخدمة في التدريب</w:t>
      </w:r>
      <w:r>
        <w:rPr>
          <w:rFonts w:asciiTheme="majorBidi" w:hAnsiTheme="majorBidi" w:cstheme="majorBidi"/>
          <w:sz w:val="24"/>
          <w:szCs w:val="24"/>
        </w:rPr>
        <w:t>.</w:t>
      </w:r>
    </w:p>
    <w:p w14:paraId="5E2152CB" w14:textId="77777777" w:rsidR="00624037" w:rsidRPr="002E352F" w:rsidRDefault="00624037">
      <w:pPr>
        <w:numPr>
          <w:ilvl w:val="0"/>
          <w:numId w:val="14"/>
        </w:numPr>
        <w:jc w:val="right"/>
        <w:rPr>
          <w:rFonts w:asciiTheme="majorBidi" w:hAnsiTheme="majorBidi" w:cstheme="majorBidi"/>
          <w:sz w:val="24"/>
          <w:szCs w:val="24"/>
        </w:rPr>
      </w:pPr>
      <w:r>
        <w:rPr>
          <w:rFonts w:asciiTheme="majorBidi" w:hAnsiTheme="majorBidi" w:cstheme="majorBidi"/>
          <w:sz w:val="24"/>
          <w:szCs w:val="24"/>
          <w:rtl/>
        </w:rPr>
        <w:t>توثيق آلية عمل النظام</w:t>
      </w:r>
      <w:r>
        <w:rPr>
          <w:rFonts w:asciiTheme="majorBidi" w:hAnsiTheme="majorBidi" w:cstheme="majorBidi"/>
          <w:sz w:val="24"/>
          <w:szCs w:val="24"/>
        </w:rPr>
        <w:t>.</w:t>
      </w:r>
    </w:p>
    <w:p w14:paraId="3F721BE0" w14:textId="77777777" w:rsidR="00624037" w:rsidRPr="002E352F" w:rsidRDefault="00624037">
      <w:pPr>
        <w:numPr>
          <w:ilvl w:val="0"/>
          <w:numId w:val="14"/>
        </w:numPr>
        <w:jc w:val="right"/>
        <w:rPr>
          <w:rFonts w:asciiTheme="majorBidi" w:hAnsiTheme="majorBidi" w:cstheme="majorBidi"/>
          <w:sz w:val="24"/>
          <w:szCs w:val="24"/>
        </w:rPr>
      </w:pPr>
      <w:r>
        <w:rPr>
          <w:rFonts w:asciiTheme="majorBidi" w:hAnsiTheme="majorBidi" w:cstheme="majorBidi"/>
          <w:sz w:val="24"/>
          <w:szCs w:val="24"/>
          <w:rtl/>
        </w:rPr>
        <w:lastRenderedPageBreak/>
        <w:t>تمكين الأطراف من الطعن في النتائج الآلية</w:t>
      </w:r>
      <w:r>
        <w:rPr>
          <w:rFonts w:asciiTheme="majorBidi" w:hAnsiTheme="majorBidi" w:cstheme="majorBidi"/>
          <w:sz w:val="24"/>
          <w:szCs w:val="24"/>
        </w:rPr>
        <w:t>.</w:t>
      </w:r>
    </w:p>
    <w:p w14:paraId="17A429F5"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ويلاحظ أن التشريع الأوروبي لم يحظر استخدام الذكاء الاصطناعي في المجال القضائي، بل اشترط خضوعه لضوابط مشددة. وهذا يعكس فلسفة تنظيمية تقوم على إدارة المخاطر لا منع الابتكار</w:t>
      </w:r>
      <w:r>
        <w:rPr>
          <w:rFonts w:asciiTheme="majorBidi" w:hAnsiTheme="majorBidi" w:cstheme="majorBidi"/>
          <w:sz w:val="24"/>
          <w:szCs w:val="24"/>
        </w:rPr>
        <w:t>.</w:t>
      </w:r>
    </w:p>
    <w:p w14:paraId="0FEA5DB8"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التنظيم الأوروبي يؤكد في جميع الأحوال بقاء القرار القضائي في يد القاضي، وعدم جواز إسناد سلطة تقريرية ملزمة إلى نظام آلي. وهذا المبدأ يتقاطع مع ما قررته الوثائق الوطنية السعودية بشأن ضرورة بقاء العنصر البشري في موقع القرار (الهيئة السعودية للبيانات والذكاء الاصطناعي، 2023؛ 2024)</w:t>
      </w:r>
      <w:r>
        <w:rPr>
          <w:rStyle w:val="af"/>
          <w:rFonts w:asciiTheme="majorBidi" w:hAnsiTheme="majorBidi" w:cstheme="majorBidi"/>
          <w:sz w:val="24"/>
          <w:szCs w:val="24"/>
          <w:rtl/>
        </w:rPr>
        <w:footnoteReference w:id="251"/>
      </w:r>
      <w:r>
        <w:rPr>
          <w:rFonts w:asciiTheme="majorBidi" w:hAnsiTheme="majorBidi" w:cstheme="majorBidi"/>
          <w:sz w:val="24"/>
          <w:szCs w:val="24"/>
        </w:rPr>
        <w:t>.</w:t>
      </w:r>
    </w:p>
    <w:p w14:paraId="2D1A1AC9" w14:textId="77777777" w:rsidR="00624037" w:rsidRPr="002E352F" w:rsidRDefault="001C2B27"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النموذج الأوروبي يقدم تصورًا متوازنًا، يقوم على الاعتراف بواقع التقنية دون التسليم لها بسلطة تقريرية. ويمكن الاستفادة منه في السياق السعودي عبر تبني مبدأ “الإشراف البشري الملزم” في البيئة القضائية، مع مراعاة الخصوصية النظامية الوطنية</w:t>
      </w:r>
      <w:r>
        <w:rPr>
          <w:rFonts w:asciiTheme="majorBidi" w:hAnsiTheme="majorBidi" w:cstheme="majorBidi"/>
          <w:sz w:val="24"/>
          <w:szCs w:val="24"/>
        </w:rPr>
        <w:t>.</w:t>
      </w:r>
    </w:p>
    <w:p w14:paraId="5D825AAC" w14:textId="77777777" w:rsidR="00624037" w:rsidRPr="002E352F" w:rsidRDefault="00624037" w:rsidP="00624037">
      <w:pPr>
        <w:jc w:val="right"/>
        <w:rPr>
          <w:rFonts w:asciiTheme="majorBidi" w:hAnsiTheme="majorBidi" w:cstheme="majorBidi"/>
          <w:sz w:val="24"/>
          <w:szCs w:val="24"/>
        </w:rPr>
      </w:pPr>
    </w:p>
    <w:p w14:paraId="6CDD6787"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ثانيًا: أدوات التحليل التنبئي في بعض الأنظمة المقارنة</w:t>
      </w:r>
    </w:p>
    <w:p w14:paraId="04D9873B"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وقد رصدت دراسة محمود وعناني المنشورة ضمن كتاب التحديات والآفاق القانونية والاقتصادية للذكاء الاصطناعي واقع استخدام هذه التقنيات في العمل القضائي، مؤكدَين أن الذكاء الاصطناعي أصبح أداةً قويةً تُسهم في تحسين فعالية وكفاءة العمل القضائي من خلال تحليل البيانات القانونية، وتوفير معلومات مفيدة، وتوجيه المحامين والقضاة في اتخاذ القرارات؛ مع التنبيه إلى ضرورة وجود مبادئ أخلاقية ترتكز عليها هذه التقنيات عند استخدامها في الفصل في المنازعات.</w:t>
      </w:r>
      <w:r>
        <w:rPr>
          <w:rStyle w:val="af"/>
          <w:rFonts w:asciiTheme="majorBidi" w:hAnsiTheme="majorBidi" w:cstheme="majorBidi"/>
          <w:sz w:val="24"/>
          <w:szCs w:val="24"/>
          <w:rtl/>
        </w:rPr>
        <w:footnoteReference w:id="252"/>
      </w:r>
    </w:p>
    <w:p w14:paraId="2825862D"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شهدت بعض الأنظمة القانونية استخدام أدوات تحليلية لتوقع مآلات النزاعات أو تقدير احتمالية النجاح في الدعوى. ورغم أن هذه الأدوات تُستخدم غالبًا في مرحلة الاستشارة القانونية، فإن بعضها امتد إلى البيئة القضائية بصورة غير مباشرة</w:t>
      </w:r>
      <w:r>
        <w:rPr>
          <w:rFonts w:asciiTheme="majorBidi" w:hAnsiTheme="majorBidi" w:cstheme="majorBidi"/>
          <w:sz w:val="24"/>
          <w:szCs w:val="24"/>
        </w:rPr>
        <w:t>.</w:t>
      </w:r>
    </w:p>
    <w:p w14:paraId="4299387A"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أثار هذا الاستخدام نقاشًا فقهيًا واسعًا حول مدى تأثير التحليل التنبئي على استقلال القضاء. فالتنبؤ القائم على تحليل بيانات الأحكام السابقة قد يعزز الاتساق، لكنه قد يؤدي في الوقت ذاته إلى تثبيت أنماط اجتهادية قائمة، والحد من التطور القضائي</w:t>
      </w:r>
      <w:r>
        <w:rPr>
          <w:rFonts w:asciiTheme="majorBidi" w:hAnsiTheme="majorBidi" w:cstheme="majorBidi"/>
          <w:sz w:val="24"/>
          <w:szCs w:val="24"/>
        </w:rPr>
        <w:t>.</w:t>
      </w:r>
    </w:p>
    <w:p w14:paraId="0B1868C8"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أشارت دراسات قانونية مقارنة إلى أن التحليل الإحصائي في المجال القضائي ينبغي أن يظل أداة مساعدة لا مرجعًا حاكمًا، وإلا تحولت العدالة إلى “عدالة تنبؤية” بدل أن تكون عدالة تطبيقية قائمة على فهم خصوصية كل نزاع</w:t>
      </w:r>
      <w:r>
        <w:rPr>
          <w:rFonts w:asciiTheme="majorBidi" w:hAnsiTheme="majorBidi" w:cstheme="majorBidi"/>
          <w:sz w:val="24"/>
          <w:szCs w:val="24"/>
        </w:rPr>
        <w:t>.</w:t>
      </w:r>
    </w:p>
    <w:p w14:paraId="42786692" w14:textId="77777777" w:rsidR="00624037" w:rsidRPr="002E352F" w:rsidRDefault="001C2B27"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استخدام التحليل التنبئي في السياق القضائي السعودي يجب أن يظل في حدود الاستشارة المهنية، لا أن يمتد إلى التأثير المباشر في تكوين قناعة القاضي. فالنظام السعودي لا يقوم على مبدأ السوابق الملزمة، بل يمنح القاضي سلطة تقديرية واسعة، وهو ما يجعل التحليل التنبئي ذا طابع استرشادي فقط</w:t>
      </w:r>
      <w:r>
        <w:rPr>
          <w:rFonts w:asciiTheme="majorBidi" w:hAnsiTheme="majorBidi" w:cstheme="majorBidi"/>
          <w:sz w:val="24"/>
          <w:szCs w:val="24"/>
        </w:rPr>
        <w:t>.</w:t>
      </w:r>
    </w:p>
    <w:p w14:paraId="2003C56F" w14:textId="77777777" w:rsidR="00624037" w:rsidRPr="002E352F" w:rsidRDefault="00624037" w:rsidP="00624037">
      <w:pPr>
        <w:jc w:val="right"/>
        <w:rPr>
          <w:rFonts w:asciiTheme="majorBidi" w:hAnsiTheme="majorBidi" w:cstheme="majorBidi"/>
          <w:sz w:val="24"/>
          <w:szCs w:val="24"/>
        </w:rPr>
      </w:pPr>
    </w:p>
    <w:p w14:paraId="4BB9F75C"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ثالثًا: حماية الضمانات الإجرائية في البيئة الرقمية</w:t>
      </w:r>
    </w:p>
    <w:p w14:paraId="38535B90" w14:textId="77777777" w:rsidR="00B16B4E" w:rsidRDefault="00000000">
      <w:pPr>
        <w:jc w:val="both"/>
        <w:rPr>
          <w:rFonts w:asciiTheme="majorBidi" w:hAnsiTheme="majorBidi" w:cstheme="majorBidi"/>
          <w:sz w:val="24"/>
          <w:szCs w:val="24"/>
          <w:rtl/>
        </w:rPr>
      </w:pPr>
      <w:r>
        <w:rPr>
          <w:rFonts w:asciiTheme="majorBidi" w:hAnsiTheme="majorBidi" w:cstheme="majorBidi"/>
          <w:sz w:val="24"/>
          <w:szCs w:val="24"/>
          <w:rtl/>
        </w:rPr>
        <w:lastRenderedPageBreak/>
        <w:t>وتفرض البيئة الرقمية تحديات جوهرية أمام الضمانات الإجرائية المقررة للمتقاضين، وذلك في ظل تنامي الاعتماد على الأنظمة الذكية في إعداد المستندات القانونية، مما يستدعي تطبيق أحكام نظام التعاملات الإلكترونية الصادر بالمرسوم الملكي رقم م/18 لعام 1428هـ.</w:t>
      </w:r>
      <w:r>
        <w:rPr>
          <w:rtl/>
        </w:rPr>
        <w:footnoteReference w:id="253"/>
      </w:r>
    </w:p>
    <w:p w14:paraId="70EC86AA"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وفي هذا الإطار، أشارت الهيئة السعودية للبيانات والذكاء الاصطناعي (سدايا) في وثيقتها الاسترشادية حول أخلاقيات الذكاء الاصطناعي الصادرة في طبعتها الثانية عام 2024م إلى أن مبدأ القيم الإنسانية والعدالة يستلزم أن تكون أنظمة الذكاء الاصطناعي مصممةً بحيث تحترم كرامة الإنسان وتُراعي مبادئ العدالة والمساواة، وهو ما يستوجب في السياق القضائي والمهني توافر ضمانات إجرائية صريحة تكفل حقوق الأطراف وتُحكم مسؤولية مستخدمي هذه الأنظمة.</w:t>
      </w:r>
      <w:r>
        <w:rPr>
          <w:rStyle w:val="af"/>
          <w:rFonts w:asciiTheme="majorBidi" w:hAnsiTheme="majorBidi" w:cstheme="majorBidi"/>
          <w:sz w:val="24"/>
          <w:szCs w:val="24"/>
          <w:rtl/>
        </w:rPr>
        <w:footnoteReference w:id="254"/>
      </w:r>
    </w:p>
    <w:p w14:paraId="3CF7226A"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أبرز ما شددت عليه التجارب المقارنة ضرورة حماية الضمانات الإجرائية عند إدخال التقنية في المجال القضائي. فالمشكلة لا تكمن في الوسيلة ذاتها، بل في احتمال أن تؤدي إلى الإخلال بحق الدفاع أو مبدأ المساواة بين الخصوم</w:t>
      </w:r>
      <w:r>
        <w:rPr>
          <w:rFonts w:asciiTheme="majorBidi" w:hAnsiTheme="majorBidi" w:cstheme="majorBidi"/>
          <w:sz w:val="24"/>
          <w:szCs w:val="24"/>
        </w:rPr>
        <w:t>.</w:t>
      </w:r>
    </w:p>
    <w:p w14:paraId="6FF023AE"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ربط التنظيم الأوروبي بين استخدام أنظمة الذكاء الاصطناعي في العدالة وبين حماية الحقوق الأساسية، واعتبر الشفافية وقابلية التفسير عنصرين جوهريين لضمان المحاكمة العادلة</w:t>
      </w:r>
      <w:r>
        <w:rPr>
          <w:rFonts w:asciiTheme="majorBidi" w:hAnsiTheme="majorBidi" w:cstheme="majorBidi"/>
          <w:sz w:val="24"/>
          <w:szCs w:val="24"/>
        </w:rPr>
        <w:t xml:space="preserve"> (European Parliament &amp; Council of the European Union, 2024).</w:t>
      </w:r>
    </w:p>
    <w:p w14:paraId="6A95CEFB"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وفي السياق السعودي، فإن ضمانات التقاضي مستمدة من النظام الأساسي للحكم ومن الأنظمة الإجرائية ذات الصلة، التي تؤكد حق الدفاع وعلانية الإجراءات واستقلال القضاء. ومن ثم فإن أي استخدام تقني ينبغي أن يُقاس بمدى اتساقه مع هذه المبادئ</w:t>
      </w:r>
      <w:r>
        <w:rPr>
          <w:rFonts w:asciiTheme="majorBidi" w:hAnsiTheme="majorBidi" w:cstheme="majorBidi"/>
          <w:sz w:val="24"/>
          <w:szCs w:val="24"/>
        </w:rPr>
        <w:t>.</w:t>
      </w:r>
    </w:p>
    <w:p w14:paraId="10326E4B" w14:textId="77777777" w:rsidR="00624037" w:rsidRPr="002E352F" w:rsidRDefault="00523C56"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المعيار الحاكم في قبول أو رفض المخرجات الذكية أمام القضاء يجب أن يكون مدى تأثيرها في ضمانات العدالة. فإذا أدت إلى تعزيز الفهم أو تسريع الفصل دون الإخلال بحقوق الخصوم، فهي أداة مشروعة. أما إذا مست جوهر المواجهة أو أضعفت قدرة أحد الأطراف على الرد، فإن استخدامها يصبح محل نظر</w:t>
      </w:r>
      <w:r>
        <w:rPr>
          <w:rFonts w:asciiTheme="majorBidi" w:hAnsiTheme="majorBidi" w:cstheme="majorBidi"/>
          <w:sz w:val="24"/>
          <w:szCs w:val="24"/>
        </w:rPr>
        <w:t>.</w:t>
      </w:r>
    </w:p>
    <w:p w14:paraId="79BDF76D" w14:textId="77777777" w:rsidR="00624037" w:rsidRPr="002E352F" w:rsidRDefault="00624037" w:rsidP="00624037">
      <w:pPr>
        <w:jc w:val="right"/>
        <w:rPr>
          <w:rFonts w:asciiTheme="majorBidi" w:hAnsiTheme="majorBidi" w:cstheme="majorBidi"/>
          <w:sz w:val="24"/>
          <w:szCs w:val="24"/>
        </w:rPr>
      </w:pPr>
    </w:p>
    <w:p w14:paraId="07CA1C0B"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قراءة مقارنة ختامية في ضوء النظام السعودي</w:t>
      </w:r>
    </w:p>
    <w:p w14:paraId="6FA286D1"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يتضح من استعراض التجارب الدولية أن الاتجاه العام لا يتجه إلى منع استخدام المخرجات الذكية أمام القضاء، بل إلى تنظيمها وإحاطتها بضوابط مشددة. ويتركز جوهر هذه الضوابط في ثلاث نقاط رئيسة</w:t>
      </w:r>
      <w:r>
        <w:rPr>
          <w:rFonts w:asciiTheme="majorBidi" w:hAnsiTheme="majorBidi" w:cstheme="majorBidi"/>
          <w:sz w:val="24"/>
          <w:szCs w:val="24"/>
        </w:rPr>
        <w:t>:</w:t>
      </w:r>
    </w:p>
    <w:p w14:paraId="491B024D" w14:textId="77777777" w:rsidR="00624037" w:rsidRPr="002E352F" w:rsidRDefault="00624037">
      <w:pPr>
        <w:numPr>
          <w:ilvl w:val="0"/>
          <w:numId w:val="15"/>
        </w:numPr>
        <w:jc w:val="right"/>
        <w:rPr>
          <w:rFonts w:asciiTheme="majorBidi" w:hAnsiTheme="majorBidi" w:cstheme="majorBidi"/>
          <w:sz w:val="24"/>
          <w:szCs w:val="24"/>
        </w:rPr>
      </w:pPr>
      <w:r>
        <w:rPr>
          <w:rFonts w:asciiTheme="majorBidi" w:hAnsiTheme="majorBidi" w:cstheme="majorBidi"/>
          <w:sz w:val="24"/>
          <w:szCs w:val="24"/>
          <w:rtl/>
        </w:rPr>
        <w:t>بقاء القرار القضائي بيد الإنسان</w:t>
      </w:r>
      <w:r>
        <w:rPr>
          <w:rFonts w:asciiTheme="majorBidi" w:hAnsiTheme="majorBidi" w:cstheme="majorBidi"/>
          <w:sz w:val="24"/>
          <w:szCs w:val="24"/>
        </w:rPr>
        <w:t>.</w:t>
      </w:r>
    </w:p>
    <w:p w14:paraId="2C341FE9" w14:textId="77777777" w:rsidR="00624037" w:rsidRPr="002E352F" w:rsidRDefault="00624037">
      <w:pPr>
        <w:numPr>
          <w:ilvl w:val="0"/>
          <w:numId w:val="15"/>
        </w:numPr>
        <w:jc w:val="right"/>
        <w:rPr>
          <w:rFonts w:asciiTheme="majorBidi" w:hAnsiTheme="majorBidi" w:cstheme="majorBidi"/>
          <w:sz w:val="24"/>
          <w:szCs w:val="24"/>
        </w:rPr>
      </w:pPr>
      <w:r>
        <w:rPr>
          <w:rFonts w:asciiTheme="majorBidi" w:hAnsiTheme="majorBidi" w:cstheme="majorBidi"/>
          <w:sz w:val="24"/>
          <w:szCs w:val="24"/>
          <w:rtl/>
        </w:rPr>
        <w:t>قابلية المخرجات للفحص والمراجعة</w:t>
      </w:r>
      <w:r>
        <w:rPr>
          <w:rFonts w:asciiTheme="majorBidi" w:hAnsiTheme="majorBidi" w:cstheme="majorBidi"/>
          <w:sz w:val="24"/>
          <w:szCs w:val="24"/>
        </w:rPr>
        <w:t>.</w:t>
      </w:r>
    </w:p>
    <w:p w14:paraId="66B9029C" w14:textId="77777777" w:rsidR="00624037" w:rsidRPr="002E352F" w:rsidRDefault="00624037">
      <w:pPr>
        <w:numPr>
          <w:ilvl w:val="0"/>
          <w:numId w:val="15"/>
        </w:numPr>
        <w:jc w:val="right"/>
        <w:rPr>
          <w:rFonts w:asciiTheme="majorBidi" w:hAnsiTheme="majorBidi" w:cstheme="majorBidi"/>
          <w:sz w:val="24"/>
          <w:szCs w:val="24"/>
        </w:rPr>
      </w:pPr>
      <w:r>
        <w:rPr>
          <w:rFonts w:asciiTheme="majorBidi" w:hAnsiTheme="majorBidi" w:cstheme="majorBidi"/>
          <w:sz w:val="24"/>
          <w:szCs w:val="24"/>
          <w:rtl/>
        </w:rPr>
        <w:t>وضوح المسؤولية عن النتائج</w:t>
      </w:r>
      <w:r>
        <w:rPr>
          <w:rFonts w:asciiTheme="majorBidi" w:hAnsiTheme="majorBidi" w:cstheme="majorBidi"/>
          <w:sz w:val="24"/>
          <w:szCs w:val="24"/>
        </w:rPr>
        <w:t>.</w:t>
      </w:r>
    </w:p>
    <w:p w14:paraId="62A61A20"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وهذه النقاط تتسق – في جوهرها – مع ما قررته الأنظمة السعودية من حيث سلطة القاضي في تقدير الأدلة (هيئة الخبراء بمجلس الوزراء، 1443هـ)، وبقاء المسؤولية المهنية على عاتق مقدم العمل القانوني (المالكي، </w:t>
      </w:r>
      <w:r>
        <w:rPr>
          <w:rFonts w:asciiTheme="majorBidi" w:hAnsiTheme="majorBidi" w:cstheme="majorBidi"/>
          <w:sz w:val="24"/>
          <w:szCs w:val="24"/>
          <w:rtl/>
        </w:rPr>
        <w:lastRenderedPageBreak/>
        <w:t>2024)</w:t>
      </w:r>
      <w:r>
        <w:rPr>
          <w:rStyle w:val="af"/>
          <w:rFonts w:asciiTheme="majorBidi" w:hAnsiTheme="majorBidi" w:cstheme="majorBidi"/>
          <w:sz w:val="24"/>
          <w:szCs w:val="24"/>
          <w:rtl/>
        </w:rPr>
        <w:footnoteReference w:id="255"/>
      </w:r>
      <w:r>
        <w:rPr>
          <w:rFonts w:asciiTheme="majorBidi" w:hAnsiTheme="majorBidi" w:cstheme="majorBidi"/>
          <w:sz w:val="24"/>
          <w:szCs w:val="24"/>
          <w:rtl/>
        </w:rPr>
        <w:t>، ووجوب الشفافية والمساءلة في استخدام الذكاء الاصطناعي (الهيئة السعودية للبيانات والذكاء الاصطناعي، 2023؛ 2024)</w:t>
      </w:r>
      <w:r>
        <w:rPr>
          <w:rFonts w:asciiTheme="majorBidi" w:hAnsiTheme="majorBidi" w:cstheme="majorBidi"/>
          <w:sz w:val="24"/>
          <w:szCs w:val="24"/>
        </w:rPr>
        <w:t>.</w:t>
      </w:r>
    </w:p>
    <w:p w14:paraId="19451658"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البيئة السعودية تتميز بخصوصيات، منها</w:t>
      </w:r>
      <w:r>
        <w:rPr>
          <w:rFonts w:asciiTheme="majorBidi" w:hAnsiTheme="majorBidi" w:cstheme="majorBidi"/>
          <w:sz w:val="24"/>
          <w:szCs w:val="24"/>
        </w:rPr>
        <w:t>:</w:t>
      </w:r>
    </w:p>
    <w:p w14:paraId="0A76E3D9" w14:textId="77777777" w:rsidR="00624037" w:rsidRPr="002E352F" w:rsidRDefault="00624037">
      <w:pPr>
        <w:numPr>
          <w:ilvl w:val="0"/>
          <w:numId w:val="16"/>
        </w:numPr>
        <w:jc w:val="right"/>
        <w:rPr>
          <w:rFonts w:asciiTheme="majorBidi" w:hAnsiTheme="majorBidi" w:cstheme="majorBidi"/>
          <w:sz w:val="24"/>
          <w:szCs w:val="24"/>
        </w:rPr>
      </w:pPr>
      <w:r>
        <w:rPr>
          <w:rFonts w:asciiTheme="majorBidi" w:hAnsiTheme="majorBidi" w:cstheme="majorBidi"/>
          <w:sz w:val="24"/>
          <w:szCs w:val="24"/>
          <w:rtl/>
        </w:rPr>
        <w:t>عدم وجود نظام سوابق ملزمة</w:t>
      </w:r>
      <w:r>
        <w:rPr>
          <w:rFonts w:asciiTheme="majorBidi" w:hAnsiTheme="majorBidi" w:cstheme="majorBidi"/>
          <w:sz w:val="24"/>
          <w:szCs w:val="24"/>
        </w:rPr>
        <w:t>.</w:t>
      </w:r>
    </w:p>
    <w:p w14:paraId="0E0F9FF3" w14:textId="77777777" w:rsidR="00624037" w:rsidRPr="002E352F" w:rsidRDefault="00624037" w:rsidP="00786384">
      <w:pPr>
        <w:numPr>
          <w:ilvl w:val="0"/>
          <w:numId w:val="16"/>
        </w:numPr>
        <w:jc w:val="right"/>
        <w:rPr>
          <w:rFonts w:asciiTheme="majorBidi" w:hAnsiTheme="majorBidi" w:cstheme="majorBidi"/>
          <w:sz w:val="24"/>
          <w:szCs w:val="24"/>
        </w:rPr>
      </w:pPr>
      <w:r>
        <w:rPr>
          <w:rFonts w:asciiTheme="majorBidi" w:hAnsiTheme="majorBidi" w:cstheme="majorBidi"/>
          <w:sz w:val="24"/>
          <w:szCs w:val="24"/>
          <w:rtl/>
        </w:rPr>
        <w:t>مركزية الاجتهاد القضائي</w:t>
      </w:r>
      <w:r>
        <w:rPr>
          <w:rFonts w:asciiTheme="majorBidi" w:hAnsiTheme="majorBidi" w:cstheme="majorBidi"/>
          <w:sz w:val="24"/>
          <w:szCs w:val="24"/>
        </w:rPr>
        <w:t>.</w:t>
      </w:r>
    </w:p>
    <w:p w14:paraId="0877F5E3" w14:textId="77777777" w:rsidR="00D57654" w:rsidRDefault="00000000" w:rsidP="00786384">
      <w:pPr>
        <w:jc w:val="right"/>
        <w:rPr>
          <w:rFonts w:asciiTheme="majorBidi" w:hAnsiTheme="majorBidi" w:cstheme="majorBidi"/>
          <w:sz w:val="24"/>
          <w:szCs w:val="24"/>
          <w:rtl/>
        </w:rPr>
      </w:pPr>
      <w:r>
        <w:rPr>
          <w:rFonts w:asciiTheme="majorBidi" w:hAnsiTheme="majorBidi" w:cstheme="majorBidi"/>
          <w:sz w:val="24"/>
          <w:szCs w:val="24"/>
          <w:rtl/>
        </w:rPr>
        <w:t>وفي معالجة مركزية الاجتهاد القضائي في مواجهة المسائل التقنية، خلص المعلم إلى أن إنشاء وحدة تقنية مساندة للقضاء تضم خبراء في الذكاء الاصطناعي والأدلة الرقمية سيُخفف من حدة هذه المركزية ويُوفر للقضاء مرجعية موضوعية تُعينه على التعامل مع الحجج التقنية، على نحو يُشبه في وظيفته دور خبير الحساب أو الخبير الطبي الشرعي في المنظومات القضائية المتخصصة.</w:t>
      </w:r>
      <w:r w:rsidRPr="00000002">
        <w:rPr>
          <w:rtl/>
        </w:rPr>
        <w:footnoteReference w:id="256"/>
      </w:r>
    </w:p>
    <w:p w14:paraId="7D20B950" w14:textId="77777777" w:rsidR="00D57654" w:rsidRDefault="00000000" w:rsidP="00786384">
      <w:pPr>
        <w:jc w:val="right"/>
        <w:rPr>
          <w:rFonts w:asciiTheme="majorBidi" w:hAnsiTheme="majorBidi" w:cstheme="majorBidi"/>
          <w:sz w:val="24"/>
          <w:szCs w:val="24"/>
          <w:rtl/>
        </w:rPr>
      </w:pPr>
      <w:r>
        <w:rPr>
          <w:rFonts w:asciiTheme="majorBidi" w:hAnsiTheme="majorBidi" w:cstheme="majorBidi"/>
          <w:sz w:val="24"/>
          <w:szCs w:val="24"/>
          <w:rtl/>
        </w:rPr>
        <w:t>وفي مواجهة مركزية الاجتهاد القضائي التي تُشكّل سمة بنيوية في المنظومة القانونية السعودية، دعا المعيبد إلى إنشاء غرف قضائية متخصصة في القضايا الرقمية تضم قضاة مُؤهَّلين تأهيلاً تقنياً مزدوجاً، يُدركون أحكام النظام السعودي من جهة ومعطيات الثورة الرقمية من جهة أخرى، مما يُتيح بناء اجتهاد قضائي موحّد في مسائل المسؤولية عن الذكاء الاصطناعي.</w:t>
      </w:r>
      <w:r w:rsidRPr="00000001">
        <w:rPr>
          <w:rtl/>
        </w:rPr>
        <w:footnoteReference w:id="257"/>
      </w:r>
    </w:p>
    <w:p w14:paraId="6B722693" w14:textId="77777777" w:rsidR="00624037" w:rsidRPr="002E352F" w:rsidRDefault="00624037" w:rsidP="00786384">
      <w:pPr>
        <w:numPr>
          <w:ilvl w:val="0"/>
          <w:numId w:val="16"/>
        </w:numPr>
        <w:jc w:val="right"/>
        <w:rPr>
          <w:rFonts w:asciiTheme="majorBidi" w:hAnsiTheme="majorBidi" w:cstheme="majorBidi"/>
          <w:sz w:val="24"/>
          <w:szCs w:val="24"/>
        </w:rPr>
      </w:pPr>
      <w:r>
        <w:rPr>
          <w:rFonts w:asciiTheme="majorBidi" w:hAnsiTheme="majorBidi" w:cstheme="majorBidi"/>
          <w:sz w:val="24"/>
          <w:szCs w:val="24"/>
          <w:rtl/>
        </w:rPr>
        <w:t>الطبيعة المختلطة للمرجعية بين الشريعة والنظام</w:t>
      </w:r>
      <w:r>
        <w:rPr>
          <w:rFonts w:asciiTheme="majorBidi" w:hAnsiTheme="majorBidi" w:cstheme="majorBidi"/>
          <w:sz w:val="24"/>
          <w:szCs w:val="24"/>
        </w:rPr>
        <w:t>.</w:t>
      </w:r>
    </w:p>
    <w:p w14:paraId="153EC0A1" w14:textId="77777777" w:rsidR="00D57654" w:rsidRDefault="00000000" w:rsidP="00786384">
      <w:pPr>
        <w:jc w:val="right"/>
        <w:rPr>
          <w:rFonts w:asciiTheme="majorBidi" w:hAnsiTheme="majorBidi" w:cstheme="majorBidi"/>
          <w:sz w:val="24"/>
          <w:szCs w:val="24"/>
          <w:rtl/>
        </w:rPr>
      </w:pPr>
      <w:r>
        <w:rPr>
          <w:rFonts w:asciiTheme="majorBidi" w:hAnsiTheme="majorBidi" w:cstheme="majorBidi"/>
          <w:sz w:val="24"/>
          <w:szCs w:val="24"/>
          <w:rtl/>
        </w:rPr>
        <w:t>وفي السياق المقارن لتوظيف مبادئ الفقه الإسلامي في مواجهة تحديات الذكاء الاصطناعي، عرضت عبد الرحمن حالات عدة من الفقه الإسلامي المعاصر تُوظّف فيها قواعد مثل لا ضرر ولا ضرار، وقاعدة الغرم بالغنم، وقاعدة المشقة تجلب التيسير، في معالجة مسائل الضرر الرقمي والمسؤولية عن الأخطاء الخوارزمية، منتهيةً إلى أن الفقه الإسلامي يمتلك المرونة الكافية لاستيعاب هذه الإشكاليات المستحدثة.</w:t>
      </w:r>
      <w:r w:rsidRPr="00000002">
        <w:rPr>
          <w:rtl/>
        </w:rPr>
        <w:footnoteReference w:id="258"/>
      </w:r>
    </w:p>
    <w:p w14:paraId="23709145" w14:textId="77777777" w:rsidR="00D57654" w:rsidRDefault="00000000" w:rsidP="00786384">
      <w:pPr>
        <w:jc w:val="right"/>
        <w:rPr>
          <w:rFonts w:asciiTheme="majorBidi" w:hAnsiTheme="majorBidi" w:cstheme="majorBidi"/>
          <w:sz w:val="24"/>
          <w:szCs w:val="24"/>
          <w:rtl/>
        </w:rPr>
      </w:pPr>
      <w:r>
        <w:rPr>
          <w:rFonts w:asciiTheme="majorBidi" w:hAnsiTheme="majorBidi" w:cstheme="majorBidi"/>
          <w:sz w:val="24"/>
          <w:szCs w:val="24"/>
          <w:rtl/>
        </w:rPr>
        <w:t>وفيما يتعلق بالطبيعة المختلطة للمرجعية القانونية في المنظومة السعودية، نبّه العرشاني إلى أن هذه الطبيعة المزدوجة تمنح المشرّع والقاضي مرونة نادرة في التعامل مع المستجدات التقنية؛ إذ يمكن الاستناد إلى مبادئ الشريعة الإسلامية كقواعد درء الضرر وحماية الحقوق المكتسبة، إلى جانب النصوص التنظيمية، لسد الفراغ التشريعي في مواجهة إشكاليات الذكاء الاصطناعي الطارئة.</w:t>
      </w:r>
      <w:r w:rsidRPr="00000002">
        <w:rPr>
          <w:rtl/>
        </w:rPr>
        <w:footnoteReference w:id="259"/>
      </w:r>
    </w:p>
    <w:p w14:paraId="3081C10F" w14:textId="77777777" w:rsidR="00D57654" w:rsidRDefault="00000000" w:rsidP="00786384">
      <w:pPr>
        <w:jc w:val="right"/>
        <w:rPr>
          <w:rFonts w:asciiTheme="majorBidi" w:hAnsiTheme="majorBidi" w:cstheme="majorBidi"/>
          <w:sz w:val="24"/>
          <w:szCs w:val="24"/>
          <w:rtl/>
        </w:rPr>
      </w:pPr>
      <w:r>
        <w:rPr>
          <w:rFonts w:asciiTheme="majorBidi" w:hAnsiTheme="majorBidi" w:cstheme="majorBidi"/>
          <w:sz w:val="24"/>
          <w:szCs w:val="24"/>
          <w:rtl/>
        </w:rPr>
        <w:t xml:space="preserve">وعلى الصعيد الأكاديمي، رصدت الأمين ما وصفته بالطبيعة المختلطة للمرجعية القانونية في القطاع القانوني السعودي الرقمي؛ إذ تتشابك المرجعية الشرعية الإسلامية والمرجعية النظامية المُدوّنة مع مبادئ القانون المقارن </w:t>
      </w:r>
      <w:r>
        <w:rPr>
          <w:rFonts w:asciiTheme="majorBidi" w:hAnsiTheme="majorBidi" w:cstheme="majorBidi"/>
          <w:sz w:val="24"/>
          <w:szCs w:val="24"/>
          <w:rtl/>
        </w:rPr>
        <w:lastRenderedPageBreak/>
        <w:t>في معالجة مسائل التقنية القانونية، وهذا التشابك يُثري النقاش الأكاديمي لكنه يُعقّد تطبيق النصوص ما لم تُضبط الأولويات تشريعياً.</w:t>
      </w:r>
      <w:r w:rsidRPr="00000001">
        <w:rPr>
          <w:rtl/>
        </w:rPr>
        <w:footnoteReference w:id="260"/>
      </w:r>
    </w:p>
    <w:p w14:paraId="7CD830BD" w14:textId="77777777" w:rsidR="00624037" w:rsidRPr="002E352F" w:rsidRDefault="00624037" w:rsidP="00786384">
      <w:pPr>
        <w:jc w:val="right"/>
        <w:rPr>
          <w:rFonts w:asciiTheme="majorBidi" w:hAnsiTheme="majorBidi" w:cstheme="majorBidi"/>
          <w:sz w:val="24"/>
          <w:szCs w:val="24"/>
        </w:rPr>
      </w:pPr>
      <w:r>
        <w:rPr>
          <w:rFonts w:asciiTheme="majorBidi" w:hAnsiTheme="majorBidi" w:cstheme="majorBidi"/>
          <w:sz w:val="24"/>
          <w:szCs w:val="24"/>
          <w:rtl/>
        </w:rPr>
        <w:t>وهي عناصر تجعل نقل التجارب المقارنة بحرفيتها غير ممكن، لكنها تسمح بالاستفادة من مبادئها العامة</w:t>
      </w:r>
      <w:r>
        <w:rPr>
          <w:rFonts w:asciiTheme="majorBidi" w:hAnsiTheme="majorBidi" w:cstheme="majorBidi"/>
          <w:sz w:val="24"/>
          <w:szCs w:val="24"/>
        </w:rPr>
        <w:t>.</w:t>
      </w:r>
    </w:p>
    <w:p w14:paraId="0CD2D021" w14:textId="77777777" w:rsidR="00624037" w:rsidRPr="002E352F" w:rsidRDefault="00624037" w:rsidP="00786384">
      <w:pPr>
        <w:jc w:val="right"/>
        <w:rPr>
          <w:rFonts w:asciiTheme="majorBidi" w:hAnsiTheme="majorBidi" w:cstheme="majorBidi"/>
          <w:sz w:val="24"/>
          <w:szCs w:val="24"/>
        </w:rPr>
      </w:pPr>
    </w:p>
    <w:p w14:paraId="0E873312" w14:textId="77777777" w:rsidR="00624037" w:rsidRPr="002E352F" w:rsidRDefault="00624037" w:rsidP="00786384">
      <w:pPr>
        <w:jc w:val="right"/>
        <w:rPr>
          <w:rFonts w:asciiTheme="majorBidi" w:hAnsiTheme="majorBidi" w:cstheme="majorBidi"/>
          <w:b/>
          <w:bCs/>
          <w:sz w:val="24"/>
          <w:szCs w:val="24"/>
          <w:rtl/>
        </w:rPr>
      </w:pPr>
      <w:r>
        <w:rPr>
          <w:rFonts w:asciiTheme="majorBidi" w:hAnsiTheme="majorBidi" w:cstheme="majorBidi" w:hint="cs"/>
          <w:b/>
          <w:bCs/>
          <w:sz w:val="24"/>
          <w:szCs w:val="24"/>
          <w:rtl/>
        </w:rPr>
        <w:t>قراءة تحليلة للمطلب الثاني:</w:t>
      </w:r>
    </w:p>
    <w:p w14:paraId="73BEEC0A"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خلال التحليل النظامي والمقارن، يتبين أن مشروعية استخدام المخرجات الذكية أمام الجهات القضائية في النظام السعودي تقوم على مبدأ “القبول المنضبط”، الذي يجمع بين</w:t>
      </w:r>
      <w:r>
        <w:rPr>
          <w:rFonts w:asciiTheme="majorBidi" w:hAnsiTheme="majorBidi" w:cstheme="majorBidi"/>
          <w:sz w:val="24"/>
          <w:szCs w:val="24"/>
        </w:rPr>
        <w:t>:</w:t>
      </w:r>
    </w:p>
    <w:p w14:paraId="7E7225CD" w14:textId="77777777" w:rsidR="00624037" w:rsidRPr="002E352F" w:rsidRDefault="00624037">
      <w:pPr>
        <w:numPr>
          <w:ilvl w:val="0"/>
          <w:numId w:val="17"/>
        </w:numPr>
        <w:jc w:val="right"/>
        <w:rPr>
          <w:rFonts w:asciiTheme="majorBidi" w:hAnsiTheme="majorBidi" w:cstheme="majorBidi"/>
          <w:sz w:val="24"/>
          <w:szCs w:val="24"/>
        </w:rPr>
      </w:pPr>
      <w:r>
        <w:rPr>
          <w:rFonts w:asciiTheme="majorBidi" w:hAnsiTheme="majorBidi" w:cstheme="majorBidi"/>
          <w:sz w:val="24"/>
          <w:szCs w:val="24"/>
          <w:rtl/>
        </w:rPr>
        <w:t>احترام ضمانات التقاضي</w:t>
      </w:r>
      <w:r>
        <w:rPr>
          <w:rFonts w:asciiTheme="majorBidi" w:hAnsiTheme="majorBidi" w:cstheme="majorBidi"/>
          <w:sz w:val="24"/>
          <w:szCs w:val="24"/>
        </w:rPr>
        <w:t>.</w:t>
      </w:r>
    </w:p>
    <w:p w14:paraId="7C213882" w14:textId="77777777" w:rsidR="00624037" w:rsidRPr="002E352F" w:rsidRDefault="00624037">
      <w:pPr>
        <w:numPr>
          <w:ilvl w:val="0"/>
          <w:numId w:val="17"/>
        </w:numPr>
        <w:jc w:val="right"/>
        <w:rPr>
          <w:rFonts w:asciiTheme="majorBidi" w:hAnsiTheme="majorBidi" w:cstheme="majorBidi"/>
          <w:sz w:val="24"/>
          <w:szCs w:val="24"/>
        </w:rPr>
      </w:pPr>
      <w:r>
        <w:rPr>
          <w:rFonts w:asciiTheme="majorBidi" w:hAnsiTheme="majorBidi" w:cstheme="majorBidi"/>
          <w:sz w:val="24"/>
          <w:szCs w:val="24"/>
          <w:rtl/>
        </w:rPr>
        <w:t>بقاء سلطة القاضي في التقدير</w:t>
      </w:r>
      <w:r>
        <w:rPr>
          <w:rFonts w:asciiTheme="majorBidi" w:hAnsiTheme="majorBidi" w:cstheme="majorBidi"/>
          <w:sz w:val="24"/>
          <w:szCs w:val="24"/>
        </w:rPr>
        <w:t>.</w:t>
      </w:r>
    </w:p>
    <w:p w14:paraId="2181C9FD" w14:textId="77777777" w:rsidR="00624037" w:rsidRPr="002E352F" w:rsidRDefault="00624037">
      <w:pPr>
        <w:numPr>
          <w:ilvl w:val="0"/>
          <w:numId w:val="17"/>
        </w:numPr>
        <w:jc w:val="right"/>
        <w:rPr>
          <w:rFonts w:asciiTheme="majorBidi" w:hAnsiTheme="majorBidi" w:cstheme="majorBidi"/>
          <w:sz w:val="24"/>
          <w:szCs w:val="24"/>
        </w:rPr>
      </w:pPr>
      <w:r>
        <w:rPr>
          <w:rFonts w:asciiTheme="majorBidi" w:hAnsiTheme="majorBidi" w:cstheme="majorBidi"/>
          <w:sz w:val="24"/>
          <w:szCs w:val="24"/>
          <w:rtl/>
        </w:rPr>
        <w:t>تحمل المحامي لمسؤوليته المهنية</w:t>
      </w:r>
      <w:r>
        <w:rPr>
          <w:rFonts w:asciiTheme="majorBidi" w:hAnsiTheme="majorBidi" w:cstheme="majorBidi"/>
          <w:sz w:val="24"/>
          <w:szCs w:val="24"/>
        </w:rPr>
        <w:t>.</w:t>
      </w:r>
    </w:p>
    <w:p w14:paraId="0B2EC502" w14:textId="77777777" w:rsidR="00624037" w:rsidRPr="002E352F" w:rsidRDefault="00624037">
      <w:pPr>
        <w:numPr>
          <w:ilvl w:val="0"/>
          <w:numId w:val="17"/>
        </w:numPr>
        <w:jc w:val="right"/>
        <w:rPr>
          <w:rFonts w:asciiTheme="majorBidi" w:hAnsiTheme="majorBidi" w:cstheme="majorBidi"/>
          <w:sz w:val="24"/>
          <w:szCs w:val="24"/>
        </w:rPr>
      </w:pPr>
      <w:r>
        <w:rPr>
          <w:rFonts w:asciiTheme="majorBidi" w:hAnsiTheme="majorBidi" w:cstheme="majorBidi"/>
          <w:sz w:val="24"/>
          <w:szCs w:val="24"/>
          <w:rtl/>
        </w:rPr>
        <w:t>خضوع التقنية لمبادئ الشفافية والمساءلة</w:t>
      </w:r>
      <w:r>
        <w:rPr>
          <w:rFonts w:asciiTheme="majorBidi" w:hAnsiTheme="majorBidi" w:cstheme="majorBidi"/>
          <w:sz w:val="24"/>
          <w:szCs w:val="24"/>
        </w:rPr>
        <w:t>.</w:t>
      </w:r>
    </w:p>
    <w:p w14:paraId="1C4885E4" w14:textId="77777777" w:rsidR="00CF598B" w:rsidRDefault="007C31A8" w:rsidP="00624037">
      <w:pPr>
        <w:jc w:val="right"/>
        <w:rPr>
          <w:rFonts w:asciiTheme="majorBidi" w:hAnsiTheme="majorBidi" w:cstheme="majorBidi"/>
          <w:sz w:val="24"/>
          <w:szCs w:val="24"/>
          <w:rtl/>
        </w:rPr>
      </w:pPr>
      <w:r>
        <w:rPr>
          <w:rFonts w:asciiTheme="majorBidi" w:hAnsiTheme="majorBidi" w:cstheme="majorBidi" w:hint="cs"/>
          <w:b/>
          <w:bCs/>
          <w:sz w:val="24"/>
          <w:szCs w:val="24"/>
          <w:rtl/>
        </w:rPr>
        <w:t xml:space="preserve">ومن خلال تحليل المطلب نجد </w:t>
      </w:r>
      <w:r>
        <w:rPr>
          <w:rFonts w:asciiTheme="majorBidi" w:hAnsiTheme="majorBidi" w:cstheme="majorBidi"/>
          <w:sz w:val="24"/>
          <w:szCs w:val="24"/>
          <w:rtl/>
        </w:rPr>
        <w:t>أن الإطار القانوني لتوظيف الذكاء الاصطناعي في مكاتب المحاماة ينبغي أن ينص صراحة على أن المخرجات الذكية لا تُقدَّم أمام القضاء إلا بوصفها رأيًا مهنيًا تبناه محامٍ مسؤول، وأن تظل خاضعة لسلطة المحكمة في التقدير، وألا تُعامل كأدلة تقنية مستقلة بذاتها. كما ينبغي أن يُدمج مبدأ الإشراف البشري وقابلية التفسير ضمن المعايير المهنية الملزمة</w:t>
      </w:r>
    </w:p>
    <w:p w14:paraId="25453D18" w14:textId="77777777" w:rsidR="00624037" w:rsidRDefault="00624037" w:rsidP="00624037">
      <w:pPr>
        <w:jc w:val="right"/>
        <w:rPr>
          <w:rFonts w:asciiTheme="majorBidi" w:hAnsiTheme="majorBidi" w:cstheme="majorBidi"/>
          <w:sz w:val="24"/>
          <w:szCs w:val="24"/>
          <w:rtl/>
        </w:rPr>
      </w:pPr>
    </w:p>
    <w:p w14:paraId="6C457D36" w14:textId="77777777" w:rsidR="00CF598B" w:rsidRPr="00A845BC" w:rsidRDefault="00CF598B" w:rsidP="00CF598B">
      <w:pPr>
        <w:jc w:val="center"/>
        <w:rPr>
          <w:rFonts w:asciiTheme="majorBidi" w:hAnsiTheme="majorBidi" w:cstheme="majorBidi"/>
          <w:sz w:val="32"/>
          <w:szCs w:val="32"/>
          <w:rtl/>
        </w:rPr>
      </w:pPr>
    </w:p>
    <w:p w14:paraId="40E16300" w14:textId="77777777" w:rsidR="00CF598B" w:rsidRPr="00A845BC" w:rsidRDefault="00CF598B" w:rsidP="00CF598B">
      <w:pPr>
        <w:jc w:val="center"/>
        <w:rPr>
          <w:rFonts w:asciiTheme="majorBidi" w:hAnsiTheme="majorBidi" w:cstheme="majorBidi"/>
          <w:b/>
          <w:bCs/>
          <w:sz w:val="32"/>
          <w:szCs w:val="32"/>
        </w:rPr>
      </w:pPr>
      <w:r>
        <w:rPr>
          <w:rFonts w:asciiTheme="majorBidi" w:hAnsiTheme="majorBidi" w:cstheme="majorBidi"/>
          <w:b/>
          <w:bCs/>
          <w:sz w:val="32"/>
          <w:szCs w:val="32"/>
          <w:rtl/>
        </w:rPr>
        <w:t>المبحث الثاني</w:t>
      </w:r>
    </w:p>
    <w:p w14:paraId="219FBD82" w14:textId="77777777" w:rsidR="00CF598B" w:rsidRPr="00A845BC" w:rsidRDefault="00CF598B" w:rsidP="00CF598B">
      <w:pPr>
        <w:jc w:val="center"/>
        <w:rPr>
          <w:rFonts w:asciiTheme="majorBidi" w:hAnsiTheme="majorBidi" w:cstheme="majorBidi"/>
          <w:b/>
          <w:bCs/>
          <w:sz w:val="24"/>
          <w:szCs w:val="24"/>
        </w:rPr>
      </w:pPr>
      <w:r>
        <w:rPr>
          <w:rFonts w:asciiTheme="majorBidi" w:hAnsiTheme="majorBidi" w:cstheme="majorBidi"/>
          <w:b/>
          <w:bCs/>
          <w:sz w:val="32"/>
          <w:szCs w:val="32"/>
          <w:rtl/>
        </w:rPr>
        <w:t>المسؤولية القانونية والمهنية عن استخدام تقنيات الذكاء الاصطناعي في مكاتب المحاماة</w:t>
      </w:r>
    </w:p>
    <w:p w14:paraId="0835FB26"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إذا كان المبحث الأول قد انصرف إلى تحديد الطبيعة النظامية والفقهية للمخرجات القانونية المنتجة عبر تقنيات الذكاء الاصطناعي، وبيان مدى حجيتها وإمكان الاحتجاج بها أمام الجهات القضائية، فإن هذا المبحث ينتقل إلى المستوى الأعمق في البناء القانوني، وهو مستوى </w:t>
      </w:r>
      <w:r>
        <w:rPr>
          <w:rFonts w:asciiTheme="majorBidi" w:hAnsiTheme="majorBidi" w:cstheme="majorBidi"/>
          <w:b/>
          <w:bCs/>
          <w:sz w:val="24"/>
          <w:szCs w:val="24"/>
          <w:rtl/>
        </w:rPr>
        <w:t>المساءلة</w:t>
      </w:r>
      <w:r>
        <w:rPr>
          <w:rFonts w:asciiTheme="majorBidi" w:hAnsiTheme="majorBidi" w:cstheme="majorBidi"/>
          <w:sz w:val="24"/>
          <w:szCs w:val="24"/>
        </w:rPr>
        <w:t xml:space="preserve">. </w:t>
      </w:r>
      <w:r>
        <w:rPr>
          <w:rFonts w:asciiTheme="majorBidi" w:hAnsiTheme="majorBidi" w:cstheme="majorBidi"/>
          <w:sz w:val="24"/>
          <w:szCs w:val="24"/>
          <w:rtl/>
        </w:rPr>
        <w:t>ذلك أن أي تنظيم قانوني لتوظيف الذكاء الاصطناعي في مكاتب المحاماة لا يكتمل بمجرد تحديد مشروعية الاستخدام أو توصيف الطبيعة القانونية للمخرجات، بل يتوقف في جوهره على الإجابة عن سؤال أكثر حساسية: من يتحمل تبعة الخطأ عند وقوعه؟</w:t>
      </w:r>
    </w:p>
    <w:p w14:paraId="19F088E5"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فالذكاء الاصطناعي، مهما بلغت درجة تطوره، يظل أداة تُستخدم في إطار علاقة قانونية قائمة بين المحامي وموكله. وهذه العلاقة ذات طبيعة ائتمانية خاصة، تُبنى على الثقة والسرية وحسن العناية، وهي خصائص تميز مهنة المحاماة عن غيرها من الأنشطة التجارية. ومن ثم فإن إدخال أنظمة تحليل ذكية في عملية إعداد العقود، أو صياغة المذكرات، أو تحليل السوابق القضائية، لا يُعد مجرد تحسين تقني في آلية العمل، بل يُعيد تشكيل نطاق الالتزامات المهنية ذاتها</w:t>
      </w:r>
      <w:r>
        <w:rPr>
          <w:rFonts w:asciiTheme="majorBidi" w:hAnsiTheme="majorBidi" w:cstheme="majorBidi"/>
          <w:sz w:val="24"/>
          <w:szCs w:val="24"/>
        </w:rPr>
        <w:t>.</w:t>
      </w:r>
    </w:p>
    <w:p w14:paraId="3BC0737C"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lastRenderedPageBreak/>
        <w:t xml:space="preserve">وقد قرر المنظم السعودي في </w:t>
      </w:r>
      <w:r>
        <w:rPr>
          <w:rFonts w:asciiTheme="majorBidi" w:hAnsiTheme="majorBidi" w:cstheme="majorBidi"/>
          <w:b/>
          <w:bCs/>
          <w:sz w:val="24"/>
          <w:szCs w:val="24"/>
          <w:rtl/>
        </w:rPr>
        <w:t>نظام المحاماة</w:t>
      </w:r>
      <w:r>
        <w:rPr>
          <w:rFonts w:asciiTheme="majorBidi" w:hAnsiTheme="majorBidi" w:cstheme="majorBidi"/>
          <w:sz w:val="24"/>
          <w:szCs w:val="24"/>
          <w:rtl/>
        </w:rPr>
        <w:t xml:space="preserve"> </w:t>
      </w:r>
      <w:r>
        <w:rPr>
          <w:rStyle w:val="af"/>
          <w:rFonts w:asciiTheme="majorBidi" w:hAnsiTheme="majorBidi" w:cstheme="majorBidi"/>
          <w:sz w:val="24"/>
          <w:szCs w:val="24"/>
          <w:rtl/>
        </w:rPr>
        <w:footnoteReference w:id="261"/>
      </w:r>
      <w:r>
        <w:rPr>
          <w:rFonts w:asciiTheme="majorBidi" w:hAnsiTheme="majorBidi" w:cstheme="majorBidi"/>
          <w:sz w:val="24"/>
          <w:szCs w:val="24"/>
          <w:rtl/>
        </w:rPr>
        <w:t xml:space="preserve">أن المحامي يلتزم بأداء عمله وفق أصول المهنة ، كما أكدت اللائحة التنفيذية على مقتضيات الأمانة والمحافظة على حقوق الموكلين. كما أن القواعد العامة في </w:t>
      </w:r>
      <w:r>
        <w:rPr>
          <w:rFonts w:asciiTheme="majorBidi" w:hAnsiTheme="majorBidi" w:cstheme="majorBidi"/>
          <w:b/>
          <w:bCs/>
          <w:sz w:val="24"/>
          <w:szCs w:val="24"/>
          <w:rtl/>
        </w:rPr>
        <w:t>نظام المعاملات المدنية</w:t>
      </w:r>
      <w:r>
        <w:rPr>
          <w:rStyle w:val="af"/>
          <w:rFonts w:asciiTheme="majorBidi" w:hAnsiTheme="majorBidi" w:cstheme="majorBidi"/>
          <w:b/>
          <w:bCs/>
          <w:sz w:val="24"/>
          <w:szCs w:val="24"/>
          <w:rtl/>
        </w:rPr>
        <w:footnoteReference w:id="262"/>
      </w:r>
      <w:r>
        <w:rPr>
          <w:rFonts w:asciiTheme="majorBidi" w:hAnsiTheme="majorBidi" w:cstheme="majorBidi" w:hint="cs"/>
          <w:b/>
          <w:bCs/>
          <w:sz w:val="24"/>
          <w:szCs w:val="24"/>
          <w:rtl/>
        </w:rPr>
        <w:t xml:space="preserve"> </w:t>
      </w:r>
      <w:r>
        <w:rPr>
          <w:rFonts w:asciiTheme="majorBidi" w:hAnsiTheme="majorBidi" w:cstheme="majorBidi"/>
          <w:sz w:val="24"/>
          <w:szCs w:val="24"/>
          <w:rtl/>
        </w:rPr>
        <w:t>تقضي بأن كل خطأ سبب ضررًا للغير يوجب التعويض، وهو ما يشكل الأساس العام للمسؤولية المدنية. وعليه فإن السؤال لا ينصب على وجود المسؤولية من عدمها، بل على كيفية تكييفها في ظل بيئة تقنية تتسم بالتعقيد وتعدد الأطراف</w:t>
      </w:r>
      <w:r>
        <w:rPr>
          <w:rFonts w:asciiTheme="majorBidi" w:hAnsiTheme="majorBidi" w:cstheme="majorBidi"/>
          <w:sz w:val="24"/>
          <w:szCs w:val="24"/>
        </w:rPr>
        <w:t>.</w:t>
      </w:r>
    </w:p>
    <w:p w14:paraId="611B4206"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t>وإذا كان التحليل السابق قد انتهى إلى أن المسؤولية المهنية للمحامي في البيئة الرقمية لا تسقط بمجرد استعانته بأدوات تقنية حديثة، بل تظل قائمة في حدود التزامه بالعناية واليقظة المهنية، فإن الإشكال يتعمّق حين يكون مصدر الخطأ ذاته ناتجًا عن نظام ذكي يعمل بآليات خوارزمية معقدة. فهنا لا يعود السؤال مقتصرًا على مدى التزام المحامي بواجباته، بل يمتد إلى طبيعة الفعل الضار ذاته، وكيفية إسناده في ظل بيئة تقنية لا تتسم بالشفافية الكاملة</w:t>
      </w:r>
      <w:r>
        <w:rPr>
          <w:rFonts w:asciiTheme="majorBidi" w:hAnsiTheme="majorBidi" w:cstheme="majorBidi"/>
          <w:sz w:val="24"/>
          <w:szCs w:val="24"/>
        </w:rPr>
        <w:t>.</w:t>
      </w:r>
    </w:p>
    <w:p w14:paraId="6DC0C22F"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t>ذلك أن إشكالية المسؤولية في سياق تطبيقات الذكاء الاصطناعي تتجاوز الفرضية التقليدية التي تربط الخطأ بالفعل المباشر الصادر عن شخص محدد يمكن تعيينه بسهولة. ففي التطبيقات القانونية المعاصرة، قد يصدر المخرج – كصياغة عقد، أو إعداد مذكرة قانونية، أو تقديم استشارة أولية – نتيجة معالجة خوارزمية ذاتية التعلم تعتمد على تحليل كميات ضخمة من البيانات، وتتطور بصورة مستمرة وفق آليات التعلم الآلي والتغذية الراجعة. وفي مثل هذا السياق، تتراجع قابلية إسناد الخطأ إلى فاعل بشري واحد بصورة مباشرة، ويغدو تحديد مصدر الخلل مسألة مركبة تتداخل فيها أدوار المصمّم، والمطور، والمستخدم، بل وأحيانًا مزود البيانات أو الجهة المالكة للبنية التحتية التقنية</w:t>
      </w:r>
      <w:r>
        <w:rPr>
          <w:rFonts w:asciiTheme="majorBidi" w:hAnsiTheme="majorBidi" w:cstheme="majorBidi"/>
          <w:sz w:val="24"/>
          <w:szCs w:val="24"/>
        </w:rPr>
        <w:t>.</w:t>
      </w:r>
    </w:p>
    <w:p w14:paraId="16E67565"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t>وفي هذا الإطار، يبرز ما يُعرف في الأدبيات القانونية والتقنية بمشكلة “الغموض الخوارزمي” أو ما يُصطلح عليه بـ “الصندوق الأسود”، حيث تكون آلية اتخاذ القرار داخل النظام الذكي غير شفافة أو غير قابلة للتتبع الكامل. ويزداد هذا التعقيد في نماذج التعلم العميق التي لا يمكن فيها تفسير جميع المراحل الوسيطة التي أدت إلى النتيجة النهائية بسهولة. وقد نبهت دراسات قانونية معاصرة إلى أن هذا الغموض يمثل تحديًا جوهريًا أمام أنظمة المسؤولية المدنية التقليدية، التي تقوم على افتراض إمكانية تحديد الخطأ، وربطه بفاعل معلوم، وإثبات علاقة السببية بصورة واضحة ومباشرة</w:t>
      </w:r>
      <w:r>
        <w:rPr>
          <w:rFonts w:asciiTheme="majorBidi" w:hAnsiTheme="majorBidi" w:cstheme="majorBidi"/>
          <w:sz w:val="24"/>
          <w:szCs w:val="24"/>
        </w:rPr>
        <w:t>.</w:t>
      </w:r>
    </w:p>
    <w:p w14:paraId="223261F5"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t>غير أن هذا التعقيد التقني – مهما بلغ – لا يمكن أن يُتخذ مبررًا لإفراغ المسؤولية من مضمونها أو تعطيل الحماية النظامية المقررة للمتعاملين. فالقواعد العامة في المسؤولية لم تُبنَ على بساطة الوسائل، بل على حماية المراكز القانونية ومنع الإضرار بالغير. ومن ثم، فإن ظهور “الصندوق الأسود” لا يعني سقوط المسؤولية، وإنما يقتضي إعادة ضبط معايير إسنادها، سواء من خلال توسيع مفهوم الخطأ المهني ليشمل سوء الاختيار أو الإشراف أو التحقق، أو من خلال إعادة النظر في معيار العناية الواجبة، أو حتى الاتجاه – في بعض الصور – نحو تصورات أقرب إلى المسؤولية المفترضة أو الموضوعية، متى تعذر إثبات الخطأ التقليدي على نحو دقيق</w:t>
      </w:r>
      <w:r>
        <w:rPr>
          <w:rFonts w:asciiTheme="majorBidi" w:hAnsiTheme="majorBidi" w:cstheme="majorBidi"/>
          <w:sz w:val="24"/>
          <w:szCs w:val="24"/>
        </w:rPr>
        <w:t>.</w:t>
      </w:r>
    </w:p>
    <w:p w14:paraId="01E4CBAD"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t>وعليه، فإن جوهر الإشكالية لا يتمثل في غياب المسؤولية، بل في كيفية تكييفها بما يحقق التوازن بين العدالة التقنية وحماية العملاء من جهة، وعدم شلّ الابتكار القانوني بقيود جامدة من جهة أخرى؛ وهو ما يمهد للانتقال إلى بحث تحديد المسؤولية بين أطراف العملية التقنية: المحامي المستخدم، والمطور، ومقدم الخدمة التقنية</w:t>
      </w:r>
      <w:r>
        <w:rPr>
          <w:rFonts w:asciiTheme="majorBidi" w:hAnsiTheme="majorBidi" w:cstheme="majorBidi"/>
          <w:sz w:val="24"/>
          <w:szCs w:val="24"/>
        </w:rPr>
        <w:t>.</w:t>
      </w:r>
    </w:p>
    <w:p w14:paraId="41664CE4" w14:textId="77777777" w:rsidR="00CF598B" w:rsidRPr="00A845BC" w:rsidRDefault="00CF598B" w:rsidP="00CF598B">
      <w:pPr>
        <w:jc w:val="right"/>
        <w:rPr>
          <w:rFonts w:asciiTheme="majorBidi" w:hAnsiTheme="majorBidi" w:cstheme="majorBidi"/>
          <w:sz w:val="24"/>
          <w:szCs w:val="24"/>
        </w:rPr>
      </w:pPr>
    </w:p>
    <w:p w14:paraId="0CA0A4A5"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كما أن وثيقة </w:t>
      </w:r>
      <w:r>
        <w:rPr>
          <w:rFonts w:asciiTheme="majorBidi" w:hAnsiTheme="majorBidi" w:cstheme="majorBidi"/>
          <w:b/>
          <w:bCs/>
          <w:sz w:val="24"/>
          <w:szCs w:val="24"/>
          <w:rtl/>
        </w:rPr>
        <w:t>مبادئ أخلاقيات الذكاء الاصطناعي</w:t>
      </w:r>
      <w:r>
        <w:rPr>
          <w:rStyle w:val="af"/>
          <w:rFonts w:asciiTheme="majorBidi" w:hAnsiTheme="majorBidi" w:cstheme="majorBidi"/>
          <w:sz w:val="24"/>
          <w:szCs w:val="24"/>
          <w:rtl/>
        </w:rPr>
        <w:footnoteReference w:id="263"/>
      </w:r>
      <w:r>
        <w:rPr>
          <w:rFonts w:asciiTheme="majorBidi" w:hAnsiTheme="majorBidi" w:cstheme="majorBidi"/>
          <w:sz w:val="24"/>
          <w:szCs w:val="24"/>
          <w:rtl/>
        </w:rPr>
        <w:t xml:space="preserve"> الصادرة عن الهيئة السعودية للبيانات والذكاء الاصطناعي (2023) أكدت على مبدأ المساءلة بوصفه ركنًا أساسيًا في الاستخدام المسؤول للتقنيات الذكية، بما يعني أن أي جهة تستخدم هذه الأنظمة تظل مسؤولة عن نتائجها. ويتعزز هذا الاتجاه في ضوء </w:t>
      </w:r>
      <w:r>
        <w:rPr>
          <w:rFonts w:asciiTheme="majorBidi" w:hAnsiTheme="majorBidi" w:cstheme="majorBidi"/>
          <w:b/>
          <w:bCs/>
          <w:sz w:val="24"/>
          <w:szCs w:val="24"/>
          <w:rtl/>
        </w:rPr>
        <w:t>نظام حماية البيانات الشخصية</w:t>
      </w:r>
      <w:r>
        <w:rPr>
          <w:rFonts w:asciiTheme="majorBidi" w:hAnsiTheme="majorBidi" w:cstheme="majorBidi"/>
          <w:sz w:val="24"/>
          <w:szCs w:val="24"/>
          <w:rtl/>
        </w:rPr>
        <w:t xml:space="preserve"> </w:t>
      </w:r>
      <w:r>
        <w:rPr>
          <w:rFonts w:asciiTheme="majorBidi" w:hAnsiTheme="majorBidi" w:cstheme="majorBidi"/>
          <w:sz w:val="24"/>
          <w:szCs w:val="24"/>
          <w:rtl/>
        </w:rPr>
        <w:lastRenderedPageBreak/>
        <w:t>، الذي يحمل الجهة المعالجة التزامًا قانونيًا بضمان أمن البيانات ومنع تسريبها، وهو التزام قد يتأثر مباشرة بطريقة توظيف أنظمة الذكاء الاصطناعي داخل مكاتب المحاماة</w:t>
      </w:r>
      <w:r>
        <w:rPr>
          <w:rFonts w:asciiTheme="majorBidi" w:hAnsiTheme="majorBidi" w:cstheme="majorBidi"/>
          <w:sz w:val="24"/>
          <w:szCs w:val="24"/>
        </w:rPr>
        <w:t>.</w:t>
      </w:r>
    </w:p>
    <w:p w14:paraId="09D901F2"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وفي المقابل، يثور تساؤل فقهي حول مدى إمكانية تحميل المسؤولية للآلة ذاتها أو منحها شخصية قانونية مستقلة، كما ناقش الحربي</w:t>
      </w:r>
      <w:r>
        <w:rPr>
          <w:rStyle w:val="af"/>
          <w:rFonts w:asciiTheme="majorBidi" w:hAnsiTheme="majorBidi" w:cstheme="majorBidi"/>
          <w:sz w:val="24"/>
          <w:szCs w:val="24"/>
          <w:rtl/>
        </w:rPr>
        <w:footnoteReference w:id="264"/>
      </w:r>
      <w:r>
        <w:rPr>
          <w:rFonts w:asciiTheme="majorBidi" w:hAnsiTheme="majorBidi" w:cstheme="majorBidi"/>
          <w:sz w:val="24"/>
          <w:szCs w:val="24"/>
          <w:rtl/>
        </w:rPr>
        <w:t>، إلا أن الاتجاه الغالب – في البيئة النظامية السعودية – لا يعترف للذكاء الاصطناعي بذمة مستقلة، مما يعني بقاء المسؤولية في إطارها البشري، سواء تعلق الأمر بالمحامي المستخدم للتقنية، أو بالمطور، أو بمقدم الخدمة التقنية</w:t>
      </w:r>
      <w:r>
        <w:rPr>
          <w:rFonts w:asciiTheme="majorBidi" w:hAnsiTheme="majorBidi" w:cstheme="majorBidi"/>
          <w:sz w:val="24"/>
          <w:szCs w:val="24"/>
        </w:rPr>
        <w:t>.</w:t>
      </w:r>
    </w:p>
    <w:p w14:paraId="652C56A3" w14:textId="77777777" w:rsidR="00CF598B" w:rsidRDefault="00CF598B" w:rsidP="00CF598B">
      <w:pPr>
        <w:jc w:val="right"/>
        <w:rPr>
          <w:rFonts w:asciiTheme="majorBidi" w:hAnsiTheme="majorBidi" w:cstheme="majorBidi"/>
          <w:sz w:val="24"/>
          <w:szCs w:val="24"/>
          <w:rtl/>
        </w:rPr>
      </w:pPr>
      <w:r>
        <w:rPr>
          <w:rFonts w:asciiTheme="majorBidi" w:hAnsiTheme="majorBidi" w:cstheme="majorBidi"/>
          <w:sz w:val="24"/>
          <w:szCs w:val="24"/>
          <w:rtl/>
        </w:rPr>
        <w:t>ومن ثم فإن هذا المبحث لا يقتصر على بحث مسؤولية المحامي وحده، بل يتناول بنية المسؤولية بوصفها منظومة متكاملة، تتوزع فيها الأدوار بين عدة أطراف، ويُعاد فيها تقييم معيار الخطأ والعناية المهنية وحدود الإشراف التقني. كما يستلزم ذلك الوقوف على التجارب المقارنة، لا سيما الاتجاهات الأوروبية الحديثة في مجال مسؤولية أنظمة الذكاء الاصطناعي، للاستفادة منها في ضبط التصور التنظيمي المحلي دون إغفال خصوصية البيئة النظامية السعودية</w:t>
      </w:r>
    </w:p>
    <w:p w14:paraId="71048E1E" w14:textId="77777777" w:rsidR="00CF598B" w:rsidRDefault="00CF598B" w:rsidP="00CF598B">
      <w:pPr>
        <w:jc w:val="right"/>
        <w:rPr>
          <w:rFonts w:asciiTheme="majorBidi" w:hAnsiTheme="majorBidi" w:cstheme="majorBidi"/>
          <w:sz w:val="24"/>
          <w:szCs w:val="24"/>
          <w:rtl/>
        </w:rPr>
      </w:pPr>
    </w:p>
    <w:p w14:paraId="56CD0C1C" w14:textId="77777777" w:rsidR="00CF598B" w:rsidRPr="00A845BC" w:rsidRDefault="00CF598B" w:rsidP="00CF598B">
      <w:pPr>
        <w:jc w:val="right"/>
        <w:rPr>
          <w:rFonts w:asciiTheme="majorBidi" w:hAnsiTheme="majorBidi" w:cstheme="majorBidi"/>
          <w:sz w:val="24"/>
          <w:szCs w:val="24"/>
        </w:rPr>
      </w:pPr>
    </w:p>
    <w:p w14:paraId="135667B7" w14:textId="77777777" w:rsidR="00CF598B" w:rsidRPr="00A845BC"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وبناءً على ما تقدم، ينقسم هذا المبحث إلى مطلبين رئيسين</w:t>
      </w:r>
    </w:p>
    <w:p w14:paraId="74D58D47" w14:textId="77777777" w:rsidR="00CF598B" w:rsidRPr="00A845BC"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المطلب الأول: المسؤولية المدنية والمهنية للمحامي عند استخدام الذكاء الاصطناعي</w:t>
      </w:r>
    </w:p>
    <w:p w14:paraId="3F99C6AB"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ويُعنى هذا المطلب بتحليل الأساس النظامي لمسؤولية المحامي في ضوء عقد الوكالة والقواعد العامة في المسؤولية المدنية، وبيان مدى تأثر معيار العناية المهنية باستخدام التقنيات الذكية. كما يتناول التفرقة بين الخطأ التقني والخطأ المهني، وحدود واجب الإشراف والرقابة على الأنظمة المستخدمة، وأثر الإخلال بسرية البيانات في قيام المسؤولية. وسيناقش هذا المطلب آراء الفقه القانوني المعاصر حول إعادة تشكيل مفهوم الخطأ في سياق الذكاء الاصطناعي، مع بيان موقف الباحث من مدى تشديد أو توزيع المسؤولية في البيئة المهنية للمحاماة</w:t>
      </w:r>
      <w:r>
        <w:rPr>
          <w:rFonts w:asciiTheme="majorBidi" w:hAnsiTheme="majorBidi" w:cstheme="majorBidi"/>
          <w:sz w:val="24"/>
          <w:szCs w:val="24"/>
        </w:rPr>
        <w:t>.</w:t>
      </w:r>
    </w:p>
    <w:p w14:paraId="09675AED" w14:textId="77777777" w:rsidR="00CF598B" w:rsidRPr="00A845BC"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المطلب الثاني: مسؤولية المطور، المستخدم، ومقدم التقنية مع مقارنة مختصرة بالتجربة الأوروبية</w:t>
      </w:r>
    </w:p>
    <w:p w14:paraId="5D17F08A"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أما هذا المطلب فيتجه إلى تحليل توزيع المسؤولية بين الأطراف المتداخلة في إنتاج وتشغيل أنظمة الذكاء الاصطناعي، ابتداءً من المطور الذي صمم الخوارزمية، ومرورًا بمقدم الخدمة التقنية أو المنصة السحابية، وانتهاءً بالمستخدم المهني. كما يتناول مدى إمكان تطبيق نظريات تحمل التبعة أو المخاطر التقنية، ومدى ملاءمتها للبيئة النظامية السعودية. ويُستكمل التحليل بإشارة مقارنة موجزة إلى الاتجاهات الأوروبية في تنظيم مسؤولية الذكاء الاصطناعي، لا سيما فيما يتعلق بإعادة توزيع عبء الإثبات أو افتراض الخطأ، بهدف استجلاء مدى إمكانية الاستفادة منها في بناء تصور تنظيمي متوازن</w:t>
      </w:r>
      <w:r>
        <w:rPr>
          <w:rFonts w:asciiTheme="majorBidi" w:hAnsiTheme="majorBidi" w:cstheme="majorBidi"/>
          <w:sz w:val="24"/>
          <w:szCs w:val="24"/>
        </w:rPr>
        <w:t>.</w:t>
      </w:r>
    </w:p>
    <w:p w14:paraId="7A73D20B" w14:textId="77777777" w:rsidR="00CF598B" w:rsidRPr="00A845BC" w:rsidRDefault="00CF598B" w:rsidP="00CF598B">
      <w:pPr>
        <w:jc w:val="right"/>
        <w:rPr>
          <w:rFonts w:asciiTheme="majorBidi" w:hAnsiTheme="majorBidi" w:cstheme="majorBidi"/>
          <w:sz w:val="24"/>
          <w:szCs w:val="24"/>
          <w:rtl/>
        </w:rPr>
      </w:pPr>
    </w:p>
    <w:p w14:paraId="484DF020"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وبذلك يسعى هذا المبحث إلى تأسيس تصور قانوني متكامل لمسؤولية استخدام الذكاء الاصطناعي في مكاتب المحاماة، يوازن بين حماية حقوق الموكلين، وضمان استقرار المعاملات القانونية، وعدم إرهاق الممارسين بعبء غير منضبط، تمهيدًا للانتقال في الفصول اللاحقة إلى صياغة إطار تنظيمي مقترح أكثر تحديدًا ووضوحًا</w:t>
      </w:r>
      <w:r>
        <w:rPr>
          <w:rFonts w:asciiTheme="majorBidi" w:hAnsiTheme="majorBidi" w:cstheme="majorBidi"/>
          <w:sz w:val="24"/>
          <w:szCs w:val="24"/>
        </w:rPr>
        <w:t>.</w:t>
      </w:r>
    </w:p>
    <w:p w14:paraId="7101C67A" w14:textId="77777777" w:rsidR="00CF598B" w:rsidRPr="002E352F" w:rsidRDefault="00CF598B" w:rsidP="00CF598B">
      <w:pPr>
        <w:jc w:val="right"/>
        <w:rPr>
          <w:rFonts w:asciiTheme="majorBidi" w:hAnsiTheme="majorBidi" w:cstheme="majorBidi"/>
          <w:sz w:val="24"/>
          <w:szCs w:val="24"/>
        </w:rPr>
      </w:pPr>
    </w:p>
    <w:p w14:paraId="6C2821C4" w14:textId="77777777" w:rsidR="00CF598B" w:rsidRPr="00A845BC" w:rsidRDefault="00CF598B" w:rsidP="00CF598B">
      <w:pPr>
        <w:jc w:val="center"/>
        <w:rPr>
          <w:rFonts w:asciiTheme="majorBidi" w:hAnsiTheme="majorBidi" w:cstheme="majorBidi"/>
          <w:b/>
          <w:bCs/>
          <w:sz w:val="32"/>
          <w:szCs w:val="32"/>
        </w:rPr>
      </w:pPr>
      <w:r>
        <w:rPr>
          <w:rFonts w:asciiTheme="majorBidi" w:hAnsiTheme="majorBidi" w:cstheme="majorBidi"/>
          <w:b/>
          <w:bCs/>
          <w:sz w:val="32"/>
          <w:szCs w:val="32"/>
          <w:rtl/>
        </w:rPr>
        <w:t>المطلب الأول</w:t>
      </w:r>
    </w:p>
    <w:p w14:paraId="5AA44853" w14:textId="77777777" w:rsidR="00CF598B" w:rsidRDefault="00CF598B" w:rsidP="00CF598B">
      <w:pPr>
        <w:jc w:val="center"/>
        <w:rPr>
          <w:rFonts w:asciiTheme="majorBidi" w:hAnsiTheme="majorBidi" w:cstheme="majorBidi"/>
          <w:b/>
          <w:bCs/>
          <w:sz w:val="32"/>
          <w:szCs w:val="32"/>
          <w:rtl/>
        </w:rPr>
      </w:pPr>
      <w:r>
        <w:rPr>
          <w:rFonts w:asciiTheme="majorBidi" w:hAnsiTheme="majorBidi" w:cstheme="majorBidi"/>
          <w:b/>
          <w:bCs/>
          <w:sz w:val="32"/>
          <w:szCs w:val="32"/>
          <w:rtl/>
        </w:rPr>
        <w:lastRenderedPageBreak/>
        <w:t>المسؤولية المدنية والمهنية للمحامي عند استخدام الذكاء الاصطناعي</w:t>
      </w:r>
    </w:p>
    <w:p w14:paraId="6B77762F" w14:textId="77777777" w:rsidR="00CF598B" w:rsidRDefault="00CF598B" w:rsidP="00CF598B">
      <w:pPr>
        <w:jc w:val="center"/>
        <w:rPr>
          <w:rFonts w:asciiTheme="majorBidi" w:hAnsiTheme="majorBidi" w:cstheme="majorBidi"/>
          <w:b/>
          <w:bCs/>
          <w:sz w:val="32"/>
          <w:szCs w:val="32"/>
          <w:rtl/>
        </w:rPr>
      </w:pPr>
    </w:p>
    <w:p w14:paraId="60FDE7B4" w14:textId="77777777" w:rsidR="00CF598B" w:rsidRPr="00AD56AA"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أولًا: الأساس النظامي لمسؤولية المحامي في البيئة الرقمية</w:t>
      </w:r>
    </w:p>
    <w:p w14:paraId="07AEBD56"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وعلى صعيد أنظمة الإثبات الرقمي، يُشكّل نظام الإثبات السعودي الصادر بالمرسوم الملكي رقم م/43 وتاريخ 26/5/1443هـ مرجعًا تنظيميًا محوريًا يُحدد شروط قبول الدليل الرقمي وحجيته أمام القضاء. وقد أقرّ النظام بمبدأ قبول المحررات الإلكترونية وإسباغ الحجية عليها وفق شروط محددة تتعلق بضمان السلامة والتوثيق. غير أن هذه الأحكام لم تُعالج بعدُ الإشكاليات الناجمة بصفة خاصة عن استخدام الذكاء الاصطناعي في إنتاج هذه الأدلة أو تحليلها.</w:t>
      </w:r>
      <w:r>
        <w:rPr>
          <w:rStyle w:val="af"/>
          <w:rFonts w:asciiTheme="majorBidi" w:hAnsiTheme="majorBidi" w:cstheme="majorBidi"/>
          <w:sz w:val="24"/>
          <w:szCs w:val="24"/>
          <w:rtl/>
        </w:rPr>
        <w:footnoteReference w:id="265"/>
      </w:r>
    </w:p>
    <w:p w14:paraId="55A230A8"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ويُعدّ نظام المعاملات المدنية الصادر بالمرسوم الملكي رقم م/191 وتاريخ 29/11/1443هـ ركيزةً قانونيةً جوهريةً في تحديد الإطار العام للمسؤولية المدنية في المملكة؛ إذ أعاد تأصيل نظرية الالتزام والعقد وكرّس مفهوم الإرادة القانونية بوصفها أساسًا لإنشائه، كما أرسى قواعد المسؤولية عن الأضرار التي يُلحقها الشخص بغيره بسبب فعله أو خطئه أو بسبب الأشياء التي في حراسته. وتنطبق هذه القواعد على المحامي في ضوء استخدامه لأدوات الذكاء الاصطناعي في عمله المهني، مما يجعله مسؤولًا عن الأضرار الناجمة عن تقصيره في الإشراف على هذه الأدوات.</w:t>
      </w:r>
      <w:r>
        <w:rPr>
          <w:rStyle w:val="af"/>
          <w:rFonts w:asciiTheme="majorBidi" w:hAnsiTheme="majorBidi" w:cstheme="majorBidi"/>
          <w:sz w:val="24"/>
          <w:szCs w:val="24"/>
          <w:rtl/>
        </w:rPr>
        <w:footnoteReference w:id="266"/>
      </w:r>
    </w:p>
    <w:p w14:paraId="4A318183" w14:textId="77777777" w:rsidR="00CF598B" w:rsidRPr="00AD56AA"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تُبنى مسؤولية المحامي في النظام السعودي – في أصلها – على </w:t>
      </w:r>
      <w:r>
        <w:rPr>
          <w:rFonts w:asciiTheme="majorBidi" w:hAnsiTheme="majorBidi" w:cstheme="majorBidi"/>
          <w:b/>
          <w:bCs/>
          <w:sz w:val="24"/>
          <w:szCs w:val="24"/>
          <w:rtl/>
        </w:rPr>
        <w:t>رابطة الوكالة</w:t>
      </w:r>
      <w:r>
        <w:rPr>
          <w:rFonts w:asciiTheme="majorBidi" w:hAnsiTheme="majorBidi" w:cstheme="majorBidi"/>
          <w:sz w:val="24"/>
          <w:szCs w:val="24"/>
          <w:rtl/>
        </w:rPr>
        <w:t xml:space="preserve"> التي تنشأ بينه وبين موكله، باعتبارها الإطار العقدي الذي يُفسّر طبيعة الالتزام وحدوده، ثم تتداخل معها </w:t>
      </w:r>
      <w:r>
        <w:rPr>
          <w:rFonts w:asciiTheme="majorBidi" w:hAnsiTheme="majorBidi" w:cstheme="majorBidi"/>
          <w:b/>
          <w:bCs/>
          <w:sz w:val="24"/>
          <w:szCs w:val="24"/>
          <w:rtl/>
        </w:rPr>
        <w:t>الطبيعة المهنية الخاصة</w:t>
      </w:r>
      <w:r>
        <w:rPr>
          <w:rFonts w:asciiTheme="majorBidi" w:hAnsiTheme="majorBidi" w:cstheme="majorBidi"/>
          <w:sz w:val="24"/>
          <w:szCs w:val="24"/>
          <w:rtl/>
        </w:rPr>
        <w:t xml:space="preserve"> للمحاماة بوصفها مهنة تقوم على الثقة والأمانة وحماية المراكز القانونية. ومن هنا، فإن مسؤولية المحامي لا تُفهم بوصفها التزامًا عاديًا بين متعاقدين متكافئين، بل التزامًا “مهنيًا” تُقاس فيه العناية بمعيار أعلى من معيار الشخص المعتاد، لأن المحامي يمارس دورًا مؤثرًا في مصائر الحقوق والإجراءات والدفوع</w:t>
      </w:r>
      <w:r>
        <w:rPr>
          <w:rFonts w:asciiTheme="majorBidi" w:hAnsiTheme="majorBidi" w:cstheme="majorBidi"/>
          <w:sz w:val="24"/>
          <w:szCs w:val="24"/>
        </w:rPr>
        <w:t>.</w:t>
      </w:r>
    </w:p>
    <w:p w14:paraId="68424851" w14:textId="77777777" w:rsidR="00CF598B" w:rsidRPr="00AD56AA"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وقد قرر </w:t>
      </w:r>
      <w:r>
        <w:rPr>
          <w:rFonts w:asciiTheme="majorBidi" w:hAnsiTheme="majorBidi" w:cstheme="majorBidi"/>
          <w:b/>
          <w:bCs/>
          <w:sz w:val="24"/>
          <w:szCs w:val="24"/>
          <w:rtl/>
        </w:rPr>
        <w:t>نظام المحاماة</w:t>
      </w:r>
      <w:r>
        <w:rPr>
          <w:rFonts w:asciiTheme="majorBidi" w:hAnsiTheme="majorBidi" w:cstheme="majorBidi"/>
          <w:sz w:val="24"/>
          <w:szCs w:val="24"/>
          <w:rtl/>
        </w:rPr>
        <w:t xml:space="preserve"> أن المحامي يباشر أعماله “وفق أصولها الشرعية والنظامية” وبما يقتضيه ذلك من التزام بواجبات المهنة (هيئة الخبراء بمجلس الوزراء، 1422هـ)، وجاءت </w:t>
      </w:r>
      <w:r>
        <w:rPr>
          <w:rFonts w:asciiTheme="majorBidi" w:hAnsiTheme="majorBidi" w:cstheme="majorBidi"/>
          <w:b/>
          <w:bCs/>
          <w:sz w:val="24"/>
          <w:szCs w:val="24"/>
          <w:rtl/>
        </w:rPr>
        <w:t>اللائحة التنفيذية</w:t>
      </w:r>
      <w:r>
        <w:rPr>
          <w:rFonts w:asciiTheme="majorBidi" w:hAnsiTheme="majorBidi" w:cstheme="majorBidi"/>
          <w:sz w:val="24"/>
          <w:szCs w:val="24"/>
          <w:rtl/>
        </w:rPr>
        <w:t xml:space="preserve"> مؤكدةً على مضمون هذا الالتزام من خلال تقرير واجب المحافظة على مصالح الموكل وبذل العناية اللازمة في الأداء (وزارة العدل، 1441هـ). ويكتسب هذا الإطار أهميته لأنه يضع أساسًا يُفيد بأن “العناية” ليست خيارًا مهنيًا، بل </w:t>
      </w:r>
      <w:r>
        <w:rPr>
          <w:rFonts w:asciiTheme="majorBidi" w:hAnsiTheme="majorBidi" w:cstheme="majorBidi"/>
          <w:b/>
          <w:bCs/>
          <w:sz w:val="24"/>
          <w:szCs w:val="24"/>
          <w:rtl/>
        </w:rPr>
        <w:t>واجب نظامي</w:t>
      </w:r>
      <w:r>
        <w:rPr>
          <w:rFonts w:asciiTheme="majorBidi" w:hAnsiTheme="majorBidi" w:cstheme="majorBidi"/>
          <w:sz w:val="24"/>
          <w:szCs w:val="24"/>
          <w:rtl/>
        </w:rPr>
        <w:t xml:space="preserve"> يُرتّب آثارًا عند الإخلال</w:t>
      </w:r>
      <w:r>
        <w:rPr>
          <w:rFonts w:asciiTheme="majorBidi" w:hAnsiTheme="majorBidi" w:cstheme="majorBidi"/>
          <w:sz w:val="24"/>
          <w:szCs w:val="24"/>
        </w:rPr>
        <w:t>.</w:t>
      </w:r>
    </w:p>
    <w:p w14:paraId="51DD4170" w14:textId="77777777" w:rsidR="00CF598B" w:rsidRPr="00AD56AA"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وعلى مستوى القواعد العامة، يقرر </w:t>
      </w:r>
      <w:r>
        <w:rPr>
          <w:rFonts w:asciiTheme="majorBidi" w:hAnsiTheme="majorBidi" w:cstheme="majorBidi"/>
          <w:b/>
          <w:bCs/>
          <w:sz w:val="24"/>
          <w:szCs w:val="24"/>
          <w:rtl/>
        </w:rPr>
        <w:t>نظام المعاملات المدنية</w:t>
      </w:r>
      <w:r>
        <w:rPr>
          <w:rFonts w:asciiTheme="majorBidi" w:hAnsiTheme="majorBidi" w:cstheme="majorBidi"/>
          <w:sz w:val="24"/>
          <w:szCs w:val="24"/>
          <w:rtl/>
        </w:rPr>
        <w:t xml:space="preserve"> أن كل خطأ سبب ضررًا للغير يُلزم من ارتكبه بالتعويض (هيئة الخبراء بمجلس الوزراء، 1445هـ). وبذلك تلتقي مسؤولية المحامي مع النموذج المدني العام القائم على</w:t>
      </w:r>
      <w:r>
        <w:rPr>
          <w:rFonts w:asciiTheme="majorBidi" w:hAnsiTheme="majorBidi" w:cstheme="majorBidi"/>
          <w:sz w:val="24"/>
          <w:szCs w:val="24"/>
        </w:rPr>
        <w:t xml:space="preserve">: </w:t>
      </w:r>
      <w:r>
        <w:rPr>
          <w:rFonts w:asciiTheme="majorBidi" w:hAnsiTheme="majorBidi" w:cstheme="majorBidi"/>
          <w:b/>
          <w:bCs/>
          <w:sz w:val="24"/>
          <w:szCs w:val="24"/>
          <w:rtl/>
        </w:rPr>
        <w:t>الخطأ – الضرر – السببية</w:t>
      </w:r>
      <w:r>
        <w:rPr>
          <w:rFonts w:asciiTheme="majorBidi" w:hAnsiTheme="majorBidi" w:cstheme="majorBidi"/>
          <w:sz w:val="24"/>
          <w:szCs w:val="24"/>
        </w:rPr>
        <w:t xml:space="preserve">. </w:t>
      </w:r>
      <w:r>
        <w:rPr>
          <w:rFonts w:asciiTheme="majorBidi" w:hAnsiTheme="majorBidi" w:cstheme="majorBidi"/>
          <w:sz w:val="24"/>
          <w:szCs w:val="24"/>
          <w:rtl/>
        </w:rPr>
        <w:t>غير أن إدخال الذكاء الاصطناعي إلى أعمال البحث والصياغة والتحليل يخلق سؤالًا محوريًا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هل يتغير “موضع الإسناد” إذا كان المخرج القانوني قد تولّد عبر خوارزمية؟</w:t>
      </w:r>
    </w:p>
    <w:p w14:paraId="302442C0" w14:textId="77777777" w:rsidR="00CF598B" w:rsidRPr="00AD56AA" w:rsidRDefault="00CF598B" w:rsidP="00CF598B">
      <w:pPr>
        <w:jc w:val="right"/>
        <w:rPr>
          <w:rFonts w:asciiTheme="majorBidi" w:hAnsiTheme="majorBidi" w:cstheme="majorBidi"/>
          <w:sz w:val="24"/>
          <w:szCs w:val="24"/>
        </w:rPr>
      </w:pPr>
      <w:r>
        <w:rPr>
          <w:rFonts w:asciiTheme="majorBidi" w:hAnsiTheme="majorBidi" w:cstheme="majorBidi"/>
          <w:sz w:val="24"/>
          <w:szCs w:val="24"/>
          <w:rtl/>
        </w:rPr>
        <w:t>هنا تظهر أطروحتان في الكتابات القانونية المعاصرة</w:t>
      </w:r>
      <w:r>
        <w:rPr>
          <w:rFonts w:asciiTheme="majorBidi" w:hAnsiTheme="majorBidi" w:cstheme="majorBidi"/>
          <w:sz w:val="24"/>
          <w:szCs w:val="24"/>
        </w:rPr>
        <w:t>:</w:t>
      </w:r>
    </w:p>
    <w:p w14:paraId="7A218A27" w14:textId="77777777" w:rsidR="00CF598B" w:rsidRPr="00AD56AA" w:rsidRDefault="00CF598B">
      <w:pPr>
        <w:numPr>
          <w:ilvl w:val="0"/>
          <w:numId w:val="18"/>
        </w:numPr>
        <w:jc w:val="right"/>
        <w:rPr>
          <w:rFonts w:asciiTheme="majorBidi" w:hAnsiTheme="majorBidi" w:cstheme="majorBidi"/>
          <w:sz w:val="24"/>
          <w:szCs w:val="24"/>
        </w:rPr>
      </w:pPr>
      <w:r>
        <w:rPr>
          <w:rFonts w:asciiTheme="majorBidi" w:hAnsiTheme="majorBidi" w:cstheme="majorBidi"/>
          <w:b/>
          <w:bCs/>
          <w:sz w:val="24"/>
          <w:szCs w:val="24"/>
          <w:rtl/>
        </w:rPr>
        <w:t>أطروحة الإبقاء على الإسناد للمحامي (الاعتماد والتقديم)</w:t>
      </w:r>
      <w:r>
        <w:rPr>
          <w:rFonts w:asciiTheme="majorBidi" w:hAnsiTheme="majorBidi" w:cstheme="majorBidi"/>
          <w:sz w:val="24"/>
          <w:szCs w:val="24"/>
        </w:rPr>
        <w:br/>
      </w:r>
      <w:r>
        <w:rPr>
          <w:rFonts w:asciiTheme="majorBidi" w:hAnsiTheme="majorBidi" w:cstheme="majorBidi"/>
          <w:sz w:val="24"/>
          <w:szCs w:val="24"/>
          <w:rtl/>
        </w:rPr>
        <w:t xml:space="preserve">ومؤداها أن المسؤولية لا تنتفي لمجرد استعمال أداة تقنية، لأن المحامي يظل هو “صاحب القرار” في اعتماد المخرج وتقديمه للموكل أو للقضاء باسمه، وبالتالي فإن علاقة السببية القانونية لا تنقطع بمجرد </w:t>
      </w:r>
      <w:r>
        <w:rPr>
          <w:rFonts w:asciiTheme="majorBidi" w:hAnsiTheme="majorBidi" w:cstheme="majorBidi"/>
          <w:sz w:val="24"/>
          <w:szCs w:val="24"/>
          <w:rtl/>
        </w:rPr>
        <w:lastRenderedPageBreak/>
        <w:t xml:space="preserve">وجود وسيط تقني. وهذه الفكرة تتعزز بما انتهى إليه </w:t>
      </w:r>
      <w:r>
        <w:rPr>
          <w:rFonts w:asciiTheme="majorBidi" w:hAnsiTheme="majorBidi" w:cstheme="majorBidi"/>
          <w:b/>
          <w:bCs/>
          <w:sz w:val="24"/>
          <w:szCs w:val="24"/>
          <w:rtl/>
        </w:rPr>
        <w:t>الحربي</w:t>
      </w:r>
      <w:r>
        <w:rPr>
          <w:rFonts w:asciiTheme="majorBidi" w:hAnsiTheme="majorBidi" w:cstheme="majorBidi"/>
          <w:b/>
          <w:bCs/>
          <w:sz w:val="24"/>
          <w:szCs w:val="24"/>
        </w:rPr>
        <w:t xml:space="preserve"> (2019)</w:t>
      </w:r>
      <w:r>
        <w:rPr>
          <w:rFonts w:asciiTheme="majorBidi" w:hAnsiTheme="majorBidi" w:cstheme="majorBidi"/>
          <w:sz w:val="24"/>
          <w:szCs w:val="24"/>
        </w:rPr>
        <w:t xml:space="preserve"> </w:t>
      </w:r>
      <w:r>
        <w:rPr>
          <w:rFonts w:asciiTheme="majorBidi" w:hAnsiTheme="majorBidi" w:cstheme="majorBidi"/>
          <w:sz w:val="24"/>
          <w:szCs w:val="24"/>
          <w:rtl/>
        </w:rPr>
        <w:t>عند مناقشة الشخصية القانونية للذكاء الاصطناعي؛ إذ يقرر – في الاتجاه الغالب – أن الأنظمة الذكية لا تتمتع بذمة مستقلة، وأن الإسناد يبقى للأشخاص الطبيعيين أو الاعتباريين، وهو ما يعني عمليًا أن “الآلة” لا تتحول إلى مركز للمسؤولية في ذاتها</w:t>
      </w:r>
      <w:r>
        <w:rPr>
          <w:rFonts w:asciiTheme="majorBidi" w:hAnsiTheme="majorBidi" w:cstheme="majorBidi"/>
          <w:sz w:val="24"/>
          <w:szCs w:val="24"/>
        </w:rPr>
        <w:t>.</w:t>
      </w:r>
    </w:p>
    <w:p w14:paraId="73BDE22A" w14:textId="77777777" w:rsidR="00CF598B" w:rsidRPr="00AD56AA" w:rsidRDefault="00CF598B">
      <w:pPr>
        <w:numPr>
          <w:ilvl w:val="0"/>
          <w:numId w:val="18"/>
        </w:numPr>
        <w:jc w:val="right"/>
        <w:rPr>
          <w:rFonts w:asciiTheme="majorBidi" w:hAnsiTheme="majorBidi" w:cstheme="majorBidi"/>
          <w:sz w:val="24"/>
          <w:szCs w:val="24"/>
        </w:rPr>
      </w:pPr>
      <w:r>
        <w:rPr>
          <w:rFonts w:asciiTheme="majorBidi" w:hAnsiTheme="majorBidi" w:cstheme="majorBidi"/>
          <w:b/>
          <w:bCs/>
          <w:sz w:val="24"/>
          <w:szCs w:val="24"/>
          <w:rtl/>
        </w:rPr>
        <w:t>أطروحة تقييد الإسناد إذا كان الخلل تقنيًا محضًا وخفيًا</w:t>
      </w:r>
      <w:r>
        <w:rPr>
          <w:rFonts w:asciiTheme="majorBidi" w:hAnsiTheme="majorBidi" w:cstheme="majorBidi"/>
          <w:sz w:val="24"/>
          <w:szCs w:val="24"/>
        </w:rPr>
        <w:br/>
      </w:r>
      <w:r>
        <w:rPr>
          <w:rFonts w:asciiTheme="majorBidi" w:hAnsiTheme="majorBidi" w:cstheme="majorBidi"/>
          <w:sz w:val="24"/>
          <w:szCs w:val="24"/>
          <w:rtl/>
        </w:rPr>
        <w:t xml:space="preserve">وتُثيرها بعض أدبيات المسؤولية عن أفعال الذكاء الاصطناعي حين تتحدث عن تعقيد الخوارزميات وصعوبة إدراك آليات إنتاج النتيجة، لكن هذه الأطروحة – في المجال المهني – لا تقود غالبًا إلى الإعفاء، بل إلى </w:t>
      </w:r>
      <w:r>
        <w:rPr>
          <w:rFonts w:asciiTheme="majorBidi" w:hAnsiTheme="majorBidi" w:cstheme="majorBidi"/>
          <w:b/>
          <w:bCs/>
          <w:sz w:val="24"/>
          <w:szCs w:val="24"/>
          <w:rtl/>
        </w:rPr>
        <w:t>إعادة توزيع المسؤولية</w:t>
      </w:r>
      <w:r>
        <w:rPr>
          <w:rFonts w:asciiTheme="majorBidi" w:hAnsiTheme="majorBidi" w:cstheme="majorBidi"/>
          <w:sz w:val="24"/>
          <w:szCs w:val="24"/>
          <w:rtl/>
        </w:rPr>
        <w:t xml:space="preserve"> بين المستخدم المهني ومطور التقنية ومزودها، وهو ما سنفصل له في المطلب الثاني</w:t>
      </w:r>
      <w:r>
        <w:rPr>
          <w:rFonts w:asciiTheme="majorBidi" w:hAnsiTheme="majorBidi" w:cstheme="majorBidi"/>
          <w:sz w:val="24"/>
          <w:szCs w:val="24"/>
        </w:rPr>
        <w:t>.</w:t>
      </w:r>
    </w:p>
    <w:p w14:paraId="569A69F4" w14:textId="77777777" w:rsidR="00CF598B" w:rsidRPr="00AD56AA"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ويرى الباحث، فإن محاولة “تجريد” المحامي من المسؤولية بحجة استقلال الخوارزمية لا تتسق مع جوهر المهنة؛ لأن جوهر المحاماة ليس إنتاج النص، بل </w:t>
      </w:r>
      <w:r>
        <w:rPr>
          <w:rFonts w:asciiTheme="majorBidi" w:hAnsiTheme="majorBidi" w:cstheme="majorBidi"/>
          <w:b/>
          <w:bCs/>
          <w:sz w:val="24"/>
          <w:szCs w:val="24"/>
          <w:rtl/>
        </w:rPr>
        <w:t>تحمل تبعة الرأي القانوني</w:t>
      </w:r>
      <w:r>
        <w:rPr>
          <w:rFonts w:asciiTheme="majorBidi" w:hAnsiTheme="majorBidi" w:cstheme="majorBidi"/>
          <w:sz w:val="24"/>
          <w:szCs w:val="24"/>
          <w:rtl/>
        </w:rPr>
        <w:t>، وتقدير المخاطر، والتحقق من الملاءمة. فالذكاء الاصطناعي – مهما بلغ – يظل في نهاية المطاف “أداة استدلال” أو “مُعينًا” لا “ضميرًا مهنيًا” ولا “جهة إفتاء قانوني” تُنهي النقاش أو تحسم الإسناد</w:t>
      </w:r>
      <w:r>
        <w:rPr>
          <w:rFonts w:asciiTheme="majorBidi" w:hAnsiTheme="majorBidi" w:cstheme="majorBidi"/>
          <w:sz w:val="24"/>
          <w:szCs w:val="24"/>
        </w:rPr>
        <w:t>.</w:t>
      </w:r>
    </w:p>
    <w:p w14:paraId="7CDFA9DA" w14:textId="77777777" w:rsidR="00CF598B" w:rsidRPr="00AD56AA" w:rsidRDefault="00CF598B" w:rsidP="00CF598B">
      <w:pPr>
        <w:jc w:val="right"/>
        <w:rPr>
          <w:rFonts w:asciiTheme="majorBidi" w:hAnsiTheme="majorBidi" w:cstheme="majorBidi"/>
          <w:sz w:val="24"/>
          <w:szCs w:val="24"/>
        </w:rPr>
      </w:pPr>
    </w:p>
    <w:p w14:paraId="2B8405D6" w14:textId="77777777" w:rsidR="00CF598B" w:rsidRPr="00AD56AA"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ثانيًا: طبيعة التزام المحامي بين بذل العناية وضمان النتيجة في العصر الرقمي</w:t>
      </w:r>
    </w:p>
    <w:p w14:paraId="02E09D1E"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وقد أوضح المالكي في دراسته الرائدة حول المسؤولية المدنية عن فعل الذكاء الاصطناعي في النظام السعودي أن مبدأ الإشراف يشمل جميع الوسائل التي يستخدمها المهني في أداء عمله، وأنه يظل مسؤولًا عن نتائجها القانونية ما لم يُثبت أنه بذل العناية اللازمة للتحقق من صحتها. ويرى الباحث في ضوء هذا الطرح أن التزام المحامي بالتدقيق في مخرجات أدوات الذكاء الاصطناعي واستيثاق صحتها قبل تقديمها للموكل أو للجهات القضائية يُعدّ التزامًا قانونيًا مدنيًا لا يُعفى منه.</w:t>
      </w:r>
      <w:r>
        <w:rPr>
          <w:rStyle w:val="af"/>
          <w:rFonts w:asciiTheme="majorBidi" w:hAnsiTheme="majorBidi" w:cstheme="majorBidi"/>
          <w:sz w:val="24"/>
          <w:szCs w:val="24"/>
          <w:rtl/>
        </w:rPr>
        <w:footnoteReference w:id="267"/>
      </w:r>
    </w:p>
    <w:p w14:paraId="7DF8281D" w14:textId="77777777" w:rsidR="00CF598B" w:rsidRPr="00AD56AA" w:rsidRDefault="00CF598B" w:rsidP="00CF598B">
      <w:pPr>
        <w:jc w:val="right"/>
        <w:rPr>
          <w:rFonts w:asciiTheme="majorBidi" w:hAnsiTheme="majorBidi" w:cstheme="majorBidi"/>
          <w:sz w:val="24"/>
          <w:szCs w:val="24"/>
        </w:rPr>
      </w:pPr>
      <w:r>
        <w:rPr>
          <w:rFonts w:asciiTheme="majorBidi" w:hAnsiTheme="majorBidi" w:cstheme="majorBidi"/>
          <w:sz w:val="24"/>
          <w:szCs w:val="24"/>
          <w:rtl/>
        </w:rPr>
        <w:t>استقر الفقه القانوني على أن التزام المحامي – في الغالب</w:t>
      </w:r>
      <w:r>
        <w:rPr>
          <w:rFonts w:asciiTheme="majorBidi" w:hAnsiTheme="majorBidi" w:cstheme="majorBidi"/>
          <w:sz w:val="24"/>
          <w:szCs w:val="24"/>
        </w:rPr>
        <w:t xml:space="preserve"> – </w:t>
      </w:r>
      <w:r>
        <w:rPr>
          <w:rFonts w:asciiTheme="majorBidi" w:hAnsiTheme="majorBidi" w:cstheme="majorBidi"/>
          <w:b/>
          <w:bCs/>
          <w:sz w:val="24"/>
          <w:szCs w:val="24"/>
          <w:rtl/>
        </w:rPr>
        <w:t>التزام ببذل عناية</w:t>
      </w:r>
      <w:r>
        <w:rPr>
          <w:rFonts w:asciiTheme="majorBidi" w:hAnsiTheme="majorBidi" w:cstheme="majorBidi"/>
          <w:sz w:val="24"/>
          <w:szCs w:val="24"/>
          <w:rtl/>
        </w:rPr>
        <w:t xml:space="preserve"> لا التزام بتحقيق نتيجة؛ فلا يضمن المحامي كسب الدعوى، لكنه يضمن مستوىً من الجهد المهني المتوافق مع أصول المهنة. إلا أن الإشكال في البيئة الرقمية ليس في هذا التكييف من حيث المبدأ، بل في </w:t>
      </w:r>
      <w:r>
        <w:rPr>
          <w:rFonts w:asciiTheme="majorBidi" w:hAnsiTheme="majorBidi" w:cstheme="majorBidi"/>
          <w:b/>
          <w:bCs/>
          <w:sz w:val="24"/>
          <w:szCs w:val="24"/>
          <w:rtl/>
        </w:rPr>
        <w:t>معيار العناية ذاته</w:t>
      </w:r>
      <w:r>
        <w:rPr>
          <w:rFonts w:asciiTheme="majorBidi" w:hAnsiTheme="majorBidi" w:cstheme="majorBidi"/>
          <w:sz w:val="24"/>
          <w:szCs w:val="24"/>
        </w:rPr>
        <w:t xml:space="preserve">: </w:t>
      </w:r>
      <w:r>
        <w:rPr>
          <w:rFonts w:asciiTheme="majorBidi" w:hAnsiTheme="majorBidi" w:cstheme="majorBidi"/>
          <w:sz w:val="24"/>
          <w:szCs w:val="24"/>
          <w:rtl/>
        </w:rPr>
        <w:t>هل يبقى ثابتًا بينما تتغير أدوات إنتاج الخدمة القانونية جذريًا؟</w:t>
      </w:r>
    </w:p>
    <w:p w14:paraId="3427E4C9" w14:textId="77777777" w:rsidR="00CF598B" w:rsidRPr="00AD56AA"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يشير </w:t>
      </w:r>
      <w:r>
        <w:rPr>
          <w:rFonts w:asciiTheme="majorBidi" w:hAnsiTheme="majorBidi" w:cstheme="majorBidi" w:hint="cs"/>
          <w:b/>
          <w:bCs/>
          <w:sz w:val="24"/>
          <w:szCs w:val="24"/>
          <w:rtl/>
        </w:rPr>
        <w:t>خليل</w:t>
      </w:r>
      <w:r>
        <w:rPr>
          <w:rStyle w:val="af"/>
          <w:rFonts w:asciiTheme="majorBidi" w:hAnsiTheme="majorBidi" w:cstheme="majorBidi"/>
          <w:b/>
          <w:bCs/>
          <w:sz w:val="24"/>
          <w:szCs w:val="24"/>
          <w:rtl/>
        </w:rPr>
        <w:footnoteReference w:id="268"/>
      </w:r>
      <w:r>
        <w:rPr>
          <w:rFonts w:asciiTheme="majorBidi" w:hAnsiTheme="majorBidi" w:cstheme="majorBidi"/>
          <w:b/>
          <w:bCs/>
          <w:sz w:val="24"/>
          <w:szCs w:val="24"/>
        </w:rPr>
        <w:t xml:space="preserve"> (2022)</w:t>
      </w:r>
      <w:r>
        <w:rPr>
          <w:rFonts w:asciiTheme="majorBidi" w:hAnsiTheme="majorBidi" w:cstheme="majorBidi"/>
          <w:sz w:val="24"/>
          <w:szCs w:val="24"/>
        </w:rPr>
        <w:t xml:space="preserve"> </w:t>
      </w:r>
      <w:r>
        <w:rPr>
          <w:rFonts w:asciiTheme="majorBidi" w:hAnsiTheme="majorBidi" w:cstheme="majorBidi"/>
          <w:sz w:val="24"/>
          <w:szCs w:val="24"/>
          <w:rtl/>
        </w:rPr>
        <w:t xml:space="preserve">إلى أن التحول الرقمي يعيد تعريف الكفاءة المهنية، بحيث لا تقتصر على المعرفة القانونية التقليدية، بل تمتد إلى القدرة على توظيف الأدوات التقنية بصورة صحيحة ومُحكمة. وفي السياق نفسه، يذهب </w:t>
      </w:r>
      <w:r>
        <w:rPr>
          <w:rFonts w:asciiTheme="majorBidi" w:hAnsiTheme="majorBidi" w:cstheme="majorBidi"/>
          <w:b/>
          <w:bCs/>
          <w:sz w:val="24"/>
          <w:szCs w:val="24"/>
          <w:rtl/>
        </w:rPr>
        <w:t>العيسى</w:t>
      </w:r>
      <w:r>
        <w:rPr>
          <w:rStyle w:val="af"/>
          <w:rFonts w:asciiTheme="majorBidi" w:hAnsiTheme="majorBidi" w:cstheme="majorBidi"/>
          <w:b/>
          <w:bCs/>
          <w:sz w:val="24"/>
          <w:szCs w:val="24"/>
          <w:rtl/>
        </w:rPr>
        <w:footnoteReference w:id="269"/>
      </w:r>
      <w:r>
        <w:rPr>
          <w:rFonts w:asciiTheme="majorBidi" w:hAnsiTheme="majorBidi" w:cstheme="majorBidi"/>
          <w:b/>
          <w:bCs/>
          <w:sz w:val="24"/>
          <w:szCs w:val="24"/>
        </w:rPr>
        <w:t xml:space="preserve"> (2023)</w:t>
      </w:r>
      <w:r>
        <w:rPr>
          <w:rFonts w:asciiTheme="majorBidi" w:hAnsiTheme="majorBidi" w:cstheme="majorBidi"/>
          <w:sz w:val="24"/>
          <w:szCs w:val="24"/>
        </w:rPr>
        <w:t xml:space="preserve"> </w:t>
      </w:r>
      <w:r>
        <w:rPr>
          <w:rFonts w:asciiTheme="majorBidi" w:hAnsiTheme="majorBidi" w:cstheme="majorBidi"/>
          <w:sz w:val="24"/>
          <w:szCs w:val="24"/>
          <w:rtl/>
        </w:rPr>
        <w:t xml:space="preserve">إلى أن استخدام أنظمة الذكاء الاصطناعي يرتب واجبًا على المستخدم المهني يتمثل في </w:t>
      </w:r>
      <w:r>
        <w:rPr>
          <w:rFonts w:asciiTheme="majorBidi" w:hAnsiTheme="majorBidi" w:cstheme="majorBidi"/>
          <w:b/>
          <w:bCs/>
          <w:sz w:val="24"/>
          <w:szCs w:val="24"/>
          <w:rtl/>
        </w:rPr>
        <w:t>التحقق من ملاءمة الأداة ودقة مخرجاتها</w:t>
      </w:r>
      <w:r>
        <w:rPr>
          <w:rFonts w:asciiTheme="majorBidi" w:hAnsiTheme="majorBidi" w:cstheme="majorBidi"/>
          <w:sz w:val="24"/>
          <w:szCs w:val="24"/>
          <w:rtl/>
        </w:rPr>
        <w:t xml:space="preserve"> قبل الاعتماد عليها، لأن الاعتماد غير المتحقق يفرغ واجب العناية من مضمونه</w:t>
      </w:r>
      <w:r>
        <w:rPr>
          <w:rFonts w:asciiTheme="majorBidi" w:hAnsiTheme="majorBidi" w:cstheme="majorBidi"/>
          <w:sz w:val="24"/>
          <w:szCs w:val="24"/>
        </w:rPr>
        <w:t>.</w:t>
      </w:r>
    </w:p>
    <w:p w14:paraId="7980D459" w14:textId="77777777" w:rsidR="00CF598B" w:rsidRPr="00AD56AA" w:rsidRDefault="00CF598B" w:rsidP="00CF598B">
      <w:pPr>
        <w:jc w:val="right"/>
        <w:rPr>
          <w:rFonts w:asciiTheme="majorBidi" w:hAnsiTheme="majorBidi" w:cstheme="majorBidi"/>
          <w:sz w:val="24"/>
          <w:szCs w:val="24"/>
        </w:rPr>
      </w:pPr>
      <w:r>
        <w:rPr>
          <w:rFonts w:asciiTheme="majorBidi" w:hAnsiTheme="majorBidi" w:cstheme="majorBidi"/>
          <w:sz w:val="24"/>
          <w:szCs w:val="24"/>
          <w:rtl/>
        </w:rPr>
        <w:t>وعليه، فإن “العناية” في زمن الذكاء الاصطناعي لا تعني مجرد القراءة والتدقيق اللغوي أو استحضار النصوص، بل تشمل عناصر جديدة، أهمها</w:t>
      </w:r>
      <w:r>
        <w:rPr>
          <w:rFonts w:asciiTheme="majorBidi" w:hAnsiTheme="majorBidi" w:cstheme="majorBidi"/>
          <w:sz w:val="24"/>
          <w:szCs w:val="24"/>
        </w:rPr>
        <w:t>:</w:t>
      </w:r>
    </w:p>
    <w:p w14:paraId="5E5F58A9" w14:textId="77777777" w:rsidR="00CF598B" w:rsidRPr="00AD56AA" w:rsidRDefault="00CF598B">
      <w:pPr>
        <w:numPr>
          <w:ilvl w:val="0"/>
          <w:numId w:val="19"/>
        </w:numPr>
        <w:jc w:val="right"/>
        <w:rPr>
          <w:rFonts w:asciiTheme="majorBidi" w:hAnsiTheme="majorBidi" w:cstheme="majorBidi"/>
          <w:sz w:val="24"/>
          <w:szCs w:val="24"/>
        </w:rPr>
      </w:pPr>
      <w:r>
        <w:rPr>
          <w:rFonts w:asciiTheme="majorBidi" w:hAnsiTheme="majorBidi" w:cstheme="majorBidi"/>
          <w:b/>
          <w:bCs/>
          <w:sz w:val="24"/>
          <w:szCs w:val="24"/>
          <w:rtl/>
        </w:rPr>
        <w:t>فهم حدود النظام</w:t>
      </w:r>
      <w:r>
        <w:rPr>
          <w:rFonts w:asciiTheme="majorBidi" w:hAnsiTheme="majorBidi" w:cstheme="majorBidi"/>
          <w:sz w:val="24"/>
          <w:szCs w:val="24"/>
          <w:rtl/>
        </w:rPr>
        <w:t xml:space="preserve"> </w:t>
      </w:r>
      <w:r>
        <w:rPr>
          <w:rFonts w:asciiTheme="majorBidi" w:hAnsiTheme="majorBidi" w:cstheme="majorBidi"/>
          <w:sz w:val="24"/>
          <w:szCs w:val="24"/>
        </w:rPr>
        <w:t>(</w:t>
      </w:r>
      <w:r>
        <w:rPr>
          <w:rFonts w:asciiTheme="majorBidi" w:hAnsiTheme="majorBidi" w:cstheme="majorBidi"/>
          <w:sz w:val="24"/>
          <w:szCs w:val="24"/>
          <w:rtl/>
        </w:rPr>
        <w:t>ما الذي يجيده؟ وما الذي يضلّل فيه؟</w:t>
      </w:r>
      <w:r>
        <w:rPr>
          <w:rFonts w:asciiTheme="majorBidi" w:hAnsiTheme="majorBidi" w:cstheme="majorBidi"/>
          <w:sz w:val="24"/>
          <w:szCs w:val="24"/>
        </w:rPr>
        <w:t>).</w:t>
      </w:r>
    </w:p>
    <w:p w14:paraId="0AD92ED4" w14:textId="77777777" w:rsidR="00CF598B" w:rsidRPr="00AD56AA" w:rsidRDefault="00CF598B">
      <w:pPr>
        <w:numPr>
          <w:ilvl w:val="0"/>
          <w:numId w:val="19"/>
        </w:numPr>
        <w:jc w:val="right"/>
        <w:rPr>
          <w:rFonts w:asciiTheme="majorBidi" w:hAnsiTheme="majorBidi" w:cstheme="majorBidi"/>
          <w:sz w:val="24"/>
          <w:szCs w:val="24"/>
        </w:rPr>
      </w:pPr>
      <w:r>
        <w:rPr>
          <w:rFonts w:asciiTheme="majorBidi" w:hAnsiTheme="majorBidi" w:cstheme="majorBidi"/>
          <w:b/>
          <w:bCs/>
          <w:sz w:val="24"/>
          <w:szCs w:val="24"/>
          <w:rtl/>
        </w:rPr>
        <w:lastRenderedPageBreak/>
        <w:t>التأكد من تحديثه</w:t>
      </w:r>
      <w:r>
        <w:rPr>
          <w:rFonts w:asciiTheme="majorBidi" w:hAnsiTheme="majorBidi" w:cstheme="majorBidi"/>
          <w:sz w:val="24"/>
          <w:szCs w:val="24"/>
          <w:rtl/>
        </w:rPr>
        <w:t xml:space="preserve"> ومصدر معارفه ومدى مواءمته للأنظمة السعودية</w:t>
      </w:r>
      <w:r>
        <w:rPr>
          <w:rFonts w:asciiTheme="majorBidi" w:hAnsiTheme="majorBidi" w:cstheme="majorBidi"/>
          <w:sz w:val="24"/>
          <w:szCs w:val="24"/>
        </w:rPr>
        <w:t>.</w:t>
      </w:r>
    </w:p>
    <w:p w14:paraId="48E62FEA" w14:textId="77777777" w:rsidR="00CF598B" w:rsidRPr="00AD56AA" w:rsidRDefault="00CF598B">
      <w:pPr>
        <w:numPr>
          <w:ilvl w:val="0"/>
          <w:numId w:val="19"/>
        </w:numPr>
        <w:jc w:val="right"/>
        <w:rPr>
          <w:rFonts w:asciiTheme="majorBidi" w:hAnsiTheme="majorBidi" w:cstheme="majorBidi"/>
          <w:sz w:val="24"/>
          <w:szCs w:val="24"/>
        </w:rPr>
      </w:pPr>
      <w:r>
        <w:rPr>
          <w:rFonts w:asciiTheme="majorBidi" w:hAnsiTheme="majorBidi" w:cstheme="majorBidi"/>
          <w:b/>
          <w:bCs/>
          <w:sz w:val="24"/>
          <w:szCs w:val="24"/>
          <w:rtl/>
        </w:rPr>
        <w:t>تقدير قابلية الخطأ</w:t>
      </w:r>
      <w:r>
        <w:rPr>
          <w:rFonts w:asciiTheme="majorBidi" w:hAnsiTheme="majorBidi" w:cstheme="majorBidi"/>
          <w:sz w:val="24"/>
          <w:szCs w:val="24"/>
          <w:rtl/>
        </w:rPr>
        <w:t xml:space="preserve"> في المخرجات واحتمال “الهلاوس القانونية” (إحالات أو سوابق غير دقيقة)</w:t>
      </w:r>
      <w:r>
        <w:rPr>
          <w:rFonts w:asciiTheme="majorBidi" w:hAnsiTheme="majorBidi" w:cstheme="majorBidi"/>
          <w:sz w:val="24"/>
          <w:szCs w:val="24"/>
        </w:rPr>
        <w:t>.</w:t>
      </w:r>
    </w:p>
    <w:p w14:paraId="41C906FD" w14:textId="77777777" w:rsidR="00CF598B" w:rsidRPr="00AD56AA" w:rsidRDefault="00CF598B">
      <w:pPr>
        <w:numPr>
          <w:ilvl w:val="0"/>
          <w:numId w:val="19"/>
        </w:numPr>
        <w:jc w:val="right"/>
        <w:rPr>
          <w:rFonts w:asciiTheme="majorBidi" w:hAnsiTheme="majorBidi" w:cstheme="majorBidi"/>
          <w:sz w:val="24"/>
          <w:szCs w:val="24"/>
        </w:rPr>
      </w:pPr>
      <w:r>
        <w:rPr>
          <w:rFonts w:asciiTheme="majorBidi" w:hAnsiTheme="majorBidi" w:cstheme="majorBidi"/>
          <w:b/>
          <w:bCs/>
          <w:sz w:val="24"/>
          <w:szCs w:val="24"/>
          <w:rtl/>
        </w:rPr>
        <w:t>عدم الإحلال الكامل</w:t>
      </w:r>
      <w:r>
        <w:rPr>
          <w:rFonts w:asciiTheme="majorBidi" w:hAnsiTheme="majorBidi" w:cstheme="majorBidi"/>
          <w:sz w:val="24"/>
          <w:szCs w:val="24"/>
          <w:rtl/>
        </w:rPr>
        <w:t xml:space="preserve"> للأداة محل الاجتهاد البشري، خصوصًا في الوقائع المعقدة أو المسائل المستحدثة</w:t>
      </w:r>
      <w:r>
        <w:rPr>
          <w:rFonts w:asciiTheme="majorBidi" w:hAnsiTheme="majorBidi" w:cstheme="majorBidi"/>
          <w:sz w:val="24"/>
          <w:szCs w:val="24"/>
        </w:rPr>
        <w:t>.</w:t>
      </w:r>
    </w:p>
    <w:p w14:paraId="581DEFBA" w14:textId="77777777" w:rsidR="00CF598B" w:rsidRPr="00AD56AA" w:rsidRDefault="00CF598B" w:rsidP="00CF598B">
      <w:pPr>
        <w:jc w:val="right"/>
        <w:rPr>
          <w:rFonts w:asciiTheme="majorBidi" w:hAnsiTheme="majorBidi" w:cstheme="majorBidi"/>
          <w:sz w:val="24"/>
          <w:szCs w:val="24"/>
          <w:rtl/>
        </w:rPr>
      </w:pPr>
      <w:r>
        <w:rPr>
          <w:rFonts w:asciiTheme="majorBidi" w:hAnsiTheme="majorBidi" w:cstheme="majorBidi"/>
          <w:sz w:val="24"/>
          <w:szCs w:val="24"/>
          <w:rtl/>
        </w:rPr>
        <w:t xml:space="preserve">ومن تحليلي كباحث، أرى أن التزام المحامي في البيئة الرقمية أصبح أقرب إلى </w:t>
      </w:r>
      <w:r>
        <w:rPr>
          <w:rFonts w:asciiTheme="majorBidi" w:hAnsiTheme="majorBidi" w:cstheme="majorBidi"/>
          <w:b/>
          <w:bCs/>
          <w:sz w:val="24"/>
          <w:szCs w:val="24"/>
          <w:rtl/>
        </w:rPr>
        <w:t>التزام مركّب</w:t>
      </w:r>
      <w:r>
        <w:rPr>
          <w:rFonts w:asciiTheme="majorBidi" w:hAnsiTheme="majorBidi" w:cstheme="majorBidi"/>
          <w:sz w:val="24"/>
          <w:szCs w:val="24"/>
          <w:rtl/>
        </w:rPr>
        <w:t xml:space="preserve"> </w:t>
      </w:r>
      <w:r>
        <w:rPr>
          <w:rFonts w:asciiTheme="majorBidi" w:hAnsiTheme="majorBidi" w:cstheme="majorBidi"/>
          <w:sz w:val="24"/>
          <w:szCs w:val="24"/>
        </w:rPr>
        <w:t>(</w:t>
      </w:r>
      <w:r>
        <w:rPr>
          <w:rFonts w:asciiTheme="majorBidi" w:hAnsiTheme="majorBidi" w:cstheme="majorBidi"/>
          <w:sz w:val="24"/>
          <w:szCs w:val="24"/>
          <w:rtl/>
        </w:rPr>
        <w:t>وليس مجرد بذل عناية بسيط</w:t>
      </w:r>
      <w:r>
        <w:rPr>
          <w:rFonts w:asciiTheme="majorBidi" w:hAnsiTheme="majorBidi" w:cstheme="majorBidi" w:hint="cs"/>
          <w:sz w:val="24"/>
          <w:szCs w:val="24"/>
          <w:rtl/>
        </w:rPr>
        <w:t>ة:</w:t>
      </w:r>
    </w:p>
    <w:p w14:paraId="0F8287EB" w14:textId="77777777" w:rsidR="00CF598B" w:rsidRPr="00AD56AA" w:rsidRDefault="00CF598B">
      <w:pPr>
        <w:numPr>
          <w:ilvl w:val="0"/>
          <w:numId w:val="20"/>
        </w:numPr>
        <w:jc w:val="right"/>
        <w:rPr>
          <w:rFonts w:asciiTheme="majorBidi" w:hAnsiTheme="majorBidi" w:cstheme="majorBidi"/>
          <w:sz w:val="24"/>
          <w:szCs w:val="24"/>
        </w:rPr>
      </w:pPr>
      <w:r>
        <w:rPr>
          <w:rFonts w:asciiTheme="majorBidi" w:hAnsiTheme="majorBidi" w:cstheme="majorBidi"/>
          <w:b/>
          <w:bCs/>
          <w:sz w:val="24"/>
          <w:szCs w:val="24"/>
          <w:rtl/>
        </w:rPr>
        <w:t>عناية قانونية</w:t>
      </w:r>
      <w:r>
        <w:rPr>
          <w:rFonts w:asciiTheme="majorBidi" w:hAnsiTheme="majorBidi" w:cstheme="majorBidi"/>
          <w:sz w:val="24"/>
          <w:szCs w:val="24"/>
        </w:rPr>
        <w:t xml:space="preserve">: </w:t>
      </w:r>
      <w:r>
        <w:rPr>
          <w:rFonts w:asciiTheme="majorBidi" w:hAnsiTheme="majorBidi" w:cstheme="majorBidi"/>
          <w:sz w:val="24"/>
          <w:szCs w:val="24"/>
          <w:rtl/>
        </w:rPr>
        <w:t>تتعلق بصحة التكييف، وحسن الاستدلال، وتقدير النصوص والدفوع</w:t>
      </w:r>
      <w:r>
        <w:rPr>
          <w:rFonts w:asciiTheme="majorBidi" w:hAnsiTheme="majorBidi" w:cstheme="majorBidi"/>
          <w:sz w:val="24"/>
          <w:szCs w:val="24"/>
        </w:rPr>
        <w:t>.</w:t>
      </w:r>
    </w:p>
    <w:p w14:paraId="1DA4F194" w14:textId="77777777" w:rsidR="00CF598B" w:rsidRPr="00AD56AA" w:rsidRDefault="00CF598B">
      <w:pPr>
        <w:numPr>
          <w:ilvl w:val="0"/>
          <w:numId w:val="20"/>
        </w:numPr>
        <w:jc w:val="right"/>
        <w:rPr>
          <w:rFonts w:asciiTheme="majorBidi" w:hAnsiTheme="majorBidi" w:cstheme="majorBidi"/>
          <w:sz w:val="24"/>
          <w:szCs w:val="24"/>
        </w:rPr>
      </w:pPr>
      <w:r>
        <w:rPr>
          <w:rFonts w:asciiTheme="majorBidi" w:hAnsiTheme="majorBidi" w:cstheme="majorBidi"/>
          <w:b/>
          <w:bCs/>
          <w:sz w:val="24"/>
          <w:szCs w:val="24"/>
          <w:rtl/>
        </w:rPr>
        <w:t>عناية تقنية</w:t>
      </w:r>
      <w:r>
        <w:rPr>
          <w:rFonts w:asciiTheme="majorBidi" w:hAnsiTheme="majorBidi" w:cstheme="majorBidi"/>
          <w:sz w:val="24"/>
          <w:szCs w:val="24"/>
        </w:rPr>
        <w:t xml:space="preserve">: </w:t>
      </w:r>
      <w:r>
        <w:rPr>
          <w:rFonts w:asciiTheme="majorBidi" w:hAnsiTheme="majorBidi" w:cstheme="majorBidi"/>
          <w:sz w:val="24"/>
          <w:szCs w:val="24"/>
          <w:rtl/>
        </w:rPr>
        <w:t>تتعلق بحسن اختيار الأداة، وضبط طريقة الاستخدام، ومراجعة المخرجات والتحقق منها</w:t>
      </w:r>
      <w:r>
        <w:rPr>
          <w:rFonts w:asciiTheme="majorBidi" w:hAnsiTheme="majorBidi" w:cstheme="majorBidi"/>
          <w:sz w:val="24"/>
          <w:szCs w:val="24"/>
        </w:rPr>
        <w:t>.</w:t>
      </w:r>
    </w:p>
    <w:p w14:paraId="5BD47EE0" w14:textId="77777777" w:rsidR="00CF598B" w:rsidRPr="00AD56AA"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وإهمال أي من المستويين قد ينهض خطأ مهنيًا، حتى لو كان أصل الخلل تقنيًا؛ لأن الخطأ هنا يتجسد في </w:t>
      </w:r>
      <w:r>
        <w:rPr>
          <w:rFonts w:asciiTheme="majorBidi" w:hAnsiTheme="majorBidi" w:cstheme="majorBidi"/>
          <w:b/>
          <w:bCs/>
          <w:sz w:val="24"/>
          <w:szCs w:val="24"/>
          <w:rtl/>
        </w:rPr>
        <w:t>سوء الإدارة المهنية للمخاطر</w:t>
      </w:r>
      <w:r>
        <w:rPr>
          <w:rFonts w:asciiTheme="majorBidi" w:hAnsiTheme="majorBidi" w:cstheme="majorBidi"/>
          <w:sz w:val="24"/>
          <w:szCs w:val="24"/>
        </w:rPr>
        <w:t>.</w:t>
      </w:r>
    </w:p>
    <w:p w14:paraId="0214357D" w14:textId="77777777" w:rsidR="00CF598B" w:rsidRPr="00AD56AA" w:rsidRDefault="00CF598B" w:rsidP="00CF598B">
      <w:pPr>
        <w:jc w:val="right"/>
        <w:rPr>
          <w:rFonts w:asciiTheme="majorBidi" w:hAnsiTheme="majorBidi" w:cstheme="majorBidi"/>
          <w:sz w:val="24"/>
          <w:szCs w:val="24"/>
        </w:rPr>
      </w:pPr>
    </w:p>
    <w:p w14:paraId="5C54B548" w14:textId="77777777" w:rsidR="00CF598B" w:rsidRPr="00AD56AA"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ثالثًا: معيار الخطأ المهني في ظل الذكاء الاصطناعي وإشكالية “المحامي النظير</w:t>
      </w:r>
      <w:r>
        <w:rPr>
          <w:rFonts w:asciiTheme="majorBidi" w:hAnsiTheme="majorBidi" w:cstheme="majorBidi"/>
          <w:b/>
          <w:bCs/>
          <w:sz w:val="24"/>
          <w:szCs w:val="24"/>
        </w:rPr>
        <w:t>”</w:t>
      </w:r>
    </w:p>
    <w:p w14:paraId="38BB5FD4"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وعلى الصعيد المقارن، أكدت لقرب في سياق بحثها المنشور بمجلة المحترف أن وجود علاقة تأثير إيجابية للذكاء الاصطناعي في الميدان القانوني يتجلى في سرعة إنجاز المهام وتنفيذها، غير أن ثمة إشكاليتين تبقيان محل بحث ودراسة: الأولى تتعلق بإشكالية التحيز الخوارزمي، والثانية بمسألة الشخصية القانونية، فضلًا عن الفوارق الجوهرية بين الذكاء الاصطناعي والذكاء البشري، وهي إشكاليات تُلقي بظلالها مباشرةً على معيار الخطأ المهني الواجب التطبيق.</w:t>
      </w:r>
      <w:r>
        <w:rPr>
          <w:rStyle w:val="af"/>
          <w:rFonts w:asciiTheme="majorBidi" w:hAnsiTheme="majorBidi" w:cstheme="majorBidi"/>
          <w:sz w:val="24"/>
          <w:szCs w:val="24"/>
          <w:rtl/>
        </w:rPr>
        <w:footnoteReference w:id="270"/>
      </w:r>
    </w:p>
    <w:p w14:paraId="07581C3D" w14:textId="77777777" w:rsidR="00CF598B" w:rsidRPr="00AD56AA" w:rsidRDefault="00CF598B" w:rsidP="00CF598B">
      <w:pPr>
        <w:jc w:val="right"/>
        <w:rPr>
          <w:rFonts w:asciiTheme="majorBidi" w:hAnsiTheme="majorBidi" w:cstheme="majorBidi"/>
          <w:sz w:val="24"/>
          <w:szCs w:val="24"/>
        </w:rPr>
      </w:pPr>
      <w:r>
        <w:rPr>
          <w:rFonts w:asciiTheme="majorBidi" w:hAnsiTheme="majorBidi" w:cstheme="majorBidi"/>
          <w:sz w:val="24"/>
          <w:szCs w:val="24"/>
          <w:rtl/>
        </w:rPr>
        <w:t>تقليديًا، يُقاس الخطأ المهني بانحراف المحامي عن سلوك محامٍ معتاد حريص في ذات الظروف. لكن السؤال في عصر الذكاء الاصطناعي يصبح أكثر تعقيدًا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من هو المحامي “المعتاد”؟</w:t>
      </w:r>
      <w:r>
        <w:rPr>
          <w:rFonts w:asciiTheme="majorBidi" w:hAnsiTheme="majorBidi" w:cstheme="majorBidi"/>
          <w:sz w:val="24"/>
          <w:szCs w:val="24"/>
        </w:rPr>
        <w:br/>
      </w:r>
      <w:r>
        <w:rPr>
          <w:rFonts w:asciiTheme="majorBidi" w:hAnsiTheme="majorBidi" w:cstheme="majorBidi"/>
          <w:sz w:val="24"/>
          <w:szCs w:val="24"/>
          <w:rtl/>
        </w:rPr>
        <w:t>هل هو الذي لا يستخدم التقنية؟ أم الذي يستخدمها بحذر؟ أم الذي يعتمد عليها على نطاق واسع؟</w:t>
      </w:r>
    </w:p>
    <w:p w14:paraId="5A4009EE" w14:textId="77777777" w:rsidR="00CF598B" w:rsidRPr="00AD56AA"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يذهب </w:t>
      </w:r>
      <w:r>
        <w:rPr>
          <w:rFonts w:asciiTheme="majorBidi" w:hAnsiTheme="majorBidi" w:cstheme="majorBidi"/>
          <w:b/>
          <w:bCs/>
          <w:sz w:val="24"/>
          <w:szCs w:val="24"/>
          <w:rtl/>
        </w:rPr>
        <w:t>المالكي</w:t>
      </w:r>
      <w:r>
        <w:rPr>
          <w:rStyle w:val="af"/>
          <w:rFonts w:asciiTheme="majorBidi" w:hAnsiTheme="majorBidi" w:cstheme="majorBidi"/>
          <w:b/>
          <w:bCs/>
          <w:sz w:val="24"/>
          <w:szCs w:val="24"/>
          <w:rtl/>
        </w:rPr>
        <w:footnoteReference w:id="271"/>
      </w:r>
      <w:r>
        <w:rPr>
          <w:rFonts w:asciiTheme="majorBidi" w:hAnsiTheme="majorBidi" w:cstheme="majorBidi"/>
          <w:b/>
          <w:bCs/>
          <w:sz w:val="24"/>
          <w:szCs w:val="24"/>
        </w:rPr>
        <w:t xml:space="preserve"> (2024)</w:t>
      </w:r>
      <w:r>
        <w:rPr>
          <w:rFonts w:asciiTheme="majorBidi" w:hAnsiTheme="majorBidi" w:cstheme="majorBidi"/>
          <w:sz w:val="24"/>
          <w:szCs w:val="24"/>
        </w:rPr>
        <w:t xml:space="preserve"> </w:t>
      </w:r>
      <w:r>
        <w:rPr>
          <w:rFonts w:asciiTheme="majorBidi" w:hAnsiTheme="majorBidi" w:cstheme="majorBidi"/>
          <w:sz w:val="24"/>
          <w:szCs w:val="24"/>
          <w:rtl/>
        </w:rPr>
        <w:t xml:space="preserve">إلى أن شيوع أدوات الذكاء الاصطناعي في المهن القانونية قد يجعل الامتناع عن استخدامها – في بعض البيئات – مدخلًا لاعتبار سلوك المحامي أقل كفاءة إذا ترتب عليه إغفال بحث أو تحليل كان متاحًا بسهولة وبكلفة زمنية معقولة. وفي المقابل، يحذر </w:t>
      </w:r>
      <w:r>
        <w:rPr>
          <w:rFonts w:asciiTheme="majorBidi" w:hAnsiTheme="majorBidi" w:cstheme="majorBidi"/>
          <w:b/>
          <w:bCs/>
          <w:sz w:val="24"/>
          <w:szCs w:val="24"/>
          <w:rtl/>
        </w:rPr>
        <w:t>حمادي</w:t>
      </w:r>
      <w:r>
        <w:rPr>
          <w:rStyle w:val="af"/>
          <w:rFonts w:asciiTheme="majorBidi" w:hAnsiTheme="majorBidi" w:cstheme="majorBidi"/>
          <w:b/>
          <w:bCs/>
          <w:sz w:val="24"/>
          <w:szCs w:val="24"/>
          <w:rtl/>
        </w:rPr>
        <w:footnoteReference w:id="272"/>
      </w:r>
      <w:r>
        <w:rPr>
          <w:rFonts w:asciiTheme="majorBidi" w:hAnsiTheme="majorBidi" w:cstheme="majorBidi"/>
          <w:b/>
          <w:bCs/>
          <w:sz w:val="24"/>
          <w:szCs w:val="24"/>
        </w:rPr>
        <w:t xml:space="preserve"> (2022)</w:t>
      </w:r>
      <w:r>
        <w:rPr>
          <w:rFonts w:asciiTheme="majorBidi" w:hAnsiTheme="majorBidi" w:cstheme="majorBidi"/>
          <w:sz w:val="24"/>
          <w:szCs w:val="24"/>
        </w:rPr>
        <w:t xml:space="preserve"> </w:t>
      </w:r>
      <w:r>
        <w:rPr>
          <w:rFonts w:asciiTheme="majorBidi" w:hAnsiTheme="majorBidi" w:cstheme="majorBidi"/>
          <w:sz w:val="24"/>
          <w:szCs w:val="24"/>
          <w:rtl/>
        </w:rPr>
        <w:t>من أن تحميل المستخدم المهني تبعة كل خلل تقني قد يؤدي عمليًا إلى مسؤولية شبه مطلقة، تتعارض مع العدالة التعاقدية، وتُعطل تبني التقنية وتطويرها داخل المهن</w:t>
      </w:r>
      <w:r>
        <w:rPr>
          <w:rFonts w:asciiTheme="majorBidi" w:hAnsiTheme="majorBidi" w:cstheme="majorBidi"/>
          <w:sz w:val="24"/>
          <w:szCs w:val="24"/>
        </w:rPr>
        <w:t>.</w:t>
      </w:r>
    </w:p>
    <w:p w14:paraId="65C9CB05" w14:textId="77777777" w:rsidR="00CF598B" w:rsidRPr="00AD56AA"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ومن ثم، فالمعيار الأدق – في نظري – ليس “استخدم التقنية أو لم يستخدمها”، بل </w:t>
      </w:r>
      <w:r>
        <w:rPr>
          <w:rFonts w:asciiTheme="majorBidi" w:hAnsiTheme="majorBidi" w:cstheme="majorBidi"/>
          <w:b/>
          <w:bCs/>
          <w:sz w:val="24"/>
          <w:szCs w:val="24"/>
          <w:rtl/>
        </w:rPr>
        <w:t>كيف استخدمها</w:t>
      </w:r>
      <w:r>
        <w:rPr>
          <w:rFonts w:asciiTheme="majorBidi" w:hAnsiTheme="majorBidi" w:cstheme="majorBidi"/>
          <w:sz w:val="24"/>
          <w:szCs w:val="24"/>
          <w:rtl/>
        </w:rPr>
        <w:t xml:space="preserve">، وهل مارس إشرافًا بشريًا يحقق العناية المتوقعة أم لا. وعلى هذا، يتعين أن يكون معيار الخطأ </w:t>
      </w:r>
      <w:r>
        <w:rPr>
          <w:rFonts w:asciiTheme="majorBidi" w:hAnsiTheme="majorBidi" w:cstheme="majorBidi"/>
          <w:b/>
          <w:bCs/>
          <w:sz w:val="24"/>
          <w:szCs w:val="24"/>
          <w:rtl/>
        </w:rPr>
        <w:t>نسبيًا</w:t>
      </w:r>
      <w:r>
        <w:rPr>
          <w:rFonts w:asciiTheme="majorBidi" w:hAnsiTheme="majorBidi" w:cstheme="majorBidi"/>
          <w:sz w:val="24"/>
          <w:szCs w:val="24"/>
          <w:rtl/>
        </w:rPr>
        <w:t xml:space="preserve"> يأخذ في الاعتبار</w:t>
      </w:r>
      <w:r>
        <w:rPr>
          <w:rFonts w:asciiTheme="majorBidi" w:hAnsiTheme="majorBidi" w:cstheme="majorBidi"/>
          <w:sz w:val="24"/>
          <w:szCs w:val="24"/>
        </w:rPr>
        <w:t>:</w:t>
      </w:r>
    </w:p>
    <w:p w14:paraId="097E7DAC" w14:textId="77777777" w:rsidR="00CF598B" w:rsidRPr="00AD56AA" w:rsidRDefault="00CF598B">
      <w:pPr>
        <w:numPr>
          <w:ilvl w:val="0"/>
          <w:numId w:val="21"/>
        </w:numPr>
        <w:jc w:val="right"/>
        <w:rPr>
          <w:rFonts w:asciiTheme="majorBidi" w:hAnsiTheme="majorBidi" w:cstheme="majorBidi"/>
          <w:sz w:val="24"/>
          <w:szCs w:val="24"/>
        </w:rPr>
      </w:pPr>
      <w:r>
        <w:rPr>
          <w:rFonts w:asciiTheme="majorBidi" w:hAnsiTheme="majorBidi" w:cstheme="majorBidi"/>
          <w:sz w:val="24"/>
          <w:szCs w:val="24"/>
          <w:rtl/>
        </w:rPr>
        <w:t>درجة شيوع التقنية في الوسط المهني (هل أصبحت معيارًا مؤسسيًا؟)</w:t>
      </w:r>
      <w:r>
        <w:rPr>
          <w:rFonts w:asciiTheme="majorBidi" w:hAnsiTheme="majorBidi" w:cstheme="majorBidi"/>
          <w:sz w:val="24"/>
          <w:szCs w:val="24"/>
        </w:rPr>
        <w:t>.</w:t>
      </w:r>
    </w:p>
    <w:p w14:paraId="54A7F6D1" w14:textId="77777777" w:rsidR="00CF598B" w:rsidRPr="00AD56AA" w:rsidRDefault="00CF598B">
      <w:pPr>
        <w:numPr>
          <w:ilvl w:val="0"/>
          <w:numId w:val="21"/>
        </w:numPr>
        <w:jc w:val="right"/>
        <w:rPr>
          <w:rFonts w:asciiTheme="majorBidi" w:hAnsiTheme="majorBidi" w:cstheme="majorBidi"/>
          <w:sz w:val="24"/>
          <w:szCs w:val="24"/>
        </w:rPr>
      </w:pPr>
      <w:r>
        <w:rPr>
          <w:rFonts w:asciiTheme="majorBidi" w:hAnsiTheme="majorBidi" w:cstheme="majorBidi"/>
          <w:sz w:val="24"/>
          <w:szCs w:val="24"/>
          <w:rtl/>
        </w:rPr>
        <w:t>طبيعة المسألة محل العمل (روتينية أم دقيقة عالية المخاطر)</w:t>
      </w:r>
      <w:r>
        <w:rPr>
          <w:rFonts w:asciiTheme="majorBidi" w:hAnsiTheme="majorBidi" w:cstheme="majorBidi"/>
          <w:sz w:val="24"/>
          <w:szCs w:val="24"/>
        </w:rPr>
        <w:t>.</w:t>
      </w:r>
    </w:p>
    <w:p w14:paraId="4AB486C4" w14:textId="77777777" w:rsidR="00CF598B" w:rsidRPr="00AD56AA" w:rsidRDefault="00CF598B">
      <w:pPr>
        <w:numPr>
          <w:ilvl w:val="0"/>
          <w:numId w:val="21"/>
        </w:numPr>
        <w:jc w:val="right"/>
        <w:rPr>
          <w:rFonts w:asciiTheme="majorBidi" w:hAnsiTheme="majorBidi" w:cstheme="majorBidi"/>
          <w:sz w:val="24"/>
          <w:szCs w:val="24"/>
        </w:rPr>
      </w:pPr>
      <w:r>
        <w:rPr>
          <w:rFonts w:asciiTheme="majorBidi" w:hAnsiTheme="majorBidi" w:cstheme="majorBidi"/>
          <w:sz w:val="24"/>
          <w:szCs w:val="24"/>
          <w:rtl/>
        </w:rPr>
        <w:t>وضوح قيود النظام والتحذيرات (هل نبهت المنصة إلى حدودها؟)</w:t>
      </w:r>
      <w:r>
        <w:rPr>
          <w:rFonts w:asciiTheme="majorBidi" w:hAnsiTheme="majorBidi" w:cstheme="majorBidi"/>
          <w:sz w:val="24"/>
          <w:szCs w:val="24"/>
        </w:rPr>
        <w:t>.</w:t>
      </w:r>
    </w:p>
    <w:p w14:paraId="0AA2FB0D" w14:textId="77777777" w:rsidR="00CF598B" w:rsidRPr="00AC662A" w:rsidRDefault="00CF598B">
      <w:pPr>
        <w:numPr>
          <w:ilvl w:val="0"/>
          <w:numId w:val="21"/>
        </w:numPr>
        <w:jc w:val="right"/>
        <w:rPr>
          <w:rFonts w:asciiTheme="majorBidi" w:hAnsiTheme="majorBidi" w:cstheme="majorBidi"/>
          <w:sz w:val="24"/>
          <w:szCs w:val="24"/>
        </w:rPr>
      </w:pPr>
      <w:r>
        <w:rPr>
          <w:rFonts w:asciiTheme="majorBidi" w:hAnsiTheme="majorBidi" w:cstheme="majorBidi"/>
          <w:sz w:val="24"/>
          <w:szCs w:val="24"/>
          <w:rtl/>
        </w:rPr>
        <w:lastRenderedPageBreak/>
        <w:t>مستوى المراجعة البشرية والتحقق (هل اكتفى بالنسخ؟ أم راجع واستوثق؟)</w:t>
      </w:r>
      <w:r>
        <w:rPr>
          <w:rFonts w:asciiTheme="majorBidi" w:hAnsiTheme="majorBidi" w:cstheme="majorBidi"/>
          <w:sz w:val="24"/>
          <w:szCs w:val="24"/>
        </w:rPr>
        <w:t>..</w:t>
      </w:r>
    </w:p>
    <w:p w14:paraId="2985E024" w14:textId="77777777" w:rsidR="00CF598B" w:rsidRPr="00AD56AA" w:rsidRDefault="00CF598B" w:rsidP="00CF598B">
      <w:pPr>
        <w:jc w:val="right"/>
        <w:rPr>
          <w:rFonts w:asciiTheme="majorBidi" w:hAnsiTheme="majorBidi" w:cstheme="majorBidi"/>
          <w:sz w:val="24"/>
          <w:szCs w:val="24"/>
        </w:rPr>
      </w:pPr>
    </w:p>
    <w:p w14:paraId="0FF48452" w14:textId="77777777" w:rsidR="00CF598B" w:rsidRPr="00AD56AA"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رابعًا: التفرقة بين الخطأ التقني والخطأ المهني وأثرها على قيام المسؤولية</w:t>
      </w:r>
    </w:p>
    <w:p w14:paraId="3284FCF4"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وفي إطار بحث أوجه هذه التفرقة، تناول المنشور الصادر عن مجلة العدالة مسألة المسؤولية عن الذكاء الاصطناعي بين القانون الخاص والقانون العام، منطلقًا من حقيقة أن الذكاء الاصطناعي أصبح مستخدمًا على نطاق واسع في عمليات المساعدة في القرار في مجالات مختلفة، وأن الاعتماد على نتائجه يُثير تساؤلات قانونية جوهرية تتعلق بكيفية استيعاب القانون لمعالجة مشكلات المسؤولية الناتجة عن استخدام هذه الأنظمة، وما إذا كانت قواعد القانون المدني الحالية كافية للتعويض عن الأضرار الناجمة جراء ذلك.</w:t>
      </w:r>
      <w:r>
        <w:rPr>
          <w:rStyle w:val="af"/>
          <w:rFonts w:asciiTheme="majorBidi" w:hAnsiTheme="majorBidi" w:cstheme="majorBidi"/>
          <w:sz w:val="24"/>
          <w:szCs w:val="24"/>
          <w:rtl/>
        </w:rPr>
        <w:footnoteReference w:id="273"/>
      </w:r>
    </w:p>
    <w:p w14:paraId="32E8FB34" w14:textId="77777777" w:rsidR="00CF598B" w:rsidRPr="00AD56AA" w:rsidRDefault="00CF598B" w:rsidP="00CF598B">
      <w:pPr>
        <w:jc w:val="right"/>
        <w:rPr>
          <w:rFonts w:asciiTheme="majorBidi" w:hAnsiTheme="majorBidi" w:cstheme="majorBidi"/>
          <w:sz w:val="24"/>
          <w:szCs w:val="24"/>
        </w:rPr>
      </w:pPr>
      <w:r>
        <w:rPr>
          <w:rFonts w:asciiTheme="majorBidi" w:hAnsiTheme="majorBidi" w:cstheme="majorBidi"/>
          <w:sz w:val="24"/>
          <w:szCs w:val="24"/>
          <w:rtl/>
        </w:rPr>
        <w:t>تحديد طبيعة الخطأ هو قلب النزاع في مسؤولية الذكاء الاصطناعي داخل مكاتب المحاماة. فالخطأ قد يكون</w:t>
      </w:r>
      <w:r>
        <w:rPr>
          <w:rFonts w:asciiTheme="majorBidi" w:hAnsiTheme="majorBidi" w:cstheme="majorBidi"/>
          <w:sz w:val="24"/>
          <w:szCs w:val="24"/>
        </w:rPr>
        <w:t>:</w:t>
      </w:r>
    </w:p>
    <w:p w14:paraId="2EF9B636" w14:textId="77777777" w:rsidR="00CF598B" w:rsidRPr="00AD56AA" w:rsidRDefault="00CF598B" w:rsidP="00CF598B">
      <w:pPr>
        <w:jc w:val="right"/>
        <w:rPr>
          <w:rFonts w:asciiTheme="majorBidi" w:hAnsiTheme="majorBidi" w:cstheme="majorBidi"/>
          <w:sz w:val="24"/>
          <w:szCs w:val="24"/>
        </w:rPr>
      </w:pPr>
      <w:r>
        <w:rPr>
          <w:rFonts w:asciiTheme="majorBidi" w:hAnsiTheme="majorBidi" w:cstheme="majorBidi"/>
          <w:b/>
          <w:bCs/>
          <w:sz w:val="24"/>
          <w:szCs w:val="24"/>
          <w:rtl/>
        </w:rPr>
        <w:t>(أ) خطأ تقني</w:t>
      </w:r>
      <w:r>
        <w:rPr>
          <w:rFonts w:asciiTheme="majorBidi" w:hAnsiTheme="majorBidi" w:cstheme="majorBidi"/>
          <w:sz w:val="24"/>
          <w:szCs w:val="24"/>
          <w:rtl/>
        </w:rPr>
        <w:t xml:space="preserve"> مثل</w:t>
      </w:r>
      <w:r>
        <w:rPr>
          <w:rFonts w:asciiTheme="majorBidi" w:hAnsiTheme="majorBidi" w:cstheme="majorBidi"/>
          <w:sz w:val="24"/>
          <w:szCs w:val="24"/>
        </w:rPr>
        <w:t>:</w:t>
      </w:r>
    </w:p>
    <w:p w14:paraId="3CCFF18F" w14:textId="77777777" w:rsidR="00CF598B" w:rsidRPr="00AD56AA" w:rsidRDefault="00CF598B">
      <w:pPr>
        <w:numPr>
          <w:ilvl w:val="0"/>
          <w:numId w:val="22"/>
        </w:numPr>
        <w:jc w:val="right"/>
        <w:rPr>
          <w:rFonts w:asciiTheme="majorBidi" w:hAnsiTheme="majorBidi" w:cstheme="majorBidi"/>
          <w:sz w:val="24"/>
          <w:szCs w:val="24"/>
        </w:rPr>
      </w:pPr>
      <w:r>
        <w:rPr>
          <w:rFonts w:asciiTheme="majorBidi" w:hAnsiTheme="majorBidi" w:cstheme="majorBidi"/>
          <w:sz w:val="24"/>
          <w:szCs w:val="24"/>
          <w:rtl/>
        </w:rPr>
        <w:t>خلل في قاعدة البيانات أو مصادرها</w:t>
      </w:r>
      <w:r>
        <w:rPr>
          <w:rFonts w:asciiTheme="majorBidi" w:hAnsiTheme="majorBidi" w:cstheme="majorBidi"/>
          <w:sz w:val="24"/>
          <w:szCs w:val="24"/>
        </w:rPr>
        <w:t>.</w:t>
      </w:r>
    </w:p>
    <w:p w14:paraId="1072E0C8" w14:textId="77777777" w:rsidR="00CF598B" w:rsidRPr="00AD56AA" w:rsidRDefault="00CF598B">
      <w:pPr>
        <w:numPr>
          <w:ilvl w:val="0"/>
          <w:numId w:val="22"/>
        </w:numPr>
        <w:jc w:val="right"/>
        <w:rPr>
          <w:rFonts w:asciiTheme="majorBidi" w:hAnsiTheme="majorBidi" w:cstheme="majorBidi"/>
          <w:sz w:val="24"/>
          <w:szCs w:val="24"/>
        </w:rPr>
      </w:pPr>
      <w:r>
        <w:rPr>
          <w:rFonts w:asciiTheme="majorBidi" w:hAnsiTheme="majorBidi" w:cstheme="majorBidi"/>
          <w:sz w:val="24"/>
          <w:szCs w:val="24"/>
          <w:rtl/>
        </w:rPr>
        <w:t>اعتماد تشريعات غير محدثة أو غير سعودية</w:t>
      </w:r>
      <w:r>
        <w:rPr>
          <w:rFonts w:asciiTheme="majorBidi" w:hAnsiTheme="majorBidi" w:cstheme="majorBidi"/>
          <w:sz w:val="24"/>
          <w:szCs w:val="24"/>
        </w:rPr>
        <w:t>.</w:t>
      </w:r>
    </w:p>
    <w:p w14:paraId="2226065D" w14:textId="77777777" w:rsidR="00CF598B" w:rsidRPr="00AD56AA" w:rsidRDefault="00CF598B">
      <w:pPr>
        <w:numPr>
          <w:ilvl w:val="0"/>
          <w:numId w:val="22"/>
        </w:numPr>
        <w:jc w:val="right"/>
        <w:rPr>
          <w:rFonts w:asciiTheme="majorBidi" w:hAnsiTheme="majorBidi" w:cstheme="majorBidi"/>
          <w:sz w:val="24"/>
          <w:szCs w:val="24"/>
        </w:rPr>
      </w:pPr>
      <w:r>
        <w:rPr>
          <w:rFonts w:asciiTheme="majorBidi" w:hAnsiTheme="majorBidi" w:cstheme="majorBidi"/>
          <w:sz w:val="24"/>
          <w:szCs w:val="24"/>
          <w:rtl/>
        </w:rPr>
        <w:t>انحراف خوارزمي في التحليل أو ترتيب الأولويات</w:t>
      </w:r>
      <w:r>
        <w:rPr>
          <w:rFonts w:asciiTheme="majorBidi" w:hAnsiTheme="majorBidi" w:cstheme="majorBidi"/>
          <w:sz w:val="24"/>
          <w:szCs w:val="24"/>
        </w:rPr>
        <w:t>.</w:t>
      </w:r>
    </w:p>
    <w:p w14:paraId="27CEEFFC" w14:textId="77777777" w:rsidR="00CF598B" w:rsidRPr="00AD56AA" w:rsidRDefault="00CF598B">
      <w:pPr>
        <w:numPr>
          <w:ilvl w:val="0"/>
          <w:numId w:val="22"/>
        </w:numPr>
        <w:jc w:val="right"/>
        <w:rPr>
          <w:rFonts w:asciiTheme="majorBidi" w:hAnsiTheme="majorBidi" w:cstheme="majorBidi"/>
          <w:sz w:val="24"/>
          <w:szCs w:val="24"/>
        </w:rPr>
      </w:pPr>
      <w:r>
        <w:rPr>
          <w:rFonts w:asciiTheme="majorBidi" w:hAnsiTheme="majorBidi" w:cstheme="majorBidi"/>
          <w:sz w:val="24"/>
          <w:szCs w:val="24"/>
          <w:rtl/>
        </w:rPr>
        <w:t>توليد إحالات غير صحيحة أو “سوابق وهمية</w:t>
      </w:r>
      <w:r>
        <w:rPr>
          <w:rFonts w:asciiTheme="majorBidi" w:hAnsiTheme="majorBidi" w:cstheme="majorBidi"/>
          <w:sz w:val="24"/>
          <w:szCs w:val="24"/>
        </w:rPr>
        <w:t>”.</w:t>
      </w:r>
    </w:p>
    <w:p w14:paraId="48D953FD" w14:textId="77777777" w:rsidR="00CF598B" w:rsidRPr="00AD56AA" w:rsidRDefault="00CF598B" w:rsidP="00CF598B">
      <w:pPr>
        <w:jc w:val="right"/>
        <w:rPr>
          <w:rFonts w:asciiTheme="majorBidi" w:hAnsiTheme="majorBidi" w:cstheme="majorBidi"/>
          <w:sz w:val="24"/>
          <w:szCs w:val="24"/>
        </w:rPr>
      </w:pPr>
      <w:r>
        <w:rPr>
          <w:rFonts w:asciiTheme="majorBidi" w:hAnsiTheme="majorBidi" w:cstheme="majorBidi"/>
          <w:b/>
          <w:bCs/>
          <w:sz w:val="24"/>
          <w:szCs w:val="24"/>
          <w:rtl/>
        </w:rPr>
        <w:t>(ب) خطأ مهني</w:t>
      </w:r>
      <w:r>
        <w:rPr>
          <w:rFonts w:asciiTheme="majorBidi" w:hAnsiTheme="majorBidi" w:cstheme="majorBidi"/>
          <w:sz w:val="24"/>
          <w:szCs w:val="24"/>
          <w:rtl/>
        </w:rPr>
        <w:t xml:space="preserve"> مثل</w:t>
      </w:r>
      <w:r>
        <w:rPr>
          <w:rFonts w:asciiTheme="majorBidi" w:hAnsiTheme="majorBidi" w:cstheme="majorBidi"/>
          <w:sz w:val="24"/>
          <w:szCs w:val="24"/>
        </w:rPr>
        <w:t>:</w:t>
      </w:r>
    </w:p>
    <w:p w14:paraId="5477E8A6" w14:textId="77777777" w:rsidR="00CF598B" w:rsidRPr="00AD56AA" w:rsidRDefault="00CF598B">
      <w:pPr>
        <w:numPr>
          <w:ilvl w:val="0"/>
          <w:numId w:val="23"/>
        </w:numPr>
        <w:jc w:val="right"/>
        <w:rPr>
          <w:rFonts w:asciiTheme="majorBidi" w:hAnsiTheme="majorBidi" w:cstheme="majorBidi"/>
          <w:sz w:val="24"/>
          <w:szCs w:val="24"/>
        </w:rPr>
      </w:pPr>
      <w:r>
        <w:rPr>
          <w:rFonts w:asciiTheme="majorBidi" w:hAnsiTheme="majorBidi" w:cstheme="majorBidi"/>
          <w:sz w:val="24"/>
          <w:szCs w:val="24"/>
          <w:rtl/>
        </w:rPr>
        <w:t>اعتماد المخرج دون مراجعة</w:t>
      </w:r>
      <w:r>
        <w:rPr>
          <w:rFonts w:asciiTheme="majorBidi" w:hAnsiTheme="majorBidi" w:cstheme="majorBidi"/>
          <w:sz w:val="24"/>
          <w:szCs w:val="24"/>
        </w:rPr>
        <w:t>.</w:t>
      </w:r>
    </w:p>
    <w:p w14:paraId="17251D0C" w14:textId="77777777" w:rsidR="00CF598B" w:rsidRPr="00AD56AA" w:rsidRDefault="00CF598B">
      <w:pPr>
        <w:numPr>
          <w:ilvl w:val="0"/>
          <w:numId w:val="23"/>
        </w:numPr>
        <w:jc w:val="right"/>
        <w:rPr>
          <w:rFonts w:asciiTheme="majorBidi" w:hAnsiTheme="majorBidi" w:cstheme="majorBidi"/>
          <w:sz w:val="24"/>
          <w:szCs w:val="24"/>
        </w:rPr>
      </w:pPr>
      <w:r>
        <w:rPr>
          <w:rFonts w:asciiTheme="majorBidi" w:hAnsiTheme="majorBidi" w:cstheme="majorBidi"/>
          <w:sz w:val="24"/>
          <w:szCs w:val="24"/>
          <w:rtl/>
        </w:rPr>
        <w:t>إدخال بيانات ناقصة أو مضللة</w:t>
      </w:r>
      <w:r>
        <w:rPr>
          <w:rFonts w:asciiTheme="majorBidi" w:hAnsiTheme="majorBidi" w:cstheme="majorBidi"/>
          <w:sz w:val="24"/>
          <w:szCs w:val="24"/>
        </w:rPr>
        <w:t>.</w:t>
      </w:r>
    </w:p>
    <w:p w14:paraId="05D808B0" w14:textId="77777777" w:rsidR="00CF598B" w:rsidRPr="00AD56AA" w:rsidRDefault="00CF598B">
      <w:pPr>
        <w:numPr>
          <w:ilvl w:val="0"/>
          <w:numId w:val="23"/>
        </w:numPr>
        <w:jc w:val="right"/>
        <w:rPr>
          <w:rFonts w:asciiTheme="majorBidi" w:hAnsiTheme="majorBidi" w:cstheme="majorBidi"/>
          <w:sz w:val="24"/>
          <w:szCs w:val="24"/>
        </w:rPr>
      </w:pPr>
      <w:r>
        <w:rPr>
          <w:rFonts w:asciiTheme="majorBidi" w:hAnsiTheme="majorBidi" w:cstheme="majorBidi"/>
          <w:sz w:val="24"/>
          <w:szCs w:val="24"/>
          <w:rtl/>
        </w:rPr>
        <w:t>سوء اختيار الأداة (غير مخصصة للبيئة السعودية/غير آمنة)</w:t>
      </w:r>
      <w:r>
        <w:rPr>
          <w:rFonts w:asciiTheme="majorBidi" w:hAnsiTheme="majorBidi" w:cstheme="majorBidi"/>
          <w:sz w:val="24"/>
          <w:szCs w:val="24"/>
        </w:rPr>
        <w:t>.</w:t>
      </w:r>
    </w:p>
    <w:p w14:paraId="4BD20BAC" w14:textId="77777777" w:rsidR="00CF598B" w:rsidRPr="00AD56AA" w:rsidRDefault="00CF598B">
      <w:pPr>
        <w:numPr>
          <w:ilvl w:val="0"/>
          <w:numId w:val="23"/>
        </w:numPr>
        <w:jc w:val="right"/>
        <w:rPr>
          <w:rFonts w:asciiTheme="majorBidi" w:hAnsiTheme="majorBidi" w:cstheme="majorBidi"/>
          <w:sz w:val="24"/>
          <w:szCs w:val="24"/>
        </w:rPr>
      </w:pPr>
      <w:r>
        <w:rPr>
          <w:rFonts w:asciiTheme="majorBidi" w:hAnsiTheme="majorBidi" w:cstheme="majorBidi"/>
          <w:sz w:val="24"/>
          <w:szCs w:val="24"/>
          <w:rtl/>
        </w:rPr>
        <w:t>تجاهل تحذيرات الاستخدام أو استعمال الأداة خارج نطاقها</w:t>
      </w:r>
      <w:r>
        <w:rPr>
          <w:rFonts w:asciiTheme="majorBidi" w:hAnsiTheme="majorBidi" w:cstheme="majorBidi"/>
          <w:sz w:val="24"/>
          <w:szCs w:val="24"/>
        </w:rPr>
        <w:t>.</w:t>
      </w:r>
    </w:p>
    <w:p w14:paraId="5416A71D" w14:textId="77777777" w:rsidR="00CF598B" w:rsidRPr="00AD56AA"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ويُشير </w:t>
      </w:r>
      <w:r>
        <w:rPr>
          <w:rFonts w:asciiTheme="majorBidi" w:hAnsiTheme="majorBidi" w:cstheme="majorBidi"/>
          <w:b/>
          <w:bCs/>
          <w:sz w:val="24"/>
          <w:szCs w:val="24"/>
          <w:rtl/>
        </w:rPr>
        <w:t>خليل</w:t>
      </w:r>
      <w:r>
        <w:rPr>
          <w:rStyle w:val="af"/>
          <w:rFonts w:asciiTheme="majorBidi" w:hAnsiTheme="majorBidi" w:cstheme="majorBidi"/>
          <w:b/>
          <w:bCs/>
          <w:sz w:val="24"/>
          <w:szCs w:val="24"/>
          <w:rtl/>
        </w:rPr>
        <w:footnoteReference w:id="274"/>
      </w:r>
      <w:r>
        <w:rPr>
          <w:rFonts w:asciiTheme="majorBidi" w:hAnsiTheme="majorBidi" w:cstheme="majorBidi"/>
          <w:b/>
          <w:bCs/>
          <w:sz w:val="24"/>
          <w:szCs w:val="24"/>
        </w:rPr>
        <w:t xml:space="preserve"> (2022)</w:t>
      </w:r>
      <w:r>
        <w:rPr>
          <w:rFonts w:asciiTheme="majorBidi" w:hAnsiTheme="majorBidi" w:cstheme="majorBidi"/>
          <w:sz w:val="24"/>
          <w:szCs w:val="24"/>
        </w:rPr>
        <w:t xml:space="preserve"> </w:t>
      </w:r>
      <w:r>
        <w:rPr>
          <w:rFonts w:asciiTheme="majorBidi" w:hAnsiTheme="majorBidi" w:cstheme="majorBidi"/>
          <w:sz w:val="24"/>
          <w:szCs w:val="24"/>
          <w:rtl/>
        </w:rPr>
        <w:t xml:space="preserve">إلى فكرة “انقطاع الصلة الإدراكية” بسبب تعقيد الخوارزميات؛ أي أن المستخدم قد لا يدرك كيف تولّدت النتيجة. غير أن هذا الانقطاع – في العمل المهني – لا يُعفي من المسؤولية بمجرده، لأن المحامي عندما يعتمد المخرج ويقدمه فهو يمنحه </w:t>
      </w:r>
      <w:r>
        <w:rPr>
          <w:rFonts w:asciiTheme="majorBidi" w:hAnsiTheme="majorBidi" w:cstheme="majorBidi"/>
          <w:b/>
          <w:bCs/>
          <w:sz w:val="24"/>
          <w:szCs w:val="24"/>
          <w:rtl/>
        </w:rPr>
        <w:t>صفة مهنية</w:t>
      </w:r>
      <w:r>
        <w:rPr>
          <w:rFonts w:asciiTheme="majorBidi" w:hAnsiTheme="majorBidi" w:cstheme="majorBidi"/>
          <w:sz w:val="24"/>
          <w:szCs w:val="24"/>
          <w:rtl/>
        </w:rPr>
        <w:t xml:space="preserve"> ويستند إليه في ممارسة حق الموكل، فيصبح الإسناد قائمًا من زاوية “الاعتماد” حتى لو تعذر إدراك “كيفية التوليد” بالكامل</w:t>
      </w:r>
      <w:r>
        <w:rPr>
          <w:rFonts w:asciiTheme="majorBidi" w:hAnsiTheme="majorBidi" w:cstheme="majorBidi"/>
          <w:sz w:val="24"/>
          <w:szCs w:val="24"/>
        </w:rPr>
        <w:t>.</w:t>
      </w:r>
    </w:p>
    <w:p w14:paraId="0415F761" w14:textId="77777777" w:rsidR="00CF598B" w:rsidRPr="00AD56AA"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كما يذهب </w:t>
      </w:r>
      <w:r>
        <w:rPr>
          <w:rFonts w:asciiTheme="majorBidi" w:hAnsiTheme="majorBidi" w:cstheme="majorBidi"/>
          <w:b/>
          <w:bCs/>
          <w:sz w:val="24"/>
          <w:szCs w:val="24"/>
          <w:rtl/>
        </w:rPr>
        <w:t>المالكي</w:t>
      </w:r>
      <w:r>
        <w:rPr>
          <w:rStyle w:val="af"/>
          <w:rFonts w:asciiTheme="majorBidi" w:hAnsiTheme="majorBidi" w:cstheme="majorBidi"/>
          <w:b/>
          <w:bCs/>
          <w:sz w:val="24"/>
          <w:szCs w:val="24"/>
          <w:rtl/>
        </w:rPr>
        <w:footnoteReference w:id="275"/>
      </w:r>
      <w:r>
        <w:rPr>
          <w:rFonts w:asciiTheme="majorBidi" w:hAnsiTheme="majorBidi" w:cstheme="majorBidi"/>
          <w:b/>
          <w:bCs/>
          <w:sz w:val="24"/>
          <w:szCs w:val="24"/>
        </w:rPr>
        <w:t xml:space="preserve"> (2024)</w:t>
      </w:r>
      <w:r>
        <w:rPr>
          <w:rFonts w:asciiTheme="majorBidi" w:hAnsiTheme="majorBidi" w:cstheme="majorBidi"/>
          <w:sz w:val="24"/>
          <w:szCs w:val="24"/>
        </w:rPr>
        <w:t xml:space="preserve"> </w:t>
      </w:r>
      <w:r>
        <w:rPr>
          <w:rFonts w:asciiTheme="majorBidi" w:hAnsiTheme="majorBidi" w:cstheme="majorBidi"/>
          <w:sz w:val="24"/>
          <w:szCs w:val="24"/>
          <w:rtl/>
        </w:rPr>
        <w:t>إلى أن معيار “السيطرة أو الرقابة الفعلية” أصلح في بناء المسؤولية من معيار الفعل المادي؛ لأن جوهر المسؤولية ليس “من كتب السطر”، بل “من كان قادرًا على منع الضرر أو تقليله” عبر الرقابة والتحقق. وبما أن المحامي هو الذي اختار النظام واعتمد الناتج وقدمه باسمه، فحدٌّ أدنى من الرقابة متحقق من جانبه</w:t>
      </w:r>
      <w:r>
        <w:rPr>
          <w:rFonts w:asciiTheme="majorBidi" w:hAnsiTheme="majorBidi" w:cstheme="majorBidi"/>
          <w:sz w:val="24"/>
          <w:szCs w:val="24"/>
        </w:rPr>
        <w:t>.</w:t>
      </w:r>
    </w:p>
    <w:p w14:paraId="59BFF0AB" w14:textId="77777777" w:rsidR="00CF598B" w:rsidRPr="00AD56AA" w:rsidRDefault="00AC662A" w:rsidP="00CF598B">
      <w:pPr>
        <w:jc w:val="right"/>
        <w:rPr>
          <w:rFonts w:asciiTheme="majorBidi" w:hAnsiTheme="majorBidi" w:cstheme="majorBidi"/>
          <w:sz w:val="24"/>
          <w:szCs w:val="24"/>
        </w:rPr>
      </w:pPr>
      <w:r>
        <w:rPr>
          <w:rFonts w:asciiTheme="majorBidi" w:hAnsiTheme="majorBidi" w:cstheme="majorBidi" w:hint="cs"/>
          <w:sz w:val="24"/>
          <w:szCs w:val="24"/>
          <w:rtl/>
        </w:rPr>
        <w:t>ومما سبق</w:t>
      </w:r>
      <w:r>
        <w:rPr>
          <w:rFonts w:asciiTheme="majorBidi" w:hAnsiTheme="majorBidi" w:cstheme="majorBidi"/>
          <w:sz w:val="24"/>
          <w:szCs w:val="24"/>
          <w:rtl/>
        </w:rPr>
        <w:t xml:space="preserve"> ، أرى أن النقطة الفاصلة هي </w:t>
      </w:r>
      <w:r>
        <w:rPr>
          <w:rFonts w:asciiTheme="majorBidi" w:hAnsiTheme="majorBidi" w:cstheme="majorBidi"/>
          <w:b/>
          <w:bCs/>
          <w:sz w:val="24"/>
          <w:szCs w:val="24"/>
          <w:rtl/>
        </w:rPr>
        <w:t>الاعتماد الواعي المصحوب بإشراف معقول</w:t>
      </w:r>
      <w:r>
        <w:rPr>
          <w:rFonts w:asciiTheme="majorBidi" w:hAnsiTheme="majorBidi" w:cstheme="majorBidi"/>
          <w:sz w:val="24"/>
          <w:szCs w:val="24"/>
        </w:rPr>
        <w:t>:</w:t>
      </w:r>
    </w:p>
    <w:p w14:paraId="3380C54F" w14:textId="77777777" w:rsidR="00CF598B" w:rsidRPr="00AD56AA" w:rsidRDefault="00CF598B">
      <w:pPr>
        <w:numPr>
          <w:ilvl w:val="0"/>
          <w:numId w:val="24"/>
        </w:numPr>
        <w:jc w:val="right"/>
        <w:rPr>
          <w:rFonts w:asciiTheme="majorBidi" w:hAnsiTheme="majorBidi" w:cstheme="majorBidi"/>
          <w:sz w:val="24"/>
          <w:szCs w:val="24"/>
        </w:rPr>
      </w:pPr>
      <w:r>
        <w:rPr>
          <w:rFonts w:asciiTheme="majorBidi" w:hAnsiTheme="majorBidi" w:cstheme="majorBidi"/>
          <w:sz w:val="24"/>
          <w:szCs w:val="24"/>
          <w:rtl/>
        </w:rPr>
        <w:lastRenderedPageBreak/>
        <w:t xml:space="preserve">إذا كان الخطأ يمكن اكتشافه بمراجعة بشرية معتادة (كإحالة نظامية خاطئة أو سابقة غير موجودة) فالمسؤولية تميل إلى أن تكون </w:t>
      </w:r>
      <w:r>
        <w:rPr>
          <w:rFonts w:asciiTheme="majorBidi" w:hAnsiTheme="majorBidi" w:cstheme="majorBidi"/>
          <w:b/>
          <w:bCs/>
          <w:sz w:val="24"/>
          <w:szCs w:val="24"/>
          <w:rtl/>
        </w:rPr>
        <w:t>مهنية</w:t>
      </w:r>
      <w:r>
        <w:rPr>
          <w:rFonts w:asciiTheme="majorBidi" w:hAnsiTheme="majorBidi" w:cstheme="majorBidi"/>
          <w:sz w:val="24"/>
          <w:szCs w:val="24"/>
        </w:rPr>
        <w:t>.</w:t>
      </w:r>
    </w:p>
    <w:p w14:paraId="6E1E44D5" w14:textId="77777777" w:rsidR="00CF598B" w:rsidRPr="00AD56AA" w:rsidRDefault="00CF598B">
      <w:pPr>
        <w:numPr>
          <w:ilvl w:val="0"/>
          <w:numId w:val="24"/>
        </w:numPr>
        <w:jc w:val="right"/>
        <w:rPr>
          <w:rFonts w:asciiTheme="majorBidi" w:hAnsiTheme="majorBidi" w:cstheme="majorBidi"/>
          <w:sz w:val="24"/>
          <w:szCs w:val="24"/>
        </w:rPr>
      </w:pPr>
      <w:r>
        <w:rPr>
          <w:rFonts w:asciiTheme="majorBidi" w:hAnsiTheme="majorBidi" w:cstheme="majorBidi"/>
          <w:sz w:val="24"/>
          <w:szCs w:val="24"/>
          <w:rtl/>
        </w:rPr>
        <w:t xml:space="preserve">أما إذا كان الخلل خفيًا تقنيًا لا يُكتشف بالوسائل المهنية المتعارف عليها، بعد تحقق حقيقي ومراجعة، فهنا ننتقل إلى منطق </w:t>
      </w:r>
      <w:r>
        <w:rPr>
          <w:rFonts w:asciiTheme="majorBidi" w:hAnsiTheme="majorBidi" w:cstheme="majorBidi"/>
          <w:b/>
          <w:bCs/>
          <w:sz w:val="24"/>
          <w:szCs w:val="24"/>
          <w:rtl/>
        </w:rPr>
        <w:t>توزيع المسؤولية</w:t>
      </w:r>
      <w:r>
        <w:rPr>
          <w:rFonts w:asciiTheme="majorBidi" w:hAnsiTheme="majorBidi" w:cstheme="majorBidi"/>
          <w:sz w:val="24"/>
          <w:szCs w:val="24"/>
          <w:rtl/>
        </w:rPr>
        <w:t xml:space="preserve"> وليس نفيها</w:t>
      </w:r>
      <w:r>
        <w:rPr>
          <w:rFonts w:asciiTheme="majorBidi" w:hAnsiTheme="majorBidi" w:cstheme="majorBidi"/>
          <w:sz w:val="24"/>
          <w:szCs w:val="24"/>
        </w:rPr>
        <w:t>.</w:t>
      </w:r>
    </w:p>
    <w:p w14:paraId="1A43971E" w14:textId="77777777" w:rsidR="00CF598B" w:rsidRPr="00AD56AA" w:rsidRDefault="00CF598B" w:rsidP="00CF598B">
      <w:pPr>
        <w:jc w:val="right"/>
        <w:rPr>
          <w:rFonts w:asciiTheme="majorBidi" w:hAnsiTheme="majorBidi" w:cstheme="majorBidi"/>
          <w:sz w:val="24"/>
          <w:szCs w:val="24"/>
        </w:rPr>
      </w:pPr>
      <w:r>
        <w:rPr>
          <w:rFonts w:asciiTheme="majorBidi" w:hAnsiTheme="majorBidi" w:cstheme="majorBidi"/>
          <w:sz w:val="24"/>
          <w:szCs w:val="24"/>
          <w:rtl/>
        </w:rPr>
        <w:t>وبالتالي لا يصح الاكتفاء بعبارة: “النظام أخطأ”، بل يجب اختبار سؤالٍ حاكم</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هل كان بإمكان محامٍ حريص اكتشاف الخطأ بقدرٍ معقول من المراجعة؟</w:t>
      </w:r>
      <w:r>
        <w:rPr>
          <w:rFonts w:asciiTheme="majorBidi" w:hAnsiTheme="majorBidi" w:cstheme="majorBidi"/>
          <w:sz w:val="24"/>
          <w:szCs w:val="24"/>
        </w:rPr>
        <w:br/>
      </w:r>
      <w:r>
        <w:rPr>
          <w:rFonts w:asciiTheme="majorBidi" w:hAnsiTheme="majorBidi" w:cstheme="majorBidi"/>
          <w:sz w:val="24"/>
          <w:szCs w:val="24"/>
          <w:rtl/>
        </w:rPr>
        <w:t>فإن كانت الإجابة نعم، فالإخلال مهني. وإن كانت لا، فالمسألة تُدار بمنطق تعدد الأطراف وتوزيع المخاطر</w:t>
      </w:r>
      <w:r>
        <w:rPr>
          <w:rFonts w:asciiTheme="majorBidi" w:hAnsiTheme="majorBidi" w:cstheme="majorBidi"/>
          <w:sz w:val="24"/>
          <w:szCs w:val="24"/>
        </w:rPr>
        <w:t>.</w:t>
      </w:r>
    </w:p>
    <w:p w14:paraId="2E091791" w14:textId="77777777" w:rsidR="00CF598B" w:rsidRPr="00AD56AA" w:rsidRDefault="00CF598B" w:rsidP="00CF598B">
      <w:pPr>
        <w:jc w:val="right"/>
        <w:rPr>
          <w:rFonts w:asciiTheme="majorBidi" w:hAnsiTheme="majorBidi" w:cstheme="majorBidi"/>
          <w:sz w:val="24"/>
          <w:szCs w:val="24"/>
        </w:rPr>
      </w:pPr>
    </w:p>
    <w:p w14:paraId="2DD9DBF6" w14:textId="77777777" w:rsidR="00CF598B" w:rsidRPr="00AD56AA"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خامسًا: واجب الإشراف والرقابة التقنية كامتداد للعناية المهنية (حوكمة الاستخدام)</w:t>
      </w:r>
    </w:p>
    <w:p w14:paraId="19D82E62" w14:textId="77777777" w:rsidR="00CF598B" w:rsidRPr="00AD56AA" w:rsidRDefault="00CF598B" w:rsidP="00CF598B">
      <w:pPr>
        <w:jc w:val="right"/>
        <w:rPr>
          <w:rFonts w:asciiTheme="majorBidi" w:hAnsiTheme="majorBidi" w:cstheme="majorBidi"/>
          <w:sz w:val="24"/>
          <w:szCs w:val="24"/>
        </w:rPr>
      </w:pPr>
      <w:r>
        <w:rPr>
          <w:rFonts w:asciiTheme="majorBidi" w:hAnsiTheme="majorBidi" w:cstheme="majorBidi"/>
          <w:sz w:val="24"/>
          <w:szCs w:val="24"/>
          <w:rtl/>
        </w:rPr>
        <w:t>لم تعد العناية المهنية – واقعيًا – مجرد مهارة قانونية، بل أصبحت إدارة منظومة أدوات وبيانات ومزودين وتقنيات. ومن ثم يثور تصور مسؤولية المحامي – أو المكتب – عن جوانب مثل</w:t>
      </w:r>
      <w:r>
        <w:rPr>
          <w:rFonts w:asciiTheme="majorBidi" w:hAnsiTheme="majorBidi" w:cstheme="majorBidi"/>
          <w:sz w:val="24"/>
          <w:szCs w:val="24"/>
        </w:rPr>
        <w:t>:</w:t>
      </w:r>
    </w:p>
    <w:p w14:paraId="15781A0E" w14:textId="77777777" w:rsidR="00CF598B" w:rsidRPr="00AD56AA" w:rsidRDefault="00CF598B">
      <w:pPr>
        <w:numPr>
          <w:ilvl w:val="0"/>
          <w:numId w:val="25"/>
        </w:numPr>
        <w:jc w:val="right"/>
        <w:rPr>
          <w:rFonts w:asciiTheme="majorBidi" w:hAnsiTheme="majorBidi" w:cstheme="majorBidi"/>
          <w:sz w:val="24"/>
          <w:szCs w:val="24"/>
        </w:rPr>
      </w:pPr>
      <w:r>
        <w:rPr>
          <w:rFonts w:asciiTheme="majorBidi" w:hAnsiTheme="majorBidi" w:cstheme="majorBidi"/>
          <w:sz w:val="24"/>
          <w:szCs w:val="24"/>
          <w:rtl/>
        </w:rPr>
        <w:t>عدم التحقق من تحديث النظام ومصادره</w:t>
      </w:r>
      <w:r>
        <w:rPr>
          <w:rFonts w:asciiTheme="majorBidi" w:hAnsiTheme="majorBidi" w:cstheme="majorBidi"/>
          <w:sz w:val="24"/>
          <w:szCs w:val="24"/>
        </w:rPr>
        <w:t>.</w:t>
      </w:r>
    </w:p>
    <w:p w14:paraId="3B8C4442" w14:textId="77777777" w:rsidR="00CF598B" w:rsidRPr="00AD56AA" w:rsidRDefault="00CF598B">
      <w:pPr>
        <w:numPr>
          <w:ilvl w:val="0"/>
          <w:numId w:val="25"/>
        </w:numPr>
        <w:jc w:val="right"/>
        <w:rPr>
          <w:rFonts w:asciiTheme="majorBidi" w:hAnsiTheme="majorBidi" w:cstheme="majorBidi"/>
          <w:sz w:val="24"/>
          <w:szCs w:val="24"/>
        </w:rPr>
      </w:pPr>
      <w:r>
        <w:rPr>
          <w:rFonts w:asciiTheme="majorBidi" w:hAnsiTheme="majorBidi" w:cstheme="majorBidi"/>
          <w:sz w:val="24"/>
          <w:szCs w:val="24"/>
          <w:rtl/>
        </w:rPr>
        <w:t>عدم التأكد من مستوى أمان المنصة (خصوصًا مع البيانات الحساسة)</w:t>
      </w:r>
      <w:r>
        <w:rPr>
          <w:rFonts w:asciiTheme="majorBidi" w:hAnsiTheme="majorBidi" w:cstheme="majorBidi"/>
          <w:sz w:val="24"/>
          <w:szCs w:val="24"/>
        </w:rPr>
        <w:t>.</w:t>
      </w:r>
    </w:p>
    <w:p w14:paraId="0F236229" w14:textId="77777777" w:rsidR="00CF598B" w:rsidRPr="00AD56AA" w:rsidRDefault="00CF598B">
      <w:pPr>
        <w:numPr>
          <w:ilvl w:val="0"/>
          <w:numId w:val="25"/>
        </w:numPr>
        <w:jc w:val="right"/>
        <w:rPr>
          <w:rFonts w:asciiTheme="majorBidi" w:hAnsiTheme="majorBidi" w:cstheme="majorBidi"/>
          <w:sz w:val="24"/>
          <w:szCs w:val="24"/>
        </w:rPr>
      </w:pPr>
      <w:r>
        <w:rPr>
          <w:rFonts w:asciiTheme="majorBidi" w:hAnsiTheme="majorBidi" w:cstheme="majorBidi"/>
          <w:sz w:val="24"/>
          <w:szCs w:val="24"/>
          <w:rtl/>
        </w:rPr>
        <w:t>استخدام حلول غير معتمدة أو غير واضحة الشروط</w:t>
      </w:r>
      <w:r>
        <w:rPr>
          <w:rFonts w:asciiTheme="majorBidi" w:hAnsiTheme="majorBidi" w:cstheme="majorBidi"/>
          <w:sz w:val="24"/>
          <w:szCs w:val="24"/>
        </w:rPr>
        <w:t>.</w:t>
      </w:r>
    </w:p>
    <w:p w14:paraId="5B796BA0" w14:textId="77777777" w:rsidR="00CF598B" w:rsidRPr="00AD56AA" w:rsidRDefault="00CF598B">
      <w:pPr>
        <w:numPr>
          <w:ilvl w:val="0"/>
          <w:numId w:val="25"/>
        </w:numPr>
        <w:jc w:val="right"/>
        <w:rPr>
          <w:rFonts w:asciiTheme="majorBidi" w:hAnsiTheme="majorBidi" w:cstheme="majorBidi"/>
          <w:sz w:val="24"/>
          <w:szCs w:val="24"/>
        </w:rPr>
      </w:pPr>
      <w:r>
        <w:rPr>
          <w:rFonts w:asciiTheme="majorBidi" w:hAnsiTheme="majorBidi" w:cstheme="majorBidi"/>
          <w:sz w:val="24"/>
          <w:szCs w:val="24"/>
          <w:rtl/>
        </w:rPr>
        <w:t>غياب سياسة داخلية تضبط استخدام الذكاء الاصطناعي</w:t>
      </w:r>
      <w:r>
        <w:rPr>
          <w:rFonts w:asciiTheme="majorBidi" w:hAnsiTheme="majorBidi" w:cstheme="majorBidi"/>
          <w:sz w:val="24"/>
          <w:szCs w:val="24"/>
        </w:rPr>
        <w:t>.</w:t>
      </w:r>
    </w:p>
    <w:p w14:paraId="5C22C3D2" w14:textId="77777777" w:rsidR="00CF598B" w:rsidRPr="00AD56AA"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وتؤكد </w:t>
      </w:r>
      <w:r>
        <w:rPr>
          <w:rFonts w:asciiTheme="majorBidi" w:hAnsiTheme="majorBidi" w:cstheme="majorBidi"/>
          <w:b/>
          <w:bCs/>
          <w:sz w:val="24"/>
          <w:szCs w:val="24"/>
          <w:rtl/>
        </w:rPr>
        <w:t>وثيقة مبادئ أخلاقيات الذكاء الاصطناعي</w:t>
      </w:r>
      <w:r>
        <w:rPr>
          <w:rFonts w:asciiTheme="majorBidi" w:hAnsiTheme="majorBidi" w:cstheme="majorBidi"/>
          <w:sz w:val="24"/>
          <w:szCs w:val="24"/>
          <w:rtl/>
        </w:rPr>
        <w:t xml:space="preserve"> مبدأ “المساءلة” و”الشفافية” بما يفترض أن الجهة المستخدمة يجب أن تفهم حدود النظام وأن تتحمل أثر قرارات الاستخدام (سدايا، 2023)</w:t>
      </w:r>
      <w:r>
        <w:rPr>
          <w:rStyle w:val="af"/>
          <w:rFonts w:asciiTheme="majorBidi" w:hAnsiTheme="majorBidi" w:cstheme="majorBidi"/>
          <w:sz w:val="24"/>
          <w:szCs w:val="24"/>
          <w:rtl/>
        </w:rPr>
        <w:footnoteReference w:id="276"/>
      </w:r>
      <w:r>
        <w:rPr>
          <w:rFonts w:asciiTheme="majorBidi" w:hAnsiTheme="majorBidi" w:cstheme="majorBidi"/>
          <w:sz w:val="24"/>
          <w:szCs w:val="24"/>
          <w:rtl/>
        </w:rPr>
        <w:t xml:space="preserve">. كما يشدد </w:t>
      </w:r>
      <w:r>
        <w:rPr>
          <w:rFonts w:asciiTheme="majorBidi" w:hAnsiTheme="majorBidi" w:cstheme="majorBidi"/>
          <w:b/>
          <w:bCs/>
          <w:sz w:val="24"/>
          <w:szCs w:val="24"/>
          <w:rtl/>
        </w:rPr>
        <w:t>إطار تبني الذكاء الاصطناعي</w:t>
      </w:r>
      <w:r>
        <w:rPr>
          <w:rFonts w:asciiTheme="majorBidi" w:hAnsiTheme="majorBidi" w:cstheme="majorBidi"/>
          <w:sz w:val="24"/>
          <w:szCs w:val="24"/>
          <w:rtl/>
        </w:rPr>
        <w:t xml:space="preserve"> على حوكمة إدخال التقنية داخل المؤسسات وإدارة المخاطر وتحديد المسؤوليات (سدايا، 2023)</w:t>
      </w:r>
      <w:r>
        <w:rPr>
          <w:rStyle w:val="af"/>
          <w:rFonts w:asciiTheme="majorBidi" w:hAnsiTheme="majorBidi" w:cstheme="majorBidi"/>
          <w:sz w:val="24"/>
          <w:szCs w:val="24"/>
          <w:rtl/>
        </w:rPr>
        <w:footnoteReference w:id="277"/>
      </w:r>
      <w:r>
        <w:rPr>
          <w:rFonts w:asciiTheme="majorBidi" w:hAnsiTheme="majorBidi" w:cstheme="majorBidi"/>
          <w:sz w:val="24"/>
          <w:szCs w:val="24"/>
          <w:rtl/>
        </w:rPr>
        <w:t>. وإذا أسقطنا ذلك على مكاتب المحاماة، فإن واجب الإشراف يأخذ صورة عملية مثل</w:t>
      </w:r>
      <w:r>
        <w:rPr>
          <w:rFonts w:asciiTheme="majorBidi" w:hAnsiTheme="majorBidi" w:cstheme="majorBidi"/>
          <w:sz w:val="24"/>
          <w:szCs w:val="24"/>
        </w:rPr>
        <w:t>:</w:t>
      </w:r>
    </w:p>
    <w:p w14:paraId="3CBF424E" w14:textId="77777777" w:rsidR="00CF598B" w:rsidRPr="00AD56AA" w:rsidRDefault="00CF598B">
      <w:pPr>
        <w:numPr>
          <w:ilvl w:val="0"/>
          <w:numId w:val="26"/>
        </w:numPr>
        <w:jc w:val="right"/>
        <w:rPr>
          <w:rFonts w:asciiTheme="majorBidi" w:hAnsiTheme="majorBidi" w:cstheme="majorBidi"/>
          <w:sz w:val="24"/>
          <w:szCs w:val="24"/>
        </w:rPr>
      </w:pPr>
      <w:r>
        <w:rPr>
          <w:rFonts w:asciiTheme="majorBidi" w:hAnsiTheme="majorBidi" w:cstheme="majorBidi"/>
          <w:sz w:val="24"/>
          <w:szCs w:val="24"/>
          <w:rtl/>
        </w:rPr>
        <w:t>سياسات داخلية لاستخدام الذكاء الاصطناعي (متى يستخدم؟ ومتى يُمنع؟)</w:t>
      </w:r>
      <w:r>
        <w:rPr>
          <w:rFonts w:asciiTheme="majorBidi" w:hAnsiTheme="majorBidi" w:cstheme="majorBidi"/>
          <w:sz w:val="24"/>
          <w:szCs w:val="24"/>
        </w:rPr>
        <w:t>.</w:t>
      </w:r>
    </w:p>
    <w:p w14:paraId="105F7D36" w14:textId="77777777" w:rsidR="00CF598B" w:rsidRPr="00AD56AA" w:rsidRDefault="00CF598B">
      <w:pPr>
        <w:numPr>
          <w:ilvl w:val="0"/>
          <w:numId w:val="26"/>
        </w:numPr>
        <w:jc w:val="right"/>
        <w:rPr>
          <w:rFonts w:asciiTheme="majorBidi" w:hAnsiTheme="majorBidi" w:cstheme="majorBidi"/>
          <w:sz w:val="24"/>
          <w:szCs w:val="24"/>
        </w:rPr>
      </w:pPr>
      <w:r>
        <w:rPr>
          <w:rFonts w:asciiTheme="majorBidi" w:hAnsiTheme="majorBidi" w:cstheme="majorBidi"/>
          <w:sz w:val="24"/>
          <w:szCs w:val="24"/>
          <w:rtl/>
        </w:rPr>
        <w:t>تدريب الموظفين على قيود الأدوات ومخاطرها</w:t>
      </w:r>
      <w:r>
        <w:rPr>
          <w:rFonts w:asciiTheme="majorBidi" w:hAnsiTheme="majorBidi" w:cstheme="majorBidi"/>
          <w:sz w:val="24"/>
          <w:szCs w:val="24"/>
        </w:rPr>
        <w:t>.</w:t>
      </w:r>
    </w:p>
    <w:p w14:paraId="3A53300C" w14:textId="77777777" w:rsidR="00CF598B" w:rsidRPr="00AD56AA" w:rsidRDefault="00CF598B">
      <w:pPr>
        <w:numPr>
          <w:ilvl w:val="0"/>
          <w:numId w:val="26"/>
        </w:numPr>
        <w:jc w:val="right"/>
        <w:rPr>
          <w:rFonts w:asciiTheme="majorBidi" w:hAnsiTheme="majorBidi" w:cstheme="majorBidi"/>
          <w:sz w:val="24"/>
          <w:szCs w:val="24"/>
        </w:rPr>
      </w:pPr>
      <w:r>
        <w:rPr>
          <w:rFonts w:asciiTheme="majorBidi" w:hAnsiTheme="majorBidi" w:cstheme="majorBidi"/>
          <w:sz w:val="24"/>
          <w:szCs w:val="24"/>
          <w:rtl/>
        </w:rPr>
        <w:t>تحديد نطاق البيانات المسموح إدخالها (خصوصية/سرية/حساسية)</w:t>
      </w:r>
      <w:r>
        <w:rPr>
          <w:rFonts w:asciiTheme="majorBidi" w:hAnsiTheme="majorBidi" w:cstheme="majorBidi"/>
          <w:sz w:val="24"/>
          <w:szCs w:val="24"/>
        </w:rPr>
        <w:t>.</w:t>
      </w:r>
    </w:p>
    <w:p w14:paraId="24671560" w14:textId="77777777" w:rsidR="00CF598B" w:rsidRPr="00AD56AA" w:rsidRDefault="00CF598B">
      <w:pPr>
        <w:numPr>
          <w:ilvl w:val="0"/>
          <w:numId w:val="26"/>
        </w:numPr>
        <w:jc w:val="right"/>
        <w:rPr>
          <w:rFonts w:asciiTheme="majorBidi" w:hAnsiTheme="majorBidi" w:cstheme="majorBidi"/>
          <w:sz w:val="24"/>
          <w:szCs w:val="24"/>
        </w:rPr>
      </w:pPr>
      <w:r>
        <w:rPr>
          <w:rFonts w:asciiTheme="majorBidi" w:hAnsiTheme="majorBidi" w:cstheme="majorBidi"/>
          <w:sz w:val="24"/>
          <w:szCs w:val="24"/>
          <w:rtl/>
        </w:rPr>
        <w:t>مراجعة عقود مزودي التقنية (المسؤولية، الضمانات، مكان التخزين)</w:t>
      </w:r>
      <w:r>
        <w:rPr>
          <w:rFonts w:asciiTheme="majorBidi" w:hAnsiTheme="majorBidi" w:cstheme="majorBidi"/>
          <w:sz w:val="24"/>
          <w:szCs w:val="24"/>
        </w:rPr>
        <w:t>.</w:t>
      </w:r>
    </w:p>
    <w:p w14:paraId="21ABD5A0" w14:textId="77777777" w:rsidR="00CF598B" w:rsidRPr="00AD56AA" w:rsidRDefault="00AC662A" w:rsidP="00CF598B">
      <w:pPr>
        <w:jc w:val="right"/>
        <w:rPr>
          <w:rFonts w:asciiTheme="majorBidi" w:hAnsiTheme="majorBidi" w:cstheme="majorBidi"/>
          <w:sz w:val="24"/>
          <w:szCs w:val="24"/>
        </w:rPr>
      </w:pPr>
      <w:r>
        <w:rPr>
          <w:rFonts w:asciiTheme="majorBidi" w:hAnsiTheme="majorBidi" w:cstheme="majorBidi" w:hint="cs"/>
          <w:sz w:val="24"/>
          <w:szCs w:val="24"/>
          <w:rtl/>
        </w:rPr>
        <w:t>ومن خلال ما سبق</w:t>
      </w:r>
      <w:r>
        <w:rPr>
          <w:rFonts w:asciiTheme="majorBidi" w:hAnsiTheme="majorBidi" w:cstheme="majorBidi"/>
          <w:sz w:val="24"/>
          <w:szCs w:val="24"/>
          <w:rtl/>
        </w:rPr>
        <w:t xml:space="preserve">، فإن هذا الجانب لم يعد “إداريًا” محضًا؛ لأن الإخلال به قد يُنتج ضررًا مباشرًا بالموكل ويشكل </w:t>
      </w:r>
      <w:r>
        <w:rPr>
          <w:rFonts w:asciiTheme="majorBidi" w:hAnsiTheme="majorBidi" w:cstheme="majorBidi"/>
          <w:b/>
          <w:bCs/>
          <w:sz w:val="24"/>
          <w:szCs w:val="24"/>
          <w:rtl/>
        </w:rPr>
        <w:t>خطأ مهنيًا جسيمًا</w:t>
      </w:r>
      <w:r>
        <w:rPr>
          <w:rFonts w:asciiTheme="majorBidi" w:hAnsiTheme="majorBidi" w:cstheme="majorBidi"/>
          <w:sz w:val="24"/>
          <w:szCs w:val="24"/>
          <w:rtl/>
        </w:rPr>
        <w:t>، خصوصًا إذا ترتب عليه تسريب، أو إساءة استخدام بيانات، أو اعتماد مخرجات غير موثوقة في إجراء قضائي</w:t>
      </w:r>
      <w:r>
        <w:rPr>
          <w:rFonts w:asciiTheme="majorBidi" w:hAnsiTheme="majorBidi" w:cstheme="majorBidi"/>
          <w:sz w:val="24"/>
          <w:szCs w:val="24"/>
        </w:rPr>
        <w:t>.</w:t>
      </w:r>
    </w:p>
    <w:p w14:paraId="582F151E" w14:textId="77777777" w:rsidR="00CF598B" w:rsidRPr="00AD56AA" w:rsidRDefault="00CF598B" w:rsidP="00CF598B">
      <w:pPr>
        <w:jc w:val="right"/>
        <w:rPr>
          <w:rFonts w:asciiTheme="majorBidi" w:hAnsiTheme="majorBidi" w:cstheme="majorBidi"/>
          <w:sz w:val="24"/>
          <w:szCs w:val="24"/>
        </w:rPr>
      </w:pPr>
    </w:p>
    <w:p w14:paraId="214A105E" w14:textId="77777777" w:rsidR="00CF598B" w:rsidRPr="00AD56AA"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سادسًا: السرية المهنية وحماية البيانات في ظل الذكاء الاصطناعي</w:t>
      </w:r>
    </w:p>
    <w:p w14:paraId="3162B247" w14:textId="77777777" w:rsidR="00CF598B" w:rsidRPr="00AD56AA" w:rsidRDefault="00CF598B" w:rsidP="00CF598B">
      <w:pPr>
        <w:jc w:val="right"/>
        <w:rPr>
          <w:rFonts w:asciiTheme="majorBidi" w:hAnsiTheme="majorBidi" w:cstheme="majorBidi"/>
          <w:sz w:val="24"/>
          <w:szCs w:val="24"/>
        </w:rPr>
      </w:pPr>
      <w:r>
        <w:rPr>
          <w:rFonts w:asciiTheme="majorBidi" w:hAnsiTheme="majorBidi" w:cstheme="majorBidi"/>
          <w:sz w:val="24"/>
          <w:szCs w:val="24"/>
          <w:rtl/>
        </w:rPr>
        <w:t>السرية المهنية ليست مجرد التزام أخلاقي، بل عمود نظامي لمهنة المحاماة، ويزداد ثقلها في البيئة الرقمية لأن البيانات تصبح قابلة للنسخ والتخزين والمعالجة عن بعد. ويظهر الخطر عند استخدام أدوات قد</w:t>
      </w:r>
      <w:r>
        <w:rPr>
          <w:rFonts w:asciiTheme="majorBidi" w:hAnsiTheme="majorBidi" w:cstheme="majorBidi"/>
          <w:sz w:val="24"/>
          <w:szCs w:val="24"/>
        </w:rPr>
        <w:t>:</w:t>
      </w:r>
    </w:p>
    <w:p w14:paraId="325E1640" w14:textId="77777777" w:rsidR="00CF598B" w:rsidRPr="00AD56AA" w:rsidRDefault="00CF598B">
      <w:pPr>
        <w:numPr>
          <w:ilvl w:val="0"/>
          <w:numId w:val="27"/>
        </w:numPr>
        <w:jc w:val="right"/>
        <w:rPr>
          <w:rFonts w:asciiTheme="majorBidi" w:hAnsiTheme="majorBidi" w:cstheme="majorBidi"/>
          <w:sz w:val="24"/>
          <w:szCs w:val="24"/>
        </w:rPr>
      </w:pPr>
      <w:r>
        <w:rPr>
          <w:rFonts w:asciiTheme="majorBidi" w:hAnsiTheme="majorBidi" w:cstheme="majorBidi"/>
          <w:sz w:val="24"/>
          <w:szCs w:val="24"/>
          <w:rtl/>
        </w:rPr>
        <w:t>تخزن البيانات على خوادم خارج المملكة</w:t>
      </w:r>
      <w:r>
        <w:rPr>
          <w:rFonts w:asciiTheme="majorBidi" w:hAnsiTheme="majorBidi" w:cstheme="majorBidi"/>
          <w:sz w:val="24"/>
          <w:szCs w:val="24"/>
        </w:rPr>
        <w:t>.</w:t>
      </w:r>
    </w:p>
    <w:p w14:paraId="5E886187" w14:textId="77777777" w:rsidR="00CF598B" w:rsidRPr="00AD56AA" w:rsidRDefault="00CF598B">
      <w:pPr>
        <w:numPr>
          <w:ilvl w:val="0"/>
          <w:numId w:val="27"/>
        </w:numPr>
        <w:jc w:val="right"/>
        <w:rPr>
          <w:rFonts w:asciiTheme="majorBidi" w:hAnsiTheme="majorBidi" w:cstheme="majorBidi"/>
          <w:sz w:val="24"/>
          <w:szCs w:val="24"/>
        </w:rPr>
      </w:pPr>
      <w:r>
        <w:rPr>
          <w:rFonts w:asciiTheme="majorBidi" w:hAnsiTheme="majorBidi" w:cstheme="majorBidi"/>
          <w:sz w:val="24"/>
          <w:szCs w:val="24"/>
          <w:rtl/>
        </w:rPr>
        <w:lastRenderedPageBreak/>
        <w:t>تعالج معلومات حساسة دون تشفير أو ضوابط</w:t>
      </w:r>
      <w:r>
        <w:rPr>
          <w:rFonts w:asciiTheme="majorBidi" w:hAnsiTheme="majorBidi" w:cstheme="majorBidi"/>
          <w:sz w:val="24"/>
          <w:szCs w:val="24"/>
        </w:rPr>
        <w:t>.</w:t>
      </w:r>
    </w:p>
    <w:p w14:paraId="31124E70" w14:textId="77777777" w:rsidR="00CF598B" w:rsidRPr="00AD56AA" w:rsidRDefault="00CF598B">
      <w:pPr>
        <w:numPr>
          <w:ilvl w:val="0"/>
          <w:numId w:val="27"/>
        </w:numPr>
        <w:jc w:val="right"/>
        <w:rPr>
          <w:rFonts w:asciiTheme="majorBidi" w:hAnsiTheme="majorBidi" w:cstheme="majorBidi"/>
          <w:sz w:val="24"/>
          <w:szCs w:val="24"/>
        </w:rPr>
      </w:pPr>
      <w:r>
        <w:rPr>
          <w:rFonts w:asciiTheme="majorBidi" w:hAnsiTheme="majorBidi" w:cstheme="majorBidi"/>
          <w:sz w:val="24"/>
          <w:szCs w:val="24"/>
          <w:rtl/>
        </w:rPr>
        <w:t>تُستغل فيها البيانات لتحسين نماذج أو خدمات دون إذن واضح</w:t>
      </w:r>
      <w:r>
        <w:rPr>
          <w:rFonts w:asciiTheme="majorBidi" w:hAnsiTheme="majorBidi" w:cstheme="majorBidi"/>
          <w:sz w:val="24"/>
          <w:szCs w:val="24"/>
        </w:rPr>
        <w:t>.</w:t>
      </w:r>
    </w:p>
    <w:p w14:paraId="2657E2B9" w14:textId="77777777" w:rsidR="00CF598B" w:rsidRPr="00AD56AA" w:rsidRDefault="00CF598B">
      <w:pPr>
        <w:numPr>
          <w:ilvl w:val="0"/>
          <w:numId w:val="27"/>
        </w:numPr>
        <w:jc w:val="right"/>
        <w:rPr>
          <w:rFonts w:asciiTheme="majorBidi" w:hAnsiTheme="majorBidi" w:cstheme="majorBidi"/>
          <w:sz w:val="24"/>
          <w:szCs w:val="24"/>
        </w:rPr>
      </w:pPr>
      <w:r>
        <w:rPr>
          <w:rFonts w:asciiTheme="majorBidi" w:hAnsiTheme="majorBidi" w:cstheme="majorBidi"/>
          <w:sz w:val="24"/>
          <w:szCs w:val="24"/>
          <w:rtl/>
        </w:rPr>
        <w:t>تتعرض لاختراقات أو تسربات</w:t>
      </w:r>
      <w:r>
        <w:rPr>
          <w:rFonts w:asciiTheme="majorBidi" w:hAnsiTheme="majorBidi" w:cstheme="majorBidi"/>
          <w:sz w:val="24"/>
          <w:szCs w:val="24"/>
        </w:rPr>
        <w:t>.</w:t>
      </w:r>
    </w:p>
    <w:p w14:paraId="14A1AA5A" w14:textId="77777777" w:rsidR="00CF598B" w:rsidRPr="00AD56AA"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وهنا يتداخل </w:t>
      </w:r>
      <w:r>
        <w:rPr>
          <w:rFonts w:asciiTheme="majorBidi" w:hAnsiTheme="majorBidi" w:cstheme="majorBidi"/>
          <w:b/>
          <w:bCs/>
          <w:sz w:val="24"/>
          <w:szCs w:val="24"/>
          <w:rtl/>
        </w:rPr>
        <w:t>نظام حماية البيانات الشخصية</w:t>
      </w:r>
      <w:r>
        <w:rPr>
          <w:rFonts w:asciiTheme="majorBidi" w:hAnsiTheme="majorBidi" w:cstheme="majorBidi"/>
          <w:sz w:val="24"/>
          <w:szCs w:val="24"/>
          <w:rtl/>
        </w:rPr>
        <w:t xml:space="preserve"> الذي يلزم الجهة المعالجة باتخاذ التدابير الفنية والتنظيمية المناسبة لحماية البيانات (هيئة الخبراء بمجلس الوزراء، 1443هـ). كما يلفت </w:t>
      </w:r>
      <w:r>
        <w:rPr>
          <w:rFonts w:asciiTheme="majorBidi" w:hAnsiTheme="majorBidi" w:cstheme="majorBidi"/>
          <w:b/>
          <w:bCs/>
          <w:sz w:val="24"/>
          <w:szCs w:val="24"/>
          <w:rtl/>
        </w:rPr>
        <w:t>الأسيوطي</w:t>
      </w:r>
      <w:r>
        <w:rPr>
          <w:rStyle w:val="af"/>
          <w:rFonts w:asciiTheme="majorBidi" w:hAnsiTheme="majorBidi" w:cstheme="majorBidi"/>
          <w:b/>
          <w:bCs/>
          <w:sz w:val="24"/>
          <w:szCs w:val="24"/>
          <w:rtl/>
        </w:rPr>
        <w:footnoteReference w:id="278"/>
      </w:r>
      <w:r>
        <w:rPr>
          <w:rFonts w:asciiTheme="majorBidi" w:hAnsiTheme="majorBidi" w:cstheme="majorBidi"/>
          <w:b/>
          <w:bCs/>
          <w:sz w:val="24"/>
          <w:szCs w:val="24"/>
        </w:rPr>
        <w:t xml:space="preserve"> (2020)</w:t>
      </w:r>
      <w:r>
        <w:rPr>
          <w:rFonts w:asciiTheme="majorBidi" w:hAnsiTheme="majorBidi" w:cstheme="majorBidi"/>
          <w:sz w:val="24"/>
          <w:szCs w:val="24"/>
        </w:rPr>
        <w:t xml:space="preserve"> </w:t>
      </w:r>
      <w:r>
        <w:rPr>
          <w:rFonts w:asciiTheme="majorBidi" w:hAnsiTheme="majorBidi" w:cstheme="majorBidi"/>
          <w:sz w:val="24"/>
          <w:szCs w:val="24"/>
          <w:rtl/>
        </w:rPr>
        <w:t>إلى أن القيمة القانونية للمستند الرقمي وموثوقيته تتأثر بصلابة بيئته التقنية، وأن حماية البيانات ليست ترفًا تقنيًا بل جزء من ضمان الحجية والثقة</w:t>
      </w:r>
      <w:r>
        <w:rPr>
          <w:rFonts w:asciiTheme="majorBidi" w:hAnsiTheme="majorBidi" w:cstheme="majorBidi"/>
          <w:sz w:val="24"/>
          <w:szCs w:val="24"/>
        </w:rPr>
        <w:t>.</w:t>
      </w:r>
    </w:p>
    <w:p w14:paraId="1910FBB1" w14:textId="77777777" w:rsidR="00CF598B" w:rsidRPr="00AD56AA"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وبناءً عليه، فإن المحامي الذي يُدخل بيانات موكله في منصة ذكاء اصطناعي دون تحقق من الأمان والحوكمة، قد يكون قد أخل بواجب السرية </w:t>
      </w:r>
      <w:r>
        <w:rPr>
          <w:rFonts w:asciiTheme="majorBidi" w:hAnsiTheme="majorBidi" w:cstheme="majorBidi"/>
          <w:b/>
          <w:bCs/>
          <w:sz w:val="24"/>
          <w:szCs w:val="24"/>
          <w:rtl/>
        </w:rPr>
        <w:t>حتى قبل وقوع التسريب</w:t>
      </w:r>
      <w:r>
        <w:rPr>
          <w:rFonts w:asciiTheme="majorBidi" w:hAnsiTheme="majorBidi" w:cstheme="majorBidi"/>
          <w:sz w:val="24"/>
          <w:szCs w:val="24"/>
          <w:rtl/>
        </w:rPr>
        <w:t>؛ لأن مجرد تعريض البيانات لخطر غير مبرر قد يعد إخلالًا بالعناية</w:t>
      </w:r>
      <w:r>
        <w:rPr>
          <w:rFonts w:asciiTheme="majorBidi" w:hAnsiTheme="majorBidi" w:cstheme="majorBidi"/>
          <w:sz w:val="24"/>
          <w:szCs w:val="24"/>
        </w:rPr>
        <w:t>.</w:t>
      </w:r>
    </w:p>
    <w:p w14:paraId="3B94633C" w14:textId="77777777" w:rsidR="00CF598B" w:rsidRPr="00AD56AA"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ومن </w:t>
      </w:r>
      <w:r>
        <w:rPr>
          <w:rFonts w:asciiTheme="majorBidi" w:hAnsiTheme="majorBidi" w:cstheme="majorBidi" w:hint="cs"/>
          <w:sz w:val="24"/>
          <w:szCs w:val="24"/>
          <w:rtl/>
        </w:rPr>
        <w:t>تحليل ما سبق</w:t>
      </w:r>
      <w:r>
        <w:rPr>
          <w:rFonts w:asciiTheme="majorBidi" w:hAnsiTheme="majorBidi" w:cstheme="majorBidi"/>
          <w:sz w:val="24"/>
          <w:szCs w:val="24"/>
          <w:rtl/>
        </w:rPr>
        <w:t xml:space="preserve">، أرى أن معيار المسؤولية هنا يجب أن يكون </w:t>
      </w:r>
      <w:r>
        <w:rPr>
          <w:rFonts w:asciiTheme="majorBidi" w:hAnsiTheme="majorBidi" w:cstheme="majorBidi"/>
          <w:b/>
          <w:bCs/>
          <w:sz w:val="24"/>
          <w:szCs w:val="24"/>
          <w:rtl/>
        </w:rPr>
        <w:t>وقائيًا</w:t>
      </w:r>
      <w:r>
        <w:rPr>
          <w:rFonts w:asciiTheme="majorBidi" w:hAnsiTheme="majorBidi" w:cstheme="majorBidi"/>
          <w:sz w:val="24"/>
          <w:szCs w:val="24"/>
          <w:rtl/>
        </w:rPr>
        <w:t xml:space="preserve"> لا “انتظاريًا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 xml:space="preserve">أي أن المحامي يُسأل عن </w:t>
      </w:r>
      <w:r>
        <w:rPr>
          <w:rFonts w:asciiTheme="majorBidi" w:hAnsiTheme="majorBidi" w:cstheme="majorBidi"/>
          <w:b/>
          <w:bCs/>
          <w:sz w:val="24"/>
          <w:szCs w:val="24"/>
          <w:rtl/>
        </w:rPr>
        <w:t>المخاطرة غير المبررة</w:t>
      </w:r>
      <w:r>
        <w:rPr>
          <w:rFonts w:asciiTheme="majorBidi" w:hAnsiTheme="majorBidi" w:cstheme="majorBidi"/>
          <w:sz w:val="24"/>
          <w:szCs w:val="24"/>
          <w:rtl/>
        </w:rPr>
        <w:t xml:space="preserve"> بالبيانات، لا فقط عن وقوع الضرر بالفعل؛ لأن وظيفة السرية في المهن القانونية هي منع الخطر قبل أن يتحول إلى كارثة قانونية أو أخلاقية</w:t>
      </w:r>
      <w:r>
        <w:rPr>
          <w:rFonts w:asciiTheme="majorBidi" w:hAnsiTheme="majorBidi" w:cstheme="majorBidi"/>
          <w:sz w:val="24"/>
          <w:szCs w:val="24"/>
        </w:rPr>
        <w:t>.</w:t>
      </w:r>
    </w:p>
    <w:p w14:paraId="46AFB589" w14:textId="77777777" w:rsidR="00CF598B" w:rsidRPr="00AD56AA" w:rsidRDefault="00CF598B" w:rsidP="00CF598B">
      <w:pPr>
        <w:jc w:val="right"/>
        <w:rPr>
          <w:rFonts w:asciiTheme="majorBidi" w:hAnsiTheme="majorBidi" w:cstheme="majorBidi"/>
          <w:sz w:val="24"/>
          <w:szCs w:val="24"/>
        </w:rPr>
      </w:pPr>
    </w:p>
    <w:p w14:paraId="5DD42036" w14:textId="77777777" w:rsidR="00CF598B" w:rsidRPr="00AD56AA"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سابعًا: إعادة تشكيل مفهوم الخطأ المدني والمهني في ضوء تعقيد الذكاء الاصطناعي</w:t>
      </w:r>
    </w:p>
    <w:p w14:paraId="2DE4907C" w14:textId="77777777" w:rsidR="00CF598B" w:rsidRPr="00AD56AA" w:rsidRDefault="00CF598B" w:rsidP="00CF598B">
      <w:pPr>
        <w:jc w:val="right"/>
        <w:rPr>
          <w:rFonts w:asciiTheme="majorBidi" w:hAnsiTheme="majorBidi" w:cstheme="majorBidi"/>
          <w:sz w:val="24"/>
          <w:szCs w:val="24"/>
        </w:rPr>
      </w:pPr>
      <w:r>
        <w:rPr>
          <w:rFonts w:asciiTheme="majorBidi" w:hAnsiTheme="majorBidi" w:cstheme="majorBidi"/>
          <w:sz w:val="24"/>
          <w:szCs w:val="24"/>
          <w:rtl/>
        </w:rPr>
        <w:t>تثير تطبيقات الذكاء الاصطناعي سؤالًا أعمق: هل ما زال مفهوم “الخطأ التقليدي” كافيًا وحده؟</w:t>
      </w:r>
      <w:r>
        <w:rPr>
          <w:rFonts w:asciiTheme="majorBidi" w:hAnsiTheme="majorBidi" w:cstheme="majorBidi"/>
          <w:sz w:val="24"/>
          <w:szCs w:val="24"/>
        </w:rPr>
        <w:br/>
      </w:r>
      <w:r>
        <w:rPr>
          <w:rFonts w:asciiTheme="majorBidi" w:hAnsiTheme="majorBidi" w:cstheme="majorBidi"/>
          <w:sz w:val="24"/>
          <w:szCs w:val="24"/>
          <w:rtl/>
        </w:rPr>
        <w:t xml:space="preserve">تذهب </w:t>
      </w:r>
      <w:r>
        <w:rPr>
          <w:rFonts w:asciiTheme="majorBidi" w:hAnsiTheme="majorBidi" w:cstheme="majorBidi"/>
          <w:b/>
          <w:bCs/>
          <w:sz w:val="24"/>
          <w:szCs w:val="24"/>
          <w:rtl/>
        </w:rPr>
        <w:t>الربيع</w:t>
      </w:r>
      <w:r>
        <w:rPr>
          <w:rFonts w:asciiTheme="majorBidi" w:hAnsiTheme="majorBidi" w:cstheme="majorBidi"/>
          <w:b/>
          <w:bCs/>
          <w:sz w:val="24"/>
          <w:szCs w:val="24"/>
        </w:rPr>
        <w:t xml:space="preserve"> (2022)</w:t>
      </w:r>
      <w:r>
        <w:rPr>
          <w:rFonts w:asciiTheme="majorBidi" w:hAnsiTheme="majorBidi" w:cstheme="majorBidi"/>
          <w:sz w:val="24"/>
          <w:szCs w:val="24"/>
        </w:rPr>
        <w:t xml:space="preserve"> </w:t>
      </w:r>
      <w:r>
        <w:rPr>
          <w:rFonts w:asciiTheme="majorBidi" w:hAnsiTheme="majorBidi" w:cstheme="majorBidi"/>
          <w:sz w:val="24"/>
          <w:szCs w:val="24"/>
          <w:rtl/>
        </w:rPr>
        <w:t xml:space="preserve">إلى توسيع زاوية النظر في المسؤولية المدنية عند صعوبة تحديد مصدر الخلل بدقة، لأن التقنية تُنتج أحيانًا ضررًا دون إمكانية سهلة لإسناده لفاعل واحد. ويشير </w:t>
      </w:r>
      <w:r>
        <w:rPr>
          <w:rFonts w:asciiTheme="majorBidi" w:hAnsiTheme="majorBidi" w:cstheme="majorBidi"/>
          <w:b/>
          <w:bCs/>
          <w:sz w:val="24"/>
          <w:szCs w:val="24"/>
          <w:rtl/>
        </w:rPr>
        <w:t>رجب</w:t>
      </w:r>
      <w:r>
        <w:rPr>
          <w:rStyle w:val="af"/>
          <w:rFonts w:asciiTheme="majorBidi" w:hAnsiTheme="majorBidi" w:cstheme="majorBidi"/>
          <w:b/>
          <w:bCs/>
          <w:sz w:val="24"/>
          <w:szCs w:val="24"/>
          <w:rtl/>
        </w:rPr>
        <w:footnoteReference w:id="279"/>
      </w:r>
      <w:r>
        <w:rPr>
          <w:rFonts w:asciiTheme="majorBidi" w:hAnsiTheme="majorBidi" w:cstheme="majorBidi"/>
          <w:b/>
          <w:bCs/>
          <w:sz w:val="24"/>
          <w:szCs w:val="24"/>
        </w:rPr>
        <w:t xml:space="preserve"> (2023)</w:t>
      </w:r>
      <w:r>
        <w:rPr>
          <w:rFonts w:asciiTheme="majorBidi" w:hAnsiTheme="majorBidi" w:cstheme="majorBidi"/>
          <w:sz w:val="24"/>
          <w:szCs w:val="24"/>
        </w:rPr>
        <w:t xml:space="preserve"> </w:t>
      </w:r>
      <w:r>
        <w:rPr>
          <w:rFonts w:asciiTheme="majorBidi" w:hAnsiTheme="majorBidi" w:cstheme="majorBidi"/>
          <w:sz w:val="24"/>
          <w:szCs w:val="24"/>
          <w:rtl/>
        </w:rPr>
        <w:t>إلى أن تأطير أخلاقيات الذكاء الاصطناعي يتطلب آليات مساءلة تتناسب مع تعقيد التقنية وتداخل الأطراف</w:t>
      </w:r>
      <w:r>
        <w:rPr>
          <w:rFonts w:asciiTheme="majorBidi" w:hAnsiTheme="majorBidi" w:cstheme="majorBidi"/>
          <w:sz w:val="24"/>
          <w:szCs w:val="24"/>
        </w:rPr>
        <w:t>.</w:t>
      </w:r>
    </w:p>
    <w:p w14:paraId="3487A8DC" w14:textId="77777777" w:rsidR="00CF598B" w:rsidRPr="00AD56AA"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غير أن التوسع غير المنضبط قد يؤدي إلى مسؤولية شبه موضوعية تضعف الحوافز المهنية لتبني التقنية. ومن ثم، فالحل الأقرب للاتزان – في نظري – ليس هدم القواعد التقليدية، بل </w:t>
      </w:r>
      <w:r>
        <w:rPr>
          <w:rFonts w:asciiTheme="majorBidi" w:hAnsiTheme="majorBidi" w:cstheme="majorBidi"/>
          <w:b/>
          <w:bCs/>
          <w:sz w:val="24"/>
          <w:szCs w:val="24"/>
          <w:rtl/>
        </w:rPr>
        <w:t>تطوير تطبيقها</w:t>
      </w:r>
      <w:r>
        <w:rPr>
          <w:rFonts w:asciiTheme="majorBidi" w:hAnsiTheme="majorBidi" w:cstheme="majorBidi"/>
          <w:sz w:val="24"/>
          <w:szCs w:val="24"/>
          <w:rtl/>
        </w:rPr>
        <w:t xml:space="preserve"> عبر</w:t>
      </w:r>
      <w:r>
        <w:rPr>
          <w:rFonts w:asciiTheme="majorBidi" w:hAnsiTheme="majorBidi" w:cstheme="majorBidi"/>
          <w:sz w:val="24"/>
          <w:szCs w:val="24"/>
        </w:rPr>
        <w:t>:</w:t>
      </w:r>
    </w:p>
    <w:p w14:paraId="5365C228" w14:textId="77777777" w:rsidR="00CF598B" w:rsidRPr="00AD56AA" w:rsidRDefault="00CF598B">
      <w:pPr>
        <w:numPr>
          <w:ilvl w:val="0"/>
          <w:numId w:val="28"/>
        </w:numPr>
        <w:jc w:val="right"/>
        <w:rPr>
          <w:rFonts w:asciiTheme="majorBidi" w:hAnsiTheme="majorBidi" w:cstheme="majorBidi"/>
          <w:sz w:val="24"/>
          <w:szCs w:val="24"/>
        </w:rPr>
      </w:pPr>
      <w:r>
        <w:rPr>
          <w:rFonts w:asciiTheme="majorBidi" w:hAnsiTheme="majorBidi" w:cstheme="majorBidi"/>
          <w:sz w:val="24"/>
          <w:szCs w:val="24"/>
          <w:rtl/>
        </w:rPr>
        <w:t>الإبقاء على الخطأ بوصفه إخلالًا بواجب العناية</w:t>
      </w:r>
      <w:r>
        <w:rPr>
          <w:rFonts w:asciiTheme="majorBidi" w:hAnsiTheme="majorBidi" w:cstheme="majorBidi"/>
          <w:sz w:val="24"/>
          <w:szCs w:val="24"/>
        </w:rPr>
        <w:t>.</w:t>
      </w:r>
    </w:p>
    <w:p w14:paraId="01D66841" w14:textId="77777777" w:rsidR="00CF598B" w:rsidRPr="00AD56AA" w:rsidRDefault="00CF598B">
      <w:pPr>
        <w:numPr>
          <w:ilvl w:val="0"/>
          <w:numId w:val="28"/>
        </w:numPr>
        <w:jc w:val="right"/>
        <w:rPr>
          <w:rFonts w:asciiTheme="majorBidi" w:hAnsiTheme="majorBidi" w:cstheme="majorBidi"/>
          <w:sz w:val="24"/>
          <w:szCs w:val="24"/>
        </w:rPr>
      </w:pPr>
      <w:r>
        <w:rPr>
          <w:rFonts w:asciiTheme="majorBidi" w:hAnsiTheme="majorBidi" w:cstheme="majorBidi"/>
          <w:sz w:val="24"/>
          <w:szCs w:val="24"/>
          <w:rtl/>
        </w:rPr>
        <w:t>إعادة تعريف العناية لتشمل البعد التقني والحوكمة</w:t>
      </w:r>
      <w:r>
        <w:rPr>
          <w:rFonts w:asciiTheme="majorBidi" w:hAnsiTheme="majorBidi" w:cstheme="majorBidi"/>
          <w:sz w:val="24"/>
          <w:szCs w:val="24"/>
        </w:rPr>
        <w:t>.</w:t>
      </w:r>
    </w:p>
    <w:p w14:paraId="196A326C" w14:textId="77777777" w:rsidR="00CF598B" w:rsidRPr="00AD56AA" w:rsidRDefault="00CF598B">
      <w:pPr>
        <w:numPr>
          <w:ilvl w:val="0"/>
          <w:numId w:val="28"/>
        </w:numPr>
        <w:jc w:val="right"/>
        <w:rPr>
          <w:rFonts w:asciiTheme="majorBidi" w:hAnsiTheme="majorBidi" w:cstheme="majorBidi"/>
          <w:sz w:val="24"/>
          <w:szCs w:val="24"/>
        </w:rPr>
      </w:pPr>
      <w:r>
        <w:rPr>
          <w:rFonts w:asciiTheme="majorBidi" w:hAnsiTheme="majorBidi" w:cstheme="majorBidi"/>
          <w:sz w:val="24"/>
          <w:szCs w:val="24"/>
          <w:rtl/>
        </w:rPr>
        <w:t>مراعاة “التوقع المعقول للضرر” عند تقدير المسؤولية</w:t>
      </w:r>
      <w:r>
        <w:rPr>
          <w:rFonts w:asciiTheme="majorBidi" w:hAnsiTheme="majorBidi" w:cstheme="majorBidi"/>
          <w:sz w:val="24"/>
          <w:szCs w:val="24"/>
        </w:rPr>
        <w:t>.</w:t>
      </w:r>
    </w:p>
    <w:p w14:paraId="1A1D248B" w14:textId="77777777" w:rsidR="00CF598B" w:rsidRPr="00AD56AA" w:rsidRDefault="00CF598B">
      <w:pPr>
        <w:numPr>
          <w:ilvl w:val="0"/>
          <w:numId w:val="28"/>
        </w:numPr>
        <w:jc w:val="right"/>
        <w:rPr>
          <w:rFonts w:asciiTheme="majorBidi" w:hAnsiTheme="majorBidi" w:cstheme="majorBidi"/>
          <w:sz w:val="24"/>
          <w:szCs w:val="24"/>
        </w:rPr>
      </w:pPr>
      <w:r>
        <w:rPr>
          <w:rFonts w:asciiTheme="majorBidi" w:hAnsiTheme="majorBidi" w:cstheme="majorBidi"/>
          <w:sz w:val="24"/>
          <w:szCs w:val="24"/>
          <w:rtl/>
        </w:rPr>
        <w:t>التمييز بين الاعتماد المساعد والاعتماد الكلي</w:t>
      </w:r>
      <w:r>
        <w:rPr>
          <w:rFonts w:asciiTheme="majorBidi" w:hAnsiTheme="majorBidi" w:cstheme="majorBidi"/>
          <w:sz w:val="24"/>
          <w:szCs w:val="24"/>
        </w:rPr>
        <w:t>.</w:t>
      </w:r>
    </w:p>
    <w:p w14:paraId="6B0FA1AA" w14:textId="77777777" w:rsidR="00CF598B" w:rsidRPr="00AD56AA" w:rsidRDefault="00CF598B" w:rsidP="00CF598B">
      <w:pPr>
        <w:jc w:val="right"/>
        <w:rPr>
          <w:rFonts w:asciiTheme="majorBidi" w:hAnsiTheme="majorBidi" w:cstheme="majorBidi"/>
          <w:sz w:val="24"/>
          <w:szCs w:val="24"/>
        </w:rPr>
      </w:pPr>
      <w:r>
        <w:rPr>
          <w:rFonts w:asciiTheme="majorBidi" w:hAnsiTheme="majorBidi" w:cstheme="majorBidi"/>
          <w:sz w:val="24"/>
          <w:szCs w:val="24"/>
          <w:rtl/>
        </w:rPr>
        <w:t>وبذلك يتحقق توازنٌ منصف بين حماية الموكلين وضمان الثقة في الخدمة القانونية، وبين عدم تحميل المحامي تبعة تقنية لا يملك أدوات التحكم بها منفردًا</w:t>
      </w:r>
      <w:r>
        <w:rPr>
          <w:rFonts w:asciiTheme="majorBidi" w:hAnsiTheme="majorBidi" w:cstheme="majorBidi"/>
          <w:sz w:val="24"/>
          <w:szCs w:val="24"/>
        </w:rPr>
        <w:t>.</w:t>
      </w:r>
    </w:p>
    <w:p w14:paraId="51B9E74D" w14:textId="77777777" w:rsidR="00CF598B" w:rsidRPr="00A845BC" w:rsidRDefault="00CF598B" w:rsidP="00CF598B">
      <w:pPr>
        <w:jc w:val="right"/>
        <w:rPr>
          <w:rFonts w:asciiTheme="majorBidi" w:hAnsiTheme="majorBidi" w:cstheme="majorBidi"/>
          <w:sz w:val="24"/>
          <w:szCs w:val="24"/>
          <w:rtl/>
        </w:rPr>
      </w:pPr>
    </w:p>
    <w:p w14:paraId="63EB4837" w14:textId="77777777" w:rsidR="00CF598B" w:rsidRPr="003A3742"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ثامنًا: حجية المخرجات الذكية أمام القضاء ومسؤولية المحامي عن “قابلية الإثبات</w:t>
      </w:r>
      <w:r>
        <w:rPr>
          <w:rFonts w:asciiTheme="majorBidi" w:hAnsiTheme="majorBidi" w:cstheme="majorBidi"/>
          <w:b/>
          <w:bCs/>
          <w:sz w:val="24"/>
          <w:szCs w:val="24"/>
        </w:rPr>
        <w:t>”</w:t>
      </w:r>
    </w:p>
    <w:p w14:paraId="543E5E9D"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 xml:space="preserve">وفي إطار إشكالية الإثبات بالذكاء الاصطناعي، توصل الأسيوطي إلى أن مسألة الإثبات تحتل حيزًا جوهريًا في مجال تطبيق الذكاء الاصطناعي؛ لأن صاحب الحق الذي يعجز عن إثبات مصدر حقه يفقده حتى وإن كان معترفًا </w:t>
      </w:r>
      <w:r>
        <w:rPr>
          <w:rFonts w:asciiTheme="majorBidi" w:hAnsiTheme="majorBidi" w:cstheme="majorBidi"/>
          <w:sz w:val="24"/>
          <w:szCs w:val="24"/>
          <w:rtl/>
        </w:rPr>
        <w:lastRenderedPageBreak/>
        <w:t>به قانونًا. ومن ثم، فإن اعتماد مخرجات أنظمة الذكاء الاصطناعي كدليل أمام القضاء يستلزم بناء منظومة إثباتية رقمية تضمن صحة المصدر وسلامة المعالجة وإمكانية التحقق من المخرج.</w:t>
      </w:r>
      <w:r>
        <w:rPr>
          <w:rStyle w:val="af"/>
          <w:rFonts w:asciiTheme="majorBidi" w:hAnsiTheme="majorBidi" w:cstheme="majorBidi"/>
          <w:sz w:val="24"/>
          <w:szCs w:val="24"/>
          <w:rtl/>
        </w:rPr>
        <w:footnoteReference w:id="280"/>
      </w:r>
    </w:p>
    <w:p w14:paraId="77C097CE"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إذا انتقلنا من المسؤولية المدنية المجردة إلى </w:t>
      </w:r>
      <w:r>
        <w:rPr>
          <w:rFonts w:asciiTheme="majorBidi" w:hAnsiTheme="majorBidi" w:cstheme="majorBidi"/>
          <w:b/>
          <w:bCs/>
          <w:sz w:val="24"/>
          <w:szCs w:val="24"/>
          <w:rtl/>
        </w:rPr>
        <w:t>سياق المنازعة القضائية</w:t>
      </w:r>
      <w:r>
        <w:rPr>
          <w:rFonts w:asciiTheme="majorBidi" w:hAnsiTheme="majorBidi" w:cstheme="majorBidi"/>
          <w:sz w:val="24"/>
          <w:szCs w:val="24"/>
          <w:rtl/>
        </w:rPr>
        <w:t xml:space="preserve">، تظهر زاوية دقيقة غالبًا تُهمل: ليست المشكلة فقط في صحة المخرج، بل في </w:t>
      </w:r>
      <w:r>
        <w:rPr>
          <w:rFonts w:asciiTheme="majorBidi" w:hAnsiTheme="majorBidi" w:cstheme="majorBidi"/>
          <w:b/>
          <w:bCs/>
          <w:sz w:val="24"/>
          <w:szCs w:val="24"/>
          <w:rtl/>
        </w:rPr>
        <w:t>حجيته وإمكان الاحتجاج به</w:t>
      </w:r>
      <w:r>
        <w:rPr>
          <w:rFonts w:asciiTheme="majorBidi" w:hAnsiTheme="majorBidi" w:cstheme="majorBidi"/>
          <w:sz w:val="24"/>
          <w:szCs w:val="24"/>
          <w:rtl/>
        </w:rPr>
        <w:t xml:space="preserve"> وإمكان إثبات نسبته وسلامة مساره. فالمحامي عندما يقدم عقدًا أو مذكرة أو تقريرًا صيغ بمساعدة الذكاء الاصطناعي، فهو لا يقدم “نصًا” فقط، بل يقدم </w:t>
      </w:r>
      <w:r>
        <w:rPr>
          <w:rFonts w:asciiTheme="majorBidi" w:hAnsiTheme="majorBidi" w:cstheme="majorBidi"/>
          <w:b/>
          <w:bCs/>
          <w:sz w:val="24"/>
          <w:szCs w:val="24"/>
          <w:rtl/>
        </w:rPr>
        <w:t>مستندًا</w:t>
      </w:r>
      <w:r>
        <w:rPr>
          <w:rFonts w:asciiTheme="majorBidi" w:hAnsiTheme="majorBidi" w:cstheme="majorBidi"/>
          <w:sz w:val="24"/>
          <w:szCs w:val="24"/>
          <w:rtl/>
        </w:rPr>
        <w:t xml:space="preserve"> ضمن منظومة إثبات، وقد ترتب عليه آثار إجرائية ومراكز قانونية</w:t>
      </w:r>
      <w:r>
        <w:rPr>
          <w:rFonts w:asciiTheme="majorBidi" w:hAnsiTheme="majorBidi" w:cstheme="majorBidi"/>
          <w:sz w:val="24"/>
          <w:szCs w:val="24"/>
        </w:rPr>
        <w:t>.</w:t>
      </w:r>
    </w:p>
    <w:p w14:paraId="328CB3D2"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ويبرز هنا دور </w:t>
      </w:r>
      <w:r>
        <w:rPr>
          <w:rFonts w:asciiTheme="majorBidi" w:hAnsiTheme="majorBidi" w:cstheme="majorBidi"/>
          <w:b/>
          <w:bCs/>
          <w:sz w:val="24"/>
          <w:szCs w:val="24"/>
          <w:rtl/>
        </w:rPr>
        <w:t>نظام الإثبات</w:t>
      </w:r>
      <w:r>
        <w:rPr>
          <w:rFonts w:asciiTheme="majorBidi" w:hAnsiTheme="majorBidi" w:cstheme="majorBidi"/>
          <w:sz w:val="24"/>
          <w:szCs w:val="24"/>
          <w:rtl/>
        </w:rPr>
        <w:t xml:space="preserve"> الذي يقوم – في جوهره – على ضبط وسائل الإثبات وقيمتها الحجية وشروط قبولها (هيئة الخبراء بمجلس الوزراء، 1443هـ). وبناءً عليه، فإن المخرجات الذكية قد تُثار بشأنها إشكالات مثل</w:t>
      </w:r>
      <w:r>
        <w:rPr>
          <w:rFonts w:asciiTheme="majorBidi" w:hAnsiTheme="majorBidi" w:cstheme="majorBidi"/>
          <w:sz w:val="24"/>
          <w:szCs w:val="24"/>
        </w:rPr>
        <w:t>:</w:t>
      </w:r>
    </w:p>
    <w:p w14:paraId="5ADB4E0A" w14:textId="77777777" w:rsidR="00CF598B" w:rsidRPr="003A3742" w:rsidRDefault="00CF598B">
      <w:pPr>
        <w:numPr>
          <w:ilvl w:val="0"/>
          <w:numId w:val="29"/>
        </w:numPr>
        <w:jc w:val="right"/>
        <w:rPr>
          <w:rFonts w:asciiTheme="majorBidi" w:hAnsiTheme="majorBidi" w:cstheme="majorBidi"/>
          <w:sz w:val="24"/>
          <w:szCs w:val="24"/>
        </w:rPr>
      </w:pPr>
      <w:r>
        <w:rPr>
          <w:rFonts w:asciiTheme="majorBidi" w:hAnsiTheme="majorBidi" w:cstheme="majorBidi"/>
          <w:b/>
          <w:bCs/>
          <w:sz w:val="24"/>
          <w:szCs w:val="24"/>
          <w:rtl/>
        </w:rPr>
        <w:t>هل يُعد المستند المولد آليًا “محررًا” له حجية؟</w:t>
      </w:r>
    </w:p>
    <w:p w14:paraId="2A4DABCD" w14:textId="77777777" w:rsidR="00CF598B" w:rsidRPr="003A3742" w:rsidRDefault="00CF598B">
      <w:pPr>
        <w:numPr>
          <w:ilvl w:val="0"/>
          <w:numId w:val="29"/>
        </w:numPr>
        <w:jc w:val="right"/>
        <w:rPr>
          <w:rFonts w:asciiTheme="majorBidi" w:hAnsiTheme="majorBidi" w:cstheme="majorBidi"/>
          <w:sz w:val="24"/>
          <w:szCs w:val="24"/>
        </w:rPr>
      </w:pPr>
      <w:r>
        <w:rPr>
          <w:rFonts w:asciiTheme="majorBidi" w:hAnsiTheme="majorBidi" w:cstheme="majorBidi"/>
          <w:b/>
          <w:bCs/>
          <w:sz w:val="24"/>
          <w:szCs w:val="24"/>
          <w:rtl/>
        </w:rPr>
        <w:t>هل يمكن الاعتراض عليه لعدم وضوح مصدره أو مساره أو لاحتمال العبث به؟</w:t>
      </w:r>
    </w:p>
    <w:p w14:paraId="00C4ACF8" w14:textId="77777777" w:rsidR="00CF598B" w:rsidRPr="003A3742" w:rsidRDefault="00CF598B">
      <w:pPr>
        <w:numPr>
          <w:ilvl w:val="0"/>
          <w:numId w:val="29"/>
        </w:numPr>
        <w:jc w:val="right"/>
        <w:rPr>
          <w:rFonts w:asciiTheme="majorBidi" w:hAnsiTheme="majorBidi" w:cstheme="majorBidi"/>
          <w:sz w:val="24"/>
          <w:szCs w:val="24"/>
        </w:rPr>
      </w:pPr>
      <w:r>
        <w:rPr>
          <w:rFonts w:asciiTheme="majorBidi" w:hAnsiTheme="majorBidi" w:cstheme="majorBidi"/>
          <w:b/>
          <w:bCs/>
          <w:sz w:val="24"/>
          <w:szCs w:val="24"/>
          <w:rtl/>
        </w:rPr>
        <w:t>هل يملك المحامي إثبات سلامة الإجراءات التقنية التي أنتجته؟</w:t>
      </w:r>
    </w:p>
    <w:p w14:paraId="142C633D"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يشير </w:t>
      </w:r>
      <w:r>
        <w:rPr>
          <w:rFonts w:asciiTheme="majorBidi" w:hAnsiTheme="majorBidi" w:cstheme="majorBidi"/>
          <w:b/>
          <w:bCs/>
          <w:sz w:val="24"/>
          <w:szCs w:val="24"/>
          <w:rtl/>
        </w:rPr>
        <w:t>الأسيوطي</w:t>
      </w:r>
      <w:r>
        <w:rPr>
          <w:rStyle w:val="af"/>
          <w:rFonts w:asciiTheme="majorBidi" w:hAnsiTheme="majorBidi" w:cstheme="majorBidi"/>
          <w:b/>
          <w:bCs/>
          <w:sz w:val="24"/>
          <w:szCs w:val="24"/>
          <w:rtl/>
        </w:rPr>
        <w:footnoteReference w:id="281"/>
      </w:r>
      <w:r>
        <w:rPr>
          <w:rFonts w:asciiTheme="majorBidi" w:hAnsiTheme="majorBidi" w:cstheme="majorBidi"/>
          <w:b/>
          <w:bCs/>
          <w:sz w:val="24"/>
          <w:szCs w:val="24"/>
        </w:rPr>
        <w:t xml:space="preserve"> (2020)</w:t>
      </w:r>
      <w:r>
        <w:rPr>
          <w:rFonts w:asciiTheme="majorBidi" w:hAnsiTheme="majorBidi" w:cstheme="majorBidi"/>
          <w:sz w:val="24"/>
          <w:szCs w:val="24"/>
        </w:rPr>
        <w:t xml:space="preserve"> </w:t>
      </w:r>
      <w:r>
        <w:rPr>
          <w:rFonts w:asciiTheme="majorBidi" w:hAnsiTheme="majorBidi" w:cstheme="majorBidi"/>
          <w:sz w:val="24"/>
          <w:szCs w:val="24"/>
          <w:rtl/>
        </w:rPr>
        <w:t>إلى أن حجية المستندات الرقمية لا تنفصل عن سلامة بيئتها التقنية، وأن عنصر الأمان التقني والتوثيق يؤثر في الثقة القانونية بالمحرر الرقمي. وهذا المعنى – وإن ورد في سياق أوسع – ينطبق على المخرجات الذكية: فكلما كانت سلسلة إنتاج المخرج غامضة وغير موثقة، زادت قابلية الطعن فيه من الخصم، وازداد عبء المحامي في دفع هذه الطعون</w:t>
      </w:r>
      <w:r>
        <w:rPr>
          <w:rFonts w:asciiTheme="majorBidi" w:hAnsiTheme="majorBidi" w:cstheme="majorBidi"/>
          <w:sz w:val="24"/>
          <w:szCs w:val="24"/>
        </w:rPr>
        <w:t>.</w:t>
      </w:r>
    </w:p>
    <w:p w14:paraId="05E7D708" w14:textId="77777777" w:rsidR="00CF598B" w:rsidRPr="003A3742" w:rsidRDefault="00CF598B" w:rsidP="00CF598B">
      <w:pPr>
        <w:jc w:val="right"/>
        <w:rPr>
          <w:rFonts w:asciiTheme="majorBidi" w:hAnsiTheme="majorBidi" w:cstheme="majorBidi"/>
          <w:sz w:val="24"/>
          <w:szCs w:val="24"/>
        </w:rPr>
      </w:pPr>
    </w:p>
    <w:p w14:paraId="2A3111E8" w14:textId="77777777" w:rsidR="00CF598B" w:rsidRPr="003A3742"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تاسعًا: واجب الإفصاح للموكل عن استخدام الذكاء الاصطناعي وحدود “الموافقة المستنيرة</w:t>
      </w:r>
      <w:r>
        <w:rPr>
          <w:rFonts w:asciiTheme="majorBidi" w:hAnsiTheme="majorBidi" w:cstheme="majorBidi"/>
          <w:b/>
          <w:bCs/>
          <w:sz w:val="24"/>
          <w:szCs w:val="24"/>
        </w:rPr>
        <w:t>”</w:t>
      </w:r>
    </w:p>
    <w:p w14:paraId="3788B1C2"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من الأفكار الجديدة التي تطرحها البيئة الرقمية: هل يجب على المحامي أن يُفصح للموكل عن استخدام الذكاء الاصطناعي في إعداد العمل؟</w:t>
      </w:r>
      <w:r>
        <w:rPr>
          <w:rFonts w:asciiTheme="majorBidi" w:hAnsiTheme="majorBidi" w:cstheme="majorBidi"/>
          <w:sz w:val="24"/>
          <w:szCs w:val="24"/>
        </w:rPr>
        <w:br/>
      </w:r>
      <w:r>
        <w:rPr>
          <w:rFonts w:asciiTheme="majorBidi" w:hAnsiTheme="majorBidi" w:cstheme="majorBidi"/>
          <w:sz w:val="24"/>
          <w:szCs w:val="24"/>
          <w:rtl/>
        </w:rPr>
        <w:t>هذه المسألة ليست شكلية، بل تتصل بجوهر العلاقة المهنية القائمة على الثقة وحق الموكل في تقدير المخاطر</w:t>
      </w:r>
      <w:r>
        <w:rPr>
          <w:rFonts w:asciiTheme="majorBidi" w:hAnsiTheme="majorBidi" w:cstheme="majorBidi"/>
          <w:sz w:val="24"/>
          <w:szCs w:val="24"/>
        </w:rPr>
        <w:t>.</w:t>
      </w:r>
    </w:p>
    <w:p w14:paraId="121831B7"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ترتبط هذه النقطة بمبدأ “المساءلة والشفافية” الذي تؤكد عليه وثائق الحوكمة الأخلاقية للذكاء الاصطناعي (سدايا، 2023)، وبمنطق العناية المهنية الذي يجعل الموكل طرفًا يجب ألا يُفاجأ بمخاطر خفية تمس بياناته أو مسار قضيته. وفي نفس الاتجاه، يقرر </w:t>
      </w:r>
      <w:r>
        <w:rPr>
          <w:rFonts w:asciiTheme="majorBidi" w:hAnsiTheme="majorBidi" w:cstheme="majorBidi"/>
          <w:b/>
          <w:bCs/>
          <w:sz w:val="24"/>
          <w:szCs w:val="24"/>
          <w:rtl/>
        </w:rPr>
        <w:t>رجب</w:t>
      </w:r>
      <w:r>
        <w:rPr>
          <w:rStyle w:val="af"/>
          <w:rFonts w:asciiTheme="majorBidi" w:hAnsiTheme="majorBidi" w:cstheme="majorBidi"/>
          <w:b/>
          <w:bCs/>
          <w:sz w:val="24"/>
          <w:szCs w:val="24"/>
          <w:rtl/>
        </w:rPr>
        <w:footnoteReference w:id="282"/>
      </w:r>
      <w:r>
        <w:rPr>
          <w:rFonts w:asciiTheme="majorBidi" w:hAnsiTheme="majorBidi" w:cstheme="majorBidi"/>
          <w:b/>
          <w:bCs/>
          <w:sz w:val="24"/>
          <w:szCs w:val="24"/>
        </w:rPr>
        <w:t xml:space="preserve"> (2023)</w:t>
      </w:r>
      <w:r>
        <w:rPr>
          <w:rFonts w:asciiTheme="majorBidi" w:hAnsiTheme="majorBidi" w:cstheme="majorBidi"/>
          <w:sz w:val="24"/>
          <w:szCs w:val="24"/>
        </w:rPr>
        <w:t xml:space="preserve"> </w:t>
      </w:r>
      <w:r>
        <w:rPr>
          <w:rFonts w:asciiTheme="majorBidi" w:hAnsiTheme="majorBidi" w:cstheme="majorBidi"/>
          <w:sz w:val="24"/>
          <w:szCs w:val="24"/>
          <w:rtl/>
        </w:rPr>
        <w:t>أن التأطير الأخلاقي للذكاء الاصطناعي يقتضي آليات مساءلة تتضمن شفافية مناسبة لطبيعة المخاطر وتداخل الأطراف</w:t>
      </w:r>
      <w:r>
        <w:rPr>
          <w:rFonts w:asciiTheme="majorBidi" w:hAnsiTheme="majorBidi" w:cstheme="majorBidi"/>
          <w:sz w:val="24"/>
          <w:szCs w:val="24"/>
        </w:rPr>
        <w:t>.</w:t>
      </w:r>
    </w:p>
    <w:p w14:paraId="4537E730"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عمليًا، قد تترتب على عدم الإفصاح صور ضرر واضحة</w:t>
      </w:r>
      <w:r>
        <w:rPr>
          <w:rFonts w:asciiTheme="majorBidi" w:hAnsiTheme="majorBidi" w:cstheme="majorBidi"/>
          <w:sz w:val="24"/>
          <w:szCs w:val="24"/>
        </w:rPr>
        <w:t>:</w:t>
      </w:r>
    </w:p>
    <w:p w14:paraId="0CACEEA3" w14:textId="77777777" w:rsidR="00CF598B" w:rsidRPr="003A3742" w:rsidRDefault="00CF598B">
      <w:pPr>
        <w:numPr>
          <w:ilvl w:val="0"/>
          <w:numId w:val="30"/>
        </w:numPr>
        <w:jc w:val="right"/>
        <w:rPr>
          <w:rFonts w:asciiTheme="majorBidi" w:hAnsiTheme="majorBidi" w:cstheme="majorBidi"/>
          <w:sz w:val="24"/>
          <w:szCs w:val="24"/>
        </w:rPr>
      </w:pPr>
      <w:r>
        <w:rPr>
          <w:rFonts w:asciiTheme="majorBidi" w:hAnsiTheme="majorBidi" w:cstheme="majorBidi"/>
          <w:sz w:val="24"/>
          <w:szCs w:val="24"/>
          <w:rtl/>
        </w:rPr>
        <w:t>موكل يرفض تخزين بياناته في منصات سحابية أو خارجية، لكنه لم يُستأذن</w:t>
      </w:r>
      <w:r>
        <w:rPr>
          <w:rFonts w:asciiTheme="majorBidi" w:hAnsiTheme="majorBidi" w:cstheme="majorBidi"/>
          <w:sz w:val="24"/>
          <w:szCs w:val="24"/>
        </w:rPr>
        <w:t>.</w:t>
      </w:r>
    </w:p>
    <w:p w14:paraId="614BA0A8" w14:textId="77777777" w:rsidR="00CF598B" w:rsidRPr="003A3742" w:rsidRDefault="00CF598B">
      <w:pPr>
        <w:numPr>
          <w:ilvl w:val="0"/>
          <w:numId w:val="30"/>
        </w:numPr>
        <w:jc w:val="right"/>
        <w:rPr>
          <w:rFonts w:asciiTheme="majorBidi" w:hAnsiTheme="majorBidi" w:cstheme="majorBidi"/>
          <w:sz w:val="24"/>
          <w:szCs w:val="24"/>
        </w:rPr>
      </w:pPr>
      <w:r>
        <w:rPr>
          <w:rFonts w:asciiTheme="majorBidi" w:hAnsiTheme="majorBidi" w:cstheme="majorBidi"/>
          <w:sz w:val="24"/>
          <w:szCs w:val="24"/>
          <w:rtl/>
        </w:rPr>
        <w:t>موكل يعتمد على “اجتهاد بشري كامل” في قضية عالية الحساسية، بينما جرى الاعتماد على أداة توليد</w:t>
      </w:r>
      <w:r>
        <w:rPr>
          <w:rFonts w:asciiTheme="majorBidi" w:hAnsiTheme="majorBidi" w:cstheme="majorBidi"/>
          <w:sz w:val="24"/>
          <w:szCs w:val="24"/>
        </w:rPr>
        <w:t>.</w:t>
      </w:r>
    </w:p>
    <w:p w14:paraId="2D5F24C6" w14:textId="77777777" w:rsidR="00CF598B" w:rsidRPr="003A3742" w:rsidRDefault="00CF598B">
      <w:pPr>
        <w:numPr>
          <w:ilvl w:val="0"/>
          <w:numId w:val="30"/>
        </w:numPr>
        <w:jc w:val="right"/>
        <w:rPr>
          <w:rFonts w:asciiTheme="majorBidi" w:hAnsiTheme="majorBidi" w:cstheme="majorBidi"/>
          <w:sz w:val="24"/>
          <w:szCs w:val="24"/>
        </w:rPr>
      </w:pPr>
      <w:r>
        <w:rPr>
          <w:rFonts w:asciiTheme="majorBidi" w:hAnsiTheme="majorBidi" w:cstheme="majorBidi"/>
          <w:sz w:val="24"/>
          <w:szCs w:val="24"/>
          <w:rtl/>
        </w:rPr>
        <w:t>موكل يتضرر من مخرج خاطئ ثم يُفاجأ بأن مصدره “نظام آلي” لم يوافق على استخدامه</w:t>
      </w:r>
      <w:r>
        <w:rPr>
          <w:rFonts w:asciiTheme="majorBidi" w:hAnsiTheme="majorBidi" w:cstheme="majorBidi"/>
          <w:sz w:val="24"/>
          <w:szCs w:val="24"/>
        </w:rPr>
        <w:t>.</w:t>
      </w:r>
    </w:p>
    <w:p w14:paraId="36128E4E"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ومن رأيي كباحث</w:t>
      </w:r>
      <w:r>
        <w:rPr>
          <w:rFonts w:asciiTheme="majorBidi" w:hAnsiTheme="majorBidi" w:cstheme="majorBidi"/>
          <w:sz w:val="24"/>
          <w:szCs w:val="24"/>
        </w:rPr>
        <w:t xml:space="preserve">: </w:t>
      </w:r>
      <w:r>
        <w:rPr>
          <w:rFonts w:asciiTheme="majorBidi" w:hAnsiTheme="majorBidi" w:cstheme="majorBidi"/>
          <w:b/>
          <w:bCs/>
          <w:sz w:val="24"/>
          <w:szCs w:val="24"/>
          <w:rtl/>
        </w:rPr>
        <w:t>عدم الإفصاح في حالات معينة قد يُكيَّف كإخلال بواجب الأمانة المهنية</w:t>
      </w:r>
      <w:r>
        <w:rPr>
          <w:rFonts w:asciiTheme="majorBidi" w:hAnsiTheme="majorBidi" w:cstheme="majorBidi"/>
          <w:sz w:val="24"/>
          <w:szCs w:val="24"/>
          <w:rtl/>
        </w:rPr>
        <w:t>، ليس لأن استخدام الذكاء الاصطناعي ممنوع، بل لأن الموكل من حقه معرفة ما إذا كانت خدمته تمر عبر قنوات تزيد المخاطر أو تقلل التحكم. وأرى أن معيار الإفصاح يجب أن يكون “وظيفيًا</w:t>
      </w:r>
      <w:r>
        <w:rPr>
          <w:rFonts w:asciiTheme="majorBidi" w:hAnsiTheme="majorBidi" w:cstheme="majorBidi"/>
          <w:sz w:val="24"/>
          <w:szCs w:val="24"/>
        </w:rPr>
        <w:t>”:</w:t>
      </w:r>
    </w:p>
    <w:p w14:paraId="00EA2007" w14:textId="77777777" w:rsidR="00CF598B" w:rsidRPr="003A3742" w:rsidRDefault="00CF598B">
      <w:pPr>
        <w:numPr>
          <w:ilvl w:val="0"/>
          <w:numId w:val="31"/>
        </w:numPr>
        <w:jc w:val="right"/>
        <w:rPr>
          <w:rFonts w:asciiTheme="majorBidi" w:hAnsiTheme="majorBidi" w:cstheme="majorBidi"/>
          <w:sz w:val="24"/>
          <w:szCs w:val="24"/>
        </w:rPr>
      </w:pPr>
      <w:r>
        <w:rPr>
          <w:rFonts w:asciiTheme="majorBidi" w:hAnsiTheme="majorBidi" w:cstheme="majorBidi"/>
          <w:sz w:val="24"/>
          <w:szCs w:val="24"/>
          <w:rtl/>
        </w:rPr>
        <w:lastRenderedPageBreak/>
        <w:t xml:space="preserve">كلما زادت </w:t>
      </w:r>
      <w:r>
        <w:rPr>
          <w:rFonts w:asciiTheme="majorBidi" w:hAnsiTheme="majorBidi" w:cstheme="majorBidi"/>
          <w:b/>
          <w:bCs/>
          <w:sz w:val="24"/>
          <w:szCs w:val="24"/>
          <w:rtl/>
        </w:rPr>
        <w:t>حساسية البيانات</w:t>
      </w:r>
      <w:r>
        <w:rPr>
          <w:rFonts w:asciiTheme="majorBidi" w:hAnsiTheme="majorBidi" w:cstheme="majorBidi"/>
          <w:sz w:val="24"/>
          <w:szCs w:val="24"/>
          <w:rtl/>
        </w:rPr>
        <w:t xml:space="preserve"> أو </w:t>
      </w:r>
      <w:r>
        <w:rPr>
          <w:rFonts w:asciiTheme="majorBidi" w:hAnsiTheme="majorBidi" w:cstheme="majorBidi"/>
          <w:b/>
          <w:bCs/>
          <w:sz w:val="24"/>
          <w:szCs w:val="24"/>
          <w:rtl/>
        </w:rPr>
        <w:t>ارتفاع المخاطر</w:t>
      </w:r>
      <w:r>
        <w:rPr>
          <w:rFonts w:asciiTheme="majorBidi" w:hAnsiTheme="majorBidi" w:cstheme="majorBidi"/>
          <w:sz w:val="24"/>
          <w:szCs w:val="24"/>
          <w:rtl/>
        </w:rPr>
        <w:t xml:space="preserve"> أو </w:t>
      </w:r>
      <w:r>
        <w:rPr>
          <w:rFonts w:asciiTheme="majorBidi" w:hAnsiTheme="majorBidi" w:cstheme="majorBidi"/>
          <w:b/>
          <w:bCs/>
          <w:sz w:val="24"/>
          <w:szCs w:val="24"/>
          <w:rtl/>
        </w:rPr>
        <w:t>اتساع الاعتماد</w:t>
      </w:r>
      <w:r>
        <w:rPr>
          <w:rFonts w:asciiTheme="majorBidi" w:hAnsiTheme="majorBidi" w:cstheme="majorBidi"/>
          <w:sz w:val="24"/>
          <w:szCs w:val="24"/>
          <w:rtl/>
        </w:rPr>
        <w:t xml:space="preserve"> على الذكاء الاصطناعي، اقتربنا من وجوب الإفصاح</w:t>
      </w:r>
      <w:r>
        <w:rPr>
          <w:rFonts w:asciiTheme="majorBidi" w:hAnsiTheme="majorBidi" w:cstheme="majorBidi"/>
          <w:sz w:val="24"/>
          <w:szCs w:val="24"/>
        </w:rPr>
        <w:t>.</w:t>
      </w:r>
    </w:p>
    <w:p w14:paraId="30DB7048" w14:textId="77777777" w:rsidR="00CF598B" w:rsidRPr="003A3742" w:rsidRDefault="00CF598B">
      <w:pPr>
        <w:numPr>
          <w:ilvl w:val="0"/>
          <w:numId w:val="31"/>
        </w:numPr>
        <w:jc w:val="right"/>
        <w:rPr>
          <w:rFonts w:asciiTheme="majorBidi" w:hAnsiTheme="majorBidi" w:cstheme="majorBidi"/>
          <w:sz w:val="24"/>
          <w:szCs w:val="24"/>
        </w:rPr>
      </w:pPr>
      <w:r>
        <w:rPr>
          <w:rFonts w:asciiTheme="majorBidi" w:hAnsiTheme="majorBidi" w:cstheme="majorBidi"/>
          <w:sz w:val="24"/>
          <w:szCs w:val="24"/>
          <w:rtl/>
        </w:rPr>
        <w:t>أما في الاستخدامات المساندة البسيطة (كالتلخيص الداخلي دون إدخال بيانات حساسة) فقد يُكتفى بسياسة مكتب عامة</w:t>
      </w:r>
      <w:r>
        <w:rPr>
          <w:rFonts w:asciiTheme="majorBidi" w:hAnsiTheme="majorBidi" w:cstheme="majorBidi"/>
          <w:sz w:val="24"/>
          <w:szCs w:val="24"/>
        </w:rPr>
        <w:t>.</w:t>
      </w:r>
    </w:p>
    <w:p w14:paraId="6D6F356C" w14:textId="77777777" w:rsidR="00CF598B" w:rsidRPr="003A3742" w:rsidRDefault="00CF598B" w:rsidP="00CF598B">
      <w:pPr>
        <w:jc w:val="right"/>
        <w:rPr>
          <w:rFonts w:asciiTheme="majorBidi" w:hAnsiTheme="majorBidi" w:cstheme="majorBidi"/>
          <w:sz w:val="24"/>
          <w:szCs w:val="24"/>
        </w:rPr>
      </w:pPr>
    </w:p>
    <w:p w14:paraId="5E616F93" w14:textId="77777777" w:rsidR="00CF598B" w:rsidRPr="003A3742"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عاشرًا: تضارب المصالح والتحيز الخوارزمي كصورة جديدة للخطأ المهني</w:t>
      </w:r>
    </w:p>
    <w:p w14:paraId="5B023BE2"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التقنية قد تُدخل على العمل القانوني مخاطر ليست “أخطاء نصية” بل </w:t>
      </w:r>
      <w:r>
        <w:rPr>
          <w:rFonts w:asciiTheme="majorBidi" w:hAnsiTheme="majorBidi" w:cstheme="majorBidi"/>
          <w:b/>
          <w:bCs/>
          <w:sz w:val="24"/>
          <w:szCs w:val="24"/>
          <w:rtl/>
        </w:rPr>
        <w:t>انحرافات منهجية</w:t>
      </w:r>
      <w:r>
        <w:rPr>
          <w:rFonts w:asciiTheme="majorBidi" w:hAnsiTheme="majorBidi" w:cstheme="majorBidi"/>
          <w:sz w:val="24"/>
          <w:szCs w:val="24"/>
        </w:rPr>
        <w:t xml:space="preserve">: </w:t>
      </w:r>
      <w:r>
        <w:rPr>
          <w:rFonts w:asciiTheme="majorBidi" w:hAnsiTheme="majorBidi" w:cstheme="majorBidi"/>
          <w:sz w:val="24"/>
          <w:szCs w:val="24"/>
          <w:rtl/>
        </w:rPr>
        <w:t xml:space="preserve">تحيزات في البيانات، أو توجيه في الاستنتاجات، أو تقديم حلول “نماذجية” لا تناسب الخصوصية النظامية السعودية. وهذه المخاطر تختلف عن الخطأ التقليدي؛ لأنها قد تنتج مخرجًا يبدو مقنعًا ظاهريًا لكنه </w:t>
      </w:r>
      <w:r>
        <w:rPr>
          <w:rFonts w:asciiTheme="majorBidi" w:hAnsiTheme="majorBidi" w:cstheme="majorBidi"/>
          <w:b/>
          <w:bCs/>
          <w:sz w:val="24"/>
          <w:szCs w:val="24"/>
          <w:rtl/>
        </w:rPr>
        <w:t>منحاز</w:t>
      </w:r>
      <w:r>
        <w:rPr>
          <w:rFonts w:asciiTheme="majorBidi" w:hAnsiTheme="majorBidi" w:cstheme="majorBidi"/>
          <w:sz w:val="24"/>
          <w:szCs w:val="24"/>
          <w:rtl/>
        </w:rPr>
        <w:t xml:space="preserve"> أو </w:t>
      </w:r>
      <w:r>
        <w:rPr>
          <w:rFonts w:asciiTheme="majorBidi" w:hAnsiTheme="majorBidi" w:cstheme="majorBidi"/>
          <w:b/>
          <w:bCs/>
          <w:sz w:val="24"/>
          <w:szCs w:val="24"/>
          <w:rtl/>
        </w:rPr>
        <w:t>غير ملائم</w:t>
      </w:r>
      <w:r>
        <w:rPr>
          <w:rFonts w:asciiTheme="majorBidi" w:hAnsiTheme="majorBidi" w:cstheme="majorBidi"/>
          <w:sz w:val="24"/>
          <w:szCs w:val="24"/>
        </w:rPr>
        <w:t>.</w:t>
      </w:r>
    </w:p>
    <w:p w14:paraId="7FC03300"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تشير أدبيات المسؤولية عن الذكاء الاصطناعي إلى أن الإشكال ليس في الخطأ الفردي فحسب، بل في طبيعة الأنظمة التي تتعلم من بيانات قد تكون غير متوازنة أو غير ممثلة، ما ينعكس على النتائج (الربيع، 2022). ومن زاوية أخرى، يلفت </w:t>
      </w:r>
      <w:r>
        <w:rPr>
          <w:rFonts w:asciiTheme="majorBidi" w:hAnsiTheme="majorBidi" w:cstheme="majorBidi" w:hint="cs"/>
          <w:b/>
          <w:bCs/>
          <w:sz w:val="24"/>
          <w:szCs w:val="24"/>
          <w:rtl/>
        </w:rPr>
        <w:t>الاسيوطي</w:t>
      </w:r>
      <w:r>
        <w:rPr>
          <w:rStyle w:val="af"/>
          <w:rFonts w:asciiTheme="majorBidi" w:hAnsiTheme="majorBidi" w:cstheme="majorBidi"/>
          <w:b/>
          <w:bCs/>
          <w:sz w:val="24"/>
          <w:szCs w:val="24"/>
          <w:rtl/>
        </w:rPr>
        <w:footnoteReference w:id="283"/>
      </w:r>
      <w:r>
        <w:rPr>
          <w:rFonts w:asciiTheme="majorBidi" w:hAnsiTheme="majorBidi" w:cstheme="majorBidi"/>
          <w:b/>
          <w:bCs/>
          <w:sz w:val="24"/>
          <w:szCs w:val="24"/>
        </w:rPr>
        <w:t xml:space="preserve"> (2020)</w:t>
      </w:r>
      <w:r>
        <w:rPr>
          <w:rFonts w:asciiTheme="majorBidi" w:hAnsiTheme="majorBidi" w:cstheme="majorBidi"/>
          <w:sz w:val="24"/>
          <w:szCs w:val="24"/>
        </w:rPr>
        <w:t xml:space="preserve"> </w:t>
      </w:r>
      <w:r>
        <w:rPr>
          <w:rFonts w:asciiTheme="majorBidi" w:hAnsiTheme="majorBidi" w:cstheme="majorBidi"/>
          <w:sz w:val="24"/>
          <w:szCs w:val="24"/>
          <w:rtl/>
        </w:rPr>
        <w:t>إلى أن التحول التقني يعيد تعريف الكفاءة المهنية، وهو ما يعني ضمنًا أن الكفاءة تشمل القدرة على اكتشاف الانحرافات المنهجية لا مجرد اكتشاف الأخطاء الصريحة</w:t>
      </w:r>
      <w:r>
        <w:rPr>
          <w:rFonts w:asciiTheme="majorBidi" w:hAnsiTheme="majorBidi" w:cstheme="majorBidi"/>
          <w:sz w:val="24"/>
          <w:szCs w:val="24"/>
        </w:rPr>
        <w:t>.</w:t>
      </w:r>
    </w:p>
    <w:p w14:paraId="0B718868"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وتظهر هنا مسؤولية المحامي في نقطتين</w:t>
      </w:r>
      <w:r>
        <w:rPr>
          <w:rFonts w:asciiTheme="majorBidi" w:hAnsiTheme="majorBidi" w:cstheme="majorBidi"/>
          <w:sz w:val="24"/>
          <w:szCs w:val="24"/>
        </w:rPr>
        <w:t>:</w:t>
      </w:r>
    </w:p>
    <w:p w14:paraId="1D8AA592" w14:textId="77777777" w:rsidR="00CF598B" w:rsidRPr="003A3742" w:rsidRDefault="00CF598B">
      <w:pPr>
        <w:numPr>
          <w:ilvl w:val="0"/>
          <w:numId w:val="32"/>
        </w:numPr>
        <w:jc w:val="right"/>
        <w:rPr>
          <w:rFonts w:asciiTheme="majorBidi" w:hAnsiTheme="majorBidi" w:cstheme="majorBidi"/>
          <w:sz w:val="24"/>
          <w:szCs w:val="24"/>
        </w:rPr>
      </w:pPr>
      <w:r>
        <w:rPr>
          <w:rFonts w:asciiTheme="majorBidi" w:hAnsiTheme="majorBidi" w:cstheme="majorBidi"/>
          <w:b/>
          <w:bCs/>
          <w:sz w:val="24"/>
          <w:szCs w:val="24"/>
          <w:rtl/>
        </w:rPr>
        <w:t>تحقق الملاءمة النظامية السعودية</w:t>
      </w:r>
      <w:r>
        <w:rPr>
          <w:rFonts w:asciiTheme="majorBidi" w:hAnsiTheme="majorBidi" w:cstheme="majorBidi"/>
          <w:sz w:val="24"/>
          <w:szCs w:val="24"/>
        </w:rPr>
        <w:t xml:space="preserve">: </w:t>
      </w:r>
      <w:r>
        <w:rPr>
          <w:rFonts w:asciiTheme="majorBidi" w:hAnsiTheme="majorBidi" w:cstheme="majorBidi"/>
          <w:sz w:val="24"/>
          <w:szCs w:val="24"/>
          <w:rtl/>
        </w:rPr>
        <w:t>لأن كثيرًا من الأدوات العامة لا تبني استدلالاتها على مصادر سعودية، وقد تخلط بين نظم مختلفة</w:t>
      </w:r>
      <w:r>
        <w:rPr>
          <w:rFonts w:asciiTheme="majorBidi" w:hAnsiTheme="majorBidi" w:cstheme="majorBidi"/>
          <w:sz w:val="24"/>
          <w:szCs w:val="24"/>
        </w:rPr>
        <w:t>.</w:t>
      </w:r>
    </w:p>
    <w:p w14:paraId="6AFE96D2" w14:textId="77777777" w:rsidR="00CF598B" w:rsidRPr="003A3742" w:rsidRDefault="00CF598B">
      <w:pPr>
        <w:numPr>
          <w:ilvl w:val="0"/>
          <w:numId w:val="32"/>
        </w:numPr>
        <w:jc w:val="right"/>
        <w:rPr>
          <w:rFonts w:asciiTheme="majorBidi" w:hAnsiTheme="majorBidi" w:cstheme="majorBidi"/>
          <w:sz w:val="24"/>
          <w:szCs w:val="24"/>
        </w:rPr>
      </w:pPr>
      <w:r>
        <w:rPr>
          <w:rFonts w:asciiTheme="majorBidi" w:hAnsiTheme="majorBidi" w:cstheme="majorBidi"/>
          <w:b/>
          <w:bCs/>
          <w:sz w:val="24"/>
          <w:szCs w:val="24"/>
          <w:rtl/>
        </w:rPr>
        <w:t>تحقق العدالة التعاقدية والواقعية</w:t>
      </w:r>
      <w:r>
        <w:rPr>
          <w:rFonts w:asciiTheme="majorBidi" w:hAnsiTheme="majorBidi" w:cstheme="majorBidi"/>
          <w:sz w:val="24"/>
          <w:szCs w:val="24"/>
        </w:rPr>
        <w:t xml:space="preserve">: </w:t>
      </w:r>
      <w:r>
        <w:rPr>
          <w:rFonts w:asciiTheme="majorBidi" w:hAnsiTheme="majorBidi" w:cstheme="majorBidi"/>
          <w:sz w:val="24"/>
          <w:szCs w:val="24"/>
          <w:rtl/>
        </w:rPr>
        <w:t>لأن المخرج قد يقترح إستراتيجية قانونية تبدو “أمثل” نظريًا لكنها تؤدي إلى ضرر عملي لخصوصية القضية</w:t>
      </w:r>
      <w:r>
        <w:rPr>
          <w:rFonts w:asciiTheme="majorBidi" w:hAnsiTheme="majorBidi" w:cstheme="majorBidi"/>
          <w:sz w:val="24"/>
          <w:szCs w:val="24"/>
        </w:rPr>
        <w:t>.</w:t>
      </w:r>
    </w:p>
    <w:p w14:paraId="43ECECC0" w14:textId="77777777" w:rsidR="00CF598B" w:rsidRPr="003A3742" w:rsidRDefault="00295F2E" w:rsidP="00CF598B">
      <w:pPr>
        <w:jc w:val="right"/>
        <w:rPr>
          <w:rFonts w:asciiTheme="majorBidi" w:hAnsiTheme="majorBidi" w:cstheme="majorBidi"/>
          <w:sz w:val="24"/>
          <w:szCs w:val="24"/>
        </w:rPr>
      </w:pPr>
      <w:r>
        <w:rPr>
          <w:rFonts w:asciiTheme="majorBidi" w:hAnsiTheme="majorBidi" w:cstheme="majorBidi" w:hint="cs"/>
          <w:sz w:val="24"/>
          <w:szCs w:val="24"/>
          <w:rtl/>
        </w:rPr>
        <w:t xml:space="preserve">ومن خلال ما سبق نجد ان </w:t>
      </w:r>
      <w:r>
        <w:rPr>
          <w:rFonts w:asciiTheme="majorBidi" w:hAnsiTheme="majorBidi" w:cstheme="majorBidi"/>
          <w:sz w:val="24"/>
          <w:szCs w:val="24"/>
          <w:rtl/>
        </w:rPr>
        <w:t xml:space="preserve">التحيز الخوارزمي إذا أدى إلى توجيه دفاع أو نصيحة بشكل يضر الموكل قد ينهض كخطأ مهني حتى لو لم يظهر كخطأ “قانوني” صريح، لأنه يمثل </w:t>
      </w:r>
      <w:r>
        <w:rPr>
          <w:rFonts w:asciiTheme="majorBidi" w:hAnsiTheme="majorBidi" w:cstheme="majorBidi"/>
          <w:b/>
          <w:bCs/>
          <w:sz w:val="24"/>
          <w:szCs w:val="24"/>
          <w:rtl/>
        </w:rPr>
        <w:t>قصورًا في التبصر المهني</w:t>
      </w:r>
      <w:r>
        <w:rPr>
          <w:rFonts w:asciiTheme="majorBidi" w:hAnsiTheme="majorBidi" w:cstheme="majorBidi"/>
          <w:sz w:val="24"/>
          <w:szCs w:val="24"/>
        </w:rPr>
        <w:t xml:space="preserve">. </w:t>
      </w:r>
      <w:r>
        <w:rPr>
          <w:rFonts w:asciiTheme="majorBidi" w:hAnsiTheme="majorBidi" w:cstheme="majorBidi"/>
          <w:sz w:val="24"/>
          <w:szCs w:val="24"/>
          <w:rtl/>
        </w:rPr>
        <w:t>والمحامي هنا لا يُسأل لأنه لم يفهم الخوارزمية، بل لأنه لم يضع ضوابط تمنع تسلل التحيز إلى القرار المهني</w:t>
      </w:r>
      <w:r>
        <w:rPr>
          <w:rFonts w:asciiTheme="majorBidi" w:hAnsiTheme="majorBidi" w:cstheme="majorBidi"/>
          <w:sz w:val="24"/>
          <w:szCs w:val="24"/>
        </w:rPr>
        <w:t>.</w:t>
      </w:r>
    </w:p>
    <w:p w14:paraId="73436254" w14:textId="77777777" w:rsidR="00CF598B" w:rsidRPr="003A3742" w:rsidRDefault="00CF598B" w:rsidP="00CF598B">
      <w:pPr>
        <w:jc w:val="right"/>
        <w:rPr>
          <w:rFonts w:asciiTheme="majorBidi" w:hAnsiTheme="majorBidi" w:cstheme="majorBidi"/>
          <w:sz w:val="24"/>
          <w:szCs w:val="24"/>
        </w:rPr>
      </w:pPr>
    </w:p>
    <w:p w14:paraId="7B2035E2" w14:textId="77777777" w:rsidR="00CF598B" w:rsidRPr="003A3742"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حادي عشر: المسؤولية عند الاستعانة بمزوّدي تقنية خارجيين وحدود “التعاقد من الباطن</w:t>
      </w:r>
      <w:r>
        <w:rPr>
          <w:rFonts w:asciiTheme="majorBidi" w:hAnsiTheme="majorBidi" w:cstheme="majorBidi"/>
          <w:b/>
          <w:bCs/>
          <w:sz w:val="24"/>
          <w:szCs w:val="24"/>
        </w:rPr>
        <w:t>”</w:t>
      </w:r>
    </w:p>
    <w:p w14:paraId="1DC02B98"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في كثير من الحالات، المحامي لا يستخدم ذكاءً اصطناعيًا داخليًا فحسب، بل عبر منصات طرف ثالث: مزود تقنية، منصة سحابية، أو شركة</w:t>
      </w:r>
      <w:r>
        <w:rPr>
          <w:rFonts w:asciiTheme="majorBidi" w:hAnsiTheme="majorBidi" w:cstheme="majorBidi"/>
          <w:sz w:val="24"/>
          <w:szCs w:val="24"/>
        </w:rPr>
        <w:t xml:space="preserve"> “LegalTech”. </w:t>
      </w:r>
      <w:r>
        <w:rPr>
          <w:rFonts w:asciiTheme="majorBidi" w:hAnsiTheme="majorBidi" w:cstheme="majorBidi"/>
          <w:sz w:val="24"/>
          <w:szCs w:val="24"/>
          <w:rtl/>
        </w:rPr>
        <w:t xml:space="preserve">وهنا تظهر فكرة قانونية جديدة: هل تُعد هذه الاستعانة </w:t>
      </w:r>
      <w:r>
        <w:rPr>
          <w:rFonts w:asciiTheme="majorBidi" w:hAnsiTheme="majorBidi" w:cstheme="majorBidi"/>
          <w:b/>
          <w:bCs/>
          <w:sz w:val="24"/>
          <w:szCs w:val="24"/>
          <w:rtl/>
        </w:rPr>
        <w:t>تعاقدًا من الباطن</w:t>
      </w:r>
      <w:r>
        <w:rPr>
          <w:rFonts w:asciiTheme="majorBidi" w:hAnsiTheme="majorBidi" w:cstheme="majorBidi"/>
          <w:sz w:val="24"/>
          <w:szCs w:val="24"/>
          <w:rtl/>
        </w:rPr>
        <w:t xml:space="preserve"> في جزء من الخدمة؟ وإذا نعم، فما أثر ذلك على المسؤولية؟</w:t>
      </w:r>
    </w:p>
    <w:p w14:paraId="70552FDF"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القواعد العامة في المسؤولية المدنية تجعل من المتعاقد الأصلي (المحامي/المكتب) مسؤولًا تجاه الموكل عن تنفيذ الالتزام، ولا يُعفيه أن يكون قد استعان بغيره، ما دام الموكل لم يتعاقد مع ذلك الغير مباشرة. ويقوى هذا المعنى حين تكون الخدمة قانونية بطبيعتها وتتصل بالثقة والسرية. ويعزز </w:t>
      </w:r>
      <w:r>
        <w:rPr>
          <w:rFonts w:asciiTheme="majorBidi" w:hAnsiTheme="majorBidi" w:cstheme="majorBidi"/>
          <w:b/>
          <w:bCs/>
          <w:sz w:val="24"/>
          <w:szCs w:val="24"/>
          <w:rtl/>
        </w:rPr>
        <w:t>المالكي</w:t>
      </w:r>
      <w:r>
        <w:rPr>
          <w:rStyle w:val="af"/>
          <w:rFonts w:asciiTheme="majorBidi" w:hAnsiTheme="majorBidi" w:cstheme="majorBidi"/>
          <w:b/>
          <w:bCs/>
          <w:sz w:val="24"/>
          <w:szCs w:val="24"/>
          <w:rtl/>
        </w:rPr>
        <w:footnoteReference w:id="284"/>
      </w:r>
      <w:r>
        <w:rPr>
          <w:rFonts w:asciiTheme="majorBidi" w:hAnsiTheme="majorBidi" w:cstheme="majorBidi"/>
          <w:b/>
          <w:bCs/>
          <w:sz w:val="24"/>
          <w:szCs w:val="24"/>
        </w:rPr>
        <w:t xml:space="preserve"> (2024)</w:t>
      </w:r>
      <w:r>
        <w:rPr>
          <w:rFonts w:asciiTheme="majorBidi" w:hAnsiTheme="majorBidi" w:cstheme="majorBidi"/>
          <w:sz w:val="24"/>
          <w:szCs w:val="24"/>
        </w:rPr>
        <w:t xml:space="preserve"> </w:t>
      </w:r>
      <w:r>
        <w:rPr>
          <w:rFonts w:asciiTheme="majorBidi" w:hAnsiTheme="majorBidi" w:cstheme="majorBidi"/>
          <w:sz w:val="24"/>
          <w:szCs w:val="24"/>
          <w:rtl/>
        </w:rPr>
        <w:t>فكرة بناء المسؤولية على معيار “الرقابة والسيطرة الفعلية”؛ فالمكتب الذي يختار مزود التقنية ويبرم معه عقدًا ويُدخل بيانات الموكل عبره، يكون قد تولى إدارة مخاطره</w:t>
      </w:r>
      <w:r>
        <w:rPr>
          <w:rFonts w:asciiTheme="majorBidi" w:hAnsiTheme="majorBidi" w:cstheme="majorBidi"/>
          <w:sz w:val="24"/>
          <w:szCs w:val="24"/>
        </w:rPr>
        <w:t>.</w:t>
      </w:r>
    </w:p>
    <w:p w14:paraId="0F1A6D0F"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lastRenderedPageBreak/>
        <w:t xml:space="preserve">لكن في المقابل، يحذر </w:t>
      </w:r>
      <w:r>
        <w:rPr>
          <w:rFonts w:asciiTheme="majorBidi" w:hAnsiTheme="majorBidi" w:cstheme="majorBidi"/>
          <w:b/>
          <w:bCs/>
          <w:sz w:val="24"/>
          <w:szCs w:val="24"/>
          <w:rtl/>
        </w:rPr>
        <w:t>حمادي</w:t>
      </w:r>
      <w:r>
        <w:rPr>
          <w:rStyle w:val="af"/>
          <w:rFonts w:asciiTheme="majorBidi" w:hAnsiTheme="majorBidi" w:cstheme="majorBidi"/>
          <w:b/>
          <w:bCs/>
          <w:sz w:val="24"/>
          <w:szCs w:val="24"/>
          <w:rtl/>
        </w:rPr>
        <w:footnoteReference w:id="285"/>
      </w:r>
      <w:r>
        <w:rPr>
          <w:rFonts w:asciiTheme="majorBidi" w:hAnsiTheme="majorBidi" w:cstheme="majorBidi"/>
          <w:b/>
          <w:bCs/>
          <w:sz w:val="24"/>
          <w:szCs w:val="24"/>
        </w:rPr>
        <w:t xml:space="preserve"> (2022)</w:t>
      </w:r>
      <w:r>
        <w:rPr>
          <w:rFonts w:asciiTheme="majorBidi" w:hAnsiTheme="majorBidi" w:cstheme="majorBidi"/>
          <w:sz w:val="24"/>
          <w:szCs w:val="24"/>
        </w:rPr>
        <w:t xml:space="preserve"> </w:t>
      </w:r>
      <w:r>
        <w:rPr>
          <w:rFonts w:asciiTheme="majorBidi" w:hAnsiTheme="majorBidi" w:cstheme="majorBidi"/>
          <w:sz w:val="24"/>
          <w:szCs w:val="24"/>
          <w:rtl/>
        </w:rPr>
        <w:t>من تحميل المستخدم تبعة كل خلل تقني على نحو مطلق، بما قد يقتضي توزيعًا مسؤولًا للمخاطر عند ثبوت قصور المزود أو خلل تقني لا يمكن للمستخدم كشفه</w:t>
      </w:r>
      <w:r>
        <w:rPr>
          <w:rFonts w:asciiTheme="majorBidi" w:hAnsiTheme="majorBidi" w:cstheme="majorBidi"/>
          <w:sz w:val="24"/>
          <w:szCs w:val="24"/>
        </w:rPr>
        <w:t>.</w:t>
      </w:r>
    </w:p>
    <w:p w14:paraId="03D6936C"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ومن رأيي كباحث: الحل النظامي المتوازن هنا يقوم على </w:t>
      </w:r>
      <w:r>
        <w:rPr>
          <w:rFonts w:asciiTheme="majorBidi" w:hAnsiTheme="majorBidi" w:cstheme="majorBidi"/>
          <w:b/>
          <w:bCs/>
          <w:sz w:val="24"/>
          <w:szCs w:val="24"/>
          <w:rtl/>
        </w:rPr>
        <w:t>مستويين من المسؤولية</w:t>
      </w:r>
      <w:r>
        <w:rPr>
          <w:rFonts w:asciiTheme="majorBidi" w:hAnsiTheme="majorBidi" w:cstheme="majorBidi"/>
          <w:sz w:val="24"/>
          <w:szCs w:val="24"/>
        </w:rPr>
        <w:t>:</w:t>
      </w:r>
    </w:p>
    <w:p w14:paraId="59E247D6" w14:textId="77777777" w:rsidR="00CF598B" w:rsidRPr="003A3742" w:rsidRDefault="00CF598B">
      <w:pPr>
        <w:numPr>
          <w:ilvl w:val="0"/>
          <w:numId w:val="33"/>
        </w:numPr>
        <w:jc w:val="right"/>
        <w:rPr>
          <w:rFonts w:asciiTheme="majorBidi" w:hAnsiTheme="majorBidi" w:cstheme="majorBidi"/>
          <w:sz w:val="24"/>
          <w:szCs w:val="24"/>
        </w:rPr>
      </w:pPr>
      <w:r>
        <w:rPr>
          <w:rFonts w:asciiTheme="majorBidi" w:hAnsiTheme="majorBidi" w:cstheme="majorBidi"/>
          <w:sz w:val="24"/>
          <w:szCs w:val="24"/>
          <w:rtl/>
        </w:rPr>
        <w:t>أمام الموكل: يبقى المكتب مسؤولًا أصلًا عن سلامة تقديم الخدمة، لأنه صاحب العلاقة العقدية والصفة المهنية</w:t>
      </w:r>
      <w:r>
        <w:rPr>
          <w:rFonts w:asciiTheme="majorBidi" w:hAnsiTheme="majorBidi" w:cstheme="majorBidi"/>
          <w:sz w:val="24"/>
          <w:szCs w:val="24"/>
        </w:rPr>
        <w:t>.</w:t>
      </w:r>
    </w:p>
    <w:p w14:paraId="58EAC005" w14:textId="77777777" w:rsidR="00CF598B" w:rsidRPr="003A3742" w:rsidRDefault="00CF598B">
      <w:pPr>
        <w:numPr>
          <w:ilvl w:val="0"/>
          <w:numId w:val="33"/>
        </w:numPr>
        <w:jc w:val="right"/>
        <w:rPr>
          <w:rFonts w:asciiTheme="majorBidi" w:hAnsiTheme="majorBidi" w:cstheme="majorBidi"/>
          <w:sz w:val="24"/>
          <w:szCs w:val="24"/>
        </w:rPr>
      </w:pPr>
      <w:r>
        <w:rPr>
          <w:rFonts w:asciiTheme="majorBidi" w:hAnsiTheme="majorBidi" w:cstheme="majorBidi"/>
          <w:sz w:val="24"/>
          <w:szCs w:val="24"/>
          <w:rtl/>
        </w:rPr>
        <w:t>تجاه مزود التقنية: يملك المكتب حق الرجوع وفقًا لعقد الخدمة (ضمان، تعويض، إخلال بالتزامات الأمان، إلخ)</w:t>
      </w:r>
      <w:r>
        <w:rPr>
          <w:rFonts w:asciiTheme="majorBidi" w:hAnsiTheme="majorBidi" w:cstheme="majorBidi"/>
          <w:sz w:val="24"/>
          <w:szCs w:val="24"/>
        </w:rPr>
        <w:t>.</w:t>
      </w:r>
    </w:p>
    <w:p w14:paraId="40D57382"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وبالتالي، مجرد وجود طرف ثالث لا يُسقط المسؤولية، بل يحوّل جزءًا منها إلى </w:t>
      </w:r>
      <w:r>
        <w:rPr>
          <w:rFonts w:asciiTheme="majorBidi" w:hAnsiTheme="majorBidi" w:cstheme="majorBidi"/>
          <w:b/>
          <w:bCs/>
          <w:sz w:val="24"/>
          <w:szCs w:val="24"/>
          <w:rtl/>
        </w:rPr>
        <w:t>مسؤولية رجوعية</w:t>
      </w:r>
      <w:r>
        <w:rPr>
          <w:rFonts w:asciiTheme="majorBidi" w:hAnsiTheme="majorBidi" w:cstheme="majorBidi"/>
          <w:sz w:val="24"/>
          <w:szCs w:val="24"/>
          <w:rtl/>
        </w:rPr>
        <w:t xml:space="preserve"> بعد تعويض الموكل، وهو ما يجعل صياغة عقود مزودي التقنية جزءًا من الاحتراز المهني لا مجرد مسألة تقنية</w:t>
      </w:r>
      <w:r>
        <w:rPr>
          <w:rFonts w:asciiTheme="majorBidi" w:hAnsiTheme="majorBidi" w:cstheme="majorBidi"/>
          <w:sz w:val="24"/>
          <w:szCs w:val="24"/>
        </w:rPr>
        <w:t>.</w:t>
      </w:r>
    </w:p>
    <w:p w14:paraId="57BD0716" w14:textId="77777777" w:rsidR="00CF598B" w:rsidRPr="003A3742" w:rsidRDefault="00CF598B" w:rsidP="00CF598B">
      <w:pPr>
        <w:jc w:val="right"/>
        <w:rPr>
          <w:rFonts w:asciiTheme="majorBidi" w:hAnsiTheme="majorBidi" w:cstheme="majorBidi"/>
          <w:sz w:val="24"/>
          <w:szCs w:val="24"/>
          <w:rtl/>
        </w:rPr>
      </w:pPr>
    </w:p>
    <w:p w14:paraId="09C5AE10" w14:textId="77777777" w:rsidR="00CF598B" w:rsidRPr="003A3742"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ثاني عشر: “سجل القرار المهني” كقرينة على بذل العناية في بيئة الذكاء الاصطناعي</w:t>
      </w:r>
    </w:p>
    <w:p w14:paraId="7FB351D5"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من أهم الأفكار غير المطروقة سابقًا: في النزاع، كثيرًا ما تكون المشكلة ليست “هل أخطأ المحامي؟” بل “هل يستطيع إثبات أنه لم يُهمل؟”. وفي بيئة الذكاء الاصطناعي، يصبح مفهوم </w:t>
      </w:r>
      <w:r>
        <w:rPr>
          <w:rFonts w:asciiTheme="majorBidi" w:hAnsiTheme="majorBidi" w:cstheme="majorBidi"/>
          <w:b/>
          <w:bCs/>
          <w:sz w:val="24"/>
          <w:szCs w:val="24"/>
          <w:rtl/>
        </w:rPr>
        <w:t>توثيق خطوات العمل</w:t>
      </w:r>
      <w:r>
        <w:rPr>
          <w:rFonts w:asciiTheme="majorBidi" w:hAnsiTheme="majorBidi" w:cstheme="majorBidi"/>
          <w:sz w:val="24"/>
          <w:szCs w:val="24"/>
          <w:rtl/>
        </w:rPr>
        <w:t xml:space="preserve"> عنصرًا حاسمًا في تقدير الخطأ والسببية</w:t>
      </w:r>
      <w:r>
        <w:rPr>
          <w:rFonts w:asciiTheme="majorBidi" w:hAnsiTheme="majorBidi" w:cstheme="majorBidi"/>
          <w:sz w:val="24"/>
          <w:szCs w:val="24"/>
        </w:rPr>
        <w:t>.</w:t>
      </w:r>
    </w:p>
    <w:p w14:paraId="1D575729"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وهنا يظهر ما يمكن تسميته</w:t>
      </w:r>
      <w:r>
        <w:rPr>
          <w:rFonts w:asciiTheme="majorBidi" w:hAnsiTheme="majorBidi" w:cstheme="majorBidi"/>
          <w:sz w:val="24"/>
          <w:szCs w:val="24"/>
        </w:rPr>
        <w:t xml:space="preserve">: </w:t>
      </w:r>
      <w:r>
        <w:rPr>
          <w:rFonts w:asciiTheme="majorBidi" w:hAnsiTheme="majorBidi" w:cstheme="majorBidi"/>
          <w:b/>
          <w:bCs/>
          <w:sz w:val="24"/>
          <w:szCs w:val="24"/>
          <w:rtl/>
        </w:rPr>
        <w:t>سجل القرار المهني</w:t>
      </w:r>
      <w:r>
        <w:rPr>
          <w:rFonts w:asciiTheme="majorBidi" w:hAnsiTheme="majorBidi" w:cstheme="majorBidi"/>
          <w:sz w:val="24"/>
          <w:szCs w:val="24"/>
          <w:rtl/>
        </w:rPr>
        <w:t xml:space="preserve"> </w:t>
      </w:r>
      <w:r>
        <w:rPr>
          <w:rFonts w:asciiTheme="majorBidi" w:hAnsiTheme="majorBidi" w:cstheme="majorBidi"/>
          <w:sz w:val="24"/>
          <w:szCs w:val="24"/>
        </w:rPr>
        <w:t xml:space="preserve">(Decision Log) </w:t>
      </w:r>
      <w:r>
        <w:rPr>
          <w:rFonts w:asciiTheme="majorBidi" w:hAnsiTheme="majorBidi" w:cstheme="majorBidi"/>
          <w:sz w:val="24"/>
          <w:szCs w:val="24"/>
          <w:rtl/>
        </w:rPr>
        <w:t>أو “أثر المراجعة</w:t>
      </w:r>
      <w:r>
        <w:rPr>
          <w:rFonts w:asciiTheme="majorBidi" w:hAnsiTheme="majorBidi" w:cstheme="majorBidi"/>
          <w:sz w:val="24"/>
          <w:szCs w:val="24"/>
        </w:rPr>
        <w:t xml:space="preserve">” (Audit Trail) </w:t>
      </w:r>
      <w:r>
        <w:rPr>
          <w:rFonts w:asciiTheme="majorBidi" w:hAnsiTheme="majorBidi" w:cstheme="majorBidi"/>
          <w:sz w:val="24"/>
          <w:szCs w:val="24"/>
          <w:rtl/>
        </w:rPr>
        <w:t xml:space="preserve">بوصفه قرينة عملية على قيام العناية. وهذا يتسق مع الاتجاهات المؤسسية في حوكمة الذكاء الاصطناعي التي تؤكد على التنظيم والتوثيق ووضوح الأدوار (سدايا، 2023). كما يتصل بمسألة “انقطاع الصلة الإدراكية” التي ناقشها </w:t>
      </w:r>
      <w:r>
        <w:rPr>
          <w:rFonts w:asciiTheme="majorBidi" w:hAnsiTheme="majorBidi" w:cstheme="majorBidi"/>
          <w:b/>
          <w:bCs/>
          <w:sz w:val="24"/>
          <w:szCs w:val="24"/>
          <w:rtl/>
        </w:rPr>
        <w:t>خليل</w:t>
      </w:r>
      <w:r>
        <w:rPr>
          <w:rStyle w:val="af"/>
          <w:rFonts w:asciiTheme="majorBidi" w:hAnsiTheme="majorBidi" w:cstheme="majorBidi"/>
          <w:b/>
          <w:bCs/>
          <w:sz w:val="24"/>
          <w:szCs w:val="24"/>
          <w:rtl/>
        </w:rPr>
        <w:footnoteReference w:id="286"/>
      </w:r>
      <w:r>
        <w:rPr>
          <w:rFonts w:asciiTheme="majorBidi" w:hAnsiTheme="majorBidi" w:cstheme="majorBidi"/>
          <w:b/>
          <w:bCs/>
          <w:sz w:val="24"/>
          <w:szCs w:val="24"/>
        </w:rPr>
        <w:t xml:space="preserve"> (2022)</w:t>
      </w:r>
      <w:r>
        <w:rPr>
          <w:rFonts w:asciiTheme="majorBidi" w:hAnsiTheme="majorBidi" w:cstheme="majorBidi"/>
          <w:sz w:val="24"/>
          <w:szCs w:val="24"/>
          <w:rtl/>
        </w:rPr>
        <w:t>؛ إذ إن تعقيد الخوارزمية لا يُعالج بإعفاء المسؤول، بل بإيجاد أدوات توثيق تساعد على بيان ما تم فعله وما تم التحقق منه</w:t>
      </w:r>
      <w:r>
        <w:rPr>
          <w:rFonts w:asciiTheme="majorBidi" w:hAnsiTheme="majorBidi" w:cstheme="majorBidi"/>
          <w:sz w:val="24"/>
          <w:szCs w:val="24"/>
        </w:rPr>
        <w:t>.</w:t>
      </w:r>
    </w:p>
    <w:p w14:paraId="3AB78042"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أمثلة عملية لسجل القرار المهني في مكتب محاماة يستخدم الذكاء الاصطناعي</w:t>
      </w:r>
      <w:r>
        <w:rPr>
          <w:rFonts w:asciiTheme="majorBidi" w:hAnsiTheme="majorBidi" w:cstheme="majorBidi"/>
          <w:sz w:val="24"/>
          <w:szCs w:val="24"/>
        </w:rPr>
        <w:t>:</w:t>
      </w:r>
    </w:p>
    <w:p w14:paraId="2CC03EF1" w14:textId="77777777" w:rsidR="00CF598B" w:rsidRPr="003A3742" w:rsidRDefault="00CF598B">
      <w:pPr>
        <w:numPr>
          <w:ilvl w:val="0"/>
          <w:numId w:val="34"/>
        </w:numPr>
        <w:jc w:val="right"/>
        <w:rPr>
          <w:rFonts w:asciiTheme="majorBidi" w:hAnsiTheme="majorBidi" w:cstheme="majorBidi"/>
          <w:sz w:val="24"/>
          <w:szCs w:val="24"/>
        </w:rPr>
      </w:pPr>
      <w:r>
        <w:rPr>
          <w:rFonts w:asciiTheme="majorBidi" w:hAnsiTheme="majorBidi" w:cstheme="majorBidi"/>
          <w:sz w:val="24"/>
          <w:szCs w:val="24"/>
          <w:rtl/>
        </w:rPr>
        <w:t>ما الغرض من استخدام الأداة في هذه المسألة تحديدًا؟</w:t>
      </w:r>
    </w:p>
    <w:p w14:paraId="663B6AA8" w14:textId="77777777" w:rsidR="00CF598B" w:rsidRPr="003A3742" w:rsidRDefault="00CF598B">
      <w:pPr>
        <w:numPr>
          <w:ilvl w:val="0"/>
          <w:numId w:val="34"/>
        </w:numPr>
        <w:jc w:val="right"/>
        <w:rPr>
          <w:rFonts w:asciiTheme="majorBidi" w:hAnsiTheme="majorBidi" w:cstheme="majorBidi"/>
          <w:sz w:val="24"/>
          <w:szCs w:val="24"/>
        </w:rPr>
      </w:pPr>
      <w:r>
        <w:rPr>
          <w:rFonts w:asciiTheme="majorBidi" w:hAnsiTheme="majorBidi" w:cstheme="majorBidi"/>
          <w:sz w:val="24"/>
          <w:szCs w:val="24"/>
          <w:rtl/>
        </w:rPr>
        <w:t>ما نوع البيانات التي أُدخلت؟ وهل أُزيلت منها المعلومات الحساسة؟</w:t>
      </w:r>
    </w:p>
    <w:p w14:paraId="10779756" w14:textId="77777777" w:rsidR="00CF598B" w:rsidRPr="003A3742" w:rsidRDefault="00CF598B">
      <w:pPr>
        <w:numPr>
          <w:ilvl w:val="0"/>
          <w:numId w:val="34"/>
        </w:numPr>
        <w:jc w:val="right"/>
        <w:rPr>
          <w:rFonts w:asciiTheme="majorBidi" w:hAnsiTheme="majorBidi" w:cstheme="majorBidi"/>
          <w:sz w:val="24"/>
          <w:szCs w:val="24"/>
        </w:rPr>
      </w:pPr>
      <w:r>
        <w:rPr>
          <w:rFonts w:asciiTheme="majorBidi" w:hAnsiTheme="majorBidi" w:cstheme="majorBidi"/>
          <w:sz w:val="24"/>
          <w:szCs w:val="24"/>
          <w:rtl/>
        </w:rPr>
        <w:t>هل تم التحقق من مصادر النصوص النظامية/السوابق؟</w:t>
      </w:r>
    </w:p>
    <w:p w14:paraId="56F56BB9" w14:textId="77777777" w:rsidR="00CF598B" w:rsidRPr="003A3742" w:rsidRDefault="00CF598B">
      <w:pPr>
        <w:numPr>
          <w:ilvl w:val="0"/>
          <w:numId w:val="34"/>
        </w:numPr>
        <w:jc w:val="right"/>
        <w:rPr>
          <w:rFonts w:asciiTheme="majorBidi" w:hAnsiTheme="majorBidi" w:cstheme="majorBidi"/>
          <w:sz w:val="24"/>
          <w:szCs w:val="24"/>
        </w:rPr>
      </w:pPr>
      <w:r>
        <w:rPr>
          <w:rFonts w:asciiTheme="majorBidi" w:hAnsiTheme="majorBidi" w:cstheme="majorBidi"/>
          <w:sz w:val="24"/>
          <w:szCs w:val="24"/>
          <w:rtl/>
        </w:rPr>
        <w:t>ما الذي تم تعديله يدويًا؟ وما الذي تم رفضه؟ ولماذا؟</w:t>
      </w:r>
    </w:p>
    <w:p w14:paraId="20327BDD" w14:textId="77777777" w:rsidR="00CF598B" w:rsidRPr="003A3742" w:rsidRDefault="00CF598B">
      <w:pPr>
        <w:numPr>
          <w:ilvl w:val="0"/>
          <w:numId w:val="34"/>
        </w:numPr>
        <w:jc w:val="right"/>
        <w:rPr>
          <w:rFonts w:asciiTheme="majorBidi" w:hAnsiTheme="majorBidi" w:cstheme="majorBidi"/>
          <w:sz w:val="24"/>
          <w:szCs w:val="24"/>
        </w:rPr>
      </w:pPr>
      <w:r>
        <w:rPr>
          <w:rFonts w:asciiTheme="majorBidi" w:hAnsiTheme="majorBidi" w:cstheme="majorBidi"/>
          <w:sz w:val="24"/>
          <w:szCs w:val="24"/>
          <w:rtl/>
        </w:rPr>
        <w:t>من اعتمد النسخة النهائية؟ ومتى؟</w:t>
      </w:r>
    </w:p>
    <w:p w14:paraId="4BC69717" w14:textId="77777777" w:rsidR="00CF598B" w:rsidRPr="003A3742" w:rsidRDefault="00F56EF2" w:rsidP="00CF598B">
      <w:pPr>
        <w:jc w:val="right"/>
        <w:rPr>
          <w:rFonts w:asciiTheme="majorBidi" w:hAnsiTheme="majorBidi" w:cstheme="majorBidi"/>
          <w:sz w:val="24"/>
          <w:szCs w:val="24"/>
        </w:rPr>
      </w:pPr>
      <w:r>
        <w:rPr>
          <w:rFonts w:asciiTheme="majorBidi" w:hAnsiTheme="majorBidi" w:cstheme="majorBidi" w:hint="cs"/>
          <w:sz w:val="24"/>
          <w:szCs w:val="24"/>
          <w:rtl/>
        </w:rPr>
        <w:t>ومن خلال ما سبق فإن</w:t>
      </w:r>
      <w:r>
        <w:rPr>
          <w:rFonts w:asciiTheme="majorBidi" w:hAnsiTheme="majorBidi" w:cstheme="majorBidi"/>
          <w:sz w:val="24"/>
          <w:szCs w:val="24"/>
          <w:rtl/>
        </w:rPr>
        <w:t xml:space="preserve"> وجود هذا السجل لا يرفع المسؤولية تلقائيًا، لكنه يغير </w:t>
      </w:r>
      <w:r>
        <w:rPr>
          <w:rFonts w:asciiTheme="majorBidi" w:hAnsiTheme="majorBidi" w:cstheme="majorBidi"/>
          <w:b/>
          <w:bCs/>
          <w:sz w:val="24"/>
          <w:szCs w:val="24"/>
          <w:rtl/>
        </w:rPr>
        <w:t>تقدير المحكمة</w:t>
      </w:r>
      <w:r>
        <w:rPr>
          <w:rFonts w:asciiTheme="majorBidi" w:hAnsiTheme="majorBidi" w:cstheme="majorBidi"/>
          <w:sz w:val="24"/>
          <w:szCs w:val="24"/>
          <w:rtl/>
        </w:rPr>
        <w:t xml:space="preserve"> أو الجهة الناظرة للمسؤولية؛ لأنه يقدّم دليلًا على أن المحامي مارس إشرافًا فعليًا ولم يعتمد اعتمادًا أعمى. وفي المقابل، غياب أي توثيق في قضايا عالية المخاطر قد يُفهم كقرينة على الإهمال أو ضعف العناية، خصوصًا إذا كان الضرر يمكن توقعه</w:t>
      </w:r>
      <w:r>
        <w:rPr>
          <w:rFonts w:asciiTheme="majorBidi" w:hAnsiTheme="majorBidi" w:cstheme="majorBidi"/>
          <w:sz w:val="24"/>
          <w:szCs w:val="24"/>
        </w:rPr>
        <w:t>.</w:t>
      </w:r>
    </w:p>
    <w:p w14:paraId="1C9F23FA" w14:textId="77777777" w:rsidR="00CF598B" w:rsidRDefault="00CF598B" w:rsidP="00CF598B">
      <w:pPr>
        <w:jc w:val="right"/>
        <w:rPr>
          <w:rFonts w:asciiTheme="majorBidi" w:hAnsiTheme="majorBidi" w:cstheme="majorBidi"/>
          <w:sz w:val="24"/>
          <w:szCs w:val="24"/>
        </w:rPr>
      </w:pPr>
    </w:p>
    <w:p w14:paraId="240ECA50" w14:textId="77777777" w:rsidR="00DE638A" w:rsidRDefault="00DE638A" w:rsidP="00CF598B">
      <w:pPr>
        <w:jc w:val="right"/>
        <w:rPr>
          <w:rFonts w:asciiTheme="majorBidi" w:hAnsiTheme="majorBidi" w:cstheme="majorBidi"/>
          <w:sz w:val="24"/>
          <w:szCs w:val="24"/>
        </w:rPr>
      </w:pPr>
    </w:p>
    <w:p w14:paraId="2033E066" w14:textId="77777777" w:rsidR="00CF598B" w:rsidRPr="003A3742" w:rsidRDefault="00CF598B" w:rsidP="00CF598B">
      <w:pPr>
        <w:jc w:val="center"/>
        <w:rPr>
          <w:rFonts w:asciiTheme="majorBidi" w:hAnsiTheme="majorBidi" w:cstheme="majorBidi"/>
          <w:b/>
          <w:bCs/>
          <w:sz w:val="32"/>
          <w:szCs w:val="32"/>
        </w:rPr>
      </w:pPr>
      <w:r>
        <w:rPr>
          <w:rFonts w:asciiTheme="majorBidi" w:hAnsiTheme="majorBidi" w:cstheme="majorBidi"/>
          <w:b/>
          <w:bCs/>
          <w:sz w:val="32"/>
          <w:szCs w:val="32"/>
          <w:rtl/>
        </w:rPr>
        <w:lastRenderedPageBreak/>
        <w:t>المطلب الثاني</w:t>
      </w:r>
    </w:p>
    <w:p w14:paraId="013473D6" w14:textId="77777777" w:rsidR="00CF598B" w:rsidRPr="003A3742" w:rsidRDefault="00CF598B" w:rsidP="00CF598B">
      <w:pPr>
        <w:jc w:val="center"/>
        <w:rPr>
          <w:rFonts w:asciiTheme="majorBidi" w:hAnsiTheme="majorBidi" w:cstheme="majorBidi"/>
          <w:b/>
          <w:bCs/>
          <w:sz w:val="32"/>
          <w:szCs w:val="32"/>
        </w:rPr>
      </w:pPr>
      <w:r>
        <w:rPr>
          <w:rFonts w:asciiTheme="majorBidi" w:hAnsiTheme="majorBidi" w:cstheme="majorBidi"/>
          <w:b/>
          <w:bCs/>
          <w:sz w:val="32"/>
          <w:szCs w:val="32"/>
          <w:rtl/>
        </w:rPr>
        <w:t>مسؤولية المطوّر، والمستخدم، ومقدّم التقنية</w:t>
      </w:r>
    </w:p>
    <w:p w14:paraId="544C96DB" w14:textId="77777777" w:rsidR="00CF598B" w:rsidRPr="003A3742"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من المسؤولية الفردية إلى المسؤولية متعددة الأطراف</w:t>
      </w:r>
    </w:p>
    <w:p w14:paraId="19443FA8"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إذا كان المطلب الأول قد انصرف إلى بحث مسؤولية المحامي بوصفه المستخدم المهني للمخرجات الذكية، فإن الإشكال في هذا المطلب يتجاوز الشخص المهني الواحد إلى </w:t>
      </w:r>
      <w:r>
        <w:rPr>
          <w:rFonts w:asciiTheme="majorBidi" w:hAnsiTheme="majorBidi" w:cstheme="majorBidi"/>
          <w:b/>
          <w:bCs/>
          <w:sz w:val="24"/>
          <w:szCs w:val="24"/>
          <w:rtl/>
        </w:rPr>
        <w:t>البنية الكاملة للمنظومة التقنية</w:t>
      </w:r>
      <w:r>
        <w:rPr>
          <w:rFonts w:asciiTheme="majorBidi" w:hAnsiTheme="majorBidi" w:cstheme="majorBidi"/>
          <w:sz w:val="24"/>
          <w:szCs w:val="24"/>
          <w:rtl/>
        </w:rPr>
        <w:t xml:space="preserve"> التي أنتجت المخرج القانوني. فالمسؤولية في بيئة الذكاء الاصطناعي لا تنحصر – واقعيًا – في فاعل مباشر واحد، بل تتوزع بين أطراف عدة</w:t>
      </w:r>
      <w:r>
        <w:rPr>
          <w:rFonts w:asciiTheme="majorBidi" w:hAnsiTheme="majorBidi" w:cstheme="majorBidi"/>
          <w:sz w:val="24"/>
          <w:szCs w:val="24"/>
        </w:rPr>
        <w:t>:</w:t>
      </w:r>
    </w:p>
    <w:p w14:paraId="6A4AC4C7" w14:textId="77777777" w:rsidR="00CF598B" w:rsidRPr="003A3742" w:rsidRDefault="00CF598B">
      <w:pPr>
        <w:numPr>
          <w:ilvl w:val="0"/>
          <w:numId w:val="35"/>
        </w:numPr>
        <w:jc w:val="right"/>
        <w:rPr>
          <w:rFonts w:asciiTheme="majorBidi" w:hAnsiTheme="majorBidi" w:cstheme="majorBidi"/>
          <w:sz w:val="24"/>
          <w:szCs w:val="24"/>
        </w:rPr>
      </w:pPr>
      <w:r>
        <w:rPr>
          <w:rFonts w:asciiTheme="majorBidi" w:hAnsiTheme="majorBidi" w:cstheme="majorBidi"/>
          <w:sz w:val="24"/>
          <w:szCs w:val="24"/>
          <w:rtl/>
        </w:rPr>
        <w:t>مطوّر الخوارزمية</w:t>
      </w:r>
      <w:r>
        <w:rPr>
          <w:rFonts w:asciiTheme="majorBidi" w:hAnsiTheme="majorBidi" w:cstheme="majorBidi"/>
          <w:sz w:val="24"/>
          <w:szCs w:val="24"/>
        </w:rPr>
        <w:t>.</w:t>
      </w:r>
    </w:p>
    <w:p w14:paraId="516C01B3" w14:textId="77777777" w:rsidR="00CF598B" w:rsidRPr="003A3742" w:rsidRDefault="00CF598B">
      <w:pPr>
        <w:numPr>
          <w:ilvl w:val="0"/>
          <w:numId w:val="35"/>
        </w:numPr>
        <w:jc w:val="right"/>
        <w:rPr>
          <w:rFonts w:asciiTheme="majorBidi" w:hAnsiTheme="majorBidi" w:cstheme="majorBidi"/>
          <w:sz w:val="24"/>
          <w:szCs w:val="24"/>
        </w:rPr>
      </w:pPr>
      <w:r>
        <w:rPr>
          <w:rFonts w:asciiTheme="majorBidi" w:hAnsiTheme="majorBidi" w:cstheme="majorBidi"/>
          <w:sz w:val="24"/>
          <w:szCs w:val="24"/>
          <w:rtl/>
        </w:rPr>
        <w:t>مزوّد المنصة أو الشركة التقنية</w:t>
      </w:r>
      <w:r>
        <w:rPr>
          <w:rFonts w:asciiTheme="majorBidi" w:hAnsiTheme="majorBidi" w:cstheme="majorBidi"/>
          <w:sz w:val="24"/>
          <w:szCs w:val="24"/>
        </w:rPr>
        <w:t>.</w:t>
      </w:r>
    </w:p>
    <w:p w14:paraId="378A1016" w14:textId="77777777" w:rsidR="00CF598B" w:rsidRPr="003A3742" w:rsidRDefault="00CF598B">
      <w:pPr>
        <w:numPr>
          <w:ilvl w:val="0"/>
          <w:numId w:val="35"/>
        </w:numPr>
        <w:jc w:val="right"/>
        <w:rPr>
          <w:rFonts w:asciiTheme="majorBidi" w:hAnsiTheme="majorBidi" w:cstheme="majorBidi"/>
          <w:sz w:val="24"/>
          <w:szCs w:val="24"/>
        </w:rPr>
      </w:pPr>
      <w:r>
        <w:rPr>
          <w:rFonts w:asciiTheme="majorBidi" w:hAnsiTheme="majorBidi" w:cstheme="majorBidi"/>
          <w:sz w:val="24"/>
          <w:szCs w:val="24"/>
          <w:rtl/>
        </w:rPr>
        <w:t>المستخدم المهني (المحامي أو المكتب)</w:t>
      </w:r>
      <w:r>
        <w:rPr>
          <w:rFonts w:asciiTheme="majorBidi" w:hAnsiTheme="majorBidi" w:cstheme="majorBidi"/>
          <w:sz w:val="24"/>
          <w:szCs w:val="24"/>
        </w:rPr>
        <w:t>.</w:t>
      </w:r>
    </w:p>
    <w:p w14:paraId="4697F096" w14:textId="77777777" w:rsidR="00CF598B" w:rsidRPr="003A3742" w:rsidRDefault="00CF598B">
      <w:pPr>
        <w:numPr>
          <w:ilvl w:val="0"/>
          <w:numId w:val="35"/>
        </w:numPr>
        <w:jc w:val="right"/>
        <w:rPr>
          <w:rFonts w:asciiTheme="majorBidi" w:hAnsiTheme="majorBidi" w:cstheme="majorBidi"/>
          <w:sz w:val="24"/>
          <w:szCs w:val="24"/>
        </w:rPr>
      </w:pPr>
      <w:r>
        <w:rPr>
          <w:rFonts w:asciiTheme="majorBidi" w:hAnsiTheme="majorBidi" w:cstheme="majorBidi"/>
          <w:sz w:val="24"/>
          <w:szCs w:val="24"/>
          <w:rtl/>
        </w:rPr>
        <w:t>أحيانًا مزوّد البيانات أو مشغّل البنية السحابية</w:t>
      </w:r>
      <w:r>
        <w:rPr>
          <w:rFonts w:asciiTheme="majorBidi" w:hAnsiTheme="majorBidi" w:cstheme="majorBidi"/>
          <w:sz w:val="24"/>
          <w:szCs w:val="24"/>
        </w:rPr>
        <w:t>.</w:t>
      </w:r>
    </w:p>
    <w:p w14:paraId="4DF5871A"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وهنا يبرز سؤال جوهري</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هل تُبنى المسؤولية في هذه البيئة على فكرة الخطأ الشخصي، أم على فكرة توزيع المخاطر، أم على معيار السيطرة والرقابة؟</w:t>
      </w:r>
    </w:p>
    <w:p w14:paraId="5F4CDDC4"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في الفقه المعاصر لمسؤولية الذكاء الاصطناعي، يذهب بعض الباحثين إلى أن تعقيد الخوارزميات يؤدي إلى ما يسمى “تشتت الإسناد</w:t>
      </w:r>
      <w:r>
        <w:rPr>
          <w:rFonts w:asciiTheme="majorBidi" w:hAnsiTheme="majorBidi" w:cstheme="majorBidi"/>
          <w:sz w:val="24"/>
          <w:szCs w:val="24"/>
        </w:rPr>
        <w:t>” (Attribution Dispersion)</w:t>
      </w:r>
      <w:r>
        <w:rPr>
          <w:rFonts w:asciiTheme="majorBidi" w:hAnsiTheme="majorBidi" w:cstheme="majorBidi"/>
          <w:sz w:val="24"/>
          <w:szCs w:val="24"/>
          <w:rtl/>
        </w:rPr>
        <w:t>، بحيث يصعب ردّ الضرر إلى فاعل واحد محدد (خليل</w:t>
      </w:r>
      <w:r>
        <w:rPr>
          <w:rStyle w:val="af"/>
          <w:rFonts w:asciiTheme="majorBidi" w:hAnsiTheme="majorBidi" w:cstheme="majorBidi"/>
          <w:sz w:val="24"/>
          <w:szCs w:val="24"/>
          <w:rtl/>
        </w:rPr>
        <w:footnoteReference w:id="287"/>
      </w:r>
      <w:r>
        <w:rPr>
          <w:rFonts w:asciiTheme="majorBidi" w:hAnsiTheme="majorBidi" w:cstheme="majorBidi"/>
          <w:sz w:val="24"/>
          <w:szCs w:val="24"/>
          <w:rtl/>
        </w:rPr>
        <w:t>، 2022). وفي المقابل، يحذر المالكي</w:t>
      </w:r>
      <w:r>
        <w:rPr>
          <w:rStyle w:val="af"/>
          <w:rFonts w:asciiTheme="majorBidi" w:hAnsiTheme="majorBidi" w:cstheme="majorBidi"/>
          <w:sz w:val="24"/>
          <w:szCs w:val="24"/>
          <w:rtl/>
        </w:rPr>
        <w:footnoteReference w:id="288"/>
      </w:r>
      <w:r>
        <w:rPr>
          <w:rFonts w:asciiTheme="majorBidi" w:hAnsiTheme="majorBidi" w:cstheme="majorBidi"/>
          <w:sz w:val="24"/>
          <w:szCs w:val="24"/>
          <w:rtl/>
        </w:rPr>
        <w:t xml:space="preserve"> (2024) من أن هذا التشتت لا ينبغي أن يتحول إلى وسيلة لإفراغ المسؤولية من مضمونها، بل يجب البحث عن الطرف الأقرب إلى السيطرة الفعلية على مصدر الخطر</w:t>
      </w:r>
      <w:r>
        <w:rPr>
          <w:rFonts w:asciiTheme="majorBidi" w:hAnsiTheme="majorBidi" w:cstheme="majorBidi"/>
          <w:sz w:val="24"/>
          <w:szCs w:val="24"/>
        </w:rPr>
        <w:t>.</w:t>
      </w:r>
    </w:p>
    <w:p w14:paraId="22E48292"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ويرى الباحث، فإن الانتقال من مسؤولية المحامي إلى مسؤولية باقي الأطراف لا يعني إعفاءه، بل يعني </w:t>
      </w:r>
      <w:r>
        <w:rPr>
          <w:rFonts w:asciiTheme="majorBidi" w:hAnsiTheme="majorBidi" w:cstheme="majorBidi"/>
          <w:b/>
          <w:bCs/>
          <w:sz w:val="24"/>
          <w:szCs w:val="24"/>
          <w:rtl/>
        </w:rPr>
        <w:t>إعادة هندسة شبكة الإسناد</w:t>
      </w:r>
      <w:r>
        <w:rPr>
          <w:rFonts w:asciiTheme="majorBidi" w:hAnsiTheme="majorBidi" w:cstheme="majorBidi"/>
          <w:sz w:val="24"/>
          <w:szCs w:val="24"/>
          <w:rtl/>
        </w:rPr>
        <w:t xml:space="preserve"> بما يحقق التوازن بين حماية المتضرر وعدم تحميل طرف واحد تبعة منظومة كاملة</w:t>
      </w:r>
      <w:r>
        <w:rPr>
          <w:rFonts w:asciiTheme="majorBidi" w:hAnsiTheme="majorBidi" w:cstheme="majorBidi"/>
          <w:sz w:val="24"/>
          <w:szCs w:val="24"/>
        </w:rPr>
        <w:t>.</w:t>
      </w:r>
    </w:p>
    <w:p w14:paraId="3371D0C4"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وعليه، سيُبنى هذا المطلب على تحليل كل طرف على حدة، ثم بيان العلاقة التبادلية بينهم، وأثر ذلك في توزيع المسؤولية</w:t>
      </w:r>
      <w:r>
        <w:rPr>
          <w:rFonts w:asciiTheme="majorBidi" w:hAnsiTheme="majorBidi" w:cstheme="majorBidi"/>
          <w:sz w:val="24"/>
          <w:szCs w:val="24"/>
        </w:rPr>
        <w:t>.</w:t>
      </w:r>
    </w:p>
    <w:p w14:paraId="3062ABBF" w14:textId="77777777" w:rsidR="00CF598B" w:rsidRPr="003A3742" w:rsidRDefault="00CF598B" w:rsidP="00CF598B">
      <w:pPr>
        <w:jc w:val="right"/>
        <w:rPr>
          <w:rFonts w:asciiTheme="majorBidi" w:hAnsiTheme="majorBidi" w:cstheme="majorBidi"/>
          <w:sz w:val="24"/>
          <w:szCs w:val="24"/>
        </w:rPr>
      </w:pPr>
    </w:p>
    <w:p w14:paraId="54638F3C" w14:textId="77777777" w:rsidR="00CF598B" w:rsidRPr="003A3742"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أولًا: مسؤولية مطوّر الخوارزمية</w:t>
      </w:r>
      <w:r>
        <w:rPr>
          <w:rFonts w:asciiTheme="majorBidi" w:hAnsiTheme="majorBidi" w:cstheme="majorBidi"/>
          <w:b/>
          <w:bCs/>
          <w:sz w:val="24"/>
          <w:szCs w:val="24"/>
        </w:rPr>
        <w:t xml:space="preserve"> </w:t>
      </w:r>
    </w:p>
    <w:p w14:paraId="0A7ACA44" w14:textId="77777777" w:rsidR="00CF598B" w:rsidRPr="003A3742"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Pr>
        <w:t xml:space="preserve">1. </w:t>
      </w:r>
      <w:r>
        <w:rPr>
          <w:rFonts w:asciiTheme="majorBidi" w:hAnsiTheme="majorBidi" w:cstheme="majorBidi"/>
          <w:b/>
          <w:bCs/>
          <w:sz w:val="24"/>
          <w:szCs w:val="24"/>
          <w:rtl/>
        </w:rPr>
        <w:t>الطبيعة القانونية لدور المطوّر</w:t>
      </w:r>
    </w:p>
    <w:p w14:paraId="23AE4189"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المطوّر هو الجهة التي قامت بتصميم الخوارزمية، وتحديد بنيتها، وآلية تدريبها، وقواعد الاستدلال التي تعمل بها. وهو – في كثير من الأحيان – ليس طرفًا في العلاقة المباشرة مع الموكل، بل طرف تقني سابق على الاستخدام المهني</w:t>
      </w:r>
      <w:r>
        <w:rPr>
          <w:rFonts w:asciiTheme="majorBidi" w:hAnsiTheme="majorBidi" w:cstheme="majorBidi"/>
          <w:sz w:val="24"/>
          <w:szCs w:val="24"/>
        </w:rPr>
        <w:t>.</w:t>
      </w:r>
    </w:p>
    <w:p w14:paraId="6F14EC66"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السؤال هنا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هل يمكن مساءلة المطوّر عن ضرر نتج عن مخرج قانوني خاطئ استخدمه محامٍ؟</w:t>
      </w:r>
    </w:p>
    <w:p w14:paraId="10BDF7C6"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lastRenderedPageBreak/>
        <w:t>في ضوء القواعد العامة في المسؤولية المدنية، فإن كل من تسبب بخطئه في إحداث ضرر يلتزم بالتعويض (هيئة الخبراء بمجلس الوزراء، 1445هـ – نظام المعاملات المدنية). وعليه، فإن مسؤولية المطوّر تقوم متى ثبت</w:t>
      </w:r>
      <w:r>
        <w:rPr>
          <w:rFonts w:asciiTheme="majorBidi" w:hAnsiTheme="majorBidi" w:cstheme="majorBidi"/>
          <w:sz w:val="24"/>
          <w:szCs w:val="24"/>
        </w:rPr>
        <w:t>:</w:t>
      </w:r>
    </w:p>
    <w:p w14:paraId="62D71E00" w14:textId="77777777" w:rsidR="00CF598B" w:rsidRPr="003A3742" w:rsidRDefault="00CF598B">
      <w:pPr>
        <w:numPr>
          <w:ilvl w:val="0"/>
          <w:numId w:val="36"/>
        </w:numPr>
        <w:jc w:val="right"/>
        <w:rPr>
          <w:rFonts w:asciiTheme="majorBidi" w:hAnsiTheme="majorBidi" w:cstheme="majorBidi"/>
          <w:sz w:val="24"/>
          <w:szCs w:val="24"/>
        </w:rPr>
      </w:pPr>
      <w:r>
        <w:rPr>
          <w:rFonts w:asciiTheme="majorBidi" w:hAnsiTheme="majorBidi" w:cstheme="majorBidi"/>
          <w:sz w:val="24"/>
          <w:szCs w:val="24"/>
          <w:rtl/>
        </w:rPr>
        <w:t>وجود عيب في تصميم الخوارزمية</w:t>
      </w:r>
      <w:r>
        <w:rPr>
          <w:rFonts w:asciiTheme="majorBidi" w:hAnsiTheme="majorBidi" w:cstheme="majorBidi"/>
          <w:sz w:val="24"/>
          <w:szCs w:val="24"/>
        </w:rPr>
        <w:t>.</w:t>
      </w:r>
    </w:p>
    <w:p w14:paraId="71A6D33E" w14:textId="77777777" w:rsidR="00CF598B" w:rsidRPr="003A3742" w:rsidRDefault="00CF598B">
      <w:pPr>
        <w:numPr>
          <w:ilvl w:val="0"/>
          <w:numId w:val="36"/>
        </w:numPr>
        <w:jc w:val="right"/>
        <w:rPr>
          <w:rFonts w:asciiTheme="majorBidi" w:hAnsiTheme="majorBidi" w:cstheme="majorBidi"/>
          <w:sz w:val="24"/>
          <w:szCs w:val="24"/>
        </w:rPr>
      </w:pPr>
      <w:r>
        <w:rPr>
          <w:rFonts w:asciiTheme="majorBidi" w:hAnsiTheme="majorBidi" w:cstheme="majorBidi"/>
          <w:sz w:val="24"/>
          <w:szCs w:val="24"/>
          <w:rtl/>
        </w:rPr>
        <w:t>أو إهمال في تحديث البيانات النظامية</w:t>
      </w:r>
      <w:r>
        <w:rPr>
          <w:rFonts w:asciiTheme="majorBidi" w:hAnsiTheme="majorBidi" w:cstheme="majorBidi"/>
          <w:sz w:val="24"/>
          <w:szCs w:val="24"/>
        </w:rPr>
        <w:t>.</w:t>
      </w:r>
    </w:p>
    <w:p w14:paraId="2802EB49" w14:textId="77777777" w:rsidR="00CF598B" w:rsidRPr="003A3742" w:rsidRDefault="00CF598B">
      <w:pPr>
        <w:numPr>
          <w:ilvl w:val="0"/>
          <w:numId w:val="36"/>
        </w:numPr>
        <w:jc w:val="right"/>
        <w:rPr>
          <w:rFonts w:asciiTheme="majorBidi" w:hAnsiTheme="majorBidi" w:cstheme="majorBidi"/>
          <w:sz w:val="24"/>
          <w:szCs w:val="24"/>
        </w:rPr>
      </w:pPr>
      <w:r>
        <w:rPr>
          <w:rFonts w:asciiTheme="majorBidi" w:hAnsiTheme="majorBidi" w:cstheme="majorBidi"/>
          <w:sz w:val="24"/>
          <w:szCs w:val="24"/>
          <w:rtl/>
        </w:rPr>
        <w:t>أو قصور في اختبار النظام قبل طرحه</w:t>
      </w:r>
      <w:r>
        <w:rPr>
          <w:rFonts w:asciiTheme="majorBidi" w:hAnsiTheme="majorBidi" w:cstheme="majorBidi"/>
          <w:sz w:val="24"/>
          <w:szCs w:val="24"/>
        </w:rPr>
        <w:t>.</w:t>
      </w:r>
    </w:p>
    <w:p w14:paraId="13090971" w14:textId="77777777" w:rsidR="00CF598B" w:rsidRPr="003A3742" w:rsidRDefault="00CF598B">
      <w:pPr>
        <w:numPr>
          <w:ilvl w:val="0"/>
          <w:numId w:val="36"/>
        </w:numPr>
        <w:jc w:val="right"/>
        <w:rPr>
          <w:rFonts w:asciiTheme="majorBidi" w:hAnsiTheme="majorBidi" w:cstheme="majorBidi"/>
          <w:sz w:val="24"/>
          <w:szCs w:val="24"/>
        </w:rPr>
      </w:pPr>
      <w:r>
        <w:rPr>
          <w:rFonts w:asciiTheme="majorBidi" w:hAnsiTheme="majorBidi" w:cstheme="majorBidi"/>
          <w:sz w:val="24"/>
          <w:szCs w:val="24"/>
          <w:rtl/>
        </w:rPr>
        <w:t>أو إخفاء معلومات جوهرية عن حدود الأداء</w:t>
      </w:r>
      <w:r>
        <w:rPr>
          <w:rFonts w:asciiTheme="majorBidi" w:hAnsiTheme="majorBidi" w:cstheme="majorBidi"/>
          <w:sz w:val="24"/>
          <w:szCs w:val="24"/>
        </w:rPr>
        <w:t>.</w:t>
      </w:r>
    </w:p>
    <w:p w14:paraId="5CBBF72F"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ويشير حمادي </w:t>
      </w:r>
      <w:r>
        <w:rPr>
          <w:rStyle w:val="af"/>
          <w:rFonts w:asciiTheme="majorBidi" w:hAnsiTheme="majorBidi" w:cstheme="majorBidi"/>
          <w:sz w:val="24"/>
          <w:szCs w:val="24"/>
          <w:rtl/>
        </w:rPr>
        <w:footnoteReference w:id="289"/>
      </w:r>
      <w:r>
        <w:rPr>
          <w:rFonts w:asciiTheme="majorBidi" w:hAnsiTheme="majorBidi" w:cstheme="majorBidi"/>
          <w:sz w:val="24"/>
          <w:szCs w:val="24"/>
          <w:rtl/>
        </w:rPr>
        <w:t>(2022) إلى أن مسؤولية مطوّر النظام قد تقترب من مسؤولية المنتج عن العيب في المنتجات الصناعية، خاصة إذا كان النظام يُطرح في السوق بوصفه أداة احترافية يمكن الاعتماد عليها. بينما يرى المالكي</w:t>
      </w:r>
      <w:r>
        <w:rPr>
          <w:rStyle w:val="af"/>
          <w:rFonts w:asciiTheme="majorBidi" w:hAnsiTheme="majorBidi" w:cstheme="majorBidi"/>
          <w:sz w:val="24"/>
          <w:szCs w:val="24"/>
          <w:rtl/>
        </w:rPr>
        <w:footnoteReference w:id="290"/>
      </w:r>
      <w:r>
        <w:rPr>
          <w:rFonts w:asciiTheme="majorBidi" w:hAnsiTheme="majorBidi" w:cstheme="majorBidi"/>
          <w:sz w:val="24"/>
          <w:szCs w:val="24"/>
          <w:rtl/>
        </w:rPr>
        <w:t xml:space="preserve"> (2024) أن المسؤولية يجب أن تُبنى على معيار “توقع الاستخدام”، فإذا كان المطوّر يعلم أن نظامه سيُستخدم في المجال القانوني، وجب عليه مراعاة دقة المعالجة ووضوح التحذيرات</w:t>
      </w:r>
      <w:r>
        <w:rPr>
          <w:rFonts w:asciiTheme="majorBidi" w:hAnsiTheme="majorBidi" w:cstheme="majorBidi"/>
          <w:sz w:val="24"/>
          <w:szCs w:val="24"/>
        </w:rPr>
        <w:t>.</w:t>
      </w:r>
    </w:p>
    <w:p w14:paraId="3206BCB0" w14:textId="77777777" w:rsidR="00CF598B" w:rsidRPr="003A3742"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Pr>
        <w:t xml:space="preserve">2. </w:t>
      </w:r>
      <w:r>
        <w:rPr>
          <w:rFonts w:asciiTheme="majorBidi" w:hAnsiTheme="majorBidi" w:cstheme="majorBidi"/>
          <w:b/>
          <w:bCs/>
          <w:sz w:val="24"/>
          <w:szCs w:val="24"/>
          <w:rtl/>
        </w:rPr>
        <w:t>الخطأ في التصميم</w:t>
      </w:r>
      <w:r>
        <w:rPr>
          <w:rFonts w:asciiTheme="majorBidi" w:hAnsiTheme="majorBidi" w:cstheme="majorBidi"/>
          <w:b/>
          <w:bCs/>
          <w:sz w:val="24"/>
          <w:szCs w:val="24"/>
        </w:rPr>
        <w:t xml:space="preserve"> </w:t>
      </w:r>
    </w:p>
    <w:p w14:paraId="47817405"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أخطر صور مسؤولية المطوّر تتمثل في </w:t>
      </w:r>
      <w:r>
        <w:rPr>
          <w:rFonts w:asciiTheme="majorBidi" w:hAnsiTheme="majorBidi" w:cstheme="majorBidi"/>
          <w:b/>
          <w:bCs/>
          <w:sz w:val="24"/>
          <w:szCs w:val="24"/>
          <w:rtl/>
        </w:rPr>
        <w:t>العيب التصميمي</w:t>
      </w:r>
      <w:r>
        <w:rPr>
          <w:rFonts w:asciiTheme="majorBidi" w:hAnsiTheme="majorBidi" w:cstheme="majorBidi"/>
          <w:sz w:val="24"/>
          <w:szCs w:val="24"/>
          <w:rtl/>
        </w:rPr>
        <w:t>، كأن تكون بنية الخوارزمية نفسها مبنية على قواعد استدلال غير دقيقة أو على بيانات غير ممثلة للبيئة النظامية السعودية. مثال ذلك</w:t>
      </w:r>
      <w:r>
        <w:rPr>
          <w:rFonts w:asciiTheme="majorBidi" w:hAnsiTheme="majorBidi" w:cstheme="majorBidi"/>
          <w:sz w:val="24"/>
          <w:szCs w:val="24"/>
        </w:rPr>
        <w:t>:</w:t>
      </w:r>
    </w:p>
    <w:p w14:paraId="4C4CB39D" w14:textId="77777777" w:rsidR="00CF598B" w:rsidRPr="003A3742" w:rsidRDefault="00CF598B">
      <w:pPr>
        <w:numPr>
          <w:ilvl w:val="0"/>
          <w:numId w:val="37"/>
        </w:numPr>
        <w:jc w:val="right"/>
        <w:rPr>
          <w:rFonts w:asciiTheme="majorBidi" w:hAnsiTheme="majorBidi" w:cstheme="majorBidi"/>
          <w:sz w:val="24"/>
          <w:szCs w:val="24"/>
        </w:rPr>
      </w:pPr>
      <w:r>
        <w:rPr>
          <w:rFonts w:asciiTheme="majorBidi" w:hAnsiTheme="majorBidi" w:cstheme="majorBidi"/>
          <w:sz w:val="24"/>
          <w:szCs w:val="24"/>
          <w:rtl/>
        </w:rPr>
        <w:t>نظام يعتمد على تشريعات أجنبية دون تنبيه واضح</w:t>
      </w:r>
      <w:r>
        <w:rPr>
          <w:rFonts w:asciiTheme="majorBidi" w:hAnsiTheme="majorBidi" w:cstheme="majorBidi"/>
          <w:sz w:val="24"/>
          <w:szCs w:val="24"/>
        </w:rPr>
        <w:t>.</w:t>
      </w:r>
    </w:p>
    <w:p w14:paraId="35937909" w14:textId="77777777" w:rsidR="00CF598B" w:rsidRPr="003A3742" w:rsidRDefault="00CF598B">
      <w:pPr>
        <w:numPr>
          <w:ilvl w:val="0"/>
          <w:numId w:val="37"/>
        </w:numPr>
        <w:jc w:val="right"/>
        <w:rPr>
          <w:rFonts w:asciiTheme="majorBidi" w:hAnsiTheme="majorBidi" w:cstheme="majorBidi"/>
          <w:sz w:val="24"/>
          <w:szCs w:val="24"/>
        </w:rPr>
      </w:pPr>
      <w:r>
        <w:rPr>
          <w:rFonts w:asciiTheme="majorBidi" w:hAnsiTheme="majorBidi" w:cstheme="majorBidi"/>
          <w:sz w:val="24"/>
          <w:szCs w:val="24"/>
          <w:rtl/>
        </w:rPr>
        <w:t>نموذج لغوي يولد سوابق قضائية غير موجودة</w:t>
      </w:r>
      <w:r>
        <w:rPr>
          <w:rFonts w:asciiTheme="majorBidi" w:hAnsiTheme="majorBidi" w:cstheme="majorBidi"/>
          <w:sz w:val="24"/>
          <w:szCs w:val="24"/>
        </w:rPr>
        <w:t>.</w:t>
      </w:r>
    </w:p>
    <w:p w14:paraId="7597106E" w14:textId="77777777" w:rsidR="00CF598B" w:rsidRPr="003A3742" w:rsidRDefault="00CF598B">
      <w:pPr>
        <w:numPr>
          <w:ilvl w:val="0"/>
          <w:numId w:val="37"/>
        </w:numPr>
        <w:jc w:val="right"/>
        <w:rPr>
          <w:rFonts w:asciiTheme="majorBidi" w:hAnsiTheme="majorBidi" w:cstheme="majorBidi"/>
          <w:sz w:val="24"/>
          <w:szCs w:val="24"/>
        </w:rPr>
      </w:pPr>
      <w:r>
        <w:rPr>
          <w:rFonts w:asciiTheme="majorBidi" w:hAnsiTheme="majorBidi" w:cstheme="majorBidi"/>
          <w:sz w:val="24"/>
          <w:szCs w:val="24"/>
          <w:rtl/>
        </w:rPr>
        <w:t>أداة صياغة عقود لا تراعي متطلبات نظامية محلية</w:t>
      </w:r>
      <w:r>
        <w:rPr>
          <w:rFonts w:asciiTheme="majorBidi" w:hAnsiTheme="majorBidi" w:cstheme="majorBidi"/>
          <w:sz w:val="24"/>
          <w:szCs w:val="24"/>
        </w:rPr>
        <w:t>.</w:t>
      </w:r>
    </w:p>
    <w:p w14:paraId="3F5E34B6"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في هذه الحالات، يكون الخلل سابقًا على الاستخدام المهني، ويستند إلى مرحلة التصميم ذاتها</w:t>
      </w:r>
      <w:r>
        <w:rPr>
          <w:rFonts w:asciiTheme="majorBidi" w:hAnsiTheme="majorBidi" w:cstheme="majorBidi"/>
          <w:sz w:val="24"/>
          <w:szCs w:val="24"/>
        </w:rPr>
        <w:t>.</w:t>
      </w:r>
    </w:p>
    <w:p w14:paraId="1C190190"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ومن تحليلي، فإن الخطأ التصميمي يختلف عن الخطأ التشغيلي؛ لأنه يمس “جوهر المنتج”، لا طريقة استخدامه. فإذا ثبت أن النظام معيب في بنيته، فإن مسؤولية المطوّر تكون أصلية، ولا ينهض دفاعه بأن المستخدم أخطأ، ما لم يكن الاستخدام قد خرج عن نطاق الغرض المتوقع</w:t>
      </w:r>
      <w:r>
        <w:rPr>
          <w:rFonts w:asciiTheme="majorBidi" w:hAnsiTheme="majorBidi" w:cstheme="majorBidi"/>
          <w:sz w:val="24"/>
          <w:szCs w:val="24"/>
        </w:rPr>
        <w:t>.</w:t>
      </w:r>
    </w:p>
    <w:p w14:paraId="065DA3D1" w14:textId="77777777" w:rsidR="00CF598B" w:rsidRPr="003A3742"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Pr>
        <w:t xml:space="preserve">3. </w:t>
      </w:r>
      <w:r>
        <w:rPr>
          <w:rFonts w:asciiTheme="majorBidi" w:hAnsiTheme="majorBidi" w:cstheme="majorBidi"/>
          <w:b/>
          <w:bCs/>
          <w:sz w:val="24"/>
          <w:szCs w:val="24"/>
          <w:rtl/>
        </w:rPr>
        <w:t>واجب التحذير والإفصاح عن حدود النظام</w:t>
      </w:r>
    </w:p>
    <w:p w14:paraId="51624CBC"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حتى لو لم يكن النظام معيبًا في ذاته، فإن مسؤولية المطوّر قد تقوم بسبب </w:t>
      </w:r>
      <w:r>
        <w:rPr>
          <w:rFonts w:asciiTheme="majorBidi" w:hAnsiTheme="majorBidi" w:cstheme="majorBidi"/>
          <w:b/>
          <w:bCs/>
          <w:sz w:val="24"/>
          <w:szCs w:val="24"/>
          <w:rtl/>
        </w:rPr>
        <w:t>الإخلال بواجب التحذير</w:t>
      </w:r>
      <w:r>
        <w:rPr>
          <w:rFonts w:asciiTheme="majorBidi" w:hAnsiTheme="majorBidi" w:cstheme="majorBidi"/>
          <w:sz w:val="24"/>
          <w:szCs w:val="24"/>
        </w:rPr>
        <w:t xml:space="preserve">. </w:t>
      </w:r>
      <w:r>
        <w:rPr>
          <w:rFonts w:asciiTheme="majorBidi" w:hAnsiTheme="majorBidi" w:cstheme="majorBidi"/>
          <w:sz w:val="24"/>
          <w:szCs w:val="24"/>
          <w:rtl/>
        </w:rPr>
        <w:t>فإذا كانت الأداة</w:t>
      </w:r>
      <w:r>
        <w:rPr>
          <w:rFonts w:asciiTheme="majorBidi" w:hAnsiTheme="majorBidi" w:cstheme="majorBidi"/>
          <w:sz w:val="24"/>
          <w:szCs w:val="24"/>
        </w:rPr>
        <w:t>:</w:t>
      </w:r>
    </w:p>
    <w:p w14:paraId="4326B0E6" w14:textId="77777777" w:rsidR="00CF598B" w:rsidRPr="003A3742" w:rsidRDefault="00CF598B">
      <w:pPr>
        <w:numPr>
          <w:ilvl w:val="0"/>
          <w:numId w:val="38"/>
        </w:numPr>
        <w:jc w:val="right"/>
        <w:rPr>
          <w:rFonts w:asciiTheme="majorBidi" w:hAnsiTheme="majorBidi" w:cstheme="majorBidi"/>
          <w:sz w:val="24"/>
          <w:szCs w:val="24"/>
        </w:rPr>
      </w:pPr>
      <w:r>
        <w:rPr>
          <w:rFonts w:asciiTheme="majorBidi" w:hAnsiTheme="majorBidi" w:cstheme="majorBidi"/>
          <w:sz w:val="24"/>
          <w:szCs w:val="24"/>
          <w:rtl/>
        </w:rPr>
        <w:t>تجريبية</w:t>
      </w:r>
      <w:r>
        <w:rPr>
          <w:rFonts w:asciiTheme="majorBidi" w:hAnsiTheme="majorBidi" w:cstheme="majorBidi"/>
          <w:sz w:val="24"/>
          <w:szCs w:val="24"/>
        </w:rPr>
        <w:t>.</w:t>
      </w:r>
    </w:p>
    <w:p w14:paraId="3E5D30E9" w14:textId="77777777" w:rsidR="00CF598B" w:rsidRPr="003A3742" w:rsidRDefault="00CF598B">
      <w:pPr>
        <w:numPr>
          <w:ilvl w:val="0"/>
          <w:numId w:val="38"/>
        </w:numPr>
        <w:jc w:val="right"/>
        <w:rPr>
          <w:rFonts w:asciiTheme="majorBidi" w:hAnsiTheme="majorBidi" w:cstheme="majorBidi"/>
          <w:sz w:val="24"/>
          <w:szCs w:val="24"/>
        </w:rPr>
      </w:pPr>
      <w:r>
        <w:rPr>
          <w:rFonts w:asciiTheme="majorBidi" w:hAnsiTheme="majorBidi" w:cstheme="majorBidi"/>
          <w:sz w:val="24"/>
          <w:szCs w:val="24"/>
          <w:rtl/>
        </w:rPr>
        <w:t>غير محدثة بصورة منتظمة</w:t>
      </w:r>
      <w:r>
        <w:rPr>
          <w:rFonts w:asciiTheme="majorBidi" w:hAnsiTheme="majorBidi" w:cstheme="majorBidi"/>
          <w:sz w:val="24"/>
          <w:szCs w:val="24"/>
        </w:rPr>
        <w:t>.</w:t>
      </w:r>
    </w:p>
    <w:p w14:paraId="182A2DD1" w14:textId="77777777" w:rsidR="00CF598B" w:rsidRPr="003A3742" w:rsidRDefault="00CF598B">
      <w:pPr>
        <w:numPr>
          <w:ilvl w:val="0"/>
          <w:numId w:val="38"/>
        </w:numPr>
        <w:jc w:val="right"/>
        <w:rPr>
          <w:rFonts w:asciiTheme="majorBidi" w:hAnsiTheme="majorBidi" w:cstheme="majorBidi"/>
          <w:sz w:val="24"/>
          <w:szCs w:val="24"/>
        </w:rPr>
      </w:pPr>
      <w:r>
        <w:rPr>
          <w:rFonts w:asciiTheme="majorBidi" w:hAnsiTheme="majorBidi" w:cstheme="majorBidi"/>
          <w:sz w:val="24"/>
          <w:szCs w:val="24"/>
          <w:rtl/>
        </w:rPr>
        <w:t>لا تضمن دقة الإحالات</w:t>
      </w:r>
      <w:r>
        <w:rPr>
          <w:rFonts w:asciiTheme="majorBidi" w:hAnsiTheme="majorBidi" w:cstheme="majorBidi"/>
          <w:sz w:val="24"/>
          <w:szCs w:val="24"/>
        </w:rPr>
        <w:t>.</w:t>
      </w:r>
    </w:p>
    <w:p w14:paraId="252C763B" w14:textId="77777777" w:rsidR="00CF598B" w:rsidRPr="003A3742" w:rsidRDefault="00CF598B">
      <w:pPr>
        <w:numPr>
          <w:ilvl w:val="0"/>
          <w:numId w:val="38"/>
        </w:numPr>
        <w:jc w:val="right"/>
        <w:rPr>
          <w:rFonts w:asciiTheme="majorBidi" w:hAnsiTheme="majorBidi" w:cstheme="majorBidi"/>
          <w:sz w:val="24"/>
          <w:szCs w:val="24"/>
        </w:rPr>
      </w:pPr>
      <w:r>
        <w:rPr>
          <w:rFonts w:asciiTheme="majorBidi" w:hAnsiTheme="majorBidi" w:cstheme="majorBidi"/>
          <w:sz w:val="24"/>
          <w:szCs w:val="24"/>
          <w:rtl/>
        </w:rPr>
        <w:t>أو لا تصلح للاستخدام القضائي المباشر</w:t>
      </w:r>
      <w:r>
        <w:rPr>
          <w:rFonts w:asciiTheme="majorBidi" w:hAnsiTheme="majorBidi" w:cstheme="majorBidi"/>
          <w:sz w:val="24"/>
          <w:szCs w:val="24"/>
        </w:rPr>
        <w:t>.</w:t>
      </w:r>
    </w:p>
    <w:p w14:paraId="35C07DF7"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وجب على المطوّر الإفصاح عن هذه الحدود بوضوح</w:t>
      </w:r>
      <w:r>
        <w:rPr>
          <w:rFonts w:asciiTheme="majorBidi" w:hAnsiTheme="majorBidi" w:cstheme="majorBidi"/>
          <w:sz w:val="24"/>
          <w:szCs w:val="24"/>
        </w:rPr>
        <w:t>.</w:t>
      </w:r>
    </w:p>
    <w:p w14:paraId="34AD3FFA"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lastRenderedPageBreak/>
        <w:t>وتتقاطع هذه الفكرة مع مبادئ الشفافية والمساءلة التي أكدت عليها وثيقة أخلاقيات الذكاء الاصطناعي (سدايا، 2023)</w:t>
      </w:r>
      <w:r>
        <w:rPr>
          <w:rStyle w:val="af"/>
          <w:rFonts w:asciiTheme="majorBidi" w:hAnsiTheme="majorBidi" w:cstheme="majorBidi"/>
          <w:sz w:val="24"/>
          <w:szCs w:val="24"/>
          <w:rtl/>
        </w:rPr>
        <w:footnoteReference w:id="291"/>
      </w:r>
      <w:r>
        <w:rPr>
          <w:rFonts w:asciiTheme="majorBidi" w:hAnsiTheme="majorBidi" w:cstheme="majorBidi"/>
          <w:sz w:val="24"/>
          <w:szCs w:val="24"/>
          <w:rtl/>
        </w:rPr>
        <w:t>، حيث تُلزم الجهات المطوّرة ببيان حدود الأنظمة الذكية ومخاطرها. كما أن إخفاء هذه المعلومات قد يُعد تدليسًا أو إخلالًا بواجب مهني تجاه المستخدمين</w:t>
      </w:r>
      <w:r>
        <w:rPr>
          <w:rFonts w:asciiTheme="majorBidi" w:hAnsiTheme="majorBidi" w:cstheme="majorBidi"/>
          <w:sz w:val="24"/>
          <w:szCs w:val="24"/>
        </w:rPr>
        <w:t>.</w:t>
      </w:r>
    </w:p>
    <w:p w14:paraId="757C2C17"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ومن رأيي كباحث، فإن واجب التحذير هنا ليس مسألة شكلية، بل عنصر جوهري في تقدير السببية؛ لأن المستخدم المهني لا يمكنه ممارسة رقابة فعالة إذا لم يُفصح له عن حدود الأداة. وبالتالي، فإن غياب التحذير قد يُعد سببًا مشتركًا في الضرر</w:t>
      </w:r>
      <w:r>
        <w:rPr>
          <w:rFonts w:asciiTheme="majorBidi" w:hAnsiTheme="majorBidi" w:cstheme="majorBidi"/>
          <w:sz w:val="24"/>
          <w:szCs w:val="24"/>
        </w:rPr>
        <w:t>.</w:t>
      </w:r>
    </w:p>
    <w:p w14:paraId="37B45921" w14:textId="77777777" w:rsidR="00CF598B" w:rsidRPr="003A3742" w:rsidRDefault="00CF598B" w:rsidP="00CF598B">
      <w:pPr>
        <w:jc w:val="right"/>
        <w:rPr>
          <w:rFonts w:asciiTheme="majorBidi" w:hAnsiTheme="majorBidi" w:cstheme="majorBidi"/>
          <w:sz w:val="24"/>
          <w:szCs w:val="24"/>
        </w:rPr>
      </w:pPr>
    </w:p>
    <w:p w14:paraId="1CCC1AB0" w14:textId="77777777" w:rsidR="00CF598B" w:rsidRPr="003A3742"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ثانيًا: مسؤولية مزوّد المنصة أو مقدم التقنية</w:t>
      </w:r>
      <w:r>
        <w:rPr>
          <w:rFonts w:asciiTheme="majorBidi" w:hAnsiTheme="majorBidi" w:cstheme="majorBidi"/>
          <w:b/>
          <w:bCs/>
          <w:sz w:val="24"/>
          <w:szCs w:val="24"/>
        </w:rPr>
        <w:t xml:space="preserve"> </w:t>
      </w:r>
    </w:p>
    <w:p w14:paraId="5D28814A"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وفي هذا الإطار التحليلي، قدّمت بلال في رسالتها الأكاديمية المنشورة من كلية القانون بجامعة قطر إسهامًا بحثيًا مقارنًا يتناول دور الذكاء الاصطناعي في تعزيز العدالة الناجزة أمام القضاء، مشيرةً إلى أن توسيع دائرة المسؤولية لتشمل جهات تطوير الأنظمة الذكية ومقدمي المنصات التقنية يُعدّ اتجاهًا تشريعيًا متناميًا في عدد من الأنظمة المقارنة، وهو ما ينبغي للمشرع السعودي مراعاته عند بناء إطار المسؤولية في البيئة القانونية الرقمية.</w:t>
      </w:r>
      <w:r>
        <w:rPr>
          <w:rStyle w:val="af"/>
          <w:rFonts w:asciiTheme="majorBidi" w:hAnsiTheme="majorBidi" w:cstheme="majorBidi"/>
          <w:sz w:val="24"/>
          <w:szCs w:val="24"/>
          <w:rtl/>
        </w:rPr>
        <w:footnoteReference w:id="292"/>
      </w:r>
    </w:p>
    <w:p w14:paraId="75F4EC4A"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يختلف مزوّد المنصة عن المطوّر في أن الأول قد لا يكون صانع الخوارزمية ذاتها، بل مشغّل البنية التي تُمكّن من استخدامها (منصة سحابية، واجهة استخدام، تخزين بيانات)</w:t>
      </w:r>
      <w:r>
        <w:rPr>
          <w:rFonts w:asciiTheme="majorBidi" w:hAnsiTheme="majorBidi" w:cstheme="majorBidi"/>
          <w:sz w:val="24"/>
          <w:szCs w:val="24"/>
        </w:rPr>
        <w:t>.</w:t>
      </w:r>
    </w:p>
    <w:p w14:paraId="5019CF1D" w14:textId="77777777" w:rsidR="00CF598B" w:rsidRPr="003A3742"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Pr>
        <w:t xml:space="preserve">1. </w:t>
      </w:r>
      <w:r>
        <w:rPr>
          <w:rFonts w:asciiTheme="majorBidi" w:hAnsiTheme="majorBidi" w:cstheme="majorBidi"/>
          <w:b/>
          <w:bCs/>
          <w:sz w:val="24"/>
          <w:szCs w:val="24"/>
          <w:rtl/>
        </w:rPr>
        <w:t>المسؤولية عن أمن البيانات</w:t>
      </w:r>
    </w:p>
    <w:p w14:paraId="092B6BAC"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إذا ترتب ضرر على</w:t>
      </w:r>
      <w:r>
        <w:rPr>
          <w:rFonts w:asciiTheme="majorBidi" w:hAnsiTheme="majorBidi" w:cstheme="majorBidi"/>
          <w:sz w:val="24"/>
          <w:szCs w:val="24"/>
        </w:rPr>
        <w:t>:</w:t>
      </w:r>
    </w:p>
    <w:p w14:paraId="61CE5AAF" w14:textId="77777777" w:rsidR="00CF598B" w:rsidRPr="003A3742" w:rsidRDefault="00CF598B">
      <w:pPr>
        <w:numPr>
          <w:ilvl w:val="0"/>
          <w:numId w:val="39"/>
        </w:numPr>
        <w:jc w:val="right"/>
        <w:rPr>
          <w:rFonts w:asciiTheme="majorBidi" w:hAnsiTheme="majorBidi" w:cstheme="majorBidi"/>
          <w:sz w:val="24"/>
          <w:szCs w:val="24"/>
        </w:rPr>
      </w:pPr>
      <w:r>
        <w:rPr>
          <w:rFonts w:asciiTheme="majorBidi" w:hAnsiTheme="majorBidi" w:cstheme="majorBidi"/>
          <w:sz w:val="24"/>
          <w:szCs w:val="24"/>
          <w:rtl/>
        </w:rPr>
        <w:t>اختراق المنصة</w:t>
      </w:r>
      <w:r>
        <w:rPr>
          <w:rFonts w:asciiTheme="majorBidi" w:hAnsiTheme="majorBidi" w:cstheme="majorBidi"/>
          <w:sz w:val="24"/>
          <w:szCs w:val="24"/>
        </w:rPr>
        <w:t>.</w:t>
      </w:r>
    </w:p>
    <w:p w14:paraId="4479C411" w14:textId="77777777" w:rsidR="00CF598B" w:rsidRPr="003A3742" w:rsidRDefault="00CF598B">
      <w:pPr>
        <w:numPr>
          <w:ilvl w:val="0"/>
          <w:numId w:val="39"/>
        </w:numPr>
        <w:jc w:val="right"/>
        <w:rPr>
          <w:rFonts w:asciiTheme="majorBidi" w:hAnsiTheme="majorBidi" w:cstheme="majorBidi"/>
          <w:sz w:val="24"/>
          <w:szCs w:val="24"/>
        </w:rPr>
      </w:pPr>
      <w:r>
        <w:rPr>
          <w:rFonts w:asciiTheme="majorBidi" w:hAnsiTheme="majorBidi" w:cstheme="majorBidi"/>
          <w:sz w:val="24"/>
          <w:szCs w:val="24"/>
          <w:rtl/>
        </w:rPr>
        <w:t>تسريب بيانات موكلين</w:t>
      </w:r>
      <w:r>
        <w:rPr>
          <w:rFonts w:asciiTheme="majorBidi" w:hAnsiTheme="majorBidi" w:cstheme="majorBidi"/>
          <w:sz w:val="24"/>
          <w:szCs w:val="24"/>
        </w:rPr>
        <w:t>.</w:t>
      </w:r>
    </w:p>
    <w:p w14:paraId="0E638783" w14:textId="77777777" w:rsidR="00CF598B" w:rsidRPr="003A3742" w:rsidRDefault="00CF598B">
      <w:pPr>
        <w:numPr>
          <w:ilvl w:val="0"/>
          <w:numId w:val="39"/>
        </w:numPr>
        <w:jc w:val="right"/>
        <w:rPr>
          <w:rFonts w:asciiTheme="majorBidi" w:hAnsiTheme="majorBidi" w:cstheme="majorBidi"/>
          <w:sz w:val="24"/>
          <w:szCs w:val="24"/>
        </w:rPr>
      </w:pPr>
      <w:r>
        <w:rPr>
          <w:rFonts w:asciiTheme="majorBidi" w:hAnsiTheme="majorBidi" w:cstheme="majorBidi"/>
          <w:sz w:val="24"/>
          <w:szCs w:val="24"/>
          <w:rtl/>
        </w:rPr>
        <w:t>فقدان ملفات أو إتلافها</w:t>
      </w:r>
      <w:r>
        <w:rPr>
          <w:rFonts w:asciiTheme="majorBidi" w:hAnsiTheme="majorBidi" w:cstheme="majorBidi"/>
          <w:sz w:val="24"/>
          <w:szCs w:val="24"/>
        </w:rPr>
        <w:t>.</w:t>
      </w:r>
    </w:p>
    <w:p w14:paraId="1B525D12"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فإن مسؤولية مزوّد المنصة قد تقوم على أساس الإخلال بالتدابير الفنية الواجبة، خاصة في ضوء نظام حماية البيانات الشخصية (هيئة الخبراء بمجلس الوزراء، 1443هـ)</w:t>
      </w:r>
      <w:r>
        <w:rPr>
          <w:rFonts w:asciiTheme="majorBidi" w:hAnsiTheme="majorBidi" w:cstheme="majorBidi"/>
          <w:sz w:val="24"/>
          <w:szCs w:val="24"/>
        </w:rPr>
        <w:t>.</w:t>
      </w:r>
    </w:p>
    <w:p w14:paraId="41C94305"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ويشير الأسيوطي</w:t>
      </w:r>
      <w:r>
        <w:rPr>
          <w:rStyle w:val="af"/>
          <w:rFonts w:asciiTheme="majorBidi" w:hAnsiTheme="majorBidi" w:cstheme="majorBidi"/>
          <w:sz w:val="24"/>
          <w:szCs w:val="24"/>
          <w:rtl/>
        </w:rPr>
        <w:footnoteReference w:id="293"/>
      </w:r>
      <w:r>
        <w:rPr>
          <w:rFonts w:asciiTheme="majorBidi" w:hAnsiTheme="majorBidi" w:cstheme="majorBidi"/>
          <w:sz w:val="24"/>
          <w:szCs w:val="24"/>
          <w:rtl/>
        </w:rPr>
        <w:t xml:space="preserve"> (2020) إلى أن قيمة المستند الرقمي تتأثر بسلامة بيئته التقنية، وهو ما يعني أن الإخلال بالبنية التقنية قد يفضي إلى ضرر قانوني مباشر، لا مجرد ضرر تقني</w:t>
      </w:r>
      <w:r>
        <w:rPr>
          <w:rFonts w:asciiTheme="majorBidi" w:hAnsiTheme="majorBidi" w:cstheme="majorBidi"/>
          <w:sz w:val="24"/>
          <w:szCs w:val="24"/>
        </w:rPr>
        <w:t>.</w:t>
      </w:r>
    </w:p>
    <w:p w14:paraId="611CFB98" w14:textId="77777777" w:rsidR="00CF598B" w:rsidRPr="003A3742"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Pr>
        <w:t xml:space="preserve">2. </w:t>
      </w:r>
      <w:r>
        <w:rPr>
          <w:rFonts w:asciiTheme="majorBidi" w:hAnsiTheme="majorBidi" w:cstheme="majorBidi"/>
          <w:b/>
          <w:bCs/>
          <w:sz w:val="24"/>
          <w:szCs w:val="24"/>
          <w:rtl/>
        </w:rPr>
        <w:t>حدود المسؤولية التعاقدية</w:t>
      </w:r>
    </w:p>
    <w:p w14:paraId="2FECDBD3"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في الواقع العملي، كثير من مزودي التقنية يدرجون في عقودهم شروطًا تحد من المسؤولية أو تستبعدها جزئيًا. وهنا يثور سؤال</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هل تُعتد هذه الشروط إذا ترتب ضرر جسيم؟</w:t>
      </w:r>
    </w:p>
    <w:p w14:paraId="2CB9ECD2"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القواعد العامة في المسؤولية لا تجيز الاتفاق على الإعفاء من المسؤولية عن الغش أو الخطأ الجسيم. فإذا كان الضرر نتيجة إهمال فادح في حماية البيانات أو في تشغيل النظام، فإن شرط الإعفاء قد لا يصمد أمام القضاء</w:t>
      </w:r>
      <w:r>
        <w:rPr>
          <w:rFonts w:asciiTheme="majorBidi" w:hAnsiTheme="majorBidi" w:cstheme="majorBidi"/>
          <w:sz w:val="24"/>
          <w:szCs w:val="24"/>
        </w:rPr>
        <w:t>.</w:t>
      </w:r>
    </w:p>
    <w:p w14:paraId="73BEEC7C"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lastRenderedPageBreak/>
        <w:t>ومن وجهة نظري، فإن مكاتب المحاماة التي تعتمد على مزودي التقنية دون مراجعة دقيقة لشروط المسؤولية قد تضع نفسها في موقف ضعيف، إذ تبقى مسؤولة أمام الموكل، بينما قد تجد صعوبة في الرجوع على المزود بسبب قيود تعاقدية</w:t>
      </w:r>
      <w:r>
        <w:rPr>
          <w:rFonts w:asciiTheme="majorBidi" w:hAnsiTheme="majorBidi" w:cstheme="majorBidi"/>
          <w:sz w:val="24"/>
          <w:szCs w:val="24"/>
        </w:rPr>
        <w:t>.</w:t>
      </w:r>
    </w:p>
    <w:p w14:paraId="7E8333B9" w14:textId="77777777" w:rsidR="00CF598B" w:rsidRDefault="00CF598B" w:rsidP="00CF598B">
      <w:pPr>
        <w:jc w:val="right"/>
        <w:rPr>
          <w:rFonts w:asciiTheme="majorBidi" w:hAnsiTheme="majorBidi" w:cstheme="majorBidi"/>
          <w:sz w:val="24"/>
          <w:szCs w:val="24"/>
        </w:rPr>
      </w:pPr>
    </w:p>
    <w:p w14:paraId="0A6448F4" w14:textId="77777777" w:rsidR="00CF598B" w:rsidRPr="003A3742"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ثالثًا: مسؤولية المستخدم المهني في إطار تعدد الأطراف – معيار الرقابة الفعلية</w:t>
      </w:r>
    </w:p>
    <w:p w14:paraId="444F7F26"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وعلى الصعيد المقارن، خلصت الدراسات المتخصصة في مجال الذكاء الاصطناعي والعمل القضائي إلى أن رقابة المستخدم المهني على مخرجات الأنظمة الذكية تُمثّل معيارًا موضوعيًا حاسمًا لتحديد المسؤولية؛ ففي إطار دراستهم المقارنة، أكد محمود وعناني أن تطبيق تقنية الذكاء الاصطناعي لا يُلغي الرقابة الإنسانية بل يستلزمها، وأن المحامي الذي يعتمد على مخرجات هذه الأنظمة دون التدقيق فيها وتمحيصها يتحمل مسؤولية كاملة عن القصور الناجم عن ذلك الإهمال المهني.</w:t>
      </w:r>
      <w:r>
        <w:rPr>
          <w:rStyle w:val="af"/>
          <w:rFonts w:asciiTheme="majorBidi" w:hAnsiTheme="majorBidi" w:cstheme="majorBidi"/>
          <w:sz w:val="24"/>
          <w:szCs w:val="24"/>
          <w:rtl/>
        </w:rPr>
        <w:footnoteReference w:id="294"/>
      </w:r>
    </w:p>
    <w:p w14:paraId="38CDABB9"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إذا كان المطوّر يُسأل عن العيب التصميمي، ومزوّد التقنية يُسأل عن سلامة البنية التشغيلية، فإن المستخدم المهني (المحامي أو المكتب) يظل محورًا أساسيًا في شبكة الإسناد. غير أن مسؤوليته هنا لا تُفهم بمعزل عن بقية الأطراف، بل ضمن مفهوم </w:t>
      </w:r>
      <w:r>
        <w:rPr>
          <w:rFonts w:asciiTheme="majorBidi" w:hAnsiTheme="majorBidi" w:cstheme="majorBidi"/>
          <w:b/>
          <w:bCs/>
          <w:sz w:val="24"/>
          <w:szCs w:val="24"/>
          <w:rtl/>
        </w:rPr>
        <w:t>تعدد مصادر الخطر</w:t>
      </w:r>
      <w:r>
        <w:rPr>
          <w:rFonts w:asciiTheme="majorBidi" w:hAnsiTheme="majorBidi" w:cstheme="majorBidi"/>
          <w:sz w:val="24"/>
          <w:szCs w:val="24"/>
        </w:rPr>
        <w:t>.</w:t>
      </w:r>
    </w:p>
    <w:p w14:paraId="4541A6A8"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في الفقه المدني المعاصر، حين يتداخل أكثر من فاعل في إحداث الضرر، يُبحث عن الطرف الذي يملك </w:t>
      </w:r>
      <w:r>
        <w:rPr>
          <w:rFonts w:asciiTheme="majorBidi" w:hAnsiTheme="majorBidi" w:cstheme="majorBidi"/>
          <w:b/>
          <w:bCs/>
          <w:sz w:val="24"/>
          <w:szCs w:val="24"/>
          <w:rtl/>
        </w:rPr>
        <w:t>السيطرة الفعلية على مرحلة إنتاج النتيجة الضارة</w:t>
      </w:r>
      <w:r>
        <w:rPr>
          <w:rFonts w:asciiTheme="majorBidi" w:hAnsiTheme="majorBidi" w:cstheme="majorBidi"/>
          <w:sz w:val="24"/>
          <w:szCs w:val="24"/>
        </w:rPr>
        <w:t xml:space="preserve">. </w:t>
      </w:r>
      <w:r>
        <w:rPr>
          <w:rFonts w:asciiTheme="majorBidi" w:hAnsiTheme="majorBidi" w:cstheme="majorBidi"/>
          <w:sz w:val="24"/>
          <w:szCs w:val="24"/>
          <w:rtl/>
        </w:rPr>
        <w:t>وقد أشار المالكي</w:t>
      </w:r>
      <w:r>
        <w:rPr>
          <w:rStyle w:val="af"/>
          <w:rFonts w:asciiTheme="majorBidi" w:hAnsiTheme="majorBidi" w:cstheme="majorBidi"/>
          <w:sz w:val="24"/>
          <w:szCs w:val="24"/>
          <w:rtl/>
        </w:rPr>
        <w:footnoteReference w:id="295"/>
      </w:r>
      <w:r>
        <w:rPr>
          <w:rFonts w:asciiTheme="majorBidi" w:hAnsiTheme="majorBidi" w:cstheme="majorBidi"/>
          <w:sz w:val="24"/>
          <w:szCs w:val="24"/>
          <w:rtl/>
        </w:rPr>
        <w:t xml:space="preserve"> (2024) إلى أن معيار السيطرة أو الرقابة هو الأجدر بتأسيس المسؤولية في بيئة الذكاء الاصطناعي، بدلًا من الاقتصار على من قام بالفعل المادي</w:t>
      </w:r>
      <w:r>
        <w:rPr>
          <w:rFonts w:asciiTheme="majorBidi" w:hAnsiTheme="majorBidi" w:cstheme="majorBidi"/>
          <w:sz w:val="24"/>
          <w:szCs w:val="24"/>
        </w:rPr>
        <w:t>.</w:t>
      </w:r>
    </w:p>
    <w:p w14:paraId="02A35BB1"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بتطبيق ذلك على بيئة مكاتب المحاماة، يتضح أن المستخدم المهني</w:t>
      </w:r>
      <w:r>
        <w:rPr>
          <w:rFonts w:asciiTheme="majorBidi" w:hAnsiTheme="majorBidi" w:cstheme="majorBidi"/>
          <w:sz w:val="24"/>
          <w:szCs w:val="24"/>
        </w:rPr>
        <w:t>:</w:t>
      </w:r>
    </w:p>
    <w:p w14:paraId="500154EA" w14:textId="77777777" w:rsidR="00CF598B" w:rsidRPr="003A3742" w:rsidRDefault="00CF598B">
      <w:pPr>
        <w:numPr>
          <w:ilvl w:val="0"/>
          <w:numId w:val="40"/>
        </w:numPr>
        <w:jc w:val="right"/>
        <w:rPr>
          <w:rFonts w:asciiTheme="majorBidi" w:hAnsiTheme="majorBidi" w:cstheme="majorBidi"/>
          <w:sz w:val="24"/>
          <w:szCs w:val="24"/>
        </w:rPr>
      </w:pPr>
      <w:r>
        <w:rPr>
          <w:rFonts w:asciiTheme="majorBidi" w:hAnsiTheme="majorBidi" w:cstheme="majorBidi"/>
          <w:sz w:val="24"/>
          <w:szCs w:val="24"/>
          <w:rtl/>
        </w:rPr>
        <w:t>هو من يختار الأداة</w:t>
      </w:r>
      <w:r>
        <w:rPr>
          <w:rFonts w:asciiTheme="majorBidi" w:hAnsiTheme="majorBidi" w:cstheme="majorBidi"/>
          <w:sz w:val="24"/>
          <w:szCs w:val="24"/>
        </w:rPr>
        <w:t>.</w:t>
      </w:r>
    </w:p>
    <w:p w14:paraId="5E237704" w14:textId="77777777" w:rsidR="00CF598B" w:rsidRPr="003A3742" w:rsidRDefault="00CF598B">
      <w:pPr>
        <w:numPr>
          <w:ilvl w:val="0"/>
          <w:numId w:val="40"/>
        </w:numPr>
        <w:jc w:val="right"/>
        <w:rPr>
          <w:rFonts w:asciiTheme="majorBidi" w:hAnsiTheme="majorBidi" w:cstheme="majorBidi"/>
          <w:sz w:val="24"/>
          <w:szCs w:val="24"/>
        </w:rPr>
      </w:pPr>
      <w:r>
        <w:rPr>
          <w:rFonts w:asciiTheme="majorBidi" w:hAnsiTheme="majorBidi" w:cstheme="majorBidi"/>
          <w:sz w:val="24"/>
          <w:szCs w:val="24"/>
          <w:rtl/>
        </w:rPr>
        <w:t>وهو من يحدد نطاق استخدامها</w:t>
      </w:r>
      <w:r>
        <w:rPr>
          <w:rFonts w:asciiTheme="majorBidi" w:hAnsiTheme="majorBidi" w:cstheme="majorBidi"/>
          <w:sz w:val="24"/>
          <w:szCs w:val="24"/>
        </w:rPr>
        <w:t>.</w:t>
      </w:r>
    </w:p>
    <w:p w14:paraId="1199B56A" w14:textId="77777777" w:rsidR="00CF598B" w:rsidRPr="003A3742" w:rsidRDefault="00CF598B">
      <w:pPr>
        <w:numPr>
          <w:ilvl w:val="0"/>
          <w:numId w:val="40"/>
        </w:numPr>
        <w:jc w:val="right"/>
        <w:rPr>
          <w:rFonts w:asciiTheme="majorBidi" w:hAnsiTheme="majorBidi" w:cstheme="majorBidi"/>
          <w:sz w:val="24"/>
          <w:szCs w:val="24"/>
        </w:rPr>
      </w:pPr>
      <w:r>
        <w:rPr>
          <w:rFonts w:asciiTheme="majorBidi" w:hAnsiTheme="majorBidi" w:cstheme="majorBidi"/>
          <w:sz w:val="24"/>
          <w:szCs w:val="24"/>
          <w:rtl/>
        </w:rPr>
        <w:t>وهو من يعتمد المخرج ويقدمه باسمه</w:t>
      </w:r>
      <w:r>
        <w:rPr>
          <w:rFonts w:asciiTheme="majorBidi" w:hAnsiTheme="majorBidi" w:cstheme="majorBidi"/>
          <w:sz w:val="24"/>
          <w:szCs w:val="24"/>
        </w:rPr>
        <w:t>.</w:t>
      </w:r>
    </w:p>
    <w:p w14:paraId="50D158A2" w14:textId="77777777" w:rsidR="00CF598B" w:rsidRPr="003A3742" w:rsidRDefault="00CF598B">
      <w:pPr>
        <w:numPr>
          <w:ilvl w:val="0"/>
          <w:numId w:val="40"/>
        </w:numPr>
        <w:jc w:val="right"/>
        <w:rPr>
          <w:rFonts w:asciiTheme="majorBidi" w:hAnsiTheme="majorBidi" w:cstheme="majorBidi"/>
          <w:sz w:val="24"/>
          <w:szCs w:val="24"/>
        </w:rPr>
      </w:pPr>
      <w:r>
        <w:rPr>
          <w:rFonts w:asciiTheme="majorBidi" w:hAnsiTheme="majorBidi" w:cstheme="majorBidi"/>
          <w:sz w:val="24"/>
          <w:szCs w:val="24"/>
          <w:rtl/>
        </w:rPr>
        <w:t>وهو من يملك قرار عدم الاعتماد إذا شك في دقته</w:t>
      </w:r>
      <w:r>
        <w:rPr>
          <w:rFonts w:asciiTheme="majorBidi" w:hAnsiTheme="majorBidi" w:cstheme="majorBidi"/>
          <w:sz w:val="24"/>
          <w:szCs w:val="24"/>
        </w:rPr>
        <w:t>.</w:t>
      </w:r>
    </w:p>
    <w:p w14:paraId="0A421061"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وعليه، فإن مسؤوليته تقوم متى ثبت أنه </w:t>
      </w:r>
      <w:r>
        <w:rPr>
          <w:rFonts w:asciiTheme="majorBidi" w:hAnsiTheme="majorBidi" w:cstheme="majorBidi"/>
          <w:b/>
          <w:bCs/>
          <w:sz w:val="24"/>
          <w:szCs w:val="24"/>
          <w:rtl/>
        </w:rPr>
        <w:t>لم يمارس رقابة مهنية معقولة</w:t>
      </w:r>
      <w:r>
        <w:rPr>
          <w:rFonts w:asciiTheme="majorBidi" w:hAnsiTheme="majorBidi" w:cstheme="majorBidi"/>
          <w:sz w:val="24"/>
          <w:szCs w:val="24"/>
          <w:rtl/>
        </w:rPr>
        <w:t>، حتى لو كان الخلل أصله تقنيًا. لكن هذا لا يعني تحميله تبعة كل خلل، بل يتوقف الأمر على مدى قدرته الواقعية على اكتشاف الخطأ</w:t>
      </w:r>
      <w:r>
        <w:rPr>
          <w:rFonts w:asciiTheme="majorBidi" w:hAnsiTheme="majorBidi" w:cstheme="majorBidi"/>
          <w:sz w:val="24"/>
          <w:szCs w:val="24"/>
        </w:rPr>
        <w:t>.</w:t>
      </w:r>
    </w:p>
    <w:p w14:paraId="237AFE54"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يشير بعض الباحثين</w:t>
      </w:r>
      <w:r>
        <w:rPr>
          <w:rStyle w:val="af"/>
          <w:rFonts w:asciiTheme="majorBidi" w:hAnsiTheme="majorBidi" w:cstheme="majorBidi"/>
          <w:sz w:val="24"/>
          <w:szCs w:val="24"/>
          <w:rtl/>
        </w:rPr>
        <w:footnoteReference w:id="296"/>
      </w:r>
      <w:r>
        <w:rPr>
          <w:rFonts w:asciiTheme="majorBidi" w:hAnsiTheme="majorBidi" w:cstheme="majorBidi"/>
          <w:sz w:val="24"/>
          <w:szCs w:val="24"/>
          <w:rtl/>
        </w:rPr>
        <w:t xml:space="preserve"> (2022) إلى ما سماه “انقطاع الصلة الإدراكية” بسبب تعقيد الخوارزميات، إلا أنه يؤكد أن هذا التعقيد لا يعفي المستخدم المهني إذا كان بمقدوره – عبر مراجعة معتادة – كشف الخلل. وهذا يتفق مع الاتجاه الذي يربط المسؤولية بإمكانية التوقع والاكتشاف</w:t>
      </w:r>
      <w:r>
        <w:rPr>
          <w:rFonts w:asciiTheme="majorBidi" w:hAnsiTheme="majorBidi" w:cstheme="majorBidi"/>
          <w:sz w:val="24"/>
          <w:szCs w:val="24"/>
        </w:rPr>
        <w:t>.</w:t>
      </w:r>
    </w:p>
    <w:p w14:paraId="407BB2FC"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ويرى الباحث، فإن مسؤولية المستخدم في بيئة تعدد الأطراف يجب أن تُبنى على ثلاثة عناصر</w:t>
      </w:r>
      <w:r>
        <w:rPr>
          <w:rFonts w:asciiTheme="majorBidi" w:hAnsiTheme="majorBidi" w:cstheme="majorBidi"/>
          <w:sz w:val="24"/>
          <w:szCs w:val="24"/>
        </w:rPr>
        <w:t>:</w:t>
      </w:r>
    </w:p>
    <w:p w14:paraId="648E388C" w14:textId="77777777" w:rsidR="00CF598B" w:rsidRPr="003A3742" w:rsidRDefault="00CF598B">
      <w:pPr>
        <w:numPr>
          <w:ilvl w:val="0"/>
          <w:numId w:val="41"/>
        </w:numPr>
        <w:jc w:val="right"/>
        <w:rPr>
          <w:rFonts w:asciiTheme="majorBidi" w:hAnsiTheme="majorBidi" w:cstheme="majorBidi"/>
          <w:sz w:val="24"/>
          <w:szCs w:val="24"/>
        </w:rPr>
      </w:pPr>
      <w:r>
        <w:rPr>
          <w:rFonts w:asciiTheme="majorBidi" w:hAnsiTheme="majorBidi" w:cstheme="majorBidi"/>
          <w:b/>
          <w:bCs/>
          <w:sz w:val="24"/>
          <w:szCs w:val="24"/>
          <w:rtl/>
        </w:rPr>
        <w:t>درجة التدخل البشري في القرار النهائي</w:t>
      </w:r>
      <w:r>
        <w:rPr>
          <w:rFonts w:asciiTheme="majorBidi" w:hAnsiTheme="majorBidi" w:cstheme="majorBidi"/>
          <w:sz w:val="24"/>
          <w:szCs w:val="24"/>
        </w:rPr>
        <w:t>.</w:t>
      </w:r>
    </w:p>
    <w:p w14:paraId="3F1C4C3E" w14:textId="77777777" w:rsidR="00CF598B" w:rsidRPr="003A3742" w:rsidRDefault="00CF598B">
      <w:pPr>
        <w:numPr>
          <w:ilvl w:val="0"/>
          <w:numId w:val="41"/>
        </w:numPr>
        <w:jc w:val="right"/>
        <w:rPr>
          <w:rFonts w:asciiTheme="majorBidi" w:hAnsiTheme="majorBidi" w:cstheme="majorBidi"/>
          <w:sz w:val="24"/>
          <w:szCs w:val="24"/>
        </w:rPr>
      </w:pPr>
      <w:r>
        <w:rPr>
          <w:rFonts w:asciiTheme="majorBidi" w:hAnsiTheme="majorBidi" w:cstheme="majorBidi"/>
          <w:b/>
          <w:bCs/>
          <w:sz w:val="24"/>
          <w:szCs w:val="24"/>
          <w:rtl/>
        </w:rPr>
        <w:t>قابلية اكتشاف الخلل بالمراجعة المهنية المعتادة</w:t>
      </w:r>
      <w:r>
        <w:rPr>
          <w:rFonts w:asciiTheme="majorBidi" w:hAnsiTheme="majorBidi" w:cstheme="majorBidi"/>
          <w:sz w:val="24"/>
          <w:szCs w:val="24"/>
        </w:rPr>
        <w:t>.</w:t>
      </w:r>
    </w:p>
    <w:p w14:paraId="3BA5CA41" w14:textId="77777777" w:rsidR="00CF598B" w:rsidRPr="003A3742" w:rsidRDefault="00CF598B">
      <w:pPr>
        <w:numPr>
          <w:ilvl w:val="0"/>
          <w:numId w:val="41"/>
        </w:numPr>
        <w:jc w:val="right"/>
        <w:rPr>
          <w:rFonts w:asciiTheme="majorBidi" w:hAnsiTheme="majorBidi" w:cstheme="majorBidi"/>
          <w:sz w:val="24"/>
          <w:szCs w:val="24"/>
        </w:rPr>
      </w:pPr>
      <w:r>
        <w:rPr>
          <w:rFonts w:asciiTheme="majorBidi" w:hAnsiTheme="majorBidi" w:cstheme="majorBidi"/>
          <w:b/>
          <w:bCs/>
          <w:sz w:val="24"/>
          <w:szCs w:val="24"/>
          <w:rtl/>
        </w:rPr>
        <w:lastRenderedPageBreak/>
        <w:t>حساسية المسألة محل الاستخدام</w:t>
      </w:r>
      <w:r>
        <w:rPr>
          <w:rFonts w:asciiTheme="majorBidi" w:hAnsiTheme="majorBidi" w:cstheme="majorBidi"/>
          <w:sz w:val="24"/>
          <w:szCs w:val="24"/>
        </w:rPr>
        <w:t>.</w:t>
      </w:r>
    </w:p>
    <w:p w14:paraId="624CF062"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فكلما زاد اعتماد المحامي على المخرج الآلي دون تمحيص، ارتفعت مسؤوليته. أما إذا كان دوره إشرافيًا دقيقًا، وكان الخلل خفيًا تقنيًا بحتًا، فإن تحميله كامل المسؤولية يُخل بالتوازن</w:t>
      </w:r>
      <w:r>
        <w:rPr>
          <w:rFonts w:asciiTheme="majorBidi" w:hAnsiTheme="majorBidi" w:cstheme="majorBidi"/>
          <w:sz w:val="24"/>
          <w:szCs w:val="24"/>
        </w:rPr>
        <w:t>.</w:t>
      </w:r>
    </w:p>
    <w:p w14:paraId="3CAED876" w14:textId="77777777" w:rsidR="00CF598B" w:rsidRPr="003A3742" w:rsidRDefault="00CF598B" w:rsidP="00CF598B">
      <w:pPr>
        <w:jc w:val="right"/>
        <w:rPr>
          <w:rFonts w:asciiTheme="majorBidi" w:hAnsiTheme="majorBidi" w:cstheme="majorBidi"/>
          <w:sz w:val="24"/>
          <w:szCs w:val="24"/>
        </w:rPr>
      </w:pPr>
    </w:p>
    <w:p w14:paraId="1AB3002F" w14:textId="77777777" w:rsidR="00CF598B" w:rsidRPr="003A3742"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رابعًا: المسؤولية التضامنية أم المسؤولية النسبية بين الأطراف؟</w:t>
      </w:r>
    </w:p>
    <w:p w14:paraId="601AD254"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وتُبرز الدراسات المتعلقة بالجريمة الإلكترونية وإشكاليات المسؤولية في ظل الذكاء الاصطناعي أن توزيع المسؤولية يُعدّ من أعقد مسائل القانون في العصر الرقمي؛ إذ خلص قاسم في دراسته المقارنة حول دور الذكاء الاصطناعي في مكافحة الجريمة الإلكترونية إلى أن تحديد الجهة المسؤولة في حالات تعدد الأطراف يستلزم دراسةً دقيقةً لطبيعة المساهمة ودرجة التحكم التي تمتلكها كل جهة في المنظومة التقنية، وهو ما ينعكس مباشرةً على معادلة المسؤولية التضامنية في الفقه القانوني الحديث.</w:t>
      </w:r>
      <w:r>
        <w:rPr>
          <w:rStyle w:val="af"/>
          <w:rFonts w:asciiTheme="majorBidi" w:hAnsiTheme="majorBidi" w:cstheme="majorBidi"/>
          <w:sz w:val="24"/>
          <w:szCs w:val="24"/>
          <w:rtl/>
        </w:rPr>
        <w:footnoteReference w:id="297"/>
      </w:r>
    </w:p>
    <w:p w14:paraId="0003D6C2"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من الإشكالات الدقيقة في هذا السياق</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 xml:space="preserve">هل تُعد مسؤولية المطوّر والمستخدم ومقدم التقنية </w:t>
      </w:r>
      <w:r>
        <w:rPr>
          <w:rFonts w:asciiTheme="majorBidi" w:hAnsiTheme="majorBidi" w:cstheme="majorBidi"/>
          <w:b/>
          <w:bCs/>
          <w:sz w:val="24"/>
          <w:szCs w:val="24"/>
          <w:rtl/>
        </w:rPr>
        <w:t>تضامنية</w:t>
      </w:r>
      <w:r>
        <w:rPr>
          <w:rFonts w:asciiTheme="majorBidi" w:hAnsiTheme="majorBidi" w:cstheme="majorBidi"/>
          <w:sz w:val="24"/>
          <w:szCs w:val="24"/>
          <w:rtl/>
        </w:rPr>
        <w:t xml:space="preserve"> بحيث يحق للمتضرر الرجوع على أي منهم بكامل التعويض؟</w:t>
      </w:r>
      <w:r>
        <w:rPr>
          <w:rFonts w:asciiTheme="majorBidi" w:hAnsiTheme="majorBidi" w:cstheme="majorBidi"/>
          <w:sz w:val="24"/>
          <w:szCs w:val="24"/>
        </w:rPr>
        <w:br/>
      </w:r>
      <w:r>
        <w:rPr>
          <w:rFonts w:asciiTheme="majorBidi" w:hAnsiTheme="majorBidi" w:cstheme="majorBidi"/>
          <w:sz w:val="24"/>
          <w:szCs w:val="24"/>
          <w:rtl/>
        </w:rPr>
        <w:t xml:space="preserve">أم أنها </w:t>
      </w:r>
      <w:r>
        <w:rPr>
          <w:rFonts w:asciiTheme="majorBidi" w:hAnsiTheme="majorBidi" w:cstheme="majorBidi"/>
          <w:b/>
          <w:bCs/>
          <w:sz w:val="24"/>
          <w:szCs w:val="24"/>
          <w:rtl/>
        </w:rPr>
        <w:t>نسبية</w:t>
      </w:r>
      <w:r>
        <w:rPr>
          <w:rFonts w:asciiTheme="majorBidi" w:hAnsiTheme="majorBidi" w:cstheme="majorBidi"/>
          <w:sz w:val="24"/>
          <w:szCs w:val="24"/>
          <w:rtl/>
        </w:rPr>
        <w:t xml:space="preserve"> توزع بحسب درجة الخطأ والمساهمة في الضرر؟</w:t>
      </w:r>
    </w:p>
    <w:p w14:paraId="2E5275B8"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القواعد العامة في المسؤولية المدنية تجيز – في حال تعدد المتسببين – اعتبارهم مسؤولين بالتضامن إذا تعذر تحديد نسبة مساهمة كل منهم في الضرر. غير أن بيئة الذكاء الاصطناعي قد تسمح – تقنيًا – بتتبع مصدر الخلل بدقة أكبر من الحالات التقليدية</w:t>
      </w:r>
      <w:r>
        <w:rPr>
          <w:rFonts w:asciiTheme="majorBidi" w:hAnsiTheme="majorBidi" w:cstheme="majorBidi"/>
          <w:sz w:val="24"/>
          <w:szCs w:val="24"/>
        </w:rPr>
        <w:t>.</w:t>
      </w:r>
    </w:p>
    <w:p w14:paraId="2C7AD1E3"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تذهب الربيع (2022) إلى أن تعقيد الأنظمة الذكية قد يبرر – في بعض الحالات – تبني نمط من المسؤولية المشتركة حمايةً للمتضرر، خصوصًا إذا كان تحديد نسبة الخطأ يتطلب خبرة تقنية عالية قد تثقل كاهل المدعي. بينما يحذر حمادي </w:t>
      </w:r>
      <w:r>
        <w:rPr>
          <w:rStyle w:val="af"/>
          <w:rFonts w:asciiTheme="majorBidi" w:hAnsiTheme="majorBidi" w:cstheme="majorBidi"/>
          <w:sz w:val="24"/>
          <w:szCs w:val="24"/>
          <w:rtl/>
        </w:rPr>
        <w:footnoteReference w:id="298"/>
      </w:r>
      <w:r>
        <w:rPr>
          <w:rFonts w:asciiTheme="majorBidi" w:hAnsiTheme="majorBidi" w:cstheme="majorBidi"/>
          <w:sz w:val="24"/>
          <w:szCs w:val="24"/>
          <w:rtl/>
        </w:rPr>
        <w:t>(2022) من أن التضامن غير المنضبط قد يؤدي إلى إرهاق المستخدم المهني وتحميله تبعة أخطاء هيكلية في التصميم</w:t>
      </w:r>
      <w:r>
        <w:rPr>
          <w:rFonts w:asciiTheme="majorBidi" w:hAnsiTheme="majorBidi" w:cstheme="majorBidi"/>
          <w:sz w:val="24"/>
          <w:szCs w:val="24"/>
        </w:rPr>
        <w:t>.</w:t>
      </w:r>
    </w:p>
    <w:p w14:paraId="7ED2C20C"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ومن تحليلي، فإن التفرقة يجب أن تقوم على</w:t>
      </w:r>
      <w:r>
        <w:rPr>
          <w:rFonts w:asciiTheme="majorBidi" w:hAnsiTheme="majorBidi" w:cstheme="majorBidi"/>
          <w:sz w:val="24"/>
          <w:szCs w:val="24"/>
        </w:rPr>
        <w:t>:</w:t>
      </w:r>
    </w:p>
    <w:p w14:paraId="766B40FA"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t>ويدعم هذا التحليل ما ذكره محمود وعناني (د.ت) من أن التفرقة بين مسؤولية المحامي ومسؤولية مطوّر الأداة الذكية ينبغي أن تنبني على معيار "التحكم الفعلي" لا على مجرد القرب من الضرر، فكلما كان المحامي قادرًا على التحقق من مخرجات النظام الذكي قبل تقديمها كانت مسؤوليته أوسع نطاقًا.</w:t>
      </w:r>
      <w:r w:rsidRPr="00000001">
        <w:rPr>
          <w:rtl/>
        </w:rPr>
        <w:footnoteReference w:id="299"/>
      </w:r>
    </w:p>
    <w:p w14:paraId="0BA8ADBC" w14:textId="77777777" w:rsidR="00CF598B" w:rsidRPr="003A3742" w:rsidRDefault="00CF598B">
      <w:pPr>
        <w:numPr>
          <w:ilvl w:val="0"/>
          <w:numId w:val="42"/>
        </w:numPr>
        <w:jc w:val="right"/>
        <w:rPr>
          <w:rFonts w:asciiTheme="majorBidi" w:hAnsiTheme="majorBidi" w:cstheme="majorBidi"/>
          <w:sz w:val="24"/>
          <w:szCs w:val="24"/>
        </w:rPr>
      </w:pPr>
      <w:r>
        <w:rPr>
          <w:rFonts w:asciiTheme="majorBidi" w:hAnsiTheme="majorBidi" w:cstheme="majorBidi"/>
          <w:sz w:val="24"/>
          <w:szCs w:val="24"/>
          <w:rtl/>
        </w:rPr>
        <w:t xml:space="preserve">إذا كان الضرر ناتجًا عن </w:t>
      </w:r>
      <w:r>
        <w:rPr>
          <w:rFonts w:asciiTheme="majorBidi" w:hAnsiTheme="majorBidi" w:cstheme="majorBidi"/>
          <w:b/>
          <w:bCs/>
          <w:sz w:val="24"/>
          <w:szCs w:val="24"/>
          <w:rtl/>
        </w:rPr>
        <w:t>عيب تصميمي أصلي</w:t>
      </w:r>
      <w:r>
        <w:rPr>
          <w:rFonts w:asciiTheme="majorBidi" w:hAnsiTheme="majorBidi" w:cstheme="majorBidi"/>
          <w:sz w:val="24"/>
          <w:szCs w:val="24"/>
          <w:rtl/>
        </w:rPr>
        <w:t xml:space="preserve"> </w:t>
      </w:r>
      <w:r>
        <w:rPr>
          <w:rFonts w:asciiTheme="majorBidi" w:hAnsiTheme="majorBidi" w:cstheme="majorBidi"/>
          <w:sz w:val="24"/>
          <w:szCs w:val="24"/>
        </w:rPr>
        <w:t xml:space="preserve">→ </w:t>
      </w:r>
      <w:r>
        <w:rPr>
          <w:rFonts w:asciiTheme="majorBidi" w:hAnsiTheme="majorBidi" w:cstheme="majorBidi"/>
          <w:sz w:val="24"/>
          <w:szCs w:val="24"/>
          <w:rtl/>
        </w:rPr>
        <w:t>تميل المسؤولية إلى المطوّر</w:t>
      </w:r>
      <w:r>
        <w:rPr>
          <w:rFonts w:asciiTheme="majorBidi" w:hAnsiTheme="majorBidi" w:cstheme="majorBidi"/>
          <w:sz w:val="24"/>
          <w:szCs w:val="24"/>
        </w:rPr>
        <w:t>.</w:t>
      </w:r>
    </w:p>
    <w:p w14:paraId="611DC2F6" w14:textId="77777777" w:rsidR="00D57654" w:rsidRDefault="00000000" w:rsidP="00DE638A">
      <w:pPr>
        <w:jc w:val="right"/>
        <w:rPr>
          <w:rFonts w:asciiTheme="majorBidi" w:hAnsiTheme="majorBidi" w:cstheme="majorBidi"/>
          <w:sz w:val="24"/>
          <w:szCs w:val="24"/>
          <w:rtl/>
        </w:rPr>
      </w:pPr>
      <w:r>
        <w:rPr>
          <w:rFonts w:asciiTheme="majorBidi" w:hAnsiTheme="majorBidi" w:cstheme="majorBidi"/>
          <w:sz w:val="24"/>
          <w:szCs w:val="24"/>
          <w:rtl/>
        </w:rPr>
        <w:t xml:space="preserve">وفيما يخص الجهة التي تميل إليها المسؤولية في سلسلة الأضرار الرقمية، استعرض العجماني وسيد نموذج المسؤولية الكاملة للمشغّل كما يُطبَّق في بعض الولايات الأمريكية، ونموذج المسؤولية المشتركة كما تتبناه </w:t>
      </w:r>
      <w:r>
        <w:rPr>
          <w:rFonts w:asciiTheme="majorBidi" w:hAnsiTheme="majorBidi" w:cstheme="majorBidi"/>
          <w:sz w:val="24"/>
          <w:szCs w:val="24"/>
          <w:rtl/>
        </w:rPr>
        <w:lastRenderedPageBreak/>
        <w:t>التوجيهات الأوروبية، مُخلِصَين إلى أن النظام الخليجي قادر على تطوير نموذج ثالث يُراعي خصائص السوق القانونية ودرجة تطور منظومة التأمين المهني.</w:t>
      </w:r>
      <w:r w:rsidRPr="00000002">
        <w:rPr>
          <w:rtl/>
        </w:rPr>
        <w:footnoteReference w:id="300"/>
      </w:r>
    </w:p>
    <w:p w14:paraId="4DCD4403" w14:textId="77777777" w:rsidR="00D57654" w:rsidRDefault="00000000" w:rsidP="00DE638A">
      <w:pPr>
        <w:jc w:val="right"/>
        <w:rPr>
          <w:rFonts w:asciiTheme="majorBidi" w:hAnsiTheme="majorBidi" w:cstheme="majorBidi"/>
          <w:sz w:val="24"/>
          <w:szCs w:val="24"/>
          <w:rtl/>
        </w:rPr>
      </w:pPr>
      <w:r>
        <w:rPr>
          <w:rFonts w:asciiTheme="majorBidi" w:hAnsiTheme="majorBidi" w:cstheme="majorBidi"/>
          <w:sz w:val="24"/>
          <w:szCs w:val="24"/>
          <w:rtl/>
        </w:rPr>
        <w:t>وفي معالجة العيب التصميمي الأصلي في منظور المسؤولية الجنائية، فرّق العطار والنوايسة بين العيب العلمي المعلوم لدى المطوّر والذي يُرتّب مسؤولية جزائية مباشرة، والعيب العلمي غير المعلوم الذي قد يُرتّب مسؤولية مدنية دون جنائية إلا إذا ثبت أن المطوّر تغاضى عن أدلة تُشير إلى وجود العيب في مرحلة الاختبار والتطوير.</w:t>
      </w:r>
      <w:r w:rsidRPr="00000002">
        <w:rPr>
          <w:rtl/>
        </w:rPr>
        <w:footnoteReference w:id="301"/>
      </w:r>
    </w:p>
    <w:p w14:paraId="56B70F77" w14:textId="77777777" w:rsidR="00D57654" w:rsidRDefault="00000000" w:rsidP="00DE638A">
      <w:pPr>
        <w:jc w:val="right"/>
        <w:rPr>
          <w:rFonts w:asciiTheme="majorBidi" w:hAnsiTheme="majorBidi" w:cstheme="majorBidi"/>
          <w:sz w:val="24"/>
          <w:szCs w:val="24"/>
          <w:rtl/>
        </w:rPr>
      </w:pPr>
      <w:r>
        <w:rPr>
          <w:rFonts w:asciiTheme="majorBidi" w:hAnsiTheme="majorBidi" w:cstheme="majorBidi"/>
          <w:sz w:val="24"/>
          <w:szCs w:val="24"/>
          <w:rtl/>
        </w:rPr>
        <w:t>ولمعالجة إشكالية الإثبات في دعاوى الضرر الناجم عن الذكاء الاصطناعي، اقترح الغنامي تبنّي نظرية قلب عبء الإثبات في هذه الدعاوى، بحيث يُفترض تقصير المتسبب ما لم يُثبت العناية الكافية، مستنداً إلى أن المدّعي يعجز في الغالب عن الإحاطة بالتفاصيل التقنية للنظام التي هي حصراً في حوزة المطوّر أو المشغّل.</w:t>
      </w:r>
      <w:r w:rsidRPr="00000001">
        <w:rPr>
          <w:rtl/>
        </w:rPr>
        <w:footnoteReference w:id="302"/>
      </w:r>
    </w:p>
    <w:p w14:paraId="47D9230B" w14:textId="77777777" w:rsidR="00D57654" w:rsidRDefault="00000000" w:rsidP="00DE638A">
      <w:pPr>
        <w:jc w:val="right"/>
        <w:rPr>
          <w:rFonts w:asciiTheme="majorBidi" w:hAnsiTheme="majorBidi" w:cstheme="majorBidi"/>
          <w:sz w:val="24"/>
          <w:szCs w:val="24"/>
          <w:rtl/>
        </w:rPr>
      </w:pPr>
      <w:r>
        <w:rPr>
          <w:rFonts w:asciiTheme="majorBidi" w:hAnsiTheme="majorBidi" w:cstheme="majorBidi"/>
          <w:sz w:val="24"/>
          <w:szCs w:val="24"/>
          <w:rtl/>
        </w:rPr>
        <w:t>وفيما يتعلق بتحديد الجهة التي تميل إليها المسؤولية في حالات الضرر الناجم عن الذكاء الاصطناعي، رأت الخميسي أن المعيار العادل يُرتّب المسؤولية وفق درجة السيطرة؛ فمن يملك سيطرة أكبر على تصميم النظام أو تشغيله أو توظيفه يتحمل نصيباً أعظم من المسؤولية، وهذا المعيار يُمكّن القضاء من التعامل بمرونة مع التوزيع النسبي للمسؤولية بين المطوّر والمشغّل والمستخدم المهني.</w:t>
      </w:r>
      <w:r w:rsidRPr="00000001">
        <w:rPr>
          <w:rtl/>
        </w:rPr>
        <w:footnoteReference w:id="303"/>
      </w:r>
    </w:p>
    <w:p w14:paraId="70223C87" w14:textId="77777777" w:rsidR="00D57654" w:rsidRDefault="00000000" w:rsidP="00DE638A">
      <w:pPr>
        <w:jc w:val="right"/>
        <w:rPr>
          <w:rFonts w:asciiTheme="majorBidi" w:hAnsiTheme="majorBidi" w:cstheme="majorBidi"/>
          <w:sz w:val="24"/>
          <w:szCs w:val="24"/>
          <w:rtl/>
        </w:rPr>
      </w:pPr>
      <w:r>
        <w:rPr>
          <w:rFonts w:asciiTheme="majorBidi" w:hAnsiTheme="majorBidi" w:cstheme="majorBidi"/>
          <w:sz w:val="24"/>
          <w:szCs w:val="24"/>
          <w:rtl/>
        </w:rPr>
        <w:t>ومن حيث المسؤولية عن العيب التصميمي الأصلي في نظام الذكاء الاصطناعي، أوضح المعيبد أن هذه الصورة تستوجب الرجوع إلى المطوّر الأصلي للنظام باعتباره المتسبب الأول في الخلل، غير أن إثبات هذا العيب يستلزم خبرة تقنية متخصصة نادراً ما تتوفر لدى المتضرر، وهو ما يُطرح معه مقترح إلزام المطوّرين بالإفصاح عن توثيق تقني شامل يُيسّر عملية الإثبات.</w:t>
      </w:r>
      <w:r w:rsidRPr="00000001">
        <w:rPr>
          <w:rtl/>
        </w:rPr>
        <w:footnoteReference w:id="304"/>
      </w:r>
    </w:p>
    <w:p w14:paraId="6C78F795" w14:textId="77777777" w:rsidR="00CF598B" w:rsidRPr="003A3742" w:rsidRDefault="00CF598B" w:rsidP="00DE638A">
      <w:pPr>
        <w:numPr>
          <w:ilvl w:val="0"/>
          <w:numId w:val="42"/>
        </w:numPr>
        <w:jc w:val="right"/>
        <w:rPr>
          <w:rFonts w:asciiTheme="majorBidi" w:hAnsiTheme="majorBidi" w:cstheme="majorBidi"/>
          <w:sz w:val="24"/>
          <w:szCs w:val="24"/>
        </w:rPr>
      </w:pPr>
      <w:r>
        <w:rPr>
          <w:rFonts w:asciiTheme="majorBidi" w:hAnsiTheme="majorBidi" w:cstheme="majorBidi"/>
          <w:sz w:val="24"/>
          <w:szCs w:val="24"/>
          <w:rtl/>
        </w:rPr>
        <w:t xml:space="preserve">إذا كان ناتجًا عن </w:t>
      </w:r>
      <w:r>
        <w:rPr>
          <w:rFonts w:asciiTheme="majorBidi" w:hAnsiTheme="majorBidi" w:cstheme="majorBidi"/>
          <w:b/>
          <w:bCs/>
          <w:sz w:val="24"/>
          <w:szCs w:val="24"/>
          <w:rtl/>
        </w:rPr>
        <w:t>إهمال في التشغيل أو الأمان</w:t>
      </w:r>
      <w:r>
        <w:rPr>
          <w:rFonts w:asciiTheme="majorBidi" w:hAnsiTheme="majorBidi" w:cstheme="majorBidi"/>
          <w:sz w:val="24"/>
          <w:szCs w:val="24"/>
          <w:rtl/>
        </w:rPr>
        <w:t xml:space="preserve"> </w:t>
      </w:r>
      <w:r>
        <w:rPr>
          <w:rFonts w:asciiTheme="majorBidi" w:hAnsiTheme="majorBidi" w:cstheme="majorBidi"/>
          <w:sz w:val="24"/>
          <w:szCs w:val="24"/>
        </w:rPr>
        <w:t xml:space="preserve">→ </w:t>
      </w:r>
      <w:r>
        <w:rPr>
          <w:rFonts w:asciiTheme="majorBidi" w:hAnsiTheme="majorBidi" w:cstheme="majorBidi"/>
          <w:sz w:val="24"/>
          <w:szCs w:val="24"/>
          <w:rtl/>
        </w:rPr>
        <w:t>تميل إلى مقدم التقنية</w:t>
      </w:r>
      <w:r>
        <w:rPr>
          <w:rFonts w:asciiTheme="majorBidi" w:hAnsiTheme="majorBidi" w:cstheme="majorBidi"/>
          <w:sz w:val="24"/>
          <w:szCs w:val="24"/>
        </w:rPr>
        <w:t>.</w:t>
      </w:r>
    </w:p>
    <w:p w14:paraId="77BF08BC" w14:textId="77777777" w:rsidR="00CF598B" w:rsidRPr="003A3742" w:rsidRDefault="00CF598B" w:rsidP="00DE638A">
      <w:pPr>
        <w:numPr>
          <w:ilvl w:val="0"/>
          <w:numId w:val="42"/>
        </w:numPr>
        <w:jc w:val="right"/>
        <w:rPr>
          <w:rFonts w:asciiTheme="majorBidi" w:hAnsiTheme="majorBidi" w:cstheme="majorBidi"/>
          <w:sz w:val="24"/>
          <w:szCs w:val="24"/>
        </w:rPr>
      </w:pPr>
      <w:r>
        <w:rPr>
          <w:rFonts w:asciiTheme="majorBidi" w:hAnsiTheme="majorBidi" w:cstheme="majorBidi"/>
          <w:sz w:val="24"/>
          <w:szCs w:val="24"/>
          <w:rtl/>
        </w:rPr>
        <w:t xml:space="preserve">إذا كان ناتجًا عن </w:t>
      </w:r>
      <w:r>
        <w:rPr>
          <w:rFonts w:asciiTheme="majorBidi" w:hAnsiTheme="majorBidi" w:cstheme="majorBidi"/>
          <w:b/>
          <w:bCs/>
          <w:sz w:val="24"/>
          <w:szCs w:val="24"/>
          <w:rtl/>
        </w:rPr>
        <w:t>اعتماد غير متحقق أو إدخال بيانات خاطئة</w:t>
      </w:r>
      <w:r>
        <w:rPr>
          <w:rFonts w:asciiTheme="majorBidi" w:hAnsiTheme="majorBidi" w:cstheme="majorBidi"/>
          <w:sz w:val="24"/>
          <w:szCs w:val="24"/>
          <w:rtl/>
        </w:rPr>
        <w:t xml:space="preserve"> </w:t>
      </w:r>
      <w:r>
        <w:rPr>
          <w:rFonts w:asciiTheme="majorBidi" w:hAnsiTheme="majorBidi" w:cstheme="majorBidi"/>
          <w:sz w:val="24"/>
          <w:szCs w:val="24"/>
        </w:rPr>
        <w:t xml:space="preserve">→ </w:t>
      </w:r>
      <w:r>
        <w:rPr>
          <w:rFonts w:asciiTheme="majorBidi" w:hAnsiTheme="majorBidi" w:cstheme="majorBidi"/>
          <w:sz w:val="24"/>
          <w:szCs w:val="24"/>
          <w:rtl/>
        </w:rPr>
        <w:t>تميل إلى المستخدم</w:t>
      </w:r>
      <w:r>
        <w:rPr>
          <w:rFonts w:asciiTheme="majorBidi" w:hAnsiTheme="majorBidi" w:cstheme="majorBidi"/>
          <w:sz w:val="24"/>
          <w:szCs w:val="24"/>
        </w:rPr>
        <w:t>.</w:t>
      </w:r>
    </w:p>
    <w:p w14:paraId="76BF0D01" w14:textId="77777777" w:rsidR="00CF598B" w:rsidRPr="003A3742" w:rsidRDefault="00CF598B" w:rsidP="00DE638A">
      <w:pPr>
        <w:jc w:val="right"/>
        <w:rPr>
          <w:rFonts w:asciiTheme="majorBidi" w:hAnsiTheme="majorBidi" w:cstheme="majorBidi"/>
          <w:sz w:val="24"/>
          <w:szCs w:val="24"/>
        </w:rPr>
      </w:pPr>
      <w:r>
        <w:rPr>
          <w:rFonts w:asciiTheme="majorBidi" w:hAnsiTheme="majorBidi" w:cstheme="majorBidi"/>
          <w:sz w:val="24"/>
          <w:szCs w:val="24"/>
          <w:rtl/>
        </w:rPr>
        <w:t>لكن في الحالات المختلطة، قد يكون من العدل إقرار مسؤولية تضامنية أمام المتضرر، مع تنظيم الرجوع الداخلي بين الأطراف وفقًا لدرجة مساهمتهم</w:t>
      </w:r>
      <w:r>
        <w:rPr>
          <w:rFonts w:asciiTheme="majorBidi" w:hAnsiTheme="majorBidi" w:cstheme="majorBidi"/>
          <w:sz w:val="24"/>
          <w:szCs w:val="24"/>
        </w:rPr>
        <w:t>.</w:t>
      </w:r>
    </w:p>
    <w:p w14:paraId="1A62D12F" w14:textId="77777777" w:rsidR="00CF598B" w:rsidRPr="003A3742" w:rsidRDefault="00CF598B" w:rsidP="00DE638A">
      <w:pPr>
        <w:jc w:val="right"/>
        <w:rPr>
          <w:rFonts w:asciiTheme="majorBidi" w:hAnsiTheme="majorBidi" w:cstheme="majorBidi"/>
          <w:sz w:val="24"/>
          <w:szCs w:val="24"/>
        </w:rPr>
      </w:pPr>
      <w:r>
        <w:rPr>
          <w:rFonts w:asciiTheme="majorBidi" w:hAnsiTheme="majorBidi" w:cstheme="majorBidi"/>
          <w:sz w:val="24"/>
          <w:szCs w:val="24"/>
          <w:rtl/>
        </w:rPr>
        <w:t xml:space="preserve">ومن رأيي كباحث، فإن تبني معيار “الأقرب إلى مصدر الخطر” أكثر اتساقًا مع العدالة من افتراض تضامن مطلق؛ لأن الهدف ليس توسيع المسؤولية بقدر ما هو </w:t>
      </w:r>
      <w:r>
        <w:rPr>
          <w:rFonts w:asciiTheme="majorBidi" w:hAnsiTheme="majorBidi" w:cstheme="majorBidi"/>
          <w:b/>
          <w:bCs/>
          <w:sz w:val="24"/>
          <w:szCs w:val="24"/>
          <w:rtl/>
        </w:rPr>
        <w:t>ضبطها بصورة عادلة ومتوازنة</w:t>
      </w:r>
      <w:r>
        <w:rPr>
          <w:rFonts w:asciiTheme="majorBidi" w:hAnsiTheme="majorBidi" w:cstheme="majorBidi"/>
          <w:sz w:val="24"/>
          <w:szCs w:val="24"/>
        </w:rPr>
        <w:t>.</w:t>
      </w:r>
    </w:p>
    <w:p w14:paraId="5BFFA840" w14:textId="77777777" w:rsidR="00CF598B" w:rsidRPr="003A3742" w:rsidRDefault="00CF598B" w:rsidP="00DE638A">
      <w:pPr>
        <w:jc w:val="right"/>
        <w:rPr>
          <w:rFonts w:asciiTheme="majorBidi" w:hAnsiTheme="majorBidi" w:cstheme="majorBidi"/>
          <w:sz w:val="24"/>
          <w:szCs w:val="24"/>
        </w:rPr>
      </w:pPr>
    </w:p>
    <w:p w14:paraId="79E69795" w14:textId="77777777" w:rsidR="00CF598B" w:rsidRPr="003A3742" w:rsidRDefault="00CF598B" w:rsidP="00DE638A">
      <w:pPr>
        <w:jc w:val="right"/>
        <w:rPr>
          <w:rFonts w:asciiTheme="majorBidi" w:hAnsiTheme="majorBidi" w:cstheme="majorBidi"/>
          <w:b/>
          <w:bCs/>
          <w:sz w:val="24"/>
          <w:szCs w:val="24"/>
        </w:rPr>
      </w:pPr>
      <w:r>
        <w:rPr>
          <w:rFonts w:asciiTheme="majorBidi" w:hAnsiTheme="majorBidi" w:cstheme="majorBidi"/>
          <w:b/>
          <w:bCs/>
          <w:sz w:val="24"/>
          <w:szCs w:val="24"/>
          <w:rtl/>
        </w:rPr>
        <w:t>خامسًا: المقارنة المختصرة بالتجربة الأوروبية</w:t>
      </w:r>
    </w:p>
    <w:p w14:paraId="1E522465" w14:textId="77777777" w:rsidR="00CF598B" w:rsidRPr="003A3742" w:rsidRDefault="00CF598B" w:rsidP="00DE638A">
      <w:pPr>
        <w:jc w:val="right"/>
        <w:rPr>
          <w:rFonts w:asciiTheme="majorBidi" w:hAnsiTheme="majorBidi" w:cstheme="majorBidi"/>
          <w:sz w:val="24"/>
          <w:szCs w:val="24"/>
        </w:rPr>
      </w:pPr>
      <w:r>
        <w:rPr>
          <w:rFonts w:asciiTheme="majorBidi" w:hAnsiTheme="majorBidi" w:cstheme="majorBidi"/>
          <w:sz w:val="24"/>
          <w:szCs w:val="24"/>
          <w:rtl/>
        </w:rPr>
        <w:lastRenderedPageBreak/>
        <w:t>التجربة الأوروبية تُعد من أكثر التجارب تقدمًا في تنظيم مسؤولية الذكاء الاصطناعي، خصوصًا في ضوء</w:t>
      </w:r>
      <w:r>
        <w:rPr>
          <w:rFonts w:asciiTheme="majorBidi" w:hAnsiTheme="majorBidi" w:cstheme="majorBidi"/>
          <w:sz w:val="24"/>
          <w:szCs w:val="24"/>
        </w:rPr>
        <w:t>:</w:t>
      </w:r>
    </w:p>
    <w:p w14:paraId="504AF482" w14:textId="77777777" w:rsidR="00CF598B" w:rsidRPr="003A3742" w:rsidRDefault="00CF598B">
      <w:pPr>
        <w:numPr>
          <w:ilvl w:val="0"/>
          <w:numId w:val="43"/>
        </w:numPr>
        <w:jc w:val="right"/>
        <w:rPr>
          <w:rFonts w:asciiTheme="majorBidi" w:hAnsiTheme="majorBidi" w:cstheme="majorBidi"/>
          <w:sz w:val="24"/>
          <w:szCs w:val="24"/>
        </w:rPr>
      </w:pPr>
      <w:r>
        <w:rPr>
          <w:rFonts w:asciiTheme="majorBidi" w:hAnsiTheme="majorBidi" w:cstheme="majorBidi"/>
          <w:b/>
          <w:bCs/>
          <w:sz w:val="24"/>
          <w:szCs w:val="24"/>
          <w:rtl/>
        </w:rPr>
        <w:t>التوجيه الأوروبي بشأن المسؤولية عن المنتجات المعيبة</w:t>
      </w:r>
      <w:r>
        <w:rPr>
          <w:rFonts w:asciiTheme="majorBidi" w:hAnsiTheme="majorBidi" w:cstheme="majorBidi"/>
          <w:sz w:val="24"/>
          <w:szCs w:val="24"/>
        </w:rPr>
        <w:t>.</w:t>
      </w:r>
    </w:p>
    <w:p w14:paraId="6692F372" w14:textId="77777777" w:rsidR="00CF598B" w:rsidRPr="003A3742" w:rsidRDefault="00CF598B">
      <w:pPr>
        <w:numPr>
          <w:ilvl w:val="0"/>
          <w:numId w:val="43"/>
        </w:numPr>
        <w:jc w:val="right"/>
        <w:rPr>
          <w:rFonts w:asciiTheme="majorBidi" w:hAnsiTheme="majorBidi" w:cstheme="majorBidi"/>
          <w:sz w:val="24"/>
          <w:szCs w:val="24"/>
        </w:rPr>
      </w:pPr>
      <w:r>
        <w:rPr>
          <w:rFonts w:asciiTheme="majorBidi" w:hAnsiTheme="majorBidi" w:cstheme="majorBidi"/>
          <w:sz w:val="24"/>
          <w:szCs w:val="24"/>
          <w:rtl/>
        </w:rPr>
        <w:t>والمقترحات الحديثة بشأن تنظيم الذكاء الاصطناعي</w:t>
      </w:r>
      <w:r>
        <w:rPr>
          <w:rFonts w:asciiTheme="majorBidi" w:hAnsiTheme="majorBidi" w:cstheme="majorBidi"/>
          <w:sz w:val="24"/>
          <w:szCs w:val="24"/>
        </w:rPr>
        <w:t xml:space="preserve"> (AI Act).</w:t>
      </w:r>
    </w:p>
    <w:p w14:paraId="2E923C8C" w14:textId="77777777" w:rsidR="00CF598B" w:rsidRPr="003A3742" w:rsidRDefault="00CF598B">
      <w:pPr>
        <w:numPr>
          <w:ilvl w:val="0"/>
          <w:numId w:val="43"/>
        </w:numPr>
        <w:jc w:val="right"/>
        <w:rPr>
          <w:rFonts w:asciiTheme="majorBidi" w:hAnsiTheme="majorBidi" w:cstheme="majorBidi"/>
          <w:sz w:val="24"/>
          <w:szCs w:val="24"/>
        </w:rPr>
      </w:pPr>
      <w:r>
        <w:rPr>
          <w:rFonts w:asciiTheme="majorBidi" w:hAnsiTheme="majorBidi" w:cstheme="majorBidi"/>
          <w:sz w:val="24"/>
          <w:szCs w:val="24"/>
          <w:rtl/>
        </w:rPr>
        <w:t>ومبادرات تحديث قواعد الإثبات في قضايا الذكاء الاصطناعي</w:t>
      </w:r>
      <w:r>
        <w:rPr>
          <w:rFonts w:asciiTheme="majorBidi" w:hAnsiTheme="majorBidi" w:cstheme="majorBidi"/>
          <w:sz w:val="24"/>
          <w:szCs w:val="24"/>
        </w:rPr>
        <w:t>.</w:t>
      </w:r>
    </w:p>
    <w:p w14:paraId="3B29A26C" w14:textId="77777777" w:rsidR="00CF598B" w:rsidRPr="003A3742"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Pr>
        <w:t xml:space="preserve">1. </w:t>
      </w:r>
      <w:r>
        <w:rPr>
          <w:rFonts w:asciiTheme="majorBidi" w:hAnsiTheme="majorBidi" w:cstheme="majorBidi"/>
          <w:b/>
          <w:bCs/>
          <w:sz w:val="24"/>
          <w:szCs w:val="24"/>
          <w:rtl/>
        </w:rPr>
        <w:t>الاتجاه نحو مسؤولية قائمة على المخاطر</w:t>
      </w:r>
    </w:p>
    <w:p w14:paraId="4748E1B9"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في النقاش الأوروبي، ظهر اتجاه يدعو إلى اعتماد مسؤولية تقوم على فكرة “المخاطر العالية”، بحيث تُفرض التزامات أشد على الأنظمة المصنفة عالية الخطورة. وهذا يختلف عن النموذج السعودي الحالي الذي لا يميز – بعد – بين أنظمة الذكاء الاصطناعي وفق درجة الخطورة بصورة صريحة، وإنما يُحيل إلى القواعد العامة في الخطأ والضرر</w:t>
      </w:r>
      <w:r>
        <w:rPr>
          <w:rFonts w:asciiTheme="majorBidi" w:hAnsiTheme="majorBidi" w:cstheme="majorBidi"/>
          <w:sz w:val="24"/>
          <w:szCs w:val="24"/>
        </w:rPr>
        <w:t>.</w:t>
      </w:r>
    </w:p>
    <w:p w14:paraId="520863E7"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ويرى بعض الفقه الأوروبي أن الأنظمة عالية المخاطر قد تبرر تخفيف عبء الإثبات عن المتضرر، بحيث يُفترض وجود خلل إذا ثبت الضرر وعلاقة الاستخدام، وعلى المدعى عليه إثبات العكس. وهذا تطور يتجاوز النموذج التقليدي للمسؤولية القائمة على الخطأ</w:t>
      </w:r>
      <w:r>
        <w:rPr>
          <w:rFonts w:asciiTheme="majorBidi" w:hAnsiTheme="majorBidi" w:cstheme="majorBidi"/>
          <w:sz w:val="24"/>
          <w:szCs w:val="24"/>
        </w:rPr>
        <w:t>.</w:t>
      </w:r>
    </w:p>
    <w:p w14:paraId="26ED6BC3" w14:textId="77777777" w:rsidR="00CF598B" w:rsidRPr="003A3742"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Pr>
        <w:t xml:space="preserve">2. </w:t>
      </w:r>
      <w:r>
        <w:rPr>
          <w:rFonts w:asciiTheme="majorBidi" w:hAnsiTheme="majorBidi" w:cstheme="majorBidi"/>
          <w:b/>
          <w:bCs/>
          <w:sz w:val="24"/>
          <w:szCs w:val="24"/>
          <w:rtl/>
        </w:rPr>
        <w:t>توسيع مفهوم “المنتج</w:t>
      </w:r>
      <w:r>
        <w:rPr>
          <w:rFonts w:asciiTheme="majorBidi" w:hAnsiTheme="majorBidi" w:cstheme="majorBidi"/>
          <w:b/>
          <w:bCs/>
          <w:sz w:val="24"/>
          <w:szCs w:val="24"/>
        </w:rPr>
        <w:t>”</w:t>
      </w:r>
    </w:p>
    <w:p w14:paraId="7D4BDF51"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أحد أهم التطورات الأوروبية هو توسيع مفهوم المنتج ليشمل البرمجيات والأنظمة الذكية، بما يسمح بتطبيق قواعد مسؤولية المنتج المعيب على الخوارزميات. وهذا يقترب من الطرح الذي أشار إليه حمادي بشأن القياس على مسؤولية المنتج الصناعي</w:t>
      </w:r>
      <w:r>
        <w:rPr>
          <w:rFonts w:asciiTheme="majorBidi" w:hAnsiTheme="majorBidi" w:cstheme="majorBidi"/>
          <w:sz w:val="24"/>
          <w:szCs w:val="24"/>
        </w:rPr>
        <w:t>.</w:t>
      </w:r>
    </w:p>
    <w:p w14:paraId="62C33191"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غير أن الفرق الجوهري أن البيئة الأوروبية تتجه إلى إطار تشريعي خاص بالذكاء الاصطناعي، بينما البيئة السعودية – حتى الآن – تعتمد على</w:t>
      </w:r>
      <w:r>
        <w:rPr>
          <w:rFonts w:asciiTheme="majorBidi" w:hAnsiTheme="majorBidi" w:cstheme="majorBidi"/>
          <w:sz w:val="24"/>
          <w:szCs w:val="24"/>
        </w:rPr>
        <w:t>:</w:t>
      </w:r>
    </w:p>
    <w:p w14:paraId="75516D5A" w14:textId="77777777" w:rsidR="00CF598B" w:rsidRPr="003A3742" w:rsidRDefault="00CF598B">
      <w:pPr>
        <w:numPr>
          <w:ilvl w:val="0"/>
          <w:numId w:val="44"/>
        </w:numPr>
        <w:jc w:val="right"/>
        <w:rPr>
          <w:rFonts w:asciiTheme="majorBidi" w:hAnsiTheme="majorBidi" w:cstheme="majorBidi"/>
          <w:sz w:val="24"/>
          <w:szCs w:val="24"/>
        </w:rPr>
      </w:pPr>
      <w:r>
        <w:rPr>
          <w:rFonts w:asciiTheme="majorBidi" w:hAnsiTheme="majorBidi" w:cstheme="majorBidi"/>
          <w:sz w:val="24"/>
          <w:szCs w:val="24"/>
          <w:rtl/>
        </w:rPr>
        <w:t>القواعد العامة في المسؤولية المدنية</w:t>
      </w:r>
      <w:r>
        <w:rPr>
          <w:rFonts w:asciiTheme="majorBidi" w:hAnsiTheme="majorBidi" w:cstheme="majorBidi"/>
          <w:sz w:val="24"/>
          <w:szCs w:val="24"/>
        </w:rPr>
        <w:t>.</w:t>
      </w:r>
    </w:p>
    <w:p w14:paraId="4FDD0231" w14:textId="77777777" w:rsidR="00CF598B" w:rsidRPr="003A3742" w:rsidRDefault="00CF598B">
      <w:pPr>
        <w:numPr>
          <w:ilvl w:val="0"/>
          <w:numId w:val="44"/>
        </w:numPr>
        <w:jc w:val="right"/>
        <w:rPr>
          <w:rFonts w:asciiTheme="majorBidi" w:hAnsiTheme="majorBidi" w:cstheme="majorBidi"/>
          <w:sz w:val="24"/>
          <w:szCs w:val="24"/>
        </w:rPr>
      </w:pPr>
      <w:r>
        <w:rPr>
          <w:rFonts w:asciiTheme="majorBidi" w:hAnsiTheme="majorBidi" w:cstheme="majorBidi"/>
          <w:sz w:val="24"/>
          <w:szCs w:val="24"/>
          <w:rtl/>
        </w:rPr>
        <w:t>أنظمة حماية البيانات</w:t>
      </w:r>
      <w:r>
        <w:rPr>
          <w:rFonts w:asciiTheme="majorBidi" w:hAnsiTheme="majorBidi" w:cstheme="majorBidi"/>
          <w:sz w:val="24"/>
          <w:szCs w:val="24"/>
        </w:rPr>
        <w:t>.</w:t>
      </w:r>
    </w:p>
    <w:p w14:paraId="6CA9EC3D" w14:textId="77777777" w:rsidR="00CF598B" w:rsidRPr="003A3742" w:rsidRDefault="00CF598B">
      <w:pPr>
        <w:numPr>
          <w:ilvl w:val="0"/>
          <w:numId w:val="44"/>
        </w:numPr>
        <w:jc w:val="right"/>
        <w:rPr>
          <w:rFonts w:asciiTheme="majorBidi" w:hAnsiTheme="majorBidi" w:cstheme="majorBidi"/>
          <w:sz w:val="24"/>
          <w:szCs w:val="24"/>
        </w:rPr>
      </w:pPr>
      <w:r>
        <w:rPr>
          <w:rFonts w:asciiTheme="majorBidi" w:hAnsiTheme="majorBidi" w:cstheme="majorBidi"/>
          <w:sz w:val="24"/>
          <w:szCs w:val="24"/>
          <w:rtl/>
        </w:rPr>
        <w:t>المبادئ الأخلاقية الصادرة عن سدايا</w:t>
      </w:r>
      <w:r>
        <w:rPr>
          <w:rFonts w:asciiTheme="majorBidi" w:hAnsiTheme="majorBidi" w:cstheme="majorBidi"/>
          <w:sz w:val="24"/>
          <w:szCs w:val="24"/>
        </w:rPr>
        <w:t>.</w:t>
      </w:r>
    </w:p>
    <w:p w14:paraId="4DD8C337"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وعلى الصعيد التشريعي الدولي المقارن، أقرّ البرلمان الأوروبي قانون الذكاء الاصطناعي (EU AI Act) في مارس 2024م الذي يُعدّ أول إطار تنظيمي شامل ومُلزم لتنظيم الذكاء الاصطناعي في العالم؛ إذ اعتمد نهجًا قائمًا على تصنيف أنظمة الذكاء الاصطناعي وفق مستويات المخاطر، وفرض على الأنظمة عالية المخاطر اشتراطات صارمة تشمل: الشفافية، واستمرارية الإشراف البشري، والتوثيق التقني. وتُشكّل هذه التجربة التشريعية مرجعًا مقارنًا بالغ الأهمية للمشرع السعودي عند بناء منظومة تنظيمية مماثلة للذكاء الاصطناعي في قطاع الخدمات القانونية.</w:t>
      </w:r>
      <w:r>
        <w:rPr>
          <w:rStyle w:val="af"/>
          <w:rFonts w:asciiTheme="majorBidi" w:hAnsiTheme="majorBidi" w:cstheme="majorBidi"/>
          <w:sz w:val="24"/>
          <w:szCs w:val="24"/>
          <w:rtl/>
        </w:rPr>
        <w:footnoteReference w:id="305"/>
      </w:r>
    </w:p>
    <w:p w14:paraId="0FC5F3EB" w14:textId="77777777" w:rsidR="00CF598B" w:rsidRPr="003A3742"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Pr>
        <w:t xml:space="preserve">3. </w:t>
      </w:r>
      <w:r>
        <w:rPr>
          <w:rFonts w:asciiTheme="majorBidi" w:hAnsiTheme="majorBidi" w:cstheme="majorBidi"/>
          <w:b/>
          <w:bCs/>
          <w:sz w:val="24"/>
          <w:szCs w:val="24"/>
          <w:rtl/>
        </w:rPr>
        <w:t>موضع المستخدم المهني في التجربة الأوروبية</w:t>
      </w:r>
    </w:p>
    <w:p w14:paraId="382B372B" w14:textId="77777777" w:rsidR="00D57654" w:rsidRDefault="00000000" w:rsidP="00DE638A">
      <w:pPr>
        <w:jc w:val="right"/>
        <w:rPr>
          <w:rFonts w:asciiTheme="majorBidi" w:hAnsiTheme="majorBidi" w:cstheme="majorBidi"/>
          <w:sz w:val="24"/>
          <w:szCs w:val="24"/>
          <w:rtl/>
        </w:rPr>
      </w:pPr>
      <w:r>
        <w:rPr>
          <w:rFonts w:asciiTheme="majorBidi" w:hAnsiTheme="majorBidi" w:cstheme="majorBidi"/>
          <w:sz w:val="24"/>
          <w:szCs w:val="24"/>
          <w:rtl/>
        </w:rPr>
        <w:lastRenderedPageBreak/>
        <w:t>وتكشف دراسة التونسي والمعلم (2024م) أن التجربة الأوروبية في قانون الذكاء الاصطناعي (EU AI Act 2024) ميّزت بوضوح بين "مزوّد النظام" و"مستخدِمه المهني"، وأناطت بالمستخدم المهني التزامات رقابية مستقلة تشمل التحقق من خلو النظام الذكي من المخاطر العالية قبل توظيفه في الخدمات القانونية الحساسة.</w:t>
      </w:r>
      <w:r w:rsidRPr="00000001">
        <w:rPr>
          <w:rtl/>
        </w:rPr>
        <w:footnoteReference w:id="306"/>
      </w:r>
    </w:p>
    <w:p w14:paraId="6CF03A52" w14:textId="77777777" w:rsidR="00CF598B" w:rsidRPr="003A3742" w:rsidRDefault="00CF598B" w:rsidP="00DE638A">
      <w:pPr>
        <w:jc w:val="right"/>
        <w:rPr>
          <w:rFonts w:asciiTheme="majorBidi" w:hAnsiTheme="majorBidi" w:cstheme="majorBidi"/>
          <w:sz w:val="24"/>
          <w:szCs w:val="24"/>
        </w:rPr>
      </w:pPr>
      <w:r>
        <w:rPr>
          <w:rFonts w:asciiTheme="majorBidi" w:hAnsiTheme="majorBidi" w:cstheme="majorBidi"/>
          <w:sz w:val="24"/>
          <w:szCs w:val="24"/>
          <w:rtl/>
        </w:rPr>
        <w:t>في المقارنة، نجد أن المستخدم المهني في أوروبا قد يُعفى في حالات معينة إذا أثبت أنه التزم بتعليمات المطوّر ولم يتجاوز حدود الاستخدام. بينما في البيئة السعودية، وبغياب نص خاص، يبقى المستخدم خاضعًا للقواعد العامة التي تربط المسؤولية بالإخلال بالعناية</w:t>
      </w:r>
      <w:r>
        <w:rPr>
          <w:rFonts w:asciiTheme="majorBidi" w:hAnsiTheme="majorBidi" w:cstheme="majorBidi"/>
          <w:sz w:val="24"/>
          <w:szCs w:val="24"/>
        </w:rPr>
        <w:t>.</w:t>
      </w:r>
    </w:p>
    <w:p w14:paraId="56FA437D" w14:textId="77777777" w:rsidR="00D57654" w:rsidRDefault="00000000" w:rsidP="00DE638A">
      <w:pPr>
        <w:jc w:val="right"/>
        <w:rPr>
          <w:rFonts w:asciiTheme="majorBidi" w:hAnsiTheme="majorBidi" w:cstheme="majorBidi"/>
          <w:sz w:val="24"/>
          <w:szCs w:val="24"/>
          <w:rtl/>
        </w:rPr>
      </w:pPr>
      <w:r>
        <w:rPr>
          <w:rFonts w:asciiTheme="majorBidi" w:hAnsiTheme="majorBidi" w:cstheme="majorBidi"/>
          <w:sz w:val="24"/>
          <w:szCs w:val="24"/>
          <w:rtl/>
        </w:rPr>
        <w:t>وبينما يُتيح النموذج الأوروبي إعفاء المستخدم المهني في حالات بعينها، رأت رسالة بالل (2023م) أن هذا الإعفاء مشروط بتوافر شروط صارمة تشمل إثبات الاستخدام الصحيح للأداة، وحسن النية، وانعدام الإهمال المهني — وهي شروط يمكن توظيفها في السياق السعودي كمعايير تكميلية لتحديد نطاق مسؤولية المحامي.</w:t>
      </w:r>
      <w:r w:rsidRPr="00000001">
        <w:rPr>
          <w:rtl/>
        </w:rPr>
        <w:footnoteReference w:id="307"/>
      </w:r>
    </w:p>
    <w:p w14:paraId="59FBFB3C" w14:textId="77777777" w:rsidR="00CF598B" w:rsidRPr="003A3742" w:rsidRDefault="00CF598B" w:rsidP="00DE638A">
      <w:pPr>
        <w:jc w:val="right"/>
        <w:rPr>
          <w:rFonts w:asciiTheme="majorBidi" w:hAnsiTheme="majorBidi" w:cstheme="majorBidi"/>
          <w:sz w:val="24"/>
          <w:szCs w:val="24"/>
        </w:rPr>
      </w:pPr>
      <w:r>
        <w:rPr>
          <w:rFonts w:asciiTheme="majorBidi" w:hAnsiTheme="majorBidi" w:cstheme="majorBidi"/>
          <w:sz w:val="24"/>
          <w:szCs w:val="24"/>
          <w:rtl/>
        </w:rPr>
        <w:t>ويرى الباحث، فإن التجربة الأوروبية تقدم درسين مهمين</w:t>
      </w:r>
      <w:r>
        <w:rPr>
          <w:rFonts w:asciiTheme="majorBidi" w:hAnsiTheme="majorBidi" w:cstheme="majorBidi"/>
          <w:sz w:val="24"/>
          <w:szCs w:val="24"/>
        </w:rPr>
        <w:t>:</w:t>
      </w:r>
    </w:p>
    <w:p w14:paraId="32E20B0F" w14:textId="77777777" w:rsidR="00CF598B" w:rsidRPr="003A3742" w:rsidRDefault="00CF598B" w:rsidP="00DE638A">
      <w:pPr>
        <w:numPr>
          <w:ilvl w:val="0"/>
          <w:numId w:val="45"/>
        </w:numPr>
        <w:jc w:val="right"/>
        <w:rPr>
          <w:rFonts w:asciiTheme="majorBidi" w:hAnsiTheme="majorBidi" w:cstheme="majorBidi"/>
          <w:sz w:val="24"/>
          <w:szCs w:val="24"/>
        </w:rPr>
      </w:pPr>
      <w:r>
        <w:rPr>
          <w:rFonts w:asciiTheme="majorBidi" w:hAnsiTheme="majorBidi" w:cstheme="majorBidi"/>
          <w:sz w:val="24"/>
          <w:szCs w:val="24"/>
          <w:rtl/>
        </w:rPr>
        <w:t>ضرورة تصنيف أنظمة الذكاء الاصطناعي بحسب درجة الخطورة</w:t>
      </w:r>
      <w:r>
        <w:rPr>
          <w:rFonts w:asciiTheme="majorBidi" w:hAnsiTheme="majorBidi" w:cstheme="majorBidi"/>
          <w:sz w:val="24"/>
          <w:szCs w:val="24"/>
        </w:rPr>
        <w:t>.</w:t>
      </w:r>
    </w:p>
    <w:p w14:paraId="24CF0542" w14:textId="77777777" w:rsidR="00D57654" w:rsidRDefault="00000000" w:rsidP="00DE638A">
      <w:pPr>
        <w:jc w:val="right"/>
        <w:rPr>
          <w:rFonts w:asciiTheme="majorBidi" w:hAnsiTheme="majorBidi" w:cstheme="majorBidi"/>
          <w:sz w:val="24"/>
          <w:szCs w:val="24"/>
          <w:rtl/>
        </w:rPr>
      </w:pPr>
      <w:r>
        <w:rPr>
          <w:rFonts w:asciiTheme="majorBidi" w:hAnsiTheme="majorBidi" w:cstheme="majorBidi"/>
          <w:sz w:val="24"/>
          <w:szCs w:val="24"/>
          <w:rtl/>
        </w:rPr>
        <w:t>وعلى الصعيد الجزائي لمعيار التصنيف، أوضح العطار والنوايسة أن تصنيف النظام ذا الخطورة العالية يترتب عليه أثر جزائي مباشر يتمثل في افتراض الإهمال لدى مستخدمه حين تُخفق مخرجاته في تحقيق النتائج المُعلنة، وأن هذا الافتراض يُيسّر على المتضرر الإثبات دون أن يرقى إلى المسؤولية الموضوعية الكاملة التي قد تُرهق الابتكار.</w:t>
      </w:r>
      <w:r w:rsidRPr="00000002">
        <w:rPr>
          <w:rtl/>
        </w:rPr>
        <w:footnoteReference w:id="308"/>
      </w:r>
    </w:p>
    <w:p w14:paraId="35098168" w14:textId="77777777" w:rsidR="00D57654" w:rsidRDefault="00000000" w:rsidP="00DE638A">
      <w:pPr>
        <w:jc w:val="right"/>
        <w:rPr>
          <w:rFonts w:asciiTheme="majorBidi" w:hAnsiTheme="majorBidi" w:cstheme="majorBidi"/>
          <w:sz w:val="24"/>
          <w:szCs w:val="24"/>
          <w:rtl/>
        </w:rPr>
      </w:pPr>
      <w:r>
        <w:rPr>
          <w:rFonts w:asciiTheme="majorBidi" w:hAnsiTheme="majorBidi" w:cstheme="majorBidi"/>
          <w:sz w:val="24"/>
          <w:szCs w:val="24"/>
          <w:rtl/>
        </w:rPr>
        <w:t>وفيما يتعلق بضرورة التصنيف القائم على الخطورة، بيّن المعلم أن التصنيف التدريجي يُتيح للمشرّع تخصيص الموارد الرقابية بكفاءة أعلى؛ إذ يُوجّه أشد الاشتراطات صرامةً نحو الأنظمة الأعلى خطورة، ويُخفف من متطلبات الامتثال على الأنظمة المنخفضة الخطورة التي تعمل في مهام روتينية لا تمس حقوقاً جوهرية.</w:t>
      </w:r>
      <w:r w:rsidRPr="00000002">
        <w:rPr>
          <w:rtl/>
        </w:rPr>
        <w:footnoteReference w:id="309"/>
      </w:r>
    </w:p>
    <w:p w14:paraId="48B630BF" w14:textId="77777777" w:rsidR="00D57654" w:rsidRDefault="00000000" w:rsidP="00DE638A">
      <w:pPr>
        <w:jc w:val="right"/>
        <w:rPr>
          <w:rFonts w:asciiTheme="majorBidi" w:hAnsiTheme="majorBidi" w:cstheme="majorBidi"/>
          <w:sz w:val="24"/>
          <w:szCs w:val="24"/>
          <w:rtl/>
        </w:rPr>
      </w:pPr>
      <w:r>
        <w:rPr>
          <w:rFonts w:asciiTheme="majorBidi" w:hAnsiTheme="majorBidi" w:cstheme="majorBidi"/>
          <w:sz w:val="24"/>
          <w:szCs w:val="24"/>
          <w:rtl/>
        </w:rPr>
        <w:t>وفيما يخص تصنيف أنظمة الذكاء الاصطناعي بحسب درجة الخطورة، ركّز المعيبد على أهمية هذا التصنيف في السياق الجزائي؛ إذ يُفرّق بين الأنظمة المستخدمة في مهام بسيطة كالترتيب والأرشفة التي تترتب على أخطائها مسؤولية محدودة، والأنظمة المستخدمة في مهام حساسة كالتنبؤ بالمخاطر الأمنية أو صياغة الحجج القانونية التي تستوجب أعلى معايير المساءلة والمراجعة.</w:t>
      </w:r>
      <w:r w:rsidRPr="00000001">
        <w:rPr>
          <w:rtl/>
        </w:rPr>
        <w:footnoteReference w:id="310"/>
      </w:r>
    </w:p>
    <w:p w14:paraId="1078F18C" w14:textId="77777777" w:rsidR="00CF598B" w:rsidRPr="003A3742" w:rsidRDefault="00CF598B" w:rsidP="00DE638A">
      <w:pPr>
        <w:numPr>
          <w:ilvl w:val="0"/>
          <w:numId w:val="45"/>
        </w:numPr>
        <w:jc w:val="right"/>
        <w:rPr>
          <w:rFonts w:asciiTheme="majorBidi" w:hAnsiTheme="majorBidi" w:cstheme="majorBidi"/>
          <w:sz w:val="24"/>
          <w:szCs w:val="24"/>
        </w:rPr>
      </w:pPr>
      <w:r>
        <w:rPr>
          <w:rFonts w:asciiTheme="majorBidi" w:hAnsiTheme="majorBidi" w:cstheme="majorBidi"/>
          <w:sz w:val="24"/>
          <w:szCs w:val="24"/>
          <w:rtl/>
        </w:rPr>
        <w:t>ضرورة توضيح قواعد توزيع المسؤولية تشريعيًا بدل تركها بالكامل للاجتهاد القضائي</w:t>
      </w:r>
      <w:r>
        <w:rPr>
          <w:rFonts w:asciiTheme="majorBidi" w:hAnsiTheme="majorBidi" w:cstheme="majorBidi"/>
          <w:sz w:val="24"/>
          <w:szCs w:val="24"/>
        </w:rPr>
        <w:t>.</w:t>
      </w:r>
    </w:p>
    <w:p w14:paraId="0AD73964" w14:textId="77777777" w:rsidR="00CF598B" w:rsidRPr="003A3742" w:rsidRDefault="00CF598B" w:rsidP="00DE638A">
      <w:pPr>
        <w:jc w:val="right"/>
        <w:rPr>
          <w:rFonts w:asciiTheme="majorBidi" w:hAnsiTheme="majorBidi" w:cstheme="majorBidi"/>
          <w:sz w:val="24"/>
          <w:szCs w:val="24"/>
        </w:rPr>
      </w:pPr>
      <w:r>
        <w:rPr>
          <w:rFonts w:asciiTheme="majorBidi" w:hAnsiTheme="majorBidi" w:cstheme="majorBidi"/>
          <w:sz w:val="24"/>
          <w:szCs w:val="24"/>
          <w:rtl/>
        </w:rPr>
        <w:t>لكنني لا أرى أن نقل النموذج الأوروبي بحذافيره مناسب، لأن البيئة المهنية السعودية – خاصة في مهنة المحاماة – تقوم على مركز مهني شخصي يختلف عن بعض البيئات الأوروبية ذات الطابع المؤسسي الأوسع</w:t>
      </w:r>
      <w:r>
        <w:rPr>
          <w:rFonts w:asciiTheme="majorBidi" w:hAnsiTheme="majorBidi" w:cstheme="majorBidi"/>
          <w:sz w:val="24"/>
          <w:szCs w:val="24"/>
        </w:rPr>
        <w:t>.</w:t>
      </w:r>
    </w:p>
    <w:p w14:paraId="7DC16746" w14:textId="77777777" w:rsidR="00CF598B" w:rsidRPr="003A3742" w:rsidRDefault="00CF598B" w:rsidP="00CF598B">
      <w:pPr>
        <w:jc w:val="right"/>
        <w:rPr>
          <w:rFonts w:asciiTheme="majorBidi" w:hAnsiTheme="majorBidi" w:cstheme="majorBidi"/>
          <w:sz w:val="24"/>
          <w:szCs w:val="24"/>
        </w:rPr>
      </w:pPr>
    </w:p>
    <w:p w14:paraId="7FA3E03D" w14:textId="77777777" w:rsidR="00CF598B" w:rsidRPr="003A3742"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lastRenderedPageBreak/>
        <w:t>سادسًا: نحو تصور تنظيمي متوازن في السياق السعودي</w:t>
      </w:r>
    </w:p>
    <w:p w14:paraId="4CDE6F15"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t>وفي ضوء النماذج الدولية الناجحة، خلصت عبد الرحمن إلى أن التصور التنظيمي المتوازن ينبغي أن يستحضر ثلاثة محاور متكاملة: محور الحقوق الذي يُكرّس حقوق المتقاضين في مواجهة الذكاء الاصطناعي القضائي، ومحور الضمانات الذي يُرسي الآليات التقنية والإجرائية الكافية، ومحور الابتكار الذي يتيح هامشاً كافياً لتطوير تطبيقات ذكية تُخدم أهداف التحديث القضائي.</w:t>
      </w:r>
      <w:r w:rsidRPr="00000002">
        <w:rPr>
          <w:rtl/>
        </w:rPr>
        <w:footnoteReference w:id="311"/>
      </w:r>
    </w:p>
    <w:p w14:paraId="0C585A44"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t>وفي اقتراح تصور تنظيمي متوازن، قدّم العجماني وسيد نموذجاً إطارياً يُقسّم مسار التنظيم إلى مراحل: مرحلة التجريب المحكوم التي تتيح استخدام الأنظمة الذكية في بيئات تجريبية خاضعة للرقابة، ومرحلة التقييم التي تُخضع نتائج التجريب لمراجعة مستقلة، ومرحلة الاعتماد الرسمي التي تُجيز الاستخدام العام مع اشتراطات إعادة التقييم الدورية.</w:t>
      </w:r>
      <w:r w:rsidRPr="00000002">
        <w:rPr>
          <w:rtl/>
        </w:rPr>
        <w:footnoteReference w:id="312"/>
      </w:r>
    </w:p>
    <w:p w14:paraId="348B89D1"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t>وفي ضوء هذا التصور التنظيمي المتوازن، تقترح الخميسي ما أسمته نموذج المسؤولية التدريجية، الذي يُوزّع المسؤولية القانونية على مراحل عملية توظيف الذكاء الاصطناعي: مرحلة الاختيار ومسؤولية انتقاء النظام المناسب، ومرحلة التشغيل ومسؤولية الرقابة والمراقبة، ومرحلة الإخراج ومسؤولية مراجعة المخرجات قبل توظيفها في الممارسة المهنية.</w:t>
      </w:r>
      <w:r w:rsidRPr="00000001">
        <w:rPr>
          <w:rtl/>
        </w:rPr>
        <w:footnoteReference w:id="313"/>
      </w:r>
    </w:p>
    <w:p w14:paraId="6832E9B8"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في ضوء التحليل السابق، يمكن اقتراح تصور يقوم على</w:t>
      </w:r>
      <w:r>
        <w:rPr>
          <w:rFonts w:asciiTheme="majorBidi" w:hAnsiTheme="majorBidi" w:cstheme="majorBidi"/>
          <w:sz w:val="24"/>
          <w:szCs w:val="24"/>
        </w:rPr>
        <w:t>:</w:t>
      </w:r>
    </w:p>
    <w:p w14:paraId="043D2D09" w14:textId="77777777" w:rsidR="00CF598B" w:rsidRPr="003A3742" w:rsidRDefault="00CF598B">
      <w:pPr>
        <w:numPr>
          <w:ilvl w:val="0"/>
          <w:numId w:val="46"/>
        </w:numPr>
        <w:jc w:val="right"/>
        <w:rPr>
          <w:rFonts w:asciiTheme="majorBidi" w:hAnsiTheme="majorBidi" w:cstheme="majorBidi"/>
          <w:sz w:val="24"/>
          <w:szCs w:val="24"/>
        </w:rPr>
      </w:pPr>
      <w:r>
        <w:rPr>
          <w:rFonts w:asciiTheme="majorBidi" w:hAnsiTheme="majorBidi" w:cstheme="majorBidi"/>
          <w:sz w:val="24"/>
          <w:szCs w:val="24"/>
          <w:rtl/>
        </w:rPr>
        <w:t>الإبقاء على المسؤولية القائمة على الخطأ كأساس عام</w:t>
      </w:r>
      <w:r>
        <w:rPr>
          <w:rFonts w:asciiTheme="majorBidi" w:hAnsiTheme="majorBidi" w:cstheme="majorBidi"/>
          <w:sz w:val="24"/>
          <w:szCs w:val="24"/>
        </w:rPr>
        <w:t>.</w:t>
      </w:r>
    </w:p>
    <w:p w14:paraId="39F5690B" w14:textId="77777777" w:rsidR="00CF598B" w:rsidRPr="003A3742" w:rsidRDefault="00CF598B">
      <w:pPr>
        <w:numPr>
          <w:ilvl w:val="0"/>
          <w:numId w:val="46"/>
        </w:numPr>
        <w:jc w:val="right"/>
        <w:rPr>
          <w:rFonts w:asciiTheme="majorBidi" w:hAnsiTheme="majorBidi" w:cstheme="majorBidi"/>
          <w:sz w:val="24"/>
          <w:szCs w:val="24"/>
        </w:rPr>
      </w:pPr>
      <w:r>
        <w:rPr>
          <w:rFonts w:asciiTheme="majorBidi" w:hAnsiTheme="majorBidi" w:cstheme="majorBidi"/>
          <w:sz w:val="24"/>
          <w:szCs w:val="24"/>
          <w:rtl/>
        </w:rPr>
        <w:t>اعتماد معيار الرقابة الفعلية في توزيع المسؤولية</w:t>
      </w:r>
      <w:r>
        <w:rPr>
          <w:rFonts w:asciiTheme="majorBidi" w:hAnsiTheme="majorBidi" w:cstheme="majorBidi"/>
          <w:sz w:val="24"/>
          <w:szCs w:val="24"/>
        </w:rPr>
        <w:t>.</w:t>
      </w:r>
    </w:p>
    <w:p w14:paraId="16CB9C5F" w14:textId="77777777" w:rsidR="00CF598B" w:rsidRPr="003A3742" w:rsidRDefault="00CF598B">
      <w:pPr>
        <w:numPr>
          <w:ilvl w:val="0"/>
          <w:numId w:val="46"/>
        </w:numPr>
        <w:jc w:val="right"/>
        <w:rPr>
          <w:rFonts w:asciiTheme="majorBidi" w:hAnsiTheme="majorBidi" w:cstheme="majorBidi"/>
          <w:sz w:val="24"/>
          <w:szCs w:val="24"/>
        </w:rPr>
      </w:pPr>
      <w:r>
        <w:rPr>
          <w:rFonts w:asciiTheme="majorBidi" w:hAnsiTheme="majorBidi" w:cstheme="majorBidi"/>
          <w:sz w:val="24"/>
          <w:szCs w:val="24"/>
          <w:rtl/>
        </w:rPr>
        <w:t>إلزام المطورين بواجب إفصاح تقني واضح</w:t>
      </w:r>
      <w:r>
        <w:rPr>
          <w:rFonts w:asciiTheme="majorBidi" w:hAnsiTheme="majorBidi" w:cstheme="majorBidi"/>
          <w:sz w:val="24"/>
          <w:szCs w:val="24"/>
        </w:rPr>
        <w:t>.</w:t>
      </w:r>
    </w:p>
    <w:p w14:paraId="1C3AA608" w14:textId="77777777" w:rsidR="00CF598B" w:rsidRPr="003A3742" w:rsidRDefault="00CF598B">
      <w:pPr>
        <w:numPr>
          <w:ilvl w:val="0"/>
          <w:numId w:val="46"/>
        </w:numPr>
        <w:jc w:val="right"/>
        <w:rPr>
          <w:rFonts w:asciiTheme="majorBidi" w:hAnsiTheme="majorBidi" w:cstheme="majorBidi"/>
          <w:sz w:val="24"/>
          <w:szCs w:val="24"/>
        </w:rPr>
      </w:pPr>
      <w:r>
        <w:rPr>
          <w:rFonts w:asciiTheme="majorBidi" w:hAnsiTheme="majorBidi" w:cstheme="majorBidi"/>
          <w:sz w:val="24"/>
          <w:szCs w:val="24"/>
          <w:rtl/>
        </w:rPr>
        <w:t>اعتبار إخلال المستخدم بواجب الإشراف خطأ مهنيًا مستقلًا</w:t>
      </w:r>
      <w:r>
        <w:rPr>
          <w:rFonts w:asciiTheme="majorBidi" w:hAnsiTheme="majorBidi" w:cstheme="majorBidi"/>
          <w:sz w:val="24"/>
          <w:szCs w:val="24"/>
        </w:rPr>
        <w:t>.</w:t>
      </w:r>
    </w:p>
    <w:p w14:paraId="11003941" w14:textId="77777777" w:rsidR="00CF598B" w:rsidRPr="003A3742" w:rsidRDefault="00CF598B">
      <w:pPr>
        <w:numPr>
          <w:ilvl w:val="0"/>
          <w:numId w:val="46"/>
        </w:numPr>
        <w:jc w:val="right"/>
        <w:rPr>
          <w:rFonts w:asciiTheme="majorBidi" w:hAnsiTheme="majorBidi" w:cstheme="majorBidi"/>
          <w:sz w:val="24"/>
          <w:szCs w:val="24"/>
        </w:rPr>
      </w:pPr>
      <w:r>
        <w:rPr>
          <w:rFonts w:asciiTheme="majorBidi" w:hAnsiTheme="majorBidi" w:cstheme="majorBidi"/>
          <w:sz w:val="24"/>
          <w:szCs w:val="24"/>
          <w:rtl/>
        </w:rPr>
        <w:t>تمكين المتضرر من الرجوع تضامنيًا في الحالات المختلطة، مع تنظيم الرجوع الداخلي</w:t>
      </w:r>
      <w:r>
        <w:rPr>
          <w:rFonts w:asciiTheme="majorBidi" w:hAnsiTheme="majorBidi" w:cstheme="majorBidi"/>
          <w:sz w:val="24"/>
          <w:szCs w:val="24"/>
        </w:rPr>
        <w:t>.</w:t>
      </w:r>
    </w:p>
    <w:p w14:paraId="50A13CDE" w14:textId="77777777" w:rsidR="00CF598B" w:rsidRPr="003A3742"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ومن رأيي كباحث، فإن التحدي الحقيقي ليس في توسيع المسؤولية، بل في </w:t>
      </w:r>
      <w:r>
        <w:rPr>
          <w:rFonts w:asciiTheme="majorBidi" w:hAnsiTheme="majorBidi" w:cstheme="majorBidi"/>
          <w:b/>
          <w:bCs/>
          <w:sz w:val="24"/>
          <w:szCs w:val="24"/>
          <w:rtl/>
        </w:rPr>
        <w:t>توضيحها وضبط معاييرها</w:t>
      </w:r>
      <w:r>
        <w:rPr>
          <w:rFonts w:asciiTheme="majorBidi" w:hAnsiTheme="majorBidi" w:cstheme="majorBidi"/>
          <w:sz w:val="24"/>
          <w:szCs w:val="24"/>
          <w:rtl/>
        </w:rPr>
        <w:t xml:space="preserve"> بحيث</w:t>
      </w:r>
      <w:r>
        <w:rPr>
          <w:rFonts w:asciiTheme="majorBidi" w:hAnsiTheme="majorBidi" w:cstheme="majorBidi"/>
          <w:sz w:val="24"/>
          <w:szCs w:val="24"/>
        </w:rPr>
        <w:t>:</w:t>
      </w:r>
    </w:p>
    <w:p w14:paraId="54A8EAB6" w14:textId="77777777" w:rsidR="00CF598B" w:rsidRPr="003A3742" w:rsidRDefault="00CF598B">
      <w:pPr>
        <w:numPr>
          <w:ilvl w:val="0"/>
          <w:numId w:val="47"/>
        </w:numPr>
        <w:jc w:val="right"/>
        <w:rPr>
          <w:rFonts w:asciiTheme="majorBidi" w:hAnsiTheme="majorBidi" w:cstheme="majorBidi"/>
          <w:sz w:val="24"/>
          <w:szCs w:val="24"/>
        </w:rPr>
      </w:pPr>
      <w:r>
        <w:rPr>
          <w:rFonts w:asciiTheme="majorBidi" w:hAnsiTheme="majorBidi" w:cstheme="majorBidi"/>
          <w:sz w:val="24"/>
          <w:szCs w:val="24"/>
          <w:rtl/>
        </w:rPr>
        <w:t>لا تُفرغ حماية الموكل من مضمونها</w:t>
      </w:r>
      <w:r>
        <w:rPr>
          <w:rFonts w:asciiTheme="majorBidi" w:hAnsiTheme="majorBidi" w:cstheme="majorBidi"/>
          <w:sz w:val="24"/>
          <w:szCs w:val="24"/>
        </w:rPr>
        <w:t>.</w:t>
      </w:r>
    </w:p>
    <w:p w14:paraId="6F412EB1" w14:textId="77777777" w:rsidR="00CF598B" w:rsidRPr="003A3742" w:rsidRDefault="00CF598B">
      <w:pPr>
        <w:numPr>
          <w:ilvl w:val="0"/>
          <w:numId w:val="47"/>
        </w:numPr>
        <w:jc w:val="right"/>
        <w:rPr>
          <w:rFonts w:asciiTheme="majorBidi" w:hAnsiTheme="majorBidi" w:cstheme="majorBidi"/>
          <w:sz w:val="24"/>
          <w:szCs w:val="24"/>
        </w:rPr>
      </w:pPr>
      <w:r>
        <w:rPr>
          <w:rFonts w:asciiTheme="majorBidi" w:hAnsiTheme="majorBidi" w:cstheme="majorBidi"/>
          <w:sz w:val="24"/>
          <w:szCs w:val="24"/>
          <w:rtl/>
        </w:rPr>
        <w:t>ولا تُحبط التطوير التقني داخل المهنة</w:t>
      </w:r>
      <w:r>
        <w:rPr>
          <w:rFonts w:asciiTheme="majorBidi" w:hAnsiTheme="majorBidi" w:cstheme="majorBidi"/>
          <w:sz w:val="24"/>
          <w:szCs w:val="24"/>
        </w:rPr>
        <w:t>.</w:t>
      </w:r>
    </w:p>
    <w:p w14:paraId="32A92FB1" w14:textId="77777777" w:rsidR="00CF598B" w:rsidRDefault="00CF598B">
      <w:pPr>
        <w:numPr>
          <w:ilvl w:val="0"/>
          <w:numId w:val="47"/>
        </w:numPr>
        <w:jc w:val="right"/>
        <w:rPr>
          <w:rFonts w:asciiTheme="majorBidi" w:hAnsiTheme="majorBidi" w:cstheme="majorBidi"/>
          <w:sz w:val="24"/>
          <w:szCs w:val="24"/>
        </w:rPr>
      </w:pPr>
      <w:r>
        <w:rPr>
          <w:rFonts w:asciiTheme="majorBidi" w:hAnsiTheme="majorBidi" w:cstheme="majorBidi"/>
          <w:sz w:val="24"/>
          <w:szCs w:val="24"/>
          <w:rtl/>
        </w:rPr>
        <w:t>ولا تُحمّل المحامي عبئًا تقنيًا يتجاوز قدرته الواقعية</w:t>
      </w:r>
    </w:p>
    <w:p w14:paraId="1F9768A7" w14:textId="77777777" w:rsidR="00CF598B" w:rsidRDefault="00CF598B" w:rsidP="00CF598B">
      <w:pPr>
        <w:ind w:left="720"/>
        <w:jc w:val="right"/>
        <w:rPr>
          <w:rFonts w:asciiTheme="majorBidi" w:hAnsiTheme="majorBidi" w:cstheme="majorBidi"/>
          <w:sz w:val="24"/>
          <w:szCs w:val="24"/>
          <w:rtl/>
        </w:rPr>
      </w:pPr>
    </w:p>
    <w:p w14:paraId="0E968FDC" w14:textId="77777777" w:rsidR="00CF598B" w:rsidRPr="008F13B5" w:rsidRDefault="00CF598B" w:rsidP="00CF598B">
      <w:pPr>
        <w:ind w:left="720"/>
        <w:jc w:val="right"/>
        <w:rPr>
          <w:rFonts w:asciiTheme="majorBidi" w:hAnsiTheme="majorBidi" w:cstheme="majorBidi"/>
          <w:b/>
          <w:bCs/>
          <w:sz w:val="24"/>
          <w:szCs w:val="24"/>
        </w:rPr>
      </w:pPr>
      <w:r>
        <w:rPr>
          <w:rFonts w:asciiTheme="majorBidi" w:hAnsiTheme="majorBidi" w:cstheme="majorBidi"/>
          <w:b/>
          <w:bCs/>
          <w:sz w:val="24"/>
          <w:szCs w:val="24"/>
          <w:rtl/>
        </w:rPr>
        <w:t>سابعًا: معيار “السيطرة والرقابة الفعلية” بين ثلاث مدارس في تأسيس المسؤولية</w:t>
      </w:r>
    </w:p>
    <w:p w14:paraId="41199F72" w14:textId="77777777" w:rsidR="00CF598B" w:rsidRPr="008F13B5" w:rsidRDefault="00CF598B" w:rsidP="00CF598B">
      <w:pPr>
        <w:ind w:left="720"/>
        <w:jc w:val="right"/>
        <w:rPr>
          <w:rFonts w:asciiTheme="majorBidi" w:hAnsiTheme="majorBidi" w:cstheme="majorBidi"/>
          <w:sz w:val="24"/>
          <w:szCs w:val="24"/>
        </w:rPr>
      </w:pPr>
      <w:r>
        <w:rPr>
          <w:rFonts w:asciiTheme="majorBidi" w:hAnsiTheme="majorBidi" w:cstheme="majorBidi"/>
          <w:sz w:val="24"/>
          <w:szCs w:val="24"/>
          <w:rtl/>
        </w:rPr>
        <w:t>في بيئة الذكاء الاصطناعي، تتزاحم ثلاث مقاربات لتحديد من يتحمل المسؤولية عند الضرر، وكل مقاربة تقود عمليًا إلى توزيع مختلف</w:t>
      </w:r>
      <w:r>
        <w:rPr>
          <w:rFonts w:asciiTheme="majorBidi" w:hAnsiTheme="majorBidi" w:cstheme="majorBidi"/>
          <w:sz w:val="24"/>
          <w:szCs w:val="24"/>
        </w:rPr>
        <w:t>:</w:t>
      </w:r>
    </w:p>
    <w:p w14:paraId="0F06BEEB" w14:textId="77777777" w:rsidR="00CF598B" w:rsidRPr="008F13B5" w:rsidRDefault="00CF598B">
      <w:pPr>
        <w:numPr>
          <w:ilvl w:val="0"/>
          <w:numId w:val="48"/>
        </w:numPr>
        <w:jc w:val="right"/>
        <w:rPr>
          <w:rFonts w:asciiTheme="majorBidi" w:hAnsiTheme="majorBidi" w:cstheme="majorBidi"/>
          <w:sz w:val="24"/>
          <w:szCs w:val="24"/>
        </w:rPr>
      </w:pPr>
      <w:r>
        <w:rPr>
          <w:rFonts w:asciiTheme="majorBidi" w:hAnsiTheme="majorBidi" w:cstheme="majorBidi"/>
          <w:b/>
          <w:bCs/>
          <w:sz w:val="24"/>
          <w:szCs w:val="24"/>
          <w:rtl/>
        </w:rPr>
        <w:lastRenderedPageBreak/>
        <w:t>مدرسة الإسناد إلى صاحب الاعتماد النهائي</w:t>
      </w:r>
      <w:r>
        <w:rPr>
          <w:rFonts w:asciiTheme="majorBidi" w:hAnsiTheme="majorBidi" w:cstheme="majorBidi"/>
          <w:b/>
          <w:bCs/>
          <w:sz w:val="24"/>
          <w:szCs w:val="24"/>
        </w:rPr>
        <w:t xml:space="preserve"> (Decision-based liability)</w:t>
      </w:r>
      <w:r>
        <w:rPr>
          <w:rFonts w:asciiTheme="majorBidi" w:hAnsiTheme="majorBidi" w:cstheme="majorBidi"/>
          <w:sz w:val="24"/>
          <w:szCs w:val="24"/>
        </w:rPr>
        <w:br/>
      </w:r>
      <w:r>
        <w:rPr>
          <w:rFonts w:asciiTheme="majorBidi" w:hAnsiTheme="majorBidi" w:cstheme="majorBidi"/>
          <w:sz w:val="24"/>
          <w:szCs w:val="24"/>
          <w:rtl/>
        </w:rPr>
        <w:t>وتقوم على أن الطرف الذي “اعتمد” المخرج وقدّمه للغير هو الأقرب لتحمل التبعة؛ لأنها مسؤولية مرتبطة بالقرار النهائي لا بآلية التوليد. هذه المدرسة تغري بالبساطة لكنها قد تظلم المستخدم إذا كان العيب بنيويًا خفيًا</w:t>
      </w:r>
      <w:r>
        <w:rPr>
          <w:rFonts w:asciiTheme="majorBidi" w:hAnsiTheme="majorBidi" w:cstheme="majorBidi"/>
          <w:sz w:val="24"/>
          <w:szCs w:val="24"/>
        </w:rPr>
        <w:t>.</w:t>
      </w:r>
    </w:p>
    <w:p w14:paraId="10D7036F" w14:textId="77777777" w:rsidR="00CF598B" w:rsidRPr="008F13B5" w:rsidRDefault="00CF598B">
      <w:pPr>
        <w:numPr>
          <w:ilvl w:val="0"/>
          <w:numId w:val="48"/>
        </w:numPr>
        <w:jc w:val="right"/>
        <w:rPr>
          <w:rFonts w:asciiTheme="majorBidi" w:hAnsiTheme="majorBidi" w:cstheme="majorBidi"/>
          <w:sz w:val="24"/>
          <w:szCs w:val="24"/>
        </w:rPr>
      </w:pPr>
      <w:r>
        <w:rPr>
          <w:rFonts w:asciiTheme="majorBidi" w:hAnsiTheme="majorBidi" w:cstheme="majorBidi"/>
          <w:b/>
          <w:bCs/>
          <w:sz w:val="24"/>
          <w:szCs w:val="24"/>
          <w:rtl/>
        </w:rPr>
        <w:t>مدرسة الإسناد إلى صاحب التصميم/التسبب البنيوي</w:t>
      </w:r>
      <w:r>
        <w:rPr>
          <w:rFonts w:asciiTheme="majorBidi" w:hAnsiTheme="majorBidi" w:cstheme="majorBidi"/>
          <w:b/>
          <w:bCs/>
          <w:sz w:val="24"/>
          <w:szCs w:val="24"/>
        </w:rPr>
        <w:t xml:space="preserve"> (Design-based liability)</w:t>
      </w:r>
      <w:r>
        <w:rPr>
          <w:rFonts w:asciiTheme="majorBidi" w:hAnsiTheme="majorBidi" w:cstheme="majorBidi"/>
          <w:sz w:val="24"/>
          <w:szCs w:val="24"/>
        </w:rPr>
        <w:br/>
      </w:r>
      <w:r>
        <w:rPr>
          <w:rFonts w:asciiTheme="majorBidi" w:hAnsiTheme="majorBidi" w:cstheme="majorBidi"/>
          <w:sz w:val="24"/>
          <w:szCs w:val="24"/>
          <w:rtl/>
        </w:rPr>
        <w:t>وترى أن المسؤولية الأصلية يجب أن تثبت حيث ينشأ الخطر: في مرحلة التدريب والتصميم واختبار المنتج قبل طرحه. هذا قريب من القياس على “عيب المنتج”، وقد لمح إليه حمادي عند حديثه عن قياس مسؤولية مطوّر الأنظمة الذكية على مسؤولية المنتج المعيب (حمادي، 2022)</w:t>
      </w:r>
      <w:r>
        <w:rPr>
          <w:rStyle w:val="af"/>
          <w:rFonts w:asciiTheme="majorBidi" w:hAnsiTheme="majorBidi" w:cstheme="majorBidi"/>
          <w:sz w:val="24"/>
          <w:szCs w:val="24"/>
          <w:rtl/>
        </w:rPr>
        <w:footnoteReference w:id="314"/>
      </w:r>
      <w:r>
        <w:rPr>
          <w:rFonts w:asciiTheme="majorBidi" w:hAnsiTheme="majorBidi" w:cstheme="majorBidi"/>
          <w:sz w:val="24"/>
          <w:szCs w:val="24"/>
        </w:rPr>
        <w:t>.</w:t>
      </w:r>
    </w:p>
    <w:p w14:paraId="23AB666F" w14:textId="77777777" w:rsidR="00CF598B" w:rsidRPr="008F13B5" w:rsidRDefault="00CF598B">
      <w:pPr>
        <w:numPr>
          <w:ilvl w:val="0"/>
          <w:numId w:val="48"/>
        </w:numPr>
        <w:jc w:val="right"/>
        <w:rPr>
          <w:rFonts w:asciiTheme="majorBidi" w:hAnsiTheme="majorBidi" w:cstheme="majorBidi"/>
          <w:sz w:val="24"/>
          <w:szCs w:val="24"/>
        </w:rPr>
      </w:pPr>
      <w:r>
        <w:rPr>
          <w:rFonts w:asciiTheme="majorBidi" w:hAnsiTheme="majorBidi" w:cstheme="majorBidi"/>
          <w:b/>
          <w:bCs/>
          <w:sz w:val="24"/>
          <w:szCs w:val="24"/>
          <w:rtl/>
        </w:rPr>
        <w:t>مدرسة “السيطرة والرقابة الفعلية</w:t>
      </w:r>
      <w:r>
        <w:rPr>
          <w:rFonts w:asciiTheme="majorBidi" w:hAnsiTheme="majorBidi" w:cstheme="majorBidi"/>
          <w:b/>
          <w:bCs/>
          <w:sz w:val="24"/>
          <w:szCs w:val="24"/>
        </w:rPr>
        <w:t>” (Control-based liability)</w:t>
      </w:r>
      <w:r>
        <w:rPr>
          <w:rFonts w:asciiTheme="majorBidi" w:hAnsiTheme="majorBidi" w:cstheme="majorBidi"/>
          <w:sz w:val="24"/>
          <w:szCs w:val="24"/>
        </w:rPr>
        <w:br/>
      </w:r>
      <w:r>
        <w:rPr>
          <w:rFonts w:asciiTheme="majorBidi" w:hAnsiTheme="majorBidi" w:cstheme="majorBidi"/>
          <w:sz w:val="24"/>
          <w:szCs w:val="24"/>
          <w:rtl/>
        </w:rPr>
        <w:t>وهي التي أميل إليها؛ لأنها لا تتوقف عند من اتخذ القرار فقط ولا عند من صمم النظام فقط، بل تسأل</w:t>
      </w:r>
      <w:r>
        <w:rPr>
          <w:rFonts w:asciiTheme="majorBidi" w:hAnsiTheme="majorBidi" w:cstheme="majorBidi"/>
          <w:sz w:val="24"/>
          <w:szCs w:val="24"/>
        </w:rPr>
        <w:t xml:space="preserve">: </w:t>
      </w:r>
      <w:r>
        <w:rPr>
          <w:rFonts w:asciiTheme="majorBidi" w:hAnsiTheme="majorBidi" w:cstheme="majorBidi"/>
          <w:i/>
          <w:iCs/>
          <w:sz w:val="24"/>
          <w:szCs w:val="24"/>
          <w:rtl/>
        </w:rPr>
        <w:t>من كان يملك القدرة الواقعية على منع الضرر أو تقليله في المرحلة التي وقع فيها؟</w:t>
      </w:r>
      <w:r>
        <w:rPr>
          <w:rFonts w:asciiTheme="majorBidi" w:hAnsiTheme="majorBidi" w:cstheme="majorBidi"/>
          <w:sz w:val="24"/>
          <w:szCs w:val="24"/>
        </w:rPr>
        <w:br/>
      </w:r>
      <w:r>
        <w:rPr>
          <w:rFonts w:asciiTheme="majorBidi" w:hAnsiTheme="majorBidi" w:cstheme="majorBidi"/>
          <w:sz w:val="24"/>
          <w:szCs w:val="24"/>
          <w:rtl/>
        </w:rPr>
        <w:t>وهذا يتسق مع طرح المالكي الذي يرجّح معيار السيطرة/الرقابة على معيار الفعل المادي في بيئة الذكاء الاصطناعي؛ لأن “الخطر” يتولد عبر منظومة لا عبر فعل فردي بسيط (المالكي، 2024)</w:t>
      </w:r>
      <w:r>
        <w:rPr>
          <w:rStyle w:val="af"/>
          <w:rFonts w:asciiTheme="majorBidi" w:hAnsiTheme="majorBidi" w:cstheme="majorBidi"/>
          <w:sz w:val="24"/>
          <w:szCs w:val="24"/>
          <w:rtl/>
        </w:rPr>
        <w:footnoteReference w:id="315"/>
      </w:r>
      <w:r>
        <w:rPr>
          <w:rFonts w:asciiTheme="majorBidi" w:hAnsiTheme="majorBidi" w:cstheme="majorBidi"/>
          <w:sz w:val="24"/>
          <w:szCs w:val="24"/>
        </w:rPr>
        <w:t>.</w:t>
      </w:r>
    </w:p>
    <w:p w14:paraId="01857124" w14:textId="77777777" w:rsidR="00CF598B" w:rsidRPr="008F13B5" w:rsidRDefault="00CF598B" w:rsidP="00CF598B">
      <w:pPr>
        <w:ind w:left="720"/>
        <w:jc w:val="right"/>
        <w:rPr>
          <w:rFonts w:asciiTheme="majorBidi" w:hAnsiTheme="majorBidi" w:cstheme="majorBidi"/>
          <w:sz w:val="24"/>
          <w:szCs w:val="24"/>
        </w:rPr>
      </w:pPr>
      <w:r>
        <w:rPr>
          <w:rFonts w:asciiTheme="majorBidi" w:hAnsiTheme="majorBidi" w:cstheme="majorBidi"/>
          <w:sz w:val="24"/>
          <w:szCs w:val="24"/>
          <w:rtl/>
        </w:rPr>
        <w:t xml:space="preserve">ويزداد هذا المعيار وجاهة إذا استحضرنا مبدأ </w:t>
      </w:r>
      <w:r>
        <w:rPr>
          <w:rFonts w:asciiTheme="majorBidi" w:hAnsiTheme="majorBidi" w:cstheme="majorBidi"/>
          <w:b/>
          <w:bCs/>
          <w:sz w:val="24"/>
          <w:szCs w:val="24"/>
          <w:rtl/>
        </w:rPr>
        <w:t>المساءلة</w:t>
      </w:r>
      <w:r>
        <w:rPr>
          <w:rFonts w:asciiTheme="majorBidi" w:hAnsiTheme="majorBidi" w:cstheme="majorBidi"/>
          <w:sz w:val="24"/>
          <w:szCs w:val="24"/>
          <w:rtl/>
        </w:rPr>
        <w:t xml:space="preserve"> كركن حاكم في وثائق سدايا؛ فالمساءلة لا تُفهم بوصفها عقوبة على وجود التقنية، بل بوصفها إلزامًا بتحديد مسؤول واضح عن القرار والتشغيل والتصميم (سدايا، 2023)</w:t>
      </w:r>
      <w:r>
        <w:rPr>
          <w:rFonts w:asciiTheme="majorBidi" w:hAnsiTheme="majorBidi" w:cstheme="majorBidi"/>
          <w:sz w:val="24"/>
          <w:szCs w:val="24"/>
        </w:rPr>
        <w:t>.</w:t>
      </w:r>
    </w:p>
    <w:p w14:paraId="77522A1F" w14:textId="77777777" w:rsidR="00CF598B" w:rsidRPr="008F13B5" w:rsidRDefault="00CF598B" w:rsidP="00CF598B">
      <w:pPr>
        <w:ind w:left="720"/>
        <w:jc w:val="right"/>
        <w:rPr>
          <w:rFonts w:asciiTheme="majorBidi" w:hAnsiTheme="majorBidi" w:cstheme="majorBidi"/>
          <w:sz w:val="24"/>
          <w:szCs w:val="24"/>
        </w:rPr>
      </w:pPr>
      <w:r>
        <w:rPr>
          <w:rFonts w:asciiTheme="majorBidi" w:hAnsiTheme="majorBidi" w:cstheme="majorBidi"/>
          <w:b/>
          <w:bCs/>
          <w:sz w:val="24"/>
          <w:szCs w:val="24"/>
          <w:rtl/>
        </w:rPr>
        <w:t>ويرى الباحث</w:t>
      </w:r>
      <w:r>
        <w:rPr>
          <w:rFonts w:asciiTheme="majorBidi" w:hAnsiTheme="majorBidi" w:cstheme="majorBidi"/>
          <w:b/>
          <w:bCs/>
          <w:sz w:val="24"/>
          <w:szCs w:val="24"/>
        </w:rPr>
        <w:t>:</w:t>
      </w:r>
      <w:r>
        <w:rPr>
          <w:rFonts w:asciiTheme="majorBidi" w:hAnsiTheme="majorBidi" w:cstheme="majorBidi"/>
          <w:sz w:val="24"/>
          <w:szCs w:val="24"/>
        </w:rPr>
        <w:br/>
      </w:r>
      <w:r>
        <w:rPr>
          <w:rFonts w:asciiTheme="majorBidi" w:hAnsiTheme="majorBidi" w:cstheme="majorBidi"/>
          <w:sz w:val="24"/>
          <w:szCs w:val="24"/>
          <w:rtl/>
        </w:rPr>
        <w:t xml:space="preserve">المدخل الأكثر عدلًا ليس “إسنادًا واحدًا”، بل </w:t>
      </w:r>
      <w:r>
        <w:rPr>
          <w:rFonts w:asciiTheme="majorBidi" w:hAnsiTheme="majorBidi" w:cstheme="majorBidi"/>
          <w:b/>
          <w:bCs/>
          <w:sz w:val="24"/>
          <w:szCs w:val="24"/>
          <w:rtl/>
        </w:rPr>
        <w:t>شبكة إسناد</w:t>
      </w:r>
      <w:r>
        <w:rPr>
          <w:rFonts w:asciiTheme="majorBidi" w:hAnsiTheme="majorBidi" w:cstheme="majorBidi"/>
          <w:sz w:val="24"/>
          <w:szCs w:val="24"/>
          <w:rtl/>
        </w:rPr>
        <w:t xml:space="preserve"> تبدأ من السيطرة البنيوية (المطوّر) مرورًا بالسيطرة التشغيلية (مقدم التقنية) وصولًا إلى السيطرة المهنية/القرارية (المستخدم). وبهذا يتحقق توازن: لا إفلات بسبب “الصندوق الأسود”، ولا تحميل طرف واحد تبعة منظومة كاملة</w:t>
      </w:r>
      <w:r>
        <w:rPr>
          <w:rFonts w:asciiTheme="majorBidi" w:hAnsiTheme="majorBidi" w:cstheme="majorBidi"/>
          <w:sz w:val="24"/>
          <w:szCs w:val="24"/>
        </w:rPr>
        <w:t>.</w:t>
      </w:r>
    </w:p>
    <w:p w14:paraId="2626E25F" w14:textId="77777777" w:rsidR="00CF598B" w:rsidRPr="008F13B5" w:rsidRDefault="00CF598B" w:rsidP="00CF598B">
      <w:pPr>
        <w:ind w:left="720"/>
        <w:jc w:val="right"/>
        <w:rPr>
          <w:rFonts w:asciiTheme="majorBidi" w:hAnsiTheme="majorBidi" w:cstheme="majorBidi"/>
          <w:sz w:val="24"/>
          <w:szCs w:val="24"/>
        </w:rPr>
      </w:pPr>
    </w:p>
    <w:p w14:paraId="3CC72650" w14:textId="77777777" w:rsidR="00CF598B" w:rsidRPr="008F13B5" w:rsidRDefault="00CF598B" w:rsidP="00CF598B">
      <w:pPr>
        <w:ind w:left="720"/>
        <w:jc w:val="right"/>
        <w:rPr>
          <w:rFonts w:asciiTheme="majorBidi" w:hAnsiTheme="majorBidi" w:cstheme="majorBidi"/>
          <w:b/>
          <w:bCs/>
          <w:sz w:val="24"/>
          <w:szCs w:val="24"/>
        </w:rPr>
      </w:pPr>
      <w:r>
        <w:rPr>
          <w:rFonts w:asciiTheme="majorBidi" w:hAnsiTheme="majorBidi" w:cstheme="majorBidi"/>
          <w:b/>
          <w:bCs/>
          <w:sz w:val="24"/>
          <w:szCs w:val="24"/>
          <w:rtl/>
        </w:rPr>
        <w:t>ثامنًا: مسؤولية المطوّر بين “عيب التصميم” و“عيب التدريب” و“قصور التحذير</w:t>
      </w:r>
      <w:r>
        <w:rPr>
          <w:rFonts w:asciiTheme="majorBidi" w:hAnsiTheme="majorBidi" w:cstheme="majorBidi"/>
          <w:b/>
          <w:bCs/>
          <w:sz w:val="24"/>
          <w:szCs w:val="24"/>
        </w:rPr>
        <w:t>”</w:t>
      </w:r>
    </w:p>
    <w:p w14:paraId="3F158FB2" w14:textId="77777777" w:rsidR="00CF598B" w:rsidRPr="008F13B5" w:rsidRDefault="00CF598B" w:rsidP="00CF598B">
      <w:pPr>
        <w:ind w:left="720"/>
        <w:jc w:val="right"/>
        <w:rPr>
          <w:rFonts w:asciiTheme="majorBidi" w:hAnsiTheme="majorBidi" w:cstheme="majorBidi"/>
          <w:sz w:val="24"/>
          <w:szCs w:val="24"/>
        </w:rPr>
      </w:pPr>
      <w:r>
        <w:rPr>
          <w:rFonts w:asciiTheme="majorBidi" w:hAnsiTheme="majorBidi" w:cstheme="majorBidi"/>
          <w:sz w:val="24"/>
          <w:szCs w:val="24"/>
          <w:rtl/>
        </w:rPr>
        <w:t>مسؤولية المطوّر لا يجب أن تُحصر في فكرة الخطأ البرمجي التقليدي؛ لأن الأخطاء في الأنظمة الذكية كثيرًا ما تكون من نوعين أكثر خطورة</w:t>
      </w:r>
      <w:r>
        <w:rPr>
          <w:rFonts w:asciiTheme="majorBidi" w:hAnsiTheme="majorBidi" w:cstheme="majorBidi"/>
          <w:sz w:val="24"/>
          <w:szCs w:val="24"/>
        </w:rPr>
        <w:t>:</w:t>
      </w:r>
    </w:p>
    <w:p w14:paraId="39368831" w14:textId="77777777" w:rsidR="00CF598B" w:rsidRPr="008F13B5" w:rsidRDefault="00CF598B" w:rsidP="00CF598B">
      <w:pPr>
        <w:ind w:left="720"/>
        <w:jc w:val="right"/>
        <w:rPr>
          <w:rFonts w:asciiTheme="majorBidi" w:hAnsiTheme="majorBidi" w:cstheme="majorBidi"/>
          <w:b/>
          <w:bCs/>
          <w:sz w:val="24"/>
          <w:szCs w:val="24"/>
        </w:rPr>
      </w:pPr>
      <w:r>
        <w:rPr>
          <w:rFonts w:asciiTheme="majorBidi" w:hAnsiTheme="majorBidi" w:cstheme="majorBidi"/>
          <w:b/>
          <w:bCs/>
          <w:sz w:val="24"/>
          <w:szCs w:val="24"/>
        </w:rPr>
        <w:t xml:space="preserve">1) </w:t>
      </w:r>
      <w:r>
        <w:rPr>
          <w:rFonts w:asciiTheme="majorBidi" w:hAnsiTheme="majorBidi" w:cstheme="majorBidi"/>
          <w:b/>
          <w:bCs/>
          <w:sz w:val="24"/>
          <w:szCs w:val="24"/>
          <w:rtl/>
        </w:rPr>
        <w:t>عيب التصميم</w:t>
      </w:r>
      <w:r>
        <w:rPr>
          <w:rFonts w:asciiTheme="majorBidi" w:hAnsiTheme="majorBidi" w:cstheme="majorBidi"/>
          <w:b/>
          <w:bCs/>
          <w:sz w:val="24"/>
          <w:szCs w:val="24"/>
        </w:rPr>
        <w:t xml:space="preserve"> (Structural defect)</w:t>
      </w:r>
    </w:p>
    <w:p w14:paraId="7C13822F" w14:textId="77777777" w:rsidR="00CF598B" w:rsidRPr="008F13B5" w:rsidRDefault="00CF598B" w:rsidP="00CF598B">
      <w:pPr>
        <w:ind w:left="720"/>
        <w:jc w:val="right"/>
        <w:rPr>
          <w:rFonts w:asciiTheme="majorBidi" w:hAnsiTheme="majorBidi" w:cstheme="majorBidi"/>
          <w:sz w:val="24"/>
          <w:szCs w:val="24"/>
        </w:rPr>
      </w:pPr>
      <w:r>
        <w:rPr>
          <w:rFonts w:asciiTheme="majorBidi" w:hAnsiTheme="majorBidi" w:cstheme="majorBidi"/>
          <w:sz w:val="24"/>
          <w:szCs w:val="24"/>
          <w:rtl/>
        </w:rPr>
        <w:t>كأن تُبنى الخوارزمية على منطق استدلال غير مناسب للمجال القانوني، أو لا تراعي حدود الاستنتاج، أو تتعامل مع “المعلومة القانونية” كبيانات لغوية قابلة للتوليد دون شروط تحقق. هنا يكون الخلل سابقًا على الاستخدام، ويقترب من عيب “في المنتج ذاته” لا في طريقة تشغيله. وهذا النوع يبرر مساءلة المطوّر متى ثبت أن العيب متأصل ومن شأنه إنتاج نتائج مضللة عند الاستخدام المتوقع (حمادي، 2022)</w:t>
      </w:r>
      <w:r>
        <w:rPr>
          <w:rFonts w:asciiTheme="majorBidi" w:hAnsiTheme="majorBidi" w:cstheme="majorBidi"/>
          <w:sz w:val="24"/>
          <w:szCs w:val="24"/>
        </w:rPr>
        <w:t>.</w:t>
      </w:r>
    </w:p>
    <w:p w14:paraId="137642BB" w14:textId="77777777" w:rsidR="00CF598B" w:rsidRPr="008F13B5" w:rsidRDefault="00CF598B" w:rsidP="00CF598B">
      <w:pPr>
        <w:ind w:left="720"/>
        <w:jc w:val="right"/>
        <w:rPr>
          <w:rFonts w:asciiTheme="majorBidi" w:hAnsiTheme="majorBidi" w:cstheme="majorBidi"/>
          <w:b/>
          <w:bCs/>
          <w:sz w:val="24"/>
          <w:szCs w:val="24"/>
        </w:rPr>
      </w:pPr>
      <w:r>
        <w:rPr>
          <w:rFonts w:asciiTheme="majorBidi" w:hAnsiTheme="majorBidi" w:cstheme="majorBidi"/>
          <w:b/>
          <w:bCs/>
          <w:sz w:val="24"/>
          <w:szCs w:val="24"/>
        </w:rPr>
        <w:t xml:space="preserve">2) </w:t>
      </w:r>
      <w:r>
        <w:rPr>
          <w:rFonts w:asciiTheme="majorBidi" w:hAnsiTheme="majorBidi" w:cstheme="majorBidi"/>
          <w:b/>
          <w:bCs/>
          <w:sz w:val="24"/>
          <w:szCs w:val="24"/>
          <w:rtl/>
        </w:rPr>
        <w:t>عيب التدريب والبيانات</w:t>
      </w:r>
      <w:r>
        <w:rPr>
          <w:rFonts w:asciiTheme="majorBidi" w:hAnsiTheme="majorBidi" w:cstheme="majorBidi"/>
          <w:b/>
          <w:bCs/>
          <w:sz w:val="24"/>
          <w:szCs w:val="24"/>
        </w:rPr>
        <w:t xml:space="preserve"> (Training/Data defect)</w:t>
      </w:r>
    </w:p>
    <w:p w14:paraId="3AEACAF0" w14:textId="77777777" w:rsidR="00CF598B" w:rsidRPr="008F13B5" w:rsidRDefault="00CF598B" w:rsidP="00DE638A">
      <w:pPr>
        <w:ind w:left="720"/>
        <w:jc w:val="right"/>
        <w:rPr>
          <w:rFonts w:asciiTheme="majorBidi" w:hAnsiTheme="majorBidi" w:cstheme="majorBidi"/>
          <w:sz w:val="24"/>
          <w:szCs w:val="24"/>
        </w:rPr>
      </w:pPr>
      <w:r>
        <w:rPr>
          <w:rFonts w:asciiTheme="majorBidi" w:hAnsiTheme="majorBidi" w:cstheme="majorBidi"/>
          <w:sz w:val="24"/>
          <w:szCs w:val="24"/>
          <w:rtl/>
        </w:rPr>
        <w:t>وهو أخطر في المجال القانوني: نموذج يتغذى على بيانات غير ممثلة للبيئة السعودية، أو يُنتج إحالات وسوابق غير دقيقة، أو يخلط بين أنظمة متعددة. خليل يلفت هنا إلى مشكلة “انقطاع الصلة الإدراكية” والغموض الخوارزمي؛ وأن التعقيد يشتت الإسناد ويصعّب تتبع منبع الخطأ (خليل، 2022)</w:t>
      </w:r>
      <w:r>
        <w:rPr>
          <w:rStyle w:val="af"/>
          <w:rFonts w:asciiTheme="majorBidi" w:hAnsiTheme="majorBidi" w:cstheme="majorBidi"/>
          <w:sz w:val="24"/>
          <w:szCs w:val="24"/>
          <w:rtl/>
        </w:rPr>
        <w:footnoteReference w:id="316"/>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lastRenderedPageBreak/>
        <w:t xml:space="preserve">لكن هذا التعقيد، من زاوية المطوّر، لا ينبغي أن يتحول إلى حصانة، بل إلى </w:t>
      </w:r>
      <w:r>
        <w:rPr>
          <w:rFonts w:asciiTheme="majorBidi" w:hAnsiTheme="majorBidi" w:cstheme="majorBidi"/>
          <w:b/>
          <w:bCs/>
          <w:sz w:val="24"/>
          <w:szCs w:val="24"/>
          <w:rtl/>
        </w:rPr>
        <w:t>واجب أعلى في الاختبار والتقييم قبل الطرح</w:t>
      </w:r>
      <w:r>
        <w:rPr>
          <w:rFonts w:asciiTheme="majorBidi" w:hAnsiTheme="majorBidi" w:cstheme="majorBidi"/>
          <w:sz w:val="24"/>
          <w:szCs w:val="24"/>
        </w:rPr>
        <w:t>.</w:t>
      </w:r>
    </w:p>
    <w:p w14:paraId="5C782C35" w14:textId="77777777" w:rsidR="00CF598B" w:rsidRPr="008F13B5" w:rsidRDefault="00CF598B" w:rsidP="00DE638A">
      <w:pPr>
        <w:ind w:left="720"/>
        <w:jc w:val="right"/>
        <w:rPr>
          <w:rFonts w:asciiTheme="majorBidi" w:hAnsiTheme="majorBidi" w:cstheme="majorBidi"/>
          <w:b/>
          <w:bCs/>
          <w:sz w:val="24"/>
          <w:szCs w:val="24"/>
        </w:rPr>
      </w:pPr>
      <w:r>
        <w:rPr>
          <w:rFonts w:asciiTheme="majorBidi" w:hAnsiTheme="majorBidi" w:cstheme="majorBidi"/>
          <w:b/>
          <w:bCs/>
          <w:sz w:val="24"/>
          <w:szCs w:val="24"/>
        </w:rPr>
        <w:t xml:space="preserve">3) </w:t>
      </w:r>
      <w:r>
        <w:rPr>
          <w:rFonts w:asciiTheme="majorBidi" w:hAnsiTheme="majorBidi" w:cstheme="majorBidi"/>
          <w:b/>
          <w:bCs/>
          <w:sz w:val="24"/>
          <w:szCs w:val="24"/>
          <w:rtl/>
        </w:rPr>
        <w:t>قصور التحذير والإفصاح</w:t>
      </w:r>
      <w:r>
        <w:rPr>
          <w:rFonts w:asciiTheme="majorBidi" w:hAnsiTheme="majorBidi" w:cstheme="majorBidi"/>
          <w:b/>
          <w:bCs/>
          <w:sz w:val="24"/>
          <w:szCs w:val="24"/>
        </w:rPr>
        <w:t xml:space="preserve"> (Duty to warn)</w:t>
      </w:r>
    </w:p>
    <w:p w14:paraId="0944D0FD" w14:textId="77777777" w:rsidR="00CF598B" w:rsidRPr="008F13B5" w:rsidRDefault="00CF598B" w:rsidP="00DE638A">
      <w:pPr>
        <w:ind w:left="720"/>
        <w:jc w:val="right"/>
        <w:rPr>
          <w:rFonts w:asciiTheme="majorBidi" w:hAnsiTheme="majorBidi" w:cstheme="majorBidi"/>
          <w:sz w:val="24"/>
          <w:szCs w:val="24"/>
        </w:rPr>
      </w:pPr>
      <w:r>
        <w:rPr>
          <w:rFonts w:asciiTheme="majorBidi" w:hAnsiTheme="majorBidi" w:cstheme="majorBidi"/>
          <w:sz w:val="24"/>
          <w:szCs w:val="24"/>
          <w:rtl/>
        </w:rPr>
        <w:t>حتى لو لم يكن النظام “معيبًا” من حيث التصميم، فإن إخفاء حدوده أو التسويق له بما يوهم الدقة القانونية المطلقة قد ينشئ مسؤولية؛ لأن المستخدم يبني قراراته على ما يفترضه من “اعتمادية” المنتج. وهنا تتقاطع الفكرة مع مبدأ الشفافية والمساءلة في وثائق سدايا (سدايا، 2023)</w:t>
      </w:r>
      <w:r>
        <w:rPr>
          <w:rStyle w:val="af"/>
          <w:rFonts w:asciiTheme="majorBidi" w:hAnsiTheme="majorBidi" w:cstheme="majorBidi"/>
          <w:sz w:val="24"/>
          <w:szCs w:val="24"/>
          <w:rtl/>
        </w:rPr>
        <w:footnoteReference w:id="317"/>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والحربي حين ناقش الشخصية القانونية للذكاء الاصطناعي انتهى إلى أن الاتجاه الغالب لا يمنح الآلة ذمة مستقلة، ما يعني عمليًا أن المسؤولية ستعود للبشر/الجهات، وفي مقدمهم المطوّر عند ثبوت العيب البنيوي أو قصور التحذير (الحربي، 2019)</w:t>
      </w:r>
      <w:r>
        <w:rPr>
          <w:rFonts w:asciiTheme="majorBidi" w:hAnsiTheme="majorBidi" w:cstheme="majorBidi"/>
          <w:sz w:val="24"/>
          <w:szCs w:val="24"/>
        </w:rPr>
        <w:t>.</w:t>
      </w:r>
    </w:p>
    <w:p w14:paraId="30122452" w14:textId="77777777" w:rsidR="00CF598B" w:rsidRPr="008F13B5" w:rsidRDefault="00CF598B" w:rsidP="00DE638A">
      <w:pPr>
        <w:ind w:left="720"/>
        <w:jc w:val="right"/>
        <w:rPr>
          <w:rFonts w:asciiTheme="majorBidi" w:hAnsiTheme="majorBidi" w:cstheme="majorBidi"/>
          <w:sz w:val="24"/>
          <w:szCs w:val="24"/>
        </w:rPr>
      </w:pPr>
      <w:r>
        <w:rPr>
          <w:rFonts w:asciiTheme="majorBidi" w:hAnsiTheme="majorBidi" w:cstheme="majorBidi"/>
          <w:b/>
          <w:bCs/>
          <w:sz w:val="24"/>
          <w:szCs w:val="24"/>
          <w:rtl/>
        </w:rPr>
        <w:t>ويرى الباحث</w:t>
      </w:r>
      <w:r>
        <w:rPr>
          <w:rFonts w:asciiTheme="majorBidi" w:hAnsiTheme="majorBidi" w:cstheme="majorBidi"/>
          <w:b/>
          <w:bCs/>
          <w:sz w:val="24"/>
          <w:szCs w:val="24"/>
        </w:rPr>
        <w:t>:</w:t>
      </w:r>
      <w:r>
        <w:rPr>
          <w:rFonts w:asciiTheme="majorBidi" w:hAnsiTheme="majorBidi" w:cstheme="majorBidi"/>
          <w:sz w:val="24"/>
          <w:szCs w:val="24"/>
        </w:rPr>
        <w:br/>
      </w:r>
      <w:r>
        <w:rPr>
          <w:rFonts w:asciiTheme="majorBidi" w:hAnsiTheme="majorBidi" w:cstheme="majorBidi"/>
          <w:sz w:val="24"/>
          <w:szCs w:val="24"/>
          <w:rtl/>
        </w:rPr>
        <w:t>أرى أن مسؤولية المطوّر في المجال القانوني ينبغي أن تُصنّف إلى</w:t>
      </w:r>
      <w:r>
        <w:rPr>
          <w:rFonts w:asciiTheme="majorBidi" w:hAnsiTheme="majorBidi" w:cstheme="majorBidi"/>
          <w:sz w:val="24"/>
          <w:szCs w:val="24"/>
        </w:rPr>
        <w:t>:</w:t>
      </w:r>
    </w:p>
    <w:p w14:paraId="43083049" w14:textId="77777777" w:rsidR="00D57654" w:rsidRDefault="00000000" w:rsidP="00DE638A">
      <w:pPr>
        <w:jc w:val="right"/>
        <w:rPr>
          <w:rFonts w:asciiTheme="majorBidi" w:hAnsiTheme="majorBidi" w:cstheme="majorBidi"/>
          <w:sz w:val="24"/>
          <w:szCs w:val="24"/>
          <w:rtl/>
        </w:rPr>
      </w:pPr>
      <w:r>
        <w:rPr>
          <w:rFonts w:asciiTheme="majorBidi" w:hAnsiTheme="majorBidi" w:cstheme="majorBidi"/>
          <w:sz w:val="24"/>
          <w:szCs w:val="24"/>
          <w:rtl/>
        </w:rPr>
        <w:t>وفي إطار تصنيف مسؤولية المطوّر، أورد الغنامي (د.ت) أن المطوّر يحمل مسؤولية مدنية من نوعين: مسؤولية عقدية تجاه مكتب المحاماة المتعاقد معه، ومسؤولية تقصيرية تجاه الضحايا المحتملين من موكلي المحامين، ويرى أن هذا الازدواج في المسؤولية يستوجب صياغة بنود عقدية واضحة تُحدّد حدود كل مسؤولية بصورة لا تقبل التأويل.</w:t>
      </w:r>
      <w:r w:rsidRPr="00000001">
        <w:rPr>
          <w:rtl/>
        </w:rPr>
        <w:footnoteReference w:id="318"/>
      </w:r>
    </w:p>
    <w:p w14:paraId="2C3139D6" w14:textId="77777777" w:rsidR="00CF598B" w:rsidRPr="008F13B5" w:rsidRDefault="00CF598B" w:rsidP="00DE638A">
      <w:pPr>
        <w:numPr>
          <w:ilvl w:val="0"/>
          <w:numId w:val="49"/>
        </w:numPr>
        <w:jc w:val="right"/>
        <w:rPr>
          <w:rFonts w:asciiTheme="majorBidi" w:hAnsiTheme="majorBidi" w:cstheme="majorBidi"/>
          <w:sz w:val="24"/>
          <w:szCs w:val="24"/>
        </w:rPr>
      </w:pPr>
      <w:r>
        <w:rPr>
          <w:rFonts w:asciiTheme="majorBidi" w:hAnsiTheme="majorBidi" w:cstheme="majorBidi"/>
          <w:sz w:val="24"/>
          <w:szCs w:val="24"/>
          <w:rtl/>
        </w:rPr>
        <w:t xml:space="preserve">مسؤولية عن </w:t>
      </w:r>
      <w:r>
        <w:rPr>
          <w:rFonts w:asciiTheme="majorBidi" w:hAnsiTheme="majorBidi" w:cstheme="majorBidi"/>
          <w:b/>
          <w:bCs/>
          <w:sz w:val="24"/>
          <w:szCs w:val="24"/>
          <w:rtl/>
        </w:rPr>
        <w:t>سلامة البنية</w:t>
      </w:r>
      <w:r>
        <w:rPr>
          <w:rFonts w:asciiTheme="majorBidi" w:hAnsiTheme="majorBidi" w:cstheme="majorBidi"/>
          <w:sz w:val="24"/>
          <w:szCs w:val="24"/>
          <w:rtl/>
        </w:rPr>
        <w:t xml:space="preserve"> </w:t>
      </w:r>
      <w:r>
        <w:rPr>
          <w:rFonts w:asciiTheme="majorBidi" w:hAnsiTheme="majorBidi" w:cstheme="majorBidi"/>
          <w:sz w:val="24"/>
          <w:szCs w:val="24"/>
        </w:rPr>
        <w:t>(Design)</w:t>
      </w:r>
    </w:p>
    <w:p w14:paraId="77848DFF" w14:textId="77777777" w:rsidR="00CF598B" w:rsidRPr="008F13B5" w:rsidRDefault="00CF598B" w:rsidP="00DE638A">
      <w:pPr>
        <w:numPr>
          <w:ilvl w:val="0"/>
          <w:numId w:val="49"/>
        </w:numPr>
        <w:jc w:val="right"/>
        <w:rPr>
          <w:rFonts w:asciiTheme="majorBidi" w:hAnsiTheme="majorBidi" w:cstheme="majorBidi"/>
          <w:sz w:val="24"/>
          <w:szCs w:val="24"/>
        </w:rPr>
      </w:pPr>
      <w:r>
        <w:rPr>
          <w:rFonts w:asciiTheme="majorBidi" w:hAnsiTheme="majorBidi" w:cstheme="majorBidi"/>
          <w:sz w:val="24"/>
          <w:szCs w:val="24"/>
          <w:rtl/>
        </w:rPr>
        <w:t xml:space="preserve">مسؤولية عن </w:t>
      </w:r>
      <w:r>
        <w:rPr>
          <w:rFonts w:asciiTheme="majorBidi" w:hAnsiTheme="majorBidi" w:cstheme="majorBidi"/>
          <w:b/>
          <w:bCs/>
          <w:sz w:val="24"/>
          <w:szCs w:val="24"/>
          <w:rtl/>
        </w:rPr>
        <w:t>سلامة المعرفة</w:t>
      </w:r>
      <w:r>
        <w:rPr>
          <w:rFonts w:asciiTheme="majorBidi" w:hAnsiTheme="majorBidi" w:cstheme="majorBidi"/>
          <w:sz w:val="24"/>
          <w:szCs w:val="24"/>
          <w:rtl/>
        </w:rPr>
        <w:t xml:space="preserve"> </w:t>
      </w:r>
      <w:r>
        <w:rPr>
          <w:rFonts w:asciiTheme="majorBidi" w:hAnsiTheme="majorBidi" w:cstheme="majorBidi"/>
          <w:sz w:val="24"/>
          <w:szCs w:val="24"/>
        </w:rPr>
        <w:t>(Training/Data)</w:t>
      </w:r>
    </w:p>
    <w:p w14:paraId="334865E0" w14:textId="77777777" w:rsidR="00CF598B" w:rsidRPr="008F13B5" w:rsidRDefault="00CF598B" w:rsidP="00DE638A">
      <w:pPr>
        <w:numPr>
          <w:ilvl w:val="0"/>
          <w:numId w:val="49"/>
        </w:numPr>
        <w:jc w:val="right"/>
        <w:rPr>
          <w:rFonts w:asciiTheme="majorBidi" w:hAnsiTheme="majorBidi" w:cstheme="majorBidi"/>
          <w:sz w:val="24"/>
          <w:szCs w:val="24"/>
        </w:rPr>
      </w:pPr>
      <w:r>
        <w:rPr>
          <w:rFonts w:asciiTheme="majorBidi" w:hAnsiTheme="majorBidi" w:cstheme="majorBidi"/>
          <w:sz w:val="24"/>
          <w:szCs w:val="24"/>
          <w:rtl/>
        </w:rPr>
        <w:t xml:space="preserve">مسؤولية عن </w:t>
      </w:r>
      <w:r>
        <w:rPr>
          <w:rFonts w:asciiTheme="majorBidi" w:hAnsiTheme="majorBidi" w:cstheme="majorBidi"/>
          <w:b/>
          <w:bCs/>
          <w:sz w:val="24"/>
          <w:szCs w:val="24"/>
          <w:rtl/>
        </w:rPr>
        <w:t>سلامة التوقعات</w:t>
      </w:r>
      <w:r>
        <w:rPr>
          <w:rFonts w:asciiTheme="majorBidi" w:hAnsiTheme="majorBidi" w:cstheme="majorBidi"/>
          <w:sz w:val="24"/>
          <w:szCs w:val="24"/>
          <w:rtl/>
        </w:rPr>
        <w:t xml:space="preserve"> </w:t>
      </w:r>
      <w:r>
        <w:rPr>
          <w:rFonts w:asciiTheme="majorBidi" w:hAnsiTheme="majorBidi" w:cstheme="majorBidi"/>
          <w:sz w:val="24"/>
          <w:szCs w:val="24"/>
        </w:rPr>
        <w:t>(Disclosure/Warn)</w:t>
      </w:r>
      <w:r>
        <w:rPr>
          <w:rFonts w:asciiTheme="majorBidi" w:hAnsiTheme="majorBidi" w:cstheme="majorBidi"/>
          <w:sz w:val="24"/>
          <w:szCs w:val="24"/>
        </w:rPr>
        <w:br/>
      </w:r>
      <w:r>
        <w:rPr>
          <w:rFonts w:asciiTheme="majorBidi" w:hAnsiTheme="majorBidi" w:cstheme="majorBidi"/>
          <w:sz w:val="24"/>
          <w:szCs w:val="24"/>
          <w:rtl/>
        </w:rPr>
        <w:t>لأن الضرر القانوني لا ينتج فقط من خطأ الحساب، بل من خداع الثقة المهنية بمنتج يُظهر “يقينًا” وهو في الحقيقة “ترجيح لغوي</w:t>
      </w:r>
      <w:r>
        <w:rPr>
          <w:rFonts w:asciiTheme="majorBidi" w:hAnsiTheme="majorBidi" w:cstheme="majorBidi"/>
          <w:sz w:val="24"/>
          <w:szCs w:val="24"/>
        </w:rPr>
        <w:t>”.</w:t>
      </w:r>
    </w:p>
    <w:p w14:paraId="7B790E20" w14:textId="77777777" w:rsidR="00D57654" w:rsidRDefault="00000000" w:rsidP="00DE638A">
      <w:pPr>
        <w:jc w:val="right"/>
        <w:rPr>
          <w:rFonts w:asciiTheme="majorBidi" w:hAnsiTheme="majorBidi" w:cstheme="majorBidi"/>
          <w:sz w:val="24"/>
          <w:szCs w:val="24"/>
          <w:rtl/>
        </w:rPr>
      </w:pPr>
      <w:r>
        <w:rPr>
          <w:rFonts w:asciiTheme="majorBidi" w:hAnsiTheme="majorBidi" w:cstheme="majorBidi"/>
          <w:sz w:val="24"/>
          <w:szCs w:val="24"/>
          <w:rtl/>
        </w:rPr>
        <w:t>وهذا ما يُجسّده محمود وعناني (د.ت) بقولهم إن الضرر القانوني في البيئة الذكية أكثر تعقيدًا من الضرر المادي المألوف، إذ قد يتجلى في ضياع حق قانوني لم يُستنبط بسبب قصور الأداة الذكية، وهو ضرر ليس ماديًا بل إجرائي ومعرفي يصعب تقديره وقياسه بالمعايير التقليدية للمسؤولية.</w:t>
      </w:r>
      <w:r w:rsidRPr="00000001">
        <w:rPr>
          <w:rtl/>
        </w:rPr>
        <w:footnoteReference w:id="319"/>
      </w:r>
    </w:p>
    <w:p w14:paraId="6E1FD3F7" w14:textId="77777777" w:rsidR="00CF598B" w:rsidRPr="008F13B5" w:rsidRDefault="00CF598B" w:rsidP="00DE638A">
      <w:pPr>
        <w:ind w:left="720"/>
        <w:jc w:val="right"/>
        <w:rPr>
          <w:rFonts w:asciiTheme="majorBidi" w:hAnsiTheme="majorBidi" w:cstheme="majorBidi"/>
          <w:sz w:val="24"/>
          <w:szCs w:val="24"/>
        </w:rPr>
      </w:pPr>
    </w:p>
    <w:p w14:paraId="56138BC3" w14:textId="77777777" w:rsidR="00CF598B" w:rsidRPr="008F13B5" w:rsidRDefault="00CF598B" w:rsidP="00DE638A">
      <w:pPr>
        <w:ind w:left="720"/>
        <w:jc w:val="right"/>
        <w:rPr>
          <w:rFonts w:asciiTheme="majorBidi" w:hAnsiTheme="majorBidi" w:cstheme="majorBidi"/>
          <w:b/>
          <w:bCs/>
          <w:sz w:val="24"/>
          <w:szCs w:val="24"/>
        </w:rPr>
      </w:pPr>
      <w:r>
        <w:rPr>
          <w:rFonts w:asciiTheme="majorBidi" w:hAnsiTheme="majorBidi" w:cstheme="majorBidi"/>
          <w:b/>
          <w:bCs/>
          <w:sz w:val="24"/>
          <w:szCs w:val="24"/>
          <w:rtl/>
        </w:rPr>
        <w:t>تاسعًا: مسؤولية مقدم التقنية: من “تشغيل المنصة” إلى “حراسة البيانات” و“استمرارية الخدمة</w:t>
      </w:r>
      <w:r>
        <w:rPr>
          <w:rFonts w:asciiTheme="majorBidi" w:hAnsiTheme="majorBidi" w:cstheme="majorBidi"/>
          <w:b/>
          <w:bCs/>
          <w:sz w:val="24"/>
          <w:szCs w:val="24"/>
        </w:rPr>
        <w:t>”</w:t>
      </w:r>
    </w:p>
    <w:p w14:paraId="46E59A5F" w14:textId="77777777" w:rsidR="00CF598B" w:rsidRPr="008F13B5" w:rsidRDefault="00CF598B" w:rsidP="00DE638A">
      <w:pPr>
        <w:ind w:left="720"/>
        <w:jc w:val="right"/>
        <w:rPr>
          <w:rFonts w:asciiTheme="majorBidi" w:hAnsiTheme="majorBidi" w:cstheme="majorBidi"/>
          <w:sz w:val="24"/>
          <w:szCs w:val="24"/>
        </w:rPr>
      </w:pPr>
      <w:r>
        <w:rPr>
          <w:rFonts w:asciiTheme="majorBidi" w:hAnsiTheme="majorBidi" w:cstheme="majorBidi"/>
          <w:sz w:val="24"/>
          <w:szCs w:val="24"/>
          <w:rtl/>
        </w:rPr>
        <w:t>مقدم التقنية (مزود منصة/سحابة/واجهة تشغيل) قد لا يكتب الخوارزمية، لكنه يسيطر على ما هو أخطر في المهن القانونية</w:t>
      </w:r>
      <w:r>
        <w:rPr>
          <w:rFonts w:asciiTheme="majorBidi" w:hAnsiTheme="majorBidi" w:cstheme="majorBidi"/>
          <w:sz w:val="24"/>
          <w:szCs w:val="24"/>
        </w:rPr>
        <w:t xml:space="preserve">: </w:t>
      </w:r>
      <w:r>
        <w:rPr>
          <w:rFonts w:asciiTheme="majorBidi" w:hAnsiTheme="majorBidi" w:cstheme="majorBidi"/>
          <w:b/>
          <w:bCs/>
          <w:sz w:val="24"/>
          <w:szCs w:val="24"/>
          <w:rtl/>
        </w:rPr>
        <w:t>بيئة البيانات ومسارها</w:t>
      </w:r>
      <w:r>
        <w:rPr>
          <w:rFonts w:asciiTheme="majorBidi" w:hAnsiTheme="majorBidi" w:cstheme="majorBidi"/>
          <w:sz w:val="24"/>
          <w:szCs w:val="24"/>
        </w:rPr>
        <w:t xml:space="preserve">. </w:t>
      </w:r>
      <w:r>
        <w:rPr>
          <w:rFonts w:asciiTheme="majorBidi" w:hAnsiTheme="majorBidi" w:cstheme="majorBidi"/>
          <w:sz w:val="24"/>
          <w:szCs w:val="24"/>
          <w:rtl/>
        </w:rPr>
        <w:t>هنا تتحدد مسؤوليته في ثلاثة محاور</w:t>
      </w:r>
      <w:r>
        <w:rPr>
          <w:rFonts w:asciiTheme="majorBidi" w:hAnsiTheme="majorBidi" w:cstheme="majorBidi"/>
          <w:sz w:val="24"/>
          <w:szCs w:val="24"/>
        </w:rPr>
        <w:t>:</w:t>
      </w:r>
    </w:p>
    <w:p w14:paraId="716002E1" w14:textId="77777777" w:rsidR="00D57654" w:rsidRDefault="00000000" w:rsidP="00DE638A">
      <w:pPr>
        <w:jc w:val="right"/>
        <w:rPr>
          <w:rFonts w:asciiTheme="majorBidi" w:hAnsiTheme="majorBidi" w:cstheme="majorBidi"/>
          <w:sz w:val="24"/>
          <w:szCs w:val="24"/>
          <w:rtl/>
        </w:rPr>
      </w:pPr>
      <w:r>
        <w:rPr>
          <w:rFonts w:asciiTheme="majorBidi" w:hAnsiTheme="majorBidi" w:cstheme="majorBidi"/>
          <w:sz w:val="24"/>
          <w:szCs w:val="24"/>
          <w:rtl/>
        </w:rPr>
        <w:t xml:space="preserve">وفيما يتعلق بتحديد المحاور الثلاثة للمسؤولية من منظور المسؤولية الجنائية، أشار العطار والنوايسة إلى أن هذه المحاور تتشكّل وفق طبيعة الخطأ المرتكب: خطأ الاختيار حين يختار المحامي نظاماً غير موثوق، وخطأ </w:t>
      </w:r>
      <w:r>
        <w:rPr>
          <w:rFonts w:asciiTheme="majorBidi" w:hAnsiTheme="majorBidi" w:cstheme="majorBidi"/>
          <w:sz w:val="24"/>
          <w:szCs w:val="24"/>
          <w:rtl/>
        </w:rPr>
        <w:lastRenderedPageBreak/>
        <w:t>الاستخدام حين يُوظّفه في غير ما صُمّم له، وخطأ الإغفال حين يُهمل مراجعة مخرجاته الحساسة، مؤكدَين أن كلاً من هذه الخطايا الثلاثة قد ينبثق عنه نوع مختلف من المسؤولية.</w:t>
      </w:r>
      <w:r w:rsidRPr="00000002">
        <w:rPr>
          <w:rtl/>
        </w:rPr>
        <w:footnoteReference w:id="320"/>
      </w:r>
    </w:p>
    <w:p w14:paraId="0B5B5FD0"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t>وفيما يتعلق بتحديد مسؤولية المحامي في ثلاثة محاور، أضاف المعلم بُعداً رابعاً يتمثل في المسؤولية عن التحديث الدوري، وهي مسؤولية المحامي عن التأكد من أن الأنظمة الذكية التي يستخدمها مُحدَّثة ومُعتمَدة وخضعت لآخر دورة تقييم، إذ إن الاستمرار في استخدام نظام منتهٍ صلاحيته الاعتمادية يُمثّل إهمالاً مهنياً موجباً للمساءلة.</w:t>
      </w:r>
      <w:r w:rsidRPr="00000002">
        <w:rPr>
          <w:rtl/>
        </w:rPr>
        <w:footnoteReference w:id="321"/>
      </w:r>
    </w:p>
    <w:p w14:paraId="4B775B98" w14:textId="77777777" w:rsidR="00D57654" w:rsidRDefault="00000000">
      <w:pPr>
        <w:jc w:val="both"/>
        <w:rPr>
          <w:rFonts w:asciiTheme="majorBidi" w:hAnsiTheme="majorBidi" w:cstheme="majorBidi"/>
          <w:sz w:val="24"/>
          <w:szCs w:val="24"/>
          <w:rtl/>
        </w:rPr>
      </w:pPr>
      <w:r>
        <w:rPr>
          <w:rFonts w:asciiTheme="majorBidi" w:hAnsiTheme="majorBidi" w:cstheme="majorBidi"/>
          <w:sz w:val="24"/>
          <w:szCs w:val="24"/>
          <w:rtl/>
        </w:rPr>
        <w:t>وتُضاف إلى المحاور الثلاثة التقليدية لمسؤولية المحامي ما أشار إليه الغنامي من ضرورة إدراج محور رابع يتعلق بمسؤولية التحقق التقني، وهي مسؤولية المحامي عن التثبّت من سلامة الأداة التقنية التي يستعين بها وصحة مخرجاتها، إذ لا يكفي أن يكون المحامي ملماً بالقانون ما لم يكن ملماً أيضاً بحدود الأداة التي يُوكل إليها جزءاً من عمله المهني.</w:t>
      </w:r>
      <w:r w:rsidRPr="00000001">
        <w:rPr>
          <w:rtl/>
        </w:rPr>
        <w:footnoteReference w:id="322"/>
      </w:r>
    </w:p>
    <w:p w14:paraId="3D01B66D" w14:textId="77777777" w:rsidR="00CF598B" w:rsidRPr="008F13B5" w:rsidRDefault="00CF598B" w:rsidP="00CF598B">
      <w:pPr>
        <w:ind w:left="720"/>
        <w:jc w:val="right"/>
        <w:rPr>
          <w:rFonts w:asciiTheme="majorBidi" w:hAnsiTheme="majorBidi" w:cstheme="majorBidi"/>
          <w:b/>
          <w:bCs/>
          <w:sz w:val="24"/>
          <w:szCs w:val="24"/>
        </w:rPr>
      </w:pPr>
      <w:r>
        <w:rPr>
          <w:rFonts w:asciiTheme="majorBidi" w:hAnsiTheme="majorBidi" w:cstheme="majorBidi"/>
          <w:b/>
          <w:bCs/>
          <w:sz w:val="24"/>
          <w:szCs w:val="24"/>
        </w:rPr>
        <w:t xml:space="preserve">1) </w:t>
      </w:r>
      <w:r>
        <w:rPr>
          <w:rFonts w:asciiTheme="majorBidi" w:hAnsiTheme="majorBidi" w:cstheme="majorBidi"/>
          <w:b/>
          <w:bCs/>
          <w:sz w:val="24"/>
          <w:szCs w:val="24"/>
          <w:rtl/>
        </w:rPr>
        <w:t>أمن البيانات وسريتها</w:t>
      </w:r>
    </w:p>
    <w:p w14:paraId="05C05622" w14:textId="77777777" w:rsidR="00D57654" w:rsidRDefault="00000000" w:rsidP="00B553F3">
      <w:pPr>
        <w:jc w:val="right"/>
        <w:rPr>
          <w:rFonts w:asciiTheme="majorBidi" w:hAnsiTheme="majorBidi" w:cstheme="majorBidi"/>
          <w:sz w:val="24"/>
          <w:szCs w:val="24"/>
          <w:rtl/>
        </w:rPr>
      </w:pPr>
      <w:r>
        <w:rPr>
          <w:rFonts w:asciiTheme="majorBidi" w:hAnsiTheme="majorBidi" w:cstheme="majorBidi"/>
          <w:sz w:val="24"/>
          <w:szCs w:val="24"/>
          <w:rtl/>
        </w:rPr>
        <w:t>وفيما يخص أمن البيانات وسريتها في منظومة الذكاء الاصطناعي القضائي، كشف العرشاني أن هجمات الفدية التي تستهدف البنية التحتية القضائية باتت تُمثّل تهديداً وجودياً لاستمرارية التقاضي الرقمي، ودعا إلى إنشاء خطط استمرارية عمل واضحة للحفاظ على سير إجراءات التقاضي حين تتعرض الأنظمة الذكية لانقطاعات أو اختراقات أمنية.</w:t>
      </w:r>
      <w:r w:rsidRPr="00000002">
        <w:rPr>
          <w:rtl/>
        </w:rPr>
        <w:footnoteReference w:id="323"/>
      </w:r>
    </w:p>
    <w:p w14:paraId="3EB5045C" w14:textId="77777777" w:rsidR="00D57654" w:rsidRDefault="00000000" w:rsidP="00B553F3">
      <w:pPr>
        <w:jc w:val="right"/>
        <w:rPr>
          <w:rFonts w:asciiTheme="majorBidi" w:hAnsiTheme="majorBidi" w:cstheme="majorBidi"/>
          <w:sz w:val="24"/>
          <w:szCs w:val="24"/>
          <w:rtl/>
        </w:rPr>
      </w:pPr>
      <w:r>
        <w:rPr>
          <w:rFonts w:asciiTheme="majorBidi" w:hAnsiTheme="majorBidi" w:cstheme="majorBidi"/>
          <w:sz w:val="24"/>
          <w:szCs w:val="24"/>
          <w:rtl/>
        </w:rPr>
        <w:t>العطار، صقر والنوايسة، عبد الإله. (2024م). المسؤولية الجنائية الناجمة عن استخدام كيانات الذكاء الاصطناعي. مجلة جامعة الشارقة للعلوم القانونية، 21(2)، 561-594.</w:t>
      </w:r>
    </w:p>
    <w:p w14:paraId="41750521" w14:textId="77777777" w:rsidR="00D57654" w:rsidRDefault="00000000" w:rsidP="00B553F3">
      <w:pPr>
        <w:jc w:val="right"/>
        <w:rPr>
          <w:rFonts w:asciiTheme="majorBidi" w:hAnsiTheme="majorBidi" w:cstheme="majorBidi"/>
          <w:sz w:val="24"/>
          <w:szCs w:val="24"/>
          <w:rtl/>
        </w:rPr>
      </w:pPr>
      <w:r>
        <w:rPr>
          <w:rFonts w:asciiTheme="majorBidi" w:hAnsiTheme="majorBidi" w:cstheme="majorBidi"/>
          <w:sz w:val="24"/>
          <w:szCs w:val="24"/>
          <w:rtl/>
        </w:rPr>
        <w:t>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w:t>
      </w:r>
    </w:p>
    <w:p w14:paraId="4152964F" w14:textId="77777777" w:rsidR="00D57654" w:rsidRDefault="00000000" w:rsidP="00B553F3">
      <w:pPr>
        <w:jc w:val="right"/>
        <w:rPr>
          <w:rFonts w:asciiTheme="majorBidi" w:hAnsiTheme="majorBidi" w:cstheme="majorBidi"/>
          <w:sz w:val="24"/>
          <w:szCs w:val="24"/>
          <w:rtl/>
        </w:rPr>
      </w:pPr>
      <w:r>
        <w:rPr>
          <w:rFonts w:asciiTheme="majorBidi" w:hAnsiTheme="majorBidi" w:cstheme="majorBidi"/>
          <w:sz w:val="24"/>
          <w:szCs w:val="24"/>
          <w:rtl/>
        </w:rPr>
        <w:t>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86-112.</w:t>
      </w:r>
    </w:p>
    <w:p w14:paraId="185D2DF1" w14:textId="77777777" w:rsidR="00D57654" w:rsidRDefault="00000000" w:rsidP="00B553F3">
      <w:pPr>
        <w:jc w:val="right"/>
        <w:rPr>
          <w:rFonts w:asciiTheme="majorBidi" w:hAnsiTheme="majorBidi" w:cstheme="majorBidi"/>
          <w:sz w:val="24"/>
          <w:szCs w:val="24"/>
          <w:rtl/>
        </w:rPr>
      </w:pPr>
      <w:r>
        <w:rPr>
          <w:rFonts w:asciiTheme="majorBidi" w:hAnsiTheme="majorBidi" w:cstheme="majorBidi"/>
          <w:sz w:val="24"/>
          <w:szCs w:val="24"/>
          <w:rtl/>
        </w:rPr>
        <w:t>المعلم، سليمان. (2025م). القواعد والإجراءات المنظمة لاستخدامات الذكاء الاصطناعي بالمملكة العربية السعودية وآثارها القانونية. المجلة العربية للنشر العلمي.</w:t>
      </w:r>
    </w:p>
    <w:p w14:paraId="49B836D7" w14:textId="77777777" w:rsidR="00D57654" w:rsidRDefault="00000000" w:rsidP="00B553F3">
      <w:pPr>
        <w:jc w:val="right"/>
        <w:rPr>
          <w:rFonts w:asciiTheme="majorBidi" w:hAnsiTheme="majorBidi" w:cstheme="majorBidi"/>
          <w:sz w:val="24"/>
          <w:szCs w:val="24"/>
          <w:rtl/>
        </w:rPr>
      </w:pPr>
      <w:r>
        <w:rPr>
          <w:rFonts w:asciiTheme="majorBidi" w:hAnsiTheme="majorBidi" w:cstheme="majorBidi"/>
          <w:sz w:val="24"/>
          <w:szCs w:val="24"/>
          <w:rtl/>
        </w:rPr>
        <w:t>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w:t>
      </w:r>
    </w:p>
    <w:p w14:paraId="3B1CAA1A" w14:textId="77777777" w:rsidR="00D57654" w:rsidRDefault="00000000" w:rsidP="00B553F3">
      <w:pPr>
        <w:jc w:val="right"/>
        <w:rPr>
          <w:rFonts w:asciiTheme="majorBidi" w:hAnsiTheme="majorBidi" w:cstheme="majorBidi"/>
          <w:sz w:val="24"/>
          <w:szCs w:val="24"/>
          <w:rtl/>
        </w:rPr>
      </w:pPr>
      <w:r>
        <w:rPr>
          <w:rFonts w:asciiTheme="majorBidi" w:hAnsiTheme="majorBidi" w:cstheme="majorBidi"/>
          <w:sz w:val="24"/>
          <w:szCs w:val="24"/>
          <w:rtl/>
        </w:rPr>
        <w:t xml:space="preserve">وفيما يتعلق بأمن البيانات وسريتها في سياق عمل مكاتب المحاماة، رصد المعيبد ثلاثة مستويات من المخاطر: مخاطر الاختراق الخارجي للمنصات السحابية التي تُعالَج فيها وثائق القضايا، ومخاطر الاستغلال الداخلي من </w:t>
      </w:r>
      <w:r>
        <w:rPr>
          <w:rFonts w:asciiTheme="majorBidi" w:hAnsiTheme="majorBidi" w:cstheme="majorBidi"/>
          <w:sz w:val="24"/>
          <w:szCs w:val="24"/>
          <w:rtl/>
        </w:rPr>
        <w:lastRenderedPageBreak/>
        <w:t>موظفين غير موثوقين لديهم صلاحية الوصول إلى بيانات حساسة، ومخاطر التسرب غير المقصود حين تُستخدم بيانات الموكلين لتحسين نماذج الذكاء الاصطناعي دون إخطارهم.</w:t>
      </w:r>
      <w:r w:rsidRPr="00000001">
        <w:rPr>
          <w:rtl/>
        </w:rPr>
        <w:footnoteReference w:id="324"/>
      </w:r>
    </w:p>
    <w:p w14:paraId="55B672AC" w14:textId="77777777" w:rsidR="00D57654" w:rsidRDefault="00000000" w:rsidP="00B553F3">
      <w:pPr>
        <w:jc w:val="right"/>
        <w:rPr>
          <w:rFonts w:asciiTheme="majorBidi" w:hAnsiTheme="majorBidi" w:cstheme="majorBidi"/>
          <w:sz w:val="24"/>
          <w:szCs w:val="24"/>
          <w:rtl/>
        </w:rPr>
      </w:pPr>
      <w:r>
        <w:rPr>
          <w:rFonts w:asciiTheme="majorBidi" w:hAnsiTheme="majorBidi" w:cstheme="majorBidi"/>
          <w:sz w:val="24"/>
          <w:szCs w:val="24"/>
          <w:rtl/>
        </w:rPr>
        <w:t>الشراري، محمد. (2022م). المسؤولية المدنية الذكية عن أضرار الذكاء الاصطناعي: دراسة مقارنة. مجلة كلية القانون الكويتية العالمية، السنة العاشرة، 10(38)، 357-408.</w:t>
      </w:r>
    </w:p>
    <w:p w14:paraId="535A1869" w14:textId="77777777" w:rsidR="00D57654" w:rsidRDefault="00000000" w:rsidP="00B553F3">
      <w:pPr>
        <w:jc w:val="right"/>
        <w:rPr>
          <w:rFonts w:asciiTheme="majorBidi" w:hAnsiTheme="majorBidi" w:cstheme="majorBidi"/>
          <w:sz w:val="24"/>
          <w:szCs w:val="24"/>
          <w:rtl/>
        </w:rPr>
      </w:pPr>
      <w:r>
        <w:rPr>
          <w:rFonts w:asciiTheme="majorBidi" w:hAnsiTheme="majorBidi" w:cstheme="majorBidi"/>
          <w:sz w:val="24"/>
          <w:szCs w:val="24"/>
          <w:rtl/>
        </w:rPr>
        <w:t>الجلعود، أروى عبد الرحمن عثمان. (د.ت). أحكام تطبيقات الذكاء الاصطناعي في القضاء. الجمعية العلمية القضائية السعودية.</w:t>
      </w:r>
    </w:p>
    <w:p w14:paraId="42674B83" w14:textId="77777777" w:rsidR="00D57654" w:rsidRDefault="00000000" w:rsidP="00B553F3">
      <w:pPr>
        <w:jc w:val="right"/>
        <w:rPr>
          <w:rFonts w:asciiTheme="majorBidi" w:hAnsiTheme="majorBidi" w:cstheme="majorBidi"/>
          <w:sz w:val="24"/>
          <w:szCs w:val="24"/>
          <w:rtl/>
        </w:rPr>
      </w:pPr>
      <w:r>
        <w:rPr>
          <w:rFonts w:asciiTheme="majorBidi" w:hAnsiTheme="majorBidi" w:cstheme="majorBidi"/>
          <w:sz w:val="24"/>
          <w:szCs w:val="24"/>
          <w:rtl/>
        </w:rPr>
        <w:t>الغنامي، نايف بن ناشي. (2024م). حجية الدليل الرقمي في نظام الإثبات السعودي. مجلة مواق للدراسات الإسلامية والاجتماعية، (43)، 1443-1481. https://doi.org/10.21608/mawq.2024.246897.1015</w:t>
      </w:r>
    </w:p>
    <w:p w14:paraId="0FC8B27D" w14:textId="77777777" w:rsidR="00D57654" w:rsidRDefault="00000000" w:rsidP="00B553F3">
      <w:pPr>
        <w:jc w:val="right"/>
        <w:rPr>
          <w:rFonts w:asciiTheme="majorBidi" w:hAnsiTheme="majorBidi" w:cstheme="majorBidi"/>
          <w:sz w:val="24"/>
          <w:szCs w:val="24"/>
          <w:rtl/>
        </w:rPr>
      </w:pPr>
      <w:r>
        <w:rPr>
          <w:rFonts w:asciiTheme="majorBidi" w:hAnsiTheme="majorBidi" w:cstheme="majorBidi"/>
          <w:sz w:val="24"/>
          <w:szCs w:val="24"/>
          <w:rtl/>
        </w:rPr>
        <w:t>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w:t>
      </w:r>
    </w:p>
    <w:p w14:paraId="21742D58" w14:textId="77777777" w:rsidR="00D57654" w:rsidRDefault="00000000" w:rsidP="00B553F3">
      <w:pPr>
        <w:jc w:val="right"/>
        <w:rPr>
          <w:rFonts w:asciiTheme="majorBidi" w:hAnsiTheme="majorBidi" w:cstheme="majorBidi"/>
          <w:sz w:val="24"/>
          <w:szCs w:val="24"/>
          <w:rtl/>
        </w:rPr>
      </w:pPr>
      <w:r>
        <w:rPr>
          <w:rFonts w:asciiTheme="majorBidi" w:hAnsiTheme="majorBidi" w:cstheme="majorBidi"/>
          <w:sz w:val="24"/>
          <w:szCs w:val="24"/>
          <w:rtl/>
        </w:rPr>
        <w:t>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w:t>
      </w:r>
    </w:p>
    <w:p w14:paraId="00FC4AD6" w14:textId="77777777" w:rsidR="00D57654" w:rsidRDefault="00000000" w:rsidP="00B553F3">
      <w:pPr>
        <w:jc w:val="right"/>
        <w:rPr>
          <w:rFonts w:asciiTheme="majorBidi" w:hAnsiTheme="majorBidi" w:cstheme="majorBidi"/>
          <w:sz w:val="24"/>
          <w:szCs w:val="24"/>
          <w:rtl/>
        </w:rPr>
      </w:pPr>
      <w:r>
        <w:rPr>
          <w:rFonts w:asciiTheme="majorBidi" w:hAnsiTheme="majorBidi" w:cstheme="majorBidi"/>
          <w:sz w:val="24"/>
          <w:szCs w:val="24"/>
          <w:rtl/>
        </w:rPr>
        <w:t>الخميسي، سلمى غابش سالم. (2022م). المسؤولية المدنية عن الأضرار الناشئة عن استخدام الذكاء الاصطناعي في مهن الطب الآلي [رسالة دكتوراه، جامعة الإمارات العربية المتحدة].</w:t>
      </w:r>
    </w:p>
    <w:p w14:paraId="69CF9A41" w14:textId="77777777" w:rsidR="00CF598B" w:rsidRPr="008F13B5" w:rsidRDefault="00CF598B" w:rsidP="00B553F3">
      <w:pPr>
        <w:ind w:left="720"/>
        <w:jc w:val="right"/>
        <w:rPr>
          <w:rFonts w:asciiTheme="majorBidi" w:hAnsiTheme="majorBidi" w:cstheme="majorBidi"/>
          <w:sz w:val="24"/>
          <w:szCs w:val="24"/>
        </w:rPr>
      </w:pPr>
      <w:r>
        <w:rPr>
          <w:rFonts w:asciiTheme="majorBidi" w:hAnsiTheme="majorBidi" w:cstheme="majorBidi"/>
          <w:sz w:val="24"/>
          <w:szCs w:val="24"/>
          <w:rtl/>
        </w:rPr>
        <w:t>نظام حماية البيانات الشخصية يفرض التزامًا على الجهة المعالجة باتخاذ التدابير الفنية والتنظيمية المناسبة لحماية البيانات (هيئة الخبراء بمجلس الوزراء، 1443هـ)</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فإذا كان مقدم التقنية هو الذي يعالج/يخزن/ينقل بيانات الموكلين، فإن مسؤوليته تتعزز باعتباره “حارسًا” للبنية التي تقع فيها المخاطرة</w:t>
      </w:r>
      <w:r>
        <w:rPr>
          <w:rFonts w:asciiTheme="majorBidi" w:hAnsiTheme="majorBidi" w:cstheme="majorBidi"/>
          <w:sz w:val="24"/>
          <w:szCs w:val="24"/>
        </w:rPr>
        <w:t>.</w:t>
      </w:r>
    </w:p>
    <w:p w14:paraId="5C5D9764" w14:textId="77777777" w:rsidR="00CF598B" w:rsidRPr="008F13B5" w:rsidRDefault="00CF598B" w:rsidP="00CF598B">
      <w:pPr>
        <w:ind w:left="720"/>
        <w:jc w:val="right"/>
        <w:rPr>
          <w:rFonts w:asciiTheme="majorBidi" w:hAnsiTheme="majorBidi" w:cstheme="majorBidi"/>
          <w:b/>
          <w:bCs/>
          <w:sz w:val="24"/>
          <w:szCs w:val="24"/>
        </w:rPr>
      </w:pPr>
      <w:r>
        <w:rPr>
          <w:rFonts w:asciiTheme="majorBidi" w:hAnsiTheme="majorBidi" w:cstheme="majorBidi"/>
          <w:b/>
          <w:bCs/>
          <w:sz w:val="24"/>
          <w:szCs w:val="24"/>
        </w:rPr>
        <w:t xml:space="preserve">2) </w:t>
      </w:r>
      <w:r>
        <w:rPr>
          <w:rFonts w:asciiTheme="majorBidi" w:hAnsiTheme="majorBidi" w:cstheme="majorBidi"/>
          <w:b/>
          <w:bCs/>
          <w:sz w:val="24"/>
          <w:szCs w:val="24"/>
          <w:rtl/>
        </w:rPr>
        <w:t>سلامة التشغيل والاعتمادية</w:t>
      </w:r>
    </w:p>
    <w:p w14:paraId="0D85AC3A" w14:textId="77777777" w:rsidR="00CF598B" w:rsidRPr="008F13B5" w:rsidRDefault="00CF598B" w:rsidP="00CF598B">
      <w:pPr>
        <w:ind w:left="720"/>
        <w:jc w:val="right"/>
        <w:rPr>
          <w:rFonts w:asciiTheme="majorBidi" w:hAnsiTheme="majorBidi" w:cstheme="majorBidi"/>
          <w:sz w:val="24"/>
          <w:szCs w:val="24"/>
        </w:rPr>
      </w:pPr>
      <w:r>
        <w:rPr>
          <w:rFonts w:asciiTheme="majorBidi" w:hAnsiTheme="majorBidi" w:cstheme="majorBidi"/>
          <w:sz w:val="24"/>
          <w:szCs w:val="24"/>
          <w:rtl/>
        </w:rPr>
        <w:t>في الممارسة، قد يقع ضرر بسبب انقطاع الخدمة أو فقدان الملفات أو خلل التزامن/الحفظ. هذه ليست أضرارًا تقنية فقط؛ بل قد تُفوت مواعيد، أو تُسقط دفاعًا، أو تُضعف مركزًا قانونيًا. ومن هنا، تتداخل مسؤولية مقدم التقنية مع فكرة “الضرر المهني” حتى وإن لم يكن هو محاميًا</w:t>
      </w:r>
      <w:r>
        <w:rPr>
          <w:rFonts w:asciiTheme="majorBidi" w:hAnsiTheme="majorBidi" w:cstheme="majorBidi"/>
          <w:sz w:val="24"/>
          <w:szCs w:val="24"/>
        </w:rPr>
        <w:t>.</w:t>
      </w:r>
    </w:p>
    <w:p w14:paraId="5C2CD8D4" w14:textId="77777777" w:rsidR="00CF598B" w:rsidRPr="008F13B5" w:rsidRDefault="00CF598B" w:rsidP="00CF598B">
      <w:pPr>
        <w:ind w:left="720"/>
        <w:jc w:val="right"/>
        <w:rPr>
          <w:rFonts w:asciiTheme="majorBidi" w:hAnsiTheme="majorBidi" w:cstheme="majorBidi"/>
          <w:b/>
          <w:bCs/>
          <w:sz w:val="24"/>
          <w:szCs w:val="24"/>
        </w:rPr>
      </w:pPr>
      <w:r>
        <w:rPr>
          <w:rFonts w:asciiTheme="majorBidi" w:hAnsiTheme="majorBidi" w:cstheme="majorBidi"/>
          <w:b/>
          <w:bCs/>
          <w:sz w:val="24"/>
          <w:szCs w:val="24"/>
        </w:rPr>
        <w:t xml:space="preserve">3) </w:t>
      </w:r>
      <w:r>
        <w:rPr>
          <w:rFonts w:asciiTheme="majorBidi" w:hAnsiTheme="majorBidi" w:cstheme="majorBidi"/>
          <w:b/>
          <w:bCs/>
          <w:sz w:val="24"/>
          <w:szCs w:val="24"/>
          <w:rtl/>
        </w:rPr>
        <w:t>شروط الإعفاء وحدودها</w:t>
      </w:r>
    </w:p>
    <w:p w14:paraId="3F8719DA" w14:textId="77777777" w:rsidR="00CF598B" w:rsidRPr="008F13B5" w:rsidRDefault="00CF598B" w:rsidP="00CF598B">
      <w:pPr>
        <w:ind w:left="720"/>
        <w:jc w:val="right"/>
        <w:rPr>
          <w:rFonts w:asciiTheme="majorBidi" w:hAnsiTheme="majorBidi" w:cstheme="majorBidi"/>
          <w:sz w:val="24"/>
          <w:szCs w:val="24"/>
        </w:rPr>
      </w:pPr>
      <w:r>
        <w:rPr>
          <w:rFonts w:asciiTheme="majorBidi" w:hAnsiTheme="majorBidi" w:cstheme="majorBidi"/>
          <w:sz w:val="24"/>
          <w:szCs w:val="24"/>
          <w:rtl/>
        </w:rPr>
        <w:t>يميل مزودو التقنية إلى الشروط المقيدة للمسؤولية. لكن القواعد العامة في المسؤولية المدنية لا تسلم بالإعفاء المطلق عند الغش أو الخطأ الجسيم، كما أن التزامات حماية البيانات لا يمكن تفريغها من مضمونها بعبارات تعاقدية عامة</w:t>
      </w:r>
      <w:r>
        <w:rPr>
          <w:rFonts w:asciiTheme="majorBidi" w:hAnsiTheme="majorBidi" w:cstheme="majorBidi"/>
          <w:sz w:val="24"/>
          <w:szCs w:val="24"/>
        </w:rPr>
        <w:t>.</w:t>
      </w:r>
    </w:p>
    <w:p w14:paraId="3CF79C0F" w14:textId="77777777" w:rsidR="00CF598B" w:rsidRPr="008F13B5" w:rsidRDefault="00CF598B" w:rsidP="00CF598B">
      <w:pPr>
        <w:ind w:left="720"/>
        <w:jc w:val="right"/>
        <w:rPr>
          <w:rFonts w:asciiTheme="majorBidi" w:hAnsiTheme="majorBidi" w:cstheme="majorBidi"/>
          <w:sz w:val="24"/>
          <w:szCs w:val="24"/>
        </w:rPr>
      </w:pPr>
      <w:r>
        <w:rPr>
          <w:rFonts w:asciiTheme="majorBidi" w:hAnsiTheme="majorBidi" w:cstheme="majorBidi"/>
          <w:b/>
          <w:bCs/>
          <w:sz w:val="24"/>
          <w:szCs w:val="24"/>
          <w:rtl/>
        </w:rPr>
        <w:t>ويرى الباحث</w:t>
      </w:r>
      <w:r>
        <w:rPr>
          <w:rFonts w:asciiTheme="majorBidi" w:hAnsiTheme="majorBidi" w:cstheme="majorBidi"/>
          <w:b/>
          <w:bCs/>
          <w:sz w:val="24"/>
          <w:szCs w:val="24"/>
        </w:rPr>
        <w:t>:</w:t>
      </w:r>
      <w:r>
        <w:rPr>
          <w:rFonts w:asciiTheme="majorBidi" w:hAnsiTheme="majorBidi" w:cstheme="majorBidi"/>
          <w:sz w:val="24"/>
          <w:szCs w:val="24"/>
        </w:rPr>
        <w:br/>
      </w:r>
      <w:r>
        <w:rPr>
          <w:rFonts w:asciiTheme="majorBidi" w:hAnsiTheme="majorBidi" w:cstheme="majorBidi"/>
          <w:sz w:val="24"/>
          <w:szCs w:val="24"/>
          <w:rtl/>
        </w:rPr>
        <w:t xml:space="preserve">أرى أن مقدم التقنية يجب أن يُعامل – في البيئة القانونية – كطرف ذي مسؤولية “حساسة” لأن خطأه لا يخرّب ملفًا فقط، بل قد يخرّب </w:t>
      </w:r>
      <w:r>
        <w:rPr>
          <w:rFonts w:asciiTheme="majorBidi" w:hAnsiTheme="majorBidi" w:cstheme="majorBidi"/>
          <w:b/>
          <w:bCs/>
          <w:sz w:val="24"/>
          <w:szCs w:val="24"/>
          <w:rtl/>
        </w:rPr>
        <w:t>ثقة العدالة الرقمية</w:t>
      </w:r>
      <w:r>
        <w:rPr>
          <w:rFonts w:asciiTheme="majorBidi" w:hAnsiTheme="majorBidi" w:cstheme="majorBidi"/>
          <w:sz w:val="24"/>
          <w:szCs w:val="24"/>
          <w:rtl/>
        </w:rPr>
        <w:t xml:space="preserve"> ويضرب جوهر السرية المهنية. لذا فإن معيار العناية لديه يجب أن يكون أعلى من الخدمات التقنية العامة، بحكم طبيعة البيانات والآثار</w:t>
      </w:r>
      <w:r>
        <w:rPr>
          <w:rFonts w:asciiTheme="majorBidi" w:hAnsiTheme="majorBidi" w:cstheme="majorBidi"/>
          <w:sz w:val="24"/>
          <w:szCs w:val="24"/>
        </w:rPr>
        <w:t>.</w:t>
      </w:r>
    </w:p>
    <w:p w14:paraId="022AB974" w14:textId="77777777" w:rsidR="00CF598B" w:rsidRPr="008F13B5" w:rsidRDefault="00CF598B" w:rsidP="00CF598B">
      <w:pPr>
        <w:ind w:left="720"/>
        <w:jc w:val="right"/>
        <w:rPr>
          <w:rFonts w:asciiTheme="majorBidi" w:hAnsiTheme="majorBidi" w:cstheme="majorBidi"/>
          <w:sz w:val="24"/>
          <w:szCs w:val="24"/>
        </w:rPr>
      </w:pPr>
    </w:p>
    <w:p w14:paraId="3C194DFD" w14:textId="77777777" w:rsidR="00CF598B" w:rsidRPr="008F13B5" w:rsidRDefault="00CF598B" w:rsidP="00CF598B">
      <w:pPr>
        <w:ind w:left="720"/>
        <w:jc w:val="right"/>
        <w:rPr>
          <w:rFonts w:asciiTheme="majorBidi" w:hAnsiTheme="majorBidi" w:cstheme="majorBidi"/>
          <w:b/>
          <w:bCs/>
          <w:sz w:val="24"/>
          <w:szCs w:val="24"/>
        </w:rPr>
      </w:pPr>
      <w:r>
        <w:rPr>
          <w:rFonts w:asciiTheme="majorBidi" w:hAnsiTheme="majorBidi" w:cstheme="majorBidi"/>
          <w:b/>
          <w:bCs/>
          <w:sz w:val="24"/>
          <w:szCs w:val="24"/>
          <w:rtl/>
        </w:rPr>
        <w:t>عاشرًا: مسؤولية المستخدم المهني: متى تخف؟ ومتى تتشدد؟ (معيار “قابلية الاكتشاف”)</w:t>
      </w:r>
    </w:p>
    <w:p w14:paraId="31D1BB41" w14:textId="77777777" w:rsidR="00CF598B" w:rsidRPr="008F13B5" w:rsidRDefault="00CF598B" w:rsidP="00CF598B">
      <w:pPr>
        <w:ind w:left="720"/>
        <w:jc w:val="right"/>
        <w:rPr>
          <w:rFonts w:asciiTheme="majorBidi" w:hAnsiTheme="majorBidi" w:cstheme="majorBidi"/>
          <w:sz w:val="24"/>
          <w:szCs w:val="24"/>
        </w:rPr>
      </w:pPr>
      <w:r>
        <w:rPr>
          <w:rFonts w:asciiTheme="majorBidi" w:hAnsiTheme="majorBidi" w:cstheme="majorBidi"/>
          <w:sz w:val="24"/>
          <w:szCs w:val="24"/>
          <w:rtl/>
        </w:rPr>
        <w:lastRenderedPageBreak/>
        <w:t>في توزيع المسؤولية، المستخدم (المحامي/المكتب) يبقى طرفًا رئيسًا لأنه حلقة الاعتماد. لكن تحميله كل شيء غير عادل. لذا يلزم معيار أدق</w:t>
      </w:r>
      <w:r>
        <w:rPr>
          <w:rFonts w:asciiTheme="majorBidi" w:hAnsiTheme="majorBidi" w:cstheme="majorBidi"/>
          <w:sz w:val="24"/>
          <w:szCs w:val="24"/>
        </w:rPr>
        <w:t xml:space="preserve">: </w:t>
      </w:r>
      <w:r>
        <w:rPr>
          <w:rFonts w:asciiTheme="majorBidi" w:hAnsiTheme="majorBidi" w:cstheme="majorBidi"/>
          <w:b/>
          <w:bCs/>
          <w:sz w:val="24"/>
          <w:szCs w:val="24"/>
          <w:rtl/>
        </w:rPr>
        <w:t>قابلية اكتشاف الخلل بالمراجعة المهنية المعتادة</w:t>
      </w:r>
      <w:r>
        <w:rPr>
          <w:rFonts w:asciiTheme="majorBidi" w:hAnsiTheme="majorBidi" w:cstheme="majorBidi"/>
          <w:sz w:val="24"/>
          <w:szCs w:val="24"/>
        </w:rPr>
        <w:t>.</w:t>
      </w:r>
    </w:p>
    <w:p w14:paraId="56097D03" w14:textId="77777777" w:rsidR="00CF598B" w:rsidRPr="008F13B5" w:rsidRDefault="00CF598B">
      <w:pPr>
        <w:numPr>
          <w:ilvl w:val="0"/>
          <w:numId w:val="50"/>
        </w:numPr>
        <w:jc w:val="right"/>
        <w:rPr>
          <w:rFonts w:asciiTheme="majorBidi" w:hAnsiTheme="majorBidi" w:cstheme="majorBidi"/>
          <w:sz w:val="24"/>
          <w:szCs w:val="24"/>
        </w:rPr>
      </w:pPr>
      <w:r>
        <w:rPr>
          <w:rFonts w:asciiTheme="majorBidi" w:hAnsiTheme="majorBidi" w:cstheme="majorBidi"/>
          <w:sz w:val="24"/>
          <w:szCs w:val="24"/>
          <w:rtl/>
        </w:rPr>
        <w:t xml:space="preserve">إذا كان الخطأ </w:t>
      </w:r>
      <w:r>
        <w:rPr>
          <w:rFonts w:asciiTheme="majorBidi" w:hAnsiTheme="majorBidi" w:cstheme="majorBidi"/>
          <w:b/>
          <w:bCs/>
          <w:sz w:val="24"/>
          <w:szCs w:val="24"/>
          <w:rtl/>
        </w:rPr>
        <w:t>ظاهرًا</w:t>
      </w:r>
      <w:r>
        <w:rPr>
          <w:rFonts w:asciiTheme="majorBidi" w:hAnsiTheme="majorBidi" w:cstheme="majorBidi"/>
          <w:sz w:val="24"/>
          <w:szCs w:val="24"/>
          <w:rtl/>
        </w:rPr>
        <w:t xml:space="preserve"> (إحالة نظامية خاطئة، سابقة وهمية، خلط بين نظامين) وكان يمكن لمحامٍ حريص كشفه، فالمسؤولية تميل إلى المستخدم، لأن الإخلال هنا مهني (المالكي، 2024)</w:t>
      </w:r>
      <w:r>
        <w:rPr>
          <w:rFonts w:asciiTheme="majorBidi" w:hAnsiTheme="majorBidi" w:cstheme="majorBidi"/>
          <w:sz w:val="24"/>
          <w:szCs w:val="24"/>
        </w:rPr>
        <w:t>.</w:t>
      </w:r>
    </w:p>
    <w:p w14:paraId="450DB21C" w14:textId="77777777" w:rsidR="00CF598B" w:rsidRPr="008F13B5" w:rsidRDefault="00CF598B">
      <w:pPr>
        <w:numPr>
          <w:ilvl w:val="0"/>
          <w:numId w:val="50"/>
        </w:numPr>
        <w:jc w:val="right"/>
        <w:rPr>
          <w:rFonts w:asciiTheme="majorBidi" w:hAnsiTheme="majorBidi" w:cstheme="majorBidi"/>
          <w:sz w:val="24"/>
          <w:szCs w:val="24"/>
        </w:rPr>
      </w:pPr>
      <w:r>
        <w:rPr>
          <w:rFonts w:asciiTheme="majorBidi" w:hAnsiTheme="majorBidi" w:cstheme="majorBidi"/>
          <w:sz w:val="24"/>
          <w:szCs w:val="24"/>
          <w:rtl/>
        </w:rPr>
        <w:t xml:space="preserve">أما إذا كان الخلل </w:t>
      </w:r>
      <w:r>
        <w:rPr>
          <w:rFonts w:asciiTheme="majorBidi" w:hAnsiTheme="majorBidi" w:cstheme="majorBidi"/>
          <w:b/>
          <w:bCs/>
          <w:sz w:val="24"/>
          <w:szCs w:val="24"/>
          <w:rtl/>
        </w:rPr>
        <w:t>خفيًا بنيويًا</w:t>
      </w:r>
      <w:r>
        <w:rPr>
          <w:rFonts w:asciiTheme="majorBidi" w:hAnsiTheme="majorBidi" w:cstheme="majorBidi"/>
          <w:sz w:val="24"/>
          <w:szCs w:val="24"/>
          <w:rtl/>
        </w:rPr>
        <w:t xml:space="preserve"> لا يظهر إلا بفحص تقني متخصص يتجاوز حدود المراجعة المهنية المعتادة، فإن إلقاء العبء كله على المستخدم يقترب من مسؤولية شبه مطلقة، وهو ما يحذر منه حمادي لأنه يخلق أثرًا عكسيًا: إحباط تبني التقنية وتحميل طرف واحد تبعة منظومة معقدة (حمادي، 2022)</w:t>
      </w:r>
      <w:r>
        <w:rPr>
          <w:rFonts w:asciiTheme="majorBidi" w:hAnsiTheme="majorBidi" w:cstheme="majorBidi"/>
          <w:sz w:val="24"/>
          <w:szCs w:val="24"/>
        </w:rPr>
        <w:t>.</w:t>
      </w:r>
    </w:p>
    <w:p w14:paraId="3976A3BB" w14:textId="77777777" w:rsidR="00CF598B" w:rsidRPr="008F13B5" w:rsidRDefault="00CF598B" w:rsidP="00CF598B">
      <w:pPr>
        <w:ind w:left="720"/>
        <w:jc w:val="right"/>
        <w:rPr>
          <w:rFonts w:asciiTheme="majorBidi" w:hAnsiTheme="majorBidi" w:cstheme="majorBidi"/>
          <w:sz w:val="24"/>
          <w:szCs w:val="24"/>
        </w:rPr>
      </w:pPr>
      <w:r>
        <w:rPr>
          <w:rFonts w:asciiTheme="majorBidi" w:hAnsiTheme="majorBidi" w:cstheme="majorBidi"/>
          <w:sz w:val="24"/>
          <w:szCs w:val="24"/>
          <w:rtl/>
        </w:rPr>
        <w:t>وخليل يبرز فكرة الغموض الخوارزمي وتشتت الإسناد، لكنه – في الجوهر – لا يدعو لإعفاء المستخدم، بل يدعو لإعادة بناء معيار الإسناد بما لا يسمح للغموض أن يصبح ثغرة للإفلات (خليل، 2022)</w:t>
      </w:r>
      <w:r>
        <w:rPr>
          <w:rFonts w:asciiTheme="majorBidi" w:hAnsiTheme="majorBidi" w:cstheme="majorBidi"/>
          <w:sz w:val="24"/>
          <w:szCs w:val="24"/>
        </w:rPr>
        <w:t>.</w:t>
      </w:r>
    </w:p>
    <w:p w14:paraId="17740252" w14:textId="2B066A9A" w:rsidR="00CF598B" w:rsidRPr="008F13B5" w:rsidRDefault="00476D14" w:rsidP="00CF598B">
      <w:pPr>
        <w:ind w:left="720"/>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sidR="00CF598B">
        <w:rPr>
          <w:rFonts w:asciiTheme="majorBidi" w:hAnsiTheme="majorBidi" w:cstheme="majorBidi"/>
          <w:sz w:val="24"/>
          <w:szCs w:val="24"/>
          <w:rtl/>
        </w:rPr>
        <w:t>أرى أن المعيار العادل هو “إشراف معقول + تحقق معقول”؛ فإذا تحقق هذا الإشراف، انتقلت بؤرة المسؤولية إلى المطوّر/مقدم التقنية بحسب مصدر الخلل. أما إذا غاب الإشراف، فلا معنى للحديث عن الغموض الخوارزمي؛ لأن الإهمال المهني هنا مستقل بذاته</w:t>
      </w:r>
      <w:r w:rsidR="00CF598B">
        <w:rPr>
          <w:rFonts w:asciiTheme="majorBidi" w:hAnsiTheme="majorBidi" w:cstheme="majorBidi"/>
          <w:sz w:val="24"/>
          <w:szCs w:val="24"/>
        </w:rPr>
        <w:t>.</w:t>
      </w:r>
    </w:p>
    <w:p w14:paraId="5889BEE8" w14:textId="77777777" w:rsidR="00CF598B" w:rsidRPr="008F13B5" w:rsidRDefault="00CF598B" w:rsidP="00CF598B">
      <w:pPr>
        <w:ind w:left="720"/>
        <w:jc w:val="right"/>
        <w:rPr>
          <w:rFonts w:asciiTheme="majorBidi" w:hAnsiTheme="majorBidi" w:cstheme="majorBidi"/>
          <w:sz w:val="24"/>
          <w:szCs w:val="24"/>
        </w:rPr>
      </w:pPr>
    </w:p>
    <w:p w14:paraId="376DB02F" w14:textId="77777777" w:rsidR="00CF598B" w:rsidRPr="008F13B5" w:rsidRDefault="00CF598B" w:rsidP="00571984">
      <w:pPr>
        <w:ind w:left="720"/>
        <w:jc w:val="right"/>
        <w:rPr>
          <w:rFonts w:asciiTheme="majorBidi" w:hAnsiTheme="majorBidi" w:cstheme="majorBidi"/>
          <w:b/>
          <w:bCs/>
          <w:sz w:val="24"/>
          <w:szCs w:val="24"/>
        </w:rPr>
      </w:pPr>
      <w:r>
        <w:rPr>
          <w:rFonts w:asciiTheme="majorBidi" w:hAnsiTheme="majorBidi" w:cstheme="majorBidi"/>
          <w:b/>
          <w:bCs/>
          <w:sz w:val="24"/>
          <w:szCs w:val="24"/>
          <w:rtl/>
        </w:rPr>
        <w:t>حادي عشر: المسؤولية المشتركة والتضامن: حماية المتضرر أم إرهاق أحد الأطراف؟</w:t>
      </w:r>
    </w:p>
    <w:p w14:paraId="060CD61E" w14:textId="77777777" w:rsidR="00CF598B" w:rsidRPr="008F13B5" w:rsidRDefault="00CF598B" w:rsidP="00571984">
      <w:pPr>
        <w:ind w:left="720"/>
        <w:jc w:val="right"/>
        <w:rPr>
          <w:rFonts w:asciiTheme="majorBidi" w:hAnsiTheme="majorBidi" w:cstheme="majorBidi"/>
          <w:sz w:val="24"/>
          <w:szCs w:val="24"/>
        </w:rPr>
      </w:pPr>
      <w:r>
        <w:rPr>
          <w:rFonts w:asciiTheme="majorBidi" w:hAnsiTheme="majorBidi" w:cstheme="majorBidi"/>
          <w:sz w:val="24"/>
          <w:szCs w:val="24"/>
          <w:rtl/>
        </w:rPr>
        <w:t>إشكالية “هل المسؤولية تضامنية أم نسبية؟” ليست شكلية؛ لأنها تؤثر على حق الموكل في التعويض وعلى عدالة توزيع العبء. الربيع تميل إلى أن تعقيد التقنية قد يبرر مسؤولية مشتركة في بعض الحالات لحماية المتضرر من عبء إثبات مرهق، خصوصًا عندما يتعذر تحديد مصدر الخلل بدقة (</w:t>
      </w:r>
      <w:r>
        <w:rPr>
          <w:rFonts w:asciiTheme="majorBidi" w:hAnsiTheme="majorBidi" w:cstheme="majorBidi" w:hint="cs"/>
          <w:sz w:val="24"/>
          <w:szCs w:val="24"/>
          <w:rtl/>
        </w:rPr>
        <w:t>العلي</w:t>
      </w:r>
      <w:r>
        <w:rPr>
          <w:rFonts w:asciiTheme="majorBidi" w:hAnsiTheme="majorBidi" w:cstheme="majorBidi"/>
          <w:sz w:val="24"/>
          <w:szCs w:val="24"/>
          <w:rtl/>
        </w:rPr>
        <w:t xml:space="preserve">، </w:t>
      </w:r>
      <w:r>
        <w:rPr>
          <w:rFonts w:asciiTheme="majorBidi" w:hAnsiTheme="majorBidi" w:cstheme="majorBidi" w:hint="cs"/>
          <w:sz w:val="24"/>
          <w:szCs w:val="24"/>
          <w:rtl/>
        </w:rPr>
        <w:t>2024</w:t>
      </w:r>
      <w:r>
        <w:rPr>
          <w:rFonts w:asciiTheme="majorBidi" w:hAnsiTheme="majorBidi" w:cstheme="majorBidi"/>
          <w:sz w:val="24"/>
          <w:szCs w:val="24"/>
          <w:rtl/>
        </w:rPr>
        <w:t>)</w:t>
      </w:r>
      <w:r>
        <w:rPr>
          <w:rStyle w:val="af"/>
          <w:rFonts w:asciiTheme="majorBidi" w:hAnsiTheme="majorBidi" w:cstheme="majorBidi"/>
          <w:sz w:val="24"/>
          <w:szCs w:val="24"/>
          <w:rtl/>
        </w:rPr>
        <w:footnoteReference w:id="325"/>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في المقابل، يحذر حمادي من أن التضامن غير المنضبط قد يؤدي عمليًا إلى تحميل المستخدم المهني العبء الأكبر لأنه الأقرب للمتضرر (حمادي، 2022)</w:t>
      </w:r>
      <w:r>
        <w:rPr>
          <w:rFonts w:asciiTheme="majorBidi" w:hAnsiTheme="majorBidi" w:cstheme="majorBidi"/>
          <w:sz w:val="24"/>
          <w:szCs w:val="24"/>
        </w:rPr>
        <w:t>.</w:t>
      </w:r>
    </w:p>
    <w:p w14:paraId="357EE49D" w14:textId="77777777" w:rsidR="00CF598B" w:rsidRPr="008F13B5" w:rsidRDefault="00CF598B" w:rsidP="00571984">
      <w:pPr>
        <w:ind w:left="720"/>
        <w:jc w:val="right"/>
        <w:rPr>
          <w:rFonts w:asciiTheme="majorBidi" w:hAnsiTheme="majorBidi" w:cstheme="majorBidi"/>
          <w:sz w:val="24"/>
          <w:szCs w:val="24"/>
        </w:rPr>
      </w:pPr>
      <w:r>
        <w:rPr>
          <w:rFonts w:asciiTheme="majorBidi" w:hAnsiTheme="majorBidi" w:cstheme="majorBidi"/>
          <w:b/>
          <w:bCs/>
          <w:sz w:val="24"/>
          <w:szCs w:val="24"/>
          <w:rtl/>
        </w:rPr>
        <w:t>تحليل متوازن</w:t>
      </w:r>
      <w:r>
        <w:rPr>
          <w:rFonts w:asciiTheme="majorBidi" w:hAnsiTheme="majorBidi" w:cstheme="majorBidi"/>
          <w:b/>
          <w:bCs/>
          <w:sz w:val="24"/>
          <w:szCs w:val="24"/>
        </w:rPr>
        <w:t>:</w:t>
      </w:r>
    </w:p>
    <w:p w14:paraId="601518D9" w14:textId="77777777" w:rsidR="00CF598B" w:rsidRPr="008F13B5" w:rsidRDefault="00CF598B" w:rsidP="00571984">
      <w:pPr>
        <w:numPr>
          <w:ilvl w:val="0"/>
          <w:numId w:val="51"/>
        </w:numPr>
        <w:jc w:val="right"/>
        <w:rPr>
          <w:rFonts w:asciiTheme="majorBidi" w:hAnsiTheme="majorBidi" w:cstheme="majorBidi"/>
          <w:sz w:val="24"/>
          <w:szCs w:val="24"/>
        </w:rPr>
      </w:pPr>
      <w:r>
        <w:rPr>
          <w:rFonts w:asciiTheme="majorBidi" w:hAnsiTheme="majorBidi" w:cstheme="majorBidi"/>
          <w:b/>
          <w:bCs/>
          <w:sz w:val="24"/>
          <w:szCs w:val="24"/>
          <w:rtl/>
        </w:rPr>
        <w:t>أمام الموكل</w:t>
      </w:r>
      <w:r>
        <w:rPr>
          <w:rFonts w:asciiTheme="majorBidi" w:hAnsiTheme="majorBidi" w:cstheme="majorBidi"/>
          <w:sz w:val="24"/>
          <w:szCs w:val="24"/>
        </w:rPr>
        <w:t xml:space="preserve">: </w:t>
      </w:r>
      <w:r>
        <w:rPr>
          <w:rFonts w:asciiTheme="majorBidi" w:hAnsiTheme="majorBidi" w:cstheme="majorBidi"/>
          <w:sz w:val="24"/>
          <w:szCs w:val="24"/>
          <w:rtl/>
        </w:rPr>
        <w:t>من الواقعي أن يظل المكتب مسؤولًا لأنه صاحب العلاقة العقدية والواجهة المهنية، وهذا متسق مع طبيعة الثقة في المحاماة ومع منطق حماية الطرف الضعيف في العلاقة</w:t>
      </w:r>
      <w:r>
        <w:rPr>
          <w:rFonts w:asciiTheme="majorBidi" w:hAnsiTheme="majorBidi" w:cstheme="majorBidi"/>
          <w:sz w:val="24"/>
          <w:szCs w:val="24"/>
        </w:rPr>
        <w:t>.</w:t>
      </w:r>
    </w:p>
    <w:p w14:paraId="2467376B" w14:textId="77777777" w:rsidR="00D57654" w:rsidRDefault="00000000" w:rsidP="00571984">
      <w:pPr>
        <w:jc w:val="right"/>
        <w:rPr>
          <w:rFonts w:asciiTheme="majorBidi" w:hAnsiTheme="majorBidi" w:cstheme="majorBidi"/>
          <w:sz w:val="24"/>
          <w:szCs w:val="24"/>
          <w:rtl/>
        </w:rPr>
      </w:pPr>
      <w:r>
        <w:rPr>
          <w:rFonts w:asciiTheme="majorBidi" w:hAnsiTheme="majorBidi" w:cstheme="majorBidi"/>
          <w:sz w:val="24"/>
          <w:szCs w:val="24"/>
          <w:rtl/>
        </w:rPr>
        <w:t>وفي المنظور المقارن، استندت رسالة بالل (2023م) إلى الواقع القضائي القطري لتأكيد أن المكاتب القانونية تحتل موقعًا مزدوجًا بين مصالح الموكل ومنتج التقنية، مما يجعلها الجهة الأقدر على تحديد ضوابط الاستخدام وإدارة مخاطر الأداة الذكية، وأن هذا الواقع يُرسّخ منطق تحميلها المسؤولية الأولية.</w:t>
      </w:r>
      <w:r w:rsidRPr="00000001">
        <w:rPr>
          <w:rtl/>
        </w:rPr>
        <w:footnoteReference w:id="326"/>
      </w:r>
    </w:p>
    <w:p w14:paraId="26C5BDA5" w14:textId="77777777" w:rsidR="00CF598B" w:rsidRPr="008F13B5" w:rsidRDefault="00CF598B" w:rsidP="00571984">
      <w:pPr>
        <w:numPr>
          <w:ilvl w:val="0"/>
          <w:numId w:val="51"/>
        </w:numPr>
        <w:jc w:val="right"/>
        <w:rPr>
          <w:rFonts w:asciiTheme="majorBidi" w:hAnsiTheme="majorBidi" w:cstheme="majorBidi"/>
          <w:sz w:val="24"/>
          <w:szCs w:val="24"/>
        </w:rPr>
      </w:pPr>
      <w:r>
        <w:rPr>
          <w:rFonts w:asciiTheme="majorBidi" w:hAnsiTheme="majorBidi" w:cstheme="majorBidi"/>
          <w:b/>
          <w:bCs/>
          <w:sz w:val="24"/>
          <w:szCs w:val="24"/>
          <w:rtl/>
        </w:rPr>
        <w:t>في العلاقة الداخلية بين الأطراف</w:t>
      </w:r>
      <w:r>
        <w:rPr>
          <w:rFonts w:asciiTheme="majorBidi" w:hAnsiTheme="majorBidi" w:cstheme="majorBidi"/>
          <w:sz w:val="24"/>
          <w:szCs w:val="24"/>
        </w:rPr>
        <w:t xml:space="preserve">: </w:t>
      </w:r>
      <w:r>
        <w:rPr>
          <w:rFonts w:asciiTheme="majorBidi" w:hAnsiTheme="majorBidi" w:cstheme="majorBidi"/>
          <w:sz w:val="24"/>
          <w:szCs w:val="24"/>
          <w:rtl/>
        </w:rPr>
        <w:t>ينبغي فتح باب الرجوع والتوزيع بحسب مصدر الخلل (تصميم/تشغيل/اعتماد)</w:t>
      </w:r>
      <w:r>
        <w:rPr>
          <w:rFonts w:asciiTheme="majorBidi" w:hAnsiTheme="majorBidi" w:cstheme="majorBidi"/>
          <w:sz w:val="24"/>
          <w:szCs w:val="24"/>
        </w:rPr>
        <w:t>.</w:t>
      </w:r>
    </w:p>
    <w:p w14:paraId="0B091825" w14:textId="77777777" w:rsidR="00D57654" w:rsidRDefault="00000000" w:rsidP="00EF734A">
      <w:pPr>
        <w:jc w:val="right"/>
        <w:rPr>
          <w:rFonts w:asciiTheme="majorBidi" w:hAnsiTheme="majorBidi" w:cstheme="majorBidi"/>
          <w:sz w:val="24"/>
          <w:szCs w:val="24"/>
          <w:rtl/>
        </w:rPr>
      </w:pPr>
      <w:r>
        <w:rPr>
          <w:rFonts w:asciiTheme="majorBidi" w:hAnsiTheme="majorBidi" w:cstheme="majorBidi"/>
          <w:sz w:val="24"/>
          <w:szCs w:val="24"/>
          <w:rtl/>
        </w:rPr>
        <w:t xml:space="preserve">وفي إطار العلاقات الداخلية بين أطراف منظومة الذكاء الاصطناعي في المجال القانوني، خلصت دراسة التونسي والمعلم (2024م) إلى ضرورة التمييز بين المسؤولية الخارجية تجاه الموكل — وهي مسؤولية شاملة </w:t>
      </w:r>
      <w:r>
        <w:rPr>
          <w:rFonts w:asciiTheme="majorBidi" w:hAnsiTheme="majorBidi" w:cstheme="majorBidi"/>
          <w:sz w:val="24"/>
          <w:szCs w:val="24"/>
          <w:rtl/>
        </w:rPr>
        <w:lastRenderedPageBreak/>
        <w:t>تقع على المكتب — والمسؤولية الداخلية بين المكتب والمزوّد — وهي مسؤولية يحكمها العقد — وأن الخلط بينهما يُفضي إلى ارتباك في تطبيق قواعد الرجوع والتضامن.</w:t>
      </w:r>
      <w:r w:rsidRPr="00000001">
        <w:rPr>
          <w:rtl/>
        </w:rPr>
        <w:footnoteReference w:id="327"/>
      </w:r>
    </w:p>
    <w:p w14:paraId="76EFF591" w14:textId="77777777" w:rsidR="00CF598B" w:rsidRPr="008F13B5" w:rsidRDefault="00CF598B" w:rsidP="00EF734A">
      <w:pPr>
        <w:ind w:left="720"/>
        <w:jc w:val="right"/>
        <w:rPr>
          <w:rFonts w:asciiTheme="majorBidi" w:hAnsiTheme="majorBidi" w:cstheme="majorBidi"/>
          <w:sz w:val="24"/>
          <w:szCs w:val="24"/>
        </w:rPr>
      </w:pPr>
      <w:r>
        <w:rPr>
          <w:rFonts w:asciiTheme="majorBidi" w:hAnsiTheme="majorBidi" w:cstheme="majorBidi"/>
          <w:b/>
          <w:bCs/>
          <w:sz w:val="24"/>
          <w:szCs w:val="24"/>
          <w:rtl/>
        </w:rPr>
        <w:t>ويرى الباحث</w:t>
      </w:r>
      <w:r>
        <w:rPr>
          <w:rFonts w:asciiTheme="majorBidi" w:hAnsiTheme="majorBidi" w:cstheme="majorBidi"/>
          <w:b/>
          <w:bCs/>
          <w:sz w:val="24"/>
          <w:szCs w:val="24"/>
        </w:rPr>
        <w:t>:</w:t>
      </w:r>
      <w:r>
        <w:rPr>
          <w:rFonts w:asciiTheme="majorBidi" w:hAnsiTheme="majorBidi" w:cstheme="majorBidi"/>
          <w:sz w:val="24"/>
          <w:szCs w:val="24"/>
        </w:rPr>
        <w:br/>
      </w:r>
      <w:r>
        <w:rPr>
          <w:rFonts w:asciiTheme="majorBidi" w:hAnsiTheme="majorBidi" w:cstheme="majorBidi"/>
          <w:sz w:val="24"/>
          <w:szCs w:val="24"/>
          <w:rtl/>
        </w:rPr>
        <w:t>أنا مع “تضامن وظيفي محدود” لا “تضامن مطلق</w:t>
      </w:r>
      <w:r>
        <w:rPr>
          <w:rFonts w:asciiTheme="majorBidi" w:hAnsiTheme="majorBidi" w:cstheme="majorBidi"/>
          <w:sz w:val="24"/>
          <w:szCs w:val="24"/>
        </w:rPr>
        <w:t>”:</w:t>
      </w:r>
    </w:p>
    <w:p w14:paraId="6EACA95E" w14:textId="77777777" w:rsidR="00CF598B" w:rsidRPr="008F13B5" w:rsidRDefault="00CF598B" w:rsidP="00EF734A">
      <w:pPr>
        <w:numPr>
          <w:ilvl w:val="0"/>
          <w:numId w:val="52"/>
        </w:numPr>
        <w:jc w:val="right"/>
        <w:rPr>
          <w:rFonts w:asciiTheme="majorBidi" w:hAnsiTheme="majorBidi" w:cstheme="majorBidi"/>
          <w:sz w:val="24"/>
          <w:szCs w:val="24"/>
        </w:rPr>
      </w:pPr>
      <w:r>
        <w:rPr>
          <w:rFonts w:asciiTheme="majorBidi" w:hAnsiTheme="majorBidi" w:cstheme="majorBidi"/>
          <w:sz w:val="24"/>
          <w:szCs w:val="24"/>
          <w:rtl/>
        </w:rPr>
        <w:t>تضامن عندما يتعذر تعيين مصدر الخلل أو كان التعيين يتطلب خبرة لا يتحملها المتضرر</w:t>
      </w:r>
      <w:r>
        <w:rPr>
          <w:rFonts w:asciiTheme="majorBidi" w:hAnsiTheme="majorBidi" w:cstheme="majorBidi"/>
          <w:sz w:val="24"/>
          <w:szCs w:val="24"/>
        </w:rPr>
        <w:t>.</w:t>
      </w:r>
    </w:p>
    <w:p w14:paraId="70EA785A" w14:textId="77777777" w:rsidR="00CF598B" w:rsidRPr="008F13B5" w:rsidRDefault="00CF598B" w:rsidP="00EF734A">
      <w:pPr>
        <w:numPr>
          <w:ilvl w:val="0"/>
          <w:numId w:val="52"/>
        </w:numPr>
        <w:jc w:val="right"/>
        <w:rPr>
          <w:rFonts w:asciiTheme="majorBidi" w:hAnsiTheme="majorBidi" w:cstheme="majorBidi"/>
          <w:sz w:val="24"/>
          <w:szCs w:val="24"/>
        </w:rPr>
      </w:pPr>
      <w:r>
        <w:rPr>
          <w:rFonts w:asciiTheme="majorBidi" w:hAnsiTheme="majorBidi" w:cstheme="majorBidi"/>
          <w:sz w:val="24"/>
          <w:szCs w:val="24"/>
          <w:rtl/>
        </w:rPr>
        <w:t>وتوزيع نسبي/رجوعي عندما يتضح مصدر الخلل عبر سجلات المنصة أو تقارير الخبرة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بهذا نحمي حق الموكل دون أن نصنع مسؤولية بلا حدود</w:t>
      </w:r>
      <w:r>
        <w:rPr>
          <w:rFonts w:asciiTheme="majorBidi" w:hAnsiTheme="majorBidi" w:cstheme="majorBidi"/>
          <w:sz w:val="24"/>
          <w:szCs w:val="24"/>
        </w:rPr>
        <w:t>.</w:t>
      </w:r>
    </w:p>
    <w:p w14:paraId="6E18029D" w14:textId="77777777" w:rsidR="00D57654" w:rsidRDefault="00000000" w:rsidP="00EF734A">
      <w:pPr>
        <w:jc w:val="right"/>
        <w:rPr>
          <w:rFonts w:asciiTheme="majorBidi" w:hAnsiTheme="majorBidi" w:cstheme="majorBidi"/>
          <w:sz w:val="24"/>
          <w:szCs w:val="24"/>
          <w:rtl/>
        </w:rPr>
      </w:pPr>
      <w:r>
        <w:rPr>
          <w:rFonts w:asciiTheme="majorBidi" w:hAnsiTheme="majorBidi" w:cstheme="majorBidi"/>
          <w:sz w:val="24"/>
          <w:szCs w:val="24"/>
          <w:rtl/>
        </w:rPr>
        <w:t>وفي معادلة حماية الموكل وضبط المسؤولية في آن معاً، نبّه العجماني وسيد إلى أهمية حدود الإعفاء من المسؤولية حين يُفصح المحامي مسبقاً عن توظيفه للذكاء الاصطناعي ويحصل على موافقة مستنيرة من الموكل، إذ إن هذا الإفصاح والموافقة لا يُلغيان المسؤولية عند الإهمال الجسيم، لكنهما يُخففان منها عند الخطأ غير المتوقع أو حالة القوة القاهرة التقنية.</w:t>
      </w:r>
      <w:r w:rsidRPr="00000002">
        <w:rPr>
          <w:rtl/>
        </w:rPr>
        <w:footnoteReference w:id="328"/>
      </w:r>
    </w:p>
    <w:p w14:paraId="2A292CDC" w14:textId="77777777" w:rsidR="00D57654" w:rsidRDefault="00000000" w:rsidP="00EF734A">
      <w:pPr>
        <w:jc w:val="right"/>
        <w:rPr>
          <w:rFonts w:asciiTheme="majorBidi" w:hAnsiTheme="majorBidi" w:cstheme="majorBidi"/>
          <w:sz w:val="24"/>
          <w:szCs w:val="24"/>
          <w:rtl/>
        </w:rPr>
      </w:pPr>
      <w:r>
        <w:rPr>
          <w:rFonts w:asciiTheme="majorBidi" w:hAnsiTheme="majorBidi" w:cstheme="majorBidi"/>
          <w:sz w:val="24"/>
          <w:szCs w:val="24"/>
          <w:rtl/>
        </w:rPr>
        <w:t>وفي إطار المعادلة التوازنية بين حماية الموكل وضبط المسؤولية، أوضح الشراري أن مبدأ التناسب يُشكّل الركيزة الجوهرية؛ إذ يستوجب أن تكون درجة المسؤولية المُلقاة على عاتق المحامي متناسبةً مع درجة اعتماده على النظام الآلي ودرجة تأثير مخرجاته في نتيجة القضية، دون إفراط يُشل المبادرة المهنية أو تفريط يُفرغ حماية الموكل من مضمونها.</w:t>
      </w:r>
      <w:r w:rsidRPr="00000001">
        <w:rPr>
          <w:rtl/>
        </w:rPr>
        <w:footnoteReference w:id="329"/>
      </w:r>
    </w:p>
    <w:p w14:paraId="08AAB616" w14:textId="77777777" w:rsidR="00CF598B" w:rsidRPr="008F13B5" w:rsidRDefault="00CF598B" w:rsidP="00CF598B">
      <w:pPr>
        <w:ind w:left="720"/>
        <w:jc w:val="right"/>
        <w:rPr>
          <w:rFonts w:asciiTheme="majorBidi" w:hAnsiTheme="majorBidi" w:cstheme="majorBidi"/>
          <w:sz w:val="24"/>
          <w:szCs w:val="24"/>
        </w:rPr>
      </w:pPr>
    </w:p>
    <w:p w14:paraId="18182C62" w14:textId="77777777" w:rsidR="00CF598B" w:rsidRPr="008F13B5" w:rsidRDefault="00CF598B" w:rsidP="00CB3527">
      <w:pPr>
        <w:ind w:left="720"/>
        <w:jc w:val="right"/>
        <w:rPr>
          <w:rFonts w:asciiTheme="majorBidi" w:hAnsiTheme="majorBidi" w:cstheme="majorBidi"/>
          <w:b/>
          <w:bCs/>
          <w:sz w:val="24"/>
          <w:szCs w:val="24"/>
        </w:rPr>
      </w:pPr>
      <w:r>
        <w:rPr>
          <w:rFonts w:asciiTheme="majorBidi" w:hAnsiTheme="majorBidi" w:cstheme="majorBidi"/>
          <w:b/>
          <w:bCs/>
          <w:sz w:val="24"/>
          <w:szCs w:val="24"/>
          <w:rtl/>
        </w:rPr>
        <w:t>ثاني عشر: نموذج توزيع مسؤولية عملي داخل السياق السعودي (مصفوفة إسناد) + موقف الباحث</w:t>
      </w:r>
    </w:p>
    <w:p w14:paraId="726B5C87" w14:textId="77777777" w:rsidR="00CF598B" w:rsidRPr="008F13B5" w:rsidRDefault="00CF598B" w:rsidP="00CB3527">
      <w:pPr>
        <w:ind w:left="720"/>
        <w:jc w:val="right"/>
        <w:rPr>
          <w:rFonts w:asciiTheme="majorBidi" w:hAnsiTheme="majorBidi" w:cstheme="majorBidi"/>
          <w:sz w:val="24"/>
          <w:szCs w:val="24"/>
        </w:rPr>
      </w:pPr>
      <w:r>
        <w:rPr>
          <w:rFonts w:asciiTheme="majorBidi" w:hAnsiTheme="majorBidi" w:cstheme="majorBidi"/>
          <w:sz w:val="24"/>
          <w:szCs w:val="24"/>
          <w:rtl/>
        </w:rPr>
        <w:t xml:space="preserve">لتحويل التحليل إلى تصور قابل للتطبيق، أقترح “مصفوفة إسناد” تربط </w:t>
      </w:r>
      <w:r>
        <w:rPr>
          <w:rFonts w:asciiTheme="majorBidi" w:hAnsiTheme="majorBidi" w:cstheme="majorBidi"/>
          <w:b/>
          <w:bCs/>
          <w:sz w:val="24"/>
          <w:szCs w:val="24"/>
          <w:rtl/>
        </w:rPr>
        <w:t>نوع الخلل</w:t>
      </w:r>
      <w:r>
        <w:rPr>
          <w:rFonts w:asciiTheme="majorBidi" w:hAnsiTheme="majorBidi" w:cstheme="majorBidi"/>
          <w:sz w:val="24"/>
          <w:szCs w:val="24"/>
          <w:rtl/>
        </w:rPr>
        <w:t xml:space="preserve"> بالطرف </w:t>
      </w:r>
      <w:r>
        <w:rPr>
          <w:rFonts w:asciiTheme="majorBidi" w:hAnsiTheme="majorBidi" w:cstheme="majorBidi"/>
          <w:b/>
          <w:bCs/>
          <w:sz w:val="24"/>
          <w:szCs w:val="24"/>
          <w:rtl/>
        </w:rPr>
        <w:t>الأقرب للسيطرة</w:t>
      </w:r>
      <w:r>
        <w:rPr>
          <w:rFonts w:asciiTheme="majorBidi" w:hAnsiTheme="majorBidi" w:cstheme="majorBidi"/>
          <w:sz w:val="24"/>
          <w:szCs w:val="24"/>
          <w:rtl/>
        </w:rPr>
        <w:t>، مع بقاء حق الموكل محفوظًا</w:t>
      </w:r>
      <w:r>
        <w:rPr>
          <w:rFonts w:asciiTheme="majorBidi" w:hAnsiTheme="majorBidi" w:cstheme="majorBidi"/>
          <w:sz w:val="24"/>
          <w:szCs w:val="24"/>
        </w:rPr>
        <w:t>:</w:t>
      </w:r>
    </w:p>
    <w:p w14:paraId="1BC99856" w14:textId="77777777" w:rsidR="00CF598B" w:rsidRPr="008F13B5" w:rsidRDefault="00CF598B" w:rsidP="00CB3527">
      <w:pPr>
        <w:numPr>
          <w:ilvl w:val="0"/>
          <w:numId w:val="53"/>
        </w:numPr>
        <w:jc w:val="right"/>
        <w:rPr>
          <w:rFonts w:asciiTheme="majorBidi" w:hAnsiTheme="majorBidi" w:cstheme="majorBidi"/>
          <w:sz w:val="24"/>
          <w:szCs w:val="24"/>
        </w:rPr>
      </w:pPr>
      <w:r>
        <w:rPr>
          <w:rFonts w:asciiTheme="majorBidi" w:hAnsiTheme="majorBidi" w:cstheme="majorBidi"/>
          <w:b/>
          <w:bCs/>
          <w:sz w:val="24"/>
          <w:szCs w:val="24"/>
          <w:rtl/>
        </w:rPr>
        <w:t>عيب تصميم/منطق استدلال</w:t>
      </w:r>
      <w:r>
        <w:rPr>
          <w:rFonts w:asciiTheme="majorBidi" w:hAnsiTheme="majorBidi" w:cstheme="majorBidi"/>
          <w:sz w:val="24"/>
          <w:szCs w:val="24"/>
          <w:rtl/>
        </w:rPr>
        <w:t xml:space="preserve"> </w:t>
      </w:r>
      <w:r>
        <w:rPr>
          <w:rFonts w:asciiTheme="majorBidi" w:hAnsiTheme="majorBidi" w:cstheme="majorBidi"/>
          <w:sz w:val="24"/>
          <w:szCs w:val="24"/>
        </w:rPr>
        <w:t xml:space="preserve">→ </w:t>
      </w:r>
      <w:r>
        <w:rPr>
          <w:rFonts w:asciiTheme="majorBidi" w:hAnsiTheme="majorBidi" w:cstheme="majorBidi"/>
          <w:sz w:val="24"/>
          <w:szCs w:val="24"/>
          <w:rtl/>
        </w:rPr>
        <w:t>الأصل: المطوّر</w:t>
      </w:r>
    </w:p>
    <w:p w14:paraId="1FE5E74C" w14:textId="77777777" w:rsidR="00CF598B" w:rsidRPr="008F13B5" w:rsidRDefault="00CF598B" w:rsidP="00CB3527">
      <w:pPr>
        <w:numPr>
          <w:ilvl w:val="0"/>
          <w:numId w:val="53"/>
        </w:numPr>
        <w:jc w:val="right"/>
        <w:rPr>
          <w:rFonts w:asciiTheme="majorBidi" w:hAnsiTheme="majorBidi" w:cstheme="majorBidi"/>
          <w:sz w:val="24"/>
          <w:szCs w:val="24"/>
        </w:rPr>
      </w:pPr>
      <w:r>
        <w:rPr>
          <w:rFonts w:asciiTheme="majorBidi" w:hAnsiTheme="majorBidi" w:cstheme="majorBidi"/>
          <w:b/>
          <w:bCs/>
          <w:sz w:val="24"/>
          <w:szCs w:val="24"/>
          <w:rtl/>
        </w:rPr>
        <w:t>عيب تدريب/بيانات/تحيز معرفي</w:t>
      </w:r>
      <w:r>
        <w:rPr>
          <w:rFonts w:asciiTheme="majorBidi" w:hAnsiTheme="majorBidi" w:cstheme="majorBidi"/>
          <w:sz w:val="24"/>
          <w:szCs w:val="24"/>
          <w:rtl/>
        </w:rPr>
        <w:t xml:space="preserve"> </w:t>
      </w:r>
      <w:r>
        <w:rPr>
          <w:rFonts w:asciiTheme="majorBidi" w:hAnsiTheme="majorBidi" w:cstheme="majorBidi"/>
          <w:sz w:val="24"/>
          <w:szCs w:val="24"/>
        </w:rPr>
        <w:t xml:space="preserve">→ </w:t>
      </w:r>
      <w:r>
        <w:rPr>
          <w:rFonts w:asciiTheme="majorBidi" w:hAnsiTheme="majorBidi" w:cstheme="majorBidi"/>
          <w:sz w:val="24"/>
          <w:szCs w:val="24"/>
          <w:rtl/>
        </w:rPr>
        <w:t>الأصل: المطوّر (مع مسؤولية مشتركة إذا كان المزود يغير البيانات أو يحقن مصادر)</w:t>
      </w:r>
    </w:p>
    <w:p w14:paraId="51E71019" w14:textId="77777777" w:rsidR="00D57654" w:rsidRDefault="00000000" w:rsidP="00CB3527">
      <w:pPr>
        <w:jc w:val="right"/>
        <w:rPr>
          <w:rFonts w:asciiTheme="majorBidi" w:hAnsiTheme="majorBidi" w:cstheme="majorBidi"/>
          <w:sz w:val="24"/>
          <w:szCs w:val="24"/>
          <w:rtl/>
        </w:rPr>
      </w:pPr>
      <w:r>
        <w:rPr>
          <w:rFonts w:asciiTheme="majorBidi" w:hAnsiTheme="majorBidi" w:cstheme="majorBidi"/>
          <w:sz w:val="24"/>
          <w:szCs w:val="24"/>
          <w:rtl/>
        </w:rPr>
        <w:t>وفي ختام هذا التحليل، أكدت عبد الرحمن أن عيوب التدريب في أنظمة الذكاء الاصطناعي القانونية قد تُفضي إلى تحيزات منهجية لا تظهر في مخرجات فردية بل في أنماط جماعية من القرارات، مما يجعل الرقابة الفردية على كل قضية قاصرة عن اكتشافها، وما يستوجب إخضاع الأنظمة الذكية المستخدمة في القطاع القانوني لتدقيق دوري خارجي يتناول النمط الإجمالي لمخرجاتها لا مجرد حالات منعزلة.</w:t>
      </w:r>
      <w:r w:rsidRPr="00000002">
        <w:rPr>
          <w:rtl/>
        </w:rPr>
        <w:footnoteReference w:id="330"/>
      </w:r>
    </w:p>
    <w:p w14:paraId="28615F7B" w14:textId="77777777" w:rsidR="00D57654" w:rsidRDefault="00000000" w:rsidP="00CB3527">
      <w:pPr>
        <w:jc w:val="right"/>
        <w:rPr>
          <w:rFonts w:asciiTheme="majorBidi" w:hAnsiTheme="majorBidi" w:cstheme="majorBidi"/>
          <w:sz w:val="24"/>
          <w:szCs w:val="24"/>
          <w:rtl/>
        </w:rPr>
      </w:pPr>
      <w:r>
        <w:rPr>
          <w:rFonts w:asciiTheme="majorBidi" w:hAnsiTheme="majorBidi" w:cstheme="majorBidi"/>
          <w:sz w:val="24"/>
          <w:szCs w:val="24"/>
          <w:rtl/>
        </w:rPr>
        <w:t xml:space="preserve">وفي ما يخص عيوب التدريب والبيانات التي تُصيب أنظمة الذكاء الاصطناعي القانونية، أوضحت الجلعود أن هذا النوع من العيوب هو الأخطر أثراً لأنه متضمَّن في صميم النظام لا في أدائه الطارئ، وأن اكتشافه يحتاج إلى </w:t>
      </w:r>
      <w:r>
        <w:rPr>
          <w:rFonts w:asciiTheme="majorBidi" w:hAnsiTheme="majorBidi" w:cstheme="majorBidi"/>
          <w:sz w:val="24"/>
          <w:szCs w:val="24"/>
          <w:rtl/>
        </w:rPr>
        <w:lastRenderedPageBreak/>
        <w:t>تقييم مستقل متخصص قد لا يكون في متناول المحامي أو موكله، ومن ثم ينبغي أن يتحمل المطوّر المسؤولية الأصلية عن أي تحيز ناجم عن قصور في بيانات التدريب.</w:t>
      </w:r>
      <w:r w:rsidRPr="00000001">
        <w:rPr>
          <w:rtl/>
        </w:rPr>
        <w:footnoteReference w:id="331"/>
      </w:r>
    </w:p>
    <w:p w14:paraId="3A98C7B4" w14:textId="77777777" w:rsidR="00CF598B" w:rsidRPr="008F13B5" w:rsidRDefault="00CF598B">
      <w:pPr>
        <w:numPr>
          <w:ilvl w:val="0"/>
          <w:numId w:val="53"/>
        </w:numPr>
        <w:jc w:val="right"/>
        <w:rPr>
          <w:rFonts w:asciiTheme="majorBidi" w:hAnsiTheme="majorBidi" w:cstheme="majorBidi"/>
          <w:sz w:val="24"/>
          <w:szCs w:val="24"/>
        </w:rPr>
      </w:pPr>
      <w:r>
        <w:rPr>
          <w:rFonts w:asciiTheme="majorBidi" w:hAnsiTheme="majorBidi" w:cstheme="majorBidi"/>
          <w:b/>
          <w:bCs/>
          <w:sz w:val="24"/>
          <w:szCs w:val="24"/>
          <w:rtl/>
        </w:rPr>
        <w:t>خلل تشغيل/تخزين/اختراق/تسريب</w:t>
      </w:r>
      <w:r>
        <w:rPr>
          <w:rFonts w:asciiTheme="majorBidi" w:hAnsiTheme="majorBidi" w:cstheme="majorBidi"/>
          <w:sz w:val="24"/>
          <w:szCs w:val="24"/>
          <w:rtl/>
        </w:rPr>
        <w:t xml:space="preserve"> </w:t>
      </w:r>
      <w:r>
        <w:rPr>
          <w:rFonts w:asciiTheme="majorBidi" w:hAnsiTheme="majorBidi" w:cstheme="majorBidi"/>
          <w:sz w:val="24"/>
          <w:szCs w:val="24"/>
        </w:rPr>
        <w:t xml:space="preserve">→ </w:t>
      </w:r>
      <w:r>
        <w:rPr>
          <w:rFonts w:asciiTheme="majorBidi" w:hAnsiTheme="majorBidi" w:cstheme="majorBidi"/>
          <w:sz w:val="24"/>
          <w:szCs w:val="24"/>
          <w:rtl/>
        </w:rPr>
        <w:t>الأصل: مقدم التقنية (مع التزام متوازٍ على المكتب بالعناية في الاختيار)</w:t>
      </w:r>
    </w:p>
    <w:p w14:paraId="12320BF3" w14:textId="77777777" w:rsidR="00CF598B" w:rsidRPr="008F13B5" w:rsidRDefault="00CF598B">
      <w:pPr>
        <w:numPr>
          <w:ilvl w:val="0"/>
          <w:numId w:val="53"/>
        </w:numPr>
        <w:jc w:val="right"/>
        <w:rPr>
          <w:rFonts w:asciiTheme="majorBidi" w:hAnsiTheme="majorBidi" w:cstheme="majorBidi"/>
          <w:sz w:val="24"/>
          <w:szCs w:val="24"/>
        </w:rPr>
      </w:pPr>
      <w:r>
        <w:rPr>
          <w:rFonts w:asciiTheme="majorBidi" w:hAnsiTheme="majorBidi" w:cstheme="majorBidi"/>
          <w:b/>
          <w:bCs/>
          <w:sz w:val="24"/>
          <w:szCs w:val="24"/>
          <w:rtl/>
        </w:rPr>
        <w:t>إدخال بيانات خاطئة/اعتماد دون تحقق/تجاوز تعليمات</w:t>
      </w:r>
      <w:r>
        <w:rPr>
          <w:rFonts w:asciiTheme="majorBidi" w:hAnsiTheme="majorBidi" w:cstheme="majorBidi"/>
          <w:sz w:val="24"/>
          <w:szCs w:val="24"/>
          <w:rtl/>
        </w:rPr>
        <w:t xml:space="preserve"> </w:t>
      </w:r>
      <w:r>
        <w:rPr>
          <w:rFonts w:asciiTheme="majorBidi" w:hAnsiTheme="majorBidi" w:cstheme="majorBidi"/>
          <w:sz w:val="24"/>
          <w:szCs w:val="24"/>
        </w:rPr>
        <w:t xml:space="preserve">→ </w:t>
      </w:r>
      <w:r>
        <w:rPr>
          <w:rFonts w:asciiTheme="majorBidi" w:hAnsiTheme="majorBidi" w:cstheme="majorBidi"/>
          <w:sz w:val="24"/>
          <w:szCs w:val="24"/>
          <w:rtl/>
        </w:rPr>
        <w:t>الأصل: المستخدم المهني</w:t>
      </w:r>
    </w:p>
    <w:p w14:paraId="25012EAA" w14:textId="77777777" w:rsidR="00CF598B" w:rsidRPr="008F13B5" w:rsidRDefault="00CF598B">
      <w:pPr>
        <w:numPr>
          <w:ilvl w:val="0"/>
          <w:numId w:val="53"/>
        </w:numPr>
        <w:jc w:val="right"/>
        <w:rPr>
          <w:rFonts w:asciiTheme="majorBidi" w:hAnsiTheme="majorBidi" w:cstheme="majorBidi"/>
          <w:sz w:val="24"/>
          <w:szCs w:val="24"/>
        </w:rPr>
      </w:pPr>
      <w:r>
        <w:rPr>
          <w:rFonts w:asciiTheme="majorBidi" w:hAnsiTheme="majorBidi" w:cstheme="majorBidi"/>
          <w:b/>
          <w:bCs/>
          <w:sz w:val="24"/>
          <w:szCs w:val="24"/>
          <w:rtl/>
        </w:rPr>
        <w:t>حالات مركبة</w:t>
      </w:r>
      <w:r>
        <w:rPr>
          <w:rFonts w:asciiTheme="majorBidi" w:hAnsiTheme="majorBidi" w:cstheme="majorBidi"/>
          <w:sz w:val="24"/>
          <w:szCs w:val="24"/>
          <w:rtl/>
        </w:rPr>
        <w:t xml:space="preserve"> (عيب + ضعف إشراف + قصور أمان) → مسؤولية مشتركة أمام المتضرر + رجوع داخلي منضبط</w:t>
      </w:r>
    </w:p>
    <w:p w14:paraId="3967EAE1" w14:textId="77777777" w:rsidR="00CF598B" w:rsidRPr="008F13B5" w:rsidRDefault="00CF598B" w:rsidP="00CF598B">
      <w:pPr>
        <w:ind w:left="720"/>
        <w:jc w:val="right"/>
        <w:rPr>
          <w:rFonts w:asciiTheme="majorBidi" w:hAnsiTheme="majorBidi" w:cstheme="majorBidi"/>
          <w:sz w:val="24"/>
          <w:szCs w:val="24"/>
        </w:rPr>
      </w:pPr>
      <w:r>
        <w:rPr>
          <w:rFonts w:asciiTheme="majorBidi" w:hAnsiTheme="majorBidi" w:cstheme="majorBidi"/>
          <w:sz w:val="24"/>
          <w:szCs w:val="24"/>
          <w:rtl/>
        </w:rPr>
        <w:t>وهذا التصور يتسق مع</w:t>
      </w:r>
      <w:r>
        <w:rPr>
          <w:rFonts w:asciiTheme="majorBidi" w:hAnsiTheme="majorBidi" w:cstheme="majorBidi"/>
          <w:sz w:val="24"/>
          <w:szCs w:val="24"/>
        </w:rPr>
        <w:t>:</w:t>
      </w:r>
    </w:p>
    <w:p w14:paraId="62AA7947" w14:textId="77777777" w:rsidR="00CF598B" w:rsidRPr="008F13B5" w:rsidRDefault="00CF598B">
      <w:pPr>
        <w:numPr>
          <w:ilvl w:val="0"/>
          <w:numId w:val="54"/>
        </w:numPr>
        <w:jc w:val="right"/>
        <w:rPr>
          <w:rFonts w:asciiTheme="majorBidi" w:hAnsiTheme="majorBidi" w:cstheme="majorBidi"/>
          <w:sz w:val="24"/>
          <w:szCs w:val="24"/>
        </w:rPr>
      </w:pPr>
      <w:r>
        <w:rPr>
          <w:rFonts w:asciiTheme="majorBidi" w:hAnsiTheme="majorBidi" w:cstheme="majorBidi"/>
          <w:sz w:val="24"/>
          <w:szCs w:val="24"/>
          <w:rtl/>
        </w:rPr>
        <w:t>القواعد العامة للمسؤولية المدنية (هيئة الخبراء بمجلس الوزراء، 1445هـ)</w:t>
      </w:r>
    </w:p>
    <w:p w14:paraId="40FB73D5" w14:textId="77777777" w:rsidR="00CF598B" w:rsidRPr="008F13B5" w:rsidRDefault="00CF598B">
      <w:pPr>
        <w:numPr>
          <w:ilvl w:val="0"/>
          <w:numId w:val="54"/>
        </w:numPr>
        <w:jc w:val="right"/>
        <w:rPr>
          <w:rFonts w:asciiTheme="majorBidi" w:hAnsiTheme="majorBidi" w:cstheme="majorBidi"/>
          <w:sz w:val="24"/>
          <w:szCs w:val="24"/>
        </w:rPr>
      </w:pPr>
      <w:r>
        <w:rPr>
          <w:rFonts w:asciiTheme="majorBidi" w:hAnsiTheme="majorBidi" w:cstheme="majorBidi"/>
          <w:sz w:val="24"/>
          <w:szCs w:val="24"/>
          <w:rtl/>
        </w:rPr>
        <w:t>التزامات حماية البيانات (هيئة الخبراء بمجلس الوزراء، 1443هـ)</w:t>
      </w:r>
    </w:p>
    <w:p w14:paraId="09978075" w14:textId="77777777" w:rsidR="00CF598B" w:rsidRPr="008F13B5" w:rsidRDefault="00CF598B">
      <w:pPr>
        <w:numPr>
          <w:ilvl w:val="0"/>
          <w:numId w:val="54"/>
        </w:numPr>
        <w:jc w:val="right"/>
        <w:rPr>
          <w:rFonts w:asciiTheme="majorBidi" w:hAnsiTheme="majorBidi" w:cstheme="majorBidi"/>
          <w:sz w:val="24"/>
          <w:szCs w:val="24"/>
        </w:rPr>
      </w:pPr>
      <w:r>
        <w:rPr>
          <w:rFonts w:asciiTheme="majorBidi" w:hAnsiTheme="majorBidi" w:cstheme="majorBidi"/>
          <w:sz w:val="24"/>
          <w:szCs w:val="24"/>
          <w:rtl/>
        </w:rPr>
        <w:t>ومبدأ المساءلة والشفافية في وثائق الحوكمة الوطنية (سدايا، 2023)</w:t>
      </w:r>
    </w:p>
    <w:p w14:paraId="1427C653" w14:textId="77777777" w:rsidR="00CF598B" w:rsidRPr="008F13B5" w:rsidRDefault="00CF598B" w:rsidP="00CF598B">
      <w:pPr>
        <w:ind w:left="720"/>
        <w:jc w:val="right"/>
        <w:rPr>
          <w:rFonts w:asciiTheme="majorBidi" w:hAnsiTheme="majorBidi" w:cstheme="majorBidi"/>
          <w:sz w:val="24"/>
          <w:szCs w:val="24"/>
        </w:rPr>
      </w:pPr>
      <w:r>
        <w:rPr>
          <w:rFonts w:asciiTheme="majorBidi" w:hAnsiTheme="majorBidi" w:cstheme="majorBidi"/>
          <w:b/>
          <w:bCs/>
          <w:sz w:val="24"/>
          <w:szCs w:val="24"/>
          <w:rtl/>
        </w:rPr>
        <w:t>ويرى الباحث (خلاصة المطلب الثاني)</w:t>
      </w:r>
      <w:r>
        <w:rPr>
          <w:rFonts w:asciiTheme="majorBidi" w:hAnsiTheme="majorBidi" w:cstheme="majorBidi"/>
          <w:b/>
          <w:bCs/>
          <w:sz w:val="24"/>
          <w:szCs w:val="24"/>
        </w:rPr>
        <w:t>:</w:t>
      </w:r>
      <w:r>
        <w:rPr>
          <w:rFonts w:asciiTheme="majorBidi" w:hAnsiTheme="majorBidi" w:cstheme="majorBidi"/>
          <w:sz w:val="24"/>
          <w:szCs w:val="24"/>
        </w:rPr>
        <w:br/>
      </w:r>
      <w:r>
        <w:rPr>
          <w:rFonts w:asciiTheme="majorBidi" w:hAnsiTheme="majorBidi" w:cstheme="majorBidi"/>
          <w:sz w:val="24"/>
          <w:szCs w:val="24"/>
          <w:rtl/>
        </w:rPr>
        <w:t xml:space="preserve">لا أرى أن حل المسؤولية في الذكاء الاصطناعي هو “نقل العبء” من المستخدم إلى المطور أو العكس، بل </w:t>
      </w:r>
      <w:r>
        <w:rPr>
          <w:rFonts w:asciiTheme="majorBidi" w:hAnsiTheme="majorBidi" w:cstheme="majorBidi"/>
          <w:b/>
          <w:bCs/>
          <w:sz w:val="24"/>
          <w:szCs w:val="24"/>
          <w:rtl/>
        </w:rPr>
        <w:t>تفكيك العبء</w:t>
      </w:r>
      <w:r>
        <w:rPr>
          <w:rFonts w:asciiTheme="majorBidi" w:hAnsiTheme="majorBidi" w:cstheme="majorBidi"/>
          <w:sz w:val="24"/>
          <w:szCs w:val="24"/>
          <w:rtl/>
        </w:rPr>
        <w:t xml:space="preserve"> بحسب موضع السيطرة</w:t>
      </w:r>
      <w:r>
        <w:rPr>
          <w:rFonts w:asciiTheme="majorBidi" w:hAnsiTheme="majorBidi" w:cstheme="majorBidi"/>
          <w:sz w:val="24"/>
          <w:szCs w:val="24"/>
        </w:rPr>
        <w:t>:</w:t>
      </w:r>
    </w:p>
    <w:p w14:paraId="54F00C02" w14:textId="77777777" w:rsidR="00CF598B" w:rsidRPr="008F13B5" w:rsidRDefault="00CF598B">
      <w:pPr>
        <w:numPr>
          <w:ilvl w:val="0"/>
          <w:numId w:val="55"/>
        </w:numPr>
        <w:jc w:val="right"/>
        <w:rPr>
          <w:rFonts w:asciiTheme="majorBidi" w:hAnsiTheme="majorBidi" w:cstheme="majorBidi"/>
          <w:sz w:val="24"/>
          <w:szCs w:val="24"/>
        </w:rPr>
      </w:pPr>
      <w:r>
        <w:rPr>
          <w:rFonts w:asciiTheme="majorBidi" w:hAnsiTheme="majorBidi" w:cstheme="majorBidi"/>
          <w:sz w:val="24"/>
          <w:szCs w:val="24"/>
          <w:rtl/>
        </w:rPr>
        <w:t>المطوّر مسؤول عن صدق البنية وحدودها،</w:t>
      </w:r>
    </w:p>
    <w:p w14:paraId="180988DD" w14:textId="77777777" w:rsidR="00CF598B" w:rsidRPr="008F13B5" w:rsidRDefault="00CF598B">
      <w:pPr>
        <w:numPr>
          <w:ilvl w:val="0"/>
          <w:numId w:val="55"/>
        </w:numPr>
        <w:jc w:val="right"/>
        <w:rPr>
          <w:rFonts w:asciiTheme="majorBidi" w:hAnsiTheme="majorBidi" w:cstheme="majorBidi"/>
          <w:sz w:val="24"/>
          <w:szCs w:val="24"/>
        </w:rPr>
      </w:pPr>
      <w:r>
        <w:rPr>
          <w:rFonts w:asciiTheme="majorBidi" w:hAnsiTheme="majorBidi" w:cstheme="majorBidi"/>
          <w:sz w:val="24"/>
          <w:szCs w:val="24"/>
          <w:rtl/>
        </w:rPr>
        <w:t>مقدم التقنية مسؤول عن أمان البيئة ومسار البيانات،</w:t>
      </w:r>
    </w:p>
    <w:p w14:paraId="40D43B7C" w14:textId="77777777" w:rsidR="00CF598B" w:rsidRPr="008F13B5" w:rsidRDefault="00CF598B">
      <w:pPr>
        <w:numPr>
          <w:ilvl w:val="0"/>
          <w:numId w:val="55"/>
        </w:numPr>
        <w:jc w:val="right"/>
        <w:rPr>
          <w:rFonts w:asciiTheme="majorBidi" w:hAnsiTheme="majorBidi" w:cstheme="majorBidi"/>
          <w:sz w:val="24"/>
          <w:szCs w:val="24"/>
        </w:rPr>
      </w:pPr>
      <w:r>
        <w:rPr>
          <w:rFonts w:asciiTheme="majorBidi" w:hAnsiTheme="majorBidi" w:cstheme="majorBidi"/>
          <w:sz w:val="24"/>
          <w:szCs w:val="24"/>
          <w:rtl/>
        </w:rPr>
        <w:t>المستخدم المهني مسؤول عن قرار الاعتماد والتحقق المهني</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وبهذا لا يصبح “الصندوق الأسود” مبررًا للإفلات، ولا تصبح المهنة ضحية خطأ تقني لا تملك السيطرة عليه منفردة</w:t>
      </w:r>
      <w:r>
        <w:rPr>
          <w:rFonts w:asciiTheme="majorBidi" w:hAnsiTheme="majorBidi" w:cstheme="majorBidi"/>
          <w:sz w:val="24"/>
          <w:szCs w:val="24"/>
        </w:rPr>
        <w:t>.</w:t>
      </w:r>
    </w:p>
    <w:p w14:paraId="28FADC8A" w14:textId="77777777" w:rsidR="00CF598B" w:rsidRDefault="00CF598B" w:rsidP="00CF598B">
      <w:pPr>
        <w:ind w:left="720"/>
        <w:jc w:val="right"/>
        <w:rPr>
          <w:rFonts w:asciiTheme="majorBidi" w:hAnsiTheme="majorBidi" w:cstheme="majorBidi"/>
          <w:sz w:val="24"/>
          <w:szCs w:val="24"/>
          <w:rtl/>
        </w:rPr>
      </w:pPr>
    </w:p>
    <w:p w14:paraId="3AEB6177" w14:textId="77777777" w:rsidR="00CF598B" w:rsidRPr="00AA1B4E" w:rsidRDefault="00CF598B" w:rsidP="00CF598B">
      <w:pPr>
        <w:ind w:left="720"/>
        <w:jc w:val="right"/>
        <w:rPr>
          <w:rFonts w:asciiTheme="majorBidi" w:hAnsiTheme="majorBidi" w:cstheme="majorBidi"/>
          <w:b/>
          <w:bCs/>
          <w:sz w:val="24"/>
          <w:szCs w:val="24"/>
        </w:rPr>
      </w:pPr>
      <w:r>
        <w:rPr>
          <w:rFonts w:asciiTheme="majorBidi" w:hAnsiTheme="majorBidi" w:cstheme="majorBidi" w:hint="cs"/>
          <w:b/>
          <w:bCs/>
          <w:sz w:val="24"/>
          <w:szCs w:val="24"/>
          <w:rtl/>
        </w:rPr>
        <w:t xml:space="preserve">من التحليل السابق نتبين التالي من </w:t>
      </w:r>
      <w:r>
        <w:rPr>
          <w:rFonts w:asciiTheme="majorBidi" w:hAnsiTheme="majorBidi" w:cstheme="majorBidi"/>
          <w:b/>
          <w:bCs/>
          <w:sz w:val="24"/>
          <w:szCs w:val="24"/>
          <w:rtl/>
        </w:rPr>
        <w:t>مسؤولية المطوّر، والمستخدم، ومقدّم التقنية في منظومة الذكاء الاصطناعي القانون</w:t>
      </w:r>
      <w:r>
        <w:rPr>
          <w:rFonts w:asciiTheme="majorBidi" w:hAnsiTheme="majorBidi" w:cstheme="majorBidi" w:hint="cs"/>
          <w:b/>
          <w:bCs/>
          <w:sz w:val="24"/>
          <w:szCs w:val="24"/>
          <w:rtl/>
        </w:rPr>
        <w:t>ية:</w:t>
      </w:r>
    </w:p>
    <w:p w14:paraId="7306E912" w14:textId="77777777" w:rsidR="00CF598B" w:rsidRPr="00AA1B4E" w:rsidRDefault="00CF598B" w:rsidP="00CF598B">
      <w:pPr>
        <w:ind w:left="720"/>
        <w:jc w:val="right"/>
        <w:rPr>
          <w:rFonts w:asciiTheme="majorBidi" w:hAnsiTheme="majorBidi" w:cstheme="majorBidi"/>
          <w:sz w:val="24"/>
          <w:szCs w:val="24"/>
        </w:rPr>
      </w:pPr>
      <w:r>
        <w:rPr>
          <w:rFonts w:asciiTheme="majorBidi" w:hAnsiTheme="majorBidi" w:cstheme="majorBidi"/>
          <w:sz w:val="24"/>
          <w:szCs w:val="24"/>
          <w:rtl/>
        </w:rPr>
        <w:t>يتضح من التحليل السابق أن مسؤولية الذكاء الاصطناعي في المجال القانوني لا يمكن اختزالها في ثنائية تقليدية بين “فاعل” و“متضرر”، بل هي مسؤولية تتشكل داخل بنية تقنية ومهنية مركبة تتوزع فيها أدوار السيطرة والرقابة والتصميم والتشغيل والاعتماد. فالمطوّر يضع الأساس البنيوي للمنظومة، ومقدم التقنية يسيطر على بيئة التشغيل وحراسة البيانات، والمستخدم المهني يتخذ قرار الاعتماد النهائي الذي يمنح المخرج صفة قانونية ملزمة</w:t>
      </w:r>
      <w:r>
        <w:rPr>
          <w:rFonts w:asciiTheme="majorBidi" w:hAnsiTheme="majorBidi" w:cstheme="majorBidi"/>
          <w:sz w:val="24"/>
          <w:szCs w:val="24"/>
        </w:rPr>
        <w:t>.</w:t>
      </w:r>
    </w:p>
    <w:p w14:paraId="6B284562" w14:textId="77777777" w:rsidR="00CF598B" w:rsidRPr="00AA1B4E" w:rsidRDefault="00CF598B" w:rsidP="00CF598B">
      <w:pPr>
        <w:ind w:left="720"/>
        <w:jc w:val="right"/>
        <w:rPr>
          <w:rFonts w:asciiTheme="majorBidi" w:hAnsiTheme="majorBidi" w:cstheme="majorBidi"/>
          <w:sz w:val="24"/>
          <w:szCs w:val="24"/>
        </w:rPr>
      </w:pPr>
      <w:r>
        <w:rPr>
          <w:rFonts w:asciiTheme="majorBidi" w:hAnsiTheme="majorBidi" w:cstheme="majorBidi"/>
          <w:sz w:val="24"/>
          <w:szCs w:val="24"/>
          <w:rtl/>
        </w:rPr>
        <w:t xml:space="preserve">وقد أظهرت الدراسة أن الاعتماد على معيار الفعل المادي وحده لا يكفي لضبط الإسناد، كما أن تحميل المستخدم المهني تبعة كل خلل تقني يُفضي إلى مسؤولية شبه مطلقة لا تتفق مع العدالة النظامية ولا مع تشجيع الابتكار. ومن ثم، فإن معيار </w:t>
      </w:r>
      <w:r>
        <w:rPr>
          <w:rFonts w:asciiTheme="majorBidi" w:hAnsiTheme="majorBidi" w:cstheme="majorBidi"/>
          <w:b/>
          <w:bCs/>
          <w:sz w:val="24"/>
          <w:szCs w:val="24"/>
          <w:rtl/>
        </w:rPr>
        <w:t>السيطرة الفعلية على مصدر الخطر</w:t>
      </w:r>
      <w:r>
        <w:rPr>
          <w:rFonts w:asciiTheme="majorBidi" w:hAnsiTheme="majorBidi" w:cstheme="majorBidi"/>
          <w:sz w:val="24"/>
          <w:szCs w:val="24"/>
          <w:rtl/>
        </w:rPr>
        <w:t xml:space="preserve">، مقرونًا بمعيار </w:t>
      </w:r>
      <w:r>
        <w:rPr>
          <w:rFonts w:asciiTheme="majorBidi" w:hAnsiTheme="majorBidi" w:cstheme="majorBidi"/>
          <w:b/>
          <w:bCs/>
          <w:sz w:val="24"/>
          <w:szCs w:val="24"/>
          <w:rtl/>
        </w:rPr>
        <w:t>قابلية اكتشاف الخلل بالمراجعة المهنية المعتادة</w:t>
      </w:r>
      <w:r>
        <w:rPr>
          <w:rFonts w:asciiTheme="majorBidi" w:hAnsiTheme="majorBidi" w:cstheme="majorBidi"/>
          <w:sz w:val="24"/>
          <w:szCs w:val="24"/>
          <w:rtl/>
        </w:rPr>
        <w:t>، يمثلان الأساس الأكثر اتزانًا لتوزيع المسؤولية بين الأطراف</w:t>
      </w:r>
      <w:r>
        <w:rPr>
          <w:rFonts w:asciiTheme="majorBidi" w:hAnsiTheme="majorBidi" w:cstheme="majorBidi"/>
          <w:sz w:val="24"/>
          <w:szCs w:val="24"/>
        </w:rPr>
        <w:t>.</w:t>
      </w:r>
    </w:p>
    <w:p w14:paraId="02FAA589" w14:textId="77777777" w:rsidR="00CF598B" w:rsidRPr="00AA1B4E" w:rsidRDefault="00CF598B" w:rsidP="00CF598B">
      <w:pPr>
        <w:ind w:left="720"/>
        <w:jc w:val="right"/>
        <w:rPr>
          <w:rFonts w:asciiTheme="majorBidi" w:hAnsiTheme="majorBidi" w:cstheme="majorBidi"/>
          <w:sz w:val="24"/>
          <w:szCs w:val="24"/>
        </w:rPr>
      </w:pPr>
      <w:r>
        <w:rPr>
          <w:rFonts w:asciiTheme="majorBidi" w:hAnsiTheme="majorBidi" w:cstheme="majorBidi"/>
          <w:sz w:val="24"/>
          <w:szCs w:val="24"/>
          <w:rtl/>
        </w:rPr>
        <w:t xml:space="preserve">كما أن تحليل عيوب التصميم والتدريب، وواجب التحذير، ومسؤولية البنية التشغيلية، ومسألة التضامن في الحالات المختلطة، يكشف أن المسؤولية في هذا السياق ليست “إعفاءً أو إدانة”، بل عملية ضبط </w:t>
      </w:r>
      <w:r>
        <w:rPr>
          <w:rFonts w:asciiTheme="majorBidi" w:hAnsiTheme="majorBidi" w:cstheme="majorBidi"/>
          <w:sz w:val="24"/>
          <w:szCs w:val="24"/>
          <w:rtl/>
        </w:rPr>
        <w:lastRenderedPageBreak/>
        <w:t>دقيق للعلاقة بين الخطر ومن يملك أدوات التحكم فيه. فحيث يثبت العيب البنيوي تنعقد المسؤولية في جانب المطوّر، وحيث يثبت خلل الأمان أو التخزين تتجه إلى مقدم التقنية، وحيث يثبت الاعتماد غير المتحقق أو الإدخال الخاطئ تتحملها جهة الاستخدام المهني</w:t>
      </w:r>
      <w:r>
        <w:rPr>
          <w:rFonts w:asciiTheme="majorBidi" w:hAnsiTheme="majorBidi" w:cstheme="majorBidi"/>
          <w:sz w:val="24"/>
          <w:szCs w:val="24"/>
        </w:rPr>
        <w:t>.</w:t>
      </w:r>
    </w:p>
    <w:p w14:paraId="64AD1FA8" w14:textId="77777777" w:rsidR="00CF598B" w:rsidRPr="00AA1B4E" w:rsidRDefault="00CF598B" w:rsidP="00CF598B">
      <w:pPr>
        <w:ind w:left="720"/>
        <w:jc w:val="right"/>
        <w:rPr>
          <w:rFonts w:asciiTheme="majorBidi" w:hAnsiTheme="majorBidi" w:cstheme="majorBidi"/>
          <w:sz w:val="24"/>
          <w:szCs w:val="24"/>
        </w:rPr>
      </w:pPr>
      <w:r>
        <w:rPr>
          <w:rFonts w:asciiTheme="majorBidi" w:hAnsiTheme="majorBidi" w:cstheme="majorBidi"/>
          <w:sz w:val="24"/>
          <w:szCs w:val="24"/>
          <w:rtl/>
        </w:rPr>
        <w:t xml:space="preserve">ومن وجهة نظر الباحث، فإن التحدي الحقيقي لا يكمن في توسيع دائرة المسؤولية، بل في </w:t>
      </w:r>
      <w:r>
        <w:rPr>
          <w:rFonts w:asciiTheme="majorBidi" w:hAnsiTheme="majorBidi" w:cstheme="majorBidi"/>
          <w:b/>
          <w:bCs/>
          <w:sz w:val="24"/>
          <w:szCs w:val="24"/>
          <w:rtl/>
        </w:rPr>
        <w:t>إعادة هندستها</w:t>
      </w:r>
      <w:r>
        <w:rPr>
          <w:rFonts w:asciiTheme="majorBidi" w:hAnsiTheme="majorBidi" w:cstheme="majorBidi"/>
          <w:sz w:val="24"/>
          <w:szCs w:val="24"/>
          <w:rtl/>
        </w:rPr>
        <w:t xml:space="preserve"> بما يحفظ ثلاثة اعتبارات متوازية</w:t>
      </w:r>
      <w:r>
        <w:rPr>
          <w:rFonts w:asciiTheme="majorBidi" w:hAnsiTheme="majorBidi" w:cstheme="majorBidi"/>
          <w:sz w:val="24"/>
          <w:szCs w:val="24"/>
        </w:rPr>
        <w:t>:</w:t>
      </w:r>
    </w:p>
    <w:p w14:paraId="60A45449" w14:textId="77777777" w:rsidR="00CF598B" w:rsidRPr="00AA1B4E" w:rsidRDefault="00CF598B">
      <w:pPr>
        <w:numPr>
          <w:ilvl w:val="0"/>
          <w:numId w:val="56"/>
        </w:numPr>
        <w:jc w:val="right"/>
        <w:rPr>
          <w:rFonts w:asciiTheme="majorBidi" w:hAnsiTheme="majorBidi" w:cstheme="majorBidi"/>
          <w:sz w:val="24"/>
          <w:szCs w:val="24"/>
        </w:rPr>
      </w:pPr>
      <w:r>
        <w:rPr>
          <w:rFonts w:asciiTheme="majorBidi" w:hAnsiTheme="majorBidi" w:cstheme="majorBidi"/>
          <w:sz w:val="24"/>
          <w:szCs w:val="24"/>
          <w:rtl/>
        </w:rPr>
        <w:t>حماية حقوق الموكلين ومنع إفلات الضرر من التعويض،</w:t>
      </w:r>
    </w:p>
    <w:p w14:paraId="1B4266B6" w14:textId="77777777" w:rsidR="00CF598B" w:rsidRPr="00AA1B4E" w:rsidRDefault="00CF598B">
      <w:pPr>
        <w:numPr>
          <w:ilvl w:val="0"/>
          <w:numId w:val="56"/>
        </w:numPr>
        <w:jc w:val="right"/>
        <w:rPr>
          <w:rFonts w:asciiTheme="majorBidi" w:hAnsiTheme="majorBidi" w:cstheme="majorBidi"/>
          <w:sz w:val="24"/>
          <w:szCs w:val="24"/>
        </w:rPr>
      </w:pPr>
      <w:r>
        <w:rPr>
          <w:rFonts w:asciiTheme="majorBidi" w:hAnsiTheme="majorBidi" w:cstheme="majorBidi"/>
          <w:sz w:val="24"/>
          <w:szCs w:val="24"/>
          <w:rtl/>
        </w:rPr>
        <w:t>ضمان وضوح الإسناد وعدم تشتته بسبب “الغموض الخوارزمي</w:t>
      </w:r>
      <w:r>
        <w:rPr>
          <w:rFonts w:asciiTheme="majorBidi" w:hAnsiTheme="majorBidi" w:cstheme="majorBidi"/>
          <w:sz w:val="24"/>
          <w:szCs w:val="24"/>
        </w:rPr>
        <w:t>”</w:t>
      </w:r>
      <w:r>
        <w:rPr>
          <w:rFonts w:asciiTheme="majorBidi" w:hAnsiTheme="majorBidi" w:cstheme="majorBidi"/>
          <w:sz w:val="24"/>
          <w:szCs w:val="24"/>
          <w:rtl/>
        </w:rPr>
        <w:t>،</w:t>
      </w:r>
    </w:p>
    <w:p w14:paraId="5D6B2710" w14:textId="77777777" w:rsidR="00CF598B" w:rsidRPr="00AA1B4E" w:rsidRDefault="00CF598B">
      <w:pPr>
        <w:numPr>
          <w:ilvl w:val="0"/>
          <w:numId w:val="56"/>
        </w:numPr>
        <w:jc w:val="right"/>
        <w:rPr>
          <w:rFonts w:asciiTheme="majorBidi" w:hAnsiTheme="majorBidi" w:cstheme="majorBidi"/>
          <w:sz w:val="24"/>
          <w:szCs w:val="24"/>
        </w:rPr>
      </w:pPr>
      <w:r>
        <w:rPr>
          <w:rFonts w:asciiTheme="majorBidi" w:hAnsiTheme="majorBidi" w:cstheme="majorBidi"/>
          <w:sz w:val="24"/>
          <w:szCs w:val="24"/>
          <w:rtl/>
        </w:rPr>
        <w:t>عدم إرهاق الممارسة المهنية بعبء تقني يتجاوز قدرتها الواقعية على السيطرة</w:t>
      </w:r>
      <w:r>
        <w:rPr>
          <w:rFonts w:asciiTheme="majorBidi" w:hAnsiTheme="majorBidi" w:cstheme="majorBidi"/>
          <w:sz w:val="24"/>
          <w:szCs w:val="24"/>
        </w:rPr>
        <w:t>.</w:t>
      </w:r>
    </w:p>
    <w:p w14:paraId="72C66D92" w14:textId="77777777" w:rsidR="00CF598B" w:rsidRPr="00AA1B4E" w:rsidRDefault="00CF598B" w:rsidP="00CF598B">
      <w:pPr>
        <w:ind w:left="720"/>
        <w:jc w:val="right"/>
        <w:rPr>
          <w:rFonts w:asciiTheme="majorBidi" w:hAnsiTheme="majorBidi" w:cstheme="majorBidi"/>
          <w:sz w:val="24"/>
          <w:szCs w:val="24"/>
        </w:rPr>
      </w:pPr>
      <w:r>
        <w:rPr>
          <w:rFonts w:asciiTheme="majorBidi" w:hAnsiTheme="majorBidi" w:cstheme="majorBidi"/>
          <w:sz w:val="24"/>
          <w:szCs w:val="24"/>
          <w:rtl/>
        </w:rPr>
        <w:t xml:space="preserve">وعليه، فإن مسؤولية الذكاء الاصطناعي في مكاتب المحاماة يجب أن تُفهم بوصفها مسؤولية </w:t>
      </w:r>
      <w:r>
        <w:rPr>
          <w:rFonts w:asciiTheme="majorBidi" w:hAnsiTheme="majorBidi" w:cstheme="majorBidi"/>
          <w:b/>
          <w:bCs/>
          <w:sz w:val="24"/>
          <w:szCs w:val="24"/>
          <w:rtl/>
        </w:rPr>
        <w:t>متعددة المستويات</w:t>
      </w:r>
      <w:r>
        <w:rPr>
          <w:rFonts w:asciiTheme="majorBidi" w:hAnsiTheme="majorBidi" w:cstheme="majorBidi"/>
          <w:sz w:val="24"/>
          <w:szCs w:val="24"/>
        </w:rPr>
        <w:t xml:space="preserve">: </w:t>
      </w:r>
      <w:r>
        <w:rPr>
          <w:rFonts w:asciiTheme="majorBidi" w:hAnsiTheme="majorBidi" w:cstheme="majorBidi"/>
          <w:sz w:val="24"/>
          <w:szCs w:val="24"/>
          <w:rtl/>
        </w:rPr>
        <w:t>تصميمية، تشغيلية، ومهنية، تُدار وفق منطق السيطرة والرقابة والاعتماد الواعي، لا وفق منطق الإسناد الأحادي. وبهذا التأسيس يمكن الانتقال – في الفصل اللاحق – إلى بناء إطار تنظيمي مقترح يحدد هذه الحدود بصورة أكثر وضوحًا، ويُحوّل هذا التحليل النظري إلى معايير إجرائية قابلة للتطبيق في البيئة النظامية السعودية</w:t>
      </w:r>
      <w:r>
        <w:rPr>
          <w:rFonts w:asciiTheme="majorBidi" w:hAnsiTheme="majorBidi" w:cstheme="majorBidi"/>
          <w:sz w:val="24"/>
          <w:szCs w:val="24"/>
        </w:rPr>
        <w:t>.</w:t>
      </w:r>
    </w:p>
    <w:p w14:paraId="4166754C" w14:textId="77777777" w:rsidR="00CF598B" w:rsidRPr="003A3742" w:rsidRDefault="00CF598B" w:rsidP="00CF598B">
      <w:pPr>
        <w:ind w:left="720"/>
        <w:jc w:val="right"/>
        <w:rPr>
          <w:rFonts w:asciiTheme="majorBidi" w:hAnsiTheme="majorBidi" w:cstheme="majorBidi"/>
          <w:sz w:val="24"/>
          <w:szCs w:val="24"/>
          <w:rtl/>
        </w:rPr>
      </w:pPr>
    </w:p>
    <w:p w14:paraId="12AEB6CF"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b/>
          <w:bCs/>
          <w:sz w:val="24"/>
          <w:szCs w:val="24"/>
          <w:rtl/>
        </w:rPr>
        <w:t>ختامًا، يتضح من هذا الفصل أن الذكاء الاصطناعي</w:t>
      </w:r>
      <w:r>
        <w:rPr>
          <w:rFonts w:asciiTheme="majorBidi" w:hAnsiTheme="majorBidi" w:cstheme="majorBidi"/>
          <w:sz w:val="24"/>
          <w:szCs w:val="24"/>
          <w:rtl/>
        </w:rPr>
        <w:t xml:space="preserve"> في مكاتب المحاماة ليس مجرد أداة تقنية أُضيفت إلى بيئة العمل التقليدية، بل هو عاملٌ يعيد تشكيل البنية المفاهيمية للقانون المهني ذاته. فقد كشف التحليل أن الإشكال لا يكمن في “مشروعية الاستخدام” في حد ذاتها، وإنما في كيفية إدماج هذه التقنيات داخل منظومة تقوم أصلًا على الثقة، والإسناد الشخصي، والمسؤولية المباشرة. ومن ثم فإن جوهر الإشكال لم يكن تقنيًا بقدر ما كان تأصيليًا: كيف يُعاد تعريف الحجية، وكيف يُعاد ضبط الإسناد، وكيف تُوزع المسؤولية في بيئة تتداخل فيها الخوارزمية مع القرار المهني؟</w:t>
      </w:r>
    </w:p>
    <w:p w14:paraId="53A7E0A4"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لقد انتهى هذا الفصل إلى أن المخرجات الذكية لا تملك مركزًا قانونيًا قائمًا بذاته، ولا يمكن أن تُعامل كفاعل مستقل أو مصدر إرادة قانونية، بل تظل جزءًا من فعل مهني بشري يتطلب اعتمادًا وتحملًا للتبعة. وبذلك فإن القيمة القانونية لهذه المخرجات لا تُستمد من طبيعتها الآلية، بل من سلامة اعتمادها المهني وقابليتها للتحقق والإثبات. فالمعيار الحاسم لم يعد السؤال عما إذا كان النص قد كُتب بيد بشرية أو وُلد خوارزميًا، وإنما عما إذا كان قد خضع لرقابة مهنية واعية تُعيد إليه صفته القانونية وتحمله مسؤولية محددة</w:t>
      </w:r>
      <w:r>
        <w:rPr>
          <w:rFonts w:asciiTheme="majorBidi" w:hAnsiTheme="majorBidi" w:cstheme="majorBidi"/>
          <w:sz w:val="24"/>
          <w:szCs w:val="24"/>
        </w:rPr>
        <w:t>.</w:t>
      </w:r>
    </w:p>
    <w:p w14:paraId="6A61CB51"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وفي جانب المسؤولية، كشف الفصل أن الذكاء الاصطناعي لا يُسقط أركان المسؤولية المدنية، لكنه يُعقّد تطبيقها. فمع بقاء الخطأ والضرر والسببية عناصر ثابتة، أصبح معيار الخطأ أكثر تركيبًا؛ إذ لم يعد يكفي التحقق من سلامة التكييف القانوني فحسب، بل صار يتعين فحص مستوى الإشراف التقني، وإدارة المخاطر، وحدود الاعتماد على المخرجات الآلية. كما لم تعد المسؤولية حكرًا على المستخدم المهني وحده، بل باتت تتوزع داخل شبكة متعددة الأطراف تشمل المطور الذي يصوغ البنية الاستدلالية للنظام، ومقدم التقنية الذي يسيطر على بيئة التشغيل وحماية البيانات، والمستخدم الذي يمنح المخرج صفة قانونية من خلال اعتماده</w:t>
      </w:r>
      <w:r>
        <w:rPr>
          <w:rFonts w:asciiTheme="majorBidi" w:hAnsiTheme="majorBidi" w:cstheme="majorBidi"/>
          <w:sz w:val="24"/>
          <w:szCs w:val="24"/>
        </w:rPr>
        <w:t>.</w:t>
      </w:r>
    </w:p>
    <w:p w14:paraId="44C1D72A"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وقد أبرز التحليل أن معيارين يمثلان الركيزة الأكثر اتزانًا لضبط الإسناد في هذا السياق: معيار السيطرة الفعلية على مصدر الخطر، ومعيار قابلية اكتشاف الخلل بالمراجعة المهنية المعتادة. فمن يملك القدرة الواقعية على منع الضرر أو تقليله يكون أقرب إلى تحمله، ومن كان بإمكانه كشف الخلل بمستوى عناية مهني معقول ولم يفعل، ينعقد في جانبه الإخلال. أما الغموض الخوارزمي وتعقيد البنية التقنية، فلا ينبغي أن يتحولا إلى مظلة لإعفاء غير منضبط، ولا إلى أساس لتحميل طرف واحد عبئًا يفوق نطاق سيطرته</w:t>
      </w:r>
      <w:r>
        <w:rPr>
          <w:rFonts w:asciiTheme="majorBidi" w:hAnsiTheme="majorBidi" w:cstheme="majorBidi"/>
          <w:sz w:val="24"/>
          <w:szCs w:val="24"/>
        </w:rPr>
        <w:t>.</w:t>
      </w:r>
    </w:p>
    <w:p w14:paraId="5B683FF2"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كما أن المقارنة الموجزة بالتجارب الأوروبية أظهرت اتجاهًا نحو تصنيف المخاطر وتوسيع أدوات الإسناد، إلا أن الدراسة خلصت إلى أن نقل هذه النماذج بحذافيرها لا يستقيم دون مراعاة خصوصية البيئة النظامية السعودية، </w:t>
      </w:r>
      <w:r>
        <w:rPr>
          <w:rFonts w:asciiTheme="majorBidi" w:hAnsiTheme="majorBidi" w:cstheme="majorBidi"/>
          <w:sz w:val="24"/>
          <w:szCs w:val="24"/>
          <w:rtl/>
        </w:rPr>
        <w:lastRenderedPageBreak/>
        <w:t>حيث تقوم مهنة المحاماة على رابطة ثقة شخصية ومهنية مباشرة. ومن ثم فإن الحل لا يكمن في استيراد نموذج مسؤولية موضوعية صارمة، ولا في الإبقاء على نموذج تقليدي يغفل التعقيد التقني، بل في تطوير تطبيق القواعد العامة بما يواكب التحول الرقمي دون أن يهدم أسس المسؤولية</w:t>
      </w:r>
      <w:r>
        <w:rPr>
          <w:rFonts w:asciiTheme="majorBidi" w:hAnsiTheme="majorBidi" w:cstheme="majorBidi"/>
          <w:sz w:val="24"/>
          <w:szCs w:val="24"/>
        </w:rPr>
        <w:t>.</w:t>
      </w:r>
    </w:p>
    <w:p w14:paraId="496A1103"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وعليه، فإن هذا الفصل لا يمثل نهاية تحليلية بقدر ما يشكل نقطة ارتكاز منهجية للفصول اللاحقة؛ إذ أثبت أن الإشكال ليس في وجود الذكاء الاصطناعي، بل في غياب إطار تنظيمي تفصيلي يحدد معايير الاعتماد، وحدود الرقابة، وتوزيع المخاطر بين الأطراف. وهذا ما يقتضي الانتقال من مستوى التأصيل النظري إلى مستوى الفحص الواقعي للتطبيقات المهنية المعاصرة، لاختبار مدى اتساقها مع ما تم تأصيله من معايير، والكشف عن الفجوة بين النص والممارسة. ومن هنا يجيء الفصل الثالث بوصفه امتدادًا طبيعيًا لهذا التحليل، إذ ينتقل من بناء المفهوم إلى رصد الواقع، ومن ضبط النظرية إلى مساءلة التطبيق، تمهيدًا للوصول في الفصول اللاحقة إلى تصور تنظيمي مقترح يستند إلى تحليل نظري راسخ ومعطيات عملية موثقة</w:t>
      </w:r>
      <w:r>
        <w:rPr>
          <w:rFonts w:asciiTheme="majorBidi" w:hAnsiTheme="majorBidi" w:cstheme="majorBidi"/>
          <w:sz w:val="24"/>
          <w:szCs w:val="24"/>
        </w:rPr>
        <w:t>.</w:t>
      </w:r>
    </w:p>
    <w:p w14:paraId="051B81BA"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وتُدعم هذه الخلاصة بما أثارته دراسات حديثة حول الطبيعة القانونية للعقود الذكية في السياق السعودي؛ إذ ترى الغامدي أن المنظومة القانونية السعودية تملك الأدوات النظامية الكافية لاستيعاب ظاهرة العقود الذكية ضمن إطارها التعاقدي الحالي، لكنها تفتقر إلى نصوص تفصيلية تُحكم ضبط هذه العقود وتُعيّن شروط الاحتجاج بها ومعايير تسوية النزاعات الناشئة عنها، وهو ما يدعو إلى مساعٍ تشريعية موجّهة تُكمل هذه المنظومة وتُصلّبها.</w:t>
      </w:r>
      <w:r>
        <w:rPr>
          <w:rStyle w:val="af"/>
          <w:rFonts w:asciiTheme="majorBidi" w:hAnsiTheme="majorBidi" w:cstheme="majorBidi"/>
          <w:sz w:val="24"/>
          <w:szCs w:val="24"/>
          <w:rtl/>
        </w:rPr>
        <w:footnoteReference w:id="332"/>
      </w:r>
    </w:p>
    <w:p w14:paraId="0B4C63B0" w14:textId="77777777" w:rsidR="00CF598B" w:rsidRPr="002E352F" w:rsidRDefault="00CF598B" w:rsidP="00624037">
      <w:pPr>
        <w:jc w:val="right"/>
        <w:rPr>
          <w:rFonts w:asciiTheme="majorBidi" w:hAnsiTheme="majorBidi" w:cstheme="majorBidi"/>
          <w:sz w:val="24"/>
          <w:szCs w:val="24"/>
        </w:rPr>
      </w:pPr>
    </w:p>
    <w:p w14:paraId="0C990360" w14:textId="77777777" w:rsidR="00624037" w:rsidRPr="00F532FA" w:rsidRDefault="00624037" w:rsidP="00F532FA">
      <w:pPr>
        <w:jc w:val="right"/>
        <w:rPr>
          <w:rFonts w:asciiTheme="majorBidi" w:hAnsiTheme="majorBidi" w:cstheme="majorBidi"/>
          <w:b/>
          <w:bCs/>
          <w:sz w:val="24"/>
          <w:szCs w:val="24"/>
        </w:rPr>
      </w:pPr>
    </w:p>
    <w:p w14:paraId="65232256" w14:textId="77777777" w:rsidR="00F532FA" w:rsidRDefault="00F532FA" w:rsidP="000003D3">
      <w:pPr>
        <w:jc w:val="right"/>
        <w:rPr>
          <w:rFonts w:asciiTheme="majorBidi" w:hAnsiTheme="majorBidi" w:cstheme="majorBidi"/>
          <w:sz w:val="24"/>
          <w:szCs w:val="24"/>
        </w:rPr>
      </w:pPr>
    </w:p>
    <w:p w14:paraId="0FE91A62" w14:textId="77777777" w:rsidR="004639DD" w:rsidRDefault="004639DD" w:rsidP="000003D3">
      <w:pPr>
        <w:jc w:val="right"/>
        <w:rPr>
          <w:rFonts w:asciiTheme="majorBidi" w:hAnsiTheme="majorBidi" w:cstheme="majorBidi"/>
          <w:sz w:val="24"/>
          <w:szCs w:val="24"/>
        </w:rPr>
      </w:pPr>
    </w:p>
    <w:p w14:paraId="7CA5CC9B" w14:textId="77777777" w:rsidR="004639DD" w:rsidRDefault="004639DD" w:rsidP="000003D3">
      <w:pPr>
        <w:jc w:val="right"/>
        <w:rPr>
          <w:rFonts w:asciiTheme="majorBidi" w:hAnsiTheme="majorBidi" w:cstheme="majorBidi"/>
          <w:sz w:val="32"/>
          <w:szCs w:val="32"/>
          <w:rtl/>
        </w:rPr>
      </w:pPr>
      <w:r>
        <w:rPr>
          <w:rFonts w:asciiTheme="majorBidi" w:hAnsiTheme="majorBidi" w:cstheme="majorBidi" w:hint="cs"/>
          <w:sz w:val="32"/>
          <w:szCs w:val="32"/>
          <w:rtl/>
        </w:rPr>
        <w:t>قائمة المراجع:</w:t>
      </w:r>
    </w:p>
    <w:p w14:paraId="3B261E73" w14:textId="77777777" w:rsidR="004639DD" w:rsidRPr="004639DD" w:rsidRDefault="004639DD" w:rsidP="004639DD">
      <w:pPr>
        <w:jc w:val="right"/>
        <w:rPr>
          <w:rFonts w:asciiTheme="majorBidi" w:hAnsiTheme="majorBidi" w:cstheme="majorBidi"/>
          <w:b/>
          <w:bCs/>
          <w:sz w:val="24"/>
          <w:szCs w:val="24"/>
        </w:rPr>
      </w:pPr>
      <w:r>
        <w:rPr>
          <w:rFonts w:asciiTheme="majorBidi" w:hAnsiTheme="majorBidi" w:cstheme="majorBidi"/>
          <w:b/>
          <w:bCs/>
          <w:sz w:val="24"/>
          <w:szCs w:val="24"/>
          <w:rtl/>
        </w:rPr>
        <w:t>أولًا: الأنظمة واللوائح الرسمية</w:t>
      </w:r>
    </w:p>
    <w:p w14:paraId="406AFF5D" w14:textId="77777777" w:rsidR="004639DD" w:rsidRPr="004639DD" w:rsidRDefault="004639DD" w:rsidP="004639DD">
      <w:pPr>
        <w:jc w:val="right"/>
        <w:rPr>
          <w:rFonts w:asciiTheme="majorBidi" w:hAnsiTheme="majorBidi" w:cstheme="majorBidi"/>
          <w:sz w:val="24"/>
          <w:szCs w:val="24"/>
        </w:rPr>
      </w:pPr>
      <w:r>
        <w:rPr>
          <w:rFonts w:asciiTheme="majorBidi" w:hAnsiTheme="majorBidi" w:cstheme="majorBidi"/>
          <w:sz w:val="24"/>
          <w:szCs w:val="24"/>
          <w:rtl/>
        </w:rPr>
        <w:t>هيئة الخبراء بمجلس الوزراء. (1422هـ)</w:t>
      </w:r>
      <w:r>
        <w:rPr>
          <w:rFonts w:asciiTheme="majorBidi" w:hAnsiTheme="majorBidi" w:cstheme="majorBidi"/>
          <w:sz w:val="24"/>
          <w:szCs w:val="24"/>
        </w:rPr>
        <w:t xml:space="preserve">. </w:t>
      </w:r>
      <w:r>
        <w:rPr>
          <w:rFonts w:asciiTheme="majorBidi" w:hAnsiTheme="majorBidi" w:cstheme="majorBidi"/>
          <w:i/>
          <w:iCs/>
          <w:sz w:val="24"/>
          <w:szCs w:val="24"/>
          <w:rtl/>
        </w:rPr>
        <w:t>نظام المحاماة</w:t>
      </w:r>
      <w:r>
        <w:rPr>
          <w:rFonts w:asciiTheme="majorBidi" w:hAnsiTheme="majorBidi" w:cstheme="majorBidi"/>
          <w:sz w:val="24"/>
          <w:szCs w:val="24"/>
        </w:rPr>
        <w:t xml:space="preserve">. </w:t>
      </w:r>
      <w:r>
        <w:rPr>
          <w:rFonts w:asciiTheme="majorBidi" w:hAnsiTheme="majorBidi" w:cstheme="majorBidi"/>
          <w:sz w:val="24"/>
          <w:szCs w:val="24"/>
          <w:rtl/>
        </w:rPr>
        <w:t>الرياض: هيئة الخبراء</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هيئة الخبراء بمجلس الوزراء. (1428هـ)</w:t>
      </w:r>
      <w:r>
        <w:rPr>
          <w:rFonts w:asciiTheme="majorBidi" w:hAnsiTheme="majorBidi" w:cstheme="majorBidi"/>
          <w:sz w:val="24"/>
          <w:szCs w:val="24"/>
        </w:rPr>
        <w:t xml:space="preserve">. </w:t>
      </w:r>
      <w:r>
        <w:rPr>
          <w:rFonts w:asciiTheme="majorBidi" w:hAnsiTheme="majorBidi" w:cstheme="majorBidi"/>
          <w:i/>
          <w:iCs/>
          <w:sz w:val="24"/>
          <w:szCs w:val="24"/>
          <w:rtl/>
        </w:rPr>
        <w:t>نظام الإجراءات الجزائية</w:t>
      </w:r>
      <w:r>
        <w:rPr>
          <w:rFonts w:asciiTheme="majorBidi" w:hAnsiTheme="majorBidi" w:cstheme="majorBidi"/>
          <w:sz w:val="24"/>
          <w:szCs w:val="24"/>
        </w:rPr>
        <w:t xml:space="preserve">. </w:t>
      </w:r>
      <w:r>
        <w:rPr>
          <w:rFonts w:asciiTheme="majorBidi" w:hAnsiTheme="majorBidi" w:cstheme="majorBidi"/>
          <w:sz w:val="24"/>
          <w:szCs w:val="24"/>
          <w:rtl/>
        </w:rPr>
        <w:t>الرياض: هيئة الخبراء</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هيئة الخبراء بمجلس الوزراء. (1428هـ)</w:t>
      </w:r>
      <w:r>
        <w:rPr>
          <w:rFonts w:asciiTheme="majorBidi" w:hAnsiTheme="majorBidi" w:cstheme="majorBidi"/>
          <w:sz w:val="24"/>
          <w:szCs w:val="24"/>
        </w:rPr>
        <w:t xml:space="preserve">. </w:t>
      </w:r>
      <w:r>
        <w:rPr>
          <w:rFonts w:asciiTheme="majorBidi" w:hAnsiTheme="majorBidi" w:cstheme="majorBidi"/>
          <w:i/>
          <w:iCs/>
          <w:sz w:val="24"/>
          <w:szCs w:val="24"/>
          <w:rtl/>
        </w:rPr>
        <w:t>نظام مكافحة الجرائم المعلوماتية</w:t>
      </w:r>
      <w:r>
        <w:rPr>
          <w:rFonts w:asciiTheme="majorBidi" w:hAnsiTheme="majorBidi" w:cstheme="majorBidi"/>
          <w:sz w:val="24"/>
          <w:szCs w:val="24"/>
        </w:rPr>
        <w:t xml:space="preserve">. </w:t>
      </w:r>
      <w:r>
        <w:rPr>
          <w:rFonts w:asciiTheme="majorBidi" w:hAnsiTheme="majorBidi" w:cstheme="majorBidi"/>
          <w:sz w:val="24"/>
          <w:szCs w:val="24"/>
          <w:rtl/>
        </w:rPr>
        <w:t>الرياض: هيئة الخبراء</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هيئة الخبراء بمجلس الوزراء. (1443هـ)</w:t>
      </w:r>
      <w:r>
        <w:rPr>
          <w:rFonts w:asciiTheme="majorBidi" w:hAnsiTheme="majorBidi" w:cstheme="majorBidi"/>
          <w:sz w:val="24"/>
          <w:szCs w:val="24"/>
        </w:rPr>
        <w:t xml:space="preserve">. </w:t>
      </w:r>
      <w:r>
        <w:rPr>
          <w:rFonts w:asciiTheme="majorBidi" w:hAnsiTheme="majorBidi" w:cstheme="majorBidi"/>
          <w:i/>
          <w:iCs/>
          <w:sz w:val="24"/>
          <w:szCs w:val="24"/>
          <w:rtl/>
        </w:rPr>
        <w:t>نظام حماية البيانات الشخصية</w:t>
      </w:r>
      <w:r>
        <w:rPr>
          <w:rFonts w:asciiTheme="majorBidi" w:hAnsiTheme="majorBidi" w:cstheme="majorBidi"/>
          <w:sz w:val="24"/>
          <w:szCs w:val="24"/>
        </w:rPr>
        <w:t xml:space="preserve">. </w:t>
      </w:r>
      <w:r>
        <w:rPr>
          <w:rFonts w:asciiTheme="majorBidi" w:hAnsiTheme="majorBidi" w:cstheme="majorBidi"/>
          <w:sz w:val="24"/>
          <w:szCs w:val="24"/>
          <w:rtl/>
        </w:rPr>
        <w:t>الرياض: هيئة الخبراء</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هيئة الخبراء بمجلس الوزراء. (1443هـ)</w:t>
      </w:r>
      <w:r>
        <w:rPr>
          <w:rFonts w:asciiTheme="majorBidi" w:hAnsiTheme="majorBidi" w:cstheme="majorBidi"/>
          <w:sz w:val="24"/>
          <w:szCs w:val="24"/>
        </w:rPr>
        <w:t xml:space="preserve">. </w:t>
      </w:r>
      <w:r>
        <w:rPr>
          <w:rFonts w:asciiTheme="majorBidi" w:hAnsiTheme="majorBidi" w:cstheme="majorBidi"/>
          <w:i/>
          <w:iCs/>
          <w:sz w:val="24"/>
          <w:szCs w:val="24"/>
          <w:rtl/>
        </w:rPr>
        <w:t>نظام الإثبات</w:t>
      </w:r>
      <w:r>
        <w:rPr>
          <w:rFonts w:asciiTheme="majorBidi" w:hAnsiTheme="majorBidi" w:cstheme="majorBidi"/>
          <w:sz w:val="24"/>
          <w:szCs w:val="24"/>
        </w:rPr>
        <w:t xml:space="preserve">. </w:t>
      </w:r>
      <w:r>
        <w:rPr>
          <w:rFonts w:asciiTheme="majorBidi" w:hAnsiTheme="majorBidi" w:cstheme="majorBidi"/>
          <w:sz w:val="24"/>
          <w:szCs w:val="24"/>
          <w:rtl/>
        </w:rPr>
        <w:t>الرياض: هيئة الخبراء</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هيئة الخبراء بمجلس الوزراء. (1445هـ)</w:t>
      </w:r>
      <w:r>
        <w:rPr>
          <w:rFonts w:asciiTheme="majorBidi" w:hAnsiTheme="majorBidi" w:cstheme="majorBidi"/>
          <w:sz w:val="24"/>
          <w:szCs w:val="24"/>
        </w:rPr>
        <w:t xml:space="preserve">. </w:t>
      </w:r>
      <w:r>
        <w:rPr>
          <w:rFonts w:asciiTheme="majorBidi" w:hAnsiTheme="majorBidi" w:cstheme="majorBidi"/>
          <w:i/>
          <w:iCs/>
          <w:sz w:val="24"/>
          <w:szCs w:val="24"/>
          <w:rtl/>
        </w:rPr>
        <w:t>نظام المعاملات المدنية</w:t>
      </w:r>
      <w:r>
        <w:rPr>
          <w:rFonts w:asciiTheme="majorBidi" w:hAnsiTheme="majorBidi" w:cstheme="majorBidi"/>
          <w:sz w:val="24"/>
          <w:szCs w:val="24"/>
        </w:rPr>
        <w:t xml:space="preserve">. </w:t>
      </w:r>
      <w:r>
        <w:rPr>
          <w:rFonts w:asciiTheme="majorBidi" w:hAnsiTheme="majorBidi" w:cstheme="majorBidi"/>
          <w:sz w:val="24"/>
          <w:szCs w:val="24"/>
          <w:rtl/>
        </w:rPr>
        <w:t>الرياض: هيئة الخبراء</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وزارة العدل. (1441هـ)</w:t>
      </w:r>
      <w:r>
        <w:rPr>
          <w:rFonts w:asciiTheme="majorBidi" w:hAnsiTheme="majorBidi" w:cstheme="majorBidi"/>
          <w:sz w:val="24"/>
          <w:szCs w:val="24"/>
        </w:rPr>
        <w:t xml:space="preserve">. </w:t>
      </w:r>
      <w:r>
        <w:rPr>
          <w:rFonts w:asciiTheme="majorBidi" w:hAnsiTheme="majorBidi" w:cstheme="majorBidi"/>
          <w:i/>
          <w:iCs/>
          <w:sz w:val="24"/>
          <w:szCs w:val="24"/>
          <w:rtl/>
        </w:rPr>
        <w:t>اللائحة التنفيذية لنظام المحاماة</w:t>
      </w:r>
      <w:r>
        <w:rPr>
          <w:rFonts w:asciiTheme="majorBidi" w:hAnsiTheme="majorBidi" w:cstheme="majorBidi"/>
          <w:sz w:val="24"/>
          <w:szCs w:val="24"/>
        </w:rPr>
        <w:t xml:space="preserve">. </w:t>
      </w:r>
      <w:r>
        <w:rPr>
          <w:rFonts w:asciiTheme="majorBidi" w:hAnsiTheme="majorBidi" w:cstheme="majorBidi"/>
          <w:sz w:val="24"/>
          <w:szCs w:val="24"/>
          <w:rtl/>
        </w:rPr>
        <w:t>الرياض: وزارة العدل</w:t>
      </w:r>
      <w:r>
        <w:rPr>
          <w:rFonts w:asciiTheme="majorBidi" w:hAnsiTheme="majorBidi" w:cstheme="majorBidi"/>
          <w:sz w:val="24"/>
          <w:szCs w:val="24"/>
        </w:rPr>
        <w:t>.</w:t>
      </w:r>
    </w:p>
    <w:p w14:paraId="63D3679A" w14:textId="77777777" w:rsidR="004639DD" w:rsidRPr="004639DD" w:rsidRDefault="004639DD" w:rsidP="004639DD">
      <w:pPr>
        <w:jc w:val="right"/>
        <w:rPr>
          <w:rFonts w:asciiTheme="majorBidi" w:hAnsiTheme="majorBidi" w:cstheme="majorBidi"/>
          <w:b/>
          <w:bCs/>
          <w:sz w:val="24"/>
          <w:szCs w:val="24"/>
        </w:rPr>
      </w:pPr>
      <w:r>
        <w:rPr>
          <w:rFonts w:asciiTheme="majorBidi" w:hAnsiTheme="majorBidi" w:cstheme="majorBidi"/>
          <w:b/>
          <w:bCs/>
          <w:sz w:val="24"/>
          <w:szCs w:val="24"/>
          <w:rtl/>
        </w:rPr>
        <w:t>ثانيًا: الوثائق والتقارير الرسمية</w:t>
      </w:r>
    </w:p>
    <w:p w14:paraId="1CF93FD4" w14:textId="77777777" w:rsidR="00C41E32" w:rsidRDefault="00000000">
      <w:pPr>
        <w:bidi/>
        <w:ind w:right="720"/>
        <w:jc w:val="both"/>
        <w:rPr>
          <w:rFonts w:asciiTheme="majorBidi" w:hAnsiTheme="majorBidi" w:cstheme="majorBidi"/>
          <w:sz w:val="24"/>
          <w:szCs w:val="24"/>
          <w:rtl/>
        </w:rPr>
      </w:pPr>
      <w:r>
        <w:rPr>
          <w:rFonts w:asciiTheme="majorBidi" w:hAnsiTheme="majorBidi" w:cstheme="majorBidi"/>
          <w:sz w:val="24"/>
          <w:szCs w:val="24"/>
          <w:rtl/>
        </w:rPr>
        <w:t>الترتيبات التنظيمية للهيئة السعودية للبيانات والذكاء الاصطناعي (2020م). الصادرة بقرار مجلس الوزراء رقم (292) وتاريخ 1441/4/27هـ، المعدلة بقرار مجلس الوزراء رقم (195) وتاريخ 1444/3/15هـ. الرياض: مجلس الوزراء.</w:t>
      </w:r>
    </w:p>
    <w:p w14:paraId="588BFF99" w14:textId="77777777" w:rsidR="00C41E32" w:rsidRDefault="00000000">
      <w:pPr>
        <w:bidi/>
        <w:ind w:right="720"/>
        <w:jc w:val="both"/>
        <w:rPr>
          <w:rFonts w:asciiTheme="majorBidi" w:hAnsiTheme="majorBidi" w:cstheme="majorBidi"/>
          <w:sz w:val="24"/>
          <w:szCs w:val="24"/>
          <w:rtl/>
        </w:rPr>
      </w:pPr>
      <w:r>
        <w:rPr>
          <w:rFonts w:asciiTheme="majorBidi" w:hAnsiTheme="majorBidi" w:cstheme="majorBidi"/>
          <w:sz w:val="24"/>
          <w:szCs w:val="24"/>
          <w:rtl/>
        </w:rPr>
        <w:t>البرلمان الأوروبي والمجلس الأوروبي (2024م). لائحة الذكاء الاصطناعي (EU AI Act) - اللائحة الأوروبية رقم 2024/1689. بروكسل: الاتحاد الأوروبي.</w:t>
      </w:r>
    </w:p>
    <w:p w14:paraId="094CD6F2" w14:textId="77777777" w:rsidR="00C41E32" w:rsidRDefault="00000000">
      <w:pPr>
        <w:bidi/>
        <w:ind w:right="720"/>
        <w:jc w:val="both"/>
        <w:rPr>
          <w:rFonts w:asciiTheme="majorBidi" w:hAnsiTheme="majorBidi" w:cstheme="majorBidi"/>
          <w:sz w:val="24"/>
          <w:szCs w:val="24"/>
          <w:rtl/>
        </w:rPr>
      </w:pPr>
      <w:r>
        <w:rPr>
          <w:rFonts w:asciiTheme="majorBidi" w:hAnsiTheme="majorBidi" w:cstheme="majorBidi"/>
          <w:sz w:val="24"/>
          <w:szCs w:val="24"/>
          <w:rtl/>
        </w:rPr>
        <w:lastRenderedPageBreak/>
        <w:t>المملكة العربية السعودية (1422هـ). نظام المحاماة الصادر بالمرسوم الملكي رقم م/38 وتاريخ 28/7/1422هـ. الرياض: الأمانة العامة لمجلس الوزراء.</w:t>
      </w:r>
    </w:p>
    <w:p w14:paraId="63DEAE6B" w14:textId="77777777" w:rsidR="00C41E32" w:rsidRDefault="00000000">
      <w:pPr>
        <w:bidi/>
        <w:ind w:right="720"/>
        <w:jc w:val="both"/>
        <w:rPr>
          <w:rFonts w:asciiTheme="majorBidi" w:hAnsiTheme="majorBidi" w:cstheme="majorBidi"/>
          <w:sz w:val="24"/>
          <w:szCs w:val="24"/>
          <w:rtl/>
        </w:rPr>
      </w:pPr>
      <w:r>
        <w:rPr>
          <w:rFonts w:asciiTheme="majorBidi" w:hAnsiTheme="majorBidi" w:cstheme="majorBidi"/>
          <w:sz w:val="24"/>
          <w:szCs w:val="24"/>
          <w:rtl/>
        </w:rPr>
        <w:t>المملكة العربية السعودية (1422هـ). اللائحة التنفيذية لنظام المحاماة. الرياض: وزارة العدل.</w:t>
      </w:r>
    </w:p>
    <w:p w14:paraId="70D63B06" w14:textId="77777777" w:rsidR="00C41E32" w:rsidRDefault="00000000">
      <w:pPr>
        <w:bidi/>
        <w:ind w:right="720"/>
        <w:jc w:val="both"/>
        <w:rPr>
          <w:rFonts w:asciiTheme="majorBidi" w:hAnsiTheme="majorBidi" w:cstheme="majorBidi"/>
          <w:sz w:val="24"/>
          <w:szCs w:val="24"/>
          <w:rtl/>
        </w:rPr>
      </w:pPr>
      <w:r>
        <w:rPr>
          <w:rFonts w:asciiTheme="majorBidi" w:hAnsiTheme="majorBidi" w:cstheme="majorBidi"/>
          <w:sz w:val="24"/>
          <w:szCs w:val="24"/>
          <w:rtl/>
        </w:rPr>
        <w:t>المملكة العربية السعودية (1428هـ). نظام القضاء الصادر بالمرسوم الملكي رقم م/78 وتاريخ 19/9/1428هـ. الرياض: الأمانة العامة لمجلس الوزراء.</w:t>
      </w:r>
    </w:p>
    <w:p w14:paraId="65A3548E" w14:textId="77777777" w:rsidR="00C41E32" w:rsidRDefault="00000000">
      <w:pPr>
        <w:bidi/>
        <w:ind w:right="720"/>
        <w:jc w:val="both"/>
        <w:rPr>
          <w:rFonts w:asciiTheme="majorBidi" w:hAnsiTheme="majorBidi" w:cstheme="majorBidi"/>
          <w:sz w:val="24"/>
          <w:szCs w:val="24"/>
          <w:rtl/>
        </w:rPr>
      </w:pPr>
      <w:r>
        <w:rPr>
          <w:rFonts w:asciiTheme="majorBidi" w:hAnsiTheme="majorBidi" w:cstheme="majorBidi"/>
          <w:sz w:val="24"/>
          <w:szCs w:val="24"/>
          <w:rtl/>
        </w:rPr>
        <w:t>المملكة العربية السعودية (1428هـ). نظام التعاملات الإلكترونية الصادر بالمرسوم الملكي رقم م/18 وتاريخ 26/3/1428هـ. الرياض: الأمانة العامة لمجلس الوزراء.</w:t>
      </w:r>
    </w:p>
    <w:p w14:paraId="45EFC3B2" w14:textId="77777777" w:rsidR="00C41E32" w:rsidRDefault="00000000">
      <w:pPr>
        <w:bidi/>
        <w:ind w:right="720"/>
        <w:jc w:val="both"/>
        <w:rPr>
          <w:rFonts w:asciiTheme="majorBidi" w:hAnsiTheme="majorBidi" w:cstheme="majorBidi"/>
          <w:sz w:val="24"/>
          <w:szCs w:val="24"/>
          <w:rtl/>
        </w:rPr>
      </w:pPr>
      <w:r>
        <w:rPr>
          <w:rFonts w:asciiTheme="majorBidi" w:hAnsiTheme="majorBidi" w:cstheme="majorBidi"/>
          <w:sz w:val="24"/>
          <w:szCs w:val="24"/>
          <w:rtl/>
        </w:rPr>
        <w:t>المملكة العربية السعودية (1428هـ). نظام مكافحة الجرائم المعلوماتية الصادر بالمرسوم الملكي رقم م/17 وتاريخ 8/3/1428هـ. الرياض: الأمانة العامة لمجلس الوزراء.</w:t>
      </w:r>
    </w:p>
    <w:p w14:paraId="1A336406" w14:textId="77777777" w:rsidR="00C41E32" w:rsidRDefault="00000000">
      <w:pPr>
        <w:bidi/>
        <w:ind w:right="720"/>
        <w:jc w:val="both"/>
        <w:rPr>
          <w:rFonts w:asciiTheme="majorBidi" w:hAnsiTheme="majorBidi" w:cstheme="majorBidi"/>
          <w:sz w:val="24"/>
          <w:szCs w:val="24"/>
          <w:rtl/>
        </w:rPr>
      </w:pPr>
      <w:r>
        <w:rPr>
          <w:rFonts w:asciiTheme="majorBidi" w:hAnsiTheme="majorBidi" w:cstheme="majorBidi"/>
          <w:sz w:val="24"/>
          <w:szCs w:val="24"/>
          <w:rtl/>
        </w:rPr>
        <w:t>المملكة العربية السعودية (1435هـ). نظام الإجراءات الجزائية الصادر بالمرسوم الملكي رقم م/2 وتاريخ 22/1/1435هـ. الرياض: الأمانة العامة لمجلس الوزراء.</w:t>
      </w:r>
    </w:p>
    <w:p w14:paraId="40910449" w14:textId="77777777" w:rsidR="00C41E32" w:rsidRDefault="00000000">
      <w:pPr>
        <w:bidi/>
        <w:ind w:right="720"/>
        <w:jc w:val="both"/>
        <w:rPr>
          <w:rFonts w:asciiTheme="majorBidi" w:hAnsiTheme="majorBidi" w:cstheme="majorBidi"/>
          <w:sz w:val="24"/>
          <w:szCs w:val="24"/>
          <w:rtl/>
        </w:rPr>
      </w:pPr>
      <w:r>
        <w:rPr>
          <w:rFonts w:asciiTheme="majorBidi" w:hAnsiTheme="majorBidi" w:cstheme="majorBidi"/>
          <w:sz w:val="24"/>
          <w:szCs w:val="24"/>
          <w:rtl/>
        </w:rPr>
        <w:t>المملكة العربية السعودية (1443هـ). نظام حماية البيانات الشخصية الصادر بالمرسوم الملكي رقم م/19 وتاريخ 9/2/1443هـ. الرياض: الأمانة العامة لمجلس الوزراء.</w:t>
      </w:r>
    </w:p>
    <w:p w14:paraId="367D18C3" w14:textId="77777777" w:rsidR="00C41E32" w:rsidRDefault="00000000">
      <w:pPr>
        <w:bidi/>
        <w:ind w:right="720"/>
        <w:jc w:val="both"/>
        <w:rPr>
          <w:rFonts w:asciiTheme="majorBidi" w:hAnsiTheme="majorBidi" w:cstheme="majorBidi"/>
          <w:sz w:val="24"/>
          <w:szCs w:val="24"/>
          <w:rtl/>
        </w:rPr>
      </w:pPr>
      <w:r>
        <w:rPr>
          <w:rFonts w:asciiTheme="majorBidi" w:hAnsiTheme="majorBidi" w:cstheme="majorBidi"/>
          <w:sz w:val="24"/>
          <w:szCs w:val="24"/>
          <w:rtl/>
        </w:rPr>
        <w:t>الهيئة السعودية للبيانات والذكاء الاصطناعي (سدايا) (2023م). مبادئ أخلاقيات الذكاء الاصطناعي. الرياض: سدايا، الإصدار الأول.</w:t>
      </w:r>
    </w:p>
    <w:p w14:paraId="782BBD1D" w14:textId="77777777" w:rsidR="00C41E32" w:rsidRDefault="00000000">
      <w:pPr>
        <w:bidi/>
        <w:ind w:right="720"/>
        <w:jc w:val="both"/>
        <w:rPr>
          <w:rFonts w:asciiTheme="majorBidi" w:hAnsiTheme="majorBidi" w:cstheme="majorBidi"/>
          <w:sz w:val="24"/>
          <w:szCs w:val="24"/>
          <w:rtl/>
        </w:rPr>
      </w:pPr>
      <w:r>
        <w:rPr>
          <w:rFonts w:asciiTheme="majorBidi" w:hAnsiTheme="majorBidi" w:cstheme="majorBidi"/>
          <w:sz w:val="24"/>
          <w:szCs w:val="24"/>
          <w:rtl/>
        </w:rPr>
        <w:t>الهيئة السعودية للبيانات والذكاء الاصطناعي (سدايا) (2024م). أخلاقيات الذكاء الاصطناعي. سلسلة الذكاء الاصطناعي للتنفيذيين (3)، الطبعة الثانية، أبريل 2024م.</w:t>
      </w:r>
    </w:p>
    <w:p w14:paraId="4102FE4B" w14:textId="77777777" w:rsidR="00C41E32" w:rsidRDefault="00000000">
      <w:pPr>
        <w:bidi/>
        <w:ind w:right="720"/>
        <w:jc w:val="both"/>
        <w:rPr>
          <w:rFonts w:asciiTheme="majorBidi" w:hAnsiTheme="majorBidi" w:cstheme="majorBidi"/>
          <w:sz w:val="24"/>
          <w:szCs w:val="24"/>
          <w:rtl/>
        </w:rPr>
      </w:pPr>
      <w:r>
        <w:rPr>
          <w:rFonts w:asciiTheme="majorBidi" w:hAnsiTheme="majorBidi" w:cstheme="majorBidi"/>
          <w:sz w:val="24"/>
          <w:szCs w:val="24"/>
          <w:rtl/>
        </w:rPr>
        <w:t>الهيئة السعودية للبيانات والذكاء الاصطناعي (سدايا) (2024م). إطار تبني الذكاء الاصطناعي. الرياض: سدايا، سبتمبر 2024م.</w:t>
      </w:r>
    </w:p>
    <w:p w14:paraId="3E7C529A" w14:textId="7086010B" w:rsidR="00C41E32" w:rsidRDefault="00000000"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الهيئة السعودية للبيانات والذكاء الاصطناعي (سدايا) (2025م). الدليل الاسترشادي لتقويم مخاطر نقل البيانات الشخصية إلى خارج المملكة. الرياض: سدايا، فبراير 2025م.</w:t>
      </w:r>
    </w:p>
    <w:p w14:paraId="6FD644AD" w14:textId="77777777" w:rsidR="004639DD" w:rsidRPr="004639DD" w:rsidRDefault="004639DD" w:rsidP="004639DD">
      <w:pPr>
        <w:jc w:val="right"/>
        <w:rPr>
          <w:rFonts w:asciiTheme="majorBidi" w:hAnsiTheme="majorBidi" w:cstheme="majorBidi"/>
          <w:sz w:val="24"/>
          <w:szCs w:val="24"/>
        </w:rPr>
      </w:pPr>
      <w:r>
        <w:rPr>
          <w:rFonts w:asciiTheme="majorBidi" w:hAnsiTheme="majorBidi" w:cstheme="majorBidi"/>
          <w:sz w:val="24"/>
          <w:szCs w:val="24"/>
          <w:rtl/>
        </w:rPr>
        <w:t>الهيئة السعودية للبيانات والذكاء الاصطناعي (سدايا)</w:t>
      </w:r>
      <w:r>
        <w:rPr>
          <w:rFonts w:asciiTheme="majorBidi" w:hAnsiTheme="majorBidi" w:cstheme="majorBidi"/>
          <w:sz w:val="24"/>
          <w:szCs w:val="24"/>
        </w:rPr>
        <w:t xml:space="preserve">. (2023). </w:t>
      </w:r>
      <w:r>
        <w:rPr>
          <w:rFonts w:asciiTheme="majorBidi" w:hAnsiTheme="majorBidi" w:cstheme="majorBidi"/>
          <w:i/>
          <w:iCs/>
          <w:sz w:val="24"/>
          <w:szCs w:val="24"/>
          <w:rtl/>
        </w:rPr>
        <w:t>وثيقة مبادئ أخلاقيات الذكاء الاصطناعي</w:t>
      </w:r>
      <w:r>
        <w:rPr>
          <w:rFonts w:asciiTheme="majorBidi" w:hAnsiTheme="majorBidi" w:cstheme="majorBidi"/>
          <w:sz w:val="24"/>
          <w:szCs w:val="24"/>
        </w:rPr>
        <w:t xml:space="preserve">. </w:t>
      </w:r>
      <w:r>
        <w:rPr>
          <w:rFonts w:asciiTheme="majorBidi" w:hAnsiTheme="majorBidi" w:cstheme="majorBidi"/>
          <w:sz w:val="24"/>
          <w:szCs w:val="24"/>
          <w:rtl/>
        </w:rPr>
        <w:t>الرياض: سدايا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الهيئة السعودية للبيانات والذكاء الاصطناعي (سدايا)</w:t>
      </w:r>
      <w:r>
        <w:rPr>
          <w:rFonts w:asciiTheme="majorBidi" w:hAnsiTheme="majorBidi" w:cstheme="majorBidi"/>
          <w:sz w:val="24"/>
          <w:szCs w:val="24"/>
        </w:rPr>
        <w:t xml:space="preserve">. (2023). </w:t>
      </w:r>
      <w:r>
        <w:rPr>
          <w:rFonts w:asciiTheme="majorBidi" w:hAnsiTheme="majorBidi" w:cstheme="majorBidi"/>
          <w:i/>
          <w:iCs/>
          <w:sz w:val="24"/>
          <w:szCs w:val="24"/>
          <w:rtl/>
        </w:rPr>
        <w:t>الدليل الاسترشادي لتقويم مخاطر نقل البيانات الشخصية إلى خارج المملكة</w:t>
      </w:r>
      <w:r>
        <w:rPr>
          <w:rFonts w:asciiTheme="majorBidi" w:hAnsiTheme="majorBidi" w:cstheme="majorBidi"/>
          <w:sz w:val="24"/>
          <w:szCs w:val="24"/>
        </w:rPr>
        <w:t xml:space="preserve">. </w:t>
      </w:r>
      <w:r>
        <w:rPr>
          <w:rFonts w:asciiTheme="majorBidi" w:hAnsiTheme="majorBidi" w:cstheme="majorBidi"/>
          <w:sz w:val="24"/>
          <w:szCs w:val="24"/>
          <w:rtl/>
        </w:rPr>
        <w:t>الرياض: سدايا</w:t>
      </w:r>
      <w:r>
        <w:rPr>
          <w:rFonts w:asciiTheme="majorBidi" w:hAnsiTheme="majorBidi" w:cstheme="majorBidi"/>
          <w:sz w:val="24"/>
          <w:szCs w:val="24"/>
        </w:rPr>
        <w:t>.</w:t>
      </w:r>
    </w:p>
    <w:p w14:paraId="0A158841" w14:textId="061D19B3" w:rsidR="004639DD" w:rsidRDefault="004639DD" w:rsidP="004639DD">
      <w:pPr>
        <w:jc w:val="right"/>
        <w:rPr>
          <w:rFonts w:asciiTheme="majorBidi" w:hAnsiTheme="majorBidi" w:cstheme="majorBidi"/>
          <w:b/>
          <w:bCs/>
          <w:sz w:val="24"/>
          <w:szCs w:val="24"/>
          <w:rtl/>
        </w:rPr>
      </w:pPr>
      <w:r>
        <w:rPr>
          <w:rFonts w:asciiTheme="majorBidi" w:hAnsiTheme="majorBidi" w:cstheme="majorBidi"/>
          <w:b/>
          <w:bCs/>
          <w:sz w:val="24"/>
          <w:szCs w:val="24"/>
          <w:rtl/>
        </w:rPr>
        <w:t>ثالثًا: الكتب والدراسات القانونية</w:t>
      </w:r>
      <w:r w:rsidR="00CB3527">
        <w:rPr>
          <w:rFonts w:asciiTheme="majorBidi" w:hAnsiTheme="majorBidi" w:cstheme="majorBidi" w:hint="cs"/>
          <w:b/>
          <w:bCs/>
          <w:sz w:val="24"/>
          <w:szCs w:val="24"/>
          <w:rtl/>
        </w:rPr>
        <w:t xml:space="preserve"> والأبحاث المحكمة</w:t>
      </w:r>
    </w:p>
    <w:p w14:paraId="3668AEF9" w14:textId="3CFE25C7" w:rsidR="00CB3527" w:rsidRPr="00CB3527" w:rsidRDefault="00CB3527" w:rsidP="00CB3527">
      <w:pPr>
        <w:bidi/>
        <w:ind w:right="720"/>
        <w:jc w:val="both"/>
        <w:rPr>
          <w:rFonts w:asciiTheme="majorBidi" w:hAnsiTheme="majorBidi" w:cstheme="majorBidi"/>
          <w:sz w:val="24"/>
          <w:szCs w:val="24"/>
        </w:rPr>
      </w:pPr>
      <w:r>
        <w:rPr>
          <w:rFonts w:asciiTheme="majorBidi" w:hAnsiTheme="majorBidi" w:cstheme="majorBidi"/>
          <w:sz w:val="24"/>
          <w:szCs w:val="24"/>
          <w:rtl/>
        </w:rPr>
        <w:t>السريع، عبد العزيز بن محمد؛ والزامل، عبد الله بن عبد المحسن (1445هـ). نظام المعاملات المدنية مع الفهارس. الرياض: الجمعية العلمية القضائية السعودية (قضاء).</w:t>
      </w:r>
    </w:p>
    <w:p w14:paraId="7718CC33" w14:textId="77777777" w:rsidR="004639DD" w:rsidRPr="004639DD" w:rsidRDefault="004639DD" w:rsidP="004639DD">
      <w:pPr>
        <w:jc w:val="right"/>
        <w:rPr>
          <w:rFonts w:asciiTheme="majorBidi" w:hAnsiTheme="majorBidi" w:cstheme="majorBidi"/>
          <w:sz w:val="24"/>
          <w:szCs w:val="24"/>
        </w:rPr>
      </w:pPr>
      <w:r>
        <w:rPr>
          <w:rFonts w:asciiTheme="majorBidi" w:hAnsiTheme="majorBidi" w:cstheme="majorBidi"/>
          <w:sz w:val="24"/>
          <w:szCs w:val="24"/>
          <w:rtl/>
        </w:rPr>
        <w:t>العيسى، إبراهيم</w:t>
      </w:r>
      <w:r>
        <w:rPr>
          <w:rFonts w:asciiTheme="majorBidi" w:hAnsiTheme="majorBidi" w:cstheme="majorBidi"/>
          <w:sz w:val="24"/>
          <w:szCs w:val="24"/>
        </w:rPr>
        <w:t xml:space="preserve">. (2023). </w:t>
      </w:r>
      <w:r>
        <w:rPr>
          <w:rFonts w:asciiTheme="majorBidi" w:hAnsiTheme="majorBidi" w:cstheme="majorBidi"/>
          <w:i/>
          <w:iCs/>
          <w:sz w:val="24"/>
          <w:szCs w:val="24"/>
          <w:rtl/>
        </w:rPr>
        <w:t>القواعد والإجراءات المنظمة لاستخدامات الذكاء الاصطناعي في المملكة العربية السعودية وآثارها القانونية</w:t>
      </w:r>
      <w:r>
        <w:rPr>
          <w:rFonts w:asciiTheme="majorBidi" w:hAnsiTheme="majorBidi" w:cstheme="majorBidi"/>
          <w:sz w:val="24"/>
          <w:szCs w:val="24"/>
        </w:rPr>
        <w:t xml:space="preserve">. </w:t>
      </w:r>
      <w:r>
        <w:rPr>
          <w:rFonts w:asciiTheme="majorBidi" w:hAnsiTheme="majorBidi" w:cstheme="majorBidi"/>
          <w:sz w:val="24"/>
          <w:szCs w:val="24"/>
          <w:rtl/>
        </w:rPr>
        <w:t>بحث علمي منشور</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سلسلة المعرفة القانونية</w:t>
      </w:r>
      <w:r>
        <w:rPr>
          <w:rFonts w:asciiTheme="majorBidi" w:hAnsiTheme="majorBidi" w:cstheme="majorBidi"/>
          <w:sz w:val="24"/>
          <w:szCs w:val="24"/>
        </w:rPr>
        <w:t xml:space="preserve">. (2022). </w:t>
      </w:r>
      <w:r>
        <w:rPr>
          <w:rFonts w:asciiTheme="majorBidi" w:hAnsiTheme="majorBidi" w:cstheme="majorBidi"/>
          <w:i/>
          <w:iCs/>
          <w:sz w:val="24"/>
          <w:szCs w:val="24"/>
          <w:rtl/>
        </w:rPr>
        <w:t>الذكاء الاصطناعي والقانون</w:t>
      </w:r>
      <w:r>
        <w:rPr>
          <w:rFonts w:asciiTheme="majorBidi" w:hAnsiTheme="majorBidi" w:cstheme="majorBidi"/>
          <w:sz w:val="24"/>
          <w:szCs w:val="24"/>
        </w:rPr>
        <w:t xml:space="preserve">. </w:t>
      </w:r>
      <w:r>
        <w:rPr>
          <w:rFonts w:asciiTheme="majorBidi" w:hAnsiTheme="majorBidi" w:cstheme="majorBidi"/>
          <w:sz w:val="24"/>
          <w:szCs w:val="24"/>
          <w:rtl/>
        </w:rPr>
        <w:t>سلسلة منشورات المعرفة القانونية، المجلد</w:t>
      </w:r>
      <w:r>
        <w:rPr>
          <w:rFonts w:asciiTheme="majorBidi" w:hAnsiTheme="majorBidi" w:cstheme="majorBidi"/>
          <w:sz w:val="24"/>
          <w:szCs w:val="24"/>
        </w:rPr>
        <w:t xml:space="preserve"> (5).</w:t>
      </w:r>
    </w:p>
    <w:p w14:paraId="5B61C2B9" w14:textId="77777777" w:rsidR="00CB3527" w:rsidRDefault="004639DD" w:rsidP="004639DD">
      <w:pPr>
        <w:jc w:val="right"/>
        <w:rPr>
          <w:rFonts w:asciiTheme="majorBidi" w:hAnsiTheme="majorBidi" w:cstheme="majorBidi"/>
          <w:sz w:val="24"/>
          <w:szCs w:val="24"/>
          <w:rtl/>
        </w:rPr>
      </w:pPr>
      <w:r>
        <w:rPr>
          <w:rFonts w:asciiTheme="majorBidi" w:hAnsiTheme="majorBidi" w:cstheme="majorBidi"/>
          <w:sz w:val="24"/>
          <w:szCs w:val="24"/>
          <w:rtl/>
        </w:rPr>
        <w:t>المالكي، خالد</w:t>
      </w:r>
      <w:r>
        <w:rPr>
          <w:rFonts w:asciiTheme="majorBidi" w:hAnsiTheme="majorBidi" w:cstheme="majorBidi"/>
          <w:sz w:val="24"/>
          <w:szCs w:val="24"/>
        </w:rPr>
        <w:t xml:space="preserve">. (2024). </w:t>
      </w:r>
      <w:r>
        <w:rPr>
          <w:rFonts w:asciiTheme="majorBidi" w:hAnsiTheme="majorBidi" w:cstheme="majorBidi"/>
          <w:i/>
          <w:iCs/>
          <w:sz w:val="24"/>
          <w:szCs w:val="24"/>
          <w:rtl/>
        </w:rPr>
        <w:t>المسؤولية المدنية عن فعل الذكاء الاصطناعي في النظام السعودي</w:t>
      </w:r>
      <w:r>
        <w:rPr>
          <w:rFonts w:asciiTheme="majorBidi" w:hAnsiTheme="majorBidi" w:cstheme="majorBidi"/>
          <w:sz w:val="24"/>
          <w:szCs w:val="24"/>
        </w:rPr>
        <w:t xml:space="preserve">. </w:t>
      </w:r>
      <w:r>
        <w:rPr>
          <w:rFonts w:asciiTheme="majorBidi" w:hAnsiTheme="majorBidi" w:cstheme="majorBidi"/>
          <w:i/>
          <w:iCs/>
          <w:sz w:val="24"/>
          <w:szCs w:val="24"/>
          <w:rtl/>
        </w:rPr>
        <w:t>مجلة البحوث الفقهية والقانونية</w:t>
      </w:r>
      <w:r>
        <w:rPr>
          <w:rFonts w:asciiTheme="majorBidi" w:hAnsiTheme="majorBidi" w:cstheme="majorBidi"/>
          <w:sz w:val="24"/>
          <w:szCs w:val="24"/>
          <w:rtl/>
        </w:rPr>
        <w:t>، العدد</w:t>
      </w:r>
      <w:r>
        <w:rPr>
          <w:rFonts w:asciiTheme="majorBidi" w:hAnsiTheme="majorBidi" w:cstheme="majorBidi"/>
          <w:sz w:val="24"/>
          <w:szCs w:val="24"/>
        </w:rPr>
        <w:t xml:space="preserve"> (15).</w:t>
      </w:r>
      <w:r>
        <w:rPr>
          <w:rFonts w:asciiTheme="majorBidi" w:hAnsiTheme="majorBidi" w:cstheme="majorBidi"/>
          <w:sz w:val="24"/>
          <w:szCs w:val="24"/>
        </w:rPr>
        <w:br/>
      </w:r>
      <w:r>
        <w:rPr>
          <w:rFonts w:asciiTheme="majorBidi" w:hAnsiTheme="majorBidi" w:cstheme="majorBidi"/>
          <w:sz w:val="24"/>
          <w:szCs w:val="24"/>
          <w:rtl/>
        </w:rPr>
        <w:t>حمادي، عبد الله</w:t>
      </w:r>
      <w:r>
        <w:rPr>
          <w:rFonts w:asciiTheme="majorBidi" w:hAnsiTheme="majorBidi" w:cstheme="majorBidi"/>
          <w:sz w:val="24"/>
          <w:szCs w:val="24"/>
        </w:rPr>
        <w:t xml:space="preserve">. (2022). </w:t>
      </w:r>
      <w:r>
        <w:rPr>
          <w:rFonts w:asciiTheme="majorBidi" w:hAnsiTheme="majorBidi" w:cstheme="majorBidi"/>
          <w:i/>
          <w:iCs/>
          <w:sz w:val="24"/>
          <w:szCs w:val="24"/>
          <w:rtl/>
        </w:rPr>
        <w:t>المسؤولية المدنية عن أفعال الذكاء الاصطناعي</w:t>
      </w:r>
      <w:r>
        <w:rPr>
          <w:rFonts w:asciiTheme="majorBidi" w:hAnsiTheme="majorBidi" w:cstheme="majorBidi"/>
          <w:sz w:val="24"/>
          <w:szCs w:val="24"/>
        </w:rPr>
        <w:t xml:space="preserve">. </w:t>
      </w:r>
      <w:r>
        <w:rPr>
          <w:rFonts w:asciiTheme="majorBidi" w:hAnsiTheme="majorBidi" w:cstheme="majorBidi"/>
          <w:sz w:val="24"/>
          <w:szCs w:val="24"/>
          <w:rtl/>
        </w:rPr>
        <w:t>مجلة علمية قانونية، المجلد</w:t>
      </w:r>
      <w:r>
        <w:rPr>
          <w:rFonts w:asciiTheme="majorBidi" w:hAnsiTheme="majorBidi" w:cstheme="majorBidi"/>
          <w:sz w:val="24"/>
          <w:szCs w:val="24"/>
        </w:rPr>
        <w:t xml:space="preserve"> (8).</w:t>
      </w:r>
      <w:r>
        <w:rPr>
          <w:rFonts w:asciiTheme="majorBidi" w:hAnsiTheme="majorBidi" w:cstheme="majorBidi"/>
          <w:sz w:val="24"/>
          <w:szCs w:val="24"/>
        </w:rPr>
        <w:br/>
      </w:r>
      <w:r>
        <w:rPr>
          <w:rFonts w:asciiTheme="majorBidi" w:hAnsiTheme="majorBidi" w:cstheme="majorBidi"/>
          <w:sz w:val="24"/>
          <w:szCs w:val="24"/>
          <w:rtl/>
        </w:rPr>
        <w:t>خليل، محمد سعيد</w:t>
      </w:r>
      <w:r>
        <w:rPr>
          <w:rFonts w:asciiTheme="majorBidi" w:hAnsiTheme="majorBidi" w:cstheme="majorBidi"/>
          <w:sz w:val="24"/>
          <w:szCs w:val="24"/>
        </w:rPr>
        <w:t xml:space="preserve">. (2022). </w:t>
      </w:r>
      <w:r>
        <w:rPr>
          <w:rFonts w:asciiTheme="majorBidi" w:hAnsiTheme="majorBidi" w:cstheme="majorBidi"/>
          <w:i/>
          <w:iCs/>
          <w:sz w:val="24"/>
          <w:szCs w:val="24"/>
          <w:rtl/>
        </w:rPr>
        <w:t>المسؤولية القانونية عن أفعال الذكاء الاصطناعي</w:t>
      </w:r>
      <w:r>
        <w:rPr>
          <w:rFonts w:asciiTheme="majorBidi" w:hAnsiTheme="majorBidi" w:cstheme="majorBidi"/>
          <w:sz w:val="24"/>
          <w:szCs w:val="24"/>
        </w:rPr>
        <w:t xml:space="preserve">. </w:t>
      </w:r>
      <w:r>
        <w:rPr>
          <w:rFonts w:asciiTheme="majorBidi" w:hAnsiTheme="majorBidi" w:cstheme="majorBidi"/>
          <w:sz w:val="24"/>
          <w:szCs w:val="24"/>
          <w:rtl/>
        </w:rPr>
        <w:t>مجلة علمية قانونية، المجلد</w:t>
      </w:r>
      <w:r>
        <w:rPr>
          <w:rFonts w:asciiTheme="majorBidi" w:hAnsiTheme="majorBidi" w:cstheme="majorBidi"/>
          <w:sz w:val="24"/>
          <w:szCs w:val="24"/>
        </w:rPr>
        <w:t xml:space="preserve"> (8).</w:t>
      </w:r>
      <w:r>
        <w:rPr>
          <w:rFonts w:asciiTheme="majorBidi" w:hAnsiTheme="majorBidi" w:cstheme="majorBidi"/>
          <w:sz w:val="24"/>
          <w:szCs w:val="24"/>
        </w:rPr>
        <w:br/>
      </w:r>
      <w:r>
        <w:rPr>
          <w:rFonts w:asciiTheme="majorBidi" w:hAnsiTheme="majorBidi" w:cstheme="majorBidi"/>
          <w:sz w:val="24"/>
          <w:szCs w:val="24"/>
          <w:rtl/>
        </w:rPr>
        <w:t>مجلة العدالة</w:t>
      </w:r>
      <w:r>
        <w:rPr>
          <w:rFonts w:asciiTheme="majorBidi" w:hAnsiTheme="majorBidi" w:cstheme="majorBidi"/>
          <w:sz w:val="24"/>
          <w:szCs w:val="24"/>
        </w:rPr>
        <w:t xml:space="preserve">. (2022). </w:t>
      </w:r>
      <w:r>
        <w:rPr>
          <w:rFonts w:asciiTheme="majorBidi" w:hAnsiTheme="majorBidi" w:cstheme="majorBidi"/>
          <w:i/>
          <w:iCs/>
          <w:sz w:val="24"/>
          <w:szCs w:val="24"/>
          <w:rtl/>
        </w:rPr>
        <w:t>المسؤولية عن الذكاء الاصطناعي</w:t>
      </w:r>
      <w:r>
        <w:rPr>
          <w:rFonts w:asciiTheme="majorBidi" w:hAnsiTheme="majorBidi" w:cstheme="majorBidi"/>
          <w:sz w:val="24"/>
          <w:szCs w:val="24"/>
        </w:rPr>
        <w:t xml:space="preserve">. </w:t>
      </w:r>
      <w:r>
        <w:rPr>
          <w:rFonts w:asciiTheme="majorBidi" w:hAnsiTheme="majorBidi" w:cstheme="majorBidi"/>
          <w:sz w:val="24"/>
          <w:szCs w:val="24"/>
          <w:rtl/>
        </w:rPr>
        <w:t>وزارة العدل السعودية، العدد</w:t>
      </w:r>
      <w:r>
        <w:rPr>
          <w:rFonts w:asciiTheme="majorBidi" w:hAnsiTheme="majorBidi" w:cstheme="majorBidi"/>
          <w:sz w:val="24"/>
          <w:szCs w:val="24"/>
        </w:rPr>
        <w:t xml:space="preserve"> (65).</w:t>
      </w:r>
      <w:r>
        <w:rPr>
          <w:rFonts w:asciiTheme="majorBidi" w:hAnsiTheme="majorBidi" w:cstheme="majorBidi"/>
          <w:sz w:val="24"/>
          <w:szCs w:val="24"/>
        </w:rPr>
        <w:br/>
      </w:r>
      <w:r>
        <w:rPr>
          <w:rFonts w:asciiTheme="majorBidi" w:hAnsiTheme="majorBidi" w:cstheme="majorBidi"/>
          <w:sz w:val="24"/>
          <w:szCs w:val="24"/>
          <w:rtl/>
        </w:rPr>
        <w:lastRenderedPageBreak/>
        <w:t>مجلة الشريعة والقانون</w:t>
      </w:r>
      <w:r>
        <w:rPr>
          <w:rFonts w:asciiTheme="majorBidi" w:hAnsiTheme="majorBidi" w:cstheme="majorBidi"/>
          <w:sz w:val="24"/>
          <w:szCs w:val="24"/>
        </w:rPr>
        <w:t xml:space="preserve">. (2022). </w:t>
      </w:r>
      <w:r>
        <w:rPr>
          <w:rFonts w:asciiTheme="majorBidi" w:hAnsiTheme="majorBidi" w:cstheme="majorBidi"/>
          <w:i/>
          <w:iCs/>
          <w:sz w:val="24"/>
          <w:szCs w:val="24"/>
          <w:rtl/>
        </w:rPr>
        <w:t>الذكاء الاصطناعي والعمل القضائي</w:t>
      </w:r>
      <w:r>
        <w:rPr>
          <w:rFonts w:asciiTheme="majorBidi" w:hAnsiTheme="majorBidi" w:cstheme="majorBidi"/>
          <w:sz w:val="24"/>
          <w:szCs w:val="24"/>
        </w:rPr>
        <w:t xml:space="preserve">. </w:t>
      </w:r>
      <w:r>
        <w:rPr>
          <w:rFonts w:asciiTheme="majorBidi" w:hAnsiTheme="majorBidi" w:cstheme="majorBidi"/>
          <w:sz w:val="24"/>
          <w:szCs w:val="24"/>
          <w:rtl/>
        </w:rPr>
        <w:t>كلية القانون، جامعة الإمارات العربية المتحدة، العدد</w:t>
      </w:r>
      <w:r>
        <w:rPr>
          <w:rFonts w:asciiTheme="majorBidi" w:hAnsiTheme="majorBidi" w:cstheme="majorBidi"/>
          <w:sz w:val="24"/>
          <w:szCs w:val="24"/>
        </w:rPr>
        <w:t xml:space="preserve"> (99).</w:t>
      </w:r>
      <w:r>
        <w:rPr>
          <w:rFonts w:asciiTheme="majorBidi" w:hAnsiTheme="majorBidi" w:cstheme="majorBidi"/>
          <w:sz w:val="24"/>
          <w:szCs w:val="24"/>
        </w:rPr>
        <w:br/>
      </w:r>
      <w:r>
        <w:rPr>
          <w:rFonts w:asciiTheme="majorBidi" w:hAnsiTheme="majorBidi" w:cstheme="majorBidi"/>
          <w:sz w:val="24"/>
          <w:szCs w:val="24"/>
          <w:rtl/>
        </w:rPr>
        <w:t>مجلة علمية</w:t>
      </w:r>
      <w:r>
        <w:rPr>
          <w:rFonts w:asciiTheme="majorBidi" w:hAnsiTheme="majorBidi" w:cstheme="majorBidi"/>
          <w:sz w:val="24"/>
          <w:szCs w:val="24"/>
        </w:rPr>
        <w:t xml:space="preserve">. (2022). </w:t>
      </w:r>
      <w:r>
        <w:rPr>
          <w:rFonts w:asciiTheme="majorBidi" w:hAnsiTheme="majorBidi" w:cstheme="majorBidi"/>
          <w:i/>
          <w:iCs/>
          <w:sz w:val="24"/>
          <w:szCs w:val="24"/>
          <w:rtl/>
        </w:rPr>
        <w:t>الذكاء الاصطناعي والآثار القانونية المترتبة عن استخدامه</w:t>
      </w:r>
      <w:r>
        <w:rPr>
          <w:rFonts w:asciiTheme="majorBidi" w:hAnsiTheme="majorBidi" w:cstheme="majorBidi"/>
          <w:sz w:val="24"/>
          <w:szCs w:val="24"/>
        </w:rPr>
        <w:t xml:space="preserve">. </w:t>
      </w:r>
      <w:r>
        <w:rPr>
          <w:rFonts w:asciiTheme="majorBidi" w:hAnsiTheme="majorBidi" w:cstheme="majorBidi"/>
          <w:sz w:val="24"/>
          <w:szCs w:val="24"/>
          <w:rtl/>
        </w:rPr>
        <w:t>مجلة علمية قانونية، المجلد</w:t>
      </w:r>
      <w:r>
        <w:rPr>
          <w:rFonts w:asciiTheme="majorBidi" w:hAnsiTheme="majorBidi" w:cstheme="majorBidi"/>
          <w:sz w:val="24"/>
          <w:szCs w:val="24"/>
        </w:rPr>
        <w:t xml:space="preserve"> (7).</w:t>
      </w:r>
      <w:r>
        <w:rPr>
          <w:rFonts w:asciiTheme="majorBidi" w:hAnsiTheme="majorBidi" w:cstheme="majorBidi"/>
          <w:sz w:val="24"/>
          <w:szCs w:val="24"/>
        </w:rPr>
        <w:br/>
      </w:r>
      <w:r>
        <w:rPr>
          <w:rFonts w:asciiTheme="majorBidi" w:hAnsiTheme="majorBidi" w:cstheme="majorBidi"/>
          <w:sz w:val="24"/>
          <w:szCs w:val="24"/>
          <w:rtl/>
        </w:rPr>
        <w:t>الأسيوطي، مصطفى</w:t>
      </w:r>
      <w:r>
        <w:rPr>
          <w:rFonts w:asciiTheme="majorBidi" w:hAnsiTheme="majorBidi" w:cstheme="majorBidi"/>
          <w:sz w:val="24"/>
          <w:szCs w:val="24"/>
        </w:rPr>
        <w:t xml:space="preserve">. (2020). </w:t>
      </w:r>
      <w:r>
        <w:rPr>
          <w:rFonts w:asciiTheme="majorBidi" w:hAnsiTheme="majorBidi" w:cstheme="majorBidi"/>
          <w:i/>
          <w:iCs/>
          <w:sz w:val="24"/>
          <w:szCs w:val="24"/>
          <w:rtl/>
        </w:rPr>
        <w:t>حماية التصرفات القانونية وإثباتها عبر تطبيق الذكاء الاصطناعي</w:t>
      </w:r>
      <w:r>
        <w:rPr>
          <w:rFonts w:asciiTheme="majorBidi" w:hAnsiTheme="majorBidi" w:cstheme="majorBidi"/>
          <w:sz w:val="24"/>
          <w:szCs w:val="24"/>
        </w:rPr>
        <w:t xml:space="preserve">. </w:t>
      </w:r>
      <w:r>
        <w:rPr>
          <w:rFonts w:asciiTheme="majorBidi" w:hAnsiTheme="majorBidi" w:cstheme="majorBidi"/>
          <w:i/>
          <w:iCs/>
          <w:sz w:val="24"/>
          <w:szCs w:val="24"/>
          <w:rtl/>
        </w:rPr>
        <w:t>مجلة الباحث العربي</w:t>
      </w:r>
      <w:r>
        <w:rPr>
          <w:rFonts w:asciiTheme="majorBidi" w:hAnsiTheme="majorBidi" w:cstheme="majorBidi"/>
          <w:sz w:val="24"/>
          <w:szCs w:val="24"/>
          <w:rtl/>
        </w:rPr>
        <w:t>، العدد</w:t>
      </w:r>
      <w:r>
        <w:rPr>
          <w:rFonts w:asciiTheme="majorBidi" w:hAnsiTheme="majorBidi" w:cstheme="majorBidi"/>
          <w:sz w:val="24"/>
          <w:szCs w:val="24"/>
        </w:rPr>
        <w:t xml:space="preserve"> (12).</w:t>
      </w:r>
      <w:r>
        <w:rPr>
          <w:rFonts w:asciiTheme="majorBidi" w:hAnsiTheme="majorBidi" w:cstheme="majorBidi"/>
          <w:sz w:val="24"/>
          <w:szCs w:val="24"/>
        </w:rPr>
        <w:br/>
      </w:r>
      <w:r>
        <w:rPr>
          <w:rFonts w:asciiTheme="majorBidi" w:hAnsiTheme="majorBidi" w:cstheme="majorBidi"/>
          <w:sz w:val="24"/>
          <w:szCs w:val="24"/>
          <w:rtl/>
        </w:rPr>
        <w:t>قاسم، مراد محمد غالب</w:t>
      </w:r>
      <w:r>
        <w:rPr>
          <w:rFonts w:asciiTheme="majorBidi" w:hAnsiTheme="majorBidi" w:cstheme="majorBidi"/>
          <w:sz w:val="24"/>
          <w:szCs w:val="24"/>
        </w:rPr>
        <w:t xml:space="preserve">. (2024). </w:t>
      </w:r>
      <w:r>
        <w:rPr>
          <w:rFonts w:asciiTheme="majorBidi" w:hAnsiTheme="majorBidi" w:cstheme="majorBidi"/>
          <w:i/>
          <w:iCs/>
          <w:sz w:val="24"/>
          <w:szCs w:val="24"/>
          <w:rtl/>
        </w:rPr>
        <w:t>دور الذكاء الاصطناعي في مكافحة الجريمة الإلكترونية: دراسة مقارنة</w:t>
      </w:r>
      <w:r>
        <w:rPr>
          <w:rFonts w:asciiTheme="majorBidi" w:hAnsiTheme="majorBidi" w:cstheme="majorBidi"/>
          <w:sz w:val="24"/>
          <w:szCs w:val="24"/>
        </w:rPr>
        <w:t xml:space="preserve">. </w:t>
      </w:r>
      <w:r>
        <w:rPr>
          <w:rFonts w:asciiTheme="majorBidi" w:hAnsiTheme="majorBidi" w:cstheme="majorBidi"/>
          <w:i/>
          <w:iCs/>
          <w:sz w:val="24"/>
          <w:szCs w:val="24"/>
          <w:rtl/>
        </w:rPr>
        <w:t>المجلة العصرية للدراسات القانونية</w:t>
      </w:r>
      <w:r>
        <w:rPr>
          <w:rFonts w:asciiTheme="majorBidi" w:hAnsiTheme="majorBidi" w:cstheme="majorBidi"/>
          <w:sz w:val="24"/>
          <w:szCs w:val="24"/>
          <w:rtl/>
        </w:rPr>
        <w:t>، العدد</w:t>
      </w:r>
      <w:r>
        <w:rPr>
          <w:rFonts w:asciiTheme="majorBidi" w:hAnsiTheme="majorBidi" w:cstheme="majorBidi"/>
          <w:sz w:val="24"/>
          <w:szCs w:val="24"/>
        </w:rPr>
        <w:t xml:space="preserve"> (10).</w:t>
      </w:r>
      <w:r>
        <w:rPr>
          <w:rFonts w:asciiTheme="majorBidi" w:hAnsiTheme="majorBidi" w:cstheme="majorBidi"/>
          <w:sz w:val="24"/>
          <w:szCs w:val="24"/>
        </w:rPr>
        <w:br/>
      </w:r>
      <w:r>
        <w:rPr>
          <w:rFonts w:asciiTheme="majorBidi" w:hAnsiTheme="majorBidi" w:cstheme="majorBidi"/>
          <w:sz w:val="24"/>
          <w:szCs w:val="24"/>
          <w:rtl/>
        </w:rPr>
        <w:t>العلي، عبدالعزيز عبدالناصر</w:t>
      </w:r>
      <w:r>
        <w:rPr>
          <w:rFonts w:asciiTheme="majorBidi" w:hAnsiTheme="majorBidi" w:cstheme="majorBidi"/>
          <w:sz w:val="24"/>
          <w:szCs w:val="24"/>
        </w:rPr>
        <w:t xml:space="preserve">. (2024). </w:t>
      </w:r>
      <w:r>
        <w:rPr>
          <w:rFonts w:asciiTheme="majorBidi" w:hAnsiTheme="majorBidi" w:cstheme="majorBidi"/>
          <w:i/>
          <w:iCs/>
          <w:sz w:val="24"/>
          <w:szCs w:val="24"/>
          <w:rtl/>
        </w:rPr>
        <w:t>الذكاء الاصطناعي ودوره في إبرام العقود التجارية الذكية</w:t>
      </w:r>
      <w:r>
        <w:rPr>
          <w:rFonts w:asciiTheme="majorBidi" w:hAnsiTheme="majorBidi" w:cstheme="majorBidi"/>
          <w:sz w:val="24"/>
          <w:szCs w:val="24"/>
        </w:rPr>
        <w:t xml:space="preserve">. </w:t>
      </w:r>
      <w:r>
        <w:rPr>
          <w:rFonts w:asciiTheme="majorBidi" w:hAnsiTheme="majorBidi" w:cstheme="majorBidi"/>
          <w:sz w:val="24"/>
          <w:szCs w:val="24"/>
          <w:rtl/>
        </w:rPr>
        <w:t>بحث علمي منشور</w:t>
      </w:r>
    </w:p>
    <w:p w14:paraId="50780CAC" w14:textId="77777777" w:rsidR="00CB3527" w:rsidRDefault="00CB3527" w:rsidP="00CB3527">
      <w:pPr>
        <w:ind w:right="720"/>
        <w:jc w:val="right"/>
        <w:rPr>
          <w:rFonts w:asciiTheme="majorBidi" w:hAnsiTheme="majorBidi" w:cstheme="majorBidi"/>
          <w:sz w:val="24"/>
          <w:szCs w:val="24"/>
          <w:rtl/>
        </w:rPr>
      </w:pPr>
      <w:r>
        <w:rPr>
          <w:rFonts w:asciiTheme="majorBidi" w:hAnsiTheme="majorBidi" w:cstheme="majorBidi"/>
          <w:sz w:val="24"/>
          <w:szCs w:val="24"/>
          <w:rtl/>
        </w:rPr>
        <w:t>إسماعيل، محمد شحادة (2025م). تأثير الذكاء الاصطناعي على المهن القانونية. مجلة الباحث العربي، مجلد 6، عدد 1. DOI: 10.57072/ar.v6i1.159.</w:t>
      </w:r>
    </w:p>
    <w:p w14:paraId="288AF7AE" w14:textId="77777777" w:rsidR="00CB3527" w:rsidRDefault="00CB3527" w:rsidP="00CB3527">
      <w:pPr>
        <w:ind w:right="720"/>
        <w:jc w:val="right"/>
        <w:rPr>
          <w:rFonts w:asciiTheme="majorBidi" w:hAnsiTheme="majorBidi" w:cstheme="majorBidi"/>
          <w:sz w:val="24"/>
          <w:szCs w:val="24"/>
          <w:rtl/>
        </w:rPr>
      </w:pPr>
      <w:r>
        <w:rPr>
          <w:rFonts w:asciiTheme="majorBidi" w:hAnsiTheme="majorBidi" w:cstheme="majorBidi"/>
          <w:sz w:val="24"/>
          <w:szCs w:val="24"/>
          <w:rtl/>
        </w:rPr>
        <w:t>الغنامي، نايف بن ناشي (د.ت). الضوابط القانونية للذكاء الاصطناعي في إبرام المعاملات القانونية. قسم القانون، كلية العلوم والدراسات النظرية، الجامعة السعودية الإلكترونية، الرياض.</w:t>
      </w:r>
    </w:p>
    <w:p w14:paraId="764C95D7" w14:textId="77777777" w:rsidR="00CB3527" w:rsidRDefault="00CB3527" w:rsidP="00CB3527">
      <w:pPr>
        <w:ind w:right="720"/>
        <w:jc w:val="right"/>
        <w:rPr>
          <w:rFonts w:asciiTheme="majorBidi" w:hAnsiTheme="majorBidi" w:cstheme="majorBidi"/>
          <w:sz w:val="24"/>
          <w:szCs w:val="24"/>
          <w:rtl/>
        </w:rPr>
      </w:pPr>
      <w:r>
        <w:rPr>
          <w:rFonts w:asciiTheme="majorBidi" w:hAnsiTheme="majorBidi" w:cstheme="majorBidi"/>
          <w:sz w:val="24"/>
          <w:szCs w:val="24"/>
          <w:rtl/>
        </w:rPr>
        <w:t>بالل، فاطمة عبد العزيز حسن أحمد (2023م). دور الذكاء الاصطناعي في تعزيز العدالة الناجزة أمام القضاء - دراسة مقارنة مع النظامين القانوني والقضائي في دولة قطر. رسالة ماجستير في القانون الخاص، كلية القانون، جامعة قطر.</w:t>
      </w:r>
    </w:p>
    <w:p w14:paraId="731D4BD1" w14:textId="77777777" w:rsidR="00CB3527" w:rsidRDefault="00CB3527" w:rsidP="00CB3527">
      <w:pPr>
        <w:ind w:right="720"/>
        <w:jc w:val="right"/>
        <w:rPr>
          <w:rFonts w:asciiTheme="majorBidi" w:hAnsiTheme="majorBidi" w:cstheme="majorBidi"/>
          <w:sz w:val="24"/>
          <w:szCs w:val="24"/>
          <w:rtl/>
        </w:rPr>
      </w:pPr>
      <w:r>
        <w:rPr>
          <w:rFonts w:asciiTheme="majorBidi" w:hAnsiTheme="majorBidi" w:cstheme="majorBidi"/>
          <w:sz w:val="24"/>
          <w:szCs w:val="24"/>
          <w:rtl/>
        </w:rPr>
        <w:t>محمود، سيد أحمد؛ وعناني، مريم عماد (د.ت). الذكاء الاصطناعي والعمل القضائي - دراسة تحليلية مقارنة. بحث مقدم في مؤتمر التحديات والآفاق القانونية والاقتصادية للذكاء الاصطناعي، كلية الحقوق، جامعة عين شمس، القاهرة.</w:t>
      </w:r>
    </w:p>
    <w:p w14:paraId="45F294BA" w14:textId="77777777" w:rsidR="00CB3527" w:rsidRDefault="00CB3527" w:rsidP="00CB3527">
      <w:pPr>
        <w:ind w:right="720"/>
        <w:jc w:val="right"/>
        <w:rPr>
          <w:rFonts w:asciiTheme="majorBidi" w:hAnsiTheme="majorBidi" w:cstheme="majorBidi"/>
          <w:sz w:val="24"/>
          <w:szCs w:val="24"/>
          <w:rtl/>
        </w:rPr>
      </w:pPr>
      <w:r>
        <w:rPr>
          <w:rFonts w:asciiTheme="majorBidi" w:hAnsiTheme="majorBidi" w:cstheme="majorBidi"/>
          <w:sz w:val="24"/>
          <w:szCs w:val="24"/>
          <w:rtl/>
        </w:rPr>
        <w:t>مركز الدراسات والبحوث القانونية (2024م). استخدام الذكاء الاصطناعي في المحاكم. وزارة العدل، المملكة العربية السعودية.</w:t>
      </w:r>
    </w:p>
    <w:p w14:paraId="06406A88" w14:textId="77777777" w:rsidR="00CB3527" w:rsidRDefault="00CB3527" w:rsidP="00CB3527">
      <w:pPr>
        <w:ind w:right="720"/>
        <w:jc w:val="right"/>
        <w:rPr>
          <w:rFonts w:asciiTheme="majorBidi" w:hAnsiTheme="majorBidi" w:cstheme="majorBidi"/>
          <w:sz w:val="24"/>
          <w:szCs w:val="24"/>
          <w:rtl/>
        </w:rPr>
      </w:pPr>
      <w:r>
        <w:rPr>
          <w:rFonts w:asciiTheme="majorBidi" w:hAnsiTheme="majorBidi" w:cstheme="majorBidi"/>
          <w:sz w:val="24"/>
          <w:szCs w:val="24"/>
          <w:rtl/>
        </w:rPr>
        <w:t>التونسي، آيات بنت أحمد؛ والمعلم، سليمان بن محمد (2024م). القواعد والإجراءات المنظمة لاستخدامات الذكاء الاصطناعي بالمملكة العربية السعودية وآثارها القانونية - دراسة تحليلية مقارنة. المجلة العربية للنشر العلمي، الإصدار 7، العدد 73، ص 368-412. DOI: 10.36571/ajsp7321.</w:t>
      </w:r>
    </w:p>
    <w:p w14:paraId="70439767" w14:textId="77777777" w:rsidR="00CB3527" w:rsidRDefault="00CB3527" w:rsidP="00CB3527">
      <w:pPr>
        <w:ind w:right="720"/>
        <w:jc w:val="right"/>
        <w:rPr>
          <w:rFonts w:asciiTheme="majorBidi" w:hAnsiTheme="majorBidi" w:cstheme="majorBidi"/>
          <w:sz w:val="24"/>
          <w:szCs w:val="24"/>
          <w:rtl/>
        </w:rPr>
      </w:pPr>
      <w:r>
        <w:rPr>
          <w:rFonts w:asciiTheme="majorBidi" w:hAnsiTheme="majorBidi" w:cstheme="majorBidi"/>
          <w:sz w:val="24"/>
          <w:szCs w:val="24"/>
          <w:rtl/>
        </w:rPr>
        <w:t>علي، سعاد حسني محمد (د.ت). الذكاء الاصطناعي ودوره في إبرام العقود التجارية. مجلة الشريعة والقانون، جامعة الأزهر. ISSN-P: 1110-3779.</w:t>
      </w:r>
    </w:p>
    <w:p w14:paraId="6C144CDE" w14:textId="77777777" w:rsidR="00CB3527" w:rsidRDefault="00CB3527" w:rsidP="00CB3527">
      <w:pPr>
        <w:ind w:right="720"/>
        <w:jc w:val="right"/>
        <w:rPr>
          <w:rFonts w:asciiTheme="majorBidi" w:hAnsiTheme="majorBidi" w:cstheme="majorBidi"/>
          <w:sz w:val="24"/>
          <w:szCs w:val="24"/>
          <w:rtl/>
        </w:rPr>
      </w:pPr>
      <w:r>
        <w:rPr>
          <w:rFonts w:asciiTheme="majorBidi" w:hAnsiTheme="majorBidi" w:cstheme="majorBidi"/>
          <w:sz w:val="24"/>
          <w:szCs w:val="24"/>
          <w:rtl/>
        </w:rPr>
        <w:t>غاسم، مراد محمد غالب (2022م). دور الذكاء الاصطناعي في مكافحة الجريمة الإلكترونية - دراسة مقارنة. بحث علمي محكّم.</w:t>
      </w:r>
    </w:p>
    <w:p w14:paraId="0476D5E4" w14:textId="1BF9DB60" w:rsidR="004639DD" w:rsidRPr="004639DD" w:rsidRDefault="004639DD" w:rsidP="004639DD">
      <w:pPr>
        <w:jc w:val="right"/>
        <w:rPr>
          <w:rFonts w:asciiTheme="majorBidi" w:hAnsiTheme="majorBidi" w:cstheme="majorBidi"/>
          <w:sz w:val="24"/>
          <w:szCs w:val="24"/>
        </w:rPr>
      </w:pPr>
      <w:r>
        <w:rPr>
          <w:rFonts w:asciiTheme="majorBidi" w:hAnsiTheme="majorBidi" w:cstheme="majorBidi"/>
          <w:sz w:val="24"/>
          <w:szCs w:val="24"/>
        </w:rPr>
        <w:t>.</w:t>
      </w:r>
    </w:p>
    <w:p w14:paraId="60BECF61"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الأسيوطي، أيمن محمد سيد مصطفى (2020م). حماية التصرفات القانونية وإثباتها عبر تطبيق الذكاء الاصطناعي. مجلة الباحث العربي، مجلد 1، عدد 1. http://doi.org/10.57072/ar.v1i1.16</w:t>
      </w:r>
    </w:p>
    <w:p w14:paraId="4AB72AAB"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التونسي، آيات أحمد؛ والمعلم، سليمان محمد (2024م). القواعد والإجراءات المنظمة لاستخدامات الذكاء الاصطناعي بالمملكة العربية السعودية وآثارها القانونية - دراسة تحليلية مقارنة. المجلة العربية للنشر العلمي، الإصدار 7، العدد 73. https://doi.org/10.36571/ajsp7321</w:t>
      </w:r>
    </w:p>
    <w:p w14:paraId="42BC43B6"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lastRenderedPageBreak/>
        <w:t>الخليفة، وليد بن إبراهيم بن عبد الله (1444هـ). نظام الإثبات وأدلته الإجرائية مع الفهارس. الرياض: الجمعية العلمية القضائية السعودية (قضاء).</w:t>
      </w:r>
    </w:p>
    <w:p w14:paraId="4B7E7DB3"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الغامدي، رهف صالح (2025م). الطبيعة القانونية للعقود الذكية في المملكة العربية السعودية - دراسة تحليلية. مجلة القانون والأعمال الدولية، الإصدار 57، أبريل/مايو 2025م. ISSN: 2509-0291.</w:t>
      </w:r>
    </w:p>
    <w:p w14:paraId="4EA91B09"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الغنامي، نايف بن ناشي (د.ت). الضوابط القانونية للذكاء الاصطناعي في إبرام المعاملات القانونية. الجامعة السعودية الإلكترونية، قسم القانون، كلية العلوم والدراسات النظرية.</w:t>
      </w:r>
    </w:p>
    <w:p w14:paraId="487F0E66"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المالكي، خالد بن عبد الرحيم (2024م). المسؤولية المدنية عن فعل الذكاء الاصطناعي في النظام السعودي - دراسة تحليلية تأصيلية. مجلة البحوث الفقهية والقانونية، جامعة الأزهر، عدد 47.</w:t>
      </w:r>
    </w:p>
    <w:p w14:paraId="4D5828A2"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المركز الوطني للدراسات والبحوث القانونية (2024م). استخدام الذكاء الاصطناعي في المحاكم. الرياض: بالتعاون مع خبراء دوليين، بهدف إثراء البيئة القانونية في المملكة العربية السعودية.</w:t>
      </w:r>
    </w:p>
    <w:p w14:paraId="144B4D2D"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إسماعيل، محمد شحادة (2025م). تأثير الذكاء الاصطناعي على المهن القانونية. مجلة الباحث العربي، مجلد 6، عدد 1. https://doi.org/10.57072/ar.v6i1.159</w:t>
      </w:r>
    </w:p>
    <w:p w14:paraId="27DC6162"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أبو العيد، طاهر (2022م). الذكاء الاصطناعي والقانون. منشور عبر ResearchGate. https://www.researchgate.net/publication/361722936</w:t>
      </w:r>
    </w:p>
    <w:p w14:paraId="4C90C29E"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بلال، فاطمة عبد العزيز (2023م). دور الذكاء الاصطناعي في تعزيز العدالة الناجزة أمام القضاء - دراسة مقارنة. رسالة ماجستير، كلية القانون، جامعة قطر.</w:t>
      </w:r>
    </w:p>
    <w:p w14:paraId="68871551"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جابر، عبد القادر عبد الله أحمد (2023م). تطبيقات الذكاء الاصطناعي في الحكم القضائي - دراسة قانونية. المجلة الدولية للبحوث النوعية المتخصصة (IJSSR)، عدد 42.</w:t>
      </w:r>
    </w:p>
    <w:p w14:paraId="2149B02D"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رجب، ياسر محمد عبد السلام (د.ت). دور الدولة في تأطير أخلاقيات الذكاء الاصطناعي - دراسة مقارنة. المجلة القانونية. ISSN: 2537-0758.</w:t>
      </w:r>
    </w:p>
    <w:p w14:paraId="0940C17B" w14:textId="22F86978"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علي، سعاد حسني محمد (د.ت). الذكاء الاصطناعي ودوره في إبرام العقود التجارية. قسم القانون التجاري والبحري، كلية الحقوق، جامعة عين شمس</w:t>
      </w:r>
    </w:p>
    <w:p w14:paraId="7B3F36DE"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قاسم، مراد محمد غالب (2024م). دور الذكاء الاصطناعي في مكافحة الجريمة الإلكترونية - دراسة مقارنة. جامعة تعز.</w:t>
      </w:r>
    </w:p>
    <w:p w14:paraId="4328E181"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لقرب، سامية (2024م). الذكاء الاصطناعي والآثار القانونية المترتبة عن استخدامه. مجلة المحترف، المجلد 11، العدد 4، ص236-253.</w:t>
      </w:r>
    </w:p>
    <w:p w14:paraId="125FD946"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محمود، سيد أحمد؛ وعناني، مريم عماد محمد (د.ت). الذكاء الاصطناعي والعمل القضائي - دراسة تحليلية مقارنة. ضمن: التحديات والآفاق القانونية والاقتصادية للذكاء الاصطناعي، ص920. كلية الحقوق، جامعة عين شمس.</w:t>
      </w:r>
    </w:p>
    <w:p w14:paraId="021F09E1"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مرسي، محمد إبراهيم عبد المنعم (2023م). مدى ملاءمة عقود الذكاء الاصطناعي المبرمة عبر تقنية البلوك تشين لقانون العقود. مجلة البحوث الفقهية والقانونية، جامعة الأزهر، ص913.</w:t>
      </w:r>
    </w:p>
    <w:p w14:paraId="7BCAC018" w14:textId="77777777" w:rsidR="00CB3527" w:rsidRDefault="00CB3527" w:rsidP="00CB3527">
      <w:pPr>
        <w:bidi/>
        <w:ind w:right="720"/>
        <w:jc w:val="both"/>
        <w:rPr>
          <w:rFonts w:asciiTheme="majorBidi" w:hAnsiTheme="majorBidi" w:cstheme="majorBidi"/>
          <w:sz w:val="24"/>
          <w:szCs w:val="24"/>
          <w:rtl/>
        </w:rPr>
      </w:pPr>
      <w:r>
        <w:rPr>
          <w:rFonts w:asciiTheme="majorBidi" w:hAnsiTheme="majorBidi" w:cstheme="majorBidi"/>
          <w:sz w:val="24"/>
          <w:szCs w:val="24"/>
          <w:rtl/>
        </w:rPr>
        <w:t>نشأت، جابر عبد الله (د.ت). المسؤولية عن الذكاء الاصطناعي بين القانون الخاص والقانون العام. مجلة العدالة.</w:t>
      </w:r>
    </w:p>
    <w:p w14:paraId="5DF84DEA" w14:textId="77777777" w:rsidR="004639DD" w:rsidRPr="004639DD" w:rsidRDefault="004639DD" w:rsidP="000003D3">
      <w:pPr>
        <w:jc w:val="right"/>
        <w:rPr>
          <w:rFonts w:asciiTheme="majorBidi" w:hAnsiTheme="majorBidi" w:cstheme="majorBidi"/>
          <w:sz w:val="24"/>
          <w:szCs w:val="24"/>
          <w:rtl/>
        </w:rPr>
      </w:pPr>
    </w:p>
    <w:sectPr w:rsidR="004639DD" w:rsidRPr="004639DD" w:rsidSect="00830A22">
      <w:footerReference w:type="default" r:id="rId9"/>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07D58" w14:textId="77777777" w:rsidR="00E302A2" w:rsidRDefault="00E302A2" w:rsidP="00ED5C01">
      <w:pPr>
        <w:spacing w:after="0" w:line="240" w:lineRule="auto"/>
      </w:pPr>
      <w:r>
        <w:separator/>
      </w:r>
    </w:p>
  </w:endnote>
  <w:endnote w:type="continuationSeparator" w:id="0">
    <w:p w14:paraId="1ED6136D" w14:textId="77777777" w:rsidR="00E302A2" w:rsidRDefault="00E302A2" w:rsidP="00ED5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e_Cortoba">
    <w:altName w:val="Times New Roman"/>
    <w:charset w:val="00"/>
    <w:family w:val="roman"/>
    <w:pitch w:val="variable"/>
    <w:sig w:usb0="00000000" w:usb1="C000204A"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1420339"/>
      <w:docPartObj>
        <w:docPartGallery w:val="Page Numbers (Bottom of Page)"/>
        <w:docPartUnique/>
      </w:docPartObj>
    </w:sdtPr>
    <w:sdtContent>
      <w:p w14:paraId="50C59DD7" w14:textId="77777777" w:rsidR="00575B64" w:rsidRDefault="00575B64">
        <w:pPr>
          <w:pStyle w:val="ad"/>
        </w:pPr>
        <w:r>
          <w:fldChar w:fldCharType="begin"/>
        </w:r>
        <w:r>
          <w:instrText>PAGE   \* MERGEFORMAT</w:instrText>
        </w:r>
        <w:r>
          <w:fldChar w:fldCharType="separate"/>
        </w:r>
        <w:r>
          <w:rPr>
            <w:rtl/>
            <w:lang w:val="ar-SA"/>
          </w:rPr>
          <w:t>2</w:t>
        </w:r>
        <w:r>
          <w:fldChar w:fldCharType="end"/>
        </w:r>
      </w:p>
    </w:sdtContent>
  </w:sdt>
  <w:p w14:paraId="484514CD" w14:textId="77777777" w:rsidR="00575B64" w:rsidRDefault="00575B64">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9ACFE" w14:textId="77777777" w:rsidR="00E302A2" w:rsidRDefault="00E302A2" w:rsidP="00ED5C01">
      <w:pPr>
        <w:spacing w:after="0" w:line="240" w:lineRule="auto"/>
      </w:pPr>
      <w:r>
        <w:separator/>
      </w:r>
    </w:p>
  </w:footnote>
  <w:footnote w:type="continuationSeparator" w:id="0">
    <w:p w14:paraId="2FA8E46C" w14:textId="77777777" w:rsidR="00E302A2" w:rsidRDefault="00E302A2" w:rsidP="00ED5C01">
      <w:pPr>
        <w:spacing w:after="0" w:line="240" w:lineRule="auto"/>
      </w:pPr>
      <w:r>
        <w:continuationSeparator/>
      </w:r>
    </w:p>
  </w:footnote>
  <w:footnote w:id="1">
    <w:p w14:paraId="3B9821B3" w14:textId="77777777" w:rsidR="00F219B4" w:rsidRPr="00E06468" w:rsidRDefault="00F219B4" w:rsidP="002029E8">
      <w:pPr>
        <w:numPr>
          <w:ilvl w:val="0"/>
          <w:numId w:val="1"/>
        </w:numPr>
        <w:bidi/>
        <w:rPr>
          <w:sz w:val="16"/>
          <w:szCs w:val="16"/>
        </w:rPr>
      </w:pPr>
      <w:r>
        <w:rPr>
          <w:sz w:val="18"/>
          <w:szCs w:val="18"/>
          <w:rtl/>
        </w:rPr>
        <w:t>الهيئة السعودية للبيانات والذكاء الاصطناعي (سدايا). (2023). وثيقة مبادئ أخلاقيات الذكاء الاصطناعي. الرياض: سدايا.</w:t>
      </w:r>
    </w:p>
  </w:footnote>
  <w:footnote w:id="2">
    <w:p w14:paraId="5651B002" w14:textId="77777777" w:rsidR="00A94FD1" w:rsidRPr="001C469F" w:rsidRDefault="00A94FD1" w:rsidP="002029E8">
      <w:pPr>
        <w:numPr>
          <w:ilvl w:val="0"/>
          <w:numId w:val="1"/>
        </w:numPr>
        <w:bidi/>
        <w:rPr>
          <w:sz w:val="16"/>
          <w:szCs w:val="16"/>
        </w:rPr>
      </w:pPr>
      <w:r>
        <w:rPr>
          <w:sz w:val="18"/>
          <w:szCs w:val="18"/>
          <w:rtl/>
        </w:rPr>
        <w:t>هيئة الخبراء بمجلس الوزراء. (1422هـ). نظام المحاماة، المرسوم الملكي رقم م/38، المادة (41). المملكة العربية السعودية.</w:t>
      </w:r>
    </w:p>
  </w:footnote>
  <w:footnote w:id="3">
    <w:p w14:paraId="16DA30B8" w14:textId="77777777" w:rsidR="00A94FD1" w:rsidRPr="001D7F0F" w:rsidRDefault="00A94FD1" w:rsidP="00A6276A">
      <w:pPr>
        <w:bidi/>
        <w:jc w:val="both"/>
        <w:rPr>
          <w:sz w:val="16"/>
          <w:szCs w:val="16"/>
          <w:rtl/>
        </w:rPr>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4">
    <w:p w14:paraId="4B8BBD36" w14:textId="77777777" w:rsidR="00C41E32" w:rsidRDefault="00000000" w:rsidP="00A6276A">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ص19.</w:t>
      </w:r>
    </w:p>
  </w:footnote>
  <w:footnote w:id="5">
    <w:p w14:paraId="4AE6AD90" w14:textId="77777777" w:rsidR="00C41E32" w:rsidRDefault="00000000" w:rsidP="00A6276A">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ص568.</w:t>
      </w:r>
    </w:p>
  </w:footnote>
  <w:footnote w:id="6">
    <w:p w14:paraId="0E9D4B33" w14:textId="77777777" w:rsidR="00C41E32" w:rsidRDefault="00000000" w:rsidP="00A6276A">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ص63.</w:t>
      </w:r>
    </w:p>
  </w:footnote>
  <w:footnote w:id="7">
    <w:p w14:paraId="435AADDB" w14:textId="77777777" w:rsidR="00C41E32" w:rsidRDefault="00000000" w:rsidP="00A6276A">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ص51.</w:t>
      </w:r>
    </w:p>
  </w:footnote>
  <w:footnote w:id="8">
    <w:p w14:paraId="08CC8B98" w14:textId="77777777" w:rsidR="00C41E32" w:rsidRDefault="00000000" w:rsidP="00A6276A">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ص93.</w:t>
      </w:r>
    </w:p>
  </w:footnote>
  <w:footnote w:id="9">
    <w:p w14:paraId="2A140250" w14:textId="77777777" w:rsidR="00C41E32" w:rsidRDefault="00000000" w:rsidP="00A6276A">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ص57.</w:t>
      </w:r>
    </w:p>
  </w:footnote>
  <w:footnote w:id="10">
    <w:p w14:paraId="5CA98476" w14:textId="77777777" w:rsidR="00C41E32" w:rsidRDefault="00000000" w:rsidP="00A6276A">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ص67.</w:t>
      </w:r>
    </w:p>
  </w:footnote>
  <w:footnote w:id="11">
    <w:p w14:paraId="6E4B950E" w14:textId="77777777" w:rsidR="00C41E32" w:rsidRDefault="00000000" w:rsidP="00A6276A">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(2024م). حجية الدليل الرقمي في نظام الإثبات السعودي. مجلة مواق للدراسات الإسلامية والاجتماعية، (43)، ص1447.</w:t>
      </w:r>
    </w:p>
  </w:footnote>
  <w:footnote w:id="12">
    <w:p w14:paraId="64A23365" w14:textId="77777777" w:rsidR="00A4106D" w:rsidRPr="007D2CE4" w:rsidRDefault="00A4106D" w:rsidP="00A6276A">
      <w:pPr>
        <w:bidi/>
        <w:jc w:val="both"/>
        <w:rPr>
          <w:sz w:val="16"/>
          <w:szCs w:val="16"/>
        </w:rPr>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3">
    <w:p w14:paraId="3D9A8687" w14:textId="77777777" w:rsidR="00C41E32" w:rsidRDefault="00000000" w:rsidP="00A6276A">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إسماعيل، محمد شحادة (2025م). تأثير الذكاء الاصطناعي على المهن القانونية. مجلة الباحث العربي، مجلد 6، عدد 1. DOI: 10.57072/ar.v6i1.159.</w:t>
      </w:r>
    </w:p>
  </w:footnote>
  <w:footnote w:id="14">
    <w:p w14:paraId="6C27C4E7" w14:textId="77777777" w:rsidR="00C41E32" w:rsidRDefault="00000000" w:rsidP="00A6276A">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(د.ت). الضوابط القانونية للذكاء الاصطناعي في إبرام المعاملات القانونية. قسم القانون، كلية العلوم والدراسات النظرية، الجامعة السعودية الإلكترونية، الرياض.</w:t>
      </w:r>
    </w:p>
  </w:footnote>
  <w:footnote w:id="15">
    <w:p w14:paraId="4CB9C648" w14:textId="77777777" w:rsidR="00C41E32" w:rsidRDefault="00000000" w:rsidP="004C4A98">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ص13.</w:t>
      </w:r>
    </w:p>
  </w:footnote>
  <w:footnote w:id="16">
    <w:p w14:paraId="0DF89572" w14:textId="77777777" w:rsidR="00C41E32" w:rsidRDefault="00000000" w:rsidP="004C4A98">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ص563.</w:t>
      </w:r>
    </w:p>
  </w:footnote>
  <w:footnote w:id="17">
    <w:p w14:paraId="1489EF5D" w14:textId="77777777" w:rsidR="00C41E32" w:rsidRDefault="00000000" w:rsidP="0019493E">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ص48.</w:t>
      </w:r>
    </w:p>
  </w:footnote>
  <w:footnote w:id="18">
    <w:p w14:paraId="0AB07810" w14:textId="77777777" w:rsidR="00C41E32" w:rsidRDefault="00000000" w:rsidP="0019493E">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ص363.</w:t>
      </w:r>
    </w:p>
  </w:footnote>
  <w:footnote w:id="19">
    <w:p w14:paraId="2EFAB6E9" w14:textId="77777777" w:rsidR="00C41E32" w:rsidRDefault="00000000" w:rsidP="0019493E">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ص34.</w:t>
      </w:r>
    </w:p>
  </w:footnote>
  <w:footnote w:id="20">
    <w:p w14:paraId="6347CBDA" w14:textId="77777777" w:rsidR="00C41E32" w:rsidRDefault="00000000" w:rsidP="0019493E">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سلمى غابش سالم. (2022م). المسؤولية المدنية عن الأضرار الناشئة عن استخدام الذكاء الاصطناعي في مهن الطب الآلي [رسالة دكتوراه، جامعة الإمارات العربية المتحدة]، ص87.</w:t>
      </w:r>
    </w:p>
  </w:footnote>
  <w:footnote w:id="21">
    <w:p w14:paraId="546467C6" w14:textId="77777777" w:rsidR="00C41E32" w:rsidRDefault="00000000" w:rsidP="0019493E">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ص42.</w:t>
      </w:r>
    </w:p>
  </w:footnote>
  <w:footnote w:id="22">
    <w:p w14:paraId="2AEE0141" w14:textId="77777777" w:rsidR="00C41E32" w:rsidRDefault="00000000" w:rsidP="00B3792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ص7.</w:t>
      </w:r>
    </w:p>
  </w:footnote>
  <w:footnote w:id="23">
    <w:p w14:paraId="07B2EACA" w14:textId="77777777" w:rsidR="00C41E32" w:rsidRDefault="00000000" w:rsidP="00B3792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ص88.</w:t>
      </w:r>
    </w:p>
  </w:footnote>
  <w:footnote w:id="24">
    <w:p w14:paraId="75E6087E" w14:textId="77777777" w:rsidR="00C41E32" w:rsidRDefault="00000000" w:rsidP="00B3792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ص45.</w:t>
      </w:r>
    </w:p>
  </w:footnote>
  <w:footnote w:id="25">
    <w:p w14:paraId="14E0C40F" w14:textId="77777777" w:rsidR="00C41E32" w:rsidRDefault="00000000" w:rsidP="00925AAC">
      <w:pPr>
        <w:bidi/>
        <w:rPr>
          <w:sz w:val="16"/>
          <w:szCs w:val="16"/>
        </w:rPr>
      </w:pPr>
      <w:r>
        <w:rPr>
          <w:rStyle w:val="af"/>
        </w:rPr>
        <w:footnoteRef/>
      </w:r>
      <w:r>
        <w:t xml:space="preserve"> </w:t>
      </w:r>
      <w:r>
        <w:rPr>
          <w:sz w:val="18"/>
          <w:szCs w:val="18"/>
          <w:rtl/>
        </w:rPr>
        <w:t>الغامدي، رهف صالح (2025م). الطبيعة القانونية للعقود الذكية في المملكة العربية السعودية - دراسة تحليلية. مجلة القانون والأعمال الدولية، الإصدار 57، أبريل/مايو 2025م. ص227. جامعة الملك عبد العزيز. ISSN: 2509-0291.</w:t>
      </w:r>
    </w:p>
  </w:footnote>
  <w:footnote w:id="26">
    <w:p w14:paraId="0DCE37B6" w14:textId="77777777" w:rsidR="008C5A8E" w:rsidRPr="008C5A8E" w:rsidRDefault="008C5A8E" w:rsidP="002029E8">
      <w:pPr>
        <w:bidi/>
        <w:spacing w:after="200" w:line="276" w:lineRule="auto"/>
        <w:rPr>
          <w:rFonts w:asciiTheme="majorBidi" w:hAnsiTheme="majorBidi" w:cstheme="majorBidi"/>
          <w:color w:val="000000" w:themeColor="text1"/>
          <w:sz w:val="16"/>
          <w:szCs w:val="16"/>
        </w:rPr>
      </w:pPr>
      <w:r>
        <w:rPr>
          <w:rStyle w:val="af"/>
        </w:rPr>
        <w:footnoteRef/>
      </w:r>
      <w:r>
        <w:t xml:space="preserve"> </w:t>
      </w:r>
      <w:r>
        <w:rPr>
          <w:sz w:val="18"/>
          <w:szCs w:val="18"/>
          <w:rtl/>
        </w:rPr>
        <w:t>الهيئة السعودية للبيانات والذكاء الاصطناعي (سدايا). (2023). إطار تبني الذكاء الاصطناعي. الرياض: سدايا.</w:t>
      </w:r>
    </w:p>
  </w:footnote>
  <w:footnote w:id="27">
    <w:p w14:paraId="3B3C06CD" w14:textId="77777777" w:rsidR="00C41E32" w:rsidRDefault="00000000" w:rsidP="00B9730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ص67.</w:t>
      </w:r>
    </w:p>
  </w:footnote>
  <w:footnote w:id="28">
    <w:p w14:paraId="08DDBD78" w14:textId="77777777" w:rsidR="00C41E32" w:rsidRDefault="00000000" w:rsidP="00B9730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ص7.</w:t>
      </w:r>
    </w:p>
  </w:footnote>
  <w:footnote w:id="29">
    <w:p w14:paraId="3DBA53A6" w14:textId="77777777" w:rsidR="00C41E32" w:rsidRDefault="00000000" w:rsidP="00B9730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ص581.</w:t>
      </w:r>
    </w:p>
  </w:footnote>
  <w:footnote w:id="30">
    <w:p w14:paraId="3027E3D8" w14:textId="77777777" w:rsidR="00C41E32" w:rsidRDefault="00000000" w:rsidP="00B9730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ص110.</w:t>
      </w:r>
    </w:p>
  </w:footnote>
  <w:footnote w:id="31">
    <w:p w14:paraId="055C9576" w14:textId="77777777" w:rsidR="00C41E32" w:rsidRDefault="00000000" w:rsidP="00B9730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ص81.</w:t>
      </w:r>
    </w:p>
  </w:footnote>
  <w:footnote w:id="32">
    <w:p w14:paraId="4BDE87FD" w14:textId="77777777" w:rsidR="00C41E32" w:rsidRDefault="00000000" w:rsidP="00B9730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سلمى غابش سالم. (2022م). المسؤولية المدنية عن الأضرار الناشئة عن استخدام الذكاء الاصطناعي في مهن الطب الآلي [رسالة دكتوراه، جامعة الإمارات العربية المتحدة]، ص134.</w:t>
      </w:r>
    </w:p>
  </w:footnote>
  <w:footnote w:id="33">
    <w:p w14:paraId="3313D0A0" w14:textId="77777777" w:rsidR="00C41E32" w:rsidRDefault="00000000" w:rsidP="006713B6">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ص78.</w:t>
      </w:r>
    </w:p>
  </w:footnote>
  <w:footnote w:id="34">
    <w:p w14:paraId="1A374A31" w14:textId="77777777" w:rsidR="00C41E32" w:rsidRDefault="00000000" w:rsidP="006713B6">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بالل، فاطمة عبد العزيز حسن أحمد (2023م). دور الذكاء الاصطناعي في تعزيز العدالة الناجزة أمام القضاء - دراسة مقارنة مع النظامين القانوني والقضائي في دولة قطر. رسالة ماجستير في القانون الخاص، كلية القانون، جامعة قطر.</w:t>
      </w:r>
    </w:p>
  </w:footnote>
  <w:footnote w:id="35">
    <w:p w14:paraId="3DFD8D69" w14:textId="77777777" w:rsidR="00C41E32" w:rsidRDefault="00000000" w:rsidP="00657550">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آيات بنت أحمد؛ والمعلم، سليمان بن محمد (2024م). القواعد والإجراءات المنظمة لاستخدامات الذكاء الاصطناعي بالمملكة العربية السعودية وآثارها القانونية - دراسة تحليلية مقارنة. المجلة العربية للنشر العلمي، الإصدار 7، العدد 73، ص 368-412. DOI: 10.36571/ajsp7321.</w:t>
      </w:r>
    </w:p>
  </w:footnote>
  <w:footnote w:id="36">
    <w:p w14:paraId="4326C684" w14:textId="77777777" w:rsidR="00C41E32" w:rsidRDefault="00000000" w:rsidP="00925AAC">
      <w:pPr>
        <w:bidi/>
        <w:rPr>
          <w:sz w:val="16"/>
          <w:szCs w:val="16"/>
        </w:rPr>
      </w:pPr>
      <w:r>
        <w:rPr>
          <w:rStyle w:val="af"/>
        </w:rPr>
        <w:footnoteRef/>
      </w:r>
      <w:r>
        <w:t xml:space="preserve"> </w:t>
      </w:r>
      <w:r>
        <w:rPr>
          <w:sz w:val="18"/>
          <w:szCs w:val="18"/>
          <w:rtl/>
        </w:rPr>
        <w:t>وزارة العدل - المملكة العربية السعودية (1422هـ). اللائحة التنفيذية لنظام المحاماة الصادر بالمرسوم الملكي رقم م/38 بتاريخ 28/7/1422هـ. الرياض: وزارة العدل.</w:t>
      </w:r>
    </w:p>
  </w:footnote>
  <w:footnote w:id="37">
    <w:p w14:paraId="419A99D5" w14:textId="77777777" w:rsidR="00B16B4E" w:rsidRDefault="00000000" w:rsidP="00925AAC">
      <w:pPr>
        <w:bidi/>
        <w:rPr>
          <w:sz w:val="16"/>
          <w:szCs w:val="16"/>
        </w:rPr>
      </w:pPr>
      <w:r>
        <w:rPr>
          <w:rStyle w:val="af"/>
        </w:rPr>
        <w:footnoteRef/>
      </w:r>
      <w:r>
        <w:t xml:space="preserve"> </w:t>
      </w:r>
      <w:r>
        <w:rPr>
          <w:sz w:val="18"/>
          <w:szCs w:val="18"/>
          <w:rtl/>
        </w:rPr>
        <w:t>الغنامي، نايف بن ناشي (د.ت). الضوابط القانونية للذكاء الاصطناعي في إبرام المعاملات القانونية. قسم القانون، الجامعة السعودية الإلكترونية، المملكة العربية السعودية.</w:t>
      </w:r>
    </w:p>
  </w:footnote>
  <w:footnote w:id="38">
    <w:p w14:paraId="630C5F16" w14:textId="77777777" w:rsidR="00535C4D" w:rsidRDefault="00535C4D" w:rsidP="00A91133">
      <w:pPr>
        <w:pStyle w:val="ae"/>
        <w:jc w:val="right"/>
        <w:rPr>
          <w:rtl/>
        </w:rPr>
      </w:pPr>
      <w:r>
        <w:rPr>
          <w:rStyle w:val="af"/>
        </w:rPr>
        <w:footnoteRef/>
      </w:r>
      <w:r>
        <w:t xml:space="preserve"> </w:t>
      </w:r>
      <w:r>
        <w:rPr>
          <w:sz w:val="18"/>
          <w:szCs w:val="18"/>
          <w:rtl/>
        </w:rPr>
        <w:t>وزارة العدل. (1441هـ). اللائحة التنفيذية لنظام المحاماة. المملكة العربية السعودية.</w:t>
      </w:r>
    </w:p>
  </w:footnote>
  <w:footnote w:id="39">
    <w:p w14:paraId="6CA8BF9B" w14:textId="77777777" w:rsidR="0026477A" w:rsidRDefault="0026477A" w:rsidP="00767C10">
      <w:pPr>
        <w:pStyle w:val="ae"/>
        <w:jc w:val="right"/>
        <w:rPr>
          <w:rtl/>
        </w:rPr>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40">
    <w:p w14:paraId="20CB9DBD" w14:textId="77777777" w:rsidR="0026477A" w:rsidRPr="0026477A" w:rsidRDefault="0026477A" w:rsidP="00767C10">
      <w:pPr>
        <w:pStyle w:val="ae"/>
        <w:jc w:val="right"/>
      </w:pPr>
      <w:r>
        <w:rPr>
          <w:rStyle w:val="af"/>
        </w:rPr>
        <w:footnoteRef/>
      </w:r>
      <w:r>
        <w:t xml:space="preserve"> </w:t>
      </w:r>
      <w:r>
        <w:rPr>
          <w:sz w:val="18"/>
          <w:szCs w:val="18"/>
          <w:rtl/>
        </w:rPr>
        <w:t>المركز السعودي للأبحاث القضائية. (2022). استخدام الذكاء الاصطناعي في المحاكم. الرياض.</w:t>
      </w:r>
    </w:p>
  </w:footnote>
  <w:footnote w:id="41">
    <w:p w14:paraId="3E6F1C06" w14:textId="77777777" w:rsidR="0026477A" w:rsidRPr="0026477A" w:rsidRDefault="0026477A" w:rsidP="00BC6811">
      <w:pPr>
        <w:pStyle w:val="ae"/>
        <w:jc w:val="right"/>
      </w:pPr>
      <w:r>
        <w:rPr>
          <w:rStyle w:val="af"/>
        </w:rPr>
        <w:footnoteRef/>
      </w:r>
      <w:r>
        <w:t xml:space="preserve"> </w:t>
      </w:r>
      <w:r>
        <w:rPr>
          <w:sz w:val="18"/>
          <w:szCs w:val="18"/>
          <w:rtl/>
        </w:rPr>
        <w:t>إسماعيل، م. ش. (2023). تأثير الذكاء الاصطناعي على المهن القانونية. .</w:t>
      </w:r>
    </w:p>
  </w:footnote>
  <w:footnote w:id="42">
    <w:p w14:paraId="4792ED24" w14:textId="77777777" w:rsidR="0026477A" w:rsidRDefault="0026477A" w:rsidP="00BC6811">
      <w:pPr>
        <w:pStyle w:val="ae"/>
        <w:jc w:val="right"/>
        <w:rPr>
          <w:rtl/>
        </w:rPr>
      </w:pPr>
      <w:r>
        <w:rPr>
          <w:rStyle w:val="af"/>
        </w:rPr>
        <w:footnoteRef/>
      </w:r>
      <w:r>
        <w:t xml:space="preserve"> </w:t>
      </w:r>
      <w:r>
        <w:rPr>
          <w:sz w:val="18"/>
          <w:szCs w:val="18"/>
          <w:rtl/>
        </w:rPr>
        <w:t>بلال، ف. (2023). دور الذكاء الاصطناعي في تعزيز العدالة الناجزة (رسالة ماجستير). جامعة سعودية.</w:t>
      </w:r>
    </w:p>
  </w:footnote>
  <w:footnote w:id="43">
    <w:p w14:paraId="6AA06B8C" w14:textId="77777777" w:rsidR="00C41E32" w:rsidRDefault="00000000" w:rsidP="00BC681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ص587.</w:t>
      </w:r>
    </w:p>
  </w:footnote>
  <w:footnote w:id="44">
    <w:p w14:paraId="274AC229" w14:textId="77777777" w:rsidR="00C41E32" w:rsidRDefault="00000000" w:rsidP="00BC681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ص57.</w:t>
      </w:r>
    </w:p>
  </w:footnote>
  <w:footnote w:id="45">
    <w:p w14:paraId="7A0772BC"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ص148.</w:t>
      </w:r>
    </w:p>
  </w:footnote>
  <w:footnote w:id="46">
    <w:p w14:paraId="0AC9A052" w14:textId="77777777" w:rsidR="00A40287" w:rsidRDefault="00A40287" w:rsidP="002A34EF">
      <w:pPr>
        <w:pStyle w:val="ae"/>
        <w:jc w:val="right"/>
        <w:rPr>
          <w:rtl/>
        </w:rPr>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47">
    <w:p w14:paraId="74180D61"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ص592.</w:t>
      </w:r>
    </w:p>
  </w:footnote>
  <w:footnote w:id="48">
    <w:p w14:paraId="59C626CA"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ص112.</w:t>
      </w:r>
    </w:p>
  </w:footnote>
  <w:footnote w:id="49">
    <w:p w14:paraId="21CB0A99" w14:textId="77777777" w:rsidR="00A40287" w:rsidRDefault="00A40287" w:rsidP="002A34EF">
      <w:pPr>
        <w:pStyle w:val="ae"/>
        <w:jc w:val="right"/>
        <w:rPr>
          <w:rtl/>
        </w:rPr>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50">
    <w:p w14:paraId="056242B0" w14:textId="77777777" w:rsidR="00C41E32" w:rsidRDefault="00000000" w:rsidP="00925AAC">
      <w:pPr>
        <w:bidi/>
        <w:rPr>
          <w:sz w:val="16"/>
          <w:szCs w:val="16"/>
        </w:rPr>
      </w:pPr>
      <w:r>
        <w:rPr>
          <w:rStyle w:val="af"/>
        </w:rPr>
        <w:footnoteRef/>
      </w:r>
      <w:r>
        <w:t xml:space="preserve"> </w:t>
      </w:r>
      <w:r>
        <w:rPr>
          <w:sz w:val="18"/>
          <w:szCs w:val="18"/>
          <w:rtl/>
        </w:rPr>
        <w:t>المملكة العربية السعودية (1422هـ). نظام المحاماة الصادر بالمرسوم الملكي رقم م/38 وتاريخ 28/7/1422هـ. الرياض: الأمانة العامة لمجلس الوزراء، المادة 11.</w:t>
      </w:r>
    </w:p>
  </w:footnote>
  <w:footnote w:id="51">
    <w:p w14:paraId="25A508C5" w14:textId="77777777" w:rsidR="00B16B4E" w:rsidRDefault="00000000" w:rsidP="00925AAC">
      <w:pPr>
        <w:bidi/>
        <w:rPr>
          <w:sz w:val="16"/>
          <w:szCs w:val="16"/>
        </w:rPr>
      </w:pPr>
      <w:r>
        <w:rPr>
          <w:rStyle w:val="af"/>
        </w:rPr>
        <w:footnoteRef/>
      </w:r>
      <w:r>
        <w:t xml:space="preserve"> </w:t>
      </w:r>
      <w:r>
        <w:rPr>
          <w:sz w:val="18"/>
          <w:szCs w:val="18"/>
          <w:rtl/>
        </w:rPr>
        <w:t>التونسي، آيات أحمد؛ والمعلم، سليمان محمد (2024م). القواعد والإجراءات المنظمة لاستخدامات الذكاء الاصطناعي بالمملكة العربية السعودية وآثارها القانونية - دراسة تحليلية مقارنة. المجلة العربية للنشر العلمي، الإصدار 7، العدد 73، ص368. https://doi.org/10.36571/ajsp7321</w:t>
      </w:r>
    </w:p>
  </w:footnote>
  <w:footnote w:id="52">
    <w:p w14:paraId="474E3533" w14:textId="77777777" w:rsidR="00C41E32" w:rsidRDefault="00000000" w:rsidP="00925AAC">
      <w:pPr>
        <w:bidi/>
        <w:rPr>
          <w:sz w:val="16"/>
          <w:szCs w:val="16"/>
        </w:rPr>
      </w:pPr>
      <w:r>
        <w:rPr>
          <w:rStyle w:val="af"/>
        </w:rPr>
        <w:footnoteRef/>
      </w:r>
      <w:r>
        <w:t xml:space="preserve"> </w:t>
      </w:r>
      <w:r>
        <w:rPr>
          <w:sz w:val="18"/>
          <w:szCs w:val="18"/>
          <w:rtl/>
        </w:rPr>
        <w:t>الهيئة السعودية للبيانات والذكاء الاصطناعي (سدايا) (2024م). إطار تبني الذكاء الاصطناعي. الرياض: سدايا، سبتمبر 2024م.</w:t>
      </w:r>
    </w:p>
  </w:footnote>
  <w:footnote w:id="53">
    <w:p w14:paraId="1E5BB1E2" w14:textId="77777777" w:rsidR="00CB64BE" w:rsidRPr="00CB64BE" w:rsidRDefault="00CB64BE" w:rsidP="00767C10">
      <w:pPr>
        <w:pStyle w:val="ae"/>
        <w:jc w:val="right"/>
      </w:pPr>
      <w:r>
        <w:rPr>
          <w:rStyle w:val="af"/>
        </w:rPr>
        <w:footnoteRef/>
      </w:r>
      <w:r>
        <w:t xml:space="preserve"> </w:t>
      </w:r>
      <w:r>
        <w:rPr>
          <w:sz w:val="18"/>
          <w:szCs w:val="18"/>
          <w:rtl/>
        </w:rPr>
        <w:t>إسماعيل، م. ش. (2023). تأثير الذكاء الاصطناعي على المهن القانونية. بحث منشور.</w:t>
      </w:r>
    </w:p>
  </w:footnote>
  <w:footnote w:id="54">
    <w:p w14:paraId="3EC3E219" w14:textId="77777777" w:rsidR="00CB64BE" w:rsidRDefault="00CB64BE" w:rsidP="00767C10">
      <w:pPr>
        <w:pStyle w:val="ae"/>
        <w:jc w:val="right"/>
        <w:rPr>
          <w:rtl/>
        </w:rPr>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55">
    <w:p w14:paraId="7BC5BF5B" w14:textId="77777777" w:rsidR="00CB64BE" w:rsidRDefault="00CB64BE" w:rsidP="00767C10">
      <w:pPr>
        <w:pStyle w:val="ae"/>
        <w:jc w:val="right"/>
        <w:rPr>
          <w:rtl/>
        </w:rPr>
      </w:pPr>
      <w:r>
        <w:rPr>
          <w:rStyle w:val="af"/>
        </w:rPr>
        <w:footnoteRef/>
      </w:r>
      <w:r>
        <w:t xml:space="preserve"> </w:t>
      </w:r>
      <w:r>
        <w:rPr>
          <w:sz w:val="18"/>
          <w:szCs w:val="18"/>
          <w:rtl/>
        </w:rPr>
        <w:t>بلال، ف. (2023). دور الذكاء الاصطناعي في تعزيز العدالة الناجزة (رسالة ماجستير). جامعة سعودية.</w:t>
      </w:r>
    </w:p>
  </w:footnote>
  <w:footnote w:id="56">
    <w:p w14:paraId="6C4B03F0" w14:textId="77777777" w:rsidR="00CB64BE" w:rsidRPr="00CB64BE" w:rsidRDefault="00CB64BE" w:rsidP="002A34EF">
      <w:pPr>
        <w:pStyle w:val="ae"/>
        <w:jc w:val="right"/>
      </w:pPr>
      <w:r>
        <w:rPr>
          <w:rStyle w:val="af"/>
        </w:rPr>
        <w:footnoteRef/>
      </w:r>
      <w:r>
        <w:t xml:space="preserve"> </w:t>
      </w:r>
      <w:r>
        <w:rPr>
          <w:sz w:val="18"/>
          <w:szCs w:val="18"/>
          <w:rtl/>
        </w:rPr>
        <w:t>الهيئة السعودية للبيانات والذكاء الاصطناعي (سدايا). (2023). وثيقة مبادئ أخلاقيات الذكاء الاصطناعي. الرياض: سدايا.</w:t>
      </w:r>
    </w:p>
  </w:footnote>
  <w:footnote w:id="57">
    <w:p w14:paraId="14E2EE06"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ص19.</w:t>
      </w:r>
    </w:p>
  </w:footnote>
  <w:footnote w:id="58">
    <w:p w14:paraId="60D21BF1"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ص89.</w:t>
      </w:r>
    </w:p>
  </w:footnote>
  <w:footnote w:id="59">
    <w:p w14:paraId="7786DC7E"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(2024م). حجية الدليل الرقمي في نظام الإثبات السعودي. مجلة مواق للدراسات الإسلامية والاجتماعية، (43)، ص1461.</w:t>
      </w:r>
    </w:p>
  </w:footnote>
  <w:footnote w:id="60">
    <w:p w14:paraId="0BC5B5DA" w14:textId="77777777" w:rsidR="00C41E32" w:rsidRDefault="00000000" w:rsidP="00925AAC">
      <w:pPr>
        <w:bidi/>
        <w:rPr>
          <w:sz w:val="16"/>
          <w:szCs w:val="16"/>
        </w:rPr>
      </w:pPr>
      <w:r>
        <w:rPr>
          <w:rStyle w:val="af"/>
        </w:rPr>
        <w:footnoteRef/>
      </w:r>
      <w:r>
        <w:t xml:space="preserve"> </w:t>
      </w:r>
      <w:r>
        <w:rPr>
          <w:sz w:val="18"/>
          <w:szCs w:val="18"/>
          <w:rtl/>
        </w:rPr>
        <w:t>الأسيوطي، أيمن محمد سيد مصطفى (2020م). حماية التصرفات القانونية وإثباتها عبر تطبيق الذكاء الاصطناعي. مجلة الباحث العربي، مجلد 1، عدد 1. http://doi.org/10.57072/ar.v1i1.16</w:t>
      </w:r>
    </w:p>
  </w:footnote>
  <w:footnote w:id="61">
    <w:p w14:paraId="3ADE2B36" w14:textId="77777777" w:rsidR="006F4E03" w:rsidRDefault="006F4E03" w:rsidP="00767C10">
      <w:pPr>
        <w:pStyle w:val="ae"/>
        <w:jc w:val="right"/>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62">
    <w:p w14:paraId="782C873D" w14:textId="77777777" w:rsidR="006F4E03" w:rsidRDefault="006F4E03" w:rsidP="00767C10">
      <w:pPr>
        <w:pStyle w:val="ae"/>
        <w:jc w:val="right"/>
        <w:rPr>
          <w:rtl/>
        </w:rPr>
      </w:pPr>
      <w:r>
        <w:rPr>
          <w:rStyle w:val="af"/>
        </w:rPr>
        <w:footnoteRef/>
      </w:r>
      <w:r>
        <w:t xml:space="preserve"> </w:t>
      </w:r>
      <w:r>
        <w:rPr>
          <w:sz w:val="18"/>
          <w:szCs w:val="18"/>
          <w:rtl/>
        </w:rPr>
        <w:t>إسماعيل، م. ش. (2023). تأثير الذكاء الاصطناعي على المهن القانونية. بحث منشور.</w:t>
      </w:r>
    </w:p>
  </w:footnote>
  <w:footnote w:id="63">
    <w:p w14:paraId="5F4D1A15"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إسماعيل، محمد شحادة (2025م). تأثير الذكاء الاصطناعي على المهن القانونية. مجلة الباحث العربي، مجلد 6، عدد 1. DOI: 10.57072/ar.v6i1.159.</w:t>
      </w:r>
    </w:p>
  </w:footnote>
  <w:footnote w:id="64">
    <w:p w14:paraId="2BEE7943"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محمود، سيد أحمد؛ وعناني، مريم عماد (د.ت). الذكاء الاصطناعي والعمل القضائي - دراسة تحليلية مقارنة. بحث مقدم في مؤتمر التحديات والآفاق القانونية والاقتصادية للذكاء الاصطناعي، كلية الحقوق، جامعة عين شمس، القاهرة.</w:t>
      </w:r>
    </w:p>
  </w:footnote>
  <w:footnote w:id="65">
    <w:p w14:paraId="76AECCD0"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ص63.</w:t>
      </w:r>
    </w:p>
  </w:footnote>
  <w:footnote w:id="66">
    <w:p w14:paraId="2AF440B9"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ص105.</w:t>
      </w:r>
    </w:p>
  </w:footnote>
  <w:footnote w:id="67">
    <w:p w14:paraId="7763C81A"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ص42.</w:t>
      </w:r>
    </w:p>
  </w:footnote>
  <w:footnote w:id="68">
    <w:p w14:paraId="4A0097EA"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سلمى غابش سالم. (2022م). المسؤولية المدنية عن الأضرار الناشئة عن استخدام الذكاء الاصطناعي في مهن الطب الآلي [رسالة دكتوراه، جامعة الإمارات العربية المتحدة]، ص178.</w:t>
      </w:r>
    </w:p>
  </w:footnote>
  <w:footnote w:id="69">
    <w:p w14:paraId="13D0B943"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 ص42.</w:t>
      </w:r>
    </w:p>
  </w:footnote>
  <w:footnote w:id="70">
    <w:p w14:paraId="495FFD3B" w14:textId="77777777" w:rsidR="006F4E03" w:rsidRDefault="006F4E03" w:rsidP="00767C10">
      <w:pPr>
        <w:pStyle w:val="ae"/>
        <w:jc w:val="right"/>
        <w:rPr>
          <w:rtl/>
        </w:rPr>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71">
    <w:p w14:paraId="02829BA0" w14:textId="77777777" w:rsidR="00C41E32" w:rsidRDefault="00000000" w:rsidP="00925AAC">
      <w:pPr>
        <w:bidi/>
        <w:rPr>
          <w:sz w:val="16"/>
          <w:szCs w:val="16"/>
        </w:rPr>
      </w:pPr>
      <w:r>
        <w:rPr>
          <w:rStyle w:val="af"/>
        </w:rPr>
        <w:footnoteRef/>
      </w:r>
      <w:r>
        <w:t xml:space="preserve"> </w:t>
      </w:r>
      <w:r>
        <w:rPr>
          <w:sz w:val="18"/>
          <w:szCs w:val="18"/>
          <w:rtl/>
        </w:rPr>
        <w:t>الخليفة، وليد بن إبراهيم (1444هـ). نظام الإثبات وأدلته الإجرائية مع الفهارس. الرياض: الجمعية العلمية القضائية السعودية. الباب الثالث، المادتان 76 و77.</w:t>
      </w:r>
    </w:p>
  </w:footnote>
  <w:footnote w:id="72">
    <w:p w14:paraId="6798FEC6" w14:textId="77777777" w:rsidR="00B16B4E" w:rsidRDefault="00000000" w:rsidP="00925AAC">
      <w:pPr>
        <w:bidi/>
        <w:rPr>
          <w:sz w:val="16"/>
          <w:szCs w:val="16"/>
        </w:rPr>
      </w:pPr>
      <w:r>
        <w:rPr>
          <w:rStyle w:val="af"/>
        </w:rPr>
        <w:footnoteRef/>
      </w:r>
      <w:r>
        <w:t xml:space="preserve"> </w:t>
      </w:r>
      <w:r>
        <w:rPr>
          <w:sz w:val="18"/>
          <w:szCs w:val="18"/>
          <w:rtl/>
        </w:rPr>
        <w:t>إسماعيل، محمد شحادة (2025م). تأثير الذكاء الاصطناعي على المهن القانونية. مجلة الباحث العربي، مجلد 6، عدد 1. https://doi.org/10.57072/ar.v6i1.159</w:t>
      </w:r>
    </w:p>
  </w:footnote>
  <w:footnote w:id="73">
    <w:p w14:paraId="7372CDDE" w14:textId="77777777" w:rsidR="00C00F5F" w:rsidRDefault="00C00F5F" w:rsidP="00767C10">
      <w:pPr>
        <w:pStyle w:val="ae"/>
        <w:jc w:val="right"/>
        <w:rPr>
          <w:rtl/>
        </w:rPr>
      </w:pPr>
      <w:r>
        <w:rPr>
          <w:rStyle w:val="af"/>
        </w:rPr>
        <w:footnoteRef/>
      </w:r>
      <w:r>
        <w:t xml:space="preserve"> </w:t>
      </w:r>
      <w:r>
        <w:rPr>
          <w:sz w:val="18"/>
          <w:szCs w:val="18"/>
          <w:rtl/>
        </w:rPr>
        <w:t>بلال، ف. (2023). دور الذكاء الاصطناعي في تعزيز العدالة الناجزة (رسالة ماجستير). جامعة سعودية.</w:t>
      </w:r>
    </w:p>
  </w:footnote>
  <w:footnote w:id="74">
    <w:p w14:paraId="1650A99F" w14:textId="77777777" w:rsidR="00C00F5F" w:rsidRDefault="00C00F5F" w:rsidP="00767C10">
      <w:pPr>
        <w:pStyle w:val="ae"/>
        <w:jc w:val="right"/>
        <w:rPr>
          <w:rtl/>
        </w:rPr>
      </w:pPr>
      <w:r>
        <w:rPr>
          <w:rStyle w:val="af"/>
        </w:rPr>
        <w:footnoteRef/>
      </w:r>
      <w:r>
        <w:t xml:space="preserve"> </w:t>
      </w:r>
      <w:r>
        <w:rPr>
          <w:sz w:val="18"/>
          <w:szCs w:val="18"/>
          <w:rtl/>
        </w:rPr>
        <w:t>الغنامي، ن. ب. ن. (2024). الضوابط القانونية للذكاء الاصطناعي في إبرام المعاملات القانونية (رسالة دكتوراه). الجامعة السعودية الإلكترونية.</w:t>
      </w:r>
    </w:p>
  </w:footnote>
  <w:footnote w:id="75">
    <w:p w14:paraId="2F8808DD" w14:textId="77777777" w:rsidR="00122234" w:rsidRDefault="00122234" w:rsidP="00767C10">
      <w:pPr>
        <w:pStyle w:val="ae"/>
        <w:jc w:val="right"/>
        <w:rPr>
          <w:rtl/>
        </w:rPr>
      </w:pPr>
      <w:r>
        <w:rPr>
          <w:rStyle w:val="af"/>
        </w:rPr>
        <w:footnoteRef/>
      </w:r>
      <w:r>
        <w:t xml:space="preserve"> </w:t>
      </w:r>
      <w:r>
        <w:rPr>
          <w:sz w:val="18"/>
          <w:szCs w:val="18"/>
          <w:rtl/>
        </w:rPr>
        <w:t>مرسي، م. إ. (2023). مدى ملاءمة عقود الذكاء الاصطناعي المبرمة عبر تقنية البلوك تشين لقانون العقود.</w:t>
      </w:r>
    </w:p>
  </w:footnote>
  <w:footnote w:id="76">
    <w:p w14:paraId="10C8C06F" w14:textId="77777777" w:rsidR="00122234" w:rsidRDefault="00122234" w:rsidP="00767C10">
      <w:pPr>
        <w:pStyle w:val="ae"/>
        <w:jc w:val="right"/>
        <w:rPr>
          <w:rtl/>
        </w:rPr>
      </w:pPr>
      <w:r>
        <w:rPr>
          <w:rStyle w:val="af"/>
        </w:rPr>
        <w:footnoteRef/>
      </w:r>
      <w:r>
        <w:t xml:space="preserve"> </w:t>
      </w:r>
      <w:r>
        <w:rPr>
          <w:sz w:val="18"/>
          <w:szCs w:val="18"/>
          <w:rtl/>
        </w:rPr>
        <w:t>الربيع، م. (2022). المسؤولية المدنية عن أفعال الذكاء الاصطناعي (رسالة ماجستير). جامعة سعودية.</w:t>
      </w:r>
    </w:p>
  </w:footnote>
  <w:footnote w:id="77">
    <w:p w14:paraId="008B1402" w14:textId="77777777" w:rsidR="00122234" w:rsidRDefault="00122234" w:rsidP="00767C10">
      <w:pPr>
        <w:pStyle w:val="ae"/>
        <w:jc w:val="right"/>
        <w:rPr>
          <w:rtl/>
        </w:rPr>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78">
    <w:p w14:paraId="728B2E3F" w14:textId="77777777" w:rsidR="00122234" w:rsidRPr="00122234" w:rsidRDefault="00122234" w:rsidP="002A34EF">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79">
    <w:p w14:paraId="607A1674"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(د.ت). الضوابط القانونية للذكاء الاصطناعي في إبرام المعاملات القانونية. قسم القانون، الجامعة السعودية الإلكترونية، الرياض.</w:t>
      </w:r>
    </w:p>
  </w:footnote>
  <w:footnote w:id="80">
    <w:p w14:paraId="46BC575A"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غاسم، مراد محمد غالب (2022م). دور الذكاء الاصطناعي في مكافحة الجريمة الإلكترونية - دراسة مقارنة. بحث علمي محكّم، مجلة علمية متخصصة.</w:t>
      </w:r>
    </w:p>
  </w:footnote>
  <w:footnote w:id="81">
    <w:p w14:paraId="426FF129"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ص25.</w:t>
      </w:r>
    </w:p>
  </w:footnote>
  <w:footnote w:id="82">
    <w:p w14:paraId="5B838716"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ص72.</w:t>
      </w:r>
    </w:p>
  </w:footnote>
  <w:footnote w:id="83">
    <w:p w14:paraId="5FE244FC"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ص88.</w:t>
      </w:r>
    </w:p>
  </w:footnote>
  <w:footnote w:id="84">
    <w:p w14:paraId="067D6A44"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ص156.</w:t>
      </w:r>
    </w:p>
  </w:footnote>
  <w:footnote w:id="85">
    <w:p w14:paraId="146269B4"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ص390.</w:t>
      </w:r>
    </w:p>
  </w:footnote>
  <w:footnote w:id="86">
    <w:p w14:paraId="1E7DDE4F"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ص58.</w:t>
      </w:r>
    </w:p>
  </w:footnote>
  <w:footnote w:id="87">
    <w:p w14:paraId="5DC62DDA"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ص575.</w:t>
      </w:r>
    </w:p>
  </w:footnote>
  <w:footnote w:id="88">
    <w:p w14:paraId="16D9E408"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سلمى غابش سالم. (2022م). المسؤولية المدنية عن الأضرار الناشئة عن استخدام الذكاء الاصطناعي في مهن الطب الآلي [رسالة دكتوراه، جامعة الإمارات العربية المتحدة]، ص215.</w:t>
      </w:r>
    </w:p>
  </w:footnote>
  <w:footnote w:id="89">
    <w:p w14:paraId="400DC698" w14:textId="77777777" w:rsidR="001F1442" w:rsidRDefault="001F1442" w:rsidP="00A91133">
      <w:pPr>
        <w:pStyle w:val="ae"/>
        <w:jc w:val="right"/>
        <w:rPr>
          <w:rtl/>
        </w:rPr>
      </w:pPr>
      <w:r>
        <w:rPr>
          <w:rStyle w:val="af"/>
        </w:rPr>
        <w:footnoteRef/>
      </w:r>
      <w:r>
        <w:t xml:space="preserve"> </w:t>
      </w:r>
      <w:r>
        <w:rPr>
          <w:sz w:val="18"/>
          <w:szCs w:val="18"/>
          <w:rtl/>
        </w:rPr>
        <w:t>الغنامي، ن. ب. ن. (2024). الضوابط القانونية للذكاء الاصطناعي في إبرام المعاملات القانونية (رسالة دكتوراه). الجامعة السعودية الإلكترونية.</w:t>
      </w:r>
    </w:p>
  </w:footnote>
  <w:footnote w:id="90">
    <w:p w14:paraId="6B889E31" w14:textId="77777777" w:rsidR="001F1442" w:rsidRDefault="001F1442" w:rsidP="002A34EF">
      <w:pPr>
        <w:pStyle w:val="ae"/>
        <w:jc w:val="right"/>
        <w:rPr>
          <w:rtl/>
        </w:rPr>
      </w:pPr>
      <w:r>
        <w:rPr>
          <w:rStyle w:val="af"/>
        </w:rPr>
        <w:footnoteRef/>
      </w:r>
      <w:r>
        <w:t xml:space="preserve"> </w:t>
      </w:r>
      <w:r>
        <w:rPr>
          <w:sz w:val="18"/>
          <w:szCs w:val="18"/>
          <w:rtl/>
        </w:rPr>
        <w:t>رجب، ي. م. ع. (2023). دور الدولة في تأطير أخلاقيات الذكاء الاصطناعي: دراسة مقارنة. جامعة القاهرة.</w:t>
      </w:r>
    </w:p>
  </w:footnote>
  <w:footnote w:id="91">
    <w:p w14:paraId="7329A9FF"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إسماعيل، محمد شحادة (2025م). تأثير الذكاء الاصطناعي على المهن القانونية. مجلة الباحث العربي، مجلد 6، عدد 1. DOI: 10.57072/ar.v6i1.159.</w:t>
      </w:r>
    </w:p>
  </w:footnote>
  <w:footnote w:id="92">
    <w:p w14:paraId="206B8091"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آيات بنت أحمد؛ والمعلم، سليمان بن محمد (2024م). القواعد والإجراءات المنظمة لاستخدامات الذكاء الاصطناعي بالمملكة العربية السعودية وآثارها القانونية. المجلة العربية للنشر العلمي، الإصدار 7، العدد 73. DOI: 10.36571/ajsp7321.</w:t>
      </w:r>
    </w:p>
  </w:footnote>
  <w:footnote w:id="93">
    <w:p w14:paraId="573007ED"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ص81.</w:t>
      </w:r>
    </w:p>
  </w:footnote>
  <w:footnote w:id="94">
    <w:p w14:paraId="68ACF359"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ص397.</w:t>
      </w:r>
    </w:p>
  </w:footnote>
  <w:footnote w:id="95">
    <w:p w14:paraId="4E009EE2"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ص67.</w:t>
      </w:r>
    </w:p>
  </w:footnote>
  <w:footnote w:id="96">
    <w:p w14:paraId="08DC201E"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ص93.</w:t>
      </w:r>
    </w:p>
  </w:footnote>
  <w:footnote w:id="97">
    <w:p w14:paraId="7FC8D478" w14:textId="77777777" w:rsidR="00C41E32" w:rsidRDefault="00000000"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ص134.</w:t>
      </w:r>
    </w:p>
  </w:footnote>
  <w:footnote w:id="98">
    <w:p w14:paraId="568BFAED"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ص19.</w:t>
      </w:r>
    </w:p>
  </w:footnote>
  <w:footnote w:id="99">
    <w:p w14:paraId="53262F56"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ص581.</w:t>
      </w:r>
    </w:p>
  </w:footnote>
  <w:footnote w:id="100">
    <w:p w14:paraId="7AF2DCE4"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 ص57.</w:t>
      </w:r>
    </w:p>
  </w:footnote>
  <w:footnote w:id="101">
    <w:p w14:paraId="5211112F" w14:textId="77777777" w:rsidR="00C41E32" w:rsidRDefault="00000000" w:rsidP="00925AAC">
      <w:pPr>
        <w:bidi/>
        <w:rPr>
          <w:sz w:val="16"/>
          <w:szCs w:val="16"/>
        </w:rPr>
      </w:pPr>
      <w:r>
        <w:rPr>
          <w:rStyle w:val="af"/>
        </w:rPr>
        <w:footnoteRef/>
      </w:r>
      <w:r>
        <w:t xml:space="preserve"> </w:t>
      </w:r>
      <w:r>
        <w:rPr>
          <w:sz w:val="18"/>
          <w:szCs w:val="18"/>
          <w:rtl/>
        </w:rPr>
        <w:t>الترتيبات التنظيمية للهيئة السعودية للبيانات والذكاء الاصطناعي (2020م). الصادرة بقرار مجلس الوزراء رقم (292) وتاريخ 1441/4/27هـ، المعدلة بقرار مجلس الوزراء رقم (195) وتاريخ 1444/3/15هـ. الرياض: مجلس الوزراء.</w:t>
      </w:r>
    </w:p>
  </w:footnote>
  <w:footnote w:id="102">
    <w:p w14:paraId="73CD29BD"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(د.ت). الضوابط القانونية للذكاء الاصطناعي في إبرام المعاملات القانونية. قسم القانون، الجامعة السعودية الإلكترونية، الرياض.</w:t>
      </w:r>
    </w:p>
  </w:footnote>
  <w:footnote w:id="103">
    <w:p w14:paraId="20C7268E"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محمود، سيد أحمد؛ وعناني، مريم عماد (د.ت). الذكاء الاصطناعي والعمل القضائي - دراسة تحليلية مقارنة. بحث مقدم في مؤتمر التحديات والآفاق القانونية والاقتصادية للذكاء الاصطناعي، كلية الحقوق، جامعة عين شمس.</w:t>
      </w:r>
    </w:p>
  </w:footnote>
  <w:footnote w:id="104">
    <w:p w14:paraId="131EE8D6"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ص72.</w:t>
      </w:r>
    </w:p>
  </w:footnote>
  <w:footnote w:id="105">
    <w:p w14:paraId="23D705A7"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ص99.</w:t>
      </w:r>
    </w:p>
  </w:footnote>
  <w:footnote w:id="106">
    <w:p w14:paraId="0B009C15"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ص203.</w:t>
      </w:r>
    </w:p>
  </w:footnote>
  <w:footnote w:id="107">
    <w:p w14:paraId="31707EE3"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ص51.</w:t>
      </w:r>
    </w:p>
  </w:footnote>
  <w:footnote w:id="108">
    <w:p w14:paraId="43C09937"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ص13.</w:t>
      </w:r>
    </w:p>
  </w:footnote>
  <w:footnote w:id="109">
    <w:p w14:paraId="4EC2A926"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(2024م). حجية الدليل الرقمي في نظام الإثبات السعودي. مجلة مواق للدراسات الإسلامية والاجتماعية، (43)، ص1468.</w:t>
      </w:r>
    </w:p>
  </w:footnote>
  <w:footnote w:id="110">
    <w:p w14:paraId="1CDFEC4D" w14:textId="77777777" w:rsidR="0095427D" w:rsidRPr="0095427D" w:rsidRDefault="0095427D" w:rsidP="00A67437">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11">
    <w:p w14:paraId="5579031D" w14:textId="77777777" w:rsidR="0095427D" w:rsidRPr="0095427D" w:rsidRDefault="0095427D" w:rsidP="00A67437">
      <w:pPr>
        <w:pStyle w:val="ae"/>
        <w:jc w:val="right"/>
      </w:pPr>
      <w:r>
        <w:rPr>
          <w:rStyle w:val="af"/>
        </w:rPr>
        <w:footnoteRef/>
      </w:r>
      <w:r>
        <w:t xml:space="preserve"> </w:t>
      </w:r>
      <w:r>
        <w:rPr>
          <w:sz w:val="18"/>
          <w:szCs w:val="18"/>
          <w:rtl/>
        </w:rPr>
        <w:t>الربيع، م. (2022). المسؤولية المدنية عن أفعال الذكاء الاصطناعي (رسالة ماجستير). جامعة سعودية.</w:t>
      </w:r>
    </w:p>
  </w:footnote>
  <w:footnote w:id="112">
    <w:p w14:paraId="1E7951C5" w14:textId="77777777" w:rsidR="0095427D" w:rsidRPr="0095427D" w:rsidRDefault="0095427D" w:rsidP="00A67437">
      <w:pPr>
        <w:pStyle w:val="ae"/>
        <w:jc w:val="right"/>
      </w:pPr>
      <w:r>
        <w:rPr>
          <w:rStyle w:val="af"/>
        </w:rPr>
        <w:footnoteRef/>
      </w:r>
      <w:r>
        <w:t xml:space="preserve"> </w:t>
      </w:r>
      <w:r>
        <w:rPr>
          <w:sz w:val="18"/>
          <w:szCs w:val="18"/>
          <w:rtl/>
        </w:rPr>
        <w:t>الهيئة السعودية للبيانات والذكاء الاصطناعي (سدايا). (2023). وثيقة مبادئ أخلاقيات الذكاء الاصطناعي. الرياض: سدايا.</w:t>
      </w:r>
    </w:p>
  </w:footnote>
  <w:footnote w:id="113">
    <w:p w14:paraId="2F42AB10"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(د.ت). الضوابط القانونية للذكاء الاصطناعي في إبرام المعاملات القانونية. قسم القانون، الجامعة السعودية الإلكترونية، الرياض.</w:t>
      </w:r>
    </w:p>
  </w:footnote>
  <w:footnote w:id="114">
    <w:p w14:paraId="2BA95D01" w14:textId="77777777" w:rsidR="00C41E32" w:rsidRDefault="00000000"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مركز الدراسات والبحوث القانونية (2024م). استخدام الذكاء الاصطناعي في المحاكم. وزارة العدل، المملكة العربية السعودية.</w:t>
      </w:r>
    </w:p>
  </w:footnote>
  <w:footnote w:id="115">
    <w:p w14:paraId="1B61C130" w14:textId="77777777" w:rsidR="00C41E32" w:rsidRDefault="00000000"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ص34.</w:t>
      </w:r>
    </w:p>
  </w:footnote>
  <w:footnote w:id="116">
    <w:p w14:paraId="103D0F67" w14:textId="77777777" w:rsidR="00C41E32" w:rsidRDefault="00000000"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ص563.</w:t>
      </w:r>
    </w:p>
  </w:footnote>
  <w:footnote w:id="117">
    <w:p w14:paraId="1184A867" w14:textId="77777777" w:rsidR="00C41E32" w:rsidRDefault="00000000"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ص89.</w:t>
      </w:r>
    </w:p>
  </w:footnote>
  <w:footnote w:id="118">
    <w:p w14:paraId="293D43EC" w14:textId="77777777" w:rsidR="00C41E32" w:rsidRDefault="00000000"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 ص71.</w:t>
      </w:r>
    </w:p>
  </w:footnote>
  <w:footnote w:id="119">
    <w:p w14:paraId="2E6379AB" w14:textId="77777777" w:rsidR="00C41E32" w:rsidRDefault="00000000"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سلمى غابش سالم. (2022م). المسؤولية المدنية عن الأضرار الناشئة عن استخدام الذكاء الاصطناعي في مهن الطب الآلي [رسالة دكتوراه، جامعة الإمارات العربية المتحدة]، ص263.</w:t>
      </w:r>
    </w:p>
  </w:footnote>
  <w:footnote w:id="120">
    <w:p w14:paraId="393F7328" w14:textId="77777777" w:rsidR="00C41E32" w:rsidRDefault="00000000"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ص105.</w:t>
      </w:r>
    </w:p>
  </w:footnote>
  <w:footnote w:id="121">
    <w:p w14:paraId="52319DCC" w14:textId="77777777" w:rsidR="00C41E32" w:rsidRDefault="00000000"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ص25.</w:t>
      </w:r>
    </w:p>
  </w:footnote>
  <w:footnote w:id="122">
    <w:p w14:paraId="547F73E6" w14:textId="77777777" w:rsidR="00C41E32" w:rsidRDefault="00000000"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ص112.</w:t>
      </w:r>
    </w:p>
  </w:footnote>
  <w:footnote w:id="123">
    <w:p w14:paraId="388E21C3" w14:textId="77777777" w:rsidR="005562AF" w:rsidRDefault="005562AF" w:rsidP="006C5012">
      <w:pPr>
        <w:pStyle w:val="ae"/>
        <w:jc w:val="right"/>
      </w:pPr>
      <w:r>
        <w:rPr>
          <w:rStyle w:val="af"/>
        </w:rPr>
        <w:footnoteRef/>
      </w:r>
      <w:r>
        <w:t xml:space="preserve"> </w:t>
      </w:r>
      <w:r>
        <w:rPr>
          <w:sz w:val="18"/>
          <w:szCs w:val="18"/>
          <w:rtl/>
        </w:rPr>
        <w:t>هيئة الخبراء بمجلس الوزراء. (1445هـ). نظام المعاملات المدنية. المملكة العربية السعودية.</w:t>
      </w:r>
    </w:p>
  </w:footnote>
  <w:footnote w:id="124">
    <w:p w14:paraId="3FB1FC33" w14:textId="77777777" w:rsidR="005562AF" w:rsidRDefault="005562AF" w:rsidP="00A91133">
      <w:pPr>
        <w:pStyle w:val="ae"/>
        <w:jc w:val="right"/>
        <w:rPr>
          <w:rtl/>
        </w:rPr>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125">
    <w:p w14:paraId="2A24F982" w14:textId="77777777" w:rsidR="005562AF" w:rsidRPr="005562AF" w:rsidRDefault="005562AF" w:rsidP="00A91133">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26">
    <w:p w14:paraId="6784C6EB" w14:textId="77777777" w:rsidR="00C41E32" w:rsidRDefault="00000000" w:rsidP="004B4795">
      <w:pPr>
        <w:bidi/>
        <w:rPr>
          <w:sz w:val="16"/>
          <w:szCs w:val="16"/>
        </w:rPr>
      </w:pPr>
      <w:r>
        <w:rPr>
          <w:rStyle w:val="af"/>
        </w:rPr>
        <w:footnoteRef/>
      </w:r>
      <w:r>
        <w:t xml:space="preserve"> </w:t>
      </w:r>
      <w:r>
        <w:rPr>
          <w:sz w:val="18"/>
          <w:szCs w:val="18"/>
          <w:rtl/>
        </w:rPr>
        <w:t>الهيئة السعودية للبيانات والذكاء الاصطناعي (سدايا) (2025م). الدليل الاسترشادي لتقويم مخاطر نقل البيانات الشخصية إلى خارج المملكة أو الإفصاح عنها لجهات خارج المملكة. الرياض: سدايا، فبراير 2025م.</w:t>
      </w:r>
    </w:p>
  </w:footnote>
  <w:footnote w:id="127">
    <w:p w14:paraId="6BD00547" w14:textId="77777777" w:rsidR="00A918AE" w:rsidRDefault="00A918AE" w:rsidP="00E23555">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28">
    <w:p w14:paraId="266761D1" w14:textId="77777777" w:rsidR="00A918AE" w:rsidRPr="00A918AE" w:rsidRDefault="00A918AE" w:rsidP="00E23555">
      <w:pPr>
        <w:pStyle w:val="ae"/>
        <w:jc w:val="right"/>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129">
    <w:p w14:paraId="67204D7D" w14:textId="77777777" w:rsidR="003A40AC" w:rsidRDefault="003A40AC" w:rsidP="00E23555">
      <w:pPr>
        <w:pStyle w:val="ae"/>
        <w:jc w:val="right"/>
      </w:pPr>
      <w:r>
        <w:rPr>
          <w:rStyle w:val="af"/>
        </w:rPr>
        <w:footnoteRef/>
      </w:r>
      <w:r>
        <w:t xml:space="preserve"> </w:t>
      </w:r>
      <w:r>
        <w:rPr>
          <w:sz w:val="18"/>
          <w:szCs w:val="18"/>
          <w:rtl/>
        </w:rPr>
        <w:t>إسماعيل، م. ش. (2023). تأثير الذكاء الاصطناعي على المهن القانونية. بحث منشور.</w:t>
      </w:r>
    </w:p>
  </w:footnote>
  <w:footnote w:id="130">
    <w:p w14:paraId="5D49A7F3" w14:textId="77777777" w:rsidR="003A40AC" w:rsidRDefault="003A40AC" w:rsidP="00E23555">
      <w:pPr>
        <w:pStyle w:val="ae"/>
        <w:jc w:val="right"/>
      </w:pPr>
      <w:r>
        <w:rPr>
          <w:rStyle w:val="af"/>
        </w:rPr>
        <w:footnoteRef/>
      </w:r>
      <w:r>
        <w:t xml:space="preserve"> </w:t>
      </w:r>
      <w:r>
        <w:rPr>
          <w:sz w:val="18"/>
          <w:szCs w:val="18"/>
          <w:rtl/>
        </w:rPr>
        <w:t>حمادي، ع. (2022). المسؤولية المدنية عن أفعال الذكاء الاصطناعي. مجلة علمية قانونية، (8).</w:t>
      </w:r>
    </w:p>
  </w:footnote>
  <w:footnote w:id="131">
    <w:p w14:paraId="6DBCF290" w14:textId="77777777" w:rsidR="003A40AC" w:rsidRDefault="003A40AC" w:rsidP="00E23555">
      <w:pPr>
        <w:pStyle w:val="ae"/>
        <w:jc w:val="right"/>
        <w:rPr>
          <w:rtl/>
        </w:rPr>
      </w:pPr>
      <w:r>
        <w:rPr>
          <w:rStyle w:val="af"/>
        </w:rPr>
        <w:footnoteRef/>
      </w:r>
      <w:r>
        <w:t xml:space="preserve"> </w:t>
      </w:r>
      <w:r>
        <w:rPr>
          <w:sz w:val="18"/>
          <w:szCs w:val="18"/>
          <w:rtl/>
        </w:rPr>
        <w:t>الهيئة السعودية للبيانات والذكاء الاصطناعي (سدايا). (2023). وثيقة مبادئ أخلاقيات الذكاء الاصطناعي. الرياض: سدايا.</w:t>
      </w:r>
    </w:p>
  </w:footnote>
  <w:footnote w:id="132">
    <w:p w14:paraId="04B25DA0" w14:textId="77777777" w:rsidR="003A40AC" w:rsidRPr="003A40AC" w:rsidRDefault="003A40AC" w:rsidP="00E23555">
      <w:pPr>
        <w:pStyle w:val="ae"/>
        <w:jc w:val="right"/>
      </w:pPr>
      <w:r>
        <w:rPr>
          <w:rStyle w:val="af"/>
        </w:rPr>
        <w:footnoteRef/>
      </w:r>
      <w:r>
        <w:t xml:space="preserve"> </w:t>
      </w:r>
      <w:r>
        <w:rPr>
          <w:sz w:val="18"/>
          <w:szCs w:val="18"/>
          <w:rtl/>
        </w:rPr>
        <w:t>بلال، ف. (2023). دور الذكاء الاصطناعي في تعزيز العدالة الناجزة (رسالة ماجستير)..</w:t>
      </w:r>
    </w:p>
  </w:footnote>
  <w:footnote w:id="133">
    <w:p w14:paraId="49BE7866" w14:textId="77777777" w:rsidR="008D5357" w:rsidRPr="008D5357" w:rsidRDefault="008D5357" w:rsidP="00191993">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34">
    <w:p w14:paraId="2B1DC084" w14:textId="77777777" w:rsidR="00C41E32" w:rsidRDefault="00000000" w:rsidP="00191993">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محمود، سيد أحمد؛ وعناني، مريم عماد (د.ت). الذكاء الاصطناعي والعمل القضائي - دراسة تحليلية مقارنة. بحث مقدم في مؤتمر التحديات والآفاق القانونية والاقتصادية للذكاء الاصطناعي، كلية الحقوق، جامعة عين شمس.</w:t>
      </w:r>
    </w:p>
  </w:footnote>
  <w:footnote w:id="135">
    <w:p w14:paraId="2F6F4B2A" w14:textId="77777777" w:rsidR="00C41E32" w:rsidRDefault="00000000" w:rsidP="004B4795">
      <w:pPr>
        <w:bidi/>
        <w:rPr>
          <w:sz w:val="16"/>
          <w:szCs w:val="16"/>
        </w:rPr>
      </w:pPr>
      <w:r>
        <w:rPr>
          <w:rStyle w:val="af"/>
        </w:rPr>
        <w:footnoteRef/>
      </w:r>
      <w:r>
        <w:t xml:space="preserve"> </w:t>
      </w:r>
      <w:r>
        <w:rPr>
          <w:sz w:val="18"/>
          <w:szCs w:val="18"/>
          <w:rtl/>
        </w:rPr>
        <w:t>الهيئة السعودية للبيانات والذكاء الاصطناعي (سدايا) (2024م). إطار تبني الذكاء الاصطناعي. الرياض: سدايا، سبتمبر 2024م، ص4-12.</w:t>
      </w:r>
    </w:p>
  </w:footnote>
  <w:footnote w:id="136">
    <w:p w14:paraId="5BA36179" w14:textId="77777777" w:rsidR="00C41E32" w:rsidRDefault="00000000" w:rsidP="00191993">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آيات بنت أحمد؛ والمعلم، سليمان بن محمد (2024م). القواعد والإجراءات المنظمة لاستخدامات الذكاء الاصطناعي بالمملكة العربية السعودية وآثارها القانونية. المجلة العربية للنشر العلمي، الإصدار 7، العدد 73. DOI: 10.36571/ajsp7321.</w:t>
      </w:r>
    </w:p>
  </w:footnote>
  <w:footnote w:id="137">
    <w:p w14:paraId="25DF4948" w14:textId="77777777" w:rsidR="00C41E32" w:rsidRDefault="00000000" w:rsidP="00191993">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 ص57.</w:t>
      </w:r>
    </w:p>
  </w:footnote>
  <w:footnote w:id="138">
    <w:p w14:paraId="020B1F55" w14:textId="77777777" w:rsidR="00C41E32" w:rsidRDefault="00000000" w:rsidP="00191993">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سلمى غابش سالم. (2022م). المسؤولية المدنية عن الأضرار الناشئة عن استخدام الذكاء الاصطناعي في مهن الطب الآلي [رسالة دكتوراه، جامعة الإمارات العربية المتحدة]، ص178.</w:t>
      </w:r>
    </w:p>
  </w:footnote>
  <w:footnote w:id="139">
    <w:p w14:paraId="7FBDC0FD" w14:textId="77777777" w:rsidR="00C41E32" w:rsidRDefault="00000000" w:rsidP="0010656B">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(2024م). حجية الدليل الرقمي في نظام الإثبات السعودي. مجلة مواق للدراسات الإسلامية والاجتماعية، (43)، ص1452.</w:t>
      </w:r>
    </w:p>
  </w:footnote>
  <w:footnote w:id="140">
    <w:p w14:paraId="2DA1A432" w14:textId="77777777" w:rsidR="00C41E32" w:rsidRDefault="00000000" w:rsidP="0010656B">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علي، سعاد حسني محمد (د.ت). الذكاء الاصطناعي ودوره في إبرام العقود التجارية. مجلة الشريعة والقانون، جامعة الأزهر. ISSN-P: 1110-3779.</w:t>
      </w:r>
    </w:p>
  </w:footnote>
  <w:footnote w:id="141">
    <w:p w14:paraId="2D24ED81" w14:textId="77777777" w:rsidR="00C41E32" w:rsidRDefault="00000000" w:rsidP="0010656B">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ص25.</w:t>
      </w:r>
    </w:p>
  </w:footnote>
  <w:footnote w:id="142">
    <w:p w14:paraId="7CB83172"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ص58.</w:t>
      </w:r>
    </w:p>
  </w:footnote>
  <w:footnote w:id="143">
    <w:p w14:paraId="414DDC79"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ص371.</w:t>
      </w:r>
    </w:p>
  </w:footnote>
  <w:footnote w:id="144">
    <w:p w14:paraId="630FE3C0"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ص105.</w:t>
      </w:r>
    </w:p>
  </w:footnote>
  <w:footnote w:id="145">
    <w:p w14:paraId="73A115C3"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ص72.</w:t>
      </w:r>
    </w:p>
  </w:footnote>
  <w:footnote w:id="146">
    <w:p w14:paraId="05CCD1F4"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(2024م). حجية الدليل الرقمي في نظام الإثبات السعودي. مجلة مواق للدراسات الإسلامية والاجتماعية، (43)، ص1455.</w:t>
      </w:r>
    </w:p>
  </w:footnote>
  <w:footnote w:id="147">
    <w:p w14:paraId="1D9F37B6" w14:textId="77777777" w:rsidR="00B16B4E" w:rsidRDefault="00000000" w:rsidP="000D4B35">
      <w:pPr>
        <w:bidi/>
        <w:rPr>
          <w:sz w:val="16"/>
          <w:szCs w:val="16"/>
        </w:rPr>
      </w:pPr>
      <w:r>
        <w:rPr>
          <w:rStyle w:val="af"/>
        </w:rPr>
        <w:footnoteRef/>
      </w:r>
      <w:r>
        <w:t xml:space="preserve"> </w:t>
      </w:r>
      <w:r>
        <w:rPr>
          <w:sz w:val="18"/>
          <w:szCs w:val="18"/>
          <w:rtl/>
        </w:rPr>
        <w:t>لقرب، سامية (2024م). الذكاء الاصطناعي والآثار القانونية المترتبة عن استخدامه. مجلة المحترف، المجلد 11، العدد 4، ص236-253.</w:t>
      </w:r>
    </w:p>
  </w:footnote>
  <w:footnote w:id="148">
    <w:p w14:paraId="00291232" w14:textId="77777777" w:rsidR="00D150CD" w:rsidRPr="00D150CD" w:rsidRDefault="00D150CD" w:rsidP="000D4B35">
      <w:pPr>
        <w:pStyle w:val="ae"/>
        <w:jc w:val="right"/>
      </w:pPr>
      <w:r>
        <w:rPr>
          <w:rStyle w:val="af"/>
        </w:rPr>
        <w:footnoteRef/>
      </w:r>
      <w:r>
        <w:t xml:space="preserve"> </w:t>
      </w:r>
      <w:r>
        <w:rPr>
          <w:sz w:val="18"/>
          <w:szCs w:val="18"/>
          <w:rtl/>
        </w:rPr>
        <w:t>الغنامي، ن. ب. ن. (2024). الضوابط القانونية للذكاء الاصطناعي في إبرام المعاملات القانونية (رسالة دكتوراه). الجامعة السعودية الإلكترونية.</w:t>
      </w:r>
    </w:p>
  </w:footnote>
  <w:footnote w:id="149">
    <w:p w14:paraId="42ABA9CF" w14:textId="77777777" w:rsidR="00D150CD" w:rsidRPr="00D150CD" w:rsidRDefault="00D150CD" w:rsidP="000D4B35">
      <w:pPr>
        <w:pStyle w:val="ae"/>
        <w:jc w:val="right"/>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150">
    <w:p w14:paraId="4E9E3308" w14:textId="77777777" w:rsidR="00D150CD" w:rsidRPr="00D150CD" w:rsidRDefault="00D150CD" w:rsidP="000D4B35">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151">
    <w:p w14:paraId="2618910D" w14:textId="77777777" w:rsidR="00D150CD" w:rsidRPr="00D150CD" w:rsidRDefault="00D150CD" w:rsidP="000D4B35">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52">
    <w:p w14:paraId="17815CB8" w14:textId="77777777" w:rsidR="00D150CD" w:rsidRPr="00D150CD" w:rsidRDefault="00D150CD" w:rsidP="00BA3890">
      <w:pPr>
        <w:pStyle w:val="ae"/>
        <w:jc w:val="right"/>
      </w:pPr>
      <w:r>
        <w:rPr>
          <w:rStyle w:val="af"/>
        </w:rPr>
        <w:footnoteRef/>
      </w:r>
      <w:r>
        <w:t xml:space="preserve"> </w:t>
      </w:r>
      <w:r>
        <w:rPr>
          <w:sz w:val="18"/>
          <w:szCs w:val="18"/>
          <w:rtl/>
        </w:rPr>
        <w:t>الربيع، م. (2022). المسؤولية المدنية عن أفعال الذكاء الاصطناعي (رسالة ماجستير). .</w:t>
      </w:r>
    </w:p>
  </w:footnote>
  <w:footnote w:id="153">
    <w:p w14:paraId="58CEACC6" w14:textId="77777777" w:rsidR="00D150CD" w:rsidRPr="00D150CD" w:rsidRDefault="00D150CD" w:rsidP="00BA3890">
      <w:pPr>
        <w:pStyle w:val="ae"/>
        <w:jc w:val="right"/>
      </w:pPr>
      <w:r>
        <w:rPr>
          <w:rStyle w:val="af"/>
        </w:rPr>
        <w:footnoteRef/>
      </w:r>
      <w:r>
        <w:t xml:space="preserve"> </w:t>
      </w:r>
      <w:r>
        <w:rPr>
          <w:sz w:val="18"/>
          <w:szCs w:val="18"/>
          <w:rtl/>
        </w:rPr>
        <w:t>رجب، ي. م. ع. (2023). دور الدولة في تأطير أخلاقيات الذكاء الاصطناعي: دراسة مقارنة. جامعة القاهرة.</w:t>
      </w:r>
    </w:p>
  </w:footnote>
  <w:footnote w:id="154">
    <w:p w14:paraId="0BC70F09" w14:textId="77777777" w:rsidR="00D150CD" w:rsidRPr="00D150CD" w:rsidRDefault="00D150CD" w:rsidP="00BA3890">
      <w:pPr>
        <w:pStyle w:val="ae"/>
        <w:jc w:val="right"/>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155">
    <w:p w14:paraId="6E987D58" w14:textId="77777777" w:rsidR="00D150CD" w:rsidRPr="00D150CD" w:rsidRDefault="00D150CD" w:rsidP="00BA3890">
      <w:pPr>
        <w:pStyle w:val="ae"/>
        <w:jc w:val="right"/>
      </w:pPr>
      <w:r>
        <w:rPr>
          <w:rStyle w:val="af"/>
        </w:rPr>
        <w:footnoteRef/>
      </w:r>
      <w:r>
        <w:t xml:space="preserve"> </w:t>
      </w:r>
      <w:r>
        <w:rPr>
          <w:sz w:val="18"/>
          <w:szCs w:val="18"/>
          <w:rtl/>
        </w:rPr>
        <w:t>بلال، ف. (2023). دور الذكاء الاصطناعي في تعزيز العدالة الناجزة (رسالة ماجستير). جامعة سعودية.</w:t>
      </w:r>
    </w:p>
  </w:footnote>
  <w:footnote w:id="156">
    <w:p w14:paraId="6B0D9832" w14:textId="77777777" w:rsidR="00B16B4E" w:rsidRDefault="00000000" w:rsidP="004B4795">
      <w:pPr>
        <w:bidi/>
        <w:rPr>
          <w:sz w:val="16"/>
          <w:szCs w:val="16"/>
        </w:rPr>
      </w:pPr>
      <w:r>
        <w:rPr>
          <w:rStyle w:val="af"/>
        </w:rPr>
        <w:footnoteRef/>
      </w:r>
      <w:r>
        <w:t xml:space="preserve"> </w:t>
      </w:r>
      <w:r>
        <w:rPr>
          <w:sz w:val="18"/>
          <w:szCs w:val="18"/>
          <w:rtl/>
        </w:rPr>
        <w:t>الهيئة السعودية للبيانات والذكاء الاصطناعي (سدايا) (2023م). مبادئ أخلاقيات الذكاء الاصطناعي. الرياض: سدايا، الإصدار الأول، سبتمبر 2023م.</w:t>
      </w:r>
    </w:p>
  </w:footnote>
  <w:footnote w:id="157">
    <w:p w14:paraId="0394A07E" w14:textId="77777777" w:rsidR="00F237E4" w:rsidRPr="00F237E4" w:rsidRDefault="00F237E4" w:rsidP="00301A79">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58">
    <w:p w14:paraId="77DDABA8" w14:textId="77777777" w:rsidR="00F237E4" w:rsidRPr="00F237E4" w:rsidRDefault="00F237E4" w:rsidP="00301A79">
      <w:pPr>
        <w:pStyle w:val="ae"/>
        <w:jc w:val="right"/>
      </w:pPr>
      <w:r>
        <w:rPr>
          <w:rStyle w:val="af"/>
        </w:rPr>
        <w:footnoteRef/>
      </w:r>
      <w:r>
        <w:t xml:space="preserve"> </w:t>
      </w:r>
      <w:r>
        <w:rPr>
          <w:sz w:val="18"/>
          <w:szCs w:val="18"/>
          <w:rtl/>
        </w:rPr>
        <w:t>الربيع، م. (2022). المسؤولية المدنية عن أفعال الذكاء الاصطناعي (رسالة ماجستير). جامعة سعودية.</w:t>
      </w:r>
    </w:p>
  </w:footnote>
  <w:footnote w:id="159">
    <w:p w14:paraId="0E0F3A7B" w14:textId="77777777" w:rsidR="00F237E4" w:rsidRPr="00F237E4" w:rsidRDefault="00F237E4" w:rsidP="00301A79">
      <w:pPr>
        <w:pStyle w:val="ae"/>
        <w:jc w:val="right"/>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160">
    <w:p w14:paraId="79432A44" w14:textId="77777777" w:rsidR="00F237E4" w:rsidRPr="00F237E4" w:rsidRDefault="00F237E4" w:rsidP="00301A79">
      <w:pPr>
        <w:pStyle w:val="ae"/>
        <w:jc w:val="right"/>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161">
    <w:p w14:paraId="20B96BA4" w14:textId="77777777" w:rsidR="00B16B4E" w:rsidRDefault="00000000" w:rsidP="004B4795">
      <w:pPr>
        <w:bidi/>
        <w:rPr>
          <w:sz w:val="16"/>
          <w:szCs w:val="16"/>
        </w:rPr>
      </w:pPr>
      <w:r>
        <w:rPr>
          <w:rStyle w:val="af"/>
        </w:rPr>
        <w:footnoteRef/>
      </w:r>
      <w:r>
        <w:t xml:space="preserve"> </w:t>
      </w:r>
      <w:r>
        <w:rPr>
          <w:sz w:val="18"/>
          <w:szCs w:val="18"/>
          <w:rtl/>
        </w:rPr>
        <w:t>مركز الدراسات والبحوث القانونية (2024م). استخدام الذكاء الاصطناعي في المحاكم. الرياض: إعداد بالتعاون مع خبراء دوليين ومختصين، بهدف إثراء البيئة القانونية في المملكة العربية السعودية.</w:t>
      </w:r>
    </w:p>
  </w:footnote>
  <w:footnote w:id="162">
    <w:p w14:paraId="04632CA7" w14:textId="77777777" w:rsidR="00957EC0" w:rsidRPr="00957EC0" w:rsidRDefault="00957EC0" w:rsidP="00301A79">
      <w:pPr>
        <w:pStyle w:val="ae"/>
        <w:jc w:val="right"/>
      </w:pPr>
      <w:r>
        <w:rPr>
          <w:rStyle w:val="af"/>
        </w:rPr>
        <w:footnoteRef/>
      </w:r>
      <w:r>
        <w:t xml:space="preserve"> </w:t>
      </w:r>
      <w:r>
        <w:rPr>
          <w:sz w:val="18"/>
          <w:szCs w:val="18"/>
          <w:rtl/>
        </w:rPr>
        <w:t>بلال، ف. (2023). دور الذكاء الاصطناعي في تعزيز العدالة الناجزة (رسالة ماجستير). جامعة سعودية.</w:t>
      </w:r>
    </w:p>
  </w:footnote>
  <w:footnote w:id="163">
    <w:p w14:paraId="6BB4AD60" w14:textId="77777777" w:rsidR="00957EC0" w:rsidRPr="00957EC0" w:rsidRDefault="00957EC0" w:rsidP="000D4B35">
      <w:pPr>
        <w:pStyle w:val="ae"/>
        <w:jc w:val="right"/>
      </w:pPr>
      <w:r>
        <w:rPr>
          <w:rStyle w:val="af"/>
        </w:rPr>
        <w:footnoteRef/>
      </w:r>
      <w:r>
        <w:t xml:space="preserve"> </w:t>
      </w:r>
      <w:r>
        <w:rPr>
          <w:sz w:val="18"/>
          <w:szCs w:val="18"/>
          <w:rtl/>
        </w:rPr>
        <w:t>الغنامي، ن. ب. ن. (2024). الضوابط القانونية للذكاء الاصطناعي في إبرام المعاملات القانونية (رسالة دكتوراه). الجامعة السعودية الإلكترونية.</w:t>
      </w:r>
    </w:p>
  </w:footnote>
  <w:footnote w:id="164">
    <w:p w14:paraId="0D6C2A3F"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مركز الدراسات والبحوث القانونية (2024م). استخدام الذكاء الاصطناعي في المحاكم. وزارة العدل، المملكة العربية السعودية.</w:t>
      </w:r>
    </w:p>
  </w:footnote>
  <w:footnote w:id="165">
    <w:p w14:paraId="099D7BCC"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ص74.</w:t>
      </w:r>
    </w:p>
  </w:footnote>
  <w:footnote w:id="166">
    <w:p w14:paraId="79A2EA77"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ص568.</w:t>
      </w:r>
    </w:p>
  </w:footnote>
  <w:footnote w:id="167">
    <w:p w14:paraId="7A09E19F"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ص7.</w:t>
      </w:r>
    </w:p>
  </w:footnote>
  <w:footnote w:id="168">
    <w:p w14:paraId="68217D7B"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ص267.</w:t>
      </w:r>
    </w:p>
  </w:footnote>
  <w:footnote w:id="169">
    <w:p w14:paraId="67D7C71A"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ص403.</w:t>
      </w:r>
    </w:p>
  </w:footnote>
  <w:footnote w:id="170">
    <w:p w14:paraId="5BFE0E1B" w14:textId="77777777" w:rsidR="00957EC0" w:rsidRPr="00957EC0" w:rsidRDefault="00957EC0" w:rsidP="00301A79">
      <w:pPr>
        <w:pStyle w:val="ae"/>
        <w:jc w:val="right"/>
      </w:pPr>
      <w:r>
        <w:rPr>
          <w:rStyle w:val="af"/>
        </w:rPr>
        <w:footnoteRef/>
      </w:r>
      <w:r>
        <w:t xml:space="preserve"> </w:t>
      </w:r>
      <w:r>
        <w:rPr>
          <w:sz w:val="18"/>
          <w:szCs w:val="18"/>
          <w:rtl/>
        </w:rPr>
        <w:t>رجب، ي. م. ع. (2023). دور الدولة في تأطير أخلاقيات الذكاء الاصطناعي: دراسة مقارنة. جامعة القاهرة.</w:t>
      </w:r>
    </w:p>
  </w:footnote>
  <w:footnote w:id="171">
    <w:p w14:paraId="3C6FFD99" w14:textId="77777777" w:rsidR="00957EC0" w:rsidRPr="00957EC0" w:rsidRDefault="00957EC0" w:rsidP="00301A79">
      <w:pPr>
        <w:pStyle w:val="ae"/>
        <w:jc w:val="right"/>
      </w:pPr>
      <w:r>
        <w:rPr>
          <w:rStyle w:val="af"/>
        </w:rPr>
        <w:footnoteRef/>
      </w:r>
      <w:r>
        <w:t xml:space="preserve"> </w:t>
      </w:r>
      <w:r>
        <w:rPr>
          <w:sz w:val="18"/>
          <w:szCs w:val="18"/>
          <w:rtl/>
        </w:rPr>
        <w:t>رجب، ي. م. ع. (2023). دور الدولة في تأطير أخلاقيات الذكاء الاصطناعي: دراسة مقارنة. جامعة القاهرة.</w:t>
      </w:r>
    </w:p>
  </w:footnote>
  <w:footnote w:id="172">
    <w:p w14:paraId="2F609D9E" w14:textId="77777777" w:rsidR="00957EC0" w:rsidRPr="00957EC0" w:rsidRDefault="00957EC0" w:rsidP="000D4B35">
      <w:pPr>
        <w:pStyle w:val="ae"/>
        <w:jc w:val="right"/>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173">
    <w:p w14:paraId="288B715E" w14:textId="77777777" w:rsidR="00957EC0" w:rsidRPr="00957EC0" w:rsidRDefault="00957EC0" w:rsidP="000D4B35">
      <w:pPr>
        <w:pStyle w:val="ae"/>
        <w:jc w:val="right"/>
      </w:pPr>
      <w:r>
        <w:rPr>
          <w:rStyle w:val="af"/>
        </w:rPr>
        <w:footnoteRef/>
      </w:r>
      <w:r>
        <w:t xml:space="preserve"> </w:t>
      </w:r>
      <w:r>
        <w:rPr>
          <w:sz w:val="18"/>
          <w:szCs w:val="18"/>
          <w:rtl/>
        </w:rPr>
        <w:t>الغنامي، ن. ب. ن. (2024). الضوابط القانونية للذكاء الاصطناعي في إبرام المعاملات القانونية (رسالة دكتوراه). الجامعة السعودية الإلكترونية.</w:t>
      </w:r>
    </w:p>
  </w:footnote>
  <w:footnote w:id="174">
    <w:p w14:paraId="0888FB1E" w14:textId="77777777" w:rsidR="00C41E32" w:rsidRDefault="00000000" w:rsidP="000D4B35">
      <w:pPr>
        <w:bidi/>
        <w:rPr>
          <w:sz w:val="16"/>
          <w:szCs w:val="16"/>
        </w:rPr>
      </w:pPr>
      <w:r>
        <w:rPr>
          <w:rStyle w:val="af"/>
        </w:rPr>
        <w:footnoteRef/>
      </w:r>
      <w:r>
        <w:t xml:space="preserve"> </w:t>
      </w:r>
      <w:r>
        <w:rPr>
          <w:sz w:val="18"/>
          <w:szCs w:val="18"/>
          <w:rtl/>
        </w:rPr>
        <w:t>التونسي، آيات أحمد؛ والمعلم، سليمان محمد (2024م). القواعد والإجراءات المنظمة لاستخدامات الذكاء الاصطناعي بالمملكة العربية السعودية وآثارها القانونية. المجلة العربية للنشر العلمي، ص375-378.</w:t>
      </w:r>
    </w:p>
  </w:footnote>
  <w:footnote w:id="175">
    <w:p w14:paraId="0A166AD2" w14:textId="77777777" w:rsidR="00C41E32" w:rsidRDefault="00000000" w:rsidP="004B4795">
      <w:pPr>
        <w:bidi/>
        <w:rPr>
          <w:sz w:val="16"/>
          <w:szCs w:val="16"/>
        </w:rPr>
      </w:pPr>
      <w:r>
        <w:rPr>
          <w:rStyle w:val="af"/>
        </w:rPr>
        <w:footnoteRef/>
      </w:r>
      <w:r>
        <w:t xml:space="preserve"> </w:t>
      </w:r>
      <w:r>
        <w:rPr>
          <w:sz w:val="18"/>
          <w:szCs w:val="18"/>
          <w:rtl/>
        </w:rPr>
        <w:t>المملكة العربية السعودية (1428هـ). نظام مكافحة الجرائم المعلوماتية الصادر بالمرسوم الملكي رقم م/17 وتاريخ 8/3/1428هـ. الرياض: الأمانة العامة لمجلس الوزراء.</w:t>
      </w:r>
    </w:p>
  </w:footnote>
  <w:footnote w:id="176">
    <w:p w14:paraId="190CA141" w14:textId="77777777" w:rsidR="00B16B4E" w:rsidRDefault="00000000" w:rsidP="004B4795">
      <w:pPr>
        <w:bidi/>
        <w:rPr>
          <w:sz w:val="16"/>
          <w:szCs w:val="16"/>
        </w:rPr>
      </w:pPr>
      <w:r>
        <w:rPr>
          <w:rStyle w:val="af"/>
        </w:rPr>
        <w:footnoteRef/>
      </w:r>
      <w:r>
        <w:t xml:space="preserve"> </w:t>
      </w:r>
      <w:r>
        <w:rPr>
          <w:sz w:val="18"/>
          <w:szCs w:val="18"/>
          <w:rtl/>
        </w:rPr>
        <w:t>المالكي، خالد بن عبد الرحيم (2024م). المسؤولية المدنية عن فعل الذكاء الاصطناعي في النظام السعودي - دراسة تحليلية تأصيلية. مجلة البحوث الفقهية والقانونية، جامعة الأزهر، عدد 47، ص1767.</w:t>
      </w:r>
    </w:p>
  </w:footnote>
  <w:footnote w:id="177">
    <w:p w14:paraId="1492FF7A" w14:textId="77777777" w:rsidR="00B16B4E" w:rsidRDefault="00000000" w:rsidP="004B4795">
      <w:pPr>
        <w:bidi/>
        <w:rPr>
          <w:sz w:val="16"/>
          <w:szCs w:val="16"/>
        </w:rPr>
      </w:pPr>
      <w:r>
        <w:rPr>
          <w:rStyle w:val="af"/>
        </w:rPr>
        <w:footnoteRef/>
      </w:r>
      <w:r>
        <w:t xml:space="preserve"> </w:t>
      </w:r>
      <w:r>
        <w:rPr>
          <w:sz w:val="18"/>
          <w:szCs w:val="18"/>
          <w:rtl/>
        </w:rPr>
        <w:t>التونسي، آيات أحمد؛ والمعلم، سليمان محمد (2024م). القواعد والإجراءات المنظمة لاستخدامات الذكاء الاصطناعي بالمملكة العربية السعودية وآثارها القانونية. المجلة العربية للنشر العلمي، الإصدار 7، العدد 73، ص368.</w:t>
      </w:r>
    </w:p>
  </w:footnote>
  <w:footnote w:id="178">
    <w:p w14:paraId="665F9C06" w14:textId="77777777" w:rsidR="00F532FA" w:rsidRPr="00F532FA" w:rsidRDefault="00F532FA" w:rsidP="002029E8">
      <w:pPr>
        <w:pStyle w:val="ae"/>
        <w:jc w:val="right"/>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179">
    <w:p w14:paraId="7CF16E90" w14:textId="77777777" w:rsidR="00F532FA" w:rsidRPr="00F532FA" w:rsidRDefault="00F532FA" w:rsidP="002029E8">
      <w:pPr>
        <w:pStyle w:val="ae"/>
        <w:jc w:val="right"/>
      </w:pPr>
      <w:r>
        <w:rPr>
          <w:rStyle w:val="af"/>
        </w:rPr>
        <w:footnoteRef/>
      </w:r>
      <w:r>
        <w:t xml:space="preserve"> </w:t>
      </w:r>
      <w:r>
        <w:rPr>
          <w:sz w:val="18"/>
          <w:szCs w:val="18"/>
          <w:rtl/>
        </w:rPr>
        <w:t>مجلة الشريعة والقانون. (2022). الذكاء الاصطناعي والعمل القضائي. كلية القانون، جامعة الإمارات العربية المتحدة، (99).</w:t>
      </w:r>
    </w:p>
  </w:footnote>
  <w:footnote w:id="180">
    <w:p w14:paraId="552B8917"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بالل، فاطمة عبد العزيز حسن أحمد (2023م). دور الذكاء الاصطناعي في تعزيز العدالة الناجزة أمام القضاء - دراسة مقارنة. رسالة ماجستير، كلية القانون، جامعة قطر.</w:t>
      </w:r>
    </w:p>
  </w:footnote>
  <w:footnote w:id="181">
    <w:p w14:paraId="02371E16"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محمود، سيد أحمد؛ وعناني، مريم عماد (د.ت). الذكاء الاصطناعي والعمل القضائي - دراسة تحليلية مقارنة. بحث مقدم في مؤتمر التحديات والآفاق القانونية والاقتصادية للذكاء الاصطناعي، كلية الحقوق، جامعة عين شمس.</w:t>
      </w:r>
    </w:p>
  </w:footnote>
  <w:footnote w:id="182">
    <w:p w14:paraId="1789E698"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إسماعيل، محمد شحادة (2025م). تأثير الذكاء الاصطناعي على المهن القانونية. مجلة الباحث العربي، مجلد 6، عدد 1. DOI: 10.57072/ar.v6i1.159.</w:t>
      </w:r>
    </w:p>
  </w:footnote>
  <w:footnote w:id="183">
    <w:p w14:paraId="20601C55"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ص7.</w:t>
      </w:r>
    </w:p>
  </w:footnote>
  <w:footnote w:id="184">
    <w:p w14:paraId="222B9B75"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ص89.</w:t>
      </w:r>
    </w:p>
  </w:footnote>
  <w:footnote w:id="185">
    <w:p w14:paraId="7DF7A247"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ص156.</w:t>
      </w:r>
    </w:p>
  </w:footnote>
  <w:footnote w:id="186">
    <w:p w14:paraId="201988A3"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ص88.</w:t>
      </w:r>
    </w:p>
  </w:footnote>
  <w:footnote w:id="187">
    <w:p w14:paraId="0E9B9F06"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ص403.</w:t>
      </w:r>
    </w:p>
  </w:footnote>
  <w:footnote w:id="188">
    <w:p w14:paraId="03305970"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ص42.</w:t>
      </w:r>
    </w:p>
  </w:footnote>
  <w:footnote w:id="189">
    <w:p w14:paraId="70E3D043"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ص575.</w:t>
      </w:r>
    </w:p>
  </w:footnote>
  <w:footnote w:id="190">
    <w:p w14:paraId="6EB98B7B"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 ص84.</w:t>
      </w:r>
    </w:p>
  </w:footnote>
  <w:footnote w:id="191">
    <w:p w14:paraId="5F28E93D" w14:textId="77777777" w:rsidR="00C41E32" w:rsidRDefault="00000000" w:rsidP="004B4795">
      <w:pPr>
        <w:bidi/>
        <w:rPr>
          <w:sz w:val="16"/>
          <w:szCs w:val="16"/>
        </w:rPr>
      </w:pPr>
      <w:r>
        <w:rPr>
          <w:rStyle w:val="af"/>
        </w:rPr>
        <w:footnoteRef/>
      </w:r>
      <w:r>
        <w:t xml:space="preserve"> </w:t>
      </w:r>
      <w:r>
        <w:rPr>
          <w:sz w:val="18"/>
          <w:szCs w:val="18"/>
          <w:rtl/>
        </w:rPr>
        <w:t>المالكي، خالد بن عبد الرحيم (2024م). المسؤولية المدنية عن فعل الذكاء الاصطناعي في النظام السعودي. مجلة البحوث الفقهية والقانونية، جامعة الأزهر، ص1780-1785.</w:t>
      </w:r>
    </w:p>
  </w:footnote>
  <w:footnote w:id="192">
    <w:p w14:paraId="3F88B73B" w14:textId="77777777" w:rsidR="00B16B4E" w:rsidRDefault="00000000" w:rsidP="004B4795">
      <w:pPr>
        <w:bidi/>
        <w:rPr>
          <w:sz w:val="16"/>
          <w:szCs w:val="16"/>
        </w:rPr>
      </w:pPr>
      <w:r>
        <w:rPr>
          <w:rStyle w:val="af"/>
        </w:rPr>
        <w:footnoteRef/>
      </w:r>
      <w:r>
        <w:t xml:space="preserve"> </w:t>
      </w:r>
      <w:r>
        <w:rPr>
          <w:sz w:val="18"/>
          <w:szCs w:val="18"/>
          <w:rtl/>
        </w:rPr>
        <w:t>إسماعيل، محمد شحادة (2025م). تأثير الذكاء الاصطناعي على المهن القانونية. مجلة الباحث العربي، مجلد 6، عدد 1، نشر بتاريخ 30 مارس 2025م. https://doi.org/10.57072/ar.v6i1.159</w:t>
      </w:r>
    </w:p>
  </w:footnote>
  <w:footnote w:id="193">
    <w:p w14:paraId="7AEA25C0" w14:textId="77777777" w:rsidR="00624037" w:rsidRPr="0063436A" w:rsidRDefault="00624037" w:rsidP="00624037">
      <w:pPr>
        <w:pStyle w:val="ae"/>
        <w:jc w:val="right"/>
      </w:pPr>
      <w:r>
        <w:rPr>
          <w:rStyle w:val="af"/>
        </w:rPr>
        <w:footnoteRef/>
      </w:r>
      <w:r>
        <w:t xml:space="preserve"> </w:t>
      </w:r>
      <w:r>
        <w:rPr>
          <w:sz w:val="18"/>
          <w:szCs w:val="18"/>
          <w:rtl/>
        </w:rPr>
        <w:t>هيئة الخبراء بمجلس الوزراء. (1422هـ). نظام المحاماة. المملكة العربية السعودية.</w:t>
      </w:r>
    </w:p>
  </w:footnote>
  <w:footnote w:id="194">
    <w:p w14:paraId="03B7365B" w14:textId="77777777" w:rsidR="00624037" w:rsidRPr="0063436A" w:rsidRDefault="00624037" w:rsidP="00624037">
      <w:pPr>
        <w:pStyle w:val="ae"/>
        <w:jc w:val="right"/>
      </w:pPr>
      <w:r>
        <w:rPr>
          <w:rStyle w:val="af"/>
        </w:rPr>
        <w:footnoteRef/>
      </w:r>
      <w:r>
        <w:t xml:space="preserve"> </w:t>
      </w:r>
      <w:r>
        <w:rPr>
          <w:sz w:val="18"/>
          <w:szCs w:val="18"/>
          <w:rtl/>
        </w:rPr>
        <w:t>هيئة الخبراء بمجلس الوزراء. (1445هـ). نظام المعاملات المدنية. المملكة العربية السعودية.</w:t>
      </w:r>
    </w:p>
  </w:footnote>
  <w:footnote w:id="195">
    <w:p w14:paraId="26AD016D" w14:textId="77777777" w:rsidR="00624037" w:rsidRPr="0063436A" w:rsidRDefault="00624037" w:rsidP="00624037">
      <w:pPr>
        <w:pStyle w:val="ae"/>
        <w:jc w:val="right"/>
      </w:pPr>
      <w:r>
        <w:rPr>
          <w:rStyle w:val="af"/>
        </w:rPr>
        <w:footnoteRef/>
      </w:r>
      <w:r>
        <w:t xml:space="preserve"> </w:t>
      </w:r>
      <w:r>
        <w:rPr>
          <w:sz w:val="18"/>
          <w:szCs w:val="18"/>
          <w:rtl/>
        </w:rPr>
        <w:t>هيئة الخبراء بمجلس الوزراء. (1443هـ). نظام الإثبات. المملكة العربية السعودية.</w:t>
      </w:r>
    </w:p>
  </w:footnote>
  <w:footnote w:id="196">
    <w:p w14:paraId="561C6732" w14:textId="77777777" w:rsidR="00624037" w:rsidRDefault="00624037" w:rsidP="00624037">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197">
    <w:p w14:paraId="1AAFD6A3" w14:textId="77777777" w:rsidR="00624037" w:rsidRPr="0063436A" w:rsidRDefault="00624037" w:rsidP="00624037">
      <w:pPr>
        <w:pStyle w:val="ae"/>
        <w:jc w:val="right"/>
      </w:pPr>
      <w:r>
        <w:rPr>
          <w:rStyle w:val="af"/>
        </w:rPr>
        <w:footnoteRef/>
      </w:r>
      <w:r>
        <w:t xml:space="preserve"> </w:t>
      </w:r>
      <w:r>
        <w:rPr>
          <w:sz w:val="18"/>
          <w:szCs w:val="18"/>
          <w:rtl/>
        </w:rPr>
        <w:t>هيئة الخبراء بمجلس الوزراء. (1443هـ). نظام حماية البيانات الشخصية. المملكة العربية السعودية.</w:t>
      </w:r>
    </w:p>
  </w:footnote>
  <w:footnote w:id="198">
    <w:p w14:paraId="66C9ED26" w14:textId="77777777" w:rsidR="00624037" w:rsidRPr="0063436A" w:rsidRDefault="00624037" w:rsidP="000D4B35">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99">
    <w:p w14:paraId="6B9BC503" w14:textId="77777777" w:rsidR="00624037" w:rsidRPr="0063436A" w:rsidRDefault="00624037" w:rsidP="000D4B35">
      <w:pPr>
        <w:pStyle w:val="ae"/>
        <w:jc w:val="right"/>
      </w:pPr>
      <w:r>
        <w:rPr>
          <w:rStyle w:val="af"/>
        </w:rPr>
        <w:footnoteRef/>
      </w:r>
      <w:r>
        <w:t xml:space="preserve"> </w:t>
      </w:r>
      <w:r>
        <w:rPr>
          <w:sz w:val="18"/>
          <w:szCs w:val="18"/>
          <w:rtl/>
        </w:rPr>
        <w:t>مجلة العدالة. (2022). المسؤولية عن الذكاء الاصطناعي. وزارة العدل السعودية، (65).</w:t>
      </w:r>
    </w:p>
  </w:footnote>
  <w:footnote w:id="200">
    <w:p w14:paraId="51E1E7BE" w14:textId="77777777" w:rsidR="00624037" w:rsidRPr="0063436A" w:rsidRDefault="00624037" w:rsidP="000D4B35">
      <w:pPr>
        <w:pStyle w:val="ae"/>
        <w:jc w:val="right"/>
      </w:pPr>
      <w:r>
        <w:rPr>
          <w:rStyle w:val="af"/>
        </w:rPr>
        <w:footnoteRef/>
      </w:r>
      <w:r>
        <w:t xml:space="preserve"> </w:t>
      </w:r>
      <w:r>
        <w:rPr>
          <w:sz w:val="18"/>
          <w:szCs w:val="18"/>
          <w:rtl/>
        </w:rPr>
        <w:t>مجلة الشريعة والقانون. (2022). الذكاء الاصطناعي والعمل القضائي. كلية القانون، جامعة الإمارات العربية المتحدة، (99).</w:t>
      </w:r>
    </w:p>
  </w:footnote>
  <w:footnote w:id="201">
    <w:p w14:paraId="62845457" w14:textId="77777777" w:rsidR="00624037" w:rsidRDefault="00624037" w:rsidP="000D4B35">
      <w:pPr>
        <w:pStyle w:val="ae"/>
        <w:jc w:val="right"/>
      </w:pPr>
      <w:r>
        <w:rPr>
          <w:rStyle w:val="af"/>
        </w:rPr>
        <w:footnoteRef/>
      </w:r>
      <w:r>
        <w:t xml:space="preserve"> </w:t>
      </w:r>
      <w:r>
        <w:rPr>
          <w:sz w:val="18"/>
          <w:szCs w:val="18"/>
          <w:rtl/>
        </w:rPr>
        <w:t>مرسي، م. إ. (2023). مدى ملاءمة عقود الذكاء الاصطناعي المبرمة عبر تقنية البلوك تشين لقانون العقود. Journal of Legal Research.</w:t>
      </w:r>
    </w:p>
  </w:footnote>
  <w:footnote w:id="202">
    <w:p w14:paraId="09A4722A" w14:textId="77777777" w:rsidR="00624037" w:rsidRDefault="00624037" w:rsidP="000D4B35">
      <w:pPr>
        <w:pStyle w:val="ae"/>
        <w:jc w:val="right"/>
        <w:rPr>
          <w:rtl/>
        </w:rPr>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203">
    <w:p w14:paraId="04BC5F99" w14:textId="77777777" w:rsidR="00624037" w:rsidRPr="00DA5441" w:rsidRDefault="00624037" w:rsidP="000D4B35">
      <w:pPr>
        <w:pStyle w:val="ae"/>
        <w:jc w:val="right"/>
      </w:pPr>
      <w:r>
        <w:rPr>
          <w:rStyle w:val="af"/>
        </w:rPr>
        <w:footnoteRef/>
      </w:r>
      <w:r>
        <w:t xml:space="preserve"> </w:t>
      </w:r>
      <w:r>
        <w:rPr>
          <w:sz w:val="18"/>
          <w:szCs w:val="18"/>
          <w:rtl/>
        </w:rPr>
        <w:t>الهيئة السعودية للبيانات والذكاء الاصطناعي (سدايا). (2023). وثيقة مبادئ أخلاقيات الذكاء الاصطناعي. الرياض: سدايا.</w:t>
      </w:r>
    </w:p>
  </w:footnote>
  <w:footnote w:id="204">
    <w:p w14:paraId="49AC15BF"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ص81.</w:t>
      </w:r>
    </w:p>
  </w:footnote>
  <w:footnote w:id="205">
    <w:p w14:paraId="69CB1DD2"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ص110.</w:t>
      </w:r>
    </w:p>
  </w:footnote>
  <w:footnote w:id="206">
    <w:p w14:paraId="3043EE89"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ص363.</w:t>
      </w:r>
    </w:p>
  </w:footnote>
  <w:footnote w:id="207">
    <w:p w14:paraId="3922D12A"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سلمى غابش سالم. (2022م). المسؤولية المدنية عن الأضرار الناشئة عن استخدام الذكاء الاصطناعي في مهن الطب الآلي [رسالة دكتوراه، جامعة الإمارات العربية المتحدة]، ص298.</w:t>
      </w:r>
    </w:p>
  </w:footnote>
  <w:footnote w:id="208">
    <w:p w14:paraId="07BF1878" w14:textId="77777777" w:rsidR="00624037" w:rsidRPr="00DA5441" w:rsidRDefault="00624037" w:rsidP="000D4B35">
      <w:pPr>
        <w:pStyle w:val="ae"/>
        <w:jc w:val="right"/>
      </w:pPr>
      <w:r>
        <w:rPr>
          <w:rStyle w:val="af"/>
        </w:rPr>
        <w:footnoteRef/>
      </w:r>
      <w:r>
        <w:t xml:space="preserve"> </w:t>
      </w:r>
      <w:r>
        <w:rPr>
          <w:sz w:val="18"/>
          <w:szCs w:val="18"/>
          <w:rtl/>
        </w:rPr>
        <w:t>هيئة الخبراء بمجلس الوزراء. (1445هـ). نظام المعاملات المدنية. المملكة العربية السعودية.</w:t>
      </w:r>
    </w:p>
  </w:footnote>
  <w:footnote w:id="209">
    <w:p w14:paraId="491A6FC3" w14:textId="77777777" w:rsidR="00624037" w:rsidRPr="00DA5441" w:rsidRDefault="00624037" w:rsidP="000D4B35">
      <w:pPr>
        <w:pStyle w:val="ae"/>
        <w:jc w:val="right"/>
      </w:pPr>
      <w:r>
        <w:rPr>
          <w:rStyle w:val="af"/>
        </w:rPr>
        <w:footnoteRef/>
      </w:r>
      <w:r>
        <w:t xml:space="preserve"> </w:t>
      </w:r>
      <w:r>
        <w:rPr>
          <w:sz w:val="18"/>
          <w:szCs w:val="18"/>
          <w:rtl/>
        </w:rPr>
        <w:t>هيئة الخبراء بمجلس الوزراء. (1443هـ). نظام الإثبات. المملكة العربية السعودية.</w:t>
      </w:r>
    </w:p>
  </w:footnote>
  <w:footnote w:id="210">
    <w:p w14:paraId="163E6036" w14:textId="77777777" w:rsidR="00624037" w:rsidRDefault="00624037" w:rsidP="000D4B35">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11">
    <w:p w14:paraId="71FDBF52"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مركز الدراسات والبحوث القانونية (2024م). استخدام الذكاء الاصطناعي في المحاكم. وزارة العدل، المملكة العربية السعودية.</w:t>
      </w:r>
    </w:p>
  </w:footnote>
  <w:footnote w:id="212">
    <w:p w14:paraId="2EA1A679" w14:textId="77777777" w:rsidR="00C41E32" w:rsidRDefault="00000000"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(د.ت). الضوابط القانونية للذكاء الاصطناعي في إبرام المعاملات القانونية. قسم القانون، الجامعة السعودية الإلكترونية، الرياض.</w:t>
      </w:r>
    </w:p>
  </w:footnote>
  <w:footnote w:id="213">
    <w:p w14:paraId="0A7C4933" w14:textId="77777777" w:rsidR="00624037" w:rsidRDefault="00624037" w:rsidP="004E4D2E">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14">
    <w:p w14:paraId="5D10E9D0" w14:textId="77777777" w:rsidR="00B16B4E" w:rsidRDefault="00000000" w:rsidP="004E4D2E">
      <w:pPr>
        <w:bidi/>
        <w:rPr>
          <w:sz w:val="16"/>
          <w:szCs w:val="16"/>
        </w:rPr>
      </w:pPr>
      <w:r>
        <w:rPr>
          <w:rStyle w:val="af"/>
        </w:rPr>
        <w:footnoteRef/>
      </w:r>
      <w:r>
        <w:t xml:space="preserve"> </w:t>
      </w:r>
      <w:r>
        <w:rPr>
          <w:sz w:val="18"/>
          <w:szCs w:val="18"/>
          <w:rtl/>
        </w:rPr>
        <w:t>أبو العيد، طاهر (2022م). الذكاء الاصطناعي والقانون. نائب رئيس محكمة الاستئناف، ضمن سلسلة المعرفة القانونية. منشور عبر ResearchGate. https://www.researchgate.net/publication/361722936</w:t>
      </w:r>
    </w:p>
  </w:footnote>
  <w:footnote w:id="215">
    <w:p w14:paraId="6CE6CAEB" w14:textId="77777777" w:rsidR="00624037" w:rsidRPr="00CF4F0F" w:rsidRDefault="00624037" w:rsidP="00624037">
      <w:pPr>
        <w:pStyle w:val="ae"/>
        <w:jc w:val="right"/>
      </w:pPr>
      <w:r>
        <w:rPr>
          <w:rStyle w:val="af"/>
        </w:rPr>
        <w:footnoteRef/>
      </w:r>
      <w:r>
        <w:t xml:space="preserve"> </w:t>
      </w:r>
      <w:r>
        <w:rPr>
          <w:sz w:val="18"/>
          <w:szCs w:val="18"/>
          <w:rtl/>
        </w:rPr>
        <w:t>هيئة الخبراء بمجلس الوزراء. (1445هـ). نظام المعاملات المدنية. المملكة العربية السعودية.</w:t>
      </w:r>
    </w:p>
  </w:footnote>
  <w:footnote w:id="216">
    <w:p w14:paraId="6D038AF6" w14:textId="77777777" w:rsidR="00624037" w:rsidRPr="00CF4F0F" w:rsidRDefault="00624037" w:rsidP="00624037">
      <w:pPr>
        <w:pStyle w:val="ae"/>
        <w:jc w:val="right"/>
      </w:pPr>
      <w:r>
        <w:rPr>
          <w:rStyle w:val="af"/>
        </w:rPr>
        <w:footnoteRef/>
      </w:r>
      <w:r>
        <w:t xml:space="preserve"> </w:t>
      </w:r>
      <w:r>
        <w:rPr>
          <w:sz w:val="18"/>
          <w:szCs w:val="18"/>
          <w:rtl/>
        </w:rPr>
        <w:t>هيئة الخبراء بمجلس الوزراء. (1443هـ). نظام الإثبات. المملكة العربية السعودية.</w:t>
      </w:r>
    </w:p>
  </w:footnote>
  <w:footnote w:id="217">
    <w:p w14:paraId="3BF6E74B" w14:textId="77777777" w:rsidR="00624037" w:rsidRDefault="00624037" w:rsidP="00624037">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18">
    <w:p w14:paraId="0A13FFB1" w14:textId="77777777" w:rsidR="00B16B4E" w:rsidRDefault="00000000" w:rsidP="004B4795">
      <w:pPr>
        <w:bidi/>
        <w:rPr>
          <w:sz w:val="16"/>
          <w:szCs w:val="16"/>
        </w:rPr>
      </w:pPr>
      <w:r>
        <w:rPr>
          <w:rStyle w:val="af"/>
        </w:rPr>
        <w:footnoteRef/>
      </w:r>
      <w:r>
        <w:t xml:space="preserve"> </w:t>
      </w:r>
      <w:r>
        <w:rPr>
          <w:sz w:val="18"/>
          <w:szCs w:val="18"/>
          <w:rtl/>
        </w:rPr>
        <w:t>مرسي، محمد إبراهيم عبد المنعم (2023م). مدى ملاءمة عقود الذكاء الاصطناعي المبرمة عبر تقنية البلوك تشين لقانون العقود. مجلة البحوث الفقهية والقانونية، جامعة الأزهر، ص913.</w:t>
      </w:r>
    </w:p>
  </w:footnote>
  <w:footnote w:id="219">
    <w:p w14:paraId="3C44DBCE" w14:textId="77777777" w:rsidR="00B16B4E" w:rsidRDefault="00000000" w:rsidP="004B4795">
      <w:pPr>
        <w:bidi/>
        <w:rPr>
          <w:sz w:val="16"/>
          <w:szCs w:val="16"/>
        </w:rPr>
      </w:pPr>
      <w:r>
        <w:rPr>
          <w:rStyle w:val="af"/>
        </w:rPr>
        <w:footnoteRef/>
      </w:r>
      <w:r>
        <w:t xml:space="preserve"> </w:t>
      </w:r>
      <w:r>
        <w:rPr>
          <w:sz w:val="18"/>
          <w:szCs w:val="18"/>
          <w:rtl/>
        </w:rPr>
        <w:t>علي، سعاد حسني محمد (د.ت). الذكاء الاصطناعي ودوره في إبرام العقود التجارية. قسم القانون التجاري والبحري، كلية الحقوق، جامعة عين شمس.</w:t>
      </w:r>
    </w:p>
  </w:footnote>
  <w:footnote w:id="220">
    <w:p w14:paraId="38B131A6" w14:textId="77777777" w:rsidR="00624037" w:rsidRDefault="00624037" w:rsidP="00624037">
      <w:pPr>
        <w:pStyle w:val="ae"/>
        <w:jc w:val="right"/>
      </w:pPr>
      <w:r>
        <w:rPr>
          <w:rStyle w:val="af"/>
        </w:rPr>
        <w:footnoteRef/>
      </w:r>
      <w:r>
        <w:t xml:space="preserve"> </w:t>
      </w:r>
      <w:r>
        <w:rPr>
          <w:sz w:val="18"/>
          <w:szCs w:val="18"/>
          <w:rtl/>
        </w:rPr>
        <w:t>مرسي، م. إ. (2023). مدى ملاءمة عقود الذكاء الاصطناعي المبرمة عبر تقنية البلوك تشين لقانون العقود. Journal of Legal Research.</w:t>
      </w:r>
    </w:p>
  </w:footnote>
  <w:footnote w:id="221">
    <w:p w14:paraId="00CA6F8C" w14:textId="77777777" w:rsidR="00624037" w:rsidRPr="00CF4F0F" w:rsidRDefault="00624037" w:rsidP="00624037">
      <w:pPr>
        <w:pStyle w:val="ae"/>
        <w:jc w:val="right"/>
      </w:pPr>
      <w:r>
        <w:rPr>
          <w:rStyle w:val="af"/>
        </w:rPr>
        <w:footnoteRef/>
      </w:r>
      <w:r>
        <w:t xml:space="preserve"> </w:t>
      </w:r>
      <w:r>
        <w:rPr>
          <w:sz w:val="18"/>
          <w:szCs w:val="18"/>
          <w:rtl/>
        </w:rPr>
        <w:t>مجلة العدالة. (2022). المسؤولية عن الذكاء الاصطناعي. وزارة العدل السعودية، (65).</w:t>
      </w:r>
    </w:p>
  </w:footnote>
  <w:footnote w:id="222">
    <w:p w14:paraId="7125F0D9" w14:textId="77777777" w:rsidR="00624037" w:rsidRPr="00CF4F0F" w:rsidRDefault="00624037" w:rsidP="00624037">
      <w:pPr>
        <w:pStyle w:val="ae"/>
        <w:jc w:val="right"/>
      </w:pPr>
      <w:r>
        <w:rPr>
          <w:rStyle w:val="af"/>
        </w:rPr>
        <w:footnoteRef/>
      </w:r>
      <w:r>
        <w:t xml:space="preserve"> </w:t>
      </w:r>
      <w:r>
        <w:rPr>
          <w:sz w:val="18"/>
          <w:szCs w:val="18"/>
          <w:rtl/>
        </w:rPr>
        <w:t>مجلة الشريعة والقانون. (2022). الذكاء الاصطناعي والعمل القضائي. كلية القانون، جامعة الإمارات العربية المتحدة، (99).</w:t>
      </w:r>
    </w:p>
  </w:footnote>
  <w:footnote w:id="223">
    <w:p w14:paraId="5795AE5E" w14:textId="77777777" w:rsidR="00624037" w:rsidRPr="00CF4F0F" w:rsidRDefault="00624037" w:rsidP="00624037">
      <w:pPr>
        <w:pStyle w:val="ae"/>
        <w:jc w:val="right"/>
      </w:pPr>
      <w:r>
        <w:rPr>
          <w:rStyle w:val="af"/>
        </w:rPr>
        <w:footnoteRef/>
      </w:r>
      <w:r>
        <w:t xml:space="preserve"> </w:t>
      </w:r>
      <w:r>
        <w:rPr>
          <w:sz w:val="18"/>
          <w:szCs w:val="18"/>
          <w:rtl/>
        </w:rPr>
        <w:t>هيئة الخبراء بمجلس الوزراء. (1445هـ). نظام المعاملات المدنية. المملكة العربية السعودية.</w:t>
      </w:r>
    </w:p>
  </w:footnote>
  <w:footnote w:id="224">
    <w:p w14:paraId="244F22FE" w14:textId="77777777" w:rsidR="00624037" w:rsidRPr="00CF4F0F" w:rsidRDefault="00624037" w:rsidP="00624037">
      <w:pPr>
        <w:pStyle w:val="ae"/>
        <w:jc w:val="right"/>
      </w:pPr>
      <w:r>
        <w:rPr>
          <w:rStyle w:val="af"/>
        </w:rPr>
        <w:footnoteRef/>
      </w:r>
      <w:r>
        <w:t xml:space="preserve"> </w:t>
      </w:r>
      <w:r>
        <w:rPr>
          <w:sz w:val="18"/>
          <w:szCs w:val="18"/>
          <w:rtl/>
        </w:rPr>
        <w:t>هيئة الخبراء بمجلس الوزراء. (1443هـ). نظام الإثبات. المملكة العربية السعودية.</w:t>
      </w:r>
    </w:p>
  </w:footnote>
  <w:footnote w:id="225">
    <w:p w14:paraId="0AFE31C2" w14:textId="77777777" w:rsidR="00624037" w:rsidRDefault="00624037" w:rsidP="00624037">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26">
    <w:p w14:paraId="54C79DE4" w14:textId="77777777" w:rsidR="00624037" w:rsidRPr="00CF4F0F" w:rsidRDefault="00624037" w:rsidP="00624037">
      <w:pPr>
        <w:pStyle w:val="ae"/>
        <w:jc w:val="right"/>
      </w:pPr>
      <w:r>
        <w:rPr>
          <w:rStyle w:val="af"/>
        </w:rPr>
        <w:footnoteRef/>
      </w:r>
      <w:r>
        <w:t xml:space="preserve"> </w:t>
      </w:r>
      <w:r>
        <w:rPr>
          <w:sz w:val="18"/>
          <w:szCs w:val="18"/>
          <w:rtl/>
        </w:rPr>
        <w:t>هيئة الخبراء بمجلس الوزراء. (1443هـ). نظام حماية البيانات الشخصية. المملكة العربية السعودية.</w:t>
      </w:r>
    </w:p>
  </w:footnote>
  <w:footnote w:id="227">
    <w:p w14:paraId="0901196F" w14:textId="77777777" w:rsidR="00624037" w:rsidRPr="00CF4F0F" w:rsidRDefault="00624037" w:rsidP="00624037">
      <w:pPr>
        <w:pStyle w:val="ae"/>
        <w:jc w:val="right"/>
      </w:pPr>
      <w:r>
        <w:rPr>
          <w:rStyle w:val="af"/>
        </w:rPr>
        <w:footnoteRef/>
      </w:r>
      <w:r>
        <w:t xml:space="preserve"> </w:t>
      </w:r>
      <w:r>
        <w:rPr>
          <w:sz w:val="18"/>
          <w:szCs w:val="18"/>
          <w:rtl/>
        </w:rPr>
        <w:t>الهيئة السعودية للبيانات والذكاء الاصطناعي (سدايا). (2023). إطار تبني الذكاء الاصطناعي. الرياض: سدايا.</w:t>
      </w:r>
    </w:p>
  </w:footnote>
  <w:footnote w:id="228">
    <w:p w14:paraId="0A39767E" w14:textId="77777777" w:rsidR="00624037" w:rsidRPr="00CF4F0F" w:rsidRDefault="00624037" w:rsidP="00624037">
      <w:pPr>
        <w:pStyle w:val="ae"/>
        <w:jc w:val="right"/>
      </w:pPr>
      <w:r>
        <w:rPr>
          <w:rStyle w:val="af"/>
        </w:rPr>
        <w:footnoteRef/>
      </w:r>
      <w:r>
        <w:t xml:space="preserve"> </w:t>
      </w:r>
      <w:r>
        <w:rPr>
          <w:sz w:val="18"/>
          <w:szCs w:val="18"/>
          <w:rtl/>
        </w:rPr>
        <w:t>الغنامي، ن. ب. ن. (2024). الضوابط القانونية للذكاء الاصطناعي في إبرام المعاملات القانونية (رسالة دكتوراه). الجامعة السعودية الإلكترونية.</w:t>
      </w:r>
    </w:p>
  </w:footnote>
  <w:footnote w:id="229">
    <w:p w14:paraId="598377F8" w14:textId="77777777" w:rsidR="00624037" w:rsidRPr="00CF4F0F" w:rsidRDefault="00624037" w:rsidP="00624037">
      <w:pPr>
        <w:pStyle w:val="ae"/>
        <w:jc w:val="right"/>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230">
    <w:p w14:paraId="239E47C7" w14:textId="77777777" w:rsidR="00C41E32" w:rsidRDefault="00000000" w:rsidP="004E4D2E">
      <w:pPr>
        <w:bidi/>
        <w:rPr>
          <w:sz w:val="16"/>
          <w:szCs w:val="16"/>
        </w:rPr>
      </w:pPr>
      <w:r>
        <w:rPr>
          <w:rStyle w:val="af"/>
        </w:rPr>
        <w:footnoteRef/>
      </w:r>
      <w:r>
        <w:t xml:space="preserve"> </w:t>
      </w:r>
      <w:r>
        <w:rPr>
          <w:sz w:val="18"/>
          <w:szCs w:val="18"/>
          <w:rtl/>
        </w:rPr>
        <w:t>جابر، عبد القادر عبد الله أحمد (2023م). تطبيقات الذكاء الاصطناعي في الحكم القضائي - دراسة قانونية. المجلة الدولية للبحوث النوعية المتخصصة (IJSSR)، عدد 42، ص52-75. الجامعة السعودية الإلكترونية.</w:t>
      </w:r>
    </w:p>
  </w:footnote>
  <w:footnote w:id="231">
    <w:p w14:paraId="0A34593D" w14:textId="77777777" w:rsidR="00C41E32" w:rsidRDefault="00000000" w:rsidP="004B4795">
      <w:pPr>
        <w:bidi/>
        <w:rPr>
          <w:sz w:val="16"/>
          <w:szCs w:val="16"/>
        </w:rPr>
      </w:pPr>
      <w:r>
        <w:rPr>
          <w:rStyle w:val="af"/>
        </w:rPr>
        <w:footnoteRef/>
      </w:r>
      <w:r>
        <w:t xml:space="preserve"> </w:t>
      </w:r>
      <w:r>
        <w:rPr>
          <w:sz w:val="18"/>
          <w:szCs w:val="18"/>
          <w:rtl/>
        </w:rPr>
        <w:t>المملكة العربية السعودية (1428هـ). نظام القضاء الصادر بالمرسوم الملكي رقم م/78 وتاريخ 19/9/1428هـ، وقرار مجلس الوزراء رقم 303 بتاريخ 19/9/1428هـ. الرياض: الأمانة العامة لمجلس الوزراء.</w:t>
      </w:r>
    </w:p>
  </w:footnote>
  <w:footnote w:id="232">
    <w:p w14:paraId="155038A1" w14:textId="77777777" w:rsidR="00624037" w:rsidRDefault="00624037" w:rsidP="004E4D2E">
      <w:pPr>
        <w:pStyle w:val="ae"/>
        <w:jc w:val="right"/>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33">
    <w:p w14:paraId="41992632" w14:textId="77777777" w:rsidR="00624037" w:rsidRPr="003D5D6C" w:rsidRDefault="00624037" w:rsidP="004E4D2E">
      <w:pPr>
        <w:pStyle w:val="ae"/>
        <w:jc w:val="right"/>
      </w:pPr>
      <w:r>
        <w:rPr>
          <w:rStyle w:val="af"/>
        </w:rPr>
        <w:footnoteRef/>
      </w:r>
      <w:r>
        <w:t xml:space="preserve"> </w:t>
      </w:r>
      <w:r>
        <w:rPr>
          <w:sz w:val="18"/>
          <w:szCs w:val="18"/>
          <w:rtl/>
        </w:rPr>
        <w:t>مجلة العدالة. (2022). المسؤولية عن الذكاء الاصطناعي. وزارة العدل السعودية، (65).</w:t>
      </w:r>
    </w:p>
  </w:footnote>
  <w:footnote w:id="234">
    <w:p w14:paraId="2B5B1E5D" w14:textId="77777777" w:rsidR="00C41E32" w:rsidRDefault="00000000" w:rsidP="004E4D2E">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ص72.</w:t>
      </w:r>
    </w:p>
  </w:footnote>
  <w:footnote w:id="235">
    <w:p w14:paraId="61A8933A" w14:textId="77777777" w:rsidR="00C41E32" w:rsidRDefault="00000000" w:rsidP="004E4D2E">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ص382.</w:t>
      </w:r>
    </w:p>
  </w:footnote>
  <w:footnote w:id="236">
    <w:p w14:paraId="1B24EFD0" w14:textId="77777777" w:rsidR="00C41E32" w:rsidRDefault="00000000" w:rsidP="004E4D2E">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ص93.</w:t>
      </w:r>
    </w:p>
  </w:footnote>
  <w:footnote w:id="237">
    <w:p w14:paraId="7310CCEF" w14:textId="77777777" w:rsidR="00C41E32" w:rsidRDefault="00000000" w:rsidP="004E4D2E">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ص267.</w:t>
      </w:r>
    </w:p>
  </w:footnote>
  <w:footnote w:id="238">
    <w:p w14:paraId="6692ECE0" w14:textId="77777777" w:rsidR="00624037" w:rsidRDefault="00624037" w:rsidP="00624037">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39">
    <w:p w14:paraId="2D96378D" w14:textId="77777777" w:rsidR="00624037" w:rsidRPr="003D5D6C" w:rsidRDefault="00624037" w:rsidP="00624037">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40">
    <w:p w14:paraId="76DDDE75" w14:textId="77777777" w:rsidR="00624037" w:rsidRPr="003D5D6C" w:rsidRDefault="00624037" w:rsidP="00624037">
      <w:pPr>
        <w:pStyle w:val="ae"/>
        <w:jc w:val="right"/>
      </w:pPr>
      <w:r>
        <w:rPr>
          <w:rStyle w:val="af"/>
        </w:rPr>
        <w:footnoteRef/>
      </w:r>
      <w:r>
        <w:t xml:space="preserve"> </w:t>
      </w:r>
      <w:r>
        <w:rPr>
          <w:sz w:val="18"/>
          <w:szCs w:val="18"/>
          <w:rtl/>
        </w:rPr>
        <w:t>الهيئة السعودية للبيانات والذكاء الاصطناعي (سدايا). (2023). وثيقة مبادئ أخلاقيات الذكاء الاصطناعي. الرياض: سدايا.</w:t>
      </w:r>
    </w:p>
  </w:footnote>
  <w:footnote w:id="241">
    <w:p w14:paraId="38AC1E39" w14:textId="77777777" w:rsidR="00624037" w:rsidRPr="003D5D6C" w:rsidRDefault="00624037" w:rsidP="00A83851">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242">
    <w:p w14:paraId="3E1043F4" w14:textId="77777777" w:rsidR="00624037" w:rsidRPr="003D5D6C" w:rsidRDefault="00624037" w:rsidP="00A83851">
      <w:pPr>
        <w:pStyle w:val="ae"/>
        <w:jc w:val="right"/>
      </w:pPr>
      <w:r>
        <w:rPr>
          <w:rStyle w:val="af"/>
        </w:rPr>
        <w:footnoteRef/>
      </w:r>
      <w:r>
        <w:t xml:space="preserve"> </w:t>
      </w:r>
      <w:r>
        <w:rPr>
          <w:sz w:val="18"/>
          <w:szCs w:val="18"/>
          <w:rtl/>
        </w:rPr>
        <w:t>هيئة الخبراء بمجلس الوزراء. (1435هـ). نظام الإجراءات الجزائية. المملكة العربية السعودية.</w:t>
      </w:r>
    </w:p>
  </w:footnote>
  <w:footnote w:id="243">
    <w:p w14:paraId="110BB9EA" w14:textId="77777777" w:rsidR="00624037" w:rsidRPr="003D5D6C" w:rsidRDefault="00624037" w:rsidP="00A83851">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44">
    <w:p w14:paraId="09E80A6C" w14:textId="77777777" w:rsidR="00C41E32" w:rsidRDefault="00000000" w:rsidP="00A8385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آيات بنت أحمد؛ والمعلم، سليمان بن محمد (2024م). القواعد والإجراءات المنظمة لاستخدامات الذكاء الاصطناعي بالمملكة العربية السعودية وآثارها القانونية. المجلة العربية للنشر العلمي، الإصدار 7، العدد 73. DOI: 10.36571/ajsp7321.</w:t>
      </w:r>
    </w:p>
  </w:footnote>
  <w:footnote w:id="245">
    <w:p w14:paraId="25E47E7E" w14:textId="77777777" w:rsidR="00C41E32" w:rsidRDefault="00000000" w:rsidP="00A8385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إسماعيل، محمد شحادة (2025م). تأثير الذكاء الاصطناعي على المهن القانونية. مجلة الباحث العربي، مجلد 6، عدد 1. DOI: 10.57072/ar.v6i1.159.</w:t>
      </w:r>
    </w:p>
  </w:footnote>
  <w:footnote w:id="246">
    <w:p w14:paraId="49D57686" w14:textId="77777777" w:rsidR="00C41E32" w:rsidRDefault="00000000" w:rsidP="00A8385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ص99.</w:t>
      </w:r>
    </w:p>
  </w:footnote>
  <w:footnote w:id="247">
    <w:p w14:paraId="1D30C8DA" w14:textId="77777777" w:rsidR="00C41E32" w:rsidRDefault="00000000" w:rsidP="00A8385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ص312.</w:t>
      </w:r>
    </w:p>
  </w:footnote>
  <w:footnote w:id="248">
    <w:p w14:paraId="73960253" w14:textId="77777777" w:rsidR="00C41E32" w:rsidRDefault="00000000"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ص592.</w:t>
      </w:r>
    </w:p>
  </w:footnote>
  <w:footnote w:id="249">
    <w:p w14:paraId="5CE40DA8" w14:textId="77777777" w:rsidR="00C41E32" w:rsidRDefault="00000000"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ص13.</w:t>
      </w:r>
    </w:p>
  </w:footnote>
  <w:footnote w:id="250">
    <w:p w14:paraId="33ECC843" w14:textId="77777777" w:rsidR="00C41E32" w:rsidRDefault="00000000"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(2024م). حجية الدليل الرقمي في نظام الإثبات السعودي. مجلة مواق للدراسات الإسلامية والاجتماعية، (43)، ص1475.</w:t>
      </w:r>
    </w:p>
  </w:footnote>
  <w:footnote w:id="251">
    <w:p w14:paraId="1DCB9134" w14:textId="77777777" w:rsidR="00624037" w:rsidRPr="00A97E4D" w:rsidRDefault="00624037" w:rsidP="00624037">
      <w:pPr>
        <w:pStyle w:val="ae"/>
        <w:jc w:val="right"/>
      </w:pPr>
      <w:r>
        <w:rPr>
          <w:rStyle w:val="af"/>
        </w:rPr>
        <w:footnoteRef/>
      </w:r>
      <w:r>
        <w:t xml:space="preserve"> </w:t>
      </w:r>
      <w:r>
        <w:rPr>
          <w:sz w:val="18"/>
          <w:szCs w:val="18"/>
          <w:rtl/>
        </w:rPr>
        <w:t>الهيئة السعودية للبيانات والذكاء الاصطناعي (سدايا). (2023). إطار تبني الذكاء الاصطناعي. الرياض: سدايا.</w:t>
      </w:r>
    </w:p>
  </w:footnote>
  <w:footnote w:id="252">
    <w:p w14:paraId="258E29B8" w14:textId="77777777" w:rsidR="00B16B4E" w:rsidRDefault="00000000" w:rsidP="004B4795">
      <w:pPr>
        <w:bidi/>
        <w:rPr>
          <w:sz w:val="16"/>
          <w:szCs w:val="16"/>
        </w:rPr>
      </w:pPr>
      <w:r>
        <w:rPr>
          <w:rStyle w:val="af"/>
        </w:rPr>
        <w:footnoteRef/>
      </w:r>
      <w:r>
        <w:t xml:space="preserve"> </w:t>
      </w:r>
      <w:r>
        <w:rPr>
          <w:sz w:val="18"/>
          <w:szCs w:val="18"/>
          <w:rtl/>
        </w:rPr>
        <w:t>محمود، سيد أحمد؛ وعناني، مريم عماد محمد (د.ت). الذكاء الاصطناعي والعمل القضائي - دراسة تحليلية مقارنة. ضمن: التحديات والآفاق القانونية والاقتصادية للذكاء الاصطناعي، ص920. كلية الحقوق، جامعة عين شمس.</w:t>
      </w:r>
    </w:p>
  </w:footnote>
  <w:footnote w:id="253">
    <w:p w14:paraId="59E349AA" w14:textId="77777777" w:rsidR="00C41E32" w:rsidRDefault="00000000" w:rsidP="004B4795">
      <w:pPr>
        <w:bidi/>
        <w:rPr>
          <w:sz w:val="16"/>
          <w:szCs w:val="16"/>
        </w:rPr>
      </w:pPr>
      <w:r>
        <w:rPr>
          <w:rStyle w:val="af"/>
        </w:rPr>
        <w:footnoteRef/>
      </w:r>
      <w:r>
        <w:t xml:space="preserve"> </w:t>
      </w:r>
      <w:r>
        <w:rPr>
          <w:sz w:val="18"/>
          <w:szCs w:val="18"/>
          <w:rtl/>
        </w:rPr>
        <w:t>المملكة العربية السعودية (1428هـ). نظام التعاملات الإلكترونية الصادر بالمرسوم الملكي رقم م/18 وتاريخ 26/3/1428هـ. الرياض: الأمانة العامة لمجلس الوزراء.</w:t>
      </w:r>
    </w:p>
  </w:footnote>
  <w:footnote w:id="254">
    <w:p w14:paraId="7F8DE615" w14:textId="77777777" w:rsidR="00B16B4E" w:rsidRDefault="00000000" w:rsidP="004B4795">
      <w:pPr>
        <w:bidi/>
        <w:rPr>
          <w:sz w:val="16"/>
          <w:szCs w:val="16"/>
        </w:rPr>
      </w:pPr>
      <w:r>
        <w:rPr>
          <w:rStyle w:val="af"/>
        </w:rPr>
        <w:footnoteRef/>
      </w:r>
      <w:r>
        <w:t xml:space="preserve"> </w:t>
      </w:r>
      <w:r>
        <w:rPr>
          <w:sz w:val="18"/>
          <w:szCs w:val="18"/>
          <w:rtl/>
        </w:rPr>
        <w:t>الهيئة السعودية للبيانات والذكاء الاصطناعي (سدايا) (2024م). أخلاقيات الذكاء الاصطناعي. سلسلة الذكاء الاصطناعي للتنفيذيين (3)، الطبعة الثانية، أبريل 2024م. الرياض: سدايا.</w:t>
      </w:r>
    </w:p>
  </w:footnote>
  <w:footnote w:id="255">
    <w:p w14:paraId="01C09FFB" w14:textId="77777777" w:rsidR="00624037" w:rsidRPr="00A97E4D" w:rsidRDefault="00624037" w:rsidP="00786384">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56">
    <w:p w14:paraId="55C60679" w14:textId="77777777" w:rsidR="00C41E32" w:rsidRDefault="00000000"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ص48.</w:t>
      </w:r>
    </w:p>
  </w:footnote>
  <w:footnote w:id="257">
    <w:p w14:paraId="28F322D5" w14:textId="77777777" w:rsidR="00C41E32" w:rsidRDefault="00000000"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ص134.</w:t>
      </w:r>
    </w:p>
  </w:footnote>
  <w:footnote w:id="258">
    <w:p w14:paraId="128C0BD1" w14:textId="77777777" w:rsidR="00C41E32" w:rsidRDefault="00000000"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ص58.</w:t>
      </w:r>
    </w:p>
  </w:footnote>
  <w:footnote w:id="259">
    <w:p w14:paraId="21ADFA83" w14:textId="77777777" w:rsidR="00C41E32" w:rsidRDefault="00000000"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ص93.</w:t>
      </w:r>
    </w:p>
  </w:footnote>
  <w:footnote w:id="260">
    <w:p w14:paraId="2A70462A" w14:textId="77777777" w:rsidR="00C41E32" w:rsidRDefault="00000000"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 ص84.</w:t>
      </w:r>
    </w:p>
  </w:footnote>
  <w:footnote w:id="261">
    <w:p w14:paraId="3040732E" w14:textId="77777777" w:rsidR="00CF598B" w:rsidRDefault="00CF598B" w:rsidP="00CF598B">
      <w:pPr>
        <w:pStyle w:val="ae"/>
        <w:jc w:val="right"/>
        <w:rPr>
          <w:rtl/>
        </w:rPr>
      </w:pPr>
      <w:r>
        <w:rPr>
          <w:rStyle w:val="af"/>
        </w:rPr>
        <w:footnoteRef/>
      </w:r>
      <w:r>
        <w:t xml:space="preserve"> </w:t>
      </w:r>
      <w:r>
        <w:rPr>
          <w:sz w:val="18"/>
          <w:szCs w:val="18"/>
          <w:rtl/>
        </w:rPr>
        <w:t>هيئة الخبراء بمجلس الوزراء. (1422هـ). نظام المحاماة. المملكة العربية السعودية.</w:t>
      </w:r>
    </w:p>
  </w:footnote>
  <w:footnote w:id="262">
    <w:p w14:paraId="338F6ED9" w14:textId="77777777" w:rsidR="00CF598B" w:rsidRDefault="00CF598B" w:rsidP="00CF598B">
      <w:pPr>
        <w:pStyle w:val="ae"/>
        <w:jc w:val="right"/>
        <w:rPr>
          <w:rtl/>
        </w:rPr>
      </w:pPr>
      <w:r>
        <w:rPr>
          <w:rStyle w:val="af"/>
        </w:rPr>
        <w:footnoteRef/>
      </w:r>
      <w:r>
        <w:t xml:space="preserve"> </w:t>
      </w:r>
      <w:r>
        <w:rPr>
          <w:sz w:val="18"/>
          <w:szCs w:val="18"/>
          <w:rtl/>
        </w:rPr>
        <w:t>هيئة الخبراء بمجلس الوزراء. (1445هـ). نظام المعاملات المدنية. المملكة العربية السعودية.</w:t>
      </w:r>
    </w:p>
  </w:footnote>
  <w:footnote w:id="263">
    <w:p w14:paraId="209C4B15" w14:textId="77777777" w:rsidR="00CF598B" w:rsidRPr="00BF47F8" w:rsidRDefault="00CF598B" w:rsidP="00CF598B">
      <w:pPr>
        <w:pStyle w:val="ae"/>
        <w:jc w:val="right"/>
      </w:pPr>
      <w:r>
        <w:rPr>
          <w:rStyle w:val="af"/>
        </w:rPr>
        <w:footnoteRef/>
      </w:r>
      <w:r>
        <w:t xml:space="preserve"> </w:t>
      </w:r>
      <w:r>
        <w:rPr>
          <w:sz w:val="18"/>
          <w:szCs w:val="18"/>
          <w:rtl/>
        </w:rPr>
        <w:t>الهيئة السعودية للبيانات والذكاء الاصطناعي (سدايا). (2023). إطار تبني الذكاء الاصطناعي. الرياض: سدايا.</w:t>
      </w:r>
    </w:p>
  </w:footnote>
  <w:footnote w:id="264">
    <w:p w14:paraId="26F92CB6" w14:textId="77777777" w:rsidR="00CF598B" w:rsidRPr="00BF47F8" w:rsidRDefault="00CF598B" w:rsidP="00CF598B">
      <w:pPr>
        <w:pStyle w:val="ae"/>
        <w:jc w:val="right"/>
      </w:pPr>
      <w:r>
        <w:rPr>
          <w:rStyle w:val="af"/>
        </w:rPr>
        <w:footnoteRef/>
      </w:r>
      <w:r>
        <w:t xml:space="preserve"> </w:t>
      </w:r>
      <w:r>
        <w:rPr>
          <w:sz w:val="18"/>
          <w:szCs w:val="18"/>
          <w:rtl/>
        </w:rPr>
        <w:t>الحربي، أ. (2019). مدى إمكانية الاعتراف بالشخصية القانونية للذكاء الاصطناعي. مجلة علمية.</w:t>
      </w:r>
    </w:p>
  </w:footnote>
  <w:footnote w:id="265">
    <w:p w14:paraId="403511EB" w14:textId="77777777" w:rsidR="00C41E32" w:rsidRDefault="00000000" w:rsidP="004B4795">
      <w:pPr>
        <w:bidi/>
        <w:rPr>
          <w:sz w:val="16"/>
          <w:szCs w:val="16"/>
        </w:rPr>
      </w:pPr>
      <w:r>
        <w:rPr>
          <w:rStyle w:val="af"/>
        </w:rPr>
        <w:footnoteRef/>
      </w:r>
      <w:r>
        <w:t xml:space="preserve"> </w:t>
      </w:r>
      <w:r>
        <w:rPr>
          <w:sz w:val="18"/>
          <w:szCs w:val="18"/>
          <w:rtl/>
        </w:rPr>
        <w:t>الخليفة، وليد بن إبراهيم بن عبد الله (1444هـ). نظام الإثبات وأدلته الإجرائية مع الفهارس. الرياض: الجمعية العلمية القضائية السعودية (قضاء). رقم الإيداع: 1444/3657.</w:t>
      </w:r>
    </w:p>
  </w:footnote>
  <w:footnote w:id="266">
    <w:p w14:paraId="4EFD2901" w14:textId="77777777" w:rsidR="00C41E32" w:rsidRDefault="00000000" w:rsidP="004B4795">
      <w:pPr>
        <w:bidi/>
        <w:rPr>
          <w:sz w:val="16"/>
          <w:szCs w:val="16"/>
        </w:rPr>
      </w:pPr>
      <w:r>
        <w:rPr>
          <w:rStyle w:val="af"/>
        </w:rPr>
        <w:footnoteRef/>
      </w:r>
      <w:r>
        <w:t xml:space="preserve"> </w:t>
      </w:r>
      <w:r>
        <w:rPr>
          <w:sz w:val="18"/>
          <w:szCs w:val="18"/>
          <w:rtl/>
        </w:rPr>
        <w:t>السريع، عبد العزيز بن محمد؛ والزامل، عبد الله بن عبد المحسن (1445هـ). نظام المعاملات المدنية مع الفهارس. الرياض: الجمعية العلمية القضائية السعودية (قضاء). رقم الإيداع: 1445/7825.</w:t>
      </w:r>
    </w:p>
  </w:footnote>
  <w:footnote w:id="267">
    <w:p w14:paraId="611AF3E3" w14:textId="77777777" w:rsidR="00B16B4E" w:rsidRDefault="00000000" w:rsidP="004B4795">
      <w:pPr>
        <w:bidi/>
        <w:rPr>
          <w:sz w:val="16"/>
          <w:szCs w:val="16"/>
        </w:rPr>
      </w:pPr>
      <w:r>
        <w:rPr>
          <w:rStyle w:val="af"/>
        </w:rPr>
        <w:footnoteRef/>
      </w:r>
      <w:r>
        <w:t xml:space="preserve"> </w:t>
      </w:r>
      <w:r>
        <w:rPr>
          <w:sz w:val="18"/>
          <w:szCs w:val="18"/>
          <w:rtl/>
        </w:rPr>
        <w:t>المالكي، خالد بن عبد الرحيم (2024م). المسؤولية المدنية عن فعل الذكاء الاصطناعي في النظام السعودي - دراسة تحليلية تأصيلية. مجلة البحوث الفقهية والقانونية، جامعة الأزهر، عدد 47، ص1767.</w:t>
      </w:r>
    </w:p>
  </w:footnote>
  <w:footnote w:id="268">
    <w:p w14:paraId="620B3436" w14:textId="77777777" w:rsidR="00CF598B" w:rsidRPr="00B97A43" w:rsidRDefault="00CF598B" w:rsidP="00CF598B">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269">
    <w:p w14:paraId="62DEF945" w14:textId="77777777" w:rsidR="00CF598B" w:rsidRPr="00B97A43" w:rsidRDefault="00CF598B" w:rsidP="00CF598B">
      <w:pPr>
        <w:pStyle w:val="ae"/>
        <w:jc w:val="right"/>
      </w:pPr>
      <w:r>
        <w:rPr>
          <w:rStyle w:val="af"/>
        </w:rPr>
        <w:footnoteRef/>
      </w:r>
      <w:r>
        <w:t xml:space="preserve"> </w:t>
      </w:r>
      <w:r>
        <w:rPr>
          <w:sz w:val="18"/>
          <w:szCs w:val="18"/>
          <w:rtl/>
        </w:rPr>
        <w:t>مرسي، م. إ. (2023). مدى ملاءمة عقود الذكاء الاصطناعي المبرمة عبر تقنية البلوك تشين لقانون العقود. Journal of Legal Research.</w:t>
      </w:r>
    </w:p>
  </w:footnote>
  <w:footnote w:id="270">
    <w:p w14:paraId="1F0DBD5C" w14:textId="77777777" w:rsidR="00B16B4E" w:rsidRDefault="00000000" w:rsidP="004B4795">
      <w:pPr>
        <w:bidi/>
        <w:rPr>
          <w:sz w:val="16"/>
          <w:szCs w:val="16"/>
        </w:rPr>
      </w:pPr>
      <w:r>
        <w:rPr>
          <w:rStyle w:val="af"/>
        </w:rPr>
        <w:footnoteRef/>
      </w:r>
      <w:r>
        <w:t xml:space="preserve"> </w:t>
      </w:r>
      <w:r>
        <w:rPr>
          <w:sz w:val="18"/>
          <w:szCs w:val="18"/>
          <w:rtl/>
        </w:rPr>
        <w:t>لقرب، سامية (2024م). الذكاء الاصطناعي والآثار القانونية المترتبة عن استخدامه. مجلة المحترف لعلوم الرياضة والعلوم الإنسانية والاجتماعية، المجلد 11، العدد 4، ص236-253.</w:t>
      </w:r>
    </w:p>
  </w:footnote>
  <w:footnote w:id="271">
    <w:p w14:paraId="6D263E79" w14:textId="77777777" w:rsidR="00CF598B" w:rsidRPr="00B97A43" w:rsidRDefault="00CF598B" w:rsidP="00CF598B">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72">
    <w:p w14:paraId="6F378FCE" w14:textId="77777777" w:rsidR="00CF598B" w:rsidRPr="00B97A43" w:rsidRDefault="00CF598B" w:rsidP="00CF598B">
      <w:pPr>
        <w:pStyle w:val="ae"/>
        <w:jc w:val="right"/>
      </w:pPr>
      <w:r>
        <w:rPr>
          <w:rStyle w:val="af"/>
        </w:rPr>
        <w:footnoteRef/>
      </w:r>
      <w:r>
        <w:t xml:space="preserve"> </w:t>
      </w:r>
      <w:r>
        <w:rPr>
          <w:sz w:val="18"/>
          <w:szCs w:val="18"/>
          <w:rtl/>
        </w:rPr>
        <w:t>حمادي، ع. (2022). المسؤولية المدنية عن أفعال الذكاء الاصطناعي. مجلة علمية قانونية، (8).</w:t>
      </w:r>
    </w:p>
  </w:footnote>
  <w:footnote w:id="273">
    <w:p w14:paraId="4194C8BF" w14:textId="77777777" w:rsidR="00B16B4E" w:rsidRDefault="00000000" w:rsidP="004B4795">
      <w:pPr>
        <w:bidi/>
        <w:rPr>
          <w:sz w:val="16"/>
          <w:szCs w:val="16"/>
        </w:rPr>
      </w:pPr>
      <w:r>
        <w:rPr>
          <w:rStyle w:val="af"/>
        </w:rPr>
        <w:footnoteRef/>
      </w:r>
      <w:r>
        <w:t xml:space="preserve"> </w:t>
      </w:r>
      <w:r>
        <w:rPr>
          <w:sz w:val="18"/>
          <w:szCs w:val="18"/>
          <w:rtl/>
        </w:rPr>
        <w:t>نشأت، جابر عبد الله (د.ت). المسؤولية عن الذكاء الاصطناعي بين القانون الخاص والقانون العام. بحث منشور في مجلة العدالة. المحكمة الدستورية العليا، مصر.</w:t>
      </w:r>
    </w:p>
  </w:footnote>
  <w:footnote w:id="274">
    <w:p w14:paraId="03E62B6C" w14:textId="77777777" w:rsidR="00CF598B" w:rsidRPr="00B97A43" w:rsidRDefault="00CF598B" w:rsidP="00CF598B">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275">
    <w:p w14:paraId="301C6E28" w14:textId="77777777" w:rsidR="00CF598B" w:rsidRPr="00B97A43" w:rsidRDefault="00CF598B" w:rsidP="00CF598B">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76">
    <w:p w14:paraId="4DBAB68B" w14:textId="77777777" w:rsidR="00CF598B" w:rsidRPr="00B97A43" w:rsidRDefault="00CF598B" w:rsidP="00CF598B">
      <w:pPr>
        <w:pStyle w:val="ae"/>
        <w:jc w:val="right"/>
      </w:pPr>
      <w:r>
        <w:rPr>
          <w:rStyle w:val="af"/>
        </w:rPr>
        <w:footnoteRef/>
      </w:r>
      <w:r>
        <w:t xml:space="preserve"> </w:t>
      </w:r>
      <w:r>
        <w:rPr>
          <w:sz w:val="18"/>
          <w:szCs w:val="18"/>
          <w:rtl/>
        </w:rPr>
        <w:t>الهيئة السعودية للبيانات والذكاء الاصطناعي (سدايا). (2023). إطار تبني الذكاء الاصطناعي. الرياض: سدايا.</w:t>
      </w:r>
    </w:p>
  </w:footnote>
  <w:footnote w:id="277">
    <w:p w14:paraId="0EF9CD50" w14:textId="77777777" w:rsidR="00CF598B" w:rsidRPr="00B97A43" w:rsidRDefault="00CF598B" w:rsidP="00CF598B">
      <w:pPr>
        <w:pStyle w:val="ae"/>
        <w:jc w:val="right"/>
      </w:pPr>
      <w:r>
        <w:rPr>
          <w:rStyle w:val="af"/>
        </w:rPr>
        <w:footnoteRef/>
      </w:r>
      <w:r>
        <w:t xml:space="preserve"> </w:t>
      </w:r>
      <w:r>
        <w:rPr>
          <w:sz w:val="18"/>
          <w:szCs w:val="18"/>
          <w:rtl/>
        </w:rPr>
        <w:t>الهيئة السعودية للبيانات والذكاء الاصطناعي (سدايا). (2023). وثيقة مبادئ أخلاقيات الذكاء الاصطناعي. الرياض: سدايا.</w:t>
      </w:r>
    </w:p>
  </w:footnote>
  <w:footnote w:id="278">
    <w:p w14:paraId="20462F3C" w14:textId="77777777" w:rsidR="00CF598B" w:rsidRDefault="00CF598B" w:rsidP="00CF598B">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79">
    <w:p w14:paraId="3F8EDAFA" w14:textId="77777777" w:rsidR="00CF598B" w:rsidRPr="00B97A43" w:rsidRDefault="00CF598B" w:rsidP="00CF598B">
      <w:pPr>
        <w:pStyle w:val="ae"/>
        <w:jc w:val="right"/>
      </w:pPr>
      <w:r>
        <w:rPr>
          <w:rStyle w:val="af"/>
        </w:rPr>
        <w:footnoteRef/>
      </w:r>
      <w:r>
        <w:t xml:space="preserve"> </w:t>
      </w:r>
      <w:r>
        <w:rPr>
          <w:sz w:val="18"/>
          <w:szCs w:val="18"/>
          <w:rtl/>
        </w:rPr>
        <w:t>رجب، ي. م. ع. (2023). دور الدولة في تأطير أخلاقيات الذكاء الاصطناعي: دراسة مقارنة. جامعة القاهرة.</w:t>
      </w:r>
    </w:p>
  </w:footnote>
  <w:footnote w:id="280">
    <w:p w14:paraId="66737BEA" w14:textId="77777777" w:rsidR="00C41E32" w:rsidRDefault="00000000" w:rsidP="007A6CD6">
      <w:pPr>
        <w:bidi/>
        <w:rPr>
          <w:sz w:val="16"/>
          <w:szCs w:val="16"/>
        </w:rPr>
      </w:pPr>
      <w:r>
        <w:rPr>
          <w:rStyle w:val="af"/>
        </w:rPr>
        <w:footnoteRef/>
      </w:r>
      <w:r>
        <w:t xml:space="preserve"> </w:t>
      </w:r>
      <w:r>
        <w:rPr>
          <w:sz w:val="18"/>
          <w:szCs w:val="18"/>
          <w:rtl/>
        </w:rPr>
        <w:t>الأسيوطي، أيمن محمد سيد مصطفى (2020م). حماية التصرفات القانونية وإثباتها عبر تطبيق الذكاء الاصطناعي. مجلة الباحث العربي، مجلد 1، عدد 1، نشر 15 يونيو 2020م.</w:t>
      </w:r>
    </w:p>
  </w:footnote>
  <w:footnote w:id="281">
    <w:p w14:paraId="7765AAB4" w14:textId="77777777" w:rsidR="00CF598B" w:rsidRDefault="00CF598B" w:rsidP="00CF598B">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82">
    <w:p w14:paraId="1252AE69" w14:textId="77777777" w:rsidR="00CF598B" w:rsidRPr="00B97A43" w:rsidRDefault="00CF598B" w:rsidP="00CF598B">
      <w:pPr>
        <w:pStyle w:val="ae"/>
        <w:jc w:val="right"/>
      </w:pPr>
      <w:r>
        <w:rPr>
          <w:rStyle w:val="af"/>
        </w:rPr>
        <w:footnoteRef/>
      </w:r>
      <w:r>
        <w:t xml:space="preserve"> </w:t>
      </w:r>
      <w:r>
        <w:rPr>
          <w:sz w:val="18"/>
          <w:szCs w:val="18"/>
          <w:rtl/>
        </w:rPr>
        <w:t>رجب، ي. م. ع. (2023). دور الدولة في تأطير أخلاقيات الذكاء الاصطناعي: دراسة مقارنة. جامعة القاهرة.</w:t>
      </w:r>
    </w:p>
  </w:footnote>
  <w:footnote w:id="283">
    <w:p w14:paraId="08F99EBB" w14:textId="77777777" w:rsidR="00CF598B" w:rsidRDefault="00CF598B" w:rsidP="00CF598B">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84">
    <w:p w14:paraId="6B4B2254" w14:textId="77777777" w:rsidR="00CF598B" w:rsidRPr="005F29C9" w:rsidRDefault="00CF598B" w:rsidP="00CF598B">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85">
    <w:p w14:paraId="3C70EBC6" w14:textId="77777777" w:rsidR="00CF598B" w:rsidRPr="005F29C9" w:rsidRDefault="00CF598B" w:rsidP="00CF598B">
      <w:pPr>
        <w:pStyle w:val="ae"/>
        <w:jc w:val="right"/>
      </w:pPr>
      <w:r>
        <w:rPr>
          <w:rStyle w:val="af"/>
        </w:rPr>
        <w:footnoteRef/>
      </w:r>
      <w:r>
        <w:t xml:space="preserve"> </w:t>
      </w:r>
      <w:r>
        <w:rPr>
          <w:sz w:val="18"/>
          <w:szCs w:val="18"/>
          <w:rtl/>
        </w:rPr>
        <w:t>حمادي، ع. (2022). المسؤولية المدنية عن أفعال الذكاء الاصطناعي. مجلة علمية قانونية، (8).</w:t>
      </w:r>
    </w:p>
  </w:footnote>
  <w:footnote w:id="286">
    <w:p w14:paraId="5311DD20" w14:textId="77777777" w:rsidR="00CF598B" w:rsidRPr="00383E46" w:rsidRDefault="00CF598B" w:rsidP="00CF598B">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287">
    <w:p w14:paraId="6F5CF86D" w14:textId="77777777" w:rsidR="00CF598B" w:rsidRPr="00383E46" w:rsidRDefault="00CF598B" w:rsidP="00CF598B">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288">
    <w:p w14:paraId="5CB36BB3" w14:textId="77777777" w:rsidR="00CF598B" w:rsidRPr="00383E46" w:rsidRDefault="00CF598B" w:rsidP="00CF598B">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89">
    <w:p w14:paraId="6A37A6D7" w14:textId="77777777" w:rsidR="00CF598B" w:rsidRPr="00383E46" w:rsidRDefault="00CF598B" w:rsidP="00CF598B">
      <w:pPr>
        <w:pStyle w:val="ae"/>
        <w:jc w:val="right"/>
      </w:pPr>
      <w:r>
        <w:rPr>
          <w:rStyle w:val="af"/>
        </w:rPr>
        <w:footnoteRef/>
      </w:r>
      <w:r>
        <w:t xml:space="preserve"> </w:t>
      </w:r>
      <w:r>
        <w:rPr>
          <w:sz w:val="18"/>
          <w:szCs w:val="18"/>
          <w:rtl/>
        </w:rPr>
        <w:t>حمادي، ع. (2022). المسؤولية المدنية عن أفعال الذكاء الاصطناعي. مجلة علمية قانونية، (8).</w:t>
      </w:r>
    </w:p>
  </w:footnote>
  <w:footnote w:id="290">
    <w:p w14:paraId="740866C3" w14:textId="77777777" w:rsidR="00CF598B" w:rsidRPr="00383E46" w:rsidRDefault="00CF598B" w:rsidP="00CF598B">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91">
    <w:p w14:paraId="015B2CD2" w14:textId="77777777" w:rsidR="00CF598B" w:rsidRPr="00383E46" w:rsidRDefault="00CF598B" w:rsidP="00CF598B">
      <w:pPr>
        <w:pStyle w:val="ae"/>
        <w:jc w:val="right"/>
      </w:pPr>
      <w:r>
        <w:rPr>
          <w:rStyle w:val="af"/>
        </w:rPr>
        <w:footnoteRef/>
      </w:r>
      <w:r>
        <w:t xml:space="preserve"> </w:t>
      </w:r>
      <w:r>
        <w:rPr>
          <w:sz w:val="18"/>
          <w:szCs w:val="18"/>
          <w:rtl/>
        </w:rPr>
        <w:t>الهيئة السعودية للبيانات والذكاء الاصطناعي (سدايا). (2023). إطار تبني الذكاء الاصطناعي. الرياض: سدايا.</w:t>
      </w:r>
    </w:p>
  </w:footnote>
  <w:footnote w:id="292">
    <w:p w14:paraId="21D33002" w14:textId="77777777" w:rsidR="00B16B4E" w:rsidRDefault="00000000" w:rsidP="007A6CD6">
      <w:pPr>
        <w:bidi/>
        <w:rPr>
          <w:sz w:val="16"/>
          <w:szCs w:val="16"/>
        </w:rPr>
      </w:pPr>
      <w:r>
        <w:rPr>
          <w:rStyle w:val="af"/>
        </w:rPr>
        <w:footnoteRef/>
      </w:r>
      <w:r>
        <w:t xml:space="preserve"> </w:t>
      </w:r>
      <w:r>
        <w:rPr>
          <w:sz w:val="18"/>
          <w:szCs w:val="18"/>
          <w:rtl/>
        </w:rPr>
        <w:t>بلال، فاطمة عبد العزيز (2023م). دور الذكاء الاصطناعي في تعزيز العدالة الناجزة أمام القضاء - دراسة مقارنة. رسالة ماجستير، كلية القانون، جامعة قطر، يناير 2023م.</w:t>
      </w:r>
    </w:p>
  </w:footnote>
  <w:footnote w:id="293">
    <w:p w14:paraId="3DE58DA7" w14:textId="77777777" w:rsidR="00CF598B" w:rsidRDefault="00CF598B" w:rsidP="00CF598B">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94">
    <w:p w14:paraId="2A78053E" w14:textId="77777777" w:rsidR="00B16B4E" w:rsidRDefault="00000000" w:rsidP="007A6CD6">
      <w:pPr>
        <w:bidi/>
        <w:rPr>
          <w:sz w:val="16"/>
          <w:szCs w:val="16"/>
        </w:rPr>
      </w:pPr>
      <w:r>
        <w:rPr>
          <w:rStyle w:val="af"/>
        </w:rPr>
        <w:footnoteRef/>
      </w:r>
      <w:r>
        <w:t xml:space="preserve"> </w:t>
      </w:r>
      <w:r>
        <w:rPr>
          <w:sz w:val="18"/>
          <w:szCs w:val="18"/>
          <w:rtl/>
        </w:rPr>
        <w:t>محمود، سيد أحمد؛ وعناني، مريم عماد محمد (د.ت). الذكاء الاصطناعي والعمل القضائي - دراسة تحليلية مقارنة. ضمن: التحديات والآفاق القانونية والاقتصادية للذكاء الاصطناعي، ص921. كلية الحقوق، جامعة عين شمس.</w:t>
      </w:r>
    </w:p>
  </w:footnote>
  <w:footnote w:id="295">
    <w:p w14:paraId="596DD4EB" w14:textId="77777777" w:rsidR="00CF598B" w:rsidRPr="005F29C9" w:rsidRDefault="00CF598B" w:rsidP="00CF598B">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96">
    <w:p w14:paraId="658E1A74" w14:textId="77777777" w:rsidR="00CF598B" w:rsidRPr="005F29C9" w:rsidRDefault="00CF598B" w:rsidP="00CF598B">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297">
    <w:p w14:paraId="1799C13D" w14:textId="77777777" w:rsidR="00B16B4E" w:rsidRDefault="00000000" w:rsidP="00DE638A">
      <w:pPr>
        <w:bidi/>
        <w:jc w:val="both"/>
        <w:rPr>
          <w:sz w:val="16"/>
          <w:szCs w:val="16"/>
        </w:rPr>
      </w:pPr>
      <w:r>
        <w:rPr>
          <w:rStyle w:val="af"/>
        </w:rPr>
        <w:footnoteRef/>
      </w:r>
      <w:r>
        <w:t xml:space="preserve"> </w:t>
      </w:r>
      <w:r>
        <w:rPr>
          <w:sz w:val="18"/>
          <w:szCs w:val="18"/>
          <w:rtl/>
        </w:rPr>
        <w:t>قاسم، مراد محمد غالب (2024م). دور الذكاء الاصطناعي في مكافحة الجريمة الإلكترونية - دراسة مقارنة. بحث مقدم لنيل متطلبات التخرج، جامعة تعز، قُبل بتاريخ 26 أبريل 2024م.</w:t>
      </w:r>
    </w:p>
  </w:footnote>
  <w:footnote w:id="298">
    <w:p w14:paraId="0097069F" w14:textId="77777777" w:rsidR="00CF598B" w:rsidRPr="00383E46" w:rsidRDefault="00CF598B" w:rsidP="00DE638A">
      <w:pPr>
        <w:pStyle w:val="ae"/>
        <w:jc w:val="right"/>
      </w:pPr>
      <w:r>
        <w:rPr>
          <w:rStyle w:val="af"/>
        </w:rPr>
        <w:footnoteRef/>
      </w:r>
      <w:r>
        <w:t xml:space="preserve"> </w:t>
      </w:r>
      <w:r>
        <w:rPr>
          <w:sz w:val="18"/>
          <w:szCs w:val="18"/>
          <w:rtl/>
        </w:rPr>
        <w:t>حمادي، ع. (2022). المسؤولية المدنية عن أفعال الذكاء الاصطناعي. مجلة علمية قانونية، (8).</w:t>
      </w:r>
    </w:p>
  </w:footnote>
  <w:footnote w:id="299">
    <w:p w14:paraId="3CE5C3D9" w14:textId="77777777" w:rsidR="00C41E32" w:rsidRDefault="00000000" w:rsidP="00DE638A">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محمود، سيد أحمد؛ وعناني، مريم عماد (د.ت). الذكاء الاصطناعي والعمل القضائي - دراسة تحليلية مقارنة. بحث مقدم في مؤتمر التحديات والآفاق القانونية والاقتصادية للذكاء الاصطناعي، كلية الحقوق، جامعة عين شمس.</w:t>
      </w:r>
    </w:p>
  </w:footnote>
  <w:footnote w:id="300">
    <w:p w14:paraId="55973D9D" w14:textId="77777777" w:rsidR="00C41E32" w:rsidRDefault="00000000" w:rsidP="00DE638A">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ص25.</w:t>
      </w:r>
    </w:p>
  </w:footnote>
  <w:footnote w:id="301">
    <w:p w14:paraId="262396EA" w14:textId="77777777" w:rsidR="00C41E32" w:rsidRDefault="00000000" w:rsidP="00DE638A">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ص568.</w:t>
      </w:r>
    </w:p>
  </w:footnote>
  <w:footnote w:id="302">
    <w:p w14:paraId="3E61518B" w14:textId="77777777" w:rsidR="00C41E32" w:rsidRDefault="00000000" w:rsidP="00DE638A">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(2024م). حجية الدليل الرقمي في نظام الإثبات السعودي. مجلة مواق للدراسات الإسلامية والاجتماعية، (43)، ص1447.</w:t>
      </w:r>
    </w:p>
  </w:footnote>
  <w:footnote w:id="303">
    <w:p w14:paraId="368226BA" w14:textId="77777777" w:rsidR="00C41E32" w:rsidRDefault="00000000" w:rsidP="00DE638A">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سلمى غابش سالم. (2022م). المسؤولية المدنية عن الأضرار الناشئة عن استخدام الذكاء الاصطناعي في مهن الطب الآلي [رسالة دكتوراه، جامعة الإمارات العربية المتحدة]، ص134.</w:t>
      </w:r>
    </w:p>
  </w:footnote>
  <w:footnote w:id="304">
    <w:p w14:paraId="3A147042" w14:textId="77777777" w:rsidR="00C41E32" w:rsidRDefault="00000000" w:rsidP="00DE638A">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ص148.</w:t>
      </w:r>
    </w:p>
  </w:footnote>
  <w:footnote w:id="305">
    <w:p w14:paraId="3D2360C7" w14:textId="77777777" w:rsidR="00C41E32" w:rsidRDefault="00000000" w:rsidP="007A6CD6">
      <w:pPr>
        <w:bidi/>
        <w:rPr>
          <w:sz w:val="16"/>
          <w:szCs w:val="16"/>
        </w:rPr>
      </w:pPr>
      <w:r>
        <w:rPr>
          <w:rStyle w:val="af"/>
        </w:rPr>
        <w:footnoteRef/>
      </w:r>
      <w:r>
        <w:t xml:space="preserve"> </w:t>
      </w:r>
      <w:r>
        <w:rPr>
          <w:sz w:val="18"/>
          <w:szCs w:val="18"/>
          <w:rtl/>
        </w:rPr>
        <w:t>البرلمان الأوروبي والمجلس الأوروبي (2024م). لائحة الذكاء الاصطناعي (EU AI Act) - اللائحة الأوروبية رقم 2024/1689. بروكسل: الاتحاد الأوروبي، مارس 2024م.</w:t>
      </w:r>
    </w:p>
  </w:footnote>
  <w:footnote w:id="306">
    <w:p w14:paraId="1144931A" w14:textId="77777777" w:rsidR="00C41E32" w:rsidRDefault="00000000">
      <w:pPr>
        <w:jc w:val="both"/>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آيات بنت أحمد؛ والمعلم، سليمان بن محمد (2024م). القواعد والإجراءات المنظمة لاستخدامات الذكاء الاصطناعي بالمملكة العربية السعودية وآثارها القانونية. المجلة العربية للنشر العلمي، الإصدار 7، العدد 73. DOI: 10.36571/ajsp7321.</w:t>
      </w:r>
    </w:p>
  </w:footnote>
  <w:footnote w:id="307">
    <w:p w14:paraId="0ECC1A00" w14:textId="77777777" w:rsidR="00C41E32" w:rsidRDefault="00000000">
      <w:pPr>
        <w:jc w:val="both"/>
        <w:rPr>
          <w:rFonts w:asciiTheme="majorBidi" w:hAnsiTheme="majorBidi" w:cstheme="majorBidi"/>
          <w:sz w:val="18"/>
          <w:szCs w:val="18"/>
          <w:rtl/>
        </w:rPr>
      </w:pPr>
      <w:r>
        <w:rPr>
          <w:rtl/>
        </w:rPr>
        <w:footnoteRef/>
      </w:r>
      <w:r>
        <w:rPr>
          <w:rFonts w:asciiTheme="majorBidi" w:hAnsiTheme="majorBidi" w:cstheme="majorBidi"/>
          <w:sz w:val="18"/>
          <w:szCs w:val="18"/>
          <w:rtl/>
        </w:rPr>
        <w:t xml:space="preserve"> بالل، فاطمة عبد العزيز حسن أحمد (2023م). دور الذكاء الاصطناعي في تعزيز العدالة الناجزة أمام القضاء - دراسة مقارنة. رسالة ماجستير، كلية القانون، جامعة قطر.</w:t>
      </w:r>
    </w:p>
  </w:footnote>
  <w:footnote w:id="308">
    <w:p w14:paraId="470E2567" w14:textId="77777777" w:rsidR="00C41E32" w:rsidRDefault="00000000">
      <w:pPr>
        <w:jc w:val="both"/>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ص581.</w:t>
      </w:r>
    </w:p>
  </w:footnote>
  <w:footnote w:id="309">
    <w:p w14:paraId="04BDAB20" w14:textId="77777777" w:rsidR="00C41E32" w:rsidRDefault="00000000">
      <w:pPr>
        <w:jc w:val="both"/>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ص57.</w:t>
      </w:r>
    </w:p>
  </w:footnote>
  <w:footnote w:id="310">
    <w:p w14:paraId="7B5AA1C5" w14:textId="77777777" w:rsidR="00C41E32" w:rsidRDefault="00000000">
      <w:pPr>
        <w:jc w:val="both"/>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ص67.</w:t>
      </w:r>
    </w:p>
  </w:footnote>
  <w:footnote w:id="311">
    <w:p w14:paraId="5EFCF6C7" w14:textId="77777777" w:rsidR="00C41E32" w:rsidRDefault="00000000">
      <w:pPr>
        <w:jc w:val="both"/>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ص74.</w:t>
      </w:r>
    </w:p>
  </w:footnote>
  <w:footnote w:id="312">
    <w:p w14:paraId="29942602" w14:textId="77777777" w:rsidR="00C41E32" w:rsidRDefault="00000000">
      <w:pPr>
        <w:jc w:val="both"/>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ص19.</w:t>
      </w:r>
    </w:p>
  </w:footnote>
  <w:footnote w:id="313">
    <w:p w14:paraId="3382DBEA" w14:textId="77777777" w:rsidR="00C41E32" w:rsidRDefault="00000000">
      <w:pPr>
        <w:jc w:val="both"/>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سلمى غابش سالم. (2022م). المسؤولية المدنية عن الأضرار الناشئة عن استخدام الذكاء الاصطناعي في مهن الطب الآلي [رسالة دكتوراه، جامعة الإمارات العربية المتحدة]، ص263.</w:t>
      </w:r>
    </w:p>
  </w:footnote>
  <w:footnote w:id="314">
    <w:p w14:paraId="3E3B7AE5" w14:textId="77777777" w:rsidR="00CF598B" w:rsidRPr="00383E46" w:rsidRDefault="00CF598B" w:rsidP="00CF598B">
      <w:pPr>
        <w:pStyle w:val="ae"/>
        <w:jc w:val="right"/>
      </w:pPr>
      <w:r>
        <w:rPr>
          <w:rStyle w:val="af"/>
        </w:rPr>
        <w:footnoteRef/>
      </w:r>
      <w:r>
        <w:t xml:space="preserve"> </w:t>
      </w:r>
      <w:r>
        <w:rPr>
          <w:sz w:val="18"/>
          <w:szCs w:val="18"/>
          <w:rtl/>
        </w:rPr>
        <w:t>حمادي، ع. (2022). المسؤولية المدنية عن أفعال الذكاء الاصطناعي. مجلة علمية قانونية، (8).</w:t>
      </w:r>
    </w:p>
  </w:footnote>
  <w:footnote w:id="315">
    <w:p w14:paraId="0AE689B2" w14:textId="77777777" w:rsidR="00CF598B" w:rsidRPr="00383E46" w:rsidRDefault="00CF598B" w:rsidP="00CF598B">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316">
    <w:p w14:paraId="493D37B9" w14:textId="77777777" w:rsidR="00CF598B" w:rsidRPr="00383E46" w:rsidRDefault="00CF598B" w:rsidP="00CF598B">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317">
    <w:p w14:paraId="4C8F87AD" w14:textId="77777777" w:rsidR="00CF598B" w:rsidRPr="00383E46" w:rsidRDefault="00CF598B" w:rsidP="00DE638A">
      <w:pPr>
        <w:pStyle w:val="ae"/>
        <w:jc w:val="right"/>
      </w:pPr>
      <w:r>
        <w:rPr>
          <w:rStyle w:val="af"/>
        </w:rPr>
        <w:footnoteRef/>
      </w:r>
      <w:r>
        <w:t xml:space="preserve"> </w:t>
      </w:r>
      <w:r>
        <w:rPr>
          <w:sz w:val="18"/>
          <w:szCs w:val="18"/>
          <w:rtl/>
        </w:rPr>
        <w:t>الهيئة السعودية للبيانات والذكاء الاصطناعي (سدايا). (2023). إطار تبني الذكاء الاصطناعي. الرياض: سدايا.</w:t>
      </w:r>
    </w:p>
  </w:footnote>
  <w:footnote w:id="318">
    <w:p w14:paraId="3954DF06" w14:textId="77777777" w:rsidR="00C41E32" w:rsidRDefault="00000000" w:rsidP="00DE638A">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(د.ت). الضوابط القانونية للذكاء الاصطناعي في إبرام المعاملات القانونية. قسم القانون، الجامعة السعودية الإلكترونية، الرياض.</w:t>
      </w:r>
    </w:p>
  </w:footnote>
  <w:footnote w:id="319">
    <w:p w14:paraId="07FCC798" w14:textId="77777777" w:rsidR="00C41E32" w:rsidRDefault="00000000" w:rsidP="00DE638A">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محمود، سيد أحمد؛ وعناني، مريم عماد (د.ت). الذكاء الاصطناعي والعمل القضائي - دراسة تحليلية مقارنة. بحث مقدم في مؤتمر التحديات والآفاق القانونية والاقتصادية للذكاء الاصطناعي، كلية الحقوق، جامعة عين شمس.</w:t>
      </w:r>
    </w:p>
  </w:footnote>
  <w:footnote w:id="320">
    <w:p w14:paraId="0781C09A" w14:textId="77777777" w:rsidR="00C41E32" w:rsidRDefault="00000000" w:rsidP="00B553F3">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ص592.</w:t>
      </w:r>
    </w:p>
  </w:footnote>
  <w:footnote w:id="321">
    <w:p w14:paraId="17C69822" w14:textId="77777777" w:rsidR="00C41E32" w:rsidRDefault="00000000" w:rsidP="00B553F3">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ص63.</w:t>
      </w:r>
    </w:p>
  </w:footnote>
  <w:footnote w:id="322">
    <w:p w14:paraId="38C70F11" w14:textId="77777777" w:rsidR="00C41E32" w:rsidRDefault="00000000" w:rsidP="00B553F3">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(2024م). حجية الدليل الرقمي في نظام الإثبات السعودي. مجلة مواق للدراسات الإسلامية والاجتماعية، (43)، ص1461.</w:t>
      </w:r>
    </w:p>
  </w:footnote>
  <w:footnote w:id="323">
    <w:p w14:paraId="4799DA4A" w14:textId="77777777" w:rsidR="00C41E32" w:rsidRDefault="00000000" w:rsidP="00B553F3">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ص110.</w:t>
      </w:r>
    </w:p>
  </w:footnote>
  <w:footnote w:id="324">
    <w:p w14:paraId="74581DEC" w14:textId="77777777" w:rsidR="00C41E32" w:rsidRDefault="00000000" w:rsidP="00476D1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ص89.</w:t>
      </w:r>
    </w:p>
  </w:footnote>
  <w:footnote w:id="325">
    <w:p w14:paraId="7380ED27" w14:textId="77777777" w:rsidR="00CF598B" w:rsidRPr="00383E46" w:rsidRDefault="00CF598B" w:rsidP="00CF598B">
      <w:pPr>
        <w:pStyle w:val="ae"/>
        <w:jc w:val="right"/>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326">
    <w:p w14:paraId="3416EC47" w14:textId="77777777" w:rsidR="00C41E32" w:rsidRDefault="00000000" w:rsidP="005719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بالل، فاطمة عبد العزيز حسن أحمد (2023م). دور الذكاء الاصطناعي في تعزيز العدالة الناجزة أمام القضاء - دراسة مقارنة. رسالة ماجستير، كلية القانون، جامعة قطر.</w:t>
      </w:r>
    </w:p>
  </w:footnote>
  <w:footnote w:id="327">
    <w:p w14:paraId="6E73240D" w14:textId="77777777" w:rsidR="00C41E32" w:rsidRDefault="00000000" w:rsidP="00CB352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آيات بنت أحمد؛ والمعلم، سليمان بن محمد (2024م). القواعد والإجراءات المنظمة لاستخدامات الذكاء الاصطناعي بالمملكة العربية السعودية وآثارها القانونية. المجلة العربية للنشر العلمي، الإصدار 7، العدد 73. DOI: 10.36571/ajsp7321.</w:t>
      </w:r>
    </w:p>
  </w:footnote>
  <w:footnote w:id="328">
    <w:p w14:paraId="523AF2C5" w14:textId="77777777" w:rsidR="00C41E32" w:rsidRDefault="00000000" w:rsidP="00CB352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ص25.</w:t>
      </w:r>
    </w:p>
  </w:footnote>
  <w:footnote w:id="329">
    <w:p w14:paraId="3A8046B5" w14:textId="77777777" w:rsidR="00C41E32" w:rsidRDefault="00000000" w:rsidP="00CB352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ص371.</w:t>
      </w:r>
    </w:p>
  </w:footnote>
  <w:footnote w:id="330">
    <w:p w14:paraId="6625711B" w14:textId="77777777" w:rsidR="00C41E32" w:rsidRDefault="00000000" w:rsidP="00CB352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ص67.</w:t>
      </w:r>
    </w:p>
  </w:footnote>
  <w:footnote w:id="331">
    <w:p w14:paraId="45711377" w14:textId="77777777" w:rsidR="00C41E32" w:rsidRDefault="00000000" w:rsidP="00CB352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ص312.</w:t>
      </w:r>
    </w:p>
  </w:footnote>
  <w:footnote w:id="332">
    <w:p w14:paraId="1E04A356" w14:textId="77777777" w:rsidR="00C41E32" w:rsidRDefault="00000000">
      <w:pPr>
        <w:numPr>
          <w:ilvl w:val="0"/>
          <w:numId w:val="1"/>
        </w:numPr>
        <w:bidi/>
        <w:rPr>
          <w:sz w:val="16"/>
          <w:szCs w:val="16"/>
        </w:rPr>
      </w:pPr>
      <w:r>
        <w:rPr>
          <w:rStyle w:val="af"/>
        </w:rPr>
        <w:footnoteRef/>
      </w:r>
      <w:r>
        <w:t xml:space="preserve"> </w:t>
      </w:r>
      <w:r>
        <w:rPr>
          <w:sz w:val="18"/>
          <w:szCs w:val="18"/>
          <w:rtl/>
        </w:rPr>
        <w:t>الغامدي، رهف صالح (2025م). الطبيعة القانونية للعقود الذكية في المملكة العربية السعودية - دراسة تحليلية. مجلة القانون والأعمال الدولية، الإصدار 57، ص228-230.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B590B"/>
    <w:multiLevelType w:val="multilevel"/>
    <w:tmpl w:val="61767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BA47A9"/>
    <w:multiLevelType w:val="multilevel"/>
    <w:tmpl w:val="BFD27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440E09"/>
    <w:multiLevelType w:val="multilevel"/>
    <w:tmpl w:val="5FA6E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7E437C"/>
    <w:multiLevelType w:val="multilevel"/>
    <w:tmpl w:val="497C8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73469D"/>
    <w:multiLevelType w:val="multilevel"/>
    <w:tmpl w:val="7228C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A1220D"/>
    <w:multiLevelType w:val="multilevel"/>
    <w:tmpl w:val="0F581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0617FC"/>
    <w:multiLevelType w:val="multilevel"/>
    <w:tmpl w:val="BC9C6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3751AE"/>
    <w:multiLevelType w:val="multilevel"/>
    <w:tmpl w:val="A10A8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7E011A"/>
    <w:multiLevelType w:val="multilevel"/>
    <w:tmpl w:val="02B89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594FF0"/>
    <w:multiLevelType w:val="multilevel"/>
    <w:tmpl w:val="FD404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015FAD"/>
    <w:multiLevelType w:val="multilevel"/>
    <w:tmpl w:val="7B421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A01EEF"/>
    <w:multiLevelType w:val="multilevel"/>
    <w:tmpl w:val="C6008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AC4C82"/>
    <w:multiLevelType w:val="multilevel"/>
    <w:tmpl w:val="C9C29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4121CB"/>
    <w:multiLevelType w:val="multilevel"/>
    <w:tmpl w:val="5DC82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A1D7E4C"/>
    <w:multiLevelType w:val="multilevel"/>
    <w:tmpl w:val="FD403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5364A9"/>
    <w:multiLevelType w:val="multilevel"/>
    <w:tmpl w:val="F54AB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D84534"/>
    <w:multiLevelType w:val="multilevel"/>
    <w:tmpl w:val="26A2743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1E4F67F3"/>
    <w:multiLevelType w:val="multilevel"/>
    <w:tmpl w:val="2ABCF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FA07F06"/>
    <w:multiLevelType w:val="multilevel"/>
    <w:tmpl w:val="AD8AF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07F7330"/>
    <w:multiLevelType w:val="multilevel"/>
    <w:tmpl w:val="8B2A3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B2221C"/>
    <w:multiLevelType w:val="multilevel"/>
    <w:tmpl w:val="9B64C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D23CAF"/>
    <w:multiLevelType w:val="multilevel"/>
    <w:tmpl w:val="7A8E1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C307032"/>
    <w:multiLevelType w:val="multilevel"/>
    <w:tmpl w:val="F87C7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763AB5"/>
    <w:multiLevelType w:val="multilevel"/>
    <w:tmpl w:val="F8BC0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E24D05"/>
    <w:multiLevelType w:val="multilevel"/>
    <w:tmpl w:val="F92A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FEF226E"/>
    <w:multiLevelType w:val="multilevel"/>
    <w:tmpl w:val="0F08F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3D37E4"/>
    <w:multiLevelType w:val="multilevel"/>
    <w:tmpl w:val="AE28E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1634E51"/>
    <w:multiLevelType w:val="multilevel"/>
    <w:tmpl w:val="6A3C1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8757CD"/>
    <w:multiLevelType w:val="multilevel"/>
    <w:tmpl w:val="227C4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27D33F4"/>
    <w:multiLevelType w:val="multilevel"/>
    <w:tmpl w:val="A4247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42B1474"/>
    <w:multiLevelType w:val="multilevel"/>
    <w:tmpl w:val="C37C1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204D14"/>
    <w:multiLevelType w:val="multilevel"/>
    <w:tmpl w:val="6C462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54836FB"/>
    <w:multiLevelType w:val="multilevel"/>
    <w:tmpl w:val="09740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7E913AF"/>
    <w:multiLevelType w:val="multilevel"/>
    <w:tmpl w:val="B860C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9982C75"/>
    <w:multiLevelType w:val="multilevel"/>
    <w:tmpl w:val="6D365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DAD453F"/>
    <w:multiLevelType w:val="hybridMultilevel"/>
    <w:tmpl w:val="C7C0BD76"/>
    <w:lvl w:ilvl="0" w:tplc="375C25A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40512BE0"/>
    <w:multiLevelType w:val="multilevel"/>
    <w:tmpl w:val="C3FE6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618373D"/>
    <w:multiLevelType w:val="multilevel"/>
    <w:tmpl w:val="A970B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7804226"/>
    <w:multiLevelType w:val="multilevel"/>
    <w:tmpl w:val="BAF85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BAD6C44"/>
    <w:multiLevelType w:val="multilevel"/>
    <w:tmpl w:val="5A641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071358E"/>
    <w:multiLevelType w:val="multilevel"/>
    <w:tmpl w:val="738AE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39B2BE3"/>
    <w:multiLevelType w:val="multilevel"/>
    <w:tmpl w:val="986C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4EA5223"/>
    <w:multiLevelType w:val="multilevel"/>
    <w:tmpl w:val="7B4A6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6AF4A22"/>
    <w:multiLevelType w:val="multilevel"/>
    <w:tmpl w:val="8044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2219CA"/>
    <w:multiLevelType w:val="multilevel"/>
    <w:tmpl w:val="36248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2005CBB"/>
    <w:multiLevelType w:val="multilevel"/>
    <w:tmpl w:val="7C9A8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3015BD3"/>
    <w:multiLevelType w:val="multilevel"/>
    <w:tmpl w:val="FD508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4391E45"/>
    <w:multiLevelType w:val="multilevel"/>
    <w:tmpl w:val="CD667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81072F0"/>
    <w:multiLevelType w:val="multilevel"/>
    <w:tmpl w:val="67267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91B75C3"/>
    <w:multiLevelType w:val="multilevel"/>
    <w:tmpl w:val="FCBEA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C722A44"/>
    <w:multiLevelType w:val="multilevel"/>
    <w:tmpl w:val="7374B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0443992"/>
    <w:multiLevelType w:val="multilevel"/>
    <w:tmpl w:val="C8F02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1A35BEA"/>
    <w:multiLevelType w:val="multilevel"/>
    <w:tmpl w:val="D0EC6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84958E9"/>
    <w:multiLevelType w:val="multilevel"/>
    <w:tmpl w:val="655CD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EA97FD1"/>
    <w:multiLevelType w:val="multilevel"/>
    <w:tmpl w:val="A5680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F7D2AA2"/>
    <w:multiLevelType w:val="multilevel"/>
    <w:tmpl w:val="76065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7032013">
    <w:abstractNumId w:val="16"/>
  </w:num>
  <w:num w:numId="2" w16cid:durableId="1976987853">
    <w:abstractNumId w:val="1"/>
  </w:num>
  <w:num w:numId="3" w16cid:durableId="1261523183">
    <w:abstractNumId w:val="35"/>
  </w:num>
  <w:num w:numId="4" w16cid:durableId="1312832044">
    <w:abstractNumId w:val="42"/>
  </w:num>
  <w:num w:numId="5" w16cid:durableId="1369793575">
    <w:abstractNumId w:val="8"/>
  </w:num>
  <w:num w:numId="6" w16cid:durableId="342632357">
    <w:abstractNumId w:val="0"/>
  </w:num>
  <w:num w:numId="7" w16cid:durableId="55711929">
    <w:abstractNumId w:val="24"/>
  </w:num>
  <w:num w:numId="8" w16cid:durableId="766466471">
    <w:abstractNumId w:val="30"/>
  </w:num>
  <w:num w:numId="9" w16cid:durableId="410078483">
    <w:abstractNumId w:val="15"/>
  </w:num>
  <w:num w:numId="10" w16cid:durableId="510796997">
    <w:abstractNumId w:val="6"/>
  </w:num>
  <w:num w:numId="11" w16cid:durableId="1420977882">
    <w:abstractNumId w:val="5"/>
  </w:num>
  <w:num w:numId="12" w16cid:durableId="2114474074">
    <w:abstractNumId w:val="54"/>
  </w:num>
  <w:num w:numId="13" w16cid:durableId="1242136257">
    <w:abstractNumId w:val="32"/>
  </w:num>
  <w:num w:numId="14" w16cid:durableId="241183763">
    <w:abstractNumId w:val="28"/>
  </w:num>
  <w:num w:numId="15" w16cid:durableId="1714498053">
    <w:abstractNumId w:val="13"/>
  </w:num>
  <w:num w:numId="16" w16cid:durableId="248277472">
    <w:abstractNumId w:val="27"/>
  </w:num>
  <w:num w:numId="17" w16cid:durableId="2050451305">
    <w:abstractNumId w:val="3"/>
  </w:num>
  <w:num w:numId="18" w16cid:durableId="194851513">
    <w:abstractNumId w:val="17"/>
  </w:num>
  <w:num w:numId="19" w16cid:durableId="909659309">
    <w:abstractNumId w:val="23"/>
  </w:num>
  <w:num w:numId="20" w16cid:durableId="1477911477">
    <w:abstractNumId w:val="38"/>
  </w:num>
  <w:num w:numId="21" w16cid:durableId="896933235">
    <w:abstractNumId w:val="2"/>
  </w:num>
  <w:num w:numId="22" w16cid:durableId="2054231229">
    <w:abstractNumId w:val="53"/>
  </w:num>
  <w:num w:numId="23" w16cid:durableId="92828884">
    <w:abstractNumId w:val="34"/>
  </w:num>
  <w:num w:numId="24" w16cid:durableId="1206676344">
    <w:abstractNumId w:val="29"/>
  </w:num>
  <w:num w:numId="25" w16cid:durableId="963074671">
    <w:abstractNumId w:val="33"/>
  </w:num>
  <w:num w:numId="26" w16cid:durableId="2114354074">
    <w:abstractNumId w:val="14"/>
  </w:num>
  <w:num w:numId="27" w16cid:durableId="1154183871">
    <w:abstractNumId w:val="7"/>
  </w:num>
  <w:num w:numId="28" w16cid:durableId="1876499223">
    <w:abstractNumId w:val="49"/>
  </w:num>
  <w:num w:numId="29" w16cid:durableId="2068064203">
    <w:abstractNumId w:val="11"/>
  </w:num>
  <w:num w:numId="30" w16cid:durableId="2072926728">
    <w:abstractNumId w:val="46"/>
  </w:num>
  <w:num w:numId="31" w16cid:durableId="351076755">
    <w:abstractNumId w:val="31"/>
  </w:num>
  <w:num w:numId="32" w16cid:durableId="1630933097">
    <w:abstractNumId w:val="18"/>
  </w:num>
  <w:num w:numId="33" w16cid:durableId="331376818">
    <w:abstractNumId w:val="25"/>
  </w:num>
  <w:num w:numId="34" w16cid:durableId="1705590303">
    <w:abstractNumId w:val="37"/>
  </w:num>
  <w:num w:numId="35" w16cid:durableId="1733456866">
    <w:abstractNumId w:val="19"/>
  </w:num>
  <w:num w:numId="36" w16cid:durableId="990909664">
    <w:abstractNumId w:val="50"/>
  </w:num>
  <w:num w:numId="37" w16cid:durableId="578639795">
    <w:abstractNumId w:val="12"/>
  </w:num>
  <w:num w:numId="38" w16cid:durableId="859322525">
    <w:abstractNumId w:val="22"/>
  </w:num>
  <w:num w:numId="39" w16cid:durableId="1503663813">
    <w:abstractNumId w:val="4"/>
  </w:num>
  <w:num w:numId="40" w16cid:durableId="474688712">
    <w:abstractNumId w:val="41"/>
  </w:num>
  <w:num w:numId="41" w16cid:durableId="2170763">
    <w:abstractNumId w:val="26"/>
  </w:num>
  <w:num w:numId="42" w16cid:durableId="773356757">
    <w:abstractNumId w:val="43"/>
  </w:num>
  <w:num w:numId="43" w16cid:durableId="1196652949">
    <w:abstractNumId w:val="40"/>
  </w:num>
  <w:num w:numId="44" w16cid:durableId="1599363028">
    <w:abstractNumId w:val="20"/>
  </w:num>
  <w:num w:numId="45" w16cid:durableId="1837070471">
    <w:abstractNumId w:val="10"/>
  </w:num>
  <w:num w:numId="46" w16cid:durableId="710693257">
    <w:abstractNumId w:val="9"/>
  </w:num>
  <w:num w:numId="47" w16cid:durableId="627591438">
    <w:abstractNumId w:val="36"/>
  </w:num>
  <w:num w:numId="48" w16cid:durableId="246155256">
    <w:abstractNumId w:val="47"/>
  </w:num>
  <w:num w:numId="49" w16cid:durableId="1849755017">
    <w:abstractNumId w:val="44"/>
  </w:num>
  <w:num w:numId="50" w16cid:durableId="916741522">
    <w:abstractNumId w:val="55"/>
  </w:num>
  <w:num w:numId="51" w16cid:durableId="730662006">
    <w:abstractNumId w:val="52"/>
  </w:num>
  <w:num w:numId="52" w16cid:durableId="340082586">
    <w:abstractNumId w:val="39"/>
  </w:num>
  <w:num w:numId="53" w16cid:durableId="791436716">
    <w:abstractNumId w:val="21"/>
  </w:num>
  <w:num w:numId="54" w16cid:durableId="1240093049">
    <w:abstractNumId w:val="48"/>
  </w:num>
  <w:num w:numId="55" w16cid:durableId="1008020394">
    <w:abstractNumId w:val="45"/>
  </w:num>
  <w:num w:numId="56" w16cid:durableId="1746027294">
    <w:abstractNumId w:val="51"/>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B95"/>
    <w:rsid w:val="000003D3"/>
    <w:rsid w:val="000004FA"/>
    <w:rsid w:val="00025234"/>
    <w:rsid w:val="00047425"/>
    <w:rsid w:val="00053121"/>
    <w:rsid w:val="00061491"/>
    <w:rsid w:val="00065298"/>
    <w:rsid w:val="00071805"/>
    <w:rsid w:val="000778AD"/>
    <w:rsid w:val="0008039A"/>
    <w:rsid w:val="00085940"/>
    <w:rsid w:val="0008617A"/>
    <w:rsid w:val="000A1619"/>
    <w:rsid w:val="000B029D"/>
    <w:rsid w:val="000C69B5"/>
    <w:rsid w:val="000D4B35"/>
    <w:rsid w:val="000E0175"/>
    <w:rsid w:val="000E1066"/>
    <w:rsid w:val="00101461"/>
    <w:rsid w:val="0010656B"/>
    <w:rsid w:val="00122234"/>
    <w:rsid w:val="00143CF0"/>
    <w:rsid w:val="00147082"/>
    <w:rsid w:val="00160939"/>
    <w:rsid w:val="0016208C"/>
    <w:rsid w:val="00191993"/>
    <w:rsid w:val="0019493E"/>
    <w:rsid w:val="001C2B27"/>
    <w:rsid w:val="001D6DE8"/>
    <w:rsid w:val="001E05F0"/>
    <w:rsid w:val="001E2513"/>
    <w:rsid w:val="001E2BB3"/>
    <w:rsid w:val="001E4959"/>
    <w:rsid w:val="001F1442"/>
    <w:rsid w:val="001F4CFE"/>
    <w:rsid w:val="002029E8"/>
    <w:rsid w:val="0021459F"/>
    <w:rsid w:val="00223A6F"/>
    <w:rsid w:val="002406CF"/>
    <w:rsid w:val="00240E90"/>
    <w:rsid w:val="0024502C"/>
    <w:rsid w:val="00250688"/>
    <w:rsid w:val="00261A94"/>
    <w:rsid w:val="00261CD1"/>
    <w:rsid w:val="0026477A"/>
    <w:rsid w:val="002670D1"/>
    <w:rsid w:val="00271741"/>
    <w:rsid w:val="00295F2E"/>
    <w:rsid w:val="002A3106"/>
    <w:rsid w:val="002A34EF"/>
    <w:rsid w:val="002B7EAA"/>
    <w:rsid w:val="002C328E"/>
    <w:rsid w:val="002C6710"/>
    <w:rsid w:val="002F0A82"/>
    <w:rsid w:val="00301A79"/>
    <w:rsid w:val="003048E3"/>
    <w:rsid w:val="00355E75"/>
    <w:rsid w:val="00380C82"/>
    <w:rsid w:val="003835A4"/>
    <w:rsid w:val="0038387E"/>
    <w:rsid w:val="003874FB"/>
    <w:rsid w:val="003A40AC"/>
    <w:rsid w:val="003D6819"/>
    <w:rsid w:val="003F1942"/>
    <w:rsid w:val="00450EAF"/>
    <w:rsid w:val="00454BE9"/>
    <w:rsid w:val="004639DD"/>
    <w:rsid w:val="00476D14"/>
    <w:rsid w:val="004855F3"/>
    <w:rsid w:val="00493FED"/>
    <w:rsid w:val="004A2304"/>
    <w:rsid w:val="004B4795"/>
    <w:rsid w:val="004C4A98"/>
    <w:rsid w:val="004D4BEB"/>
    <w:rsid w:val="004D54F4"/>
    <w:rsid w:val="004E4D2E"/>
    <w:rsid w:val="004F7A59"/>
    <w:rsid w:val="00510971"/>
    <w:rsid w:val="0052203F"/>
    <w:rsid w:val="00523C56"/>
    <w:rsid w:val="00535C4D"/>
    <w:rsid w:val="005562AF"/>
    <w:rsid w:val="00571984"/>
    <w:rsid w:val="00575B64"/>
    <w:rsid w:val="005B3480"/>
    <w:rsid w:val="005B3BD6"/>
    <w:rsid w:val="005B6F10"/>
    <w:rsid w:val="005C4986"/>
    <w:rsid w:val="005E4000"/>
    <w:rsid w:val="005F3DEC"/>
    <w:rsid w:val="00601EB6"/>
    <w:rsid w:val="00602DA0"/>
    <w:rsid w:val="0060573B"/>
    <w:rsid w:val="00624037"/>
    <w:rsid w:val="006363BC"/>
    <w:rsid w:val="00657550"/>
    <w:rsid w:val="00662232"/>
    <w:rsid w:val="00662485"/>
    <w:rsid w:val="006713B6"/>
    <w:rsid w:val="00691B95"/>
    <w:rsid w:val="006C5012"/>
    <w:rsid w:val="006D4AD4"/>
    <w:rsid w:val="006F4E03"/>
    <w:rsid w:val="00767C10"/>
    <w:rsid w:val="00780164"/>
    <w:rsid w:val="00781B0D"/>
    <w:rsid w:val="00786384"/>
    <w:rsid w:val="007A6CD6"/>
    <w:rsid w:val="007C31A8"/>
    <w:rsid w:val="007D1662"/>
    <w:rsid w:val="007D4C64"/>
    <w:rsid w:val="007F1A18"/>
    <w:rsid w:val="00807AA1"/>
    <w:rsid w:val="00830A22"/>
    <w:rsid w:val="00836102"/>
    <w:rsid w:val="008366B9"/>
    <w:rsid w:val="00841438"/>
    <w:rsid w:val="00852F51"/>
    <w:rsid w:val="008535D1"/>
    <w:rsid w:val="00864613"/>
    <w:rsid w:val="008658B9"/>
    <w:rsid w:val="0089710C"/>
    <w:rsid w:val="008B2644"/>
    <w:rsid w:val="008C5A8E"/>
    <w:rsid w:val="008D5357"/>
    <w:rsid w:val="008F1250"/>
    <w:rsid w:val="00925AAC"/>
    <w:rsid w:val="00925C7C"/>
    <w:rsid w:val="00934B50"/>
    <w:rsid w:val="0095427D"/>
    <w:rsid w:val="00957EC0"/>
    <w:rsid w:val="00960AA5"/>
    <w:rsid w:val="00964DF5"/>
    <w:rsid w:val="00974C84"/>
    <w:rsid w:val="00992A67"/>
    <w:rsid w:val="009B1A71"/>
    <w:rsid w:val="009C600B"/>
    <w:rsid w:val="009E1814"/>
    <w:rsid w:val="00A10B6F"/>
    <w:rsid w:val="00A302BC"/>
    <w:rsid w:val="00A3402C"/>
    <w:rsid w:val="00A40287"/>
    <w:rsid w:val="00A4106D"/>
    <w:rsid w:val="00A454B6"/>
    <w:rsid w:val="00A60CD0"/>
    <w:rsid w:val="00A6276A"/>
    <w:rsid w:val="00A67437"/>
    <w:rsid w:val="00A742CD"/>
    <w:rsid w:val="00A83851"/>
    <w:rsid w:val="00A91133"/>
    <w:rsid w:val="00A918AE"/>
    <w:rsid w:val="00A93FA8"/>
    <w:rsid w:val="00A94FD1"/>
    <w:rsid w:val="00A97A7C"/>
    <w:rsid w:val="00AA06F2"/>
    <w:rsid w:val="00AB2138"/>
    <w:rsid w:val="00AC4E6B"/>
    <w:rsid w:val="00AC662A"/>
    <w:rsid w:val="00B102AB"/>
    <w:rsid w:val="00B16B4E"/>
    <w:rsid w:val="00B22DE0"/>
    <w:rsid w:val="00B37921"/>
    <w:rsid w:val="00B553F3"/>
    <w:rsid w:val="00B92CB9"/>
    <w:rsid w:val="00B96F5A"/>
    <w:rsid w:val="00B97307"/>
    <w:rsid w:val="00BA22BF"/>
    <w:rsid w:val="00BA3890"/>
    <w:rsid w:val="00BB4FEC"/>
    <w:rsid w:val="00BC5F38"/>
    <w:rsid w:val="00BC6811"/>
    <w:rsid w:val="00BE5579"/>
    <w:rsid w:val="00C00F5F"/>
    <w:rsid w:val="00C16B5E"/>
    <w:rsid w:val="00C35724"/>
    <w:rsid w:val="00C41E32"/>
    <w:rsid w:val="00C4231B"/>
    <w:rsid w:val="00C80A10"/>
    <w:rsid w:val="00C94490"/>
    <w:rsid w:val="00C965B9"/>
    <w:rsid w:val="00CA064E"/>
    <w:rsid w:val="00CB3527"/>
    <w:rsid w:val="00CB64BE"/>
    <w:rsid w:val="00CF47E9"/>
    <w:rsid w:val="00CF598B"/>
    <w:rsid w:val="00D150CD"/>
    <w:rsid w:val="00D41CB7"/>
    <w:rsid w:val="00D57654"/>
    <w:rsid w:val="00D843CF"/>
    <w:rsid w:val="00DC0BE2"/>
    <w:rsid w:val="00DC6C52"/>
    <w:rsid w:val="00DD6051"/>
    <w:rsid w:val="00DE638A"/>
    <w:rsid w:val="00DF7C8B"/>
    <w:rsid w:val="00E15647"/>
    <w:rsid w:val="00E23555"/>
    <w:rsid w:val="00E302A2"/>
    <w:rsid w:val="00E75685"/>
    <w:rsid w:val="00E77780"/>
    <w:rsid w:val="00E82B9E"/>
    <w:rsid w:val="00EA3EA9"/>
    <w:rsid w:val="00ED0A7F"/>
    <w:rsid w:val="00ED5C01"/>
    <w:rsid w:val="00EE6037"/>
    <w:rsid w:val="00EF14BA"/>
    <w:rsid w:val="00EF734A"/>
    <w:rsid w:val="00F02C92"/>
    <w:rsid w:val="00F12321"/>
    <w:rsid w:val="00F13A24"/>
    <w:rsid w:val="00F219B4"/>
    <w:rsid w:val="00F237E4"/>
    <w:rsid w:val="00F5007B"/>
    <w:rsid w:val="00F532FA"/>
    <w:rsid w:val="00F56EF2"/>
    <w:rsid w:val="00F7053A"/>
    <w:rsid w:val="00F91E80"/>
    <w:rsid w:val="00F95DA4"/>
    <w:rsid w:val="00FD50C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BADD7"/>
  <w15:chartTrackingRefBased/>
  <w15:docId w15:val="{88D0E1AF-71BF-41BC-98F6-07E5F3161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0688"/>
    <w:rPr>
      <w:kern w:val="0"/>
      <w14:ligatures w14:val="none"/>
    </w:rPr>
  </w:style>
  <w:style w:type="paragraph" w:styleId="1">
    <w:name w:val="heading 1"/>
    <w:basedOn w:val="a"/>
    <w:next w:val="a"/>
    <w:link w:val="1Char"/>
    <w:uiPriority w:val="9"/>
    <w:qFormat/>
    <w:rsid w:val="00691B95"/>
    <w:pPr>
      <w:keepNext/>
      <w:keepLines/>
      <w:bidi/>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2">
    <w:name w:val="heading 2"/>
    <w:basedOn w:val="a"/>
    <w:next w:val="a"/>
    <w:link w:val="2Char"/>
    <w:uiPriority w:val="9"/>
    <w:semiHidden/>
    <w:unhideWhenUsed/>
    <w:qFormat/>
    <w:rsid w:val="00691B95"/>
    <w:pPr>
      <w:keepNext/>
      <w:keepLines/>
      <w:bidi/>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3">
    <w:name w:val="heading 3"/>
    <w:basedOn w:val="a"/>
    <w:next w:val="a"/>
    <w:link w:val="3Char"/>
    <w:uiPriority w:val="9"/>
    <w:semiHidden/>
    <w:unhideWhenUsed/>
    <w:qFormat/>
    <w:rsid w:val="00691B95"/>
    <w:pPr>
      <w:keepNext/>
      <w:keepLines/>
      <w:bidi/>
      <w:spacing w:before="160" w:after="80"/>
      <w:outlineLvl w:val="2"/>
    </w:pPr>
    <w:rPr>
      <w:rFonts w:eastAsiaTheme="majorEastAsia" w:cstheme="majorBidi"/>
      <w:color w:val="2F5496" w:themeColor="accent1" w:themeShade="BF"/>
      <w:kern w:val="2"/>
      <w:sz w:val="28"/>
      <w:szCs w:val="28"/>
      <w14:ligatures w14:val="standardContextual"/>
    </w:rPr>
  </w:style>
  <w:style w:type="paragraph" w:styleId="4">
    <w:name w:val="heading 4"/>
    <w:basedOn w:val="a"/>
    <w:next w:val="a"/>
    <w:link w:val="4Char"/>
    <w:uiPriority w:val="9"/>
    <w:semiHidden/>
    <w:unhideWhenUsed/>
    <w:qFormat/>
    <w:rsid w:val="00691B95"/>
    <w:pPr>
      <w:keepNext/>
      <w:keepLines/>
      <w:bidi/>
      <w:spacing w:before="80" w:after="40"/>
      <w:outlineLvl w:val="3"/>
    </w:pPr>
    <w:rPr>
      <w:rFonts w:eastAsiaTheme="majorEastAsia" w:cstheme="majorBidi"/>
      <w:i/>
      <w:iCs/>
      <w:color w:val="2F5496" w:themeColor="accent1" w:themeShade="BF"/>
      <w:kern w:val="2"/>
      <w14:ligatures w14:val="standardContextual"/>
    </w:rPr>
  </w:style>
  <w:style w:type="paragraph" w:styleId="5">
    <w:name w:val="heading 5"/>
    <w:basedOn w:val="a"/>
    <w:next w:val="a"/>
    <w:link w:val="5Char"/>
    <w:uiPriority w:val="9"/>
    <w:semiHidden/>
    <w:unhideWhenUsed/>
    <w:qFormat/>
    <w:rsid w:val="00691B95"/>
    <w:pPr>
      <w:keepNext/>
      <w:keepLines/>
      <w:bidi/>
      <w:spacing w:before="80" w:after="40"/>
      <w:outlineLvl w:val="4"/>
    </w:pPr>
    <w:rPr>
      <w:rFonts w:eastAsiaTheme="majorEastAsia" w:cstheme="majorBidi"/>
      <w:color w:val="2F5496" w:themeColor="accent1" w:themeShade="BF"/>
      <w:kern w:val="2"/>
      <w14:ligatures w14:val="standardContextual"/>
    </w:rPr>
  </w:style>
  <w:style w:type="paragraph" w:styleId="6">
    <w:name w:val="heading 6"/>
    <w:basedOn w:val="a"/>
    <w:next w:val="a"/>
    <w:link w:val="6Char"/>
    <w:uiPriority w:val="9"/>
    <w:semiHidden/>
    <w:unhideWhenUsed/>
    <w:qFormat/>
    <w:rsid w:val="00691B95"/>
    <w:pPr>
      <w:keepNext/>
      <w:keepLines/>
      <w:bidi/>
      <w:spacing w:before="40" w:after="0"/>
      <w:outlineLvl w:val="5"/>
    </w:pPr>
    <w:rPr>
      <w:rFonts w:eastAsiaTheme="majorEastAsia" w:cstheme="majorBidi"/>
      <w:i/>
      <w:iCs/>
      <w:color w:val="595959" w:themeColor="text1" w:themeTint="A6"/>
      <w:kern w:val="2"/>
      <w14:ligatures w14:val="standardContextual"/>
    </w:rPr>
  </w:style>
  <w:style w:type="paragraph" w:styleId="7">
    <w:name w:val="heading 7"/>
    <w:basedOn w:val="a"/>
    <w:next w:val="a"/>
    <w:link w:val="7Char"/>
    <w:uiPriority w:val="9"/>
    <w:semiHidden/>
    <w:unhideWhenUsed/>
    <w:qFormat/>
    <w:rsid w:val="00691B95"/>
    <w:pPr>
      <w:keepNext/>
      <w:keepLines/>
      <w:bidi/>
      <w:spacing w:before="40" w:after="0"/>
      <w:outlineLvl w:val="6"/>
    </w:pPr>
    <w:rPr>
      <w:rFonts w:eastAsiaTheme="majorEastAsia" w:cstheme="majorBidi"/>
      <w:color w:val="595959" w:themeColor="text1" w:themeTint="A6"/>
      <w:kern w:val="2"/>
      <w14:ligatures w14:val="standardContextual"/>
    </w:rPr>
  </w:style>
  <w:style w:type="paragraph" w:styleId="8">
    <w:name w:val="heading 8"/>
    <w:basedOn w:val="a"/>
    <w:next w:val="a"/>
    <w:link w:val="8Char"/>
    <w:uiPriority w:val="9"/>
    <w:semiHidden/>
    <w:unhideWhenUsed/>
    <w:qFormat/>
    <w:rsid w:val="00691B95"/>
    <w:pPr>
      <w:keepNext/>
      <w:keepLines/>
      <w:bidi/>
      <w:spacing w:after="0"/>
      <w:outlineLvl w:val="7"/>
    </w:pPr>
    <w:rPr>
      <w:rFonts w:eastAsiaTheme="majorEastAsia" w:cstheme="majorBidi"/>
      <w:i/>
      <w:iCs/>
      <w:color w:val="272727" w:themeColor="text1" w:themeTint="D8"/>
      <w:kern w:val="2"/>
      <w14:ligatures w14:val="standardContextual"/>
    </w:rPr>
  </w:style>
  <w:style w:type="paragraph" w:styleId="9">
    <w:name w:val="heading 9"/>
    <w:basedOn w:val="a"/>
    <w:next w:val="a"/>
    <w:link w:val="9Char"/>
    <w:uiPriority w:val="9"/>
    <w:semiHidden/>
    <w:unhideWhenUsed/>
    <w:qFormat/>
    <w:rsid w:val="00691B95"/>
    <w:pPr>
      <w:keepNext/>
      <w:keepLines/>
      <w:bidi/>
      <w:spacing w:after="0"/>
      <w:outlineLvl w:val="8"/>
    </w:pPr>
    <w:rPr>
      <w:rFonts w:eastAsiaTheme="majorEastAsia" w:cstheme="majorBidi"/>
      <w:color w:val="272727" w:themeColor="text1" w:themeTint="D8"/>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91B95"/>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691B95"/>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691B95"/>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691B95"/>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91B95"/>
    <w:rPr>
      <w:rFonts w:eastAsiaTheme="majorEastAsia" w:cstheme="majorBidi"/>
      <w:color w:val="2F5496" w:themeColor="accent1" w:themeShade="BF"/>
    </w:rPr>
  </w:style>
  <w:style w:type="character" w:customStyle="1" w:styleId="6Char">
    <w:name w:val="عنوان 6 Char"/>
    <w:basedOn w:val="a0"/>
    <w:link w:val="6"/>
    <w:uiPriority w:val="9"/>
    <w:semiHidden/>
    <w:rsid w:val="00691B95"/>
    <w:rPr>
      <w:rFonts w:eastAsiaTheme="majorEastAsia" w:cstheme="majorBidi"/>
      <w:i/>
      <w:iCs/>
      <w:color w:val="595959" w:themeColor="text1" w:themeTint="A6"/>
    </w:rPr>
  </w:style>
  <w:style w:type="character" w:customStyle="1" w:styleId="7Char">
    <w:name w:val="عنوان 7 Char"/>
    <w:basedOn w:val="a0"/>
    <w:link w:val="7"/>
    <w:uiPriority w:val="9"/>
    <w:semiHidden/>
    <w:rsid w:val="00691B95"/>
    <w:rPr>
      <w:rFonts w:eastAsiaTheme="majorEastAsia" w:cstheme="majorBidi"/>
      <w:color w:val="595959" w:themeColor="text1" w:themeTint="A6"/>
    </w:rPr>
  </w:style>
  <w:style w:type="character" w:customStyle="1" w:styleId="8Char">
    <w:name w:val="عنوان 8 Char"/>
    <w:basedOn w:val="a0"/>
    <w:link w:val="8"/>
    <w:uiPriority w:val="9"/>
    <w:semiHidden/>
    <w:rsid w:val="00691B95"/>
    <w:rPr>
      <w:rFonts w:eastAsiaTheme="majorEastAsia" w:cstheme="majorBidi"/>
      <w:i/>
      <w:iCs/>
      <w:color w:val="272727" w:themeColor="text1" w:themeTint="D8"/>
    </w:rPr>
  </w:style>
  <w:style w:type="character" w:customStyle="1" w:styleId="9Char">
    <w:name w:val="عنوان 9 Char"/>
    <w:basedOn w:val="a0"/>
    <w:link w:val="9"/>
    <w:uiPriority w:val="9"/>
    <w:semiHidden/>
    <w:rsid w:val="00691B95"/>
    <w:rPr>
      <w:rFonts w:eastAsiaTheme="majorEastAsia" w:cstheme="majorBidi"/>
      <w:color w:val="272727" w:themeColor="text1" w:themeTint="D8"/>
    </w:rPr>
  </w:style>
  <w:style w:type="paragraph" w:styleId="a3">
    <w:name w:val="Title"/>
    <w:basedOn w:val="a"/>
    <w:next w:val="a"/>
    <w:link w:val="Char"/>
    <w:uiPriority w:val="10"/>
    <w:qFormat/>
    <w:rsid w:val="00691B95"/>
    <w:pPr>
      <w:bidi/>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Char">
    <w:name w:val="العنوان Char"/>
    <w:basedOn w:val="a0"/>
    <w:link w:val="a3"/>
    <w:uiPriority w:val="10"/>
    <w:rsid w:val="00691B9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91B95"/>
    <w:pPr>
      <w:numPr>
        <w:ilvl w:val="1"/>
      </w:numPr>
      <w:bidi/>
    </w:pPr>
    <w:rPr>
      <w:rFonts w:eastAsiaTheme="majorEastAsia" w:cstheme="majorBidi"/>
      <w:color w:val="595959" w:themeColor="text1" w:themeTint="A6"/>
      <w:spacing w:val="15"/>
      <w:kern w:val="2"/>
      <w:sz w:val="28"/>
      <w:szCs w:val="28"/>
      <w14:ligatures w14:val="standardContextual"/>
    </w:rPr>
  </w:style>
  <w:style w:type="character" w:customStyle="1" w:styleId="Char0">
    <w:name w:val="عنوان فرعي Char"/>
    <w:basedOn w:val="a0"/>
    <w:link w:val="a4"/>
    <w:uiPriority w:val="11"/>
    <w:rsid w:val="00691B9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91B95"/>
    <w:pPr>
      <w:bidi/>
      <w:spacing w:before="160"/>
      <w:jc w:val="center"/>
    </w:pPr>
    <w:rPr>
      <w:i/>
      <w:iCs/>
      <w:color w:val="404040" w:themeColor="text1" w:themeTint="BF"/>
      <w:kern w:val="2"/>
      <w14:ligatures w14:val="standardContextual"/>
    </w:rPr>
  </w:style>
  <w:style w:type="character" w:customStyle="1" w:styleId="Char1">
    <w:name w:val="اقتباس Char"/>
    <w:basedOn w:val="a0"/>
    <w:link w:val="a5"/>
    <w:uiPriority w:val="29"/>
    <w:rsid w:val="00691B95"/>
    <w:rPr>
      <w:i/>
      <w:iCs/>
      <w:color w:val="404040" w:themeColor="text1" w:themeTint="BF"/>
    </w:rPr>
  </w:style>
  <w:style w:type="paragraph" w:styleId="a6">
    <w:name w:val="List Paragraph"/>
    <w:basedOn w:val="a"/>
    <w:uiPriority w:val="34"/>
    <w:qFormat/>
    <w:rsid w:val="00691B95"/>
    <w:pPr>
      <w:bidi/>
      <w:ind w:left="720"/>
      <w:contextualSpacing/>
    </w:pPr>
    <w:rPr>
      <w:kern w:val="2"/>
      <w14:ligatures w14:val="standardContextual"/>
    </w:rPr>
  </w:style>
  <w:style w:type="character" w:styleId="a7">
    <w:name w:val="Intense Emphasis"/>
    <w:basedOn w:val="a0"/>
    <w:uiPriority w:val="21"/>
    <w:qFormat/>
    <w:rsid w:val="00691B95"/>
    <w:rPr>
      <w:i/>
      <w:iCs/>
      <w:color w:val="2F5496" w:themeColor="accent1" w:themeShade="BF"/>
    </w:rPr>
  </w:style>
  <w:style w:type="paragraph" w:styleId="a8">
    <w:name w:val="Intense Quote"/>
    <w:basedOn w:val="a"/>
    <w:next w:val="a"/>
    <w:link w:val="Char2"/>
    <w:uiPriority w:val="30"/>
    <w:qFormat/>
    <w:rsid w:val="00691B95"/>
    <w:pPr>
      <w:pBdr>
        <w:top w:val="single" w:sz="4" w:space="10" w:color="2F5496" w:themeColor="accent1" w:themeShade="BF"/>
        <w:bottom w:val="single" w:sz="4" w:space="10" w:color="2F5496" w:themeColor="accent1" w:themeShade="BF"/>
      </w:pBdr>
      <w:bidi/>
      <w:spacing w:before="360" w:after="360"/>
      <w:ind w:left="864" w:right="864"/>
      <w:jc w:val="center"/>
    </w:pPr>
    <w:rPr>
      <w:i/>
      <w:iCs/>
      <w:color w:val="2F5496" w:themeColor="accent1" w:themeShade="BF"/>
      <w:kern w:val="2"/>
      <w14:ligatures w14:val="standardContextual"/>
    </w:rPr>
  </w:style>
  <w:style w:type="character" w:customStyle="1" w:styleId="Char2">
    <w:name w:val="اقتباس مكثف Char"/>
    <w:basedOn w:val="a0"/>
    <w:link w:val="a8"/>
    <w:uiPriority w:val="30"/>
    <w:rsid w:val="00691B95"/>
    <w:rPr>
      <w:i/>
      <w:iCs/>
      <w:color w:val="2F5496" w:themeColor="accent1" w:themeShade="BF"/>
    </w:rPr>
  </w:style>
  <w:style w:type="character" w:styleId="a9">
    <w:name w:val="Intense Reference"/>
    <w:basedOn w:val="a0"/>
    <w:uiPriority w:val="32"/>
    <w:qFormat/>
    <w:rsid w:val="00691B95"/>
    <w:rPr>
      <w:b/>
      <w:bCs/>
      <w:smallCaps/>
      <w:color w:val="2F5496" w:themeColor="accent1" w:themeShade="BF"/>
      <w:spacing w:val="5"/>
    </w:rPr>
  </w:style>
  <w:style w:type="table" w:styleId="aa">
    <w:name w:val="Table Grid"/>
    <w:basedOn w:val="a1"/>
    <w:uiPriority w:val="39"/>
    <w:rsid w:val="0025068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unhideWhenUsed/>
    <w:rsid w:val="00250688"/>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Char3"/>
    <w:uiPriority w:val="99"/>
    <w:unhideWhenUsed/>
    <w:rsid w:val="00ED5C01"/>
    <w:pPr>
      <w:tabs>
        <w:tab w:val="center" w:pos="4153"/>
        <w:tab w:val="right" w:pos="8306"/>
      </w:tabs>
      <w:spacing w:after="0" w:line="240" w:lineRule="auto"/>
    </w:pPr>
  </w:style>
  <w:style w:type="character" w:customStyle="1" w:styleId="Char3">
    <w:name w:val="رأس الصفحة Char"/>
    <w:basedOn w:val="a0"/>
    <w:link w:val="ac"/>
    <w:uiPriority w:val="99"/>
    <w:rsid w:val="00ED5C01"/>
    <w:rPr>
      <w:kern w:val="0"/>
      <w14:ligatures w14:val="none"/>
    </w:rPr>
  </w:style>
  <w:style w:type="paragraph" w:styleId="ad">
    <w:name w:val="footer"/>
    <w:basedOn w:val="a"/>
    <w:link w:val="Char4"/>
    <w:uiPriority w:val="99"/>
    <w:unhideWhenUsed/>
    <w:rsid w:val="00ED5C01"/>
    <w:pPr>
      <w:tabs>
        <w:tab w:val="center" w:pos="4153"/>
        <w:tab w:val="right" w:pos="8306"/>
      </w:tabs>
      <w:spacing w:after="0" w:line="240" w:lineRule="auto"/>
    </w:pPr>
  </w:style>
  <w:style w:type="character" w:customStyle="1" w:styleId="Char4">
    <w:name w:val="تذييل الصفحة Char"/>
    <w:basedOn w:val="a0"/>
    <w:link w:val="ad"/>
    <w:uiPriority w:val="99"/>
    <w:rsid w:val="00ED5C01"/>
    <w:rPr>
      <w:kern w:val="0"/>
      <w14:ligatures w14:val="none"/>
    </w:rPr>
  </w:style>
  <w:style w:type="paragraph" w:styleId="ae">
    <w:name w:val="footnote text"/>
    <w:basedOn w:val="a"/>
    <w:link w:val="Char5"/>
    <w:uiPriority w:val="99"/>
    <w:semiHidden/>
    <w:unhideWhenUsed/>
    <w:rsid w:val="00F219B4"/>
    <w:pPr>
      <w:spacing w:after="0" w:line="240" w:lineRule="auto"/>
    </w:pPr>
    <w:rPr>
      <w:sz w:val="20"/>
      <w:szCs w:val="20"/>
    </w:rPr>
  </w:style>
  <w:style w:type="character" w:customStyle="1" w:styleId="Char5">
    <w:name w:val="نص حاشية سفلية Char"/>
    <w:basedOn w:val="a0"/>
    <w:link w:val="ae"/>
    <w:uiPriority w:val="99"/>
    <w:semiHidden/>
    <w:rsid w:val="00F219B4"/>
    <w:rPr>
      <w:kern w:val="0"/>
      <w:sz w:val="20"/>
      <w:szCs w:val="20"/>
      <w14:ligatures w14:val="none"/>
    </w:rPr>
  </w:style>
  <w:style w:type="character" w:styleId="af">
    <w:name w:val="footnote reference"/>
    <w:basedOn w:val="a0"/>
    <w:uiPriority w:val="99"/>
    <w:semiHidden/>
    <w:unhideWhenUsed/>
    <w:rsid w:val="00F219B4"/>
    <w:rPr>
      <w:vertAlign w:val="superscript"/>
    </w:rPr>
  </w:style>
  <w:style w:type="character" w:styleId="Hyperlink">
    <w:name w:val="Hyperlink"/>
    <w:basedOn w:val="a0"/>
    <w:uiPriority w:val="99"/>
    <w:unhideWhenUsed/>
    <w:rsid w:val="00A94F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A57624-CD4B-4F12-9276-4546C3B49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127</Pages>
  <Words>46545</Words>
  <Characters>265308</Characters>
  <Application>Microsoft Office Word</Application>
  <DocSecurity>0</DocSecurity>
  <Lines>2210</Lines>
  <Paragraphs>622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311231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حسان</dc:creator>
  <cp:keywords/>
  <dc:description/>
  <cp:lastModifiedBy>حسان</cp:lastModifiedBy>
  <cp:revision>30</cp:revision>
  <dcterms:created xsi:type="dcterms:W3CDTF">2025-11-06T12:34:00Z</dcterms:created>
  <dcterms:modified xsi:type="dcterms:W3CDTF">2026-03-28T09:18:00Z</dcterms:modified>
</cp:coreProperties>
</file>