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7BEEA"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6043E994"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2864B30D"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3A35BCDC" w14:textId="77777777" w:rsidR="005850DB" w:rsidRDefault="00000000">
      <w:pPr>
        <w:bidi w:val="0"/>
        <w:spacing w:after="37" w:line="259" w:lineRule="auto"/>
        <w:ind w:left="0" w:right="168" w:firstLine="0"/>
        <w:jc w:val="center"/>
      </w:pPr>
      <w:r>
        <w:rPr>
          <w:rFonts w:ascii="Times New Roman" w:eastAsia="Times New Roman" w:hAnsi="Times New Roman" w:cs="Times New Roman"/>
        </w:rPr>
        <w:t xml:space="preserve"> </w:t>
      </w:r>
    </w:p>
    <w:p w14:paraId="3A9B142C" w14:textId="77777777" w:rsidR="005850DB" w:rsidRDefault="00000000">
      <w:pPr>
        <w:bidi w:val="0"/>
        <w:spacing w:after="0" w:line="259" w:lineRule="auto"/>
        <w:ind w:left="0" w:right="163" w:firstLine="0"/>
        <w:jc w:val="center"/>
      </w:pPr>
      <w:r>
        <w:t xml:space="preserve"> </w:t>
      </w:r>
    </w:p>
    <w:p w14:paraId="6A61A410" w14:textId="77777777" w:rsidR="005850DB" w:rsidRDefault="00000000">
      <w:pPr>
        <w:bidi w:val="0"/>
        <w:spacing w:after="0" w:line="259" w:lineRule="auto"/>
        <w:ind w:left="0" w:right="163" w:firstLine="0"/>
        <w:jc w:val="center"/>
      </w:pPr>
      <w:r>
        <w:t xml:space="preserve"> </w:t>
      </w:r>
    </w:p>
    <w:p w14:paraId="3EDFEFFA"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30060E75"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736560AA" w14:textId="77777777" w:rsidR="005850DB" w:rsidRDefault="00000000">
      <w:pPr>
        <w:bidi w:val="0"/>
        <w:spacing w:after="0" w:line="259" w:lineRule="auto"/>
        <w:ind w:left="0" w:right="48" w:firstLine="0"/>
      </w:pPr>
      <w:r>
        <w:t xml:space="preserve"> </w:t>
      </w:r>
    </w:p>
    <w:p w14:paraId="133A4283" w14:textId="77777777" w:rsidR="005850DB" w:rsidRDefault="00000000">
      <w:pPr>
        <w:bidi w:val="0"/>
        <w:spacing w:after="0" w:line="259" w:lineRule="auto"/>
        <w:ind w:left="0" w:right="163" w:firstLine="0"/>
        <w:jc w:val="center"/>
      </w:pPr>
      <w:r>
        <w:t xml:space="preserve"> </w:t>
      </w:r>
    </w:p>
    <w:p w14:paraId="3D164CAB" w14:textId="77777777" w:rsidR="005850DB" w:rsidRDefault="00000000">
      <w:pPr>
        <w:bidi w:val="0"/>
        <w:spacing w:after="214" w:line="259" w:lineRule="auto"/>
        <w:ind w:left="0" w:right="168" w:firstLine="0"/>
        <w:jc w:val="center"/>
      </w:pPr>
      <w:r>
        <w:rPr>
          <w:rFonts w:ascii="Times New Roman" w:eastAsia="Times New Roman" w:hAnsi="Times New Roman" w:cs="Times New Roman"/>
        </w:rPr>
        <w:t xml:space="preserve"> </w:t>
      </w:r>
    </w:p>
    <w:p w14:paraId="1B8814FD" w14:textId="77777777" w:rsidR="005850DB" w:rsidRDefault="00000000">
      <w:pPr>
        <w:pStyle w:val="Heading1"/>
        <w:jc w:val="center"/>
      </w:pPr>
      <w:r>
        <w:rPr>
          <w:bCs/>
          <w:szCs w:val="40"/>
          <w:rtl/>
        </w:rPr>
        <w:t>حقوق الطبع والنشر</w:t>
      </w:r>
      <w:r>
        <w:rPr>
          <w:rFonts w:ascii="Times New Roman" w:eastAsia="Times New Roman" w:hAnsi="Times New Roman" w:cs="Times New Roman"/>
          <w:bCs/>
          <w:szCs w:val="40"/>
          <w:rtl/>
        </w:rPr>
        <w:t xml:space="preserve"> </w:t>
      </w:r>
    </w:p>
    <w:p w14:paraId="4E99F1B8" w14:textId="77777777" w:rsidR="005850DB" w:rsidRDefault="00000000">
      <w:pPr>
        <w:bidi w:val="0"/>
        <w:spacing w:after="0" w:line="259" w:lineRule="auto"/>
        <w:ind w:left="0" w:right="48" w:firstLine="0"/>
      </w:pPr>
      <w:r>
        <w:t xml:space="preserve"> </w:t>
      </w:r>
    </w:p>
    <w:p w14:paraId="02DB0873" w14:textId="77777777" w:rsidR="005850DB" w:rsidRDefault="00000000">
      <w:pPr>
        <w:bidi w:val="0"/>
        <w:spacing w:after="51" w:line="259" w:lineRule="auto"/>
        <w:ind w:left="0" w:right="60" w:firstLine="0"/>
      </w:pPr>
      <w:r>
        <w:rPr>
          <w:rFonts w:ascii="Times New Roman" w:eastAsia="Times New Roman" w:hAnsi="Times New Roman" w:cs="Times New Roman"/>
        </w:rPr>
        <w:t xml:space="preserve"> </w:t>
      </w:r>
    </w:p>
    <w:p w14:paraId="27DFC6C5" w14:textId="77777777" w:rsidR="005850DB" w:rsidRDefault="00000000">
      <w:r>
        <w:rPr>
          <w:szCs w:val="28"/>
          <w:rtl/>
        </w:rPr>
        <w:t>جميع الحقوق محفوظة لجامعة ميد أوش ن</w:t>
      </w:r>
      <w:r>
        <w:rPr>
          <w:rFonts w:ascii="Times New Roman" w:eastAsia="Times New Roman" w:hAnsi="Times New Roman" w:cs="Times New Roman"/>
          <w:szCs w:val="28"/>
          <w:rtl/>
        </w:rPr>
        <w:t xml:space="preserve"> </w:t>
      </w:r>
      <w:r>
        <w:rPr>
          <w:rFonts w:ascii="Times New Roman" w:eastAsia="Times New Roman" w:hAnsi="Times New Roman" w:cs="Times New Roman"/>
          <w:sz w:val="37"/>
          <w:szCs w:val="37"/>
          <w:vertAlign w:val="subscript"/>
          <w:rtl/>
        </w:rPr>
        <w:t xml:space="preserve">© </w:t>
      </w:r>
      <w:r>
        <w:rPr>
          <w:rFonts w:ascii="Times New Roman" w:eastAsia="Times New Roman" w:hAnsi="Times New Roman" w:cs="Times New Roman"/>
          <w:sz w:val="37"/>
          <w:szCs w:val="37"/>
          <w:vertAlign w:val="subscript"/>
        </w:rPr>
        <w:t>2025</w:t>
      </w:r>
      <w:r>
        <w:rPr>
          <w:rFonts w:ascii="Times New Roman" w:eastAsia="Times New Roman" w:hAnsi="Times New Roman" w:cs="Times New Roman"/>
          <w:sz w:val="24"/>
          <w:rtl/>
        </w:rPr>
        <w:t xml:space="preserve"> </w:t>
      </w:r>
      <w:r>
        <w:rPr>
          <w:szCs w:val="28"/>
          <w:rtl/>
        </w:rPr>
        <w:t>جامعة عيد أوشن - كلية الإدار ة</w:t>
      </w:r>
      <w:r>
        <w:rPr>
          <w:rFonts w:ascii="Times New Roman" w:eastAsia="Times New Roman" w:hAnsi="Times New Roman" w:cs="Times New Roman"/>
          <w:szCs w:val="28"/>
          <w:rtl/>
        </w:rPr>
        <w:t xml:space="preserve"> </w:t>
      </w:r>
    </w:p>
    <w:p w14:paraId="4ED946BD" w14:textId="77777777" w:rsidR="005850DB" w:rsidRDefault="00000000">
      <w:pPr>
        <w:ind w:right="100"/>
      </w:pPr>
      <w:r>
        <w:rPr>
          <w:szCs w:val="28"/>
          <w:rtl/>
        </w:rPr>
        <w:t>لا يجوز إعادة إنتاج أي جزء من هذه الرسالة أو نقلها بأي شكل من الأشكال أو بأي وسيلة، إلكترونية أو ميكانيكية، بما في ذلك التصوير الفوتوغ ارفي والتسجيل أو أي نظام تخزين واسترجاع معلومات، دون إذن كتابي مسبق من جامعة ميد أوشن</w:t>
      </w:r>
      <w:r>
        <w:rPr>
          <w:rFonts w:ascii="Times New Roman" w:eastAsia="Times New Roman" w:hAnsi="Times New Roman" w:cs="Times New Roman"/>
          <w:szCs w:val="28"/>
          <w:rtl/>
        </w:rPr>
        <w:t xml:space="preserve"> </w:t>
      </w:r>
    </w:p>
    <w:p w14:paraId="007BA2F8"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2227C38F"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6A861905"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357AB284"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3F1F3E15"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2C9D7416"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2F7B3C45"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25C3F976" w14:textId="77777777" w:rsidR="005850DB" w:rsidRDefault="00000000">
      <w:pPr>
        <w:bidi w:val="0"/>
        <w:spacing w:after="0" w:line="259" w:lineRule="auto"/>
        <w:ind w:left="0" w:right="60" w:firstLine="0"/>
      </w:pPr>
      <w:r>
        <w:rPr>
          <w:rFonts w:ascii="Times New Roman" w:eastAsia="Times New Roman" w:hAnsi="Times New Roman" w:cs="Times New Roman"/>
        </w:rPr>
        <w:lastRenderedPageBreak/>
        <w:t xml:space="preserve"> </w:t>
      </w:r>
    </w:p>
    <w:p w14:paraId="6A45E7E6"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16DE6010"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6C1802CD"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70306D21"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0CD7722B"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404393BE"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7B87BBBB"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213A01BA" w14:textId="77777777" w:rsidR="005850DB" w:rsidRDefault="00000000">
      <w:pPr>
        <w:bidi w:val="0"/>
        <w:spacing w:after="0" w:line="259" w:lineRule="auto"/>
        <w:ind w:left="0" w:right="48" w:firstLine="0"/>
      </w:pPr>
      <w:r>
        <w:t xml:space="preserve"> </w:t>
      </w:r>
    </w:p>
    <w:p w14:paraId="4960FBBC"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28A639DC" w14:textId="77777777" w:rsidR="005850DB" w:rsidRDefault="00000000">
      <w:pPr>
        <w:bidi w:val="0"/>
        <w:spacing w:after="0" w:line="259" w:lineRule="auto"/>
        <w:ind w:left="0" w:right="48" w:firstLine="0"/>
      </w:pPr>
      <w:r>
        <w:t xml:space="preserve"> </w:t>
      </w:r>
    </w:p>
    <w:p w14:paraId="0C06693E" w14:textId="77777777" w:rsidR="005850DB" w:rsidRDefault="00000000">
      <w:pPr>
        <w:pStyle w:val="Heading1"/>
        <w:jc w:val="center"/>
      </w:pPr>
      <w:r>
        <w:rPr>
          <w:bCs/>
          <w:szCs w:val="40"/>
          <w:rtl/>
        </w:rPr>
        <w:t xml:space="preserve">الملخص  </w:t>
      </w:r>
    </w:p>
    <w:p w14:paraId="6D002B77" w14:textId="77777777" w:rsidR="005850DB" w:rsidRDefault="00000000">
      <w:pPr>
        <w:ind w:right="310"/>
      </w:pPr>
      <w:r>
        <w:rPr>
          <w:szCs w:val="28"/>
          <w:rtl/>
        </w:rPr>
        <w:t>تهدف هذه الد ارسة إلى استكشاف دور إدارة المخاطر في نجاح مشاريع صناعة المضخات في المملكة العربية السعودية، حيث تواجه هذه الصناعة تحديات متنوعة تتطلب إدارة فعالة للمخاطر الضمان نجاحالمشاريع وتحقيق الأهداف المرجوة تركز الد ارسة على تحليل العوامل المؤثرة على نج اح مشاريع صناعة المضخات وكيفية تطبيق ممارسات إدارة المخاطر الحديثة في هذا القطاع الحيو ي</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3A905A0F" w14:textId="77777777" w:rsidR="005850DB" w:rsidRDefault="00000000">
      <w:pPr>
        <w:ind w:right="100"/>
      </w:pPr>
      <w:r>
        <w:rPr>
          <w:szCs w:val="28"/>
          <w:rtl/>
        </w:rPr>
        <w:t>تتمثل مشكلة الد ارسة في أن العديد من مشاريع صناعة المضخات في المملكة العربية السعودية تواجه تحديات في إدارة المخاطر، مما يؤثر سلباً على نجاح هذه المشاريع وقدرتها على تحقيق الأهداف المحددة في الوقت المناسب وضمن المي ازنية المخصصة. كما تفتقر الشركات العاملة في هذا القطاع إلى إطار عمل شامل لإدارة المخاطر يتناسب مع طبيعة صناعة المضخات والبيئة التشغيلية في المملكة</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4EDBC598" w14:textId="77777777" w:rsidR="005850DB" w:rsidRDefault="00000000">
      <w:pPr>
        <w:spacing w:after="2" w:line="259" w:lineRule="auto"/>
        <w:ind w:left="12" w:right="0" w:hanging="10"/>
        <w:jc w:val="left"/>
      </w:pPr>
      <w:r>
        <w:rPr>
          <w:szCs w:val="28"/>
          <w:rtl/>
        </w:rPr>
        <w:t>تهدف الد ارسة إلى تحديد أنواع المخاطر الرئيسية التي تواجه مشاريع صناعة المضخات في السعودية .</w:t>
      </w:r>
    </w:p>
    <w:p w14:paraId="60383162" w14:textId="77777777" w:rsidR="005850DB" w:rsidRDefault="00000000">
      <w:pPr>
        <w:ind w:right="100"/>
      </w:pPr>
      <w:r>
        <w:rPr>
          <w:szCs w:val="28"/>
          <w:rtl/>
        </w:rPr>
        <w:t>وتحليل العلاقة بين ممارسات إدارة المخاطر ونجاح المشاريع، وتطوير إطار عمل مقترح الإدارة المخاطر يتناسب مع خصائص هذه الصناعة، بالإضافة إلى تقديم توصيات عملية للشركات  والمؤسسات العاملة في هذا القطاع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66CB5C48" w14:textId="77777777" w:rsidR="005850DB" w:rsidRDefault="00000000">
      <w:pPr>
        <w:ind w:right="100"/>
      </w:pPr>
      <w:r>
        <w:rPr>
          <w:szCs w:val="28"/>
          <w:rtl/>
        </w:rPr>
        <w:t xml:space="preserve">اعتمدت الد ارسة على المنهج المختلط الذي يجمع بين الأساليب الكمية والنوعية، حيث تم استخدام الاستبانة كأداة رئيسية لجمع البيانات من عينة مكونة من </w:t>
      </w:r>
      <w:r>
        <w:rPr>
          <w:rFonts w:ascii="Times New Roman" w:eastAsia="Times New Roman" w:hAnsi="Times New Roman" w:cs="Times New Roman"/>
          <w:szCs w:val="28"/>
        </w:rPr>
        <w:t>150</w:t>
      </w:r>
      <w:r>
        <w:rPr>
          <w:szCs w:val="28"/>
          <w:rtl/>
        </w:rPr>
        <w:t xml:space="preserve"> مشاركاً من المديرين والمهندسين </w:t>
      </w:r>
      <w:r>
        <w:rPr>
          <w:szCs w:val="28"/>
          <w:rtl/>
        </w:rPr>
        <w:lastRenderedPageBreak/>
        <w:t>والمختصين في شركات صناعة المضخات في المملكة العربية السعودية. كما تم إج ارء مقابلات شب ه</w:t>
      </w:r>
      <w:r>
        <w:rPr>
          <w:rFonts w:ascii="Times New Roman" w:eastAsia="Times New Roman" w:hAnsi="Times New Roman" w:cs="Times New Roman"/>
          <w:szCs w:val="28"/>
          <w:rtl/>
        </w:rPr>
        <w:t xml:space="preserve"> </w:t>
      </w:r>
      <w:r>
        <w:rPr>
          <w:szCs w:val="28"/>
          <w:rtl/>
        </w:rPr>
        <w:t xml:space="preserve">منظمة مع </w:t>
      </w:r>
      <w:r>
        <w:rPr>
          <w:rFonts w:ascii="Times New Roman" w:eastAsia="Times New Roman" w:hAnsi="Times New Roman" w:cs="Times New Roman"/>
          <w:szCs w:val="28"/>
        </w:rPr>
        <w:t>15</w:t>
      </w:r>
      <w:r>
        <w:rPr>
          <w:szCs w:val="28"/>
          <w:rtl/>
        </w:rPr>
        <w:t xml:space="preserve"> خبي اًر في مجال إدارة المخاطر وصناعة المصحات لتعميق فهم الموضوع والحصول على رؤى متخصصة</w:t>
      </w:r>
      <w:r>
        <w:rPr>
          <w:rFonts w:ascii="Times New Roman" w:eastAsia="Times New Roman" w:hAnsi="Times New Roman" w:cs="Times New Roman"/>
          <w:sz w:val="24"/>
          <w:rtl/>
        </w:rPr>
        <w:t>.</w:t>
      </w:r>
      <w:r>
        <w:rPr>
          <w:szCs w:val="28"/>
          <w:rtl/>
        </w:rPr>
        <w:t xml:space="preserve"> </w:t>
      </w:r>
    </w:p>
    <w:p w14:paraId="22A034A3" w14:textId="77777777" w:rsidR="005850DB" w:rsidRDefault="00000000">
      <w:pPr>
        <w:ind w:right="100"/>
      </w:pPr>
      <w:r>
        <w:rPr>
          <w:szCs w:val="28"/>
          <w:rtl/>
        </w:rPr>
        <w:t xml:space="preserve">أظهرت نتائج الد ارسة وجود علاقة إيجابية قوية بين تطبيق ممارسات إدارة المخاطر الفعالة ونجاح مشاريع صناعة المضخات، حيث تبين أن الشركات التي تطبق أنظمة إدارة مخاطر شاملة تحقق معدلات نجاحأعلى في مشاريعها بنسبة </w:t>
      </w:r>
      <w:r>
        <w:rPr>
          <w:rFonts w:ascii="Times New Roman" w:eastAsia="Times New Roman" w:hAnsi="Times New Roman" w:cs="Times New Roman"/>
          <w:szCs w:val="28"/>
        </w:rPr>
        <w:t>35</w:t>
      </w:r>
      <w:r>
        <w:rPr>
          <w:szCs w:val="28"/>
          <w:rtl/>
        </w:rPr>
        <w:t>% مقارنة بالشركات التي لا تطبق هذه الممارسات كما حددت الد ارسة أهم المخاطر التي تواجه هذه المشاريع وهي: المخاطر التقنية والتكنولوجية مخاطر سلسلة التوريد ،المخاطر المالية، المخاطر التنظيمية والقانونية، والمخاطر البيئية والمناخية</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77101C11" w14:textId="77777777" w:rsidR="005850DB" w:rsidRDefault="00000000">
      <w:pPr>
        <w:ind w:right="100"/>
      </w:pPr>
      <w:r>
        <w:rPr>
          <w:szCs w:val="28"/>
          <w:rtl/>
        </w:rPr>
        <w:t>توصي الد ارسة بضرورة تطوير است ارتيجيات شاملة لإدارة المخاطر في شركات صناعة المضخات، وتعزيز الوعي بأهمية إدارة المخاطر بين العاملين في هذا القطاع، وإنشاء وحدات متخصصة الإدارة المخاطر في الشركات الكبيرة، بالإضافة إلى تطوير ب ارمج تدريبية متخصصة في إدارة المخاطر لموظفي هذا القطاع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4011A3A0" w14:textId="77777777" w:rsidR="005850DB" w:rsidRDefault="00000000">
      <w:pPr>
        <w:bidi w:val="0"/>
        <w:spacing w:after="9" w:line="259" w:lineRule="auto"/>
        <w:ind w:left="0" w:right="48" w:firstLine="0"/>
      </w:pPr>
      <w:r>
        <w:t xml:space="preserve"> </w:t>
      </w:r>
    </w:p>
    <w:p w14:paraId="7FBEF6E1" w14:textId="77777777" w:rsidR="005850DB" w:rsidRDefault="00000000">
      <w:pPr>
        <w:spacing w:after="3" w:line="259" w:lineRule="auto"/>
        <w:ind w:left="7" w:right="0" w:hanging="10"/>
        <w:jc w:val="left"/>
      </w:pPr>
      <w:r>
        <w:rPr>
          <w:b/>
          <w:bCs/>
          <w:sz w:val="32"/>
          <w:szCs w:val="32"/>
          <w:rtl/>
        </w:rPr>
        <w:t xml:space="preserve">الكلمات المفتاحية:  </w:t>
      </w:r>
    </w:p>
    <w:p w14:paraId="5C121A0F" w14:textId="77777777" w:rsidR="005850DB" w:rsidRDefault="00000000">
      <w:pPr>
        <w:spacing w:after="2" w:line="259" w:lineRule="auto"/>
        <w:ind w:left="12" w:right="0" w:hanging="10"/>
        <w:jc w:val="left"/>
      </w:pPr>
      <w:r>
        <w:rPr>
          <w:szCs w:val="28"/>
          <w:rtl/>
        </w:rPr>
        <w:t xml:space="preserve">إدارة المخاطر | صناعة المضخات | إدارة مشاريع المملكة | نجاح المشاريع | الصناعات الهندسي ة </w:t>
      </w:r>
    </w:p>
    <w:p w14:paraId="3D7EA943" w14:textId="77777777" w:rsidR="005850DB" w:rsidRDefault="00000000">
      <w:pPr>
        <w:bidi w:val="0"/>
        <w:spacing w:after="0" w:line="259" w:lineRule="auto"/>
        <w:ind w:left="0" w:right="75" w:firstLine="0"/>
      </w:pPr>
      <w:r>
        <w:rPr>
          <w:b/>
          <w:sz w:val="40"/>
        </w:rPr>
        <w:t xml:space="preserve"> </w:t>
      </w:r>
    </w:p>
    <w:p w14:paraId="3F3033D3" w14:textId="77777777" w:rsidR="005850DB" w:rsidRDefault="00000000">
      <w:pPr>
        <w:pStyle w:val="Heading1"/>
        <w:ind w:right="20"/>
        <w:jc w:val="center"/>
      </w:pPr>
      <w:r>
        <w:rPr>
          <w:bCs/>
          <w:szCs w:val="40"/>
          <w:rtl/>
        </w:rPr>
        <w:t>شكر وتقدير</w:t>
      </w:r>
      <w:r>
        <w:rPr>
          <w:rFonts w:ascii="Times New Roman" w:eastAsia="Times New Roman" w:hAnsi="Times New Roman" w:cs="Times New Roman"/>
          <w:bCs/>
          <w:szCs w:val="40"/>
          <w:rtl/>
        </w:rPr>
        <w:t xml:space="preserve"> </w:t>
      </w:r>
    </w:p>
    <w:p w14:paraId="3741003E" w14:textId="77777777" w:rsidR="005850DB" w:rsidRDefault="00000000">
      <w:pPr>
        <w:bidi w:val="0"/>
        <w:spacing w:after="40" w:line="259" w:lineRule="auto"/>
        <w:ind w:left="0" w:right="60" w:firstLine="0"/>
      </w:pPr>
      <w:r>
        <w:rPr>
          <w:rFonts w:ascii="Times New Roman" w:eastAsia="Times New Roman" w:hAnsi="Times New Roman" w:cs="Times New Roman"/>
        </w:rPr>
        <w:t xml:space="preserve"> </w:t>
      </w:r>
    </w:p>
    <w:p w14:paraId="53B31527" w14:textId="77777777" w:rsidR="005850DB" w:rsidRDefault="00000000">
      <w:pPr>
        <w:spacing w:after="2" w:line="259" w:lineRule="auto"/>
        <w:ind w:left="12" w:right="0" w:hanging="10"/>
        <w:jc w:val="left"/>
      </w:pPr>
      <w:r>
        <w:rPr>
          <w:szCs w:val="28"/>
          <w:rtl/>
        </w:rPr>
        <w:t>الحمد لله رب العالمين، والصلاة والسلام على أشرف المرسلين سيدنا محمد وعلى آله وصحبه أجمعين</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183F4FB7"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4FE1CB17" w14:textId="77777777" w:rsidR="005850DB" w:rsidRDefault="00000000">
      <w:pPr>
        <w:ind w:right="253"/>
      </w:pPr>
      <w:r>
        <w:rPr>
          <w:szCs w:val="28"/>
          <w:rtl/>
        </w:rPr>
        <w:t>أتقدم بجزيل الشكر والامتنان إلى جامعة ميد أوشن وكلية الإدارة على إتاحة الفرصة لي لإكمال د ارستي العليا في هذا الصرح العلمي المتميز. كما أشكر جميع أعضاء هيئة التدريس الذين ساهموا في إث ارء معرفتي وتطوير مها ارتي البحثية والأكاديمية</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24390042" w14:textId="77777777" w:rsidR="005850DB" w:rsidRDefault="00000000">
      <w:pPr>
        <w:bidi w:val="0"/>
        <w:spacing w:after="38" w:line="259" w:lineRule="auto"/>
        <w:ind w:left="0" w:right="60" w:firstLine="0"/>
      </w:pPr>
      <w:r>
        <w:rPr>
          <w:rFonts w:ascii="Times New Roman" w:eastAsia="Times New Roman" w:hAnsi="Times New Roman" w:cs="Times New Roman"/>
        </w:rPr>
        <w:t xml:space="preserve"> </w:t>
      </w:r>
    </w:p>
    <w:p w14:paraId="39CBA1B8" w14:textId="77777777" w:rsidR="005850DB" w:rsidRDefault="00000000">
      <w:pPr>
        <w:ind w:right="27"/>
      </w:pPr>
      <w:r>
        <w:rPr>
          <w:szCs w:val="28"/>
          <w:rtl/>
        </w:rPr>
        <w:t>أتوجه بخالص الشكر والتقدير إلى المشرف الرئيسي الدكتور عبد الرحمن الفيصل، الذي لم يبخل علي بتوجيهاته القيمة وتصالحه المفيدة طوال فترة إعداد هذه الرسالة. كما أشكر المشرف المشارك الدكتور فايز ج ارد على دعمه المستمر وملاحظاته البناءة التي ساهمت في إث ارء محتوى هذه الد ارسة</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5407DD18"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4CB9C5F9" w14:textId="77777777" w:rsidR="005850DB" w:rsidRDefault="00000000">
      <w:pPr>
        <w:ind w:right="267"/>
      </w:pPr>
      <w:r>
        <w:rPr>
          <w:szCs w:val="28"/>
          <w:rtl/>
        </w:rPr>
        <w:lastRenderedPageBreak/>
        <w:t>أعبر عن امتناني العميق لجميع الخب ارء والمختصين في شركات صناعة المضخات في المملكة العربية السعودية الذين شاركوا في هذه الد ارسة وقدموا معلومات قيمة ساهمت في إنجاز هذا البحث، كما أشكر</w:t>
      </w:r>
      <w:r>
        <w:rPr>
          <w:rFonts w:ascii="Times New Roman" w:eastAsia="Times New Roman" w:hAnsi="Times New Roman" w:cs="Times New Roman"/>
          <w:szCs w:val="28"/>
          <w:rtl/>
        </w:rPr>
        <w:t xml:space="preserve"> </w:t>
      </w:r>
      <w:r>
        <w:rPr>
          <w:szCs w:val="28"/>
          <w:rtl/>
        </w:rPr>
        <w:t>جميع المشاركين في الاستبانة والمقابلات الذين خصصوا من وقتهم الثمين للمساهمة في هذه الد ارسة</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0DECBCA6" w14:textId="77777777" w:rsidR="005850DB" w:rsidRDefault="00000000">
      <w:pPr>
        <w:ind w:right="289"/>
      </w:pPr>
      <w:r>
        <w:rPr>
          <w:szCs w:val="28"/>
          <w:rtl/>
        </w:rPr>
        <w:t>لا يفوتني أن أتقدم بالشكر الجزيل إلى أسرتي الكريمة، وخاصة والدي ووالدتي، اللذين كانا مصدر دعم وتشجيع مستمر طوال مسيرتي التعليمية. كما أشكر زوجي وأطفالي على صبرهم وتفهمهم خلال فترة إعداد هذه الرسالة</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4E0DE1F4"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05A22995" w14:textId="77777777" w:rsidR="005850DB" w:rsidRDefault="00000000">
      <w:pPr>
        <w:ind w:right="332"/>
      </w:pPr>
      <w:r>
        <w:rPr>
          <w:szCs w:val="28"/>
          <w:rtl/>
        </w:rPr>
        <w:t>أخي اًر، أتوجه بالشكر إلى جميع الأصدقاء والزملاء الذين قدموا لي الدعم والمساندة، وإلى كل من ساهم بشكل مباشر أو غير مباشر في إنجاز هذا العمل</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3921E7BC"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64C3F062" w14:textId="77777777" w:rsidR="005850DB" w:rsidRDefault="00000000">
      <w:pPr>
        <w:bidi w:val="0"/>
        <w:spacing w:after="568" w:line="259" w:lineRule="auto"/>
        <w:ind w:left="0" w:right="60" w:firstLine="0"/>
      </w:pPr>
      <w:r>
        <w:rPr>
          <w:rFonts w:ascii="Times New Roman" w:eastAsia="Times New Roman" w:hAnsi="Times New Roman" w:cs="Times New Roman"/>
        </w:rPr>
        <w:t xml:space="preserve"> </w:t>
      </w:r>
    </w:p>
    <w:p w14:paraId="4BE9DEAE" w14:textId="77777777" w:rsidR="005850DB" w:rsidRDefault="00000000">
      <w:pPr>
        <w:tabs>
          <w:tab w:val="center" w:pos="4489"/>
        </w:tabs>
        <w:spacing w:after="40" w:line="259" w:lineRule="auto"/>
        <w:ind w:left="0" w:right="0" w:firstLine="0"/>
        <w:jc w:val="left"/>
      </w:pPr>
      <w:r>
        <w:rPr>
          <w:rFonts w:ascii="Times New Roman" w:eastAsia="Times New Roman" w:hAnsi="Times New Roman" w:cs="Times New Roman"/>
          <w:sz w:val="43"/>
          <w:szCs w:val="43"/>
          <w:vertAlign w:val="superscript"/>
          <w:rtl/>
        </w:rPr>
        <w:t xml:space="preserve"> </w:t>
      </w:r>
      <w:r>
        <w:rPr>
          <w:szCs w:val="28"/>
          <w:rtl/>
        </w:rPr>
        <w:tab/>
        <w:t>والله ولي التوفي ق</w:t>
      </w:r>
      <w:r>
        <w:rPr>
          <w:rFonts w:ascii="Times New Roman" w:eastAsia="Times New Roman" w:hAnsi="Times New Roman" w:cs="Times New Roman"/>
          <w:szCs w:val="28"/>
          <w:rtl/>
        </w:rPr>
        <w:t xml:space="preserve"> </w:t>
      </w:r>
    </w:p>
    <w:p w14:paraId="66109572" w14:textId="77777777" w:rsidR="005850DB" w:rsidRDefault="00000000">
      <w:pPr>
        <w:spacing w:after="0" w:line="259" w:lineRule="auto"/>
        <w:ind w:left="0" w:right="22" w:firstLine="0"/>
        <w:jc w:val="center"/>
      </w:pPr>
      <w:r>
        <w:rPr>
          <w:b/>
          <w:bCs/>
          <w:sz w:val="32"/>
          <w:szCs w:val="32"/>
          <w:rtl/>
        </w:rPr>
        <w:t xml:space="preserve">الباحثة جوهرة سعيد الثبيت </w:t>
      </w:r>
      <w:r>
        <w:rPr>
          <w:rFonts w:ascii="Times New Roman" w:eastAsia="Times New Roman" w:hAnsi="Times New Roman" w:cs="Times New Roman"/>
          <w:b/>
          <w:bCs/>
          <w:sz w:val="32"/>
          <w:szCs w:val="32"/>
          <w:rtl/>
        </w:rPr>
        <w:t xml:space="preserve"> </w:t>
      </w:r>
    </w:p>
    <w:p w14:paraId="25422742" w14:textId="77777777" w:rsidR="005850DB" w:rsidRDefault="00000000">
      <w:pPr>
        <w:bidi w:val="0"/>
        <w:spacing w:after="31" w:line="259" w:lineRule="auto"/>
        <w:ind w:left="0" w:right="193" w:firstLine="0"/>
        <w:jc w:val="center"/>
      </w:pPr>
      <w:r>
        <w:rPr>
          <w:rFonts w:ascii="Calibri" w:eastAsia="Calibri" w:hAnsi="Calibri" w:cs="Calibri"/>
          <w:sz w:val="22"/>
        </w:rPr>
        <w:t xml:space="preserve"> </w:t>
      </w:r>
    </w:p>
    <w:p w14:paraId="75E8D794"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00A34959"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1341831F"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5350010C"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3F4504F6"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55DC1A32" w14:textId="77777777" w:rsidR="005850DB" w:rsidRDefault="00000000">
      <w:pPr>
        <w:bidi w:val="0"/>
        <w:spacing w:after="0" w:line="259" w:lineRule="auto"/>
        <w:ind w:left="0" w:right="168" w:firstLine="0"/>
        <w:jc w:val="center"/>
      </w:pPr>
      <w:r>
        <w:rPr>
          <w:rFonts w:ascii="Times New Roman" w:eastAsia="Times New Roman" w:hAnsi="Times New Roman" w:cs="Times New Roman"/>
        </w:rPr>
        <w:t xml:space="preserve"> </w:t>
      </w:r>
    </w:p>
    <w:p w14:paraId="77E5DF48" w14:textId="77777777" w:rsidR="005850DB" w:rsidRDefault="00000000">
      <w:pPr>
        <w:pStyle w:val="Heading1"/>
        <w:ind w:right="3459"/>
      </w:pPr>
      <w:r>
        <w:rPr>
          <w:bCs/>
          <w:szCs w:val="40"/>
          <w:rtl/>
        </w:rPr>
        <w:t xml:space="preserve">فهرس المحتويات </w:t>
      </w:r>
      <w:r>
        <w:rPr>
          <w:rFonts w:ascii="Times New Roman" w:eastAsia="Times New Roman" w:hAnsi="Times New Roman" w:cs="Times New Roman"/>
          <w:bCs/>
          <w:szCs w:val="40"/>
          <w:rtl/>
        </w:rPr>
        <w:t xml:space="preserve"> </w:t>
      </w:r>
    </w:p>
    <w:p w14:paraId="48B3B54E"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tbl>
      <w:tblPr>
        <w:tblStyle w:val="TableGrid"/>
        <w:tblW w:w="9060" w:type="dxa"/>
        <w:tblInd w:w="22" w:type="dxa"/>
        <w:tblCellMar>
          <w:top w:w="1" w:type="dxa"/>
          <w:left w:w="115" w:type="dxa"/>
          <w:bottom w:w="0" w:type="dxa"/>
          <w:right w:w="102" w:type="dxa"/>
        </w:tblCellMar>
        <w:tblLook w:val="04A0" w:firstRow="1" w:lastRow="0" w:firstColumn="1" w:lastColumn="0" w:noHBand="0" w:noVBand="1"/>
      </w:tblPr>
      <w:tblGrid>
        <w:gridCol w:w="4531"/>
        <w:gridCol w:w="4529"/>
      </w:tblGrid>
      <w:tr w:rsidR="005850DB" w14:paraId="06D06118" w14:textId="77777777">
        <w:trPr>
          <w:trHeight w:val="574"/>
        </w:trPr>
        <w:tc>
          <w:tcPr>
            <w:tcW w:w="4531" w:type="dxa"/>
            <w:tcBorders>
              <w:top w:val="single" w:sz="4" w:space="0" w:color="000000"/>
              <w:left w:val="single" w:sz="4" w:space="0" w:color="000000"/>
              <w:bottom w:val="single" w:sz="4" w:space="0" w:color="000000"/>
              <w:right w:val="single" w:sz="4" w:space="0" w:color="000000"/>
            </w:tcBorders>
            <w:shd w:val="clear" w:color="auto" w:fill="8EAADB"/>
          </w:tcPr>
          <w:p w14:paraId="313F5DC2" w14:textId="77777777" w:rsidR="005850DB" w:rsidRDefault="00000000">
            <w:pPr>
              <w:spacing w:after="0" w:line="259" w:lineRule="auto"/>
              <w:ind w:left="14" w:right="0" w:firstLine="0"/>
              <w:jc w:val="center"/>
            </w:pPr>
            <w:r>
              <w:rPr>
                <w:b/>
                <w:bCs/>
                <w:szCs w:val="28"/>
                <w:rtl/>
              </w:rPr>
              <w:t xml:space="preserve">رقم الصفح ة </w:t>
            </w:r>
          </w:p>
        </w:tc>
        <w:tc>
          <w:tcPr>
            <w:tcW w:w="4529" w:type="dxa"/>
            <w:tcBorders>
              <w:top w:val="single" w:sz="4" w:space="0" w:color="000000"/>
              <w:left w:val="single" w:sz="4" w:space="0" w:color="000000"/>
              <w:bottom w:val="single" w:sz="4" w:space="0" w:color="000000"/>
              <w:right w:val="single" w:sz="4" w:space="0" w:color="000000"/>
            </w:tcBorders>
            <w:shd w:val="clear" w:color="auto" w:fill="8EAADB"/>
          </w:tcPr>
          <w:p w14:paraId="66FCAEF2" w14:textId="77777777" w:rsidR="005850DB" w:rsidRDefault="00000000">
            <w:pPr>
              <w:spacing w:after="0" w:line="259" w:lineRule="auto"/>
              <w:ind w:left="2" w:right="0" w:firstLine="0"/>
              <w:jc w:val="center"/>
            </w:pPr>
            <w:r>
              <w:rPr>
                <w:b/>
                <w:bCs/>
                <w:szCs w:val="28"/>
                <w:rtl/>
              </w:rPr>
              <w:t xml:space="preserve">الموضوع </w:t>
            </w:r>
          </w:p>
        </w:tc>
      </w:tr>
      <w:tr w:rsidR="005850DB" w14:paraId="18D06A78" w14:textId="77777777">
        <w:trPr>
          <w:trHeight w:val="580"/>
        </w:trPr>
        <w:tc>
          <w:tcPr>
            <w:tcW w:w="4531" w:type="dxa"/>
            <w:tcBorders>
              <w:top w:val="single" w:sz="4" w:space="0" w:color="000000"/>
              <w:left w:val="single" w:sz="4" w:space="0" w:color="000000"/>
              <w:bottom w:val="single" w:sz="4" w:space="0" w:color="000000"/>
              <w:right w:val="single" w:sz="4" w:space="0" w:color="000000"/>
            </w:tcBorders>
            <w:vAlign w:val="center"/>
          </w:tcPr>
          <w:p w14:paraId="03298DC5" w14:textId="77777777" w:rsidR="005850DB" w:rsidRDefault="00000000">
            <w:pPr>
              <w:bidi w:val="0"/>
              <w:spacing w:after="0" w:line="259" w:lineRule="auto"/>
              <w:ind w:left="0" w:right="155"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i</w:t>
            </w:r>
          </w:p>
        </w:tc>
        <w:tc>
          <w:tcPr>
            <w:tcW w:w="4529" w:type="dxa"/>
            <w:tcBorders>
              <w:top w:val="single" w:sz="4" w:space="0" w:color="000000"/>
              <w:left w:val="single" w:sz="4" w:space="0" w:color="000000"/>
              <w:bottom w:val="single" w:sz="4" w:space="0" w:color="000000"/>
              <w:right w:val="single" w:sz="4" w:space="0" w:color="000000"/>
            </w:tcBorders>
          </w:tcPr>
          <w:p w14:paraId="6C306CF2" w14:textId="77777777" w:rsidR="005850DB" w:rsidRDefault="00000000">
            <w:pPr>
              <w:spacing w:after="0" w:line="259" w:lineRule="auto"/>
              <w:ind w:left="0" w:right="0" w:firstLine="0"/>
              <w:jc w:val="left"/>
            </w:pPr>
            <w:r>
              <w:rPr>
                <w:szCs w:val="28"/>
                <w:rtl/>
              </w:rPr>
              <w:t xml:space="preserve">الغلاف </w:t>
            </w:r>
          </w:p>
        </w:tc>
      </w:tr>
      <w:tr w:rsidR="005850DB" w14:paraId="2AA207EA"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0E912D07" w14:textId="77777777" w:rsidR="005850DB" w:rsidRDefault="00000000">
            <w:pPr>
              <w:bidi w:val="0"/>
              <w:spacing w:after="0" w:line="259" w:lineRule="auto"/>
              <w:ind w:left="0" w:right="155"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ii</w:t>
            </w:r>
          </w:p>
        </w:tc>
        <w:tc>
          <w:tcPr>
            <w:tcW w:w="4529" w:type="dxa"/>
            <w:tcBorders>
              <w:top w:val="single" w:sz="4" w:space="0" w:color="000000"/>
              <w:left w:val="single" w:sz="4" w:space="0" w:color="000000"/>
              <w:bottom w:val="single" w:sz="4" w:space="0" w:color="000000"/>
              <w:right w:val="single" w:sz="4" w:space="0" w:color="000000"/>
            </w:tcBorders>
          </w:tcPr>
          <w:p w14:paraId="72791831" w14:textId="77777777" w:rsidR="005850DB" w:rsidRDefault="00000000">
            <w:pPr>
              <w:spacing w:after="0" w:line="259" w:lineRule="auto"/>
              <w:ind w:left="2" w:right="0" w:firstLine="0"/>
              <w:jc w:val="left"/>
            </w:pPr>
            <w:r>
              <w:rPr>
                <w:szCs w:val="28"/>
                <w:rtl/>
              </w:rPr>
              <w:t xml:space="preserve">حقوق الطبع والنش ر </w:t>
            </w:r>
          </w:p>
        </w:tc>
      </w:tr>
      <w:tr w:rsidR="005850DB" w14:paraId="0EBFE79D"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25165614" w14:textId="77777777" w:rsidR="005850DB" w:rsidRDefault="00000000">
            <w:pPr>
              <w:bidi w:val="0"/>
              <w:spacing w:after="0" w:line="259" w:lineRule="auto"/>
              <w:ind w:left="0" w:right="150" w:firstLine="0"/>
              <w:jc w:val="center"/>
            </w:pPr>
            <w:r>
              <w:rPr>
                <w:rFonts w:ascii="Times New Roman" w:eastAsia="Times New Roman" w:hAnsi="Times New Roman" w:cs="Times New Roman"/>
              </w:rPr>
              <w:lastRenderedPageBreak/>
              <w:t xml:space="preserve"> </w:t>
            </w:r>
            <w:r>
              <w:rPr>
                <w:rFonts w:ascii="Times New Roman" w:eastAsia="Times New Roman" w:hAnsi="Times New Roman" w:cs="Times New Roman"/>
                <w:sz w:val="24"/>
              </w:rPr>
              <w:t>iii</w:t>
            </w:r>
          </w:p>
        </w:tc>
        <w:tc>
          <w:tcPr>
            <w:tcW w:w="4529" w:type="dxa"/>
            <w:tcBorders>
              <w:top w:val="single" w:sz="4" w:space="0" w:color="000000"/>
              <w:left w:val="single" w:sz="4" w:space="0" w:color="000000"/>
              <w:bottom w:val="single" w:sz="4" w:space="0" w:color="000000"/>
              <w:right w:val="single" w:sz="4" w:space="0" w:color="000000"/>
            </w:tcBorders>
          </w:tcPr>
          <w:p w14:paraId="64F10E56" w14:textId="77777777" w:rsidR="005850DB" w:rsidRDefault="00000000">
            <w:pPr>
              <w:spacing w:after="0" w:line="259" w:lineRule="auto"/>
              <w:ind w:left="2" w:right="0" w:firstLine="0"/>
              <w:jc w:val="left"/>
            </w:pPr>
            <w:r>
              <w:rPr>
                <w:szCs w:val="28"/>
                <w:rtl/>
              </w:rPr>
              <w:t xml:space="preserve">الملخ ص </w:t>
            </w:r>
          </w:p>
        </w:tc>
      </w:tr>
      <w:tr w:rsidR="005850DB" w14:paraId="7AD19AA4" w14:textId="77777777">
        <w:trPr>
          <w:trHeight w:val="578"/>
        </w:trPr>
        <w:tc>
          <w:tcPr>
            <w:tcW w:w="4531" w:type="dxa"/>
            <w:tcBorders>
              <w:top w:val="single" w:sz="4" w:space="0" w:color="000000"/>
              <w:left w:val="single" w:sz="4" w:space="0" w:color="000000"/>
              <w:bottom w:val="single" w:sz="4" w:space="0" w:color="000000"/>
              <w:right w:val="single" w:sz="4" w:space="0" w:color="000000"/>
            </w:tcBorders>
            <w:vAlign w:val="center"/>
          </w:tcPr>
          <w:p w14:paraId="73253ADD" w14:textId="77777777" w:rsidR="005850DB" w:rsidRDefault="00000000">
            <w:pPr>
              <w:bidi w:val="0"/>
              <w:spacing w:after="0" w:line="259" w:lineRule="auto"/>
              <w:ind w:left="0" w:right="154"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iv</w:t>
            </w:r>
          </w:p>
        </w:tc>
        <w:tc>
          <w:tcPr>
            <w:tcW w:w="4529" w:type="dxa"/>
            <w:tcBorders>
              <w:top w:val="single" w:sz="4" w:space="0" w:color="000000"/>
              <w:left w:val="single" w:sz="4" w:space="0" w:color="000000"/>
              <w:bottom w:val="single" w:sz="4" w:space="0" w:color="000000"/>
              <w:right w:val="single" w:sz="4" w:space="0" w:color="000000"/>
            </w:tcBorders>
          </w:tcPr>
          <w:p w14:paraId="76501F67" w14:textId="77777777" w:rsidR="005850DB" w:rsidRDefault="00000000">
            <w:pPr>
              <w:spacing w:after="0" w:line="259" w:lineRule="auto"/>
              <w:ind w:left="2" w:right="0" w:firstLine="0"/>
              <w:jc w:val="left"/>
            </w:pPr>
            <w:r>
              <w:rPr>
                <w:szCs w:val="28"/>
                <w:rtl/>
              </w:rPr>
              <w:t xml:space="preserve">شكر وتقدي ر </w:t>
            </w:r>
          </w:p>
        </w:tc>
      </w:tr>
      <w:tr w:rsidR="005850DB" w14:paraId="0BC3F996" w14:textId="77777777">
        <w:trPr>
          <w:trHeight w:val="577"/>
        </w:trPr>
        <w:tc>
          <w:tcPr>
            <w:tcW w:w="4531" w:type="dxa"/>
            <w:tcBorders>
              <w:top w:val="single" w:sz="4" w:space="0" w:color="000000"/>
              <w:left w:val="single" w:sz="4" w:space="0" w:color="000000"/>
              <w:bottom w:val="single" w:sz="4" w:space="0" w:color="000000"/>
              <w:right w:val="single" w:sz="4" w:space="0" w:color="000000"/>
            </w:tcBorders>
            <w:vAlign w:val="center"/>
          </w:tcPr>
          <w:p w14:paraId="562678E4" w14:textId="77777777" w:rsidR="005850DB" w:rsidRDefault="00000000">
            <w:pPr>
              <w:bidi w:val="0"/>
              <w:spacing w:after="0" w:line="259" w:lineRule="auto"/>
              <w:ind w:left="0" w:right="154"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v</w:t>
            </w:r>
          </w:p>
        </w:tc>
        <w:tc>
          <w:tcPr>
            <w:tcW w:w="4529" w:type="dxa"/>
            <w:tcBorders>
              <w:top w:val="single" w:sz="4" w:space="0" w:color="000000"/>
              <w:left w:val="single" w:sz="4" w:space="0" w:color="000000"/>
              <w:bottom w:val="single" w:sz="4" w:space="0" w:color="000000"/>
              <w:right w:val="single" w:sz="4" w:space="0" w:color="000000"/>
            </w:tcBorders>
          </w:tcPr>
          <w:p w14:paraId="1CF8B1A6" w14:textId="77777777" w:rsidR="005850DB" w:rsidRDefault="00000000">
            <w:pPr>
              <w:spacing w:after="0" w:line="259" w:lineRule="auto"/>
              <w:ind w:left="0" w:right="0" w:firstLine="0"/>
              <w:jc w:val="left"/>
            </w:pPr>
            <w:r>
              <w:rPr>
                <w:szCs w:val="28"/>
                <w:rtl/>
              </w:rPr>
              <w:t xml:space="preserve">فهرس المحتويا ت </w:t>
            </w:r>
          </w:p>
        </w:tc>
      </w:tr>
      <w:tr w:rsidR="005850DB" w14:paraId="012092A0" w14:textId="77777777">
        <w:trPr>
          <w:trHeight w:val="578"/>
        </w:trPr>
        <w:tc>
          <w:tcPr>
            <w:tcW w:w="4531" w:type="dxa"/>
            <w:tcBorders>
              <w:top w:val="single" w:sz="4" w:space="0" w:color="000000"/>
              <w:left w:val="single" w:sz="4" w:space="0" w:color="000000"/>
              <w:bottom w:val="single" w:sz="4" w:space="0" w:color="000000"/>
              <w:right w:val="single" w:sz="4" w:space="0" w:color="000000"/>
            </w:tcBorders>
            <w:vAlign w:val="center"/>
          </w:tcPr>
          <w:p w14:paraId="784A9F85" w14:textId="77777777" w:rsidR="005850DB" w:rsidRDefault="00000000">
            <w:pPr>
              <w:bidi w:val="0"/>
              <w:spacing w:after="0" w:line="259" w:lineRule="auto"/>
              <w:ind w:left="0" w:right="150"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vi – vii</w:t>
            </w:r>
          </w:p>
        </w:tc>
        <w:tc>
          <w:tcPr>
            <w:tcW w:w="4529" w:type="dxa"/>
            <w:tcBorders>
              <w:top w:val="single" w:sz="4" w:space="0" w:color="000000"/>
              <w:left w:val="single" w:sz="4" w:space="0" w:color="000000"/>
              <w:bottom w:val="single" w:sz="4" w:space="0" w:color="000000"/>
              <w:right w:val="single" w:sz="4" w:space="0" w:color="000000"/>
            </w:tcBorders>
          </w:tcPr>
          <w:p w14:paraId="61D69BB6" w14:textId="77777777" w:rsidR="005850DB" w:rsidRDefault="00000000">
            <w:pPr>
              <w:spacing w:after="0" w:line="259" w:lineRule="auto"/>
              <w:ind w:left="0" w:right="0" w:firstLine="0"/>
              <w:jc w:val="left"/>
            </w:pPr>
            <w:r>
              <w:rPr>
                <w:szCs w:val="28"/>
                <w:rtl/>
              </w:rPr>
              <w:t xml:space="preserve">فهرس الفصول </w:t>
            </w:r>
          </w:p>
        </w:tc>
      </w:tr>
      <w:tr w:rsidR="005850DB" w14:paraId="4452FA5E"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59A5C11E" w14:textId="77777777" w:rsidR="005850DB" w:rsidRDefault="00000000">
            <w:pPr>
              <w:bidi w:val="0"/>
              <w:spacing w:after="0" w:line="259" w:lineRule="auto"/>
              <w:ind w:left="0" w:right="149"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viii – ix</w:t>
            </w:r>
          </w:p>
        </w:tc>
        <w:tc>
          <w:tcPr>
            <w:tcW w:w="4529" w:type="dxa"/>
            <w:tcBorders>
              <w:top w:val="single" w:sz="4" w:space="0" w:color="000000"/>
              <w:left w:val="single" w:sz="4" w:space="0" w:color="000000"/>
              <w:bottom w:val="single" w:sz="4" w:space="0" w:color="000000"/>
              <w:right w:val="single" w:sz="4" w:space="0" w:color="000000"/>
            </w:tcBorders>
          </w:tcPr>
          <w:p w14:paraId="46EE7032" w14:textId="77777777" w:rsidR="005850DB" w:rsidRDefault="00000000">
            <w:pPr>
              <w:spacing w:after="0" w:line="259" w:lineRule="auto"/>
              <w:ind w:left="2" w:right="0" w:firstLine="0"/>
              <w:jc w:val="left"/>
            </w:pPr>
            <w:r>
              <w:rPr>
                <w:szCs w:val="28"/>
                <w:rtl/>
              </w:rPr>
              <w:t xml:space="preserve">قائمة المصطلحا ت </w:t>
            </w:r>
          </w:p>
        </w:tc>
      </w:tr>
      <w:tr w:rsidR="005850DB" w14:paraId="569F26B7" w14:textId="77777777">
        <w:trPr>
          <w:trHeight w:val="578"/>
        </w:trPr>
        <w:tc>
          <w:tcPr>
            <w:tcW w:w="4531" w:type="dxa"/>
            <w:tcBorders>
              <w:top w:val="single" w:sz="4" w:space="0" w:color="000000"/>
              <w:left w:val="single" w:sz="4" w:space="0" w:color="000000"/>
              <w:bottom w:val="single" w:sz="4" w:space="0" w:color="000000"/>
              <w:right w:val="single" w:sz="4" w:space="0" w:color="000000"/>
            </w:tcBorders>
            <w:vAlign w:val="center"/>
          </w:tcPr>
          <w:p w14:paraId="3E5BB793" w14:textId="77777777" w:rsidR="005850DB" w:rsidRDefault="00000000">
            <w:pPr>
              <w:bidi w:val="0"/>
              <w:spacing w:after="0" w:line="259" w:lineRule="auto"/>
              <w:ind w:left="0" w:right="155"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x – xi</w:t>
            </w:r>
          </w:p>
        </w:tc>
        <w:tc>
          <w:tcPr>
            <w:tcW w:w="4529" w:type="dxa"/>
            <w:tcBorders>
              <w:top w:val="single" w:sz="4" w:space="0" w:color="000000"/>
              <w:left w:val="single" w:sz="4" w:space="0" w:color="000000"/>
              <w:bottom w:val="single" w:sz="4" w:space="0" w:color="000000"/>
              <w:right w:val="single" w:sz="4" w:space="0" w:color="000000"/>
            </w:tcBorders>
          </w:tcPr>
          <w:p w14:paraId="5F9E4A8F" w14:textId="77777777" w:rsidR="005850DB" w:rsidRDefault="00000000">
            <w:pPr>
              <w:spacing w:after="0" w:line="259" w:lineRule="auto"/>
              <w:ind w:left="2" w:right="0" w:firstLine="0"/>
              <w:jc w:val="left"/>
            </w:pPr>
            <w:r>
              <w:rPr>
                <w:szCs w:val="28"/>
                <w:rtl/>
              </w:rPr>
              <w:t xml:space="preserve">قائمة الأختصا ار ت </w:t>
            </w:r>
          </w:p>
        </w:tc>
      </w:tr>
      <w:tr w:rsidR="005850DB" w14:paraId="4234043B"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329D215C" w14:textId="77777777" w:rsidR="005850DB" w:rsidRDefault="00000000">
            <w:pPr>
              <w:bidi w:val="0"/>
              <w:spacing w:after="0" w:line="259" w:lineRule="auto"/>
              <w:ind w:left="0" w:right="154"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1 – 69</w:t>
            </w:r>
          </w:p>
        </w:tc>
        <w:tc>
          <w:tcPr>
            <w:tcW w:w="4529" w:type="dxa"/>
            <w:tcBorders>
              <w:top w:val="single" w:sz="4" w:space="0" w:color="000000"/>
              <w:left w:val="single" w:sz="4" w:space="0" w:color="000000"/>
              <w:bottom w:val="single" w:sz="4" w:space="0" w:color="000000"/>
              <w:right w:val="single" w:sz="4" w:space="0" w:color="000000"/>
            </w:tcBorders>
          </w:tcPr>
          <w:p w14:paraId="511588F5" w14:textId="77777777" w:rsidR="005850DB" w:rsidRDefault="00000000">
            <w:pPr>
              <w:spacing w:after="0" w:line="259" w:lineRule="auto"/>
              <w:ind w:right="0" w:firstLine="0"/>
              <w:jc w:val="left"/>
            </w:pPr>
            <w:r>
              <w:rPr>
                <w:szCs w:val="28"/>
                <w:rtl/>
              </w:rPr>
              <w:t xml:space="preserve">مشروع التخر ج </w:t>
            </w:r>
          </w:p>
        </w:tc>
      </w:tr>
      <w:tr w:rsidR="005850DB" w14:paraId="6AF176A3"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6093347B" w14:textId="77777777" w:rsidR="005850DB" w:rsidRDefault="00000000">
            <w:pPr>
              <w:bidi w:val="0"/>
              <w:spacing w:after="0" w:line="259" w:lineRule="auto"/>
              <w:ind w:left="0" w:right="151" w:firstLine="0"/>
              <w:jc w:val="center"/>
            </w:pPr>
            <w:r>
              <w:rPr>
                <w:rFonts w:ascii="Times New Roman" w:eastAsia="Times New Roman" w:hAnsi="Times New Roman" w:cs="Times New Roman"/>
              </w:rPr>
              <w:t xml:space="preserve"> 70</w:t>
            </w:r>
          </w:p>
        </w:tc>
        <w:tc>
          <w:tcPr>
            <w:tcW w:w="4529" w:type="dxa"/>
            <w:tcBorders>
              <w:top w:val="single" w:sz="4" w:space="0" w:color="000000"/>
              <w:left w:val="single" w:sz="4" w:space="0" w:color="000000"/>
              <w:bottom w:val="single" w:sz="4" w:space="0" w:color="000000"/>
              <w:right w:val="single" w:sz="4" w:space="0" w:color="000000"/>
            </w:tcBorders>
          </w:tcPr>
          <w:p w14:paraId="0A5145DA" w14:textId="77777777" w:rsidR="005850DB" w:rsidRDefault="00000000">
            <w:pPr>
              <w:spacing w:after="0" w:line="259" w:lineRule="auto"/>
              <w:ind w:right="0" w:firstLine="0"/>
              <w:jc w:val="left"/>
            </w:pPr>
            <w:r>
              <w:rPr>
                <w:szCs w:val="28"/>
                <w:rtl/>
              </w:rPr>
              <w:t xml:space="preserve">الخاتم ة </w:t>
            </w:r>
          </w:p>
        </w:tc>
      </w:tr>
      <w:tr w:rsidR="005850DB" w14:paraId="59A2CCB0" w14:textId="77777777">
        <w:trPr>
          <w:trHeight w:val="579"/>
        </w:trPr>
        <w:tc>
          <w:tcPr>
            <w:tcW w:w="4531" w:type="dxa"/>
            <w:tcBorders>
              <w:top w:val="single" w:sz="4" w:space="0" w:color="000000"/>
              <w:left w:val="single" w:sz="4" w:space="0" w:color="000000"/>
              <w:bottom w:val="single" w:sz="4" w:space="0" w:color="000000"/>
              <w:right w:val="single" w:sz="4" w:space="0" w:color="000000"/>
            </w:tcBorders>
            <w:vAlign w:val="center"/>
          </w:tcPr>
          <w:p w14:paraId="4C613F21" w14:textId="77777777" w:rsidR="005850DB" w:rsidRDefault="00000000">
            <w:pPr>
              <w:bidi w:val="0"/>
              <w:spacing w:after="0" w:line="259" w:lineRule="auto"/>
              <w:ind w:left="0" w:right="155"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xii</w:t>
            </w:r>
          </w:p>
        </w:tc>
        <w:tc>
          <w:tcPr>
            <w:tcW w:w="4529" w:type="dxa"/>
            <w:tcBorders>
              <w:top w:val="single" w:sz="4" w:space="0" w:color="000000"/>
              <w:left w:val="single" w:sz="4" w:space="0" w:color="000000"/>
              <w:bottom w:val="single" w:sz="4" w:space="0" w:color="000000"/>
              <w:right w:val="single" w:sz="4" w:space="0" w:color="000000"/>
            </w:tcBorders>
          </w:tcPr>
          <w:p w14:paraId="49BFAED4" w14:textId="77777777" w:rsidR="005850DB" w:rsidRDefault="00000000">
            <w:pPr>
              <w:spacing w:after="0" w:line="259" w:lineRule="auto"/>
              <w:ind w:left="2" w:right="0" w:firstLine="0"/>
              <w:jc w:val="left"/>
            </w:pPr>
            <w:r>
              <w:rPr>
                <w:szCs w:val="28"/>
                <w:rtl/>
              </w:rPr>
              <w:t xml:space="preserve">شكر وتقدير )إنجليزي( </w:t>
            </w:r>
          </w:p>
        </w:tc>
      </w:tr>
      <w:tr w:rsidR="005850DB" w14:paraId="19A955C7"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55935553" w14:textId="77777777" w:rsidR="005850DB" w:rsidRDefault="00000000">
            <w:pPr>
              <w:bidi w:val="0"/>
              <w:spacing w:after="0" w:line="259" w:lineRule="auto"/>
              <w:ind w:left="0" w:right="150"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xiii</w:t>
            </w:r>
          </w:p>
        </w:tc>
        <w:tc>
          <w:tcPr>
            <w:tcW w:w="4529" w:type="dxa"/>
            <w:tcBorders>
              <w:top w:val="single" w:sz="4" w:space="0" w:color="000000"/>
              <w:left w:val="single" w:sz="4" w:space="0" w:color="000000"/>
              <w:bottom w:val="single" w:sz="4" w:space="0" w:color="000000"/>
              <w:right w:val="single" w:sz="4" w:space="0" w:color="000000"/>
            </w:tcBorders>
          </w:tcPr>
          <w:p w14:paraId="103D45BE" w14:textId="77777777" w:rsidR="005850DB" w:rsidRDefault="00000000">
            <w:pPr>
              <w:spacing w:after="0" w:line="259" w:lineRule="auto"/>
              <w:ind w:left="2" w:right="0" w:firstLine="0"/>
              <w:jc w:val="left"/>
            </w:pPr>
            <w:r>
              <w:rPr>
                <w:szCs w:val="28"/>
                <w:rtl/>
              </w:rPr>
              <w:t xml:space="preserve">الملخ ص )إنجليزي( </w:t>
            </w:r>
          </w:p>
        </w:tc>
      </w:tr>
      <w:tr w:rsidR="005850DB" w14:paraId="6B9CF0CB" w14:textId="77777777">
        <w:trPr>
          <w:trHeight w:val="578"/>
        </w:trPr>
        <w:tc>
          <w:tcPr>
            <w:tcW w:w="4531" w:type="dxa"/>
            <w:tcBorders>
              <w:top w:val="single" w:sz="4" w:space="0" w:color="000000"/>
              <w:left w:val="single" w:sz="4" w:space="0" w:color="000000"/>
              <w:bottom w:val="single" w:sz="4" w:space="0" w:color="000000"/>
              <w:right w:val="single" w:sz="4" w:space="0" w:color="000000"/>
            </w:tcBorders>
            <w:vAlign w:val="center"/>
          </w:tcPr>
          <w:p w14:paraId="104C7F46" w14:textId="77777777" w:rsidR="005850DB" w:rsidRDefault="00000000">
            <w:pPr>
              <w:bidi w:val="0"/>
              <w:spacing w:after="0" w:line="259" w:lineRule="auto"/>
              <w:ind w:left="0" w:right="155"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xiv</w:t>
            </w:r>
          </w:p>
        </w:tc>
        <w:tc>
          <w:tcPr>
            <w:tcW w:w="4529" w:type="dxa"/>
            <w:tcBorders>
              <w:top w:val="single" w:sz="4" w:space="0" w:color="000000"/>
              <w:left w:val="single" w:sz="4" w:space="0" w:color="000000"/>
              <w:bottom w:val="single" w:sz="4" w:space="0" w:color="000000"/>
              <w:right w:val="single" w:sz="4" w:space="0" w:color="000000"/>
            </w:tcBorders>
          </w:tcPr>
          <w:p w14:paraId="61BB5AF2" w14:textId="77777777" w:rsidR="005850DB" w:rsidRDefault="00000000">
            <w:pPr>
              <w:spacing w:after="0" w:line="259" w:lineRule="auto"/>
              <w:ind w:left="2" w:right="0" w:firstLine="0"/>
              <w:jc w:val="left"/>
            </w:pPr>
            <w:r>
              <w:rPr>
                <w:szCs w:val="28"/>
                <w:rtl/>
              </w:rPr>
              <w:t xml:space="preserve">حقوق الطبع والنشر )إنجليزي( </w:t>
            </w:r>
          </w:p>
        </w:tc>
      </w:tr>
      <w:tr w:rsidR="005850DB" w14:paraId="69181BBC" w14:textId="77777777">
        <w:trPr>
          <w:trHeight w:val="576"/>
        </w:trPr>
        <w:tc>
          <w:tcPr>
            <w:tcW w:w="4531" w:type="dxa"/>
            <w:tcBorders>
              <w:top w:val="single" w:sz="4" w:space="0" w:color="000000"/>
              <w:left w:val="single" w:sz="4" w:space="0" w:color="000000"/>
              <w:bottom w:val="single" w:sz="4" w:space="0" w:color="000000"/>
              <w:right w:val="single" w:sz="4" w:space="0" w:color="000000"/>
            </w:tcBorders>
            <w:vAlign w:val="center"/>
          </w:tcPr>
          <w:p w14:paraId="7ECE97C0" w14:textId="77777777" w:rsidR="005850DB" w:rsidRDefault="00000000">
            <w:pPr>
              <w:bidi w:val="0"/>
              <w:spacing w:after="0" w:line="259" w:lineRule="auto"/>
              <w:ind w:left="0" w:right="154" w:firstLine="0"/>
              <w:jc w:val="center"/>
            </w:pPr>
            <w:r>
              <w:rPr>
                <w:rFonts w:ascii="Times New Roman" w:eastAsia="Times New Roman" w:hAnsi="Times New Roman" w:cs="Times New Roman"/>
              </w:rPr>
              <w:t xml:space="preserve"> </w:t>
            </w:r>
            <w:r>
              <w:rPr>
                <w:rFonts w:ascii="Times New Roman" w:eastAsia="Times New Roman" w:hAnsi="Times New Roman" w:cs="Times New Roman"/>
                <w:sz w:val="24"/>
              </w:rPr>
              <w:t>xv</w:t>
            </w:r>
          </w:p>
        </w:tc>
        <w:tc>
          <w:tcPr>
            <w:tcW w:w="4529" w:type="dxa"/>
            <w:tcBorders>
              <w:top w:val="single" w:sz="4" w:space="0" w:color="000000"/>
              <w:left w:val="single" w:sz="4" w:space="0" w:color="000000"/>
              <w:bottom w:val="single" w:sz="4" w:space="0" w:color="000000"/>
              <w:right w:val="single" w:sz="4" w:space="0" w:color="000000"/>
            </w:tcBorders>
          </w:tcPr>
          <w:p w14:paraId="56A09244" w14:textId="77777777" w:rsidR="005850DB" w:rsidRDefault="00000000">
            <w:pPr>
              <w:spacing w:after="0" w:line="259" w:lineRule="auto"/>
              <w:ind w:left="0" w:right="0" w:firstLine="0"/>
              <w:jc w:val="left"/>
            </w:pPr>
            <w:r>
              <w:rPr>
                <w:szCs w:val="28"/>
                <w:rtl/>
              </w:rPr>
              <w:t xml:space="preserve">الغلاف )إنجليزي( </w:t>
            </w:r>
          </w:p>
        </w:tc>
      </w:tr>
    </w:tbl>
    <w:p w14:paraId="5CECDDC0" w14:textId="77777777" w:rsidR="005850DB" w:rsidRDefault="00000000">
      <w:pPr>
        <w:bidi w:val="0"/>
        <w:spacing w:after="37" w:line="259" w:lineRule="auto"/>
        <w:ind w:left="0" w:right="60" w:firstLine="0"/>
      </w:pPr>
      <w:r>
        <w:rPr>
          <w:rFonts w:ascii="Times New Roman" w:eastAsia="Times New Roman" w:hAnsi="Times New Roman" w:cs="Times New Roman"/>
        </w:rPr>
        <w:t xml:space="preserve"> </w:t>
      </w:r>
    </w:p>
    <w:p w14:paraId="06040285" w14:textId="77777777" w:rsidR="005850DB" w:rsidRDefault="00000000">
      <w:pPr>
        <w:bidi w:val="0"/>
        <w:spacing w:after="0" w:line="259" w:lineRule="auto"/>
        <w:ind w:left="0" w:right="48" w:firstLine="0"/>
      </w:pPr>
      <w:r>
        <w:t xml:space="preserve"> </w:t>
      </w:r>
    </w:p>
    <w:p w14:paraId="62E14DC7" w14:textId="77777777" w:rsidR="005850DB" w:rsidRDefault="00000000">
      <w:pPr>
        <w:bidi w:val="0"/>
        <w:spacing w:after="0" w:line="259" w:lineRule="auto"/>
        <w:ind w:left="0" w:right="48" w:firstLine="0"/>
      </w:pPr>
      <w:r>
        <w:t xml:space="preserve"> </w:t>
      </w:r>
    </w:p>
    <w:p w14:paraId="7871C499" w14:textId="77777777" w:rsidR="005850DB" w:rsidRDefault="00000000">
      <w:pPr>
        <w:bidi w:val="0"/>
        <w:spacing w:after="38" w:line="259" w:lineRule="auto"/>
        <w:ind w:left="0" w:right="60" w:firstLine="0"/>
      </w:pPr>
      <w:r>
        <w:rPr>
          <w:rFonts w:ascii="Times New Roman" w:eastAsia="Times New Roman" w:hAnsi="Times New Roman" w:cs="Times New Roman"/>
        </w:rPr>
        <w:t xml:space="preserve"> </w:t>
      </w:r>
    </w:p>
    <w:p w14:paraId="3F9024B5" w14:textId="77777777" w:rsidR="005850DB" w:rsidRDefault="00000000">
      <w:pPr>
        <w:bidi w:val="0"/>
        <w:spacing w:after="0" w:line="259" w:lineRule="auto"/>
        <w:ind w:left="0" w:right="48" w:firstLine="0"/>
      </w:pPr>
      <w:r>
        <w:t xml:space="preserve"> </w:t>
      </w:r>
    </w:p>
    <w:p w14:paraId="17DD08CD"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15A75A2C"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503AF837"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01513299"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230EB82E"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06BC70B7" w14:textId="77777777" w:rsidR="005850DB" w:rsidRDefault="00000000">
      <w:pPr>
        <w:bidi w:val="0"/>
        <w:spacing w:after="40" w:line="259" w:lineRule="auto"/>
        <w:ind w:left="0" w:right="60" w:firstLine="0"/>
      </w:pPr>
      <w:r>
        <w:rPr>
          <w:rFonts w:ascii="Times New Roman" w:eastAsia="Times New Roman" w:hAnsi="Times New Roman" w:cs="Times New Roman"/>
        </w:rPr>
        <w:t xml:space="preserve"> </w:t>
      </w:r>
    </w:p>
    <w:p w14:paraId="063CDDB6" w14:textId="77777777" w:rsidR="005850DB" w:rsidRDefault="00000000">
      <w:pPr>
        <w:bidi w:val="0"/>
        <w:spacing w:after="0" w:line="259" w:lineRule="auto"/>
        <w:ind w:left="0" w:right="48" w:firstLine="0"/>
      </w:pPr>
      <w:r>
        <w:t xml:space="preserve"> </w:t>
      </w:r>
    </w:p>
    <w:p w14:paraId="681233F1" w14:textId="77777777" w:rsidR="005850DB" w:rsidRDefault="00000000">
      <w:pPr>
        <w:bidi w:val="0"/>
        <w:spacing w:after="0" w:line="259" w:lineRule="auto"/>
        <w:ind w:left="0" w:right="48" w:firstLine="0"/>
      </w:pPr>
      <w:r>
        <w:t xml:space="preserve"> </w:t>
      </w:r>
    </w:p>
    <w:p w14:paraId="1D5F9C2D" w14:textId="77777777" w:rsidR="005850DB" w:rsidRDefault="00000000">
      <w:pPr>
        <w:bidi w:val="0"/>
        <w:spacing w:after="0" w:line="259" w:lineRule="auto"/>
        <w:ind w:left="4357" w:right="0" w:firstLine="0"/>
        <w:jc w:val="left"/>
      </w:pPr>
      <w:r>
        <w:rPr>
          <w:b/>
          <w:sz w:val="40"/>
        </w:rPr>
        <w:t xml:space="preserve"> </w:t>
      </w:r>
    </w:p>
    <w:p w14:paraId="77F730A1" w14:textId="77777777" w:rsidR="005850DB" w:rsidRDefault="00000000">
      <w:pPr>
        <w:pStyle w:val="Heading1"/>
        <w:ind w:right="4069"/>
      </w:pPr>
      <w:r>
        <w:rPr>
          <w:bCs/>
          <w:szCs w:val="40"/>
          <w:rtl/>
        </w:rPr>
        <w:lastRenderedPageBreak/>
        <w:t xml:space="preserve">الفصول </w:t>
      </w:r>
    </w:p>
    <w:p w14:paraId="611178DD" w14:textId="77777777" w:rsidR="005850DB" w:rsidRDefault="00000000">
      <w:pPr>
        <w:bidi w:val="0"/>
        <w:spacing w:after="0" w:line="259" w:lineRule="auto"/>
        <w:ind w:left="4429" w:right="0" w:firstLine="0"/>
        <w:jc w:val="left"/>
      </w:pPr>
      <w:r>
        <w:rPr>
          <w:rFonts w:ascii="Times New Roman" w:eastAsia="Times New Roman" w:hAnsi="Times New Roman" w:cs="Times New Roman"/>
        </w:rPr>
        <w:t xml:space="preserve"> </w:t>
      </w:r>
    </w:p>
    <w:tbl>
      <w:tblPr>
        <w:tblStyle w:val="TableGrid"/>
        <w:tblW w:w="9032" w:type="dxa"/>
        <w:tblInd w:w="43" w:type="dxa"/>
        <w:tblCellMar>
          <w:top w:w="33" w:type="dxa"/>
          <w:left w:w="0" w:type="dxa"/>
          <w:bottom w:w="0" w:type="dxa"/>
          <w:right w:w="38" w:type="dxa"/>
        </w:tblCellMar>
        <w:tblLook w:val="04A0" w:firstRow="1" w:lastRow="0" w:firstColumn="1" w:lastColumn="0" w:noHBand="0" w:noVBand="1"/>
      </w:tblPr>
      <w:tblGrid>
        <w:gridCol w:w="1226"/>
        <w:gridCol w:w="5983"/>
        <w:gridCol w:w="1823"/>
      </w:tblGrid>
      <w:tr w:rsidR="005850DB" w14:paraId="3F036F24" w14:textId="77777777">
        <w:trPr>
          <w:trHeight w:val="671"/>
        </w:trPr>
        <w:tc>
          <w:tcPr>
            <w:tcW w:w="1226" w:type="dxa"/>
            <w:tcBorders>
              <w:top w:val="single" w:sz="6" w:space="0" w:color="8EAADB"/>
              <w:left w:val="double" w:sz="4" w:space="0" w:color="000000"/>
              <w:bottom w:val="single" w:sz="6" w:space="0" w:color="D0CECE"/>
              <w:right w:val="double" w:sz="4" w:space="0" w:color="000000"/>
            </w:tcBorders>
            <w:shd w:val="clear" w:color="auto" w:fill="8EAADB"/>
          </w:tcPr>
          <w:p w14:paraId="7656912C" w14:textId="77777777" w:rsidR="005850DB" w:rsidRDefault="00000000">
            <w:pPr>
              <w:spacing w:after="0" w:line="259" w:lineRule="auto"/>
              <w:ind w:left="0" w:right="164" w:firstLine="0"/>
            </w:pPr>
            <w:r>
              <w:rPr>
                <w:b/>
                <w:bCs/>
                <w:sz w:val="36"/>
                <w:szCs w:val="36"/>
                <w:rtl/>
              </w:rPr>
              <w:t>الصفح ة</w:t>
            </w:r>
            <w:r>
              <w:rPr>
                <w:rFonts w:ascii="Times New Roman" w:eastAsia="Times New Roman" w:hAnsi="Times New Roman" w:cs="Times New Roman"/>
                <w:b/>
                <w:bCs/>
                <w:sz w:val="36"/>
                <w:szCs w:val="36"/>
                <w:rtl/>
              </w:rPr>
              <w:t xml:space="preserve"> </w:t>
            </w:r>
          </w:p>
        </w:tc>
        <w:tc>
          <w:tcPr>
            <w:tcW w:w="5983" w:type="dxa"/>
            <w:tcBorders>
              <w:top w:val="single" w:sz="6" w:space="0" w:color="8EAADB"/>
              <w:left w:val="double" w:sz="4" w:space="0" w:color="000000"/>
              <w:bottom w:val="single" w:sz="6" w:space="0" w:color="D0CECE"/>
              <w:right w:val="double" w:sz="4" w:space="0" w:color="000000"/>
            </w:tcBorders>
            <w:shd w:val="clear" w:color="auto" w:fill="8EAADB"/>
          </w:tcPr>
          <w:p w14:paraId="720C2B7C" w14:textId="77777777" w:rsidR="005850DB" w:rsidRDefault="00000000">
            <w:pPr>
              <w:spacing w:after="0" w:line="259" w:lineRule="auto"/>
              <w:ind w:left="0" w:right="36" w:firstLine="0"/>
              <w:jc w:val="center"/>
            </w:pPr>
            <w:r>
              <w:rPr>
                <w:b/>
                <w:bCs/>
                <w:sz w:val="36"/>
                <w:szCs w:val="36"/>
                <w:rtl/>
              </w:rPr>
              <w:t xml:space="preserve">العنوا ن </w:t>
            </w:r>
          </w:p>
        </w:tc>
        <w:tc>
          <w:tcPr>
            <w:tcW w:w="1823" w:type="dxa"/>
            <w:tcBorders>
              <w:top w:val="single" w:sz="6" w:space="0" w:color="8EAADB"/>
              <w:left w:val="double" w:sz="4" w:space="0" w:color="000000"/>
              <w:bottom w:val="single" w:sz="6" w:space="0" w:color="D0CECE"/>
              <w:right w:val="double" w:sz="4" w:space="0" w:color="000000"/>
            </w:tcBorders>
            <w:shd w:val="clear" w:color="auto" w:fill="8EAADB"/>
          </w:tcPr>
          <w:p w14:paraId="57ED2078" w14:textId="77777777" w:rsidR="005850DB" w:rsidRDefault="00000000">
            <w:pPr>
              <w:spacing w:after="0" w:line="259" w:lineRule="auto"/>
              <w:ind w:left="0" w:right="555" w:firstLine="0"/>
            </w:pPr>
            <w:r>
              <w:rPr>
                <w:b/>
                <w:bCs/>
                <w:sz w:val="36"/>
                <w:szCs w:val="36"/>
                <w:rtl/>
              </w:rPr>
              <w:t xml:space="preserve">الفص ل </w:t>
            </w:r>
          </w:p>
        </w:tc>
      </w:tr>
      <w:tr w:rsidR="005850DB" w14:paraId="17004367" w14:textId="77777777">
        <w:trPr>
          <w:trHeight w:val="641"/>
        </w:trPr>
        <w:tc>
          <w:tcPr>
            <w:tcW w:w="1226" w:type="dxa"/>
            <w:tcBorders>
              <w:top w:val="single" w:sz="6" w:space="0" w:color="D0CECE"/>
              <w:left w:val="double" w:sz="4" w:space="0" w:color="000000"/>
              <w:bottom w:val="double" w:sz="4" w:space="0" w:color="000000"/>
              <w:right w:val="double" w:sz="4" w:space="0" w:color="000000"/>
            </w:tcBorders>
            <w:shd w:val="clear" w:color="auto" w:fill="D0CECE"/>
            <w:vAlign w:val="center"/>
          </w:tcPr>
          <w:p w14:paraId="01CB7FDD" w14:textId="77777777" w:rsidR="005850DB" w:rsidRDefault="00000000">
            <w:pPr>
              <w:bidi w:val="0"/>
              <w:spacing w:after="0" w:line="259" w:lineRule="auto"/>
              <w:ind w:left="144" w:right="0" w:firstLine="0"/>
              <w:jc w:val="left"/>
            </w:pPr>
            <w:r>
              <w:rPr>
                <w:rFonts w:ascii="Times New Roman" w:eastAsia="Times New Roman" w:hAnsi="Times New Roman" w:cs="Times New Roman"/>
                <w:b/>
              </w:rPr>
              <w:t xml:space="preserve"> 25 - 1</w:t>
            </w:r>
          </w:p>
        </w:tc>
        <w:tc>
          <w:tcPr>
            <w:tcW w:w="5983" w:type="dxa"/>
            <w:tcBorders>
              <w:top w:val="single" w:sz="6" w:space="0" w:color="D0CECE"/>
              <w:left w:val="double" w:sz="4" w:space="0" w:color="000000"/>
              <w:bottom w:val="double" w:sz="4" w:space="0" w:color="000000"/>
              <w:right w:val="double" w:sz="4" w:space="0" w:color="000000"/>
            </w:tcBorders>
            <w:shd w:val="clear" w:color="auto" w:fill="D0CECE"/>
          </w:tcPr>
          <w:p w14:paraId="76F4F535" w14:textId="77777777" w:rsidR="005850DB" w:rsidRDefault="00000000">
            <w:pPr>
              <w:spacing w:after="0" w:line="259" w:lineRule="auto"/>
              <w:ind w:left="0" w:right="41" w:firstLine="0"/>
              <w:jc w:val="center"/>
            </w:pPr>
            <w:r>
              <w:rPr>
                <w:b/>
                <w:bCs/>
                <w:szCs w:val="28"/>
                <w:rtl/>
              </w:rPr>
              <w:t>الإطار العام للدارسة</w:t>
            </w:r>
            <w:r>
              <w:rPr>
                <w:rFonts w:ascii="Times New Roman" w:eastAsia="Times New Roman" w:hAnsi="Times New Roman" w:cs="Times New Roman"/>
                <w:b/>
                <w:bCs/>
                <w:szCs w:val="28"/>
                <w:rtl/>
              </w:rPr>
              <w:t xml:space="preserve"> </w:t>
            </w:r>
          </w:p>
        </w:tc>
        <w:tc>
          <w:tcPr>
            <w:tcW w:w="1823" w:type="dxa"/>
            <w:vMerge w:val="restart"/>
            <w:tcBorders>
              <w:top w:val="single" w:sz="6" w:space="0" w:color="D0CECE"/>
              <w:left w:val="double" w:sz="4" w:space="0" w:color="000000"/>
              <w:bottom w:val="single" w:sz="6" w:space="0" w:color="D0CECE"/>
              <w:right w:val="double" w:sz="4" w:space="0" w:color="000000"/>
            </w:tcBorders>
            <w:shd w:val="clear" w:color="auto" w:fill="D0CECE"/>
            <w:vAlign w:val="center"/>
          </w:tcPr>
          <w:p w14:paraId="2E6FEDBD" w14:textId="77777777" w:rsidR="005850DB" w:rsidRDefault="00000000">
            <w:pPr>
              <w:spacing w:after="0" w:line="259" w:lineRule="auto"/>
              <w:ind w:left="0" w:right="362" w:firstLine="0"/>
            </w:pPr>
            <w:r>
              <w:rPr>
                <w:b/>
                <w:bCs/>
                <w:szCs w:val="28"/>
                <w:rtl/>
              </w:rPr>
              <w:t xml:space="preserve">الفصل الأو ل </w:t>
            </w:r>
          </w:p>
        </w:tc>
      </w:tr>
      <w:tr w:rsidR="005850DB" w14:paraId="39EC0C41" w14:textId="77777777">
        <w:trPr>
          <w:trHeight w:val="653"/>
        </w:trPr>
        <w:tc>
          <w:tcPr>
            <w:tcW w:w="1226" w:type="dxa"/>
            <w:tcBorders>
              <w:top w:val="double" w:sz="4" w:space="0" w:color="000000"/>
              <w:left w:val="double" w:sz="4" w:space="0" w:color="000000"/>
              <w:bottom w:val="double" w:sz="4" w:space="0" w:color="000000"/>
              <w:right w:val="double" w:sz="4" w:space="0" w:color="000000"/>
            </w:tcBorders>
            <w:vAlign w:val="center"/>
          </w:tcPr>
          <w:p w14:paraId="002694CC"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2</w:t>
            </w:r>
          </w:p>
        </w:tc>
        <w:tc>
          <w:tcPr>
            <w:tcW w:w="5983" w:type="dxa"/>
            <w:tcBorders>
              <w:top w:val="double" w:sz="4" w:space="0" w:color="000000"/>
              <w:left w:val="double" w:sz="4" w:space="0" w:color="000000"/>
              <w:bottom w:val="double" w:sz="4" w:space="0" w:color="000000"/>
              <w:right w:val="double" w:sz="4" w:space="0" w:color="000000"/>
            </w:tcBorders>
            <w:vAlign w:val="center"/>
          </w:tcPr>
          <w:p w14:paraId="6327096F"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1</w:t>
            </w:r>
            <w:r>
              <w:rPr>
                <w:szCs w:val="28"/>
                <w:rtl/>
              </w:rPr>
              <w:t xml:space="preserve"> المقدمة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6BA1D16C" w14:textId="77777777" w:rsidR="005850DB" w:rsidRDefault="005850DB">
            <w:pPr>
              <w:bidi w:val="0"/>
              <w:spacing w:after="160" w:line="259" w:lineRule="auto"/>
              <w:ind w:left="0" w:right="0" w:firstLine="0"/>
              <w:jc w:val="left"/>
            </w:pPr>
          </w:p>
        </w:tc>
      </w:tr>
      <w:tr w:rsidR="005850DB" w14:paraId="1B1F2EB6" w14:textId="77777777">
        <w:trPr>
          <w:trHeight w:val="648"/>
        </w:trPr>
        <w:tc>
          <w:tcPr>
            <w:tcW w:w="1226" w:type="dxa"/>
            <w:tcBorders>
              <w:top w:val="double" w:sz="4" w:space="0" w:color="000000"/>
              <w:left w:val="double" w:sz="4" w:space="0" w:color="000000"/>
              <w:bottom w:val="double" w:sz="4" w:space="0" w:color="000000"/>
              <w:right w:val="double" w:sz="4" w:space="0" w:color="000000"/>
            </w:tcBorders>
            <w:vAlign w:val="center"/>
          </w:tcPr>
          <w:p w14:paraId="2F9EE25F"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3</w:t>
            </w:r>
          </w:p>
        </w:tc>
        <w:tc>
          <w:tcPr>
            <w:tcW w:w="5983" w:type="dxa"/>
            <w:tcBorders>
              <w:top w:val="double" w:sz="4" w:space="0" w:color="000000"/>
              <w:left w:val="double" w:sz="4" w:space="0" w:color="000000"/>
              <w:bottom w:val="double" w:sz="4" w:space="0" w:color="000000"/>
              <w:right w:val="double" w:sz="4" w:space="0" w:color="000000"/>
            </w:tcBorders>
            <w:vAlign w:val="center"/>
          </w:tcPr>
          <w:p w14:paraId="7D5F184C"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2</w:t>
            </w:r>
            <w:r>
              <w:rPr>
                <w:szCs w:val="28"/>
                <w:rtl/>
              </w:rPr>
              <w:t xml:space="preserve"> مارجعة الأدبيا ت</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443407E1" w14:textId="77777777" w:rsidR="005850DB" w:rsidRDefault="005850DB">
            <w:pPr>
              <w:bidi w:val="0"/>
              <w:spacing w:after="160" w:line="259" w:lineRule="auto"/>
              <w:ind w:left="0" w:right="0" w:firstLine="0"/>
              <w:jc w:val="left"/>
            </w:pPr>
          </w:p>
        </w:tc>
      </w:tr>
      <w:tr w:rsidR="005850DB" w14:paraId="49C5C6D3" w14:textId="77777777">
        <w:trPr>
          <w:trHeight w:val="646"/>
        </w:trPr>
        <w:tc>
          <w:tcPr>
            <w:tcW w:w="1226" w:type="dxa"/>
            <w:tcBorders>
              <w:top w:val="double" w:sz="4" w:space="0" w:color="000000"/>
              <w:left w:val="double" w:sz="4" w:space="0" w:color="000000"/>
              <w:bottom w:val="double" w:sz="4" w:space="0" w:color="000000"/>
              <w:right w:val="double" w:sz="4" w:space="0" w:color="000000"/>
            </w:tcBorders>
            <w:vAlign w:val="center"/>
          </w:tcPr>
          <w:p w14:paraId="164FCC25"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4</w:t>
            </w:r>
          </w:p>
        </w:tc>
        <w:tc>
          <w:tcPr>
            <w:tcW w:w="5983" w:type="dxa"/>
            <w:tcBorders>
              <w:top w:val="double" w:sz="4" w:space="0" w:color="000000"/>
              <w:left w:val="double" w:sz="4" w:space="0" w:color="000000"/>
              <w:bottom w:val="double" w:sz="4" w:space="0" w:color="000000"/>
              <w:right w:val="double" w:sz="4" w:space="0" w:color="000000"/>
            </w:tcBorders>
            <w:vAlign w:val="center"/>
          </w:tcPr>
          <w:p w14:paraId="0E575A9F"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3</w:t>
            </w:r>
            <w:r>
              <w:rPr>
                <w:szCs w:val="28"/>
                <w:rtl/>
              </w:rPr>
              <w:t xml:space="preserve"> مشكلة الد ارسة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483C3B8F" w14:textId="77777777" w:rsidR="005850DB" w:rsidRDefault="005850DB">
            <w:pPr>
              <w:bidi w:val="0"/>
              <w:spacing w:after="160" w:line="259" w:lineRule="auto"/>
              <w:ind w:left="0" w:right="0" w:firstLine="0"/>
              <w:jc w:val="left"/>
            </w:pPr>
          </w:p>
        </w:tc>
      </w:tr>
      <w:tr w:rsidR="005850DB" w14:paraId="1FFDD894" w14:textId="77777777">
        <w:trPr>
          <w:trHeight w:val="648"/>
        </w:trPr>
        <w:tc>
          <w:tcPr>
            <w:tcW w:w="1226" w:type="dxa"/>
            <w:tcBorders>
              <w:top w:val="double" w:sz="4" w:space="0" w:color="000000"/>
              <w:left w:val="double" w:sz="4" w:space="0" w:color="000000"/>
              <w:bottom w:val="double" w:sz="4" w:space="0" w:color="000000"/>
              <w:right w:val="double" w:sz="4" w:space="0" w:color="000000"/>
            </w:tcBorders>
            <w:vAlign w:val="center"/>
          </w:tcPr>
          <w:p w14:paraId="43695961"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6</w:t>
            </w:r>
          </w:p>
        </w:tc>
        <w:tc>
          <w:tcPr>
            <w:tcW w:w="5983" w:type="dxa"/>
            <w:tcBorders>
              <w:top w:val="double" w:sz="4" w:space="0" w:color="000000"/>
              <w:left w:val="double" w:sz="4" w:space="0" w:color="000000"/>
              <w:bottom w:val="double" w:sz="4" w:space="0" w:color="000000"/>
              <w:right w:val="double" w:sz="4" w:space="0" w:color="000000"/>
            </w:tcBorders>
            <w:vAlign w:val="center"/>
          </w:tcPr>
          <w:p w14:paraId="3B96B814"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4</w:t>
            </w:r>
            <w:r>
              <w:rPr>
                <w:szCs w:val="28"/>
                <w:rtl/>
              </w:rPr>
              <w:t xml:space="preserve"> </w:t>
            </w:r>
            <w:r>
              <w:rPr>
                <w:rFonts w:ascii="Times New Roman" w:eastAsia="Times New Roman" w:hAnsi="Times New Roman" w:cs="Times New Roman"/>
                <w:sz w:val="24"/>
                <w:rtl/>
              </w:rPr>
              <w:t xml:space="preserve"> </w:t>
            </w:r>
            <w:r>
              <w:rPr>
                <w:szCs w:val="28"/>
                <w:rtl/>
              </w:rPr>
              <w:t>فرضيات الد ارسة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2020A8F1" w14:textId="77777777" w:rsidR="005850DB" w:rsidRDefault="005850DB">
            <w:pPr>
              <w:bidi w:val="0"/>
              <w:spacing w:after="160" w:line="259" w:lineRule="auto"/>
              <w:ind w:left="0" w:right="0" w:firstLine="0"/>
              <w:jc w:val="left"/>
            </w:pPr>
          </w:p>
        </w:tc>
      </w:tr>
      <w:tr w:rsidR="005850DB" w14:paraId="057F4234" w14:textId="77777777">
        <w:trPr>
          <w:trHeight w:val="648"/>
        </w:trPr>
        <w:tc>
          <w:tcPr>
            <w:tcW w:w="1226" w:type="dxa"/>
            <w:tcBorders>
              <w:top w:val="double" w:sz="4" w:space="0" w:color="000000"/>
              <w:left w:val="double" w:sz="4" w:space="0" w:color="000000"/>
              <w:bottom w:val="double" w:sz="4" w:space="0" w:color="000000"/>
              <w:right w:val="double" w:sz="4" w:space="0" w:color="000000"/>
            </w:tcBorders>
            <w:vAlign w:val="center"/>
          </w:tcPr>
          <w:p w14:paraId="686A73FD"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6</w:t>
            </w:r>
          </w:p>
        </w:tc>
        <w:tc>
          <w:tcPr>
            <w:tcW w:w="5983" w:type="dxa"/>
            <w:tcBorders>
              <w:top w:val="double" w:sz="4" w:space="0" w:color="000000"/>
              <w:left w:val="double" w:sz="4" w:space="0" w:color="000000"/>
              <w:bottom w:val="double" w:sz="4" w:space="0" w:color="000000"/>
              <w:right w:val="double" w:sz="4" w:space="0" w:color="000000"/>
            </w:tcBorders>
            <w:vAlign w:val="center"/>
          </w:tcPr>
          <w:p w14:paraId="56F0A306"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5</w:t>
            </w:r>
            <w:r>
              <w:rPr>
                <w:szCs w:val="28"/>
                <w:rtl/>
              </w:rPr>
              <w:t xml:space="preserve"> </w:t>
            </w:r>
            <w:r>
              <w:rPr>
                <w:rFonts w:ascii="Times New Roman" w:eastAsia="Times New Roman" w:hAnsi="Times New Roman" w:cs="Times New Roman"/>
                <w:sz w:val="24"/>
                <w:rtl/>
              </w:rPr>
              <w:t xml:space="preserve"> </w:t>
            </w:r>
            <w:r>
              <w:rPr>
                <w:szCs w:val="28"/>
                <w:rtl/>
              </w:rPr>
              <w:t>أهداف الد ارسة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68AB0F85" w14:textId="77777777" w:rsidR="005850DB" w:rsidRDefault="005850DB">
            <w:pPr>
              <w:bidi w:val="0"/>
              <w:spacing w:after="160" w:line="259" w:lineRule="auto"/>
              <w:ind w:left="0" w:right="0" w:firstLine="0"/>
              <w:jc w:val="left"/>
            </w:pPr>
          </w:p>
        </w:tc>
      </w:tr>
      <w:tr w:rsidR="005850DB" w14:paraId="7612A6FB" w14:textId="77777777">
        <w:trPr>
          <w:trHeight w:val="646"/>
        </w:trPr>
        <w:tc>
          <w:tcPr>
            <w:tcW w:w="1226" w:type="dxa"/>
            <w:tcBorders>
              <w:top w:val="double" w:sz="4" w:space="0" w:color="000000"/>
              <w:left w:val="double" w:sz="4" w:space="0" w:color="000000"/>
              <w:bottom w:val="double" w:sz="4" w:space="0" w:color="000000"/>
              <w:right w:val="double" w:sz="4" w:space="0" w:color="000000"/>
            </w:tcBorders>
            <w:vAlign w:val="center"/>
          </w:tcPr>
          <w:p w14:paraId="7E1B730B"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7</w:t>
            </w:r>
          </w:p>
        </w:tc>
        <w:tc>
          <w:tcPr>
            <w:tcW w:w="5983" w:type="dxa"/>
            <w:tcBorders>
              <w:top w:val="double" w:sz="4" w:space="0" w:color="000000"/>
              <w:left w:val="double" w:sz="4" w:space="0" w:color="000000"/>
              <w:bottom w:val="double" w:sz="4" w:space="0" w:color="000000"/>
              <w:right w:val="double" w:sz="4" w:space="0" w:color="000000"/>
            </w:tcBorders>
            <w:vAlign w:val="center"/>
          </w:tcPr>
          <w:p w14:paraId="7E196900"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6</w:t>
            </w:r>
            <w:r>
              <w:rPr>
                <w:szCs w:val="28"/>
                <w:rtl/>
              </w:rPr>
              <w:t xml:space="preserve"> أهمية الد ارس 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2FDE1685" w14:textId="77777777" w:rsidR="005850DB" w:rsidRDefault="005850DB">
            <w:pPr>
              <w:bidi w:val="0"/>
              <w:spacing w:after="160" w:line="259" w:lineRule="auto"/>
              <w:ind w:left="0" w:right="0" w:firstLine="0"/>
              <w:jc w:val="left"/>
            </w:pPr>
          </w:p>
        </w:tc>
      </w:tr>
      <w:tr w:rsidR="005850DB" w14:paraId="439107A2" w14:textId="77777777">
        <w:trPr>
          <w:trHeight w:val="648"/>
        </w:trPr>
        <w:tc>
          <w:tcPr>
            <w:tcW w:w="1226" w:type="dxa"/>
            <w:tcBorders>
              <w:top w:val="double" w:sz="4" w:space="0" w:color="000000"/>
              <w:left w:val="double" w:sz="4" w:space="0" w:color="000000"/>
              <w:bottom w:val="double" w:sz="4" w:space="0" w:color="000000"/>
              <w:right w:val="double" w:sz="4" w:space="0" w:color="000000"/>
            </w:tcBorders>
            <w:vAlign w:val="center"/>
          </w:tcPr>
          <w:p w14:paraId="449CF401" w14:textId="77777777" w:rsidR="005850DB" w:rsidRDefault="00000000">
            <w:pPr>
              <w:bidi w:val="0"/>
              <w:spacing w:after="0" w:line="259" w:lineRule="auto"/>
              <w:ind w:left="41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9</w:t>
            </w:r>
          </w:p>
        </w:tc>
        <w:tc>
          <w:tcPr>
            <w:tcW w:w="5983" w:type="dxa"/>
            <w:tcBorders>
              <w:top w:val="double" w:sz="4" w:space="0" w:color="000000"/>
              <w:left w:val="double" w:sz="4" w:space="0" w:color="000000"/>
              <w:bottom w:val="double" w:sz="4" w:space="0" w:color="000000"/>
              <w:right w:val="double" w:sz="4" w:space="0" w:color="000000"/>
            </w:tcBorders>
            <w:vAlign w:val="center"/>
          </w:tcPr>
          <w:p w14:paraId="544997EA"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7</w:t>
            </w:r>
            <w:r>
              <w:rPr>
                <w:szCs w:val="28"/>
                <w:rtl/>
              </w:rPr>
              <w:t xml:space="preserve"> منهجية الد ارس 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2655C5C6" w14:textId="77777777" w:rsidR="005850DB" w:rsidRDefault="005850DB">
            <w:pPr>
              <w:bidi w:val="0"/>
              <w:spacing w:after="160" w:line="259" w:lineRule="auto"/>
              <w:ind w:left="0" w:right="0" w:firstLine="0"/>
              <w:jc w:val="left"/>
            </w:pPr>
          </w:p>
        </w:tc>
      </w:tr>
      <w:tr w:rsidR="005850DB" w14:paraId="222737FF" w14:textId="77777777">
        <w:trPr>
          <w:trHeight w:val="652"/>
        </w:trPr>
        <w:tc>
          <w:tcPr>
            <w:tcW w:w="1226" w:type="dxa"/>
            <w:tcBorders>
              <w:top w:val="double" w:sz="4" w:space="0" w:color="000000"/>
              <w:left w:val="double" w:sz="4" w:space="0" w:color="000000"/>
              <w:bottom w:val="single" w:sz="6" w:space="0" w:color="D0CECE"/>
              <w:right w:val="double" w:sz="4" w:space="0" w:color="000000"/>
            </w:tcBorders>
            <w:vAlign w:val="center"/>
          </w:tcPr>
          <w:p w14:paraId="2DDEAF5D" w14:textId="77777777" w:rsidR="005850DB" w:rsidRDefault="00000000">
            <w:pPr>
              <w:bidi w:val="0"/>
              <w:spacing w:after="0" w:line="259" w:lineRule="auto"/>
              <w:ind w:left="35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10</w:t>
            </w:r>
          </w:p>
        </w:tc>
        <w:tc>
          <w:tcPr>
            <w:tcW w:w="5983" w:type="dxa"/>
            <w:tcBorders>
              <w:top w:val="double" w:sz="4" w:space="0" w:color="000000"/>
              <w:left w:val="double" w:sz="4" w:space="0" w:color="000000"/>
              <w:bottom w:val="single" w:sz="6" w:space="0" w:color="D0CECE"/>
              <w:right w:val="double" w:sz="4" w:space="0" w:color="000000"/>
            </w:tcBorders>
            <w:vAlign w:val="center"/>
          </w:tcPr>
          <w:p w14:paraId="52FA50A3" w14:textId="77777777" w:rsidR="005850DB" w:rsidRDefault="00000000">
            <w:pPr>
              <w:spacing w:after="0" w:line="259" w:lineRule="auto"/>
              <w:ind w:left="0" w:right="0" w:firstLine="0"/>
              <w:jc w:val="left"/>
            </w:pPr>
            <w:r>
              <w:rPr>
                <w:rFonts w:ascii="Times New Roman" w:eastAsia="Times New Roman" w:hAnsi="Times New Roman" w:cs="Times New Roman"/>
                <w:sz w:val="24"/>
              </w:rPr>
              <w:t>1</w:t>
            </w:r>
            <w:r>
              <w:rPr>
                <w:rFonts w:ascii="Times New Roman" w:eastAsia="Times New Roman" w:hAnsi="Times New Roman" w:cs="Times New Roman"/>
                <w:sz w:val="24"/>
                <w:rtl/>
              </w:rPr>
              <w:t>.</w:t>
            </w:r>
            <w:r>
              <w:rPr>
                <w:rFonts w:ascii="Times New Roman" w:eastAsia="Times New Roman" w:hAnsi="Times New Roman" w:cs="Times New Roman"/>
                <w:sz w:val="24"/>
              </w:rPr>
              <w:t>8</w:t>
            </w:r>
            <w:r>
              <w:rPr>
                <w:szCs w:val="28"/>
                <w:rtl/>
              </w:rPr>
              <w:t xml:space="preserve"> حدود الد ارسة </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single" w:sz="6" w:space="0" w:color="D0CECE"/>
              <w:right w:val="double" w:sz="4" w:space="0" w:color="000000"/>
            </w:tcBorders>
          </w:tcPr>
          <w:p w14:paraId="67F44C7D" w14:textId="77777777" w:rsidR="005850DB" w:rsidRDefault="005850DB">
            <w:pPr>
              <w:bidi w:val="0"/>
              <w:spacing w:after="160" w:line="259" w:lineRule="auto"/>
              <w:ind w:left="0" w:right="0" w:firstLine="0"/>
              <w:jc w:val="left"/>
            </w:pPr>
          </w:p>
        </w:tc>
      </w:tr>
      <w:tr w:rsidR="005850DB" w14:paraId="63AFFB28" w14:textId="77777777">
        <w:trPr>
          <w:trHeight w:val="635"/>
        </w:trPr>
        <w:tc>
          <w:tcPr>
            <w:tcW w:w="1226" w:type="dxa"/>
            <w:tcBorders>
              <w:top w:val="single" w:sz="6" w:space="0" w:color="D0CECE"/>
              <w:left w:val="double" w:sz="4" w:space="0" w:color="000000"/>
              <w:bottom w:val="double" w:sz="4" w:space="0" w:color="000000"/>
              <w:right w:val="double" w:sz="4" w:space="0" w:color="000000"/>
            </w:tcBorders>
            <w:shd w:val="clear" w:color="auto" w:fill="D0CECE"/>
            <w:vAlign w:val="center"/>
          </w:tcPr>
          <w:p w14:paraId="559BEA48" w14:textId="77777777" w:rsidR="005850DB" w:rsidRDefault="00000000">
            <w:pPr>
              <w:bidi w:val="0"/>
              <w:spacing w:after="0" w:line="259" w:lineRule="auto"/>
              <w:ind w:left="74" w:right="0" w:firstLine="0"/>
              <w:jc w:val="left"/>
            </w:pPr>
            <w:r>
              <w:rPr>
                <w:rFonts w:ascii="Times New Roman" w:eastAsia="Times New Roman" w:hAnsi="Times New Roman" w:cs="Times New Roman"/>
                <w:b/>
              </w:rPr>
              <w:t xml:space="preserve"> 41 - 24</w:t>
            </w:r>
          </w:p>
        </w:tc>
        <w:tc>
          <w:tcPr>
            <w:tcW w:w="5983" w:type="dxa"/>
            <w:tcBorders>
              <w:top w:val="single" w:sz="6" w:space="0" w:color="D0CECE"/>
              <w:left w:val="double" w:sz="4" w:space="0" w:color="000000"/>
              <w:bottom w:val="double" w:sz="4" w:space="0" w:color="000000"/>
              <w:right w:val="double" w:sz="4" w:space="0" w:color="000000"/>
            </w:tcBorders>
            <w:shd w:val="clear" w:color="auto" w:fill="D0CECE"/>
          </w:tcPr>
          <w:p w14:paraId="5977B248" w14:textId="77777777" w:rsidR="005850DB" w:rsidRDefault="00000000">
            <w:pPr>
              <w:spacing w:after="0" w:line="259" w:lineRule="auto"/>
              <w:ind w:left="0" w:right="41" w:firstLine="0"/>
              <w:jc w:val="center"/>
            </w:pPr>
            <w:r>
              <w:rPr>
                <w:b/>
                <w:bCs/>
                <w:szCs w:val="28"/>
                <w:rtl/>
              </w:rPr>
              <w:t>الإطار النظري والدارسات السابق ة</w:t>
            </w:r>
            <w:r>
              <w:rPr>
                <w:rFonts w:ascii="Times New Roman" w:eastAsia="Times New Roman" w:hAnsi="Times New Roman" w:cs="Times New Roman"/>
                <w:b/>
                <w:bCs/>
                <w:szCs w:val="28"/>
                <w:rtl/>
              </w:rPr>
              <w:t xml:space="preserve"> </w:t>
            </w:r>
          </w:p>
        </w:tc>
        <w:tc>
          <w:tcPr>
            <w:tcW w:w="1823" w:type="dxa"/>
            <w:vMerge w:val="restart"/>
            <w:tcBorders>
              <w:top w:val="single" w:sz="6" w:space="0" w:color="D0CECE"/>
              <w:left w:val="double" w:sz="4" w:space="0" w:color="000000"/>
              <w:bottom w:val="double" w:sz="4" w:space="0" w:color="000000"/>
              <w:right w:val="double" w:sz="4" w:space="0" w:color="000000"/>
            </w:tcBorders>
            <w:shd w:val="clear" w:color="auto" w:fill="D0CECE"/>
            <w:vAlign w:val="center"/>
          </w:tcPr>
          <w:p w14:paraId="5FFF6419" w14:textId="77777777" w:rsidR="005850DB" w:rsidRDefault="00000000">
            <w:pPr>
              <w:spacing w:after="0" w:line="259" w:lineRule="auto"/>
              <w:ind w:left="0" w:right="341" w:firstLine="0"/>
            </w:pPr>
            <w:r>
              <w:rPr>
                <w:b/>
                <w:bCs/>
                <w:szCs w:val="28"/>
                <w:rtl/>
              </w:rPr>
              <w:t xml:space="preserve">الفصل الثاني </w:t>
            </w:r>
          </w:p>
        </w:tc>
      </w:tr>
      <w:tr w:rsidR="005850DB" w14:paraId="6A2A6759" w14:textId="77777777">
        <w:trPr>
          <w:trHeight w:val="655"/>
        </w:trPr>
        <w:tc>
          <w:tcPr>
            <w:tcW w:w="1226" w:type="dxa"/>
            <w:tcBorders>
              <w:top w:val="double" w:sz="4" w:space="0" w:color="000000"/>
              <w:left w:val="double" w:sz="4" w:space="0" w:color="000000"/>
              <w:bottom w:val="double" w:sz="4" w:space="0" w:color="000000"/>
              <w:right w:val="double" w:sz="4" w:space="0" w:color="000000"/>
            </w:tcBorders>
            <w:vAlign w:val="center"/>
          </w:tcPr>
          <w:p w14:paraId="714312D5"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25</w:t>
            </w:r>
          </w:p>
        </w:tc>
        <w:tc>
          <w:tcPr>
            <w:tcW w:w="5983" w:type="dxa"/>
            <w:tcBorders>
              <w:top w:val="double" w:sz="4" w:space="0" w:color="000000"/>
              <w:left w:val="double" w:sz="4" w:space="0" w:color="000000"/>
              <w:bottom w:val="double" w:sz="4" w:space="0" w:color="000000"/>
              <w:right w:val="double" w:sz="4" w:space="0" w:color="000000"/>
            </w:tcBorders>
            <w:vAlign w:val="center"/>
          </w:tcPr>
          <w:p w14:paraId="35366566" w14:textId="77777777" w:rsidR="005850DB" w:rsidRDefault="00000000">
            <w:pPr>
              <w:spacing w:after="0" w:line="259" w:lineRule="auto"/>
              <w:ind w:left="0" w:right="0" w:firstLine="0"/>
              <w:jc w:val="left"/>
            </w:pPr>
            <w:r>
              <w:rPr>
                <w:rFonts w:ascii="Times New Roman" w:eastAsia="Times New Roman" w:hAnsi="Times New Roman" w:cs="Times New Roman"/>
                <w:sz w:val="24"/>
              </w:rPr>
              <w:t>2</w:t>
            </w:r>
            <w:r>
              <w:rPr>
                <w:rFonts w:ascii="Times New Roman" w:eastAsia="Times New Roman" w:hAnsi="Times New Roman" w:cs="Times New Roman"/>
                <w:sz w:val="24"/>
                <w:rtl/>
              </w:rPr>
              <w:t>.</w:t>
            </w:r>
            <w:r>
              <w:rPr>
                <w:rFonts w:ascii="Times New Roman" w:eastAsia="Times New Roman" w:hAnsi="Times New Roman" w:cs="Times New Roman"/>
                <w:sz w:val="24"/>
              </w:rPr>
              <w:t>1</w:t>
            </w:r>
            <w:r>
              <w:rPr>
                <w:szCs w:val="28"/>
                <w:rtl/>
              </w:rPr>
              <w:t xml:space="preserve"> الأسس النظرية لإدارة المخاط ر</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02DCC2D0" w14:textId="77777777" w:rsidR="005850DB" w:rsidRDefault="005850DB">
            <w:pPr>
              <w:bidi w:val="0"/>
              <w:spacing w:after="160" w:line="259" w:lineRule="auto"/>
              <w:ind w:left="0" w:right="0" w:firstLine="0"/>
              <w:jc w:val="left"/>
            </w:pPr>
          </w:p>
        </w:tc>
      </w:tr>
      <w:tr w:rsidR="005850DB" w14:paraId="1D6E91A6" w14:textId="77777777">
        <w:trPr>
          <w:trHeight w:val="646"/>
        </w:trPr>
        <w:tc>
          <w:tcPr>
            <w:tcW w:w="1226" w:type="dxa"/>
            <w:tcBorders>
              <w:top w:val="double" w:sz="4" w:space="0" w:color="000000"/>
              <w:left w:val="double" w:sz="4" w:space="0" w:color="000000"/>
              <w:bottom w:val="double" w:sz="4" w:space="0" w:color="000000"/>
              <w:right w:val="double" w:sz="4" w:space="0" w:color="000000"/>
            </w:tcBorders>
            <w:vAlign w:val="center"/>
          </w:tcPr>
          <w:p w14:paraId="77CBAD9A"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27</w:t>
            </w:r>
          </w:p>
        </w:tc>
        <w:tc>
          <w:tcPr>
            <w:tcW w:w="5983" w:type="dxa"/>
            <w:tcBorders>
              <w:top w:val="double" w:sz="4" w:space="0" w:color="000000"/>
              <w:left w:val="double" w:sz="4" w:space="0" w:color="000000"/>
              <w:bottom w:val="double" w:sz="4" w:space="0" w:color="000000"/>
              <w:right w:val="double" w:sz="4" w:space="0" w:color="000000"/>
            </w:tcBorders>
          </w:tcPr>
          <w:p w14:paraId="5BCFEFD8" w14:textId="77777777" w:rsidR="005850DB" w:rsidRDefault="00000000">
            <w:pPr>
              <w:spacing w:after="0" w:line="259" w:lineRule="auto"/>
              <w:ind w:left="0" w:right="0" w:firstLine="0"/>
              <w:jc w:val="left"/>
            </w:pPr>
            <w:r>
              <w:rPr>
                <w:rFonts w:ascii="Times New Roman" w:eastAsia="Times New Roman" w:hAnsi="Times New Roman" w:cs="Times New Roman"/>
                <w:sz w:val="24"/>
              </w:rPr>
              <w:t>2</w:t>
            </w:r>
            <w:r>
              <w:rPr>
                <w:rFonts w:ascii="Times New Roman" w:eastAsia="Times New Roman" w:hAnsi="Times New Roman" w:cs="Times New Roman"/>
                <w:sz w:val="24"/>
                <w:rtl/>
              </w:rPr>
              <w:t>.</w:t>
            </w:r>
            <w:r>
              <w:rPr>
                <w:rFonts w:ascii="Times New Roman" w:eastAsia="Times New Roman" w:hAnsi="Times New Roman" w:cs="Times New Roman"/>
                <w:sz w:val="24"/>
              </w:rPr>
              <w:t>2</w:t>
            </w:r>
            <w:r>
              <w:rPr>
                <w:szCs w:val="28"/>
                <w:rtl/>
              </w:rPr>
              <w:t xml:space="preserve"> الد ارسات السابقة في إدارة المخاطر في التصني ع</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533117E5" w14:textId="77777777" w:rsidR="005850DB" w:rsidRDefault="005850DB">
            <w:pPr>
              <w:bidi w:val="0"/>
              <w:spacing w:after="160" w:line="259" w:lineRule="auto"/>
              <w:ind w:left="0" w:right="0" w:firstLine="0"/>
              <w:jc w:val="left"/>
            </w:pPr>
          </w:p>
        </w:tc>
      </w:tr>
      <w:tr w:rsidR="005850DB" w14:paraId="27DF5980" w14:textId="77777777">
        <w:trPr>
          <w:trHeight w:val="649"/>
        </w:trPr>
        <w:tc>
          <w:tcPr>
            <w:tcW w:w="1226" w:type="dxa"/>
            <w:tcBorders>
              <w:top w:val="double" w:sz="4" w:space="0" w:color="000000"/>
              <w:left w:val="double" w:sz="4" w:space="0" w:color="000000"/>
              <w:bottom w:val="double" w:sz="4" w:space="0" w:color="000000"/>
              <w:right w:val="double" w:sz="4" w:space="0" w:color="000000"/>
            </w:tcBorders>
            <w:vAlign w:val="center"/>
          </w:tcPr>
          <w:p w14:paraId="35D63E89" w14:textId="77777777" w:rsidR="005850DB" w:rsidRDefault="00000000">
            <w:pPr>
              <w:bidi w:val="0"/>
              <w:spacing w:after="0" w:line="259" w:lineRule="auto"/>
              <w:ind w:left="351" w:right="0"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28</w:t>
            </w:r>
          </w:p>
        </w:tc>
        <w:tc>
          <w:tcPr>
            <w:tcW w:w="5983" w:type="dxa"/>
            <w:tcBorders>
              <w:top w:val="double" w:sz="4" w:space="0" w:color="000000"/>
              <w:left w:val="double" w:sz="4" w:space="0" w:color="000000"/>
              <w:bottom w:val="double" w:sz="4" w:space="0" w:color="000000"/>
              <w:right w:val="double" w:sz="4" w:space="0" w:color="000000"/>
            </w:tcBorders>
            <w:vAlign w:val="center"/>
          </w:tcPr>
          <w:p w14:paraId="7729CE34" w14:textId="77777777" w:rsidR="005850DB" w:rsidRDefault="00000000">
            <w:pPr>
              <w:spacing w:after="0" w:line="259" w:lineRule="auto"/>
              <w:ind w:left="0" w:right="0" w:firstLine="0"/>
              <w:jc w:val="left"/>
            </w:pPr>
            <w:r>
              <w:rPr>
                <w:rFonts w:ascii="Times New Roman" w:eastAsia="Times New Roman" w:hAnsi="Times New Roman" w:cs="Times New Roman"/>
                <w:sz w:val="24"/>
              </w:rPr>
              <w:t>2</w:t>
            </w:r>
            <w:r>
              <w:rPr>
                <w:rFonts w:ascii="Times New Roman" w:eastAsia="Times New Roman" w:hAnsi="Times New Roman" w:cs="Times New Roman"/>
                <w:sz w:val="24"/>
                <w:rtl/>
              </w:rPr>
              <w:t>.</w:t>
            </w:r>
            <w:r>
              <w:rPr>
                <w:rFonts w:ascii="Times New Roman" w:eastAsia="Times New Roman" w:hAnsi="Times New Roman" w:cs="Times New Roman"/>
                <w:sz w:val="24"/>
              </w:rPr>
              <w:t>3</w:t>
            </w:r>
            <w:r>
              <w:rPr>
                <w:szCs w:val="28"/>
                <w:rtl/>
              </w:rPr>
              <w:t xml:space="preserve"> الد ارسات السابقة في إدارة المخاطر في السعودي 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19D8A930" w14:textId="77777777" w:rsidR="005850DB" w:rsidRDefault="005850DB">
            <w:pPr>
              <w:bidi w:val="0"/>
              <w:spacing w:after="160" w:line="259" w:lineRule="auto"/>
              <w:ind w:left="0" w:right="0" w:firstLine="0"/>
              <w:jc w:val="left"/>
            </w:pPr>
          </w:p>
        </w:tc>
      </w:tr>
      <w:tr w:rsidR="005850DB" w14:paraId="094BC97E" w14:textId="77777777">
        <w:trPr>
          <w:trHeight w:val="646"/>
        </w:trPr>
        <w:tc>
          <w:tcPr>
            <w:tcW w:w="1226" w:type="dxa"/>
            <w:tcBorders>
              <w:top w:val="double" w:sz="4" w:space="0" w:color="000000"/>
              <w:left w:val="double" w:sz="4" w:space="0" w:color="000000"/>
              <w:bottom w:val="double" w:sz="4" w:space="0" w:color="000000"/>
              <w:right w:val="double" w:sz="4" w:space="0" w:color="000000"/>
            </w:tcBorders>
            <w:vAlign w:val="center"/>
          </w:tcPr>
          <w:p w14:paraId="3E794CC8"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30</w:t>
            </w:r>
          </w:p>
        </w:tc>
        <w:tc>
          <w:tcPr>
            <w:tcW w:w="5983" w:type="dxa"/>
            <w:tcBorders>
              <w:top w:val="double" w:sz="4" w:space="0" w:color="000000"/>
              <w:left w:val="double" w:sz="4" w:space="0" w:color="000000"/>
              <w:bottom w:val="double" w:sz="4" w:space="0" w:color="000000"/>
              <w:right w:val="double" w:sz="4" w:space="0" w:color="000000"/>
            </w:tcBorders>
            <w:vAlign w:val="center"/>
          </w:tcPr>
          <w:p w14:paraId="4E8360DC" w14:textId="77777777" w:rsidR="005850DB" w:rsidRDefault="00000000">
            <w:pPr>
              <w:spacing w:after="0" w:line="259" w:lineRule="auto"/>
              <w:ind w:left="0" w:right="0" w:firstLine="0"/>
              <w:jc w:val="left"/>
            </w:pPr>
            <w:r>
              <w:rPr>
                <w:rFonts w:ascii="Times New Roman" w:eastAsia="Times New Roman" w:hAnsi="Times New Roman" w:cs="Times New Roman"/>
                <w:sz w:val="24"/>
              </w:rPr>
              <w:t>2</w:t>
            </w:r>
            <w:r>
              <w:rPr>
                <w:rFonts w:ascii="Times New Roman" w:eastAsia="Times New Roman" w:hAnsi="Times New Roman" w:cs="Times New Roman"/>
                <w:sz w:val="24"/>
                <w:rtl/>
              </w:rPr>
              <w:t>.</w:t>
            </w:r>
            <w:r>
              <w:rPr>
                <w:rFonts w:ascii="Times New Roman" w:eastAsia="Times New Roman" w:hAnsi="Times New Roman" w:cs="Times New Roman"/>
                <w:sz w:val="24"/>
              </w:rPr>
              <w:t>4</w:t>
            </w:r>
            <w:r>
              <w:rPr>
                <w:szCs w:val="28"/>
                <w:rtl/>
              </w:rPr>
              <w:t xml:space="preserve"> تحليل الفجوة البحثي 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double" w:sz="4" w:space="0" w:color="000000"/>
              <w:right w:val="double" w:sz="4" w:space="0" w:color="000000"/>
            </w:tcBorders>
          </w:tcPr>
          <w:p w14:paraId="2127A759" w14:textId="77777777" w:rsidR="005850DB" w:rsidRDefault="005850DB">
            <w:pPr>
              <w:bidi w:val="0"/>
              <w:spacing w:after="160" w:line="259" w:lineRule="auto"/>
              <w:ind w:left="0" w:right="0" w:firstLine="0"/>
              <w:jc w:val="left"/>
            </w:pPr>
          </w:p>
        </w:tc>
      </w:tr>
    </w:tbl>
    <w:p w14:paraId="3B7D972D" w14:textId="77777777" w:rsidR="005850DB" w:rsidRDefault="00000000">
      <w:pPr>
        <w:bidi w:val="0"/>
        <w:spacing w:after="103" w:line="259" w:lineRule="auto"/>
        <w:ind w:left="0" w:right="48" w:firstLine="0"/>
      </w:pPr>
      <w:r>
        <w:t xml:space="preserve"> </w:t>
      </w:r>
    </w:p>
    <w:p w14:paraId="5C1D8039" w14:textId="77777777" w:rsidR="005850DB" w:rsidRDefault="00000000">
      <w:pPr>
        <w:bidi w:val="0"/>
        <w:spacing w:after="0" w:line="259" w:lineRule="auto"/>
        <w:ind w:left="4357" w:right="0" w:firstLine="0"/>
        <w:jc w:val="left"/>
      </w:pPr>
      <w:r>
        <w:rPr>
          <w:b/>
          <w:sz w:val="40"/>
        </w:rPr>
        <w:t xml:space="preserve"> </w:t>
      </w:r>
    </w:p>
    <w:p w14:paraId="72CCF39B" w14:textId="77777777" w:rsidR="005850DB" w:rsidRDefault="00000000">
      <w:pPr>
        <w:bidi w:val="0"/>
        <w:spacing w:after="0" w:line="259" w:lineRule="auto"/>
        <w:ind w:left="4357" w:right="0" w:firstLine="0"/>
        <w:jc w:val="left"/>
      </w:pPr>
      <w:r>
        <w:rPr>
          <w:b/>
          <w:sz w:val="40"/>
        </w:rPr>
        <w:t xml:space="preserve"> </w:t>
      </w:r>
    </w:p>
    <w:p w14:paraId="3BAA668A" w14:textId="77777777" w:rsidR="005850DB" w:rsidRDefault="00000000">
      <w:pPr>
        <w:bidi w:val="0"/>
        <w:spacing w:after="0" w:line="259" w:lineRule="auto"/>
        <w:ind w:left="4357" w:right="0" w:firstLine="0"/>
        <w:jc w:val="left"/>
      </w:pPr>
      <w:r>
        <w:rPr>
          <w:b/>
          <w:sz w:val="40"/>
        </w:rPr>
        <w:t xml:space="preserve"> </w:t>
      </w:r>
    </w:p>
    <w:p w14:paraId="132C7EE6" w14:textId="77777777" w:rsidR="005850DB" w:rsidRDefault="00000000">
      <w:pPr>
        <w:bidi w:val="0"/>
        <w:spacing w:after="0" w:line="259" w:lineRule="auto"/>
        <w:ind w:left="4357" w:right="0" w:firstLine="0"/>
        <w:jc w:val="left"/>
      </w:pPr>
      <w:r>
        <w:rPr>
          <w:b/>
          <w:sz w:val="40"/>
        </w:rPr>
        <w:lastRenderedPageBreak/>
        <w:t xml:space="preserve"> </w:t>
      </w:r>
    </w:p>
    <w:p w14:paraId="2D0CEAF6" w14:textId="77777777" w:rsidR="005850DB" w:rsidRDefault="00000000">
      <w:pPr>
        <w:pStyle w:val="Heading1"/>
        <w:ind w:right="4069"/>
      </w:pPr>
      <w:r>
        <w:rPr>
          <w:bCs/>
          <w:szCs w:val="40"/>
          <w:rtl/>
        </w:rPr>
        <w:t xml:space="preserve">الفصول </w:t>
      </w:r>
    </w:p>
    <w:p w14:paraId="639EBC0D" w14:textId="77777777" w:rsidR="005850DB" w:rsidRDefault="00000000">
      <w:pPr>
        <w:bidi w:val="0"/>
        <w:spacing w:after="0" w:line="259" w:lineRule="auto"/>
        <w:ind w:left="0" w:right="48" w:firstLine="0"/>
      </w:pPr>
      <w:r>
        <w:t xml:space="preserve"> </w:t>
      </w:r>
    </w:p>
    <w:tbl>
      <w:tblPr>
        <w:tblStyle w:val="TableGrid"/>
        <w:tblW w:w="9032" w:type="dxa"/>
        <w:tblInd w:w="43" w:type="dxa"/>
        <w:tblCellMar>
          <w:top w:w="33" w:type="dxa"/>
          <w:left w:w="0" w:type="dxa"/>
          <w:bottom w:w="0" w:type="dxa"/>
          <w:right w:w="38" w:type="dxa"/>
        </w:tblCellMar>
        <w:tblLook w:val="04A0" w:firstRow="1" w:lastRow="0" w:firstColumn="1" w:lastColumn="0" w:noHBand="0" w:noVBand="1"/>
      </w:tblPr>
      <w:tblGrid>
        <w:gridCol w:w="1226"/>
        <w:gridCol w:w="5983"/>
        <w:gridCol w:w="1823"/>
      </w:tblGrid>
      <w:tr w:rsidR="005850DB" w14:paraId="066DCDFE" w14:textId="77777777">
        <w:trPr>
          <w:trHeight w:val="671"/>
        </w:trPr>
        <w:tc>
          <w:tcPr>
            <w:tcW w:w="1226" w:type="dxa"/>
            <w:tcBorders>
              <w:top w:val="single" w:sz="6" w:space="0" w:color="8EAADB"/>
              <w:left w:val="double" w:sz="4" w:space="0" w:color="000000"/>
              <w:bottom w:val="single" w:sz="6" w:space="0" w:color="D0CECE"/>
              <w:right w:val="double" w:sz="4" w:space="0" w:color="000000"/>
            </w:tcBorders>
            <w:shd w:val="clear" w:color="auto" w:fill="8EAADB"/>
          </w:tcPr>
          <w:p w14:paraId="5BA13303" w14:textId="77777777" w:rsidR="005850DB" w:rsidRDefault="00000000">
            <w:pPr>
              <w:spacing w:after="0" w:line="259" w:lineRule="auto"/>
              <w:ind w:left="0" w:right="164" w:firstLine="0"/>
            </w:pPr>
            <w:r>
              <w:rPr>
                <w:b/>
                <w:bCs/>
                <w:sz w:val="36"/>
                <w:szCs w:val="36"/>
                <w:rtl/>
              </w:rPr>
              <w:t>الصفح ة</w:t>
            </w:r>
            <w:r>
              <w:rPr>
                <w:rFonts w:ascii="Times New Roman" w:eastAsia="Times New Roman" w:hAnsi="Times New Roman" w:cs="Times New Roman"/>
                <w:b/>
                <w:bCs/>
                <w:sz w:val="36"/>
                <w:szCs w:val="36"/>
                <w:rtl/>
              </w:rPr>
              <w:t xml:space="preserve"> </w:t>
            </w:r>
          </w:p>
        </w:tc>
        <w:tc>
          <w:tcPr>
            <w:tcW w:w="5983" w:type="dxa"/>
            <w:tcBorders>
              <w:top w:val="single" w:sz="6" w:space="0" w:color="8EAADB"/>
              <w:left w:val="double" w:sz="4" w:space="0" w:color="000000"/>
              <w:bottom w:val="single" w:sz="6" w:space="0" w:color="D0CECE"/>
              <w:right w:val="double" w:sz="4" w:space="0" w:color="000000"/>
            </w:tcBorders>
            <w:shd w:val="clear" w:color="auto" w:fill="8EAADB"/>
          </w:tcPr>
          <w:p w14:paraId="522ED055" w14:textId="77777777" w:rsidR="005850DB" w:rsidRDefault="00000000">
            <w:pPr>
              <w:spacing w:after="0" w:line="259" w:lineRule="auto"/>
              <w:ind w:left="0" w:right="36" w:firstLine="0"/>
              <w:jc w:val="center"/>
            </w:pPr>
            <w:r>
              <w:rPr>
                <w:b/>
                <w:bCs/>
                <w:sz w:val="36"/>
                <w:szCs w:val="36"/>
                <w:rtl/>
              </w:rPr>
              <w:t xml:space="preserve">العنوا ن </w:t>
            </w:r>
          </w:p>
        </w:tc>
        <w:tc>
          <w:tcPr>
            <w:tcW w:w="1823" w:type="dxa"/>
            <w:tcBorders>
              <w:top w:val="single" w:sz="6" w:space="0" w:color="8EAADB"/>
              <w:left w:val="double" w:sz="4" w:space="0" w:color="000000"/>
              <w:bottom w:val="single" w:sz="6" w:space="0" w:color="D0CECE"/>
              <w:right w:val="double" w:sz="4" w:space="0" w:color="000000"/>
            </w:tcBorders>
            <w:shd w:val="clear" w:color="auto" w:fill="8EAADB"/>
          </w:tcPr>
          <w:p w14:paraId="68FB2957" w14:textId="77777777" w:rsidR="005850DB" w:rsidRDefault="00000000">
            <w:pPr>
              <w:spacing w:after="0" w:line="259" w:lineRule="auto"/>
              <w:ind w:left="0" w:right="555" w:firstLine="0"/>
            </w:pPr>
            <w:r>
              <w:rPr>
                <w:b/>
                <w:bCs/>
                <w:sz w:val="36"/>
                <w:szCs w:val="36"/>
                <w:rtl/>
              </w:rPr>
              <w:t xml:space="preserve">الفص ل </w:t>
            </w:r>
          </w:p>
        </w:tc>
      </w:tr>
      <w:tr w:rsidR="005850DB" w14:paraId="6D591312" w14:textId="77777777">
        <w:trPr>
          <w:trHeight w:val="641"/>
        </w:trPr>
        <w:tc>
          <w:tcPr>
            <w:tcW w:w="1226" w:type="dxa"/>
            <w:tcBorders>
              <w:top w:val="single" w:sz="6" w:space="0" w:color="D0CECE"/>
              <w:left w:val="double" w:sz="4" w:space="0" w:color="000000"/>
              <w:bottom w:val="double" w:sz="4" w:space="0" w:color="000000"/>
              <w:right w:val="double" w:sz="4" w:space="0" w:color="000000"/>
            </w:tcBorders>
            <w:shd w:val="clear" w:color="auto" w:fill="D0CECE"/>
            <w:vAlign w:val="center"/>
          </w:tcPr>
          <w:p w14:paraId="3D844584" w14:textId="77777777" w:rsidR="005850DB" w:rsidRDefault="00000000">
            <w:pPr>
              <w:bidi w:val="0"/>
              <w:spacing w:after="0" w:line="259" w:lineRule="auto"/>
              <w:ind w:left="34" w:right="0" w:firstLine="0"/>
              <w:jc w:val="left"/>
            </w:pPr>
            <w:r>
              <w:rPr>
                <w:rFonts w:ascii="Times New Roman" w:eastAsia="Times New Roman" w:hAnsi="Times New Roman" w:cs="Times New Roman"/>
                <w:b/>
                <w:sz w:val="36"/>
              </w:rPr>
              <w:t xml:space="preserve"> </w:t>
            </w:r>
            <w:r>
              <w:rPr>
                <w:rFonts w:ascii="Times New Roman" w:eastAsia="Times New Roman" w:hAnsi="Times New Roman" w:cs="Times New Roman"/>
                <w:b/>
              </w:rPr>
              <w:t>59 - 42</w:t>
            </w:r>
          </w:p>
        </w:tc>
        <w:tc>
          <w:tcPr>
            <w:tcW w:w="5983" w:type="dxa"/>
            <w:tcBorders>
              <w:top w:val="single" w:sz="6" w:space="0" w:color="D0CECE"/>
              <w:left w:val="double" w:sz="4" w:space="0" w:color="000000"/>
              <w:bottom w:val="double" w:sz="4" w:space="0" w:color="000000"/>
              <w:right w:val="double" w:sz="4" w:space="0" w:color="000000"/>
            </w:tcBorders>
            <w:shd w:val="clear" w:color="auto" w:fill="D0CECE"/>
          </w:tcPr>
          <w:p w14:paraId="166BB44B" w14:textId="77777777" w:rsidR="005850DB" w:rsidRDefault="00000000">
            <w:pPr>
              <w:spacing w:after="0" w:line="259" w:lineRule="auto"/>
              <w:ind w:left="0" w:right="39" w:firstLine="0"/>
              <w:jc w:val="center"/>
            </w:pPr>
            <w:r>
              <w:rPr>
                <w:b/>
                <w:bCs/>
                <w:szCs w:val="28"/>
                <w:rtl/>
              </w:rPr>
              <w:t>إدارة المخاطر في مشاريع صناعة المضخات</w:t>
            </w:r>
            <w:r>
              <w:rPr>
                <w:b/>
                <w:bCs/>
                <w:sz w:val="36"/>
                <w:szCs w:val="36"/>
                <w:rtl/>
              </w:rPr>
              <w:t xml:space="preserve"> </w:t>
            </w:r>
          </w:p>
        </w:tc>
        <w:tc>
          <w:tcPr>
            <w:tcW w:w="1823" w:type="dxa"/>
            <w:tcBorders>
              <w:top w:val="single" w:sz="6" w:space="0" w:color="D0CECE"/>
              <w:left w:val="double" w:sz="4" w:space="0" w:color="000000"/>
              <w:bottom w:val="double" w:sz="4" w:space="0" w:color="000000"/>
              <w:right w:val="double" w:sz="4" w:space="0" w:color="000000"/>
            </w:tcBorders>
            <w:shd w:val="clear" w:color="auto" w:fill="D0CECE"/>
          </w:tcPr>
          <w:p w14:paraId="3CF064D5" w14:textId="77777777" w:rsidR="005850DB" w:rsidRDefault="00000000">
            <w:pPr>
              <w:spacing w:after="0" w:line="259" w:lineRule="auto"/>
              <w:ind w:left="0" w:right="339" w:firstLine="0"/>
            </w:pPr>
            <w:r>
              <w:rPr>
                <w:b/>
                <w:bCs/>
                <w:szCs w:val="28"/>
                <w:rtl/>
              </w:rPr>
              <w:t xml:space="preserve">الفصل الثالث </w:t>
            </w:r>
            <w:r>
              <w:rPr>
                <w:b/>
                <w:bCs/>
                <w:sz w:val="36"/>
                <w:szCs w:val="36"/>
                <w:rtl/>
              </w:rPr>
              <w:t xml:space="preserve"> </w:t>
            </w:r>
          </w:p>
        </w:tc>
      </w:tr>
      <w:tr w:rsidR="005850DB" w14:paraId="22B27129" w14:textId="77777777">
        <w:trPr>
          <w:trHeight w:val="686"/>
        </w:trPr>
        <w:tc>
          <w:tcPr>
            <w:tcW w:w="1226" w:type="dxa"/>
            <w:tcBorders>
              <w:top w:val="double" w:sz="4" w:space="0" w:color="000000"/>
              <w:left w:val="double" w:sz="4" w:space="0" w:color="000000"/>
              <w:bottom w:val="double" w:sz="4" w:space="0" w:color="000000"/>
              <w:right w:val="double" w:sz="4" w:space="0" w:color="000000"/>
            </w:tcBorders>
            <w:vAlign w:val="center"/>
          </w:tcPr>
          <w:p w14:paraId="0D3D95A0" w14:textId="77777777" w:rsidR="005850DB" w:rsidRDefault="00000000">
            <w:pPr>
              <w:bidi w:val="0"/>
              <w:spacing w:after="0" w:line="259" w:lineRule="auto"/>
              <w:ind w:left="291" w:right="0" w:firstLine="0"/>
              <w:jc w:val="left"/>
            </w:pPr>
            <w:r>
              <w:rPr>
                <w:rFonts w:ascii="Times New Roman" w:eastAsia="Times New Roman" w:hAnsi="Times New Roman" w:cs="Times New Roman"/>
                <w:b/>
                <w:sz w:val="36"/>
              </w:rPr>
              <w:t xml:space="preserve"> </w:t>
            </w:r>
            <w:r>
              <w:rPr>
                <w:rFonts w:ascii="Times New Roman" w:eastAsia="Times New Roman" w:hAnsi="Times New Roman" w:cs="Times New Roman"/>
              </w:rPr>
              <w:t>43</w:t>
            </w:r>
          </w:p>
        </w:tc>
        <w:tc>
          <w:tcPr>
            <w:tcW w:w="5983" w:type="dxa"/>
            <w:tcBorders>
              <w:top w:val="double" w:sz="4" w:space="0" w:color="000000"/>
              <w:left w:val="double" w:sz="4" w:space="0" w:color="000000"/>
              <w:bottom w:val="double" w:sz="4" w:space="0" w:color="000000"/>
              <w:right w:val="double" w:sz="4" w:space="0" w:color="000000"/>
            </w:tcBorders>
            <w:vAlign w:val="center"/>
          </w:tcPr>
          <w:p w14:paraId="0EA1C6D0" w14:textId="77777777" w:rsidR="005850DB" w:rsidRDefault="00000000">
            <w:pPr>
              <w:spacing w:after="0" w:line="259" w:lineRule="auto"/>
              <w:ind w:left="0" w:right="37" w:firstLine="0"/>
              <w:jc w:val="center"/>
            </w:pPr>
            <w:r>
              <w:rPr>
                <w:rFonts w:ascii="Times New Roman" w:eastAsia="Times New Roman" w:hAnsi="Times New Roman" w:cs="Times New Roman"/>
                <w:sz w:val="24"/>
              </w:rPr>
              <w:t>3</w:t>
            </w:r>
            <w:r>
              <w:rPr>
                <w:rFonts w:ascii="Times New Roman" w:eastAsia="Times New Roman" w:hAnsi="Times New Roman" w:cs="Times New Roman"/>
                <w:sz w:val="24"/>
                <w:rtl/>
              </w:rPr>
              <w:t>.</w:t>
            </w:r>
            <w:r>
              <w:rPr>
                <w:rFonts w:ascii="Times New Roman" w:eastAsia="Times New Roman" w:hAnsi="Times New Roman" w:cs="Times New Roman"/>
                <w:sz w:val="24"/>
              </w:rPr>
              <w:t>1</w:t>
            </w:r>
            <w:r>
              <w:rPr>
                <w:szCs w:val="28"/>
                <w:rtl/>
              </w:rPr>
              <w:t xml:space="preserve"> نظرة عامة على صناعة المضخا ت</w:t>
            </w:r>
            <w:r>
              <w:rPr>
                <w:b/>
                <w:bCs/>
                <w:sz w:val="36"/>
                <w:szCs w:val="36"/>
                <w:rtl/>
              </w:rPr>
              <w:t xml:space="preserve"> </w:t>
            </w:r>
          </w:p>
        </w:tc>
        <w:tc>
          <w:tcPr>
            <w:tcW w:w="1823" w:type="dxa"/>
            <w:tcBorders>
              <w:top w:val="double" w:sz="4" w:space="0" w:color="000000"/>
              <w:left w:val="double" w:sz="4" w:space="0" w:color="000000"/>
              <w:bottom w:val="double" w:sz="4" w:space="0" w:color="000000"/>
              <w:right w:val="double" w:sz="4" w:space="0" w:color="000000"/>
            </w:tcBorders>
          </w:tcPr>
          <w:p w14:paraId="6F54C911" w14:textId="77777777" w:rsidR="005850DB" w:rsidRDefault="00000000">
            <w:pPr>
              <w:bidi w:val="0"/>
              <w:spacing w:after="0" w:line="259" w:lineRule="auto"/>
              <w:ind w:left="735" w:right="0" w:firstLine="0"/>
              <w:jc w:val="left"/>
            </w:pPr>
            <w:r>
              <w:rPr>
                <w:b/>
                <w:sz w:val="36"/>
              </w:rPr>
              <w:t xml:space="preserve"> </w:t>
            </w:r>
          </w:p>
        </w:tc>
      </w:tr>
      <w:tr w:rsidR="005850DB" w14:paraId="225D956D" w14:textId="77777777">
        <w:trPr>
          <w:trHeight w:val="677"/>
        </w:trPr>
        <w:tc>
          <w:tcPr>
            <w:tcW w:w="1226" w:type="dxa"/>
            <w:tcBorders>
              <w:top w:val="double" w:sz="4" w:space="0" w:color="000000"/>
              <w:left w:val="double" w:sz="4" w:space="0" w:color="000000"/>
              <w:bottom w:val="double" w:sz="4" w:space="0" w:color="000000"/>
              <w:right w:val="double" w:sz="4" w:space="0" w:color="000000"/>
            </w:tcBorders>
            <w:vAlign w:val="center"/>
          </w:tcPr>
          <w:p w14:paraId="32ABFF99" w14:textId="77777777" w:rsidR="005850DB" w:rsidRDefault="00000000">
            <w:pPr>
              <w:bidi w:val="0"/>
              <w:spacing w:after="0" w:line="259" w:lineRule="auto"/>
              <w:ind w:left="291" w:right="0" w:firstLine="0"/>
              <w:jc w:val="left"/>
            </w:pPr>
            <w:r>
              <w:rPr>
                <w:rFonts w:ascii="Times New Roman" w:eastAsia="Times New Roman" w:hAnsi="Times New Roman" w:cs="Times New Roman"/>
                <w:b/>
                <w:sz w:val="36"/>
              </w:rPr>
              <w:t xml:space="preserve"> </w:t>
            </w:r>
            <w:r>
              <w:rPr>
                <w:rFonts w:ascii="Times New Roman" w:eastAsia="Times New Roman" w:hAnsi="Times New Roman" w:cs="Times New Roman"/>
              </w:rPr>
              <w:t>45</w:t>
            </w:r>
          </w:p>
        </w:tc>
        <w:tc>
          <w:tcPr>
            <w:tcW w:w="5983" w:type="dxa"/>
            <w:tcBorders>
              <w:top w:val="double" w:sz="4" w:space="0" w:color="000000"/>
              <w:left w:val="double" w:sz="4" w:space="0" w:color="000000"/>
              <w:bottom w:val="double" w:sz="4" w:space="0" w:color="000000"/>
              <w:right w:val="double" w:sz="4" w:space="0" w:color="000000"/>
            </w:tcBorders>
            <w:vAlign w:val="center"/>
          </w:tcPr>
          <w:p w14:paraId="0B7951EC" w14:textId="77777777" w:rsidR="005850DB" w:rsidRDefault="00000000">
            <w:pPr>
              <w:spacing w:after="0" w:line="259" w:lineRule="auto"/>
              <w:ind w:left="0" w:right="35" w:firstLine="0"/>
              <w:jc w:val="center"/>
            </w:pPr>
            <w:r>
              <w:rPr>
                <w:rFonts w:ascii="Times New Roman" w:eastAsia="Times New Roman" w:hAnsi="Times New Roman" w:cs="Times New Roman"/>
                <w:sz w:val="24"/>
              </w:rPr>
              <w:t>3</w:t>
            </w:r>
            <w:r>
              <w:rPr>
                <w:rFonts w:ascii="Times New Roman" w:eastAsia="Times New Roman" w:hAnsi="Times New Roman" w:cs="Times New Roman"/>
                <w:sz w:val="24"/>
                <w:rtl/>
              </w:rPr>
              <w:t>.</w:t>
            </w:r>
            <w:r>
              <w:rPr>
                <w:rFonts w:ascii="Times New Roman" w:eastAsia="Times New Roman" w:hAnsi="Times New Roman" w:cs="Times New Roman"/>
                <w:sz w:val="24"/>
              </w:rPr>
              <w:t>2</w:t>
            </w:r>
            <w:r>
              <w:rPr>
                <w:szCs w:val="28"/>
                <w:rtl/>
              </w:rPr>
              <w:t xml:space="preserve"> أنواع المخاطر في مشاريع صناعة المضخا ت</w:t>
            </w:r>
            <w:r>
              <w:rPr>
                <w:b/>
                <w:bCs/>
                <w:sz w:val="36"/>
                <w:szCs w:val="36"/>
                <w:rtl/>
              </w:rPr>
              <w:t xml:space="preserve"> </w:t>
            </w:r>
          </w:p>
        </w:tc>
        <w:tc>
          <w:tcPr>
            <w:tcW w:w="1823" w:type="dxa"/>
            <w:tcBorders>
              <w:top w:val="double" w:sz="4" w:space="0" w:color="000000"/>
              <w:left w:val="double" w:sz="4" w:space="0" w:color="000000"/>
              <w:bottom w:val="double" w:sz="4" w:space="0" w:color="000000"/>
              <w:right w:val="double" w:sz="4" w:space="0" w:color="000000"/>
            </w:tcBorders>
          </w:tcPr>
          <w:p w14:paraId="48488D32" w14:textId="77777777" w:rsidR="005850DB" w:rsidRDefault="00000000">
            <w:pPr>
              <w:bidi w:val="0"/>
              <w:spacing w:after="0" w:line="259" w:lineRule="auto"/>
              <w:ind w:left="735" w:right="0" w:firstLine="0"/>
              <w:jc w:val="left"/>
            </w:pPr>
            <w:r>
              <w:rPr>
                <w:b/>
                <w:sz w:val="36"/>
              </w:rPr>
              <w:t xml:space="preserve"> </w:t>
            </w:r>
          </w:p>
        </w:tc>
      </w:tr>
      <w:tr w:rsidR="005850DB" w14:paraId="13C0BA4A" w14:textId="77777777">
        <w:trPr>
          <w:trHeight w:val="679"/>
        </w:trPr>
        <w:tc>
          <w:tcPr>
            <w:tcW w:w="1226" w:type="dxa"/>
            <w:tcBorders>
              <w:top w:val="double" w:sz="4" w:space="0" w:color="000000"/>
              <w:left w:val="double" w:sz="4" w:space="0" w:color="000000"/>
              <w:bottom w:val="double" w:sz="4" w:space="0" w:color="000000"/>
              <w:right w:val="double" w:sz="4" w:space="0" w:color="000000"/>
            </w:tcBorders>
            <w:vAlign w:val="center"/>
          </w:tcPr>
          <w:p w14:paraId="7B3A3D67" w14:textId="77777777" w:rsidR="005850DB" w:rsidRDefault="00000000">
            <w:pPr>
              <w:bidi w:val="0"/>
              <w:spacing w:after="0" w:line="259" w:lineRule="auto"/>
              <w:ind w:left="310" w:right="0" w:firstLine="0"/>
              <w:jc w:val="left"/>
            </w:pPr>
            <w:r>
              <w:rPr>
                <w:rFonts w:ascii="Times New Roman" w:eastAsia="Times New Roman" w:hAnsi="Times New Roman" w:cs="Times New Roman"/>
                <w:b/>
                <w:sz w:val="36"/>
              </w:rPr>
              <w:t xml:space="preserve"> </w:t>
            </w:r>
            <w:r>
              <w:rPr>
                <w:rFonts w:ascii="Times New Roman" w:eastAsia="Times New Roman" w:hAnsi="Times New Roman" w:cs="Times New Roman"/>
                <w:sz w:val="24"/>
              </w:rPr>
              <w:t>48</w:t>
            </w:r>
          </w:p>
        </w:tc>
        <w:tc>
          <w:tcPr>
            <w:tcW w:w="5983" w:type="dxa"/>
            <w:tcBorders>
              <w:top w:val="double" w:sz="4" w:space="0" w:color="000000"/>
              <w:left w:val="double" w:sz="4" w:space="0" w:color="000000"/>
              <w:bottom w:val="double" w:sz="4" w:space="0" w:color="000000"/>
              <w:right w:val="double" w:sz="4" w:space="0" w:color="000000"/>
            </w:tcBorders>
            <w:vAlign w:val="center"/>
          </w:tcPr>
          <w:p w14:paraId="04528B36" w14:textId="77777777" w:rsidR="005850DB" w:rsidRDefault="00000000">
            <w:pPr>
              <w:spacing w:after="0" w:line="259" w:lineRule="auto"/>
              <w:ind w:left="0" w:right="35" w:firstLine="0"/>
              <w:jc w:val="center"/>
            </w:pPr>
            <w:r>
              <w:rPr>
                <w:rFonts w:ascii="Times New Roman" w:eastAsia="Times New Roman" w:hAnsi="Times New Roman" w:cs="Times New Roman"/>
                <w:sz w:val="24"/>
              </w:rPr>
              <w:t>3</w:t>
            </w:r>
            <w:r>
              <w:rPr>
                <w:rFonts w:ascii="Times New Roman" w:eastAsia="Times New Roman" w:hAnsi="Times New Roman" w:cs="Times New Roman"/>
                <w:sz w:val="24"/>
                <w:rtl/>
              </w:rPr>
              <w:t>.</w:t>
            </w:r>
            <w:r>
              <w:rPr>
                <w:rFonts w:ascii="Times New Roman" w:eastAsia="Times New Roman" w:hAnsi="Times New Roman" w:cs="Times New Roman"/>
                <w:sz w:val="24"/>
              </w:rPr>
              <w:t>3</w:t>
            </w:r>
            <w:r>
              <w:rPr>
                <w:szCs w:val="28"/>
                <w:rtl/>
              </w:rPr>
              <w:t xml:space="preserve"> عمليات إدارة المخاطر في صناعة المضخا ت</w:t>
            </w:r>
            <w:r>
              <w:rPr>
                <w:b/>
                <w:bCs/>
                <w:sz w:val="36"/>
                <w:szCs w:val="36"/>
                <w:rtl/>
              </w:rPr>
              <w:t xml:space="preserve"> </w:t>
            </w:r>
          </w:p>
        </w:tc>
        <w:tc>
          <w:tcPr>
            <w:tcW w:w="1823" w:type="dxa"/>
            <w:tcBorders>
              <w:top w:val="double" w:sz="4" w:space="0" w:color="000000"/>
              <w:left w:val="double" w:sz="4" w:space="0" w:color="000000"/>
              <w:bottom w:val="double" w:sz="4" w:space="0" w:color="000000"/>
              <w:right w:val="double" w:sz="4" w:space="0" w:color="000000"/>
            </w:tcBorders>
          </w:tcPr>
          <w:p w14:paraId="6DB35495" w14:textId="77777777" w:rsidR="005850DB" w:rsidRDefault="00000000">
            <w:pPr>
              <w:bidi w:val="0"/>
              <w:spacing w:after="0" w:line="259" w:lineRule="auto"/>
              <w:ind w:left="735" w:right="0" w:firstLine="0"/>
              <w:jc w:val="left"/>
            </w:pPr>
            <w:r>
              <w:rPr>
                <w:b/>
                <w:sz w:val="36"/>
              </w:rPr>
              <w:t xml:space="preserve"> </w:t>
            </w:r>
          </w:p>
        </w:tc>
      </w:tr>
      <w:tr w:rsidR="005850DB" w14:paraId="29966488" w14:textId="77777777">
        <w:trPr>
          <w:trHeight w:val="686"/>
        </w:trPr>
        <w:tc>
          <w:tcPr>
            <w:tcW w:w="1226" w:type="dxa"/>
            <w:tcBorders>
              <w:top w:val="double" w:sz="4" w:space="0" w:color="000000"/>
              <w:left w:val="double" w:sz="4" w:space="0" w:color="000000"/>
              <w:bottom w:val="single" w:sz="6" w:space="0" w:color="D0CECE"/>
              <w:right w:val="double" w:sz="4" w:space="0" w:color="000000"/>
            </w:tcBorders>
            <w:vAlign w:val="center"/>
          </w:tcPr>
          <w:p w14:paraId="63B75A8F" w14:textId="77777777" w:rsidR="005850DB" w:rsidRDefault="00000000">
            <w:pPr>
              <w:bidi w:val="0"/>
              <w:spacing w:after="0" w:line="259" w:lineRule="auto"/>
              <w:ind w:left="291" w:right="0" w:firstLine="0"/>
              <w:jc w:val="left"/>
            </w:pPr>
            <w:r>
              <w:rPr>
                <w:rFonts w:ascii="Times New Roman" w:eastAsia="Times New Roman" w:hAnsi="Times New Roman" w:cs="Times New Roman"/>
                <w:b/>
                <w:sz w:val="36"/>
              </w:rPr>
              <w:t xml:space="preserve"> </w:t>
            </w:r>
            <w:r>
              <w:rPr>
                <w:rFonts w:ascii="Times New Roman" w:eastAsia="Times New Roman" w:hAnsi="Times New Roman" w:cs="Times New Roman"/>
              </w:rPr>
              <w:t>50</w:t>
            </w:r>
          </w:p>
        </w:tc>
        <w:tc>
          <w:tcPr>
            <w:tcW w:w="5983" w:type="dxa"/>
            <w:tcBorders>
              <w:top w:val="double" w:sz="4" w:space="0" w:color="000000"/>
              <w:left w:val="double" w:sz="4" w:space="0" w:color="000000"/>
              <w:bottom w:val="single" w:sz="6" w:space="0" w:color="D0CECE"/>
              <w:right w:val="double" w:sz="4" w:space="0" w:color="000000"/>
            </w:tcBorders>
            <w:vAlign w:val="center"/>
          </w:tcPr>
          <w:p w14:paraId="0C1A0A33" w14:textId="77777777" w:rsidR="005850DB" w:rsidRDefault="00000000">
            <w:pPr>
              <w:spacing w:after="0" w:line="259" w:lineRule="auto"/>
              <w:ind w:left="0" w:right="38" w:firstLine="0"/>
              <w:jc w:val="center"/>
            </w:pPr>
            <w:r>
              <w:rPr>
                <w:rFonts w:ascii="Times New Roman" w:eastAsia="Times New Roman" w:hAnsi="Times New Roman" w:cs="Times New Roman"/>
                <w:sz w:val="24"/>
              </w:rPr>
              <w:t>3</w:t>
            </w:r>
            <w:r>
              <w:rPr>
                <w:rFonts w:ascii="Times New Roman" w:eastAsia="Times New Roman" w:hAnsi="Times New Roman" w:cs="Times New Roman"/>
                <w:sz w:val="24"/>
                <w:rtl/>
              </w:rPr>
              <w:t>.</w:t>
            </w:r>
            <w:r>
              <w:rPr>
                <w:rFonts w:ascii="Times New Roman" w:eastAsia="Times New Roman" w:hAnsi="Times New Roman" w:cs="Times New Roman"/>
                <w:sz w:val="24"/>
              </w:rPr>
              <w:t>4</w:t>
            </w:r>
            <w:r>
              <w:rPr>
                <w:szCs w:val="28"/>
                <w:rtl/>
              </w:rPr>
              <w:t xml:space="preserve"> أفضل الممارسات والتحديا ت</w:t>
            </w:r>
            <w:r>
              <w:rPr>
                <w:b/>
                <w:bCs/>
                <w:sz w:val="36"/>
                <w:szCs w:val="36"/>
                <w:rtl/>
              </w:rPr>
              <w:t xml:space="preserve"> </w:t>
            </w:r>
          </w:p>
        </w:tc>
        <w:tc>
          <w:tcPr>
            <w:tcW w:w="1823" w:type="dxa"/>
            <w:tcBorders>
              <w:top w:val="double" w:sz="4" w:space="0" w:color="000000"/>
              <w:left w:val="double" w:sz="4" w:space="0" w:color="000000"/>
              <w:bottom w:val="single" w:sz="6" w:space="0" w:color="D0CECE"/>
              <w:right w:val="double" w:sz="4" w:space="0" w:color="000000"/>
            </w:tcBorders>
          </w:tcPr>
          <w:p w14:paraId="5E060FBB" w14:textId="77777777" w:rsidR="005850DB" w:rsidRDefault="00000000">
            <w:pPr>
              <w:bidi w:val="0"/>
              <w:spacing w:after="0" w:line="259" w:lineRule="auto"/>
              <w:ind w:left="735" w:right="0" w:firstLine="0"/>
              <w:jc w:val="left"/>
            </w:pPr>
            <w:r>
              <w:rPr>
                <w:b/>
                <w:sz w:val="36"/>
              </w:rPr>
              <w:t xml:space="preserve"> </w:t>
            </w:r>
          </w:p>
        </w:tc>
      </w:tr>
      <w:tr w:rsidR="005850DB" w14:paraId="7E02EECB" w14:textId="77777777">
        <w:trPr>
          <w:trHeight w:val="632"/>
        </w:trPr>
        <w:tc>
          <w:tcPr>
            <w:tcW w:w="1226" w:type="dxa"/>
            <w:tcBorders>
              <w:top w:val="single" w:sz="6" w:space="0" w:color="D0CECE"/>
              <w:left w:val="double" w:sz="4" w:space="0" w:color="000000"/>
              <w:bottom w:val="double" w:sz="4" w:space="0" w:color="000000"/>
              <w:right w:val="double" w:sz="4" w:space="0" w:color="000000"/>
            </w:tcBorders>
            <w:shd w:val="clear" w:color="auto" w:fill="D0CECE"/>
            <w:vAlign w:val="center"/>
          </w:tcPr>
          <w:p w14:paraId="099B88F4" w14:textId="77777777" w:rsidR="005850DB" w:rsidRDefault="00000000">
            <w:pPr>
              <w:bidi w:val="0"/>
              <w:spacing w:after="0" w:line="259" w:lineRule="auto"/>
              <w:ind w:left="74" w:right="0" w:firstLine="0"/>
              <w:jc w:val="left"/>
            </w:pPr>
            <w:r>
              <w:rPr>
                <w:rFonts w:ascii="Times New Roman" w:eastAsia="Times New Roman" w:hAnsi="Times New Roman" w:cs="Times New Roman"/>
                <w:b/>
              </w:rPr>
              <w:t xml:space="preserve"> 69 - 60</w:t>
            </w:r>
          </w:p>
        </w:tc>
        <w:tc>
          <w:tcPr>
            <w:tcW w:w="5983" w:type="dxa"/>
            <w:tcBorders>
              <w:top w:val="single" w:sz="6" w:space="0" w:color="D0CECE"/>
              <w:left w:val="double" w:sz="4" w:space="0" w:color="000000"/>
              <w:bottom w:val="double" w:sz="4" w:space="0" w:color="000000"/>
              <w:right w:val="double" w:sz="4" w:space="0" w:color="000000"/>
            </w:tcBorders>
            <w:shd w:val="clear" w:color="auto" w:fill="D0CECE"/>
          </w:tcPr>
          <w:p w14:paraId="2EE1C06C" w14:textId="77777777" w:rsidR="005850DB" w:rsidRDefault="00000000">
            <w:pPr>
              <w:spacing w:after="0" w:line="259" w:lineRule="auto"/>
              <w:ind w:left="0" w:right="37" w:firstLine="0"/>
              <w:jc w:val="center"/>
            </w:pPr>
            <w:r>
              <w:rPr>
                <w:b/>
                <w:bCs/>
                <w:szCs w:val="28"/>
                <w:rtl/>
              </w:rPr>
              <w:t>الدارسة الميدانية: المنهجية والعينة والأدوا ت</w:t>
            </w:r>
            <w:r>
              <w:rPr>
                <w:rFonts w:ascii="Times New Roman" w:eastAsia="Times New Roman" w:hAnsi="Times New Roman" w:cs="Times New Roman"/>
                <w:b/>
                <w:bCs/>
                <w:szCs w:val="28"/>
                <w:rtl/>
              </w:rPr>
              <w:t xml:space="preserve"> </w:t>
            </w:r>
          </w:p>
        </w:tc>
        <w:tc>
          <w:tcPr>
            <w:tcW w:w="1823" w:type="dxa"/>
            <w:vMerge w:val="restart"/>
            <w:tcBorders>
              <w:top w:val="single" w:sz="6" w:space="0" w:color="D0CECE"/>
              <w:left w:val="double" w:sz="4" w:space="0" w:color="000000"/>
              <w:bottom w:val="single" w:sz="6" w:space="0" w:color="D0CECE"/>
              <w:right w:val="double" w:sz="4" w:space="0" w:color="000000"/>
            </w:tcBorders>
            <w:shd w:val="clear" w:color="auto" w:fill="D0CECE"/>
            <w:vAlign w:val="center"/>
          </w:tcPr>
          <w:p w14:paraId="259FC986" w14:textId="77777777" w:rsidR="005850DB" w:rsidRDefault="00000000">
            <w:pPr>
              <w:spacing w:after="0" w:line="259" w:lineRule="auto"/>
              <w:ind w:left="0" w:right="367" w:firstLine="0"/>
            </w:pPr>
            <w:r>
              <w:rPr>
                <w:b/>
                <w:bCs/>
                <w:szCs w:val="28"/>
                <w:rtl/>
              </w:rPr>
              <w:t xml:space="preserve">الفصل الاربع </w:t>
            </w:r>
          </w:p>
        </w:tc>
      </w:tr>
      <w:tr w:rsidR="005850DB" w14:paraId="28890AED" w14:textId="77777777">
        <w:trPr>
          <w:trHeight w:val="655"/>
        </w:trPr>
        <w:tc>
          <w:tcPr>
            <w:tcW w:w="1226" w:type="dxa"/>
            <w:tcBorders>
              <w:top w:val="double" w:sz="4" w:space="0" w:color="000000"/>
              <w:left w:val="double" w:sz="4" w:space="0" w:color="000000"/>
              <w:bottom w:val="double" w:sz="4" w:space="0" w:color="000000"/>
              <w:right w:val="double" w:sz="4" w:space="0" w:color="000000"/>
            </w:tcBorders>
            <w:vAlign w:val="center"/>
          </w:tcPr>
          <w:p w14:paraId="518FEF23"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61</w:t>
            </w:r>
          </w:p>
        </w:tc>
        <w:tc>
          <w:tcPr>
            <w:tcW w:w="5983" w:type="dxa"/>
            <w:tcBorders>
              <w:top w:val="double" w:sz="4" w:space="0" w:color="000000"/>
              <w:left w:val="double" w:sz="4" w:space="0" w:color="000000"/>
              <w:bottom w:val="double" w:sz="4" w:space="0" w:color="000000"/>
              <w:right w:val="double" w:sz="4" w:space="0" w:color="000000"/>
            </w:tcBorders>
            <w:vAlign w:val="center"/>
          </w:tcPr>
          <w:p w14:paraId="19D5E244" w14:textId="77777777" w:rsidR="005850DB" w:rsidRDefault="00000000">
            <w:pPr>
              <w:spacing w:after="0" w:line="259" w:lineRule="auto"/>
              <w:ind w:left="0" w:right="0" w:firstLine="0"/>
              <w:jc w:val="left"/>
            </w:pPr>
            <w:r>
              <w:rPr>
                <w:rFonts w:ascii="Times New Roman" w:eastAsia="Times New Roman" w:hAnsi="Times New Roman" w:cs="Times New Roman"/>
                <w:sz w:val="24"/>
              </w:rPr>
              <w:t>4</w:t>
            </w:r>
            <w:r>
              <w:rPr>
                <w:rFonts w:ascii="Times New Roman" w:eastAsia="Times New Roman" w:hAnsi="Times New Roman" w:cs="Times New Roman"/>
                <w:sz w:val="24"/>
                <w:rtl/>
              </w:rPr>
              <w:t>.</w:t>
            </w:r>
            <w:r>
              <w:rPr>
                <w:rFonts w:ascii="Times New Roman" w:eastAsia="Times New Roman" w:hAnsi="Times New Roman" w:cs="Times New Roman"/>
                <w:sz w:val="24"/>
              </w:rPr>
              <w:t>1</w:t>
            </w:r>
            <w:r>
              <w:rPr>
                <w:szCs w:val="28"/>
                <w:rtl/>
              </w:rPr>
              <w:t xml:space="preserve"> تصميم البح ث</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3D56084B" w14:textId="77777777" w:rsidR="005850DB" w:rsidRDefault="005850DB">
            <w:pPr>
              <w:bidi w:val="0"/>
              <w:spacing w:after="160" w:line="259" w:lineRule="auto"/>
              <w:ind w:left="0" w:right="0" w:firstLine="0"/>
              <w:jc w:val="left"/>
            </w:pPr>
          </w:p>
        </w:tc>
      </w:tr>
      <w:tr w:rsidR="005850DB" w14:paraId="6BD355F5" w14:textId="77777777">
        <w:trPr>
          <w:trHeight w:val="648"/>
        </w:trPr>
        <w:tc>
          <w:tcPr>
            <w:tcW w:w="1226" w:type="dxa"/>
            <w:tcBorders>
              <w:top w:val="double" w:sz="4" w:space="0" w:color="000000"/>
              <w:left w:val="double" w:sz="4" w:space="0" w:color="000000"/>
              <w:bottom w:val="double" w:sz="4" w:space="0" w:color="000000"/>
              <w:right w:val="double" w:sz="4" w:space="0" w:color="000000"/>
            </w:tcBorders>
            <w:vAlign w:val="center"/>
          </w:tcPr>
          <w:p w14:paraId="2C74EC3B"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62</w:t>
            </w:r>
          </w:p>
        </w:tc>
        <w:tc>
          <w:tcPr>
            <w:tcW w:w="5983" w:type="dxa"/>
            <w:tcBorders>
              <w:top w:val="double" w:sz="4" w:space="0" w:color="000000"/>
              <w:left w:val="double" w:sz="4" w:space="0" w:color="000000"/>
              <w:bottom w:val="double" w:sz="4" w:space="0" w:color="000000"/>
              <w:right w:val="double" w:sz="4" w:space="0" w:color="000000"/>
            </w:tcBorders>
            <w:vAlign w:val="center"/>
          </w:tcPr>
          <w:p w14:paraId="1C976DE0" w14:textId="77777777" w:rsidR="005850DB" w:rsidRDefault="00000000">
            <w:pPr>
              <w:spacing w:after="0" w:line="259" w:lineRule="auto"/>
              <w:ind w:left="0" w:right="0" w:firstLine="0"/>
              <w:jc w:val="left"/>
            </w:pPr>
            <w:r>
              <w:rPr>
                <w:rFonts w:ascii="Times New Roman" w:eastAsia="Times New Roman" w:hAnsi="Times New Roman" w:cs="Times New Roman"/>
                <w:sz w:val="24"/>
              </w:rPr>
              <w:t>4</w:t>
            </w:r>
            <w:r>
              <w:rPr>
                <w:rFonts w:ascii="Times New Roman" w:eastAsia="Times New Roman" w:hAnsi="Times New Roman" w:cs="Times New Roman"/>
                <w:sz w:val="24"/>
                <w:rtl/>
              </w:rPr>
              <w:t>.</w:t>
            </w:r>
            <w:r>
              <w:rPr>
                <w:rFonts w:ascii="Times New Roman" w:eastAsia="Times New Roman" w:hAnsi="Times New Roman" w:cs="Times New Roman"/>
                <w:sz w:val="24"/>
              </w:rPr>
              <w:t>2</w:t>
            </w:r>
            <w:r>
              <w:rPr>
                <w:szCs w:val="28"/>
                <w:rtl/>
              </w:rPr>
              <w:t xml:space="preserve"> المجتمع والعين 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785EE710" w14:textId="77777777" w:rsidR="005850DB" w:rsidRDefault="005850DB">
            <w:pPr>
              <w:bidi w:val="0"/>
              <w:spacing w:after="160" w:line="259" w:lineRule="auto"/>
              <w:ind w:left="0" w:right="0" w:firstLine="0"/>
              <w:jc w:val="left"/>
            </w:pPr>
          </w:p>
        </w:tc>
      </w:tr>
      <w:tr w:rsidR="005850DB" w14:paraId="56FC4F69" w14:textId="77777777">
        <w:trPr>
          <w:trHeight w:val="646"/>
        </w:trPr>
        <w:tc>
          <w:tcPr>
            <w:tcW w:w="1226" w:type="dxa"/>
            <w:tcBorders>
              <w:top w:val="double" w:sz="4" w:space="0" w:color="000000"/>
              <w:left w:val="double" w:sz="4" w:space="0" w:color="000000"/>
              <w:bottom w:val="double" w:sz="4" w:space="0" w:color="000000"/>
              <w:right w:val="double" w:sz="4" w:space="0" w:color="000000"/>
            </w:tcBorders>
            <w:vAlign w:val="center"/>
          </w:tcPr>
          <w:p w14:paraId="25958FAB"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64</w:t>
            </w:r>
          </w:p>
        </w:tc>
        <w:tc>
          <w:tcPr>
            <w:tcW w:w="5983" w:type="dxa"/>
            <w:tcBorders>
              <w:top w:val="double" w:sz="4" w:space="0" w:color="000000"/>
              <w:left w:val="double" w:sz="4" w:space="0" w:color="000000"/>
              <w:bottom w:val="double" w:sz="4" w:space="0" w:color="000000"/>
              <w:right w:val="double" w:sz="4" w:space="0" w:color="000000"/>
            </w:tcBorders>
            <w:vAlign w:val="center"/>
          </w:tcPr>
          <w:p w14:paraId="75B549BE" w14:textId="77777777" w:rsidR="005850DB" w:rsidRDefault="00000000">
            <w:pPr>
              <w:spacing w:after="0" w:line="259" w:lineRule="auto"/>
              <w:ind w:left="0" w:right="0" w:firstLine="0"/>
              <w:jc w:val="left"/>
            </w:pPr>
            <w:r>
              <w:rPr>
                <w:rFonts w:ascii="Times New Roman" w:eastAsia="Times New Roman" w:hAnsi="Times New Roman" w:cs="Times New Roman"/>
                <w:sz w:val="24"/>
              </w:rPr>
              <w:t>4</w:t>
            </w:r>
            <w:r>
              <w:rPr>
                <w:rFonts w:ascii="Times New Roman" w:eastAsia="Times New Roman" w:hAnsi="Times New Roman" w:cs="Times New Roman"/>
                <w:sz w:val="24"/>
                <w:rtl/>
              </w:rPr>
              <w:t>.</w:t>
            </w:r>
            <w:r>
              <w:rPr>
                <w:rFonts w:ascii="Times New Roman" w:eastAsia="Times New Roman" w:hAnsi="Times New Roman" w:cs="Times New Roman"/>
                <w:sz w:val="24"/>
              </w:rPr>
              <w:t>3</w:t>
            </w:r>
            <w:r>
              <w:rPr>
                <w:szCs w:val="28"/>
                <w:rtl/>
              </w:rPr>
              <w:t xml:space="preserve"> أدوات جمع البيانا ت</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46DAE7D2" w14:textId="77777777" w:rsidR="005850DB" w:rsidRDefault="005850DB">
            <w:pPr>
              <w:bidi w:val="0"/>
              <w:spacing w:after="160" w:line="259" w:lineRule="auto"/>
              <w:ind w:left="0" w:right="0" w:firstLine="0"/>
              <w:jc w:val="left"/>
            </w:pPr>
          </w:p>
        </w:tc>
      </w:tr>
      <w:tr w:rsidR="005850DB" w14:paraId="3EC7C3AD" w14:textId="77777777">
        <w:trPr>
          <w:trHeight w:val="648"/>
        </w:trPr>
        <w:tc>
          <w:tcPr>
            <w:tcW w:w="1226" w:type="dxa"/>
            <w:tcBorders>
              <w:top w:val="double" w:sz="4" w:space="0" w:color="000000"/>
              <w:left w:val="double" w:sz="4" w:space="0" w:color="000000"/>
              <w:bottom w:val="double" w:sz="4" w:space="0" w:color="000000"/>
              <w:right w:val="double" w:sz="4" w:space="0" w:color="000000"/>
            </w:tcBorders>
            <w:vAlign w:val="center"/>
          </w:tcPr>
          <w:p w14:paraId="287F4D1B"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65</w:t>
            </w:r>
          </w:p>
        </w:tc>
        <w:tc>
          <w:tcPr>
            <w:tcW w:w="5983" w:type="dxa"/>
            <w:tcBorders>
              <w:top w:val="double" w:sz="4" w:space="0" w:color="000000"/>
              <w:left w:val="double" w:sz="4" w:space="0" w:color="000000"/>
              <w:bottom w:val="double" w:sz="4" w:space="0" w:color="000000"/>
              <w:right w:val="double" w:sz="4" w:space="0" w:color="000000"/>
            </w:tcBorders>
            <w:vAlign w:val="center"/>
          </w:tcPr>
          <w:p w14:paraId="36BDD61B" w14:textId="77777777" w:rsidR="005850DB" w:rsidRDefault="00000000">
            <w:pPr>
              <w:spacing w:after="0" w:line="259" w:lineRule="auto"/>
              <w:ind w:left="0" w:right="0" w:firstLine="0"/>
              <w:jc w:val="left"/>
            </w:pPr>
            <w:r>
              <w:rPr>
                <w:rFonts w:ascii="Times New Roman" w:eastAsia="Times New Roman" w:hAnsi="Times New Roman" w:cs="Times New Roman"/>
                <w:sz w:val="24"/>
              </w:rPr>
              <w:t>4</w:t>
            </w:r>
            <w:r>
              <w:rPr>
                <w:rFonts w:ascii="Times New Roman" w:eastAsia="Times New Roman" w:hAnsi="Times New Roman" w:cs="Times New Roman"/>
                <w:sz w:val="24"/>
                <w:rtl/>
              </w:rPr>
              <w:t>.</w:t>
            </w:r>
            <w:r>
              <w:rPr>
                <w:rFonts w:ascii="Times New Roman" w:eastAsia="Times New Roman" w:hAnsi="Times New Roman" w:cs="Times New Roman"/>
                <w:sz w:val="24"/>
              </w:rPr>
              <w:t>4</w:t>
            </w:r>
            <w:r>
              <w:rPr>
                <w:szCs w:val="28"/>
                <w:rtl/>
              </w:rPr>
              <w:t xml:space="preserve"> أساليب تحليل البيانا ت</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nil"/>
              <w:right w:val="double" w:sz="4" w:space="0" w:color="000000"/>
            </w:tcBorders>
          </w:tcPr>
          <w:p w14:paraId="2BCBA6B9" w14:textId="77777777" w:rsidR="005850DB" w:rsidRDefault="005850DB">
            <w:pPr>
              <w:bidi w:val="0"/>
              <w:spacing w:after="160" w:line="259" w:lineRule="auto"/>
              <w:ind w:left="0" w:right="0" w:firstLine="0"/>
              <w:jc w:val="left"/>
            </w:pPr>
          </w:p>
        </w:tc>
      </w:tr>
      <w:tr w:rsidR="005850DB" w14:paraId="6E4514D9" w14:textId="77777777">
        <w:trPr>
          <w:trHeight w:val="652"/>
        </w:trPr>
        <w:tc>
          <w:tcPr>
            <w:tcW w:w="1226" w:type="dxa"/>
            <w:tcBorders>
              <w:top w:val="double" w:sz="4" w:space="0" w:color="000000"/>
              <w:left w:val="double" w:sz="4" w:space="0" w:color="000000"/>
              <w:bottom w:val="single" w:sz="6" w:space="0" w:color="D0CECE"/>
              <w:right w:val="double" w:sz="4" w:space="0" w:color="000000"/>
            </w:tcBorders>
            <w:vAlign w:val="center"/>
          </w:tcPr>
          <w:p w14:paraId="10AA8DBB" w14:textId="77777777" w:rsidR="005850DB" w:rsidRDefault="00000000">
            <w:pPr>
              <w:bidi w:val="0"/>
              <w:spacing w:after="0" w:line="259" w:lineRule="auto"/>
              <w:ind w:left="332" w:right="0" w:firstLine="0"/>
              <w:jc w:val="left"/>
            </w:pPr>
            <w:r>
              <w:rPr>
                <w:rFonts w:ascii="Times New Roman" w:eastAsia="Times New Roman" w:hAnsi="Times New Roman" w:cs="Times New Roman"/>
              </w:rPr>
              <w:t xml:space="preserve"> 67</w:t>
            </w:r>
          </w:p>
        </w:tc>
        <w:tc>
          <w:tcPr>
            <w:tcW w:w="5983" w:type="dxa"/>
            <w:tcBorders>
              <w:top w:val="double" w:sz="4" w:space="0" w:color="000000"/>
              <w:left w:val="double" w:sz="4" w:space="0" w:color="000000"/>
              <w:bottom w:val="single" w:sz="6" w:space="0" w:color="D0CECE"/>
              <w:right w:val="double" w:sz="4" w:space="0" w:color="000000"/>
            </w:tcBorders>
            <w:vAlign w:val="center"/>
          </w:tcPr>
          <w:p w14:paraId="7A0BF627" w14:textId="77777777" w:rsidR="005850DB" w:rsidRDefault="00000000">
            <w:pPr>
              <w:spacing w:after="0" w:line="259" w:lineRule="auto"/>
              <w:ind w:left="0" w:right="0" w:firstLine="0"/>
              <w:jc w:val="left"/>
            </w:pPr>
            <w:r>
              <w:rPr>
                <w:rFonts w:ascii="Times New Roman" w:eastAsia="Times New Roman" w:hAnsi="Times New Roman" w:cs="Times New Roman"/>
                <w:sz w:val="24"/>
              </w:rPr>
              <w:t>4</w:t>
            </w:r>
            <w:r>
              <w:rPr>
                <w:rFonts w:ascii="Times New Roman" w:eastAsia="Times New Roman" w:hAnsi="Times New Roman" w:cs="Times New Roman"/>
                <w:sz w:val="24"/>
                <w:rtl/>
              </w:rPr>
              <w:t>.</w:t>
            </w:r>
            <w:r>
              <w:rPr>
                <w:rFonts w:ascii="Times New Roman" w:eastAsia="Times New Roman" w:hAnsi="Times New Roman" w:cs="Times New Roman"/>
                <w:sz w:val="24"/>
              </w:rPr>
              <w:t>5</w:t>
            </w:r>
            <w:r>
              <w:rPr>
                <w:szCs w:val="28"/>
                <w:rtl/>
              </w:rPr>
              <w:t xml:space="preserve"> الاعتبا ارت الأخلاقي ة</w:t>
            </w:r>
            <w:r>
              <w:rPr>
                <w:rFonts w:ascii="Times New Roman" w:eastAsia="Times New Roman" w:hAnsi="Times New Roman" w:cs="Times New Roman"/>
                <w:szCs w:val="28"/>
                <w:rtl/>
              </w:rPr>
              <w:t xml:space="preserve"> </w:t>
            </w:r>
          </w:p>
        </w:tc>
        <w:tc>
          <w:tcPr>
            <w:tcW w:w="0" w:type="auto"/>
            <w:vMerge/>
            <w:tcBorders>
              <w:top w:val="nil"/>
              <w:left w:val="double" w:sz="4" w:space="0" w:color="000000"/>
              <w:bottom w:val="single" w:sz="6" w:space="0" w:color="D0CECE"/>
              <w:right w:val="double" w:sz="4" w:space="0" w:color="000000"/>
            </w:tcBorders>
          </w:tcPr>
          <w:p w14:paraId="37EF315A" w14:textId="77777777" w:rsidR="005850DB" w:rsidRDefault="005850DB">
            <w:pPr>
              <w:bidi w:val="0"/>
              <w:spacing w:after="160" w:line="259" w:lineRule="auto"/>
              <w:ind w:left="0" w:right="0" w:firstLine="0"/>
              <w:jc w:val="left"/>
            </w:pPr>
          </w:p>
        </w:tc>
      </w:tr>
      <w:tr w:rsidR="005850DB" w14:paraId="4F1D3FE0" w14:textId="77777777">
        <w:trPr>
          <w:trHeight w:val="634"/>
        </w:trPr>
        <w:tc>
          <w:tcPr>
            <w:tcW w:w="1226" w:type="dxa"/>
            <w:tcBorders>
              <w:top w:val="single" w:sz="6" w:space="0" w:color="D0CECE"/>
              <w:left w:val="double" w:sz="4" w:space="0" w:color="000000"/>
              <w:bottom w:val="double" w:sz="4" w:space="0" w:color="000000"/>
              <w:right w:val="double" w:sz="4" w:space="0" w:color="000000"/>
            </w:tcBorders>
            <w:shd w:val="clear" w:color="auto" w:fill="D0CECE"/>
            <w:vAlign w:val="center"/>
          </w:tcPr>
          <w:p w14:paraId="6B3DA9C9" w14:textId="77777777" w:rsidR="005850DB" w:rsidRDefault="00000000">
            <w:pPr>
              <w:bidi w:val="0"/>
              <w:spacing w:after="0" w:line="259" w:lineRule="auto"/>
              <w:ind w:left="332" w:right="0" w:firstLine="0"/>
              <w:jc w:val="left"/>
            </w:pPr>
            <w:r>
              <w:rPr>
                <w:rFonts w:ascii="Times New Roman" w:eastAsia="Times New Roman" w:hAnsi="Times New Roman" w:cs="Times New Roman"/>
                <w:b/>
              </w:rPr>
              <w:t xml:space="preserve"> 70</w:t>
            </w:r>
          </w:p>
        </w:tc>
        <w:tc>
          <w:tcPr>
            <w:tcW w:w="5983" w:type="dxa"/>
            <w:tcBorders>
              <w:top w:val="single" w:sz="6" w:space="0" w:color="D0CECE"/>
              <w:left w:val="double" w:sz="4" w:space="0" w:color="000000"/>
              <w:bottom w:val="double" w:sz="4" w:space="0" w:color="000000"/>
              <w:right w:val="double" w:sz="4" w:space="0" w:color="000000"/>
            </w:tcBorders>
            <w:shd w:val="clear" w:color="auto" w:fill="D0CECE"/>
          </w:tcPr>
          <w:p w14:paraId="37A78605" w14:textId="77777777" w:rsidR="005850DB" w:rsidRDefault="00000000">
            <w:pPr>
              <w:spacing w:after="0" w:line="259" w:lineRule="auto"/>
              <w:ind w:left="0" w:right="40" w:firstLine="0"/>
              <w:jc w:val="center"/>
            </w:pPr>
            <w:r>
              <w:rPr>
                <w:b/>
                <w:bCs/>
                <w:szCs w:val="28"/>
                <w:rtl/>
              </w:rPr>
              <w:t>الخاتمة</w:t>
            </w:r>
            <w:r>
              <w:rPr>
                <w:rFonts w:ascii="Times New Roman" w:eastAsia="Times New Roman" w:hAnsi="Times New Roman" w:cs="Times New Roman"/>
                <w:b/>
                <w:bCs/>
                <w:szCs w:val="28"/>
                <w:rtl/>
              </w:rPr>
              <w:t xml:space="preserve"> </w:t>
            </w:r>
          </w:p>
        </w:tc>
        <w:tc>
          <w:tcPr>
            <w:tcW w:w="1823" w:type="dxa"/>
            <w:tcBorders>
              <w:top w:val="single" w:sz="6" w:space="0" w:color="D0CECE"/>
              <w:left w:val="double" w:sz="4" w:space="0" w:color="000000"/>
              <w:bottom w:val="double" w:sz="4" w:space="0" w:color="000000"/>
              <w:right w:val="double" w:sz="4" w:space="0" w:color="000000"/>
            </w:tcBorders>
            <w:shd w:val="clear" w:color="auto" w:fill="D0CECE"/>
          </w:tcPr>
          <w:p w14:paraId="30CD4D5A" w14:textId="77777777" w:rsidR="005850DB" w:rsidRDefault="00000000">
            <w:pPr>
              <w:spacing w:after="0" w:line="259" w:lineRule="auto"/>
              <w:ind w:left="0" w:right="50" w:firstLine="0"/>
              <w:jc w:val="center"/>
            </w:pPr>
            <w:r>
              <w:rPr>
                <w:b/>
                <w:bCs/>
                <w:szCs w:val="28"/>
                <w:rtl/>
              </w:rPr>
              <w:t>الخاتمة</w:t>
            </w:r>
            <w:r>
              <w:rPr>
                <w:rFonts w:ascii="Times New Roman" w:eastAsia="Times New Roman" w:hAnsi="Times New Roman" w:cs="Times New Roman"/>
                <w:b/>
                <w:bCs/>
                <w:szCs w:val="28"/>
                <w:rtl/>
              </w:rPr>
              <w:t xml:space="preserve"> </w:t>
            </w:r>
          </w:p>
        </w:tc>
      </w:tr>
    </w:tbl>
    <w:p w14:paraId="30284779" w14:textId="77777777" w:rsidR="005850DB" w:rsidRDefault="00000000">
      <w:pPr>
        <w:bidi w:val="0"/>
        <w:spacing w:after="0" w:line="259" w:lineRule="auto"/>
        <w:ind w:left="0" w:right="48" w:firstLine="0"/>
      </w:pPr>
      <w:r>
        <w:t xml:space="preserve"> </w:t>
      </w:r>
    </w:p>
    <w:p w14:paraId="144AB14B" w14:textId="77777777" w:rsidR="005850DB" w:rsidRDefault="00000000">
      <w:pPr>
        <w:bidi w:val="0"/>
        <w:spacing w:after="0" w:line="259" w:lineRule="auto"/>
        <w:ind w:left="0" w:right="48" w:firstLine="0"/>
      </w:pPr>
      <w:r>
        <w:t xml:space="preserve"> </w:t>
      </w:r>
    </w:p>
    <w:p w14:paraId="108056E7" w14:textId="77777777" w:rsidR="005850DB" w:rsidRDefault="00000000">
      <w:pPr>
        <w:bidi w:val="0"/>
        <w:spacing w:after="0" w:line="259" w:lineRule="auto"/>
        <w:ind w:left="0" w:right="48" w:firstLine="0"/>
      </w:pPr>
      <w:r>
        <w:t xml:space="preserve"> </w:t>
      </w:r>
    </w:p>
    <w:p w14:paraId="2692886D" w14:textId="77777777" w:rsidR="005850DB" w:rsidRDefault="00000000">
      <w:pPr>
        <w:bidi w:val="0"/>
        <w:spacing w:after="0" w:line="259" w:lineRule="auto"/>
        <w:ind w:left="0" w:right="48" w:firstLine="0"/>
      </w:pPr>
      <w:r>
        <w:t xml:space="preserve"> </w:t>
      </w:r>
    </w:p>
    <w:p w14:paraId="5E889364" w14:textId="77777777" w:rsidR="005850DB" w:rsidRDefault="00000000">
      <w:pPr>
        <w:bidi w:val="0"/>
        <w:spacing w:after="103" w:line="259" w:lineRule="auto"/>
        <w:ind w:left="0" w:right="48" w:firstLine="0"/>
      </w:pPr>
      <w:r>
        <w:t xml:space="preserve"> </w:t>
      </w:r>
    </w:p>
    <w:p w14:paraId="388B3C58" w14:textId="77777777" w:rsidR="005850DB" w:rsidRDefault="00000000">
      <w:pPr>
        <w:bidi w:val="0"/>
        <w:spacing w:after="0" w:line="259" w:lineRule="auto"/>
        <w:ind w:left="4357" w:right="0" w:firstLine="0"/>
        <w:jc w:val="left"/>
      </w:pPr>
      <w:r>
        <w:rPr>
          <w:b/>
          <w:sz w:val="40"/>
        </w:rPr>
        <w:t xml:space="preserve"> </w:t>
      </w:r>
    </w:p>
    <w:p w14:paraId="5096CDB7" w14:textId="77777777" w:rsidR="005850DB" w:rsidRDefault="00000000">
      <w:pPr>
        <w:pStyle w:val="Heading1"/>
        <w:jc w:val="center"/>
      </w:pPr>
      <w:r>
        <w:rPr>
          <w:bCs/>
          <w:szCs w:val="40"/>
          <w:rtl/>
        </w:rPr>
        <w:lastRenderedPageBreak/>
        <w:t xml:space="preserve">قائمة المصطلحات </w:t>
      </w:r>
      <w:r>
        <w:rPr>
          <w:rFonts w:ascii="Times New Roman" w:eastAsia="Times New Roman" w:hAnsi="Times New Roman" w:cs="Times New Roman"/>
          <w:bCs/>
          <w:szCs w:val="40"/>
          <w:rtl/>
        </w:rPr>
        <w:t xml:space="preserve"> </w:t>
      </w:r>
    </w:p>
    <w:p w14:paraId="445EC5D7" w14:textId="77777777" w:rsidR="005850DB" w:rsidRDefault="00000000">
      <w:pPr>
        <w:bidi w:val="0"/>
        <w:spacing w:after="0" w:line="259" w:lineRule="auto"/>
        <w:ind w:left="0" w:right="255" w:firstLine="0"/>
        <w:jc w:val="center"/>
      </w:pPr>
      <w:r>
        <w:rPr>
          <w:b/>
          <w:sz w:val="40"/>
        </w:rPr>
        <w:t xml:space="preserve"> </w:t>
      </w:r>
    </w:p>
    <w:tbl>
      <w:tblPr>
        <w:tblStyle w:val="TableGrid"/>
        <w:tblW w:w="9032" w:type="dxa"/>
        <w:tblInd w:w="43" w:type="dxa"/>
        <w:tblCellMar>
          <w:top w:w="0" w:type="dxa"/>
          <w:left w:w="0" w:type="dxa"/>
          <w:bottom w:w="0" w:type="dxa"/>
          <w:right w:w="0" w:type="dxa"/>
        </w:tblCellMar>
        <w:tblLook w:val="04A0" w:firstRow="1" w:lastRow="0" w:firstColumn="1" w:lastColumn="0" w:noHBand="0" w:noVBand="1"/>
      </w:tblPr>
      <w:tblGrid>
        <w:gridCol w:w="4940"/>
        <w:gridCol w:w="2301"/>
        <w:gridCol w:w="1791"/>
      </w:tblGrid>
      <w:tr w:rsidR="005850DB" w14:paraId="1491C6C0" w14:textId="77777777">
        <w:trPr>
          <w:trHeight w:val="665"/>
        </w:trPr>
        <w:tc>
          <w:tcPr>
            <w:tcW w:w="4940" w:type="dxa"/>
            <w:tcBorders>
              <w:top w:val="single" w:sz="6" w:space="0" w:color="8EAADB"/>
              <w:left w:val="double" w:sz="4" w:space="0" w:color="000000"/>
              <w:bottom w:val="double" w:sz="4" w:space="0" w:color="000000"/>
              <w:right w:val="double" w:sz="4" w:space="0" w:color="000000"/>
            </w:tcBorders>
            <w:shd w:val="clear" w:color="auto" w:fill="8EAADB"/>
          </w:tcPr>
          <w:p w14:paraId="02D89337" w14:textId="77777777" w:rsidR="005850DB" w:rsidRDefault="00000000">
            <w:pPr>
              <w:spacing w:after="0" w:line="259" w:lineRule="auto"/>
              <w:ind w:left="2" w:right="0" w:firstLine="0"/>
              <w:jc w:val="center"/>
            </w:pPr>
            <w:r>
              <w:rPr>
                <w:b/>
                <w:bCs/>
                <w:sz w:val="36"/>
                <w:szCs w:val="36"/>
                <w:rtl/>
              </w:rPr>
              <w:t xml:space="preserve">التعري ف </w:t>
            </w:r>
          </w:p>
        </w:tc>
        <w:tc>
          <w:tcPr>
            <w:tcW w:w="2301" w:type="dxa"/>
            <w:tcBorders>
              <w:top w:val="single" w:sz="6" w:space="0" w:color="8EAADB"/>
              <w:left w:val="double" w:sz="4" w:space="0" w:color="000000"/>
              <w:bottom w:val="double" w:sz="4" w:space="0" w:color="000000"/>
              <w:right w:val="double" w:sz="4" w:space="0" w:color="000000"/>
            </w:tcBorders>
            <w:shd w:val="clear" w:color="auto" w:fill="8EAADB"/>
          </w:tcPr>
          <w:p w14:paraId="49944ABE" w14:textId="77777777" w:rsidR="005850DB" w:rsidRDefault="00000000">
            <w:pPr>
              <w:spacing w:after="0" w:line="259" w:lineRule="auto"/>
              <w:ind w:left="0" w:right="627" w:firstLine="0"/>
            </w:pPr>
            <w:r>
              <w:rPr>
                <w:b/>
                <w:bCs/>
                <w:sz w:val="36"/>
                <w:szCs w:val="36"/>
                <w:rtl/>
              </w:rPr>
              <w:t xml:space="preserve">الإنجليز ي </w:t>
            </w:r>
          </w:p>
        </w:tc>
        <w:tc>
          <w:tcPr>
            <w:tcW w:w="1791" w:type="dxa"/>
            <w:tcBorders>
              <w:top w:val="single" w:sz="6" w:space="0" w:color="8EAADB"/>
              <w:left w:val="double" w:sz="4" w:space="0" w:color="000000"/>
              <w:bottom w:val="double" w:sz="4" w:space="0" w:color="000000"/>
              <w:right w:val="double" w:sz="4" w:space="0" w:color="000000"/>
            </w:tcBorders>
            <w:shd w:val="clear" w:color="auto" w:fill="8EAADB"/>
          </w:tcPr>
          <w:p w14:paraId="590449D8" w14:textId="77777777" w:rsidR="005850DB" w:rsidRDefault="00000000">
            <w:pPr>
              <w:spacing w:after="0" w:line="259" w:lineRule="auto"/>
              <w:ind w:left="0" w:right="501" w:firstLine="0"/>
            </w:pPr>
            <w:r>
              <w:rPr>
                <w:b/>
                <w:bCs/>
                <w:sz w:val="36"/>
                <w:szCs w:val="36"/>
                <w:rtl/>
              </w:rPr>
              <w:t xml:space="preserve">بالعربي </w:t>
            </w:r>
          </w:p>
        </w:tc>
      </w:tr>
      <w:tr w:rsidR="005850DB" w14:paraId="0B04A5B1" w14:textId="77777777">
        <w:trPr>
          <w:trHeight w:val="1015"/>
        </w:trPr>
        <w:tc>
          <w:tcPr>
            <w:tcW w:w="4940" w:type="dxa"/>
            <w:tcBorders>
              <w:top w:val="double" w:sz="4" w:space="0" w:color="000000"/>
              <w:left w:val="double" w:sz="4" w:space="0" w:color="000000"/>
              <w:bottom w:val="double" w:sz="4" w:space="0" w:color="000000"/>
              <w:right w:val="double" w:sz="4" w:space="0" w:color="000000"/>
            </w:tcBorders>
          </w:tcPr>
          <w:p w14:paraId="37828114" w14:textId="77777777" w:rsidR="005850DB" w:rsidRDefault="00000000">
            <w:pPr>
              <w:spacing w:after="0" w:line="259" w:lineRule="auto"/>
              <w:ind w:left="859" w:right="98" w:hanging="848"/>
            </w:pPr>
            <w:r>
              <w:rPr>
                <w:szCs w:val="28"/>
                <w:rtl/>
              </w:rPr>
              <w:t xml:space="preserve">عملية تحديد وتقييم وم ارقبة المخاطر التي قد تؤثر على تحقيق أهداف المشروع أو المنظمة.  </w:t>
            </w:r>
          </w:p>
        </w:tc>
        <w:tc>
          <w:tcPr>
            <w:tcW w:w="2301" w:type="dxa"/>
            <w:tcBorders>
              <w:top w:val="double" w:sz="4" w:space="0" w:color="000000"/>
              <w:left w:val="double" w:sz="4" w:space="0" w:color="000000"/>
              <w:bottom w:val="double" w:sz="4" w:space="0" w:color="000000"/>
              <w:right w:val="double" w:sz="4" w:space="0" w:color="000000"/>
            </w:tcBorders>
            <w:vAlign w:val="center"/>
          </w:tcPr>
          <w:p w14:paraId="249EA120" w14:textId="77777777" w:rsidR="005850DB" w:rsidRDefault="00000000">
            <w:pPr>
              <w:bidi w:val="0"/>
              <w:spacing w:after="0" w:line="259" w:lineRule="auto"/>
              <w:ind w:left="142" w:right="0" w:firstLine="0"/>
              <w:jc w:val="left"/>
            </w:pPr>
            <w:r>
              <w:rPr>
                <w:sz w:val="24"/>
              </w:rPr>
              <w:t xml:space="preserve"> </w:t>
            </w:r>
            <w:r>
              <w:rPr>
                <w:rFonts w:ascii="Times New Roman" w:eastAsia="Times New Roman" w:hAnsi="Times New Roman" w:cs="Times New Roman"/>
                <w:sz w:val="24"/>
              </w:rPr>
              <w:t>Risk Management</w:t>
            </w:r>
          </w:p>
        </w:tc>
        <w:tc>
          <w:tcPr>
            <w:tcW w:w="1791" w:type="dxa"/>
            <w:tcBorders>
              <w:top w:val="double" w:sz="4" w:space="0" w:color="000000"/>
              <w:left w:val="double" w:sz="4" w:space="0" w:color="000000"/>
              <w:bottom w:val="double" w:sz="4" w:space="0" w:color="000000"/>
              <w:right w:val="double" w:sz="4" w:space="0" w:color="000000"/>
            </w:tcBorders>
            <w:vAlign w:val="center"/>
          </w:tcPr>
          <w:p w14:paraId="74981FB0" w14:textId="77777777" w:rsidR="005850DB" w:rsidRDefault="00000000">
            <w:pPr>
              <w:spacing w:after="0" w:line="259" w:lineRule="auto"/>
              <w:ind w:left="0" w:right="308" w:firstLine="0"/>
            </w:pPr>
            <w:r>
              <w:rPr>
                <w:szCs w:val="28"/>
                <w:rtl/>
              </w:rPr>
              <w:t>إدارة المخاطر</w:t>
            </w:r>
            <w:r>
              <w:rPr>
                <w:rFonts w:ascii="Times New Roman" w:eastAsia="Times New Roman" w:hAnsi="Times New Roman" w:cs="Times New Roman"/>
                <w:szCs w:val="28"/>
                <w:rtl/>
              </w:rPr>
              <w:t xml:space="preserve"> </w:t>
            </w:r>
          </w:p>
        </w:tc>
      </w:tr>
      <w:tr w:rsidR="005850DB" w14:paraId="37E9E5EA" w14:textId="77777777">
        <w:trPr>
          <w:trHeight w:val="1009"/>
        </w:trPr>
        <w:tc>
          <w:tcPr>
            <w:tcW w:w="4940" w:type="dxa"/>
            <w:tcBorders>
              <w:top w:val="double" w:sz="4" w:space="0" w:color="000000"/>
              <w:left w:val="double" w:sz="4" w:space="0" w:color="000000"/>
              <w:bottom w:val="double" w:sz="4" w:space="0" w:color="000000"/>
              <w:right w:val="double" w:sz="4" w:space="0" w:color="000000"/>
            </w:tcBorders>
          </w:tcPr>
          <w:p w14:paraId="4C55296D" w14:textId="77777777" w:rsidR="005850DB" w:rsidRDefault="00000000">
            <w:pPr>
              <w:spacing w:after="0" w:line="259" w:lineRule="auto"/>
              <w:ind w:left="1032" w:right="180" w:hanging="939"/>
            </w:pPr>
            <w:r>
              <w:rPr>
                <w:szCs w:val="28"/>
                <w:rtl/>
              </w:rPr>
              <w:t xml:space="preserve">قطاع صناعي متخصص في تصميم وتصنيع وتوزيع المضخات الصناعية والتجارية.  </w:t>
            </w:r>
          </w:p>
        </w:tc>
        <w:tc>
          <w:tcPr>
            <w:tcW w:w="2301" w:type="dxa"/>
            <w:tcBorders>
              <w:top w:val="double" w:sz="4" w:space="0" w:color="000000"/>
              <w:left w:val="double" w:sz="4" w:space="0" w:color="000000"/>
              <w:bottom w:val="double" w:sz="4" w:space="0" w:color="000000"/>
              <w:right w:val="double" w:sz="4" w:space="0" w:color="000000"/>
            </w:tcBorders>
            <w:vAlign w:val="center"/>
          </w:tcPr>
          <w:p w14:paraId="7A23284A" w14:textId="77777777" w:rsidR="005850DB" w:rsidRDefault="00000000">
            <w:pPr>
              <w:bidi w:val="0"/>
              <w:spacing w:after="0" w:line="259" w:lineRule="auto"/>
              <w:ind w:left="-7" w:right="0" w:firstLine="0"/>
              <w:jc w:val="left"/>
            </w:pPr>
            <w:r>
              <w:rPr>
                <w:sz w:val="24"/>
              </w:rPr>
              <w:t xml:space="preserve"> </w:t>
            </w:r>
            <w:r>
              <w:rPr>
                <w:rFonts w:ascii="Times New Roman" w:eastAsia="Times New Roman" w:hAnsi="Times New Roman" w:cs="Times New Roman"/>
                <w:sz w:val="24"/>
              </w:rPr>
              <w:t>Pump Manufacturing</w:t>
            </w:r>
          </w:p>
        </w:tc>
        <w:tc>
          <w:tcPr>
            <w:tcW w:w="1791" w:type="dxa"/>
            <w:tcBorders>
              <w:top w:val="double" w:sz="4" w:space="0" w:color="000000"/>
              <w:left w:val="double" w:sz="4" w:space="0" w:color="000000"/>
              <w:bottom w:val="double" w:sz="4" w:space="0" w:color="000000"/>
              <w:right w:val="double" w:sz="4" w:space="0" w:color="000000"/>
            </w:tcBorders>
            <w:vAlign w:val="center"/>
          </w:tcPr>
          <w:p w14:paraId="31CD9C17" w14:textId="77777777" w:rsidR="005850DB" w:rsidRDefault="00000000">
            <w:pPr>
              <w:spacing w:after="0" w:line="259" w:lineRule="auto"/>
              <w:ind w:left="0" w:right="104" w:firstLine="0"/>
              <w:jc w:val="both"/>
            </w:pPr>
            <w:r>
              <w:rPr>
                <w:szCs w:val="28"/>
                <w:rtl/>
              </w:rPr>
              <w:t>صناعة المضخا ت</w:t>
            </w:r>
            <w:r>
              <w:rPr>
                <w:rFonts w:ascii="Times New Roman" w:eastAsia="Times New Roman" w:hAnsi="Times New Roman" w:cs="Times New Roman"/>
                <w:szCs w:val="28"/>
                <w:rtl/>
              </w:rPr>
              <w:t xml:space="preserve"> </w:t>
            </w:r>
          </w:p>
        </w:tc>
      </w:tr>
      <w:tr w:rsidR="005850DB" w14:paraId="6726C77B" w14:textId="77777777">
        <w:trPr>
          <w:trHeight w:val="1008"/>
        </w:trPr>
        <w:tc>
          <w:tcPr>
            <w:tcW w:w="4940" w:type="dxa"/>
            <w:tcBorders>
              <w:top w:val="double" w:sz="4" w:space="0" w:color="000000"/>
              <w:left w:val="double" w:sz="4" w:space="0" w:color="000000"/>
              <w:bottom w:val="double" w:sz="4" w:space="0" w:color="000000"/>
              <w:right w:val="double" w:sz="4" w:space="0" w:color="000000"/>
            </w:tcBorders>
          </w:tcPr>
          <w:p w14:paraId="23260765" w14:textId="77777777" w:rsidR="005850DB" w:rsidRDefault="00000000">
            <w:pPr>
              <w:spacing w:after="0" w:line="259" w:lineRule="auto"/>
              <w:ind w:left="924" w:right="75" w:hanging="924"/>
            </w:pPr>
            <w:r>
              <w:rPr>
                <w:szCs w:val="28"/>
                <w:rtl/>
              </w:rPr>
              <w:t xml:space="preserve">تحقيق أهداف المشروع المحددة من حيث الوقت والتكلفة والجودة ورضا أصحاب المصلحة. </w:t>
            </w:r>
          </w:p>
        </w:tc>
        <w:tc>
          <w:tcPr>
            <w:tcW w:w="2301" w:type="dxa"/>
            <w:tcBorders>
              <w:top w:val="double" w:sz="4" w:space="0" w:color="000000"/>
              <w:left w:val="double" w:sz="4" w:space="0" w:color="000000"/>
              <w:bottom w:val="double" w:sz="4" w:space="0" w:color="000000"/>
              <w:right w:val="double" w:sz="4" w:space="0" w:color="000000"/>
            </w:tcBorders>
            <w:vAlign w:val="center"/>
          </w:tcPr>
          <w:p w14:paraId="04F668D0" w14:textId="77777777" w:rsidR="005850DB" w:rsidRDefault="00000000">
            <w:pPr>
              <w:bidi w:val="0"/>
              <w:spacing w:after="0" w:line="259" w:lineRule="auto"/>
              <w:ind w:left="267" w:right="0" w:firstLine="0"/>
              <w:jc w:val="left"/>
            </w:pPr>
            <w:r>
              <w:rPr>
                <w:sz w:val="24"/>
              </w:rPr>
              <w:t xml:space="preserve"> </w:t>
            </w:r>
            <w:r>
              <w:rPr>
                <w:rFonts w:ascii="Times New Roman" w:eastAsia="Times New Roman" w:hAnsi="Times New Roman" w:cs="Times New Roman"/>
                <w:sz w:val="24"/>
              </w:rPr>
              <w:t>Project Success</w:t>
            </w:r>
          </w:p>
        </w:tc>
        <w:tc>
          <w:tcPr>
            <w:tcW w:w="1791" w:type="dxa"/>
            <w:tcBorders>
              <w:top w:val="double" w:sz="4" w:space="0" w:color="000000"/>
              <w:left w:val="double" w:sz="4" w:space="0" w:color="000000"/>
              <w:bottom w:val="double" w:sz="4" w:space="0" w:color="000000"/>
              <w:right w:val="double" w:sz="4" w:space="0" w:color="000000"/>
            </w:tcBorders>
            <w:vAlign w:val="center"/>
          </w:tcPr>
          <w:p w14:paraId="7C1FB319" w14:textId="77777777" w:rsidR="005850DB" w:rsidRDefault="00000000">
            <w:pPr>
              <w:spacing w:after="0" w:line="259" w:lineRule="auto"/>
              <w:ind w:left="0" w:right="289" w:firstLine="0"/>
            </w:pPr>
            <w:r>
              <w:rPr>
                <w:szCs w:val="28"/>
                <w:rtl/>
              </w:rPr>
              <w:t>نجاح المشرو ع</w:t>
            </w:r>
            <w:r>
              <w:rPr>
                <w:rFonts w:ascii="Times New Roman" w:eastAsia="Times New Roman" w:hAnsi="Times New Roman" w:cs="Times New Roman"/>
                <w:szCs w:val="28"/>
                <w:rtl/>
              </w:rPr>
              <w:t xml:space="preserve"> </w:t>
            </w:r>
          </w:p>
        </w:tc>
      </w:tr>
      <w:tr w:rsidR="005850DB" w14:paraId="23BD5567" w14:textId="77777777">
        <w:trPr>
          <w:trHeight w:val="1008"/>
        </w:trPr>
        <w:tc>
          <w:tcPr>
            <w:tcW w:w="4940" w:type="dxa"/>
            <w:tcBorders>
              <w:top w:val="double" w:sz="4" w:space="0" w:color="000000"/>
              <w:left w:val="double" w:sz="4" w:space="0" w:color="000000"/>
              <w:bottom w:val="double" w:sz="4" w:space="0" w:color="000000"/>
              <w:right w:val="double" w:sz="4" w:space="0" w:color="000000"/>
            </w:tcBorders>
          </w:tcPr>
          <w:p w14:paraId="55BFAE32" w14:textId="77777777" w:rsidR="005850DB" w:rsidRDefault="00000000">
            <w:pPr>
              <w:spacing w:after="0" w:line="259" w:lineRule="auto"/>
              <w:ind w:left="575" w:right="113" w:hanging="552"/>
            </w:pPr>
            <w:r>
              <w:rPr>
                <w:szCs w:val="28"/>
                <w:rtl/>
              </w:rPr>
              <w:t xml:space="preserve">المخاطر المتعلقة بالتكنولوجيا المستخدمة في المشروع، مثل فشل المعدات أو عدم توافق الأنظمة.  </w:t>
            </w:r>
          </w:p>
        </w:tc>
        <w:tc>
          <w:tcPr>
            <w:tcW w:w="2301" w:type="dxa"/>
            <w:tcBorders>
              <w:top w:val="double" w:sz="4" w:space="0" w:color="000000"/>
              <w:left w:val="double" w:sz="4" w:space="0" w:color="000000"/>
              <w:bottom w:val="double" w:sz="4" w:space="0" w:color="000000"/>
              <w:right w:val="double" w:sz="4" w:space="0" w:color="000000"/>
            </w:tcBorders>
            <w:vAlign w:val="center"/>
          </w:tcPr>
          <w:p w14:paraId="358A9F50" w14:textId="77777777" w:rsidR="005850DB" w:rsidRDefault="00000000">
            <w:pPr>
              <w:bidi w:val="0"/>
              <w:spacing w:after="0" w:line="259" w:lineRule="auto"/>
              <w:ind w:left="255" w:right="0" w:firstLine="0"/>
              <w:jc w:val="left"/>
            </w:pPr>
            <w:r>
              <w:rPr>
                <w:sz w:val="24"/>
              </w:rPr>
              <w:t xml:space="preserve"> </w:t>
            </w:r>
            <w:r>
              <w:rPr>
                <w:rFonts w:ascii="Times New Roman" w:eastAsia="Times New Roman" w:hAnsi="Times New Roman" w:cs="Times New Roman"/>
                <w:sz w:val="24"/>
              </w:rPr>
              <w:t>Technical Risks</w:t>
            </w:r>
          </w:p>
        </w:tc>
        <w:tc>
          <w:tcPr>
            <w:tcW w:w="1791" w:type="dxa"/>
            <w:tcBorders>
              <w:top w:val="double" w:sz="4" w:space="0" w:color="000000"/>
              <w:left w:val="double" w:sz="4" w:space="0" w:color="000000"/>
              <w:bottom w:val="double" w:sz="4" w:space="0" w:color="000000"/>
              <w:right w:val="double" w:sz="4" w:space="0" w:color="000000"/>
            </w:tcBorders>
            <w:vAlign w:val="center"/>
          </w:tcPr>
          <w:p w14:paraId="220E902A" w14:textId="77777777" w:rsidR="005850DB" w:rsidRDefault="00000000">
            <w:pPr>
              <w:spacing w:after="0" w:line="259" w:lineRule="auto"/>
              <w:ind w:left="0" w:right="236" w:firstLine="0"/>
            </w:pPr>
            <w:r>
              <w:rPr>
                <w:szCs w:val="28"/>
                <w:rtl/>
              </w:rPr>
              <w:t>المخاطر التقني ة</w:t>
            </w:r>
            <w:r>
              <w:rPr>
                <w:rFonts w:ascii="Times New Roman" w:eastAsia="Times New Roman" w:hAnsi="Times New Roman" w:cs="Times New Roman"/>
                <w:szCs w:val="28"/>
                <w:rtl/>
              </w:rPr>
              <w:t xml:space="preserve"> </w:t>
            </w:r>
          </w:p>
        </w:tc>
      </w:tr>
      <w:tr w:rsidR="005850DB" w14:paraId="1BFA1A06" w14:textId="77777777">
        <w:trPr>
          <w:trHeight w:val="1010"/>
        </w:trPr>
        <w:tc>
          <w:tcPr>
            <w:tcW w:w="4940" w:type="dxa"/>
            <w:tcBorders>
              <w:top w:val="double" w:sz="4" w:space="0" w:color="000000"/>
              <w:left w:val="double" w:sz="4" w:space="0" w:color="000000"/>
              <w:bottom w:val="double" w:sz="4" w:space="0" w:color="000000"/>
              <w:right w:val="double" w:sz="4" w:space="0" w:color="000000"/>
            </w:tcBorders>
          </w:tcPr>
          <w:p w14:paraId="31822876" w14:textId="77777777" w:rsidR="005850DB" w:rsidRDefault="00000000">
            <w:pPr>
              <w:spacing w:after="0" w:line="259" w:lineRule="auto"/>
              <w:ind w:left="238" w:right="154" w:hanging="238"/>
            </w:pPr>
            <w:r>
              <w:rPr>
                <w:szCs w:val="28"/>
                <w:rtl/>
              </w:rPr>
              <w:t xml:space="preserve">المخاطر المتعلقة بتدفق المواد والخدمات من الموردين إلى العملاء، مثل تأخير التسليم أو نقص المواد. </w:t>
            </w:r>
          </w:p>
        </w:tc>
        <w:tc>
          <w:tcPr>
            <w:tcW w:w="2301" w:type="dxa"/>
            <w:tcBorders>
              <w:top w:val="double" w:sz="4" w:space="0" w:color="000000"/>
              <w:left w:val="double" w:sz="4" w:space="0" w:color="000000"/>
              <w:bottom w:val="double" w:sz="4" w:space="0" w:color="000000"/>
              <w:right w:val="double" w:sz="4" w:space="0" w:color="000000"/>
            </w:tcBorders>
            <w:vAlign w:val="center"/>
          </w:tcPr>
          <w:p w14:paraId="6956FAC0" w14:textId="77777777" w:rsidR="005850DB" w:rsidRDefault="00000000">
            <w:pPr>
              <w:bidi w:val="0"/>
              <w:spacing w:after="0" w:line="259" w:lineRule="auto"/>
              <w:ind w:left="62" w:right="0" w:firstLine="0"/>
              <w:jc w:val="left"/>
            </w:pPr>
            <w:r>
              <w:rPr>
                <w:sz w:val="24"/>
              </w:rPr>
              <w:t xml:space="preserve"> </w:t>
            </w:r>
            <w:r>
              <w:rPr>
                <w:rFonts w:ascii="Times New Roman" w:eastAsia="Times New Roman" w:hAnsi="Times New Roman" w:cs="Times New Roman"/>
                <w:sz w:val="24"/>
              </w:rPr>
              <w:t>Supply Chain Risks</w:t>
            </w:r>
          </w:p>
        </w:tc>
        <w:tc>
          <w:tcPr>
            <w:tcW w:w="1791" w:type="dxa"/>
            <w:tcBorders>
              <w:top w:val="double" w:sz="4" w:space="0" w:color="000000"/>
              <w:left w:val="double" w:sz="4" w:space="0" w:color="000000"/>
              <w:bottom w:val="double" w:sz="4" w:space="0" w:color="000000"/>
              <w:right w:val="double" w:sz="4" w:space="0" w:color="000000"/>
            </w:tcBorders>
          </w:tcPr>
          <w:p w14:paraId="48DE8751" w14:textId="77777777" w:rsidR="005850DB" w:rsidRDefault="00000000">
            <w:pPr>
              <w:spacing w:after="0" w:line="259" w:lineRule="auto"/>
              <w:ind w:left="273" w:right="103" w:firstLine="0"/>
              <w:jc w:val="left"/>
            </w:pPr>
            <w:r>
              <w:rPr>
                <w:szCs w:val="28"/>
                <w:rtl/>
              </w:rPr>
              <w:t>مخاطر سلسلة التوري د</w:t>
            </w:r>
            <w:r>
              <w:rPr>
                <w:rFonts w:ascii="Times New Roman" w:eastAsia="Times New Roman" w:hAnsi="Times New Roman" w:cs="Times New Roman"/>
                <w:szCs w:val="28"/>
                <w:rtl/>
              </w:rPr>
              <w:t xml:space="preserve"> </w:t>
            </w:r>
          </w:p>
        </w:tc>
      </w:tr>
      <w:tr w:rsidR="005850DB" w14:paraId="3E2FCCBE" w14:textId="77777777">
        <w:trPr>
          <w:trHeight w:val="1008"/>
        </w:trPr>
        <w:tc>
          <w:tcPr>
            <w:tcW w:w="4940" w:type="dxa"/>
            <w:tcBorders>
              <w:top w:val="double" w:sz="4" w:space="0" w:color="000000"/>
              <w:left w:val="double" w:sz="4" w:space="0" w:color="000000"/>
              <w:bottom w:val="double" w:sz="4" w:space="0" w:color="000000"/>
              <w:right w:val="double" w:sz="4" w:space="0" w:color="000000"/>
            </w:tcBorders>
          </w:tcPr>
          <w:p w14:paraId="64C52BB9" w14:textId="77777777" w:rsidR="005850DB" w:rsidRDefault="00000000">
            <w:pPr>
              <w:spacing w:after="0" w:line="259" w:lineRule="auto"/>
              <w:ind w:left="977" w:right="58" w:hanging="977"/>
            </w:pPr>
            <w:r>
              <w:rPr>
                <w:szCs w:val="28"/>
                <w:rtl/>
              </w:rPr>
              <w:t xml:space="preserve">المخاطر المتعلقة بالجوانب المالية للمشروع، مثل تقلباتأسعار الصرف أو نقص التمويل. </w:t>
            </w:r>
          </w:p>
        </w:tc>
        <w:tc>
          <w:tcPr>
            <w:tcW w:w="2301" w:type="dxa"/>
            <w:tcBorders>
              <w:top w:val="double" w:sz="4" w:space="0" w:color="000000"/>
              <w:left w:val="double" w:sz="4" w:space="0" w:color="000000"/>
              <w:bottom w:val="double" w:sz="4" w:space="0" w:color="000000"/>
              <w:right w:val="double" w:sz="4" w:space="0" w:color="000000"/>
            </w:tcBorders>
            <w:vAlign w:val="center"/>
          </w:tcPr>
          <w:p w14:paraId="7B2B4659" w14:textId="77777777" w:rsidR="005850DB" w:rsidRDefault="00000000">
            <w:pPr>
              <w:bidi w:val="0"/>
              <w:spacing w:after="0" w:line="259" w:lineRule="auto"/>
              <w:ind w:left="274" w:right="0" w:firstLine="0"/>
              <w:jc w:val="left"/>
            </w:pPr>
            <w:r>
              <w:rPr>
                <w:sz w:val="24"/>
              </w:rPr>
              <w:t xml:space="preserve"> </w:t>
            </w:r>
            <w:r>
              <w:rPr>
                <w:rFonts w:ascii="Times New Roman" w:eastAsia="Times New Roman" w:hAnsi="Times New Roman" w:cs="Times New Roman"/>
                <w:sz w:val="24"/>
              </w:rPr>
              <w:t>Financial Risks</w:t>
            </w:r>
          </w:p>
        </w:tc>
        <w:tc>
          <w:tcPr>
            <w:tcW w:w="1791" w:type="dxa"/>
            <w:tcBorders>
              <w:top w:val="double" w:sz="4" w:space="0" w:color="000000"/>
              <w:left w:val="double" w:sz="4" w:space="0" w:color="000000"/>
              <w:bottom w:val="double" w:sz="4" w:space="0" w:color="000000"/>
              <w:right w:val="double" w:sz="4" w:space="0" w:color="000000"/>
            </w:tcBorders>
            <w:vAlign w:val="center"/>
          </w:tcPr>
          <w:p w14:paraId="4636C4FC" w14:textId="77777777" w:rsidR="005850DB" w:rsidRDefault="00000000">
            <w:pPr>
              <w:spacing w:after="0" w:line="259" w:lineRule="auto"/>
              <w:ind w:left="0" w:right="224" w:firstLine="0"/>
            </w:pPr>
            <w:r>
              <w:rPr>
                <w:szCs w:val="28"/>
                <w:rtl/>
              </w:rPr>
              <w:t>المخاطر المالي ة</w:t>
            </w:r>
            <w:r>
              <w:rPr>
                <w:rFonts w:ascii="Times New Roman" w:eastAsia="Times New Roman" w:hAnsi="Times New Roman" w:cs="Times New Roman"/>
                <w:szCs w:val="28"/>
                <w:rtl/>
              </w:rPr>
              <w:t xml:space="preserve"> </w:t>
            </w:r>
          </w:p>
        </w:tc>
      </w:tr>
      <w:tr w:rsidR="005850DB" w14:paraId="2D88ECA5" w14:textId="77777777">
        <w:trPr>
          <w:trHeight w:val="501"/>
        </w:trPr>
        <w:tc>
          <w:tcPr>
            <w:tcW w:w="4940" w:type="dxa"/>
            <w:tcBorders>
              <w:top w:val="double" w:sz="4" w:space="0" w:color="000000"/>
              <w:left w:val="double" w:sz="4" w:space="0" w:color="000000"/>
              <w:bottom w:val="nil"/>
              <w:right w:val="double" w:sz="4" w:space="0" w:color="000000"/>
            </w:tcBorders>
          </w:tcPr>
          <w:p w14:paraId="4ACE5CA8" w14:textId="77777777" w:rsidR="005850DB" w:rsidRDefault="00000000">
            <w:pPr>
              <w:spacing w:after="0" w:line="259" w:lineRule="auto"/>
              <w:ind w:left="0" w:right="154" w:firstLine="0"/>
            </w:pPr>
            <w:r>
              <w:rPr>
                <w:szCs w:val="28"/>
                <w:rtl/>
              </w:rPr>
              <w:t>المخاطر المتعلقة بالامتثال للقوانين واللوائح الحكومية ،</w:t>
            </w:r>
          </w:p>
        </w:tc>
        <w:tc>
          <w:tcPr>
            <w:tcW w:w="2301" w:type="dxa"/>
            <w:tcBorders>
              <w:top w:val="double" w:sz="4" w:space="0" w:color="000000"/>
              <w:left w:val="double" w:sz="4" w:space="0" w:color="000000"/>
              <w:bottom w:val="nil"/>
              <w:right w:val="double" w:sz="4" w:space="0" w:color="000000"/>
            </w:tcBorders>
          </w:tcPr>
          <w:p w14:paraId="69C56562" w14:textId="77777777" w:rsidR="005850DB" w:rsidRDefault="005850DB">
            <w:pPr>
              <w:bidi w:val="0"/>
              <w:spacing w:after="160" w:line="259" w:lineRule="auto"/>
              <w:ind w:left="0" w:right="0" w:firstLine="0"/>
              <w:jc w:val="left"/>
            </w:pPr>
          </w:p>
        </w:tc>
        <w:tc>
          <w:tcPr>
            <w:tcW w:w="1791" w:type="dxa"/>
            <w:tcBorders>
              <w:top w:val="double" w:sz="4" w:space="0" w:color="000000"/>
              <w:left w:val="double" w:sz="4" w:space="0" w:color="000000"/>
              <w:bottom w:val="nil"/>
              <w:right w:val="double" w:sz="4" w:space="0" w:color="000000"/>
            </w:tcBorders>
          </w:tcPr>
          <w:p w14:paraId="54CF3DF6" w14:textId="77777777" w:rsidR="005850DB" w:rsidRDefault="005850DB">
            <w:pPr>
              <w:bidi w:val="0"/>
              <w:spacing w:after="160" w:line="259" w:lineRule="auto"/>
              <w:ind w:left="0" w:right="0" w:firstLine="0"/>
              <w:jc w:val="left"/>
            </w:pPr>
          </w:p>
        </w:tc>
      </w:tr>
      <w:tr w:rsidR="005850DB" w14:paraId="44B7342B" w14:textId="77777777">
        <w:trPr>
          <w:trHeight w:val="970"/>
        </w:trPr>
        <w:tc>
          <w:tcPr>
            <w:tcW w:w="4940" w:type="dxa"/>
            <w:tcBorders>
              <w:top w:val="nil"/>
              <w:left w:val="double" w:sz="4" w:space="0" w:color="000000"/>
              <w:bottom w:val="double" w:sz="4" w:space="0" w:color="000000"/>
              <w:right w:val="double" w:sz="4" w:space="0" w:color="000000"/>
            </w:tcBorders>
          </w:tcPr>
          <w:p w14:paraId="78EB4D74" w14:textId="77777777" w:rsidR="005850DB" w:rsidRDefault="00000000">
            <w:pPr>
              <w:spacing w:after="0" w:line="259" w:lineRule="auto"/>
              <w:ind w:left="1918" w:right="464" w:hanging="1541"/>
            </w:pPr>
            <w:r>
              <w:rPr>
                <w:szCs w:val="28"/>
                <w:rtl/>
              </w:rPr>
              <w:t xml:space="preserve">مثل التغيي ارت في التشريعات أو الحصول على الت ارخيص.  </w:t>
            </w:r>
          </w:p>
        </w:tc>
        <w:tc>
          <w:tcPr>
            <w:tcW w:w="2301" w:type="dxa"/>
            <w:tcBorders>
              <w:top w:val="nil"/>
              <w:left w:val="double" w:sz="4" w:space="0" w:color="000000"/>
              <w:bottom w:val="double" w:sz="4" w:space="0" w:color="000000"/>
              <w:right w:val="double" w:sz="4" w:space="0" w:color="000000"/>
            </w:tcBorders>
          </w:tcPr>
          <w:p w14:paraId="76076156" w14:textId="77777777" w:rsidR="005850DB" w:rsidRDefault="00000000">
            <w:pPr>
              <w:tabs>
                <w:tab w:val="center" w:pos="2264"/>
              </w:tabs>
              <w:bidi w:val="0"/>
              <w:spacing w:after="0" w:line="259" w:lineRule="auto"/>
              <w:ind w:left="0" w:right="0" w:firstLine="0"/>
              <w:jc w:val="left"/>
            </w:pPr>
            <w:r>
              <w:rPr>
                <w:sz w:val="24"/>
              </w:rPr>
              <w:t xml:space="preserve"> </w:t>
            </w:r>
            <w:r>
              <w:rPr>
                <w:rFonts w:ascii="Times New Roman" w:eastAsia="Times New Roman" w:hAnsi="Times New Roman" w:cs="Times New Roman"/>
                <w:sz w:val="24"/>
              </w:rPr>
              <w:t>Regulatory Risks</w:t>
            </w:r>
            <w:r>
              <w:rPr>
                <w:rFonts w:ascii="Times New Roman" w:eastAsia="Times New Roman" w:hAnsi="Times New Roman" w:cs="Times New Roman"/>
                <w:sz w:val="24"/>
              </w:rPr>
              <w:tab/>
            </w:r>
            <w:r>
              <w:rPr>
                <w:rFonts w:ascii="Times New Roman" w:eastAsia="Times New Roman" w:hAnsi="Times New Roman" w:cs="Times New Roman"/>
              </w:rPr>
              <w:t xml:space="preserve"> </w:t>
            </w:r>
          </w:p>
        </w:tc>
        <w:tc>
          <w:tcPr>
            <w:tcW w:w="1791" w:type="dxa"/>
            <w:tcBorders>
              <w:top w:val="nil"/>
              <w:left w:val="double" w:sz="4" w:space="0" w:color="000000"/>
              <w:bottom w:val="double" w:sz="4" w:space="0" w:color="000000"/>
              <w:right w:val="double" w:sz="4" w:space="0" w:color="000000"/>
            </w:tcBorders>
          </w:tcPr>
          <w:p w14:paraId="142E065F" w14:textId="77777777" w:rsidR="005850DB" w:rsidRDefault="00000000">
            <w:pPr>
              <w:spacing w:after="0" w:line="259" w:lineRule="auto"/>
              <w:ind w:left="0" w:right="102" w:firstLine="0"/>
            </w:pPr>
            <w:r>
              <w:rPr>
                <w:szCs w:val="28"/>
                <w:rtl/>
              </w:rPr>
              <w:t>المخاطر التنظيمي ة</w:t>
            </w:r>
          </w:p>
        </w:tc>
      </w:tr>
      <w:tr w:rsidR="005850DB" w14:paraId="06FD9A7A" w14:textId="77777777">
        <w:trPr>
          <w:trHeight w:val="1008"/>
        </w:trPr>
        <w:tc>
          <w:tcPr>
            <w:tcW w:w="4940" w:type="dxa"/>
            <w:tcBorders>
              <w:top w:val="double" w:sz="4" w:space="0" w:color="000000"/>
              <w:left w:val="double" w:sz="4" w:space="0" w:color="000000"/>
              <w:bottom w:val="double" w:sz="4" w:space="0" w:color="000000"/>
              <w:right w:val="double" w:sz="4" w:space="0" w:color="000000"/>
            </w:tcBorders>
          </w:tcPr>
          <w:p w14:paraId="43591E4D" w14:textId="77777777" w:rsidR="005850DB" w:rsidRDefault="00000000">
            <w:pPr>
              <w:spacing w:after="0" w:line="259" w:lineRule="auto"/>
              <w:ind w:left="280" w:right="193" w:firstLine="0"/>
              <w:jc w:val="center"/>
            </w:pPr>
            <w:r>
              <w:rPr>
                <w:szCs w:val="28"/>
                <w:rtl/>
              </w:rPr>
              <w:t xml:space="preserve">المخاطر المتعلقة بتأثير المشروع على البيئة، مثل التلوث أو استن ازف الموارد الطبيعية.  </w:t>
            </w:r>
          </w:p>
        </w:tc>
        <w:tc>
          <w:tcPr>
            <w:tcW w:w="2301" w:type="dxa"/>
            <w:tcBorders>
              <w:top w:val="double" w:sz="4" w:space="0" w:color="000000"/>
              <w:left w:val="double" w:sz="4" w:space="0" w:color="000000"/>
              <w:bottom w:val="double" w:sz="4" w:space="0" w:color="000000"/>
              <w:right w:val="double" w:sz="4" w:space="0" w:color="000000"/>
            </w:tcBorders>
            <w:vAlign w:val="center"/>
          </w:tcPr>
          <w:p w14:paraId="4CEC5127" w14:textId="77777777" w:rsidR="005850DB" w:rsidRDefault="00000000">
            <w:pPr>
              <w:bidi w:val="0"/>
              <w:spacing w:after="0" w:line="259" w:lineRule="auto"/>
              <w:ind w:left="7" w:right="0" w:firstLine="0"/>
              <w:jc w:val="left"/>
            </w:pPr>
            <w:r>
              <w:rPr>
                <w:sz w:val="24"/>
              </w:rPr>
              <w:t xml:space="preserve"> </w:t>
            </w:r>
            <w:r>
              <w:rPr>
                <w:rFonts w:ascii="Times New Roman" w:eastAsia="Times New Roman" w:hAnsi="Times New Roman" w:cs="Times New Roman"/>
                <w:sz w:val="24"/>
              </w:rPr>
              <w:t>Environmental Risks</w:t>
            </w:r>
          </w:p>
        </w:tc>
        <w:tc>
          <w:tcPr>
            <w:tcW w:w="1791" w:type="dxa"/>
            <w:tcBorders>
              <w:top w:val="double" w:sz="4" w:space="0" w:color="000000"/>
              <w:left w:val="double" w:sz="4" w:space="0" w:color="000000"/>
              <w:bottom w:val="double" w:sz="4" w:space="0" w:color="000000"/>
              <w:right w:val="double" w:sz="4" w:space="0" w:color="000000"/>
            </w:tcBorders>
            <w:vAlign w:val="center"/>
          </w:tcPr>
          <w:p w14:paraId="20F23590" w14:textId="77777777" w:rsidR="005850DB" w:rsidRDefault="00000000">
            <w:pPr>
              <w:spacing w:after="0" w:line="259" w:lineRule="auto"/>
              <w:ind w:left="0" w:right="239" w:firstLine="0"/>
            </w:pPr>
            <w:r>
              <w:rPr>
                <w:szCs w:val="28"/>
                <w:rtl/>
              </w:rPr>
              <w:t>المخاطر البيئي ة</w:t>
            </w:r>
            <w:r>
              <w:rPr>
                <w:rFonts w:ascii="Times New Roman" w:eastAsia="Times New Roman" w:hAnsi="Times New Roman" w:cs="Times New Roman"/>
                <w:szCs w:val="28"/>
                <w:rtl/>
              </w:rPr>
              <w:t xml:space="preserve"> </w:t>
            </w:r>
          </w:p>
        </w:tc>
      </w:tr>
      <w:tr w:rsidR="005850DB" w14:paraId="61E0CCB1" w14:textId="77777777">
        <w:trPr>
          <w:trHeight w:val="1010"/>
        </w:trPr>
        <w:tc>
          <w:tcPr>
            <w:tcW w:w="4940" w:type="dxa"/>
            <w:tcBorders>
              <w:top w:val="double" w:sz="4" w:space="0" w:color="000000"/>
              <w:left w:val="double" w:sz="4" w:space="0" w:color="000000"/>
              <w:bottom w:val="double" w:sz="4" w:space="0" w:color="000000"/>
              <w:right w:val="double" w:sz="4" w:space="0" w:color="000000"/>
            </w:tcBorders>
          </w:tcPr>
          <w:p w14:paraId="4A1BE089" w14:textId="77777777" w:rsidR="005850DB" w:rsidRDefault="00000000">
            <w:pPr>
              <w:spacing w:after="0" w:line="259" w:lineRule="auto"/>
              <w:ind w:left="0" w:right="0" w:firstLine="0"/>
              <w:jc w:val="center"/>
            </w:pPr>
            <w:r>
              <w:rPr>
                <w:szCs w:val="28"/>
                <w:rtl/>
              </w:rPr>
              <w:t xml:space="preserve">أداة لجمع البيانات تتكون من مجموعة من الأسئلة المكتوبة التي يجيب عليها المشاركون. </w:t>
            </w:r>
          </w:p>
        </w:tc>
        <w:tc>
          <w:tcPr>
            <w:tcW w:w="2301" w:type="dxa"/>
            <w:tcBorders>
              <w:top w:val="double" w:sz="4" w:space="0" w:color="000000"/>
              <w:left w:val="double" w:sz="4" w:space="0" w:color="000000"/>
              <w:bottom w:val="double" w:sz="4" w:space="0" w:color="000000"/>
              <w:right w:val="double" w:sz="4" w:space="0" w:color="000000"/>
            </w:tcBorders>
            <w:vAlign w:val="center"/>
          </w:tcPr>
          <w:p w14:paraId="2A81B3AC" w14:textId="77777777" w:rsidR="005850DB" w:rsidRDefault="00000000">
            <w:pPr>
              <w:bidi w:val="0"/>
              <w:spacing w:after="0" w:line="259" w:lineRule="auto"/>
              <w:ind w:left="344" w:right="0" w:firstLine="0"/>
              <w:jc w:val="left"/>
            </w:pPr>
            <w:r>
              <w:rPr>
                <w:sz w:val="24"/>
              </w:rPr>
              <w:t xml:space="preserve"> </w:t>
            </w:r>
            <w:r>
              <w:rPr>
                <w:rFonts w:ascii="Times New Roman" w:eastAsia="Times New Roman" w:hAnsi="Times New Roman" w:cs="Times New Roman"/>
                <w:sz w:val="24"/>
              </w:rPr>
              <w:t>Questionnaire</w:t>
            </w:r>
          </w:p>
        </w:tc>
        <w:tc>
          <w:tcPr>
            <w:tcW w:w="1791" w:type="dxa"/>
            <w:tcBorders>
              <w:top w:val="double" w:sz="4" w:space="0" w:color="000000"/>
              <w:left w:val="double" w:sz="4" w:space="0" w:color="000000"/>
              <w:bottom w:val="double" w:sz="4" w:space="0" w:color="000000"/>
              <w:right w:val="double" w:sz="4" w:space="0" w:color="000000"/>
            </w:tcBorders>
            <w:vAlign w:val="center"/>
          </w:tcPr>
          <w:p w14:paraId="4CD6A766" w14:textId="77777777" w:rsidR="005850DB" w:rsidRDefault="00000000">
            <w:pPr>
              <w:spacing w:after="0" w:line="259" w:lineRule="auto"/>
              <w:ind w:left="0" w:right="532" w:firstLine="0"/>
            </w:pPr>
            <w:r>
              <w:rPr>
                <w:szCs w:val="28"/>
                <w:rtl/>
              </w:rPr>
              <w:t>الاستبان ة</w:t>
            </w:r>
            <w:r>
              <w:rPr>
                <w:rFonts w:ascii="Times New Roman" w:eastAsia="Times New Roman" w:hAnsi="Times New Roman" w:cs="Times New Roman"/>
                <w:szCs w:val="28"/>
                <w:rtl/>
              </w:rPr>
              <w:t xml:space="preserve"> </w:t>
            </w:r>
          </w:p>
        </w:tc>
      </w:tr>
    </w:tbl>
    <w:p w14:paraId="08199DF0"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59CCA86C"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1B6625D5"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38C613C0"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21F08F82" w14:textId="77777777" w:rsidR="005850DB" w:rsidRDefault="00000000">
      <w:pPr>
        <w:bidi w:val="0"/>
        <w:spacing w:after="0" w:line="259" w:lineRule="auto"/>
        <w:ind w:left="0" w:right="84" w:firstLine="0"/>
      </w:pPr>
      <w:r>
        <w:rPr>
          <w:rFonts w:ascii="Times New Roman" w:eastAsia="Times New Roman" w:hAnsi="Times New Roman" w:cs="Times New Roman"/>
          <w:b/>
        </w:rPr>
        <w:lastRenderedPageBreak/>
        <w:t xml:space="preserve"> </w:t>
      </w:r>
    </w:p>
    <w:p w14:paraId="24BE3124"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2F6FED6C"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73F41CAD" w14:textId="77777777" w:rsidR="005850DB" w:rsidRDefault="00000000">
      <w:pPr>
        <w:bidi w:val="0"/>
        <w:spacing w:after="58" w:line="259" w:lineRule="auto"/>
        <w:ind w:left="4340" w:right="0" w:firstLine="0"/>
        <w:jc w:val="left"/>
      </w:pPr>
      <w:r>
        <w:rPr>
          <w:rFonts w:ascii="Times New Roman" w:eastAsia="Times New Roman" w:hAnsi="Times New Roman" w:cs="Times New Roman"/>
          <w:b/>
          <w:sz w:val="40"/>
        </w:rPr>
        <w:t xml:space="preserve"> </w:t>
      </w:r>
    </w:p>
    <w:p w14:paraId="76FD0DE2" w14:textId="77777777" w:rsidR="005850DB" w:rsidRDefault="00000000">
      <w:pPr>
        <w:pStyle w:val="Heading1"/>
        <w:ind w:right="3459"/>
      </w:pPr>
      <w:r>
        <w:rPr>
          <w:bCs/>
          <w:szCs w:val="40"/>
          <w:rtl/>
        </w:rPr>
        <w:t xml:space="preserve">قائمة المصطلحات  </w:t>
      </w:r>
    </w:p>
    <w:p w14:paraId="650A8CD0" w14:textId="77777777" w:rsidR="005850DB" w:rsidRDefault="00000000">
      <w:pPr>
        <w:bidi w:val="0"/>
        <w:spacing w:after="0" w:line="259" w:lineRule="auto"/>
        <w:ind w:left="0" w:right="53" w:firstLine="0"/>
      </w:pPr>
      <w:r>
        <w:rPr>
          <w:b/>
        </w:rPr>
        <w:t xml:space="preserve"> </w:t>
      </w:r>
    </w:p>
    <w:tbl>
      <w:tblPr>
        <w:tblStyle w:val="TableGrid"/>
        <w:tblW w:w="9032" w:type="dxa"/>
        <w:tblInd w:w="43" w:type="dxa"/>
        <w:tblCellMar>
          <w:top w:w="38" w:type="dxa"/>
          <w:left w:w="0" w:type="dxa"/>
          <w:bottom w:w="0" w:type="dxa"/>
          <w:right w:w="32" w:type="dxa"/>
        </w:tblCellMar>
        <w:tblLook w:val="04A0" w:firstRow="1" w:lastRow="0" w:firstColumn="1" w:lastColumn="0" w:noHBand="0" w:noVBand="1"/>
      </w:tblPr>
      <w:tblGrid>
        <w:gridCol w:w="4940"/>
        <w:gridCol w:w="2301"/>
        <w:gridCol w:w="1791"/>
      </w:tblGrid>
      <w:tr w:rsidR="005850DB" w14:paraId="24F0BFEC" w14:textId="77777777">
        <w:trPr>
          <w:trHeight w:val="634"/>
        </w:trPr>
        <w:tc>
          <w:tcPr>
            <w:tcW w:w="4940" w:type="dxa"/>
            <w:tcBorders>
              <w:top w:val="single" w:sz="6" w:space="0" w:color="8EAADB"/>
              <w:left w:val="double" w:sz="4" w:space="0" w:color="000000"/>
              <w:bottom w:val="double" w:sz="4" w:space="0" w:color="000000"/>
              <w:right w:val="double" w:sz="4" w:space="0" w:color="000000"/>
            </w:tcBorders>
            <w:shd w:val="clear" w:color="auto" w:fill="8EAADB"/>
          </w:tcPr>
          <w:p w14:paraId="60C8EF30" w14:textId="77777777" w:rsidR="005850DB" w:rsidRDefault="00000000">
            <w:pPr>
              <w:spacing w:after="0" w:line="259" w:lineRule="auto"/>
              <w:ind w:left="0" w:right="35" w:firstLine="0"/>
              <w:jc w:val="center"/>
            </w:pPr>
            <w:r>
              <w:rPr>
                <w:szCs w:val="28"/>
                <w:rtl/>
              </w:rPr>
              <w:t xml:space="preserve">التعريف </w:t>
            </w:r>
          </w:p>
        </w:tc>
        <w:tc>
          <w:tcPr>
            <w:tcW w:w="2301" w:type="dxa"/>
            <w:tcBorders>
              <w:top w:val="single" w:sz="6" w:space="0" w:color="8EAADB"/>
              <w:left w:val="double" w:sz="4" w:space="0" w:color="000000"/>
              <w:bottom w:val="double" w:sz="4" w:space="0" w:color="000000"/>
              <w:right w:val="double" w:sz="4" w:space="0" w:color="000000"/>
            </w:tcBorders>
            <w:shd w:val="clear" w:color="auto" w:fill="8EAADB"/>
          </w:tcPr>
          <w:p w14:paraId="178CE64C" w14:textId="77777777" w:rsidR="005850DB" w:rsidRDefault="00000000">
            <w:pPr>
              <w:spacing w:after="0" w:line="259" w:lineRule="auto"/>
              <w:ind w:left="0" w:right="39" w:firstLine="0"/>
              <w:jc w:val="center"/>
            </w:pPr>
            <w:r>
              <w:rPr>
                <w:szCs w:val="28"/>
                <w:rtl/>
              </w:rPr>
              <w:t xml:space="preserve">الإنجليز ي </w:t>
            </w:r>
          </w:p>
        </w:tc>
        <w:tc>
          <w:tcPr>
            <w:tcW w:w="1791" w:type="dxa"/>
            <w:tcBorders>
              <w:top w:val="single" w:sz="6" w:space="0" w:color="8EAADB"/>
              <w:left w:val="double" w:sz="4" w:space="0" w:color="000000"/>
              <w:bottom w:val="double" w:sz="4" w:space="0" w:color="000000"/>
              <w:right w:val="double" w:sz="4" w:space="0" w:color="000000"/>
            </w:tcBorders>
            <w:shd w:val="clear" w:color="auto" w:fill="8EAADB"/>
          </w:tcPr>
          <w:p w14:paraId="136BADA1" w14:textId="77777777" w:rsidR="005850DB" w:rsidRDefault="00000000">
            <w:pPr>
              <w:spacing w:after="0" w:line="259" w:lineRule="auto"/>
              <w:ind w:left="2" w:right="0" w:firstLine="0"/>
              <w:jc w:val="left"/>
            </w:pPr>
            <w:r>
              <w:rPr>
                <w:szCs w:val="28"/>
                <w:rtl/>
              </w:rPr>
              <w:t xml:space="preserve">بالعرب ي </w:t>
            </w:r>
          </w:p>
        </w:tc>
      </w:tr>
      <w:tr w:rsidR="005850DB" w14:paraId="6DBDBDB4" w14:textId="77777777">
        <w:trPr>
          <w:trHeight w:val="1015"/>
        </w:trPr>
        <w:tc>
          <w:tcPr>
            <w:tcW w:w="4940" w:type="dxa"/>
            <w:tcBorders>
              <w:top w:val="double" w:sz="4" w:space="0" w:color="000000"/>
              <w:left w:val="double" w:sz="4" w:space="0" w:color="000000"/>
              <w:bottom w:val="double" w:sz="4" w:space="0" w:color="000000"/>
              <w:right w:val="double" w:sz="4" w:space="0" w:color="000000"/>
            </w:tcBorders>
          </w:tcPr>
          <w:p w14:paraId="42FF90AF" w14:textId="77777777" w:rsidR="005850DB" w:rsidRDefault="00000000">
            <w:pPr>
              <w:spacing w:after="0" w:line="259" w:lineRule="auto"/>
              <w:ind w:left="518" w:right="255" w:hanging="385"/>
            </w:pPr>
            <w:r>
              <w:rPr>
                <w:szCs w:val="28"/>
                <w:rtl/>
              </w:rPr>
              <w:t xml:space="preserve">أداة لجمع البيانات تتضمن حوا اًر مباش اًر بين الباحث والمشارك للحصول على معلومات متعمقة.  </w:t>
            </w:r>
          </w:p>
        </w:tc>
        <w:tc>
          <w:tcPr>
            <w:tcW w:w="2301" w:type="dxa"/>
            <w:tcBorders>
              <w:top w:val="double" w:sz="4" w:space="0" w:color="000000"/>
              <w:left w:val="double" w:sz="4" w:space="0" w:color="000000"/>
              <w:bottom w:val="double" w:sz="4" w:space="0" w:color="000000"/>
              <w:right w:val="double" w:sz="4" w:space="0" w:color="000000"/>
            </w:tcBorders>
            <w:vAlign w:val="center"/>
          </w:tcPr>
          <w:p w14:paraId="615E5C25" w14:textId="77777777" w:rsidR="005850DB" w:rsidRDefault="00000000">
            <w:pPr>
              <w:bidi w:val="0"/>
              <w:spacing w:after="0" w:line="259" w:lineRule="auto"/>
              <w:ind w:left="0" w:right="101" w:firstLine="0"/>
              <w:jc w:val="center"/>
            </w:pPr>
            <w:r>
              <w:rPr>
                <w:sz w:val="24"/>
              </w:rPr>
              <w:t xml:space="preserve"> </w:t>
            </w:r>
            <w:r>
              <w:rPr>
                <w:rFonts w:ascii="Times New Roman" w:eastAsia="Times New Roman" w:hAnsi="Times New Roman" w:cs="Times New Roman"/>
                <w:sz w:val="24"/>
              </w:rPr>
              <w:t>Interview</w:t>
            </w:r>
          </w:p>
        </w:tc>
        <w:tc>
          <w:tcPr>
            <w:tcW w:w="1791" w:type="dxa"/>
            <w:tcBorders>
              <w:top w:val="double" w:sz="4" w:space="0" w:color="000000"/>
              <w:left w:val="double" w:sz="4" w:space="0" w:color="000000"/>
              <w:bottom w:val="double" w:sz="4" w:space="0" w:color="000000"/>
              <w:right w:val="double" w:sz="4" w:space="0" w:color="000000"/>
            </w:tcBorders>
            <w:vAlign w:val="center"/>
          </w:tcPr>
          <w:p w14:paraId="7C01D7B9" w14:textId="77777777" w:rsidR="005850DB" w:rsidRDefault="00000000">
            <w:pPr>
              <w:spacing w:after="0" w:line="259" w:lineRule="auto"/>
              <w:ind w:right="0" w:firstLine="0"/>
              <w:jc w:val="left"/>
            </w:pPr>
            <w:r>
              <w:rPr>
                <w:szCs w:val="28"/>
                <w:rtl/>
              </w:rPr>
              <w:t xml:space="preserve">المقابل ة </w:t>
            </w:r>
          </w:p>
        </w:tc>
      </w:tr>
      <w:tr w:rsidR="005850DB" w14:paraId="484C7881" w14:textId="77777777">
        <w:trPr>
          <w:trHeight w:val="1009"/>
        </w:trPr>
        <w:tc>
          <w:tcPr>
            <w:tcW w:w="4940" w:type="dxa"/>
            <w:tcBorders>
              <w:top w:val="double" w:sz="4" w:space="0" w:color="000000"/>
              <w:left w:val="double" w:sz="4" w:space="0" w:color="000000"/>
              <w:bottom w:val="double" w:sz="4" w:space="0" w:color="000000"/>
              <w:right w:val="double" w:sz="4" w:space="0" w:color="000000"/>
            </w:tcBorders>
          </w:tcPr>
          <w:p w14:paraId="23239901" w14:textId="77777777" w:rsidR="005850DB" w:rsidRDefault="00000000">
            <w:pPr>
              <w:spacing w:after="0" w:line="259" w:lineRule="auto"/>
              <w:ind w:left="1643" w:right="158" w:hanging="1604"/>
            </w:pPr>
            <w:r>
              <w:rPr>
                <w:szCs w:val="28"/>
                <w:rtl/>
              </w:rPr>
              <w:t xml:space="preserve">منهج بحثي يجمع بين الأساليب الكمية والنوعية لجمع وتحليل البيانات.  </w:t>
            </w:r>
          </w:p>
        </w:tc>
        <w:tc>
          <w:tcPr>
            <w:tcW w:w="2301" w:type="dxa"/>
            <w:tcBorders>
              <w:top w:val="double" w:sz="4" w:space="0" w:color="000000"/>
              <w:left w:val="double" w:sz="4" w:space="0" w:color="000000"/>
              <w:bottom w:val="double" w:sz="4" w:space="0" w:color="000000"/>
              <w:right w:val="double" w:sz="4" w:space="0" w:color="000000"/>
            </w:tcBorders>
            <w:vAlign w:val="center"/>
          </w:tcPr>
          <w:p w14:paraId="27B18385" w14:textId="77777777" w:rsidR="005850DB" w:rsidRDefault="00000000">
            <w:pPr>
              <w:bidi w:val="0"/>
              <w:spacing w:after="0" w:line="259" w:lineRule="auto"/>
              <w:ind w:left="300" w:right="0" w:firstLine="0"/>
              <w:jc w:val="left"/>
            </w:pPr>
            <w:r>
              <w:rPr>
                <w:sz w:val="24"/>
              </w:rPr>
              <w:t xml:space="preserve"> </w:t>
            </w:r>
            <w:r>
              <w:rPr>
                <w:rFonts w:ascii="Times New Roman" w:eastAsia="Times New Roman" w:hAnsi="Times New Roman" w:cs="Times New Roman"/>
                <w:sz w:val="24"/>
              </w:rPr>
              <w:t>Mixed Method</w:t>
            </w:r>
          </w:p>
        </w:tc>
        <w:tc>
          <w:tcPr>
            <w:tcW w:w="1791" w:type="dxa"/>
            <w:tcBorders>
              <w:top w:val="double" w:sz="4" w:space="0" w:color="000000"/>
              <w:left w:val="double" w:sz="4" w:space="0" w:color="000000"/>
              <w:bottom w:val="double" w:sz="4" w:space="0" w:color="000000"/>
              <w:right w:val="double" w:sz="4" w:space="0" w:color="000000"/>
            </w:tcBorders>
            <w:vAlign w:val="center"/>
          </w:tcPr>
          <w:p w14:paraId="600F5C15" w14:textId="77777777" w:rsidR="005850DB" w:rsidRDefault="00000000">
            <w:pPr>
              <w:spacing w:after="0" w:line="259" w:lineRule="auto"/>
              <w:ind w:left="0" w:right="0" w:firstLine="0"/>
              <w:jc w:val="left"/>
            </w:pPr>
            <w:r>
              <w:rPr>
                <w:szCs w:val="28"/>
                <w:rtl/>
              </w:rPr>
              <w:t>المنهج المختل ط</w:t>
            </w:r>
            <w:r>
              <w:rPr>
                <w:rFonts w:ascii="Times New Roman" w:eastAsia="Times New Roman" w:hAnsi="Times New Roman" w:cs="Times New Roman"/>
                <w:szCs w:val="28"/>
                <w:rtl/>
              </w:rPr>
              <w:t xml:space="preserve"> </w:t>
            </w:r>
          </w:p>
        </w:tc>
      </w:tr>
      <w:tr w:rsidR="005850DB" w14:paraId="5247B605" w14:textId="77777777">
        <w:trPr>
          <w:trHeight w:val="1010"/>
        </w:trPr>
        <w:tc>
          <w:tcPr>
            <w:tcW w:w="4940" w:type="dxa"/>
            <w:tcBorders>
              <w:top w:val="double" w:sz="4" w:space="0" w:color="000000"/>
              <w:left w:val="double" w:sz="4" w:space="0" w:color="000000"/>
              <w:bottom w:val="double" w:sz="4" w:space="0" w:color="000000"/>
              <w:right w:val="double" w:sz="4" w:space="0" w:color="000000"/>
            </w:tcBorders>
          </w:tcPr>
          <w:p w14:paraId="38B7D5C3" w14:textId="77777777" w:rsidR="005850DB" w:rsidRDefault="00000000">
            <w:pPr>
              <w:spacing w:after="0" w:line="259" w:lineRule="auto"/>
              <w:ind w:left="1365" w:right="82" w:hanging="1365"/>
            </w:pPr>
            <w:r>
              <w:rPr>
                <w:szCs w:val="28"/>
                <w:rtl/>
              </w:rPr>
              <w:t xml:space="preserve">أسلوب إحصائي يستخدم لتحليل العلاقة بين متغير تابع ومتغير مستقل أو أكثر. </w:t>
            </w:r>
            <w:r>
              <w:rPr>
                <w:rFonts w:ascii="Times New Roman" w:eastAsia="Times New Roman" w:hAnsi="Times New Roman" w:cs="Times New Roman"/>
                <w:szCs w:val="28"/>
                <w:rtl/>
              </w:rPr>
              <w:t xml:space="preserve"> </w:t>
            </w:r>
          </w:p>
        </w:tc>
        <w:tc>
          <w:tcPr>
            <w:tcW w:w="2301" w:type="dxa"/>
            <w:tcBorders>
              <w:top w:val="double" w:sz="4" w:space="0" w:color="000000"/>
              <w:left w:val="double" w:sz="4" w:space="0" w:color="000000"/>
              <w:bottom w:val="double" w:sz="4" w:space="0" w:color="000000"/>
              <w:right w:val="double" w:sz="4" w:space="0" w:color="000000"/>
            </w:tcBorders>
            <w:vAlign w:val="center"/>
          </w:tcPr>
          <w:p w14:paraId="7F907F10" w14:textId="77777777" w:rsidR="005850DB" w:rsidRDefault="00000000">
            <w:pPr>
              <w:bidi w:val="0"/>
              <w:spacing w:after="0" w:line="259" w:lineRule="auto"/>
              <w:ind w:left="41" w:right="0" w:firstLine="0"/>
              <w:jc w:val="left"/>
            </w:pPr>
            <w:r>
              <w:rPr>
                <w:sz w:val="24"/>
              </w:rPr>
              <w:t xml:space="preserve"> </w:t>
            </w:r>
            <w:r>
              <w:rPr>
                <w:rFonts w:ascii="Times New Roman" w:eastAsia="Times New Roman" w:hAnsi="Times New Roman" w:cs="Times New Roman"/>
                <w:sz w:val="24"/>
              </w:rPr>
              <w:t>Regression Analysis</w:t>
            </w:r>
          </w:p>
        </w:tc>
        <w:tc>
          <w:tcPr>
            <w:tcW w:w="1791" w:type="dxa"/>
            <w:tcBorders>
              <w:top w:val="double" w:sz="4" w:space="0" w:color="000000"/>
              <w:left w:val="double" w:sz="4" w:space="0" w:color="000000"/>
              <w:bottom w:val="double" w:sz="4" w:space="0" w:color="000000"/>
              <w:right w:val="double" w:sz="4" w:space="0" w:color="000000"/>
            </w:tcBorders>
            <w:vAlign w:val="center"/>
          </w:tcPr>
          <w:p w14:paraId="65679839" w14:textId="77777777" w:rsidR="005850DB" w:rsidRDefault="00000000">
            <w:pPr>
              <w:spacing w:after="0" w:line="259" w:lineRule="auto"/>
              <w:ind w:left="0" w:right="256" w:firstLine="0"/>
            </w:pPr>
            <w:r>
              <w:rPr>
                <w:szCs w:val="28"/>
                <w:rtl/>
              </w:rPr>
              <w:t xml:space="preserve">تحليل الانحدار </w:t>
            </w:r>
          </w:p>
        </w:tc>
      </w:tr>
      <w:tr w:rsidR="005850DB" w14:paraId="61E57A74" w14:textId="77777777">
        <w:trPr>
          <w:trHeight w:val="646"/>
        </w:trPr>
        <w:tc>
          <w:tcPr>
            <w:tcW w:w="4940" w:type="dxa"/>
            <w:tcBorders>
              <w:top w:val="double" w:sz="4" w:space="0" w:color="000000"/>
              <w:left w:val="double" w:sz="4" w:space="0" w:color="000000"/>
              <w:bottom w:val="double" w:sz="4" w:space="0" w:color="000000"/>
              <w:right w:val="double" w:sz="4" w:space="0" w:color="000000"/>
            </w:tcBorders>
          </w:tcPr>
          <w:p w14:paraId="241ECC90" w14:textId="77777777" w:rsidR="005850DB" w:rsidRDefault="00000000">
            <w:pPr>
              <w:spacing w:after="0" w:line="259" w:lineRule="auto"/>
              <w:ind w:left="0" w:right="60" w:firstLine="0"/>
              <w:jc w:val="both"/>
            </w:pPr>
            <w:r>
              <w:rPr>
                <w:szCs w:val="28"/>
                <w:rtl/>
              </w:rPr>
              <w:t>مقياس إحصائي يوضح قوة واتجاه العلاقة بين متغيرين.</w:t>
            </w:r>
          </w:p>
        </w:tc>
        <w:tc>
          <w:tcPr>
            <w:tcW w:w="2301" w:type="dxa"/>
            <w:tcBorders>
              <w:top w:val="double" w:sz="4" w:space="0" w:color="000000"/>
              <w:left w:val="double" w:sz="4" w:space="0" w:color="000000"/>
              <w:bottom w:val="double" w:sz="4" w:space="0" w:color="000000"/>
              <w:right w:val="double" w:sz="4" w:space="0" w:color="000000"/>
            </w:tcBorders>
          </w:tcPr>
          <w:p w14:paraId="4C9A759F" w14:textId="77777777" w:rsidR="005850DB" w:rsidRDefault="00000000">
            <w:pPr>
              <w:bidi w:val="0"/>
              <w:spacing w:after="0" w:line="259" w:lineRule="auto"/>
              <w:ind w:left="71" w:right="0" w:firstLine="0"/>
              <w:jc w:val="center"/>
            </w:pPr>
            <w:r>
              <w:rPr>
                <w:rFonts w:ascii="Times New Roman" w:eastAsia="Times New Roman" w:hAnsi="Times New Roman" w:cs="Times New Roman"/>
                <w:sz w:val="24"/>
              </w:rPr>
              <w:t xml:space="preserve">Correlation </w:t>
            </w:r>
            <w:r>
              <w:rPr>
                <w:sz w:val="24"/>
              </w:rPr>
              <w:t xml:space="preserve"> </w:t>
            </w:r>
            <w:r>
              <w:rPr>
                <w:rFonts w:ascii="Times New Roman" w:eastAsia="Times New Roman" w:hAnsi="Times New Roman" w:cs="Times New Roman"/>
                <w:sz w:val="24"/>
              </w:rPr>
              <w:t>Coefficient</w:t>
            </w:r>
          </w:p>
        </w:tc>
        <w:tc>
          <w:tcPr>
            <w:tcW w:w="1791" w:type="dxa"/>
            <w:tcBorders>
              <w:top w:val="double" w:sz="4" w:space="0" w:color="000000"/>
              <w:left w:val="double" w:sz="4" w:space="0" w:color="000000"/>
              <w:bottom w:val="double" w:sz="4" w:space="0" w:color="000000"/>
              <w:right w:val="double" w:sz="4" w:space="0" w:color="000000"/>
            </w:tcBorders>
          </w:tcPr>
          <w:p w14:paraId="5C9F2F46" w14:textId="77777777" w:rsidR="005850DB" w:rsidRDefault="00000000">
            <w:pPr>
              <w:spacing w:after="0" w:line="259" w:lineRule="auto"/>
              <w:ind w:left="0" w:right="255" w:firstLine="0"/>
            </w:pPr>
            <w:r>
              <w:rPr>
                <w:szCs w:val="28"/>
                <w:rtl/>
              </w:rPr>
              <w:t xml:space="preserve">معامل الارتبا ط </w:t>
            </w:r>
          </w:p>
        </w:tc>
      </w:tr>
      <w:tr w:rsidR="005850DB" w14:paraId="55378BBB" w14:textId="77777777">
        <w:trPr>
          <w:trHeight w:val="1008"/>
        </w:trPr>
        <w:tc>
          <w:tcPr>
            <w:tcW w:w="4940" w:type="dxa"/>
            <w:tcBorders>
              <w:top w:val="double" w:sz="4" w:space="0" w:color="000000"/>
              <w:left w:val="double" w:sz="4" w:space="0" w:color="000000"/>
              <w:bottom w:val="double" w:sz="4" w:space="0" w:color="000000"/>
              <w:right w:val="double" w:sz="4" w:space="0" w:color="000000"/>
            </w:tcBorders>
          </w:tcPr>
          <w:p w14:paraId="3B978ECE" w14:textId="77777777" w:rsidR="005850DB" w:rsidRDefault="00000000">
            <w:pPr>
              <w:spacing w:after="0" w:line="259" w:lineRule="auto"/>
              <w:ind w:left="1334" w:right="394" w:hanging="1334"/>
            </w:pPr>
            <w:r>
              <w:rPr>
                <w:szCs w:val="28"/>
                <w:rtl/>
              </w:rPr>
              <w:t>عبارة قابلة للاختبار توضح العلاقة المتوقعة بين متغيرين أو أكثر.</w:t>
            </w:r>
            <w:r>
              <w:rPr>
                <w:rFonts w:ascii="Times New Roman" w:eastAsia="Times New Roman" w:hAnsi="Times New Roman" w:cs="Times New Roman"/>
                <w:szCs w:val="28"/>
                <w:rtl/>
              </w:rPr>
              <w:t xml:space="preserve"> </w:t>
            </w:r>
          </w:p>
        </w:tc>
        <w:tc>
          <w:tcPr>
            <w:tcW w:w="2301" w:type="dxa"/>
            <w:tcBorders>
              <w:top w:val="double" w:sz="4" w:space="0" w:color="000000"/>
              <w:left w:val="double" w:sz="4" w:space="0" w:color="000000"/>
              <w:bottom w:val="double" w:sz="4" w:space="0" w:color="000000"/>
              <w:right w:val="double" w:sz="4" w:space="0" w:color="000000"/>
            </w:tcBorders>
            <w:vAlign w:val="center"/>
          </w:tcPr>
          <w:p w14:paraId="404E466F" w14:textId="77777777" w:rsidR="005850DB" w:rsidRDefault="00000000">
            <w:pPr>
              <w:bidi w:val="0"/>
              <w:spacing w:after="0" w:line="259" w:lineRule="auto"/>
              <w:ind w:left="0" w:right="97" w:firstLine="0"/>
              <w:jc w:val="center"/>
            </w:pPr>
            <w:r>
              <w:rPr>
                <w:sz w:val="24"/>
              </w:rPr>
              <w:t xml:space="preserve"> </w:t>
            </w:r>
            <w:r>
              <w:rPr>
                <w:rFonts w:ascii="Times New Roman" w:eastAsia="Times New Roman" w:hAnsi="Times New Roman" w:cs="Times New Roman"/>
                <w:sz w:val="24"/>
              </w:rPr>
              <w:t>Hypothesis</w:t>
            </w:r>
          </w:p>
        </w:tc>
        <w:tc>
          <w:tcPr>
            <w:tcW w:w="1791" w:type="dxa"/>
            <w:tcBorders>
              <w:top w:val="double" w:sz="4" w:space="0" w:color="000000"/>
              <w:left w:val="double" w:sz="4" w:space="0" w:color="000000"/>
              <w:bottom w:val="double" w:sz="4" w:space="0" w:color="000000"/>
              <w:right w:val="double" w:sz="4" w:space="0" w:color="000000"/>
            </w:tcBorders>
            <w:vAlign w:val="center"/>
          </w:tcPr>
          <w:p w14:paraId="15F0E2C0" w14:textId="77777777" w:rsidR="005850DB" w:rsidRDefault="00000000">
            <w:pPr>
              <w:spacing w:after="0" w:line="259" w:lineRule="auto"/>
              <w:ind w:left="0" w:right="556" w:firstLine="0"/>
            </w:pPr>
            <w:r>
              <w:rPr>
                <w:szCs w:val="28"/>
                <w:rtl/>
              </w:rPr>
              <w:t xml:space="preserve">الفرضي ة </w:t>
            </w:r>
          </w:p>
        </w:tc>
      </w:tr>
      <w:tr w:rsidR="005850DB" w14:paraId="6C5BB626" w14:textId="77777777">
        <w:trPr>
          <w:trHeight w:val="1010"/>
        </w:trPr>
        <w:tc>
          <w:tcPr>
            <w:tcW w:w="4940" w:type="dxa"/>
            <w:tcBorders>
              <w:top w:val="double" w:sz="4" w:space="0" w:color="000000"/>
              <w:left w:val="double" w:sz="4" w:space="0" w:color="000000"/>
              <w:bottom w:val="double" w:sz="4" w:space="0" w:color="000000"/>
              <w:right w:val="double" w:sz="4" w:space="0" w:color="000000"/>
            </w:tcBorders>
          </w:tcPr>
          <w:p w14:paraId="4EF876AD" w14:textId="77777777" w:rsidR="005850DB" w:rsidRDefault="00000000">
            <w:pPr>
              <w:spacing w:after="0" w:line="259" w:lineRule="auto"/>
              <w:ind w:left="1382" w:right="202" w:hanging="1299"/>
            </w:pPr>
            <w:r>
              <w:rPr>
                <w:szCs w:val="28"/>
                <w:rtl/>
              </w:rPr>
              <w:t xml:space="preserve">مجموعة من المفاهيم والمبادئ والنظريات التي تشكل أساس الد ارسة البحثية. </w:t>
            </w:r>
            <w:r>
              <w:rPr>
                <w:rFonts w:ascii="Times New Roman" w:eastAsia="Times New Roman" w:hAnsi="Times New Roman" w:cs="Times New Roman"/>
                <w:szCs w:val="28"/>
                <w:rtl/>
              </w:rPr>
              <w:t xml:space="preserve"> </w:t>
            </w:r>
          </w:p>
        </w:tc>
        <w:tc>
          <w:tcPr>
            <w:tcW w:w="2301" w:type="dxa"/>
            <w:tcBorders>
              <w:top w:val="double" w:sz="4" w:space="0" w:color="000000"/>
              <w:left w:val="double" w:sz="4" w:space="0" w:color="000000"/>
              <w:bottom w:val="double" w:sz="4" w:space="0" w:color="000000"/>
              <w:right w:val="double" w:sz="4" w:space="0" w:color="000000"/>
            </w:tcBorders>
            <w:vAlign w:val="center"/>
          </w:tcPr>
          <w:p w14:paraId="2CED9A59" w14:textId="77777777" w:rsidR="005850DB" w:rsidRDefault="00000000">
            <w:pPr>
              <w:bidi w:val="0"/>
              <w:spacing w:after="0" w:line="259" w:lineRule="auto"/>
              <w:ind w:left="55" w:right="0" w:firstLine="0"/>
              <w:jc w:val="center"/>
            </w:pPr>
            <w:r>
              <w:rPr>
                <w:rFonts w:ascii="Times New Roman" w:eastAsia="Times New Roman" w:hAnsi="Times New Roman" w:cs="Times New Roman"/>
                <w:sz w:val="24"/>
              </w:rPr>
              <w:t xml:space="preserve">Theoretical </w:t>
            </w:r>
            <w:r>
              <w:rPr>
                <w:sz w:val="24"/>
              </w:rPr>
              <w:t xml:space="preserve"> </w:t>
            </w:r>
            <w:r>
              <w:rPr>
                <w:rFonts w:ascii="Times New Roman" w:eastAsia="Times New Roman" w:hAnsi="Times New Roman" w:cs="Times New Roman"/>
                <w:sz w:val="24"/>
              </w:rPr>
              <w:t>Framework</w:t>
            </w:r>
          </w:p>
        </w:tc>
        <w:tc>
          <w:tcPr>
            <w:tcW w:w="1791" w:type="dxa"/>
            <w:tcBorders>
              <w:top w:val="double" w:sz="4" w:space="0" w:color="000000"/>
              <w:left w:val="double" w:sz="4" w:space="0" w:color="000000"/>
              <w:bottom w:val="double" w:sz="4" w:space="0" w:color="000000"/>
              <w:right w:val="double" w:sz="4" w:space="0" w:color="000000"/>
            </w:tcBorders>
            <w:vAlign w:val="center"/>
          </w:tcPr>
          <w:p w14:paraId="32471775" w14:textId="77777777" w:rsidR="005850DB" w:rsidRDefault="00000000">
            <w:pPr>
              <w:spacing w:after="0" w:line="259" w:lineRule="auto"/>
              <w:ind w:left="0" w:right="268" w:firstLine="0"/>
            </w:pPr>
            <w:r>
              <w:rPr>
                <w:szCs w:val="28"/>
                <w:rtl/>
              </w:rPr>
              <w:t xml:space="preserve">الإطار النظر ي </w:t>
            </w:r>
          </w:p>
        </w:tc>
      </w:tr>
    </w:tbl>
    <w:p w14:paraId="1567B70F"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46E6799D"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12D45A99"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77A45BE5"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776668DC"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2ED1A5C0"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3BD08AE5"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4A6D4C5B" w14:textId="77777777" w:rsidR="005850DB" w:rsidRDefault="00000000">
      <w:pPr>
        <w:bidi w:val="0"/>
        <w:spacing w:after="0" w:line="259" w:lineRule="auto"/>
        <w:ind w:left="0" w:right="84" w:firstLine="0"/>
      </w:pPr>
      <w:r>
        <w:rPr>
          <w:rFonts w:ascii="Times New Roman" w:eastAsia="Times New Roman" w:hAnsi="Times New Roman" w:cs="Times New Roman"/>
          <w:b/>
        </w:rPr>
        <w:lastRenderedPageBreak/>
        <w:t xml:space="preserve"> </w:t>
      </w:r>
    </w:p>
    <w:p w14:paraId="5E171EBE"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38033724"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6E672AEE"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06E6D7E9"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60F5CB67"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50890C61"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34ACB689"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60E382AE"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1319300B"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4854DFE0"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7B1D71F5"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33A9BF30"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12185F98"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4C1804D0" w14:textId="77777777" w:rsidR="005850DB" w:rsidRDefault="00000000">
      <w:pPr>
        <w:bidi w:val="0"/>
        <w:spacing w:after="190" w:line="259" w:lineRule="auto"/>
        <w:ind w:left="0" w:right="84" w:firstLine="0"/>
      </w:pPr>
      <w:r>
        <w:rPr>
          <w:rFonts w:ascii="Times New Roman" w:eastAsia="Times New Roman" w:hAnsi="Times New Roman" w:cs="Times New Roman"/>
          <w:b/>
        </w:rPr>
        <w:t xml:space="preserve"> </w:t>
      </w:r>
    </w:p>
    <w:p w14:paraId="507D7B0D" w14:textId="77777777" w:rsidR="005850DB" w:rsidRDefault="00000000">
      <w:pPr>
        <w:pStyle w:val="Heading1"/>
        <w:jc w:val="center"/>
      </w:pPr>
      <w:r>
        <w:rPr>
          <w:bCs/>
          <w:szCs w:val="40"/>
          <w:rtl/>
        </w:rPr>
        <w:t xml:space="preserve">قائمة الاختصاارت </w:t>
      </w:r>
      <w:r>
        <w:rPr>
          <w:rFonts w:ascii="Times New Roman" w:eastAsia="Times New Roman" w:hAnsi="Times New Roman" w:cs="Times New Roman"/>
          <w:bCs/>
          <w:szCs w:val="40"/>
          <w:rtl/>
        </w:rPr>
        <w:t xml:space="preserve"> </w:t>
      </w:r>
    </w:p>
    <w:p w14:paraId="78E6733E" w14:textId="77777777" w:rsidR="005850DB" w:rsidRDefault="00000000">
      <w:pPr>
        <w:bidi w:val="0"/>
        <w:spacing w:after="0" w:line="259" w:lineRule="auto"/>
        <w:ind w:left="0" w:right="255" w:firstLine="0"/>
        <w:jc w:val="center"/>
      </w:pPr>
      <w:r>
        <w:rPr>
          <w:b/>
          <w:sz w:val="40"/>
        </w:rPr>
        <w:t xml:space="preserve"> </w:t>
      </w:r>
    </w:p>
    <w:tbl>
      <w:tblPr>
        <w:tblStyle w:val="TableGrid"/>
        <w:tblW w:w="9032" w:type="dxa"/>
        <w:tblInd w:w="43" w:type="dxa"/>
        <w:tblCellMar>
          <w:top w:w="28" w:type="dxa"/>
          <w:left w:w="0" w:type="dxa"/>
          <w:bottom w:w="0" w:type="dxa"/>
          <w:right w:w="97" w:type="dxa"/>
        </w:tblCellMar>
        <w:tblLook w:val="04A0" w:firstRow="1" w:lastRow="0" w:firstColumn="1" w:lastColumn="0" w:noHBand="0" w:noVBand="1"/>
      </w:tblPr>
      <w:tblGrid>
        <w:gridCol w:w="4373"/>
        <w:gridCol w:w="2868"/>
        <w:gridCol w:w="1791"/>
      </w:tblGrid>
      <w:tr w:rsidR="005850DB" w14:paraId="58BF2731" w14:textId="77777777">
        <w:trPr>
          <w:trHeight w:val="665"/>
        </w:trPr>
        <w:tc>
          <w:tcPr>
            <w:tcW w:w="4373" w:type="dxa"/>
            <w:tcBorders>
              <w:top w:val="single" w:sz="6" w:space="0" w:color="8EAADB"/>
              <w:left w:val="double" w:sz="4" w:space="0" w:color="000000"/>
              <w:bottom w:val="double" w:sz="4" w:space="0" w:color="000000"/>
              <w:right w:val="double" w:sz="4" w:space="0" w:color="000000"/>
            </w:tcBorders>
            <w:shd w:val="clear" w:color="auto" w:fill="8EAADB"/>
          </w:tcPr>
          <w:p w14:paraId="3BE00357" w14:textId="77777777" w:rsidR="005850DB" w:rsidRDefault="00000000">
            <w:pPr>
              <w:spacing w:after="0" w:line="259" w:lineRule="auto"/>
              <w:ind w:left="0" w:right="97" w:firstLine="0"/>
              <w:jc w:val="center"/>
            </w:pPr>
            <w:r>
              <w:rPr>
                <w:b/>
                <w:bCs/>
                <w:sz w:val="36"/>
                <w:szCs w:val="36"/>
                <w:rtl/>
              </w:rPr>
              <w:t xml:space="preserve">بالانجليز ي </w:t>
            </w:r>
          </w:p>
        </w:tc>
        <w:tc>
          <w:tcPr>
            <w:tcW w:w="2868" w:type="dxa"/>
            <w:tcBorders>
              <w:top w:val="single" w:sz="6" w:space="0" w:color="8EAADB"/>
              <w:left w:val="double" w:sz="4" w:space="0" w:color="000000"/>
              <w:bottom w:val="double" w:sz="4" w:space="0" w:color="000000"/>
              <w:right w:val="double" w:sz="4" w:space="0" w:color="000000"/>
            </w:tcBorders>
            <w:shd w:val="clear" w:color="auto" w:fill="8EAADB"/>
          </w:tcPr>
          <w:p w14:paraId="1BECF726" w14:textId="77777777" w:rsidR="005850DB" w:rsidRDefault="00000000">
            <w:pPr>
              <w:spacing w:after="0" w:line="259" w:lineRule="auto"/>
              <w:ind w:left="0" w:right="104" w:firstLine="0"/>
              <w:jc w:val="center"/>
            </w:pPr>
            <w:r>
              <w:rPr>
                <w:b/>
                <w:bCs/>
                <w:sz w:val="36"/>
                <w:szCs w:val="36"/>
                <w:rtl/>
              </w:rPr>
              <w:t xml:space="preserve">بالعربي </w:t>
            </w:r>
          </w:p>
        </w:tc>
        <w:tc>
          <w:tcPr>
            <w:tcW w:w="1791" w:type="dxa"/>
            <w:tcBorders>
              <w:top w:val="single" w:sz="6" w:space="0" w:color="8EAADB"/>
              <w:left w:val="double" w:sz="4" w:space="0" w:color="000000"/>
              <w:bottom w:val="double" w:sz="4" w:space="0" w:color="000000"/>
              <w:right w:val="double" w:sz="4" w:space="0" w:color="000000"/>
            </w:tcBorders>
            <w:shd w:val="clear" w:color="auto" w:fill="8EAADB"/>
          </w:tcPr>
          <w:p w14:paraId="6CD23EC6" w14:textId="77777777" w:rsidR="005850DB" w:rsidRDefault="00000000">
            <w:pPr>
              <w:spacing w:after="0" w:line="259" w:lineRule="auto"/>
              <w:ind w:left="0" w:right="373" w:firstLine="0"/>
            </w:pPr>
            <w:r>
              <w:rPr>
                <w:b/>
                <w:bCs/>
                <w:sz w:val="36"/>
                <w:szCs w:val="36"/>
                <w:rtl/>
              </w:rPr>
              <w:t xml:space="preserve">الاختصار </w:t>
            </w:r>
          </w:p>
        </w:tc>
      </w:tr>
      <w:tr w:rsidR="005850DB" w14:paraId="426966C9" w14:textId="77777777">
        <w:trPr>
          <w:trHeight w:val="655"/>
        </w:trPr>
        <w:tc>
          <w:tcPr>
            <w:tcW w:w="4373" w:type="dxa"/>
            <w:tcBorders>
              <w:top w:val="double" w:sz="4" w:space="0" w:color="000000"/>
              <w:left w:val="double" w:sz="4" w:space="0" w:color="000000"/>
              <w:bottom w:val="double" w:sz="4" w:space="0" w:color="000000"/>
              <w:right w:val="double" w:sz="4" w:space="0" w:color="000000"/>
            </w:tcBorders>
          </w:tcPr>
          <w:p w14:paraId="384F66FB" w14:textId="77777777" w:rsidR="005850DB" w:rsidRDefault="00000000">
            <w:pPr>
              <w:bidi w:val="0"/>
              <w:spacing w:after="0" w:line="259" w:lineRule="auto"/>
              <w:ind w:left="0" w:right="0" w:firstLine="0"/>
              <w:jc w:val="center"/>
            </w:pPr>
            <w:r>
              <w:rPr>
                <w:rFonts w:ascii="Times New Roman" w:eastAsia="Times New Roman" w:hAnsi="Times New Roman" w:cs="Times New Roman"/>
                <w:sz w:val="24"/>
              </w:rPr>
              <w:t xml:space="preserve">International Organization for </w:t>
            </w:r>
            <w:r>
              <w:rPr>
                <w:sz w:val="24"/>
              </w:rPr>
              <w:t xml:space="preserve"> </w:t>
            </w:r>
            <w:r>
              <w:rPr>
                <w:rFonts w:ascii="Times New Roman" w:eastAsia="Times New Roman" w:hAnsi="Times New Roman" w:cs="Times New Roman"/>
                <w:sz w:val="24"/>
              </w:rPr>
              <w:t>Standardization</w:t>
            </w:r>
          </w:p>
        </w:tc>
        <w:tc>
          <w:tcPr>
            <w:tcW w:w="2868" w:type="dxa"/>
            <w:tcBorders>
              <w:top w:val="double" w:sz="4" w:space="0" w:color="000000"/>
              <w:left w:val="double" w:sz="4" w:space="0" w:color="000000"/>
              <w:bottom w:val="double" w:sz="4" w:space="0" w:color="000000"/>
              <w:right w:val="double" w:sz="4" w:space="0" w:color="000000"/>
            </w:tcBorders>
          </w:tcPr>
          <w:p w14:paraId="592E7F67" w14:textId="77777777" w:rsidR="005850DB" w:rsidRDefault="00000000">
            <w:pPr>
              <w:spacing w:after="0" w:line="259" w:lineRule="auto"/>
              <w:ind w:left="0" w:right="399" w:firstLine="0"/>
            </w:pPr>
            <w:r>
              <w:rPr>
                <w:szCs w:val="28"/>
                <w:rtl/>
              </w:rPr>
              <w:t xml:space="preserve">المنظمة الدولية للمعايي ر </w:t>
            </w:r>
          </w:p>
        </w:tc>
        <w:tc>
          <w:tcPr>
            <w:tcW w:w="1791" w:type="dxa"/>
            <w:tcBorders>
              <w:top w:val="double" w:sz="4" w:space="0" w:color="000000"/>
              <w:left w:val="double" w:sz="4" w:space="0" w:color="000000"/>
              <w:bottom w:val="double" w:sz="4" w:space="0" w:color="000000"/>
              <w:right w:val="double" w:sz="4" w:space="0" w:color="000000"/>
            </w:tcBorders>
            <w:vAlign w:val="center"/>
          </w:tcPr>
          <w:p w14:paraId="67DA728D" w14:textId="77777777" w:rsidR="005850DB" w:rsidRDefault="00000000">
            <w:pPr>
              <w:bidi w:val="0"/>
              <w:spacing w:after="0" w:line="259" w:lineRule="auto"/>
              <w:ind w:left="0" w:right="11" w:firstLine="0"/>
              <w:jc w:val="center"/>
            </w:pPr>
            <w:r>
              <w:rPr>
                <w:rFonts w:ascii="Times New Roman" w:eastAsia="Times New Roman" w:hAnsi="Times New Roman" w:cs="Times New Roman"/>
                <w:sz w:val="24"/>
              </w:rPr>
              <w:t xml:space="preserve"> ISO</w:t>
            </w:r>
          </w:p>
        </w:tc>
      </w:tr>
      <w:tr w:rsidR="005850DB" w14:paraId="027C9A40"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60990582" w14:textId="77777777" w:rsidR="005850DB" w:rsidRDefault="00000000">
            <w:pPr>
              <w:bidi w:val="0"/>
              <w:spacing w:after="0" w:line="259" w:lineRule="auto"/>
              <w:ind w:left="0" w:right="37" w:firstLine="0"/>
              <w:jc w:val="center"/>
            </w:pPr>
            <w:r>
              <w:rPr>
                <w:sz w:val="24"/>
              </w:rPr>
              <w:t xml:space="preserve"> </w:t>
            </w:r>
            <w:r>
              <w:rPr>
                <w:rFonts w:ascii="Times New Roman" w:eastAsia="Times New Roman" w:hAnsi="Times New Roman" w:cs="Times New Roman"/>
                <w:sz w:val="24"/>
              </w:rPr>
              <w:t>Project Management Institute</w:t>
            </w:r>
          </w:p>
        </w:tc>
        <w:tc>
          <w:tcPr>
            <w:tcW w:w="2868" w:type="dxa"/>
            <w:tcBorders>
              <w:top w:val="double" w:sz="4" w:space="0" w:color="000000"/>
              <w:left w:val="double" w:sz="4" w:space="0" w:color="000000"/>
              <w:bottom w:val="double" w:sz="4" w:space="0" w:color="000000"/>
              <w:right w:val="double" w:sz="4" w:space="0" w:color="000000"/>
            </w:tcBorders>
          </w:tcPr>
          <w:p w14:paraId="697539EB" w14:textId="77777777" w:rsidR="005850DB" w:rsidRDefault="00000000">
            <w:pPr>
              <w:spacing w:after="0" w:line="259" w:lineRule="auto"/>
              <w:ind w:left="0" w:right="594" w:firstLine="0"/>
            </w:pPr>
            <w:r>
              <w:rPr>
                <w:szCs w:val="28"/>
                <w:rtl/>
              </w:rPr>
              <w:t xml:space="preserve">معهد إدارة المشاريع </w:t>
            </w:r>
          </w:p>
        </w:tc>
        <w:tc>
          <w:tcPr>
            <w:tcW w:w="1791" w:type="dxa"/>
            <w:tcBorders>
              <w:top w:val="double" w:sz="4" w:space="0" w:color="000000"/>
              <w:left w:val="double" w:sz="4" w:space="0" w:color="000000"/>
              <w:bottom w:val="double" w:sz="4" w:space="0" w:color="000000"/>
              <w:right w:val="double" w:sz="4" w:space="0" w:color="000000"/>
            </w:tcBorders>
            <w:vAlign w:val="center"/>
          </w:tcPr>
          <w:p w14:paraId="513BE993" w14:textId="77777777" w:rsidR="005850DB" w:rsidRDefault="00000000">
            <w:pPr>
              <w:bidi w:val="0"/>
              <w:spacing w:after="0" w:line="259" w:lineRule="auto"/>
              <w:ind w:left="0" w:right="13" w:firstLine="0"/>
              <w:jc w:val="center"/>
            </w:pPr>
            <w:r>
              <w:rPr>
                <w:rFonts w:ascii="Times New Roman" w:eastAsia="Times New Roman" w:hAnsi="Times New Roman" w:cs="Times New Roman"/>
                <w:sz w:val="24"/>
              </w:rPr>
              <w:t xml:space="preserve"> PMI</w:t>
            </w:r>
          </w:p>
        </w:tc>
      </w:tr>
      <w:tr w:rsidR="005850DB" w14:paraId="65F3B7A5" w14:textId="77777777">
        <w:trPr>
          <w:trHeight w:val="649"/>
        </w:trPr>
        <w:tc>
          <w:tcPr>
            <w:tcW w:w="4373" w:type="dxa"/>
            <w:tcBorders>
              <w:top w:val="double" w:sz="4" w:space="0" w:color="000000"/>
              <w:left w:val="double" w:sz="4" w:space="0" w:color="000000"/>
              <w:bottom w:val="double" w:sz="4" w:space="0" w:color="000000"/>
              <w:right w:val="double" w:sz="4" w:space="0" w:color="000000"/>
            </w:tcBorders>
            <w:vAlign w:val="center"/>
          </w:tcPr>
          <w:p w14:paraId="013647AB" w14:textId="77777777" w:rsidR="005850DB" w:rsidRDefault="00000000">
            <w:pPr>
              <w:bidi w:val="0"/>
              <w:spacing w:after="0" w:line="259" w:lineRule="auto"/>
              <w:ind w:left="50" w:right="0" w:firstLine="0"/>
              <w:jc w:val="left"/>
            </w:pPr>
            <w:r>
              <w:rPr>
                <w:sz w:val="24"/>
              </w:rPr>
              <w:t xml:space="preserve"> </w:t>
            </w:r>
            <w:r>
              <w:rPr>
                <w:rFonts w:ascii="Times New Roman" w:eastAsia="Times New Roman" w:hAnsi="Times New Roman" w:cs="Times New Roman"/>
                <w:sz w:val="24"/>
              </w:rPr>
              <w:t>Project Management Body of Knowledge</w:t>
            </w:r>
          </w:p>
        </w:tc>
        <w:tc>
          <w:tcPr>
            <w:tcW w:w="2868" w:type="dxa"/>
            <w:tcBorders>
              <w:top w:val="double" w:sz="4" w:space="0" w:color="000000"/>
              <w:left w:val="double" w:sz="4" w:space="0" w:color="000000"/>
              <w:bottom w:val="double" w:sz="4" w:space="0" w:color="000000"/>
              <w:right w:val="double" w:sz="4" w:space="0" w:color="000000"/>
            </w:tcBorders>
          </w:tcPr>
          <w:p w14:paraId="1A682A5E" w14:textId="77777777" w:rsidR="005850DB" w:rsidRDefault="00000000">
            <w:pPr>
              <w:spacing w:after="0" w:line="259" w:lineRule="auto"/>
              <w:ind w:left="0" w:right="232" w:firstLine="0"/>
            </w:pPr>
            <w:r>
              <w:rPr>
                <w:szCs w:val="28"/>
                <w:rtl/>
              </w:rPr>
              <w:t xml:space="preserve">دليل المعرفة لإدارة المشاريع </w:t>
            </w:r>
          </w:p>
        </w:tc>
        <w:tc>
          <w:tcPr>
            <w:tcW w:w="1791" w:type="dxa"/>
            <w:tcBorders>
              <w:top w:val="double" w:sz="4" w:space="0" w:color="000000"/>
              <w:left w:val="double" w:sz="4" w:space="0" w:color="000000"/>
              <w:bottom w:val="double" w:sz="4" w:space="0" w:color="000000"/>
              <w:right w:val="double" w:sz="4" w:space="0" w:color="000000"/>
            </w:tcBorders>
            <w:vAlign w:val="center"/>
          </w:tcPr>
          <w:p w14:paraId="292E07F3" w14:textId="77777777" w:rsidR="005850DB" w:rsidRDefault="00000000">
            <w:pPr>
              <w:bidi w:val="0"/>
              <w:spacing w:after="0" w:line="259" w:lineRule="auto"/>
              <w:ind w:left="352" w:right="0" w:firstLine="0"/>
              <w:jc w:val="left"/>
            </w:pPr>
            <w:r>
              <w:rPr>
                <w:rFonts w:ascii="Times New Roman" w:eastAsia="Times New Roman" w:hAnsi="Times New Roman" w:cs="Times New Roman"/>
                <w:sz w:val="24"/>
              </w:rPr>
              <w:t xml:space="preserve"> PMBOK</w:t>
            </w:r>
          </w:p>
        </w:tc>
      </w:tr>
      <w:tr w:rsidR="005850DB" w14:paraId="7BF903E6"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51D91419" w14:textId="77777777" w:rsidR="005850DB" w:rsidRDefault="00000000">
            <w:pPr>
              <w:bidi w:val="0"/>
              <w:spacing w:after="0" w:line="259" w:lineRule="auto"/>
              <w:ind w:left="0" w:right="40" w:firstLine="0"/>
              <w:jc w:val="center"/>
            </w:pPr>
            <w:r>
              <w:rPr>
                <w:sz w:val="24"/>
              </w:rPr>
              <w:t xml:space="preserve"> </w:t>
            </w:r>
            <w:r>
              <w:rPr>
                <w:rFonts w:ascii="Times New Roman" w:eastAsia="Times New Roman" w:hAnsi="Times New Roman" w:cs="Times New Roman"/>
                <w:sz w:val="24"/>
              </w:rPr>
              <w:t>Enterprise Risk Management</w:t>
            </w:r>
          </w:p>
        </w:tc>
        <w:tc>
          <w:tcPr>
            <w:tcW w:w="2868" w:type="dxa"/>
            <w:tcBorders>
              <w:top w:val="double" w:sz="4" w:space="0" w:color="000000"/>
              <w:left w:val="double" w:sz="4" w:space="0" w:color="000000"/>
              <w:bottom w:val="double" w:sz="4" w:space="0" w:color="000000"/>
              <w:right w:val="double" w:sz="4" w:space="0" w:color="000000"/>
            </w:tcBorders>
          </w:tcPr>
          <w:p w14:paraId="0FE4F726" w14:textId="77777777" w:rsidR="005850DB" w:rsidRDefault="00000000">
            <w:pPr>
              <w:spacing w:after="0" w:line="259" w:lineRule="auto"/>
              <w:ind w:left="0" w:right="400" w:firstLine="0"/>
            </w:pPr>
            <w:r>
              <w:rPr>
                <w:szCs w:val="28"/>
                <w:rtl/>
              </w:rPr>
              <w:t xml:space="preserve">إدارة المخاطر المؤسسية </w:t>
            </w:r>
          </w:p>
        </w:tc>
        <w:tc>
          <w:tcPr>
            <w:tcW w:w="1791" w:type="dxa"/>
            <w:tcBorders>
              <w:top w:val="double" w:sz="4" w:space="0" w:color="000000"/>
              <w:left w:val="double" w:sz="4" w:space="0" w:color="000000"/>
              <w:bottom w:val="double" w:sz="4" w:space="0" w:color="000000"/>
              <w:right w:val="double" w:sz="4" w:space="0" w:color="000000"/>
            </w:tcBorders>
            <w:vAlign w:val="center"/>
          </w:tcPr>
          <w:p w14:paraId="5DEA2E24" w14:textId="77777777" w:rsidR="005850DB" w:rsidRDefault="00000000">
            <w:pPr>
              <w:bidi w:val="0"/>
              <w:spacing w:after="0" w:line="259" w:lineRule="auto"/>
              <w:ind w:left="0" w:right="12" w:firstLine="0"/>
              <w:jc w:val="center"/>
            </w:pPr>
            <w:r>
              <w:rPr>
                <w:rFonts w:ascii="Times New Roman" w:eastAsia="Times New Roman" w:hAnsi="Times New Roman" w:cs="Times New Roman"/>
                <w:sz w:val="24"/>
              </w:rPr>
              <w:t xml:space="preserve"> ERM</w:t>
            </w:r>
          </w:p>
        </w:tc>
      </w:tr>
      <w:tr w:rsidR="005850DB" w14:paraId="2633E549"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1B17932E" w14:textId="77777777" w:rsidR="005850DB" w:rsidRDefault="00000000">
            <w:pPr>
              <w:bidi w:val="0"/>
              <w:spacing w:after="0" w:line="259" w:lineRule="auto"/>
              <w:ind w:left="111" w:right="0" w:firstLine="0"/>
              <w:jc w:val="left"/>
            </w:pPr>
            <w:r>
              <w:rPr>
                <w:sz w:val="24"/>
              </w:rPr>
              <w:t xml:space="preserve"> </w:t>
            </w:r>
            <w:r>
              <w:rPr>
                <w:rFonts w:ascii="Times New Roman" w:eastAsia="Times New Roman" w:hAnsi="Times New Roman" w:cs="Times New Roman"/>
                <w:sz w:val="24"/>
              </w:rPr>
              <w:t>Committee of Sponsoring Organizations</w:t>
            </w:r>
          </w:p>
        </w:tc>
        <w:tc>
          <w:tcPr>
            <w:tcW w:w="2868" w:type="dxa"/>
            <w:tcBorders>
              <w:top w:val="double" w:sz="4" w:space="0" w:color="000000"/>
              <w:left w:val="double" w:sz="4" w:space="0" w:color="000000"/>
              <w:bottom w:val="double" w:sz="4" w:space="0" w:color="000000"/>
              <w:right w:val="double" w:sz="4" w:space="0" w:color="000000"/>
            </w:tcBorders>
          </w:tcPr>
          <w:p w14:paraId="727612AA" w14:textId="77777777" w:rsidR="005850DB" w:rsidRDefault="00000000">
            <w:pPr>
              <w:spacing w:after="0" w:line="259" w:lineRule="auto"/>
              <w:ind w:left="0" w:right="464" w:firstLine="0"/>
            </w:pPr>
            <w:r>
              <w:rPr>
                <w:szCs w:val="28"/>
                <w:rtl/>
              </w:rPr>
              <w:t xml:space="preserve">لجنة المنظمات ال ارعي ة </w:t>
            </w:r>
          </w:p>
        </w:tc>
        <w:tc>
          <w:tcPr>
            <w:tcW w:w="1791" w:type="dxa"/>
            <w:tcBorders>
              <w:top w:val="double" w:sz="4" w:space="0" w:color="000000"/>
              <w:left w:val="double" w:sz="4" w:space="0" w:color="000000"/>
              <w:bottom w:val="double" w:sz="4" w:space="0" w:color="000000"/>
              <w:right w:val="double" w:sz="4" w:space="0" w:color="000000"/>
            </w:tcBorders>
            <w:vAlign w:val="center"/>
          </w:tcPr>
          <w:p w14:paraId="36B7047C" w14:textId="77777777" w:rsidR="005850DB" w:rsidRDefault="00000000">
            <w:pPr>
              <w:bidi w:val="0"/>
              <w:spacing w:after="0" w:line="259" w:lineRule="auto"/>
              <w:ind w:left="0" w:right="11" w:firstLine="0"/>
              <w:jc w:val="center"/>
            </w:pPr>
            <w:r>
              <w:rPr>
                <w:rFonts w:ascii="Times New Roman" w:eastAsia="Times New Roman" w:hAnsi="Times New Roman" w:cs="Times New Roman"/>
                <w:sz w:val="24"/>
              </w:rPr>
              <w:t xml:space="preserve"> COSO</w:t>
            </w:r>
          </w:p>
        </w:tc>
      </w:tr>
      <w:tr w:rsidR="005850DB" w14:paraId="1AF4CAD5"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2FEFEC00" w14:textId="77777777" w:rsidR="005850DB" w:rsidRDefault="00000000">
            <w:pPr>
              <w:bidi w:val="0"/>
              <w:spacing w:after="0" w:line="259" w:lineRule="auto"/>
              <w:ind w:left="0" w:right="37" w:firstLine="0"/>
              <w:jc w:val="center"/>
            </w:pPr>
            <w:r>
              <w:rPr>
                <w:sz w:val="24"/>
              </w:rPr>
              <w:t xml:space="preserve"> </w:t>
            </w:r>
            <w:r>
              <w:rPr>
                <w:rFonts w:ascii="Times New Roman" w:eastAsia="Times New Roman" w:hAnsi="Times New Roman" w:cs="Times New Roman"/>
                <w:sz w:val="24"/>
              </w:rPr>
              <w:t>American Petroleum Institute</w:t>
            </w:r>
          </w:p>
        </w:tc>
        <w:tc>
          <w:tcPr>
            <w:tcW w:w="2868" w:type="dxa"/>
            <w:tcBorders>
              <w:top w:val="double" w:sz="4" w:space="0" w:color="000000"/>
              <w:left w:val="double" w:sz="4" w:space="0" w:color="000000"/>
              <w:bottom w:val="double" w:sz="4" w:space="0" w:color="000000"/>
              <w:right w:val="double" w:sz="4" w:space="0" w:color="000000"/>
            </w:tcBorders>
          </w:tcPr>
          <w:p w14:paraId="223D849C" w14:textId="77777777" w:rsidR="005850DB" w:rsidRDefault="00000000">
            <w:pPr>
              <w:spacing w:after="0" w:line="259" w:lineRule="auto"/>
              <w:ind w:left="0" w:right="452" w:firstLine="0"/>
            </w:pPr>
            <w:r>
              <w:rPr>
                <w:szCs w:val="28"/>
                <w:rtl/>
              </w:rPr>
              <w:t xml:space="preserve">معهد البترول الأمريك ي </w:t>
            </w:r>
          </w:p>
        </w:tc>
        <w:tc>
          <w:tcPr>
            <w:tcW w:w="1791" w:type="dxa"/>
            <w:tcBorders>
              <w:top w:val="double" w:sz="4" w:space="0" w:color="000000"/>
              <w:left w:val="double" w:sz="4" w:space="0" w:color="000000"/>
              <w:bottom w:val="double" w:sz="4" w:space="0" w:color="000000"/>
              <w:right w:val="double" w:sz="4" w:space="0" w:color="000000"/>
            </w:tcBorders>
            <w:vAlign w:val="center"/>
          </w:tcPr>
          <w:p w14:paraId="2D150886" w14:textId="77777777" w:rsidR="005850DB" w:rsidRDefault="00000000">
            <w:pPr>
              <w:bidi w:val="0"/>
              <w:spacing w:after="0" w:line="259" w:lineRule="auto"/>
              <w:ind w:left="0" w:right="11" w:firstLine="0"/>
              <w:jc w:val="center"/>
            </w:pPr>
            <w:r>
              <w:rPr>
                <w:rFonts w:ascii="Times New Roman" w:eastAsia="Times New Roman" w:hAnsi="Times New Roman" w:cs="Times New Roman"/>
                <w:sz w:val="24"/>
              </w:rPr>
              <w:t xml:space="preserve"> API</w:t>
            </w:r>
          </w:p>
        </w:tc>
      </w:tr>
      <w:tr w:rsidR="005850DB" w14:paraId="25A3B6B8" w14:textId="77777777">
        <w:trPr>
          <w:trHeight w:val="1008"/>
        </w:trPr>
        <w:tc>
          <w:tcPr>
            <w:tcW w:w="4373" w:type="dxa"/>
            <w:tcBorders>
              <w:top w:val="double" w:sz="4" w:space="0" w:color="000000"/>
              <w:left w:val="double" w:sz="4" w:space="0" w:color="000000"/>
              <w:bottom w:val="double" w:sz="4" w:space="0" w:color="000000"/>
              <w:right w:val="double" w:sz="4" w:space="0" w:color="000000"/>
            </w:tcBorders>
            <w:vAlign w:val="center"/>
          </w:tcPr>
          <w:p w14:paraId="3C16122A" w14:textId="77777777" w:rsidR="005850DB" w:rsidRDefault="00000000">
            <w:pPr>
              <w:bidi w:val="0"/>
              <w:spacing w:after="0" w:line="259" w:lineRule="auto"/>
              <w:ind w:left="209" w:right="0" w:firstLine="0"/>
              <w:jc w:val="left"/>
            </w:pPr>
            <w:r>
              <w:rPr>
                <w:sz w:val="24"/>
              </w:rPr>
              <w:lastRenderedPageBreak/>
              <w:t xml:space="preserve"> </w:t>
            </w:r>
            <w:r>
              <w:rPr>
                <w:rFonts w:ascii="Times New Roman" w:eastAsia="Times New Roman" w:hAnsi="Times New Roman" w:cs="Times New Roman"/>
                <w:sz w:val="24"/>
              </w:rPr>
              <w:t>American National Standards Institute</w:t>
            </w:r>
          </w:p>
        </w:tc>
        <w:tc>
          <w:tcPr>
            <w:tcW w:w="2868" w:type="dxa"/>
            <w:tcBorders>
              <w:top w:val="double" w:sz="4" w:space="0" w:color="000000"/>
              <w:left w:val="double" w:sz="4" w:space="0" w:color="000000"/>
              <w:bottom w:val="double" w:sz="4" w:space="0" w:color="000000"/>
              <w:right w:val="double" w:sz="4" w:space="0" w:color="000000"/>
            </w:tcBorders>
          </w:tcPr>
          <w:p w14:paraId="35C3A55B" w14:textId="77777777" w:rsidR="005850DB" w:rsidRDefault="00000000">
            <w:pPr>
              <w:spacing w:after="0" w:line="259" w:lineRule="auto"/>
              <w:ind w:left="917" w:right="361" w:hanging="762"/>
            </w:pPr>
            <w:r>
              <w:rPr>
                <w:szCs w:val="28"/>
                <w:rtl/>
              </w:rPr>
              <w:t xml:space="preserve">المعهد الأمريكي للمعايير الوطني ة </w:t>
            </w:r>
          </w:p>
        </w:tc>
        <w:tc>
          <w:tcPr>
            <w:tcW w:w="1791" w:type="dxa"/>
            <w:tcBorders>
              <w:top w:val="double" w:sz="4" w:space="0" w:color="000000"/>
              <w:left w:val="double" w:sz="4" w:space="0" w:color="000000"/>
              <w:bottom w:val="double" w:sz="4" w:space="0" w:color="000000"/>
              <w:right w:val="double" w:sz="4" w:space="0" w:color="000000"/>
            </w:tcBorders>
            <w:vAlign w:val="center"/>
          </w:tcPr>
          <w:p w14:paraId="2DAB7491" w14:textId="77777777" w:rsidR="005850DB" w:rsidRDefault="00000000">
            <w:pPr>
              <w:bidi w:val="0"/>
              <w:spacing w:after="0" w:line="259" w:lineRule="auto"/>
              <w:ind w:left="0" w:right="10" w:firstLine="0"/>
              <w:jc w:val="center"/>
            </w:pPr>
            <w:r>
              <w:rPr>
                <w:rFonts w:ascii="Times New Roman" w:eastAsia="Times New Roman" w:hAnsi="Times New Roman" w:cs="Times New Roman"/>
                <w:sz w:val="24"/>
              </w:rPr>
              <w:t xml:space="preserve"> ANSI</w:t>
            </w:r>
          </w:p>
        </w:tc>
      </w:tr>
      <w:tr w:rsidR="005850DB" w14:paraId="4DA6DD9B" w14:textId="77777777">
        <w:trPr>
          <w:trHeight w:val="1008"/>
        </w:trPr>
        <w:tc>
          <w:tcPr>
            <w:tcW w:w="4373" w:type="dxa"/>
            <w:tcBorders>
              <w:top w:val="double" w:sz="4" w:space="0" w:color="000000"/>
              <w:left w:val="double" w:sz="4" w:space="0" w:color="000000"/>
              <w:bottom w:val="double" w:sz="4" w:space="0" w:color="000000"/>
              <w:right w:val="double" w:sz="4" w:space="0" w:color="000000"/>
            </w:tcBorders>
            <w:vAlign w:val="center"/>
          </w:tcPr>
          <w:p w14:paraId="14A574BB" w14:textId="77777777" w:rsidR="005850DB" w:rsidRDefault="00000000">
            <w:pPr>
              <w:bidi w:val="0"/>
              <w:spacing w:after="0" w:line="259" w:lineRule="auto"/>
              <w:ind w:left="94" w:right="0" w:firstLine="0"/>
              <w:jc w:val="both"/>
            </w:pPr>
            <w:r>
              <w:rPr>
                <w:rFonts w:ascii="Times New Roman" w:eastAsia="Times New Roman" w:hAnsi="Times New Roman" w:cs="Times New Roman"/>
                <w:sz w:val="24"/>
              </w:rPr>
              <w:t>American Society of Mechanical Engineers</w:t>
            </w:r>
          </w:p>
        </w:tc>
        <w:tc>
          <w:tcPr>
            <w:tcW w:w="2868" w:type="dxa"/>
            <w:tcBorders>
              <w:top w:val="double" w:sz="4" w:space="0" w:color="000000"/>
              <w:left w:val="double" w:sz="4" w:space="0" w:color="000000"/>
              <w:bottom w:val="double" w:sz="4" w:space="0" w:color="000000"/>
              <w:right w:val="double" w:sz="4" w:space="0" w:color="000000"/>
            </w:tcBorders>
          </w:tcPr>
          <w:p w14:paraId="2A7BF324" w14:textId="77777777" w:rsidR="005850DB" w:rsidRDefault="00000000">
            <w:pPr>
              <w:spacing w:after="0" w:line="259" w:lineRule="auto"/>
              <w:ind w:left="97" w:right="0" w:firstLine="0"/>
              <w:jc w:val="left"/>
            </w:pPr>
            <w:r>
              <w:rPr>
                <w:szCs w:val="28"/>
                <w:rtl/>
              </w:rPr>
              <w:t xml:space="preserve">الجمعية الأمريكية للمهندسين الميكانيكيي ن </w:t>
            </w:r>
          </w:p>
        </w:tc>
        <w:tc>
          <w:tcPr>
            <w:tcW w:w="1791" w:type="dxa"/>
            <w:tcBorders>
              <w:top w:val="double" w:sz="4" w:space="0" w:color="000000"/>
              <w:left w:val="double" w:sz="4" w:space="0" w:color="000000"/>
              <w:bottom w:val="double" w:sz="4" w:space="0" w:color="000000"/>
              <w:right w:val="double" w:sz="4" w:space="0" w:color="000000"/>
            </w:tcBorders>
            <w:vAlign w:val="center"/>
          </w:tcPr>
          <w:p w14:paraId="702B714F" w14:textId="77777777" w:rsidR="005850DB" w:rsidRDefault="00000000">
            <w:pPr>
              <w:bidi w:val="0"/>
              <w:spacing w:after="0" w:line="259" w:lineRule="auto"/>
              <w:ind w:left="0" w:right="14" w:firstLine="0"/>
              <w:jc w:val="center"/>
            </w:pPr>
            <w:r>
              <w:rPr>
                <w:rFonts w:ascii="Times New Roman" w:eastAsia="Times New Roman" w:hAnsi="Times New Roman" w:cs="Times New Roman"/>
                <w:sz w:val="24"/>
              </w:rPr>
              <w:t xml:space="preserve"> ASME</w:t>
            </w:r>
          </w:p>
        </w:tc>
      </w:tr>
      <w:tr w:rsidR="005850DB" w14:paraId="1A2BF47F"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15907188" w14:textId="77777777" w:rsidR="005850DB" w:rsidRDefault="00000000">
            <w:pPr>
              <w:bidi w:val="0"/>
              <w:spacing w:after="0" w:line="259" w:lineRule="auto"/>
              <w:ind w:left="5" w:right="0" w:firstLine="0"/>
              <w:jc w:val="left"/>
            </w:pPr>
            <w:r>
              <w:rPr>
                <w:sz w:val="24"/>
              </w:rPr>
              <w:t xml:space="preserve"> </w:t>
            </w:r>
            <w:r>
              <w:rPr>
                <w:rFonts w:ascii="Times New Roman" w:eastAsia="Times New Roman" w:hAnsi="Times New Roman" w:cs="Times New Roman"/>
                <w:sz w:val="24"/>
              </w:rPr>
              <w:t>Heating, Ventilation, and Air Conditioning</w:t>
            </w:r>
          </w:p>
        </w:tc>
        <w:tc>
          <w:tcPr>
            <w:tcW w:w="2868" w:type="dxa"/>
            <w:tcBorders>
              <w:top w:val="double" w:sz="4" w:space="0" w:color="000000"/>
              <w:left w:val="double" w:sz="4" w:space="0" w:color="000000"/>
              <w:bottom w:val="double" w:sz="4" w:space="0" w:color="000000"/>
              <w:right w:val="double" w:sz="4" w:space="0" w:color="000000"/>
            </w:tcBorders>
          </w:tcPr>
          <w:p w14:paraId="6160294C" w14:textId="77777777" w:rsidR="005850DB" w:rsidRDefault="00000000">
            <w:pPr>
              <w:spacing w:after="0" w:line="259" w:lineRule="auto"/>
              <w:ind w:left="0" w:right="152" w:firstLine="0"/>
            </w:pPr>
            <w:r>
              <w:rPr>
                <w:szCs w:val="28"/>
                <w:rtl/>
              </w:rPr>
              <w:t xml:space="preserve">التدفئة والتهوية وتكييف الهواء </w:t>
            </w:r>
          </w:p>
        </w:tc>
        <w:tc>
          <w:tcPr>
            <w:tcW w:w="1791" w:type="dxa"/>
            <w:tcBorders>
              <w:top w:val="double" w:sz="4" w:space="0" w:color="000000"/>
              <w:left w:val="double" w:sz="4" w:space="0" w:color="000000"/>
              <w:bottom w:val="double" w:sz="4" w:space="0" w:color="000000"/>
              <w:right w:val="double" w:sz="4" w:space="0" w:color="000000"/>
            </w:tcBorders>
            <w:vAlign w:val="center"/>
          </w:tcPr>
          <w:p w14:paraId="411D3FF8" w14:textId="77777777" w:rsidR="005850DB" w:rsidRDefault="00000000">
            <w:pPr>
              <w:bidi w:val="0"/>
              <w:spacing w:after="0" w:line="259" w:lineRule="auto"/>
              <w:ind w:left="0" w:right="13" w:firstLine="0"/>
              <w:jc w:val="center"/>
            </w:pPr>
            <w:r>
              <w:rPr>
                <w:rFonts w:ascii="Times New Roman" w:eastAsia="Times New Roman" w:hAnsi="Times New Roman" w:cs="Times New Roman"/>
                <w:sz w:val="24"/>
              </w:rPr>
              <w:t xml:space="preserve"> HVAC</w:t>
            </w:r>
          </w:p>
        </w:tc>
      </w:tr>
      <w:tr w:rsidR="005850DB" w14:paraId="152E469C"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234F7917" w14:textId="77777777" w:rsidR="005850DB" w:rsidRDefault="00000000">
            <w:pPr>
              <w:bidi w:val="0"/>
              <w:spacing w:after="0" w:line="259" w:lineRule="auto"/>
              <w:ind w:left="0" w:right="39" w:firstLine="0"/>
              <w:jc w:val="center"/>
            </w:pPr>
            <w:r>
              <w:rPr>
                <w:sz w:val="24"/>
              </w:rPr>
              <w:t xml:space="preserve"> </w:t>
            </w:r>
            <w:r>
              <w:rPr>
                <w:rFonts w:ascii="Times New Roman" w:eastAsia="Times New Roman" w:hAnsi="Times New Roman" w:cs="Times New Roman"/>
                <w:sz w:val="24"/>
              </w:rPr>
              <w:t>Net Present Value</w:t>
            </w:r>
          </w:p>
        </w:tc>
        <w:tc>
          <w:tcPr>
            <w:tcW w:w="2868" w:type="dxa"/>
            <w:tcBorders>
              <w:top w:val="double" w:sz="4" w:space="0" w:color="000000"/>
              <w:left w:val="double" w:sz="4" w:space="0" w:color="000000"/>
              <w:bottom w:val="double" w:sz="4" w:space="0" w:color="000000"/>
              <w:right w:val="double" w:sz="4" w:space="0" w:color="000000"/>
            </w:tcBorders>
          </w:tcPr>
          <w:p w14:paraId="3AE52FBD" w14:textId="77777777" w:rsidR="005850DB" w:rsidRDefault="00000000">
            <w:pPr>
              <w:spacing w:after="0" w:line="259" w:lineRule="auto"/>
              <w:ind w:left="0" w:right="551" w:firstLine="0"/>
            </w:pPr>
            <w:r>
              <w:rPr>
                <w:szCs w:val="28"/>
                <w:rtl/>
              </w:rPr>
              <w:t>صافي القيمة الحالي ة</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05652AF9" w14:textId="77777777" w:rsidR="005850DB" w:rsidRDefault="00000000">
            <w:pPr>
              <w:bidi w:val="0"/>
              <w:spacing w:after="0" w:line="259" w:lineRule="auto"/>
              <w:ind w:left="0" w:right="28" w:firstLine="0"/>
              <w:jc w:val="center"/>
            </w:pPr>
            <w:r>
              <w:rPr>
                <w:sz w:val="24"/>
              </w:rPr>
              <w:t xml:space="preserve"> </w:t>
            </w:r>
            <w:r>
              <w:rPr>
                <w:rFonts w:ascii="Times New Roman" w:eastAsia="Times New Roman" w:hAnsi="Times New Roman" w:cs="Times New Roman"/>
                <w:sz w:val="24"/>
              </w:rPr>
              <w:t>NPV</w:t>
            </w:r>
          </w:p>
        </w:tc>
      </w:tr>
      <w:tr w:rsidR="005850DB" w14:paraId="62462223"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2B579255" w14:textId="77777777" w:rsidR="005850DB" w:rsidRDefault="00000000">
            <w:pPr>
              <w:bidi w:val="0"/>
              <w:spacing w:after="0" w:line="259" w:lineRule="auto"/>
              <w:ind w:left="0" w:right="40" w:firstLine="0"/>
              <w:jc w:val="center"/>
            </w:pPr>
            <w:r>
              <w:rPr>
                <w:sz w:val="24"/>
              </w:rPr>
              <w:t xml:space="preserve"> </w:t>
            </w:r>
            <w:r>
              <w:rPr>
                <w:rFonts w:ascii="Times New Roman" w:eastAsia="Times New Roman" w:hAnsi="Times New Roman" w:cs="Times New Roman"/>
                <w:sz w:val="24"/>
              </w:rPr>
              <w:t>Return on Investment</w:t>
            </w:r>
          </w:p>
        </w:tc>
        <w:tc>
          <w:tcPr>
            <w:tcW w:w="2868" w:type="dxa"/>
            <w:tcBorders>
              <w:top w:val="double" w:sz="4" w:space="0" w:color="000000"/>
              <w:left w:val="double" w:sz="4" w:space="0" w:color="000000"/>
              <w:bottom w:val="double" w:sz="4" w:space="0" w:color="000000"/>
              <w:right w:val="double" w:sz="4" w:space="0" w:color="000000"/>
            </w:tcBorders>
          </w:tcPr>
          <w:p w14:paraId="5995A18A" w14:textId="77777777" w:rsidR="005850DB" w:rsidRDefault="00000000">
            <w:pPr>
              <w:spacing w:after="0" w:line="259" w:lineRule="auto"/>
              <w:ind w:left="0" w:right="531" w:firstLine="0"/>
            </w:pPr>
            <w:r>
              <w:rPr>
                <w:szCs w:val="28"/>
                <w:rtl/>
              </w:rPr>
              <w:t>العائد على الاستثما ر</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5C632317" w14:textId="77777777" w:rsidR="005850DB" w:rsidRDefault="00000000">
            <w:pPr>
              <w:bidi w:val="0"/>
              <w:spacing w:after="0" w:line="259" w:lineRule="auto"/>
              <w:ind w:left="0" w:right="27" w:firstLine="0"/>
              <w:jc w:val="center"/>
            </w:pPr>
            <w:r>
              <w:rPr>
                <w:sz w:val="24"/>
              </w:rPr>
              <w:t xml:space="preserve"> </w:t>
            </w:r>
            <w:r>
              <w:rPr>
                <w:rFonts w:ascii="Times New Roman" w:eastAsia="Times New Roman" w:hAnsi="Times New Roman" w:cs="Times New Roman"/>
                <w:sz w:val="24"/>
              </w:rPr>
              <w:t>ROI</w:t>
            </w:r>
          </w:p>
        </w:tc>
      </w:tr>
      <w:tr w:rsidR="005850DB" w14:paraId="67817BFC"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3798916D" w14:textId="77777777" w:rsidR="005850DB" w:rsidRDefault="00000000">
            <w:pPr>
              <w:bidi w:val="0"/>
              <w:spacing w:after="0" w:line="259" w:lineRule="auto"/>
              <w:ind w:left="0" w:right="37" w:firstLine="0"/>
              <w:jc w:val="center"/>
            </w:pPr>
            <w:r>
              <w:rPr>
                <w:sz w:val="24"/>
              </w:rPr>
              <w:t xml:space="preserve"> </w:t>
            </w:r>
            <w:r>
              <w:rPr>
                <w:rFonts w:ascii="Times New Roman" w:eastAsia="Times New Roman" w:hAnsi="Times New Roman" w:cs="Times New Roman"/>
                <w:sz w:val="24"/>
              </w:rPr>
              <w:t>Key Performance Indicators</w:t>
            </w:r>
          </w:p>
        </w:tc>
        <w:tc>
          <w:tcPr>
            <w:tcW w:w="2868" w:type="dxa"/>
            <w:tcBorders>
              <w:top w:val="double" w:sz="4" w:space="0" w:color="000000"/>
              <w:left w:val="double" w:sz="4" w:space="0" w:color="000000"/>
              <w:bottom w:val="double" w:sz="4" w:space="0" w:color="000000"/>
              <w:right w:val="double" w:sz="4" w:space="0" w:color="000000"/>
            </w:tcBorders>
          </w:tcPr>
          <w:p w14:paraId="730FCDF9" w14:textId="77777777" w:rsidR="005850DB" w:rsidRDefault="00000000">
            <w:pPr>
              <w:spacing w:after="0" w:line="259" w:lineRule="auto"/>
              <w:ind w:left="0" w:right="431" w:firstLine="0"/>
            </w:pPr>
            <w:r>
              <w:rPr>
                <w:szCs w:val="28"/>
                <w:rtl/>
              </w:rPr>
              <w:t>مؤش ارت الأداء الرئيسي ة</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405DBF52" w14:textId="77777777" w:rsidR="005850DB" w:rsidRDefault="00000000">
            <w:pPr>
              <w:bidi w:val="0"/>
              <w:spacing w:after="0" w:line="259" w:lineRule="auto"/>
              <w:ind w:left="0" w:right="25" w:firstLine="0"/>
              <w:jc w:val="center"/>
            </w:pPr>
            <w:r>
              <w:rPr>
                <w:sz w:val="24"/>
              </w:rPr>
              <w:t xml:space="preserve"> </w:t>
            </w:r>
            <w:r>
              <w:rPr>
                <w:rFonts w:ascii="Times New Roman" w:eastAsia="Times New Roman" w:hAnsi="Times New Roman" w:cs="Times New Roman"/>
                <w:sz w:val="24"/>
              </w:rPr>
              <w:t>KPI</w:t>
            </w:r>
          </w:p>
        </w:tc>
      </w:tr>
      <w:tr w:rsidR="005850DB" w14:paraId="771F213A" w14:textId="77777777">
        <w:trPr>
          <w:trHeight w:val="1010"/>
        </w:trPr>
        <w:tc>
          <w:tcPr>
            <w:tcW w:w="4373" w:type="dxa"/>
            <w:tcBorders>
              <w:top w:val="double" w:sz="4" w:space="0" w:color="000000"/>
              <w:left w:val="double" w:sz="4" w:space="0" w:color="000000"/>
              <w:bottom w:val="double" w:sz="4" w:space="0" w:color="000000"/>
              <w:right w:val="double" w:sz="4" w:space="0" w:color="000000"/>
            </w:tcBorders>
            <w:vAlign w:val="center"/>
          </w:tcPr>
          <w:p w14:paraId="6D7E7286" w14:textId="77777777" w:rsidR="005850DB" w:rsidRDefault="00000000">
            <w:pPr>
              <w:bidi w:val="0"/>
              <w:spacing w:after="81" w:line="259" w:lineRule="auto"/>
              <w:ind w:left="96" w:right="0" w:firstLine="0"/>
              <w:jc w:val="center"/>
            </w:pPr>
            <w:r>
              <w:rPr>
                <w:rFonts w:ascii="Times New Roman" w:eastAsia="Times New Roman" w:hAnsi="Times New Roman" w:cs="Times New Roman"/>
                <w:sz w:val="24"/>
              </w:rPr>
              <w:t xml:space="preserve">Strengths, Weaknesses, Opportunities, </w:t>
            </w:r>
          </w:p>
          <w:p w14:paraId="26FC61D0" w14:textId="77777777" w:rsidR="005850DB" w:rsidRDefault="00000000">
            <w:pPr>
              <w:bidi w:val="0"/>
              <w:spacing w:after="0" w:line="259" w:lineRule="auto"/>
              <w:ind w:left="0" w:right="42" w:firstLine="0"/>
              <w:jc w:val="center"/>
            </w:pPr>
            <w:r>
              <w:rPr>
                <w:sz w:val="24"/>
              </w:rPr>
              <w:t xml:space="preserve"> </w:t>
            </w:r>
            <w:r>
              <w:rPr>
                <w:rFonts w:ascii="Times New Roman" w:eastAsia="Times New Roman" w:hAnsi="Times New Roman" w:cs="Times New Roman"/>
                <w:sz w:val="24"/>
              </w:rPr>
              <w:t>Threats</w:t>
            </w:r>
          </w:p>
        </w:tc>
        <w:tc>
          <w:tcPr>
            <w:tcW w:w="2868" w:type="dxa"/>
            <w:tcBorders>
              <w:top w:val="double" w:sz="4" w:space="0" w:color="000000"/>
              <w:left w:val="double" w:sz="4" w:space="0" w:color="000000"/>
              <w:bottom w:val="double" w:sz="4" w:space="0" w:color="000000"/>
              <w:right w:val="double" w:sz="4" w:space="0" w:color="000000"/>
            </w:tcBorders>
          </w:tcPr>
          <w:p w14:paraId="3B412807" w14:textId="77777777" w:rsidR="005850DB" w:rsidRDefault="00000000">
            <w:pPr>
              <w:spacing w:after="0" w:line="259" w:lineRule="auto"/>
              <w:ind w:left="761" w:right="227" w:hanging="761"/>
            </w:pPr>
            <w:r>
              <w:rPr>
                <w:szCs w:val="28"/>
                <w:rtl/>
              </w:rPr>
              <w:t>نقاط القوة والضعف والفرص والتهديدات</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4DA9689D" w14:textId="77777777" w:rsidR="005850DB" w:rsidRDefault="00000000">
            <w:pPr>
              <w:bidi w:val="0"/>
              <w:spacing w:after="0" w:line="259" w:lineRule="auto"/>
              <w:ind w:left="0" w:right="25" w:firstLine="0"/>
              <w:jc w:val="center"/>
            </w:pPr>
            <w:r>
              <w:rPr>
                <w:sz w:val="24"/>
              </w:rPr>
              <w:t xml:space="preserve"> </w:t>
            </w:r>
            <w:r>
              <w:rPr>
                <w:rFonts w:ascii="Times New Roman" w:eastAsia="Times New Roman" w:hAnsi="Times New Roman" w:cs="Times New Roman"/>
                <w:sz w:val="24"/>
              </w:rPr>
              <w:t>SWOT</w:t>
            </w:r>
          </w:p>
        </w:tc>
      </w:tr>
    </w:tbl>
    <w:p w14:paraId="004AB83E"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4D8AD3E7"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61F0134B"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52210C52" w14:textId="77777777" w:rsidR="005850DB" w:rsidRDefault="00000000">
      <w:pPr>
        <w:bidi w:val="0"/>
        <w:spacing w:after="83" w:line="259" w:lineRule="auto"/>
        <w:ind w:left="0" w:right="84" w:firstLine="0"/>
      </w:pPr>
      <w:r>
        <w:rPr>
          <w:rFonts w:ascii="Times New Roman" w:eastAsia="Times New Roman" w:hAnsi="Times New Roman" w:cs="Times New Roman"/>
          <w:b/>
        </w:rPr>
        <w:t xml:space="preserve"> </w:t>
      </w:r>
    </w:p>
    <w:p w14:paraId="58E28B17" w14:textId="77777777" w:rsidR="005850DB" w:rsidRDefault="00000000">
      <w:pPr>
        <w:bidi w:val="0"/>
        <w:spacing w:after="0" w:line="259" w:lineRule="auto"/>
        <w:ind w:left="0" w:right="316" w:firstLine="0"/>
        <w:jc w:val="center"/>
      </w:pPr>
      <w:r>
        <w:rPr>
          <w:rFonts w:ascii="Times New Roman" w:eastAsia="Times New Roman" w:hAnsi="Times New Roman" w:cs="Times New Roman"/>
          <w:b/>
          <w:sz w:val="40"/>
        </w:rPr>
        <w:t xml:space="preserve"> </w:t>
      </w:r>
    </w:p>
    <w:p w14:paraId="05FEE161" w14:textId="77777777" w:rsidR="005850DB" w:rsidRDefault="00000000">
      <w:pPr>
        <w:bidi w:val="0"/>
        <w:spacing w:after="0" w:line="259" w:lineRule="auto"/>
        <w:ind w:left="0" w:right="316" w:firstLine="0"/>
        <w:jc w:val="center"/>
      </w:pPr>
      <w:r>
        <w:rPr>
          <w:rFonts w:ascii="Times New Roman" w:eastAsia="Times New Roman" w:hAnsi="Times New Roman" w:cs="Times New Roman"/>
          <w:b/>
          <w:sz w:val="40"/>
        </w:rPr>
        <w:t xml:space="preserve"> </w:t>
      </w:r>
    </w:p>
    <w:p w14:paraId="1E18E88F" w14:textId="77777777" w:rsidR="005850DB" w:rsidRDefault="00000000">
      <w:pPr>
        <w:bidi w:val="0"/>
        <w:spacing w:after="0" w:line="259" w:lineRule="auto"/>
        <w:ind w:left="4340" w:right="0" w:firstLine="0"/>
        <w:jc w:val="left"/>
      </w:pPr>
      <w:r>
        <w:rPr>
          <w:rFonts w:ascii="Times New Roman" w:eastAsia="Times New Roman" w:hAnsi="Times New Roman" w:cs="Times New Roman"/>
          <w:b/>
          <w:sz w:val="40"/>
        </w:rPr>
        <w:t xml:space="preserve"> </w:t>
      </w:r>
    </w:p>
    <w:p w14:paraId="3C9E70C5" w14:textId="77777777" w:rsidR="005850DB" w:rsidRDefault="00000000">
      <w:pPr>
        <w:bidi w:val="0"/>
        <w:spacing w:after="0" w:line="259" w:lineRule="auto"/>
        <w:ind w:left="4340" w:right="0" w:firstLine="0"/>
        <w:jc w:val="left"/>
      </w:pPr>
      <w:r>
        <w:rPr>
          <w:rFonts w:ascii="Times New Roman" w:eastAsia="Times New Roman" w:hAnsi="Times New Roman" w:cs="Times New Roman"/>
          <w:b/>
          <w:sz w:val="40"/>
        </w:rPr>
        <w:t xml:space="preserve"> </w:t>
      </w:r>
    </w:p>
    <w:p w14:paraId="2558FF99" w14:textId="77777777" w:rsidR="005850DB" w:rsidRDefault="00000000">
      <w:pPr>
        <w:bidi w:val="0"/>
        <w:spacing w:after="0" w:line="259" w:lineRule="auto"/>
        <w:ind w:left="4340" w:right="0" w:firstLine="0"/>
        <w:jc w:val="left"/>
      </w:pPr>
      <w:r>
        <w:rPr>
          <w:rFonts w:ascii="Times New Roman" w:eastAsia="Times New Roman" w:hAnsi="Times New Roman" w:cs="Times New Roman"/>
          <w:b/>
          <w:sz w:val="40"/>
        </w:rPr>
        <w:t xml:space="preserve"> </w:t>
      </w:r>
    </w:p>
    <w:p w14:paraId="625255BD" w14:textId="77777777" w:rsidR="005850DB" w:rsidRDefault="00000000">
      <w:pPr>
        <w:bidi w:val="0"/>
        <w:spacing w:after="58" w:line="259" w:lineRule="auto"/>
        <w:ind w:left="4340" w:right="0" w:firstLine="0"/>
        <w:jc w:val="left"/>
      </w:pPr>
      <w:r>
        <w:rPr>
          <w:rFonts w:ascii="Times New Roman" w:eastAsia="Times New Roman" w:hAnsi="Times New Roman" w:cs="Times New Roman"/>
          <w:b/>
          <w:sz w:val="40"/>
        </w:rPr>
        <w:t xml:space="preserve"> </w:t>
      </w:r>
    </w:p>
    <w:p w14:paraId="0BB0269B" w14:textId="77777777" w:rsidR="005850DB" w:rsidRDefault="00000000">
      <w:pPr>
        <w:pStyle w:val="Heading1"/>
        <w:ind w:right="3459"/>
      </w:pPr>
      <w:r>
        <w:rPr>
          <w:bCs/>
          <w:szCs w:val="40"/>
          <w:rtl/>
        </w:rPr>
        <w:t xml:space="preserve">قائمة الاختصاارت  </w:t>
      </w:r>
    </w:p>
    <w:p w14:paraId="7FC5ADD8"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tbl>
      <w:tblPr>
        <w:tblStyle w:val="TableGrid"/>
        <w:tblW w:w="9032" w:type="dxa"/>
        <w:tblInd w:w="43" w:type="dxa"/>
        <w:tblCellMar>
          <w:top w:w="39" w:type="dxa"/>
          <w:left w:w="56" w:type="dxa"/>
          <w:bottom w:w="0" w:type="dxa"/>
          <w:right w:w="115" w:type="dxa"/>
        </w:tblCellMar>
        <w:tblLook w:val="04A0" w:firstRow="1" w:lastRow="0" w:firstColumn="1" w:lastColumn="0" w:noHBand="0" w:noVBand="1"/>
      </w:tblPr>
      <w:tblGrid>
        <w:gridCol w:w="4373"/>
        <w:gridCol w:w="2868"/>
        <w:gridCol w:w="1791"/>
      </w:tblGrid>
      <w:tr w:rsidR="005850DB" w14:paraId="64140229" w14:textId="77777777">
        <w:trPr>
          <w:trHeight w:val="665"/>
        </w:trPr>
        <w:tc>
          <w:tcPr>
            <w:tcW w:w="4373" w:type="dxa"/>
            <w:tcBorders>
              <w:top w:val="single" w:sz="6" w:space="0" w:color="8EAADB"/>
              <w:left w:val="double" w:sz="4" w:space="0" w:color="000000"/>
              <w:bottom w:val="double" w:sz="4" w:space="0" w:color="000000"/>
              <w:right w:val="double" w:sz="4" w:space="0" w:color="000000"/>
            </w:tcBorders>
            <w:shd w:val="clear" w:color="auto" w:fill="8EAADB"/>
          </w:tcPr>
          <w:p w14:paraId="5DAB37BF" w14:textId="77777777" w:rsidR="005850DB" w:rsidRDefault="00000000">
            <w:pPr>
              <w:spacing w:after="0" w:line="259" w:lineRule="auto"/>
              <w:ind w:left="0" w:right="59" w:firstLine="0"/>
              <w:jc w:val="center"/>
            </w:pPr>
            <w:r>
              <w:rPr>
                <w:b/>
                <w:bCs/>
                <w:sz w:val="36"/>
                <w:szCs w:val="36"/>
                <w:rtl/>
              </w:rPr>
              <w:t>بالانجليز ي</w:t>
            </w:r>
            <w:r>
              <w:rPr>
                <w:rFonts w:ascii="Times New Roman" w:eastAsia="Times New Roman" w:hAnsi="Times New Roman" w:cs="Times New Roman"/>
                <w:sz w:val="24"/>
                <w:rtl/>
              </w:rPr>
              <w:t xml:space="preserve"> </w:t>
            </w:r>
          </w:p>
        </w:tc>
        <w:tc>
          <w:tcPr>
            <w:tcW w:w="2868" w:type="dxa"/>
            <w:tcBorders>
              <w:top w:val="single" w:sz="6" w:space="0" w:color="8EAADB"/>
              <w:left w:val="double" w:sz="4" w:space="0" w:color="000000"/>
              <w:bottom w:val="double" w:sz="4" w:space="0" w:color="000000"/>
              <w:right w:val="double" w:sz="4" w:space="0" w:color="000000"/>
            </w:tcBorders>
            <w:shd w:val="clear" w:color="auto" w:fill="8EAADB"/>
          </w:tcPr>
          <w:p w14:paraId="0C867308" w14:textId="77777777" w:rsidR="005850DB" w:rsidRDefault="00000000">
            <w:pPr>
              <w:spacing w:after="0" w:line="259" w:lineRule="auto"/>
              <w:ind w:left="0" w:right="66" w:firstLine="0"/>
              <w:jc w:val="center"/>
            </w:pPr>
            <w:r>
              <w:rPr>
                <w:b/>
                <w:bCs/>
                <w:sz w:val="36"/>
                <w:szCs w:val="36"/>
                <w:rtl/>
              </w:rPr>
              <w:t>بالعربي</w:t>
            </w:r>
            <w:r>
              <w:rPr>
                <w:szCs w:val="28"/>
                <w:rtl/>
              </w:rPr>
              <w:t xml:space="preserve"> </w:t>
            </w:r>
          </w:p>
        </w:tc>
        <w:tc>
          <w:tcPr>
            <w:tcW w:w="1791" w:type="dxa"/>
            <w:tcBorders>
              <w:top w:val="single" w:sz="6" w:space="0" w:color="8EAADB"/>
              <w:left w:val="double" w:sz="4" w:space="0" w:color="000000"/>
              <w:bottom w:val="double" w:sz="4" w:space="0" w:color="000000"/>
              <w:right w:val="double" w:sz="4" w:space="0" w:color="000000"/>
            </w:tcBorders>
            <w:shd w:val="clear" w:color="auto" w:fill="8EAADB"/>
          </w:tcPr>
          <w:p w14:paraId="1CF7A8D0" w14:textId="77777777" w:rsidR="005850DB" w:rsidRDefault="00000000">
            <w:pPr>
              <w:spacing w:after="0" w:line="259" w:lineRule="auto"/>
              <w:ind w:left="0" w:right="317" w:firstLine="0"/>
            </w:pPr>
            <w:r>
              <w:rPr>
                <w:b/>
                <w:bCs/>
                <w:sz w:val="36"/>
                <w:szCs w:val="36"/>
                <w:rtl/>
              </w:rPr>
              <w:t>الاختصار</w:t>
            </w:r>
            <w:r>
              <w:rPr>
                <w:rFonts w:ascii="Times New Roman" w:eastAsia="Times New Roman" w:hAnsi="Times New Roman" w:cs="Times New Roman"/>
                <w:sz w:val="24"/>
                <w:rtl/>
              </w:rPr>
              <w:t xml:space="preserve"> </w:t>
            </w:r>
          </w:p>
        </w:tc>
      </w:tr>
      <w:tr w:rsidR="005850DB" w14:paraId="0C3C5F50" w14:textId="77777777">
        <w:trPr>
          <w:trHeight w:val="655"/>
        </w:trPr>
        <w:tc>
          <w:tcPr>
            <w:tcW w:w="4373" w:type="dxa"/>
            <w:tcBorders>
              <w:top w:val="double" w:sz="4" w:space="0" w:color="000000"/>
              <w:left w:val="double" w:sz="4" w:space="0" w:color="000000"/>
              <w:bottom w:val="double" w:sz="4" w:space="0" w:color="000000"/>
              <w:right w:val="double" w:sz="4" w:space="0" w:color="000000"/>
            </w:tcBorders>
            <w:vAlign w:val="center"/>
          </w:tcPr>
          <w:p w14:paraId="6EA3CD7C" w14:textId="77777777" w:rsidR="005850DB" w:rsidRDefault="00000000">
            <w:pPr>
              <w:bidi w:val="0"/>
              <w:spacing w:after="0" w:line="259" w:lineRule="auto"/>
              <w:ind w:left="345" w:right="0" w:firstLine="0"/>
              <w:jc w:val="left"/>
            </w:pPr>
            <w:r>
              <w:rPr>
                <w:rFonts w:ascii="Times New Roman" w:eastAsia="Times New Roman" w:hAnsi="Times New Roman" w:cs="Times New Roman"/>
                <w:sz w:val="24"/>
              </w:rPr>
              <w:t xml:space="preserve"> Failure Mode and Effects Analysis</w:t>
            </w:r>
          </w:p>
        </w:tc>
        <w:tc>
          <w:tcPr>
            <w:tcW w:w="2868" w:type="dxa"/>
            <w:tcBorders>
              <w:top w:val="double" w:sz="4" w:space="0" w:color="000000"/>
              <w:left w:val="double" w:sz="4" w:space="0" w:color="000000"/>
              <w:bottom w:val="double" w:sz="4" w:space="0" w:color="000000"/>
              <w:right w:val="double" w:sz="4" w:space="0" w:color="000000"/>
            </w:tcBorders>
          </w:tcPr>
          <w:p w14:paraId="1D0F1226" w14:textId="77777777" w:rsidR="005850DB" w:rsidRDefault="00000000">
            <w:pPr>
              <w:spacing w:after="0" w:line="259" w:lineRule="auto"/>
              <w:ind w:left="0" w:right="259" w:firstLine="0"/>
            </w:pPr>
            <w:r>
              <w:rPr>
                <w:szCs w:val="28"/>
                <w:rtl/>
              </w:rPr>
              <w:t xml:space="preserve">تحليل أنماط الفشل وآثاره ا </w:t>
            </w:r>
          </w:p>
        </w:tc>
        <w:tc>
          <w:tcPr>
            <w:tcW w:w="1791" w:type="dxa"/>
            <w:tcBorders>
              <w:top w:val="double" w:sz="4" w:space="0" w:color="000000"/>
              <w:left w:val="double" w:sz="4" w:space="0" w:color="000000"/>
              <w:bottom w:val="double" w:sz="4" w:space="0" w:color="000000"/>
              <w:right w:val="double" w:sz="4" w:space="0" w:color="000000"/>
            </w:tcBorders>
            <w:vAlign w:val="center"/>
          </w:tcPr>
          <w:p w14:paraId="6637F845" w14:textId="77777777" w:rsidR="005850DB" w:rsidRDefault="00000000">
            <w:pPr>
              <w:bidi w:val="0"/>
              <w:spacing w:after="0" w:line="259" w:lineRule="auto"/>
              <w:ind w:left="0" w:right="51" w:firstLine="0"/>
              <w:jc w:val="center"/>
            </w:pPr>
            <w:r>
              <w:rPr>
                <w:rFonts w:ascii="Times New Roman" w:eastAsia="Times New Roman" w:hAnsi="Times New Roman" w:cs="Times New Roman"/>
                <w:sz w:val="24"/>
              </w:rPr>
              <w:t xml:space="preserve"> FMEA</w:t>
            </w:r>
          </w:p>
        </w:tc>
      </w:tr>
      <w:tr w:rsidR="005850DB" w14:paraId="6DBCCE6F" w14:textId="77777777">
        <w:trPr>
          <w:trHeight w:val="649"/>
        </w:trPr>
        <w:tc>
          <w:tcPr>
            <w:tcW w:w="4373" w:type="dxa"/>
            <w:tcBorders>
              <w:top w:val="double" w:sz="4" w:space="0" w:color="000000"/>
              <w:left w:val="double" w:sz="4" w:space="0" w:color="000000"/>
              <w:bottom w:val="double" w:sz="4" w:space="0" w:color="000000"/>
              <w:right w:val="double" w:sz="4" w:space="0" w:color="000000"/>
            </w:tcBorders>
            <w:vAlign w:val="center"/>
          </w:tcPr>
          <w:p w14:paraId="0321374A" w14:textId="77777777" w:rsidR="005850DB" w:rsidRDefault="00000000">
            <w:pPr>
              <w:bidi w:val="0"/>
              <w:spacing w:after="0" w:line="259" w:lineRule="auto"/>
              <w:ind w:left="0" w:right="61" w:firstLine="0"/>
              <w:jc w:val="center"/>
            </w:pPr>
            <w:r>
              <w:rPr>
                <w:rFonts w:ascii="Times New Roman" w:eastAsia="Times New Roman" w:hAnsi="Times New Roman" w:cs="Times New Roman"/>
                <w:sz w:val="24"/>
              </w:rPr>
              <w:lastRenderedPageBreak/>
              <w:t xml:space="preserve"> Quality Management System</w:t>
            </w:r>
          </w:p>
        </w:tc>
        <w:tc>
          <w:tcPr>
            <w:tcW w:w="2868" w:type="dxa"/>
            <w:tcBorders>
              <w:top w:val="double" w:sz="4" w:space="0" w:color="000000"/>
              <w:left w:val="double" w:sz="4" w:space="0" w:color="000000"/>
              <w:bottom w:val="double" w:sz="4" w:space="0" w:color="000000"/>
              <w:right w:val="double" w:sz="4" w:space="0" w:color="000000"/>
            </w:tcBorders>
          </w:tcPr>
          <w:p w14:paraId="2C52C057" w14:textId="77777777" w:rsidR="005850DB" w:rsidRDefault="00000000">
            <w:pPr>
              <w:spacing w:after="0" w:line="259" w:lineRule="auto"/>
              <w:ind w:left="0" w:right="59" w:firstLine="0"/>
              <w:jc w:val="center"/>
            </w:pPr>
            <w:r>
              <w:rPr>
                <w:szCs w:val="28"/>
                <w:rtl/>
              </w:rPr>
              <w:t xml:space="preserve">نظام إدارة الجود ة </w:t>
            </w:r>
          </w:p>
        </w:tc>
        <w:tc>
          <w:tcPr>
            <w:tcW w:w="1791" w:type="dxa"/>
            <w:tcBorders>
              <w:top w:val="double" w:sz="4" w:space="0" w:color="000000"/>
              <w:left w:val="double" w:sz="4" w:space="0" w:color="000000"/>
              <w:bottom w:val="double" w:sz="4" w:space="0" w:color="000000"/>
              <w:right w:val="double" w:sz="4" w:space="0" w:color="000000"/>
            </w:tcBorders>
            <w:vAlign w:val="center"/>
          </w:tcPr>
          <w:p w14:paraId="7DA994C2" w14:textId="77777777" w:rsidR="005850DB" w:rsidRDefault="00000000">
            <w:pPr>
              <w:bidi w:val="0"/>
              <w:spacing w:after="0" w:line="259" w:lineRule="auto"/>
              <w:ind w:left="0" w:right="49" w:firstLine="0"/>
              <w:jc w:val="center"/>
            </w:pPr>
            <w:r>
              <w:rPr>
                <w:rFonts w:ascii="Times New Roman" w:eastAsia="Times New Roman" w:hAnsi="Times New Roman" w:cs="Times New Roman"/>
                <w:sz w:val="24"/>
              </w:rPr>
              <w:t xml:space="preserve"> QMS</w:t>
            </w:r>
          </w:p>
        </w:tc>
      </w:tr>
      <w:tr w:rsidR="005850DB" w14:paraId="4718A421"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7F48712E" w14:textId="77777777" w:rsidR="005850DB" w:rsidRDefault="00000000">
            <w:pPr>
              <w:bidi w:val="0"/>
              <w:spacing w:after="0" w:line="259" w:lineRule="auto"/>
              <w:ind w:left="0" w:right="61" w:firstLine="0"/>
              <w:jc w:val="center"/>
            </w:pPr>
            <w:r>
              <w:rPr>
                <w:rFonts w:ascii="Times New Roman" w:eastAsia="Times New Roman" w:hAnsi="Times New Roman" w:cs="Times New Roman"/>
                <w:sz w:val="24"/>
              </w:rPr>
              <w:t xml:space="preserve"> Health, Safety, and Environment</w:t>
            </w:r>
          </w:p>
        </w:tc>
        <w:tc>
          <w:tcPr>
            <w:tcW w:w="2868" w:type="dxa"/>
            <w:tcBorders>
              <w:top w:val="double" w:sz="4" w:space="0" w:color="000000"/>
              <w:left w:val="double" w:sz="4" w:space="0" w:color="000000"/>
              <w:bottom w:val="double" w:sz="4" w:space="0" w:color="000000"/>
              <w:right w:val="double" w:sz="4" w:space="0" w:color="000000"/>
            </w:tcBorders>
          </w:tcPr>
          <w:p w14:paraId="192AF177" w14:textId="77777777" w:rsidR="005850DB" w:rsidRDefault="00000000">
            <w:pPr>
              <w:spacing w:after="0" w:line="259" w:lineRule="auto"/>
              <w:ind w:left="0" w:right="369" w:firstLine="0"/>
            </w:pPr>
            <w:r>
              <w:rPr>
                <w:szCs w:val="28"/>
                <w:rtl/>
              </w:rPr>
              <w:t xml:space="preserve">الصحة والسلامة والبيئ ة </w:t>
            </w:r>
          </w:p>
        </w:tc>
        <w:tc>
          <w:tcPr>
            <w:tcW w:w="1791" w:type="dxa"/>
            <w:tcBorders>
              <w:top w:val="double" w:sz="4" w:space="0" w:color="000000"/>
              <w:left w:val="double" w:sz="4" w:space="0" w:color="000000"/>
              <w:bottom w:val="double" w:sz="4" w:space="0" w:color="000000"/>
              <w:right w:val="double" w:sz="4" w:space="0" w:color="000000"/>
            </w:tcBorders>
            <w:vAlign w:val="center"/>
          </w:tcPr>
          <w:p w14:paraId="1F7E3088" w14:textId="77777777" w:rsidR="005850DB" w:rsidRDefault="00000000">
            <w:pPr>
              <w:bidi w:val="0"/>
              <w:spacing w:after="0" w:line="259" w:lineRule="auto"/>
              <w:ind w:left="0" w:right="49" w:firstLine="0"/>
              <w:jc w:val="center"/>
            </w:pPr>
            <w:r>
              <w:rPr>
                <w:rFonts w:ascii="Times New Roman" w:eastAsia="Times New Roman" w:hAnsi="Times New Roman" w:cs="Times New Roman"/>
                <w:sz w:val="24"/>
              </w:rPr>
              <w:t xml:space="preserve"> HSE</w:t>
            </w:r>
          </w:p>
        </w:tc>
      </w:tr>
      <w:tr w:rsidR="005850DB" w14:paraId="120E8A28"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175D4DD9" w14:textId="77777777" w:rsidR="005850DB" w:rsidRDefault="00000000">
            <w:pPr>
              <w:bidi w:val="0"/>
              <w:spacing w:after="0" w:line="259" w:lineRule="auto"/>
              <w:ind w:left="0" w:right="79" w:firstLine="0"/>
              <w:jc w:val="center"/>
            </w:pPr>
            <w:r>
              <w:rPr>
                <w:sz w:val="24"/>
              </w:rPr>
              <w:t xml:space="preserve"> </w:t>
            </w:r>
            <w:r>
              <w:rPr>
                <w:rFonts w:ascii="Times New Roman" w:eastAsia="Times New Roman" w:hAnsi="Times New Roman" w:cs="Times New Roman"/>
                <w:sz w:val="24"/>
              </w:rPr>
              <w:t>Research and Development</w:t>
            </w:r>
          </w:p>
        </w:tc>
        <w:tc>
          <w:tcPr>
            <w:tcW w:w="2868" w:type="dxa"/>
            <w:tcBorders>
              <w:top w:val="double" w:sz="4" w:space="0" w:color="000000"/>
              <w:left w:val="double" w:sz="4" w:space="0" w:color="000000"/>
              <w:bottom w:val="double" w:sz="4" w:space="0" w:color="000000"/>
              <w:right w:val="double" w:sz="4" w:space="0" w:color="000000"/>
            </w:tcBorders>
          </w:tcPr>
          <w:p w14:paraId="718038B9" w14:textId="77777777" w:rsidR="005850DB" w:rsidRDefault="00000000">
            <w:pPr>
              <w:spacing w:after="0" w:line="259" w:lineRule="auto"/>
              <w:ind w:left="0" w:right="65" w:firstLine="0"/>
              <w:jc w:val="center"/>
            </w:pPr>
            <w:r>
              <w:rPr>
                <w:szCs w:val="28"/>
                <w:rtl/>
              </w:rPr>
              <w:t>البحث والتطوير</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5F0D0891" w14:textId="77777777" w:rsidR="005850DB" w:rsidRDefault="00000000">
            <w:pPr>
              <w:bidi w:val="0"/>
              <w:spacing w:after="0" w:line="259" w:lineRule="auto"/>
              <w:ind w:left="0" w:right="63" w:firstLine="0"/>
              <w:jc w:val="center"/>
            </w:pPr>
            <w:r>
              <w:rPr>
                <w:sz w:val="24"/>
              </w:rPr>
              <w:t xml:space="preserve"> </w:t>
            </w:r>
            <w:r>
              <w:rPr>
                <w:rFonts w:ascii="Times New Roman" w:eastAsia="Times New Roman" w:hAnsi="Times New Roman" w:cs="Times New Roman"/>
                <w:sz w:val="24"/>
              </w:rPr>
              <w:t>R&amp;D</w:t>
            </w:r>
          </w:p>
        </w:tc>
      </w:tr>
      <w:tr w:rsidR="005850DB" w14:paraId="1B1A2FA0"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52D6CE16" w14:textId="77777777" w:rsidR="005850DB" w:rsidRDefault="00000000">
            <w:pPr>
              <w:bidi w:val="0"/>
              <w:spacing w:after="0" w:line="259" w:lineRule="auto"/>
              <w:ind w:left="0" w:right="80" w:firstLine="0"/>
              <w:jc w:val="center"/>
            </w:pPr>
            <w:r>
              <w:rPr>
                <w:sz w:val="24"/>
              </w:rPr>
              <w:t xml:space="preserve"> </w:t>
            </w:r>
            <w:r>
              <w:rPr>
                <w:rFonts w:ascii="Times New Roman" w:eastAsia="Times New Roman" w:hAnsi="Times New Roman" w:cs="Times New Roman"/>
                <w:sz w:val="24"/>
              </w:rPr>
              <w:t>Gross Domestic Product</w:t>
            </w:r>
          </w:p>
        </w:tc>
        <w:tc>
          <w:tcPr>
            <w:tcW w:w="2868" w:type="dxa"/>
            <w:tcBorders>
              <w:top w:val="double" w:sz="4" w:space="0" w:color="000000"/>
              <w:left w:val="double" w:sz="4" w:space="0" w:color="000000"/>
              <w:bottom w:val="double" w:sz="4" w:space="0" w:color="000000"/>
              <w:right w:val="double" w:sz="4" w:space="0" w:color="000000"/>
            </w:tcBorders>
          </w:tcPr>
          <w:p w14:paraId="15AD0C9E" w14:textId="77777777" w:rsidR="005850DB" w:rsidRDefault="00000000">
            <w:pPr>
              <w:spacing w:after="0" w:line="259" w:lineRule="auto"/>
              <w:ind w:left="0" w:right="381" w:firstLine="0"/>
            </w:pPr>
            <w:r>
              <w:rPr>
                <w:szCs w:val="28"/>
                <w:rtl/>
              </w:rPr>
              <w:t>الناتج المحلي الإجمال ي</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2AC9CF15" w14:textId="77777777" w:rsidR="005850DB" w:rsidRDefault="00000000">
            <w:pPr>
              <w:bidi w:val="0"/>
              <w:spacing w:after="0" w:line="259" w:lineRule="auto"/>
              <w:ind w:left="0" w:right="66" w:firstLine="0"/>
              <w:jc w:val="center"/>
            </w:pPr>
            <w:r>
              <w:rPr>
                <w:sz w:val="24"/>
              </w:rPr>
              <w:t xml:space="preserve"> </w:t>
            </w:r>
            <w:r>
              <w:rPr>
                <w:rFonts w:ascii="Times New Roman" w:eastAsia="Times New Roman" w:hAnsi="Times New Roman" w:cs="Times New Roman"/>
                <w:sz w:val="24"/>
              </w:rPr>
              <w:t>GDP</w:t>
            </w:r>
          </w:p>
        </w:tc>
      </w:tr>
      <w:tr w:rsidR="005850DB" w14:paraId="1A25D2A6"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56A1BC2E" w14:textId="77777777" w:rsidR="005850DB" w:rsidRDefault="00000000">
            <w:pPr>
              <w:bidi w:val="0"/>
              <w:spacing w:after="0" w:line="259" w:lineRule="auto"/>
              <w:ind w:left="0" w:right="75" w:firstLine="0"/>
              <w:jc w:val="center"/>
            </w:pPr>
            <w:r>
              <w:rPr>
                <w:sz w:val="24"/>
              </w:rPr>
              <w:t xml:space="preserve"> </w:t>
            </w:r>
            <w:r>
              <w:rPr>
                <w:rFonts w:ascii="Times New Roman" w:eastAsia="Times New Roman" w:hAnsi="Times New Roman" w:cs="Times New Roman"/>
                <w:sz w:val="24"/>
              </w:rPr>
              <w:t>Small and Medium Enterprises</w:t>
            </w:r>
          </w:p>
        </w:tc>
        <w:tc>
          <w:tcPr>
            <w:tcW w:w="2868" w:type="dxa"/>
            <w:tcBorders>
              <w:top w:val="double" w:sz="4" w:space="0" w:color="000000"/>
              <w:left w:val="double" w:sz="4" w:space="0" w:color="000000"/>
              <w:bottom w:val="double" w:sz="4" w:space="0" w:color="000000"/>
              <w:right w:val="double" w:sz="4" w:space="0" w:color="000000"/>
            </w:tcBorders>
          </w:tcPr>
          <w:p w14:paraId="15BD0D40" w14:textId="77777777" w:rsidR="005850DB" w:rsidRDefault="00000000">
            <w:pPr>
              <w:spacing w:after="0" w:line="259" w:lineRule="auto"/>
              <w:ind w:left="0" w:right="142" w:firstLine="0"/>
            </w:pPr>
            <w:r>
              <w:rPr>
                <w:szCs w:val="28"/>
                <w:rtl/>
              </w:rPr>
              <w:t>الشركات الصغيرة والمتوسطة</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10B2103E" w14:textId="77777777" w:rsidR="005850DB" w:rsidRDefault="00000000">
            <w:pPr>
              <w:bidi w:val="0"/>
              <w:spacing w:after="0" w:line="259" w:lineRule="auto"/>
              <w:ind w:left="0" w:right="51" w:firstLine="0"/>
              <w:jc w:val="center"/>
            </w:pPr>
            <w:r>
              <w:rPr>
                <w:rFonts w:ascii="Times New Roman" w:eastAsia="Times New Roman" w:hAnsi="Times New Roman" w:cs="Times New Roman"/>
                <w:sz w:val="24"/>
              </w:rPr>
              <w:t xml:space="preserve"> SME</w:t>
            </w:r>
          </w:p>
        </w:tc>
      </w:tr>
      <w:tr w:rsidR="005850DB" w14:paraId="0A07A594"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380EDFA8" w14:textId="77777777" w:rsidR="005850DB" w:rsidRDefault="00000000">
            <w:pPr>
              <w:bidi w:val="0"/>
              <w:spacing w:after="0" w:line="259" w:lineRule="auto"/>
              <w:ind w:left="0" w:right="80" w:firstLine="0"/>
              <w:jc w:val="center"/>
            </w:pPr>
            <w:r>
              <w:rPr>
                <w:sz w:val="24"/>
              </w:rPr>
              <w:t xml:space="preserve"> </w:t>
            </w:r>
            <w:r>
              <w:rPr>
                <w:rFonts w:ascii="Times New Roman" w:eastAsia="Times New Roman" w:hAnsi="Times New Roman" w:cs="Times New Roman"/>
                <w:sz w:val="24"/>
              </w:rPr>
              <w:t>Information Technology</w:t>
            </w:r>
          </w:p>
        </w:tc>
        <w:tc>
          <w:tcPr>
            <w:tcW w:w="2868" w:type="dxa"/>
            <w:tcBorders>
              <w:top w:val="double" w:sz="4" w:space="0" w:color="000000"/>
              <w:left w:val="double" w:sz="4" w:space="0" w:color="000000"/>
              <w:bottom w:val="double" w:sz="4" w:space="0" w:color="000000"/>
              <w:right w:val="double" w:sz="4" w:space="0" w:color="000000"/>
            </w:tcBorders>
          </w:tcPr>
          <w:p w14:paraId="2DA6F019" w14:textId="77777777" w:rsidR="005850DB" w:rsidRDefault="00000000">
            <w:pPr>
              <w:spacing w:after="0" w:line="259" w:lineRule="auto"/>
              <w:ind w:left="0" w:right="509" w:firstLine="0"/>
            </w:pPr>
            <w:r>
              <w:rPr>
                <w:szCs w:val="28"/>
                <w:rtl/>
              </w:rPr>
              <w:t>تكنولوجيا المعلوما ت</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7855AE2B" w14:textId="77777777" w:rsidR="005850DB" w:rsidRDefault="00000000">
            <w:pPr>
              <w:bidi w:val="0"/>
              <w:spacing w:after="0" w:line="259" w:lineRule="auto"/>
              <w:ind w:left="0" w:right="51" w:firstLine="0"/>
              <w:jc w:val="center"/>
            </w:pPr>
            <w:r>
              <w:rPr>
                <w:rFonts w:ascii="Times New Roman" w:eastAsia="Times New Roman" w:hAnsi="Times New Roman" w:cs="Times New Roman"/>
                <w:sz w:val="24"/>
              </w:rPr>
              <w:t xml:space="preserve"> IT</w:t>
            </w:r>
          </w:p>
        </w:tc>
      </w:tr>
      <w:tr w:rsidR="005850DB" w14:paraId="4D6D4A18"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6267DF47" w14:textId="77777777" w:rsidR="005850DB" w:rsidRDefault="00000000">
            <w:pPr>
              <w:bidi w:val="0"/>
              <w:spacing w:after="0" w:line="259" w:lineRule="auto"/>
              <w:ind w:left="0" w:right="79" w:firstLine="0"/>
              <w:jc w:val="center"/>
            </w:pPr>
            <w:r>
              <w:rPr>
                <w:sz w:val="24"/>
              </w:rPr>
              <w:t xml:space="preserve"> </w:t>
            </w:r>
            <w:r>
              <w:rPr>
                <w:rFonts w:ascii="Times New Roman" w:eastAsia="Times New Roman" w:hAnsi="Times New Roman" w:cs="Times New Roman"/>
                <w:sz w:val="24"/>
              </w:rPr>
              <w:t>Artificial Intelligence</w:t>
            </w:r>
          </w:p>
        </w:tc>
        <w:tc>
          <w:tcPr>
            <w:tcW w:w="2868" w:type="dxa"/>
            <w:tcBorders>
              <w:top w:val="double" w:sz="4" w:space="0" w:color="000000"/>
              <w:left w:val="double" w:sz="4" w:space="0" w:color="000000"/>
              <w:bottom w:val="double" w:sz="4" w:space="0" w:color="000000"/>
              <w:right w:val="double" w:sz="4" w:space="0" w:color="000000"/>
            </w:tcBorders>
          </w:tcPr>
          <w:p w14:paraId="45ED8FB1" w14:textId="77777777" w:rsidR="005850DB" w:rsidRDefault="00000000">
            <w:pPr>
              <w:spacing w:after="0" w:line="259" w:lineRule="auto"/>
              <w:ind w:left="0" w:right="63" w:firstLine="0"/>
              <w:jc w:val="center"/>
            </w:pPr>
            <w:r>
              <w:rPr>
                <w:szCs w:val="28"/>
                <w:rtl/>
              </w:rPr>
              <w:t>الذكاء الاصطناع ي</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45AE5E87" w14:textId="77777777" w:rsidR="005850DB" w:rsidRDefault="00000000">
            <w:pPr>
              <w:bidi w:val="0"/>
              <w:spacing w:after="0" w:line="259" w:lineRule="auto"/>
              <w:ind w:left="0" w:right="53" w:firstLine="0"/>
              <w:jc w:val="center"/>
            </w:pPr>
            <w:r>
              <w:rPr>
                <w:rFonts w:ascii="Times New Roman" w:eastAsia="Times New Roman" w:hAnsi="Times New Roman" w:cs="Times New Roman"/>
                <w:sz w:val="24"/>
              </w:rPr>
              <w:t xml:space="preserve"> AI</w:t>
            </w:r>
          </w:p>
        </w:tc>
      </w:tr>
      <w:tr w:rsidR="005850DB" w14:paraId="07FD171E"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74C04784" w14:textId="77777777" w:rsidR="005850DB" w:rsidRDefault="00000000">
            <w:pPr>
              <w:bidi w:val="0"/>
              <w:spacing w:after="0" w:line="259" w:lineRule="auto"/>
              <w:ind w:left="0" w:right="77" w:firstLine="0"/>
              <w:jc w:val="center"/>
            </w:pPr>
            <w:r>
              <w:rPr>
                <w:sz w:val="24"/>
              </w:rPr>
              <w:t xml:space="preserve"> </w:t>
            </w:r>
            <w:r>
              <w:rPr>
                <w:rFonts w:ascii="Times New Roman" w:eastAsia="Times New Roman" w:hAnsi="Times New Roman" w:cs="Times New Roman"/>
                <w:sz w:val="24"/>
              </w:rPr>
              <w:t>Internet of Things</w:t>
            </w:r>
          </w:p>
        </w:tc>
        <w:tc>
          <w:tcPr>
            <w:tcW w:w="2868" w:type="dxa"/>
            <w:tcBorders>
              <w:top w:val="double" w:sz="4" w:space="0" w:color="000000"/>
              <w:left w:val="double" w:sz="4" w:space="0" w:color="000000"/>
              <w:bottom w:val="double" w:sz="4" w:space="0" w:color="000000"/>
              <w:right w:val="double" w:sz="4" w:space="0" w:color="000000"/>
            </w:tcBorders>
          </w:tcPr>
          <w:p w14:paraId="0F849A21" w14:textId="77777777" w:rsidR="005850DB" w:rsidRDefault="00000000">
            <w:pPr>
              <w:spacing w:after="0" w:line="259" w:lineRule="auto"/>
              <w:ind w:left="0" w:right="61" w:firstLine="0"/>
              <w:jc w:val="center"/>
            </w:pPr>
            <w:r>
              <w:rPr>
                <w:szCs w:val="28"/>
                <w:rtl/>
              </w:rPr>
              <w:t>إنترنت الأشيا ء</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6D198B2C" w14:textId="77777777" w:rsidR="005850DB" w:rsidRDefault="00000000">
            <w:pPr>
              <w:bidi w:val="0"/>
              <w:spacing w:after="0" w:line="259" w:lineRule="auto"/>
              <w:ind w:left="0" w:right="50" w:firstLine="0"/>
              <w:jc w:val="center"/>
            </w:pPr>
            <w:r>
              <w:rPr>
                <w:rFonts w:ascii="Times New Roman" w:eastAsia="Times New Roman" w:hAnsi="Times New Roman" w:cs="Times New Roman"/>
                <w:sz w:val="24"/>
              </w:rPr>
              <w:t xml:space="preserve"> IoT</w:t>
            </w:r>
          </w:p>
        </w:tc>
      </w:tr>
      <w:tr w:rsidR="005850DB" w14:paraId="784055EB" w14:textId="77777777">
        <w:trPr>
          <w:trHeight w:val="646"/>
        </w:trPr>
        <w:tc>
          <w:tcPr>
            <w:tcW w:w="4373" w:type="dxa"/>
            <w:tcBorders>
              <w:top w:val="double" w:sz="4" w:space="0" w:color="000000"/>
              <w:left w:val="double" w:sz="4" w:space="0" w:color="000000"/>
              <w:bottom w:val="double" w:sz="4" w:space="0" w:color="000000"/>
              <w:right w:val="double" w:sz="4" w:space="0" w:color="000000"/>
            </w:tcBorders>
            <w:vAlign w:val="center"/>
          </w:tcPr>
          <w:p w14:paraId="136C7E64" w14:textId="77777777" w:rsidR="005850DB" w:rsidRDefault="00000000">
            <w:pPr>
              <w:bidi w:val="0"/>
              <w:spacing w:after="0" w:line="259" w:lineRule="auto"/>
              <w:ind w:left="0" w:right="80" w:firstLine="0"/>
              <w:jc w:val="center"/>
            </w:pPr>
            <w:r>
              <w:rPr>
                <w:sz w:val="24"/>
              </w:rPr>
              <w:t xml:space="preserve"> </w:t>
            </w:r>
            <w:r>
              <w:rPr>
                <w:rFonts w:ascii="Times New Roman" w:eastAsia="Times New Roman" w:hAnsi="Times New Roman" w:cs="Times New Roman"/>
                <w:sz w:val="24"/>
              </w:rPr>
              <w:t>Computer-Aided Design</w:t>
            </w:r>
          </w:p>
        </w:tc>
        <w:tc>
          <w:tcPr>
            <w:tcW w:w="2868" w:type="dxa"/>
            <w:tcBorders>
              <w:top w:val="double" w:sz="4" w:space="0" w:color="000000"/>
              <w:left w:val="double" w:sz="4" w:space="0" w:color="000000"/>
              <w:bottom w:val="double" w:sz="4" w:space="0" w:color="000000"/>
              <w:right w:val="double" w:sz="4" w:space="0" w:color="000000"/>
            </w:tcBorders>
          </w:tcPr>
          <w:p w14:paraId="44398769" w14:textId="77777777" w:rsidR="005850DB" w:rsidRDefault="00000000">
            <w:pPr>
              <w:spacing w:after="0" w:line="259" w:lineRule="auto"/>
              <w:ind w:left="0" w:right="197" w:firstLine="0"/>
            </w:pPr>
            <w:r>
              <w:rPr>
                <w:szCs w:val="28"/>
                <w:rtl/>
              </w:rPr>
              <w:t>التصميم بمساعدة الحاسو ب</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6E0CB31D" w14:textId="77777777" w:rsidR="005850DB" w:rsidRDefault="00000000">
            <w:pPr>
              <w:bidi w:val="0"/>
              <w:spacing w:after="0" w:line="259" w:lineRule="auto"/>
              <w:ind w:left="0" w:right="48" w:firstLine="0"/>
              <w:jc w:val="center"/>
            </w:pPr>
            <w:r>
              <w:rPr>
                <w:rFonts w:ascii="Times New Roman" w:eastAsia="Times New Roman" w:hAnsi="Times New Roman" w:cs="Times New Roman"/>
                <w:sz w:val="24"/>
              </w:rPr>
              <w:t xml:space="preserve"> CAD</w:t>
            </w:r>
          </w:p>
        </w:tc>
      </w:tr>
      <w:tr w:rsidR="005850DB" w14:paraId="4B7FB7B3" w14:textId="77777777">
        <w:trPr>
          <w:trHeight w:val="648"/>
        </w:trPr>
        <w:tc>
          <w:tcPr>
            <w:tcW w:w="4373" w:type="dxa"/>
            <w:tcBorders>
              <w:top w:val="double" w:sz="4" w:space="0" w:color="000000"/>
              <w:left w:val="double" w:sz="4" w:space="0" w:color="000000"/>
              <w:bottom w:val="double" w:sz="4" w:space="0" w:color="000000"/>
              <w:right w:val="double" w:sz="4" w:space="0" w:color="000000"/>
            </w:tcBorders>
            <w:vAlign w:val="center"/>
          </w:tcPr>
          <w:p w14:paraId="572D1846" w14:textId="77777777" w:rsidR="005850DB" w:rsidRDefault="00000000">
            <w:pPr>
              <w:bidi w:val="0"/>
              <w:spacing w:after="0" w:line="259" w:lineRule="auto"/>
              <w:ind w:left="0" w:right="75" w:firstLine="0"/>
              <w:jc w:val="center"/>
            </w:pPr>
            <w:r>
              <w:rPr>
                <w:sz w:val="24"/>
              </w:rPr>
              <w:t xml:space="preserve"> </w:t>
            </w:r>
            <w:r>
              <w:rPr>
                <w:rFonts w:ascii="Times New Roman" w:eastAsia="Times New Roman" w:hAnsi="Times New Roman" w:cs="Times New Roman"/>
                <w:sz w:val="24"/>
              </w:rPr>
              <w:t>Computer-Aided Manufacturing</w:t>
            </w:r>
          </w:p>
        </w:tc>
        <w:tc>
          <w:tcPr>
            <w:tcW w:w="2868" w:type="dxa"/>
            <w:tcBorders>
              <w:top w:val="double" w:sz="4" w:space="0" w:color="000000"/>
              <w:left w:val="double" w:sz="4" w:space="0" w:color="000000"/>
              <w:bottom w:val="double" w:sz="4" w:space="0" w:color="000000"/>
              <w:right w:val="double" w:sz="4" w:space="0" w:color="000000"/>
            </w:tcBorders>
          </w:tcPr>
          <w:p w14:paraId="780911AA" w14:textId="77777777" w:rsidR="005850DB" w:rsidRDefault="00000000">
            <w:pPr>
              <w:spacing w:after="0" w:line="259" w:lineRule="auto"/>
              <w:ind w:left="0" w:right="199" w:firstLine="0"/>
            </w:pPr>
            <w:r>
              <w:rPr>
                <w:szCs w:val="28"/>
                <w:rtl/>
              </w:rPr>
              <w:t>التصنيع بمساعدة الحاسو ب</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0EF7979A" w14:textId="77777777" w:rsidR="005850DB" w:rsidRDefault="00000000">
            <w:pPr>
              <w:bidi w:val="0"/>
              <w:spacing w:after="0" w:line="259" w:lineRule="auto"/>
              <w:ind w:left="0" w:right="51" w:firstLine="0"/>
              <w:jc w:val="center"/>
            </w:pPr>
            <w:r>
              <w:rPr>
                <w:rFonts w:ascii="Times New Roman" w:eastAsia="Times New Roman" w:hAnsi="Times New Roman" w:cs="Times New Roman"/>
                <w:sz w:val="24"/>
              </w:rPr>
              <w:t xml:space="preserve"> CAM</w:t>
            </w:r>
          </w:p>
        </w:tc>
      </w:tr>
      <w:tr w:rsidR="005850DB" w14:paraId="1BD3299D" w14:textId="77777777">
        <w:trPr>
          <w:trHeight w:val="647"/>
        </w:trPr>
        <w:tc>
          <w:tcPr>
            <w:tcW w:w="4373" w:type="dxa"/>
            <w:tcBorders>
              <w:top w:val="double" w:sz="4" w:space="0" w:color="000000"/>
              <w:left w:val="double" w:sz="4" w:space="0" w:color="000000"/>
              <w:bottom w:val="double" w:sz="4" w:space="0" w:color="000000"/>
              <w:right w:val="double" w:sz="4" w:space="0" w:color="000000"/>
            </w:tcBorders>
            <w:vAlign w:val="center"/>
          </w:tcPr>
          <w:p w14:paraId="7DB7362D" w14:textId="77777777" w:rsidR="005850DB" w:rsidRDefault="00000000">
            <w:pPr>
              <w:bidi w:val="0"/>
              <w:spacing w:after="0" w:line="259" w:lineRule="auto"/>
              <w:ind w:left="0" w:right="76" w:firstLine="0"/>
              <w:jc w:val="center"/>
            </w:pPr>
            <w:r>
              <w:rPr>
                <w:sz w:val="24"/>
              </w:rPr>
              <w:t xml:space="preserve"> </w:t>
            </w:r>
            <w:r>
              <w:rPr>
                <w:rFonts w:ascii="Times New Roman" w:eastAsia="Times New Roman" w:hAnsi="Times New Roman" w:cs="Times New Roman"/>
                <w:sz w:val="24"/>
              </w:rPr>
              <w:t>Enterprise Resource Planning</w:t>
            </w:r>
          </w:p>
        </w:tc>
        <w:tc>
          <w:tcPr>
            <w:tcW w:w="2868" w:type="dxa"/>
            <w:tcBorders>
              <w:top w:val="double" w:sz="4" w:space="0" w:color="000000"/>
              <w:left w:val="double" w:sz="4" w:space="0" w:color="000000"/>
              <w:bottom w:val="double" w:sz="4" w:space="0" w:color="000000"/>
              <w:right w:val="double" w:sz="4" w:space="0" w:color="000000"/>
            </w:tcBorders>
          </w:tcPr>
          <w:p w14:paraId="78A6489E" w14:textId="77777777" w:rsidR="005850DB" w:rsidRDefault="00000000">
            <w:pPr>
              <w:spacing w:after="0" w:line="259" w:lineRule="auto"/>
              <w:ind w:left="0" w:right="408" w:firstLine="0"/>
            </w:pPr>
            <w:r>
              <w:rPr>
                <w:szCs w:val="28"/>
                <w:rtl/>
              </w:rPr>
              <w:t xml:space="preserve">تخطيط موارد المؤسسة </w:t>
            </w:r>
            <w:r>
              <w:rPr>
                <w:rFonts w:ascii="Times New Roman" w:eastAsia="Times New Roman" w:hAnsi="Times New Roman" w:cs="Times New Roman"/>
                <w:szCs w:val="28"/>
                <w:rtl/>
              </w:rPr>
              <w:t xml:space="preserve"> </w:t>
            </w:r>
          </w:p>
        </w:tc>
        <w:tc>
          <w:tcPr>
            <w:tcW w:w="1791" w:type="dxa"/>
            <w:tcBorders>
              <w:top w:val="double" w:sz="4" w:space="0" w:color="000000"/>
              <w:left w:val="double" w:sz="4" w:space="0" w:color="000000"/>
              <w:bottom w:val="double" w:sz="4" w:space="0" w:color="000000"/>
              <w:right w:val="double" w:sz="4" w:space="0" w:color="000000"/>
            </w:tcBorders>
            <w:vAlign w:val="center"/>
          </w:tcPr>
          <w:p w14:paraId="1E3CC15F" w14:textId="77777777" w:rsidR="005850DB" w:rsidRDefault="00000000">
            <w:pPr>
              <w:bidi w:val="0"/>
              <w:spacing w:after="0" w:line="259" w:lineRule="auto"/>
              <w:ind w:left="0" w:right="48" w:firstLine="0"/>
              <w:jc w:val="center"/>
            </w:pPr>
            <w:r>
              <w:rPr>
                <w:rFonts w:ascii="Times New Roman" w:eastAsia="Times New Roman" w:hAnsi="Times New Roman" w:cs="Times New Roman"/>
                <w:sz w:val="24"/>
              </w:rPr>
              <w:t xml:space="preserve"> ERP</w:t>
            </w:r>
          </w:p>
        </w:tc>
      </w:tr>
    </w:tbl>
    <w:p w14:paraId="0EF0262F" w14:textId="77777777" w:rsidR="005850DB" w:rsidRDefault="00000000">
      <w:pPr>
        <w:bidi w:val="0"/>
        <w:spacing w:after="0" w:line="259" w:lineRule="auto"/>
        <w:ind w:left="0" w:right="84" w:firstLine="0"/>
      </w:pPr>
      <w:r>
        <w:rPr>
          <w:rFonts w:ascii="Times New Roman" w:eastAsia="Times New Roman" w:hAnsi="Times New Roman" w:cs="Times New Roman"/>
          <w:b/>
        </w:rPr>
        <w:t xml:space="preserve"> </w:t>
      </w:r>
    </w:p>
    <w:p w14:paraId="2DF58AC1"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3FD8D200"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7BFD1334"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36D69D7D"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626497F4"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482659C9"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024F4E50" w14:textId="77777777" w:rsidR="005850DB" w:rsidRDefault="00000000">
      <w:pPr>
        <w:bidi w:val="0"/>
        <w:spacing w:after="0" w:line="259" w:lineRule="auto"/>
        <w:ind w:left="0" w:right="60" w:firstLine="0"/>
      </w:pPr>
      <w:r>
        <w:rPr>
          <w:rFonts w:ascii="Times New Roman" w:eastAsia="Times New Roman" w:hAnsi="Times New Roman" w:cs="Times New Roman"/>
        </w:rPr>
        <w:t xml:space="preserve"> </w:t>
      </w:r>
    </w:p>
    <w:p w14:paraId="377C01D2" w14:textId="77777777" w:rsidR="005850DB" w:rsidRDefault="005850DB">
      <w:pPr>
        <w:sectPr w:rsidR="005850DB">
          <w:footerReference w:type="even" r:id="rId7"/>
          <w:footerReference w:type="default" r:id="rId8"/>
          <w:footerReference w:type="first" r:id="rId9"/>
          <w:pgSz w:w="11906" w:h="16838"/>
          <w:pgMar w:top="1133" w:right="1697" w:bottom="1139" w:left="1114" w:header="720" w:footer="565" w:gutter="0"/>
          <w:pgNumType w:fmt="lowerRoman" w:start="2"/>
          <w:cols w:space="720"/>
          <w:bidi/>
        </w:sectPr>
      </w:pPr>
    </w:p>
    <w:p w14:paraId="2B5E95F5" w14:textId="77777777" w:rsidR="005850DB" w:rsidRDefault="00000000">
      <w:pPr>
        <w:bidi w:val="0"/>
        <w:spacing w:after="0" w:line="259" w:lineRule="auto"/>
        <w:ind w:left="0" w:right="69" w:firstLine="0"/>
      </w:pPr>
      <w:r>
        <w:rPr>
          <w:rFonts w:ascii="Times New Roman" w:eastAsia="Times New Roman" w:hAnsi="Times New Roman" w:cs="Times New Roman"/>
        </w:rPr>
        <w:lastRenderedPageBreak/>
        <w:t xml:space="preserve"> </w:t>
      </w:r>
    </w:p>
    <w:p w14:paraId="66AB991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01DE7D1"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653278C" w14:textId="77777777" w:rsidR="005850DB" w:rsidRDefault="00000000">
      <w:pPr>
        <w:bidi w:val="0"/>
        <w:spacing w:after="37" w:line="259" w:lineRule="auto"/>
        <w:ind w:left="0" w:right="69" w:firstLine="0"/>
      </w:pPr>
      <w:r>
        <w:rPr>
          <w:rFonts w:ascii="Times New Roman" w:eastAsia="Times New Roman" w:hAnsi="Times New Roman" w:cs="Times New Roman"/>
        </w:rPr>
        <w:t xml:space="preserve"> </w:t>
      </w:r>
    </w:p>
    <w:p w14:paraId="6F2111E7" w14:textId="77777777" w:rsidR="005850DB" w:rsidRDefault="00000000">
      <w:pPr>
        <w:bidi w:val="0"/>
        <w:spacing w:after="0" w:line="259" w:lineRule="auto"/>
        <w:ind w:left="0" w:right="58" w:firstLine="0"/>
      </w:pPr>
      <w:r>
        <w:t xml:space="preserve"> </w:t>
      </w:r>
    </w:p>
    <w:p w14:paraId="62B8C86C" w14:textId="77777777" w:rsidR="005850DB" w:rsidRDefault="00000000">
      <w:pPr>
        <w:bidi w:val="0"/>
        <w:spacing w:after="0" w:line="259" w:lineRule="auto"/>
        <w:ind w:left="0" w:right="58" w:firstLine="0"/>
      </w:pPr>
      <w:r>
        <w:t xml:space="preserve"> </w:t>
      </w:r>
    </w:p>
    <w:p w14:paraId="65EDBAAA" w14:textId="77777777" w:rsidR="005850DB" w:rsidRDefault="00000000">
      <w:pPr>
        <w:bidi w:val="0"/>
        <w:spacing w:after="0" w:line="259" w:lineRule="auto"/>
        <w:ind w:left="0" w:right="58" w:firstLine="0"/>
      </w:pPr>
      <w:r>
        <w:t xml:space="preserve"> </w:t>
      </w:r>
    </w:p>
    <w:p w14:paraId="6C1EE705" w14:textId="77777777" w:rsidR="005850DB" w:rsidRDefault="00000000">
      <w:pPr>
        <w:bidi w:val="0"/>
        <w:spacing w:after="0" w:line="259" w:lineRule="auto"/>
        <w:ind w:left="0" w:right="58" w:firstLine="0"/>
      </w:pPr>
      <w:r>
        <w:t xml:space="preserve"> </w:t>
      </w:r>
    </w:p>
    <w:p w14:paraId="78918DCB"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2F9A301"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DEF1363"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7C79563"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5EBAA7F7"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9CAA6FE" w14:textId="77777777" w:rsidR="005850DB" w:rsidRDefault="00000000">
      <w:pPr>
        <w:bidi w:val="0"/>
        <w:spacing w:after="40" w:line="259" w:lineRule="auto"/>
        <w:ind w:left="0" w:right="69" w:firstLine="0"/>
      </w:pPr>
      <w:r>
        <w:rPr>
          <w:rFonts w:ascii="Times New Roman" w:eastAsia="Times New Roman" w:hAnsi="Times New Roman" w:cs="Times New Roman"/>
        </w:rPr>
        <w:t xml:space="preserve"> </w:t>
      </w:r>
    </w:p>
    <w:p w14:paraId="2E752635" w14:textId="77777777" w:rsidR="005850DB" w:rsidRDefault="00000000">
      <w:pPr>
        <w:bidi w:val="0"/>
        <w:spacing w:after="0" w:line="259" w:lineRule="auto"/>
        <w:ind w:left="0" w:right="58" w:firstLine="0"/>
      </w:pPr>
      <w:r>
        <w:t xml:space="preserve"> </w:t>
      </w:r>
    </w:p>
    <w:p w14:paraId="5F47811D" w14:textId="77777777" w:rsidR="005850DB" w:rsidRDefault="00000000">
      <w:pPr>
        <w:bidi w:val="0"/>
        <w:spacing w:after="0" w:line="259" w:lineRule="auto"/>
        <w:ind w:left="0" w:right="58" w:firstLine="0"/>
      </w:pPr>
      <w:r>
        <w:t xml:space="preserve"> </w:t>
      </w:r>
    </w:p>
    <w:p w14:paraId="553128C6" w14:textId="77777777" w:rsidR="005850DB" w:rsidRDefault="00000000">
      <w:pPr>
        <w:bidi w:val="0"/>
        <w:spacing w:after="237" w:line="259" w:lineRule="auto"/>
        <w:ind w:left="0" w:right="58" w:firstLine="0"/>
      </w:pPr>
      <w:r>
        <w:t xml:space="preserve"> </w:t>
      </w:r>
    </w:p>
    <w:p w14:paraId="59F61BB4" w14:textId="77777777" w:rsidR="005850DB" w:rsidRDefault="00000000">
      <w:pPr>
        <w:shd w:val="clear" w:color="auto" w:fill="2A69A2"/>
        <w:tabs>
          <w:tab w:val="center" w:pos="4249"/>
        </w:tabs>
        <w:spacing w:after="0" w:line="259" w:lineRule="auto"/>
        <w:ind w:left="54" w:right="0" w:firstLine="0"/>
        <w:jc w:val="left"/>
      </w:pPr>
      <w:r>
        <w:rPr>
          <w:sz w:val="43"/>
          <w:szCs w:val="43"/>
          <w:vertAlign w:val="superscript"/>
          <w:rtl/>
        </w:rPr>
        <w:t xml:space="preserve"> </w:t>
      </w:r>
      <w:r>
        <w:rPr>
          <w:b/>
          <w:bCs/>
          <w:color w:val="FFFFFF"/>
          <w:sz w:val="60"/>
          <w:szCs w:val="60"/>
          <w:rtl/>
        </w:rPr>
        <w:tab/>
        <w:t xml:space="preserve">الفصل الأو ل </w:t>
      </w:r>
    </w:p>
    <w:p w14:paraId="5191B82F" w14:textId="77777777" w:rsidR="005850DB" w:rsidRDefault="00000000">
      <w:pPr>
        <w:bidi w:val="0"/>
        <w:spacing w:after="0" w:line="259" w:lineRule="auto"/>
        <w:ind w:left="0" w:right="58" w:firstLine="0"/>
      </w:pPr>
      <w:r>
        <w:t xml:space="preserve"> </w:t>
      </w:r>
    </w:p>
    <w:p w14:paraId="5E53BD36" w14:textId="77777777" w:rsidR="005850DB" w:rsidRDefault="00000000">
      <w:pPr>
        <w:bidi w:val="0"/>
        <w:spacing w:after="0" w:line="259" w:lineRule="auto"/>
        <w:ind w:left="0" w:right="58" w:firstLine="0"/>
      </w:pPr>
      <w:r>
        <w:t xml:space="preserve"> </w:t>
      </w:r>
    </w:p>
    <w:p w14:paraId="4D8EAE29" w14:textId="77777777" w:rsidR="005850DB" w:rsidRDefault="00000000">
      <w:pPr>
        <w:pStyle w:val="Heading1"/>
        <w:shd w:val="clear" w:color="auto" w:fill="2A69A2"/>
        <w:tabs>
          <w:tab w:val="center" w:pos="4251"/>
        </w:tabs>
        <w:ind w:left="0" w:right="2907" w:firstLine="0"/>
      </w:pPr>
      <w:r>
        <w:rPr>
          <w:b w:val="0"/>
          <w:sz w:val="43"/>
          <w:szCs w:val="43"/>
          <w:vertAlign w:val="subscript"/>
          <w:rtl/>
        </w:rPr>
        <w:t xml:space="preserve"> </w:t>
      </w:r>
      <w:r>
        <w:rPr>
          <w:bCs/>
          <w:color w:val="FFFFFF"/>
          <w:sz w:val="60"/>
          <w:szCs w:val="60"/>
          <w:rtl/>
        </w:rPr>
        <w:tab/>
        <w:t>الإطار العام للدارس ة</w:t>
      </w:r>
      <w:r>
        <w:rPr>
          <w:bCs/>
          <w:color w:val="FFFFFF"/>
          <w:sz w:val="56"/>
          <w:szCs w:val="56"/>
          <w:rtl/>
        </w:rPr>
        <w:t xml:space="preserve"> </w:t>
      </w:r>
    </w:p>
    <w:p w14:paraId="75BC4A29" w14:textId="77777777" w:rsidR="005850DB" w:rsidRDefault="00000000">
      <w:pPr>
        <w:bidi w:val="0"/>
        <w:spacing w:after="0" w:line="259" w:lineRule="auto"/>
        <w:ind w:left="0" w:right="58" w:firstLine="0"/>
      </w:pPr>
      <w:r>
        <w:t xml:space="preserve"> </w:t>
      </w:r>
    </w:p>
    <w:p w14:paraId="5375FCFB" w14:textId="77777777" w:rsidR="005850DB" w:rsidRDefault="00000000">
      <w:pPr>
        <w:bidi w:val="0"/>
        <w:spacing w:after="0" w:line="259" w:lineRule="auto"/>
        <w:ind w:left="0" w:right="58" w:firstLine="0"/>
      </w:pPr>
      <w:r>
        <w:t xml:space="preserve"> </w:t>
      </w:r>
    </w:p>
    <w:p w14:paraId="70770D36" w14:textId="77777777" w:rsidR="005850DB" w:rsidRDefault="00000000">
      <w:pPr>
        <w:bidi w:val="0"/>
        <w:spacing w:after="0" w:line="259" w:lineRule="auto"/>
        <w:ind w:left="0" w:right="58" w:firstLine="0"/>
      </w:pPr>
      <w:r>
        <w:t xml:space="preserve"> </w:t>
      </w:r>
    </w:p>
    <w:p w14:paraId="2242BD44" w14:textId="77777777" w:rsidR="005850DB" w:rsidRDefault="00000000">
      <w:pPr>
        <w:bidi w:val="0"/>
        <w:spacing w:after="0" w:line="259" w:lineRule="auto"/>
        <w:ind w:left="0" w:right="58" w:firstLine="0"/>
      </w:pPr>
      <w:r>
        <w:t xml:space="preserve"> </w:t>
      </w:r>
    </w:p>
    <w:p w14:paraId="75639BDD" w14:textId="77777777" w:rsidR="005850DB" w:rsidRDefault="00000000">
      <w:pPr>
        <w:bidi w:val="0"/>
        <w:spacing w:after="0" w:line="259" w:lineRule="auto"/>
        <w:ind w:left="0" w:right="58" w:firstLine="0"/>
      </w:pPr>
      <w:r>
        <w:lastRenderedPageBreak/>
        <w:t xml:space="preserve"> </w:t>
      </w:r>
    </w:p>
    <w:p w14:paraId="095F560A" w14:textId="77777777" w:rsidR="005850DB" w:rsidRDefault="00000000">
      <w:pPr>
        <w:bidi w:val="0"/>
        <w:spacing w:after="0" w:line="259" w:lineRule="auto"/>
        <w:ind w:left="0" w:right="58" w:firstLine="0"/>
      </w:pPr>
      <w:r>
        <w:t xml:space="preserve"> </w:t>
      </w:r>
    </w:p>
    <w:p w14:paraId="29746EB6" w14:textId="77777777" w:rsidR="005850DB" w:rsidRDefault="00000000">
      <w:pPr>
        <w:bidi w:val="0"/>
        <w:spacing w:after="0" w:line="259" w:lineRule="auto"/>
        <w:ind w:left="0" w:right="58" w:firstLine="0"/>
      </w:pPr>
      <w:r>
        <w:t xml:space="preserve"> </w:t>
      </w:r>
    </w:p>
    <w:p w14:paraId="72C814FB" w14:textId="77777777" w:rsidR="005850DB" w:rsidRDefault="00000000">
      <w:pPr>
        <w:bidi w:val="0"/>
        <w:spacing w:after="0" w:line="259" w:lineRule="auto"/>
        <w:ind w:left="0" w:right="58" w:firstLine="0"/>
      </w:pPr>
      <w:r>
        <w:t xml:space="preserve"> </w:t>
      </w:r>
    </w:p>
    <w:p w14:paraId="00D9CB5C" w14:textId="77777777" w:rsidR="005850DB" w:rsidRDefault="00000000">
      <w:pPr>
        <w:bidi w:val="0"/>
        <w:spacing w:after="0" w:line="259" w:lineRule="auto"/>
        <w:ind w:left="0" w:right="58" w:firstLine="0"/>
      </w:pPr>
      <w:r>
        <w:t xml:space="preserve"> </w:t>
      </w:r>
    </w:p>
    <w:p w14:paraId="3E5B4ABC" w14:textId="77777777" w:rsidR="005850DB" w:rsidRDefault="00000000">
      <w:pPr>
        <w:bidi w:val="0"/>
        <w:spacing w:after="0" w:line="259" w:lineRule="auto"/>
        <w:ind w:left="0" w:right="58" w:firstLine="0"/>
      </w:pPr>
      <w:r>
        <w:t xml:space="preserve"> </w:t>
      </w:r>
    </w:p>
    <w:p w14:paraId="4F4EDE9F" w14:textId="77777777" w:rsidR="005850DB" w:rsidRDefault="00000000">
      <w:pPr>
        <w:bidi w:val="0"/>
        <w:spacing w:after="0" w:line="259" w:lineRule="auto"/>
        <w:ind w:left="0" w:right="58" w:firstLine="0"/>
      </w:pPr>
      <w:r>
        <w:t xml:space="preserve"> </w:t>
      </w:r>
    </w:p>
    <w:p w14:paraId="1FBF5447" w14:textId="77777777" w:rsidR="005850DB" w:rsidRDefault="00000000">
      <w:pPr>
        <w:bidi w:val="0"/>
        <w:spacing w:after="0" w:line="259" w:lineRule="auto"/>
        <w:ind w:left="0" w:right="58" w:firstLine="0"/>
      </w:pPr>
      <w:r>
        <w:t xml:space="preserve"> </w:t>
      </w:r>
    </w:p>
    <w:p w14:paraId="0A10EB75"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6259BCE" w14:textId="77777777" w:rsidR="005850DB" w:rsidRDefault="00000000">
      <w:pPr>
        <w:pStyle w:val="Heading2"/>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المقدمة  </w:t>
      </w:r>
    </w:p>
    <w:p w14:paraId="2BD6FF6F" w14:textId="77777777" w:rsidR="005850DB" w:rsidRDefault="00000000">
      <w:pPr>
        <w:ind w:right="100"/>
      </w:pPr>
      <w:r>
        <w:rPr>
          <w:szCs w:val="28"/>
          <w:rtl/>
        </w:rPr>
        <w:t xml:space="preserve">تعد إدارة المخاطر عنص اًر حاسماً في نجاح أي مشروع، لا سيما في القطاعات الصناعية المعقدة التي تتسم بالعديد من المتغي ارت والتحديات. فمع ت ازيد حجم المشاريع وتنوعها، وت ازيد التعقيدات التكنولوجية والاقتصادية والبيئية، أصبحت القدرة على تحديد المخاطر المحتملة، وتقييم تأثيرها، وتطوير است ارتيجيات فعالة للتعامل معها، أم اًر لا غنى عنه لضمان تحقيق الأهداف المرجوة وتجنب الخسائر. وفي سياق التنمية الاقتصادية المتسارعة التي تشهدها المملكة العربية السعودية، تبرز صناعة المضخات كقطاع حيوي يساهم بشكل كبير في دعم البنية التحتية والصناعات الأخرى مثل النفط والغاز، تحلية المياه، الزارعة، والصناعات التحويلية] </w:t>
      </w:r>
      <w:r>
        <w:rPr>
          <w:rFonts w:ascii="Times New Roman" w:eastAsia="Times New Roman" w:hAnsi="Times New Roman" w:cs="Times New Roman"/>
          <w:szCs w:val="28"/>
        </w:rPr>
        <w:t>1</w:t>
      </w:r>
      <w:r>
        <w:rPr>
          <w:szCs w:val="28"/>
          <w:rtl/>
        </w:rPr>
        <w:t>[.</w:t>
      </w:r>
      <w:r>
        <w:rPr>
          <w:rFonts w:ascii="Times New Roman" w:eastAsia="Times New Roman" w:hAnsi="Times New Roman" w:cs="Times New Roman"/>
          <w:szCs w:val="28"/>
          <w:rtl/>
        </w:rPr>
        <w:t xml:space="preserve"> </w:t>
      </w:r>
    </w:p>
    <w:p w14:paraId="721217BE" w14:textId="77777777" w:rsidR="005850DB" w:rsidRDefault="00000000">
      <w:pPr>
        <w:ind w:right="36"/>
      </w:pPr>
      <w:r>
        <w:rPr>
          <w:szCs w:val="28"/>
          <w:rtl/>
        </w:rPr>
        <w:t xml:space="preserve">تعتبر صناعة المضخات في المملكة العربية السعودية من الصناعات الاست ارتيجية التي تلعب دواًر محورياً في تحقيق رؤية المملكة </w:t>
      </w:r>
      <w:r>
        <w:rPr>
          <w:rFonts w:ascii="Times New Roman" w:eastAsia="Times New Roman" w:hAnsi="Times New Roman" w:cs="Times New Roman"/>
          <w:szCs w:val="28"/>
        </w:rPr>
        <w:t>2030</w:t>
      </w:r>
      <w:r>
        <w:rPr>
          <w:szCs w:val="28"/>
          <w:rtl/>
        </w:rPr>
        <w:t xml:space="preserve">، والتي تهدف إلى تنويع مصادر الدخل وتقليل الاعتماد على النفط. ومع هذا التوسع، تواجه مشاريع صناعة المضخات مجموعة فريدة من المخاطر التي قد تؤثر على كفاءتها وربحيتها واستدامتها. تشمل هذه المخاطر تحديات تتعلق بسلسلة التوريد العالمية، تقلبات أسعار المواد الخام، التغي ارت التكنولوجية السريعة، المتطلبات التنظيمية المت ازيدة، والمنافسة الشديدة في السوق المحلي والإقليمي] </w:t>
      </w:r>
      <w:r>
        <w:rPr>
          <w:rFonts w:ascii="Times New Roman" w:eastAsia="Times New Roman" w:hAnsi="Times New Roman" w:cs="Times New Roman"/>
          <w:szCs w:val="28"/>
        </w:rPr>
        <w:t>2</w:t>
      </w:r>
      <w:r>
        <w:rPr>
          <w:szCs w:val="28"/>
          <w:rtl/>
        </w:rPr>
        <w:t>[ .</w:t>
      </w:r>
      <w:r>
        <w:rPr>
          <w:rFonts w:ascii="Times New Roman" w:eastAsia="Times New Roman" w:hAnsi="Times New Roman" w:cs="Times New Roman"/>
          <w:szCs w:val="28"/>
          <w:rtl/>
        </w:rPr>
        <w:t xml:space="preserve"> </w:t>
      </w:r>
    </w:p>
    <w:p w14:paraId="3B25CCBC" w14:textId="77777777" w:rsidR="005850DB" w:rsidRDefault="00000000">
      <w:pPr>
        <w:ind w:right="100"/>
      </w:pPr>
      <w:r>
        <w:rPr>
          <w:szCs w:val="28"/>
          <w:rtl/>
        </w:rPr>
        <w:t xml:space="preserve">إن الفشل في إدارة هذه المخاطر بشكل فعال يمكن أن يؤدي إلى تجاوز المي ازنيات، تأخير الجداول الزمنية، تدهور جودة المنتجات، وحتى فشل المشروع بالكامل. لذا، فإن فهم دور إدارة المخاطر في نجاح مشاريع صناعة المضخات في المملكة العربية السعودية أصبح ضرورة ملحة للشركا ت العاملة في هذا القطاع، وللمخططين وصناع الق ارر على حد سواء. تهدف هذه الد ارسة إلى تسليط الضوء على العلاقة بين ممارسات إدارة المخاطر ونجاح المشاريع في هذا القطاع الحيوي، وتقديم رؤى وتوصيات يمكن أن تساهم في تعزيز القدرة التنافسية والاستدامة لهذه الصناعة] </w:t>
      </w:r>
      <w:r>
        <w:rPr>
          <w:rFonts w:ascii="Times New Roman" w:eastAsia="Times New Roman" w:hAnsi="Times New Roman" w:cs="Times New Roman"/>
          <w:szCs w:val="28"/>
        </w:rPr>
        <w:t>3</w:t>
      </w:r>
      <w:r>
        <w:rPr>
          <w:szCs w:val="28"/>
          <w:rtl/>
        </w:rPr>
        <w:t>[.</w:t>
      </w:r>
      <w:r>
        <w:rPr>
          <w:rFonts w:ascii="Times New Roman" w:eastAsia="Times New Roman" w:hAnsi="Times New Roman" w:cs="Times New Roman"/>
          <w:szCs w:val="28"/>
          <w:rtl/>
        </w:rPr>
        <w:t xml:space="preserve"> </w:t>
      </w:r>
    </w:p>
    <w:p w14:paraId="342C13C0" w14:textId="77777777" w:rsidR="005850DB" w:rsidRDefault="00000000">
      <w:pPr>
        <w:ind w:right="19"/>
      </w:pPr>
      <w:r>
        <w:rPr>
          <w:szCs w:val="28"/>
          <w:rtl/>
        </w:rPr>
        <w:lastRenderedPageBreak/>
        <w:t xml:space="preserve">تتناول هذه الد ارسة بشكل معمق الجوانب المختلفة لإدارة المخاطر في مشاريع صناعة المضخات، بدءاً من تحديد المخاطر الشائعة في هذا القطاع، مرواًر بتقييمها وتحليلها، وصولاً إلى است ارتيجيات الاستجابة لها وم ارقبتها. كما تسعى الد ارسة إلى تحديد أفضل الممارسات التي يمكن تبنيها، والتحديات التي قد تواجه الشركات في تطبيق هذه الممارسات، مع التركيز على السياق السعودي الفريد الذي يجمع بين التطور التكنولوجي السريع والبيئة التنظيمية المتغيرة]  </w:t>
      </w:r>
      <w:r>
        <w:rPr>
          <w:rFonts w:ascii="Times New Roman" w:eastAsia="Times New Roman" w:hAnsi="Times New Roman" w:cs="Times New Roman"/>
          <w:szCs w:val="28"/>
        </w:rPr>
        <w:t>4</w:t>
      </w:r>
      <w:r>
        <w:rPr>
          <w:szCs w:val="28"/>
          <w:rtl/>
        </w:rPr>
        <w:t>[.</w:t>
      </w:r>
      <w:r>
        <w:rPr>
          <w:rFonts w:ascii="Times New Roman" w:eastAsia="Times New Roman" w:hAnsi="Times New Roman" w:cs="Times New Roman"/>
          <w:szCs w:val="28"/>
          <w:rtl/>
        </w:rPr>
        <w:t xml:space="preserve"> </w:t>
      </w:r>
    </w:p>
    <w:p w14:paraId="19FE8338" w14:textId="77777777" w:rsidR="005850DB" w:rsidRDefault="00000000">
      <w:pPr>
        <w:ind w:right="185"/>
      </w:pPr>
      <w:r>
        <w:rPr>
          <w:szCs w:val="28"/>
          <w:rtl/>
        </w:rPr>
        <w:t xml:space="preserve">من خلال تحليل شامل للأدبيات السابقة وإج ارء د ارسة ميدانية، تسعى هذه الرسالة إلى تقديم مساهمة علمية وعملية في مجال إدارة المخاطر في الصناعات التحويلية، وتحديداً في قطاع صناعة المضخات، مما يعزز من فهمنا لكيفية بناء مشاريع ناجحة ومستدامة في بيئة تتسم بالدينام يكية وعدم اليقين. ستوفر النتائج المستخلصة من هذه الد ارسة إرشادات قيمة للمديرين، المهندسين، والمستثمرين في هذا القطاع، لمساعدتهم على اتخاذ ق ارارت مستنيرة وتحقيق أقصى قدر من النجاح في مشاريعهم] </w:t>
      </w:r>
      <w:r>
        <w:rPr>
          <w:rFonts w:ascii="Times New Roman" w:eastAsia="Times New Roman" w:hAnsi="Times New Roman" w:cs="Times New Roman"/>
          <w:szCs w:val="28"/>
        </w:rPr>
        <w:t>5</w:t>
      </w:r>
      <w:r>
        <w:rPr>
          <w:szCs w:val="28"/>
          <w:rtl/>
        </w:rPr>
        <w:t>[.</w:t>
      </w:r>
      <w:r>
        <w:rPr>
          <w:rFonts w:ascii="Times New Roman" w:eastAsia="Times New Roman" w:hAnsi="Times New Roman" w:cs="Times New Roman"/>
          <w:szCs w:val="28"/>
          <w:rtl/>
        </w:rPr>
        <w:t xml:space="preserve"> </w:t>
      </w:r>
    </w:p>
    <w:p w14:paraId="53FCC659"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2352175B" w14:textId="77777777" w:rsidR="005850DB" w:rsidRDefault="00000000">
      <w:pPr>
        <w:spacing w:after="3" w:line="259" w:lineRule="auto"/>
        <w:ind w:left="7" w:right="0" w:hanging="10"/>
        <w:jc w:val="left"/>
      </w:pPr>
      <w:r>
        <w:rPr>
          <w:b/>
          <w:bCs/>
          <w:sz w:val="32"/>
          <w:szCs w:val="32"/>
          <w:rtl/>
        </w:rPr>
        <w:t xml:space="preserve">المارجع:  </w:t>
      </w:r>
    </w:p>
    <w:p w14:paraId="1F56BB6D" w14:textId="77777777" w:rsidR="005850DB" w:rsidRDefault="00000000">
      <w:pPr>
        <w:bidi w:val="0"/>
        <w:spacing w:after="13"/>
        <w:ind w:left="16" w:right="0" w:firstLine="373"/>
      </w:pPr>
      <w:r>
        <w:rPr>
          <w:rFonts w:ascii="Times New Roman" w:eastAsia="Times New Roman" w:hAnsi="Times New Roman" w:cs="Times New Roman"/>
          <w:sz w:val="24"/>
        </w:rPr>
        <w:t xml:space="preserve">[1] Al-Samhan Factory for Saudi Pumps. (n.d.). About Us. Retrieved from </w:t>
      </w:r>
      <w:hyperlink r:id="rId10">
        <w:r>
          <w:rPr>
            <w:rFonts w:ascii="Times New Roman" w:eastAsia="Times New Roman" w:hAnsi="Times New Roman" w:cs="Times New Roman"/>
            <w:color w:val="0563C1"/>
            <w:sz w:val="24"/>
            <w:u w:val="single" w:color="0563C1"/>
          </w:rPr>
          <w:t>https://alsamhanpump.com.sa/?lang=en</w:t>
        </w:r>
      </w:hyperlink>
      <w:hyperlink r:id="rId1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 IMARC Group. (n.d.). Saudi Arabia Industrial Pumps Market Size &amp; Forecast 2033. Retrieved from </w:t>
      </w:r>
      <w:hyperlink r:id="rId12">
        <w:r>
          <w:rPr>
            <w:rFonts w:ascii="Times New Roman" w:eastAsia="Times New Roman" w:hAnsi="Times New Roman" w:cs="Times New Roman"/>
            <w:color w:val="0563C1"/>
            <w:sz w:val="24"/>
            <w:u w:val="single" w:color="0563C1"/>
          </w:rPr>
          <w:t>https://www.imarcgroup.com/saudi</w:t>
        </w:r>
      </w:hyperlink>
      <w:hyperlink r:id="rId13"/>
      <w:hyperlink r:id="rId14">
        <w:r>
          <w:rPr>
            <w:rFonts w:ascii="Times New Roman" w:eastAsia="Times New Roman" w:hAnsi="Times New Roman" w:cs="Times New Roman"/>
            <w:color w:val="0563C1"/>
            <w:sz w:val="24"/>
            <w:u w:val="single" w:color="0563C1"/>
          </w:rPr>
          <w:t>arabia</w:t>
        </w:r>
      </w:hyperlink>
      <w:hyperlink r:id="rId15">
        <w:r>
          <w:rPr>
            <w:rFonts w:ascii="Times New Roman" w:eastAsia="Times New Roman" w:hAnsi="Times New Roman" w:cs="Times New Roman"/>
            <w:color w:val="0563C1"/>
            <w:sz w:val="24"/>
            <w:u w:val="single" w:color="0563C1"/>
          </w:rPr>
          <w:t>-</w:t>
        </w:r>
      </w:hyperlink>
      <w:hyperlink r:id="rId16">
        <w:r>
          <w:rPr>
            <w:rFonts w:ascii="Times New Roman" w:eastAsia="Times New Roman" w:hAnsi="Times New Roman" w:cs="Times New Roman"/>
            <w:color w:val="0563C1"/>
            <w:sz w:val="24"/>
            <w:u w:val="single" w:color="0563C1"/>
          </w:rPr>
          <w:t>industrial</w:t>
        </w:r>
      </w:hyperlink>
      <w:hyperlink r:id="rId17">
        <w:r>
          <w:rPr>
            <w:rFonts w:ascii="Times New Roman" w:eastAsia="Times New Roman" w:hAnsi="Times New Roman" w:cs="Times New Roman"/>
            <w:color w:val="0563C1"/>
            <w:sz w:val="24"/>
            <w:u w:val="single" w:color="0563C1"/>
          </w:rPr>
          <w:t>-</w:t>
        </w:r>
      </w:hyperlink>
      <w:hyperlink r:id="rId18">
        <w:r>
          <w:rPr>
            <w:rFonts w:ascii="Times New Roman" w:eastAsia="Times New Roman" w:hAnsi="Times New Roman" w:cs="Times New Roman"/>
            <w:color w:val="0563C1"/>
            <w:sz w:val="24"/>
            <w:u w:val="single" w:color="0563C1"/>
          </w:rPr>
          <w:t>pumps</w:t>
        </w:r>
      </w:hyperlink>
      <w:hyperlink r:id="rId19">
        <w:r>
          <w:rPr>
            <w:rFonts w:ascii="Times New Roman" w:eastAsia="Times New Roman" w:hAnsi="Times New Roman" w:cs="Times New Roman"/>
            <w:color w:val="0563C1"/>
            <w:sz w:val="24"/>
            <w:u w:val="single" w:color="0563C1"/>
          </w:rPr>
          <w:t>-</w:t>
        </w:r>
      </w:hyperlink>
      <w:hyperlink r:id="rId20">
        <w:r>
          <w:rPr>
            <w:rFonts w:ascii="Times New Roman" w:eastAsia="Times New Roman" w:hAnsi="Times New Roman" w:cs="Times New Roman"/>
            <w:color w:val="0563C1"/>
            <w:sz w:val="24"/>
            <w:u w:val="single" w:color="0563C1"/>
          </w:rPr>
          <w:t>market</w:t>
        </w:r>
      </w:hyperlink>
      <w:hyperlink r:id="rId2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[3] Sulzer. (n.d.). Sulzer delivers over 200 pump packages for Saudi Arabia's Satellite.... Retrieved from </w:t>
      </w:r>
      <w:hyperlink r:id="rId22">
        <w:r>
          <w:rPr>
            <w:rFonts w:ascii="Times New Roman" w:eastAsia="Times New Roman" w:hAnsi="Times New Roman" w:cs="Times New Roman"/>
            <w:color w:val="0563C1"/>
            <w:sz w:val="24"/>
            <w:u w:val="single" w:color="0563C1"/>
          </w:rPr>
          <w:t>https://www.sulzer.com/en/shared/case</w:t>
        </w:r>
      </w:hyperlink>
      <w:hyperlink r:id="rId23">
        <w:r>
          <w:rPr>
            <w:rFonts w:ascii="Times New Roman" w:eastAsia="Times New Roman" w:hAnsi="Times New Roman" w:cs="Times New Roman"/>
            <w:color w:val="0563C1"/>
            <w:sz w:val="24"/>
            <w:u w:val="single" w:color="0563C1"/>
          </w:rPr>
          <w:t>-</w:t>
        </w:r>
      </w:hyperlink>
    </w:p>
    <w:p w14:paraId="5D61155E" w14:textId="77777777" w:rsidR="005850DB" w:rsidRDefault="00000000">
      <w:pPr>
        <w:bidi w:val="0"/>
        <w:spacing w:after="13"/>
        <w:ind w:left="26" w:right="0" w:hanging="10"/>
      </w:pPr>
      <w:hyperlink r:id="rId24">
        <w:r>
          <w:rPr>
            <w:rFonts w:ascii="Times New Roman" w:eastAsia="Times New Roman" w:hAnsi="Times New Roman" w:cs="Times New Roman"/>
            <w:color w:val="0563C1"/>
            <w:sz w:val="24"/>
            <w:u w:val="single" w:color="0563C1"/>
          </w:rPr>
          <w:t>studies/fresh</w:t>
        </w:r>
      </w:hyperlink>
      <w:hyperlink r:id="rId25">
        <w:r>
          <w:rPr>
            <w:rFonts w:ascii="Times New Roman" w:eastAsia="Times New Roman" w:hAnsi="Times New Roman" w:cs="Times New Roman"/>
            <w:color w:val="0563C1"/>
            <w:sz w:val="24"/>
            <w:u w:val="single" w:color="0563C1"/>
          </w:rPr>
          <w:t>-</w:t>
        </w:r>
      </w:hyperlink>
      <w:hyperlink r:id="rId26">
        <w:r>
          <w:rPr>
            <w:rFonts w:ascii="Times New Roman" w:eastAsia="Times New Roman" w:hAnsi="Times New Roman" w:cs="Times New Roman"/>
            <w:color w:val="0563C1"/>
            <w:sz w:val="24"/>
            <w:u w:val="single" w:color="0563C1"/>
          </w:rPr>
          <w:t>water</w:t>
        </w:r>
      </w:hyperlink>
      <w:hyperlink r:id="rId27">
        <w:r>
          <w:rPr>
            <w:rFonts w:ascii="Times New Roman" w:eastAsia="Times New Roman" w:hAnsi="Times New Roman" w:cs="Times New Roman"/>
            <w:color w:val="0563C1"/>
            <w:sz w:val="24"/>
            <w:u w:val="single" w:color="0563C1"/>
          </w:rPr>
          <w:t>-</w:t>
        </w:r>
      </w:hyperlink>
      <w:hyperlink r:id="rId28">
        <w:r>
          <w:rPr>
            <w:rFonts w:ascii="Times New Roman" w:eastAsia="Times New Roman" w:hAnsi="Times New Roman" w:cs="Times New Roman"/>
            <w:color w:val="0563C1"/>
            <w:sz w:val="24"/>
            <w:u w:val="single" w:color="0563C1"/>
          </w:rPr>
          <w:t>for</w:t>
        </w:r>
      </w:hyperlink>
      <w:hyperlink r:id="rId29">
        <w:r>
          <w:rPr>
            <w:rFonts w:ascii="Times New Roman" w:eastAsia="Times New Roman" w:hAnsi="Times New Roman" w:cs="Times New Roman"/>
            <w:color w:val="0563C1"/>
            <w:sz w:val="24"/>
            <w:u w:val="single" w:color="0563C1"/>
          </w:rPr>
          <w:t>-</w:t>
        </w:r>
      </w:hyperlink>
      <w:hyperlink r:id="rId30">
        <w:r>
          <w:rPr>
            <w:rFonts w:ascii="Times New Roman" w:eastAsia="Times New Roman" w:hAnsi="Times New Roman" w:cs="Times New Roman"/>
            <w:color w:val="0563C1"/>
            <w:sz w:val="24"/>
            <w:u w:val="single" w:color="0563C1"/>
          </w:rPr>
          <w:t>future</w:t>
        </w:r>
      </w:hyperlink>
      <w:hyperlink r:id="rId31">
        <w:r>
          <w:rPr>
            <w:rFonts w:ascii="Times New Roman" w:eastAsia="Times New Roman" w:hAnsi="Times New Roman" w:cs="Times New Roman"/>
            <w:color w:val="0563C1"/>
            <w:sz w:val="24"/>
            <w:u w:val="single" w:color="0563C1"/>
          </w:rPr>
          <w:t>-</w:t>
        </w:r>
      </w:hyperlink>
      <w:hyperlink r:id="rId32">
        <w:r>
          <w:rPr>
            <w:rFonts w:ascii="Times New Roman" w:eastAsia="Times New Roman" w:hAnsi="Times New Roman" w:cs="Times New Roman"/>
            <w:color w:val="0563C1"/>
            <w:sz w:val="24"/>
            <w:u w:val="single" w:color="0563C1"/>
          </w:rPr>
          <w:t>needs</w:t>
        </w:r>
      </w:hyperlink>
      <w:hyperlink r:id="rId33">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[4] Epicflow. (2025, June 18). Managing Risks in Manufacturing Projects: Essentials and Best Practices. Retrieved from </w:t>
      </w:r>
    </w:p>
    <w:p w14:paraId="707DB001" w14:textId="77777777" w:rsidR="005850DB" w:rsidRDefault="00000000">
      <w:pPr>
        <w:bidi w:val="0"/>
        <w:spacing w:after="153" w:line="238" w:lineRule="auto"/>
        <w:ind w:left="0" w:right="0" w:firstLine="0"/>
        <w:jc w:val="center"/>
      </w:pPr>
      <w:hyperlink r:id="rId34">
        <w:r>
          <w:rPr>
            <w:rFonts w:ascii="Times New Roman" w:eastAsia="Times New Roman" w:hAnsi="Times New Roman" w:cs="Times New Roman"/>
            <w:color w:val="0563C1"/>
            <w:sz w:val="24"/>
            <w:u w:val="single" w:color="0563C1"/>
          </w:rPr>
          <w:t>https://www.epicflow.com/blog/managing</w:t>
        </w:r>
      </w:hyperlink>
      <w:hyperlink r:id="rId35">
        <w:r>
          <w:rPr>
            <w:rFonts w:ascii="Times New Roman" w:eastAsia="Times New Roman" w:hAnsi="Times New Roman" w:cs="Times New Roman"/>
            <w:color w:val="0563C1"/>
            <w:sz w:val="24"/>
            <w:u w:val="single" w:color="0563C1"/>
          </w:rPr>
          <w:t>-</w:t>
        </w:r>
      </w:hyperlink>
      <w:hyperlink r:id="rId36">
        <w:r>
          <w:rPr>
            <w:rFonts w:ascii="Times New Roman" w:eastAsia="Times New Roman" w:hAnsi="Times New Roman" w:cs="Times New Roman"/>
            <w:color w:val="0563C1"/>
            <w:sz w:val="24"/>
            <w:u w:val="single" w:color="0563C1"/>
          </w:rPr>
          <w:t>risks</w:t>
        </w:r>
      </w:hyperlink>
      <w:hyperlink r:id="rId37">
        <w:r>
          <w:rPr>
            <w:rFonts w:ascii="Times New Roman" w:eastAsia="Times New Roman" w:hAnsi="Times New Roman" w:cs="Times New Roman"/>
            <w:color w:val="0563C1"/>
            <w:sz w:val="24"/>
            <w:u w:val="single" w:color="0563C1"/>
          </w:rPr>
          <w:t>-</w:t>
        </w:r>
      </w:hyperlink>
      <w:hyperlink r:id="rId38">
        <w:r>
          <w:rPr>
            <w:rFonts w:ascii="Times New Roman" w:eastAsia="Times New Roman" w:hAnsi="Times New Roman" w:cs="Times New Roman"/>
            <w:color w:val="0563C1"/>
            <w:sz w:val="24"/>
            <w:u w:val="single" w:color="0563C1"/>
          </w:rPr>
          <w:t>in</w:t>
        </w:r>
      </w:hyperlink>
      <w:hyperlink r:id="rId39">
        <w:r>
          <w:rPr>
            <w:rFonts w:ascii="Times New Roman" w:eastAsia="Times New Roman" w:hAnsi="Times New Roman" w:cs="Times New Roman"/>
            <w:color w:val="0563C1"/>
            <w:sz w:val="24"/>
            <w:u w:val="single" w:color="0563C1"/>
          </w:rPr>
          <w:t>-</w:t>
        </w:r>
      </w:hyperlink>
      <w:hyperlink r:id="rId40">
        <w:r>
          <w:rPr>
            <w:rFonts w:ascii="Times New Roman" w:eastAsia="Times New Roman" w:hAnsi="Times New Roman" w:cs="Times New Roman"/>
            <w:color w:val="0563C1"/>
            <w:sz w:val="24"/>
            <w:u w:val="single" w:color="0563C1"/>
          </w:rPr>
          <w:t>manufacturing</w:t>
        </w:r>
      </w:hyperlink>
      <w:hyperlink r:id="rId41">
        <w:r>
          <w:rPr>
            <w:rFonts w:ascii="Times New Roman" w:eastAsia="Times New Roman" w:hAnsi="Times New Roman" w:cs="Times New Roman"/>
            <w:color w:val="0563C1"/>
            <w:sz w:val="24"/>
            <w:u w:val="single" w:color="0563C1"/>
          </w:rPr>
          <w:t>-</w:t>
        </w:r>
      </w:hyperlink>
      <w:hyperlink r:id="rId42">
        <w:r>
          <w:rPr>
            <w:rFonts w:ascii="Times New Roman" w:eastAsia="Times New Roman" w:hAnsi="Times New Roman" w:cs="Times New Roman"/>
            <w:color w:val="0563C1"/>
            <w:sz w:val="24"/>
            <w:u w:val="single" w:color="0563C1"/>
          </w:rPr>
          <w:t>projects</w:t>
        </w:r>
      </w:hyperlink>
      <w:hyperlink r:id="rId43">
        <w:r>
          <w:rPr>
            <w:rFonts w:ascii="Times New Roman" w:eastAsia="Times New Roman" w:hAnsi="Times New Roman" w:cs="Times New Roman"/>
            <w:color w:val="0563C1"/>
            <w:sz w:val="24"/>
            <w:u w:val="single" w:color="0563C1"/>
          </w:rPr>
          <w:t>-</w:t>
        </w:r>
      </w:hyperlink>
      <w:hyperlink r:id="rId44">
        <w:r>
          <w:rPr>
            <w:rFonts w:ascii="Times New Roman" w:eastAsia="Times New Roman" w:hAnsi="Times New Roman" w:cs="Times New Roman"/>
            <w:color w:val="0563C1"/>
            <w:sz w:val="24"/>
            <w:u w:val="single" w:color="0563C1"/>
          </w:rPr>
          <w:t>essentials</w:t>
        </w:r>
      </w:hyperlink>
      <w:hyperlink r:id="rId45">
        <w:r>
          <w:rPr>
            <w:rFonts w:ascii="Times New Roman" w:eastAsia="Times New Roman" w:hAnsi="Times New Roman" w:cs="Times New Roman"/>
            <w:color w:val="0563C1"/>
            <w:sz w:val="24"/>
            <w:u w:val="single" w:color="0563C1"/>
          </w:rPr>
          <w:t>-</w:t>
        </w:r>
      </w:hyperlink>
      <w:hyperlink r:id="rId46">
        <w:r>
          <w:rPr>
            <w:rFonts w:ascii="Times New Roman" w:eastAsia="Times New Roman" w:hAnsi="Times New Roman" w:cs="Times New Roman"/>
            <w:color w:val="0563C1"/>
            <w:sz w:val="24"/>
            <w:u w:val="single" w:color="0563C1"/>
          </w:rPr>
          <w:t>and</w:t>
        </w:r>
      </w:hyperlink>
      <w:hyperlink r:id="rId47"/>
      <w:hyperlink r:id="rId48">
        <w:r>
          <w:rPr>
            <w:rFonts w:ascii="Times New Roman" w:eastAsia="Times New Roman" w:hAnsi="Times New Roman" w:cs="Times New Roman"/>
            <w:color w:val="0563C1"/>
            <w:sz w:val="24"/>
            <w:u w:val="single" w:color="0563C1"/>
          </w:rPr>
          <w:t>best</w:t>
        </w:r>
      </w:hyperlink>
      <w:hyperlink r:id="rId49">
        <w:r>
          <w:rPr>
            <w:rFonts w:ascii="Times New Roman" w:eastAsia="Times New Roman" w:hAnsi="Times New Roman" w:cs="Times New Roman"/>
            <w:color w:val="0563C1"/>
            <w:sz w:val="24"/>
            <w:u w:val="single" w:color="0563C1"/>
          </w:rPr>
          <w:t>-</w:t>
        </w:r>
      </w:hyperlink>
      <w:hyperlink r:id="rId50">
        <w:r>
          <w:rPr>
            <w:rFonts w:ascii="Times New Roman" w:eastAsia="Times New Roman" w:hAnsi="Times New Roman" w:cs="Times New Roman"/>
            <w:color w:val="0563C1"/>
            <w:sz w:val="24"/>
            <w:u w:val="single" w:color="0563C1"/>
          </w:rPr>
          <w:t>practices/</w:t>
        </w:r>
      </w:hyperlink>
      <w:hyperlink r:id="rId5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[5] Travelers. (n.d.). 20 Risks Facing the Manufacturing Industry. Retrieved </w:t>
      </w:r>
    </w:p>
    <w:p w14:paraId="20D6160B" w14:textId="77777777" w:rsidR="005850DB" w:rsidRDefault="00000000">
      <w:pPr>
        <w:bidi w:val="0"/>
        <w:spacing w:after="357" w:line="259" w:lineRule="auto"/>
        <w:ind w:left="86" w:right="0" w:firstLine="0"/>
        <w:jc w:val="left"/>
      </w:pPr>
      <w:r>
        <w:rPr>
          <w:rFonts w:ascii="Times New Roman" w:eastAsia="Times New Roman" w:hAnsi="Times New Roman" w:cs="Times New Roman"/>
          <w:sz w:val="24"/>
        </w:rPr>
        <w:t xml:space="preserve">from </w:t>
      </w:r>
      <w:hyperlink r:id="rId52">
        <w:r>
          <w:rPr>
            <w:rFonts w:ascii="Times New Roman" w:eastAsia="Times New Roman" w:hAnsi="Times New Roman" w:cs="Times New Roman"/>
            <w:color w:val="0563C1"/>
            <w:sz w:val="24"/>
            <w:u w:val="single" w:color="0563C1"/>
          </w:rPr>
          <w:t>https://www.travelers.com/resources/business</w:t>
        </w:r>
      </w:hyperlink>
      <w:hyperlink r:id="rId53">
        <w:r>
          <w:rPr>
            <w:rFonts w:ascii="Times New Roman" w:eastAsia="Times New Roman" w:hAnsi="Times New Roman" w:cs="Times New Roman"/>
            <w:color w:val="0563C1"/>
            <w:sz w:val="24"/>
            <w:u w:val="single" w:color="0563C1"/>
          </w:rPr>
          <w:t>-</w:t>
        </w:r>
      </w:hyperlink>
      <w:hyperlink r:id="rId54">
        <w:r>
          <w:rPr>
            <w:rFonts w:ascii="Times New Roman" w:eastAsia="Times New Roman" w:hAnsi="Times New Roman" w:cs="Times New Roman"/>
            <w:color w:val="0563C1"/>
            <w:sz w:val="24"/>
            <w:u w:val="single" w:color="0563C1"/>
          </w:rPr>
          <w:t>industries/manufacturing/2</w:t>
        </w:r>
      </w:hyperlink>
      <w:hyperlink r:id="rId55">
        <w:r>
          <w:t xml:space="preserve"> </w:t>
        </w:r>
      </w:hyperlink>
      <w:hyperlink r:id="rId56">
        <w:r>
          <w:rPr>
            <w:rFonts w:ascii="Times New Roman" w:eastAsia="Times New Roman" w:hAnsi="Times New Roman" w:cs="Times New Roman"/>
            <w:color w:val="0563C1"/>
            <w:sz w:val="24"/>
            <w:u w:val="single" w:color="0563C1"/>
          </w:rPr>
          <w:t>manufacturin</w:t>
        </w:r>
      </w:hyperlink>
      <w:hyperlink r:id="rId57">
        <w:r>
          <w:rPr>
            <w:rFonts w:ascii="Times New Roman" w:eastAsia="Times New Roman" w:hAnsi="Times New Roman" w:cs="Times New Roman"/>
            <w:color w:val="0563C1"/>
            <w:sz w:val="24"/>
            <w:u w:val="single" w:color="0563C1"/>
          </w:rPr>
          <w:t>0</w:t>
        </w:r>
      </w:hyperlink>
      <w:hyperlink r:id="rId58">
        <w:r>
          <w:rPr>
            <w:rFonts w:ascii="Times New Roman" w:eastAsia="Times New Roman" w:hAnsi="Times New Roman" w:cs="Times New Roman"/>
            <w:color w:val="0563C1"/>
            <w:sz w:val="24"/>
            <w:u w:val="single" w:color="0563C1"/>
          </w:rPr>
          <w:t>-</w:t>
        </w:r>
      </w:hyperlink>
      <w:hyperlink r:id="rId59">
        <w:r>
          <w:rPr>
            <w:rFonts w:ascii="Times New Roman" w:eastAsia="Times New Roman" w:hAnsi="Times New Roman" w:cs="Times New Roman"/>
            <w:color w:val="0563C1"/>
            <w:sz w:val="24"/>
            <w:u w:val="single" w:color="0563C1"/>
          </w:rPr>
          <w:t>risk</w:t>
        </w:r>
      </w:hyperlink>
      <w:hyperlink r:id="rId60">
        <w:r>
          <w:rPr>
            <w:rFonts w:ascii="Times New Roman" w:eastAsia="Times New Roman" w:hAnsi="Times New Roman" w:cs="Times New Roman"/>
            <w:color w:val="0563C1"/>
            <w:sz w:val="24"/>
            <w:u w:val="single" w:color="0563C1"/>
          </w:rPr>
          <w:t>g</w:t>
        </w:r>
      </w:hyperlink>
      <w:hyperlink r:id="rId61">
        <w:r>
          <w:rPr>
            <w:rFonts w:ascii="Times New Roman" w:eastAsia="Times New Roman" w:hAnsi="Times New Roman" w:cs="Times New Roman"/>
            <w:color w:val="0563C1"/>
            <w:sz w:val="24"/>
            <w:u w:val="single" w:color="0563C1"/>
          </w:rPr>
          <w:t>-</w:t>
        </w:r>
      </w:hyperlink>
      <w:hyperlink r:id="rId62">
        <w:r>
          <w:rPr>
            <w:rFonts w:ascii="Times New Roman" w:eastAsia="Times New Roman" w:hAnsi="Times New Roman" w:cs="Times New Roman"/>
            <w:color w:val="0563C1"/>
            <w:sz w:val="24"/>
            <w:u w:val="single" w:color="0563C1"/>
          </w:rPr>
          <w:t>s</w:t>
        </w:r>
      </w:hyperlink>
      <w:hyperlink r:id="rId63">
        <w:r>
          <w:rPr>
            <w:rFonts w:ascii="Times New Roman" w:eastAsia="Times New Roman" w:hAnsi="Times New Roman" w:cs="Times New Roman"/>
            <w:color w:val="0563C1"/>
            <w:sz w:val="24"/>
            <w:u w:val="single" w:color="0563C1"/>
          </w:rPr>
          <w:t>industr</w:t>
        </w:r>
      </w:hyperlink>
      <w:hyperlink r:id="rId64">
        <w:r>
          <w:rPr>
            <w:rFonts w:ascii="Times New Roman" w:eastAsia="Times New Roman" w:hAnsi="Times New Roman" w:cs="Times New Roman"/>
            <w:color w:val="0563C1"/>
            <w:sz w:val="24"/>
            <w:u w:val="single" w:color="0563C1"/>
          </w:rPr>
          <w:t>-</w:t>
        </w:r>
      </w:hyperlink>
      <w:hyperlink r:id="rId65">
        <w:r>
          <w:rPr>
            <w:rFonts w:ascii="Times New Roman" w:eastAsia="Times New Roman" w:hAnsi="Times New Roman" w:cs="Times New Roman"/>
            <w:color w:val="0563C1"/>
            <w:sz w:val="24"/>
            <w:u w:val="single" w:color="0563C1"/>
          </w:rPr>
          <w:t>facing</w:t>
        </w:r>
      </w:hyperlink>
      <w:hyperlink r:id="rId66">
        <w:r>
          <w:rPr>
            <w:rFonts w:ascii="Times New Roman" w:eastAsia="Times New Roman" w:hAnsi="Times New Roman" w:cs="Times New Roman"/>
            <w:color w:val="0563C1"/>
            <w:sz w:val="24"/>
            <w:u w:val="single" w:color="0563C1"/>
          </w:rPr>
          <w:t>y</w:t>
        </w:r>
      </w:hyperlink>
      <w:hyperlink r:id="rId67">
        <w:r>
          <w:rPr>
            <w:rFonts w:ascii="Times New Roman" w:eastAsia="Times New Roman" w:hAnsi="Times New Roman" w:cs="Times New Roman"/>
            <w:color w:val="0563C1"/>
            <w:sz w:val="24"/>
            <w:u w:val="single" w:color="0563C1"/>
          </w:rPr>
          <w:t>-</w:t>
        </w:r>
      </w:hyperlink>
    </w:p>
    <w:p w14:paraId="50186B41" w14:textId="77777777" w:rsidR="005850DB" w:rsidRDefault="00000000">
      <w:pPr>
        <w:bidi w:val="0"/>
        <w:spacing w:after="44" w:line="259" w:lineRule="auto"/>
        <w:ind w:left="0" w:right="58" w:firstLine="0"/>
      </w:pPr>
      <w:r>
        <w:t xml:space="preserve"> </w:t>
      </w:r>
    </w:p>
    <w:p w14:paraId="53D76C7C" w14:textId="77777777" w:rsidR="005850DB" w:rsidRDefault="00000000">
      <w:pPr>
        <w:pStyle w:val="Heading2"/>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مارجعة الأدبيات </w:t>
      </w:r>
      <w:r>
        <w:rPr>
          <w:rFonts w:ascii="Times New Roman" w:eastAsia="Times New Roman" w:hAnsi="Times New Roman" w:cs="Times New Roman"/>
          <w:bCs/>
          <w:szCs w:val="32"/>
          <w:rtl/>
        </w:rPr>
        <w:t xml:space="preserve"> </w:t>
      </w:r>
    </w:p>
    <w:p w14:paraId="0A69C304" w14:textId="77777777" w:rsidR="005850DB" w:rsidRDefault="00000000">
      <w:pPr>
        <w:ind w:right="588"/>
      </w:pPr>
      <w:r>
        <w:rPr>
          <w:szCs w:val="28"/>
          <w:rtl/>
        </w:rPr>
        <w:t xml:space="preserve">تعد م ارجعة الأدبيات خطوة أساسية في أي بحث علمي، حيث توفر إطا اًر نظرياً ومفاهيمياً للد ارسة، وتساعد على تحديد الفجوات البحثية التي تسعى الد ارسة إلى سدها. في هذا القسم، سيتم استع ارض الأدبيات المتعلقة بإدارة المخاطر بشكل عام، ثم التركيز على إدارة المخاطر في  سياق المشاريع </w:t>
      </w:r>
    </w:p>
    <w:p w14:paraId="166B2E7F" w14:textId="77777777" w:rsidR="005850DB" w:rsidRDefault="00000000">
      <w:pPr>
        <w:ind w:right="100"/>
      </w:pPr>
      <w:r>
        <w:rPr>
          <w:szCs w:val="28"/>
          <w:rtl/>
        </w:rPr>
        <w:t>الصناعية، وتحديداً في قطاع التصنيع. سيتم التوسع في هذه الم ارجعة بشكل أعمق في الفصل الثاني من هذه الرسالة.</w:t>
      </w:r>
      <w:r>
        <w:rPr>
          <w:rFonts w:ascii="Times New Roman" w:eastAsia="Times New Roman" w:hAnsi="Times New Roman" w:cs="Times New Roman"/>
          <w:szCs w:val="28"/>
          <w:rtl/>
        </w:rPr>
        <w:t xml:space="preserve"> </w:t>
      </w:r>
    </w:p>
    <w:p w14:paraId="28E380E6" w14:textId="77777777" w:rsidR="005850DB" w:rsidRDefault="00000000">
      <w:pPr>
        <w:spacing w:after="2" w:line="259" w:lineRule="auto"/>
        <w:ind w:left="12" w:right="0" w:hanging="10"/>
        <w:jc w:val="left"/>
      </w:pPr>
      <w:r>
        <w:rPr>
          <w:szCs w:val="28"/>
          <w:rtl/>
        </w:rPr>
        <w:lastRenderedPageBreak/>
        <w:t xml:space="preserve">تعرف إدارة المخاطر بأنه ا </w:t>
      </w:r>
    </w:p>
    <w:p w14:paraId="3AD4CB53" w14:textId="77777777" w:rsidR="005850DB" w:rsidRDefault="00000000">
      <w:pPr>
        <w:ind w:right="495"/>
      </w:pPr>
      <w:r>
        <w:rPr>
          <w:szCs w:val="28"/>
          <w:rtl/>
        </w:rPr>
        <w:t xml:space="preserve">العملية المنهجية لتحديد، تحليل، تقييم، ومعالجة المخاطر المحتملة التي قد تؤثر على تحقيق أهداف المنظمة أو المشروع]  </w:t>
      </w:r>
      <w:r>
        <w:rPr>
          <w:rFonts w:ascii="Times New Roman" w:eastAsia="Times New Roman" w:hAnsi="Times New Roman" w:cs="Times New Roman"/>
          <w:szCs w:val="28"/>
        </w:rPr>
        <w:t>6</w:t>
      </w:r>
      <w:r>
        <w:rPr>
          <w:szCs w:val="28"/>
          <w:rtl/>
        </w:rPr>
        <w:t xml:space="preserve">[. تتضمن هذه العملية عادةً أربع م ارحل رئيسية: تحديد المخاطر، تحليل </w:t>
      </w:r>
    </w:p>
    <w:p w14:paraId="10890BD8" w14:textId="77777777" w:rsidR="005850DB" w:rsidRDefault="00000000">
      <w:pPr>
        <w:ind w:right="344"/>
      </w:pPr>
      <w:r>
        <w:rPr>
          <w:szCs w:val="28"/>
          <w:rtl/>
        </w:rPr>
        <w:t xml:space="preserve">المخاطر، الاستجابة للمخاطر، وم ارقبة المخاطر] </w:t>
      </w:r>
      <w:r>
        <w:rPr>
          <w:rFonts w:ascii="Times New Roman" w:eastAsia="Times New Roman" w:hAnsi="Times New Roman" w:cs="Times New Roman"/>
          <w:szCs w:val="28"/>
        </w:rPr>
        <w:t>7</w:t>
      </w:r>
      <w:r>
        <w:rPr>
          <w:szCs w:val="28"/>
          <w:rtl/>
        </w:rPr>
        <w:t xml:space="preserve">[. يهدف تطبيق إدارة المخاطر إلى تقليل احتمالية وقوع الأحداث السلبية وتأثيرها، وزيادة احتمالية وقوع الأحداث الإيجابية والاستفادة منها] </w:t>
      </w:r>
      <w:r>
        <w:rPr>
          <w:rFonts w:ascii="Times New Roman" w:eastAsia="Times New Roman" w:hAnsi="Times New Roman" w:cs="Times New Roman"/>
          <w:szCs w:val="28"/>
        </w:rPr>
        <w:t>8</w:t>
      </w:r>
      <w:r>
        <w:rPr>
          <w:szCs w:val="28"/>
          <w:rtl/>
        </w:rPr>
        <w:t xml:space="preserve">[ . </w:t>
      </w:r>
    </w:p>
    <w:p w14:paraId="74980507" w14:textId="77777777" w:rsidR="005850DB" w:rsidRDefault="00000000">
      <w:pPr>
        <w:ind w:right="100"/>
      </w:pPr>
      <w:r>
        <w:rPr>
          <w:szCs w:val="28"/>
          <w:rtl/>
        </w:rPr>
        <w:t xml:space="preserve">في سياق المشاريع الصناعية، تكتسب إدارة المخاطر أهمية خاصة نظ اًر للتعقيد المت ازيد لهذه المشاريع، وارتفاع تكاليفها، وطول مدة تنفيذها، وتأثرها بالعديد من العوامل الداخلية والخارجية. وقد أظهرت العديد من الد ارسات أن الإدارة الفعالة للمخاطر تساهم بشكل مباشر في تحسين أداء المشاريع من حيث الالت ازم بالجدول الزمني، والمي ازنية، وتحقيق معايير الجودة المطلوبة] </w:t>
      </w:r>
      <w:r>
        <w:rPr>
          <w:rFonts w:ascii="Times New Roman" w:eastAsia="Times New Roman" w:hAnsi="Times New Roman" w:cs="Times New Roman"/>
          <w:szCs w:val="28"/>
        </w:rPr>
        <w:t>9</w:t>
      </w:r>
      <w:r>
        <w:rPr>
          <w:szCs w:val="28"/>
          <w:rtl/>
        </w:rPr>
        <w:t xml:space="preserve">[.  </w:t>
      </w:r>
    </w:p>
    <w:p w14:paraId="0705DA27" w14:textId="77777777" w:rsidR="005850DB" w:rsidRDefault="00000000">
      <w:pPr>
        <w:spacing w:after="4" w:line="245" w:lineRule="auto"/>
        <w:ind w:right="82" w:hanging="5"/>
        <w:jc w:val="both"/>
      </w:pPr>
      <w:r>
        <w:rPr>
          <w:szCs w:val="28"/>
          <w:rtl/>
        </w:rPr>
        <w:t xml:space="preserve">على سبيل المثال، يشير بحث أج اره سميث) </w:t>
      </w:r>
      <w:r>
        <w:rPr>
          <w:rFonts w:ascii="Times New Roman" w:eastAsia="Times New Roman" w:hAnsi="Times New Roman" w:cs="Times New Roman"/>
          <w:sz w:val="24"/>
        </w:rPr>
        <w:t>Smith, 2022</w:t>
      </w:r>
      <w:r>
        <w:rPr>
          <w:szCs w:val="28"/>
          <w:rtl/>
        </w:rPr>
        <w:t xml:space="preserve">( إلى أن الشركات التي تتبنى نهجاً استباقياً في إدارة المخاطر تحقق معدلات نجاح أعلى بنسبة </w:t>
      </w:r>
      <w:r>
        <w:rPr>
          <w:rFonts w:ascii="Times New Roman" w:eastAsia="Times New Roman" w:hAnsi="Times New Roman" w:cs="Times New Roman"/>
          <w:szCs w:val="28"/>
        </w:rPr>
        <w:t>20</w:t>
      </w:r>
      <w:r>
        <w:rPr>
          <w:szCs w:val="28"/>
          <w:rtl/>
        </w:rPr>
        <w:t>% في مشاريعها مقارنة بالشركات التي تتبع نهجاً تفاعلياً  ]</w:t>
      </w:r>
      <w:r>
        <w:rPr>
          <w:rFonts w:ascii="Times New Roman" w:eastAsia="Times New Roman" w:hAnsi="Times New Roman" w:cs="Times New Roman"/>
          <w:szCs w:val="28"/>
        </w:rPr>
        <w:t>10</w:t>
      </w:r>
      <w:r>
        <w:rPr>
          <w:szCs w:val="28"/>
          <w:rtl/>
        </w:rPr>
        <w:t>[ .</w:t>
      </w:r>
      <w:r>
        <w:rPr>
          <w:rFonts w:ascii="Times New Roman" w:eastAsia="Times New Roman" w:hAnsi="Times New Roman" w:cs="Times New Roman"/>
          <w:szCs w:val="28"/>
          <w:rtl/>
        </w:rPr>
        <w:t xml:space="preserve"> </w:t>
      </w:r>
    </w:p>
    <w:p w14:paraId="068EC058" w14:textId="77777777" w:rsidR="005850DB" w:rsidRDefault="00000000">
      <w:pPr>
        <w:ind w:right="100"/>
      </w:pPr>
      <w:r>
        <w:rPr>
          <w:szCs w:val="28"/>
          <w:rtl/>
        </w:rPr>
        <w:t>تتنوع المخاطر في المشاريع الصناعية لتشمل المخاطر الفنية )مثل فشل التصميم أو المعدات(، والمخاطر التشغيلية )مثل انقطاع سلسلة التوريد أو الأخطاء البشرية(، والمخاطر المالية )مثل تقلبات أسعار المواد الخام أو أسعار الصرف(، والمخاطر القانونية والتنظيمية )مثل الت غي ارت في القوانين أو عدم الامتثال للمعايير(، والمخاطر البيئية )مثل الكوارث الطبيعية أو التلوث( ]</w:t>
      </w:r>
      <w:r>
        <w:rPr>
          <w:rFonts w:ascii="Times New Roman" w:eastAsia="Times New Roman" w:hAnsi="Times New Roman" w:cs="Times New Roman"/>
          <w:szCs w:val="28"/>
        </w:rPr>
        <w:t>11</w:t>
      </w:r>
      <w:r>
        <w:rPr>
          <w:szCs w:val="28"/>
          <w:rtl/>
        </w:rPr>
        <w:t>[. تتطلب كل فئة من هذه المخاطر است ارتيجيات محددة للتعامل معها، بدءاً من التخفيف والتحويل إلى القبول أو التجنب  ]</w:t>
      </w:r>
      <w:r>
        <w:rPr>
          <w:rFonts w:ascii="Times New Roman" w:eastAsia="Times New Roman" w:hAnsi="Times New Roman" w:cs="Times New Roman"/>
          <w:szCs w:val="28"/>
        </w:rPr>
        <w:t>12</w:t>
      </w:r>
      <w:r>
        <w:rPr>
          <w:szCs w:val="28"/>
          <w:rtl/>
        </w:rPr>
        <w:t>[ .</w:t>
      </w:r>
      <w:r>
        <w:rPr>
          <w:rFonts w:ascii="Times New Roman" w:eastAsia="Times New Roman" w:hAnsi="Times New Roman" w:cs="Times New Roman"/>
          <w:szCs w:val="28"/>
          <w:rtl/>
        </w:rPr>
        <w:t xml:space="preserve"> </w:t>
      </w:r>
    </w:p>
    <w:p w14:paraId="2D75AFF5" w14:textId="77777777" w:rsidR="005850DB" w:rsidRDefault="00000000">
      <w:pPr>
        <w:ind w:right="536"/>
      </w:pPr>
      <w:r>
        <w:rPr>
          <w:szCs w:val="28"/>
          <w:rtl/>
        </w:rPr>
        <w:t xml:space="preserve">على الرغم من الأهمية المعترف بها لإدارة المخاطر، لا ت ازل العديد من الشركات، خاصة في الدول النامية، تواجه تحديات في تطبيقها بفعالية. وتشمل هذه التحديات نقص الوعي، وعدم توفر الموارد الكافية، ومقاومة التغيير، ونقص الخبرة، وعدم وجود إطار عمل واضح لإدارة المخاطر] </w:t>
      </w:r>
      <w:r>
        <w:rPr>
          <w:rFonts w:ascii="Times New Roman" w:eastAsia="Times New Roman" w:hAnsi="Times New Roman" w:cs="Times New Roman"/>
          <w:szCs w:val="28"/>
        </w:rPr>
        <w:t>13</w:t>
      </w:r>
      <w:r>
        <w:rPr>
          <w:szCs w:val="28"/>
          <w:rtl/>
        </w:rPr>
        <w:t xml:space="preserve">[. هذه التحديات تبرز الحاجة إلى د ارسات متخصصة تركز على سياقات صناعية وجغ ارفية محددة، مثل صناعة المضخات في المملكة العربية السعودية، لفهم طبيعة المخاطر الخاصة بها وتطوير حلول ملائمة. </w:t>
      </w:r>
      <w:r>
        <w:rPr>
          <w:rFonts w:ascii="Times New Roman" w:eastAsia="Times New Roman" w:hAnsi="Times New Roman" w:cs="Times New Roman"/>
          <w:szCs w:val="28"/>
          <w:rtl/>
        </w:rPr>
        <w:t xml:space="preserve"> </w:t>
      </w:r>
    </w:p>
    <w:p w14:paraId="16EC287E" w14:textId="77777777" w:rsidR="005850DB" w:rsidRDefault="00000000">
      <w:pPr>
        <w:bidi w:val="0"/>
        <w:spacing w:after="88" w:line="259" w:lineRule="auto"/>
        <w:ind w:left="0" w:right="69" w:firstLine="0"/>
      </w:pPr>
      <w:r>
        <w:rPr>
          <w:rFonts w:ascii="Times New Roman" w:eastAsia="Times New Roman" w:hAnsi="Times New Roman" w:cs="Times New Roman"/>
        </w:rPr>
        <w:t xml:space="preserve"> </w:t>
      </w:r>
    </w:p>
    <w:p w14:paraId="7CDA1F1E" w14:textId="77777777" w:rsidR="005850DB" w:rsidRDefault="00000000">
      <w:pPr>
        <w:spacing w:after="3" w:line="259" w:lineRule="auto"/>
        <w:ind w:left="7" w:right="0" w:hanging="10"/>
        <w:jc w:val="left"/>
      </w:pPr>
      <w:r>
        <w:rPr>
          <w:b/>
          <w:bCs/>
          <w:sz w:val="32"/>
          <w:szCs w:val="32"/>
          <w:rtl/>
        </w:rPr>
        <w:t xml:space="preserve">المارجع:  </w:t>
      </w:r>
    </w:p>
    <w:p w14:paraId="56E8CEB0" w14:textId="77777777" w:rsidR="005850DB" w:rsidRDefault="00000000">
      <w:pPr>
        <w:bidi w:val="0"/>
        <w:spacing w:after="0" w:line="238" w:lineRule="auto"/>
        <w:ind w:left="187" w:right="0" w:hanging="10"/>
        <w:jc w:val="center"/>
      </w:pPr>
      <w:r>
        <w:rPr>
          <w:rFonts w:ascii="Times New Roman" w:eastAsia="Times New Roman" w:hAnsi="Times New Roman" w:cs="Times New Roman"/>
          <w:sz w:val="24"/>
        </w:rPr>
        <w:t xml:space="preserve">[6] Project Management Institute. (2017). A Guide to the Project Management Body of Knowledge (PMBOK® Guide) (6th ed.). Project Management Institute. [7] ISO 31000. </w:t>
      </w:r>
    </w:p>
    <w:p w14:paraId="3C4E1B77" w14:textId="77777777" w:rsidR="005850DB" w:rsidRDefault="00000000">
      <w:pPr>
        <w:bidi w:val="0"/>
        <w:spacing w:after="3" w:line="248" w:lineRule="auto"/>
        <w:ind w:left="79" w:right="-7" w:firstLine="228"/>
        <w:jc w:val="left"/>
      </w:pPr>
      <w:r>
        <w:rPr>
          <w:rFonts w:ascii="Times New Roman" w:eastAsia="Times New Roman" w:hAnsi="Times New Roman" w:cs="Times New Roman"/>
          <w:sz w:val="24"/>
        </w:rPr>
        <w:t xml:space="preserve">(2018). Risk management – Guidelines. International Organization for Standardization. [8] Chapman, R. J. (2011). Simple tools and techniques for enterprise risk management. John </w:t>
      </w:r>
      <w:r>
        <w:rPr>
          <w:rFonts w:ascii="Times New Roman" w:eastAsia="Times New Roman" w:hAnsi="Times New Roman" w:cs="Times New Roman"/>
          <w:sz w:val="24"/>
        </w:rPr>
        <w:lastRenderedPageBreak/>
        <w:t xml:space="preserve">Wiley &amp; Sons. [9] Kerzner, H. (2017). Project management: A systems approach to planning, scheduling, and controlling (12th ed.). John Wiley &amp; Sons. [10] Smith, J. (2022). The Impact </w:t>
      </w:r>
    </w:p>
    <w:p w14:paraId="1B8082CB" w14:textId="77777777" w:rsidR="005850DB" w:rsidRDefault="00000000">
      <w:pPr>
        <w:bidi w:val="0"/>
        <w:spacing w:after="3" w:line="248" w:lineRule="auto"/>
        <w:ind w:left="926" w:right="-7" w:hanging="98"/>
        <w:jc w:val="left"/>
      </w:pPr>
      <w:r>
        <w:rPr>
          <w:rFonts w:ascii="Times New Roman" w:eastAsia="Times New Roman" w:hAnsi="Times New Roman" w:cs="Times New Roman"/>
          <w:sz w:val="24"/>
        </w:rPr>
        <w:t xml:space="preserve">of Proactive Risk Management on Project Success Rates in Manufacturing. Journal of Industrial Engineering and Management, 15(3), 123-135. [11] Tummala, V. M. R., &amp; </w:t>
      </w:r>
    </w:p>
    <w:p w14:paraId="2C266211" w14:textId="77777777" w:rsidR="005850DB" w:rsidRDefault="00000000">
      <w:pPr>
        <w:bidi w:val="0"/>
        <w:spacing w:after="13"/>
        <w:ind w:left="26" w:right="0" w:hanging="10"/>
      </w:pPr>
      <w:r>
        <w:rPr>
          <w:rFonts w:ascii="Times New Roman" w:eastAsia="Times New Roman" w:hAnsi="Times New Roman" w:cs="Times New Roman"/>
          <w:sz w:val="24"/>
        </w:rPr>
        <w:t xml:space="preserve">Burchett, L. J. (1999). Project risk management processes. Project Management Journal, </w:t>
      </w:r>
    </w:p>
    <w:p w14:paraId="578CE21E" w14:textId="77777777" w:rsidR="005850DB" w:rsidRDefault="00000000">
      <w:pPr>
        <w:bidi w:val="0"/>
        <w:spacing w:after="277" w:line="248" w:lineRule="auto"/>
        <w:ind w:left="89" w:right="-7" w:hanging="10"/>
        <w:jc w:val="left"/>
      </w:pPr>
      <w:r>
        <w:rPr>
          <w:rFonts w:ascii="Times New Roman" w:eastAsia="Times New Roman" w:hAnsi="Times New Roman" w:cs="Times New Roman"/>
          <w:sz w:val="24"/>
        </w:rPr>
        <w:t xml:space="preserve">)3(03, 34-45. [12] Hillson, D. (2009). Managing risks in projects. Gower Publishing, Ltd. [13] </w:t>
      </w:r>
    </w:p>
    <w:p w14:paraId="52CB7EBA" w14:textId="77777777" w:rsidR="005850DB" w:rsidRDefault="00000000">
      <w:pPr>
        <w:bidi w:val="0"/>
        <w:spacing w:after="232"/>
        <w:ind w:left="26" w:right="0" w:hanging="10"/>
      </w:pPr>
      <w:r>
        <w:rPr>
          <w:rFonts w:ascii="Times New Roman" w:eastAsia="Times New Roman" w:hAnsi="Times New Roman" w:cs="Times New Roman"/>
          <w:sz w:val="24"/>
        </w:rPr>
        <w:t xml:space="preserve">Al-Hawary, S. I. (2014). The impact of risk management on project success: An empirical </w:t>
      </w:r>
      <w:r>
        <w:t xml:space="preserve"> </w:t>
      </w:r>
      <w:r>
        <w:rPr>
          <w:rFonts w:ascii="Times New Roman" w:eastAsia="Times New Roman" w:hAnsi="Times New Roman" w:cs="Times New Roman"/>
          <w:sz w:val="24"/>
        </w:rPr>
        <w:t>study in Jordan. International Journal of Business and Management, 9(1), 105-.611</w:t>
      </w:r>
    </w:p>
    <w:p w14:paraId="63C979A3" w14:textId="77777777" w:rsidR="005850DB" w:rsidRDefault="00000000">
      <w:pPr>
        <w:bidi w:val="0"/>
        <w:spacing w:after="45" w:line="259" w:lineRule="auto"/>
        <w:ind w:left="0" w:right="58" w:firstLine="0"/>
      </w:pPr>
      <w:r>
        <w:t xml:space="preserve"> </w:t>
      </w:r>
    </w:p>
    <w:p w14:paraId="434C5AC6" w14:textId="77777777" w:rsidR="005850DB" w:rsidRDefault="00000000">
      <w:pPr>
        <w:pStyle w:val="Heading2"/>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bCs/>
          <w:szCs w:val="32"/>
          <w:rtl/>
        </w:rPr>
        <w:t xml:space="preserve"> مشكلة الدارسة </w:t>
      </w:r>
      <w:r>
        <w:rPr>
          <w:rFonts w:ascii="Times New Roman" w:eastAsia="Times New Roman" w:hAnsi="Times New Roman" w:cs="Times New Roman"/>
          <w:bCs/>
          <w:szCs w:val="32"/>
          <w:rtl/>
        </w:rPr>
        <w:t xml:space="preserve"> </w:t>
      </w:r>
    </w:p>
    <w:p w14:paraId="634341BB" w14:textId="77777777" w:rsidR="005850DB" w:rsidRDefault="00000000">
      <w:pPr>
        <w:ind w:right="209"/>
      </w:pPr>
      <w:r>
        <w:rPr>
          <w:szCs w:val="28"/>
          <w:rtl/>
        </w:rPr>
        <w:t>على الرغم من الأهمية المت ازيدة لقطاع صناعة المضخات في المملكة العربية السعودية ودوره المحوري في دعم التنمية الاقتصادية وتنويع مصادر الدخل، إلا أن هذا القطاع يواجه تحديات كبيرة تتعلق بإدارة المخاطر في مشاريعه. فكثي اًر ما تشهد مشاريع التصنيع في المنطقة تأخي رات في التسليم، وتجاوازت في المي ازنية، ومشكلات في الجودة، مما يؤثر سلباً على كفاءة هذه المشاريع وربحيتها وقدرتها التنافسية ]</w:t>
      </w:r>
      <w:r>
        <w:rPr>
          <w:rFonts w:ascii="Times New Roman" w:eastAsia="Times New Roman" w:hAnsi="Times New Roman" w:cs="Times New Roman"/>
          <w:szCs w:val="28"/>
        </w:rPr>
        <w:t>14</w:t>
      </w:r>
      <w:r>
        <w:rPr>
          <w:szCs w:val="28"/>
          <w:rtl/>
        </w:rPr>
        <w:t xml:space="preserve">[. تشير التقارير الصناعية إلى أن نسبة كبيرة من مشاريع التصنيع في المنطقة لا تكتمل في الوقت المحدد أو ضمن المي ازنية المخصصة، ويعزى  جزء كبير من هذه الإخفاقات إلى سوء إدارة المخاطر أو عدم وجود إطار عمل فعال للتعامل معها] </w:t>
      </w:r>
      <w:r>
        <w:rPr>
          <w:rFonts w:ascii="Times New Roman" w:eastAsia="Times New Roman" w:hAnsi="Times New Roman" w:cs="Times New Roman"/>
          <w:szCs w:val="28"/>
        </w:rPr>
        <w:t>15</w:t>
      </w:r>
      <w:r>
        <w:rPr>
          <w:szCs w:val="28"/>
          <w:rtl/>
        </w:rPr>
        <w:t>[.</w:t>
      </w:r>
      <w:r>
        <w:rPr>
          <w:rFonts w:ascii="Times New Roman" w:eastAsia="Times New Roman" w:hAnsi="Times New Roman" w:cs="Times New Roman"/>
          <w:szCs w:val="28"/>
          <w:rtl/>
        </w:rPr>
        <w:t xml:space="preserve"> </w:t>
      </w:r>
    </w:p>
    <w:p w14:paraId="263DA10A" w14:textId="77777777" w:rsidR="005850DB" w:rsidRDefault="00000000">
      <w:pPr>
        <w:ind w:right="206"/>
      </w:pPr>
      <w:r>
        <w:rPr>
          <w:szCs w:val="28"/>
          <w:rtl/>
        </w:rPr>
        <w:t xml:space="preserve">تتمثل مشكلة الد ارسة في أن هناك نقصاً في الفهم الشامل والعميق للمخاطر التي تواجه مشاريع صناعة المضخات في المملكة العربية السعودية، وكيفية تأثير هذه المخاطر على نجاح المشاريع. كما أن الشركات العاملة في هذا القطاع قد لا تمتلك است ارتيجيات واضحة أو ممارسات موح دة لإدارة المخاطر </w:t>
      </w:r>
      <w:r>
        <w:rPr>
          <w:rFonts w:ascii="Times New Roman" w:eastAsia="Times New Roman" w:hAnsi="Times New Roman" w:cs="Times New Roman"/>
          <w:szCs w:val="28"/>
          <w:rtl/>
        </w:rPr>
        <w:t xml:space="preserve"> </w:t>
      </w:r>
      <w:r>
        <w:rPr>
          <w:szCs w:val="28"/>
          <w:rtl/>
        </w:rPr>
        <w:t xml:space="preserve">تتناسب مع طبيعة عملها والبيئة المحلية. هذا النقص في الإدارة الفعالة للمخاطر يؤدي إلى: </w:t>
      </w:r>
    </w:p>
    <w:p w14:paraId="2557CB02" w14:textId="77777777" w:rsidR="005850DB" w:rsidRDefault="00000000">
      <w:pPr>
        <w:numPr>
          <w:ilvl w:val="0"/>
          <w:numId w:val="1"/>
        </w:numPr>
        <w:ind w:right="296" w:hanging="365"/>
      </w:pPr>
      <w:r>
        <w:rPr>
          <w:szCs w:val="28"/>
          <w:rtl/>
        </w:rPr>
        <w:t>تأخير المشاريع وتجاوز المي ازنيات: حيث تؤدي المخاطر غير المتوقعة إلى تعطيل سير العمل وزيادة التكاليف، مما يؤثر على الجدوى الاقتصادية للمشاريع ]</w:t>
      </w:r>
      <w:r>
        <w:rPr>
          <w:rFonts w:ascii="Times New Roman" w:eastAsia="Times New Roman" w:hAnsi="Times New Roman" w:cs="Times New Roman"/>
          <w:szCs w:val="28"/>
        </w:rPr>
        <w:t>16</w:t>
      </w:r>
      <w:r>
        <w:rPr>
          <w:szCs w:val="28"/>
          <w:rtl/>
        </w:rPr>
        <w:t>[ .</w:t>
      </w:r>
      <w:r>
        <w:rPr>
          <w:rFonts w:ascii="Times New Roman" w:eastAsia="Times New Roman" w:hAnsi="Times New Roman" w:cs="Times New Roman"/>
          <w:szCs w:val="28"/>
          <w:rtl/>
        </w:rPr>
        <w:t xml:space="preserve"> </w:t>
      </w:r>
    </w:p>
    <w:p w14:paraId="3413E56B" w14:textId="77777777" w:rsidR="005850DB" w:rsidRDefault="00000000">
      <w:pPr>
        <w:numPr>
          <w:ilvl w:val="0"/>
          <w:numId w:val="1"/>
        </w:numPr>
        <w:ind w:right="296" w:hanging="365"/>
      </w:pPr>
      <w:r>
        <w:rPr>
          <w:szCs w:val="28"/>
          <w:rtl/>
        </w:rPr>
        <w:t xml:space="preserve">تدهور جودة المنتجات: قد تؤثر المخاطر التشغيلية أو الفنية على جودة المضخات المصنعة، مما يضر بسمعة الشركات وقدرتها على المنافسة]  </w:t>
      </w:r>
      <w:r>
        <w:rPr>
          <w:rFonts w:ascii="Times New Roman" w:eastAsia="Times New Roman" w:hAnsi="Times New Roman" w:cs="Times New Roman"/>
          <w:szCs w:val="28"/>
        </w:rPr>
        <w:t>17</w:t>
      </w:r>
      <w:r>
        <w:rPr>
          <w:szCs w:val="28"/>
          <w:rtl/>
        </w:rPr>
        <w:t>[ .</w:t>
      </w:r>
      <w:r>
        <w:rPr>
          <w:rFonts w:ascii="Times New Roman" w:eastAsia="Times New Roman" w:hAnsi="Times New Roman" w:cs="Times New Roman"/>
          <w:szCs w:val="28"/>
          <w:rtl/>
        </w:rPr>
        <w:t xml:space="preserve"> </w:t>
      </w:r>
    </w:p>
    <w:p w14:paraId="7A54FD9A" w14:textId="77777777" w:rsidR="005850DB" w:rsidRDefault="00000000">
      <w:pPr>
        <w:numPr>
          <w:ilvl w:val="0"/>
          <w:numId w:val="1"/>
        </w:numPr>
        <w:ind w:right="296" w:hanging="365"/>
      </w:pPr>
      <w:r>
        <w:rPr>
          <w:szCs w:val="28"/>
          <w:rtl/>
        </w:rPr>
        <w:t>فقدان الفرص: عدم القدرة على تحديد المخاطر والفرص المرتبطة بها قد يؤدي إلى تفويت فرص النمو والتوسع في السوق ]</w:t>
      </w:r>
      <w:r>
        <w:rPr>
          <w:rFonts w:ascii="Times New Roman" w:eastAsia="Times New Roman" w:hAnsi="Times New Roman" w:cs="Times New Roman"/>
          <w:szCs w:val="28"/>
        </w:rPr>
        <w:t>18</w:t>
      </w:r>
      <w:r>
        <w:rPr>
          <w:szCs w:val="28"/>
          <w:rtl/>
        </w:rPr>
        <w:t>[.</w:t>
      </w:r>
      <w:r>
        <w:rPr>
          <w:rFonts w:ascii="Times New Roman" w:eastAsia="Times New Roman" w:hAnsi="Times New Roman" w:cs="Times New Roman"/>
          <w:szCs w:val="28"/>
          <w:rtl/>
        </w:rPr>
        <w:t xml:space="preserve"> </w:t>
      </w:r>
    </w:p>
    <w:p w14:paraId="299204F1" w14:textId="77777777" w:rsidR="005850DB" w:rsidRDefault="00000000">
      <w:pPr>
        <w:numPr>
          <w:ilvl w:val="0"/>
          <w:numId w:val="1"/>
        </w:numPr>
        <w:ind w:right="296" w:hanging="365"/>
      </w:pPr>
      <w:r>
        <w:rPr>
          <w:szCs w:val="28"/>
          <w:rtl/>
        </w:rPr>
        <w:t xml:space="preserve">عدم الامتثال للمتطلبات التنظيمية: قد يؤدي سوء إدارة المخاطر إلى عدم الامتثال للمعايير واللوائح المحلية والدولية، مما يعرض الشركات للمساءلة القانونية والغ ارمات] </w:t>
      </w:r>
      <w:r>
        <w:rPr>
          <w:rFonts w:ascii="Times New Roman" w:eastAsia="Times New Roman" w:hAnsi="Times New Roman" w:cs="Times New Roman"/>
          <w:szCs w:val="28"/>
        </w:rPr>
        <w:t>19</w:t>
      </w:r>
      <w:r>
        <w:rPr>
          <w:szCs w:val="28"/>
          <w:rtl/>
        </w:rPr>
        <w:t xml:space="preserve">[. </w:t>
      </w:r>
    </w:p>
    <w:p w14:paraId="61D45F1A" w14:textId="77777777" w:rsidR="005850DB" w:rsidRDefault="00000000">
      <w:pPr>
        <w:spacing w:after="41"/>
        <w:ind w:right="351"/>
      </w:pPr>
      <w:r>
        <w:rPr>
          <w:szCs w:val="28"/>
          <w:rtl/>
        </w:rPr>
        <w:t xml:space="preserve">بالإضافة إلى ذلك، فإن الد ارسات الأكاديمية التي تركز بشكل خاص على إدارة المخاطر في صناعة المضخات في المملكة العربية السعودية لا ت ازل محدودة. معظم الأبحاث المتاحة تركز </w:t>
      </w:r>
      <w:r>
        <w:rPr>
          <w:szCs w:val="28"/>
          <w:rtl/>
        </w:rPr>
        <w:lastRenderedPageBreak/>
        <w:t xml:space="preserve">على قطاعات أخرى مثل البناء أو النفط والغاز، أو تتناول إدارة المخاطر بشكل عام دون تخصيصها لصناعة معينة </w:t>
      </w:r>
    </w:p>
    <w:p w14:paraId="2B514236" w14:textId="77777777" w:rsidR="005850DB" w:rsidRDefault="00000000">
      <w:pPr>
        <w:bidi w:val="0"/>
        <w:spacing w:after="4" w:line="259" w:lineRule="auto"/>
        <w:ind w:left="10" w:right="9" w:hanging="10"/>
      </w:pPr>
      <w:r>
        <w:t xml:space="preserve">  .]</w:t>
      </w:r>
      <w:r>
        <w:rPr>
          <w:rFonts w:ascii="Times New Roman" w:eastAsia="Times New Roman" w:hAnsi="Times New Roman" w:cs="Times New Roman"/>
        </w:rPr>
        <w:t>20</w:t>
      </w:r>
      <w:r>
        <w:t>[</w:t>
      </w:r>
    </w:p>
    <w:p w14:paraId="6765DC52" w14:textId="77777777" w:rsidR="005850DB" w:rsidRDefault="00000000">
      <w:pPr>
        <w:ind w:right="308"/>
      </w:pPr>
      <w:r>
        <w:rPr>
          <w:szCs w:val="28"/>
          <w:rtl/>
        </w:rPr>
        <w:t>هذا النقص في الأدبيات المتخصصة يبرز الحاجة الملحة لإج ارء هذه الد ارسة لسد هذه الفجوة المعرفية وتقديم رؤى عملية للشركات العاملة في هذا القطاع .</w:t>
      </w:r>
      <w:r>
        <w:rPr>
          <w:rFonts w:ascii="Times New Roman" w:eastAsia="Times New Roman" w:hAnsi="Times New Roman" w:cs="Times New Roman"/>
          <w:szCs w:val="28"/>
          <w:rtl/>
        </w:rPr>
        <w:t xml:space="preserve"> </w:t>
      </w:r>
    </w:p>
    <w:p w14:paraId="49C2134D" w14:textId="77777777" w:rsidR="005850DB" w:rsidRDefault="00000000">
      <w:pPr>
        <w:spacing w:after="2" w:line="259" w:lineRule="auto"/>
        <w:ind w:left="12" w:right="0" w:hanging="10"/>
        <w:jc w:val="left"/>
      </w:pPr>
      <w:r>
        <w:rPr>
          <w:szCs w:val="28"/>
          <w:rtl/>
        </w:rPr>
        <w:t xml:space="preserve">بناءً على ما سبق، يمكن صياغة مشكلة الد ارسة في السؤال الرئيسي التالي : </w:t>
      </w:r>
    </w:p>
    <w:p w14:paraId="356B3ED3" w14:textId="77777777" w:rsidR="005850DB" w:rsidRDefault="00000000">
      <w:pPr>
        <w:ind w:right="382"/>
      </w:pPr>
      <w:r>
        <w:rPr>
          <w:szCs w:val="28"/>
          <w:rtl/>
        </w:rPr>
        <w:t>ما هو دور إدارة المخاطر في نجاح مشاريع صناعة المضخات في مناطق المملكة العربية السعودية ؟</w:t>
      </w:r>
      <w:r>
        <w:rPr>
          <w:rFonts w:ascii="Times New Roman" w:eastAsia="Times New Roman" w:hAnsi="Times New Roman" w:cs="Times New Roman"/>
          <w:szCs w:val="28"/>
          <w:rtl/>
        </w:rPr>
        <w:t xml:space="preserve"> </w:t>
      </w:r>
      <w:r>
        <w:rPr>
          <w:szCs w:val="28"/>
          <w:rtl/>
        </w:rPr>
        <w:t xml:space="preserve">ويتفرع من هذا السؤال الرئيسي الأسئلة الفرعية التالية:  </w:t>
      </w:r>
    </w:p>
    <w:p w14:paraId="6E55F3ED" w14:textId="77777777" w:rsidR="005850DB" w:rsidRDefault="00000000">
      <w:pPr>
        <w:numPr>
          <w:ilvl w:val="0"/>
          <w:numId w:val="2"/>
        </w:numPr>
        <w:spacing w:after="11"/>
        <w:ind w:left="515" w:right="312" w:hanging="364"/>
      </w:pPr>
      <w:r>
        <w:rPr>
          <w:szCs w:val="28"/>
          <w:rtl/>
        </w:rPr>
        <w:t xml:space="preserve">ما هي أبرز المخاطر التي تواجه مشاريع صناعة المضخات في المملكة العربية السعودية ؟ </w:t>
      </w:r>
    </w:p>
    <w:p w14:paraId="727BABAD" w14:textId="77777777" w:rsidR="005850DB" w:rsidRDefault="00000000">
      <w:pPr>
        <w:numPr>
          <w:ilvl w:val="0"/>
          <w:numId w:val="2"/>
        </w:numPr>
        <w:ind w:left="515" w:right="312" w:hanging="364"/>
      </w:pPr>
      <w:r>
        <w:rPr>
          <w:szCs w:val="28"/>
          <w:rtl/>
        </w:rPr>
        <w:t xml:space="preserve">ما هي ممارسات إدارة المخاطر المتبعة حالياً في شركات صناعة المضخات في المملكة العربية السعودية؟ </w:t>
      </w:r>
    </w:p>
    <w:p w14:paraId="0D76114C" w14:textId="77777777" w:rsidR="005850DB" w:rsidRDefault="00000000">
      <w:pPr>
        <w:numPr>
          <w:ilvl w:val="0"/>
          <w:numId w:val="2"/>
        </w:numPr>
        <w:ind w:left="515" w:right="312" w:hanging="364"/>
      </w:pPr>
      <w:r>
        <w:rPr>
          <w:szCs w:val="28"/>
          <w:rtl/>
        </w:rPr>
        <w:t xml:space="preserve">ما هي العلاقة بين تطبيق ممارسات إدارة المخاطر ونجاح مشاريع صناعة المضخات في المملكة العربية السعودية ؟ </w:t>
      </w:r>
    </w:p>
    <w:p w14:paraId="0582576C" w14:textId="77777777" w:rsidR="005850DB" w:rsidRDefault="00000000">
      <w:pPr>
        <w:numPr>
          <w:ilvl w:val="0"/>
          <w:numId w:val="2"/>
        </w:numPr>
        <w:ind w:left="515" w:right="312" w:hanging="364"/>
      </w:pPr>
      <w:r>
        <w:rPr>
          <w:szCs w:val="28"/>
          <w:rtl/>
        </w:rPr>
        <w:t>ما هو الإطار المقترح لإدارة المخاطر الذي يمكن أن يساهم في تعزيز نجاح مشاريع صناعة المضخات في المملكة العربية السعودية ؟</w:t>
      </w:r>
      <w:r>
        <w:rPr>
          <w:rFonts w:ascii="Times New Roman" w:eastAsia="Times New Roman" w:hAnsi="Times New Roman" w:cs="Times New Roman"/>
          <w:szCs w:val="28"/>
          <w:rtl/>
        </w:rPr>
        <w:t xml:space="preserve"> </w:t>
      </w:r>
    </w:p>
    <w:p w14:paraId="7460704C" w14:textId="77777777" w:rsidR="005850DB" w:rsidRDefault="00000000">
      <w:pPr>
        <w:bidi w:val="0"/>
        <w:spacing w:after="88" w:line="259" w:lineRule="auto"/>
        <w:ind w:left="0" w:right="69" w:firstLine="0"/>
      </w:pPr>
      <w:r>
        <w:rPr>
          <w:rFonts w:ascii="Times New Roman" w:eastAsia="Times New Roman" w:hAnsi="Times New Roman" w:cs="Times New Roman"/>
        </w:rPr>
        <w:t xml:space="preserve"> </w:t>
      </w:r>
    </w:p>
    <w:p w14:paraId="32C0F7F1" w14:textId="77777777" w:rsidR="005850DB" w:rsidRDefault="00000000">
      <w:pPr>
        <w:spacing w:after="3" w:line="259" w:lineRule="auto"/>
        <w:ind w:left="7" w:right="0" w:hanging="10"/>
        <w:jc w:val="left"/>
      </w:pPr>
      <w:r>
        <w:rPr>
          <w:b/>
          <w:bCs/>
          <w:sz w:val="32"/>
          <w:szCs w:val="32"/>
          <w:rtl/>
        </w:rPr>
        <w:t xml:space="preserve">المارجع:  </w:t>
      </w:r>
    </w:p>
    <w:p w14:paraId="2FF4946B" w14:textId="77777777" w:rsidR="005850DB" w:rsidRDefault="00000000">
      <w:pPr>
        <w:bidi w:val="0"/>
        <w:spacing w:after="3" w:line="248" w:lineRule="auto"/>
        <w:ind w:left="79" w:right="-7" w:firstLine="492"/>
        <w:jc w:val="left"/>
      </w:pPr>
      <w:r>
        <w:rPr>
          <w:rFonts w:ascii="Times New Roman" w:eastAsia="Times New Roman" w:hAnsi="Times New Roman" w:cs="Times New Roman"/>
          <w:sz w:val="24"/>
        </w:rPr>
        <w:t xml:space="preserve">[14] Al-Harbi, K. M. A. (2008). Critical success factors for project management in Saudi Arabia. International Journal of Project Management, 26(1), 104-110. [15] Assaf, S. A., &amp; AlHejji, S. (2006). Causes of delay in large construction projects in Saudi Arabia. International </w:t>
      </w:r>
    </w:p>
    <w:p w14:paraId="54EEABBB" w14:textId="77777777" w:rsidR="005850DB" w:rsidRDefault="00000000">
      <w:pPr>
        <w:bidi w:val="0"/>
        <w:spacing w:after="13"/>
        <w:ind w:left="26" w:right="0" w:hanging="10"/>
      </w:pPr>
      <w:r>
        <w:rPr>
          <w:rFonts w:ascii="Times New Roman" w:eastAsia="Times New Roman" w:hAnsi="Times New Roman" w:cs="Times New Roman"/>
          <w:sz w:val="24"/>
        </w:rPr>
        <w:t xml:space="preserve">Journal of Project Management, 24(5), 349-357. [16] Al-Khalil, M. I., &amp; Al-Ghafly, M. A. </w:t>
      </w:r>
    </w:p>
    <w:p w14:paraId="633EFD1F" w14:textId="77777777" w:rsidR="005850DB" w:rsidRDefault="00000000">
      <w:pPr>
        <w:bidi w:val="0"/>
        <w:spacing w:after="3" w:line="248" w:lineRule="auto"/>
        <w:ind w:left="430" w:right="-7" w:firstLine="336"/>
        <w:jc w:val="left"/>
      </w:pPr>
      <w:r>
        <w:rPr>
          <w:rFonts w:ascii="Times New Roman" w:eastAsia="Times New Roman" w:hAnsi="Times New Roman" w:cs="Times New Roman"/>
          <w:sz w:val="24"/>
        </w:rPr>
        <w:t xml:space="preserve">(1999). Delay in construction projects in Saudi Arabia. International Journal of Project Management, 17(5), 317-323. [17] Al-Tassan, A. A. (2000). Quality management in Saudi </w:t>
      </w:r>
    </w:p>
    <w:p w14:paraId="02818673"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Arabian construction industry. Journal of Construction Engineering and Management, 126(6), </w:t>
      </w:r>
    </w:p>
    <w:p w14:paraId="3E0FAABE" w14:textId="77777777" w:rsidR="005850DB" w:rsidRDefault="00000000">
      <w:pPr>
        <w:bidi w:val="0"/>
        <w:spacing w:after="3" w:line="248" w:lineRule="auto"/>
        <w:ind w:left="79" w:right="-7" w:firstLine="209"/>
        <w:jc w:val="left"/>
      </w:pPr>
      <w:r>
        <w:rPr>
          <w:rFonts w:ascii="Times New Roman" w:eastAsia="Times New Roman" w:hAnsi="Times New Roman" w:cs="Times New Roman"/>
          <w:sz w:val="24"/>
        </w:rPr>
        <w:t xml:space="preserve">441-447. [18] El-Sayegh, S. M. (2008). Risk identification and assessment for construction projects in UAE. Construction Management and Economics, 26(1), 37-47. [19] Al-Jibouri, S. </w:t>
      </w:r>
    </w:p>
    <w:p w14:paraId="7A160101" w14:textId="77777777" w:rsidR="005850DB" w:rsidRDefault="00000000">
      <w:pPr>
        <w:bidi w:val="0"/>
        <w:spacing w:after="305"/>
        <w:ind w:left="26" w:right="0" w:hanging="10"/>
      </w:pPr>
      <w:r>
        <w:rPr>
          <w:rFonts w:ascii="Times New Roman" w:eastAsia="Times New Roman" w:hAnsi="Times New Roman" w:cs="Times New Roman"/>
          <w:sz w:val="24"/>
        </w:rPr>
        <w:t xml:space="preserve">A. (2009). Monitoring all project processes for successful project management. International Journal of Project Management, 27(2), 145-152. [20] Al-Ghamdi, A. S. (2018). Risk </w:t>
      </w:r>
    </w:p>
    <w:p w14:paraId="39318D3B" w14:textId="77777777" w:rsidR="005850DB" w:rsidRDefault="00000000">
      <w:pPr>
        <w:bidi w:val="0"/>
        <w:spacing w:after="205"/>
        <w:ind w:left="26" w:right="0" w:hanging="10"/>
      </w:pPr>
      <w:r>
        <w:rPr>
          <w:rFonts w:ascii="Times New Roman" w:eastAsia="Times New Roman" w:hAnsi="Times New Roman" w:cs="Times New Roman"/>
          <w:sz w:val="24"/>
        </w:rPr>
        <w:t xml:space="preserve">management practices in Saudi Arabian industrial projects: A review. Journal of Industrial </w:t>
      </w:r>
      <w:r>
        <w:t xml:space="preserve"> </w:t>
      </w:r>
      <w:r>
        <w:rPr>
          <w:rFonts w:ascii="Times New Roman" w:eastAsia="Times New Roman" w:hAnsi="Times New Roman" w:cs="Times New Roman"/>
          <w:sz w:val="24"/>
        </w:rPr>
        <w:t>Engineering and Management, 11(2), 234-.542</w:t>
      </w:r>
    </w:p>
    <w:p w14:paraId="3D03F2AA" w14:textId="77777777" w:rsidR="005850DB" w:rsidRDefault="00000000">
      <w:pPr>
        <w:bidi w:val="0"/>
        <w:spacing w:after="45" w:line="259" w:lineRule="auto"/>
        <w:ind w:left="0" w:right="58" w:firstLine="0"/>
      </w:pPr>
      <w:r>
        <w:t xml:space="preserve"> </w:t>
      </w:r>
    </w:p>
    <w:p w14:paraId="5B81429E" w14:textId="77777777" w:rsidR="005850DB" w:rsidRDefault="00000000">
      <w:pPr>
        <w:pStyle w:val="Heading2"/>
        <w:ind w:left="7"/>
      </w:pPr>
      <w:r>
        <w:rPr>
          <w:rFonts w:ascii="Times New Roman" w:eastAsia="Times New Roman" w:hAnsi="Times New Roman" w:cs="Times New Roman"/>
          <w:bCs/>
          <w:szCs w:val="32"/>
        </w:rPr>
        <w:lastRenderedPageBreak/>
        <w:t>1</w:t>
      </w:r>
      <w:r>
        <w:rPr>
          <w:rFonts w:ascii="Times New Roman" w:eastAsia="Times New Roman" w:hAnsi="Times New Roman" w:cs="Times New Roman"/>
          <w:bCs/>
          <w:szCs w:val="32"/>
          <w:rtl/>
        </w:rPr>
        <w:t>.</w:t>
      </w:r>
      <w:r>
        <w:rPr>
          <w:rFonts w:ascii="Times New Roman" w:eastAsia="Times New Roman" w:hAnsi="Times New Roman" w:cs="Times New Roman"/>
          <w:bCs/>
          <w:szCs w:val="32"/>
        </w:rPr>
        <w:t>4</w:t>
      </w:r>
      <w:r>
        <w:rPr>
          <w:bCs/>
          <w:szCs w:val="32"/>
          <w:rtl/>
        </w:rPr>
        <w:t xml:space="preserve"> فرضيات الدارسة </w:t>
      </w:r>
      <w:r>
        <w:rPr>
          <w:rFonts w:ascii="Times New Roman" w:eastAsia="Times New Roman" w:hAnsi="Times New Roman" w:cs="Times New Roman"/>
          <w:bCs/>
          <w:szCs w:val="32"/>
          <w:rtl/>
        </w:rPr>
        <w:t xml:space="preserve"> </w:t>
      </w:r>
    </w:p>
    <w:p w14:paraId="08E57F98" w14:textId="77777777" w:rsidR="005850DB" w:rsidRDefault="00000000">
      <w:pPr>
        <w:spacing w:after="2" w:line="259" w:lineRule="auto"/>
        <w:ind w:left="12" w:right="0" w:hanging="10"/>
        <w:jc w:val="left"/>
      </w:pPr>
      <w:r>
        <w:rPr>
          <w:szCs w:val="28"/>
          <w:rtl/>
        </w:rPr>
        <w:t xml:space="preserve">بناءً على مشكلة الد ارسة والأسئلة البحثية المطروحة، تسعى هذه الد ارسة إلى اختبار الفرضيات التالية : </w:t>
      </w:r>
    </w:p>
    <w:p w14:paraId="675C95AD" w14:textId="77777777" w:rsidR="005850DB" w:rsidRDefault="00000000">
      <w:pPr>
        <w:spacing w:after="0" w:line="259" w:lineRule="auto"/>
        <w:ind w:left="8" w:right="0" w:hanging="10"/>
        <w:jc w:val="left"/>
      </w:pPr>
      <w:r>
        <w:rPr>
          <w:b/>
          <w:bCs/>
          <w:szCs w:val="28"/>
          <w:rtl/>
        </w:rPr>
        <w:t xml:space="preserve">الفرضية الرئيسية:  </w:t>
      </w:r>
    </w:p>
    <w:p w14:paraId="65E6F52C" w14:textId="77777777" w:rsidR="005850DB" w:rsidRDefault="00000000">
      <w:pPr>
        <w:numPr>
          <w:ilvl w:val="0"/>
          <w:numId w:val="3"/>
        </w:numPr>
        <w:ind w:right="485" w:hanging="361"/>
      </w:pPr>
      <w:r>
        <w:rPr>
          <w:szCs w:val="28"/>
          <w:rtl/>
        </w:rPr>
        <w:t xml:space="preserve">توجد علاقة ذات دلالة إحصائية بين تطبيق ممارسات إدارة المخاطر ونجاح مشاريع صناعة المضخات في المملكة العربية السعودية. </w:t>
      </w:r>
    </w:p>
    <w:p w14:paraId="68588554" w14:textId="77777777" w:rsidR="005850DB" w:rsidRDefault="00000000">
      <w:pPr>
        <w:spacing w:after="0" w:line="259" w:lineRule="auto"/>
        <w:ind w:left="8" w:right="0" w:hanging="10"/>
        <w:jc w:val="left"/>
      </w:pPr>
      <w:r>
        <w:rPr>
          <w:b/>
          <w:bCs/>
          <w:szCs w:val="28"/>
          <w:rtl/>
        </w:rPr>
        <w:t xml:space="preserve">الفرضيات الفرعية: </w:t>
      </w:r>
    </w:p>
    <w:p w14:paraId="26FFDA62" w14:textId="77777777" w:rsidR="005850DB" w:rsidRDefault="00000000">
      <w:pPr>
        <w:numPr>
          <w:ilvl w:val="0"/>
          <w:numId w:val="3"/>
        </w:numPr>
        <w:ind w:right="485" w:hanging="361"/>
      </w:pPr>
      <w:r>
        <w:rPr>
          <w:szCs w:val="28"/>
          <w:rtl/>
        </w:rPr>
        <w:t>توجد علاقة ذات دلالة إحصائية بين تحديد المخاطر ونجاح مشاريع صناعة المضخات في المملكة العربية السعودية.</w:t>
      </w:r>
      <w:r>
        <w:rPr>
          <w:b/>
          <w:bCs/>
          <w:szCs w:val="28"/>
          <w:rtl/>
        </w:rPr>
        <w:t xml:space="preserve"> </w:t>
      </w:r>
    </w:p>
    <w:p w14:paraId="4069A689" w14:textId="77777777" w:rsidR="005850DB" w:rsidRDefault="00000000">
      <w:pPr>
        <w:numPr>
          <w:ilvl w:val="0"/>
          <w:numId w:val="3"/>
        </w:numPr>
        <w:ind w:right="485" w:hanging="361"/>
      </w:pPr>
      <w:r>
        <w:rPr>
          <w:szCs w:val="28"/>
          <w:rtl/>
        </w:rPr>
        <w:t xml:space="preserve">توجد علاقة ذات دلالة إحصائية بين تحليل المخاطر ونجاح مشاريع صناعة المضخات في المملكة العربية السعودية. </w:t>
      </w:r>
    </w:p>
    <w:p w14:paraId="3026B3CE" w14:textId="77777777" w:rsidR="005850DB" w:rsidRDefault="00000000">
      <w:pPr>
        <w:numPr>
          <w:ilvl w:val="0"/>
          <w:numId w:val="3"/>
        </w:numPr>
        <w:ind w:right="485" w:hanging="361"/>
      </w:pPr>
      <w:r>
        <w:rPr>
          <w:szCs w:val="28"/>
          <w:rtl/>
        </w:rPr>
        <w:t xml:space="preserve">توجد علاقة ذات دلالة إحصائية بين الاستجابة للمخاطر ونجاح مشاريع صناعة المضخات في المملكة العربية السعودية. </w:t>
      </w:r>
    </w:p>
    <w:p w14:paraId="57CCBE1A" w14:textId="77777777" w:rsidR="005850DB" w:rsidRDefault="00000000">
      <w:pPr>
        <w:numPr>
          <w:ilvl w:val="0"/>
          <w:numId w:val="3"/>
        </w:numPr>
        <w:ind w:right="485" w:hanging="361"/>
      </w:pPr>
      <w:r>
        <w:rPr>
          <w:szCs w:val="28"/>
          <w:rtl/>
        </w:rPr>
        <w:t xml:space="preserve">توجد علاقة ذات دلالة إحصائية بين م ارقبة المخاطر ونجاح مشاريع صناعة المضخات في المملكة العربية السعودية. </w:t>
      </w:r>
    </w:p>
    <w:p w14:paraId="64A5C43C" w14:textId="77777777" w:rsidR="005850DB" w:rsidRDefault="00000000">
      <w:pPr>
        <w:ind w:right="100"/>
      </w:pPr>
      <w:r>
        <w:rPr>
          <w:szCs w:val="28"/>
          <w:rtl/>
        </w:rPr>
        <w:t xml:space="preserve">تهدف هذه الفرضيات إلى توجيه البحث نحو تحديد مدى تأثير كل مرحلة من م ارحل إدارة المخاطر على تحقيق أهداف مشاريع صناعة المضخات، وبالتالي المساهمة في نجاحها الشامل. سيتم اختبار هذه الفرضيات باستخدام الأساليب الإحصائية المناسبة بناءً على البيانات التي سيتم جمعها من عينة الد ارسة.  </w:t>
      </w:r>
    </w:p>
    <w:p w14:paraId="46661500" w14:textId="77777777" w:rsidR="005850DB" w:rsidRDefault="00000000">
      <w:pPr>
        <w:bidi w:val="0"/>
        <w:spacing w:after="39" w:line="259" w:lineRule="auto"/>
        <w:ind w:left="0" w:right="58" w:firstLine="0"/>
      </w:pPr>
      <w:r>
        <w:t xml:space="preserve"> </w:t>
      </w:r>
    </w:p>
    <w:p w14:paraId="55408DB8" w14:textId="77777777" w:rsidR="005850DB" w:rsidRDefault="00000000">
      <w:pPr>
        <w:pStyle w:val="Heading2"/>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5</w:t>
      </w:r>
      <w:r>
        <w:rPr>
          <w:bCs/>
          <w:szCs w:val="32"/>
          <w:rtl/>
        </w:rPr>
        <w:t xml:space="preserve"> أهداف الدارسة  </w:t>
      </w:r>
    </w:p>
    <w:p w14:paraId="2889BB30" w14:textId="77777777" w:rsidR="005850DB" w:rsidRDefault="00000000">
      <w:pPr>
        <w:spacing w:after="2" w:line="259" w:lineRule="auto"/>
        <w:ind w:left="12" w:right="0" w:hanging="10"/>
        <w:jc w:val="left"/>
      </w:pPr>
      <w:r>
        <w:rPr>
          <w:szCs w:val="28"/>
          <w:rtl/>
        </w:rPr>
        <w:t xml:space="preserve">تسعى هذه الد ارسة إلى تحقيق الأهداف الرئيسية التالية: </w:t>
      </w:r>
    </w:p>
    <w:p w14:paraId="46DEF721" w14:textId="77777777" w:rsidR="005850DB" w:rsidRDefault="00000000">
      <w:pPr>
        <w:numPr>
          <w:ilvl w:val="0"/>
          <w:numId w:val="4"/>
        </w:numPr>
        <w:ind w:right="137" w:hanging="364"/>
      </w:pPr>
      <w:r>
        <w:rPr>
          <w:szCs w:val="28"/>
          <w:rtl/>
        </w:rPr>
        <w:t xml:space="preserve">تحديد أبرز المخاطر: تحديد وتصنيف أبرز المخاطر التي تواجه مشاريع صناعة المضخات في المملكة العربية السعودية، بما في ذلك المخاطر الفنية، التشغيلية، المالية، التنظيمية، والبيئية. </w:t>
      </w:r>
    </w:p>
    <w:p w14:paraId="72BB8CE5" w14:textId="77777777" w:rsidR="005850DB" w:rsidRDefault="00000000">
      <w:pPr>
        <w:numPr>
          <w:ilvl w:val="0"/>
          <w:numId w:val="4"/>
        </w:numPr>
        <w:ind w:right="137" w:hanging="364"/>
      </w:pPr>
      <w:r>
        <w:rPr>
          <w:szCs w:val="28"/>
          <w:rtl/>
        </w:rPr>
        <w:t xml:space="preserve">تحليل ممارسات إدارة المخاطر الحالية: تقييم ممارسات إدارة المخاطر المتبعة حالياً في شركات صناعة المضخات في المملكة العربية السعودية، وتحديد نقاط القوة والضعف في هذه الممارسات . </w:t>
      </w:r>
    </w:p>
    <w:p w14:paraId="20191A37" w14:textId="77777777" w:rsidR="005850DB" w:rsidRDefault="00000000">
      <w:pPr>
        <w:numPr>
          <w:ilvl w:val="0"/>
          <w:numId w:val="4"/>
        </w:numPr>
        <w:ind w:right="137" w:hanging="364"/>
      </w:pPr>
      <w:r>
        <w:rPr>
          <w:szCs w:val="28"/>
          <w:rtl/>
        </w:rPr>
        <w:t xml:space="preserve">تحديد العلاقة بين إدارة المخاطر ونجاح المشاريع: تحليل العلاقة بين تطبيق ممارسات إدارة المخاطر )تحديد، تحليل، استجابة، م ارقبة( ونجاح مشاريع صناعة المضخات في المملكة العربية السعودية. </w:t>
      </w:r>
    </w:p>
    <w:p w14:paraId="7E0F6E8B" w14:textId="77777777" w:rsidR="005850DB" w:rsidRDefault="00000000">
      <w:pPr>
        <w:numPr>
          <w:ilvl w:val="0"/>
          <w:numId w:val="4"/>
        </w:numPr>
        <w:ind w:right="137" w:hanging="364"/>
      </w:pPr>
      <w:r>
        <w:rPr>
          <w:szCs w:val="28"/>
          <w:rtl/>
        </w:rPr>
        <w:lastRenderedPageBreak/>
        <w:t xml:space="preserve">تطوير إطار عمل مقترح: بناء إطار عمل مقترح لإدارة المخاطر يتناسب مع خصائص صناعة المضخات في المملكة العربية السعودية، ويمكن أن يساهم في تعزيز نجاح المشاريع.  </w:t>
      </w:r>
    </w:p>
    <w:p w14:paraId="3110BE09" w14:textId="77777777" w:rsidR="005850DB" w:rsidRDefault="00000000">
      <w:pPr>
        <w:numPr>
          <w:ilvl w:val="0"/>
          <w:numId w:val="4"/>
        </w:numPr>
        <w:ind w:right="137" w:hanging="364"/>
      </w:pPr>
      <w:r>
        <w:rPr>
          <w:szCs w:val="28"/>
          <w:rtl/>
        </w:rPr>
        <w:t xml:space="preserve">تقديم توصيات عملية: تقديم مجموعة من التوصيات العملية للشركات والمؤسسات العاملة في قطاع صناعة المضخات، بالإضافة إلى الجهات الحكومية ذات العلاقة، بهدف تحسين ممارسات إدارة المخاطر وتعزيز نجاح المشاريع. </w:t>
      </w:r>
    </w:p>
    <w:p w14:paraId="6A573CB4" w14:textId="77777777" w:rsidR="005850DB" w:rsidRDefault="00000000">
      <w:pPr>
        <w:numPr>
          <w:ilvl w:val="0"/>
          <w:numId w:val="4"/>
        </w:numPr>
        <w:ind w:right="137" w:hanging="364"/>
      </w:pPr>
      <w:r>
        <w:rPr>
          <w:szCs w:val="28"/>
          <w:rtl/>
        </w:rPr>
        <w:t xml:space="preserve">من خلال تحقيق هذه الأهداف، تأمل الد ارسة في تقديم مساهمة قيمة للمعرفة الأكاديمية والممارسات الصناعية في مجال إدارة المخاطر في قطاع حيوي مثل صناعة المضخات في المملكة العربية السعودية. </w:t>
      </w:r>
    </w:p>
    <w:p w14:paraId="2FC0B2A3" w14:textId="77777777" w:rsidR="005850DB" w:rsidRDefault="00000000">
      <w:pPr>
        <w:bidi w:val="0"/>
        <w:spacing w:after="40" w:line="259" w:lineRule="auto"/>
        <w:ind w:left="0" w:right="58" w:firstLine="0"/>
      </w:pPr>
      <w:r>
        <w:t xml:space="preserve"> </w:t>
      </w:r>
    </w:p>
    <w:p w14:paraId="0E91EA9D" w14:textId="77777777" w:rsidR="005850DB" w:rsidRDefault="00000000">
      <w:pPr>
        <w:pStyle w:val="Heading2"/>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6</w:t>
      </w:r>
      <w:r>
        <w:rPr>
          <w:bCs/>
          <w:szCs w:val="32"/>
          <w:rtl/>
        </w:rPr>
        <w:t xml:space="preserve"> أهمية الدارسة  </w:t>
      </w:r>
    </w:p>
    <w:p w14:paraId="0EE242E2" w14:textId="77777777" w:rsidR="005850DB" w:rsidRDefault="00000000">
      <w:pPr>
        <w:ind w:right="404"/>
      </w:pPr>
      <w:r>
        <w:rPr>
          <w:szCs w:val="28"/>
          <w:rtl/>
        </w:rPr>
        <w:t xml:space="preserve">تكتسب هذه الد ارسة أهميتها من عدة جوانب، سواء على الصعيد النظري أو العملي، وذلك نظ اًر للدور المتنامي لقطاع صناعة المضخات في المملكة العربية السعودية، والتحديات التي تواجهه في بيئة الأعمال الحالية:  </w:t>
      </w:r>
    </w:p>
    <w:p w14:paraId="192C9446" w14:textId="77777777" w:rsidR="005850DB" w:rsidRDefault="00000000">
      <w:pPr>
        <w:spacing w:after="0" w:line="259" w:lineRule="auto"/>
        <w:ind w:left="8" w:right="0" w:hanging="10"/>
        <w:jc w:val="left"/>
      </w:pPr>
      <w:r>
        <w:rPr>
          <w:b/>
          <w:bCs/>
          <w:szCs w:val="28"/>
          <w:rtl/>
        </w:rPr>
        <w:t xml:space="preserve">الأهمية النظرية:  </w:t>
      </w:r>
    </w:p>
    <w:p w14:paraId="5E40EF6F" w14:textId="77777777" w:rsidR="005850DB" w:rsidRDefault="00000000">
      <w:pPr>
        <w:numPr>
          <w:ilvl w:val="0"/>
          <w:numId w:val="5"/>
        </w:numPr>
        <w:ind w:right="155" w:hanging="363"/>
      </w:pPr>
      <w:r>
        <w:rPr>
          <w:szCs w:val="28"/>
          <w:rtl/>
        </w:rPr>
        <w:t xml:space="preserve">سد الفجوة البحثية: تساهم هذه الد ارسة في سد الفجوة في الأدبيات الأكاديمية المتعلقة بإدارة المخاطر في قطاع صناعي متخصص مثل صناعة المضخات، وتحديداً في السياق السعودي. </w:t>
      </w:r>
    </w:p>
    <w:p w14:paraId="7C2E6364" w14:textId="77777777" w:rsidR="005850DB" w:rsidRDefault="00000000">
      <w:pPr>
        <w:ind w:left="294" w:right="100"/>
      </w:pPr>
      <w:r>
        <w:rPr>
          <w:szCs w:val="28"/>
          <w:rtl/>
        </w:rPr>
        <w:t xml:space="preserve">فمعظم الد ارسات تركز على قطاعات أخرى أو تتناول إدارة المخاطر بشكل عام، مما يجعل هذه الد ارسة إضافة نوعية للمعرفة المتخصصة]  </w:t>
      </w:r>
      <w:r>
        <w:rPr>
          <w:rFonts w:ascii="Times New Roman" w:eastAsia="Times New Roman" w:hAnsi="Times New Roman" w:cs="Times New Roman"/>
          <w:szCs w:val="28"/>
        </w:rPr>
        <w:t>21</w:t>
      </w:r>
      <w:r>
        <w:rPr>
          <w:szCs w:val="28"/>
          <w:rtl/>
        </w:rPr>
        <w:t xml:space="preserve">[. </w:t>
      </w:r>
    </w:p>
    <w:p w14:paraId="1AA7ED04" w14:textId="77777777" w:rsidR="005850DB" w:rsidRDefault="00000000">
      <w:pPr>
        <w:numPr>
          <w:ilvl w:val="0"/>
          <w:numId w:val="5"/>
        </w:numPr>
        <w:ind w:right="155" w:hanging="363"/>
      </w:pPr>
      <w:r>
        <w:rPr>
          <w:szCs w:val="28"/>
          <w:rtl/>
        </w:rPr>
        <w:t xml:space="preserve">تطوير الإطار المفاهيمي: تقدم الد ارسة إطا اًر مفاهيمياً شاملاً يربط بين ممارسات إدارة المخاطر ونجاح المشاريع في صناعة المضخات، مما يمكن أن يكون نقطة انطلاق لد ارسات مستقبلية في هذا المجال] </w:t>
      </w:r>
      <w:r>
        <w:rPr>
          <w:rFonts w:ascii="Times New Roman" w:eastAsia="Times New Roman" w:hAnsi="Times New Roman" w:cs="Times New Roman"/>
          <w:szCs w:val="28"/>
        </w:rPr>
        <w:t>22</w:t>
      </w:r>
      <w:r>
        <w:rPr>
          <w:szCs w:val="28"/>
          <w:rtl/>
        </w:rPr>
        <w:t xml:space="preserve">[ . </w:t>
      </w:r>
    </w:p>
    <w:p w14:paraId="373C6555" w14:textId="77777777" w:rsidR="005850DB" w:rsidRDefault="00000000">
      <w:pPr>
        <w:numPr>
          <w:ilvl w:val="0"/>
          <w:numId w:val="5"/>
        </w:numPr>
        <w:ind w:right="155" w:hanging="363"/>
      </w:pPr>
      <w:r>
        <w:rPr>
          <w:szCs w:val="28"/>
          <w:rtl/>
        </w:rPr>
        <w:t xml:space="preserve">إث ارء المعرفة: تساهم النتائج المستخلصة من هذه الد ارسة في إث ارء المعرفة حول طبيعة المخاطر في الصناعات التحويلية المعقدة، وكيفية تأثيرها على أداء المشاريع، مما يعزز الفهم النظري لإدارة المخاطر في بيئات الأعمال الديناميكية]  </w:t>
      </w:r>
      <w:r>
        <w:rPr>
          <w:rFonts w:ascii="Times New Roman" w:eastAsia="Times New Roman" w:hAnsi="Times New Roman" w:cs="Times New Roman"/>
          <w:szCs w:val="28"/>
        </w:rPr>
        <w:t>23</w:t>
      </w:r>
      <w:r>
        <w:rPr>
          <w:szCs w:val="28"/>
          <w:rtl/>
        </w:rPr>
        <w:t xml:space="preserve">[ . </w:t>
      </w:r>
    </w:p>
    <w:p w14:paraId="23082E2B" w14:textId="77777777" w:rsidR="005850DB" w:rsidRDefault="00000000">
      <w:pPr>
        <w:spacing w:after="0" w:line="259" w:lineRule="auto"/>
        <w:ind w:left="8" w:right="0" w:hanging="10"/>
        <w:jc w:val="left"/>
      </w:pPr>
      <w:r>
        <w:rPr>
          <w:b/>
          <w:bCs/>
          <w:szCs w:val="28"/>
          <w:rtl/>
        </w:rPr>
        <w:t xml:space="preserve">الأهمية العملية:  </w:t>
      </w:r>
    </w:p>
    <w:p w14:paraId="0BDFFB9F" w14:textId="77777777" w:rsidR="005850DB" w:rsidRDefault="00000000">
      <w:pPr>
        <w:numPr>
          <w:ilvl w:val="0"/>
          <w:numId w:val="5"/>
        </w:numPr>
        <w:ind w:right="155" w:hanging="363"/>
      </w:pPr>
      <w:r>
        <w:rPr>
          <w:szCs w:val="28"/>
          <w:rtl/>
        </w:rPr>
        <w:t xml:space="preserve">دعم صناع الق ارر: توفر الد ارسة معلومات قيمة لصناع الق ارر والمديرين في شركات صناعة المضخات، لمساعدتهم على فهم المخاطر المحتملة بشكل أفضل، وتطوير است ارتيجيات فعالة للتعامل معها، مما يؤدي إلى تحسين أداء المشاريع وزيادة فرص نجاحها] </w:t>
      </w:r>
      <w:r>
        <w:rPr>
          <w:rFonts w:ascii="Times New Roman" w:eastAsia="Times New Roman" w:hAnsi="Times New Roman" w:cs="Times New Roman"/>
          <w:szCs w:val="28"/>
        </w:rPr>
        <w:t>24</w:t>
      </w:r>
      <w:r>
        <w:rPr>
          <w:szCs w:val="28"/>
          <w:rtl/>
        </w:rPr>
        <w:t xml:space="preserve">[. </w:t>
      </w:r>
    </w:p>
    <w:p w14:paraId="2AC4A7A1" w14:textId="77777777" w:rsidR="005850DB" w:rsidRDefault="00000000">
      <w:pPr>
        <w:numPr>
          <w:ilvl w:val="0"/>
          <w:numId w:val="5"/>
        </w:numPr>
        <w:ind w:right="155" w:hanging="363"/>
      </w:pPr>
      <w:r>
        <w:rPr>
          <w:szCs w:val="28"/>
          <w:rtl/>
        </w:rPr>
        <w:lastRenderedPageBreak/>
        <w:t xml:space="preserve">تحسين الأداء التشغيلي: من خلال تحديد أفضل الممارسات في إدارة المخاطر، يمكن للشركات تحسين كفاءتها التشغيلية، وتقليل الهدر، وتجنب التأخي ارت والتجاوازت في التكاليف، مما يعزز من ربحيتها واستدامتها] </w:t>
      </w:r>
      <w:r>
        <w:rPr>
          <w:rFonts w:ascii="Times New Roman" w:eastAsia="Times New Roman" w:hAnsi="Times New Roman" w:cs="Times New Roman"/>
          <w:szCs w:val="28"/>
        </w:rPr>
        <w:t>25</w:t>
      </w:r>
      <w:r>
        <w:rPr>
          <w:szCs w:val="28"/>
          <w:rtl/>
        </w:rPr>
        <w:t xml:space="preserve">[. </w:t>
      </w:r>
    </w:p>
    <w:p w14:paraId="555F8D0D" w14:textId="77777777" w:rsidR="005850DB" w:rsidRDefault="00000000">
      <w:pPr>
        <w:numPr>
          <w:ilvl w:val="0"/>
          <w:numId w:val="5"/>
        </w:numPr>
        <w:ind w:right="155" w:hanging="363"/>
      </w:pPr>
      <w:r>
        <w:rPr>
          <w:szCs w:val="28"/>
          <w:rtl/>
        </w:rPr>
        <w:t xml:space="preserve">تعزيز القدرة التنافسية: يساعد التطبيق الفعال لإدارة المخاطر الشركات على بناء ميزة تنافسية من خلال تقليل عدم اليقين، وتحسين جودة المنتجات، وزيادة رضا العملاء، مما يمكنها من التوسع في الأسواق المحلية والإقليمية] </w:t>
      </w:r>
      <w:r>
        <w:rPr>
          <w:rFonts w:ascii="Times New Roman" w:eastAsia="Times New Roman" w:hAnsi="Times New Roman" w:cs="Times New Roman"/>
          <w:szCs w:val="28"/>
        </w:rPr>
        <w:t>26</w:t>
      </w:r>
      <w:r>
        <w:rPr>
          <w:szCs w:val="28"/>
          <w:rtl/>
        </w:rPr>
        <w:t xml:space="preserve">[ . </w:t>
      </w:r>
    </w:p>
    <w:p w14:paraId="4DB30317" w14:textId="77777777" w:rsidR="005850DB" w:rsidRDefault="00000000">
      <w:pPr>
        <w:numPr>
          <w:ilvl w:val="0"/>
          <w:numId w:val="5"/>
        </w:numPr>
        <w:ind w:right="155" w:hanging="363"/>
      </w:pPr>
      <w:r>
        <w:rPr>
          <w:szCs w:val="28"/>
          <w:rtl/>
        </w:rPr>
        <w:t xml:space="preserve">دعم رؤية المملكة </w:t>
      </w:r>
      <w:r>
        <w:rPr>
          <w:rFonts w:ascii="Times New Roman" w:eastAsia="Times New Roman" w:hAnsi="Times New Roman" w:cs="Times New Roman"/>
          <w:szCs w:val="28"/>
        </w:rPr>
        <w:t>2030</w:t>
      </w:r>
      <w:r>
        <w:rPr>
          <w:szCs w:val="28"/>
          <w:rtl/>
        </w:rPr>
        <w:t xml:space="preserve">: تتماشى هذه الد ارسة مع أهداف رؤية المملكة </w:t>
      </w:r>
      <w:r>
        <w:rPr>
          <w:rFonts w:ascii="Times New Roman" w:eastAsia="Times New Roman" w:hAnsi="Times New Roman" w:cs="Times New Roman"/>
          <w:szCs w:val="28"/>
        </w:rPr>
        <w:t>2030</w:t>
      </w:r>
      <w:r>
        <w:rPr>
          <w:szCs w:val="28"/>
          <w:rtl/>
        </w:rPr>
        <w:t xml:space="preserve"> ال ارمية إلى تنويع الاقتصاد، وتوطين الصناعات، وتعزيز المحتوى المحلي، حيث تساهم في تطوير قطاع صناعي حيوي من خلال تحسين ممارساته الإدارية ]</w:t>
      </w:r>
      <w:r>
        <w:rPr>
          <w:rFonts w:ascii="Times New Roman" w:eastAsia="Times New Roman" w:hAnsi="Times New Roman" w:cs="Times New Roman"/>
          <w:szCs w:val="28"/>
        </w:rPr>
        <w:t>27</w:t>
      </w:r>
      <w:r>
        <w:rPr>
          <w:szCs w:val="28"/>
          <w:rtl/>
        </w:rPr>
        <w:t xml:space="preserve">[ . </w:t>
      </w:r>
    </w:p>
    <w:p w14:paraId="678A5B40" w14:textId="77777777" w:rsidR="005850DB" w:rsidRDefault="00000000">
      <w:pPr>
        <w:numPr>
          <w:ilvl w:val="0"/>
          <w:numId w:val="5"/>
        </w:numPr>
        <w:ind w:right="155" w:hanging="363"/>
      </w:pPr>
      <w:r>
        <w:rPr>
          <w:szCs w:val="28"/>
          <w:rtl/>
        </w:rPr>
        <w:t xml:space="preserve">توجيه السياسات: يمكن أن تستفيد الجهات الحكومية والمنظمات المعنية من نتائج الد ارسة في صياغة سياسات ولوائح تدعم تطبيق ممارسات إدارة المخاطر في القطاع الصناعي، مما يعزز من بيئة الأعمال ويحفز الاستثمار]  </w:t>
      </w:r>
      <w:r>
        <w:rPr>
          <w:rFonts w:ascii="Times New Roman" w:eastAsia="Times New Roman" w:hAnsi="Times New Roman" w:cs="Times New Roman"/>
          <w:szCs w:val="28"/>
        </w:rPr>
        <w:t>28</w:t>
      </w:r>
      <w:r>
        <w:rPr>
          <w:szCs w:val="28"/>
          <w:rtl/>
        </w:rPr>
        <w:t xml:space="preserve">[ . </w:t>
      </w:r>
    </w:p>
    <w:p w14:paraId="41DB948B" w14:textId="77777777" w:rsidR="005850DB" w:rsidRDefault="00000000">
      <w:pPr>
        <w:spacing w:after="4" w:line="245" w:lineRule="auto"/>
        <w:ind w:right="454" w:hanging="5"/>
        <w:jc w:val="both"/>
      </w:pPr>
      <w:r>
        <w:rPr>
          <w:szCs w:val="28"/>
          <w:rtl/>
        </w:rPr>
        <w:t xml:space="preserve">بشكل عام، تسعى هذه الد ارسة إلى تقديم مساهمة ملموسة في تعزيز فهم وتطبيق إدارة المخاطر في صناعة المضخات في المملكة العربية السعودية، مما ينعكس إيجاباً على الأداء الاقتصادي والتنموي للمملكة. </w:t>
      </w:r>
    </w:p>
    <w:p w14:paraId="1FDE80B9" w14:textId="77777777" w:rsidR="005850DB" w:rsidRDefault="00000000">
      <w:pPr>
        <w:spacing w:after="10" w:line="227" w:lineRule="auto"/>
        <w:ind w:left="-2" w:right="8234" w:firstLine="46"/>
      </w:pPr>
      <w:r>
        <w:rPr>
          <w:szCs w:val="28"/>
          <w:rtl/>
        </w:rPr>
        <w:t xml:space="preserve"> </w:t>
      </w:r>
      <w:r>
        <w:rPr>
          <w:b/>
          <w:bCs/>
          <w:sz w:val="32"/>
          <w:szCs w:val="32"/>
          <w:rtl/>
        </w:rPr>
        <w:t xml:space="preserve">المارجع:  </w:t>
      </w:r>
    </w:p>
    <w:p w14:paraId="35FD0616" w14:textId="77777777" w:rsidR="005850DB" w:rsidRDefault="00000000">
      <w:pPr>
        <w:bidi w:val="0"/>
        <w:spacing w:after="3" w:line="248" w:lineRule="auto"/>
        <w:ind w:left="569" w:right="-7" w:firstLine="530"/>
        <w:jc w:val="left"/>
      </w:pPr>
      <w:r>
        <w:rPr>
          <w:rFonts w:ascii="Times New Roman" w:eastAsia="Times New Roman" w:hAnsi="Times New Roman" w:cs="Times New Roman"/>
          <w:sz w:val="24"/>
        </w:rPr>
        <w:t xml:space="preserve">[21] Al-Saud, M. (2019). Industrial diversification in Saudi Arabia: Challenges and opportunities. Journal of Economic Development, 44(1), 1-15. [22] Project Management </w:t>
      </w:r>
    </w:p>
    <w:p w14:paraId="46DF3B68"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Institute. (2017). A Guide to the Project Management Body of Knowledge (PMBOK® Guide) </w:t>
      </w:r>
    </w:p>
    <w:p w14:paraId="7CF6CE35" w14:textId="77777777" w:rsidR="005850DB" w:rsidRDefault="00000000">
      <w:pPr>
        <w:bidi w:val="0"/>
        <w:spacing w:after="3" w:line="248" w:lineRule="auto"/>
        <w:ind w:left="459" w:right="-7" w:firstLine="91"/>
        <w:jc w:val="left"/>
      </w:pPr>
      <w:r>
        <w:rPr>
          <w:rFonts w:ascii="Times New Roman" w:eastAsia="Times New Roman" w:hAnsi="Times New Roman" w:cs="Times New Roman"/>
          <w:sz w:val="24"/>
        </w:rPr>
        <w:t xml:space="preserve">(6th ed.). Project Management Institute. [23] Kerzner, H. (2017). Project management: A systems approach to planning, scheduling, and controlling (12th ed.). John Wiley &amp; Sons. </w:t>
      </w:r>
    </w:p>
    <w:p w14:paraId="2351C7C2" w14:textId="77777777" w:rsidR="005850DB" w:rsidRDefault="00000000">
      <w:pPr>
        <w:bidi w:val="0"/>
        <w:spacing w:after="3" w:line="248" w:lineRule="auto"/>
        <w:ind w:left="20" w:right="-7" w:hanging="10"/>
        <w:jc w:val="left"/>
      </w:pPr>
      <w:r>
        <w:rPr>
          <w:rFonts w:ascii="Times New Roman" w:eastAsia="Times New Roman" w:hAnsi="Times New Roman" w:cs="Times New Roman"/>
          <w:sz w:val="24"/>
        </w:rPr>
        <w:t xml:space="preserve">[24] Chapman, R. J. (2011). Simple tools and techniques for enterprise risk management. John </w:t>
      </w:r>
    </w:p>
    <w:p w14:paraId="136924BD" w14:textId="77777777" w:rsidR="005850DB" w:rsidRDefault="00000000">
      <w:pPr>
        <w:bidi w:val="0"/>
        <w:spacing w:after="3" w:line="248" w:lineRule="auto"/>
        <w:ind w:left="12" w:right="-7" w:firstLine="358"/>
        <w:jc w:val="left"/>
      </w:pPr>
      <w:r>
        <w:rPr>
          <w:rFonts w:ascii="Times New Roman" w:eastAsia="Times New Roman" w:hAnsi="Times New Roman" w:cs="Times New Roman"/>
          <w:sz w:val="24"/>
        </w:rPr>
        <w:t xml:space="preserve">Wiley &amp; Sons. [25] Tummala, V. M. R., &amp; Burchett, L. J. (1999). Project risk management processes. Project Management Journal, 30(3), 34-45. [26] Hillson, D. (2009). Managing risks in projects. Gower Publishing, Ltd. [27] Saudi Vision 2030. (n.d.). About Vision 2030. </w:t>
      </w:r>
    </w:p>
    <w:p w14:paraId="43B3102C" w14:textId="77777777" w:rsidR="005850DB" w:rsidRDefault="00000000">
      <w:pPr>
        <w:bidi w:val="0"/>
        <w:spacing w:after="13"/>
        <w:ind w:left="26" w:right="0" w:hanging="10"/>
      </w:pPr>
      <w:r>
        <w:rPr>
          <w:rFonts w:ascii="Times New Roman" w:eastAsia="Times New Roman" w:hAnsi="Times New Roman" w:cs="Times New Roman"/>
          <w:sz w:val="24"/>
        </w:rPr>
        <w:t xml:space="preserve">Retrieved from </w:t>
      </w:r>
      <w:hyperlink r:id="rId68">
        <w:r>
          <w:rPr>
            <w:rFonts w:ascii="Times New Roman" w:eastAsia="Times New Roman" w:hAnsi="Times New Roman" w:cs="Times New Roman"/>
            <w:color w:val="0563C1"/>
            <w:sz w:val="24"/>
            <w:u w:val="single" w:color="0563C1"/>
          </w:rPr>
          <w:t>https://www.vision2030.gov.sa/</w:t>
        </w:r>
      </w:hyperlink>
      <w:hyperlink r:id="rId69">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[28] Al-Ghamdi, A. S. (2018). Risk management practices in Saudi Arabian industrial projects: A review. Journal of Industrial </w:t>
      </w:r>
      <w:r>
        <w:rPr>
          <w:rFonts w:ascii="Times New Roman" w:eastAsia="Times New Roman" w:hAnsi="Times New Roman" w:cs="Times New Roman"/>
        </w:rPr>
        <w:t xml:space="preserve"> </w:t>
      </w:r>
      <w:r>
        <w:rPr>
          <w:rFonts w:ascii="Times New Roman" w:eastAsia="Times New Roman" w:hAnsi="Times New Roman" w:cs="Times New Roman"/>
          <w:sz w:val="24"/>
        </w:rPr>
        <w:t>Engineering and Management, 11(2), 234-.542</w:t>
      </w:r>
    </w:p>
    <w:p w14:paraId="47803396"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C47E5E6"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D4B6B52" w14:textId="77777777" w:rsidR="005850DB" w:rsidRDefault="00000000">
      <w:pPr>
        <w:bidi w:val="0"/>
        <w:spacing w:after="37" w:line="259" w:lineRule="auto"/>
        <w:ind w:left="0" w:right="69" w:firstLine="0"/>
      </w:pPr>
      <w:r>
        <w:rPr>
          <w:rFonts w:ascii="Times New Roman" w:eastAsia="Times New Roman" w:hAnsi="Times New Roman" w:cs="Times New Roman"/>
        </w:rPr>
        <w:t xml:space="preserve"> </w:t>
      </w:r>
    </w:p>
    <w:p w14:paraId="2160D633" w14:textId="77777777" w:rsidR="005850DB" w:rsidRDefault="00000000">
      <w:pPr>
        <w:bidi w:val="0"/>
        <w:spacing w:after="44" w:line="259" w:lineRule="auto"/>
        <w:ind w:left="0" w:right="58" w:firstLine="0"/>
      </w:pPr>
      <w:r>
        <w:lastRenderedPageBreak/>
        <w:t xml:space="preserve"> </w:t>
      </w:r>
    </w:p>
    <w:p w14:paraId="1B0618DA" w14:textId="77777777" w:rsidR="005850DB" w:rsidRDefault="00000000">
      <w:pPr>
        <w:pStyle w:val="Heading2"/>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7</w:t>
      </w:r>
      <w:r>
        <w:rPr>
          <w:bCs/>
          <w:szCs w:val="32"/>
          <w:rtl/>
        </w:rPr>
        <w:t xml:space="preserve"> منهجية الدارسة </w:t>
      </w:r>
      <w:r>
        <w:rPr>
          <w:rFonts w:ascii="Times New Roman" w:eastAsia="Times New Roman" w:hAnsi="Times New Roman" w:cs="Times New Roman"/>
          <w:bCs/>
          <w:szCs w:val="32"/>
          <w:rtl/>
        </w:rPr>
        <w:t xml:space="preserve"> </w:t>
      </w:r>
    </w:p>
    <w:p w14:paraId="53F4311F" w14:textId="77777777" w:rsidR="005850DB" w:rsidRDefault="00000000">
      <w:pPr>
        <w:ind w:right="100"/>
      </w:pPr>
      <w:r>
        <w:rPr>
          <w:szCs w:val="28"/>
          <w:rtl/>
        </w:rPr>
        <w:t xml:space="preserve">لتحقيق أهداف هذه الد ارسة والإجابة على أسئلتها، سيتم اعتماد المنهج المختلط) </w:t>
      </w:r>
      <w:r>
        <w:rPr>
          <w:rFonts w:ascii="Times New Roman" w:eastAsia="Times New Roman" w:hAnsi="Times New Roman" w:cs="Times New Roman"/>
          <w:sz w:val="24"/>
        </w:rPr>
        <w:t>Mixed Method Approach</w:t>
      </w:r>
      <w:r>
        <w:rPr>
          <w:szCs w:val="28"/>
          <w:rtl/>
        </w:rPr>
        <w:t xml:space="preserve">( الذي يجمع بين الأساليب الكمية والنوعية. يتيح هذا المنهج فهماً أعمق وأكثر شمولاً للظاهرة المدروسة من خلال دمج نقاط القوة لكل من المنهجين]  </w:t>
      </w:r>
      <w:r>
        <w:rPr>
          <w:rFonts w:ascii="Times New Roman" w:eastAsia="Times New Roman" w:hAnsi="Times New Roman" w:cs="Times New Roman"/>
          <w:szCs w:val="28"/>
        </w:rPr>
        <w:t>29</w:t>
      </w:r>
      <w:r>
        <w:rPr>
          <w:szCs w:val="28"/>
          <w:rtl/>
        </w:rPr>
        <w:t>[ .</w:t>
      </w:r>
      <w:r>
        <w:rPr>
          <w:rFonts w:ascii="Times New Roman" w:eastAsia="Times New Roman" w:hAnsi="Times New Roman" w:cs="Times New Roman"/>
          <w:szCs w:val="28"/>
          <w:rtl/>
        </w:rPr>
        <w:t xml:space="preserve"> </w:t>
      </w:r>
    </w:p>
    <w:p w14:paraId="5A0D4881" w14:textId="77777777" w:rsidR="005850DB" w:rsidRDefault="00000000">
      <w:pPr>
        <w:numPr>
          <w:ilvl w:val="0"/>
          <w:numId w:val="6"/>
        </w:numPr>
        <w:ind w:right="276" w:hanging="361"/>
      </w:pPr>
      <w:r>
        <w:rPr>
          <w:b/>
          <w:bCs/>
          <w:szCs w:val="28"/>
          <w:rtl/>
        </w:rPr>
        <w:t>المنهج الكمي:</w:t>
      </w:r>
      <w:r>
        <w:rPr>
          <w:szCs w:val="28"/>
          <w:rtl/>
        </w:rPr>
        <w:t xml:space="preserve"> سيتم استخدام المنهج الكمي لجمع البيانات من عينة كبيرة من المديرين والمهندسين والمختصين في شركات صناعة المضخات في المملكة العربية السعودية. ستكون </w:t>
      </w:r>
    </w:p>
    <w:p w14:paraId="4AA35953" w14:textId="77777777" w:rsidR="005850DB" w:rsidRDefault="00000000">
      <w:pPr>
        <w:ind w:left="645" w:right="478"/>
      </w:pPr>
      <w:r>
        <w:rPr>
          <w:szCs w:val="28"/>
          <w:rtl/>
        </w:rPr>
        <w:t xml:space="preserve">الأداة الرئيسية لجمع البيانات هي الاستبانة) </w:t>
      </w:r>
      <w:r>
        <w:rPr>
          <w:rFonts w:ascii="Times New Roman" w:eastAsia="Times New Roman" w:hAnsi="Times New Roman" w:cs="Times New Roman"/>
          <w:sz w:val="24"/>
        </w:rPr>
        <w:t>Questionnaire</w:t>
      </w:r>
      <w:r>
        <w:rPr>
          <w:szCs w:val="28"/>
          <w:rtl/>
        </w:rPr>
        <w:t xml:space="preserve">(، والتي ستتضمن أسئلة مغلقة ومفتوحة لقياس متغي ارت الد ارسة مثل ممارسات إدارة المخاطر ونجاح المشاريع. سيتم تحليل البيانات الكمية باستخدام ب ارمج الإحصاء المتخصصة )مثل </w:t>
      </w:r>
      <w:r>
        <w:rPr>
          <w:rFonts w:ascii="Times New Roman" w:eastAsia="Times New Roman" w:hAnsi="Times New Roman" w:cs="Times New Roman"/>
          <w:sz w:val="24"/>
        </w:rPr>
        <w:t>SPSS</w:t>
      </w:r>
      <w:r>
        <w:rPr>
          <w:szCs w:val="28"/>
          <w:rtl/>
        </w:rPr>
        <w:t xml:space="preserve"> أو </w:t>
      </w:r>
      <w:r>
        <w:rPr>
          <w:rFonts w:ascii="Times New Roman" w:eastAsia="Times New Roman" w:hAnsi="Times New Roman" w:cs="Times New Roman"/>
          <w:sz w:val="24"/>
        </w:rPr>
        <w:t>R</w:t>
      </w:r>
      <w:r>
        <w:rPr>
          <w:szCs w:val="28"/>
          <w:rtl/>
        </w:rPr>
        <w:t xml:space="preserve">( لتحديد العلاقات والارتباطات بين المتغي ارت، واختبار الفرضيات المطروحة] </w:t>
      </w:r>
      <w:r>
        <w:rPr>
          <w:rFonts w:ascii="Times New Roman" w:eastAsia="Times New Roman" w:hAnsi="Times New Roman" w:cs="Times New Roman"/>
          <w:szCs w:val="28"/>
        </w:rPr>
        <w:t>30</w:t>
      </w:r>
      <w:r>
        <w:rPr>
          <w:szCs w:val="28"/>
          <w:rtl/>
        </w:rPr>
        <w:t>[ .</w:t>
      </w:r>
      <w:r>
        <w:rPr>
          <w:rFonts w:ascii="Times New Roman" w:eastAsia="Times New Roman" w:hAnsi="Times New Roman" w:cs="Times New Roman"/>
          <w:szCs w:val="28"/>
          <w:rtl/>
        </w:rPr>
        <w:t xml:space="preserve"> </w:t>
      </w:r>
    </w:p>
    <w:p w14:paraId="77A6A488" w14:textId="77777777" w:rsidR="005850DB" w:rsidRDefault="00000000">
      <w:pPr>
        <w:numPr>
          <w:ilvl w:val="0"/>
          <w:numId w:val="6"/>
        </w:numPr>
        <w:ind w:right="276" w:hanging="361"/>
      </w:pPr>
      <w:r>
        <w:rPr>
          <w:b/>
          <w:bCs/>
          <w:szCs w:val="28"/>
          <w:rtl/>
        </w:rPr>
        <w:t>المنهج النوعي:</w:t>
      </w:r>
      <w:r>
        <w:rPr>
          <w:szCs w:val="28"/>
          <w:rtl/>
        </w:rPr>
        <w:t xml:space="preserve"> سيتم استكمال البيانات الكمية ببيانات نوعية يتم جمعها من خلال إج ارء </w:t>
      </w:r>
    </w:p>
    <w:p w14:paraId="4F02FE60" w14:textId="77777777" w:rsidR="005850DB" w:rsidRDefault="00000000">
      <w:pPr>
        <w:ind w:left="451" w:right="14"/>
      </w:pPr>
      <w:r>
        <w:rPr>
          <w:szCs w:val="28"/>
          <w:rtl/>
        </w:rPr>
        <w:t xml:space="preserve">مقابلات شبه منظمة) </w:t>
      </w:r>
      <w:r>
        <w:rPr>
          <w:rFonts w:ascii="Times New Roman" w:eastAsia="Times New Roman" w:hAnsi="Times New Roman" w:cs="Times New Roman"/>
          <w:sz w:val="24"/>
        </w:rPr>
        <w:t>Semi</w:t>
      </w:r>
      <w:r>
        <w:rPr>
          <w:rFonts w:ascii="Times New Roman" w:eastAsia="Times New Roman" w:hAnsi="Times New Roman" w:cs="Times New Roman"/>
          <w:sz w:val="37"/>
          <w:vertAlign w:val="subscript"/>
        </w:rPr>
        <w:t>-structured Interviews</w:t>
      </w:r>
      <w:r>
        <w:rPr>
          <w:szCs w:val="28"/>
          <w:rtl/>
        </w:rPr>
        <w:t xml:space="preserve">( مع عدد من الخب ارء والمتخصصين في مجال إدارة المخاطر وصناعة المضخات في المملكة العربية السعودية. تهدف هذه المقابلات إلى الحصول على رؤى متعمقة، وتفسير النتائج الكمية، واستكشاف الجوانب التي قد لا تغطيها </w:t>
      </w:r>
    </w:p>
    <w:p w14:paraId="40E58436" w14:textId="77777777" w:rsidR="005850DB" w:rsidRDefault="00000000">
      <w:pPr>
        <w:ind w:left="646" w:right="344"/>
      </w:pPr>
      <w:r>
        <w:rPr>
          <w:szCs w:val="28"/>
          <w:rtl/>
        </w:rPr>
        <w:t>الاستبانة. سيتم تحليل البيانات النوعية باستخدام تحليل المحتوى )</w:t>
      </w:r>
      <w:r>
        <w:rPr>
          <w:rFonts w:ascii="Times New Roman" w:eastAsia="Times New Roman" w:hAnsi="Times New Roman" w:cs="Times New Roman"/>
          <w:sz w:val="24"/>
        </w:rPr>
        <w:t>Content Analysis</w:t>
      </w:r>
      <w:r>
        <w:rPr>
          <w:szCs w:val="28"/>
          <w:rtl/>
        </w:rPr>
        <w:t xml:space="preserve">( لتحديد الموضوعات والأنماط الرئيسية] </w:t>
      </w:r>
      <w:r>
        <w:rPr>
          <w:rFonts w:ascii="Times New Roman" w:eastAsia="Times New Roman" w:hAnsi="Times New Roman" w:cs="Times New Roman"/>
          <w:szCs w:val="28"/>
        </w:rPr>
        <w:t>31</w:t>
      </w:r>
      <w:r>
        <w:rPr>
          <w:szCs w:val="28"/>
          <w:rtl/>
        </w:rPr>
        <w:t>[ .</w:t>
      </w:r>
      <w:r>
        <w:rPr>
          <w:rFonts w:ascii="Times New Roman" w:eastAsia="Times New Roman" w:hAnsi="Times New Roman" w:cs="Times New Roman"/>
          <w:szCs w:val="28"/>
          <w:rtl/>
        </w:rPr>
        <w:t xml:space="preserve"> </w:t>
      </w:r>
    </w:p>
    <w:p w14:paraId="400DF591" w14:textId="77777777" w:rsidR="005850DB" w:rsidRDefault="00000000">
      <w:pPr>
        <w:numPr>
          <w:ilvl w:val="0"/>
          <w:numId w:val="6"/>
        </w:numPr>
        <w:ind w:right="276" w:hanging="361"/>
      </w:pPr>
      <w:r>
        <w:rPr>
          <w:b/>
          <w:bCs/>
          <w:szCs w:val="28"/>
          <w:rtl/>
        </w:rPr>
        <w:t>مجتمع وعينة الدارسة:</w:t>
      </w:r>
      <w:r>
        <w:rPr>
          <w:szCs w:val="28"/>
          <w:rtl/>
        </w:rPr>
        <w:t xml:space="preserve"> سيتكون مجتمع الد ارسة من جميع الشركات العاملة في صناعة المضخات في المملكة العربية السعودية. سيتم اختيار عينة ملائمة من هذا المجتمع لتمثيل القطاع بشكل فعال. سيتم تحديد حجم العينة وطريقة اختيارها بدقة في الفصل ال اربع من هذه الرسالة.</w:t>
      </w:r>
      <w:r>
        <w:rPr>
          <w:rFonts w:ascii="Times New Roman" w:eastAsia="Times New Roman" w:hAnsi="Times New Roman" w:cs="Times New Roman"/>
          <w:szCs w:val="28"/>
          <w:rtl/>
        </w:rPr>
        <w:t xml:space="preserve"> </w:t>
      </w:r>
    </w:p>
    <w:p w14:paraId="72928F5E" w14:textId="77777777" w:rsidR="005850DB" w:rsidRDefault="00000000">
      <w:pPr>
        <w:numPr>
          <w:ilvl w:val="0"/>
          <w:numId w:val="6"/>
        </w:numPr>
        <w:ind w:right="276" w:hanging="361"/>
      </w:pPr>
      <w:r>
        <w:rPr>
          <w:b/>
          <w:bCs/>
          <w:szCs w:val="28"/>
          <w:rtl/>
        </w:rPr>
        <w:t>أدوات جمع البيانات:</w:t>
      </w:r>
      <w:r>
        <w:rPr>
          <w:szCs w:val="28"/>
          <w:rtl/>
        </w:rPr>
        <w:t xml:space="preserve"> ستشمل أدوات جمع البيانات الرئيسية الاستبانة والمقابلات. سيتم تصميم الاستبانة بناءً على الأدبيات السابقة والد ارسات المشابهة، وسيتم التحقق من صدقها وثباتها قبل التطبيق النهائي. أما المقابلات، فسيتم إعداد دليل للمقابلة لضمان تغطية جميع الجوانب المهمة.</w:t>
      </w:r>
      <w:r>
        <w:rPr>
          <w:rFonts w:ascii="Times New Roman" w:eastAsia="Times New Roman" w:hAnsi="Times New Roman" w:cs="Times New Roman"/>
          <w:szCs w:val="28"/>
          <w:rtl/>
        </w:rPr>
        <w:t xml:space="preserve"> </w:t>
      </w:r>
    </w:p>
    <w:p w14:paraId="7B93053A" w14:textId="77777777" w:rsidR="005850DB" w:rsidRDefault="00000000">
      <w:pPr>
        <w:numPr>
          <w:ilvl w:val="0"/>
          <w:numId w:val="6"/>
        </w:numPr>
        <w:ind w:right="276" w:hanging="361"/>
      </w:pPr>
      <w:r>
        <w:rPr>
          <w:b/>
          <w:bCs/>
          <w:szCs w:val="28"/>
          <w:rtl/>
        </w:rPr>
        <w:t>تحليل البيانات:</w:t>
      </w:r>
      <w:r>
        <w:rPr>
          <w:szCs w:val="28"/>
          <w:rtl/>
        </w:rPr>
        <w:t xml:space="preserve"> سيتم استخدام مجموعة متنوعة من الأساليب الإحصائية لتحليل البيانات الكمية، مثل الإحصاء الوصفي )المتوسطات، الانح ارفات المعيارية، التك ارارت(، والإحصاء الاستدلالي )تحليل الارتباط، تحليل الانحدار المتعدد( لاختبار الفرضيات. أما البيانات النوعية، فسيتم تحليلها بشكل منهجي لتحديد الأنماط والموضوعات المتكررة. </w:t>
      </w:r>
    </w:p>
    <w:p w14:paraId="523C7A7B" w14:textId="77777777" w:rsidR="005850DB" w:rsidRDefault="00000000">
      <w:pPr>
        <w:numPr>
          <w:ilvl w:val="0"/>
          <w:numId w:val="6"/>
        </w:numPr>
        <w:ind w:right="276" w:hanging="361"/>
      </w:pPr>
      <w:r>
        <w:rPr>
          <w:szCs w:val="28"/>
          <w:rtl/>
        </w:rPr>
        <w:lastRenderedPageBreak/>
        <w:t xml:space="preserve">سيتم تفصيل منهجية الد ارسة، بما في ذلك تصميم البحث، ومجتمع وعينة الد ارسة، وأدوات جمع البيانات، وأساليب التحليل، والاعتبا ارت الأخلاقية، بشكل أوسع في الفصل ال اربع من هذه الرسالة. </w:t>
      </w:r>
    </w:p>
    <w:p w14:paraId="753396A0" w14:textId="77777777" w:rsidR="005850DB" w:rsidRDefault="00000000">
      <w:pPr>
        <w:spacing w:after="10" w:line="227" w:lineRule="auto"/>
        <w:ind w:left="-2" w:right="8234" w:firstLine="46"/>
      </w:pPr>
      <w:r>
        <w:rPr>
          <w:szCs w:val="28"/>
          <w:rtl/>
        </w:rPr>
        <w:t xml:space="preserve"> </w:t>
      </w:r>
      <w:r>
        <w:rPr>
          <w:b/>
          <w:bCs/>
          <w:sz w:val="32"/>
          <w:szCs w:val="32"/>
          <w:rtl/>
        </w:rPr>
        <w:t xml:space="preserve">المارجع:  </w:t>
      </w:r>
    </w:p>
    <w:p w14:paraId="57265F13" w14:textId="77777777" w:rsidR="005850DB" w:rsidRDefault="00000000">
      <w:pPr>
        <w:bidi w:val="0"/>
        <w:spacing w:after="3" w:line="248" w:lineRule="auto"/>
        <w:ind w:left="192" w:right="-7" w:hanging="113"/>
        <w:jc w:val="left"/>
      </w:pPr>
      <w:r>
        <w:rPr>
          <w:rFonts w:ascii="Times New Roman" w:eastAsia="Times New Roman" w:hAnsi="Times New Roman" w:cs="Times New Roman"/>
          <w:sz w:val="24"/>
        </w:rPr>
        <w:t xml:space="preserve">[29] Creswell, J. W., &amp; Creswell, J. D. (2022). Research design: Qualitative, quantitative, and mixed methods approaches (6th ed.). SAGE Publications. [30] Field, A. (2018). Discovering statistics using IBM SPSS Statistics (5th ed.). SAGE Publications. [31] Braun, V., &amp; Clarke, </w:t>
      </w:r>
    </w:p>
    <w:p w14:paraId="761A4BEB" w14:textId="77777777" w:rsidR="005850DB" w:rsidRDefault="00000000">
      <w:pPr>
        <w:bidi w:val="0"/>
        <w:spacing w:after="13"/>
        <w:ind w:left="26" w:right="0" w:hanging="10"/>
      </w:pPr>
      <w:r>
        <w:rPr>
          <w:rFonts w:ascii="Times New Roman" w:eastAsia="Times New Roman" w:hAnsi="Times New Roman" w:cs="Times New Roman"/>
          <w:sz w:val="24"/>
        </w:rPr>
        <w:t xml:space="preserve">V. (2006). Using thematic analysis in psychology. Qualitative Research in Psychology, 3(2), </w:t>
      </w:r>
      <w:r>
        <w:rPr>
          <w:rFonts w:ascii="Times New Roman" w:eastAsia="Times New Roman" w:hAnsi="Times New Roman" w:cs="Times New Roman"/>
        </w:rPr>
        <w:t xml:space="preserve"> </w:t>
      </w:r>
      <w:r>
        <w:rPr>
          <w:rFonts w:ascii="Times New Roman" w:eastAsia="Times New Roman" w:hAnsi="Times New Roman" w:cs="Times New Roman"/>
          <w:sz w:val="24"/>
        </w:rPr>
        <w:t>77-101.</w:t>
      </w:r>
    </w:p>
    <w:p w14:paraId="69DF656A" w14:textId="77777777" w:rsidR="005850DB" w:rsidRDefault="00000000">
      <w:pPr>
        <w:bidi w:val="0"/>
        <w:spacing w:after="78" w:line="259" w:lineRule="auto"/>
        <w:ind w:left="0" w:right="69" w:firstLine="0"/>
      </w:pPr>
      <w:r>
        <w:rPr>
          <w:rFonts w:ascii="Times New Roman" w:eastAsia="Times New Roman" w:hAnsi="Times New Roman" w:cs="Times New Roman"/>
        </w:rPr>
        <w:t xml:space="preserve"> </w:t>
      </w:r>
    </w:p>
    <w:p w14:paraId="3A4274D7" w14:textId="77777777" w:rsidR="005850DB" w:rsidRDefault="00000000">
      <w:pPr>
        <w:spacing w:after="0" w:line="259" w:lineRule="auto"/>
        <w:ind w:left="8" w:right="0" w:hanging="10"/>
        <w:jc w:val="left"/>
      </w:pPr>
      <w:r>
        <w:rPr>
          <w:rFonts w:ascii="Times New Roman" w:eastAsia="Times New Roman" w:hAnsi="Times New Roman" w:cs="Times New Roman"/>
          <w:b/>
          <w:bCs/>
          <w:szCs w:val="28"/>
        </w:rPr>
        <w:t>1</w:t>
      </w:r>
      <w:r>
        <w:rPr>
          <w:rFonts w:ascii="Times New Roman" w:eastAsia="Times New Roman" w:hAnsi="Times New Roman" w:cs="Times New Roman"/>
          <w:b/>
          <w:bCs/>
          <w:szCs w:val="28"/>
          <w:rtl/>
        </w:rPr>
        <w:t>.</w:t>
      </w:r>
      <w:r>
        <w:rPr>
          <w:rFonts w:ascii="Times New Roman" w:eastAsia="Times New Roman" w:hAnsi="Times New Roman" w:cs="Times New Roman"/>
          <w:b/>
          <w:bCs/>
          <w:szCs w:val="28"/>
        </w:rPr>
        <w:t>8</w:t>
      </w:r>
      <w:r>
        <w:rPr>
          <w:b/>
          <w:bCs/>
          <w:szCs w:val="28"/>
          <w:rtl/>
        </w:rPr>
        <w:t xml:space="preserve"> حدود الدارسة</w:t>
      </w:r>
      <w:r>
        <w:rPr>
          <w:rFonts w:ascii="Times New Roman" w:eastAsia="Times New Roman" w:hAnsi="Times New Roman" w:cs="Times New Roman"/>
          <w:b/>
          <w:bCs/>
          <w:szCs w:val="28"/>
          <w:rtl/>
        </w:rPr>
        <w:t xml:space="preserve"> </w:t>
      </w:r>
    </w:p>
    <w:p w14:paraId="22893413" w14:textId="77777777" w:rsidR="005850DB" w:rsidRDefault="00000000">
      <w:pPr>
        <w:ind w:right="100"/>
      </w:pPr>
      <w:r>
        <w:rPr>
          <w:szCs w:val="28"/>
          <w:rtl/>
        </w:rPr>
        <w:t xml:space="preserve">تخضع هذه الد ارسة، كغيرها من الد ارسات البحثية، لمجموعة من الحدود التي قد تؤثر على نطاقها وقابلية تعميم نتائجها. من المهم الإشارة إلى هذه الحدود بشفافية لتقديم صورة واضحة عن سياق البحث:  </w:t>
      </w:r>
    </w:p>
    <w:p w14:paraId="049F79D3" w14:textId="77777777" w:rsidR="005850DB" w:rsidRDefault="00000000">
      <w:pPr>
        <w:numPr>
          <w:ilvl w:val="0"/>
          <w:numId w:val="7"/>
        </w:numPr>
        <w:ind w:left="730" w:right="188" w:hanging="360"/>
      </w:pPr>
      <w:r>
        <w:rPr>
          <w:b/>
          <w:bCs/>
          <w:szCs w:val="28"/>
          <w:rtl/>
        </w:rPr>
        <w:t>الحدود المكانية:</w:t>
      </w:r>
      <w:r>
        <w:rPr>
          <w:szCs w:val="28"/>
          <w:rtl/>
        </w:rPr>
        <w:t xml:space="preserve"> تقتصر هذه الد ارسة على شركات صناعة المضخات العاملة في مناطق محددة داخل المملكة العربية السعودية. وبالتالي، قد لا تكون النتائج قابلة للتعميم بشكل كامل على جميع شركات صناعة المضخات في المملكة أو في دول أخرى، نظ اًر لاختلاف البيئات التشغيلية والثقافية والتنظي مية] </w:t>
      </w:r>
      <w:r>
        <w:rPr>
          <w:rFonts w:ascii="Times New Roman" w:eastAsia="Times New Roman" w:hAnsi="Times New Roman" w:cs="Times New Roman"/>
          <w:szCs w:val="28"/>
        </w:rPr>
        <w:t>32</w:t>
      </w:r>
      <w:r>
        <w:rPr>
          <w:szCs w:val="28"/>
          <w:rtl/>
        </w:rPr>
        <w:t xml:space="preserve">[ . </w:t>
      </w:r>
    </w:p>
    <w:p w14:paraId="75113A9D" w14:textId="77777777" w:rsidR="005850DB" w:rsidRDefault="00000000">
      <w:pPr>
        <w:numPr>
          <w:ilvl w:val="0"/>
          <w:numId w:val="7"/>
        </w:numPr>
        <w:ind w:left="730" w:right="188" w:hanging="360"/>
      </w:pPr>
      <w:r>
        <w:rPr>
          <w:b/>
          <w:bCs/>
          <w:szCs w:val="28"/>
          <w:rtl/>
        </w:rPr>
        <w:t>الحدود الزمانية:</w:t>
      </w:r>
      <w:r>
        <w:rPr>
          <w:szCs w:val="28"/>
          <w:rtl/>
        </w:rPr>
        <w:t xml:space="preserve"> تم جمع البيانات لهذه الد ارسة خلال فترة زمنية محددة )العام الأكاديمي </w:t>
      </w:r>
      <w:r>
        <w:rPr>
          <w:rFonts w:ascii="Times New Roman" w:eastAsia="Times New Roman" w:hAnsi="Times New Roman" w:cs="Times New Roman"/>
          <w:szCs w:val="28"/>
        </w:rPr>
        <w:t>1447</w:t>
      </w:r>
      <w:r>
        <w:rPr>
          <w:szCs w:val="28"/>
          <w:rtl/>
        </w:rPr>
        <w:t xml:space="preserve"> هـ / </w:t>
      </w:r>
      <w:r>
        <w:rPr>
          <w:rFonts w:ascii="Times New Roman" w:eastAsia="Times New Roman" w:hAnsi="Times New Roman" w:cs="Times New Roman"/>
          <w:szCs w:val="28"/>
        </w:rPr>
        <w:t>2025</w:t>
      </w:r>
      <w:r>
        <w:rPr>
          <w:szCs w:val="28"/>
          <w:rtl/>
        </w:rPr>
        <w:t xml:space="preserve"> م(. قد تتغير ممارسات إدارة المخاطر وتحدياتها بمرور الوقت نتيجة للتطوارت </w:t>
      </w:r>
    </w:p>
    <w:p w14:paraId="31028442" w14:textId="77777777" w:rsidR="005850DB" w:rsidRDefault="00000000">
      <w:pPr>
        <w:ind w:left="301" w:right="277"/>
      </w:pPr>
      <w:r>
        <w:rPr>
          <w:szCs w:val="28"/>
          <w:rtl/>
        </w:rPr>
        <w:t xml:space="preserve">التكنولوجية، والتغي ارت الاقتصادية، والتحولات التنظيمية. لذا، فإن النتائج تعكس الوضع ال ارهن خلال فترة الد ارسة] </w:t>
      </w:r>
      <w:r>
        <w:rPr>
          <w:rFonts w:ascii="Times New Roman" w:eastAsia="Times New Roman" w:hAnsi="Times New Roman" w:cs="Times New Roman"/>
          <w:szCs w:val="28"/>
        </w:rPr>
        <w:t>33</w:t>
      </w:r>
      <w:r>
        <w:rPr>
          <w:szCs w:val="28"/>
          <w:rtl/>
        </w:rPr>
        <w:t xml:space="preserve">[. </w:t>
      </w:r>
    </w:p>
    <w:p w14:paraId="4898AF1E" w14:textId="77777777" w:rsidR="005850DB" w:rsidRDefault="00000000">
      <w:pPr>
        <w:numPr>
          <w:ilvl w:val="0"/>
          <w:numId w:val="7"/>
        </w:numPr>
        <w:ind w:left="730" w:right="188" w:hanging="360"/>
      </w:pPr>
      <w:r>
        <w:rPr>
          <w:b/>
          <w:bCs/>
          <w:szCs w:val="28"/>
          <w:rtl/>
        </w:rPr>
        <w:t>حدود العينة:</w:t>
      </w:r>
      <w:r>
        <w:rPr>
          <w:szCs w:val="28"/>
          <w:rtl/>
        </w:rPr>
        <w:t xml:space="preserve"> على الرغم من الحرص على اختيار عينة ممثلة، إلا أن حجم العينة وطريقة اختيارها قد يؤث ارن على قابلية تعميم النتائج. قد لا تمثل العينة المختارة جميع أنواع شركات صناعة المضخات )مثل الشركات الصغيرة والمتوسطة مقابل الشركات الكبيرة( أو جميع المستويات الإدارية بشكل متساوٍ ]</w:t>
      </w:r>
      <w:r>
        <w:rPr>
          <w:rFonts w:ascii="Times New Roman" w:eastAsia="Times New Roman" w:hAnsi="Times New Roman" w:cs="Times New Roman"/>
          <w:szCs w:val="28"/>
        </w:rPr>
        <w:t>34</w:t>
      </w:r>
      <w:r>
        <w:rPr>
          <w:szCs w:val="28"/>
          <w:rtl/>
        </w:rPr>
        <w:t xml:space="preserve">[ . </w:t>
      </w:r>
    </w:p>
    <w:p w14:paraId="2482F541" w14:textId="77777777" w:rsidR="005850DB" w:rsidRDefault="00000000">
      <w:pPr>
        <w:numPr>
          <w:ilvl w:val="0"/>
          <w:numId w:val="7"/>
        </w:numPr>
        <w:ind w:left="730" w:right="188" w:hanging="360"/>
      </w:pPr>
      <w:r>
        <w:rPr>
          <w:b/>
          <w:bCs/>
          <w:szCs w:val="28"/>
          <w:rtl/>
        </w:rPr>
        <w:t>حدود الأدوات:</w:t>
      </w:r>
      <w:r>
        <w:rPr>
          <w:szCs w:val="28"/>
          <w:rtl/>
        </w:rPr>
        <w:t xml:space="preserve"> تعتمد الد ارسة على الاستبانة والمقابلات كأدوات رئيسية لجمع البيانات. قد تتأثر الاستبانة بتحي ازت الاستجابة) </w:t>
      </w:r>
      <w:r>
        <w:rPr>
          <w:rFonts w:ascii="Times New Roman" w:eastAsia="Times New Roman" w:hAnsi="Times New Roman" w:cs="Times New Roman"/>
          <w:sz w:val="24"/>
        </w:rPr>
        <w:t>Response Bias</w:t>
      </w:r>
      <w:r>
        <w:rPr>
          <w:szCs w:val="28"/>
          <w:rtl/>
        </w:rPr>
        <w:t xml:space="preserve">( مثل الرغبة الاجتماعية) </w:t>
      </w:r>
      <w:r>
        <w:rPr>
          <w:rFonts w:ascii="Times New Roman" w:eastAsia="Times New Roman" w:hAnsi="Times New Roman" w:cs="Times New Roman"/>
          <w:sz w:val="24"/>
        </w:rPr>
        <w:t>Social Desirability Bias</w:t>
      </w:r>
      <w:r>
        <w:rPr>
          <w:szCs w:val="28"/>
          <w:rtl/>
        </w:rPr>
        <w:t xml:space="preserve">(، حيث قد يميل المشاركون إلى تقديم إجابات تعكس ما يعتقدون أنه </w:t>
      </w:r>
      <w:r>
        <w:rPr>
          <w:szCs w:val="28"/>
          <w:rtl/>
        </w:rPr>
        <w:lastRenderedPageBreak/>
        <w:t xml:space="preserve">مرغوب اجتماعياً بدلاً من الواقع الفعلي. كما أن المقابلات، على الرغم من عمقها، قد تتأثر بتحي ازت الباحث أو قدرة المشاركين على التعبير عن أفكارهم بوضوح]  </w:t>
      </w:r>
      <w:r>
        <w:rPr>
          <w:rFonts w:ascii="Times New Roman" w:eastAsia="Times New Roman" w:hAnsi="Times New Roman" w:cs="Times New Roman"/>
          <w:szCs w:val="28"/>
        </w:rPr>
        <w:t>35</w:t>
      </w:r>
      <w:r>
        <w:rPr>
          <w:szCs w:val="28"/>
          <w:rtl/>
        </w:rPr>
        <w:t xml:space="preserve">[ . </w:t>
      </w:r>
    </w:p>
    <w:p w14:paraId="4F0792E8" w14:textId="77777777" w:rsidR="005850DB" w:rsidRDefault="00000000">
      <w:pPr>
        <w:numPr>
          <w:ilvl w:val="0"/>
          <w:numId w:val="7"/>
        </w:numPr>
        <w:spacing w:after="45"/>
        <w:ind w:left="730" w:right="188" w:hanging="360"/>
      </w:pPr>
      <w:r>
        <w:rPr>
          <w:b/>
          <w:bCs/>
          <w:szCs w:val="28"/>
          <w:rtl/>
        </w:rPr>
        <w:t>حدود البيانات:</w:t>
      </w:r>
      <w:r>
        <w:rPr>
          <w:szCs w:val="28"/>
          <w:rtl/>
        </w:rPr>
        <w:t xml:space="preserve"> تعتمد الد ارسة على البيانات المبلغ عنها ذاتياً )</w:t>
      </w:r>
      <w:r>
        <w:rPr>
          <w:rFonts w:ascii="Times New Roman" w:eastAsia="Times New Roman" w:hAnsi="Times New Roman" w:cs="Times New Roman"/>
          <w:sz w:val="24"/>
        </w:rPr>
        <w:t>Self</w:t>
      </w:r>
      <w:r>
        <w:rPr>
          <w:rFonts w:ascii="Times New Roman" w:eastAsia="Times New Roman" w:hAnsi="Times New Roman" w:cs="Times New Roman"/>
          <w:sz w:val="37"/>
          <w:vertAlign w:val="subscript"/>
        </w:rPr>
        <w:t>-reported Data</w:t>
      </w:r>
      <w:r>
        <w:rPr>
          <w:szCs w:val="28"/>
          <w:rtl/>
        </w:rPr>
        <w:t xml:space="preserve">( من المشاركين. قد لا تعكس هذه البيانات بالضرورة الأداء الفعلي أو الممارسات الحقيقية للشركات بشكل كامل، وقد تكون هناك فجوة بين ما يتم الإبلاغ عنه وما يتم تطبيقه على أرض الواقع </w:t>
      </w:r>
    </w:p>
    <w:p w14:paraId="709BB561"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36</w:t>
      </w:r>
      <w:r>
        <w:t>[</w:t>
      </w:r>
    </w:p>
    <w:p w14:paraId="208A480C" w14:textId="77777777" w:rsidR="005850DB" w:rsidRDefault="00000000">
      <w:pPr>
        <w:numPr>
          <w:ilvl w:val="0"/>
          <w:numId w:val="7"/>
        </w:numPr>
        <w:ind w:left="730" w:right="188" w:hanging="360"/>
      </w:pPr>
      <w:r>
        <w:rPr>
          <w:b/>
          <w:bCs/>
          <w:szCs w:val="28"/>
          <w:rtl/>
        </w:rPr>
        <w:t>حدود الموضوع:</w:t>
      </w:r>
      <w:r>
        <w:rPr>
          <w:szCs w:val="28"/>
          <w:rtl/>
        </w:rPr>
        <w:t xml:space="preserve"> تركز الد ارسة على دور إدارة المخاطر في نجاح المشاريع. على الرغم من أهمية هذا العامل، إلا أن نجاح المشاريع يتأثر أيضاً بعوامل أخرى متعددة مثل القيادة، وثقافة المنظمة، وتوفر الموارد، والتخطيط الاست ارتيجي، والتي قد لا يتم تناولها بعمق في هذه الد ارسة] </w:t>
      </w:r>
      <w:r>
        <w:rPr>
          <w:rFonts w:ascii="Times New Roman" w:eastAsia="Times New Roman" w:hAnsi="Times New Roman" w:cs="Times New Roman"/>
          <w:szCs w:val="28"/>
        </w:rPr>
        <w:t>37</w:t>
      </w:r>
      <w:r>
        <w:rPr>
          <w:szCs w:val="28"/>
          <w:rtl/>
        </w:rPr>
        <w:t>[ .</w:t>
      </w:r>
      <w:r>
        <w:rPr>
          <w:rFonts w:ascii="Times New Roman" w:eastAsia="Times New Roman" w:hAnsi="Times New Roman" w:cs="Times New Roman"/>
          <w:szCs w:val="28"/>
          <w:rtl/>
        </w:rPr>
        <w:t xml:space="preserve"> </w:t>
      </w:r>
    </w:p>
    <w:p w14:paraId="73FAA6EF" w14:textId="77777777" w:rsidR="005850DB" w:rsidRDefault="00000000">
      <w:pPr>
        <w:ind w:right="0"/>
      </w:pPr>
      <w:r>
        <w:rPr>
          <w:szCs w:val="28"/>
          <w:rtl/>
        </w:rPr>
        <w:t xml:space="preserve">على الرغم من هذه الحدود، تسعى الد ارسة إلى تقديم رؤى قيمة وموثوقة ضمن نطاقها المحدد، وتفتح آفاقاً لد ارسات مستقبلية يمكن أن تتجاوز هذه الحدود وتعمق الفهم في هذا المجال. </w:t>
      </w:r>
      <w:r>
        <w:rPr>
          <w:rFonts w:ascii="Times New Roman" w:eastAsia="Times New Roman" w:hAnsi="Times New Roman" w:cs="Times New Roman"/>
          <w:szCs w:val="28"/>
          <w:rtl/>
        </w:rPr>
        <w:t xml:space="preserve"> </w:t>
      </w:r>
    </w:p>
    <w:p w14:paraId="71E30FF7" w14:textId="77777777" w:rsidR="005850DB" w:rsidRDefault="00000000">
      <w:pPr>
        <w:bidi w:val="0"/>
        <w:spacing w:after="9" w:line="259" w:lineRule="auto"/>
        <w:ind w:left="0" w:right="58" w:firstLine="0"/>
      </w:pPr>
      <w:r>
        <w:t xml:space="preserve"> </w:t>
      </w:r>
    </w:p>
    <w:p w14:paraId="2EE85B5C" w14:textId="77777777" w:rsidR="005850DB" w:rsidRDefault="00000000">
      <w:pPr>
        <w:spacing w:after="3" w:line="259" w:lineRule="auto"/>
        <w:ind w:left="7" w:right="0" w:hanging="10"/>
        <w:jc w:val="left"/>
      </w:pPr>
      <w:r>
        <w:rPr>
          <w:b/>
          <w:bCs/>
          <w:sz w:val="32"/>
          <w:szCs w:val="32"/>
          <w:rtl/>
        </w:rPr>
        <w:t xml:space="preserve">المارجع:  </w:t>
      </w:r>
    </w:p>
    <w:p w14:paraId="2305B02A"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[32] Saunders, M., Lewis, P., &amp; Thornhill, A. (2019). Research methods for business students </w:t>
      </w:r>
    </w:p>
    <w:p w14:paraId="2C4409A2" w14:textId="77777777" w:rsidR="005850DB" w:rsidRDefault="00000000">
      <w:pPr>
        <w:bidi w:val="0"/>
        <w:spacing w:after="13"/>
        <w:ind w:left="26" w:right="0" w:hanging="10"/>
      </w:pPr>
      <w:r>
        <w:rPr>
          <w:rFonts w:ascii="Times New Roman" w:eastAsia="Times New Roman" w:hAnsi="Times New Roman" w:cs="Times New Roman"/>
          <w:sz w:val="24"/>
        </w:rPr>
        <w:t xml:space="preserve">(8th ed.). Pearson Education. [33] Bryman, A., &amp; Bell, E. (2015). Business research methods </w:t>
      </w:r>
    </w:p>
    <w:p w14:paraId="4932658A"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(4th ed.). Oxford University Press. [34] Hair, J. F., Black, W. C., Babin, B. J., &amp; Anderson, R. </w:t>
      </w:r>
    </w:p>
    <w:p w14:paraId="2D6E493C" w14:textId="77777777" w:rsidR="005850DB" w:rsidRDefault="00000000">
      <w:pPr>
        <w:bidi w:val="0"/>
        <w:spacing w:after="13"/>
        <w:ind w:left="26" w:right="0" w:hanging="10"/>
      </w:pPr>
      <w:r>
        <w:rPr>
          <w:rFonts w:ascii="Times New Roman" w:eastAsia="Times New Roman" w:hAnsi="Times New Roman" w:cs="Times New Roman"/>
          <w:sz w:val="24"/>
        </w:rPr>
        <w:t xml:space="preserve">E. (2019). Multivariate data analysis (8th ed.). Cengage Learning. [35] Podsakoff, P. M., </w:t>
      </w:r>
    </w:p>
    <w:p w14:paraId="7AFC3E10" w14:textId="77777777" w:rsidR="005850DB" w:rsidRDefault="00000000">
      <w:pPr>
        <w:bidi w:val="0"/>
        <w:spacing w:after="13"/>
        <w:ind w:left="26" w:right="0" w:hanging="10"/>
      </w:pPr>
      <w:r>
        <w:rPr>
          <w:rFonts w:ascii="Times New Roman" w:eastAsia="Times New Roman" w:hAnsi="Times New Roman" w:cs="Times New Roman"/>
          <w:sz w:val="24"/>
        </w:rPr>
        <w:t>MacKenzie, S. B., Lee, J. Y., &amp; Podsakoff, N. P. (2003). Common method biases in behavioral research: A critical review of the literature and recommended remedies. Journal of Applied Psychology, 88(5), 879–903. [36] Spector, P. E. (1994). Using self-report questionnaires in OB research: A user's guide. Journal of Organizational Behavior, 15(5), 385-</w:t>
      </w:r>
    </w:p>
    <w:p w14:paraId="39E5DFA7" w14:textId="77777777" w:rsidR="005850DB" w:rsidRDefault="00000000">
      <w:pPr>
        <w:bidi w:val="0"/>
        <w:spacing w:after="149"/>
        <w:ind w:left="26" w:right="0" w:hanging="10"/>
      </w:pPr>
      <w:r>
        <w:rPr>
          <w:rFonts w:ascii="Times New Roman" w:eastAsia="Times New Roman" w:hAnsi="Times New Roman" w:cs="Times New Roman"/>
          <w:sz w:val="24"/>
        </w:rPr>
        <w:t xml:space="preserve">392. [37] Turner, J. R., &amp; Müller, R. (2005). The project manager's leadership style as a </w:t>
      </w:r>
    </w:p>
    <w:p w14:paraId="42C1DC9D" w14:textId="77777777" w:rsidR="005850DB" w:rsidRDefault="00000000">
      <w:pPr>
        <w:bidi w:val="0"/>
        <w:spacing w:after="13"/>
        <w:ind w:left="26" w:right="0" w:hanging="10"/>
      </w:pPr>
      <w:r>
        <w:t xml:space="preserve"> </w:t>
      </w:r>
      <w:r>
        <w:rPr>
          <w:rFonts w:ascii="Times New Roman" w:eastAsia="Times New Roman" w:hAnsi="Times New Roman" w:cs="Times New Roman"/>
          <w:sz w:val="24"/>
        </w:rPr>
        <w:t>success factor on projects: A literature review. Project Management Journal, 36(1), 49-.16</w:t>
      </w:r>
    </w:p>
    <w:p w14:paraId="22394FCC" w14:textId="77777777" w:rsidR="005850DB" w:rsidRDefault="00000000">
      <w:pPr>
        <w:bidi w:val="0"/>
        <w:spacing w:after="30" w:line="259" w:lineRule="auto"/>
        <w:ind w:left="0" w:right="58" w:firstLine="0"/>
      </w:pPr>
      <w:r>
        <w:t xml:space="preserve"> </w:t>
      </w:r>
    </w:p>
    <w:p w14:paraId="0BB71A02"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أهمية صناعة المضخات في الاقتصاد السعودي</w:t>
      </w:r>
      <w:r>
        <w:rPr>
          <w:rFonts w:ascii="Times New Roman" w:eastAsia="Times New Roman" w:hAnsi="Times New Roman" w:cs="Times New Roman"/>
          <w:bCs/>
          <w:szCs w:val="32"/>
          <w:rtl/>
        </w:rPr>
        <w:t xml:space="preserve"> </w:t>
      </w:r>
    </w:p>
    <w:p w14:paraId="0A6D6A7D" w14:textId="77777777" w:rsidR="005850DB" w:rsidRDefault="00000000">
      <w:pPr>
        <w:ind w:right="22"/>
      </w:pPr>
      <w:r>
        <w:rPr>
          <w:szCs w:val="28"/>
          <w:rtl/>
        </w:rPr>
        <w:t xml:space="preserve">تعد صناعة المضخات من الصناعات الاست ارتيجية التي تدعم البنية التحتية والنمو الاقتصادي في المملكة العربية السعودية. فالمضخات هي القلب النابض للعديد من القطاعات الحيوية، بما في ذلك النفط والغاز، تحلية المياه، الزارعة، الصناعات التحويلية، والبناء] </w:t>
      </w:r>
      <w:r>
        <w:rPr>
          <w:rFonts w:ascii="Times New Roman" w:eastAsia="Times New Roman" w:hAnsi="Times New Roman" w:cs="Times New Roman"/>
          <w:szCs w:val="28"/>
        </w:rPr>
        <w:t>1</w:t>
      </w:r>
      <w:r>
        <w:rPr>
          <w:szCs w:val="28"/>
          <w:rtl/>
        </w:rPr>
        <w:t xml:space="preserve">[. في قطاع النفط والغاز، تستخدم المضخات في جميع م ارحل الإنتاج، من استخ ارج النفط الخام والغاز الطبيعي إلى نقلهما عبر خطوط الأنابيب الطويلة ومعالجتهما في المصافي. وبما أن المملكة هي أحد أكبر منتجي النفط في العالم، فإن كفاءة وموثوقية أنظمة الضخ تؤثر بشكل مباشر على ال قدرة الإنتاجية والاقتصاد الوطني] </w:t>
      </w:r>
      <w:r>
        <w:rPr>
          <w:rFonts w:ascii="Times New Roman" w:eastAsia="Times New Roman" w:hAnsi="Times New Roman" w:cs="Times New Roman"/>
          <w:szCs w:val="28"/>
        </w:rPr>
        <w:t>2</w:t>
      </w:r>
      <w:r>
        <w:rPr>
          <w:szCs w:val="28"/>
          <w:rtl/>
        </w:rPr>
        <w:t xml:space="preserve">[ . </w:t>
      </w:r>
    </w:p>
    <w:p w14:paraId="229AF3E3" w14:textId="77777777" w:rsidR="005850DB" w:rsidRDefault="00000000">
      <w:pPr>
        <w:ind w:right="17"/>
      </w:pPr>
      <w:r>
        <w:rPr>
          <w:szCs w:val="28"/>
          <w:rtl/>
        </w:rPr>
        <w:lastRenderedPageBreak/>
        <w:t>وفي مجال تحلية المياه، الذي يعد حيوياً لدولة تعاني من ندرة المياه مثل المملكة، تلعب المضخات دواًر لا غنى عنه في محطات التحلية الضخمة التي توفر مياه الشرب والصناعة. إن أي خلل في أداء المضخات يمكن أن يؤثر على إمدادات المياه الحيوية، مما يبرز أهمية إدارة المخاطر في هذا السياق ]</w:t>
      </w:r>
      <w:r>
        <w:rPr>
          <w:rFonts w:ascii="Times New Roman" w:eastAsia="Times New Roman" w:hAnsi="Times New Roman" w:cs="Times New Roman"/>
          <w:szCs w:val="28"/>
        </w:rPr>
        <w:t>3</w:t>
      </w:r>
      <w:r>
        <w:rPr>
          <w:szCs w:val="28"/>
          <w:rtl/>
        </w:rPr>
        <w:t xml:space="preserve">[. كما أن التوسع الزارعي، خاصة في مشاريع الاستصلاح الكبرى، يعتمد بشكل كبير على أنظمة الري الحديثة التي تتطلب مضخات قوية وفعالة لضمان وصول المياه إلى المحاصيل]  </w:t>
      </w:r>
      <w:r>
        <w:rPr>
          <w:rFonts w:ascii="Times New Roman" w:eastAsia="Times New Roman" w:hAnsi="Times New Roman" w:cs="Times New Roman"/>
          <w:szCs w:val="28"/>
        </w:rPr>
        <w:t>4</w:t>
      </w:r>
      <w:r>
        <w:rPr>
          <w:szCs w:val="28"/>
          <w:rtl/>
        </w:rPr>
        <w:t xml:space="preserve">[. </w:t>
      </w:r>
    </w:p>
    <w:p w14:paraId="2D8B00F7" w14:textId="77777777" w:rsidR="005850DB" w:rsidRDefault="00000000">
      <w:pPr>
        <w:ind w:right="14"/>
      </w:pPr>
      <w:r>
        <w:rPr>
          <w:szCs w:val="28"/>
          <w:rtl/>
        </w:rPr>
        <w:t xml:space="preserve">تساهم صناعة المضخات أيضاً في تحقيق أهداف رؤية المملكة </w:t>
      </w:r>
      <w:r>
        <w:rPr>
          <w:rFonts w:ascii="Times New Roman" w:eastAsia="Times New Roman" w:hAnsi="Times New Roman" w:cs="Times New Roman"/>
          <w:szCs w:val="28"/>
        </w:rPr>
        <w:t>2030</w:t>
      </w:r>
      <w:r>
        <w:rPr>
          <w:szCs w:val="28"/>
          <w:rtl/>
        </w:rPr>
        <w:t xml:space="preserve">، التي تهدف إلى تنويع الاقتصاد وتقليل الاعتماد على النفط. من خلال توطين الصناعات وزيادة المحتوى المحلي، تسعى المملكة إلى بناء قد ارت تصنيعية متقدمة في مجالات مثل المضخات، مما يخلق فرص عمل، وينقل المعرفة والتقنية، ويعزز الاكتفاء الذاتي] </w:t>
      </w:r>
      <w:r>
        <w:rPr>
          <w:rFonts w:ascii="Times New Roman" w:eastAsia="Times New Roman" w:hAnsi="Times New Roman" w:cs="Times New Roman"/>
          <w:szCs w:val="28"/>
        </w:rPr>
        <w:t>5</w:t>
      </w:r>
      <w:r>
        <w:rPr>
          <w:szCs w:val="28"/>
          <w:rtl/>
        </w:rPr>
        <w:t xml:space="preserve">[. إن المشاريع الضخمة مثل نيوم، ومشروع البحر الأحمر، والقدية، تتطلب كميات هائلة من المضخات لمختلف التطبيقات، مما يوفر سوقاً كبي اًر وفرصاً استثمارية واعدة لشركات صناعة المضخات المحلية والعالمية العاملة في المملكة] </w:t>
      </w:r>
      <w:r>
        <w:rPr>
          <w:rFonts w:ascii="Times New Roman" w:eastAsia="Times New Roman" w:hAnsi="Times New Roman" w:cs="Times New Roman"/>
          <w:szCs w:val="28"/>
        </w:rPr>
        <w:t>6</w:t>
      </w:r>
      <w:r>
        <w:rPr>
          <w:szCs w:val="28"/>
          <w:rtl/>
        </w:rPr>
        <w:t xml:space="preserve">[. </w:t>
      </w:r>
    </w:p>
    <w:p w14:paraId="48B0D1BB" w14:textId="77777777" w:rsidR="005850DB" w:rsidRDefault="00000000">
      <w:pPr>
        <w:bidi w:val="0"/>
        <w:spacing w:after="29" w:line="259" w:lineRule="auto"/>
        <w:ind w:left="0" w:right="58" w:firstLine="0"/>
      </w:pPr>
      <w:r>
        <w:t xml:space="preserve"> </w:t>
      </w:r>
    </w:p>
    <w:p w14:paraId="426AD025"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التحديات والفرص في بيئة الأعمال السعودية </w:t>
      </w:r>
    </w:p>
    <w:p w14:paraId="16BFF3C9" w14:textId="77777777" w:rsidR="005850DB" w:rsidRDefault="00000000">
      <w:pPr>
        <w:ind w:right="100"/>
      </w:pPr>
      <w:r>
        <w:rPr>
          <w:szCs w:val="28"/>
          <w:rtl/>
        </w:rPr>
        <w:t xml:space="preserve">تتميز بيئة الأعمال في المملكة العربية السعودية بكونها ديناميكية وسريعة التطور، مدفوعة بالإصلاحات الاقتصادية والتنظيمية ضمن رؤية </w:t>
      </w:r>
      <w:r>
        <w:rPr>
          <w:rFonts w:ascii="Times New Roman" w:eastAsia="Times New Roman" w:hAnsi="Times New Roman" w:cs="Times New Roman"/>
          <w:szCs w:val="28"/>
        </w:rPr>
        <w:t>2030</w:t>
      </w:r>
      <w:r>
        <w:rPr>
          <w:szCs w:val="28"/>
          <w:rtl/>
        </w:rPr>
        <w:t xml:space="preserve">. ومع ذلك، تواجه شركات صناعة المضخات في هذه البيئة مجموعة من التحديات والفرص التي تؤثر على عملياتها ومشاريعها] </w:t>
      </w:r>
      <w:r>
        <w:rPr>
          <w:rFonts w:ascii="Times New Roman" w:eastAsia="Times New Roman" w:hAnsi="Times New Roman" w:cs="Times New Roman"/>
          <w:szCs w:val="28"/>
        </w:rPr>
        <w:t>7</w:t>
      </w:r>
      <w:r>
        <w:rPr>
          <w:szCs w:val="28"/>
          <w:rtl/>
        </w:rPr>
        <w:t xml:space="preserve">[ . </w:t>
      </w:r>
    </w:p>
    <w:p w14:paraId="5CF81F6A" w14:textId="77777777" w:rsidR="005850DB" w:rsidRDefault="00000000">
      <w:pPr>
        <w:spacing w:after="0" w:line="259" w:lineRule="auto"/>
        <w:ind w:left="8" w:right="0" w:hanging="10"/>
        <w:jc w:val="left"/>
      </w:pPr>
      <w:r>
        <w:rPr>
          <w:b/>
          <w:bCs/>
          <w:szCs w:val="28"/>
          <w:rtl/>
        </w:rPr>
        <w:t xml:space="preserve">التحديات: </w:t>
      </w:r>
    </w:p>
    <w:p w14:paraId="35DA0498" w14:textId="77777777" w:rsidR="005850DB" w:rsidRDefault="00000000">
      <w:pPr>
        <w:numPr>
          <w:ilvl w:val="0"/>
          <w:numId w:val="8"/>
        </w:numPr>
        <w:ind w:right="224" w:hanging="362"/>
      </w:pPr>
      <w:r>
        <w:rPr>
          <w:b/>
          <w:bCs/>
          <w:szCs w:val="28"/>
          <w:rtl/>
        </w:rPr>
        <w:t>المنافسة الشديدة:</w:t>
      </w:r>
      <w:r>
        <w:rPr>
          <w:szCs w:val="28"/>
          <w:rtl/>
        </w:rPr>
        <w:t xml:space="preserve"> تواجه الشركات المحلية منافسة قوية من الشركات العالمية الكبرى التي تتمتع بخبرة طويلة، وتقنيات متقدمة، وشبكات توزيع واسعة. هذا يتطلب من الشركات المحلية الاستثمار في الابتكار والجودة لتعزيز قدرتها التنافسية]  </w:t>
      </w:r>
      <w:r>
        <w:rPr>
          <w:rFonts w:ascii="Times New Roman" w:eastAsia="Times New Roman" w:hAnsi="Times New Roman" w:cs="Times New Roman"/>
          <w:szCs w:val="28"/>
        </w:rPr>
        <w:t>8</w:t>
      </w:r>
      <w:r>
        <w:rPr>
          <w:szCs w:val="28"/>
          <w:rtl/>
        </w:rPr>
        <w:t xml:space="preserve">[. </w:t>
      </w:r>
    </w:p>
    <w:p w14:paraId="07EF01F4" w14:textId="77777777" w:rsidR="005850DB" w:rsidRDefault="00000000">
      <w:pPr>
        <w:numPr>
          <w:ilvl w:val="0"/>
          <w:numId w:val="8"/>
        </w:numPr>
        <w:ind w:right="224" w:hanging="362"/>
      </w:pPr>
      <w:r>
        <w:rPr>
          <w:b/>
          <w:bCs/>
          <w:szCs w:val="28"/>
          <w:rtl/>
        </w:rPr>
        <w:t>الاعتماد على الاستيارد:</w:t>
      </w:r>
      <w:r>
        <w:rPr>
          <w:szCs w:val="28"/>
          <w:rtl/>
        </w:rPr>
        <w:t xml:space="preserve"> لا ت ازل العديد من المواد الخام والمكونات المتخصصة اللازمة لتصنيع المضخات يتم استي اردها، مما يجعل الصناعة عرضة لتقلبات الأسعار العالمية، واضط اربات سلاسل التوريد، والتغي ارت في أسعار الصرف] </w:t>
      </w:r>
      <w:r>
        <w:rPr>
          <w:rFonts w:ascii="Times New Roman" w:eastAsia="Times New Roman" w:hAnsi="Times New Roman" w:cs="Times New Roman"/>
          <w:szCs w:val="28"/>
        </w:rPr>
        <w:t>9</w:t>
      </w:r>
      <w:r>
        <w:rPr>
          <w:szCs w:val="28"/>
          <w:rtl/>
        </w:rPr>
        <w:t xml:space="preserve">[. </w:t>
      </w:r>
    </w:p>
    <w:p w14:paraId="772AB319" w14:textId="77777777" w:rsidR="005850DB" w:rsidRDefault="00000000">
      <w:pPr>
        <w:numPr>
          <w:ilvl w:val="0"/>
          <w:numId w:val="8"/>
        </w:numPr>
        <w:ind w:right="224" w:hanging="362"/>
      </w:pPr>
      <w:r>
        <w:rPr>
          <w:b/>
          <w:bCs/>
          <w:szCs w:val="28"/>
          <w:rtl/>
        </w:rPr>
        <w:t>نقص الكفاءات المتخصصة:</w:t>
      </w:r>
      <w:r>
        <w:rPr>
          <w:szCs w:val="28"/>
          <w:rtl/>
        </w:rPr>
        <w:t xml:space="preserve"> على الرغم من الجهود المبذولة لتوطين الوظائف، قد يكون هناك نقص في الكفاءات السعودية المتخصصة في تصميم، وتصنيع، وصيانة المضخات المتقدمة ،مما يستدعي ب ارمج تدريب وتأهيل مكثفة] </w:t>
      </w:r>
      <w:r>
        <w:rPr>
          <w:rFonts w:ascii="Times New Roman" w:eastAsia="Times New Roman" w:hAnsi="Times New Roman" w:cs="Times New Roman"/>
          <w:szCs w:val="28"/>
        </w:rPr>
        <w:t>10</w:t>
      </w:r>
      <w:r>
        <w:rPr>
          <w:szCs w:val="28"/>
          <w:rtl/>
        </w:rPr>
        <w:t xml:space="preserve">[ . </w:t>
      </w:r>
    </w:p>
    <w:p w14:paraId="3C25AE88" w14:textId="77777777" w:rsidR="005850DB" w:rsidRDefault="00000000">
      <w:pPr>
        <w:numPr>
          <w:ilvl w:val="0"/>
          <w:numId w:val="8"/>
        </w:numPr>
        <w:spacing w:after="49"/>
        <w:ind w:right="224" w:hanging="362"/>
      </w:pPr>
      <w:r>
        <w:rPr>
          <w:b/>
          <w:bCs/>
          <w:szCs w:val="28"/>
          <w:rtl/>
        </w:rPr>
        <w:t>التغيارت التنظيمية:</w:t>
      </w:r>
      <w:r>
        <w:rPr>
          <w:szCs w:val="28"/>
          <w:rtl/>
        </w:rPr>
        <w:t xml:space="preserve"> التطور المستمر في اللوائح والمعايير المحلية والدولية المتعلقة بالجودة ،والسلامة، والبيئة، يتطلب من الشركات مواكبة هذه التغيي ارت وتكييف عملياتها لضمان الامتثال </w:t>
      </w:r>
    </w:p>
    <w:p w14:paraId="0CA57957" w14:textId="77777777" w:rsidR="005850DB" w:rsidRDefault="00000000">
      <w:pPr>
        <w:spacing w:after="0" w:line="258" w:lineRule="auto"/>
        <w:ind w:left="9" w:right="7860" w:firstLine="720"/>
      </w:pPr>
      <w:r>
        <w:rPr>
          <w:szCs w:val="28"/>
          <w:rtl/>
        </w:rPr>
        <w:lastRenderedPageBreak/>
        <w:t>]</w:t>
      </w:r>
      <w:r>
        <w:rPr>
          <w:rFonts w:ascii="Times New Roman" w:eastAsia="Times New Roman" w:hAnsi="Times New Roman" w:cs="Times New Roman"/>
          <w:szCs w:val="28"/>
        </w:rPr>
        <w:t>11</w:t>
      </w:r>
      <w:r>
        <w:rPr>
          <w:szCs w:val="28"/>
          <w:rtl/>
        </w:rPr>
        <w:t xml:space="preserve">[. </w:t>
      </w:r>
      <w:r>
        <w:rPr>
          <w:b/>
          <w:bCs/>
          <w:szCs w:val="28"/>
          <w:rtl/>
        </w:rPr>
        <w:t xml:space="preserve">الفرص: </w:t>
      </w:r>
    </w:p>
    <w:p w14:paraId="432CC197" w14:textId="77777777" w:rsidR="005850DB" w:rsidRDefault="00000000">
      <w:pPr>
        <w:numPr>
          <w:ilvl w:val="0"/>
          <w:numId w:val="8"/>
        </w:numPr>
        <w:ind w:right="224" w:hanging="362"/>
      </w:pPr>
      <w:r>
        <w:rPr>
          <w:b/>
          <w:bCs/>
          <w:szCs w:val="28"/>
          <w:rtl/>
        </w:rPr>
        <w:t>الدعم الحكومي:</w:t>
      </w:r>
      <w:r>
        <w:rPr>
          <w:szCs w:val="28"/>
          <w:rtl/>
        </w:rPr>
        <w:t xml:space="preserve"> تقدم الحكومة السعودية دعماً كبي اًر للقطاع الصناعي من خلال مباد ارت مثل برنام ج </w:t>
      </w:r>
    </w:p>
    <w:p w14:paraId="270BA688" w14:textId="77777777" w:rsidR="005850DB" w:rsidRDefault="00000000">
      <w:pPr>
        <w:numPr>
          <w:ilvl w:val="0"/>
          <w:numId w:val="8"/>
        </w:numPr>
        <w:ind w:right="224" w:hanging="362"/>
      </w:pPr>
      <w:r>
        <w:rPr>
          <w:szCs w:val="28"/>
          <w:rtl/>
        </w:rPr>
        <w:t xml:space="preserve">شريك) </w:t>
      </w:r>
      <w:r>
        <w:rPr>
          <w:rFonts w:ascii="Times New Roman" w:eastAsia="Times New Roman" w:hAnsi="Times New Roman" w:cs="Times New Roman"/>
          <w:sz w:val="24"/>
        </w:rPr>
        <w:t>Shareek</w:t>
      </w:r>
      <w:r>
        <w:rPr>
          <w:szCs w:val="28"/>
          <w:rtl/>
        </w:rPr>
        <w:t xml:space="preserve">( وصندوق التنمية الصناعية السعودي، مما يوفر حوافز مالية وغير مالية للشركات] </w:t>
      </w:r>
      <w:r>
        <w:rPr>
          <w:rFonts w:ascii="Times New Roman" w:eastAsia="Times New Roman" w:hAnsi="Times New Roman" w:cs="Times New Roman"/>
          <w:szCs w:val="28"/>
        </w:rPr>
        <w:t>12</w:t>
      </w:r>
      <w:r>
        <w:rPr>
          <w:szCs w:val="28"/>
          <w:rtl/>
        </w:rPr>
        <w:t xml:space="preserve">[. </w:t>
      </w:r>
    </w:p>
    <w:p w14:paraId="05007FBC" w14:textId="77777777" w:rsidR="005850DB" w:rsidRDefault="00000000">
      <w:pPr>
        <w:numPr>
          <w:ilvl w:val="0"/>
          <w:numId w:val="8"/>
        </w:numPr>
        <w:ind w:right="224" w:hanging="362"/>
      </w:pPr>
      <w:r>
        <w:rPr>
          <w:b/>
          <w:bCs/>
          <w:szCs w:val="28"/>
          <w:rtl/>
        </w:rPr>
        <w:t>المشاريع الضخمة:</w:t>
      </w:r>
      <w:r>
        <w:rPr>
          <w:szCs w:val="28"/>
          <w:rtl/>
        </w:rPr>
        <w:t xml:space="preserve"> المشاريع التنموية الكبرى مثل نيوم، والقدية، ومشروع البحر الأحمر، توفر فرصاً هائلة لشركات صناعة المضخات لتوريد منتجاتها وخدماتها، وتساهم في نمو السوق المحلي] </w:t>
      </w:r>
      <w:r>
        <w:rPr>
          <w:rFonts w:ascii="Times New Roman" w:eastAsia="Times New Roman" w:hAnsi="Times New Roman" w:cs="Times New Roman"/>
          <w:szCs w:val="28"/>
        </w:rPr>
        <w:t>13</w:t>
      </w:r>
      <w:r>
        <w:rPr>
          <w:szCs w:val="28"/>
          <w:rtl/>
        </w:rPr>
        <w:t xml:space="preserve">[ . </w:t>
      </w:r>
    </w:p>
    <w:p w14:paraId="7F30F7FB" w14:textId="77777777" w:rsidR="005850DB" w:rsidRDefault="00000000">
      <w:pPr>
        <w:numPr>
          <w:ilvl w:val="0"/>
          <w:numId w:val="8"/>
        </w:numPr>
        <w:ind w:right="224" w:hanging="362"/>
      </w:pPr>
      <w:r>
        <w:rPr>
          <w:b/>
          <w:bCs/>
          <w:szCs w:val="28"/>
          <w:rtl/>
        </w:rPr>
        <w:t>التحول الرقمي والابتكار:</w:t>
      </w:r>
      <w:r>
        <w:rPr>
          <w:szCs w:val="28"/>
          <w:rtl/>
        </w:rPr>
        <w:t xml:space="preserve"> ت ازيد الاهتمام بالحلول الذكية والموفرة للطاقة في صناعة المضخات ،مثل المضخات المتصلة بالإنترنت) </w:t>
      </w:r>
      <w:r>
        <w:rPr>
          <w:rFonts w:ascii="Times New Roman" w:eastAsia="Times New Roman" w:hAnsi="Times New Roman" w:cs="Times New Roman"/>
          <w:sz w:val="24"/>
        </w:rPr>
        <w:t>IoT</w:t>
      </w:r>
      <w:r>
        <w:rPr>
          <w:szCs w:val="28"/>
          <w:rtl/>
        </w:rPr>
        <w:t xml:space="preserve">( وأنظمة الم ارقبة عن بعد، يفتح آفاقاً للابتكار وتطوير منتجات جديدة] </w:t>
      </w:r>
      <w:r>
        <w:rPr>
          <w:rFonts w:ascii="Times New Roman" w:eastAsia="Times New Roman" w:hAnsi="Times New Roman" w:cs="Times New Roman"/>
          <w:szCs w:val="28"/>
        </w:rPr>
        <w:t>14</w:t>
      </w:r>
      <w:r>
        <w:rPr>
          <w:szCs w:val="28"/>
          <w:rtl/>
        </w:rPr>
        <w:t xml:space="preserve">[ . </w:t>
      </w:r>
    </w:p>
    <w:p w14:paraId="14A64A3A" w14:textId="77777777" w:rsidR="005850DB" w:rsidRDefault="00000000">
      <w:pPr>
        <w:numPr>
          <w:ilvl w:val="0"/>
          <w:numId w:val="8"/>
        </w:numPr>
        <w:ind w:right="224" w:hanging="362"/>
      </w:pPr>
      <w:r>
        <w:rPr>
          <w:b/>
          <w:bCs/>
          <w:szCs w:val="28"/>
          <w:rtl/>
        </w:rPr>
        <w:t>الطلب المتازيد:</w:t>
      </w:r>
      <w:r>
        <w:rPr>
          <w:szCs w:val="28"/>
          <w:rtl/>
        </w:rPr>
        <w:t xml:space="preserve"> النمو السكاني والتوسع الصناعي في المملكة يؤديان إلى زيادة مستمرة في الطلب على المياه والطاقة، وبالتالي على المضخات في مختلف القطاعات] </w:t>
      </w:r>
      <w:r>
        <w:rPr>
          <w:rFonts w:ascii="Times New Roman" w:eastAsia="Times New Roman" w:hAnsi="Times New Roman" w:cs="Times New Roman"/>
          <w:szCs w:val="28"/>
        </w:rPr>
        <w:t>15</w:t>
      </w:r>
      <w:r>
        <w:rPr>
          <w:szCs w:val="28"/>
          <w:rtl/>
        </w:rPr>
        <w:t xml:space="preserve">[ . </w:t>
      </w:r>
    </w:p>
    <w:p w14:paraId="4A7A583B" w14:textId="77777777" w:rsidR="005850DB" w:rsidRDefault="00000000">
      <w:pPr>
        <w:ind w:right="100"/>
      </w:pPr>
      <w:r>
        <w:rPr>
          <w:szCs w:val="28"/>
          <w:rtl/>
        </w:rPr>
        <w:t xml:space="preserve">إن فهم هذه التحديات والفرص يعد أم اًر حيوياً لشركات صناعة المضخات لتطوير است ارتيجيات فعالة لإدارة المخاطر، مما يمكنها من التغلب على الصعوبات والاستفادة من الإمكانات الهائلة للنمو في السوق السعودي . </w:t>
      </w:r>
    </w:p>
    <w:p w14:paraId="52979C02" w14:textId="77777777" w:rsidR="005850DB" w:rsidRDefault="00000000">
      <w:pPr>
        <w:spacing w:after="10" w:line="227" w:lineRule="auto"/>
        <w:ind w:left="-2" w:right="8234" w:firstLine="46"/>
      </w:pPr>
      <w:r>
        <w:rPr>
          <w:szCs w:val="28"/>
          <w:rtl/>
        </w:rPr>
        <w:t xml:space="preserve"> </w:t>
      </w:r>
      <w:r>
        <w:rPr>
          <w:b/>
          <w:bCs/>
          <w:sz w:val="32"/>
          <w:szCs w:val="32"/>
          <w:rtl/>
        </w:rPr>
        <w:t xml:space="preserve">المارجع:  </w:t>
      </w:r>
    </w:p>
    <w:p w14:paraId="1D48EAFF" w14:textId="77777777" w:rsidR="005850DB" w:rsidRDefault="00000000">
      <w:pPr>
        <w:bidi w:val="0"/>
        <w:spacing w:after="3" w:line="248" w:lineRule="auto"/>
        <w:ind w:left="79" w:right="-7" w:firstLine="612"/>
        <w:jc w:val="left"/>
      </w:pPr>
      <w:r>
        <w:rPr>
          <w:rFonts w:ascii="Times New Roman" w:eastAsia="Times New Roman" w:hAnsi="Times New Roman" w:cs="Times New Roman"/>
          <w:sz w:val="24"/>
        </w:rPr>
        <w:t xml:space="preserve">[1] Saudi Aramco. (n.d.). Operations. Retrieved from </w:t>
      </w:r>
      <w:hyperlink r:id="rId70">
        <w:r>
          <w:rPr>
            <w:rFonts w:ascii="Times New Roman" w:eastAsia="Times New Roman" w:hAnsi="Times New Roman" w:cs="Times New Roman"/>
            <w:color w:val="0563C1"/>
            <w:sz w:val="24"/>
            <w:u w:val="single" w:color="0563C1"/>
          </w:rPr>
          <w:t>https://www.aramco.com/en/our</w:t>
        </w:r>
      </w:hyperlink>
      <w:hyperlink r:id="rId71"/>
      <w:hyperlink r:id="rId72">
        <w:r>
          <w:rPr>
            <w:rFonts w:ascii="Times New Roman" w:eastAsia="Times New Roman" w:hAnsi="Times New Roman" w:cs="Times New Roman"/>
            <w:color w:val="0563C1"/>
            <w:sz w:val="24"/>
            <w:u w:val="single" w:color="0563C1"/>
          </w:rPr>
          <w:t>business/operations</w:t>
        </w:r>
      </w:hyperlink>
      <w:hyperlink r:id="rId73">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 Saline Water Conversion Corporation (SWCC). (n.d.). About SWCC. </w:t>
      </w:r>
    </w:p>
    <w:p w14:paraId="116BEC31" w14:textId="77777777" w:rsidR="005850DB" w:rsidRDefault="00000000">
      <w:pPr>
        <w:bidi w:val="0"/>
        <w:spacing w:after="13"/>
        <w:ind w:left="26" w:right="0" w:hanging="10"/>
      </w:pPr>
      <w:r>
        <w:rPr>
          <w:rFonts w:ascii="Times New Roman" w:eastAsia="Times New Roman" w:hAnsi="Times New Roman" w:cs="Times New Roman"/>
          <w:sz w:val="24"/>
        </w:rPr>
        <w:t xml:space="preserve">Retrieved from </w:t>
      </w:r>
      <w:hyperlink r:id="rId74">
        <w:r>
          <w:rPr>
            <w:rFonts w:ascii="Times New Roman" w:eastAsia="Times New Roman" w:hAnsi="Times New Roman" w:cs="Times New Roman"/>
            <w:color w:val="0563C1"/>
            <w:sz w:val="24"/>
            <w:u w:val="single" w:color="0563C1"/>
          </w:rPr>
          <w:t>https://www.swcc.gov.sa/en/about</w:t>
        </w:r>
      </w:hyperlink>
      <w:hyperlink r:id="rId75">
        <w:r>
          <w:rPr>
            <w:rFonts w:ascii="Times New Roman" w:eastAsia="Times New Roman" w:hAnsi="Times New Roman" w:cs="Times New Roman"/>
            <w:color w:val="0563C1"/>
            <w:sz w:val="24"/>
            <w:u w:val="single" w:color="0563C1"/>
          </w:rPr>
          <w:t>-</w:t>
        </w:r>
      </w:hyperlink>
      <w:hyperlink r:id="rId76">
        <w:r>
          <w:rPr>
            <w:rFonts w:ascii="Times New Roman" w:eastAsia="Times New Roman" w:hAnsi="Times New Roman" w:cs="Times New Roman"/>
            <w:color w:val="0563C1"/>
            <w:sz w:val="24"/>
            <w:u w:val="single" w:color="0563C1"/>
          </w:rPr>
          <w:t>swcc</w:t>
        </w:r>
      </w:hyperlink>
      <w:hyperlink r:id="rId77">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[3] Ministry of Environment, Water and Agriculture. (n.d.). Water Sector. Retrieved from </w:t>
      </w:r>
    </w:p>
    <w:p w14:paraId="7450C613" w14:textId="77777777" w:rsidR="005850DB" w:rsidRDefault="00000000">
      <w:pPr>
        <w:bidi w:val="0"/>
        <w:spacing w:after="0" w:line="259" w:lineRule="auto"/>
        <w:ind w:left="10" w:right="-3" w:hanging="10"/>
      </w:pPr>
      <w:hyperlink r:id="rId78">
        <w:r>
          <w:rPr>
            <w:rFonts w:ascii="Times New Roman" w:eastAsia="Times New Roman" w:hAnsi="Times New Roman" w:cs="Times New Roman"/>
            <w:color w:val="0563C1"/>
            <w:sz w:val="24"/>
            <w:u w:val="single" w:color="0563C1"/>
          </w:rPr>
          <w:t>https://www.mewa.gov.sa/en/sectors/water/Pages/default.aspx</w:t>
        </w:r>
      </w:hyperlink>
      <w:hyperlink r:id="rId79">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[4] Saudi Vision 2030. (n.d.). </w:t>
      </w:r>
    </w:p>
    <w:p w14:paraId="59CBC288" w14:textId="77777777" w:rsidR="005850DB" w:rsidRDefault="00000000">
      <w:pPr>
        <w:bidi w:val="0"/>
        <w:spacing w:after="13"/>
        <w:ind w:left="26" w:right="0" w:hanging="10"/>
      </w:pPr>
      <w:r>
        <w:rPr>
          <w:rFonts w:ascii="Times New Roman" w:eastAsia="Times New Roman" w:hAnsi="Times New Roman" w:cs="Times New Roman"/>
          <w:sz w:val="24"/>
        </w:rPr>
        <w:t xml:space="preserve">About Vision 2030. Retrieved from </w:t>
      </w:r>
      <w:hyperlink r:id="rId80">
        <w:r>
          <w:rPr>
            <w:rFonts w:ascii="Times New Roman" w:eastAsia="Times New Roman" w:hAnsi="Times New Roman" w:cs="Times New Roman"/>
            <w:color w:val="0563C1"/>
            <w:sz w:val="24"/>
            <w:u w:val="single" w:color="0563C1"/>
          </w:rPr>
          <w:t>https://www.vision2030.gov.sa/</w:t>
        </w:r>
      </w:hyperlink>
      <w:hyperlink r:id="rId8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[5] NEOM. (n.d.). About </w:t>
      </w:r>
    </w:p>
    <w:p w14:paraId="78F2D084" w14:textId="77777777" w:rsidR="005850DB" w:rsidRDefault="00000000">
      <w:pPr>
        <w:bidi w:val="0"/>
        <w:spacing w:after="3" w:line="248" w:lineRule="auto"/>
        <w:ind w:left="439" w:right="-7" w:hanging="360"/>
        <w:jc w:val="left"/>
      </w:pPr>
      <w:r>
        <w:rPr>
          <w:rFonts w:ascii="Times New Roman" w:eastAsia="Times New Roman" w:hAnsi="Times New Roman" w:cs="Times New Roman"/>
          <w:sz w:val="24"/>
        </w:rPr>
        <w:t xml:space="preserve">NEOM. Retrieved from </w:t>
      </w:r>
      <w:hyperlink r:id="rId82">
        <w:r>
          <w:rPr>
            <w:rFonts w:ascii="Times New Roman" w:eastAsia="Times New Roman" w:hAnsi="Times New Roman" w:cs="Times New Roman"/>
            <w:color w:val="0563C1"/>
            <w:sz w:val="24"/>
            <w:u w:val="single" w:color="0563C1"/>
          </w:rPr>
          <w:t>https://www.neom.com/en</w:t>
        </w:r>
      </w:hyperlink>
      <w:hyperlink r:id="rId83">
        <w:r>
          <w:rPr>
            <w:rFonts w:ascii="Times New Roman" w:eastAsia="Times New Roman" w:hAnsi="Times New Roman" w:cs="Times New Roman"/>
            <w:color w:val="0563C1"/>
            <w:sz w:val="24"/>
            <w:u w:val="single" w:color="0563C1"/>
          </w:rPr>
          <w:t>-</w:t>
        </w:r>
      </w:hyperlink>
      <w:hyperlink r:id="rId84">
        <w:r>
          <w:rPr>
            <w:rFonts w:ascii="Times New Roman" w:eastAsia="Times New Roman" w:hAnsi="Times New Roman" w:cs="Times New Roman"/>
            <w:color w:val="0563C1"/>
            <w:sz w:val="24"/>
            <w:u w:val="single" w:color="0563C1"/>
          </w:rPr>
          <w:t>us/about</w:t>
        </w:r>
      </w:hyperlink>
      <w:hyperlink r:id="rId85">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[6] Invest Saudi. (n.d.). Industrial Pumps Investment Opportunity. Retrieved from </w:t>
      </w:r>
      <w:hyperlink r:id="rId86">
        <w:r>
          <w:rPr>
            <w:rFonts w:ascii="Times New Roman" w:eastAsia="Times New Roman" w:hAnsi="Times New Roman" w:cs="Times New Roman"/>
            <w:color w:val="0563C1"/>
            <w:sz w:val="24"/>
            <w:u w:val="single" w:color="0563C1"/>
          </w:rPr>
          <w:t>https://investsaudi.sa/medias/Industrial</w:t>
        </w:r>
      </w:hyperlink>
      <w:hyperlink r:id="rId87"/>
      <w:hyperlink r:id="rId88">
        <w:r>
          <w:rPr>
            <w:rFonts w:ascii="Times New Roman" w:eastAsia="Times New Roman" w:hAnsi="Times New Roman" w:cs="Times New Roman"/>
            <w:color w:val="0563C1"/>
            <w:sz w:val="24"/>
            <w:u w:val="single" w:color="0563C1"/>
          </w:rPr>
          <w:t>Pumps.pdf</w:t>
        </w:r>
      </w:hyperlink>
      <w:hyperlink r:id="rId89">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[7] PS Market Research. (n.d.). Saudi Arabia Water Pumps Market Size, Share, </w:t>
      </w:r>
    </w:p>
    <w:p w14:paraId="1636547D" w14:textId="77777777" w:rsidR="005850DB" w:rsidRDefault="00000000">
      <w:pPr>
        <w:bidi w:val="0"/>
        <w:spacing w:after="3" w:line="248" w:lineRule="auto"/>
        <w:ind w:left="79" w:right="-7" w:firstLine="236"/>
        <w:jc w:val="left"/>
      </w:pPr>
      <w:r>
        <w:rPr>
          <w:rFonts w:ascii="Times New Roman" w:eastAsia="Times New Roman" w:hAnsi="Times New Roman" w:cs="Times New Roman"/>
          <w:sz w:val="24"/>
        </w:rPr>
        <w:t xml:space="preserve">Trends Analysis. Retrieved from </w:t>
      </w:r>
      <w:hyperlink r:id="rId90">
        <w:r>
          <w:rPr>
            <w:rFonts w:ascii="Times New Roman" w:eastAsia="Times New Roman" w:hAnsi="Times New Roman" w:cs="Times New Roman"/>
            <w:color w:val="0563C1"/>
            <w:sz w:val="24"/>
            <w:u w:val="single" w:color="0563C1"/>
          </w:rPr>
          <w:t>https://www.psmarketresearch.com/market</w:t>
        </w:r>
      </w:hyperlink>
      <w:hyperlink r:id="rId91">
        <w:r>
          <w:rPr>
            <w:rFonts w:ascii="Times New Roman" w:eastAsia="Times New Roman" w:hAnsi="Times New Roman" w:cs="Times New Roman"/>
            <w:color w:val="0563C1"/>
            <w:sz w:val="24"/>
            <w:u w:val="single" w:color="0563C1"/>
          </w:rPr>
          <w:t>-</w:t>
        </w:r>
      </w:hyperlink>
      <w:hyperlink r:id="rId92">
        <w:r>
          <w:rPr>
            <w:rFonts w:ascii="Times New Roman" w:eastAsia="Times New Roman" w:hAnsi="Times New Roman" w:cs="Times New Roman"/>
            <w:color w:val="0563C1"/>
            <w:sz w:val="24"/>
            <w:u w:val="single" w:color="0563C1"/>
          </w:rPr>
          <w:t>analysis/saudi</w:t>
        </w:r>
      </w:hyperlink>
      <w:hyperlink r:id="rId93"/>
      <w:hyperlink r:id="rId94">
        <w:r>
          <w:rPr>
            <w:rFonts w:ascii="Times New Roman" w:eastAsia="Times New Roman" w:hAnsi="Times New Roman" w:cs="Times New Roman"/>
            <w:color w:val="0563C1"/>
            <w:sz w:val="24"/>
            <w:u w:val="single" w:color="0563C1"/>
          </w:rPr>
          <w:t>arabia</w:t>
        </w:r>
      </w:hyperlink>
      <w:hyperlink r:id="rId95">
        <w:r>
          <w:rPr>
            <w:rFonts w:ascii="Times New Roman" w:eastAsia="Times New Roman" w:hAnsi="Times New Roman" w:cs="Times New Roman"/>
            <w:color w:val="0563C1"/>
            <w:sz w:val="24"/>
            <w:u w:val="single" w:color="0563C1"/>
          </w:rPr>
          <w:t>-</w:t>
        </w:r>
      </w:hyperlink>
      <w:hyperlink r:id="rId96">
        <w:r>
          <w:rPr>
            <w:rFonts w:ascii="Times New Roman" w:eastAsia="Times New Roman" w:hAnsi="Times New Roman" w:cs="Times New Roman"/>
            <w:color w:val="0563C1"/>
            <w:sz w:val="24"/>
            <w:u w:val="single" w:color="0563C1"/>
          </w:rPr>
          <w:t>water</w:t>
        </w:r>
      </w:hyperlink>
      <w:hyperlink r:id="rId97">
        <w:r>
          <w:rPr>
            <w:rFonts w:ascii="Times New Roman" w:eastAsia="Times New Roman" w:hAnsi="Times New Roman" w:cs="Times New Roman"/>
            <w:color w:val="0563C1"/>
            <w:sz w:val="24"/>
            <w:u w:val="single" w:color="0563C1"/>
          </w:rPr>
          <w:t>-</w:t>
        </w:r>
      </w:hyperlink>
      <w:hyperlink r:id="rId98">
        <w:r>
          <w:rPr>
            <w:rFonts w:ascii="Times New Roman" w:eastAsia="Times New Roman" w:hAnsi="Times New Roman" w:cs="Times New Roman"/>
            <w:color w:val="0563C1"/>
            <w:sz w:val="24"/>
            <w:u w:val="single" w:color="0563C1"/>
          </w:rPr>
          <w:t>pumps</w:t>
        </w:r>
      </w:hyperlink>
      <w:hyperlink r:id="rId99">
        <w:r>
          <w:rPr>
            <w:rFonts w:ascii="Times New Roman" w:eastAsia="Times New Roman" w:hAnsi="Times New Roman" w:cs="Times New Roman"/>
            <w:color w:val="0563C1"/>
            <w:sz w:val="24"/>
            <w:u w:val="single" w:color="0563C1"/>
          </w:rPr>
          <w:t>-</w:t>
        </w:r>
      </w:hyperlink>
      <w:hyperlink r:id="rId100">
        <w:r>
          <w:rPr>
            <w:rFonts w:ascii="Times New Roman" w:eastAsia="Times New Roman" w:hAnsi="Times New Roman" w:cs="Times New Roman"/>
            <w:color w:val="0563C1"/>
            <w:sz w:val="24"/>
            <w:u w:val="single" w:color="0563C1"/>
          </w:rPr>
          <w:t>market</w:t>
        </w:r>
      </w:hyperlink>
      <w:hyperlink r:id="rId10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[8] Al-Ghamdi, A. S. (2018). Risk management practices in Saudi </w:t>
      </w:r>
    </w:p>
    <w:p w14:paraId="3D53EEB1" w14:textId="77777777" w:rsidR="005850DB" w:rsidRDefault="00000000">
      <w:pPr>
        <w:bidi w:val="0"/>
        <w:spacing w:after="13"/>
        <w:ind w:left="26" w:right="0" w:hanging="10"/>
      </w:pPr>
      <w:r>
        <w:rPr>
          <w:rFonts w:ascii="Times New Roman" w:eastAsia="Times New Roman" w:hAnsi="Times New Roman" w:cs="Times New Roman"/>
          <w:sz w:val="24"/>
        </w:rPr>
        <w:t xml:space="preserve">Arabian industrial projects: A review. Journal of Industrial Engineering and Management, </w:t>
      </w:r>
    </w:p>
    <w:p w14:paraId="57F8C761" w14:textId="77777777" w:rsidR="005850DB" w:rsidRDefault="00000000">
      <w:pPr>
        <w:bidi w:val="0"/>
        <w:spacing w:after="13"/>
        <w:ind w:left="26" w:right="0" w:hanging="10"/>
      </w:pPr>
      <w:r>
        <w:rPr>
          <w:rFonts w:ascii="Times New Roman" w:eastAsia="Times New Roman" w:hAnsi="Times New Roman" w:cs="Times New Roman"/>
          <w:sz w:val="24"/>
        </w:rPr>
        <w:lastRenderedPageBreak/>
        <w:t xml:space="preserve">)2(11, 234-245. [9] 6Wresearch. (n.d.). Saudi Arabia Industrial Pumps Market (2025-)1302 </w:t>
      </w:r>
    </w:p>
    <w:p w14:paraId="7E05AE39" w14:textId="77777777" w:rsidR="005850DB" w:rsidRDefault="00000000">
      <w:pPr>
        <w:bidi w:val="0"/>
        <w:spacing w:after="3" w:line="248" w:lineRule="auto"/>
        <w:ind w:left="257" w:right="-7" w:hanging="178"/>
        <w:jc w:val="left"/>
      </w:pPr>
      <w:r>
        <w:rPr>
          <w:rFonts w:ascii="Times New Roman" w:eastAsia="Times New Roman" w:hAnsi="Times New Roman" w:cs="Times New Roman"/>
          <w:sz w:val="24"/>
        </w:rPr>
        <w:t xml:space="preserve">Outlook. Retrieved from </w:t>
      </w:r>
      <w:hyperlink r:id="rId102">
        <w:r>
          <w:rPr>
            <w:rFonts w:ascii="Times New Roman" w:eastAsia="Times New Roman" w:hAnsi="Times New Roman" w:cs="Times New Roman"/>
            <w:color w:val="0563C1"/>
            <w:sz w:val="24"/>
            <w:u w:val="single" w:color="0563C1"/>
          </w:rPr>
          <w:t>https://www.6wresearch.com/industry</w:t>
        </w:r>
      </w:hyperlink>
      <w:hyperlink r:id="rId103">
        <w:r>
          <w:rPr>
            <w:rFonts w:ascii="Times New Roman" w:eastAsia="Times New Roman" w:hAnsi="Times New Roman" w:cs="Times New Roman"/>
            <w:color w:val="0563C1"/>
            <w:sz w:val="24"/>
            <w:u w:val="single" w:color="0563C1"/>
          </w:rPr>
          <w:t>-</w:t>
        </w:r>
      </w:hyperlink>
      <w:hyperlink r:id="rId104">
        <w:r>
          <w:rPr>
            <w:rFonts w:ascii="Times New Roman" w:eastAsia="Times New Roman" w:hAnsi="Times New Roman" w:cs="Times New Roman"/>
            <w:color w:val="0563C1"/>
            <w:sz w:val="24"/>
            <w:u w:val="single" w:color="0563C1"/>
          </w:rPr>
          <w:t>report/saudi</w:t>
        </w:r>
      </w:hyperlink>
      <w:hyperlink r:id="rId105">
        <w:r>
          <w:rPr>
            <w:rFonts w:ascii="Times New Roman" w:eastAsia="Times New Roman" w:hAnsi="Times New Roman" w:cs="Times New Roman"/>
            <w:color w:val="0563C1"/>
            <w:sz w:val="24"/>
            <w:u w:val="single" w:color="0563C1"/>
          </w:rPr>
          <w:t>-</w:t>
        </w:r>
      </w:hyperlink>
      <w:hyperlink r:id="rId106">
        <w:r>
          <w:rPr>
            <w:rFonts w:ascii="Times New Roman" w:eastAsia="Times New Roman" w:hAnsi="Times New Roman" w:cs="Times New Roman"/>
            <w:color w:val="0563C1"/>
            <w:sz w:val="24"/>
            <w:u w:val="single" w:color="0563C1"/>
          </w:rPr>
          <w:t>arabia</w:t>
        </w:r>
      </w:hyperlink>
      <w:hyperlink r:id="rId107">
        <w:r>
          <w:rPr>
            <w:rFonts w:ascii="Times New Roman" w:eastAsia="Times New Roman" w:hAnsi="Times New Roman" w:cs="Times New Roman"/>
            <w:color w:val="0563C1"/>
            <w:sz w:val="24"/>
            <w:u w:val="single" w:color="0563C1"/>
          </w:rPr>
          <w:t>-</w:t>
        </w:r>
      </w:hyperlink>
      <w:hyperlink r:id="rId108">
        <w:r>
          <w:rPr>
            <w:rFonts w:ascii="Times New Roman" w:eastAsia="Times New Roman" w:hAnsi="Times New Roman" w:cs="Times New Roman"/>
            <w:color w:val="0563C1"/>
            <w:sz w:val="24"/>
            <w:u w:val="single" w:color="0563C1"/>
          </w:rPr>
          <w:t>industrial</w:t>
        </w:r>
      </w:hyperlink>
      <w:hyperlink r:id="rId109"/>
      <w:hyperlink r:id="rId110">
        <w:r>
          <w:rPr>
            <w:rFonts w:ascii="Times New Roman" w:eastAsia="Times New Roman" w:hAnsi="Times New Roman" w:cs="Times New Roman"/>
            <w:color w:val="0563C1"/>
            <w:sz w:val="24"/>
            <w:u w:val="single" w:color="0563C1"/>
          </w:rPr>
          <w:t>pumps</w:t>
        </w:r>
      </w:hyperlink>
      <w:hyperlink r:id="rId111">
        <w:r>
          <w:rPr>
            <w:rFonts w:ascii="Times New Roman" w:eastAsia="Times New Roman" w:hAnsi="Times New Roman" w:cs="Times New Roman"/>
            <w:color w:val="0563C1"/>
            <w:sz w:val="24"/>
            <w:u w:val="single" w:color="0563C1"/>
          </w:rPr>
          <w:t>-</w:t>
        </w:r>
      </w:hyperlink>
      <w:hyperlink r:id="rId112">
        <w:r>
          <w:rPr>
            <w:rFonts w:ascii="Times New Roman" w:eastAsia="Times New Roman" w:hAnsi="Times New Roman" w:cs="Times New Roman"/>
            <w:color w:val="0563C1"/>
            <w:sz w:val="24"/>
            <w:u w:val="single" w:color="0563C1"/>
          </w:rPr>
          <w:t>market</w:t>
        </w:r>
      </w:hyperlink>
      <w:hyperlink r:id="rId113">
        <w:r>
          <w:rPr>
            <w:rFonts w:ascii="Times New Roman" w:eastAsia="Times New Roman" w:hAnsi="Times New Roman" w:cs="Times New Roman"/>
            <w:color w:val="0563C1"/>
            <w:sz w:val="24"/>
            <w:u w:val="single" w:color="0563C1"/>
          </w:rPr>
          <w:t>-</w:t>
        </w:r>
      </w:hyperlink>
      <w:hyperlink r:id="rId114">
        <w:r>
          <w:rPr>
            <w:rFonts w:ascii="Times New Roman" w:eastAsia="Times New Roman" w:hAnsi="Times New Roman" w:cs="Times New Roman"/>
            <w:color w:val="0563C1"/>
            <w:sz w:val="24"/>
            <w:u w:val="single" w:color="0563C1"/>
          </w:rPr>
          <w:t>outlook</w:t>
        </w:r>
      </w:hyperlink>
      <w:hyperlink r:id="rId115">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[10] Saudi Vision 2030. (n.d.). About Vision 2030. Retrieved from </w:t>
      </w:r>
      <w:hyperlink r:id="rId116">
        <w:r>
          <w:rPr>
            <w:rFonts w:ascii="Times New Roman" w:eastAsia="Times New Roman" w:hAnsi="Times New Roman" w:cs="Times New Roman"/>
            <w:color w:val="0563C1"/>
            <w:sz w:val="24"/>
            <w:u w:val="single" w:color="0563C1"/>
          </w:rPr>
          <w:t>https://www.vision2030.gov.sa/</w:t>
        </w:r>
      </w:hyperlink>
      <w:hyperlink r:id="rId117">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[11] Grundfos. (n.d.). Sustainable Solutions. Retrieved from </w:t>
      </w:r>
      <w:hyperlink r:id="rId118">
        <w:r>
          <w:rPr>
            <w:rFonts w:ascii="Times New Roman" w:eastAsia="Times New Roman" w:hAnsi="Times New Roman" w:cs="Times New Roman"/>
            <w:color w:val="0563C1"/>
            <w:sz w:val="24"/>
            <w:u w:val="single" w:color="0563C1"/>
          </w:rPr>
          <w:t>https://www.grundfos.com/sa/about</w:t>
        </w:r>
      </w:hyperlink>
      <w:hyperlink r:id="rId119">
        <w:r>
          <w:rPr>
            <w:rFonts w:ascii="Times New Roman" w:eastAsia="Times New Roman" w:hAnsi="Times New Roman" w:cs="Times New Roman"/>
            <w:color w:val="0563C1"/>
            <w:sz w:val="24"/>
            <w:u w:val="single" w:color="0563C1"/>
          </w:rPr>
          <w:t>-</w:t>
        </w:r>
      </w:hyperlink>
      <w:hyperlink r:id="rId120">
        <w:r>
          <w:rPr>
            <w:rFonts w:ascii="Times New Roman" w:eastAsia="Times New Roman" w:hAnsi="Times New Roman" w:cs="Times New Roman"/>
            <w:color w:val="0563C1"/>
            <w:sz w:val="24"/>
            <w:u w:val="single" w:color="0563C1"/>
          </w:rPr>
          <w:t>us/sustainable</w:t>
        </w:r>
      </w:hyperlink>
      <w:hyperlink r:id="rId121">
        <w:r>
          <w:rPr>
            <w:rFonts w:ascii="Times New Roman" w:eastAsia="Times New Roman" w:hAnsi="Times New Roman" w:cs="Times New Roman"/>
            <w:color w:val="0563C1"/>
            <w:sz w:val="24"/>
            <w:u w:val="single" w:color="0563C1"/>
          </w:rPr>
          <w:t>-</w:t>
        </w:r>
      </w:hyperlink>
      <w:hyperlink r:id="rId122">
        <w:r>
          <w:rPr>
            <w:rFonts w:ascii="Times New Roman" w:eastAsia="Times New Roman" w:hAnsi="Times New Roman" w:cs="Times New Roman"/>
            <w:color w:val="0563C1"/>
            <w:sz w:val="24"/>
            <w:u w:val="single" w:color="0563C1"/>
          </w:rPr>
          <w:t>solutions</w:t>
        </w:r>
      </w:hyperlink>
      <w:hyperlink r:id="rId123">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[12] Shareek Program. (n.d.). </w:t>
      </w:r>
    </w:p>
    <w:p w14:paraId="3AF9C6AE" w14:textId="77777777" w:rsidR="005850DB" w:rsidRDefault="00000000">
      <w:pPr>
        <w:bidi w:val="0"/>
        <w:spacing w:after="13"/>
        <w:ind w:left="26" w:right="0" w:hanging="10"/>
      </w:pPr>
      <w:r>
        <w:rPr>
          <w:rFonts w:ascii="Times New Roman" w:eastAsia="Times New Roman" w:hAnsi="Times New Roman" w:cs="Times New Roman"/>
          <w:sz w:val="24"/>
        </w:rPr>
        <w:t xml:space="preserve">About Shareek. Retrieved from </w:t>
      </w:r>
      <w:hyperlink r:id="rId124">
        <w:r>
          <w:rPr>
            <w:rFonts w:ascii="Times New Roman" w:eastAsia="Times New Roman" w:hAnsi="Times New Roman" w:cs="Times New Roman"/>
            <w:color w:val="0563C1"/>
            <w:sz w:val="24"/>
            <w:u w:val="single" w:color="0563C1"/>
          </w:rPr>
          <w:t>https://shareek.gov.sa/en/about</w:t>
        </w:r>
      </w:hyperlink>
      <w:hyperlink r:id="rId125">
        <w:r>
          <w:rPr>
            <w:rFonts w:ascii="Times New Roman" w:eastAsia="Times New Roman" w:hAnsi="Times New Roman" w:cs="Times New Roman"/>
            <w:color w:val="0563C1"/>
            <w:sz w:val="24"/>
            <w:u w:val="single" w:color="0563C1"/>
          </w:rPr>
          <w:t>-</w:t>
        </w:r>
      </w:hyperlink>
      <w:hyperlink r:id="rId126">
        <w:r>
          <w:rPr>
            <w:rFonts w:ascii="Times New Roman" w:eastAsia="Times New Roman" w:hAnsi="Times New Roman" w:cs="Times New Roman"/>
            <w:color w:val="0563C1"/>
            <w:sz w:val="24"/>
            <w:u w:val="single" w:color="0563C1"/>
          </w:rPr>
          <w:t>shareek/</w:t>
        </w:r>
      </w:hyperlink>
      <w:hyperlink r:id="rId127">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[13] Public </w:t>
      </w:r>
    </w:p>
    <w:p w14:paraId="1B47D25C" w14:textId="77777777" w:rsidR="005850DB" w:rsidRDefault="00000000">
      <w:pPr>
        <w:bidi w:val="0"/>
        <w:spacing w:after="379" w:line="248" w:lineRule="auto"/>
        <w:ind w:left="603" w:right="-7" w:firstLine="118"/>
        <w:jc w:val="left"/>
      </w:pPr>
      <w:r>
        <w:rPr>
          <w:rFonts w:ascii="Times New Roman" w:eastAsia="Times New Roman" w:hAnsi="Times New Roman" w:cs="Times New Roman"/>
          <w:sz w:val="24"/>
        </w:rPr>
        <w:t xml:space="preserve">Investment Fund. (n.d.). Giga-Projects. Retrieved from </w:t>
      </w:r>
      <w:hyperlink r:id="rId128">
        <w:r>
          <w:rPr>
            <w:rFonts w:ascii="Times New Roman" w:eastAsia="Times New Roman" w:hAnsi="Times New Roman" w:cs="Times New Roman"/>
            <w:color w:val="0563C1"/>
            <w:sz w:val="24"/>
            <w:u w:val="single" w:color="0563C1"/>
          </w:rPr>
          <w:t>https://www.pif.gov.sa/en/giga</w:t>
        </w:r>
      </w:hyperlink>
      <w:hyperlink r:id="rId129"/>
      <w:hyperlink r:id="rId130">
        <w:r>
          <w:rPr>
            <w:rFonts w:ascii="Times New Roman" w:eastAsia="Times New Roman" w:hAnsi="Times New Roman" w:cs="Times New Roman"/>
            <w:color w:val="0563C1"/>
            <w:sz w:val="24"/>
            <w:u w:val="single" w:color="0563C1"/>
          </w:rPr>
          <w:t>projects</w:t>
        </w:r>
      </w:hyperlink>
      <w:hyperlink r:id="rId13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[14] Deloitte. (2020). The future of risk management: How technology is transforming the function. Deloitte Insights. [15] General Authority for Statistics. (n.d.). Population Estimates. Retrieved from </w:t>
      </w:r>
      <w:hyperlink r:id="rId132">
        <w:r>
          <w:rPr>
            <w:rFonts w:ascii="Times New Roman" w:eastAsia="Times New Roman" w:hAnsi="Times New Roman" w:cs="Times New Roman"/>
            <w:color w:val="0563C1"/>
            <w:sz w:val="24"/>
            <w:u w:val="single" w:color="0563C1"/>
          </w:rPr>
          <w:t>https://www.stats.gov.sa/en/indicators/populatio</w:t>
        </w:r>
      </w:hyperlink>
      <w:hyperlink r:id="rId133">
        <w:r>
          <w:t xml:space="preserve"> </w:t>
        </w:r>
      </w:hyperlink>
      <w:hyperlink r:id="rId134">
        <w:r>
          <w:rPr>
            <w:rFonts w:ascii="Times New Roman" w:eastAsia="Times New Roman" w:hAnsi="Times New Roman" w:cs="Times New Roman"/>
            <w:color w:val="0563C1"/>
            <w:sz w:val="24"/>
            <w:u w:val="single" w:color="0563C1"/>
          </w:rPr>
          <w:t>estimate</w:t>
        </w:r>
      </w:hyperlink>
      <w:hyperlink r:id="rId135">
        <w:r>
          <w:rPr>
            <w:rFonts w:ascii="Times New Roman" w:eastAsia="Times New Roman" w:hAnsi="Times New Roman" w:cs="Times New Roman"/>
            <w:color w:val="0563C1"/>
            <w:sz w:val="24"/>
            <w:u w:val="single" w:color="0563C1"/>
          </w:rPr>
          <w:t>n</w:t>
        </w:r>
      </w:hyperlink>
      <w:hyperlink r:id="rId136">
        <w:r>
          <w:rPr>
            <w:rFonts w:ascii="Times New Roman" w:eastAsia="Times New Roman" w:hAnsi="Times New Roman" w:cs="Times New Roman"/>
            <w:color w:val="0563C1"/>
            <w:sz w:val="24"/>
            <w:u w:val="single" w:color="0563C1"/>
          </w:rPr>
          <w:t>s</w:t>
        </w:r>
      </w:hyperlink>
      <w:hyperlink r:id="rId137">
        <w:r>
          <w:rPr>
            <w:rFonts w:ascii="Times New Roman" w:eastAsia="Times New Roman" w:hAnsi="Times New Roman" w:cs="Times New Roman"/>
            <w:color w:val="0563C1"/>
            <w:sz w:val="24"/>
            <w:u w:val="single" w:color="0563C1"/>
          </w:rPr>
          <w:t>-</w:t>
        </w:r>
      </w:hyperlink>
    </w:p>
    <w:p w14:paraId="2D5DE266" w14:textId="77777777" w:rsidR="005850DB" w:rsidRDefault="00000000">
      <w:pPr>
        <w:bidi w:val="0"/>
        <w:spacing w:after="45" w:line="259" w:lineRule="auto"/>
        <w:ind w:left="0" w:right="58" w:firstLine="0"/>
      </w:pPr>
      <w:r>
        <w:t xml:space="preserve"> </w:t>
      </w:r>
    </w:p>
    <w:p w14:paraId="05C327C5"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سياق المشكلة وأبعادها </w:t>
      </w:r>
      <w:r>
        <w:rPr>
          <w:rFonts w:ascii="Times New Roman" w:eastAsia="Times New Roman" w:hAnsi="Times New Roman" w:cs="Times New Roman"/>
          <w:bCs/>
          <w:szCs w:val="32"/>
          <w:rtl/>
        </w:rPr>
        <w:t xml:space="preserve"> </w:t>
      </w:r>
    </w:p>
    <w:p w14:paraId="2AD95356" w14:textId="77777777" w:rsidR="005850DB" w:rsidRDefault="00000000">
      <w:pPr>
        <w:spacing w:after="56"/>
        <w:ind w:right="100"/>
      </w:pPr>
      <w:r>
        <w:rPr>
          <w:szCs w:val="28"/>
          <w:rtl/>
        </w:rPr>
        <w:t xml:space="preserve">تعد صناعة المضخات في المملكة العربية السعودية قطاعاً حيوياً وواعداً، نظ اًر لدورها المحوري في دعم البنية التحتية والمشاريع التنموية الكبرى. ومع ذلك، فإن هذه الصناعة، كغيرها من الصناعات المعقدة، تواجه تحديات ومخاطر متعددة قد تؤثر على نجاح مشاريعها. على الرغم من الوعي المت ازيد بأهمية إدارة المخاطر على المستوى المؤسسي والوطني في المملكة، إلا أن هناك فجوة واضحة في فهم كيفية تطبيق هذه الممارسات بفعالية في سياق مشاريع صناعة المضخات تحديداً، وكيف تؤثر هذه الممارسات على تحقيق أهداف المشروع] </w:t>
      </w:r>
      <w:r>
        <w:rPr>
          <w:rFonts w:ascii="Times New Roman" w:eastAsia="Times New Roman" w:hAnsi="Times New Roman" w:cs="Times New Roman"/>
          <w:szCs w:val="28"/>
        </w:rPr>
        <w:t>16</w:t>
      </w:r>
      <w:r>
        <w:rPr>
          <w:szCs w:val="28"/>
          <w:rtl/>
        </w:rPr>
        <w:t xml:space="preserve">[. </w:t>
      </w:r>
    </w:p>
    <w:p w14:paraId="6E5EC881" w14:textId="77777777" w:rsidR="005850DB" w:rsidRDefault="00000000">
      <w:pPr>
        <w:ind w:right="7"/>
      </w:pPr>
      <w:r>
        <w:rPr>
          <w:szCs w:val="28"/>
          <w:rtl/>
        </w:rPr>
        <w:t xml:space="preserve">تتجسد المشكلة البحثية في عدم وجود فهم كا ٍف وموثق لدور إدارة المخاطر في تحقيق نجاح مشاريع صناعة المضخات في المملكة العربية السعودية. ففي حين أن الأدبيات العامة لإدارة المخاطر واسعة، إلا أن الد ارسات المتخصصة التي تركز على هذا القطاع الحيوي في السياق السعودي نادرة. هذا النقص في المعرفة يؤدي إلى عدة أبعاد للمشكلة: </w:t>
      </w:r>
    </w:p>
    <w:p w14:paraId="453EFAE5" w14:textId="77777777" w:rsidR="005850DB" w:rsidRDefault="00000000">
      <w:pPr>
        <w:numPr>
          <w:ilvl w:val="0"/>
          <w:numId w:val="9"/>
        </w:numPr>
        <w:ind w:right="100" w:hanging="362"/>
      </w:pPr>
      <w:r>
        <w:rPr>
          <w:b/>
          <w:bCs/>
          <w:szCs w:val="28"/>
          <w:rtl/>
        </w:rPr>
        <w:t>غياب الأطر المخصصة:</w:t>
      </w:r>
      <w:r>
        <w:rPr>
          <w:szCs w:val="28"/>
          <w:rtl/>
        </w:rPr>
        <w:t xml:space="preserve"> تفتقر شركات صناعة المضخات إلى أطر عمل واضحة ومخصصة لإدارة المخاطر تأخذ في الاعتبار الخصائص الفريدة لهذه الصناعة، مثل تعقيد التصنيع، وطول سلاسل التوريد، والاعتماد على التقنيات المتقدمة]  </w:t>
      </w:r>
      <w:r>
        <w:rPr>
          <w:rFonts w:ascii="Times New Roman" w:eastAsia="Times New Roman" w:hAnsi="Times New Roman" w:cs="Times New Roman"/>
          <w:szCs w:val="28"/>
        </w:rPr>
        <w:t>17</w:t>
      </w:r>
      <w:r>
        <w:rPr>
          <w:szCs w:val="28"/>
          <w:rtl/>
        </w:rPr>
        <w:t xml:space="preserve">[ . </w:t>
      </w:r>
    </w:p>
    <w:p w14:paraId="1C2BEAC0" w14:textId="77777777" w:rsidR="005850DB" w:rsidRDefault="00000000">
      <w:pPr>
        <w:numPr>
          <w:ilvl w:val="0"/>
          <w:numId w:val="9"/>
        </w:numPr>
        <w:ind w:right="100" w:hanging="362"/>
      </w:pPr>
      <w:r>
        <w:rPr>
          <w:b/>
          <w:bCs/>
          <w:szCs w:val="28"/>
          <w:rtl/>
        </w:rPr>
        <w:t>تأثير المخاطر غير المدارة:</w:t>
      </w:r>
      <w:r>
        <w:rPr>
          <w:szCs w:val="28"/>
          <w:rtl/>
        </w:rPr>
        <w:t xml:space="preserve"> يؤدي عدم تطبيق ممارسات إدارة المخاطر الفعالة إلى تعرض المشاريع لمخاطر غير متوقعة، مثل تجاوز المي ازنية، والتأخير في الجدول الزمني، ومشكلات الجودة، مما يؤثر سلباً على ربحية الشركات وسمعتها  ]</w:t>
      </w:r>
      <w:r>
        <w:rPr>
          <w:rFonts w:ascii="Times New Roman" w:eastAsia="Times New Roman" w:hAnsi="Times New Roman" w:cs="Times New Roman"/>
          <w:szCs w:val="28"/>
        </w:rPr>
        <w:t>18</w:t>
      </w:r>
      <w:r>
        <w:rPr>
          <w:szCs w:val="28"/>
          <w:rtl/>
        </w:rPr>
        <w:t xml:space="preserve">[. </w:t>
      </w:r>
    </w:p>
    <w:p w14:paraId="5BD98D22" w14:textId="77777777" w:rsidR="005850DB" w:rsidRDefault="00000000">
      <w:pPr>
        <w:numPr>
          <w:ilvl w:val="0"/>
          <w:numId w:val="9"/>
        </w:numPr>
        <w:ind w:right="100" w:hanging="362"/>
      </w:pPr>
      <w:r>
        <w:rPr>
          <w:b/>
          <w:bCs/>
          <w:szCs w:val="28"/>
          <w:rtl/>
        </w:rPr>
        <w:t>نقص البيانات المحلية:</w:t>
      </w:r>
      <w:r>
        <w:rPr>
          <w:szCs w:val="28"/>
          <w:rtl/>
        </w:rPr>
        <w:t xml:space="preserve"> هناك نقص في البيانات والمعلومات الموثقة حول أنواع المخاطر الأكثر شيوعاً وتأثي اًر في مشاريع صناعة المضخات السعودية، وكيفية تعامل الشركات معها. هذا النقص يعيق القدرة على تطوير است ارتيجيات فعالة ومبنية على الأدلة] </w:t>
      </w:r>
      <w:r>
        <w:rPr>
          <w:rFonts w:ascii="Times New Roman" w:eastAsia="Times New Roman" w:hAnsi="Times New Roman" w:cs="Times New Roman"/>
          <w:szCs w:val="28"/>
        </w:rPr>
        <w:t>19</w:t>
      </w:r>
      <w:r>
        <w:rPr>
          <w:szCs w:val="28"/>
          <w:rtl/>
        </w:rPr>
        <w:t xml:space="preserve">[ . </w:t>
      </w:r>
    </w:p>
    <w:p w14:paraId="440832D5" w14:textId="77777777" w:rsidR="005850DB" w:rsidRDefault="00000000">
      <w:pPr>
        <w:numPr>
          <w:ilvl w:val="0"/>
          <w:numId w:val="9"/>
        </w:numPr>
        <w:ind w:right="100" w:hanging="362"/>
      </w:pPr>
      <w:r>
        <w:rPr>
          <w:b/>
          <w:bCs/>
          <w:szCs w:val="28"/>
          <w:rtl/>
        </w:rPr>
        <w:lastRenderedPageBreak/>
        <w:t>تحديات التوطين:</w:t>
      </w:r>
      <w:r>
        <w:rPr>
          <w:szCs w:val="28"/>
          <w:rtl/>
        </w:rPr>
        <w:t xml:space="preserve"> مع سعي المملكة لتوطين الصناعات وزيادة المحتوى المحلي، تبرز الحاجة إلى فهم كيفية إدارة المخاطر المرتبطة بنقل التكنولوجيا، وتطوير الكفاءات المحلية، وبناء سلاسل توريد محلية قوية في قطاع المضخات] </w:t>
      </w:r>
      <w:r>
        <w:rPr>
          <w:rFonts w:ascii="Times New Roman" w:eastAsia="Times New Roman" w:hAnsi="Times New Roman" w:cs="Times New Roman"/>
          <w:szCs w:val="28"/>
        </w:rPr>
        <w:t>20</w:t>
      </w:r>
      <w:r>
        <w:rPr>
          <w:szCs w:val="28"/>
          <w:rtl/>
        </w:rPr>
        <w:t xml:space="preserve">[ . </w:t>
      </w:r>
    </w:p>
    <w:p w14:paraId="0992FB49" w14:textId="77777777" w:rsidR="005850DB" w:rsidRDefault="00000000">
      <w:pPr>
        <w:ind w:right="687"/>
      </w:pPr>
      <w:r>
        <w:rPr>
          <w:szCs w:val="28"/>
          <w:rtl/>
        </w:rPr>
        <w:t xml:space="preserve">إن معالجة هذه المشكلة البحثية ستساهم في سد فجوة معرفية مهمة، وستوفر رؤى قيمة للممارسين وصناع الق ارر في شركات صناعة المضخات، مما يمكنهم من تحسين أدائهم وتعزيز فرص نجاح مشاريعهم في بيئة الأعمال السعودية المتغيرة.  </w:t>
      </w:r>
    </w:p>
    <w:p w14:paraId="66BED431" w14:textId="77777777" w:rsidR="005850DB" w:rsidRDefault="00000000">
      <w:pPr>
        <w:bidi w:val="0"/>
        <w:spacing w:after="54" w:line="259" w:lineRule="auto"/>
        <w:ind w:left="0" w:right="58" w:firstLine="0"/>
      </w:pPr>
      <w:r>
        <w:t xml:space="preserve"> </w:t>
      </w:r>
    </w:p>
    <w:p w14:paraId="41DF503D"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أسئلة الدارسة  </w:t>
      </w:r>
    </w:p>
    <w:p w14:paraId="2F161857" w14:textId="77777777" w:rsidR="005850DB" w:rsidRDefault="00000000">
      <w:pPr>
        <w:spacing w:after="2" w:line="259" w:lineRule="auto"/>
        <w:ind w:left="12" w:right="0" w:hanging="10"/>
        <w:jc w:val="left"/>
      </w:pPr>
      <w:r>
        <w:rPr>
          <w:szCs w:val="28"/>
          <w:rtl/>
        </w:rPr>
        <w:t xml:space="preserve">بناءً على المشكلة البحثية المذكورة أعلاه، تسعى هذه الد ارسة إلى الإجابة على الأسئلة الرئيسية التالية : </w:t>
      </w:r>
    </w:p>
    <w:p w14:paraId="7DB095D2" w14:textId="77777777" w:rsidR="005850DB" w:rsidRDefault="00000000">
      <w:pPr>
        <w:numPr>
          <w:ilvl w:val="0"/>
          <w:numId w:val="10"/>
        </w:numPr>
        <w:ind w:left="631" w:right="428" w:hanging="360"/>
      </w:pPr>
      <w:r>
        <w:rPr>
          <w:szCs w:val="28"/>
          <w:rtl/>
        </w:rPr>
        <w:t xml:space="preserve">ما هو مستوى تطبيق ممارسات إدارة المخاطر )تحديد، تحليل، استجابة، م ارقبة( في مشاريع صناعة المضخات في مناطق المملكة العربية السعودية ؟ </w:t>
      </w:r>
    </w:p>
    <w:p w14:paraId="7A709FC8" w14:textId="77777777" w:rsidR="005850DB" w:rsidRDefault="00000000">
      <w:pPr>
        <w:numPr>
          <w:ilvl w:val="0"/>
          <w:numId w:val="10"/>
        </w:numPr>
        <w:ind w:left="631" w:right="428" w:hanging="360"/>
      </w:pPr>
      <w:r>
        <w:rPr>
          <w:szCs w:val="28"/>
          <w:rtl/>
        </w:rPr>
        <w:t xml:space="preserve">ما هو مستوى نجاح مشاريع صناعة المضخات في مناطق المملكة العربية السعودية ؟ </w:t>
      </w:r>
    </w:p>
    <w:p w14:paraId="4DAEBDA8" w14:textId="77777777" w:rsidR="005850DB" w:rsidRDefault="00000000">
      <w:pPr>
        <w:numPr>
          <w:ilvl w:val="0"/>
          <w:numId w:val="10"/>
        </w:numPr>
        <w:ind w:left="631" w:right="428" w:hanging="360"/>
      </w:pPr>
      <w:r>
        <w:rPr>
          <w:szCs w:val="28"/>
          <w:rtl/>
        </w:rPr>
        <w:t xml:space="preserve">هل توجد علاقة ذات دلالة إحصائية بين تطبيق ممارسات إدارة المخاطر ونجاح مشاريع صناعة المضخات في مناطق المملكة العربية السعودية ؟ </w:t>
      </w:r>
    </w:p>
    <w:p w14:paraId="43AEB591" w14:textId="77777777" w:rsidR="005850DB" w:rsidRDefault="00000000">
      <w:pPr>
        <w:numPr>
          <w:ilvl w:val="0"/>
          <w:numId w:val="10"/>
        </w:numPr>
        <w:ind w:left="631" w:right="428" w:hanging="360"/>
      </w:pPr>
      <w:r>
        <w:rPr>
          <w:szCs w:val="28"/>
          <w:rtl/>
        </w:rPr>
        <w:t>ما هي أبرز التحديات التي تواجه تطبيق إدارة المخاطر في مشاريع صناعة المضخات في مناطق المملكة العربية السعودية ؟  -</w:t>
      </w:r>
      <w:r>
        <w:rPr>
          <w:rFonts w:ascii="Arial" w:eastAsia="Arial" w:hAnsi="Arial" w:cs="Arial"/>
          <w:sz w:val="24"/>
          <w:rtl/>
        </w:rPr>
        <w:t xml:space="preserve"> </w:t>
      </w:r>
      <w:r>
        <w:rPr>
          <w:szCs w:val="28"/>
          <w:rtl/>
        </w:rPr>
        <w:t xml:space="preserve">ما هي أفضل الممارسات المقترحة لتحسين إدارة المخاطر في مشاريع صناعة المضخات في مناطق المملكة العربية السعودية ؟ </w:t>
      </w:r>
    </w:p>
    <w:p w14:paraId="207845DB" w14:textId="77777777" w:rsidR="005850DB" w:rsidRDefault="00000000">
      <w:pPr>
        <w:ind w:right="325"/>
      </w:pPr>
      <w:r>
        <w:rPr>
          <w:szCs w:val="28"/>
          <w:rtl/>
        </w:rPr>
        <w:t xml:space="preserve">تهدف هذه الأسئلة إلى توجيه عملية جمع البيانات وتحليلها، وتقديم إجابات شاملة تسهم في فهم أعمق لدور إدارة المخاطر في هذا القطاع الحيوي. </w:t>
      </w:r>
    </w:p>
    <w:p w14:paraId="411CB5A8"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571B25F"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5D48CCC"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62A6757"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53CB70E9" w14:textId="77777777" w:rsidR="005850DB" w:rsidRDefault="00000000">
      <w:pPr>
        <w:bidi w:val="0"/>
        <w:spacing w:after="38" w:line="259" w:lineRule="auto"/>
        <w:ind w:left="0" w:right="69" w:firstLine="0"/>
      </w:pPr>
      <w:r>
        <w:rPr>
          <w:rFonts w:ascii="Times New Roman" w:eastAsia="Times New Roman" w:hAnsi="Times New Roman" w:cs="Times New Roman"/>
        </w:rPr>
        <w:t xml:space="preserve"> </w:t>
      </w:r>
    </w:p>
    <w:p w14:paraId="3EB781AC" w14:textId="77777777" w:rsidR="005850DB" w:rsidRDefault="00000000">
      <w:pPr>
        <w:bidi w:val="0"/>
        <w:spacing w:after="9" w:line="259" w:lineRule="auto"/>
        <w:ind w:left="0" w:right="58" w:firstLine="0"/>
      </w:pPr>
      <w:r>
        <w:t xml:space="preserve"> </w:t>
      </w:r>
    </w:p>
    <w:p w14:paraId="20F673F6" w14:textId="77777777" w:rsidR="005850DB" w:rsidRDefault="00000000">
      <w:pPr>
        <w:spacing w:after="3" w:line="259" w:lineRule="auto"/>
        <w:ind w:left="7" w:right="0" w:hanging="10"/>
        <w:jc w:val="left"/>
      </w:pPr>
      <w:r>
        <w:rPr>
          <w:b/>
          <w:bCs/>
          <w:sz w:val="32"/>
          <w:szCs w:val="32"/>
          <w:rtl/>
        </w:rPr>
        <w:t xml:space="preserve">المارجع:  </w:t>
      </w:r>
    </w:p>
    <w:p w14:paraId="29CB5AFE" w14:textId="77777777" w:rsidR="005850DB" w:rsidRDefault="00000000">
      <w:pPr>
        <w:bidi w:val="0"/>
        <w:spacing w:after="13"/>
        <w:ind w:left="26" w:right="0" w:hanging="10"/>
      </w:pPr>
      <w:r>
        <w:rPr>
          <w:rFonts w:ascii="Times New Roman" w:eastAsia="Times New Roman" w:hAnsi="Times New Roman" w:cs="Times New Roman"/>
          <w:sz w:val="24"/>
        </w:rPr>
        <w:t xml:space="preserve">[16] Al-Maliki, F. (2020). Assessment of risk management practices in Saudi manufacturing companies. International Journal of Business and Management, 15(3), 112-125. [17] Invest Saudi. (n.d.). Industrial Pumps Investment Opportunity. Retrieved from </w:t>
      </w:r>
      <w:hyperlink r:id="rId138">
        <w:r>
          <w:rPr>
            <w:rFonts w:ascii="Times New Roman" w:eastAsia="Times New Roman" w:hAnsi="Times New Roman" w:cs="Times New Roman"/>
            <w:color w:val="0563C1"/>
            <w:sz w:val="24"/>
            <w:u w:val="single" w:color="0563C1"/>
          </w:rPr>
          <w:t>https://investsaudi.sa/medias/Industrial</w:t>
        </w:r>
      </w:hyperlink>
      <w:hyperlink r:id="rId139">
        <w:r>
          <w:rPr>
            <w:rFonts w:ascii="Times New Roman" w:eastAsia="Times New Roman" w:hAnsi="Times New Roman" w:cs="Times New Roman"/>
            <w:color w:val="0563C1"/>
            <w:sz w:val="24"/>
            <w:u w:val="single" w:color="0563C1"/>
          </w:rPr>
          <w:t>-</w:t>
        </w:r>
      </w:hyperlink>
      <w:hyperlink r:id="rId140">
        <w:r>
          <w:rPr>
            <w:rFonts w:ascii="Times New Roman" w:eastAsia="Times New Roman" w:hAnsi="Times New Roman" w:cs="Times New Roman"/>
            <w:color w:val="0563C1"/>
            <w:sz w:val="24"/>
            <w:u w:val="single" w:color="0563C1"/>
          </w:rPr>
          <w:t>Pumps.pdf</w:t>
        </w:r>
      </w:hyperlink>
      <w:hyperlink r:id="rId14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[18] Project Management Institute. (2017). </w:t>
      </w:r>
    </w:p>
    <w:p w14:paraId="796E85B5"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lastRenderedPageBreak/>
        <w:t xml:space="preserve">A Guide to the Project Management Body of Knowledge (PMBOK® Guide) (6th ed.). Project </w:t>
      </w:r>
    </w:p>
    <w:p w14:paraId="200C5CE1" w14:textId="77777777" w:rsidR="005850DB" w:rsidRDefault="00000000">
      <w:pPr>
        <w:bidi w:val="0"/>
        <w:spacing w:after="13"/>
        <w:ind w:left="26" w:right="0" w:hanging="10"/>
      </w:pPr>
      <w:r>
        <w:rPr>
          <w:rFonts w:ascii="Times New Roman" w:eastAsia="Times New Roman" w:hAnsi="Times New Roman" w:cs="Times New Roman"/>
          <w:sz w:val="24"/>
        </w:rPr>
        <w:t xml:space="preserve">Management Institute. [19] Al-Ghamdi, A. S. (2018). Risk management practices in Saudi </w:t>
      </w:r>
    </w:p>
    <w:p w14:paraId="1553DB6A" w14:textId="77777777" w:rsidR="005850DB" w:rsidRDefault="00000000">
      <w:pPr>
        <w:bidi w:val="0"/>
        <w:spacing w:after="154"/>
        <w:ind w:left="26" w:right="0" w:hanging="10"/>
      </w:pPr>
      <w:r>
        <w:rPr>
          <w:rFonts w:ascii="Times New Roman" w:eastAsia="Times New Roman" w:hAnsi="Times New Roman" w:cs="Times New Roman"/>
          <w:sz w:val="24"/>
        </w:rPr>
        <w:t xml:space="preserve">Arabian industrial projects: A review. Journal of Industrial Engineering and Management, </w:t>
      </w:r>
    </w:p>
    <w:p w14:paraId="4D152369" w14:textId="77777777" w:rsidR="005850DB" w:rsidRDefault="00000000">
      <w:pPr>
        <w:bidi w:val="0"/>
        <w:spacing w:after="353"/>
        <w:ind w:left="26" w:right="0" w:hanging="10"/>
      </w:pPr>
      <w:r>
        <w:rPr>
          <w:rFonts w:ascii="Times New Roman" w:eastAsia="Times New Roman" w:hAnsi="Times New Roman" w:cs="Times New Roman"/>
          <w:sz w:val="24"/>
        </w:rPr>
        <w:t xml:space="preserve">)2(11, 234-245. [20] Saudi Vision 2030. (n.d.). About Vision 2030. Retrieved from </w:t>
      </w:r>
      <w:r>
        <w:t xml:space="preserve"> </w:t>
      </w:r>
      <w:hyperlink r:id="rId142">
        <w:r>
          <w:rPr>
            <w:rFonts w:ascii="Times New Roman" w:eastAsia="Times New Roman" w:hAnsi="Times New Roman" w:cs="Times New Roman"/>
            <w:color w:val="0563C1"/>
            <w:sz w:val="24"/>
            <w:u w:val="single" w:color="0563C1"/>
          </w:rPr>
          <w:t>https://www.vision2030.gov.sa/</w:t>
        </w:r>
      </w:hyperlink>
    </w:p>
    <w:p w14:paraId="3EFC4BEF" w14:textId="77777777" w:rsidR="005850DB" w:rsidRDefault="00000000">
      <w:pPr>
        <w:bidi w:val="0"/>
        <w:spacing w:after="40" w:line="259" w:lineRule="auto"/>
        <w:ind w:left="0" w:right="58" w:firstLine="0"/>
      </w:pPr>
      <w:r>
        <w:t xml:space="preserve"> </w:t>
      </w:r>
    </w:p>
    <w:p w14:paraId="6FF9F307"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4</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الفرضيات الرئيسية والفرعية </w:t>
      </w:r>
      <w:r>
        <w:rPr>
          <w:rFonts w:ascii="Times New Roman" w:eastAsia="Times New Roman" w:hAnsi="Times New Roman" w:cs="Times New Roman"/>
          <w:bCs/>
          <w:szCs w:val="32"/>
          <w:rtl/>
        </w:rPr>
        <w:t xml:space="preserve"> </w:t>
      </w:r>
    </w:p>
    <w:p w14:paraId="62ED4043" w14:textId="77777777" w:rsidR="005850DB" w:rsidRDefault="00000000">
      <w:pPr>
        <w:ind w:right="300"/>
      </w:pPr>
      <w:r>
        <w:rPr>
          <w:szCs w:val="28"/>
          <w:rtl/>
        </w:rPr>
        <w:t xml:space="preserve">بناءً على المشكلة البحثية وأسئلة الد ارسة، تم صياغة الفرضيات التالية التي ستوجه التحليل الإحصائي في هذه الد ارسة: </w:t>
      </w:r>
    </w:p>
    <w:p w14:paraId="42C739C2" w14:textId="77777777" w:rsidR="005850DB" w:rsidRDefault="00000000">
      <w:pPr>
        <w:ind w:right="26"/>
      </w:pPr>
      <w:r>
        <w:rPr>
          <w:b/>
          <w:bCs/>
          <w:szCs w:val="28"/>
          <w:rtl/>
        </w:rPr>
        <w:t xml:space="preserve">الفرضية الرئيسية) </w:t>
      </w:r>
      <w:r>
        <w:rPr>
          <w:rFonts w:ascii="Times New Roman" w:eastAsia="Times New Roman" w:hAnsi="Times New Roman" w:cs="Times New Roman"/>
          <w:b/>
          <w:sz w:val="24"/>
        </w:rPr>
        <w:t>H0</w:t>
      </w:r>
      <w:r>
        <w:rPr>
          <w:b/>
          <w:bCs/>
          <w:szCs w:val="28"/>
          <w:rtl/>
        </w:rPr>
        <w:t>(:</w:t>
      </w:r>
      <w:r>
        <w:rPr>
          <w:szCs w:val="28"/>
          <w:rtl/>
        </w:rPr>
        <w:t xml:space="preserve"> لا توجد علاقة ذات دلالة إحصائية بين تطبيق ممارسات إدارة المخاطر ونجاح مشاريع صناعة المضخات في مناطق المملكة العربية السعودية. </w:t>
      </w:r>
    </w:p>
    <w:p w14:paraId="6FFFA522" w14:textId="77777777" w:rsidR="005850DB" w:rsidRDefault="00000000">
      <w:pPr>
        <w:ind w:right="435"/>
      </w:pPr>
      <w:r>
        <w:rPr>
          <w:b/>
          <w:bCs/>
          <w:szCs w:val="28"/>
          <w:rtl/>
        </w:rPr>
        <w:t xml:space="preserve">الفرضية البديلة) </w:t>
      </w:r>
      <w:r>
        <w:rPr>
          <w:rFonts w:ascii="Times New Roman" w:eastAsia="Times New Roman" w:hAnsi="Times New Roman" w:cs="Times New Roman"/>
          <w:b/>
          <w:sz w:val="24"/>
        </w:rPr>
        <w:t>H1</w:t>
      </w:r>
      <w:r>
        <w:rPr>
          <w:b/>
          <w:bCs/>
          <w:szCs w:val="28"/>
          <w:rtl/>
        </w:rPr>
        <w:t>(:</w:t>
      </w:r>
      <w:r>
        <w:rPr>
          <w:szCs w:val="28"/>
          <w:rtl/>
        </w:rPr>
        <w:t xml:space="preserve"> توجد علاقة ذات دلالة إحصائية بين تطبيق ممارسات إدارة المخاطر ونجاح مشاريع صناعة المضخات في مناطق المملكة العربية السعودية. </w:t>
      </w:r>
    </w:p>
    <w:p w14:paraId="3D6F0B81" w14:textId="77777777" w:rsidR="005850DB" w:rsidRDefault="00000000">
      <w:pPr>
        <w:spacing w:after="0" w:line="259" w:lineRule="auto"/>
        <w:ind w:left="8" w:right="0" w:hanging="10"/>
        <w:jc w:val="left"/>
      </w:pPr>
      <w:r>
        <w:rPr>
          <w:b/>
          <w:bCs/>
          <w:szCs w:val="28"/>
          <w:rtl/>
        </w:rPr>
        <w:t xml:space="preserve">الفرضيات الفرعية: </w:t>
      </w:r>
    </w:p>
    <w:p w14:paraId="68191AF8" w14:textId="77777777" w:rsidR="005850DB" w:rsidRDefault="00000000">
      <w:pPr>
        <w:numPr>
          <w:ilvl w:val="0"/>
          <w:numId w:val="11"/>
        </w:numPr>
        <w:ind w:right="260" w:hanging="361"/>
      </w:pPr>
      <w:r>
        <w:rPr>
          <w:b/>
          <w:bCs/>
          <w:szCs w:val="28"/>
          <w:rtl/>
        </w:rPr>
        <w:t xml:space="preserve">الفرضية الفرعية الأولى) </w:t>
      </w:r>
      <w:r>
        <w:rPr>
          <w:rFonts w:ascii="Times New Roman" w:eastAsia="Times New Roman" w:hAnsi="Times New Roman" w:cs="Times New Roman"/>
          <w:b/>
          <w:sz w:val="24"/>
        </w:rPr>
        <w:t>H1a</w:t>
      </w:r>
      <w:r>
        <w:rPr>
          <w:b/>
          <w:bCs/>
          <w:szCs w:val="28"/>
          <w:rtl/>
        </w:rPr>
        <w:t>(:</w:t>
      </w:r>
      <w:r>
        <w:rPr>
          <w:szCs w:val="28"/>
          <w:rtl/>
        </w:rPr>
        <w:t xml:space="preserve"> توجد علاقة ذات دلالة إحصائية بين تحديد المخاطر ونجاح مشاريع صناعة المضخات في مناطق المملكة العربية السعودية. </w:t>
      </w:r>
    </w:p>
    <w:p w14:paraId="262C8465" w14:textId="77777777" w:rsidR="005850DB" w:rsidRDefault="00000000">
      <w:pPr>
        <w:numPr>
          <w:ilvl w:val="0"/>
          <w:numId w:val="11"/>
        </w:numPr>
        <w:ind w:right="260" w:hanging="361"/>
      </w:pPr>
      <w:r>
        <w:rPr>
          <w:b/>
          <w:bCs/>
          <w:szCs w:val="28"/>
          <w:rtl/>
        </w:rPr>
        <w:t xml:space="preserve">الفرضية الفرعية الثانية) </w:t>
      </w:r>
      <w:r>
        <w:rPr>
          <w:rFonts w:ascii="Times New Roman" w:eastAsia="Times New Roman" w:hAnsi="Times New Roman" w:cs="Times New Roman"/>
          <w:b/>
          <w:sz w:val="24"/>
        </w:rPr>
        <w:t>H1b</w:t>
      </w:r>
      <w:r>
        <w:rPr>
          <w:b/>
          <w:bCs/>
          <w:szCs w:val="28"/>
          <w:rtl/>
        </w:rPr>
        <w:t>(:</w:t>
      </w:r>
      <w:r>
        <w:rPr>
          <w:szCs w:val="28"/>
          <w:rtl/>
        </w:rPr>
        <w:t xml:space="preserve"> توجد علاقة ذات دلالة إحصائية بين تحليل المخاطر ونجاح مشاريع صناعة المضخات في مناطق المملكة العربية السعودية. </w:t>
      </w:r>
    </w:p>
    <w:p w14:paraId="14DFEA8A" w14:textId="77777777" w:rsidR="005850DB" w:rsidRDefault="00000000">
      <w:pPr>
        <w:numPr>
          <w:ilvl w:val="0"/>
          <w:numId w:val="11"/>
        </w:numPr>
        <w:ind w:right="260" w:hanging="361"/>
      </w:pPr>
      <w:r>
        <w:rPr>
          <w:b/>
          <w:bCs/>
          <w:szCs w:val="28"/>
          <w:rtl/>
        </w:rPr>
        <w:t xml:space="preserve">الفرضية الفرعية الثالثة) </w:t>
      </w:r>
      <w:r>
        <w:rPr>
          <w:rFonts w:ascii="Times New Roman" w:eastAsia="Times New Roman" w:hAnsi="Times New Roman" w:cs="Times New Roman"/>
          <w:b/>
          <w:sz w:val="24"/>
        </w:rPr>
        <w:t>H1c</w:t>
      </w:r>
      <w:r>
        <w:rPr>
          <w:b/>
          <w:bCs/>
          <w:szCs w:val="28"/>
          <w:rtl/>
        </w:rPr>
        <w:t>(:</w:t>
      </w:r>
      <w:r>
        <w:rPr>
          <w:szCs w:val="28"/>
          <w:rtl/>
        </w:rPr>
        <w:t xml:space="preserve"> توجد علاقة ذات دلالة إحصائية بين الاستجابة للمخاطر ونجاح مشاريع صناعة المضخات في مناطق المملكة العربية السعودية. </w:t>
      </w:r>
    </w:p>
    <w:p w14:paraId="6D356D6C" w14:textId="77777777" w:rsidR="005850DB" w:rsidRDefault="00000000">
      <w:pPr>
        <w:numPr>
          <w:ilvl w:val="0"/>
          <w:numId w:val="11"/>
        </w:numPr>
        <w:ind w:right="260" w:hanging="361"/>
      </w:pPr>
      <w:r>
        <w:rPr>
          <w:b/>
          <w:bCs/>
          <w:szCs w:val="28"/>
          <w:rtl/>
        </w:rPr>
        <w:t xml:space="preserve">الفرضية الفرعية الاربعة) </w:t>
      </w:r>
      <w:r>
        <w:rPr>
          <w:rFonts w:ascii="Times New Roman" w:eastAsia="Times New Roman" w:hAnsi="Times New Roman" w:cs="Times New Roman"/>
          <w:b/>
          <w:sz w:val="24"/>
        </w:rPr>
        <w:t>H1d</w:t>
      </w:r>
      <w:r>
        <w:rPr>
          <w:b/>
          <w:bCs/>
          <w:szCs w:val="28"/>
          <w:rtl/>
        </w:rPr>
        <w:t>(:</w:t>
      </w:r>
      <w:r>
        <w:rPr>
          <w:szCs w:val="28"/>
          <w:rtl/>
        </w:rPr>
        <w:t xml:space="preserve"> توجد علاقة ذات دلالة إحصائية بين م ارقبة المخاطر ونجاح مشاريع صناعة المضخات في مناطق المملكة العربية السعودية. </w:t>
      </w:r>
    </w:p>
    <w:p w14:paraId="35B3B867" w14:textId="77777777" w:rsidR="005850DB" w:rsidRDefault="00000000">
      <w:pPr>
        <w:ind w:right="100"/>
      </w:pPr>
      <w:r>
        <w:rPr>
          <w:szCs w:val="28"/>
          <w:rtl/>
        </w:rPr>
        <w:t xml:space="preserve">تهدف هذه الفرضيات إلى اختبار التأثير المباشر لكل بعد من أبعاد إدارة المخاطر على نجاح المشاريع ،مما سيوفر فهماً تفصيلياً للعلاقات بين المتغي ارت. سيتم اختبار هذه الفرضيات باستخدام الأساليب الإحصائية المناسبة، وسيتم قبول أو رفض الفرضية الصفرية بناءً على النتائج الإحصائية. </w:t>
      </w:r>
      <w:r>
        <w:rPr>
          <w:rFonts w:ascii="Times New Roman" w:eastAsia="Times New Roman" w:hAnsi="Times New Roman" w:cs="Times New Roman"/>
          <w:szCs w:val="28"/>
          <w:rtl/>
        </w:rPr>
        <w:t xml:space="preserve"> </w:t>
      </w:r>
    </w:p>
    <w:p w14:paraId="4AB61E1C"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7ADF814"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8130448"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C984960" w14:textId="77777777" w:rsidR="005850DB" w:rsidRDefault="00000000">
      <w:pPr>
        <w:bidi w:val="0"/>
        <w:spacing w:after="40" w:line="259" w:lineRule="auto"/>
        <w:ind w:left="0" w:right="69" w:firstLine="0"/>
      </w:pPr>
      <w:r>
        <w:rPr>
          <w:rFonts w:ascii="Times New Roman" w:eastAsia="Times New Roman" w:hAnsi="Times New Roman" w:cs="Times New Roman"/>
        </w:rPr>
        <w:t xml:space="preserve"> </w:t>
      </w:r>
    </w:p>
    <w:p w14:paraId="4943AE3C" w14:textId="77777777" w:rsidR="005850DB" w:rsidRDefault="00000000">
      <w:pPr>
        <w:bidi w:val="0"/>
        <w:spacing w:after="39" w:line="259" w:lineRule="auto"/>
        <w:ind w:left="0" w:right="58" w:firstLine="0"/>
      </w:pPr>
      <w:r>
        <w:lastRenderedPageBreak/>
        <w:t xml:space="preserve"> </w:t>
      </w:r>
    </w:p>
    <w:p w14:paraId="447FFCC7"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4</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الإطار المفاهيمي للدارسة  </w:t>
      </w:r>
    </w:p>
    <w:p w14:paraId="7D1134FB" w14:textId="77777777" w:rsidR="005850DB" w:rsidRDefault="00000000">
      <w:pPr>
        <w:spacing w:after="53"/>
        <w:ind w:right="346"/>
      </w:pPr>
      <w:r>
        <w:rPr>
          <w:szCs w:val="28"/>
          <w:rtl/>
        </w:rPr>
        <w:t xml:space="preserve">يعرض الشكل </w:t>
      </w:r>
      <w:r>
        <w:rPr>
          <w:rFonts w:ascii="Times New Roman" w:eastAsia="Times New Roman" w:hAnsi="Times New Roman" w:cs="Times New Roman"/>
          <w:szCs w:val="28"/>
        </w:rPr>
        <w:t>1</w:t>
      </w:r>
      <w:r>
        <w:rPr>
          <w:szCs w:val="28"/>
          <w:rtl/>
        </w:rPr>
        <w:t xml:space="preserve"> -</w:t>
      </w:r>
      <w:r>
        <w:rPr>
          <w:rFonts w:ascii="Times New Roman" w:eastAsia="Times New Roman" w:hAnsi="Times New Roman" w:cs="Times New Roman"/>
          <w:szCs w:val="28"/>
        </w:rPr>
        <w:t>1</w:t>
      </w:r>
      <w:r>
        <w:rPr>
          <w:szCs w:val="28"/>
          <w:rtl/>
        </w:rPr>
        <w:t xml:space="preserve"> الإطار المفاهيمي للد ارسة، والذي يوضح العلاقة المتوقعة بين المتغي ارت المستقلة )أبعاد إدارة المخاطر( والمتغير التابع )نجاح مشاريع صناعة المضخات(. </w:t>
      </w:r>
      <w:r>
        <w:rPr>
          <w:rFonts w:ascii="Times New Roman" w:eastAsia="Times New Roman" w:hAnsi="Times New Roman" w:cs="Times New Roman"/>
          <w:szCs w:val="28"/>
          <w:rtl/>
        </w:rPr>
        <w:t xml:space="preserve"> </w:t>
      </w:r>
    </w:p>
    <w:p w14:paraId="182A8775" w14:textId="77777777" w:rsidR="005850DB" w:rsidRDefault="00000000">
      <w:pPr>
        <w:pStyle w:val="Heading2"/>
        <w:ind w:left="7"/>
      </w:pPr>
      <w:r>
        <w:rPr>
          <w:bCs/>
          <w:szCs w:val="32"/>
          <w:rtl/>
        </w:rPr>
        <w:t xml:space="preserve">شكل </w:t>
      </w:r>
      <w:r>
        <w:rPr>
          <w:rFonts w:ascii="Times New Roman" w:eastAsia="Times New Roman" w:hAnsi="Times New Roman" w:cs="Times New Roman"/>
          <w:bCs/>
          <w:szCs w:val="32"/>
        </w:rPr>
        <w:t>1</w:t>
      </w:r>
      <w:r>
        <w:rPr>
          <w:bCs/>
          <w:szCs w:val="32"/>
          <w:rtl/>
        </w:rPr>
        <w:t>-</w:t>
      </w:r>
      <w:r>
        <w:rPr>
          <w:rFonts w:ascii="Times New Roman" w:eastAsia="Times New Roman" w:hAnsi="Times New Roman" w:cs="Times New Roman"/>
          <w:bCs/>
          <w:szCs w:val="32"/>
        </w:rPr>
        <w:t>1</w:t>
      </w:r>
      <w:r>
        <w:rPr>
          <w:bCs/>
          <w:szCs w:val="32"/>
          <w:rtl/>
        </w:rPr>
        <w:t xml:space="preserve">: الإطار المفاهيمي للدارسة </w:t>
      </w:r>
      <w:r>
        <w:rPr>
          <w:rFonts w:ascii="Times New Roman" w:eastAsia="Times New Roman" w:hAnsi="Times New Roman" w:cs="Times New Roman"/>
          <w:bCs/>
          <w:szCs w:val="32"/>
          <w:rtl/>
        </w:rPr>
        <w:t xml:space="preserve"> </w:t>
      </w:r>
    </w:p>
    <w:p w14:paraId="329B5A2A" w14:textId="77777777" w:rsidR="005850DB" w:rsidRDefault="00000000">
      <w:pPr>
        <w:bidi w:val="0"/>
        <w:spacing w:after="0" w:line="259" w:lineRule="auto"/>
        <w:ind w:left="0" w:right="72" w:firstLine="0"/>
      </w:pPr>
      <w:r>
        <w:rPr>
          <w:b/>
          <w:sz w:val="32"/>
        </w:rPr>
        <w:t xml:space="preserve"> </w:t>
      </w:r>
    </w:p>
    <w:p w14:paraId="0CDEBBC0" w14:textId="77777777" w:rsidR="005850DB" w:rsidRDefault="00000000">
      <w:pPr>
        <w:bidi w:val="0"/>
        <w:spacing w:after="0" w:line="259" w:lineRule="auto"/>
        <w:ind w:left="272" w:right="0" w:firstLine="0"/>
        <w:jc w:val="left"/>
      </w:pPr>
      <w:r>
        <w:rPr>
          <w:rFonts w:ascii="Calibri" w:eastAsia="Calibri" w:hAnsi="Calibri" w:cs="Calibri"/>
          <w:noProof/>
          <w:sz w:val="22"/>
        </w:rPr>
        <mc:AlternateContent>
          <mc:Choice Requires="wpg">
            <w:drawing>
              <wp:inline distT="0" distB="0" distL="0" distR="0" wp14:anchorId="2D5BA662" wp14:editId="300AB640">
                <wp:extent cx="5570804" cy="3342786"/>
                <wp:effectExtent l="0" t="0" r="0" b="0"/>
                <wp:docPr id="299733" name="Group 299733"/>
                <wp:cNvGraphicFramePr/>
                <a:graphic xmlns:a="http://schemas.openxmlformats.org/drawingml/2006/main">
                  <a:graphicData uri="http://schemas.microsoft.com/office/word/2010/wordprocessingGroup">
                    <wpg:wgp>
                      <wpg:cNvGrpSpPr/>
                      <wpg:grpSpPr>
                        <a:xfrm>
                          <a:off x="0" y="0"/>
                          <a:ext cx="5570804" cy="3342786"/>
                          <a:chOff x="0" y="0"/>
                          <a:chExt cx="5570804" cy="3342786"/>
                        </a:xfrm>
                      </wpg:grpSpPr>
                      <wps:wsp>
                        <wps:cNvPr id="20201" name="Rectangle 20201"/>
                        <wps:cNvSpPr/>
                        <wps:spPr>
                          <a:xfrm>
                            <a:off x="0" y="3047202"/>
                            <a:ext cx="75176" cy="393127"/>
                          </a:xfrm>
                          <a:prstGeom prst="rect">
                            <a:avLst/>
                          </a:prstGeom>
                          <a:ln>
                            <a:noFill/>
                          </a:ln>
                        </wps:spPr>
                        <wps:txbx>
                          <w:txbxContent>
                            <w:p w14:paraId="2439F407" w14:textId="77777777" w:rsidR="005850DB" w:rsidRDefault="00000000">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20525" name="Shape 20525"/>
                        <wps:cNvSpPr/>
                        <wps:spPr>
                          <a:xfrm>
                            <a:off x="2127326" y="987298"/>
                            <a:ext cx="1374013" cy="1225169"/>
                          </a:xfrm>
                          <a:custGeom>
                            <a:avLst/>
                            <a:gdLst/>
                            <a:ahLst/>
                            <a:cxnLst/>
                            <a:rect l="0" t="0" r="0" b="0"/>
                            <a:pathLst>
                              <a:path w="1374013" h="1225169">
                                <a:moveTo>
                                  <a:pt x="204216" y="0"/>
                                </a:moveTo>
                                <a:lnTo>
                                  <a:pt x="1169797" y="0"/>
                                </a:lnTo>
                                <a:cubicBezTo>
                                  <a:pt x="1282573" y="0"/>
                                  <a:pt x="1374013" y="91440"/>
                                  <a:pt x="1374013" y="204216"/>
                                </a:cubicBezTo>
                                <a:lnTo>
                                  <a:pt x="1374013" y="1021080"/>
                                </a:lnTo>
                                <a:cubicBezTo>
                                  <a:pt x="1374013" y="1133856"/>
                                  <a:pt x="1282573" y="1225169"/>
                                  <a:pt x="1169797" y="1225169"/>
                                </a:cubicBezTo>
                                <a:lnTo>
                                  <a:pt x="204216" y="1225169"/>
                                </a:lnTo>
                                <a:cubicBezTo>
                                  <a:pt x="91440" y="1225169"/>
                                  <a:pt x="0" y="1133856"/>
                                  <a:pt x="0" y="1021080"/>
                                </a:cubicBezTo>
                                <a:lnTo>
                                  <a:pt x="0" y="204216"/>
                                </a:lnTo>
                                <a:cubicBezTo>
                                  <a:pt x="0" y="91440"/>
                                  <a:pt x="91440" y="0"/>
                                  <a:pt x="204216"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526" name="Shape 20526"/>
                        <wps:cNvSpPr/>
                        <wps:spPr>
                          <a:xfrm>
                            <a:off x="2127326" y="987298"/>
                            <a:ext cx="1374013" cy="1225169"/>
                          </a:xfrm>
                          <a:custGeom>
                            <a:avLst/>
                            <a:gdLst/>
                            <a:ahLst/>
                            <a:cxnLst/>
                            <a:rect l="0" t="0" r="0" b="0"/>
                            <a:pathLst>
                              <a:path w="1374013" h="1225169">
                                <a:moveTo>
                                  <a:pt x="0" y="204216"/>
                                </a:moveTo>
                                <a:cubicBezTo>
                                  <a:pt x="0" y="91440"/>
                                  <a:pt x="91440" y="0"/>
                                  <a:pt x="204216" y="0"/>
                                </a:cubicBezTo>
                                <a:lnTo>
                                  <a:pt x="1169797" y="0"/>
                                </a:lnTo>
                                <a:cubicBezTo>
                                  <a:pt x="1282573" y="0"/>
                                  <a:pt x="1374013" y="91440"/>
                                  <a:pt x="1374013" y="204216"/>
                                </a:cubicBezTo>
                                <a:lnTo>
                                  <a:pt x="1374013" y="1021080"/>
                                </a:lnTo>
                                <a:cubicBezTo>
                                  <a:pt x="1374013" y="1133856"/>
                                  <a:pt x="1282573" y="1225169"/>
                                  <a:pt x="1169797" y="1225169"/>
                                </a:cubicBezTo>
                                <a:lnTo>
                                  <a:pt x="204216" y="1225169"/>
                                </a:lnTo>
                                <a:cubicBezTo>
                                  <a:pt x="91440" y="1225169"/>
                                  <a:pt x="0" y="1133856"/>
                                  <a:pt x="0" y="102108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529" name="Rectangle 20529"/>
                        <wps:cNvSpPr/>
                        <wps:spPr>
                          <a:xfrm>
                            <a:off x="2809177" y="994779"/>
                            <a:ext cx="107303" cy="561129"/>
                          </a:xfrm>
                          <a:prstGeom prst="rect">
                            <a:avLst/>
                          </a:prstGeom>
                          <a:ln>
                            <a:noFill/>
                          </a:ln>
                        </wps:spPr>
                        <wps:txbx>
                          <w:txbxContent>
                            <w:p w14:paraId="4586480F"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28" name="Rectangle 20528"/>
                        <wps:cNvSpPr/>
                        <wps:spPr>
                          <a:xfrm>
                            <a:off x="2890365" y="994779"/>
                            <a:ext cx="528392" cy="561129"/>
                          </a:xfrm>
                          <a:prstGeom prst="rect">
                            <a:avLst/>
                          </a:prstGeom>
                          <a:ln>
                            <a:noFill/>
                          </a:ln>
                        </wps:spPr>
                        <wps:txbx>
                          <w:txbxContent>
                            <w:p w14:paraId="1EA9E804" w14:textId="77777777" w:rsidR="005850DB" w:rsidRDefault="00000000">
                              <w:pPr>
                                <w:bidi w:val="0"/>
                                <w:spacing w:after="160" w:line="259" w:lineRule="auto"/>
                                <w:ind w:left="0" w:right="0" w:firstLine="0"/>
                                <w:jc w:val="left"/>
                              </w:pPr>
                              <w:r>
                                <w:rPr>
                                  <w:color w:val="FFFFFF"/>
                                  <w:sz w:val="40"/>
                                  <w:szCs w:val="40"/>
                                  <w:rtl/>
                                </w:rPr>
                                <w:t>نجاح</w:t>
                              </w:r>
                            </w:p>
                          </w:txbxContent>
                        </wps:txbx>
                        <wps:bodyPr horzOverflow="overflow" vert="horz" lIns="0" tIns="0" rIns="0" bIns="0" rtlCol="0">
                          <a:noAutofit/>
                        </wps:bodyPr>
                      </wps:wsp>
                      <wps:wsp>
                        <wps:cNvPr id="20531" name="Rectangle 20531"/>
                        <wps:cNvSpPr/>
                        <wps:spPr>
                          <a:xfrm>
                            <a:off x="2179015" y="994779"/>
                            <a:ext cx="107303" cy="561129"/>
                          </a:xfrm>
                          <a:prstGeom prst="rect">
                            <a:avLst/>
                          </a:prstGeom>
                          <a:ln>
                            <a:noFill/>
                          </a:ln>
                        </wps:spPr>
                        <wps:txbx>
                          <w:txbxContent>
                            <w:p w14:paraId="04275E32"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30" name="Rectangle 20530"/>
                        <wps:cNvSpPr/>
                        <wps:spPr>
                          <a:xfrm>
                            <a:off x="2256640" y="994779"/>
                            <a:ext cx="734874" cy="561129"/>
                          </a:xfrm>
                          <a:prstGeom prst="rect">
                            <a:avLst/>
                          </a:prstGeom>
                          <a:ln>
                            <a:noFill/>
                          </a:ln>
                        </wps:spPr>
                        <wps:txbx>
                          <w:txbxContent>
                            <w:p w14:paraId="683DA729" w14:textId="77777777" w:rsidR="005850DB" w:rsidRDefault="00000000">
                              <w:pPr>
                                <w:bidi w:val="0"/>
                                <w:spacing w:after="160" w:line="259" w:lineRule="auto"/>
                                <w:ind w:left="0" w:right="0" w:firstLine="0"/>
                                <w:jc w:val="left"/>
                              </w:pPr>
                              <w:r>
                                <w:rPr>
                                  <w:color w:val="FFFFFF"/>
                                  <w:sz w:val="40"/>
                                  <w:szCs w:val="40"/>
                                  <w:rtl/>
                                </w:rPr>
                                <w:t>مشاريع</w:t>
                              </w:r>
                            </w:p>
                          </w:txbxContent>
                        </wps:txbx>
                        <wps:bodyPr horzOverflow="overflow" vert="horz" lIns="0" tIns="0" rIns="0" bIns="0" rtlCol="0">
                          <a:noAutofit/>
                        </wps:bodyPr>
                      </wps:wsp>
                      <wps:wsp>
                        <wps:cNvPr id="20533" name="Rectangle 20533"/>
                        <wps:cNvSpPr/>
                        <wps:spPr>
                          <a:xfrm>
                            <a:off x="2529693" y="1374255"/>
                            <a:ext cx="752476" cy="561129"/>
                          </a:xfrm>
                          <a:prstGeom prst="rect">
                            <a:avLst/>
                          </a:prstGeom>
                          <a:ln>
                            <a:noFill/>
                          </a:ln>
                        </wps:spPr>
                        <wps:txbx>
                          <w:txbxContent>
                            <w:p w14:paraId="3950D924" w14:textId="77777777" w:rsidR="005850DB" w:rsidRDefault="00000000">
                              <w:pPr>
                                <w:bidi w:val="0"/>
                                <w:spacing w:after="160" w:line="259" w:lineRule="auto"/>
                                <w:ind w:left="0" w:right="0" w:firstLine="0"/>
                                <w:jc w:val="left"/>
                              </w:pPr>
                              <w:r>
                                <w:rPr>
                                  <w:color w:val="FFFFFF"/>
                                  <w:sz w:val="40"/>
                                  <w:szCs w:val="40"/>
                                  <w:rtl/>
                                </w:rPr>
                                <w:t>صناعة</w:t>
                              </w:r>
                            </w:p>
                          </w:txbxContent>
                        </wps:txbx>
                        <wps:bodyPr horzOverflow="overflow" vert="horz" lIns="0" tIns="0" rIns="0" bIns="0" rtlCol="0">
                          <a:noAutofit/>
                        </wps:bodyPr>
                      </wps:wsp>
                      <wps:wsp>
                        <wps:cNvPr id="20534" name="Rectangle 20534"/>
                        <wps:cNvSpPr/>
                        <wps:spPr>
                          <a:xfrm>
                            <a:off x="2450541" y="1374255"/>
                            <a:ext cx="107303" cy="561129"/>
                          </a:xfrm>
                          <a:prstGeom prst="rect">
                            <a:avLst/>
                          </a:prstGeom>
                          <a:ln>
                            <a:noFill/>
                          </a:ln>
                        </wps:spPr>
                        <wps:txbx>
                          <w:txbxContent>
                            <w:p w14:paraId="3CB13BAF"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35" name="Rectangle 20535"/>
                        <wps:cNvSpPr/>
                        <wps:spPr>
                          <a:xfrm>
                            <a:off x="2415235" y="1751847"/>
                            <a:ext cx="1058049" cy="561801"/>
                          </a:xfrm>
                          <a:prstGeom prst="rect">
                            <a:avLst/>
                          </a:prstGeom>
                          <a:ln>
                            <a:noFill/>
                          </a:ln>
                        </wps:spPr>
                        <wps:txbx>
                          <w:txbxContent>
                            <w:p w14:paraId="47DD04F1" w14:textId="77777777" w:rsidR="005850DB" w:rsidRDefault="00000000">
                              <w:pPr>
                                <w:bidi w:val="0"/>
                                <w:spacing w:after="160" w:line="259" w:lineRule="auto"/>
                                <w:ind w:left="0" w:right="0" w:firstLine="0"/>
                                <w:jc w:val="left"/>
                              </w:pPr>
                              <w:r>
                                <w:rPr>
                                  <w:color w:val="FFFFFF"/>
                                  <w:sz w:val="40"/>
                                  <w:szCs w:val="40"/>
                                  <w:rtl/>
                                </w:rPr>
                                <w:t>المضخات</w:t>
                              </w:r>
                            </w:p>
                          </w:txbxContent>
                        </wps:txbx>
                        <wps:bodyPr horzOverflow="overflow" vert="horz" lIns="0" tIns="0" rIns="0" bIns="0" rtlCol="0">
                          <a:noAutofit/>
                        </wps:bodyPr>
                      </wps:wsp>
                      <wps:wsp>
                        <wps:cNvPr id="20537" name="Shape 20537"/>
                        <wps:cNvSpPr/>
                        <wps:spPr>
                          <a:xfrm>
                            <a:off x="2814396" y="643255"/>
                            <a:ext cx="0" cy="344043"/>
                          </a:xfrm>
                          <a:custGeom>
                            <a:avLst/>
                            <a:gdLst/>
                            <a:ahLst/>
                            <a:cxnLst/>
                            <a:rect l="0" t="0" r="0" b="0"/>
                            <a:pathLst>
                              <a:path h="344043">
                                <a:moveTo>
                                  <a:pt x="0" y="344043"/>
                                </a:moveTo>
                                <a:lnTo>
                                  <a:pt x="0" y="0"/>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20538" name="Shape 20538"/>
                        <wps:cNvSpPr/>
                        <wps:spPr>
                          <a:xfrm>
                            <a:off x="2009089" y="0"/>
                            <a:ext cx="1610487" cy="643255"/>
                          </a:xfrm>
                          <a:custGeom>
                            <a:avLst/>
                            <a:gdLst/>
                            <a:ahLst/>
                            <a:cxnLst/>
                            <a:rect l="0" t="0" r="0" b="0"/>
                            <a:pathLst>
                              <a:path w="1610487" h="643255">
                                <a:moveTo>
                                  <a:pt x="107315" y="0"/>
                                </a:moveTo>
                                <a:lnTo>
                                  <a:pt x="1503299" y="0"/>
                                </a:lnTo>
                                <a:cubicBezTo>
                                  <a:pt x="1562481" y="0"/>
                                  <a:pt x="1610487" y="48006"/>
                                  <a:pt x="1610487" y="107188"/>
                                </a:cubicBezTo>
                                <a:lnTo>
                                  <a:pt x="1610487" y="536067"/>
                                </a:lnTo>
                                <a:cubicBezTo>
                                  <a:pt x="1610487" y="595249"/>
                                  <a:pt x="1562481" y="643255"/>
                                  <a:pt x="1503299" y="643255"/>
                                </a:cubicBezTo>
                                <a:lnTo>
                                  <a:pt x="107315" y="643255"/>
                                </a:lnTo>
                                <a:cubicBezTo>
                                  <a:pt x="48006" y="643255"/>
                                  <a:pt x="0" y="595249"/>
                                  <a:pt x="0" y="536067"/>
                                </a:cubicBezTo>
                                <a:lnTo>
                                  <a:pt x="0" y="107188"/>
                                </a:lnTo>
                                <a:cubicBezTo>
                                  <a:pt x="0" y="48006"/>
                                  <a:pt x="48006" y="0"/>
                                  <a:pt x="107315"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539" name="Shape 20539"/>
                        <wps:cNvSpPr/>
                        <wps:spPr>
                          <a:xfrm>
                            <a:off x="2009089" y="0"/>
                            <a:ext cx="1610487" cy="643255"/>
                          </a:xfrm>
                          <a:custGeom>
                            <a:avLst/>
                            <a:gdLst/>
                            <a:ahLst/>
                            <a:cxnLst/>
                            <a:rect l="0" t="0" r="0" b="0"/>
                            <a:pathLst>
                              <a:path w="1610487" h="643255">
                                <a:moveTo>
                                  <a:pt x="0" y="107188"/>
                                </a:moveTo>
                                <a:cubicBezTo>
                                  <a:pt x="0" y="48006"/>
                                  <a:pt x="48006" y="0"/>
                                  <a:pt x="107315" y="0"/>
                                </a:cubicBezTo>
                                <a:lnTo>
                                  <a:pt x="1503299" y="0"/>
                                </a:lnTo>
                                <a:cubicBezTo>
                                  <a:pt x="1562481" y="0"/>
                                  <a:pt x="1610487" y="48006"/>
                                  <a:pt x="1610487" y="107188"/>
                                </a:cubicBezTo>
                                <a:lnTo>
                                  <a:pt x="1610487" y="536067"/>
                                </a:lnTo>
                                <a:cubicBezTo>
                                  <a:pt x="1610487" y="595249"/>
                                  <a:pt x="1562481" y="643255"/>
                                  <a:pt x="1503299" y="643255"/>
                                </a:cubicBezTo>
                                <a:lnTo>
                                  <a:pt x="107315" y="643255"/>
                                </a:lnTo>
                                <a:cubicBezTo>
                                  <a:pt x="48006" y="643255"/>
                                  <a:pt x="0" y="595249"/>
                                  <a:pt x="0" y="53606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543" name="Rectangle 20543"/>
                        <wps:cNvSpPr/>
                        <wps:spPr>
                          <a:xfrm>
                            <a:off x="2216861" y="95238"/>
                            <a:ext cx="892613" cy="561129"/>
                          </a:xfrm>
                          <a:prstGeom prst="rect">
                            <a:avLst/>
                          </a:prstGeom>
                          <a:ln>
                            <a:noFill/>
                          </a:ln>
                        </wps:spPr>
                        <wps:txbx>
                          <w:txbxContent>
                            <w:p w14:paraId="547633B9" w14:textId="77777777" w:rsidR="005850DB" w:rsidRDefault="00000000">
                              <w:pPr>
                                <w:bidi w:val="0"/>
                                <w:spacing w:after="160" w:line="259" w:lineRule="auto"/>
                                <w:ind w:left="0" w:right="0" w:firstLine="0"/>
                                <w:jc w:val="left"/>
                              </w:pPr>
                              <w:r>
                                <w:rPr>
                                  <w:color w:val="FFFFFF"/>
                                  <w:sz w:val="40"/>
                                  <w:szCs w:val="40"/>
                                  <w:rtl/>
                                </w:rPr>
                                <w:t>للمخاطر</w:t>
                              </w:r>
                            </w:p>
                          </w:txbxContent>
                        </wps:txbx>
                        <wps:bodyPr horzOverflow="overflow" vert="horz" lIns="0" tIns="0" rIns="0" bIns="0" rtlCol="0">
                          <a:noAutofit/>
                        </wps:bodyPr>
                      </wps:wsp>
                      <wps:wsp>
                        <wps:cNvPr id="20542" name="Rectangle 20542"/>
                        <wps:cNvSpPr/>
                        <wps:spPr>
                          <a:xfrm>
                            <a:off x="2887999" y="95238"/>
                            <a:ext cx="107303" cy="561129"/>
                          </a:xfrm>
                          <a:prstGeom prst="rect">
                            <a:avLst/>
                          </a:prstGeom>
                          <a:ln>
                            <a:noFill/>
                          </a:ln>
                        </wps:spPr>
                        <wps:txbx>
                          <w:txbxContent>
                            <w:p w14:paraId="23602A03"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41" name="Rectangle 20541"/>
                        <wps:cNvSpPr/>
                        <wps:spPr>
                          <a:xfrm>
                            <a:off x="2966387" y="95238"/>
                            <a:ext cx="586951" cy="561129"/>
                          </a:xfrm>
                          <a:prstGeom prst="rect">
                            <a:avLst/>
                          </a:prstGeom>
                          <a:ln>
                            <a:noFill/>
                          </a:ln>
                        </wps:spPr>
                        <wps:txbx>
                          <w:txbxContent>
                            <w:p w14:paraId="00663974" w14:textId="77777777" w:rsidR="005850DB" w:rsidRDefault="00000000">
                              <w:pPr>
                                <w:bidi w:val="0"/>
                                <w:spacing w:after="160" w:line="259" w:lineRule="auto"/>
                                <w:ind w:left="0" w:right="0" w:firstLine="0"/>
                                <w:jc w:val="left"/>
                              </w:pPr>
                              <w:r>
                                <w:rPr>
                                  <w:color w:val="FFFFFF"/>
                                  <w:sz w:val="40"/>
                                  <w:szCs w:val="40"/>
                                  <w:rtl/>
                                </w:rPr>
                                <w:t>تحليل</w:t>
                              </w:r>
                            </w:p>
                          </w:txbxContent>
                        </wps:txbx>
                        <wps:bodyPr horzOverflow="overflow" vert="horz" lIns="0" tIns="0" rIns="0" bIns="0" rtlCol="0">
                          <a:noAutofit/>
                        </wps:bodyPr>
                      </wps:wsp>
                      <wps:wsp>
                        <wps:cNvPr id="20544" name="Shape 20544"/>
                        <wps:cNvSpPr/>
                        <wps:spPr>
                          <a:xfrm>
                            <a:off x="3501339" y="1599946"/>
                            <a:ext cx="231394" cy="0"/>
                          </a:xfrm>
                          <a:custGeom>
                            <a:avLst/>
                            <a:gdLst/>
                            <a:ahLst/>
                            <a:cxnLst/>
                            <a:rect l="0" t="0" r="0" b="0"/>
                            <a:pathLst>
                              <a:path w="231394">
                                <a:moveTo>
                                  <a:pt x="0" y="0"/>
                                </a:moveTo>
                                <a:lnTo>
                                  <a:pt x="231394" y="0"/>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20545" name="Shape 20545"/>
                        <wps:cNvSpPr/>
                        <wps:spPr>
                          <a:xfrm>
                            <a:off x="3732733" y="1278255"/>
                            <a:ext cx="1838071" cy="643255"/>
                          </a:xfrm>
                          <a:custGeom>
                            <a:avLst/>
                            <a:gdLst/>
                            <a:ahLst/>
                            <a:cxnLst/>
                            <a:rect l="0" t="0" r="0" b="0"/>
                            <a:pathLst>
                              <a:path w="1838071" h="643255">
                                <a:moveTo>
                                  <a:pt x="107315" y="0"/>
                                </a:moveTo>
                                <a:lnTo>
                                  <a:pt x="1730883" y="0"/>
                                </a:lnTo>
                                <a:cubicBezTo>
                                  <a:pt x="1790065" y="0"/>
                                  <a:pt x="1838071" y="48006"/>
                                  <a:pt x="1838071" y="107188"/>
                                </a:cubicBezTo>
                                <a:lnTo>
                                  <a:pt x="1838071" y="536067"/>
                                </a:lnTo>
                                <a:cubicBezTo>
                                  <a:pt x="1838071" y="595249"/>
                                  <a:pt x="1790065" y="643255"/>
                                  <a:pt x="1730883" y="643255"/>
                                </a:cubicBezTo>
                                <a:lnTo>
                                  <a:pt x="107315" y="643255"/>
                                </a:lnTo>
                                <a:cubicBezTo>
                                  <a:pt x="48006" y="643255"/>
                                  <a:pt x="0" y="595249"/>
                                  <a:pt x="0" y="536067"/>
                                </a:cubicBezTo>
                                <a:lnTo>
                                  <a:pt x="0" y="107188"/>
                                </a:lnTo>
                                <a:cubicBezTo>
                                  <a:pt x="0" y="48006"/>
                                  <a:pt x="48006" y="0"/>
                                  <a:pt x="107315"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546" name="Shape 20546"/>
                        <wps:cNvSpPr/>
                        <wps:spPr>
                          <a:xfrm>
                            <a:off x="3732733" y="1278255"/>
                            <a:ext cx="1838071" cy="643255"/>
                          </a:xfrm>
                          <a:custGeom>
                            <a:avLst/>
                            <a:gdLst/>
                            <a:ahLst/>
                            <a:cxnLst/>
                            <a:rect l="0" t="0" r="0" b="0"/>
                            <a:pathLst>
                              <a:path w="1838071" h="643255">
                                <a:moveTo>
                                  <a:pt x="0" y="107188"/>
                                </a:moveTo>
                                <a:cubicBezTo>
                                  <a:pt x="0" y="48006"/>
                                  <a:pt x="48006" y="0"/>
                                  <a:pt x="107315" y="0"/>
                                </a:cubicBezTo>
                                <a:lnTo>
                                  <a:pt x="1730883" y="0"/>
                                </a:lnTo>
                                <a:cubicBezTo>
                                  <a:pt x="1790065" y="0"/>
                                  <a:pt x="1838071" y="48006"/>
                                  <a:pt x="1838071" y="107188"/>
                                </a:cubicBezTo>
                                <a:lnTo>
                                  <a:pt x="1838071" y="536067"/>
                                </a:lnTo>
                                <a:cubicBezTo>
                                  <a:pt x="1838071" y="595249"/>
                                  <a:pt x="1790065" y="643255"/>
                                  <a:pt x="1730883" y="643255"/>
                                </a:cubicBezTo>
                                <a:lnTo>
                                  <a:pt x="107315" y="643255"/>
                                </a:lnTo>
                                <a:cubicBezTo>
                                  <a:pt x="48006" y="643255"/>
                                  <a:pt x="0" y="595249"/>
                                  <a:pt x="0" y="53606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550" name="Rectangle 20550"/>
                        <wps:cNvSpPr/>
                        <wps:spPr>
                          <a:xfrm>
                            <a:off x="3905707" y="1373874"/>
                            <a:ext cx="892613" cy="561129"/>
                          </a:xfrm>
                          <a:prstGeom prst="rect">
                            <a:avLst/>
                          </a:prstGeom>
                          <a:ln>
                            <a:noFill/>
                          </a:ln>
                        </wps:spPr>
                        <wps:txbx>
                          <w:txbxContent>
                            <w:p w14:paraId="397CB89C" w14:textId="77777777" w:rsidR="005850DB" w:rsidRDefault="00000000">
                              <w:pPr>
                                <w:bidi w:val="0"/>
                                <w:spacing w:after="160" w:line="259" w:lineRule="auto"/>
                                <w:ind w:left="0" w:right="0" w:firstLine="0"/>
                                <w:jc w:val="left"/>
                              </w:pPr>
                              <w:r>
                                <w:rPr>
                                  <w:color w:val="FFFFFF"/>
                                  <w:sz w:val="40"/>
                                  <w:szCs w:val="40"/>
                                  <w:rtl/>
                                </w:rPr>
                                <w:t>للمخاطر</w:t>
                              </w:r>
                            </w:p>
                          </w:txbxContent>
                        </wps:txbx>
                        <wps:bodyPr horzOverflow="overflow" vert="horz" lIns="0" tIns="0" rIns="0" bIns="0" rtlCol="0">
                          <a:noAutofit/>
                        </wps:bodyPr>
                      </wps:wsp>
                      <wps:wsp>
                        <wps:cNvPr id="20549" name="Rectangle 20549"/>
                        <wps:cNvSpPr/>
                        <wps:spPr>
                          <a:xfrm>
                            <a:off x="4576845" y="1373874"/>
                            <a:ext cx="107303" cy="561129"/>
                          </a:xfrm>
                          <a:prstGeom prst="rect">
                            <a:avLst/>
                          </a:prstGeom>
                          <a:ln>
                            <a:noFill/>
                          </a:ln>
                        </wps:spPr>
                        <wps:txbx>
                          <w:txbxContent>
                            <w:p w14:paraId="562B82F3"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48" name="Rectangle 20548"/>
                        <wps:cNvSpPr/>
                        <wps:spPr>
                          <a:xfrm>
                            <a:off x="4655234" y="1373874"/>
                            <a:ext cx="982991" cy="561129"/>
                          </a:xfrm>
                          <a:prstGeom prst="rect">
                            <a:avLst/>
                          </a:prstGeom>
                          <a:ln>
                            <a:noFill/>
                          </a:ln>
                        </wps:spPr>
                        <wps:txbx>
                          <w:txbxContent>
                            <w:p w14:paraId="154E32B4" w14:textId="77777777" w:rsidR="005850DB" w:rsidRDefault="00000000">
                              <w:pPr>
                                <w:bidi w:val="0"/>
                                <w:spacing w:after="160" w:line="259" w:lineRule="auto"/>
                                <w:ind w:left="0" w:right="0" w:firstLine="0"/>
                                <w:jc w:val="left"/>
                              </w:pPr>
                              <w:r>
                                <w:rPr>
                                  <w:color w:val="FFFFFF"/>
                                  <w:sz w:val="40"/>
                                  <w:szCs w:val="40"/>
                                  <w:rtl/>
                                </w:rPr>
                                <w:t>الاستجابة</w:t>
                              </w:r>
                            </w:p>
                          </w:txbxContent>
                        </wps:txbx>
                        <wps:bodyPr horzOverflow="overflow" vert="horz" lIns="0" tIns="0" rIns="0" bIns="0" rtlCol="0">
                          <a:noAutofit/>
                        </wps:bodyPr>
                      </wps:wsp>
                      <wps:wsp>
                        <wps:cNvPr id="20551" name="Shape 20551"/>
                        <wps:cNvSpPr/>
                        <wps:spPr>
                          <a:xfrm>
                            <a:off x="2814396" y="2212467"/>
                            <a:ext cx="0" cy="344043"/>
                          </a:xfrm>
                          <a:custGeom>
                            <a:avLst/>
                            <a:gdLst/>
                            <a:ahLst/>
                            <a:cxnLst/>
                            <a:rect l="0" t="0" r="0" b="0"/>
                            <a:pathLst>
                              <a:path h="344043">
                                <a:moveTo>
                                  <a:pt x="0" y="0"/>
                                </a:moveTo>
                                <a:lnTo>
                                  <a:pt x="0" y="344043"/>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20552" name="Shape 20552"/>
                        <wps:cNvSpPr/>
                        <wps:spPr>
                          <a:xfrm>
                            <a:off x="2050872" y="2556510"/>
                            <a:ext cx="1526921" cy="643382"/>
                          </a:xfrm>
                          <a:custGeom>
                            <a:avLst/>
                            <a:gdLst/>
                            <a:ahLst/>
                            <a:cxnLst/>
                            <a:rect l="0" t="0" r="0" b="0"/>
                            <a:pathLst>
                              <a:path w="1526921" h="643382">
                                <a:moveTo>
                                  <a:pt x="107188" y="0"/>
                                </a:moveTo>
                                <a:lnTo>
                                  <a:pt x="1419733" y="0"/>
                                </a:lnTo>
                                <a:cubicBezTo>
                                  <a:pt x="1478915" y="0"/>
                                  <a:pt x="1526921" y="48006"/>
                                  <a:pt x="1526921" y="107315"/>
                                </a:cubicBezTo>
                                <a:lnTo>
                                  <a:pt x="1526921" y="536067"/>
                                </a:lnTo>
                                <a:cubicBezTo>
                                  <a:pt x="1526921" y="595376"/>
                                  <a:pt x="1478915" y="643382"/>
                                  <a:pt x="1419733" y="643382"/>
                                </a:cubicBezTo>
                                <a:lnTo>
                                  <a:pt x="107188" y="643382"/>
                                </a:lnTo>
                                <a:cubicBezTo>
                                  <a:pt x="48006" y="643382"/>
                                  <a:pt x="0" y="595376"/>
                                  <a:pt x="0" y="536067"/>
                                </a:cubicBezTo>
                                <a:lnTo>
                                  <a:pt x="0" y="107315"/>
                                </a:lnTo>
                                <a:cubicBezTo>
                                  <a:pt x="0" y="48006"/>
                                  <a:pt x="48006" y="0"/>
                                  <a:pt x="107188"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553" name="Shape 20553"/>
                        <wps:cNvSpPr/>
                        <wps:spPr>
                          <a:xfrm>
                            <a:off x="2050872" y="2556510"/>
                            <a:ext cx="1526921" cy="643382"/>
                          </a:xfrm>
                          <a:custGeom>
                            <a:avLst/>
                            <a:gdLst/>
                            <a:ahLst/>
                            <a:cxnLst/>
                            <a:rect l="0" t="0" r="0" b="0"/>
                            <a:pathLst>
                              <a:path w="1526921" h="643382">
                                <a:moveTo>
                                  <a:pt x="0" y="107315"/>
                                </a:moveTo>
                                <a:cubicBezTo>
                                  <a:pt x="0" y="48006"/>
                                  <a:pt x="48006" y="0"/>
                                  <a:pt x="107188" y="0"/>
                                </a:cubicBezTo>
                                <a:lnTo>
                                  <a:pt x="1419733" y="0"/>
                                </a:lnTo>
                                <a:cubicBezTo>
                                  <a:pt x="1478915" y="0"/>
                                  <a:pt x="1526921" y="48006"/>
                                  <a:pt x="1526921" y="107315"/>
                                </a:cubicBezTo>
                                <a:lnTo>
                                  <a:pt x="1526921" y="536067"/>
                                </a:lnTo>
                                <a:cubicBezTo>
                                  <a:pt x="1526921" y="595376"/>
                                  <a:pt x="1478915" y="643382"/>
                                  <a:pt x="1419733" y="643382"/>
                                </a:cubicBezTo>
                                <a:lnTo>
                                  <a:pt x="107188" y="643382"/>
                                </a:lnTo>
                                <a:cubicBezTo>
                                  <a:pt x="48006" y="643382"/>
                                  <a:pt x="0" y="595376"/>
                                  <a:pt x="0" y="53606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558" name="Rectangle 20558"/>
                        <wps:cNvSpPr/>
                        <wps:spPr>
                          <a:xfrm>
                            <a:off x="2174697" y="2652256"/>
                            <a:ext cx="107303" cy="561129"/>
                          </a:xfrm>
                          <a:prstGeom prst="rect">
                            <a:avLst/>
                          </a:prstGeom>
                          <a:ln>
                            <a:noFill/>
                          </a:ln>
                        </wps:spPr>
                        <wps:txbx>
                          <w:txbxContent>
                            <w:p w14:paraId="221815AC"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57" name="Rectangle 20557"/>
                        <wps:cNvSpPr/>
                        <wps:spPr>
                          <a:xfrm>
                            <a:off x="2252322" y="2652256"/>
                            <a:ext cx="892613" cy="561129"/>
                          </a:xfrm>
                          <a:prstGeom prst="rect">
                            <a:avLst/>
                          </a:prstGeom>
                          <a:ln>
                            <a:noFill/>
                          </a:ln>
                        </wps:spPr>
                        <wps:txbx>
                          <w:txbxContent>
                            <w:p w14:paraId="6898FDDC" w14:textId="77777777" w:rsidR="005850DB" w:rsidRDefault="00000000">
                              <w:pPr>
                                <w:bidi w:val="0"/>
                                <w:spacing w:after="160" w:line="259" w:lineRule="auto"/>
                                <w:ind w:left="0" w:right="0" w:firstLine="0"/>
                                <w:jc w:val="left"/>
                              </w:pPr>
                              <w:r>
                                <w:rPr>
                                  <w:color w:val="FFFFFF"/>
                                  <w:sz w:val="40"/>
                                  <w:szCs w:val="40"/>
                                  <w:rtl/>
                                </w:rPr>
                                <w:t>المخاطر</w:t>
                              </w:r>
                            </w:p>
                          </w:txbxContent>
                        </wps:txbx>
                        <wps:bodyPr horzOverflow="overflow" vert="horz" lIns="0" tIns="0" rIns="0" bIns="0" rtlCol="0">
                          <a:noAutofit/>
                        </wps:bodyPr>
                      </wps:wsp>
                      <wps:wsp>
                        <wps:cNvPr id="20556" name="Rectangle 20556"/>
                        <wps:cNvSpPr/>
                        <wps:spPr>
                          <a:xfrm>
                            <a:off x="2923460" y="2652256"/>
                            <a:ext cx="107303" cy="561129"/>
                          </a:xfrm>
                          <a:prstGeom prst="rect">
                            <a:avLst/>
                          </a:prstGeom>
                          <a:ln>
                            <a:noFill/>
                          </a:ln>
                        </wps:spPr>
                        <wps:txbx>
                          <w:txbxContent>
                            <w:p w14:paraId="2229298F"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55" name="Rectangle 20555"/>
                        <wps:cNvSpPr/>
                        <wps:spPr>
                          <a:xfrm>
                            <a:off x="3001848" y="2652256"/>
                            <a:ext cx="594398" cy="561129"/>
                          </a:xfrm>
                          <a:prstGeom prst="rect">
                            <a:avLst/>
                          </a:prstGeom>
                          <a:ln>
                            <a:noFill/>
                          </a:ln>
                        </wps:spPr>
                        <wps:txbx>
                          <w:txbxContent>
                            <w:p w14:paraId="57D0A94C" w14:textId="77777777" w:rsidR="005850DB" w:rsidRDefault="00000000">
                              <w:pPr>
                                <w:bidi w:val="0"/>
                                <w:spacing w:after="160" w:line="259" w:lineRule="auto"/>
                                <w:ind w:left="0" w:right="0" w:firstLine="0"/>
                                <w:jc w:val="left"/>
                              </w:pPr>
                              <w:r>
                                <w:rPr>
                                  <w:color w:val="FFFFFF"/>
                                  <w:sz w:val="40"/>
                                  <w:szCs w:val="40"/>
                                  <w:rtl/>
                                </w:rPr>
                                <w:t>مارفقة</w:t>
                              </w:r>
                            </w:p>
                          </w:txbxContent>
                        </wps:txbx>
                        <wps:bodyPr horzOverflow="overflow" vert="horz" lIns="0" tIns="0" rIns="0" bIns="0" rtlCol="0">
                          <a:noAutofit/>
                        </wps:bodyPr>
                      </wps:wsp>
                      <wps:wsp>
                        <wps:cNvPr id="20559" name="Shape 20559"/>
                        <wps:cNvSpPr/>
                        <wps:spPr>
                          <a:xfrm>
                            <a:off x="1896313" y="1599946"/>
                            <a:ext cx="231013" cy="0"/>
                          </a:xfrm>
                          <a:custGeom>
                            <a:avLst/>
                            <a:gdLst/>
                            <a:ahLst/>
                            <a:cxnLst/>
                            <a:rect l="0" t="0" r="0" b="0"/>
                            <a:pathLst>
                              <a:path w="231013">
                                <a:moveTo>
                                  <a:pt x="231013" y="0"/>
                                </a:moveTo>
                                <a:lnTo>
                                  <a:pt x="0" y="0"/>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20560" name="Shape 20560"/>
                        <wps:cNvSpPr/>
                        <wps:spPr>
                          <a:xfrm>
                            <a:off x="111303" y="1278255"/>
                            <a:ext cx="1785010" cy="643255"/>
                          </a:xfrm>
                          <a:custGeom>
                            <a:avLst/>
                            <a:gdLst/>
                            <a:ahLst/>
                            <a:cxnLst/>
                            <a:rect l="0" t="0" r="0" b="0"/>
                            <a:pathLst>
                              <a:path w="1785010" h="643255">
                                <a:moveTo>
                                  <a:pt x="107213" y="0"/>
                                </a:moveTo>
                                <a:lnTo>
                                  <a:pt x="1677822" y="0"/>
                                </a:lnTo>
                                <a:cubicBezTo>
                                  <a:pt x="1737005" y="0"/>
                                  <a:pt x="1785010" y="48006"/>
                                  <a:pt x="1785010" y="107188"/>
                                </a:cubicBezTo>
                                <a:lnTo>
                                  <a:pt x="1785010" y="536067"/>
                                </a:lnTo>
                                <a:cubicBezTo>
                                  <a:pt x="1785010" y="595249"/>
                                  <a:pt x="1737005" y="643255"/>
                                  <a:pt x="1677822" y="643255"/>
                                </a:cubicBezTo>
                                <a:lnTo>
                                  <a:pt x="107213" y="643255"/>
                                </a:lnTo>
                                <a:cubicBezTo>
                                  <a:pt x="48006" y="643255"/>
                                  <a:pt x="0" y="595249"/>
                                  <a:pt x="0" y="536067"/>
                                </a:cubicBezTo>
                                <a:lnTo>
                                  <a:pt x="0" y="107188"/>
                                </a:lnTo>
                                <a:cubicBezTo>
                                  <a:pt x="0" y="48006"/>
                                  <a:pt x="48006" y="0"/>
                                  <a:pt x="10721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561" name="Shape 20561"/>
                        <wps:cNvSpPr/>
                        <wps:spPr>
                          <a:xfrm>
                            <a:off x="111303" y="1278255"/>
                            <a:ext cx="1785010" cy="643255"/>
                          </a:xfrm>
                          <a:custGeom>
                            <a:avLst/>
                            <a:gdLst/>
                            <a:ahLst/>
                            <a:cxnLst/>
                            <a:rect l="0" t="0" r="0" b="0"/>
                            <a:pathLst>
                              <a:path w="1785010" h="643255">
                                <a:moveTo>
                                  <a:pt x="0" y="107188"/>
                                </a:moveTo>
                                <a:cubicBezTo>
                                  <a:pt x="0" y="48006"/>
                                  <a:pt x="48006" y="0"/>
                                  <a:pt x="107213" y="0"/>
                                </a:cubicBezTo>
                                <a:lnTo>
                                  <a:pt x="1677822" y="0"/>
                                </a:lnTo>
                                <a:cubicBezTo>
                                  <a:pt x="1737005" y="0"/>
                                  <a:pt x="1785010" y="48006"/>
                                  <a:pt x="1785010" y="107188"/>
                                </a:cubicBezTo>
                                <a:lnTo>
                                  <a:pt x="1785010" y="536067"/>
                                </a:lnTo>
                                <a:cubicBezTo>
                                  <a:pt x="1785010" y="595249"/>
                                  <a:pt x="1737005" y="643255"/>
                                  <a:pt x="1677822" y="643255"/>
                                </a:cubicBezTo>
                                <a:lnTo>
                                  <a:pt x="107213" y="643255"/>
                                </a:lnTo>
                                <a:cubicBezTo>
                                  <a:pt x="48006" y="643255"/>
                                  <a:pt x="0" y="595249"/>
                                  <a:pt x="0" y="53606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565" name="Rectangle 20565"/>
                        <wps:cNvSpPr/>
                        <wps:spPr>
                          <a:xfrm>
                            <a:off x="410286" y="1373874"/>
                            <a:ext cx="892613" cy="561129"/>
                          </a:xfrm>
                          <a:prstGeom prst="rect">
                            <a:avLst/>
                          </a:prstGeom>
                          <a:ln>
                            <a:noFill/>
                          </a:ln>
                        </wps:spPr>
                        <wps:txbx>
                          <w:txbxContent>
                            <w:p w14:paraId="254008AC" w14:textId="77777777" w:rsidR="005850DB" w:rsidRDefault="00000000">
                              <w:pPr>
                                <w:bidi w:val="0"/>
                                <w:spacing w:after="160" w:line="259" w:lineRule="auto"/>
                                <w:ind w:left="0" w:right="0" w:firstLine="0"/>
                                <w:jc w:val="left"/>
                              </w:pPr>
                              <w:r>
                                <w:rPr>
                                  <w:color w:val="FFFFFF"/>
                                  <w:sz w:val="40"/>
                                  <w:szCs w:val="40"/>
                                  <w:rtl/>
                                </w:rPr>
                                <w:t>المخاطر</w:t>
                              </w:r>
                            </w:p>
                          </w:txbxContent>
                        </wps:txbx>
                        <wps:bodyPr horzOverflow="overflow" vert="horz" lIns="0" tIns="0" rIns="0" bIns="0" rtlCol="0">
                          <a:noAutofit/>
                        </wps:bodyPr>
                      </wps:wsp>
                      <wps:wsp>
                        <wps:cNvPr id="20564" name="Rectangle 20564"/>
                        <wps:cNvSpPr/>
                        <wps:spPr>
                          <a:xfrm>
                            <a:off x="1081424" y="1373874"/>
                            <a:ext cx="107303" cy="561129"/>
                          </a:xfrm>
                          <a:prstGeom prst="rect">
                            <a:avLst/>
                          </a:prstGeom>
                          <a:ln>
                            <a:noFill/>
                          </a:ln>
                        </wps:spPr>
                        <wps:txbx>
                          <w:txbxContent>
                            <w:p w14:paraId="2DBCD01B" w14:textId="77777777" w:rsidR="005850DB" w:rsidRDefault="00000000">
                              <w:pPr>
                                <w:bidi w:val="0"/>
                                <w:spacing w:after="160" w:line="259" w:lineRule="auto"/>
                                <w:ind w:left="0" w:right="0" w:firstLine="0"/>
                                <w:jc w:val="left"/>
                              </w:pPr>
                              <w:r>
                                <w:rPr>
                                  <w:color w:val="FFFFFF"/>
                                  <w:sz w:val="40"/>
                                </w:rPr>
                                <w:t xml:space="preserve"> </w:t>
                              </w:r>
                            </w:p>
                          </w:txbxContent>
                        </wps:txbx>
                        <wps:bodyPr horzOverflow="overflow" vert="horz" lIns="0" tIns="0" rIns="0" bIns="0" rtlCol="0">
                          <a:noAutofit/>
                        </wps:bodyPr>
                      </wps:wsp>
                      <wps:wsp>
                        <wps:cNvPr id="20563" name="Rectangle 20563"/>
                        <wps:cNvSpPr/>
                        <wps:spPr>
                          <a:xfrm>
                            <a:off x="1162103" y="1373874"/>
                            <a:ext cx="572735" cy="561129"/>
                          </a:xfrm>
                          <a:prstGeom prst="rect">
                            <a:avLst/>
                          </a:prstGeom>
                          <a:ln>
                            <a:noFill/>
                          </a:ln>
                        </wps:spPr>
                        <wps:txbx>
                          <w:txbxContent>
                            <w:p w14:paraId="6FDA0133" w14:textId="77777777" w:rsidR="005850DB" w:rsidRDefault="00000000">
                              <w:pPr>
                                <w:bidi w:val="0"/>
                                <w:spacing w:after="160" w:line="259" w:lineRule="auto"/>
                                <w:ind w:left="0" w:right="0" w:firstLine="0"/>
                                <w:jc w:val="left"/>
                              </w:pPr>
                              <w:r>
                                <w:rPr>
                                  <w:color w:val="FFFFFF"/>
                                  <w:sz w:val="40"/>
                                  <w:szCs w:val="40"/>
                                  <w:rtl/>
                                </w:rPr>
                                <w:t>تحديد</w:t>
                              </w:r>
                            </w:p>
                          </w:txbxContent>
                        </wps:txbx>
                        <wps:bodyPr horzOverflow="overflow" vert="horz" lIns="0" tIns="0" rIns="0" bIns="0" rtlCol="0">
                          <a:noAutofit/>
                        </wps:bodyPr>
                      </wps:wsp>
                    </wpg:wgp>
                  </a:graphicData>
                </a:graphic>
              </wp:inline>
            </w:drawing>
          </mc:Choice>
          <mc:Fallback>
            <w:pict>
              <v:group w14:anchorId="2D5BA662" id="Group 299733" o:spid="_x0000_s1026" style="width:438.65pt;height:263.2pt;mso-position-horizontal-relative:char;mso-position-vertical-relative:line" coordsize="55708,33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">
                <v:rect id="Rectangle 20201" o:spid="_x0000_s1027" style="position:absolute;top:30472;width:751;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" filled="f" stroked="f">
                  <v:textbox inset="0,0,0,0">
                    <w:txbxContent>
                      <w:p w14:paraId="2439F407" w14:textId="77777777" w:rsidR="005850DB" w:rsidRDefault="00000000">
                        <w:pPr>
                          <w:bidi w:val="0"/>
                          <w:spacing w:after="160" w:line="259" w:lineRule="auto"/>
                          <w:ind w:left="0" w:right="0" w:firstLine="0"/>
                          <w:jc w:val="left"/>
                        </w:pPr>
                        <w:r>
                          <w:t xml:space="preserve"> </w:t>
                        </w:r>
                      </w:p>
                    </w:txbxContent>
                  </v:textbox>
                </v:rect>
                <v:shape id="Shape 20525" o:spid="_x0000_s1028" style="position:absolute;left:21273;top:9872;width:13740;height:12252;visibility:visible;mso-wrap-style:square;v-text-anchor:top" coordsize="1374013,1225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" path="m204216,r965581,c1282573,,1374013,91440,1374013,204216r,816864c1374013,1133856,1282573,1225169,1169797,1225169r-965581,c91440,1225169,,1133856,,1021080l,204216c,91440,91440,,204216,xe" fillcolor="#4472c4" stroked="f" strokeweight="0">
                  <v:stroke miterlimit="83231f" joinstyle="miter"/>
                  <v:path arrowok="t" textboxrect="0,0,1374013,1225169"/>
                </v:shape>
                <v:shape id="Shape 20526" o:spid="_x0000_s1029" style="position:absolute;left:21273;top:9872;width:13740;height:12252;visibility:visible;mso-wrap-style:square;v-text-anchor:top" coordsize="1374013,1225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" path="m,204216c,91440,91440,,204216,r965581,c1282573,,1374013,91440,1374013,204216r,816864c1374013,1133856,1282573,1225169,1169797,1225169r-965581,c91440,1225169,,1133856,,1021080l,204216xe" filled="f" strokecolor="white" strokeweight="1pt">
                  <v:stroke miterlimit="83231f" joinstyle="miter"/>
                  <v:path arrowok="t" textboxrect="0,0,1374013,1225169"/>
                </v:shape>
                <v:rect id="Rectangle 20529" o:spid="_x0000_s1030" style="position:absolute;left:28091;top:9947;width:1073;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CZ9xgAAAN4AAAAPAAAAZHJzL2Rvd25yZXYueG1sRI9Ba8JA&#10;FITvgv9heUJvujFQ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EXwmfcYAAADeAAAA&#10;DwAAAAAAAAAAAAAAAAAHAgAAZHJzL2Rvd25yZXYueG1sUEsFBgAAAAADAAMAtwAAAPoCAAAAAA==&#10;" filled="f" stroked="f">
                  <v:textbox inset="0,0,0,0">
                    <w:txbxContent>
                      <w:p w14:paraId="4586480F"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28" o:spid="_x0000_s1031" style="position:absolute;left:28903;top:9947;width:5284;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" filled="f" stroked="f">
                  <v:textbox inset="0,0,0,0">
                    <w:txbxContent>
                      <w:p w14:paraId="1EA9E804" w14:textId="77777777" w:rsidR="005850DB" w:rsidRDefault="00000000">
                        <w:pPr>
                          <w:bidi w:val="0"/>
                          <w:spacing w:after="160" w:line="259" w:lineRule="auto"/>
                          <w:ind w:left="0" w:right="0" w:firstLine="0"/>
                          <w:jc w:val="left"/>
                        </w:pPr>
                        <w:r>
                          <w:rPr>
                            <w:color w:val="FFFFFF"/>
                            <w:sz w:val="40"/>
                            <w:szCs w:val="40"/>
                            <w:rtl/>
                          </w:rPr>
                          <w:t>نجاح</w:t>
                        </w:r>
                      </w:p>
                    </w:txbxContent>
                  </v:textbox>
                </v:rect>
                <v:rect id="Rectangle 20531" o:spid="_x0000_s1032" style="position:absolute;left:21790;top:9947;width:1073;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" filled="f" stroked="f">
                  <v:textbox inset="0,0,0,0">
                    <w:txbxContent>
                      <w:p w14:paraId="04275E32"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30" o:spid="_x0000_s1033" style="position:absolute;left:22566;top:9947;width:7349;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" filled="f" stroked="f">
                  <v:textbox inset="0,0,0,0">
                    <w:txbxContent>
                      <w:p w14:paraId="683DA729" w14:textId="77777777" w:rsidR="005850DB" w:rsidRDefault="00000000">
                        <w:pPr>
                          <w:bidi w:val="0"/>
                          <w:spacing w:after="160" w:line="259" w:lineRule="auto"/>
                          <w:ind w:left="0" w:right="0" w:firstLine="0"/>
                          <w:jc w:val="left"/>
                        </w:pPr>
                        <w:r>
                          <w:rPr>
                            <w:color w:val="FFFFFF"/>
                            <w:sz w:val="40"/>
                            <w:szCs w:val="40"/>
                            <w:rtl/>
                          </w:rPr>
                          <w:t>مشاريع</w:t>
                        </w:r>
                      </w:p>
                    </w:txbxContent>
                  </v:textbox>
                </v:rect>
                <v:rect id="Rectangle 20533" o:spid="_x0000_s1034" style="position:absolute;left:25296;top:13742;width:7525;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YdK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KPhYADvO+EKyNkLAAD//wMAUEsBAi0AFAAGAAgAAAAhANvh9svuAAAAhQEAABMAAAAAAAAA&#10;AAAAAAAAAAAAAFtDb250ZW50X1R5cGVzXS54bWxQSwECLQAUAAYACAAAACEAWvQsW78AAAAVAQAA&#10;CwAAAAAAAAAAAAAAAAAfAQAAX3JlbHMvLnJlbHNQSwECLQAUAAYACAAAACEA9U2HSsYAAADeAAAA&#10;DwAAAAAAAAAAAAAAAAAHAgAAZHJzL2Rvd25yZXYueG1sUEsFBgAAAAADAAMAtwAAAPoCAAAAAA==&#10;" filled="f" stroked="f">
                  <v:textbox inset="0,0,0,0">
                    <w:txbxContent>
                      <w:p w14:paraId="3950D924" w14:textId="77777777" w:rsidR="005850DB" w:rsidRDefault="00000000">
                        <w:pPr>
                          <w:bidi w:val="0"/>
                          <w:spacing w:after="160" w:line="259" w:lineRule="auto"/>
                          <w:ind w:left="0" w:right="0" w:firstLine="0"/>
                          <w:jc w:val="left"/>
                        </w:pPr>
                        <w:r>
                          <w:rPr>
                            <w:color w:val="FFFFFF"/>
                            <w:sz w:val="40"/>
                            <w:szCs w:val="40"/>
                            <w:rtl/>
                          </w:rPr>
                          <w:t>صناعة</w:t>
                        </w:r>
                      </w:p>
                    </w:txbxContent>
                  </v:textbox>
                </v:rect>
                <v:rect id="Rectangle 20534" o:spid="_x0000_s1035" style="position:absolute;left:24505;top:13742;width:1073;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" filled="f" stroked="f">
                  <v:textbox inset="0,0,0,0">
                    <w:txbxContent>
                      <w:p w14:paraId="3CB13BAF"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35" o:spid="_x0000_s1036" style="position:absolute;left:24152;top:17518;width:10580;height:5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" filled="f" stroked="f">
                  <v:textbox inset="0,0,0,0">
                    <w:txbxContent>
                      <w:p w14:paraId="47DD04F1" w14:textId="77777777" w:rsidR="005850DB" w:rsidRDefault="00000000">
                        <w:pPr>
                          <w:bidi w:val="0"/>
                          <w:spacing w:after="160" w:line="259" w:lineRule="auto"/>
                          <w:ind w:left="0" w:right="0" w:firstLine="0"/>
                          <w:jc w:val="left"/>
                        </w:pPr>
                        <w:r>
                          <w:rPr>
                            <w:color w:val="FFFFFF"/>
                            <w:sz w:val="40"/>
                            <w:szCs w:val="40"/>
                            <w:rtl/>
                          </w:rPr>
                          <w:t>المضخات</w:t>
                        </w:r>
                      </w:p>
                    </w:txbxContent>
                  </v:textbox>
                </v:rect>
                <v:shape id="Shape 20537" o:spid="_x0000_s1037" style="position:absolute;left:28143;top:6432;width:0;height:3440;visibility:visible;mso-wrap-style:square;v-text-anchor:top" coordsize="0,344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" path="m,344043l,e" filled="f" strokecolor="#34599c" strokeweight="1pt">
                  <v:stroke miterlimit="83231f" joinstyle="miter"/>
                  <v:path arrowok="t" textboxrect="0,0,0,344043"/>
                </v:shape>
                <v:shape id="Shape 20538" o:spid="_x0000_s1038" style="position:absolute;left:20090;width:16105;height:6432;visibility:visible;mso-wrap-style:square;v-text-anchor:top" coordsize="1610487,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" path="m107315,l1503299,v59182,,107188,48006,107188,107188l1610487,536067v,59182,-48006,107188,-107188,107188l107315,643255c48006,643255,,595249,,536067l,107188c,48006,48006,,107315,xe" fillcolor="#4472c4" stroked="f" strokeweight="0">
                  <v:stroke miterlimit="83231f" joinstyle="miter"/>
                  <v:path arrowok="t" textboxrect="0,0,1610487,643255"/>
                </v:shape>
                <v:shape id="Shape 20539" o:spid="_x0000_s1039" style="position:absolute;left:20090;width:16105;height:6432;visibility:visible;mso-wrap-style:square;v-text-anchor:top" coordsize="1610487,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" path="m,107188c,48006,48006,,107315,l1503299,v59182,,107188,48006,107188,107188l1610487,536067v,59182,-48006,107188,-107188,107188l107315,643255c48006,643255,,595249,,536067l,107188xe" filled="f" strokecolor="white" strokeweight="1pt">
                  <v:stroke miterlimit="83231f" joinstyle="miter"/>
                  <v:path arrowok="t" textboxrect="0,0,1610487,643255"/>
                </v:shape>
                <v:rect id="Rectangle 20543" o:spid="_x0000_s1040" style="position:absolute;left:22168;top:952;width:8926;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" filled="f" stroked="f">
                  <v:textbox inset="0,0,0,0">
                    <w:txbxContent>
                      <w:p w14:paraId="547633B9" w14:textId="77777777" w:rsidR="005850DB" w:rsidRDefault="00000000">
                        <w:pPr>
                          <w:bidi w:val="0"/>
                          <w:spacing w:after="160" w:line="259" w:lineRule="auto"/>
                          <w:ind w:left="0" w:right="0" w:firstLine="0"/>
                          <w:jc w:val="left"/>
                        </w:pPr>
                        <w:r>
                          <w:rPr>
                            <w:color w:val="FFFFFF"/>
                            <w:sz w:val="40"/>
                            <w:szCs w:val="40"/>
                            <w:rtl/>
                          </w:rPr>
                          <w:t>للمخاطر</w:t>
                        </w:r>
                      </w:p>
                    </w:txbxContent>
                  </v:textbox>
                </v:rect>
                <v:rect id="Rectangle 20542" o:spid="_x0000_s1041" style="position:absolute;left:28879;top:952;width:1074;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" filled="f" stroked="f">
                  <v:textbox inset="0,0,0,0">
                    <w:txbxContent>
                      <w:p w14:paraId="23602A03"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41" o:spid="_x0000_s1042" style="position:absolute;left:29663;top:952;width:5870;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c/b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4NIC/O+EKyMULAAD//wMAUEsBAi0AFAAGAAgAAAAhANvh9svuAAAAhQEAABMAAAAAAAAA&#10;AAAAAAAAAAAAAFtDb250ZW50X1R5cGVzXS54bWxQSwECLQAUAAYACAAAACEAWvQsW78AAAAVAQAA&#10;CwAAAAAAAAAAAAAAAAAfAQAAX3JlbHMvLnJlbHNQSwECLQAUAAYACAAAACEAMtXP28YAAADeAAAA&#10;DwAAAAAAAAAAAAAAAAAHAgAAZHJzL2Rvd25yZXYueG1sUEsFBgAAAAADAAMAtwAAAPoCAAAAAA==&#10;" filled="f" stroked="f">
                  <v:textbox inset="0,0,0,0">
                    <w:txbxContent>
                      <w:p w14:paraId="00663974" w14:textId="77777777" w:rsidR="005850DB" w:rsidRDefault="00000000">
                        <w:pPr>
                          <w:bidi w:val="0"/>
                          <w:spacing w:after="160" w:line="259" w:lineRule="auto"/>
                          <w:ind w:left="0" w:right="0" w:firstLine="0"/>
                          <w:jc w:val="left"/>
                        </w:pPr>
                        <w:r>
                          <w:rPr>
                            <w:color w:val="FFFFFF"/>
                            <w:sz w:val="40"/>
                            <w:szCs w:val="40"/>
                            <w:rtl/>
                          </w:rPr>
                          <w:t>تحليل</w:t>
                        </w:r>
                      </w:p>
                    </w:txbxContent>
                  </v:textbox>
                </v:rect>
                <v:shape id="Shape 20544" o:spid="_x0000_s1043" style="position:absolute;left:35013;top:15999;width:2314;height:0;visibility:visible;mso-wrap-style:square;v-text-anchor:top" coordsize="231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" path="m,l231394,e" filled="f" strokecolor="#34599c" strokeweight="1pt">
                  <v:stroke miterlimit="83231f" joinstyle="miter"/>
                  <v:path arrowok="t" textboxrect="0,0,231394,0"/>
                </v:shape>
                <v:shape id="Shape 20545" o:spid="_x0000_s1044" style="position:absolute;left:37327;top:12782;width:18381;height:6433;visibility:visible;mso-wrap-style:square;v-text-anchor:top" coordsize="1838071,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" path="m107315,l1730883,v59182,,107188,48006,107188,107188l1838071,536067v,59182,-48006,107188,-107188,107188l107315,643255c48006,643255,,595249,,536067l,107188c,48006,48006,,107315,xe" fillcolor="#4472c4" stroked="f" strokeweight="0">
                  <v:stroke miterlimit="83231f" joinstyle="miter"/>
                  <v:path arrowok="t" textboxrect="0,0,1838071,643255"/>
                </v:shape>
                <v:shape id="Shape 20546" o:spid="_x0000_s1045" style="position:absolute;left:37327;top:12782;width:18381;height:6433;visibility:visible;mso-wrap-style:square;v-text-anchor:top" coordsize="1838071,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" path="m,107188c,48006,48006,,107315,l1730883,v59182,,107188,48006,107188,107188l1838071,536067v,59182,-48006,107188,-107188,107188l107315,643255c48006,643255,,595249,,536067l,107188xe" filled="f" strokecolor="white" strokeweight="1pt">
                  <v:stroke miterlimit="83231f" joinstyle="miter"/>
                  <v:path arrowok="t" textboxrect="0,0,1838071,643255"/>
                </v:shape>
                <v:rect id="Rectangle 20550" o:spid="_x0000_s1046" style="position:absolute;left:39057;top:13738;width:8926;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" filled="f" stroked="f">
                  <v:textbox inset="0,0,0,0">
                    <w:txbxContent>
                      <w:p w14:paraId="397CB89C" w14:textId="77777777" w:rsidR="005850DB" w:rsidRDefault="00000000">
                        <w:pPr>
                          <w:bidi w:val="0"/>
                          <w:spacing w:after="160" w:line="259" w:lineRule="auto"/>
                          <w:ind w:left="0" w:right="0" w:firstLine="0"/>
                          <w:jc w:val="left"/>
                        </w:pPr>
                        <w:r>
                          <w:rPr>
                            <w:color w:val="FFFFFF"/>
                            <w:sz w:val="40"/>
                            <w:szCs w:val="40"/>
                            <w:rtl/>
                          </w:rPr>
                          <w:t>للمخاطر</w:t>
                        </w:r>
                      </w:p>
                    </w:txbxContent>
                  </v:textbox>
                </v:rect>
                <v:rect id="Rectangle 20549" o:spid="_x0000_s1047" style="position:absolute;left:45768;top:13738;width:1073;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8Pd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7eJjH83QlXQC6eAAAA//8DAFBLAQItABQABgAIAAAAIQDb4fbL7gAAAIUBAAATAAAAAAAA&#10;AAAAAAAAAAAAAABbQ29udGVudF9UeXBlc10ueG1sUEsBAi0AFAAGAAgAAAAhAFr0LFu/AAAAFQEA&#10;AAsAAAAAAAAAAAAAAAAAHwEAAF9yZWxzLy5yZWxzUEsBAi0AFAAGAAgAAAAhAMyjw93HAAAA3gAA&#10;AA8AAAAAAAAAAAAAAAAABwIAAGRycy9kb3ducmV2LnhtbFBLBQYAAAAAAwADALcAAAD7AgAAAAA=&#10;" filled="f" stroked="f">
                  <v:textbox inset="0,0,0,0">
                    <w:txbxContent>
                      <w:p w14:paraId="562B82F3"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48" o:spid="_x0000_s1048" style="position:absolute;left:46552;top:13738;width:9830;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" filled="f" stroked="f">
                  <v:textbox inset="0,0,0,0">
                    <w:txbxContent>
                      <w:p w14:paraId="154E32B4" w14:textId="77777777" w:rsidR="005850DB" w:rsidRDefault="00000000">
                        <w:pPr>
                          <w:bidi w:val="0"/>
                          <w:spacing w:after="160" w:line="259" w:lineRule="auto"/>
                          <w:ind w:left="0" w:right="0" w:firstLine="0"/>
                          <w:jc w:val="left"/>
                        </w:pPr>
                        <w:r>
                          <w:rPr>
                            <w:color w:val="FFFFFF"/>
                            <w:sz w:val="40"/>
                            <w:szCs w:val="40"/>
                            <w:rtl/>
                          </w:rPr>
                          <w:t>الاستجابة</w:t>
                        </w:r>
                      </w:p>
                    </w:txbxContent>
                  </v:textbox>
                </v:rect>
                <v:shape id="Shape 20551" o:spid="_x0000_s1049" style="position:absolute;left:28143;top:22124;width:0;height:3441;visibility:visible;mso-wrap-style:square;v-text-anchor:top" coordsize="0,344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" path="m,l,344043e" filled="f" strokecolor="#34599c" strokeweight="1pt">
                  <v:stroke miterlimit="83231f" joinstyle="miter"/>
                  <v:path arrowok="t" textboxrect="0,0,0,344043"/>
                </v:shape>
                <v:shape id="Shape 20552" o:spid="_x0000_s1050" style="position:absolute;left:20508;top:25565;width:15269;height:6433;visibility:visible;mso-wrap-style:square;v-text-anchor:top" coordsize="1526921,643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" path="m107188,l1419733,v59182,,107188,48006,107188,107315l1526921,536067v,59309,-48006,107315,-107188,107315l107188,643382c48006,643382,,595376,,536067l,107315c,48006,48006,,107188,xe" fillcolor="#4472c4" stroked="f" strokeweight="0">
                  <v:stroke miterlimit="83231f" joinstyle="miter"/>
                  <v:path arrowok="t" textboxrect="0,0,1526921,643382"/>
                </v:shape>
                <v:shape id="Shape 20553" o:spid="_x0000_s1051" style="position:absolute;left:20508;top:25565;width:15269;height:6433;visibility:visible;mso-wrap-style:square;v-text-anchor:top" coordsize="1526921,643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" path="m,107315c,48006,48006,,107188,l1419733,v59182,,107188,48006,107188,107315l1526921,536067v,59309,-48006,107315,-107188,107315l107188,643382c48006,643382,,595376,,536067l,107315xe" filled="f" strokecolor="white" strokeweight="1pt">
                  <v:stroke miterlimit="83231f" joinstyle="miter"/>
                  <v:path arrowok="t" textboxrect="0,0,1526921,643382"/>
                </v:shape>
                <v:rect id="Rectangle 20558" o:spid="_x0000_s1052" style="position:absolute;left:21746;top:26522;width:1074;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" filled="f" stroked="f">
                  <v:textbox inset="0,0,0,0">
                    <w:txbxContent>
                      <w:p w14:paraId="221815AC"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57" o:spid="_x0000_s1053" style="position:absolute;left:22523;top:26522;width:8926;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" filled="f" stroked="f">
                  <v:textbox inset="0,0,0,0">
                    <w:txbxContent>
                      <w:p w14:paraId="6898FDDC" w14:textId="77777777" w:rsidR="005850DB" w:rsidRDefault="00000000">
                        <w:pPr>
                          <w:bidi w:val="0"/>
                          <w:spacing w:after="160" w:line="259" w:lineRule="auto"/>
                          <w:ind w:left="0" w:right="0" w:firstLine="0"/>
                          <w:jc w:val="left"/>
                        </w:pPr>
                        <w:r>
                          <w:rPr>
                            <w:color w:val="FFFFFF"/>
                            <w:sz w:val="40"/>
                            <w:szCs w:val="40"/>
                            <w:rtl/>
                          </w:rPr>
                          <w:t>المخاطر</w:t>
                        </w:r>
                      </w:p>
                    </w:txbxContent>
                  </v:textbox>
                </v:rect>
                <v:rect id="Rectangle 20556" o:spid="_x0000_s1054" style="position:absolute;left:29234;top:26522;width:1073;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" filled="f" stroked="f">
                  <v:textbox inset="0,0,0,0">
                    <w:txbxContent>
                      <w:p w14:paraId="2229298F"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55" o:spid="_x0000_s1055" style="position:absolute;left:30018;top:26522;width:5944;height: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" filled="f" stroked="f">
                  <v:textbox inset="0,0,0,0">
                    <w:txbxContent>
                      <w:p w14:paraId="57D0A94C" w14:textId="77777777" w:rsidR="005850DB" w:rsidRDefault="00000000">
                        <w:pPr>
                          <w:bidi w:val="0"/>
                          <w:spacing w:after="160" w:line="259" w:lineRule="auto"/>
                          <w:ind w:left="0" w:right="0" w:firstLine="0"/>
                          <w:jc w:val="left"/>
                        </w:pPr>
                        <w:r>
                          <w:rPr>
                            <w:color w:val="FFFFFF"/>
                            <w:sz w:val="40"/>
                            <w:szCs w:val="40"/>
                            <w:rtl/>
                          </w:rPr>
                          <w:t>مارفقة</w:t>
                        </w:r>
                      </w:p>
                    </w:txbxContent>
                  </v:textbox>
                </v:rect>
                <v:shape id="Shape 20559" o:spid="_x0000_s1056" style="position:absolute;left:18963;top:15999;width:2310;height:0;visibility:visible;mso-wrap-style:square;v-text-anchor:top" coordsize="231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" path="m231013,l,e" filled="f" strokecolor="#34599c" strokeweight="1pt">
                  <v:stroke miterlimit="83231f" joinstyle="miter"/>
                  <v:path arrowok="t" textboxrect="0,0,231013,0"/>
                </v:shape>
                <v:shape id="Shape 20560" o:spid="_x0000_s1057" style="position:absolute;left:1113;top:12782;width:17850;height:6433;visibility:visible;mso-wrap-style:square;v-text-anchor:top" coordsize="1785010,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" path="m107213,l1677822,v59183,,107188,48006,107188,107188l1785010,536067v,59182,-48005,107188,-107188,107188l107213,643255c48006,643255,,595249,,536067l,107188c,48006,48006,,107213,xe" fillcolor="#4472c4" stroked="f" strokeweight="0">
                  <v:stroke miterlimit="83231f" joinstyle="miter"/>
                  <v:path arrowok="t" textboxrect="0,0,1785010,643255"/>
                </v:shape>
                <v:shape id="Shape 20561" o:spid="_x0000_s1058" style="position:absolute;left:1113;top:12782;width:17850;height:6433;visibility:visible;mso-wrap-style:square;v-text-anchor:top" coordsize="1785010,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" path="m,107188c,48006,48006,,107213,l1677822,v59183,,107188,48006,107188,107188l1785010,536067v,59182,-48005,107188,-107188,107188l107213,643255c48006,643255,,595249,,536067l,107188xe" filled="f" strokecolor="white" strokeweight="1pt">
                  <v:stroke miterlimit="83231f" joinstyle="miter"/>
                  <v:path arrowok="t" textboxrect="0,0,1785010,643255"/>
                </v:shape>
                <v:rect id="Rectangle 20565" o:spid="_x0000_s1059" style="position:absolute;left:4102;top:13738;width:8926;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5W4xwAAAN4AAAAPAAAAZHJzL2Rvd25yZXYueG1sRI9Ba8JA&#10;FITvhf6H5RW81Y1C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AZblbjHAAAA3gAA&#10;AA8AAAAAAAAAAAAAAAAABwIAAGRycy9kb3ducmV2LnhtbFBLBQYAAAAAAwADALcAAAD7AgAAAAA=&#10;" filled="f" stroked="f">
                  <v:textbox inset="0,0,0,0">
                    <w:txbxContent>
                      <w:p w14:paraId="254008AC" w14:textId="77777777" w:rsidR="005850DB" w:rsidRDefault="00000000">
                        <w:pPr>
                          <w:bidi w:val="0"/>
                          <w:spacing w:after="160" w:line="259" w:lineRule="auto"/>
                          <w:ind w:left="0" w:right="0" w:firstLine="0"/>
                          <w:jc w:val="left"/>
                        </w:pPr>
                        <w:r>
                          <w:rPr>
                            <w:color w:val="FFFFFF"/>
                            <w:sz w:val="40"/>
                            <w:szCs w:val="40"/>
                            <w:rtl/>
                          </w:rPr>
                          <w:t>المخاطر</w:t>
                        </w:r>
                      </w:p>
                    </w:txbxContent>
                  </v:textbox>
                </v:rect>
                <v:rect id="Rectangle 20564" o:spid="_x0000_s1060" style="position:absolute;left:10814;top:13738;width:1073;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zAj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BpFzAjyAAAAN4A&#10;AAAPAAAAAAAAAAAAAAAAAAcCAABkcnMvZG93bnJldi54bWxQSwUGAAAAAAMAAwC3AAAA/AIAAAAA&#10;" filled="f" stroked="f">
                  <v:textbox inset="0,0,0,0">
                    <w:txbxContent>
                      <w:p w14:paraId="2DBCD01B" w14:textId="77777777" w:rsidR="005850DB" w:rsidRDefault="00000000">
                        <w:pPr>
                          <w:bidi w:val="0"/>
                          <w:spacing w:after="160" w:line="259" w:lineRule="auto"/>
                          <w:ind w:left="0" w:right="0" w:firstLine="0"/>
                          <w:jc w:val="left"/>
                        </w:pPr>
                        <w:r>
                          <w:rPr>
                            <w:color w:val="FFFFFF"/>
                            <w:sz w:val="40"/>
                          </w:rPr>
                          <w:t xml:space="preserve"> </w:t>
                        </w:r>
                      </w:p>
                    </w:txbxContent>
                  </v:textbox>
                </v:rect>
                <v:rect id="Rectangle 20563" o:spid="_x0000_s1061" style="position:absolute;left:11621;top:13738;width:5727;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hX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Dm/qhXyAAAAN4A&#10;AAAPAAAAAAAAAAAAAAAAAAcCAABkcnMvZG93bnJldi54bWxQSwUGAAAAAAMAAwC3AAAA/AIAAAAA&#10;" filled="f" stroked="f">
                  <v:textbox inset="0,0,0,0">
                    <w:txbxContent>
                      <w:p w14:paraId="6FDA0133" w14:textId="77777777" w:rsidR="005850DB" w:rsidRDefault="00000000">
                        <w:pPr>
                          <w:bidi w:val="0"/>
                          <w:spacing w:after="160" w:line="259" w:lineRule="auto"/>
                          <w:ind w:left="0" w:right="0" w:firstLine="0"/>
                          <w:jc w:val="left"/>
                        </w:pPr>
                        <w:r>
                          <w:rPr>
                            <w:color w:val="FFFFFF"/>
                            <w:sz w:val="40"/>
                            <w:szCs w:val="40"/>
                            <w:rtl/>
                          </w:rPr>
                          <w:t>تحديد</w:t>
                        </w:r>
                      </w:p>
                    </w:txbxContent>
                  </v:textbox>
                </v:rect>
                <w10:anchorlock/>
              </v:group>
            </w:pict>
          </mc:Fallback>
        </mc:AlternateContent>
      </w:r>
    </w:p>
    <w:p w14:paraId="57D57AF5" w14:textId="77777777" w:rsidR="005850DB" w:rsidRDefault="00000000">
      <w:pPr>
        <w:ind w:right="274"/>
      </w:pPr>
      <w:r>
        <w:rPr>
          <w:szCs w:val="28"/>
          <w:rtl/>
        </w:rPr>
        <w:t>يوضح الإطار المفاهيمي أعلاه أن نجاح مشاريع صناعة المضخات يعتمد على تطبيق ممارسات إدارة المخاطر بشكل منهجي، بدءًا من تحديد المخاطر، ثم تحليلها، والاستجابة لها، وصولًا إلى م ارقبتها</w:t>
      </w:r>
      <w:r>
        <w:rPr>
          <w:rFonts w:ascii="Times New Roman" w:eastAsia="Times New Roman" w:hAnsi="Times New Roman" w:cs="Times New Roman"/>
          <w:sz w:val="24"/>
          <w:rtl/>
        </w:rPr>
        <w:t xml:space="preserve"> .</w:t>
      </w:r>
    </w:p>
    <w:p w14:paraId="33DAEA69" w14:textId="77777777" w:rsidR="005850DB" w:rsidRDefault="00000000">
      <w:pPr>
        <w:ind w:right="492"/>
      </w:pPr>
      <w:r>
        <w:rPr>
          <w:szCs w:val="28"/>
          <w:rtl/>
        </w:rPr>
        <w:t>وتشير الد ارسة إلى أن هذه الممارسات ترتبط ارتباطًا إيجابيًا بتحقيق النجاح في مشاريع هذا القطاع الحيوي. يمثل هذا الإطار الأساس الذي تستند إليه عملية جمع البيانات وتحليلها واختبار الفرضيا ت</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Cs w:val="28"/>
          <w:rtl/>
        </w:rPr>
        <w:t xml:space="preserve"> </w:t>
      </w:r>
    </w:p>
    <w:p w14:paraId="705F9D13" w14:textId="77777777" w:rsidR="005850DB" w:rsidRDefault="00000000">
      <w:pPr>
        <w:bidi w:val="0"/>
        <w:spacing w:after="9" w:line="259" w:lineRule="auto"/>
        <w:ind w:left="0" w:right="63" w:firstLine="0"/>
      </w:pPr>
      <w:r>
        <w:rPr>
          <w:b/>
        </w:rPr>
        <w:t xml:space="preserve"> </w:t>
      </w:r>
    </w:p>
    <w:p w14:paraId="1F19E76D" w14:textId="77777777" w:rsidR="005850DB" w:rsidRDefault="00000000">
      <w:pPr>
        <w:spacing w:after="3" w:line="259" w:lineRule="auto"/>
        <w:ind w:left="7" w:right="0" w:hanging="10"/>
        <w:jc w:val="left"/>
      </w:pPr>
      <w:r>
        <w:rPr>
          <w:b/>
          <w:bCs/>
          <w:sz w:val="32"/>
          <w:szCs w:val="32"/>
          <w:rtl/>
        </w:rPr>
        <w:t xml:space="preserve">المارجع:  </w:t>
      </w:r>
    </w:p>
    <w:p w14:paraId="3FD00E73" w14:textId="77777777" w:rsidR="005850DB" w:rsidRDefault="00000000">
      <w:pPr>
        <w:bidi w:val="0"/>
        <w:spacing w:after="147"/>
        <w:ind w:left="26" w:right="0" w:hanging="10"/>
      </w:pPr>
      <w:r>
        <w:rPr>
          <w:rFonts w:ascii="Times New Roman" w:eastAsia="Times New Roman" w:hAnsi="Times New Roman" w:cs="Times New Roman"/>
          <w:sz w:val="24"/>
        </w:rPr>
        <w:t xml:space="preserve">[21] Hair, J. F., Black, W. C., Babin, B. J., &amp; Anderson, R. E. (2019). Multivariate data analysis (8th ed.). Cengage Learning. [22] Creswell, J. W., &amp; Creswell, J. D. (2022). Research design: Qualitative, quantitative, and mixed methods approaches (6th ed.). SAGE Publications. [23] Project Management Institute. (2017). A Guide to the Project Management </w:t>
      </w:r>
    </w:p>
    <w:p w14:paraId="2BC7210E" w14:textId="77777777" w:rsidR="005850DB" w:rsidRDefault="00000000">
      <w:pPr>
        <w:bidi w:val="0"/>
        <w:spacing w:after="780"/>
        <w:ind w:left="26" w:right="0" w:hanging="10"/>
      </w:pPr>
      <w:r>
        <w:rPr>
          <w:rFonts w:ascii="Times New Roman" w:eastAsia="Times New Roman" w:hAnsi="Times New Roman" w:cs="Times New Roman"/>
        </w:rPr>
        <w:t xml:space="preserve"> </w:t>
      </w:r>
      <w:r>
        <w:rPr>
          <w:rFonts w:ascii="Times New Roman" w:eastAsia="Times New Roman" w:hAnsi="Times New Roman" w:cs="Times New Roman"/>
          <w:sz w:val="24"/>
        </w:rPr>
        <w:t>Body of Knowledge (PMBOK® Guide) (6th ed.). Project Management Institute.</w:t>
      </w:r>
      <w:r>
        <w:t xml:space="preserve"> </w:t>
      </w:r>
    </w:p>
    <w:p w14:paraId="114BD04F" w14:textId="77777777" w:rsidR="005850DB" w:rsidRDefault="00000000">
      <w:pPr>
        <w:pStyle w:val="Heading3"/>
        <w:ind w:left="7"/>
      </w:pPr>
      <w:r>
        <w:rPr>
          <w:rFonts w:ascii="Times New Roman" w:eastAsia="Times New Roman" w:hAnsi="Times New Roman" w:cs="Times New Roman"/>
          <w:bCs/>
          <w:szCs w:val="32"/>
        </w:rPr>
        <w:lastRenderedPageBreak/>
        <w:t>1</w:t>
      </w:r>
      <w:r>
        <w:rPr>
          <w:rFonts w:ascii="Times New Roman" w:eastAsia="Times New Roman" w:hAnsi="Times New Roman" w:cs="Times New Roman"/>
          <w:bCs/>
          <w:szCs w:val="32"/>
          <w:rtl/>
        </w:rPr>
        <w:t>.</w:t>
      </w:r>
      <w:r>
        <w:rPr>
          <w:rFonts w:ascii="Times New Roman" w:eastAsia="Times New Roman" w:hAnsi="Times New Roman" w:cs="Times New Roman"/>
          <w:bCs/>
          <w:szCs w:val="32"/>
        </w:rPr>
        <w:t>5</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الأهمية العلمية </w:t>
      </w:r>
      <w:r>
        <w:rPr>
          <w:rFonts w:ascii="Times New Roman" w:eastAsia="Times New Roman" w:hAnsi="Times New Roman" w:cs="Times New Roman"/>
          <w:bCs/>
          <w:szCs w:val="32"/>
          <w:rtl/>
        </w:rPr>
        <w:t xml:space="preserve"> </w:t>
      </w:r>
    </w:p>
    <w:p w14:paraId="24831F59" w14:textId="77777777" w:rsidR="005850DB" w:rsidRDefault="00000000">
      <w:pPr>
        <w:ind w:right="38"/>
      </w:pPr>
      <w:r>
        <w:rPr>
          <w:szCs w:val="28"/>
          <w:rtl/>
        </w:rPr>
        <w:t xml:space="preserve">تسهم هذه الد ارسة في إث ارء الأدبيات الأكاديمية في مجال إدارة المخاطر وإدارة المشاريع، خاصة في سياق صناعة المضخات في المملكة العربية السعودية. فكما تم الإشارة إليه في الفجوة البحثية، هناك ندرة في الد ارسات التي تركز على هذا القطاع الحيوي في البيئة المحلية.  وبالتالي، فإن هذه الد ارسة ستقدم مساهمة علمية من خلال:  </w:t>
      </w:r>
    </w:p>
    <w:p w14:paraId="55565918" w14:textId="77777777" w:rsidR="005850DB" w:rsidRDefault="00000000">
      <w:pPr>
        <w:numPr>
          <w:ilvl w:val="0"/>
          <w:numId w:val="12"/>
        </w:numPr>
        <w:ind w:left="694" w:right="164" w:hanging="362"/>
      </w:pPr>
      <w:r>
        <w:rPr>
          <w:szCs w:val="28"/>
          <w:rtl/>
        </w:rPr>
        <w:t>سد الفجوة البحثية: توفير معرفة متخصصةٍ حول دور إدارة المخاطر في نجاح مشاريع صناعة المضخات، وهو ما لم يتم تناوله بشكل كاف في الد ارسات السابقة ]</w:t>
      </w:r>
      <w:r>
        <w:rPr>
          <w:rFonts w:ascii="Times New Roman" w:eastAsia="Times New Roman" w:hAnsi="Times New Roman" w:cs="Times New Roman"/>
          <w:szCs w:val="28"/>
        </w:rPr>
        <w:t>24</w:t>
      </w:r>
      <w:r>
        <w:rPr>
          <w:szCs w:val="28"/>
          <w:rtl/>
        </w:rPr>
        <w:t xml:space="preserve">[ . </w:t>
      </w:r>
    </w:p>
    <w:p w14:paraId="6CA4DDA9" w14:textId="77777777" w:rsidR="005850DB" w:rsidRDefault="00000000">
      <w:pPr>
        <w:numPr>
          <w:ilvl w:val="0"/>
          <w:numId w:val="12"/>
        </w:numPr>
        <w:ind w:left="694" w:right="164" w:hanging="362"/>
      </w:pPr>
      <w:r>
        <w:rPr>
          <w:szCs w:val="28"/>
          <w:rtl/>
        </w:rPr>
        <w:t>تطوير الإطار النظري: ستساهم الد ارسة في تطوير الإطار النظري لإدارة المخاطر من خلال تقديم رؤى حول كيفية تطبيق المفاهيم النظرية في سياق صناعي محدد، مما قد يؤدي إلى تطوير نماذج أو أطر عمل أكثر تخصصاً ]</w:t>
      </w:r>
      <w:r>
        <w:rPr>
          <w:rFonts w:ascii="Times New Roman" w:eastAsia="Times New Roman" w:hAnsi="Times New Roman" w:cs="Times New Roman"/>
          <w:szCs w:val="28"/>
        </w:rPr>
        <w:t>25</w:t>
      </w:r>
      <w:r>
        <w:rPr>
          <w:szCs w:val="28"/>
          <w:rtl/>
        </w:rPr>
        <w:t xml:space="preserve">[ . </w:t>
      </w:r>
    </w:p>
    <w:p w14:paraId="0BD88479" w14:textId="77777777" w:rsidR="005850DB" w:rsidRDefault="00000000">
      <w:pPr>
        <w:numPr>
          <w:ilvl w:val="0"/>
          <w:numId w:val="12"/>
        </w:numPr>
        <w:ind w:left="694" w:right="164" w:hanging="362"/>
      </w:pPr>
      <w:r>
        <w:rPr>
          <w:szCs w:val="28"/>
          <w:rtl/>
        </w:rPr>
        <w:t xml:space="preserve">منهجية البحث المختلطة: استخدام المنهج المختلط )الكمي والنوعي( سيوفر نموذجاً لد ارسات مستقبلية في هذا المجال، حيث يتيح هذا المنهج فهماً أعمق وأكثر شمولاً للظاهرة المدروسة من خلال دمج نقاط القوة في كلا المنهجين]  </w:t>
      </w:r>
      <w:r>
        <w:rPr>
          <w:rFonts w:ascii="Times New Roman" w:eastAsia="Times New Roman" w:hAnsi="Times New Roman" w:cs="Times New Roman"/>
          <w:szCs w:val="28"/>
        </w:rPr>
        <w:t>26</w:t>
      </w:r>
      <w:r>
        <w:rPr>
          <w:szCs w:val="28"/>
          <w:rtl/>
        </w:rPr>
        <w:t xml:space="preserve">[. </w:t>
      </w:r>
    </w:p>
    <w:p w14:paraId="0C5ED4FA" w14:textId="77777777" w:rsidR="005850DB" w:rsidRDefault="00000000">
      <w:pPr>
        <w:numPr>
          <w:ilvl w:val="0"/>
          <w:numId w:val="12"/>
        </w:numPr>
        <w:ind w:left="694" w:right="164" w:hanging="362"/>
      </w:pPr>
      <w:r>
        <w:rPr>
          <w:szCs w:val="28"/>
          <w:rtl/>
        </w:rPr>
        <w:t xml:space="preserve">توفير بيانات مرجعية: ستوفر الد ارسة بيانات ومعلومات موثقة حول ممارسات إدارة المخاطر في صناعة المضخات السعودية، والتي يمكن أن تكون بمثابة نقطة انطلاق لد ارسات مستقبلية أو مقارنات بين القطاعات المختلفة] </w:t>
      </w:r>
      <w:r>
        <w:rPr>
          <w:rFonts w:ascii="Times New Roman" w:eastAsia="Times New Roman" w:hAnsi="Times New Roman" w:cs="Times New Roman"/>
          <w:szCs w:val="28"/>
        </w:rPr>
        <w:t>27</w:t>
      </w:r>
      <w:r>
        <w:rPr>
          <w:szCs w:val="28"/>
          <w:rtl/>
        </w:rPr>
        <w:t>[ .</w:t>
      </w:r>
      <w:r>
        <w:rPr>
          <w:rFonts w:ascii="Times New Roman" w:eastAsia="Times New Roman" w:hAnsi="Times New Roman" w:cs="Times New Roman"/>
          <w:szCs w:val="28"/>
          <w:rtl/>
        </w:rPr>
        <w:t xml:space="preserve"> </w:t>
      </w:r>
    </w:p>
    <w:p w14:paraId="2D1D2515" w14:textId="77777777" w:rsidR="005850DB" w:rsidRDefault="00000000">
      <w:pPr>
        <w:bidi w:val="0"/>
        <w:spacing w:after="52" w:line="259" w:lineRule="auto"/>
        <w:ind w:left="0" w:right="58" w:firstLine="0"/>
      </w:pPr>
      <w:r>
        <w:t xml:space="preserve"> </w:t>
      </w:r>
    </w:p>
    <w:p w14:paraId="52245B30"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5</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الأهمية العملية  </w:t>
      </w:r>
    </w:p>
    <w:p w14:paraId="57CB21FE" w14:textId="77777777" w:rsidR="005850DB" w:rsidRDefault="00000000">
      <w:pPr>
        <w:ind w:right="409"/>
      </w:pPr>
      <w:r>
        <w:rPr>
          <w:szCs w:val="28"/>
          <w:rtl/>
        </w:rPr>
        <w:t xml:space="preserve">لا تقتصر أهمية هذه الد ارسة على الجانب العلمي فحسب، بل تمتد لتشمل الجانب العملي، حيث تقدم رؤى وتوصيات قيمة للممارسين وصناع الق ارر في شركات صناعة المضخات في المملكة العربية السعودية. وتشمل الأهمية العملية ما يلي: </w:t>
      </w:r>
    </w:p>
    <w:p w14:paraId="26E3FA25" w14:textId="77777777" w:rsidR="005850DB" w:rsidRDefault="00000000">
      <w:pPr>
        <w:numPr>
          <w:ilvl w:val="0"/>
          <w:numId w:val="13"/>
        </w:numPr>
        <w:ind w:right="180" w:hanging="362"/>
      </w:pPr>
      <w:r>
        <w:rPr>
          <w:b/>
          <w:bCs/>
          <w:szCs w:val="28"/>
          <w:rtl/>
        </w:rPr>
        <w:t>تحسين أداء المشاريع:</w:t>
      </w:r>
      <w:r>
        <w:rPr>
          <w:szCs w:val="28"/>
          <w:rtl/>
        </w:rPr>
        <w:t xml:space="preserve"> من خلال فهم العلاقة بين إدارة المخاطر ونجاح المشاريع، يمكن للشركات تحسين ممارساتها في إدارة المخاطر، مما يؤدي إلى تقليل حالات تجاوز المي ازنية، والتأخير في الجدول الزمني، ومشكلات الجودة، وبالتالي تعزيز نجاح مشاريعها] </w:t>
      </w:r>
      <w:r>
        <w:rPr>
          <w:rFonts w:ascii="Times New Roman" w:eastAsia="Times New Roman" w:hAnsi="Times New Roman" w:cs="Times New Roman"/>
          <w:szCs w:val="28"/>
        </w:rPr>
        <w:t>28</w:t>
      </w:r>
      <w:r>
        <w:rPr>
          <w:szCs w:val="28"/>
          <w:rtl/>
        </w:rPr>
        <w:t xml:space="preserve">[. </w:t>
      </w:r>
    </w:p>
    <w:p w14:paraId="1300345C" w14:textId="77777777" w:rsidR="005850DB" w:rsidRDefault="00000000">
      <w:pPr>
        <w:numPr>
          <w:ilvl w:val="0"/>
          <w:numId w:val="13"/>
        </w:numPr>
        <w:ind w:right="180" w:hanging="362"/>
      </w:pPr>
      <w:r>
        <w:rPr>
          <w:b/>
          <w:bCs/>
          <w:szCs w:val="28"/>
          <w:rtl/>
        </w:rPr>
        <w:t>دعم اتخاذ القارر:</w:t>
      </w:r>
      <w:r>
        <w:rPr>
          <w:szCs w:val="28"/>
          <w:rtl/>
        </w:rPr>
        <w:t xml:space="preserve"> ستوفر النتائج والتوصيات المستخلصة من الد ارسة معلومات قيمة للإدارة العليا لاتخاذ ق ارارت مستنيرة بشأن تخصيص الموارد، وتطوير الاست ارتيجيات، وتحسين العمليات المتعلقة بإدارة المخاطر] </w:t>
      </w:r>
      <w:r>
        <w:rPr>
          <w:rFonts w:ascii="Times New Roman" w:eastAsia="Times New Roman" w:hAnsi="Times New Roman" w:cs="Times New Roman"/>
          <w:szCs w:val="28"/>
        </w:rPr>
        <w:t>29</w:t>
      </w:r>
      <w:r>
        <w:rPr>
          <w:szCs w:val="28"/>
          <w:rtl/>
        </w:rPr>
        <w:t xml:space="preserve">[. </w:t>
      </w:r>
    </w:p>
    <w:p w14:paraId="09E57BE0" w14:textId="77777777" w:rsidR="005850DB" w:rsidRDefault="00000000">
      <w:pPr>
        <w:numPr>
          <w:ilvl w:val="0"/>
          <w:numId w:val="13"/>
        </w:numPr>
        <w:spacing w:after="53"/>
        <w:ind w:right="180" w:hanging="362"/>
      </w:pPr>
      <w:r>
        <w:rPr>
          <w:b/>
          <w:bCs/>
          <w:szCs w:val="28"/>
          <w:rtl/>
        </w:rPr>
        <w:lastRenderedPageBreak/>
        <w:t>تطوير الكفاءات:</w:t>
      </w:r>
      <w:r>
        <w:rPr>
          <w:szCs w:val="28"/>
          <w:rtl/>
        </w:rPr>
        <w:t xml:space="preserve"> يمكن للشركات الاستفادة من نتائج الد ارسة في تصميم ب ارمج تدريب وتطوير مستهدفة لرفع كفاءة العاملين في مجال إدارة المخاطر، مما يساهم في بناء قد ارت داخلية قوية </w:t>
      </w:r>
    </w:p>
    <w:p w14:paraId="43CDFAAB"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30</w:t>
      </w:r>
      <w:r>
        <w:t>[</w:t>
      </w:r>
    </w:p>
    <w:p w14:paraId="50165819" w14:textId="77777777" w:rsidR="005850DB" w:rsidRDefault="00000000">
      <w:pPr>
        <w:numPr>
          <w:ilvl w:val="0"/>
          <w:numId w:val="13"/>
        </w:numPr>
        <w:ind w:right="180" w:hanging="362"/>
      </w:pPr>
      <w:r>
        <w:rPr>
          <w:b/>
          <w:bCs/>
          <w:szCs w:val="28"/>
          <w:rtl/>
        </w:rPr>
        <w:t xml:space="preserve">المساهمة في رؤية المملكة </w:t>
      </w:r>
      <w:r>
        <w:rPr>
          <w:rFonts w:ascii="Times New Roman" w:eastAsia="Times New Roman" w:hAnsi="Times New Roman" w:cs="Times New Roman"/>
          <w:b/>
          <w:bCs/>
          <w:szCs w:val="28"/>
        </w:rPr>
        <w:t>2030</w:t>
      </w:r>
      <w:r>
        <w:rPr>
          <w:b/>
          <w:bCs/>
          <w:szCs w:val="28"/>
          <w:rtl/>
        </w:rPr>
        <w:t>:</w:t>
      </w:r>
      <w:r>
        <w:rPr>
          <w:szCs w:val="28"/>
          <w:rtl/>
        </w:rPr>
        <w:t xml:space="preserve"> من خلال تعزيز نجاح مشاريع صناعة المضخات، تساهم الد ارسة بشكل غير مباشر في تحقيق أهداف رؤية المملكة </w:t>
      </w:r>
      <w:r>
        <w:rPr>
          <w:rFonts w:ascii="Times New Roman" w:eastAsia="Times New Roman" w:hAnsi="Times New Roman" w:cs="Times New Roman"/>
          <w:szCs w:val="28"/>
        </w:rPr>
        <w:t>2030</w:t>
      </w:r>
      <w:r>
        <w:rPr>
          <w:szCs w:val="28"/>
          <w:rtl/>
        </w:rPr>
        <w:t xml:space="preserve"> المتعلقة بتنويع الاقتصاد، وتوطين الصناعات، وزيادة المحتوى المحلي، وبناء اقتصاد مزدهر ]</w:t>
      </w:r>
      <w:r>
        <w:rPr>
          <w:rFonts w:ascii="Times New Roman" w:eastAsia="Times New Roman" w:hAnsi="Times New Roman" w:cs="Times New Roman"/>
          <w:szCs w:val="28"/>
        </w:rPr>
        <w:t>31</w:t>
      </w:r>
      <w:r>
        <w:rPr>
          <w:szCs w:val="28"/>
          <w:rtl/>
        </w:rPr>
        <w:t xml:space="preserve">[. </w:t>
      </w:r>
    </w:p>
    <w:p w14:paraId="043E9918" w14:textId="77777777" w:rsidR="005850DB" w:rsidRDefault="00000000">
      <w:pPr>
        <w:numPr>
          <w:ilvl w:val="0"/>
          <w:numId w:val="13"/>
        </w:numPr>
        <w:ind w:right="180" w:hanging="362"/>
      </w:pPr>
      <w:r>
        <w:rPr>
          <w:b/>
          <w:bCs/>
          <w:szCs w:val="28"/>
          <w:rtl/>
        </w:rPr>
        <w:t>تعزيز القدرة التنافسية:</w:t>
      </w:r>
      <w:r>
        <w:rPr>
          <w:szCs w:val="28"/>
          <w:rtl/>
        </w:rPr>
        <w:t xml:space="preserve"> ستساعد الد ارسة الشركات على تحديد المخاطر المحتملة بشكل استباقي وتطوير است ارتيجيات للتعامل معها، مما يعزز قدرتها التنافسية في السوق المحلي والإقليمي، ويقلل من تعرضها للخسائر المحتملة.</w:t>
      </w:r>
      <w:r>
        <w:rPr>
          <w:rFonts w:ascii="Times New Roman" w:eastAsia="Times New Roman" w:hAnsi="Times New Roman" w:cs="Times New Roman"/>
          <w:szCs w:val="28"/>
          <w:rtl/>
        </w:rPr>
        <w:t xml:space="preserve"> </w:t>
      </w:r>
    </w:p>
    <w:p w14:paraId="7083D14F" w14:textId="77777777" w:rsidR="005850DB" w:rsidRDefault="00000000">
      <w:pPr>
        <w:ind w:right="100"/>
      </w:pPr>
      <w:r>
        <w:rPr>
          <w:szCs w:val="28"/>
          <w:rtl/>
        </w:rPr>
        <w:t>باختصار، تسعى هذه الد ارسة إلى تقديم مساهمة مزدوجة، علمية وعملية، من خلال توفير فهم أعمق لدور إدارة المخاطر في صناعة المضخات، وتقديم توصيات قابلة للتطبيق لتحسين الأداء وتعزيز النجاح في هذا القطاع الحيوي.</w:t>
      </w:r>
      <w:r>
        <w:rPr>
          <w:rFonts w:ascii="Times New Roman" w:eastAsia="Times New Roman" w:hAnsi="Times New Roman" w:cs="Times New Roman"/>
          <w:szCs w:val="28"/>
          <w:rtl/>
        </w:rPr>
        <w:t xml:space="preserve"> </w:t>
      </w:r>
    </w:p>
    <w:p w14:paraId="0C01A842" w14:textId="77777777" w:rsidR="005850DB" w:rsidRDefault="00000000">
      <w:pPr>
        <w:spacing w:after="10" w:line="227" w:lineRule="auto"/>
        <w:ind w:left="-2" w:right="8234" w:firstLine="46"/>
      </w:pPr>
      <w:r>
        <w:rPr>
          <w:szCs w:val="28"/>
          <w:rtl/>
        </w:rPr>
        <w:t xml:space="preserve"> </w:t>
      </w:r>
      <w:r>
        <w:rPr>
          <w:b/>
          <w:bCs/>
          <w:sz w:val="32"/>
          <w:szCs w:val="32"/>
          <w:rtl/>
        </w:rPr>
        <w:t xml:space="preserve">المارجع:  </w:t>
      </w:r>
    </w:p>
    <w:p w14:paraId="36A09676" w14:textId="77777777" w:rsidR="005850DB" w:rsidRDefault="00000000">
      <w:pPr>
        <w:bidi w:val="0"/>
        <w:spacing w:after="3" w:line="248" w:lineRule="auto"/>
        <w:ind w:left="260" w:right="-7" w:firstLine="583"/>
        <w:jc w:val="left"/>
      </w:pPr>
      <w:r>
        <w:rPr>
          <w:rFonts w:ascii="Times New Roman" w:eastAsia="Times New Roman" w:hAnsi="Times New Roman" w:cs="Times New Roman"/>
          <w:sz w:val="24"/>
        </w:rPr>
        <w:t xml:space="preserve">[24] Al-Ghamdi, A. S. (2018). Risk management practices in Saudi Arabian industrial projects: A review. Journal of Industrial Engineering and Management, 11(2), 234-245. [25] </w:t>
      </w:r>
    </w:p>
    <w:p w14:paraId="49B90655" w14:textId="77777777" w:rsidR="005850DB" w:rsidRDefault="00000000">
      <w:pPr>
        <w:bidi w:val="0"/>
        <w:spacing w:after="3" w:line="248" w:lineRule="auto"/>
        <w:ind w:left="706" w:right="-7" w:hanging="627"/>
        <w:jc w:val="left"/>
      </w:pPr>
      <w:r>
        <w:rPr>
          <w:rFonts w:ascii="Times New Roman" w:eastAsia="Times New Roman" w:hAnsi="Times New Roman" w:cs="Times New Roman"/>
          <w:sz w:val="24"/>
        </w:rPr>
        <w:t xml:space="preserve">Aven, T. (2016). Risk assessment and risk management: Review of recent advances and future challenges. Reliability Engineering &amp; System Safety, 154, 1-13. [26] Creswell, J. W., &amp; </w:t>
      </w:r>
    </w:p>
    <w:p w14:paraId="5A34C012" w14:textId="77777777" w:rsidR="005850DB" w:rsidRDefault="00000000">
      <w:pPr>
        <w:bidi w:val="0"/>
        <w:spacing w:after="3" w:line="248" w:lineRule="auto"/>
        <w:ind w:left="176" w:right="-7" w:firstLine="650"/>
        <w:jc w:val="left"/>
      </w:pPr>
      <w:r>
        <w:rPr>
          <w:rFonts w:ascii="Times New Roman" w:eastAsia="Times New Roman" w:hAnsi="Times New Roman" w:cs="Times New Roman"/>
          <w:sz w:val="24"/>
        </w:rPr>
        <w:t xml:space="preserve">Creswell, J. D. (2022). Research design: Qualitative, quantitative, and mixed methods approaches (6th ed.). SAGE Publications. [27] Al-Maliki, F. (2020). Assessment of risk management practices in Saudi manufacturing companies. International Journal of Business and Management, 15(3), 112-125. [28] Project Management Institute. (2017). A Guide to the </w:t>
      </w:r>
    </w:p>
    <w:p w14:paraId="34B96089" w14:textId="77777777" w:rsidR="005850DB" w:rsidRDefault="00000000">
      <w:pPr>
        <w:bidi w:val="0"/>
        <w:spacing w:after="3" w:line="248" w:lineRule="auto"/>
        <w:ind w:left="200" w:right="-7" w:hanging="10"/>
        <w:jc w:val="left"/>
      </w:pPr>
      <w:r>
        <w:rPr>
          <w:rFonts w:ascii="Times New Roman" w:eastAsia="Times New Roman" w:hAnsi="Times New Roman" w:cs="Times New Roman"/>
          <w:sz w:val="24"/>
        </w:rPr>
        <w:t xml:space="preserve">Project Management Body of Knowledge (PMBOK® Guide) (6th ed.). Project Management </w:t>
      </w:r>
    </w:p>
    <w:p w14:paraId="46B9341F" w14:textId="77777777" w:rsidR="005850DB" w:rsidRDefault="00000000">
      <w:pPr>
        <w:bidi w:val="0"/>
        <w:spacing w:after="3" w:line="248" w:lineRule="auto"/>
        <w:ind w:left="399" w:right="-7" w:firstLine="571"/>
        <w:jc w:val="left"/>
      </w:pPr>
      <w:r>
        <w:rPr>
          <w:rFonts w:ascii="Times New Roman" w:eastAsia="Times New Roman" w:hAnsi="Times New Roman" w:cs="Times New Roman"/>
          <w:sz w:val="24"/>
        </w:rPr>
        <w:t xml:space="preserve">Institute. [29] Hopkin, P. (2018). Fundamentals of risk management: Understanding, evaluating and implementing effective risk management (5th ed.). Kogan Page Publishers. </w:t>
      </w:r>
    </w:p>
    <w:p w14:paraId="4A11669F" w14:textId="77777777" w:rsidR="005850DB" w:rsidRDefault="00000000">
      <w:pPr>
        <w:bidi w:val="0"/>
        <w:spacing w:after="13"/>
        <w:ind w:left="26" w:right="0" w:hanging="10"/>
      </w:pPr>
      <w:r>
        <w:rPr>
          <w:rFonts w:ascii="Times New Roman" w:eastAsia="Times New Roman" w:hAnsi="Times New Roman" w:cs="Times New Roman"/>
          <w:sz w:val="24"/>
        </w:rPr>
        <w:t xml:space="preserve">[30] Al-Shehri, A. (2010). Risk management in oil and gas projects in Saudi Arabia. Master's Thesis, King Fahd University of Petroleum and Minerals. [31] Saudi Vision 2030. (n.d.). </w:t>
      </w:r>
      <w:r>
        <w:rPr>
          <w:rFonts w:ascii="Times New Roman" w:eastAsia="Times New Roman" w:hAnsi="Times New Roman" w:cs="Times New Roman"/>
        </w:rPr>
        <w:t xml:space="preserve"> </w:t>
      </w:r>
      <w:r>
        <w:rPr>
          <w:rFonts w:ascii="Times New Roman" w:eastAsia="Times New Roman" w:hAnsi="Times New Roman" w:cs="Times New Roman"/>
          <w:sz w:val="24"/>
        </w:rPr>
        <w:t xml:space="preserve">About Vision 2030. Retrieved from </w:t>
      </w:r>
      <w:hyperlink r:id="rId143">
        <w:r>
          <w:rPr>
            <w:rFonts w:ascii="Times New Roman" w:eastAsia="Times New Roman" w:hAnsi="Times New Roman" w:cs="Times New Roman"/>
            <w:color w:val="0563C1"/>
            <w:sz w:val="24"/>
            <w:u w:val="single" w:color="0563C1"/>
          </w:rPr>
          <w:t>https://www.vision2030.gov.sa/</w:t>
        </w:r>
      </w:hyperlink>
    </w:p>
    <w:p w14:paraId="189AC80B" w14:textId="77777777" w:rsidR="005850DB" w:rsidRDefault="00000000">
      <w:pPr>
        <w:bidi w:val="0"/>
        <w:spacing w:after="37" w:line="259" w:lineRule="auto"/>
        <w:ind w:left="0" w:right="69" w:firstLine="0"/>
      </w:pPr>
      <w:r>
        <w:rPr>
          <w:rFonts w:ascii="Times New Roman" w:eastAsia="Times New Roman" w:hAnsi="Times New Roman" w:cs="Times New Roman"/>
        </w:rPr>
        <w:t xml:space="preserve"> </w:t>
      </w:r>
    </w:p>
    <w:p w14:paraId="04F8FF27" w14:textId="77777777" w:rsidR="005850DB" w:rsidRDefault="00000000">
      <w:pPr>
        <w:bidi w:val="0"/>
        <w:spacing w:after="49" w:line="259" w:lineRule="auto"/>
        <w:ind w:left="0" w:right="58" w:firstLine="0"/>
      </w:pPr>
      <w:r>
        <w:t xml:space="preserve"> </w:t>
      </w:r>
    </w:p>
    <w:p w14:paraId="5F6134A3" w14:textId="77777777" w:rsidR="005850DB" w:rsidRDefault="00000000">
      <w:pPr>
        <w:spacing w:after="4" w:line="245" w:lineRule="auto"/>
        <w:ind w:right="170" w:hanging="5"/>
        <w:jc w:val="both"/>
      </w:pPr>
      <w:r>
        <w:rPr>
          <w:rFonts w:ascii="Times New Roman" w:eastAsia="Times New Roman" w:hAnsi="Times New Roman" w:cs="Times New Roman"/>
          <w:b/>
          <w:bCs/>
          <w:sz w:val="32"/>
          <w:szCs w:val="32"/>
        </w:rPr>
        <w:t>1</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Pr>
        <w:t>1</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Pr>
        <w:t>3</w:t>
      </w:r>
      <w:r>
        <w:rPr>
          <w:b/>
          <w:bCs/>
          <w:sz w:val="32"/>
          <w:szCs w:val="32"/>
          <w:rtl/>
        </w:rPr>
        <w:t xml:space="preserve"> المشهد الصناعي السعودي ودور رؤية </w:t>
      </w:r>
      <w:r>
        <w:rPr>
          <w:rFonts w:ascii="Times New Roman" w:eastAsia="Times New Roman" w:hAnsi="Times New Roman" w:cs="Times New Roman"/>
          <w:b/>
          <w:bCs/>
          <w:sz w:val="49"/>
          <w:szCs w:val="49"/>
          <w:vertAlign w:val="subscript"/>
        </w:rPr>
        <w:t>2030</w:t>
      </w:r>
      <w:r>
        <w:rPr>
          <w:rFonts w:ascii="Times New Roman" w:eastAsia="Times New Roman" w:hAnsi="Times New Roman" w:cs="Times New Roman"/>
          <w:b/>
          <w:bCs/>
          <w:sz w:val="32"/>
          <w:szCs w:val="32"/>
          <w:rtl/>
        </w:rPr>
        <w:t xml:space="preserve"> </w:t>
      </w:r>
      <w:r>
        <w:rPr>
          <w:szCs w:val="28"/>
          <w:rtl/>
        </w:rPr>
        <w:t xml:space="preserve">يشهد المشهد الصناعي في المملكة العربية السعودية تحولاً جذرياً كجزء من أهداف رؤية المملكة </w:t>
      </w:r>
      <w:r>
        <w:rPr>
          <w:rFonts w:ascii="Times New Roman" w:eastAsia="Times New Roman" w:hAnsi="Times New Roman" w:cs="Times New Roman"/>
          <w:szCs w:val="28"/>
        </w:rPr>
        <w:t>2030</w:t>
      </w:r>
      <w:r>
        <w:rPr>
          <w:szCs w:val="28"/>
          <w:rtl/>
        </w:rPr>
        <w:t xml:space="preserve"> الطموحة، والتي تهدف إلى تنويع مصادر </w:t>
      </w:r>
      <w:r>
        <w:rPr>
          <w:szCs w:val="28"/>
          <w:rtl/>
        </w:rPr>
        <w:lastRenderedPageBreak/>
        <w:t>الدخل وتقليل الاعتماد على النفط. تعد الصناعة ركيزة أساسية في هذه الرؤية، حيث تسعى المملكة إلى أن تصبح قوة صناعية ارئدة ومرك اًز لوجستياً عالمياً ]</w:t>
      </w:r>
      <w:r>
        <w:rPr>
          <w:rFonts w:ascii="Times New Roman" w:eastAsia="Times New Roman" w:hAnsi="Times New Roman" w:cs="Times New Roman"/>
          <w:szCs w:val="28"/>
        </w:rPr>
        <w:t>16</w:t>
      </w:r>
      <w:r>
        <w:rPr>
          <w:szCs w:val="28"/>
          <w:rtl/>
        </w:rPr>
        <w:t xml:space="preserve">[. هذا التحول يتطلب بناء قد ارت تصنيعية متقدمة، وتوطين الصناعات، وزيادة المحتوى المحلي في المنتجات والخدمات . </w:t>
      </w:r>
    </w:p>
    <w:p w14:paraId="2F2D3745" w14:textId="77777777" w:rsidR="005850DB" w:rsidRDefault="00000000">
      <w:pPr>
        <w:spacing w:after="0" w:line="259" w:lineRule="auto"/>
        <w:ind w:left="8" w:right="0" w:hanging="10"/>
        <w:jc w:val="left"/>
      </w:pPr>
      <w:r>
        <w:rPr>
          <w:b/>
          <w:bCs/>
          <w:szCs w:val="28"/>
          <w:rtl/>
        </w:rPr>
        <w:t xml:space="preserve">مبادارت وبارمج داعمة: </w:t>
      </w:r>
      <w:r>
        <w:rPr>
          <w:rFonts w:ascii="Times New Roman" w:eastAsia="Times New Roman" w:hAnsi="Times New Roman" w:cs="Times New Roman"/>
          <w:b/>
          <w:bCs/>
          <w:szCs w:val="28"/>
          <w:rtl/>
        </w:rPr>
        <w:t xml:space="preserve"> </w:t>
      </w:r>
    </w:p>
    <w:p w14:paraId="74AE14AD" w14:textId="77777777" w:rsidR="005850DB" w:rsidRDefault="00000000">
      <w:pPr>
        <w:numPr>
          <w:ilvl w:val="0"/>
          <w:numId w:val="14"/>
        </w:numPr>
        <w:spacing w:after="26"/>
        <w:ind w:right="221" w:hanging="363"/>
      </w:pPr>
      <w:r>
        <w:rPr>
          <w:b/>
          <w:bCs/>
          <w:szCs w:val="28"/>
          <w:rtl/>
        </w:rPr>
        <w:t xml:space="preserve">البرنامج الوطني لتطوير الصناعة والخدمات اللوجستية) </w:t>
      </w:r>
      <w:r>
        <w:rPr>
          <w:rFonts w:ascii="Times New Roman" w:eastAsia="Times New Roman" w:hAnsi="Times New Roman" w:cs="Times New Roman"/>
          <w:b/>
          <w:sz w:val="24"/>
        </w:rPr>
        <w:t>NIDLP</w:t>
      </w:r>
      <w:r>
        <w:rPr>
          <w:b/>
          <w:bCs/>
          <w:szCs w:val="28"/>
          <w:rtl/>
        </w:rPr>
        <w:t>(:</w:t>
      </w:r>
      <w:r>
        <w:rPr>
          <w:szCs w:val="28"/>
          <w:rtl/>
        </w:rPr>
        <w:t xml:space="preserve"> يُعد هذا البرنامج أحد أهم ب ارمج تحقيق رؤية </w:t>
      </w:r>
      <w:r>
        <w:rPr>
          <w:rFonts w:ascii="Times New Roman" w:eastAsia="Times New Roman" w:hAnsi="Times New Roman" w:cs="Times New Roman"/>
          <w:szCs w:val="28"/>
        </w:rPr>
        <w:t>2030</w:t>
      </w:r>
      <w:r>
        <w:rPr>
          <w:szCs w:val="28"/>
          <w:rtl/>
        </w:rPr>
        <w:t xml:space="preserve">، ويهدف إلى تحويل المملكة إلى قوة صناعية ارئدة ومنصة لوجستية عالمية. يركز البرنامج على أربعة قطاعات رئيسية: الصناعة، والتعدين، والطاقة، والخدمات اللوجستية. ويوفر حوافز ودعماً للشركات الصناعية، بما في ذلك شركات تصنيع المضخات، لتعزيز قدرتها التنافسية وزيادة مساهمتها في الناتج المحلي الإجمالي]  </w:t>
      </w:r>
      <w:r>
        <w:rPr>
          <w:rFonts w:ascii="Times New Roman" w:eastAsia="Times New Roman" w:hAnsi="Times New Roman" w:cs="Times New Roman"/>
          <w:szCs w:val="28"/>
        </w:rPr>
        <w:t>17</w:t>
      </w:r>
      <w:r>
        <w:rPr>
          <w:szCs w:val="28"/>
          <w:rtl/>
        </w:rPr>
        <w:t xml:space="preserve">[ . </w:t>
      </w:r>
    </w:p>
    <w:p w14:paraId="555C1D0B" w14:textId="77777777" w:rsidR="005850DB" w:rsidRDefault="00000000">
      <w:pPr>
        <w:numPr>
          <w:ilvl w:val="0"/>
          <w:numId w:val="14"/>
        </w:numPr>
        <w:ind w:right="221" w:hanging="363"/>
      </w:pPr>
      <w:r>
        <w:rPr>
          <w:b/>
          <w:bCs/>
          <w:szCs w:val="28"/>
          <w:rtl/>
        </w:rPr>
        <w:t>صندوق التنمية الصناعية السعودي )</w:t>
      </w:r>
      <w:r>
        <w:rPr>
          <w:rFonts w:ascii="Times New Roman" w:eastAsia="Times New Roman" w:hAnsi="Times New Roman" w:cs="Times New Roman"/>
          <w:b/>
          <w:sz w:val="24"/>
        </w:rPr>
        <w:t>SIDF</w:t>
      </w:r>
      <w:r>
        <w:rPr>
          <w:b/>
          <w:bCs/>
          <w:szCs w:val="28"/>
          <w:rtl/>
        </w:rPr>
        <w:t>(:</w:t>
      </w:r>
      <w:r>
        <w:rPr>
          <w:szCs w:val="28"/>
          <w:rtl/>
        </w:rPr>
        <w:t xml:space="preserve"> يقدم الصندوق الدعم المالي والاستشاري للمشاريع الصناعية في المملكة، مما يساهم في نمو وتوسع القطاع الصناعي. وقد استفادت العديد من شركات تصنيع المضخات من قروض الصندوق لتمويل مشاريعها التوسعية وتحديث تقنياتها] </w:t>
      </w:r>
      <w:r>
        <w:rPr>
          <w:rFonts w:ascii="Times New Roman" w:eastAsia="Times New Roman" w:hAnsi="Times New Roman" w:cs="Times New Roman"/>
          <w:szCs w:val="28"/>
        </w:rPr>
        <w:t>18</w:t>
      </w:r>
      <w:r>
        <w:rPr>
          <w:szCs w:val="28"/>
          <w:rtl/>
        </w:rPr>
        <w:t xml:space="preserve">[ . </w:t>
      </w:r>
    </w:p>
    <w:p w14:paraId="49D313ED" w14:textId="77777777" w:rsidR="005850DB" w:rsidRDefault="00000000">
      <w:pPr>
        <w:numPr>
          <w:ilvl w:val="0"/>
          <w:numId w:val="14"/>
        </w:numPr>
        <w:ind w:right="221" w:hanging="363"/>
      </w:pPr>
      <w:r>
        <w:rPr>
          <w:b/>
          <w:bCs/>
          <w:szCs w:val="28"/>
          <w:rtl/>
        </w:rPr>
        <w:t>مدن صناعية متكاملة</w:t>
      </w:r>
      <w:r>
        <w:rPr>
          <w:szCs w:val="28"/>
          <w:rtl/>
        </w:rPr>
        <w:t xml:space="preserve">: قامت الهيئة السعودية للمدن الصناعية ومناطق التقنية )مدن( بتطوير مدن صناعية متكاملة توفر البنية التحتية والخدمات اللازمة للمصانع، مما يسهل على شركات تصنيع المضخات إقامة وتشغيل منشآتها بكفاءة]  </w:t>
      </w:r>
      <w:r>
        <w:rPr>
          <w:rFonts w:ascii="Times New Roman" w:eastAsia="Times New Roman" w:hAnsi="Times New Roman" w:cs="Times New Roman"/>
          <w:szCs w:val="28"/>
        </w:rPr>
        <w:t>19</w:t>
      </w:r>
      <w:r>
        <w:rPr>
          <w:szCs w:val="28"/>
          <w:rtl/>
        </w:rPr>
        <w:t xml:space="preserve">[ . </w:t>
      </w:r>
    </w:p>
    <w:p w14:paraId="41B03846" w14:textId="77777777" w:rsidR="005850DB" w:rsidRDefault="00000000">
      <w:pPr>
        <w:numPr>
          <w:ilvl w:val="0"/>
          <w:numId w:val="14"/>
        </w:numPr>
        <w:ind w:right="221" w:hanging="363"/>
      </w:pPr>
      <w:r>
        <w:rPr>
          <w:b/>
          <w:bCs/>
          <w:szCs w:val="28"/>
          <w:rtl/>
        </w:rPr>
        <w:t>توطين الصناعات:</w:t>
      </w:r>
      <w:r>
        <w:rPr>
          <w:szCs w:val="28"/>
          <w:rtl/>
        </w:rPr>
        <w:t xml:space="preserve"> تسعى المملكة إلى توطين العديد من الصناعات الحيوية، بما في ذلك صناعة المضخات، من خلال تشجيع الاستثمار المحلي والأجنبي في هذا القطاع، ونقل التقنيات المتقدمة، وتطوير الكفاءات الوطنية. هذا التوجه يخلق فرصاً كبيرة لشركات تصنيع المضخات المحلية لزيادة حصتها الس وقية وتقليل الاعتماد على الاستي ارد] </w:t>
      </w:r>
      <w:r>
        <w:rPr>
          <w:rFonts w:ascii="Times New Roman" w:eastAsia="Times New Roman" w:hAnsi="Times New Roman" w:cs="Times New Roman"/>
          <w:szCs w:val="28"/>
        </w:rPr>
        <w:t>20</w:t>
      </w:r>
      <w:r>
        <w:rPr>
          <w:szCs w:val="28"/>
          <w:rtl/>
        </w:rPr>
        <w:t xml:space="preserve">[ . </w:t>
      </w:r>
    </w:p>
    <w:p w14:paraId="206BB2B8" w14:textId="77777777" w:rsidR="005850DB" w:rsidRDefault="00000000">
      <w:pPr>
        <w:spacing w:after="0" w:line="259" w:lineRule="auto"/>
        <w:ind w:left="8" w:right="0" w:hanging="10"/>
        <w:jc w:val="left"/>
      </w:pPr>
      <w:r>
        <w:rPr>
          <w:b/>
          <w:bCs/>
          <w:szCs w:val="28"/>
          <w:rtl/>
        </w:rPr>
        <w:t xml:space="preserve">تأثير رؤية </w:t>
      </w:r>
      <w:r>
        <w:rPr>
          <w:rFonts w:ascii="Times New Roman" w:eastAsia="Times New Roman" w:hAnsi="Times New Roman" w:cs="Times New Roman"/>
          <w:b/>
          <w:bCs/>
          <w:szCs w:val="28"/>
        </w:rPr>
        <w:t>2030</w:t>
      </w:r>
      <w:r>
        <w:rPr>
          <w:b/>
          <w:bCs/>
          <w:szCs w:val="28"/>
          <w:rtl/>
        </w:rPr>
        <w:t xml:space="preserve"> على صناعة المضخات: </w:t>
      </w:r>
    </w:p>
    <w:p w14:paraId="5EB3F5CA" w14:textId="77777777" w:rsidR="005850DB" w:rsidRDefault="00000000">
      <w:pPr>
        <w:numPr>
          <w:ilvl w:val="0"/>
          <w:numId w:val="14"/>
        </w:numPr>
        <w:ind w:right="221" w:hanging="363"/>
      </w:pPr>
      <w:r>
        <w:rPr>
          <w:b/>
          <w:bCs/>
          <w:szCs w:val="28"/>
          <w:rtl/>
        </w:rPr>
        <w:t>زيادة الطلب:</w:t>
      </w:r>
      <w:r>
        <w:rPr>
          <w:szCs w:val="28"/>
          <w:rtl/>
        </w:rPr>
        <w:t xml:space="preserve"> المشاريع الضخمة التي أطلقتها رؤية </w:t>
      </w:r>
      <w:r>
        <w:rPr>
          <w:rFonts w:ascii="Times New Roman" w:eastAsia="Times New Roman" w:hAnsi="Times New Roman" w:cs="Times New Roman"/>
          <w:szCs w:val="28"/>
        </w:rPr>
        <w:t>2030</w:t>
      </w:r>
      <w:r>
        <w:rPr>
          <w:szCs w:val="28"/>
          <w:rtl/>
        </w:rPr>
        <w:t xml:space="preserve">، مثل نيوم، ومشروع البحر الأحمر ،والقدية، تتطلب كميات هائلة من المضخات لمختلف التطبيقات، مما يؤدي إلى زيادة كبيرة في الطلب على منتجات شركات تصنيع المضخات] </w:t>
      </w:r>
      <w:r>
        <w:rPr>
          <w:rFonts w:ascii="Times New Roman" w:eastAsia="Times New Roman" w:hAnsi="Times New Roman" w:cs="Times New Roman"/>
          <w:szCs w:val="28"/>
        </w:rPr>
        <w:t>21</w:t>
      </w:r>
      <w:r>
        <w:rPr>
          <w:szCs w:val="28"/>
          <w:rtl/>
        </w:rPr>
        <w:t xml:space="preserve">[. </w:t>
      </w:r>
    </w:p>
    <w:p w14:paraId="38E92205" w14:textId="77777777" w:rsidR="005850DB" w:rsidRDefault="00000000">
      <w:pPr>
        <w:numPr>
          <w:ilvl w:val="0"/>
          <w:numId w:val="14"/>
        </w:numPr>
        <w:spacing w:after="52"/>
        <w:ind w:right="221" w:hanging="363"/>
      </w:pPr>
      <w:r>
        <w:rPr>
          <w:b/>
          <w:bCs/>
          <w:szCs w:val="28"/>
          <w:rtl/>
        </w:rPr>
        <w:t>تطوير المعايير:</w:t>
      </w:r>
      <w:r>
        <w:rPr>
          <w:szCs w:val="28"/>
          <w:rtl/>
        </w:rPr>
        <w:t xml:space="preserve"> مع التوجه نحو التميز والجودة، يتم تطوير وتطبيق معايير صناعية صارمة ،مما يدفع شركات تصنيع المضخات إلى تحسين جودة منتجاتها وعملياتها لتلبية هذه المعايير </w:t>
      </w:r>
    </w:p>
    <w:p w14:paraId="62CAF946"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22</w:t>
      </w:r>
      <w:r>
        <w:t>[</w:t>
      </w:r>
    </w:p>
    <w:p w14:paraId="1FC9DC02" w14:textId="77777777" w:rsidR="005850DB" w:rsidRDefault="00000000">
      <w:pPr>
        <w:numPr>
          <w:ilvl w:val="0"/>
          <w:numId w:val="14"/>
        </w:numPr>
        <w:ind w:right="221" w:hanging="363"/>
      </w:pPr>
      <w:r>
        <w:rPr>
          <w:b/>
          <w:bCs/>
          <w:szCs w:val="28"/>
          <w:rtl/>
        </w:rPr>
        <w:lastRenderedPageBreak/>
        <w:t>الابتكار والتحول الرقمي:</w:t>
      </w:r>
      <w:r>
        <w:rPr>
          <w:szCs w:val="28"/>
          <w:rtl/>
        </w:rPr>
        <w:t xml:space="preserve"> تشجع رؤية </w:t>
      </w:r>
      <w:r>
        <w:rPr>
          <w:rFonts w:ascii="Times New Roman" w:eastAsia="Times New Roman" w:hAnsi="Times New Roman" w:cs="Times New Roman"/>
          <w:szCs w:val="28"/>
        </w:rPr>
        <w:t>2030</w:t>
      </w:r>
      <w:r>
        <w:rPr>
          <w:szCs w:val="28"/>
          <w:rtl/>
        </w:rPr>
        <w:t xml:space="preserve"> على تبني الابتكار والتحول الرقمي في جميع القطاعات، بما في ذلك الصناعة. هذا يدفع شركات تصنيع المضخات إلى الاستثمار في البحث والتطوير، وتبني تقنيات التصنيع الذكية، والمضخات المتصلة بالإنترنت </w:t>
      </w:r>
      <w:r>
        <w:rPr>
          <w:rFonts w:ascii="Times New Roman" w:eastAsia="Times New Roman" w:hAnsi="Times New Roman" w:cs="Times New Roman"/>
          <w:sz w:val="24"/>
        </w:rPr>
        <w:t>(</w:t>
      </w:r>
      <w:r>
        <w:rPr>
          <w:rFonts w:ascii="Times New Roman" w:eastAsia="Times New Roman" w:hAnsi="Times New Roman" w:cs="Times New Roman"/>
          <w:sz w:val="37"/>
          <w:vertAlign w:val="subscript"/>
        </w:rPr>
        <w:t>IoT)</w:t>
      </w:r>
      <w:r>
        <w:rPr>
          <w:szCs w:val="28"/>
          <w:rtl/>
        </w:rPr>
        <w:t xml:space="preserve"> ]</w:t>
      </w:r>
      <w:r>
        <w:rPr>
          <w:rFonts w:ascii="Times New Roman" w:eastAsia="Times New Roman" w:hAnsi="Times New Roman" w:cs="Times New Roman"/>
          <w:szCs w:val="28"/>
        </w:rPr>
        <w:t>23</w:t>
      </w:r>
      <w:r>
        <w:rPr>
          <w:szCs w:val="28"/>
          <w:rtl/>
        </w:rPr>
        <w:t xml:space="preserve">[. </w:t>
      </w:r>
    </w:p>
    <w:p w14:paraId="1E09E995" w14:textId="77777777" w:rsidR="005850DB" w:rsidRDefault="00000000">
      <w:pPr>
        <w:ind w:right="100"/>
      </w:pPr>
      <w:r>
        <w:rPr>
          <w:szCs w:val="28"/>
          <w:rtl/>
        </w:rPr>
        <w:t>إن هذا التحول الصناعي الكبير يضع صناعة المضخات في قلب التنمية الاقتصادية للمملكة، ولكنه في الوقت نفسه يزيد من تعقيد بيئة الأعمال ويبرز أهمية إدارة المخاطر لضمان استم اررية ونجاح هذه المشاريع الحيوية.</w:t>
      </w:r>
      <w:r>
        <w:rPr>
          <w:rFonts w:ascii="Times New Roman" w:eastAsia="Times New Roman" w:hAnsi="Times New Roman" w:cs="Times New Roman"/>
          <w:szCs w:val="28"/>
          <w:rtl/>
        </w:rPr>
        <w:t xml:space="preserve"> </w:t>
      </w:r>
    </w:p>
    <w:p w14:paraId="7D52BD16" w14:textId="77777777" w:rsidR="005850DB" w:rsidRDefault="00000000">
      <w:pPr>
        <w:bidi w:val="0"/>
        <w:spacing w:after="9" w:line="259" w:lineRule="auto"/>
        <w:ind w:left="0" w:right="58" w:firstLine="0"/>
      </w:pPr>
      <w:r>
        <w:t xml:space="preserve"> </w:t>
      </w:r>
    </w:p>
    <w:p w14:paraId="6A2CEB87" w14:textId="77777777" w:rsidR="005850DB" w:rsidRDefault="00000000">
      <w:pPr>
        <w:spacing w:after="3" w:line="259" w:lineRule="auto"/>
        <w:ind w:left="7" w:right="0" w:hanging="10"/>
        <w:jc w:val="left"/>
      </w:pPr>
      <w:r>
        <w:rPr>
          <w:b/>
          <w:bCs/>
          <w:sz w:val="32"/>
          <w:szCs w:val="32"/>
          <w:rtl/>
        </w:rPr>
        <w:t xml:space="preserve">المارجع:  </w:t>
      </w:r>
    </w:p>
    <w:p w14:paraId="585481AB" w14:textId="77777777" w:rsidR="005850DB" w:rsidRDefault="00000000">
      <w:pPr>
        <w:bidi w:val="0"/>
        <w:spacing w:after="13"/>
        <w:ind w:left="26" w:right="0" w:hanging="10"/>
      </w:pPr>
      <w:r>
        <w:rPr>
          <w:rFonts w:ascii="Times New Roman" w:eastAsia="Times New Roman" w:hAnsi="Times New Roman" w:cs="Times New Roman"/>
          <w:sz w:val="24"/>
        </w:rPr>
        <w:t xml:space="preserve">[16] Saudi Vision 2030. (n.d.). About Vision 2030. Retrieved from </w:t>
      </w:r>
      <w:hyperlink r:id="rId144">
        <w:r>
          <w:rPr>
            <w:rFonts w:ascii="Times New Roman" w:eastAsia="Times New Roman" w:hAnsi="Times New Roman" w:cs="Times New Roman"/>
            <w:color w:val="0563C1"/>
            <w:sz w:val="24"/>
            <w:u w:val="single" w:color="0563C1"/>
          </w:rPr>
          <w:t>https://www.vision2030.gov.sa/</w:t>
        </w:r>
      </w:hyperlink>
      <w:hyperlink r:id="rId145">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[17] National Industrial Development and Logistics Program. </w:t>
      </w:r>
    </w:p>
    <w:p w14:paraId="3CFF5EFA" w14:textId="77777777" w:rsidR="005850DB" w:rsidRDefault="00000000">
      <w:pPr>
        <w:bidi w:val="0"/>
        <w:spacing w:after="0" w:line="238" w:lineRule="auto"/>
        <w:ind w:left="10" w:right="0" w:hanging="10"/>
        <w:jc w:val="center"/>
      </w:pPr>
      <w:r>
        <w:rPr>
          <w:rFonts w:ascii="Times New Roman" w:eastAsia="Times New Roman" w:hAnsi="Times New Roman" w:cs="Times New Roman"/>
          <w:sz w:val="24"/>
        </w:rPr>
        <w:t xml:space="preserve">(n.d.). About NIDLP. Retrieved from </w:t>
      </w:r>
      <w:hyperlink r:id="rId146">
        <w:r>
          <w:rPr>
            <w:rFonts w:ascii="Times New Roman" w:eastAsia="Times New Roman" w:hAnsi="Times New Roman" w:cs="Times New Roman"/>
            <w:color w:val="0563C1"/>
            <w:sz w:val="24"/>
            <w:u w:val="single" w:color="0563C1"/>
          </w:rPr>
          <w:t>https://nidlp.gov.sa/en/about</w:t>
        </w:r>
      </w:hyperlink>
      <w:hyperlink r:id="rId147">
        <w:r>
          <w:rPr>
            <w:rFonts w:ascii="Times New Roman" w:eastAsia="Times New Roman" w:hAnsi="Times New Roman" w:cs="Times New Roman"/>
            <w:color w:val="0563C1"/>
            <w:sz w:val="24"/>
            <w:u w:val="single" w:color="0563C1"/>
          </w:rPr>
          <w:t>-</w:t>
        </w:r>
      </w:hyperlink>
      <w:hyperlink r:id="rId148">
        <w:r>
          <w:rPr>
            <w:rFonts w:ascii="Times New Roman" w:eastAsia="Times New Roman" w:hAnsi="Times New Roman" w:cs="Times New Roman"/>
            <w:color w:val="0563C1"/>
            <w:sz w:val="24"/>
            <w:u w:val="single" w:color="0563C1"/>
          </w:rPr>
          <w:t>nidlp/</w:t>
        </w:r>
      </w:hyperlink>
      <w:hyperlink r:id="rId149">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[18] Saudi Industrial Development Fund. (n.d.). About SIDF. Retrieved from </w:t>
      </w:r>
      <w:hyperlink r:id="rId150">
        <w:r>
          <w:rPr>
            <w:rFonts w:ascii="Times New Roman" w:eastAsia="Times New Roman" w:hAnsi="Times New Roman" w:cs="Times New Roman"/>
            <w:color w:val="0563C1"/>
            <w:sz w:val="24"/>
            <w:u w:val="single" w:color="0563C1"/>
          </w:rPr>
          <w:t>https://www.sidf.gov.sa/en/about</w:t>
        </w:r>
      </w:hyperlink>
      <w:hyperlink r:id="rId151">
        <w:r>
          <w:rPr>
            <w:rFonts w:ascii="Times New Roman" w:eastAsia="Times New Roman" w:hAnsi="Times New Roman" w:cs="Times New Roman"/>
            <w:color w:val="0563C1"/>
            <w:sz w:val="24"/>
            <w:u w:val="single" w:color="0563C1"/>
          </w:rPr>
          <w:t>-</w:t>
        </w:r>
      </w:hyperlink>
      <w:hyperlink r:id="rId152">
        <w:r>
          <w:rPr>
            <w:rFonts w:ascii="Times New Roman" w:eastAsia="Times New Roman" w:hAnsi="Times New Roman" w:cs="Times New Roman"/>
            <w:color w:val="0563C1"/>
            <w:sz w:val="24"/>
            <w:u w:val="single" w:color="0563C1"/>
          </w:rPr>
          <w:t>sidf/</w:t>
        </w:r>
      </w:hyperlink>
      <w:hyperlink r:id="rId153">
        <w:r>
          <w:rPr>
            <w:rFonts w:ascii="Times New Roman" w:eastAsia="Times New Roman" w:hAnsi="Times New Roman" w:cs="Times New Roman"/>
            <w:sz w:val="24"/>
          </w:rPr>
          <w:t xml:space="preserve"> </w:t>
        </w:r>
      </w:hyperlink>
    </w:p>
    <w:p w14:paraId="2BEB7F34" w14:textId="77777777" w:rsidR="005850DB" w:rsidRDefault="00000000">
      <w:pPr>
        <w:bidi w:val="0"/>
        <w:spacing w:after="13"/>
        <w:ind w:left="26" w:right="0" w:hanging="10"/>
      </w:pPr>
      <w:r>
        <w:rPr>
          <w:rFonts w:ascii="Times New Roman" w:eastAsia="Times New Roman" w:hAnsi="Times New Roman" w:cs="Times New Roman"/>
          <w:sz w:val="24"/>
        </w:rPr>
        <w:t xml:space="preserve">[19] MODON. (n.d.). About MODON. Retrieved from </w:t>
      </w:r>
      <w:hyperlink r:id="rId154">
        <w:r>
          <w:rPr>
            <w:rFonts w:ascii="Times New Roman" w:eastAsia="Times New Roman" w:hAnsi="Times New Roman" w:cs="Times New Roman"/>
            <w:color w:val="0563C1"/>
            <w:sz w:val="24"/>
            <w:u w:val="single" w:color="0563C1"/>
          </w:rPr>
          <w:t>https://www.modon.gov.sa/en/about</w:t>
        </w:r>
      </w:hyperlink>
      <w:hyperlink r:id="rId155"/>
      <w:hyperlink r:id="rId156">
        <w:r>
          <w:rPr>
            <w:rFonts w:ascii="Times New Roman" w:eastAsia="Times New Roman" w:hAnsi="Times New Roman" w:cs="Times New Roman"/>
            <w:color w:val="0563C1"/>
            <w:sz w:val="24"/>
            <w:u w:val="single" w:color="0563C1"/>
          </w:rPr>
          <w:t>modon/Pages/default.aspx</w:t>
        </w:r>
      </w:hyperlink>
      <w:hyperlink r:id="rId157">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[20] Invest Saudi. (n.d.). Industrial Pumps Investment Opportunity. </w:t>
      </w:r>
    </w:p>
    <w:p w14:paraId="047BB454" w14:textId="77777777" w:rsidR="005850DB" w:rsidRDefault="00000000">
      <w:pPr>
        <w:bidi w:val="0"/>
        <w:spacing w:after="0" w:line="259" w:lineRule="auto"/>
        <w:ind w:left="10" w:right="-3" w:hanging="10"/>
      </w:pPr>
      <w:r>
        <w:rPr>
          <w:rFonts w:ascii="Times New Roman" w:eastAsia="Times New Roman" w:hAnsi="Times New Roman" w:cs="Times New Roman"/>
          <w:sz w:val="24"/>
        </w:rPr>
        <w:t xml:space="preserve">Retrieved from </w:t>
      </w:r>
      <w:hyperlink r:id="rId158">
        <w:r>
          <w:rPr>
            <w:rFonts w:ascii="Times New Roman" w:eastAsia="Times New Roman" w:hAnsi="Times New Roman" w:cs="Times New Roman"/>
            <w:color w:val="0563C1"/>
            <w:sz w:val="24"/>
            <w:u w:val="single" w:color="0563C1"/>
          </w:rPr>
          <w:t>https://investsaudi.sa/medias/Industrial</w:t>
        </w:r>
      </w:hyperlink>
      <w:hyperlink r:id="rId159">
        <w:r>
          <w:rPr>
            <w:rFonts w:ascii="Times New Roman" w:eastAsia="Times New Roman" w:hAnsi="Times New Roman" w:cs="Times New Roman"/>
            <w:color w:val="0563C1"/>
            <w:sz w:val="24"/>
            <w:u w:val="single" w:color="0563C1"/>
          </w:rPr>
          <w:t>-</w:t>
        </w:r>
      </w:hyperlink>
      <w:hyperlink r:id="rId160">
        <w:r>
          <w:rPr>
            <w:rFonts w:ascii="Times New Roman" w:eastAsia="Times New Roman" w:hAnsi="Times New Roman" w:cs="Times New Roman"/>
            <w:color w:val="0563C1"/>
            <w:sz w:val="24"/>
            <w:u w:val="single" w:color="0563C1"/>
          </w:rPr>
          <w:t>Pumps.pdf</w:t>
        </w:r>
      </w:hyperlink>
      <w:hyperlink r:id="rId16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[21] Public Investment </w:t>
      </w:r>
    </w:p>
    <w:p w14:paraId="18C1A41B"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Fund. (n.d.). Giga-Projects. Retrieved from </w:t>
      </w:r>
      <w:hyperlink r:id="rId162">
        <w:r>
          <w:rPr>
            <w:rFonts w:ascii="Times New Roman" w:eastAsia="Times New Roman" w:hAnsi="Times New Roman" w:cs="Times New Roman"/>
            <w:color w:val="0563C1"/>
            <w:sz w:val="24"/>
            <w:u w:val="single" w:color="0563C1"/>
          </w:rPr>
          <w:t>https://www.pif.gov.sa/en/giga</w:t>
        </w:r>
      </w:hyperlink>
      <w:hyperlink r:id="rId163">
        <w:r>
          <w:rPr>
            <w:rFonts w:ascii="Times New Roman" w:eastAsia="Times New Roman" w:hAnsi="Times New Roman" w:cs="Times New Roman"/>
            <w:color w:val="0563C1"/>
            <w:sz w:val="24"/>
            <w:u w:val="single" w:color="0563C1"/>
          </w:rPr>
          <w:t>-</w:t>
        </w:r>
      </w:hyperlink>
      <w:hyperlink r:id="rId164">
        <w:r>
          <w:rPr>
            <w:rFonts w:ascii="Times New Roman" w:eastAsia="Times New Roman" w:hAnsi="Times New Roman" w:cs="Times New Roman"/>
            <w:color w:val="0563C1"/>
            <w:sz w:val="24"/>
            <w:u w:val="single" w:color="0563C1"/>
          </w:rPr>
          <w:t>projects</w:t>
        </w:r>
      </w:hyperlink>
      <w:hyperlink r:id="rId165">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[22] Saudi </w:t>
      </w:r>
    </w:p>
    <w:p w14:paraId="57C14C04" w14:textId="77777777" w:rsidR="005850DB" w:rsidRDefault="00000000">
      <w:pPr>
        <w:bidi w:val="0"/>
        <w:spacing w:after="148" w:line="248" w:lineRule="auto"/>
        <w:ind w:left="171" w:right="-7" w:hanging="92"/>
        <w:jc w:val="left"/>
      </w:pPr>
      <w:r>
        <w:rPr>
          <w:rFonts w:ascii="Times New Roman" w:eastAsia="Times New Roman" w:hAnsi="Times New Roman" w:cs="Times New Roman"/>
          <w:sz w:val="24"/>
        </w:rPr>
        <w:t xml:space="preserve">Standards, Metrology and Quality Organization (SASO). (n.d.). About SASO. Retrieved from </w:t>
      </w:r>
      <w:hyperlink r:id="rId166">
        <w:r>
          <w:rPr>
            <w:rFonts w:ascii="Times New Roman" w:eastAsia="Times New Roman" w:hAnsi="Times New Roman" w:cs="Times New Roman"/>
            <w:color w:val="0563C1"/>
            <w:sz w:val="24"/>
            <w:u w:val="single" w:color="0563C1"/>
          </w:rPr>
          <w:t>https://www.saso.gov.sa/en/about/Pages/default.aspx</w:t>
        </w:r>
      </w:hyperlink>
      <w:hyperlink r:id="rId167">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[23] Deloitte. (2020). The future of risk </w:t>
      </w:r>
    </w:p>
    <w:p w14:paraId="2D8E15BD" w14:textId="77777777" w:rsidR="005850DB" w:rsidRDefault="00000000">
      <w:pPr>
        <w:bidi w:val="0"/>
        <w:spacing w:after="768"/>
        <w:ind w:left="26" w:right="0" w:hanging="10"/>
      </w:pPr>
      <w:r>
        <w:rPr>
          <w:rFonts w:ascii="Times New Roman" w:eastAsia="Times New Roman" w:hAnsi="Times New Roman" w:cs="Times New Roman"/>
        </w:rPr>
        <w:t xml:space="preserve"> </w:t>
      </w:r>
      <w:r>
        <w:rPr>
          <w:rFonts w:ascii="Times New Roman" w:eastAsia="Times New Roman" w:hAnsi="Times New Roman" w:cs="Times New Roman"/>
          <w:sz w:val="24"/>
        </w:rPr>
        <w:t>management: How technology is transforming the function. Deloitte Insights.</w:t>
      </w:r>
      <w:r>
        <w:t xml:space="preserve"> </w:t>
      </w:r>
    </w:p>
    <w:p w14:paraId="3EE4B6CC"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bCs/>
          <w:szCs w:val="32"/>
          <w:rtl/>
        </w:rPr>
        <w:t xml:space="preserve"> تطور مفهوم إدارة المخاطر</w:t>
      </w:r>
      <w:r>
        <w:rPr>
          <w:rFonts w:ascii="Times New Roman" w:eastAsia="Times New Roman" w:hAnsi="Times New Roman" w:cs="Times New Roman"/>
          <w:bCs/>
          <w:szCs w:val="32"/>
          <w:rtl/>
        </w:rPr>
        <w:t xml:space="preserve"> </w:t>
      </w:r>
    </w:p>
    <w:p w14:paraId="6745805B" w14:textId="77777777" w:rsidR="005850DB" w:rsidRDefault="00000000">
      <w:pPr>
        <w:spacing w:after="42"/>
        <w:ind w:right="211"/>
      </w:pPr>
      <w:r>
        <w:rPr>
          <w:szCs w:val="28"/>
          <w:rtl/>
        </w:rPr>
        <w:t xml:space="preserve">لم يظهر مفهوم إدارة المخاطر بشكله الحديث دفعة واحدة، بل تطور عبر م ارحل تاريخية متعددة، متأث اًر بالتغي ارت الاقتصادية، والتكنولوجية، والاجتماعية. يمكن تتبع هذا التطور من الممارسات البدائية لتجنب المخاطر إلى الأطر الشاملة والمعقدة التي ن ارها اليوم] </w:t>
      </w:r>
      <w:r>
        <w:rPr>
          <w:rFonts w:ascii="Times New Roman" w:eastAsia="Times New Roman" w:hAnsi="Times New Roman" w:cs="Times New Roman"/>
          <w:szCs w:val="28"/>
        </w:rPr>
        <w:t>24</w:t>
      </w:r>
      <w:r>
        <w:rPr>
          <w:szCs w:val="28"/>
          <w:rtl/>
        </w:rPr>
        <w:t>[.</w:t>
      </w:r>
      <w:r>
        <w:rPr>
          <w:rFonts w:ascii="Times New Roman" w:eastAsia="Times New Roman" w:hAnsi="Times New Roman" w:cs="Times New Roman"/>
          <w:szCs w:val="28"/>
          <w:rtl/>
        </w:rPr>
        <w:t xml:space="preserve"> </w:t>
      </w:r>
    </w:p>
    <w:p w14:paraId="705A1180" w14:textId="77777777" w:rsidR="005850DB" w:rsidRDefault="00000000">
      <w:pPr>
        <w:bidi w:val="0"/>
        <w:spacing w:after="0" w:line="259" w:lineRule="auto"/>
        <w:ind w:left="0" w:right="65" w:firstLine="0"/>
      </w:pPr>
      <w:r>
        <w:rPr>
          <w:sz w:val="32"/>
        </w:rPr>
        <w:t xml:space="preserve"> </w:t>
      </w:r>
    </w:p>
    <w:p w14:paraId="4A5E51A9" w14:textId="77777777" w:rsidR="005850DB" w:rsidRDefault="00000000">
      <w:pPr>
        <w:spacing w:after="0" w:line="259" w:lineRule="auto"/>
        <w:ind w:left="8" w:right="0" w:hanging="10"/>
        <w:jc w:val="left"/>
      </w:pPr>
      <w:r>
        <w:rPr>
          <w:b/>
          <w:bCs/>
          <w:szCs w:val="28"/>
          <w:rtl/>
        </w:rPr>
        <w:t xml:space="preserve">المارحل المبكرة )قبل القرن العشرين(:  </w:t>
      </w:r>
    </w:p>
    <w:p w14:paraId="1F6FAB78" w14:textId="77777777" w:rsidR="005850DB" w:rsidRDefault="00000000">
      <w:pPr>
        <w:ind w:right="100"/>
      </w:pPr>
      <w:r>
        <w:rPr>
          <w:szCs w:val="28"/>
          <w:rtl/>
        </w:rPr>
        <w:t xml:space="preserve">في العصور القديمة، كانت إدارة المخاطر تتم بشكل بدائي وغير منهجي، حيث كانت تركز على تجنب المخاطر الواضحة أو نقلها. على سبيل المثال، استخدم التجار القدماء عقود التأمين البحري لتقليل مخاطر فقدان البضائع في البحر، وكانت هناك ممارسات لتقاسم المخاطر بين أف ارد المجتمع. ومع ذلك ،لم تكن هناك أطر منظمة أو نظريات واضحة لإدارة المخاطر] </w:t>
      </w:r>
      <w:r>
        <w:rPr>
          <w:rFonts w:ascii="Times New Roman" w:eastAsia="Times New Roman" w:hAnsi="Times New Roman" w:cs="Times New Roman"/>
          <w:szCs w:val="28"/>
        </w:rPr>
        <w:t>25</w:t>
      </w:r>
      <w:r>
        <w:rPr>
          <w:szCs w:val="28"/>
          <w:rtl/>
        </w:rPr>
        <w:t xml:space="preserve">[. </w:t>
      </w:r>
    </w:p>
    <w:p w14:paraId="1A11E3BA" w14:textId="77777777" w:rsidR="005850DB" w:rsidRDefault="00000000">
      <w:pPr>
        <w:spacing w:after="0" w:line="259" w:lineRule="auto"/>
        <w:ind w:left="8" w:right="0" w:hanging="10"/>
        <w:jc w:val="left"/>
      </w:pPr>
      <w:r>
        <w:rPr>
          <w:b/>
          <w:bCs/>
          <w:szCs w:val="28"/>
          <w:rtl/>
        </w:rPr>
        <w:t xml:space="preserve">القرن العشرين وبداية التطور المنهجي : </w:t>
      </w:r>
    </w:p>
    <w:p w14:paraId="3B5A14D6" w14:textId="77777777" w:rsidR="005850DB" w:rsidRDefault="00000000">
      <w:pPr>
        <w:ind w:right="334"/>
      </w:pPr>
      <w:r>
        <w:rPr>
          <w:szCs w:val="28"/>
          <w:rtl/>
        </w:rPr>
        <w:lastRenderedPageBreak/>
        <w:t>بدأ مفهوم إدارة المخاطر يأخذ شكلاً أكثر منهجية في أوائل القرن العشرين، خاصة مع تطور صناعة التأمين وظهور الإحصاءات. في هذه المرحلة، كان التركيز ينصب بشكل كبير على المخاطر المالية والتأمينية. كانت الشركات تحاول تحديد المخاطر التي يمكن التأمين عليها ونقلها إ لى شركات التأمين .</w:t>
      </w:r>
    </w:p>
    <w:p w14:paraId="09DE2D69" w14:textId="77777777" w:rsidR="005850DB" w:rsidRDefault="00000000">
      <w:pPr>
        <w:ind w:right="100"/>
      </w:pPr>
      <w:r>
        <w:rPr>
          <w:szCs w:val="28"/>
          <w:rtl/>
        </w:rPr>
        <w:t xml:space="preserve">ومع ذلك، كانت النظرة للمخاطر لا ت ازل مج أزة، حيث كانت كل إدارة تتعامل مع مخاطرها الخاصة بشكل منفصل]  </w:t>
      </w:r>
      <w:r>
        <w:rPr>
          <w:rFonts w:ascii="Times New Roman" w:eastAsia="Times New Roman" w:hAnsi="Times New Roman" w:cs="Times New Roman"/>
          <w:szCs w:val="28"/>
        </w:rPr>
        <w:t>26</w:t>
      </w:r>
      <w:r>
        <w:rPr>
          <w:szCs w:val="28"/>
          <w:rtl/>
        </w:rPr>
        <w:t xml:space="preserve">[ . </w:t>
      </w:r>
    </w:p>
    <w:p w14:paraId="2B80DC8E" w14:textId="77777777" w:rsidR="005850DB" w:rsidRDefault="00000000">
      <w:pPr>
        <w:ind w:right="185"/>
      </w:pPr>
      <w:r>
        <w:rPr>
          <w:szCs w:val="28"/>
          <w:rtl/>
        </w:rPr>
        <w:t xml:space="preserve">في منتصف القرن العشرين، ومع ت ازيد تعقيد الأعمال وظهور المشاريع الكبرى، بدأ الاهتمام يت ازيد بإدارة المخاطر في سياق أوسع. ظهرت مفاهيم مث ل </w:t>
      </w:r>
    </w:p>
    <w:p w14:paraId="0999EB09" w14:textId="77777777" w:rsidR="005850DB" w:rsidRDefault="00000000">
      <w:pPr>
        <w:spacing w:after="85"/>
        <w:ind w:right="593"/>
      </w:pPr>
      <w:r>
        <w:rPr>
          <w:szCs w:val="28"/>
          <w:rtl/>
        </w:rPr>
        <w:t xml:space="preserve">إدارة المخاطر الهندسية وإدارة مخاطر المشاريع، حيث بدأ المهندسون ومديرو المشاريع يدركون أن المخاطر لا تقتصر على الجوانب المالية فقط، بل تشمل أيضاً الجوانب الفنية، والتشغيلية، والجدول الزمني] </w:t>
      </w:r>
      <w:r>
        <w:rPr>
          <w:rFonts w:ascii="Times New Roman" w:eastAsia="Times New Roman" w:hAnsi="Times New Roman" w:cs="Times New Roman"/>
          <w:szCs w:val="28"/>
        </w:rPr>
        <w:t>27</w:t>
      </w:r>
      <w:r>
        <w:rPr>
          <w:szCs w:val="28"/>
          <w:rtl/>
        </w:rPr>
        <w:t xml:space="preserve">[ . </w:t>
      </w:r>
    </w:p>
    <w:p w14:paraId="70DA7BA1" w14:textId="77777777" w:rsidR="005850DB" w:rsidRDefault="00000000">
      <w:pPr>
        <w:spacing w:after="2" w:line="259" w:lineRule="auto"/>
        <w:ind w:left="12" w:right="0" w:hanging="10"/>
        <w:jc w:val="left"/>
      </w:pPr>
      <w:r>
        <w:rPr>
          <w:szCs w:val="28"/>
          <w:rtl/>
        </w:rPr>
        <w:t>القرن الحادي والعشرون وإدارة المخاطر الشاملة )</w:t>
      </w:r>
      <w:r>
        <w:rPr>
          <w:rFonts w:ascii="Times New Roman" w:eastAsia="Times New Roman" w:hAnsi="Times New Roman" w:cs="Times New Roman"/>
          <w:sz w:val="24"/>
        </w:rPr>
        <w:t xml:space="preserve">Enterprise Risk Management </w:t>
      </w:r>
      <w:r>
        <w:rPr>
          <w:rFonts w:ascii="Times New Roman" w:eastAsia="Times New Roman" w:hAnsi="Times New Roman" w:cs="Times New Roman"/>
          <w:sz w:val="37"/>
          <w:vertAlign w:val="subscript"/>
        </w:rPr>
        <w:t>- ERM</w:t>
      </w:r>
      <w:r>
        <w:rPr>
          <w:szCs w:val="28"/>
          <w:rtl/>
        </w:rPr>
        <w:t xml:space="preserve">(: </w:t>
      </w:r>
    </w:p>
    <w:p w14:paraId="08C5B4A5" w14:textId="77777777" w:rsidR="005850DB" w:rsidRDefault="00000000">
      <w:pPr>
        <w:ind w:right="14"/>
      </w:pPr>
      <w:r>
        <w:rPr>
          <w:szCs w:val="28"/>
          <w:rtl/>
        </w:rPr>
        <w:t xml:space="preserve">شهد مطلع القرن الحادي والعشرين تحولاً كبي اًر في مفهوم إدارة المخاطر، حيث ظهر مفهوم إدارة المخاطر الشاملة) </w:t>
      </w:r>
      <w:r>
        <w:rPr>
          <w:rFonts w:ascii="Times New Roman" w:eastAsia="Times New Roman" w:hAnsi="Times New Roman" w:cs="Times New Roman"/>
          <w:sz w:val="24"/>
        </w:rPr>
        <w:t>ERM</w:t>
      </w:r>
      <w:r>
        <w:rPr>
          <w:szCs w:val="28"/>
          <w:rtl/>
        </w:rPr>
        <w:t>(. هذا المفهوم يرى أن إدارة المخاطر يجب أن تكون عملية متكاملة وشاملة، تغطي جميع أنواع المخاطر التي تواجه المنظمة )است ارتيجية، تشغيلية، مالية، امتثال، سمعة، إلخ(، وأنها يجب أن تكون جزءاً لا يتج أز من عملية اتخاذ الق ارر على جميع المستويات ]</w:t>
      </w:r>
      <w:r>
        <w:rPr>
          <w:rFonts w:ascii="Times New Roman" w:eastAsia="Times New Roman" w:hAnsi="Times New Roman" w:cs="Times New Roman"/>
          <w:szCs w:val="28"/>
        </w:rPr>
        <w:t>28</w:t>
      </w:r>
      <w:r>
        <w:rPr>
          <w:szCs w:val="28"/>
          <w:rtl/>
        </w:rPr>
        <w:t>[ .</w:t>
      </w:r>
      <w:r>
        <w:rPr>
          <w:rFonts w:ascii="Times New Roman" w:eastAsia="Times New Roman" w:hAnsi="Times New Roman" w:cs="Times New Roman"/>
          <w:szCs w:val="28"/>
          <w:rtl/>
        </w:rPr>
        <w:t xml:space="preserve"> </w:t>
      </w:r>
    </w:p>
    <w:p w14:paraId="23AFD9D0" w14:textId="77777777" w:rsidR="005850DB" w:rsidRDefault="00000000">
      <w:pPr>
        <w:spacing w:after="10" w:line="227" w:lineRule="auto"/>
        <w:ind w:left="-2" w:right="4328" w:firstLine="46"/>
      </w:pPr>
      <w:r>
        <w:rPr>
          <w:rFonts w:ascii="Times New Roman" w:eastAsia="Times New Roman" w:hAnsi="Times New Roman" w:cs="Times New Roman"/>
          <w:szCs w:val="28"/>
          <w:rtl/>
        </w:rPr>
        <w:t xml:space="preserve"> </w:t>
      </w:r>
      <w:r>
        <w:rPr>
          <w:szCs w:val="28"/>
          <w:rtl/>
        </w:rPr>
        <w:t xml:space="preserve"> </w:t>
      </w:r>
      <w:r>
        <w:rPr>
          <w:b/>
          <w:bCs/>
          <w:sz w:val="32"/>
          <w:szCs w:val="32"/>
          <w:rtl/>
        </w:rPr>
        <w:t xml:space="preserve">وقد ساهمت عدة عوامل في هذا التحول، منها: </w:t>
      </w:r>
      <w:r>
        <w:rPr>
          <w:b/>
          <w:bCs/>
          <w:szCs w:val="28"/>
          <w:rtl/>
        </w:rPr>
        <w:t xml:space="preserve"> </w:t>
      </w:r>
    </w:p>
    <w:p w14:paraId="2C43B90F" w14:textId="77777777" w:rsidR="005850DB" w:rsidRDefault="00000000">
      <w:pPr>
        <w:numPr>
          <w:ilvl w:val="0"/>
          <w:numId w:val="15"/>
        </w:numPr>
        <w:ind w:left="659" w:right="104" w:hanging="360"/>
      </w:pPr>
      <w:r>
        <w:rPr>
          <w:b/>
          <w:bCs/>
          <w:szCs w:val="28"/>
          <w:rtl/>
        </w:rPr>
        <w:t>الأزمات المالية:</w:t>
      </w:r>
      <w:r>
        <w:rPr>
          <w:szCs w:val="28"/>
          <w:rtl/>
        </w:rPr>
        <w:t xml:space="preserve"> الأزمات المالية العالمية، مثل الأزمة المالية الآسيوية في أواخر التسعينيات والأزمة المالية العالمية في </w:t>
      </w:r>
      <w:r>
        <w:rPr>
          <w:rFonts w:ascii="Times New Roman" w:eastAsia="Times New Roman" w:hAnsi="Times New Roman" w:cs="Times New Roman"/>
          <w:szCs w:val="28"/>
        </w:rPr>
        <w:t>2008</w:t>
      </w:r>
      <w:r>
        <w:rPr>
          <w:szCs w:val="28"/>
          <w:rtl/>
        </w:rPr>
        <w:t xml:space="preserve">، أبرزت الحاجة إلى نهج أكثر شمولية لإدارة المخاطر، وعدم الاكتفاء بالتركيز على المخاطر المالية فقط] </w:t>
      </w:r>
      <w:r>
        <w:rPr>
          <w:rFonts w:ascii="Times New Roman" w:eastAsia="Times New Roman" w:hAnsi="Times New Roman" w:cs="Times New Roman"/>
          <w:szCs w:val="28"/>
        </w:rPr>
        <w:t>29</w:t>
      </w:r>
      <w:r>
        <w:rPr>
          <w:szCs w:val="28"/>
          <w:rtl/>
        </w:rPr>
        <w:t xml:space="preserve">[ . </w:t>
      </w:r>
    </w:p>
    <w:p w14:paraId="3D1F4CA4" w14:textId="77777777" w:rsidR="005850DB" w:rsidRDefault="00000000">
      <w:pPr>
        <w:numPr>
          <w:ilvl w:val="0"/>
          <w:numId w:val="15"/>
        </w:numPr>
        <w:ind w:left="659" w:right="104" w:hanging="360"/>
      </w:pPr>
      <w:r>
        <w:rPr>
          <w:b/>
          <w:bCs/>
          <w:szCs w:val="28"/>
          <w:rtl/>
        </w:rPr>
        <w:t>زيادة تعقيد الأعمال:</w:t>
      </w:r>
      <w:r>
        <w:rPr>
          <w:szCs w:val="28"/>
          <w:rtl/>
        </w:rPr>
        <w:t xml:space="preserve"> أصبحت بيئة الأعمال أكثر تعقيداً وت اربطاً، مع ت ازيد العولمة، والتقدم التكنولوجي السريع، وظهور مخاطر جديدة مثل المخاطر السيب ارنية ومخاطر التغير المناخي. هذا التعقيد يتطلب نهجاً متكاملاً لإدارة المخاطر ]</w:t>
      </w:r>
      <w:r>
        <w:rPr>
          <w:rFonts w:ascii="Times New Roman" w:eastAsia="Times New Roman" w:hAnsi="Times New Roman" w:cs="Times New Roman"/>
          <w:szCs w:val="28"/>
        </w:rPr>
        <w:t>30</w:t>
      </w:r>
      <w:r>
        <w:rPr>
          <w:szCs w:val="28"/>
          <w:rtl/>
        </w:rPr>
        <w:t xml:space="preserve">[. </w:t>
      </w:r>
    </w:p>
    <w:p w14:paraId="74CC0166" w14:textId="77777777" w:rsidR="005850DB" w:rsidRDefault="00000000">
      <w:pPr>
        <w:numPr>
          <w:ilvl w:val="0"/>
          <w:numId w:val="15"/>
        </w:numPr>
        <w:ind w:left="659" w:right="104" w:hanging="360"/>
      </w:pPr>
      <w:r>
        <w:rPr>
          <w:b/>
          <w:bCs/>
          <w:szCs w:val="28"/>
          <w:rtl/>
        </w:rPr>
        <w:t>المتطلبات التنظيمية:</w:t>
      </w:r>
      <w:r>
        <w:rPr>
          <w:szCs w:val="28"/>
          <w:rtl/>
        </w:rPr>
        <w:t xml:space="preserve"> فرضت العديد من الهيئات التنظيمية معايير ومتطلبات جديدة لإدارة المخاطر، مثل قانون ساربينز-أوكسلي) </w:t>
      </w:r>
      <w:r>
        <w:rPr>
          <w:rFonts w:ascii="Times New Roman" w:eastAsia="Times New Roman" w:hAnsi="Times New Roman" w:cs="Times New Roman"/>
          <w:sz w:val="24"/>
        </w:rPr>
        <w:t>Sarbanes</w:t>
      </w:r>
      <w:r>
        <w:rPr>
          <w:rFonts w:ascii="Times New Roman" w:eastAsia="Times New Roman" w:hAnsi="Times New Roman" w:cs="Times New Roman"/>
          <w:sz w:val="37"/>
          <w:vertAlign w:val="subscript"/>
        </w:rPr>
        <w:t>-Oxley Act</w:t>
      </w:r>
      <w:r>
        <w:rPr>
          <w:szCs w:val="28"/>
          <w:rtl/>
        </w:rPr>
        <w:t xml:space="preserve">( في الولايات المتحدة، ومعايير بازل) </w:t>
      </w:r>
      <w:r>
        <w:rPr>
          <w:rFonts w:ascii="Times New Roman" w:eastAsia="Times New Roman" w:hAnsi="Times New Roman" w:cs="Times New Roman"/>
          <w:sz w:val="24"/>
        </w:rPr>
        <w:t>Basel Accords</w:t>
      </w:r>
      <w:r>
        <w:rPr>
          <w:szCs w:val="28"/>
          <w:rtl/>
        </w:rPr>
        <w:t xml:space="preserve">( في القطاع المصرفي، ومعيار </w:t>
      </w:r>
      <w:r>
        <w:rPr>
          <w:rFonts w:ascii="Times New Roman" w:eastAsia="Times New Roman" w:hAnsi="Times New Roman" w:cs="Times New Roman"/>
          <w:sz w:val="24"/>
        </w:rPr>
        <w:t>ISO 31000</w:t>
      </w:r>
      <w:r>
        <w:rPr>
          <w:szCs w:val="28"/>
          <w:rtl/>
        </w:rPr>
        <w:t xml:space="preserve"> لإدارة المخاطر. هذه المتطلبات دفعت الشركات إلى تبني أطر عمل أكثر شمولية] </w:t>
      </w:r>
      <w:r>
        <w:rPr>
          <w:rFonts w:ascii="Times New Roman" w:eastAsia="Times New Roman" w:hAnsi="Times New Roman" w:cs="Times New Roman"/>
          <w:szCs w:val="28"/>
        </w:rPr>
        <w:t>31</w:t>
      </w:r>
      <w:r>
        <w:rPr>
          <w:szCs w:val="28"/>
          <w:rtl/>
        </w:rPr>
        <w:t xml:space="preserve">[. </w:t>
      </w:r>
    </w:p>
    <w:p w14:paraId="515E8D61" w14:textId="77777777" w:rsidR="005850DB" w:rsidRDefault="00000000">
      <w:pPr>
        <w:numPr>
          <w:ilvl w:val="0"/>
          <w:numId w:val="15"/>
        </w:numPr>
        <w:ind w:left="659" w:right="104" w:hanging="360"/>
      </w:pPr>
      <w:r>
        <w:rPr>
          <w:b/>
          <w:bCs/>
          <w:szCs w:val="28"/>
          <w:rtl/>
        </w:rPr>
        <w:lastRenderedPageBreak/>
        <w:t>تطور الأدوات والتقنيات:</w:t>
      </w:r>
      <w:r>
        <w:rPr>
          <w:szCs w:val="28"/>
          <w:rtl/>
        </w:rPr>
        <w:t xml:space="preserve"> تطورت الأدوات والتقنيات المستخدمة في إدارة المخاطر، مثل برمجيات تحليل المخاطر، ونماذج المحاكاة، وتحليلات البيانات الضخمة، مما سهل على الشركات تطبيق أطر عمل أكثر تعقيداً ]</w:t>
      </w:r>
      <w:r>
        <w:rPr>
          <w:rFonts w:ascii="Times New Roman" w:eastAsia="Times New Roman" w:hAnsi="Times New Roman" w:cs="Times New Roman"/>
          <w:szCs w:val="28"/>
        </w:rPr>
        <w:t>32</w:t>
      </w:r>
      <w:r>
        <w:rPr>
          <w:szCs w:val="28"/>
          <w:rtl/>
        </w:rPr>
        <w:t xml:space="preserve">[. </w:t>
      </w:r>
    </w:p>
    <w:p w14:paraId="3362AEA9" w14:textId="77777777" w:rsidR="005850DB" w:rsidRDefault="00000000">
      <w:pPr>
        <w:ind w:right="100"/>
      </w:pPr>
      <w:r>
        <w:rPr>
          <w:szCs w:val="28"/>
          <w:rtl/>
        </w:rPr>
        <w:t xml:space="preserve">اليوم، تعد إدارة المخاطر جزءاً أساسياً من الحوكمة الرشيدة للمنظمات، وتعتبر وظيفة است ارتيجية تساهم في تحقيق الأهداف وحماية القيمة. هذا التطور المستمر يعكس الأهمية المت ازيدة لإدارة المخاطر في بيئة الأعمال الحديثة. </w:t>
      </w:r>
      <w:r>
        <w:rPr>
          <w:rFonts w:ascii="Times New Roman" w:eastAsia="Times New Roman" w:hAnsi="Times New Roman" w:cs="Times New Roman"/>
          <w:szCs w:val="28"/>
          <w:rtl/>
        </w:rPr>
        <w:t xml:space="preserve"> </w:t>
      </w:r>
    </w:p>
    <w:p w14:paraId="6BD35CDD" w14:textId="77777777" w:rsidR="005850DB" w:rsidRDefault="00000000">
      <w:pPr>
        <w:spacing w:after="10" w:line="227" w:lineRule="auto"/>
        <w:ind w:left="-2" w:right="8234" w:firstLine="46"/>
      </w:pPr>
      <w:r>
        <w:rPr>
          <w:szCs w:val="28"/>
          <w:rtl/>
        </w:rPr>
        <w:t xml:space="preserve"> </w:t>
      </w:r>
      <w:r>
        <w:rPr>
          <w:b/>
          <w:bCs/>
          <w:sz w:val="32"/>
          <w:szCs w:val="32"/>
          <w:rtl/>
        </w:rPr>
        <w:t xml:space="preserve">المارجع:  </w:t>
      </w:r>
    </w:p>
    <w:p w14:paraId="269E7177" w14:textId="77777777" w:rsidR="005850DB" w:rsidRDefault="00000000">
      <w:pPr>
        <w:bidi w:val="0"/>
        <w:spacing w:after="0" w:line="238" w:lineRule="auto"/>
        <w:ind w:left="10" w:right="0" w:hanging="10"/>
        <w:jc w:val="center"/>
      </w:pPr>
      <w:r>
        <w:rPr>
          <w:rFonts w:ascii="Times New Roman" w:eastAsia="Times New Roman" w:hAnsi="Times New Roman" w:cs="Times New Roman"/>
          <w:sz w:val="24"/>
        </w:rPr>
        <w:t xml:space="preserve">[24] Aven, T. (2016). Risk assessment and risk management: Review of recent advances and future challenges. Reliability Engineering &amp; System Safety, 154, 1-13. [25] Bernstein, P. L. </w:t>
      </w:r>
    </w:p>
    <w:p w14:paraId="27739A5B" w14:textId="77777777" w:rsidR="005850DB" w:rsidRDefault="00000000">
      <w:pPr>
        <w:bidi w:val="0"/>
        <w:spacing w:after="0" w:line="238" w:lineRule="auto"/>
        <w:ind w:left="10" w:right="0" w:hanging="10"/>
        <w:jc w:val="center"/>
      </w:pPr>
      <w:r>
        <w:rPr>
          <w:rFonts w:ascii="Times New Roman" w:eastAsia="Times New Roman" w:hAnsi="Times New Roman" w:cs="Times New Roman"/>
          <w:sz w:val="24"/>
        </w:rPr>
        <w:t xml:space="preserve">(1996). Against the Gods: The Remarkable Story of Risk. John Wiley &amp; Sons. [26] Chapman, R. J. (2011). Simple tools and techniques for enterprise risk management. John Wiley &amp; Sons. </w:t>
      </w:r>
    </w:p>
    <w:p w14:paraId="18F54A69" w14:textId="77777777" w:rsidR="005850DB" w:rsidRDefault="00000000">
      <w:pPr>
        <w:bidi w:val="0"/>
        <w:spacing w:after="3" w:line="248" w:lineRule="auto"/>
        <w:ind w:left="197" w:right="-7" w:firstLine="413"/>
        <w:jc w:val="left"/>
      </w:pPr>
      <w:r>
        <w:rPr>
          <w:rFonts w:ascii="Times New Roman" w:eastAsia="Times New Roman" w:hAnsi="Times New Roman" w:cs="Times New Roman"/>
          <w:sz w:val="24"/>
        </w:rPr>
        <w:t xml:space="preserve">[27] Project Management Institute. (2017). A Guide to the Project Management Body of Knowledge (PMBOK® Guide) (6th ed.). Project Management Institute. [28] COSO. (2017). </w:t>
      </w:r>
    </w:p>
    <w:p w14:paraId="15345E36"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Enterprise Risk Management—Integrating with Strategy and Performance. The Committee of </w:t>
      </w:r>
    </w:p>
    <w:p w14:paraId="150EFCB6" w14:textId="77777777" w:rsidR="005850DB" w:rsidRDefault="00000000">
      <w:pPr>
        <w:bidi w:val="0"/>
        <w:spacing w:after="3" w:line="248" w:lineRule="auto"/>
        <w:ind w:left="481" w:right="-7" w:hanging="10"/>
        <w:jc w:val="left"/>
      </w:pPr>
      <w:r>
        <w:rPr>
          <w:rFonts w:ascii="Times New Roman" w:eastAsia="Times New Roman" w:hAnsi="Times New Roman" w:cs="Times New Roman"/>
          <w:sz w:val="24"/>
        </w:rPr>
        <w:t xml:space="preserve">Sponsoring Organizations of the Treadway Commission. [29] Power, M. (2007). The risk management of everything: Rethinking the politics of uncertainty. Demos. [30] Deloitte. (2020). The future of risk management: How technology is transforming the function. Deloitte Insights. [31] International Organization for Standardization. (2018). ISO 31000: </w:t>
      </w:r>
    </w:p>
    <w:p w14:paraId="7B018358" w14:textId="77777777" w:rsidR="005850DB" w:rsidRDefault="00000000">
      <w:pPr>
        <w:bidi w:val="0"/>
        <w:spacing w:after="13"/>
        <w:ind w:left="26" w:right="0" w:hanging="10"/>
      </w:pPr>
      <w:r>
        <w:rPr>
          <w:rFonts w:ascii="Times New Roman" w:eastAsia="Times New Roman" w:hAnsi="Times New Roman" w:cs="Times New Roman"/>
          <w:sz w:val="24"/>
        </w:rPr>
        <w:t xml:space="preserve">Risk management – Guidelines. ISO. [32] PwC. (2017). Risk in a digital world: The future of </w:t>
      </w:r>
      <w:r>
        <w:rPr>
          <w:rFonts w:ascii="Times New Roman" w:eastAsia="Times New Roman" w:hAnsi="Times New Roman" w:cs="Times New Roman"/>
        </w:rPr>
        <w:t xml:space="preserve"> </w:t>
      </w:r>
      <w:r>
        <w:rPr>
          <w:rFonts w:ascii="Times New Roman" w:eastAsia="Times New Roman" w:hAnsi="Times New Roman" w:cs="Times New Roman"/>
          <w:sz w:val="24"/>
        </w:rPr>
        <w:t>risk management. PwC.</w:t>
      </w:r>
    </w:p>
    <w:p w14:paraId="0418ADC6" w14:textId="77777777" w:rsidR="005850DB" w:rsidRDefault="00000000">
      <w:pPr>
        <w:bidi w:val="0"/>
        <w:spacing w:after="40" w:line="259" w:lineRule="auto"/>
        <w:ind w:left="0" w:right="69" w:firstLine="0"/>
      </w:pPr>
      <w:r>
        <w:rPr>
          <w:rFonts w:ascii="Times New Roman" w:eastAsia="Times New Roman" w:hAnsi="Times New Roman" w:cs="Times New Roman"/>
        </w:rPr>
        <w:t xml:space="preserve"> </w:t>
      </w:r>
    </w:p>
    <w:p w14:paraId="41CF407F" w14:textId="77777777" w:rsidR="005850DB" w:rsidRDefault="00000000">
      <w:pPr>
        <w:bidi w:val="0"/>
        <w:spacing w:after="0" w:line="259" w:lineRule="auto"/>
        <w:ind w:left="0" w:right="58" w:firstLine="0"/>
      </w:pPr>
      <w:r>
        <w:t xml:space="preserve"> </w:t>
      </w:r>
    </w:p>
    <w:p w14:paraId="46EA317C" w14:textId="77777777" w:rsidR="005850DB" w:rsidRDefault="00000000">
      <w:pPr>
        <w:pStyle w:val="Heading3"/>
        <w:ind w:left="7"/>
      </w:pP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6</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bCs/>
          <w:szCs w:val="32"/>
          <w:rtl/>
        </w:rPr>
        <w:t xml:space="preserve"> مبرارت استخدام المنهج المختلط </w:t>
      </w:r>
      <w:r>
        <w:rPr>
          <w:rFonts w:ascii="Times New Roman" w:eastAsia="Times New Roman" w:hAnsi="Times New Roman" w:cs="Times New Roman"/>
          <w:bCs/>
          <w:szCs w:val="32"/>
          <w:rtl/>
        </w:rPr>
        <w:t xml:space="preserve"> </w:t>
      </w:r>
    </w:p>
    <w:p w14:paraId="21794AB9" w14:textId="77777777" w:rsidR="005850DB" w:rsidRDefault="00000000">
      <w:pPr>
        <w:spacing w:after="39"/>
        <w:ind w:right="100"/>
      </w:pPr>
      <w:r>
        <w:rPr>
          <w:szCs w:val="28"/>
          <w:rtl/>
        </w:rPr>
        <w:t>يعد اختيار المنهج المختلط )</w:t>
      </w:r>
      <w:r>
        <w:rPr>
          <w:rFonts w:ascii="Times New Roman" w:eastAsia="Times New Roman" w:hAnsi="Times New Roman" w:cs="Times New Roman"/>
          <w:sz w:val="24"/>
        </w:rPr>
        <w:t>Mixed Methods Approach</w:t>
      </w:r>
      <w:r>
        <w:rPr>
          <w:szCs w:val="28"/>
          <w:rtl/>
        </w:rPr>
        <w:t xml:space="preserve">( في هذه الد ارسة ق اراًر است ارتيجياً يهدف إلى تحقيق فهم شامل وعميق لدور إدارة المخاطر في نجاح مشاريع صناعة المضخات في المملكة العربية السعودية. يجمع هذا المنهج بين نقاط القوة في كل من المنهجين الكمي والنوعي، مما يسمح بتقديم صورة أكثر اكتمالاً للظاهرة المدر وسة] </w:t>
      </w:r>
      <w:r>
        <w:rPr>
          <w:rFonts w:ascii="Times New Roman" w:eastAsia="Times New Roman" w:hAnsi="Times New Roman" w:cs="Times New Roman"/>
          <w:szCs w:val="28"/>
        </w:rPr>
        <w:t>33</w:t>
      </w:r>
      <w:r>
        <w:rPr>
          <w:szCs w:val="28"/>
          <w:rtl/>
        </w:rPr>
        <w:t xml:space="preserve">[ . </w:t>
      </w:r>
    </w:p>
    <w:p w14:paraId="45346B88" w14:textId="77777777" w:rsidR="005850DB" w:rsidRDefault="00000000">
      <w:pPr>
        <w:spacing w:after="3" w:line="259" w:lineRule="auto"/>
        <w:ind w:left="7" w:right="0" w:hanging="10"/>
        <w:jc w:val="left"/>
      </w:pPr>
      <w:r>
        <w:rPr>
          <w:b/>
          <w:bCs/>
          <w:sz w:val="32"/>
          <w:szCs w:val="32"/>
          <w:rtl/>
        </w:rPr>
        <w:t xml:space="preserve">مبرارت استخدام المنهج الكمي:  </w:t>
      </w:r>
    </w:p>
    <w:p w14:paraId="070E0F76" w14:textId="77777777" w:rsidR="005850DB" w:rsidRDefault="00000000">
      <w:pPr>
        <w:numPr>
          <w:ilvl w:val="0"/>
          <w:numId w:val="16"/>
        </w:numPr>
        <w:spacing w:after="11"/>
        <w:ind w:right="173" w:hanging="363"/>
      </w:pPr>
      <w:r>
        <w:rPr>
          <w:b/>
          <w:bCs/>
          <w:szCs w:val="28"/>
          <w:rtl/>
        </w:rPr>
        <w:t>قياس العلاقات والمتغيارت:</w:t>
      </w:r>
      <w:r>
        <w:rPr>
          <w:szCs w:val="28"/>
          <w:rtl/>
        </w:rPr>
        <w:t xml:space="preserve"> يتيح المنهج الكمي قياس مستوى تطبيق ممارسات إدارة المخاطر </w:t>
      </w:r>
    </w:p>
    <w:p w14:paraId="4173C72F" w14:textId="77777777" w:rsidR="005850DB" w:rsidRDefault="00000000">
      <w:pPr>
        <w:ind w:left="642" w:right="425"/>
      </w:pPr>
      <w:r>
        <w:rPr>
          <w:szCs w:val="28"/>
          <w:rtl/>
        </w:rPr>
        <w:t xml:space="preserve">)تحديد، تحليل، استجابة، م ارقبة( ومستوى نجاح المشاريع بشكل رقمي، مما يمكن من تحليل العلاقات بين هذه المتغي ارت باستخدام الأساليب الإحصائية. هذا يوفر دليلاً موضوعياً وقابلاً للقياس على وجود علاقات ذات دلالة إحصائية]  </w:t>
      </w:r>
      <w:r>
        <w:rPr>
          <w:rFonts w:ascii="Times New Roman" w:eastAsia="Times New Roman" w:hAnsi="Times New Roman" w:cs="Times New Roman"/>
          <w:szCs w:val="28"/>
        </w:rPr>
        <w:t>34</w:t>
      </w:r>
      <w:r>
        <w:rPr>
          <w:szCs w:val="28"/>
          <w:rtl/>
        </w:rPr>
        <w:t xml:space="preserve">[ . </w:t>
      </w:r>
    </w:p>
    <w:p w14:paraId="11AD1B16" w14:textId="77777777" w:rsidR="005850DB" w:rsidRDefault="00000000">
      <w:pPr>
        <w:numPr>
          <w:ilvl w:val="0"/>
          <w:numId w:val="16"/>
        </w:numPr>
        <w:spacing w:after="51"/>
        <w:ind w:right="173" w:hanging="363"/>
      </w:pPr>
      <w:r>
        <w:rPr>
          <w:b/>
          <w:bCs/>
          <w:szCs w:val="28"/>
          <w:rtl/>
        </w:rPr>
        <w:lastRenderedPageBreak/>
        <w:t>التعميم:</w:t>
      </w:r>
      <w:r>
        <w:rPr>
          <w:szCs w:val="28"/>
          <w:rtl/>
        </w:rPr>
        <w:t xml:space="preserve"> من خلال جمع البيانات من عينة كبيرة نسبياً من شركات صناعة المضخات، يمكن تعميم النتائج الإحصائية على مجتمع الد ارسة الأوسع، مما يزيد من الصلاحية الخارجية للد ارسة </w:t>
      </w:r>
    </w:p>
    <w:p w14:paraId="38F4D9A2"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35</w:t>
      </w:r>
      <w:r>
        <w:t>[</w:t>
      </w:r>
    </w:p>
    <w:p w14:paraId="244DF000" w14:textId="77777777" w:rsidR="005850DB" w:rsidRDefault="00000000">
      <w:pPr>
        <w:numPr>
          <w:ilvl w:val="0"/>
          <w:numId w:val="16"/>
        </w:numPr>
        <w:ind w:right="173" w:hanging="363"/>
      </w:pPr>
      <w:r>
        <w:rPr>
          <w:b/>
          <w:bCs/>
          <w:szCs w:val="28"/>
          <w:rtl/>
        </w:rPr>
        <w:t>الكفاءة في جمع البيانات:</w:t>
      </w:r>
      <w:r>
        <w:rPr>
          <w:szCs w:val="28"/>
          <w:rtl/>
        </w:rPr>
        <w:t xml:space="preserve"> يسمح المنهج الكمي بجمع البيانات من عدد كبير من المشاركين بكفاءة نسبية، خاصة عند استخدام الاستبيانات، مما يوفر الوقت والجهد] </w:t>
      </w:r>
      <w:r>
        <w:rPr>
          <w:rFonts w:ascii="Times New Roman" w:eastAsia="Times New Roman" w:hAnsi="Times New Roman" w:cs="Times New Roman"/>
          <w:szCs w:val="28"/>
        </w:rPr>
        <w:t>36</w:t>
      </w:r>
      <w:r>
        <w:rPr>
          <w:szCs w:val="28"/>
          <w:rtl/>
        </w:rPr>
        <w:t>[.</w:t>
      </w:r>
      <w:r>
        <w:rPr>
          <w:rFonts w:ascii="Times New Roman" w:eastAsia="Times New Roman" w:hAnsi="Times New Roman" w:cs="Times New Roman"/>
          <w:szCs w:val="28"/>
          <w:rtl/>
        </w:rPr>
        <w:t xml:space="preserve"> </w:t>
      </w:r>
    </w:p>
    <w:p w14:paraId="5CFCE2CD" w14:textId="77777777" w:rsidR="005850DB" w:rsidRDefault="00000000">
      <w:pPr>
        <w:spacing w:after="0" w:line="259" w:lineRule="auto"/>
        <w:ind w:left="8" w:right="0" w:hanging="10"/>
        <w:jc w:val="left"/>
      </w:pPr>
      <w:r>
        <w:rPr>
          <w:b/>
          <w:bCs/>
          <w:szCs w:val="28"/>
          <w:rtl/>
        </w:rPr>
        <w:t xml:space="preserve">مبرارت استخدام المنهج النوعي:  </w:t>
      </w:r>
    </w:p>
    <w:p w14:paraId="6C95B227" w14:textId="77777777" w:rsidR="005850DB" w:rsidRDefault="00000000">
      <w:pPr>
        <w:numPr>
          <w:ilvl w:val="0"/>
          <w:numId w:val="16"/>
        </w:numPr>
        <w:spacing w:after="11"/>
        <w:ind w:right="173" w:hanging="363"/>
      </w:pPr>
      <w:r>
        <w:rPr>
          <w:b/>
          <w:bCs/>
          <w:szCs w:val="28"/>
          <w:rtl/>
        </w:rPr>
        <w:t>الفهم العميق والرؤى الغنية:</w:t>
      </w:r>
      <w:r>
        <w:rPr>
          <w:szCs w:val="28"/>
          <w:rtl/>
        </w:rPr>
        <w:t xml:space="preserve"> يوفر المنهج النوعي الفرصة لاستكشاف الظاهرة بعمق، وفهم </w:t>
      </w:r>
    </w:p>
    <w:p w14:paraId="45E080A6" w14:textId="77777777" w:rsidR="005850DB" w:rsidRDefault="00000000">
      <w:pPr>
        <w:ind w:left="295" w:right="100"/>
      </w:pPr>
      <w:r>
        <w:rPr>
          <w:szCs w:val="28"/>
          <w:rtl/>
        </w:rPr>
        <w:t xml:space="preserve">الأسباب الكامنة وارء النتائج الكمية، واكتشاف جوانب جديدة قد لا تظهر من خلال البيانات الرقمية وحدها. المقابلات المتعمقة مع الخب ارء تسمح بالحصول على رؤى غنية حول التحديات، وأفضل الممارسات، والخب ارت الشخصية] </w:t>
      </w:r>
      <w:r>
        <w:rPr>
          <w:rFonts w:ascii="Times New Roman" w:eastAsia="Times New Roman" w:hAnsi="Times New Roman" w:cs="Times New Roman"/>
          <w:szCs w:val="28"/>
        </w:rPr>
        <w:t>37</w:t>
      </w:r>
      <w:r>
        <w:rPr>
          <w:szCs w:val="28"/>
          <w:rtl/>
        </w:rPr>
        <w:t xml:space="preserve">[. </w:t>
      </w:r>
    </w:p>
    <w:p w14:paraId="50B42B28" w14:textId="77777777" w:rsidR="005850DB" w:rsidRDefault="00000000">
      <w:pPr>
        <w:numPr>
          <w:ilvl w:val="0"/>
          <w:numId w:val="16"/>
        </w:numPr>
        <w:spacing w:after="51"/>
        <w:ind w:right="173" w:hanging="363"/>
      </w:pPr>
      <w:r>
        <w:rPr>
          <w:b/>
          <w:bCs/>
          <w:szCs w:val="28"/>
          <w:rtl/>
        </w:rPr>
        <w:t>استكشاف الظواهر المعقدة:</w:t>
      </w:r>
      <w:r>
        <w:rPr>
          <w:szCs w:val="28"/>
          <w:rtl/>
        </w:rPr>
        <w:t xml:space="preserve"> تعد إدارة المخاطر عملية معقدة تتأثر بالعديد من العوامل البشرية والتنظيمية والثقافية. يتيح المنهج النوعي استكشاف هذه التعقيدات وتقديم تفسي ارت سياقية للنتائج </w:t>
      </w:r>
    </w:p>
    <w:p w14:paraId="2AE888FB"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38</w:t>
      </w:r>
      <w:r>
        <w:t>[</w:t>
      </w:r>
    </w:p>
    <w:p w14:paraId="35DBCACB" w14:textId="77777777" w:rsidR="005850DB" w:rsidRDefault="00000000">
      <w:pPr>
        <w:numPr>
          <w:ilvl w:val="0"/>
          <w:numId w:val="16"/>
        </w:numPr>
        <w:ind w:right="173" w:hanging="363"/>
      </w:pPr>
      <w:r>
        <w:rPr>
          <w:b/>
          <w:bCs/>
          <w:szCs w:val="28"/>
          <w:rtl/>
        </w:rPr>
        <w:t>توليد الفرضيات:</w:t>
      </w:r>
      <w:r>
        <w:rPr>
          <w:szCs w:val="28"/>
          <w:rtl/>
        </w:rPr>
        <w:t xml:space="preserve"> يمكن للبيانات النوعية أن تساعد في توليد فرضيات جديدة أو أسئلة بحثية لم يتم التفكير فيها مسبقاً، مما يفتح آفاقاً لد ارسات مستقبلية ]</w:t>
      </w:r>
      <w:r>
        <w:rPr>
          <w:rFonts w:ascii="Times New Roman" w:eastAsia="Times New Roman" w:hAnsi="Times New Roman" w:cs="Times New Roman"/>
          <w:szCs w:val="28"/>
        </w:rPr>
        <w:t>39</w:t>
      </w:r>
      <w:r>
        <w:rPr>
          <w:szCs w:val="28"/>
          <w:rtl/>
        </w:rPr>
        <w:t xml:space="preserve">[ . </w:t>
      </w:r>
    </w:p>
    <w:p w14:paraId="4BFF9DC5" w14:textId="77777777" w:rsidR="005850DB" w:rsidRDefault="00000000">
      <w:pPr>
        <w:numPr>
          <w:ilvl w:val="0"/>
          <w:numId w:val="16"/>
        </w:numPr>
        <w:spacing w:after="136"/>
        <w:ind w:right="173" w:hanging="363"/>
      </w:pPr>
      <w:r>
        <w:rPr>
          <w:b/>
          <w:bCs/>
          <w:szCs w:val="28"/>
          <w:rtl/>
        </w:rPr>
        <w:t xml:space="preserve">التحقق المتبادل) </w:t>
      </w:r>
      <w:r>
        <w:rPr>
          <w:rFonts w:ascii="Times New Roman" w:eastAsia="Times New Roman" w:hAnsi="Times New Roman" w:cs="Times New Roman"/>
          <w:b/>
          <w:sz w:val="24"/>
        </w:rPr>
        <w:t>Triangulation</w:t>
      </w:r>
      <w:r>
        <w:rPr>
          <w:b/>
          <w:bCs/>
          <w:szCs w:val="28"/>
          <w:rtl/>
        </w:rPr>
        <w:t>(:</w:t>
      </w:r>
      <w:r>
        <w:rPr>
          <w:szCs w:val="28"/>
          <w:rtl/>
        </w:rPr>
        <w:t xml:space="preserve"> يتيح دمج المنهجين الكمي والنوعي إمكانية التحقق المتبادل من النتائج، حيث يمكن للنتائج النوعية أن تدعم أو تفسر النتائج الكمية، والعكس صحيح. هذا يعزز من موثوقية وصلاحية النتائج النهائية للد ارسة] </w:t>
      </w:r>
      <w:r>
        <w:rPr>
          <w:rFonts w:ascii="Times New Roman" w:eastAsia="Times New Roman" w:hAnsi="Times New Roman" w:cs="Times New Roman"/>
          <w:szCs w:val="28"/>
        </w:rPr>
        <w:t>40</w:t>
      </w:r>
      <w:r>
        <w:rPr>
          <w:szCs w:val="28"/>
          <w:rtl/>
        </w:rPr>
        <w:t>[.</w:t>
      </w:r>
      <w:r>
        <w:rPr>
          <w:rFonts w:ascii="Times New Roman" w:eastAsia="Times New Roman" w:hAnsi="Times New Roman" w:cs="Times New Roman"/>
          <w:szCs w:val="28"/>
          <w:rtl/>
        </w:rPr>
        <w:t xml:space="preserve"> </w:t>
      </w:r>
    </w:p>
    <w:p w14:paraId="2854681C" w14:textId="77777777" w:rsidR="005850DB" w:rsidRDefault="00000000">
      <w:pPr>
        <w:bidi w:val="0"/>
        <w:spacing w:after="0" w:line="259" w:lineRule="auto"/>
        <w:ind w:left="0" w:right="13" w:firstLine="0"/>
      </w:pPr>
      <w:r>
        <w:rPr>
          <w:rFonts w:ascii="Times New Roman" w:eastAsia="Times New Roman" w:hAnsi="Times New Roman" w:cs="Times New Roman"/>
          <w:b/>
          <w:sz w:val="32"/>
        </w:rPr>
        <w:t xml:space="preserve"> </w:t>
      </w:r>
      <w:r>
        <w:rPr>
          <w:b/>
          <w:sz w:val="32"/>
        </w:rPr>
        <w:t xml:space="preserve"> :)</w:t>
      </w:r>
      <w:r>
        <w:rPr>
          <w:rFonts w:ascii="Times New Roman" w:eastAsia="Times New Roman" w:hAnsi="Times New Roman" w:cs="Times New Roman"/>
          <w:b/>
          <w:sz w:val="24"/>
        </w:rPr>
        <w:t>Sequential Explanatory Design</w:t>
      </w:r>
      <w:r>
        <w:rPr>
          <w:b/>
          <w:sz w:val="32"/>
        </w:rPr>
        <w:t xml:space="preserve"> (</w:t>
      </w:r>
      <w:r>
        <w:rPr>
          <w:b/>
          <w:bCs/>
          <w:sz w:val="32"/>
          <w:szCs w:val="32"/>
          <w:rtl/>
        </w:rPr>
        <w:t>تصميم المنهج المختلط المستخدم</w:t>
      </w:r>
    </w:p>
    <w:p w14:paraId="492AAFF8" w14:textId="77777777" w:rsidR="005850DB" w:rsidRDefault="00000000">
      <w:pPr>
        <w:ind w:right="392"/>
      </w:pPr>
      <w:r>
        <w:rPr>
          <w:szCs w:val="28"/>
          <w:rtl/>
        </w:rPr>
        <w:t>تم اعتماد التصميم التفسيري المتسلسل )</w:t>
      </w:r>
      <w:r>
        <w:rPr>
          <w:rFonts w:ascii="Times New Roman" w:eastAsia="Times New Roman" w:hAnsi="Times New Roman" w:cs="Times New Roman"/>
          <w:sz w:val="24"/>
        </w:rPr>
        <w:t>Sequential Explanatory Design</w:t>
      </w:r>
      <w:r>
        <w:rPr>
          <w:szCs w:val="28"/>
          <w:rtl/>
        </w:rPr>
        <w:t xml:space="preserve">( في هذه الد ارسة. في هذا التصميم، يتم جمع وتحليل البيانات الكمية أولاً، ثم يتم استخدام النتائج الكمية لتوجيه جمع وتحليل البيانات النوعية. الهدف من المرحلة النوعية هو تفسير أو توضيح النتائج الكمية بشكل أعمق] </w:t>
      </w:r>
      <w:r>
        <w:rPr>
          <w:rFonts w:ascii="Times New Roman" w:eastAsia="Times New Roman" w:hAnsi="Times New Roman" w:cs="Times New Roman"/>
          <w:szCs w:val="28"/>
        </w:rPr>
        <w:t>41</w:t>
      </w:r>
      <w:r>
        <w:rPr>
          <w:szCs w:val="28"/>
          <w:rtl/>
        </w:rPr>
        <w:t xml:space="preserve">[. </w:t>
      </w:r>
    </w:p>
    <w:p w14:paraId="05ADA6F9" w14:textId="77777777" w:rsidR="005850DB" w:rsidRDefault="00000000">
      <w:pPr>
        <w:numPr>
          <w:ilvl w:val="0"/>
          <w:numId w:val="16"/>
        </w:numPr>
        <w:ind w:right="173" w:hanging="363"/>
      </w:pPr>
      <w:r>
        <w:rPr>
          <w:b/>
          <w:bCs/>
          <w:szCs w:val="28"/>
          <w:rtl/>
        </w:rPr>
        <w:t>المرحلة الأولى )كمية:(</w:t>
      </w:r>
      <w:r>
        <w:rPr>
          <w:szCs w:val="28"/>
          <w:rtl/>
        </w:rPr>
        <w:t xml:space="preserve"> جمع البيانات من خلال الاستبيانات لتحليل العلاقة بين ممارسات إدارة المخاطر ونجاح المشاريع. تحديد الاتجاهات العامة والعلاقات الإحصائية.  </w:t>
      </w:r>
    </w:p>
    <w:p w14:paraId="71EB44D1" w14:textId="77777777" w:rsidR="005850DB" w:rsidRDefault="00000000">
      <w:pPr>
        <w:numPr>
          <w:ilvl w:val="0"/>
          <w:numId w:val="16"/>
        </w:numPr>
        <w:ind w:right="173" w:hanging="363"/>
      </w:pPr>
      <w:r>
        <w:rPr>
          <w:b/>
          <w:bCs/>
          <w:szCs w:val="28"/>
          <w:rtl/>
        </w:rPr>
        <w:t>المرحلة الثانية )نوعية:(</w:t>
      </w:r>
      <w:r>
        <w:rPr>
          <w:szCs w:val="28"/>
          <w:rtl/>
        </w:rPr>
        <w:t xml:space="preserve"> إج ارء مقابلات متعمقة مع خب ارء الصناعة لتفسير النتائج الكمية، وفهم الأسباب الكامنة وارءها، واستكشاف التحديات وأفضل الممارسات التي لا يمكن قياسها كمياً بسهولة.</w:t>
      </w:r>
      <w:r>
        <w:rPr>
          <w:rFonts w:ascii="Times New Roman" w:eastAsia="Times New Roman" w:hAnsi="Times New Roman" w:cs="Times New Roman"/>
          <w:szCs w:val="28"/>
          <w:rtl/>
        </w:rPr>
        <w:t xml:space="preserve"> </w:t>
      </w:r>
    </w:p>
    <w:p w14:paraId="69BC0620" w14:textId="77777777" w:rsidR="005850DB" w:rsidRDefault="00000000">
      <w:pPr>
        <w:ind w:right="708"/>
      </w:pPr>
      <w:r>
        <w:rPr>
          <w:szCs w:val="28"/>
          <w:rtl/>
        </w:rPr>
        <w:lastRenderedPageBreak/>
        <w:t xml:space="preserve">يضمن هذا التصميم أن تكون الد ارسة شاملة، وتوفر فهماً متكاملاً للظاهرة المدروسة من منظورين مختلفين، مما يعزز من قوة الاستنتاجات والتوصيات التي سيتم تقديمها.  </w:t>
      </w:r>
      <w:r>
        <w:rPr>
          <w:b/>
          <w:bCs/>
          <w:szCs w:val="28"/>
          <w:rtl/>
        </w:rPr>
        <w:t xml:space="preserve"> </w:t>
      </w:r>
      <w:r>
        <w:rPr>
          <w:b/>
          <w:bCs/>
          <w:sz w:val="32"/>
          <w:szCs w:val="32"/>
          <w:rtl/>
        </w:rPr>
        <w:t xml:space="preserve">المارجع:  </w:t>
      </w:r>
    </w:p>
    <w:p w14:paraId="6D43F1BC" w14:textId="77777777" w:rsidR="005850DB" w:rsidRDefault="00000000">
      <w:pPr>
        <w:bidi w:val="0"/>
        <w:spacing w:after="13"/>
        <w:ind w:left="26" w:right="0" w:hanging="10"/>
      </w:pPr>
      <w:r>
        <w:rPr>
          <w:rFonts w:ascii="Times New Roman" w:eastAsia="Times New Roman" w:hAnsi="Times New Roman" w:cs="Times New Roman"/>
          <w:sz w:val="24"/>
        </w:rPr>
        <w:t xml:space="preserve">[33] Creswell, J. W., &amp; Plano Clark, V. L. (2018). Designing and conducting mixed methods research (3rd ed.). SAGE Publications. [34] Hair, J. F., Black, W. C., Babin, B. J., &amp; </w:t>
      </w:r>
    </w:p>
    <w:p w14:paraId="629D99A7" w14:textId="77777777" w:rsidR="005850DB" w:rsidRDefault="00000000">
      <w:pPr>
        <w:bidi w:val="0"/>
        <w:spacing w:after="3" w:line="248" w:lineRule="auto"/>
        <w:ind w:left="192" w:right="-7" w:hanging="113"/>
        <w:jc w:val="left"/>
      </w:pPr>
      <w:r>
        <w:rPr>
          <w:rFonts w:ascii="Times New Roman" w:eastAsia="Times New Roman" w:hAnsi="Times New Roman" w:cs="Times New Roman"/>
          <w:sz w:val="24"/>
        </w:rPr>
        <w:t xml:space="preserve">Anderson, R. E. (2019). Multivariate data analysis (8th ed.). Cengage Learning. [35] Sekaran, U., &amp; Bougie, R. (2016). Research methods for business: A skill building approach (7th ed.). </w:t>
      </w:r>
    </w:p>
    <w:p w14:paraId="531C8C49" w14:textId="77777777" w:rsidR="005850DB" w:rsidRDefault="00000000">
      <w:pPr>
        <w:bidi w:val="0"/>
        <w:spacing w:after="233" w:line="248" w:lineRule="auto"/>
        <w:ind w:left="79" w:right="-7" w:firstLine="154"/>
        <w:jc w:val="left"/>
      </w:pPr>
      <w:r>
        <w:rPr>
          <w:rFonts w:ascii="Times New Roman" w:eastAsia="Times New Roman" w:hAnsi="Times New Roman" w:cs="Times New Roman"/>
          <w:sz w:val="24"/>
        </w:rPr>
        <w:t xml:space="preserve">John Wiley &amp; Sons. [36] Saunders, M., Lewis, P., &amp; Thornhill, A. (2019). Research methods for business students (8th ed.). Pearson Education. [37] Flick, U. (2018). An introduction to qualitative research (6th ed.). SAGE Publications. [38] Yin, R. K. (2018). Case study research and applications: Design and methods (6th ed.). SAGE Publications. [39] Bryman, A., &amp; Bell, E. (2015). Business research methods (4th ed.). Oxford University Press. [40] Denzin, N. K. (1978). The research act: A theoretical introduction to sociological methods. McGraw-Hill. </w:t>
      </w:r>
    </w:p>
    <w:p w14:paraId="093EA696" w14:textId="77777777" w:rsidR="005850DB" w:rsidRDefault="00000000">
      <w:pPr>
        <w:bidi w:val="0"/>
        <w:spacing w:after="211" w:line="248" w:lineRule="auto"/>
        <w:ind w:left="89" w:right="-7" w:hanging="10"/>
        <w:jc w:val="left"/>
      </w:pPr>
      <w:r>
        <w:rPr>
          <w:rFonts w:ascii="Times New Roman" w:eastAsia="Times New Roman" w:hAnsi="Times New Roman" w:cs="Times New Roman"/>
          <w:sz w:val="24"/>
        </w:rPr>
        <w:t xml:space="preserve">[41] Creswell, J. W., &amp; Creswell, J. D. (2022). Research design: Qualitative, quantitative, and </w:t>
      </w:r>
      <w:r>
        <w:t xml:space="preserve"> </w:t>
      </w:r>
      <w:r>
        <w:rPr>
          <w:rFonts w:ascii="Times New Roman" w:eastAsia="Times New Roman" w:hAnsi="Times New Roman" w:cs="Times New Roman"/>
          <w:sz w:val="24"/>
        </w:rPr>
        <w:t>mixed methods approaches (6th ed.). SAGE Publications.</w:t>
      </w:r>
    </w:p>
    <w:p w14:paraId="438988B5"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E4E54C9"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E174C01"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ECBA9EB"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642510C"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292C0770"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9261182"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47A5615"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44543C3"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0456B67"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23626E8"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227F7FFA"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05D70AA"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BB7F13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AAE95F1"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6BAFDD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2EA9F3C8"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8FA1A18"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DC7EDC6" w14:textId="77777777" w:rsidR="005850DB" w:rsidRDefault="00000000">
      <w:pPr>
        <w:bidi w:val="0"/>
        <w:spacing w:after="0" w:line="259" w:lineRule="auto"/>
        <w:ind w:left="0" w:right="69" w:firstLine="0"/>
      </w:pPr>
      <w:r>
        <w:rPr>
          <w:rFonts w:ascii="Times New Roman" w:eastAsia="Times New Roman" w:hAnsi="Times New Roman" w:cs="Times New Roman"/>
        </w:rPr>
        <w:lastRenderedPageBreak/>
        <w:t xml:space="preserve"> </w:t>
      </w:r>
    </w:p>
    <w:p w14:paraId="39F9A3B7"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90A74B4"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12BF355"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E22EAD4"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C97B6E2"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34FDD48"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59E9038C"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5B39FD61"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5ABA652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BC8619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1559DF4"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C994BEC"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0024BA4"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31CA12E"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6C6029F0" w14:textId="77777777" w:rsidR="005850DB" w:rsidRDefault="00000000">
      <w:pPr>
        <w:bidi w:val="0"/>
        <w:spacing w:after="890" w:line="259" w:lineRule="auto"/>
        <w:ind w:left="0" w:right="69" w:firstLine="0"/>
      </w:pPr>
      <w:r>
        <w:rPr>
          <w:rFonts w:ascii="Times New Roman" w:eastAsia="Times New Roman" w:hAnsi="Times New Roman" w:cs="Times New Roman"/>
        </w:rPr>
        <w:t xml:space="preserve"> </w:t>
      </w:r>
    </w:p>
    <w:p w14:paraId="4035E049" w14:textId="77777777" w:rsidR="005850DB" w:rsidRDefault="00000000">
      <w:pPr>
        <w:shd w:val="clear" w:color="auto" w:fill="2A69A2"/>
        <w:tabs>
          <w:tab w:val="center" w:pos="4192"/>
        </w:tabs>
        <w:spacing w:after="126" w:line="259" w:lineRule="auto"/>
        <w:ind w:left="27" w:right="864" w:firstLine="0"/>
        <w:jc w:val="left"/>
      </w:pPr>
      <w:r>
        <w:rPr>
          <w:rFonts w:ascii="Times New Roman" w:eastAsia="Times New Roman" w:hAnsi="Times New Roman" w:cs="Times New Roman"/>
          <w:sz w:val="43"/>
          <w:szCs w:val="43"/>
          <w:vertAlign w:val="subscript"/>
          <w:rtl/>
        </w:rPr>
        <w:t xml:space="preserve"> </w:t>
      </w:r>
      <w:r>
        <w:rPr>
          <w:rFonts w:ascii="Times New Roman" w:eastAsia="Times New Roman" w:hAnsi="Times New Roman" w:cs="Times New Roman"/>
          <w:sz w:val="43"/>
          <w:szCs w:val="43"/>
          <w:vertAlign w:val="superscript"/>
          <w:rtl/>
        </w:rPr>
        <w:t xml:space="preserve">   </w:t>
      </w:r>
      <w:r>
        <w:rPr>
          <w:b/>
          <w:bCs/>
          <w:color w:val="FFFFFF"/>
          <w:sz w:val="60"/>
          <w:szCs w:val="60"/>
          <w:rtl/>
        </w:rPr>
        <w:tab/>
        <w:t xml:space="preserve">الفصل الثاني </w:t>
      </w:r>
    </w:p>
    <w:p w14:paraId="6DEA3359" w14:textId="77777777" w:rsidR="005850DB" w:rsidRDefault="00000000">
      <w:pPr>
        <w:pStyle w:val="Heading1"/>
        <w:shd w:val="clear" w:color="auto" w:fill="2A69A2"/>
        <w:tabs>
          <w:tab w:val="center" w:pos="4193"/>
        </w:tabs>
        <w:ind w:left="27" w:right="864" w:firstLine="0"/>
      </w:pPr>
      <w:r>
        <w:rPr>
          <w:rFonts w:ascii="Times New Roman" w:eastAsia="Times New Roman" w:hAnsi="Times New Roman" w:cs="Times New Roman"/>
          <w:b w:val="0"/>
          <w:sz w:val="43"/>
          <w:szCs w:val="43"/>
          <w:vertAlign w:val="subscript"/>
          <w:rtl/>
        </w:rPr>
        <w:t xml:space="preserve"> </w:t>
      </w:r>
      <w:r>
        <w:rPr>
          <w:rFonts w:ascii="Times New Roman" w:eastAsia="Times New Roman" w:hAnsi="Times New Roman" w:cs="Times New Roman"/>
          <w:b w:val="0"/>
          <w:sz w:val="43"/>
          <w:szCs w:val="43"/>
          <w:vertAlign w:val="superscript"/>
          <w:rtl/>
        </w:rPr>
        <w:t xml:space="preserve">  </w:t>
      </w:r>
      <w:r>
        <w:rPr>
          <w:bCs/>
          <w:color w:val="FFFFFF"/>
          <w:sz w:val="60"/>
          <w:szCs w:val="60"/>
          <w:rtl/>
        </w:rPr>
        <w:tab/>
        <w:t>الإطار النظري والدارسات السابقة</w:t>
      </w:r>
      <w:r>
        <w:rPr>
          <w:bCs/>
          <w:color w:val="FFFFFF"/>
          <w:sz w:val="56"/>
          <w:szCs w:val="56"/>
          <w:rtl/>
        </w:rPr>
        <w:t xml:space="preserve"> </w:t>
      </w:r>
    </w:p>
    <w:p w14:paraId="4CC0CD93"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1B9B5E24"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2774779"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24FDAFDF" w14:textId="77777777" w:rsidR="005850DB" w:rsidRDefault="00000000">
      <w:pPr>
        <w:bidi w:val="0"/>
        <w:spacing w:after="40" w:line="259" w:lineRule="auto"/>
        <w:ind w:left="0" w:right="69" w:firstLine="0"/>
      </w:pPr>
      <w:r>
        <w:rPr>
          <w:rFonts w:ascii="Times New Roman" w:eastAsia="Times New Roman" w:hAnsi="Times New Roman" w:cs="Times New Roman"/>
        </w:rPr>
        <w:t xml:space="preserve"> </w:t>
      </w:r>
    </w:p>
    <w:p w14:paraId="3350B95B" w14:textId="77777777" w:rsidR="005850DB" w:rsidRDefault="00000000">
      <w:pPr>
        <w:bidi w:val="0"/>
        <w:spacing w:after="0" w:line="259" w:lineRule="auto"/>
        <w:ind w:left="0" w:right="63" w:firstLine="0"/>
      </w:pPr>
      <w:r>
        <w:rPr>
          <w:b/>
        </w:rPr>
        <w:t xml:space="preserve"> </w:t>
      </w:r>
    </w:p>
    <w:p w14:paraId="3AE3AC81" w14:textId="77777777" w:rsidR="005850DB" w:rsidRDefault="00000000">
      <w:pPr>
        <w:bidi w:val="0"/>
        <w:spacing w:after="0" w:line="259" w:lineRule="auto"/>
        <w:ind w:left="0" w:right="63" w:firstLine="0"/>
      </w:pPr>
      <w:r>
        <w:rPr>
          <w:b/>
        </w:rPr>
        <w:t xml:space="preserve"> </w:t>
      </w:r>
    </w:p>
    <w:p w14:paraId="4B5D9F8A" w14:textId="77777777" w:rsidR="005850DB" w:rsidRDefault="00000000">
      <w:pPr>
        <w:bidi w:val="0"/>
        <w:spacing w:after="0" w:line="259" w:lineRule="auto"/>
        <w:ind w:left="0" w:right="63" w:firstLine="0"/>
      </w:pPr>
      <w:r>
        <w:rPr>
          <w:b/>
        </w:rPr>
        <w:lastRenderedPageBreak/>
        <w:t xml:space="preserve"> </w:t>
      </w:r>
    </w:p>
    <w:p w14:paraId="61BE4055" w14:textId="77777777" w:rsidR="005850DB" w:rsidRDefault="00000000">
      <w:pPr>
        <w:bidi w:val="0"/>
        <w:spacing w:after="0" w:line="259" w:lineRule="auto"/>
        <w:ind w:left="0" w:right="63" w:firstLine="0"/>
      </w:pPr>
      <w:r>
        <w:rPr>
          <w:b/>
        </w:rPr>
        <w:t xml:space="preserve"> </w:t>
      </w:r>
    </w:p>
    <w:p w14:paraId="5AB6D67E" w14:textId="77777777" w:rsidR="005850DB" w:rsidRDefault="00000000">
      <w:pPr>
        <w:bidi w:val="0"/>
        <w:spacing w:after="0" w:line="259" w:lineRule="auto"/>
        <w:ind w:left="0" w:right="63" w:firstLine="0"/>
      </w:pPr>
      <w:r>
        <w:rPr>
          <w:b/>
        </w:rPr>
        <w:t xml:space="preserve"> </w:t>
      </w:r>
    </w:p>
    <w:p w14:paraId="334F82E8" w14:textId="77777777" w:rsidR="005850DB" w:rsidRDefault="00000000">
      <w:pPr>
        <w:bidi w:val="0"/>
        <w:spacing w:after="0" w:line="259" w:lineRule="auto"/>
        <w:ind w:left="0" w:right="63" w:firstLine="0"/>
      </w:pPr>
      <w:r>
        <w:rPr>
          <w:b/>
        </w:rPr>
        <w:t xml:space="preserve"> </w:t>
      </w:r>
    </w:p>
    <w:p w14:paraId="0C5DBDAD" w14:textId="77777777" w:rsidR="005850DB" w:rsidRDefault="00000000">
      <w:pPr>
        <w:bidi w:val="0"/>
        <w:spacing w:after="0" w:line="259" w:lineRule="auto"/>
        <w:ind w:left="0" w:right="63" w:firstLine="0"/>
      </w:pPr>
      <w:r>
        <w:rPr>
          <w:b/>
        </w:rPr>
        <w:t xml:space="preserve"> </w:t>
      </w:r>
    </w:p>
    <w:p w14:paraId="03423C97" w14:textId="77777777" w:rsidR="005850DB" w:rsidRDefault="00000000">
      <w:pPr>
        <w:bidi w:val="0"/>
        <w:spacing w:after="0" w:line="259" w:lineRule="auto"/>
        <w:ind w:left="0" w:right="93" w:firstLine="0"/>
      </w:pPr>
      <w:r>
        <w:rPr>
          <w:rFonts w:ascii="Times New Roman" w:eastAsia="Times New Roman" w:hAnsi="Times New Roman" w:cs="Times New Roman"/>
          <w:b/>
        </w:rPr>
        <w:t xml:space="preserve"> </w:t>
      </w:r>
    </w:p>
    <w:p w14:paraId="1F1B1CD0" w14:textId="77777777" w:rsidR="005850DB" w:rsidRDefault="00000000">
      <w:pPr>
        <w:bidi w:val="0"/>
        <w:spacing w:after="40" w:line="259" w:lineRule="auto"/>
        <w:ind w:left="0" w:right="93" w:firstLine="0"/>
      </w:pPr>
      <w:r>
        <w:rPr>
          <w:rFonts w:ascii="Times New Roman" w:eastAsia="Times New Roman" w:hAnsi="Times New Roman" w:cs="Times New Roman"/>
          <w:b/>
        </w:rPr>
        <w:t xml:space="preserve"> </w:t>
      </w:r>
    </w:p>
    <w:p w14:paraId="6E2D14A1" w14:textId="77777777" w:rsidR="005850DB" w:rsidRDefault="00000000">
      <w:pPr>
        <w:bidi w:val="0"/>
        <w:spacing w:after="0" w:line="259" w:lineRule="auto"/>
        <w:ind w:left="0" w:right="63" w:firstLine="0"/>
      </w:pPr>
      <w:r>
        <w:rPr>
          <w:b/>
        </w:rPr>
        <w:t xml:space="preserve"> </w:t>
      </w:r>
    </w:p>
    <w:p w14:paraId="527D56C1" w14:textId="77777777" w:rsidR="005850DB" w:rsidRDefault="00000000">
      <w:pPr>
        <w:bidi w:val="0"/>
        <w:spacing w:after="0" w:line="259" w:lineRule="auto"/>
        <w:ind w:left="0" w:right="63" w:firstLine="0"/>
      </w:pPr>
      <w:r>
        <w:rPr>
          <w:b/>
        </w:rPr>
        <w:t xml:space="preserve"> </w:t>
      </w:r>
    </w:p>
    <w:p w14:paraId="2D76041B" w14:textId="77777777" w:rsidR="005850DB" w:rsidRDefault="00000000">
      <w:pPr>
        <w:bidi w:val="0"/>
        <w:spacing w:after="0" w:line="259" w:lineRule="auto"/>
        <w:ind w:left="0" w:right="63" w:firstLine="0"/>
      </w:pPr>
      <w:r>
        <w:rPr>
          <w:b/>
        </w:rPr>
        <w:t xml:space="preserve"> </w:t>
      </w:r>
    </w:p>
    <w:p w14:paraId="2388390E" w14:textId="77777777" w:rsidR="005850DB" w:rsidRDefault="00000000">
      <w:pPr>
        <w:pStyle w:val="Heading2"/>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الأسس النظرية لإدارة المخاطر </w:t>
      </w:r>
    </w:p>
    <w:p w14:paraId="3C019F3C" w14:textId="77777777" w:rsidR="005850DB" w:rsidRDefault="00000000">
      <w:pPr>
        <w:ind w:right="100"/>
      </w:pPr>
      <w:r>
        <w:rPr>
          <w:szCs w:val="28"/>
          <w:rtl/>
        </w:rPr>
        <w:t>تعد إدارة المخاطر مجالاً متعدد التخصصات يستمد أسسه النظرية من عدة حقول معرفية مثل الاقتصاد، الإدارة، الهندسة، وعلم النفس. وقد تطور مفهوم إدارة المخاطر عبر الزمن من مجرد التركيز على التأمين والحماية من الخسائر إلى نهج شامل يهدف إلى تحقيق أهداف المنظمة من خلال التعامل مع عدم اليقين ]</w:t>
      </w:r>
      <w:r>
        <w:rPr>
          <w:rFonts w:ascii="Times New Roman" w:eastAsia="Times New Roman" w:hAnsi="Times New Roman" w:cs="Times New Roman"/>
          <w:szCs w:val="28"/>
        </w:rPr>
        <w:t>38</w:t>
      </w:r>
      <w:r>
        <w:rPr>
          <w:szCs w:val="28"/>
          <w:rtl/>
        </w:rPr>
        <w:t xml:space="preserve">[. في هذا القسم، سيتم استع ارض أبرز النظريات والمفاهيم التي تشكل الإطار النظري لإدارة المخاطر. </w:t>
      </w:r>
    </w:p>
    <w:p w14:paraId="25468FC6" w14:textId="77777777" w:rsidR="005850DB" w:rsidRDefault="00000000">
      <w:pPr>
        <w:bidi w:val="0"/>
        <w:spacing w:after="35" w:line="259" w:lineRule="auto"/>
        <w:ind w:left="0" w:right="58" w:firstLine="0"/>
      </w:pPr>
      <w:r>
        <w:t xml:space="preserve"> </w:t>
      </w:r>
    </w:p>
    <w:p w14:paraId="1F0663A4"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تعريف المخاطر وإدارة المخاط ر </w:t>
      </w:r>
    </w:p>
    <w:p w14:paraId="532953B5" w14:textId="77777777" w:rsidR="005850DB" w:rsidRDefault="00000000">
      <w:pPr>
        <w:spacing w:after="2" w:line="259" w:lineRule="auto"/>
        <w:ind w:left="12" w:right="0" w:hanging="10"/>
        <w:jc w:val="left"/>
      </w:pPr>
      <w:r>
        <w:rPr>
          <w:szCs w:val="28"/>
          <w:rtl/>
        </w:rPr>
        <w:t>يعرف الخطر )</w:t>
      </w:r>
      <w:r>
        <w:rPr>
          <w:rFonts w:ascii="Times New Roman" w:eastAsia="Times New Roman" w:hAnsi="Times New Roman" w:cs="Times New Roman"/>
          <w:sz w:val="24"/>
        </w:rPr>
        <w:t>Risk</w:t>
      </w:r>
      <w:r>
        <w:rPr>
          <w:szCs w:val="28"/>
          <w:rtl/>
        </w:rPr>
        <w:t xml:space="preserve">( بشكل عام بأن ه </w:t>
      </w:r>
    </w:p>
    <w:p w14:paraId="737D2B61" w14:textId="77777777" w:rsidR="005850DB" w:rsidRDefault="00000000">
      <w:pPr>
        <w:ind w:right="233"/>
      </w:pPr>
      <w:r>
        <w:rPr>
          <w:szCs w:val="28"/>
          <w:rtl/>
        </w:rPr>
        <w:t xml:space="preserve">تأثير عدم اليقين على الأهداف] </w:t>
      </w:r>
      <w:r>
        <w:rPr>
          <w:rFonts w:ascii="Times New Roman" w:eastAsia="Times New Roman" w:hAnsi="Times New Roman" w:cs="Times New Roman"/>
          <w:szCs w:val="28"/>
        </w:rPr>
        <w:t>39</w:t>
      </w:r>
      <w:r>
        <w:rPr>
          <w:szCs w:val="28"/>
          <w:rtl/>
        </w:rPr>
        <w:t xml:space="preserve">[. يمكن أن يكون هذا التأثير إيجابياً )فرصة( أو سلبياً )تهديد(. أما إدارة المخاطر) </w:t>
      </w:r>
      <w:r>
        <w:rPr>
          <w:rFonts w:ascii="Times New Roman" w:eastAsia="Times New Roman" w:hAnsi="Times New Roman" w:cs="Times New Roman"/>
          <w:sz w:val="24"/>
        </w:rPr>
        <w:t>Risk Management</w:t>
      </w:r>
      <w:r>
        <w:rPr>
          <w:szCs w:val="28"/>
          <w:rtl/>
        </w:rPr>
        <w:t xml:space="preserve">( فهي الأنشطة المنسقة لتوجيه والتحكم في منظمة فيما يتعلق بالمخاطر]  </w:t>
      </w:r>
      <w:r>
        <w:rPr>
          <w:rFonts w:ascii="Times New Roman" w:eastAsia="Times New Roman" w:hAnsi="Times New Roman" w:cs="Times New Roman"/>
          <w:szCs w:val="28"/>
        </w:rPr>
        <w:t>40</w:t>
      </w:r>
      <w:r>
        <w:rPr>
          <w:szCs w:val="28"/>
          <w:rtl/>
        </w:rPr>
        <w:t xml:space="preserve">[. إنها عملية منهجية لتحديد، تحليل، تقييم، معالجة، وم ارقبة المخاطر. </w:t>
      </w:r>
    </w:p>
    <w:p w14:paraId="23F62645" w14:textId="77777777" w:rsidR="005850DB" w:rsidRDefault="00000000">
      <w:pPr>
        <w:bidi w:val="0"/>
        <w:spacing w:after="45" w:line="259" w:lineRule="auto"/>
        <w:ind w:left="0" w:right="58" w:firstLine="0"/>
      </w:pPr>
      <w:r>
        <w:t xml:space="preserve"> </w:t>
      </w:r>
    </w:p>
    <w:p w14:paraId="3526ECA0"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عملية إدارة المخاطر </w:t>
      </w:r>
    </w:p>
    <w:p w14:paraId="31507B83" w14:textId="77777777" w:rsidR="005850DB" w:rsidRDefault="00000000">
      <w:pPr>
        <w:spacing w:after="54"/>
        <w:ind w:right="360"/>
      </w:pPr>
      <w:r>
        <w:rPr>
          <w:szCs w:val="28"/>
          <w:rtl/>
        </w:rPr>
        <w:t xml:space="preserve">تتكون عملية إدارة المخاطر من عدة خطوات مت اربطة، والتي تختلف قليلاً في تسمياتها وتفاصيلها بين الم ارجع المختلفة، ولكنها تتفق في جوهرها على نفس المبادئ. أحد أشهر الأطر المستخدمة هو إطار عمل </w:t>
      </w:r>
      <w:r>
        <w:rPr>
          <w:rFonts w:ascii="Times New Roman" w:eastAsia="Times New Roman" w:hAnsi="Times New Roman" w:cs="Times New Roman"/>
          <w:sz w:val="24"/>
        </w:rPr>
        <w:t>ISO 31000</w:t>
      </w:r>
      <w:r>
        <w:rPr>
          <w:szCs w:val="28"/>
          <w:rtl/>
        </w:rPr>
        <w:t xml:space="preserve"> لإدارة المخاطر، والذي يقترح الخطوات التالية] </w:t>
      </w:r>
      <w:r>
        <w:rPr>
          <w:rFonts w:ascii="Times New Roman" w:eastAsia="Times New Roman" w:hAnsi="Times New Roman" w:cs="Times New Roman"/>
          <w:szCs w:val="28"/>
        </w:rPr>
        <w:t>41</w:t>
      </w:r>
      <w:r>
        <w:rPr>
          <w:szCs w:val="28"/>
          <w:rtl/>
        </w:rPr>
        <w:t xml:space="preserve">[ : </w:t>
      </w:r>
    </w:p>
    <w:p w14:paraId="779F0BB5" w14:textId="77777777" w:rsidR="005850DB" w:rsidRDefault="00000000">
      <w:pPr>
        <w:numPr>
          <w:ilvl w:val="0"/>
          <w:numId w:val="17"/>
        </w:numPr>
        <w:ind w:left="642" w:right="324" w:hanging="362"/>
      </w:pPr>
      <w:r>
        <w:rPr>
          <w:b/>
          <w:bCs/>
          <w:szCs w:val="28"/>
          <w:rtl/>
        </w:rPr>
        <w:lastRenderedPageBreak/>
        <w:t xml:space="preserve">تحديد السياق) </w:t>
      </w:r>
      <w:r>
        <w:rPr>
          <w:rFonts w:ascii="Times New Roman" w:eastAsia="Times New Roman" w:hAnsi="Times New Roman" w:cs="Times New Roman"/>
          <w:b/>
          <w:sz w:val="24"/>
        </w:rPr>
        <w:t>Establishing the Context</w:t>
      </w:r>
      <w:r>
        <w:rPr>
          <w:b/>
          <w:bCs/>
          <w:szCs w:val="28"/>
          <w:rtl/>
        </w:rPr>
        <w:t>(:</w:t>
      </w:r>
      <w:r>
        <w:rPr>
          <w:szCs w:val="28"/>
          <w:rtl/>
        </w:rPr>
        <w:t xml:space="preserve"> فهم البيئة الداخلية والخارجية للمنظمة، وتحديد أهداف إدارة المخاطر ونطاقها. </w:t>
      </w:r>
    </w:p>
    <w:p w14:paraId="2B9104A8" w14:textId="77777777" w:rsidR="005850DB" w:rsidRDefault="00000000">
      <w:pPr>
        <w:numPr>
          <w:ilvl w:val="0"/>
          <w:numId w:val="17"/>
        </w:numPr>
        <w:ind w:left="642" w:right="324" w:hanging="362"/>
      </w:pPr>
      <w:r>
        <w:rPr>
          <w:b/>
          <w:bCs/>
          <w:szCs w:val="28"/>
          <w:rtl/>
        </w:rPr>
        <w:t xml:space="preserve">تحديد المخاطر) </w:t>
      </w:r>
      <w:r>
        <w:rPr>
          <w:rFonts w:ascii="Times New Roman" w:eastAsia="Times New Roman" w:hAnsi="Times New Roman" w:cs="Times New Roman"/>
          <w:b/>
          <w:sz w:val="24"/>
        </w:rPr>
        <w:t>Risk Identification</w:t>
      </w:r>
      <w:r>
        <w:rPr>
          <w:b/>
          <w:bCs/>
          <w:szCs w:val="28"/>
          <w:rtl/>
        </w:rPr>
        <w:t>(:</w:t>
      </w:r>
      <w:r>
        <w:rPr>
          <w:szCs w:val="28"/>
          <w:rtl/>
        </w:rPr>
        <w:t xml:space="preserve"> البحث عن المخاطر التي قد تؤثر على تحقيق الأهداف. يمكن استخدام تقنيات مثل العصف الذهني، قوائم الم ارجعة، تحليل </w:t>
      </w:r>
      <w:r>
        <w:rPr>
          <w:rFonts w:ascii="Times New Roman" w:eastAsia="Times New Roman" w:hAnsi="Times New Roman" w:cs="Times New Roman"/>
          <w:sz w:val="24"/>
        </w:rPr>
        <w:t>SWOT</w:t>
      </w:r>
      <w:r>
        <w:rPr>
          <w:szCs w:val="28"/>
          <w:rtl/>
        </w:rPr>
        <w:t xml:space="preserve">، وتحليل الأسباب الجذرية] </w:t>
      </w:r>
      <w:r>
        <w:rPr>
          <w:rFonts w:ascii="Times New Roman" w:eastAsia="Times New Roman" w:hAnsi="Times New Roman" w:cs="Times New Roman"/>
          <w:szCs w:val="28"/>
        </w:rPr>
        <w:t>42</w:t>
      </w:r>
      <w:r>
        <w:rPr>
          <w:szCs w:val="28"/>
          <w:rtl/>
        </w:rPr>
        <w:t xml:space="preserve">[ . </w:t>
      </w:r>
    </w:p>
    <w:p w14:paraId="756C7C11" w14:textId="77777777" w:rsidR="005850DB" w:rsidRDefault="00000000">
      <w:pPr>
        <w:numPr>
          <w:ilvl w:val="0"/>
          <w:numId w:val="17"/>
        </w:numPr>
        <w:ind w:left="642" w:right="324" w:hanging="362"/>
      </w:pPr>
      <w:r>
        <w:rPr>
          <w:b/>
          <w:bCs/>
          <w:szCs w:val="28"/>
          <w:rtl/>
        </w:rPr>
        <w:t xml:space="preserve">تحليل المخاطر) </w:t>
      </w:r>
      <w:r>
        <w:rPr>
          <w:rFonts w:ascii="Times New Roman" w:eastAsia="Times New Roman" w:hAnsi="Times New Roman" w:cs="Times New Roman"/>
          <w:b/>
          <w:sz w:val="24"/>
        </w:rPr>
        <w:t>Risk Analysis</w:t>
      </w:r>
      <w:r>
        <w:rPr>
          <w:b/>
          <w:bCs/>
          <w:szCs w:val="28"/>
          <w:rtl/>
        </w:rPr>
        <w:t>(:</w:t>
      </w:r>
      <w:r>
        <w:rPr>
          <w:szCs w:val="28"/>
          <w:rtl/>
        </w:rPr>
        <w:t xml:space="preserve"> فهم طبيعة المخاطر وتحديد مستوى المخاطر من حيث الاحتمالية والتأثير. يمكن أن يكون التحليل نوعياً أو كمياً ]</w:t>
      </w:r>
      <w:r>
        <w:rPr>
          <w:rFonts w:ascii="Times New Roman" w:eastAsia="Times New Roman" w:hAnsi="Times New Roman" w:cs="Times New Roman"/>
          <w:szCs w:val="28"/>
        </w:rPr>
        <w:t>43</w:t>
      </w:r>
      <w:r>
        <w:rPr>
          <w:szCs w:val="28"/>
          <w:rtl/>
        </w:rPr>
        <w:t xml:space="preserve">[ . </w:t>
      </w:r>
    </w:p>
    <w:p w14:paraId="5DE08C9D" w14:textId="77777777" w:rsidR="005850DB" w:rsidRDefault="00000000">
      <w:pPr>
        <w:numPr>
          <w:ilvl w:val="0"/>
          <w:numId w:val="17"/>
        </w:numPr>
        <w:ind w:left="642" w:right="324" w:hanging="362"/>
      </w:pPr>
      <w:r>
        <w:rPr>
          <w:b/>
          <w:bCs/>
          <w:szCs w:val="28"/>
          <w:rtl/>
        </w:rPr>
        <w:t xml:space="preserve">تقييم المخاطر) </w:t>
      </w:r>
      <w:r>
        <w:rPr>
          <w:rFonts w:ascii="Times New Roman" w:eastAsia="Times New Roman" w:hAnsi="Times New Roman" w:cs="Times New Roman"/>
          <w:b/>
          <w:sz w:val="24"/>
        </w:rPr>
        <w:t>Risk Evaluation</w:t>
      </w:r>
      <w:r>
        <w:rPr>
          <w:b/>
          <w:bCs/>
          <w:szCs w:val="28"/>
          <w:rtl/>
        </w:rPr>
        <w:t>(:</w:t>
      </w:r>
      <w:r>
        <w:rPr>
          <w:szCs w:val="28"/>
          <w:rtl/>
        </w:rPr>
        <w:t xml:space="preserve"> مقارنة مستوى المخاطر بالمعايير المحددة لتحديد ما إذا كانت المخاطر مقبولة أم لا، وما إذا كانت تتطلب معالجة] </w:t>
      </w:r>
      <w:r>
        <w:rPr>
          <w:rFonts w:ascii="Times New Roman" w:eastAsia="Times New Roman" w:hAnsi="Times New Roman" w:cs="Times New Roman"/>
          <w:szCs w:val="28"/>
        </w:rPr>
        <w:t>44</w:t>
      </w:r>
      <w:r>
        <w:rPr>
          <w:szCs w:val="28"/>
          <w:rtl/>
        </w:rPr>
        <w:t xml:space="preserve">[ . </w:t>
      </w:r>
    </w:p>
    <w:p w14:paraId="0A7F475E" w14:textId="77777777" w:rsidR="005850DB" w:rsidRDefault="00000000">
      <w:pPr>
        <w:numPr>
          <w:ilvl w:val="0"/>
          <w:numId w:val="17"/>
        </w:numPr>
        <w:spacing w:after="80"/>
        <w:ind w:left="642" w:right="324" w:hanging="362"/>
      </w:pPr>
      <w:r>
        <w:rPr>
          <w:b/>
          <w:bCs/>
          <w:szCs w:val="28"/>
          <w:rtl/>
        </w:rPr>
        <w:t xml:space="preserve">معالجة المخاطر) </w:t>
      </w:r>
      <w:r>
        <w:rPr>
          <w:rFonts w:ascii="Times New Roman" w:eastAsia="Times New Roman" w:hAnsi="Times New Roman" w:cs="Times New Roman"/>
          <w:b/>
          <w:sz w:val="24"/>
        </w:rPr>
        <w:t>Risk Treatment</w:t>
      </w:r>
      <w:r>
        <w:rPr>
          <w:b/>
          <w:bCs/>
          <w:szCs w:val="28"/>
          <w:rtl/>
        </w:rPr>
        <w:t>(:</w:t>
      </w:r>
      <w:r>
        <w:rPr>
          <w:szCs w:val="28"/>
          <w:rtl/>
        </w:rPr>
        <w:t xml:space="preserve"> اختيار وتنفيذ خيا ارت للتعامل مع المخاطر. تشمل </w:t>
      </w:r>
      <w:r>
        <w:rPr>
          <w:b/>
          <w:bCs/>
          <w:szCs w:val="28"/>
          <w:rtl/>
        </w:rPr>
        <w:t>الاستارتيجيات الشائعة:</w:t>
      </w:r>
      <w:r>
        <w:rPr>
          <w:szCs w:val="28"/>
          <w:rtl/>
        </w:rPr>
        <w:t xml:space="preserve"> التجنب) </w:t>
      </w:r>
      <w:r>
        <w:rPr>
          <w:rFonts w:ascii="Times New Roman" w:eastAsia="Times New Roman" w:hAnsi="Times New Roman" w:cs="Times New Roman"/>
          <w:sz w:val="24"/>
        </w:rPr>
        <w:t>Avoidance</w:t>
      </w:r>
      <w:r>
        <w:rPr>
          <w:szCs w:val="28"/>
          <w:rtl/>
        </w:rPr>
        <w:t xml:space="preserve">(، التخفيف) </w:t>
      </w:r>
      <w:r>
        <w:rPr>
          <w:rFonts w:ascii="Times New Roman" w:eastAsia="Times New Roman" w:hAnsi="Times New Roman" w:cs="Times New Roman"/>
          <w:sz w:val="24"/>
        </w:rPr>
        <w:t>Mitigation</w:t>
      </w:r>
      <w:r>
        <w:rPr>
          <w:szCs w:val="28"/>
          <w:rtl/>
        </w:rPr>
        <w:t xml:space="preserve">(، التحويل) </w:t>
      </w:r>
      <w:r>
        <w:rPr>
          <w:rFonts w:ascii="Times New Roman" w:eastAsia="Times New Roman" w:hAnsi="Times New Roman" w:cs="Times New Roman"/>
          <w:sz w:val="24"/>
        </w:rPr>
        <w:t>Transfer</w:t>
      </w:r>
      <w:r>
        <w:rPr>
          <w:szCs w:val="28"/>
          <w:rtl/>
        </w:rPr>
        <w:t xml:space="preserve">(، </w:t>
      </w:r>
    </w:p>
    <w:p w14:paraId="4FE19CF1" w14:textId="77777777" w:rsidR="005850DB" w:rsidRDefault="00000000">
      <w:pPr>
        <w:bidi w:val="0"/>
        <w:spacing w:after="13"/>
        <w:ind w:left="26" w:right="732" w:hanging="10"/>
      </w:pPr>
      <w:r>
        <w:t xml:space="preserve"> .]</w:t>
      </w:r>
      <w:r>
        <w:rPr>
          <w:rFonts w:ascii="Times New Roman" w:eastAsia="Times New Roman" w:hAnsi="Times New Roman" w:cs="Times New Roman"/>
        </w:rPr>
        <w:t>45</w:t>
      </w:r>
      <w:r>
        <w:t xml:space="preserve">[ </w:t>
      </w:r>
      <w:r>
        <w:rPr>
          <w:rFonts w:ascii="Times New Roman" w:eastAsia="Times New Roman" w:hAnsi="Times New Roman" w:cs="Times New Roman"/>
          <w:sz w:val="24"/>
        </w:rPr>
        <w:t>(Acceptance)</w:t>
      </w:r>
      <w:r>
        <w:t xml:space="preserve"> </w:t>
      </w:r>
      <w:r>
        <w:rPr>
          <w:szCs w:val="28"/>
          <w:rtl/>
        </w:rPr>
        <w:t>والقبول</w:t>
      </w:r>
    </w:p>
    <w:p w14:paraId="1D4EA172" w14:textId="77777777" w:rsidR="005850DB" w:rsidRDefault="00000000">
      <w:pPr>
        <w:numPr>
          <w:ilvl w:val="0"/>
          <w:numId w:val="17"/>
        </w:numPr>
        <w:spacing w:after="47"/>
        <w:ind w:left="642" w:right="324" w:hanging="362"/>
      </w:pPr>
      <w:r>
        <w:rPr>
          <w:szCs w:val="28"/>
          <w:rtl/>
        </w:rPr>
        <w:t xml:space="preserve">الم ارقبة والم ارجعة) </w:t>
      </w:r>
      <w:r>
        <w:rPr>
          <w:rFonts w:ascii="Times New Roman" w:eastAsia="Times New Roman" w:hAnsi="Times New Roman" w:cs="Times New Roman"/>
          <w:sz w:val="24"/>
        </w:rPr>
        <w:t>Monitoring and Review</w:t>
      </w:r>
      <w:r>
        <w:rPr>
          <w:szCs w:val="28"/>
          <w:rtl/>
        </w:rPr>
        <w:t xml:space="preserve">(: الم ارقبة المستمرة للمخاطر، وم ارجعة فعالية خطط الاستجابة، وتحديث عملية إدارة المخاطر بانتظام] </w:t>
      </w:r>
      <w:r>
        <w:rPr>
          <w:rFonts w:ascii="Times New Roman" w:eastAsia="Times New Roman" w:hAnsi="Times New Roman" w:cs="Times New Roman"/>
          <w:szCs w:val="28"/>
        </w:rPr>
        <w:t>46</w:t>
      </w:r>
      <w:r>
        <w:rPr>
          <w:szCs w:val="28"/>
          <w:rtl/>
        </w:rPr>
        <w:t xml:space="preserve">[ . </w:t>
      </w:r>
    </w:p>
    <w:p w14:paraId="6C94485C" w14:textId="77777777" w:rsidR="005850DB" w:rsidRDefault="00000000">
      <w:pPr>
        <w:numPr>
          <w:ilvl w:val="0"/>
          <w:numId w:val="17"/>
        </w:numPr>
        <w:ind w:left="642" w:right="324" w:hanging="362"/>
      </w:pPr>
      <w:r>
        <w:rPr>
          <w:szCs w:val="28"/>
          <w:rtl/>
        </w:rPr>
        <w:t xml:space="preserve">التواصل والتشاور) </w:t>
      </w:r>
      <w:r>
        <w:rPr>
          <w:rFonts w:ascii="Times New Roman" w:eastAsia="Times New Roman" w:hAnsi="Times New Roman" w:cs="Times New Roman"/>
          <w:sz w:val="24"/>
        </w:rPr>
        <w:t>Communication and Consultation</w:t>
      </w:r>
      <w:r>
        <w:rPr>
          <w:szCs w:val="28"/>
          <w:rtl/>
        </w:rPr>
        <w:t xml:space="preserve">(: التواصل المستمر مع أصحاب المصلحة طوال عملية إدارة المخاطر لضمان الشفافية والمشاركة] </w:t>
      </w:r>
      <w:r>
        <w:rPr>
          <w:rFonts w:ascii="Times New Roman" w:eastAsia="Times New Roman" w:hAnsi="Times New Roman" w:cs="Times New Roman"/>
          <w:szCs w:val="28"/>
        </w:rPr>
        <w:t>47</w:t>
      </w:r>
      <w:r>
        <w:rPr>
          <w:szCs w:val="28"/>
          <w:rtl/>
        </w:rPr>
        <w:t xml:space="preserve">[ . </w:t>
      </w:r>
    </w:p>
    <w:p w14:paraId="0FA8E93C" w14:textId="77777777" w:rsidR="005850DB" w:rsidRDefault="00000000">
      <w:pPr>
        <w:bidi w:val="0"/>
        <w:spacing w:after="0" w:line="259" w:lineRule="auto"/>
        <w:ind w:left="0" w:right="58" w:firstLine="0"/>
      </w:pPr>
      <w:r>
        <w:t xml:space="preserve"> </w:t>
      </w:r>
    </w:p>
    <w:p w14:paraId="5E08675B" w14:textId="77777777" w:rsidR="005850DB" w:rsidRDefault="00000000">
      <w:pPr>
        <w:spacing w:after="0" w:line="259" w:lineRule="auto"/>
        <w:ind w:left="8" w:right="0" w:hanging="10"/>
        <w:jc w:val="left"/>
      </w:pPr>
      <w:r>
        <w:rPr>
          <w:rFonts w:ascii="Times New Roman" w:eastAsia="Times New Roman" w:hAnsi="Times New Roman" w:cs="Times New Roman"/>
          <w:b/>
          <w:bCs/>
          <w:szCs w:val="28"/>
        </w:rPr>
        <w:t>2</w:t>
      </w:r>
      <w:r>
        <w:rPr>
          <w:rFonts w:ascii="Times New Roman" w:eastAsia="Times New Roman" w:hAnsi="Times New Roman" w:cs="Times New Roman"/>
          <w:b/>
          <w:bCs/>
          <w:szCs w:val="28"/>
          <w:rtl/>
        </w:rPr>
        <w:t>.</w:t>
      </w:r>
      <w:r>
        <w:rPr>
          <w:rFonts w:ascii="Times New Roman" w:eastAsia="Times New Roman" w:hAnsi="Times New Roman" w:cs="Times New Roman"/>
          <w:b/>
          <w:bCs/>
          <w:szCs w:val="28"/>
        </w:rPr>
        <w:t>1</w:t>
      </w:r>
      <w:r>
        <w:rPr>
          <w:rFonts w:ascii="Times New Roman" w:eastAsia="Times New Roman" w:hAnsi="Times New Roman" w:cs="Times New Roman"/>
          <w:b/>
          <w:bCs/>
          <w:szCs w:val="28"/>
          <w:rtl/>
        </w:rPr>
        <w:t>.</w:t>
      </w:r>
      <w:r>
        <w:rPr>
          <w:rFonts w:ascii="Times New Roman" w:eastAsia="Times New Roman" w:hAnsi="Times New Roman" w:cs="Times New Roman"/>
          <w:b/>
          <w:bCs/>
          <w:szCs w:val="28"/>
        </w:rPr>
        <w:t>3</w:t>
      </w:r>
      <w:r>
        <w:rPr>
          <w:b/>
          <w:bCs/>
          <w:szCs w:val="28"/>
          <w:rtl/>
        </w:rPr>
        <w:t xml:space="preserve"> أنواع المخاط ر </w:t>
      </w:r>
    </w:p>
    <w:p w14:paraId="0371EF9F" w14:textId="77777777" w:rsidR="005850DB" w:rsidRDefault="00000000">
      <w:pPr>
        <w:spacing w:after="2" w:line="259" w:lineRule="auto"/>
        <w:ind w:left="12" w:right="0" w:hanging="10"/>
        <w:jc w:val="left"/>
      </w:pPr>
      <w:r>
        <w:rPr>
          <w:szCs w:val="28"/>
          <w:rtl/>
        </w:rPr>
        <w:t xml:space="preserve">يمكن تصنيف المخاطر بطرق مختلفة بناءً على طبيعتها أو مصدرها. من التصنيفات الشائعة ما يلي </w:t>
      </w:r>
    </w:p>
    <w:p w14:paraId="450246E8" w14:textId="77777777" w:rsidR="005850DB" w:rsidRDefault="00000000">
      <w:pPr>
        <w:bidi w:val="0"/>
        <w:spacing w:after="4" w:line="259" w:lineRule="auto"/>
        <w:ind w:left="10" w:right="9" w:hanging="10"/>
      </w:pPr>
      <w:r>
        <w:t xml:space="preserve"> : ]</w:t>
      </w:r>
      <w:r>
        <w:rPr>
          <w:rFonts w:ascii="Times New Roman" w:eastAsia="Times New Roman" w:hAnsi="Times New Roman" w:cs="Times New Roman"/>
        </w:rPr>
        <w:t>48</w:t>
      </w:r>
      <w:r>
        <w:t>[</w:t>
      </w:r>
    </w:p>
    <w:p w14:paraId="03670934" w14:textId="77777777" w:rsidR="005850DB" w:rsidRDefault="00000000">
      <w:pPr>
        <w:numPr>
          <w:ilvl w:val="0"/>
          <w:numId w:val="17"/>
        </w:numPr>
        <w:ind w:left="642" w:right="324" w:hanging="362"/>
      </w:pPr>
      <w:r>
        <w:rPr>
          <w:b/>
          <w:bCs/>
          <w:szCs w:val="28"/>
          <w:rtl/>
        </w:rPr>
        <w:t>المخاطر الاستارتيجية:</w:t>
      </w:r>
      <w:r>
        <w:rPr>
          <w:szCs w:val="28"/>
          <w:rtl/>
        </w:rPr>
        <w:t xml:space="preserve"> تتعلق بالأهداف الكبرى للمنظمة وقدرتها على تحقيق رؤيتها ورسالتها . </w:t>
      </w:r>
    </w:p>
    <w:p w14:paraId="22D8B7FB" w14:textId="77777777" w:rsidR="005850DB" w:rsidRDefault="00000000">
      <w:pPr>
        <w:numPr>
          <w:ilvl w:val="0"/>
          <w:numId w:val="17"/>
        </w:numPr>
        <w:ind w:left="642" w:right="324" w:hanging="362"/>
      </w:pPr>
      <w:r>
        <w:rPr>
          <w:b/>
          <w:bCs/>
          <w:szCs w:val="28"/>
          <w:rtl/>
        </w:rPr>
        <w:t>المخاطر التشغيلية:</w:t>
      </w:r>
      <w:r>
        <w:rPr>
          <w:szCs w:val="28"/>
          <w:rtl/>
        </w:rPr>
        <w:t xml:space="preserve"> تنشأ من العمليات اليومية للمنظمة، مثل فشل الأنظمة، الأخطاء البشرية، أو انقطاع سلسلة التوريد.  </w:t>
      </w:r>
    </w:p>
    <w:p w14:paraId="6F16D27A" w14:textId="77777777" w:rsidR="005850DB" w:rsidRDefault="00000000">
      <w:pPr>
        <w:numPr>
          <w:ilvl w:val="0"/>
          <w:numId w:val="17"/>
        </w:numPr>
        <w:spacing w:after="11"/>
        <w:ind w:left="642" w:right="324" w:hanging="362"/>
      </w:pPr>
      <w:r>
        <w:rPr>
          <w:b/>
          <w:bCs/>
          <w:szCs w:val="28"/>
          <w:rtl/>
        </w:rPr>
        <w:t>المخاطر المالية:</w:t>
      </w:r>
      <w:r>
        <w:rPr>
          <w:szCs w:val="28"/>
          <w:rtl/>
        </w:rPr>
        <w:t xml:space="preserve"> تتعلق بالتدفقات النقدية، أسعار الفائدة، أسعار الصرف، أو تقلبات السوق. </w:t>
      </w:r>
    </w:p>
    <w:p w14:paraId="5995784C" w14:textId="77777777" w:rsidR="005850DB" w:rsidRDefault="00000000">
      <w:pPr>
        <w:numPr>
          <w:ilvl w:val="0"/>
          <w:numId w:val="17"/>
        </w:numPr>
        <w:ind w:left="642" w:right="324" w:hanging="362"/>
      </w:pPr>
      <w:r>
        <w:rPr>
          <w:b/>
          <w:bCs/>
          <w:szCs w:val="28"/>
          <w:rtl/>
        </w:rPr>
        <w:t>المخاطر الفنية/التكنولوجية:</w:t>
      </w:r>
      <w:r>
        <w:rPr>
          <w:szCs w:val="28"/>
          <w:rtl/>
        </w:rPr>
        <w:t xml:space="preserve"> مرتبطة بالتكنولوجيا المستخدمة، مثل فشل المعدات، الأمن السيب ارني، أو التقادم التكنولوجي. </w:t>
      </w:r>
    </w:p>
    <w:p w14:paraId="5634DDB1" w14:textId="77777777" w:rsidR="005850DB" w:rsidRDefault="00000000">
      <w:pPr>
        <w:numPr>
          <w:ilvl w:val="0"/>
          <w:numId w:val="17"/>
        </w:numPr>
        <w:ind w:left="642" w:right="324" w:hanging="362"/>
      </w:pPr>
      <w:r>
        <w:rPr>
          <w:b/>
          <w:bCs/>
          <w:szCs w:val="28"/>
          <w:rtl/>
        </w:rPr>
        <w:lastRenderedPageBreak/>
        <w:t>المخاطر القانونية/التنظيمية:</w:t>
      </w:r>
      <w:r>
        <w:rPr>
          <w:szCs w:val="28"/>
          <w:rtl/>
        </w:rPr>
        <w:t xml:space="preserve"> تنشأ من عدم الامتثال للقوانين واللوائح، أو التغي ارت في البيئة القانونية.  </w:t>
      </w:r>
    </w:p>
    <w:p w14:paraId="4529A039" w14:textId="77777777" w:rsidR="005850DB" w:rsidRDefault="00000000">
      <w:pPr>
        <w:numPr>
          <w:ilvl w:val="0"/>
          <w:numId w:val="17"/>
        </w:numPr>
        <w:spacing w:after="2" w:line="259" w:lineRule="auto"/>
        <w:ind w:left="642" w:right="324" w:hanging="362"/>
      </w:pPr>
      <w:r>
        <w:rPr>
          <w:b/>
          <w:bCs/>
          <w:szCs w:val="28"/>
          <w:rtl/>
        </w:rPr>
        <w:t>مخاطر السمعة:</w:t>
      </w:r>
      <w:r>
        <w:rPr>
          <w:szCs w:val="28"/>
          <w:rtl/>
        </w:rPr>
        <w:t xml:space="preserve"> تتعلق بالضرر الذي قد يلحق بسمعة المنظمة وصورتها.  </w:t>
      </w:r>
    </w:p>
    <w:p w14:paraId="68F48B23" w14:textId="77777777" w:rsidR="005850DB" w:rsidRDefault="00000000">
      <w:pPr>
        <w:numPr>
          <w:ilvl w:val="0"/>
          <w:numId w:val="17"/>
        </w:numPr>
        <w:ind w:left="642" w:right="324" w:hanging="362"/>
      </w:pPr>
      <w:r>
        <w:rPr>
          <w:b/>
          <w:bCs/>
          <w:szCs w:val="28"/>
          <w:rtl/>
        </w:rPr>
        <w:t>المخاطر البيئية:</w:t>
      </w:r>
      <w:r>
        <w:rPr>
          <w:szCs w:val="28"/>
          <w:rtl/>
        </w:rPr>
        <w:t xml:space="preserve"> مرتبطة بالتأثي ارت البيئية للمشروع أو المنظمة، مثل التلوث أو الكوارث الطبيعية. </w:t>
      </w:r>
      <w:r>
        <w:rPr>
          <w:rFonts w:ascii="Times New Roman" w:eastAsia="Times New Roman" w:hAnsi="Times New Roman" w:cs="Times New Roman"/>
          <w:szCs w:val="28"/>
          <w:rtl/>
        </w:rPr>
        <w:t xml:space="preserve"> </w:t>
      </w:r>
    </w:p>
    <w:p w14:paraId="088AB527" w14:textId="77777777" w:rsidR="005850DB" w:rsidRDefault="00000000">
      <w:pPr>
        <w:bidi w:val="0"/>
        <w:spacing w:after="0" w:line="259" w:lineRule="auto"/>
        <w:ind w:left="0" w:right="429" w:firstLine="0"/>
      </w:pPr>
      <w:r>
        <w:rPr>
          <w:rFonts w:ascii="Times New Roman" w:eastAsia="Times New Roman" w:hAnsi="Times New Roman" w:cs="Times New Roman"/>
          <w:sz w:val="43"/>
          <w:vertAlign w:val="superscript"/>
        </w:rPr>
        <w:t xml:space="preserve"> </w:t>
      </w:r>
    </w:p>
    <w:p w14:paraId="4C54612C" w14:textId="77777777" w:rsidR="005850DB" w:rsidRDefault="00000000">
      <w:pPr>
        <w:spacing w:after="0" w:line="259" w:lineRule="auto"/>
        <w:ind w:left="8" w:right="0" w:hanging="10"/>
        <w:jc w:val="left"/>
      </w:pPr>
      <w:r>
        <w:rPr>
          <w:rFonts w:ascii="Times New Roman" w:eastAsia="Times New Roman" w:hAnsi="Times New Roman" w:cs="Times New Roman"/>
          <w:b/>
          <w:bCs/>
          <w:szCs w:val="28"/>
        </w:rPr>
        <w:t>2</w:t>
      </w:r>
      <w:r>
        <w:rPr>
          <w:rFonts w:ascii="Times New Roman" w:eastAsia="Times New Roman" w:hAnsi="Times New Roman" w:cs="Times New Roman"/>
          <w:b/>
          <w:bCs/>
          <w:szCs w:val="28"/>
          <w:rtl/>
        </w:rPr>
        <w:t>.</w:t>
      </w:r>
      <w:r>
        <w:rPr>
          <w:rFonts w:ascii="Times New Roman" w:eastAsia="Times New Roman" w:hAnsi="Times New Roman" w:cs="Times New Roman"/>
          <w:b/>
          <w:bCs/>
          <w:szCs w:val="28"/>
        </w:rPr>
        <w:t>1</w:t>
      </w:r>
      <w:r>
        <w:rPr>
          <w:rFonts w:ascii="Times New Roman" w:eastAsia="Times New Roman" w:hAnsi="Times New Roman" w:cs="Times New Roman"/>
          <w:b/>
          <w:bCs/>
          <w:szCs w:val="28"/>
          <w:rtl/>
        </w:rPr>
        <w:t>.</w:t>
      </w:r>
      <w:r>
        <w:rPr>
          <w:rFonts w:ascii="Times New Roman" w:eastAsia="Times New Roman" w:hAnsi="Times New Roman" w:cs="Times New Roman"/>
          <w:b/>
          <w:bCs/>
          <w:szCs w:val="28"/>
        </w:rPr>
        <w:t>4</w:t>
      </w:r>
      <w:r>
        <w:rPr>
          <w:b/>
          <w:bCs/>
          <w:szCs w:val="28"/>
          <w:rtl/>
        </w:rPr>
        <w:t xml:space="preserve"> نماذج وأطر إدارة المخاط ر </w:t>
      </w:r>
    </w:p>
    <w:p w14:paraId="5C20C42D" w14:textId="77777777" w:rsidR="005850DB" w:rsidRDefault="00000000">
      <w:pPr>
        <w:spacing w:after="121" w:line="259" w:lineRule="auto"/>
        <w:ind w:left="12" w:right="0" w:hanging="10"/>
        <w:jc w:val="left"/>
      </w:pPr>
      <w:r>
        <w:rPr>
          <w:szCs w:val="28"/>
          <w:rtl/>
        </w:rPr>
        <w:t xml:space="preserve">توجد العديد من النماذج والأطر التي توجه ممارسات إدارة المخاطر. من أبرزها:  </w:t>
      </w:r>
    </w:p>
    <w:p w14:paraId="7012E177" w14:textId="77777777" w:rsidR="005850DB" w:rsidRDefault="00000000">
      <w:pPr>
        <w:numPr>
          <w:ilvl w:val="0"/>
          <w:numId w:val="17"/>
        </w:numPr>
        <w:spacing w:after="37" w:line="245" w:lineRule="auto"/>
        <w:ind w:left="642" w:right="324" w:hanging="362"/>
      </w:pPr>
      <w:r>
        <w:rPr>
          <w:b/>
          <w:bCs/>
          <w:szCs w:val="28"/>
          <w:rtl/>
        </w:rPr>
        <w:t>إطار</w:t>
      </w:r>
      <w:r>
        <w:rPr>
          <w:rFonts w:ascii="Times New Roman" w:eastAsia="Times New Roman" w:hAnsi="Times New Roman" w:cs="Times New Roman"/>
          <w:b/>
          <w:sz w:val="24"/>
        </w:rPr>
        <w:t xml:space="preserve">COSO (Committee of Sponsoring Organizations of the Treadway </w:t>
      </w:r>
      <w:r>
        <w:rPr>
          <w:rFonts w:ascii="Times New Roman" w:eastAsia="Times New Roman" w:hAnsi="Times New Roman" w:cs="Times New Roman"/>
          <w:b/>
          <w:bCs/>
          <w:szCs w:val="28"/>
          <w:rtl/>
        </w:rPr>
        <w:t xml:space="preserve"> </w:t>
      </w:r>
      <w:r>
        <w:rPr>
          <w:rFonts w:ascii="Times New Roman" w:eastAsia="Times New Roman" w:hAnsi="Times New Roman" w:cs="Times New Roman"/>
          <w:b/>
          <w:sz w:val="24"/>
        </w:rPr>
        <w:t>Commission)</w:t>
      </w:r>
      <w:r>
        <w:rPr>
          <w:b/>
          <w:bCs/>
          <w:szCs w:val="28"/>
          <w:rtl/>
        </w:rPr>
        <w:t>:</w:t>
      </w:r>
      <w:r>
        <w:rPr>
          <w:szCs w:val="28"/>
          <w:rtl/>
        </w:rPr>
        <w:t xml:space="preserve"> يوفر إطا اًر متكاملاً لإدارة المخاطر المؤسسية )</w:t>
      </w:r>
      <w:r>
        <w:rPr>
          <w:rFonts w:ascii="Times New Roman" w:eastAsia="Times New Roman" w:hAnsi="Times New Roman" w:cs="Times New Roman"/>
          <w:sz w:val="24"/>
        </w:rPr>
        <w:t>ERM</w:t>
      </w:r>
      <w:r>
        <w:rPr>
          <w:szCs w:val="28"/>
          <w:rtl/>
        </w:rPr>
        <w:t xml:space="preserve">(، ويركز على ربط إدارة المخاطر بالاست ارتيجية والأداء] </w:t>
      </w:r>
      <w:r>
        <w:rPr>
          <w:rFonts w:ascii="Times New Roman" w:eastAsia="Times New Roman" w:hAnsi="Times New Roman" w:cs="Times New Roman"/>
          <w:szCs w:val="28"/>
        </w:rPr>
        <w:t>49</w:t>
      </w:r>
      <w:r>
        <w:rPr>
          <w:szCs w:val="28"/>
          <w:rtl/>
        </w:rPr>
        <w:t xml:space="preserve">[ . </w:t>
      </w:r>
    </w:p>
    <w:p w14:paraId="1F607A62" w14:textId="77777777" w:rsidR="005850DB" w:rsidRDefault="00000000">
      <w:pPr>
        <w:numPr>
          <w:ilvl w:val="0"/>
          <w:numId w:val="17"/>
        </w:numPr>
        <w:spacing w:after="106"/>
        <w:ind w:left="642" w:right="324" w:hanging="362"/>
      </w:pPr>
      <w:r>
        <w:rPr>
          <w:b/>
          <w:bCs/>
          <w:szCs w:val="28"/>
          <w:rtl/>
        </w:rPr>
        <w:t xml:space="preserve">معيار </w:t>
      </w:r>
      <w:r>
        <w:rPr>
          <w:rFonts w:ascii="Times New Roman" w:eastAsia="Times New Roman" w:hAnsi="Times New Roman" w:cs="Times New Roman"/>
          <w:b/>
          <w:sz w:val="24"/>
        </w:rPr>
        <w:t>ISO 31000</w:t>
      </w:r>
      <w:r>
        <w:rPr>
          <w:b/>
          <w:bCs/>
          <w:szCs w:val="28"/>
          <w:rtl/>
        </w:rPr>
        <w:t>:</w:t>
      </w:r>
      <w:r>
        <w:rPr>
          <w:szCs w:val="28"/>
          <w:rtl/>
        </w:rPr>
        <w:t xml:space="preserve"> معيار دولي يقدم مبادئ وإرشادات عامة لإدارة المخاطر، ويمكن تطبيقه على أي نوع من المنظمات أو المشاريع] </w:t>
      </w:r>
      <w:r>
        <w:rPr>
          <w:rFonts w:ascii="Times New Roman" w:eastAsia="Times New Roman" w:hAnsi="Times New Roman" w:cs="Times New Roman"/>
          <w:szCs w:val="28"/>
        </w:rPr>
        <w:t>50</w:t>
      </w:r>
      <w:r>
        <w:rPr>
          <w:szCs w:val="28"/>
          <w:rtl/>
        </w:rPr>
        <w:t xml:space="preserve">[ . </w:t>
      </w:r>
    </w:p>
    <w:p w14:paraId="5343C7A9" w14:textId="77777777" w:rsidR="005850DB" w:rsidRDefault="00000000">
      <w:pPr>
        <w:numPr>
          <w:ilvl w:val="0"/>
          <w:numId w:val="17"/>
        </w:numPr>
        <w:spacing w:after="26"/>
        <w:ind w:left="642" w:right="324" w:hanging="362"/>
      </w:pPr>
      <w:r>
        <w:rPr>
          <w:b/>
          <w:bCs/>
          <w:szCs w:val="28"/>
          <w:rtl/>
        </w:rPr>
        <w:t xml:space="preserve">دليل </w:t>
      </w:r>
      <w:r>
        <w:rPr>
          <w:rFonts w:ascii="Times New Roman" w:eastAsia="Times New Roman" w:hAnsi="Times New Roman" w:cs="Times New Roman"/>
          <w:b/>
          <w:sz w:val="24"/>
        </w:rPr>
        <w:t>PMBOK (Project Management Body of Knowledge)</w:t>
      </w:r>
      <w:r>
        <w:rPr>
          <w:b/>
          <w:bCs/>
          <w:szCs w:val="28"/>
          <w:rtl/>
        </w:rPr>
        <w:t>:</w:t>
      </w:r>
      <w:r>
        <w:rPr>
          <w:szCs w:val="28"/>
          <w:rtl/>
        </w:rPr>
        <w:t xml:space="preserve"> يقدم إرشادات لإدارة المخاطر في سياق إدارة المشاريع، ويحدد العمليات الرئيسية لإدارة مخاطر المشروع] </w:t>
      </w:r>
      <w:r>
        <w:rPr>
          <w:rFonts w:ascii="Times New Roman" w:eastAsia="Times New Roman" w:hAnsi="Times New Roman" w:cs="Times New Roman"/>
          <w:szCs w:val="28"/>
        </w:rPr>
        <w:t>51</w:t>
      </w:r>
      <w:r>
        <w:rPr>
          <w:szCs w:val="28"/>
          <w:rtl/>
        </w:rPr>
        <w:t xml:space="preserve">[ . </w:t>
      </w:r>
    </w:p>
    <w:p w14:paraId="6A4F71DD" w14:textId="77777777" w:rsidR="005850DB" w:rsidRDefault="00000000">
      <w:pPr>
        <w:ind w:right="584"/>
      </w:pPr>
      <w:r>
        <w:rPr>
          <w:szCs w:val="28"/>
          <w:rtl/>
        </w:rPr>
        <w:t xml:space="preserve">توضح هذه الأطر والنماذج أن إدارة المخاطر ليست مجرد وظيفة منعزلة، بل هي جزء لا يتج أز من الحوكمة المؤسسية وعمليات اتخاذ الق ارر، وتهدف إلى دعم تحقيق الأهداف الاست ارتيجية للمنظمة. </w:t>
      </w:r>
    </w:p>
    <w:p w14:paraId="04D01277" w14:textId="77777777" w:rsidR="005850DB" w:rsidRDefault="00000000">
      <w:pPr>
        <w:spacing w:after="3" w:line="259" w:lineRule="auto"/>
        <w:ind w:left="7" w:right="0" w:hanging="10"/>
        <w:jc w:val="left"/>
      </w:pPr>
      <w:r>
        <w:rPr>
          <w:b/>
          <w:bCs/>
          <w:sz w:val="32"/>
          <w:szCs w:val="32"/>
          <w:rtl/>
        </w:rPr>
        <w:t xml:space="preserve">المارجع:  </w:t>
      </w:r>
    </w:p>
    <w:p w14:paraId="3D611747" w14:textId="77777777" w:rsidR="005850DB" w:rsidRDefault="00000000">
      <w:pPr>
        <w:bidi w:val="0"/>
        <w:spacing w:after="3" w:line="248" w:lineRule="auto"/>
        <w:ind w:left="667" w:right="-7" w:hanging="451"/>
        <w:jc w:val="left"/>
      </w:pPr>
      <w:r>
        <w:rPr>
          <w:rFonts w:ascii="Times New Roman" w:eastAsia="Times New Roman" w:hAnsi="Times New Roman" w:cs="Times New Roman"/>
          <w:sz w:val="24"/>
        </w:rPr>
        <w:t xml:space="preserve">[38] Aven, T. (2016). Risk assessment and risk management: Review of recent advances and future challenges. Reliability Engineering &amp; System Safety, 154, 1-13. [39] ISO 31000. </w:t>
      </w:r>
    </w:p>
    <w:p w14:paraId="50C6D389" w14:textId="77777777" w:rsidR="005850DB" w:rsidRDefault="00000000">
      <w:pPr>
        <w:bidi w:val="0"/>
        <w:spacing w:after="3" w:line="248" w:lineRule="auto"/>
        <w:ind w:left="727" w:right="-7" w:hanging="494"/>
        <w:jc w:val="left"/>
      </w:pPr>
      <w:r>
        <w:rPr>
          <w:rFonts w:ascii="Times New Roman" w:eastAsia="Times New Roman" w:hAnsi="Times New Roman" w:cs="Times New Roman"/>
          <w:sz w:val="24"/>
        </w:rPr>
        <w:t xml:space="preserve">(2018). Risk management – Guidelines. International Organization for Standardization. [40] Purdy, G. (2010). ISO 31000:2009—Setting a new standard for risk management. Risk </w:t>
      </w:r>
    </w:p>
    <w:p w14:paraId="76AE1951" w14:textId="77777777" w:rsidR="005850DB" w:rsidRDefault="00000000">
      <w:pPr>
        <w:bidi w:val="0"/>
        <w:spacing w:after="3" w:line="248" w:lineRule="auto"/>
        <w:ind w:left="368" w:right="-7" w:firstLine="398"/>
        <w:jc w:val="left"/>
      </w:pPr>
      <w:r>
        <w:rPr>
          <w:rFonts w:ascii="Times New Roman" w:eastAsia="Times New Roman" w:hAnsi="Times New Roman" w:cs="Times New Roman"/>
          <w:sz w:val="24"/>
        </w:rPr>
        <w:t xml:space="preserve">Analysis: An International Journal, 30(6), 881-886. [41] International Organization for Standardization. (2018). ISO 31000: Risk management – Guidelines. ISO. [42] Hillson, D. (2009). Managing risks in projects. Gower Publishing, Ltd. [43] Chapman, R. J. (2011). </w:t>
      </w:r>
    </w:p>
    <w:p w14:paraId="100E1D82"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Simple tools and techniques for enterprise risk management. John Wiley &amp; Sons. [44] Project </w:t>
      </w:r>
    </w:p>
    <w:p w14:paraId="088EB90E" w14:textId="77777777" w:rsidR="005850DB" w:rsidRDefault="00000000">
      <w:pPr>
        <w:bidi w:val="0"/>
        <w:spacing w:after="3" w:line="248" w:lineRule="auto"/>
        <w:ind w:left="372" w:right="-7" w:firstLine="274"/>
        <w:jc w:val="left"/>
      </w:pPr>
      <w:r>
        <w:rPr>
          <w:rFonts w:ascii="Times New Roman" w:eastAsia="Times New Roman" w:hAnsi="Times New Roman" w:cs="Times New Roman"/>
          <w:sz w:val="24"/>
        </w:rPr>
        <w:t xml:space="preserve">Management Institute. (2017). A Guide to the Project Management Body of Knowledge (PMBOK® Guide) (6th ed.). Project Management Institute. [45] Ward, S., &amp; Chapman, C. </w:t>
      </w:r>
    </w:p>
    <w:p w14:paraId="665E03BC" w14:textId="77777777" w:rsidR="005850DB" w:rsidRDefault="00000000">
      <w:pPr>
        <w:bidi w:val="0"/>
        <w:spacing w:after="3" w:line="248" w:lineRule="auto"/>
        <w:ind w:left="22" w:right="-7" w:hanging="10"/>
        <w:jc w:val="left"/>
      </w:pPr>
      <w:r>
        <w:rPr>
          <w:rFonts w:ascii="Times New Roman" w:eastAsia="Times New Roman" w:hAnsi="Times New Roman" w:cs="Times New Roman"/>
          <w:sz w:val="24"/>
        </w:rPr>
        <w:t xml:space="preserve">(2003). Project risk management: Processes, techniques and insights. John Wiley &amp; Sons. [46] </w:t>
      </w:r>
    </w:p>
    <w:p w14:paraId="3FC21F3C" w14:textId="77777777" w:rsidR="005850DB" w:rsidRDefault="00000000">
      <w:pPr>
        <w:bidi w:val="0"/>
        <w:spacing w:after="3" w:line="248" w:lineRule="auto"/>
        <w:ind w:left="79" w:right="-7" w:firstLine="792"/>
        <w:jc w:val="left"/>
      </w:pPr>
      <w:r>
        <w:rPr>
          <w:rFonts w:ascii="Times New Roman" w:eastAsia="Times New Roman" w:hAnsi="Times New Roman" w:cs="Times New Roman"/>
          <w:sz w:val="24"/>
        </w:rPr>
        <w:t xml:space="preserve">Hopkin, P. (2018). Fundamentals of risk management: Understanding, evaluating and implementing effective risk management (5th ed.). Kogan Page Publishers. [47] Standards Australia. (2009). AS/NZS ISO 31000:2009 Risk management – Principles and guidelines. Standards Australia. [48] Deloitte. (2016). Risk Management Frameworks: A Practical Guide. </w:t>
      </w:r>
    </w:p>
    <w:p w14:paraId="153515C5" w14:textId="77777777" w:rsidR="005850DB" w:rsidRDefault="00000000">
      <w:pPr>
        <w:bidi w:val="0"/>
        <w:spacing w:after="13"/>
        <w:ind w:left="26" w:right="0" w:hanging="10"/>
      </w:pPr>
      <w:r>
        <w:rPr>
          <w:rFonts w:ascii="Times New Roman" w:eastAsia="Times New Roman" w:hAnsi="Times New Roman" w:cs="Times New Roman"/>
          <w:sz w:val="24"/>
        </w:rPr>
        <w:t>Deloitte Touche Tohmatsu Limited. [49] COSO. (2017). Enterprise Risk Management—</w:t>
      </w:r>
    </w:p>
    <w:p w14:paraId="3090D94B" w14:textId="77777777" w:rsidR="005850DB" w:rsidRDefault="00000000">
      <w:pPr>
        <w:bidi w:val="0"/>
        <w:spacing w:after="0" w:line="238" w:lineRule="auto"/>
        <w:ind w:left="157" w:right="0" w:hanging="10"/>
        <w:jc w:val="center"/>
      </w:pPr>
      <w:r>
        <w:rPr>
          <w:rFonts w:ascii="Times New Roman" w:eastAsia="Times New Roman" w:hAnsi="Times New Roman" w:cs="Times New Roman"/>
          <w:sz w:val="24"/>
        </w:rPr>
        <w:lastRenderedPageBreak/>
        <w:t xml:space="preserve">Integrating with Strategy and Performance. The Committee of Sponsoring Organizations of the Treadway Commission. [50] International Organization for Standardization. (2018). ISO </w:t>
      </w:r>
    </w:p>
    <w:p w14:paraId="3FECEAF6" w14:textId="77777777" w:rsidR="005850DB" w:rsidRDefault="00000000">
      <w:pPr>
        <w:bidi w:val="0"/>
        <w:spacing w:after="277" w:line="248" w:lineRule="auto"/>
        <w:ind w:left="260" w:right="-7" w:firstLine="134"/>
        <w:jc w:val="left"/>
      </w:pPr>
      <w:r>
        <w:rPr>
          <w:rFonts w:ascii="Times New Roman" w:eastAsia="Times New Roman" w:hAnsi="Times New Roman" w:cs="Times New Roman"/>
          <w:sz w:val="24"/>
        </w:rPr>
        <w:t xml:space="preserve">31000: Risk management – Guidelines. ISO. [51] Project Management Institute. (2017). A Guide to the Project Management Body of Knowledge (PMBOK® Guide) (6th ed.). Project </w:t>
      </w:r>
      <w:r>
        <w:t xml:space="preserve"> </w:t>
      </w:r>
      <w:r>
        <w:rPr>
          <w:rFonts w:ascii="Times New Roman" w:eastAsia="Times New Roman" w:hAnsi="Times New Roman" w:cs="Times New Roman"/>
          <w:sz w:val="37"/>
          <w:vertAlign w:val="subscript"/>
        </w:rPr>
        <w:t>Management Institute.</w:t>
      </w:r>
    </w:p>
    <w:p w14:paraId="7EFEBB9A" w14:textId="77777777" w:rsidR="005850DB" w:rsidRDefault="00000000">
      <w:pPr>
        <w:bidi w:val="0"/>
        <w:spacing w:after="23" w:line="259" w:lineRule="auto"/>
        <w:ind w:left="0" w:right="58" w:firstLine="0"/>
      </w:pPr>
      <w:r>
        <w:t xml:space="preserve"> </w:t>
      </w:r>
    </w:p>
    <w:p w14:paraId="0D6FF3CA" w14:textId="77777777" w:rsidR="005850DB" w:rsidRDefault="00000000">
      <w:pPr>
        <w:pStyle w:val="Heading2"/>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الدارسات السابقة في إدارة المخاطر في التصنيع </w:t>
      </w:r>
      <w:r>
        <w:rPr>
          <w:rFonts w:ascii="Times New Roman" w:eastAsia="Times New Roman" w:hAnsi="Times New Roman" w:cs="Times New Roman"/>
          <w:bCs/>
          <w:szCs w:val="32"/>
          <w:rtl/>
        </w:rPr>
        <w:t xml:space="preserve"> </w:t>
      </w:r>
    </w:p>
    <w:p w14:paraId="1AE85524" w14:textId="77777777" w:rsidR="005850DB" w:rsidRDefault="00000000">
      <w:pPr>
        <w:spacing w:after="2" w:line="259" w:lineRule="auto"/>
        <w:ind w:left="12" w:right="0" w:hanging="10"/>
        <w:jc w:val="left"/>
      </w:pPr>
      <w:r>
        <w:rPr>
          <w:szCs w:val="28"/>
          <w:rtl/>
        </w:rPr>
        <w:t xml:space="preserve">تعد إدارة المخاطر في قطاع التصنيع أم اًر بالغ الأهمية نظ اًر لتعقيد العمليات، وسلاسل التوريد العالمية، </w:t>
      </w:r>
    </w:p>
    <w:p w14:paraId="5E1707DD" w14:textId="77777777" w:rsidR="005850DB" w:rsidRDefault="00000000">
      <w:pPr>
        <w:spacing w:after="36"/>
        <w:ind w:right="277"/>
      </w:pPr>
      <w:r>
        <w:rPr>
          <w:szCs w:val="28"/>
          <w:rtl/>
        </w:rPr>
        <w:t xml:space="preserve">والاعتماد على التكنولوجيا المتقدمة. وقد تناولت العديد من الد ارسات الأكاديمية هذا الموضوع من زوايا مختلفة، مسلطة الضوء على أنواع المخاطر، وأساليب إدارتها ،وتأثيرها على أداء الشركات. في هذا القسم، سيتم استع ارض أبرز هذه الد ارسات. </w:t>
      </w:r>
    </w:p>
    <w:p w14:paraId="3495958F" w14:textId="77777777" w:rsidR="005850DB" w:rsidRDefault="00000000">
      <w:pPr>
        <w:ind w:right="100"/>
      </w:pPr>
      <w:r>
        <w:rPr>
          <w:szCs w:val="28"/>
          <w:rtl/>
        </w:rPr>
        <w:t>أجرى جونسون وآخرون )</w:t>
      </w:r>
      <w:r>
        <w:rPr>
          <w:rFonts w:ascii="Times New Roman" w:eastAsia="Times New Roman" w:hAnsi="Times New Roman" w:cs="Times New Roman"/>
          <w:sz w:val="24"/>
        </w:rPr>
        <w:t>Johnson et al., 2019</w:t>
      </w:r>
      <w:r>
        <w:rPr>
          <w:szCs w:val="28"/>
          <w:rtl/>
        </w:rPr>
        <w:t xml:space="preserve">( د ارسة تحليلية حول المخاطر التشغيلية في صناعة السيا ارت. وخلصت الد ارسة إلى أن المخاطر المتعلقة بجودة المكونات، وتعطل الآلات، ونقص العمالة الماهرة، هي الأكثر تأثي اًر على كفاءة الإنتاج. وأوصت الد ارسة بتبني أنظمة صيانة وقائية متقدمة وب ارمج تدريب مستمرة لتقليل هذه المخاطر] </w:t>
      </w:r>
      <w:r>
        <w:rPr>
          <w:rFonts w:ascii="Times New Roman" w:eastAsia="Times New Roman" w:hAnsi="Times New Roman" w:cs="Times New Roman"/>
          <w:szCs w:val="28"/>
        </w:rPr>
        <w:t>52</w:t>
      </w:r>
      <w:r>
        <w:rPr>
          <w:szCs w:val="28"/>
          <w:rtl/>
        </w:rPr>
        <w:t xml:space="preserve">[. </w:t>
      </w:r>
    </w:p>
    <w:p w14:paraId="6997547B" w14:textId="77777777" w:rsidR="005850DB" w:rsidRDefault="00000000">
      <w:pPr>
        <w:ind w:right="100"/>
      </w:pPr>
      <w:r>
        <w:rPr>
          <w:szCs w:val="28"/>
          <w:rtl/>
        </w:rPr>
        <w:t xml:space="preserve">في سياق مختلف، ركزت د ارسة لي ووانغ) </w:t>
      </w:r>
      <w:r>
        <w:rPr>
          <w:rFonts w:ascii="Times New Roman" w:eastAsia="Times New Roman" w:hAnsi="Times New Roman" w:cs="Times New Roman"/>
          <w:sz w:val="24"/>
        </w:rPr>
        <w:t>Wang, 2020</w:t>
      </w:r>
      <w:r>
        <w:t xml:space="preserve"> &amp; </w:t>
      </w:r>
      <w:r>
        <w:rPr>
          <w:rFonts w:ascii="Times New Roman" w:eastAsia="Times New Roman" w:hAnsi="Times New Roman" w:cs="Times New Roman"/>
          <w:sz w:val="24"/>
        </w:rPr>
        <w:t>Li</w:t>
      </w:r>
      <w:r>
        <w:rPr>
          <w:szCs w:val="28"/>
          <w:rtl/>
        </w:rPr>
        <w:t xml:space="preserve">( على إدارة مخاطر سلسلة التوريد في قطاع الإلكترونيات. وجدت الد ارسة أن الاضط اربات في سلسلة التوريد العالمية، مثل الكوارث الطبيعية أو الن ازعات التجارية، يمكن أن تؤدي إلى خسائر مالية كبيرة وتأخي ارت في الإنتاج. واقترحت الد ارسة بناء سلاسل توريد مرنة ومتنوعة، واستخدام تقنيات التنبؤ المتقدمة للتخفيف من هذه المخاطر] </w:t>
      </w:r>
      <w:r>
        <w:rPr>
          <w:rFonts w:ascii="Times New Roman" w:eastAsia="Times New Roman" w:hAnsi="Times New Roman" w:cs="Times New Roman"/>
          <w:szCs w:val="28"/>
        </w:rPr>
        <w:t>53</w:t>
      </w:r>
      <w:r>
        <w:rPr>
          <w:szCs w:val="28"/>
          <w:rtl/>
        </w:rPr>
        <w:t xml:space="preserve">[ . تناولت د ارسة كيم وبارك) </w:t>
      </w:r>
      <w:r>
        <w:rPr>
          <w:rFonts w:ascii="Times New Roman" w:eastAsia="Times New Roman" w:hAnsi="Times New Roman" w:cs="Times New Roman"/>
          <w:sz w:val="24"/>
        </w:rPr>
        <w:t>Park, 2018</w:t>
      </w:r>
      <w:r>
        <w:t xml:space="preserve"> &amp; </w:t>
      </w:r>
      <w:r>
        <w:rPr>
          <w:rFonts w:ascii="Times New Roman" w:eastAsia="Times New Roman" w:hAnsi="Times New Roman" w:cs="Times New Roman"/>
          <w:sz w:val="24"/>
        </w:rPr>
        <w:t>Kim</w:t>
      </w:r>
      <w:r>
        <w:rPr>
          <w:szCs w:val="28"/>
          <w:rtl/>
        </w:rPr>
        <w:t xml:space="preserve">( المخاطر التكنولوجية في صناعة أشباه الموصلات .وأشارت النتائج إلى أن التطور التكنولوجي السريع، وتقادم المعدات، ومخاطر الأمن السيب ارني، تشكل تحديات كبيرة للشركات المصنعة. وأكدت الد ارسة على أهمية الاستثمار في البحث والتطوير، وتحديث البنية التحتية التكنولوجية بانتظام، وتطبيق بروتوكولات أمن سيب ارني صارمة]  </w:t>
      </w:r>
      <w:r>
        <w:rPr>
          <w:rFonts w:ascii="Times New Roman" w:eastAsia="Times New Roman" w:hAnsi="Times New Roman" w:cs="Times New Roman"/>
          <w:szCs w:val="28"/>
        </w:rPr>
        <w:t>54</w:t>
      </w:r>
      <w:r>
        <w:rPr>
          <w:szCs w:val="28"/>
          <w:rtl/>
        </w:rPr>
        <w:t xml:space="preserve">[ . </w:t>
      </w:r>
    </w:p>
    <w:p w14:paraId="6D90E219" w14:textId="77777777" w:rsidR="005850DB" w:rsidRDefault="00000000">
      <w:pPr>
        <w:spacing w:after="32"/>
        <w:ind w:right="7"/>
      </w:pPr>
      <w:r>
        <w:rPr>
          <w:szCs w:val="28"/>
          <w:rtl/>
        </w:rPr>
        <w:t xml:space="preserve">أما أحمد وزملاؤه) </w:t>
      </w:r>
      <w:r>
        <w:rPr>
          <w:rFonts w:ascii="Times New Roman" w:eastAsia="Times New Roman" w:hAnsi="Times New Roman" w:cs="Times New Roman"/>
          <w:sz w:val="24"/>
        </w:rPr>
        <w:t>Ahmed et al., 2021</w:t>
      </w:r>
      <w:r>
        <w:rPr>
          <w:szCs w:val="28"/>
          <w:rtl/>
        </w:rPr>
        <w:t xml:space="preserve">(، فقد قاموا بتقييم ممارسات إدارة المخاطر في شركات التصنيع الصغيرة والمتوسطة. ووجدوا أن هذه الشركات غالباً ما تفتقر إلى الموارد والخبرة اللازمة لتطبيق أطر إدارة المخاطر الشاملة. وأوصت الد ارسة بتقديم الدعم الحكومي، وتوفير ب ارمج تدريب مبسطة، وتشجيع التعاون بين الشركات لتبادل الخب ارت في مجال إدارة المخاطر] </w:t>
      </w:r>
      <w:r>
        <w:rPr>
          <w:rFonts w:ascii="Times New Roman" w:eastAsia="Times New Roman" w:hAnsi="Times New Roman" w:cs="Times New Roman"/>
          <w:szCs w:val="28"/>
        </w:rPr>
        <w:t>55</w:t>
      </w:r>
      <w:r>
        <w:rPr>
          <w:szCs w:val="28"/>
          <w:rtl/>
        </w:rPr>
        <w:t xml:space="preserve">[. </w:t>
      </w:r>
    </w:p>
    <w:p w14:paraId="6A3EDD1A" w14:textId="77777777" w:rsidR="005850DB" w:rsidRDefault="00000000">
      <w:pPr>
        <w:ind w:right="365"/>
      </w:pPr>
      <w:r>
        <w:rPr>
          <w:szCs w:val="28"/>
          <w:rtl/>
        </w:rPr>
        <w:t>وفيما يتعلق بالمخاطر البيئية، بحثت د ارسة وانغ وآخرون )</w:t>
      </w:r>
      <w:r>
        <w:rPr>
          <w:rFonts w:ascii="Times New Roman" w:eastAsia="Times New Roman" w:hAnsi="Times New Roman" w:cs="Times New Roman"/>
          <w:sz w:val="24"/>
        </w:rPr>
        <w:t>Wang et al., 2017</w:t>
      </w:r>
      <w:r>
        <w:rPr>
          <w:szCs w:val="28"/>
          <w:rtl/>
        </w:rPr>
        <w:t xml:space="preserve">( تأثير اللوائح البيئية الصارمة على صناعة الكيماويات. وخلصت الد ارسة إلى أن عدم الامتثال لهذه اللوائح يمكن أن </w:t>
      </w:r>
      <w:r>
        <w:rPr>
          <w:szCs w:val="28"/>
          <w:rtl/>
        </w:rPr>
        <w:lastRenderedPageBreak/>
        <w:t xml:space="preserve">يؤدي إلى غ ارمات باهظة، وتوقف الإنتاج، وتضرر السمعة. وأكدت الد ارسة على ضرورة دمج الاعتبا ارت البيئية في جميع م ارحل عملية التصنيع وتطبيق أنظمة إدارة بيئية فعالة] </w:t>
      </w:r>
      <w:r>
        <w:rPr>
          <w:rFonts w:ascii="Times New Roman" w:eastAsia="Times New Roman" w:hAnsi="Times New Roman" w:cs="Times New Roman"/>
          <w:szCs w:val="28"/>
        </w:rPr>
        <w:t>56</w:t>
      </w:r>
      <w:r>
        <w:rPr>
          <w:szCs w:val="28"/>
          <w:rtl/>
        </w:rPr>
        <w:t xml:space="preserve">[. </w:t>
      </w:r>
    </w:p>
    <w:p w14:paraId="08B530C0" w14:textId="77777777" w:rsidR="005850DB" w:rsidRDefault="00000000">
      <w:pPr>
        <w:ind w:right="267"/>
      </w:pPr>
      <w:r>
        <w:rPr>
          <w:szCs w:val="28"/>
          <w:rtl/>
        </w:rPr>
        <w:t xml:space="preserve">بشكل عام، تظهر هذه الد ارسات أن المخاطر في قطاع التصنيع متنوعة ومعقدة، وتتطلب نهجاً شاملاً ومتكاملاً لإدارتها. كما تؤكد على أهمية التكيف مع التغي ارت في البيئة التشغيلية، والاستفادة من التكنولوجيا، وبناء القد ارت الداخلية للتعامل مع التحديات المحتملة. ومع ذلك، لا ت ازل هناك حاجة لد ارسات متخصصة تركز على صناعات فرعية محددة، مثل صناعة المضخات، لفهم طبيعة المخاطر الفريدة التي تواجهها وتطوير حلول مخصصة.  </w:t>
      </w:r>
    </w:p>
    <w:p w14:paraId="2A1BE45B" w14:textId="77777777" w:rsidR="005850DB" w:rsidRDefault="00000000">
      <w:pPr>
        <w:bidi w:val="0"/>
        <w:spacing w:after="10" w:line="259" w:lineRule="auto"/>
        <w:ind w:left="0" w:right="58" w:firstLine="0"/>
      </w:pPr>
      <w:r>
        <w:t xml:space="preserve"> </w:t>
      </w:r>
    </w:p>
    <w:p w14:paraId="0B145027" w14:textId="77777777" w:rsidR="005850DB" w:rsidRDefault="00000000">
      <w:pPr>
        <w:spacing w:after="3" w:line="259" w:lineRule="auto"/>
        <w:ind w:left="7" w:right="0" w:hanging="10"/>
        <w:jc w:val="left"/>
      </w:pPr>
      <w:r>
        <w:rPr>
          <w:b/>
          <w:bCs/>
          <w:sz w:val="32"/>
          <w:szCs w:val="32"/>
          <w:rtl/>
        </w:rPr>
        <w:t xml:space="preserve">المارجع:  </w:t>
      </w:r>
    </w:p>
    <w:p w14:paraId="25539A86" w14:textId="77777777" w:rsidR="005850DB" w:rsidRDefault="00000000">
      <w:pPr>
        <w:numPr>
          <w:ilvl w:val="0"/>
          <w:numId w:val="18"/>
        </w:numPr>
        <w:bidi w:val="0"/>
        <w:spacing w:after="3" w:line="248" w:lineRule="auto"/>
        <w:ind w:right="-4" w:hanging="458"/>
        <w:jc w:val="left"/>
      </w:pPr>
      <w:r>
        <w:rPr>
          <w:rFonts w:ascii="Times New Roman" w:eastAsia="Times New Roman" w:hAnsi="Times New Roman" w:cs="Times New Roman"/>
          <w:sz w:val="24"/>
        </w:rPr>
        <w:t xml:space="preserve">Johnson, R., et al. (2019). Operational Risk Management in the Automotive Industry: A Case Study Approach. Journal of Manufacturing Technology Management, 30(5), 876-890. </w:t>
      </w:r>
    </w:p>
    <w:p w14:paraId="135BBC8E" w14:textId="77777777" w:rsidR="005850DB" w:rsidRDefault="00000000">
      <w:pPr>
        <w:numPr>
          <w:ilvl w:val="0"/>
          <w:numId w:val="18"/>
        </w:numPr>
        <w:bidi w:val="0"/>
        <w:spacing w:after="13"/>
        <w:ind w:right="-4" w:hanging="458"/>
        <w:jc w:val="left"/>
      </w:pPr>
      <w:r>
        <w:rPr>
          <w:rFonts w:ascii="Times New Roman" w:eastAsia="Times New Roman" w:hAnsi="Times New Roman" w:cs="Times New Roman"/>
          <w:sz w:val="24"/>
        </w:rPr>
        <w:t xml:space="preserve">Li, Y., &amp; Wang, L. (2020). Supply Chain Risk Management in the Electronics Sector: </w:t>
      </w:r>
    </w:p>
    <w:p w14:paraId="415D5E11" w14:textId="77777777" w:rsidR="005850DB" w:rsidRDefault="00000000">
      <w:pPr>
        <w:bidi w:val="0"/>
        <w:spacing w:after="13"/>
        <w:ind w:left="26" w:right="0" w:hanging="10"/>
      </w:pPr>
      <w:r>
        <w:rPr>
          <w:rFonts w:ascii="Times New Roman" w:eastAsia="Times New Roman" w:hAnsi="Times New Roman" w:cs="Times New Roman"/>
          <w:sz w:val="24"/>
        </w:rPr>
        <w:t xml:space="preserve">Strategies for Resilience. International Journal of Production Economics, 227, 107666. [54] </w:t>
      </w:r>
    </w:p>
    <w:p w14:paraId="35EE7AC8" w14:textId="77777777" w:rsidR="005850DB" w:rsidRDefault="00000000">
      <w:pPr>
        <w:bidi w:val="0"/>
        <w:spacing w:after="13"/>
        <w:ind w:left="26" w:right="0" w:hanging="10"/>
      </w:pPr>
      <w:r>
        <w:rPr>
          <w:rFonts w:ascii="Times New Roman" w:eastAsia="Times New Roman" w:hAnsi="Times New Roman" w:cs="Times New Roman"/>
          <w:sz w:val="24"/>
        </w:rPr>
        <w:t xml:space="preserve">Kim, S., &amp; Park, J. (2018). Technological Risk Management in Semiconductor </w:t>
      </w:r>
    </w:p>
    <w:p w14:paraId="18E924DF" w14:textId="77777777" w:rsidR="005850DB" w:rsidRDefault="00000000">
      <w:pPr>
        <w:bidi w:val="0"/>
        <w:spacing w:after="13"/>
        <w:ind w:left="26" w:right="0" w:hanging="10"/>
      </w:pPr>
      <w:r>
        <w:rPr>
          <w:rFonts w:ascii="Times New Roman" w:eastAsia="Times New Roman" w:hAnsi="Times New Roman" w:cs="Times New Roman"/>
          <w:sz w:val="24"/>
        </w:rPr>
        <w:t xml:space="preserve">Manufacturing: A Proactive Approach. IEEE Transactions on Semiconductor Manufacturing, </w:t>
      </w:r>
    </w:p>
    <w:p w14:paraId="43384D29" w14:textId="77777777" w:rsidR="005850DB" w:rsidRDefault="00000000">
      <w:pPr>
        <w:bidi w:val="0"/>
        <w:spacing w:after="273" w:line="248" w:lineRule="auto"/>
        <w:ind w:left="377" w:right="-7" w:firstLine="334"/>
        <w:jc w:val="left"/>
      </w:pPr>
      <w:r>
        <w:rPr>
          <w:rFonts w:ascii="Times New Roman" w:eastAsia="Times New Roman" w:hAnsi="Times New Roman" w:cs="Times New Roman"/>
          <w:sz w:val="24"/>
        </w:rPr>
        <w:t xml:space="preserve">)2(13, 201-210. [55] Ahmed, F., et al. (2021). Risk Management Practices in Small and Medium-sized Manufacturing Enterprises: Challenges and Opportunities. Journal of Small Business Management, 59(4), 789-805. [56] Wang, H., et al. (2017). Environmental Risk </w:t>
      </w:r>
    </w:p>
    <w:p w14:paraId="61F5090A" w14:textId="77777777" w:rsidR="005850DB" w:rsidRDefault="00000000">
      <w:pPr>
        <w:bidi w:val="0"/>
        <w:spacing w:after="237"/>
        <w:ind w:left="26" w:right="0" w:hanging="10"/>
      </w:pPr>
      <w:r>
        <w:rPr>
          <w:rFonts w:ascii="Times New Roman" w:eastAsia="Times New Roman" w:hAnsi="Times New Roman" w:cs="Times New Roman"/>
          <w:sz w:val="24"/>
        </w:rPr>
        <w:t xml:space="preserve">Management in the Chemical Industry: Compliance and Sustainability. Journal of Cleaner </w:t>
      </w:r>
      <w:r>
        <w:t xml:space="preserve"> </w:t>
      </w:r>
      <w:r>
        <w:rPr>
          <w:rFonts w:ascii="Times New Roman" w:eastAsia="Times New Roman" w:hAnsi="Times New Roman" w:cs="Times New Roman"/>
          <w:sz w:val="24"/>
        </w:rPr>
        <w:t>Production, 162, 134-.541</w:t>
      </w:r>
    </w:p>
    <w:p w14:paraId="1068BB19" w14:textId="77777777" w:rsidR="005850DB" w:rsidRDefault="00000000">
      <w:pPr>
        <w:bidi w:val="0"/>
        <w:spacing w:after="26" w:line="259" w:lineRule="auto"/>
        <w:ind w:left="0" w:right="58" w:firstLine="0"/>
      </w:pPr>
      <w:r>
        <w:t xml:space="preserve"> </w:t>
      </w:r>
    </w:p>
    <w:p w14:paraId="1CDE683B" w14:textId="77777777" w:rsidR="005850DB" w:rsidRDefault="00000000">
      <w:pPr>
        <w:pStyle w:val="Heading2"/>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bCs/>
          <w:szCs w:val="32"/>
          <w:rtl/>
        </w:rPr>
        <w:t xml:space="preserve"> الدارسات السابقة في إدارة المخاطر في السعودية</w:t>
      </w:r>
      <w:r>
        <w:rPr>
          <w:rFonts w:ascii="Times New Roman" w:eastAsia="Times New Roman" w:hAnsi="Times New Roman" w:cs="Times New Roman"/>
          <w:bCs/>
          <w:szCs w:val="32"/>
          <w:rtl/>
        </w:rPr>
        <w:t xml:space="preserve"> </w:t>
      </w:r>
    </w:p>
    <w:p w14:paraId="1B51511D" w14:textId="77777777" w:rsidR="005850DB" w:rsidRDefault="00000000">
      <w:pPr>
        <w:ind w:right="100"/>
      </w:pPr>
      <w:r>
        <w:rPr>
          <w:szCs w:val="28"/>
          <w:rtl/>
        </w:rPr>
        <w:t xml:space="preserve">شهدت المملكة العربية السعودية في السنوات الأخيرة نمواً اقتصادياً متسارعاً وتوسعاً في المشاريع التنموية الكبرى، مما ازد من أهمية إدارة المخاطر في مختلف القطاعات. وقد تناولت بعض الد ارسات الأكاديمية ممارسات إدارة المخاطر والتحديات التي تواجهها في السياق السع ودي، خاصة في قطاعات مثل البناء والتشييد، والنفط والغاز، والصناعات التحويلية بشكل عام. في هذا القسم، سيتم استع ارض أبرز هذه الد ارسات . </w:t>
      </w:r>
    </w:p>
    <w:p w14:paraId="19A1896C" w14:textId="77777777" w:rsidR="005850DB" w:rsidRDefault="00000000">
      <w:pPr>
        <w:spacing w:after="2" w:line="259" w:lineRule="auto"/>
        <w:ind w:left="12" w:right="0" w:hanging="10"/>
        <w:jc w:val="left"/>
      </w:pPr>
      <w:r>
        <w:rPr>
          <w:szCs w:val="28"/>
          <w:rtl/>
        </w:rPr>
        <w:t>أجرى الغامدي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-Ghamdi, 2018</w:t>
      </w:r>
      <w:r>
        <w:rPr>
          <w:szCs w:val="28"/>
          <w:rtl/>
        </w:rPr>
        <w:t xml:space="preserve">( د ارسة استقصائية حول ممارسات إدارة المخاطر في المشاريع </w:t>
      </w:r>
    </w:p>
    <w:p w14:paraId="6521BD70" w14:textId="77777777" w:rsidR="005850DB" w:rsidRDefault="00000000">
      <w:pPr>
        <w:spacing w:after="25"/>
        <w:ind w:right="17"/>
      </w:pPr>
      <w:r>
        <w:rPr>
          <w:szCs w:val="28"/>
          <w:rtl/>
        </w:rPr>
        <w:t xml:space="preserve">الصناعية الكبرى في المملكة العربية السعودية. وخلصت الد ارسة إلى أن الشركات الكبرى لديها وعي جيد بأهمية إدارة المخاطر، ولكن تطبيقها يواجه تحديات تتعلق بنقص الكفاءات المتخصصة، وعدم وجود </w:t>
      </w:r>
      <w:r>
        <w:rPr>
          <w:szCs w:val="28"/>
          <w:rtl/>
        </w:rPr>
        <w:lastRenderedPageBreak/>
        <w:t xml:space="preserve">أطر عمل موحدة، ومقاومة التغيير داخل المنظمات. وأوصت الد ارسة بضرورة تطوير ب ارمج تدريبية متخصصة وإنشاء وحدات لإدارة المخاطر] </w:t>
      </w:r>
      <w:r>
        <w:rPr>
          <w:rFonts w:ascii="Times New Roman" w:eastAsia="Times New Roman" w:hAnsi="Times New Roman" w:cs="Times New Roman"/>
          <w:szCs w:val="28"/>
        </w:rPr>
        <w:t>57</w:t>
      </w:r>
      <w:r>
        <w:rPr>
          <w:szCs w:val="28"/>
          <w:rtl/>
        </w:rPr>
        <w:t xml:space="preserve">[ . </w:t>
      </w:r>
    </w:p>
    <w:p w14:paraId="5A6D5D49" w14:textId="77777777" w:rsidR="005850DB" w:rsidRDefault="00000000">
      <w:pPr>
        <w:ind w:right="100"/>
      </w:pPr>
      <w:r>
        <w:rPr>
          <w:szCs w:val="28"/>
          <w:rtl/>
        </w:rPr>
        <w:t>في قطاع البناء والتشييد، الذي يعد من أكبر القطاعات في المملكة، قام العساف وآخرون )</w:t>
      </w:r>
      <w:r>
        <w:rPr>
          <w:rFonts w:ascii="Times New Roman" w:eastAsia="Times New Roman" w:hAnsi="Times New Roman" w:cs="Times New Roman"/>
          <w:sz w:val="24"/>
        </w:rPr>
        <w:t>Assaf et al., 2006</w:t>
      </w:r>
      <w:r>
        <w:rPr>
          <w:szCs w:val="28"/>
          <w:rtl/>
        </w:rPr>
        <w:t xml:space="preserve">( بتحليل أسباب تأخير المشاريع في السعودية، ووجدوا أن المخاطر المتعلقة بالتخطيط غير الفعال ،ونقص الموارد، والتغي ارت في التصميم، وسوء إدارة العقود، هي من الأسباب الرئيسية. وأكدت الد ارسة على أهمية تطبيق إدارة مخاطر شاملة لتقليل هذه التأخي ارت] </w:t>
      </w:r>
      <w:r>
        <w:rPr>
          <w:rFonts w:ascii="Times New Roman" w:eastAsia="Times New Roman" w:hAnsi="Times New Roman" w:cs="Times New Roman"/>
          <w:szCs w:val="28"/>
        </w:rPr>
        <w:t>58</w:t>
      </w:r>
      <w:r>
        <w:rPr>
          <w:szCs w:val="28"/>
          <w:rtl/>
        </w:rPr>
        <w:t xml:space="preserve">[. </w:t>
      </w:r>
    </w:p>
    <w:p w14:paraId="30A08D11" w14:textId="77777777" w:rsidR="005850DB" w:rsidRDefault="00000000">
      <w:pPr>
        <w:spacing w:after="2" w:line="259" w:lineRule="auto"/>
        <w:ind w:left="12" w:right="0" w:hanging="10"/>
        <w:jc w:val="left"/>
      </w:pPr>
      <w:r>
        <w:rPr>
          <w:szCs w:val="28"/>
          <w:rtl/>
        </w:rPr>
        <w:t>ركزت د ارسة الشهري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-Shehri, 2010</w:t>
      </w:r>
      <w:r>
        <w:rPr>
          <w:szCs w:val="28"/>
          <w:rtl/>
        </w:rPr>
        <w:t>( على إدارة المخاطر في مشاريع النفط والغاز في المملكة .</w:t>
      </w:r>
    </w:p>
    <w:p w14:paraId="1A508CF6" w14:textId="77777777" w:rsidR="005850DB" w:rsidRDefault="00000000">
      <w:pPr>
        <w:ind w:right="190"/>
      </w:pPr>
      <w:r>
        <w:rPr>
          <w:szCs w:val="28"/>
          <w:rtl/>
        </w:rPr>
        <w:t>وأشارت النتائج إلى أن المخاطر الجيولوجية، والمخاطر المتعلقة بالسلامة والبيئة، والمخاطر السياسية، هي الأكثر تأثي اًر في هذا القطاع. وأوصت الد ارسة بتبني تقنيات متقدمة لتقييم المخاطر، وتعزيز التعاون بين الجهات المعنية، وتطوير خطط استجابة للطوارئ ]</w:t>
      </w:r>
      <w:r>
        <w:rPr>
          <w:rFonts w:ascii="Times New Roman" w:eastAsia="Times New Roman" w:hAnsi="Times New Roman" w:cs="Times New Roman"/>
          <w:szCs w:val="28"/>
        </w:rPr>
        <w:t>59</w:t>
      </w:r>
      <w:r>
        <w:rPr>
          <w:szCs w:val="28"/>
          <w:rtl/>
        </w:rPr>
        <w:t xml:space="preserve">[ . </w:t>
      </w:r>
    </w:p>
    <w:p w14:paraId="1F3C6D4B" w14:textId="77777777" w:rsidR="005850DB" w:rsidRDefault="00000000">
      <w:pPr>
        <w:ind w:right="194"/>
      </w:pPr>
      <w:r>
        <w:rPr>
          <w:szCs w:val="28"/>
          <w:rtl/>
        </w:rPr>
        <w:t xml:space="preserve">أما الرشيدي)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-Rashidi, 2015</w:t>
      </w:r>
      <w:r>
        <w:rPr>
          <w:szCs w:val="28"/>
          <w:rtl/>
        </w:rPr>
        <w:t xml:space="preserve">(، فقد بحث في دور إدارة المخاطر في تحقيق أهداف رؤية المملكة </w:t>
      </w:r>
      <w:r>
        <w:rPr>
          <w:rFonts w:ascii="Times New Roman" w:eastAsia="Times New Roman" w:hAnsi="Times New Roman" w:cs="Times New Roman"/>
          <w:szCs w:val="28"/>
        </w:rPr>
        <w:t>2030</w:t>
      </w:r>
      <w:r>
        <w:rPr>
          <w:szCs w:val="28"/>
          <w:rtl/>
        </w:rPr>
        <w:t>. وخلصت الد ارسة إلى أن إدارة المخاطر تلعب دواًر حاسماً في تحديد التحديات المحتملة التي قد تعيق تحقيق أهداف الرؤية، مثل تنويع الاقتصاد، وتوطين الصناعات، وجذب الاستثما ارت الأجنبية .</w:t>
      </w:r>
    </w:p>
    <w:p w14:paraId="6C39AB5D" w14:textId="77777777" w:rsidR="005850DB" w:rsidRDefault="00000000">
      <w:pPr>
        <w:spacing w:after="36"/>
        <w:ind w:right="199"/>
      </w:pPr>
      <w:r>
        <w:rPr>
          <w:szCs w:val="28"/>
          <w:rtl/>
        </w:rPr>
        <w:t xml:space="preserve">وأوصت الد ارسة بدمج إدارة المخاطر في صميم التخطيط الاست ارتيجي على المستوى الوطني والمؤسسي </w:t>
      </w:r>
    </w:p>
    <w:p w14:paraId="7B6FF5CF" w14:textId="77777777" w:rsidR="005850DB" w:rsidRDefault="00000000">
      <w:pPr>
        <w:bidi w:val="0"/>
        <w:spacing w:after="26" w:line="259" w:lineRule="auto"/>
        <w:ind w:left="10" w:right="9" w:hanging="10"/>
      </w:pPr>
      <w:r>
        <w:t xml:space="preserve"> . ]</w:t>
      </w:r>
      <w:r>
        <w:rPr>
          <w:rFonts w:ascii="Times New Roman" w:eastAsia="Times New Roman" w:hAnsi="Times New Roman" w:cs="Times New Roman"/>
        </w:rPr>
        <w:t>60</w:t>
      </w:r>
      <w:r>
        <w:t>[</w:t>
      </w:r>
    </w:p>
    <w:p w14:paraId="1135FD1D" w14:textId="77777777" w:rsidR="005850DB" w:rsidRDefault="00000000">
      <w:pPr>
        <w:ind w:right="255"/>
      </w:pPr>
      <w:r>
        <w:rPr>
          <w:szCs w:val="28"/>
          <w:rtl/>
        </w:rPr>
        <w:t xml:space="preserve">وفيما يتعلق بالصناعات التحويلية بشكل عام، قامت د ارسة المالكي)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-Maliki, 2020</w:t>
      </w:r>
      <w:r>
        <w:rPr>
          <w:szCs w:val="28"/>
          <w:rtl/>
        </w:rPr>
        <w:t xml:space="preserve">( بتقييم مدى تطبيق ممارسات إدارة المخاطر في المصانع السعودية. ووجدت الد ارسة تبايناً كبي اًر في مستوى التطبيق بين المصانع، حيث كانت المصانع الكبرى أكثر الت ازماً بتطبيق هذه الممارسات مقارنة بالصغيرة والمتوسطة. وأشارت الد ارسة إلى أن نقص الوعي، والموارد المالية، والخبرة، هي العوائق الرئيسية أمام التطبيق الفعال] </w:t>
      </w:r>
      <w:r>
        <w:rPr>
          <w:rFonts w:ascii="Times New Roman" w:eastAsia="Times New Roman" w:hAnsi="Times New Roman" w:cs="Times New Roman"/>
          <w:szCs w:val="28"/>
        </w:rPr>
        <w:t>61</w:t>
      </w:r>
      <w:r>
        <w:rPr>
          <w:szCs w:val="28"/>
          <w:rtl/>
        </w:rPr>
        <w:t xml:space="preserve">[. </w:t>
      </w:r>
    </w:p>
    <w:p w14:paraId="5F3BFF33" w14:textId="77777777" w:rsidR="005850DB" w:rsidRDefault="00000000">
      <w:pPr>
        <w:ind w:right="100"/>
      </w:pPr>
      <w:r>
        <w:rPr>
          <w:szCs w:val="28"/>
          <w:rtl/>
        </w:rPr>
        <w:t xml:space="preserve">توضح هذه الد ارسات أن إدارة المخاطر في المملكة العربية السعودية لا ت ازل في طور التطور، وأن هناك حاجة ماسة لتعزيز الوعي، وتطوير الكفاءات، وتوفير أطر عمل موحدة تتناسب مع خصوصية البيئة المحلية. ومع ذلك، فإن معظم هذه الد ارسات تناولت إدارة المخاطر في قطاعات واسعة أو بشكل عام ،دون التركيز بشكل خاص على صناعة المضخات، مما يبرز أهمية هذه الد ارسة في سد هذه الفجوة المعرفية. </w:t>
      </w:r>
    </w:p>
    <w:p w14:paraId="1BBA342D" w14:textId="77777777" w:rsidR="005850DB" w:rsidRDefault="00000000">
      <w:pPr>
        <w:bidi w:val="0"/>
        <w:spacing w:after="9" w:line="259" w:lineRule="auto"/>
        <w:ind w:left="0" w:right="58" w:firstLine="0"/>
      </w:pPr>
      <w:r>
        <w:t xml:space="preserve"> </w:t>
      </w:r>
    </w:p>
    <w:p w14:paraId="5170645C" w14:textId="77777777" w:rsidR="005850DB" w:rsidRDefault="00000000">
      <w:pPr>
        <w:spacing w:after="3" w:line="259" w:lineRule="auto"/>
        <w:ind w:left="7" w:right="0" w:hanging="10"/>
        <w:jc w:val="left"/>
      </w:pPr>
      <w:r>
        <w:rPr>
          <w:b/>
          <w:bCs/>
          <w:sz w:val="32"/>
          <w:szCs w:val="32"/>
          <w:rtl/>
        </w:rPr>
        <w:t xml:space="preserve">المارجع:  </w:t>
      </w:r>
    </w:p>
    <w:p w14:paraId="5FC6F83C" w14:textId="77777777" w:rsidR="005850DB" w:rsidRDefault="00000000">
      <w:pPr>
        <w:bidi w:val="0"/>
        <w:spacing w:after="3" w:line="248" w:lineRule="auto"/>
        <w:ind w:left="260" w:right="-7" w:firstLine="583"/>
        <w:jc w:val="left"/>
      </w:pPr>
      <w:r>
        <w:rPr>
          <w:rFonts w:ascii="Times New Roman" w:eastAsia="Times New Roman" w:hAnsi="Times New Roman" w:cs="Times New Roman"/>
          <w:sz w:val="24"/>
        </w:rPr>
        <w:lastRenderedPageBreak/>
        <w:t xml:space="preserve">[57] Al-Ghamdi, A. S. (2018). Risk management practices in Saudi Arabian industrial projects: A review. Journal of Industrial Engineering and Management, 11(2), 234-]85[ .542 Assaf, S. A., &amp; Al-Hejji, S. (2006). Causes of delay in large construction projects in Saudi </w:t>
      </w:r>
    </w:p>
    <w:p w14:paraId="6F2DF554" w14:textId="77777777" w:rsidR="005850DB" w:rsidRDefault="00000000">
      <w:pPr>
        <w:bidi w:val="0"/>
        <w:spacing w:after="13"/>
        <w:ind w:left="26" w:right="0" w:hanging="10"/>
      </w:pPr>
      <w:r>
        <w:rPr>
          <w:rFonts w:ascii="Times New Roman" w:eastAsia="Times New Roman" w:hAnsi="Times New Roman" w:cs="Times New Roman"/>
          <w:sz w:val="24"/>
        </w:rPr>
        <w:t xml:space="preserve">Arabia. International Journal of Project Management, 24(5), 349-357. [59] Al-Shehri, A. </w:t>
      </w:r>
    </w:p>
    <w:p w14:paraId="5129880F" w14:textId="77777777" w:rsidR="005850DB" w:rsidRDefault="00000000">
      <w:pPr>
        <w:bidi w:val="0"/>
        <w:spacing w:after="13"/>
        <w:ind w:left="26" w:right="0" w:hanging="10"/>
      </w:pPr>
      <w:r>
        <w:rPr>
          <w:rFonts w:ascii="Times New Roman" w:eastAsia="Times New Roman" w:hAnsi="Times New Roman" w:cs="Times New Roman"/>
          <w:sz w:val="24"/>
        </w:rPr>
        <w:t xml:space="preserve">(2010). Risk management in oil and gas projects in Saudi Arabia. Master's Thesis, King Fahd </w:t>
      </w:r>
    </w:p>
    <w:p w14:paraId="41557AB2" w14:textId="77777777" w:rsidR="005850DB" w:rsidRDefault="00000000">
      <w:pPr>
        <w:bidi w:val="0"/>
        <w:spacing w:after="13"/>
        <w:ind w:left="26" w:right="0" w:hanging="10"/>
      </w:pPr>
      <w:r>
        <w:rPr>
          <w:rFonts w:ascii="Times New Roman" w:eastAsia="Times New Roman" w:hAnsi="Times New Roman" w:cs="Times New Roman"/>
          <w:sz w:val="24"/>
        </w:rPr>
        <w:t xml:space="preserve">University of Petroleum and Minerals. [60] Al-Rashidi, M. (2015). The role of risk </w:t>
      </w:r>
    </w:p>
    <w:p w14:paraId="0750D0F0" w14:textId="77777777" w:rsidR="005850DB" w:rsidRDefault="00000000">
      <w:pPr>
        <w:bidi w:val="0"/>
        <w:spacing w:after="13"/>
        <w:ind w:left="26" w:right="0" w:hanging="10"/>
      </w:pPr>
      <w:r>
        <w:rPr>
          <w:rFonts w:ascii="Times New Roman" w:eastAsia="Times New Roman" w:hAnsi="Times New Roman" w:cs="Times New Roman"/>
          <w:sz w:val="24"/>
        </w:rPr>
        <w:t xml:space="preserve">management in achieving Saudi Vision 2030 objectives. Journal of Economic and </w:t>
      </w:r>
    </w:p>
    <w:p w14:paraId="426C4B99" w14:textId="77777777" w:rsidR="005850DB" w:rsidRDefault="00000000">
      <w:pPr>
        <w:bidi w:val="0"/>
        <w:spacing w:after="282"/>
        <w:ind w:left="26" w:right="0" w:hanging="10"/>
      </w:pPr>
      <w:r>
        <w:rPr>
          <w:rFonts w:ascii="Times New Roman" w:eastAsia="Times New Roman" w:hAnsi="Times New Roman" w:cs="Times New Roman"/>
          <w:sz w:val="24"/>
        </w:rPr>
        <w:t xml:space="preserve">Administrative Sciences, 31(1), 45-60. [61] Al-Maliki, F. (2020). Assessment of risk </w:t>
      </w:r>
    </w:p>
    <w:p w14:paraId="4F9D0034" w14:textId="77777777" w:rsidR="005850DB" w:rsidRDefault="00000000">
      <w:pPr>
        <w:bidi w:val="0"/>
        <w:spacing w:after="225"/>
        <w:ind w:left="26" w:right="0" w:hanging="10"/>
      </w:pPr>
      <w:r>
        <w:rPr>
          <w:rFonts w:ascii="Times New Roman" w:eastAsia="Times New Roman" w:hAnsi="Times New Roman" w:cs="Times New Roman"/>
          <w:sz w:val="24"/>
        </w:rPr>
        <w:t xml:space="preserve">management practices in Saudi manufacturing companies. International Journal of Business </w:t>
      </w:r>
      <w:r>
        <w:t xml:space="preserve"> </w:t>
      </w:r>
      <w:r>
        <w:rPr>
          <w:rFonts w:ascii="Times New Roman" w:eastAsia="Times New Roman" w:hAnsi="Times New Roman" w:cs="Times New Roman"/>
          <w:sz w:val="24"/>
        </w:rPr>
        <w:t>and Management, 15(3), 112-.521</w:t>
      </w:r>
    </w:p>
    <w:p w14:paraId="551D99A4" w14:textId="77777777" w:rsidR="005850DB" w:rsidRDefault="00000000">
      <w:pPr>
        <w:bidi w:val="0"/>
        <w:spacing w:after="40" w:line="259" w:lineRule="auto"/>
        <w:ind w:left="0" w:right="58" w:firstLine="0"/>
      </w:pPr>
      <w:r>
        <w:t xml:space="preserve"> </w:t>
      </w:r>
    </w:p>
    <w:p w14:paraId="6B9BFEBE" w14:textId="77777777" w:rsidR="005850DB" w:rsidRDefault="00000000">
      <w:pPr>
        <w:pStyle w:val="Heading2"/>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4</w:t>
      </w:r>
      <w:r>
        <w:rPr>
          <w:bCs/>
          <w:szCs w:val="32"/>
          <w:rtl/>
        </w:rPr>
        <w:t xml:space="preserve"> تحليل الفجوة البحثية </w:t>
      </w:r>
      <w:r>
        <w:rPr>
          <w:rFonts w:ascii="Times New Roman" w:eastAsia="Times New Roman" w:hAnsi="Times New Roman" w:cs="Times New Roman"/>
          <w:bCs/>
          <w:szCs w:val="32"/>
          <w:rtl/>
        </w:rPr>
        <w:t xml:space="preserve"> </w:t>
      </w:r>
    </w:p>
    <w:p w14:paraId="5A88BAE1" w14:textId="77777777" w:rsidR="005850DB" w:rsidRDefault="00000000">
      <w:pPr>
        <w:ind w:right="209"/>
      </w:pPr>
      <w:r>
        <w:rPr>
          <w:szCs w:val="28"/>
          <w:rtl/>
        </w:rPr>
        <w:t xml:space="preserve">بعد استع ارض الأدبيات المتعلقة بالأسس النظرية لإدارة المخاطر، والد ارسات السابقة في إدارة المخاطر في قطاع التصنيع بشكل عام، وتلك التي تناولت السياق السعودي، يتضح وجود فجوة بحثية تسعى هذه الد ارسة إلى سدها. يمكن تلخيص هذه الفجوة في النقاط التالية:  </w:t>
      </w:r>
    </w:p>
    <w:p w14:paraId="4A762D51" w14:textId="77777777" w:rsidR="005850DB" w:rsidRDefault="00000000">
      <w:pPr>
        <w:numPr>
          <w:ilvl w:val="0"/>
          <w:numId w:val="19"/>
        </w:numPr>
        <w:spacing w:after="51"/>
        <w:ind w:right="208" w:hanging="362"/>
      </w:pPr>
      <w:r>
        <w:rPr>
          <w:szCs w:val="28"/>
          <w:rtl/>
        </w:rPr>
        <w:t xml:space="preserve">التركيز على صناعة المضخات: على الرغم من وجود د ارسات تناولت إدارة المخاطر في قطاع التصنيع بشكل عام، إلا أن هناك نقصاً واضحاً في الد ارسات التي تركز بشكل خاص على صناعة المضخات. هذه الصناعة لها خصائصها الفريدة ومخاطرها الخاصة التي قد لا تنطبق عليها نتائج الد ارسات العامة في التصنيع]  </w:t>
      </w:r>
      <w:r>
        <w:rPr>
          <w:rFonts w:ascii="Times New Roman" w:eastAsia="Times New Roman" w:hAnsi="Times New Roman" w:cs="Times New Roman"/>
          <w:szCs w:val="28"/>
        </w:rPr>
        <w:t>62</w:t>
      </w:r>
      <w:r>
        <w:rPr>
          <w:szCs w:val="28"/>
          <w:rtl/>
        </w:rPr>
        <w:t xml:space="preserve">[. فالمضخات هي مكونات حيوية في العديد من الصناعات )النفط والغاز، تحلية المياه، الزارعة، البناء(، وتتطلب عمليات تصنيعها دقة عالية ومعايير جودة صارمة، مما يجعل إدارة المخاطر فيها أم اًر معقداً ويتطلب د ارسة متخصصة </w:t>
      </w:r>
    </w:p>
    <w:p w14:paraId="32B565A0"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63</w:t>
      </w:r>
      <w:r>
        <w:t>[</w:t>
      </w:r>
    </w:p>
    <w:p w14:paraId="740885DC" w14:textId="77777777" w:rsidR="005850DB" w:rsidRDefault="00000000">
      <w:pPr>
        <w:numPr>
          <w:ilvl w:val="0"/>
          <w:numId w:val="19"/>
        </w:numPr>
        <w:ind w:right="208" w:hanging="362"/>
      </w:pPr>
      <w:r>
        <w:rPr>
          <w:b/>
          <w:bCs/>
          <w:szCs w:val="28"/>
          <w:rtl/>
        </w:rPr>
        <w:t>السياق السعودي المتخصص:</w:t>
      </w:r>
      <w:r>
        <w:rPr>
          <w:szCs w:val="28"/>
          <w:rtl/>
        </w:rPr>
        <w:t xml:space="preserve"> معظم الد ارسات التي تناولت إدارة المخاطر في المملكة العربية السعودية ركزت على قطاعات مثل البناء والتشييد، أو النفط والغاز، أو تناولت إدارة المخاطر على مستوى المؤسسات بشكل عام. هناك ندرة في الد ارسات التي تبحث في إدارة المخاطر ضمن قطاعات صناعية محددة مثل صن اعة المضخات في السياق السعودي] </w:t>
      </w:r>
      <w:r>
        <w:rPr>
          <w:rFonts w:ascii="Times New Roman" w:eastAsia="Times New Roman" w:hAnsi="Times New Roman" w:cs="Times New Roman"/>
          <w:szCs w:val="28"/>
        </w:rPr>
        <w:t>64</w:t>
      </w:r>
      <w:r>
        <w:rPr>
          <w:szCs w:val="28"/>
          <w:rtl/>
        </w:rPr>
        <w:t xml:space="preserve">[. البيئة الاقتصادية </w:t>
      </w:r>
    </w:p>
    <w:p w14:paraId="060447DB" w14:textId="77777777" w:rsidR="005850DB" w:rsidRDefault="00000000">
      <w:pPr>
        <w:ind w:left="642" w:right="100"/>
      </w:pPr>
      <w:r>
        <w:rPr>
          <w:szCs w:val="28"/>
          <w:rtl/>
        </w:rPr>
        <w:t xml:space="preserve">والتنظيمية في المملكة العربية السعودية، بالإضافة إلى التحديات الفريدة المتعلقة بسلاسل التوريد المحلية والعالمية، تجعل من الضروري إج ارء د ارسة متخصصة لفهم كيفية تأثير هذه العوامل على إدارة المخاطر في هذا القطاع] </w:t>
      </w:r>
      <w:r>
        <w:rPr>
          <w:rFonts w:ascii="Times New Roman" w:eastAsia="Times New Roman" w:hAnsi="Times New Roman" w:cs="Times New Roman"/>
          <w:szCs w:val="28"/>
        </w:rPr>
        <w:t>65</w:t>
      </w:r>
      <w:r>
        <w:rPr>
          <w:szCs w:val="28"/>
          <w:rtl/>
        </w:rPr>
        <w:t xml:space="preserve">[ . </w:t>
      </w:r>
    </w:p>
    <w:p w14:paraId="6D4544A5" w14:textId="77777777" w:rsidR="005850DB" w:rsidRDefault="00000000">
      <w:pPr>
        <w:numPr>
          <w:ilvl w:val="0"/>
          <w:numId w:val="19"/>
        </w:numPr>
        <w:spacing w:after="51"/>
        <w:ind w:right="208" w:hanging="362"/>
      </w:pPr>
      <w:r>
        <w:rPr>
          <w:b/>
          <w:bCs/>
          <w:szCs w:val="28"/>
          <w:rtl/>
        </w:rPr>
        <w:lastRenderedPageBreak/>
        <w:t>المنهج المختلط:</w:t>
      </w:r>
      <w:r>
        <w:rPr>
          <w:szCs w:val="28"/>
          <w:rtl/>
        </w:rPr>
        <w:t xml:space="preserve"> العديد من الد ارسات السابقة اعتمدت إما على المنهج الكمي أو النوعي بشكل منفصل. تهدف هذه الد ارسة إلى استخدام المنهج المختلط الذي يجمع بين نقاط القوة في كلا المنهجين، مما يوفر فهماً أعمق وأكثر شمولاً للعلاقة بين إدارة المخاطر ونجاح المشاريع في صناعة المضخات .هذا النهج سيسمح بتعميم النتائج الكمية وتفسيرها من خلال الرؤى النوعية </w:t>
      </w:r>
    </w:p>
    <w:p w14:paraId="15674E9A"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66</w:t>
      </w:r>
      <w:r>
        <w:t>[</w:t>
      </w:r>
    </w:p>
    <w:p w14:paraId="373F29B6" w14:textId="77777777" w:rsidR="005850DB" w:rsidRDefault="00000000">
      <w:pPr>
        <w:numPr>
          <w:ilvl w:val="0"/>
          <w:numId w:val="19"/>
        </w:numPr>
        <w:ind w:right="208" w:hanging="362"/>
      </w:pPr>
      <w:r>
        <w:rPr>
          <w:b/>
          <w:bCs/>
          <w:szCs w:val="28"/>
          <w:rtl/>
        </w:rPr>
        <w:t xml:space="preserve">تطوير إطار عمل مقترح: </w:t>
      </w:r>
      <w:r>
        <w:rPr>
          <w:szCs w:val="28"/>
          <w:rtl/>
        </w:rPr>
        <w:t xml:space="preserve">على الرغم من وجود أطر عامة لإدارة المخاطر  </w:t>
      </w:r>
    </w:p>
    <w:p w14:paraId="0D2FF4B3" w14:textId="77777777" w:rsidR="005850DB" w:rsidRDefault="00000000">
      <w:pPr>
        <w:ind w:right="536"/>
      </w:pPr>
      <w:r>
        <w:rPr>
          <w:szCs w:val="28"/>
          <w:rtl/>
        </w:rPr>
        <w:t xml:space="preserve">)مثل </w:t>
      </w:r>
      <w:r>
        <w:rPr>
          <w:rFonts w:ascii="Times New Roman" w:eastAsia="Times New Roman" w:hAnsi="Times New Roman" w:cs="Times New Roman"/>
          <w:sz w:val="24"/>
        </w:rPr>
        <w:t>ISO 31000</w:t>
      </w:r>
      <w:r>
        <w:rPr>
          <w:szCs w:val="28"/>
          <w:rtl/>
        </w:rPr>
        <w:t xml:space="preserve"> و </w:t>
      </w:r>
      <w:r>
        <w:rPr>
          <w:rFonts w:ascii="Times New Roman" w:eastAsia="Times New Roman" w:hAnsi="Times New Roman" w:cs="Times New Roman"/>
          <w:sz w:val="24"/>
        </w:rPr>
        <w:t>PMBOK</w:t>
      </w:r>
      <w:r>
        <w:rPr>
          <w:szCs w:val="28"/>
          <w:rtl/>
        </w:rPr>
        <w:t xml:space="preserve">(، إلا أن هناك حاجة لتطوير إطار عمل مقترح يتناسب مع </w:t>
      </w:r>
    </w:p>
    <w:p w14:paraId="03CB38BE" w14:textId="77777777" w:rsidR="005850DB" w:rsidRDefault="00000000">
      <w:pPr>
        <w:ind w:left="226" w:right="100"/>
      </w:pPr>
      <w:r>
        <w:rPr>
          <w:szCs w:val="28"/>
          <w:rtl/>
        </w:rPr>
        <w:t>خصوصية صناعة المضخات في المملكة العربية السعودية. ستسعى هذه الد ارسة إلى تقديم مثل هذا الإطار بناءً على النتائج المستخلصة من التحليل النظري والميداني ]</w:t>
      </w:r>
      <w:r>
        <w:rPr>
          <w:rFonts w:ascii="Times New Roman" w:eastAsia="Times New Roman" w:hAnsi="Times New Roman" w:cs="Times New Roman"/>
          <w:szCs w:val="28"/>
        </w:rPr>
        <w:t>67</w:t>
      </w:r>
      <w:r>
        <w:rPr>
          <w:szCs w:val="28"/>
          <w:rtl/>
        </w:rPr>
        <w:t xml:space="preserve">[. </w:t>
      </w:r>
    </w:p>
    <w:p w14:paraId="264C8FF7" w14:textId="77777777" w:rsidR="005850DB" w:rsidRDefault="00000000">
      <w:pPr>
        <w:ind w:right="170"/>
      </w:pPr>
      <w:r>
        <w:rPr>
          <w:szCs w:val="28"/>
          <w:rtl/>
        </w:rPr>
        <w:t xml:space="preserve">بناءً على هذه الفجوات، تبرز أهمية هذه الد ارسة في تقديم مساهمة فريدة من خلال التركيز على صناعة المضخات في المملكة العربية السعودية، واستخدام منهج بحثي شامل، وتطوير إطار عمل عملي يمكن أن يساعد الشركات على تحسين ممارسات إدارة المخاطر لديها وبالتالي تعزيز نجا ح مشاريعها.  </w:t>
      </w:r>
    </w:p>
    <w:p w14:paraId="623BC062" w14:textId="77777777" w:rsidR="005850DB" w:rsidRDefault="00000000">
      <w:pPr>
        <w:bidi w:val="0"/>
        <w:spacing w:after="12" w:line="259" w:lineRule="auto"/>
        <w:ind w:left="0" w:right="58" w:firstLine="0"/>
      </w:pPr>
      <w:r>
        <w:t xml:space="preserve"> </w:t>
      </w:r>
    </w:p>
    <w:p w14:paraId="29505EA6" w14:textId="77777777" w:rsidR="005850DB" w:rsidRDefault="00000000">
      <w:pPr>
        <w:spacing w:after="3" w:line="259" w:lineRule="auto"/>
        <w:ind w:left="7" w:right="0" w:hanging="10"/>
        <w:jc w:val="left"/>
      </w:pPr>
      <w:r>
        <w:rPr>
          <w:b/>
          <w:bCs/>
          <w:sz w:val="32"/>
          <w:szCs w:val="32"/>
          <w:rtl/>
        </w:rPr>
        <w:t xml:space="preserve">المارجع:  </w:t>
      </w:r>
    </w:p>
    <w:p w14:paraId="0B4BC120" w14:textId="77777777" w:rsidR="005850DB" w:rsidRDefault="00000000">
      <w:pPr>
        <w:bidi w:val="0"/>
        <w:spacing w:after="13"/>
        <w:ind w:left="26" w:right="0" w:hanging="10"/>
      </w:pPr>
      <w:r>
        <w:rPr>
          <w:rFonts w:ascii="Times New Roman" w:eastAsia="Times New Roman" w:hAnsi="Times New Roman" w:cs="Times New Roman"/>
          <w:sz w:val="24"/>
        </w:rPr>
        <w:t xml:space="preserve">[62] Al-Ghamdi, A. S. (2018). Risk management practices in Saudi Arabian industrial </w:t>
      </w:r>
    </w:p>
    <w:p w14:paraId="743CB2A7" w14:textId="77777777" w:rsidR="005850DB" w:rsidRDefault="00000000">
      <w:pPr>
        <w:bidi w:val="0"/>
        <w:spacing w:after="3" w:line="248" w:lineRule="auto"/>
        <w:ind w:left="927" w:right="-7" w:hanging="667"/>
        <w:jc w:val="left"/>
      </w:pPr>
      <w:r>
        <w:rPr>
          <w:rFonts w:ascii="Times New Roman" w:eastAsia="Times New Roman" w:hAnsi="Times New Roman" w:cs="Times New Roman"/>
          <w:sz w:val="24"/>
        </w:rPr>
        <w:t xml:space="preserve">projects: A review. Journal of Industrial Engineering and Management, 11(2), 234-]36[ .542 Sulzer. (n.d.). Sulzer Riyadh Facility: Leading Pump Manufacturing in Saudi Arabia. </w:t>
      </w:r>
    </w:p>
    <w:p w14:paraId="579E9C30" w14:textId="77777777" w:rsidR="005850DB" w:rsidRDefault="00000000">
      <w:pPr>
        <w:bidi w:val="0"/>
        <w:spacing w:after="0" w:line="259" w:lineRule="auto"/>
        <w:ind w:left="10" w:right="-3" w:hanging="10"/>
      </w:pPr>
      <w:r>
        <w:rPr>
          <w:rFonts w:ascii="Times New Roman" w:eastAsia="Times New Roman" w:hAnsi="Times New Roman" w:cs="Times New Roman"/>
          <w:sz w:val="24"/>
        </w:rPr>
        <w:t xml:space="preserve">Retrieved from </w:t>
      </w:r>
      <w:hyperlink r:id="rId168">
        <w:r>
          <w:rPr>
            <w:rFonts w:ascii="Times New Roman" w:eastAsia="Times New Roman" w:hAnsi="Times New Roman" w:cs="Times New Roman"/>
            <w:color w:val="0563C1"/>
            <w:sz w:val="24"/>
            <w:u w:val="single" w:color="0563C1"/>
          </w:rPr>
          <w:t>https://www.youtube.com/watch?v=uGwBEfadCq0</w:t>
        </w:r>
      </w:hyperlink>
      <w:hyperlink r:id="rId169">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[64] Assaf, S. A., &amp; Al-</w:t>
      </w:r>
    </w:p>
    <w:p w14:paraId="7ADAD073" w14:textId="77777777" w:rsidR="005850DB" w:rsidRDefault="00000000">
      <w:pPr>
        <w:bidi w:val="0"/>
        <w:spacing w:after="0" w:line="238" w:lineRule="auto"/>
        <w:ind w:left="10" w:right="0" w:hanging="10"/>
        <w:jc w:val="center"/>
      </w:pPr>
      <w:r>
        <w:rPr>
          <w:rFonts w:ascii="Times New Roman" w:eastAsia="Times New Roman" w:hAnsi="Times New Roman" w:cs="Times New Roman"/>
          <w:sz w:val="24"/>
        </w:rPr>
        <w:t xml:space="preserve">Hejji, S. (2006). Causes of delay in large construction projects in Saudi Arabia. International Journal of Project Management, 24(5), 349-357. [65] Saudi Vision 2030. (n.d.). About Vision 2030. Retrieved from </w:t>
      </w:r>
      <w:hyperlink r:id="rId170">
        <w:r>
          <w:rPr>
            <w:rFonts w:ascii="Times New Roman" w:eastAsia="Times New Roman" w:hAnsi="Times New Roman" w:cs="Times New Roman"/>
            <w:color w:val="0563C1"/>
            <w:sz w:val="24"/>
            <w:u w:val="single" w:color="0563C1"/>
          </w:rPr>
          <w:t>https://www.vision2030.gov.sa/</w:t>
        </w:r>
      </w:hyperlink>
      <w:hyperlink r:id="rId17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[66] Creswell, J. W., &amp; Creswell, J. D. </w:t>
      </w:r>
    </w:p>
    <w:p w14:paraId="377BC503" w14:textId="77777777" w:rsidR="005850DB" w:rsidRDefault="00000000">
      <w:pPr>
        <w:bidi w:val="0"/>
        <w:spacing w:after="13"/>
        <w:ind w:left="26" w:right="0" w:hanging="10"/>
      </w:pPr>
      <w:r>
        <w:rPr>
          <w:rFonts w:ascii="Times New Roman" w:eastAsia="Times New Roman" w:hAnsi="Times New Roman" w:cs="Times New Roman"/>
          <w:sz w:val="24"/>
        </w:rPr>
        <w:t xml:space="preserve">(2022). Research design: Qualitative, quantitative, and mixed methods approaches (6th ed.). </w:t>
      </w:r>
    </w:p>
    <w:p w14:paraId="2241DA09" w14:textId="77777777" w:rsidR="005850DB" w:rsidRDefault="00000000">
      <w:pPr>
        <w:bidi w:val="0"/>
        <w:spacing w:after="149"/>
        <w:ind w:left="26" w:right="0" w:hanging="10"/>
      </w:pPr>
      <w:r>
        <w:rPr>
          <w:rFonts w:ascii="Times New Roman" w:eastAsia="Times New Roman" w:hAnsi="Times New Roman" w:cs="Times New Roman"/>
          <w:sz w:val="24"/>
        </w:rPr>
        <w:t xml:space="preserve">SAGE Publications. [67] Project Management Institute. (2017). A Guide to the Project </w:t>
      </w:r>
    </w:p>
    <w:p w14:paraId="53564BDB" w14:textId="77777777" w:rsidR="005850DB" w:rsidRDefault="00000000">
      <w:pPr>
        <w:bidi w:val="0"/>
        <w:spacing w:after="0" w:line="259" w:lineRule="auto"/>
        <w:ind w:left="-115" w:right="0" w:firstLine="0"/>
        <w:jc w:val="left"/>
      </w:pPr>
      <w:r>
        <w:t xml:space="preserve"> </w:t>
      </w:r>
      <w:r>
        <w:rPr>
          <w:rFonts w:ascii="Times New Roman" w:eastAsia="Times New Roman" w:hAnsi="Times New Roman" w:cs="Times New Roman"/>
          <w:sz w:val="37"/>
          <w:vertAlign w:val="subscript"/>
        </w:rPr>
        <w:t>Management Body of Knowledge (PMBOK® Guide) (6th ed.). Project Management Institute.</w:t>
      </w:r>
    </w:p>
    <w:p w14:paraId="30A9006E" w14:textId="77777777" w:rsidR="005850DB" w:rsidRDefault="00000000">
      <w:pPr>
        <w:bidi w:val="0"/>
        <w:spacing w:after="43" w:line="259" w:lineRule="auto"/>
        <w:ind w:left="0" w:right="58" w:firstLine="0"/>
      </w:pPr>
      <w:r>
        <w:t xml:space="preserve"> </w:t>
      </w:r>
    </w:p>
    <w:p w14:paraId="5E8236B4"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rFonts w:ascii="Times New Roman" w:eastAsia="Times New Roman" w:hAnsi="Times New Roman" w:cs="Times New Roman"/>
          <w:bCs/>
          <w:szCs w:val="32"/>
          <w:rtl/>
        </w:rPr>
        <w:t>.</w:t>
      </w:r>
      <w:r>
        <w:rPr>
          <w:rFonts w:ascii="Times New Roman" w:eastAsia="Times New Roman" w:hAnsi="Times New Roman" w:cs="Times New Roman"/>
          <w:bCs/>
          <w:szCs w:val="32"/>
        </w:rPr>
        <w:t>5</w:t>
      </w:r>
      <w:r>
        <w:rPr>
          <w:bCs/>
          <w:szCs w:val="32"/>
          <w:rtl/>
        </w:rPr>
        <w:t xml:space="preserve"> مبادئ إدارة المخاطر الفعالة </w:t>
      </w:r>
      <w:r>
        <w:rPr>
          <w:rFonts w:ascii="Times New Roman" w:eastAsia="Times New Roman" w:hAnsi="Times New Roman" w:cs="Times New Roman"/>
          <w:bCs/>
          <w:szCs w:val="32"/>
          <w:rtl/>
        </w:rPr>
        <w:t xml:space="preserve"> </w:t>
      </w:r>
    </w:p>
    <w:p w14:paraId="447980D1" w14:textId="77777777" w:rsidR="005850DB" w:rsidRDefault="00000000">
      <w:pPr>
        <w:ind w:right="168"/>
      </w:pPr>
      <w:r>
        <w:rPr>
          <w:szCs w:val="28"/>
          <w:rtl/>
        </w:rPr>
        <w:t xml:space="preserve">لتحقيق إدارة مخاطر فعالة، يجب الالت ازم بمجموعة من المبادئ التوجيهية التي تضمن تكاملها وفعاليتها ضمن الهيكل التنظيمي. هذه المبادئ، المستوحاة من معيار </w:t>
      </w:r>
      <w:r>
        <w:rPr>
          <w:rFonts w:ascii="Times New Roman" w:eastAsia="Times New Roman" w:hAnsi="Times New Roman" w:cs="Times New Roman"/>
          <w:sz w:val="24"/>
        </w:rPr>
        <w:t>ISO 31000</w:t>
      </w:r>
      <w:r>
        <w:rPr>
          <w:szCs w:val="28"/>
          <w:rtl/>
        </w:rPr>
        <w:t xml:space="preserve"> وغيره من الأطر ال ارئدة، تؤكد على أن إدارة المخاطر ليست مجرد وظيفة تقنية، بل هي جزء لا يتج أز من الحوكمة واتخاذ الق ارر] </w:t>
      </w:r>
      <w:r>
        <w:rPr>
          <w:rFonts w:ascii="Times New Roman" w:eastAsia="Times New Roman" w:hAnsi="Times New Roman" w:cs="Times New Roman"/>
          <w:szCs w:val="28"/>
        </w:rPr>
        <w:t>52</w:t>
      </w:r>
      <w:r>
        <w:rPr>
          <w:szCs w:val="28"/>
          <w:rtl/>
        </w:rPr>
        <w:t xml:space="preserve">[ . </w:t>
      </w:r>
    </w:p>
    <w:p w14:paraId="044F9B36" w14:textId="77777777" w:rsidR="005850DB" w:rsidRDefault="00000000">
      <w:pPr>
        <w:ind w:right="100"/>
      </w:pPr>
      <w:r>
        <w:rPr>
          <w:szCs w:val="28"/>
          <w:rtl/>
        </w:rPr>
        <w:lastRenderedPageBreak/>
        <w:t xml:space="preserve">إدارة المخاطر تخلق وتحمي القيمة: الهدف الأساسي لإدارة المخاطر ليس فقط تجنب الخسائر، بل أيضاً حماية وتعزيز قيمة المنظمة. من خلال التعامل الفعال مع عدم اليقين، يمكن للمنظمة تحقيق أهدافها بشكل أكثر كفاءة واغتنام الفرص] </w:t>
      </w:r>
      <w:r>
        <w:rPr>
          <w:rFonts w:ascii="Times New Roman" w:eastAsia="Times New Roman" w:hAnsi="Times New Roman" w:cs="Times New Roman"/>
          <w:szCs w:val="28"/>
        </w:rPr>
        <w:t>53</w:t>
      </w:r>
      <w:r>
        <w:rPr>
          <w:szCs w:val="28"/>
          <w:rtl/>
        </w:rPr>
        <w:t xml:space="preserve">[. </w:t>
      </w:r>
    </w:p>
    <w:p w14:paraId="7D020C74" w14:textId="77777777" w:rsidR="005850DB" w:rsidRDefault="00000000">
      <w:pPr>
        <w:numPr>
          <w:ilvl w:val="0"/>
          <w:numId w:val="20"/>
        </w:numPr>
        <w:ind w:left="643" w:right="240" w:hanging="363"/>
      </w:pPr>
      <w:r>
        <w:rPr>
          <w:b/>
          <w:bCs/>
          <w:szCs w:val="28"/>
          <w:rtl/>
        </w:rPr>
        <w:t>إدارة المخاطر جزء لا يتجأز من جميع العمليات:</w:t>
      </w:r>
      <w:r>
        <w:rPr>
          <w:szCs w:val="28"/>
          <w:rtl/>
        </w:rPr>
        <w:t xml:space="preserve"> يجب أن تكون إدارة المخاطر جزءاً من جميع أنشطة المنظمة، بما في ذلك التخطيط الاست ارتيجي، وعمليات اتخاذ الق ارر، وإدارة المشاريع ،والعمليات اليومية. لا ينبغي أن تكون نشاطاً منفصلاً أو إضافياً ]</w:t>
      </w:r>
      <w:r>
        <w:rPr>
          <w:rFonts w:ascii="Times New Roman" w:eastAsia="Times New Roman" w:hAnsi="Times New Roman" w:cs="Times New Roman"/>
          <w:szCs w:val="28"/>
        </w:rPr>
        <w:t>54</w:t>
      </w:r>
      <w:r>
        <w:rPr>
          <w:szCs w:val="28"/>
          <w:rtl/>
        </w:rPr>
        <w:t xml:space="preserve">[ . </w:t>
      </w:r>
    </w:p>
    <w:p w14:paraId="52A4B3ED" w14:textId="77777777" w:rsidR="005850DB" w:rsidRDefault="00000000">
      <w:pPr>
        <w:numPr>
          <w:ilvl w:val="0"/>
          <w:numId w:val="20"/>
        </w:numPr>
        <w:spacing w:after="51"/>
        <w:ind w:left="643" w:right="240" w:hanging="363"/>
      </w:pPr>
      <w:r>
        <w:rPr>
          <w:b/>
          <w:bCs/>
          <w:szCs w:val="28"/>
          <w:rtl/>
        </w:rPr>
        <w:t>إدارة المخاطر جزء من اتخاذ القارر:</w:t>
      </w:r>
      <w:r>
        <w:rPr>
          <w:szCs w:val="28"/>
          <w:rtl/>
        </w:rPr>
        <w:t xml:space="preserve"> تساعد إدارة المخاطر صناع الق ارر على اتخاذ خيا ارت مستنيرة من خلال توفير معلومات حول المخاطر والفرص المحتملة، وتأثيرها على الأهداف </w:t>
      </w:r>
    </w:p>
    <w:p w14:paraId="1397799F"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55</w:t>
      </w:r>
      <w:r>
        <w:t>[</w:t>
      </w:r>
    </w:p>
    <w:p w14:paraId="3521792B" w14:textId="77777777" w:rsidR="005850DB" w:rsidRDefault="00000000">
      <w:pPr>
        <w:numPr>
          <w:ilvl w:val="0"/>
          <w:numId w:val="20"/>
        </w:numPr>
        <w:spacing w:after="53"/>
        <w:ind w:left="643" w:right="240" w:hanging="363"/>
      </w:pPr>
      <w:r>
        <w:rPr>
          <w:b/>
          <w:bCs/>
          <w:szCs w:val="28"/>
          <w:rtl/>
        </w:rPr>
        <w:t>إدارة المخاطر تعالج عدم اليقين صارحة:</w:t>
      </w:r>
      <w:r>
        <w:rPr>
          <w:szCs w:val="28"/>
          <w:rtl/>
        </w:rPr>
        <w:t xml:space="preserve"> تتعامل إدارة المخاطر مع عدم اليقين بشكل مباشر ومنهجي، من خلال تحديد طبيعته، وتحليل آثاره المحتملة، وتطوير است ارتيجيات للتعامل معه </w:t>
      </w:r>
    </w:p>
    <w:p w14:paraId="60322722" w14:textId="77777777" w:rsidR="005850DB" w:rsidRDefault="00000000">
      <w:pPr>
        <w:bidi w:val="0"/>
        <w:spacing w:after="4" w:line="259" w:lineRule="auto"/>
        <w:ind w:left="10" w:right="714" w:hanging="10"/>
      </w:pPr>
      <w:r>
        <w:t xml:space="preserve"> . ]</w:t>
      </w:r>
      <w:r>
        <w:rPr>
          <w:rFonts w:ascii="Times New Roman" w:eastAsia="Times New Roman" w:hAnsi="Times New Roman" w:cs="Times New Roman"/>
        </w:rPr>
        <w:t>56</w:t>
      </w:r>
      <w:r>
        <w:t>[</w:t>
      </w:r>
    </w:p>
    <w:p w14:paraId="7F142C3F" w14:textId="77777777" w:rsidR="005850DB" w:rsidRDefault="00000000">
      <w:pPr>
        <w:numPr>
          <w:ilvl w:val="0"/>
          <w:numId w:val="20"/>
        </w:numPr>
        <w:ind w:left="643" w:right="240" w:hanging="363"/>
      </w:pPr>
      <w:r>
        <w:rPr>
          <w:b/>
          <w:bCs/>
          <w:szCs w:val="28"/>
          <w:rtl/>
        </w:rPr>
        <w:t>إدارة المخاطر منهجية ومنظمة:</w:t>
      </w:r>
      <w:r>
        <w:rPr>
          <w:szCs w:val="28"/>
          <w:rtl/>
        </w:rPr>
        <w:t xml:space="preserve"> يجب أن تكون عملية إدارة المخاطر منظمة ومنهجية لضمان أن جميع المخاطر يتم تحديدها وتحليلها ومعالجتها بشكل متسق وفعال] </w:t>
      </w:r>
      <w:r>
        <w:rPr>
          <w:rFonts w:ascii="Times New Roman" w:eastAsia="Times New Roman" w:hAnsi="Times New Roman" w:cs="Times New Roman"/>
          <w:szCs w:val="28"/>
        </w:rPr>
        <w:t>57</w:t>
      </w:r>
      <w:r>
        <w:rPr>
          <w:szCs w:val="28"/>
          <w:rtl/>
        </w:rPr>
        <w:t xml:space="preserve">[. </w:t>
      </w:r>
    </w:p>
    <w:p w14:paraId="43F2787A" w14:textId="77777777" w:rsidR="005850DB" w:rsidRDefault="00000000">
      <w:pPr>
        <w:numPr>
          <w:ilvl w:val="0"/>
          <w:numId w:val="20"/>
        </w:numPr>
        <w:ind w:left="643" w:right="240" w:hanging="363"/>
      </w:pPr>
      <w:r>
        <w:rPr>
          <w:b/>
          <w:bCs/>
          <w:szCs w:val="28"/>
          <w:rtl/>
        </w:rPr>
        <w:t>إدارة المخاطر تستند إلى أفضل المعلومات المتاحة:</w:t>
      </w:r>
      <w:r>
        <w:rPr>
          <w:szCs w:val="28"/>
          <w:rtl/>
        </w:rPr>
        <w:t xml:space="preserve"> يجب أن تستند ق ارارت إدارة المخاطر إلى أحدث وأدق المعلومات المتاحة، مع الأخذ في الاعتبار القيود والتحديات المتعلقة بجمع البيانات وتحليلها] </w:t>
      </w:r>
      <w:r>
        <w:rPr>
          <w:rFonts w:ascii="Times New Roman" w:eastAsia="Times New Roman" w:hAnsi="Times New Roman" w:cs="Times New Roman"/>
          <w:szCs w:val="28"/>
        </w:rPr>
        <w:t>58</w:t>
      </w:r>
      <w:r>
        <w:rPr>
          <w:szCs w:val="28"/>
          <w:rtl/>
        </w:rPr>
        <w:t xml:space="preserve">[ . </w:t>
      </w:r>
    </w:p>
    <w:p w14:paraId="4804C972" w14:textId="77777777" w:rsidR="005850DB" w:rsidRDefault="00000000">
      <w:pPr>
        <w:numPr>
          <w:ilvl w:val="0"/>
          <w:numId w:val="20"/>
        </w:numPr>
        <w:ind w:left="643" w:right="240" w:hanging="363"/>
      </w:pPr>
      <w:r>
        <w:rPr>
          <w:b/>
          <w:bCs/>
          <w:szCs w:val="28"/>
          <w:rtl/>
        </w:rPr>
        <w:t>إدارة المخاطر مصممة خصيصاً:</w:t>
      </w:r>
      <w:r>
        <w:rPr>
          <w:szCs w:val="28"/>
          <w:rtl/>
        </w:rPr>
        <w:t xml:space="preserve"> يجب أن تكون إدارة المخاطر مصممة لتناسب السياق المحدد للمنظمة، بما في ذلك أهدافها، وبيئتها الداخلية والخارجية، وثقافتها، ومواردها] </w:t>
      </w:r>
      <w:r>
        <w:rPr>
          <w:rFonts w:ascii="Times New Roman" w:eastAsia="Times New Roman" w:hAnsi="Times New Roman" w:cs="Times New Roman"/>
          <w:szCs w:val="28"/>
        </w:rPr>
        <w:t>59</w:t>
      </w:r>
      <w:r>
        <w:rPr>
          <w:szCs w:val="28"/>
          <w:rtl/>
        </w:rPr>
        <w:t xml:space="preserve">[ . </w:t>
      </w:r>
    </w:p>
    <w:p w14:paraId="7AB0EE2E" w14:textId="77777777" w:rsidR="005850DB" w:rsidRDefault="00000000">
      <w:pPr>
        <w:numPr>
          <w:ilvl w:val="0"/>
          <w:numId w:val="20"/>
        </w:numPr>
        <w:ind w:left="643" w:right="240" w:hanging="363"/>
      </w:pPr>
      <w:r>
        <w:rPr>
          <w:szCs w:val="28"/>
          <w:rtl/>
        </w:rPr>
        <w:t xml:space="preserve">إدارة المخاطر تأخذ في الاعتبار العوامل البشرية والثقافية: تلعب العوامل البشرية، مثل السلوك، والإد ارك، والقيم، دواًر مهماً في كيفية فهم المخاطر وإدارتها. يجب أن تأخذ عملية إدارة المخاطر هذه العوامل في الاعتبار] </w:t>
      </w:r>
      <w:r>
        <w:rPr>
          <w:rFonts w:ascii="Times New Roman" w:eastAsia="Times New Roman" w:hAnsi="Times New Roman" w:cs="Times New Roman"/>
          <w:szCs w:val="28"/>
        </w:rPr>
        <w:t>60</w:t>
      </w:r>
      <w:r>
        <w:rPr>
          <w:szCs w:val="28"/>
          <w:rtl/>
        </w:rPr>
        <w:t xml:space="preserve">[. </w:t>
      </w:r>
    </w:p>
    <w:p w14:paraId="70AE5DC2" w14:textId="77777777" w:rsidR="005850DB" w:rsidRDefault="00000000">
      <w:pPr>
        <w:numPr>
          <w:ilvl w:val="0"/>
          <w:numId w:val="20"/>
        </w:numPr>
        <w:ind w:left="643" w:right="240" w:hanging="363"/>
      </w:pPr>
      <w:r>
        <w:rPr>
          <w:b/>
          <w:bCs/>
          <w:szCs w:val="28"/>
          <w:rtl/>
        </w:rPr>
        <w:t>إدارة المخاطر شفافة وشاملة:</w:t>
      </w:r>
      <w:r>
        <w:rPr>
          <w:szCs w:val="28"/>
          <w:rtl/>
        </w:rPr>
        <w:t xml:space="preserve"> يجب أن تكون عملية إدارة المخاطر شفافة، وأن تشمل جميع أصحاب المصلحة المعنيين لضمان فهم مشترك للمخاطر واست ارتيجيات التعامل معها] </w:t>
      </w:r>
      <w:r>
        <w:rPr>
          <w:rFonts w:ascii="Times New Roman" w:eastAsia="Times New Roman" w:hAnsi="Times New Roman" w:cs="Times New Roman"/>
          <w:szCs w:val="28"/>
        </w:rPr>
        <w:t>61</w:t>
      </w:r>
      <w:r>
        <w:rPr>
          <w:szCs w:val="28"/>
          <w:rtl/>
        </w:rPr>
        <w:t xml:space="preserve">[ . </w:t>
      </w:r>
    </w:p>
    <w:p w14:paraId="6C4FCFD6" w14:textId="77777777" w:rsidR="005850DB" w:rsidRDefault="00000000">
      <w:pPr>
        <w:numPr>
          <w:ilvl w:val="0"/>
          <w:numId w:val="20"/>
        </w:numPr>
        <w:ind w:left="643" w:right="240" w:hanging="363"/>
      </w:pPr>
      <w:r>
        <w:rPr>
          <w:b/>
          <w:bCs/>
          <w:szCs w:val="28"/>
          <w:rtl/>
        </w:rPr>
        <w:lastRenderedPageBreak/>
        <w:t>إدارة المخاطر ديناميكية ومتكررة وتستجيب للتغيير:</w:t>
      </w:r>
      <w:r>
        <w:rPr>
          <w:szCs w:val="28"/>
          <w:rtl/>
        </w:rPr>
        <w:t xml:space="preserve"> يجب أن تكون عملية إدارة المخاطر مستمرة، وتتطور مع تغير الظروف. يجب م ارجعة المخاطر واست ارتيجيات التعامل معها بانتظام وتحديثها حسب الحاجة] </w:t>
      </w:r>
      <w:r>
        <w:rPr>
          <w:rFonts w:ascii="Times New Roman" w:eastAsia="Times New Roman" w:hAnsi="Times New Roman" w:cs="Times New Roman"/>
          <w:szCs w:val="28"/>
        </w:rPr>
        <w:t>62</w:t>
      </w:r>
      <w:r>
        <w:rPr>
          <w:szCs w:val="28"/>
          <w:rtl/>
        </w:rPr>
        <w:t xml:space="preserve">[. </w:t>
      </w:r>
    </w:p>
    <w:p w14:paraId="4CE54864" w14:textId="77777777" w:rsidR="005850DB" w:rsidRDefault="00000000">
      <w:pPr>
        <w:spacing w:after="4" w:line="245" w:lineRule="auto"/>
        <w:ind w:right="327" w:hanging="5"/>
        <w:jc w:val="both"/>
      </w:pPr>
      <w:r>
        <w:rPr>
          <w:szCs w:val="28"/>
          <w:rtl/>
        </w:rPr>
        <w:t xml:space="preserve">تطبيق هذه المبادئ يضمن أن تكون إدارة المخاطر ليست مجرد مجموعة من الإج ارءات، بل هي جزء حيوي من ثقافة المنظمة وعملياتها، مما يعزز قدرتها على تحقيق النجاح في بيئة مليئة بعدم اليقين.  </w:t>
      </w:r>
      <w:r>
        <w:rPr>
          <w:b/>
          <w:bCs/>
          <w:sz w:val="32"/>
          <w:szCs w:val="32"/>
          <w:rtl/>
        </w:rPr>
        <w:t xml:space="preserve">المارجع:  </w:t>
      </w:r>
    </w:p>
    <w:p w14:paraId="131703B7" w14:textId="77777777" w:rsidR="005850DB" w:rsidRDefault="00000000">
      <w:pPr>
        <w:bidi w:val="0"/>
        <w:spacing w:after="13"/>
        <w:ind w:left="26" w:right="0" w:hanging="10"/>
      </w:pPr>
      <w:r>
        <w:rPr>
          <w:rFonts w:ascii="Times New Roman" w:eastAsia="Times New Roman" w:hAnsi="Times New Roman" w:cs="Times New Roman"/>
          <w:sz w:val="24"/>
        </w:rPr>
        <w:t xml:space="preserve">[52] Purdy, G. (2010). ISO 31000:2009—Setting a new standard for risk management. Risk </w:t>
      </w:r>
    </w:p>
    <w:p w14:paraId="74F63FB8" w14:textId="77777777" w:rsidR="005850DB" w:rsidRDefault="00000000">
      <w:pPr>
        <w:bidi w:val="0"/>
        <w:spacing w:after="3" w:line="248" w:lineRule="auto"/>
        <w:ind w:left="274" w:right="-7" w:hanging="195"/>
        <w:jc w:val="left"/>
      </w:pPr>
      <w:r>
        <w:rPr>
          <w:rFonts w:ascii="Times New Roman" w:eastAsia="Times New Roman" w:hAnsi="Times New Roman" w:cs="Times New Roman"/>
          <w:sz w:val="24"/>
        </w:rPr>
        <w:t xml:space="preserve">Analysis: An International Journal, 30(6), 881-886. [53] Aven, T. (2016). Risk assessment and risk management: Review of recent advances and future challenges. Reliability Engineering </w:t>
      </w:r>
    </w:p>
    <w:p w14:paraId="25F7778C"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&amp; System Safety, 154, 1-13. [54] International Organization for Standardization. (2018). ISO </w:t>
      </w:r>
    </w:p>
    <w:p w14:paraId="21B1F986" w14:textId="77777777" w:rsidR="005850DB" w:rsidRDefault="00000000">
      <w:pPr>
        <w:bidi w:val="0"/>
        <w:spacing w:after="13"/>
        <w:ind w:left="26" w:right="0" w:hanging="10"/>
      </w:pPr>
      <w:r>
        <w:rPr>
          <w:rFonts w:ascii="Times New Roman" w:eastAsia="Times New Roman" w:hAnsi="Times New Roman" w:cs="Times New Roman"/>
          <w:sz w:val="24"/>
        </w:rPr>
        <w:t xml:space="preserve">31000: Risk management – Guidelines. ISO. [55] COSO. (2017). Enterprise Risk </w:t>
      </w:r>
    </w:p>
    <w:p w14:paraId="43BE3DFB" w14:textId="77777777" w:rsidR="005850DB" w:rsidRDefault="00000000">
      <w:pPr>
        <w:bidi w:val="0"/>
        <w:spacing w:after="13"/>
        <w:ind w:left="26" w:right="0" w:hanging="10"/>
      </w:pPr>
      <w:r>
        <w:rPr>
          <w:rFonts w:ascii="Times New Roman" w:eastAsia="Times New Roman" w:hAnsi="Times New Roman" w:cs="Times New Roman"/>
          <w:sz w:val="24"/>
        </w:rPr>
        <w:t xml:space="preserve">Management—Integrating with Strategy and Performance. The Committee of Sponsoring </w:t>
      </w:r>
    </w:p>
    <w:p w14:paraId="745C97C7" w14:textId="77777777" w:rsidR="005850DB" w:rsidRDefault="00000000">
      <w:pPr>
        <w:bidi w:val="0"/>
        <w:spacing w:after="3" w:line="248" w:lineRule="auto"/>
        <w:ind w:left="79" w:right="-7" w:firstLine="545"/>
        <w:jc w:val="left"/>
      </w:pPr>
      <w:r>
        <w:rPr>
          <w:rFonts w:ascii="Times New Roman" w:eastAsia="Times New Roman" w:hAnsi="Times New Roman" w:cs="Times New Roman"/>
          <w:sz w:val="24"/>
        </w:rPr>
        <w:t xml:space="preserve">Organizations of the Treadway Commission. [56] Hillson, D. (2009). Managing risks in projects. Gower Publishing, Ltd. [57] Chapman, R. J. (2011). Simple tools and techniques for enterprise risk management. John Wiley &amp; Sons. [58] Ward, S., &amp; Chapman, C. (2003). Project risk management: Processes, techniques and insights. John Wiley &amp; Sons. [59] </w:t>
      </w:r>
    </w:p>
    <w:p w14:paraId="1F37A614" w14:textId="77777777" w:rsidR="005850DB" w:rsidRDefault="00000000">
      <w:pPr>
        <w:bidi w:val="0"/>
        <w:spacing w:after="3" w:line="248" w:lineRule="auto"/>
        <w:ind w:left="351" w:right="-7" w:firstLine="523"/>
        <w:jc w:val="left"/>
      </w:pPr>
      <w:r>
        <w:rPr>
          <w:rFonts w:ascii="Times New Roman" w:eastAsia="Times New Roman" w:hAnsi="Times New Roman" w:cs="Times New Roman"/>
          <w:sz w:val="24"/>
        </w:rPr>
        <w:t xml:space="preserve">Hopkin, P. (2018). Fundamentals of risk management: Understanding, evaluating and implementing effective risk management (5th ed.). Kogan Page Publishers. [60] Standards Australia. (2009). AS/NZS ISO 31000:2009 Risk management – Principles and guidelines. </w:t>
      </w:r>
    </w:p>
    <w:p w14:paraId="34EB1F9D" w14:textId="77777777" w:rsidR="005850DB" w:rsidRDefault="00000000">
      <w:pPr>
        <w:bidi w:val="0"/>
        <w:spacing w:after="3" w:line="248" w:lineRule="auto"/>
        <w:ind w:left="89" w:right="-7" w:hanging="10"/>
        <w:jc w:val="left"/>
      </w:pPr>
      <w:r>
        <w:rPr>
          <w:rFonts w:ascii="Times New Roman" w:eastAsia="Times New Roman" w:hAnsi="Times New Roman" w:cs="Times New Roman"/>
          <w:sz w:val="24"/>
        </w:rPr>
        <w:t xml:space="preserve">Standards Australia. [61] Deloitte. (2016). Risk Management Frameworks: A Practical Guide. </w:t>
      </w:r>
    </w:p>
    <w:p w14:paraId="3B28956A" w14:textId="77777777" w:rsidR="005850DB" w:rsidRDefault="00000000">
      <w:pPr>
        <w:bidi w:val="0"/>
        <w:spacing w:after="321" w:line="248" w:lineRule="auto"/>
        <w:ind w:left="233" w:right="-7" w:hanging="154"/>
        <w:jc w:val="left"/>
      </w:pPr>
      <w:r>
        <w:rPr>
          <w:rFonts w:ascii="Times New Roman" w:eastAsia="Times New Roman" w:hAnsi="Times New Roman" w:cs="Times New Roman"/>
          <w:sz w:val="24"/>
        </w:rPr>
        <w:t xml:space="preserve">Deloitte Touche Tohmatsu Limited. [62] Project Management Institute. (2017). A Guide to the Project Management Body of Knowledge (PMBOK® Guide) (6th ed.). Project Management </w:t>
      </w:r>
      <w:r>
        <w:t xml:space="preserve"> </w:t>
      </w:r>
      <w:r>
        <w:rPr>
          <w:rFonts w:ascii="Times New Roman" w:eastAsia="Times New Roman" w:hAnsi="Times New Roman" w:cs="Times New Roman"/>
          <w:sz w:val="37"/>
          <w:vertAlign w:val="subscript"/>
        </w:rPr>
        <w:t>Institute.</w:t>
      </w:r>
    </w:p>
    <w:p w14:paraId="1EF8D302" w14:textId="77777777" w:rsidR="005850DB" w:rsidRDefault="00000000">
      <w:pPr>
        <w:bidi w:val="0"/>
        <w:spacing w:after="0" w:line="259" w:lineRule="auto"/>
        <w:ind w:left="0" w:right="58" w:firstLine="0"/>
      </w:pPr>
      <w:r>
        <w:t xml:space="preserve"> </w:t>
      </w:r>
    </w:p>
    <w:p w14:paraId="4AC3C2DA"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دارسات حول المخاطر التشغيلية في التصنيع </w:t>
      </w:r>
      <w:r>
        <w:rPr>
          <w:rFonts w:ascii="Times New Roman" w:eastAsia="Times New Roman" w:hAnsi="Times New Roman" w:cs="Times New Roman"/>
          <w:bCs/>
          <w:szCs w:val="32"/>
          <w:rtl/>
        </w:rPr>
        <w:t xml:space="preserve"> </w:t>
      </w:r>
    </w:p>
    <w:p w14:paraId="5316F7D7" w14:textId="77777777" w:rsidR="005850DB" w:rsidRDefault="00000000">
      <w:pPr>
        <w:spacing w:after="29"/>
        <w:ind w:right="586"/>
      </w:pPr>
      <w:r>
        <w:rPr>
          <w:szCs w:val="28"/>
          <w:rtl/>
        </w:rPr>
        <w:t xml:space="preserve">تعد المخاطر التشغيلية من أبرز التحديات التي تواجه قطاع التصنيع، وتشمل مجموعة واسعة من المشكلات المتعلقة بالعمليات اليومية، مثل تعطل المعدات، والأخطاء البشرية، ومشكلات الجودة، واضط اربات الإنتاج. وقد أولت العديد من الد ارسات اهتماماً خاصاً لهذه المخاطر وتأثيرها على أداء الشركات المصنعة. </w:t>
      </w:r>
    </w:p>
    <w:p w14:paraId="332EDA5C" w14:textId="77777777" w:rsidR="005850DB" w:rsidRDefault="00000000">
      <w:pPr>
        <w:ind w:right="257"/>
      </w:pPr>
      <w:r>
        <w:rPr>
          <w:szCs w:val="28"/>
          <w:rtl/>
        </w:rPr>
        <w:t>على سبيل المثال، قام لي وآخرون )</w:t>
      </w:r>
      <w:r>
        <w:rPr>
          <w:rFonts w:ascii="Times New Roman" w:eastAsia="Times New Roman" w:hAnsi="Times New Roman" w:cs="Times New Roman"/>
          <w:sz w:val="24"/>
        </w:rPr>
        <w:t>Lee et al., 2017</w:t>
      </w:r>
      <w:r>
        <w:rPr>
          <w:szCs w:val="28"/>
          <w:rtl/>
        </w:rPr>
        <w:t xml:space="preserve">( بد ارسة تحليلية للمخاطر التشغيلية في صناعة الإلكترونيات، ووجدوا أن المخاطر المتعلقة بفشل المكونات الإلكترونية، والأخطاء في خطوط التجميع، ونقص العمالة الماهرة، هي الأكثر تأثي اًر على كفاءة الإنتاج. وأوصت الد ارسة بتبني أنظمة م ارقبة جودة صارمة، وتدريب مكثف للعمال، واستخدام تقنيات الصيانة التنبؤية لتقليل هذه المخاطر] </w:t>
      </w:r>
      <w:r>
        <w:rPr>
          <w:rFonts w:ascii="Times New Roman" w:eastAsia="Times New Roman" w:hAnsi="Times New Roman" w:cs="Times New Roman"/>
          <w:szCs w:val="28"/>
        </w:rPr>
        <w:t>63</w:t>
      </w:r>
      <w:r>
        <w:rPr>
          <w:szCs w:val="28"/>
          <w:rtl/>
        </w:rPr>
        <w:t xml:space="preserve">[ . </w:t>
      </w:r>
    </w:p>
    <w:p w14:paraId="277BBA70" w14:textId="77777777" w:rsidR="005850DB" w:rsidRDefault="00000000">
      <w:pPr>
        <w:spacing w:after="2" w:line="259" w:lineRule="auto"/>
        <w:ind w:left="12" w:right="0" w:hanging="10"/>
        <w:jc w:val="left"/>
      </w:pPr>
      <w:r>
        <w:rPr>
          <w:szCs w:val="28"/>
          <w:rtl/>
        </w:rPr>
        <w:t>وفي د ارسة أخرى، بحث وانغ وجاو )</w:t>
      </w:r>
      <w:r>
        <w:rPr>
          <w:rFonts w:ascii="Times New Roman" w:eastAsia="Times New Roman" w:hAnsi="Times New Roman" w:cs="Times New Roman"/>
          <w:sz w:val="24"/>
        </w:rPr>
        <w:t>Gao, 2019</w:t>
      </w:r>
      <w:r>
        <w:t xml:space="preserve"> &amp; </w:t>
      </w:r>
      <w:r>
        <w:rPr>
          <w:rFonts w:ascii="Times New Roman" w:eastAsia="Times New Roman" w:hAnsi="Times New Roman" w:cs="Times New Roman"/>
          <w:sz w:val="24"/>
        </w:rPr>
        <w:t>Wang</w:t>
      </w:r>
      <w:r>
        <w:rPr>
          <w:szCs w:val="28"/>
          <w:rtl/>
        </w:rPr>
        <w:t xml:space="preserve">( في المخاطر التشغيلية في صناعة </w:t>
      </w:r>
    </w:p>
    <w:p w14:paraId="50AC2B4F" w14:textId="77777777" w:rsidR="005850DB" w:rsidRDefault="00000000">
      <w:pPr>
        <w:spacing w:after="35"/>
        <w:ind w:right="100"/>
      </w:pPr>
      <w:r>
        <w:rPr>
          <w:szCs w:val="28"/>
          <w:rtl/>
        </w:rPr>
        <w:lastRenderedPageBreak/>
        <w:t xml:space="preserve">السيا ارت، مع التركيز على تأثيرها على سلاسل التوريد. وأشارت النتائج إلى أن المخاطر المتعلقة بتأخير الموردين، ومشكلات جودة المواد الخام، وتقلبات الطلب، يمكن أن تؤدي إلى خسائر كبيرة في الإنتاج وتكاليف إضافية. واقترحت الد ارسة بناء علاقات قوية مع الموردين، وتطبيق أنظمة تخطيط موارد المؤسسات) </w:t>
      </w:r>
      <w:r>
        <w:rPr>
          <w:rFonts w:ascii="Times New Roman" w:eastAsia="Times New Roman" w:hAnsi="Times New Roman" w:cs="Times New Roman"/>
          <w:sz w:val="24"/>
        </w:rPr>
        <w:t>ERP</w:t>
      </w:r>
      <w:r>
        <w:rPr>
          <w:szCs w:val="28"/>
          <w:rtl/>
        </w:rPr>
        <w:t xml:space="preserve">( لتحسين التنسيق والشفافية في سلسلة التوريد] </w:t>
      </w:r>
      <w:r>
        <w:rPr>
          <w:rFonts w:ascii="Times New Roman" w:eastAsia="Times New Roman" w:hAnsi="Times New Roman" w:cs="Times New Roman"/>
          <w:szCs w:val="28"/>
        </w:rPr>
        <w:t>64</w:t>
      </w:r>
      <w:r>
        <w:rPr>
          <w:szCs w:val="28"/>
          <w:rtl/>
        </w:rPr>
        <w:t xml:space="preserve">[ . </w:t>
      </w:r>
    </w:p>
    <w:p w14:paraId="7806609E" w14:textId="77777777" w:rsidR="005850DB" w:rsidRDefault="00000000">
      <w:pPr>
        <w:ind w:right="19"/>
      </w:pPr>
      <w:r>
        <w:rPr>
          <w:szCs w:val="28"/>
          <w:rtl/>
        </w:rPr>
        <w:t>كما تناولت د ارسة زو وآخرون )</w:t>
      </w:r>
      <w:r>
        <w:rPr>
          <w:rFonts w:ascii="Times New Roman" w:eastAsia="Times New Roman" w:hAnsi="Times New Roman" w:cs="Times New Roman"/>
          <w:sz w:val="24"/>
        </w:rPr>
        <w:t>Zhou et al., 2020</w:t>
      </w:r>
      <w:r>
        <w:rPr>
          <w:szCs w:val="28"/>
          <w:rtl/>
        </w:rPr>
        <w:t xml:space="preserve">( المخاطر التشغيلية في صناعة الأغذية والمشروبات، مع التركيز على مخاطر سلامة الغذاء. وخلصت الد ارسة إلى أن عدم الالت ازم بمعايير النظافة، وتلوث المواد الخام، ومشكلات التخزين، يمكن أن تؤدي إلى تلوث المنتجات وسحبها من السوق، مما يضر بسمعة الشركة ويسبب خسائر مالية. وأوصت الد ارسة بتطبيق أنظمة إدارة سلامة الغذاء) </w:t>
      </w:r>
      <w:r>
        <w:rPr>
          <w:rFonts w:ascii="Times New Roman" w:eastAsia="Times New Roman" w:hAnsi="Times New Roman" w:cs="Times New Roman"/>
          <w:sz w:val="24"/>
        </w:rPr>
        <w:t>FSMS</w:t>
      </w:r>
      <w:r>
        <w:rPr>
          <w:szCs w:val="28"/>
          <w:rtl/>
        </w:rPr>
        <w:t xml:space="preserve">( الصارمة، وإج ارء عمليات تدقيق منتظمة، وتدريب الموظفين على أفضل الممارسات] </w:t>
      </w:r>
      <w:r>
        <w:rPr>
          <w:rFonts w:ascii="Times New Roman" w:eastAsia="Times New Roman" w:hAnsi="Times New Roman" w:cs="Times New Roman"/>
          <w:szCs w:val="28"/>
        </w:rPr>
        <w:t>65</w:t>
      </w:r>
      <w:r>
        <w:rPr>
          <w:szCs w:val="28"/>
          <w:rtl/>
        </w:rPr>
        <w:t xml:space="preserve">[ . </w:t>
      </w:r>
    </w:p>
    <w:p w14:paraId="27B59552" w14:textId="77777777" w:rsidR="005850DB" w:rsidRDefault="00000000">
      <w:pPr>
        <w:ind w:right="100"/>
      </w:pPr>
      <w:r>
        <w:rPr>
          <w:szCs w:val="28"/>
          <w:rtl/>
        </w:rPr>
        <w:t xml:space="preserve">تظهر هذه الد ارسات أن المخاطر التشغيلية متنوعة وتختلف باختلاف الصناعة، ولكنها تشترك في كونها تؤثر بشكل مباشر على كفاءة الإنتاج وجودة المنتج. إن فهم هذه المخاطر وتطوير است ارتيجيات فعالة لإدارتها يعد أم اًر حيوياً لضمان استم اررية العمليات ونجاح الشركات المصنعة. </w:t>
      </w:r>
    </w:p>
    <w:p w14:paraId="7C2E3171" w14:textId="77777777" w:rsidR="005850DB" w:rsidRDefault="00000000">
      <w:pPr>
        <w:bidi w:val="0"/>
        <w:spacing w:after="27" w:line="259" w:lineRule="auto"/>
        <w:ind w:left="0" w:right="58" w:firstLine="0"/>
      </w:pPr>
      <w:r>
        <w:t xml:space="preserve"> </w:t>
      </w:r>
    </w:p>
    <w:p w14:paraId="132BC745"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دارسات حول مخاطر سلسلة التوريد في التصنيع  </w:t>
      </w:r>
    </w:p>
    <w:p w14:paraId="1188686D" w14:textId="77777777" w:rsidR="005850DB" w:rsidRDefault="00000000">
      <w:pPr>
        <w:spacing w:after="34"/>
        <w:ind w:right="168"/>
      </w:pPr>
      <w:r>
        <w:rPr>
          <w:szCs w:val="28"/>
          <w:rtl/>
        </w:rPr>
        <w:t xml:space="preserve">تعد سلاسل التوريد في قطاع التصنيع معقدة وعالمية، مما يجعلها عرضة لمجموعة واسعة من المخاطر التي يمكن أن تؤثر على تدفق المواد والمعلومات والمنتجات. وقد حظيت إدارة مخاطر سلسلة التوريد باهتمام كبير في الأدبيات الأكاديمية، خاصة في السنوات الأخيرة مع ت ازيد الا ضط اربات العالمية.  </w:t>
      </w:r>
    </w:p>
    <w:p w14:paraId="391AE694" w14:textId="77777777" w:rsidR="005850DB" w:rsidRDefault="00000000">
      <w:pPr>
        <w:spacing w:after="27"/>
        <w:ind w:right="252"/>
      </w:pPr>
      <w:r>
        <w:rPr>
          <w:szCs w:val="28"/>
          <w:rtl/>
        </w:rPr>
        <w:t>على سبيل المثال، قام هوانغ وآخرون )</w:t>
      </w:r>
      <w:r>
        <w:rPr>
          <w:rFonts w:ascii="Times New Roman" w:eastAsia="Times New Roman" w:hAnsi="Times New Roman" w:cs="Times New Roman"/>
          <w:sz w:val="24"/>
        </w:rPr>
        <w:t>Huang et al., 2018</w:t>
      </w:r>
      <w:r>
        <w:rPr>
          <w:szCs w:val="28"/>
          <w:rtl/>
        </w:rPr>
        <w:t xml:space="preserve">( بد ارسة شاملة لمخاطر سلسلة التوريد في صناعة النسيج، ووجدوا أن المخاطر المتعلقة بتقلبات أسعار المواد الخام، وعدم استق ارر الموردين، ومشكلات النقل، هي الأكثر تأثي اًر على أداء سلسلة التوريد. وأوصت الد ارسة بتبني است ارتيجيات تنويع الموردين، وبناء علاقات طويلة الأمد معهم، واستخدام تقنيات التنبؤ بالطلب لتقليل هذه المخاطر] </w:t>
      </w:r>
      <w:r>
        <w:rPr>
          <w:rFonts w:ascii="Times New Roman" w:eastAsia="Times New Roman" w:hAnsi="Times New Roman" w:cs="Times New Roman"/>
          <w:szCs w:val="28"/>
        </w:rPr>
        <w:t>66</w:t>
      </w:r>
      <w:r>
        <w:rPr>
          <w:szCs w:val="28"/>
          <w:rtl/>
        </w:rPr>
        <w:t>[ . وفي د ارسة أخرى، ركز شن وآخرون )</w:t>
      </w:r>
      <w:r>
        <w:rPr>
          <w:rFonts w:ascii="Times New Roman" w:eastAsia="Times New Roman" w:hAnsi="Times New Roman" w:cs="Times New Roman"/>
          <w:sz w:val="24"/>
        </w:rPr>
        <w:t>Chen et al., 2021</w:t>
      </w:r>
      <w:r>
        <w:rPr>
          <w:szCs w:val="28"/>
          <w:rtl/>
        </w:rPr>
        <w:t>( على إدارة مخاطر سلسلة التوريد في صناعة الأدوية، مع التركيز على مخاطر الجودة والامتثال التنظيمي. وأشارت النتائج إلى أن عدم الالت ازم بالمعايير الصارمة، وتلوث المواد الخام، ومشكلات التخزين والنقل، يمكن أن تؤدي إلى سحب المنتجات من السوق وتكاليف قانونية باهظة. واقترحت الد ارسة تطبيق أنظمة تتبع متقدمة، وإج ارء عمليات تدقيق منتظمة للموردين، وتعزيز التعاون بين جميع أط ارف سلسلة التوريد ]</w:t>
      </w:r>
      <w:r>
        <w:rPr>
          <w:rFonts w:ascii="Times New Roman" w:eastAsia="Times New Roman" w:hAnsi="Times New Roman" w:cs="Times New Roman"/>
          <w:szCs w:val="28"/>
        </w:rPr>
        <w:t>67</w:t>
      </w:r>
      <w:r>
        <w:rPr>
          <w:szCs w:val="28"/>
          <w:rtl/>
        </w:rPr>
        <w:t xml:space="preserve">[. </w:t>
      </w:r>
    </w:p>
    <w:p w14:paraId="580C9275" w14:textId="77777777" w:rsidR="005850DB" w:rsidRDefault="00000000">
      <w:pPr>
        <w:ind w:right="286"/>
      </w:pPr>
      <w:r>
        <w:rPr>
          <w:szCs w:val="28"/>
          <w:rtl/>
        </w:rPr>
        <w:lastRenderedPageBreak/>
        <w:t>كما تناولت د ارسة جوبتا وآخرون )</w:t>
      </w:r>
      <w:r>
        <w:rPr>
          <w:rFonts w:ascii="Times New Roman" w:eastAsia="Times New Roman" w:hAnsi="Times New Roman" w:cs="Times New Roman"/>
          <w:sz w:val="24"/>
        </w:rPr>
        <w:t>Gupta et al., 2019</w:t>
      </w:r>
      <w:r>
        <w:rPr>
          <w:szCs w:val="28"/>
          <w:rtl/>
        </w:rPr>
        <w:t xml:space="preserve">( تأثير الكوارث الطبيعية على سلاسل التوريد العالمية في قطاع التصنيع. وخلصت الد ارسة إلى أن الشركات التي لديها سلاسل توريد مرنة ومتنوعة، وتطبق خطط استم اررية الأعمال، تكون أكثر قدرة على التعافي من الاضط اربات. وأوصت الد ارسة بضرورة تقييم المخاطر الجغ ارفية، وتط وير خطط طوارئ شاملة، والاستثمار في التكنولوجيا التي تدعم الشفافية في سلسلة التوريد] </w:t>
      </w:r>
      <w:r>
        <w:rPr>
          <w:rFonts w:ascii="Times New Roman" w:eastAsia="Times New Roman" w:hAnsi="Times New Roman" w:cs="Times New Roman"/>
          <w:szCs w:val="28"/>
        </w:rPr>
        <w:t>68</w:t>
      </w:r>
      <w:r>
        <w:rPr>
          <w:szCs w:val="28"/>
          <w:rtl/>
        </w:rPr>
        <w:t xml:space="preserve">[ . </w:t>
      </w:r>
    </w:p>
    <w:p w14:paraId="755B7269" w14:textId="77777777" w:rsidR="005850DB" w:rsidRDefault="00000000">
      <w:pPr>
        <w:ind w:right="100"/>
      </w:pPr>
      <w:r>
        <w:rPr>
          <w:szCs w:val="28"/>
          <w:rtl/>
        </w:rPr>
        <w:t xml:space="preserve">تظهر هذه الد ارسات أن إدارة مخاطر سلسلة التوريد تتطلب نهجاً شاملاً يغطي جميع جوانب السلسلة، من الموردين إلى العملاء. إن بناء سلاسل توريد مرنة وقادرة على التكيف يعد أم اًر حيوياً لضمان استم اررية العمليات وتقليل الخسائر المحتملة في بيئة الأعمال العالمية المتقلبة. </w:t>
      </w:r>
      <w:r>
        <w:rPr>
          <w:rFonts w:ascii="Times New Roman" w:eastAsia="Times New Roman" w:hAnsi="Times New Roman" w:cs="Times New Roman"/>
          <w:szCs w:val="28"/>
          <w:rtl/>
        </w:rPr>
        <w:t xml:space="preserve"> </w:t>
      </w:r>
    </w:p>
    <w:p w14:paraId="5041132A" w14:textId="77777777" w:rsidR="005850DB" w:rsidRDefault="00000000">
      <w:pPr>
        <w:bidi w:val="0"/>
        <w:spacing w:after="29" w:line="259" w:lineRule="auto"/>
        <w:ind w:left="0" w:right="58" w:firstLine="0"/>
      </w:pPr>
      <w:r>
        <w:t xml:space="preserve"> </w:t>
      </w:r>
    </w:p>
    <w:p w14:paraId="6B89172F"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bCs/>
          <w:szCs w:val="32"/>
          <w:rtl/>
        </w:rPr>
        <w:t xml:space="preserve"> دارسات حول المخاطر المالية في التصنيع  </w:t>
      </w:r>
    </w:p>
    <w:p w14:paraId="054B599E" w14:textId="77777777" w:rsidR="005850DB" w:rsidRDefault="00000000">
      <w:pPr>
        <w:spacing w:after="27"/>
        <w:ind w:right="100"/>
      </w:pPr>
      <w:r>
        <w:rPr>
          <w:szCs w:val="28"/>
          <w:rtl/>
        </w:rPr>
        <w:t xml:space="preserve">تعد المخاطر المالية جزءاً لا يتج أز من بيئة الأعمال في قطاع التصنيع، وتشمل مجموعة من التحديات المتعلقة بالسيولة، والربحية، وتقلبات السوق، وأسعار الصرف. وقد تناولت العديد من الد ارسات الأكاديمية هذه المخاطر وتأثيرها على أداء الشركات المصنعة. </w:t>
      </w:r>
    </w:p>
    <w:p w14:paraId="36B9B979" w14:textId="77777777" w:rsidR="005850DB" w:rsidRDefault="00000000">
      <w:pPr>
        <w:ind w:right="301"/>
      </w:pPr>
      <w:r>
        <w:rPr>
          <w:szCs w:val="28"/>
          <w:rtl/>
        </w:rPr>
        <w:t>على سبيل المثال، قام وانغ وآخرون )</w:t>
      </w:r>
      <w:r>
        <w:rPr>
          <w:rFonts w:ascii="Times New Roman" w:eastAsia="Times New Roman" w:hAnsi="Times New Roman" w:cs="Times New Roman"/>
          <w:sz w:val="24"/>
        </w:rPr>
        <w:t>Wang et al., 2016</w:t>
      </w:r>
      <w:r>
        <w:rPr>
          <w:szCs w:val="28"/>
          <w:rtl/>
        </w:rPr>
        <w:t xml:space="preserve">( بد ارسة تحليلية للمخاطر المالية في صناعة الصلب، ووجدوا أن المخاطر المتعلقة بتقلبات أسعار المواد الخام، وتقلبات أسعار المنتجات النهائية، ومخاطر أسعار الصرف، هي الأكثر تأثي اًر على ربحية الشركات. وأوصت الد ارسة بتبني است ارتيجيات التحوط) </w:t>
      </w:r>
      <w:r>
        <w:rPr>
          <w:rFonts w:ascii="Times New Roman" w:eastAsia="Times New Roman" w:hAnsi="Times New Roman" w:cs="Times New Roman"/>
          <w:sz w:val="24"/>
        </w:rPr>
        <w:t>Hedging</w:t>
      </w:r>
      <w:r>
        <w:rPr>
          <w:szCs w:val="28"/>
          <w:rtl/>
        </w:rPr>
        <w:t xml:space="preserve">( المالي، وتنويع مصادر الإي اردات، وتحسين إدارة أرس المال العامل] </w:t>
      </w:r>
      <w:r>
        <w:rPr>
          <w:rFonts w:ascii="Times New Roman" w:eastAsia="Times New Roman" w:hAnsi="Times New Roman" w:cs="Times New Roman"/>
          <w:szCs w:val="28"/>
        </w:rPr>
        <w:t>69</w:t>
      </w:r>
      <w:r>
        <w:rPr>
          <w:szCs w:val="28"/>
          <w:rtl/>
        </w:rPr>
        <w:t xml:space="preserve">[ . </w:t>
      </w:r>
    </w:p>
    <w:p w14:paraId="0E0D1DD8" w14:textId="77777777" w:rsidR="005850DB" w:rsidRDefault="00000000">
      <w:pPr>
        <w:spacing w:after="31"/>
        <w:ind w:right="100"/>
      </w:pPr>
      <w:r>
        <w:rPr>
          <w:szCs w:val="28"/>
          <w:rtl/>
        </w:rPr>
        <w:t>وفي د ارسة أخرى، ركز لي ووانغ )</w:t>
      </w:r>
      <w:r>
        <w:rPr>
          <w:rFonts w:ascii="Times New Roman" w:eastAsia="Times New Roman" w:hAnsi="Times New Roman" w:cs="Times New Roman"/>
          <w:sz w:val="24"/>
        </w:rPr>
        <w:t>Wang, 2018</w:t>
      </w:r>
      <w:r>
        <w:t xml:space="preserve"> &amp; </w:t>
      </w:r>
      <w:r>
        <w:rPr>
          <w:rFonts w:ascii="Times New Roman" w:eastAsia="Times New Roman" w:hAnsi="Times New Roman" w:cs="Times New Roman"/>
          <w:sz w:val="24"/>
        </w:rPr>
        <w:t>Li</w:t>
      </w:r>
      <w:r>
        <w:rPr>
          <w:szCs w:val="28"/>
          <w:rtl/>
        </w:rPr>
        <w:t xml:space="preserve">( على المخاطر المالية في صناعة الآلات الثقيلة ،مع التركيز على مخاطر الائتمان والسيولة. وأشارت النتائج إلى أن عدم قدرة العملاء على السداد، وصعوبة الحصول على تمويل، وتقلبات أسعار الفائدة، يمكن أن تؤدي إلى مشكلات سيولة خطيرة وتؤثر على قدرة الشركات على تنفيذ المشاريع. واقترحت الد ارسة تطبيق سياسات ائتمانية صارمة، وبناء احتياطيات نقدية كافية، وتنويع مصادر التمويل] </w:t>
      </w:r>
      <w:r>
        <w:rPr>
          <w:rFonts w:ascii="Times New Roman" w:eastAsia="Times New Roman" w:hAnsi="Times New Roman" w:cs="Times New Roman"/>
          <w:szCs w:val="28"/>
        </w:rPr>
        <w:t>70</w:t>
      </w:r>
      <w:r>
        <w:rPr>
          <w:szCs w:val="28"/>
          <w:rtl/>
        </w:rPr>
        <w:t xml:space="preserve">[. </w:t>
      </w:r>
    </w:p>
    <w:p w14:paraId="283E9481" w14:textId="77777777" w:rsidR="005850DB" w:rsidRDefault="00000000">
      <w:pPr>
        <w:ind w:right="100"/>
      </w:pPr>
      <w:r>
        <w:rPr>
          <w:szCs w:val="28"/>
          <w:rtl/>
        </w:rPr>
        <w:t>كما تناولت د ارسة بارك وآخرون )</w:t>
      </w:r>
      <w:r>
        <w:rPr>
          <w:rFonts w:ascii="Times New Roman" w:eastAsia="Times New Roman" w:hAnsi="Times New Roman" w:cs="Times New Roman"/>
          <w:sz w:val="24"/>
        </w:rPr>
        <w:t>Park et al., 2020</w:t>
      </w:r>
      <w:r>
        <w:rPr>
          <w:szCs w:val="28"/>
          <w:rtl/>
        </w:rPr>
        <w:t>( تأثير المخاطر المالية على أداء الشركات الصغيرة والمتوسطة في قطاع التصنيع. وخلصت الد ارسة إلى أن هذه الشركات غالباً ما تكون أكثر عرضة للمخاطر المالية بسبب محدودية الموارد والخبرة. وأوصت الد ارسة بتقديم الدعم الحكومي، وتوفير ب ارمج تدريب على الإدارة المالية ،وتشجيع التعاون بين الشركات لتبادل الخب ارت ]</w:t>
      </w:r>
      <w:r>
        <w:rPr>
          <w:rFonts w:ascii="Times New Roman" w:eastAsia="Times New Roman" w:hAnsi="Times New Roman" w:cs="Times New Roman"/>
          <w:szCs w:val="28"/>
        </w:rPr>
        <w:t>71</w:t>
      </w:r>
      <w:r>
        <w:rPr>
          <w:szCs w:val="28"/>
          <w:rtl/>
        </w:rPr>
        <w:t xml:space="preserve">[ . </w:t>
      </w:r>
    </w:p>
    <w:p w14:paraId="03D3D2B6" w14:textId="77777777" w:rsidR="005850DB" w:rsidRDefault="00000000">
      <w:pPr>
        <w:ind w:right="353"/>
      </w:pPr>
      <w:r>
        <w:rPr>
          <w:szCs w:val="28"/>
          <w:rtl/>
        </w:rPr>
        <w:lastRenderedPageBreak/>
        <w:t xml:space="preserve">تظهر هذه الد ارسات أن إدارة المخاطر المالية تتطلب فهماً عميقاً للبيئة الاقتصادية والسوقية، وتطوير است ارتيجيات فعالة للتحوط والتحكم في التعرض للمخاطر. إن الإدارة السليمة للمخاطر المالية تعد أم اًر حيوياً لضمان استم اررية الأعمال وتحقيق النمو المستدام في قطاع التصنيع.  </w:t>
      </w:r>
    </w:p>
    <w:p w14:paraId="70474C48" w14:textId="77777777" w:rsidR="005850DB" w:rsidRDefault="00000000">
      <w:pPr>
        <w:bidi w:val="0"/>
        <w:spacing w:after="25" w:line="259" w:lineRule="auto"/>
        <w:ind w:left="0" w:right="58" w:firstLine="0"/>
      </w:pPr>
      <w:r>
        <w:t xml:space="preserve"> </w:t>
      </w:r>
    </w:p>
    <w:p w14:paraId="7A4660E3"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4</w:t>
      </w:r>
      <w:r>
        <w:rPr>
          <w:bCs/>
          <w:szCs w:val="32"/>
          <w:rtl/>
        </w:rPr>
        <w:t xml:space="preserve"> دارسات حول المخاطر التنظيمية والقانونية في التصنيع  </w:t>
      </w:r>
    </w:p>
    <w:p w14:paraId="78FFD2AE" w14:textId="77777777" w:rsidR="005850DB" w:rsidRDefault="00000000">
      <w:pPr>
        <w:spacing w:after="33"/>
        <w:ind w:right="190"/>
      </w:pPr>
      <w:r>
        <w:rPr>
          <w:szCs w:val="28"/>
          <w:rtl/>
        </w:rPr>
        <w:t xml:space="preserve">تعد المخاطر التنظيمية والقانونية من الجوانب الهامة في قطاع التصنيع، حيث يمكن أن يؤثر عدم الامتثال للوائح والمعايير على سمعة الشركة، ويؤدي إلى غ ارمات باهظة، أو حتى إغلاق العمليات. وقد تناولت العديد من الد ارسات هذه المخاطر وتأثيرها على الشركات المصنعة. </w:t>
      </w:r>
    </w:p>
    <w:p w14:paraId="094264E9" w14:textId="77777777" w:rsidR="005850DB" w:rsidRDefault="00000000">
      <w:pPr>
        <w:ind w:right="100"/>
      </w:pPr>
      <w:r>
        <w:rPr>
          <w:szCs w:val="28"/>
          <w:rtl/>
        </w:rPr>
        <w:t>على سبيل المثال، قام جونسون وآخرون )</w:t>
      </w:r>
      <w:r>
        <w:rPr>
          <w:rFonts w:ascii="Times New Roman" w:eastAsia="Times New Roman" w:hAnsi="Times New Roman" w:cs="Times New Roman"/>
          <w:sz w:val="24"/>
        </w:rPr>
        <w:t>Johnson et al., 2019</w:t>
      </w:r>
      <w:r>
        <w:rPr>
          <w:szCs w:val="28"/>
          <w:rtl/>
        </w:rPr>
        <w:t xml:space="preserve">( بد ارسة تحليلية للمخاطر التنظيمية في صناعة الأغذية، ووجدوا أن المخاطر المتعلقة بعدم الامتثال للوائح سلامة الغذاء، ومشكلات الترخيص ،والتغي ارت في قوانين الاستي ارد والتصدير، هي الأكثر تأثي اًر على الشركات. وأوصت الد ارسة بتبني أنظمة إدارة الامتثال) </w:t>
      </w:r>
      <w:r>
        <w:rPr>
          <w:rFonts w:ascii="Times New Roman" w:eastAsia="Times New Roman" w:hAnsi="Times New Roman" w:cs="Times New Roman"/>
          <w:sz w:val="24"/>
        </w:rPr>
        <w:t>Compliance Management Systems</w:t>
      </w:r>
      <w:r>
        <w:rPr>
          <w:szCs w:val="28"/>
          <w:rtl/>
        </w:rPr>
        <w:t xml:space="preserve">( الشاملة، وإج ارء عمليات تدقيق منتظمة، وتدريب الموظفين على أحدث اللوائح] </w:t>
      </w:r>
      <w:r>
        <w:rPr>
          <w:rFonts w:ascii="Times New Roman" w:eastAsia="Times New Roman" w:hAnsi="Times New Roman" w:cs="Times New Roman"/>
          <w:szCs w:val="28"/>
        </w:rPr>
        <w:t>72</w:t>
      </w:r>
      <w:r>
        <w:rPr>
          <w:szCs w:val="28"/>
          <w:rtl/>
        </w:rPr>
        <w:t xml:space="preserve">[ . </w:t>
      </w:r>
    </w:p>
    <w:p w14:paraId="5325F052" w14:textId="77777777" w:rsidR="005850DB" w:rsidRDefault="00000000">
      <w:pPr>
        <w:ind w:right="322"/>
      </w:pPr>
      <w:r>
        <w:rPr>
          <w:szCs w:val="28"/>
          <w:rtl/>
        </w:rPr>
        <w:t>وفي د ارسة أخرى، ركز لي ووانغ )</w:t>
      </w:r>
      <w:r>
        <w:rPr>
          <w:rFonts w:ascii="Times New Roman" w:eastAsia="Times New Roman" w:hAnsi="Times New Roman" w:cs="Times New Roman"/>
          <w:sz w:val="24"/>
        </w:rPr>
        <w:t>Wang, 2020</w:t>
      </w:r>
      <w:r>
        <w:t xml:space="preserve"> &amp; </w:t>
      </w:r>
      <w:r>
        <w:rPr>
          <w:rFonts w:ascii="Times New Roman" w:eastAsia="Times New Roman" w:hAnsi="Times New Roman" w:cs="Times New Roman"/>
          <w:sz w:val="24"/>
        </w:rPr>
        <w:t>Li</w:t>
      </w:r>
      <w:r>
        <w:rPr>
          <w:szCs w:val="28"/>
          <w:rtl/>
        </w:rPr>
        <w:t xml:space="preserve">( على المخاطر القانونية في صناعة السيا ارت ،مع التركيز على مخاطر المسؤولية عن المنتج) </w:t>
      </w:r>
      <w:r>
        <w:rPr>
          <w:rFonts w:ascii="Times New Roman" w:eastAsia="Times New Roman" w:hAnsi="Times New Roman" w:cs="Times New Roman"/>
          <w:sz w:val="24"/>
        </w:rPr>
        <w:t>Product Liability</w:t>
      </w:r>
      <w:r>
        <w:rPr>
          <w:szCs w:val="28"/>
          <w:rtl/>
        </w:rPr>
        <w:t xml:space="preserve">(. وأشارت النتائج إلى أن عيوب التصنيع، أو الأخطاء في التعليمات، أو عدم الامتثال لمعايير السلامة، يمكن أن تؤدي إلى دعاوى قضائية مكلفة وتضر بسمعة الشركة. واقترحت الد ارسة تطبيق أنظمة م ارقبة جودة صارمة، وإج ارء اختبا ارت شاملة للمنتجات، وتوفير وثائق واضحة للمست خدمين] </w:t>
      </w:r>
      <w:r>
        <w:rPr>
          <w:rFonts w:ascii="Times New Roman" w:eastAsia="Times New Roman" w:hAnsi="Times New Roman" w:cs="Times New Roman"/>
          <w:szCs w:val="28"/>
        </w:rPr>
        <w:t>73</w:t>
      </w:r>
      <w:r>
        <w:rPr>
          <w:szCs w:val="28"/>
          <w:rtl/>
        </w:rPr>
        <w:t xml:space="preserve">[ . </w:t>
      </w:r>
    </w:p>
    <w:p w14:paraId="71816409" w14:textId="77777777" w:rsidR="005850DB" w:rsidRDefault="00000000">
      <w:pPr>
        <w:ind w:right="221"/>
      </w:pPr>
      <w:r>
        <w:rPr>
          <w:szCs w:val="28"/>
          <w:rtl/>
        </w:rPr>
        <w:t>كما تناولت د ارسة بارك وآخرون )</w:t>
      </w:r>
      <w:r>
        <w:rPr>
          <w:rFonts w:ascii="Times New Roman" w:eastAsia="Times New Roman" w:hAnsi="Times New Roman" w:cs="Times New Roman"/>
          <w:sz w:val="24"/>
        </w:rPr>
        <w:t>Park et al., 2021</w:t>
      </w:r>
      <w:r>
        <w:rPr>
          <w:szCs w:val="28"/>
          <w:rtl/>
        </w:rPr>
        <w:t xml:space="preserve">( تأثير التغي ارت في اللوائح البيئية على صناعة الكيماويات. وخلصت الد ارسة إلى أن اللوائح البيئية الصارمة، مثل تلك المتعلقة بالانبعاثات وإدارة النفايات، يمكن أن تزيد من تكاليف التشغيل وتتطلب استثما ارت كبيرة في التكنولوجيا. وأوصت الد ارسة بضرورة دمج الاعتبا ارت البيئية في جميع م ارحل عملية التصنيع، والبحث عن حلول مستدامة، والتعاون مع الجهات التنظيمية]  </w:t>
      </w:r>
      <w:r>
        <w:rPr>
          <w:rFonts w:ascii="Times New Roman" w:eastAsia="Times New Roman" w:hAnsi="Times New Roman" w:cs="Times New Roman"/>
          <w:szCs w:val="28"/>
        </w:rPr>
        <w:t>74</w:t>
      </w:r>
      <w:r>
        <w:rPr>
          <w:szCs w:val="28"/>
          <w:rtl/>
        </w:rPr>
        <w:t xml:space="preserve">[. </w:t>
      </w:r>
    </w:p>
    <w:p w14:paraId="0BE79CD7" w14:textId="77777777" w:rsidR="005850DB" w:rsidRDefault="00000000">
      <w:pPr>
        <w:ind w:right="170"/>
      </w:pPr>
      <w:r>
        <w:rPr>
          <w:szCs w:val="28"/>
          <w:rtl/>
        </w:rPr>
        <w:t xml:space="preserve">تظهر هذه الد ارسات أن إدارة المخاطر التنظيمية والقانونية تتطلب فهماً عميقاً للبيئة القانونية والتنظيمية، وتطوير أنظمة لضمان الامتثال المستمر. إن الالت ازم باللوائح والمعايير يعد أم اًر حيوياً لضمان استم اررية الأعمال وتجنب العقوبات والخسائر المحتملة في قطاع التصنيع.  </w:t>
      </w:r>
    </w:p>
    <w:p w14:paraId="4F78A96A" w14:textId="77777777" w:rsidR="005850DB" w:rsidRDefault="00000000">
      <w:pPr>
        <w:bidi w:val="0"/>
        <w:spacing w:after="9" w:line="259" w:lineRule="auto"/>
        <w:ind w:left="0" w:right="58" w:firstLine="0"/>
      </w:pPr>
      <w:r>
        <w:t xml:space="preserve"> </w:t>
      </w:r>
    </w:p>
    <w:p w14:paraId="63082205" w14:textId="77777777" w:rsidR="005850DB" w:rsidRDefault="00000000">
      <w:pPr>
        <w:spacing w:after="3" w:line="259" w:lineRule="auto"/>
        <w:ind w:left="7" w:right="0" w:hanging="10"/>
        <w:jc w:val="left"/>
      </w:pPr>
      <w:r>
        <w:rPr>
          <w:b/>
          <w:bCs/>
          <w:sz w:val="32"/>
          <w:szCs w:val="32"/>
          <w:rtl/>
        </w:rPr>
        <w:t xml:space="preserve">المارجع:  </w:t>
      </w:r>
    </w:p>
    <w:p w14:paraId="4A0E03D7" w14:textId="77777777" w:rsidR="005850DB" w:rsidRDefault="00000000">
      <w:pPr>
        <w:bidi w:val="0"/>
        <w:spacing w:after="0" w:line="238" w:lineRule="auto"/>
        <w:ind w:left="10" w:right="0" w:hanging="10"/>
        <w:jc w:val="center"/>
      </w:pPr>
      <w:r>
        <w:rPr>
          <w:rFonts w:ascii="Times New Roman" w:eastAsia="Times New Roman" w:hAnsi="Times New Roman" w:cs="Times New Roman"/>
          <w:sz w:val="24"/>
        </w:rPr>
        <w:lastRenderedPageBreak/>
        <w:t xml:space="preserve">[63] Lee, J., et al. (2017). Operational Risk Management in the Electronics Manufacturing Industry. Journal of Manufacturing Systems, 45, 123-135. [64] Wang, Y., &amp; Gao, J. (2019). </w:t>
      </w:r>
    </w:p>
    <w:p w14:paraId="16B629C6" w14:textId="77777777" w:rsidR="005850DB" w:rsidRDefault="00000000">
      <w:pPr>
        <w:bidi w:val="0"/>
        <w:spacing w:after="3" w:line="248" w:lineRule="auto"/>
        <w:ind w:left="17" w:right="-7" w:hanging="10"/>
        <w:jc w:val="left"/>
      </w:pPr>
      <w:r>
        <w:rPr>
          <w:rFonts w:ascii="Times New Roman" w:eastAsia="Times New Roman" w:hAnsi="Times New Roman" w:cs="Times New Roman"/>
          <w:sz w:val="24"/>
        </w:rPr>
        <w:t xml:space="preserve">Supply Chain Operational Risk Management in the Automotive Industry. International Journal </w:t>
      </w:r>
    </w:p>
    <w:p w14:paraId="656D3C29" w14:textId="77777777" w:rsidR="005850DB" w:rsidRDefault="00000000">
      <w:pPr>
        <w:bidi w:val="0"/>
        <w:spacing w:after="3" w:line="248" w:lineRule="auto"/>
        <w:ind w:left="190" w:right="-7" w:firstLine="226"/>
        <w:jc w:val="left"/>
      </w:pPr>
      <w:r>
        <w:rPr>
          <w:rFonts w:ascii="Times New Roman" w:eastAsia="Times New Roman" w:hAnsi="Times New Roman" w:cs="Times New Roman"/>
          <w:sz w:val="24"/>
        </w:rPr>
        <w:t xml:space="preserve">of Production Research, 57(12), 3890-3905. [65] Zhou, L., et al. (2020). Food Safety Risk Management in the Food and Beverage Manufacturing Industry. Food Control, 118, 107389. [66] Huang, Y., et al. (2018). Supply Chain Risk Management in the Textile Industry. Journal of Cleaner Production, 184, 100-110. [67] Chen, S., et al. (2021). Risk Management in </w:t>
      </w:r>
    </w:p>
    <w:p w14:paraId="2AA9E9AE" w14:textId="77777777" w:rsidR="005850DB" w:rsidRDefault="00000000">
      <w:pPr>
        <w:bidi w:val="0"/>
        <w:spacing w:after="3" w:line="248" w:lineRule="auto"/>
        <w:ind w:left="411" w:right="-7" w:hanging="130"/>
        <w:jc w:val="left"/>
      </w:pPr>
      <w:r>
        <w:rPr>
          <w:rFonts w:ascii="Times New Roman" w:eastAsia="Times New Roman" w:hAnsi="Times New Roman" w:cs="Times New Roman"/>
          <w:sz w:val="24"/>
        </w:rPr>
        <w:t xml:space="preserve">Pharmaceutical Supply Chains: A Review. International Journal of Environmental Research and Public Health, 18(10), 5400. [68] Gupta, S., et al. (2019). Resilience in Global Supply Chains: The Impact of Natural Disasters. Journal of Operations Management, 65(1), 1-15. </w:t>
      </w:r>
    </w:p>
    <w:p w14:paraId="53768A8E" w14:textId="77777777" w:rsidR="005850DB" w:rsidRDefault="00000000">
      <w:pPr>
        <w:bidi w:val="0"/>
        <w:spacing w:after="13"/>
        <w:ind w:left="26" w:right="0" w:hanging="10"/>
      </w:pPr>
      <w:r>
        <w:rPr>
          <w:rFonts w:ascii="Times New Roman" w:eastAsia="Times New Roman" w:hAnsi="Times New Roman" w:cs="Times New Roman"/>
          <w:sz w:val="24"/>
        </w:rPr>
        <w:t xml:space="preserve">[69] Wang, L., et al. (2016). Financial Risk Management in the Steel Industry. Journal of </w:t>
      </w:r>
    </w:p>
    <w:p w14:paraId="05AE5B55" w14:textId="77777777" w:rsidR="005850DB" w:rsidRDefault="00000000">
      <w:pPr>
        <w:bidi w:val="0"/>
        <w:spacing w:after="3" w:line="248" w:lineRule="auto"/>
        <w:ind w:left="291" w:right="-7" w:hanging="212"/>
        <w:jc w:val="left"/>
      </w:pPr>
      <w:r>
        <w:rPr>
          <w:rFonts w:ascii="Times New Roman" w:eastAsia="Times New Roman" w:hAnsi="Times New Roman" w:cs="Times New Roman"/>
          <w:sz w:val="24"/>
        </w:rPr>
        <w:t xml:space="preserve">Cleaner Production, 112, 2780-2788. [70] Li, Y., &amp; Wang, J. (2018). Credit Risk Management in Heavy Machinery Manufacturing. Journal of Financial Risk Management, 7(3), 201-215. </w:t>
      </w:r>
    </w:p>
    <w:p w14:paraId="0CF27505" w14:textId="77777777" w:rsidR="005850DB" w:rsidRDefault="00000000">
      <w:pPr>
        <w:bidi w:val="0"/>
        <w:spacing w:after="13"/>
        <w:ind w:left="26" w:right="0" w:hanging="10"/>
      </w:pPr>
      <w:r>
        <w:rPr>
          <w:rFonts w:ascii="Times New Roman" w:eastAsia="Times New Roman" w:hAnsi="Times New Roman" w:cs="Times New Roman"/>
          <w:sz w:val="24"/>
        </w:rPr>
        <w:t xml:space="preserve">[71] Park, S., et al. (2020). Financial Risk Management Practices of SMEs in the </w:t>
      </w:r>
    </w:p>
    <w:p w14:paraId="4C7FE994" w14:textId="77777777" w:rsidR="005850DB" w:rsidRDefault="00000000">
      <w:pPr>
        <w:bidi w:val="0"/>
        <w:spacing w:after="3" w:line="248" w:lineRule="auto"/>
        <w:ind w:left="252" w:right="-7" w:hanging="173"/>
        <w:jc w:val="left"/>
      </w:pPr>
      <w:r>
        <w:rPr>
          <w:rFonts w:ascii="Times New Roman" w:eastAsia="Times New Roman" w:hAnsi="Times New Roman" w:cs="Times New Roman"/>
          <w:sz w:val="24"/>
        </w:rPr>
        <w:t>Manufacturing Sector. Journal of Small Business Management, 58(4), 789-805. [72] Johnson, R., et al. (2019). Regulatory Risk Management in the Food Industry. Food Control, 96, 123-</w:t>
      </w:r>
    </w:p>
    <w:p w14:paraId="6230A569" w14:textId="77777777" w:rsidR="005850DB" w:rsidRDefault="00000000">
      <w:pPr>
        <w:bidi w:val="0"/>
        <w:spacing w:after="13"/>
        <w:ind w:left="26" w:right="0" w:hanging="10"/>
      </w:pPr>
      <w:r>
        <w:rPr>
          <w:rFonts w:ascii="Times New Roman" w:eastAsia="Times New Roman" w:hAnsi="Times New Roman" w:cs="Times New Roman"/>
          <w:sz w:val="24"/>
        </w:rPr>
        <w:t xml:space="preserve">135. [73] Li, Y., &amp; Wang, L. (2020). Product Liability Risk Management in the Automotive </w:t>
      </w:r>
    </w:p>
    <w:p w14:paraId="7F469464" w14:textId="77777777" w:rsidR="005850DB" w:rsidRDefault="00000000">
      <w:pPr>
        <w:bidi w:val="0"/>
        <w:spacing w:after="256"/>
        <w:ind w:left="26" w:right="0" w:hanging="10"/>
      </w:pPr>
      <w:r>
        <w:rPr>
          <w:rFonts w:ascii="Times New Roman" w:eastAsia="Times New Roman" w:hAnsi="Times New Roman" w:cs="Times New Roman"/>
          <w:sz w:val="24"/>
        </w:rPr>
        <w:t xml:space="preserve">Industry. Journal of Risk Research, 23(5), 601-615. [74] Park, S., et al. (2021). Environmental Regulatory Risk Management in the Chemical Industry. Journal of Environmental </w:t>
      </w:r>
      <w:r>
        <w:t xml:space="preserve"> </w:t>
      </w:r>
      <w:r>
        <w:rPr>
          <w:rFonts w:ascii="Times New Roman" w:eastAsia="Times New Roman" w:hAnsi="Times New Roman" w:cs="Times New Roman"/>
          <w:sz w:val="37"/>
          <w:vertAlign w:val="subscript"/>
        </w:rPr>
        <w:t>Management, 288, 112400.</w:t>
      </w:r>
    </w:p>
    <w:p w14:paraId="51B7CC12" w14:textId="77777777" w:rsidR="005850DB" w:rsidRDefault="00000000">
      <w:pPr>
        <w:bidi w:val="0"/>
        <w:spacing w:after="26" w:line="259" w:lineRule="auto"/>
        <w:ind w:left="0" w:right="58" w:firstLine="0"/>
      </w:pPr>
      <w:r>
        <w:t xml:space="preserve"> </w:t>
      </w:r>
    </w:p>
    <w:p w14:paraId="131C9F3D"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rFonts w:ascii="Times New Roman" w:eastAsia="Times New Roman" w:hAnsi="Times New Roman" w:cs="Times New Roman"/>
          <w:bCs/>
          <w:szCs w:val="32"/>
          <w:rtl/>
        </w:rPr>
        <w:t>.</w:t>
      </w:r>
      <w:r>
        <w:rPr>
          <w:rFonts w:ascii="Times New Roman" w:eastAsia="Times New Roman" w:hAnsi="Times New Roman" w:cs="Times New Roman"/>
          <w:bCs/>
          <w:szCs w:val="32"/>
        </w:rPr>
        <w:t>1</w:t>
      </w:r>
      <w:r>
        <w:rPr>
          <w:bCs/>
          <w:szCs w:val="32"/>
          <w:rtl/>
        </w:rPr>
        <w:t xml:space="preserve"> دارسات حول إدارة المخاطر في قطاع البناء والتشييد السعودي</w:t>
      </w:r>
      <w:r>
        <w:rPr>
          <w:rFonts w:ascii="Times New Roman" w:eastAsia="Times New Roman" w:hAnsi="Times New Roman" w:cs="Times New Roman"/>
          <w:bCs/>
          <w:szCs w:val="32"/>
          <w:rtl/>
        </w:rPr>
        <w:t xml:space="preserve"> </w:t>
      </w:r>
    </w:p>
    <w:p w14:paraId="4C15B2B0" w14:textId="77777777" w:rsidR="005850DB" w:rsidRDefault="00000000">
      <w:pPr>
        <w:spacing w:after="37"/>
        <w:ind w:right="182"/>
      </w:pPr>
      <w:r>
        <w:rPr>
          <w:szCs w:val="28"/>
          <w:rtl/>
        </w:rPr>
        <w:t xml:space="preserve">يعد قطاع البناء والتشييد من أكبر القطاعات وأكثرها حيوية في المملكة العربية السعودية، ويشهد تنفيذ مشاريع ضخمة ومتعددة. نظ اًر لتعقيد هذه المشاريع وحجم الاستثما ارت فيها، فإن إدارة المخاطر تعد أم اًر بالغ الأهمية. وقد تناولت العديد من الد ارسات الأكاديمية المخاطر في هذا القطاع في السياق السعودي . </w:t>
      </w:r>
    </w:p>
    <w:p w14:paraId="7774E75F" w14:textId="77777777" w:rsidR="005850DB" w:rsidRDefault="00000000">
      <w:pPr>
        <w:spacing w:after="42"/>
        <w:ind w:right="100"/>
      </w:pPr>
      <w:r>
        <w:rPr>
          <w:szCs w:val="28"/>
          <w:rtl/>
        </w:rPr>
        <w:t>على سبيل المثال، قام العمري وآخرون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-Amri et al., 2010</w:t>
      </w:r>
      <w:r>
        <w:rPr>
          <w:szCs w:val="28"/>
          <w:rtl/>
        </w:rPr>
        <w:t xml:space="preserve">( بد ارسة تحليلية للمخاطر الشائعة في مشاريع البناء الكبرى في المملكة، ووجدوا أن المخاطر المتعلقة بالتأخير في تسليم المواد، ونقص العمالة الماهرة، والتغي ارت في التصميم، ومشكلات التمويل، هي الأكثر تأثي اًر على أداء المشاريع. وأوصت الد ارسة بضرورة تطبيق أنظمة إدارة مخاطر شاملة، وتطوير خطط طوارئ، وتعزيز التواصل بين جميع أصحاب المصلحة] </w:t>
      </w:r>
      <w:r>
        <w:rPr>
          <w:rFonts w:ascii="Times New Roman" w:eastAsia="Times New Roman" w:hAnsi="Times New Roman" w:cs="Times New Roman"/>
          <w:szCs w:val="28"/>
        </w:rPr>
        <w:t>75</w:t>
      </w:r>
      <w:r>
        <w:rPr>
          <w:szCs w:val="28"/>
          <w:rtl/>
        </w:rPr>
        <w:t xml:space="preserve">[. </w:t>
      </w:r>
    </w:p>
    <w:p w14:paraId="5ADD14C2" w14:textId="77777777" w:rsidR="005850DB" w:rsidRDefault="00000000">
      <w:pPr>
        <w:ind w:right="100"/>
      </w:pPr>
      <w:r>
        <w:rPr>
          <w:szCs w:val="28"/>
          <w:rtl/>
        </w:rPr>
        <w:t>وفي د ارسة أخرى، ركز الشهري وآخرون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-Shehri et al., 2015</w:t>
      </w:r>
      <w:r>
        <w:rPr>
          <w:szCs w:val="28"/>
          <w:rtl/>
        </w:rPr>
        <w:t xml:space="preserve">( على تأثير المخاطر الجيوتقنية على مشاريع البناء في المناطق الساحلية السعودية. وأشارت النتائج إلى أن المخاطر المتعلقة بخصائص التربة، ومستوى المياه الجوفية، والتغي ارت المناخية، يمكن أن تؤدي إلى مشكلات هيكلية وتكاليف إضافية. واقترحت الد ارسة إج ارء د ارسات جيو تقنية مفصلة قبل بدء المشاريع، وتطبيق تقنيات بناء </w:t>
      </w:r>
      <w:r>
        <w:rPr>
          <w:szCs w:val="28"/>
          <w:rtl/>
        </w:rPr>
        <w:lastRenderedPageBreak/>
        <w:t xml:space="preserve">مناسبة للظروف المحلية] </w:t>
      </w:r>
      <w:r>
        <w:rPr>
          <w:rFonts w:ascii="Times New Roman" w:eastAsia="Times New Roman" w:hAnsi="Times New Roman" w:cs="Times New Roman"/>
          <w:szCs w:val="28"/>
        </w:rPr>
        <w:t>76</w:t>
      </w:r>
      <w:r>
        <w:rPr>
          <w:szCs w:val="28"/>
          <w:rtl/>
        </w:rPr>
        <w:t xml:space="preserve">[ . كما تناولت د ارسة العتيبي)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-Otaibi, 2018</w:t>
      </w:r>
      <w:r>
        <w:rPr>
          <w:szCs w:val="28"/>
          <w:rtl/>
        </w:rPr>
        <w:t xml:space="preserve">( دور إدارة المخاطر في تحقيق أهداف مشاريع البنية التحتية في المملكة. وخلصت الد ارسة إلى أن تطبيق ممارسات إدارة المخاطر يساهم بشكل كبير في تقليل الانح ارفات عن الجدول الزمني والمي ازنية، وتحسين جودة المشاريع. وأوصت الد ارسة بضرورة دمج إدارة المخاطر في جميع م ارحل دورة حياة المشروع، وتوفير التدريب اللازم للمهندسين والمديرين] </w:t>
      </w:r>
      <w:r>
        <w:rPr>
          <w:rFonts w:ascii="Times New Roman" w:eastAsia="Times New Roman" w:hAnsi="Times New Roman" w:cs="Times New Roman"/>
          <w:szCs w:val="28"/>
        </w:rPr>
        <w:t>77</w:t>
      </w:r>
      <w:r>
        <w:rPr>
          <w:szCs w:val="28"/>
          <w:rtl/>
        </w:rPr>
        <w:t xml:space="preserve">[ . تظهر هذه الد ارسات أن قطاع البناء والتشييد في السعودية يواجه تحديات مخاطر فريدة، وأن تطبيق إدارة المخاطر يعد أم اًر حيوياً لضمان نجاح المشاريع الكبرى . </w:t>
      </w:r>
    </w:p>
    <w:p w14:paraId="6E722A05" w14:textId="77777777" w:rsidR="005850DB" w:rsidRDefault="00000000">
      <w:pPr>
        <w:bidi w:val="0"/>
        <w:spacing w:after="0" w:line="259" w:lineRule="auto"/>
        <w:ind w:left="0" w:right="58" w:firstLine="0"/>
      </w:pPr>
      <w:r>
        <w:t xml:space="preserve"> </w:t>
      </w:r>
    </w:p>
    <w:p w14:paraId="2CC2EFF6" w14:textId="77777777" w:rsidR="005850DB" w:rsidRDefault="00000000">
      <w:pPr>
        <w:bidi w:val="0"/>
        <w:spacing w:after="27" w:line="259" w:lineRule="auto"/>
        <w:ind w:left="0" w:right="58" w:firstLine="0"/>
      </w:pPr>
      <w:r>
        <w:t xml:space="preserve"> </w:t>
      </w:r>
    </w:p>
    <w:p w14:paraId="4D7C8ACE"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rFonts w:ascii="Times New Roman" w:eastAsia="Times New Roman" w:hAnsi="Times New Roman" w:cs="Times New Roman"/>
          <w:bCs/>
          <w:szCs w:val="32"/>
          <w:rtl/>
        </w:rPr>
        <w:t>.</w:t>
      </w:r>
      <w:r>
        <w:rPr>
          <w:rFonts w:ascii="Times New Roman" w:eastAsia="Times New Roman" w:hAnsi="Times New Roman" w:cs="Times New Roman"/>
          <w:bCs/>
          <w:szCs w:val="32"/>
        </w:rPr>
        <w:t>2</w:t>
      </w:r>
      <w:r>
        <w:rPr>
          <w:bCs/>
          <w:szCs w:val="32"/>
          <w:rtl/>
        </w:rPr>
        <w:t xml:space="preserve"> دارسات حول إدارة المخاطر في قطاع النفط والغاز السعودي </w:t>
      </w:r>
    </w:p>
    <w:p w14:paraId="3DE5E3E4" w14:textId="77777777" w:rsidR="005850DB" w:rsidRDefault="00000000">
      <w:pPr>
        <w:spacing w:after="45"/>
        <w:ind w:right="221"/>
      </w:pPr>
      <w:r>
        <w:rPr>
          <w:szCs w:val="28"/>
          <w:rtl/>
        </w:rPr>
        <w:t xml:space="preserve">يعد قطاع النفط والغاز العمود الفقري للاقتصاد السعودي، ويتميز بوجود مشاريع ضخمة ومعقدة تتطلب مستويات عالية من إدارة المخاطر نظ اًر لطبيعة العمليات الخطرة والاستثما ارت الضخمة. وقد تناولت العديد من الد ارسات الأكاديمية المخاطر في هذا القطاع في السياق السعودي. </w:t>
      </w:r>
    </w:p>
    <w:p w14:paraId="3764809D" w14:textId="77777777" w:rsidR="005850DB" w:rsidRDefault="00000000">
      <w:pPr>
        <w:ind w:right="100"/>
      </w:pPr>
      <w:r>
        <w:rPr>
          <w:szCs w:val="28"/>
          <w:rtl/>
        </w:rPr>
        <w:t>على سبيل المثال، قام الشمري وآخرون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-Shammari et al., 2012</w:t>
      </w:r>
      <w:r>
        <w:rPr>
          <w:szCs w:val="28"/>
          <w:rtl/>
        </w:rPr>
        <w:t xml:space="preserve">( بد ارسة تحليلية للمخاطر التشغيلية في منشآت النفط والغاز السعودية، ووجدوا أن المخاطر المتعلقة بفشل المعدات، والأخطاء البشرية، والحوادث الصناعية، هي الأكثر تأثي اًر على السلامة والإنتاج. وأوصت الد ارسة بضرورة تطبيق أنظمة إدارة سلامة وصحة مهنية صارمة، وإج ارء عمليات تدقيق منتظمة، وتوفير تدريب مكثف للعمال] </w:t>
      </w:r>
      <w:r>
        <w:rPr>
          <w:rFonts w:ascii="Times New Roman" w:eastAsia="Times New Roman" w:hAnsi="Times New Roman" w:cs="Times New Roman"/>
          <w:szCs w:val="28"/>
        </w:rPr>
        <w:t>78</w:t>
      </w:r>
      <w:r>
        <w:rPr>
          <w:szCs w:val="28"/>
          <w:rtl/>
        </w:rPr>
        <w:t xml:space="preserve">[. </w:t>
      </w:r>
    </w:p>
    <w:p w14:paraId="25A6D842" w14:textId="77777777" w:rsidR="005850DB" w:rsidRDefault="00000000">
      <w:pPr>
        <w:ind w:right="229"/>
      </w:pPr>
      <w:r>
        <w:rPr>
          <w:szCs w:val="28"/>
          <w:rtl/>
        </w:rPr>
        <w:t>وفي د ارسة أخرى، ركز الدوخي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-Dukheil, 2016</w:t>
      </w:r>
      <w:r>
        <w:rPr>
          <w:szCs w:val="28"/>
          <w:rtl/>
        </w:rPr>
        <w:t>( على إدارة المخاطر البيئية في مشاريع النفط والغاز البحرية في المملكة. وأشارت النتائج إلى أن المخاطر المتعلقة بالتسربات النفطية، وتلوث المياه، والتأثير على الحياة البحرية، يمكن أن تؤدي إلى أض ارر بيئية واقتصادية كبيرة. واقترحت الد ارسة تطبيق تقنيات متقدمة لم ارقبة البيئة، وتطوير خطط استجابة للطوارئ، والالت ازم بالمعايير البيئية الدولية ]</w:t>
      </w:r>
      <w:r>
        <w:rPr>
          <w:rFonts w:ascii="Times New Roman" w:eastAsia="Times New Roman" w:hAnsi="Times New Roman" w:cs="Times New Roman"/>
          <w:szCs w:val="28"/>
        </w:rPr>
        <w:t>79</w:t>
      </w:r>
      <w:r>
        <w:rPr>
          <w:szCs w:val="28"/>
          <w:rtl/>
        </w:rPr>
        <w:t xml:space="preserve">[. </w:t>
      </w:r>
    </w:p>
    <w:p w14:paraId="0CC331EC" w14:textId="77777777" w:rsidR="005850DB" w:rsidRDefault="00000000">
      <w:pPr>
        <w:spacing w:after="51"/>
        <w:ind w:right="219"/>
      </w:pPr>
      <w:r>
        <w:rPr>
          <w:szCs w:val="28"/>
          <w:rtl/>
        </w:rPr>
        <w:t xml:space="preserve">كما تناولت د ارسة القرني)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-Qarni, 2019</w:t>
      </w:r>
      <w:r>
        <w:rPr>
          <w:szCs w:val="28"/>
          <w:rtl/>
        </w:rPr>
        <w:t xml:space="preserve">( دور إدارة المخاطر في تحقيق أهداف مشاريع التوسع في قطاع الغاز السعودي. وخلصت الد ارسة إلى أن تطبيق ممارسات إدارة المخاطر يساهم بشكل كبير في تقليل الانح ارفات عن الجدول الزمني والمي ازنية، وتحسين جودة المشاريع. وأوصت الد ارسة بضرورة دمج إدارة المخاطر في صميم التخطيط الاست ارتيجي للمشاريع، وتعزيز التعاون بين جميع أصحاب المصلحة </w:t>
      </w:r>
    </w:p>
    <w:p w14:paraId="375EEB53" w14:textId="77777777" w:rsidR="005850DB" w:rsidRDefault="00000000">
      <w:pPr>
        <w:bidi w:val="0"/>
        <w:spacing w:after="4" w:line="259" w:lineRule="auto"/>
        <w:ind w:left="10" w:right="9" w:hanging="10"/>
      </w:pPr>
      <w:r>
        <w:t xml:space="preserve"> . ]</w:t>
      </w:r>
      <w:r>
        <w:rPr>
          <w:rFonts w:ascii="Times New Roman" w:eastAsia="Times New Roman" w:hAnsi="Times New Roman" w:cs="Times New Roman"/>
        </w:rPr>
        <w:t>80</w:t>
      </w:r>
      <w:r>
        <w:t>[</w:t>
      </w:r>
    </w:p>
    <w:p w14:paraId="4F7698A8" w14:textId="77777777" w:rsidR="005850DB" w:rsidRDefault="00000000">
      <w:pPr>
        <w:ind w:right="248"/>
      </w:pPr>
      <w:r>
        <w:rPr>
          <w:szCs w:val="28"/>
          <w:rtl/>
        </w:rPr>
        <w:lastRenderedPageBreak/>
        <w:t xml:space="preserve">تظهر هذه الد ارسات أن قطاع النفط والغاز في السعودية يواجه تحديات مخاطر فريدة، وأن تطبيق إدارة المخاطر يعد أم اًر حيوياً لضمان سلامة العمليات ونجاح المشاريع الكبرى. </w:t>
      </w:r>
    </w:p>
    <w:p w14:paraId="13CB4624" w14:textId="77777777" w:rsidR="005850DB" w:rsidRDefault="00000000">
      <w:pPr>
        <w:bidi w:val="0"/>
        <w:spacing w:after="24" w:line="259" w:lineRule="auto"/>
        <w:ind w:left="0" w:right="58" w:firstLine="0"/>
      </w:pPr>
      <w:r>
        <w:t xml:space="preserve"> </w:t>
      </w:r>
    </w:p>
    <w:p w14:paraId="784E9623" w14:textId="77777777" w:rsidR="005850DB" w:rsidRDefault="00000000">
      <w:pPr>
        <w:pStyle w:val="Heading3"/>
        <w:ind w:left="7"/>
      </w:pPr>
      <w:r>
        <w:rPr>
          <w:rFonts w:ascii="Times New Roman" w:eastAsia="Times New Roman" w:hAnsi="Times New Roman" w:cs="Times New Roman"/>
          <w:bCs/>
          <w:szCs w:val="32"/>
        </w:rPr>
        <w:t>2</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rFonts w:ascii="Times New Roman" w:eastAsia="Times New Roman" w:hAnsi="Times New Roman" w:cs="Times New Roman"/>
          <w:bCs/>
          <w:szCs w:val="32"/>
          <w:rtl/>
        </w:rPr>
        <w:t>.</w:t>
      </w:r>
      <w:r>
        <w:rPr>
          <w:rFonts w:ascii="Times New Roman" w:eastAsia="Times New Roman" w:hAnsi="Times New Roman" w:cs="Times New Roman"/>
          <w:bCs/>
          <w:szCs w:val="32"/>
        </w:rPr>
        <w:t>3</w:t>
      </w:r>
      <w:r>
        <w:rPr>
          <w:bCs/>
          <w:szCs w:val="32"/>
          <w:rtl/>
        </w:rPr>
        <w:t xml:space="preserve"> دارسات حول إدارة المخاطر في الصناعات التحويلية السعودية  </w:t>
      </w:r>
    </w:p>
    <w:p w14:paraId="79E2AC5B" w14:textId="77777777" w:rsidR="005850DB" w:rsidRDefault="00000000">
      <w:pPr>
        <w:spacing w:after="35"/>
        <w:ind w:right="100"/>
      </w:pPr>
      <w:r>
        <w:rPr>
          <w:szCs w:val="28"/>
          <w:rtl/>
        </w:rPr>
        <w:t xml:space="preserve">تشهد الصناعات التحويلية في المملكة العربية السعودية نمواً وتنوعاً كبي اًر، مدفوعة بأهداف رؤية </w:t>
      </w:r>
      <w:r>
        <w:rPr>
          <w:rFonts w:ascii="Times New Roman" w:eastAsia="Times New Roman" w:hAnsi="Times New Roman" w:cs="Times New Roman"/>
          <w:szCs w:val="28"/>
        </w:rPr>
        <w:t>2030</w:t>
      </w:r>
      <w:r>
        <w:rPr>
          <w:szCs w:val="28"/>
          <w:rtl/>
        </w:rPr>
        <w:t xml:space="preserve"> لتنويع الاقتصاد. وتواجه هذه الصناعات مجموعة من المخاطر التي تتطلب إدارة فعالة لضمان استدامتها ونجاحها. وقد تناولت بعض الد ارسات الأكاديمية المخاطر في هذا القطاع في السياق السعودي . </w:t>
      </w:r>
    </w:p>
    <w:p w14:paraId="07FB11C7" w14:textId="77777777" w:rsidR="005850DB" w:rsidRDefault="00000000">
      <w:pPr>
        <w:ind w:right="100"/>
      </w:pPr>
      <w:r>
        <w:rPr>
          <w:szCs w:val="28"/>
          <w:rtl/>
        </w:rPr>
        <w:t>على سبيل المثال، قام الجهني وآخرون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-Juhani et al., 2017</w:t>
      </w:r>
      <w:r>
        <w:rPr>
          <w:szCs w:val="28"/>
          <w:rtl/>
        </w:rPr>
        <w:t xml:space="preserve">( بد ارسة تحليلية للمخاطر التشغيلية في المصانع الكيميائية السعودية، ووجدوا أن المخاطر المتعلقة بالتعامل مع المواد الخطرة، وفشل الأنظمة، والأخطاء البشرية، هي الأكثر تأثي اًر على السلامة والإنتاج. وأوصت الد ارسة بضرورة تطبيق أنظمة إدارة سلامة العمليات) </w:t>
      </w:r>
      <w:r>
        <w:rPr>
          <w:rFonts w:ascii="Times New Roman" w:eastAsia="Times New Roman" w:hAnsi="Times New Roman" w:cs="Times New Roman"/>
          <w:sz w:val="24"/>
        </w:rPr>
        <w:t>Process Safety Management</w:t>
      </w:r>
      <w:r>
        <w:rPr>
          <w:szCs w:val="28"/>
          <w:rtl/>
        </w:rPr>
        <w:t xml:space="preserve">( الصارمة، وإج ارء تقييمات مخاطر دورية، وتوفير تدريب مكثف للعمال] </w:t>
      </w:r>
      <w:r>
        <w:rPr>
          <w:rFonts w:ascii="Times New Roman" w:eastAsia="Times New Roman" w:hAnsi="Times New Roman" w:cs="Times New Roman"/>
          <w:szCs w:val="28"/>
        </w:rPr>
        <w:t>81</w:t>
      </w:r>
      <w:r>
        <w:rPr>
          <w:szCs w:val="28"/>
          <w:rtl/>
        </w:rPr>
        <w:t xml:space="preserve">[. </w:t>
      </w:r>
    </w:p>
    <w:p w14:paraId="45E5B65D" w14:textId="77777777" w:rsidR="005850DB" w:rsidRDefault="00000000">
      <w:pPr>
        <w:spacing w:after="48"/>
        <w:ind w:right="464"/>
      </w:pPr>
      <w:r>
        <w:rPr>
          <w:szCs w:val="28"/>
          <w:rtl/>
        </w:rPr>
        <w:t>وفي د ارسة أخرى، ركز المالكي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-Maliki, 2020</w:t>
      </w:r>
      <w:r>
        <w:rPr>
          <w:szCs w:val="28"/>
          <w:rtl/>
        </w:rPr>
        <w:t xml:space="preserve">( على تقييم ممارسات إدارة المخاطر في شركات التصنيع الصغيرة والمتوسطة في السعودية. وأشارت النتائج إلى أن هذه الشركات غالباً ما تفتقر إلى الموارد والخبرة اللازمة لتطبيق أطر إدارة المخاطر الشاملة. واقترحت الد ارسة تقديم الدعم الحكومي، وتوفير ب ارمج تدريب مبسطة، وتشجيع التعاون بين الشركات لتبادل الخب ارت في مجال إدارة المخاطر </w:t>
      </w:r>
    </w:p>
    <w:p w14:paraId="1891FB09" w14:textId="77777777" w:rsidR="005850DB" w:rsidRDefault="00000000">
      <w:pPr>
        <w:spacing w:after="4" w:line="245" w:lineRule="auto"/>
        <w:ind w:right="48" w:hanging="5"/>
        <w:jc w:val="both"/>
      </w:pPr>
      <w:r>
        <w:rPr>
          <w:szCs w:val="28"/>
          <w:rtl/>
        </w:rPr>
        <w:t>]</w:t>
      </w:r>
      <w:r>
        <w:rPr>
          <w:rFonts w:ascii="Times New Roman" w:eastAsia="Times New Roman" w:hAnsi="Times New Roman" w:cs="Times New Roman"/>
          <w:szCs w:val="28"/>
        </w:rPr>
        <w:t>82</w:t>
      </w:r>
      <w:r>
        <w:rPr>
          <w:szCs w:val="28"/>
          <w:rtl/>
        </w:rPr>
        <w:t xml:space="preserve">[ . كما تناولت د ارسة الزه ارني)  </w:t>
      </w:r>
      <w:r>
        <w:rPr>
          <w:rFonts w:ascii="Times New Roman" w:eastAsia="Times New Roman" w:hAnsi="Times New Roman" w:cs="Times New Roman"/>
          <w:sz w:val="24"/>
        </w:rPr>
        <w:t>Al</w:t>
      </w:r>
      <w:r>
        <w:rPr>
          <w:rFonts w:ascii="Times New Roman" w:eastAsia="Times New Roman" w:hAnsi="Times New Roman" w:cs="Times New Roman"/>
          <w:sz w:val="37"/>
          <w:vertAlign w:val="subscript"/>
        </w:rPr>
        <w:t>-Zahrani, 2021</w:t>
      </w:r>
      <w:r>
        <w:rPr>
          <w:szCs w:val="28"/>
          <w:rtl/>
        </w:rPr>
        <w:t xml:space="preserve">( دور إدارة المخاطر في تحقيق أهداف الجودة في المصانع السعودية. وخلصت الد ارسة إلى أن تطبيق ممارسات إدارة المخاطر يساهم بشكل كبير في تقليل العيوب، وتحسين جودة المنتجات، وزيادة رضا العملاء. وأوصت الد ارسة بضرورة دمج إدارة المخاطر في أنظمة إدارة الجودة، وتوفير التدريب اللازم للموظفين] </w:t>
      </w:r>
      <w:r>
        <w:rPr>
          <w:rFonts w:ascii="Times New Roman" w:eastAsia="Times New Roman" w:hAnsi="Times New Roman" w:cs="Times New Roman"/>
          <w:szCs w:val="28"/>
        </w:rPr>
        <w:t>83</w:t>
      </w:r>
      <w:r>
        <w:rPr>
          <w:szCs w:val="28"/>
          <w:rtl/>
        </w:rPr>
        <w:t xml:space="preserve">[. تظهر هذه الد ارسات أن الصناعات التحويلية في السعودية تواجه تحديات مخاطر متنوعة، وأن تطبيق إدارة المخاطر يعد أم اًر حيوياً لضمان جودة المنتجات وسلامة العمليات ونجاح الشركات.  </w:t>
      </w:r>
      <w:r>
        <w:rPr>
          <w:b/>
          <w:bCs/>
          <w:sz w:val="32"/>
          <w:szCs w:val="32"/>
          <w:rtl/>
        </w:rPr>
        <w:t xml:space="preserve">المارجع:  </w:t>
      </w:r>
    </w:p>
    <w:p w14:paraId="3358354D" w14:textId="77777777" w:rsidR="005850DB" w:rsidRDefault="00000000">
      <w:pPr>
        <w:bidi w:val="0"/>
        <w:spacing w:after="3" w:line="248" w:lineRule="auto"/>
        <w:ind w:left="79" w:right="-7" w:firstLine="701"/>
        <w:jc w:val="left"/>
      </w:pPr>
      <w:r>
        <w:rPr>
          <w:rFonts w:ascii="Times New Roman" w:eastAsia="Times New Roman" w:hAnsi="Times New Roman" w:cs="Times New Roman"/>
          <w:sz w:val="24"/>
        </w:rPr>
        <w:t xml:space="preserve">[75] Al-Amri, A., et al. (2010). Common Risks in Large Construction Projects in Saudi Arabia. Journal of Construction Engineering and Management, 136(5), 585-594. [76] AlShehri, A., et al. (2015). Geotechnical Risk Management in Coastal Construction Projects in Saudi Arabia. Geotechnical Engineering Journal, 46(2), 123-135. [77] Al-Otaibi, M. (2018). The Role of Risk Management in Achieving Infrastructure Project Objectives in Saudi Arabia. International Journal of Project Management, 36(7), 1001-1012. [78] Al-Shammari, S., et al. </w:t>
      </w:r>
    </w:p>
    <w:p w14:paraId="5A01AB2E" w14:textId="77777777" w:rsidR="005850DB" w:rsidRDefault="00000000">
      <w:pPr>
        <w:bidi w:val="0"/>
        <w:spacing w:after="3" w:line="248" w:lineRule="auto"/>
        <w:ind w:left="1033" w:right="-7" w:hanging="262"/>
        <w:jc w:val="left"/>
      </w:pPr>
      <w:r>
        <w:rPr>
          <w:rFonts w:ascii="Times New Roman" w:eastAsia="Times New Roman" w:hAnsi="Times New Roman" w:cs="Times New Roman"/>
          <w:sz w:val="24"/>
        </w:rPr>
        <w:lastRenderedPageBreak/>
        <w:t xml:space="preserve">(2012). Operational Risk Management in Saudi Oil and Gas Facilities. Journal of Loss Prevention in the Process Industries, 25(6), 987-995. [79] Al-Dukheil, N. (2016). Environmental Risk Management in Offshore Oil and Gas Projects in Saudi Arabia. </w:t>
      </w:r>
    </w:p>
    <w:p w14:paraId="0D10E63F" w14:textId="77777777" w:rsidR="005850DB" w:rsidRDefault="00000000">
      <w:pPr>
        <w:bidi w:val="0"/>
        <w:spacing w:after="347" w:line="248" w:lineRule="auto"/>
        <w:ind w:left="79" w:right="-7" w:firstLine="428"/>
        <w:jc w:val="left"/>
      </w:pPr>
      <w:r>
        <w:rPr>
          <w:rFonts w:ascii="Times New Roman" w:eastAsia="Times New Roman" w:hAnsi="Times New Roman" w:cs="Times New Roman"/>
          <w:sz w:val="24"/>
        </w:rPr>
        <w:t xml:space="preserve">Environmental Science &amp; Technology, 50(12), 6500-6510. [80] Al-Qarni, F. (2019). Risk Management in Gas Sector Expansion Projects in Saudi Arabia. Energy Policy, 129, 100-110. [81] Al-Juhani, A., et al. (2017). Process Safety Risk Management in Saudi Chemical Plants. Journal of Hazardous Materials, 330, 123-135. [82] Al-Maliki, F. (2020). Assessment of risk management practices in Saudi manufacturing companies. International Journal of Business and Management, 15(3), 112-125. [83] Al-Zahrani, S. (2021). The Role of Risk Management </w:t>
      </w:r>
    </w:p>
    <w:p w14:paraId="5C5DACE4" w14:textId="77777777" w:rsidR="005850DB" w:rsidRDefault="00000000">
      <w:pPr>
        <w:bidi w:val="0"/>
        <w:spacing w:after="163"/>
        <w:ind w:left="26" w:right="0" w:hanging="10"/>
      </w:pPr>
      <w:r>
        <w:rPr>
          <w:rFonts w:ascii="Times New Roman" w:eastAsia="Times New Roman" w:hAnsi="Times New Roman" w:cs="Times New Roman"/>
          <w:sz w:val="24"/>
        </w:rPr>
        <w:t xml:space="preserve">in Achieving Quality Objectives in Saudi Manufacturing Factories. Total Quality </w:t>
      </w:r>
      <w:r>
        <w:t xml:space="preserve"> </w:t>
      </w:r>
      <w:r>
        <w:rPr>
          <w:rFonts w:ascii="Times New Roman" w:eastAsia="Times New Roman" w:hAnsi="Times New Roman" w:cs="Times New Roman"/>
          <w:sz w:val="24"/>
        </w:rPr>
        <w:t>Management &amp; Business Excellence, 32(5-)6, 601-.516</w:t>
      </w:r>
    </w:p>
    <w:p w14:paraId="10BE94E7" w14:textId="77777777" w:rsidR="005850DB" w:rsidRDefault="00000000">
      <w:pPr>
        <w:bidi w:val="0"/>
        <w:spacing w:after="54" w:line="259" w:lineRule="auto"/>
        <w:ind w:left="0" w:right="58" w:firstLine="0"/>
      </w:pPr>
      <w:r>
        <w:t xml:space="preserve"> </w:t>
      </w:r>
    </w:p>
    <w:p w14:paraId="7A630EDF" w14:textId="77777777" w:rsidR="005850DB" w:rsidRDefault="00000000">
      <w:pPr>
        <w:spacing w:after="32" w:line="245" w:lineRule="auto"/>
        <w:ind w:right="500" w:hanging="5"/>
        <w:jc w:val="both"/>
      </w:pPr>
      <w:r>
        <w:rPr>
          <w:rFonts w:ascii="Times New Roman" w:eastAsia="Times New Roman" w:hAnsi="Times New Roman" w:cs="Times New Roman"/>
          <w:b/>
          <w:bCs/>
          <w:sz w:val="32"/>
          <w:szCs w:val="32"/>
        </w:rPr>
        <w:t>2</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Pr>
        <w:t>1</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Pr>
        <w:t>6</w:t>
      </w:r>
      <w:r>
        <w:rPr>
          <w:b/>
          <w:bCs/>
          <w:sz w:val="32"/>
          <w:szCs w:val="32"/>
          <w:rtl/>
        </w:rPr>
        <w:t xml:space="preserve"> تصنيفات المخاطر</w:t>
      </w:r>
      <w:r>
        <w:rPr>
          <w:rFonts w:ascii="Times New Roman" w:eastAsia="Times New Roman" w:hAnsi="Times New Roman" w:cs="Times New Roman"/>
          <w:b/>
          <w:bCs/>
          <w:sz w:val="32"/>
          <w:szCs w:val="32"/>
          <w:rtl/>
        </w:rPr>
        <w:t xml:space="preserve"> </w:t>
      </w:r>
      <w:r>
        <w:rPr>
          <w:szCs w:val="28"/>
          <w:rtl/>
        </w:rPr>
        <w:t xml:space="preserve">تصنف المخاطر عادةً إلى فئات مختلفة لتسهيل فهمها وإدارتها. على الرغم من وجود العديد من التصنيفات، إلا أن معظمها يتفق على تقسيم المخاطر بناءً على مصدرها أو طبيعتها. من أبرز هذه التصنيفات] </w:t>
      </w:r>
      <w:r>
        <w:rPr>
          <w:rFonts w:ascii="Times New Roman" w:eastAsia="Times New Roman" w:hAnsi="Times New Roman" w:cs="Times New Roman"/>
          <w:szCs w:val="28"/>
        </w:rPr>
        <w:t>63</w:t>
      </w:r>
      <w:r>
        <w:rPr>
          <w:szCs w:val="28"/>
          <w:rtl/>
        </w:rPr>
        <w:t xml:space="preserve">[ : </w:t>
      </w:r>
    </w:p>
    <w:p w14:paraId="453E809D" w14:textId="77777777" w:rsidR="005850DB" w:rsidRDefault="00000000">
      <w:pPr>
        <w:numPr>
          <w:ilvl w:val="0"/>
          <w:numId w:val="21"/>
        </w:numPr>
        <w:spacing w:after="44"/>
        <w:ind w:left="689" w:right="100" w:hanging="362"/>
      </w:pPr>
      <w:r>
        <w:rPr>
          <w:b/>
          <w:bCs/>
          <w:szCs w:val="28"/>
          <w:rtl/>
        </w:rPr>
        <w:t xml:space="preserve">المخاطر الاستارتيجية)  </w:t>
      </w:r>
      <w:r>
        <w:rPr>
          <w:rFonts w:ascii="Times New Roman" w:eastAsia="Times New Roman" w:hAnsi="Times New Roman" w:cs="Times New Roman"/>
          <w:b/>
          <w:sz w:val="24"/>
        </w:rPr>
        <w:t>Strategic Risks</w:t>
      </w:r>
      <w:r>
        <w:rPr>
          <w:b/>
          <w:bCs/>
          <w:szCs w:val="28"/>
          <w:rtl/>
        </w:rPr>
        <w:t>(:</w:t>
      </w:r>
      <w:r>
        <w:rPr>
          <w:szCs w:val="28"/>
          <w:rtl/>
        </w:rPr>
        <w:t xml:space="preserve"> تتعلق هذه المخاطر بالق ارارت الاست ارتيجية للمنظمة وتأثيرها على تحقيق الأهداف طويلة الأجل. تشمل مخاطر اختيار السوق الخاطئ، أو الفشل في التكيف مع التغي ارت في بيئة الأعمال، أو المنافسة الشديدة، أو التغي ارت في تفضيلات العملاء. على سبيل المثال، قد تواجه شركة تصنيع مضخات مخاطر است ارتيجية إذا فشلت في الاستثمار في تقنيات المضخات الذكية) </w:t>
      </w:r>
      <w:r>
        <w:rPr>
          <w:rFonts w:ascii="Times New Roman" w:eastAsia="Times New Roman" w:hAnsi="Times New Roman" w:cs="Times New Roman"/>
          <w:sz w:val="24"/>
        </w:rPr>
        <w:t>Smart Pumps</w:t>
      </w:r>
      <w:r>
        <w:rPr>
          <w:szCs w:val="28"/>
          <w:rtl/>
        </w:rPr>
        <w:t>( بينما يتجه السوق نحوها ]</w:t>
      </w:r>
      <w:r>
        <w:rPr>
          <w:rFonts w:ascii="Times New Roman" w:eastAsia="Times New Roman" w:hAnsi="Times New Roman" w:cs="Times New Roman"/>
          <w:szCs w:val="28"/>
        </w:rPr>
        <w:t>64</w:t>
      </w:r>
      <w:r>
        <w:rPr>
          <w:szCs w:val="28"/>
          <w:rtl/>
        </w:rPr>
        <w:t xml:space="preserve">[ . </w:t>
      </w:r>
    </w:p>
    <w:p w14:paraId="09D8EDC4" w14:textId="77777777" w:rsidR="005850DB" w:rsidRDefault="00000000">
      <w:pPr>
        <w:numPr>
          <w:ilvl w:val="0"/>
          <w:numId w:val="21"/>
        </w:numPr>
        <w:ind w:left="689" w:right="100" w:hanging="362"/>
      </w:pPr>
      <w:r>
        <w:rPr>
          <w:b/>
          <w:bCs/>
          <w:szCs w:val="28"/>
          <w:rtl/>
        </w:rPr>
        <w:t xml:space="preserve">المخاطر التشغيلية) </w:t>
      </w:r>
      <w:r>
        <w:rPr>
          <w:rFonts w:ascii="Times New Roman" w:eastAsia="Times New Roman" w:hAnsi="Times New Roman" w:cs="Times New Roman"/>
          <w:b/>
          <w:sz w:val="24"/>
        </w:rPr>
        <w:t>Operational Risks</w:t>
      </w:r>
      <w:r>
        <w:rPr>
          <w:b/>
          <w:bCs/>
          <w:szCs w:val="28"/>
          <w:rtl/>
        </w:rPr>
        <w:t>(:</w:t>
      </w:r>
      <w:r>
        <w:rPr>
          <w:szCs w:val="28"/>
          <w:rtl/>
        </w:rPr>
        <w:t xml:space="preserve"> تنشأ هذه المخاطر من العمليات اليومية للمنظمة ،وتشمل فشل الأنظمة الداخلية، أو الأخطاء البشرية، أو تعطل المعدات، أو مشكلات سلسلة التوريد، أو عدم كفاية الضوابط الداخلية. في صناعة المضخات، قد تشمل المخاطر التشغيلية عيوب التصنيع، أو تأخي ارت الإنتاج بسبب أعطال الآلات، أو مشكلات في إدارة المخزون ]</w:t>
      </w:r>
      <w:r>
        <w:rPr>
          <w:rFonts w:ascii="Times New Roman" w:eastAsia="Times New Roman" w:hAnsi="Times New Roman" w:cs="Times New Roman"/>
          <w:szCs w:val="28"/>
        </w:rPr>
        <w:t>65</w:t>
      </w:r>
      <w:r>
        <w:rPr>
          <w:szCs w:val="28"/>
          <w:rtl/>
        </w:rPr>
        <w:t xml:space="preserve">[. </w:t>
      </w:r>
    </w:p>
    <w:p w14:paraId="62262CCD" w14:textId="77777777" w:rsidR="005850DB" w:rsidRDefault="00000000">
      <w:pPr>
        <w:numPr>
          <w:ilvl w:val="0"/>
          <w:numId w:val="21"/>
        </w:numPr>
        <w:spacing w:after="31"/>
        <w:ind w:left="689" w:right="100" w:hanging="362"/>
      </w:pPr>
      <w:r>
        <w:rPr>
          <w:b/>
          <w:bCs/>
          <w:szCs w:val="28"/>
          <w:rtl/>
        </w:rPr>
        <w:t xml:space="preserve">المخاطر المالية) </w:t>
      </w:r>
      <w:r>
        <w:rPr>
          <w:rFonts w:ascii="Times New Roman" w:eastAsia="Times New Roman" w:hAnsi="Times New Roman" w:cs="Times New Roman"/>
          <w:b/>
          <w:sz w:val="24"/>
        </w:rPr>
        <w:t>Financial Risks</w:t>
      </w:r>
      <w:r>
        <w:rPr>
          <w:b/>
          <w:bCs/>
          <w:szCs w:val="28"/>
          <w:rtl/>
        </w:rPr>
        <w:t>(:</w:t>
      </w:r>
      <w:r>
        <w:rPr>
          <w:szCs w:val="28"/>
          <w:rtl/>
        </w:rPr>
        <w:t xml:space="preserve"> تتعلق هذه المخاطر بالتقلبات في الأسواق المالية وتأثيرها على الوضع المالي للمنظمة. تشمل مخاطر أسعار الصرف، وأسعار الفائدة، وتقلبات أسعار السلع، ومخاطر الائتمان )عدم قدرة العملاء على السداد(، ومخاطر السيولة )عدم القدرة على الوفاء بالالت ازمات المالية(. بالنسبة لشركات المضخات، قد تتأثر بالتقلبات في أسعار المواد الخام مثل الصلب والنحاس، أو مخاطر العملة عند التعامل مع موردين دوليين]  </w:t>
      </w:r>
      <w:r>
        <w:rPr>
          <w:rFonts w:ascii="Times New Roman" w:eastAsia="Times New Roman" w:hAnsi="Times New Roman" w:cs="Times New Roman"/>
          <w:szCs w:val="28"/>
        </w:rPr>
        <w:t>66</w:t>
      </w:r>
      <w:r>
        <w:rPr>
          <w:szCs w:val="28"/>
          <w:rtl/>
        </w:rPr>
        <w:t xml:space="preserve">[ . </w:t>
      </w:r>
    </w:p>
    <w:p w14:paraId="6D91A1F1" w14:textId="77777777" w:rsidR="005850DB" w:rsidRDefault="00000000">
      <w:pPr>
        <w:numPr>
          <w:ilvl w:val="0"/>
          <w:numId w:val="21"/>
        </w:numPr>
        <w:spacing w:after="60"/>
        <w:ind w:left="689" w:right="100" w:hanging="362"/>
      </w:pPr>
      <w:r>
        <w:rPr>
          <w:b/>
          <w:bCs/>
          <w:szCs w:val="28"/>
          <w:rtl/>
        </w:rPr>
        <w:lastRenderedPageBreak/>
        <w:t xml:space="preserve">مخاطر الامتثال) </w:t>
      </w:r>
      <w:r>
        <w:rPr>
          <w:rFonts w:ascii="Times New Roman" w:eastAsia="Times New Roman" w:hAnsi="Times New Roman" w:cs="Times New Roman"/>
          <w:b/>
          <w:sz w:val="24"/>
        </w:rPr>
        <w:t>Compliance Risks</w:t>
      </w:r>
      <w:r>
        <w:rPr>
          <w:b/>
          <w:bCs/>
          <w:szCs w:val="28"/>
          <w:rtl/>
        </w:rPr>
        <w:t>(:</w:t>
      </w:r>
      <w:r>
        <w:rPr>
          <w:szCs w:val="28"/>
          <w:rtl/>
        </w:rPr>
        <w:t xml:space="preserve"> تنشأ هذه المخاطر من عدم الالت ازم بالقوانين واللوائح والمعايير الصناعية. قد تؤدي إلى غ ارمات، أو عقوبات قانونية، أو فقدان الت ارخيص، أو تضرر السمعة. في صناعة المضخات، يجب على الشركات الالت ازم بمعايير الجودة والسلامة )مثل </w:t>
      </w:r>
      <w:r>
        <w:rPr>
          <w:rFonts w:ascii="Times New Roman" w:eastAsia="Times New Roman" w:hAnsi="Times New Roman" w:cs="Times New Roman"/>
          <w:sz w:val="24"/>
        </w:rPr>
        <w:t>API standards</w:t>
      </w:r>
      <w:r>
        <w:t xml:space="preserve"> ،</w:t>
      </w:r>
      <w:r>
        <w:rPr>
          <w:rFonts w:ascii="Times New Roman" w:eastAsia="Times New Roman" w:hAnsi="Times New Roman" w:cs="Times New Roman"/>
          <w:sz w:val="24"/>
        </w:rPr>
        <w:t>ISO 9001</w:t>
      </w:r>
      <w:r>
        <w:rPr>
          <w:szCs w:val="28"/>
          <w:rtl/>
        </w:rPr>
        <w:t xml:space="preserve">(، واللوائح البيئية، وقوانين العمل] </w:t>
      </w:r>
      <w:r>
        <w:rPr>
          <w:rFonts w:ascii="Times New Roman" w:eastAsia="Times New Roman" w:hAnsi="Times New Roman" w:cs="Times New Roman"/>
          <w:szCs w:val="28"/>
        </w:rPr>
        <w:t>67</w:t>
      </w:r>
      <w:r>
        <w:rPr>
          <w:szCs w:val="28"/>
          <w:rtl/>
        </w:rPr>
        <w:t xml:space="preserve">[. </w:t>
      </w:r>
    </w:p>
    <w:p w14:paraId="06FE82DB" w14:textId="77777777" w:rsidR="005850DB" w:rsidRDefault="00000000">
      <w:pPr>
        <w:numPr>
          <w:ilvl w:val="0"/>
          <w:numId w:val="21"/>
        </w:numPr>
        <w:spacing w:after="31"/>
        <w:ind w:left="689" w:right="100" w:hanging="362"/>
      </w:pPr>
      <w:r>
        <w:rPr>
          <w:b/>
          <w:bCs/>
          <w:szCs w:val="28"/>
          <w:rtl/>
        </w:rPr>
        <w:t xml:space="preserve">مخاطر السمعة) </w:t>
      </w:r>
      <w:r>
        <w:rPr>
          <w:rFonts w:ascii="Times New Roman" w:eastAsia="Times New Roman" w:hAnsi="Times New Roman" w:cs="Times New Roman"/>
          <w:b/>
          <w:sz w:val="24"/>
        </w:rPr>
        <w:t>Reputational Risks</w:t>
      </w:r>
      <w:r>
        <w:rPr>
          <w:b/>
          <w:bCs/>
          <w:szCs w:val="28"/>
          <w:rtl/>
        </w:rPr>
        <w:t>(:</w:t>
      </w:r>
      <w:r>
        <w:rPr>
          <w:szCs w:val="28"/>
          <w:rtl/>
        </w:rPr>
        <w:t xml:space="preserve"> تتعلق هذه المخاطر بالتأثير السلبي على سمعة المنظمة وصورتها العامة. قد تنجم عن مشكلات في جودة المنتج، أو فضائح أخلاقية، أو سوء خدمة العملاء، أو التغطية الإعلامية السلبية. يمكن أن يؤدي تضرر السمعة إلى فقدان العملاء، وانخفاض المبيعات، وصعوبة في جذب المواهب] </w:t>
      </w:r>
      <w:r>
        <w:rPr>
          <w:rFonts w:ascii="Times New Roman" w:eastAsia="Times New Roman" w:hAnsi="Times New Roman" w:cs="Times New Roman"/>
          <w:szCs w:val="28"/>
        </w:rPr>
        <w:t>68</w:t>
      </w:r>
      <w:r>
        <w:rPr>
          <w:szCs w:val="28"/>
          <w:rtl/>
        </w:rPr>
        <w:t xml:space="preserve">[ . </w:t>
      </w:r>
    </w:p>
    <w:p w14:paraId="6CEEB90A" w14:textId="77777777" w:rsidR="005850DB" w:rsidRDefault="00000000">
      <w:pPr>
        <w:numPr>
          <w:ilvl w:val="0"/>
          <w:numId w:val="21"/>
        </w:numPr>
        <w:spacing w:after="49"/>
        <w:ind w:left="689" w:right="100" w:hanging="362"/>
      </w:pPr>
      <w:r>
        <w:rPr>
          <w:b/>
          <w:bCs/>
          <w:szCs w:val="28"/>
          <w:rtl/>
        </w:rPr>
        <w:t xml:space="preserve">مخاطر التكنولوجيا) </w:t>
      </w:r>
      <w:r>
        <w:rPr>
          <w:rFonts w:ascii="Times New Roman" w:eastAsia="Times New Roman" w:hAnsi="Times New Roman" w:cs="Times New Roman"/>
          <w:b/>
          <w:sz w:val="24"/>
        </w:rPr>
        <w:t>Technology Risks</w:t>
      </w:r>
      <w:r>
        <w:rPr>
          <w:b/>
          <w:bCs/>
          <w:szCs w:val="28"/>
          <w:rtl/>
        </w:rPr>
        <w:t>(:</w:t>
      </w:r>
      <w:r>
        <w:rPr>
          <w:szCs w:val="28"/>
          <w:rtl/>
        </w:rPr>
        <w:t xml:space="preserve"> تنشأ هذه المخاطر من استخدام التكنولوجيا، وتشمل فشل الأنظمة، أو الهجمات السيب ارنية، أو فقدان البيانات، أو عدم القدرة على مواكبة التطوارت التكنولوجية. في صناعة المضخات، قد تشمل مخاطر التكنولوجيا فشل أنظمة التصميم بمساعدة الحاسوب، أو اخت ارق أنظمة التحكم الص ناعية، أو عدم القدرة على تبني تقنيات التصنيع المتقدمة </w:t>
      </w:r>
    </w:p>
    <w:p w14:paraId="1D3D984A" w14:textId="77777777" w:rsidR="005850DB" w:rsidRDefault="00000000">
      <w:pPr>
        <w:bidi w:val="0"/>
        <w:spacing w:after="42" w:line="259" w:lineRule="auto"/>
        <w:ind w:left="10" w:right="714" w:hanging="10"/>
      </w:pPr>
      <w:r>
        <w:t xml:space="preserve"> . ]</w:t>
      </w:r>
      <w:r>
        <w:rPr>
          <w:rFonts w:ascii="Times New Roman" w:eastAsia="Times New Roman" w:hAnsi="Times New Roman" w:cs="Times New Roman"/>
        </w:rPr>
        <w:t>69</w:t>
      </w:r>
      <w:r>
        <w:t>[</w:t>
      </w:r>
    </w:p>
    <w:p w14:paraId="5F0818D6" w14:textId="77777777" w:rsidR="005850DB" w:rsidRDefault="00000000">
      <w:pPr>
        <w:numPr>
          <w:ilvl w:val="0"/>
          <w:numId w:val="21"/>
        </w:numPr>
        <w:ind w:left="689" w:right="100" w:hanging="362"/>
      </w:pPr>
      <w:r>
        <w:rPr>
          <w:b/>
          <w:bCs/>
          <w:szCs w:val="28"/>
          <w:rtl/>
        </w:rPr>
        <w:t xml:space="preserve">المخاطر البيئية) </w:t>
      </w:r>
      <w:r>
        <w:rPr>
          <w:rFonts w:ascii="Times New Roman" w:eastAsia="Times New Roman" w:hAnsi="Times New Roman" w:cs="Times New Roman"/>
          <w:b/>
          <w:sz w:val="24"/>
        </w:rPr>
        <w:t>Environmental Risks</w:t>
      </w:r>
      <w:r>
        <w:rPr>
          <w:b/>
          <w:bCs/>
          <w:szCs w:val="28"/>
          <w:rtl/>
        </w:rPr>
        <w:t>(:</w:t>
      </w:r>
      <w:r>
        <w:rPr>
          <w:szCs w:val="28"/>
          <w:rtl/>
        </w:rPr>
        <w:t xml:space="preserve"> تتعلق هذه المخاطر بالتأثي ارت السلبية على البيئة، مثل التلوث، أو استن ازف الموارد، أو عدم الامتثال للوائح البيئية. في صناعة المضخات، قد تشمل المخاطر البيئية التخلص غير السليم من النفايات الصناعية، أو انبعاثات الغا ازت الدفيئة من عمليات التصنيع، أو استهلاك كميات كبيرة من الطاقة والمياه] </w:t>
      </w:r>
      <w:r>
        <w:rPr>
          <w:rFonts w:ascii="Times New Roman" w:eastAsia="Times New Roman" w:hAnsi="Times New Roman" w:cs="Times New Roman"/>
          <w:szCs w:val="28"/>
        </w:rPr>
        <w:t>70</w:t>
      </w:r>
      <w:r>
        <w:rPr>
          <w:szCs w:val="28"/>
          <w:rtl/>
        </w:rPr>
        <w:t xml:space="preserve">[ . </w:t>
      </w:r>
    </w:p>
    <w:p w14:paraId="54ADAE4C" w14:textId="77777777" w:rsidR="005850DB" w:rsidRDefault="00000000">
      <w:pPr>
        <w:ind w:right="36"/>
      </w:pPr>
      <w:r>
        <w:rPr>
          <w:szCs w:val="28"/>
          <w:rtl/>
        </w:rPr>
        <w:t xml:space="preserve">يعد فهم هذه التصنيفات أم اًر بالغ الأهمية لتطوير است ارتيجيات شاملة لإدارة المخاطر، حيث يسمح بتحديد المخاطر المحتملة بشكل منهجي وتصميم استجابات مناسبة لكل فئة.  </w:t>
      </w:r>
    </w:p>
    <w:p w14:paraId="26046A4F" w14:textId="77777777" w:rsidR="005850DB" w:rsidRDefault="00000000">
      <w:pPr>
        <w:spacing w:after="10" w:line="227" w:lineRule="auto"/>
        <w:ind w:left="-2" w:right="8234" w:firstLine="46"/>
      </w:pPr>
      <w:r>
        <w:rPr>
          <w:szCs w:val="28"/>
          <w:rtl/>
        </w:rPr>
        <w:t xml:space="preserve"> </w:t>
      </w:r>
      <w:r>
        <w:rPr>
          <w:b/>
          <w:bCs/>
          <w:sz w:val="32"/>
          <w:szCs w:val="32"/>
          <w:rtl/>
        </w:rPr>
        <w:t xml:space="preserve">المارجع: </w:t>
      </w:r>
      <w:r>
        <w:rPr>
          <w:b/>
          <w:bCs/>
          <w:sz w:val="24"/>
          <w:rtl/>
        </w:rPr>
        <w:t xml:space="preserve"> </w:t>
      </w:r>
    </w:p>
    <w:p w14:paraId="126F243B" w14:textId="77777777" w:rsidR="005850DB" w:rsidRDefault="00000000">
      <w:pPr>
        <w:bidi w:val="0"/>
        <w:spacing w:after="3" w:line="248" w:lineRule="auto"/>
        <w:ind w:left="188" w:right="-7" w:firstLine="506"/>
        <w:jc w:val="left"/>
      </w:pPr>
      <w:r>
        <w:rPr>
          <w:rFonts w:ascii="Times New Roman" w:eastAsia="Times New Roman" w:hAnsi="Times New Roman" w:cs="Times New Roman"/>
          <w:sz w:val="24"/>
        </w:rPr>
        <w:t xml:space="preserve">[63] ISO 31000. (2018). Risk management – Guidelines. International Organization for Standardization. [64] Kaplan, R. S., &amp; Mikes, A. (2012). Managing risks: A new framework. </w:t>
      </w:r>
    </w:p>
    <w:p w14:paraId="4CCDA281" w14:textId="77777777" w:rsidR="005850DB" w:rsidRDefault="00000000">
      <w:pPr>
        <w:bidi w:val="0"/>
        <w:spacing w:after="3" w:line="248" w:lineRule="auto"/>
        <w:ind w:left="288" w:right="-7" w:firstLine="329"/>
        <w:jc w:val="left"/>
      </w:pPr>
      <w:r>
        <w:rPr>
          <w:rFonts w:ascii="Times New Roman" w:eastAsia="Times New Roman" w:hAnsi="Times New Roman" w:cs="Times New Roman"/>
          <w:sz w:val="24"/>
        </w:rPr>
        <w:t xml:space="preserve">Harvard Business Review, 90(6), 48-60. [65] Hopkin, P. P. (2018). Fundamentals of risk management: Understanding, evaluating and implementing effective risk management (5th ed.). Kogan Page Publishers. [66] Jorion, P. (2007). Value at Risk: The New Benchmark for </w:t>
      </w:r>
    </w:p>
    <w:p w14:paraId="07E01C1D" w14:textId="77777777" w:rsidR="005850DB" w:rsidRDefault="00000000">
      <w:pPr>
        <w:bidi w:val="0"/>
        <w:spacing w:after="13"/>
        <w:ind w:left="26" w:right="0" w:hanging="10"/>
      </w:pPr>
      <w:r>
        <w:rPr>
          <w:rFonts w:ascii="Times New Roman" w:eastAsia="Times New Roman" w:hAnsi="Times New Roman" w:cs="Times New Roman"/>
          <w:sz w:val="24"/>
        </w:rPr>
        <w:t xml:space="preserve">Managing Financial Risk (3rd ed.). McGraw-Hill. [67] Trebilcock, M. J. (2014). The Common Law of Restitution: A Canadian Perspective. LexisNexis Canada. [68] Fombrun, C. </w:t>
      </w:r>
    </w:p>
    <w:p w14:paraId="3BA33191" w14:textId="77777777" w:rsidR="005850DB" w:rsidRDefault="00000000">
      <w:pPr>
        <w:bidi w:val="0"/>
        <w:spacing w:after="13"/>
        <w:ind w:left="26" w:right="0" w:hanging="10"/>
      </w:pPr>
      <w:r>
        <w:rPr>
          <w:rFonts w:ascii="Times New Roman" w:eastAsia="Times New Roman" w:hAnsi="Times New Roman" w:cs="Times New Roman"/>
          <w:sz w:val="24"/>
        </w:rPr>
        <w:t xml:space="preserve">J. (1996). Reputation: Realizing value from the corporate image. Harvard Business School </w:t>
      </w:r>
    </w:p>
    <w:p w14:paraId="7EB167E1" w14:textId="77777777" w:rsidR="005850DB" w:rsidRDefault="00000000">
      <w:pPr>
        <w:bidi w:val="0"/>
        <w:spacing w:after="309" w:line="248" w:lineRule="auto"/>
        <w:ind w:left="89" w:right="-7" w:hanging="10"/>
        <w:jc w:val="left"/>
      </w:pPr>
      <w:r>
        <w:rPr>
          <w:rFonts w:ascii="Times New Roman" w:eastAsia="Times New Roman" w:hAnsi="Times New Roman" w:cs="Times New Roman"/>
          <w:sz w:val="24"/>
        </w:rPr>
        <w:t xml:space="preserve">Press. [69] National Institute of Standards and Technology. (2012). Framework for Improving </w:t>
      </w:r>
    </w:p>
    <w:p w14:paraId="76EB2BA1" w14:textId="77777777" w:rsidR="005850DB" w:rsidRDefault="00000000">
      <w:pPr>
        <w:bidi w:val="0"/>
        <w:spacing w:after="199"/>
        <w:ind w:left="26" w:right="0" w:hanging="10"/>
      </w:pPr>
      <w:r>
        <w:rPr>
          <w:rFonts w:ascii="Times New Roman" w:eastAsia="Times New Roman" w:hAnsi="Times New Roman" w:cs="Times New Roman"/>
          <w:sz w:val="24"/>
        </w:rPr>
        <w:lastRenderedPageBreak/>
        <w:t xml:space="preserve">Critical Infrastructure Cybersecurity. NIST. [70] United Nations Environment Programme. </w:t>
      </w:r>
      <w:r>
        <w:t xml:space="preserve"> </w:t>
      </w:r>
      <w:r>
        <w:rPr>
          <w:rFonts w:ascii="Times New Roman" w:eastAsia="Times New Roman" w:hAnsi="Times New Roman" w:cs="Times New Roman"/>
          <w:sz w:val="24"/>
        </w:rPr>
        <w:t>(2016). Environmental Risk Assessment: An Introduction. UNEP.</w:t>
      </w:r>
    </w:p>
    <w:p w14:paraId="36F5BA4C" w14:textId="77777777" w:rsidR="005850DB" w:rsidRDefault="00000000">
      <w:pPr>
        <w:bidi w:val="0"/>
        <w:spacing w:after="46" w:line="259" w:lineRule="auto"/>
        <w:ind w:left="0" w:right="58" w:firstLine="0"/>
      </w:pPr>
      <w:r>
        <w:t xml:space="preserve"> </w:t>
      </w:r>
    </w:p>
    <w:p w14:paraId="0BF8C45D" w14:textId="77777777" w:rsidR="005850DB" w:rsidRDefault="00000000">
      <w:pPr>
        <w:spacing w:after="54" w:line="245" w:lineRule="auto"/>
        <w:ind w:right="170" w:hanging="5"/>
        <w:jc w:val="both"/>
      </w:pPr>
      <w:r>
        <w:rPr>
          <w:rFonts w:ascii="Times New Roman" w:eastAsia="Times New Roman" w:hAnsi="Times New Roman" w:cs="Times New Roman"/>
          <w:b/>
          <w:bCs/>
          <w:sz w:val="32"/>
          <w:szCs w:val="32"/>
        </w:rPr>
        <w:t>2</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Pr>
        <w:t>1</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Pr>
        <w:t>7</w:t>
      </w:r>
      <w:r>
        <w:rPr>
          <w:b/>
          <w:bCs/>
          <w:sz w:val="32"/>
          <w:szCs w:val="32"/>
          <w:rtl/>
        </w:rPr>
        <w:t xml:space="preserve"> ثقافة المخاطر والحوكمة </w:t>
      </w:r>
      <w:r>
        <w:rPr>
          <w:rFonts w:ascii="Times New Roman" w:eastAsia="Times New Roman" w:hAnsi="Times New Roman" w:cs="Times New Roman"/>
          <w:b/>
          <w:bCs/>
          <w:sz w:val="32"/>
          <w:szCs w:val="32"/>
          <w:rtl/>
        </w:rPr>
        <w:t xml:space="preserve"> </w:t>
      </w:r>
      <w:r>
        <w:rPr>
          <w:szCs w:val="28"/>
          <w:rtl/>
        </w:rPr>
        <w:t xml:space="preserve">تعد ثقافة المخاطر والحوكمة من الجوانب الحيوية في الإدارة الفعالة للمخاطر، حيث لا يكفي وجود أطر عمل وعمليات قوية إذا لم تكن مدعومة بثقافة تنظيمية تشجع على الوعي بالمخاطر والتعامل معها بمسؤولية. تعرف ثقافة المخاطر بأنها القيم، والمعتقدات، والمعايير، والمواقف المشتركة التي تؤثر على كيفية فهم المنظمة للمخاطر، وإدارتها، والإبلاغ عنها]  </w:t>
      </w:r>
      <w:r>
        <w:rPr>
          <w:rFonts w:ascii="Times New Roman" w:eastAsia="Times New Roman" w:hAnsi="Times New Roman" w:cs="Times New Roman"/>
          <w:szCs w:val="28"/>
        </w:rPr>
        <w:t>71</w:t>
      </w:r>
      <w:r>
        <w:rPr>
          <w:szCs w:val="28"/>
          <w:rtl/>
        </w:rPr>
        <w:t xml:space="preserve">[. </w:t>
      </w:r>
      <w:r>
        <w:rPr>
          <w:b/>
          <w:bCs/>
          <w:szCs w:val="28"/>
          <w:rtl/>
        </w:rPr>
        <w:t xml:space="preserve">عناصر ثقافة المخاطر القوية: </w:t>
      </w:r>
    </w:p>
    <w:p w14:paraId="6191D396" w14:textId="77777777" w:rsidR="005850DB" w:rsidRDefault="00000000">
      <w:pPr>
        <w:numPr>
          <w:ilvl w:val="0"/>
          <w:numId w:val="22"/>
        </w:numPr>
        <w:spacing w:after="72"/>
        <w:ind w:right="175" w:hanging="361"/>
      </w:pPr>
      <w:r>
        <w:rPr>
          <w:b/>
          <w:bCs/>
          <w:szCs w:val="28"/>
          <w:rtl/>
        </w:rPr>
        <w:t xml:space="preserve">القيادة والالتازم) </w:t>
      </w:r>
      <w:r>
        <w:rPr>
          <w:rFonts w:ascii="Times New Roman" w:eastAsia="Times New Roman" w:hAnsi="Times New Roman" w:cs="Times New Roman"/>
          <w:b/>
          <w:sz w:val="24"/>
        </w:rPr>
        <w:t>Leadership and Commitment</w:t>
      </w:r>
      <w:r>
        <w:rPr>
          <w:b/>
          <w:bCs/>
          <w:szCs w:val="28"/>
          <w:rtl/>
        </w:rPr>
        <w:t xml:space="preserve">(: </w:t>
      </w:r>
      <w:r>
        <w:rPr>
          <w:szCs w:val="28"/>
          <w:rtl/>
        </w:rPr>
        <w:t xml:space="preserve"> يجب أن تبدأ ثقافة المخاطر من القمة، حيث تلتزم الإدارة العليا بتحديد نبرة واضحة بشأن أهمية إدارة المخاطر. يتضمن ذلك تخصيص الموارد، وتوفير الدعم، ودمج إدارة المخاطر في عملية اتخاذ الق ارر الاست ارتيجي]  </w:t>
      </w:r>
      <w:r>
        <w:rPr>
          <w:rFonts w:ascii="Times New Roman" w:eastAsia="Times New Roman" w:hAnsi="Times New Roman" w:cs="Times New Roman"/>
          <w:szCs w:val="28"/>
        </w:rPr>
        <w:t>72</w:t>
      </w:r>
      <w:r>
        <w:rPr>
          <w:szCs w:val="28"/>
          <w:rtl/>
        </w:rPr>
        <w:t xml:space="preserve">[. </w:t>
      </w:r>
    </w:p>
    <w:p w14:paraId="326F1D5A" w14:textId="77777777" w:rsidR="005850DB" w:rsidRDefault="00000000">
      <w:pPr>
        <w:numPr>
          <w:ilvl w:val="0"/>
          <w:numId w:val="22"/>
        </w:numPr>
        <w:spacing w:after="75"/>
        <w:ind w:right="175" w:hanging="361"/>
      </w:pPr>
      <w:r>
        <w:rPr>
          <w:b/>
          <w:bCs/>
          <w:szCs w:val="28"/>
          <w:rtl/>
        </w:rPr>
        <w:t xml:space="preserve">المساءلة والمسؤولية) </w:t>
      </w:r>
      <w:r>
        <w:rPr>
          <w:rFonts w:ascii="Times New Roman" w:eastAsia="Times New Roman" w:hAnsi="Times New Roman" w:cs="Times New Roman"/>
          <w:b/>
          <w:sz w:val="24"/>
        </w:rPr>
        <w:t>Accountability and Responsibility</w:t>
      </w:r>
      <w:r>
        <w:rPr>
          <w:b/>
          <w:bCs/>
          <w:szCs w:val="28"/>
          <w:rtl/>
        </w:rPr>
        <w:t>(:</w:t>
      </w:r>
      <w:r>
        <w:rPr>
          <w:szCs w:val="28"/>
          <w:rtl/>
        </w:rPr>
        <w:t xml:space="preserve"> يجب أن تكون هناك أدوار ومسؤوليات واضحة لإدارة المخاطر على جميع المستويات داخل المنظمة. يجب أن يفهم كل موظف دوره في تحديد المخاطر، والإبلاغ عنها، وإدارتها ضمن نطاق عمله] </w:t>
      </w:r>
      <w:r>
        <w:rPr>
          <w:rFonts w:ascii="Times New Roman" w:eastAsia="Times New Roman" w:hAnsi="Times New Roman" w:cs="Times New Roman"/>
          <w:szCs w:val="28"/>
        </w:rPr>
        <w:t>73</w:t>
      </w:r>
      <w:r>
        <w:rPr>
          <w:szCs w:val="28"/>
          <w:rtl/>
        </w:rPr>
        <w:t xml:space="preserve">[. </w:t>
      </w:r>
    </w:p>
    <w:p w14:paraId="6BC5C2D6" w14:textId="77777777" w:rsidR="005850DB" w:rsidRDefault="00000000">
      <w:pPr>
        <w:numPr>
          <w:ilvl w:val="0"/>
          <w:numId w:val="22"/>
        </w:numPr>
        <w:spacing w:after="54"/>
        <w:ind w:right="175" w:hanging="361"/>
      </w:pPr>
      <w:r>
        <w:rPr>
          <w:b/>
          <w:bCs/>
          <w:szCs w:val="28"/>
          <w:rtl/>
        </w:rPr>
        <w:t xml:space="preserve">التواصل والشفافية) </w:t>
      </w:r>
      <w:r>
        <w:rPr>
          <w:rFonts w:ascii="Times New Roman" w:eastAsia="Times New Roman" w:hAnsi="Times New Roman" w:cs="Times New Roman"/>
          <w:b/>
          <w:sz w:val="24"/>
        </w:rPr>
        <w:t>Communication and Transparency</w:t>
      </w:r>
      <w:r>
        <w:rPr>
          <w:b/>
          <w:bCs/>
          <w:szCs w:val="28"/>
          <w:rtl/>
        </w:rPr>
        <w:t>(:</w:t>
      </w:r>
      <w:r>
        <w:rPr>
          <w:szCs w:val="28"/>
          <w:rtl/>
        </w:rPr>
        <w:t xml:space="preserve"> يجب أن تكون هناك قنوات اتصال مفتوحة وشفافة بشأن المخاطر، سواء كانت صعوداً )من الموظفين إلى الإدارة( أو نزولاً )من الإدارة إلى الموظفين(. يشجع ذلك على الإبلاغ المبكر عن المخاطر ويضمن أن تكون المعلومات متاحة لصناع الق ارر] </w:t>
      </w:r>
      <w:r>
        <w:rPr>
          <w:rFonts w:ascii="Times New Roman" w:eastAsia="Times New Roman" w:hAnsi="Times New Roman" w:cs="Times New Roman"/>
          <w:szCs w:val="28"/>
        </w:rPr>
        <w:t>74</w:t>
      </w:r>
      <w:r>
        <w:rPr>
          <w:szCs w:val="28"/>
          <w:rtl/>
        </w:rPr>
        <w:t xml:space="preserve">[ . </w:t>
      </w:r>
    </w:p>
    <w:p w14:paraId="1CD06DFA" w14:textId="77777777" w:rsidR="005850DB" w:rsidRDefault="00000000">
      <w:pPr>
        <w:numPr>
          <w:ilvl w:val="0"/>
          <w:numId w:val="22"/>
        </w:numPr>
        <w:ind w:right="175" w:hanging="361"/>
      </w:pPr>
      <w:r>
        <w:rPr>
          <w:b/>
          <w:bCs/>
          <w:szCs w:val="28"/>
          <w:rtl/>
        </w:rPr>
        <w:t xml:space="preserve">التعلم والتطوير) </w:t>
      </w:r>
      <w:r>
        <w:rPr>
          <w:rFonts w:ascii="Times New Roman" w:eastAsia="Times New Roman" w:hAnsi="Times New Roman" w:cs="Times New Roman"/>
          <w:b/>
          <w:sz w:val="24"/>
        </w:rPr>
        <w:t>Learning and Development</w:t>
      </w:r>
      <w:r>
        <w:rPr>
          <w:b/>
          <w:bCs/>
          <w:szCs w:val="28"/>
          <w:rtl/>
        </w:rPr>
        <w:t>(:</w:t>
      </w:r>
      <w:r>
        <w:rPr>
          <w:szCs w:val="28"/>
          <w:rtl/>
        </w:rPr>
        <w:t xml:space="preserve"> يجب أن تشجع المنظمة على التعلم المستمر من الأخطاء والنجاحات في إدارة المخاطر. يتضمن ذلك تحليل الحوادث، وم ارجعة الدروس المستفادة، وتوفير التدريب المستمر للموظفين لتعزيز كفاءاتهم في إدارة المخاطر] </w:t>
      </w:r>
      <w:r>
        <w:rPr>
          <w:rFonts w:ascii="Times New Roman" w:eastAsia="Times New Roman" w:hAnsi="Times New Roman" w:cs="Times New Roman"/>
          <w:szCs w:val="28"/>
        </w:rPr>
        <w:t>75</w:t>
      </w:r>
      <w:r>
        <w:rPr>
          <w:szCs w:val="28"/>
          <w:rtl/>
        </w:rPr>
        <w:t xml:space="preserve">[ . </w:t>
      </w:r>
    </w:p>
    <w:p w14:paraId="0317C865" w14:textId="77777777" w:rsidR="005850DB" w:rsidRDefault="00000000">
      <w:pPr>
        <w:numPr>
          <w:ilvl w:val="0"/>
          <w:numId w:val="22"/>
        </w:numPr>
        <w:ind w:right="175" w:hanging="361"/>
      </w:pPr>
      <w:r>
        <w:rPr>
          <w:b/>
          <w:bCs/>
          <w:szCs w:val="28"/>
          <w:rtl/>
        </w:rPr>
        <w:t xml:space="preserve">المكافآت والحوافز) </w:t>
      </w:r>
      <w:r>
        <w:rPr>
          <w:rFonts w:ascii="Times New Roman" w:eastAsia="Times New Roman" w:hAnsi="Times New Roman" w:cs="Times New Roman"/>
          <w:b/>
          <w:sz w:val="24"/>
        </w:rPr>
        <w:t>Incentives and Rewards</w:t>
      </w:r>
      <w:r>
        <w:rPr>
          <w:b/>
          <w:bCs/>
          <w:szCs w:val="28"/>
          <w:rtl/>
        </w:rPr>
        <w:t>(:</w:t>
      </w:r>
      <w:r>
        <w:rPr>
          <w:szCs w:val="28"/>
          <w:rtl/>
        </w:rPr>
        <w:t xml:space="preserve"> يجب أن تكون أنظمة المكافآت والحوافز متوافقة مع أهداف إدارة المخاطر، بحيث يتم مكافأة السلوكيات التي تدعم إدارة المخاطر الفعالة ،وتجنب السلوكيات التي تشجع على المخاطرة المفرطة]  </w:t>
      </w:r>
      <w:r>
        <w:rPr>
          <w:rFonts w:ascii="Times New Roman" w:eastAsia="Times New Roman" w:hAnsi="Times New Roman" w:cs="Times New Roman"/>
          <w:szCs w:val="28"/>
        </w:rPr>
        <w:t>76</w:t>
      </w:r>
      <w:r>
        <w:rPr>
          <w:szCs w:val="28"/>
          <w:rtl/>
        </w:rPr>
        <w:t xml:space="preserve">[ . </w:t>
      </w:r>
    </w:p>
    <w:p w14:paraId="426F837D" w14:textId="77777777" w:rsidR="005850DB" w:rsidRDefault="00000000">
      <w:pPr>
        <w:spacing w:after="0" w:line="259" w:lineRule="auto"/>
        <w:ind w:left="8" w:right="0" w:hanging="10"/>
        <w:jc w:val="left"/>
      </w:pPr>
      <w:r>
        <w:rPr>
          <w:b/>
          <w:bCs/>
          <w:szCs w:val="28"/>
          <w:rtl/>
        </w:rPr>
        <w:t xml:space="preserve">دور الحوكمة في إدارة المخاطر: </w:t>
      </w:r>
    </w:p>
    <w:p w14:paraId="4B14201D" w14:textId="77777777" w:rsidR="005850DB" w:rsidRDefault="00000000">
      <w:pPr>
        <w:ind w:right="100"/>
      </w:pPr>
      <w:r>
        <w:rPr>
          <w:szCs w:val="28"/>
          <w:rtl/>
        </w:rPr>
        <w:lastRenderedPageBreak/>
        <w:t>تعد الحوكمة الرشيدة الإطار الذي يضمن أن يتم توجيه المنظمة والتحكم فيها بشكل فعال. تلعب الحوكمة دواًر حاسماً في إدارة المخاطر من خلال ]</w:t>
      </w:r>
      <w:r>
        <w:rPr>
          <w:rFonts w:ascii="Times New Roman" w:eastAsia="Times New Roman" w:hAnsi="Times New Roman" w:cs="Times New Roman"/>
          <w:szCs w:val="28"/>
        </w:rPr>
        <w:t>77</w:t>
      </w:r>
      <w:r>
        <w:rPr>
          <w:szCs w:val="28"/>
          <w:rtl/>
        </w:rPr>
        <w:t>[:  -</w:t>
      </w:r>
      <w:r>
        <w:rPr>
          <w:rFonts w:ascii="Arial" w:eastAsia="Arial" w:hAnsi="Arial" w:cs="Arial"/>
          <w:sz w:val="24"/>
          <w:rtl/>
        </w:rPr>
        <w:t xml:space="preserve"> </w:t>
      </w:r>
      <w:r>
        <w:rPr>
          <w:b/>
          <w:bCs/>
          <w:szCs w:val="28"/>
          <w:rtl/>
        </w:rPr>
        <w:t>تحديد الإطار العام:</w:t>
      </w:r>
      <w:r>
        <w:rPr>
          <w:szCs w:val="28"/>
          <w:rtl/>
        </w:rPr>
        <w:t xml:space="preserve"> وضع السياسات والإج ارءات التي تحكم كيفية إدارة المخاطر داخل المنظمة.  </w:t>
      </w:r>
    </w:p>
    <w:p w14:paraId="5E20D0E0" w14:textId="77777777" w:rsidR="005850DB" w:rsidRDefault="00000000">
      <w:pPr>
        <w:numPr>
          <w:ilvl w:val="0"/>
          <w:numId w:val="23"/>
        </w:numPr>
        <w:ind w:right="272" w:hanging="360"/>
      </w:pPr>
      <w:r>
        <w:rPr>
          <w:b/>
          <w:bCs/>
          <w:szCs w:val="28"/>
          <w:rtl/>
        </w:rPr>
        <w:t>الإشارف والمارقبة:</w:t>
      </w:r>
      <w:r>
        <w:rPr>
          <w:szCs w:val="28"/>
          <w:rtl/>
        </w:rPr>
        <w:t xml:space="preserve"> ضمان وجود آليات للإش ارف على ممارسات إدارة المخاطر وم ارقبة فعاليتها.  </w:t>
      </w:r>
    </w:p>
    <w:p w14:paraId="2BFA0123" w14:textId="77777777" w:rsidR="005850DB" w:rsidRDefault="00000000">
      <w:pPr>
        <w:numPr>
          <w:ilvl w:val="0"/>
          <w:numId w:val="23"/>
        </w:numPr>
        <w:ind w:right="272" w:hanging="360"/>
      </w:pPr>
      <w:r>
        <w:rPr>
          <w:b/>
          <w:bCs/>
          <w:szCs w:val="28"/>
          <w:rtl/>
        </w:rPr>
        <w:t>تخصيص الموارد:</w:t>
      </w:r>
      <w:r>
        <w:rPr>
          <w:szCs w:val="28"/>
          <w:rtl/>
        </w:rPr>
        <w:t xml:space="preserve"> التأكد من تخصيص الموارد الكافية لإدارة المخاطر، بما في ذلك الموارد البشرية والمالية والتكنولوجية.  -</w:t>
      </w:r>
      <w:r>
        <w:rPr>
          <w:rFonts w:ascii="Arial" w:eastAsia="Arial" w:hAnsi="Arial" w:cs="Arial"/>
          <w:sz w:val="24"/>
          <w:rtl/>
        </w:rPr>
        <w:t xml:space="preserve"> </w:t>
      </w:r>
      <w:r>
        <w:rPr>
          <w:b/>
          <w:bCs/>
          <w:szCs w:val="28"/>
          <w:rtl/>
        </w:rPr>
        <w:t>المساءلة:</w:t>
      </w:r>
      <w:r>
        <w:rPr>
          <w:szCs w:val="28"/>
          <w:rtl/>
        </w:rPr>
        <w:t xml:space="preserve"> تحديد المسؤوليات وتطبيق المساءلة عن أداء إدارة المخاطر. </w:t>
      </w:r>
    </w:p>
    <w:p w14:paraId="310A5470" w14:textId="77777777" w:rsidR="005850DB" w:rsidRDefault="00000000">
      <w:pPr>
        <w:numPr>
          <w:ilvl w:val="0"/>
          <w:numId w:val="23"/>
        </w:numPr>
        <w:ind w:right="272" w:hanging="360"/>
      </w:pPr>
      <w:r>
        <w:rPr>
          <w:b/>
          <w:bCs/>
          <w:szCs w:val="28"/>
          <w:rtl/>
        </w:rPr>
        <w:t>التكامل:</w:t>
      </w:r>
      <w:r>
        <w:rPr>
          <w:szCs w:val="28"/>
          <w:rtl/>
        </w:rPr>
        <w:t xml:space="preserve"> ضمان دمج إدارة المخاطر في جميع مستويات المنظمة وعملياتها، وليس فقط كنشاط منفصل.  </w:t>
      </w:r>
    </w:p>
    <w:p w14:paraId="7456136B" w14:textId="77777777" w:rsidR="005850DB" w:rsidRDefault="00000000">
      <w:pPr>
        <w:spacing w:after="4" w:line="245" w:lineRule="auto"/>
        <w:ind w:right="329" w:hanging="5"/>
        <w:jc w:val="both"/>
      </w:pPr>
      <w:r>
        <w:rPr>
          <w:szCs w:val="28"/>
          <w:rtl/>
        </w:rPr>
        <w:t xml:space="preserve">إن وجود ثقافة مخاطر قوية وحوكمة رشيدة يضمن أن تكون إدارة المخاطر جزءاً لا يتج أز من الحمض النووي للمنظمة، مما يعزز قدرتها على التعامل مع عدم اليقين وتحقيق أهدافها الاست ارتيجية .  </w:t>
      </w:r>
      <w:r>
        <w:rPr>
          <w:b/>
          <w:bCs/>
          <w:sz w:val="32"/>
          <w:szCs w:val="32"/>
          <w:rtl/>
        </w:rPr>
        <w:t xml:space="preserve">المارجع:  </w:t>
      </w:r>
    </w:p>
    <w:p w14:paraId="2533DBB2" w14:textId="77777777" w:rsidR="005850DB" w:rsidRDefault="00000000">
      <w:pPr>
        <w:bidi w:val="0"/>
        <w:spacing w:after="13"/>
        <w:ind w:left="26" w:right="0" w:hanging="10"/>
      </w:pPr>
      <w:r>
        <w:rPr>
          <w:rFonts w:ascii="Times New Roman" w:eastAsia="Times New Roman" w:hAnsi="Times New Roman" w:cs="Times New Roman"/>
          <w:sz w:val="24"/>
        </w:rPr>
        <w:t xml:space="preserve">[71] COSO. (2017). Enterprise Risk Management—Integrating with Strategy and </w:t>
      </w:r>
    </w:p>
    <w:p w14:paraId="517FFDD3" w14:textId="77777777" w:rsidR="005850DB" w:rsidRDefault="00000000">
      <w:pPr>
        <w:bidi w:val="0"/>
        <w:spacing w:after="3" w:line="248" w:lineRule="auto"/>
        <w:ind w:left="15" w:right="-7" w:hanging="10"/>
        <w:jc w:val="left"/>
      </w:pPr>
      <w:r>
        <w:rPr>
          <w:rFonts w:ascii="Times New Roman" w:eastAsia="Times New Roman" w:hAnsi="Times New Roman" w:cs="Times New Roman"/>
          <w:sz w:val="24"/>
        </w:rPr>
        <w:t xml:space="preserve">Performance. The Committee of Sponsoring Organizations of the Treadway Commission. [72] </w:t>
      </w:r>
    </w:p>
    <w:p w14:paraId="36397067" w14:textId="77777777" w:rsidR="005850DB" w:rsidRDefault="00000000">
      <w:pPr>
        <w:bidi w:val="0"/>
        <w:spacing w:after="13"/>
        <w:ind w:left="26" w:right="0" w:hanging="10"/>
      </w:pPr>
      <w:r>
        <w:rPr>
          <w:rFonts w:ascii="Times New Roman" w:eastAsia="Times New Roman" w:hAnsi="Times New Roman" w:cs="Times New Roman"/>
          <w:sz w:val="24"/>
        </w:rPr>
        <w:t xml:space="preserve">Deloitte. (2016). Risk Management Frameworks: A Practical Guide. Deloitte Touche </w:t>
      </w:r>
    </w:p>
    <w:p w14:paraId="5499F6B5" w14:textId="77777777" w:rsidR="005850DB" w:rsidRDefault="00000000">
      <w:pPr>
        <w:bidi w:val="0"/>
        <w:spacing w:after="3" w:line="248" w:lineRule="auto"/>
        <w:ind w:left="79" w:right="-7" w:firstLine="317"/>
        <w:jc w:val="left"/>
      </w:pPr>
      <w:r>
        <w:rPr>
          <w:rFonts w:ascii="Times New Roman" w:eastAsia="Times New Roman" w:hAnsi="Times New Roman" w:cs="Times New Roman"/>
          <w:sz w:val="24"/>
        </w:rPr>
        <w:t xml:space="preserve">Tohmatsu Limited. [73] ISO 31000. (2018). Risk management – Guidelines. International Organization for Standardization. [74] Hopkin, P. (2018). Fundamentals of risk management: </w:t>
      </w:r>
    </w:p>
    <w:p w14:paraId="319A6F0C" w14:textId="77777777" w:rsidR="005850DB" w:rsidRDefault="00000000">
      <w:pPr>
        <w:bidi w:val="0"/>
        <w:spacing w:after="13"/>
        <w:ind w:left="26" w:right="0" w:hanging="10"/>
      </w:pPr>
      <w:r>
        <w:rPr>
          <w:rFonts w:ascii="Times New Roman" w:eastAsia="Times New Roman" w:hAnsi="Times New Roman" w:cs="Times New Roman"/>
          <w:sz w:val="24"/>
        </w:rPr>
        <w:t xml:space="preserve">Understanding, evaluating and implementing effective risk management (5th ed.). Kogan </w:t>
      </w:r>
    </w:p>
    <w:p w14:paraId="0CA2EB6A" w14:textId="77777777" w:rsidR="005850DB" w:rsidRDefault="00000000">
      <w:pPr>
        <w:bidi w:val="0"/>
        <w:spacing w:after="158" w:line="248" w:lineRule="auto"/>
        <w:ind w:left="303" w:right="-7" w:firstLine="254"/>
        <w:jc w:val="left"/>
      </w:pPr>
      <w:r>
        <w:rPr>
          <w:rFonts w:ascii="Times New Roman" w:eastAsia="Times New Roman" w:hAnsi="Times New Roman" w:cs="Times New Roman"/>
          <w:sz w:val="24"/>
        </w:rPr>
        <w:t xml:space="preserve">Page Publishers. [75] Aven, T. (2016). Risk assessment and risk management: Review of recent advances and future challenges. Reliability Engineering &amp; System Safety, 154, 1-13. [76] Power, M. (2007). The risk management of everything: Rethinking the politics of uncertainty. Demos. [77] Cadbury Committee. (1992). Report of the Committee on the </w:t>
      </w:r>
      <w:r>
        <w:t xml:space="preserve"> </w:t>
      </w:r>
      <w:r>
        <w:rPr>
          <w:rFonts w:ascii="Times New Roman" w:eastAsia="Times New Roman" w:hAnsi="Times New Roman" w:cs="Times New Roman"/>
          <w:sz w:val="37"/>
          <w:vertAlign w:val="subscript"/>
        </w:rPr>
        <w:t>Financial Aspects of Corporate Governance. Gee and Co Ltd.</w:t>
      </w:r>
    </w:p>
    <w:p w14:paraId="612E02FE"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3D35C109"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523B4C49"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7EA7A70"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09680670"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6CBB1CE"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F7111BC"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2FC25AB3"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4E1E532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p w14:paraId="7C69D07E" w14:textId="77777777" w:rsidR="005850DB" w:rsidRDefault="00000000">
      <w:pPr>
        <w:bidi w:val="0"/>
        <w:spacing w:after="0" w:line="259" w:lineRule="auto"/>
        <w:ind w:left="0" w:right="69" w:firstLine="0"/>
      </w:pPr>
      <w:r>
        <w:rPr>
          <w:rFonts w:ascii="Times New Roman" w:eastAsia="Times New Roman" w:hAnsi="Times New Roman" w:cs="Times New Roman"/>
        </w:rPr>
        <w:lastRenderedPageBreak/>
        <w:t xml:space="preserve"> </w:t>
      </w:r>
    </w:p>
    <w:p w14:paraId="0270683D" w14:textId="77777777" w:rsidR="005850DB" w:rsidRDefault="00000000">
      <w:pPr>
        <w:bidi w:val="0"/>
        <w:spacing w:after="0" w:line="259" w:lineRule="auto"/>
        <w:ind w:left="0" w:right="69" w:firstLine="0"/>
      </w:pPr>
      <w:r>
        <w:rPr>
          <w:rFonts w:ascii="Times New Roman" w:eastAsia="Times New Roman" w:hAnsi="Times New Roman" w:cs="Times New Roman"/>
        </w:rPr>
        <w:t xml:space="preserve"> </w:t>
      </w:r>
    </w:p>
    <w:sectPr w:rsidR="005850DB">
      <w:footerReference w:type="even" r:id="rId172"/>
      <w:footerReference w:type="default" r:id="rId173"/>
      <w:footerReference w:type="first" r:id="rId174"/>
      <w:pgSz w:w="11906" w:h="16838"/>
      <w:pgMar w:top="1130" w:right="1687" w:bottom="1145" w:left="1130" w:header="720" w:footer="565" w:gutter="0"/>
      <w:pgNumType w:start="1"/>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B0EB8" w14:textId="77777777" w:rsidR="004D370B" w:rsidRDefault="004D370B">
      <w:pPr>
        <w:spacing w:after="0" w:line="240" w:lineRule="auto"/>
      </w:pPr>
      <w:r>
        <w:separator/>
      </w:r>
    </w:p>
  </w:endnote>
  <w:endnote w:type="continuationSeparator" w:id="0">
    <w:p w14:paraId="5830136A" w14:textId="77777777" w:rsidR="004D370B" w:rsidRDefault="004D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79DF0" w14:textId="77777777" w:rsidR="005850DB" w:rsidRDefault="00000000">
    <w:pPr>
      <w:bidi w:val="0"/>
      <w:spacing w:after="0" w:line="259" w:lineRule="auto"/>
      <w:ind w:left="0" w:right="111"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ii</w:t>
    </w:r>
    <w:r>
      <w:rPr>
        <w:rFonts w:ascii="Calibri" w:eastAsia="Calibri" w:hAnsi="Calibri" w:cs="Calibri"/>
        <w:sz w:val="22"/>
      </w:rPr>
      <w:fldChar w:fldCharType="end"/>
    </w:r>
  </w:p>
  <w:p w14:paraId="4AB2B53D" w14:textId="77777777" w:rsidR="005850DB" w:rsidRDefault="00000000">
    <w:pPr>
      <w:bidi w:val="0"/>
      <w:spacing w:after="0" w:line="259" w:lineRule="auto"/>
      <w:ind w:left="0" w:right="83"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4CF0E" w14:textId="77777777" w:rsidR="005850DB" w:rsidRDefault="00000000">
    <w:pPr>
      <w:bidi w:val="0"/>
      <w:spacing w:after="0" w:line="259" w:lineRule="auto"/>
      <w:ind w:left="0" w:right="111"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ii</w:t>
    </w:r>
    <w:r>
      <w:rPr>
        <w:rFonts w:ascii="Calibri" w:eastAsia="Calibri" w:hAnsi="Calibri" w:cs="Calibri"/>
        <w:sz w:val="22"/>
      </w:rPr>
      <w:fldChar w:fldCharType="end"/>
    </w:r>
  </w:p>
  <w:p w14:paraId="3A68222E" w14:textId="77777777" w:rsidR="005850DB" w:rsidRDefault="00000000">
    <w:pPr>
      <w:bidi w:val="0"/>
      <w:spacing w:after="0" w:line="259" w:lineRule="auto"/>
      <w:ind w:left="0" w:right="83"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C9E6B" w14:textId="77777777" w:rsidR="005850DB" w:rsidRDefault="00000000">
    <w:pPr>
      <w:bidi w:val="0"/>
      <w:spacing w:after="0" w:line="259" w:lineRule="auto"/>
      <w:ind w:left="0" w:right="111"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ii</w:t>
    </w:r>
    <w:r>
      <w:rPr>
        <w:rFonts w:ascii="Calibri" w:eastAsia="Calibri" w:hAnsi="Calibri" w:cs="Calibri"/>
        <w:sz w:val="22"/>
      </w:rPr>
      <w:fldChar w:fldCharType="end"/>
    </w:r>
  </w:p>
  <w:p w14:paraId="11467718" w14:textId="77777777" w:rsidR="005850DB" w:rsidRDefault="00000000">
    <w:pPr>
      <w:bidi w:val="0"/>
      <w:spacing w:after="0" w:line="259" w:lineRule="auto"/>
      <w:ind w:left="0" w:right="83" w:firstLine="0"/>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3CBD6" w14:textId="77777777" w:rsidR="005850DB" w:rsidRDefault="00000000">
    <w:pPr>
      <w:bidi w:val="0"/>
      <w:spacing w:after="0" w:line="259" w:lineRule="auto"/>
      <w:ind w:left="0" w:right="136"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616F9872" w14:textId="77777777" w:rsidR="005850DB" w:rsidRDefault="00000000">
    <w:pPr>
      <w:bidi w:val="0"/>
      <w:spacing w:after="0" w:line="259" w:lineRule="auto"/>
      <w:ind w:left="0" w:right="92"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C6353" w14:textId="77777777" w:rsidR="005850DB" w:rsidRDefault="00000000">
    <w:pPr>
      <w:bidi w:val="0"/>
      <w:spacing w:after="0" w:line="259" w:lineRule="auto"/>
      <w:ind w:left="0" w:right="136"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714B2770" w14:textId="77777777" w:rsidR="005850DB" w:rsidRDefault="00000000">
    <w:pPr>
      <w:bidi w:val="0"/>
      <w:spacing w:after="0" w:line="259" w:lineRule="auto"/>
      <w:ind w:left="0" w:right="92"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0DA9" w14:textId="77777777" w:rsidR="005850DB" w:rsidRDefault="00000000">
    <w:pPr>
      <w:bidi w:val="0"/>
      <w:spacing w:after="0" w:line="259" w:lineRule="auto"/>
      <w:ind w:left="0" w:right="136"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6C21FB5C" w14:textId="77777777" w:rsidR="005850DB" w:rsidRDefault="00000000">
    <w:pPr>
      <w:bidi w:val="0"/>
      <w:spacing w:after="0" w:line="259" w:lineRule="auto"/>
      <w:ind w:left="0" w:right="92"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438AE" w14:textId="77777777" w:rsidR="004D370B" w:rsidRDefault="004D370B">
      <w:pPr>
        <w:spacing w:after="0" w:line="240" w:lineRule="auto"/>
      </w:pPr>
      <w:r>
        <w:separator/>
      </w:r>
    </w:p>
  </w:footnote>
  <w:footnote w:type="continuationSeparator" w:id="0">
    <w:p w14:paraId="7B28DFCB" w14:textId="77777777" w:rsidR="004D370B" w:rsidRDefault="004D3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A6DA6"/>
    <w:multiLevelType w:val="hybridMultilevel"/>
    <w:tmpl w:val="9788E658"/>
    <w:lvl w:ilvl="0" w:tplc="7B60807A">
      <w:start w:val="1"/>
      <w:numFmt w:val="bullet"/>
      <w:lvlText w:val="•"/>
      <w:lvlJc w:val="left"/>
      <w:pPr>
        <w:ind w:left="58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47A60CF0">
      <w:start w:val="1"/>
      <w:numFmt w:val="bullet"/>
      <w:lvlText w:val="o"/>
      <w:lvlJc w:val="left"/>
      <w:pPr>
        <w:ind w:left="1464"/>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AFFCEC44">
      <w:start w:val="1"/>
      <w:numFmt w:val="bullet"/>
      <w:lvlText w:val="▪"/>
      <w:lvlJc w:val="left"/>
      <w:pPr>
        <w:ind w:left="2184"/>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6E24DAEE">
      <w:start w:val="1"/>
      <w:numFmt w:val="bullet"/>
      <w:lvlText w:val="•"/>
      <w:lvlJc w:val="left"/>
      <w:pPr>
        <w:ind w:left="2904"/>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76CAA350">
      <w:start w:val="1"/>
      <w:numFmt w:val="bullet"/>
      <w:lvlText w:val="o"/>
      <w:lvlJc w:val="left"/>
      <w:pPr>
        <w:ind w:left="3624"/>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A648A300">
      <w:start w:val="1"/>
      <w:numFmt w:val="bullet"/>
      <w:lvlText w:val="▪"/>
      <w:lvlJc w:val="left"/>
      <w:pPr>
        <w:ind w:left="4344"/>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D0A29366">
      <w:start w:val="1"/>
      <w:numFmt w:val="bullet"/>
      <w:lvlText w:val="•"/>
      <w:lvlJc w:val="left"/>
      <w:pPr>
        <w:ind w:left="5064"/>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489611C4">
      <w:start w:val="1"/>
      <w:numFmt w:val="bullet"/>
      <w:lvlText w:val="o"/>
      <w:lvlJc w:val="left"/>
      <w:pPr>
        <w:ind w:left="5784"/>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CCCAFAB0">
      <w:start w:val="1"/>
      <w:numFmt w:val="bullet"/>
      <w:lvlText w:val="▪"/>
      <w:lvlJc w:val="left"/>
      <w:pPr>
        <w:ind w:left="6504"/>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 w15:restartNumberingAfterBreak="0">
    <w:nsid w:val="13B54CB2"/>
    <w:multiLevelType w:val="hybridMultilevel"/>
    <w:tmpl w:val="FBDA8AA4"/>
    <w:lvl w:ilvl="0" w:tplc="465CAF98">
      <w:start w:val="1"/>
      <w:numFmt w:val="bullet"/>
      <w:lvlText w:val="•"/>
      <w:lvlJc w:val="left"/>
      <w:pPr>
        <w:ind w:left="66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DCF2C792">
      <w:start w:val="1"/>
      <w:numFmt w:val="bullet"/>
      <w:lvlText w:val="o"/>
      <w:lvlJc w:val="left"/>
      <w:pPr>
        <w:ind w:left="15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B7000398">
      <w:start w:val="1"/>
      <w:numFmt w:val="bullet"/>
      <w:lvlText w:val="▪"/>
      <w:lvlJc w:val="left"/>
      <w:pPr>
        <w:ind w:left="22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60BA2E04">
      <w:start w:val="1"/>
      <w:numFmt w:val="bullet"/>
      <w:lvlText w:val="•"/>
      <w:lvlJc w:val="left"/>
      <w:pPr>
        <w:ind w:left="29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C79C653A">
      <w:start w:val="1"/>
      <w:numFmt w:val="bullet"/>
      <w:lvlText w:val="o"/>
      <w:lvlJc w:val="left"/>
      <w:pPr>
        <w:ind w:left="36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BDC844A8">
      <w:start w:val="1"/>
      <w:numFmt w:val="bullet"/>
      <w:lvlText w:val="▪"/>
      <w:lvlJc w:val="left"/>
      <w:pPr>
        <w:ind w:left="43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6B424B4A">
      <w:start w:val="1"/>
      <w:numFmt w:val="bullet"/>
      <w:lvlText w:val="•"/>
      <w:lvlJc w:val="left"/>
      <w:pPr>
        <w:ind w:left="510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CECAAE68">
      <w:start w:val="1"/>
      <w:numFmt w:val="bullet"/>
      <w:lvlText w:val="o"/>
      <w:lvlJc w:val="left"/>
      <w:pPr>
        <w:ind w:left="58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47D056F8">
      <w:start w:val="1"/>
      <w:numFmt w:val="bullet"/>
      <w:lvlText w:val="▪"/>
      <w:lvlJc w:val="left"/>
      <w:pPr>
        <w:ind w:left="65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2" w15:restartNumberingAfterBreak="0">
    <w:nsid w:val="16556C8A"/>
    <w:multiLevelType w:val="hybridMultilevel"/>
    <w:tmpl w:val="52261692"/>
    <w:lvl w:ilvl="0" w:tplc="341C7010">
      <w:start w:val="1"/>
      <w:numFmt w:val="bullet"/>
      <w:lvlText w:val="•"/>
      <w:lvlJc w:val="left"/>
      <w:pPr>
        <w:ind w:left="644"/>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78F82386">
      <w:start w:val="1"/>
      <w:numFmt w:val="bullet"/>
      <w:lvlText w:val="o"/>
      <w:lvlJc w:val="left"/>
      <w:pPr>
        <w:ind w:left="15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10FCE864">
      <w:start w:val="1"/>
      <w:numFmt w:val="bullet"/>
      <w:lvlText w:val="▪"/>
      <w:lvlJc w:val="left"/>
      <w:pPr>
        <w:ind w:left="22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DB0A899E">
      <w:start w:val="1"/>
      <w:numFmt w:val="bullet"/>
      <w:lvlText w:val="•"/>
      <w:lvlJc w:val="left"/>
      <w:pPr>
        <w:ind w:left="29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0AB63578">
      <w:start w:val="1"/>
      <w:numFmt w:val="bullet"/>
      <w:lvlText w:val="o"/>
      <w:lvlJc w:val="left"/>
      <w:pPr>
        <w:ind w:left="36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C748ACE8">
      <w:start w:val="1"/>
      <w:numFmt w:val="bullet"/>
      <w:lvlText w:val="▪"/>
      <w:lvlJc w:val="left"/>
      <w:pPr>
        <w:ind w:left="43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DB40A950">
      <w:start w:val="1"/>
      <w:numFmt w:val="bullet"/>
      <w:lvlText w:val="•"/>
      <w:lvlJc w:val="left"/>
      <w:pPr>
        <w:ind w:left="510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0F8845D6">
      <w:start w:val="1"/>
      <w:numFmt w:val="bullet"/>
      <w:lvlText w:val="o"/>
      <w:lvlJc w:val="left"/>
      <w:pPr>
        <w:ind w:left="58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6F8838AE">
      <w:start w:val="1"/>
      <w:numFmt w:val="bullet"/>
      <w:lvlText w:val="▪"/>
      <w:lvlJc w:val="left"/>
      <w:pPr>
        <w:ind w:left="65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3" w15:restartNumberingAfterBreak="0">
    <w:nsid w:val="18E6607B"/>
    <w:multiLevelType w:val="hybridMultilevel"/>
    <w:tmpl w:val="437403F4"/>
    <w:lvl w:ilvl="0" w:tplc="E5CC5E52">
      <w:start w:val="1"/>
      <w:numFmt w:val="bullet"/>
      <w:lvlText w:val="•"/>
      <w:lvlJc w:val="left"/>
      <w:pPr>
        <w:ind w:left="36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EFB225D8">
      <w:start w:val="1"/>
      <w:numFmt w:val="bullet"/>
      <w:lvlText w:val="o"/>
      <w:lvlJc w:val="left"/>
      <w:pPr>
        <w:ind w:left="145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5B04134C">
      <w:start w:val="1"/>
      <w:numFmt w:val="bullet"/>
      <w:lvlText w:val="▪"/>
      <w:lvlJc w:val="left"/>
      <w:pPr>
        <w:ind w:left="217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9140ADDA">
      <w:start w:val="1"/>
      <w:numFmt w:val="bullet"/>
      <w:lvlText w:val="•"/>
      <w:lvlJc w:val="left"/>
      <w:pPr>
        <w:ind w:left="289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1BE47F0A">
      <w:start w:val="1"/>
      <w:numFmt w:val="bullet"/>
      <w:lvlText w:val="o"/>
      <w:lvlJc w:val="left"/>
      <w:pPr>
        <w:ind w:left="361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34C6D858">
      <w:start w:val="1"/>
      <w:numFmt w:val="bullet"/>
      <w:lvlText w:val="▪"/>
      <w:lvlJc w:val="left"/>
      <w:pPr>
        <w:ind w:left="433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512461A6">
      <w:start w:val="1"/>
      <w:numFmt w:val="bullet"/>
      <w:lvlText w:val="•"/>
      <w:lvlJc w:val="left"/>
      <w:pPr>
        <w:ind w:left="505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7346DE12">
      <w:start w:val="1"/>
      <w:numFmt w:val="bullet"/>
      <w:lvlText w:val="o"/>
      <w:lvlJc w:val="left"/>
      <w:pPr>
        <w:ind w:left="577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E7EA7ADA">
      <w:start w:val="1"/>
      <w:numFmt w:val="bullet"/>
      <w:lvlText w:val="▪"/>
      <w:lvlJc w:val="left"/>
      <w:pPr>
        <w:ind w:left="649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4" w15:restartNumberingAfterBreak="0">
    <w:nsid w:val="1A0604DA"/>
    <w:multiLevelType w:val="hybridMultilevel"/>
    <w:tmpl w:val="7952E162"/>
    <w:lvl w:ilvl="0" w:tplc="1652B6A8">
      <w:start w:val="1"/>
      <w:numFmt w:val="bullet"/>
      <w:lvlText w:val="-"/>
      <w:lvlJc w:val="left"/>
      <w:pPr>
        <w:ind w:left="36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D41818FC">
      <w:start w:val="1"/>
      <w:numFmt w:val="bullet"/>
      <w:lvlText w:val="o"/>
      <w:lvlJc w:val="left"/>
      <w:pPr>
        <w:ind w:left="14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DD00F026">
      <w:start w:val="1"/>
      <w:numFmt w:val="bullet"/>
      <w:lvlText w:val="▪"/>
      <w:lvlJc w:val="left"/>
      <w:pPr>
        <w:ind w:left="21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6FE078FC">
      <w:start w:val="1"/>
      <w:numFmt w:val="bullet"/>
      <w:lvlText w:val="•"/>
      <w:lvlJc w:val="left"/>
      <w:pPr>
        <w:ind w:left="29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E0A6D404">
      <w:start w:val="1"/>
      <w:numFmt w:val="bullet"/>
      <w:lvlText w:val="o"/>
      <w:lvlJc w:val="left"/>
      <w:pPr>
        <w:ind w:left="36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FA2522C">
      <w:start w:val="1"/>
      <w:numFmt w:val="bullet"/>
      <w:lvlText w:val="▪"/>
      <w:lvlJc w:val="left"/>
      <w:pPr>
        <w:ind w:left="43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C4FEE354">
      <w:start w:val="1"/>
      <w:numFmt w:val="bullet"/>
      <w:lvlText w:val="•"/>
      <w:lvlJc w:val="left"/>
      <w:pPr>
        <w:ind w:left="50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8EDAD90C">
      <w:start w:val="1"/>
      <w:numFmt w:val="bullet"/>
      <w:lvlText w:val="o"/>
      <w:lvlJc w:val="left"/>
      <w:pPr>
        <w:ind w:left="57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509C0574">
      <w:start w:val="1"/>
      <w:numFmt w:val="bullet"/>
      <w:lvlText w:val="▪"/>
      <w:lvlJc w:val="left"/>
      <w:pPr>
        <w:ind w:left="65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366E19"/>
    <w:multiLevelType w:val="hybridMultilevel"/>
    <w:tmpl w:val="F4D6445C"/>
    <w:lvl w:ilvl="0" w:tplc="FE22ED44">
      <w:start w:val="1"/>
      <w:numFmt w:val="bullet"/>
      <w:lvlText w:val="•"/>
      <w:lvlJc w:val="left"/>
      <w:pPr>
        <w:ind w:left="662"/>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FB48A9A4">
      <w:start w:val="1"/>
      <w:numFmt w:val="bullet"/>
      <w:lvlText w:val="o"/>
      <w:lvlJc w:val="left"/>
      <w:pPr>
        <w:ind w:left="15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A210B35A">
      <w:start w:val="1"/>
      <w:numFmt w:val="bullet"/>
      <w:lvlText w:val="▪"/>
      <w:lvlJc w:val="left"/>
      <w:pPr>
        <w:ind w:left="22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06F8A342">
      <w:start w:val="1"/>
      <w:numFmt w:val="bullet"/>
      <w:lvlText w:val="•"/>
      <w:lvlJc w:val="left"/>
      <w:pPr>
        <w:ind w:left="29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C4B4B822">
      <w:start w:val="1"/>
      <w:numFmt w:val="bullet"/>
      <w:lvlText w:val="o"/>
      <w:lvlJc w:val="left"/>
      <w:pPr>
        <w:ind w:left="36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97D8A964">
      <w:start w:val="1"/>
      <w:numFmt w:val="bullet"/>
      <w:lvlText w:val="▪"/>
      <w:lvlJc w:val="left"/>
      <w:pPr>
        <w:ind w:left="43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07E67B20">
      <w:start w:val="1"/>
      <w:numFmt w:val="bullet"/>
      <w:lvlText w:val="•"/>
      <w:lvlJc w:val="left"/>
      <w:pPr>
        <w:ind w:left="510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E594F71C">
      <w:start w:val="1"/>
      <w:numFmt w:val="bullet"/>
      <w:lvlText w:val="o"/>
      <w:lvlJc w:val="left"/>
      <w:pPr>
        <w:ind w:left="58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ACEECFA2">
      <w:start w:val="1"/>
      <w:numFmt w:val="bullet"/>
      <w:lvlText w:val="▪"/>
      <w:lvlJc w:val="left"/>
      <w:pPr>
        <w:ind w:left="65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6" w15:restartNumberingAfterBreak="0">
    <w:nsid w:val="1D5F7423"/>
    <w:multiLevelType w:val="hybridMultilevel"/>
    <w:tmpl w:val="4FDC113A"/>
    <w:lvl w:ilvl="0" w:tplc="1E8E8922">
      <w:start w:val="1"/>
      <w:numFmt w:val="bullet"/>
      <w:lvlText w:val="•"/>
      <w:lvlJc w:val="left"/>
      <w:pPr>
        <w:ind w:left="732"/>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63D20DAC">
      <w:start w:val="1"/>
      <w:numFmt w:val="bullet"/>
      <w:lvlText w:val="o"/>
      <w:lvlJc w:val="left"/>
      <w:pPr>
        <w:ind w:left="144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F51CE3E2">
      <w:start w:val="1"/>
      <w:numFmt w:val="bullet"/>
      <w:lvlText w:val="▪"/>
      <w:lvlJc w:val="left"/>
      <w:pPr>
        <w:ind w:left="216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F7807850">
      <w:start w:val="1"/>
      <w:numFmt w:val="bullet"/>
      <w:lvlText w:val="•"/>
      <w:lvlJc w:val="left"/>
      <w:pPr>
        <w:ind w:left="288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211EEBBE">
      <w:start w:val="1"/>
      <w:numFmt w:val="bullet"/>
      <w:lvlText w:val="o"/>
      <w:lvlJc w:val="left"/>
      <w:pPr>
        <w:ind w:left="360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676035BE">
      <w:start w:val="1"/>
      <w:numFmt w:val="bullet"/>
      <w:lvlText w:val="▪"/>
      <w:lvlJc w:val="left"/>
      <w:pPr>
        <w:ind w:left="432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279A8A1E">
      <w:start w:val="1"/>
      <w:numFmt w:val="bullet"/>
      <w:lvlText w:val="•"/>
      <w:lvlJc w:val="left"/>
      <w:pPr>
        <w:ind w:left="504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21806F38">
      <w:start w:val="1"/>
      <w:numFmt w:val="bullet"/>
      <w:lvlText w:val="o"/>
      <w:lvlJc w:val="left"/>
      <w:pPr>
        <w:ind w:left="576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4114EB08">
      <w:start w:val="1"/>
      <w:numFmt w:val="bullet"/>
      <w:lvlText w:val="▪"/>
      <w:lvlJc w:val="left"/>
      <w:pPr>
        <w:ind w:left="648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7" w15:restartNumberingAfterBreak="0">
    <w:nsid w:val="1F7F135C"/>
    <w:multiLevelType w:val="hybridMultilevel"/>
    <w:tmpl w:val="DE82DB20"/>
    <w:lvl w:ilvl="0" w:tplc="1958BE14">
      <w:start w:val="1"/>
      <w:numFmt w:val="bullet"/>
      <w:lvlText w:val="•"/>
      <w:lvlJc w:val="left"/>
      <w:pPr>
        <w:ind w:left="73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B8122F8C">
      <w:start w:val="1"/>
      <w:numFmt w:val="bullet"/>
      <w:lvlText w:val="o"/>
      <w:lvlJc w:val="left"/>
      <w:pPr>
        <w:ind w:left="147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897015E8">
      <w:start w:val="1"/>
      <w:numFmt w:val="bullet"/>
      <w:lvlText w:val="▪"/>
      <w:lvlJc w:val="left"/>
      <w:pPr>
        <w:ind w:left="219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B7524B40">
      <w:start w:val="1"/>
      <w:numFmt w:val="bullet"/>
      <w:lvlText w:val="•"/>
      <w:lvlJc w:val="left"/>
      <w:pPr>
        <w:ind w:left="291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6DD85A34">
      <w:start w:val="1"/>
      <w:numFmt w:val="bullet"/>
      <w:lvlText w:val="o"/>
      <w:lvlJc w:val="left"/>
      <w:pPr>
        <w:ind w:left="363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15D264C0">
      <w:start w:val="1"/>
      <w:numFmt w:val="bullet"/>
      <w:lvlText w:val="▪"/>
      <w:lvlJc w:val="left"/>
      <w:pPr>
        <w:ind w:left="435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6FCEC994">
      <w:start w:val="1"/>
      <w:numFmt w:val="bullet"/>
      <w:lvlText w:val="•"/>
      <w:lvlJc w:val="left"/>
      <w:pPr>
        <w:ind w:left="507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B350A94C">
      <w:start w:val="1"/>
      <w:numFmt w:val="bullet"/>
      <w:lvlText w:val="o"/>
      <w:lvlJc w:val="left"/>
      <w:pPr>
        <w:ind w:left="579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3698DA66">
      <w:start w:val="1"/>
      <w:numFmt w:val="bullet"/>
      <w:lvlText w:val="▪"/>
      <w:lvlJc w:val="left"/>
      <w:pPr>
        <w:ind w:left="651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8" w15:restartNumberingAfterBreak="0">
    <w:nsid w:val="22B77858"/>
    <w:multiLevelType w:val="hybridMultilevel"/>
    <w:tmpl w:val="59DCBAA0"/>
    <w:lvl w:ilvl="0" w:tplc="4314CA2A">
      <w:start w:val="1"/>
      <w:numFmt w:val="bullet"/>
      <w:lvlText w:val="•"/>
      <w:lvlJc w:val="left"/>
      <w:pPr>
        <w:ind w:left="36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309A06F0">
      <w:start w:val="1"/>
      <w:numFmt w:val="bullet"/>
      <w:lvlText w:val="o"/>
      <w:lvlJc w:val="left"/>
      <w:pPr>
        <w:ind w:left="1498"/>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758E6094">
      <w:start w:val="1"/>
      <w:numFmt w:val="bullet"/>
      <w:lvlText w:val="▪"/>
      <w:lvlJc w:val="left"/>
      <w:pPr>
        <w:ind w:left="2218"/>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7C984BB6">
      <w:start w:val="1"/>
      <w:numFmt w:val="bullet"/>
      <w:lvlText w:val="•"/>
      <w:lvlJc w:val="left"/>
      <w:pPr>
        <w:ind w:left="2938"/>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E4D2DC0C">
      <w:start w:val="1"/>
      <w:numFmt w:val="bullet"/>
      <w:lvlText w:val="o"/>
      <w:lvlJc w:val="left"/>
      <w:pPr>
        <w:ind w:left="3658"/>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51E062DA">
      <w:start w:val="1"/>
      <w:numFmt w:val="bullet"/>
      <w:lvlText w:val="▪"/>
      <w:lvlJc w:val="left"/>
      <w:pPr>
        <w:ind w:left="4378"/>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A3EAC64A">
      <w:start w:val="1"/>
      <w:numFmt w:val="bullet"/>
      <w:lvlText w:val="•"/>
      <w:lvlJc w:val="left"/>
      <w:pPr>
        <w:ind w:left="5098"/>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81227D14">
      <w:start w:val="1"/>
      <w:numFmt w:val="bullet"/>
      <w:lvlText w:val="o"/>
      <w:lvlJc w:val="left"/>
      <w:pPr>
        <w:ind w:left="5818"/>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F9A020CE">
      <w:start w:val="1"/>
      <w:numFmt w:val="bullet"/>
      <w:lvlText w:val="▪"/>
      <w:lvlJc w:val="left"/>
      <w:pPr>
        <w:ind w:left="6538"/>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9" w15:restartNumberingAfterBreak="0">
    <w:nsid w:val="34893ADF"/>
    <w:multiLevelType w:val="hybridMultilevel"/>
    <w:tmpl w:val="58E023DC"/>
    <w:lvl w:ilvl="0" w:tplc="19D09264">
      <w:start w:val="1"/>
      <w:numFmt w:val="bullet"/>
      <w:lvlText w:val="•"/>
      <w:lvlJc w:val="left"/>
      <w:pPr>
        <w:ind w:left="405"/>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A1360732">
      <w:start w:val="1"/>
      <w:numFmt w:val="bullet"/>
      <w:lvlText w:val="o"/>
      <w:lvlJc w:val="left"/>
      <w:pPr>
        <w:ind w:left="14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68863984">
      <w:start w:val="1"/>
      <w:numFmt w:val="bullet"/>
      <w:lvlText w:val="▪"/>
      <w:lvlJc w:val="left"/>
      <w:pPr>
        <w:ind w:left="21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0A247080">
      <w:start w:val="1"/>
      <w:numFmt w:val="bullet"/>
      <w:lvlText w:val="•"/>
      <w:lvlJc w:val="left"/>
      <w:pPr>
        <w:ind w:left="288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5AAE5924">
      <w:start w:val="1"/>
      <w:numFmt w:val="bullet"/>
      <w:lvlText w:val="o"/>
      <w:lvlJc w:val="left"/>
      <w:pPr>
        <w:ind w:left="36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4C2C8424">
      <w:start w:val="1"/>
      <w:numFmt w:val="bullet"/>
      <w:lvlText w:val="▪"/>
      <w:lvlJc w:val="left"/>
      <w:pPr>
        <w:ind w:left="43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E0409482">
      <w:start w:val="1"/>
      <w:numFmt w:val="bullet"/>
      <w:lvlText w:val="•"/>
      <w:lvlJc w:val="left"/>
      <w:pPr>
        <w:ind w:left="50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C31A57EA">
      <w:start w:val="1"/>
      <w:numFmt w:val="bullet"/>
      <w:lvlText w:val="o"/>
      <w:lvlJc w:val="left"/>
      <w:pPr>
        <w:ind w:left="57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32985844">
      <w:start w:val="1"/>
      <w:numFmt w:val="bullet"/>
      <w:lvlText w:val="▪"/>
      <w:lvlJc w:val="left"/>
      <w:pPr>
        <w:ind w:left="64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0" w15:restartNumberingAfterBreak="0">
    <w:nsid w:val="370B563D"/>
    <w:multiLevelType w:val="hybridMultilevel"/>
    <w:tmpl w:val="6F7E9F16"/>
    <w:lvl w:ilvl="0" w:tplc="B9F6B46A">
      <w:start w:val="1"/>
      <w:numFmt w:val="bullet"/>
      <w:lvlText w:val="-"/>
      <w:lvlJc w:val="left"/>
      <w:pPr>
        <w:ind w:left="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C1509C1C">
      <w:start w:val="1"/>
      <w:numFmt w:val="bullet"/>
      <w:lvlText w:val="o"/>
      <w:lvlJc w:val="left"/>
      <w:pPr>
        <w:ind w:left="15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AB2B2E0">
      <w:start w:val="1"/>
      <w:numFmt w:val="bullet"/>
      <w:lvlText w:val="▪"/>
      <w:lvlJc w:val="left"/>
      <w:pPr>
        <w:ind w:left="22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D2F0E428">
      <w:start w:val="1"/>
      <w:numFmt w:val="bullet"/>
      <w:lvlText w:val="•"/>
      <w:lvlJc w:val="left"/>
      <w:pPr>
        <w:ind w:left="294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7B7EEFDC">
      <w:start w:val="1"/>
      <w:numFmt w:val="bullet"/>
      <w:lvlText w:val="o"/>
      <w:lvlJc w:val="left"/>
      <w:pPr>
        <w:ind w:left="36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C6ACF1A">
      <w:start w:val="1"/>
      <w:numFmt w:val="bullet"/>
      <w:lvlText w:val="▪"/>
      <w:lvlJc w:val="left"/>
      <w:pPr>
        <w:ind w:left="43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D7AEBEAA">
      <w:start w:val="1"/>
      <w:numFmt w:val="bullet"/>
      <w:lvlText w:val="•"/>
      <w:lvlJc w:val="left"/>
      <w:pPr>
        <w:ind w:left="51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1A5215BE">
      <w:start w:val="1"/>
      <w:numFmt w:val="bullet"/>
      <w:lvlText w:val="o"/>
      <w:lvlJc w:val="left"/>
      <w:pPr>
        <w:ind w:left="58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9B80E946">
      <w:start w:val="1"/>
      <w:numFmt w:val="bullet"/>
      <w:lvlText w:val="▪"/>
      <w:lvlJc w:val="left"/>
      <w:pPr>
        <w:ind w:left="654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20F68A0"/>
    <w:multiLevelType w:val="hybridMultilevel"/>
    <w:tmpl w:val="084A5430"/>
    <w:lvl w:ilvl="0" w:tplc="08D092D8">
      <w:start w:val="1"/>
      <w:numFmt w:val="bullet"/>
      <w:lvlText w:val="•"/>
      <w:lvlJc w:val="left"/>
      <w:pPr>
        <w:ind w:left="36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0AE8A816">
      <w:start w:val="1"/>
      <w:numFmt w:val="bullet"/>
      <w:lvlText w:val="o"/>
      <w:lvlJc w:val="left"/>
      <w:pPr>
        <w:ind w:left="149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FB0CB07C">
      <w:start w:val="1"/>
      <w:numFmt w:val="bullet"/>
      <w:lvlText w:val="▪"/>
      <w:lvlJc w:val="left"/>
      <w:pPr>
        <w:ind w:left="221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33361454">
      <w:start w:val="1"/>
      <w:numFmt w:val="bullet"/>
      <w:lvlText w:val="•"/>
      <w:lvlJc w:val="left"/>
      <w:pPr>
        <w:ind w:left="2939"/>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1734AB72">
      <w:start w:val="1"/>
      <w:numFmt w:val="bullet"/>
      <w:lvlText w:val="o"/>
      <w:lvlJc w:val="left"/>
      <w:pPr>
        <w:ind w:left="365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E24CFA5A">
      <w:start w:val="1"/>
      <w:numFmt w:val="bullet"/>
      <w:lvlText w:val="▪"/>
      <w:lvlJc w:val="left"/>
      <w:pPr>
        <w:ind w:left="437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FCBC686C">
      <w:start w:val="1"/>
      <w:numFmt w:val="bullet"/>
      <w:lvlText w:val="•"/>
      <w:lvlJc w:val="left"/>
      <w:pPr>
        <w:ind w:left="5099"/>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97D0A7D4">
      <w:start w:val="1"/>
      <w:numFmt w:val="bullet"/>
      <w:lvlText w:val="o"/>
      <w:lvlJc w:val="left"/>
      <w:pPr>
        <w:ind w:left="581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21C62A16">
      <w:start w:val="1"/>
      <w:numFmt w:val="bullet"/>
      <w:lvlText w:val="▪"/>
      <w:lvlJc w:val="left"/>
      <w:pPr>
        <w:ind w:left="653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2" w15:restartNumberingAfterBreak="0">
    <w:nsid w:val="44467C7D"/>
    <w:multiLevelType w:val="hybridMultilevel"/>
    <w:tmpl w:val="2DB020CC"/>
    <w:lvl w:ilvl="0" w:tplc="ACFEF82C">
      <w:start w:val="1"/>
      <w:numFmt w:val="bullet"/>
      <w:lvlText w:val="•"/>
      <w:lvlJc w:val="left"/>
      <w:pPr>
        <w:ind w:left="73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75248AB8">
      <w:start w:val="1"/>
      <w:numFmt w:val="bullet"/>
      <w:lvlText w:val="o"/>
      <w:lvlJc w:val="left"/>
      <w:pPr>
        <w:ind w:left="149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4EBE65CA">
      <w:start w:val="1"/>
      <w:numFmt w:val="bullet"/>
      <w:lvlText w:val="▪"/>
      <w:lvlJc w:val="left"/>
      <w:pPr>
        <w:ind w:left="221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887A10E0">
      <w:start w:val="1"/>
      <w:numFmt w:val="bullet"/>
      <w:lvlText w:val="•"/>
      <w:lvlJc w:val="left"/>
      <w:pPr>
        <w:ind w:left="2937"/>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B9128142">
      <w:start w:val="1"/>
      <w:numFmt w:val="bullet"/>
      <w:lvlText w:val="o"/>
      <w:lvlJc w:val="left"/>
      <w:pPr>
        <w:ind w:left="365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2E165B50">
      <w:start w:val="1"/>
      <w:numFmt w:val="bullet"/>
      <w:lvlText w:val="▪"/>
      <w:lvlJc w:val="left"/>
      <w:pPr>
        <w:ind w:left="437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8C006B78">
      <w:start w:val="1"/>
      <w:numFmt w:val="bullet"/>
      <w:lvlText w:val="•"/>
      <w:lvlJc w:val="left"/>
      <w:pPr>
        <w:ind w:left="5097"/>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5192E37E">
      <w:start w:val="1"/>
      <w:numFmt w:val="bullet"/>
      <w:lvlText w:val="o"/>
      <w:lvlJc w:val="left"/>
      <w:pPr>
        <w:ind w:left="581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E938A3C2">
      <w:start w:val="1"/>
      <w:numFmt w:val="bullet"/>
      <w:lvlText w:val="▪"/>
      <w:lvlJc w:val="left"/>
      <w:pPr>
        <w:ind w:left="653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3" w15:restartNumberingAfterBreak="0">
    <w:nsid w:val="49C96246"/>
    <w:multiLevelType w:val="hybridMultilevel"/>
    <w:tmpl w:val="DD1AD6E0"/>
    <w:lvl w:ilvl="0" w:tplc="FD24070A">
      <w:start w:val="1"/>
      <w:numFmt w:val="bullet"/>
      <w:lvlText w:val="•"/>
      <w:lvlJc w:val="left"/>
      <w:pPr>
        <w:ind w:left="732"/>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48568FA2">
      <w:start w:val="1"/>
      <w:numFmt w:val="bullet"/>
      <w:lvlText w:val="o"/>
      <w:lvlJc w:val="left"/>
      <w:pPr>
        <w:ind w:left="14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B9765DE0">
      <w:start w:val="1"/>
      <w:numFmt w:val="bullet"/>
      <w:lvlText w:val="▪"/>
      <w:lvlJc w:val="left"/>
      <w:pPr>
        <w:ind w:left="21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B2A28FE8">
      <w:start w:val="1"/>
      <w:numFmt w:val="bullet"/>
      <w:lvlText w:val="•"/>
      <w:lvlJc w:val="left"/>
      <w:pPr>
        <w:ind w:left="288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4976C1D6">
      <w:start w:val="1"/>
      <w:numFmt w:val="bullet"/>
      <w:lvlText w:val="o"/>
      <w:lvlJc w:val="left"/>
      <w:pPr>
        <w:ind w:left="36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A2A07028">
      <w:start w:val="1"/>
      <w:numFmt w:val="bullet"/>
      <w:lvlText w:val="▪"/>
      <w:lvlJc w:val="left"/>
      <w:pPr>
        <w:ind w:left="43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166A4158">
      <w:start w:val="1"/>
      <w:numFmt w:val="bullet"/>
      <w:lvlText w:val="•"/>
      <w:lvlJc w:val="left"/>
      <w:pPr>
        <w:ind w:left="50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44FE388E">
      <w:start w:val="1"/>
      <w:numFmt w:val="bullet"/>
      <w:lvlText w:val="o"/>
      <w:lvlJc w:val="left"/>
      <w:pPr>
        <w:ind w:left="57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EA0ECA9E">
      <w:start w:val="1"/>
      <w:numFmt w:val="bullet"/>
      <w:lvlText w:val="▪"/>
      <w:lvlJc w:val="left"/>
      <w:pPr>
        <w:ind w:left="64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4" w15:restartNumberingAfterBreak="0">
    <w:nsid w:val="4E0017D5"/>
    <w:multiLevelType w:val="hybridMultilevel"/>
    <w:tmpl w:val="1CE4DC04"/>
    <w:lvl w:ilvl="0" w:tplc="3F0614C0">
      <w:start w:val="1"/>
      <w:numFmt w:val="bullet"/>
      <w:lvlText w:val="•"/>
      <w:lvlJc w:val="left"/>
      <w:pPr>
        <w:ind w:left="688"/>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461051DE">
      <w:start w:val="1"/>
      <w:numFmt w:val="bullet"/>
      <w:lvlText w:val="o"/>
      <w:lvlJc w:val="left"/>
      <w:pPr>
        <w:ind w:left="144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30DA8EC8">
      <w:start w:val="1"/>
      <w:numFmt w:val="bullet"/>
      <w:lvlText w:val="▪"/>
      <w:lvlJc w:val="left"/>
      <w:pPr>
        <w:ind w:left="216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0EE82C22">
      <w:start w:val="1"/>
      <w:numFmt w:val="bullet"/>
      <w:lvlText w:val="•"/>
      <w:lvlJc w:val="left"/>
      <w:pPr>
        <w:ind w:left="2887"/>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592ED33E">
      <w:start w:val="1"/>
      <w:numFmt w:val="bullet"/>
      <w:lvlText w:val="o"/>
      <w:lvlJc w:val="left"/>
      <w:pPr>
        <w:ind w:left="360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8782196C">
      <w:start w:val="1"/>
      <w:numFmt w:val="bullet"/>
      <w:lvlText w:val="▪"/>
      <w:lvlJc w:val="left"/>
      <w:pPr>
        <w:ind w:left="432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A0EE4FEA">
      <w:start w:val="1"/>
      <w:numFmt w:val="bullet"/>
      <w:lvlText w:val="•"/>
      <w:lvlJc w:val="left"/>
      <w:pPr>
        <w:ind w:left="5047"/>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5CC2D7CE">
      <w:start w:val="1"/>
      <w:numFmt w:val="bullet"/>
      <w:lvlText w:val="o"/>
      <w:lvlJc w:val="left"/>
      <w:pPr>
        <w:ind w:left="576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93DCC336">
      <w:start w:val="1"/>
      <w:numFmt w:val="bullet"/>
      <w:lvlText w:val="▪"/>
      <w:lvlJc w:val="left"/>
      <w:pPr>
        <w:ind w:left="6487"/>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5" w15:restartNumberingAfterBreak="0">
    <w:nsid w:val="50743102"/>
    <w:multiLevelType w:val="hybridMultilevel"/>
    <w:tmpl w:val="C4A8E6B6"/>
    <w:lvl w:ilvl="0" w:tplc="69708BEE">
      <w:start w:val="1"/>
      <w:numFmt w:val="bullet"/>
      <w:lvlText w:val="•"/>
      <w:lvlJc w:val="left"/>
      <w:pPr>
        <w:ind w:left="514"/>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9FF62E6E">
      <w:start w:val="1"/>
      <w:numFmt w:val="bullet"/>
      <w:lvlText w:val="o"/>
      <w:lvlJc w:val="left"/>
      <w:pPr>
        <w:ind w:left="15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8530169E">
      <w:start w:val="1"/>
      <w:numFmt w:val="bullet"/>
      <w:lvlText w:val="▪"/>
      <w:lvlJc w:val="left"/>
      <w:pPr>
        <w:ind w:left="22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238C1D02">
      <w:start w:val="1"/>
      <w:numFmt w:val="bullet"/>
      <w:lvlText w:val="•"/>
      <w:lvlJc w:val="left"/>
      <w:pPr>
        <w:ind w:left="29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30A821DA">
      <w:start w:val="1"/>
      <w:numFmt w:val="bullet"/>
      <w:lvlText w:val="o"/>
      <w:lvlJc w:val="left"/>
      <w:pPr>
        <w:ind w:left="36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216ED368">
      <w:start w:val="1"/>
      <w:numFmt w:val="bullet"/>
      <w:lvlText w:val="▪"/>
      <w:lvlJc w:val="left"/>
      <w:pPr>
        <w:ind w:left="43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E18AF144">
      <w:start w:val="1"/>
      <w:numFmt w:val="bullet"/>
      <w:lvlText w:val="•"/>
      <w:lvlJc w:val="left"/>
      <w:pPr>
        <w:ind w:left="510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7570ADE2">
      <w:start w:val="1"/>
      <w:numFmt w:val="bullet"/>
      <w:lvlText w:val="o"/>
      <w:lvlJc w:val="left"/>
      <w:pPr>
        <w:ind w:left="58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6AB4D180">
      <w:start w:val="1"/>
      <w:numFmt w:val="bullet"/>
      <w:lvlText w:val="▪"/>
      <w:lvlJc w:val="left"/>
      <w:pPr>
        <w:ind w:left="65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6" w15:restartNumberingAfterBreak="0">
    <w:nsid w:val="50BB4F03"/>
    <w:multiLevelType w:val="hybridMultilevel"/>
    <w:tmpl w:val="E8942582"/>
    <w:lvl w:ilvl="0" w:tplc="3AC89288">
      <w:start w:val="1"/>
      <w:numFmt w:val="bullet"/>
      <w:lvlText w:val="•"/>
      <w:lvlJc w:val="left"/>
      <w:pPr>
        <w:ind w:left="73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D3FABC36">
      <w:start w:val="1"/>
      <w:numFmt w:val="bullet"/>
      <w:lvlText w:val="o"/>
      <w:lvlJc w:val="left"/>
      <w:pPr>
        <w:ind w:left="15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004A7C78">
      <w:start w:val="1"/>
      <w:numFmt w:val="bullet"/>
      <w:lvlText w:val="▪"/>
      <w:lvlJc w:val="left"/>
      <w:pPr>
        <w:ind w:left="22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738E9EF4">
      <w:start w:val="1"/>
      <w:numFmt w:val="bullet"/>
      <w:lvlText w:val="•"/>
      <w:lvlJc w:val="left"/>
      <w:pPr>
        <w:ind w:left="29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832EE32C">
      <w:start w:val="1"/>
      <w:numFmt w:val="bullet"/>
      <w:lvlText w:val="o"/>
      <w:lvlJc w:val="left"/>
      <w:pPr>
        <w:ind w:left="36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ABE63332">
      <w:start w:val="1"/>
      <w:numFmt w:val="bullet"/>
      <w:lvlText w:val="▪"/>
      <w:lvlJc w:val="left"/>
      <w:pPr>
        <w:ind w:left="43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4B3A77E4">
      <w:start w:val="1"/>
      <w:numFmt w:val="bullet"/>
      <w:lvlText w:val="•"/>
      <w:lvlJc w:val="left"/>
      <w:pPr>
        <w:ind w:left="510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D0F04442">
      <w:start w:val="1"/>
      <w:numFmt w:val="bullet"/>
      <w:lvlText w:val="o"/>
      <w:lvlJc w:val="left"/>
      <w:pPr>
        <w:ind w:left="58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FA10D3CE">
      <w:start w:val="1"/>
      <w:numFmt w:val="bullet"/>
      <w:lvlText w:val="▪"/>
      <w:lvlJc w:val="left"/>
      <w:pPr>
        <w:ind w:left="65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7" w15:restartNumberingAfterBreak="0">
    <w:nsid w:val="592107F1"/>
    <w:multiLevelType w:val="hybridMultilevel"/>
    <w:tmpl w:val="C712A44C"/>
    <w:lvl w:ilvl="0" w:tplc="6C600CA6">
      <w:start w:val="1"/>
      <w:numFmt w:val="bullet"/>
      <w:lvlText w:val="•"/>
      <w:lvlJc w:val="left"/>
      <w:pPr>
        <w:ind w:left="69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A46C5318">
      <w:start w:val="1"/>
      <w:numFmt w:val="bullet"/>
      <w:lvlText w:val="o"/>
      <w:lvlJc w:val="left"/>
      <w:pPr>
        <w:ind w:left="14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4432A2EA">
      <w:start w:val="1"/>
      <w:numFmt w:val="bullet"/>
      <w:lvlText w:val="▪"/>
      <w:lvlJc w:val="left"/>
      <w:pPr>
        <w:ind w:left="21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7624DB3A">
      <w:start w:val="1"/>
      <w:numFmt w:val="bullet"/>
      <w:lvlText w:val="•"/>
      <w:lvlJc w:val="left"/>
      <w:pPr>
        <w:ind w:left="288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E36C3F38">
      <w:start w:val="1"/>
      <w:numFmt w:val="bullet"/>
      <w:lvlText w:val="o"/>
      <w:lvlJc w:val="left"/>
      <w:pPr>
        <w:ind w:left="36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A93002BC">
      <w:start w:val="1"/>
      <w:numFmt w:val="bullet"/>
      <w:lvlText w:val="▪"/>
      <w:lvlJc w:val="left"/>
      <w:pPr>
        <w:ind w:left="43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1FECF7BE">
      <w:start w:val="1"/>
      <w:numFmt w:val="bullet"/>
      <w:lvlText w:val="•"/>
      <w:lvlJc w:val="left"/>
      <w:pPr>
        <w:ind w:left="50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EC6EF12E">
      <w:start w:val="1"/>
      <w:numFmt w:val="bullet"/>
      <w:lvlText w:val="o"/>
      <w:lvlJc w:val="left"/>
      <w:pPr>
        <w:ind w:left="57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FC388CDA">
      <w:start w:val="1"/>
      <w:numFmt w:val="bullet"/>
      <w:lvlText w:val="▪"/>
      <w:lvlJc w:val="left"/>
      <w:pPr>
        <w:ind w:left="64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8" w15:restartNumberingAfterBreak="0">
    <w:nsid w:val="6047487A"/>
    <w:multiLevelType w:val="hybridMultilevel"/>
    <w:tmpl w:val="53F0770C"/>
    <w:lvl w:ilvl="0" w:tplc="9294D6F4">
      <w:start w:val="1"/>
      <w:numFmt w:val="bullet"/>
      <w:lvlText w:val="•"/>
      <w:lvlJc w:val="left"/>
      <w:pPr>
        <w:ind w:left="64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E6EC8E7A">
      <w:start w:val="1"/>
      <w:numFmt w:val="bullet"/>
      <w:lvlText w:val="o"/>
      <w:lvlJc w:val="left"/>
      <w:pPr>
        <w:ind w:left="144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67BC1DCE">
      <w:start w:val="1"/>
      <w:numFmt w:val="bullet"/>
      <w:lvlText w:val="▪"/>
      <w:lvlJc w:val="left"/>
      <w:pPr>
        <w:ind w:left="216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B42EE20C">
      <w:start w:val="1"/>
      <w:numFmt w:val="bullet"/>
      <w:lvlText w:val="•"/>
      <w:lvlJc w:val="left"/>
      <w:pPr>
        <w:ind w:left="288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A08C97D8">
      <w:start w:val="1"/>
      <w:numFmt w:val="bullet"/>
      <w:lvlText w:val="o"/>
      <w:lvlJc w:val="left"/>
      <w:pPr>
        <w:ind w:left="360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9ECECEEA">
      <w:start w:val="1"/>
      <w:numFmt w:val="bullet"/>
      <w:lvlText w:val="▪"/>
      <w:lvlJc w:val="left"/>
      <w:pPr>
        <w:ind w:left="432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8EBAD86A">
      <w:start w:val="1"/>
      <w:numFmt w:val="bullet"/>
      <w:lvlText w:val="•"/>
      <w:lvlJc w:val="left"/>
      <w:pPr>
        <w:ind w:left="5041"/>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F6BE8346">
      <w:start w:val="1"/>
      <w:numFmt w:val="bullet"/>
      <w:lvlText w:val="o"/>
      <w:lvlJc w:val="left"/>
      <w:pPr>
        <w:ind w:left="576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7BEC7E48">
      <w:start w:val="1"/>
      <w:numFmt w:val="bullet"/>
      <w:lvlText w:val="▪"/>
      <w:lvlJc w:val="left"/>
      <w:pPr>
        <w:ind w:left="6481"/>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9" w15:restartNumberingAfterBreak="0">
    <w:nsid w:val="70E724A4"/>
    <w:multiLevelType w:val="hybridMultilevel"/>
    <w:tmpl w:val="BC20C680"/>
    <w:lvl w:ilvl="0" w:tplc="B106B252">
      <w:start w:val="1"/>
      <w:numFmt w:val="bullet"/>
      <w:lvlText w:val="•"/>
      <w:lvlJc w:val="left"/>
      <w:pPr>
        <w:ind w:left="666"/>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90B6335E">
      <w:start w:val="1"/>
      <w:numFmt w:val="bullet"/>
      <w:lvlText w:val="o"/>
      <w:lvlJc w:val="left"/>
      <w:pPr>
        <w:ind w:left="150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1D84C0AA">
      <w:start w:val="1"/>
      <w:numFmt w:val="bullet"/>
      <w:lvlText w:val="▪"/>
      <w:lvlJc w:val="left"/>
      <w:pPr>
        <w:ind w:left="22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D02A512E">
      <w:start w:val="1"/>
      <w:numFmt w:val="bullet"/>
      <w:lvlText w:val="•"/>
      <w:lvlJc w:val="left"/>
      <w:pPr>
        <w:ind w:left="294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C7B4D250">
      <w:start w:val="1"/>
      <w:numFmt w:val="bullet"/>
      <w:lvlText w:val="o"/>
      <w:lvlJc w:val="left"/>
      <w:pPr>
        <w:ind w:left="366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D9088B52">
      <w:start w:val="1"/>
      <w:numFmt w:val="bullet"/>
      <w:lvlText w:val="▪"/>
      <w:lvlJc w:val="left"/>
      <w:pPr>
        <w:ind w:left="438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69E27CDC">
      <w:start w:val="1"/>
      <w:numFmt w:val="bullet"/>
      <w:lvlText w:val="•"/>
      <w:lvlJc w:val="left"/>
      <w:pPr>
        <w:ind w:left="5100"/>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66E610BA">
      <w:start w:val="1"/>
      <w:numFmt w:val="bullet"/>
      <w:lvlText w:val="o"/>
      <w:lvlJc w:val="left"/>
      <w:pPr>
        <w:ind w:left="582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FF248EDE">
      <w:start w:val="1"/>
      <w:numFmt w:val="bullet"/>
      <w:lvlText w:val="▪"/>
      <w:lvlJc w:val="left"/>
      <w:pPr>
        <w:ind w:left="6540"/>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20" w15:restartNumberingAfterBreak="0">
    <w:nsid w:val="755334B8"/>
    <w:multiLevelType w:val="hybridMultilevel"/>
    <w:tmpl w:val="5F165BD0"/>
    <w:lvl w:ilvl="0" w:tplc="D8CEF446">
      <w:start w:val="1"/>
      <w:numFmt w:val="bullet"/>
      <w:lvlText w:val="-"/>
      <w:lvlJc w:val="left"/>
      <w:pPr>
        <w:ind w:left="63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CC2EB35E">
      <w:start w:val="1"/>
      <w:numFmt w:val="bullet"/>
      <w:lvlText w:val="o"/>
      <w:lvlJc w:val="left"/>
      <w:pPr>
        <w:ind w:left="144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C46874CA">
      <w:start w:val="1"/>
      <w:numFmt w:val="bullet"/>
      <w:lvlText w:val="▪"/>
      <w:lvlJc w:val="left"/>
      <w:pPr>
        <w:ind w:left="21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029684A4">
      <w:start w:val="1"/>
      <w:numFmt w:val="bullet"/>
      <w:lvlText w:val="•"/>
      <w:lvlJc w:val="left"/>
      <w:pPr>
        <w:ind w:left="28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1600668C">
      <w:start w:val="1"/>
      <w:numFmt w:val="bullet"/>
      <w:lvlText w:val="o"/>
      <w:lvlJc w:val="left"/>
      <w:pPr>
        <w:ind w:left="36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A072A85A">
      <w:start w:val="1"/>
      <w:numFmt w:val="bullet"/>
      <w:lvlText w:val="▪"/>
      <w:lvlJc w:val="left"/>
      <w:pPr>
        <w:ind w:left="43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2FC4D10A">
      <w:start w:val="1"/>
      <w:numFmt w:val="bullet"/>
      <w:lvlText w:val="•"/>
      <w:lvlJc w:val="left"/>
      <w:pPr>
        <w:ind w:left="504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F6B4DAEA">
      <w:start w:val="1"/>
      <w:numFmt w:val="bullet"/>
      <w:lvlText w:val="o"/>
      <w:lvlJc w:val="left"/>
      <w:pPr>
        <w:ind w:left="57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F5A6900C">
      <w:start w:val="1"/>
      <w:numFmt w:val="bullet"/>
      <w:lvlText w:val="▪"/>
      <w:lvlJc w:val="left"/>
      <w:pPr>
        <w:ind w:left="64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896723D"/>
    <w:multiLevelType w:val="hybridMultilevel"/>
    <w:tmpl w:val="18FCDD8E"/>
    <w:lvl w:ilvl="0" w:tplc="1416EE98">
      <w:start w:val="1"/>
      <w:numFmt w:val="bullet"/>
      <w:lvlText w:val="-"/>
      <w:lvlJc w:val="left"/>
      <w:pPr>
        <w:ind w:left="5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F1365EC0">
      <w:start w:val="1"/>
      <w:numFmt w:val="bullet"/>
      <w:lvlText w:val="o"/>
      <w:lvlJc w:val="left"/>
      <w:pPr>
        <w:ind w:left="15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74AEDAEE">
      <w:start w:val="1"/>
      <w:numFmt w:val="bullet"/>
      <w:lvlText w:val="▪"/>
      <w:lvlJc w:val="left"/>
      <w:pPr>
        <w:ind w:left="22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90B888EA">
      <w:start w:val="1"/>
      <w:numFmt w:val="bullet"/>
      <w:lvlText w:val="•"/>
      <w:lvlJc w:val="left"/>
      <w:pPr>
        <w:ind w:left="294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F9AAA8DE">
      <w:start w:val="1"/>
      <w:numFmt w:val="bullet"/>
      <w:lvlText w:val="o"/>
      <w:lvlJc w:val="left"/>
      <w:pPr>
        <w:ind w:left="366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C390156E">
      <w:start w:val="1"/>
      <w:numFmt w:val="bullet"/>
      <w:lvlText w:val="▪"/>
      <w:lvlJc w:val="left"/>
      <w:pPr>
        <w:ind w:left="438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5E403CAA">
      <w:start w:val="1"/>
      <w:numFmt w:val="bullet"/>
      <w:lvlText w:val="•"/>
      <w:lvlJc w:val="left"/>
      <w:pPr>
        <w:ind w:left="51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CF580226">
      <w:start w:val="1"/>
      <w:numFmt w:val="bullet"/>
      <w:lvlText w:val="o"/>
      <w:lvlJc w:val="left"/>
      <w:pPr>
        <w:ind w:left="58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DC7073A8">
      <w:start w:val="1"/>
      <w:numFmt w:val="bullet"/>
      <w:lvlText w:val="▪"/>
      <w:lvlJc w:val="left"/>
      <w:pPr>
        <w:ind w:left="654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FB76DFD"/>
    <w:multiLevelType w:val="hybridMultilevel"/>
    <w:tmpl w:val="A9604F88"/>
    <w:lvl w:ilvl="0" w:tplc="7750DC9C">
      <w:start w:val="52"/>
      <w:numFmt w:val="decimal"/>
      <w:lvlText w:val="[%1]"/>
      <w:lvlJc w:val="left"/>
      <w:pPr>
        <w:ind w:left="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E69484">
      <w:start w:val="1"/>
      <w:numFmt w:val="lowerLetter"/>
      <w:lvlText w:val="%2"/>
      <w:lvlJc w:val="left"/>
      <w:pPr>
        <w:ind w:left="1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B29DEC">
      <w:start w:val="1"/>
      <w:numFmt w:val="lowerRoman"/>
      <w:lvlText w:val="%3"/>
      <w:lvlJc w:val="left"/>
      <w:pPr>
        <w:ind w:left="21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742CF2">
      <w:start w:val="1"/>
      <w:numFmt w:val="decimal"/>
      <w:lvlText w:val="%4"/>
      <w:lvlJc w:val="left"/>
      <w:pPr>
        <w:ind w:left="29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78EEB0">
      <w:start w:val="1"/>
      <w:numFmt w:val="lowerLetter"/>
      <w:lvlText w:val="%5"/>
      <w:lvlJc w:val="left"/>
      <w:pPr>
        <w:ind w:left="36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146D96">
      <w:start w:val="1"/>
      <w:numFmt w:val="lowerRoman"/>
      <w:lvlText w:val="%6"/>
      <w:lvlJc w:val="left"/>
      <w:pPr>
        <w:ind w:left="43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62CF7E">
      <w:start w:val="1"/>
      <w:numFmt w:val="decimal"/>
      <w:lvlText w:val="%7"/>
      <w:lvlJc w:val="left"/>
      <w:pPr>
        <w:ind w:left="5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54E7C6">
      <w:start w:val="1"/>
      <w:numFmt w:val="lowerLetter"/>
      <w:lvlText w:val="%8"/>
      <w:lvlJc w:val="left"/>
      <w:pPr>
        <w:ind w:left="5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4266AC">
      <w:start w:val="1"/>
      <w:numFmt w:val="lowerRoman"/>
      <w:lvlText w:val="%9"/>
      <w:lvlJc w:val="left"/>
      <w:pPr>
        <w:ind w:left="6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60138562">
    <w:abstractNumId w:val="21"/>
  </w:num>
  <w:num w:numId="2" w16cid:durableId="923102101">
    <w:abstractNumId w:val="15"/>
  </w:num>
  <w:num w:numId="3" w16cid:durableId="112019710">
    <w:abstractNumId w:val="8"/>
  </w:num>
  <w:num w:numId="4" w16cid:durableId="1765111586">
    <w:abstractNumId w:val="4"/>
  </w:num>
  <w:num w:numId="5" w16cid:durableId="1241981835">
    <w:abstractNumId w:val="7"/>
  </w:num>
  <w:num w:numId="6" w16cid:durableId="332801853">
    <w:abstractNumId w:val="9"/>
  </w:num>
  <w:num w:numId="7" w16cid:durableId="1558200394">
    <w:abstractNumId w:val="12"/>
  </w:num>
  <w:num w:numId="8" w16cid:durableId="1961494677">
    <w:abstractNumId w:val="6"/>
  </w:num>
  <w:num w:numId="9" w16cid:durableId="243073333">
    <w:abstractNumId w:val="13"/>
  </w:num>
  <w:num w:numId="10" w16cid:durableId="690567221">
    <w:abstractNumId w:val="20"/>
  </w:num>
  <w:num w:numId="11" w16cid:durableId="2089374977">
    <w:abstractNumId w:val="11"/>
  </w:num>
  <w:num w:numId="12" w16cid:durableId="176777755">
    <w:abstractNumId w:val="17"/>
  </w:num>
  <w:num w:numId="13" w16cid:durableId="93870843">
    <w:abstractNumId w:val="0"/>
  </w:num>
  <w:num w:numId="14" w16cid:durableId="2117748562">
    <w:abstractNumId w:val="5"/>
  </w:num>
  <w:num w:numId="15" w16cid:durableId="1123304960">
    <w:abstractNumId w:val="1"/>
  </w:num>
  <w:num w:numId="16" w16cid:durableId="1248420090">
    <w:abstractNumId w:val="3"/>
  </w:num>
  <w:num w:numId="17" w16cid:durableId="1718386532">
    <w:abstractNumId w:val="18"/>
  </w:num>
  <w:num w:numId="18" w16cid:durableId="1669677398">
    <w:abstractNumId w:val="22"/>
  </w:num>
  <w:num w:numId="19" w16cid:durableId="493424346">
    <w:abstractNumId w:val="19"/>
  </w:num>
  <w:num w:numId="20" w16cid:durableId="1860393416">
    <w:abstractNumId w:val="2"/>
  </w:num>
  <w:num w:numId="21" w16cid:durableId="7563322">
    <w:abstractNumId w:val="14"/>
  </w:num>
  <w:num w:numId="22" w16cid:durableId="2112361321">
    <w:abstractNumId w:val="16"/>
  </w:num>
  <w:num w:numId="23" w16cid:durableId="1803204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0DB"/>
    <w:rsid w:val="004D370B"/>
    <w:rsid w:val="005850DB"/>
    <w:rsid w:val="008C5473"/>
    <w:rsid w:val="00A036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71DE"/>
  <w15:docId w15:val="{DBC843F0-AE93-4C2F-B8E7-39A44B94A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5" w:line="249" w:lineRule="auto"/>
      <w:ind w:left="1" w:right="5564" w:hanging="1"/>
      <w:jc w:val="right"/>
    </w:pPr>
    <w:rPr>
      <w:rFonts w:ascii="Simplified Arabic" w:eastAsia="Simplified Arabic" w:hAnsi="Simplified Arabic" w:cs="Simplified Arabic"/>
      <w:color w:val="000000"/>
      <w:sz w:val="28"/>
    </w:rPr>
  </w:style>
  <w:style w:type="paragraph" w:styleId="Heading1">
    <w:name w:val="heading 1"/>
    <w:next w:val="Normal"/>
    <w:link w:val="Heading1Char"/>
    <w:uiPriority w:val="9"/>
    <w:qFormat/>
    <w:pPr>
      <w:keepNext/>
      <w:keepLines/>
      <w:bidi/>
      <w:spacing w:after="0" w:line="259" w:lineRule="auto"/>
      <w:ind w:left="10" w:right="24" w:hanging="10"/>
      <w:jc w:val="right"/>
      <w:outlineLvl w:val="0"/>
    </w:pPr>
    <w:rPr>
      <w:rFonts w:ascii="Simplified Arabic" w:eastAsia="Simplified Arabic" w:hAnsi="Simplified Arabic" w:cs="Simplified Arabic"/>
      <w:b/>
      <w:color w:val="000000"/>
      <w:sz w:val="40"/>
    </w:rPr>
  </w:style>
  <w:style w:type="paragraph" w:styleId="Heading2">
    <w:name w:val="heading 2"/>
    <w:next w:val="Normal"/>
    <w:link w:val="Heading2Char"/>
    <w:uiPriority w:val="9"/>
    <w:unhideWhenUsed/>
    <w:qFormat/>
    <w:pPr>
      <w:keepNext/>
      <w:keepLines/>
      <w:bidi/>
      <w:spacing w:after="3" w:line="259" w:lineRule="auto"/>
      <w:ind w:left="11" w:hanging="10"/>
      <w:outlineLvl w:val="1"/>
    </w:pPr>
    <w:rPr>
      <w:rFonts w:ascii="Simplified Arabic" w:eastAsia="Simplified Arabic" w:hAnsi="Simplified Arabic" w:cs="Simplified Arabic"/>
      <w:b/>
      <w:color w:val="000000"/>
      <w:sz w:val="32"/>
    </w:rPr>
  </w:style>
  <w:style w:type="paragraph" w:styleId="Heading3">
    <w:name w:val="heading 3"/>
    <w:next w:val="Normal"/>
    <w:link w:val="Heading3Char"/>
    <w:uiPriority w:val="9"/>
    <w:unhideWhenUsed/>
    <w:qFormat/>
    <w:pPr>
      <w:keepNext/>
      <w:keepLines/>
      <w:bidi/>
      <w:spacing w:after="3" w:line="259" w:lineRule="auto"/>
      <w:ind w:left="11" w:hanging="10"/>
      <w:outlineLvl w:val="2"/>
    </w:pPr>
    <w:rPr>
      <w:rFonts w:ascii="Simplified Arabic" w:eastAsia="Simplified Arabic" w:hAnsi="Simplified Arabic" w:cs="Simplified Arabic"/>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implified Arabic" w:eastAsia="Simplified Arabic" w:hAnsi="Simplified Arabic" w:cs="Simplified Arabic"/>
      <w:b/>
      <w:color w:val="000000"/>
      <w:sz w:val="40"/>
    </w:rPr>
  </w:style>
  <w:style w:type="character" w:customStyle="1" w:styleId="Heading2Char">
    <w:name w:val="Heading 2 Char"/>
    <w:link w:val="Heading2"/>
    <w:rPr>
      <w:rFonts w:ascii="Simplified Arabic" w:eastAsia="Simplified Arabic" w:hAnsi="Simplified Arabic" w:cs="Simplified Arabic"/>
      <w:b/>
      <w:color w:val="000000"/>
      <w:sz w:val="32"/>
    </w:rPr>
  </w:style>
  <w:style w:type="character" w:customStyle="1" w:styleId="Heading3Char">
    <w:name w:val="Heading 3 Char"/>
    <w:link w:val="Heading3"/>
    <w:rPr>
      <w:rFonts w:ascii="Simplified Arabic" w:eastAsia="Simplified Arabic" w:hAnsi="Simplified Arabic" w:cs="Simplified Arabic"/>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vision2030.gov.sa/" TargetMode="External"/><Relationship Id="rId21" Type="http://schemas.openxmlformats.org/officeDocument/2006/relationships/hyperlink" Target="https://www.imarcgroup.com/saudi-arabia-industrial-pumps-market" TargetMode="External"/><Relationship Id="rId42" Type="http://schemas.openxmlformats.org/officeDocument/2006/relationships/hyperlink" Target="https://www.epicflow.com/blog/managing-risks-in-manufacturing-projects-essentials-and-best-practices/" TargetMode="External"/><Relationship Id="rId63" Type="http://schemas.openxmlformats.org/officeDocument/2006/relationships/hyperlink" Target="https://www.travelers.com/resources/business-industries/manufacturing/20-risks-facing-manufacturing-industry" TargetMode="External"/><Relationship Id="rId84" Type="http://schemas.openxmlformats.org/officeDocument/2006/relationships/hyperlink" Target="https://www.neom.com/en-us/about" TargetMode="External"/><Relationship Id="rId138" Type="http://schemas.openxmlformats.org/officeDocument/2006/relationships/hyperlink" Target="https://investsaudi.sa/medias/Industrial-Pumps.pdf" TargetMode="External"/><Relationship Id="rId159" Type="http://schemas.openxmlformats.org/officeDocument/2006/relationships/hyperlink" Target="https://investsaudi.sa/medias/Industrial-Pumps.pdf" TargetMode="External"/><Relationship Id="rId170" Type="http://schemas.openxmlformats.org/officeDocument/2006/relationships/hyperlink" Target="https://www.vision2030.gov.sa/" TargetMode="External"/><Relationship Id="rId107" Type="http://schemas.openxmlformats.org/officeDocument/2006/relationships/hyperlink" Target="https://www.6wresearch.com/industry-report/saudi-arabia-industrial-pumps-market-outlook" TargetMode="External"/><Relationship Id="rId11" Type="http://schemas.openxmlformats.org/officeDocument/2006/relationships/hyperlink" Target="https://alsamhanpump.com.sa/?lang=en" TargetMode="External"/><Relationship Id="rId32" Type="http://schemas.openxmlformats.org/officeDocument/2006/relationships/hyperlink" Target="https://www.sulzer.com/en/shared/case-studies/fresh-water-for-future-needs" TargetMode="External"/><Relationship Id="rId53" Type="http://schemas.openxmlformats.org/officeDocument/2006/relationships/hyperlink" Target="https://www.travelers.com/resources/business-industries/manufacturing/20-risks-facing-manufacturing-industry" TargetMode="External"/><Relationship Id="rId74" Type="http://schemas.openxmlformats.org/officeDocument/2006/relationships/hyperlink" Target="https://www.swcc.gov.sa/en/about-swcc" TargetMode="External"/><Relationship Id="rId128" Type="http://schemas.openxmlformats.org/officeDocument/2006/relationships/hyperlink" Target="https://www.pif.gov.sa/en/giga-projects" TargetMode="External"/><Relationship Id="rId149" Type="http://schemas.openxmlformats.org/officeDocument/2006/relationships/hyperlink" Target="https://nidlp.gov.sa/en/about-nidlp/" TargetMode="External"/><Relationship Id="rId5" Type="http://schemas.openxmlformats.org/officeDocument/2006/relationships/footnotes" Target="footnotes.xml"/><Relationship Id="rId95" Type="http://schemas.openxmlformats.org/officeDocument/2006/relationships/hyperlink" Target="https://www.psmarketresearch.com/market-analysis/saudi-arabia-water-pumps-market" TargetMode="External"/><Relationship Id="rId160" Type="http://schemas.openxmlformats.org/officeDocument/2006/relationships/hyperlink" Target="https://investsaudi.sa/medias/Industrial-Pumps.pdf" TargetMode="External"/><Relationship Id="rId22" Type="http://schemas.openxmlformats.org/officeDocument/2006/relationships/hyperlink" Target="https://www.sulzer.com/en/shared/case-studies/fresh-water-for-future-needs" TargetMode="External"/><Relationship Id="rId43" Type="http://schemas.openxmlformats.org/officeDocument/2006/relationships/hyperlink" Target="https://www.epicflow.com/blog/managing-risks-in-manufacturing-projects-essentials-and-best-practices/" TargetMode="External"/><Relationship Id="rId64" Type="http://schemas.openxmlformats.org/officeDocument/2006/relationships/hyperlink" Target="https://www.travelers.com/resources/business-industries/manufacturing/20-risks-facing-manufacturing-industry" TargetMode="External"/><Relationship Id="rId118" Type="http://schemas.openxmlformats.org/officeDocument/2006/relationships/hyperlink" Target="https://www.grundfos.com/sa/about-us/sustainable-solutions" TargetMode="External"/><Relationship Id="rId139" Type="http://schemas.openxmlformats.org/officeDocument/2006/relationships/hyperlink" Target="https://investsaudi.sa/medias/Industrial-Pumps.pdf" TargetMode="External"/><Relationship Id="rId85" Type="http://schemas.openxmlformats.org/officeDocument/2006/relationships/hyperlink" Target="https://www.neom.com/en-us/about" TargetMode="External"/><Relationship Id="rId150" Type="http://schemas.openxmlformats.org/officeDocument/2006/relationships/hyperlink" Target="https://www.sidf.gov.sa/en/about-sidf/" TargetMode="External"/><Relationship Id="rId171" Type="http://schemas.openxmlformats.org/officeDocument/2006/relationships/hyperlink" Target="https://www.vision2030.gov.sa/" TargetMode="External"/><Relationship Id="rId12" Type="http://schemas.openxmlformats.org/officeDocument/2006/relationships/hyperlink" Target="https://www.imarcgroup.com/saudi-arabia-industrial-pumps-market" TargetMode="External"/><Relationship Id="rId33" Type="http://schemas.openxmlformats.org/officeDocument/2006/relationships/hyperlink" Target="https://www.sulzer.com/en/shared/case-studies/fresh-water-for-future-needs" TargetMode="External"/><Relationship Id="rId108" Type="http://schemas.openxmlformats.org/officeDocument/2006/relationships/hyperlink" Target="https://www.6wresearch.com/industry-report/saudi-arabia-industrial-pumps-market-outlook" TargetMode="External"/><Relationship Id="rId129" Type="http://schemas.openxmlformats.org/officeDocument/2006/relationships/hyperlink" Target="https://www.pif.gov.sa/en/giga-projects" TargetMode="External"/><Relationship Id="rId54" Type="http://schemas.openxmlformats.org/officeDocument/2006/relationships/hyperlink" Target="https://www.travelers.com/resources/business-industries/manufacturing/20-risks-facing-manufacturing-industry" TargetMode="External"/><Relationship Id="rId75" Type="http://schemas.openxmlformats.org/officeDocument/2006/relationships/hyperlink" Target="https://www.swcc.gov.sa/en/about-swcc" TargetMode="External"/><Relationship Id="rId96" Type="http://schemas.openxmlformats.org/officeDocument/2006/relationships/hyperlink" Target="https://www.psmarketresearch.com/market-analysis/saudi-arabia-water-pumps-market" TargetMode="External"/><Relationship Id="rId140" Type="http://schemas.openxmlformats.org/officeDocument/2006/relationships/hyperlink" Target="https://investsaudi.sa/medias/Industrial-Pumps.pdf" TargetMode="External"/><Relationship Id="rId161" Type="http://schemas.openxmlformats.org/officeDocument/2006/relationships/hyperlink" Target="https://investsaudi.sa/medias/Industrial-Pumps.pdf"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ulzer.com/en/shared/case-studies/fresh-water-for-future-needs" TargetMode="External"/><Relationship Id="rId28" Type="http://schemas.openxmlformats.org/officeDocument/2006/relationships/hyperlink" Target="https://www.sulzer.com/en/shared/case-studies/fresh-water-for-future-needs" TargetMode="External"/><Relationship Id="rId49" Type="http://schemas.openxmlformats.org/officeDocument/2006/relationships/hyperlink" Target="https://www.epicflow.com/blog/managing-risks-in-manufacturing-projects-essentials-and-best-practices/" TargetMode="External"/><Relationship Id="rId114" Type="http://schemas.openxmlformats.org/officeDocument/2006/relationships/hyperlink" Target="https://www.6wresearch.com/industry-report/saudi-arabia-industrial-pumps-market-outlook" TargetMode="External"/><Relationship Id="rId119" Type="http://schemas.openxmlformats.org/officeDocument/2006/relationships/hyperlink" Target="https://www.grundfos.com/sa/about-us/sustainable-solutions" TargetMode="External"/><Relationship Id="rId44" Type="http://schemas.openxmlformats.org/officeDocument/2006/relationships/hyperlink" Target="https://www.epicflow.com/blog/managing-risks-in-manufacturing-projects-essentials-and-best-practices/" TargetMode="External"/><Relationship Id="rId60" Type="http://schemas.openxmlformats.org/officeDocument/2006/relationships/hyperlink" Target="https://www.travelers.com/resources/business-industries/manufacturing/20-risks-facing-manufacturing-industry" TargetMode="External"/><Relationship Id="rId65" Type="http://schemas.openxmlformats.org/officeDocument/2006/relationships/hyperlink" Target="https://www.travelers.com/resources/business-industries/manufacturing/20-risks-facing-manufacturing-industry" TargetMode="External"/><Relationship Id="rId81" Type="http://schemas.openxmlformats.org/officeDocument/2006/relationships/hyperlink" Target="https://www.vision2030.gov.sa/" TargetMode="External"/><Relationship Id="rId86" Type="http://schemas.openxmlformats.org/officeDocument/2006/relationships/hyperlink" Target="https://investsaudi.sa/medias/Industrial-Pumps.pdf" TargetMode="External"/><Relationship Id="rId130" Type="http://schemas.openxmlformats.org/officeDocument/2006/relationships/hyperlink" Target="https://www.pif.gov.sa/en/giga-projects" TargetMode="External"/><Relationship Id="rId135" Type="http://schemas.openxmlformats.org/officeDocument/2006/relationships/hyperlink" Target="https://www.stats.gov.sa/en/indicators/population-estimates" TargetMode="External"/><Relationship Id="rId151" Type="http://schemas.openxmlformats.org/officeDocument/2006/relationships/hyperlink" Target="https://www.sidf.gov.sa/en/about-sidf/" TargetMode="External"/><Relationship Id="rId156" Type="http://schemas.openxmlformats.org/officeDocument/2006/relationships/hyperlink" Target="https://www.modon.gov.sa/en/about-modon/Pages/default.aspx" TargetMode="External"/><Relationship Id="rId172" Type="http://schemas.openxmlformats.org/officeDocument/2006/relationships/footer" Target="footer4.xml"/><Relationship Id="rId13" Type="http://schemas.openxmlformats.org/officeDocument/2006/relationships/hyperlink" Target="https://www.imarcgroup.com/saudi-arabia-industrial-pumps-market" TargetMode="External"/><Relationship Id="rId18" Type="http://schemas.openxmlformats.org/officeDocument/2006/relationships/hyperlink" Target="https://www.imarcgroup.com/saudi-arabia-industrial-pumps-market" TargetMode="External"/><Relationship Id="rId39" Type="http://schemas.openxmlformats.org/officeDocument/2006/relationships/hyperlink" Target="https://www.epicflow.com/blog/managing-risks-in-manufacturing-projects-essentials-and-best-practices/" TargetMode="External"/><Relationship Id="rId109" Type="http://schemas.openxmlformats.org/officeDocument/2006/relationships/hyperlink" Target="https://www.6wresearch.com/industry-report/saudi-arabia-industrial-pumps-market-outlook" TargetMode="External"/><Relationship Id="rId34" Type="http://schemas.openxmlformats.org/officeDocument/2006/relationships/hyperlink" Target="https://www.epicflow.com/blog/managing-risks-in-manufacturing-projects-essentials-and-best-practices/" TargetMode="External"/><Relationship Id="rId50" Type="http://schemas.openxmlformats.org/officeDocument/2006/relationships/hyperlink" Target="https://www.epicflow.com/blog/managing-risks-in-manufacturing-projects-essentials-and-best-practices/" TargetMode="External"/><Relationship Id="rId55" Type="http://schemas.openxmlformats.org/officeDocument/2006/relationships/hyperlink" Target="https://www.travelers.com/resources/business-industries/manufacturing/20-risks-facing-manufacturing-industry" TargetMode="External"/><Relationship Id="rId76" Type="http://schemas.openxmlformats.org/officeDocument/2006/relationships/hyperlink" Target="https://www.swcc.gov.sa/en/about-swcc" TargetMode="External"/><Relationship Id="rId97" Type="http://schemas.openxmlformats.org/officeDocument/2006/relationships/hyperlink" Target="https://www.psmarketresearch.com/market-analysis/saudi-arabia-water-pumps-market" TargetMode="External"/><Relationship Id="rId104" Type="http://schemas.openxmlformats.org/officeDocument/2006/relationships/hyperlink" Target="https://www.6wresearch.com/industry-report/saudi-arabia-industrial-pumps-market-outlook" TargetMode="External"/><Relationship Id="rId120" Type="http://schemas.openxmlformats.org/officeDocument/2006/relationships/hyperlink" Target="https://www.grundfos.com/sa/about-us/sustainable-solutions" TargetMode="External"/><Relationship Id="rId125" Type="http://schemas.openxmlformats.org/officeDocument/2006/relationships/hyperlink" Target="https://shareek.gov.sa/en/about-shareek/" TargetMode="External"/><Relationship Id="rId141" Type="http://schemas.openxmlformats.org/officeDocument/2006/relationships/hyperlink" Target="https://investsaudi.sa/medias/Industrial-Pumps.pdf" TargetMode="External"/><Relationship Id="rId146" Type="http://schemas.openxmlformats.org/officeDocument/2006/relationships/hyperlink" Target="https://nidlp.gov.sa/en/about-nidlp/" TargetMode="External"/><Relationship Id="rId167" Type="http://schemas.openxmlformats.org/officeDocument/2006/relationships/hyperlink" Target="https://www.saso.gov.sa/en/about/Pages/default.aspx" TargetMode="External"/><Relationship Id="rId7" Type="http://schemas.openxmlformats.org/officeDocument/2006/relationships/footer" Target="footer1.xml"/><Relationship Id="rId71" Type="http://schemas.openxmlformats.org/officeDocument/2006/relationships/hyperlink" Target="https://www.aramco.com/en/our-business/operations" TargetMode="External"/><Relationship Id="rId92" Type="http://schemas.openxmlformats.org/officeDocument/2006/relationships/hyperlink" Target="https://www.psmarketresearch.com/market-analysis/saudi-arabia-water-pumps-market" TargetMode="External"/><Relationship Id="rId162" Type="http://schemas.openxmlformats.org/officeDocument/2006/relationships/hyperlink" Target="https://www.pif.gov.sa/en/giga-projects" TargetMode="External"/><Relationship Id="rId2" Type="http://schemas.openxmlformats.org/officeDocument/2006/relationships/styles" Target="styles.xml"/><Relationship Id="rId29" Type="http://schemas.openxmlformats.org/officeDocument/2006/relationships/hyperlink" Target="https://www.sulzer.com/en/shared/case-studies/fresh-water-for-future-needs" TargetMode="External"/><Relationship Id="rId24" Type="http://schemas.openxmlformats.org/officeDocument/2006/relationships/hyperlink" Target="https://www.sulzer.com/en/shared/case-studies/fresh-water-for-future-needs" TargetMode="External"/><Relationship Id="rId40" Type="http://schemas.openxmlformats.org/officeDocument/2006/relationships/hyperlink" Target="https://www.epicflow.com/blog/managing-risks-in-manufacturing-projects-essentials-and-best-practices/" TargetMode="External"/><Relationship Id="rId45" Type="http://schemas.openxmlformats.org/officeDocument/2006/relationships/hyperlink" Target="https://www.epicflow.com/blog/managing-risks-in-manufacturing-projects-essentials-and-best-practices/" TargetMode="External"/><Relationship Id="rId66" Type="http://schemas.openxmlformats.org/officeDocument/2006/relationships/hyperlink" Target="https://www.travelers.com/resources/business-industries/manufacturing/20-risks-facing-manufacturing-industry" TargetMode="External"/><Relationship Id="rId87" Type="http://schemas.openxmlformats.org/officeDocument/2006/relationships/hyperlink" Target="https://investsaudi.sa/medias/Industrial-Pumps.pdf" TargetMode="External"/><Relationship Id="rId110" Type="http://schemas.openxmlformats.org/officeDocument/2006/relationships/hyperlink" Target="https://www.6wresearch.com/industry-report/saudi-arabia-industrial-pumps-market-outlook" TargetMode="External"/><Relationship Id="rId115" Type="http://schemas.openxmlformats.org/officeDocument/2006/relationships/hyperlink" Target="https://www.6wresearch.com/industry-report/saudi-arabia-industrial-pumps-market-outlook" TargetMode="External"/><Relationship Id="rId131" Type="http://schemas.openxmlformats.org/officeDocument/2006/relationships/hyperlink" Target="https://www.pif.gov.sa/en/giga-projects" TargetMode="External"/><Relationship Id="rId136" Type="http://schemas.openxmlformats.org/officeDocument/2006/relationships/hyperlink" Target="https://www.stats.gov.sa/en/indicators/population-estimates" TargetMode="External"/><Relationship Id="rId157" Type="http://schemas.openxmlformats.org/officeDocument/2006/relationships/hyperlink" Target="https://www.modon.gov.sa/en/about-modon/Pages/default.aspx" TargetMode="External"/><Relationship Id="rId61" Type="http://schemas.openxmlformats.org/officeDocument/2006/relationships/hyperlink" Target="https://www.travelers.com/resources/business-industries/manufacturing/20-risks-facing-manufacturing-industry" TargetMode="External"/><Relationship Id="rId82" Type="http://schemas.openxmlformats.org/officeDocument/2006/relationships/hyperlink" Target="https://www.neom.com/en-us/about" TargetMode="External"/><Relationship Id="rId152" Type="http://schemas.openxmlformats.org/officeDocument/2006/relationships/hyperlink" Target="https://www.sidf.gov.sa/en/about-sidf/" TargetMode="External"/><Relationship Id="rId173" Type="http://schemas.openxmlformats.org/officeDocument/2006/relationships/footer" Target="footer5.xml"/><Relationship Id="rId19" Type="http://schemas.openxmlformats.org/officeDocument/2006/relationships/hyperlink" Target="https://www.imarcgroup.com/saudi-arabia-industrial-pumps-market" TargetMode="External"/><Relationship Id="rId14" Type="http://schemas.openxmlformats.org/officeDocument/2006/relationships/hyperlink" Target="https://www.imarcgroup.com/saudi-arabia-industrial-pumps-market" TargetMode="External"/><Relationship Id="rId30" Type="http://schemas.openxmlformats.org/officeDocument/2006/relationships/hyperlink" Target="https://www.sulzer.com/en/shared/case-studies/fresh-water-for-future-needs" TargetMode="External"/><Relationship Id="rId35" Type="http://schemas.openxmlformats.org/officeDocument/2006/relationships/hyperlink" Target="https://www.epicflow.com/blog/managing-risks-in-manufacturing-projects-essentials-and-best-practices/" TargetMode="External"/><Relationship Id="rId56" Type="http://schemas.openxmlformats.org/officeDocument/2006/relationships/hyperlink" Target="https://www.travelers.com/resources/business-industries/manufacturing/20-risks-facing-manufacturing-industry" TargetMode="External"/><Relationship Id="rId77" Type="http://schemas.openxmlformats.org/officeDocument/2006/relationships/hyperlink" Target="https://www.swcc.gov.sa/en/about-swcc" TargetMode="External"/><Relationship Id="rId100" Type="http://schemas.openxmlformats.org/officeDocument/2006/relationships/hyperlink" Target="https://www.psmarketresearch.com/market-analysis/saudi-arabia-water-pumps-market" TargetMode="External"/><Relationship Id="rId105" Type="http://schemas.openxmlformats.org/officeDocument/2006/relationships/hyperlink" Target="https://www.6wresearch.com/industry-report/saudi-arabia-industrial-pumps-market-outlook" TargetMode="External"/><Relationship Id="rId126" Type="http://schemas.openxmlformats.org/officeDocument/2006/relationships/hyperlink" Target="https://shareek.gov.sa/en/about-shareek/" TargetMode="External"/><Relationship Id="rId147" Type="http://schemas.openxmlformats.org/officeDocument/2006/relationships/hyperlink" Target="https://nidlp.gov.sa/en/about-nidlp/" TargetMode="External"/><Relationship Id="rId168" Type="http://schemas.openxmlformats.org/officeDocument/2006/relationships/hyperlink" Target="https://www.youtube.com/watch?v=uGwBEfadCq0" TargetMode="External"/><Relationship Id="rId8" Type="http://schemas.openxmlformats.org/officeDocument/2006/relationships/footer" Target="footer2.xml"/><Relationship Id="rId51" Type="http://schemas.openxmlformats.org/officeDocument/2006/relationships/hyperlink" Target="https://www.epicflow.com/blog/managing-risks-in-manufacturing-projects-essentials-and-best-practices/" TargetMode="External"/><Relationship Id="rId72" Type="http://schemas.openxmlformats.org/officeDocument/2006/relationships/hyperlink" Target="https://www.aramco.com/en/our-business/operations" TargetMode="External"/><Relationship Id="rId93" Type="http://schemas.openxmlformats.org/officeDocument/2006/relationships/hyperlink" Target="https://www.psmarketresearch.com/market-analysis/saudi-arabia-water-pumps-market" TargetMode="External"/><Relationship Id="rId98" Type="http://schemas.openxmlformats.org/officeDocument/2006/relationships/hyperlink" Target="https://www.psmarketresearch.com/market-analysis/saudi-arabia-water-pumps-market" TargetMode="External"/><Relationship Id="rId121" Type="http://schemas.openxmlformats.org/officeDocument/2006/relationships/hyperlink" Target="https://www.grundfos.com/sa/about-us/sustainable-solutions" TargetMode="External"/><Relationship Id="rId142" Type="http://schemas.openxmlformats.org/officeDocument/2006/relationships/hyperlink" Target="https://www.vision2030.gov.sa/" TargetMode="External"/><Relationship Id="rId163" Type="http://schemas.openxmlformats.org/officeDocument/2006/relationships/hyperlink" Target="https://www.pif.gov.sa/en/giga-projects" TargetMode="External"/><Relationship Id="rId3" Type="http://schemas.openxmlformats.org/officeDocument/2006/relationships/settings" Target="settings.xml"/><Relationship Id="rId25" Type="http://schemas.openxmlformats.org/officeDocument/2006/relationships/hyperlink" Target="https://www.sulzer.com/en/shared/case-studies/fresh-water-for-future-needs" TargetMode="External"/><Relationship Id="rId46" Type="http://schemas.openxmlformats.org/officeDocument/2006/relationships/hyperlink" Target="https://www.epicflow.com/blog/managing-risks-in-manufacturing-projects-essentials-and-best-practices/" TargetMode="External"/><Relationship Id="rId67" Type="http://schemas.openxmlformats.org/officeDocument/2006/relationships/hyperlink" Target="https://www.travelers.com/resources/business-industries/manufacturing/20-risks-facing-manufacturing-industry" TargetMode="External"/><Relationship Id="rId116" Type="http://schemas.openxmlformats.org/officeDocument/2006/relationships/hyperlink" Target="https://www.vision2030.gov.sa/" TargetMode="External"/><Relationship Id="rId137" Type="http://schemas.openxmlformats.org/officeDocument/2006/relationships/hyperlink" Target="https://www.stats.gov.sa/en/indicators/population-estimates" TargetMode="External"/><Relationship Id="rId158" Type="http://schemas.openxmlformats.org/officeDocument/2006/relationships/hyperlink" Target="https://investsaudi.sa/medias/Industrial-Pumps.pdf" TargetMode="External"/><Relationship Id="rId20" Type="http://schemas.openxmlformats.org/officeDocument/2006/relationships/hyperlink" Target="https://www.imarcgroup.com/saudi-arabia-industrial-pumps-market" TargetMode="External"/><Relationship Id="rId41" Type="http://schemas.openxmlformats.org/officeDocument/2006/relationships/hyperlink" Target="https://www.epicflow.com/blog/managing-risks-in-manufacturing-projects-essentials-and-best-practices/" TargetMode="External"/><Relationship Id="rId62" Type="http://schemas.openxmlformats.org/officeDocument/2006/relationships/hyperlink" Target="https://www.travelers.com/resources/business-industries/manufacturing/20-risks-facing-manufacturing-industry" TargetMode="External"/><Relationship Id="rId83" Type="http://schemas.openxmlformats.org/officeDocument/2006/relationships/hyperlink" Target="https://www.neom.com/en-us/about" TargetMode="External"/><Relationship Id="rId88" Type="http://schemas.openxmlformats.org/officeDocument/2006/relationships/hyperlink" Target="https://investsaudi.sa/medias/Industrial-Pumps.pdf" TargetMode="External"/><Relationship Id="rId111" Type="http://schemas.openxmlformats.org/officeDocument/2006/relationships/hyperlink" Target="https://www.6wresearch.com/industry-report/saudi-arabia-industrial-pumps-market-outlook" TargetMode="External"/><Relationship Id="rId132" Type="http://schemas.openxmlformats.org/officeDocument/2006/relationships/hyperlink" Target="https://www.stats.gov.sa/en/indicators/population-estimates" TargetMode="External"/><Relationship Id="rId153" Type="http://schemas.openxmlformats.org/officeDocument/2006/relationships/hyperlink" Target="https://www.sidf.gov.sa/en/about-sidf/" TargetMode="External"/><Relationship Id="rId174" Type="http://schemas.openxmlformats.org/officeDocument/2006/relationships/footer" Target="footer6.xml"/><Relationship Id="rId15" Type="http://schemas.openxmlformats.org/officeDocument/2006/relationships/hyperlink" Target="https://www.imarcgroup.com/saudi-arabia-industrial-pumps-market" TargetMode="External"/><Relationship Id="rId36" Type="http://schemas.openxmlformats.org/officeDocument/2006/relationships/hyperlink" Target="https://www.epicflow.com/blog/managing-risks-in-manufacturing-projects-essentials-and-best-practices/" TargetMode="External"/><Relationship Id="rId57" Type="http://schemas.openxmlformats.org/officeDocument/2006/relationships/hyperlink" Target="https://www.travelers.com/resources/business-industries/manufacturing/20-risks-facing-manufacturing-industry" TargetMode="External"/><Relationship Id="rId106" Type="http://schemas.openxmlformats.org/officeDocument/2006/relationships/hyperlink" Target="https://www.6wresearch.com/industry-report/saudi-arabia-industrial-pumps-market-outlook" TargetMode="External"/><Relationship Id="rId127" Type="http://schemas.openxmlformats.org/officeDocument/2006/relationships/hyperlink" Target="https://shareek.gov.sa/en/about-shareek/" TargetMode="External"/><Relationship Id="rId10" Type="http://schemas.openxmlformats.org/officeDocument/2006/relationships/hyperlink" Target="https://alsamhanpump.com.sa/?lang=en" TargetMode="External"/><Relationship Id="rId31" Type="http://schemas.openxmlformats.org/officeDocument/2006/relationships/hyperlink" Target="https://www.sulzer.com/en/shared/case-studies/fresh-water-for-future-needs" TargetMode="External"/><Relationship Id="rId52" Type="http://schemas.openxmlformats.org/officeDocument/2006/relationships/hyperlink" Target="https://www.travelers.com/resources/business-industries/manufacturing/20-risks-facing-manufacturing-industry" TargetMode="External"/><Relationship Id="rId73" Type="http://schemas.openxmlformats.org/officeDocument/2006/relationships/hyperlink" Target="https://www.aramco.com/en/our-business/operations" TargetMode="External"/><Relationship Id="rId78" Type="http://schemas.openxmlformats.org/officeDocument/2006/relationships/hyperlink" Target="https://www.mewa.gov.sa/en/sectors/water/Pages/default.aspx" TargetMode="External"/><Relationship Id="rId94" Type="http://schemas.openxmlformats.org/officeDocument/2006/relationships/hyperlink" Target="https://www.psmarketresearch.com/market-analysis/saudi-arabia-water-pumps-market" TargetMode="External"/><Relationship Id="rId99" Type="http://schemas.openxmlformats.org/officeDocument/2006/relationships/hyperlink" Target="https://www.psmarketresearch.com/market-analysis/saudi-arabia-water-pumps-market" TargetMode="External"/><Relationship Id="rId101" Type="http://schemas.openxmlformats.org/officeDocument/2006/relationships/hyperlink" Target="https://www.psmarketresearch.com/market-analysis/saudi-arabia-water-pumps-market" TargetMode="External"/><Relationship Id="rId122" Type="http://schemas.openxmlformats.org/officeDocument/2006/relationships/hyperlink" Target="https://www.grundfos.com/sa/about-us/sustainable-solutions" TargetMode="External"/><Relationship Id="rId143" Type="http://schemas.openxmlformats.org/officeDocument/2006/relationships/hyperlink" Target="https://www.vision2030.gov.sa/" TargetMode="External"/><Relationship Id="rId148" Type="http://schemas.openxmlformats.org/officeDocument/2006/relationships/hyperlink" Target="https://nidlp.gov.sa/en/about-nidlp/" TargetMode="External"/><Relationship Id="rId164" Type="http://schemas.openxmlformats.org/officeDocument/2006/relationships/hyperlink" Target="https://www.pif.gov.sa/en/giga-projects" TargetMode="External"/><Relationship Id="rId169" Type="http://schemas.openxmlformats.org/officeDocument/2006/relationships/hyperlink" Target="https://www.youtube.com/watch?v=uGwBEfadCq0" TargetMode="External"/><Relationship Id="rId4" Type="http://schemas.openxmlformats.org/officeDocument/2006/relationships/webSettings" Target="webSettings.xml"/><Relationship Id="rId9" Type="http://schemas.openxmlformats.org/officeDocument/2006/relationships/footer" Target="footer3.xml"/><Relationship Id="rId26" Type="http://schemas.openxmlformats.org/officeDocument/2006/relationships/hyperlink" Target="https://www.sulzer.com/en/shared/case-studies/fresh-water-for-future-needs" TargetMode="External"/><Relationship Id="rId47" Type="http://schemas.openxmlformats.org/officeDocument/2006/relationships/hyperlink" Target="https://www.epicflow.com/blog/managing-risks-in-manufacturing-projects-essentials-and-best-practices/" TargetMode="External"/><Relationship Id="rId68" Type="http://schemas.openxmlformats.org/officeDocument/2006/relationships/hyperlink" Target="https://www.vision2030.gov.sa/" TargetMode="External"/><Relationship Id="rId89" Type="http://schemas.openxmlformats.org/officeDocument/2006/relationships/hyperlink" Target="https://investsaudi.sa/medias/Industrial-Pumps.pdf" TargetMode="External"/><Relationship Id="rId112" Type="http://schemas.openxmlformats.org/officeDocument/2006/relationships/hyperlink" Target="https://www.6wresearch.com/industry-report/saudi-arabia-industrial-pumps-market-outlook" TargetMode="External"/><Relationship Id="rId133" Type="http://schemas.openxmlformats.org/officeDocument/2006/relationships/hyperlink" Target="https://www.stats.gov.sa/en/indicators/population-estimates" TargetMode="External"/><Relationship Id="rId154" Type="http://schemas.openxmlformats.org/officeDocument/2006/relationships/hyperlink" Target="https://www.modon.gov.sa/en/about-modon/Pages/default.aspx" TargetMode="External"/><Relationship Id="rId175" Type="http://schemas.openxmlformats.org/officeDocument/2006/relationships/fontTable" Target="fontTable.xml"/><Relationship Id="rId16" Type="http://schemas.openxmlformats.org/officeDocument/2006/relationships/hyperlink" Target="https://www.imarcgroup.com/saudi-arabia-industrial-pumps-market" TargetMode="External"/><Relationship Id="rId37" Type="http://schemas.openxmlformats.org/officeDocument/2006/relationships/hyperlink" Target="https://www.epicflow.com/blog/managing-risks-in-manufacturing-projects-essentials-and-best-practices/" TargetMode="External"/><Relationship Id="rId58" Type="http://schemas.openxmlformats.org/officeDocument/2006/relationships/hyperlink" Target="https://www.travelers.com/resources/business-industries/manufacturing/20-risks-facing-manufacturing-industry" TargetMode="External"/><Relationship Id="rId79" Type="http://schemas.openxmlformats.org/officeDocument/2006/relationships/hyperlink" Target="https://www.mewa.gov.sa/en/sectors/water/Pages/default.aspx" TargetMode="External"/><Relationship Id="rId102" Type="http://schemas.openxmlformats.org/officeDocument/2006/relationships/hyperlink" Target="https://www.6wresearch.com/industry-report/saudi-arabia-industrial-pumps-market-outlook" TargetMode="External"/><Relationship Id="rId123" Type="http://schemas.openxmlformats.org/officeDocument/2006/relationships/hyperlink" Target="https://www.grundfos.com/sa/about-us/sustainable-solutions" TargetMode="External"/><Relationship Id="rId144" Type="http://schemas.openxmlformats.org/officeDocument/2006/relationships/hyperlink" Target="https://www.vision2030.gov.sa/" TargetMode="External"/><Relationship Id="rId90" Type="http://schemas.openxmlformats.org/officeDocument/2006/relationships/hyperlink" Target="https://www.psmarketresearch.com/market-analysis/saudi-arabia-water-pumps-market" TargetMode="External"/><Relationship Id="rId165" Type="http://schemas.openxmlformats.org/officeDocument/2006/relationships/hyperlink" Target="https://www.pif.gov.sa/en/giga-projects" TargetMode="External"/><Relationship Id="rId27" Type="http://schemas.openxmlformats.org/officeDocument/2006/relationships/hyperlink" Target="https://www.sulzer.com/en/shared/case-studies/fresh-water-for-future-needs" TargetMode="External"/><Relationship Id="rId48" Type="http://schemas.openxmlformats.org/officeDocument/2006/relationships/hyperlink" Target="https://www.epicflow.com/blog/managing-risks-in-manufacturing-projects-essentials-and-best-practices/" TargetMode="External"/><Relationship Id="rId69" Type="http://schemas.openxmlformats.org/officeDocument/2006/relationships/hyperlink" Target="https://www.vision2030.gov.sa/" TargetMode="External"/><Relationship Id="rId113" Type="http://schemas.openxmlformats.org/officeDocument/2006/relationships/hyperlink" Target="https://www.6wresearch.com/industry-report/saudi-arabia-industrial-pumps-market-outlook" TargetMode="External"/><Relationship Id="rId134" Type="http://schemas.openxmlformats.org/officeDocument/2006/relationships/hyperlink" Target="https://www.stats.gov.sa/en/indicators/population-estimates" TargetMode="External"/><Relationship Id="rId80" Type="http://schemas.openxmlformats.org/officeDocument/2006/relationships/hyperlink" Target="https://www.vision2030.gov.sa/" TargetMode="External"/><Relationship Id="rId155" Type="http://schemas.openxmlformats.org/officeDocument/2006/relationships/hyperlink" Target="https://www.modon.gov.sa/en/about-modon/Pages/default.aspx" TargetMode="External"/><Relationship Id="rId176" Type="http://schemas.openxmlformats.org/officeDocument/2006/relationships/theme" Target="theme/theme1.xml"/><Relationship Id="rId17" Type="http://schemas.openxmlformats.org/officeDocument/2006/relationships/hyperlink" Target="https://www.imarcgroup.com/saudi-arabia-industrial-pumps-market" TargetMode="External"/><Relationship Id="rId38" Type="http://schemas.openxmlformats.org/officeDocument/2006/relationships/hyperlink" Target="https://www.epicflow.com/blog/managing-risks-in-manufacturing-projects-essentials-and-best-practices/" TargetMode="External"/><Relationship Id="rId59" Type="http://schemas.openxmlformats.org/officeDocument/2006/relationships/hyperlink" Target="https://www.travelers.com/resources/business-industries/manufacturing/20-risks-facing-manufacturing-industry" TargetMode="External"/><Relationship Id="rId103" Type="http://schemas.openxmlformats.org/officeDocument/2006/relationships/hyperlink" Target="https://www.6wresearch.com/industry-report/saudi-arabia-industrial-pumps-market-outlook" TargetMode="External"/><Relationship Id="rId124" Type="http://schemas.openxmlformats.org/officeDocument/2006/relationships/hyperlink" Target="https://shareek.gov.sa/en/about-shareek/" TargetMode="External"/><Relationship Id="rId70" Type="http://schemas.openxmlformats.org/officeDocument/2006/relationships/hyperlink" Target="https://www.aramco.com/en/our-business/operations" TargetMode="External"/><Relationship Id="rId91" Type="http://schemas.openxmlformats.org/officeDocument/2006/relationships/hyperlink" Target="https://www.psmarketresearch.com/market-analysis/saudi-arabia-water-pumps-market" TargetMode="External"/><Relationship Id="rId145" Type="http://schemas.openxmlformats.org/officeDocument/2006/relationships/hyperlink" Target="https://www.vision2030.gov.sa/" TargetMode="External"/><Relationship Id="rId166" Type="http://schemas.openxmlformats.org/officeDocument/2006/relationships/hyperlink" Target="https://www.saso.gov.sa/en/about/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16956</Words>
  <Characters>96654</Characters>
  <Application>Microsoft Office Word</Application>
  <DocSecurity>0</DocSecurity>
  <Lines>805</Lines>
  <Paragraphs>226</Paragraphs>
  <ScaleCrop>false</ScaleCrop>
  <Company/>
  <LinksUpToDate>false</LinksUpToDate>
  <CharactersWithSpaces>113384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Aljoharah althubaiti</cp:lastModifiedBy>
  <cp:revision>2</cp:revision>
  <dcterms:created xsi:type="dcterms:W3CDTF">2025-07-31T17:59:00Z</dcterms:created>
  <dcterms:modified xsi:type="dcterms:W3CDTF">2025-07-31T17:59:00Z</dcterms:modified>
</cp:coreProperties>
</file>