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A3C62" w:rsidRDefault="00327AE4">
      <w:pPr>
        <w:bidi/>
        <w:spacing w:before="240" w:after="440" w:line="240" w:lineRule="auto"/>
        <w:jc w:val="center"/>
      </w:pPr>
      <w:r>
        <w:rPr>
          <w:noProof/>
        </w:rPr>
        <w:drawing>
          <wp:inline distT="0" distB="0" distL="0" distR="0">
            <wp:extent cx="2057400" cy="91953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docean_logo.png"/>
                    <pic:cNvPicPr/>
                  </pic:nvPicPr>
                  <pic:blipFill>
                    <a:blip r:embed="rId8"/>
                    <a:stretch>
                      <a:fillRect/>
                    </a:stretch>
                  </pic:blipFill>
                  <pic:spPr>
                    <a:xfrm>
                      <a:off x="0" y="0"/>
                      <a:ext cx="2057400" cy="919532"/>
                    </a:xfrm>
                    <a:prstGeom prst="rect">
                      <a:avLst/>
                    </a:prstGeom>
                  </pic:spPr>
                </pic:pic>
              </a:graphicData>
            </a:graphic>
          </wp:inline>
        </w:drawing>
      </w:r>
    </w:p>
    <w:p w:rsidR="008A3C62" w:rsidRDefault="00327AE4">
      <w:pPr>
        <w:bidi/>
        <w:spacing w:after="40" w:line="240" w:lineRule="auto"/>
        <w:jc w:val="center"/>
      </w:pPr>
      <w:r>
        <w:rPr>
          <w:rFonts w:eastAsia="Traditional Arabic"/>
          <w:b/>
          <w:color w:val="000000"/>
          <w:sz w:val="32"/>
          <w:rtl/>
        </w:rPr>
        <w:t>جامعة ميدأوشن</w:t>
      </w:r>
    </w:p>
    <w:p w:rsidR="008A3C62" w:rsidRDefault="00327AE4">
      <w:pPr>
        <w:bidi/>
        <w:spacing w:after="480" w:line="240" w:lineRule="auto"/>
        <w:jc w:val="center"/>
      </w:pPr>
      <w:r>
        <w:rPr>
          <w:rFonts w:eastAsia="Traditional Arabic"/>
          <w:b/>
          <w:color w:val="000000"/>
          <w:sz w:val="28"/>
          <w:rtl/>
        </w:rPr>
        <w:t>كلية الإدارة</w:t>
      </w:r>
    </w:p>
    <w:p w:rsidR="008A3C62" w:rsidRDefault="00327AE4">
      <w:pPr>
        <w:keepLines/>
        <w:bidi/>
        <w:spacing w:before="400" w:after="440" w:line="324" w:lineRule="auto"/>
        <w:jc w:val="center"/>
      </w:pPr>
      <w:r>
        <w:rPr>
          <w:rFonts w:eastAsia="Traditional Arabic"/>
          <w:b/>
          <w:color w:val="000000"/>
          <w:sz w:val="36"/>
          <w:rtl/>
        </w:rPr>
        <w:t>أثر التحوّل الرقمي المؤسسي على رضا الموظفين في مؤسسات المملكة العربية السعودية: وزارة الموارد البشرية والتنمية الاجتماعية أنموذجًا</w:t>
      </w:r>
    </w:p>
    <w:p w:rsidR="008A3C62" w:rsidRDefault="00327AE4">
      <w:pPr>
        <w:bidi/>
        <w:spacing w:after="520" w:line="240" w:lineRule="auto"/>
        <w:jc w:val="center"/>
      </w:pPr>
      <w:r>
        <w:rPr>
          <w:rFonts w:eastAsia="Traditional Arabic"/>
          <w:b/>
          <w:color w:val="000000"/>
          <w:sz w:val="32"/>
          <w:rtl/>
        </w:rPr>
        <w:t>الفصل الثالث: الطريقة والإجراءات</w:t>
      </w:r>
    </w:p>
    <w:p w:rsidR="008A3C62" w:rsidRDefault="00327AE4">
      <w:pPr>
        <w:bidi/>
        <w:spacing w:after="80" w:line="240" w:lineRule="auto"/>
        <w:jc w:val="center"/>
      </w:pPr>
      <w:r>
        <w:rPr>
          <w:rFonts w:eastAsia="Traditional Arabic"/>
          <w:b/>
          <w:color w:val="000000"/>
          <w:sz w:val="28"/>
          <w:rtl/>
        </w:rPr>
        <w:t>إعداد الباحث</w:t>
      </w:r>
    </w:p>
    <w:p w:rsidR="008A3C62" w:rsidRDefault="00327AE4">
      <w:pPr>
        <w:bidi/>
        <w:spacing w:after="440" w:line="240" w:lineRule="auto"/>
        <w:jc w:val="center"/>
      </w:pPr>
      <w:r>
        <w:rPr>
          <w:rFonts w:eastAsia="Traditional Arabic"/>
          <w:b/>
          <w:color w:val="000000"/>
          <w:sz w:val="28"/>
          <w:rtl/>
        </w:rPr>
        <w:t>سعود عبدالعزيز عبدالله آل حمد</w:t>
      </w:r>
    </w:p>
    <w:p w:rsidR="008A3C62" w:rsidRDefault="00327AE4">
      <w:pPr>
        <w:bidi/>
        <w:spacing w:after="80" w:line="240" w:lineRule="auto"/>
        <w:jc w:val="center"/>
      </w:pPr>
      <w:r>
        <w:rPr>
          <w:rFonts w:eastAsia="Traditional Arabic"/>
          <w:color w:val="4F5B66"/>
          <w:rtl/>
        </w:rPr>
        <w:t>نسخة معدلة استجابةً لملاحظات المشرف على التعديل الأول</w:t>
      </w:r>
    </w:p>
    <w:p w:rsidR="008A3C62" w:rsidRDefault="00327AE4">
      <w:pPr>
        <w:bidi/>
        <w:spacing w:after="80" w:line="240" w:lineRule="auto"/>
        <w:jc w:val="center"/>
      </w:pPr>
      <w:r>
        <w:rPr>
          <w:rFonts w:eastAsia="Traditional Arabic"/>
          <w:b/>
          <w:color w:val="4F5B66"/>
          <w:rtl/>
        </w:rPr>
        <w:t>الحكم الحالي: مقبول بعد تعديل محدود</w:t>
      </w:r>
    </w:p>
    <w:p w:rsidR="008A3C62" w:rsidRDefault="00327AE4">
      <w:pPr>
        <w:bidi/>
        <w:spacing w:before="560" w:after="0" w:line="240" w:lineRule="auto"/>
        <w:jc w:val="center"/>
      </w:pPr>
      <w:r>
        <w:rPr>
          <w:rFonts w:eastAsia="Traditional Arabic"/>
          <w:color w:val="000000"/>
          <w:rtl/>
        </w:rPr>
        <w:t>2027</w:t>
      </w:r>
    </w:p>
    <w:p w:rsidR="008A3C62" w:rsidRDefault="00327AE4">
      <w:r>
        <w:br w:type="page"/>
      </w:r>
    </w:p>
    <w:p w:rsidR="008A3C62" w:rsidRDefault="00327AE4" w:rsidP="00327AE4">
      <w:pPr>
        <w:pStyle w:val="Heading1"/>
        <w:bidi/>
        <w:spacing w:before="280" w:after="140"/>
      </w:pPr>
      <w:r>
        <w:rPr>
          <w:rFonts w:ascii="Times New Roman" w:eastAsia="Traditional Arabic" w:hAnsi="Times New Roman" w:cs="Traditional Arabic"/>
          <w:rtl/>
        </w:rPr>
        <w:lastRenderedPageBreak/>
        <w:t>1. ملخص تنفيذي للتعديلات المنفذة</w:t>
      </w:r>
    </w:p>
    <w:p w:rsidR="008A3C62" w:rsidRDefault="00327AE4" w:rsidP="00327AE4">
      <w:pPr>
        <w:bidi/>
      </w:pPr>
      <w:r>
        <w:rPr>
          <w:rFonts w:eastAsia="Traditional Arabic"/>
          <w:color w:val="000000"/>
          <w:rtl/>
        </w:rPr>
        <w:t>أُجريت مراجعة كاملة للإصدار الأخير من الفصل الثالث وملاحظات المشرف، ثم طُوبقت الملاحظات مع الفصل الأول V3 والفصل الثاني V4 والاستبانة V2 ودليل جامعة ميدأوشن. وقد حوفظ على الهيكل القائم والمنهج الكمي الوصفي التحليلي الارتباطي ذي التصميم المقطعي، وعلى وحدة التحليل ومبررات استخدام PLS-SEM، مع تنفيذ التعديلات المحددة في مواضعها دون إعادة بناء المقا</w:t>
      </w:r>
      <w:bookmarkStart w:id="0" w:name="_GoBack"/>
      <w:bookmarkEnd w:id="0"/>
      <w:r>
        <w:rPr>
          <w:rFonts w:eastAsia="Traditional Arabic"/>
          <w:color w:val="000000"/>
          <w:rtl/>
        </w:rPr>
        <w:t>طع المقبولة.</w:t>
      </w:r>
    </w:p>
    <w:p w:rsidR="008A3C62" w:rsidRDefault="00327AE4" w:rsidP="00327AE4">
      <w:pPr>
        <w:pStyle w:val="ListBullet"/>
        <w:bidi/>
        <w:spacing w:after="60"/>
        <w:ind w:left="0" w:right="397"/>
      </w:pPr>
      <w:r>
        <w:rPr>
          <w:rFonts w:eastAsia="Traditional Arabic"/>
          <w:color w:val="000000"/>
          <w:rtl/>
        </w:rPr>
        <w:t>توحيد عنوان الرسالة حرفيًا في الغلاف والمتن والجداول والإحالات.</w:t>
      </w:r>
    </w:p>
    <w:p w:rsidR="008A3C62" w:rsidRDefault="00327AE4" w:rsidP="00327AE4">
      <w:pPr>
        <w:pStyle w:val="ListBullet"/>
        <w:bidi/>
        <w:spacing w:after="60"/>
        <w:ind w:left="0" w:right="397"/>
      </w:pPr>
      <w:r>
        <w:rPr>
          <w:rFonts w:eastAsia="Traditional Arabic"/>
          <w:color w:val="000000"/>
          <w:rtl/>
        </w:rPr>
        <w:t>تصحيح ترقيم الفرضيات بحيث خُصصت H2a–H2c للإجهاد التقني، وH3a–H3f لقبول التقنية، مع إظهار H1a–H1d للأبعاد الأربعة.</w:t>
      </w:r>
    </w:p>
    <w:p w:rsidR="008A3C62" w:rsidRDefault="00327AE4" w:rsidP="00327AE4">
      <w:pPr>
        <w:pStyle w:val="ListBullet"/>
        <w:bidi/>
        <w:spacing w:after="60"/>
        <w:ind w:left="0" w:right="397"/>
      </w:pPr>
      <w:r>
        <w:rPr>
          <w:rFonts w:eastAsia="Traditional Arabic"/>
          <w:color w:val="000000"/>
          <w:rtl/>
        </w:rPr>
        <w:t>إضافة مصفوفة تربط أسئلة الدراسة وفرضياتها ومسارات النموذج وأساليب التحليل ومعايير القرار.</w:t>
      </w:r>
    </w:p>
    <w:p w:rsidR="008A3C62" w:rsidRDefault="00327AE4" w:rsidP="00327AE4">
      <w:pPr>
        <w:pStyle w:val="ListBullet"/>
        <w:bidi/>
        <w:spacing w:after="60"/>
        <w:ind w:left="0" w:right="397"/>
      </w:pPr>
      <w:r>
        <w:rPr>
          <w:rFonts w:eastAsia="Traditional Arabic"/>
          <w:color w:val="000000"/>
          <w:rtl/>
        </w:rPr>
        <w:t>إضافة شكل نهائي للنموذج المفاهيمي يوضح الأبعاد والوسطاء والمتغير التابع والدور المعدل المحتمل.</w:t>
      </w:r>
    </w:p>
    <w:p w:rsidR="008A3C62" w:rsidRDefault="00327AE4" w:rsidP="00327AE4">
      <w:pPr>
        <w:pStyle w:val="ListBullet"/>
        <w:bidi/>
        <w:spacing w:after="60"/>
        <w:ind w:left="0" w:right="397"/>
      </w:pPr>
      <w:r>
        <w:rPr>
          <w:rFonts w:eastAsia="Traditional Arabic"/>
          <w:color w:val="000000"/>
          <w:rtl/>
        </w:rPr>
        <w:t>استبدال الأعداد التقديرية للمجتمع والتوزيع الطبقي بخانات تُستكمل من البيان الرسمي، مع تثبيت أسلوب السحب الطبقي العشوائي النسبي.</w:t>
      </w:r>
    </w:p>
    <w:p w:rsidR="008A3C62" w:rsidRDefault="00327AE4" w:rsidP="00327AE4">
      <w:pPr>
        <w:pStyle w:val="ListBullet"/>
        <w:bidi/>
        <w:spacing w:after="60"/>
        <w:ind w:left="0" w:right="397"/>
      </w:pPr>
      <w:r>
        <w:rPr>
          <w:rFonts w:eastAsia="Traditional Arabic"/>
          <w:color w:val="000000"/>
          <w:rtl/>
        </w:rPr>
        <w:t>تطوير المصفوفة التشغيلية لتطابق 49 فقرة مقياسية و7 أسئلة عامة في الاستبانة V2، مع إظهار البنود المطورة من الباحث ومواطن نقص المصدر.</w:t>
      </w:r>
    </w:p>
    <w:p w:rsidR="008A3C62" w:rsidRDefault="00327AE4" w:rsidP="00327AE4">
      <w:pPr>
        <w:pStyle w:val="ListBullet"/>
        <w:bidi/>
        <w:spacing w:after="60"/>
        <w:ind w:left="0" w:right="397"/>
      </w:pPr>
      <w:r>
        <w:rPr>
          <w:rFonts w:eastAsia="Traditional Arabic"/>
          <w:color w:val="000000"/>
          <w:rtl/>
        </w:rPr>
        <w:t>تفصيل التحكيم والترجمة والتكييف الثقافي والدراسة الاستطلاعية وخطة الوصول الميداني، دون الادعاء بتنفيذ إجراءات لم تتم بعد.</w:t>
      </w:r>
    </w:p>
    <w:p w:rsidR="008A3C62" w:rsidRDefault="00327AE4" w:rsidP="00327AE4">
      <w:pPr>
        <w:pStyle w:val="ListBullet"/>
        <w:bidi/>
        <w:spacing w:after="60"/>
        <w:ind w:left="0" w:right="397"/>
      </w:pPr>
      <w:r>
        <w:rPr>
          <w:rFonts w:eastAsia="Traditional Arabic"/>
          <w:color w:val="000000"/>
          <w:rtl/>
        </w:rPr>
        <w:t>إضافة خطة تنظيف البيانات والتحيز المنهجي المشترك ومعايير نموذجي القياس والبناء وخطة الوساطة والاعتدال وBootstrapping.</w:t>
      </w:r>
    </w:p>
    <w:p w:rsidR="008A3C62" w:rsidRDefault="00327AE4" w:rsidP="00327AE4">
      <w:pPr>
        <w:pStyle w:val="ListBullet"/>
        <w:bidi/>
        <w:spacing w:after="60"/>
        <w:ind w:left="0" w:right="397"/>
      </w:pPr>
      <w:r>
        <w:rPr>
          <w:rFonts w:eastAsia="Traditional Arabic"/>
          <w:color w:val="000000"/>
          <w:rtl/>
        </w:rPr>
        <w:t>توسيع ضوابط الموافقة المستنيرة والسرية والتخزين والوصول والاحتفاظ والحذف وعرض النتائج المجمعة.</w:t>
      </w:r>
    </w:p>
    <w:p w:rsidR="008A3C62" w:rsidRDefault="00327AE4" w:rsidP="00327AE4">
      <w:pPr>
        <w:pStyle w:val="ListBullet"/>
        <w:bidi/>
        <w:spacing w:after="60"/>
        <w:ind w:left="0" w:right="397"/>
      </w:pPr>
      <w:r>
        <w:rPr>
          <w:rFonts w:eastAsia="Traditional Arabic"/>
          <w:color w:val="000000"/>
          <w:rtl/>
        </w:rPr>
        <w:t>مراجعة المراجع وتوحيد المصطلحات وترقيم الجداول والأشكال، مع فصل المعلومات غير المتوفرة في قوائم ختامية واضحة.</w:t>
      </w:r>
    </w:p>
    <w:p w:rsidR="008A3C62" w:rsidRDefault="00327AE4" w:rsidP="00327AE4">
      <w:pPr>
        <w:bidi/>
        <w:rPr>
          <w:rtl/>
        </w:rPr>
      </w:pPr>
      <w:r>
        <w:rPr>
          <w:rFonts w:eastAsia="Traditional Arabic"/>
          <w:color w:val="000000"/>
          <w:rtl/>
        </w:rPr>
        <w:t>لا تُعد الخانات الموسومة بين معقوفين نتائج أو بيانات نهائية؛ بل تمثل متطلبات إغلاق قبل التطبيق الميداني. وبذلك أصبحت النسخة جاهزة للتسليم للمشرف بوصفها نسخة معدلة منهجيًا، مع بقاء البنود الرسمية التي لا يجوز استكمالها دون مستند أو اعتماد.</w:t>
      </w:r>
    </w:p>
    <w:p w:rsidR="00327AE4" w:rsidRDefault="00327AE4" w:rsidP="00327AE4">
      <w:pPr>
        <w:bidi/>
        <w:rPr>
          <w:rtl/>
        </w:rPr>
      </w:pPr>
    </w:p>
    <w:p w:rsidR="00327AE4" w:rsidRDefault="00327AE4" w:rsidP="00327AE4">
      <w:pPr>
        <w:bidi/>
        <w:rPr>
          <w:rtl/>
        </w:rPr>
      </w:pPr>
    </w:p>
    <w:p w:rsidR="00327AE4" w:rsidRDefault="00327AE4" w:rsidP="00327AE4">
      <w:pPr>
        <w:bidi/>
        <w:rPr>
          <w:rtl/>
        </w:rPr>
      </w:pPr>
    </w:p>
    <w:p w:rsidR="00327AE4" w:rsidRDefault="00327AE4" w:rsidP="00327AE4">
      <w:pPr>
        <w:bidi/>
        <w:rPr>
          <w:rtl/>
        </w:rPr>
      </w:pPr>
    </w:p>
    <w:p w:rsidR="00327AE4" w:rsidRDefault="00327AE4" w:rsidP="00327AE4">
      <w:pPr>
        <w:bidi/>
        <w:rPr>
          <w:rtl/>
        </w:rPr>
      </w:pPr>
    </w:p>
    <w:p w:rsidR="00327AE4" w:rsidRDefault="00327AE4" w:rsidP="00327AE4">
      <w:pPr>
        <w:bidi/>
        <w:rPr>
          <w:rtl/>
        </w:rPr>
      </w:pPr>
    </w:p>
    <w:p w:rsidR="00327AE4" w:rsidRDefault="00327AE4" w:rsidP="00327AE4">
      <w:pPr>
        <w:bidi/>
      </w:pPr>
    </w:p>
    <w:p w:rsidR="008A3C62" w:rsidRDefault="00327AE4" w:rsidP="00327AE4">
      <w:pPr>
        <w:pStyle w:val="Heading1"/>
        <w:bidi/>
        <w:spacing w:before="280" w:after="140"/>
      </w:pPr>
      <w:r>
        <w:rPr>
          <w:rFonts w:ascii="Times New Roman" w:eastAsia="Traditional Arabic" w:hAnsi="Times New Roman" w:cs="Traditional Arabic"/>
          <w:rtl/>
        </w:rPr>
        <w:t>2. جدول استجابة الباحث لجميع ملاحظات المشرف</w:t>
      </w:r>
    </w:p>
    <w:p w:rsidR="008A3C62" w:rsidRDefault="008A3C62" w:rsidP="00327AE4">
      <w:pPr>
        <w:bidi/>
        <w:sectPr w:rsidR="008A3C62">
          <w:headerReference w:type="default" r:id="rId9"/>
          <w:footerReference w:type="default" r:id="rId10"/>
          <w:pgSz w:w="11906" w:h="16838"/>
          <w:pgMar w:top="1417" w:right="1417" w:bottom="1417" w:left="1417" w:header="709" w:footer="709" w:gutter="0"/>
          <w:cols w:space="720"/>
          <w:titlePg/>
          <w:docGrid w:linePitch="360"/>
        </w:sectPr>
      </w:pPr>
    </w:p>
    <w:p w:rsidR="008A3C62" w:rsidRDefault="00327AE4" w:rsidP="00327AE4">
      <w:pPr>
        <w:pStyle w:val="Caption"/>
        <w:keepNext/>
        <w:keepLines/>
        <w:bidi/>
        <w:spacing w:before="160" w:after="80" w:line="360" w:lineRule="auto"/>
        <w:rPr>
          <w:rFonts w:hint="eastAsia"/>
        </w:rPr>
      </w:pPr>
      <w:r>
        <w:rPr>
          <w:rFonts w:ascii="Times New Roman" w:eastAsia="Traditional Arabic" w:hAnsi="Times New Roman"/>
          <w:rtl/>
        </w:rPr>
        <w:lastRenderedPageBreak/>
        <w:t>جدول الاستجابة الشامل لملاحظات المشرف</w:t>
      </w:r>
    </w:p>
    <w:tbl>
      <w:tblPr>
        <w:tblStyle w:val="TableGrid"/>
        <w:bidiVisual/>
        <w:tblW w:w="14004" w:type="dxa"/>
        <w:jc w:val="center"/>
        <w:tblLayout w:type="fixed"/>
        <w:tblLook w:val="04A0" w:firstRow="1" w:lastRow="0" w:firstColumn="1" w:lastColumn="0" w:noHBand="0" w:noVBand="1"/>
      </w:tblPr>
      <w:tblGrid>
        <w:gridCol w:w="900"/>
        <w:gridCol w:w="3400"/>
        <w:gridCol w:w="6100"/>
        <w:gridCol w:w="2200"/>
        <w:gridCol w:w="1404"/>
      </w:tblGrid>
      <w:tr w:rsidR="008A3C62">
        <w:trPr>
          <w:tblHeader/>
          <w:jc w:val="center"/>
        </w:trPr>
        <w:tc>
          <w:tcPr>
            <w:tcW w:w="900" w:type="dxa"/>
            <w:shd w:val="clear" w:color="auto" w:fill="D9E2F3"/>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b/>
                <w:color w:val="000000"/>
                <w:sz w:val="18"/>
                <w:rtl/>
              </w:rPr>
              <w:t>رقم الملاحظة</w:t>
            </w:r>
          </w:p>
        </w:tc>
        <w:tc>
          <w:tcPr>
            <w:tcW w:w="3400" w:type="dxa"/>
            <w:shd w:val="clear" w:color="auto" w:fill="D9E2F3"/>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b/>
                <w:color w:val="000000"/>
                <w:sz w:val="18"/>
                <w:rtl/>
              </w:rPr>
              <w:t>الملاحظة</w:t>
            </w:r>
          </w:p>
        </w:tc>
        <w:tc>
          <w:tcPr>
            <w:tcW w:w="6100" w:type="dxa"/>
            <w:shd w:val="clear" w:color="auto" w:fill="D9E2F3"/>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b/>
                <w:color w:val="000000"/>
                <w:sz w:val="18"/>
                <w:rtl/>
              </w:rPr>
              <w:t>الإجراء المنفذ</w:t>
            </w:r>
          </w:p>
        </w:tc>
        <w:tc>
          <w:tcPr>
            <w:tcW w:w="2200" w:type="dxa"/>
            <w:shd w:val="clear" w:color="auto" w:fill="D9E2F3"/>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b/>
                <w:color w:val="000000"/>
                <w:sz w:val="18"/>
                <w:rtl/>
              </w:rPr>
              <w:t>موضع التعديل</w:t>
            </w:r>
          </w:p>
        </w:tc>
        <w:tc>
          <w:tcPr>
            <w:tcW w:w="1404" w:type="dxa"/>
            <w:shd w:val="clear" w:color="auto" w:fill="D9E2F3"/>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b/>
                <w:color w:val="000000"/>
                <w:sz w:val="18"/>
                <w:rtl/>
              </w:rPr>
              <w:t>الحالة</w:t>
            </w:r>
          </w:p>
        </w:tc>
      </w:tr>
      <w:tr w:rsidR="008A3C62">
        <w:trPr>
          <w:jc w:val="center"/>
        </w:trPr>
        <w:tc>
          <w:tcPr>
            <w:tcW w:w="9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1</w:t>
            </w:r>
          </w:p>
        </w:tc>
        <w:tc>
          <w:tcPr>
            <w:tcW w:w="34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الحفاظ على البنية المتماسكة وإجراء تعديلات محدودة.</w:t>
            </w:r>
          </w:p>
        </w:tc>
        <w:tc>
          <w:tcPr>
            <w:tcW w:w="61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حُفظ التسلسل الحالي، وأُدخلت الإضافات داخل أقسامه دون إعادة كتابة الأجزاء السليمة.</w:t>
            </w:r>
          </w:p>
        </w:tc>
        <w:tc>
          <w:tcPr>
            <w:tcW w:w="22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الفصل كاملًا، 3.0–3.9</w:t>
            </w:r>
          </w:p>
        </w:tc>
        <w:tc>
          <w:tcPr>
            <w:tcW w:w="1404"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منجز</w:t>
            </w:r>
          </w:p>
        </w:tc>
      </w:tr>
      <w:tr w:rsidR="008A3C62">
        <w:trPr>
          <w:jc w:val="center"/>
        </w:trPr>
        <w:tc>
          <w:tcPr>
            <w:tcW w:w="9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2</w:t>
            </w:r>
          </w:p>
        </w:tc>
        <w:tc>
          <w:tcPr>
            <w:tcW w:w="34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تدقيق الروابط بين الأقسام.</w:t>
            </w:r>
          </w:p>
        </w:tc>
        <w:tc>
          <w:tcPr>
            <w:tcW w:w="61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أضيفت جمل انتقالية وإحالات سابقة لكل جدول وشكل وجمل تفسيرية بعدها.</w:t>
            </w:r>
          </w:p>
        </w:tc>
        <w:tc>
          <w:tcPr>
            <w:tcW w:w="22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جميع الأقسام</w:t>
            </w:r>
          </w:p>
        </w:tc>
        <w:tc>
          <w:tcPr>
            <w:tcW w:w="1404"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منجز</w:t>
            </w:r>
          </w:p>
        </w:tc>
      </w:tr>
      <w:tr w:rsidR="008A3C62">
        <w:trPr>
          <w:jc w:val="center"/>
        </w:trPr>
        <w:tc>
          <w:tcPr>
            <w:tcW w:w="9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3</w:t>
            </w:r>
          </w:p>
        </w:tc>
        <w:tc>
          <w:tcPr>
            <w:tcW w:w="34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اتساق القرارات المنهجية مع الأسئلة والفرضيات والنموذج.</w:t>
            </w:r>
          </w:p>
        </w:tc>
        <w:tc>
          <w:tcPr>
            <w:tcW w:w="61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أضيف جدول (3-1) وصُحح ترقيم H2/H3 وأُظهرت H1a–H1d.</w:t>
            </w:r>
          </w:p>
        </w:tc>
        <w:tc>
          <w:tcPr>
            <w:tcW w:w="22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3.1.2</w:t>
            </w:r>
          </w:p>
        </w:tc>
        <w:tc>
          <w:tcPr>
            <w:tcW w:w="1404"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منجز</w:t>
            </w:r>
          </w:p>
        </w:tc>
      </w:tr>
      <w:tr w:rsidR="008A3C62">
        <w:trPr>
          <w:jc w:val="center"/>
        </w:trPr>
        <w:tc>
          <w:tcPr>
            <w:tcW w:w="9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4</w:t>
            </w:r>
          </w:p>
        </w:tc>
        <w:tc>
          <w:tcPr>
            <w:tcW w:w="34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عدم الادعاء بالسببية المطلقة.</w:t>
            </w:r>
          </w:p>
        </w:tc>
        <w:tc>
          <w:tcPr>
            <w:tcW w:w="61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ثُبتت لغة العلاقة الإحصائية والمسار المفترض والتفسير الارتباطي في المقدمة والتصميم والتعميم.</w:t>
            </w:r>
          </w:p>
        </w:tc>
        <w:tc>
          <w:tcPr>
            <w:tcW w:w="22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3.0، 3.1، 3.2.7</w:t>
            </w:r>
          </w:p>
        </w:tc>
        <w:tc>
          <w:tcPr>
            <w:tcW w:w="1404"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منجز</w:t>
            </w:r>
          </w:p>
        </w:tc>
      </w:tr>
      <w:tr w:rsidR="008A3C62">
        <w:trPr>
          <w:jc w:val="center"/>
        </w:trPr>
        <w:tc>
          <w:tcPr>
            <w:tcW w:w="9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5</w:t>
            </w:r>
          </w:p>
        </w:tc>
        <w:tc>
          <w:tcPr>
            <w:tcW w:w="34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إرفاق شكل نهائي واضح للنموذج.</w:t>
            </w:r>
          </w:p>
        </w:tc>
        <w:tc>
          <w:tcPr>
            <w:tcW w:w="61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أُدرج شكل (3-1) بالأبعاد والوسطاء والتابع والمعدل المحتمل واتجاهات المسارات.</w:t>
            </w:r>
          </w:p>
        </w:tc>
        <w:tc>
          <w:tcPr>
            <w:tcW w:w="22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3.1.2</w:t>
            </w:r>
          </w:p>
        </w:tc>
        <w:tc>
          <w:tcPr>
            <w:tcW w:w="1404"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منجز</w:t>
            </w:r>
          </w:p>
        </w:tc>
      </w:tr>
      <w:tr w:rsidR="008A3C62">
        <w:trPr>
          <w:jc w:val="center"/>
        </w:trPr>
        <w:tc>
          <w:tcPr>
            <w:tcW w:w="9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6</w:t>
            </w:r>
          </w:p>
        </w:tc>
        <w:tc>
          <w:tcPr>
            <w:tcW w:w="34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ربط التعريفات الإجرائية بمصادر المقاييس.</w:t>
            </w:r>
          </w:p>
        </w:tc>
        <w:tc>
          <w:tcPr>
            <w:tcW w:w="61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أضيفت المصفوفة التشغيلية الشاملة للمصادر والتكييف والترميز والاحتساب.</w:t>
            </w:r>
          </w:p>
        </w:tc>
        <w:tc>
          <w:tcPr>
            <w:tcW w:w="22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3.4، جدول (3-4)</w:t>
            </w:r>
          </w:p>
        </w:tc>
        <w:tc>
          <w:tcPr>
            <w:tcW w:w="1404"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منجز مع متطلبات اعتماد</w:t>
            </w:r>
          </w:p>
        </w:tc>
      </w:tr>
      <w:tr w:rsidR="008A3C62">
        <w:trPr>
          <w:jc w:val="center"/>
        </w:trPr>
        <w:tc>
          <w:tcPr>
            <w:tcW w:w="9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7</w:t>
            </w:r>
          </w:p>
        </w:tc>
        <w:tc>
          <w:tcPr>
            <w:tcW w:w="34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إضافة الأعداد النهائية لكل بُعد ومصدره.</w:t>
            </w:r>
          </w:p>
        </w:tc>
        <w:tc>
          <w:tcPr>
            <w:tcW w:w="61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طُوبقت الأعداد والرموز مع الاستبانة V2: 49 فقرة مقياسية و7 أسئلة عامة.</w:t>
            </w:r>
          </w:p>
        </w:tc>
        <w:tc>
          <w:tcPr>
            <w:tcW w:w="22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3.3.2، 3.4</w:t>
            </w:r>
          </w:p>
        </w:tc>
        <w:tc>
          <w:tcPr>
            <w:tcW w:w="1404"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منجز</w:t>
            </w:r>
          </w:p>
        </w:tc>
      </w:tr>
      <w:tr w:rsidR="008A3C62">
        <w:trPr>
          <w:jc w:val="center"/>
        </w:trPr>
        <w:tc>
          <w:tcPr>
            <w:tcW w:w="9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8</w:t>
            </w:r>
          </w:p>
        </w:tc>
        <w:tc>
          <w:tcPr>
            <w:tcW w:w="34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تأكيد اتجاه الترميز.</w:t>
            </w:r>
          </w:p>
        </w:tc>
        <w:tc>
          <w:tcPr>
            <w:tcW w:w="61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وُضح أن ارتفاع الدرجات يعكس ارتفاع المتغير، وأن ارتفاع الإجهاد يعكس ارتفاع مستوى الإجهاد.</w:t>
            </w:r>
          </w:p>
        </w:tc>
        <w:tc>
          <w:tcPr>
            <w:tcW w:w="22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3.3.3، جدول (3-4)</w:t>
            </w:r>
          </w:p>
        </w:tc>
        <w:tc>
          <w:tcPr>
            <w:tcW w:w="1404"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منجز</w:t>
            </w:r>
          </w:p>
        </w:tc>
      </w:tr>
      <w:tr w:rsidR="008A3C62">
        <w:trPr>
          <w:jc w:val="center"/>
        </w:trPr>
        <w:tc>
          <w:tcPr>
            <w:tcW w:w="9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9</w:t>
            </w:r>
          </w:p>
        </w:tc>
        <w:tc>
          <w:tcPr>
            <w:tcW w:w="34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إدراج خطة وصول ميداني بعد موافقة الوزارة.</w:t>
            </w:r>
          </w:p>
        </w:tc>
        <w:tc>
          <w:tcPr>
            <w:tcW w:w="61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أضيف تسلسل تنفيذي وسجل ميداني بخانات التاريخ والقناة والتذكير.</w:t>
            </w:r>
          </w:p>
        </w:tc>
        <w:tc>
          <w:tcPr>
            <w:tcW w:w="22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3.6، جدول (3-7)</w:t>
            </w:r>
          </w:p>
        </w:tc>
        <w:tc>
          <w:tcPr>
            <w:tcW w:w="1404"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منجز مع معلومات مطلوبة</w:t>
            </w:r>
          </w:p>
        </w:tc>
      </w:tr>
      <w:tr w:rsidR="008A3C62">
        <w:trPr>
          <w:jc w:val="center"/>
        </w:trPr>
        <w:tc>
          <w:tcPr>
            <w:tcW w:w="9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10</w:t>
            </w:r>
          </w:p>
        </w:tc>
        <w:tc>
          <w:tcPr>
            <w:tcW w:w="34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حصر دور البيانات الثانوية في تفسير السياق.</w:t>
            </w:r>
          </w:p>
        </w:tc>
        <w:tc>
          <w:tcPr>
            <w:tcW w:w="61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فُصلت البيانات الأولية عن الثانوية، ونُفي استخدامها لاختبار الفرضيات الأساسية.</w:t>
            </w:r>
          </w:p>
        </w:tc>
        <w:tc>
          <w:tcPr>
            <w:tcW w:w="22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3.3.4</w:t>
            </w:r>
          </w:p>
        </w:tc>
        <w:tc>
          <w:tcPr>
            <w:tcW w:w="1404"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منجز</w:t>
            </w:r>
          </w:p>
        </w:tc>
      </w:tr>
      <w:tr w:rsidR="008A3C62">
        <w:trPr>
          <w:jc w:val="center"/>
        </w:trPr>
        <w:tc>
          <w:tcPr>
            <w:tcW w:w="9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11</w:t>
            </w:r>
          </w:p>
        </w:tc>
        <w:tc>
          <w:tcPr>
            <w:tcW w:w="34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استبدال تقدير المجتمع ببيان رسمي.</w:t>
            </w:r>
          </w:p>
        </w:tc>
        <w:tc>
          <w:tcPr>
            <w:tcW w:w="61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أزيل تثبيت 20,000 و1,000 كحقائق، واستُخدمت عبارة البيان الرسمي المطلوب.</w:t>
            </w:r>
          </w:p>
        </w:tc>
        <w:tc>
          <w:tcPr>
            <w:tcW w:w="22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3.2.1، 3.2.3</w:t>
            </w:r>
          </w:p>
        </w:tc>
        <w:tc>
          <w:tcPr>
            <w:tcW w:w="1404"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يتطلب بيانًا رسميًا</w:t>
            </w:r>
          </w:p>
        </w:tc>
      </w:tr>
      <w:tr w:rsidR="008A3C62">
        <w:trPr>
          <w:jc w:val="center"/>
        </w:trPr>
        <w:tc>
          <w:tcPr>
            <w:tcW w:w="9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lastRenderedPageBreak/>
              <w:t>12</w:t>
            </w:r>
          </w:p>
        </w:tc>
        <w:tc>
          <w:tcPr>
            <w:tcW w:w="34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إضافة معايير الإدراج والاستبعاد.</w:t>
            </w:r>
          </w:p>
        </w:tc>
        <w:tc>
          <w:tcPr>
            <w:tcW w:w="61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أضيف قسم مستقل بالمعايير وتعريف المستخدم الرئيس.</w:t>
            </w:r>
          </w:p>
        </w:tc>
        <w:tc>
          <w:tcPr>
            <w:tcW w:w="22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3.2.2</w:t>
            </w:r>
          </w:p>
        </w:tc>
        <w:tc>
          <w:tcPr>
            <w:tcW w:w="1404"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منجز</w:t>
            </w:r>
          </w:p>
        </w:tc>
      </w:tr>
      <w:tr w:rsidR="008A3C62">
        <w:trPr>
          <w:jc w:val="center"/>
        </w:trPr>
        <w:tc>
          <w:tcPr>
            <w:tcW w:w="9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13</w:t>
            </w:r>
          </w:p>
        </w:tc>
        <w:tc>
          <w:tcPr>
            <w:tcW w:w="34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توضيح السحب العشوائي داخل الطبقات.</w:t>
            </w:r>
          </w:p>
        </w:tc>
        <w:tc>
          <w:tcPr>
            <w:tcW w:w="61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أضيفت الخطوات التنفيذية والمعادلة وآلية التوثيق.</w:t>
            </w:r>
          </w:p>
        </w:tc>
        <w:tc>
          <w:tcPr>
            <w:tcW w:w="22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3.2.4</w:t>
            </w:r>
          </w:p>
        </w:tc>
        <w:tc>
          <w:tcPr>
            <w:tcW w:w="1404"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منجز</w:t>
            </w:r>
          </w:p>
        </w:tc>
      </w:tr>
      <w:tr w:rsidR="008A3C62">
        <w:trPr>
          <w:jc w:val="center"/>
        </w:trPr>
        <w:tc>
          <w:tcPr>
            <w:tcW w:w="9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14</w:t>
            </w:r>
          </w:p>
        </w:tc>
        <w:tc>
          <w:tcPr>
            <w:tcW w:w="34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تدعيم حجم العينة بالقوة الإحصائية ومرجع PLS.</w:t>
            </w:r>
          </w:p>
        </w:tc>
        <w:tc>
          <w:tcPr>
            <w:tcW w:w="61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أُبقي هدف 300، وأضيفت خطة القوة الإحصائية وفق α والقوة وحجم الأثر وأكبر عدد من المتنبئات.</w:t>
            </w:r>
          </w:p>
        </w:tc>
        <w:tc>
          <w:tcPr>
            <w:tcW w:w="22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3.2.5</w:t>
            </w:r>
          </w:p>
        </w:tc>
        <w:tc>
          <w:tcPr>
            <w:tcW w:w="1404"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منجز؛ النتيجة مطلوبة</w:t>
            </w:r>
          </w:p>
        </w:tc>
      </w:tr>
      <w:tr w:rsidR="008A3C62">
        <w:trPr>
          <w:jc w:val="center"/>
        </w:trPr>
        <w:tc>
          <w:tcPr>
            <w:tcW w:w="9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15</w:t>
            </w:r>
          </w:p>
        </w:tc>
        <w:tc>
          <w:tcPr>
            <w:tcW w:w="34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تحديث جدول الطبقات رسميًا.</w:t>
            </w:r>
          </w:p>
        </w:tc>
        <w:tc>
          <w:tcPr>
            <w:tcW w:w="61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حُوّل الجدول إلى قالب تطبيقي دون أرقام افتراضية.</w:t>
            </w:r>
          </w:p>
        </w:tc>
        <w:tc>
          <w:tcPr>
            <w:tcW w:w="22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3.2.6، جدول (3-2)</w:t>
            </w:r>
          </w:p>
        </w:tc>
        <w:tc>
          <w:tcPr>
            <w:tcW w:w="1404"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يتطلب إطار المعاينة</w:t>
            </w:r>
          </w:p>
        </w:tc>
      </w:tr>
      <w:tr w:rsidR="008A3C62">
        <w:trPr>
          <w:jc w:val="center"/>
        </w:trPr>
        <w:tc>
          <w:tcPr>
            <w:tcW w:w="9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16</w:t>
            </w:r>
          </w:p>
        </w:tc>
        <w:tc>
          <w:tcPr>
            <w:tcW w:w="34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تحديد الاستجابات غير الصالحة والمفقودة.</w:t>
            </w:r>
          </w:p>
        </w:tc>
        <w:tc>
          <w:tcPr>
            <w:tcW w:w="61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أضيفت معايير الاكتمال والتكرار والزمن والنمط الثابت والتطرف والفقد.</w:t>
            </w:r>
          </w:p>
        </w:tc>
        <w:tc>
          <w:tcPr>
            <w:tcW w:w="22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3.7.1، جدول (3-8)</w:t>
            </w:r>
          </w:p>
        </w:tc>
        <w:tc>
          <w:tcPr>
            <w:tcW w:w="1404"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منجز؛ الحدود الرقمية مطلوبة</w:t>
            </w:r>
          </w:p>
        </w:tc>
      </w:tr>
      <w:tr w:rsidR="008A3C62">
        <w:trPr>
          <w:jc w:val="center"/>
        </w:trPr>
        <w:tc>
          <w:tcPr>
            <w:tcW w:w="9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17</w:t>
            </w:r>
          </w:p>
        </w:tc>
        <w:tc>
          <w:tcPr>
            <w:tcW w:w="34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الإبقاء على حدود التعميم.</w:t>
            </w:r>
          </w:p>
        </w:tc>
        <w:tc>
          <w:tcPr>
            <w:tcW w:w="61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ثُبتت الحدود وربطت بجودة إطار المعاينة والاستجابة.</w:t>
            </w:r>
          </w:p>
        </w:tc>
        <w:tc>
          <w:tcPr>
            <w:tcW w:w="22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3.2.7</w:t>
            </w:r>
          </w:p>
        </w:tc>
        <w:tc>
          <w:tcPr>
            <w:tcW w:w="1404"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منجز</w:t>
            </w:r>
          </w:p>
        </w:tc>
      </w:tr>
      <w:tr w:rsidR="008A3C62">
        <w:trPr>
          <w:jc w:val="center"/>
        </w:trPr>
        <w:tc>
          <w:tcPr>
            <w:tcW w:w="9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18</w:t>
            </w:r>
          </w:p>
        </w:tc>
        <w:tc>
          <w:tcPr>
            <w:tcW w:w="34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عرض خطة التحليل في مصفوفة مختصرة.</w:t>
            </w:r>
          </w:p>
        </w:tc>
        <w:tc>
          <w:tcPr>
            <w:tcW w:w="61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أُدمجت خطة التحليل في جدول (3-1) وجدولي (3-9) و(3-10).</w:t>
            </w:r>
          </w:p>
        </w:tc>
        <w:tc>
          <w:tcPr>
            <w:tcW w:w="22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3.1.2، 3.7</w:t>
            </w:r>
          </w:p>
        </w:tc>
        <w:tc>
          <w:tcPr>
            <w:tcW w:w="1404"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منجز</w:t>
            </w:r>
          </w:p>
        </w:tc>
      </w:tr>
      <w:tr w:rsidR="008A3C62">
        <w:trPr>
          <w:jc w:val="center"/>
        </w:trPr>
        <w:tc>
          <w:tcPr>
            <w:tcW w:w="9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19</w:t>
            </w:r>
          </w:p>
        </w:tc>
        <w:tc>
          <w:tcPr>
            <w:tcW w:w="34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تحديد SPSS وSmartPLS والإصدار.</w:t>
            </w:r>
          </w:p>
        </w:tc>
        <w:tc>
          <w:tcPr>
            <w:tcW w:w="61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حُددت وظائف البرنامجين مع إبقاء الإصدارين خانات اعتماد.</w:t>
            </w:r>
          </w:p>
        </w:tc>
        <w:tc>
          <w:tcPr>
            <w:tcW w:w="22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3.7</w:t>
            </w:r>
          </w:p>
        </w:tc>
        <w:tc>
          <w:tcPr>
            <w:tcW w:w="1404"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يتطلب تحديد الإصدار</w:t>
            </w:r>
          </w:p>
        </w:tc>
      </w:tr>
      <w:tr w:rsidR="008A3C62">
        <w:trPr>
          <w:jc w:val="center"/>
        </w:trPr>
        <w:tc>
          <w:tcPr>
            <w:tcW w:w="9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20</w:t>
            </w:r>
          </w:p>
        </w:tc>
        <w:tc>
          <w:tcPr>
            <w:tcW w:w="34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ربط الإحصاء الوصفي بوصف العينة والمتغيرات.</w:t>
            </w:r>
          </w:p>
        </w:tc>
        <w:tc>
          <w:tcPr>
            <w:tcW w:w="61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قُصر استخدامه على خصائص العينة والوصف دون استبداله باختبارات النموذج.</w:t>
            </w:r>
          </w:p>
        </w:tc>
        <w:tc>
          <w:tcPr>
            <w:tcW w:w="22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3.7.2</w:t>
            </w:r>
          </w:p>
        </w:tc>
        <w:tc>
          <w:tcPr>
            <w:tcW w:w="1404"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منجز</w:t>
            </w:r>
          </w:p>
        </w:tc>
      </w:tr>
      <w:tr w:rsidR="008A3C62">
        <w:trPr>
          <w:jc w:val="center"/>
        </w:trPr>
        <w:tc>
          <w:tcPr>
            <w:tcW w:w="9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21</w:t>
            </w:r>
          </w:p>
        </w:tc>
        <w:tc>
          <w:tcPr>
            <w:tcW w:w="34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تحديد Bootstrapping وعدد العينات.</w:t>
            </w:r>
          </w:p>
        </w:tc>
        <w:tc>
          <w:tcPr>
            <w:tcW w:w="61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حُددت استخداماته للمباشر وغير المباشر والوساطة والاعتدال، وأُبقي العدد خانة اعتماد.</w:t>
            </w:r>
          </w:p>
        </w:tc>
        <w:tc>
          <w:tcPr>
            <w:tcW w:w="22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3.7.5–3.7.7</w:t>
            </w:r>
          </w:p>
        </w:tc>
        <w:tc>
          <w:tcPr>
            <w:tcW w:w="1404"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يتطلب تحديد العدد</w:t>
            </w:r>
          </w:p>
        </w:tc>
      </w:tr>
      <w:tr w:rsidR="008A3C62">
        <w:trPr>
          <w:jc w:val="center"/>
        </w:trPr>
        <w:tc>
          <w:tcPr>
            <w:tcW w:w="9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22</w:t>
            </w:r>
          </w:p>
        </w:tc>
        <w:tc>
          <w:tcPr>
            <w:tcW w:w="34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إضافة فحوص VIF والفقد والتطرف وصلاحية البيانات.</w:t>
            </w:r>
          </w:p>
        </w:tc>
        <w:tc>
          <w:tcPr>
            <w:tcW w:w="61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أُنشئ قسم فحوص أولية منظم وجدول تنظيف.</w:t>
            </w:r>
          </w:p>
        </w:tc>
        <w:tc>
          <w:tcPr>
            <w:tcW w:w="22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3.7.1</w:t>
            </w:r>
          </w:p>
        </w:tc>
        <w:tc>
          <w:tcPr>
            <w:tcW w:w="1404"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منجز</w:t>
            </w:r>
          </w:p>
        </w:tc>
      </w:tr>
      <w:tr w:rsidR="008A3C62">
        <w:trPr>
          <w:jc w:val="center"/>
        </w:trPr>
        <w:tc>
          <w:tcPr>
            <w:tcW w:w="9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lastRenderedPageBreak/>
              <w:t>23</w:t>
            </w:r>
          </w:p>
        </w:tc>
        <w:tc>
          <w:tcPr>
            <w:tcW w:w="34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إضافة loadings وCR وAVE وHTMT وVIF.</w:t>
            </w:r>
          </w:p>
        </w:tc>
        <w:tc>
          <w:tcPr>
            <w:tcW w:w="61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أضيف جدول معايير نموذج القياس بحدود موثقة وإجراء تصحيحي غير آلي.</w:t>
            </w:r>
          </w:p>
        </w:tc>
        <w:tc>
          <w:tcPr>
            <w:tcW w:w="22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3.7.4، جدول (3-9)</w:t>
            </w:r>
          </w:p>
        </w:tc>
        <w:tc>
          <w:tcPr>
            <w:tcW w:w="1404"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منجز</w:t>
            </w:r>
          </w:p>
        </w:tc>
      </w:tr>
      <w:tr w:rsidR="008A3C62">
        <w:trPr>
          <w:jc w:val="center"/>
        </w:trPr>
        <w:tc>
          <w:tcPr>
            <w:tcW w:w="9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24</w:t>
            </w:r>
          </w:p>
        </w:tc>
        <w:tc>
          <w:tcPr>
            <w:tcW w:w="34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إضافة R² وQ² وf² والمسارات والوساطة والاعتدال.</w:t>
            </w:r>
          </w:p>
        </w:tc>
        <w:tc>
          <w:tcPr>
            <w:tcW w:w="61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أضيف جدول معايير النموذج البنائي وخطة التفسير.</w:t>
            </w:r>
          </w:p>
        </w:tc>
        <w:tc>
          <w:tcPr>
            <w:tcW w:w="22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3.7.5، جدول (3-10)</w:t>
            </w:r>
          </w:p>
        </w:tc>
        <w:tc>
          <w:tcPr>
            <w:tcW w:w="1404"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منجز</w:t>
            </w:r>
          </w:p>
        </w:tc>
      </w:tr>
      <w:tr w:rsidR="008A3C62">
        <w:trPr>
          <w:jc w:val="center"/>
        </w:trPr>
        <w:tc>
          <w:tcPr>
            <w:tcW w:w="9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25</w:t>
            </w:r>
          </w:p>
        </w:tc>
        <w:tc>
          <w:tcPr>
            <w:tcW w:w="34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فحص تحيز الطريقة المشتركة.</w:t>
            </w:r>
          </w:p>
        </w:tc>
        <w:tc>
          <w:tcPr>
            <w:tcW w:w="61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أضيفت إجراءات وقائية وخطة Full Collinearity VIF واختبار Harman كفحص مكمل.</w:t>
            </w:r>
          </w:p>
        </w:tc>
        <w:tc>
          <w:tcPr>
            <w:tcW w:w="22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3.7.3</w:t>
            </w:r>
          </w:p>
        </w:tc>
        <w:tc>
          <w:tcPr>
            <w:tcW w:w="1404"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منجز</w:t>
            </w:r>
          </w:p>
        </w:tc>
      </w:tr>
      <w:tr w:rsidR="008A3C62">
        <w:trPr>
          <w:jc w:val="center"/>
        </w:trPr>
        <w:tc>
          <w:tcPr>
            <w:tcW w:w="9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26</w:t>
            </w:r>
          </w:p>
        </w:tc>
        <w:tc>
          <w:tcPr>
            <w:tcW w:w="34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تحديد عدد المحكمين وتخصصاتهم.</w:t>
            </w:r>
          </w:p>
        </w:tc>
        <w:tc>
          <w:tcPr>
            <w:tcW w:w="61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أضيف جدول المحكمين، وبقي العدد والتخصص والجهة خانات رسمية.</w:t>
            </w:r>
          </w:p>
        </w:tc>
        <w:tc>
          <w:tcPr>
            <w:tcW w:w="22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3.5.1، جدول (3-5)</w:t>
            </w:r>
          </w:p>
        </w:tc>
        <w:tc>
          <w:tcPr>
            <w:tcW w:w="1404"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يتطلب معلومات</w:t>
            </w:r>
          </w:p>
        </w:tc>
      </w:tr>
      <w:tr w:rsidR="008A3C62">
        <w:trPr>
          <w:jc w:val="center"/>
        </w:trPr>
        <w:tc>
          <w:tcPr>
            <w:tcW w:w="9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27</w:t>
            </w:r>
          </w:p>
        </w:tc>
        <w:tc>
          <w:tcPr>
            <w:tcW w:w="34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ربط المحاور والفقرات بالمصادر والتحكيم.</w:t>
            </w:r>
          </w:p>
        </w:tc>
        <w:tc>
          <w:tcPr>
            <w:tcW w:w="61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أضيفت مصفوفة صدق المحتوى لجميع الأبعاد والرموز ومواطن الحاجة لاعتماد.</w:t>
            </w:r>
          </w:p>
        </w:tc>
        <w:tc>
          <w:tcPr>
            <w:tcW w:w="22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3.5.1، جدول (3-6)</w:t>
            </w:r>
          </w:p>
        </w:tc>
        <w:tc>
          <w:tcPr>
            <w:tcW w:w="1404"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منجز مع اعتماد مطلوب</w:t>
            </w:r>
          </w:p>
        </w:tc>
      </w:tr>
      <w:tr w:rsidR="008A3C62">
        <w:trPr>
          <w:jc w:val="center"/>
        </w:trPr>
        <w:tc>
          <w:tcPr>
            <w:tcW w:w="9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28</w:t>
            </w:r>
          </w:p>
        </w:tc>
        <w:tc>
          <w:tcPr>
            <w:tcW w:w="34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تفصيل الدراسة الاستطلاعية.</w:t>
            </w:r>
          </w:p>
        </w:tc>
        <w:tc>
          <w:tcPr>
            <w:tcW w:w="61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أضيفت الخصائص والأهداف والاستبعاد من العينة النهائية ومعايير التعديل والتوثيق.</w:t>
            </w:r>
          </w:p>
        </w:tc>
        <w:tc>
          <w:tcPr>
            <w:tcW w:w="22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3.5.3</w:t>
            </w:r>
          </w:p>
        </w:tc>
        <w:tc>
          <w:tcPr>
            <w:tcW w:w="1404"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يتطلب الحجم والمدة</w:t>
            </w:r>
          </w:p>
        </w:tc>
      </w:tr>
      <w:tr w:rsidR="008A3C62">
        <w:trPr>
          <w:jc w:val="center"/>
        </w:trPr>
        <w:tc>
          <w:tcPr>
            <w:tcW w:w="9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29</w:t>
            </w:r>
          </w:p>
        </w:tc>
        <w:tc>
          <w:tcPr>
            <w:tcW w:w="34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توضيح الترجمة والتكييف الثقافي.</w:t>
            </w:r>
          </w:p>
        </w:tc>
        <w:tc>
          <w:tcPr>
            <w:tcW w:w="61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أضيف تسلسل المراجعة والترجمة والمراجعة المتخصصة والترجمة العكسية المشروطة.</w:t>
            </w:r>
          </w:p>
        </w:tc>
        <w:tc>
          <w:tcPr>
            <w:tcW w:w="22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3.5.2</w:t>
            </w:r>
          </w:p>
        </w:tc>
        <w:tc>
          <w:tcPr>
            <w:tcW w:w="1404"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منجز؛ إجراء فعلي مطلوب</w:t>
            </w:r>
          </w:p>
        </w:tc>
      </w:tr>
      <w:tr w:rsidR="008A3C62">
        <w:trPr>
          <w:jc w:val="center"/>
        </w:trPr>
        <w:tc>
          <w:tcPr>
            <w:tcW w:w="9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30</w:t>
            </w:r>
          </w:p>
        </w:tc>
        <w:tc>
          <w:tcPr>
            <w:tcW w:w="34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تعزيز الموافقة والخصوصية والحماية.</w:t>
            </w:r>
          </w:p>
        </w:tc>
        <w:tc>
          <w:tcPr>
            <w:tcW w:w="61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أضيفت ضوابط عدم جمع المعرفات، وعدم مشاركة الخام أو الفردي، والتخزين والوصول والاحتفاظ والحذف.</w:t>
            </w:r>
          </w:p>
        </w:tc>
        <w:tc>
          <w:tcPr>
            <w:tcW w:w="22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3.8، جدول (3-11)</w:t>
            </w:r>
          </w:p>
        </w:tc>
        <w:tc>
          <w:tcPr>
            <w:tcW w:w="1404"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منجز مع موافقات وسياسة مطلوبة</w:t>
            </w:r>
          </w:p>
        </w:tc>
      </w:tr>
      <w:tr w:rsidR="008A3C62">
        <w:trPr>
          <w:jc w:val="center"/>
        </w:trPr>
        <w:tc>
          <w:tcPr>
            <w:tcW w:w="9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31</w:t>
            </w:r>
          </w:p>
        </w:tc>
        <w:tc>
          <w:tcPr>
            <w:tcW w:w="34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إضافة مراجع متخصصة ومطابقة المتن والقائمة.</w:t>
            </w:r>
          </w:p>
        </w:tc>
        <w:tc>
          <w:tcPr>
            <w:tcW w:w="61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أضيفت مراجع PLS-SEM والوساطة والاعتدال والتحيز والقوة، وأُعد تقرير مطابقة.</w:t>
            </w:r>
          </w:p>
        </w:tc>
        <w:tc>
          <w:tcPr>
            <w:tcW w:w="22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المراجع والقسم 8</w:t>
            </w:r>
          </w:p>
        </w:tc>
        <w:tc>
          <w:tcPr>
            <w:tcW w:w="1404"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منجز مع مصادر قياس مفتوحة</w:t>
            </w:r>
          </w:p>
        </w:tc>
      </w:tr>
      <w:tr w:rsidR="008A3C62">
        <w:trPr>
          <w:jc w:val="center"/>
        </w:trPr>
        <w:tc>
          <w:tcPr>
            <w:tcW w:w="9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32</w:t>
            </w:r>
          </w:p>
        </w:tc>
        <w:tc>
          <w:tcPr>
            <w:tcW w:w="34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اختصار تكرار PLS-SEM وتوحيد المصطلحات والترقيم.</w:t>
            </w:r>
          </w:p>
        </w:tc>
        <w:tc>
          <w:tcPr>
            <w:tcW w:w="61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اختُصر التبرير، ووُحدت المصطلحات، ورُقمت الجداول 3-1 إلى 3-11 والشكل 3-1.</w:t>
            </w:r>
          </w:p>
        </w:tc>
        <w:tc>
          <w:tcPr>
            <w:tcW w:w="22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الفصل كاملًا والقسم 9</w:t>
            </w:r>
          </w:p>
        </w:tc>
        <w:tc>
          <w:tcPr>
            <w:tcW w:w="1404"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منجز</w:t>
            </w:r>
          </w:p>
        </w:tc>
      </w:tr>
    </w:tbl>
    <w:p w:rsidR="008A3C62" w:rsidRDefault="008A3C62" w:rsidP="00327AE4">
      <w:pPr>
        <w:bidi/>
        <w:sectPr w:rsidR="008A3C62">
          <w:pgSz w:w="16838" w:h="11906" w:orient="landscape"/>
          <w:pgMar w:top="1417" w:right="1417" w:bottom="1417" w:left="1417" w:header="709" w:footer="709" w:gutter="0"/>
          <w:cols w:space="720"/>
          <w:titlePg/>
          <w:docGrid w:linePitch="360"/>
        </w:sectPr>
      </w:pPr>
    </w:p>
    <w:p w:rsidR="008A3C62" w:rsidRPr="00327AE4" w:rsidRDefault="00327AE4" w:rsidP="00327AE4">
      <w:pPr>
        <w:keepLines/>
        <w:bidi/>
        <w:spacing w:before="200" w:after="240"/>
        <w:rPr>
          <w:bCs/>
        </w:rPr>
      </w:pPr>
      <w:r w:rsidRPr="00327AE4">
        <w:rPr>
          <w:rFonts w:eastAsia="Traditional Arabic"/>
          <w:bCs/>
          <w:color w:val="000000"/>
          <w:sz w:val="32"/>
          <w:rtl/>
        </w:rPr>
        <w:lastRenderedPageBreak/>
        <w:t>الفصل الثالث: الطريقة والإجراءات</w:t>
      </w:r>
    </w:p>
    <w:p w:rsidR="008A3C62" w:rsidRDefault="00327AE4" w:rsidP="00327AE4">
      <w:pPr>
        <w:pStyle w:val="Heading1"/>
        <w:bidi/>
        <w:spacing w:before="280" w:after="140"/>
      </w:pPr>
      <w:r>
        <w:rPr>
          <w:rFonts w:ascii="Times New Roman" w:eastAsia="Traditional Arabic" w:hAnsi="Times New Roman" w:cs="Traditional Arabic"/>
          <w:rtl/>
        </w:rPr>
        <w:t>3.0 مقدمة الفصل الثالث</w:t>
      </w:r>
    </w:p>
    <w:p w:rsidR="008A3C62" w:rsidRDefault="00327AE4" w:rsidP="00327AE4">
      <w:pPr>
        <w:bidi/>
      </w:pPr>
      <w:r>
        <w:rPr>
          <w:rFonts w:eastAsia="Traditional Arabic"/>
          <w:color w:val="000000"/>
          <w:rtl/>
        </w:rPr>
        <w:t>يتناول هذا الفصل المنهجية والإجراءات التي ستُتبع لتحقيق أهداف الدراسة واختبار فرضياتها، من خلال تحديد منهج الدراسة وتصميمها، ومجتمعها وعينتها، وأداة جمع البيانات، ومتغيراتها وتعريفاتها الإجرائية، وإجراءات بناء الأداة وتحكيمها ودراستها الاستطلاعية، وخطة جمع البيانات ومعالجتها إحصائيًا، والاعتبارات الأخلاقية المرتبطة بها.</w:t>
      </w:r>
    </w:p>
    <w:p w:rsidR="008A3C62" w:rsidRDefault="00327AE4" w:rsidP="00327AE4">
      <w:pPr>
        <w:bidi/>
      </w:pPr>
      <w:r>
        <w:rPr>
          <w:rFonts w:eastAsia="Traditional Arabic"/>
          <w:color w:val="000000"/>
          <w:rtl/>
        </w:rPr>
        <w:t>ويأتي الفصل امتدادًا للفصلين السابقين؛ إذ يستند إلى مشكلة الدراسة وأسئلتها وأهدافها وفرضياتها، وإلى النموذج المفاهيمي الذي يربط بين التحوّل الرقمي المؤسسي والرضا الوظيفي لدى موظفي وزارة الموارد البشرية والتنمية الاجتماعية، مع اختبار دور الإجهاد التقني وقبول التقنية بوصفهما متغيرين وسيطين، والدور المعدل المحتمل للخصائص الديموغرافية والوظيفية.</w:t>
      </w:r>
    </w:p>
    <w:p w:rsidR="008A3C62" w:rsidRDefault="00327AE4" w:rsidP="00327AE4">
      <w:pPr>
        <w:bidi/>
      </w:pPr>
      <w:r>
        <w:rPr>
          <w:rFonts w:eastAsia="Traditional Arabic"/>
          <w:color w:val="000000"/>
          <w:rtl/>
        </w:rPr>
        <w:t>ونظرًا إلى اعتماد تصميم مقطعي، فإن المسارات الواردة في النموذج تُعامل بوصفها علاقات إحصائية ومسارات بنائية مفترضة ذات قيمة تفسيرية وارتباطية، ولا تُفسر بوصفها دليلًا على سببية قطعية. ولذلك تُستخدم في هذا الفصل عبارات مثل: علاقة إحصائية، وتأثير إحصائي محتمل، ومسار بنائي مفترض، وعلاقة تفسيرية أو ارتباطية.</w:t>
      </w:r>
    </w:p>
    <w:p w:rsidR="008A3C62" w:rsidRDefault="00327AE4" w:rsidP="00327AE4">
      <w:pPr>
        <w:bidi/>
      </w:pPr>
      <w:r>
        <w:rPr>
          <w:rFonts w:eastAsia="Traditional Arabic"/>
          <w:color w:val="000000"/>
          <w:rtl/>
        </w:rPr>
        <w:t>ولا يتضمن الفصل أي نتائج فعلية؛ إذ سيُخصص الفصل الرابع لعرض نتائج التحليل بعد جمع البيانات وتنظيفها والتحقق من خصائص القياس. ويقتصر هذا الفصل على وصف القرارات المنهجية وخطة التنفيذ والتحليل المسبق.</w:t>
      </w:r>
    </w:p>
    <w:p w:rsidR="008A3C62" w:rsidRDefault="00327AE4" w:rsidP="00327AE4">
      <w:pPr>
        <w:pStyle w:val="Heading1"/>
        <w:bidi/>
        <w:spacing w:before="280" w:after="140"/>
      </w:pPr>
      <w:r>
        <w:rPr>
          <w:rFonts w:ascii="Times New Roman" w:eastAsia="Traditional Arabic" w:hAnsi="Times New Roman" w:cs="Traditional Arabic"/>
          <w:rtl/>
        </w:rPr>
        <w:t>3.1 منهج الدراسة وتصميمها</w:t>
      </w:r>
    </w:p>
    <w:p w:rsidR="008A3C62" w:rsidRDefault="00327AE4" w:rsidP="00327AE4">
      <w:pPr>
        <w:bidi/>
      </w:pPr>
      <w:r>
        <w:rPr>
          <w:rFonts w:eastAsia="Traditional Arabic"/>
          <w:color w:val="000000"/>
          <w:rtl/>
        </w:rPr>
        <w:t>تعتمد الدراسة المنهج الكمي الوصفي التحليلي الارتباطي ذي التصميم المسحي المقطعي؛ لملاءمته قياس تصورات عدد من الموظفين في فترة زمنية محددة، ووصف مستوى متغيرات الدراسة، وتقدير العلاقات الإحصائية المباشرة وغير المباشرة والمعدلة في نموذج مفاهيمي متعدد المسارات. كما تتيح الاستبانة جمع بيانات موحدة قابلة للتحليل من المستخدمين الرئيسين للأنظمة الرقمية الداخلية.</w:t>
      </w:r>
    </w:p>
    <w:p w:rsidR="008A3C62" w:rsidRDefault="00327AE4" w:rsidP="00327AE4">
      <w:pPr>
        <w:bidi/>
      </w:pPr>
      <w:r>
        <w:rPr>
          <w:rFonts w:eastAsia="Traditional Arabic"/>
          <w:color w:val="000000"/>
          <w:rtl/>
        </w:rPr>
        <w:t>وسيُستخدم أسلوب نمذجة المعادلات البنائية بالحد الأدنى للمربعات الجزئية (PLS-SEM) لما يتيحه من تقييم لنموذج القياس والنموذج البنائي، وتقدير لمسارات متعددة وآثار وسيطة ومعدلة في نموذج تفسيري مركب، مع الالتزام بتبرير اختياره وبيان معايير الإبلاغ عنه مسبقًا (Hair et al., 2019; Hair et al., 2022).</w:t>
      </w:r>
    </w:p>
    <w:p w:rsidR="008A3C62" w:rsidRDefault="00327AE4" w:rsidP="00327AE4">
      <w:pPr>
        <w:pStyle w:val="Heading2"/>
        <w:bidi/>
        <w:spacing w:before="220" w:after="100"/>
      </w:pPr>
      <w:r>
        <w:rPr>
          <w:rFonts w:ascii="Times New Roman" w:eastAsia="Traditional Arabic" w:hAnsi="Times New Roman" w:cs="Traditional Arabic"/>
          <w:rtl/>
        </w:rPr>
        <w:t>3.1.1 وحدة التحليل</w:t>
      </w:r>
    </w:p>
    <w:p w:rsidR="008A3C62" w:rsidRDefault="00327AE4" w:rsidP="00327AE4">
      <w:pPr>
        <w:bidi/>
      </w:pPr>
      <w:r>
        <w:rPr>
          <w:rFonts w:eastAsia="Traditional Arabic"/>
          <w:color w:val="000000"/>
          <w:rtl/>
        </w:rPr>
        <w:t>تتمثل وحدة التحليل في: «الموظف المستخدم للأنظمة الرقمية الداخلية في وزارة الموارد البشرية والتنمية الاجتماعية». ويُقصد بالمستخدم الرئيس الموظف الذي يتعامل بصورة منتظمة ومباشرة مع نظام رقمي داخلي واحد أو أكثر لأداء مهامه الأساسية، وتكون لديه خبرة فعلية كافية لتقييم توفر الأنظمة وكفاءتها ودعمها وتكاملها، وقبولها، وما قد يرتبط بها من إجهاد تقني، وانعكاس تجربته الرقمية على رضاه الوظيفي.</w:t>
      </w:r>
    </w:p>
    <w:p w:rsidR="008A3C62" w:rsidRDefault="00327AE4" w:rsidP="00327AE4">
      <w:pPr>
        <w:pStyle w:val="Heading2"/>
        <w:bidi/>
        <w:spacing w:before="220" w:after="100"/>
      </w:pPr>
      <w:r>
        <w:rPr>
          <w:rFonts w:ascii="Times New Roman" w:eastAsia="Traditional Arabic" w:hAnsi="Times New Roman" w:cs="Traditional Arabic"/>
          <w:rtl/>
        </w:rPr>
        <w:lastRenderedPageBreak/>
        <w:t>3.1.2 النموذج المفاهيمي وربطه بالأسئلة والفرضيات</w:t>
      </w:r>
    </w:p>
    <w:p w:rsidR="008A3C62" w:rsidRDefault="00327AE4" w:rsidP="00327AE4">
      <w:pPr>
        <w:bidi/>
      </w:pPr>
      <w:r>
        <w:rPr>
          <w:rFonts w:eastAsia="Traditional Arabic"/>
          <w:color w:val="000000"/>
          <w:rtl/>
        </w:rPr>
        <w:t>يتضمن النموذج التحوّل الرقمي المؤسسي متغيرًا مستقلًا بأبعاده الأربعة: توفر وانتشار الأنظمة الرقمية، وكفاءة الأنظمة والعمليات الرقمية، وجودة الدعم الفني والتدريب الرقمي، وتكامل العمليات الرقمية وتبسيط الإجراءات. ويتوسط العلاقة كل من الإجهاد التقني بأبعاده الأربعة، وقبول التقنية ببُعديه المنفعة المتصورة وسهولة الاستخدام المتصورة، بينما يمثل الرضا الوظيفي في بيئة العمل الرقمية المتغير التابع. وتُختبر الخصائص الديموغرافية والوظيفية بوصفها معدلات محتملة أو أساسًا لتحليل الفروق، بعد التحقق من كفاية أحجام المجموعات وثبات القياس بينها.</w:t>
      </w:r>
    </w:p>
    <w:p w:rsidR="008A3C62" w:rsidRDefault="00327AE4" w:rsidP="00327AE4">
      <w:pPr>
        <w:bidi/>
      </w:pPr>
      <w:r>
        <w:rPr>
          <w:rFonts w:eastAsia="Traditional Arabic"/>
          <w:color w:val="000000"/>
          <w:rtl/>
        </w:rPr>
        <w:t>ولضمان اتساق التصميم مع الفصل الأول، يعرض جدول (3-1) الربط بين الأسئلة والفرضيات والمسارات المفاهيمية والأساليب الإحصائية ومعيار القرار.</w:t>
      </w:r>
    </w:p>
    <w:p w:rsidR="008A3C62" w:rsidRDefault="008A3C62" w:rsidP="00327AE4">
      <w:pPr>
        <w:bidi/>
        <w:sectPr w:rsidR="008A3C62">
          <w:pgSz w:w="11906" w:h="16838"/>
          <w:pgMar w:top="1417" w:right="1417" w:bottom="1417" w:left="1417" w:header="709" w:footer="709" w:gutter="0"/>
          <w:cols w:space="720"/>
          <w:titlePg/>
          <w:docGrid w:linePitch="360"/>
        </w:sectPr>
      </w:pPr>
    </w:p>
    <w:p w:rsidR="008A3C62" w:rsidRDefault="00327AE4" w:rsidP="00327AE4">
      <w:pPr>
        <w:pStyle w:val="Caption"/>
        <w:keepNext/>
        <w:keepLines/>
        <w:bidi/>
        <w:spacing w:before="160" w:after="80" w:line="360" w:lineRule="auto"/>
        <w:rPr>
          <w:rFonts w:hint="eastAsia"/>
        </w:rPr>
      </w:pPr>
      <w:r>
        <w:rPr>
          <w:rFonts w:ascii="Times New Roman" w:eastAsia="Traditional Arabic" w:hAnsi="Times New Roman"/>
          <w:rtl/>
        </w:rPr>
        <w:lastRenderedPageBreak/>
        <w:t>جدول (3-1): الربط بين أسئلة الدراسة وفرضياتها ومسارات النموذج وأساليب التحليل</w:t>
      </w:r>
    </w:p>
    <w:tbl>
      <w:tblPr>
        <w:tblStyle w:val="TableGrid"/>
        <w:bidiVisual/>
        <w:tblW w:w="14004" w:type="dxa"/>
        <w:jc w:val="center"/>
        <w:tblLayout w:type="fixed"/>
        <w:tblLook w:val="04A0" w:firstRow="1" w:lastRow="0" w:firstColumn="1" w:lastColumn="0" w:noHBand="0" w:noVBand="1"/>
      </w:tblPr>
      <w:tblGrid>
        <w:gridCol w:w="2200"/>
        <w:gridCol w:w="1200"/>
        <w:gridCol w:w="3300"/>
        <w:gridCol w:w="1700"/>
        <w:gridCol w:w="1600"/>
        <w:gridCol w:w="2200"/>
        <w:gridCol w:w="1804"/>
      </w:tblGrid>
      <w:tr w:rsidR="008A3C62">
        <w:trPr>
          <w:tblHeader/>
          <w:jc w:val="center"/>
        </w:trPr>
        <w:tc>
          <w:tcPr>
            <w:tcW w:w="2200" w:type="dxa"/>
            <w:shd w:val="clear" w:color="auto" w:fill="D9E2F3"/>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b/>
                <w:color w:val="000000"/>
                <w:sz w:val="17"/>
                <w:rtl/>
              </w:rPr>
              <w:t>سؤال الدراسة</w:t>
            </w:r>
          </w:p>
        </w:tc>
        <w:tc>
          <w:tcPr>
            <w:tcW w:w="1200" w:type="dxa"/>
            <w:shd w:val="clear" w:color="auto" w:fill="D9E2F3"/>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b/>
                <w:color w:val="000000"/>
                <w:sz w:val="17"/>
                <w:rtl/>
              </w:rPr>
              <w:t>الفرضية</w:t>
            </w:r>
          </w:p>
        </w:tc>
        <w:tc>
          <w:tcPr>
            <w:tcW w:w="3300" w:type="dxa"/>
            <w:shd w:val="clear" w:color="auto" w:fill="D9E2F3"/>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b/>
                <w:color w:val="000000"/>
                <w:sz w:val="17"/>
                <w:rtl/>
              </w:rPr>
              <w:t>المسار المفاهيمي</w:t>
            </w:r>
          </w:p>
        </w:tc>
        <w:tc>
          <w:tcPr>
            <w:tcW w:w="1700" w:type="dxa"/>
            <w:shd w:val="clear" w:color="auto" w:fill="D9E2F3"/>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b/>
                <w:color w:val="000000"/>
                <w:sz w:val="17"/>
                <w:rtl/>
              </w:rPr>
              <w:t>نوع العلاقة</w:t>
            </w:r>
          </w:p>
        </w:tc>
        <w:tc>
          <w:tcPr>
            <w:tcW w:w="1600" w:type="dxa"/>
            <w:shd w:val="clear" w:color="auto" w:fill="D9E2F3"/>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b/>
                <w:color w:val="000000"/>
                <w:sz w:val="17"/>
                <w:rtl/>
              </w:rPr>
              <w:t>المتغيرات المعنية</w:t>
            </w:r>
          </w:p>
        </w:tc>
        <w:tc>
          <w:tcPr>
            <w:tcW w:w="2200" w:type="dxa"/>
            <w:shd w:val="clear" w:color="auto" w:fill="D9E2F3"/>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b/>
                <w:color w:val="000000"/>
                <w:sz w:val="17"/>
                <w:rtl/>
              </w:rPr>
              <w:t>الأسلوب الإحصائي</w:t>
            </w:r>
          </w:p>
        </w:tc>
        <w:tc>
          <w:tcPr>
            <w:tcW w:w="1804" w:type="dxa"/>
            <w:shd w:val="clear" w:color="auto" w:fill="D9E2F3"/>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b/>
                <w:color w:val="000000"/>
                <w:sz w:val="17"/>
                <w:rtl/>
              </w:rPr>
              <w:t>معيار اتخاذ القرار</w:t>
            </w:r>
          </w:p>
        </w:tc>
      </w:tr>
      <w:tr w:rsidR="008A3C62">
        <w:trPr>
          <w:jc w:val="center"/>
        </w:trPr>
        <w:tc>
          <w:tcPr>
            <w:tcW w:w="22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س1: ما مستوى متغيرات الدراسة؟</w:t>
            </w:r>
          </w:p>
        </w:tc>
        <w:tc>
          <w:tcPr>
            <w:tcW w:w="12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لا تقابلها فرضية استدلالية مستقلة.</w:t>
            </w:r>
          </w:p>
        </w:tc>
        <w:tc>
          <w:tcPr>
            <w:tcW w:w="33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وصف التحوّل الرقمي وقبول التقنية والإجهاد التقني والرضا.</w:t>
            </w:r>
          </w:p>
        </w:tc>
        <w:tc>
          <w:tcPr>
            <w:tcW w:w="17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وصفية</w:t>
            </w:r>
          </w:p>
        </w:tc>
        <w:tc>
          <w:tcPr>
            <w:tcW w:w="16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جميع المتغيرات</w:t>
            </w:r>
          </w:p>
        </w:tc>
        <w:tc>
          <w:tcPr>
            <w:tcW w:w="22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التكرارات والمتوسطات والانحرافات المعيارية عند الحاجة.</w:t>
            </w:r>
          </w:p>
        </w:tc>
        <w:tc>
          <w:tcPr>
            <w:tcW w:w="1804"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وصف المستوى دون قبول/رفض فرضية.</w:t>
            </w:r>
          </w:p>
        </w:tc>
      </w:tr>
      <w:tr w:rsidR="008A3C62">
        <w:trPr>
          <w:jc w:val="center"/>
        </w:trPr>
        <w:tc>
          <w:tcPr>
            <w:tcW w:w="22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س2: ما أثر أبعاد التحوّل الرقمي في الرضا؟</w:t>
            </w:r>
          </w:p>
        </w:tc>
        <w:tc>
          <w:tcPr>
            <w:tcW w:w="12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H1a</w:t>
            </w:r>
          </w:p>
        </w:tc>
        <w:tc>
          <w:tcPr>
            <w:tcW w:w="33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توفر وانتشار الأنظمة الرقمية ← الرضا الوظيفي.</w:t>
            </w:r>
          </w:p>
        </w:tc>
        <w:tc>
          <w:tcPr>
            <w:tcW w:w="17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مسار مباشر مفترض</w:t>
            </w:r>
          </w:p>
        </w:tc>
        <w:tc>
          <w:tcPr>
            <w:tcW w:w="16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DTD1، JS</w:t>
            </w:r>
          </w:p>
        </w:tc>
        <w:tc>
          <w:tcPr>
            <w:tcW w:w="22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معامل المسار وBootstrapping.</w:t>
            </w:r>
          </w:p>
        </w:tc>
        <w:tc>
          <w:tcPr>
            <w:tcW w:w="1804"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اتجاه المعامل ودلالته وفترة ثقته وفق α المعتمد.</w:t>
            </w:r>
          </w:p>
        </w:tc>
      </w:tr>
      <w:tr w:rsidR="008A3C62">
        <w:trPr>
          <w:jc w:val="center"/>
        </w:trPr>
        <w:tc>
          <w:tcPr>
            <w:tcW w:w="22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س2</w:t>
            </w:r>
          </w:p>
        </w:tc>
        <w:tc>
          <w:tcPr>
            <w:tcW w:w="12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H1b</w:t>
            </w:r>
          </w:p>
        </w:tc>
        <w:tc>
          <w:tcPr>
            <w:tcW w:w="33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كفاءة الأنظمة والعمليات الرقمية ← الرضا الوظيفي.</w:t>
            </w:r>
          </w:p>
        </w:tc>
        <w:tc>
          <w:tcPr>
            <w:tcW w:w="17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مسار مباشر مفترض</w:t>
            </w:r>
          </w:p>
        </w:tc>
        <w:tc>
          <w:tcPr>
            <w:tcW w:w="16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DTD2، JS</w:t>
            </w:r>
          </w:p>
        </w:tc>
        <w:tc>
          <w:tcPr>
            <w:tcW w:w="22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معامل المسار وBootstrapping.</w:t>
            </w:r>
          </w:p>
        </w:tc>
        <w:tc>
          <w:tcPr>
            <w:tcW w:w="1804"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اتجاه المعامل ودلالته وفترة ثقته.</w:t>
            </w:r>
          </w:p>
        </w:tc>
      </w:tr>
      <w:tr w:rsidR="008A3C62">
        <w:trPr>
          <w:jc w:val="center"/>
        </w:trPr>
        <w:tc>
          <w:tcPr>
            <w:tcW w:w="22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س2</w:t>
            </w:r>
          </w:p>
        </w:tc>
        <w:tc>
          <w:tcPr>
            <w:tcW w:w="12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H1c</w:t>
            </w:r>
          </w:p>
        </w:tc>
        <w:tc>
          <w:tcPr>
            <w:tcW w:w="33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جودة الدعم الفني والتدريب الرقمي ← الرضا الوظيفي.</w:t>
            </w:r>
          </w:p>
        </w:tc>
        <w:tc>
          <w:tcPr>
            <w:tcW w:w="17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مسار مباشر مفترض</w:t>
            </w:r>
          </w:p>
        </w:tc>
        <w:tc>
          <w:tcPr>
            <w:tcW w:w="16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DTD3، JS</w:t>
            </w:r>
          </w:p>
        </w:tc>
        <w:tc>
          <w:tcPr>
            <w:tcW w:w="22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معامل المسار وBootstrapping.</w:t>
            </w:r>
          </w:p>
        </w:tc>
        <w:tc>
          <w:tcPr>
            <w:tcW w:w="1804"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اتجاه المعامل ودلالته وفترة ثقته.</w:t>
            </w:r>
          </w:p>
        </w:tc>
      </w:tr>
      <w:tr w:rsidR="008A3C62">
        <w:trPr>
          <w:jc w:val="center"/>
        </w:trPr>
        <w:tc>
          <w:tcPr>
            <w:tcW w:w="22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س2</w:t>
            </w:r>
          </w:p>
        </w:tc>
        <w:tc>
          <w:tcPr>
            <w:tcW w:w="12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H1d</w:t>
            </w:r>
          </w:p>
        </w:tc>
        <w:tc>
          <w:tcPr>
            <w:tcW w:w="33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تكامل العمليات الرقمية وتبسيط الإجراءات ← الرضا الوظيفي.</w:t>
            </w:r>
          </w:p>
        </w:tc>
        <w:tc>
          <w:tcPr>
            <w:tcW w:w="17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مسار مباشر مفترض</w:t>
            </w:r>
          </w:p>
        </w:tc>
        <w:tc>
          <w:tcPr>
            <w:tcW w:w="16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DTD4، JS</w:t>
            </w:r>
          </w:p>
        </w:tc>
        <w:tc>
          <w:tcPr>
            <w:tcW w:w="22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معامل المسار وBootstrapping.</w:t>
            </w:r>
          </w:p>
        </w:tc>
        <w:tc>
          <w:tcPr>
            <w:tcW w:w="1804"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اتجاه المعامل ودلالته وفترة ثقته.</w:t>
            </w:r>
          </w:p>
        </w:tc>
      </w:tr>
      <w:tr w:rsidR="008A3C62">
        <w:trPr>
          <w:jc w:val="center"/>
        </w:trPr>
        <w:tc>
          <w:tcPr>
            <w:tcW w:w="22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س3: إلى أي مدى يسهم الإجهاد وقبول التقنية في تفسير العلاقة؟</w:t>
            </w:r>
          </w:p>
        </w:tc>
        <w:tc>
          <w:tcPr>
            <w:tcW w:w="12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H2a</w:t>
            </w:r>
          </w:p>
        </w:tc>
        <w:tc>
          <w:tcPr>
            <w:tcW w:w="33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التحوّل الرقمي المؤسسي ← الإجهاد التقني.</w:t>
            </w:r>
          </w:p>
        </w:tc>
        <w:tc>
          <w:tcPr>
            <w:tcW w:w="17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مسار مباشر مفترض</w:t>
            </w:r>
          </w:p>
        </w:tc>
        <w:tc>
          <w:tcPr>
            <w:tcW w:w="16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DTD، Technostress</w:t>
            </w:r>
          </w:p>
        </w:tc>
        <w:tc>
          <w:tcPr>
            <w:tcW w:w="22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معامل المسار وBootstrapping.</w:t>
            </w:r>
          </w:p>
        </w:tc>
        <w:tc>
          <w:tcPr>
            <w:tcW w:w="1804"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اتجاه سلبي مفترض ودلالة وفترة ثقة.</w:t>
            </w:r>
          </w:p>
        </w:tc>
      </w:tr>
      <w:tr w:rsidR="008A3C62">
        <w:trPr>
          <w:jc w:val="center"/>
        </w:trPr>
        <w:tc>
          <w:tcPr>
            <w:tcW w:w="22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س3</w:t>
            </w:r>
          </w:p>
        </w:tc>
        <w:tc>
          <w:tcPr>
            <w:tcW w:w="12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H2b</w:t>
            </w:r>
          </w:p>
        </w:tc>
        <w:tc>
          <w:tcPr>
            <w:tcW w:w="33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الإجهاد التقني ← الرضا الوظيفي.</w:t>
            </w:r>
          </w:p>
        </w:tc>
        <w:tc>
          <w:tcPr>
            <w:tcW w:w="17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مسار مباشر مفترض</w:t>
            </w:r>
          </w:p>
        </w:tc>
        <w:tc>
          <w:tcPr>
            <w:tcW w:w="16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Technostress، JS</w:t>
            </w:r>
          </w:p>
        </w:tc>
        <w:tc>
          <w:tcPr>
            <w:tcW w:w="22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معامل المسار وBootstrapping.</w:t>
            </w:r>
          </w:p>
        </w:tc>
        <w:tc>
          <w:tcPr>
            <w:tcW w:w="1804"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اتجاه سلبي مفترض ودلالة وفترة ثقة.</w:t>
            </w:r>
          </w:p>
        </w:tc>
      </w:tr>
      <w:tr w:rsidR="008A3C62">
        <w:trPr>
          <w:jc w:val="center"/>
        </w:trPr>
        <w:tc>
          <w:tcPr>
            <w:tcW w:w="22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س3</w:t>
            </w:r>
          </w:p>
        </w:tc>
        <w:tc>
          <w:tcPr>
            <w:tcW w:w="12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H2c</w:t>
            </w:r>
          </w:p>
        </w:tc>
        <w:tc>
          <w:tcPr>
            <w:tcW w:w="33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التحوّل الرقمي ← الإجهاد التقني ← الرضا.</w:t>
            </w:r>
          </w:p>
        </w:tc>
        <w:tc>
          <w:tcPr>
            <w:tcW w:w="17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أثر غير مباشر/وساطة</w:t>
            </w:r>
          </w:p>
        </w:tc>
        <w:tc>
          <w:tcPr>
            <w:tcW w:w="16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 xml:space="preserve">DTD، Technostress، </w:t>
            </w:r>
            <w:r>
              <w:rPr>
                <w:rFonts w:eastAsia="Traditional Arabic"/>
                <w:color w:val="000000"/>
                <w:sz w:val="17"/>
                <w:rtl/>
              </w:rPr>
              <w:lastRenderedPageBreak/>
              <w:t>JS</w:t>
            </w:r>
          </w:p>
        </w:tc>
        <w:tc>
          <w:tcPr>
            <w:tcW w:w="22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lastRenderedPageBreak/>
              <w:t>الأثر غير المباشر وBootstrapping.</w:t>
            </w:r>
          </w:p>
        </w:tc>
        <w:tc>
          <w:tcPr>
            <w:tcW w:w="1804"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فترة الثقة للأثر غير المباشر لا تشمل الصفر.</w:t>
            </w:r>
          </w:p>
        </w:tc>
      </w:tr>
      <w:tr w:rsidR="008A3C62">
        <w:trPr>
          <w:jc w:val="center"/>
        </w:trPr>
        <w:tc>
          <w:tcPr>
            <w:tcW w:w="22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س3</w:t>
            </w:r>
          </w:p>
        </w:tc>
        <w:tc>
          <w:tcPr>
            <w:tcW w:w="12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H3a</w:t>
            </w:r>
          </w:p>
        </w:tc>
        <w:tc>
          <w:tcPr>
            <w:tcW w:w="33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التحوّل الرقمي ← المنفعة المتصورة.</w:t>
            </w:r>
          </w:p>
        </w:tc>
        <w:tc>
          <w:tcPr>
            <w:tcW w:w="17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مسار مباشر مفترض</w:t>
            </w:r>
          </w:p>
        </w:tc>
        <w:tc>
          <w:tcPr>
            <w:tcW w:w="16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DTD، PU</w:t>
            </w:r>
          </w:p>
        </w:tc>
        <w:tc>
          <w:tcPr>
            <w:tcW w:w="22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معامل المسار وBootstrapping.</w:t>
            </w:r>
          </w:p>
        </w:tc>
        <w:tc>
          <w:tcPr>
            <w:tcW w:w="1804"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اتجاه إيجابي مفترض ودلالة وفترة ثقة.</w:t>
            </w:r>
          </w:p>
        </w:tc>
      </w:tr>
      <w:tr w:rsidR="008A3C62">
        <w:trPr>
          <w:jc w:val="center"/>
        </w:trPr>
        <w:tc>
          <w:tcPr>
            <w:tcW w:w="22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س3</w:t>
            </w:r>
          </w:p>
        </w:tc>
        <w:tc>
          <w:tcPr>
            <w:tcW w:w="12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H3b</w:t>
            </w:r>
          </w:p>
        </w:tc>
        <w:tc>
          <w:tcPr>
            <w:tcW w:w="33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التحوّل الرقمي ← سهولة الاستخدام المتصورة.</w:t>
            </w:r>
          </w:p>
        </w:tc>
        <w:tc>
          <w:tcPr>
            <w:tcW w:w="17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مسار مباشر مفترض</w:t>
            </w:r>
          </w:p>
        </w:tc>
        <w:tc>
          <w:tcPr>
            <w:tcW w:w="16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DTD، PEOU</w:t>
            </w:r>
          </w:p>
        </w:tc>
        <w:tc>
          <w:tcPr>
            <w:tcW w:w="22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معامل المسار وBootstrapping.</w:t>
            </w:r>
          </w:p>
        </w:tc>
        <w:tc>
          <w:tcPr>
            <w:tcW w:w="1804"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اتجاه إيجابي مفترض ودلالة وفترة ثقة.</w:t>
            </w:r>
          </w:p>
        </w:tc>
      </w:tr>
      <w:tr w:rsidR="008A3C62">
        <w:trPr>
          <w:jc w:val="center"/>
        </w:trPr>
        <w:tc>
          <w:tcPr>
            <w:tcW w:w="22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س3</w:t>
            </w:r>
          </w:p>
        </w:tc>
        <w:tc>
          <w:tcPr>
            <w:tcW w:w="12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H3c</w:t>
            </w:r>
          </w:p>
        </w:tc>
        <w:tc>
          <w:tcPr>
            <w:tcW w:w="33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المنفعة المتصورة ← الرضا الوظيفي.</w:t>
            </w:r>
          </w:p>
        </w:tc>
        <w:tc>
          <w:tcPr>
            <w:tcW w:w="17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مسار مباشر مفترض</w:t>
            </w:r>
          </w:p>
        </w:tc>
        <w:tc>
          <w:tcPr>
            <w:tcW w:w="16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PU، JS</w:t>
            </w:r>
          </w:p>
        </w:tc>
        <w:tc>
          <w:tcPr>
            <w:tcW w:w="22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معامل المسار وBootstrapping.</w:t>
            </w:r>
          </w:p>
        </w:tc>
        <w:tc>
          <w:tcPr>
            <w:tcW w:w="1804"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اتجاه إيجابي مفترض ودلالة وفترة ثقة.</w:t>
            </w:r>
          </w:p>
        </w:tc>
      </w:tr>
      <w:tr w:rsidR="008A3C62">
        <w:trPr>
          <w:jc w:val="center"/>
        </w:trPr>
        <w:tc>
          <w:tcPr>
            <w:tcW w:w="22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س3</w:t>
            </w:r>
          </w:p>
        </w:tc>
        <w:tc>
          <w:tcPr>
            <w:tcW w:w="12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H3d</w:t>
            </w:r>
          </w:p>
        </w:tc>
        <w:tc>
          <w:tcPr>
            <w:tcW w:w="33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سهولة الاستخدام المتصورة ← الرضا الوظيفي.</w:t>
            </w:r>
          </w:p>
        </w:tc>
        <w:tc>
          <w:tcPr>
            <w:tcW w:w="17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مسار مباشر مفترض</w:t>
            </w:r>
          </w:p>
        </w:tc>
        <w:tc>
          <w:tcPr>
            <w:tcW w:w="16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PEOU، JS</w:t>
            </w:r>
          </w:p>
        </w:tc>
        <w:tc>
          <w:tcPr>
            <w:tcW w:w="22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معامل المسار وBootstrapping.</w:t>
            </w:r>
          </w:p>
        </w:tc>
        <w:tc>
          <w:tcPr>
            <w:tcW w:w="1804"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اتجاه إيجابي مفترض ودلالة وفترة ثقة.</w:t>
            </w:r>
          </w:p>
        </w:tc>
      </w:tr>
      <w:tr w:rsidR="008A3C62">
        <w:trPr>
          <w:jc w:val="center"/>
        </w:trPr>
        <w:tc>
          <w:tcPr>
            <w:tcW w:w="22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س3</w:t>
            </w:r>
          </w:p>
        </w:tc>
        <w:tc>
          <w:tcPr>
            <w:tcW w:w="12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H3e</w:t>
            </w:r>
          </w:p>
        </w:tc>
        <w:tc>
          <w:tcPr>
            <w:tcW w:w="33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التحوّل الرقمي ← المنفعة المتصورة ← الرضا.</w:t>
            </w:r>
          </w:p>
        </w:tc>
        <w:tc>
          <w:tcPr>
            <w:tcW w:w="17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أثر غير مباشر/وساطة</w:t>
            </w:r>
          </w:p>
        </w:tc>
        <w:tc>
          <w:tcPr>
            <w:tcW w:w="16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DTD، PU، JS</w:t>
            </w:r>
          </w:p>
        </w:tc>
        <w:tc>
          <w:tcPr>
            <w:tcW w:w="22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الأثر غير المباشر وBootstrapping.</w:t>
            </w:r>
          </w:p>
        </w:tc>
        <w:tc>
          <w:tcPr>
            <w:tcW w:w="1804"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فترة الثقة للأثر غير المباشر لا تشمل الصفر.</w:t>
            </w:r>
          </w:p>
        </w:tc>
      </w:tr>
      <w:tr w:rsidR="008A3C62">
        <w:trPr>
          <w:jc w:val="center"/>
        </w:trPr>
        <w:tc>
          <w:tcPr>
            <w:tcW w:w="22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س3</w:t>
            </w:r>
          </w:p>
        </w:tc>
        <w:tc>
          <w:tcPr>
            <w:tcW w:w="12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H3f</w:t>
            </w:r>
          </w:p>
        </w:tc>
        <w:tc>
          <w:tcPr>
            <w:tcW w:w="33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التحوّل الرقمي ← سهولة الاستخدام ← الرضا.</w:t>
            </w:r>
          </w:p>
        </w:tc>
        <w:tc>
          <w:tcPr>
            <w:tcW w:w="17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أثر غير مباشر/وساطة</w:t>
            </w:r>
          </w:p>
        </w:tc>
        <w:tc>
          <w:tcPr>
            <w:tcW w:w="16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DTD، PEOU، JS</w:t>
            </w:r>
          </w:p>
        </w:tc>
        <w:tc>
          <w:tcPr>
            <w:tcW w:w="22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الأثر غير المباشر وBootstrapping.</w:t>
            </w:r>
          </w:p>
        </w:tc>
        <w:tc>
          <w:tcPr>
            <w:tcW w:w="1804"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فترة الثقة للأثر غير المباشر لا تشمل الصفر.</w:t>
            </w:r>
          </w:p>
        </w:tc>
      </w:tr>
      <w:tr w:rsidR="008A3C62">
        <w:trPr>
          <w:jc w:val="center"/>
        </w:trPr>
        <w:tc>
          <w:tcPr>
            <w:tcW w:w="22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س4: هل تختلف العلاقة باختلاف الخصائص؟</w:t>
            </w:r>
          </w:p>
        </w:tc>
        <w:tc>
          <w:tcPr>
            <w:tcW w:w="12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H4</w:t>
            </w:r>
          </w:p>
        </w:tc>
        <w:tc>
          <w:tcPr>
            <w:tcW w:w="33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الخصائص الديموغرافية/الوظيفية × مسار التحوّل الرقمي ← الرضا.</w:t>
            </w:r>
          </w:p>
        </w:tc>
        <w:tc>
          <w:tcPr>
            <w:tcW w:w="17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اعتدال أو فروق بين مجموعات</w:t>
            </w:r>
          </w:p>
        </w:tc>
        <w:tc>
          <w:tcPr>
            <w:tcW w:w="16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المتغيرات المحددة في H4</w:t>
            </w:r>
          </w:p>
        </w:tc>
        <w:tc>
          <w:tcPr>
            <w:tcW w:w="22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تفاعل Moderation أو MGA بعد فحص ثبات القياس.</w:t>
            </w:r>
          </w:p>
        </w:tc>
        <w:tc>
          <w:tcPr>
            <w:tcW w:w="1804"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دلالة التفاعل/فروق المسارات مع كفاية المجموعات.</w:t>
            </w:r>
          </w:p>
        </w:tc>
      </w:tr>
    </w:tbl>
    <w:p w:rsidR="008A3C62" w:rsidRDefault="008A3C62" w:rsidP="00327AE4">
      <w:pPr>
        <w:bidi/>
        <w:sectPr w:rsidR="008A3C62">
          <w:pgSz w:w="16838" w:h="11906" w:orient="landscape"/>
          <w:pgMar w:top="1417" w:right="1417" w:bottom="1417" w:left="1417" w:header="709" w:footer="709" w:gutter="0"/>
          <w:cols w:space="720"/>
          <w:titlePg/>
          <w:docGrid w:linePitch="360"/>
        </w:sectPr>
      </w:pPr>
    </w:p>
    <w:p w:rsidR="008A3C62" w:rsidRDefault="00327AE4" w:rsidP="00327AE4">
      <w:pPr>
        <w:bidi/>
      </w:pPr>
      <w:r>
        <w:rPr>
          <w:rFonts w:eastAsia="Traditional Arabic"/>
          <w:color w:val="000000"/>
          <w:rtl/>
        </w:rPr>
        <w:lastRenderedPageBreak/>
        <w:t>يتضح من الجدول أن كل مسار تحليلي يستند إلى سؤال وفرضية محددة، وأن السؤال الوصفي يُعالج بالإحصاء الوصفي دون صياغة فرضية استدلالية. كما يثبت الجدول أن H2 مخصصة للإجهاد التقني وH3 لقبول التقنية، اتساقًا مع الفصل الأول.</w:t>
      </w:r>
    </w:p>
    <w:p w:rsidR="008A3C62" w:rsidRDefault="00327AE4" w:rsidP="00327AE4">
      <w:pPr>
        <w:bidi/>
      </w:pPr>
      <w:r>
        <w:rPr>
          <w:rFonts w:eastAsia="Traditional Arabic"/>
          <w:color w:val="000000"/>
          <w:rtl/>
        </w:rPr>
        <w:t>ويعرض شكل (3-1) النموذج المفاهيمي النهائي واتجاهات المسارات المفترضة.</w:t>
      </w:r>
    </w:p>
    <w:p w:rsidR="008A3C62" w:rsidRDefault="00327AE4" w:rsidP="00327AE4">
      <w:pPr>
        <w:bidi/>
        <w:spacing w:before="80" w:after="80" w:line="240" w:lineRule="auto"/>
      </w:pPr>
      <w:r>
        <w:rPr>
          <w:noProof/>
        </w:rPr>
        <w:drawing>
          <wp:inline distT="0" distB="0" distL="0" distR="0">
            <wp:extent cx="5577840" cy="675212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ceptual_model.png"/>
                    <pic:cNvPicPr/>
                  </pic:nvPicPr>
                  <pic:blipFill>
                    <a:blip r:embed="rId11"/>
                    <a:stretch>
                      <a:fillRect/>
                    </a:stretch>
                  </pic:blipFill>
                  <pic:spPr>
                    <a:xfrm>
                      <a:off x="0" y="0"/>
                      <a:ext cx="5577840" cy="6752122"/>
                    </a:xfrm>
                    <a:prstGeom prst="rect">
                      <a:avLst/>
                    </a:prstGeom>
                  </pic:spPr>
                </pic:pic>
              </a:graphicData>
            </a:graphic>
          </wp:inline>
        </w:drawing>
      </w:r>
    </w:p>
    <w:p w:rsidR="008A3C62" w:rsidRDefault="00327AE4" w:rsidP="00327AE4">
      <w:pPr>
        <w:pStyle w:val="Caption"/>
        <w:keepLines/>
        <w:bidi/>
        <w:spacing w:before="160" w:after="80" w:line="360" w:lineRule="auto"/>
        <w:rPr>
          <w:rFonts w:hint="eastAsia"/>
        </w:rPr>
      </w:pPr>
      <w:r>
        <w:rPr>
          <w:rFonts w:ascii="Times New Roman" w:eastAsia="Traditional Arabic" w:hAnsi="Times New Roman"/>
          <w:rtl/>
        </w:rPr>
        <w:t>شكل (3-1): النموذج المفاهيمي النهائي للدراسة</w:t>
      </w:r>
    </w:p>
    <w:p w:rsidR="008A3C62" w:rsidRDefault="00327AE4" w:rsidP="00327AE4">
      <w:pPr>
        <w:bidi/>
      </w:pPr>
      <w:r>
        <w:rPr>
          <w:rFonts w:eastAsia="Traditional Arabic"/>
          <w:color w:val="000000"/>
          <w:rtl/>
        </w:rPr>
        <w:lastRenderedPageBreak/>
        <w:t>يبين الشكل أن الأثر المباشر يُختبر على مستوى الأبعاد الأربعة للتحوّل الرقمي، في حين تُفحص المسارات غير المباشرة عبر الإجهاد التقني والمنفعة المتصورة وسهولة الاستخدام المتصورة. وتمثل الخصائص الديموغرافية والوظيفية معدلات محتملة لا تُفسر نتائجها إلا بعد استيفاء شروط حجم المجموعات وثبات القياس. وتظل جميع الأسهم علاقات بنائية مفترضة ضمن تصميم مقطعي.</w:t>
      </w:r>
    </w:p>
    <w:p w:rsidR="008A3C62" w:rsidRDefault="00327AE4" w:rsidP="00327AE4">
      <w:pPr>
        <w:pStyle w:val="Heading1"/>
        <w:bidi/>
        <w:spacing w:before="280" w:after="140"/>
      </w:pPr>
      <w:r>
        <w:rPr>
          <w:rFonts w:ascii="Times New Roman" w:eastAsia="Traditional Arabic" w:hAnsi="Times New Roman" w:cs="Traditional Arabic"/>
          <w:rtl/>
        </w:rPr>
        <w:t>3.2 مجتمع الدراسة وعينتها</w:t>
      </w:r>
    </w:p>
    <w:p w:rsidR="008A3C62" w:rsidRDefault="00327AE4" w:rsidP="00327AE4">
      <w:pPr>
        <w:pStyle w:val="Heading2"/>
        <w:bidi/>
        <w:spacing w:before="220" w:after="100"/>
      </w:pPr>
      <w:r>
        <w:rPr>
          <w:rFonts w:ascii="Times New Roman" w:eastAsia="Traditional Arabic" w:hAnsi="Times New Roman" w:cs="Traditional Arabic"/>
          <w:rtl/>
        </w:rPr>
        <w:t>3.2.1 المجتمع العام والمجتمع المستهدف</w:t>
      </w:r>
    </w:p>
    <w:p w:rsidR="008A3C62" w:rsidRDefault="00327AE4" w:rsidP="00327AE4">
      <w:pPr>
        <w:bidi/>
      </w:pPr>
      <w:r>
        <w:rPr>
          <w:rFonts w:eastAsia="Traditional Arabic"/>
          <w:color w:val="000000"/>
          <w:rtl/>
        </w:rPr>
        <w:t>يتكون المجتمع العام من جميع موظفي وزارة الموارد البشرية والتنمية الاجتماعية. أما المجتمع المستهدف فيتكون من الموظفين المستخدمين الرئيسين للأنظمة الرقمية الداخلية ممن تتوافر لديهم خبرة مباشرة ومنتظمة تمكّنهم من تقييم متغيرات الدراسة. ويُحدَّث حجم المجتمع العام والمجتمع المستهدف استنادًا إلى البيان الرسمي الصادر عن الجهة المختصة في الوزارة قبل التطبيق الميداني [بيان رسمي مطلوب].</w:t>
      </w:r>
    </w:p>
    <w:p w:rsidR="008A3C62" w:rsidRDefault="00327AE4" w:rsidP="00327AE4">
      <w:pPr>
        <w:bidi/>
      </w:pPr>
      <w:r>
        <w:rPr>
          <w:rFonts w:eastAsia="Traditional Arabic"/>
          <w:color w:val="000000"/>
          <w:rtl/>
        </w:rPr>
        <w:t>ويُعرّف المستخدم الرئيس إجرائيًا بأنه الموظف الذي يعتمد على نظام رقمي داخلي واحد أو أكثر في إنجاز جزء جوهري من مهامه، ويستخدمه بصورة منتظمة، وتكون لديه تجربة فعلية مع خصائص النظام أو إجراءاته أو خدمات دعمه وتدريبه، بما يسمح له بإجابة واعية عن فقرات الأداة.</w:t>
      </w:r>
    </w:p>
    <w:p w:rsidR="008A3C62" w:rsidRDefault="00327AE4" w:rsidP="00327AE4">
      <w:pPr>
        <w:pStyle w:val="Heading2"/>
        <w:bidi/>
        <w:spacing w:before="220" w:after="100"/>
      </w:pPr>
      <w:r>
        <w:rPr>
          <w:rFonts w:ascii="Times New Roman" w:eastAsia="Traditional Arabic" w:hAnsi="Times New Roman" w:cs="Traditional Arabic"/>
          <w:rtl/>
        </w:rPr>
        <w:t>3.2.2 معايير الإدراج والاستبعاد</w:t>
      </w:r>
    </w:p>
    <w:p w:rsidR="008A3C62" w:rsidRDefault="00327AE4" w:rsidP="00327AE4">
      <w:pPr>
        <w:bidi/>
      </w:pPr>
      <w:r>
        <w:rPr>
          <w:rFonts w:eastAsia="Traditional Arabic"/>
          <w:color w:val="000000"/>
          <w:rtl/>
        </w:rPr>
        <w:t>تُطبق معايير الإدراج الآتية:</w:t>
      </w:r>
    </w:p>
    <w:p w:rsidR="008A3C62" w:rsidRDefault="00327AE4" w:rsidP="00327AE4">
      <w:pPr>
        <w:pStyle w:val="ListBullet"/>
        <w:bidi/>
        <w:spacing w:after="60"/>
        <w:ind w:left="0" w:right="397"/>
      </w:pPr>
      <w:r>
        <w:rPr>
          <w:rFonts w:eastAsia="Traditional Arabic"/>
          <w:color w:val="000000"/>
          <w:rtl/>
        </w:rPr>
        <w:t>أن يكون المشارك موظفًا في وزارة الموارد البشرية والتنمية الاجتماعية وقت جمع البيانات.</w:t>
      </w:r>
    </w:p>
    <w:p w:rsidR="008A3C62" w:rsidRDefault="00327AE4" w:rsidP="00327AE4">
      <w:pPr>
        <w:pStyle w:val="ListBullet"/>
        <w:bidi/>
        <w:spacing w:after="60"/>
        <w:ind w:left="0" w:right="397"/>
      </w:pPr>
      <w:r>
        <w:rPr>
          <w:rFonts w:eastAsia="Traditional Arabic"/>
          <w:color w:val="000000"/>
          <w:rtl/>
        </w:rPr>
        <w:t>أن يستخدم الأنظمة الرقمية الداخلية بصورة منتظمة في أداء مهامه الوظيفية.</w:t>
      </w:r>
    </w:p>
    <w:p w:rsidR="008A3C62" w:rsidRDefault="00327AE4" w:rsidP="00327AE4">
      <w:pPr>
        <w:pStyle w:val="ListBullet"/>
        <w:bidi/>
        <w:spacing w:after="60"/>
        <w:ind w:left="0" w:right="397"/>
      </w:pPr>
      <w:r>
        <w:rPr>
          <w:rFonts w:eastAsia="Traditional Arabic"/>
          <w:color w:val="000000"/>
          <w:rtl/>
        </w:rPr>
        <w:t>أن تكون لديه خبرة فعلية كافية تسمح بتقييم الأنظمة وتجربة العمل الرقمية.</w:t>
      </w:r>
    </w:p>
    <w:p w:rsidR="008A3C62" w:rsidRDefault="00327AE4" w:rsidP="00327AE4">
      <w:pPr>
        <w:pStyle w:val="ListBullet"/>
        <w:bidi/>
        <w:spacing w:after="60"/>
        <w:ind w:left="0" w:right="397"/>
      </w:pPr>
      <w:r>
        <w:rPr>
          <w:rFonts w:eastAsia="Traditional Arabic"/>
          <w:color w:val="000000"/>
          <w:rtl/>
        </w:rPr>
        <w:t>أن يوافق طوعًا على المشاركة بعد قراءة نص الموافقة المستنيرة.</w:t>
      </w:r>
    </w:p>
    <w:p w:rsidR="008A3C62" w:rsidRDefault="00327AE4" w:rsidP="00327AE4">
      <w:pPr>
        <w:pStyle w:val="ListBullet"/>
        <w:bidi/>
        <w:spacing w:after="60"/>
        <w:ind w:left="0" w:right="397"/>
      </w:pPr>
      <w:r>
        <w:rPr>
          <w:rFonts w:eastAsia="Traditional Arabic"/>
          <w:color w:val="000000"/>
          <w:rtl/>
        </w:rPr>
        <w:t>أن يقدم استجابة مكتملة وصالحة للتحليل وفق معايير التنظيف المعتمدة مسبقًا.</w:t>
      </w:r>
    </w:p>
    <w:p w:rsidR="008A3C62" w:rsidRDefault="00327AE4" w:rsidP="00327AE4">
      <w:pPr>
        <w:bidi/>
      </w:pPr>
      <w:r>
        <w:rPr>
          <w:rFonts w:eastAsia="Traditional Arabic"/>
          <w:color w:val="000000"/>
          <w:rtl/>
        </w:rPr>
        <w:t>وتُستبعد الاستجابات في الحالات الآتية:</w:t>
      </w:r>
    </w:p>
    <w:p w:rsidR="008A3C62" w:rsidRDefault="00327AE4" w:rsidP="00327AE4">
      <w:pPr>
        <w:pStyle w:val="ListBullet"/>
        <w:bidi/>
        <w:spacing w:after="60"/>
        <w:ind w:left="0" w:right="397"/>
      </w:pPr>
      <w:r>
        <w:rPr>
          <w:rFonts w:eastAsia="Traditional Arabic"/>
          <w:color w:val="000000"/>
          <w:rtl/>
        </w:rPr>
        <w:t>عدم استخدام الأنظمة الرقمية الداخلية أو عدم استيفاء تعريف المستخدم الرئيس.</w:t>
      </w:r>
    </w:p>
    <w:p w:rsidR="008A3C62" w:rsidRDefault="00327AE4" w:rsidP="00327AE4">
      <w:pPr>
        <w:pStyle w:val="ListBullet"/>
        <w:bidi/>
        <w:spacing w:after="60"/>
        <w:ind w:left="0" w:right="397"/>
      </w:pPr>
      <w:r>
        <w:rPr>
          <w:rFonts w:eastAsia="Traditional Arabic"/>
          <w:color w:val="000000"/>
          <w:rtl/>
        </w:rPr>
        <w:t>عدم الموافقة على المشاركة أو عدم استكمال الاستبانة وفق معيار الاستبعاد المعتمد.</w:t>
      </w:r>
    </w:p>
    <w:p w:rsidR="008A3C62" w:rsidRDefault="00327AE4" w:rsidP="00327AE4">
      <w:pPr>
        <w:pStyle w:val="ListBullet"/>
        <w:bidi/>
        <w:spacing w:after="60"/>
        <w:ind w:left="0" w:right="397"/>
      </w:pPr>
      <w:r>
        <w:rPr>
          <w:rFonts w:eastAsia="Traditional Arabic"/>
          <w:color w:val="000000"/>
          <w:rtl/>
        </w:rPr>
        <w:t>تكرار الاستجابة وفق آلية الكشف المتاحة دون جمع معرفات شخصية مباشرة.</w:t>
      </w:r>
    </w:p>
    <w:p w:rsidR="008A3C62" w:rsidRDefault="00327AE4" w:rsidP="00327AE4">
      <w:pPr>
        <w:pStyle w:val="ListBullet"/>
        <w:bidi/>
        <w:spacing w:after="60"/>
        <w:ind w:left="0" w:right="397"/>
      </w:pPr>
      <w:r>
        <w:rPr>
          <w:rFonts w:eastAsia="Traditional Arabic"/>
          <w:color w:val="000000"/>
          <w:rtl/>
        </w:rPr>
        <w:t>وجود مؤشرات متضافرة على الاستجابة غير الجادة، مثل زمن غير منطقي ونمط ثابت أو تناقض شديد.</w:t>
      </w:r>
    </w:p>
    <w:p w:rsidR="008A3C62" w:rsidRDefault="00327AE4" w:rsidP="00327AE4">
      <w:pPr>
        <w:pStyle w:val="ListBullet"/>
        <w:bidi/>
        <w:spacing w:after="60"/>
        <w:ind w:left="0" w:right="397"/>
      </w:pPr>
      <w:r>
        <w:rPr>
          <w:rFonts w:eastAsia="Traditional Arabic"/>
          <w:color w:val="000000"/>
          <w:rtl/>
        </w:rPr>
        <w:t>عدم استيفاء شروط العينة أو ثبوت أن المشارك لا ينتمي إلى المجتمع المستهدف.</w:t>
      </w:r>
    </w:p>
    <w:p w:rsidR="008A3C62" w:rsidRDefault="00327AE4" w:rsidP="00327AE4">
      <w:pPr>
        <w:pStyle w:val="Heading2"/>
        <w:bidi/>
        <w:spacing w:before="220" w:after="100"/>
      </w:pPr>
      <w:r>
        <w:rPr>
          <w:rFonts w:ascii="Times New Roman" w:eastAsia="Traditional Arabic" w:hAnsi="Times New Roman" w:cs="Traditional Arabic"/>
          <w:rtl/>
        </w:rPr>
        <w:lastRenderedPageBreak/>
        <w:t>3.2.3 إطار المعاينة</w:t>
      </w:r>
    </w:p>
    <w:p w:rsidR="008A3C62" w:rsidRDefault="00327AE4" w:rsidP="00327AE4">
      <w:pPr>
        <w:bidi/>
      </w:pPr>
      <w:r>
        <w:rPr>
          <w:rFonts w:eastAsia="Traditional Arabic"/>
          <w:color w:val="000000"/>
          <w:rtl/>
        </w:rPr>
        <w:t>يتمثل إطار المعاينة في القائمة الرسمية للمستخدمين الرئيسين للأنظمة الرقمية الداخلية، مصنفة وفق الطبقات الوظيفية أو القطاعات أو الإدارات التي ستُعتمد في تصميم العينة. ويُحدَّث حجم المجتمع وإطار المعاينة استنادًا إلى البيان الرسمي الصادر عن الجهة المختصة في الوزارة قبل التطبيق الميداني [بيان رسمي مطلوب]. ولا تُعامل أي تقديرات سابقة للمجتمع أو الطبقات بوصفها أعدادًا نهائية.</w:t>
      </w:r>
    </w:p>
    <w:p w:rsidR="008A3C62" w:rsidRDefault="00327AE4" w:rsidP="00327AE4">
      <w:pPr>
        <w:pStyle w:val="Heading2"/>
        <w:bidi/>
        <w:spacing w:before="220" w:after="100"/>
      </w:pPr>
      <w:r>
        <w:rPr>
          <w:rFonts w:ascii="Times New Roman" w:eastAsia="Traditional Arabic" w:hAnsi="Times New Roman" w:cs="Traditional Arabic"/>
          <w:rtl/>
        </w:rPr>
        <w:t>3.2.4 أسلوب المعاينة</w:t>
      </w:r>
    </w:p>
    <w:p w:rsidR="008A3C62" w:rsidRDefault="00327AE4" w:rsidP="00327AE4">
      <w:pPr>
        <w:bidi/>
      </w:pPr>
      <w:r>
        <w:rPr>
          <w:rFonts w:eastAsia="Traditional Arabic"/>
          <w:color w:val="000000"/>
          <w:rtl/>
        </w:rPr>
        <w:t>تُعتمد العينة الطبقية العشوائية النسبية بوصفها الأسلوب الرئيس عند توافر إطار معاينة رسمي مكتمل؛ لما تتيحه من تمثيل الطبقات وفق أوزانها في المجتمع المستهدف وتقليل انحياز الاختيار. وتُنفذ المعاينة وفق الخطوات الآتية:</w:t>
      </w:r>
    </w:p>
    <w:p w:rsidR="008A3C62" w:rsidRDefault="00327AE4" w:rsidP="00327AE4">
      <w:pPr>
        <w:pStyle w:val="ListBullet"/>
        <w:bidi/>
        <w:spacing w:after="60"/>
        <w:ind w:left="0" w:right="397"/>
      </w:pPr>
      <w:r>
        <w:rPr>
          <w:rFonts w:eastAsia="Traditional Arabic"/>
          <w:color w:val="000000"/>
          <w:rtl/>
        </w:rPr>
        <w:t>تحديد الطبقات النهائية وفق إطار المعاينة الرسمي والغرض التحليلي.</w:t>
      </w:r>
    </w:p>
    <w:p w:rsidR="008A3C62" w:rsidRDefault="00327AE4" w:rsidP="00327AE4">
      <w:pPr>
        <w:pStyle w:val="ListBullet"/>
        <w:bidi/>
        <w:spacing w:after="60"/>
        <w:ind w:left="0" w:right="397"/>
      </w:pPr>
      <w:r>
        <w:rPr>
          <w:rFonts w:eastAsia="Traditional Arabic"/>
          <w:color w:val="000000"/>
          <w:rtl/>
        </w:rPr>
        <w:t>تحديد عدد الأفراد المؤهلين في كل طبقة بعد تطبيق معايير الإدراج.</w:t>
      </w:r>
    </w:p>
    <w:p w:rsidR="008A3C62" w:rsidRDefault="00327AE4" w:rsidP="00327AE4">
      <w:pPr>
        <w:pStyle w:val="ListBullet"/>
        <w:bidi/>
        <w:spacing w:after="60"/>
        <w:ind w:left="0" w:right="397"/>
      </w:pPr>
      <w:r>
        <w:rPr>
          <w:rFonts w:eastAsia="Traditional Arabic"/>
          <w:color w:val="000000"/>
          <w:rtl/>
        </w:rPr>
        <w:t>حساب نسبة كل طبقة من إجمالي المجتمع المستهدف.</w:t>
      </w:r>
    </w:p>
    <w:p w:rsidR="008A3C62" w:rsidRDefault="00327AE4" w:rsidP="00327AE4">
      <w:pPr>
        <w:pStyle w:val="ListBullet"/>
        <w:bidi/>
        <w:spacing w:after="60"/>
        <w:ind w:left="0" w:right="397"/>
      </w:pPr>
      <w:r>
        <w:rPr>
          <w:rFonts w:eastAsia="Traditional Arabic"/>
          <w:color w:val="000000"/>
          <w:rtl/>
        </w:rPr>
        <w:t>تحديد العدد المطلوب من كل طبقة باستخدام التوزيع النسبي.</w:t>
      </w:r>
    </w:p>
    <w:p w:rsidR="008A3C62" w:rsidRDefault="00327AE4" w:rsidP="00327AE4">
      <w:pPr>
        <w:pStyle w:val="ListBullet"/>
        <w:bidi/>
        <w:spacing w:after="60"/>
        <w:ind w:left="0" w:right="397"/>
      </w:pPr>
      <w:r>
        <w:rPr>
          <w:rFonts w:eastAsia="Traditional Arabic"/>
          <w:color w:val="000000"/>
          <w:rtl/>
        </w:rPr>
        <w:t>إنشاء قائمة مؤهلة ومحدثة داخل كل طبقة، مع تخصيص رقم مسلسل غير دال على الهوية.</w:t>
      </w:r>
    </w:p>
    <w:p w:rsidR="008A3C62" w:rsidRDefault="00327AE4" w:rsidP="00327AE4">
      <w:pPr>
        <w:pStyle w:val="ListBullet"/>
        <w:bidi/>
        <w:spacing w:after="60"/>
        <w:ind w:left="0" w:right="397"/>
      </w:pPr>
      <w:r>
        <w:rPr>
          <w:rFonts w:eastAsia="Traditional Arabic"/>
          <w:color w:val="000000"/>
          <w:rtl/>
        </w:rPr>
        <w:t>إجراء السحب العشوائي باستخدام مولّد أرقام عشوائية أو إجراء موثق قابل للمراجعة.</w:t>
      </w:r>
    </w:p>
    <w:p w:rsidR="008A3C62" w:rsidRDefault="00327AE4" w:rsidP="00327AE4">
      <w:pPr>
        <w:pStyle w:val="ListBullet"/>
        <w:bidi/>
        <w:spacing w:after="60"/>
        <w:ind w:left="0" w:right="397"/>
      </w:pPr>
      <w:r>
        <w:rPr>
          <w:rFonts w:eastAsia="Traditional Arabic"/>
          <w:color w:val="000000"/>
          <w:rtl/>
        </w:rPr>
        <w:t>توثيق تاريخ السحب وآليته والبذرة العشوائية عند استخدامها وقائمة البدلاء وقواعد الاستبدال.</w:t>
      </w:r>
    </w:p>
    <w:p w:rsidR="008A3C62" w:rsidRDefault="00327AE4" w:rsidP="00327AE4">
      <w:pPr>
        <w:bidi/>
        <w:spacing w:after="40"/>
      </w:pPr>
      <w:r>
        <w:rPr>
          <w:rFonts w:eastAsia="Traditional Arabic"/>
          <w:b/>
          <w:color w:val="000000"/>
          <w:rtl/>
        </w:rPr>
        <w:t>وتُحسب حصة كل طبقة وفق المعادلة الآتية:</w:t>
      </w:r>
    </w:p>
    <w:p w:rsidR="008A3C62" w:rsidRDefault="00327AE4" w:rsidP="00327AE4">
      <w:pPr>
        <w:bidi/>
        <w:spacing w:before="40" w:after="160"/>
      </w:pPr>
      <w:r>
        <w:rPr>
          <w:rFonts w:eastAsia="Traditional Arabic"/>
          <w:b/>
          <w:color w:val="000000"/>
          <w:sz w:val="26"/>
          <w:rtl/>
        </w:rPr>
        <w:t>حجم عينة الطبقة = (حجم الطبقة ÷ حجم المجتمع المستهدف) × حجم العينة الكلية</w:t>
      </w:r>
    </w:p>
    <w:p w:rsidR="008A3C62" w:rsidRDefault="00327AE4" w:rsidP="00327AE4">
      <w:pPr>
        <w:bidi/>
      </w:pPr>
      <w:r>
        <w:rPr>
          <w:rFonts w:eastAsia="Traditional Arabic"/>
          <w:color w:val="000000"/>
          <w:rtl/>
        </w:rPr>
        <w:t>إذا تعذر الحصول على إطار رسمي مكتمل، فلا تُوصف العينة بالعشوائية. وفي هذه الحالة يلزم اعتماد بديل منهجي صريح من المشرف، مثل عينة ملائمة طبقية، مع بيان أثر ذلك في احتمالات التحيز وحدود التعميم [تحقق مطلوب من الباحث].</w:t>
      </w:r>
    </w:p>
    <w:p w:rsidR="008A3C62" w:rsidRDefault="00327AE4" w:rsidP="00327AE4">
      <w:pPr>
        <w:pStyle w:val="Heading2"/>
        <w:bidi/>
        <w:spacing w:before="220" w:after="100"/>
      </w:pPr>
      <w:r>
        <w:rPr>
          <w:rFonts w:ascii="Times New Roman" w:eastAsia="Traditional Arabic" w:hAnsi="Times New Roman" w:cs="Traditional Arabic"/>
          <w:rtl/>
        </w:rPr>
        <w:t>3.2.5 حجم العينة والقوة الإحصائية</w:t>
      </w:r>
    </w:p>
    <w:p w:rsidR="008A3C62" w:rsidRDefault="00327AE4" w:rsidP="00327AE4">
      <w:pPr>
        <w:bidi/>
      </w:pPr>
      <w:r>
        <w:rPr>
          <w:rFonts w:eastAsia="Traditional Arabic"/>
          <w:color w:val="000000"/>
          <w:rtl/>
        </w:rPr>
        <w:t>تستهدف الدراسة الحصول على 300 استجابة صالحة للتحليل، اتساقًا مع النسخة الحالية. ويُراجع هذا الهدف بطريقتين متكاملتين. أولًا، يُستخدم مرجع Krejcie and Morgan لتحديد الحجم الإرشادي بعد تثبيت حجم المجتمع الرسمي، دون تطبيق قيمة عددية قبل ورود ذلك البيان (Krejcie &amp; Morgan, 1970). ثانيًا، تُتحقق كفاية العينة لنموذج PLS-SEM بواسطة تحليل قوة إحصائية قبلي يأخذ في الحسبان مستوى الدلالة، والقوة الإحصائية المستهدفة، وحجم الأثر المتوقع، وأكبر عدد من المسارات الداخلة إلى أي متغير تابع في المواصفة النهائية للنموذج (Cohen, 1992; Hair et al., 2022).</w:t>
      </w:r>
    </w:p>
    <w:p w:rsidR="008A3C62" w:rsidRDefault="00327AE4" w:rsidP="00327AE4">
      <w:pPr>
        <w:bidi/>
      </w:pPr>
      <w:r>
        <w:rPr>
          <w:rFonts w:eastAsia="Traditional Arabic"/>
          <w:color w:val="000000"/>
          <w:rtl/>
        </w:rPr>
        <w:lastRenderedPageBreak/>
        <w:t>سيُجرى تحليل القوة الإحصائية النهائي قبل التطبيق الميداني باستخدام G*Power، الإصدار [الإصدار المطلوب تحديده]، للتحقق من كفاية حجم العينة المقترح [نتيجة التحليل مطلوبة]. ويُوثق في سجل التحليل مستوى α، والقوة المستهدفة، وحجم الأثر، وعدد المتنبئات الفعلي (Faul et al., 2009). ولا يُعامل رقم 300 بديلًا عن هذا التحقق.</w:t>
      </w:r>
    </w:p>
    <w:p w:rsidR="008A3C62" w:rsidRDefault="00327AE4" w:rsidP="00327AE4">
      <w:pPr>
        <w:pStyle w:val="Heading2"/>
        <w:bidi/>
        <w:spacing w:before="220" w:after="100"/>
      </w:pPr>
      <w:r>
        <w:rPr>
          <w:rFonts w:ascii="Times New Roman" w:eastAsia="Traditional Arabic" w:hAnsi="Times New Roman" w:cs="Traditional Arabic"/>
          <w:rtl/>
        </w:rPr>
        <w:t>3.2.6 توزيع العينة على الطبقات</w:t>
      </w:r>
    </w:p>
    <w:p w:rsidR="008A3C62" w:rsidRDefault="00327AE4" w:rsidP="00327AE4">
      <w:pPr>
        <w:bidi/>
      </w:pPr>
      <w:r>
        <w:rPr>
          <w:rFonts w:eastAsia="Traditional Arabic"/>
          <w:color w:val="000000"/>
          <w:rtl/>
        </w:rPr>
        <w:t>يُستكمل جدول (3-2) بعد استلام إطار المعاينة الرسمي. ولا تُدرج فيه نسب أو أعداد تقديرية على أنها نهائية.</w:t>
      </w:r>
    </w:p>
    <w:p w:rsidR="008A3C62" w:rsidRDefault="00327AE4" w:rsidP="00327AE4">
      <w:pPr>
        <w:pStyle w:val="Caption"/>
        <w:keepNext/>
        <w:keepLines/>
        <w:bidi/>
        <w:spacing w:before="160" w:after="80" w:line="360" w:lineRule="auto"/>
        <w:rPr>
          <w:rFonts w:hint="eastAsia"/>
        </w:rPr>
      </w:pPr>
      <w:r>
        <w:rPr>
          <w:rFonts w:ascii="Times New Roman" w:eastAsia="Traditional Arabic" w:hAnsi="Times New Roman"/>
          <w:rtl/>
        </w:rPr>
        <w:t>جدول (3-2): قالب توزيع العينة على الطبقات</w:t>
      </w:r>
    </w:p>
    <w:tbl>
      <w:tblPr>
        <w:tblStyle w:val="TableGrid"/>
        <w:bidiVisual/>
        <w:tblW w:w="9072" w:type="dxa"/>
        <w:jc w:val="center"/>
        <w:tblLayout w:type="fixed"/>
        <w:tblLook w:val="04A0" w:firstRow="1" w:lastRow="0" w:firstColumn="1" w:lastColumn="0" w:noHBand="0" w:noVBand="1"/>
      </w:tblPr>
      <w:tblGrid>
        <w:gridCol w:w="1700"/>
        <w:gridCol w:w="2200"/>
        <w:gridCol w:w="1600"/>
        <w:gridCol w:w="1900"/>
        <w:gridCol w:w="1672"/>
      </w:tblGrid>
      <w:tr w:rsidR="008A3C62">
        <w:trPr>
          <w:tblHeader/>
          <w:jc w:val="center"/>
        </w:trPr>
        <w:tc>
          <w:tcPr>
            <w:tcW w:w="1700" w:type="dxa"/>
            <w:shd w:val="clear" w:color="auto" w:fill="D9E2F3"/>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b/>
                <w:color w:val="000000"/>
                <w:sz w:val="18"/>
                <w:rtl/>
              </w:rPr>
              <w:t>الطبقة/الفئة</w:t>
            </w:r>
          </w:p>
        </w:tc>
        <w:tc>
          <w:tcPr>
            <w:tcW w:w="2200" w:type="dxa"/>
            <w:shd w:val="clear" w:color="auto" w:fill="D9E2F3"/>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b/>
                <w:color w:val="000000"/>
                <w:sz w:val="18"/>
                <w:rtl/>
              </w:rPr>
              <w:t>حجم الطبقة في المجتمع</w:t>
            </w:r>
          </w:p>
        </w:tc>
        <w:tc>
          <w:tcPr>
            <w:tcW w:w="1600" w:type="dxa"/>
            <w:shd w:val="clear" w:color="auto" w:fill="D9E2F3"/>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b/>
                <w:color w:val="000000"/>
                <w:sz w:val="18"/>
                <w:rtl/>
              </w:rPr>
              <w:t>النسبة من المجتمع</w:t>
            </w:r>
          </w:p>
        </w:tc>
        <w:tc>
          <w:tcPr>
            <w:tcW w:w="1900" w:type="dxa"/>
            <w:shd w:val="clear" w:color="auto" w:fill="D9E2F3"/>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b/>
                <w:color w:val="000000"/>
                <w:sz w:val="18"/>
                <w:rtl/>
              </w:rPr>
              <w:t>حجم عينة الطبقة</w:t>
            </w:r>
          </w:p>
        </w:tc>
        <w:tc>
          <w:tcPr>
            <w:tcW w:w="1672" w:type="dxa"/>
            <w:shd w:val="clear" w:color="auto" w:fill="D9E2F3"/>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b/>
                <w:color w:val="000000"/>
                <w:sz w:val="18"/>
                <w:rtl/>
              </w:rPr>
              <w:t>ملاحظة التنفيذ</w:t>
            </w:r>
          </w:p>
        </w:tc>
      </w:tr>
      <w:tr w:rsidR="008A3C62">
        <w:trPr>
          <w:jc w:val="center"/>
        </w:trPr>
        <w:tc>
          <w:tcPr>
            <w:tcW w:w="17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[اسم الطبقة الأولى]</w:t>
            </w:r>
          </w:p>
        </w:tc>
        <w:tc>
          <w:tcPr>
            <w:tcW w:w="22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[يُحدَّث بعد استلام إطار المعاينة الرسمي]</w:t>
            </w:r>
          </w:p>
        </w:tc>
        <w:tc>
          <w:tcPr>
            <w:tcW w:w="16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[يُحدَّث]</w:t>
            </w:r>
          </w:p>
        </w:tc>
        <w:tc>
          <w:tcPr>
            <w:tcW w:w="19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[يُحسب بالمعادلة]</w:t>
            </w:r>
          </w:p>
        </w:tc>
        <w:tc>
          <w:tcPr>
            <w:tcW w:w="1672"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[يُوثق السحب]</w:t>
            </w:r>
          </w:p>
        </w:tc>
      </w:tr>
      <w:tr w:rsidR="008A3C62">
        <w:trPr>
          <w:jc w:val="center"/>
        </w:trPr>
        <w:tc>
          <w:tcPr>
            <w:tcW w:w="17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[اسم الطبقة الثانية]</w:t>
            </w:r>
          </w:p>
        </w:tc>
        <w:tc>
          <w:tcPr>
            <w:tcW w:w="22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[يُحدَّث بعد استلام إطار المعاينة الرسمي]</w:t>
            </w:r>
          </w:p>
        </w:tc>
        <w:tc>
          <w:tcPr>
            <w:tcW w:w="16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[يُحدَّث]</w:t>
            </w:r>
          </w:p>
        </w:tc>
        <w:tc>
          <w:tcPr>
            <w:tcW w:w="19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[يُحسب بالمعادلة]</w:t>
            </w:r>
          </w:p>
        </w:tc>
        <w:tc>
          <w:tcPr>
            <w:tcW w:w="1672"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[يُوثق السحب]</w:t>
            </w:r>
          </w:p>
        </w:tc>
      </w:tr>
      <w:tr w:rsidR="008A3C62">
        <w:trPr>
          <w:jc w:val="center"/>
        </w:trPr>
        <w:tc>
          <w:tcPr>
            <w:tcW w:w="17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[طبقات إضافية بحسب الإطار]</w:t>
            </w:r>
          </w:p>
        </w:tc>
        <w:tc>
          <w:tcPr>
            <w:tcW w:w="22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[يُحدَّث بعد استلام إطار المعاينة الرسمي]</w:t>
            </w:r>
          </w:p>
        </w:tc>
        <w:tc>
          <w:tcPr>
            <w:tcW w:w="16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[يُحدَّث]</w:t>
            </w:r>
          </w:p>
        </w:tc>
        <w:tc>
          <w:tcPr>
            <w:tcW w:w="19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[يُحسب بالمعادلة]</w:t>
            </w:r>
          </w:p>
        </w:tc>
        <w:tc>
          <w:tcPr>
            <w:tcW w:w="1672"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[يُوثق السحب]</w:t>
            </w:r>
          </w:p>
        </w:tc>
      </w:tr>
      <w:tr w:rsidR="008A3C62">
        <w:trPr>
          <w:jc w:val="center"/>
        </w:trPr>
        <w:tc>
          <w:tcPr>
            <w:tcW w:w="17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الإجمالي</w:t>
            </w:r>
          </w:p>
        </w:tc>
        <w:tc>
          <w:tcPr>
            <w:tcW w:w="22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[حجم المجتمع المستهدف الرسمي]</w:t>
            </w:r>
          </w:p>
        </w:tc>
        <w:tc>
          <w:tcPr>
            <w:tcW w:w="16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100%</w:t>
            </w:r>
          </w:p>
        </w:tc>
        <w:tc>
          <w:tcPr>
            <w:tcW w:w="19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300 استجابة صالحة مستهدفة، رهن تحقق القوة</w:t>
            </w:r>
          </w:p>
        </w:tc>
        <w:tc>
          <w:tcPr>
            <w:tcW w:w="1672"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w:t>
            </w:r>
          </w:p>
        </w:tc>
      </w:tr>
    </w:tbl>
    <w:p w:rsidR="008A3C62" w:rsidRDefault="00327AE4" w:rsidP="00327AE4">
      <w:pPr>
        <w:bidi/>
        <w:spacing w:before="80" w:after="160"/>
      </w:pPr>
      <w:r>
        <w:rPr>
          <w:rFonts w:eastAsia="Traditional Arabic"/>
          <w:color w:val="4F5B66"/>
          <w:sz w:val="21"/>
          <w:rtl/>
        </w:rPr>
        <w:t>المصدر: إعداد الباحث؛ يُستكمل بعد استلام إطار المعاينة الرسمي.</w:t>
      </w:r>
    </w:p>
    <w:p w:rsidR="008A3C62" w:rsidRDefault="00327AE4" w:rsidP="00327AE4">
      <w:pPr>
        <w:bidi/>
      </w:pPr>
      <w:r>
        <w:rPr>
          <w:rFonts w:eastAsia="Traditional Arabic"/>
          <w:color w:val="000000"/>
          <w:rtl/>
        </w:rPr>
        <w:t>يوضح القالب أن التوزيع النهائي يعتمد على الوزن الفعلي لكل طبقة في المجتمع المستهدف، ويمنع تثبيت أرقام أو فئات قبل اعتماد القائمة الرسمية.</w:t>
      </w:r>
    </w:p>
    <w:p w:rsidR="008A3C62" w:rsidRDefault="00327AE4" w:rsidP="00327AE4">
      <w:pPr>
        <w:pStyle w:val="Heading2"/>
        <w:bidi/>
        <w:spacing w:before="220" w:after="100"/>
      </w:pPr>
      <w:r>
        <w:rPr>
          <w:rFonts w:ascii="Times New Roman" w:eastAsia="Traditional Arabic" w:hAnsi="Times New Roman" w:cs="Traditional Arabic"/>
          <w:rtl/>
        </w:rPr>
        <w:t>3.2.7 حدود التعميم</w:t>
      </w:r>
    </w:p>
    <w:p w:rsidR="008A3C62" w:rsidRDefault="00327AE4" w:rsidP="00327AE4">
      <w:pPr>
        <w:bidi/>
      </w:pPr>
      <w:r>
        <w:rPr>
          <w:rFonts w:eastAsia="Traditional Arabic"/>
          <w:color w:val="000000"/>
          <w:rtl/>
        </w:rPr>
        <w:t>تقتصر قابلية تعميم النتائج على المجتمع المستهدف كما يعرّفه إطار المعاينة ومعايير الإدراج، وعلى درجة تمثيل العينة ومعدل الاستجابة داخل الطبقات. ولا يجوز تعميم النتائج على جميع موظفي الوزارة أو جهات حكومية أخرى إذا لم يشملهم إطار المعاينة. كما تُراعى حدود التصميم المقطعي والقياس الذاتي ومصدر البيانات الواحد عند تفسير النتائج.</w:t>
      </w:r>
    </w:p>
    <w:p w:rsidR="008A3C62" w:rsidRDefault="00327AE4" w:rsidP="00327AE4">
      <w:pPr>
        <w:pStyle w:val="Heading1"/>
        <w:bidi/>
        <w:spacing w:before="280" w:after="140"/>
      </w:pPr>
      <w:r>
        <w:rPr>
          <w:rFonts w:ascii="Times New Roman" w:eastAsia="Traditional Arabic" w:hAnsi="Times New Roman" w:cs="Traditional Arabic"/>
          <w:rtl/>
        </w:rPr>
        <w:lastRenderedPageBreak/>
        <w:t>3.3 أداة جمع البيانات</w:t>
      </w:r>
    </w:p>
    <w:p w:rsidR="008A3C62" w:rsidRDefault="00327AE4" w:rsidP="00327AE4">
      <w:pPr>
        <w:pStyle w:val="Heading2"/>
        <w:bidi/>
        <w:spacing w:before="220" w:after="100"/>
      </w:pPr>
      <w:r>
        <w:rPr>
          <w:rFonts w:ascii="Times New Roman" w:eastAsia="Traditional Arabic" w:hAnsi="Times New Roman" w:cs="Traditional Arabic"/>
          <w:rtl/>
        </w:rPr>
        <w:t>3.3.1 مبررات اختيار الاستبانة</w:t>
      </w:r>
    </w:p>
    <w:p w:rsidR="008A3C62" w:rsidRDefault="00327AE4" w:rsidP="00327AE4">
      <w:pPr>
        <w:bidi/>
      </w:pPr>
      <w:r>
        <w:rPr>
          <w:rFonts w:eastAsia="Traditional Arabic"/>
          <w:color w:val="000000"/>
          <w:rtl/>
        </w:rPr>
        <w:t>تُستخدم الاستبانة المنظمة أداة رئيسة لجمع البيانات؛ لملاءمتها المنهج الكمي، وقدرتها على جمع استجابات موحدة من عدد كبير نسبيًا من المستخدمين الرئيسين، وقياس البنى الكامنة من خلال فقرات متعددة، بما يسمح بإجراء التحليل الوصفي وتقييم نموذج القياس واختبار المسارات البنيوية. ولا تُستخدم المقابلات أو البيانات الثانوية لاختبار الفرضيات الأساسية.</w:t>
      </w:r>
    </w:p>
    <w:p w:rsidR="008A3C62" w:rsidRDefault="00327AE4" w:rsidP="00327AE4">
      <w:pPr>
        <w:pStyle w:val="Heading2"/>
        <w:bidi/>
        <w:spacing w:before="220" w:after="100"/>
      </w:pPr>
      <w:r>
        <w:rPr>
          <w:rFonts w:ascii="Times New Roman" w:eastAsia="Traditional Arabic" w:hAnsi="Times New Roman" w:cs="Traditional Arabic"/>
          <w:rtl/>
        </w:rPr>
        <w:t>3.3.2 هيكل الأداة ومصادر المقاييس</w:t>
      </w:r>
    </w:p>
    <w:p w:rsidR="008A3C62" w:rsidRDefault="00327AE4" w:rsidP="00327AE4">
      <w:pPr>
        <w:bidi/>
      </w:pPr>
      <w:r>
        <w:rPr>
          <w:rFonts w:eastAsia="Traditional Arabic"/>
          <w:color w:val="000000"/>
          <w:rtl/>
        </w:rPr>
        <w:t>طُوبق هيكل الأداة مع الاستبانة V2، ويتكون من 49 فقرة مقياسية و7 أسئلة عامة. ويوضح جدول (3-3) توزيع الفقرات ومصادرها الأساسية.</w:t>
      </w:r>
    </w:p>
    <w:p w:rsidR="008A3C62" w:rsidRDefault="00327AE4" w:rsidP="00327AE4">
      <w:pPr>
        <w:pStyle w:val="Caption"/>
        <w:keepNext/>
        <w:keepLines/>
        <w:bidi/>
        <w:spacing w:before="160" w:after="80" w:line="360" w:lineRule="auto"/>
        <w:rPr>
          <w:rFonts w:hint="eastAsia"/>
        </w:rPr>
      </w:pPr>
      <w:r>
        <w:rPr>
          <w:rFonts w:ascii="Times New Roman" w:eastAsia="Traditional Arabic" w:hAnsi="Times New Roman"/>
          <w:rtl/>
        </w:rPr>
        <w:t>جدول (3-3): هيكل الاستبانة وتوزيع فقراتها ومصادرها</w:t>
      </w:r>
    </w:p>
    <w:tbl>
      <w:tblPr>
        <w:tblStyle w:val="TableGrid"/>
        <w:bidiVisual/>
        <w:tblW w:w="9072" w:type="dxa"/>
        <w:jc w:val="center"/>
        <w:tblLayout w:type="fixed"/>
        <w:tblLook w:val="04A0" w:firstRow="1" w:lastRow="0" w:firstColumn="1" w:lastColumn="0" w:noHBand="0" w:noVBand="1"/>
      </w:tblPr>
      <w:tblGrid>
        <w:gridCol w:w="1600"/>
        <w:gridCol w:w="1900"/>
        <w:gridCol w:w="700"/>
        <w:gridCol w:w="1200"/>
        <w:gridCol w:w="2500"/>
        <w:gridCol w:w="1172"/>
      </w:tblGrid>
      <w:tr w:rsidR="008A3C62">
        <w:trPr>
          <w:tblHeader/>
          <w:jc w:val="center"/>
        </w:trPr>
        <w:tc>
          <w:tcPr>
            <w:tcW w:w="1600" w:type="dxa"/>
            <w:shd w:val="clear" w:color="auto" w:fill="D9E2F3"/>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b/>
                <w:color w:val="000000"/>
                <w:sz w:val="17"/>
                <w:rtl/>
              </w:rPr>
              <w:t>المتغير</w:t>
            </w:r>
          </w:p>
        </w:tc>
        <w:tc>
          <w:tcPr>
            <w:tcW w:w="1900" w:type="dxa"/>
            <w:shd w:val="clear" w:color="auto" w:fill="D9E2F3"/>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b/>
                <w:color w:val="000000"/>
                <w:sz w:val="17"/>
                <w:rtl/>
              </w:rPr>
              <w:t>البُعد</w:t>
            </w:r>
          </w:p>
        </w:tc>
        <w:tc>
          <w:tcPr>
            <w:tcW w:w="700" w:type="dxa"/>
            <w:shd w:val="clear" w:color="auto" w:fill="D9E2F3"/>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b/>
                <w:color w:val="000000"/>
                <w:sz w:val="17"/>
                <w:rtl/>
              </w:rPr>
              <w:t>العدد</w:t>
            </w:r>
          </w:p>
        </w:tc>
        <w:tc>
          <w:tcPr>
            <w:tcW w:w="1200" w:type="dxa"/>
            <w:shd w:val="clear" w:color="auto" w:fill="D9E2F3"/>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b/>
                <w:color w:val="000000"/>
                <w:sz w:val="17"/>
                <w:rtl/>
              </w:rPr>
              <w:t>الرموز</w:t>
            </w:r>
          </w:p>
        </w:tc>
        <w:tc>
          <w:tcPr>
            <w:tcW w:w="2500" w:type="dxa"/>
            <w:shd w:val="clear" w:color="auto" w:fill="D9E2F3"/>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b/>
                <w:color w:val="000000"/>
                <w:sz w:val="17"/>
                <w:rtl/>
              </w:rPr>
              <w:t>المصدر</w:t>
            </w:r>
          </w:p>
        </w:tc>
        <w:tc>
          <w:tcPr>
            <w:tcW w:w="1172" w:type="dxa"/>
            <w:shd w:val="clear" w:color="auto" w:fill="D9E2F3"/>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b/>
                <w:color w:val="000000"/>
                <w:sz w:val="17"/>
                <w:rtl/>
              </w:rPr>
              <w:t>حالة التكييف</w:t>
            </w:r>
          </w:p>
        </w:tc>
      </w:tr>
      <w:tr w:rsidR="008A3C62">
        <w:trPr>
          <w:jc w:val="center"/>
        </w:trPr>
        <w:tc>
          <w:tcPr>
            <w:tcW w:w="16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التحوّل الرقمي المؤسسي</w:t>
            </w:r>
          </w:p>
        </w:tc>
        <w:tc>
          <w:tcPr>
            <w:tcW w:w="19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توفر وانتشار الأنظمة الرقمية</w:t>
            </w:r>
          </w:p>
        </w:tc>
        <w:tc>
          <w:tcPr>
            <w:tcW w:w="7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4</w:t>
            </w:r>
          </w:p>
        </w:tc>
        <w:tc>
          <w:tcPr>
            <w:tcW w:w="12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DTD1-1–DTD1-4</w:t>
            </w:r>
          </w:p>
        </w:tc>
        <w:tc>
          <w:tcPr>
            <w:tcW w:w="25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Vial (2019); Mergel et al. (2019); DeLone &amp; McLean (2003)</w:t>
            </w:r>
          </w:p>
        </w:tc>
        <w:tc>
          <w:tcPr>
            <w:tcW w:w="1172"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مكيف/مطوّر للسياق الداخلي</w:t>
            </w:r>
          </w:p>
        </w:tc>
      </w:tr>
      <w:tr w:rsidR="008A3C62">
        <w:trPr>
          <w:jc w:val="center"/>
        </w:trPr>
        <w:tc>
          <w:tcPr>
            <w:tcW w:w="16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التحوّل الرقمي المؤسسي</w:t>
            </w:r>
          </w:p>
        </w:tc>
        <w:tc>
          <w:tcPr>
            <w:tcW w:w="19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كفاءة الأنظمة والعمليات الرقمية</w:t>
            </w:r>
          </w:p>
        </w:tc>
        <w:tc>
          <w:tcPr>
            <w:tcW w:w="7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5</w:t>
            </w:r>
          </w:p>
        </w:tc>
        <w:tc>
          <w:tcPr>
            <w:tcW w:w="12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DTD2-1–DTD2-5</w:t>
            </w:r>
          </w:p>
        </w:tc>
        <w:tc>
          <w:tcPr>
            <w:tcW w:w="25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DeLone &amp; McLean (2003); Vial (2019); Mergel et al. (2019)</w:t>
            </w:r>
          </w:p>
        </w:tc>
        <w:tc>
          <w:tcPr>
            <w:tcW w:w="1172"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مكيف</w:t>
            </w:r>
          </w:p>
        </w:tc>
      </w:tr>
      <w:tr w:rsidR="008A3C62">
        <w:trPr>
          <w:jc w:val="center"/>
        </w:trPr>
        <w:tc>
          <w:tcPr>
            <w:tcW w:w="16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التحوّل الرقمي المؤسسي</w:t>
            </w:r>
          </w:p>
        </w:tc>
        <w:tc>
          <w:tcPr>
            <w:tcW w:w="19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جودة الدعم الفني والتدريب الرقمي</w:t>
            </w:r>
          </w:p>
        </w:tc>
        <w:tc>
          <w:tcPr>
            <w:tcW w:w="7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4</w:t>
            </w:r>
          </w:p>
        </w:tc>
        <w:tc>
          <w:tcPr>
            <w:tcW w:w="12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DTD3-1–DTD3-4</w:t>
            </w:r>
          </w:p>
        </w:tc>
        <w:tc>
          <w:tcPr>
            <w:tcW w:w="25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DeLone &amp; McLean (2003); Mergel et al. (2019); Vial (2019)</w:t>
            </w:r>
          </w:p>
        </w:tc>
        <w:tc>
          <w:tcPr>
            <w:tcW w:w="1172"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بعض الفقرات مطورة من الباحث</w:t>
            </w:r>
          </w:p>
        </w:tc>
      </w:tr>
      <w:tr w:rsidR="008A3C62">
        <w:trPr>
          <w:jc w:val="center"/>
        </w:trPr>
        <w:tc>
          <w:tcPr>
            <w:tcW w:w="16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التحوّل الرقمي المؤسسي</w:t>
            </w:r>
          </w:p>
        </w:tc>
        <w:tc>
          <w:tcPr>
            <w:tcW w:w="19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تكامل العمليات الرقمية وتبسيط الإجراءات</w:t>
            </w:r>
          </w:p>
        </w:tc>
        <w:tc>
          <w:tcPr>
            <w:tcW w:w="7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4</w:t>
            </w:r>
          </w:p>
        </w:tc>
        <w:tc>
          <w:tcPr>
            <w:tcW w:w="12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DTD4-1–DTD4-4</w:t>
            </w:r>
          </w:p>
        </w:tc>
        <w:tc>
          <w:tcPr>
            <w:tcW w:w="25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Vial (2019); Mergel et al. (2019)</w:t>
            </w:r>
          </w:p>
        </w:tc>
        <w:tc>
          <w:tcPr>
            <w:tcW w:w="1172"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بعض الفقرات مطورة من الباحث</w:t>
            </w:r>
          </w:p>
        </w:tc>
      </w:tr>
      <w:tr w:rsidR="008A3C62">
        <w:trPr>
          <w:jc w:val="center"/>
        </w:trPr>
        <w:tc>
          <w:tcPr>
            <w:tcW w:w="16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قبول التقنية</w:t>
            </w:r>
          </w:p>
        </w:tc>
        <w:tc>
          <w:tcPr>
            <w:tcW w:w="19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المنفعة المتصورة</w:t>
            </w:r>
          </w:p>
        </w:tc>
        <w:tc>
          <w:tcPr>
            <w:tcW w:w="7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4</w:t>
            </w:r>
          </w:p>
        </w:tc>
        <w:tc>
          <w:tcPr>
            <w:tcW w:w="12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PU-1–PU-4</w:t>
            </w:r>
          </w:p>
        </w:tc>
        <w:tc>
          <w:tcPr>
            <w:tcW w:w="25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Davis (1989); Venkatesh &amp; Davis (2000)</w:t>
            </w:r>
          </w:p>
        </w:tc>
        <w:tc>
          <w:tcPr>
            <w:tcW w:w="1172"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مكيف لسياق الوزارة</w:t>
            </w:r>
          </w:p>
        </w:tc>
      </w:tr>
      <w:tr w:rsidR="008A3C62">
        <w:trPr>
          <w:jc w:val="center"/>
        </w:trPr>
        <w:tc>
          <w:tcPr>
            <w:tcW w:w="16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قبول التقنية</w:t>
            </w:r>
          </w:p>
        </w:tc>
        <w:tc>
          <w:tcPr>
            <w:tcW w:w="19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سهولة الاستخدام المتصورة</w:t>
            </w:r>
          </w:p>
        </w:tc>
        <w:tc>
          <w:tcPr>
            <w:tcW w:w="7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4</w:t>
            </w:r>
          </w:p>
        </w:tc>
        <w:tc>
          <w:tcPr>
            <w:tcW w:w="12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PEOU-1–PEOU-4</w:t>
            </w:r>
          </w:p>
        </w:tc>
        <w:tc>
          <w:tcPr>
            <w:tcW w:w="25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Davis (1989); Venkatesh &amp; Bala (2008)</w:t>
            </w:r>
          </w:p>
        </w:tc>
        <w:tc>
          <w:tcPr>
            <w:tcW w:w="1172"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مكيف لسياق الوزارة</w:t>
            </w:r>
          </w:p>
        </w:tc>
      </w:tr>
      <w:tr w:rsidR="008A3C62">
        <w:trPr>
          <w:jc w:val="center"/>
        </w:trPr>
        <w:tc>
          <w:tcPr>
            <w:tcW w:w="16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الإجهاد التقني</w:t>
            </w:r>
          </w:p>
        </w:tc>
        <w:tc>
          <w:tcPr>
            <w:tcW w:w="19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العبء التقني الزائد</w:t>
            </w:r>
          </w:p>
        </w:tc>
        <w:tc>
          <w:tcPr>
            <w:tcW w:w="7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4</w:t>
            </w:r>
          </w:p>
        </w:tc>
        <w:tc>
          <w:tcPr>
            <w:tcW w:w="12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TO-1–TO-4</w:t>
            </w:r>
          </w:p>
        </w:tc>
        <w:tc>
          <w:tcPr>
            <w:tcW w:w="25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 xml:space="preserve">Ragu-Nathan et al. (2008); Tarafdar et al. </w:t>
            </w:r>
            <w:r>
              <w:rPr>
                <w:rFonts w:eastAsia="Traditional Arabic"/>
                <w:color w:val="000000"/>
                <w:sz w:val="17"/>
                <w:rtl/>
              </w:rPr>
              <w:lastRenderedPageBreak/>
              <w:t>(2011)</w:t>
            </w:r>
          </w:p>
        </w:tc>
        <w:tc>
          <w:tcPr>
            <w:tcW w:w="1172"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lastRenderedPageBreak/>
              <w:t>مكيف</w:t>
            </w:r>
          </w:p>
        </w:tc>
      </w:tr>
      <w:tr w:rsidR="008A3C62">
        <w:trPr>
          <w:jc w:val="center"/>
        </w:trPr>
        <w:tc>
          <w:tcPr>
            <w:tcW w:w="16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الإجهاد التقني</w:t>
            </w:r>
          </w:p>
        </w:tc>
        <w:tc>
          <w:tcPr>
            <w:tcW w:w="19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التعقيد التقني</w:t>
            </w:r>
          </w:p>
        </w:tc>
        <w:tc>
          <w:tcPr>
            <w:tcW w:w="7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4</w:t>
            </w:r>
          </w:p>
        </w:tc>
        <w:tc>
          <w:tcPr>
            <w:tcW w:w="12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TC-1–TC-4</w:t>
            </w:r>
          </w:p>
        </w:tc>
        <w:tc>
          <w:tcPr>
            <w:tcW w:w="25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Ragu-Nathan et al. (2008); Ayyagari et al. (2011)</w:t>
            </w:r>
          </w:p>
        </w:tc>
        <w:tc>
          <w:tcPr>
            <w:tcW w:w="1172"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مكيف</w:t>
            </w:r>
          </w:p>
        </w:tc>
      </w:tr>
      <w:tr w:rsidR="008A3C62">
        <w:trPr>
          <w:jc w:val="center"/>
        </w:trPr>
        <w:tc>
          <w:tcPr>
            <w:tcW w:w="16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الإجهاد التقني</w:t>
            </w:r>
          </w:p>
        </w:tc>
        <w:tc>
          <w:tcPr>
            <w:tcW w:w="19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عدم اليقين التقني</w:t>
            </w:r>
          </w:p>
        </w:tc>
        <w:tc>
          <w:tcPr>
            <w:tcW w:w="7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4</w:t>
            </w:r>
          </w:p>
        </w:tc>
        <w:tc>
          <w:tcPr>
            <w:tcW w:w="12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TU-1–TU-4</w:t>
            </w:r>
          </w:p>
        </w:tc>
        <w:tc>
          <w:tcPr>
            <w:tcW w:w="25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Ragu-Nathan et al. (2008); Tarafdar et al. (2011)</w:t>
            </w:r>
          </w:p>
        </w:tc>
        <w:tc>
          <w:tcPr>
            <w:tcW w:w="1172"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مكيف</w:t>
            </w:r>
          </w:p>
        </w:tc>
      </w:tr>
      <w:tr w:rsidR="008A3C62">
        <w:trPr>
          <w:jc w:val="center"/>
        </w:trPr>
        <w:tc>
          <w:tcPr>
            <w:tcW w:w="16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الإجهاد التقني</w:t>
            </w:r>
          </w:p>
        </w:tc>
        <w:tc>
          <w:tcPr>
            <w:tcW w:w="19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الاقتحام التقني</w:t>
            </w:r>
          </w:p>
        </w:tc>
        <w:tc>
          <w:tcPr>
            <w:tcW w:w="7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4</w:t>
            </w:r>
          </w:p>
        </w:tc>
        <w:tc>
          <w:tcPr>
            <w:tcW w:w="12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TI-1–TI-4</w:t>
            </w:r>
          </w:p>
        </w:tc>
        <w:tc>
          <w:tcPr>
            <w:tcW w:w="25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Ragu-Nathan et al. (2008); Tarafdar et al. (2011)</w:t>
            </w:r>
          </w:p>
        </w:tc>
        <w:tc>
          <w:tcPr>
            <w:tcW w:w="1172"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مكيف</w:t>
            </w:r>
          </w:p>
        </w:tc>
      </w:tr>
      <w:tr w:rsidR="008A3C62">
        <w:trPr>
          <w:jc w:val="center"/>
        </w:trPr>
        <w:tc>
          <w:tcPr>
            <w:tcW w:w="16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الرضا الوظيفي</w:t>
            </w:r>
          </w:p>
        </w:tc>
        <w:tc>
          <w:tcPr>
            <w:tcW w:w="19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الرضا الوظيفي في بيئة العمل الرقمية</w:t>
            </w:r>
          </w:p>
        </w:tc>
        <w:tc>
          <w:tcPr>
            <w:tcW w:w="7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8</w:t>
            </w:r>
          </w:p>
        </w:tc>
        <w:tc>
          <w:tcPr>
            <w:tcW w:w="12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JS-1–JS-8</w:t>
            </w:r>
          </w:p>
        </w:tc>
        <w:tc>
          <w:tcPr>
            <w:tcW w:w="25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Spector (1997) مع فقرات مكيفة/مطورة</w:t>
            </w:r>
          </w:p>
        </w:tc>
        <w:tc>
          <w:tcPr>
            <w:tcW w:w="1172"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ليس مقياس JSS كاملًا؛ اعتماد المصدر مطلوب</w:t>
            </w:r>
          </w:p>
        </w:tc>
      </w:tr>
      <w:tr w:rsidR="008A3C62">
        <w:trPr>
          <w:jc w:val="center"/>
        </w:trPr>
        <w:tc>
          <w:tcPr>
            <w:tcW w:w="16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الخصائص العامة</w:t>
            </w:r>
          </w:p>
        </w:tc>
        <w:tc>
          <w:tcPr>
            <w:tcW w:w="19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ديموغرافية ووظيفية واستخدام الأنظمة</w:t>
            </w:r>
          </w:p>
        </w:tc>
        <w:tc>
          <w:tcPr>
            <w:tcW w:w="7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7 أسئلة</w:t>
            </w:r>
          </w:p>
        </w:tc>
        <w:tc>
          <w:tcPr>
            <w:tcW w:w="12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أسئلة عامة</w:t>
            </w:r>
          </w:p>
        </w:tc>
        <w:tc>
          <w:tcPr>
            <w:tcW w:w="25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مطورة من الباحث</w:t>
            </w:r>
          </w:p>
        </w:tc>
        <w:tc>
          <w:tcPr>
            <w:tcW w:w="1172"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وصف العينة/فروق/اعتدال مشروط</w:t>
            </w:r>
          </w:p>
        </w:tc>
      </w:tr>
    </w:tbl>
    <w:p w:rsidR="008A3C62" w:rsidRDefault="00327AE4" w:rsidP="00327AE4">
      <w:pPr>
        <w:bidi/>
        <w:spacing w:before="80" w:after="160"/>
      </w:pPr>
      <w:r>
        <w:rPr>
          <w:rFonts w:eastAsia="Traditional Arabic"/>
          <w:color w:val="4F5B66"/>
          <w:sz w:val="21"/>
          <w:rtl/>
        </w:rPr>
        <w:t>المصدر: إعداد الباحث استنادًا إلى الاستبانة V2.</w:t>
      </w:r>
    </w:p>
    <w:p w:rsidR="008A3C62" w:rsidRDefault="00327AE4" w:rsidP="00327AE4">
      <w:pPr>
        <w:bidi/>
      </w:pPr>
      <w:r>
        <w:rPr>
          <w:rFonts w:eastAsia="Traditional Arabic"/>
          <w:color w:val="000000"/>
          <w:rtl/>
        </w:rPr>
        <w:t>يتضح أن المقاييس لا تعتمد مصدرًا واحدًا لجميع المتغيرات؛ فمقاييس TAM والإجهاد التقني ترتبط بمصادر أصلية أكثر تحديدًا، بينما صيغت أبعاد التحوّل الرقمي وبعض فقرات الرضا استنادًا إلى الأدبيات والتكييف السياقي، وتبقى خاضعة للتحكيم والتجربة الاستطلاعية.</w:t>
      </w:r>
    </w:p>
    <w:p w:rsidR="008A3C62" w:rsidRDefault="00327AE4" w:rsidP="00327AE4">
      <w:pPr>
        <w:pStyle w:val="Heading2"/>
        <w:bidi/>
        <w:spacing w:before="220" w:after="100"/>
      </w:pPr>
      <w:r>
        <w:rPr>
          <w:rFonts w:ascii="Times New Roman" w:eastAsia="Traditional Arabic" w:hAnsi="Times New Roman" w:cs="Traditional Arabic"/>
          <w:rtl/>
        </w:rPr>
        <w:t>3.3.3 مقياس الاستجابة والترميز</w:t>
      </w:r>
    </w:p>
    <w:p w:rsidR="008A3C62" w:rsidRDefault="00327AE4" w:rsidP="00327AE4">
      <w:pPr>
        <w:bidi/>
      </w:pPr>
      <w:r>
        <w:rPr>
          <w:rFonts w:eastAsia="Traditional Arabic"/>
          <w:color w:val="000000"/>
          <w:rtl/>
        </w:rPr>
        <w:t>تُقاس الفقرات المقياسية بمقياس ليكرت الخماسي: (1) لا أوافق بشدة، (2) لا أوافق، (3) محايد، (4) أوافق، (5) أوافق بشدة. وتُرمز جميع الفقرات في اتجاهها الظاهر، ولا تتضمن الاستبانة V2 فقرات عكسية. وتعكس الدرجة الأعلى ارتفاع مستوى البُعد المقاس؛ وبالنسبة إلى الإجهاد التقني تعني الدرجة الأعلى ارتفاع مستوى الإجهاد، في حين تعني الدرجة الأعلى في بقية المحاور ارتفاع التحوّل الرقمي أو قبول التقنية أو الرضا الوظيفي.</w:t>
      </w:r>
    </w:p>
    <w:p w:rsidR="008A3C62" w:rsidRDefault="00327AE4" w:rsidP="00327AE4">
      <w:pPr>
        <w:pStyle w:val="Heading2"/>
        <w:bidi/>
        <w:spacing w:before="220" w:after="100"/>
      </w:pPr>
      <w:r>
        <w:rPr>
          <w:rFonts w:ascii="Times New Roman" w:eastAsia="Traditional Arabic" w:hAnsi="Times New Roman" w:cs="Traditional Arabic"/>
          <w:rtl/>
        </w:rPr>
        <w:lastRenderedPageBreak/>
        <w:t>3.3.4 البيانات الأولية والثانوية</w:t>
      </w:r>
    </w:p>
    <w:p w:rsidR="008A3C62" w:rsidRDefault="00327AE4" w:rsidP="00327AE4">
      <w:pPr>
        <w:bidi/>
      </w:pPr>
      <w:r>
        <w:rPr>
          <w:rFonts w:eastAsia="Traditional Arabic"/>
          <w:color w:val="000000"/>
          <w:rtl/>
        </w:rPr>
        <w:t>تتمثل البيانات الأولية في استجابات المشاركين على الاستبانة، وهي المصدر المستخدم لوصف العينة واختبار الفرضيات وتقدير النموذج. أما البيانات الثانوية فتتمثل في الأدبيات والدراسات السابقة والتقارير الرسمية والوثائق المنهجية، وتُستخدم لتأطير السياق وتطوير الأداة وتفسير النتائج فقط، ولا تُستخدم بديلًا عن البيانات الأولية في اختبار فرضيات الدراسة الأساسية.</w:t>
      </w:r>
    </w:p>
    <w:p w:rsidR="008A3C62" w:rsidRDefault="00327AE4" w:rsidP="00327AE4">
      <w:pPr>
        <w:pStyle w:val="Heading1"/>
        <w:bidi/>
        <w:spacing w:before="280" w:after="140"/>
      </w:pPr>
      <w:r>
        <w:rPr>
          <w:rFonts w:ascii="Times New Roman" w:eastAsia="Traditional Arabic" w:hAnsi="Times New Roman" w:cs="Traditional Arabic"/>
          <w:rtl/>
        </w:rPr>
        <w:t>3.4 متغيرات الدراسة والتعريفات الإجرائية</w:t>
      </w:r>
    </w:p>
    <w:p w:rsidR="008A3C62" w:rsidRDefault="00327AE4" w:rsidP="00327AE4">
      <w:pPr>
        <w:bidi/>
      </w:pPr>
      <w:r>
        <w:rPr>
          <w:rFonts w:eastAsia="Traditional Arabic"/>
          <w:color w:val="000000"/>
          <w:rtl/>
        </w:rPr>
        <w:t>تعرض المصفوفة التشغيلية في جدول (3-4) نوع كل متغير وتعريفه الإجرائي وعدد فقراته ومصادره وطريقة تكييفه وترميزه واحتساب درجته، بما يربط النموذج النظري بأداة القياس.</w:t>
      </w:r>
    </w:p>
    <w:p w:rsidR="008A3C62" w:rsidRDefault="008A3C62" w:rsidP="00327AE4">
      <w:pPr>
        <w:bidi/>
        <w:sectPr w:rsidR="008A3C62">
          <w:pgSz w:w="11906" w:h="16838"/>
          <w:pgMar w:top="1417" w:right="1417" w:bottom="1417" w:left="1417" w:header="709" w:footer="709" w:gutter="0"/>
          <w:cols w:space="720"/>
          <w:titlePg/>
          <w:docGrid w:linePitch="360"/>
        </w:sectPr>
      </w:pPr>
    </w:p>
    <w:p w:rsidR="008A3C62" w:rsidRDefault="00327AE4" w:rsidP="00327AE4">
      <w:pPr>
        <w:pStyle w:val="Caption"/>
        <w:keepNext/>
        <w:keepLines/>
        <w:bidi/>
        <w:spacing w:before="160" w:after="80" w:line="360" w:lineRule="auto"/>
        <w:rPr>
          <w:rFonts w:hint="eastAsia"/>
        </w:rPr>
      </w:pPr>
      <w:r>
        <w:rPr>
          <w:rFonts w:ascii="Times New Roman" w:eastAsia="Traditional Arabic" w:hAnsi="Times New Roman"/>
          <w:rtl/>
        </w:rPr>
        <w:lastRenderedPageBreak/>
        <w:t>جدول (3-4): المصفوفة التشغيلية لمتغيرات الدراسة ومصادر قياسها</w:t>
      </w:r>
    </w:p>
    <w:tbl>
      <w:tblPr>
        <w:tblStyle w:val="TableGrid"/>
        <w:bidiVisual/>
        <w:tblW w:w="14004" w:type="dxa"/>
        <w:jc w:val="center"/>
        <w:tblLayout w:type="fixed"/>
        <w:tblLook w:val="04A0" w:firstRow="1" w:lastRow="0" w:firstColumn="1" w:lastColumn="0" w:noHBand="0" w:noVBand="1"/>
      </w:tblPr>
      <w:tblGrid>
        <w:gridCol w:w="1314"/>
        <w:gridCol w:w="889"/>
        <w:gridCol w:w="1315"/>
        <w:gridCol w:w="2166"/>
        <w:gridCol w:w="805"/>
        <w:gridCol w:w="1060"/>
        <w:gridCol w:w="1911"/>
        <w:gridCol w:w="1570"/>
        <w:gridCol w:w="1060"/>
        <w:gridCol w:w="1914"/>
      </w:tblGrid>
      <w:tr w:rsidR="008A3C62">
        <w:trPr>
          <w:tblHeader/>
          <w:jc w:val="center"/>
        </w:trPr>
        <w:tc>
          <w:tcPr>
            <w:tcW w:w="1500" w:type="dxa"/>
            <w:shd w:val="clear" w:color="auto" w:fill="D9E2F3"/>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b/>
                <w:color w:val="000000"/>
                <w:sz w:val="16"/>
                <w:rtl/>
              </w:rPr>
              <w:t>المتغير</w:t>
            </w:r>
          </w:p>
        </w:tc>
        <w:tc>
          <w:tcPr>
            <w:tcW w:w="1000" w:type="dxa"/>
            <w:shd w:val="clear" w:color="auto" w:fill="D9E2F3"/>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b/>
                <w:color w:val="000000"/>
                <w:sz w:val="16"/>
                <w:rtl/>
              </w:rPr>
              <w:t>نوع المتغير</w:t>
            </w:r>
          </w:p>
        </w:tc>
        <w:tc>
          <w:tcPr>
            <w:tcW w:w="1500" w:type="dxa"/>
            <w:shd w:val="clear" w:color="auto" w:fill="D9E2F3"/>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b/>
                <w:color w:val="000000"/>
                <w:sz w:val="16"/>
                <w:rtl/>
              </w:rPr>
              <w:t>البُعد</w:t>
            </w:r>
          </w:p>
        </w:tc>
        <w:tc>
          <w:tcPr>
            <w:tcW w:w="2500" w:type="dxa"/>
            <w:shd w:val="clear" w:color="auto" w:fill="D9E2F3"/>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b/>
                <w:color w:val="000000"/>
                <w:sz w:val="16"/>
                <w:rtl/>
              </w:rPr>
              <w:t>التعريف الإجرائي</w:t>
            </w:r>
          </w:p>
        </w:tc>
        <w:tc>
          <w:tcPr>
            <w:tcW w:w="900" w:type="dxa"/>
            <w:shd w:val="clear" w:color="auto" w:fill="D9E2F3"/>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b/>
                <w:color w:val="000000"/>
                <w:sz w:val="16"/>
                <w:rtl/>
              </w:rPr>
              <w:t>عدد الفقرات النهائي</w:t>
            </w:r>
          </w:p>
        </w:tc>
        <w:tc>
          <w:tcPr>
            <w:tcW w:w="1200" w:type="dxa"/>
            <w:shd w:val="clear" w:color="auto" w:fill="D9E2F3"/>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b/>
                <w:color w:val="000000"/>
                <w:sz w:val="16"/>
                <w:rtl/>
              </w:rPr>
              <w:t>رموز الفقرات</w:t>
            </w:r>
          </w:p>
        </w:tc>
        <w:tc>
          <w:tcPr>
            <w:tcW w:w="2200" w:type="dxa"/>
            <w:shd w:val="clear" w:color="auto" w:fill="D9E2F3"/>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b/>
                <w:color w:val="000000"/>
                <w:sz w:val="16"/>
                <w:rtl/>
              </w:rPr>
              <w:t>المصدر الأصلي للمقياس</w:t>
            </w:r>
          </w:p>
        </w:tc>
        <w:tc>
          <w:tcPr>
            <w:tcW w:w="1800" w:type="dxa"/>
            <w:shd w:val="clear" w:color="auto" w:fill="D9E2F3"/>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b/>
                <w:color w:val="000000"/>
                <w:sz w:val="16"/>
                <w:rtl/>
              </w:rPr>
              <w:t>طريقة التكييف</w:t>
            </w:r>
          </w:p>
        </w:tc>
        <w:tc>
          <w:tcPr>
            <w:tcW w:w="1200" w:type="dxa"/>
            <w:shd w:val="clear" w:color="auto" w:fill="D9E2F3"/>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b/>
                <w:color w:val="000000"/>
                <w:sz w:val="16"/>
                <w:rtl/>
              </w:rPr>
              <w:t>اتجاه الترميز</w:t>
            </w:r>
          </w:p>
        </w:tc>
        <w:tc>
          <w:tcPr>
            <w:tcW w:w="2204" w:type="dxa"/>
            <w:shd w:val="clear" w:color="auto" w:fill="D9E2F3"/>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b/>
                <w:color w:val="000000"/>
                <w:sz w:val="16"/>
                <w:rtl/>
              </w:rPr>
              <w:t>طريقة احتساب الدرجة</w:t>
            </w:r>
          </w:p>
        </w:tc>
      </w:tr>
      <w:tr w:rsidR="008A3C62">
        <w:trPr>
          <w:jc w:val="center"/>
        </w:trPr>
        <w:tc>
          <w:tcPr>
            <w:tcW w:w="15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التحوّل الرقمي المؤسسي</w:t>
            </w:r>
          </w:p>
        </w:tc>
        <w:tc>
          <w:tcPr>
            <w:tcW w:w="10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مستقل</w:t>
            </w:r>
          </w:p>
        </w:tc>
        <w:tc>
          <w:tcPr>
            <w:tcW w:w="15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توفر وانتشار الأنظمة الرقمية</w:t>
            </w:r>
          </w:p>
        </w:tc>
        <w:tc>
          <w:tcPr>
            <w:tcW w:w="25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مدى إتاحة الأنظمة الداخلية وانتشار استخدامها في أداء المهام والوصول للإجراءات.</w:t>
            </w:r>
          </w:p>
        </w:tc>
        <w:tc>
          <w:tcPr>
            <w:tcW w:w="9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4</w:t>
            </w:r>
          </w:p>
        </w:tc>
        <w:tc>
          <w:tcPr>
            <w:tcW w:w="12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DTD1-1–DTD1-4</w:t>
            </w:r>
          </w:p>
        </w:tc>
        <w:tc>
          <w:tcPr>
            <w:tcW w:w="22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Vial (2019); Mergel et al. (2019); DeLone &amp; McLean (2003). [مرجع مقياس أصلي موحد مطلوب]</w:t>
            </w:r>
          </w:p>
        </w:tc>
        <w:tc>
          <w:tcPr>
            <w:tcW w:w="18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تكييف المفاهيم إلى بيئة العمل الرقمية الداخلية.</w:t>
            </w:r>
          </w:p>
        </w:tc>
        <w:tc>
          <w:tcPr>
            <w:tcW w:w="12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موجب</w:t>
            </w:r>
          </w:p>
        </w:tc>
        <w:tc>
          <w:tcPr>
            <w:tcW w:w="2204"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متوسط الفقرات للبُعد؛ وتمثيل البناء الأعلى وفق [مواصفة القياس الهرمي مطلوبة].</w:t>
            </w:r>
          </w:p>
        </w:tc>
      </w:tr>
      <w:tr w:rsidR="008A3C62">
        <w:trPr>
          <w:jc w:val="center"/>
        </w:trPr>
        <w:tc>
          <w:tcPr>
            <w:tcW w:w="15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التحوّل الرقمي المؤسسي</w:t>
            </w:r>
          </w:p>
        </w:tc>
        <w:tc>
          <w:tcPr>
            <w:tcW w:w="10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مستقل</w:t>
            </w:r>
          </w:p>
        </w:tc>
        <w:tc>
          <w:tcPr>
            <w:tcW w:w="15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كفاءة الأنظمة والعمليات الرقمية</w:t>
            </w:r>
          </w:p>
        </w:tc>
        <w:tc>
          <w:tcPr>
            <w:tcW w:w="25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مدى استقرار الأنظمة وسرعتها وتنظيمها للعمل وتقليلها للأخطاء والتعطل.</w:t>
            </w:r>
          </w:p>
        </w:tc>
        <w:tc>
          <w:tcPr>
            <w:tcW w:w="9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5</w:t>
            </w:r>
          </w:p>
        </w:tc>
        <w:tc>
          <w:tcPr>
            <w:tcW w:w="12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DTD2-1–DTD2-5</w:t>
            </w:r>
          </w:p>
        </w:tc>
        <w:tc>
          <w:tcPr>
            <w:tcW w:w="22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DeLone &amp; McLean (2003); Vial (2019); Mergel et al. (2019).</w:t>
            </w:r>
          </w:p>
        </w:tc>
        <w:tc>
          <w:tcPr>
            <w:tcW w:w="18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تكييف جودة النظام والكفاءة إلى الإجراءات الوظيفية.</w:t>
            </w:r>
          </w:p>
        </w:tc>
        <w:tc>
          <w:tcPr>
            <w:tcW w:w="12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موجب</w:t>
            </w:r>
          </w:p>
        </w:tc>
        <w:tc>
          <w:tcPr>
            <w:tcW w:w="2204"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متوسط الفقرات الخمس.</w:t>
            </w:r>
          </w:p>
        </w:tc>
      </w:tr>
      <w:tr w:rsidR="008A3C62">
        <w:trPr>
          <w:jc w:val="center"/>
        </w:trPr>
        <w:tc>
          <w:tcPr>
            <w:tcW w:w="15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التحوّل الرقمي المؤسسي</w:t>
            </w:r>
          </w:p>
        </w:tc>
        <w:tc>
          <w:tcPr>
            <w:tcW w:w="10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مستقل</w:t>
            </w:r>
          </w:p>
        </w:tc>
        <w:tc>
          <w:tcPr>
            <w:tcW w:w="15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جودة الدعم الفني والتدريب الرقمي</w:t>
            </w:r>
          </w:p>
        </w:tc>
        <w:tc>
          <w:tcPr>
            <w:tcW w:w="25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مدى وضوح الإرشادات وملاءمة التدريب وسرعة الدعم وقدرته على تمكين الاستخدام.</w:t>
            </w:r>
          </w:p>
        </w:tc>
        <w:tc>
          <w:tcPr>
            <w:tcW w:w="9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4</w:t>
            </w:r>
          </w:p>
        </w:tc>
        <w:tc>
          <w:tcPr>
            <w:tcW w:w="12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DTD3-1–DTD3-4</w:t>
            </w:r>
          </w:p>
        </w:tc>
        <w:tc>
          <w:tcPr>
            <w:tcW w:w="22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DeLone &amp; McLean (2003); Mergel et al. (2019); Vial (2019).</w:t>
            </w:r>
          </w:p>
        </w:tc>
        <w:tc>
          <w:tcPr>
            <w:tcW w:w="18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مطورة من الباحث استنادًا إلى الأدبيات، وتخضع للتحكيم والاختبار الاستطلاعي.</w:t>
            </w:r>
          </w:p>
        </w:tc>
        <w:tc>
          <w:tcPr>
            <w:tcW w:w="12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موجب</w:t>
            </w:r>
          </w:p>
        </w:tc>
        <w:tc>
          <w:tcPr>
            <w:tcW w:w="2204"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متوسط الفقرات الأربع.</w:t>
            </w:r>
          </w:p>
        </w:tc>
      </w:tr>
      <w:tr w:rsidR="008A3C62">
        <w:trPr>
          <w:jc w:val="center"/>
        </w:trPr>
        <w:tc>
          <w:tcPr>
            <w:tcW w:w="15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 xml:space="preserve">التحوّل الرقمي </w:t>
            </w:r>
            <w:r>
              <w:rPr>
                <w:rFonts w:eastAsia="Traditional Arabic"/>
                <w:color w:val="000000"/>
                <w:sz w:val="16"/>
                <w:rtl/>
              </w:rPr>
              <w:lastRenderedPageBreak/>
              <w:t>المؤسسي</w:t>
            </w:r>
          </w:p>
        </w:tc>
        <w:tc>
          <w:tcPr>
            <w:tcW w:w="10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lastRenderedPageBreak/>
              <w:t>مستقل</w:t>
            </w:r>
          </w:p>
        </w:tc>
        <w:tc>
          <w:tcPr>
            <w:tcW w:w="15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 xml:space="preserve">تكامل العمليات </w:t>
            </w:r>
            <w:r>
              <w:rPr>
                <w:rFonts w:eastAsia="Traditional Arabic"/>
                <w:color w:val="000000"/>
                <w:sz w:val="16"/>
                <w:rtl/>
              </w:rPr>
              <w:lastRenderedPageBreak/>
              <w:t>الرقمية وتبسيط الإجراءات</w:t>
            </w:r>
          </w:p>
        </w:tc>
        <w:tc>
          <w:tcPr>
            <w:tcW w:w="25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lastRenderedPageBreak/>
              <w:t xml:space="preserve">مدى تقليل تكرار الإدخال وربط </w:t>
            </w:r>
            <w:r>
              <w:rPr>
                <w:rFonts w:eastAsia="Traditional Arabic"/>
                <w:color w:val="000000"/>
                <w:sz w:val="16"/>
                <w:rtl/>
              </w:rPr>
              <w:lastRenderedPageBreak/>
              <w:t>الإجراءات وتقليل الورق ووضوح مسار العمل.</w:t>
            </w:r>
          </w:p>
        </w:tc>
        <w:tc>
          <w:tcPr>
            <w:tcW w:w="9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lastRenderedPageBreak/>
              <w:t>4</w:t>
            </w:r>
          </w:p>
        </w:tc>
        <w:tc>
          <w:tcPr>
            <w:tcW w:w="12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DTD4-</w:t>
            </w:r>
            <w:r>
              <w:rPr>
                <w:rFonts w:eastAsia="Traditional Arabic"/>
                <w:color w:val="000000"/>
                <w:sz w:val="16"/>
                <w:rtl/>
              </w:rPr>
              <w:lastRenderedPageBreak/>
              <w:t>1–DTD4-4</w:t>
            </w:r>
          </w:p>
        </w:tc>
        <w:tc>
          <w:tcPr>
            <w:tcW w:w="22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lastRenderedPageBreak/>
              <w:t xml:space="preserve">Vial (2019); </w:t>
            </w:r>
            <w:r>
              <w:rPr>
                <w:rFonts w:eastAsia="Traditional Arabic"/>
                <w:color w:val="000000"/>
                <w:sz w:val="16"/>
                <w:rtl/>
              </w:rPr>
              <w:lastRenderedPageBreak/>
              <w:t>Mergel et al. (2019).</w:t>
            </w:r>
          </w:p>
        </w:tc>
        <w:tc>
          <w:tcPr>
            <w:tcW w:w="18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lastRenderedPageBreak/>
              <w:t xml:space="preserve">تكييف التكامل </w:t>
            </w:r>
            <w:r>
              <w:rPr>
                <w:rFonts w:eastAsia="Traditional Arabic"/>
                <w:color w:val="000000"/>
                <w:sz w:val="16"/>
                <w:rtl/>
              </w:rPr>
              <w:lastRenderedPageBreak/>
              <w:t>والتبسيط إلى الإجراءات المرتبطة بعمل الموظف؛ DTD4-4 مطورة.</w:t>
            </w:r>
          </w:p>
        </w:tc>
        <w:tc>
          <w:tcPr>
            <w:tcW w:w="12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lastRenderedPageBreak/>
              <w:t>موجب</w:t>
            </w:r>
          </w:p>
        </w:tc>
        <w:tc>
          <w:tcPr>
            <w:tcW w:w="2204"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متوسط الفقرات الأربع.</w:t>
            </w:r>
          </w:p>
        </w:tc>
      </w:tr>
      <w:tr w:rsidR="008A3C62">
        <w:trPr>
          <w:jc w:val="center"/>
        </w:trPr>
        <w:tc>
          <w:tcPr>
            <w:tcW w:w="15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قبول التقنية</w:t>
            </w:r>
          </w:p>
        </w:tc>
        <w:tc>
          <w:tcPr>
            <w:tcW w:w="10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وسيط</w:t>
            </w:r>
          </w:p>
        </w:tc>
        <w:tc>
          <w:tcPr>
            <w:tcW w:w="15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المنفعة المتصورة</w:t>
            </w:r>
          </w:p>
        </w:tc>
        <w:tc>
          <w:tcPr>
            <w:tcW w:w="25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درجة اعتقاد الموظف بأن استخدام الأنظمة يرفع كفاءة أدائه وقيمته وتحقيق متطلبات عمله.</w:t>
            </w:r>
          </w:p>
        </w:tc>
        <w:tc>
          <w:tcPr>
            <w:tcW w:w="9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4</w:t>
            </w:r>
          </w:p>
        </w:tc>
        <w:tc>
          <w:tcPr>
            <w:tcW w:w="12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PU-1–PU-4</w:t>
            </w:r>
          </w:p>
        </w:tc>
        <w:tc>
          <w:tcPr>
            <w:tcW w:w="22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Davis (1989); Venkatesh &amp; Davis (2000).</w:t>
            </w:r>
          </w:p>
        </w:tc>
        <w:tc>
          <w:tcPr>
            <w:tcW w:w="18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استبدال صياغة النظام العامة بالأنظمة الرقمية الداخلية ومتطلبات العمل.</w:t>
            </w:r>
          </w:p>
        </w:tc>
        <w:tc>
          <w:tcPr>
            <w:tcW w:w="12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موجب</w:t>
            </w:r>
          </w:p>
        </w:tc>
        <w:tc>
          <w:tcPr>
            <w:tcW w:w="2204"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متوسط الفقرات الأربع.</w:t>
            </w:r>
          </w:p>
        </w:tc>
      </w:tr>
      <w:tr w:rsidR="008A3C62">
        <w:trPr>
          <w:jc w:val="center"/>
        </w:trPr>
        <w:tc>
          <w:tcPr>
            <w:tcW w:w="15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قبول التقنية</w:t>
            </w:r>
          </w:p>
        </w:tc>
        <w:tc>
          <w:tcPr>
            <w:tcW w:w="10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وسيط</w:t>
            </w:r>
          </w:p>
        </w:tc>
        <w:tc>
          <w:tcPr>
            <w:tcW w:w="15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سهولة الاستخدام المتصورة</w:t>
            </w:r>
          </w:p>
        </w:tc>
        <w:tc>
          <w:tcPr>
            <w:tcW w:w="25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درجة إدراك الموظف أن فهم الأنظمة واستخدامها وتعلم خصائصها لا يتطلب جهدًا كبيرًا.</w:t>
            </w:r>
          </w:p>
        </w:tc>
        <w:tc>
          <w:tcPr>
            <w:tcW w:w="9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4</w:t>
            </w:r>
          </w:p>
        </w:tc>
        <w:tc>
          <w:tcPr>
            <w:tcW w:w="12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PEOU-1–PEOU-4</w:t>
            </w:r>
          </w:p>
        </w:tc>
        <w:tc>
          <w:tcPr>
            <w:tcW w:w="22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Davis (1989); Venkatesh &amp; Bala (2008).</w:t>
            </w:r>
          </w:p>
        </w:tc>
        <w:tc>
          <w:tcPr>
            <w:tcW w:w="18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تكييف المقياس للاستخدام اليومي وتجنب التداخل مع التعقيد التقني.</w:t>
            </w:r>
          </w:p>
        </w:tc>
        <w:tc>
          <w:tcPr>
            <w:tcW w:w="12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موجب</w:t>
            </w:r>
          </w:p>
        </w:tc>
        <w:tc>
          <w:tcPr>
            <w:tcW w:w="2204"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متوسط الفقرات الأربع.</w:t>
            </w:r>
          </w:p>
        </w:tc>
      </w:tr>
      <w:tr w:rsidR="008A3C62">
        <w:trPr>
          <w:jc w:val="center"/>
        </w:trPr>
        <w:tc>
          <w:tcPr>
            <w:tcW w:w="15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الإجهاد التقني</w:t>
            </w:r>
          </w:p>
        </w:tc>
        <w:tc>
          <w:tcPr>
            <w:tcW w:w="10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وسيط</w:t>
            </w:r>
          </w:p>
        </w:tc>
        <w:tc>
          <w:tcPr>
            <w:tcW w:w="15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العبء التقني الزائد</w:t>
            </w:r>
          </w:p>
        </w:tc>
        <w:tc>
          <w:tcPr>
            <w:tcW w:w="25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مدى شعور الموظف بأن المتطلبات الرقمية تزيد حجم المهام أو سرعتها وضغطها الزمني.</w:t>
            </w:r>
          </w:p>
        </w:tc>
        <w:tc>
          <w:tcPr>
            <w:tcW w:w="9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4</w:t>
            </w:r>
          </w:p>
        </w:tc>
        <w:tc>
          <w:tcPr>
            <w:tcW w:w="12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TO-1–TO-4</w:t>
            </w:r>
          </w:p>
        </w:tc>
        <w:tc>
          <w:tcPr>
            <w:tcW w:w="22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Ragu-Nathan et al. (2008); Tarafdar et al. (2007, 2011).</w:t>
            </w:r>
          </w:p>
        </w:tc>
        <w:tc>
          <w:tcPr>
            <w:tcW w:w="18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تكييف الألفاظ لسياق العمل وتخفيف الإطلاق.</w:t>
            </w:r>
          </w:p>
        </w:tc>
        <w:tc>
          <w:tcPr>
            <w:tcW w:w="12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موجب: الأعلى = إجهاد أعلى</w:t>
            </w:r>
          </w:p>
        </w:tc>
        <w:tc>
          <w:tcPr>
            <w:tcW w:w="2204"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متوسط الفقرات الأربع.</w:t>
            </w:r>
          </w:p>
        </w:tc>
      </w:tr>
      <w:tr w:rsidR="008A3C62">
        <w:trPr>
          <w:jc w:val="center"/>
        </w:trPr>
        <w:tc>
          <w:tcPr>
            <w:tcW w:w="15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الإجهاد التقني</w:t>
            </w:r>
          </w:p>
        </w:tc>
        <w:tc>
          <w:tcPr>
            <w:tcW w:w="10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وسيط</w:t>
            </w:r>
          </w:p>
        </w:tc>
        <w:tc>
          <w:tcPr>
            <w:tcW w:w="15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التعقيد التقني</w:t>
            </w:r>
          </w:p>
        </w:tc>
        <w:tc>
          <w:tcPr>
            <w:tcW w:w="25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مدى إدراك الموظف لصعوبة بعض الأنظمة أو حاجتها إلى معرفة ووقت إضافيين.</w:t>
            </w:r>
          </w:p>
        </w:tc>
        <w:tc>
          <w:tcPr>
            <w:tcW w:w="9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4</w:t>
            </w:r>
          </w:p>
        </w:tc>
        <w:tc>
          <w:tcPr>
            <w:tcW w:w="12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TC-1–TC-4</w:t>
            </w:r>
          </w:p>
        </w:tc>
        <w:tc>
          <w:tcPr>
            <w:tcW w:w="22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 xml:space="preserve">Ragu-Nathan et al. (2008); Ayyagari et al. </w:t>
            </w:r>
            <w:r>
              <w:rPr>
                <w:rFonts w:eastAsia="Traditional Arabic"/>
                <w:color w:val="000000"/>
                <w:sz w:val="16"/>
                <w:rtl/>
              </w:rPr>
              <w:lastRenderedPageBreak/>
              <w:t>(2011).</w:t>
            </w:r>
          </w:p>
        </w:tc>
        <w:tc>
          <w:tcPr>
            <w:tcW w:w="18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lastRenderedPageBreak/>
              <w:t>تكييف التعقيد إلى خصائص الأنظمة الداخلية.</w:t>
            </w:r>
          </w:p>
        </w:tc>
        <w:tc>
          <w:tcPr>
            <w:tcW w:w="12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موجب: الأعلى = إجهاد أعلى</w:t>
            </w:r>
          </w:p>
        </w:tc>
        <w:tc>
          <w:tcPr>
            <w:tcW w:w="2204"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متوسط الفقرات الأربع.</w:t>
            </w:r>
          </w:p>
        </w:tc>
      </w:tr>
      <w:tr w:rsidR="008A3C62">
        <w:trPr>
          <w:jc w:val="center"/>
        </w:trPr>
        <w:tc>
          <w:tcPr>
            <w:tcW w:w="15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الإجهاد التقني</w:t>
            </w:r>
          </w:p>
        </w:tc>
        <w:tc>
          <w:tcPr>
            <w:tcW w:w="10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وسيط</w:t>
            </w:r>
          </w:p>
        </w:tc>
        <w:tc>
          <w:tcPr>
            <w:tcW w:w="15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عدم اليقين التقني</w:t>
            </w:r>
          </w:p>
        </w:tc>
        <w:tc>
          <w:tcPr>
            <w:tcW w:w="25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مدى شعور الموظف بعدم الوضوح أو الإرباك الناتج عن التحديثات والتغييرات المتكررة.</w:t>
            </w:r>
          </w:p>
        </w:tc>
        <w:tc>
          <w:tcPr>
            <w:tcW w:w="9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4</w:t>
            </w:r>
          </w:p>
        </w:tc>
        <w:tc>
          <w:tcPr>
            <w:tcW w:w="12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TU-1–TU-4</w:t>
            </w:r>
          </w:p>
        </w:tc>
        <w:tc>
          <w:tcPr>
            <w:tcW w:w="22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Ragu-Nathan et al. (2008); Tarafdar et al. (2011).</w:t>
            </w:r>
          </w:p>
        </w:tc>
        <w:tc>
          <w:tcPr>
            <w:tcW w:w="18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ربط التغيرات بإجراءات العمل وتخفيف العبارات المطلقة.</w:t>
            </w:r>
          </w:p>
        </w:tc>
        <w:tc>
          <w:tcPr>
            <w:tcW w:w="12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موجب: الأعلى = إجهاد أعلى</w:t>
            </w:r>
          </w:p>
        </w:tc>
        <w:tc>
          <w:tcPr>
            <w:tcW w:w="2204"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متوسط الفقرات الأربع.</w:t>
            </w:r>
          </w:p>
        </w:tc>
      </w:tr>
      <w:tr w:rsidR="008A3C62">
        <w:trPr>
          <w:jc w:val="center"/>
        </w:trPr>
        <w:tc>
          <w:tcPr>
            <w:tcW w:w="15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الإجهاد التقني</w:t>
            </w:r>
          </w:p>
        </w:tc>
        <w:tc>
          <w:tcPr>
            <w:tcW w:w="10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وسيط</w:t>
            </w:r>
          </w:p>
        </w:tc>
        <w:tc>
          <w:tcPr>
            <w:tcW w:w="15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الاقتحام التقني</w:t>
            </w:r>
          </w:p>
        </w:tc>
        <w:tc>
          <w:tcPr>
            <w:tcW w:w="25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مدى امتداد متطلبات الأنظمة والتنبيهات إلى الوقت الشخصي أو خارج ساعات الدوام.</w:t>
            </w:r>
          </w:p>
        </w:tc>
        <w:tc>
          <w:tcPr>
            <w:tcW w:w="9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4</w:t>
            </w:r>
          </w:p>
        </w:tc>
        <w:tc>
          <w:tcPr>
            <w:tcW w:w="12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TI-1–TI-4</w:t>
            </w:r>
          </w:p>
        </w:tc>
        <w:tc>
          <w:tcPr>
            <w:tcW w:w="22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Ragu-Nathan et al. (2008); Tarafdar et al. (2011).</w:t>
            </w:r>
          </w:p>
        </w:tc>
        <w:tc>
          <w:tcPr>
            <w:tcW w:w="18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إضافة «أحيانًا» و«عند الحاجة» لتجنب التعميم.</w:t>
            </w:r>
          </w:p>
        </w:tc>
        <w:tc>
          <w:tcPr>
            <w:tcW w:w="12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موجب: الأعلى = إجهاد أعلى</w:t>
            </w:r>
          </w:p>
        </w:tc>
        <w:tc>
          <w:tcPr>
            <w:tcW w:w="2204"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متوسط الفقرات الأربع.</w:t>
            </w:r>
          </w:p>
        </w:tc>
      </w:tr>
      <w:tr w:rsidR="008A3C62">
        <w:trPr>
          <w:jc w:val="center"/>
        </w:trPr>
        <w:tc>
          <w:tcPr>
            <w:tcW w:w="15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الرضا الوظيفي في بيئة العمل الرقمية</w:t>
            </w:r>
          </w:p>
        </w:tc>
        <w:tc>
          <w:tcPr>
            <w:tcW w:w="10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تابع</w:t>
            </w:r>
          </w:p>
        </w:tc>
        <w:tc>
          <w:tcPr>
            <w:tcW w:w="15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بناء أحادي في الأداة الحالية</w:t>
            </w:r>
          </w:p>
        </w:tc>
        <w:tc>
          <w:tcPr>
            <w:tcW w:w="25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درجة تقييم الموظف لرضاه العام عن عمله وتجربته وإنجاز مهامه في بيئة العمل الرقمية.</w:t>
            </w:r>
          </w:p>
        </w:tc>
        <w:tc>
          <w:tcPr>
            <w:tcW w:w="9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8</w:t>
            </w:r>
          </w:p>
        </w:tc>
        <w:tc>
          <w:tcPr>
            <w:tcW w:w="12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JS-1–JS-8</w:t>
            </w:r>
          </w:p>
        </w:tc>
        <w:tc>
          <w:tcPr>
            <w:tcW w:w="22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Spector (1997) مع فقرات مكيفة ومطورة. [اعتماد المصدر والصيغة النهائية مطلوب]</w:t>
            </w:r>
          </w:p>
        </w:tc>
        <w:tc>
          <w:tcPr>
            <w:tcW w:w="18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تكييف الرضا للسياق الرقمي؛ لا يُعد JSS كاملًا؛ تخضع الفقرات المطورة للتحكيم والاستطلاع.</w:t>
            </w:r>
          </w:p>
        </w:tc>
        <w:tc>
          <w:tcPr>
            <w:tcW w:w="12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موجب</w:t>
            </w:r>
          </w:p>
        </w:tc>
        <w:tc>
          <w:tcPr>
            <w:tcW w:w="2204"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متوسط الفقرات الثماني بعد اعتماد الصيغة النهائية.</w:t>
            </w:r>
          </w:p>
        </w:tc>
      </w:tr>
      <w:tr w:rsidR="008A3C62">
        <w:trPr>
          <w:jc w:val="center"/>
        </w:trPr>
        <w:tc>
          <w:tcPr>
            <w:tcW w:w="15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الخصائص الديموغرافية والوظيفية</w:t>
            </w:r>
          </w:p>
        </w:tc>
        <w:tc>
          <w:tcPr>
            <w:tcW w:w="10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وصفية/معدلة محتملة</w:t>
            </w:r>
          </w:p>
        </w:tc>
        <w:tc>
          <w:tcPr>
            <w:tcW w:w="15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الجنس، العمر، التعليم، الخبرة، المستوى، طبيعة العمل/الإدارة، تكرار الاستخدام</w:t>
            </w:r>
          </w:p>
        </w:tc>
        <w:tc>
          <w:tcPr>
            <w:tcW w:w="25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خصائص تستخدم لوصف العينة واختبار الفروق أو الاعتدال في المتغيرات المحددة صراحة في H4.</w:t>
            </w:r>
          </w:p>
        </w:tc>
        <w:tc>
          <w:tcPr>
            <w:tcW w:w="9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7 أسئلة</w:t>
            </w:r>
          </w:p>
        </w:tc>
        <w:tc>
          <w:tcPr>
            <w:tcW w:w="12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[رموز قاموس البيانات مطلوبة]</w:t>
            </w:r>
          </w:p>
        </w:tc>
        <w:tc>
          <w:tcPr>
            <w:tcW w:w="22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 xml:space="preserve">مطورة من الباحث؛ يستند تفسير الاعتدال إلى UTAUT والفروق الفردية (Venkatesh et al., 2003; Morris &amp; </w:t>
            </w:r>
            <w:r>
              <w:rPr>
                <w:rFonts w:eastAsia="Traditional Arabic"/>
                <w:color w:val="000000"/>
                <w:sz w:val="16"/>
                <w:rtl/>
              </w:rPr>
              <w:lastRenderedPageBreak/>
              <w:t>Venkatesh, 2000).</w:t>
            </w:r>
          </w:p>
        </w:tc>
        <w:tc>
          <w:tcPr>
            <w:tcW w:w="18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lastRenderedPageBreak/>
              <w:t>تكييف الخيارات لسياق الوزارة ومنع الفئات الكاشفة للهوية.</w:t>
            </w:r>
          </w:p>
        </w:tc>
        <w:tc>
          <w:tcPr>
            <w:tcW w:w="12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فئوي/رتبي بحسب السؤال</w:t>
            </w:r>
          </w:p>
        </w:tc>
        <w:tc>
          <w:tcPr>
            <w:tcW w:w="2204"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6"/>
                <w:rtl/>
              </w:rPr>
              <w:t>ترميز فئوي موثق؛ لا تُحسب درجة كلية.</w:t>
            </w:r>
          </w:p>
        </w:tc>
      </w:tr>
    </w:tbl>
    <w:p w:rsidR="008A3C62" w:rsidRDefault="00327AE4" w:rsidP="00327AE4">
      <w:pPr>
        <w:bidi/>
        <w:spacing w:before="80" w:after="160"/>
      </w:pPr>
      <w:r>
        <w:rPr>
          <w:rFonts w:eastAsia="Traditional Arabic"/>
          <w:color w:val="4F5B66"/>
          <w:sz w:val="21"/>
          <w:rtl/>
        </w:rPr>
        <w:t>المصدر: إعداد الباحث استنادًا إلى الاستبانة V2 والمصادر المبينة في الجدول.</w:t>
      </w:r>
    </w:p>
    <w:p w:rsidR="008A3C62" w:rsidRDefault="008A3C62" w:rsidP="00327AE4">
      <w:pPr>
        <w:bidi/>
        <w:sectPr w:rsidR="008A3C62">
          <w:pgSz w:w="16838" w:h="11906" w:orient="landscape"/>
          <w:pgMar w:top="1417" w:right="1417" w:bottom="1417" w:left="1417" w:header="709" w:footer="709" w:gutter="0"/>
          <w:cols w:space="720"/>
          <w:titlePg/>
          <w:docGrid w:linePitch="360"/>
        </w:sectPr>
      </w:pPr>
    </w:p>
    <w:p w:rsidR="008A3C62" w:rsidRDefault="00327AE4" w:rsidP="00327AE4">
      <w:pPr>
        <w:bidi/>
      </w:pPr>
      <w:r>
        <w:rPr>
          <w:rFonts w:eastAsia="Traditional Arabic"/>
          <w:color w:val="000000"/>
          <w:rtl/>
        </w:rPr>
        <w:lastRenderedPageBreak/>
        <w:t>توضح المصفوفة أن احتساب المتوسطات يخدم الوصف الأولي، بينما يعتمد تمثيل البنى الكامنة في PLS-SEM على مواصفة نموذج القياس النهائي. ويلزم قبل التحليل تثبيت نوع البنى الأعلى وطريقة تقديرها [مواصفة نموذج القياس الهرمي مطلوبة]، ولا تُحذف أي فقرة آليًا دون مراعاة صدق المحتوى والأساس النظري.</w:t>
      </w:r>
    </w:p>
    <w:p w:rsidR="008A3C62" w:rsidRDefault="00327AE4" w:rsidP="00327AE4">
      <w:pPr>
        <w:pStyle w:val="Heading1"/>
        <w:bidi/>
        <w:spacing w:before="280" w:after="140"/>
      </w:pPr>
      <w:r>
        <w:rPr>
          <w:rFonts w:ascii="Times New Roman" w:eastAsia="Traditional Arabic" w:hAnsi="Times New Roman" w:cs="Traditional Arabic"/>
          <w:rtl/>
        </w:rPr>
        <w:t>3.5 بناء الأداة وتحكيمها</w:t>
      </w:r>
    </w:p>
    <w:p w:rsidR="008A3C62" w:rsidRDefault="00327AE4" w:rsidP="00327AE4">
      <w:pPr>
        <w:bidi/>
      </w:pPr>
      <w:r>
        <w:rPr>
          <w:rFonts w:eastAsia="Traditional Arabic"/>
          <w:color w:val="000000"/>
          <w:rtl/>
        </w:rPr>
        <w:t>بُنيت الأداة بالاستناد إلى التعريفات الإجرائية والمقاييس والمفاهيم الواردة في الأدبيات، ثم كُيفت الصياغات مع سياق الأنظمة الرقمية الداخلية في الوزارة. ولا تُعد الأداة نهائية للتطبيق قبل إكمال التحكيم العلمي والترجمة والتكييف والتجربة الاستطلاعية وتوثيق القرارات.</w:t>
      </w:r>
    </w:p>
    <w:p w:rsidR="008A3C62" w:rsidRDefault="00327AE4" w:rsidP="00327AE4">
      <w:pPr>
        <w:pStyle w:val="Heading2"/>
        <w:bidi/>
        <w:spacing w:before="220" w:after="100"/>
      </w:pPr>
      <w:r>
        <w:rPr>
          <w:rFonts w:ascii="Times New Roman" w:eastAsia="Traditional Arabic" w:hAnsi="Times New Roman" w:cs="Traditional Arabic"/>
          <w:rtl/>
        </w:rPr>
        <w:t>3.5.1 الصدق الظاهري وصدق المحتوى</w:t>
      </w:r>
    </w:p>
    <w:p w:rsidR="008A3C62" w:rsidRDefault="00327AE4" w:rsidP="00327AE4">
      <w:pPr>
        <w:bidi/>
      </w:pPr>
      <w:r>
        <w:rPr>
          <w:rFonts w:eastAsia="Traditional Arabic"/>
          <w:color w:val="000000"/>
          <w:rtl/>
        </w:rPr>
        <w:t>ستُعرض الأداة على محكمين من ذوي الاختصاص في الإدارة والتحوّل الرقمي ونظم المعلومات ومناهج البحث والقياس واللغة، للتحقق من ملاءمة كل فقرة وانتمائها للبُعد ووضوحها وسلامة صياغتها وملاءمتها للسياق، واقتراح إبقائها أو تعديلها أو حذفها أو إضافة غيرها. ويُثبت عدد المحكمين وتخصصاتهم وجهاتهم قبل اعتماد الأداة [عدد المحكمين مطلوب] [تخصصات المحكمين مطلوبة].</w:t>
      </w:r>
    </w:p>
    <w:p w:rsidR="008A3C62" w:rsidRDefault="00327AE4" w:rsidP="00327AE4">
      <w:pPr>
        <w:pStyle w:val="Caption"/>
        <w:keepNext/>
        <w:keepLines/>
        <w:bidi/>
        <w:spacing w:before="160" w:after="80" w:line="360" w:lineRule="auto"/>
        <w:rPr>
          <w:rFonts w:hint="eastAsia"/>
        </w:rPr>
      </w:pPr>
      <w:r>
        <w:rPr>
          <w:rFonts w:ascii="Times New Roman" w:eastAsia="Traditional Arabic" w:hAnsi="Times New Roman"/>
          <w:rtl/>
        </w:rPr>
        <w:t>جدول (3-5): بيانات المحكمين ومجالات التحكيم</w:t>
      </w:r>
    </w:p>
    <w:tbl>
      <w:tblPr>
        <w:tblStyle w:val="TableGrid"/>
        <w:bidiVisual/>
        <w:tblW w:w="9072" w:type="dxa"/>
        <w:jc w:val="center"/>
        <w:tblLayout w:type="fixed"/>
        <w:tblLook w:val="04A0" w:firstRow="1" w:lastRow="0" w:firstColumn="1" w:lastColumn="0" w:noHBand="0" w:noVBand="1"/>
      </w:tblPr>
      <w:tblGrid>
        <w:gridCol w:w="1700"/>
        <w:gridCol w:w="2000"/>
        <w:gridCol w:w="2000"/>
        <w:gridCol w:w="3372"/>
      </w:tblGrid>
      <w:tr w:rsidR="008A3C62">
        <w:trPr>
          <w:tblHeader/>
          <w:jc w:val="center"/>
        </w:trPr>
        <w:tc>
          <w:tcPr>
            <w:tcW w:w="1700" w:type="dxa"/>
            <w:shd w:val="clear" w:color="auto" w:fill="D9E2F3"/>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b/>
                <w:color w:val="000000"/>
                <w:sz w:val="19"/>
                <w:rtl/>
              </w:rPr>
              <w:t>المحكم</w:t>
            </w:r>
          </w:p>
        </w:tc>
        <w:tc>
          <w:tcPr>
            <w:tcW w:w="2000" w:type="dxa"/>
            <w:shd w:val="clear" w:color="auto" w:fill="D9E2F3"/>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b/>
                <w:color w:val="000000"/>
                <w:sz w:val="19"/>
                <w:rtl/>
              </w:rPr>
              <w:t>التخصص</w:t>
            </w:r>
          </w:p>
        </w:tc>
        <w:tc>
          <w:tcPr>
            <w:tcW w:w="2000" w:type="dxa"/>
            <w:shd w:val="clear" w:color="auto" w:fill="D9E2F3"/>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b/>
                <w:color w:val="000000"/>
                <w:sz w:val="19"/>
                <w:rtl/>
              </w:rPr>
              <w:t>الجهة</w:t>
            </w:r>
          </w:p>
        </w:tc>
        <w:tc>
          <w:tcPr>
            <w:tcW w:w="3372" w:type="dxa"/>
            <w:shd w:val="clear" w:color="auto" w:fill="D9E2F3"/>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b/>
                <w:color w:val="000000"/>
                <w:sz w:val="19"/>
                <w:rtl/>
              </w:rPr>
              <w:t>مجال التحكيم</w:t>
            </w:r>
          </w:p>
        </w:tc>
      </w:tr>
      <w:tr w:rsidR="008A3C62">
        <w:trPr>
          <w:jc w:val="center"/>
        </w:trPr>
        <w:tc>
          <w:tcPr>
            <w:tcW w:w="17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9"/>
                <w:rtl/>
              </w:rPr>
              <w:t>[المحكم رقم/رمز]</w:t>
            </w:r>
          </w:p>
        </w:tc>
        <w:tc>
          <w:tcPr>
            <w:tcW w:w="20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9"/>
                <w:rtl/>
              </w:rPr>
              <w:t>[التخصص مطلوب]</w:t>
            </w:r>
          </w:p>
        </w:tc>
        <w:tc>
          <w:tcPr>
            <w:tcW w:w="20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9"/>
                <w:rtl/>
              </w:rPr>
              <w:t>[الجهة مطلوبة]</w:t>
            </w:r>
          </w:p>
        </w:tc>
        <w:tc>
          <w:tcPr>
            <w:tcW w:w="3372"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9"/>
                <w:rtl/>
              </w:rPr>
              <w:t>ملاءمة الفقرات وانتماؤها ووضوحها وصياغتها والتعديل/الحذف/الإضافة</w:t>
            </w:r>
          </w:p>
        </w:tc>
      </w:tr>
      <w:tr w:rsidR="008A3C62">
        <w:trPr>
          <w:jc w:val="center"/>
        </w:trPr>
        <w:tc>
          <w:tcPr>
            <w:tcW w:w="17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9"/>
                <w:rtl/>
              </w:rPr>
              <w:t>[تُضاف صفوف بعد تثبيت العدد]</w:t>
            </w:r>
          </w:p>
        </w:tc>
        <w:tc>
          <w:tcPr>
            <w:tcW w:w="20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9"/>
                <w:rtl/>
              </w:rPr>
              <w:t>[يُستكمل]</w:t>
            </w:r>
          </w:p>
        </w:tc>
        <w:tc>
          <w:tcPr>
            <w:tcW w:w="20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9"/>
                <w:rtl/>
              </w:rPr>
              <w:t>[يُستكمل]</w:t>
            </w:r>
          </w:p>
        </w:tc>
        <w:tc>
          <w:tcPr>
            <w:tcW w:w="3372"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9"/>
                <w:rtl/>
              </w:rPr>
              <w:t>[يُستكمل]</w:t>
            </w:r>
          </w:p>
        </w:tc>
      </w:tr>
    </w:tbl>
    <w:p w:rsidR="008A3C62" w:rsidRDefault="00327AE4" w:rsidP="00327AE4">
      <w:pPr>
        <w:bidi/>
        <w:spacing w:before="80" w:after="160"/>
      </w:pPr>
      <w:r>
        <w:rPr>
          <w:rFonts w:eastAsia="Traditional Arabic"/>
          <w:color w:val="4F5B66"/>
          <w:sz w:val="21"/>
          <w:rtl/>
        </w:rPr>
        <w:t>المصدر: إعداد الباحث؛ يُستكمل من نماذج التحكيم المعتمدة.</w:t>
      </w:r>
    </w:p>
    <w:p w:rsidR="008A3C62" w:rsidRDefault="00327AE4" w:rsidP="00327AE4">
      <w:pPr>
        <w:bidi/>
      </w:pPr>
      <w:r>
        <w:rPr>
          <w:rFonts w:eastAsia="Traditional Arabic"/>
          <w:color w:val="000000"/>
          <w:rtl/>
        </w:rPr>
        <w:t>ويُوثق قرار كل فقرة في سجل تحكيم يتضمن رأي المحكمين والاستجابة والسبب. ويعرض جدول (3-6) مصفوفة الربط التي ستستخدم للتحقق من تغطية الأبعاد ومصادرها وملاحظات التحكيم.</w:t>
      </w:r>
    </w:p>
    <w:p w:rsidR="008A3C62" w:rsidRDefault="008A3C62" w:rsidP="00327AE4">
      <w:pPr>
        <w:bidi/>
        <w:sectPr w:rsidR="008A3C62">
          <w:pgSz w:w="11906" w:h="16838"/>
          <w:pgMar w:top="1417" w:right="1417" w:bottom="1417" w:left="1417" w:header="709" w:footer="709" w:gutter="0"/>
          <w:cols w:space="720"/>
          <w:titlePg/>
          <w:docGrid w:linePitch="360"/>
        </w:sectPr>
      </w:pPr>
    </w:p>
    <w:p w:rsidR="008A3C62" w:rsidRDefault="00327AE4" w:rsidP="00327AE4">
      <w:pPr>
        <w:pStyle w:val="Caption"/>
        <w:keepNext/>
        <w:keepLines/>
        <w:bidi/>
        <w:spacing w:before="160" w:after="80" w:line="360" w:lineRule="auto"/>
        <w:rPr>
          <w:rFonts w:hint="eastAsia"/>
        </w:rPr>
      </w:pPr>
      <w:r>
        <w:rPr>
          <w:rFonts w:ascii="Times New Roman" w:eastAsia="Traditional Arabic" w:hAnsi="Times New Roman"/>
          <w:rtl/>
        </w:rPr>
        <w:lastRenderedPageBreak/>
        <w:t>جدول (3-6): مصفوفة صدق المحتوى وربط الأبعاد بالفقرات والمصادر</w:t>
      </w:r>
    </w:p>
    <w:tbl>
      <w:tblPr>
        <w:tblStyle w:val="TableGrid"/>
        <w:bidiVisual/>
        <w:tblW w:w="14004" w:type="dxa"/>
        <w:jc w:val="center"/>
        <w:tblLayout w:type="fixed"/>
        <w:tblLook w:val="04A0" w:firstRow="1" w:lastRow="0" w:firstColumn="1" w:lastColumn="0" w:noHBand="0" w:noVBand="1"/>
      </w:tblPr>
      <w:tblGrid>
        <w:gridCol w:w="1700"/>
        <w:gridCol w:w="2200"/>
        <w:gridCol w:w="1700"/>
        <w:gridCol w:w="3100"/>
        <w:gridCol w:w="2800"/>
        <w:gridCol w:w="2504"/>
      </w:tblGrid>
      <w:tr w:rsidR="008A3C62">
        <w:trPr>
          <w:tblHeader/>
          <w:jc w:val="center"/>
        </w:trPr>
        <w:tc>
          <w:tcPr>
            <w:tcW w:w="1700" w:type="dxa"/>
            <w:shd w:val="clear" w:color="auto" w:fill="D9E2F3"/>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b/>
                <w:color w:val="000000"/>
                <w:sz w:val="17"/>
                <w:rtl/>
              </w:rPr>
              <w:t>المتغير</w:t>
            </w:r>
          </w:p>
        </w:tc>
        <w:tc>
          <w:tcPr>
            <w:tcW w:w="2200" w:type="dxa"/>
            <w:shd w:val="clear" w:color="auto" w:fill="D9E2F3"/>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b/>
                <w:color w:val="000000"/>
                <w:sz w:val="17"/>
                <w:rtl/>
              </w:rPr>
              <w:t>البُعد</w:t>
            </w:r>
          </w:p>
        </w:tc>
        <w:tc>
          <w:tcPr>
            <w:tcW w:w="1700" w:type="dxa"/>
            <w:shd w:val="clear" w:color="auto" w:fill="D9E2F3"/>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b/>
                <w:color w:val="000000"/>
                <w:sz w:val="17"/>
                <w:rtl/>
              </w:rPr>
              <w:t>رموز الفقرات</w:t>
            </w:r>
          </w:p>
        </w:tc>
        <w:tc>
          <w:tcPr>
            <w:tcW w:w="3100" w:type="dxa"/>
            <w:shd w:val="clear" w:color="auto" w:fill="D9E2F3"/>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b/>
                <w:color w:val="000000"/>
                <w:sz w:val="17"/>
                <w:rtl/>
              </w:rPr>
              <w:t>المصادر</w:t>
            </w:r>
          </w:p>
        </w:tc>
        <w:tc>
          <w:tcPr>
            <w:tcW w:w="2800" w:type="dxa"/>
            <w:shd w:val="clear" w:color="auto" w:fill="D9E2F3"/>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b/>
                <w:color w:val="000000"/>
                <w:sz w:val="17"/>
                <w:rtl/>
              </w:rPr>
              <w:t>حالة الفقرات</w:t>
            </w:r>
          </w:p>
        </w:tc>
        <w:tc>
          <w:tcPr>
            <w:tcW w:w="2504" w:type="dxa"/>
            <w:shd w:val="clear" w:color="auto" w:fill="D9E2F3"/>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b/>
                <w:color w:val="000000"/>
                <w:sz w:val="17"/>
                <w:rtl/>
              </w:rPr>
              <w:t>ملاحظات التحكيم</w:t>
            </w:r>
          </w:p>
        </w:tc>
      </w:tr>
      <w:tr w:rsidR="008A3C62">
        <w:trPr>
          <w:jc w:val="center"/>
        </w:trPr>
        <w:tc>
          <w:tcPr>
            <w:tcW w:w="17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التحوّل الرقمي</w:t>
            </w:r>
          </w:p>
        </w:tc>
        <w:tc>
          <w:tcPr>
            <w:tcW w:w="22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توفر وانتشار الأنظمة</w:t>
            </w:r>
          </w:p>
        </w:tc>
        <w:tc>
          <w:tcPr>
            <w:tcW w:w="17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DTD1-1–DTD1-4</w:t>
            </w:r>
          </w:p>
        </w:tc>
        <w:tc>
          <w:tcPr>
            <w:tcW w:w="31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Vial; Mergel et al.; DeLone &amp; McLean</w:t>
            </w:r>
          </w:p>
        </w:tc>
        <w:tc>
          <w:tcPr>
            <w:tcW w:w="28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مكيف</w:t>
            </w:r>
          </w:p>
        </w:tc>
        <w:tc>
          <w:tcPr>
            <w:tcW w:w="2504"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[نتيجة التحكيم مطلوبة]</w:t>
            </w:r>
          </w:p>
        </w:tc>
      </w:tr>
      <w:tr w:rsidR="008A3C62">
        <w:trPr>
          <w:jc w:val="center"/>
        </w:trPr>
        <w:tc>
          <w:tcPr>
            <w:tcW w:w="17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التحوّل الرقمي</w:t>
            </w:r>
          </w:p>
        </w:tc>
        <w:tc>
          <w:tcPr>
            <w:tcW w:w="22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كفاءة الأنظمة والعمليات</w:t>
            </w:r>
          </w:p>
        </w:tc>
        <w:tc>
          <w:tcPr>
            <w:tcW w:w="17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DTD2-1–DTD2-5</w:t>
            </w:r>
          </w:p>
        </w:tc>
        <w:tc>
          <w:tcPr>
            <w:tcW w:w="31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DeLone &amp; McLean; Vial; Mergel et al.</w:t>
            </w:r>
          </w:p>
        </w:tc>
        <w:tc>
          <w:tcPr>
            <w:tcW w:w="28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مكيف</w:t>
            </w:r>
          </w:p>
        </w:tc>
        <w:tc>
          <w:tcPr>
            <w:tcW w:w="2504"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[نتيجة التحكيم مطلوبة]</w:t>
            </w:r>
          </w:p>
        </w:tc>
      </w:tr>
      <w:tr w:rsidR="008A3C62">
        <w:trPr>
          <w:jc w:val="center"/>
        </w:trPr>
        <w:tc>
          <w:tcPr>
            <w:tcW w:w="17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التحوّل الرقمي</w:t>
            </w:r>
          </w:p>
        </w:tc>
        <w:tc>
          <w:tcPr>
            <w:tcW w:w="22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الدعم الفني والتدريب</w:t>
            </w:r>
          </w:p>
        </w:tc>
        <w:tc>
          <w:tcPr>
            <w:tcW w:w="17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DTD3-1–DTD3-4</w:t>
            </w:r>
          </w:p>
        </w:tc>
        <w:tc>
          <w:tcPr>
            <w:tcW w:w="31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DeLone &amp; McLean; Mergel et al.; Vial</w:t>
            </w:r>
          </w:p>
        </w:tc>
        <w:tc>
          <w:tcPr>
            <w:tcW w:w="28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DTD3-1 وDTD3-2 وDTD3-4 مطورة من الباحث</w:t>
            </w:r>
          </w:p>
        </w:tc>
        <w:tc>
          <w:tcPr>
            <w:tcW w:w="2504"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[اعتماد المحكمين مطلوب]</w:t>
            </w:r>
          </w:p>
        </w:tc>
      </w:tr>
      <w:tr w:rsidR="008A3C62">
        <w:trPr>
          <w:jc w:val="center"/>
        </w:trPr>
        <w:tc>
          <w:tcPr>
            <w:tcW w:w="17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التحوّل الرقمي</w:t>
            </w:r>
          </w:p>
        </w:tc>
        <w:tc>
          <w:tcPr>
            <w:tcW w:w="22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التكامل والتبسيط</w:t>
            </w:r>
          </w:p>
        </w:tc>
        <w:tc>
          <w:tcPr>
            <w:tcW w:w="17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DTD4-1–DTD4-4</w:t>
            </w:r>
          </w:p>
        </w:tc>
        <w:tc>
          <w:tcPr>
            <w:tcW w:w="31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Vial; Mergel et al.</w:t>
            </w:r>
          </w:p>
        </w:tc>
        <w:tc>
          <w:tcPr>
            <w:tcW w:w="28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DTD4-4 مطورة من الباحث</w:t>
            </w:r>
          </w:p>
        </w:tc>
        <w:tc>
          <w:tcPr>
            <w:tcW w:w="2504"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[اعتماد المحكمين مطلوب]</w:t>
            </w:r>
          </w:p>
        </w:tc>
      </w:tr>
      <w:tr w:rsidR="008A3C62">
        <w:trPr>
          <w:jc w:val="center"/>
        </w:trPr>
        <w:tc>
          <w:tcPr>
            <w:tcW w:w="17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قبول التقنية</w:t>
            </w:r>
          </w:p>
        </w:tc>
        <w:tc>
          <w:tcPr>
            <w:tcW w:w="22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المنفعة المتصورة</w:t>
            </w:r>
          </w:p>
        </w:tc>
        <w:tc>
          <w:tcPr>
            <w:tcW w:w="17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PU-1–PU-4</w:t>
            </w:r>
          </w:p>
        </w:tc>
        <w:tc>
          <w:tcPr>
            <w:tcW w:w="31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Davis; Venkatesh &amp; Davis</w:t>
            </w:r>
          </w:p>
        </w:tc>
        <w:tc>
          <w:tcPr>
            <w:tcW w:w="28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مكيف</w:t>
            </w:r>
          </w:p>
        </w:tc>
        <w:tc>
          <w:tcPr>
            <w:tcW w:w="2504"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[نتيجة التحكيم مطلوبة]</w:t>
            </w:r>
          </w:p>
        </w:tc>
      </w:tr>
      <w:tr w:rsidR="008A3C62">
        <w:trPr>
          <w:jc w:val="center"/>
        </w:trPr>
        <w:tc>
          <w:tcPr>
            <w:tcW w:w="17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قبول التقنية</w:t>
            </w:r>
          </w:p>
        </w:tc>
        <w:tc>
          <w:tcPr>
            <w:tcW w:w="22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سهولة الاستخدام المتصورة</w:t>
            </w:r>
          </w:p>
        </w:tc>
        <w:tc>
          <w:tcPr>
            <w:tcW w:w="17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PEOU-1–PEOU-4</w:t>
            </w:r>
          </w:p>
        </w:tc>
        <w:tc>
          <w:tcPr>
            <w:tcW w:w="31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Davis; Venkatesh &amp; Bala</w:t>
            </w:r>
          </w:p>
        </w:tc>
        <w:tc>
          <w:tcPr>
            <w:tcW w:w="28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مكيف</w:t>
            </w:r>
          </w:p>
        </w:tc>
        <w:tc>
          <w:tcPr>
            <w:tcW w:w="2504"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[نتيجة التحكيم مطلوبة]</w:t>
            </w:r>
          </w:p>
        </w:tc>
      </w:tr>
      <w:tr w:rsidR="008A3C62">
        <w:trPr>
          <w:jc w:val="center"/>
        </w:trPr>
        <w:tc>
          <w:tcPr>
            <w:tcW w:w="17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الإجهاد التقني</w:t>
            </w:r>
          </w:p>
        </w:tc>
        <w:tc>
          <w:tcPr>
            <w:tcW w:w="22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العبء التقني</w:t>
            </w:r>
          </w:p>
        </w:tc>
        <w:tc>
          <w:tcPr>
            <w:tcW w:w="17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TO-1–TO-4</w:t>
            </w:r>
          </w:p>
        </w:tc>
        <w:tc>
          <w:tcPr>
            <w:tcW w:w="31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Ragu-Nathan et al.; Tarafdar et al.</w:t>
            </w:r>
          </w:p>
        </w:tc>
        <w:tc>
          <w:tcPr>
            <w:tcW w:w="28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مكيف</w:t>
            </w:r>
          </w:p>
        </w:tc>
        <w:tc>
          <w:tcPr>
            <w:tcW w:w="2504"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[نتيجة التحكيم مطلوبة]</w:t>
            </w:r>
          </w:p>
        </w:tc>
      </w:tr>
      <w:tr w:rsidR="008A3C62">
        <w:trPr>
          <w:jc w:val="center"/>
        </w:trPr>
        <w:tc>
          <w:tcPr>
            <w:tcW w:w="17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الإجهاد التقني</w:t>
            </w:r>
          </w:p>
        </w:tc>
        <w:tc>
          <w:tcPr>
            <w:tcW w:w="22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التعقيد التقني</w:t>
            </w:r>
          </w:p>
        </w:tc>
        <w:tc>
          <w:tcPr>
            <w:tcW w:w="17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TC-1–TC-4</w:t>
            </w:r>
          </w:p>
        </w:tc>
        <w:tc>
          <w:tcPr>
            <w:tcW w:w="31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Ragu-Nathan et al.; Ayyagari et al.</w:t>
            </w:r>
          </w:p>
        </w:tc>
        <w:tc>
          <w:tcPr>
            <w:tcW w:w="28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مكيف</w:t>
            </w:r>
          </w:p>
        </w:tc>
        <w:tc>
          <w:tcPr>
            <w:tcW w:w="2504"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[نتيجة التحكيم مطلوبة]</w:t>
            </w:r>
          </w:p>
        </w:tc>
      </w:tr>
      <w:tr w:rsidR="008A3C62">
        <w:trPr>
          <w:jc w:val="center"/>
        </w:trPr>
        <w:tc>
          <w:tcPr>
            <w:tcW w:w="17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الإجهاد التقني</w:t>
            </w:r>
          </w:p>
        </w:tc>
        <w:tc>
          <w:tcPr>
            <w:tcW w:w="22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عدم اليقين التقني</w:t>
            </w:r>
          </w:p>
        </w:tc>
        <w:tc>
          <w:tcPr>
            <w:tcW w:w="17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TU-1–TU-4</w:t>
            </w:r>
          </w:p>
        </w:tc>
        <w:tc>
          <w:tcPr>
            <w:tcW w:w="31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 xml:space="preserve">Ragu-Nathan et al.; Tarafdar et </w:t>
            </w:r>
            <w:r>
              <w:rPr>
                <w:rFonts w:eastAsia="Traditional Arabic"/>
                <w:color w:val="000000"/>
                <w:sz w:val="17"/>
                <w:rtl/>
              </w:rPr>
              <w:lastRenderedPageBreak/>
              <w:t>al.</w:t>
            </w:r>
          </w:p>
        </w:tc>
        <w:tc>
          <w:tcPr>
            <w:tcW w:w="28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lastRenderedPageBreak/>
              <w:t>مكيف</w:t>
            </w:r>
          </w:p>
        </w:tc>
        <w:tc>
          <w:tcPr>
            <w:tcW w:w="2504"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[نتيجة التحكيم مطلوبة]</w:t>
            </w:r>
          </w:p>
        </w:tc>
      </w:tr>
      <w:tr w:rsidR="008A3C62">
        <w:trPr>
          <w:jc w:val="center"/>
        </w:trPr>
        <w:tc>
          <w:tcPr>
            <w:tcW w:w="17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الإجهاد التقني</w:t>
            </w:r>
          </w:p>
        </w:tc>
        <w:tc>
          <w:tcPr>
            <w:tcW w:w="22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الاقتحام التقني</w:t>
            </w:r>
          </w:p>
        </w:tc>
        <w:tc>
          <w:tcPr>
            <w:tcW w:w="17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TI-1–TI-4</w:t>
            </w:r>
          </w:p>
        </w:tc>
        <w:tc>
          <w:tcPr>
            <w:tcW w:w="31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Ragu-Nathan et al.; Tarafdar et al.</w:t>
            </w:r>
          </w:p>
        </w:tc>
        <w:tc>
          <w:tcPr>
            <w:tcW w:w="28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مكيف</w:t>
            </w:r>
          </w:p>
        </w:tc>
        <w:tc>
          <w:tcPr>
            <w:tcW w:w="2504"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[نتيجة التحكيم مطلوبة]</w:t>
            </w:r>
          </w:p>
        </w:tc>
      </w:tr>
      <w:tr w:rsidR="008A3C62">
        <w:trPr>
          <w:jc w:val="center"/>
        </w:trPr>
        <w:tc>
          <w:tcPr>
            <w:tcW w:w="17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الرضا الوظيفي</w:t>
            </w:r>
          </w:p>
        </w:tc>
        <w:tc>
          <w:tcPr>
            <w:tcW w:w="22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الرضا في بيئة العمل الرقمية</w:t>
            </w:r>
          </w:p>
        </w:tc>
        <w:tc>
          <w:tcPr>
            <w:tcW w:w="17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JS-1–JS-8</w:t>
            </w:r>
          </w:p>
        </w:tc>
        <w:tc>
          <w:tcPr>
            <w:tcW w:w="31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Spector (1997) وأدبيات السياق</w:t>
            </w:r>
          </w:p>
        </w:tc>
        <w:tc>
          <w:tcPr>
            <w:tcW w:w="28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JS-3 وJS-5 وJS-6 وJS-7 وJS-8 مطورة/تحتاج اعتمادًا</w:t>
            </w:r>
          </w:p>
        </w:tc>
        <w:tc>
          <w:tcPr>
            <w:tcW w:w="2504"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[اعتماد المصدر والمحكمين مطلوب]</w:t>
            </w:r>
          </w:p>
        </w:tc>
      </w:tr>
      <w:tr w:rsidR="008A3C62">
        <w:trPr>
          <w:jc w:val="center"/>
        </w:trPr>
        <w:tc>
          <w:tcPr>
            <w:tcW w:w="17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الخصائص العامة</w:t>
            </w:r>
          </w:p>
        </w:tc>
        <w:tc>
          <w:tcPr>
            <w:tcW w:w="22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ديموغرافية ووظيفية</w:t>
            </w:r>
          </w:p>
        </w:tc>
        <w:tc>
          <w:tcPr>
            <w:tcW w:w="17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7 أسئلة عامة</w:t>
            </w:r>
          </w:p>
        </w:tc>
        <w:tc>
          <w:tcPr>
            <w:tcW w:w="31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مطورة من الباحث</w:t>
            </w:r>
          </w:p>
        </w:tc>
        <w:tc>
          <w:tcPr>
            <w:tcW w:w="28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خيارات سياقية</w:t>
            </w:r>
          </w:p>
        </w:tc>
        <w:tc>
          <w:tcPr>
            <w:tcW w:w="2504"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[مراجعة الخصوصية والفئات مطلوبة]</w:t>
            </w:r>
          </w:p>
        </w:tc>
      </w:tr>
    </w:tbl>
    <w:p w:rsidR="008A3C62" w:rsidRDefault="00327AE4" w:rsidP="00327AE4">
      <w:pPr>
        <w:bidi/>
        <w:spacing w:before="80" w:after="160"/>
      </w:pPr>
      <w:r>
        <w:rPr>
          <w:rFonts w:eastAsia="Traditional Arabic"/>
          <w:color w:val="4F5B66"/>
          <w:sz w:val="21"/>
          <w:rtl/>
        </w:rPr>
        <w:t>المصدر: إعداد الباحث استنادًا إلى الاستبانة V2؛ تُستكمل نتائج التحكيم بعد التنفيذ.</w:t>
      </w:r>
    </w:p>
    <w:p w:rsidR="008A3C62" w:rsidRDefault="008A3C62" w:rsidP="00327AE4">
      <w:pPr>
        <w:bidi/>
        <w:sectPr w:rsidR="008A3C62">
          <w:pgSz w:w="16838" w:h="11906" w:orient="landscape"/>
          <w:pgMar w:top="1417" w:right="1417" w:bottom="1417" w:left="1417" w:header="709" w:footer="709" w:gutter="0"/>
          <w:cols w:space="720"/>
          <w:titlePg/>
          <w:docGrid w:linePitch="360"/>
        </w:sectPr>
      </w:pPr>
    </w:p>
    <w:p w:rsidR="008A3C62" w:rsidRDefault="00327AE4" w:rsidP="00327AE4">
      <w:pPr>
        <w:bidi/>
      </w:pPr>
      <w:r>
        <w:rPr>
          <w:rFonts w:eastAsia="Traditional Arabic"/>
          <w:color w:val="000000"/>
          <w:rtl/>
        </w:rPr>
        <w:lastRenderedPageBreak/>
        <w:t>تمنع هذه المصفوفة اعتماد فقرة دون بعد ومصدر أو مبرر تطوير، وتُظهر صراحة الفقرات التي طُورت من الباحث استنادًا إلى الأدبيات وتخضع للتحكيم والاختبار الاستطلاعي.</w:t>
      </w:r>
    </w:p>
    <w:p w:rsidR="008A3C62" w:rsidRDefault="00327AE4" w:rsidP="00327AE4">
      <w:pPr>
        <w:pStyle w:val="Heading2"/>
        <w:bidi/>
        <w:spacing w:before="220" w:after="100"/>
      </w:pPr>
      <w:r>
        <w:rPr>
          <w:rFonts w:ascii="Times New Roman" w:eastAsia="Traditional Arabic" w:hAnsi="Times New Roman" w:cs="Traditional Arabic"/>
          <w:rtl/>
        </w:rPr>
        <w:t>3.5.2 الترجمة والتكييف الثقافي</w:t>
      </w:r>
    </w:p>
    <w:p w:rsidR="008A3C62" w:rsidRDefault="00327AE4" w:rsidP="00327AE4">
      <w:pPr>
        <w:bidi/>
      </w:pPr>
      <w:r>
        <w:rPr>
          <w:rFonts w:eastAsia="Traditional Arabic"/>
          <w:color w:val="000000"/>
          <w:rtl/>
        </w:rPr>
        <w:t>بالنسبة إلى المقاييس الأجنبية، ستُراجع الصياغات الأصلية ومفاهيمها، ثم تُترجم إلى العربية ترجمة مفاهيمية لا حرفية، وتُراجع من متخصصين في المجال واللغة. وعند اعتماد الترجمة العكسية، يترجم متخصص مستقل النسخة العربية إلى الإنجليزية، ثم تُقارن بالنسخة الأصلية لمعالجة الفروق الدلالية [إجراء الترجمة العكسية مطلوب]. وبعد ذلك تُكيف العبارات مع السياق الحكومي السعودي دون تغيير البناء المقاس، وتُعرض على المحكمين وتُختبر في الدراسة الاستطلاعية. ولا يُدعى تنفيذ أي خطوة إلا بعد توثيقها.</w:t>
      </w:r>
    </w:p>
    <w:p w:rsidR="008A3C62" w:rsidRDefault="00327AE4" w:rsidP="00327AE4">
      <w:pPr>
        <w:pStyle w:val="Heading2"/>
        <w:bidi/>
        <w:spacing w:before="220" w:after="100"/>
      </w:pPr>
      <w:r>
        <w:rPr>
          <w:rFonts w:ascii="Times New Roman" w:eastAsia="Traditional Arabic" w:hAnsi="Times New Roman" w:cs="Traditional Arabic"/>
          <w:rtl/>
        </w:rPr>
        <w:t>3.5.3 الدراسة الاستطلاعية</w:t>
      </w:r>
    </w:p>
    <w:p w:rsidR="008A3C62" w:rsidRDefault="00327AE4" w:rsidP="00327AE4">
      <w:pPr>
        <w:bidi/>
      </w:pPr>
      <w:r>
        <w:rPr>
          <w:rFonts w:eastAsia="Traditional Arabic"/>
          <w:color w:val="000000"/>
          <w:rtl/>
        </w:rPr>
        <w:t>ستُجرى دراسة استطلاعية على مستخدمين رئيسين للأنظمة الرقمية الداخلية يشابهون المجتمع المستهدف، ولا تدخل استجاباتهم ضمن العينة النهائية. وتقترح النسخة الحالية نطاقًا أوليًا بين 30 و50 مشاركًا، على أن يُثبت العدد النهائي قبل التنفيذ [حجم العينة الاستطلاعية مطلوب]، وتُحدد فترة التنفيذ [مدة الدراسة الاستطلاعية مطلوبة]. ويُراعى تنوع المشاركين من حيث الخبرة الوظيفية ونمط استخدام الأنظمة دون إنشاء فئات صغيرة كاشفة للهوية.</w:t>
      </w:r>
    </w:p>
    <w:p w:rsidR="008A3C62" w:rsidRDefault="00327AE4" w:rsidP="00327AE4">
      <w:pPr>
        <w:bidi/>
      </w:pPr>
      <w:r>
        <w:rPr>
          <w:rFonts w:eastAsia="Traditional Arabic"/>
          <w:color w:val="000000"/>
          <w:rtl/>
        </w:rPr>
        <w:t>وتهدف الدراسة الاستطلاعية إلى:</w:t>
      </w:r>
    </w:p>
    <w:p w:rsidR="008A3C62" w:rsidRDefault="00327AE4" w:rsidP="00327AE4">
      <w:pPr>
        <w:pStyle w:val="ListBullet"/>
        <w:bidi/>
        <w:spacing w:after="60"/>
        <w:ind w:left="0" w:right="397"/>
      </w:pPr>
      <w:r>
        <w:rPr>
          <w:rFonts w:eastAsia="Traditional Arabic"/>
          <w:color w:val="000000"/>
          <w:rtl/>
        </w:rPr>
        <w:t>التحقق من وضوح الفقرات والتعليمات وخيارات الإجابة.</w:t>
      </w:r>
    </w:p>
    <w:p w:rsidR="008A3C62" w:rsidRDefault="00327AE4" w:rsidP="00327AE4">
      <w:pPr>
        <w:pStyle w:val="ListBullet"/>
        <w:bidi/>
        <w:spacing w:after="60"/>
        <w:ind w:left="0" w:right="397"/>
      </w:pPr>
      <w:r>
        <w:rPr>
          <w:rFonts w:eastAsia="Traditional Arabic"/>
          <w:color w:val="000000"/>
          <w:rtl/>
        </w:rPr>
        <w:t>تقدير زمن الاستجابة الفعلي وتحديد المؤشرات غير المنطقية لاحقًا.</w:t>
      </w:r>
    </w:p>
    <w:p w:rsidR="008A3C62" w:rsidRDefault="00327AE4" w:rsidP="00327AE4">
      <w:pPr>
        <w:pStyle w:val="ListBullet"/>
        <w:bidi/>
        <w:spacing w:after="60"/>
        <w:ind w:left="0" w:right="397"/>
      </w:pPr>
      <w:r>
        <w:rPr>
          <w:rFonts w:eastAsia="Traditional Arabic"/>
          <w:color w:val="000000"/>
          <w:rtl/>
        </w:rPr>
        <w:t>اكتشاف الفقرات المربكة أو المتداخلة أو غير الملائمة للسياق.</w:t>
      </w:r>
    </w:p>
    <w:p w:rsidR="008A3C62" w:rsidRDefault="00327AE4" w:rsidP="00327AE4">
      <w:pPr>
        <w:pStyle w:val="ListBullet"/>
        <w:bidi/>
        <w:spacing w:after="60"/>
        <w:ind w:left="0" w:right="397"/>
      </w:pPr>
      <w:r>
        <w:rPr>
          <w:rFonts w:eastAsia="Traditional Arabic"/>
          <w:color w:val="000000"/>
          <w:rtl/>
        </w:rPr>
        <w:t>فحص الثبات الأولي والمؤشرات الوصفية دون اعتبارها نتائج نهائية.</w:t>
      </w:r>
    </w:p>
    <w:p w:rsidR="008A3C62" w:rsidRDefault="00327AE4" w:rsidP="00327AE4">
      <w:pPr>
        <w:pStyle w:val="ListBullet"/>
        <w:bidi/>
        <w:spacing w:after="60"/>
        <w:ind w:left="0" w:right="397"/>
      </w:pPr>
      <w:r>
        <w:rPr>
          <w:rFonts w:eastAsia="Traditional Arabic"/>
          <w:color w:val="000000"/>
          <w:rtl/>
        </w:rPr>
        <w:t>توثيق التعديلات الناتجة عن الملاحظات والاستجابات قبل إطلاق النسخة النهائية.</w:t>
      </w:r>
    </w:p>
    <w:p w:rsidR="008A3C62" w:rsidRDefault="00327AE4" w:rsidP="00327AE4">
      <w:pPr>
        <w:bidi/>
      </w:pPr>
      <w:r>
        <w:rPr>
          <w:rFonts w:eastAsia="Traditional Arabic"/>
          <w:color w:val="000000"/>
          <w:rtl/>
        </w:rPr>
        <w:t>تُعدل الفقرة أو تُحذف استنادًا إلى دليل متكامل يشمل ملاحظات المشاركين والمحكمين، والأساس النظري، ونتائج الثبات الأولي، ومدى تأثير القرار في تغطية البُعد. ولا يُعتمد حد رقمي للحذف دون مرجع وخطة سابقة [معيار تعديل أو حذف الفقرات مطلوب]. ويُحفظ سجل قبل/بعد لكل تعديل.</w:t>
      </w:r>
    </w:p>
    <w:p w:rsidR="008A3C62" w:rsidRDefault="00327AE4" w:rsidP="00327AE4">
      <w:pPr>
        <w:pStyle w:val="Heading1"/>
        <w:bidi/>
        <w:spacing w:before="280" w:after="140"/>
      </w:pPr>
      <w:r>
        <w:rPr>
          <w:rFonts w:ascii="Times New Roman" w:eastAsia="Traditional Arabic" w:hAnsi="Times New Roman" w:cs="Traditional Arabic"/>
          <w:rtl/>
        </w:rPr>
        <w:t>3.6 إجراءات تنفيذ الدراسة وجمع البيانات</w:t>
      </w:r>
    </w:p>
    <w:p w:rsidR="008A3C62" w:rsidRDefault="00327AE4" w:rsidP="00327AE4">
      <w:pPr>
        <w:bidi/>
      </w:pPr>
      <w:r>
        <w:rPr>
          <w:rFonts w:eastAsia="Traditional Arabic"/>
          <w:color w:val="000000"/>
          <w:rtl/>
        </w:rPr>
        <w:t>تبدأ إجراءات جمع البيانات بعد استكمال الاعتمادات الأكاديمية والمؤسسية، وتُنفذ على نحو يسمح بتتبع القرارات الميدانية ومراجعتها. ويوضح جدول (3-7) الخطة التنفيذية.</w:t>
      </w:r>
    </w:p>
    <w:p w:rsidR="008A3C62" w:rsidRDefault="00327AE4" w:rsidP="00327AE4">
      <w:pPr>
        <w:pStyle w:val="Caption"/>
        <w:keepNext/>
        <w:keepLines/>
        <w:bidi/>
        <w:spacing w:before="160" w:after="80" w:line="360" w:lineRule="auto"/>
        <w:rPr>
          <w:rFonts w:hint="eastAsia"/>
        </w:rPr>
      </w:pPr>
      <w:r>
        <w:rPr>
          <w:rFonts w:ascii="Times New Roman" w:eastAsia="Traditional Arabic" w:hAnsi="Times New Roman"/>
          <w:rtl/>
        </w:rPr>
        <w:t>جدول (3-7): خطة الوصول الميداني وجمع البيانات</w:t>
      </w:r>
    </w:p>
    <w:tbl>
      <w:tblPr>
        <w:tblStyle w:val="TableGrid"/>
        <w:bidiVisual/>
        <w:tblW w:w="9072" w:type="dxa"/>
        <w:jc w:val="center"/>
        <w:tblLayout w:type="fixed"/>
        <w:tblLook w:val="04A0" w:firstRow="1" w:lastRow="0" w:firstColumn="1" w:lastColumn="0" w:noHBand="0" w:noVBand="1"/>
      </w:tblPr>
      <w:tblGrid>
        <w:gridCol w:w="800"/>
        <w:gridCol w:w="3800"/>
        <w:gridCol w:w="2200"/>
        <w:gridCol w:w="2272"/>
      </w:tblGrid>
      <w:tr w:rsidR="008A3C62">
        <w:trPr>
          <w:tblHeader/>
          <w:jc w:val="center"/>
        </w:trPr>
        <w:tc>
          <w:tcPr>
            <w:tcW w:w="800" w:type="dxa"/>
            <w:shd w:val="clear" w:color="auto" w:fill="D9E2F3"/>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b/>
                <w:color w:val="000000"/>
                <w:sz w:val="18"/>
                <w:rtl/>
              </w:rPr>
              <w:t>الخطوة</w:t>
            </w:r>
          </w:p>
        </w:tc>
        <w:tc>
          <w:tcPr>
            <w:tcW w:w="3800" w:type="dxa"/>
            <w:shd w:val="clear" w:color="auto" w:fill="D9E2F3"/>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b/>
                <w:color w:val="000000"/>
                <w:sz w:val="18"/>
                <w:rtl/>
              </w:rPr>
              <w:t>الإجراء</w:t>
            </w:r>
          </w:p>
        </w:tc>
        <w:tc>
          <w:tcPr>
            <w:tcW w:w="2200" w:type="dxa"/>
            <w:shd w:val="clear" w:color="auto" w:fill="D9E2F3"/>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b/>
                <w:color w:val="000000"/>
                <w:sz w:val="18"/>
                <w:rtl/>
              </w:rPr>
              <w:t>المخرج/الدليل</w:t>
            </w:r>
          </w:p>
        </w:tc>
        <w:tc>
          <w:tcPr>
            <w:tcW w:w="2272" w:type="dxa"/>
            <w:shd w:val="clear" w:color="auto" w:fill="D9E2F3"/>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b/>
                <w:color w:val="000000"/>
                <w:sz w:val="18"/>
                <w:rtl/>
              </w:rPr>
              <w:t>الحالة أو المعلومة المطلوبة</w:t>
            </w:r>
          </w:p>
        </w:tc>
      </w:tr>
      <w:tr w:rsidR="008A3C62">
        <w:trPr>
          <w:jc w:val="center"/>
        </w:trPr>
        <w:tc>
          <w:tcPr>
            <w:tcW w:w="8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lastRenderedPageBreak/>
              <w:t>1</w:t>
            </w:r>
          </w:p>
        </w:tc>
        <w:tc>
          <w:tcPr>
            <w:tcW w:w="38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الحصول على موافقة الجامعة أو لجنة الأخلاقيات.</w:t>
            </w:r>
          </w:p>
        </w:tc>
        <w:tc>
          <w:tcPr>
            <w:tcW w:w="22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خطاب/رقم موافقة</w:t>
            </w:r>
          </w:p>
        </w:tc>
        <w:tc>
          <w:tcPr>
            <w:tcW w:w="2272"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[موافقة الجامعة مطلوبة قبل التطبيق]</w:t>
            </w:r>
          </w:p>
        </w:tc>
      </w:tr>
      <w:tr w:rsidR="008A3C62">
        <w:trPr>
          <w:jc w:val="center"/>
        </w:trPr>
        <w:tc>
          <w:tcPr>
            <w:tcW w:w="8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2</w:t>
            </w:r>
          </w:p>
        </w:tc>
        <w:tc>
          <w:tcPr>
            <w:tcW w:w="38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الحصول على موافقة الوزارة والجهة المالكة للقوائم.</w:t>
            </w:r>
          </w:p>
        </w:tc>
        <w:tc>
          <w:tcPr>
            <w:tcW w:w="22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خطاب/رقم موافقة</w:t>
            </w:r>
          </w:p>
        </w:tc>
        <w:tc>
          <w:tcPr>
            <w:tcW w:w="2272"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[موافقة الوزارة مطلوبة قبل التطبيق]</w:t>
            </w:r>
          </w:p>
        </w:tc>
      </w:tr>
      <w:tr w:rsidR="008A3C62">
        <w:trPr>
          <w:jc w:val="center"/>
        </w:trPr>
        <w:tc>
          <w:tcPr>
            <w:tcW w:w="8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3</w:t>
            </w:r>
          </w:p>
        </w:tc>
        <w:tc>
          <w:tcPr>
            <w:tcW w:w="38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استلام إطار المعاينة الرسمي وتطبيق معايير الأهلية.</w:t>
            </w:r>
          </w:p>
        </w:tc>
        <w:tc>
          <w:tcPr>
            <w:tcW w:w="22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قائمة مؤهلة مؤمنة</w:t>
            </w:r>
          </w:p>
        </w:tc>
        <w:tc>
          <w:tcPr>
            <w:tcW w:w="2272"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[بيان رسمي مطلوب]</w:t>
            </w:r>
          </w:p>
        </w:tc>
      </w:tr>
      <w:tr w:rsidR="008A3C62">
        <w:trPr>
          <w:jc w:val="center"/>
        </w:trPr>
        <w:tc>
          <w:tcPr>
            <w:tcW w:w="8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4</w:t>
            </w:r>
          </w:p>
        </w:tc>
        <w:tc>
          <w:tcPr>
            <w:tcW w:w="38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تحديد الطبقات وحساب الحصص والسحب العشوائي الموثق.</w:t>
            </w:r>
          </w:p>
        </w:tc>
        <w:tc>
          <w:tcPr>
            <w:tcW w:w="22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سجل سحب وتوزيع</w:t>
            </w:r>
          </w:p>
        </w:tc>
        <w:tc>
          <w:tcPr>
            <w:tcW w:w="2272"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[يستكمل بعد الإطار]</w:t>
            </w:r>
          </w:p>
        </w:tc>
      </w:tr>
      <w:tr w:rsidR="008A3C62">
        <w:trPr>
          <w:jc w:val="center"/>
        </w:trPr>
        <w:tc>
          <w:tcPr>
            <w:tcW w:w="8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5</w:t>
            </w:r>
          </w:p>
        </w:tc>
        <w:tc>
          <w:tcPr>
            <w:tcW w:w="38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تثبيت النسخة النهائية من الاستبانة والموافقة المستنيرة.</w:t>
            </w:r>
          </w:p>
        </w:tc>
        <w:tc>
          <w:tcPr>
            <w:tcW w:w="22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نسخة أداة معتمدة</w:t>
            </w:r>
          </w:p>
        </w:tc>
        <w:tc>
          <w:tcPr>
            <w:tcW w:w="2272"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[اعتماد الأداة مطلوب]</w:t>
            </w:r>
          </w:p>
        </w:tc>
      </w:tr>
      <w:tr w:rsidR="008A3C62">
        <w:trPr>
          <w:jc w:val="center"/>
        </w:trPr>
        <w:tc>
          <w:tcPr>
            <w:tcW w:w="8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6</w:t>
            </w:r>
          </w:p>
        </w:tc>
        <w:tc>
          <w:tcPr>
            <w:tcW w:w="38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إرسال الرابط عبر القناة الرسمية المعتمدة.</w:t>
            </w:r>
          </w:p>
        </w:tc>
        <w:tc>
          <w:tcPr>
            <w:tcW w:w="22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سجل توزيع</w:t>
            </w:r>
          </w:p>
        </w:tc>
        <w:tc>
          <w:tcPr>
            <w:tcW w:w="2272"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[قناة التوزيع الرسمية مطلوبة]</w:t>
            </w:r>
          </w:p>
        </w:tc>
      </w:tr>
      <w:tr w:rsidR="008A3C62">
        <w:trPr>
          <w:jc w:val="center"/>
        </w:trPr>
        <w:tc>
          <w:tcPr>
            <w:tcW w:w="8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7</w:t>
            </w:r>
          </w:p>
        </w:tc>
        <w:tc>
          <w:tcPr>
            <w:tcW w:w="38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فتح الاستبانة خلال الفترة المعتمدة.</w:t>
            </w:r>
          </w:p>
        </w:tc>
        <w:tc>
          <w:tcPr>
            <w:tcW w:w="22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فترة جمع محددة</w:t>
            </w:r>
          </w:p>
        </w:tc>
        <w:tc>
          <w:tcPr>
            <w:tcW w:w="2272"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[تاريخ التطبيق مطلوب]</w:t>
            </w:r>
          </w:p>
        </w:tc>
      </w:tr>
      <w:tr w:rsidR="008A3C62">
        <w:trPr>
          <w:jc w:val="center"/>
        </w:trPr>
        <w:tc>
          <w:tcPr>
            <w:tcW w:w="8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8</w:t>
            </w:r>
          </w:p>
        </w:tc>
        <w:tc>
          <w:tcPr>
            <w:tcW w:w="38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إرسال رسائل تذكير وفق جدول غير ضاغط.</w:t>
            </w:r>
          </w:p>
        </w:tc>
        <w:tc>
          <w:tcPr>
            <w:tcW w:w="22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سجل التذكيرات</w:t>
            </w:r>
          </w:p>
        </w:tc>
        <w:tc>
          <w:tcPr>
            <w:tcW w:w="2272"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[عدد رسائل التذكير مطلوب]</w:t>
            </w:r>
          </w:p>
        </w:tc>
      </w:tr>
      <w:tr w:rsidR="008A3C62">
        <w:trPr>
          <w:jc w:val="center"/>
        </w:trPr>
        <w:tc>
          <w:tcPr>
            <w:tcW w:w="8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9</w:t>
            </w:r>
          </w:p>
        </w:tc>
        <w:tc>
          <w:tcPr>
            <w:tcW w:w="38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تطبيق ضوابط الحد من التكرار دون جمع معرفات مباشرة.</w:t>
            </w:r>
          </w:p>
        </w:tc>
        <w:tc>
          <w:tcPr>
            <w:tcW w:w="22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إعدادات موثقة</w:t>
            </w:r>
          </w:p>
        </w:tc>
        <w:tc>
          <w:tcPr>
            <w:tcW w:w="2272"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[آلية منع التكرار مطلوبة]</w:t>
            </w:r>
          </w:p>
        </w:tc>
      </w:tr>
      <w:tr w:rsidR="008A3C62">
        <w:trPr>
          <w:jc w:val="center"/>
        </w:trPr>
        <w:tc>
          <w:tcPr>
            <w:tcW w:w="8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10</w:t>
            </w:r>
          </w:p>
        </w:tc>
        <w:tc>
          <w:tcPr>
            <w:tcW w:w="38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إغلاق الاستبانة وتصدير البيانات وحفظ نسخة خام.</w:t>
            </w:r>
          </w:p>
        </w:tc>
        <w:tc>
          <w:tcPr>
            <w:tcW w:w="22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ملف خام مؤمن</w:t>
            </w:r>
          </w:p>
        </w:tc>
        <w:tc>
          <w:tcPr>
            <w:tcW w:w="2272"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ينفذ بعد الإغلاق</w:t>
            </w:r>
          </w:p>
        </w:tc>
      </w:tr>
      <w:tr w:rsidR="008A3C62">
        <w:trPr>
          <w:jc w:val="center"/>
        </w:trPr>
        <w:tc>
          <w:tcPr>
            <w:tcW w:w="8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11</w:t>
            </w:r>
          </w:p>
        </w:tc>
        <w:tc>
          <w:tcPr>
            <w:tcW w:w="38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مراجعة الاستجابات وتنظيفها وفق الخطة السابقة.</w:t>
            </w:r>
          </w:p>
        </w:tc>
        <w:tc>
          <w:tcPr>
            <w:tcW w:w="22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سجل استبعاد وتنظيف</w:t>
            </w:r>
          </w:p>
        </w:tc>
        <w:tc>
          <w:tcPr>
            <w:tcW w:w="2272"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ينفذ بعد الجمع</w:t>
            </w:r>
          </w:p>
        </w:tc>
      </w:tr>
      <w:tr w:rsidR="008A3C62">
        <w:trPr>
          <w:jc w:val="center"/>
        </w:trPr>
        <w:tc>
          <w:tcPr>
            <w:tcW w:w="8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12</w:t>
            </w:r>
          </w:p>
        </w:tc>
        <w:tc>
          <w:tcPr>
            <w:tcW w:w="38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حفظ سجل كامل للإجراءات والانحرافات الميدانية.</w:t>
            </w:r>
          </w:p>
        </w:tc>
        <w:tc>
          <w:tcPr>
            <w:tcW w:w="22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سجل ميداني نهائي</w:t>
            </w:r>
          </w:p>
        </w:tc>
        <w:tc>
          <w:tcPr>
            <w:tcW w:w="2272"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مستمر طوال التطبيق</w:t>
            </w:r>
          </w:p>
        </w:tc>
      </w:tr>
    </w:tbl>
    <w:p w:rsidR="008A3C62" w:rsidRDefault="00327AE4" w:rsidP="00327AE4">
      <w:pPr>
        <w:bidi/>
        <w:spacing w:before="80" w:after="160"/>
      </w:pPr>
      <w:r>
        <w:rPr>
          <w:rFonts w:eastAsia="Traditional Arabic"/>
          <w:color w:val="4F5B66"/>
          <w:sz w:val="21"/>
          <w:rtl/>
        </w:rPr>
        <w:t>المصدر: إعداد الباحث.</w:t>
      </w:r>
    </w:p>
    <w:p w:rsidR="008A3C62" w:rsidRDefault="00327AE4" w:rsidP="00327AE4">
      <w:pPr>
        <w:bidi/>
      </w:pPr>
      <w:r>
        <w:rPr>
          <w:rFonts w:eastAsia="Traditional Arabic"/>
          <w:color w:val="000000"/>
          <w:rtl/>
        </w:rPr>
        <w:t>تضمن الخطة عدم بدء التوزيع قبل الموافقات وإطار المعاينة واعتماد الأداة، كما تُلزم بتسجيل أي انحراف عن الخطة وأثره المحتمل في التمثيل وجودة البيانات.</w:t>
      </w:r>
    </w:p>
    <w:p w:rsidR="008A3C62" w:rsidRDefault="00327AE4" w:rsidP="00327AE4">
      <w:pPr>
        <w:pStyle w:val="Heading1"/>
        <w:bidi/>
        <w:spacing w:before="280" w:after="140"/>
      </w:pPr>
      <w:r>
        <w:rPr>
          <w:rFonts w:ascii="Times New Roman" w:eastAsia="Traditional Arabic" w:hAnsi="Times New Roman" w:cs="Traditional Arabic"/>
          <w:rtl/>
        </w:rPr>
        <w:t>3.7 أساليب المعالجة الإحصائية</w:t>
      </w:r>
    </w:p>
    <w:p w:rsidR="008A3C62" w:rsidRDefault="00327AE4" w:rsidP="00327AE4">
      <w:pPr>
        <w:bidi/>
      </w:pPr>
      <w:r>
        <w:rPr>
          <w:rFonts w:eastAsia="Traditional Arabic"/>
          <w:color w:val="000000"/>
          <w:rtl/>
        </w:rPr>
        <w:t>سيُستخدم برنامج SPSS، الإصدار [الإصدار المطلوب تحديده]، في ترميز البيانات وتنظيفها واستخراج التكرارات والنسب ووصف خصائص العينة والمتوسطات والانحرافات المعيارية عند الحاجة. وسيُستخدم SmartPLS، الإصدار [الإصدار المطلوب تحديده]، لتقييم نموذج القياس والنموذج البنائي واختبار الوساطة والاعتدال وBootstrapping. وتُحفظ إعدادات البرامج والبذور العشوائية والملفات الوسيطة في سجل التحليل.</w:t>
      </w:r>
    </w:p>
    <w:p w:rsidR="008A3C62" w:rsidRDefault="00327AE4" w:rsidP="00327AE4">
      <w:pPr>
        <w:pStyle w:val="Heading2"/>
        <w:bidi/>
        <w:spacing w:before="220" w:after="100"/>
      </w:pPr>
      <w:r>
        <w:rPr>
          <w:rFonts w:ascii="Times New Roman" w:eastAsia="Traditional Arabic" w:hAnsi="Times New Roman" w:cs="Traditional Arabic"/>
          <w:rtl/>
        </w:rPr>
        <w:t>3.7.1 تجهيز وتنظيف البيانات</w:t>
      </w:r>
    </w:p>
    <w:p w:rsidR="008A3C62" w:rsidRDefault="00327AE4" w:rsidP="00327AE4">
      <w:pPr>
        <w:bidi/>
      </w:pPr>
      <w:r>
        <w:rPr>
          <w:rFonts w:eastAsia="Traditional Arabic"/>
          <w:color w:val="000000"/>
          <w:rtl/>
        </w:rPr>
        <w:t>يُحتفظ بنسخة خام غير معدلة، ثم يُنشأ قاموس للمتغيرات والترميز. وقبل اختبار النموذج يُفحص اكتمال البيانات والتكرار والقيم المفقودة والمتطرفة والتوزيع الوصفي والتعدد الخطي وتحيز الطريقة المشتركة وصلاحية البيانات للتحليل. ولا تُتخذ قرارات الاستبعاد بناءً على مؤشر منفرد، بل على أدلة متضافرة مع توثيق كل قرار (Meade &amp; Craig, 2012).</w:t>
      </w:r>
    </w:p>
    <w:p w:rsidR="008A3C62" w:rsidRDefault="00327AE4" w:rsidP="00327AE4">
      <w:pPr>
        <w:pStyle w:val="Caption"/>
        <w:keepNext/>
        <w:keepLines/>
        <w:bidi/>
        <w:spacing w:before="160" w:after="80" w:line="360" w:lineRule="auto"/>
        <w:rPr>
          <w:rFonts w:hint="eastAsia"/>
        </w:rPr>
      </w:pPr>
      <w:r>
        <w:rPr>
          <w:rFonts w:ascii="Times New Roman" w:eastAsia="Traditional Arabic" w:hAnsi="Times New Roman"/>
          <w:rtl/>
        </w:rPr>
        <w:lastRenderedPageBreak/>
        <w:t>جدول (3-8): معايير تنظيف البيانات والاستجابات غير الصالحة</w:t>
      </w:r>
    </w:p>
    <w:tbl>
      <w:tblPr>
        <w:tblStyle w:val="TableGrid"/>
        <w:bidiVisual/>
        <w:tblW w:w="9072" w:type="dxa"/>
        <w:jc w:val="center"/>
        <w:tblLayout w:type="fixed"/>
        <w:tblLook w:val="04A0" w:firstRow="1" w:lastRow="0" w:firstColumn="1" w:lastColumn="0" w:noHBand="0" w:noVBand="1"/>
      </w:tblPr>
      <w:tblGrid>
        <w:gridCol w:w="1700"/>
        <w:gridCol w:w="2600"/>
        <w:gridCol w:w="2600"/>
        <w:gridCol w:w="2172"/>
      </w:tblGrid>
      <w:tr w:rsidR="008A3C62">
        <w:trPr>
          <w:tblHeader/>
          <w:jc w:val="center"/>
        </w:trPr>
        <w:tc>
          <w:tcPr>
            <w:tcW w:w="1700" w:type="dxa"/>
            <w:shd w:val="clear" w:color="auto" w:fill="D9E2F3"/>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b/>
                <w:color w:val="000000"/>
                <w:sz w:val="17"/>
                <w:rtl/>
              </w:rPr>
              <w:t>المشكلة</w:t>
            </w:r>
          </w:p>
        </w:tc>
        <w:tc>
          <w:tcPr>
            <w:tcW w:w="2600" w:type="dxa"/>
            <w:shd w:val="clear" w:color="auto" w:fill="D9E2F3"/>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b/>
                <w:color w:val="000000"/>
                <w:sz w:val="17"/>
                <w:rtl/>
              </w:rPr>
              <w:t>الفحص</w:t>
            </w:r>
          </w:p>
        </w:tc>
        <w:tc>
          <w:tcPr>
            <w:tcW w:w="2600" w:type="dxa"/>
            <w:shd w:val="clear" w:color="auto" w:fill="D9E2F3"/>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b/>
                <w:color w:val="000000"/>
                <w:sz w:val="17"/>
                <w:rtl/>
              </w:rPr>
              <w:t>المعيار المسبق</w:t>
            </w:r>
          </w:p>
        </w:tc>
        <w:tc>
          <w:tcPr>
            <w:tcW w:w="2172" w:type="dxa"/>
            <w:shd w:val="clear" w:color="auto" w:fill="D9E2F3"/>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b/>
                <w:color w:val="000000"/>
                <w:sz w:val="17"/>
                <w:rtl/>
              </w:rPr>
              <w:t>الإجراء</w:t>
            </w:r>
          </w:p>
        </w:tc>
      </w:tr>
      <w:tr w:rsidR="008A3C62">
        <w:trPr>
          <w:jc w:val="center"/>
        </w:trPr>
        <w:tc>
          <w:tcPr>
            <w:tcW w:w="17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عدم اكتمال الاستبانة</w:t>
            </w:r>
          </w:p>
        </w:tc>
        <w:tc>
          <w:tcPr>
            <w:tcW w:w="26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نسبة الفقد على مستوى المشارك والمحور والموافقة.</w:t>
            </w:r>
          </w:p>
        </w:tc>
        <w:tc>
          <w:tcPr>
            <w:tcW w:w="26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[نسبة البيانات المفقودة المقبولة تُحدد وفق المرجع المنهجي المعتمد قبل التحليل]</w:t>
            </w:r>
          </w:p>
        </w:tc>
        <w:tc>
          <w:tcPr>
            <w:tcW w:w="2172"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استبعاد كلي إذا غابت الموافقة/الأهلية أو تجاوز الفقد الحد؛ وإلا تُقيّم المعالجة الجزئية.</w:t>
            </w:r>
          </w:p>
        </w:tc>
      </w:tr>
      <w:tr w:rsidR="008A3C62">
        <w:trPr>
          <w:jc w:val="center"/>
        </w:trPr>
        <w:tc>
          <w:tcPr>
            <w:tcW w:w="17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الاستجابة المكررة</w:t>
            </w:r>
          </w:p>
        </w:tc>
        <w:tc>
          <w:tcPr>
            <w:tcW w:w="26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الطابع الزمني والرمز التقني غير الشخصي وأنماط الاستجابة.</w:t>
            </w:r>
          </w:p>
        </w:tc>
        <w:tc>
          <w:tcPr>
            <w:tcW w:w="26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تطابق كافٍ وفق آلية موثقة.</w:t>
            </w:r>
          </w:p>
        </w:tc>
        <w:tc>
          <w:tcPr>
            <w:tcW w:w="2172"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الاحتفاظ بالاستجابة الأكثر اكتمالًا وفق قاعدة سابقة وتوثيق الحذف.</w:t>
            </w:r>
          </w:p>
        </w:tc>
      </w:tr>
      <w:tr w:rsidR="008A3C62">
        <w:trPr>
          <w:jc w:val="center"/>
        </w:trPr>
        <w:tc>
          <w:tcPr>
            <w:tcW w:w="17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زمن إجابة غير منطقي</w:t>
            </w:r>
          </w:p>
        </w:tc>
        <w:tc>
          <w:tcPr>
            <w:tcW w:w="26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مقارنة زمن المشارك بتوزيع الأزمنة وزمن الدراسة الاستطلاعية.</w:t>
            </w:r>
          </w:p>
        </w:tc>
        <w:tc>
          <w:tcPr>
            <w:tcW w:w="26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[حد الزمن يُحدد بعد الاستطلاع]</w:t>
            </w:r>
          </w:p>
        </w:tc>
        <w:tc>
          <w:tcPr>
            <w:tcW w:w="2172"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لا يُستبعد منفردًا؛ يُجمع مع مؤشرات جودة أخرى.</w:t>
            </w:r>
          </w:p>
        </w:tc>
      </w:tr>
      <w:tr w:rsidR="008A3C62">
        <w:trPr>
          <w:jc w:val="center"/>
        </w:trPr>
        <w:tc>
          <w:tcPr>
            <w:tcW w:w="17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النمط الثابت</w:t>
            </w:r>
          </w:p>
        </w:tc>
        <w:tc>
          <w:tcPr>
            <w:tcW w:w="26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التباين داخل الفرد وطول السلسلة المتطابقة.</w:t>
            </w:r>
          </w:p>
        </w:tc>
        <w:tc>
          <w:tcPr>
            <w:tcW w:w="26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[المعيار يُحدد قبل التحليل]</w:t>
            </w:r>
          </w:p>
        </w:tc>
        <w:tc>
          <w:tcPr>
            <w:tcW w:w="2172"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مراجعة الاستجابة واستبعادها إذا دعمت مؤشرات أخرى عدم الجدية.</w:t>
            </w:r>
          </w:p>
        </w:tc>
      </w:tr>
      <w:tr w:rsidR="008A3C62">
        <w:trPr>
          <w:jc w:val="center"/>
        </w:trPr>
        <w:tc>
          <w:tcPr>
            <w:tcW w:w="17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عدم الاتساق/العشوائية</w:t>
            </w:r>
          </w:p>
        </w:tc>
        <w:tc>
          <w:tcPr>
            <w:tcW w:w="26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التناقض بين فقرات متقاربة ومؤشرات الاتساق.</w:t>
            </w:r>
          </w:p>
        </w:tc>
        <w:tc>
          <w:tcPr>
            <w:tcW w:w="26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[المعيار يُحدد وفق المرجع]</w:t>
            </w:r>
          </w:p>
        </w:tc>
        <w:tc>
          <w:tcPr>
            <w:tcW w:w="2172"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مراجعة موثقة دون تعديل الإجابات الخام.</w:t>
            </w:r>
          </w:p>
        </w:tc>
      </w:tr>
      <w:tr w:rsidR="008A3C62">
        <w:trPr>
          <w:jc w:val="center"/>
        </w:trPr>
        <w:tc>
          <w:tcPr>
            <w:tcW w:w="17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القيم المتطرفة</w:t>
            </w:r>
          </w:p>
        </w:tc>
        <w:tc>
          <w:tcPr>
            <w:tcW w:w="26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فحوص أحادية ومتعددة المتغيرات ورسوم وصفية.</w:t>
            </w:r>
          </w:p>
        </w:tc>
        <w:tc>
          <w:tcPr>
            <w:tcW w:w="26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لا تُحدد قيمة رقمية دون مرجع وخطة.</w:t>
            </w:r>
          </w:p>
        </w:tc>
        <w:tc>
          <w:tcPr>
            <w:tcW w:w="2172"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تُفحص أسبابها وحساسيتها؛ لا تُحذف تلقائيًا.</w:t>
            </w:r>
          </w:p>
        </w:tc>
      </w:tr>
      <w:tr w:rsidR="008A3C62">
        <w:trPr>
          <w:jc w:val="center"/>
        </w:trPr>
        <w:tc>
          <w:tcPr>
            <w:tcW w:w="17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القيم المفقودة الجزئية</w:t>
            </w:r>
          </w:p>
        </w:tc>
        <w:tc>
          <w:tcPr>
            <w:tcW w:w="26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النمط والحجم وآلية الفقد.</w:t>
            </w:r>
          </w:p>
        </w:tc>
        <w:tc>
          <w:tcPr>
            <w:tcW w:w="26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[حد المعالجة وطريقتها مطلوبان]</w:t>
            </w:r>
          </w:p>
        </w:tc>
        <w:tc>
          <w:tcPr>
            <w:tcW w:w="2172"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تُختار طريقة مناسبة مثل الحذف أو التعويض/الإسناد وفق النمط والحجم، مع تحليل حساسية عند الحاجة.</w:t>
            </w:r>
          </w:p>
        </w:tc>
      </w:tr>
      <w:tr w:rsidR="008A3C62">
        <w:trPr>
          <w:jc w:val="center"/>
        </w:trPr>
        <w:tc>
          <w:tcPr>
            <w:tcW w:w="17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صلاحية الترميز</w:t>
            </w:r>
          </w:p>
        </w:tc>
        <w:tc>
          <w:tcPr>
            <w:tcW w:w="26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النطاقات والقيم المستحيلة واتجاه الفقرات.</w:t>
            </w:r>
          </w:p>
        </w:tc>
        <w:tc>
          <w:tcPr>
            <w:tcW w:w="26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مطابقة قاموس البيانات والاستبانة.</w:t>
            </w:r>
          </w:p>
        </w:tc>
        <w:tc>
          <w:tcPr>
            <w:tcW w:w="2172"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تصحيح أخطاء الاستيراد فقط مع سجل تغييرات.</w:t>
            </w:r>
          </w:p>
        </w:tc>
      </w:tr>
    </w:tbl>
    <w:p w:rsidR="008A3C62" w:rsidRDefault="00327AE4" w:rsidP="00327AE4">
      <w:pPr>
        <w:bidi/>
        <w:spacing w:before="80" w:after="160"/>
      </w:pPr>
      <w:r>
        <w:rPr>
          <w:rFonts w:eastAsia="Traditional Arabic"/>
          <w:color w:val="4F5B66"/>
          <w:sz w:val="21"/>
          <w:rtl/>
        </w:rPr>
        <w:t>المصدر: إعداد الباحث استنادًا إلى Meade and Craig (2012) وHair et al. (2022).</w:t>
      </w:r>
    </w:p>
    <w:p w:rsidR="008A3C62" w:rsidRDefault="00327AE4" w:rsidP="00327AE4">
      <w:pPr>
        <w:bidi/>
      </w:pPr>
      <w:r>
        <w:rPr>
          <w:rFonts w:eastAsia="Traditional Arabic"/>
          <w:color w:val="000000"/>
          <w:rtl/>
        </w:rPr>
        <w:t>تُعرض في فصل النتائج أعداد الاستجابات الواردة والمستبعدة وأسباب الاستبعاد بصورة مجمعة، مع التمييز بين الاستبعاد الكلي ومعالجة القيم المفقودة الجزئية، من دون تغيير البيانات الخام أو إخفاء القرارات.</w:t>
      </w:r>
    </w:p>
    <w:p w:rsidR="008A3C62" w:rsidRDefault="00327AE4" w:rsidP="00327AE4">
      <w:pPr>
        <w:pStyle w:val="Heading2"/>
        <w:bidi/>
        <w:spacing w:before="220" w:after="100"/>
      </w:pPr>
      <w:r>
        <w:rPr>
          <w:rFonts w:ascii="Times New Roman" w:eastAsia="Traditional Arabic" w:hAnsi="Times New Roman" w:cs="Traditional Arabic"/>
          <w:rtl/>
        </w:rPr>
        <w:t>3.7.2 الإحصاء الوصفي</w:t>
      </w:r>
    </w:p>
    <w:p w:rsidR="008A3C62" w:rsidRDefault="00327AE4" w:rsidP="00327AE4">
      <w:pPr>
        <w:bidi/>
      </w:pPr>
      <w:r>
        <w:rPr>
          <w:rFonts w:eastAsia="Traditional Arabic"/>
          <w:color w:val="000000"/>
          <w:rtl/>
        </w:rPr>
        <w:t>تُستخدم التكرارات والنسب لوصف الخصائص الديموغرافية والوظيفية، والمتوسطات والانحرافات المعيارية والمدى عند ملاءمتها لوصف الفقرات والأبعاد. ويقتصر هذا الجزء على وصف العينة ومستويات المتغيرات، ولا يُستخدم بديلًا عن تقييم نموذج القياس أو اختبار المسارات.</w:t>
      </w:r>
    </w:p>
    <w:p w:rsidR="008A3C62" w:rsidRDefault="00327AE4" w:rsidP="00327AE4">
      <w:pPr>
        <w:pStyle w:val="Heading2"/>
        <w:bidi/>
        <w:spacing w:before="220" w:after="100"/>
      </w:pPr>
      <w:r>
        <w:rPr>
          <w:rFonts w:ascii="Times New Roman" w:eastAsia="Traditional Arabic" w:hAnsi="Times New Roman" w:cs="Traditional Arabic"/>
          <w:rtl/>
        </w:rPr>
        <w:lastRenderedPageBreak/>
        <w:t>3.7.3 تحيز الطريقة المشتركة</w:t>
      </w:r>
    </w:p>
    <w:p w:rsidR="008A3C62" w:rsidRDefault="00327AE4" w:rsidP="00327AE4">
      <w:pPr>
        <w:bidi/>
      </w:pPr>
      <w:r>
        <w:rPr>
          <w:rFonts w:eastAsia="Traditional Arabic"/>
          <w:color w:val="000000"/>
          <w:rtl/>
        </w:rPr>
        <w:t>نظرًا إلى جمع المتغيرات من مصدر واحد وفي وقت واحد، تُطبق إجراءات وقائية تشمل تأكيد السرية والطوعية، والفصل الواضح بين محاور الاستبانة، واستخدام عبارات واضحة وغير موجهة، وتقليل الغموض، وعدم إظهار الفرضيات للمشاركين، وتنويع الصياغة دون إرباك. وتنسجم هذه الإجراءات مع المعالجات الوقائية المقترحة لتحيز الطريقة المشتركة (Podsakoff et al., 2003).</w:t>
      </w:r>
    </w:p>
    <w:p w:rsidR="008A3C62" w:rsidRDefault="00327AE4" w:rsidP="00327AE4">
      <w:pPr>
        <w:bidi/>
      </w:pPr>
      <w:r>
        <w:rPr>
          <w:rFonts w:eastAsia="Traditional Arabic"/>
          <w:color w:val="000000"/>
          <w:rtl/>
        </w:rPr>
        <w:t>إحصائيًا، سيُفحص Full Collinearity VIF؛ إذ تُعد القيم التي لا تتجاوز 3.3 مؤشرًا تشخيصيًا على غياب تحيز مرضي وفق هذا الأسلوب (Kock, 2015). ويمكن إجراء اختبار Harman أحادي العامل بوصفه فحصًا تشخيصيًا مكملًا، لا دليلًا منفردًا على غياب التحيز بسبب محدوديته. ولا تُعرض أي نتيجة قبل جمع البيانات.</w:t>
      </w:r>
    </w:p>
    <w:p w:rsidR="008A3C62" w:rsidRDefault="00327AE4" w:rsidP="00327AE4">
      <w:pPr>
        <w:pStyle w:val="Heading2"/>
        <w:bidi/>
        <w:spacing w:before="220" w:after="100"/>
      </w:pPr>
      <w:r>
        <w:rPr>
          <w:rFonts w:ascii="Times New Roman" w:eastAsia="Traditional Arabic" w:hAnsi="Times New Roman" w:cs="Traditional Arabic"/>
          <w:rtl/>
        </w:rPr>
        <w:t>3.7.4 تقييم نموذج القياس (Measurement Model)</w:t>
      </w:r>
    </w:p>
    <w:p w:rsidR="008A3C62" w:rsidRDefault="00327AE4" w:rsidP="00327AE4">
      <w:pPr>
        <w:bidi/>
      </w:pPr>
      <w:r>
        <w:rPr>
          <w:rFonts w:eastAsia="Traditional Arabic"/>
          <w:color w:val="000000"/>
          <w:rtl/>
        </w:rPr>
        <w:t>يُقيّم نموذج القياس قبل تفسير النموذج البنائي. ويوضح جدول (3-9) المؤشرات والمعايير المسبقة والإجراء عند عدم تحققها.</w:t>
      </w:r>
    </w:p>
    <w:p w:rsidR="008A3C62" w:rsidRDefault="008A3C62" w:rsidP="00327AE4">
      <w:pPr>
        <w:bidi/>
        <w:sectPr w:rsidR="008A3C62">
          <w:pgSz w:w="11906" w:h="16838"/>
          <w:pgMar w:top="1417" w:right="1417" w:bottom="1417" w:left="1417" w:header="709" w:footer="709" w:gutter="0"/>
          <w:cols w:space="720"/>
          <w:titlePg/>
          <w:docGrid w:linePitch="360"/>
        </w:sectPr>
      </w:pPr>
    </w:p>
    <w:p w:rsidR="008A3C62" w:rsidRDefault="00327AE4" w:rsidP="00327AE4">
      <w:pPr>
        <w:pStyle w:val="Caption"/>
        <w:keepNext/>
        <w:keepLines/>
        <w:bidi/>
        <w:spacing w:before="160" w:after="80" w:line="360" w:lineRule="auto"/>
        <w:rPr>
          <w:rFonts w:hint="eastAsia"/>
        </w:rPr>
      </w:pPr>
      <w:r>
        <w:rPr>
          <w:rFonts w:ascii="Times New Roman" w:eastAsia="Traditional Arabic" w:hAnsi="Times New Roman"/>
          <w:rtl/>
        </w:rPr>
        <w:lastRenderedPageBreak/>
        <w:t>جدول (3-9): مؤشرات ومعايير تقييم نموذج القياس</w:t>
      </w:r>
    </w:p>
    <w:tbl>
      <w:tblPr>
        <w:tblStyle w:val="TableGrid"/>
        <w:bidiVisual/>
        <w:tblW w:w="14004" w:type="dxa"/>
        <w:jc w:val="center"/>
        <w:tblLayout w:type="fixed"/>
        <w:tblLook w:val="04A0" w:firstRow="1" w:lastRow="0" w:firstColumn="1" w:lastColumn="0" w:noHBand="0" w:noVBand="1"/>
      </w:tblPr>
      <w:tblGrid>
        <w:gridCol w:w="2400"/>
        <w:gridCol w:w="2200"/>
        <w:gridCol w:w="3300"/>
        <w:gridCol w:w="3900"/>
        <w:gridCol w:w="2204"/>
      </w:tblGrid>
      <w:tr w:rsidR="008A3C62">
        <w:trPr>
          <w:tblHeader/>
          <w:jc w:val="center"/>
        </w:trPr>
        <w:tc>
          <w:tcPr>
            <w:tcW w:w="2400" w:type="dxa"/>
            <w:shd w:val="clear" w:color="auto" w:fill="D9E2F3"/>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b/>
                <w:color w:val="000000"/>
                <w:sz w:val="17"/>
                <w:rtl/>
              </w:rPr>
              <w:t>المؤشر</w:t>
            </w:r>
          </w:p>
        </w:tc>
        <w:tc>
          <w:tcPr>
            <w:tcW w:w="2200" w:type="dxa"/>
            <w:shd w:val="clear" w:color="auto" w:fill="D9E2F3"/>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b/>
                <w:color w:val="000000"/>
                <w:sz w:val="17"/>
                <w:rtl/>
              </w:rPr>
              <w:t>الغرض</w:t>
            </w:r>
          </w:p>
        </w:tc>
        <w:tc>
          <w:tcPr>
            <w:tcW w:w="3300" w:type="dxa"/>
            <w:shd w:val="clear" w:color="auto" w:fill="D9E2F3"/>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b/>
                <w:color w:val="000000"/>
                <w:sz w:val="17"/>
                <w:rtl/>
              </w:rPr>
              <w:t>المعيار المرجعي</w:t>
            </w:r>
          </w:p>
        </w:tc>
        <w:tc>
          <w:tcPr>
            <w:tcW w:w="3900" w:type="dxa"/>
            <w:shd w:val="clear" w:color="auto" w:fill="D9E2F3"/>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b/>
                <w:color w:val="000000"/>
                <w:sz w:val="17"/>
                <w:rtl/>
              </w:rPr>
              <w:t>الإجراء عند عدم تحقق المعيار</w:t>
            </w:r>
          </w:p>
        </w:tc>
        <w:tc>
          <w:tcPr>
            <w:tcW w:w="2204" w:type="dxa"/>
            <w:shd w:val="clear" w:color="auto" w:fill="D9E2F3"/>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b/>
                <w:color w:val="000000"/>
                <w:sz w:val="17"/>
                <w:rtl/>
              </w:rPr>
              <w:t>المرجع</w:t>
            </w:r>
          </w:p>
        </w:tc>
      </w:tr>
      <w:tr w:rsidR="008A3C62">
        <w:trPr>
          <w:jc w:val="center"/>
        </w:trPr>
        <w:tc>
          <w:tcPr>
            <w:tcW w:w="24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التحميلات الخارجية Outer Loadings</w:t>
            </w:r>
          </w:p>
        </w:tc>
        <w:tc>
          <w:tcPr>
            <w:tcW w:w="22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ثبات المؤشر وتقاربه مع البناء.</w:t>
            </w:r>
          </w:p>
        </w:tc>
        <w:tc>
          <w:tcPr>
            <w:tcW w:w="33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يفضل ≥ 0.708؛ وتُفحص القيم بين 0.40 و0.70 في ضوء CR وAVE وصدق المحتوى.</w:t>
            </w:r>
          </w:p>
        </w:tc>
        <w:tc>
          <w:tcPr>
            <w:tcW w:w="39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لا حذف آلي؛ تُراجع الفقرة نظريًا ويُقارن أثر الحذف في CR وAVE.</w:t>
            </w:r>
          </w:p>
        </w:tc>
        <w:tc>
          <w:tcPr>
            <w:tcW w:w="2204"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Hair et al. (2022)</w:t>
            </w:r>
          </w:p>
        </w:tc>
      </w:tr>
      <w:tr w:rsidR="008A3C62">
        <w:trPr>
          <w:jc w:val="center"/>
        </w:trPr>
        <w:tc>
          <w:tcPr>
            <w:tcW w:w="24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ألفا كرونباخ Cronbach’s Alpha</w:t>
            </w:r>
          </w:p>
        </w:tc>
        <w:tc>
          <w:tcPr>
            <w:tcW w:w="22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الاتساق الداخلي التقليدي.</w:t>
            </w:r>
          </w:p>
        </w:tc>
        <w:tc>
          <w:tcPr>
            <w:tcW w:w="33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 0.70 إرشاديًا.</w:t>
            </w:r>
          </w:p>
        </w:tc>
        <w:tc>
          <w:tcPr>
            <w:tcW w:w="39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فحص الفقرات والتداخل، مع عدم الاعتماد على ألفا منفردًا.</w:t>
            </w:r>
          </w:p>
        </w:tc>
        <w:tc>
          <w:tcPr>
            <w:tcW w:w="2204"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Hair et al. (2022)</w:t>
            </w:r>
          </w:p>
        </w:tc>
      </w:tr>
      <w:tr w:rsidR="008A3C62">
        <w:trPr>
          <w:jc w:val="center"/>
        </w:trPr>
        <w:tc>
          <w:tcPr>
            <w:tcW w:w="24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الثبات المركب Composite Reliability</w:t>
            </w:r>
          </w:p>
        </w:tc>
        <w:tc>
          <w:tcPr>
            <w:tcW w:w="22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الثبات الداخلي مع أوزان الفقرات.</w:t>
            </w:r>
          </w:p>
        </w:tc>
        <w:tc>
          <w:tcPr>
            <w:tcW w:w="33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بين 0.70 و0.95؛ القيم الأعلى جدًا قد تشير إلى تكرار.</w:t>
            </w:r>
          </w:p>
        </w:tc>
        <w:tc>
          <w:tcPr>
            <w:tcW w:w="39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مراجعة الفقرات المتشابهة مع الحفاظ على التغطية النظرية.</w:t>
            </w:r>
          </w:p>
        </w:tc>
        <w:tc>
          <w:tcPr>
            <w:tcW w:w="2204"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Hair et al. (2022)</w:t>
            </w:r>
          </w:p>
        </w:tc>
      </w:tr>
      <w:tr w:rsidR="008A3C62">
        <w:trPr>
          <w:jc w:val="center"/>
        </w:trPr>
        <w:tc>
          <w:tcPr>
            <w:tcW w:w="24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متوسط التباين المستخرج AVE</w:t>
            </w:r>
          </w:p>
        </w:tc>
        <w:tc>
          <w:tcPr>
            <w:tcW w:w="22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الصدق التقاربي.</w:t>
            </w:r>
          </w:p>
        </w:tc>
        <w:tc>
          <w:tcPr>
            <w:tcW w:w="33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 0.50.</w:t>
            </w:r>
          </w:p>
        </w:tc>
        <w:tc>
          <w:tcPr>
            <w:tcW w:w="39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مراجعة التحميلات ومحتوى البناء قبل أي حذف.</w:t>
            </w:r>
          </w:p>
        </w:tc>
        <w:tc>
          <w:tcPr>
            <w:tcW w:w="2204"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Fornell &amp; Larcker (1981); Hair et al. (2022)</w:t>
            </w:r>
          </w:p>
        </w:tc>
      </w:tr>
      <w:tr w:rsidR="008A3C62">
        <w:trPr>
          <w:jc w:val="center"/>
        </w:trPr>
        <w:tc>
          <w:tcPr>
            <w:tcW w:w="24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HTMT</w:t>
            </w:r>
          </w:p>
        </w:tc>
        <w:tc>
          <w:tcPr>
            <w:tcW w:w="22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الصدق التمييزي.</w:t>
            </w:r>
          </w:p>
        </w:tc>
        <w:tc>
          <w:tcPr>
            <w:tcW w:w="33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 0.85 معيار محافظ؛ وقد يُقبل &lt; 0.90 للبنى المتقاربة نظريًا، مع فحص فترة الثقة.</w:t>
            </w:r>
          </w:p>
        </w:tc>
        <w:tc>
          <w:tcPr>
            <w:tcW w:w="39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مراجعة التداخل المفاهيمي والفقرات وإعادة مواصفة البناء عند الحاجة.</w:t>
            </w:r>
          </w:p>
        </w:tc>
        <w:tc>
          <w:tcPr>
            <w:tcW w:w="2204"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Henseler et al. (2015); Hair et al. (2022)</w:t>
            </w:r>
          </w:p>
        </w:tc>
      </w:tr>
      <w:tr w:rsidR="008A3C62">
        <w:trPr>
          <w:jc w:val="center"/>
        </w:trPr>
        <w:tc>
          <w:tcPr>
            <w:tcW w:w="24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Fornell–Larcker</w:t>
            </w:r>
          </w:p>
        </w:tc>
        <w:tc>
          <w:tcPr>
            <w:tcW w:w="22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فحص داعم للصدق التمييزي.</w:t>
            </w:r>
          </w:p>
        </w:tc>
        <w:tc>
          <w:tcPr>
            <w:tcW w:w="33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الجذر التربيعي لـAVE أكبر من ارتباطات البناء بالبنى الأخرى.</w:t>
            </w:r>
          </w:p>
        </w:tc>
        <w:tc>
          <w:tcPr>
            <w:tcW w:w="39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يُستخدم دعمًا لا بديلًا عن HTMT.</w:t>
            </w:r>
          </w:p>
        </w:tc>
        <w:tc>
          <w:tcPr>
            <w:tcW w:w="2204"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Fornell &amp; Larcker (1981)</w:t>
            </w:r>
          </w:p>
        </w:tc>
      </w:tr>
      <w:tr w:rsidR="008A3C62">
        <w:trPr>
          <w:jc w:val="center"/>
        </w:trPr>
        <w:tc>
          <w:tcPr>
            <w:tcW w:w="24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VIF</w:t>
            </w:r>
          </w:p>
        </w:tc>
        <w:tc>
          <w:tcPr>
            <w:tcW w:w="22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التعدد الخطي بين المؤشرات/المتنبئات.</w:t>
            </w:r>
          </w:p>
        </w:tc>
        <w:tc>
          <w:tcPr>
            <w:tcW w:w="33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 3 مثالي، وما دون 5 لا يشير عادة إلى مشكلة حرجة.</w:t>
            </w:r>
          </w:p>
        </w:tc>
        <w:tc>
          <w:tcPr>
            <w:tcW w:w="39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فحص التكرار والتداخل وإعادة المواصفة نظريًا.</w:t>
            </w:r>
          </w:p>
        </w:tc>
        <w:tc>
          <w:tcPr>
            <w:tcW w:w="2204"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7"/>
                <w:rtl/>
              </w:rPr>
              <w:t>Hair et al. (2022)</w:t>
            </w:r>
          </w:p>
        </w:tc>
      </w:tr>
    </w:tbl>
    <w:p w:rsidR="008A3C62" w:rsidRDefault="00327AE4" w:rsidP="00327AE4">
      <w:pPr>
        <w:bidi/>
        <w:spacing w:before="80" w:after="160"/>
      </w:pPr>
      <w:r>
        <w:rPr>
          <w:rFonts w:eastAsia="Traditional Arabic"/>
          <w:color w:val="4F5B66"/>
          <w:sz w:val="21"/>
          <w:rtl/>
        </w:rPr>
        <w:t>المصدر: إعداد الباحث استنادًا إلى المراجع المبينة.</w:t>
      </w:r>
    </w:p>
    <w:p w:rsidR="008A3C62" w:rsidRDefault="008A3C62" w:rsidP="00327AE4">
      <w:pPr>
        <w:bidi/>
        <w:sectPr w:rsidR="008A3C62">
          <w:pgSz w:w="16838" w:h="11906" w:orient="landscape"/>
          <w:pgMar w:top="1417" w:right="1417" w:bottom="1417" w:left="1417" w:header="709" w:footer="709" w:gutter="0"/>
          <w:cols w:space="720"/>
          <w:titlePg/>
          <w:docGrid w:linePitch="360"/>
        </w:sectPr>
      </w:pPr>
    </w:p>
    <w:p w:rsidR="008A3C62" w:rsidRDefault="00327AE4" w:rsidP="00327AE4">
      <w:pPr>
        <w:bidi/>
      </w:pPr>
      <w:r>
        <w:rPr>
          <w:rFonts w:eastAsia="Traditional Arabic"/>
          <w:color w:val="000000"/>
          <w:rtl/>
        </w:rPr>
        <w:lastRenderedPageBreak/>
        <w:t>تؤكد المعايير أن القرار بشأن الفقرة لا يستند إلى حد إحصائي منفرد؛ بل يوازن بين جودة القياس وصدق المحتوى والبناء النظري وقابلية المقارنة مع الأدبيات.</w:t>
      </w:r>
    </w:p>
    <w:p w:rsidR="008A3C62" w:rsidRDefault="00327AE4" w:rsidP="00327AE4">
      <w:pPr>
        <w:pStyle w:val="Heading2"/>
        <w:bidi/>
        <w:spacing w:before="220" w:after="100"/>
      </w:pPr>
      <w:r>
        <w:rPr>
          <w:rFonts w:ascii="Times New Roman" w:eastAsia="Traditional Arabic" w:hAnsi="Times New Roman" w:cs="Traditional Arabic"/>
          <w:rtl/>
        </w:rPr>
        <w:t>3.7.5 تقييم النموذج البنائي (Structural Model)</w:t>
      </w:r>
    </w:p>
    <w:p w:rsidR="008A3C62" w:rsidRDefault="00327AE4" w:rsidP="00327AE4">
      <w:pPr>
        <w:bidi/>
      </w:pPr>
      <w:r>
        <w:rPr>
          <w:rFonts w:eastAsia="Traditional Arabic"/>
          <w:color w:val="000000"/>
          <w:rtl/>
        </w:rPr>
        <w:t>بعد تحقق جودة القياس، تُفحص التعددية الخطية بين المتنبئات، ثم تُقدّر معاملات المسار وأحجامها ودلالتها وفترات ثقتها، وتُفسر القدرة التفسيرية والتنبؤية للنموذج. ويوضح جدول (3-10) خطة التقييم.</w:t>
      </w:r>
    </w:p>
    <w:p w:rsidR="008A3C62" w:rsidRDefault="008A3C62" w:rsidP="00327AE4">
      <w:pPr>
        <w:bidi/>
        <w:sectPr w:rsidR="008A3C62">
          <w:pgSz w:w="11906" w:h="16838"/>
          <w:pgMar w:top="1417" w:right="1417" w:bottom="1417" w:left="1417" w:header="709" w:footer="709" w:gutter="0"/>
          <w:cols w:space="720"/>
          <w:titlePg/>
          <w:docGrid w:linePitch="360"/>
        </w:sectPr>
      </w:pPr>
    </w:p>
    <w:p w:rsidR="008A3C62" w:rsidRDefault="00327AE4" w:rsidP="00327AE4">
      <w:pPr>
        <w:pStyle w:val="Caption"/>
        <w:keepNext/>
        <w:keepLines/>
        <w:bidi/>
        <w:spacing w:before="160" w:after="80" w:line="360" w:lineRule="auto"/>
        <w:rPr>
          <w:rFonts w:hint="eastAsia"/>
        </w:rPr>
      </w:pPr>
      <w:r>
        <w:rPr>
          <w:rFonts w:ascii="Times New Roman" w:eastAsia="Traditional Arabic" w:hAnsi="Times New Roman"/>
          <w:rtl/>
        </w:rPr>
        <w:lastRenderedPageBreak/>
        <w:t>جدول (3-10): مؤشرات ومعايير تقييم النموذج البنائي</w:t>
      </w:r>
    </w:p>
    <w:tbl>
      <w:tblPr>
        <w:tblStyle w:val="TableGrid"/>
        <w:bidiVisual/>
        <w:tblW w:w="14004" w:type="dxa"/>
        <w:jc w:val="center"/>
        <w:tblLayout w:type="fixed"/>
        <w:tblLook w:val="04A0" w:firstRow="1" w:lastRow="0" w:firstColumn="1" w:lastColumn="0" w:noHBand="0" w:noVBand="1"/>
      </w:tblPr>
      <w:tblGrid>
        <w:gridCol w:w="2000"/>
        <w:gridCol w:w="2500"/>
        <w:gridCol w:w="3400"/>
        <w:gridCol w:w="3900"/>
        <w:gridCol w:w="2204"/>
      </w:tblGrid>
      <w:tr w:rsidR="008A3C62" w:rsidTr="00327AE4">
        <w:trPr>
          <w:tblHeader/>
          <w:jc w:val="center"/>
        </w:trPr>
        <w:tc>
          <w:tcPr>
            <w:tcW w:w="2000" w:type="dxa"/>
            <w:shd w:val="clear" w:color="auto" w:fill="D9E2F3"/>
            <w:tcMar>
              <w:top w:w="90" w:type="dxa"/>
              <w:left w:w="120" w:type="dxa"/>
              <w:bottom w:w="90" w:type="dxa"/>
              <w:right w:w="120" w:type="dxa"/>
            </w:tcMar>
            <w:vAlign w:val="center"/>
          </w:tcPr>
          <w:p w:rsidR="008A3C62" w:rsidRDefault="00327AE4">
            <w:pPr>
              <w:bidi/>
              <w:spacing w:after="0" w:line="276" w:lineRule="auto"/>
              <w:jc w:val="center"/>
            </w:pPr>
            <w:r>
              <w:rPr>
                <w:rFonts w:eastAsia="Traditional Arabic"/>
                <w:b/>
                <w:color w:val="000000"/>
                <w:sz w:val="17"/>
                <w:rtl/>
              </w:rPr>
              <w:t>المؤشر</w:t>
            </w:r>
          </w:p>
        </w:tc>
        <w:tc>
          <w:tcPr>
            <w:tcW w:w="2500" w:type="dxa"/>
            <w:shd w:val="clear" w:color="auto" w:fill="D9E2F3"/>
            <w:tcMar>
              <w:top w:w="90" w:type="dxa"/>
              <w:left w:w="120" w:type="dxa"/>
              <w:bottom w:w="90" w:type="dxa"/>
              <w:right w:w="120" w:type="dxa"/>
            </w:tcMar>
            <w:vAlign w:val="center"/>
          </w:tcPr>
          <w:p w:rsidR="008A3C62" w:rsidRDefault="00327AE4">
            <w:pPr>
              <w:bidi/>
              <w:spacing w:after="0" w:line="276" w:lineRule="auto"/>
              <w:jc w:val="center"/>
            </w:pPr>
            <w:r>
              <w:rPr>
                <w:rFonts w:eastAsia="Traditional Arabic"/>
                <w:b/>
                <w:color w:val="000000"/>
                <w:sz w:val="17"/>
                <w:rtl/>
              </w:rPr>
              <w:t>الغرض</w:t>
            </w:r>
          </w:p>
        </w:tc>
        <w:tc>
          <w:tcPr>
            <w:tcW w:w="3400" w:type="dxa"/>
            <w:shd w:val="clear" w:color="auto" w:fill="D9E2F3"/>
            <w:tcMar>
              <w:top w:w="90" w:type="dxa"/>
              <w:left w:w="120" w:type="dxa"/>
              <w:bottom w:w="90" w:type="dxa"/>
              <w:right w:w="120" w:type="dxa"/>
            </w:tcMar>
            <w:vAlign w:val="center"/>
          </w:tcPr>
          <w:p w:rsidR="008A3C62" w:rsidRDefault="00327AE4">
            <w:pPr>
              <w:bidi/>
              <w:spacing w:after="0" w:line="276" w:lineRule="auto"/>
              <w:jc w:val="center"/>
            </w:pPr>
            <w:r>
              <w:rPr>
                <w:rFonts w:eastAsia="Traditional Arabic"/>
                <w:b/>
                <w:color w:val="000000"/>
                <w:sz w:val="17"/>
                <w:rtl/>
              </w:rPr>
              <w:t>معيار التقييم</w:t>
            </w:r>
          </w:p>
        </w:tc>
        <w:tc>
          <w:tcPr>
            <w:tcW w:w="3900" w:type="dxa"/>
            <w:shd w:val="clear" w:color="auto" w:fill="D9E2F3"/>
            <w:tcMar>
              <w:top w:w="90" w:type="dxa"/>
              <w:left w:w="120" w:type="dxa"/>
              <w:bottom w:w="90" w:type="dxa"/>
              <w:right w:w="120" w:type="dxa"/>
            </w:tcMar>
            <w:vAlign w:val="center"/>
          </w:tcPr>
          <w:p w:rsidR="008A3C62" w:rsidRDefault="00327AE4">
            <w:pPr>
              <w:bidi/>
              <w:spacing w:after="0" w:line="276" w:lineRule="auto"/>
              <w:jc w:val="center"/>
            </w:pPr>
            <w:r>
              <w:rPr>
                <w:rFonts w:eastAsia="Traditional Arabic"/>
                <w:b/>
                <w:color w:val="000000"/>
                <w:sz w:val="17"/>
                <w:rtl/>
              </w:rPr>
              <w:t>الإجراء/التقرير</w:t>
            </w:r>
          </w:p>
        </w:tc>
        <w:tc>
          <w:tcPr>
            <w:tcW w:w="2204" w:type="dxa"/>
            <w:shd w:val="clear" w:color="auto" w:fill="D9E2F3"/>
            <w:tcMar>
              <w:top w:w="90" w:type="dxa"/>
              <w:left w:w="120" w:type="dxa"/>
              <w:bottom w:w="90" w:type="dxa"/>
              <w:right w:w="120" w:type="dxa"/>
            </w:tcMar>
            <w:vAlign w:val="center"/>
          </w:tcPr>
          <w:p w:rsidR="008A3C62" w:rsidRDefault="00327AE4">
            <w:pPr>
              <w:bidi/>
              <w:spacing w:after="0" w:line="276" w:lineRule="auto"/>
              <w:jc w:val="center"/>
            </w:pPr>
            <w:r>
              <w:rPr>
                <w:rFonts w:eastAsia="Traditional Arabic"/>
                <w:b/>
                <w:color w:val="000000"/>
                <w:sz w:val="17"/>
                <w:rtl/>
              </w:rPr>
              <w:t>المرجع</w:t>
            </w:r>
          </w:p>
        </w:tc>
      </w:tr>
      <w:tr w:rsidR="008A3C62" w:rsidTr="00327AE4">
        <w:trPr>
          <w:jc w:val="center"/>
        </w:trPr>
        <w:tc>
          <w:tcPr>
            <w:tcW w:w="2000" w:type="dxa"/>
            <w:tcMar>
              <w:top w:w="90" w:type="dxa"/>
              <w:left w:w="120" w:type="dxa"/>
              <w:bottom w:w="90" w:type="dxa"/>
              <w:right w:w="120" w:type="dxa"/>
            </w:tcMar>
            <w:vAlign w:val="center"/>
          </w:tcPr>
          <w:p w:rsidR="008A3C62" w:rsidRDefault="00327AE4">
            <w:pPr>
              <w:bidi/>
              <w:spacing w:after="0" w:line="276" w:lineRule="auto"/>
              <w:jc w:val="right"/>
            </w:pPr>
            <w:r>
              <w:rPr>
                <w:rFonts w:eastAsia="Traditional Arabic"/>
                <w:color w:val="000000"/>
                <w:sz w:val="17"/>
                <w:rtl/>
              </w:rPr>
              <w:t>معاملات المسار</w:t>
            </w:r>
          </w:p>
        </w:tc>
        <w:tc>
          <w:tcPr>
            <w:tcW w:w="2500" w:type="dxa"/>
            <w:tcMar>
              <w:top w:w="90" w:type="dxa"/>
              <w:left w:w="120" w:type="dxa"/>
              <w:bottom w:w="90" w:type="dxa"/>
              <w:right w:w="120" w:type="dxa"/>
            </w:tcMar>
            <w:vAlign w:val="center"/>
          </w:tcPr>
          <w:p w:rsidR="008A3C62" w:rsidRDefault="00327AE4">
            <w:pPr>
              <w:bidi/>
              <w:spacing w:after="0" w:line="276" w:lineRule="auto"/>
              <w:jc w:val="right"/>
            </w:pPr>
            <w:r>
              <w:rPr>
                <w:rFonts w:eastAsia="Traditional Arabic"/>
                <w:color w:val="000000"/>
                <w:sz w:val="17"/>
                <w:rtl/>
              </w:rPr>
              <w:t>اتجاه العلاقة وقوتها.</w:t>
            </w:r>
          </w:p>
        </w:tc>
        <w:tc>
          <w:tcPr>
            <w:tcW w:w="3400" w:type="dxa"/>
            <w:tcMar>
              <w:top w:w="90" w:type="dxa"/>
              <w:left w:w="120" w:type="dxa"/>
              <w:bottom w:w="90" w:type="dxa"/>
              <w:right w:w="120" w:type="dxa"/>
            </w:tcMar>
            <w:vAlign w:val="center"/>
          </w:tcPr>
          <w:p w:rsidR="008A3C62" w:rsidRDefault="00327AE4">
            <w:pPr>
              <w:bidi/>
              <w:spacing w:after="0" w:line="276" w:lineRule="auto"/>
              <w:jc w:val="right"/>
            </w:pPr>
            <w:r>
              <w:rPr>
                <w:rFonts w:eastAsia="Traditional Arabic"/>
                <w:color w:val="000000"/>
                <w:sz w:val="17"/>
                <w:rtl/>
              </w:rPr>
              <w:t>الإشارة والحجم وفق الفرضية والسياق.</w:t>
            </w:r>
          </w:p>
        </w:tc>
        <w:tc>
          <w:tcPr>
            <w:tcW w:w="3900" w:type="dxa"/>
            <w:tcMar>
              <w:top w:w="90" w:type="dxa"/>
              <w:left w:w="120" w:type="dxa"/>
              <w:bottom w:w="90" w:type="dxa"/>
              <w:right w:w="120" w:type="dxa"/>
            </w:tcMar>
            <w:vAlign w:val="center"/>
          </w:tcPr>
          <w:p w:rsidR="008A3C62" w:rsidRDefault="00327AE4">
            <w:pPr>
              <w:bidi/>
              <w:spacing w:after="0" w:line="276" w:lineRule="auto"/>
              <w:jc w:val="right"/>
            </w:pPr>
            <w:r>
              <w:rPr>
                <w:rFonts w:eastAsia="Traditional Arabic"/>
                <w:color w:val="000000"/>
                <w:sz w:val="17"/>
                <w:rtl/>
              </w:rPr>
              <w:t>يُبلغ المعامل المعياري وفترة الثقة.</w:t>
            </w:r>
          </w:p>
        </w:tc>
        <w:tc>
          <w:tcPr>
            <w:tcW w:w="2204" w:type="dxa"/>
            <w:tcMar>
              <w:top w:w="90" w:type="dxa"/>
              <w:left w:w="120" w:type="dxa"/>
              <w:bottom w:w="90" w:type="dxa"/>
              <w:right w:w="120" w:type="dxa"/>
            </w:tcMar>
            <w:vAlign w:val="center"/>
          </w:tcPr>
          <w:p w:rsidR="008A3C62" w:rsidRDefault="00327AE4">
            <w:pPr>
              <w:bidi/>
              <w:spacing w:after="0" w:line="276" w:lineRule="auto"/>
              <w:jc w:val="right"/>
            </w:pPr>
            <w:r>
              <w:rPr>
                <w:rFonts w:eastAsia="Traditional Arabic"/>
                <w:color w:val="000000"/>
                <w:sz w:val="17"/>
                <w:rtl/>
              </w:rPr>
              <w:t>Hair et al. (2019, 2022)</w:t>
            </w:r>
          </w:p>
        </w:tc>
      </w:tr>
      <w:tr w:rsidR="008A3C62" w:rsidTr="00327AE4">
        <w:trPr>
          <w:jc w:val="center"/>
        </w:trPr>
        <w:tc>
          <w:tcPr>
            <w:tcW w:w="2000" w:type="dxa"/>
            <w:shd w:val="clear" w:color="auto" w:fill="F7F9FB"/>
            <w:tcMar>
              <w:top w:w="90" w:type="dxa"/>
              <w:left w:w="120" w:type="dxa"/>
              <w:bottom w:w="90" w:type="dxa"/>
              <w:right w:w="120" w:type="dxa"/>
            </w:tcMar>
            <w:vAlign w:val="center"/>
          </w:tcPr>
          <w:p w:rsidR="008A3C62" w:rsidRDefault="00327AE4">
            <w:pPr>
              <w:bidi/>
              <w:spacing w:after="0" w:line="276" w:lineRule="auto"/>
              <w:jc w:val="right"/>
            </w:pPr>
            <w:r>
              <w:rPr>
                <w:rFonts w:eastAsia="Traditional Arabic"/>
                <w:color w:val="000000"/>
                <w:sz w:val="17"/>
                <w:rtl/>
              </w:rPr>
              <w:t>قيم t وقيم p</w:t>
            </w:r>
          </w:p>
        </w:tc>
        <w:tc>
          <w:tcPr>
            <w:tcW w:w="2500" w:type="dxa"/>
            <w:shd w:val="clear" w:color="auto" w:fill="F7F9FB"/>
            <w:tcMar>
              <w:top w:w="90" w:type="dxa"/>
              <w:left w:w="120" w:type="dxa"/>
              <w:bottom w:w="90" w:type="dxa"/>
              <w:right w:w="120" w:type="dxa"/>
            </w:tcMar>
            <w:vAlign w:val="center"/>
          </w:tcPr>
          <w:p w:rsidR="008A3C62" w:rsidRDefault="00327AE4">
            <w:pPr>
              <w:bidi/>
              <w:spacing w:after="0" w:line="276" w:lineRule="auto"/>
              <w:jc w:val="right"/>
            </w:pPr>
            <w:r>
              <w:rPr>
                <w:rFonts w:eastAsia="Traditional Arabic"/>
                <w:color w:val="000000"/>
                <w:sz w:val="17"/>
                <w:rtl/>
              </w:rPr>
              <w:t>الدلالة الإحصائية.</w:t>
            </w:r>
          </w:p>
        </w:tc>
        <w:tc>
          <w:tcPr>
            <w:tcW w:w="3400" w:type="dxa"/>
            <w:shd w:val="clear" w:color="auto" w:fill="F7F9FB"/>
            <w:tcMar>
              <w:top w:w="90" w:type="dxa"/>
              <w:left w:w="120" w:type="dxa"/>
              <w:bottom w:w="90" w:type="dxa"/>
              <w:right w:w="120" w:type="dxa"/>
            </w:tcMar>
            <w:vAlign w:val="center"/>
          </w:tcPr>
          <w:p w:rsidR="008A3C62" w:rsidRDefault="00327AE4">
            <w:pPr>
              <w:bidi/>
              <w:spacing w:after="0" w:line="276" w:lineRule="auto"/>
              <w:jc w:val="right"/>
            </w:pPr>
            <w:r>
              <w:rPr>
                <w:rFonts w:eastAsia="Traditional Arabic"/>
                <w:color w:val="000000"/>
                <w:sz w:val="17"/>
                <w:rtl/>
              </w:rPr>
              <w:t>وفق مستوى الدلالة النهائي [مطلوب تحديده].</w:t>
            </w:r>
          </w:p>
        </w:tc>
        <w:tc>
          <w:tcPr>
            <w:tcW w:w="3900" w:type="dxa"/>
            <w:shd w:val="clear" w:color="auto" w:fill="F7F9FB"/>
            <w:tcMar>
              <w:top w:w="90" w:type="dxa"/>
              <w:left w:w="120" w:type="dxa"/>
              <w:bottom w:w="90" w:type="dxa"/>
              <w:right w:w="120" w:type="dxa"/>
            </w:tcMar>
            <w:vAlign w:val="center"/>
          </w:tcPr>
          <w:p w:rsidR="008A3C62" w:rsidRDefault="00327AE4">
            <w:pPr>
              <w:bidi/>
              <w:spacing w:after="0" w:line="276" w:lineRule="auto"/>
              <w:jc w:val="right"/>
            </w:pPr>
            <w:r>
              <w:rPr>
                <w:rFonts w:eastAsia="Traditional Arabic"/>
                <w:color w:val="000000"/>
                <w:sz w:val="17"/>
                <w:rtl/>
              </w:rPr>
              <w:t>لا يُكتفى بقيمة p دون حجم الأثر وفترة الثقة.</w:t>
            </w:r>
          </w:p>
        </w:tc>
        <w:tc>
          <w:tcPr>
            <w:tcW w:w="2204" w:type="dxa"/>
            <w:shd w:val="clear" w:color="auto" w:fill="F7F9FB"/>
            <w:tcMar>
              <w:top w:w="90" w:type="dxa"/>
              <w:left w:w="120" w:type="dxa"/>
              <w:bottom w:w="90" w:type="dxa"/>
              <w:right w:w="120" w:type="dxa"/>
            </w:tcMar>
            <w:vAlign w:val="center"/>
          </w:tcPr>
          <w:p w:rsidR="008A3C62" w:rsidRDefault="00327AE4">
            <w:pPr>
              <w:bidi/>
              <w:spacing w:after="0" w:line="276" w:lineRule="auto"/>
              <w:jc w:val="right"/>
            </w:pPr>
            <w:r>
              <w:rPr>
                <w:rFonts w:eastAsia="Traditional Arabic"/>
                <w:color w:val="000000"/>
                <w:sz w:val="17"/>
                <w:rtl/>
              </w:rPr>
              <w:t>Hair et al. (2022)</w:t>
            </w:r>
          </w:p>
        </w:tc>
      </w:tr>
      <w:tr w:rsidR="008A3C62" w:rsidTr="00327AE4">
        <w:trPr>
          <w:jc w:val="center"/>
        </w:trPr>
        <w:tc>
          <w:tcPr>
            <w:tcW w:w="2000" w:type="dxa"/>
            <w:tcMar>
              <w:top w:w="90" w:type="dxa"/>
              <w:left w:w="120" w:type="dxa"/>
              <w:bottom w:w="90" w:type="dxa"/>
              <w:right w:w="120" w:type="dxa"/>
            </w:tcMar>
            <w:vAlign w:val="center"/>
          </w:tcPr>
          <w:p w:rsidR="008A3C62" w:rsidRDefault="00327AE4">
            <w:pPr>
              <w:bidi/>
              <w:spacing w:after="0" w:line="276" w:lineRule="auto"/>
              <w:jc w:val="right"/>
            </w:pPr>
            <w:r>
              <w:rPr>
                <w:rFonts w:eastAsia="Traditional Arabic"/>
                <w:color w:val="000000"/>
                <w:sz w:val="17"/>
                <w:rtl/>
              </w:rPr>
              <w:t>فترات الثقة</w:t>
            </w:r>
          </w:p>
        </w:tc>
        <w:tc>
          <w:tcPr>
            <w:tcW w:w="2500" w:type="dxa"/>
            <w:tcMar>
              <w:top w:w="90" w:type="dxa"/>
              <w:left w:w="120" w:type="dxa"/>
              <w:bottom w:w="90" w:type="dxa"/>
              <w:right w:w="120" w:type="dxa"/>
            </w:tcMar>
            <w:vAlign w:val="center"/>
          </w:tcPr>
          <w:p w:rsidR="008A3C62" w:rsidRDefault="00327AE4">
            <w:pPr>
              <w:bidi/>
              <w:spacing w:after="0" w:line="276" w:lineRule="auto"/>
              <w:jc w:val="right"/>
            </w:pPr>
            <w:r>
              <w:rPr>
                <w:rFonts w:eastAsia="Traditional Arabic"/>
                <w:color w:val="000000"/>
                <w:sz w:val="17"/>
                <w:rtl/>
              </w:rPr>
              <w:t>عدم اليقين حول التقدير.</w:t>
            </w:r>
          </w:p>
        </w:tc>
        <w:tc>
          <w:tcPr>
            <w:tcW w:w="3400" w:type="dxa"/>
            <w:tcMar>
              <w:top w:w="90" w:type="dxa"/>
              <w:left w:w="120" w:type="dxa"/>
              <w:bottom w:w="90" w:type="dxa"/>
              <w:right w:w="120" w:type="dxa"/>
            </w:tcMar>
            <w:vAlign w:val="center"/>
          </w:tcPr>
          <w:p w:rsidR="008A3C62" w:rsidRDefault="00327AE4">
            <w:pPr>
              <w:bidi/>
              <w:spacing w:after="0" w:line="276" w:lineRule="auto"/>
              <w:jc w:val="right"/>
            </w:pPr>
            <w:r>
              <w:rPr>
                <w:rFonts w:eastAsia="Traditional Arabic"/>
                <w:color w:val="000000"/>
                <w:sz w:val="17"/>
                <w:rtl/>
              </w:rPr>
              <w:t>لا تشمل الصفر للأثر المدعوم عند المستوى المعتمد.</w:t>
            </w:r>
          </w:p>
        </w:tc>
        <w:tc>
          <w:tcPr>
            <w:tcW w:w="3900" w:type="dxa"/>
            <w:tcMar>
              <w:top w:w="90" w:type="dxa"/>
              <w:left w:w="120" w:type="dxa"/>
              <w:bottom w:w="90" w:type="dxa"/>
              <w:right w:w="120" w:type="dxa"/>
            </w:tcMar>
            <w:vAlign w:val="center"/>
          </w:tcPr>
          <w:p w:rsidR="008A3C62" w:rsidRDefault="00327AE4">
            <w:pPr>
              <w:bidi/>
              <w:spacing w:after="0" w:line="276" w:lineRule="auto"/>
              <w:jc w:val="right"/>
            </w:pPr>
            <w:r>
              <w:rPr>
                <w:rFonts w:eastAsia="Traditional Arabic"/>
                <w:color w:val="000000"/>
                <w:sz w:val="17"/>
                <w:rtl/>
              </w:rPr>
              <w:t>الإبلاغ عن نوع الفترة ومستواها وإعدادات Bootstrap.</w:t>
            </w:r>
          </w:p>
        </w:tc>
        <w:tc>
          <w:tcPr>
            <w:tcW w:w="2204" w:type="dxa"/>
            <w:tcMar>
              <w:top w:w="90" w:type="dxa"/>
              <w:left w:w="120" w:type="dxa"/>
              <w:bottom w:w="90" w:type="dxa"/>
              <w:right w:w="120" w:type="dxa"/>
            </w:tcMar>
            <w:vAlign w:val="center"/>
          </w:tcPr>
          <w:p w:rsidR="008A3C62" w:rsidRDefault="00327AE4">
            <w:pPr>
              <w:bidi/>
              <w:spacing w:after="0" w:line="276" w:lineRule="auto"/>
              <w:jc w:val="right"/>
            </w:pPr>
            <w:r>
              <w:rPr>
                <w:rFonts w:eastAsia="Traditional Arabic"/>
                <w:color w:val="000000"/>
                <w:sz w:val="17"/>
                <w:rtl/>
              </w:rPr>
              <w:t>Hair et al. (2022)</w:t>
            </w:r>
          </w:p>
        </w:tc>
      </w:tr>
      <w:tr w:rsidR="008A3C62" w:rsidTr="00327AE4">
        <w:trPr>
          <w:jc w:val="center"/>
        </w:trPr>
        <w:tc>
          <w:tcPr>
            <w:tcW w:w="2000" w:type="dxa"/>
            <w:shd w:val="clear" w:color="auto" w:fill="F7F9FB"/>
            <w:tcMar>
              <w:top w:w="90" w:type="dxa"/>
              <w:left w:w="120" w:type="dxa"/>
              <w:bottom w:w="90" w:type="dxa"/>
              <w:right w:w="120" w:type="dxa"/>
            </w:tcMar>
            <w:vAlign w:val="center"/>
          </w:tcPr>
          <w:p w:rsidR="008A3C62" w:rsidRDefault="00327AE4">
            <w:pPr>
              <w:bidi/>
              <w:spacing w:after="0" w:line="276" w:lineRule="auto"/>
              <w:jc w:val="right"/>
            </w:pPr>
            <w:r>
              <w:rPr>
                <w:rFonts w:eastAsia="Traditional Arabic"/>
                <w:color w:val="000000"/>
                <w:sz w:val="17"/>
                <w:rtl/>
              </w:rPr>
              <w:t>R²</w:t>
            </w:r>
          </w:p>
        </w:tc>
        <w:tc>
          <w:tcPr>
            <w:tcW w:w="2500" w:type="dxa"/>
            <w:shd w:val="clear" w:color="auto" w:fill="F7F9FB"/>
            <w:tcMar>
              <w:top w:w="90" w:type="dxa"/>
              <w:left w:w="120" w:type="dxa"/>
              <w:bottom w:w="90" w:type="dxa"/>
              <w:right w:w="120" w:type="dxa"/>
            </w:tcMar>
            <w:vAlign w:val="center"/>
          </w:tcPr>
          <w:p w:rsidR="008A3C62" w:rsidRDefault="00327AE4">
            <w:pPr>
              <w:bidi/>
              <w:spacing w:after="0" w:line="276" w:lineRule="auto"/>
              <w:jc w:val="right"/>
            </w:pPr>
            <w:r>
              <w:rPr>
                <w:rFonts w:eastAsia="Traditional Arabic"/>
                <w:color w:val="000000"/>
                <w:sz w:val="17"/>
                <w:rtl/>
              </w:rPr>
              <w:t>التباين المفسر في البناء التابع.</w:t>
            </w:r>
          </w:p>
        </w:tc>
        <w:tc>
          <w:tcPr>
            <w:tcW w:w="3400" w:type="dxa"/>
            <w:shd w:val="clear" w:color="auto" w:fill="F7F9FB"/>
            <w:tcMar>
              <w:top w:w="90" w:type="dxa"/>
              <w:left w:w="120" w:type="dxa"/>
              <w:bottom w:w="90" w:type="dxa"/>
              <w:right w:w="120" w:type="dxa"/>
            </w:tcMar>
            <w:vAlign w:val="center"/>
          </w:tcPr>
          <w:p w:rsidR="008A3C62" w:rsidRDefault="00327AE4">
            <w:pPr>
              <w:bidi/>
              <w:spacing w:after="0" w:line="276" w:lineRule="auto"/>
              <w:jc w:val="right"/>
            </w:pPr>
            <w:r>
              <w:rPr>
                <w:rFonts w:eastAsia="Traditional Arabic"/>
                <w:color w:val="000000"/>
                <w:sz w:val="17"/>
                <w:rtl/>
              </w:rPr>
              <w:t>0.25 ضعيف، 0.50 متوسط، 0.75 جوهري بوصفها إرشادات سياقية.</w:t>
            </w:r>
          </w:p>
        </w:tc>
        <w:tc>
          <w:tcPr>
            <w:tcW w:w="3900" w:type="dxa"/>
            <w:shd w:val="clear" w:color="auto" w:fill="F7F9FB"/>
            <w:tcMar>
              <w:top w:w="90" w:type="dxa"/>
              <w:left w:w="120" w:type="dxa"/>
              <w:bottom w:w="90" w:type="dxa"/>
              <w:right w:w="120" w:type="dxa"/>
            </w:tcMar>
            <w:vAlign w:val="center"/>
          </w:tcPr>
          <w:p w:rsidR="008A3C62" w:rsidRDefault="00327AE4">
            <w:pPr>
              <w:bidi/>
              <w:spacing w:after="0" w:line="276" w:lineRule="auto"/>
              <w:jc w:val="right"/>
            </w:pPr>
            <w:r>
              <w:rPr>
                <w:rFonts w:eastAsia="Traditional Arabic"/>
                <w:color w:val="000000"/>
                <w:sz w:val="17"/>
                <w:rtl/>
              </w:rPr>
              <w:t>التفسير بحسب المجال وعدد المتنبئات لا بصورة آلية.</w:t>
            </w:r>
          </w:p>
        </w:tc>
        <w:tc>
          <w:tcPr>
            <w:tcW w:w="2204" w:type="dxa"/>
            <w:shd w:val="clear" w:color="auto" w:fill="F7F9FB"/>
            <w:tcMar>
              <w:top w:w="90" w:type="dxa"/>
              <w:left w:w="120" w:type="dxa"/>
              <w:bottom w:w="90" w:type="dxa"/>
              <w:right w:w="120" w:type="dxa"/>
            </w:tcMar>
            <w:vAlign w:val="center"/>
          </w:tcPr>
          <w:p w:rsidR="008A3C62" w:rsidRDefault="00327AE4">
            <w:pPr>
              <w:bidi/>
              <w:spacing w:after="0" w:line="276" w:lineRule="auto"/>
              <w:jc w:val="right"/>
            </w:pPr>
            <w:r>
              <w:rPr>
                <w:rFonts w:eastAsia="Traditional Arabic"/>
                <w:color w:val="000000"/>
                <w:sz w:val="17"/>
                <w:rtl/>
              </w:rPr>
              <w:t>Hair et al. (2022)</w:t>
            </w:r>
          </w:p>
        </w:tc>
      </w:tr>
      <w:tr w:rsidR="008A3C62" w:rsidTr="00327AE4">
        <w:trPr>
          <w:jc w:val="center"/>
        </w:trPr>
        <w:tc>
          <w:tcPr>
            <w:tcW w:w="2000" w:type="dxa"/>
            <w:tcMar>
              <w:top w:w="90" w:type="dxa"/>
              <w:left w:w="120" w:type="dxa"/>
              <w:bottom w:w="90" w:type="dxa"/>
              <w:right w:w="120" w:type="dxa"/>
            </w:tcMar>
            <w:vAlign w:val="center"/>
          </w:tcPr>
          <w:p w:rsidR="008A3C62" w:rsidRDefault="00327AE4">
            <w:pPr>
              <w:bidi/>
              <w:spacing w:after="0" w:line="276" w:lineRule="auto"/>
              <w:jc w:val="right"/>
            </w:pPr>
            <w:r>
              <w:rPr>
                <w:rFonts w:eastAsia="Traditional Arabic"/>
                <w:color w:val="000000"/>
                <w:sz w:val="17"/>
                <w:rtl/>
              </w:rPr>
              <w:t>f²</w:t>
            </w:r>
          </w:p>
        </w:tc>
        <w:tc>
          <w:tcPr>
            <w:tcW w:w="2500" w:type="dxa"/>
            <w:tcMar>
              <w:top w:w="90" w:type="dxa"/>
              <w:left w:w="120" w:type="dxa"/>
              <w:bottom w:w="90" w:type="dxa"/>
              <w:right w:w="120" w:type="dxa"/>
            </w:tcMar>
            <w:vAlign w:val="center"/>
          </w:tcPr>
          <w:p w:rsidR="008A3C62" w:rsidRDefault="00327AE4">
            <w:pPr>
              <w:bidi/>
              <w:spacing w:after="0" w:line="276" w:lineRule="auto"/>
              <w:jc w:val="right"/>
            </w:pPr>
            <w:r>
              <w:rPr>
                <w:rFonts w:eastAsia="Traditional Arabic"/>
                <w:color w:val="000000"/>
                <w:sz w:val="17"/>
                <w:rtl/>
              </w:rPr>
              <w:t>حجم أثر المتنبئ بعد حذفه.</w:t>
            </w:r>
          </w:p>
        </w:tc>
        <w:tc>
          <w:tcPr>
            <w:tcW w:w="3400" w:type="dxa"/>
            <w:tcMar>
              <w:top w:w="90" w:type="dxa"/>
              <w:left w:w="120" w:type="dxa"/>
              <w:bottom w:w="90" w:type="dxa"/>
              <w:right w:w="120" w:type="dxa"/>
            </w:tcMar>
            <w:vAlign w:val="center"/>
          </w:tcPr>
          <w:p w:rsidR="008A3C62" w:rsidRDefault="00327AE4">
            <w:pPr>
              <w:bidi/>
              <w:spacing w:after="0" w:line="276" w:lineRule="auto"/>
              <w:jc w:val="right"/>
            </w:pPr>
            <w:r>
              <w:rPr>
                <w:rFonts w:eastAsia="Traditional Arabic"/>
                <w:color w:val="000000"/>
                <w:sz w:val="17"/>
                <w:rtl/>
              </w:rPr>
              <w:t>0.02 صغير، 0.15 متوسط، 0.35 كبير.</w:t>
            </w:r>
          </w:p>
        </w:tc>
        <w:tc>
          <w:tcPr>
            <w:tcW w:w="3900" w:type="dxa"/>
            <w:tcMar>
              <w:top w:w="90" w:type="dxa"/>
              <w:left w:w="120" w:type="dxa"/>
              <w:bottom w:w="90" w:type="dxa"/>
              <w:right w:w="120" w:type="dxa"/>
            </w:tcMar>
            <w:vAlign w:val="center"/>
          </w:tcPr>
          <w:p w:rsidR="008A3C62" w:rsidRDefault="00327AE4">
            <w:pPr>
              <w:bidi/>
              <w:spacing w:after="0" w:line="276" w:lineRule="auto"/>
              <w:jc w:val="right"/>
            </w:pPr>
            <w:r>
              <w:rPr>
                <w:rFonts w:eastAsia="Traditional Arabic"/>
                <w:color w:val="000000"/>
                <w:sz w:val="17"/>
                <w:rtl/>
              </w:rPr>
              <w:t>الإبلاغ حتى عند عدم الدلالة مع تفسير سياقي.</w:t>
            </w:r>
          </w:p>
        </w:tc>
        <w:tc>
          <w:tcPr>
            <w:tcW w:w="2204" w:type="dxa"/>
            <w:tcMar>
              <w:top w:w="90" w:type="dxa"/>
              <w:left w:w="120" w:type="dxa"/>
              <w:bottom w:w="90" w:type="dxa"/>
              <w:right w:w="120" w:type="dxa"/>
            </w:tcMar>
            <w:vAlign w:val="center"/>
          </w:tcPr>
          <w:p w:rsidR="008A3C62" w:rsidRDefault="00327AE4">
            <w:pPr>
              <w:bidi/>
              <w:spacing w:after="0" w:line="276" w:lineRule="auto"/>
              <w:jc w:val="right"/>
            </w:pPr>
            <w:r>
              <w:rPr>
                <w:rFonts w:eastAsia="Traditional Arabic"/>
                <w:color w:val="000000"/>
                <w:sz w:val="17"/>
                <w:rtl/>
              </w:rPr>
              <w:t>Cohen (1992); Hair et al. (2022)</w:t>
            </w:r>
          </w:p>
        </w:tc>
      </w:tr>
      <w:tr w:rsidR="008A3C62" w:rsidTr="00327AE4">
        <w:trPr>
          <w:jc w:val="center"/>
        </w:trPr>
        <w:tc>
          <w:tcPr>
            <w:tcW w:w="2000" w:type="dxa"/>
            <w:shd w:val="clear" w:color="auto" w:fill="F7F9FB"/>
            <w:tcMar>
              <w:top w:w="90" w:type="dxa"/>
              <w:left w:w="120" w:type="dxa"/>
              <w:bottom w:w="90" w:type="dxa"/>
              <w:right w:w="120" w:type="dxa"/>
            </w:tcMar>
            <w:vAlign w:val="center"/>
          </w:tcPr>
          <w:p w:rsidR="008A3C62" w:rsidRDefault="00327AE4">
            <w:pPr>
              <w:bidi/>
              <w:spacing w:after="0" w:line="276" w:lineRule="auto"/>
              <w:jc w:val="right"/>
            </w:pPr>
            <w:r>
              <w:rPr>
                <w:rFonts w:eastAsia="Traditional Arabic"/>
                <w:color w:val="000000"/>
                <w:sz w:val="17"/>
                <w:rtl/>
              </w:rPr>
              <w:t>Q²</w:t>
            </w:r>
          </w:p>
        </w:tc>
        <w:tc>
          <w:tcPr>
            <w:tcW w:w="2500" w:type="dxa"/>
            <w:shd w:val="clear" w:color="auto" w:fill="F7F9FB"/>
            <w:tcMar>
              <w:top w:w="90" w:type="dxa"/>
              <w:left w:w="120" w:type="dxa"/>
              <w:bottom w:w="90" w:type="dxa"/>
              <w:right w:w="120" w:type="dxa"/>
            </w:tcMar>
            <w:vAlign w:val="center"/>
          </w:tcPr>
          <w:p w:rsidR="008A3C62" w:rsidRDefault="00327AE4">
            <w:pPr>
              <w:bidi/>
              <w:spacing w:after="0" w:line="276" w:lineRule="auto"/>
              <w:jc w:val="right"/>
            </w:pPr>
            <w:r>
              <w:rPr>
                <w:rFonts w:eastAsia="Traditional Arabic"/>
                <w:color w:val="000000"/>
                <w:sz w:val="17"/>
                <w:rtl/>
              </w:rPr>
              <w:t>الملاءمة التنبؤية داخل العينة.</w:t>
            </w:r>
          </w:p>
        </w:tc>
        <w:tc>
          <w:tcPr>
            <w:tcW w:w="3400" w:type="dxa"/>
            <w:shd w:val="clear" w:color="auto" w:fill="F7F9FB"/>
            <w:tcMar>
              <w:top w:w="90" w:type="dxa"/>
              <w:left w:w="120" w:type="dxa"/>
              <w:bottom w:w="90" w:type="dxa"/>
              <w:right w:w="120" w:type="dxa"/>
            </w:tcMar>
            <w:vAlign w:val="center"/>
          </w:tcPr>
          <w:p w:rsidR="008A3C62" w:rsidRDefault="00327AE4">
            <w:pPr>
              <w:bidi/>
              <w:spacing w:after="0" w:line="276" w:lineRule="auto"/>
              <w:jc w:val="right"/>
            </w:pPr>
            <w:r>
              <w:rPr>
                <w:rFonts w:eastAsia="Traditional Arabic"/>
                <w:color w:val="000000"/>
                <w:sz w:val="17"/>
                <w:rtl/>
              </w:rPr>
              <w:t>قيمة أكبر من صفر تشير إلى ملاءمة تنبؤية للبناء.</w:t>
            </w:r>
          </w:p>
        </w:tc>
        <w:tc>
          <w:tcPr>
            <w:tcW w:w="3900" w:type="dxa"/>
            <w:shd w:val="clear" w:color="auto" w:fill="F7F9FB"/>
            <w:tcMar>
              <w:top w:w="90" w:type="dxa"/>
              <w:left w:w="120" w:type="dxa"/>
              <w:bottom w:w="90" w:type="dxa"/>
              <w:right w:w="120" w:type="dxa"/>
            </w:tcMar>
            <w:vAlign w:val="center"/>
          </w:tcPr>
          <w:p w:rsidR="008A3C62" w:rsidRDefault="00327AE4">
            <w:pPr>
              <w:bidi/>
              <w:spacing w:after="0" w:line="276" w:lineRule="auto"/>
              <w:jc w:val="right"/>
            </w:pPr>
            <w:r>
              <w:rPr>
                <w:rFonts w:eastAsia="Traditional Arabic"/>
                <w:color w:val="000000"/>
                <w:sz w:val="17"/>
                <w:rtl/>
              </w:rPr>
              <w:t>مراجعة إجراءات Blindfolding/التنبؤ وفق النسخة المعتمدة.</w:t>
            </w:r>
          </w:p>
        </w:tc>
        <w:tc>
          <w:tcPr>
            <w:tcW w:w="2204" w:type="dxa"/>
            <w:shd w:val="clear" w:color="auto" w:fill="F7F9FB"/>
            <w:tcMar>
              <w:top w:w="90" w:type="dxa"/>
              <w:left w:w="120" w:type="dxa"/>
              <w:bottom w:w="90" w:type="dxa"/>
              <w:right w:w="120" w:type="dxa"/>
            </w:tcMar>
            <w:vAlign w:val="center"/>
          </w:tcPr>
          <w:p w:rsidR="008A3C62" w:rsidRDefault="00327AE4">
            <w:pPr>
              <w:bidi/>
              <w:spacing w:after="0" w:line="276" w:lineRule="auto"/>
              <w:jc w:val="right"/>
            </w:pPr>
            <w:r>
              <w:rPr>
                <w:rFonts w:eastAsia="Traditional Arabic"/>
                <w:color w:val="000000"/>
                <w:sz w:val="17"/>
                <w:rtl/>
              </w:rPr>
              <w:t>Hair et al. (2022)</w:t>
            </w:r>
          </w:p>
        </w:tc>
      </w:tr>
      <w:tr w:rsidR="008A3C62" w:rsidTr="00327AE4">
        <w:trPr>
          <w:jc w:val="center"/>
        </w:trPr>
        <w:tc>
          <w:tcPr>
            <w:tcW w:w="2000" w:type="dxa"/>
            <w:tcMar>
              <w:top w:w="90" w:type="dxa"/>
              <w:left w:w="120" w:type="dxa"/>
              <w:bottom w:w="90" w:type="dxa"/>
              <w:right w:w="120" w:type="dxa"/>
            </w:tcMar>
            <w:vAlign w:val="center"/>
          </w:tcPr>
          <w:p w:rsidR="008A3C62" w:rsidRDefault="00327AE4">
            <w:pPr>
              <w:bidi/>
              <w:spacing w:after="0" w:line="276" w:lineRule="auto"/>
              <w:jc w:val="right"/>
            </w:pPr>
            <w:r>
              <w:rPr>
                <w:rFonts w:eastAsia="Traditional Arabic"/>
                <w:color w:val="000000"/>
                <w:sz w:val="17"/>
                <w:rtl/>
              </w:rPr>
              <w:t>الأثر المباشر</w:t>
            </w:r>
          </w:p>
        </w:tc>
        <w:tc>
          <w:tcPr>
            <w:tcW w:w="2500" w:type="dxa"/>
            <w:tcMar>
              <w:top w:w="90" w:type="dxa"/>
              <w:left w:w="120" w:type="dxa"/>
              <w:bottom w:w="90" w:type="dxa"/>
              <w:right w:w="120" w:type="dxa"/>
            </w:tcMar>
            <w:vAlign w:val="center"/>
          </w:tcPr>
          <w:p w:rsidR="008A3C62" w:rsidRDefault="00327AE4">
            <w:pPr>
              <w:bidi/>
              <w:spacing w:after="0" w:line="276" w:lineRule="auto"/>
              <w:jc w:val="right"/>
            </w:pPr>
            <w:r>
              <w:rPr>
                <w:rFonts w:eastAsia="Traditional Arabic"/>
                <w:color w:val="000000"/>
                <w:sz w:val="17"/>
                <w:rtl/>
              </w:rPr>
              <w:t>اختبار H1a–H1d والمسارات المباشرة للوسطاء.</w:t>
            </w:r>
          </w:p>
        </w:tc>
        <w:tc>
          <w:tcPr>
            <w:tcW w:w="3400" w:type="dxa"/>
            <w:tcMar>
              <w:top w:w="90" w:type="dxa"/>
              <w:left w:w="120" w:type="dxa"/>
              <w:bottom w:w="90" w:type="dxa"/>
              <w:right w:w="120" w:type="dxa"/>
            </w:tcMar>
            <w:vAlign w:val="center"/>
          </w:tcPr>
          <w:p w:rsidR="008A3C62" w:rsidRDefault="00327AE4">
            <w:pPr>
              <w:bidi/>
              <w:spacing w:after="0" w:line="276" w:lineRule="auto"/>
              <w:jc w:val="right"/>
            </w:pPr>
            <w:r>
              <w:rPr>
                <w:rFonts w:eastAsia="Traditional Arabic"/>
                <w:color w:val="000000"/>
                <w:sz w:val="17"/>
                <w:rtl/>
              </w:rPr>
              <w:t>المعامل والدلالة وفترة الثقة.</w:t>
            </w:r>
          </w:p>
        </w:tc>
        <w:tc>
          <w:tcPr>
            <w:tcW w:w="3900" w:type="dxa"/>
            <w:tcMar>
              <w:top w:w="90" w:type="dxa"/>
              <w:left w:w="120" w:type="dxa"/>
              <w:bottom w:w="90" w:type="dxa"/>
              <w:right w:w="120" w:type="dxa"/>
            </w:tcMar>
            <w:vAlign w:val="center"/>
          </w:tcPr>
          <w:p w:rsidR="008A3C62" w:rsidRDefault="00327AE4">
            <w:pPr>
              <w:bidi/>
              <w:spacing w:after="0" w:line="276" w:lineRule="auto"/>
              <w:jc w:val="right"/>
            </w:pPr>
            <w:r>
              <w:rPr>
                <w:rFonts w:eastAsia="Traditional Arabic"/>
                <w:color w:val="000000"/>
                <w:sz w:val="17"/>
                <w:rtl/>
              </w:rPr>
              <w:t>قرار كل فرضية على حدة.</w:t>
            </w:r>
          </w:p>
        </w:tc>
        <w:tc>
          <w:tcPr>
            <w:tcW w:w="2204" w:type="dxa"/>
            <w:tcMar>
              <w:top w:w="90" w:type="dxa"/>
              <w:left w:w="120" w:type="dxa"/>
              <w:bottom w:w="90" w:type="dxa"/>
              <w:right w:w="120" w:type="dxa"/>
            </w:tcMar>
            <w:vAlign w:val="center"/>
          </w:tcPr>
          <w:p w:rsidR="008A3C62" w:rsidRDefault="00327AE4">
            <w:pPr>
              <w:bidi/>
              <w:spacing w:after="0" w:line="276" w:lineRule="auto"/>
              <w:jc w:val="right"/>
            </w:pPr>
            <w:r>
              <w:rPr>
                <w:rFonts w:eastAsia="Traditional Arabic"/>
                <w:color w:val="000000"/>
                <w:sz w:val="17"/>
                <w:rtl/>
              </w:rPr>
              <w:t>Hair et al. (2022)</w:t>
            </w:r>
          </w:p>
        </w:tc>
      </w:tr>
      <w:tr w:rsidR="008A3C62" w:rsidTr="00327AE4">
        <w:trPr>
          <w:jc w:val="center"/>
        </w:trPr>
        <w:tc>
          <w:tcPr>
            <w:tcW w:w="2000" w:type="dxa"/>
            <w:shd w:val="clear" w:color="auto" w:fill="F7F9FB"/>
            <w:tcMar>
              <w:top w:w="90" w:type="dxa"/>
              <w:left w:w="120" w:type="dxa"/>
              <w:bottom w:w="90" w:type="dxa"/>
              <w:right w:w="120" w:type="dxa"/>
            </w:tcMar>
            <w:vAlign w:val="center"/>
          </w:tcPr>
          <w:p w:rsidR="008A3C62" w:rsidRDefault="00327AE4">
            <w:pPr>
              <w:bidi/>
              <w:spacing w:after="0" w:line="276" w:lineRule="auto"/>
              <w:jc w:val="right"/>
            </w:pPr>
            <w:r>
              <w:rPr>
                <w:rFonts w:eastAsia="Traditional Arabic"/>
                <w:color w:val="000000"/>
                <w:sz w:val="17"/>
                <w:rtl/>
              </w:rPr>
              <w:t>الأثر غير المباشر</w:t>
            </w:r>
          </w:p>
        </w:tc>
        <w:tc>
          <w:tcPr>
            <w:tcW w:w="2500" w:type="dxa"/>
            <w:shd w:val="clear" w:color="auto" w:fill="F7F9FB"/>
            <w:tcMar>
              <w:top w:w="90" w:type="dxa"/>
              <w:left w:w="120" w:type="dxa"/>
              <w:bottom w:w="90" w:type="dxa"/>
              <w:right w:w="120" w:type="dxa"/>
            </w:tcMar>
            <w:vAlign w:val="center"/>
          </w:tcPr>
          <w:p w:rsidR="008A3C62" w:rsidRDefault="00327AE4">
            <w:pPr>
              <w:bidi/>
              <w:spacing w:after="0" w:line="276" w:lineRule="auto"/>
              <w:jc w:val="right"/>
            </w:pPr>
            <w:r>
              <w:rPr>
                <w:rFonts w:eastAsia="Traditional Arabic"/>
                <w:color w:val="000000"/>
                <w:sz w:val="17"/>
                <w:rtl/>
              </w:rPr>
              <w:t>اختبار H2c وH3e وH3f.</w:t>
            </w:r>
          </w:p>
        </w:tc>
        <w:tc>
          <w:tcPr>
            <w:tcW w:w="3400" w:type="dxa"/>
            <w:shd w:val="clear" w:color="auto" w:fill="F7F9FB"/>
            <w:tcMar>
              <w:top w:w="90" w:type="dxa"/>
              <w:left w:w="120" w:type="dxa"/>
              <w:bottom w:w="90" w:type="dxa"/>
              <w:right w:w="120" w:type="dxa"/>
            </w:tcMar>
            <w:vAlign w:val="center"/>
          </w:tcPr>
          <w:p w:rsidR="008A3C62" w:rsidRDefault="00327AE4">
            <w:pPr>
              <w:bidi/>
              <w:spacing w:after="0" w:line="276" w:lineRule="auto"/>
              <w:jc w:val="right"/>
            </w:pPr>
            <w:r>
              <w:rPr>
                <w:rFonts w:eastAsia="Traditional Arabic"/>
                <w:color w:val="000000"/>
                <w:sz w:val="17"/>
                <w:rtl/>
              </w:rPr>
              <w:t>فترة الثقة لـBootstrap لا تشمل الصفر.</w:t>
            </w:r>
          </w:p>
        </w:tc>
        <w:tc>
          <w:tcPr>
            <w:tcW w:w="3900" w:type="dxa"/>
            <w:shd w:val="clear" w:color="auto" w:fill="F7F9FB"/>
            <w:tcMar>
              <w:top w:w="90" w:type="dxa"/>
              <w:left w:w="120" w:type="dxa"/>
              <w:bottom w:w="90" w:type="dxa"/>
              <w:right w:w="120" w:type="dxa"/>
            </w:tcMar>
            <w:vAlign w:val="center"/>
          </w:tcPr>
          <w:p w:rsidR="008A3C62" w:rsidRDefault="00327AE4">
            <w:pPr>
              <w:bidi/>
              <w:spacing w:after="0" w:line="276" w:lineRule="auto"/>
              <w:jc w:val="right"/>
            </w:pPr>
            <w:r>
              <w:rPr>
                <w:rFonts w:eastAsia="Traditional Arabic"/>
                <w:color w:val="000000"/>
                <w:sz w:val="17"/>
                <w:rtl/>
              </w:rPr>
              <w:t>تفسير الوساطة مع المباشر وغير المباشر.</w:t>
            </w:r>
          </w:p>
        </w:tc>
        <w:tc>
          <w:tcPr>
            <w:tcW w:w="2204" w:type="dxa"/>
            <w:shd w:val="clear" w:color="auto" w:fill="F7F9FB"/>
            <w:tcMar>
              <w:top w:w="90" w:type="dxa"/>
              <w:left w:w="120" w:type="dxa"/>
              <w:bottom w:w="90" w:type="dxa"/>
              <w:right w:w="120" w:type="dxa"/>
            </w:tcMar>
            <w:vAlign w:val="center"/>
          </w:tcPr>
          <w:p w:rsidR="008A3C62" w:rsidRDefault="00327AE4">
            <w:pPr>
              <w:bidi/>
              <w:spacing w:after="0" w:line="276" w:lineRule="auto"/>
              <w:jc w:val="right"/>
            </w:pPr>
            <w:r>
              <w:rPr>
                <w:rFonts w:eastAsia="Traditional Arabic"/>
                <w:color w:val="000000"/>
                <w:sz w:val="17"/>
                <w:rtl/>
              </w:rPr>
              <w:t>Nitzl et al. (2016)</w:t>
            </w:r>
          </w:p>
        </w:tc>
      </w:tr>
      <w:tr w:rsidR="008A3C62" w:rsidTr="00327AE4">
        <w:trPr>
          <w:jc w:val="center"/>
        </w:trPr>
        <w:tc>
          <w:tcPr>
            <w:tcW w:w="2000" w:type="dxa"/>
            <w:tcMar>
              <w:top w:w="90" w:type="dxa"/>
              <w:left w:w="120" w:type="dxa"/>
              <w:bottom w:w="90" w:type="dxa"/>
              <w:right w:w="120" w:type="dxa"/>
            </w:tcMar>
            <w:vAlign w:val="center"/>
          </w:tcPr>
          <w:p w:rsidR="008A3C62" w:rsidRDefault="00327AE4">
            <w:pPr>
              <w:bidi/>
              <w:spacing w:after="0" w:line="276" w:lineRule="auto"/>
              <w:jc w:val="right"/>
            </w:pPr>
            <w:r>
              <w:rPr>
                <w:rFonts w:eastAsia="Traditional Arabic"/>
                <w:color w:val="000000"/>
                <w:sz w:val="17"/>
                <w:rtl/>
              </w:rPr>
              <w:t>الأثر الكلي</w:t>
            </w:r>
          </w:p>
        </w:tc>
        <w:tc>
          <w:tcPr>
            <w:tcW w:w="2500" w:type="dxa"/>
            <w:tcMar>
              <w:top w:w="90" w:type="dxa"/>
              <w:left w:w="120" w:type="dxa"/>
              <w:bottom w:w="90" w:type="dxa"/>
              <w:right w:w="120" w:type="dxa"/>
            </w:tcMar>
            <w:vAlign w:val="center"/>
          </w:tcPr>
          <w:p w:rsidR="008A3C62" w:rsidRDefault="00327AE4">
            <w:pPr>
              <w:bidi/>
              <w:spacing w:after="0" w:line="276" w:lineRule="auto"/>
              <w:jc w:val="right"/>
            </w:pPr>
            <w:r>
              <w:rPr>
                <w:rFonts w:eastAsia="Traditional Arabic"/>
                <w:color w:val="000000"/>
                <w:sz w:val="17"/>
                <w:rtl/>
              </w:rPr>
              <w:t>مجموع المباشر وغير المباشر.</w:t>
            </w:r>
          </w:p>
        </w:tc>
        <w:tc>
          <w:tcPr>
            <w:tcW w:w="3400" w:type="dxa"/>
            <w:tcMar>
              <w:top w:w="90" w:type="dxa"/>
              <w:left w:w="120" w:type="dxa"/>
              <w:bottom w:w="90" w:type="dxa"/>
              <w:right w:w="120" w:type="dxa"/>
            </w:tcMar>
            <w:vAlign w:val="center"/>
          </w:tcPr>
          <w:p w:rsidR="008A3C62" w:rsidRDefault="00327AE4">
            <w:pPr>
              <w:bidi/>
              <w:spacing w:after="0" w:line="276" w:lineRule="auto"/>
              <w:jc w:val="right"/>
            </w:pPr>
            <w:r>
              <w:rPr>
                <w:rFonts w:eastAsia="Traditional Arabic"/>
                <w:color w:val="000000"/>
                <w:sz w:val="17"/>
                <w:rtl/>
              </w:rPr>
              <w:t>يُبلغ للمقارنة والتفسير.</w:t>
            </w:r>
          </w:p>
        </w:tc>
        <w:tc>
          <w:tcPr>
            <w:tcW w:w="3900" w:type="dxa"/>
            <w:tcMar>
              <w:top w:w="90" w:type="dxa"/>
              <w:left w:w="120" w:type="dxa"/>
              <w:bottom w:w="90" w:type="dxa"/>
              <w:right w:w="120" w:type="dxa"/>
            </w:tcMar>
            <w:vAlign w:val="center"/>
          </w:tcPr>
          <w:p w:rsidR="008A3C62" w:rsidRDefault="00327AE4">
            <w:pPr>
              <w:bidi/>
              <w:spacing w:after="0" w:line="276" w:lineRule="auto"/>
              <w:jc w:val="right"/>
            </w:pPr>
            <w:r>
              <w:rPr>
                <w:rFonts w:eastAsia="Traditional Arabic"/>
                <w:color w:val="000000"/>
                <w:sz w:val="17"/>
                <w:rtl/>
              </w:rPr>
              <w:t>عدم استخدامه لإخفاء تعارض الآثار.</w:t>
            </w:r>
          </w:p>
        </w:tc>
        <w:tc>
          <w:tcPr>
            <w:tcW w:w="2204" w:type="dxa"/>
            <w:tcMar>
              <w:top w:w="90" w:type="dxa"/>
              <w:left w:w="120" w:type="dxa"/>
              <w:bottom w:w="90" w:type="dxa"/>
              <w:right w:w="120" w:type="dxa"/>
            </w:tcMar>
            <w:vAlign w:val="center"/>
          </w:tcPr>
          <w:p w:rsidR="008A3C62" w:rsidRDefault="00327AE4">
            <w:pPr>
              <w:bidi/>
              <w:spacing w:after="0" w:line="276" w:lineRule="auto"/>
              <w:jc w:val="right"/>
            </w:pPr>
            <w:r>
              <w:rPr>
                <w:rFonts w:eastAsia="Traditional Arabic"/>
                <w:color w:val="000000"/>
                <w:sz w:val="17"/>
                <w:rtl/>
              </w:rPr>
              <w:t>Nitzl et al. (2016)</w:t>
            </w:r>
          </w:p>
        </w:tc>
      </w:tr>
      <w:tr w:rsidR="008A3C62" w:rsidTr="00327AE4">
        <w:trPr>
          <w:jc w:val="center"/>
        </w:trPr>
        <w:tc>
          <w:tcPr>
            <w:tcW w:w="2000" w:type="dxa"/>
            <w:shd w:val="clear" w:color="auto" w:fill="F7F9FB"/>
            <w:tcMar>
              <w:top w:w="90" w:type="dxa"/>
              <w:left w:w="120" w:type="dxa"/>
              <w:bottom w:w="90" w:type="dxa"/>
              <w:right w:w="120" w:type="dxa"/>
            </w:tcMar>
            <w:vAlign w:val="center"/>
          </w:tcPr>
          <w:p w:rsidR="008A3C62" w:rsidRDefault="00327AE4">
            <w:pPr>
              <w:bidi/>
              <w:spacing w:after="0" w:line="276" w:lineRule="auto"/>
              <w:jc w:val="right"/>
            </w:pPr>
            <w:r>
              <w:rPr>
                <w:rFonts w:eastAsia="Traditional Arabic"/>
                <w:color w:val="000000"/>
                <w:sz w:val="17"/>
                <w:rtl/>
              </w:rPr>
              <w:t>الوساطة</w:t>
            </w:r>
          </w:p>
        </w:tc>
        <w:tc>
          <w:tcPr>
            <w:tcW w:w="2500" w:type="dxa"/>
            <w:shd w:val="clear" w:color="auto" w:fill="F7F9FB"/>
            <w:tcMar>
              <w:top w:w="90" w:type="dxa"/>
              <w:left w:w="120" w:type="dxa"/>
              <w:bottom w:w="90" w:type="dxa"/>
              <w:right w:w="120" w:type="dxa"/>
            </w:tcMar>
            <w:vAlign w:val="center"/>
          </w:tcPr>
          <w:p w:rsidR="008A3C62" w:rsidRDefault="00327AE4">
            <w:pPr>
              <w:bidi/>
              <w:spacing w:after="0" w:line="276" w:lineRule="auto"/>
              <w:jc w:val="right"/>
            </w:pPr>
            <w:r>
              <w:rPr>
                <w:rFonts w:eastAsia="Traditional Arabic"/>
                <w:color w:val="000000"/>
                <w:sz w:val="17"/>
                <w:rtl/>
              </w:rPr>
              <w:t>تحديد نمط الوساطة.</w:t>
            </w:r>
          </w:p>
        </w:tc>
        <w:tc>
          <w:tcPr>
            <w:tcW w:w="3400" w:type="dxa"/>
            <w:shd w:val="clear" w:color="auto" w:fill="F7F9FB"/>
            <w:tcMar>
              <w:top w:w="90" w:type="dxa"/>
              <w:left w:w="120" w:type="dxa"/>
              <w:bottom w:w="90" w:type="dxa"/>
              <w:right w:w="120" w:type="dxa"/>
            </w:tcMar>
            <w:vAlign w:val="center"/>
          </w:tcPr>
          <w:p w:rsidR="008A3C62" w:rsidRDefault="00327AE4">
            <w:pPr>
              <w:bidi/>
              <w:spacing w:after="0" w:line="276" w:lineRule="auto"/>
              <w:jc w:val="right"/>
            </w:pPr>
            <w:r>
              <w:rPr>
                <w:rFonts w:eastAsia="Traditional Arabic"/>
                <w:color w:val="000000"/>
                <w:sz w:val="17"/>
                <w:rtl/>
              </w:rPr>
              <w:t>استنادًا إلى دلالة واتجاه المباشر وغير المباشر.</w:t>
            </w:r>
          </w:p>
        </w:tc>
        <w:tc>
          <w:tcPr>
            <w:tcW w:w="3900" w:type="dxa"/>
            <w:shd w:val="clear" w:color="auto" w:fill="F7F9FB"/>
            <w:tcMar>
              <w:top w:w="90" w:type="dxa"/>
              <w:left w:w="120" w:type="dxa"/>
              <w:bottom w:w="90" w:type="dxa"/>
              <w:right w:w="120" w:type="dxa"/>
            </w:tcMar>
            <w:vAlign w:val="center"/>
          </w:tcPr>
          <w:p w:rsidR="008A3C62" w:rsidRDefault="00327AE4">
            <w:pPr>
              <w:bidi/>
              <w:spacing w:after="0" w:line="276" w:lineRule="auto"/>
              <w:jc w:val="right"/>
            </w:pPr>
            <w:r>
              <w:rPr>
                <w:rFonts w:eastAsia="Traditional Arabic"/>
                <w:color w:val="000000"/>
                <w:sz w:val="17"/>
                <w:rtl/>
              </w:rPr>
              <w:t>لا يُعتمد VAF وحده؛ تُفسر الوساطة التكميلية/التنافسية أو غيابها.</w:t>
            </w:r>
          </w:p>
        </w:tc>
        <w:tc>
          <w:tcPr>
            <w:tcW w:w="2204" w:type="dxa"/>
            <w:shd w:val="clear" w:color="auto" w:fill="F7F9FB"/>
            <w:tcMar>
              <w:top w:w="90" w:type="dxa"/>
              <w:left w:w="120" w:type="dxa"/>
              <w:bottom w:w="90" w:type="dxa"/>
              <w:right w:w="120" w:type="dxa"/>
            </w:tcMar>
            <w:vAlign w:val="center"/>
          </w:tcPr>
          <w:p w:rsidR="008A3C62" w:rsidRDefault="00327AE4">
            <w:pPr>
              <w:bidi/>
              <w:spacing w:after="0" w:line="276" w:lineRule="auto"/>
              <w:jc w:val="right"/>
            </w:pPr>
            <w:r>
              <w:rPr>
                <w:rFonts w:eastAsia="Traditional Arabic"/>
                <w:color w:val="000000"/>
                <w:sz w:val="17"/>
                <w:rtl/>
              </w:rPr>
              <w:t>Nitzl et al. (2016)</w:t>
            </w:r>
          </w:p>
        </w:tc>
      </w:tr>
      <w:tr w:rsidR="008A3C62" w:rsidTr="00327AE4">
        <w:trPr>
          <w:jc w:val="center"/>
        </w:trPr>
        <w:tc>
          <w:tcPr>
            <w:tcW w:w="2000" w:type="dxa"/>
            <w:tcMar>
              <w:top w:w="90" w:type="dxa"/>
              <w:left w:w="120" w:type="dxa"/>
              <w:bottom w:w="90" w:type="dxa"/>
              <w:right w:w="120" w:type="dxa"/>
            </w:tcMar>
            <w:vAlign w:val="center"/>
          </w:tcPr>
          <w:p w:rsidR="008A3C62" w:rsidRDefault="00327AE4">
            <w:pPr>
              <w:bidi/>
              <w:spacing w:after="0" w:line="276" w:lineRule="auto"/>
              <w:jc w:val="right"/>
            </w:pPr>
            <w:r>
              <w:rPr>
                <w:rFonts w:eastAsia="Traditional Arabic"/>
                <w:color w:val="000000"/>
                <w:sz w:val="17"/>
                <w:rtl/>
              </w:rPr>
              <w:lastRenderedPageBreak/>
              <w:t>الاعتدال</w:t>
            </w:r>
          </w:p>
        </w:tc>
        <w:tc>
          <w:tcPr>
            <w:tcW w:w="2500" w:type="dxa"/>
            <w:tcMar>
              <w:top w:w="90" w:type="dxa"/>
              <w:left w:w="120" w:type="dxa"/>
              <w:bottom w:w="90" w:type="dxa"/>
              <w:right w:w="120" w:type="dxa"/>
            </w:tcMar>
            <w:vAlign w:val="center"/>
          </w:tcPr>
          <w:p w:rsidR="008A3C62" w:rsidRDefault="00327AE4">
            <w:pPr>
              <w:bidi/>
              <w:spacing w:after="0" w:line="276" w:lineRule="auto"/>
              <w:jc w:val="right"/>
            </w:pPr>
            <w:r>
              <w:rPr>
                <w:rFonts w:eastAsia="Traditional Arabic"/>
                <w:color w:val="000000"/>
                <w:sz w:val="17"/>
                <w:rtl/>
              </w:rPr>
              <w:t>اختبار H4.</w:t>
            </w:r>
          </w:p>
        </w:tc>
        <w:tc>
          <w:tcPr>
            <w:tcW w:w="3400" w:type="dxa"/>
            <w:tcMar>
              <w:top w:w="90" w:type="dxa"/>
              <w:left w:w="120" w:type="dxa"/>
              <w:bottom w:w="90" w:type="dxa"/>
              <w:right w:w="120" w:type="dxa"/>
            </w:tcMar>
            <w:vAlign w:val="center"/>
          </w:tcPr>
          <w:p w:rsidR="008A3C62" w:rsidRDefault="00327AE4">
            <w:pPr>
              <w:bidi/>
              <w:spacing w:after="0" w:line="276" w:lineRule="auto"/>
              <w:jc w:val="right"/>
            </w:pPr>
            <w:r>
              <w:rPr>
                <w:rFonts w:eastAsia="Traditional Arabic"/>
                <w:color w:val="000000"/>
                <w:sz w:val="17"/>
                <w:rtl/>
              </w:rPr>
              <w:t>دلالة معامل التفاعل وفترة ثقته.</w:t>
            </w:r>
          </w:p>
        </w:tc>
        <w:tc>
          <w:tcPr>
            <w:tcW w:w="3900" w:type="dxa"/>
            <w:tcMar>
              <w:top w:w="90" w:type="dxa"/>
              <w:left w:w="120" w:type="dxa"/>
              <w:bottom w:w="90" w:type="dxa"/>
              <w:right w:w="120" w:type="dxa"/>
            </w:tcMar>
            <w:vAlign w:val="center"/>
          </w:tcPr>
          <w:p w:rsidR="008A3C62" w:rsidRDefault="00327AE4">
            <w:pPr>
              <w:bidi/>
              <w:spacing w:after="0" w:line="276" w:lineRule="auto"/>
              <w:jc w:val="right"/>
            </w:pPr>
            <w:r>
              <w:rPr>
                <w:rFonts w:eastAsia="Traditional Arabic"/>
                <w:color w:val="000000"/>
                <w:sz w:val="17"/>
                <w:rtl/>
              </w:rPr>
              <w:t>عرض الميل البسيط/الرسم عند الدعم.</w:t>
            </w:r>
          </w:p>
        </w:tc>
        <w:tc>
          <w:tcPr>
            <w:tcW w:w="2204" w:type="dxa"/>
            <w:tcMar>
              <w:top w:w="90" w:type="dxa"/>
              <w:left w:w="120" w:type="dxa"/>
              <w:bottom w:w="90" w:type="dxa"/>
              <w:right w:w="120" w:type="dxa"/>
            </w:tcMar>
            <w:vAlign w:val="center"/>
          </w:tcPr>
          <w:p w:rsidR="008A3C62" w:rsidRDefault="00327AE4">
            <w:pPr>
              <w:bidi/>
              <w:spacing w:after="0" w:line="276" w:lineRule="auto"/>
              <w:jc w:val="right"/>
            </w:pPr>
            <w:r>
              <w:rPr>
                <w:rFonts w:eastAsia="Traditional Arabic"/>
                <w:color w:val="000000"/>
                <w:sz w:val="17"/>
                <w:rtl/>
              </w:rPr>
              <w:t>Becker et al. (2018)</w:t>
            </w:r>
          </w:p>
        </w:tc>
      </w:tr>
      <w:tr w:rsidR="008A3C62" w:rsidTr="00327AE4">
        <w:trPr>
          <w:jc w:val="center"/>
        </w:trPr>
        <w:tc>
          <w:tcPr>
            <w:tcW w:w="2000" w:type="dxa"/>
            <w:shd w:val="clear" w:color="auto" w:fill="F7F9FB"/>
            <w:tcMar>
              <w:top w:w="90" w:type="dxa"/>
              <w:left w:w="120" w:type="dxa"/>
              <w:bottom w:w="90" w:type="dxa"/>
              <w:right w:w="120" w:type="dxa"/>
            </w:tcMar>
            <w:vAlign w:val="center"/>
          </w:tcPr>
          <w:p w:rsidR="008A3C62" w:rsidRDefault="00327AE4">
            <w:pPr>
              <w:bidi/>
              <w:spacing w:after="0" w:line="276" w:lineRule="auto"/>
              <w:jc w:val="right"/>
            </w:pPr>
            <w:r>
              <w:rPr>
                <w:rFonts w:eastAsia="Traditional Arabic"/>
                <w:color w:val="000000"/>
                <w:sz w:val="17"/>
                <w:rtl/>
              </w:rPr>
              <w:t>تحليل المجموعات</w:t>
            </w:r>
          </w:p>
        </w:tc>
        <w:tc>
          <w:tcPr>
            <w:tcW w:w="2500" w:type="dxa"/>
            <w:shd w:val="clear" w:color="auto" w:fill="F7F9FB"/>
            <w:tcMar>
              <w:top w:w="90" w:type="dxa"/>
              <w:left w:w="120" w:type="dxa"/>
              <w:bottom w:w="90" w:type="dxa"/>
              <w:right w:w="120" w:type="dxa"/>
            </w:tcMar>
            <w:vAlign w:val="center"/>
          </w:tcPr>
          <w:p w:rsidR="008A3C62" w:rsidRDefault="00327AE4">
            <w:pPr>
              <w:bidi/>
              <w:spacing w:after="0" w:line="276" w:lineRule="auto"/>
              <w:jc w:val="right"/>
            </w:pPr>
            <w:r>
              <w:rPr>
                <w:rFonts w:eastAsia="Traditional Arabic"/>
                <w:color w:val="000000"/>
                <w:sz w:val="17"/>
                <w:rtl/>
              </w:rPr>
              <w:t>مقارنة المسارات بين الفئات.</w:t>
            </w:r>
          </w:p>
        </w:tc>
        <w:tc>
          <w:tcPr>
            <w:tcW w:w="3400" w:type="dxa"/>
            <w:shd w:val="clear" w:color="auto" w:fill="F7F9FB"/>
            <w:tcMar>
              <w:top w:w="90" w:type="dxa"/>
              <w:left w:w="120" w:type="dxa"/>
              <w:bottom w:w="90" w:type="dxa"/>
              <w:right w:w="120" w:type="dxa"/>
            </w:tcMar>
            <w:vAlign w:val="center"/>
          </w:tcPr>
          <w:p w:rsidR="008A3C62" w:rsidRDefault="00327AE4">
            <w:pPr>
              <w:bidi/>
              <w:spacing w:after="0" w:line="276" w:lineRule="auto"/>
              <w:jc w:val="right"/>
            </w:pPr>
            <w:r>
              <w:rPr>
                <w:rFonts w:eastAsia="Traditional Arabic"/>
                <w:color w:val="000000"/>
                <w:sz w:val="17"/>
                <w:rtl/>
              </w:rPr>
              <w:t>ثبات القياس وكفاية أحجام المجموعات قبل MGA.</w:t>
            </w:r>
          </w:p>
        </w:tc>
        <w:tc>
          <w:tcPr>
            <w:tcW w:w="3900" w:type="dxa"/>
            <w:shd w:val="clear" w:color="auto" w:fill="F7F9FB"/>
            <w:tcMar>
              <w:top w:w="90" w:type="dxa"/>
              <w:left w:w="120" w:type="dxa"/>
              <w:bottom w:w="90" w:type="dxa"/>
              <w:right w:w="120" w:type="dxa"/>
            </w:tcMar>
            <w:vAlign w:val="center"/>
          </w:tcPr>
          <w:p w:rsidR="008A3C62" w:rsidRDefault="00327AE4">
            <w:pPr>
              <w:bidi/>
              <w:spacing w:after="0" w:line="276" w:lineRule="auto"/>
              <w:jc w:val="right"/>
            </w:pPr>
            <w:r>
              <w:rPr>
                <w:rFonts w:eastAsia="Traditional Arabic"/>
                <w:color w:val="000000"/>
                <w:sz w:val="17"/>
                <w:rtl/>
              </w:rPr>
              <w:t>إجراء MICOM أو الإجراء المعتمد ثم مقارنة المسارات.</w:t>
            </w:r>
          </w:p>
        </w:tc>
        <w:tc>
          <w:tcPr>
            <w:tcW w:w="2204" w:type="dxa"/>
            <w:shd w:val="clear" w:color="auto" w:fill="F7F9FB"/>
            <w:tcMar>
              <w:top w:w="90" w:type="dxa"/>
              <w:left w:w="120" w:type="dxa"/>
              <w:bottom w:w="90" w:type="dxa"/>
              <w:right w:w="120" w:type="dxa"/>
            </w:tcMar>
            <w:vAlign w:val="center"/>
          </w:tcPr>
          <w:p w:rsidR="008A3C62" w:rsidRDefault="00327AE4">
            <w:pPr>
              <w:bidi/>
              <w:spacing w:after="0" w:line="276" w:lineRule="auto"/>
              <w:jc w:val="right"/>
            </w:pPr>
            <w:r>
              <w:rPr>
                <w:rFonts w:eastAsia="Traditional Arabic"/>
                <w:color w:val="000000"/>
                <w:sz w:val="17"/>
                <w:rtl/>
              </w:rPr>
              <w:t>Hair et al. (2022)</w:t>
            </w:r>
          </w:p>
        </w:tc>
      </w:tr>
    </w:tbl>
    <w:p w:rsidR="008A3C62" w:rsidRDefault="00327AE4" w:rsidP="00327AE4">
      <w:pPr>
        <w:bidi/>
        <w:spacing w:before="80" w:after="160"/>
      </w:pPr>
      <w:r>
        <w:rPr>
          <w:rFonts w:eastAsia="Traditional Arabic"/>
          <w:color w:val="4F5B66"/>
          <w:sz w:val="21"/>
          <w:rtl/>
        </w:rPr>
        <w:t>المصدر: إعداد الباحث استنادًا إلى المراجع المبينة.</w:t>
      </w:r>
    </w:p>
    <w:p w:rsidR="008A3C62" w:rsidRDefault="008A3C62">
      <w:pPr>
        <w:sectPr w:rsidR="008A3C62">
          <w:pgSz w:w="16838" w:h="11906" w:orient="landscape"/>
          <w:pgMar w:top="1417" w:right="1417" w:bottom="1417" w:left="1417" w:header="709" w:footer="709" w:gutter="0"/>
          <w:cols w:space="720"/>
          <w:titlePg/>
          <w:docGrid w:linePitch="360"/>
        </w:sectPr>
      </w:pPr>
    </w:p>
    <w:p w:rsidR="008A3C62" w:rsidRDefault="00327AE4" w:rsidP="00327AE4">
      <w:pPr>
        <w:bidi/>
      </w:pPr>
      <w:r>
        <w:rPr>
          <w:rFonts w:eastAsia="Traditional Arabic"/>
          <w:color w:val="000000"/>
          <w:rtl/>
        </w:rPr>
        <w:lastRenderedPageBreak/>
        <w:t>سيُختبر مستوى الدلالة باستخدام Bootstrapping للمسارات المباشرة والآثار غير المباشرة والوساطة والاعتدال. ويُثبت عدد العينات المعاد سحبها قبل التحليل وفق المرجع والمنهج المعتمد [عدد عينات Bootstrapping مطلوب تحديده وفق المرجع المنهجي]، كما يُثبت نوع اختبار الدلالة واتجاهه ومستوى فترة الثقة والبذرة العشوائية.</w:t>
      </w:r>
    </w:p>
    <w:p w:rsidR="008A3C62" w:rsidRDefault="00327AE4" w:rsidP="00327AE4">
      <w:pPr>
        <w:pStyle w:val="Heading2"/>
        <w:bidi/>
        <w:spacing w:before="220" w:after="100"/>
      </w:pPr>
      <w:r>
        <w:rPr>
          <w:rFonts w:ascii="Times New Roman" w:eastAsia="Traditional Arabic" w:hAnsi="Times New Roman" w:cs="Traditional Arabic"/>
          <w:rtl/>
        </w:rPr>
        <w:t>3.7.6 اختبار الوساطة</w:t>
      </w:r>
    </w:p>
    <w:p w:rsidR="008A3C62" w:rsidRDefault="00327AE4" w:rsidP="00327AE4">
      <w:pPr>
        <w:bidi/>
      </w:pPr>
      <w:r>
        <w:rPr>
          <w:rFonts w:eastAsia="Traditional Arabic"/>
          <w:color w:val="000000"/>
          <w:rtl/>
        </w:rPr>
        <w:t>تُختبر وساطة الإجهاد التقني في H2c، ووساطة المنفعة المتصورة في H3e، ووساطة سهولة الاستخدام المتصورة في H3f من خلال تقدير الأثر غير المباشر وفترة ثقته باستخدام Bootstrapping. ويُفسر الأثر غير المباشر مع الأثر المباشر والكلي، ولا تُشترط دلالة المسار الكلي مسبقًا لإجراء اختبار الوساطة، ولا يُستخدم VAF منفردًا لتصنيفها (Nitzl et al., 2016).</w:t>
      </w:r>
    </w:p>
    <w:p w:rsidR="008A3C62" w:rsidRDefault="00327AE4" w:rsidP="00327AE4">
      <w:pPr>
        <w:pStyle w:val="Heading2"/>
        <w:bidi/>
        <w:spacing w:before="220" w:after="100"/>
      </w:pPr>
      <w:r>
        <w:rPr>
          <w:rFonts w:ascii="Times New Roman" w:eastAsia="Traditional Arabic" w:hAnsi="Times New Roman" w:cs="Traditional Arabic"/>
          <w:rtl/>
        </w:rPr>
        <w:t>3.7.7 اختبار الاعتدال والفروق</w:t>
      </w:r>
    </w:p>
    <w:p w:rsidR="008A3C62" w:rsidRDefault="00327AE4" w:rsidP="00327AE4">
      <w:pPr>
        <w:bidi/>
      </w:pPr>
      <w:r>
        <w:rPr>
          <w:rFonts w:eastAsia="Traditional Arabic"/>
          <w:color w:val="000000"/>
          <w:rtl/>
        </w:rPr>
        <w:t>تُختبر H4 فقط للخصائص الديموغرافية والوظيفية المثبتة في الفرضية النهائية وبعد التحقق من كفاية أحجام الفئات. ويُستخدم تحليل التفاعل إذا عومل المتغير معدلًا، أو تحليل المجموعات المتعددة إذا كانت المقارنة بين فئات مستقلة، مع التحقق من ثبات القياس قبل مقارنة المسارات. وعند دعم الاعتدال، يُعرض معامل التفاعل وفترة ثقته وتمثيل الميل البسيط دون تحويل النتيجة إلى ادعاء سببي (Becker et al., 2018). أما المتغيرات العامة غير المثبتة في H4 فتُستخدم وصفيًا أو استكشافيًا فقط بعد الإفصاح.</w:t>
      </w:r>
    </w:p>
    <w:p w:rsidR="008A3C62" w:rsidRDefault="00327AE4" w:rsidP="00327AE4">
      <w:pPr>
        <w:pStyle w:val="Heading1"/>
        <w:bidi/>
        <w:spacing w:before="280" w:after="140"/>
      </w:pPr>
      <w:r>
        <w:rPr>
          <w:rFonts w:ascii="Times New Roman" w:eastAsia="Traditional Arabic" w:hAnsi="Times New Roman" w:cs="Traditional Arabic"/>
          <w:rtl/>
        </w:rPr>
        <w:t>3.8 الاعتبارات الأخلاقية وحماية البيانات</w:t>
      </w:r>
    </w:p>
    <w:p w:rsidR="008A3C62" w:rsidRDefault="00327AE4" w:rsidP="00327AE4">
      <w:pPr>
        <w:bidi/>
      </w:pPr>
      <w:r>
        <w:rPr>
          <w:rFonts w:eastAsia="Traditional Arabic"/>
          <w:color w:val="000000"/>
          <w:rtl/>
        </w:rPr>
        <w:t>تُنفذ الدراسة بعد موافقة الجامعة أو لجنة الأخلاقيات وموافقة الوزارة، ويُدرج نص الموافقة المستنيرة في بداية الاستبانة. وتكون المشاركة طوعية، ويحق للمشارك الانسحاب قبل الإرسال دون أثر وظيفي. ولا تُجمع الأسماء أو الأرقام الوظيفية، ولا تُشارك الاستجابات الخام أو النتائج الفردية مع الإدارة، وتُعرض النتائج في صورة مجمعة مع دمج الفئات الصغيرة عند الحاجة لمنع التعرف غير المباشر.</w:t>
      </w:r>
    </w:p>
    <w:p w:rsidR="008A3C62" w:rsidRDefault="00327AE4" w:rsidP="00327AE4">
      <w:pPr>
        <w:pStyle w:val="Caption"/>
        <w:keepNext/>
        <w:keepLines/>
        <w:bidi/>
        <w:spacing w:before="160" w:after="80" w:line="360" w:lineRule="auto"/>
        <w:rPr>
          <w:rFonts w:hint="eastAsia"/>
        </w:rPr>
      </w:pPr>
      <w:r>
        <w:rPr>
          <w:rFonts w:ascii="Times New Roman" w:eastAsia="Traditional Arabic" w:hAnsi="Times New Roman"/>
          <w:rtl/>
        </w:rPr>
        <w:t>جدول (3-11): الاعتبارات الأخلاقية وإجراءات حماية البيانات</w:t>
      </w:r>
    </w:p>
    <w:tbl>
      <w:tblPr>
        <w:tblStyle w:val="TableGrid"/>
        <w:bidiVisual/>
        <w:tblW w:w="9072" w:type="dxa"/>
        <w:jc w:val="center"/>
        <w:tblLayout w:type="fixed"/>
        <w:tblLook w:val="04A0" w:firstRow="1" w:lastRow="0" w:firstColumn="1" w:lastColumn="0" w:noHBand="0" w:noVBand="1"/>
      </w:tblPr>
      <w:tblGrid>
        <w:gridCol w:w="1700"/>
        <w:gridCol w:w="4700"/>
        <w:gridCol w:w="2672"/>
      </w:tblGrid>
      <w:tr w:rsidR="008A3C62">
        <w:trPr>
          <w:tblHeader/>
          <w:jc w:val="center"/>
        </w:trPr>
        <w:tc>
          <w:tcPr>
            <w:tcW w:w="1700" w:type="dxa"/>
            <w:shd w:val="clear" w:color="auto" w:fill="D9E2F3"/>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b/>
                <w:color w:val="000000"/>
                <w:sz w:val="18"/>
                <w:rtl/>
              </w:rPr>
              <w:t>المبدأ</w:t>
            </w:r>
          </w:p>
        </w:tc>
        <w:tc>
          <w:tcPr>
            <w:tcW w:w="4700" w:type="dxa"/>
            <w:shd w:val="clear" w:color="auto" w:fill="D9E2F3"/>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b/>
                <w:color w:val="000000"/>
                <w:sz w:val="18"/>
                <w:rtl/>
              </w:rPr>
              <w:t>الإجراء</w:t>
            </w:r>
          </w:p>
        </w:tc>
        <w:tc>
          <w:tcPr>
            <w:tcW w:w="2672" w:type="dxa"/>
            <w:shd w:val="clear" w:color="auto" w:fill="D9E2F3"/>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b/>
                <w:color w:val="000000"/>
                <w:sz w:val="18"/>
                <w:rtl/>
              </w:rPr>
              <w:t>الحالة/المعلومة المطلوبة</w:t>
            </w:r>
          </w:p>
        </w:tc>
      </w:tr>
      <w:tr w:rsidR="008A3C62">
        <w:trPr>
          <w:jc w:val="center"/>
        </w:trPr>
        <w:tc>
          <w:tcPr>
            <w:tcW w:w="17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الموافقات</w:t>
            </w:r>
          </w:p>
        </w:tc>
        <w:tc>
          <w:tcPr>
            <w:tcW w:w="47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توثيق موافقة الجامعة والوزارة قبل التوزيع.</w:t>
            </w:r>
          </w:p>
        </w:tc>
        <w:tc>
          <w:tcPr>
            <w:tcW w:w="2672"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[موافقة الجامعة مطلوبة قبل التطبيق] [موافقة الوزارة مطلوبة قبل التطبيق]</w:t>
            </w:r>
          </w:p>
        </w:tc>
      </w:tr>
      <w:tr w:rsidR="008A3C62">
        <w:trPr>
          <w:jc w:val="center"/>
        </w:trPr>
        <w:tc>
          <w:tcPr>
            <w:tcW w:w="17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الموافقة المستنيرة</w:t>
            </w:r>
          </w:p>
        </w:tc>
        <w:tc>
          <w:tcPr>
            <w:tcW w:w="47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عرض الغرض والطوعية والمدة والمخاطر والحقوق ووسيلة التواصل قبل بدء الإجابة.</w:t>
            </w:r>
          </w:p>
        </w:tc>
        <w:tc>
          <w:tcPr>
            <w:tcW w:w="2672"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[النص النهائي يُعتمد]</w:t>
            </w:r>
          </w:p>
        </w:tc>
      </w:tr>
      <w:tr w:rsidR="008A3C62">
        <w:trPr>
          <w:jc w:val="center"/>
        </w:trPr>
        <w:tc>
          <w:tcPr>
            <w:tcW w:w="17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الانسحاب</w:t>
            </w:r>
          </w:p>
        </w:tc>
        <w:tc>
          <w:tcPr>
            <w:tcW w:w="47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السماح بعدم المشاركة أو الخروج قبل الإرسال دون أثر.</w:t>
            </w:r>
          </w:p>
        </w:tc>
        <w:tc>
          <w:tcPr>
            <w:tcW w:w="2672"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مضمن في المقدمة</w:t>
            </w:r>
          </w:p>
        </w:tc>
      </w:tr>
      <w:tr w:rsidR="008A3C62">
        <w:trPr>
          <w:jc w:val="center"/>
        </w:trPr>
        <w:tc>
          <w:tcPr>
            <w:tcW w:w="17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تقليل البيانات</w:t>
            </w:r>
          </w:p>
        </w:tc>
        <w:tc>
          <w:tcPr>
            <w:tcW w:w="47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عدم جمع الاسم أو الرقم الوظيفي أو أي معرف مباشر.</w:t>
            </w:r>
          </w:p>
        </w:tc>
        <w:tc>
          <w:tcPr>
            <w:tcW w:w="2672"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مضمن في الأداة</w:t>
            </w:r>
          </w:p>
        </w:tc>
      </w:tr>
      <w:tr w:rsidR="008A3C62">
        <w:trPr>
          <w:jc w:val="center"/>
        </w:trPr>
        <w:tc>
          <w:tcPr>
            <w:tcW w:w="17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lastRenderedPageBreak/>
              <w:t>عدم مشاركة الخام</w:t>
            </w:r>
          </w:p>
        </w:tc>
        <w:tc>
          <w:tcPr>
            <w:tcW w:w="47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قصر الوصول إلى البيانات الخام على الباحث ومن يفوض أكاديميًا عند الضرورة.</w:t>
            </w:r>
          </w:p>
        </w:tc>
        <w:tc>
          <w:tcPr>
            <w:tcW w:w="2672"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[قائمة المخولين بالوصول مطلوبة]</w:t>
            </w:r>
          </w:p>
        </w:tc>
      </w:tr>
      <w:tr w:rsidR="008A3C62">
        <w:trPr>
          <w:jc w:val="center"/>
        </w:trPr>
        <w:tc>
          <w:tcPr>
            <w:tcW w:w="17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عدم مشاركة النتائج الفردية</w:t>
            </w:r>
          </w:p>
        </w:tc>
        <w:tc>
          <w:tcPr>
            <w:tcW w:w="47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عدم إرسال نتيجة فردية أو تقييم شخص أو إدارة إلى جهة العمل.</w:t>
            </w:r>
          </w:p>
        </w:tc>
        <w:tc>
          <w:tcPr>
            <w:tcW w:w="2672"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إلزامي</w:t>
            </w:r>
          </w:p>
        </w:tc>
      </w:tr>
      <w:tr w:rsidR="008A3C62">
        <w:trPr>
          <w:jc w:val="center"/>
        </w:trPr>
        <w:tc>
          <w:tcPr>
            <w:tcW w:w="17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التجميع</w:t>
            </w:r>
          </w:p>
        </w:tc>
        <w:tc>
          <w:tcPr>
            <w:tcW w:w="47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عرض النتائج على مستوى إجمالي أو مجموعات كافية الحجم.</w:t>
            </w:r>
          </w:p>
        </w:tc>
        <w:tc>
          <w:tcPr>
            <w:tcW w:w="2672"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إلزامي</w:t>
            </w:r>
          </w:p>
        </w:tc>
      </w:tr>
      <w:tr w:rsidR="008A3C62">
        <w:trPr>
          <w:jc w:val="center"/>
        </w:trPr>
        <w:tc>
          <w:tcPr>
            <w:tcW w:w="17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الفئات الصغيرة</w:t>
            </w:r>
          </w:p>
        </w:tc>
        <w:tc>
          <w:tcPr>
            <w:tcW w:w="47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دمجها أو حجبها عند احتمال التعرف غير المباشر.</w:t>
            </w:r>
          </w:p>
        </w:tc>
        <w:tc>
          <w:tcPr>
            <w:tcW w:w="2672"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[حد الإفصاح الأدنى مطلوب]</w:t>
            </w:r>
          </w:p>
        </w:tc>
      </w:tr>
      <w:tr w:rsidR="008A3C62">
        <w:trPr>
          <w:jc w:val="center"/>
        </w:trPr>
        <w:tc>
          <w:tcPr>
            <w:tcW w:w="17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التخزين</w:t>
            </w:r>
          </w:p>
        </w:tc>
        <w:tc>
          <w:tcPr>
            <w:tcW w:w="47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حفظ الملفات في موقع مؤسسي/أكاديمي آمن ومشفّر أو محمي بكلمة مرور قوية.</w:t>
            </w:r>
          </w:p>
        </w:tc>
        <w:tc>
          <w:tcPr>
            <w:tcW w:w="2672"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[موقع التخزين المعتمد مطلوب]</w:t>
            </w:r>
          </w:p>
        </w:tc>
      </w:tr>
      <w:tr w:rsidR="008A3C62">
        <w:trPr>
          <w:jc w:val="center"/>
        </w:trPr>
        <w:tc>
          <w:tcPr>
            <w:tcW w:w="17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النسخة الخام</w:t>
            </w:r>
          </w:p>
        </w:tc>
        <w:tc>
          <w:tcPr>
            <w:tcW w:w="47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حفظ نسخة خام للقراءة فقط ونسخة عمل منفصلة.</w:t>
            </w:r>
          </w:p>
        </w:tc>
        <w:tc>
          <w:tcPr>
            <w:tcW w:w="2672"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يطبق بعد الجمع</w:t>
            </w:r>
          </w:p>
        </w:tc>
      </w:tr>
      <w:tr w:rsidR="008A3C62">
        <w:trPr>
          <w:jc w:val="center"/>
        </w:trPr>
        <w:tc>
          <w:tcPr>
            <w:tcW w:w="17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الوصول</w:t>
            </w:r>
          </w:p>
        </w:tc>
        <w:tc>
          <w:tcPr>
            <w:tcW w:w="47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تطبيق أقل صلاحية ممكنة وتوثيق أي مشاركة مصرح بها.</w:t>
            </w:r>
          </w:p>
        </w:tc>
        <w:tc>
          <w:tcPr>
            <w:tcW w:w="2672"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[المخولون مطلوبون]</w:t>
            </w:r>
          </w:p>
        </w:tc>
      </w:tr>
      <w:tr w:rsidR="008A3C62">
        <w:trPr>
          <w:jc w:val="center"/>
        </w:trPr>
        <w:tc>
          <w:tcPr>
            <w:tcW w:w="17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مدة الاحتفاظ</w:t>
            </w:r>
          </w:p>
        </w:tc>
        <w:tc>
          <w:tcPr>
            <w:tcW w:w="47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الاحتفاظ للمدة التي تقرها الجامعة والسياسة المؤسسية.</w:t>
            </w:r>
          </w:p>
        </w:tc>
        <w:tc>
          <w:tcPr>
            <w:tcW w:w="2672"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[مدة الاحتفاظ بالبيانات مطلوبة]</w:t>
            </w:r>
          </w:p>
        </w:tc>
      </w:tr>
      <w:tr w:rsidR="008A3C62">
        <w:trPr>
          <w:jc w:val="center"/>
        </w:trPr>
        <w:tc>
          <w:tcPr>
            <w:tcW w:w="17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الحذف</w:t>
            </w:r>
          </w:p>
        </w:tc>
        <w:tc>
          <w:tcPr>
            <w:tcW w:w="47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حذف آمن للملفات الخام والنسخ الاحتياطية بعد نهاية المدة، مع توثيق الإجراء.</w:t>
            </w:r>
          </w:p>
        </w:tc>
        <w:tc>
          <w:tcPr>
            <w:tcW w:w="2672"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[طريقة الحذف الآمن مطلوبة]</w:t>
            </w:r>
          </w:p>
        </w:tc>
      </w:tr>
      <w:tr w:rsidR="008A3C62">
        <w:trPr>
          <w:jc w:val="center"/>
        </w:trPr>
        <w:tc>
          <w:tcPr>
            <w:tcW w:w="17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المخاطر</w:t>
            </w:r>
          </w:p>
        </w:tc>
        <w:tc>
          <w:tcPr>
            <w:tcW w:w="47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اعتبار حساسية تقييم أنظمة جهة العمل، وتقليل أي ضغط أو أثر وظيفي محتمل.</w:t>
            </w:r>
          </w:p>
        </w:tc>
        <w:tc>
          <w:tcPr>
            <w:tcW w:w="2672"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تُوضح في الموافقة المستنيرة</w:t>
            </w:r>
          </w:p>
        </w:tc>
      </w:tr>
    </w:tbl>
    <w:p w:rsidR="008A3C62" w:rsidRDefault="00327AE4" w:rsidP="00327AE4">
      <w:pPr>
        <w:bidi/>
        <w:spacing w:before="80" w:after="160"/>
      </w:pPr>
      <w:r>
        <w:rPr>
          <w:rFonts w:eastAsia="Traditional Arabic"/>
          <w:color w:val="4F5B66"/>
          <w:sz w:val="21"/>
          <w:rtl/>
        </w:rPr>
        <w:t>المصدر: إعداد الباحث وفق متطلبات الجامعة وملاحظات المشرف.</w:t>
      </w:r>
    </w:p>
    <w:p w:rsidR="008A3C62" w:rsidRDefault="00327AE4" w:rsidP="00327AE4">
      <w:pPr>
        <w:bidi/>
      </w:pPr>
      <w:r>
        <w:rPr>
          <w:rFonts w:eastAsia="Traditional Arabic"/>
          <w:color w:val="000000"/>
          <w:rtl/>
        </w:rPr>
        <w:t>تضمن هذه الإجراءات الفصل بين الغرض الأكاديمي وأي استخدام إداري، وتقليل احتمال التعرف على الأفراد، وربط دورة حياة البيانات بالموافقات والسياسات المعتمدة.</w:t>
      </w:r>
    </w:p>
    <w:p w:rsidR="008A3C62" w:rsidRDefault="00327AE4" w:rsidP="00327AE4">
      <w:pPr>
        <w:pStyle w:val="Heading1"/>
        <w:bidi/>
        <w:spacing w:before="280" w:after="140"/>
      </w:pPr>
      <w:r>
        <w:rPr>
          <w:rFonts w:ascii="Times New Roman" w:eastAsia="Traditional Arabic" w:hAnsi="Times New Roman" w:cs="Traditional Arabic"/>
          <w:rtl/>
        </w:rPr>
        <w:t>3.9 ملخص الفصل</w:t>
      </w:r>
    </w:p>
    <w:p w:rsidR="008A3C62" w:rsidRDefault="00327AE4" w:rsidP="00327AE4">
      <w:pPr>
        <w:bidi/>
      </w:pPr>
      <w:r>
        <w:rPr>
          <w:rFonts w:eastAsia="Traditional Arabic"/>
          <w:color w:val="000000"/>
          <w:rtl/>
        </w:rPr>
        <w:t>عرض الفصل المنهج الكمي الوصفي التحليلي الارتباطي والتصميم المقطعي، وحدد وحدة التحليل ومجتمع الدراسة المستهدف وإطار المعاينة المطلوب، وأبقى العينة الطبقية العشوائية النسبية بوصفها الأسلوب الرئيس عند توافر القوائم الرسمية. كما بيّن هدف الحصول على 300 استجابة صالحة مع اشتراط التحقق النهائي من القوة الإحصائية، وحدد بنية الاستبانة ذات 49 فقرة مقياسية و7 أسئلة عامة ومصادرها وتكييفها.</w:t>
      </w:r>
    </w:p>
    <w:p w:rsidR="008A3C62" w:rsidRDefault="00327AE4" w:rsidP="00327AE4">
      <w:pPr>
        <w:bidi/>
      </w:pPr>
      <w:r>
        <w:rPr>
          <w:rFonts w:eastAsia="Traditional Arabic"/>
          <w:color w:val="000000"/>
          <w:rtl/>
        </w:rPr>
        <w:t>وتناول الفصل إجراءات التحكيم والترجمة والدراسة الاستطلاعية وجمع البيانات وتنظيفها، وبرامج التحليل ومعايير تقييم نموذج القياس والنموذج البنائي وخطط اختبار الوساطة والاعتدال وتحيز الطريقة المشتركة، فضلًا عن الاعتبارات الأخلاقية وحماية البيانات. وبذلك يمهد الفصل للفصل الرابع، مع بقاء البيانات الرسمية والموافقات وإعدادات البرامج والتحليل خانات يجب إغلاقها قبل التطبيق الميداني.</w:t>
      </w:r>
    </w:p>
    <w:p w:rsidR="008A3C62" w:rsidRDefault="00327AE4" w:rsidP="00327AE4">
      <w:pPr>
        <w:pStyle w:val="Heading1"/>
        <w:bidi/>
        <w:spacing w:before="280" w:after="140"/>
      </w:pPr>
      <w:r>
        <w:rPr>
          <w:rFonts w:ascii="Times New Roman" w:eastAsia="Traditional Arabic" w:hAnsi="Times New Roman" w:cs="Traditional Arabic"/>
          <w:rtl/>
        </w:rPr>
        <w:lastRenderedPageBreak/>
        <w:t>المراجع المستخدمة في الفصل الثالث</w:t>
      </w:r>
    </w:p>
    <w:p w:rsidR="008A3C62" w:rsidRDefault="00327AE4" w:rsidP="00327AE4">
      <w:pPr>
        <w:pStyle w:val="ListParagraph"/>
        <w:numPr>
          <w:ilvl w:val="0"/>
          <w:numId w:val="10"/>
        </w:numPr>
        <w:spacing w:line="300" w:lineRule="auto"/>
      </w:pPr>
      <w:r w:rsidRPr="00327AE4">
        <w:rPr>
          <w:rFonts w:eastAsia="Times New Roman" w:cs="Times New Roman"/>
          <w:color w:val="000000"/>
          <w:sz w:val="23"/>
        </w:rPr>
        <w:t>Ayyagari, R., Grover, V., &amp; Purvis, R. (2011). Technostress: Technological antecedents and implications. MIS Quarterly, 35(4), 831–858.</w:t>
      </w:r>
    </w:p>
    <w:p w:rsidR="008A3C62" w:rsidRDefault="00327AE4" w:rsidP="00327AE4">
      <w:pPr>
        <w:pStyle w:val="ListParagraph"/>
        <w:numPr>
          <w:ilvl w:val="0"/>
          <w:numId w:val="10"/>
        </w:numPr>
        <w:spacing w:line="300" w:lineRule="auto"/>
      </w:pPr>
      <w:r w:rsidRPr="00327AE4">
        <w:rPr>
          <w:rFonts w:eastAsia="Times New Roman" w:cs="Times New Roman"/>
          <w:color w:val="000000"/>
          <w:sz w:val="23"/>
        </w:rPr>
        <w:t>Becker, J.-M., Ringle, C. M., &amp; Sarstedt, M. (2018). Estimating moderating effects in PLS-SEM and PLSc-SEM: Interaction term generation*data treatment. Journal of Applied Structural Equation Modeling, 2(2), 1–21.</w:t>
      </w:r>
    </w:p>
    <w:p w:rsidR="008A3C62" w:rsidRDefault="00327AE4" w:rsidP="00327AE4">
      <w:pPr>
        <w:pStyle w:val="ListParagraph"/>
        <w:numPr>
          <w:ilvl w:val="0"/>
          <w:numId w:val="10"/>
        </w:numPr>
        <w:spacing w:line="300" w:lineRule="auto"/>
      </w:pPr>
      <w:r w:rsidRPr="00327AE4">
        <w:rPr>
          <w:rFonts w:eastAsia="Times New Roman" w:cs="Times New Roman"/>
          <w:color w:val="000000"/>
          <w:sz w:val="23"/>
        </w:rPr>
        <w:t>Cohen, J. (1992). A power primer. Psychological Bulletin, 112(1), 155–159.</w:t>
      </w:r>
    </w:p>
    <w:p w:rsidR="008A3C62" w:rsidRDefault="00327AE4" w:rsidP="00327AE4">
      <w:pPr>
        <w:pStyle w:val="ListParagraph"/>
        <w:numPr>
          <w:ilvl w:val="0"/>
          <w:numId w:val="10"/>
        </w:numPr>
        <w:spacing w:line="300" w:lineRule="auto"/>
      </w:pPr>
      <w:r w:rsidRPr="00327AE4">
        <w:rPr>
          <w:rFonts w:eastAsia="Times New Roman" w:cs="Times New Roman"/>
          <w:color w:val="000000"/>
          <w:sz w:val="23"/>
        </w:rPr>
        <w:t>Davis, F. D. (1989). Perceived usefulness, perceived ease of use, and user acceptance of information technology. MIS Quarterly, 13(3), 319–340.</w:t>
      </w:r>
    </w:p>
    <w:p w:rsidR="008A3C62" w:rsidRDefault="00327AE4" w:rsidP="00327AE4">
      <w:pPr>
        <w:pStyle w:val="ListParagraph"/>
        <w:numPr>
          <w:ilvl w:val="0"/>
          <w:numId w:val="10"/>
        </w:numPr>
        <w:spacing w:line="300" w:lineRule="auto"/>
      </w:pPr>
      <w:r w:rsidRPr="00327AE4">
        <w:rPr>
          <w:rFonts w:eastAsia="Times New Roman" w:cs="Times New Roman"/>
          <w:color w:val="000000"/>
          <w:sz w:val="23"/>
        </w:rPr>
        <w:t>DeLone, W. H., &amp; McLean, E. R. (2003). The DeLone and McLean model of information systems success: A ten-year update. Journal of Management Information Systems, 19(4), 9–30.</w:t>
      </w:r>
    </w:p>
    <w:p w:rsidR="008A3C62" w:rsidRDefault="00327AE4" w:rsidP="00327AE4">
      <w:pPr>
        <w:pStyle w:val="ListParagraph"/>
        <w:numPr>
          <w:ilvl w:val="0"/>
          <w:numId w:val="10"/>
        </w:numPr>
        <w:spacing w:line="300" w:lineRule="auto"/>
      </w:pPr>
      <w:r w:rsidRPr="00327AE4">
        <w:rPr>
          <w:rFonts w:eastAsia="Times New Roman" w:cs="Times New Roman"/>
          <w:color w:val="000000"/>
          <w:sz w:val="23"/>
        </w:rPr>
        <w:t>Faul, F., Erdfelder, E., Buchner, A., &amp; Lang, A.-G. (2009). Statistical power analyses using G*Power 3.1: Tests for correlation and regression analyses. Behavior Research Methods, 41(4), 1149–1160.</w:t>
      </w:r>
    </w:p>
    <w:p w:rsidR="008A3C62" w:rsidRDefault="00327AE4" w:rsidP="00327AE4">
      <w:pPr>
        <w:pStyle w:val="ListParagraph"/>
        <w:numPr>
          <w:ilvl w:val="0"/>
          <w:numId w:val="10"/>
        </w:numPr>
        <w:spacing w:line="300" w:lineRule="auto"/>
      </w:pPr>
      <w:r w:rsidRPr="00327AE4">
        <w:rPr>
          <w:rFonts w:eastAsia="Times New Roman" w:cs="Times New Roman"/>
          <w:color w:val="000000"/>
          <w:sz w:val="23"/>
        </w:rPr>
        <w:t>Fornell, C., &amp; Larcker, D. F. (1981). Evaluating structural equation models with unobservable variables and measurement error. Journal of Marketing Research, 18(1), 39–50.</w:t>
      </w:r>
    </w:p>
    <w:p w:rsidR="008A3C62" w:rsidRDefault="00327AE4" w:rsidP="00327AE4">
      <w:pPr>
        <w:pStyle w:val="ListParagraph"/>
        <w:numPr>
          <w:ilvl w:val="0"/>
          <w:numId w:val="10"/>
        </w:numPr>
        <w:spacing w:line="300" w:lineRule="auto"/>
      </w:pPr>
      <w:r w:rsidRPr="00327AE4">
        <w:rPr>
          <w:rFonts w:eastAsia="Times New Roman" w:cs="Times New Roman"/>
          <w:color w:val="000000"/>
          <w:sz w:val="23"/>
        </w:rPr>
        <w:t>Hair, J. F., Hult, G. T. M., Ringle, C. M., &amp; Sarstedt, M. (2022). A primer on partial least squares structural equation modeling (PLS-SEM) (3rd ed.). Sage.</w:t>
      </w:r>
    </w:p>
    <w:p w:rsidR="008A3C62" w:rsidRDefault="00327AE4" w:rsidP="00327AE4">
      <w:pPr>
        <w:pStyle w:val="ListParagraph"/>
        <w:numPr>
          <w:ilvl w:val="0"/>
          <w:numId w:val="10"/>
        </w:numPr>
        <w:spacing w:line="300" w:lineRule="auto"/>
      </w:pPr>
      <w:r w:rsidRPr="00327AE4">
        <w:rPr>
          <w:rFonts w:eastAsia="Times New Roman" w:cs="Times New Roman"/>
          <w:color w:val="000000"/>
          <w:sz w:val="23"/>
        </w:rPr>
        <w:t>Hair, J. F., Risher, J. J., Sarstedt, M., &amp; Ringle, C. M. (2019). When to use and how to report the results of PLS-SEM. European Business Review, 31(1), 2–24.</w:t>
      </w:r>
    </w:p>
    <w:p w:rsidR="008A3C62" w:rsidRDefault="00327AE4" w:rsidP="00327AE4">
      <w:pPr>
        <w:pStyle w:val="ListParagraph"/>
        <w:numPr>
          <w:ilvl w:val="0"/>
          <w:numId w:val="10"/>
        </w:numPr>
        <w:spacing w:line="300" w:lineRule="auto"/>
      </w:pPr>
      <w:r w:rsidRPr="00327AE4">
        <w:rPr>
          <w:rFonts w:eastAsia="Times New Roman" w:cs="Times New Roman"/>
          <w:color w:val="000000"/>
          <w:sz w:val="23"/>
        </w:rPr>
        <w:t>Henseler, J., Ringle, C. M., &amp; Sarstedt, M. (2015). A new criterion for assessing discriminant validity in variance-based structural equation modeling. Journal of the Academy of Marketing Science, 43(1), 115–135.</w:t>
      </w:r>
    </w:p>
    <w:p w:rsidR="008A3C62" w:rsidRDefault="00327AE4" w:rsidP="00327AE4">
      <w:pPr>
        <w:pStyle w:val="ListParagraph"/>
        <w:numPr>
          <w:ilvl w:val="0"/>
          <w:numId w:val="10"/>
        </w:numPr>
        <w:spacing w:line="300" w:lineRule="auto"/>
      </w:pPr>
      <w:r w:rsidRPr="00327AE4">
        <w:rPr>
          <w:rFonts w:eastAsia="Times New Roman" w:cs="Times New Roman"/>
          <w:color w:val="000000"/>
          <w:sz w:val="23"/>
        </w:rPr>
        <w:t>Kock, N. (2015). Common method bias in PLS-SEM: A full collinearity assessment approach. International Journal of e-Collaboration, 11(4), 1–10.</w:t>
      </w:r>
    </w:p>
    <w:p w:rsidR="008A3C62" w:rsidRDefault="00327AE4" w:rsidP="00327AE4">
      <w:pPr>
        <w:pStyle w:val="ListParagraph"/>
        <w:numPr>
          <w:ilvl w:val="0"/>
          <w:numId w:val="10"/>
        </w:numPr>
        <w:spacing w:line="300" w:lineRule="auto"/>
      </w:pPr>
      <w:r w:rsidRPr="00327AE4">
        <w:rPr>
          <w:rFonts w:eastAsia="Times New Roman" w:cs="Times New Roman"/>
          <w:color w:val="000000"/>
          <w:sz w:val="23"/>
        </w:rPr>
        <w:t>Krejcie, R. V., &amp; Morgan, D. W. (1970). Determining sample size for research activities. Educational and Psychological Measurement, 30(3), 607–610.</w:t>
      </w:r>
    </w:p>
    <w:p w:rsidR="008A3C62" w:rsidRDefault="00327AE4" w:rsidP="00327AE4">
      <w:pPr>
        <w:pStyle w:val="ListParagraph"/>
        <w:numPr>
          <w:ilvl w:val="0"/>
          <w:numId w:val="10"/>
        </w:numPr>
        <w:spacing w:line="300" w:lineRule="auto"/>
      </w:pPr>
      <w:r w:rsidRPr="00327AE4">
        <w:rPr>
          <w:rFonts w:eastAsia="Times New Roman" w:cs="Times New Roman"/>
          <w:color w:val="000000"/>
          <w:sz w:val="23"/>
        </w:rPr>
        <w:t>Meade, A. W., &amp; Craig, S. B. (2012). Identifying careless responses in survey data. Psychological Methods, 17(3), 437–455.</w:t>
      </w:r>
    </w:p>
    <w:p w:rsidR="008A3C62" w:rsidRDefault="00327AE4" w:rsidP="00327AE4">
      <w:pPr>
        <w:pStyle w:val="ListParagraph"/>
        <w:numPr>
          <w:ilvl w:val="0"/>
          <w:numId w:val="10"/>
        </w:numPr>
        <w:spacing w:line="300" w:lineRule="auto"/>
      </w:pPr>
      <w:r w:rsidRPr="00327AE4">
        <w:rPr>
          <w:rFonts w:eastAsia="Times New Roman" w:cs="Times New Roman"/>
          <w:color w:val="000000"/>
          <w:sz w:val="23"/>
        </w:rPr>
        <w:t>Mergel, I., Edelmann, N., &amp; Haug, N. (2019). Defining digital transformation: Results from expert interviews. Government Information Quarterly, 36(4), Article 101385.</w:t>
      </w:r>
    </w:p>
    <w:p w:rsidR="008A3C62" w:rsidRDefault="00327AE4" w:rsidP="00327AE4">
      <w:pPr>
        <w:pStyle w:val="ListParagraph"/>
        <w:numPr>
          <w:ilvl w:val="0"/>
          <w:numId w:val="10"/>
        </w:numPr>
        <w:spacing w:line="300" w:lineRule="auto"/>
      </w:pPr>
      <w:r w:rsidRPr="00327AE4">
        <w:rPr>
          <w:rFonts w:eastAsia="Times New Roman" w:cs="Times New Roman"/>
          <w:color w:val="000000"/>
          <w:sz w:val="23"/>
        </w:rPr>
        <w:t>Morris, M. G., &amp; Venkatesh, V. (2000). Age differences in technology adoption decisions: Implications for a changing workforce. Personnel Psychology, 53(2), 375–403.</w:t>
      </w:r>
    </w:p>
    <w:p w:rsidR="008A3C62" w:rsidRDefault="00327AE4" w:rsidP="00327AE4">
      <w:pPr>
        <w:pStyle w:val="ListParagraph"/>
        <w:numPr>
          <w:ilvl w:val="0"/>
          <w:numId w:val="10"/>
        </w:numPr>
        <w:spacing w:line="300" w:lineRule="auto"/>
      </w:pPr>
      <w:r w:rsidRPr="00327AE4">
        <w:rPr>
          <w:rFonts w:eastAsia="Times New Roman" w:cs="Times New Roman"/>
          <w:color w:val="000000"/>
          <w:sz w:val="23"/>
        </w:rPr>
        <w:t>Nitzl, C., Roldán, J. L., &amp; Cepeda, G. (2016). Mediation analysis in partial least squares path modeling: Helping researchers discuss more sophisticated models. Industrial Management &amp; Data Systems, 116(9), 1849–1864.</w:t>
      </w:r>
    </w:p>
    <w:p w:rsidR="008A3C62" w:rsidRDefault="00327AE4" w:rsidP="00327AE4">
      <w:pPr>
        <w:pStyle w:val="ListParagraph"/>
        <w:numPr>
          <w:ilvl w:val="0"/>
          <w:numId w:val="10"/>
        </w:numPr>
        <w:spacing w:line="300" w:lineRule="auto"/>
      </w:pPr>
      <w:r w:rsidRPr="00327AE4">
        <w:rPr>
          <w:rFonts w:eastAsia="Times New Roman" w:cs="Times New Roman"/>
          <w:color w:val="000000"/>
          <w:sz w:val="23"/>
        </w:rPr>
        <w:lastRenderedPageBreak/>
        <w:t>Podsakoff, P. M., MacKenzie, S. B., Lee, J.-Y., &amp; Podsakoff, N. P. (2003). Common method biases in behavioral research: A critical review of the literature and recommended remedies. Journal of Applied Psychology, 88(5), 879–903.</w:t>
      </w:r>
    </w:p>
    <w:p w:rsidR="008A3C62" w:rsidRDefault="00327AE4" w:rsidP="00327AE4">
      <w:pPr>
        <w:pStyle w:val="ListParagraph"/>
        <w:numPr>
          <w:ilvl w:val="0"/>
          <w:numId w:val="10"/>
        </w:numPr>
        <w:spacing w:line="300" w:lineRule="auto"/>
      </w:pPr>
      <w:r w:rsidRPr="00327AE4">
        <w:rPr>
          <w:rFonts w:eastAsia="Times New Roman" w:cs="Times New Roman"/>
          <w:color w:val="000000"/>
          <w:sz w:val="23"/>
        </w:rPr>
        <w:t>Ragu-Nathan, T. S., Tarafdar, M., Ragu-Nathan, B. S., &amp; Tu, Q. (2008). Consequences of technostress for end users in organizations: Conceptual development and empirical validation. Information Systems Research, 19(4), 417–433.</w:t>
      </w:r>
    </w:p>
    <w:p w:rsidR="008A3C62" w:rsidRDefault="00327AE4" w:rsidP="00327AE4">
      <w:pPr>
        <w:pStyle w:val="ListParagraph"/>
        <w:numPr>
          <w:ilvl w:val="0"/>
          <w:numId w:val="10"/>
        </w:numPr>
        <w:spacing w:line="300" w:lineRule="auto"/>
      </w:pPr>
      <w:r w:rsidRPr="00327AE4">
        <w:rPr>
          <w:rFonts w:eastAsia="Times New Roman" w:cs="Times New Roman"/>
          <w:color w:val="000000"/>
          <w:sz w:val="23"/>
        </w:rPr>
        <w:t>Spector, P. E. (1997). Job satisfaction: Application, assessment, causes, and consequences. Sage.</w:t>
      </w:r>
    </w:p>
    <w:p w:rsidR="008A3C62" w:rsidRDefault="00327AE4" w:rsidP="00327AE4">
      <w:pPr>
        <w:pStyle w:val="ListParagraph"/>
        <w:numPr>
          <w:ilvl w:val="0"/>
          <w:numId w:val="10"/>
        </w:numPr>
        <w:spacing w:line="300" w:lineRule="auto"/>
      </w:pPr>
      <w:r w:rsidRPr="00327AE4">
        <w:rPr>
          <w:rFonts w:eastAsia="Times New Roman" w:cs="Times New Roman"/>
          <w:color w:val="000000"/>
          <w:sz w:val="23"/>
        </w:rPr>
        <w:t>Tarafdar, M., Tu, Q., Ragu-Nathan, B. S., &amp; Ragu-Nathan, T. S. (2007). The impact of technostress on role stress and productivity. Journal of Management Information Systems, 24(1), 301–328.</w:t>
      </w:r>
    </w:p>
    <w:p w:rsidR="008A3C62" w:rsidRDefault="00327AE4" w:rsidP="00327AE4">
      <w:pPr>
        <w:pStyle w:val="ListParagraph"/>
        <w:numPr>
          <w:ilvl w:val="0"/>
          <w:numId w:val="10"/>
        </w:numPr>
        <w:spacing w:line="300" w:lineRule="auto"/>
      </w:pPr>
      <w:r w:rsidRPr="00327AE4">
        <w:rPr>
          <w:rFonts w:eastAsia="Times New Roman" w:cs="Times New Roman"/>
          <w:color w:val="000000"/>
          <w:sz w:val="23"/>
        </w:rPr>
        <w:t>Tarafdar, M., Tu, Q., Ragu-Nathan, T. S., &amp; Ragu-Nathan, B. S. (2011). Crossing to the dark side: Examining creators, outcomes, and inhibitors of technostress. Communications of the ACM, 54(9), 113–120.</w:t>
      </w:r>
    </w:p>
    <w:p w:rsidR="008A3C62" w:rsidRDefault="00327AE4" w:rsidP="00327AE4">
      <w:pPr>
        <w:pStyle w:val="ListParagraph"/>
        <w:numPr>
          <w:ilvl w:val="0"/>
          <w:numId w:val="10"/>
        </w:numPr>
        <w:spacing w:line="300" w:lineRule="auto"/>
      </w:pPr>
      <w:r w:rsidRPr="00327AE4">
        <w:rPr>
          <w:rFonts w:eastAsia="Times New Roman" w:cs="Times New Roman"/>
          <w:color w:val="000000"/>
          <w:sz w:val="23"/>
        </w:rPr>
        <w:t>Venkatesh, V., &amp; Bala, H. (2008). Technology Acceptance Model 3 and a research agenda on interventions. Decision Sciences, 39(2), 273–315.</w:t>
      </w:r>
    </w:p>
    <w:p w:rsidR="008A3C62" w:rsidRDefault="00327AE4" w:rsidP="00327AE4">
      <w:pPr>
        <w:pStyle w:val="ListParagraph"/>
        <w:numPr>
          <w:ilvl w:val="0"/>
          <w:numId w:val="10"/>
        </w:numPr>
        <w:spacing w:line="300" w:lineRule="auto"/>
      </w:pPr>
      <w:r w:rsidRPr="00327AE4">
        <w:rPr>
          <w:rFonts w:eastAsia="Times New Roman" w:cs="Times New Roman"/>
          <w:color w:val="000000"/>
          <w:sz w:val="23"/>
        </w:rPr>
        <w:t>Venkatesh, V., &amp; Davis, F. D. (2000). A theoretical extension of the Technology Acceptance Model: Four longitudinal field studies. Management Science, 46(2), 186–204.</w:t>
      </w:r>
    </w:p>
    <w:p w:rsidR="008A3C62" w:rsidRDefault="00327AE4" w:rsidP="00327AE4">
      <w:pPr>
        <w:pStyle w:val="ListParagraph"/>
        <w:numPr>
          <w:ilvl w:val="0"/>
          <w:numId w:val="10"/>
        </w:numPr>
        <w:spacing w:line="300" w:lineRule="auto"/>
      </w:pPr>
      <w:r w:rsidRPr="00327AE4">
        <w:rPr>
          <w:rFonts w:eastAsia="Times New Roman" w:cs="Times New Roman"/>
          <w:color w:val="000000"/>
          <w:sz w:val="23"/>
        </w:rPr>
        <w:t>Venkatesh, V., Morris, M. G., Davis, G. B., &amp; Davis, F. D. (2003). User acceptance of information technology: Toward a unified view. MIS Quarterly, 27(3), 425–478.</w:t>
      </w:r>
    </w:p>
    <w:p w:rsidR="008A3C62" w:rsidRDefault="00327AE4" w:rsidP="00327AE4">
      <w:pPr>
        <w:pStyle w:val="ListParagraph"/>
        <w:numPr>
          <w:ilvl w:val="0"/>
          <w:numId w:val="10"/>
        </w:numPr>
        <w:spacing w:line="300" w:lineRule="auto"/>
      </w:pPr>
      <w:r w:rsidRPr="00327AE4">
        <w:rPr>
          <w:rFonts w:eastAsia="Times New Roman" w:cs="Times New Roman"/>
          <w:color w:val="000000"/>
          <w:sz w:val="23"/>
        </w:rPr>
        <w:t>Vial, G. (2019). Understanding digital transformation: A review and a research agenda. The Journal of Strategic Information Systems, 28(2), 118–144.</w:t>
      </w:r>
    </w:p>
    <w:p w:rsidR="008A3C62" w:rsidRDefault="00327AE4" w:rsidP="00327AE4">
      <w:pPr>
        <w:pStyle w:val="Heading1"/>
        <w:bidi/>
        <w:spacing w:before="280" w:after="140"/>
      </w:pPr>
      <w:r>
        <w:rPr>
          <w:rFonts w:ascii="Times New Roman" w:eastAsia="Traditional Arabic" w:hAnsi="Times New Roman" w:cs="Traditional Arabic"/>
          <w:rtl/>
        </w:rPr>
        <w:t>4. الشكل النهائي للنموذج المفاهيمي ووصفه التنفيذي</w:t>
      </w:r>
    </w:p>
    <w:p w:rsidR="008A3C62" w:rsidRDefault="00327AE4" w:rsidP="00327AE4">
      <w:pPr>
        <w:bidi/>
      </w:pPr>
      <w:r>
        <w:rPr>
          <w:rFonts w:eastAsia="Traditional Arabic"/>
          <w:color w:val="000000"/>
          <w:rtl/>
        </w:rPr>
        <w:t>أُدرج الشكل النهائي داخل القسم 3.1.2. ولأغراض إعادة الرسم أو المراجعة، يتكون من صندوق رئيس للتحوّل الرقمي المؤسسي يتضمن أبعاده الأربعة، وثلاثة صناديق وسيطة للإجهاد التقني والمنفعة المتصورة وسهولة الاستخدام المتصورة، وصندوق للرضا الوظيفي، وصندوق متقطع للخصائص الديموغرافية والوظيفية.</w:t>
      </w:r>
    </w:p>
    <w:p w:rsidR="008A3C62" w:rsidRDefault="00327AE4" w:rsidP="00327AE4">
      <w:pPr>
        <w:pStyle w:val="ListBullet"/>
        <w:bidi/>
        <w:spacing w:after="60"/>
        <w:ind w:left="0" w:right="397"/>
      </w:pPr>
      <w:r>
        <w:rPr>
          <w:rFonts w:eastAsia="Traditional Arabic"/>
          <w:color w:val="000000"/>
          <w:rtl/>
        </w:rPr>
        <w:t>H1a–H1d: أسهم مباشرة من أبعاد التحوّل الرقمي الأربعة إلى الرضا الوظيفي.</w:t>
      </w:r>
    </w:p>
    <w:p w:rsidR="008A3C62" w:rsidRDefault="00327AE4" w:rsidP="00327AE4">
      <w:pPr>
        <w:pStyle w:val="ListBullet"/>
        <w:bidi/>
        <w:spacing w:after="60"/>
        <w:ind w:left="0" w:right="397"/>
      </w:pPr>
      <w:r>
        <w:rPr>
          <w:rFonts w:eastAsia="Traditional Arabic"/>
          <w:color w:val="000000"/>
          <w:rtl/>
        </w:rPr>
        <w:t>H2a: سهم من التحوّل الرقمي إلى الإجهاد التقني، وH2b من الإجهاد إلى الرضا، وH2c للأثر غير المباشر.</w:t>
      </w:r>
    </w:p>
    <w:p w:rsidR="008A3C62" w:rsidRDefault="00327AE4" w:rsidP="00327AE4">
      <w:pPr>
        <w:pStyle w:val="ListBullet"/>
        <w:bidi/>
        <w:spacing w:after="60"/>
        <w:ind w:left="0" w:right="397"/>
      </w:pPr>
      <w:r>
        <w:rPr>
          <w:rFonts w:eastAsia="Traditional Arabic"/>
          <w:color w:val="000000"/>
          <w:rtl/>
        </w:rPr>
        <w:t>H3a وH3b: سهمان من التحوّل الرقمي إلى PU وPEOU؛ وH3c وH3d منهما إلى الرضا؛ وH3e وH3f للآثار غير المباشرة.</w:t>
      </w:r>
    </w:p>
    <w:p w:rsidR="008A3C62" w:rsidRDefault="00327AE4" w:rsidP="00327AE4">
      <w:pPr>
        <w:pStyle w:val="ListBullet"/>
        <w:bidi/>
        <w:spacing w:after="60"/>
        <w:ind w:left="0" w:right="397"/>
      </w:pPr>
      <w:r>
        <w:rPr>
          <w:rFonts w:eastAsia="Traditional Arabic"/>
          <w:color w:val="000000"/>
          <w:rtl/>
        </w:rPr>
        <w:t>H4: سهم متقطع من الخصائص الديموغرافية والوظيفية إلى المسار المباشر، مع وصفه «معدل محتمل/تحليل مجموعات».</w:t>
      </w:r>
    </w:p>
    <w:p w:rsidR="008A3C62" w:rsidRDefault="00327AE4" w:rsidP="00327AE4">
      <w:pPr>
        <w:pStyle w:val="ListBullet"/>
        <w:bidi/>
        <w:spacing w:after="60"/>
        <w:ind w:left="0" w:right="397"/>
      </w:pPr>
      <w:r>
        <w:rPr>
          <w:rFonts w:eastAsia="Traditional Arabic"/>
          <w:color w:val="000000"/>
          <w:rtl/>
        </w:rPr>
        <w:t>يوضع أسفل الشكل تنبيه بأن الأسهم مسارات مفترضة وليست إثباتًا للسببية القطعية.</w:t>
      </w:r>
    </w:p>
    <w:p w:rsidR="008A3C62" w:rsidRDefault="00327AE4" w:rsidP="00327AE4">
      <w:pPr>
        <w:pStyle w:val="Heading1"/>
        <w:bidi/>
        <w:spacing w:before="280" w:after="140"/>
      </w:pPr>
      <w:r>
        <w:rPr>
          <w:rFonts w:ascii="Times New Roman" w:eastAsia="Traditional Arabic" w:hAnsi="Times New Roman" w:cs="Traditional Arabic"/>
          <w:rtl/>
        </w:rPr>
        <w:lastRenderedPageBreak/>
        <w:t>5. حصر الجداول الجديدة والمحدثة</w:t>
      </w:r>
    </w:p>
    <w:p w:rsidR="008A3C62" w:rsidRDefault="00327AE4" w:rsidP="00327AE4">
      <w:pPr>
        <w:pStyle w:val="Caption"/>
        <w:keepNext/>
        <w:keepLines/>
        <w:bidi/>
        <w:spacing w:before="160" w:after="80" w:line="360" w:lineRule="auto"/>
        <w:rPr>
          <w:rFonts w:hint="eastAsia"/>
        </w:rPr>
      </w:pPr>
      <w:r>
        <w:rPr>
          <w:rFonts w:ascii="Times New Roman" w:eastAsia="Traditional Arabic" w:hAnsi="Times New Roman"/>
          <w:rtl/>
        </w:rPr>
        <w:t>حصر الجداول الواردة في النسخة المعدلة</w:t>
      </w:r>
    </w:p>
    <w:tbl>
      <w:tblPr>
        <w:tblStyle w:val="TableGrid"/>
        <w:bidiVisual/>
        <w:tblW w:w="9072" w:type="dxa"/>
        <w:jc w:val="center"/>
        <w:tblLayout w:type="fixed"/>
        <w:tblLook w:val="04A0" w:firstRow="1" w:lastRow="0" w:firstColumn="1" w:lastColumn="0" w:noHBand="0" w:noVBand="1"/>
      </w:tblPr>
      <w:tblGrid>
        <w:gridCol w:w="1200"/>
        <w:gridCol w:w="5000"/>
        <w:gridCol w:w="1400"/>
        <w:gridCol w:w="1472"/>
      </w:tblGrid>
      <w:tr w:rsidR="008A3C62">
        <w:trPr>
          <w:tblHeader/>
          <w:jc w:val="center"/>
        </w:trPr>
        <w:tc>
          <w:tcPr>
            <w:tcW w:w="1200" w:type="dxa"/>
            <w:shd w:val="clear" w:color="auto" w:fill="D9E2F3"/>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b/>
                <w:color w:val="000000"/>
                <w:sz w:val="18"/>
                <w:rtl/>
              </w:rPr>
              <w:t>رقم الجدول</w:t>
            </w:r>
          </w:p>
        </w:tc>
        <w:tc>
          <w:tcPr>
            <w:tcW w:w="5000" w:type="dxa"/>
            <w:shd w:val="clear" w:color="auto" w:fill="D9E2F3"/>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b/>
                <w:color w:val="000000"/>
                <w:sz w:val="18"/>
                <w:rtl/>
              </w:rPr>
              <w:t>العنوان</w:t>
            </w:r>
          </w:p>
        </w:tc>
        <w:tc>
          <w:tcPr>
            <w:tcW w:w="1400" w:type="dxa"/>
            <w:shd w:val="clear" w:color="auto" w:fill="D9E2F3"/>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b/>
                <w:color w:val="000000"/>
                <w:sz w:val="18"/>
                <w:rtl/>
              </w:rPr>
              <w:t>نوع الإجراء</w:t>
            </w:r>
          </w:p>
        </w:tc>
        <w:tc>
          <w:tcPr>
            <w:tcW w:w="1472" w:type="dxa"/>
            <w:shd w:val="clear" w:color="auto" w:fill="D9E2F3"/>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b/>
                <w:color w:val="000000"/>
                <w:sz w:val="18"/>
                <w:rtl/>
              </w:rPr>
              <w:t>الحالة</w:t>
            </w:r>
          </w:p>
        </w:tc>
      </w:tr>
      <w:tr w:rsidR="008A3C62">
        <w:trPr>
          <w:jc w:val="center"/>
        </w:trPr>
        <w:tc>
          <w:tcPr>
            <w:tcW w:w="12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3-1</w:t>
            </w:r>
          </w:p>
        </w:tc>
        <w:tc>
          <w:tcPr>
            <w:tcW w:w="50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الربط بين أسئلة الدراسة وفرضياتها ومسارات النموذج وأساليب التحليل</w:t>
            </w:r>
          </w:p>
        </w:tc>
        <w:tc>
          <w:tcPr>
            <w:tcW w:w="14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جديد</w:t>
            </w:r>
          </w:p>
        </w:tc>
        <w:tc>
          <w:tcPr>
            <w:tcW w:w="1472"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مكتمل</w:t>
            </w:r>
          </w:p>
        </w:tc>
      </w:tr>
      <w:tr w:rsidR="008A3C62">
        <w:trPr>
          <w:jc w:val="center"/>
        </w:trPr>
        <w:tc>
          <w:tcPr>
            <w:tcW w:w="12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3-2</w:t>
            </w:r>
          </w:p>
        </w:tc>
        <w:tc>
          <w:tcPr>
            <w:tcW w:w="50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قالب توزيع العينة على الطبقات</w:t>
            </w:r>
          </w:p>
        </w:tc>
        <w:tc>
          <w:tcPr>
            <w:tcW w:w="14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محدث</w:t>
            </w:r>
          </w:p>
        </w:tc>
        <w:tc>
          <w:tcPr>
            <w:tcW w:w="1472"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يتطلب إطارًا رسميًا</w:t>
            </w:r>
          </w:p>
        </w:tc>
      </w:tr>
      <w:tr w:rsidR="008A3C62">
        <w:trPr>
          <w:jc w:val="center"/>
        </w:trPr>
        <w:tc>
          <w:tcPr>
            <w:tcW w:w="12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3-3</w:t>
            </w:r>
          </w:p>
        </w:tc>
        <w:tc>
          <w:tcPr>
            <w:tcW w:w="50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هيكل الاستبانة وتوزيع فقراتها ومصادرها</w:t>
            </w:r>
          </w:p>
        </w:tc>
        <w:tc>
          <w:tcPr>
            <w:tcW w:w="14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محدث</w:t>
            </w:r>
          </w:p>
        </w:tc>
        <w:tc>
          <w:tcPr>
            <w:tcW w:w="1472"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مطابق للاستبانة V2</w:t>
            </w:r>
          </w:p>
        </w:tc>
      </w:tr>
      <w:tr w:rsidR="008A3C62">
        <w:trPr>
          <w:jc w:val="center"/>
        </w:trPr>
        <w:tc>
          <w:tcPr>
            <w:tcW w:w="12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3-4</w:t>
            </w:r>
          </w:p>
        </w:tc>
        <w:tc>
          <w:tcPr>
            <w:tcW w:w="50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المصفوفة التشغيلية لمتغيرات الدراسة ومصادر قياسها</w:t>
            </w:r>
          </w:p>
        </w:tc>
        <w:tc>
          <w:tcPr>
            <w:tcW w:w="14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محدث جوهريًا</w:t>
            </w:r>
          </w:p>
        </w:tc>
        <w:tc>
          <w:tcPr>
            <w:tcW w:w="1472"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مكتمل مع مصادر مفتوحة</w:t>
            </w:r>
          </w:p>
        </w:tc>
      </w:tr>
      <w:tr w:rsidR="008A3C62">
        <w:trPr>
          <w:jc w:val="center"/>
        </w:trPr>
        <w:tc>
          <w:tcPr>
            <w:tcW w:w="12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3-5</w:t>
            </w:r>
          </w:p>
        </w:tc>
        <w:tc>
          <w:tcPr>
            <w:tcW w:w="50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بيانات المحكمين ومجالات التحكيم</w:t>
            </w:r>
          </w:p>
        </w:tc>
        <w:tc>
          <w:tcPr>
            <w:tcW w:w="14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جديد</w:t>
            </w:r>
          </w:p>
        </w:tc>
        <w:tc>
          <w:tcPr>
            <w:tcW w:w="1472"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يتطلب بيانات المحكمين</w:t>
            </w:r>
          </w:p>
        </w:tc>
      </w:tr>
      <w:tr w:rsidR="008A3C62">
        <w:trPr>
          <w:jc w:val="center"/>
        </w:trPr>
        <w:tc>
          <w:tcPr>
            <w:tcW w:w="12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3-6</w:t>
            </w:r>
          </w:p>
        </w:tc>
        <w:tc>
          <w:tcPr>
            <w:tcW w:w="50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مصفوفة صدق المحتوى وربط الأبعاد بالفقرات والمصادر</w:t>
            </w:r>
          </w:p>
        </w:tc>
        <w:tc>
          <w:tcPr>
            <w:tcW w:w="14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محدث</w:t>
            </w:r>
          </w:p>
        </w:tc>
        <w:tc>
          <w:tcPr>
            <w:tcW w:w="1472"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يتطلب نتائج التحكيم</w:t>
            </w:r>
          </w:p>
        </w:tc>
      </w:tr>
      <w:tr w:rsidR="008A3C62">
        <w:trPr>
          <w:jc w:val="center"/>
        </w:trPr>
        <w:tc>
          <w:tcPr>
            <w:tcW w:w="12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3-7</w:t>
            </w:r>
          </w:p>
        </w:tc>
        <w:tc>
          <w:tcPr>
            <w:tcW w:w="50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خطة الوصول الميداني وجمع البيانات</w:t>
            </w:r>
          </w:p>
        </w:tc>
        <w:tc>
          <w:tcPr>
            <w:tcW w:w="14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محدث</w:t>
            </w:r>
          </w:p>
        </w:tc>
        <w:tc>
          <w:tcPr>
            <w:tcW w:w="1472"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يتطلب الموافقات والتواريخ والقناة</w:t>
            </w:r>
          </w:p>
        </w:tc>
      </w:tr>
      <w:tr w:rsidR="008A3C62">
        <w:trPr>
          <w:jc w:val="center"/>
        </w:trPr>
        <w:tc>
          <w:tcPr>
            <w:tcW w:w="12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3-8</w:t>
            </w:r>
          </w:p>
        </w:tc>
        <w:tc>
          <w:tcPr>
            <w:tcW w:w="50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معايير تنظيف البيانات والاستجابات غير الصالحة</w:t>
            </w:r>
          </w:p>
        </w:tc>
        <w:tc>
          <w:tcPr>
            <w:tcW w:w="14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جديد</w:t>
            </w:r>
          </w:p>
        </w:tc>
        <w:tc>
          <w:tcPr>
            <w:tcW w:w="1472"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يتطلب اعتماد الحدود الرقمية</w:t>
            </w:r>
          </w:p>
        </w:tc>
      </w:tr>
      <w:tr w:rsidR="008A3C62">
        <w:trPr>
          <w:jc w:val="center"/>
        </w:trPr>
        <w:tc>
          <w:tcPr>
            <w:tcW w:w="12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3-9</w:t>
            </w:r>
          </w:p>
        </w:tc>
        <w:tc>
          <w:tcPr>
            <w:tcW w:w="50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مؤشرات ومعايير تقييم نموذج القياس</w:t>
            </w:r>
          </w:p>
        </w:tc>
        <w:tc>
          <w:tcPr>
            <w:tcW w:w="14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جديد</w:t>
            </w:r>
          </w:p>
        </w:tc>
        <w:tc>
          <w:tcPr>
            <w:tcW w:w="1472"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مكتمل منهجيًا</w:t>
            </w:r>
          </w:p>
        </w:tc>
      </w:tr>
      <w:tr w:rsidR="008A3C62">
        <w:trPr>
          <w:jc w:val="center"/>
        </w:trPr>
        <w:tc>
          <w:tcPr>
            <w:tcW w:w="12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3-10</w:t>
            </w:r>
          </w:p>
        </w:tc>
        <w:tc>
          <w:tcPr>
            <w:tcW w:w="50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مؤشرات ومعايير تقييم النموذج البنائي</w:t>
            </w:r>
          </w:p>
        </w:tc>
        <w:tc>
          <w:tcPr>
            <w:tcW w:w="14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جديد</w:t>
            </w:r>
          </w:p>
        </w:tc>
        <w:tc>
          <w:tcPr>
            <w:tcW w:w="1472"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مكتمل منهجيًا</w:t>
            </w:r>
          </w:p>
        </w:tc>
      </w:tr>
      <w:tr w:rsidR="008A3C62">
        <w:trPr>
          <w:jc w:val="center"/>
        </w:trPr>
        <w:tc>
          <w:tcPr>
            <w:tcW w:w="12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3-11</w:t>
            </w:r>
          </w:p>
        </w:tc>
        <w:tc>
          <w:tcPr>
            <w:tcW w:w="50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الاعتبارات الأخلاقية وإجراءات حماية البيانات</w:t>
            </w:r>
          </w:p>
        </w:tc>
        <w:tc>
          <w:tcPr>
            <w:tcW w:w="14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محدث</w:t>
            </w:r>
          </w:p>
        </w:tc>
        <w:tc>
          <w:tcPr>
            <w:tcW w:w="1472"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يتطلب الموافقات والسياسة</w:t>
            </w:r>
          </w:p>
        </w:tc>
      </w:tr>
    </w:tbl>
    <w:p w:rsidR="008A3C62" w:rsidRDefault="00327AE4" w:rsidP="00327AE4">
      <w:pPr>
        <w:bidi/>
        <w:spacing w:before="80" w:after="160"/>
      </w:pPr>
      <w:r>
        <w:rPr>
          <w:rFonts w:eastAsia="Traditional Arabic"/>
          <w:color w:val="4F5B66"/>
          <w:sz w:val="21"/>
          <w:rtl/>
        </w:rPr>
        <w:t>المصدر: إعداد الباحث.</w:t>
      </w:r>
    </w:p>
    <w:p w:rsidR="008A3C62" w:rsidRDefault="00327AE4" w:rsidP="00327AE4">
      <w:pPr>
        <w:pStyle w:val="Heading1"/>
        <w:bidi/>
        <w:spacing w:before="280" w:after="140"/>
      </w:pPr>
      <w:r>
        <w:rPr>
          <w:rFonts w:ascii="Times New Roman" w:eastAsia="Traditional Arabic" w:hAnsi="Times New Roman" w:cs="Traditional Arabic"/>
          <w:rtl/>
        </w:rPr>
        <w:t>6. قائمة المعلومات الرسمية الناقصة</w:t>
      </w:r>
    </w:p>
    <w:p w:rsidR="008A3C62" w:rsidRDefault="00327AE4" w:rsidP="00327AE4">
      <w:pPr>
        <w:pStyle w:val="Caption"/>
        <w:keepNext/>
        <w:keepLines/>
        <w:bidi/>
        <w:spacing w:before="160" w:after="80" w:line="360" w:lineRule="auto"/>
        <w:rPr>
          <w:rFonts w:hint="eastAsia"/>
        </w:rPr>
      </w:pPr>
      <w:r>
        <w:rPr>
          <w:rFonts w:ascii="Times New Roman" w:eastAsia="Traditional Arabic" w:hAnsi="Times New Roman"/>
          <w:rtl/>
        </w:rPr>
        <w:t>قائمة المعلومات الرسمية الواجب استكمالها</w:t>
      </w:r>
    </w:p>
    <w:tbl>
      <w:tblPr>
        <w:tblStyle w:val="TableGrid"/>
        <w:bidiVisual/>
        <w:tblW w:w="9072" w:type="dxa"/>
        <w:jc w:val="center"/>
        <w:tblLayout w:type="fixed"/>
        <w:tblLook w:val="04A0" w:firstRow="1" w:lastRow="0" w:firstColumn="1" w:lastColumn="0" w:noHBand="0" w:noVBand="1"/>
      </w:tblPr>
      <w:tblGrid>
        <w:gridCol w:w="1600"/>
        <w:gridCol w:w="4400"/>
        <w:gridCol w:w="1900"/>
        <w:gridCol w:w="1172"/>
      </w:tblGrid>
      <w:tr w:rsidR="008A3C62">
        <w:trPr>
          <w:tblHeader/>
          <w:jc w:val="center"/>
        </w:trPr>
        <w:tc>
          <w:tcPr>
            <w:tcW w:w="1600" w:type="dxa"/>
            <w:shd w:val="clear" w:color="auto" w:fill="D9E2F3"/>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b/>
                <w:color w:val="000000"/>
                <w:sz w:val="18"/>
                <w:rtl/>
              </w:rPr>
              <w:t>المجال</w:t>
            </w:r>
          </w:p>
        </w:tc>
        <w:tc>
          <w:tcPr>
            <w:tcW w:w="4400" w:type="dxa"/>
            <w:shd w:val="clear" w:color="auto" w:fill="D9E2F3"/>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b/>
                <w:color w:val="000000"/>
                <w:sz w:val="18"/>
                <w:rtl/>
              </w:rPr>
              <w:t>المعلومة المطلوبة</w:t>
            </w:r>
          </w:p>
        </w:tc>
        <w:tc>
          <w:tcPr>
            <w:tcW w:w="1900" w:type="dxa"/>
            <w:shd w:val="clear" w:color="auto" w:fill="D9E2F3"/>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b/>
                <w:color w:val="000000"/>
                <w:sz w:val="18"/>
                <w:rtl/>
              </w:rPr>
              <w:t>الجهة/المالك</w:t>
            </w:r>
          </w:p>
        </w:tc>
        <w:tc>
          <w:tcPr>
            <w:tcW w:w="1172" w:type="dxa"/>
            <w:shd w:val="clear" w:color="auto" w:fill="D9E2F3"/>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b/>
                <w:color w:val="000000"/>
                <w:sz w:val="18"/>
                <w:rtl/>
              </w:rPr>
              <w:t>موعد الإغلاق</w:t>
            </w:r>
          </w:p>
        </w:tc>
      </w:tr>
      <w:tr w:rsidR="008A3C62">
        <w:trPr>
          <w:jc w:val="center"/>
        </w:trPr>
        <w:tc>
          <w:tcPr>
            <w:tcW w:w="16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العنوان</w:t>
            </w:r>
          </w:p>
        </w:tc>
        <w:tc>
          <w:tcPr>
            <w:tcW w:w="44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اعتماد توحيد العنوان الطويل الوارد في هذه النسخة عبر بقية الفصول والأداة.</w:t>
            </w:r>
          </w:p>
        </w:tc>
        <w:tc>
          <w:tcPr>
            <w:tcW w:w="19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الباحث/المشرف</w:t>
            </w:r>
          </w:p>
        </w:tc>
        <w:tc>
          <w:tcPr>
            <w:tcW w:w="1172"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قبل التسليم الشامل</w:t>
            </w:r>
          </w:p>
        </w:tc>
      </w:tr>
      <w:tr w:rsidR="008A3C62">
        <w:trPr>
          <w:jc w:val="center"/>
        </w:trPr>
        <w:tc>
          <w:tcPr>
            <w:tcW w:w="16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lastRenderedPageBreak/>
              <w:t>المجتمع العام</w:t>
            </w:r>
          </w:p>
        </w:tc>
        <w:tc>
          <w:tcPr>
            <w:tcW w:w="44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العدد الرسمي لموظفي الوزارة بتاريخ مرجعي محدد.</w:t>
            </w:r>
          </w:p>
        </w:tc>
        <w:tc>
          <w:tcPr>
            <w:tcW w:w="19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الجهة المختصة بالموارد البشرية</w:t>
            </w:r>
          </w:p>
        </w:tc>
        <w:tc>
          <w:tcPr>
            <w:tcW w:w="1172"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قبل حساب العينة</w:t>
            </w:r>
          </w:p>
        </w:tc>
      </w:tr>
      <w:tr w:rsidR="008A3C62">
        <w:trPr>
          <w:jc w:val="center"/>
        </w:trPr>
        <w:tc>
          <w:tcPr>
            <w:tcW w:w="16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المجتمع المستهدف</w:t>
            </w:r>
          </w:p>
        </w:tc>
        <w:tc>
          <w:tcPr>
            <w:tcW w:w="44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عدد المستخدمين الرئيسين المؤهلين وتعريف القائمة.</w:t>
            </w:r>
          </w:p>
        </w:tc>
        <w:tc>
          <w:tcPr>
            <w:tcW w:w="19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مالكو الأنظمة/الموارد البشرية</w:t>
            </w:r>
          </w:p>
        </w:tc>
        <w:tc>
          <w:tcPr>
            <w:tcW w:w="1172"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قبل السحب</w:t>
            </w:r>
          </w:p>
        </w:tc>
      </w:tr>
      <w:tr w:rsidR="008A3C62">
        <w:trPr>
          <w:jc w:val="center"/>
        </w:trPr>
        <w:tc>
          <w:tcPr>
            <w:tcW w:w="16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إطار المعاينة</w:t>
            </w:r>
          </w:p>
        </w:tc>
        <w:tc>
          <w:tcPr>
            <w:tcW w:w="44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قائمة الطبقات وأحجامها ومجال التغطية.</w:t>
            </w:r>
          </w:p>
        </w:tc>
        <w:tc>
          <w:tcPr>
            <w:tcW w:w="19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الوزارة</w:t>
            </w:r>
          </w:p>
        </w:tc>
        <w:tc>
          <w:tcPr>
            <w:tcW w:w="1172"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قبل التوزيع</w:t>
            </w:r>
          </w:p>
        </w:tc>
      </w:tr>
      <w:tr w:rsidR="008A3C62">
        <w:trPr>
          <w:jc w:val="center"/>
        </w:trPr>
        <w:tc>
          <w:tcPr>
            <w:tcW w:w="16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القوة الإحصائية</w:t>
            </w:r>
          </w:p>
        </w:tc>
        <w:tc>
          <w:tcPr>
            <w:tcW w:w="44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α والقوة وحجم الأثر وعدد المتنبئات ونتيجة G*Power.</w:t>
            </w:r>
          </w:p>
        </w:tc>
        <w:tc>
          <w:tcPr>
            <w:tcW w:w="19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الباحث/المشرف الإحصائي</w:t>
            </w:r>
          </w:p>
        </w:tc>
        <w:tc>
          <w:tcPr>
            <w:tcW w:w="1172"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قبل التطبيق</w:t>
            </w:r>
          </w:p>
        </w:tc>
      </w:tr>
      <w:tr w:rsidR="008A3C62">
        <w:trPr>
          <w:jc w:val="center"/>
        </w:trPr>
        <w:tc>
          <w:tcPr>
            <w:tcW w:w="16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المحكمون</w:t>
            </w:r>
          </w:p>
        </w:tc>
        <w:tc>
          <w:tcPr>
            <w:tcW w:w="44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العدد والتخصصات والجهات ونتيجة كل فقرة.</w:t>
            </w:r>
          </w:p>
        </w:tc>
        <w:tc>
          <w:tcPr>
            <w:tcW w:w="19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الباحث</w:t>
            </w:r>
          </w:p>
        </w:tc>
        <w:tc>
          <w:tcPr>
            <w:tcW w:w="1172"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قبل اعتماد الأداة</w:t>
            </w:r>
          </w:p>
        </w:tc>
      </w:tr>
      <w:tr w:rsidR="008A3C62">
        <w:trPr>
          <w:jc w:val="center"/>
        </w:trPr>
        <w:tc>
          <w:tcPr>
            <w:tcW w:w="16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الترجمة</w:t>
            </w:r>
          </w:p>
        </w:tc>
        <w:tc>
          <w:tcPr>
            <w:tcW w:w="44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سجل النسخة الأصلية والترجمة والمراجعة والترجمة العكسية.</w:t>
            </w:r>
          </w:p>
        </w:tc>
        <w:tc>
          <w:tcPr>
            <w:tcW w:w="19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الباحث/المترجمون</w:t>
            </w:r>
          </w:p>
        </w:tc>
        <w:tc>
          <w:tcPr>
            <w:tcW w:w="1172"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قبل التحكيم النهائي</w:t>
            </w:r>
          </w:p>
        </w:tc>
      </w:tr>
      <w:tr w:rsidR="008A3C62">
        <w:trPr>
          <w:jc w:val="center"/>
        </w:trPr>
        <w:tc>
          <w:tcPr>
            <w:tcW w:w="16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الدراسة الاستطلاعية</w:t>
            </w:r>
          </w:p>
        </w:tc>
        <w:tc>
          <w:tcPr>
            <w:tcW w:w="44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الحجم الدقيق والمدة والخصائص والنتائج والتعديلات.</w:t>
            </w:r>
          </w:p>
        </w:tc>
        <w:tc>
          <w:tcPr>
            <w:tcW w:w="19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الباحث</w:t>
            </w:r>
          </w:p>
        </w:tc>
        <w:tc>
          <w:tcPr>
            <w:tcW w:w="1172"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قبل التطبيق النهائي</w:t>
            </w:r>
          </w:p>
        </w:tc>
      </w:tr>
      <w:tr w:rsidR="008A3C62">
        <w:trPr>
          <w:jc w:val="center"/>
        </w:trPr>
        <w:tc>
          <w:tcPr>
            <w:tcW w:w="16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التطبيق</w:t>
            </w:r>
          </w:p>
        </w:tc>
        <w:tc>
          <w:tcPr>
            <w:tcW w:w="44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التاريخ والقناة الرسمية وعدد رسائل التذكير وآلية منع التكرار.</w:t>
            </w:r>
          </w:p>
        </w:tc>
        <w:tc>
          <w:tcPr>
            <w:tcW w:w="19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الوزارة/الباحث</w:t>
            </w:r>
          </w:p>
        </w:tc>
        <w:tc>
          <w:tcPr>
            <w:tcW w:w="1172"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قبل فتح الرابط</w:t>
            </w:r>
          </w:p>
        </w:tc>
      </w:tr>
      <w:tr w:rsidR="008A3C62">
        <w:trPr>
          <w:jc w:val="center"/>
        </w:trPr>
        <w:tc>
          <w:tcPr>
            <w:tcW w:w="16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البرامج</w:t>
            </w:r>
          </w:p>
        </w:tc>
        <w:tc>
          <w:tcPr>
            <w:tcW w:w="44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إصدار SPSS وإصدار SmartPLS.</w:t>
            </w:r>
          </w:p>
        </w:tc>
        <w:tc>
          <w:tcPr>
            <w:tcW w:w="19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الباحث</w:t>
            </w:r>
          </w:p>
        </w:tc>
        <w:tc>
          <w:tcPr>
            <w:tcW w:w="1172"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قبل التحليل</w:t>
            </w:r>
          </w:p>
        </w:tc>
      </w:tr>
      <w:tr w:rsidR="008A3C62">
        <w:trPr>
          <w:jc w:val="center"/>
        </w:trPr>
        <w:tc>
          <w:tcPr>
            <w:tcW w:w="16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Bootstrapping</w:t>
            </w:r>
          </w:p>
        </w:tc>
        <w:tc>
          <w:tcPr>
            <w:tcW w:w="44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عدد العينات ونوع الفترة ومستواها والبذرة.</w:t>
            </w:r>
          </w:p>
        </w:tc>
        <w:tc>
          <w:tcPr>
            <w:tcW w:w="19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الباحث/المشرف الإحصائي</w:t>
            </w:r>
          </w:p>
        </w:tc>
        <w:tc>
          <w:tcPr>
            <w:tcW w:w="1172"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قبل التحليل</w:t>
            </w:r>
          </w:p>
        </w:tc>
      </w:tr>
      <w:tr w:rsidR="008A3C62">
        <w:trPr>
          <w:jc w:val="center"/>
        </w:trPr>
        <w:tc>
          <w:tcPr>
            <w:tcW w:w="16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النموذج الهرمي</w:t>
            </w:r>
          </w:p>
        </w:tc>
        <w:tc>
          <w:tcPr>
            <w:tcW w:w="44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نوع مواصفة بُنى التحوّل الرقمي والإجهاد وطريقة التقدير.</w:t>
            </w:r>
          </w:p>
        </w:tc>
        <w:tc>
          <w:tcPr>
            <w:tcW w:w="19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المشرف الإحصائي</w:t>
            </w:r>
          </w:p>
        </w:tc>
        <w:tc>
          <w:tcPr>
            <w:tcW w:w="1172"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قبل بناء النموذج</w:t>
            </w:r>
          </w:p>
        </w:tc>
      </w:tr>
      <w:tr w:rsidR="008A3C62">
        <w:trPr>
          <w:jc w:val="center"/>
        </w:trPr>
        <w:tc>
          <w:tcPr>
            <w:tcW w:w="16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التنظيف</w:t>
            </w:r>
          </w:p>
        </w:tc>
        <w:tc>
          <w:tcPr>
            <w:tcW w:w="44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حد الفقد والزمن والنمط الثابت والتطرف وخطة المعالجة.</w:t>
            </w:r>
          </w:p>
        </w:tc>
        <w:tc>
          <w:tcPr>
            <w:tcW w:w="19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الباحث/المشرف الإحصائي</w:t>
            </w:r>
          </w:p>
        </w:tc>
        <w:tc>
          <w:tcPr>
            <w:tcW w:w="1172"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قبل الجمع</w:t>
            </w:r>
          </w:p>
        </w:tc>
      </w:tr>
      <w:tr w:rsidR="008A3C62">
        <w:trPr>
          <w:jc w:val="center"/>
        </w:trPr>
        <w:tc>
          <w:tcPr>
            <w:tcW w:w="16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الأخلاقيات</w:t>
            </w:r>
          </w:p>
        </w:tc>
        <w:tc>
          <w:tcPr>
            <w:tcW w:w="44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موافقة الجامعة وموافقة الوزارة.</w:t>
            </w:r>
          </w:p>
        </w:tc>
        <w:tc>
          <w:tcPr>
            <w:tcW w:w="19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الجامعة/الوزارة</w:t>
            </w:r>
          </w:p>
        </w:tc>
        <w:tc>
          <w:tcPr>
            <w:tcW w:w="1172"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قبل التوزيع</w:t>
            </w:r>
          </w:p>
        </w:tc>
      </w:tr>
      <w:tr w:rsidR="008A3C62">
        <w:trPr>
          <w:jc w:val="center"/>
        </w:trPr>
        <w:tc>
          <w:tcPr>
            <w:tcW w:w="16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حماية البيانات</w:t>
            </w:r>
          </w:p>
        </w:tc>
        <w:tc>
          <w:tcPr>
            <w:tcW w:w="44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المخولون، وموقع التخزين، ومدة الاحتفاظ، وحد دمج الفئات، وطريقة الحذف.</w:t>
            </w:r>
          </w:p>
        </w:tc>
        <w:tc>
          <w:tcPr>
            <w:tcW w:w="19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الباحث/الجامعة</w:t>
            </w:r>
          </w:p>
        </w:tc>
        <w:tc>
          <w:tcPr>
            <w:tcW w:w="1172"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قبل الجمع</w:t>
            </w:r>
          </w:p>
        </w:tc>
      </w:tr>
    </w:tbl>
    <w:p w:rsidR="008A3C62" w:rsidRDefault="00327AE4" w:rsidP="00327AE4">
      <w:pPr>
        <w:bidi/>
        <w:spacing w:before="80" w:after="160"/>
      </w:pPr>
      <w:r>
        <w:rPr>
          <w:rFonts w:eastAsia="Traditional Arabic"/>
          <w:color w:val="4F5B66"/>
          <w:sz w:val="21"/>
          <w:rtl/>
        </w:rPr>
        <w:t>المصدر: إعداد الباحث.</w:t>
      </w:r>
    </w:p>
    <w:p w:rsidR="008A3C62" w:rsidRDefault="00327AE4" w:rsidP="00327AE4">
      <w:pPr>
        <w:pStyle w:val="Heading1"/>
        <w:bidi/>
        <w:spacing w:before="280" w:after="140"/>
      </w:pPr>
      <w:r>
        <w:rPr>
          <w:rFonts w:ascii="Times New Roman" w:eastAsia="Traditional Arabic" w:hAnsi="Times New Roman" w:cs="Traditional Arabic"/>
          <w:rtl/>
        </w:rPr>
        <w:t>7. قائمة المراجع ومصادر القياس الناقصة</w:t>
      </w:r>
    </w:p>
    <w:p w:rsidR="008A3C62" w:rsidRDefault="00327AE4" w:rsidP="00327AE4">
      <w:pPr>
        <w:pStyle w:val="Caption"/>
        <w:keepNext/>
        <w:keepLines/>
        <w:bidi/>
        <w:spacing w:before="160" w:after="80" w:line="360" w:lineRule="auto"/>
        <w:rPr>
          <w:rFonts w:hint="eastAsia"/>
        </w:rPr>
      </w:pPr>
      <w:r>
        <w:rPr>
          <w:rFonts w:ascii="Times New Roman" w:eastAsia="Traditional Arabic" w:hAnsi="Times New Roman"/>
          <w:rtl/>
        </w:rPr>
        <w:t>المراجع أو الاعتمادات المصدرية المفتوحة</w:t>
      </w:r>
    </w:p>
    <w:tbl>
      <w:tblPr>
        <w:tblStyle w:val="TableGrid"/>
        <w:bidiVisual/>
        <w:tblW w:w="9072" w:type="dxa"/>
        <w:jc w:val="center"/>
        <w:tblLayout w:type="fixed"/>
        <w:tblLook w:val="04A0" w:firstRow="1" w:lastRow="0" w:firstColumn="1" w:lastColumn="0" w:noHBand="0" w:noVBand="1"/>
      </w:tblPr>
      <w:tblGrid>
        <w:gridCol w:w="2400"/>
        <w:gridCol w:w="3900"/>
        <w:gridCol w:w="2772"/>
      </w:tblGrid>
      <w:tr w:rsidR="008A3C62">
        <w:trPr>
          <w:tblHeader/>
          <w:jc w:val="center"/>
        </w:trPr>
        <w:tc>
          <w:tcPr>
            <w:tcW w:w="2400" w:type="dxa"/>
            <w:shd w:val="clear" w:color="auto" w:fill="D9E2F3"/>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b/>
                <w:color w:val="000000"/>
                <w:sz w:val="18"/>
                <w:rtl/>
              </w:rPr>
              <w:t>المقياس/البند</w:t>
            </w:r>
          </w:p>
        </w:tc>
        <w:tc>
          <w:tcPr>
            <w:tcW w:w="3900" w:type="dxa"/>
            <w:shd w:val="clear" w:color="auto" w:fill="D9E2F3"/>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b/>
                <w:color w:val="000000"/>
                <w:sz w:val="18"/>
                <w:rtl/>
              </w:rPr>
              <w:t>حالة المصدر</w:t>
            </w:r>
          </w:p>
        </w:tc>
        <w:tc>
          <w:tcPr>
            <w:tcW w:w="2772" w:type="dxa"/>
            <w:shd w:val="clear" w:color="auto" w:fill="D9E2F3"/>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b/>
                <w:color w:val="000000"/>
                <w:sz w:val="18"/>
                <w:rtl/>
              </w:rPr>
              <w:t>الإجراء المطلوب</w:t>
            </w:r>
          </w:p>
        </w:tc>
      </w:tr>
      <w:tr w:rsidR="008A3C62">
        <w:trPr>
          <w:jc w:val="center"/>
        </w:trPr>
        <w:tc>
          <w:tcPr>
            <w:tcW w:w="24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مقياس التحوّل الرقمي المؤسسي</w:t>
            </w:r>
          </w:p>
        </w:tc>
        <w:tc>
          <w:tcPr>
            <w:tcW w:w="39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 xml:space="preserve">الفقرات مستندة إلى Vial وMergel وDeLone &amp; </w:t>
            </w:r>
            <w:r>
              <w:rPr>
                <w:rFonts w:eastAsia="Traditional Arabic"/>
                <w:color w:val="000000"/>
                <w:sz w:val="18"/>
                <w:rtl/>
              </w:rPr>
              <w:lastRenderedPageBreak/>
              <w:t>McLean، لكنها لا تمثل مقياسًا منشورًا واحدًا.</w:t>
            </w:r>
          </w:p>
        </w:tc>
        <w:tc>
          <w:tcPr>
            <w:tcW w:w="2772"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lastRenderedPageBreak/>
              <w:t xml:space="preserve">[مرجع المقياس الأصلي مطلوب] أو اعتماد </w:t>
            </w:r>
            <w:r>
              <w:rPr>
                <w:rFonts w:eastAsia="Traditional Arabic"/>
                <w:color w:val="000000"/>
                <w:sz w:val="18"/>
                <w:rtl/>
              </w:rPr>
              <w:lastRenderedPageBreak/>
              <w:t>التطوير والتحكيم صراحة.</w:t>
            </w:r>
          </w:p>
        </w:tc>
      </w:tr>
      <w:tr w:rsidR="008A3C62">
        <w:trPr>
          <w:jc w:val="center"/>
        </w:trPr>
        <w:tc>
          <w:tcPr>
            <w:tcW w:w="24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مقياس الرضا الوظيفي</w:t>
            </w:r>
          </w:p>
        </w:tc>
        <w:tc>
          <w:tcPr>
            <w:tcW w:w="39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الفقرات الثماني مكيفة/مطورة وليست JSS كاملًا.</w:t>
            </w:r>
          </w:p>
        </w:tc>
        <w:tc>
          <w:tcPr>
            <w:tcW w:w="2772"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[اعتماد مصدر وصيغة المقياس النهائي مطلوب].</w:t>
            </w:r>
          </w:p>
        </w:tc>
      </w:tr>
      <w:tr w:rsidR="008A3C62">
        <w:trPr>
          <w:jc w:val="center"/>
        </w:trPr>
        <w:tc>
          <w:tcPr>
            <w:tcW w:w="24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DTD3-1، DTD3-2، DTD3-4، DTD4-4</w:t>
            </w:r>
          </w:p>
        </w:tc>
        <w:tc>
          <w:tcPr>
            <w:tcW w:w="39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فقرات مطورة من الباحث استنادًا إلى الأدبيات.</w:t>
            </w:r>
          </w:p>
        </w:tc>
        <w:tc>
          <w:tcPr>
            <w:tcW w:w="2772"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اعتماد المحكمين ونتيجة الدراسة الاستطلاعية.</w:t>
            </w:r>
          </w:p>
        </w:tc>
      </w:tr>
      <w:tr w:rsidR="008A3C62">
        <w:trPr>
          <w:jc w:val="center"/>
        </w:trPr>
        <w:tc>
          <w:tcPr>
            <w:tcW w:w="24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JS-3، JS-5، JS-6، JS-7، JS-8</w:t>
            </w:r>
          </w:p>
        </w:tc>
        <w:tc>
          <w:tcPr>
            <w:tcW w:w="39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فقرات مطورة/مكيفة في سياق البيئة الرقمية.</w:t>
            </w:r>
          </w:p>
        </w:tc>
        <w:tc>
          <w:tcPr>
            <w:tcW w:w="2772"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اعتماد المحكمين وتقليل تلوث المحك مع المتغير المستقل.</w:t>
            </w:r>
          </w:p>
        </w:tc>
      </w:tr>
      <w:tr w:rsidR="008A3C62">
        <w:trPr>
          <w:jc w:val="center"/>
        </w:trPr>
        <w:tc>
          <w:tcPr>
            <w:tcW w:w="24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معايير التنظيف الرقمية</w:t>
            </w:r>
          </w:p>
        </w:tc>
        <w:tc>
          <w:tcPr>
            <w:tcW w:w="39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لم تُثبت حدود الفقد والزمن والنمط الثابت.</w:t>
            </w:r>
          </w:p>
        </w:tc>
        <w:tc>
          <w:tcPr>
            <w:tcW w:w="2772"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[مرجع منهجي معتمد مطلوب قبل التحليل].</w:t>
            </w:r>
          </w:p>
        </w:tc>
      </w:tr>
      <w:tr w:rsidR="008A3C62">
        <w:trPr>
          <w:jc w:val="center"/>
        </w:trPr>
        <w:tc>
          <w:tcPr>
            <w:tcW w:w="24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طريقة بناء المتغيرات الأعلى</w:t>
            </w:r>
          </w:p>
        </w:tc>
        <w:tc>
          <w:tcPr>
            <w:tcW w:w="39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لم يُحسم نوع النموذج الهرمي أو إجراء التقدير.</w:t>
            </w:r>
          </w:p>
        </w:tc>
        <w:tc>
          <w:tcPr>
            <w:tcW w:w="2772"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[مرجع ومواصفة PLS-SEM مطلوبة].</w:t>
            </w:r>
          </w:p>
        </w:tc>
      </w:tr>
    </w:tbl>
    <w:p w:rsidR="008A3C62" w:rsidRDefault="00327AE4" w:rsidP="00327AE4">
      <w:pPr>
        <w:bidi/>
        <w:spacing w:before="80" w:after="160"/>
      </w:pPr>
      <w:r>
        <w:rPr>
          <w:rFonts w:eastAsia="Traditional Arabic"/>
          <w:color w:val="4F5B66"/>
          <w:sz w:val="21"/>
          <w:rtl/>
        </w:rPr>
        <w:t>المصدر: إعداد الباحث استنادًا إلى الاستبانة V2 وملاحظات المشرف.</w:t>
      </w:r>
    </w:p>
    <w:p w:rsidR="008A3C62" w:rsidRDefault="00327AE4" w:rsidP="00327AE4">
      <w:pPr>
        <w:pStyle w:val="Heading1"/>
        <w:bidi/>
        <w:spacing w:before="280" w:after="140"/>
      </w:pPr>
      <w:r>
        <w:rPr>
          <w:rFonts w:ascii="Times New Roman" w:eastAsia="Traditional Arabic" w:hAnsi="Times New Roman" w:cs="Traditional Arabic"/>
          <w:rtl/>
        </w:rPr>
        <w:t>8. تقرير مطابقة المراجع بين المتن والقائمة</w:t>
      </w:r>
    </w:p>
    <w:p w:rsidR="008A3C62" w:rsidRDefault="00327AE4" w:rsidP="00327AE4">
      <w:pPr>
        <w:pStyle w:val="Caption"/>
        <w:keepNext/>
        <w:keepLines/>
        <w:bidi/>
        <w:spacing w:before="160" w:after="80" w:line="360" w:lineRule="auto"/>
        <w:rPr>
          <w:rFonts w:hint="eastAsia"/>
        </w:rPr>
      </w:pPr>
      <w:r>
        <w:rPr>
          <w:rFonts w:ascii="Times New Roman" w:eastAsia="Traditional Arabic" w:hAnsi="Times New Roman"/>
          <w:rtl/>
        </w:rPr>
        <w:t>نتيجة مطابقة الإحالات وقائمة المراجع</w:t>
      </w:r>
    </w:p>
    <w:tbl>
      <w:tblPr>
        <w:tblStyle w:val="TableGrid"/>
        <w:bidiVisual/>
        <w:tblW w:w="9072" w:type="dxa"/>
        <w:jc w:val="center"/>
        <w:tblLayout w:type="fixed"/>
        <w:tblLook w:val="04A0" w:firstRow="1" w:lastRow="0" w:firstColumn="1" w:lastColumn="0" w:noHBand="0" w:noVBand="1"/>
      </w:tblPr>
      <w:tblGrid>
        <w:gridCol w:w="3000"/>
        <w:gridCol w:w="6072"/>
      </w:tblGrid>
      <w:tr w:rsidR="008A3C62">
        <w:trPr>
          <w:tblHeader/>
          <w:jc w:val="center"/>
        </w:trPr>
        <w:tc>
          <w:tcPr>
            <w:tcW w:w="3000" w:type="dxa"/>
            <w:shd w:val="clear" w:color="auto" w:fill="D9E2F3"/>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b/>
                <w:color w:val="000000"/>
                <w:sz w:val="19"/>
                <w:rtl/>
              </w:rPr>
              <w:t>فئة التدقيق</w:t>
            </w:r>
          </w:p>
        </w:tc>
        <w:tc>
          <w:tcPr>
            <w:tcW w:w="6072" w:type="dxa"/>
            <w:shd w:val="clear" w:color="auto" w:fill="D9E2F3"/>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b/>
                <w:color w:val="000000"/>
                <w:sz w:val="19"/>
                <w:rtl/>
              </w:rPr>
              <w:t>النتيجة</w:t>
            </w:r>
          </w:p>
        </w:tc>
      </w:tr>
      <w:tr w:rsidR="008A3C62">
        <w:trPr>
          <w:jc w:val="center"/>
        </w:trPr>
        <w:tc>
          <w:tcPr>
            <w:tcW w:w="30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9"/>
                <w:rtl/>
              </w:rPr>
              <w:t>مراجع وردت في المتن وغير موجودة في القائمة</w:t>
            </w:r>
          </w:p>
        </w:tc>
        <w:tc>
          <w:tcPr>
            <w:tcW w:w="6072"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9"/>
                <w:rtl/>
              </w:rPr>
              <w:t>لا يوجد في النسخة المنقحة؛ جميع الإحالات المنهجية ومصادر القياس المذكورة لها مدخل مقابل.</w:t>
            </w:r>
          </w:p>
        </w:tc>
      </w:tr>
      <w:tr w:rsidR="008A3C62">
        <w:trPr>
          <w:jc w:val="center"/>
        </w:trPr>
        <w:tc>
          <w:tcPr>
            <w:tcW w:w="30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9"/>
                <w:rtl/>
              </w:rPr>
              <w:t>مراجع موجودة في القائمة وغير مستخدمة</w:t>
            </w:r>
          </w:p>
        </w:tc>
        <w:tc>
          <w:tcPr>
            <w:tcW w:w="6072"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9"/>
                <w:rtl/>
              </w:rPr>
              <w:t>لا يوجد؛ أُبقيت المراجع التي استُخدمت في النص أو الجداول فقط.</w:t>
            </w:r>
          </w:p>
        </w:tc>
      </w:tr>
      <w:tr w:rsidR="008A3C62">
        <w:trPr>
          <w:jc w:val="center"/>
        </w:trPr>
        <w:tc>
          <w:tcPr>
            <w:tcW w:w="30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9"/>
                <w:rtl/>
              </w:rPr>
              <w:t>مراجع تحتاج استكمال بيانات</w:t>
            </w:r>
          </w:p>
        </w:tc>
        <w:tc>
          <w:tcPr>
            <w:tcW w:w="6072"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9"/>
                <w:rtl/>
              </w:rPr>
              <w:t>لا توجد بيانات ببليوغرافية موسومة بالنقص داخل القائمة الحالية؛ ويتركز النقص في اعتماد مصادر القياس الأصلية المبينة في القسم 7.</w:t>
            </w:r>
          </w:p>
        </w:tc>
      </w:tr>
      <w:tr w:rsidR="008A3C62">
        <w:trPr>
          <w:jc w:val="center"/>
        </w:trPr>
        <w:tc>
          <w:tcPr>
            <w:tcW w:w="30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9"/>
                <w:rtl/>
              </w:rPr>
              <w:t>مصادر قياس تحتاج قرارًا</w:t>
            </w:r>
          </w:p>
        </w:tc>
        <w:tc>
          <w:tcPr>
            <w:tcW w:w="6072"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9"/>
                <w:rtl/>
              </w:rPr>
              <w:t>مقياس التحوّل الرقمي المؤسسي ومقياس الرضا الوظيفي والفقرات المطورة من الباحث.</w:t>
            </w:r>
          </w:p>
        </w:tc>
      </w:tr>
      <w:tr w:rsidR="008A3C62">
        <w:trPr>
          <w:jc w:val="center"/>
        </w:trPr>
        <w:tc>
          <w:tcPr>
            <w:tcW w:w="30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9"/>
                <w:rtl/>
              </w:rPr>
              <w:t>مطابقة السنوات والأسماء</w:t>
            </w:r>
          </w:p>
        </w:tc>
        <w:tc>
          <w:tcPr>
            <w:tcW w:w="6072"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9"/>
                <w:rtl/>
              </w:rPr>
              <w:t>وُحدت إحالات Hair et al. (2019, 2022)، وHenseler et al. (2015)، وKock (2015)، وبقية المصادر مع القائمة.</w:t>
            </w:r>
          </w:p>
        </w:tc>
      </w:tr>
    </w:tbl>
    <w:p w:rsidR="008A3C62" w:rsidRDefault="00327AE4" w:rsidP="00327AE4">
      <w:pPr>
        <w:bidi/>
        <w:spacing w:before="80" w:after="160"/>
      </w:pPr>
      <w:r>
        <w:rPr>
          <w:rFonts w:eastAsia="Traditional Arabic"/>
          <w:color w:val="4F5B66"/>
          <w:sz w:val="21"/>
          <w:rtl/>
        </w:rPr>
        <w:t>المصدر: إعداد الباحث بعد مطابقة المتن والجداول وقائمة المراجع.</w:t>
      </w:r>
    </w:p>
    <w:p w:rsidR="008A3C62" w:rsidRDefault="00327AE4" w:rsidP="00327AE4">
      <w:pPr>
        <w:pStyle w:val="Heading1"/>
        <w:bidi/>
        <w:spacing w:before="280" w:after="140"/>
      </w:pPr>
      <w:r>
        <w:rPr>
          <w:rFonts w:ascii="Times New Roman" w:eastAsia="Traditional Arabic" w:hAnsi="Times New Roman" w:cs="Traditional Arabic"/>
          <w:rtl/>
        </w:rPr>
        <w:lastRenderedPageBreak/>
        <w:t>9. قائمة المصطلحات الموحدة</w:t>
      </w:r>
    </w:p>
    <w:p w:rsidR="008A3C62" w:rsidRDefault="00327AE4" w:rsidP="00327AE4">
      <w:pPr>
        <w:pStyle w:val="Caption"/>
        <w:keepNext/>
        <w:keepLines/>
        <w:bidi/>
        <w:spacing w:before="160" w:after="80" w:line="360" w:lineRule="auto"/>
        <w:rPr>
          <w:rFonts w:hint="eastAsia"/>
        </w:rPr>
      </w:pPr>
      <w:r>
        <w:rPr>
          <w:rFonts w:ascii="Times New Roman" w:eastAsia="Traditional Arabic" w:hAnsi="Times New Roman"/>
          <w:rtl/>
        </w:rPr>
        <w:t>قائمة توحيد المصطلحات العربية والإنجليزية</w:t>
      </w:r>
    </w:p>
    <w:tbl>
      <w:tblPr>
        <w:tblStyle w:val="TableGrid"/>
        <w:bidiVisual/>
        <w:tblW w:w="9072" w:type="dxa"/>
        <w:jc w:val="center"/>
        <w:tblLayout w:type="fixed"/>
        <w:tblLook w:val="04A0" w:firstRow="1" w:lastRow="0" w:firstColumn="1" w:lastColumn="0" w:noHBand="0" w:noVBand="1"/>
      </w:tblPr>
      <w:tblGrid>
        <w:gridCol w:w="3100"/>
        <w:gridCol w:w="2700"/>
        <w:gridCol w:w="3272"/>
      </w:tblGrid>
      <w:tr w:rsidR="008A3C62">
        <w:trPr>
          <w:tblHeader/>
          <w:jc w:val="center"/>
        </w:trPr>
        <w:tc>
          <w:tcPr>
            <w:tcW w:w="3100" w:type="dxa"/>
            <w:shd w:val="clear" w:color="auto" w:fill="D9E2F3"/>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b/>
                <w:color w:val="000000"/>
                <w:sz w:val="18"/>
                <w:rtl/>
              </w:rPr>
              <w:t>المصطلح العربي</w:t>
            </w:r>
          </w:p>
        </w:tc>
        <w:tc>
          <w:tcPr>
            <w:tcW w:w="2700" w:type="dxa"/>
            <w:shd w:val="clear" w:color="auto" w:fill="D9E2F3"/>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b/>
                <w:color w:val="000000"/>
                <w:sz w:val="18"/>
                <w:rtl/>
              </w:rPr>
              <w:t>المصطلح الإنجليزي/الاختصار</w:t>
            </w:r>
          </w:p>
        </w:tc>
        <w:tc>
          <w:tcPr>
            <w:tcW w:w="3272" w:type="dxa"/>
            <w:shd w:val="clear" w:color="auto" w:fill="D9E2F3"/>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b/>
                <w:color w:val="000000"/>
                <w:sz w:val="18"/>
                <w:rtl/>
              </w:rPr>
              <w:t>قاعدة الاستخدام</w:t>
            </w:r>
          </w:p>
        </w:tc>
      </w:tr>
      <w:tr w:rsidR="008A3C62">
        <w:trPr>
          <w:jc w:val="center"/>
        </w:trPr>
        <w:tc>
          <w:tcPr>
            <w:tcW w:w="31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التحوّل الرقمي المؤسسي</w:t>
            </w:r>
          </w:p>
        </w:tc>
        <w:tc>
          <w:tcPr>
            <w:tcW w:w="27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Institutional Digital Transformation</w:t>
            </w:r>
          </w:p>
        </w:tc>
        <w:tc>
          <w:tcPr>
            <w:tcW w:w="3272"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المتغير المستقل؛ تُثبت هذه الصياغة.</w:t>
            </w:r>
          </w:p>
        </w:tc>
      </w:tr>
      <w:tr w:rsidR="008A3C62">
        <w:trPr>
          <w:jc w:val="center"/>
        </w:trPr>
        <w:tc>
          <w:tcPr>
            <w:tcW w:w="31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قبول التقنية</w:t>
            </w:r>
          </w:p>
        </w:tc>
        <w:tc>
          <w:tcPr>
            <w:tcW w:w="27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Technology Acceptance</w:t>
            </w:r>
          </w:p>
        </w:tc>
        <w:tc>
          <w:tcPr>
            <w:tcW w:w="3272"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المصطلح العربي المعتمد بعد التعريف الأول.</w:t>
            </w:r>
          </w:p>
        </w:tc>
      </w:tr>
      <w:tr w:rsidR="008A3C62">
        <w:trPr>
          <w:jc w:val="center"/>
        </w:trPr>
        <w:tc>
          <w:tcPr>
            <w:tcW w:w="31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نموذج قبول التقنية</w:t>
            </w:r>
          </w:p>
        </w:tc>
        <w:tc>
          <w:tcPr>
            <w:tcW w:w="27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Technology Acceptance Model (TAM)</w:t>
            </w:r>
          </w:p>
        </w:tc>
        <w:tc>
          <w:tcPr>
            <w:tcW w:w="3272"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يُذكر الإنجليزي والاختصار عند أول ظهور فقط.</w:t>
            </w:r>
          </w:p>
        </w:tc>
      </w:tr>
      <w:tr w:rsidR="008A3C62">
        <w:trPr>
          <w:jc w:val="center"/>
        </w:trPr>
        <w:tc>
          <w:tcPr>
            <w:tcW w:w="31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المنفعة المتصورة</w:t>
            </w:r>
          </w:p>
        </w:tc>
        <w:tc>
          <w:tcPr>
            <w:tcW w:w="27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Perceived Usefulness (PU)</w:t>
            </w:r>
          </w:p>
        </w:tc>
        <w:tc>
          <w:tcPr>
            <w:tcW w:w="3272"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بُعد وسيط.</w:t>
            </w:r>
          </w:p>
        </w:tc>
      </w:tr>
      <w:tr w:rsidR="008A3C62">
        <w:trPr>
          <w:jc w:val="center"/>
        </w:trPr>
        <w:tc>
          <w:tcPr>
            <w:tcW w:w="31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سهولة الاستخدام المتصورة</w:t>
            </w:r>
          </w:p>
        </w:tc>
        <w:tc>
          <w:tcPr>
            <w:tcW w:w="27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Perceived Ease of Use (PEOU)</w:t>
            </w:r>
          </w:p>
        </w:tc>
        <w:tc>
          <w:tcPr>
            <w:tcW w:w="3272"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بُعد وسيط.</w:t>
            </w:r>
          </w:p>
        </w:tc>
      </w:tr>
      <w:tr w:rsidR="008A3C62">
        <w:trPr>
          <w:jc w:val="center"/>
        </w:trPr>
        <w:tc>
          <w:tcPr>
            <w:tcW w:w="31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الإجهاد التقني</w:t>
            </w:r>
          </w:p>
        </w:tc>
        <w:tc>
          <w:tcPr>
            <w:tcW w:w="27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Technostress</w:t>
            </w:r>
          </w:p>
        </w:tc>
        <w:tc>
          <w:tcPr>
            <w:tcW w:w="3272"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متغير وسيط؛ لا يُستبدل بالضغط التقني.</w:t>
            </w:r>
          </w:p>
        </w:tc>
      </w:tr>
      <w:tr w:rsidR="008A3C62">
        <w:trPr>
          <w:jc w:val="center"/>
        </w:trPr>
        <w:tc>
          <w:tcPr>
            <w:tcW w:w="31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العبء التقني الزائد</w:t>
            </w:r>
          </w:p>
        </w:tc>
        <w:tc>
          <w:tcPr>
            <w:tcW w:w="27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Techno-overload</w:t>
            </w:r>
          </w:p>
        </w:tc>
        <w:tc>
          <w:tcPr>
            <w:tcW w:w="3272"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بُعد الإجهاد.</w:t>
            </w:r>
          </w:p>
        </w:tc>
      </w:tr>
      <w:tr w:rsidR="008A3C62">
        <w:trPr>
          <w:jc w:val="center"/>
        </w:trPr>
        <w:tc>
          <w:tcPr>
            <w:tcW w:w="31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التعقيد التقني</w:t>
            </w:r>
          </w:p>
        </w:tc>
        <w:tc>
          <w:tcPr>
            <w:tcW w:w="27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Techno-complexity</w:t>
            </w:r>
          </w:p>
        </w:tc>
        <w:tc>
          <w:tcPr>
            <w:tcW w:w="3272"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بُعد الإجهاد.</w:t>
            </w:r>
          </w:p>
        </w:tc>
      </w:tr>
      <w:tr w:rsidR="008A3C62">
        <w:trPr>
          <w:jc w:val="center"/>
        </w:trPr>
        <w:tc>
          <w:tcPr>
            <w:tcW w:w="31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عدم اليقين التقني</w:t>
            </w:r>
          </w:p>
        </w:tc>
        <w:tc>
          <w:tcPr>
            <w:tcW w:w="27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Techno-uncertainty</w:t>
            </w:r>
          </w:p>
        </w:tc>
        <w:tc>
          <w:tcPr>
            <w:tcW w:w="3272"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بُعد الإجهاد.</w:t>
            </w:r>
          </w:p>
        </w:tc>
      </w:tr>
      <w:tr w:rsidR="008A3C62">
        <w:trPr>
          <w:jc w:val="center"/>
        </w:trPr>
        <w:tc>
          <w:tcPr>
            <w:tcW w:w="31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الاقتحام التقني</w:t>
            </w:r>
          </w:p>
        </w:tc>
        <w:tc>
          <w:tcPr>
            <w:tcW w:w="27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Techno-invasion</w:t>
            </w:r>
          </w:p>
        </w:tc>
        <w:tc>
          <w:tcPr>
            <w:tcW w:w="3272"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بُعد الإجهاد.</w:t>
            </w:r>
          </w:p>
        </w:tc>
      </w:tr>
      <w:tr w:rsidR="008A3C62">
        <w:trPr>
          <w:jc w:val="center"/>
        </w:trPr>
        <w:tc>
          <w:tcPr>
            <w:tcW w:w="31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الرضا الوظيفي في بيئة العمل الرقمية</w:t>
            </w:r>
          </w:p>
        </w:tc>
        <w:tc>
          <w:tcPr>
            <w:tcW w:w="27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Job Satisfaction in the Digital Work Environment</w:t>
            </w:r>
          </w:p>
        </w:tc>
        <w:tc>
          <w:tcPr>
            <w:tcW w:w="3272"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البناء المقاس؛ يربط مرة واحدة بمصطلح رضا الموظفين في العنوان.</w:t>
            </w:r>
          </w:p>
        </w:tc>
      </w:tr>
      <w:tr w:rsidR="008A3C62">
        <w:trPr>
          <w:jc w:val="center"/>
        </w:trPr>
        <w:tc>
          <w:tcPr>
            <w:tcW w:w="31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نمذجة المعادلات البنائية بالحد الأدنى للمربعات الجزئية</w:t>
            </w:r>
          </w:p>
        </w:tc>
        <w:tc>
          <w:tcPr>
            <w:tcW w:w="27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PLS-SEM</w:t>
            </w:r>
          </w:p>
        </w:tc>
        <w:tc>
          <w:tcPr>
            <w:tcW w:w="3272"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الاختصار المعتمد بعد أول تعريف.</w:t>
            </w:r>
          </w:p>
        </w:tc>
      </w:tr>
      <w:tr w:rsidR="008A3C62">
        <w:trPr>
          <w:jc w:val="center"/>
        </w:trPr>
        <w:tc>
          <w:tcPr>
            <w:tcW w:w="31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نموذج القياس</w:t>
            </w:r>
          </w:p>
        </w:tc>
        <w:tc>
          <w:tcPr>
            <w:tcW w:w="27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Measurement Model</w:t>
            </w:r>
          </w:p>
        </w:tc>
        <w:tc>
          <w:tcPr>
            <w:tcW w:w="3272"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يُستخدم العربي بعد أول تعريف.</w:t>
            </w:r>
          </w:p>
        </w:tc>
      </w:tr>
      <w:tr w:rsidR="008A3C62">
        <w:trPr>
          <w:jc w:val="center"/>
        </w:trPr>
        <w:tc>
          <w:tcPr>
            <w:tcW w:w="31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النموذج البنائي</w:t>
            </w:r>
          </w:p>
        </w:tc>
        <w:tc>
          <w:tcPr>
            <w:tcW w:w="27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Structural Model</w:t>
            </w:r>
          </w:p>
        </w:tc>
        <w:tc>
          <w:tcPr>
            <w:tcW w:w="3272"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يُستخدم العربي بعد أول تعريف.</w:t>
            </w:r>
          </w:p>
        </w:tc>
      </w:tr>
      <w:tr w:rsidR="008A3C62">
        <w:trPr>
          <w:jc w:val="center"/>
        </w:trPr>
        <w:tc>
          <w:tcPr>
            <w:tcW w:w="31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إعادة المعاينة</w:t>
            </w:r>
          </w:p>
        </w:tc>
        <w:tc>
          <w:tcPr>
            <w:tcW w:w="27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Bootstrapping</w:t>
            </w:r>
          </w:p>
        </w:tc>
        <w:tc>
          <w:tcPr>
            <w:tcW w:w="3272"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يُثبت الإنجليزي عند أول ظهور ثم العربي/الاختصار السياقي.</w:t>
            </w:r>
          </w:p>
        </w:tc>
      </w:tr>
      <w:tr w:rsidR="008A3C62">
        <w:trPr>
          <w:jc w:val="center"/>
        </w:trPr>
        <w:tc>
          <w:tcPr>
            <w:tcW w:w="31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تحيز الطريقة المشتركة</w:t>
            </w:r>
          </w:p>
        </w:tc>
        <w:tc>
          <w:tcPr>
            <w:tcW w:w="27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Common Method Bias</w:t>
            </w:r>
          </w:p>
        </w:tc>
        <w:tc>
          <w:tcPr>
            <w:tcW w:w="3272"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مصطلح التحليل المعتمد.</w:t>
            </w:r>
          </w:p>
        </w:tc>
      </w:tr>
    </w:tbl>
    <w:p w:rsidR="008A3C62" w:rsidRDefault="00327AE4" w:rsidP="00327AE4">
      <w:pPr>
        <w:bidi/>
        <w:spacing w:before="80" w:after="160"/>
      </w:pPr>
      <w:r>
        <w:rPr>
          <w:rFonts w:eastAsia="Traditional Arabic"/>
          <w:color w:val="4F5B66"/>
          <w:sz w:val="21"/>
          <w:rtl/>
        </w:rPr>
        <w:t>المصدر: إعداد الباحث.</w:t>
      </w:r>
    </w:p>
    <w:p w:rsidR="008A3C62" w:rsidRDefault="00327AE4" w:rsidP="00327AE4">
      <w:pPr>
        <w:pStyle w:val="Heading1"/>
        <w:bidi/>
        <w:spacing w:before="280" w:after="140"/>
      </w:pPr>
      <w:r>
        <w:rPr>
          <w:rFonts w:ascii="Times New Roman" w:eastAsia="Traditional Arabic" w:hAnsi="Times New Roman" w:cs="Traditional Arabic"/>
          <w:rtl/>
        </w:rPr>
        <w:lastRenderedPageBreak/>
        <w:t>10. قائمة التدقيق النهائية وإغلاق الملاحظات</w:t>
      </w:r>
    </w:p>
    <w:p w:rsidR="008A3C62" w:rsidRDefault="00327AE4" w:rsidP="00327AE4">
      <w:pPr>
        <w:pStyle w:val="Caption"/>
        <w:keepNext/>
        <w:keepLines/>
        <w:bidi/>
        <w:spacing w:before="160" w:after="80" w:line="360" w:lineRule="auto"/>
        <w:rPr>
          <w:rFonts w:hint="eastAsia"/>
        </w:rPr>
      </w:pPr>
      <w:r>
        <w:rPr>
          <w:rFonts w:ascii="Times New Roman" w:eastAsia="Traditional Arabic" w:hAnsi="Times New Roman"/>
          <w:rtl/>
        </w:rPr>
        <w:t>قائمة الإغلاق النهائية</w:t>
      </w:r>
    </w:p>
    <w:tbl>
      <w:tblPr>
        <w:tblStyle w:val="TableGrid"/>
        <w:bidiVisual/>
        <w:tblW w:w="9072" w:type="dxa"/>
        <w:jc w:val="center"/>
        <w:tblLayout w:type="fixed"/>
        <w:tblLook w:val="04A0" w:firstRow="1" w:lastRow="0" w:firstColumn="1" w:lastColumn="0" w:noHBand="0" w:noVBand="1"/>
      </w:tblPr>
      <w:tblGrid>
        <w:gridCol w:w="6900"/>
        <w:gridCol w:w="2172"/>
      </w:tblGrid>
      <w:tr w:rsidR="008A3C62">
        <w:trPr>
          <w:tblHeader/>
          <w:jc w:val="center"/>
        </w:trPr>
        <w:tc>
          <w:tcPr>
            <w:tcW w:w="6900" w:type="dxa"/>
            <w:shd w:val="clear" w:color="auto" w:fill="D9E2F3"/>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b/>
                <w:color w:val="000000"/>
                <w:sz w:val="18"/>
                <w:rtl/>
              </w:rPr>
              <w:t>بند التدقيق</w:t>
            </w:r>
          </w:p>
        </w:tc>
        <w:tc>
          <w:tcPr>
            <w:tcW w:w="2172" w:type="dxa"/>
            <w:shd w:val="clear" w:color="auto" w:fill="D9E2F3"/>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b/>
                <w:color w:val="000000"/>
                <w:sz w:val="18"/>
                <w:rtl/>
              </w:rPr>
              <w:t>الحالة</w:t>
            </w:r>
          </w:p>
        </w:tc>
      </w:tr>
      <w:tr w:rsidR="008A3C62">
        <w:trPr>
          <w:jc w:val="center"/>
        </w:trPr>
        <w:tc>
          <w:tcPr>
            <w:tcW w:w="69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العنوان موحد حرفيًا في الغلاف والمتن والجداول.</w:t>
            </w:r>
          </w:p>
        </w:tc>
        <w:tc>
          <w:tcPr>
            <w:tcW w:w="2172"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مغلق</w:t>
            </w:r>
          </w:p>
        </w:tc>
      </w:tr>
      <w:tr w:rsidR="008A3C62">
        <w:trPr>
          <w:jc w:val="center"/>
        </w:trPr>
        <w:tc>
          <w:tcPr>
            <w:tcW w:w="69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الهيكل 3.0–3.9 محفوظ مع إضافات داخلية منطقية.</w:t>
            </w:r>
          </w:p>
        </w:tc>
        <w:tc>
          <w:tcPr>
            <w:tcW w:w="2172"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مغلق</w:t>
            </w:r>
          </w:p>
        </w:tc>
      </w:tr>
      <w:tr w:rsidR="008A3C62">
        <w:trPr>
          <w:jc w:val="center"/>
        </w:trPr>
        <w:tc>
          <w:tcPr>
            <w:tcW w:w="69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لغة التصميم المقطعي لا تدعي سببية قطعية.</w:t>
            </w:r>
          </w:p>
        </w:tc>
        <w:tc>
          <w:tcPr>
            <w:tcW w:w="2172"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مغلق</w:t>
            </w:r>
          </w:p>
        </w:tc>
      </w:tr>
      <w:tr w:rsidR="008A3C62">
        <w:trPr>
          <w:jc w:val="center"/>
        </w:trPr>
        <w:tc>
          <w:tcPr>
            <w:tcW w:w="69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H1a–H1d وH2a–H2c وH3a–H3f وH4 متسقة.</w:t>
            </w:r>
          </w:p>
        </w:tc>
        <w:tc>
          <w:tcPr>
            <w:tcW w:w="2172"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مغلق</w:t>
            </w:r>
          </w:p>
        </w:tc>
      </w:tr>
      <w:tr w:rsidR="008A3C62">
        <w:trPr>
          <w:jc w:val="center"/>
        </w:trPr>
        <w:tc>
          <w:tcPr>
            <w:tcW w:w="69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جدول الربط بين السؤال والفرضية والمسار والتحليل مدرج.</w:t>
            </w:r>
          </w:p>
        </w:tc>
        <w:tc>
          <w:tcPr>
            <w:tcW w:w="2172"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مغلق</w:t>
            </w:r>
          </w:p>
        </w:tc>
      </w:tr>
      <w:tr w:rsidR="008A3C62">
        <w:trPr>
          <w:jc w:val="center"/>
        </w:trPr>
        <w:tc>
          <w:tcPr>
            <w:tcW w:w="69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شكل النموذج المفاهيمي واتجاهات الأسهم مدرج.</w:t>
            </w:r>
          </w:p>
        </w:tc>
        <w:tc>
          <w:tcPr>
            <w:tcW w:w="2172"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مغلق</w:t>
            </w:r>
          </w:p>
        </w:tc>
      </w:tr>
      <w:tr w:rsidR="008A3C62">
        <w:trPr>
          <w:jc w:val="center"/>
        </w:trPr>
        <w:tc>
          <w:tcPr>
            <w:tcW w:w="69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وحدة التحليل وتعريف المستخدم الرئيس مثبتان.</w:t>
            </w:r>
          </w:p>
        </w:tc>
        <w:tc>
          <w:tcPr>
            <w:tcW w:w="2172"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مغلق</w:t>
            </w:r>
          </w:p>
        </w:tc>
      </w:tr>
      <w:tr w:rsidR="008A3C62">
        <w:trPr>
          <w:jc w:val="center"/>
        </w:trPr>
        <w:tc>
          <w:tcPr>
            <w:tcW w:w="69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الأعداد التقديرية لم تُعرض بوصفها حقائق رسمية.</w:t>
            </w:r>
          </w:p>
        </w:tc>
        <w:tc>
          <w:tcPr>
            <w:tcW w:w="2172"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مغلق</w:t>
            </w:r>
          </w:p>
        </w:tc>
      </w:tr>
      <w:tr w:rsidR="008A3C62">
        <w:trPr>
          <w:jc w:val="center"/>
        </w:trPr>
        <w:tc>
          <w:tcPr>
            <w:tcW w:w="69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إطار المعاينة والأعداد الرسمية.</w:t>
            </w:r>
          </w:p>
        </w:tc>
        <w:tc>
          <w:tcPr>
            <w:tcW w:w="2172"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مفتوح: بيان رسمي مطلوب</w:t>
            </w:r>
          </w:p>
        </w:tc>
      </w:tr>
      <w:tr w:rsidR="008A3C62">
        <w:trPr>
          <w:jc w:val="center"/>
        </w:trPr>
        <w:tc>
          <w:tcPr>
            <w:tcW w:w="69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معايير الإدراج والاستبعاد مدرجة.</w:t>
            </w:r>
          </w:p>
        </w:tc>
        <w:tc>
          <w:tcPr>
            <w:tcW w:w="2172"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مغلق</w:t>
            </w:r>
          </w:p>
        </w:tc>
      </w:tr>
      <w:tr w:rsidR="008A3C62">
        <w:trPr>
          <w:jc w:val="center"/>
        </w:trPr>
        <w:tc>
          <w:tcPr>
            <w:tcW w:w="69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السحب الطبقي العشوائي ومعادلته موضحان.</w:t>
            </w:r>
          </w:p>
        </w:tc>
        <w:tc>
          <w:tcPr>
            <w:tcW w:w="2172"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مغلق</w:t>
            </w:r>
          </w:p>
        </w:tc>
      </w:tr>
      <w:tr w:rsidR="008A3C62">
        <w:trPr>
          <w:jc w:val="center"/>
        </w:trPr>
        <w:tc>
          <w:tcPr>
            <w:tcW w:w="69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هدف 300 مدعوم بخطة قوة إحصائية.</w:t>
            </w:r>
          </w:p>
        </w:tc>
        <w:tc>
          <w:tcPr>
            <w:tcW w:w="2172"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مغلق منهجيًا؛ النتيجة مطلوبة</w:t>
            </w:r>
          </w:p>
        </w:tc>
      </w:tr>
      <w:tr w:rsidR="008A3C62">
        <w:trPr>
          <w:jc w:val="center"/>
        </w:trPr>
        <w:tc>
          <w:tcPr>
            <w:tcW w:w="69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49 فقرة مقياسية و7 أسئلة عامة مطابقة للاستبانة V2.</w:t>
            </w:r>
          </w:p>
        </w:tc>
        <w:tc>
          <w:tcPr>
            <w:tcW w:w="2172"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مغلق</w:t>
            </w:r>
          </w:p>
        </w:tc>
      </w:tr>
      <w:tr w:rsidR="008A3C62">
        <w:trPr>
          <w:jc w:val="center"/>
        </w:trPr>
        <w:tc>
          <w:tcPr>
            <w:tcW w:w="69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المصفوفة التشغيلية والمصادر والتكييف والترميز مدرجة.</w:t>
            </w:r>
          </w:p>
        </w:tc>
        <w:tc>
          <w:tcPr>
            <w:tcW w:w="2172"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مغلق مع مصادر مفتوحة</w:t>
            </w:r>
          </w:p>
        </w:tc>
      </w:tr>
      <w:tr w:rsidR="008A3C62">
        <w:trPr>
          <w:jc w:val="center"/>
        </w:trPr>
        <w:tc>
          <w:tcPr>
            <w:tcW w:w="69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مصدر مقياس التحوّل الرقمي والرضا النهائي.</w:t>
            </w:r>
          </w:p>
        </w:tc>
        <w:tc>
          <w:tcPr>
            <w:tcW w:w="2172"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مفتوح: اعتماد مطلوب</w:t>
            </w:r>
          </w:p>
        </w:tc>
      </w:tr>
      <w:tr w:rsidR="008A3C62">
        <w:trPr>
          <w:jc w:val="center"/>
        </w:trPr>
        <w:tc>
          <w:tcPr>
            <w:tcW w:w="69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جدول المحكمين ومصفوفة صدق المحتوى مدرجان.</w:t>
            </w:r>
          </w:p>
        </w:tc>
        <w:tc>
          <w:tcPr>
            <w:tcW w:w="2172"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مغلق شكليًا؛ البيانات والنتائج مطلوبة</w:t>
            </w:r>
          </w:p>
        </w:tc>
      </w:tr>
      <w:tr w:rsidR="008A3C62">
        <w:trPr>
          <w:jc w:val="center"/>
        </w:trPr>
        <w:tc>
          <w:tcPr>
            <w:tcW w:w="69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الترجمة والتكييف الثقافي موضحان دون ادعاء التنفيذ.</w:t>
            </w:r>
          </w:p>
        </w:tc>
        <w:tc>
          <w:tcPr>
            <w:tcW w:w="2172"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مغلق منهجيًا؛ التنفيذ مطلوب</w:t>
            </w:r>
          </w:p>
        </w:tc>
      </w:tr>
      <w:tr w:rsidR="008A3C62">
        <w:trPr>
          <w:jc w:val="center"/>
        </w:trPr>
        <w:tc>
          <w:tcPr>
            <w:tcW w:w="69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الدراسة الاستطلاعية وأهدافها واستبعاد أفرادها موضحة.</w:t>
            </w:r>
          </w:p>
        </w:tc>
        <w:tc>
          <w:tcPr>
            <w:tcW w:w="2172"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مغلق منهجيًا؛ الحجم والمدة مطلوبان</w:t>
            </w:r>
          </w:p>
        </w:tc>
      </w:tr>
      <w:tr w:rsidR="008A3C62">
        <w:trPr>
          <w:jc w:val="center"/>
        </w:trPr>
        <w:tc>
          <w:tcPr>
            <w:tcW w:w="69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خطة الوصول الميداني والتذكير ومنع التكرار مدرجة.</w:t>
            </w:r>
          </w:p>
        </w:tc>
        <w:tc>
          <w:tcPr>
            <w:tcW w:w="2172"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مغلق منهجيًا؛ التواريخ والقناة مطلوبة</w:t>
            </w:r>
          </w:p>
        </w:tc>
      </w:tr>
      <w:tr w:rsidR="008A3C62">
        <w:trPr>
          <w:jc w:val="center"/>
        </w:trPr>
        <w:tc>
          <w:tcPr>
            <w:tcW w:w="69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lastRenderedPageBreak/>
              <w:t>SPSS وSmartPLS ووظائفهما محددة.</w:t>
            </w:r>
          </w:p>
        </w:tc>
        <w:tc>
          <w:tcPr>
            <w:tcW w:w="2172"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مغلق؛ الإصدارات مطلوبة</w:t>
            </w:r>
          </w:p>
        </w:tc>
      </w:tr>
      <w:tr w:rsidR="008A3C62">
        <w:trPr>
          <w:jc w:val="center"/>
        </w:trPr>
        <w:tc>
          <w:tcPr>
            <w:tcW w:w="69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خطة تنظيف البيانات والقيم المفقودة والمتطرفة مدرجة.</w:t>
            </w:r>
          </w:p>
        </w:tc>
        <w:tc>
          <w:tcPr>
            <w:tcW w:w="2172"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مغلق؛ الحدود الرقمية مطلوبة</w:t>
            </w:r>
          </w:p>
        </w:tc>
      </w:tr>
      <w:tr w:rsidR="008A3C62">
        <w:trPr>
          <w:jc w:val="center"/>
        </w:trPr>
        <w:tc>
          <w:tcPr>
            <w:tcW w:w="69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الإجراءات الوقائية والإحصائية لتحيز الطريقة المشتركة مدرجة.</w:t>
            </w:r>
          </w:p>
        </w:tc>
        <w:tc>
          <w:tcPr>
            <w:tcW w:w="2172"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مغلق</w:t>
            </w:r>
          </w:p>
        </w:tc>
      </w:tr>
      <w:tr w:rsidR="008A3C62">
        <w:trPr>
          <w:jc w:val="center"/>
        </w:trPr>
        <w:tc>
          <w:tcPr>
            <w:tcW w:w="69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معايير نموذج القياس موثقة.</w:t>
            </w:r>
          </w:p>
        </w:tc>
        <w:tc>
          <w:tcPr>
            <w:tcW w:w="2172"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مغلق</w:t>
            </w:r>
          </w:p>
        </w:tc>
      </w:tr>
      <w:tr w:rsidR="008A3C62">
        <w:trPr>
          <w:jc w:val="center"/>
        </w:trPr>
        <w:tc>
          <w:tcPr>
            <w:tcW w:w="69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معايير النموذج البنائي موثقة.</w:t>
            </w:r>
          </w:p>
        </w:tc>
        <w:tc>
          <w:tcPr>
            <w:tcW w:w="2172"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مغلق</w:t>
            </w:r>
          </w:p>
        </w:tc>
      </w:tr>
      <w:tr w:rsidR="008A3C62">
        <w:trPr>
          <w:jc w:val="center"/>
        </w:trPr>
        <w:tc>
          <w:tcPr>
            <w:tcW w:w="69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Bootstrapping للآثار المباشرة وغير المباشرة والوساطة والاعتدال.</w:t>
            </w:r>
          </w:p>
        </w:tc>
        <w:tc>
          <w:tcPr>
            <w:tcW w:w="2172"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مغلق؛ عدد العينات مطلوب</w:t>
            </w:r>
          </w:p>
        </w:tc>
      </w:tr>
      <w:tr w:rsidR="008A3C62">
        <w:trPr>
          <w:jc w:val="center"/>
        </w:trPr>
        <w:tc>
          <w:tcPr>
            <w:tcW w:w="69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ضوابط الأخلاقيات والخصوصية والتخزين والاحتفاظ والحذف مدرجة.</w:t>
            </w:r>
          </w:p>
        </w:tc>
        <w:tc>
          <w:tcPr>
            <w:tcW w:w="2172"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مغلق منهجيًا؛ الموافقات والسياسة مطلوبة</w:t>
            </w:r>
          </w:p>
        </w:tc>
      </w:tr>
      <w:tr w:rsidR="008A3C62">
        <w:trPr>
          <w:jc w:val="center"/>
        </w:trPr>
        <w:tc>
          <w:tcPr>
            <w:tcW w:w="69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كل جدول وشكل مسبوق بإحالة ومتلو بجملة تفسيرية.</w:t>
            </w:r>
          </w:p>
        </w:tc>
        <w:tc>
          <w:tcPr>
            <w:tcW w:w="2172"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مغلق</w:t>
            </w:r>
          </w:p>
        </w:tc>
      </w:tr>
      <w:tr w:rsidR="008A3C62">
        <w:trPr>
          <w:jc w:val="center"/>
        </w:trPr>
        <w:tc>
          <w:tcPr>
            <w:tcW w:w="69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ترقيم الجداول والأشكال متسلسل.</w:t>
            </w:r>
          </w:p>
        </w:tc>
        <w:tc>
          <w:tcPr>
            <w:tcW w:w="2172"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مغلق</w:t>
            </w:r>
          </w:p>
        </w:tc>
      </w:tr>
      <w:tr w:rsidR="008A3C62">
        <w:trPr>
          <w:jc w:val="center"/>
        </w:trPr>
        <w:tc>
          <w:tcPr>
            <w:tcW w:w="69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مطابقة الإحالات وقائمة المراجع منفذة.</w:t>
            </w:r>
          </w:p>
        </w:tc>
        <w:tc>
          <w:tcPr>
            <w:tcW w:w="2172"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مغلق مع قرارات مصادر القياس</w:t>
            </w:r>
          </w:p>
        </w:tc>
      </w:tr>
      <w:tr w:rsidR="008A3C62">
        <w:trPr>
          <w:jc w:val="center"/>
        </w:trPr>
        <w:tc>
          <w:tcPr>
            <w:tcW w:w="6900"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لا توجد نتائج فعلية أو معاملات مختلقة.</w:t>
            </w:r>
          </w:p>
        </w:tc>
        <w:tc>
          <w:tcPr>
            <w:tcW w:w="2172" w:type="dxa"/>
            <w:shd w:val="clear" w:color="auto" w:fill="F7F9FB"/>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مغلق</w:t>
            </w:r>
          </w:p>
        </w:tc>
      </w:tr>
      <w:tr w:rsidR="008A3C62">
        <w:trPr>
          <w:jc w:val="center"/>
        </w:trPr>
        <w:tc>
          <w:tcPr>
            <w:tcW w:w="6900"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الخانات المفتوحة مجمعة بوضوح قبل التطبيق.</w:t>
            </w:r>
          </w:p>
        </w:tc>
        <w:tc>
          <w:tcPr>
            <w:tcW w:w="2172" w:type="dxa"/>
            <w:tcMar>
              <w:top w:w="90" w:type="dxa"/>
              <w:left w:w="120" w:type="dxa"/>
              <w:bottom w:w="90" w:type="dxa"/>
              <w:right w:w="120" w:type="dxa"/>
            </w:tcMar>
            <w:vAlign w:val="center"/>
          </w:tcPr>
          <w:p w:rsidR="008A3C62" w:rsidRDefault="00327AE4" w:rsidP="00327AE4">
            <w:pPr>
              <w:bidi/>
              <w:spacing w:after="0" w:line="276" w:lineRule="auto"/>
            </w:pPr>
            <w:r>
              <w:rPr>
                <w:rFonts w:eastAsia="Traditional Arabic"/>
                <w:color w:val="000000"/>
                <w:sz w:val="18"/>
                <w:rtl/>
              </w:rPr>
              <w:t>مغلق</w:t>
            </w:r>
          </w:p>
        </w:tc>
      </w:tr>
    </w:tbl>
    <w:p w:rsidR="008A3C62" w:rsidRDefault="00327AE4" w:rsidP="00327AE4">
      <w:pPr>
        <w:bidi/>
        <w:spacing w:before="80" w:after="160"/>
      </w:pPr>
      <w:r>
        <w:rPr>
          <w:rFonts w:eastAsia="Traditional Arabic"/>
          <w:color w:val="4F5B66"/>
          <w:sz w:val="21"/>
          <w:rtl/>
        </w:rPr>
        <w:t>المصدر: إعداد الباحث.</w:t>
      </w:r>
    </w:p>
    <w:p w:rsidR="008A3C62" w:rsidRDefault="00327AE4" w:rsidP="00327AE4">
      <w:pPr>
        <w:bidi/>
        <w:spacing w:before="160" w:after="80"/>
      </w:pPr>
      <w:r>
        <w:rPr>
          <w:rFonts w:eastAsia="Traditional Arabic"/>
          <w:b/>
          <w:color w:val="000000"/>
          <w:rtl/>
        </w:rPr>
        <w:t>النتيجة النهائية: أُغلقت جميع ملاحظات المشرف التي يمكن تنفيذها نصيًا ومنهجيًا داخل الفصل. أما البنود التي تعتمد على بيانات أو موافقات أو قرارات لم تصدر، فقد حُولت إلى خانات صريحة ومتطلبات ما قبل الجمع، ولم تُستكمل افتراضيًا حفاظًا على النزاهة الأكاديمية.</w:t>
      </w:r>
    </w:p>
    <w:sectPr w:rsidR="008A3C62" w:rsidSect="00034616">
      <w:pgSz w:w="11906" w:h="16838"/>
      <w:pgMar w:top="1417" w:right="1417" w:bottom="1417" w:left="1417" w:header="709" w:footer="70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30405" w:rsidRDefault="00730405">
      <w:pPr>
        <w:spacing w:after="0" w:line="240" w:lineRule="auto"/>
      </w:pPr>
      <w:r>
        <w:separator/>
      </w:r>
    </w:p>
  </w:endnote>
  <w:endnote w:type="continuationSeparator" w:id="0">
    <w:p w:rsidR="00730405" w:rsidRDefault="007304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7AE4" w:rsidRDefault="00327AE4">
    <w:pPr>
      <w:pStyle w:val="Footer"/>
      <w:jc w:val="center"/>
    </w:pPr>
    <w:r>
      <w:rPr>
        <w:rFonts w:eastAsia="Times New Roman" w:cs="Times New Roman"/>
        <w:color w:val="4F5B66"/>
        <w:sz w:val="20"/>
      </w:rPr>
      <w:fldChar w:fldCharType="begin"/>
    </w:r>
    <w:r>
      <w:rPr>
        <w:rFonts w:eastAsia="Times New Roman" w:cs="Times New Roman"/>
        <w:color w:val="4F5B66"/>
        <w:sz w:val="20"/>
      </w:rPr>
      <w:instrText xml:space="preserve"> PAGE </w:instrText>
    </w:r>
    <w:r>
      <w:rPr>
        <w:rFonts w:eastAsia="Times New Roman" w:cs="Times New Roman"/>
        <w:color w:val="4F5B66"/>
        <w:sz w:val="20"/>
      </w:rPr>
      <w:fldChar w:fldCharType="separate"/>
    </w:r>
    <w:r>
      <w:rPr>
        <w:rFonts w:eastAsia="Times New Roman" w:cs="Times New Roman"/>
        <w:noProof/>
        <w:color w:val="4F5B66"/>
        <w:sz w:val="20"/>
      </w:rPr>
      <w:t>2</w:t>
    </w:r>
    <w:r>
      <w:rPr>
        <w:rFonts w:eastAsia="Times New Roman" w:cs="Times New Roman"/>
        <w:color w:val="4F5B66"/>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30405" w:rsidRDefault="00730405">
      <w:pPr>
        <w:spacing w:after="0" w:line="240" w:lineRule="auto"/>
      </w:pPr>
      <w:r>
        <w:separator/>
      </w:r>
    </w:p>
  </w:footnote>
  <w:footnote w:type="continuationSeparator" w:id="0">
    <w:p w:rsidR="00730405" w:rsidRDefault="007304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7AE4" w:rsidRDefault="00327AE4" w:rsidP="00327AE4">
    <w:pPr>
      <w:pStyle w:val="Header"/>
      <w:bidi/>
    </w:pPr>
    <w:r>
      <w:rPr>
        <w:rFonts w:eastAsia="Traditional Arabic"/>
        <w:b/>
        <w:color w:val="4F5B66"/>
        <w:sz w:val="20"/>
        <w:rtl/>
      </w:rPr>
      <w:t>الفصل الثالث: الطريقة والإجراءات</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6A3B3979"/>
    <w:multiLevelType w:val="hybridMultilevel"/>
    <w:tmpl w:val="417461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327AE4"/>
    <w:rsid w:val="006A7209"/>
    <w:rsid w:val="00730405"/>
    <w:rsid w:val="008A3C62"/>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A79F982"/>
  <w14:defaultImageDpi w14:val="300"/>
  <w15:docId w15:val="{B299B4DE-6CEA-421E-B3BE-B9177F7F5A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693F"/>
    <w:pPr>
      <w:spacing w:after="120" w:line="360" w:lineRule="auto"/>
    </w:pPr>
    <w:rPr>
      <w:rFonts w:ascii="Times New Roman" w:hAnsi="Times New Roman" w:cs="Traditional Arabic"/>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000000"/>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000000"/>
      <w:sz w:val="28"/>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000000"/>
      <w:sz w:val="28"/>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rFonts w:ascii="Traditional Arabic" w:hAnsi="Traditional Arabic"/>
      <w:b/>
      <w:bCs/>
      <w:color w:val="000000"/>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7BE785-E369-4D10-8040-E327B0F117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8312</Words>
  <Characters>47380</Characters>
  <Application>Microsoft Office Word</Application>
  <DocSecurity>0</DocSecurity>
  <Lines>394</Lines>
  <Paragraphs>111</Paragraphs>
  <ScaleCrop>false</ScaleCrop>
  <HeadingPairs>
    <vt:vector size="2" baseType="variant">
      <vt:variant>
        <vt:lpstr>Title</vt:lpstr>
      </vt:variant>
      <vt:variant>
        <vt:i4>1</vt:i4>
      </vt:variant>
    </vt:vector>
  </HeadingPairs>
  <TitlesOfParts>
    <vt:vector size="1" baseType="lpstr">
      <vt:lpstr>الفصل الثالث المعدل - أثر التحوّل الرقمي المؤسسي على رضا الموظفين في مؤسسات المملكة العربية السعودية: وزارة الموارد البشرية والتنمية الاجتماعية أنموذجًا</vt:lpstr>
    </vt:vector>
  </TitlesOfParts>
  <Manager/>
  <Company/>
  <LinksUpToDate>false</LinksUpToDate>
  <CharactersWithSpaces>55581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الفصل الثالث المعدل - أثر التحوّل الرقمي المؤسسي على رضا الموظفين في مؤسسات المملكة العربية السعودية: وزارة الموارد البشرية والتنمية الاجتماعية أنموذجًا</dc:title>
  <dc:subject>منهجية الدراسة وإجراءاتها</dc:subject>
  <dc:creator>سعود عبدالعزيز عبدالله آل حمد</dc:creator>
  <cp:keywords>رسالة دكتوراه، PLS-SEM، التحول الرقمي المؤسسي، الرضا الوظيفي</cp:keywords>
  <dc:description>generated by python-docx</dc:description>
  <cp:lastModifiedBy>Saud A. Alhamad</cp:lastModifiedBy>
  <cp:revision>2</cp:revision>
  <dcterms:created xsi:type="dcterms:W3CDTF">2026-07-23T12:27:00Z</dcterms:created>
  <dcterms:modified xsi:type="dcterms:W3CDTF">2026-07-23T12:27:00Z</dcterms:modified>
  <cp:category/>
</cp:coreProperties>
</file>