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Arial" w:cs="Arial" w:eastAsia="Arial" w:hAnsi="Arial"/>
          <w:b/>
          <w:bCs/>
          <w:color w:val="999999"/>
          <w:sz w:val="22"/>
          <w:szCs w:val="22"/>
          <w:rtl/>
        </w:rPr>
        <w:t xml:space="preserve">Lecture 10 — التمرين التطبيقي</w:t>
      </w:r>
    </w:p>
    <w:p>
      <w:pPr>
        <w:spacing w:after="100" w:before="100"/>
        <w:jc w:val="center"/>
      </w:pPr>
      <w:r>
        <w:rPr>
          <w:rFonts w:ascii="Arial" w:cs="Arial" w:eastAsia="Arial" w:hAnsi="Arial"/>
          <w:b/>
          <w:bCs/>
          <w:color w:val="7A5230"/>
          <w:sz w:val="40"/>
          <w:szCs w:val="40"/>
          <w:rtl/>
        </w:rPr>
        <w:t xml:space="preserve">حل التمرينين التطبيقيين</w:t>
      </w:r>
    </w:p>
    <w:p>
      <w:pPr>
        <w:spacing w:after="400"/>
        <w:jc w:val="center"/>
      </w:pPr>
      <w:r>
        <w:rPr>
          <w:rFonts w:ascii="Arial" w:cs="Arial" w:eastAsia="Arial" w:hAnsi="Arial"/>
          <w:b/>
          <w:bCs/>
          <w:color w:val="A97A2F"/>
          <w:sz w:val="24"/>
          <w:szCs w:val="24"/>
          <w:rtl/>
        </w:rPr>
        <w:t xml:space="preserve">المحور التسويقي (جيل ألفا) والمحور الإعلامي (جيل Z)</w:t>
      </w:r>
    </w:p>
    <w:p>
      <w:pPr>
        <w:pBdr>
          <w:bottom w:val="single" w:color="CFCFCF" w:sz="6" w:space="1"/>
        </w:pBdr>
        <w:spacing w:after="200" w:before="200"/>
      </w:pPr>
    </w:p>
    <w:p>
      <w:pPr>
        <w:pStyle w:val="Heading1"/>
        <w:pBdr>
          <w:bottom w:val="single" w:color="7A5230" w:sz="12" w:space="4"/>
        </w:pBdr>
        <w:bidi/>
        <w:spacing w:after="200" w:before="300"/>
        <w:jc w:val="right"/>
      </w:pPr>
      <w:r>
        <w:rPr>
          <w:rFonts w:ascii="Arial" w:cs="Arial" w:eastAsia="Arial" w:hAnsi="Arial"/>
          <w:b/>
          <w:bCs/>
          <w:color w:val="7A5230"/>
          <w:sz w:val="32"/>
          <w:szCs w:val="32"/>
          <w:rtl/>
        </w:rPr>
        <w:t xml:space="preserve">أولًا: المحور التسويقي (جيل ألفا) — إعلان / تجربة تعليمية بالواقع المعزز</w:t>
      </w:r>
    </w:p>
    <w:p>
      <w:pPr>
        <w:pStyle w:val="Heading2"/>
        <w:bidi/>
        <w:spacing w:after="140" w:before="260"/>
        <w:jc w:val="right"/>
      </w:pPr>
      <w:r>
        <w:rPr>
          <w:rFonts w:ascii="Arial" w:cs="Arial" w:eastAsia="Arial" w:hAnsi="Arial"/>
          <w:b/>
          <w:bCs/>
          <w:color w:val="A97A2F"/>
          <w:sz w:val="26"/>
          <w:szCs w:val="26"/>
          <w:rtl/>
        </w:rPr>
        <w:t xml:space="preserve">المنتج / الخدمة</w:t>
      </w:r>
    </w:p>
    <w:p>
      <w:pPr>
        <w:bidi/>
        <w:spacing w:after="120" w:line="300"/>
        <w:jc w:val="right"/>
      </w:pPr>
      <w:r>
        <w:rPr>
          <w:rFonts w:ascii="Arial" w:cs="Arial" w:eastAsia="Arial" w:hAnsi="Arial"/>
          <w:sz w:val="22"/>
          <w:szCs w:val="22"/>
          <w:rtl/>
        </w:rPr>
        <w:t xml:space="preserve">لعبة تعليمية STEM بواجهة عربية بالكامل، مصممة خصيصًا للأطفال بين 8 و12 عامًا، تدمج تقنية الواقع المعزز (AR) لتحويل المفاهيم العلمية والرياضية والهندسية المجردة إلى تجارب تفاعلية ثلاثية الأبعاد يعيشها الطفل داخل غرفته أو صفه الدراسي.</w:t>
      </w:r>
    </w:p>
    <w:p>
      <w:pPr>
        <w:pStyle w:val="Heading2"/>
        <w:bidi/>
        <w:spacing w:after="140" w:before="260"/>
        <w:jc w:val="right"/>
      </w:pPr>
      <w:r>
        <w:rPr>
          <w:rFonts w:ascii="Arial" w:cs="Arial" w:eastAsia="Arial" w:hAnsi="Arial"/>
          <w:b/>
          <w:bCs/>
          <w:color w:val="A97A2F"/>
          <w:sz w:val="26"/>
          <w:szCs w:val="26"/>
          <w:rtl/>
        </w:rPr>
        <w:t xml:space="preserve">تحديد Buyer Persona (تحديد مزدوج)</w:t>
      </w:r>
    </w:p>
    <w:p>
      <w:pPr>
        <w:bidi/>
        <w:spacing w:after="120" w:line="300"/>
        <w:jc w:val="right"/>
      </w:pPr>
      <w:r>
        <w:rPr>
          <w:rFonts w:ascii="Arial" w:cs="Arial" w:eastAsia="Arial" w:hAnsi="Arial"/>
          <w:b/>
          <w:bCs/>
          <w:sz w:val="22"/>
          <w:szCs w:val="22"/>
          <w:rtl/>
        </w:rPr>
        <w:t xml:space="preserve">نظرًا لطبيعة المنتج الموجّه للأطفال، تُبنى الشخصية الشرائية على مستويين: الطفل (المستخدم الفعلي) والوالد/ولي الأمر (متخذ قرار الشراء)، إضافة إلى المعلم كصانع قرار مؤسسي محتمل.</w:t>
      </w:r>
    </w:p>
    <w:p>
      <w:pPr>
        <w:bidi/>
        <w:spacing w:after="80" w:before="100"/>
        <w:jc w:val="right"/>
      </w:pPr>
      <w:r>
        <w:rPr>
          <w:rFonts w:ascii="Arial" w:cs="Arial" w:eastAsia="Arial" w:hAnsi="Arial"/>
          <w:b/>
          <w:bCs/>
          <w:color w:val="7A5230"/>
          <w:sz w:val="23"/>
          <w:szCs w:val="23"/>
          <w:rtl/>
        </w:rPr>
        <w:t xml:space="preserve">الشخصية الأولى: الطفل المستخدم ("جيل ألفا")</w:t>
      </w:r>
    </w:p>
    <w:tbl>
      <w:tblPr>
        <w:tblW w:type="dxa" w:w="9350"/>
        <w:tblBorders>
          <w:top w:val="single" w:color="auto" w:sz="4"/>
          <w:left w:val="single" w:color="auto" w:sz="4"/>
          <w:bottom w:val="single" w:color="auto" w:sz="4"/>
          <w:right w:val="single" w:color="auto" w:sz="4"/>
          <w:insideH w:val="single" w:color="auto" w:sz="4"/>
          <w:insideV w:val="single" w:color="auto" w:sz="4"/>
        </w:tblBorders>
      </w:tblPr>
      <w:tblGrid>
        <w:gridCol w:w="2800"/>
        <w:gridCol w:w="6550"/>
      </w:tblGrid>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8 – 12 سنة</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العمر</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نشأ محاطًا بالشاشات التفاعلية والأجهزة اللوحية؛ يتوقع تجربة سريعة، بصرية، وتفاعلية بلا ملل</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السلوك الرقمي</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الفضول، حب الاستكشاف، الرغبة في اللعب والتحدي والمكافأة الفورية (Gamification)</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الدافع</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الملل من طرق التعليم التقليدية القائمة على الحفظ والتلقين</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نقطة الألم</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شخصيات كرتونية، ألوان زاهية، عناصر ثلاثية الأبعاد تتحرك أمامه، إنجازات ونقاط وشارات</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ما يجذبه</w:t>
            </w:r>
          </w:p>
        </w:tc>
      </w:tr>
    </w:tbl>
    <w:p>
      <w:pPr>
        <w:bidi/>
        <w:spacing w:after="80" w:before="200"/>
        <w:jc w:val="right"/>
      </w:pPr>
      <w:r>
        <w:rPr>
          <w:rFonts w:ascii="Arial" w:cs="Arial" w:eastAsia="Arial" w:hAnsi="Arial"/>
          <w:b/>
          <w:bCs/>
          <w:color w:val="7A5230"/>
          <w:sz w:val="23"/>
          <w:szCs w:val="23"/>
          <w:rtl/>
        </w:rPr>
        <w:t xml:space="preserve">الشخصية الثانية: ولي الأمر (متخذ القرار)</w:t>
      </w:r>
    </w:p>
    <w:tbl>
      <w:tblPr>
        <w:tblW w:type="dxa" w:w="9350"/>
        <w:tblBorders>
          <w:top w:val="single" w:color="auto" w:sz="4"/>
          <w:left w:val="single" w:color="auto" w:sz="4"/>
          <w:bottom w:val="single" w:color="auto" w:sz="4"/>
          <w:right w:val="single" w:color="auto" w:sz="4"/>
          <w:insideH w:val="single" w:color="auto" w:sz="4"/>
          <w:insideV w:val="single" w:color="auto" w:sz="4"/>
        </w:tblBorders>
      </w:tblPr>
      <w:tblGrid>
        <w:gridCol w:w="2800"/>
        <w:gridCol w:w="6550"/>
      </w:tblGrid>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30 – 45 سنة، أب أو أم مهتم بالتطور الدراسي لأبنائه</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العمر</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البحث عن أدوات تعليمية "مفيدة" تبرر وقت الشاشة، وتنمّي مهارات المستقبل (STEM)</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الدافع</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القلق من إدمان الأبناء للشاشات دون فائدة تعليمية حقيقية، وندرة المحتوى العربي الجيد في هذا المجال</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نقطة الألم</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الأمان الرقمي للمنتج، وجود تقييمات وتجربة مجانية، السعر مقابل القيمة التعليمية، دعم اللغة العربية</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معايير الشراء</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توصيات من مدارس ومعلمين، مراجعات أولياء أمور آخرين، إعلانات مستهدفة على مواقع التواصل</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أين يتخذ القرار</w:t>
            </w:r>
          </w:p>
        </w:tc>
      </w:tr>
    </w:tbl>
    <w:p>
      <w:pPr>
        <w:pStyle w:val="Heading2"/>
        <w:bidi/>
        <w:spacing w:after="140" w:before="260"/>
        <w:jc w:val="right"/>
      </w:pPr>
      <w:r>
        <w:rPr>
          <w:rFonts w:ascii="Arial" w:cs="Arial" w:eastAsia="Arial" w:hAnsi="Arial"/>
          <w:b/>
          <w:bCs/>
          <w:color w:val="A97A2F"/>
          <w:sz w:val="26"/>
          <w:szCs w:val="26"/>
          <w:rtl/>
        </w:rPr>
        <w:t xml:space="preserve">القيمة المقترحة (Value Proposition)</w:t>
      </w:r>
    </w:p>
    <w:p>
      <w:pPr>
        <w:pStyle w:val="ListParagraph"/>
        <w:numPr>
          <w:ilvl w:val="0"/>
          <w:numId w:val="2"/>
        </w:numPr>
        <w:bidi/>
        <w:spacing w:after="90" w:line="300"/>
        <w:jc w:val="right"/>
      </w:pPr>
      <w:r>
        <w:rPr>
          <w:rFonts w:ascii="Arial" w:cs="Arial" w:eastAsia="Arial" w:hAnsi="Arial"/>
          <w:sz w:val="22"/>
          <w:szCs w:val="22"/>
          <w:rtl/>
        </w:rPr>
        <w:t xml:space="preserve">تحويل التعليم من التلقين إلى الاكتشاف: الطفل "يرى" المفهوم العلمي أمامه بدلًا من قراءته فقط.</w:t>
      </w:r>
    </w:p>
    <w:p>
      <w:pPr>
        <w:pStyle w:val="ListParagraph"/>
        <w:numPr>
          <w:ilvl w:val="0"/>
          <w:numId w:val="2"/>
        </w:numPr>
        <w:bidi/>
        <w:spacing w:after="90" w:line="300"/>
        <w:jc w:val="right"/>
      </w:pPr>
      <w:r>
        <w:rPr>
          <w:rFonts w:ascii="Arial" w:cs="Arial" w:eastAsia="Arial" w:hAnsi="Arial"/>
          <w:sz w:val="22"/>
          <w:szCs w:val="22"/>
          <w:rtl/>
        </w:rPr>
        <w:t xml:space="preserve">أول تجربة STEM عربية متكاملة بواجهة مصممة لثقافة ولغة الطفل العربي، وليست ترجمة لمنتج أجنبي.</w:t>
      </w:r>
    </w:p>
    <w:p>
      <w:pPr>
        <w:pStyle w:val="ListParagraph"/>
        <w:numPr>
          <w:ilvl w:val="0"/>
          <w:numId w:val="2"/>
        </w:numPr>
        <w:bidi/>
        <w:spacing w:after="90" w:line="300"/>
        <w:jc w:val="right"/>
      </w:pPr>
      <w:r>
        <w:rPr>
          <w:rFonts w:ascii="Arial" w:cs="Arial" w:eastAsia="Arial" w:hAnsi="Arial"/>
          <w:sz w:val="22"/>
          <w:szCs w:val="22"/>
          <w:rtl/>
        </w:rPr>
        <w:t xml:space="preserve">توازن بين المتعة والتعلم الفعلي (Edutainment)، بما يريح ولي الأمر تجاه وقت الشاشة.</w:t>
      </w:r>
    </w:p>
    <w:p>
      <w:pPr>
        <w:pStyle w:val="ListParagraph"/>
        <w:numPr>
          <w:ilvl w:val="0"/>
          <w:numId w:val="2"/>
        </w:numPr>
        <w:bidi/>
        <w:spacing w:after="90" w:line="300"/>
        <w:jc w:val="right"/>
      </w:pPr>
      <w:r>
        <w:rPr>
          <w:rFonts w:ascii="Arial" w:cs="Arial" w:eastAsia="Arial" w:hAnsi="Arial"/>
          <w:sz w:val="22"/>
          <w:szCs w:val="22"/>
          <w:rtl/>
        </w:rPr>
        <w:t xml:space="preserve">قابلية القياس: تقارير تقدّم دورية لولي الأمر والمعلم توضّح المهارات المكتسبة.</w:t>
      </w:r>
    </w:p>
    <w:p>
      <w:pPr>
        <w:pStyle w:val="Heading2"/>
        <w:bidi/>
        <w:spacing w:after="140" w:before="260"/>
        <w:jc w:val="right"/>
      </w:pPr>
      <w:r>
        <w:rPr>
          <w:rFonts w:ascii="Arial" w:cs="Arial" w:eastAsia="Arial" w:hAnsi="Arial"/>
          <w:b/>
          <w:bCs/>
          <w:color w:val="A97A2F"/>
          <w:sz w:val="26"/>
          <w:szCs w:val="26"/>
          <w:rtl/>
        </w:rPr>
        <w:t xml:space="preserve">القصة الإعلانية (Ad Story)</w:t>
      </w:r>
    </w:p>
    <w:p>
      <w:pPr>
        <w:bidi/>
        <w:spacing w:after="120" w:line="300"/>
        <w:jc w:val="right"/>
      </w:pPr>
      <w:r>
        <w:rPr>
          <w:rFonts w:ascii="Arial" w:cs="Arial" w:eastAsia="Arial" w:hAnsi="Arial"/>
          <w:sz w:val="22"/>
          <w:szCs w:val="22"/>
          <w:rtl/>
        </w:rPr>
        <w:t xml:space="preserve">الفكرة: "من الكتاب إلى الفضاء" — طفل يفتح كتابه المدرسي فيجد شرحًا جافًا عن كواكب المجموعة الشمسية، يشعر بالملل، يفتح تطبيق اللعبة بهاتف والده، يوجّه الكاميرا نحو طاولته، فتنبثق أمامه مجسمات الكواكب تدور في الهواء ثلاثية الأبعاد وهو يتفاعل معها بيده ويجيب عن أسئلة تظهر بصريًا. تنتهي اللقطة بابتسامة الطفل وتعليق الأب: "أخيرًا شيء يحبه ويتعلم منه فعلًا".</w:t>
      </w:r>
    </w:p>
    <w:p>
      <w:pPr>
        <w:pStyle w:val="ListParagraph"/>
        <w:numPr>
          <w:ilvl w:val="0"/>
          <w:numId w:val="2"/>
        </w:numPr>
        <w:bidi/>
        <w:spacing w:after="90" w:line="300"/>
        <w:jc w:val="right"/>
      </w:pPr>
      <w:r>
        <w:rPr>
          <w:rFonts w:ascii="Arial" w:cs="Arial" w:eastAsia="Arial" w:hAnsi="Arial"/>
          <w:sz w:val="22"/>
          <w:szCs w:val="22"/>
          <w:rtl/>
        </w:rPr>
        <w:t xml:space="preserve">البنية السردية: مشكلة (الملل من التعليم التقليدي) ← حل (تجربة AR تفاعلية) ← نتيجة عاطفية (فرح الطفل + رضا الوالد).</w:t>
      </w:r>
    </w:p>
    <w:p>
      <w:pPr>
        <w:pStyle w:val="ListParagraph"/>
        <w:numPr>
          <w:ilvl w:val="0"/>
          <w:numId w:val="2"/>
        </w:numPr>
        <w:bidi/>
        <w:spacing w:after="90" w:line="300"/>
        <w:jc w:val="right"/>
      </w:pPr>
      <w:r>
        <w:rPr>
          <w:rFonts w:ascii="Arial" w:cs="Arial" w:eastAsia="Arial" w:hAnsi="Arial"/>
          <w:sz w:val="22"/>
          <w:szCs w:val="22"/>
          <w:rtl/>
        </w:rPr>
        <w:t xml:space="preserve">العبارة الختامية (CTA): "حمّل التجربة المجانية الآن، ودع طفلك يتعلم وهو يلعب".</w:t>
      </w:r>
    </w:p>
    <w:p>
      <w:pPr>
        <w:pStyle w:val="Heading2"/>
        <w:bidi/>
        <w:spacing w:after="140" w:before="260"/>
        <w:jc w:val="right"/>
      </w:pPr>
      <w:r>
        <w:rPr>
          <w:rFonts w:ascii="Arial" w:cs="Arial" w:eastAsia="Arial" w:hAnsi="Arial"/>
          <w:b/>
          <w:bCs/>
          <w:color w:val="A97A2F"/>
          <w:sz w:val="26"/>
          <w:szCs w:val="26"/>
          <w:rtl/>
        </w:rPr>
        <w:t xml:space="preserve">تحديد القنوات والمنصات للنشر</w:t>
      </w:r>
    </w:p>
    <w:p>
      <w:pPr>
        <w:pStyle w:val="ListParagraph"/>
        <w:numPr>
          <w:ilvl w:val="0"/>
          <w:numId w:val="2"/>
        </w:numPr>
        <w:bidi/>
        <w:spacing w:after="90" w:line="300"/>
        <w:jc w:val="right"/>
      </w:pPr>
      <w:r>
        <w:rPr>
          <w:rFonts w:ascii="Arial" w:cs="Arial" w:eastAsia="Arial" w:hAnsi="Arial"/>
          <w:sz w:val="22"/>
          <w:szCs w:val="22"/>
          <w:rtl/>
        </w:rPr>
        <w:t xml:space="preserve">يوتيوب وسناب شات: إعلانات فيديو قصيرة (15–30 ثانية) تستهدف الآباء والأمهات مباشرة.</w:t>
      </w:r>
    </w:p>
    <w:p>
      <w:pPr>
        <w:pStyle w:val="ListParagraph"/>
        <w:numPr>
          <w:ilvl w:val="0"/>
          <w:numId w:val="2"/>
        </w:numPr>
        <w:bidi/>
        <w:spacing w:after="90" w:line="300"/>
        <w:jc w:val="right"/>
      </w:pPr>
      <w:r>
        <w:rPr>
          <w:rFonts w:ascii="Arial" w:cs="Arial" w:eastAsia="Arial" w:hAnsi="Arial"/>
          <w:sz w:val="22"/>
          <w:szCs w:val="22"/>
          <w:rtl/>
        </w:rPr>
        <w:t xml:space="preserve">إنستغرام وتيك توك: مقاطع تفاعلية قصيرة تُظهر تجربة الطفل الفعلية مع اللعبة (UGC).</w:t>
      </w:r>
    </w:p>
    <w:p>
      <w:pPr>
        <w:pStyle w:val="ListParagraph"/>
        <w:numPr>
          <w:ilvl w:val="0"/>
          <w:numId w:val="2"/>
        </w:numPr>
        <w:bidi/>
        <w:spacing w:after="90" w:line="300"/>
        <w:jc w:val="right"/>
      </w:pPr>
      <w:r>
        <w:rPr>
          <w:rFonts w:ascii="Arial" w:cs="Arial" w:eastAsia="Arial" w:hAnsi="Arial"/>
          <w:sz w:val="22"/>
          <w:szCs w:val="22"/>
          <w:rtl/>
        </w:rPr>
        <w:t xml:space="preserve">شراكات مع المدارس ومعلمي العلوم عبر تطبيقات مثل مدرستي ومنصات التعليم الإلكتروني.</w:t>
      </w:r>
    </w:p>
    <w:p>
      <w:pPr>
        <w:pStyle w:val="ListParagraph"/>
        <w:numPr>
          <w:ilvl w:val="0"/>
          <w:numId w:val="2"/>
        </w:numPr>
        <w:bidi/>
        <w:spacing w:after="90" w:line="300"/>
        <w:jc w:val="right"/>
      </w:pPr>
      <w:r>
        <w:rPr>
          <w:rFonts w:ascii="Arial" w:cs="Arial" w:eastAsia="Arial" w:hAnsi="Arial"/>
          <w:sz w:val="22"/>
          <w:szCs w:val="22"/>
          <w:rtl/>
        </w:rPr>
        <w:t xml:space="preserve">معارض ومؤتمرات تعليمية وتقنية (مثل معرض الكتاب، مؤتمرات EdTech الإقليمية) لعرض المنتج مباشرة للأهالي والمدارس.</w:t>
      </w:r>
    </w:p>
    <w:p>
      <w:pPr>
        <w:pStyle w:val="Heading2"/>
        <w:bidi/>
        <w:spacing w:after="140" w:before="260"/>
        <w:jc w:val="right"/>
      </w:pPr>
      <w:r>
        <w:rPr>
          <w:rFonts w:ascii="Arial" w:cs="Arial" w:eastAsia="Arial" w:hAnsi="Arial"/>
          <w:b/>
          <w:bCs/>
          <w:color w:val="A97A2F"/>
          <w:sz w:val="26"/>
          <w:szCs w:val="26"/>
          <w:rtl/>
        </w:rPr>
        <w:t xml:space="preserve">تحديد عناصر الثقة (Trust Elements)</w:t>
      </w:r>
    </w:p>
    <w:p>
      <w:pPr>
        <w:pStyle w:val="ListParagraph"/>
        <w:numPr>
          <w:ilvl w:val="0"/>
          <w:numId w:val="2"/>
        </w:numPr>
        <w:bidi/>
        <w:spacing w:after="90" w:line="300"/>
        <w:jc w:val="right"/>
      </w:pPr>
      <w:r>
        <w:rPr>
          <w:rFonts w:ascii="Arial" w:cs="Arial" w:eastAsia="Arial" w:hAnsi="Arial"/>
          <w:sz w:val="22"/>
          <w:szCs w:val="22"/>
          <w:rtl/>
        </w:rPr>
        <w:t xml:space="preserve">شهادة اعتماد أو توافق مع معايير المنهج الوطني للعلوم في الدول المستهدفة.</w:t>
      </w:r>
    </w:p>
    <w:p>
      <w:pPr>
        <w:pStyle w:val="ListParagraph"/>
        <w:numPr>
          <w:ilvl w:val="0"/>
          <w:numId w:val="2"/>
        </w:numPr>
        <w:bidi/>
        <w:spacing w:after="90" w:line="300"/>
        <w:jc w:val="right"/>
      </w:pPr>
      <w:r>
        <w:rPr>
          <w:rFonts w:ascii="Arial" w:cs="Arial" w:eastAsia="Arial" w:hAnsi="Arial"/>
          <w:sz w:val="22"/>
          <w:szCs w:val="22"/>
          <w:rtl/>
        </w:rPr>
        <w:t xml:space="preserve">سياسة خصوصية وأمان بيانات واضحة تخص الأطفال (عدم جمع بيانات شخصية حساسة).</w:t>
      </w:r>
    </w:p>
    <w:p>
      <w:pPr>
        <w:pStyle w:val="ListParagraph"/>
        <w:numPr>
          <w:ilvl w:val="0"/>
          <w:numId w:val="2"/>
        </w:numPr>
        <w:bidi/>
        <w:spacing w:after="90" w:line="300"/>
        <w:jc w:val="right"/>
      </w:pPr>
      <w:r>
        <w:rPr>
          <w:rFonts w:ascii="Arial" w:cs="Arial" w:eastAsia="Arial" w:hAnsi="Arial"/>
          <w:sz w:val="22"/>
          <w:szCs w:val="22"/>
          <w:rtl/>
        </w:rPr>
        <w:t xml:space="preserve">شهادات وتقييمات حقيقية من أولياء أمور ومعلمين استخدموا النسخة التجريبية.</w:t>
      </w:r>
    </w:p>
    <w:p>
      <w:pPr>
        <w:pStyle w:val="ListParagraph"/>
        <w:numPr>
          <w:ilvl w:val="0"/>
          <w:numId w:val="2"/>
        </w:numPr>
        <w:bidi/>
        <w:spacing w:after="90" w:line="300"/>
        <w:jc w:val="right"/>
      </w:pPr>
      <w:r>
        <w:rPr>
          <w:rFonts w:ascii="Arial" w:cs="Arial" w:eastAsia="Arial" w:hAnsi="Arial"/>
          <w:sz w:val="22"/>
          <w:szCs w:val="22"/>
          <w:rtl/>
        </w:rPr>
        <w:t xml:space="preserve">شراكة أو دعم من جهة تعليمية معروفة (وزارة تعليم، جامعة، مؤسسة غير ربحية تعليمية).</w:t>
      </w:r>
    </w:p>
    <w:p>
      <w:pPr>
        <w:pStyle w:val="Heading2"/>
        <w:bidi/>
        <w:spacing w:after="140" w:before="260"/>
        <w:jc w:val="right"/>
      </w:pPr>
      <w:r>
        <w:rPr>
          <w:rFonts w:ascii="Arial" w:cs="Arial" w:eastAsia="Arial" w:hAnsi="Arial"/>
          <w:b/>
          <w:bCs/>
          <w:color w:val="A97A2F"/>
          <w:sz w:val="26"/>
          <w:szCs w:val="26"/>
          <w:rtl/>
        </w:rPr>
        <w:t xml:space="preserve">آليات التجريب (Trial Mechanism)</w:t>
      </w:r>
    </w:p>
    <w:p>
      <w:pPr>
        <w:bidi/>
        <w:spacing w:after="120" w:line="300"/>
        <w:jc w:val="right"/>
      </w:pPr>
      <w:r>
        <w:rPr>
          <w:rFonts w:ascii="Arial" w:cs="Arial" w:eastAsia="Arial" w:hAnsi="Arial"/>
          <w:sz w:val="22"/>
          <w:szCs w:val="22"/>
          <w:rtl/>
        </w:rPr>
        <w:t xml:space="preserve">توفير نسخة تجريبية مجانية (Demo) داخل المكتبات العامة والمدارس، بحيث يتمكن الأطفال وأولياء الأمور من تجربة اللعبة ميدانيًا قبل الشراء، عبر أجهزة لوحية معدّة مسبقًا في زوايا تفاعلية (Experience Corners)، مع فريق ميداني يشرح الفكرة ويجمع ملاحظات الاستخدام الأولى.</w:t>
      </w:r>
    </w:p>
    <w:p>
      <w:pPr>
        <w:pStyle w:val="Heading2"/>
        <w:bidi/>
        <w:spacing w:after="140" w:before="260"/>
        <w:jc w:val="right"/>
      </w:pPr>
      <w:r>
        <w:rPr>
          <w:rFonts w:ascii="Arial" w:cs="Arial" w:eastAsia="Arial" w:hAnsi="Arial"/>
          <w:b/>
          <w:bCs/>
          <w:color w:val="A97A2F"/>
          <w:sz w:val="26"/>
          <w:szCs w:val="26"/>
          <w:rtl/>
        </w:rPr>
        <w:t xml:space="preserve">أدوات قياس الأداء والأثر</w:t>
      </w:r>
    </w:p>
    <w:p>
      <w:pPr>
        <w:pStyle w:val="ListParagraph"/>
        <w:numPr>
          <w:ilvl w:val="0"/>
          <w:numId w:val="2"/>
        </w:numPr>
        <w:bidi/>
        <w:spacing w:after="90" w:line="300"/>
        <w:jc w:val="right"/>
      </w:pPr>
      <w:r>
        <w:rPr>
          <w:rFonts w:ascii="Arial" w:cs="Arial" w:eastAsia="Arial" w:hAnsi="Arial"/>
          <w:sz w:val="22"/>
          <w:szCs w:val="22"/>
          <w:rtl/>
        </w:rPr>
        <w:t xml:space="preserve">معدل تحويل التجربة المجانية إلى اشتراك مدفوع (Trial-to-Paid Conversion Rate).</w:t>
      </w:r>
    </w:p>
    <w:p>
      <w:pPr>
        <w:pStyle w:val="ListParagraph"/>
        <w:numPr>
          <w:ilvl w:val="0"/>
          <w:numId w:val="2"/>
        </w:numPr>
        <w:bidi/>
        <w:spacing w:after="90" w:line="300"/>
        <w:jc w:val="right"/>
      </w:pPr>
      <w:r>
        <w:rPr>
          <w:rFonts w:ascii="Arial" w:cs="Arial" w:eastAsia="Arial" w:hAnsi="Arial"/>
          <w:sz w:val="22"/>
          <w:szCs w:val="22"/>
          <w:rtl/>
        </w:rPr>
        <w:t xml:space="preserve">مدة الاستخدام الفعلي للطفل داخل التطبيق (Engagement Time) كمؤشر على مدى الجذب.</w:t>
      </w:r>
    </w:p>
    <w:p>
      <w:pPr>
        <w:pStyle w:val="ListParagraph"/>
        <w:numPr>
          <w:ilvl w:val="0"/>
          <w:numId w:val="2"/>
        </w:numPr>
        <w:bidi/>
        <w:spacing w:after="90" w:line="300"/>
        <w:jc w:val="right"/>
      </w:pPr>
      <w:r>
        <w:rPr>
          <w:rFonts w:ascii="Arial" w:cs="Arial" w:eastAsia="Arial" w:hAnsi="Arial"/>
          <w:sz w:val="22"/>
          <w:szCs w:val="22"/>
          <w:rtl/>
        </w:rPr>
        <w:t xml:space="preserve">نتائج اختبارات قصيرة قبل وبعد الاستخدام لقياس الأثر التعليمي الفعلي على استيعاب المفاهيم.</w:t>
      </w:r>
    </w:p>
    <w:p>
      <w:pPr>
        <w:pStyle w:val="ListParagraph"/>
        <w:numPr>
          <w:ilvl w:val="0"/>
          <w:numId w:val="2"/>
        </w:numPr>
        <w:bidi/>
        <w:spacing w:after="90" w:line="300"/>
        <w:jc w:val="right"/>
      </w:pPr>
      <w:r>
        <w:rPr>
          <w:rFonts w:ascii="Arial" w:cs="Arial" w:eastAsia="Arial" w:hAnsi="Arial"/>
          <w:sz w:val="22"/>
          <w:szCs w:val="22"/>
          <w:rtl/>
        </w:rPr>
        <w:t xml:space="preserve">مؤشرات التفاعل على السوشيال ميديا (مشاهدات، مشاركات، تعليقات أولياء الأمور) كمقياس لانتشار الحملة.</w:t>
      </w:r>
    </w:p>
    <w:p>
      <w:pPr>
        <w:pStyle w:val="ListParagraph"/>
        <w:numPr>
          <w:ilvl w:val="0"/>
          <w:numId w:val="2"/>
        </w:numPr>
        <w:bidi/>
        <w:spacing w:after="90" w:line="300"/>
        <w:jc w:val="right"/>
      </w:pPr>
      <w:r>
        <w:rPr>
          <w:rFonts w:ascii="Arial" w:cs="Arial" w:eastAsia="Arial" w:hAnsi="Arial"/>
          <w:sz w:val="22"/>
          <w:szCs w:val="22"/>
          <w:rtl/>
        </w:rPr>
        <w:t xml:space="preserve">استبيانات رضا دورية موجهة لأولياء الأمور والمعلمين (NPS - صافي نقاط الترويج).</w:t>
      </w:r>
    </w:p>
    <w:p>
      <w:pPr>
        <w:pStyle w:val="Heading2"/>
        <w:bidi/>
        <w:spacing w:after="140" w:before="260"/>
        <w:jc w:val="right"/>
      </w:pPr>
      <w:r>
        <w:rPr>
          <w:rFonts w:ascii="Arial" w:cs="Arial" w:eastAsia="Arial" w:hAnsi="Arial"/>
          <w:b/>
          <w:bCs/>
          <w:color w:val="A97A2F"/>
          <w:sz w:val="26"/>
          <w:szCs w:val="26"/>
          <w:rtl/>
        </w:rPr>
        <w:t xml:space="preserve">المرجع الأكاديمي / المثال المعتمد</w:t>
      </w:r>
    </w:p>
    <w:p>
      <w:pPr>
        <w:bidi/>
        <w:spacing w:after="120" w:line="300"/>
        <w:jc w:val="right"/>
      </w:pPr>
      <w:r>
        <w:rPr>
          <w:rFonts w:ascii="Arial" w:cs="Arial" w:eastAsia="Arial" w:hAnsi="Arial"/>
          <w:sz w:val="22"/>
          <w:szCs w:val="22"/>
          <w:rtl/>
        </w:rPr>
        <w:t xml:space="preserve">يستند هذا التمرين إلى نموذج "القيمة التعليمية المضافة عبر الواقع المعزز" (Augmented Reality in Education) الذي تناولته أدبيات التسويق التعليمي (EdTech Marketing)، ومن الأمثلة الواقعية المشابهة تطبيق "Merge Cube" و"Osmo" اللذين اعتمدا آلية العرض التجريبي المباشر (Hands-on Demo) في المدارس والمكتبات كأداة أساسية لبناء الثقة قبل الشراء، وهو ما تم اعتماده هنا كمرجع لآلية التجريب المقترحة.</w:t>
      </w:r>
    </w:p>
    <w:p>
      <w:pPr>
        <w:pageBreakBefore/>
      </w:pPr>
    </w:p>
    <w:p>
      <w:pPr>
        <w:pStyle w:val="Heading1"/>
        <w:pBdr>
          <w:bottom w:val="single" w:color="7A5230" w:sz="12" w:space="4"/>
        </w:pBdr>
        <w:bidi/>
        <w:spacing w:after="200" w:before="300"/>
        <w:jc w:val="right"/>
      </w:pPr>
      <w:r>
        <w:rPr>
          <w:rFonts w:ascii="Arial" w:cs="Arial" w:eastAsia="Arial" w:hAnsi="Arial"/>
          <w:b/>
          <w:bCs/>
          <w:color w:val="7A5230"/>
          <w:sz w:val="32"/>
          <w:szCs w:val="32"/>
          <w:rtl/>
        </w:rPr>
        <w:t xml:space="preserve">ثانيًا: المحور الإعلامي — حملة توعوية ضد التنمر الإلكتروني لجيل Z</w:t>
      </w:r>
    </w:p>
    <w:p>
      <w:pPr>
        <w:pStyle w:val="Heading2"/>
        <w:bidi/>
        <w:spacing w:after="140" w:before="260"/>
        <w:jc w:val="right"/>
      </w:pPr>
      <w:r>
        <w:rPr>
          <w:rFonts w:ascii="Arial" w:cs="Arial" w:eastAsia="Arial" w:hAnsi="Arial"/>
          <w:b/>
          <w:bCs/>
          <w:color w:val="A97A2F"/>
          <w:sz w:val="26"/>
          <w:szCs w:val="26"/>
          <w:rtl/>
        </w:rPr>
        <w:t xml:space="preserve">تحديد الهدف السلوكي</w:t>
      </w:r>
    </w:p>
    <w:p>
      <w:pPr>
        <w:bidi/>
        <w:spacing w:after="120" w:line="300"/>
        <w:jc w:val="right"/>
      </w:pPr>
      <w:r>
        <w:rPr>
          <w:rFonts w:ascii="Arial" w:cs="Arial" w:eastAsia="Arial" w:hAnsi="Arial"/>
          <w:b/>
          <w:bCs/>
          <w:sz w:val="22"/>
          <w:szCs w:val="22"/>
          <w:rtl/>
        </w:rPr>
        <w:t xml:space="preserve">خفض حوادث التنمر الإلكتروني المُبلَّغ عنها بين طلاب الجامعة بنسبة ملموسة خلال 8 أسابيع من انطلاق الحملة، عبر رفع الوعي بآليات الإبلاغ وتحفيز التبليغ الفعلي بدل الصمت.</w:t>
      </w:r>
    </w:p>
    <w:p>
      <w:pPr>
        <w:pStyle w:val="Heading2"/>
        <w:bidi/>
        <w:spacing w:after="140" w:before="260"/>
        <w:jc w:val="right"/>
      </w:pPr>
      <w:r>
        <w:rPr>
          <w:rFonts w:ascii="Arial" w:cs="Arial" w:eastAsia="Arial" w:hAnsi="Arial"/>
          <w:b/>
          <w:bCs/>
          <w:color w:val="A97A2F"/>
          <w:sz w:val="26"/>
          <w:szCs w:val="26"/>
          <w:rtl/>
        </w:rPr>
        <w:t xml:space="preserve">رسم Buyer Persona (الجمهور المستهدف)</w:t>
      </w:r>
    </w:p>
    <w:p>
      <w:pPr>
        <w:bidi/>
        <w:spacing w:after="80" w:before="100"/>
        <w:jc w:val="right"/>
      </w:pPr>
      <w:r>
        <w:rPr>
          <w:rFonts w:ascii="Arial" w:cs="Arial" w:eastAsia="Arial" w:hAnsi="Arial"/>
          <w:b/>
          <w:bCs/>
          <w:color w:val="7A5230"/>
          <w:sz w:val="23"/>
          <w:szCs w:val="23"/>
          <w:rtl/>
        </w:rPr>
        <w:t xml:space="preserve">الشخصية: طالب جامعي من جيل Z</w:t>
      </w:r>
    </w:p>
    <w:tbl>
      <w:tblPr>
        <w:tblW w:type="dxa" w:w="9350"/>
        <w:tblBorders>
          <w:top w:val="single" w:color="auto" w:sz="4"/>
          <w:left w:val="single" w:color="auto" w:sz="4"/>
          <w:bottom w:val="single" w:color="auto" w:sz="4"/>
          <w:right w:val="single" w:color="auto" w:sz="4"/>
          <w:insideH w:val="single" w:color="auto" w:sz="4"/>
          <w:insideV w:val="single" w:color="auto" w:sz="4"/>
        </w:tblBorders>
      </w:tblPr>
      <w:tblGrid>
        <w:gridCol w:w="2800"/>
        <w:gridCol w:w="6550"/>
      </w:tblGrid>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18 – 23 سنة، طالب جامعي</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العمر</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يمثل جيل Z نحو 26% من سكان العالم (نحو 2 مليار شخص)؛ من أكثر الأجيال تنوعًا عرقيًا وثقافيًا؛ شبه كامل منهم (99%) يملك أو يصل إلى هاتف ذكي</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الخصائص العامة</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حضور شبه دائم على المنصات الاجتماعية؛ يتلقى ويُنتج محتوى بصريًا سريع الاستهلاك؛ حسّاس تجاه صورته الاجتماعية الرقمية</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السلوك الرقمي</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الانتماء لمجتمع جامعي آمن، حماية سمعته الرقمية، الرغبة في العدالة عند التعرض لأذى</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الدافع</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الخوف من "الوصمة" أو عدم الأخذ على محمل الجد عند الإبلاغ؛ الجهل بالمسار القانوني والإداري المتاح؛ الأثر النفسي الصامت للتنمر (قلق، عزلة، انخفاض تحصيل دراسي)</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نقطة الألم</w:t>
            </w:r>
          </w:p>
        </w:tc>
      </w:tr>
      <w:tr>
        <w:tc>
          <w:tcPr>
            <w:tcW w:type="dxa" w:w="6550"/>
            <w:shd w:fill="FFFFFF" w:val="clear"/>
            <w:tcMar>
              <w:top w:type="dxa" w:w="100"/>
              <w:left w:type="dxa" w:w="150"/>
              <w:bottom w:type="dxa" w:w="100"/>
              <w:right w:type="dxa" w:w="150"/>
            </w:tcMar>
          </w:tcPr>
          <w:p>
            <w:pPr>
              <w:bidi/>
              <w:jc w:val="right"/>
            </w:pPr>
            <w:r>
              <w:rPr>
                <w:rFonts w:ascii="Arial" w:cs="Arial" w:eastAsia="Arial" w:hAnsi="Arial"/>
                <w:sz w:val="21"/>
                <w:szCs w:val="21"/>
                <w:rtl/>
              </w:rPr>
              <w:t xml:space="preserve">أقرانه ومنصات الطلاب الرسمية أكثر من الجهات الإدارية التقليدية؛ محتوى صادق وغير "واعظ" بطريقة مباشرة</w:t>
            </w:r>
          </w:p>
        </w:tc>
        <w:tc>
          <w:tcPr>
            <w:tcW w:type="dxa" w:w="2800"/>
            <w:shd w:fill="F4EFE6" w:val="clear"/>
            <w:tcMar>
              <w:top w:type="dxa" w:w="100"/>
              <w:left w:type="dxa" w:w="150"/>
              <w:bottom w:type="dxa" w:w="100"/>
              <w:right w:type="dxa" w:w="150"/>
            </w:tcMar>
          </w:tcPr>
          <w:p>
            <w:pPr>
              <w:bidi/>
              <w:jc w:val="right"/>
            </w:pPr>
            <w:r>
              <w:rPr>
                <w:rFonts w:ascii="Arial" w:cs="Arial" w:eastAsia="Arial" w:hAnsi="Arial"/>
                <w:b/>
                <w:bCs/>
                <w:color w:val="7A5230"/>
                <w:sz w:val="21"/>
                <w:szCs w:val="21"/>
                <w:rtl/>
              </w:rPr>
              <w:t xml:space="preserve">ما يثق به</w:t>
            </w:r>
          </w:p>
        </w:tc>
      </w:tr>
    </w:tbl>
    <w:p>
      <w:pPr>
        <w:pStyle w:val="Heading2"/>
        <w:bidi/>
        <w:spacing w:after="140" w:before="260"/>
        <w:jc w:val="right"/>
      </w:pPr>
      <w:r>
        <w:rPr>
          <w:rFonts w:ascii="Arial" w:cs="Arial" w:eastAsia="Arial" w:hAnsi="Arial"/>
          <w:b/>
          <w:bCs/>
          <w:color w:val="A97A2F"/>
          <w:sz w:val="26"/>
          <w:szCs w:val="26"/>
          <w:rtl/>
        </w:rPr>
        <w:t xml:space="preserve">الرسائل الأساسية</w:t>
      </w:r>
    </w:p>
    <w:p>
      <w:pPr>
        <w:pStyle w:val="ListParagraph"/>
        <w:numPr>
          <w:ilvl w:val="0"/>
          <w:numId w:val="2"/>
        </w:numPr>
        <w:bidi/>
        <w:spacing w:after="90" w:line="300"/>
        <w:jc w:val="right"/>
      </w:pPr>
      <w:r>
        <w:rPr>
          <w:rFonts w:ascii="Arial" w:cs="Arial" w:eastAsia="Arial" w:hAnsi="Arial"/>
          <w:sz w:val="22"/>
          <w:szCs w:val="22"/>
          <w:rtl/>
        </w:rPr>
        <w:t xml:space="preserve">الأثر النفسي: التنمر الإلكتروني ليس "مجرد كلام على الشاشة"، بل له أثر نفسي حقيقي وموثّق (قلق، اكتئاب، انسحاب اجتماعي) — الرسالة: "ما تكتبه له وزن حقيقي".</w:t>
      </w:r>
    </w:p>
    <w:p>
      <w:pPr>
        <w:pStyle w:val="ListParagraph"/>
        <w:numPr>
          <w:ilvl w:val="0"/>
          <w:numId w:val="2"/>
        </w:numPr>
        <w:bidi/>
        <w:spacing w:after="90" w:line="300"/>
        <w:jc w:val="right"/>
      </w:pPr>
      <w:r>
        <w:rPr>
          <w:rFonts w:ascii="Arial" w:cs="Arial" w:eastAsia="Arial" w:hAnsi="Arial"/>
          <w:sz w:val="22"/>
          <w:szCs w:val="22"/>
          <w:rtl/>
        </w:rPr>
        <w:t xml:space="preserve">الأثر القانوني: توضيح أن التنمر الإلكتروني يقع تحت طائلة الأنظمة والقوانين المعمول بها، وأن هناك عواقب فعلية وليست مجرد "تحذيرات شكلية".</w:t>
      </w:r>
    </w:p>
    <w:p>
      <w:pPr>
        <w:pStyle w:val="ListParagraph"/>
        <w:numPr>
          <w:ilvl w:val="0"/>
          <w:numId w:val="2"/>
        </w:numPr>
        <w:bidi/>
        <w:spacing w:after="90" w:line="300"/>
        <w:jc w:val="right"/>
      </w:pPr>
      <w:r>
        <w:rPr>
          <w:rFonts w:ascii="Arial" w:cs="Arial" w:eastAsia="Arial" w:hAnsi="Arial"/>
          <w:sz w:val="22"/>
          <w:szCs w:val="22"/>
          <w:rtl/>
        </w:rPr>
        <w:t xml:space="preserve">أدوات الحماية: تعريف الطلاب بخطوات عملية فورية (الحظر، التوثيق بالسكرين شوت، عدم الرد الانفعالي، طلب الدعم).</w:t>
      </w:r>
    </w:p>
    <w:p>
      <w:pPr>
        <w:pStyle w:val="ListParagraph"/>
        <w:numPr>
          <w:ilvl w:val="0"/>
          <w:numId w:val="2"/>
        </w:numPr>
        <w:bidi/>
        <w:spacing w:after="90" w:line="300"/>
        <w:jc w:val="right"/>
      </w:pPr>
      <w:r>
        <w:rPr>
          <w:rFonts w:ascii="Arial" w:cs="Arial" w:eastAsia="Arial" w:hAnsi="Arial"/>
          <w:sz w:val="22"/>
          <w:szCs w:val="22"/>
          <w:rtl/>
        </w:rPr>
        <w:t xml:space="preserve">قنوات الإبلاغ الجامعية: التعريف الواضح بالجهة الجامعية المختصة (عمادة شؤون الطلاب / وحدة الإرشاد النفسي / خط بلاغ إلكتروني مباشر) وربطها برسالة "الإبلاغ قوة، لا ضعف".</w:t>
      </w:r>
    </w:p>
    <w:p>
      <w:pPr>
        <w:pStyle w:val="Heading2"/>
        <w:bidi/>
        <w:spacing w:after="140" w:before="260"/>
        <w:jc w:val="right"/>
      </w:pPr>
      <w:r>
        <w:rPr>
          <w:rFonts w:ascii="Arial" w:cs="Arial" w:eastAsia="Arial" w:hAnsi="Arial"/>
          <w:b/>
          <w:bCs/>
          <w:color w:val="A97A2F"/>
          <w:sz w:val="26"/>
          <w:szCs w:val="26"/>
          <w:rtl/>
        </w:rPr>
        <w:t xml:space="preserve">صيغة المحتوى المناسبة للجيل المستهدف</w:t>
      </w:r>
    </w:p>
    <w:p>
      <w:pPr>
        <w:pStyle w:val="ListParagraph"/>
        <w:numPr>
          <w:ilvl w:val="0"/>
          <w:numId w:val="2"/>
        </w:numPr>
        <w:bidi/>
        <w:spacing w:after="90" w:line="300"/>
        <w:jc w:val="right"/>
      </w:pPr>
      <w:r>
        <w:rPr>
          <w:rFonts w:ascii="Arial" w:cs="Arial" w:eastAsia="Arial" w:hAnsi="Arial"/>
          <w:sz w:val="22"/>
          <w:szCs w:val="22"/>
          <w:rtl/>
        </w:rPr>
        <w:t xml:space="preserve">فيديوهات قصيرة بأسلوب Reels / TikTok بدلًا من المنشورات النصية الطويلة.</w:t>
      </w:r>
    </w:p>
    <w:p>
      <w:pPr>
        <w:pStyle w:val="ListParagraph"/>
        <w:numPr>
          <w:ilvl w:val="0"/>
          <w:numId w:val="2"/>
        </w:numPr>
        <w:bidi/>
        <w:spacing w:after="90" w:line="300"/>
        <w:jc w:val="right"/>
      </w:pPr>
      <w:r>
        <w:rPr>
          <w:rFonts w:ascii="Arial" w:cs="Arial" w:eastAsia="Arial" w:hAnsi="Arial"/>
          <w:sz w:val="22"/>
          <w:szCs w:val="22"/>
          <w:rtl/>
        </w:rPr>
        <w:t xml:space="preserve">قصص واقعية قصيرة (Micro-stories) بضمير المتكلم بدل الخطاب الرسمي "من أعلى إلى أسفل".</w:t>
      </w:r>
    </w:p>
    <w:p>
      <w:pPr>
        <w:pStyle w:val="ListParagraph"/>
        <w:numPr>
          <w:ilvl w:val="0"/>
          <w:numId w:val="2"/>
        </w:numPr>
        <w:bidi/>
        <w:spacing w:after="90" w:line="300"/>
        <w:jc w:val="right"/>
      </w:pPr>
      <w:r>
        <w:rPr>
          <w:rFonts w:ascii="Arial" w:cs="Arial" w:eastAsia="Arial" w:hAnsi="Arial"/>
          <w:sz w:val="22"/>
          <w:szCs w:val="22"/>
          <w:rtl/>
        </w:rPr>
        <w:t xml:space="preserve">إنفوجرافيك بسيط يوضح خطوات الإبلاغ في 3 خطوات فقط.</w:t>
      </w:r>
    </w:p>
    <w:p>
      <w:pPr>
        <w:pStyle w:val="ListParagraph"/>
        <w:numPr>
          <w:ilvl w:val="0"/>
          <w:numId w:val="2"/>
        </w:numPr>
        <w:bidi/>
        <w:spacing w:after="90" w:line="300"/>
        <w:jc w:val="right"/>
      </w:pPr>
      <w:r>
        <w:rPr>
          <w:rFonts w:ascii="Arial" w:cs="Arial" w:eastAsia="Arial" w:hAnsi="Arial"/>
          <w:sz w:val="22"/>
          <w:szCs w:val="22"/>
          <w:rtl/>
        </w:rPr>
        <w:t xml:space="preserve">تجنّب لغة "الوعظ" التقليدية، واستبدالها بأسلوب مباشر وصادق يخاطب الطالب كنِدّ لا كمتلقٍّ للنصيحة.</w:t>
      </w:r>
    </w:p>
    <w:p>
      <w:pPr>
        <w:pStyle w:val="Heading2"/>
        <w:bidi/>
        <w:spacing w:after="140" w:before="260"/>
        <w:jc w:val="right"/>
      </w:pPr>
      <w:r>
        <w:rPr>
          <w:rFonts w:ascii="Arial" w:cs="Arial" w:eastAsia="Arial" w:hAnsi="Arial"/>
          <w:b/>
          <w:bCs/>
          <w:color w:val="A97A2F"/>
          <w:sz w:val="26"/>
          <w:szCs w:val="26"/>
          <w:rtl/>
        </w:rPr>
        <w:t xml:space="preserve">تحديد خطة النشر والمنصات والوسائل</w:t>
      </w:r>
    </w:p>
    <w:p>
      <w:pPr>
        <w:pStyle w:val="ListParagraph"/>
        <w:numPr>
          <w:ilvl w:val="0"/>
          <w:numId w:val="2"/>
        </w:numPr>
        <w:bidi/>
        <w:spacing w:after="90" w:line="300"/>
        <w:jc w:val="right"/>
      </w:pPr>
      <w:r>
        <w:rPr>
          <w:rFonts w:ascii="Arial" w:cs="Arial" w:eastAsia="Arial" w:hAnsi="Arial"/>
          <w:sz w:val="22"/>
          <w:szCs w:val="22"/>
          <w:rtl/>
        </w:rPr>
        <w:t xml:space="preserve">إنستغرام وتيك توك: القنوات الأساسية لأنها الأكثر استخدامًا من جيل Z (منصات بصرية سريعة الانتشار).</w:t>
      </w:r>
    </w:p>
    <w:p>
      <w:pPr>
        <w:pStyle w:val="ListParagraph"/>
        <w:numPr>
          <w:ilvl w:val="0"/>
          <w:numId w:val="2"/>
        </w:numPr>
        <w:bidi/>
        <w:spacing w:after="90" w:line="300"/>
        <w:jc w:val="right"/>
      </w:pPr>
      <w:r>
        <w:rPr>
          <w:rFonts w:ascii="Arial" w:cs="Arial" w:eastAsia="Arial" w:hAnsi="Arial"/>
          <w:sz w:val="22"/>
          <w:szCs w:val="22"/>
          <w:rtl/>
        </w:rPr>
        <w:t xml:space="preserve">سناب شات: للوصول اليومي المتكرر عبر القصص القصيرة.</w:t>
      </w:r>
    </w:p>
    <w:p>
      <w:pPr>
        <w:pStyle w:val="ListParagraph"/>
        <w:numPr>
          <w:ilvl w:val="0"/>
          <w:numId w:val="2"/>
        </w:numPr>
        <w:bidi/>
        <w:spacing w:after="90" w:line="300"/>
        <w:jc w:val="right"/>
      </w:pPr>
      <w:r>
        <w:rPr>
          <w:rFonts w:ascii="Arial" w:cs="Arial" w:eastAsia="Arial" w:hAnsi="Arial"/>
          <w:sz w:val="22"/>
          <w:szCs w:val="22"/>
          <w:rtl/>
        </w:rPr>
        <w:t xml:space="preserve">شاشات العرض داخل الحرم الجامعي والمقاصف: لتذكير مستمر بخط الإبلاغ دون الحاجة لفتح تطبيق.</w:t>
      </w:r>
    </w:p>
    <w:p>
      <w:pPr>
        <w:pStyle w:val="ListParagraph"/>
        <w:numPr>
          <w:ilvl w:val="0"/>
          <w:numId w:val="2"/>
        </w:numPr>
        <w:bidi/>
        <w:spacing w:after="90" w:line="300"/>
        <w:jc w:val="right"/>
      </w:pPr>
      <w:r>
        <w:rPr>
          <w:rFonts w:ascii="Arial" w:cs="Arial" w:eastAsia="Arial" w:hAnsi="Arial"/>
          <w:sz w:val="22"/>
          <w:szCs w:val="22"/>
          <w:rtl/>
        </w:rPr>
        <w:t xml:space="preserve">منصة الجامعة الإلكترونية الرسمية (نظام إدارة التعلّم) لنشر رابط الإبلاغ المباشر ودمجه في البريد الجامعي.</w:t>
      </w:r>
    </w:p>
    <w:p>
      <w:pPr>
        <w:pStyle w:val="ListParagraph"/>
        <w:numPr>
          <w:ilvl w:val="0"/>
          <w:numId w:val="2"/>
        </w:numPr>
        <w:bidi/>
        <w:spacing w:after="90" w:line="300"/>
        <w:jc w:val="right"/>
      </w:pPr>
      <w:r>
        <w:rPr>
          <w:rFonts w:ascii="Arial" w:cs="Arial" w:eastAsia="Arial" w:hAnsi="Arial"/>
          <w:sz w:val="22"/>
          <w:szCs w:val="22"/>
          <w:rtl/>
        </w:rPr>
        <w:t xml:space="preserve">سفراء طلابيون (Peer Ambassadors) لنشر الرسائل بمصداقية أكبر من القنوات الرسمية وحدها.</w:t>
      </w:r>
    </w:p>
    <w:p>
      <w:pPr>
        <w:pStyle w:val="Heading2"/>
        <w:bidi/>
        <w:spacing w:after="140" w:before="260"/>
        <w:jc w:val="right"/>
      </w:pPr>
      <w:r>
        <w:rPr>
          <w:rFonts w:ascii="Arial" w:cs="Arial" w:eastAsia="Arial" w:hAnsi="Arial"/>
          <w:b/>
          <w:bCs/>
          <w:color w:val="A97A2F"/>
          <w:sz w:val="26"/>
          <w:szCs w:val="26"/>
          <w:rtl/>
        </w:rPr>
        <w:t xml:space="preserve">تحديد آلية التفاعل</w:t>
      </w:r>
    </w:p>
    <w:p>
      <w:pPr>
        <w:pStyle w:val="ListParagraph"/>
        <w:numPr>
          <w:ilvl w:val="0"/>
          <w:numId w:val="2"/>
        </w:numPr>
        <w:bidi/>
        <w:spacing w:after="90" w:line="300"/>
        <w:jc w:val="right"/>
      </w:pPr>
      <w:r>
        <w:rPr>
          <w:rFonts w:ascii="Arial" w:cs="Arial" w:eastAsia="Arial" w:hAnsi="Arial"/>
          <w:sz w:val="22"/>
          <w:szCs w:val="22"/>
          <w:rtl/>
        </w:rPr>
        <w:t xml:space="preserve">تحدي أو وسم جامعي (#وقفة_ضد_التنمر) يشجّع الطلاب على مشاركة تجارب أو رسائل دعم بشكل مجهول أو معلن.</w:t>
      </w:r>
    </w:p>
    <w:p>
      <w:pPr>
        <w:pStyle w:val="ListParagraph"/>
        <w:numPr>
          <w:ilvl w:val="0"/>
          <w:numId w:val="2"/>
        </w:numPr>
        <w:bidi/>
        <w:spacing w:after="90" w:line="300"/>
        <w:jc w:val="right"/>
      </w:pPr>
      <w:r>
        <w:rPr>
          <w:rFonts w:ascii="Arial" w:cs="Arial" w:eastAsia="Arial" w:hAnsi="Arial"/>
          <w:sz w:val="22"/>
          <w:szCs w:val="22"/>
          <w:rtl/>
        </w:rPr>
        <w:t xml:space="preserve">استبيان تفاعلي مجهول الهوية (Instagram Poll / Google Form) لقياس مدى انتشار الظاهرة فعليًا داخل الحرم الجامعي.</w:t>
      </w:r>
    </w:p>
    <w:p>
      <w:pPr>
        <w:pStyle w:val="ListParagraph"/>
        <w:numPr>
          <w:ilvl w:val="0"/>
          <w:numId w:val="2"/>
        </w:numPr>
        <w:bidi/>
        <w:spacing w:after="90" w:line="300"/>
        <w:jc w:val="right"/>
      </w:pPr>
      <w:r>
        <w:rPr>
          <w:rFonts w:ascii="Arial" w:cs="Arial" w:eastAsia="Arial" w:hAnsi="Arial"/>
          <w:sz w:val="22"/>
          <w:szCs w:val="22"/>
          <w:rtl/>
        </w:rPr>
        <w:t xml:space="preserve">خط بلاغ سريع (رقم واتساب أو نموذج إلكتروني) يتيح الإبلاغ الفوري والمباشر دون تعقيد إجرائي.</w:t>
      </w:r>
    </w:p>
    <w:p>
      <w:pPr>
        <w:pStyle w:val="ListParagraph"/>
        <w:numPr>
          <w:ilvl w:val="0"/>
          <w:numId w:val="2"/>
        </w:numPr>
        <w:bidi/>
        <w:spacing w:after="90" w:line="300"/>
        <w:jc w:val="right"/>
      </w:pPr>
      <w:r>
        <w:rPr>
          <w:rFonts w:ascii="Arial" w:cs="Arial" w:eastAsia="Arial" w:hAnsi="Arial"/>
          <w:sz w:val="22"/>
          <w:szCs w:val="22"/>
          <w:rtl/>
        </w:rPr>
        <w:t xml:space="preserve">جلسات حوارية أو "بودكاست" طلابي قصير يستضيف طلابًا وأخصائيين نفسيين لمناقشة الموضوع بصراحة.</w:t>
      </w:r>
    </w:p>
    <w:p>
      <w:pPr>
        <w:pStyle w:val="Heading2"/>
        <w:bidi/>
        <w:spacing w:after="140" w:before="260"/>
        <w:jc w:val="right"/>
      </w:pPr>
      <w:r>
        <w:rPr>
          <w:rFonts w:ascii="Arial" w:cs="Arial" w:eastAsia="Arial" w:hAnsi="Arial"/>
          <w:b/>
          <w:bCs/>
          <w:color w:val="A97A2F"/>
          <w:sz w:val="26"/>
          <w:szCs w:val="26"/>
          <w:rtl/>
        </w:rPr>
        <w:t xml:space="preserve">تحديد أدوات قياس الأداء</w:t>
      </w:r>
    </w:p>
    <w:p>
      <w:pPr>
        <w:pStyle w:val="ListParagraph"/>
        <w:numPr>
          <w:ilvl w:val="0"/>
          <w:numId w:val="2"/>
        </w:numPr>
        <w:bidi/>
        <w:spacing w:after="90" w:line="300"/>
        <w:jc w:val="right"/>
      </w:pPr>
      <w:r>
        <w:rPr>
          <w:rFonts w:ascii="Arial" w:cs="Arial" w:eastAsia="Arial" w:hAnsi="Arial"/>
          <w:sz w:val="22"/>
          <w:szCs w:val="22"/>
          <w:rtl/>
        </w:rPr>
        <w:t xml:space="preserve">عدد البلاغات الفعلية المستلمة عبر القناة الجديدة قبل الحملة وبعدها (المؤشر الأهم المرتبط بالهدف السلوكي).</w:t>
      </w:r>
    </w:p>
    <w:p>
      <w:pPr>
        <w:pStyle w:val="ListParagraph"/>
        <w:numPr>
          <w:ilvl w:val="0"/>
          <w:numId w:val="2"/>
        </w:numPr>
        <w:bidi/>
        <w:spacing w:after="90" w:line="300"/>
        <w:jc w:val="right"/>
      </w:pPr>
      <w:r>
        <w:rPr>
          <w:rFonts w:ascii="Arial" w:cs="Arial" w:eastAsia="Arial" w:hAnsi="Arial"/>
          <w:sz w:val="22"/>
          <w:szCs w:val="22"/>
          <w:rtl/>
        </w:rPr>
        <w:t xml:space="preserve">معدل الوصول والتفاعل (Reach &amp; Engagement Rate) على منشورات الحملة عبر المنصات المختلفة.</w:t>
      </w:r>
    </w:p>
    <w:p>
      <w:pPr>
        <w:pStyle w:val="ListParagraph"/>
        <w:numPr>
          <w:ilvl w:val="0"/>
          <w:numId w:val="2"/>
        </w:numPr>
        <w:bidi/>
        <w:spacing w:after="90" w:line="300"/>
        <w:jc w:val="right"/>
      </w:pPr>
      <w:r>
        <w:rPr>
          <w:rFonts w:ascii="Arial" w:cs="Arial" w:eastAsia="Arial" w:hAnsi="Arial"/>
          <w:sz w:val="22"/>
          <w:szCs w:val="22"/>
          <w:rtl/>
        </w:rPr>
        <w:t xml:space="preserve">نسبة المشاركة في الوسم الجامعي ومدى انتشاره العضوي (Organic Reach).</w:t>
      </w:r>
    </w:p>
    <w:p>
      <w:pPr>
        <w:pStyle w:val="ListParagraph"/>
        <w:numPr>
          <w:ilvl w:val="0"/>
          <w:numId w:val="2"/>
        </w:numPr>
        <w:bidi/>
        <w:spacing w:after="90" w:line="300"/>
        <w:jc w:val="right"/>
      </w:pPr>
      <w:r>
        <w:rPr>
          <w:rFonts w:ascii="Arial" w:cs="Arial" w:eastAsia="Arial" w:hAnsi="Arial"/>
          <w:sz w:val="22"/>
          <w:szCs w:val="22"/>
          <w:rtl/>
        </w:rPr>
        <w:t xml:space="preserve">نتائج استبيان الوعي قبل/بعد الحملة لقياس مدى تحسّن معرفة الطلاب بآليات الإبلاغ والحماية.</w:t>
      </w:r>
    </w:p>
    <w:p>
      <w:pPr>
        <w:pStyle w:val="ListParagraph"/>
        <w:numPr>
          <w:ilvl w:val="0"/>
          <w:numId w:val="2"/>
        </w:numPr>
        <w:bidi/>
        <w:spacing w:after="90" w:line="300"/>
        <w:jc w:val="right"/>
      </w:pPr>
      <w:r>
        <w:rPr>
          <w:rFonts w:ascii="Arial" w:cs="Arial" w:eastAsia="Arial" w:hAnsi="Arial"/>
          <w:sz w:val="22"/>
          <w:szCs w:val="22"/>
          <w:rtl/>
        </w:rPr>
        <w:t xml:space="preserve">عدد زيارات صفحة الإبلاغ الإلكترونية على موقع الجامعة (Click-through Rate).</w:t>
      </w:r>
    </w:p>
    <w:p>
      <w:pPr>
        <w:pStyle w:val="Heading2"/>
        <w:bidi/>
        <w:spacing w:after="140" w:before="260"/>
        <w:jc w:val="right"/>
      </w:pPr>
      <w:r>
        <w:rPr>
          <w:rFonts w:ascii="Arial" w:cs="Arial" w:eastAsia="Arial" w:hAnsi="Arial"/>
          <w:b/>
          <w:bCs/>
          <w:color w:val="A97A2F"/>
          <w:sz w:val="26"/>
          <w:szCs w:val="26"/>
          <w:rtl/>
        </w:rPr>
        <w:t xml:space="preserve">المرجع الأكاديمي / المثال المعتمد</w:t>
      </w:r>
    </w:p>
    <w:p>
      <w:pPr>
        <w:bidi/>
        <w:spacing w:after="120" w:line="300"/>
        <w:jc w:val="right"/>
      </w:pPr>
      <w:r>
        <w:rPr>
          <w:rFonts w:ascii="Arial" w:cs="Arial" w:eastAsia="Arial" w:hAnsi="Arial"/>
          <w:sz w:val="22"/>
          <w:szCs w:val="22"/>
          <w:rtl/>
        </w:rPr>
        <w:t xml:space="preserve">تستند خصائص الجمهور المستهدف في هذا التمرين إلى بيانات ديموغرافية معتمدة حول جيل Z، والتي تشير إلى أن هذا الجيل يمثل نحو 26% من سكان العالم (نحو 2 مليار شخص)، وأنه من أكثر الأجيال تنوعًا عرقيًا وثقافيًا في الولايات المتحدة، وأن ما يقارب 99% منهم يمتلكون هاتفًا ذكيًا أو لديهم إمكانية الوصول إليه. وتُعد حملة "Stop Bullying: Speak Up" الأمريكية من الأمثلة المعتمدة عالميًا في تصميم حملات مماثلة، حيث اعتمدت على المزج بين الرسائل النفسية والقانونية وتسهيل قنوات الإبلاغ المجهولة، وهو النهج الذي اعتُمد في بناء هذا التمرين.</w:t>
      </w:r>
    </w:p>
    <w:sectPr>
      <w:pgSz w:w="11906" w:h="16838" w:orient="portrait"/>
      <w:pgMar w:top="900" w:right="1000" w:bottom="900" w:left="10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ind w:right="400" w:hanging="260"/>
      </w:pPr>
    </w:lvl>
    <w:lvl w:ilvl="1" w15:tentative="1">
      <w:start w:val="1"/>
      <w:numFmt w:val="bullet"/>
      <w:lvlText w:val="◦"/>
      <w:lvlJc w:val="right"/>
      <w:pPr>
        <w:ind w:right="80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2026-08-30T15:23:48.034Z</dcterms:created>
  <dcterms:modified xsi:type="dcterms:W3CDTF">2026-08-30T15:23:48.049Z</dcterms:modified>
</cp:coreProperties>
</file>

<file path=docProps/custom.xml><?xml version="1.0" encoding="utf-8"?>
<Properties xmlns="http://schemas.openxmlformats.org/officeDocument/2006/custom-properties" xmlns:vt="http://schemas.openxmlformats.org/officeDocument/2006/docPropsVTypes"/>
</file>