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6B91B" w14:textId="77777777" w:rsidR="00872B2E" w:rsidRDefault="00000000">
      <w:pPr>
        <w:spacing w:after="160" w:line="420" w:lineRule="auto"/>
        <w:jc w:val="center"/>
      </w:pPr>
      <w:r>
        <w:rPr>
          <w:b/>
          <w:bCs/>
          <w:color w:val="1F3864"/>
          <w:sz w:val="34"/>
          <w:szCs w:val="34"/>
          <w:rtl/>
        </w:rPr>
        <w:t>إدارة مشاريع التحول التعليمي القائمة على التقييمات الدولية (TIMSS): بناء نموذج لتطوير كفايات المعلمين</w:t>
      </w:r>
    </w:p>
    <w:p w14:paraId="47282B95" w14:textId="77777777" w:rsidR="00872B2E" w:rsidRDefault="00000000">
      <w:pPr>
        <w:pBdr>
          <w:bottom w:val="single" w:sz="8" w:space="8" w:color="1F3864"/>
        </w:pBdr>
        <w:spacing w:after="340" w:line="320" w:lineRule="auto"/>
        <w:jc w:val="center"/>
      </w:pPr>
      <w:r>
        <w:rPr>
          <w:rFonts w:ascii="Times New Roman" w:eastAsia="Times New Roman" w:hAnsi="Times New Roman" w:cs="Times New Roman"/>
          <w:b/>
          <w:bCs/>
          <w:i/>
          <w:iCs/>
          <w:color w:val="1F3864"/>
          <w:sz w:val="24"/>
          <w:szCs w:val="24"/>
        </w:rPr>
        <w:t>Educational Transformation Project Management Based on International Assessments (TIMSS): Building a Model for Developing Teachers’ Competencies</w:t>
      </w:r>
    </w:p>
    <w:p w14:paraId="6B1CC6BF" w14:textId="77777777" w:rsidR="00872B2E" w:rsidRDefault="00000000">
      <w:pPr>
        <w:spacing w:before="400" w:after="80"/>
        <w:jc w:val="center"/>
      </w:pPr>
      <w:r>
        <w:rPr>
          <w:b/>
          <w:bCs/>
          <w:color w:val="2E5496"/>
          <w:sz w:val="32"/>
          <w:szCs w:val="32"/>
          <w:rtl/>
        </w:rPr>
        <w:t>الفصل الأول</w:t>
      </w:r>
    </w:p>
    <w:p w14:paraId="4A018280" w14:textId="77777777" w:rsidR="00872B2E" w:rsidRDefault="00000000">
      <w:pPr>
        <w:pBdr>
          <w:bottom w:val="single" w:sz="12" w:space="10" w:color="1F3864"/>
        </w:pBdr>
        <w:spacing w:after="360"/>
        <w:jc w:val="center"/>
      </w:pPr>
      <w:r>
        <w:rPr>
          <w:b/>
          <w:bCs/>
          <w:color w:val="1F3864"/>
          <w:sz w:val="38"/>
          <w:szCs w:val="38"/>
          <w:rtl/>
        </w:rPr>
        <w:t>الإطار العام للدراسة</w:t>
      </w:r>
    </w:p>
    <w:p w14:paraId="36F83EBE" w14:textId="77777777" w:rsidR="00872B2E" w:rsidRDefault="00000000" w:rsidP="00215E53">
      <w:pPr>
        <w:pStyle w:val="1"/>
        <w:bidi/>
        <w:spacing w:before="320" w:after="160"/>
      </w:pPr>
      <w:r>
        <w:rPr>
          <w:rtl/>
        </w:rPr>
        <w:t>المقدمة</w:t>
      </w:r>
    </w:p>
    <w:p w14:paraId="6C8BDB7C" w14:textId="77777777" w:rsidR="00872B2E" w:rsidRDefault="00000000">
      <w:pPr>
        <w:spacing w:after="160"/>
        <w:ind w:firstLine="431"/>
        <w:jc w:val="both"/>
      </w:pPr>
      <w:r>
        <w:rPr>
          <w:rtl/>
        </w:rPr>
        <w:t>لم يعد تطوير التعليم اليوم شأنًا تحكمه الاجتهادات العامة؛ فقد فرضت التحولات المتسارعة على الأنظمة التعليمية أن تبني قراراتها على بيانات دقيقة تكشف مواطن القوة والقصور في التعلم والتدريس. وتحتل دراسة الاتجاهات الدولية في الرياضيات والعلوم (TIMSS) موقع الصدارة بين الأدوات التي توفر هذه البيانات؛ فهي لا تكتفي بقياس تحصيل الطلاب، بل تكشف عن متطلبات نوعية تمسّ المحتوى العلمي، والمجالات المعرفية، وممارسات التدريس والتقويم (</w:t>
      </w:r>
      <w:proofErr w:type="spellStart"/>
      <w:r>
        <w:rPr>
          <w:rtl/>
        </w:rPr>
        <w:t>Mullis</w:t>
      </w:r>
      <w:proofErr w:type="spellEnd"/>
      <w:r>
        <w:rPr>
          <w:rtl/>
        </w:rPr>
        <w:t xml:space="preserve"> &amp; </w:t>
      </w:r>
      <w:proofErr w:type="spellStart"/>
      <w:r>
        <w:rPr>
          <w:rtl/>
        </w:rPr>
        <w:t>Martin</w:t>
      </w:r>
      <w:proofErr w:type="spellEnd"/>
      <w:r>
        <w:rPr>
          <w:rtl/>
        </w:rPr>
        <w:t>, 2017)، وهو ما يجعل نتائجها مرجعًا مهمًا لتوجيه التطوير المهني للمعلمين، على نحو ما تؤكده التوجهات الدولية التي وضعت تنمية كفايات المعلم في قلب مساعي تحويل التعليم (UNESCO, 2022).</w:t>
      </w:r>
    </w:p>
    <w:p w14:paraId="4C70036E" w14:textId="77777777" w:rsidR="00872B2E" w:rsidRDefault="00000000">
      <w:pPr>
        <w:spacing w:after="160"/>
        <w:ind w:firstLine="431"/>
        <w:jc w:val="both"/>
      </w:pPr>
      <w:r>
        <w:rPr>
          <w:rtl/>
        </w:rPr>
        <w:t>وتنبع القيمة المعرفية لهذه التقييمات من طبيعتها المزدوجة؛ فهي في ظاهرها اختبار تحصيلي دولي يقيس ما تعلّمه الطالب، وهي في عمقها مرآة تعكس بنية المنهج، وطبيعة الممارسات الصفية، ومستوى تأهيل المعلم، والبيئة المدرسية والأسرية المحيطة بالتعلم. فالاستبانات المرافقة للاختبار — وهي موجّهة إلى الطالب، والمعلم، وقائد المدرسة، وولي الأمر — تنتج طبقة ثانية من البيانات لا تقل أهمية عن الدرجات نفسها؛ إذ تتيح تفسير التفاوت في الأداء وربطه بمتغيرات قابلة للتدخل. وهنا تحديدًا تكمن الفرصة التي كثيرًا ما تفوتها الأنظمة التعليمية: أن تقرأ نتائج TIMSS بوصفها خارطة تشخيصية للتدخل المهني، لا بوصفها ترتيبًا تنافسيًا يُحتفى به أو يُتبرّم منه.</w:t>
      </w:r>
    </w:p>
    <w:p w14:paraId="004075A5" w14:textId="77777777" w:rsidR="00872B2E" w:rsidRDefault="00000000">
      <w:pPr>
        <w:spacing w:after="160"/>
        <w:ind w:firstLine="431"/>
        <w:jc w:val="both"/>
      </w:pPr>
      <w:r>
        <w:rPr>
          <w:rtl/>
        </w:rPr>
        <w:t>وقد أولت المملكة العربية السعودية التقييمات الدولية اهتمامًا متناميًا، بوصفها أحد مداخل قياس جودة مخرجات التعليم ومواءمتها مع مستهدفات رؤية المملكة 2030 وبرنامج تنمية القدرات البشرية. غير أن مؤشرات الأداء في المرحلة الابتدائية ما تزال دون المتوسط الدولي؛ فقد بلغ متوسط أداء طلبة الصف الرابع في العلوم في دورة TIMSS 2019 نحو (402) نقطة، في مقابل نقطة المركز الدولية البالغة (500) نقطة، وهو مستوى يقارب الحد الأدنى للمستوى المعياري المنخفض، ويقل عن أعلى نتيجة سبق للمملكة تحقيقها في هذا الصف والمادة عام 2011م. وعلى الرغم من التحسن الملحوظ الذي سجّلته المملكة في دورة 2023م في الصف الرابع، فإن موقع الأداء العام لا يزال يستدعي مراجعة معمّقة لمداخل التطوير المهني للمعلمين، بوصفهم العامل المدرسي الأكثر ارتباطًا بتحصيل الطلاب.</w:t>
      </w:r>
    </w:p>
    <w:p w14:paraId="43EDF6E2" w14:textId="77777777" w:rsidR="00872B2E" w:rsidRDefault="00000000">
      <w:pPr>
        <w:spacing w:after="160"/>
        <w:ind w:firstLine="431"/>
        <w:jc w:val="both"/>
      </w:pPr>
      <w:r>
        <w:rPr>
          <w:rtl/>
        </w:rPr>
        <w:t>غير أن واقع الممارسة لا يجاري هذا الطموح دائمًا؛ فعلى الرغم من الجهود التي تبذلها المملكة لتحسين جودة التعليم ورفع نتائج طلابها في المؤشرات الدولية، تظل الاستفادة من بيانات TIMSS في تصميم برامج التطوير المهني لمعلمات العلوم في المرحلة الابتدائية محدودة؛ إذ تُبنى بعض البرامج التدريبية بصورة عامة لا تلامس الفجوات التي يكشفها التقييم الدولي، وتفتقر أحيانًا إلى إطار منهجي ينظم تخطيطها وتنفيذها ومتابعتها وقياس أثرها. وهنا تتبدى الحاجة إلى معالجة ضعف الربط المنهجي بين ما تتيحه بيانات TIMSS من تشخيص دقيق، وبين تصميم برامج تطوير كفايات المعلمات وإدارتها بوصفها مشاريع تعليمية قابلة للقياس والاستدامة.</w:t>
      </w:r>
    </w:p>
    <w:p w14:paraId="1B2521EF" w14:textId="77777777" w:rsidR="00872B2E" w:rsidRDefault="00000000">
      <w:pPr>
        <w:spacing w:after="160"/>
        <w:ind w:firstLine="431"/>
        <w:jc w:val="both"/>
      </w:pPr>
      <w:r>
        <w:rPr>
          <w:rtl/>
        </w:rPr>
        <w:t xml:space="preserve">ويتصل بهذا الضعف بُعد ثانٍ لا يقل أهمية، هو البعد الإداري. فبرامج التطوير المهني — في كثير من السياقات — تُدار بوصفها فعاليات تدريبية منفصلة، تبدأ بورشة وتنتهي بشهادة حضور، لا بوصفها مشاريع لها ميثاق، ونطاق محدد، وهيكل مسؤوليات، وجدول زمني، وسجل </w:t>
      </w:r>
      <w:proofErr w:type="gramStart"/>
      <w:r>
        <w:rPr>
          <w:rtl/>
        </w:rPr>
        <w:t>مخاطر</w:t>
      </w:r>
      <w:proofErr w:type="gramEnd"/>
      <w:r>
        <w:rPr>
          <w:rtl/>
        </w:rPr>
        <w:t>، ومؤشرات أداء، وخطة إغلاق تُوثّق فيها الدروس المستفادة. وهذا الفارق بين «الفعالية» و«المشروع» ليس فارقًا لفظيًا؛ إذ تشير أدبيات التطوير المهني إلى أن ما يُحدث الأثر ليس الحدث التدريبي في ذاته، بل ما يليه من متابعة، وتوجيه مهني، وتطبيق صفي مصحوب بالتغذية الراجعة (</w:t>
      </w:r>
      <w:proofErr w:type="spellStart"/>
      <w:r>
        <w:rPr>
          <w:rtl/>
        </w:rPr>
        <w:t>Darling-Hammond</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2017; </w:t>
      </w:r>
      <w:proofErr w:type="spellStart"/>
      <w:r>
        <w:rPr>
          <w:rtl/>
        </w:rPr>
        <w:t>Kraft</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2018)، وهي عناصر لا تُدار بالنيّة الحسنة، وإنما بمنهجية إدارية منضبطة.</w:t>
      </w:r>
    </w:p>
    <w:p w14:paraId="7A9389EA" w14:textId="77777777" w:rsidR="00872B2E" w:rsidRDefault="00000000">
      <w:pPr>
        <w:spacing w:after="160"/>
        <w:ind w:firstLine="431"/>
        <w:jc w:val="both"/>
      </w:pPr>
      <w:r>
        <w:rPr>
          <w:rtl/>
        </w:rPr>
        <w:t>واستجابةً لهذه الحاجة المزدوجة، تسعى الدراسة الحالية إلى بناء نموذج مقترح لإدارة مشاريع التحول التعليمي الموجّهة لتطوير كفايات معلمات العلوم في المرحلة الابتدائية بالمملكة العربية السعودية، في ضوء متطلبات TIMSS 2019، وبالاستناد إلى مرجعية PMBOK في إدارة المشاريع؛ ليكون أداةً تحوّل نتائج التقييم الدولي من مؤشرات تشخيصية تُقرأ في التقارير إلى تدخلات تطويرية منظمة، قابلة للتنفيذ والمتابعة وقياس الأثر. وبهذا المعنى، فإن الدراسة لا تضيف برنامجًا تدريبيًا جديدًا إلى البرامج القائمة، بقدر ما تقترح «طريقة عمل» تُبنى على أساسها البرامج وتُدار وتُقوَّم.</w:t>
      </w:r>
    </w:p>
    <w:p w14:paraId="091EC9C7" w14:textId="77777777" w:rsidR="00872B2E" w:rsidRDefault="00000000" w:rsidP="00215E53">
      <w:pPr>
        <w:pStyle w:val="1"/>
        <w:bidi/>
        <w:spacing w:before="320" w:after="160"/>
      </w:pPr>
      <w:r>
        <w:rPr>
          <w:rtl/>
        </w:rPr>
        <w:t>مشكلة الدراسة</w:t>
      </w:r>
    </w:p>
    <w:p w14:paraId="7D2F7CD4" w14:textId="77777777" w:rsidR="00872B2E" w:rsidRDefault="00000000" w:rsidP="00215E53">
      <w:pPr>
        <w:spacing w:after="160"/>
        <w:ind w:firstLine="431"/>
      </w:pPr>
      <w:r>
        <w:rPr>
          <w:rtl/>
        </w:rPr>
        <w:t>تتحدد ملامح المشكلة في المسافة القائمة بين ما تكشفه بيانات TIMSS من مؤشرات دقيقة، وما تُبنى عليه برامج التطوير المهني فعليًا؛ فقد أظهرت الدورات المتعاقبة للدراسة استمرار فجوة الأداء في العلوم لدى طلاب المرحلة الابتدائية على الرغم من تعدد المبادرات والبرامج، في حين تشير أدبيات التدريب إلى أن برامج التنمية المهنية كثيرًا ما تغلب عليها الجوانب النظرية، ويضعف ارتباطها بالاحتياجات الموثقة، وتفتقر إلى آليات متابعة وقياس أثر بعد التنفيذ.</w:t>
      </w:r>
    </w:p>
    <w:p w14:paraId="21D4D14C" w14:textId="77777777" w:rsidR="00872B2E" w:rsidRDefault="00000000" w:rsidP="00215E53">
      <w:pPr>
        <w:spacing w:after="160"/>
        <w:ind w:firstLine="431"/>
      </w:pPr>
      <w:r>
        <w:rPr>
          <w:rtl/>
        </w:rPr>
        <w:t xml:space="preserve">ويمكن تفكيك هذه المشكلة إلى ثلاثة مستويات متداخلة: مستوى تشخيصي، يتمثل في أن بيانات TIMSS تُعرض في تقارير وطنية ولا تُترجم إلى «مواصفات» دقيقة للاحتياج التدريبي؛ ومستوى تصميمي، </w:t>
      </w:r>
      <w:r>
        <w:rPr>
          <w:rtl/>
        </w:rPr>
        <w:lastRenderedPageBreak/>
        <w:t>يتمثل في أن البرامج التدريبية تُبنى غالبًا على تقديرات عامة للاحتياج أو على موضوعات جاهزة، لا على مصفوفة اشتقاق تربط كل متطلب من متطلبات الإطار الدولي بكفاية مهنية محددة قابلة للقياس؛ ومستوى إداري، يتمثل في غياب البنية التي تضمن انتقال أثر التدريب من قاعة التدريب إلى غرفة الصف، ثم إلى نواتج تعلم الطالب.</w:t>
      </w:r>
    </w:p>
    <w:p w14:paraId="7C6E02E2" w14:textId="77777777" w:rsidR="00872B2E" w:rsidRDefault="00000000" w:rsidP="00215E53">
      <w:pPr>
        <w:spacing w:after="160"/>
        <w:ind w:firstLine="431"/>
      </w:pPr>
      <w:r>
        <w:rPr>
          <w:rtl/>
        </w:rPr>
        <w:t>وقد تعزّز إحساس الباحثة بالمشكلة من خلال ثلاثة مصادر: أولها الخبرة الميدانية في مجال الإشراف التربوي ودعم التميز المدرسي، وما لوحظ فيها من تكرار موضوعات التدريب دون قياس لأثرها؛ وثانيها المراجعة الأولية لعدد من الحقائب التدريبية الموجّهة لمعلمات العلوم في المرحلة الابتدائية، وما ظهر فيها من غياب شبه تام للإشارة الصريحة إلى إطار TIMSS ومكوناته؛ وثالثها مراجعة الأدب التربوي العربي، التي كشفت ندرة الدراسات التي تجمع بين مرجعية التقييمات الدولية ومرجعية إدارة المشاريع في بنية واحدة.</w:t>
      </w:r>
    </w:p>
    <w:p w14:paraId="237193BC" w14:textId="77777777" w:rsidR="00872B2E" w:rsidRDefault="00000000" w:rsidP="00215E53">
      <w:pPr>
        <w:spacing w:after="160"/>
        <w:ind w:firstLine="431"/>
      </w:pPr>
      <w:r>
        <w:rPr>
          <w:rtl/>
        </w:rPr>
        <w:t>ومن ثم تتمثل مشكلة الدراسة في غياب نموذج منهجي لإدارة مشاريع التحول التعليمي يربط بين متطلبات TIMSS وتطوير كفايات معلمات العلوم في المرحلة الابتدائية، في ضوء مرجعية PMBOK، بما يضمن تحويل نتائج التقييم الدولي من مؤشرات تشخيصية إلى تدخلات تطويرية منظمة، قابلة للتنفيذ والقياس والاستدامة.</w:t>
      </w:r>
    </w:p>
    <w:p w14:paraId="573D620C" w14:textId="77777777" w:rsidR="00872B2E" w:rsidRDefault="00000000" w:rsidP="00215E53">
      <w:pPr>
        <w:pStyle w:val="1"/>
        <w:bidi/>
        <w:spacing w:before="320" w:after="160"/>
      </w:pPr>
      <w:r>
        <w:rPr>
          <w:rtl/>
        </w:rPr>
        <w:t>أسئلة الدراسة</w:t>
      </w:r>
    </w:p>
    <w:p w14:paraId="68E73C86" w14:textId="77777777" w:rsidR="00872B2E" w:rsidRDefault="00000000" w:rsidP="00215E53">
      <w:pPr>
        <w:spacing w:after="160"/>
        <w:ind w:firstLine="431"/>
      </w:pPr>
      <w:r>
        <w:rPr>
          <w:rtl/>
        </w:rPr>
        <w:t>تسعى الدراسة إلى الإجابة عن السؤال الرئيس الآتي: ما النموذج المقترح لإدارة مشاريع التحول التعليمي الموجّهة لتطوير كفايات معلمات العلوم في المرحلة الابتدائية بالمملكة العربية السعودية، في ضوء متطلبات TIMSS 2019 ومرجعية PMBOK؟ ويتفرع عنه التساؤلات الآتية:</w:t>
      </w:r>
    </w:p>
    <w:p w14:paraId="0A09DC8A" w14:textId="77777777" w:rsidR="00872B2E" w:rsidRDefault="00000000" w:rsidP="00215E53">
      <w:pPr>
        <w:pStyle w:val="a4"/>
        <w:numPr>
          <w:ilvl w:val="0"/>
          <w:numId w:val="2"/>
        </w:numPr>
        <w:bidi/>
        <w:spacing w:after="100" w:line="380" w:lineRule="auto"/>
      </w:pPr>
      <w:r>
        <w:rPr>
          <w:rtl/>
        </w:rPr>
        <w:lastRenderedPageBreak/>
        <w:t>ما متطلبات دراسة TIMSS ذات الصلة بتدريس العلوم في المرحلة الابتدائية، من حيث المحتوى العلمي، ومستويات التفكير، واستراتيجيات التدريس، وأساليب التقويم؟</w:t>
      </w:r>
    </w:p>
    <w:p w14:paraId="375E5746" w14:textId="77777777" w:rsidR="00872B2E" w:rsidRDefault="00000000" w:rsidP="00215E53">
      <w:pPr>
        <w:pStyle w:val="a4"/>
        <w:numPr>
          <w:ilvl w:val="0"/>
          <w:numId w:val="2"/>
        </w:numPr>
        <w:bidi/>
        <w:spacing w:after="100" w:line="380" w:lineRule="auto"/>
      </w:pPr>
      <w:r>
        <w:rPr>
          <w:rtl/>
        </w:rPr>
        <w:t>ما الكفايات المهنية اللازمة لمعلمات العلوم في المرحلة الابتدائية، في ضوء ما تكشفه متطلبات TIMSS من فجوات وأولويات تطويرية؟</w:t>
      </w:r>
    </w:p>
    <w:p w14:paraId="3946FAA9" w14:textId="77777777" w:rsidR="00872B2E" w:rsidRDefault="00000000" w:rsidP="00215E53">
      <w:pPr>
        <w:pStyle w:val="a4"/>
        <w:numPr>
          <w:ilvl w:val="0"/>
          <w:numId w:val="2"/>
        </w:numPr>
        <w:bidi/>
        <w:spacing w:after="100" w:line="380" w:lineRule="auto"/>
      </w:pPr>
      <w:r>
        <w:rPr>
          <w:rtl/>
        </w:rPr>
        <w:t>ما مدى اتساق البرامج التدريبية المقدمة لمعلمات العلوم في المرحلة الابتدائية مع متطلبات TIMSS، وما جوانب القوة والقصور فيها؟</w:t>
      </w:r>
    </w:p>
    <w:p w14:paraId="730B0440" w14:textId="77777777" w:rsidR="00872B2E" w:rsidRDefault="00000000" w:rsidP="00215E53">
      <w:pPr>
        <w:pStyle w:val="a4"/>
        <w:numPr>
          <w:ilvl w:val="0"/>
          <w:numId w:val="2"/>
        </w:numPr>
        <w:bidi/>
        <w:spacing w:after="100" w:line="380" w:lineRule="auto"/>
      </w:pPr>
      <w:r>
        <w:rPr>
          <w:rtl/>
        </w:rPr>
        <w:t>ما المكونات والعناصر الإجرائية للنموذج المقترح لإدارة مشاريع التحول التعليمي، وفق مرجعية PMBOK، في ضوء متطلبات TIMSS؟</w:t>
      </w:r>
    </w:p>
    <w:p w14:paraId="08AF09CF" w14:textId="77777777" w:rsidR="00872B2E" w:rsidRDefault="00000000" w:rsidP="00215E53">
      <w:pPr>
        <w:pStyle w:val="a4"/>
        <w:numPr>
          <w:ilvl w:val="0"/>
          <w:numId w:val="2"/>
        </w:numPr>
        <w:bidi/>
        <w:spacing w:after="100" w:line="380" w:lineRule="auto"/>
      </w:pPr>
      <w:r>
        <w:rPr>
          <w:rtl/>
        </w:rPr>
        <w:t>ما مؤشرات المتابعة وقياس الأثر التي يمكن اعتمادها للتحقق من فاعلية النموذج المقترح عند تطبيقه؟</w:t>
      </w:r>
    </w:p>
    <w:p w14:paraId="3E17F5BC" w14:textId="77777777" w:rsidR="00872B2E" w:rsidRDefault="00000000" w:rsidP="00215E53">
      <w:pPr>
        <w:pStyle w:val="1"/>
        <w:bidi/>
        <w:spacing w:before="320" w:after="160"/>
      </w:pPr>
      <w:r>
        <w:rPr>
          <w:rtl/>
        </w:rPr>
        <w:t>أهداف الدراسة</w:t>
      </w:r>
    </w:p>
    <w:p w14:paraId="383AF53B" w14:textId="77777777" w:rsidR="00872B2E" w:rsidRDefault="00000000" w:rsidP="00215E53">
      <w:pPr>
        <w:spacing w:after="160"/>
        <w:ind w:firstLine="431"/>
      </w:pPr>
      <w:r>
        <w:rPr>
          <w:rtl/>
        </w:rPr>
        <w:t>تهدف الدراسة في هدفها العام إلى بناء نموذج مقترح لإدارة مشاريع التحول التعليمي، يستهدف تطوير كفايات معلمات العلوم في المرحلة الابتدائية بالمملكة العربية السعودية، في ضوء متطلبات TIMSS 2019، وبالاستناد إلى مرجعية دليل PMBOK في إدارة المشاريع وفق مجموعات عملياته الخمس. ويتفرع عن هذا الهدف العام الأهداف الخاصة الآتية:</w:t>
      </w:r>
    </w:p>
    <w:p w14:paraId="48DE9A4C" w14:textId="77777777" w:rsidR="00872B2E" w:rsidRDefault="00000000" w:rsidP="00215E53">
      <w:pPr>
        <w:pStyle w:val="a4"/>
        <w:numPr>
          <w:ilvl w:val="0"/>
          <w:numId w:val="3"/>
        </w:numPr>
        <w:bidi/>
        <w:spacing w:after="100" w:line="380" w:lineRule="auto"/>
      </w:pPr>
      <w:r>
        <w:rPr>
          <w:rtl/>
        </w:rPr>
        <w:t>تحديد متطلبات دراسة TIMSS ذات الصلة بتدريس العلوم في المرحلة الابتدائية، من حيث المحتوى العلمي، ومستويات التفكير، واستراتيجيات التدريس، وأساليب التقويم.</w:t>
      </w:r>
    </w:p>
    <w:p w14:paraId="1ED2227D" w14:textId="77777777" w:rsidR="00872B2E" w:rsidRDefault="00000000" w:rsidP="00215E53">
      <w:pPr>
        <w:pStyle w:val="a4"/>
        <w:numPr>
          <w:ilvl w:val="0"/>
          <w:numId w:val="3"/>
        </w:numPr>
        <w:bidi/>
        <w:spacing w:after="100" w:line="380" w:lineRule="auto"/>
      </w:pPr>
      <w:r>
        <w:rPr>
          <w:rtl/>
        </w:rPr>
        <w:lastRenderedPageBreak/>
        <w:t>اشتقاق الكفايات المهنية اللازمة لمعلمات العلوم في المرحلة الابتدائية، في ضوء ما تكشفه متطلبات TIMSS من فجوات وأولويات تطويرية.</w:t>
      </w:r>
    </w:p>
    <w:p w14:paraId="7E81D6D2" w14:textId="77777777" w:rsidR="00872B2E" w:rsidRDefault="00000000" w:rsidP="00215E53">
      <w:pPr>
        <w:pStyle w:val="a4"/>
        <w:numPr>
          <w:ilvl w:val="0"/>
          <w:numId w:val="3"/>
        </w:numPr>
        <w:bidi/>
        <w:spacing w:after="100" w:line="380" w:lineRule="auto"/>
      </w:pPr>
      <w:r>
        <w:rPr>
          <w:rtl/>
        </w:rPr>
        <w:t>تحليل مدى اتساق البرامج التدريبية المقدمة لمعلمات العلوم في المرحلة الابتدائية مع متطلبات TIMSS، والكشف عن جوانب القوة والقصور فيها.</w:t>
      </w:r>
    </w:p>
    <w:p w14:paraId="561B2615" w14:textId="77777777" w:rsidR="00872B2E" w:rsidRDefault="00000000" w:rsidP="00215E53">
      <w:pPr>
        <w:pStyle w:val="a4"/>
        <w:numPr>
          <w:ilvl w:val="0"/>
          <w:numId w:val="3"/>
        </w:numPr>
        <w:bidi/>
        <w:spacing w:after="100" w:line="380" w:lineRule="auto"/>
      </w:pPr>
      <w:r>
        <w:rPr>
          <w:rtl/>
        </w:rPr>
        <w:t>بناء النموذج المقترح لإدارة مشاريع التحول التعليمي، وتحديد مكوناته وعناصره الإجرائية، وفق مرجعية PMBOK في ضوء متطلبات TIMSS.</w:t>
      </w:r>
    </w:p>
    <w:p w14:paraId="6A90CDC4" w14:textId="77777777" w:rsidR="00872B2E" w:rsidRDefault="00000000" w:rsidP="00215E53">
      <w:pPr>
        <w:pStyle w:val="a4"/>
        <w:numPr>
          <w:ilvl w:val="0"/>
          <w:numId w:val="3"/>
        </w:numPr>
        <w:bidi/>
        <w:spacing w:after="100" w:line="380" w:lineRule="auto"/>
      </w:pPr>
      <w:r>
        <w:rPr>
          <w:rtl/>
        </w:rPr>
        <w:t>تحديد مؤشرات المتابعة وقياس الأثر التي يمكن اعتمادها للتحقق من فاعلية النموذج المقترح عند تطبيقه.</w:t>
      </w:r>
    </w:p>
    <w:p w14:paraId="5032C5BF" w14:textId="77777777" w:rsidR="00872B2E" w:rsidRDefault="00000000" w:rsidP="00215E53">
      <w:pPr>
        <w:pStyle w:val="1"/>
        <w:bidi/>
        <w:spacing w:before="320" w:after="160"/>
      </w:pPr>
      <w:r>
        <w:rPr>
          <w:rtl/>
        </w:rPr>
        <w:t>أهمية الدراسة</w:t>
      </w:r>
    </w:p>
    <w:p w14:paraId="46D91FA8" w14:textId="77777777" w:rsidR="00872B2E" w:rsidRDefault="00000000" w:rsidP="00215E53">
      <w:pPr>
        <w:pStyle w:val="2"/>
        <w:bidi/>
        <w:spacing w:before="320" w:after="160"/>
      </w:pPr>
      <w:r>
        <w:rPr>
          <w:rtl/>
        </w:rPr>
        <w:t>أولًا: الأهمية النظرية</w:t>
      </w:r>
    </w:p>
    <w:p w14:paraId="12A03FC2" w14:textId="77777777" w:rsidR="00872B2E" w:rsidRDefault="00000000" w:rsidP="00215E53">
      <w:pPr>
        <w:spacing w:after="160"/>
        <w:ind w:firstLine="431"/>
      </w:pPr>
      <w:r>
        <w:rPr>
          <w:rtl/>
        </w:rPr>
        <w:t>تستمد هذه الدراسة أهميتها من طبيعة الفجوة التي تتصدى لها؛ فهي لا تقف عند وصف الواقع أو تشخيص أوجه القصور في البرامج التدريبية، بل تمضي إلى بناء نموذج منهجي يجمع في بنية واحدة بين نتائج التقييمات الدولية، وتطوير الكفايات المهنية للمعلمة، وإدارة مشاريع التطوير التعليمي وفق إطار إجرائي منظم. وبهذا الجمع تقدم إضافة علمية للأدب التربوي العربي، في مجال ما يزال الربط فيه بين متطلبات TIMSS ومرجعية PMBOK محدود الحضور نسبيًا. كما تُسهم الدراسة في إثراء الأدب المنهجي بأداة تحليل محتوى مقنّنة، يمكن توظيفها في دراسات لاحقة لتقويم مدى مواءمة البرامج التدريبية لأطر التقييم الدولية.</w:t>
      </w:r>
    </w:p>
    <w:p w14:paraId="28BAB325" w14:textId="77777777" w:rsidR="00872B2E" w:rsidRDefault="00000000" w:rsidP="00215E53">
      <w:pPr>
        <w:pStyle w:val="2"/>
        <w:bidi/>
        <w:spacing w:before="320" w:after="160"/>
      </w:pPr>
      <w:r>
        <w:rPr>
          <w:rtl/>
        </w:rPr>
        <w:lastRenderedPageBreak/>
        <w:t>ثانيًا: الأهمية التطبيقية</w:t>
      </w:r>
    </w:p>
    <w:p w14:paraId="1D7758BA" w14:textId="77777777" w:rsidR="00872B2E" w:rsidRDefault="00000000" w:rsidP="00215E53">
      <w:pPr>
        <w:spacing w:after="160"/>
        <w:ind w:firstLine="431"/>
      </w:pPr>
      <w:r>
        <w:rPr>
          <w:rtl/>
        </w:rPr>
        <w:t>تتحدد الأهمية التطبيقية في فئات مستفيدة بعينها، هي: مسؤولو التطوير المهني في وزارة التعليم، وإدارات التعليم، والمشرفون التربويون، ومصممو البرامج التدريبية، وقائدات المدارس، ومعلمات العلوم في المرحلة الابتدائية. ولا تقف استفادة هذه الفئات عند حدود الاطلاع على النموذج، بل تمتد إلى توظيفه عمليًا في تشخيص الفجوات استنادًا إلى بيانات TIMSS، ومراجعة البرامج القائمة في ضوء بطاقة التحليل، وترتيب أولويات التطوير، وبناء خطط تدريب وتقويم أكثر دقة، وتنظيم التنفيذ وفق مراحل واضحة، ومتابعة الأداء بمؤشرات مرحلية، وصولًا إلى قياس الأثر وتوثيق الدروس المستفادة.</w:t>
      </w:r>
    </w:p>
    <w:p w14:paraId="06939996" w14:textId="77777777" w:rsidR="00872B2E" w:rsidRDefault="00000000" w:rsidP="00215E53">
      <w:pPr>
        <w:pStyle w:val="2"/>
        <w:bidi/>
        <w:spacing w:before="320" w:after="160"/>
      </w:pPr>
      <w:r>
        <w:rPr>
          <w:rtl/>
        </w:rPr>
        <w:t>ثالثًا: الأهمية التربوية</w:t>
      </w:r>
    </w:p>
    <w:p w14:paraId="6777C3F1" w14:textId="77777777" w:rsidR="00872B2E" w:rsidRDefault="00000000" w:rsidP="00215E53">
      <w:pPr>
        <w:spacing w:after="160"/>
        <w:ind w:firstLine="431"/>
      </w:pPr>
      <w:r>
        <w:rPr>
          <w:rtl/>
        </w:rPr>
        <w:t>تكمن أهمية الدراسة تربويًا في موقع فئتها المستهدفة الرئيسة من العملية التعليمية؛ فمعلمة العلوم في المرحلة الابتدائية هي نقطة البداية في تشكيل الوعي العلمي لدى الطلاب وتنمية ممارسات الاستقصاء لديهم، وأي تحسن في كفاياتها المعرفية والتدريسية والتقويمية ينعكس على جودة الممارسة الصفية، ثم على أداء الطلاب في المهام المرتبطة بمتطلبات TIMSS. ولهذا صاغت الدراسة مؤشرات عملية لقياس هذا الأثر، تشمل تحسن معرفة المعلمة، وتوظيف الأنشطة الاستقصائية في الدرس، وتحسن أداء الطلاب، واستدامة مجتمعات التعلم.</w:t>
      </w:r>
    </w:p>
    <w:p w14:paraId="78A4D415" w14:textId="77777777" w:rsidR="00872B2E" w:rsidRDefault="00000000" w:rsidP="00215E53">
      <w:pPr>
        <w:pStyle w:val="2"/>
        <w:bidi/>
        <w:spacing w:before="320" w:after="160"/>
      </w:pPr>
      <w:r>
        <w:rPr>
          <w:rtl/>
        </w:rPr>
        <w:t>رابعًا: الأهمية المؤسسية والوطنية</w:t>
      </w:r>
    </w:p>
    <w:p w14:paraId="66691A2B" w14:textId="77777777" w:rsidR="00872B2E" w:rsidRDefault="00000000" w:rsidP="00215E53">
      <w:pPr>
        <w:spacing w:after="160"/>
        <w:ind w:firstLine="431"/>
      </w:pPr>
      <w:r>
        <w:rPr>
          <w:rtl/>
        </w:rPr>
        <w:t xml:space="preserve">على المستوى المؤسسي والوطني، تدعم الدراسة توجهات تطوير التعليم القائم على البيانات؛ إذ تسهم في تحويل نتائج التقييم الدولي من مؤشرات تُعرض في التقارير إلى قرارات تطويرية ومشاريع مهنية قابلة </w:t>
      </w:r>
      <w:r>
        <w:rPr>
          <w:rtl/>
        </w:rPr>
        <w:lastRenderedPageBreak/>
        <w:t>للتخطيط والتنفيذ والمتابعة والقياس، وهو ما يجعل النموذج المقترح أداة عملية بين يدي صانع القرار التربوي، تعينه على تحسين فاعلية برامج التطوير المهني وضمان استدامتها. ويتصل هذا التوجه اتصالًا مباشرًا بمستهدفات رؤية المملكة 2030 في رفع جودة مخرجات التعليم، وبما يتطلبه برنامج تنمية القدرات البشرية من ربط التطوير المهني بالأثر القابل للقياس.</w:t>
      </w:r>
    </w:p>
    <w:p w14:paraId="691DDD3A" w14:textId="77777777" w:rsidR="00872B2E" w:rsidRDefault="00000000" w:rsidP="00215E53">
      <w:pPr>
        <w:pStyle w:val="1"/>
        <w:bidi/>
        <w:spacing w:before="320" w:after="160"/>
      </w:pPr>
      <w:r>
        <w:rPr>
          <w:rtl/>
        </w:rPr>
        <w:t>حدود الدراسة</w:t>
      </w:r>
    </w:p>
    <w:p w14:paraId="39BCF2B5" w14:textId="77777777" w:rsidR="00872B2E" w:rsidRDefault="00000000" w:rsidP="00215E53">
      <w:pPr>
        <w:pStyle w:val="a4"/>
        <w:numPr>
          <w:ilvl w:val="0"/>
          <w:numId w:val="4"/>
        </w:numPr>
        <w:bidi/>
        <w:spacing w:after="100" w:line="380" w:lineRule="auto"/>
      </w:pPr>
      <w:r>
        <w:rPr>
          <w:rtl/>
        </w:rPr>
        <w:t>الحد الموضوعي: تحليل البرامج التدريبية الموجّهة لمعلمات العلوم في المرحلة الابتدائية في ضوء متطلبات TIMSS 2019 للصف الرابع، دون قياس الأثر الفعلي لهذه البرامج في أداء المعلمات أو تحصيل الطلاب ميدانيًا.</w:t>
      </w:r>
    </w:p>
    <w:p w14:paraId="20B7CE2A" w14:textId="77777777" w:rsidR="00872B2E" w:rsidRDefault="00000000" w:rsidP="00215E53">
      <w:pPr>
        <w:pStyle w:val="a4"/>
        <w:numPr>
          <w:ilvl w:val="0"/>
          <w:numId w:val="4"/>
        </w:numPr>
        <w:bidi/>
        <w:spacing w:after="100" w:line="380" w:lineRule="auto"/>
      </w:pPr>
      <w:r>
        <w:rPr>
          <w:rtl/>
        </w:rPr>
        <w:t>الحد البشري: معلمات العلوم في المرحلة الابتدائية، بوصفهن الفئة المستهدفة بتطوير الكفايات في النموذج المقترح.</w:t>
      </w:r>
    </w:p>
    <w:p w14:paraId="466CF4E1" w14:textId="77777777" w:rsidR="00872B2E" w:rsidRDefault="00000000" w:rsidP="00215E53">
      <w:pPr>
        <w:pStyle w:val="a4"/>
        <w:numPr>
          <w:ilvl w:val="0"/>
          <w:numId w:val="4"/>
        </w:numPr>
        <w:bidi/>
        <w:spacing w:after="100" w:line="380" w:lineRule="auto"/>
      </w:pPr>
      <w:r>
        <w:rPr>
          <w:rtl/>
        </w:rPr>
        <w:t>الحد المكاني: السياق التعليمي في المملكة العربية السعودية.</w:t>
      </w:r>
    </w:p>
    <w:p w14:paraId="5CFB2A7D" w14:textId="77777777" w:rsidR="00872B2E" w:rsidRDefault="00000000" w:rsidP="00215E53">
      <w:pPr>
        <w:pStyle w:val="a4"/>
        <w:numPr>
          <w:ilvl w:val="0"/>
          <w:numId w:val="4"/>
        </w:numPr>
        <w:bidi/>
        <w:spacing w:after="100" w:line="380" w:lineRule="auto"/>
      </w:pPr>
      <w:r>
        <w:rPr>
          <w:rtl/>
        </w:rPr>
        <w:t>الحد الزماني: البرامج التدريبية الموثقة الصادرة خلال الفترة من عام 2019م إلى عام 2025م.</w:t>
      </w:r>
    </w:p>
    <w:p w14:paraId="2A99D394" w14:textId="77777777" w:rsidR="00872B2E" w:rsidRDefault="00000000" w:rsidP="00215E53">
      <w:pPr>
        <w:pStyle w:val="a4"/>
        <w:numPr>
          <w:ilvl w:val="0"/>
          <w:numId w:val="4"/>
        </w:numPr>
        <w:bidi/>
        <w:spacing w:after="100" w:line="380" w:lineRule="auto"/>
      </w:pPr>
      <w:r>
        <w:rPr>
          <w:rtl/>
        </w:rPr>
        <w:t>الحد المنهجي: اقتصرت الدراسة على تحليل المحتوى المكتوب للحقائب التدريبية ووثائقها المصاحبة، دون ملاحظة صفية مباشرة لتنفيذ التدريب أو أثره.</w:t>
      </w:r>
    </w:p>
    <w:p w14:paraId="6A56AA42" w14:textId="77777777" w:rsidR="00872B2E" w:rsidRDefault="00000000" w:rsidP="00215E53">
      <w:pPr>
        <w:pStyle w:val="1"/>
        <w:bidi/>
        <w:spacing w:before="320" w:after="160"/>
      </w:pPr>
      <w:r>
        <w:rPr>
          <w:rtl/>
        </w:rPr>
        <w:t>مصطلحات الدراسة</w:t>
      </w:r>
    </w:p>
    <w:p w14:paraId="19CE897C" w14:textId="77777777" w:rsidR="00872B2E" w:rsidRDefault="00000000" w:rsidP="00215E53">
      <w:pPr>
        <w:spacing w:after="160"/>
        <w:ind w:firstLine="431"/>
      </w:pPr>
      <w:r>
        <w:rPr>
          <w:rtl/>
        </w:rPr>
        <w:t>تتبنى الدراسة التعريفات الآتية، وقد صيغ كل مصطلح تعريفًا اصطلاحيًا ثم تعريفًا إجرائيًا يحدد دلالته في سياق هذه الدراسة تحديدًا:</w:t>
      </w:r>
    </w:p>
    <w:p w14:paraId="237D15EB" w14:textId="77777777" w:rsidR="00872B2E" w:rsidRDefault="00000000" w:rsidP="00215E53">
      <w:pPr>
        <w:pStyle w:val="3"/>
        <w:bidi/>
        <w:spacing w:before="320" w:after="160"/>
      </w:pPr>
      <w:r>
        <w:rPr>
          <w:rtl/>
        </w:rPr>
        <w:lastRenderedPageBreak/>
        <w:t>التحول التعليمي (</w:t>
      </w:r>
      <w:proofErr w:type="spellStart"/>
      <w:r>
        <w:rPr>
          <w:rtl/>
        </w:rPr>
        <w:t>Educational</w:t>
      </w:r>
      <w:proofErr w:type="spellEnd"/>
      <w:r>
        <w:rPr>
          <w:rtl/>
        </w:rPr>
        <w:t xml:space="preserve"> </w:t>
      </w:r>
      <w:proofErr w:type="spellStart"/>
      <w:r>
        <w:rPr>
          <w:rtl/>
        </w:rPr>
        <w:t>Transformation</w:t>
      </w:r>
      <w:proofErr w:type="spellEnd"/>
      <w:r>
        <w:rPr>
          <w:rtl/>
        </w:rPr>
        <w:t>)</w:t>
      </w:r>
    </w:p>
    <w:p w14:paraId="10BE90DF" w14:textId="77777777" w:rsidR="00872B2E" w:rsidRDefault="00000000" w:rsidP="00215E53">
      <w:pPr>
        <w:spacing w:after="160"/>
        <w:ind w:firstLine="431"/>
      </w:pPr>
      <w:r>
        <w:rPr>
          <w:rtl/>
        </w:rPr>
        <w:t>اصطلاحًا: تغيير مقصود وعميق في بنية المنظومة التعليمية وعلاقات عناصرها وآليات عملها، يتجاوز التحسين الجزئي إلى إعادة تشكيل النظام بما يضمن الجودة والاستدامة. وإجرائيًا: التحول المنهجي المقصود في منظومة تطوير كفايات معلمات العلوم، القائم على تحويل بيانات TIMSS من مؤشرات تشخيصية إلى تدخلات تطويرية مخططة ومنظمة، تُدار بوصفها مشاريع لها مدخلات وعمليات ومخرجات وأثر قابل للقياس.</w:t>
      </w:r>
    </w:p>
    <w:p w14:paraId="79C86CD6" w14:textId="77777777" w:rsidR="00872B2E" w:rsidRDefault="00000000" w:rsidP="00215E53">
      <w:pPr>
        <w:pStyle w:val="3"/>
        <w:bidi/>
        <w:spacing w:before="320" w:after="160"/>
      </w:pPr>
      <w:r>
        <w:rPr>
          <w:rtl/>
        </w:rPr>
        <w:t>إدارة المشاريع التعليمية (</w:t>
      </w:r>
      <w:proofErr w:type="spellStart"/>
      <w:r>
        <w:rPr>
          <w:rtl/>
        </w:rPr>
        <w:t>Educational</w:t>
      </w:r>
      <w:proofErr w:type="spellEnd"/>
      <w:r>
        <w:rPr>
          <w:rtl/>
        </w:rPr>
        <w:t xml:space="preserve"> </w:t>
      </w:r>
      <w:proofErr w:type="spellStart"/>
      <w:r>
        <w:rPr>
          <w:rtl/>
        </w:rPr>
        <w:t>Project</w:t>
      </w:r>
      <w:proofErr w:type="spellEnd"/>
      <w:r>
        <w:rPr>
          <w:rtl/>
        </w:rPr>
        <w:t xml:space="preserve"> </w:t>
      </w:r>
      <w:proofErr w:type="spellStart"/>
      <w:r>
        <w:rPr>
          <w:rtl/>
        </w:rPr>
        <w:t>Management</w:t>
      </w:r>
      <w:proofErr w:type="spellEnd"/>
      <w:r>
        <w:rPr>
          <w:rtl/>
        </w:rPr>
        <w:t>)</w:t>
      </w:r>
    </w:p>
    <w:p w14:paraId="190445EE" w14:textId="77777777" w:rsidR="00872B2E" w:rsidRDefault="00000000" w:rsidP="00215E53">
      <w:pPr>
        <w:spacing w:after="160"/>
        <w:ind w:firstLine="431"/>
      </w:pPr>
      <w:r>
        <w:rPr>
          <w:rtl/>
        </w:rPr>
        <w:t xml:space="preserve">اصطلاحًا: تطبيق المعارف والمهارات والأدوات والأساليب على أنشطة المشروع التعليمي لتلبية متطلباته وتحقيق أهدافه ضمن قيود </w:t>
      </w:r>
      <w:proofErr w:type="gramStart"/>
      <w:r>
        <w:rPr>
          <w:rtl/>
        </w:rPr>
        <w:t>النطاق</w:t>
      </w:r>
      <w:proofErr w:type="gramEnd"/>
      <w:r>
        <w:rPr>
          <w:rtl/>
        </w:rPr>
        <w:t xml:space="preserve"> والوقت والكلفة والجودة. وإجرائيًا: توظيف مبادئ PMBOK وأدواته ومجموعات عملياته الخمس في تخطيط مشاريع التطوير المهني، وتنفيذها، ومتابعتها، وتقويمها، بما يضمن وضوح الأهداف والنطاق والموارد ومؤشرات الأداء.</w:t>
      </w:r>
    </w:p>
    <w:p w14:paraId="53FB7C6C" w14:textId="77777777" w:rsidR="00872B2E" w:rsidRDefault="00000000" w:rsidP="00215E53">
      <w:pPr>
        <w:pStyle w:val="3"/>
        <w:bidi/>
        <w:spacing w:before="320" w:after="160"/>
      </w:pPr>
      <w:r>
        <w:rPr>
          <w:rtl/>
        </w:rPr>
        <w:t>الكفايات المهنية لمعلمة العلوم (</w:t>
      </w:r>
      <w:proofErr w:type="spellStart"/>
      <w:r>
        <w:rPr>
          <w:rtl/>
        </w:rPr>
        <w:t>Professional</w:t>
      </w:r>
      <w:proofErr w:type="spellEnd"/>
      <w:r>
        <w:rPr>
          <w:rtl/>
        </w:rPr>
        <w:t xml:space="preserve"> </w:t>
      </w:r>
      <w:proofErr w:type="spellStart"/>
      <w:r>
        <w:rPr>
          <w:rtl/>
        </w:rPr>
        <w:t>Competencies</w:t>
      </w:r>
      <w:proofErr w:type="spellEnd"/>
      <w:r>
        <w:rPr>
          <w:rtl/>
        </w:rPr>
        <w:t xml:space="preserve"> </w:t>
      </w:r>
      <w:proofErr w:type="spellStart"/>
      <w:r>
        <w:rPr>
          <w:rtl/>
        </w:rPr>
        <w:t>of</w:t>
      </w:r>
      <w:proofErr w:type="spellEnd"/>
      <w:r>
        <w:rPr>
          <w:rtl/>
        </w:rPr>
        <w:t xml:space="preserve"> </w:t>
      </w:r>
      <w:proofErr w:type="spellStart"/>
      <w:r>
        <w:rPr>
          <w:rtl/>
        </w:rPr>
        <w:t>the</w:t>
      </w:r>
      <w:proofErr w:type="spellEnd"/>
      <w:r>
        <w:rPr>
          <w:rtl/>
        </w:rPr>
        <w:t xml:space="preserve"> </w:t>
      </w:r>
      <w:proofErr w:type="spellStart"/>
      <w:r>
        <w:rPr>
          <w:rtl/>
        </w:rPr>
        <w:t>Science</w:t>
      </w:r>
      <w:proofErr w:type="spellEnd"/>
      <w:r>
        <w:rPr>
          <w:rtl/>
        </w:rPr>
        <w:t xml:space="preserve"> </w:t>
      </w:r>
      <w:proofErr w:type="spellStart"/>
      <w:r>
        <w:rPr>
          <w:rtl/>
        </w:rPr>
        <w:t>Teacher</w:t>
      </w:r>
      <w:proofErr w:type="spellEnd"/>
      <w:r>
        <w:rPr>
          <w:rtl/>
        </w:rPr>
        <w:t>)</w:t>
      </w:r>
    </w:p>
    <w:p w14:paraId="71E12794" w14:textId="77777777" w:rsidR="00872B2E" w:rsidRDefault="00000000" w:rsidP="00215E53">
      <w:pPr>
        <w:spacing w:after="160"/>
        <w:ind w:firstLine="431"/>
      </w:pPr>
      <w:r>
        <w:rPr>
          <w:rtl/>
        </w:rPr>
        <w:t>اصطلاحًا: المنظومة المتكاملة من المعارف والمهارات والاتجاهات التي تمكّن المعلمة من أداء مهامها المهنية بمستوى محدد من الإتقان. وإجرائيًا: المنظومة التي تمكّن المعلمة من التدريس الفاعل وفق متطلبات TIMSS، وتشمل: كفايات معرفية متصلة بمحتوى العلوم، وكفايات تدريسية متصلة بالاستقصاء والتفكير، وكفايات تقويمية متصلة ببناء أدوات قياس متوافقة مع المستويات المعرفية لـ TIMSS وتفسير نتائجها لتوجيه الممارسة الصفية، وكفايات مهنية متصلة بالتعلم المستمر والمشاركة في مجتمعات التعلم.</w:t>
      </w:r>
    </w:p>
    <w:p w14:paraId="65B84BA1" w14:textId="77777777" w:rsidR="00872B2E" w:rsidRDefault="00000000" w:rsidP="00215E53">
      <w:pPr>
        <w:pStyle w:val="3"/>
        <w:bidi/>
        <w:spacing w:before="320" w:after="160"/>
      </w:pPr>
      <w:r>
        <w:rPr>
          <w:rtl/>
        </w:rPr>
        <w:lastRenderedPageBreak/>
        <w:t xml:space="preserve">متطلبات TIMSS (TIMSS </w:t>
      </w:r>
      <w:proofErr w:type="spellStart"/>
      <w:r>
        <w:rPr>
          <w:rtl/>
        </w:rPr>
        <w:t>Requirements</w:t>
      </w:r>
      <w:proofErr w:type="spellEnd"/>
      <w:r>
        <w:rPr>
          <w:rtl/>
        </w:rPr>
        <w:t>)</w:t>
      </w:r>
    </w:p>
    <w:p w14:paraId="6A3A4ADC" w14:textId="77777777" w:rsidR="00872B2E" w:rsidRDefault="00000000" w:rsidP="00215E53">
      <w:pPr>
        <w:spacing w:after="160"/>
        <w:ind w:firstLine="431"/>
      </w:pPr>
      <w:r>
        <w:rPr>
          <w:rtl/>
        </w:rPr>
        <w:t>إجرائيًا: مجموع ما يحدده الإطار المرجعي لدراسة TIMSS 2019 للصف الرابع من مجالات محتوى علمي، ومجالات معرفية، وممارسات علمية استقصائية، وما يستلزمه ذلك من استراتيجيات تدريس وأساليب تقويم، وفق ما ورد في الإطار المرجعي للدراسة.</w:t>
      </w:r>
    </w:p>
    <w:p w14:paraId="5956BEED" w14:textId="77777777" w:rsidR="00872B2E" w:rsidRDefault="00000000" w:rsidP="00215E53">
      <w:pPr>
        <w:pStyle w:val="3"/>
        <w:bidi/>
        <w:spacing w:before="320" w:after="160"/>
      </w:pPr>
      <w:r>
        <w:rPr>
          <w:rtl/>
        </w:rPr>
        <w:t>النموذج المقترح (</w:t>
      </w:r>
      <w:proofErr w:type="spellStart"/>
      <w:r>
        <w:rPr>
          <w:rtl/>
        </w:rPr>
        <w:t>The</w:t>
      </w:r>
      <w:proofErr w:type="spellEnd"/>
      <w:r>
        <w:rPr>
          <w:rtl/>
        </w:rPr>
        <w:t xml:space="preserve"> </w:t>
      </w:r>
      <w:proofErr w:type="spellStart"/>
      <w:r>
        <w:rPr>
          <w:rtl/>
        </w:rPr>
        <w:t>Proposed</w:t>
      </w:r>
      <w:proofErr w:type="spellEnd"/>
      <w:r>
        <w:rPr>
          <w:rtl/>
        </w:rPr>
        <w:t xml:space="preserve"> </w:t>
      </w:r>
      <w:proofErr w:type="spellStart"/>
      <w:r>
        <w:rPr>
          <w:rtl/>
        </w:rPr>
        <w:t>Model</w:t>
      </w:r>
      <w:proofErr w:type="spellEnd"/>
      <w:r>
        <w:rPr>
          <w:rtl/>
        </w:rPr>
        <w:t>)</w:t>
      </w:r>
    </w:p>
    <w:p w14:paraId="6FE75E3D" w14:textId="77777777" w:rsidR="00872B2E" w:rsidRDefault="00000000" w:rsidP="00215E53">
      <w:pPr>
        <w:spacing w:after="160"/>
        <w:ind w:firstLine="431"/>
      </w:pPr>
      <w:r>
        <w:rPr>
          <w:rtl/>
        </w:rPr>
        <w:t>إجرائيًا: البناء المنظم الذي توصلت إليه الدراسة، ويتضمن مجموعة من المكونات والمراحل والعناصر الإجرائية والمؤشرات، مرتبة وفق مجموعات عمليات PMBOK الخمس، ويهدف إلى إدارة مشاريع تطوير كفايات معلمات العلوم في ضوء متطلبات TIMSS.</w:t>
      </w:r>
    </w:p>
    <w:p w14:paraId="1A1749B1" w14:textId="77777777" w:rsidR="00872B2E" w:rsidRDefault="00000000" w:rsidP="00215E53">
      <w:r>
        <w:br w:type="page"/>
      </w:r>
    </w:p>
    <w:p w14:paraId="0A72C4C6" w14:textId="77777777" w:rsidR="00872B2E" w:rsidRDefault="00000000" w:rsidP="00215E53">
      <w:pPr>
        <w:spacing w:before="400" w:after="80"/>
      </w:pPr>
      <w:r>
        <w:rPr>
          <w:b/>
          <w:bCs/>
          <w:color w:val="2E5496"/>
          <w:sz w:val="32"/>
          <w:szCs w:val="32"/>
          <w:rtl/>
        </w:rPr>
        <w:lastRenderedPageBreak/>
        <w:t>الفصل الثاني</w:t>
      </w:r>
    </w:p>
    <w:p w14:paraId="6FF39F9E" w14:textId="77777777" w:rsidR="00872B2E" w:rsidRDefault="00000000" w:rsidP="00215E53">
      <w:pPr>
        <w:pBdr>
          <w:bottom w:val="single" w:sz="12" w:space="10" w:color="1F3864"/>
        </w:pBdr>
        <w:spacing w:after="360"/>
      </w:pPr>
      <w:r>
        <w:rPr>
          <w:b/>
          <w:bCs/>
          <w:color w:val="1F3864"/>
          <w:sz w:val="38"/>
          <w:szCs w:val="38"/>
          <w:rtl/>
        </w:rPr>
        <w:t>الإطار النظري والدراسات السابقة</w:t>
      </w:r>
    </w:p>
    <w:p w14:paraId="703F595F" w14:textId="77777777" w:rsidR="00872B2E" w:rsidRDefault="00000000" w:rsidP="00215E53">
      <w:pPr>
        <w:pStyle w:val="1"/>
        <w:bidi/>
        <w:spacing w:before="320" w:after="160"/>
      </w:pPr>
      <w:r>
        <w:rPr>
          <w:rtl/>
        </w:rPr>
        <w:t>الإطار النظري</w:t>
      </w:r>
    </w:p>
    <w:p w14:paraId="49547DC8" w14:textId="77777777" w:rsidR="00872B2E" w:rsidRDefault="00000000" w:rsidP="00215E53">
      <w:pPr>
        <w:spacing w:after="160"/>
        <w:ind w:firstLine="431"/>
      </w:pPr>
      <w:r>
        <w:rPr>
          <w:rtl/>
        </w:rPr>
        <w:t xml:space="preserve">تستند الدراسة نظريًا إلى </w:t>
      </w:r>
      <w:proofErr w:type="gramStart"/>
      <w:r>
        <w:rPr>
          <w:rtl/>
        </w:rPr>
        <w:t>أربعة</w:t>
      </w:r>
      <w:proofErr w:type="gramEnd"/>
      <w:r>
        <w:rPr>
          <w:rtl/>
        </w:rPr>
        <w:t xml:space="preserve"> منطلقات متكاملة، هي: مدخل التقييمات الدولية ممثلًا في دراسة الاتجاهات الدولية في الرياضيات والعلوم (TIMSS)، ومدخل التحول التعليمي، ومدخل الكفايات المهنية للمعلم، ومرجعية إدارة المشاريع وفق دليل PMBOK. ولا تعمل هذه المنطلقات في صورة منفصلة، بل تنتظم في بنية تفسيرية واحدة؛ إذ يوفّر التقييم الدولي بيانات التشخيص، ويحدّد التحول التعليمي الغاية التطويرية، ويترجم مدخل الكفايات هذه الغاية إلى متطلبات مهنية قابلة للتنمية، بينما تمنح إدارة المشاريع الإطار المنهجي الذي ينظم التخطيط والتنفيذ والمتابعة وقياس الأثر.</w:t>
      </w:r>
    </w:p>
    <w:p w14:paraId="496A4DA1" w14:textId="77777777" w:rsidR="00872B2E" w:rsidRDefault="00000000" w:rsidP="00215E53">
      <w:pPr>
        <w:pStyle w:val="2"/>
        <w:bidi/>
        <w:spacing w:before="320" w:after="160"/>
      </w:pPr>
      <w:r>
        <w:rPr>
          <w:rtl/>
        </w:rPr>
        <w:t>أولًا: مدخل التقييمات الدولية وإطار TIMSS</w:t>
      </w:r>
    </w:p>
    <w:p w14:paraId="0E30E984" w14:textId="77777777" w:rsidR="00872B2E" w:rsidRDefault="00000000" w:rsidP="00215E53">
      <w:pPr>
        <w:spacing w:after="160"/>
        <w:ind w:firstLine="431"/>
      </w:pPr>
      <w:r>
        <w:rPr>
          <w:rtl/>
        </w:rPr>
        <w:t xml:space="preserve">تُعد التقييمات الدولية من الأدوات الرئيسة في تشخيص واقع النظم التعليمية، لما توفره من بيانات معيارية تسمح بقراءة مستويات </w:t>
      </w:r>
      <w:proofErr w:type="gramStart"/>
      <w:r>
        <w:rPr>
          <w:rtl/>
        </w:rPr>
        <w:t>التحصيل</w:t>
      </w:r>
      <w:proofErr w:type="gramEnd"/>
      <w:r>
        <w:rPr>
          <w:rtl/>
        </w:rPr>
        <w:t xml:space="preserve"> وأنماط الأداء ومواطن القوة والقصور. ويأتي TIMSS في مقدمة هذه التقييمات في مجال العلوم والرياضيات، إذ يُطبَّق كل أربع سنوات منذ عام 1995م على طلبة الصفين الرابع الابتدائي والثاني المتوسط، ويُشرف عليه الاتحاد الدولي لتقييم التحصيل التربوي (IEA). ومن أبرز ما يميّزه أنه يقيس ما تعلّمه الطالب بالفعل من المنهج المطبَّق، لا ما هو مخطط له فحسب، وهو ما يجعل نتائجه مؤشرًا على فاعلية الممارسة التدريسية بقدر ما هي مؤشر على جودة المنهج.</w:t>
      </w:r>
    </w:p>
    <w:p w14:paraId="057B2022" w14:textId="77777777" w:rsidR="00872B2E" w:rsidRDefault="00000000" w:rsidP="00215E53">
      <w:pPr>
        <w:pStyle w:val="3"/>
        <w:bidi/>
        <w:spacing w:before="320" w:after="160"/>
      </w:pPr>
      <w:r>
        <w:rPr>
          <w:rtl/>
        </w:rPr>
        <w:lastRenderedPageBreak/>
        <w:t>بنية إطار TIMSS في العلوم</w:t>
      </w:r>
    </w:p>
    <w:p w14:paraId="5F8C6E26" w14:textId="77777777" w:rsidR="00872B2E" w:rsidRDefault="00000000" w:rsidP="00215E53">
      <w:pPr>
        <w:spacing w:after="160"/>
        <w:ind w:firstLine="431"/>
      </w:pPr>
      <w:r>
        <w:rPr>
          <w:rtl/>
        </w:rPr>
        <w:t>يقوم إطار TIMSS في العلوم على بعدين متقاطعين: بُعد المحتوى، الذي يحدد الموضوعات العلمية المستهدفة، والبعد المعرفي، الذي يحدد العمليات الذهنية المتوقع من الطالب ممارستها عند التعامل مع هذا المحتوى. ففي الصف الرابع تتوزع مجالات المحتوى على: علوم الحياة، والعلوم الفيزيائية، وعلوم الأرض، بأوزان نسبية متدرجة يمنح فيها الإطار الثقل الأكبر لعلوم الحياة. أما البعد المعرفي فيتوزع على ثلاثة مستويات هي: المعرفة، والتطبيق، والاستدلال، بحيث يُخصص للمستويين الأولين النصيب الأكبر في هذا الصف، ويُترك للاستدلال نصيب أقل يتصاعد في الصف الثاني المتوسط (</w:t>
      </w:r>
      <w:proofErr w:type="spellStart"/>
      <w:r>
        <w:rPr>
          <w:rtl/>
        </w:rPr>
        <w:t>Mullis</w:t>
      </w:r>
      <w:proofErr w:type="spellEnd"/>
      <w:r>
        <w:rPr>
          <w:rtl/>
        </w:rPr>
        <w:t xml:space="preserve"> &amp; </w:t>
      </w:r>
      <w:proofErr w:type="spellStart"/>
      <w:r>
        <w:rPr>
          <w:rtl/>
        </w:rPr>
        <w:t>Martin</w:t>
      </w:r>
      <w:proofErr w:type="spellEnd"/>
      <w:r>
        <w:rPr>
          <w:rtl/>
        </w:rPr>
        <w:t>, 2017).</w:t>
      </w:r>
    </w:p>
    <w:p w14:paraId="296A91AE" w14:textId="77777777" w:rsidR="00872B2E" w:rsidRDefault="00000000" w:rsidP="00215E53">
      <w:pPr>
        <w:spacing w:after="160"/>
        <w:ind w:firstLine="431"/>
      </w:pPr>
      <w:r>
        <w:rPr>
          <w:rtl/>
        </w:rPr>
        <w:t xml:space="preserve">ولا تنحصر دلالة هذا التوزيع في تخطيط بناء الاختبار، بل تمتد إلى الممارسة الصفية؛ فالمعلمة التي لا تدرك أن نحو ثلثي مهام الاختبار تتجاوز مستوى التذكر إلى التطبيق والاستدلال، ستظل تبني أسئلتها الصفية على استرجاع المعلومة، فتتشكّل لدى طلابها عادة ذهنية لا تتوافق مع طبيعة المهام التي </w:t>
      </w:r>
      <w:proofErr w:type="spellStart"/>
      <w:r>
        <w:rPr>
          <w:rtl/>
        </w:rPr>
        <w:t>سيواجهونها</w:t>
      </w:r>
      <w:proofErr w:type="spellEnd"/>
      <w:r>
        <w:rPr>
          <w:rtl/>
        </w:rPr>
        <w:t>. ومن هنا فإن المستويات المعرفية لـ TIMSS ليست تصنيفًا لأغراض القياس فقط، بل هي في جوهرها مواصفة للممارسة التدريسية والتقويمية اليومية.</w:t>
      </w:r>
    </w:p>
    <w:p w14:paraId="78638CEF" w14:textId="77777777" w:rsidR="00872B2E" w:rsidRDefault="00000000" w:rsidP="00215E53">
      <w:pPr>
        <w:pStyle w:val="3"/>
        <w:bidi/>
        <w:spacing w:before="320" w:after="160"/>
      </w:pPr>
      <w:r>
        <w:rPr>
          <w:rtl/>
        </w:rPr>
        <w:t>الممارسات العلمية الاستقصائية</w:t>
      </w:r>
    </w:p>
    <w:p w14:paraId="1E22AD07" w14:textId="77777777" w:rsidR="00872B2E" w:rsidRDefault="00000000" w:rsidP="00215E53">
      <w:pPr>
        <w:spacing w:after="160"/>
        <w:ind w:firstLine="431"/>
      </w:pPr>
      <w:r>
        <w:rPr>
          <w:rtl/>
        </w:rPr>
        <w:t>أبرز ما استقر عليه الإطار في نسخته الحديثة تضمينُه مجموعة من الممارسات العلمية التي تُمارَس عبر مجالات المحتوى والمستويات المعرفية جميعًا، وتتمثل في: طرح الأسئلة القائمة على الملاحظة وتوليد الفرضيات، وتصميم الاستقصاءات، والعمل مع البيانات وتمثيلها، والإجابة عن سؤال البحث في ضوء الأدلة، وبناء الحجة المدعومة بالدليل (</w:t>
      </w:r>
      <w:proofErr w:type="spellStart"/>
      <w:r>
        <w:rPr>
          <w:rtl/>
        </w:rPr>
        <w:t>Mullis</w:t>
      </w:r>
      <w:proofErr w:type="spellEnd"/>
      <w:r>
        <w:rPr>
          <w:rtl/>
        </w:rPr>
        <w:t xml:space="preserve"> &amp; </w:t>
      </w:r>
      <w:proofErr w:type="spellStart"/>
      <w:r>
        <w:rPr>
          <w:rtl/>
        </w:rPr>
        <w:t>Martin</w:t>
      </w:r>
      <w:proofErr w:type="spellEnd"/>
      <w:r>
        <w:rPr>
          <w:rtl/>
        </w:rPr>
        <w:t xml:space="preserve">, 2017). وهذه الممارسات تعكس تحولًا في </w:t>
      </w:r>
      <w:r>
        <w:rPr>
          <w:rtl/>
        </w:rPr>
        <w:lastRenderedPageBreak/>
        <w:t>فلسفة تعليم العلوم من التعليم القائم على عرض المعرفة إلى التعليم القائم على بناء المعرفة من الأدلة، وهو تحول تسنده أدبيات فاعلية التدريس الاستقصائي التي أظهرت ارتباطًا موجبًا بين الاستراتيجيات القائمة على الاستقصاء وتحصيل الطلاب في العلوم وفهمهم المفاهيمي (</w:t>
      </w:r>
      <w:proofErr w:type="spellStart"/>
      <w:r>
        <w:rPr>
          <w:rtl/>
        </w:rPr>
        <w:t>Minner</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2010; </w:t>
      </w:r>
      <w:proofErr w:type="spellStart"/>
      <w:r>
        <w:rPr>
          <w:rtl/>
        </w:rPr>
        <w:t>Furtak</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2012).</w:t>
      </w:r>
    </w:p>
    <w:p w14:paraId="3354B74A" w14:textId="77777777" w:rsidR="00872B2E" w:rsidRDefault="00000000" w:rsidP="00215E53">
      <w:pPr>
        <w:pStyle w:val="3"/>
        <w:bidi/>
        <w:spacing w:before="320" w:after="160"/>
      </w:pPr>
      <w:r>
        <w:rPr>
          <w:rtl/>
        </w:rPr>
        <w:t>المستويات المعيارية الدولية ودلالتها التشخيصية</w:t>
      </w:r>
    </w:p>
    <w:p w14:paraId="5408723D" w14:textId="77777777" w:rsidR="00872B2E" w:rsidRDefault="00000000" w:rsidP="00215E53">
      <w:pPr>
        <w:spacing w:after="160"/>
        <w:ind w:firstLine="431"/>
      </w:pPr>
      <w:r>
        <w:rPr>
          <w:rtl/>
        </w:rPr>
        <w:t>يوظّف TIMSS أربعة مستويات معيارية دولية (متقدم، ومرتفع، ومتوسط، ومنخفض) موزعة على مقياس معياري تقع نقطة مركزه عند (500) نقطة. وتكمن القيمة التشخيصية لهذه المستويات في أنها تصف ما يستطيع الطالب فعله عند كل مستوى، لا مجرد موقعه في ترتيب عددي؛ ومن ثم فإن نسبة الطلاب غير البالغين للمستوى المنخفض تمثل مؤشرًا مباشرًا على حجم الفجوة التعليمية التي ينبغي أن تستهدفها التدخلات التطويرية. وقد بلغ متوسط أداء طلبة الصف الرابع في المملكة في العلوم في دورة 2019م نحو (402) نقطة، وهو مستوى يستدعي قراءة تحليلية للممارسات الصفية والتأهيل المهني للمعلمين أكثر مما يستدعي قراءة ترتيبية (</w:t>
      </w:r>
      <w:proofErr w:type="spellStart"/>
      <w:r>
        <w:rPr>
          <w:rtl/>
        </w:rPr>
        <w:t>Mullis</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2020).</w:t>
      </w:r>
    </w:p>
    <w:p w14:paraId="63137EA0" w14:textId="77777777" w:rsidR="00872B2E" w:rsidRDefault="00000000" w:rsidP="00215E53">
      <w:pPr>
        <w:spacing w:after="160"/>
        <w:ind w:firstLine="431"/>
      </w:pPr>
      <w:r>
        <w:rPr>
          <w:rtl/>
        </w:rPr>
        <w:t xml:space="preserve">ومن ثم، فإن قيمة TIMSS لا تكمن في ترتيب الأنظمة التعليمية فحسب، بل </w:t>
      </w:r>
      <w:proofErr w:type="gramStart"/>
      <w:r>
        <w:rPr>
          <w:rtl/>
        </w:rPr>
        <w:t>في ما</w:t>
      </w:r>
      <w:proofErr w:type="gramEnd"/>
      <w:r>
        <w:rPr>
          <w:rtl/>
        </w:rPr>
        <w:t xml:space="preserve"> يقدمه من أساس تشخيصي يمكن الاستناد إليه في إعادة بناء برامج التطوير المهني للمعلمين، وبخاصة في مجالات المحتوى العلمي، ومستويات التفكير، </w:t>
      </w:r>
      <w:proofErr w:type="gramStart"/>
      <w:r>
        <w:rPr>
          <w:rtl/>
        </w:rPr>
        <w:t xml:space="preserve">وممارسات التدريس </w:t>
      </w:r>
      <w:proofErr w:type="gramEnd"/>
      <w:r>
        <w:rPr>
          <w:rtl/>
        </w:rPr>
        <w:t>والتقويم. غير أن هذا الأساس التشخيصي يبقى معطّلًا ما لم توجد آلية منهجية تترجمه إلى تدخلات، وهو ما يبرر انتقال الإطار النظري لهذه الدراسة إلى المدخل الثاني.</w:t>
      </w:r>
    </w:p>
    <w:p w14:paraId="7DEDB29D" w14:textId="77777777" w:rsidR="00872B2E" w:rsidRDefault="00000000" w:rsidP="00215E53">
      <w:pPr>
        <w:pStyle w:val="2"/>
        <w:bidi/>
        <w:spacing w:before="320" w:after="160"/>
      </w:pPr>
      <w:r>
        <w:rPr>
          <w:rtl/>
        </w:rPr>
        <w:lastRenderedPageBreak/>
        <w:t>ثانيًا: مدخل التحول التعليمي</w:t>
      </w:r>
    </w:p>
    <w:p w14:paraId="22EA1FDB" w14:textId="77777777" w:rsidR="00872B2E" w:rsidRDefault="00000000" w:rsidP="00215E53">
      <w:pPr>
        <w:spacing w:after="160"/>
        <w:ind w:firstLine="431"/>
      </w:pPr>
      <w:r>
        <w:rPr>
          <w:rtl/>
        </w:rPr>
        <w:t>ينطلق مفهوم التحول التعليمي من أن إصلاح التعليم لا يتحقق عبر معالجات جزئية أو مبادرات منفصلة، بل من خلال تغيير مقصود في بنية المنظومة التعليمية وعلاقات عناصرها وآليات عملها. وفي هذا السياق، تميز أدبيات التغيير التربوي بين التحسين التدريجي الذي يقتصر على جوانب محددة، والتحول البنيوي الذي يعيد تشكيل النظام بما يضمن الجودة والمرونة والاستدامة (</w:t>
      </w:r>
      <w:proofErr w:type="spellStart"/>
      <w:r>
        <w:rPr>
          <w:rtl/>
        </w:rPr>
        <w:t>Fullan</w:t>
      </w:r>
      <w:proofErr w:type="spellEnd"/>
      <w:r>
        <w:rPr>
          <w:rtl/>
        </w:rPr>
        <w:t>, 2016).</w:t>
      </w:r>
    </w:p>
    <w:p w14:paraId="0AD4E0EA" w14:textId="77777777" w:rsidR="00872B2E" w:rsidRDefault="00000000" w:rsidP="00215E53">
      <w:pPr>
        <w:spacing w:after="160"/>
        <w:ind w:firstLine="431"/>
      </w:pPr>
      <w:r>
        <w:rPr>
          <w:rtl/>
        </w:rPr>
        <w:t>ويشير الأدب التربوي إلى أن أغلب مبادرات الإصلاح تخفق لا لضعف في فكرتها، بل لضعف في إدارتها؛ إذ تُطلق دون قراءة كافية لواقع التطبيق، ودون بناء لقدرة الفاعلين على تنفيذها، ودون آليات تتيح تصحيح المسار أثناء التنفيذ. ومن هنا برز التمييز بين «التغيير المفروض» الذي يُدار من الأعلى ويُقاوَم في الميدان، و«التغيير المبني على القدرة» الذي يُشرك المعلم بوصفه فاعلًا لا متلقيًا، ويستثمر البيانات في توجيه القرار. وتؤكد هذه الأدبيات أن استدامة التحول ترتبط بثلاثة شروط: وضوح الغاية، وبناء القدرة المهنية، ووجود نظام للمتابعة والمساءلة المهنية القائمة على الأدلة.</w:t>
      </w:r>
    </w:p>
    <w:p w14:paraId="23C52802" w14:textId="77777777" w:rsidR="00872B2E" w:rsidRDefault="00000000" w:rsidP="00215E53">
      <w:pPr>
        <w:spacing w:after="160"/>
        <w:ind w:firstLine="431"/>
      </w:pPr>
      <w:r>
        <w:rPr>
          <w:rtl/>
        </w:rPr>
        <w:t>كما أكدت التوجهات الدولية الحديثة أن تحويل التعليم يرتبط ارتباطًا وثيقًا بتطوير جودة التدريس وكفايات المعلمين، بوصفهم أكثر الفاعلين تأثيرًا في نواتج التعلم، وهو ما شددت عليه مبادرة اليونسكو لتحويل التعليم في سياق تحقيق الهدف الرابع من أهداف التنمية المستدامة (UNESCO, 2022). وعلى المستوى الوطني، تنسجم هذه الرؤية مع ما تستهدفه رؤية المملكة 2030 من رفع جودة مخرجات التعليم، وما يتبناه برنامج تنمية القدرات البشرية من تركيز على بناء القدرات المهنية للمعلم بوصفها مدخلًا رئيسًا لتحسين النواتج.</w:t>
      </w:r>
    </w:p>
    <w:p w14:paraId="5D9C94A4" w14:textId="77777777" w:rsidR="00872B2E" w:rsidRDefault="00000000" w:rsidP="00215E53">
      <w:pPr>
        <w:spacing w:after="160"/>
        <w:ind w:firstLine="431"/>
      </w:pPr>
      <w:r>
        <w:rPr>
          <w:rtl/>
        </w:rPr>
        <w:lastRenderedPageBreak/>
        <w:t xml:space="preserve">وتتبنى الدراسة الحالية فهمًا إجرائيًا للتحول التعليمي يجعله عملية انتقال منظمة من حالة قائمة (برامج تدريبية عامة، ضعيفة الارتباط بالبيانات، محدودة المتابعة) إلى حالة مستهدفة (مشاريع تطوير مهني مبنية على تشخيص دقيق، مُدارة بمنهجية، </w:t>
      </w:r>
      <w:proofErr w:type="spellStart"/>
      <w:r>
        <w:rPr>
          <w:rtl/>
        </w:rPr>
        <w:t>مقيسة</w:t>
      </w:r>
      <w:proofErr w:type="spellEnd"/>
      <w:r>
        <w:rPr>
          <w:rtl/>
        </w:rPr>
        <w:t xml:space="preserve"> الأثر). وهذا الفهم هو ما يجعل الانتقال إلى مدخل الكفايات ضروريًا؛ إذ لا معنى للتحول ما لم يُترجم إلى تغيّر ملموس </w:t>
      </w:r>
      <w:proofErr w:type="gramStart"/>
      <w:r>
        <w:rPr>
          <w:rtl/>
        </w:rPr>
        <w:t>في ما</w:t>
      </w:r>
      <w:proofErr w:type="gramEnd"/>
      <w:r>
        <w:rPr>
          <w:rtl/>
        </w:rPr>
        <w:t xml:space="preserve"> تعرفه المعلمة وما تستطيع أداءه.</w:t>
      </w:r>
    </w:p>
    <w:p w14:paraId="5AFF2F18" w14:textId="77777777" w:rsidR="00872B2E" w:rsidRDefault="00000000" w:rsidP="00215E53">
      <w:pPr>
        <w:pStyle w:val="2"/>
        <w:bidi/>
        <w:spacing w:before="320" w:after="160"/>
      </w:pPr>
      <w:r>
        <w:rPr>
          <w:rtl/>
        </w:rPr>
        <w:t>ثالثًا: مدخل الكفايات المهنية للمعلم</w:t>
      </w:r>
    </w:p>
    <w:p w14:paraId="0ABE8B8E" w14:textId="77777777" w:rsidR="00872B2E" w:rsidRDefault="00000000" w:rsidP="00215E53">
      <w:pPr>
        <w:spacing w:after="160"/>
        <w:ind w:firstLine="431"/>
      </w:pPr>
      <w:r>
        <w:rPr>
          <w:rtl/>
        </w:rPr>
        <w:t xml:space="preserve">يقوم هذا المدخل على أن جودة التعليم لا تنفصل عن امتلاك المعلم منظومة متكاملة من الكفايات المعرفية، والتدريسية، والتقويمية، والمهنية. وقد أرسى </w:t>
      </w:r>
      <w:proofErr w:type="spellStart"/>
      <w:r>
        <w:rPr>
          <w:rtl/>
        </w:rPr>
        <w:t>شولمان</w:t>
      </w:r>
      <w:proofErr w:type="spellEnd"/>
      <w:r>
        <w:rPr>
          <w:rtl/>
        </w:rPr>
        <w:t xml:space="preserve"> أساسًا مهمًا لهذا المدخل حين ميّز بين المعرفة بالمحتوى، والمعرفة التربوية، والمعرفة التربوية بالمحتوى (PCK) التي تمثل قدرة المعلم على تحويل المحتوى العلمي إلى صور قابلة للتعلم لدى فئة عمرية بعينها (</w:t>
      </w:r>
      <w:proofErr w:type="spellStart"/>
      <w:r>
        <w:rPr>
          <w:rtl/>
        </w:rPr>
        <w:t>Shulman</w:t>
      </w:r>
      <w:proofErr w:type="spellEnd"/>
      <w:r>
        <w:rPr>
          <w:rtl/>
        </w:rPr>
        <w:t>, 1986). وهذا التمييز شديد الصلة بمعلمة العلوم في المرحلة الابتدائية؛ إذ إن كثيرًا من صعوبات تعلم العلوم في هذه المرحلة لا تنشأ من نقص في معرفة المعلمة بالمادة، بل من محدودية مخزونها من التمثيلات والأمثلة والتشبيهات والأنشطة التي تجعل المفهوم العلمي المجرّد قابلًا للإدراك.</w:t>
      </w:r>
    </w:p>
    <w:p w14:paraId="4AFC8646" w14:textId="77777777" w:rsidR="00872B2E" w:rsidRDefault="00000000" w:rsidP="00215E53">
      <w:pPr>
        <w:spacing w:after="160"/>
        <w:ind w:firstLine="431"/>
      </w:pPr>
      <w:r>
        <w:rPr>
          <w:rtl/>
        </w:rPr>
        <w:t>وفي هذا الإطار، تُظهر الأدبيات الحديثة أن فاعلية التطوير المهني ترتبط بتركيزه على المحتوى، واعتماده التعلم النشط، وامتداده الزمني، واتصاله بالممارسة الصفية الفعلية، وتوفيره فرص التغذية الراجعة والمتابعة المستمرة، ونمذجة الممارسة الفعالة، ودعم التعاون المهني بين المعلمين (</w:t>
      </w:r>
      <w:proofErr w:type="spellStart"/>
      <w:r>
        <w:rPr>
          <w:rtl/>
        </w:rPr>
        <w:t>Darling-Hammond</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2017; OECD, 2019; </w:t>
      </w:r>
      <w:proofErr w:type="spellStart"/>
      <w:r>
        <w:rPr>
          <w:rtl/>
        </w:rPr>
        <w:t>Learning</w:t>
      </w:r>
      <w:proofErr w:type="spellEnd"/>
      <w:r>
        <w:rPr>
          <w:rtl/>
        </w:rPr>
        <w:t xml:space="preserve"> </w:t>
      </w:r>
      <w:proofErr w:type="spellStart"/>
      <w:r>
        <w:rPr>
          <w:rtl/>
        </w:rPr>
        <w:t>Forward</w:t>
      </w:r>
      <w:proofErr w:type="spellEnd"/>
      <w:r>
        <w:rPr>
          <w:rtl/>
        </w:rPr>
        <w:t xml:space="preserve">, 2022). كما يضيف نموذج </w:t>
      </w:r>
      <w:proofErr w:type="spellStart"/>
      <w:r>
        <w:rPr>
          <w:rtl/>
        </w:rPr>
        <w:t>ديزيموني</w:t>
      </w:r>
      <w:proofErr w:type="spellEnd"/>
      <w:r>
        <w:rPr>
          <w:rtl/>
        </w:rPr>
        <w:t xml:space="preserve"> أن التطوير المهني يؤثر في نواتج الطلاب عبر مسار غير مباشر يمر بتغيّر معرفة المعلم واتجاهاته أولًا، ثم </w:t>
      </w:r>
      <w:r>
        <w:rPr>
          <w:rtl/>
        </w:rPr>
        <w:lastRenderedPageBreak/>
        <w:t>بتغيّر ممارساته الصفية ثانيًا، وأخيرًا بتحسن تعلم الطلاب (</w:t>
      </w:r>
      <w:proofErr w:type="spellStart"/>
      <w:r>
        <w:rPr>
          <w:rtl/>
        </w:rPr>
        <w:t>Desimone</w:t>
      </w:r>
      <w:proofErr w:type="spellEnd"/>
      <w:r>
        <w:rPr>
          <w:rtl/>
        </w:rPr>
        <w:t>, 2009) — وهو مسار يبيّن أن أي برنامج تدريبي يتوقف عند حدود قاعة التدريب يكون قد قطع نصف الطريق فحسب.</w:t>
      </w:r>
    </w:p>
    <w:p w14:paraId="54B81467" w14:textId="77777777" w:rsidR="00872B2E" w:rsidRDefault="00000000" w:rsidP="00215E53">
      <w:pPr>
        <w:spacing w:after="160"/>
        <w:ind w:firstLine="431"/>
      </w:pPr>
      <w:r>
        <w:rPr>
          <w:rtl/>
        </w:rPr>
        <w:t>وقد صنّفت الدراسة الكفايات المستهدفة في أربع فئات: (أ) كفايات معرفية متصلة بعمق فهم المعلمة لمجالات المحتوى العلمي في الصف الرابع وترابطها الرأسي؛ (ب) كفايات تدريسية متصلة بتوظيف الممارسات الاستقصائية واستراتيجيات التدريس المولّدة للتفكير؛ (ج) كفايات تقويمية متصلة ببناء أسئلة ومهام أداء تغطي المستويات المعرفية الثلاثة، وتحليل نتائج الطلاب لتوجيه التدريس؛ (د) كفايات مهنية متصلة بالتعلم المستمر والتأمل في الممارسة والمشاركة في مجتمعات التعلم المهنية. وعليه، فإن تطوير كفايات معلمات العلوم في المرحلة الابتدائية لا ينبغي أن يُفهم بوصفه إضافة معرفية محدودة، بل بوصفه بناءً مهنيًا متكاملًا ينعكس على تخطيط التدريس، وإدارة الاستقصاء العلمي، وبناء أدوات التقويم، وتفسير نتائج الطلاب في ضوء متطلبات TIMSS.</w:t>
      </w:r>
    </w:p>
    <w:p w14:paraId="34F39F9E" w14:textId="77777777" w:rsidR="00872B2E" w:rsidRDefault="00000000" w:rsidP="00215E53">
      <w:pPr>
        <w:pStyle w:val="2"/>
        <w:bidi/>
        <w:spacing w:before="320" w:after="160"/>
      </w:pPr>
      <w:r>
        <w:rPr>
          <w:rtl/>
        </w:rPr>
        <w:t>رابعًا: مرجعية PMBOK في إدارة المشاريع</w:t>
      </w:r>
    </w:p>
    <w:p w14:paraId="013F2EF8" w14:textId="77777777" w:rsidR="00872B2E" w:rsidRDefault="00000000" w:rsidP="00215E53">
      <w:pPr>
        <w:spacing w:after="160"/>
        <w:ind w:firstLine="431"/>
      </w:pPr>
      <w:r>
        <w:rPr>
          <w:rtl/>
        </w:rPr>
        <w:t>توفر مرجعية PMBOK إطارًا منهجيًا يساعد على إدارة المبادرات التطويرية بوصفها مشاريع ذات أهداف ونطاق وموارد ومؤشرات أداء محددة. والمشروع في هذه المرجعية جهد مؤقت يُبذل لإيجاد ناتج أو خدمة أو نتيجة فريدة، وهو تعريف ينطبق انطباقًا دقيقًا على مبادرات التطوير المهني؛ فهي محددة الزمن، وتستهدف إحداث تغيير محدد، وتنتهي بتسليم ناتج مهني قابل للتحقق.</w:t>
      </w:r>
    </w:p>
    <w:p w14:paraId="6FF986E7" w14:textId="77777777" w:rsidR="00872B2E" w:rsidRDefault="00000000" w:rsidP="00215E53">
      <w:pPr>
        <w:spacing w:after="160"/>
        <w:ind w:firstLine="431"/>
      </w:pPr>
      <w:r>
        <w:rPr>
          <w:rtl/>
        </w:rPr>
        <w:t xml:space="preserve">وعلى الرغم من انتقال الإصدار السابع من الدليل إلى بنية قائمة على المبادئ ومجالات الأداء (PMI, 2021)، فإن مجموعات العمليات الخمس: البدء، والتخطيط، والتنفيذ، والرقابة والمتابعة، والإغلاق، </w:t>
      </w:r>
      <w:r>
        <w:rPr>
          <w:rtl/>
        </w:rPr>
        <w:lastRenderedPageBreak/>
        <w:t>ما تزال ذات قيمة إجرائية عالية في السياقات التطبيقية التي تتطلب تسلسلًا واضحًا للمراحل، وضبطًا للمخرجات، وتوثيقًا للدروس المستفادة (PMI, 2017; PMI, 2021). وقد اختارت الدراسة الحالية البناء على مجموعات العمليات الخمس لسببين: أولهما أن الميدان التربوي المستهدف بالنموذج ما يزال في طور التأسيس لثقافة إدارة المشاريع، وهو ما يجعل البنية المتسلسلة أيسر تبنّيًا من البنية القائمة على المبادئ؛ وثانيهما أن مجموعات العمليات تتيح ربطًا مباشرًا بين مراحل المشروع ومخرجاته الوثائقية، بما يخدم قابلية التطبيق والمساءلة.</w:t>
      </w:r>
    </w:p>
    <w:p w14:paraId="52B94F91" w14:textId="77777777" w:rsidR="00872B2E" w:rsidRDefault="00000000" w:rsidP="00215E53">
      <w:pPr>
        <w:spacing w:after="160"/>
        <w:ind w:firstLine="431"/>
      </w:pPr>
      <w:r>
        <w:rPr>
          <w:rtl/>
        </w:rPr>
        <w:t>كما وظّفت الدراسة عددًا من مجالات المعرفة الأكثر اتصالًا بطبيعة المشاريع التربوية، وهي: إدارة التكامل، وإدارة النطاق، وإدارة الجدول الزمني، وإدارة الموارد، وإدارة الجودة، وإدارة المخاطر، وإدارة أصحاب المصلحة، وإدارة الاتصالات. وفي ضوء ذلك، تبدو هذه المرجعية مناسبة لتوجيه مشاريع التطوير المهني التعليمي؛ لأنها تحدّ من عشوائية المبادرات، وتربط التشخيص بالتخطيط، والتنفيذ بالمتابعة، والنتائج بقياس الأثر والاستدامة.</w:t>
      </w:r>
    </w:p>
    <w:p w14:paraId="2A2E589A" w14:textId="77777777" w:rsidR="00872B2E" w:rsidRDefault="00000000" w:rsidP="00215E53">
      <w:pPr>
        <w:pStyle w:val="2"/>
        <w:bidi/>
        <w:spacing w:before="320" w:after="160"/>
      </w:pPr>
      <w:r>
        <w:rPr>
          <w:rtl/>
        </w:rPr>
        <w:t>خامسًا: التقاطع بين المداخل الأربعة</w:t>
      </w:r>
    </w:p>
    <w:p w14:paraId="4F09C723" w14:textId="77777777" w:rsidR="00872B2E" w:rsidRDefault="00000000" w:rsidP="00215E53">
      <w:pPr>
        <w:spacing w:after="160"/>
        <w:ind w:firstLine="431"/>
      </w:pPr>
      <w:r>
        <w:rPr>
          <w:rtl/>
        </w:rPr>
        <w:t xml:space="preserve">لا تُوظَّف المداخل الأربعة السابقة في هذه الدراسة بوصفها فصولًا نظرية متجاورة، وإنما بوصفها حلقات في سلسلة منطقية واحدة يمكن صياغتها على النحو الآتي: يقدّم TIMSS «التشخيص» في صورة بيانات ومواصفات؛ ويحدد مدخل التحول التعليمي «الغاية» في صورة انتقال منظم من واقع إلى مستهدف؛ ويترجم مدخل الكفايات هذه الغاية إلى «متطلبات مهنية» قابلة للتنمية والقياس؛ وتوفّر مرجعية PMBOK «آلية التحقق» التي تنقل هذه المتطلبات من مستوى النية إلى مستوى الإنجاز الموثق. وبهذا التسلسل تكتمل </w:t>
      </w:r>
      <w:r>
        <w:rPr>
          <w:rtl/>
        </w:rPr>
        <w:lastRenderedPageBreak/>
        <w:t>البنية التفسيرية التي يقوم عليها النموذج المقترح، ويصبح كل عنصر فيه مبررًا نظريًا لا مجرد إضافة إجرائية.</w:t>
      </w:r>
    </w:p>
    <w:p w14:paraId="45297696" w14:textId="77777777" w:rsidR="00872B2E" w:rsidRDefault="00000000" w:rsidP="00215E53">
      <w:r>
        <w:br w:type="page"/>
      </w:r>
    </w:p>
    <w:p w14:paraId="62B72F68" w14:textId="77777777" w:rsidR="00872B2E" w:rsidRDefault="00000000" w:rsidP="00215E53">
      <w:pPr>
        <w:pStyle w:val="1"/>
        <w:bidi/>
        <w:spacing w:before="320" w:after="160"/>
      </w:pPr>
      <w:r>
        <w:rPr>
          <w:rtl/>
        </w:rPr>
        <w:lastRenderedPageBreak/>
        <w:t>الدراسات السابقة</w:t>
      </w:r>
    </w:p>
    <w:p w14:paraId="28A29D99" w14:textId="77777777" w:rsidR="00872B2E" w:rsidRDefault="00000000" w:rsidP="00215E53">
      <w:pPr>
        <w:spacing w:after="160"/>
        <w:ind w:firstLine="431"/>
      </w:pPr>
      <w:r>
        <w:rPr>
          <w:rtl/>
        </w:rPr>
        <w:t>استعرضت الباحثة الدراسات السابقة وفق ثلاثة محاور، رُتّبت من الأعم إلى الأخص، وهي: دراسات تناولت TIMSS وعلاقته بجودة التدريس، ودراسات تناولت فاعلية التطوير المهني للمعلمين، ودراسات تناولت إدارة المشاريع في السياقات التعليمية.</w:t>
      </w:r>
    </w:p>
    <w:p w14:paraId="0184B0E1" w14:textId="77777777" w:rsidR="00872B2E" w:rsidRDefault="00000000" w:rsidP="00215E53">
      <w:pPr>
        <w:pStyle w:val="2"/>
        <w:bidi/>
        <w:spacing w:before="320" w:after="160"/>
      </w:pPr>
      <w:r>
        <w:rPr>
          <w:rtl/>
        </w:rPr>
        <w:t>المحور الأول: دراسات تناولت TIMSS وعلاقته بجودة التدريس</w:t>
      </w:r>
    </w:p>
    <w:p w14:paraId="5A82675A" w14:textId="77777777" w:rsidR="00872B2E" w:rsidRDefault="00000000" w:rsidP="00215E53">
      <w:pPr>
        <w:spacing w:after="160"/>
        <w:ind w:firstLine="431"/>
      </w:pPr>
      <w:r>
        <w:rPr>
          <w:rtl/>
        </w:rPr>
        <w:t>أظهرت الأدبيات المرتبطة بـ TIMSS أن نتائج الطلاب لا ترتبط بالمحتوى الدراسي وحده، بل تتأثر كذلك بجودة التدريس، ومستوى تأهيل المعلم، وطبيعة الممارسات الصفية. فقد بينت النتائج الدولية لدورة TIMSS 2019 استمرار التفاوت بين الأنظمة التعليمية في تحصيل الطلاب في العلوم، بما يعكس فروقًا في فاعلية النظم المدرسية وعمليات التعليم والتعلم (</w:t>
      </w:r>
      <w:proofErr w:type="spellStart"/>
      <w:r>
        <w:rPr>
          <w:rtl/>
        </w:rPr>
        <w:t>Mullis</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2020).</w:t>
      </w:r>
    </w:p>
    <w:p w14:paraId="57C3C9B4" w14:textId="77777777" w:rsidR="00872B2E" w:rsidRDefault="00000000" w:rsidP="00215E53">
      <w:pPr>
        <w:spacing w:after="160"/>
        <w:ind w:firstLine="431"/>
      </w:pPr>
      <w:r>
        <w:rPr>
          <w:rtl/>
        </w:rPr>
        <w:t>كما خلصت دراسات تحليلية إلى أن جودة المعلم وجودة التدريس من أقوى العوامل المدرسية ارتباطًا بتحصيل الطلاب في TIMSS، بما يجعل تطوير كفايات المعلم مدخلًا أساسيًا لتحسين الأداء في هذه التقييمات (</w:t>
      </w:r>
      <w:proofErr w:type="spellStart"/>
      <w:r>
        <w:rPr>
          <w:rtl/>
        </w:rPr>
        <w:t>Burroughs</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2019). وفي السياق السعودي، أظهرت دراسة تحليلية لبيانات TIMSS 2019 وجود ارتباط موجب بين الممارسات التدريسية للمعلم واتجاهاته نحو التدريس من جهة، وتحصيل الطلاب في العلوم والرياضيات من جهة أخرى (</w:t>
      </w:r>
      <w:proofErr w:type="spellStart"/>
      <w:r>
        <w:rPr>
          <w:rtl/>
        </w:rPr>
        <w:t>Alnahdi</w:t>
      </w:r>
      <w:proofErr w:type="spellEnd"/>
      <w:r>
        <w:rPr>
          <w:rtl/>
        </w:rPr>
        <w:t xml:space="preserve"> &amp; </w:t>
      </w:r>
      <w:proofErr w:type="spellStart"/>
      <w:r>
        <w:rPr>
          <w:rtl/>
        </w:rPr>
        <w:t>Schwab</w:t>
      </w:r>
      <w:proofErr w:type="spellEnd"/>
      <w:r>
        <w:rPr>
          <w:rtl/>
        </w:rPr>
        <w:t>, 2023)، وهو ما يعزّز الافتراض الأساس الذي تقوم عليه الدراسة الحالية.</w:t>
      </w:r>
    </w:p>
    <w:p w14:paraId="0D1DD3D0" w14:textId="77777777" w:rsidR="00872B2E" w:rsidRDefault="00000000" w:rsidP="00215E53">
      <w:pPr>
        <w:spacing w:after="160"/>
        <w:ind w:firstLine="431"/>
      </w:pPr>
      <w:r>
        <w:rPr>
          <w:rtl/>
        </w:rPr>
        <w:lastRenderedPageBreak/>
        <w:t>وعلى الرغم من ثراء هذا المحور، فإن الملاحظة النقدية عليه أن معظم دراساته تقف عند حدود التشخيص وتفسير التباين، ونادرًا ما تنتقل إلى اقتراح آليات تنفيذية تترجم نتائج التشخيص إلى تدخلات مهنية منظمة.</w:t>
      </w:r>
    </w:p>
    <w:p w14:paraId="4C5388BC" w14:textId="77777777" w:rsidR="00872B2E" w:rsidRDefault="00000000" w:rsidP="00215E53">
      <w:pPr>
        <w:pStyle w:val="2"/>
        <w:bidi/>
        <w:spacing w:before="320" w:after="160"/>
      </w:pPr>
      <w:r>
        <w:rPr>
          <w:rtl/>
        </w:rPr>
        <w:t>المحور الثاني: دراسات فاعلية التطوير المهني للمعلمين</w:t>
      </w:r>
    </w:p>
    <w:p w14:paraId="3BB17AA6" w14:textId="77777777" w:rsidR="00872B2E" w:rsidRDefault="00000000" w:rsidP="00215E53">
      <w:pPr>
        <w:spacing w:after="160"/>
        <w:ind w:firstLine="431"/>
      </w:pPr>
      <w:r>
        <w:rPr>
          <w:rtl/>
        </w:rPr>
        <w:t xml:space="preserve">أكدت دراسات التطوير المهني أن البرامج الأكثر أثرًا هي تلك التي ترتبط بالمحتوى التخصصي، وتقوم على التعلم النشط، وتستمر مدة كافية، وتدمج التطبيق العملي بالتغذية الراجعة والمتابعة. وفي مراجعة واسعة للأدلة البحثية، حددت </w:t>
      </w:r>
      <w:proofErr w:type="spellStart"/>
      <w:r>
        <w:rPr>
          <w:rtl/>
        </w:rPr>
        <w:t>Darling-Hammond</w:t>
      </w:r>
      <w:proofErr w:type="spellEnd"/>
      <w:r>
        <w:rPr>
          <w:rtl/>
        </w:rPr>
        <w:t xml:space="preserve"> وزملاؤها سبع خصائص للتطوير المهني الفعال، في مقدمتها الارتباط بالمحتوى، والتعلم النشط، والدعم المستمر بعد التدريب (</w:t>
      </w:r>
      <w:proofErr w:type="spellStart"/>
      <w:r>
        <w:rPr>
          <w:rtl/>
        </w:rPr>
        <w:t>Darling-Hammond</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2017).</w:t>
      </w:r>
    </w:p>
    <w:p w14:paraId="22BB10CB" w14:textId="77777777" w:rsidR="00872B2E" w:rsidRDefault="00000000" w:rsidP="00215E53">
      <w:pPr>
        <w:spacing w:after="160"/>
        <w:ind w:firstLine="431"/>
      </w:pPr>
      <w:r>
        <w:rPr>
          <w:rtl/>
        </w:rPr>
        <w:t xml:space="preserve">كما أظهر التحليل البعدي الذي أجراه </w:t>
      </w:r>
      <w:proofErr w:type="spellStart"/>
      <w:r>
        <w:rPr>
          <w:rtl/>
        </w:rPr>
        <w:t>Kraft</w:t>
      </w:r>
      <w:proofErr w:type="spellEnd"/>
      <w:r>
        <w:rPr>
          <w:rtl/>
        </w:rPr>
        <w:t xml:space="preserve"> وزملاؤه أن التوجيه المهني المستمر المرتبط بالممارسة الصفية يحدث أثرًا ملحوظًا في جودة التدريس، مقارنة بالورش القصيرة المنفصلة عن واقع التعليم، غير أن حجم هذا الأثر يتناقص كلما اتسع نطاق التطبيق، وهو ما يوجّه الانتباه إلى أهمية البنية التنظيمية المساندة عند التوسع (</w:t>
      </w:r>
      <w:proofErr w:type="spellStart"/>
      <w:r>
        <w:rPr>
          <w:rtl/>
        </w:rPr>
        <w:t>Kraft</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2018). وفي السياق نفسه، خلصت المراجعة الشاملة التي أعدّتها </w:t>
      </w:r>
      <w:proofErr w:type="spellStart"/>
      <w:r>
        <w:rPr>
          <w:rtl/>
        </w:rPr>
        <w:t>Timperley</w:t>
      </w:r>
      <w:proofErr w:type="spellEnd"/>
      <w:r>
        <w:rPr>
          <w:rtl/>
        </w:rPr>
        <w:t xml:space="preserve"> وزملاؤها إلى أن التعلم المهني الأكثر أثرًا هو ما يمتد زمنيًا، ويُبنى على بيانات تعلم الطلاب، ويحظى بدعم قيادي مؤسسي (</w:t>
      </w:r>
      <w:proofErr w:type="spellStart"/>
      <w:r>
        <w:rPr>
          <w:rtl/>
        </w:rPr>
        <w:t>Timperley</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2007).</w:t>
      </w:r>
    </w:p>
    <w:p w14:paraId="7D7FF117" w14:textId="77777777" w:rsidR="00872B2E" w:rsidRDefault="00000000" w:rsidP="00215E53">
      <w:pPr>
        <w:spacing w:after="160"/>
        <w:ind w:firstLine="431"/>
      </w:pPr>
      <w:r>
        <w:rPr>
          <w:rtl/>
        </w:rPr>
        <w:t>وفي المقابل، نبّهت بعض المراجعات النقدية إلى أن توافر الخصائص الشكلية للبرنامج لا يكفي وحده لضمان الأثر، ما لم يُبنَ البرنامج على منطق تغيير واضح، وآليات تنفيذ ومتابعة وقياس دقيقة (</w:t>
      </w:r>
      <w:proofErr w:type="spellStart"/>
      <w:r>
        <w:rPr>
          <w:rtl/>
        </w:rPr>
        <w:t>Sims</w:t>
      </w:r>
      <w:proofErr w:type="spellEnd"/>
      <w:r>
        <w:rPr>
          <w:rtl/>
        </w:rPr>
        <w:t xml:space="preserve"> &amp; </w:t>
      </w:r>
      <w:proofErr w:type="spellStart"/>
      <w:r>
        <w:rPr>
          <w:rtl/>
        </w:rPr>
        <w:lastRenderedPageBreak/>
        <w:t>Fletcher-Wood</w:t>
      </w:r>
      <w:proofErr w:type="spellEnd"/>
      <w:r>
        <w:rPr>
          <w:rtl/>
        </w:rPr>
        <w:t>, 2021). ويقترب هذا الطرح من جوهر مشكلة الدراسة الحالية؛ إذ يشير إلى أن الفجوة ليست في معرفة «ما الذي ينبغي أن يتضمنه البرنامج الجيد»، بل في «كيف يُدار هذا البرنامج» حتى يبلغ أثره المنشود.</w:t>
      </w:r>
    </w:p>
    <w:p w14:paraId="30510C26" w14:textId="77777777" w:rsidR="00872B2E" w:rsidRDefault="00000000" w:rsidP="00215E53">
      <w:pPr>
        <w:spacing w:after="160"/>
        <w:ind w:firstLine="431"/>
      </w:pPr>
      <w:r>
        <w:rPr>
          <w:rtl/>
        </w:rPr>
        <w:t xml:space="preserve">ومن جهة القياس، قدّم </w:t>
      </w:r>
      <w:proofErr w:type="spellStart"/>
      <w:r>
        <w:rPr>
          <w:rtl/>
        </w:rPr>
        <w:t>Guskey</w:t>
      </w:r>
      <w:proofErr w:type="spellEnd"/>
      <w:r>
        <w:rPr>
          <w:rtl/>
        </w:rPr>
        <w:t xml:space="preserve"> تدرجًا خماسيًا لتقويم التطوير المهني يمتد من رضا المشاركين، إلى تعلمهم، إلى الدعم التنظيمي، إلى توظيف المعارف والمهارات الجديدة، وصولًا إلى نواتج تعلم الطلاب (</w:t>
      </w:r>
      <w:proofErr w:type="spellStart"/>
      <w:r>
        <w:rPr>
          <w:rtl/>
        </w:rPr>
        <w:t>Guskey</w:t>
      </w:r>
      <w:proofErr w:type="spellEnd"/>
      <w:r>
        <w:rPr>
          <w:rtl/>
        </w:rPr>
        <w:t>, 2000)، وهو تدرج وظّفته الدراسة الحالية في بناء منظومة مؤشرات المتابعة وقياس الأثر في النموذج المقترح.</w:t>
      </w:r>
    </w:p>
    <w:p w14:paraId="304BCCF8" w14:textId="77777777" w:rsidR="00872B2E" w:rsidRDefault="00000000" w:rsidP="00215E53">
      <w:pPr>
        <w:pStyle w:val="2"/>
        <w:bidi/>
        <w:spacing w:before="320" w:after="160"/>
      </w:pPr>
      <w:r>
        <w:rPr>
          <w:rtl/>
        </w:rPr>
        <w:t>المحور الثالث: دراسات إدارة المشاريع في السياقات التعليمية</w:t>
      </w:r>
    </w:p>
    <w:p w14:paraId="670324A7" w14:textId="77777777" w:rsidR="00872B2E" w:rsidRDefault="00000000" w:rsidP="00215E53">
      <w:pPr>
        <w:spacing w:after="160"/>
        <w:ind w:firstLine="431"/>
      </w:pPr>
      <w:r>
        <w:rPr>
          <w:rtl/>
        </w:rPr>
        <w:t>تشير الأدبيات التي تناولت إدارة المشاريع في البيئات التعليمية والتنظيمية إلى أن المبادرات التي تُدار وفق منهجية واضحة في تحديد النطاق، وتوزيع المسؤوليات، وإدارة المخاطر، ومتابعة التنفيذ، تكون أكثر قدرة على تحقيق الاستدامة وتحسين المخرجات من المبادرات غير المنظمة. ففي دراسات تناولت المشروعات العلمية والتعليمية، ظهر أن الإدارة المنهجية للمشروع تسهم في تحسين جودة التنفيذ، ورفع كفاءة توظيف الموارد، وتعزيز قابلية المتابعة والتقويم (</w:t>
      </w:r>
      <w:proofErr w:type="spellStart"/>
      <w:r>
        <w:rPr>
          <w:rtl/>
        </w:rPr>
        <w:t>Bilovodska</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2017).</w:t>
      </w:r>
    </w:p>
    <w:p w14:paraId="7EA1FD58" w14:textId="77777777" w:rsidR="00872B2E" w:rsidRDefault="00000000" w:rsidP="00215E53">
      <w:pPr>
        <w:spacing w:after="160"/>
        <w:ind w:firstLine="431"/>
      </w:pPr>
      <w:r>
        <w:rPr>
          <w:rtl/>
        </w:rPr>
        <w:t>كما تؤكد دراسات أخرى أن وضوح مؤشرات الأداء ودور قيادة المشروع يمثلان عاملًا حاسمًا في نجاح المبادرات التطويرية واستدامتها (</w:t>
      </w:r>
      <w:proofErr w:type="spellStart"/>
      <w:r>
        <w:rPr>
          <w:rtl/>
        </w:rPr>
        <w:t>Broshkov</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2020; </w:t>
      </w:r>
      <w:proofErr w:type="spellStart"/>
      <w:r>
        <w:rPr>
          <w:rtl/>
        </w:rPr>
        <w:t>Gasemagha</w:t>
      </w:r>
      <w:proofErr w:type="spellEnd"/>
      <w:r>
        <w:rPr>
          <w:rtl/>
        </w:rPr>
        <w:t xml:space="preserve"> &amp; </w:t>
      </w:r>
      <w:proofErr w:type="spellStart"/>
      <w:r>
        <w:rPr>
          <w:rtl/>
        </w:rPr>
        <w:t>Kowang</w:t>
      </w:r>
      <w:proofErr w:type="spellEnd"/>
      <w:r>
        <w:rPr>
          <w:rtl/>
        </w:rPr>
        <w:t xml:space="preserve">, 2021; </w:t>
      </w:r>
      <w:proofErr w:type="spellStart"/>
      <w:r>
        <w:rPr>
          <w:rtl/>
        </w:rPr>
        <w:t>Recabarren-Dominguez</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2021). وتلتقي هذه النتائج مع ما استقر عليه الدليل المعياري </w:t>
      </w:r>
      <w:r>
        <w:rPr>
          <w:rtl/>
        </w:rPr>
        <w:lastRenderedPageBreak/>
        <w:t>لإدارة المشاريع من أن التخطيط المسبق للجودة والمخاطر والاتصالات يقلل من كلفة التصحيح لاحقًا، ويرفع احتمال بلوغ المشروع لأهدافه ضمن قيوده (PMI, 2017; PMI, 2021).</w:t>
      </w:r>
    </w:p>
    <w:p w14:paraId="278121A4" w14:textId="77777777" w:rsidR="00872B2E" w:rsidRDefault="00000000" w:rsidP="00215E53">
      <w:pPr>
        <w:spacing w:after="160"/>
        <w:ind w:firstLine="431"/>
      </w:pPr>
      <w:r>
        <w:rPr>
          <w:rtl/>
        </w:rPr>
        <w:t>وعلى الرغم من ذلك، ما تزال الدراسات التي توظف إدارة المشاريع بصورة مباشرة في تصميم برامج تطوير المعلمين وإدارتها محدودة نسبيًا، ولا سيما في السياقات العربية؛ إذ يغلب على هذا المحور الطابع التنظيمي العام، ويقلّ فيه التخصيص التربوي الذي يراعي طبيعة المشروع التعليمي بوصفه مشروعًا يستهدف تغيير ممارسة مهنية لا إنتاج سلعة أو خدمة مادية.</w:t>
      </w:r>
    </w:p>
    <w:p w14:paraId="1FF4500B" w14:textId="77777777" w:rsidR="00872B2E" w:rsidRDefault="00000000" w:rsidP="00215E53">
      <w:pPr>
        <w:pStyle w:val="2"/>
        <w:bidi/>
        <w:spacing w:before="320" w:after="160"/>
      </w:pPr>
      <w:r>
        <w:rPr>
          <w:rtl/>
        </w:rPr>
        <w:t>التعقيب على الدراسات السابقة وموقع الدراسة الحالية</w:t>
      </w:r>
    </w:p>
    <w:p w14:paraId="7AAF8A10" w14:textId="77777777" w:rsidR="00872B2E" w:rsidRDefault="00000000" w:rsidP="00215E53">
      <w:pPr>
        <w:spacing w:after="160"/>
        <w:ind w:firstLine="431"/>
      </w:pPr>
      <w:r>
        <w:rPr>
          <w:rtl/>
        </w:rPr>
        <w:t>تكشف مراجعة الدراسات السابقة عن فجوة بحثية واضحة تتمثل في أن دراسات TIMSS تقف غالبًا عند حدود التشخيص وتفسير تفاوت الأداء، في حين تركز دراسات التطوير المهني على خصائص البرامج الفعالة دون أن تمنح البنية الإدارية والتنظيمية اللازمة للتنفيذ والمتابعة وقياس الأثر ما تستحقه من عناية، أما أدبيات إدارة المشاريع فتتناول النجاح التنظيمي للمشروعات بوجه عام دون اتصال مباشر وكافٍ بميدان تطوير كفايات المعلمين في ضوء نتائج التقييمات الدولية.</w:t>
      </w:r>
    </w:p>
    <w:p w14:paraId="3B50805F" w14:textId="77777777" w:rsidR="00872B2E" w:rsidRDefault="00000000" w:rsidP="00215E53">
      <w:pPr>
        <w:spacing w:after="160"/>
        <w:ind w:firstLine="431"/>
      </w:pPr>
      <w:r>
        <w:rPr>
          <w:rtl/>
        </w:rPr>
        <w:t>وقد أفادت الدراسة الحالية من الدراسات السابقة في تحديد أبعاد الإطار النظري، وصياغة محاور بطاقة تحليل المحتوى، واختيار مستويات قياس الأثر في النموذج المقترح، وتفسير النتائج ومناقشتها. غير أنها تفارقها في نقطة جوهرية: فبينما اتجه أغلبها إلى الوصف أو التقويم، اتجهت الدراسة الحالية إلى البناء.</w:t>
      </w:r>
    </w:p>
    <w:p w14:paraId="1A59A065" w14:textId="77777777" w:rsidR="00872B2E" w:rsidRDefault="00000000" w:rsidP="00215E53">
      <w:pPr>
        <w:spacing w:after="160"/>
        <w:ind w:firstLine="431"/>
      </w:pPr>
      <w:r>
        <w:rPr>
          <w:rtl/>
        </w:rPr>
        <w:t xml:space="preserve">ومن ثم، تتموضع الدراسة الحالية في نقطة التقاطع بين هذه الحقول الثلاثة؛ إذ تسعى إلى بناء نموذج يجمع بين التشخيص المستند إلى TIMSS، وتحديد الكفايات المهنية المستهدفة، وتوظيف مرجعية </w:t>
      </w:r>
      <w:r>
        <w:rPr>
          <w:rtl/>
        </w:rPr>
        <w:lastRenderedPageBreak/>
        <w:t>PMBOK في تخطيط التدخلات التطويرية وتنفيذها ومتابعتها وقياس أثرها. وبهذا، فإنها تختلف عن الدراسات السابقة في نقل مركز الاهتمام من مجرد توصيف خصائص البرنامج الجيد إلى بناء إطار منهجي يضبط إدارة البرنامج بوصفه مشروع تحول تعليمي قابلًا للقياس والاستدامة.</w:t>
      </w:r>
    </w:p>
    <w:sectPr w:rsidR="00872B2E">
      <w:footerReference w:type="default" r:id="rId7"/>
      <w:pgSz w:w="11906" w:h="16838"/>
      <w:pgMar w:top="1300" w:right="1300" w:bottom="1300" w:left="13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FA0BA" w14:textId="77777777" w:rsidR="006415E4" w:rsidRDefault="006415E4">
      <w:pPr>
        <w:spacing w:line="240" w:lineRule="auto"/>
      </w:pPr>
      <w:r>
        <w:separator/>
      </w:r>
    </w:p>
  </w:endnote>
  <w:endnote w:type="continuationSeparator" w:id="0">
    <w:p w14:paraId="74D569F1" w14:textId="77777777" w:rsidR="006415E4" w:rsidRDefault="006415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9A780" w14:textId="77777777" w:rsidR="00872B2E" w:rsidRDefault="00000000">
    <w:pPr>
      <w:jc w:val="cente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215E53">
      <w:rPr>
        <w:rFonts w:ascii="Times New Roman" w:eastAsia="Times New Roman" w:hAnsi="Times New Roman" w:cs="Times New Roman"/>
        <w:noProof/>
        <w:sz w:val="20"/>
        <w:szCs w:val="20"/>
        <w:rtl/>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77F7E" w14:textId="77777777" w:rsidR="006415E4" w:rsidRDefault="006415E4">
      <w:pPr>
        <w:spacing w:line="240" w:lineRule="auto"/>
      </w:pPr>
      <w:r>
        <w:separator/>
      </w:r>
    </w:p>
  </w:footnote>
  <w:footnote w:type="continuationSeparator" w:id="0">
    <w:p w14:paraId="4202149A" w14:textId="77777777" w:rsidR="006415E4" w:rsidRDefault="006415E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522F70"/>
    <w:multiLevelType w:val="hybridMultilevel"/>
    <w:tmpl w:val="433E3818"/>
    <w:lvl w:ilvl="0" w:tplc="70F00224">
      <w:start w:val="1"/>
      <w:numFmt w:val="bullet"/>
      <w:lvlText w:val="●"/>
      <w:lvlJc w:val="left"/>
      <w:pPr>
        <w:ind w:left="720" w:hanging="360"/>
      </w:pPr>
    </w:lvl>
    <w:lvl w:ilvl="1" w:tplc="7CC88D62">
      <w:start w:val="1"/>
      <w:numFmt w:val="bullet"/>
      <w:lvlText w:val="○"/>
      <w:lvlJc w:val="left"/>
      <w:pPr>
        <w:ind w:left="1440" w:hanging="360"/>
      </w:pPr>
    </w:lvl>
    <w:lvl w:ilvl="2" w:tplc="532AF33A">
      <w:start w:val="1"/>
      <w:numFmt w:val="bullet"/>
      <w:lvlText w:val="■"/>
      <w:lvlJc w:val="left"/>
      <w:pPr>
        <w:ind w:left="2160" w:hanging="360"/>
      </w:pPr>
    </w:lvl>
    <w:lvl w:ilvl="3" w:tplc="A0DCC670">
      <w:start w:val="1"/>
      <w:numFmt w:val="bullet"/>
      <w:lvlText w:val="●"/>
      <w:lvlJc w:val="left"/>
      <w:pPr>
        <w:ind w:left="2880" w:hanging="360"/>
      </w:pPr>
    </w:lvl>
    <w:lvl w:ilvl="4" w:tplc="6CBCC25C">
      <w:start w:val="1"/>
      <w:numFmt w:val="bullet"/>
      <w:lvlText w:val="○"/>
      <w:lvlJc w:val="left"/>
      <w:pPr>
        <w:ind w:left="3600" w:hanging="360"/>
      </w:pPr>
    </w:lvl>
    <w:lvl w:ilvl="5" w:tplc="DD84D582">
      <w:start w:val="1"/>
      <w:numFmt w:val="bullet"/>
      <w:lvlText w:val="■"/>
      <w:lvlJc w:val="left"/>
      <w:pPr>
        <w:ind w:left="4320" w:hanging="360"/>
      </w:pPr>
    </w:lvl>
    <w:lvl w:ilvl="6" w:tplc="73B2D9A6">
      <w:start w:val="1"/>
      <w:numFmt w:val="bullet"/>
      <w:lvlText w:val="●"/>
      <w:lvlJc w:val="left"/>
      <w:pPr>
        <w:ind w:left="5040" w:hanging="360"/>
      </w:pPr>
    </w:lvl>
    <w:lvl w:ilvl="7" w:tplc="34C00358">
      <w:start w:val="1"/>
      <w:numFmt w:val="bullet"/>
      <w:lvlText w:val="●"/>
      <w:lvlJc w:val="left"/>
      <w:pPr>
        <w:ind w:left="5760" w:hanging="360"/>
      </w:pPr>
    </w:lvl>
    <w:lvl w:ilvl="8" w:tplc="9D5690D4">
      <w:start w:val="1"/>
      <w:numFmt w:val="bullet"/>
      <w:lvlText w:val="●"/>
      <w:lvlJc w:val="left"/>
      <w:pPr>
        <w:ind w:left="6480" w:hanging="360"/>
      </w:pPr>
    </w:lvl>
  </w:abstractNum>
  <w:abstractNum w:abstractNumId="1" w15:restartNumberingAfterBreak="0">
    <w:nsid w:val="5A972437"/>
    <w:multiLevelType w:val="hybridMultilevel"/>
    <w:tmpl w:val="1638DB50"/>
    <w:lvl w:ilvl="0" w:tplc="1DD01B2A">
      <w:start w:val="1"/>
      <w:numFmt w:val="bullet"/>
      <w:lvlText w:val="•"/>
      <w:lvlJc w:val="right"/>
      <w:pPr>
        <w:ind w:left="504" w:hanging="288"/>
      </w:pPr>
    </w:lvl>
    <w:lvl w:ilvl="1" w:tplc="932EB232">
      <w:numFmt w:val="decimal"/>
      <w:lvlText w:val=""/>
      <w:lvlJc w:val="left"/>
    </w:lvl>
    <w:lvl w:ilvl="2" w:tplc="BB322466">
      <w:numFmt w:val="decimal"/>
      <w:lvlText w:val=""/>
      <w:lvlJc w:val="left"/>
    </w:lvl>
    <w:lvl w:ilvl="3" w:tplc="D5CA33BC">
      <w:numFmt w:val="decimal"/>
      <w:lvlText w:val=""/>
      <w:lvlJc w:val="left"/>
    </w:lvl>
    <w:lvl w:ilvl="4" w:tplc="FD6C9AD0">
      <w:numFmt w:val="decimal"/>
      <w:lvlText w:val=""/>
      <w:lvlJc w:val="left"/>
    </w:lvl>
    <w:lvl w:ilvl="5" w:tplc="C052A1BA">
      <w:numFmt w:val="decimal"/>
      <w:lvlText w:val=""/>
      <w:lvlJc w:val="left"/>
    </w:lvl>
    <w:lvl w:ilvl="6" w:tplc="F4062C56">
      <w:numFmt w:val="decimal"/>
      <w:lvlText w:val=""/>
      <w:lvlJc w:val="left"/>
    </w:lvl>
    <w:lvl w:ilvl="7" w:tplc="2CB43C74">
      <w:numFmt w:val="decimal"/>
      <w:lvlText w:val=""/>
      <w:lvlJc w:val="left"/>
    </w:lvl>
    <w:lvl w:ilvl="8" w:tplc="B15C8F0C">
      <w:numFmt w:val="decimal"/>
      <w:lvlText w:val=""/>
      <w:lvlJc w:val="left"/>
    </w:lvl>
  </w:abstractNum>
  <w:abstractNum w:abstractNumId="2" w15:restartNumberingAfterBreak="0">
    <w:nsid w:val="6D6A4974"/>
    <w:multiLevelType w:val="hybridMultilevel"/>
    <w:tmpl w:val="35708DC6"/>
    <w:lvl w:ilvl="0" w:tplc="815C2D20">
      <w:start w:val="1"/>
      <w:numFmt w:val="decimal"/>
      <w:lvlText w:val="%1."/>
      <w:lvlJc w:val="right"/>
      <w:pPr>
        <w:ind w:left="576" w:hanging="360"/>
      </w:pPr>
    </w:lvl>
    <w:lvl w:ilvl="1" w:tplc="7E3E9AA4">
      <w:numFmt w:val="decimal"/>
      <w:lvlText w:val=""/>
      <w:lvlJc w:val="left"/>
    </w:lvl>
    <w:lvl w:ilvl="2" w:tplc="FCBC81BE">
      <w:numFmt w:val="decimal"/>
      <w:lvlText w:val=""/>
      <w:lvlJc w:val="left"/>
    </w:lvl>
    <w:lvl w:ilvl="3" w:tplc="E70C4748">
      <w:numFmt w:val="decimal"/>
      <w:lvlText w:val=""/>
      <w:lvlJc w:val="left"/>
    </w:lvl>
    <w:lvl w:ilvl="4" w:tplc="EE72424C">
      <w:numFmt w:val="decimal"/>
      <w:lvlText w:val=""/>
      <w:lvlJc w:val="left"/>
    </w:lvl>
    <w:lvl w:ilvl="5" w:tplc="AD40E818">
      <w:numFmt w:val="decimal"/>
      <w:lvlText w:val=""/>
      <w:lvlJc w:val="left"/>
    </w:lvl>
    <w:lvl w:ilvl="6" w:tplc="A524C872">
      <w:numFmt w:val="decimal"/>
      <w:lvlText w:val=""/>
      <w:lvlJc w:val="left"/>
    </w:lvl>
    <w:lvl w:ilvl="7" w:tplc="6A7A4250">
      <w:numFmt w:val="decimal"/>
      <w:lvlText w:val=""/>
      <w:lvlJc w:val="left"/>
    </w:lvl>
    <w:lvl w:ilvl="8" w:tplc="42401B46">
      <w:numFmt w:val="decimal"/>
      <w:lvlText w:val=""/>
      <w:lvlJc w:val="left"/>
    </w:lvl>
  </w:abstractNum>
  <w:abstractNum w:abstractNumId="3" w15:restartNumberingAfterBreak="0">
    <w:nsid w:val="7C034D86"/>
    <w:multiLevelType w:val="hybridMultilevel"/>
    <w:tmpl w:val="9808D37A"/>
    <w:lvl w:ilvl="0" w:tplc="76E0F054">
      <w:start w:val="1"/>
      <w:numFmt w:val="decimal"/>
      <w:lvlText w:val="%1."/>
      <w:lvlJc w:val="right"/>
      <w:pPr>
        <w:ind w:left="576" w:hanging="360"/>
      </w:pPr>
    </w:lvl>
    <w:lvl w:ilvl="1" w:tplc="45A2E11E">
      <w:numFmt w:val="decimal"/>
      <w:lvlText w:val=""/>
      <w:lvlJc w:val="left"/>
    </w:lvl>
    <w:lvl w:ilvl="2" w:tplc="EBFA640C">
      <w:numFmt w:val="decimal"/>
      <w:lvlText w:val=""/>
      <w:lvlJc w:val="left"/>
    </w:lvl>
    <w:lvl w:ilvl="3" w:tplc="93269D36">
      <w:numFmt w:val="decimal"/>
      <w:lvlText w:val=""/>
      <w:lvlJc w:val="left"/>
    </w:lvl>
    <w:lvl w:ilvl="4" w:tplc="959A9E9C">
      <w:numFmt w:val="decimal"/>
      <w:lvlText w:val=""/>
      <w:lvlJc w:val="left"/>
    </w:lvl>
    <w:lvl w:ilvl="5" w:tplc="5644EA44">
      <w:numFmt w:val="decimal"/>
      <w:lvlText w:val=""/>
      <w:lvlJc w:val="left"/>
    </w:lvl>
    <w:lvl w:ilvl="6" w:tplc="F0E2ABF0">
      <w:numFmt w:val="decimal"/>
      <w:lvlText w:val=""/>
      <w:lvlJc w:val="left"/>
    </w:lvl>
    <w:lvl w:ilvl="7" w:tplc="CA56DC24">
      <w:numFmt w:val="decimal"/>
      <w:lvlText w:val=""/>
      <w:lvlJc w:val="left"/>
    </w:lvl>
    <w:lvl w:ilvl="8" w:tplc="D21E5C98">
      <w:numFmt w:val="decimal"/>
      <w:lvlText w:val=""/>
      <w:lvlJc w:val="left"/>
    </w:lvl>
  </w:abstractNum>
  <w:num w:numId="1" w16cid:durableId="1907958825">
    <w:abstractNumId w:val="0"/>
    <w:lvlOverride w:ilvl="0">
      <w:startOverride w:val="1"/>
    </w:lvlOverride>
  </w:num>
  <w:num w:numId="2" w16cid:durableId="502742917">
    <w:abstractNumId w:val="3"/>
    <w:lvlOverride w:ilvl="0">
      <w:startOverride w:val="1"/>
    </w:lvlOverride>
  </w:num>
  <w:num w:numId="3" w16cid:durableId="3217572">
    <w:abstractNumId w:val="2"/>
    <w:lvlOverride w:ilvl="0">
      <w:startOverride w:val="1"/>
    </w:lvlOverride>
  </w:num>
  <w:num w:numId="4" w16cid:durableId="95239613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B2E"/>
    <w:rsid w:val="00215E53"/>
    <w:rsid w:val="00410796"/>
    <w:rsid w:val="006415E4"/>
    <w:rsid w:val="00872B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5DBA3"/>
  <w15:docId w15:val="{39BBE383-7B0F-49E5-939D-DB2F40694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Simplified Arabic" w:hAnsi="Simplified Arabic" w:cs="Simplified Arabic"/>
        <w:sz w:val="28"/>
        <w:szCs w:val="28"/>
        <w:lang w:val="en-US" w:eastAsia="en-US" w:bidi="ar-SA"/>
      </w:rPr>
    </w:rPrDefault>
    <w:pPrDefault>
      <w:pPr>
        <w:spacing w:line="4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outlineLvl w:val="0"/>
    </w:pPr>
    <w:rPr>
      <w:b/>
      <w:bCs/>
      <w:color w:val="1F3864"/>
      <w:sz w:val="32"/>
      <w:szCs w:val="32"/>
    </w:rPr>
  </w:style>
  <w:style w:type="paragraph" w:styleId="2">
    <w:name w:val="heading 2"/>
    <w:uiPriority w:val="9"/>
    <w:unhideWhenUsed/>
    <w:qFormat/>
    <w:pPr>
      <w:outlineLvl w:val="1"/>
    </w:pPr>
    <w:rPr>
      <w:b/>
      <w:bCs/>
      <w:color w:val="2E5496"/>
    </w:rPr>
  </w:style>
  <w:style w:type="paragraph" w:styleId="3">
    <w:name w:val="heading 3"/>
    <w:uiPriority w:val="9"/>
    <w:unhideWhenUsed/>
    <w:qFormat/>
    <w:pPr>
      <w:outlineLvl w:val="2"/>
    </w:pPr>
    <w:rPr>
      <w:b/>
      <w:bCs/>
      <w:color w:val="44546A"/>
      <w:sz w:val="26"/>
      <w:szCs w:val="26"/>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pPr>
      <w:spacing w:line="240" w:lineRule="auto"/>
    </w:pPr>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pPr>
      <w:spacing w:line="240" w:lineRule="auto"/>
    </w:pPr>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4148</Words>
  <Characters>23646</Characters>
  <Application>Microsoft Office Word</Application>
  <DocSecurity>0</DocSecurity>
  <Lines>197</Lines>
  <Paragraphs>55</Paragraphs>
  <ScaleCrop>false</ScaleCrop>
  <Company/>
  <LinksUpToDate>false</LinksUpToDate>
  <CharactersWithSpaces>27739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mohannd almuqbil</cp:lastModifiedBy>
  <cp:revision>2</cp:revision>
  <dcterms:created xsi:type="dcterms:W3CDTF">2026-08-02T19:20:00Z</dcterms:created>
  <dcterms:modified xsi:type="dcterms:W3CDTF">2026-08-02T19:28:00Z</dcterms:modified>
</cp:coreProperties>
</file>