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D3DF550" w:rsidR="009125CE" w:rsidRPr="007A1717" w:rsidRDefault="00A12B57" w:rsidP="00A12B5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A1717">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0C19673">
            <wp:simplePos x="0" y="0"/>
            <wp:positionH relativeFrom="margin">
              <wp:posOffset>-1270</wp:posOffset>
            </wp:positionH>
            <wp:positionV relativeFrom="margin">
              <wp:posOffset>-91440</wp:posOffset>
            </wp:positionV>
            <wp:extent cx="1981200" cy="1838325"/>
            <wp:effectExtent l="0" t="0" r="0"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1200" cy="1838325"/>
                    </a:xfrm>
                    <a:prstGeom prst="rect">
                      <a:avLst/>
                    </a:prstGeom>
                  </pic:spPr>
                </pic:pic>
              </a:graphicData>
            </a:graphic>
            <wp14:sizeRelH relativeFrom="margin">
              <wp14:pctWidth>0</wp14:pctWidth>
            </wp14:sizeRelH>
            <wp14:sizeRelV relativeFrom="margin">
              <wp14:pctHeight>0</wp14:pctHeight>
            </wp14:sizeRelV>
          </wp:anchor>
        </w:drawing>
      </w:r>
      <w:r w:rsidR="009125CE" w:rsidRPr="007A1717">
        <w:rPr>
          <w:rFonts w:ascii="Sakkal Majalla" w:hAnsi="Sakkal Majalla" w:cs="Sakkal Majalla"/>
          <w:b/>
          <w:bCs/>
          <w:color w:val="000000" w:themeColor="text1"/>
          <w:sz w:val="32"/>
          <w:szCs w:val="32"/>
          <w:rtl/>
          <w:lang w:bidi="ar-EG"/>
        </w:rPr>
        <w:t xml:space="preserve">جامعة ميدأوشن </w:t>
      </w:r>
    </w:p>
    <w:p w14:paraId="1E957002" w14:textId="474856FD" w:rsidR="00F546CE" w:rsidRPr="007A1717" w:rsidRDefault="009125CE" w:rsidP="00A12B5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A1717">
        <w:rPr>
          <w:rFonts w:ascii="Sakkal Majalla" w:hAnsi="Sakkal Majalla" w:cs="Sakkal Majalla"/>
          <w:b/>
          <w:bCs/>
          <w:color w:val="000000" w:themeColor="text1"/>
          <w:sz w:val="32"/>
          <w:szCs w:val="32"/>
          <w:rtl/>
          <w:lang w:bidi="ar-EG"/>
        </w:rPr>
        <w:t xml:space="preserve">كلية </w:t>
      </w:r>
      <w:r w:rsidR="008C42C1" w:rsidRPr="007A1717">
        <w:rPr>
          <w:rFonts w:ascii="Sakkal Majalla" w:hAnsi="Sakkal Majalla" w:cs="Sakkal Majalla"/>
          <w:b/>
          <w:bCs/>
          <w:color w:val="000000" w:themeColor="text1"/>
          <w:sz w:val="32"/>
          <w:szCs w:val="32"/>
          <w:rtl/>
          <w:lang w:bidi="ar-EG"/>
        </w:rPr>
        <w:t>الإدارة</w:t>
      </w:r>
      <w:r w:rsidRPr="007A1717">
        <w:rPr>
          <w:rFonts w:ascii="Sakkal Majalla" w:hAnsi="Sakkal Majalla" w:cs="Sakkal Majalla"/>
          <w:b/>
          <w:bCs/>
          <w:color w:val="000000" w:themeColor="text1"/>
          <w:sz w:val="32"/>
          <w:szCs w:val="32"/>
          <w:rtl/>
          <w:lang w:bidi="ar-EG"/>
        </w:rPr>
        <w:t xml:space="preserve"> </w:t>
      </w:r>
    </w:p>
    <w:p w14:paraId="0A25F43C" w14:textId="6614C9E1" w:rsidR="008C7BB4" w:rsidRPr="007A1717" w:rsidRDefault="00A23F0B" w:rsidP="00A12B5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A1717">
        <w:rPr>
          <w:rFonts w:ascii="Sakkal Majalla" w:hAnsi="Sakkal Majalla" w:cs="Sakkal Majalla"/>
          <w:b/>
          <w:bCs/>
          <w:color w:val="000000" w:themeColor="text1"/>
          <w:sz w:val="32"/>
          <w:szCs w:val="32"/>
          <w:rtl/>
          <w:lang w:bidi="ar-EG"/>
        </w:rPr>
        <w:t xml:space="preserve">ماجستير </w:t>
      </w:r>
      <w:r w:rsidR="00295BBE" w:rsidRPr="007A1717">
        <w:rPr>
          <w:rFonts w:ascii="Sakkal Majalla" w:hAnsi="Sakkal Majalla" w:cs="Sakkal Majalla"/>
          <w:b/>
          <w:bCs/>
          <w:color w:val="000000" w:themeColor="text1"/>
          <w:sz w:val="32"/>
          <w:szCs w:val="32"/>
          <w:rtl/>
          <w:lang w:bidi="ar-EG"/>
        </w:rPr>
        <w:t>إدارة</w:t>
      </w:r>
      <w:r w:rsidR="003A5136" w:rsidRPr="007A1717">
        <w:rPr>
          <w:rFonts w:ascii="Sakkal Majalla" w:hAnsi="Sakkal Majalla" w:cs="Sakkal Majalla"/>
          <w:b/>
          <w:bCs/>
          <w:color w:val="000000" w:themeColor="text1"/>
          <w:sz w:val="32"/>
          <w:szCs w:val="32"/>
          <w:rtl/>
          <w:lang w:bidi="ar-EG"/>
        </w:rPr>
        <w:t xml:space="preserve"> ال</w:t>
      </w:r>
      <w:r w:rsidR="00D6120A" w:rsidRPr="007A1717">
        <w:rPr>
          <w:rFonts w:ascii="Sakkal Majalla" w:hAnsi="Sakkal Majalla" w:cs="Sakkal Majalla"/>
          <w:b/>
          <w:bCs/>
          <w:color w:val="000000" w:themeColor="text1"/>
          <w:sz w:val="32"/>
          <w:szCs w:val="32"/>
          <w:rtl/>
          <w:lang w:bidi="ar-EG"/>
        </w:rPr>
        <w:t xml:space="preserve">مخاطر </w:t>
      </w:r>
      <w:r w:rsidR="00566BCE" w:rsidRPr="007A1717">
        <w:rPr>
          <w:rFonts w:ascii="Sakkal Majalla" w:hAnsi="Sakkal Majalla" w:cs="Sakkal Majalla"/>
          <w:b/>
          <w:bCs/>
          <w:color w:val="000000" w:themeColor="text1"/>
          <w:sz w:val="32"/>
          <w:szCs w:val="32"/>
          <w:rtl/>
          <w:lang w:bidi="ar-EG"/>
        </w:rPr>
        <w:t xml:space="preserve"> </w:t>
      </w:r>
    </w:p>
    <w:p w14:paraId="10FC053A" w14:textId="744F4082" w:rsidR="00BE74CE" w:rsidRPr="007A1717" w:rsidRDefault="00BE74CE" w:rsidP="00A12B5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7A1717">
        <w:rPr>
          <w:rFonts w:ascii="Sakkal Majalla" w:hAnsi="Sakkal Majalla" w:cs="Sakkal Majalla"/>
          <w:b/>
          <w:bCs/>
          <w:color w:val="000000" w:themeColor="text1"/>
          <w:sz w:val="40"/>
          <w:szCs w:val="40"/>
          <w:rtl/>
          <w:lang w:bidi="ar-EG"/>
        </w:rPr>
        <w:t>فاعلية أنظمة الإنذار المبكر في الحد من تأثير الكوارث الصناعية: دراسة ميدانية على المدن الصناعية في المملكة العربية السعودية</w:t>
      </w:r>
    </w:p>
    <w:p w14:paraId="751A7E65" w14:textId="6A2557D7" w:rsidR="009125CE" w:rsidRPr="007A1717" w:rsidRDefault="009125CE" w:rsidP="00A12B5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A1717">
        <w:rPr>
          <w:rFonts w:ascii="Sakkal Majalla" w:hAnsi="Sakkal Majalla" w:cs="Sakkal Majalla"/>
          <w:b/>
          <w:bCs/>
          <w:color w:val="000000" w:themeColor="text1"/>
          <w:sz w:val="36"/>
          <w:szCs w:val="36"/>
          <w:rtl/>
          <w:lang w:bidi="ar-EG"/>
        </w:rPr>
        <w:t>إعداد الطالب/</w:t>
      </w:r>
    </w:p>
    <w:p w14:paraId="5B229C45" w14:textId="0B29EC28" w:rsidR="003A5136" w:rsidRPr="007A1717" w:rsidRDefault="00D6120A" w:rsidP="00A12B57">
      <w:pPr>
        <w:spacing w:before="100" w:beforeAutospacing="1" w:after="100" w:afterAutospacing="1" w:line="360" w:lineRule="auto"/>
        <w:jc w:val="center"/>
        <w:rPr>
          <w:rFonts w:ascii="Sakkal Majalla" w:hAnsi="Sakkal Majalla" w:cs="Sakkal Majalla"/>
          <w:color w:val="000000" w:themeColor="text1"/>
          <w:sz w:val="36"/>
          <w:szCs w:val="36"/>
          <w:rtl/>
        </w:rPr>
      </w:pPr>
      <w:r w:rsidRPr="007A1717">
        <w:rPr>
          <w:rFonts w:ascii="Sakkal Majalla" w:hAnsi="Sakkal Majalla" w:cs="Sakkal Majalla"/>
          <w:color w:val="000000" w:themeColor="text1"/>
          <w:sz w:val="36"/>
          <w:szCs w:val="36"/>
          <w:rtl/>
        </w:rPr>
        <w:t>عبدالله محمد الخليفة</w:t>
      </w:r>
    </w:p>
    <w:p w14:paraId="63FD577A" w14:textId="6DB58142" w:rsidR="003A5136" w:rsidRPr="007A1717" w:rsidRDefault="00D6120A" w:rsidP="00A12B57">
      <w:pPr>
        <w:spacing w:before="100" w:beforeAutospacing="1" w:after="100" w:afterAutospacing="1" w:line="360" w:lineRule="auto"/>
        <w:jc w:val="center"/>
        <w:rPr>
          <w:rFonts w:ascii="Sakkal Majalla" w:hAnsi="Sakkal Majalla" w:cs="Sakkal Majalla"/>
          <w:color w:val="000000" w:themeColor="text1"/>
          <w:sz w:val="36"/>
          <w:szCs w:val="36"/>
          <w:rtl/>
        </w:rPr>
      </w:pPr>
      <w:r w:rsidRPr="007A1717">
        <w:rPr>
          <w:rFonts w:ascii="Sakkal Majalla" w:hAnsi="Sakkal Majalla" w:cs="Sakkal Majalla"/>
          <w:color w:val="000000" w:themeColor="text1"/>
          <w:sz w:val="36"/>
          <w:szCs w:val="36"/>
        </w:rPr>
        <w:t>252000304</w:t>
      </w:r>
    </w:p>
    <w:p w14:paraId="5F4EE2DE" w14:textId="59D1E2F9" w:rsidR="009125CE" w:rsidRPr="007A1717" w:rsidRDefault="009125CE" w:rsidP="00A12B5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A1717">
        <w:rPr>
          <w:rFonts w:ascii="Sakkal Majalla" w:hAnsi="Sakkal Majalla" w:cs="Sakkal Majalla"/>
          <w:b/>
          <w:bCs/>
          <w:color w:val="000000" w:themeColor="text1"/>
          <w:sz w:val="36"/>
          <w:szCs w:val="36"/>
          <w:rtl/>
          <w:lang w:bidi="ar-EG"/>
        </w:rPr>
        <w:t>إشراف/</w:t>
      </w:r>
    </w:p>
    <w:p w14:paraId="39900BA8" w14:textId="7776322D" w:rsidR="00D32470" w:rsidRPr="007A1717" w:rsidRDefault="00BA5817" w:rsidP="00A12B57">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A1717">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0C6FE7F4" w:rsidR="000A06E6" w:rsidRPr="007A1717" w:rsidRDefault="000A06E6" w:rsidP="00A12B57">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A1717">
        <w:rPr>
          <w:rFonts w:ascii="Sakkal Majalla" w:eastAsia="Calibri" w:hAnsi="Sakkal Majalla" w:cs="Sakkal Majalla"/>
          <w:color w:val="000000" w:themeColor="text1"/>
          <w:kern w:val="0"/>
          <w:sz w:val="36"/>
          <w:szCs w:val="36"/>
          <w:rtl/>
          <w:lang w:bidi="ar-EG"/>
          <w14:ligatures w14:val="none"/>
        </w:rPr>
        <w:t>د.فايز جراد</w:t>
      </w:r>
    </w:p>
    <w:p w14:paraId="05DD91B1" w14:textId="672CA5C1" w:rsidR="00377D51" w:rsidRPr="007A1717" w:rsidRDefault="009125CE" w:rsidP="00A12B5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A1717">
        <w:rPr>
          <w:rFonts w:ascii="Sakkal Majalla" w:hAnsi="Sakkal Majalla" w:cs="Sakkal Majalla"/>
          <w:b/>
          <w:bCs/>
          <w:color w:val="000000" w:themeColor="text1"/>
          <w:sz w:val="36"/>
          <w:szCs w:val="36"/>
          <w:rtl/>
          <w:lang w:bidi="ar-EG"/>
        </w:rPr>
        <w:t>العام الدراسي:</w:t>
      </w:r>
    </w:p>
    <w:p w14:paraId="4741842B" w14:textId="77777777" w:rsidR="00A12B57" w:rsidRPr="007A1717" w:rsidRDefault="00A12B57" w:rsidP="00A12B57">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A12B57" w:rsidRPr="007A1717" w:rsidSect="00A12B57">
          <w:type w:val="continuous"/>
          <w:pgSz w:w="11906" w:h="16838" w:code="9"/>
          <w:pgMar w:top="1440" w:right="1985" w:bottom="1440" w:left="1418" w:header="720" w:footer="720" w:gutter="567"/>
          <w:pgNumType w:fmt="arabicAbjad" w:start="1"/>
          <w:cols w:space="708"/>
          <w:bidi/>
          <w:rtlGutter/>
          <w:docGrid w:linePitch="360"/>
        </w:sectPr>
      </w:pPr>
      <w:r w:rsidRPr="007A1717">
        <w:rPr>
          <w:rFonts w:ascii="Sakkal Majalla" w:hAnsi="Sakkal Majalla" w:cs="Sakkal Majalla" w:hint="cs"/>
          <w:color w:val="000000" w:themeColor="text1"/>
          <w:sz w:val="36"/>
          <w:szCs w:val="36"/>
          <w:rtl/>
          <w:lang w:bidi="ar-EG"/>
        </w:rPr>
        <w:t xml:space="preserve">1447 </w:t>
      </w:r>
      <w:r w:rsidRPr="007A1717">
        <w:rPr>
          <w:rFonts w:ascii="Sakkal Majalla" w:hAnsi="Sakkal Majalla" w:cs="Sakkal Majalla"/>
          <w:color w:val="000000" w:themeColor="text1"/>
          <w:sz w:val="36"/>
          <w:szCs w:val="36"/>
          <w:rtl/>
          <w:lang w:bidi="ar-EG"/>
        </w:rPr>
        <w:t>–</w:t>
      </w:r>
      <w:r w:rsidRPr="007A1717">
        <w:rPr>
          <w:rFonts w:ascii="Sakkal Majalla" w:hAnsi="Sakkal Majalla" w:cs="Sakkal Majalla" w:hint="cs"/>
          <w:color w:val="000000" w:themeColor="text1"/>
          <w:sz w:val="36"/>
          <w:szCs w:val="36"/>
          <w:rtl/>
          <w:lang w:bidi="ar-EG"/>
        </w:rPr>
        <w:t xml:space="preserve"> 2026</w:t>
      </w:r>
    </w:p>
    <w:p w14:paraId="01A74D36" w14:textId="2ACBC410" w:rsidR="00A12B57" w:rsidRPr="007A1717" w:rsidRDefault="00A12B57" w:rsidP="00A12B5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Hlk172151144"/>
      <w:bookmarkStart w:id="1" w:name="_Toc169790489"/>
      <w:bookmarkStart w:id="2" w:name="_Toc223307768"/>
      <w:r w:rsidRPr="007A1717">
        <w:rPr>
          <w:rFonts w:ascii="Sakkal Majalla" w:hAnsi="Sakkal Majalla" w:cs="Sakkal Majalla" w:hint="cs"/>
          <w:b/>
          <w:bCs/>
          <w:color w:val="000000" w:themeColor="text1"/>
          <w:sz w:val="40"/>
          <w:szCs w:val="40"/>
          <w:rtl/>
        </w:rPr>
        <w:lastRenderedPageBreak/>
        <w:t>الفصل الأول: الإطار العام للدراسة</w:t>
      </w:r>
      <w:bookmarkEnd w:id="2"/>
    </w:p>
    <w:p w14:paraId="662D53CE" w14:textId="14AF3FA7" w:rsidR="00A12B57" w:rsidRPr="007A1717" w:rsidRDefault="00A12B57" w:rsidP="00A12B57">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3" w:name="_Toc223307769"/>
      <w:r w:rsidRPr="007A1717">
        <w:rPr>
          <w:rFonts w:ascii="Sakkal Majalla" w:hAnsi="Sakkal Majalla" w:cs="Sakkal Majalla" w:hint="cs"/>
          <w:b/>
          <w:bCs/>
          <w:color w:val="000000" w:themeColor="text1"/>
          <w:sz w:val="36"/>
          <w:szCs w:val="36"/>
          <w:rtl/>
        </w:rPr>
        <w:t>1.1 المقدمة</w:t>
      </w:r>
      <w:bookmarkEnd w:id="3"/>
    </w:p>
    <w:p w14:paraId="07227B8A" w14:textId="0C33D0F1" w:rsidR="005F3FA1" w:rsidRPr="007A1717" w:rsidRDefault="005F3FA1" w:rsidP="00A12B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تُظهِر الحوادث الصناعية عالميًا عبئًا متزايدًا على الأرواح والاقتصاد والبنية التحتية، إذ سُجِّل 1054 حادثًا صناعيًا بين 1995 و2021 مع سيادة الانفجارات وتبعات بشرية ومادية جسيمة، ما يبرز هشاشة المرافق الحرجة والحاجة لتطبيق أدوات تقييم المخاطر والوقاية بكفاءة أعلى، وتُعد حوادث كبرى مثل مرفأ بيروت وتيانجين وتكساس تذكيرًا عاجلًا بضرورة تحسين الاستباقية في إدارة الأخطار الصناعية</w:t>
      </w:r>
      <w:r w:rsidRPr="007A1717">
        <w:rPr>
          <w:rFonts w:ascii="Sakkal Majalla" w:hAnsi="Sakkal Majalla" w:cs="Sakkal Majalla"/>
          <w:color w:val="000000" w:themeColor="text1"/>
          <w:sz w:val="28"/>
          <w:szCs w:val="28"/>
        </w:rPr>
        <w:t>. (Tin et al., 2023</w:t>
      </w:r>
      <w:r w:rsidR="000A05D1" w:rsidRPr="007A1717">
        <w:rPr>
          <w:rFonts w:ascii="Sakkal Majalla" w:hAnsi="Sakkal Majalla" w:cs="Sakkal Majalla"/>
          <w:color w:val="000000" w:themeColor="text1"/>
          <w:sz w:val="28"/>
          <w:szCs w:val="28"/>
        </w:rPr>
        <w:t>)</w:t>
      </w:r>
    </w:p>
    <w:p w14:paraId="50EA15C7" w14:textId="40812A0D" w:rsidR="005F3FA1" w:rsidRPr="007A1717" w:rsidRDefault="000A05D1" w:rsidP="00A12B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وتعد </w:t>
      </w:r>
      <w:r w:rsidR="005F3FA1" w:rsidRPr="007A1717">
        <w:rPr>
          <w:rFonts w:ascii="Sakkal Majalla" w:hAnsi="Sakkal Majalla" w:cs="Sakkal Majalla"/>
          <w:color w:val="000000" w:themeColor="text1"/>
          <w:sz w:val="28"/>
          <w:szCs w:val="28"/>
          <w:rtl/>
        </w:rPr>
        <w:t>أنظمة الإنذار المبكر ركنٌ محوري في الحد من مخاطر الكوارث متى كانت متعددة الأخطار، متكاملة الحلقات من الرصد إلى الاستجابة، ومحورها الإنسان مع ضمان الإتاحة والشمول للفئات الهشّة، وبنيت على تدفقات بيانات موثوقة بين المستويات الوطنية والإقليمية، ويبرز الدور التنسيقي والمعياري لمنظمة الأرصاد الجوية العالمية في ترسيخ هذه المقاربة على الصعيد الدولي</w:t>
      </w:r>
      <w:r w:rsidRPr="007A1717">
        <w:rPr>
          <w:rFonts w:ascii="Sakkal Majalla" w:hAnsi="Sakkal Majalla" w:cs="Sakkal Majalla"/>
          <w:color w:val="000000" w:themeColor="text1"/>
          <w:sz w:val="28"/>
          <w:szCs w:val="28"/>
          <w:rtl/>
        </w:rPr>
        <w:t>(</w:t>
      </w:r>
      <w:r w:rsidR="005F3FA1" w:rsidRPr="007A1717">
        <w:rPr>
          <w:rFonts w:ascii="Sakkal Majalla" w:hAnsi="Sakkal Majalla" w:cs="Sakkal Majalla"/>
          <w:color w:val="000000" w:themeColor="text1"/>
          <w:sz w:val="28"/>
          <w:szCs w:val="28"/>
          <w:rtl/>
        </w:rPr>
        <w:t xml:space="preserve"> السعدى، 2024) .</w:t>
      </w:r>
    </w:p>
    <w:p w14:paraId="3F52596C" w14:textId="2D7295E3" w:rsidR="005F3FA1" w:rsidRPr="007A1717" w:rsidRDefault="005F3FA1" w:rsidP="00A12B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أن فاعلية الإنذار لا تتحدد بالتقنية وحدها، بل بتكامل مصادر البيانات قبل التشخيص، وتوحيد النماذج، والتحديث اليومي، وبناء الثقة والقبول المجتمعي، مع ربطٍ إلزامي بين الإشعار وإجراءات تدخل واضحة التوقيت، وتُبيّن مراجعات الصحة العامة تفوّق النظم المركّبة والإبلاغ اليومي، فيما تُظهر دراسات الفيضانات أهمية الدمج بين المعرفة المحلية والتقنيات الحديثة، ويكشف تحليل عمليات حفظ السلام أثر توقيت التفعيل على إطالة أو تقصير أمد الأحداث إذا جاء التدخل تفاعليًا لا استباقيًا</w:t>
      </w:r>
      <w:r w:rsidRPr="007A1717">
        <w:rPr>
          <w:rFonts w:ascii="Sakkal Majalla" w:hAnsi="Sakkal Majalla" w:cs="Sakkal Majalla"/>
          <w:color w:val="000000" w:themeColor="text1"/>
          <w:sz w:val="28"/>
          <w:szCs w:val="28"/>
        </w:rPr>
        <w:t>. (Meckawy et al., 2022</w:t>
      </w:r>
      <w:r w:rsidR="000A05D1" w:rsidRPr="007A1717">
        <w:rPr>
          <w:rFonts w:ascii="Sakkal Majalla" w:hAnsi="Sakkal Majalla" w:cs="Sakkal Majalla"/>
          <w:color w:val="000000" w:themeColor="text1"/>
          <w:sz w:val="28"/>
          <w:szCs w:val="28"/>
        </w:rPr>
        <w:t>)</w:t>
      </w:r>
    </w:p>
    <w:p w14:paraId="553D4DD0" w14:textId="64D14BBC" w:rsidR="005F3FA1" w:rsidRPr="007A1717" w:rsidRDefault="000A05D1" w:rsidP="00A12B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و</w:t>
      </w:r>
      <w:r w:rsidR="005F3FA1" w:rsidRPr="007A1717">
        <w:rPr>
          <w:rFonts w:ascii="Sakkal Majalla" w:hAnsi="Sakkal Majalla" w:cs="Sakkal Majalla"/>
          <w:color w:val="000000" w:themeColor="text1"/>
          <w:sz w:val="28"/>
          <w:szCs w:val="28"/>
          <w:rtl/>
        </w:rPr>
        <w:t>تستهدف هذه الدراسة قياس فاعلية أنظمة الإنذار المبكر في الحد من تأثير الكوارث الصناعية ميدانيًا داخل المدن الصناعية في المملكة العربية السعودية، عبر إطارٍ يستند إلى أنماط المخاطر وأنواع الحوادث وأثرها على جودة الحياة والبنية التحتية، وبما يسد فجوة القياس التطبيقي في السياق الصناعي العربي ويحول مبادئ الإنذار المتكامل إلى مؤشرات أداء قابلة للتنفيذ</w:t>
      </w:r>
      <w:r w:rsidRPr="007A1717">
        <w:rPr>
          <w:rFonts w:ascii="Sakkal Majalla" w:hAnsi="Sakkal Majalla" w:cs="Sakkal Majalla"/>
          <w:color w:val="000000" w:themeColor="text1"/>
          <w:sz w:val="28"/>
          <w:szCs w:val="28"/>
          <w:rtl/>
        </w:rPr>
        <w:t>.</w:t>
      </w:r>
    </w:p>
    <w:p w14:paraId="4DB83CE9" w14:textId="3AEE012E" w:rsidR="00A12B57" w:rsidRPr="007A1717" w:rsidRDefault="00A12B57" w:rsidP="00A12B5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23307770"/>
      <w:bookmarkEnd w:id="0"/>
      <w:r w:rsidRPr="007A1717">
        <w:rPr>
          <w:rFonts w:ascii="Sakkal Majalla" w:hAnsi="Sakkal Majalla" w:cs="Sakkal Majalla"/>
          <w:b/>
          <w:bCs/>
          <w:color w:val="000000" w:themeColor="text1"/>
          <w:sz w:val="36"/>
          <w:szCs w:val="36"/>
          <w:rtl/>
        </w:rPr>
        <w:lastRenderedPageBreak/>
        <w:t>2.1 مشكلة الدراسة</w:t>
      </w:r>
      <w:bookmarkEnd w:id="4"/>
    </w:p>
    <w:p w14:paraId="291C81E9" w14:textId="77777777" w:rsidR="000A05D1" w:rsidRPr="007A1717" w:rsidRDefault="000A05D1" w:rsidP="00A12B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على الرغم من الارتفاع العالمي الملحوظ في تكرار الحوادث الصناعية وشدّة آثارها البشرية والمادية والبنيوية كما تكشفه الأدلة الوبائية التي تشير إلى هيمنة الانفجارات وامتداد تداعياتها الواسعة إلا أن قياس فاعلية أنظمة الإنذار المبكر داخل البيئات الصناعية في المملكة العربية السعودية لا يزال محدودًا وغير قائم على مؤشرات تشغيلية وزمنية دقيقة تربط بين مستوى الجاهزية ونتائج الخسائر الفعلية. وتؤكد الأدبيات أن الوقاية والتنبؤ والاستجابة المبكرة أصبحت ضرورة ملحّة، خاصة في ضوء حوادث كبرى مثل انفجار مرفأ بيروت التي أبرزت الحاجة للتكامل بين تقييم المخاطر والإنذار الفعّال (</w:t>
      </w:r>
      <w:r w:rsidRPr="007A1717">
        <w:rPr>
          <w:rFonts w:ascii="Sakkal Majalla" w:hAnsi="Sakkal Majalla" w:cs="Sakkal Majalla"/>
          <w:color w:val="000000" w:themeColor="text1"/>
          <w:sz w:val="28"/>
          <w:szCs w:val="28"/>
        </w:rPr>
        <w:t>Tin et al., 2023</w:t>
      </w:r>
      <w:r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Pr>
        <w:t>Foreword, 2024</w:t>
      </w:r>
      <w:r w:rsidRPr="007A1717">
        <w:rPr>
          <w:rFonts w:ascii="Sakkal Majalla" w:hAnsi="Sakkal Majalla" w:cs="Sakkal Majalla"/>
          <w:color w:val="000000" w:themeColor="text1"/>
          <w:sz w:val="28"/>
          <w:szCs w:val="28"/>
          <w:rtl/>
        </w:rPr>
        <w:t xml:space="preserve">). </w:t>
      </w:r>
    </w:p>
    <w:p w14:paraId="1FC356AD" w14:textId="77777777" w:rsidR="000A05D1" w:rsidRPr="007A1717" w:rsidRDefault="000A05D1" w:rsidP="00A12B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كما تتفق الدراسات على أن أنظمة الإنذار الفاعلة تتطلب منظومات متعددة الأخطار، شمولية ومرتكزة على الإنسان، مع سياسات تضمن الإتاحة وتدفق المعلومات والحوكمة الرشيدة، بينما تُضعف فجوات البيانات والتمويل ومحدودية المشاركة المؤسسية قدرة الأنظمة على الحد من الخسائر (</w:t>
      </w:r>
      <w:r w:rsidRPr="007A1717">
        <w:rPr>
          <w:rFonts w:ascii="Sakkal Majalla" w:hAnsi="Sakkal Majalla" w:cs="Sakkal Majalla"/>
          <w:color w:val="000000" w:themeColor="text1"/>
          <w:sz w:val="28"/>
          <w:szCs w:val="28"/>
        </w:rPr>
        <w:t>Executive Summary, 2023</w:t>
      </w:r>
      <w:r w:rsidRPr="007A1717">
        <w:rPr>
          <w:rFonts w:ascii="Sakkal Majalla" w:hAnsi="Sakkal Majalla" w:cs="Sakkal Majalla"/>
          <w:color w:val="000000" w:themeColor="text1"/>
          <w:sz w:val="28"/>
          <w:szCs w:val="28"/>
          <w:rtl/>
        </w:rPr>
        <w:t xml:space="preserve">؛ السعدى، 2024). </w:t>
      </w:r>
    </w:p>
    <w:p w14:paraId="0689D323" w14:textId="77777777" w:rsidR="000A05D1" w:rsidRPr="007A1717" w:rsidRDefault="000A05D1" w:rsidP="00A12B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ورغم ما تظهره الأدبيات من أن تحسين الأنظمة القائمة ودمجها بنماذج موحدة للإبلاغ والاكتشاف المبكر أكثر فاعلية من بناء نظم جديدة من الصفر، إلا أن الحلقة الأضعف عالميًا تظل في ضعف الربط بين الإشعار واتخاذ التدخلات المحددة زمنيًا (</w:t>
      </w:r>
      <w:r w:rsidRPr="007A1717">
        <w:rPr>
          <w:rFonts w:ascii="Sakkal Majalla" w:hAnsi="Sakkal Majalla" w:cs="Sakkal Majalla"/>
          <w:color w:val="000000" w:themeColor="text1"/>
          <w:sz w:val="28"/>
          <w:szCs w:val="28"/>
        </w:rPr>
        <w:t>Meckawy et al., 2022</w:t>
      </w:r>
      <w:r w:rsidRPr="007A1717">
        <w:rPr>
          <w:rFonts w:ascii="Sakkal Majalla" w:hAnsi="Sakkal Majalla" w:cs="Sakkal Majalla"/>
          <w:color w:val="000000" w:themeColor="text1"/>
          <w:sz w:val="28"/>
          <w:szCs w:val="28"/>
          <w:rtl/>
        </w:rPr>
        <w:t xml:space="preserve">). </w:t>
      </w:r>
    </w:p>
    <w:p w14:paraId="6CF19307" w14:textId="54A0E4E5" w:rsidR="00A12B57" w:rsidRPr="007A1717" w:rsidRDefault="000A05D1" w:rsidP="00A12B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وفي ضوء ذلك، تتجلى المشكلة البحثية في غياب تقييم ميداني صارم وموثوق يحدد ما إذا كانت أنظمة الإنذار المبكر المطبقة في المدن الصناعية السعودية تسهم فعليًا وفق مؤشرات أداء قابلة للقياس  في خفض الخسائر البشرية والمادية والبيئية مقارنة بخط الأساس، رغم ما تشير إليه الدراسات من ثِقل المخاطر الصناعية عالميًا وتأثيراتها الممتدة .</w:t>
      </w:r>
      <w:bookmarkStart w:id="5" w:name="_Toc169790490"/>
      <w:bookmarkEnd w:id="1"/>
    </w:p>
    <w:p w14:paraId="6FFE0C08" w14:textId="04CC4144" w:rsidR="00A12B57" w:rsidRPr="007A1717" w:rsidRDefault="00A12B57" w:rsidP="00A12B57">
      <w:pPr>
        <w:spacing w:before="100" w:beforeAutospacing="1" w:after="100" w:afterAutospacing="1"/>
        <w:outlineLvl w:val="1"/>
        <w:rPr>
          <w:rFonts w:ascii="Sakkal Majalla" w:hAnsi="Sakkal Majalla" w:cs="Sakkal Majalla"/>
          <w:b/>
          <w:bCs/>
          <w:color w:val="000000" w:themeColor="text1"/>
          <w:sz w:val="36"/>
          <w:szCs w:val="36"/>
          <w:rtl/>
        </w:rPr>
      </w:pPr>
      <w:r w:rsidRPr="007A1717">
        <w:rPr>
          <w:rFonts w:ascii="Sakkal Majalla" w:hAnsi="Sakkal Majalla" w:cs="Sakkal Majalla"/>
          <w:b/>
          <w:bCs/>
          <w:color w:val="000000" w:themeColor="text1"/>
          <w:sz w:val="36"/>
          <w:szCs w:val="36"/>
          <w:rtl/>
        </w:rPr>
        <w:br w:type="page"/>
      </w:r>
      <w:bookmarkStart w:id="6" w:name="_Toc223307771"/>
      <w:r w:rsidRPr="007A1717">
        <w:rPr>
          <w:rFonts w:ascii="Sakkal Majalla" w:hAnsi="Sakkal Majalla" w:cs="Sakkal Majalla" w:hint="cs"/>
          <w:b/>
          <w:bCs/>
          <w:color w:val="000000" w:themeColor="text1"/>
          <w:sz w:val="36"/>
          <w:szCs w:val="36"/>
          <w:rtl/>
        </w:rPr>
        <w:lastRenderedPageBreak/>
        <w:t xml:space="preserve">3.1 </w:t>
      </w:r>
      <w:r w:rsidRPr="007A1717">
        <w:rPr>
          <w:rFonts w:ascii="Sakkal Majalla" w:hAnsi="Sakkal Majalla" w:cs="Sakkal Majalla"/>
          <w:b/>
          <w:bCs/>
          <w:color w:val="000000" w:themeColor="text1"/>
          <w:sz w:val="36"/>
          <w:szCs w:val="36"/>
          <w:rtl/>
        </w:rPr>
        <w:t xml:space="preserve"> أهمية الدراسة:</w:t>
      </w:r>
      <w:bookmarkEnd w:id="6"/>
    </w:p>
    <w:p w14:paraId="1EE72FAC" w14:textId="40083867" w:rsidR="00AF46DF" w:rsidRPr="007A1717" w:rsidRDefault="00AF46DF" w:rsidP="00A12B57">
      <w:pPr>
        <w:spacing w:before="100" w:beforeAutospacing="1" w:after="100" w:afterAutospacing="1" w:line="360" w:lineRule="auto"/>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7A1717">
        <w:rPr>
          <w:rFonts w:ascii="Sakkal Majalla" w:hAnsi="Sakkal Majalla" w:cs="Sakkal Majalla"/>
          <w:b/>
          <w:bCs/>
          <w:color w:val="000000" w:themeColor="text1"/>
          <w:sz w:val="28"/>
          <w:szCs w:val="28"/>
          <w:rtl/>
        </w:rPr>
        <w:t>فيما يل</w:t>
      </w:r>
      <w:r w:rsidR="00DD6BEA" w:rsidRPr="007A1717">
        <w:rPr>
          <w:rFonts w:ascii="Sakkal Majalla" w:hAnsi="Sakkal Majalla" w:cs="Sakkal Majalla"/>
          <w:b/>
          <w:bCs/>
          <w:color w:val="000000" w:themeColor="text1"/>
          <w:sz w:val="28"/>
          <w:szCs w:val="28"/>
          <w:rtl/>
        </w:rPr>
        <w:t>ي</w:t>
      </w:r>
      <w:r w:rsidR="000125CD" w:rsidRPr="007A1717">
        <w:rPr>
          <w:rFonts w:ascii="Sakkal Majalla" w:hAnsi="Sakkal Majalla" w:cs="Sakkal Majalla"/>
          <w:b/>
          <w:bCs/>
          <w:color w:val="000000" w:themeColor="text1"/>
          <w:sz w:val="28"/>
          <w:szCs w:val="28"/>
          <w:rtl/>
        </w:rPr>
        <w:t>:</w:t>
      </w:r>
    </w:p>
    <w:p w14:paraId="22B45B1B" w14:textId="77777777" w:rsidR="002133A6" w:rsidRPr="007A1717" w:rsidRDefault="002133A6" w:rsidP="00A12B57">
      <w:pPr>
        <w:spacing w:before="100" w:beforeAutospacing="1" w:after="100" w:afterAutospacing="1" w:line="360" w:lineRule="auto"/>
        <w:jc w:val="both"/>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t>أولًا: الأهمية العلمية</w:t>
      </w:r>
      <w:r w:rsidRPr="007A1717">
        <w:rPr>
          <w:rFonts w:ascii="Sakkal Majalla" w:hAnsi="Sakkal Majalla" w:cs="Sakkal Majalla"/>
          <w:b/>
          <w:bCs/>
          <w:color w:val="000000" w:themeColor="text1"/>
          <w:sz w:val="32"/>
          <w:szCs w:val="32"/>
        </w:rPr>
        <w:t>:</w:t>
      </w:r>
    </w:p>
    <w:p w14:paraId="7B680904" w14:textId="430BC178" w:rsidR="007B3DD9" w:rsidRPr="007A1717" w:rsidRDefault="007B3DD9" w:rsidP="00A12B5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سدّ فجوة معرفية عربية وخليجية عبر تقييم ميداني منظّم لفاعلية أنظمة الإنذار المبكر للكوارث الصناعية في المدن الصناعية السعودية</w:t>
      </w:r>
      <w:r w:rsidRPr="007A1717">
        <w:rPr>
          <w:rFonts w:ascii="Sakkal Majalla" w:hAnsi="Sakkal Majalla" w:cs="Sakkal Majalla"/>
          <w:color w:val="000000" w:themeColor="text1"/>
          <w:sz w:val="28"/>
          <w:szCs w:val="28"/>
        </w:rPr>
        <w:t>.</w:t>
      </w:r>
    </w:p>
    <w:p w14:paraId="612EDB0F" w14:textId="3CE2A32C" w:rsidR="007B3DD9" w:rsidRPr="007A1717" w:rsidRDefault="007B3DD9" w:rsidP="00A12B5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بناء إطار مفاهيمي تشغيلي يربط بين أبعاد النظام التقنية والتنظيمية والبشرية والتخطيطية وتأثيرها على الخسائر البشرية والمادية والبيئية</w:t>
      </w:r>
      <w:r w:rsidRPr="007A1717">
        <w:rPr>
          <w:rFonts w:ascii="Sakkal Majalla" w:hAnsi="Sakkal Majalla" w:cs="Sakkal Majalla"/>
          <w:color w:val="000000" w:themeColor="text1"/>
          <w:sz w:val="28"/>
          <w:szCs w:val="28"/>
        </w:rPr>
        <w:t>.</w:t>
      </w:r>
    </w:p>
    <w:p w14:paraId="5D96AAFC" w14:textId="5D9AB303" w:rsidR="007B3DD9" w:rsidRPr="007A1717" w:rsidRDefault="007B3DD9" w:rsidP="00A12B5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تطوير مؤشرات أداء رئيسية قابلة للقياس لفعالية الإنذار المبكر: زمن الاكتشاف، زمن الإشعار، زمن بدء الاستجابة، معدل الإنذارات الكاذبة، نسبة الإشعارات التي تُترجم لإجراءات</w:t>
      </w:r>
      <w:r w:rsidRPr="007A1717">
        <w:rPr>
          <w:rFonts w:ascii="Sakkal Majalla" w:hAnsi="Sakkal Majalla" w:cs="Sakkal Majalla"/>
          <w:color w:val="000000" w:themeColor="text1"/>
          <w:sz w:val="28"/>
          <w:szCs w:val="28"/>
        </w:rPr>
        <w:t>.</w:t>
      </w:r>
    </w:p>
    <w:p w14:paraId="782A6BE5" w14:textId="12D266BD" w:rsidR="007B3DD9" w:rsidRPr="007A1717" w:rsidRDefault="007B3DD9" w:rsidP="00A12B5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تقديم منهجية قياس سببي تجمع بين تصميمات قبل/بعد، وفروق في الفروق بين مواقع مختلفة النضج، وتحليل بقاء لمدد الحوادث والتوقف التشغيلي</w:t>
      </w:r>
      <w:r w:rsidRPr="007A1717">
        <w:rPr>
          <w:rFonts w:ascii="Sakkal Majalla" w:hAnsi="Sakkal Majalla" w:cs="Sakkal Majalla"/>
          <w:color w:val="000000" w:themeColor="text1"/>
          <w:sz w:val="28"/>
          <w:szCs w:val="28"/>
        </w:rPr>
        <w:t>.</w:t>
      </w:r>
    </w:p>
    <w:p w14:paraId="0E7A350B" w14:textId="2CBC22AC" w:rsidR="007B3DD9" w:rsidRPr="007A1717" w:rsidRDefault="007B3DD9" w:rsidP="00A12B5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إسهام في معيرة أدوات القياس عبر اختبار الصدق والثبات لاستبيانات الجاهزية والاستجابة، وإتاحة حزمة قياس قابلة لإعادة الاستخدام في بيئات صناعية مشابهة</w:t>
      </w:r>
      <w:r w:rsidRPr="007A1717">
        <w:rPr>
          <w:rFonts w:ascii="Sakkal Majalla" w:hAnsi="Sakkal Majalla" w:cs="Sakkal Majalla"/>
          <w:color w:val="000000" w:themeColor="text1"/>
          <w:sz w:val="28"/>
          <w:szCs w:val="28"/>
        </w:rPr>
        <w:t>.</w:t>
      </w:r>
    </w:p>
    <w:p w14:paraId="01519C6D" w14:textId="488AFB4C" w:rsidR="007B3DD9" w:rsidRPr="007A1717" w:rsidRDefault="007B3DD9" w:rsidP="00A12B5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إنتاج قاعدة مقارنة بين أنواع الصناعات والمخاطر والأنماط الحضرية داخل المملكة بما يسمح بتوليد فرضيات جديدة وتعميمات حذرة</w:t>
      </w:r>
      <w:r w:rsidRPr="007A1717">
        <w:rPr>
          <w:rFonts w:ascii="Sakkal Majalla" w:hAnsi="Sakkal Majalla" w:cs="Sakkal Majalla"/>
          <w:color w:val="000000" w:themeColor="text1"/>
          <w:sz w:val="28"/>
          <w:szCs w:val="28"/>
        </w:rPr>
        <w:t>.</w:t>
      </w:r>
    </w:p>
    <w:p w14:paraId="32EAA244" w14:textId="16D77225" w:rsidR="007B3DD9" w:rsidRPr="007A1717" w:rsidRDefault="007B3DD9" w:rsidP="00A12B5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ربط أدبيات الإنذار المبكر متعددة الأخطار بأطر إدارة الجودة وتحسين العمليات في السياق الصناعي، بما يثري الحوار بين حقول إدارة الكوارث والهندسة الصناعية</w:t>
      </w:r>
      <w:r w:rsidRPr="007A1717">
        <w:rPr>
          <w:rFonts w:ascii="Sakkal Majalla" w:hAnsi="Sakkal Majalla" w:cs="Sakkal Majalla"/>
          <w:color w:val="000000" w:themeColor="text1"/>
          <w:sz w:val="28"/>
          <w:szCs w:val="28"/>
        </w:rPr>
        <w:t>.</w:t>
      </w:r>
    </w:p>
    <w:p w14:paraId="4B24F135" w14:textId="77777777" w:rsidR="00A97D67" w:rsidRPr="007A1717" w:rsidRDefault="002133A6" w:rsidP="00A12B57">
      <w:pPr>
        <w:spacing w:before="100" w:beforeAutospacing="1" w:after="100" w:afterAutospacing="1" w:line="360" w:lineRule="auto"/>
        <w:jc w:val="both"/>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t>ثانيًا: الأهمية العملية</w:t>
      </w:r>
      <w:r w:rsidRPr="007A1717">
        <w:rPr>
          <w:rFonts w:ascii="Sakkal Majalla" w:hAnsi="Sakkal Majalla" w:cs="Sakkal Majalla"/>
          <w:b/>
          <w:bCs/>
          <w:color w:val="000000" w:themeColor="text1"/>
          <w:sz w:val="32"/>
          <w:szCs w:val="32"/>
        </w:rPr>
        <w:t>:</w:t>
      </w:r>
    </w:p>
    <w:p w14:paraId="0C93DA9F" w14:textId="4750F022" w:rsidR="00A97D67" w:rsidRPr="007A1717" w:rsidRDefault="00A97D67" w:rsidP="00A12B5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تزويد صانعي القرار بـ لوحة مؤشرات تنفيذية وحدود إنذار وعقود خدمة زمنية لاتخاذ قرارات سريعة وقابلة للمساءلة</w:t>
      </w:r>
      <w:r w:rsidRPr="007A1717">
        <w:rPr>
          <w:rFonts w:ascii="Sakkal Majalla" w:hAnsi="Sakkal Majalla" w:cs="Sakkal Majalla"/>
          <w:color w:val="000000" w:themeColor="text1"/>
          <w:sz w:val="28"/>
          <w:szCs w:val="28"/>
        </w:rPr>
        <w:t>.</w:t>
      </w:r>
    </w:p>
    <w:p w14:paraId="1F36D08B" w14:textId="77777777" w:rsidR="00A97D67" w:rsidRPr="007A1717" w:rsidRDefault="00A97D67" w:rsidP="00A12B5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تقليل الخسائر البشرية والمادية وزمن التوقف عبر تحسين التوقيت والامتثال لبروتوكولات الإخلاء والاستجابة والتواصل التحذيري</w:t>
      </w:r>
      <w:r w:rsidRPr="007A1717">
        <w:rPr>
          <w:rFonts w:ascii="Sakkal Majalla" w:hAnsi="Sakkal Majalla" w:cs="Sakkal Majalla"/>
          <w:color w:val="000000" w:themeColor="text1"/>
          <w:sz w:val="28"/>
          <w:szCs w:val="28"/>
        </w:rPr>
        <w:t>.</w:t>
      </w:r>
    </w:p>
    <w:p w14:paraId="14EB229D" w14:textId="77777777" w:rsidR="00A97D67" w:rsidRPr="007A1717" w:rsidRDefault="00A97D67" w:rsidP="00A12B5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دعم التوافق التنظيمي مع المتطلبات الوطنية وتكامل الأنظمة مع الدفاع المدني والجهات التنظيمية والبنى الصناعية الرقمية</w:t>
      </w:r>
      <w:r w:rsidRPr="007A1717">
        <w:rPr>
          <w:rFonts w:ascii="Sakkal Majalla" w:hAnsi="Sakkal Majalla" w:cs="Sakkal Majalla"/>
          <w:color w:val="000000" w:themeColor="text1"/>
          <w:sz w:val="28"/>
          <w:szCs w:val="28"/>
        </w:rPr>
        <w:t xml:space="preserve"> (SCADA/IoT).</w:t>
      </w:r>
    </w:p>
    <w:p w14:paraId="1B9BAAC4" w14:textId="77777777" w:rsidR="00A97D67" w:rsidRPr="007A1717" w:rsidRDefault="00A97D67" w:rsidP="00A12B5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تمكين ترتيب أولويات الاستثمار في الحساسات والبنية الاتصالية والتدريب وفق عائد تقليص المخاطر وتحليل الكلفة–المنفعة</w:t>
      </w:r>
      <w:r w:rsidRPr="007A1717">
        <w:rPr>
          <w:rFonts w:ascii="Sakkal Majalla" w:hAnsi="Sakkal Majalla" w:cs="Sakkal Majalla"/>
          <w:color w:val="000000" w:themeColor="text1"/>
          <w:sz w:val="28"/>
          <w:szCs w:val="28"/>
        </w:rPr>
        <w:t>.</w:t>
      </w:r>
    </w:p>
    <w:p w14:paraId="3DF2F0DA" w14:textId="77777777" w:rsidR="00A97D67" w:rsidRPr="007A1717" w:rsidRDefault="00A97D67" w:rsidP="00A12B5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رفع جاهزية الموارد البشرية عبر تحديد فجوات التدريب وتواتر التمارين ومحاكاة السيناريوهات عالية الخطورة</w:t>
      </w:r>
      <w:r w:rsidRPr="007A1717">
        <w:rPr>
          <w:rFonts w:ascii="Sakkal Majalla" w:hAnsi="Sakkal Majalla" w:cs="Sakkal Majalla"/>
          <w:color w:val="000000" w:themeColor="text1"/>
          <w:sz w:val="28"/>
          <w:szCs w:val="28"/>
        </w:rPr>
        <w:t>.</w:t>
      </w:r>
    </w:p>
    <w:p w14:paraId="2C0EB842" w14:textId="77777777" w:rsidR="00A97D67" w:rsidRPr="007A1717" w:rsidRDefault="00A97D67" w:rsidP="00A12B5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تعزيز استمرارية الأعمال وخفض أقساط التأمين عبر توثيق الأداء وتحسين خطط التعافي وإدارة المخاطر التشغيلية</w:t>
      </w:r>
      <w:r w:rsidRPr="007A1717">
        <w:rPr>
          <w:rFonts w:ascii="Sakkal Majalla" w:hAnsi="Sakkal Majalla" w:cs="Sakkal Majalla"/>
          <w:color w:val="000000" w:themeColor="text1"/>
          <w:sz w:val="28"/>
          <w:szCs w:val="28"/>
        </w:rPr>
        <w:t>.</w:t>
      </w:r>
    </w:p>
    <w:p w14:paraId="4BBF8661" w14:textId="77777777" w:rsidR="00A97D67" w:rsidRPr="007A1717" w:rsidRDefault="00A97D67" w:rsidP="00A12B5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إرشاد التخطيط المكاني الصناعي وتحديد مناطق عازلة وتخزين آمن للمواد الخطرة بناءً على خرائط التعرض والهشاشة</w:t>
      </w:r>
      <w:r w:rsidRPr="007A1717">
        <w:rPr>
          <w:rFonts w:ascii="Sakkal Majalla" w:hAnsi="Sakkal Majalla" w:cs="Sakkal Majalla"/>
          <w:color w:val="000000" w:themeColor="text1"/>
          <w:sz w:val="28"/>
          <w:szCs w:val="28"/>
        </w:rPr>
        <w:t>.</w:t>
      </w:r>
    </w:p>
    <w:p w14:paraId="0D931F3E" w14:textId="77777777" w:rsidR="00A97D67" w:rsidRPr="007A1717" w:rsidRDefault="00A97D67" w:rsidP="00A12B5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تحسين حوكمة البيانات والأمن السيبراني لمنظومة الإنذار، بما يقلل اختناقات التدفق المعلوماتي ومخاطر الاختراق</w:t>
      </w:r>
      <w:r w:rsidRPr="007A1717">
        <w:rPr>
          <w:rFonts w:ascii="Sakkal Majalla" w:hAnsi="Sakkal Majalla" w:cs="Sakkal Majalla"/>
          <w:color w:val="000000" w:themeColor="text1"/>
          <w:sz w:val="28"/>
          <w:szCs w:val="28"/>
        </w:rPr>
        <w:t>.</w:t>
      </w:r>
    </w:p>
    <w:p w14:paraId="5CFB7268" w14:textId="519F01EC" w:rsidR="00A12B57" w:rsidRPr="007A1717" w:rsidRDefault="00A12B57" w:rsidP="00A12B5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69790491"/>
      <w:bookmarkStart w:id="8" w:name="_Toc223307772"/>
      <w:bookmarkEnd w:id="5"/>
      <w:r w:rsidRPr="007A1717">
        <w:rPr>
          <w:rFonts w:ascii="Sakkal Majalla" w:hAnsi="Sakkal Majalla" w:cs="Sakkal Majalla"/>
          <w:b/>
          <w:bCs/>
          <w:color w:val="000000" w:themeColor="text1"/>
          <w:sz w:val="36"/>
          <w:szCs w:val="36"/>
          <w:rtl/>
        </w:rPr>
        <w:t>4.1 أهداف الدراسة:</w:t>
      </w:r>
      <w:bookmarkEnd w:id="8"/>
    </w:p>
    <w:p w14:paraId="09AB8DAE" w14:textId="615BC638" w:rsidR="002133A6" w:rsidRPr="007A1717" w:rsidRDefault="006A4CC5" w:rsidP="00A12B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قياس فاعلية أنظمة الإنذار المبكر بأبعادها (الجاهزية التقنية، سرعة الاستجابة، كفاءة الاتصال التحذيري</w:t>
      </w:r>
      <w:r w:rsidR="00D6120A" w:rsidRPr="007A1717">
        <w:rPr>
          <w:rFonts w:ascii="Sakkal Majalla" w:hAnsi="Sakkal Majalla" w:cs="Sakkal Majalla"/>
          <w:color w:val="000000" w:themeColor="text1"/>
          <w:sz w:val="28"/>
          <w:szCs w:val="28"/>
          <w:rtl/>
        </w:rPr>
        <w:t>)</w:t>
      </w:r>
      <w:r w:rsidRPr="007A1717">
        <w:rPr>
          <w:rFonts w:ascii="Sakkal Majalla" w:hAnsi="Sakkal Majalla" w:cs="Sakkal Majalla"/>
          <w:color w:val="000000" w:themeColor="text1"/>
          <w:sz w:val="28"/>
          <w:szCs w:val="28"/>
          <w:rtl/>
        </w:rPr>
        <w:t xml:space="preserve"> في الحد من تأثير الكوارث الصناعية في المدن الصناعية بالمملكة العربية السعودية</w:t>
      </w:r>
      <w:r w:rsidRPr="007A1717">
        <w:rPr>
          <w:rFonts w:ascii="Sakkal Majalla" w:hAnsi="Sakkal Majalla" w:cs="Sakkal Majalla"/>
          <w:color w:val="000000" w:themeColor="text1"/>
          <w:sz w:val="28"/>
          <w:szCs w:val="28"/>
        </w:rPr>
        <w:t>.</w:t>
      </w:r>
      <w:r w:rsidR="002133A6" w:rsidRPr="007A1717">
        <w:rPr>
          <w:rFonts w:ascii="Sakkal Majalla" w:hAnsi="Sakkal Majalla" w:cs="Sakkal Majalla"/>
          <w:color w:val="000000" w:themeColor="text1"/>
          <w:sz w:val="28"/>
          <w:szCs w:val="28"/>
          <w:rtl/>
        </w:rPr>
        <w:t xml:space="preserve"> وتتفرع من هذا الهدف العام عدة أهداف فرعية، وهي</w:t>
      </w:r>
      <w:r w:rsidR="002133A6" w:rsidRPr="007A1717">
        <w:rPr>
          <w:rFonts w:ascii="Sakkal Majalla" w:hAnsi="Sakkal Majalla" w:cs="Sakkal Majalla"/>
          <w:color w:val="000000" w:themeColor="text1"/>
          <w:sz w:val="28"/>
          <w:szCs w:val="28"/>
        </w:rPr>
        <w:t>:</w:t>
      </w:r>
    </w:p>
    <w:p w14:paraId="3159C58B" w14:textId="65612CEA" w:rsidR="002A548E" w:rsidRPr="007A1717" w:rsidRDefault="002A548E" w:rsidP="00A12B57">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تقدير مستوى الجاهزية التقنية لأنظمة الإنذار المبكر في المدن الصناعية</w:t>
      </w:r>
      <w:r w:rsidRPr="007A1717">
        <w:rPr>
          <w:rFonts w:ascii="Sakkal Majalla" w:hAnsi="Sakkal Majalla" w:cs="Sakkal Majalla"/>
          <w:color w:val="000000" w:themeColor="text1"/>
          <w:sz w:val="28"/>
          <w:szCs w:val="28"/>
        </w:rPr>
        <w:t>.</w:t>
      </w:r>
    </w:p>
    <w:p w14:paraId="5BFC2795" w14:textId="5C0507BD" w:rsidR="002A548E" w:rsidRPr="007A1717" w:rsidRDefault="002A548E" w:rsidP="00A12B57">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قياس سرعة الاكتشاف والإشعار وبدء الاستجابة مقارنة بخطوط أساس تشغيلية</w:t>
      </w:r>
      <w:r w:rsidRPr="007A1717">
        <w:rPr>
          <w:rFonts w:ascii="Sakkal Majalla" w:hAnsi="Sakkal Majalla" w:cs="Sakkal Majalla"/>
          <w:color w:val="000000" w:themeColor="text1"/>
          <w:sz w:val="28"/>
          <w:szCs w:val="28"/>
        </w:rPr>
        <w:t>.</w:t>
      </w:r>
    </w:p>
    <w:p w14:paraId="738760E8" w14:textId="4806CBBB" w:rsidR="002A548E" w:rsidRPr="007A1717" w:rsidRDefault="002A548E" w:rsidP="00A12B57">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تقييم كفاءة قنوات الاتصال التحذيري ووصول الرسائل لمستحقيها</w:t>
      </w:r>
      <w:r w:rsidRPr="007A1717">
        <w:rPr>
          <w:rFonts w:ascii="Sakkal Majalla" w:hAnsi="Sakkal Majalla" w:cs="Sakkal Majalla"/>
          <w:color w:val="000000" w:themeColor="text1"/>
          <w:sz w:val="28"/>
          <w:szCs w:val="28"/>
        </w:rPr>
        <w:t>.</w:t>
      </w:r>
    </w:p>
    <w:p w14:paraId="7DADADF9" w14:textId="7D991ED3" w:rsidR="00A12B57" w:rsidRPr="007A1717" w:rsidRDefault="00A12B57" w:rsidP="00A12B5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23307773"/>
      <w:bookmarkEnd w:id="7"/>
      <w:r w:rsidRPr="007A1717">
        <w:rPr>
          <w:rFonts w:ascii="Sakkal Majalla" w:hAnsi="Sakkal Majalla" w:cs="Sakkal Majalla"/>
          <w:b/>
          <w:bCs/>
          <w:color w:val="000000" w:themeColor="text1"/>
          <w:sz w:val="36"/>
          <w:szCs w:val="36"/>
          <w:rtl/>
        </w:rPr>
        <w:lastRenderedPageBreak/>
        <w:t>5.1 تساؤلات الدراسة</w:t>
      </w:r>
      <w:bookmarkEnd w:id="9"/>
    </w:p>
    <w:p w14:paraId="28858177" w14:textId="7BBEA786" w:rsidR="002133A6" w:rsidRPr="007A1717" w:rsidRDefault="00A327F6" w:rsidP="00A12B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b/>
          <w:bCs/>
          <w:color w:val="000000" w:themeColor="text1"/>
          <w:sz w:val="28"/>
          <w:szCs w:val="28"/>
          <w:rtl/>
        </w:rPr>
        <w:t>ال</w:t>
      </w:r>
      <w:r w:rsidR="002133A6" w:rsidRPr="007A1717">
        <w:rPr>
          <w:rFonts w:ascii="Sakkal Majalla" w:hAnsi="Sakkal Majalla" w:cs="Sakkal Majalla"/>
          <w:b/>
          <w:bCs/>
          <w:color w:val="000000" w:themeColor="text1"/>
          <w:sz w:val="28"/>
          <w:szCs w:val="28"/>
          <w:rtl/>
        </w:rPr>
        <w:t>سؤال الدراسة الرئيسي</w:t>
      </w:r>
      <w:r w:rsidR="002133A6" w:rsidRPr="007A1717">
        <w:rPr>
          <w:rFonts w:ascii="Sakkal Majalla" w:hAnsi="Sakkal Majalla" w:cs="Sakkal Majalla"/>
          <w:color w:val="000000" w:themeColor="text1"/>
          <w:sz w:val="28"/>
          <w:szCs w:val="28"/>
        </w:rPr>
        <w:t>:</w:t>
      </w:r>
      <w:r w:rsidRPr="007A1717">
        <w:rPr>
          <w:rFonts w:ascii="Sakkal Majalla" w:hAnsi="Sakkal Majalla" w:cs="Sakkal Majalla"/>
          <w:color w:val="000000" w:themeColor="text1"/>
          <w:sz w:val="28"/>
          <w:szCs w:val="28"/>
          <w:rtl/>
        </w:rPr>
        <w:t xml:space="preserve"> </w:t>
      </w:r>
      <w:r w:rsidR="002A548E" w:rsidRPr="007A1717">
        <w:rPr>
          <w:rFonts w:ascii="Sakkal Majalla" w:hAnsi="Sakkal Majalla" w:cs="Sakkal Majalla"/>
          <w:color w:val="000000" w:themeColor="text1"/>
          <w:sz w:val="28"/>
          <w:szCs w:val="28"/>
          <w:rtl/>
        </w:rPr>
        <w:t>إلى أي مدى تُسهم فاعلية أنظمة الإنذار المبكر بأبعادها الأربع في خفض تأثير الكوارث الصناعية في المدن الصناعية بالمملكة العربية السعودية؟</w:t>
      </w:r>
      <w:r w:rsidRPr="007A1717">
        <w:rPr>
          <w:rFonts w:ascii="Sakkal Majalla" w:hAnsi="Sakkal Majalla" w:cs="Sakkal Majalla"/>
          <w:color w:val="000000" w:themeColor="text1"/>
          <w:sz w:val="28"/>
          <w:szCs w:val="28"/>
          <w:rtl/>
        </w:rPr>
        <w:t xml:space="preserve"> وتتفرع منه عدة أسئلة فرعية:</w:t>
      </w:r>
    </w:p>
    <w:p w14:paraId="379253BB" w14:textId="77777777" w:rsidR="00437E61" w:rsidRPr="007A1717" w:rsidRDefault="00437E61" w:rsidP="00A12B5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ما مستوى الجاهزية التقنية الراهن لأنظمة الإنذار المبكر؟</w:t>
      </w:r>
    </w:p>
    <w:p w14:paraId="2092683E" w14:textId="77777777" w:rsidR="00437E61" w:rsidRPr="007A1717" w:rsidRDefault="00437E61" w:rsidP="00A12B5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ما زمن الاكتشاف والإشعار وبدء الاستجابة، وهل يصل إلى الحدود المستهدفة؟</w:t>
      </w:r>
    </w:p>
    <w:p w14:paraId="789932BC" w14:textId="77777777" w:rsidR="00437E61" w:rsidRPr="007A1717" w:rsidRDefault="00437E61" w:rsidP="00A12B5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ما كفاءة الاتصال التحذيري من حيث التغطية والموثوقية وقابلية الفهم؟</w:t>
      </w:r>
    </w:p>
    <w:p w14:paraId="59EEBE48" w14:textId="4E525D3F" w:rsidR="00A12B57" w:rsidRPr="007A1717" w:rsidRDefault="00A12B57" w:rsidP="00A12B5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69790499"/>
      <w:bookmarkStart w:id="11" w:name="_Toc223307774"/>
      <w:r w:rsidRPr="007A1717">
        <w:rPr>
          <w:rFonts w:ascii="Sakkal Majalla" w:hAnsi="Sakkal Majalla" w:cs="Sakkal Majalla"/>
          <w:b/>
          <w:bCs/>
          <w:color w:val="000000" w:themeColor="text1"/>
          <w:sz w:val="36"/>
          <w:szCs w:val="36"/>
          <w:rtl/>
        </w:rPr>
        <w:t>6.1   فروض الدراسة:</w:t>
      </w:r>
      <w:bookmarkEnd w:id="11"/>
    </w:p>
    <w:p w14:paraId="4FD8ACC2" w14:textId="24842040" w:rsidR="00681671" w:rsidRPr="007A1717" w:rsidRDefault="00681671" w:rsidP="00A12B57">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7A1717">
        <w:rPr>
          <w:rFonts w:ascii="Sakkal Majalla" w:hAnsi="Sakkal Majalla" w:cs="Sakkal Majalla"/>
          <w:b/>
          <w:bCs/>
          <w:color w:val="000000" w:themeColor="text1"/>
          <w:sz w:val="28"/>
          <w:szCs w:val="28"/>
          <w:rtl/>
        </w:rPr>
        <w:t>لتحقيق أهداف الدراسة والإجابة على تساؤلاتها يمكن  صياغة</w:t>
      </w:r>
      <w:r w:rsidRPr="007A1717">
        <w:rPr>
          <w:rFonts w:ascii="Sakkal Majalla" w:hAnsi="Sakkal Majalla" w:cs="Sakkal Majalla"/>
          <w:b/>
          <w:bCs/>
          <w:color w:val="000000" w:themeColor="text1"/>
          <w:sz w:val="28"/>
          <w:szCs w:val="28"/>
          <w:rtl/>
          <w:lang w:bidi="ar-JO"/>
        </w:rPr>
        <w:t xml:space="preserve"> </w:t>
      </w:r>
      <w:r w:rsidRPr="007A1717">
        <w:rPr>
          <w:rFonts w:ascii="Sakkal Majalla" w:hAnsi="Sakkal Majalla" w:cs="Sakkal Majalla"/>
          <w:b/>
          <w:bCs/>
          <w:color w:val="000000" w:themeColor="text1"/>
          <w:sz w:val="28"/>
          <w:szCs w:val="28"/>
          <w:rtl/>
        </w:rPr>
        <w:t>الفرضيات التالية:</w:t>
      </w:r>
    </w:p>
    <w:p w14:paraId="78BC98AF" w14:textId="137F30CF" w:rsidR="002133A6" w:rsidRPr="007A1717" w:rsidRDefault="002133A6" w:rsidP="00A12B5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A1717">
        <w:rPr>
          <w:rStyle w:val="Strong"/>
          <w:rFonts w:ascii="Sakkal Majalla" w:hAnsi="Sakkal Majalla" w:cs="Sakkal Majalla"/>
          <w:color w:val="000000" w:themeColor="text1"/>
          <w:sz w:val="28"/>
          <w:szCs w:val="28"/>
          <w:rtl/>
        </w:rPr>
        <w:t>الفرضية الرئيسة</w:t>
      </w:r>
      <w:r w:rsidRPr="007A1717">
        <w:rPr>
          <w:rStyle w:val="Strong"/>
          <w:rFonts w:ascii="Sakkal Majalla" w:hAnsi="Sakkal Majalla" w:cs="Sakkal Majalla"/>
          <w:b w:val="0"/>
          <w:bCs w:val="0"/>
          <w:color w:val="000000" w:themeColor="text1"/>
          <w:sz w:val="28"/>
          <w:szCs w:val="28"/>
        </w:rPr>
        <w:t>:</w:t>
      </w:r>
      <w:r w:rsidR="00A327F6" w:rsidRPr="007A1717">
        <w:rPr>
          <w:rFonts w:ascii="Sakkal Majalla" w:hAnsi="Sakkal Majalla" w:cs="Sakkal Majalla"/>
          <w:color w:val="000000" w:themeColor="text1"/>
          <w:sz w:val="28"/>
          <w:szCs w:val="28"/>
          <w:rtl/>
        </w:rPr>
        <w:t xml:space="preserve"> </w:t>
      </w:r>
      <w:r w:rsidR="00204EB8" w:rsidRPr="007A1717">
        <w:rPr>
          <w:rFonts w:ascii="Sakkal Majalla" w:hAnsi="Sakkal Majalla" w:cs="Sakkal Majalla"/>
          <w:color w:val="000000" w:themeColor="text1"/>
          <w:sz w:val="28"/>
          <w:szCs w:val="28"/>
          <w:rtl/>
        </w:rPr>
        <w:t>لا يوجد أثر ذو دلالة إحصائية عند مستوى دلالة</w:t>
      </w:r>
      <w:r w:rsidR="00204EB8" w:rsidRPr="007A1717">
        <w:rPr>
          <w:rFonts w:ascii="Sakkal Majalla" w:hAnsi="Sakkal Majalla" w:cs="Sakkal Majalla"/>
          <w:color w:val="000000" w:themeColor="text1"/>
          <w:sz w:val="28"/>
          <w:szCs w:val="28"/>
        </w:rPr>
        <w:t xml:space="preserve"> (</w:t>
      </w:r>
      <w:r w:rsidR="00204EB8" w:rsidRPr="007A1717">
        <w:rPr>
          <w:rFonts w:ascii="Cambria" w:hAnsi="Cambria" w:cs="Cambria"/>
          <w:color w:val="000000" w:themeColor="text1"/>
          <w:sz w:val="28"/>
          <w:szCs w:val="28"/>
        </w:rPr>
        <w:t>α</w:t>
      </w:r>
      <w:r w:rsidR="00204EB8" w:rsidRPr="007A1717">
        <w:rPr>
          <w:rFonts w:ascii="Sakkal Majalla" w:hAnsi="Sakkal Majalla" w:cs="Sakkal Majalla"/>
          <w:color w:val="000000" w:themeColor="text1"/>
          <w:sz w:val="28"/>
          <w:szCs w:val="28"/>
        </w:rPr>
        <w:t xml:space="preserve"> ≤ 0.05) </w:t>
      </w:r>
      <w:r w:rsidR="00204EB8" w:rsidRPr="007A1717">
        <w:rPr>
          <w:rFonts w:ascii="Sakkal Majalla" w:hAnsi="Sakkal Majalla" w:cs="Sakkal Majalla"/>
          <w:color w:val="000000" w:themeColor="text1"/>
          <w:sz w:val="28"/>
          <w:szCs w:val="28"/>
          <w:rtl/>
        </w:rPr>
        <w:t>لفاعلية أنظمة الإنذار المبكر بأبعادها مجتمعة على الحد من تأثير الكوارث الصناعية في المدن الصناعية بالمملكة العربية السعودية</w:t>
      </w:r>
      <w:r w:rsidR="00204EB8" w:rsidRPr="007A1717">
        <w:rPr>
          <w:rFonts w:ascii="Sakkal Majalla" w:hAnsi="Sakkal Majalla" w:cs="Sakkal Majalla"/>
          <w:color w:val="000000" w:themeColor="text1"/>
          <w:sz w:val="28"/>
          <w:szCs w:val="28"/>
        </w:rPr>
        <w:t>.</w:t>
      </w:r>
    </w:p>
    <w:p w14:paraId="763A6DA7" w14:textId="77777777" w:rsidR="002133A6" w:rsidRPr="007A1717" w:rsidRDefault="002133A6" w:rsidP="00A12B57">
      <w:pPr>
        <w:spacing w:before="100" w:beforeAutospacing="1" w:after="100" w:afterAutospacing="1" w:line="360" w:lineRule="auto"/>
        <w:jc w:val="both"/>
        <w:rPr>
          <w:rFonts w:ascii="Sakkal Majalla" w:hAnsi="Sakkal Majalla" w:cs="Sakkal Majalla"/>
          <w:color w:val="000000" w:themeColor="text1"/>
          <w:sz w:val="32"/>
          <w:szCs w:val="32"/>
        </w:rPr>
      </w:pPr>
      <w:r w:rsidRPr="007A1717">
        <w:rPr>
          <w:rStyle w:val="Strong"/>
          <w:rFonts w:ascii="Sakkal Majalla" w:hAnsi="Sakkal Majalla" w:cs="Sakkal Majalla"/>
          <w:color w:val="000000" w:themeColor="text1"/>
          <w:sz w:val="32"/>
          <w:szCs w:val="32"/>
          <w:rtl/>
        </w:rPr>
        <w:t>الفرضيات الفرعية</w:t>
      </w:r>
      <w:r w:rsidRPr="007A1717">
        <w:rPr>
          <w:rStyle w:val="Strong"/>
          <w:rFonts w:ascii="Sakkal Majalla" w:hAnsi="Sakkal Majalla" w:cs="Sakkal Majalla"/>
          <w:color w:val="000000" w:themeColor="text1"/>
          <w:sz w:val="32"/>
          <w:szCs w:val="32"/>
        </w:rPr>
        <w:t>:</w:t>
      </w:r>
    </w:p>
    <w:p w14:paraId="7BEC6884" w14:textId="77777777" w:rsidR="00B27C3F" w:rsidRPr="007A1717" w:rsidRDefault="00B27C3F" w:rsidP="00A12B57">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2" w:name="_Toc169790500"/>
      <w:bookmarkEnd w:id="10"/>
      <w:r w:rsidRPr="007A1717">
        <w:rPr>
          <w:rFonts w:ascii="Sakkal Majalla" w:hAnsi="Sakkal Majalla" w:cs="Sakkal Majalla"/>
          <w:color w:val="000000" w:themeColor="text1"/>
          <w:sz w:val="28"/>
          <w:szCs w:val="28"/>
          <w:rtl/>
        </w:rPr>
        <w:t>لا يوجد أثر ذو دلالة إحصائية عند مستوى دلالة (</w:t>
      </w:r>
      <w:r w:rsidRPr="007A1717">
        <w:rPr>
          <w:rFonts w:ascii="Cambria" w:hAnsi="Cambria" w:cs="Cambria"/>
          <w:color w:val="000000" w:themeColor="text1"/>
          <w:sz w:val="28"/>
          <w:szCs w:val="28"/>
        </w:rPr>
        <w:t>α</w:t>
      </w:r>
      <w:r w:rsidRPr="007A1717">
        <w:rPr>
          <w:rFonts w:ascii="Sakkal Majalla" w:hAnsi="Sakkal Majalla" w:cs="Sakkal Majalla"/>
          <w:color w:val="000000" w:themeColor="text1"/>
          <w:sz w:val="28"/>
          <w:szCs w:val="28"/>
        </w:rPr>
        <w:t xml:space="preserve"> ≤ 0.05</w:t>
      </w:r>
      <w:r w:rsidRPr="007A1717">
        <w:rPr>
          <w:rFonts w:ascii="Sakkal Majalla" w:hAnsi="Sakkal Majalla" w:cs="Sakkal Majalla"/>
          <w:color w:val="000000" w:themeColor="text1"/>
          <w:sz w:val="28"/>
          <w:szCs w:val="28"/>
          <w:rtl/>
        </w:rPr>
        <w:t>) للجاهزية التقنية لنظام الإنذار المبكر على الحد من تأثير الكوارث الصناعية.</w:t>
      </w:r>
    </w:p>
    <w:p w14:paraId="377282F8" w14:textId="77777777" w:rsidR="00B27C3F" w:rsidRPr="007A1717" w:rsidRDefault="00B27C3F" w:rsidP="00A12B57">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لا يوجد أثر ذو دلالة إحصائية عند مستوى دلالة (</w:t>
      </w:r>
      <w:r w:rsidRPr="007A1717">
        <w:rPr>
          <w:rFonts w:ascii="Cambria" w:hAnsi="Cambria" w:cs="Cambria"/>
          <w:color w:val="000000" w:themeColor="text1"/>
          <w:sz w:val="28"/>
          <w:szCs w:val="28"/>
        </w:rPr>
        <w:t>α</w:t>
      </w:r>
      <w:r w:rsidRPr="007A1717">
        <w:rPr>
          <w:rFonts w:ascii="Sakkal Majalla" w:hAnsi="Sakkal Majalla" w:cs="Sakkal Majalla"/>
          <w:color w:val="000000" w:themeColor="text1"/>
          <w:sz w:val="28"/>
          <w:szCs w:val="28"/>
        </w:rPr>
        <w:t xml:space="preserve"> ≤ 0.05</w:t>
      </w:r>
      <w:r w:rsidRPr="007A1717">
        <w:rPr>
          <w:rFonts w:ascii="Sakkal Majalla" w:hAnsi="Sakkal Majalla" w:cs="Sakkal Majalla"/>
          <w:color w:val="000000" w:themeColor="text1"/>
          <w:sz w:val="28"/>
          <w:szCs w:val="28"/>
          <w:rtl/>
        </w:rPr>
        <w:t>) لسرعة الاستجابة التشغيلية (زمن الاكتشاف–الإشعار–بدء الاستجابة) على الحد من تأثير الكوارث الصناعية.</w:t>
      </w:r>
    </w:p>
    <w:p w14:paraId="3F17370A" w14:textId="77777777" w:rsidR="00B27C3F" w:rsidRPr="007A1717" w:rsidRDefault="00B27C3F" w:rsidP="00A12B57">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لا يوجد أثر ذو دلالة إحصائية عند مستوى دلالة (</w:t>
      </w:r>
      <w:r w:rsidRPr="007A1717">
        <w:rPr>
          <w:rFonts w:ascii="Cambria" w:hAnsi="Cambria" w:cs="Cambria"/>
          <w:color w:val="000000" w:themeColor="text1"/>
          <w:sz w:val="28"/>
          <w:szCs w:val="28"/>
        </w:rPr>
        <w:t>α</w:t>
      </w:r>
      <w:r w:rsidRPr="007A1717">
        <w:rPr>
          <w:rFonts w:ascii="Sakkal Majalla" w:hAnsi="Sakkal Majalla" w:cs="Sakkal Majalla"/>
          <w:color w:val="000000" w:themeColor="text1"/>
          <w:sz w:val="28"/>
          <w:szCs w:val="28"/>
        </w:rPr>
        <w:t xml:space="preserve"> ≤ 0.05</w:t>
      </w:r>
      <w:r w:rsidRPr="007A1717">
        <w:rPr>
          <w:rFonts w:ascii="Sakkal Majalla" w:hAnsi="Sakkal Majalla" w:cs="Sakkal Majalla"/>
          <w:color w:val="000000" w:themeColor="text1"/>
          <w:sz w:val="28"/>
          <w:szCs w:val="28"/>
          <w:rtl/>
        </w:rPr>
        <w:t>) لكفاءة الاتصال التحذيري ووصول الرسائل للمعنيين على الحد من تأثير الكوارث الصناعية.</w:t>
      </w:r>
    </w:p>
    <w:p w14:paraId="10FD74C4" w14:textId="41153025" w:rsidR="00A12B57" w:rsidRPr="007A1717" w:rsidRDefault="00A12B57" w:rsidP="00E43AF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70243312"/>
      <w:bookmarkStart w:id="14" w:name="_Toc223307775"/>
      <w:bookmarkEnd w:id="12"/>
      <w:r w:rsidRPr="007A1717">
        <w:rPr>
          <w:rFonts w:ascii="Sakkal Majalla" w:hAnsi="Sakkal Majalla" w:cs="Sakkal Majalla"/>
          <w:b/>
          <w:bCs/>
          <w:color w:val="000000" w:themeColor="text1"/>
          <w:sz w:val="36"/>
          <w:szCs w:val="36"/>
          <w:rtl/>
        </w:rPr>
        <w:lastRenderedPageBreak/>
        <w:t>7.1 الدراسات السابقة:</w:t>
      </w:r>
      <w:bookmarkEnd w:id="14"/>
    </w:p>
    <w:p w14:paraId="4EE18D03" w14:textId="757AEE57" w:rsidR="00D76CFA" w:rsidRPr="007A1717" w:rsidRDefault="000C6F6B" w:rsidP="00E43AF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A1717">
        <w:rPr>
          <w:rFonts w:ascii="Sakkal Majalla" w:hAnsi="Sakkal Majalla" w:cs="Sakkal Majalla"/>
          <w:b/>
          <w:bCs/>
          <w:color w:val="000000" w:themeColor="text1"/>
          <w:sz w:val="28"/>
          <w:szCs w:val="28"/>
          <w:rtl/>
        </w:rPr>
        <w:t>دراسة</w:t>
      </w:r>
      <w:r w:rsidR="003A5136" w:rsidRPr="007A1717">
        <w:rPr>
          <w:rFonts w:ascii="Sakkal Majalla" w:hAnsi="Sakkal Majalla" w:cs="Sakkal Majalla"/>
          <w:b/>
          <w:bCs/>
          <w:color w:val="000000" w:themeColor="text1"/>
          <w:sz w:val="28"/>
          <w:szCs w:val="28"/>
          <w:rtl/>
        </w:rPr>
        <w:t>(</w:t>
      </w:r>
      <w:r w:rsidR="009037A2" w:rsidRPr="007A1717">
        <w:rPr>
          <w:rFonts w:ascii="Sakkal Majalla" w:hAnsi="Sakkal Majalla" w:cs="Sakkal Majalla"/>
          <w:b/>
          <w:bCs/>
          <w:color w:val="000000" w:themeColor="text1"/>
          <w:sz w:val="28"/>
          <w:szCs w:val="28"/>
          <w:rtl/>
        </w:rPr>
        <w:t>سليمان</w:t>
      </w:r>
      <w:r w:rsidR="003A5136" w:rsidRPr="007A1717">
        <w:rPr>
          <w:rFonts w:ascii="Sakkal Majalla" w:hAnsi="Sakkal Majalla" w:cs="Sakkal Majalla"/>
          <w:b/>
          <w:bCs/>
          <w:color w:val="000000" w:themeColor="text1"/>
          <w:sz w:val="28"/>
          <w:szCs w:val="28"/>
          <w:rtl/>
        </w:rPr>
        <w:t>،</w:t>
      </w:r>
      <w:r w:rsidR="009037A2" w:rsidRPr="007A1717">
        <w:rPr>
          <w:rFonts w:ascii="Sakkal Majalla" w:hAnsi="Sakkal Majalla" w:cs="Sakkal Majalla"/>
          <w:b/>
          <w:bCs/>
          <w:color w:val="000000" w:themeColor="text1"/>
          <w:sz w:val="28"/>
          <w:szCs w:val="28"/>
          <w:rtl/>
        </w:rPr>
        <w:t>2024</w:t>
      </w:r>
      <w:r w:rsidR="003A5136" w:rsidRPr="007A1717">
        <w:rPr>
          <w:rFonts w:ascii="Sakkal Majalla" w:hAnsi="Sakkal Majalla" w:cs="Sakkal Majalla"/>
          <w:b/>
          <w:bCs/>
          <w:color w:val="000000" w:themeColor="text1"/>
          <w:sz w:val="28"/>
          <w:szCs w:val="28"/>
          <w:rtl/>
        </w:rPr>
        <w:t>)</w:t>
      </w:r>
    </w:p>
    <w:p w14:paraId="0C0D5C6C" w14:textId="77777777" w:rsidR="00EE775D" w:rsidRPr="007A1717" w:rsidRDefault="00EE775D"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هدفت الدراسة إلى التعرف على فاعلية آلية الإنذار المبكر عن الصراعات والنزاعات المسلحة في القارة الإفريقية بأبعادها (البنية المؤسسية والتنظيمية، منظومة جمع وتحليل البيانات والمؤشرات، دقة التنبؤ وسرعة الاستجابة المبكرة، ومستوى التنسيق بين المستويات الوطنية والإقليمية والدولية) على تحقيق الأمن القومي والاستقرار السياسي في الدول الإفريقية، وذلك من خلال تطبيقها على عدد من الحالات الإفريقية مثل جنوب السودان وكوت ديفوار والنيجر ومالي، واستخدمت الدراسة المنهج الوصفي التحليلي والمنهج المقارن مدعومًا بأسلوب دراسة الحالة لرصد أوجه النجاح والإخفاق في تفعيل آلية الإنذار المبكر لدى الاتحاد الإفريقي والمنظمات الإقليمية، وتحليل مدى ترجمة الإنذار إلى استجابة سياسية وأمنية فعّالة.</w:t>
      </w:r>
    </w:p>
    <w:p w14:paraId="156C925C" w14:textId="77777777" w:rsidR="00EE775D" w:rsidRPr="007A1717" w:rsidRDefault="00EE775D"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 xml:space="preserve">توصلت النتائج إلى أن فاعلية آلية الإنذار المبكر ترتبط بدرجة توافر الإرادة السياسية، وكفاءة الهياكل المؤسسية المشرفة على الإنذار والاستجابة، وجودة قواعد البيانات والمعلومات، ومستوى التنسيق بين الفاعلين الوطنيين والإقليميين، وأن الإخفاق غالبًا ما يرتبط بتسييس الإنذار، وضعف الربط بين الإنذار ومتخذ القرار، وقصور آليات التدخل الوقائي المبكر. </w:t>
      </w:r>
    </w:p>
    <w:p w14:paraId="624F7822" w14:textId="77777777" w:rsidR="00EE775D" w:rsidRPr="007A1717" w:rsidRDefault="00EE775D" w:rsidP="00A12B5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A1717">
        <w:rPr>
          <w:rFonts w:ascii="Sakkal Majalla" w:hAnsi="Sakkal Majalla" w:cs="Sakkal Majalla"/>
          <w:b/>
          <w:bCs/>
          <w:color w:val="000000" w:themeColor="text1"/>
          <w:sz w:val="28"/>
          <w:szCs w:val="28"/>
          <w:rtl/>
        </w:rPr>
        <w:t xml:space="preserve">واوصت الدراسة بالاتى : </w:t>
      </w:r>
    </w:p>
    <w:p w14:paraId="7488AC1B" w14:textId="029EA851" w:rsidR="00EE775D" w:rsidRPr="007A1717" w:rsidRDefault="00EE775D" w:rsidP="00E43AF3">
      <w:pPr>
        <w:pStyle w:val="ListParagraph"/>
        <w:numPr>
          <w:ilvl w:val="0"/>
          <w:numId w:val="24"/>
        </w:numPr>
        <w:spacing w:before="100" w:beforeAutospacing="1" w:after="100" w:afterAutospacing="1" w:line="360" w:lineRule="auto"/>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تعزيز الإطار المؤسسي والقانوني لآلية الإنذار المبكر في القارة الإفريقية.</w:t>
      </w:r>
    </w:p>
    <w:p w14:paraId="1F384902" w14:textId="77777777" w:rsidR="00EE775D" w:rsidRPr="007A1717" w:rsidRDefault="00EE775D" w:rsidP="00E43AF3">
      <w:pPr>
        <w:pStyle w:val="ListParagraph"/>
        <w:numPr>
          <w:ilvl w:val="0"/>
          <w:numId w:val="24"/>
        </w:numPr>
        <w:spacing w:before="100" w:beforeAutospacing="1" w:after="100" w:afterAutospacing="1" w:line="360" w:lineRule="auto"/>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تطوير منظومة المؤشرات المبكرة وبناء قواعد بيانات محدثة، ووضع آليات واضحة وملزمة لربط الإنذار بالاستجابة السريعة.</w:t>
      </w:r>
    </w:p>
    <w:p w14:paraId="09B90025" w14:textId="6C6AF122" w:rsidR="00EE775D" w:rsidRPr="007A1717" w:rsidRDefault="00EE775D" w:rsidP="00E43AF3">
      <w:pPr>
        <w:pStyle w:val="ListParagraph"/>
        <w:numPr>
          <w:ilvl w:val="0"/>
          <w:numId w:val="24"/>
        </w:numPr>
        <w:spacing w:before="100" w:beforeAutospacing="1" w:after="100" w:afterAutospacing="1" w:line="360" w:lineRule="auto"/>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تقوية الشراكة بين الاتحاد الإفريقي والدول الأعضاء والتجمعات الإقليمية .</w:t>
      </w:r>
    </w:p>
    <w:p w14:paraId="04DCBC37" w14:textId="2263EE0E" w:rsidR="000C6F6B" w:rsidRPr="007A1717" w:rsidRDefault="00EE775D" w:rsidP="00E43AF3">
      <w:pPr>
        <w:pStyle w:val="ListParagraph"/>
        <w:numPr>
          <w:ilvl w:val="0"/>
          <w:numId w:val="24"/>
        </w:numPr>
        <w:spacing w:before="100" w:beforeAutospacing="1" w:after="100" w:afterAutospacing="1" w:line="360" w:lineRule="auto"/>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توسيع إشراك المجتمعات المحلية ومنظمات المجتمع المدني في عمليات الرصد المبكر للصراعات.</w:t>
      </w:r>
    </w:p>
    <w:p w14:paraId="3A6BC9BD" w14:textId="6BDE4D2C" w:rsidR="00A81B3B" w:rsidRPr="007A1717" w:rsidRDefault="00E43AF3" w:rsidP="00E43AF3">
      <w:pPr>
        <w:pStyle w:val="ListParagraph"/>
        <w:numPr>
          <w:ilvl w:val="0"/>
          <w:numId w:val="23"/>
        </w:numPr>
        <w:spacing w:before="100" w:beforeAutospacing="1" w:after="100" w:afterAutospacing="1"/>
        <w:ind w:left="419" w:hanging="357"/>
        <w:contextualSpacing w:val="0"/>
        <w:rPr>
          <w:rFonts w:ascii="Sakkal Majalla" w:hAnsi="Sakkal Majalla" w:cs="Sakkal Majalla"/>
          <w:b/>
          <w:bCs/>
          <w:color w:val="000000" w:themeColor="text1"/>
          <w:sz w:val="28"/>
          <w:szCs w:val="28"/>
          <w:rtl/>
        </w:rPr>
      </w:pPr>
      <w:r w:rsidRPr="007A1717">
        <w:rPr>
          <w:rFonts w:ascii="Sakkal Majalla" w:hAnsi="Sakkal Majalla" w:cs="Sakkal Majalla"/>
          <w:b/>
          <w:bCs/>
          <w:color w:val="000000" w:themeColor="text1"/>
          <w:sz w:val="28"/>
          <w:szCs w:val="28"/>
          <w:rtl/>
        </w:rPr>
        <w:br w:type="page"/>
      </w:r>
      <w:r w:rsidR="000C6F6B" w:rsidRPr="007A1717">
        <w:rPr>
          <w:rFonts w:ascii="Sakkal Majalla" w:hAnsi="Sakkal Majalla" w:cs="Sakkal Majalla"/>
          <w:b/>
          <w:bCs/>
          <w:color w:val="000000" w:themeColor="text1"/>
          <w:sz w:val="28"/>
          <w:szCs w:val="28"/>
          <w:rtl/>
        </w:rPr>
        <w:lastRenderedPageBreak/>
        <w:t>دراسة</w:t>
      </w:r>
      <w:r w:rsidR="00A81B3B" w:rsidRPr="007A1717">
        <w:rPr>
          <w:rFonts w:ascii="Sakkal Majalla" w:hAnsi="Sakkal Majalla" w:cs="Sakkal Majalla"/>
          <w:b/>
          <w:bCs/>
          <w:color w:val="000000" w:themeColor="text1"/>
          <w:sz w:val="28"/>
          <w:szCs w:val="28"/>
          <w:rtl/>
        </w:rPr>
        <w:t xml:space="preserve">  </w:t>
      </w:r>
      <w:r w:rsidR="003A5136" w:rsidRPr="007A1717">
        <w:rPr>
          <w:rFonts w:ascii="Sakkal Majalla" w:hAnsi="Sakkal Majalla" w:cs="Sakkal Majalla"/>
          <w:b/>
          <w:bCs/>
          <w:color w:val="000000" w:themeColor="text1"/>
          <w:sz w:val="28"/>
          <w:szCs w:val="28"/>
          <w:rtl/>
        </w:rPr>
        <w:t>(</w:t>
      </w:r>
      <w:r w:rsidR="009037A2" w:rsidRPr="007A1717">
        <w:rPr>
          <w:rFonts w:ascii="Sakkal Majalla" w:hAnsi="Sakkal Majalla" w:cs="Sakkal Majalla"/>
          <w:b/>
          <w:bCs/>
          <w:color w:val="000000" w:themeColor="text1"/>
          <w:sz w:val="28"/>
          <w:szCs w:val="28"/>
          <w:rtl/>
        </w:rPr>
        <w:t xml:space="preserve">السعدى </w:t>
      </w:r>
      <w:r w:rsidR="003A5136" w:rsidRPr="007A1717">
        <w:rPr>
          <w:rFonts w:ascii="Sakkal Majalla" w:hAnsi="Sakkal Majalla" w:cs="Sakkal Majalla"/>
          <w:b/>
          <w:bCs/>
          <w:color w:val="000000" w:themeColor="text1"/>
          <w:sz w:val="28"/>
          <w:szCs w:val="28"/>
          <w:rtl/>
        </w:rPr>
        <w:t>،</w:t>
      </w:r>
      <w:r w:rsidR="009037A2" w:rsidRPr="007A1717">
        <w:rPr>
          <w:rFonts w:ascii="Sakkal Majalla" w:hAnsi="Sakkal Majalla" w:cs="Sakkal Majalla"/>
          <w:b/>
          <w:bCs/>
          <w:color w:val="000000" w:themeColor="text1"/>
          <w:sz w:val="28"/>
          <w:szCs w:val="28"/>
          <w:rtl/>
        </w:rPr>
        <w:t>2024</w:t>
      </w:r>
      <w:r w:rsidR="003A5136" w:rsidRPr="007A1717">
        <w:rPr>
          <w:rFonts w:ascii="Sakkal Majalla" w:hAnsi="Sakkal Majalla" w:cs="Sakkal Majalla"/>
          <w:b/>
          <w:bCs/>
          <w:color w:val="000000" w:themeColor="text1"/>
          <w:sz w:val="28"/>
          <w:szCs w:val="28"/>
          <w:rtl/>
        </w:rPr>
        <w:t xml:space="preserve">) </w:t>
      </w:r>
    </w:p>
    <w:p w14:paraId="31C82FB7" w14:textId="77777777" w:rsidR="00134A64" w:rsidRPr="007A1717" w:rsidRDefault="004974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هدفت الدراسة إلى التعرف على فاعلية أنظمة الإنذار المبكر متعددة الأخطار بأبعادها (الإطار المؤسسي والقانوني، منظومة الرصد والتنبؤ، إدارة المعلومات والتواصل، وبناء القدرات والشراكات الدولية) على الحد من مخاطر الكوارث وتعزيز الأمن الإنساني الدولي في إطار النظام الدولي المعاصر، مع التركيز على تجربة منظمة الأرصاد الجوية العالمية في تطوير وتفعيل منظومات الإنذار المبكر من مخاطر الكوارث</w:t>
      </w:r>
      <w:r w:rsidR="00134A64"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tl/>
        </w:rPr>
        <w:t xml:space="preserve"> واستخدمت الدراسة المنهج الوصفي التحليلي واستعراض نماذج تطبيقية لبرامج الإنذار المبكر في عدد من الدول.</w:t>
      </w:r>
    </w:p>
    <w:p w14:paraId="7AE95188" w14:textId="77777777" w:rsidR="00134A64" w:rsidRPr="007A1717" w:rsidRDefault="004974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 xml:space="preserve"> وتوصلت</w:t>
      </w:r>
      <w:r w:rsidR="00134A64"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tl/>
        </w:rPr>
        <w:t xml:space="preserve">إلى النتائج </w:t>
      </w:r>
      <w:r w:rsidR="00134A64" w:rsidRPr="007A1717">
        <w:rPr>
          <w:rFonts w:ascii="Sakkal Majalla" w:hAnsi="Sakkal Majalla" w:cs="Sakkal Majalla"/>
          <w:color w:val="000000" w:themeColor="text1"/>
          <w:sz w:val="28"/>
          <w:szCs w:val="28"/>
          <w:rtl/>
        </w:rPr>
        <w:t xml:space="preserve">الاتية </w:t>
      </w:r>
      <w:r w:rsidRPr="007A1717">
        <w:rPr>
          <w:rFonts w:ascii="Sakkal Majalla" w:hAnsi="Sakkal Majalla" w:cs="Sakkal Majalla"/>
          <w:color w:val="000000" w:themeColor="text1"/>
          <w:sz w:val="28"/>
          <w:szCs w:val="28"/>
          <w:rtl/>
        </w:rPr>
        <w:t xml:space="preserve">: أن اعتماد نظام الإنذار المبكر أصبح التزامًا دوليًا وضرورة جوهرية لمواجهة الكوارث الطبيعية والبشرية، وأن فاعلية هذه الأنظمة ترتبط بوجود إطار مؤسسي واضح، ومنظومة رصد وتنبؤ متطورة، وتدفق منظم للمعلومات بين المستويات الوطنية والإقليمية والدولية، إضافة إلى دور محوري لمنظمة الأرصاد الجوية العالمية في قيادة الجهود الدولية للتنبؤ بالكوارث والحد من مخاطرها وبناء شراكات واسعة مع المنظمات والبرامج الأممية والفاعلين المحليين، مع استمرار وجود فجوات في قدرات بعض الدول النامية، وقصور في الربط بين مرحلة الإنذار ومرحلة الاستجابة الفعلية. </w:t>
      </w:r>
    </w:p>
    <w:p w14:paraId="164ED800" w14:textId="77777777" w:rsidR="00D6120A" w:rsidRPr="007A1717" w:rsidRDefault="00134A64"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واوصت الدراسة بالاتى</w:t>
      </w:r>
      <w:r w:rsidR="004974EB" w:rsidRPr="007A1717">
        <w:rPr>
          <w:rFonts w:ascii="Sakkal Majalla" w:hAnsi="Sakkal Majalla" w:cs="Sakkal Majalla"/>
          <w:color w:val="000000" w:themeColor="text1"/>
          <w:sz w:val="28"/>
          <w:szCs w:val="28"/>
          <w:rtl/>
        </w:rPr>
        <w:t>:</w:t>
      </w:r>
      <w:r w:rsidR="00D6120A"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tl/>
        </w:rPr>
        <w:t>-</w:t>
      </w:r>
      <w:r w:rsidR="004974EB" w:rsidRPr="007A1717">
        <w:rPr>
          <w:rFonts w:ascii="Sakkal Majalla" w:hAnsi="Sakkal Majalla" w:cs="Sakkal Majalla"/>
          <w:color w:val="000000" w:themeColor="text1"/>
          <w:sz w:val="28"/>
          <w:szCs w:val="28"/>
          <w:rtl/>
        </w:rPr>
        <w:t xml:space="preserve"> تعزيز الإطار القانوني والمؤسسي لأنظمة الإنذار المبكر على الصعيدين الدولي والوطني</w:t>
      </w:r>
      <w:r w:rsidR="00D6120A" w:rsidRPr="007A1717">
        <w:rPr>
          <w:rFonts w:ascii="Sakkal Majalla" w:hAnsi="Sakkal Majalla" w:cs="Sakkal Majalla"/>
          <w:color w:val="000000" w:themeColor="text1"/>
          <w:sz w:val="28"/>
          <w:szCs w:val="28"/>
          <w:rtl/>
        </w:rPr>
        <w:t xml:space="preserve">، و </w:t>
      </w:r>
      <w:r w:rsidR="004974EB" w:rsidRPr="007A1717">
        <w:rPr>
          <w:rFonts w:ascii="Sakkal Majalla" w:hAnsi="Sakkal Majalla" w:cs="Sakkal Majalla"/>
          <w:color w:val="000000" w:themeColor="text1"/>
          <w:sz w:val="28"/>
          <w:szCs w:val="28"/>
          <w:rtl/>
        </w:rPr>
        <w:t>توسيع تغطية منظومات الرصد والتنبؤ في الدول الأقل قدرة</w:t>
      </w:r>
      <w:r w:rsidRPr="007A1717">
        <w:rPr>
          <w:rFonts w:ascii="Sakkal Majalla" w:hAnsi="Sakkal Majalla" w:cs="Sakkal Majalla"/>
          <w:color w:val="000000" w:themeColor="text1"/>
          <w:sz w:val="28"/>
          <w:szCs w:val="28"/>
          <w:rtl/>
        </w:rPr>
        <w:t xml:space="preserve"> .</w:t>
      </w:r>
    </w:p>
    <w:p w14:paraId="528B88EA" w14:textId="2D0777F5" w:rsidR="00D76CFA" w:rsidRPr="007A1717" w:rsidRDefault="000C6F6B" w:rsidP="00E43AF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دراسة</w:t>
      </w:r>
      <w:r w:rsidR="00D76CFA" w:rsidRPr="007A1717">
        <w:rPr>
          <w:rFonts w:ascii="Sakkal Majalla" w:eastAsia="Times New Roman" w:hAnsi="Sakkal Majalla" w:cs="Sakkal Majalla"/>
          <w:b/>
          <w:bCs/>
          <w:color w:val="000000" w:themeColor="text1"/>
          <w:kern w:val="0"/>
          <w:sz w:val="28"/>
          <w:szCs w:val="28"/>
          <w14:ligatures w14:val="none"/>
        </w:rPr>
        <w:t xml:space="preserve"> </w:t>
      </w:r>
      <w:r w:rsidR="003E7EFA" w:rsidRPr="007A1717">
        <w:rPr>
          <w:rFonts w:ascii="Sakkal Majalla" w:eastAsia="Times New Roman" w:hAnsi="Sakkal Majalla" w:cs="Sakkal Majalla"/>
          <w:b/>
          <w:bCs/>
          <w:color w:val="000000" w:themeColor="text1"/>
          <w:kern w:val="0"/>
          <w:sz w:val="28"/>
          <w:szCs w:val="28"/>
          <w:rtl/>
          <w14:ligatures w14:val="none"/>
        </w:rPr>
        <w:t>(</w:t>
      </w:r>
      <w:r w:rsidR="009037A2" w:rsidRPr="007A1717">
        <w:rPr>
          <w:rFonts w:ascii="Sakkal Majalla" w:eastAsia="Times New Roman" w:hAnsi="Sakkal Majalla" w:cs="Sakkal Majalla"/>
          <w:b/>
          <w:bCs/>
          <w:color w:val="000000" w:themeColor="text1"/>
          <w:kern w:val="0"/>
          <w:sz w:val="28"/>
          <w:szCs w:val="28"/>
          <w:rtl/>
          <w14:ligatures w14:val="none"/>
        </w:rPr>
        <w:t>ارزوقى و</w:t>
      </w:r>
      <w:r w:rsidR="000A4D31" w:rsidRPr="007A1717">
        <w:rPr>
          <w:rFonts w:ascii="Sakkal Majalla" w:eastAsia="Times New Roman" w:hAnsi="Sakkal Majalla" w:cs="Sakkal Majalla"/>
          <w:b/>
          <w:bCs/>
          <w:color w:val="000000" w:themeColor="text1"/>
          <w:kern w:val="0"/>
          <w:sz w:val="28"/>
          <w:szCs w:val="28"/>
          <w:rtl/>
          <w14:ligatures w14:val="none"/>
        </w:rPr>
        <w:t xml:space="preserve"> </w:t>
      </w:r>
      <w:r w:rsidR="009037A2" w:rsidRPr="007A1717">
        <w:rPr>
          <w:rFonts w:ascii="Sakkal Majalla" w:eastAsia="Times New Roman" w:hAnsi="Sakkal Majalla" w:cs="Sakkal Majalla"/>
          <w:b/>
          <w:bCs/>
          <w:color w:val="000000" w:themeColor="text1"/>
          <w:kern w:val="0"/>
          <w:sz w:val="28"/>
          <w:szCs w:val="28"/>
          <w:rtl/>
          <w14:ligatures w14:val="none"/>
        </w:rPr>
        <w:t>على</w:t>
      </w:r>
      <w:r w:rsidR="003E7EFA" w:rsidRPr="007A1717">
        <w:rPr>
          <w:rFonts w:ascii="Sakkal Majalla" w:eastAsia="Times New Roman" w:hAnsi="Sakkal Majalla" w:cs="Sakkal Majalla"/>
          <w:b/>
          <w:bCs/>
          <w:color w:val="000000" w:themeColor="text1"/>
          <w:kern w:val="0"/>
          <w:sz w:val="28"/>
          <w:szCs w:val="28"/>
          <w:rtl/>
          <w14:ligatures w14:val="none"/>
        </w:rPr>
        <w:t>،</w:t>
      </w:r>
      <w:r w:rsidR="009037A2" w:rsidRPr="007A1717">
        <w:rPr>
          <w:rFonts w:ascii="Sakkal Majalla" w:eastAsia="Times New Roman" w:hAnsi="Sakkal Majalla" w:cs="Sakkal Majalla"/>
          <w:b/>
          <w:bCs/>
          <w:color w:val="000000" w:themeColor="text1"/>
          <w:kern w:val="0"/>
          <w:sz w:val="28"/>
          <w:szCs w:val="28"/>
          <w:rtl/>
          <w14:ligatures w14:val="none"/>
        </w:rPr>
        <w:t>2022</w:t>
      </w:r>
      <w:r w:rsidR="003E7EFA" w:rsidRPr="007A1717">
        <w:rPr>
          <w:rFonts w:ascii="Sakkal Majalla" w:eastAsia="Times New Roman" w:hAnsi="Sakkal Majalla" w:cs="Sakkal Majalla"/>
          <w:b/>
          <w:bCs/>
          <w:color w:val="000000" w:themeColor="text1"/>
          <w:kern w:val="0"/>
          <w:sz w:val="28"/>
          <w:szCs w:val="28"/>
          <w:rtl/>
          <w14:ligatures w14:val="none"/>
        </w:rPr>
        <w:t>)</w:t>
      </w:r>
    </w:p>
    <w:p w14:paraId="50231BFB" w14:textId="77777777" w:rsidR="00AA2D33" w:rsidRPr="007A1717" w:rsidRDefault="00AA2D3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 xml:space="preserve">هدفت الدراسة إلى التعرف على التلوث البيئي في العراق بأبعاده (الطبيعية، والبشرية، والتكنولوجية) على حق الإنسان في بيئة سليمة في العراق، واستخدمت الدراسة المنهج الوصفي التحليلي لوصف المشكلات البيئية التي تعاني منها البيئة العراقية وتحليل أسبابها الطبيعية والبشرية والتكنولوجية وما نجم عنها من آثار على الفرد والمجتمع. </w:t>
      </w:r>
    </w:p>
    <w:p w14:paraId="743D25A0" w14:textId="77777777" w:rsidR="00AA2D33" w:rsidRPr="007A1717" w:rsidRDefault="00AA2D3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lastRenderedPageBreak/>
        <w:t>توصلت النتائج إلى أن المشكلات البيئية في العراق تعود إلى تداخل عوامل التغير المناخي والتصحر والهزات الأرضية والسيول مع الزيادة السكانية وقلة وعي المواطنين والتجاوز على البيئة الطبيعية، فضلًا عن التوسع في الأنشطة الصناعية والزراعية والحروب المتعاقبة وسوء الإدارة البيئية، مما أدى إلى تفاقم ملوثات الهواء والماء والتربة وانعكاس ذلك سلبًا على حق الإنسان في بيئة سليمة.</w:t>
      </w:r>
    </w:p>
    <w:p w14:paraId="66017D8D" w14:textId="3E6D0057" w:rsidR="00AA2D33" w:rsidRPr="007A1717" w:rsidRDefault="00AA2D3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واوصت الدراسة بالاتى: ضرورة رفع الوعي البيئي لدى المواطنين بأهمية حماية البيئة، ووضع برامج فعالة للتوعية البيئية، ومعالجة الملوثات بجميع أنواعها ولا سيما التجارية والصناعية والطبية والزراعية، وتعزيز كفاءة الأجهزة المعنية بالإدارة البيئية والتخطيط البيئي السليم .</w:t>
      </w:r>
    </w:p>
    <w:p w14:paraId="05CBACBA" w14:textId="2C68E517" w:rsidR="00D76CFA" w:rsidRPr="007A1717" w:rsidRDefault="00E3001E" w:rsidP="00E43AF3">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7A1717">
        <w:rPr>
          <w:rFonts w:ascii="Sakkal Majalla" w:hAnsi="Sakkal Majalla" w:cs="Sakkal Majalla"/>
          <w:b/>
          <w:bCs/>
          <w:color w:val="000000" w:themeColor="text1"/>
          <w:sz w:val="28"/>
          <w:szCs w:val="28"/>
          <w:rtl/>
        </w:rPr>
        <w:t>دراسة</w:t>
      </w:r>
      <w:r w:rsidR="003E7EFA" w:rsidRPr="007A1717">
        <w:rPr>
          <w:rFonts w:ascii="Sakkal Majalla" w:eastAsia="Times New Roman" w:hAnsi="Sakkal Majalla" w:cs="Sakkal Majalla"/>
          <w:b/>
          <w:bCs/>
          <w:color w:val="000000" w:themeColor="text1"/>
          <w:kern w:val="0"/>
          <w:sz w:val="28"/>
          <w:szCs w:val="28"/>
          <w:rtl/>
          <w:lang w:bidi="ar-EG"/>
          <w14:ligatures w14:val="none"/>
        </w:rPr>
        <w:t>(</w:t>
      </w:r>
      <w:r w:rsidR="009037A2" w:rsidRPr="007A1717">
        <w:rPr>
          <w:rFonts w:ascii="Sakkal Majalla" w:eastAsia="Times New Roman" w:hAnsi="Sakkal Majalla" w:cs="Sakkal Majalla"/>
          <w:b/>
          <w:bCs/>
          <w:color w:val="000000" w:themeColor="text1"/>
          <w:kern w:val="0"/>
          <w:sz w:val="28"/>
          <w:szCs w:val="28"/>
          <w:rtl/>
          <w:lang w:bidi="ar-EG"/>
          <w14:ligatures w14:val="none"/>
        </w:rPr>
        <w:t xml:space="preserve"> احمد </w:t>
      </w:r>
      <w:r w:rsidR="003E7EFA" w:rsidRPr="007A1717">
        <w:rPr>
          <w:rFonts w:ascii="Sakkal Majalla" w:eastAsia="Times New Roman" w:hAnsi="Sakkal Majalla" w:cs="Sakkal Majalla"/>
          <w:b/>
          <w:bCs/>
          <w:color w:val="000000" w:themeColor="text1"/>
          <w:kern w:val="0"/>
          <w:sz w:val="28"/>
          <w:szCs w:val="28"/>
          <w:rtl/>
          <w:lang w:bidi="ar-EG"/>
          <w14:ligatures w14:val="none"/>
        </w:rPr>
        <w:t>،</w:t>
      </w:r>
      <w:r w:rsidR="009037A2" w:rsidRPr="007A1717">
        <w:rPr>
          <w:rFonts w:ascii="Sakkal Majalla" w:eastAsia="Times New Roman" w:hAnsi="Sakkal Majalla" w:cs="Sakkal Majalla"/>
          <w:b/>
          <w:bCs/>
          <w:color w:val="000000" w:themeColor="text1"/>
          <w:kern w:val="0"/>
          <w:sz w:val="28"/>
          <w:szCs w:val="28"/>
          <w:rtl/>
          <w:lang w:bidi="ar-EG"/>
          <w14:ligatures w14:val="none"/>
        </w:rPr>
        <w:t>2024</w:t>
      </w:r>
      <w:r w:rsidR="003E7EFA" w:rsidRPr="007A1717">
        <w:rPr>
          <w:rFonts w:ascii="Sakkal Majalla" w:eastAsia="Times New Roman" w:hAnsi="Sakkal Majalla" w:cs="Sakkal Majalla"/>
          <w:b/>
          <w:bCs/>
          <w:color w:val="000000" w:themeColor="text1"/>
          <w:kern w:val="0"/>
          <w:sz w:val="28"/>
          <w:szCs w:val="28"/>
          <w:rtl/>
          <w:lang w:bidi="ar-EG"/>
          <w14:ligatures w14:val="none"/>
        </w:rPr>
        <w:t>)</w:t>
      </w:r>
    </w:p>
    <w:p w14:paraId="1E59E5EC" w14:textId="1A0B9AE2" w:rsidR="00AA2D33" w:rsidRPr="007A1717" w:rsidRDefault="00AA2D3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هدفت الدراسة إلى التعرف على عجز أصحاب الأنشطة التجارية والصناعية عن سداد الديون بسبب الأزمات والكوارث بأبعاده (طبيعة الأزمات والكوارث، ودرجة التأثر المالي والتعثر، وطبيعة الديون والأنشطة التجارية والصناعية) على الأحكام الشرعية والقانونية المتعلقة بسداد الديون والتعويض عن الأضرار الاقتصادية في ضوء الفقه الإسلامي والقانون الوضعي، واستخدمت الدراسة المنهج الوصفي التحليلي المقارن .</w:t>
      </w:r>
    </w:p>
    <w:p w14:paraId="4DA3DEF9" w14:textId="77777777" w:rsidR="00AA2D33" w:rsidRPr="007A1717" w:rsidRDefault="00AA2D3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وتوصلت النتائج إلى أن الشريعة الإسلامية تقرر وجوب المسارعة في سداد الديون في الأصل، مع التفرقة بين العجز الحقيقي الطارئ بسبب الأزمات والكوارث بوصفه إعسارًا مبررًا يترتب عليه إنظار المعسر أو تخفيف الدين أو إعادة جدولته، وبين المماطلة غير المبررة، كما تقرر مشروعية التعويض عن الأضرار الاقتصادية بضوابط، متى كان الضرر محققًا، ونشأ عن فعل تقصيري أو تقصير في واجب الحماية أو الإدارة، وبما لا يؤدي إلى أكل أموال الناس بالباطل. وأظهرت الدراسة وجود قدر من التقارب بين الفقه الإسلامي والقانون الوضعي في أثر القوة القاهرة والأزمات على الالتزامات المالية، مع اختلاف في صور المعالجة وآليات التسوية والتنفيذ.</w:t>
      </w:r>
    </w:p>
    <w:p w14:paraId="79D65098" w14:textId="19CCA882" w:rsidR="00AA2D33" w:rsidRPr="007A1717" w:rsidRDefault="00AA2D3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 xml:space="preserve"> واوصت الدراسة بعدد من التوصيات منها : استكمال وتطوير الأطر التشريعية لمعالجة تعثر أصحاب الأنشطة التجارية والصناعية في أوقات الأزمات والكوارث، ووضع آليات عادلة ومرنة للتسوية والتعويض، وتفعيل أدوات التأمين والتكافل، وتعزيز دور الدولة في دعم القطاعات المتضررة بما يحقق التوازن بين حماية حقوق الدائنين ورعاية أوضاع المدينين المتعثرين</w:t>
      </w:r>
      <w:r w:rsidRPr="007A1717">
        <w:rPr>
          <w:rFonts w:ascii="Sakkal Majalla" w:hAnsi="Sakkal Majalla" w:cs="Sakkal Majalla"/>
          <w:color w:val="000000" w:themeColor="text1"/>
          <w:sz w:val="28"/>
          <w:szCs w:val="28"/>
        </w:rPr>
        <w:t>.</w:t>
      </w:r>
    </w:p>
    <w:p w14:paraId="17D116C0" w14:textId="153C9D2F" w:rsidR="00D76CFA" w:rsidRPr="007A1717" w:rsidRDefault="00E3001E" w:rsidP="00E43AF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دراسة</w:t>
      </w:r>
      <w:r w:rsidR="00A81B3B" w:rsidRPr="007A1717">
        <w:rPr>
          <w:rFonts w:ascii="Sakkal Majalla" w:eastAsia="Times New Roman" w:hAnsi="Sakkal Majalla" w:cs="Sakkal Majalla"/>
          <w:b/>
          <w:bCs/>
          <w:color w:val="000000" w:themeColor="text1"/>
          <w:kern w:val="0"/>
          <w:sz w:val="28"/>
          <w:szCs w:val="28"/>
          <w14:ligatures w14:val="none"/>
        </w:rPr>
        <w:t xml:space="preserve"> </w:t>
      </w:r>
      <w:r w:rsidR="003E7EFA" w:rsidRPr="007A1717">
        <w:rPr>
          <w:rFonts w:ascii="Sakkal Majalla" w:hAnsi="Sakkal Majalla" w:cs="Sakkal Majalla"/>
          <w:b/>
          <w:bCs/>
          <w:color w:val="000000" w:themeColor="text1"/>
          <w:sz w:val="28"/>
          <w:szCs w:val="28"/>
          <w:rtl/>
        </w:rPr>
        <w:t>(</w:t>
      </w:r>
      <w:r w:rsidR="009037A2" w:rsidRPr="007A1717">
        <w:rPr>
          <w:rFonts w:ascii="Sakkal Majalla" w:hAnsi="Sakkal Majalla" w:cs="Sakkal Majalla"/>
          <w:b/>
          <w:bCs/>
          <w:color w:val="000000" w:themeColor="text1"/>
          <w:sz w:val="28"/>
          <w:szCs w:val="28"/>
          <w:rtl/>
        </w:rPr>
        <w:t xml:space="preserve">الكوافى </w:t>
      </w:r>
      <w:r w:rsidR="003E7EFA" w:rsidRPr="007A1717">
        <w:rPr>
          <w:rFonts w:ascii="Sakkal Majalla" w:hAnsi="Sakkal Majalla" w:cs="Sakkal Majalla"/>
          <w:b/>
          <w:bCs/>
          <w:color w:val="000000" w:themeColor="text1"/>
          <w:sz w:val="28"/>
          <w:szCs w:val="28"/>
          <w:rtl/>
        </w:rPr>
        <w:t>،</w:t>
      </w:r>
      <w:r w:rsidR="009037A2" w:rsidRPr="007A1717">
        <w:rPr>
          <w:rFonts w:ascii="Sakkal Majalla" w:hAnsi="Sakkal Majalla" w:cs="Sakkal Majalla"/>
          <w:b/>
          <w:bCs/>
          <w:color w:val="000000" w:themeColor="text1"/>
          <w:sz w:val="28"/>
          <w:szCs w:val="28"/>
          <w:rtl/>
        </w:rPr>
        <w:t>2024</w:t>
      </w:r>
      <w:r w:rsidR="003E7EFA" w:rsidRPr="007A1717">
        <w:rPr>
          <w:rFonts w:ascii="Sakkal Majalla" w:hAnsi="Sakkal Majalla" w:cs="Sakkal Majalla"/>
          <w:b/>
          <w:bCs/>
          <w:color w:val="000000" w:themeColor="text1"/>
          <w:sz w:val="28"/>
          <w:szCs w:val="28"/>
          <w:rtl/>
        </w:rPr>
        <w:t>)</w:t>
      </w:r>
    </w:p>
    <w:p w14:paraId="3E2BEFD1" w14:textId="77777777" w:rsidR="00AA2D33" w:rsidRPr="007A1717" w:rsidRDefault="00AA2D3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 xml:space="preserve">هدفت الدراسة إلى التعرف على إدارة الكوارث في المناطق الحضرية بأبعادها (مرحلة ما قبل الكارثة: الاستعداد والتخطيط، ومرحلة أثناء الكارثة: الاستجابة والإغاثة، ومرحلة ما بعد الكارثة: إعادة الإعمار والتعافي) على إعادة إعمار البنية الحضرية والتقليل من الآثار المباشرة وغير المباشرة للحروب والكوارث في مدينة بنغازي، واستخدمت الدراسة المنهج الوصفي التحليلي. </w:t>
      </w:r>
    </w:p>
    <w:p w14:paraId="0A53D8E9" w14:textId="77777777" w:rsidR="00AA2D33" w:rsidRPr="007A1717" w:rsidRDefault="00AA2D3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توصلت النتائج إلى أن الكوارث والحروب خلّفت آثارًا مادية وبشرية واقتصادية واجتماعية عميقة في مدينة بنغازي، تمثلت في تدمير أجزاء من البنية التحتية والعمرانية وتشريد السكان وتعطيل الحياة الاقتصادية، وأن غياب مناهج واضحة واستراتيجيات علمية متكاملة لإدارة الكوارث وإعادة الإعمار أسهم في تعاظم هذه الآثار واستمرارها، في مقابل ما أظهرته تجارب بعض الدول من نجاح نسبي عند تبنيها أطرًا مؤسسية واضحة، وبرامج زمنية محددة، ومقاربات تشاركية في إعادة الإعمار الحضري.</w:t>
      </w:r>
    </w:p>
    <w:p w14:paraId="71C81156" w14:textId="6E81F2FD" w:rsidR="00AA2D33" w:rsidRPr="007A1717" w:rsidRDefault="00AA2D3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 وتوصلت الدراسة إلى عدد من التوصيات من أهمها: ضرورة صياغة استراتيجية وطنية ومحلية لإدارة الكوارث وإعادة الإعمار في مدينة بنغازي، تستند إلى مبادئ التخطيط الحضري السليم وإدارة المخاطر، والاستفادة المنهجية من تجارب الدول الناجحة، وتعزيز التنسيق بين المؤسسات الحكومية والبلديات والقطاع الخاص والمجتمع المدني، ووضع برامج عملية لإعادة تأهيل البنية التحتية والأحياء المتضررة، وبناء قدرات الأجهزة المعنية على التخطيط المسبق والاستجابة الفعّالة للكوارث المستقبلية</w:t>
      </w:r>
      <w:r w:rsidRPr="007A1717">
        <w:rPr>
          <w:rFonts w:ascii="Sakkal Majalla" w:hAnsi="Sakkal Majalla" w:cs="Sakkal Majalla"/>
          <w:color w:val="000000" w:themeColor="text1"/>
          <w:sz w:val="28"/>
          <w:szCs w:val="28"/>
        </w:rPr>
        <w:t>.</w:t>
      </w:r>
    </w:p>
    <w:p w14:paraId="1592023C" w14:textId="1FFAF311" w:rsidR="00D76CFA" w:rsidRPr="007A1717" w:rsidRDefault="00E43AF3" w:rsidP="00E43AF3">
      <w:pPr>
        <w:pStyle w:val="ListParagraph"/>
        <w:numPr>
          <w:ilvl w:val="0"/>
          <w:numId w:val="23"/>
        </w:numPr>
        <w:spacing w:before="100" w:beforeAutospacing="1" w:after="100" w:afterAutospacing="1"/>
        <w:ind w:left="423" w:hanging="357"/>
        <w:contextualSpacing w:val="0"/>
        <w:rPr>
          <w:rFonts w:ascii="Sakkal Majalla" w:eastAsia="Times New Roman" w:hAnsi="Sakkal Majalla" w:cs="Sakkal Majalla"/>
          <w:b/>
          <w:bCs/>
          <w:color w:val="000000" w:themeColor="text1"/>
          <w:kern w:val="0"/>
          <w:sz w:val="28"/>
          <w:szCs w:val="28"/>
          <w14:ligatures w14:val="none"/>
        </w:rPr>
      </w:pPr>
      <w:r w:rsidRPr="007A1717">
        <w:rPr>
          <w:rFonts w:ascii="Sakkal Majalla" w:hAnsi="Sakkal Majalla" w:cs="Sakkal Majalla"/>
          <w:b/>
          <w:bCs/>
          <w:color w:val="000000" w:themeColor="text1"/>
          <w:sz w:val="28"/>
          <w:szCs w:val="28"/>
          <w:rtl/>
        </w:rPr>
        <w:br w:type="page"/>
      </w:r>
      <w:r w:rsidR="00E3001E" w:rsidRPr="007A1717">
        <w:rPr>
          <w:rFonts w:ascii="Sakkal Majalla" w:hAnsi="Sakkal Majalla" w:cs="Sakkal Majalla"/>
          <w:b/>
          <w:bCs/>
          <w:color w:val="000000" w:themeColor="text1"/>
          <w:sz w:val="28"/>
          <w:szCs w:val="28"/>
          <w:rtl/>
        </w:rPr>
        <w:lastRenderedPageBreak/>
        <w:t>دراسة</w:t>
      </w:r>
      <w:r w:rsidR="00AC2C5E" w:rsidRPr="007A1717">
        <w:rPr>
          <w:rFonts w:ascii="Sakkal Majalla" w:hAnsi="Sakkal Majalla" w:cs="Sakkal Majalla"/>
          <w:b/>
          <w:bCs/>
          <w:color w:val="000000" w:themeColor="text1"/>
          <w:sz w:val="28"/>
          <w:szCs w:val="28"/>
        </w:rPr>
        <w:t xml:space="preserve"> </w:t>
      </w:r>
      <w:r w:rsidR="003E7EFA" w:rsidRPr="007A1717">
        <w:rPr>
          <w:rFonts w:ascii="Sakkal Majalla" w:eastAsia="Times New Roman" w:hAnsi="Sakkal Majalla" w:cs="Sakkal Majalla"/>
          <w:b/>
          <w:bCs/>
          <w:color w:val="000000" w:themeColor="text1"/>
          <w:kern w:val="0"/>
          <w:sz w:val="28"/>
          <w:szCs w:val="28"/>
          <w:rtl/>
          <w14:ligatures w14:val="none"/>
        </w:rPr>
        <w:t>(</w:t>
      </w:r>
      <w:r w:rsidR="009037A2" w:rsidRPr="007A1717">
        <w:rPr>
          <w:rFonts w:ascii="Sakkal Majalla" w:eastAsia="Times New Roman" w:hAnsi="Sakkal Majalla" w:cs="Sakkal Majalla"/>
          <w:b/>
          <w:bCs/>
          <w:color w:val="000000" w:themeColor="text1"/>
          <w:kern w:val="0"/>
          <w:sz w:val="28"/>
          <w:szCs w:val="28"/>
          <w:rtl/>
          <w:lang w:bidi="ar-EG"/>
          <w14:ligatures w14:val="none"/>
        </w:rPr>
        <w:t>كمالى ويوسف</w:t>
      </w:r>
      <w:r w:rsidR="003E7EFA" w:rsidRPr="007A1717">
        <w:rPr>
          <w:rFonts w:ascii="Sakkal Majalla" w:eastAsia="Times New Roman" w:hAnsi="Sakkal Majalla" w:cs="Sakkal Majalla"/>
          <w:b/>
          <w:bCs/>
          <w:color w:val="000000" w:themeColor="text1"/>
          <w:kern w:val="0"/>
          <w:sz w:val="28"/>
          <w:szCs w:val="28"/>
          <w:rtl/>
          <w14:ligatures w14:val="none"/>
        </w:rPr>
        <w:t>،</w:t>
      </w:r>
      <w:r w:rsidR="009037A2" w:rsidRPr="007A1717">
        <w:rPr>
          <w:rFonts w:ascii="Sakkal Majalla" w:eastAsia="Times New Roman" w:hAnsi="Sakkal Majalla" w:cs="Sakkal Majalla"/>
          <w:b/>
          <w:bCs/>
          <w:color w:val="000000" w:themeColor="text1"/>
          <w:kern w:val="0"/>
          <w:sz w:val="28"/>
          <w:szCs w:val="28"/>
          <w:rtl/>
          <w14:ligatures w14:val="none"/>
        </w:rPr>
        <w:t>2024</w:t>
      </w:r>
      <w:r w:rsidR="003E7EFA" w:rsidRPr="007A1717">
        <w:rPr>
          <w:rFonts w:ascii="Sakkal Majalla" w:eastAsia="Times New Roman" w:hAnsi="Sakkal Majalla" w:cs="Sakkal Majalla"/>
          <w:b/>
          <w:bCs/>
          <w:color w:val="000000" w:themeColor="text1"/>
          <w:kern w:val="0"/>
          <w:sz w:val="28"/>
          <w:szCs w:val="28"/>
          <w:rtl/>
          <w14:ligatures w14:val="none"/>
        </w:rPr>
        <w:t>)</w:t>
      </w:r>
    </w:p>
    <w:p w14:paraId="1F174B5E" w14:textId="77777777" w:rsidR="00AA2D33" w:rsidRPr="007A1717" w:rsidRDefault="00AA2D3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 xml:space="preserve">هدفت الدراسة إلى التعرف على خطر التغير المناخي الناجم عن الأنشطة الصناعية والبشرية بأبعاده (البيئي، والصحي، والاقتصادي، والقانوني) على النظام القانوني الدولي وجهود المجتمع الدولي في حماية البيئة العالمية في إطار اتفاقية الأمم المتحدة الإطارية بشأن تغير المناخ لعام 1992 وما ترتب عليها من التزامات دولية في مجال الحد من الانبعاثات الغازية ومواجهة الكوارث البيئية، واستخدمت الدراسة المنهج الوصفي التحليلي مع المنهج القانوني التحليلي المقارن، وتوصلت الدراسة إلى أن التغير المناخي لم يعد مجرد ظاهرة بيئية فحسب، بل أصبح قضية كونية تمس أمن الإنسان والتنمية المستدامة، وأن غالبية الاحترار العالمي خلال العقود الخمسة الأخيرة يعود إلى الأنشطة البشرية، وأن اتفاقية الأمم المتحدة الإطارية أرست الإطار الأساسي للالتزامات الدولية القائمة على مبدأ المسؤولية المشتركة مع تباين الأعباء، غير أن قصور إرادة بعض الدول الصناعية، وضعف آليات التنفيذ والرقابة والتمويل ونقل التكنولوجيا، حدّ من فاعلية النظام القائم في خفض الانبعاثات والتكيف مع آثار التغير المناخي. </w:t>
      </w:r>
    </w:p>
    <w:p w14:paraId="6C75B512" w14:textId="35169D7C" w:rsidR="00AA2D33" w:rsidRPr="007A1717" w:rsidRDefault="00AA2D3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واوصت الدراسة إلى عدد من التوصيات من أهمها: ضرورة تعزيز إلزامية الالتزامات الدولية في مجال خفض الانبعاثات، وتطوير آليات التمويل المناخي ونقل التكنولوجيا إلى الدول النامية، ودمج سياسات التغير المناخي في استراتيجيات التنمية الوطنية، وتفعيل الشراكات الدولية متعددة الأطراف لمواجهة الآثار البيئية والاقتصادية والصحية للتغير المناخي بصورة أكثر تنسيقًا وفاعلية</w:t>
      </w:r>
      <w:r w:rsidRPr="007A1717">
        <w:rPr>
          <w:rFonts w:ascii="Sakkal Majalla" w:hAnsi="Sakkal Majalla" w:cs="Sakkal Majalla"/>
          <w:color w:val="000000" w:themeColor="text1"/>
          <w:sz w:val="28"/>
          <w:szCs w:val="28"/>
        </w:rPr>
        <w:t>.</w:t>
      </w:r>
    </w:p>
    <w:p w14:paraId="559AE804" w14:textId="77777777" w:rsidR="009037A2" w:rsidRPr="007A1717" w:rsidRDefault="00E3001E" w:rsidP="00E43AF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A1717">
        <w:rPr>
          <w:rFonts w:ascii="Sakkal Majalla" w:hAnsi="Sakkal Majalla" w:cs="Sakkal Majalla"/>
          <w:b/>
          <w:bCs/>
          <w:color w:val="000000" w:themeColor="text1"/>
          <w:sz w:val="28"/>
          <w:szCs w:val="28"/>
          <w:rtl/>
        </w:rPr>
        <w:t xml:space="preserve">دراسة </w:t>
      </w:r>
      <w:r w:rsidR="009037A2" w:rsidRPr="007A1717">
        <w:rPr>
          <w:rFonts w:ascii="Sakkal Majalla" w:hAnsi="Sakkal Majalla" w:cs="Sakkal Majalla"/>
          <w:b/>
          <w:bCs/>
          <w:color w:val="000000" w:themeColor="text1"/>
          <w:sz w:val="28"/>
          <w:szCs w:val="28"/>
        </w:rPr>
        <w:t>(Meckawy et al., 2022)</w:t>
      </w:r>
    </w:p>
    <w:p w14:paraId="774E5B17" w14:textId="34665A17" w:rsidR="007F3B3A" w:rsidRPr="007A1717" w:rsidRDefault="007F3B3A"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هدفت الدراسة إلى التعرف على فاعلية أنظمة الإنذار المبكر للأمراض المعدية بأبعادها (أنظمة الترصد المعتمدة على الشكاوى الأولية في أقسام الطوارئ، وأنظمة سجلات الصحة العامة المركزية، وأنظمة الترصد الوبائي المعتمدة على الويب، وبيانات المبيعات الدوائية والنتائج المختبرية، والنظم المركبة متعددة مصادر البيانات) على الكشف المبكر عن الفاشيات ذات الإمكانات الجائحة وتحسين الاستجابة لها في بيئات صحية مختلفة وبخاصة في الدول ذات الدخل المنخفض والمتوسط ،</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واستخدمت الدراسة المنهج الوصفي التحليلي</w:t>
      </w:r>
      <w:r w:rsidRPr="007A1717">
        <w:rPr>
          <w:rFonts w:ascii="Sakkal Majalla" w:hAnsi="Sakkal Majalla" w:cs="Sakkal Majalla"/>
          <w:color w:val="000000" w:themeColor="text1"/>
          <w:sz w:val="28"/>
          <w:szCs w:val="28"/>
        </w:rPr>
        <w:t>.</w:t>
      </w:r>
    </w:p>
    <w:p w14:paraId="1409847C" w14:textId="4DC2F006" w:rsidR="007F3B3A" w:rsidRPr="007A1717" w:rsidRDefault="007F3B3A"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أظهرت النتائج أن أنظمة الإنذار المبكر يمكن أن تعمل بكفاءة كنظم ترصد مستقلة للفاشيات واسعة النطاق، وتبيّن أن الاعتماد على الشكاوى الرئيسة في أقسام الطوارئ يعد أداة فعّالة للإنذار المبكر بشرط توحيد نماذج البيانات بين المستشفيات، وأن أنظمة الترصد القائمة على سجلات الصحة العامة المركزية تسهّل تبادل المعلومات لكنها تظل رهينة دقة وسرعة بلاغ الأطباء، كما اتضح أن الأنظمة المعتمدة على الويب تميّزت بسهولة الإبلاغ من المناطق النائية وسرعة نقل الإنذار، في حين لم تُظهر بيانات المبيعات الدوائية والنتائج المختبرية فاعلية كافية إذا استُخدمت منفردة. وبيّنت الدراسة أن تصميم أنظمة إنذار مبكر تجمع بين بيانات السجلات الصحية ومدخلات مقدمي الخدمة الصحية كان من أنجح النماذج، وأن الإبلاغ اليومي عن بيانات الترصد مثّل أفضل أسلوب لتعزيز فاعلية الأنظمة، خاصة في سياق الفعاليات الجماعية الكبرى، وخلصت الدراسة إلى أن تحسين الأنظمة القائمة وتعزيزها في الدول ذات الدخل المنخفض والمتوسط كان أكثر جدوى من استحداث أنظمة ترصد سندرومية جديدة</w:t>
      </w:r>
      <w:r w:rsidRPr="007A1717">
        <w:rPr>
          <w:rFonts w:ascii="Sakkal Majalla" w:hAnsi="Sakkal Majalla" w:cs="Sakkal Majalla"/>
          <w:color w:val="000000" w:themeColor="text1"/>
          <w:sz w:val="28"/>
          <w:szCs w:val="28"/>
        </w:rPr>
        <w:t>.</w:t>
      </w:r>
    </w:p>
    <w:p w14:paraId="434C06C1" w14:textId="4E2CF68C" w:rsidR="000C6F6B" w:rsidRPr="007A1717" w:rsidRDefault="007F3B3A"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وانتهت الدراسة إلى عدد من التوصيات، من أهمها: التركيز على تطوير أنظمة إنذار مبكر تعتمد على بيانات ما قبل التشخيص مع توحيد نماذج جمع البيانات، وتعزيز تكامل مصادر البيانات المختلفة في نظام مركب واحد، وتحسين قدرات الإبلاغ اليومي وسرعة تبادل المعلومات بين المستويات المختلفة، وبناء قدرات الدول ذات الموارد المحدودة على تحسين الأنظمة القائمة بدلًا من استبدالها، مع التأكيد على أن تفوق نظم الترصد السندرومي في الاستباقية لا يعني بالضرورة كفايتها وحدها لاكتشاف الفاشيات دون دعم بنظم تشخيصية قوية وآليات استجابة فعّالة</w:t>
      </w:r>
      <w:r w:rsidRPr="007A1717">
        <w:rPr>
          <w:rFonts w:ascii="Sakkal Majalla" w:hAnsi="Sakkal Majalla" w:cs="Sakkal Majalla"/>
          <w:color w:val="000000" w:themeColor="text1"/>
          <w:sz w:val="28"/>
          <w:szCs w:val="28"/>
        </w:rPr>
        <w:t>.</w:t>
      </w:r>
    </w:p>
    <w:p w14:paraId="60B5132A" w14:textId="31455A48" w:rsidR="00D76CFA" w:rsidRPr="007A1717" w:rsidRDefault="00E3001E" w:rsidP="00E43AF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A1717">
        <w:rPr>
          <w:rFonts w:ascii="Sakkal Majalla" w:hAnsi="Sakkal Majalla" w:cs="Sakkal Majalla"/>
          <w:b/>
          <w:bCs/>
          <w:color w:val="000000" w:themeColor="text1"/>
          <w:sz w:val="28"/>
          <w:szCs w:val="28"/>
          <w:rtl/>
        </w:rPr>
        <w:t>دراسة</w:t>
      </w:r>
      <w:r w:rsidR="000A4D31" w:rsidRPr="007A1717">
        <w:rPr>
          <w:rFonts w:ascii="Sakkal Majalla" w:hAnsi="Sakkal Majalla" w:cs="Sakkal Majalla"/>
          <w:b/>
          <w:bCs/>
          <w:color w:val="000000" w:themeColor="text1"/>
          <w:sz w:val="28"/>
          <w:szCs w:val="28"/>
          <w:rtl/>
        </w:rPr>
        <w:t xml:space="preserve"> </w:t>
      </w:r>
      <w:r w:rsidR="00DB64C5" w:rsidRPr="007A1717">
        <w:rPr>
          <w:rFonts w:ascii="Sakkal Majalla" w:hAnsi="Sakkal Majalla" w:cs="Sakkal Majalla"/>
          <w:b/>
          <w:bCs/>
          <w:color w:val="000000" w:themeColor="text1"/>
          <w:sz w:val="28"/>
          <w:szCs w:val="28"/>
        </w:rPr>
        <w:t>(Executive Summary, 2023)</w:t>
      </w:r>
    </w:p>
    <w:p w14:paraId="073A7E1B" w14:textId="5C2DEAF1" w:rsidR="000A4D31" w:rsidRPr="007A1717" w:rsidRDefault="007F3B3A"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هدفت الدراسة إلى التعرف على أنظمة الإنذار المبكر متعددة الأخطار بأبعادها</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الأساس العلمي والتقني للنظام، والطبيعة الشمولية المتسلسلة من المصدر إلى المتلقي</w:t>
      </w:r>
      <w:r w:rsidRPr="007A1717">
        <w:rPr>
          <w:rFonts w:ascii="Sakkal Majalla" w:hAnsi="Sakkal Majalla" w:cs="Sakkal Majalla"/>
          <w:color w:val="000000" w:themeColor="text1"/>
          <w:sz w:val="28"/>
          <w:szCs w:val="28"/>
        </w:rPr>
        <w:t xml:space="preserve"> end-to-end</w:t>
      </w:r>
      <w:r w:rsidRPr="007A1717">
        <w:rPr>
          <w:rFonts w:ascii="Sakkal Majalla" w:hAnsi="Sakkal Majalla" w:cs="Sakkal Majalla"/>
          <w:color w:val="000000" w:themeColor="text1"/>
          <w:sz w:val="28"/>
          <w:szCs w:val="28"/>
          <w:rtl/>
        </w:rPr>
        <w:t>، والتركيز على الإنسان</w:t>
      </w:r>
      <w:r w:rsidRPr="007A1717">
        <w:rPr>
          <w:rFonts w:ascii="Sakkal Majalla" w:hAnsi="Sakkal Majalla" w:cs="Sakkal Majalla"/>
          <w:color w:val="000000" w:themeColor="text1"/>
          <w:sz w:val="28"/>
          <w:szCs w:val="28"/>
        </w:rPr>
        <w:t xml:space="preserve"> people-centred</w:t>
      </w:r>
      <w:r w:rsidRPr="007A1717">
        <w:rPr>
          <w:rFonts w:ascii="Sakkal Majalla" w:hAnsi="Sakkal Majalla" w:cs="Sakkal Majalla"/>
          <w:color w:val="000000" w:themeColor="text1"/>
          <w:sz w:val="28"/>
          <w:szCs w:val="28"/>
          <w:rtl/>
        </w:rPr>
        <w:t>، وشمول الفئات الهشة وضمان سهولة الوصول إلى الإنذار</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 xml:space="preserve">على الحد من مخاطر الكوارث وحماية الأرواح وسبل العيش في مختلف السياقات، واستخدمت الدراسة المنهج الوصفي التحليلي، وتوصلت النتائج إلى أن فاعلية أنظمة الإنذار المبكر لا تتحقق بمجرد توافر الأساس العلمي </w:t>
      </w:r>
      <w:r w:rsidRPr="007A1717">
        <w:rPr>
          <w:rFonts w:ascii="Sakkal Majalla" w:hAnsi="Sakkal Majalla" w:cs="Sakkal Majalla"/>
          <w:color w:val="000000" w:themeColor="text1"/>
          <w:sz w:val="28"/>
          <w:szCs w:val="28"/>
          <w:rtl/>
        </w:rPr>
        <w:lastRenderedPageBreak/>
        <w:t>والتقني، بل تتطلب أن تكون الأنظمة متعددة الأخطار، متكاملة المراحل، قائمة على التواصل الموثوق وسهلة الوصول للجميع، مع مراعاة الاحتياجات والقدرات المختلفة خاصة لدى الفئات المهمشة والمعرضة للخطر، وأن تجاهل البعد الإنساني يقلل من الثقة بالنظام ويحد من قدرته على حماية الأرواح وسبل العيش، وانتهت الدراسة إلى عدد من التوصيات من أبرزها: تبني مقاربة تركز على الإنسان في تصميم وتشغيل أنظمة الإنذار المبكر، وتطوير سياسات تضمن شمولية الإتاحة والوصول للمعلومات الإنذارية، وتعزيز الثقة المجتمعية في تلك الأنظمة، ودمج أنظمة الإنذار المبكر متعددة الأخطار ضمن أطر وطنية شاملة للحد من مخاطر الكوارث</w:t>
      </w:r>
      <w:r w:rsidRPr="007A1717">
        <w:rPr>
          <w:rFonts w:ascii="Sakkal Majalla" w:hAnsi="Sakkal Majalla" w:cs="Sakkal Majalla"/>
          <w:color w:val="000000" w:themeColor="text1"/>
          <w:sz w:val="28"/>
          <w:szCs w:val="28"/>
        </w:rPr>
        <w:t>.</w:t>
      </w:r>
      <w:r w:rsidR="000A4D31" w:rsidRPr="007A1717">
        <w:rPr>
          <w:rFonts w:ascii="Sakkal Majalla" w:hAnsi="Sakkal Majalla" w:cs="Sakkal Majalla"/>
          <w:color w:val="000000" w:themeColor="text1"/>
          <w:sz w:val="28"/>
          <w:szCs w:val="28"/>
          <w:rtl/>
        </w:rPr>
        <w:t xml:space="preserve"> </w:t>
      </w:r>
    </w:p>
    <w:p w14:paraId="3BFFE4E8" w14:textId="40F3E931" w:rsidR="00D76CFA" w:rsidRPr="007A1717" w:rsidRDefault="00AC2C5E" w:rsidP="00E43AF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A1717">
        <w:rPr>
          <w:rFonts w:ascii="Sakkal Majalla" w:hAnsi="Sakkal Majalla" w:cs="Sakkal Majalla"/>
          <w:b/>
          <w:bCs/>
          <w:color w:val="000000" w:themeColor="text1"/>
          <w:sz w:val="28"/>
          <w:szCs w:val="28"/>
          <w:rtl/>
        </w:rPr>
        <w:t xml:space="preserve">دراسة </w:t>
      </w:r>
      <w:r w:rsidR="00DB64C5" w:rsidRPr="007A1717">
        <w:rPr>
          <w:rFonts w:ascii="Sakkal Majalla" w:hAnsi="Sakkal Majalla" w:cs="Sakkal Majalla"/>
          <w:b/>
          <w:bCs/>
          <w:color w:val="000000" w:themeColor="text1"/>
          <w:sz w:val="28"/>
          <w:szCs w:val="28"/>
        </w:rPr>
        <w:t>(Sugawara, 2019)</w:t>
      </w:r>
    </w:p>
    <w:p w14:paraId="2BE7E000" w14:textId="3ABE5FAA" w:rsidR="007F3B3A" w:rsidRPr="007A1717" w:rsidRDefault="007F3B3A"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هدفت الدراسة إلى التعرف على فاعلية نظام الإنذار المبكر للنزاعات في عمليات حفظ السلام التابعة للأمم المتحدة بأبعاده (طبيعة أنشطة الإنذار المبكر الميدانية، وتوقيت استجابة البعثة للإنذارات والأحداث، وكثافة التدخل المرتبط بالإنذار) على مسار التصعيد ومدة المعارك في حالة بعثة الأمم المتحدة في جنوب السودان</w:t>
      </w:r>
      <w:r w:rsidRPr="007A1717">
        <w:rPr>
          <w:rFonts w:ascii="Sakkal Majalla" w:hAnsi="Sakkal Majalla" w:cs="Sakkal Majalla"/>
          <w:color w:val="000000" w:themeColor="text1"/>
          <w:sz w:val="28"/>
          <w:szCs w:val="28"/>
        </w:rPr>
        <w:t xml:space="preserve"> (UNMISS)</w:t>
      </w:r>
      <w:r w:rsidRPr="007A1717">
        <w:rPr>
          <w:rFonts w:ascii="Sakkal Majalla" w:hAnsi="Sakkal Majalla" w:cs="Sakkal Majalla"/>
          <w:color w:val="000000" w:themeColor="text1"/>
          <w:sz w:val="28"/>
          <w:szCs w:val="28"/>
          <w:rtl/>
        </w:rPr>
        <w:t>، واستخدمت الدراسة المنهج الوصفي الكمي التحليلي</w:t>
      </w:r>
      <w:r w:rsidRPr="007A1717">
        <w:rPr>
          <w:rFonts w:ascii="Sakkal Majalla" w:hAnsi="Sakkal Majalla" w:cs="Sakkal Majalla"/>
          <w:color w:val="000000" w:themeColor="text1"/>
          <w:sz w:val="28"/>
          <w:szCs w:val="28"/>
        </w:rPr>
        <w:t>.</w:t>
      </w:r>
    </w:p>
    <w:p w14:paraId="2B76C8CD" w14:textId="2D6EDCE3" w:rsidR="000A4D31" w:rsidRPr="007A1717" w:rsidRDefault="007F3B3A"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وتوصلت النتائج إلى أن مدة المعارك تميل إلى أن تكون أطول عندما تستجيب بعثة حفظ السلام للمعارك أثناء وقوعها أو مباشرة بعد انتهائها، الأمر الذي يشير إلى أن استخدام نظام الإنذار المبكر في السياق المدروس غالبًا ما يكون تفاعليًا لاحقًا للحدث أكثر منه استباقيًا وقائيًا قبل التصعيد، ويطرح تساؤلات حول توقيت التفعيل وكيفية توظيف المعلومات المبكرة في التدخل الوقائي، وانتهت الدراسة إلى عدد من التوصيات من أبرزها: ضرورة إعادة تصميم آليات عمل نظام الإنذار المبكر بما يعزز طابعه الاستباقي قبل اندلاع المعارك، وتحسين سرعة تحليل ونقل معلومات الإنذار إلى متخذي القرار الميدانيين، ووضع بروتوكولات أوضح لربط إشارات الإنذار المبكر بخيارات تدخل وقائية فعالة، بما يسهم في تقصير مدة المعارك والحد من احتمالات التصعيد في مسار النزاع</w:t>
      </w:r>
      <w:r w:rsidRPr="007A1717">
        <w:rPr>
          <w:rFonts w:ascii="Sakkal Majalla" w:hAnsi="Sakkal Majalla" w:cs="Sakkal Majalla"/>
          <w:color w:val="000000" w:themeColor="text1"/>
          <w:sz w:val="28"/>
          <w:szCs w:val="28"/>
        </w:rPr>
        <w:t>.</w:t>
      </w:r>
      <w:r w:rsidR="000A4D31" w:rsidRPr="007A1717">
        <w:rPr>
          <w:rFonts w:ascii="Sakkal Majalla" w:hAnsi="Sakkal Majalla" w:cs="Sakkal Majalla"/>
          <w:color w:val="000000" w:themeColor="text1"/>
          <w:sz w:val="28"/>
          <w:szCs w:val="28"/>
          <w:rtl/>
        </w:rPr>
        <w:t xml:space="preserve"> </w:t>
      </w:r>
    </w:p>
    <w:p w14:paraId="16F52A90" w14:textId="4B566CC0" w:rsidR="00D76CFA" w:rsidRPr="007A1717" w:rsidRDefault="00E43AF3" w:rsidP="00E43AF3">
      <w:pPr>
        <w:pStyle w:val="ListParagraph"/>
        <w:numPr>
          <w:ilvl w:val="0"/>
          <w:numId w:val="23"/>
        </w:numPr>
        <w:spacing w:before="100" w:beforeAutospacing="1" w:after="100" w:afterAutospacing="1"/>
        <w:ind w:left="423" w:hanging="357"/>
        <w:contextualSpacing w:val="0"/>
        <w:rPr>
          <w:rFonts w:ascii="Sakkal Majalla" w:eastAsia="Times New Roman" w:hAnsi="Sakkal Majalla" w:cs="Sakkal Majalla"/>
          <w:b/>
          <w:bCs/>
          <w:color w:val="000000" w:themeColor="text1"/>
          <w:kern w:val="0"/>
          <w:sz w:val="28"/>
          <w:szCs w:val="28"/>
          <w:rtl/>
          <w:lang w:bidi="ar-EG"/>
          <w14:ligatures w14:val="none"/>
        </w:rPr>
      </w:pPr>
      <w:r w:rsidRPr="007A1717">
        <w:rPr>
          <w:rFonts w:ascii="Sakkal Majalla" w:hAnsi="Sakkal Majalla" w:cs="Sakkal Majalla"/>
          <w:b/>
          <w:bCs/>
          <w:color w:val="000000" w:themeColor="text1"/>
          <w:sz w:val="28"/>
          <w:szCs w:val="28"/>
          <w:rtl/>
        </w:rPr>
        <w:br w:type="page"/>
      </w:r>
      <w:r w:rsidR="00AC2C5E" w:rsidRPr="007A1717">
        <w:rPr>
          <w:rFonts w:ascii="Sakkal Majalla" w:hAnsi="Sakkal Majalla" w:cs="Sakkal Majalla"/>
          <w:b/>
          <w:bCs/>
          <w:color w:val="000000" w:themeColor="text1"/>
          <w:sz w:val="28"/>
          <w:szCs w:val="28"/>
          <w:rtl/>
        </w:rPr>
        <w:lastRenderedPageBreak/>
        <w:t>دراسة</w:t>
      </w:r>
      <w:r w:rsidR="00956AAB" w:rsidRPr="007A1717">
        <w:rPr>
          <w:rFonts w:ascii="Sakkal Majalla" w:eastAsia="Times New Roman" w:hAnsi="Sakkal Majalla" w:cs="Sakkal Majalla"/>
          <w:b/>
          <w:bCs/>
          <w:color w:val="000000" w:themeColor="text1"/>
          <w:kern w:val="0"/>
          <w:sz w:val="28"/>
          <w:szCs w:val="28"/>
          <w:rtl/>
          <w14:ligatures w14:val="none"/>
        </w:rPr>
        <w:t xml:space="preserve"> </w:t>
      </w:r>
      <w:r w:rsidR="00DB64C5" w:rsidRPr="007A1717">
        <w:rPr>
          <w:rFonts w:ascii="Sakkal Majalla" w:eastAsia="Times New Roman" w:hAnsi="Sakkal Majalla" w:cs="Sakkal Majalla"/>
          <w:b/>
          <w:bCs/>
          <w:color w:val="000000" w:themeColor="text1"/>
          <w:kern w:val="0"/>
          <w:sz w:val="28"/>
          <w:szCs w:val="28"/>
          <w14:ligatures w14:val="none"/>
        </w:rPr>
        <w:t>(Fajrillah et al., 2024)</w:t>
      </w:r>
    </w:p>
    <w:p w14:paraId="22DFBEEF" w14:textId="62028E41" w:rsidR="007F3B3A" w:rsidRPr="007A1717" w:rsidRDefault="007F3B3A"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هدفت الدراسة إلى التعرف على متطلبات فاعلية أنظمة الإنذار المبكر للكوارث في المناطق الريفية بأبعادها (العوامل والتجهيزات التقنية للنظام، والأبعاد الاجتماعية-التنظيمية المرتبطة بالمجتمع المحلي ومؤسساته) على الحد من مخاطر الكوارث وتعزيز قدرة المجتمعات الريفية على الصمود في المناطق الريفية المعرضة للكوارث ذات الصلة بالمناخ، واستخدمت الدراسة المنهج الوصفي التحليلي  </w:t>
      </w:r>
      <w:r w:rsidRPr="007A1717">
        <w:rPr>
          <w:rFonts w:ascii="Sakkal Majalla" w:hAnsi="Sakkal Majalla" w:cs="Sakkal Majalla"/>
          <w:color w:val="000000" w:themeColor="text1"/>
          <w:sz w:val="28"/>
          <w:szCs w:val="28"/>
        </w:rPr>
        <w:t>.</w:t>
      </w:r>
    </w:p>
    <w:p w14:paraId="7CAC8DAB" w14:textId="77777777" w:rsidR="007F3B3A" w:rsidRPr="007A1717" w:rsidRDefault="007F3B3A"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وتوصلت النتائج إلى أن الفاعلية بعيدة المدى لأنظمة الإنذار المبكر في البيئات الريفية تعتمد أساسًا على بعدين رئيسين هما: البعد التقني المتعلق بالبنية التحتية للاتصالات، ودقة النماذج والبيانات وآليات إيصال الإنذار، والبعد الاجتماعي-التنظيمي المتعلق بدرجة ثقة المجتمع بالنظام، ومستوى المشاركة المجتمعية، وآليات التنسيق المؤسسي المحلي. كما بينت الدراسة أن قبول المجتمعات الريفية للنظام، واستدامة عمله، يتوقفان على مدى الدمج بين التكنولوجيا والمعرفة العلمية من جهة، والمعرفة المحلية وممارسات السكان ومشاركتهم الفعلية في تصميم وتشغيل النظام من جهة أخرى</w:t>
      </w:r>
      <w:r w:rsidRPr="007A1717">
        <w:rPr>
          <w:rFonts w:ascii="Sakkal Majalla" w:hAnsi="Sakkal Majalla" w:cs="Sakkal Majalla"/>
          <w:color w:val="000000" w:themeColor="text1"/>
          <w:sz w:val="28"/>
          <w:szCs w:val="28"/>
        </w:rPr>
        <w:t>.</w:t>
      </w:r>
    </w:p>
    <w:p w14:paraId="02C3D7D4" w14:textId="77777777" w:rsidR="007F3B3A" w:rsidRPr="007A1717" w:rsidRDefault="007F3B3A"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وانتهت الدراسة إلى عدد من التوصيات من أهمها: ضرورة تصميم أنظمة إنذار مبكر ريفية تراعي الخصائص الاجتماعية والثقافية المحلية، وتعزيز البنية التحتية التقنية وشبكات الاتصال الملائمة للبيئات الريفية، وبناء أطر تنظيمية ومؤسسية تشاركية بين الجهات الرسمية والمجتمعات المحلية، ودمج المعرفة والخبرة المحلية ضمن منظومة التنبؤ والإنذار، بما يدعم الفاعلية طويلة الأمد لأنظمة الإنذار المبكر في الحد من مخاطر الكوارث وتعزيز القدرة المجتمعية على الصمود</w:t>
      </w:r>
      <w:r w:rsidRPr="007A1717">
        <w:rPr>
          <w:rFonts w:ascii="Sakkal Majalla" w:hAnsi="Sakkal Majalla" w:cs="Sakkal Majalla"/>
          <w:color w:val="000000" w:themeColor="text1"/>
          <w:sz w:val="28"/>
          <w:szCs w:val="28"/>
        </w:rPr>
        <w:t>.</w:t>
      </w:r>
    </w:p>
    <w:p w14:paraId="391015A8" w14:textId="77777777" w:rsidR="00DB64C5" w:rsidRPr="007A1717" w:rsidRDefault="00A81B3B" w:rsidP="00E43AF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A1717">
        <w:rPr>
          <w:rFonts w:ascii="Sakkal Majalla" w:hAnsi="Sakkal Majalla" w:cs="Sakkal Majalla"/>
          <w:b/>
          <w:bCs/>
          <w:color w:val="000000" w:themeColor="text1"/>
          <w:sz w:val="28"/>
          <w:szCs w:val="28"/>
          <w:rtl/>
        </w:rPr>
        <w:t xml:space="preserve">دراسة </w:t>
      </w:r>
      <w:r w:rsidR="00956AAB" w:rsidRPr="007A1717">
        <w:rPr>
          <w:rFonts w:ascii="Sakkal Majalla" w:hAnsi="Sakkal Majalla" w:cs="Sakkal Majalla"/>
          <w:b/>
          <w:bCs/>
          <w:color w:val="000000" w:themeColor="text1"/>
          <w:sz w:val="28"/>
          <w:szCs w:val="28"/>
          <w:rtl/>
        </w:rPr>
        <w:t xml:space="preserve"> </w:t>
      </w:r>
      <w:r w:rsidR="00DB64C5" w:rsidRPr="007A1717">
        <w:rPr>
          <w:rFonts w:ascii="Sakkal Majalla" w:hAnsi="Sakkal Majalla" w:cs="Sakkal Majalla"/>
          <w:b/>
          <w:bCs/>
          <w:color w:val="000000" w:themeColor="text1"/>
          <w:sz w:val="28"/>
          <w:szCs w:val="28"/>
        </w:rPr>
        <w:t>(Lahmood &amp; Mutlak, 2024)</w:t>
      </w:r>
    </w:p>
    <w:p w14:paraId="50562527" w14:textId="2C50F692" w:rsidR="007F3B3A" w:rsidRPr="007A1717" w:rsidRDefault="007F3B3A"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هدفت الدراسة إلى التعرف على أنظمة الإنذار المبكر في إدارة الأزمات والكوارث والحروب في الاتحاد الإفريقي بأبعادها (قدرات الرصد والمتابعة، وتسجيل وتحليل الإشارات والمؤشرات، وسرعة إيصال الإنذار إلى الجهات المعنية، وفاعلية الأدوات والآليات المؤسسية والتقنية) على الحد من تفاقم الأزمات وتقليل آثار الكوارث المادية والمعنوية المباشرة وغير المباشرة، قصيرة ومتوسطة وطويلة الأجل في إطار الدول الأعضاء بالاتحاد الإفريقي، واستخدمت الدراسة المنهج الوصفي التحليلي</w:t>
      </w:r>
      <w:r w:rsidRPr="007A1717">
        <w:rPr>
          <w:rFonts w:ascii="Sakkal Majalla" w:hAnsi="Sakkal Majalla" w:cs="Sakkal Majalla"/>
          <w:color w:val="000000" w:themeColor="text1"/>
          <w:sz w:val="28"/>
          <w:szCs w:val="28"/>
        </w:rPr>
        <w:t>.</w:t>
      </w:r>
    </w:p>
    <w:p w14:paraId="13DC3897" w14:textId="5DB785C3" w:rsidR="007F3B3A" w:rsidRPr="007A1717" w:rsidRDefault="007F3B3A"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وتوصلت النتائج إلى أن فاعلية أنظمة الإنذار المبكر داخل الاتحاد الإفريقي تتجلى في قدرتها على رصد الأزمات والكوارث في مراحلها الأولى، وتحديد طبيعتها وأنواعها، وتحليل إشاراتها باستخدام المنهج العلمي والعقلاني، ونقل المؤشرات في الوقت المناسب إلى الجهات المختصة بما يتيح فرصًا أفضل لإدارة الأزمة ومنع تفاقمها، و أظهرت الدراسة أن هناك فوائد واضحة لهذه الأنظمة في الحد من حدة الآثار المادية والمعنوية للأزمات، إلا أن فعاليتها تتأثر بعوائق مرتبطة بسرعة الاستجابة، وكفاءة قنوات الاتصال، ومستوى التنسيق المؤسسي بين أجهزة الاتحاد والدول الأعضاء ، وانتهت الدراسة إلى عدد من التوصيات من أبرزها: تطوير البنية المؤسسية والتقنية لأنظمة الإنذار المبكر في الاتحاد الإفريقي، وتعزيز سرعة وموثوقية تدفق المعلومات بين مستويات الإنذار وصنع القرار، ووضع بروتوكولات واضحة لربط الإنذار المبكر بإجراءات وقائية وعلاجية محددة، وبناء قدرات الكوادر المعنية على التحليل والاستجابة المبكرة بما يقلل من الآثار السلبية للأزمات والكوارث والحروب على شعوب القارة</w:t>
      </w:r>
      <w:r w:rsidRPr="007A1717">
        <w:rPr>
          <w:rFonts w:ascii="Sakkal Majalla" w:hAnsi="Sakkal Majalla" w:cs="Sakkal Majalla"/>
          <w:color w:val="000000" w:themeColor="text1"/>
          <w:sz w:val="28"/>
          <w:szCs w:val="28"/>
        </w:rPr>
        <w:t>.</w:t>
      </w:r>
    </w:p>
    <w:p w14:paraId="58364BE5" w14:textId="688638E0" w:rsidR="00A81B3B" w:rsidRPr="007A1717" w:rsidRDefault="00A81B3B" w:rsidP="00E43AF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دراسة</w:t>
      </w:r>
      <w:r w:rsidR="006E4789" w:rsidRPr="007A1717">
        <w:rPr>
          <w:rFonts w:ascii="Sakkal Majalla" w:hAnsi="Sakkal Majalla" w:cs="Sakkal Majalla"/>
          <w:b/>
          <w:bCs/>
          <w:color w:val="000000" w:themeColor="text1"/>
          <w:sz w:val="28"/>
          <w:szCs w:val="28"/>
        </w:rPr>
        <w:t xml:space="preserve"> </w:t>
      </w:r>
      <w:r w:rsidR="00956AAB" w:rsidRPr="007A1717">
        <w:rPr>
          <w:rFonts w:ascii="Sakkal Majalla" w:hAnsi="Sakkal Majalla" w:cs="Sakkal Majalla"/>
          <w:b/>
          <w:bCs/>
          <w:color w:val="000000" w:themeColor="text1"/>
          <w:sz w:val="28"/>
          <w:szCs w:val="28"/>
          <w:rtl/>
        </w:rPr>
        <w:t xml:space="preserve"> </w:t>
      </w:r>
      <w:r w:rsidR="00DB64C5" w:rsidRPr="007A1717">
        <w:rPr>
          <w:rFonts w:ascii="Sakkal Majalla" w:hAnsi="Sakkal Majalla" w:cs="Sakkal Majalla"/>
          <w:b/>
          <w:bCs/>
          <w:color w:val="000000" w:themeColor="text1"/>
          <w:sz w:val="28"/>
          <w:szCs w:val="28"/>
        </w:rPr>
        <w:t>(Ringo et al., 2024)</w:t>
      </w:r>
    </w:p>
    <w:p w14:paraId="4B803B5C" w14:textId="0D0740AC" w:rsidR="005B13C1" w:rsidRPr="007A1717" w:rsidRDefault="005B13C1"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هدفت الدراسة إلى التعرف على فاعلية أنظمة الإنذار المبكر بالفيضانات في إفريقيا بأبعادها (أنظمة الإنذار التقليدية المحلية، وأنظمة الإنذار الحديثة المعتمدة على التقنيات والاتصالات، وأنماط استجابة السكان للإنذار، وقدرات المؤسسات الوطنية والمحلية والمجتمعية على فهم وتحليل ونشر والتحرك بناءً على الإنذار) على الحد من آثار الفيضانات على سبل عيش المجتمعات الريفية والحضرية، والأمن الغذائي، والخسائر البشرية والمادية في المناطق الإفريقية المعرضة للفيضانات المتكررة، واستخدمت الدراسة المنهج الوصفي التحليلي .</w:t>
      </w:r>
    </w:p>
    <w:p w14:paraId="11721868" w14:textId="565EE9CB" w:rsidR="005B13C1" w:rsidRPr="007A1717" w:rsidRDefault="005B13C1"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وتوصلت النتائج إلى أن المجتمعات الإفريقية تستخدم مزيجًا من أنظمة الإنذار التقليدية (المعارف المحلية، الإشارات المجتمعية) والأنظمة الحديثة (وسائل الاتصال، الأنظمة الرسمية) في توصيل الإنذارات المبكرة، وأن تلقي الإنذار المبكر يدفع السكان إلى اتخاذ جملة من إجراءات الاستجابة مثل: إخلاء المناطق المعرّضة للخطر، وتنظيف وصيانة شبكات تصريف المياه، وتحصين المباني، وتنفيذ تدريبات على الإخلاء، وتجهيز مراكز إيواء، وتشكيل لجان لإدارة الفيضانات، وقد أسهمت هذه الاستجابات في تعزيز الأمن </w:t>
      </w:r>
      <w:r w:rsidRPr="007A1717">
        <w:rPr>
          <w:rFonts w:ascii="Sakkal Majalla" w:hAnsi="Sakkal Majalla" w:cs="Sakkal Majalla"/>
          <w:color w:val="000000" w:themeColor="text1"/>
          <w:sz w:val="28"/>
          <w:szCs w:val="28"/>
          <w:rtl/>
        </w:rPr>
        <w:lastRenderedPageBreak/>
        <w:t>الغذائي، وتقليل الإصابات والوفيات، والحد من أضرار الممتلكات والخسائر المادية. كما أكدت النتائج أن إبلاغ السكان مسبقًا بقدوم الفيضان يمكّنهم من توسيع نطاق إجراءات الاستعداد والتخفيف من الآثار، وأن فاعلية أنظمة الإنذار المبكر تعتمد بصورة حاسمة على قدرة المؤسسات المعنية على فهم وتحليل والتنبؤ بالإنذارات، وتفسيرها للمجتمع، ونشرها في الوقت المناسب، وتهيئة استجابة مؤسسية ومجتمعية منسقة ، وانتهت الدراسة إلى عدد من التوصيات من أهمها: تعزيز الدمج بين أنظمة الإنذار التقليدية والحديثة في المجتمعات الإفريقية، وبناء قدرات المؤسسات الوطنية والمحلية والمجتمعية على إدارة دورة الإنذار المبكر كاملةً (رصدًا وتحليلًا ونشرًا واستجابة)، وتحسين قنوات الاتصال لتكون سريعة ومفهومة ومتاحة للجميع، وتكثيف برامج التوعية والتدريب المجتمعي على إجراءات الاستجابة للفيضانات، بما يعزز من فاعلية أنظمة الإنذار المبكر في تقليل آثار الفيضانات على الإنسان والاقتصاد في إفريقيا</w:t>
      </w:r>
      <w:r w:rsidRPr="007A1717">
        <w:rPr>
          <w:rFonts w:ascii="Sakkal Majalla" w:hAnsi="Sakkal Majalla" w:cs="Sakkal Majalla"/>
          <w:color w:val="000000" w:themeColor="text1"/>
          <w:sz w:val="28"/>
          <w:szCs w:val="28"/>
        </w:rPr>
        <w:t>.</w:t>
      </w:r>
    </w:p>
    <w:p w14:paraId="798408B5" w14:textId="2E566FF4" w:rsidR="00D76CFA" w:rsidRPr="007A1717" w:rsidRDefault="00A81B3B" w:rsidP="00E43AF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A1717">
        <w:rPr>
          <w:rFonts w:ascii="Sakkal Majalla" w:hAnsi="Sakkal Majalla" w:cs="Sakkal Majalla"/>
          <w:b/>
          <w:bCs/>
          <w:color w:val="000000" w:themeColor="text1"/>
          <w:sz w:val="28"/>
          <w:szCs w:val="28"/>
          <w:rtl/>
        </w:rPr>
        <w:t>دراسة</w:t>
      </w:r>
      <w:r w:rsidR="00956AAB" w:rsidRPr="007A1717">
        <w:rPr>
          <w:rFonts w:ascii="Sakkal Majalla" w:hAnsi="Sakkal Majalla" w:cs="Sakkal Majalla"/>
          <w:b/>
          <w:bCs/>
          <w:color w:val="000000" w:themeColor="text1"/>
          <w:sz w:val="28"/>
          <w:szCs w:val="28"/>
        </w:rPr>
        <w:t xml:space="preserve"> </w:t>
      </w:r>
      <w:r w:rsidR="005B13C1" w:rsidRPr="007A1717">
        <w:rPr>
          <w:rFonts w:ascii="Sakkal Majalla" w:hAnsi="Sakkal Majalla" w:cs="Sakkal Majalla"/>
          <w:b/>
          <w:bCs/>
          <w:color w:val="000000" w:themeColor="text1"/>
          <w:sz w:val="28"/>
          <w:szCs w:val="28"/>
        </w:rPr>
        <w:t>(Tin et al., 2023)</w:t>
      </w:r>
    </w:p>
    <w:p w14:paraId="6ADD6F6F" w14:textId="77069C24" w:rsidR="005B13C1" w:rsidRPr="007A1717" w:rsidRDefault="005B13C1"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هدفت الدراسة إلى التعرف على الكوارث الصناعية عالميًا بأبعادها (نوع الكارثة الصناعية، والتوزيع الجغرافي للقارة، وحجم الخسائر البشرية من وفيات وإصابات) على عبء المخاطر الصحية على العاملين والمجتمعات المحيطة وتحسين جاهزية النظم الصحية في التعامل مع هذه الكوارث في الفترة من 1995 إلى 2021، واستخدمت الدراسة المنهج الوصفي الوبائي التحليلي .</w:t>
      </w:r>
    </w:p>
    <w:p w14:paraId="4C08D4DB" w14:textId="5386A64D" w:rsidR="005B13C1" w:rsidRPr="007A1717" w:rsidRDefault="005B13C1"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أظهرت النتائج تسجيل </w:t>
      </w:r>
      <w:r w:rsidRPr="007A1717">
        <w:rPr>
          <w:rFonts w:ascii="Sakkal Majalla" w:hAnsi="Sakkal Majalla" w:cs="Sakkal Majalla"/>
          <w:color w:val="000000" w:themeColor="text1"/>
          <w:sz w:val="28"/>
          <w:szCs w:val="28"/>
        </w:rPr>
        <w:t xml:space="preserve">1054 </w:t>
      </w:r>
      <w:r w:rsidRPr="007A1717">
        <w:rPr>
          <w:rFonts w:ascii="Sakkal Majalla" w:hAnsi="Sakkal Majalla" w:cs="Sakkal Majalla"/>
          <w:color w:val="000000" w:themeColor="text1"/>
          <w:sz w:val="28"/>
          <w:szCs w:val="28"/>
          <w:rtl/>
        </w:rPr>
        <w:t>كارثة صناعية خلال مدة الدراسة، تركز معظمها في آسيا بنسبة 68.3%، تلتها إفريقيا وأوروبا والأمريكتان بأ</w:t>
      </w:r>
      <w:r w:rsidRPr="007A1717">
        <w:rPr>
          <w:rFonts w:ascii="Sakkal Majalla" w:hAnsi="Sakkal Majalla" w:cs="Sakkal Majalla"/>
          <w:color w:val="000000" w:themeColor="text1"/>
          <w:sz w:val="28"/>
          <w:szCs w:val="28"/>
        </w:rPr>
        <w:t xml:space="preserve"> proportions </w:t>
      </w:r>
      <w:r w:rsidRPr="007A1717">
        <w:rPr>
          <w:rFonts w:ascii="Sakkal Majalla" w:hAnsi="Sakkal Majalla" w:cs="Sakkal Majalla"/>
          <w:color w:val="000000" w:themeColor="text1"/>
          <w:sz w:val="28"/>
          <w:szCs w:val="28"/>
          <w:rtl/>
        </w:rPr>
        <w:t xml:space="preserve">أقل، وتبيّن أن حوالي نصف هذه الكوارث كانت انفجارات، تلتها الانهيارات والحرائق، في حين شكلت التسربات الكيميائية والغازية والتسممات وانسكابات النفط والحوادث الإشعاعية نسبة أقل من الإجمالي. وأسفرت هذه الكوارث عن </w:t>
      </w:r>
      <w:r w:rsidRPr="007A1717">
        <w:rPr>
          <w:rFonts w:ascii="Sakkal Majalla" w:hAnsi="Sakkal Majalla" w:cs="Sakkal Majalla"/>
          <w:color w:val="000000" w:themeColor="text1"/>
          <w:sz w:val="28"/>
          <w:szCs w:val="28"/>
        </w:rPr>
        <w:t xml:space="preserve">29,708 </w:t>
      </w:r>
      <w:r w:rsidRPr="007A1717">
        <w:rPr>
          <w:rFonts w:ascii="Sakkal Majalla" w:hAnsi="Sakkal Majalla" w:cs="Sakkal Majalla"/>
          <w:color w:val="000000" w:themeColor="text1"/>
          <w:sz w:val="28"/>
          <w:szCs w:val="28"/>
          <w:rtl/>
        </w:rPr>
        <w:t xml:space="preserve">حالة وفاة و57,605 إصابة، ما يؤكد بقاء الكوارث الصناعية مصدرًا مهمًا لمخاطر صحية جسيمة تطال العمال والمجتمعات المحيطة، ولها تبعات سياسية وبيئية وبنيوية ، وانتهت الدراسة إلى عدد من التوصيات من أهمها: تعزيز برامج الوقاية والسلامة الصناعية، وتطوير التدريب المتخصص على الاستجابة الطارئة للكوارث الصناعية للعاملين والفرق الطبية، وتقوية جاهزية البنية التحتية الحيوية وحمايتها بوصفها </w:t>
      </w:r>
      <w:r w:rsidRPr="007A1717">
        <w:rPr>
          <w:rFonts w:ascii="Sakkal Majalla" w:hAnsi="Sakkal Majalla" w:cs="Sakkal Majalla"/>
          <w:color w:val="000000" w:themeColor="text1"/>
          <w:sz w:val="28"/>
          <w:szCs w:val="28"/>
          <w:rtl/>
        </w:rPr>
        <w:lastRenderedPageBreak/>
        <w:t>أهدافًا محتملة للحوادث أو الأعمال العدائية، مع تحسين قدرات النظم الصحية وطب الكوارث على استيعاب الآثار الفورية وطويلة الأمد لمثل هذه الأحداث</w:t>
      </w:r>
      <w:r w:rsidRPr="007A1717">
        <w:rPr>
          <w:rFonts w:ascii="Sakkal Majalla" w:hAnsi="Sakkal Majalla" w:cs="Sakkal Majalla"/>
          <w:color w:val="000000" w:themeColor="text1"/>
          <w:sz w:val="28"/>
          <w:szCs w:val="28"/>
        </w:rPr>
        <w:t>.</w:t>
      </w:r>
    </w:p>
    <w:p w14:paraId="5F336959" w14:textId="77777777" w:rsidR="005B13C1" w:rsidRPr="007A1717" w:rsidRDefault="006E4789" w:rsidP="00E43AF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A1717">
        <w:rPr>
          <w:rFonts w:ascii="Sakkal Majalla" w:hAnsi="Sakkal Majalla" w:cs="Sakkal Majalla"/>
          <w:b/>
          <w:bCs/>
          <w:color w:val="000000" w:themeColor="text1"/>
          <w:sz w:val="28"/>
          <w:szCs w:val="28"/>
          <w:rtl/>
        </w:rPr>
        <w:t xml:space="preserve">دراسة </w:t>
      </w:r>
      <w:r w:rsidR="00956AAB" w:rsidRPr="007A1717">
        <w:rPr>
          <w:rFonts w:ascii="Sakkal Majalla" w:hAnsi="Sakkal Majalla" w:cs="Sakkal Majalla"/>
          <w:b/>
          <w:bCs/>
          <w:color w:val="000000" w:themeColor="text1"/>
          <w:sz w:val="28"/>
          <w:szCs w:val="28"/>
          <w:rtl/>
        </w:rPr>
        <w:t xml:space="preserve"> </w:t>
      </w:r>
      <w:r w:rsidR="005B13C1" w:rsidRPr="007A1717">
        <w:rPr>
          <w:rFonts w:ascii="Sakkal Majalla" w:hAnsi="Sakkal Majalla" w:cs="Sakkal Majalla"/>
          <w:b/>
          <w:bCs/>
          <w:color w:val="000000" w:themeColor="text1"/>
          <w:sz w:val="28"/>
          <w:szCs w:val="28"/>
        </w:rPr>
        <w:t>(Kamdina et al., 2021)</w:t>
      </w:r>
    </w:p>
    <w:p w14:paraId="229D4D05" w14:textId="7980D9E0" w:rsidR="005B13C1" w:rsidRPr="007A1717" w:rsidRDefault="005B13C1"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هدفت الدراسة إلى التعرف على أثر الحوادث والكوارث الصناعية ذات المنشأ البشري بأبعادها (تكرار الحوادث وشدتها، نطاق تأثيرها المكاني، وطبيعة العوامل الملوِّثة المنبعثة من الإنتاج الصناعي) على جودة حياة السكان بأبعادها (الصحية-الديموغرافية، الاقتصادية-الاجتماعية، ظروف المعيشة والخدمات، البيئة، والأمن الاجتماعي والتنمية البشرية) في الأقاليم الصناعية، مع الاستشهاد بحالة كارثة تشيرنوبل كنموذج تطبيقي، و استخدمت الدراسة المنهج الوصفي التحليلي</w:t>
      </w:r>
      <w:r w:rsidRPr="007A1717">
        <w:rPr>
          <w:rFonts w:ascii="Sakkal Majalla" w:hAnsi="Sakkal Majalla" w:cs="Sakkal Majalla"/>
          <w:color w:val="000000" w:themeColor="text1"/>
          <w:sz w:val="28"/>
          <w:szCs w:val="28"/>
        </w:rPr>
        <w:t>.</w:t>
      </w:r>
    </w:p>
    <w:p w14:paraId="07A07849" w14:textId="5B1EB843" w:rsidR="005B13C1" w:rsidRPr="007A1717" w:rsidRDefault="005B13C1"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أظهرت النتائج أن إدراج العوامل الأنثروبوجينية المرتبطة بالإنتاج الصناعي والحوادث والكوارث الصناعية ضمن منظومة مؤشرات جودة الحياة يكشف عن تدهور ملحوظ في عدد من المكونات الرئيسة لجودة حياة السكان، ولا سيما في المجالات الصحية والبيئية والاقتصادية-الاجتماعية، وأن الكوارث الصناعية الكبرى مثل كارثة تشيرنوبل تُحدث تأثيرات عميقة وممتدة زمنيًا تتجاوز الخسائر الفورية لتشمل تغيّر أنماط الإقامة والعمل، وتدهور البيئة، وتراجع المؤشرات الديموغرافية والرفاه الاجتماعي ، و انتهت الدراسة إلى جملة من التوصيات من أهمها: ضرورة إدماج مخاطر الحوادث والكوارث الصناعية كعنصر صريح في نماذج قياس جودة الحياة على المستوى الإقليمي، وتطوير سياسات وقاية وسلامة صناعية تقلل من احتمالات وقوع الكوارث وآثارها، وتعزيز نظم الرصد والإبلاغ عن الحوادث الصناعية، وربط نتائج تقييم المخاطر الصناعية بصنع السياسات التنموية والإقليمية بما يضمن حماية أفضل لجودة حياة السكان في المناطق الصناعية</w:t>
      </w:r>
      <w:r w:rsidRPr="007A1717">
        <w:rPr>
          <w:rFonts w:ascii="Sakkal Majalla" w:hAnsi="Sakkal Majalla" w:cs="Sakkal Majalla"/>
          <w:color w:val="000000" w:themeColor="text1"/>
          <w:sz w:val="28"/>
          <w:szCs w:val="28"/>
        </w:rPr>
        <w:t>.</w:t>
      </w:r>
    </w:p>
    <w:p w14:paraId="22BA0C1D" w14:textId="33498757" w:rsidR="000A4D31" w:rsidRPr="007A1717" w:rsidRDefault="000A4D31" w:rsidP="00E43AF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A1717">
        <w:rPr>
          <w:rFonts w:ascii="Sakkal Majalla" w:hAnsi="Sakkal Majalla" w:cs="Sakkal Majalla"/>
          <w:b/>
          <w:bCs/>
          <w:color w:val="000000" w:themeColor="text1"/>
          <w:sz w:val="28"/>
          <w:szCs w:val="28"/>
          <w:rtl/>
        </w:rPr>
        <w:t>دراسة</w:t>
      </w:r>
      <w:r w:rsidR="00956AAB" w:rsidRPr="007A1717">
        <w:rPr>
          <w:rFonts w:ascii="Sakkal Majalla" w:hAnsi="Sakkal Majalla" w:cs="Sakkal Majalla"/>
          <w:b/>
          <w:bCs/>
          <w:color w:val="000000" w:themeColor="text1"/>
          <w:sz w:val="28"/>
          <w:szCs w:val="28"/>
          <w:rtl/>
        </w:rPr>
        <w:t xml:space="preserve"> </w:t>
      </w:r>
      <w:r w:rsidR="005B13C1" w:rsidRPr="007A1717">
        <w:rPr>
          <w:rFonts w:ascii="Sakkal Majalla" w:hAnsi="Sakkal Majalla" w:cs="Sakkal Majalla"/>
          <w:b/>
          <w:bCs/>
          <w:color w:val="000000" w:themeColor="text1"/>
          <w:sz w:val="28"/>
          <w:szCs w:val="28"/>
        </w:rPr>
        <w:t>(Foreword, 2024)</w:t>
      </w:r>
    </w:p>
    <w:p w14:paraId="6B4EDF32" w14:textId="4ECB1784" w:rsidR="005B13C1" w:rsidRPr="007A1717" w:rsidRDefault="005B13C1"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هدفت الدراسة إلى التعرف على مخاطر الحوادث الصناعية الكبرى والانفجارات في منشآت تخزين المواد الخطرة بأبعادها (خصائص المواد الخطرة وكمياتها، وموقع المنشآت وقربها من التجمعات السكنية </w:t>
      </w:r>
      <w:r w:rsidRPr="007A1717">
        <w:rPr>
          <w:rFonts w:ascii="Sakkal Majalla" w:hAnsi="Sakkal Majalla" w:cs="Sakkal Majalla"/>
          <w:color w:val="000000" w:themeColor="text1"/>
          <w:sz w:val="28"/>
          <w:szCs w:val="28"/>
          <w:rtl/>
        </w:rPr>
        <w:lastRenderedPageBreak/>
        <w:t>والبنى التحتية الحرجة، ومستوى تطبيق إجراءات السلامة وإدارة المخاطر، وتوافر أدوات تقييم المخاطر والإنذار المبكر وخطط الطوارئ) على سلامة الإنسان والبيئة واستمرارية المرافق الاقتصادية والخدمية في عدد من الحالات العالمية، مثل انفجار مرفأ بيروت 2020، وحوادث تولوز، وميهاليشتي، وتكساس، وتيانجين، وباتا</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lang w:bidi="ar-EG"/>
        </w:rPr>
        <w:t>،</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 xml:space="preserve">واستخدمت الدراسة المنهج الوصفي التحليلي مع منهج دراسة الحالة المقارنة  </w:t>
      </w:r>
      <w:r w:rsidRPr="007A1717">
        <w:rPr>
          <w:rFonts w:ascii="Sakkal Majalla" w:hAnsi="Sakkal Majalla" w:cs="Sakkal Majalla"/>
          <w:color w:val="000000" w:themeColor="text1"/>
          <w:sz w:val="28"/>
          <w:szCs w:val="28"/>
        </w:rPr>
        <w:t>.</w:t>
      </w:r>
    </w:p>
    <w:p w14:paraId="20A77853" w14:textId="05EEA732" w:rsidR="00956AAB" w:rsidRPr="007A1717" w:rsidRDefault="005B13C1"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وتوصلت النتائج إلى أن الحوادث الصناعية الكبرى ما زالت تُحدث خسائر بشرية جسيمة (وفيات وإصابات وتشريد للسكان) وأضرارًا واسعة بالبنى التحتية الحرجة والمنشآت الصحية والمرافق التجارية والسكنية، وأن عوامل الخطر الرئيسة تتمثل في سوء تخزين المواد عالية الخطورة مثل نترات الأمونيوم، وضعف تطبيق المعايير والتشريعات المنظمة، وقصور الرقابة، ووجود تلك المنشآت داخل أو بمحاذاة مناطق عمرانية كثيفة من دون تخطيط مكاني سليم للمخاطر. كما بينت الدراسة أن أدوات تقييم المخاطر والآليات المتاحة دوليًا للوقاية من الحوادث الصناعية لا تُستثمر بالقدر الكافي في كثير من الدول،  وانتهت الدراسة إلى عدد من التوصيات من أهمها: إلزام المنشآت الصناعية التي تتعامل مع مواد شديدة الخطورة بتطبيق أنظمة صارمة لتقييم وإدارة المخاطر، واعتماد تخطيط عمراني يراعي مخاطر الحوادث الصناعية، وتعزيز الأطر التشريعية والرقابية، وتطوير خطط طوارئ واستجابة متكاملة على المستوى الوطني والمحلي، مع رفع مستوى الوعي المؤسسي والمجتمعي بطبيعة تلك المخاطر وسبل الحد من آثارها</w:t>
      </w:r>
      <w:r w:rsidR="000A4D31" w:rsidRPr="007A1717">
        <w:rPr>
          <w:rFonts w:ascii="Sakkal Majalla" w:hAnsi="Sakkal Majalla" w:cs="Sakkal Majalla"/>
          <w:color w:val="000000" w:themeColor="text1"/>
          <w:sz w:val="28"/>
          <w:szCs w:val="28"/>
        </w:rPr>
        <w:t>.</w:t>
      </w:r>
    </w:p>
    <w:p w14:paraId="60ECD3D1" w14:textId="65950D29" w:rsidR="00E43AF3" w:rsidRPr="007A1717" w:rsidRDefault="00E43AF3" w:rsidP="00E43AF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69790501"/>
      <w:bookmarkStart w:id="16" w:name="_Toc223307776"/>
      <w:bookmarkEnd w:id="13"/>
      <w:r w:rsidRPr="007A1717">
        <w:rPr>
          <w:rFonts w:ascii="Sakkal Majalla" w:hAnsi="Sakkal Majalla" w:cs="Sakkal Majalla"/>
          <w:b/>
          <w:bCs/>
          <w:color w:val="000000" w:themeColor="text1"/>
          <w:sz w:val="36"/>
          <w:szCs w:val="36"/>
          <w:rtl/>
        </w:rPr>
        <w:t>8.1 الفجوة البحثية:</w:t>
      </w:r>
      <w:bookmarkEnd w:id="16"/>
    </w:p>
    <w:p w14:paraId="60E61836" w14:textId="4AA84055" w:rsidR="005C26B3" w:rsidRPr="007A1717" w:rsidRDefault="005C26B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 xml:space="preserve">تتفق الدراسات السابقة على مركزية الإنذار المبكر في تقليل الخسائر، لكنها تظل عامة أو متعددة الأخطار ولا تختبر فعاليته تشغيليًا داخل بيئات صناعية خليجية ، و تختلف دراستك بتركيزها الميداني على المدن الصناعية السعودية وبناء مؤشرات أداء تشغيلية تقيس الأثر مباشرة على خسائر الحوادث الصناعية. (السعدى، 2024؛ </w:t>
      </w:r>
      <w:r w:rsidRPr="007A1717">
        <w:rPr>
          <w:rFonts w:ascii="Sakkal Majalla" w:hAnsi="Sakkal Majalla" w:cs="Sakkal Majalla"/>
          <w:color w:val="000000" w:themeColor="text1"/>
          <w:sz w:val="28"/>
          <w:szCs w:val="28"/>
        </w:rPr>
        <w:t>Executive Summary, 2023</w:t>
      </w:r>
      <w:r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Pr>
        <w:t>Tin et al., 2023</w:t>
      </w:r>
      <w:r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Pr>
        <w:t>Foreword, 2024</w:t>
      </w:r>
      <w:r w:rsidRPr="007A1717">
        <w:rPr>
          <w:rFonts w:ascii="Sakkal Majalla" w:hAnsi="Sakkal Majalla" w:cs="Sakkal Majalla"/>
          <w:color w:val="000000" w:themeColor="text1"/>
          <w:sz w:val="28"/>
          <w:szCs w:val="28"/>
          <w:rtl/>
        </w:rPr>
        <w:t>)</w:t>
      </w:r>
    </w:p>
    <w:p w14:paraId="6CD79D08" w14:textId="56C71553" w:rsidR="005C26B3" w:rsidRPr="007A1717" w:rsidRDefault="005C26B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 xml:space="preserve">تُبرز الأدبيات أهمية السلسلة المتكاملة من الرصد إلى الاستجابة، لكن حلقة الربط الإلزامي بين الإشعار وإجراء التدخل تبقى الأضعف قياسًا ، و تسد دراستك هذه الفجوة عبر تتبّع زمني دقيق لمقاييس </w:t>
      </w:r>
      <w:r w:rsidRPr="007A1717">
        <w:rPr>
          <w:rFonts w:ascii="Sakkal Majalla" w:hAnsi="Sakkal Majalla" w:cs="Sakkal Majalla"/>
          <w:color w:val="000000" w:themeColor="text1"/>
          <w:sz w:val="28"/>
          <w:szCs w:val="28"/>
          <w:rtl/>
        </w:rPr>
        <w:lastRenderedPageBreak/>
        <w:t>التوقيت والامتثال وربطها بمخرجات الخسائر الفعلية في المنشآت. (</w:t>
      </w:r>
      <w:r w:rsidRPr="007A1717">
        <w:rPr>
          <w:rFonts w:ascii="Sakkal Majalla" w:hAnsi="Sakkal Majalla" w:cs="Sakkal Majalla"/>
          <w:color w:val="000000" w:themeColor="text1"/>
          <w:sz w:val="28"/>
          <w:szCs w:val="28"/>
        </w:rPr>
        <w:t>Meckawy et al., 2022</w:t>
      </w:r>
      <w:r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Pr>
        <w:t>Sugawara, 2019</w:t>
      </w:r>
      <w:r w:rsidRPr="007A1717">
        <w:rPr>
          <w:rFonts w:ascii="Sakkal Majalla" w:hAnsi="Sakkal Majalla" w:cs="Sakkal Majalla"/>
          <w:color w:val="000000" w:themeColor="text1"/>
          <w:sz w:val="28"/>
          <w:szCs w:val="28"/>
          <w:rtl/>
        </w:rPr>
        <w:t xml:space="preserve">؛ سليمان، 2024؛ </w:t>
      </w:r>
      <w:r w:rsidRPr="007A1717">
        <w:rPr>
          <w:rFonts w:ascii="Sakkal Majalla" w:hAnsi="Sakkal Majalla" w:cs="Sakkal Majalla"/>
          <w:color w:val="000000" w:themeColor="text1"/>
          <w:sz w:val="28"/>
          <w:szCs w:val="28"/>
        </w:rPr>
        <w:t>Lahmood &amp; Mutlak, 2024</w:t>
      </w:r>
      <w:r w:rsidRPr="007A1717">
        <w:rPr>
          <w:rFonts w:ascii="Sakkal Majalla" w:hAnsi="Sakkal Majalla" w:cs="Sakkal Majalla"/>
          <w:color w:val="000000" w:themeColor="text1"/>
          <w:sz w:val="28"/>
          <w:szCs w:val="28"/>
          <w:rtl/>
        </w:rPr>
        <w:t>)</w:t>
      </w:r>
    </w:p>
    <w:p w14:paraId="4FE2683B" w14:textId="22156830" w:rsidR="005C26B3" w:rsidRPr="007A1717" w:rsidRDefault="005C26B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تشير المراجعات إلى قيمة النظم المركّبة وتوحيد النماذج والتحديث اليومي، إلا أن تطبيق هذه المبادئ على بيانات صناعية حساسة عبر مدن متعددة غير موثق ، وتضيف دراستك اختبارًا لتكامل البيانات بين حساسات السلامة، وسجلات الطوارئ، وقنوات الاتصال التحذيري ضمن معايير موحّدة قابلة للتكرار. (</w:t>
      </w:r>
      <w:r w:rsidRPr="007A1717">
        <w:rPr>
          <w:rFonts w:ascii="Sakkal Majalla" w:hAnsi="Sakkal Majalla" w:cs="Sakkal Majalla"/>
          <w:color w:val="000000" w:themeColor="text1"/>
          <w:sz w:val="28"/>
          <w:szCs w:val="28"/>
        </w:rPr>
        <w:t>Meckawy et al., 2022</w:t>
      </w:r>
      <w:r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Pr>
        <w:t>Executive Summary, 2023</w:t>
      </w:r>
      <w:r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Pr>
        <w:t>Tin et al., 2023</w:t>
      </w:r>
      <w:r w:rsidRPr="007A1717">
        <w:rPr>
          <w:rFonts w:ascii="Sakkal Majalla" w:hAnsi="Sakkal Majalla" w:cs="Sakkal Majalla"/>
          <w:color w:val="000000" w:themeColor="text1"/>
          <w:sz w:val="28"/>
          <w:szCs w:val="28"/>
          <w:rtl/>
        </w:rPr>
        <w:t>)</w:t>
      </w:r>
    </w:p>
    <w:p w14:paraId="23E3CBEB" w14:textId="77777777" w:rsidR="005C26B3" w:rsidRPr="007A1717" w:rsidRDefault="005C26B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تؤكد دراسات النزاعات والفيضانات محورية الإنسان والثقة المجتمعية، بينما تغيب المقاربة الإنسانية في السياق الصناعي الذي تحكمه تشريعات وتخطيط مكاني وتخزين مواد خطرة. تدمج دراستك البعدين معًا عبر قياس التدريب والتمارين والاتصال المفهوم للعاملين، ومطابقة ذلك مع متطلبات الحوكمة الصناعية والتخطيط الحضري. (</w:t>
      </w:r>
      <w:r w:rsidRPr="007A1717">
        <w:rPr>
          <w:rFonts w:ascii="Sakkal Majalla" w:hAnsi="Sakkal Majalla" w:cs="Sakkal Majalla"/>
          <w:color w:val="000000" w:themeColor="text1"/>
          <w:sz w:val="28"/>
          <w:szCs w:val="28"/>
        </w:rPr>
        <w:t>Ringo et al., 2024</w:t>
      </w:r>
      <w:r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Pr>
        <w:t>Sugawara, 2019</w:t>
      </w:r>
      <w:r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Pr>
        <w:t>Executive Summary, 2023</w:t>
      </w:r>
      <w:r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Pr>
        <w:t>Foreword, 2024</w:t>
      </w:r>
      <w:r w:rsidRPr="007A1717">
        <w:rPr>
          <w:rFonts w:ascii="Sakkal Majalla" w:hAnsi="Sakkal Majalla" w:cs="Sakkal Majalla"/>
          <w:color w:val="000000" w:themeColor="text1"/>
          <w:sz w:val="28"/>
          <w:szCs w:val="28"/>
          <w:rtl/>
        </w:rPr>
        <w:t>)</w:t>
      </w:r>
    </w:p>
    <w:p w14:paraId="444C81C2" w14:textId="77777777" w:rsidR="005C26B3" w:rsidRPr="007A1717" w:rsidRDefault="005C26B3"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تُظهِر الأدبيات أثر الكوارث الصناعية على جودة الحياة، لكنها لا تختبر دور الإنذار المبكر في تقليص الأثر طويل الأمد أو تقدم نمذجة سببية صريحة. تقدّم دراستك تقديرًا سببيًا قبل/بعد وبفروق في الفروق لقياس مردود الإنذار على التعطل التشغيلي والبيئة وجودة الحياة، ما يحوّل التوصيات العامة إلى أدلة قابلة للتنفيذ. (</w:t>
      </w:r>
      <w:r w:rsidRPr="007A1717">
        <w:rPr>
          <w:rFonts w:ascii="Sakkal Majalla" w:hAnsi="Sakkal Majalla" w:cs="Sakkal Majalla"/>
          <w:color w:val="000000" w:themeColor="text1"/>
          <w:sz w:val="28"/>
          <w:szCs w:val="28"/>
        </w:rPr>
        <w:t>Kamdina et al., 2021</w:t>
      </w:r>
      <w:r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Pr>
        <w:t>Tin et al., 2023</w:t>
      </w:r>
      <w:r w:rsidRPr="007A1717">
        <w:rPr>
          <w:rFonts w:ascii="Sakkal Majalla" w:hAnsi="Sakkal Majalla" w:cs="Sakkal Majalla"/>
          <w:color w:val="000000" w:themeColor="text1"/>
          <w:sz w:val="28"/>
          <w:szCs w:val="28"/>
          <w:rtl/>
        </w:rPr>
        <w:t xml:space="preserve">؛ </w:t>
      </w:r>
      <w:r w:rsidRPr="007A1717">
        <w:rPr>
          <w:rFonts w:ascii="Sakkal Majalla" w:hAnsi="Sakkal Majalla" w:cs="Sakkal Majalla"/>
          <w:color w:val="000000" w:themeColor="text1"/>
          <w:sz w:val="28"/>
          <w:szCs w:val="28"/>
        </w:rPr>
        <w:t>Foreword, 2024</w:t>
      </w:r>
      <w:r w:rsidRPr="007A1717">
        <w:rPr>
          <w:rFonts w:ascii="Sakkal Majalla" w:hAnsi="Sakkal Majalla" w:cs="Sakkal Majalla"/>
          <w:color w:val="000000" w:themeColor="text1"/>
          <w:sz w:val="28"/>
          <w:szCs w:val="28"/>
          <w:rtl/>
        </w:rPr>
        <w:t xml:space="preserve">) </w:t>
      </w:r>
    </w:p>
    <w:p w14:paraId="69FA150D" w14:textId="134A3E28" w:rsidR="00E43AF3" w:rsidRPr="007A1717" w:rsidRDefault="00E43AF3" w:rsidP="00E43AF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69790502"/>
      <w:bookmarkStart w:id="18" w:name="_Toc223307777"/>
      <w:bookmarkEnd w:id="15"/>
      <w:r w:rsidRPr="007A1717">
        <w:rPr>
          <w:rFonts w:ascii="Sakkal Majalla" w:hAnsi="Sakkal Majalla" w:cs="Sakkal Majalla"/>
          <w:b/>
          <w:bCs/>
          <w:color w:val="000000" w:themeColor="text1"/>
          <w:sz w:val="36"/>
          <w:szCs w:val="36"/>
          <w:rtl/>
        </w:rPr>
        <w:t>9.1 المنطلقات النظرية للدراسة:</w:t>
      </w:r>
      <w:bookmarkEnd w:id="18"/>
    </w:p>
    <w:p w14:paraId="016B7ECB" w14:textId="77777777" w:rsidR="004772A9" w:rsidRPr="007A1717" w:rsidRDefault="004772A9" w:rsidP="00A12B57">
      <w:pPr>
        <w:spacing w:before="100" w:beforeAutospacing="1" w:after="100" w:afterAutospacing="1" w:line="360" w:lineRule="auto"/>
        <w:jc w:val="both"/>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t>أولًا: مفهوم أنظمة الإنذار المبكر</w:t>
      </w:r>
    </w:p>
    <w:p w14:paraId="13EBF350" w14:textId="7E9D7DA3" w:rsidR="004772A9" w:rsidRPr="007A1717" w:rsidRDefault="004772A9"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تُعد أنظمة الإنذار المبكر مجموعة من القدرات المؤسسية والتقنية تهدف إلى إصدار تحذيرات مسبقة بشأن أخطار محتملة أو وشيكة، بما يسمح للأفراد والمجتمعات باتخاذ التدابير اللازمة للتقليل من الأضرار. تتكوّن هذه الأنظمة عادة من أربع مكونات رئيسية: الرصد والتحليل، إيصال الإنذار، الاستجابة، </w:t>
      </w:r>
      <w:r w:rsidRPr="007A1717">
        <w:rPr>
          <w:rFonts w:ascii="Sakkal Majalla" w:hAnsi="Sakkal Majalla" w:cs="Sakkal Majalla"/>
          <w:color w:val="000000" w:themeColor="text1"/>
          <w:sz w:val="28"/>
          <w:szCs w:val="28"/>
          <w:rtl/>
        </w:rPr>
        <w:lastRenderedPageBreak/>
        <w:t xml:space="preserve">والتقييم، وتكمن أهميتها في أنها تساهم في حماية الأرواح، والتقليل من الأضرار الاقتصادية والاجتماعية والبشرية، خصوصًا في المناطق الصناعية المعرّضة للمخاطر المعقدة والمتداخلة. وقد أشارت دراسة </w:t>
      </w:r>
      <w:r w:rsidRPr="007A1717">
        <w:rPr>
          <w:rFonts w:ascii="Sakkal Majalla" w:hAnsi="Sakkal Majalla" w:cs="Sakkal Majalla"/>
          <w:color w:val="000000" w:themeColor="text1"/>
          <w:sz w:val="28"/>
          <w:szCs w:val="28"/>
        </w:rPr>
        <w:t>Executive Summary</w:t>
      </w:r>
      <w:r w:rsidRPr="007A1717">
        <w:rPr>
          <w:rFonts w:ascii="Sakkal Majalla" w:hAnsi="Sakkal Majalla" w:cs="Sakkal Majalla"/>
          <w:color w:val="000000" w:themeColor="text1"/>
          <w:sz w:val="28"/>
          <w:szCs w:val="28"/>
          <w:rtl/>
        </w:rPr>
        <w:t xml:space="preserve"> (2023) إلى أن النظام الفعّال يجب أن يكون "متعدد الأخطار، ومتكاملًا من المصدر إلى المتلقي، ويركز على الإنسان، وقابلًا للوصول للجميع"، ما يجعل الإنذار المبكر عنصرًا حاسمًا في إدارة الكوارث.</w:t>
      </w:r>
    </w:p>
    <w:p w14:paraId="40836A93" w14:textId="77777777" w:rsidR="004772A9" w:rsidRPr="007A1717" w:rsidRDefault="004772A9" w:rsidP="00A12B57">
      <w:pPr>
        <w:spacing w:before="100" w:beforeAutospacing="1" w:after="100" w:afterAutospacing="1" w:line="360" w:lineRule="auto"/>
        <w:jc w:val="both"/>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t>ثانيًا: الكوارث الصناعية وخصائصها</w:t>
      </w:r>
    </w:p>
    <w:p w14:paraId="0C9C6006" w14:textId="02324E7E" w:rsidR="004772A9" w:rsidRPr="007A1717" w:rsidRDefault="004772A9"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الكوارث الصناعية تنشأ غالبًا عن الإهمال أو الخطأ البشري أو ضعف في أنظمة السلامة أو التخزين الخاطئ للمواد الخطرة، وقد تكون آثارها مدمرة وتتراوح بين الانفجارات والحرائق والتسربات الكيميائية والإشعاعية، وتُعد البيئات الصناعية بيئات عالية الخطورة تتطلب استعدادًا متقدمًا، خصوصًا مع تزايد الأنشطة الصناعية وتوسع المدن الصناعية في المملكة. وقد بينت دراسة </w:t>
      </w:r>
      <w:r w:rsidRPr="007A1717">
        <w:rPr>
          <w:rFonts w:ascii="Sakkal Majalla" w:hAnsi="Sakkal Majalla" w:cs="Sakkal Majalla"/>
          <w:color w:val="000000" w:themeColor="text1"/>
          <w:sz w:val="28"/>
          <w:szCs w:val="28"/>
        </w:rPr>
        <w:t>Tin et al</w:t>
      </w:r>
      <w:r w:rsidRPr="007A1717">
        <w:rPr>
          <w:rFonts w:ascii="Sakkal Majalla" w:hAnsi="Sakkal Majalla" w:cs="Sakkal Majalla"/>
          <w:color w:val="000000" w:themeColor="text1"/>
          <w:sz w:val="28"/>
          <w:szCs w:val="28"/>
          <w:rtl/>
        </w:rPr>
        <w:t>. (2023) أن هناك أكثر من 1000 كارثة صناعية سجلت عالميًا بين 1995 و2021، تسببت في عشرات الآلاف من الوفيات والإصابات، ما يبرز حجم المخاطر وأهمية الاستعداد المسبق.</w:t>
      </w:r>
    </w:p>
    <w:p w14:paraId="6D517541" w14:textId="77777777" w:rsidR="004772A9" w:rsidRPr="007A1717" w:rsidRDefault="004772A9" w:rsidP="00A12B57">
      <w:pPr>
        <w:spacing w:before="100" w:beforeAutospacing="1" w:after="100" w:afterAutospacing="1" w:line="360" w:lineRule="auto"/>
        <w:jc w:val="both"/>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t>ثالثًا: العلاقة بين أنظمة الإنذار المبكر والكوارث الصناعية</w:t>
      </w:r>
    </w:p>
    <w:p w14:paraId="690C2317" w14:textId="77777777" w:rsidR="004772A9" w:rsidRPr="007A1717" w:rsidRDefault="004772A9"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ترتبط فعالية أنظمة الإنذار المبكر في البيئات الصناعية بقدرتها على اكتشاف الخطر مبكرًا، وتحليل المؤشرات التقنية والبيئية، ثم نقل التحذيرات للجهات المختصة والمجتمعات الصناعية، ما يسمح بتفعيل خطط الإخلاء أو السيطرة قبل تحول الخطر إلى كارثة. لكن ما تزال بعض البيئات الصناعية تعاني من ضعف في هذا الرابط. وقد أبرزت دراسة </w:t>
      </w:r>
      <w:r w:rsidRPr="007A1717">
        <w:rPr>
          <w:rFonts w:ascii="Sakkal Majalla" w:hAnsi="Sakkal Majalla" w:cs="Sakkal Majalla"/>
          <w:color w:val="000000" w:themeColor="text1"/>
          <w:sz w:val="28"/>
          <w:szCs w:val="28"/>
        </w:rPr>
        <w:t>Foreword</w:t>
      </w:r>
      <w:r w:rsidRPr="007A1717">
        <w:rPr>
          <w:rFonts w:ascii="Sakkal Majalla" w:hAnsi="Sakkal Majalla" w:cs="Sakkal Majalla"/>
          <w:color w:val="000000" w:themeColor="text1"/>
          <w:sz w:val="28"/>
          <w:szCs w:val="28"/>
          <w:rtl/>
        </w:rPr>
        <w:t xml:space="preserve"> (2024) أن العديد من الحوادث الكبرى مثل انفجار مرفأ بيروت كان من الممكن تفاديها أو التقليل من خسائرها لو توفرت أنظمة تقييم وإنذار فعالة.</w:t>
      </w:r>
    </w:p>
    <w:p w14:paraId="6BFF004B" w14:textId="01C6867A" w:rsidR="004772A9" w:rsidRPr="007A1717" w:rsidRDefault="00E43AF3" w:rsidP="00E43AF3">
      <w:pPr>
        <w:spacing w:before="100" w:beforeAutospacing="1" w:after="100" w:afterAutospacing="1"/>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br w:type="page"/>
      </w:r>
      <w:r w:rsidR="004772A9" w:rsidRPr="007A1717">
        <w:rPr>
          <w:rFonts w:ascii="Sakkal Majalla" w:hAnsi="Sakkal Majalla" w:cs="Sakkal Majalla"/>
          <w:b/>
          <w:bCs/>
          <w:color w:val="000000" w:themeColor="text1"/>
          <w:sz w:val="32"/>
          <w:szCs w:val="32"/>
          <w:rtl/>
        </w:rPr>
        <w:lastRenderedPageBreak/>
        <w:t>رابعًا: مكونات فعالية النظام في السياق الصناعي</w:t>
      </w:r>
    </w:p>
    <w:p w14:paraId="30BB3C8D" w14:textId="77777777" w:rsidR="004772A9" w:rsidRPr="007A1717" w:rsidRDefault="004772A9" w:rsidP="00A12B57">
      <w:pPr>
        <w:spacing w:before="100" w:beforeAutospacing="1" w:after="100" w:afterAutospacing="1" w:line="360" w:lineRule="auto"/>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تشمل الفعالية في هذا السياق أربعة أبعاد رئيسية:</w:t>
      </w:r>
    </w:p>
    <w:p w14:paraId="1A0EB814" w14:textId="77777777" w:rsidR="004772A9" w:rsidRPr="007A1717" w:rsidRDefault="004772A9" w:rsidP="00E43AF3">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القدرة المؤسسية والتنظيمية: وجود تشريعات واضحة، وهيئات إشراف فعالة.</w:t>
      </w:r>
    </w:p>
    <w:p w14:paraId="41B89C5A" w14:textId="77777777" w:rsidR="004772A9" w:rsidRPr="007A1717" w:rsidRDefault="004772A9" w:rsidP="00E43AF3">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الرصد والتحليل: توافر أجهزة استشعار وأنظمة مراقبة دقيقة.</w:t>
      </w:r>
    </w:p>
    <w:p w14:paraId="6252EE4D" w14:textId="77777777" w:rsidR="004772A9" w:rsidRPr="007A1717" w:rsidRDefault="004772A9" w:rsidP="00E43AF3">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سرعة التواصل والإنذار: نظم اتصال متقدمة لإيصال الرسائل.</w:t>
      </w:r>
    </w:p>
    <w:p w14:paraId="228CF65D" w14:textId="77777777" w:rsidR="004772A9" w:rsidRPr="007A1717" w:rsidRDefault="004772A9" w:rsidP="00E43AF3">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آليات الاستجابة: جاهزية الأفراد والمؤسسات لاستيعاب الإنذار والتصرف فورًا.</w:t>
      </w:r>
    </w:p>
    <w:p w14:paraId="14D400F7" w14:textId="77777777" w:rsidR="004772A9" w:rsidRPr="007A1717" w:rsidRDefault="004772A9"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أوضحت دراسة السعدي (2024) أن أحد عناصر الفعالية يتمثل في بناء قدرات الرصد والتنبؤ وتدفق المعلومات بين المستويات المختلفة، إلى جانب تطوير الشراكات وبناء الثقة المجتمعية، ودمج هذه الأنظمة ضمن استراتيجيات التنمية.</w:t>
      </w:r>
    </w:p>
    <w:p w14:paraId="3C1B59EB" w14:textId="77777777" w:rsidR="004772A9" w:rsidRPr="007A1717" w:rsidRDefault="004772A9" w:rsidP="00A12B57">
      <w:pPr>
        <w:spacing w:before="100" w:beforeAutospacing="1" w:after="100" w:afterAutospacing="1" w:line="360" w:lineRule="auto"/>
        <w:jc w:val="both"/>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t>خامسًا: التحديات التي تواجه أنظمة الإنذار المبكر الصناعية</w:t>
      </w:r>
    </w:p>
    <w:p w14:paraId="0055591A" w14:textId="77777777" w:rsidR="004772A9" w:rsidRPr="007A1717" w:rsidRDefault="004772A9" w:rsidP="00A12B57">
      <w:pPr>
        <w:spacing w:before="100" w:beforeAutospacing="1" w:after="100" w:afterAutospacing="1" w:line="360" w:lineRule="auto"/>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رغم توفر التكنولوجيا، إلا أن هناك تحديات عديدة، منها:</w:t>
      </w:r>
    </w:p>
    <w:p w14:paraId="6547EDEB" w14:textId="77777777" w:rsidR="004772A9" w:rsidRPr="007A1717" w:rsidRDefault="004772A9" w:rsidP="00E43AF3">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ضعف الربط بين الإنذار وصانع القرار.</w:t>
      </w:r>
    </w:p>
    <w:p w14:paraId="137F4869" w14:textId="77777777" w:rsidR="004772A9" w:rsidRPr="007A1717" w:rsidRDefault="004772A9" w:rsidP="00E43AF3">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تسييس بعض آليات الاستجابة أو غياب الإرادة السياسية.</w:t>
      </w:r>
    </w:p>
    <w:p w14:paraId="1509A58F" w14:textId="77777777" w:rsidR="004772A9" w:rsidRPr="007A1717" w:rsidRDefault="004772A9" w:rsidP="00E43AF3">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عدم مواءمة الإنذار لطبيعة المخاطر المتعددة في المدن الصناعية.</w:t>
      </w:r>
    </w:p>
    <w:p w14:paraId="2E212861" w14:textId="77777777" w:rsidR="004772A9" w:rsidRPr="007A1717" w:rsidRDefault="004772A9" w:rsidP="00E43AF3">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ضعف قدرة بعض المؤسسات المحلية على الاستجابة.</w:t>
      </w:r>
    </w:p>
    <w:p w14:paraId="4916EB60" w14:textId="77777777" w:rsidR="004772A9" w:rsidRPr="007A1717" w:rsidRDefault="004772A9"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وقد بيّنت دراسة سليمان (2024) أن فاعلية الإنذار تتأثر بعدم ربطه بآليات استجابة واضحة، إلى جانب قصور قواعد البيانات، وغياب التنسيق المؤسسي.</w:t>
      </w:r>
    </w:p>
    <w:p w14:paraId="25668B24" w14:textId="02E54408" w:rsidR="004772A9" w:rsidRPr="007A1717" w:rsidRDefault="00E43AF3" w:rsidP="00E43AF3">
      <w:pPr>
        <w:spacing w:before="100" w:beforeAutospacing="1" w:after="100" w:afterAutospacing="1"/>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br w:type="page"/>
      </w:r>
      <w:r w:rsidR="004772A9" w:rsidRPr="007A1717">
        <w:rPr>
          <w:rFonts w:ascii="Sakkal Majalla" w:hAnsi="Sakkal Majalla" w:cs="Sakkal Majalla"/>
          <w:b/>
          <w:bCs/>
          <w:color w:val="000000" w:themeColor="text1"/>
          <w:sz w:val="32"/>
          <w:szCs w:val="32"/>
          <w:rtl/>
        </w:rPr>
        <w:lastRenderedPageBreak/>
        <w:t>سادسًا: أهمية السياق المحلي في تصميم أنظمة الإنذار</w:t>
      </w:r>
    </w:p>
    <w:p w14:paraId="69F4B3CD" w14:textId="7DFE81D1" w:rsidR="004772A9" w:rsidRPr="007A1717" w:rsidRDefault="004772A9"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كل نظام إنذار يجب أن يُصمم وفقًا للبيئة التي يُطبق فيها. فالمدن الصناعية في المملكة العربية السعودية، مثل الجبيل وينبع ورابغ، تتميز بتركيبة صناعية كثيفة، ووجود منشآت تتعامل مع مواد شديدة الخطورة، ما يفرض ضرورة تطوير أنظمة إنذار تلائم هذا التعقيد وتُراعي السياق الثقافي والتنظيمي المحلي، وقد أظهرت دراسة </w:t>
      </w:r>
      <w:r w:rsidRPr="007A1717">
        <w:rPr>
          <w:rFonts w:ascii="Sakkal Majalla" w:hAnsi="Sakkal Majalla" w:cs="Sakkal Majalla"/>
          <w:color w:val="000000" w:themeColor="text1"/>
          <w:sz w:val="28"/>
          <w:szCs w:val="28"/>
        </w:rPr>
        <w:t>Lahmood &amp; Mutlak</w:t>
      </w:r>
      <w:r w:rsidRPr="007A1717">
        <w:rPr>
          <w:rFonts w:ascii="Sakkal Majalla" w:hAnsi="Sakkal Majalla" w:cs="Sakkal Majalla"/>
          <w:color w:val="000000" w:themeColor="text1"/>
          <w:sz w:val="28"/>
          <w:szCs w:val="28"/>
          <w:rtl/>
        </w:rPr>
        <w:t xml:space="preserve"> (2024) أن ضعف التكامل بين قدرات الرصد وسرعة إيصال الإنذار والجاهزية المؤسسية يؤدي إلى تضاعف الأضرار، مما يفرض تطوير بروتوكولات واضحة لربط الإنذار بالإجراءات الميدانية الفورية.</w:t>
      </w:r>
    </w:p>
    <w:p w14:paraId="59675225" w14:textId="77777777" w:rsidR="004772A9" w:rsidRPr="007A1717" w:rsidRDefault="004772A9" w:rsidP="00E43AF3">
      <w:pPr>
        <w:spacing w:before="100" w:beforeAutospacing="1" w:after="100" w:afterAutospacing="1" w:line="360" w:lineRule="auto"/>
        <w:jc w:val="both"/>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t>سابعًا: البعد الإنساني في فاعلية الأنظمة</w:t>
      </w:r>
    </w:p>
    <w:p w14:paraId="6BC73DF7" w14:textId="77777777" w:rsidR="004772A9" w:rsidRPr="007A1717" w:rsidRDefault="004772A9"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لا تقتصر فعالية أنظمة الإنذار المبكر على الجوانب التقنية فحسب، بل تشمل الثقة المجتمعية بالنظام، ودرجة وعي العاملين بالمصانع والمجتمعات المحيطة، ومدى إدماجهم في بناء النظام، وهو ما بيّنته دراسة </w:t>
      </w:r>
      <w:r w:rsidRPr="007A1717">
        <w:rPr>
          <w:rFonts w:ascii="Sakkal Majalla" w:hAnsi="Sakkal Majalla" w:cs="Sakkal Majalla"/>
          <w:color w:val="000000" w:themeColor="text1"/>
          <w:sz w:val="28"/>
          <w:szCs w:val="28"/>
        </w:rPr>
        <w:t>Fajrillah et al</w:t>
      </w:r>
      <w:r w:rsidRPr="007A1717">
        <w:rPr>
          <w:rFonts w:ascii="Sakkal Majalla" w:hAnsi="Sakkal Majalla" w:cs="Sakkal Majalla"/>
          <w:color w:val="000000" w:themeColor="text1"/>
          <w:sz w:val="28"/>
          <w:szCs w:val="28"/>
          <w:rtl/>
        </w:rPr>
        <w:t>. (2024)، حيث أشارت إلى أن استدامة وفاعلية الأنظمة في البيئات الريفية والصناعية تعتمد على الجمع بين المعرفة التقنية والعلمية، والمعرفة المحلية والخبرة الميدانية.</w:t>
      </w:r>
    </w:p>
    <w:p w14:paraId="1FC1E721" w14:textId="77777777" w:rsidR="004772A9" w:rsidRPr="007A1717" w:rsidRDefault="004772A9" w:rsidP="00A12B57">
      <w:pPr>
        <w:spacing w:before="100" w:beforeAutospacing="1" w:after="100" w:afterAutospacing="1" w:line="360" w:lineRule="auto"/>
        <w:jc w:val="both"/>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t>ثامنًا: النماذج العالمية وأثرها في تطوير الأنظمة المحلية</w:t>
      </w:r>
    </w:p>
    <w:p w14:paraId="6E11C870" w14:textId="77777777" w:rsidR="00E43AF3" w:rsidRPr="007A1717" w:rsidRDefault="004772A9"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 xml:space="preserve">قدمت بعض التجارب الدولية نماذج متميزة في تصميم وتنفيذ أنظمة الإنذار المبكر، منها تجارب اليابان وكوريا الجنوبية وألمانيا، حيث يتم دمج الذكاء الاصطناعي، وتحليل البيانات البيئية، وأنظمة التواصل الفوري، وهذه النماذج يمكن الاستفادة منها عند تصميم أو تحديث أنظمة المدن الصناعية في السعودية. وقد أوصت دراسة </w:t>
      </w:r>
      <w:r w:rsidRPr="007A1717">
        <w:rPr>
          <w:rFonts w:ascii="Sakkal Majalla" w:hAnsi="Sakkal Majalla" w:cs="Sakkal Majalla"/>
          <w:color w:val="000000" w:themeColor="text1"/>
          <w:sz w:val="28"/>
          <w:szCs w:val="28"/>
        </w:rPr>
        <w:t>Meckawy et al</w:t>
      </w:r>
      <w:r w:rsidRPr="007A1717">
        <w:rPr>
          <w:rFonts w:ascii="Sakkal Majalla" w:hAnsi="Sakkal Majalla" w:cs="Sakkal Majalla"/>
          <w:color w:val="000000" w:themeColor="text1"/>
          <w:sz w:val="28"/>
          <w:szCs w:val="28"/>
          <w:rtl/>
        </w:rPr>
        <w:t>. (2022) بضرورة دمج مصادر البيانات المتعددة في نظام مركب واحد، وتطوير أدوات الإبلاغ اليومي وربطها بقرارات الاستجابة، خاصة في البيئات المعرضة لكوارث مركبة.</w:t>
      </w:r>
      <w:r w:rsidR="00E43AF3" w:rsidRPr="007A1717">
        <w:rPr>
          <w:rFonts w:ascii="Sakkal Majalla" w:hAnsi="Sakkal Majalla" w:cs="Sakkal Majalla"/>
          <w:color w:val="000000" w:themeColor="text1"/>
          <w:sz w:val="28"/>
          <w:szCs w:val="28"/>
          <w:rtl/>
        </w:rPr>
        <w:t xml:space="preserve"> </w:t>
      </w:r>
    </w:p>
    <w:p w14:paraId="6547AFB2" w14:textId="05B49A08" w:rsidR="00E43AF3" w:rsidRPr="007A1717" w:rsidRDefault="00E43AF3" w:rsidP="00E43AF3">
      <w:pPr>
        <w:spacing w:before="100" w:beforeAutospacing="1" w:after="100" w:afterAutospacing="1"/>
        <w:outlineLvl w:val="1"/>
        <w:rPr>
          <w:rFonts w:ascii="Sakkal Majalla" w:hAnsi="Sakkal Majalla" w:cs="Sakkal Majalla"/>
          <w:b/>
          <w:bCs/>
          <w:color w:val="000000" w:themeColor="text1"/>
          <w:sz w:val="36"/>
          <w:szCs w:val="36"/>
        </w:rPr>
      </w:pPr>
      <w:r w:rsidRPr="007A1717">
        <w:rPr>
          <w:rFonts w:ascii="Sakkal Majalla" w:hAnsi="Sakkal Majalla" w:cs="Sakkal Majalla"/>
          <w:b/>
          <w:bCs/>
          <w:color w:val="000000" w:themeColor="text1"/>
          <w:sz w:val="36"/>
          <w:szCs w:val="36"/>
          <w:rtl/>
        </w:rPr>
        <w:br w:type="page"/>
      </w:r>
      <w:bookmarkStart w:id="19" w:name="_Toc223307778"/>
      <w:r w:rsidRPr="007A1717">
        <w:rPr>
          <w:rFonts w:ascii="Sakkal Majalla" w:hAnsi="Sakkal Majalla" w:cs="Sakkal Majalla"/>
          <w:b/>
          <w:bCs/>
          <w:color w:val="000000" w:themeColor="text1"/>
          <w:sz w:val="36"/>
          <w:szCs w:val="36"/>
          <w:rtl/>
        </w:rPr>
        <w:lastRenderedPageBreak/>
        <w:t>10.1 المنهجية وطرق البحث:</w:t>
      </w:r>
      <w:bookmarkEnd w:id="19"/>
      <w:r w:rsidRPr="007A1717">
        <w:rPr>
          <w:rFonts w:ascii="Sakkal Majalla" w:hAnsi="Sakkal Majalla" w:cs="Sakkal Majalla"/>
          <w:b/>
          <w:bCs/>
          <w:color w:val="000000" w:themeColor="text1"/>
          <w:sz w:val="36"/>
          <w:szCs w:val="36"/>
        </w:rPr>
        <w:t xml:space="preserve"> </w:t>
      </w:r>
    </w:p>
    <w:p w14:paraId="11314D37" w14:textId="77777777" w:rsidR="00141EEE" w:rsidRPr="007A1717" w:rsidRDefault="00141EEE"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0" w:name="_Toc193461959"/>
      <w:bookmarkEnd w:id="17"/>
      <w:r w:rsidRPr="007A1717">
        <w:rPr>
          <w:rFonts w:ascii="Sakkal Majalla" w:eastAsia="Times New Roman" w:hAnsi="Sakkal Majalla" w:cs="Sakkal Majalla"/>
          <w:color w:val="000000" w:themeColor="text1"/>
          <w:kern w:val="0"/>
          <w:sz w:val="28"/>
          <w:szCs w:val="28"/>
          <w:rtl/>
          <w14:ligatures w14:val="none"/>
        </w:rPr>
        <w:t>سوف تعتمد الدراسة على المنهج الوصفي التحليلي، وذلك بهدف توصيف وتحليل واقع أنظمة الإنذار المبكر المعمول بها في المدن الصناعية في المملكة العربية السعودية، وقياس مدى فاعليتها في التقليل من آثار الكوارث الصناعية، مع تفسير العلاقة بين مكونات هذه الأنظمة ونتائجها على أرض الواقع</w:t>
      </w:r>
      <w:r w:rsidRPr="007A1717">
        <w:rPr>
          <w:rFonts w:ascii="Sakkal Majalla" w:eastAsia="Times New Roman" w:hAnsi="Sakkal Majalla" w:cs="Sakkal Majalla"/>
          <w:color w:val="000000" w:themeColor="text1"/>
          <w:kern w:val="0"/>
          <w:sz w:val="28"/>
          <w:szCs w:val="28"/>
          <w14:ligatures w14:val="none"/>
        </w:rPr>
        <w:t>.</w:t>
      </w:r>
    </w:p>
    <w:p w14:paraId="55FBB03A" w14:textId="292FFC1D" w:rsidR="002133A6" w:rsidRPr="007A1717" w:rsidRDefault="00E43AF3" w:rsidP="00A12B57">
      <w:pPr>
        <w:spacing w:before="100" w:beforeAutospacing="1" w:after="100" w:afterAutospacing="1" w:line="360" w:lineRule="auto"/>
        <w:jc w:val="both"/>
        <w:rPr>
          <w:rFonts w:ascii="Sakkal Majalla" w:hAnsi="Sakkal Majalla" w:cs="Sakkal Majalla"/>
          <w:b/>
          <w:bCs/>
          <w:color w:val="000000" w:themeColor="text1"/>
          <w:sz w:val="32"/>
          <w:szCs w:val="32"/>
        </w:rPr>
      </w:pPr>
      <w:r w:rsidRPr="007A1717">
        <w:rPr>
          <w:rFonts w:ascii="Sakkal Majalla" w:hAnsi="Sakkal Majalla" w:cs="Sakkal Majalla" w:hint="cs"/>
          <w:b/>
          <w:bCs/>
          <w:color w:val="000000" w:themeColor="text1"/>
          <w:sz w:val="32"/>
          <w:szCs w:val="32"/>
          <w:rtl/>
        </w:rPr>
        <w:t>أولا:</w:t>
      </w:r>
      <w:r w:rsidR="002133A6" w:rsidRPr="007A1717">
        <w:rPr>
          <w:rFonts w:ascii="Sakkal Majalla" w:hAnsi="Sakkal Majalla" w:cs="Sakkal Majalla"/>
          <w:b/>
          <w:bCs/>
          <w:color w:val="000000" w:themeColor="text1"/>
          <w:sz w:val="32"/>
          <w:szCs w:val="32"/>
          <w:rtl/>
        </w:rPr>
        <w:t xml:space="preserve"> مجتمع الدراسة</w:t>
      </w:r>
    </w:p>
    <w:p w14:paraId="78B9E80F" w14:textId="4B4F9659" w:rsidR="00141EEE" w:rsidRPr="007A1717" w:rsidRDefault="00141EEE" w:rsidP="00E43AF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A1717">
        <w:rPr>
          <w:rFonts w:ascii="Sakkal Majalla" w:eastAsia="Times New Roman" w:hAnsi="Sakkal Majalla" w:cs="Sakkal Majalla"/>
          <w:color w:val="000000" w:themeColor="text1"/>
          <w:kern w:val="0"/>
          <w:sz w:val="28"/>
          <w:szCs w:val="28"/>
          <w:rtl/>
          <w14:ligatures w14:val="none"/>
        </w:rPr>
        <w:t>يتكوّن مجتمع الدراسة من العاملين في</w:t>
      </w:r>
      <w:r w:rsidRPr="007A1717">
        <w:rPr>
          <w:rFonts w:ascii="Sakkal Majalla" w:eastAsia="Times New Roman" w:hAnsi="Sakkal Majalla" w:cs="Sakkal Majalla"/>
          <w:color w:val="000000" w:themeColor="text1"/>
          <w:kern w:val="0"/>
          <w:sz w:val="28"/>
          <w:szCs w:val="28"/>
          <w14:ligatures w14:val="none"/>
        </w:rPr>
        <w:t>:</w:t>
      </w:r>
      <w:r w:rsidR="00D6120A" w:rsidRPr="007A1717">
        <w:rPr>
          <w:rFonts w:ascii="Sakkal Majalla" w:eastAsia="Times New Roman" w:hAnsi="Sakkal Majalla" w:cs="Sakkal Majalla"/>
          <w:color w:val="000000" w:themeColor="text1"/>
          <w:kern w:val="0"/>
          <w:sz w:val="28"/>
          <w:szCs w:val="28"/>
          <w:rtl/>
          <w14:ligatures w14:val="none"/>
        </w:rPr>
        <w:t xml:space="preserve"> </w:t>
      </w:r>
      <w:r w:rsidRPr="007A1717">
        <w:rPr>
          <w:rFonts w:ascii="Sakkal Majalla" w:eastAsia="Times New Roman" w:hAnsi="Sakkal Majalla" w:cs="Sakkal Majalla"/>
          <w:color w:val="000000" w:themeColor="text1"/>
          <w:kern w:val="0"/>
          <w:sz w:val="28"/>
          <w:szCs w:val="28"/>
          <w:rtl/>
          <w14:ligatures w14:val="none"/>
        </w:rPr>
        <w:t>إدارات السلامة والطوارئ والبيئة داخل المصانع الكبرى</w:t>
      </w:r>
      <w:r w:rsidR="00D6120A" w:rsidRPr="007A1717">
        <w:rPr>
          <w:rFonts w:ascii="Sakkal Majalla" w:eastAsia="Times New Roman" w:hAnsi="Sakkal Majalla" w:cs="Sakkal Majalla"/>
          <w:color w:val="000000" w:themeColor="text1"/>
          <w:kern w:val="0"/>
          <w:sz w:val="28"/>
          <w:szCs w:val="28"/>
          <w:rtl/>
          <w14:ligatures w14:val="none"/>
        </w:rPr>
        <w:t>، و</w:t>
      </w:r>
      <w:r w:rsidRPr="007A1717">
        <w:rPr>
          <w:rFonts w:ascii="Sakkal Majalla" w:eastAsia="Times New Roman" w:hAnsi="Sakkal Majalla" w:cs="Sakkal Majalla"/>
          <w:color w:val="000000" w:themeColor="text1"/>
          <w:kern w:val="0"/>
          <w:sz w:val="28"/>
          <w:szCs w:val="28"/>
          <w:rtl/>
          <w14:ligatures w14:val="none"/>
        </w:rPr>
        <w:t>مسؤولي الأمن الصناعي في المدن الصناعية</w:t>
      </w:r>
      <w:r w:rsidR="00D6120A" w:rsidRPr="007A1717">
        <w:rPr>
          <w:rFonts w:ascii="Sakkal Majalla" w:eastAsia="Times New Roman" w:hAnsi="Sakkal Majalla" w:cs="Sakkal Majalla"/>
          <w:color w:val="000000" w:themeColor="text1"/>
          <w:kern w:val="0"/>
          <w:sz w:val="28"/>
          <w:szCs w:val="28"/>
          <w:rtl/>
          <w14:ligatures w14:val="none"/>
        </w:rPr>
        <w:t>، و</w:t>
      </w:r>
      <w:r w:rsidRPr="007A1717">
        <w:rPr>
          <w:rFonts w:ascii="Sakkal Majalla" w:eastAsia="Times New Roman" w:hAnsi="Sakkal Majalla" w:cs="Sakkal Majalla"/>
          <w:color w:val="000000" w:themeColor="text1"/>
          <w:kern w:val="0"/>
          <w:sz w:val="28"/>
          <w:szCs w:val="28"/>
          <w:rtl/>
          <w14:ligatures w14:val="none"/>
        </w:rPr>
        <w:t>ممثلي الجهات الحكومية المعنية مثل الهيئة السعودية للمدن الصناعية ومناطق التقنية (مدن) والدفاع المدني</w:t>
      </w:r>
      <w:r w:rsidRPr="007A1717">
        <w:rPr>
          <w:rFonts w:ascii="Sakkal Majalla" w:eastAsia="Times New Roman" w:hAnsi="Sakkal Majalla" w:cs="Sakkal Majalla"/>
          <w:color w:val="000000" w:themeColor="text1"/>
          <w:kern w:val="0"/>
          <w:sz w:val="28"/>
          <w:szCs w:val="28"/>
          <w14:ligatures w14:val="none"/>
        </w:rPr>
        <w:t>.</w:t>
      </w:r>
    </w:p>
    <w:p w14:paraId="473D17A1" w14:textId="43C713F8" w:rsidR="002133A6" w:rsidRPr="007A1717" w:rsidRDefault="00E43AF3" w:rsidP="00A12B57">
      <w:pPr>
        <w:spacing w:before="100" w:beforeAutospacing="1" w:after="100" w:afterAutospacing="1" w:line="360" w:lineRule="auto"/>
        <w:jc w:val="both"/>
        <w:rPr>
          <w:rFonts w:ascii="Sakkal Majalla" w:hAnsi="Sakkal Majalla" w:cs="Sakkal Majalla"/>
          <w:b/>
          <w:bCs/>
          <w:color w:val="000000" w:themeColor="text1"/>
          <w:sz w:val="32"/>
          <w:szCs w:val="32"/>
        </w:rPr>
      </w:pPr>
      <w:r w:rsidRPr="007A1717">
        <w:rPr>
          <w:rFonts w:ascii="Sakkal Majalla" w:hAnsi="Sakkal Majalla" w:cs="Sakkal Majalla" w:hint="cs"/>
          <w:b/>
          <w:bCs/>
          <w:color w:val="000000" w:themeColor="text1"/>
          <w:sz w:val="32"/>
          <w:szCs w:val="32"/>
          <w:rtl/>
        </w:rPr>
        <w:t>ثانيا</w:t>
      </w:r>
      <w:r w:rsidR="002133A6" w:rsidRPr="007A1717">
        <w:rPr>
          <w:rFonts w:ascii="Sakkal Majalla" w:hAnsi="Sakkal Majalla" w:cs="Sakkal Majalla"/>
          <w:b/>
          <w:bCs/>
          <w:color w:val="000000" w:themeColor="text1"/>
          <w:sz w:val="32"/>
          <w:szCs w:val="32"/>
          <w:rtl/>
        </w:rPr>
        <w:t>: عينة الدراسة</w:t>
      </w:r>
    </w:p>
    <w:p w14:paraId="21058DB6" w14:textId="77777777" w:rsidR="00141EEE" w:rsidRPr="007A1717" w:rsidRDefault="00141EEE"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eastAsia="Times New Roman" w:hAnsi="Sakkal Majalla" w:cs="Sakkal Majalla"/>
          <w:color w:val="000000" w:themeColor="text1"/>
          <w:kern w:val="0"/>
          <w:sz w:val="28"/>
          <w:szCs w:val="28"/>
          <w:rtl/>
          <w14:ligatures w14:val="none"/>
        </w:rPr>
        <w:t>سوف يتم اختيار عينة طبقية عشوائية من العاملين في المدن الصناعية الرئيسة مثل (الجبيل – ينبع – رابغ – سدير)، مع مراعاة تنوع التخصصات والخبرة والقطاعات الصناعية (بتروكيماويات، طاقة، غذائية، دوائية… إلخ)</w:t>
      </w:r>
      <w:r w:rsidRPr="007A1717">
        <w:rPr>
          <w:rFonts w:ascii="Sakkal Majalla" w:eastAsia="Times New Roman" w:hAnsi="Sakkal Majalla" w:cs="Sakkal Majalla"/>
          <w:color w:val="000000" w:themeColor="text1"/>
          <w:kern w:val="0"/>
          <w:sz w:val="28"/>
          <w:szCs w:val="28"/>
          <w14:ligatures w14:val="none"/>
        </w:rPr>
        <w:t>.</w:t>
      </w:r>
    </w:p>
    <w:p w14:paraId="24FE1B8E" w14:textId="36052FAA" w:rsidR="002133A6" w:rsidRPr="007A1717" w:rsidRDefault="00E43AF3" w:rsidP="00A12B57">
      <w:pPr>
        <w:spacing w:before="100" w:beforeAutospacing="1" w:after="100" w:afterAutospacing="1" w:line="360" w:lineRule="auto"/>
        <w:jc w:val="both"/>
        <w:rPr>
          <w:rFonts w:ascii="Sakkal Majalla" w:hAnsi="Sakkal Majalla" w:cs="Sakkal Majalla"/>
          <w:b/>
          <w:bCs/>
          <w:color w:val="000000" w:themeColor="text1"/>
          <w:sz w:val="32"/>
          <w:szCs w:val="32"/>
        </w:rPr>
      </w:pPr>
      <w:r w:rsidRPr="007A1717">
        <w:rPr>
          <w:rFonts w:ascii="Sakkal Majalla" w:hAnsi="Sakkal Majalla" w:cs="Sakkal Majalla" w:hint="cs"/>
          <w:b/>
          <w:bCs/>
          <w:color w:val="000000" w:themeColor="text1"/>
          <w:sz w:val="32"/>
          <w:szCs w:val="32"/>
          <w:rtl/>
        </w:rPr>
        <w:t>ثالثا</w:t>
      </w:r>
      <w:r w:rsidR="002133A6" w:rsidRPr="007A1717">
        <w:rPr>
          <w:rFonts w:ascii="Sakkal Majalla" w:hAnsi="Sakkal Majalla" w:cs="Sakkal Majalla"/>
          <w:b/>
          <w:bCs/>
          <w:color w:val="000000" w:themeColor="text1"/>
          <w:sz w:val="32"/>
          <w:szCs w:val="32"/>
          <w:rtl/>
        </w:rPr>
        <w:t>: أداة الدراسة</w:t>
      </w:r>
    </w:p>
    <w:p w14:paraId="072B7BE8" w14:textId="5E4C47EE" w:rsidR="00CF19B5" w:rsidRPr="007A1717" w:rsidRDefault="00CF19B5"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سوف تقوم الدراسة بتصميم استبانة مغلقة تعتمد على مقياس ليكرت الخماسي، وتتكون من قسمين</w:t>
      </w:r>
      <w:r w:rsidR="00E43AF3" w:rsidRPr="007A1717">
        <w:rPr>
          <w:rFonts w:ascii="Sakkal Majalla" w:hAnsi="Sakkal Majalla" w:cs="Sakkal Majalla"/>
          <w:color w:val="000000" w:themeColor="text1"/>
          <w:sz w:val="28"/>
          <w:szCs w:val="28"/>
        </w:rPr>
        <w:t>:</w:t>
      </w:r>
      <w:r w:rsidR="00E43AF3" w:rsidRPr="007A1717">
        <w:rPr>
          <w:rFonts w:ascii="Sakkal Majalla" w:hAnsi="Sakkal Majalla" w:cs="Sakkal Majalla" w:hint="cs"/>
          <w:color w:val="000000" w:themeColor="text1"/>
          <w:sz w:val="28"/>
          <w:szCs w:val="28"/>
          <w:rtl/>
        </w:rPr>
        <w:t xml:space="preserve"> </w:t>
      </w:r>
      <w:r w:rsidRPr="007A1717">
        <w:rPr>
          <w:rFonts w:ascii="Sakkal Majalla" w:hAnsi="Sakkal Majalla" w:cs="Sakkal Majalla"/>
          <w:color w:val="000000" w:themeColor="text1"/>
          <w:sz w:val="28"/>
          <w:szCs w:val="28"/>
          <w:rtl/>
        </w:rPr>
        <w:t>البيانات الديموغرافية (العمر – الخبرة – الوظيفة – القطاع الصناعي)</w:t>
      </w:r>
      <w:r w:rsidRPr="007A1717">
        <w:rPr>
          <w:rFonts w:ascii="Sakkal Majalla" w:hAnsi="Sakkal Majalla" w:cs="Sakkal Majalla"/>
          <w:color w:val="000000" w:themeColor="text1"/>
          <w:sz w:val="28"/>
          <w:szCs w:val="28"/>
        </w:rPr>
        <w:t>.</w:t>
      </w:r>
    </w:p>
    <w:p w14:paraId="2A3D294E" w14:textId="77777777" w:rsidR="00CF19B5" w:rsidRPr="007A1717" w:rsidRDefault="00CF19B5" w:rsidP="00A12B57">
      <w:pPr>
        <w:spacing w:before="100" w:beforeAutospacing="1" w:after="100" w:afterAutospacing="1" w:line="360" w:lineRule="auto"/>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فقرات تقيس</w:t>
      </w:r>
      <w:r w:rsidRPr="007A1717">
        <w:rPr>
          <w:rFonts w:ascii="Sakkal Majalla" w:hAnsi="Sakkal Majalla" w:cs="Sakkal Majalla"/>
          <w:b/>
          <w:bCs/>
          <w:color w:val="000000" w:themeColor="text1"/>
          <w:sz w:val="28"/>
          <w:szCs w:val="28"/>
        </w:rPr>
        <w:t>:</w:t>
      </w:r>
    </w:p>
    <w:p w14:paraId="07666DC1" w14:textId="77777777" w:rsidR="00CF19B5" w:rsidRPr="007A1717" w:rsidRDefault="00CF19B5" w:rsidP="00E43AF3">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b/>
          <w:bCs/>
          <w:color w:val="000000" w:themeColor="text1"/>
          <w:sz w:val="28"/>
          <w:szCs w:val="28"/>
          <w:rtl/>
        </w:rPr>
        <w:t>المتغير المستقل</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أنظمة الإنذار المبكر، بأبعادها (الإطار المؤسسي – الرصد والتحليل – سرعة الإنذار – فعالية التنسيق)</w:t>
      </w:r>
      <w:r w:rsidRPr="007A1717">
        <w:rPr>
          <w:rFonts w:ascii="Sakkal Majalla" w:hAnsi="Sakkal Majalla" w:cs="Sakkal Majalla"/>
          <w:color w:val="000000" w:themeColor="text1"/>
          <w:sz w:val="28"/>
          <w:szCs w:val="28"/>
        </w:rPr>
        <w:t>.</w:t>
      </w:r>
    </w:p>
    <w:p w14:paraId="7F8D4579" w14:textId="77777777" w:rsidR="00CF19B5" w:rsidRPr="007A1717" w:rsidRDefault="00CF19B5" w:rsidP="00E43AF3">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b/>
          <w:bCs/>
          <w:color w:val="000000" w:themeColor="text1"/>
          <w:sz w:val="28"/>
          <w:szCs w:val="28"/>
          <w:rtl/>
        </w:rPr>
        <w:lastRenderedPageBreak/>
        <w:t>المتغير التابع</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الحد من آثار الكوارث الصناعية، بأبعاده (الأضرار البشرية – الخسائر الاقتصادية – حماية البنية التحتية – تعزيز الجاهزية المؤسسية)</w:t>
      </w:r>
      <w:r w:rsidRPr="007A1717">
        <w:rPr>
          <w:rFonts w:ascii="Sakkal Majalla" w:hAnsi="Sakkal Majalla" w:cs="Sakkal Majalla"/>
          <w:color w:val="000000" w:themeColor="text1"/>
          <w:sz w:val="28"/>
          <w:szCs w:val="28"/>
        </w:rPr>
        <w:t>.</w:t>
      </w:r>
    </w:p>
    <w:p w14:paraId="539905C4" w14:textId="481AA102" w:rsidR="00E43AF3" w:rsidRPr="007A1717" w:rsidRDefault="00E43AF3" w:rsidP="00E43AF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5"/>
      <w:bookmarkStart w:id="22" w:name="_Toc223307779"/>
      <w:bookmarkEnd w:id="20"/>
      <w:r w:rsidRPr="007A1717">
        <w:rPr>
          <w:rFonts w:ascii="Sakkal Majalla" w:hAnsi="Sakkal Majalla" w:cs="Sakkal Majalla"/>
          <w:b/>
          <w:bCs/>
          <w:color w:val="000000" w:themeColor="text1"/>
          <w:sz w:val="36"/>
          <w:szCs w:val="36"/>
          <w:rtl/>
        </w:rPr>
        <w:t>11.1 الأساليب الإحصائية المستخدمة</w:t>
      </w:r>
      <w:bookmarkEnd w:id="22"/>
    </w:p>
    <w:p w14:paraId="7C001C87" w14:textId="77777777" w:rsidR="00BB409F" w:rsidRPr="007A1717" w:rsidRDefault="00BB409F" w:rsidP="00E43AF3">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 xml:space="preserve">سوف تُستخدم مجموعة من الأساليب الإحصائية لتحليل البيانات عبر برنامج </w:t>
      </w:r>
      <w:r w:rsidRPr="007A1717">
        <w:rPr>
          <w:rFonts w:ascii="Sakkal Majalla" w:hAnsi="Sakkal Majalla" w:cs="Sakkal Majalla"/>
          <w:b/>
          <w:bCs/>
          <w:color w:val="000000" w:themeColor="text1"/>
          <w:sz w:val="28"/>
          <w:szCs w:val="28"/>
        </w:rPr>
        <w:t>SPSS</w:t>
      </w:r>
      <w:r w:rsidRPr="007A1717">
        <w:rPr>
          <w:rFonts w:ascii="Sakkal Majalla" w:hAnsi="Sakkal Majalla" w:cs="Sakkal Majalla"/>
          <w:b/>
          <w:bCs/>
          <w:color w:val="000000" w:themeColor="text1"/>
          <w:sz w:val="28"/>
          <w:szCs w:val="28"/>
          <w:rtl/>
        </w:rPr>
        <w:t>، وتشمل</w:t>
      </w:r>
      <w:r w:rsidRPr="007A1717">
        <w:rPr>
          <w:rFonts w:ascii="Sakkal Majalla" w:hAnsi="Sakkal Majalla" w:cs="Sakkal Majalla"/>
          <w:b/>
          <w:bCs/>
          <w:color w:val="000000" w:themeColor="text1"/>
          <w:sz w:val="28"/>
          <w:szCs w:val="28"/>
        </w:rPr>
        <w:t>:</w:t>
      </w:r>
    </w:p>
    <w:p w14:paraId="2B536D8A" w14:textId="77777777" w:rsidR="00BB409F" w:rsidRPr="007A1717" w:rsidRDefault="00BB409F" w:rsidP="00E43AF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الإحصاء الوصفي (المتوسطات – الانحرافات المعيارية – التكرارات)</w:t>
      </w:r>
      <w:r w:rsidRPr="007A1717">
        <w:rPr>
          <w:rFonts w:ascii="Sakkal Majalla" w:hAnsi="Sakkal Majalla" w:cs="Sakkal Majalla"/>
          <w:color w:val="000000" w:themeColor="text1"/>
          <w:sz w:val="28"/>
          <w:szCs w:val="28"/>
        </w:rPr>
        <w:t>.</w:t>
      </w:r>
    </w:p>
    <w:p w14:paraId="3A9E22C5" w14:textId="77777777" w:rsidR="00BB409F" w:rsidRPr="007A1717" w:rsidRDefault="00BB409F" w:rsidP="00E43AF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اختبار الفروق</w:t>
      </w:r>
      <w:r w:rsidRPr="007A1717">
        <w:rPr>
          <w:rFonts w:ascii="Sakkal Majalla" w:hAnsi="Sakkal Majalla" w:cs="Sakkal Majalla"/>
          <w:color w:val="000000" w:themeColor="text1"/>
          <w:sz w:val="28"/>
          <w:szCs w:val="28"/>
        </w:rPr>
        <w:t xml:space="preserve"> (T-test</w:t>
      </w:r>
      <w:r w:rsidRPr="007A1717">
        <w:rPr>
          <w:rFonts w:ascii="Sakkal Majalla" w:hAnsi="Sakkal Majalla" w:cs="Sakkal Majalla"/>
          <w:color w:val="000000" w:themeColor="text1"/>
          <w:sz w:val="28"/>
          <w:szCs w:val="28"/>
          <w:rtl/>
        </w:rPr>
        <w:t>، وتحليل التباين</w:t>
      </w:r>
      <w:r w:rsidRPr="007A1717">
        <w:rPr>
          <w:rFonts w:ascii="Sakkal Majalla" w:hAnsi="Sakkal Majalla" w:cs="Sakkal Majalla"/>
          <w:color w:val="000000" w:themeColor="text1"/>
          <w:sz w:val="28"/>
          <w:szCs w:val="28"/>
        </w:rPr>
        <w:t xml:space="preserve"> ANOVA).</w:t>
      </w:r>
    </w:p>
    <w:p w14:paraId="5FA8BF06" w14:textId="77777777" w:rsidR="00BB409F" w:rsidRPr="007A1717" w:rsidRDefault="00BB409F" w:rsidP="00E43AF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معامل الارتباط بيرسون</w:t>
      </w:r>
      <w:r w:rsidRPr="007A1717">
        <w:rPr>
          <w:rFonts w:ascii="Sakkal Majalla" w:hAnsi="Sakkal Majalla" w:cs="Sakkal Majalla"/>
          <w:color w:val="000000" w:themeColor="text1"/>
          <w:sz w:val="28"/>
          <w:szCs w:val="28"/>
        </w:rPr>
        <w:t xml:space="preserve"> (Pearson) </w:t>
      </w:r>
      <w:r w:rsidRPr="007A1717">
        <w:rPr>
          <w:rFonts w:ascii="Sakkal Majalla" w:hAnsi="Sakkal Majalla" w:cs="Sakkal Majalla"/>
          <w:color w:val="000000" w:themeColor="text1"/>
          <w:sz w:val="28"/>
          <w:szCs w:val="28"/>
          <w:rtl/>
        </w:rPr>
        <w:t>لقياس العلاقة بين المتغيرات</w:t>
      </w:r>
      <w:r w:rsidRPr="007A1717">
        <w:rPr>
          <w:rFonts w:ascii="Sakkal Majalla" w:hAnsi="Sakkal Majalla" w:cs="Sakkal Majalla"/>
          <w:color w:val="000000" w:themeColor="text1"/>
          <w:sz w:val="28"/>
          <w:szCs w:val="28"/>
        </w:rPr>
        <w:t>.</w:t>
      </w:r>
    </w:p>
    <w:p w14:paraId="67B532C0" w14:textId="77777777" w:rsidR="00BB409F" w:rsidRPr="007A1717" w:rsidRDefault="00BB409F" w:rsidP="00E43AF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تحليل الانحدار المتعدد لتحديد مقدار التأثير لكل بعد من أبعاد النظام على النتائج</w:t>
      </w:r>
      <w:r w:rsidRPr="007A1717">
        <w:rPr>
          <w:rFonts w:ascii="Sakkal Majalla" w:hAnsi="Sakkal Majalla" w:cs="Sakkal Majalla"/>
          <w:color w:val="000000" w:themeColor="text1"/>
          <w:sz w:val="28"/>
          <w:szCs w:val="28"/>
        </w:rPr>
        <w:t>.</w:t>
      </w:r>
    </w:p>
    <w:p w14:paraId="69D065AE" w14:textId="75CBED1C" w:rsidR="00E43AF3" w:rsidRPr="007A1717" w:rsidRDefault="00E43AF3" w:rsidP="00E43AF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3" w:name="_Toc169790506"/>
      <w:bookmarkStart w:id="24" w:name="_Toc223307780"/>
      <w:bookmarkEnd w:id="21"/>
      <w:r w:rsidRPr="007A1717">
        <w:rPr>
          <w:rFonts w:ascii="Sakkal Majalla" w:hAnsi="Sakkal Majalla" w:cs="Sakkal Majalla"/>
          <w:b/>
          <w:bCs/>
          <w:color w:val="000000" w:themeColor="text1"/>
          <w:sz w:val="36"/>
          <w:szCs w:val="36"/>
          <w:rtl/>
        </w:rPr>
        <w:t>12.1 حدود الدراسة:</w:t>
      </w:r>
      <w:bookmarkEnd w:id="24"/>
    </w:p>
    <w:p w14:paraId="381D606A" w14:textId="0B247DA9" w:rsidR="00BB409F" w:rsidRPr="007A1717" w:rsidRDefault="00D6120A" w:rsidP="00E43AF3">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b/>
          <w:bCs/>
          <w:color w:val="000000" w:themeColor="text1"/>
          <w:sz w:val="28"/>
          <w:szCs w:val="28"/>
          <w:rtl/>
        </w:rPr>
        <w:t xml:space="preserve">حدود </w:t>
      </w:r>
      <w:r w:rsidR="00BB409F" w:rsidRPr="007A1717">
        <w:rPr>
          <w:rFonts w:ascii="Sakkal Majalla" w:hAnsi="Sakkal Majalla" w:cs="Sakkal Majalla"/>
          <w:b/>
          <w:bCs/>
          <w:color w:val="000000" w:themeColor="text1"/>
          <w:sz w:val="28"/>
          <w:szCs w:val="28"/>
          <w:rtl/>
        </w:rPr>
        <w:t>موضوعية</w:t>
      </w:r>
      <w:r w:rsidR="00BB409F"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تقتصر هذه الدراسة على قياس فاعلية أنظمة الإنذار المبكر في المدن الصناعية بالمملكة العربية السعودية، وذلك من خلال التركيز على ثلاثة أبعاد رئيسة هي</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الجاهزية التقنية، سرعة الاستجابة، وكفاءة الاتصال التحذيري، ودورها في الحد من تأثير الكوارث الصناعية</w:t>
      </w:r>
      <w:r w:rsidR="00BB409F" w:rsidRPr="007A1717">
        <w:rPr>
          <w:rFonts w:ascii="Sakkal Majalla" w:hAnsi="Sakkal Majalla" w:cs="Sakkal Majalla"/>
          <w:color w:val="000000" w:themeColor="text1"/>
          <w:sz w:val="28"/>
          <w:szCs w:val="28"/>
        </w:rPr>
        <w:t>.</w:t>
      </w:r>
    </w:p>
    <w:p w14:paraId="5A088AD0" w14:textId="6FE8AB95" w:rsidR="00BB409F" w:rsidRPr="007A1717" w:rsidRDefault="00D6120A" w:rsidP="00E43AF3">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b/>
          <w:bCs/>
          <w:color w:val="000000" w:themeColor="text1"/>
          <w:sz w:val="28"/>
          <w:szCs w:val="28"/>
          <w:rtl/>
        </w:rPr>
        <w:t xml:space="preserve">حدود </w:t>
      </w:r>
      <w:r w:rsidR="00BB409F" w:rsidRPr="007A1717">
        <w:rPr>
          <w:rFonts w:ascii="Sakkal Majalla" w:hAnsi="Sakkal Majalla" w:cs="Sakkal Majalla"/>
          <w:b/>
          <w:bCs/>
          <w:color w:val="000000" w:themeColor="text1"/>
          <w:sz w:val="28"/>
          <w:szCs w:val="28"/>
          <w:rtl/>
        </w:rPr>
        <w:t>مكانية</w:t>
      </w:r>
      <w:r w:rsidR="00BB409F"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تتمحور الدراسة حول مجموعة من المدن الصناعية في المملكة العربية السعودية</w:t>
      </w:r>
      <w:r w:rsidR="00BB409F" w:rsidRPr="007A1717">
        <w:rPr>
          <w:rFonts w:ascii="Sakkal Majalla" w:hAnsi="Sakkal Majalla" w:cs="Sakkal Majalla"/>
          <w:color w:val="000000" w:themeColor="text1"/>
          <w:sz w:val="28"/>
          <w:szCs w:val="28"/>
        </w:rPr>
        <w:t>.</w:t>
      </w:r>
    </w:p>
    <w:p w14:paraId="14C23245" w14:textId="001B2C0D" w:rsidR="00BB409F" w:rsidRPr="007A1717" w:rsidRDefault="00D6120A" w:rsidP="00E43AF3">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b/>
          <w:bCs/>
          <w:color w:val="000000" w:themeColor="text1"/>
          <w:sz w:val="28"/>
          <w:szCs w:val="28"/>
          <w:rtl/>
        </w:rPr>
        <w:t xml:space="preserve">حدود </w:t>
      </w:r>
      <w:r w:rsidR="00BB409F" w:rsidRPr="007A1717">
        <w:rPr>
          <w:rFonts w:ascii="Sakkal Majalla" w:hAnsi="Sakkal Majalla" w:cs="Sakkal Majalla"/>
          <w:b/>
          <w:bCs/>
          <w:color w:val="000000" w:themeColor="text1"/>
          <w:sz w:val="28"/>
          <w:szCs w:val="28"/>
          <w:rtl/>
        </w:rPr>
        <w:t>زمانية</w:t>
      </w:r>
      <w:r w:rsidR="00BB409F" w:rsidRPr="007A1717">
        <w:rPr>
          <w:rFonts w:ascii="Sakkal Majalla" w:hAnsi="Sakkal Majalla" w:cs="Sakkal Majalla"/>
          <w:color w:val="000000" w:themeColor="text1"/>
          <w:sz w:val="28"/>
          <w:szCs w:val="28"/>
        </w:rPr>
        <w:t xml:space="preserve">: </w:t>
      </w:r>
      <w:r w:rsidR="00BB409F" w:rsidRPr="007A1717">
        <w:rPr>
          <w:rFonts w:ascii="Sakkal Majalla" w:hAnsi="Sakkal Majalla" w:cs="Sakkal Majalla"/>
          <w:color w:val="000000" w:themeColor="text1"/>
          <w:sz w:val="28"/>
          <w:szCs w:val="28"/>
          <w:rtl/>
        </w:rPr>
        <w:t>العام الأكاديمي</w:t>
      </w:r>
      <w:r w:rsidR="00BB409F" w:rsidRPr="007A1717">
        <w:rPr>
          <w:rFonts w:ascii="Sakkal Majalla" w:hAnsi="Sakkal Majalla" w:cs="Sakkal Majalla"/>
          <w:color w:val="000000" w:themeColor="text1"/>
          <w:sz w:val="28"/>
          <w:szCs w:val="28"/>
        </w:rPr>
        <w:t xml:space="preserve"> (202</w:t>
      </w:r>
      <w:r w:rsidR="002F1A11" w:rsidRPr="007A1717">
        <w:rPr>
          <w:rFonts w:ascii="Sakkal Majalla" w:hAnsi="Sakkal Majalla" w:cs="Sakkal Majalla"/>
          <w:color w:val="000000" w:themeColor="text1"/>
          <w:sz w:val="28"/>
          <w:szCs w:val="28"/>
        </w:rPr>
        <w:t>6</w:t>
      </w:r>
      <w:r w:rsidR="00BB409F" w:rsidRPr="007A1717">
        <w:rPr>
          <w:rFonts w:ascii="Sakkal Majalla" w:hAnsi="Sakkal Majalla" w:cs="Sakkal Majalla"/>
          <w:color w:val="000000" w:themeColor="text1"/>
          <w:sz w:val="28"/>
          <w:szCs w:val="28"/>
        </w:rPr>
        <w:t>).</w:t>
      </w:r>
    </w:p>
    <w:p w14:paraId="16719DF8" w14:textId="31819175" w:rsidR="002F1A11" w:rsidRPr="007A1717" w:rsidRDefault="00D6120A" w:rsidP="00E43AF3">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A1717">
        <w:rPr>
          <w:rFonts w:ascii="Sakkal Majalla" w:hAnsi="Sakkal Majalla" w:cs="Sakkal Majalla"/>
          <w:b/>
          <w:bCs/>
          <w:color w:val="000000" w:themeColor="text1"/>
          <w:sz w:val="28"/>
          <w:szCs w:val="28"/>
          <w:rtl/>
        </w:rPr>
        <w:t xml:space="preserve">حدود </w:t>
      </w:r>
      <w:r w:rsidR="00BB409F" w:rsidRPr="007A1717">
        <w:rPr>
          <w:rFonts w:ascii="Sakkal Majalla" w:hAnsi="Sakkal Majalla" w:cs="Sakkal Majalla"/>
          <w:b/>
          <w:bCs/>
          <w:color w:val="000000" w:themeColor="text1"/>
          <w:sz w:val="28"/>
          <w:szCs w:val="28"/>
          <w:rtl/>
        </w:rPr>
        <w:t>بشرية</w:t>
      </w:r>
      <w:r w:rsidR="00BB409F"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يقتصر مجتمع الدراسة على العاملين والمسؤولين في إدارات الأمن الصناعي والطوارئ وإدارة المخاطر داخل المنشآت الصناعية القائمة في تلك المدن</w:t>
      </w:r>
    </w:p>
    <w:p w14:paraId="0A7D1498" w14:textId="00EBABCE" w:rsidR="00E43AF3" w:rsidRPr="007A1717" w:rsidRDefault="00E43AF3" w:rsidP="00E43AF3">
      <w:pPr>
        <w:spacing w:before="100" w:beforeAutospacing="1" w:after="100" w:afterAutospacing="1"/>
        <w:jc w:val="center"/>
        <w:outlineLvl w:val="0"/>
        <w:rPr>
          <w:rFonts w:ascii="Sakkal Majalla" w:hAnsi="Sakkal Majalla" w:cs="Sakkal Majalla"/>
          <w:b/>
          <w:bCs/>
          <w:color w:val="000000" w:themeColor="text1"/>
          <w:sz w:val="40"/>
          <w:szCs w:val="40"/>
          <w:rtl/>
        </w:rPr>
      </w:pPr>
      <w:r w:rsidRPr="007A1717">
        <w:rPr>
          <w:rFonts w:ascii="Sakkal Majalla" w:hAnsi="Sakkal Majalla" w:cs="Sakkal Majalla"/>
          <w:b/>
          <w:bCs/>
          <w:color w:val="000000" w:themeColor="text1"/>
          <w:sz w:val="40"/>
          <w:szCs w:val="40"/>
          <w:rtl/>
        </w:rPr>
        <w:br w:type="page"/>
      </w:r>
      <w:bookmarkStart w:id="25" w:name="_Toc223307781"/>
      <w:r w:rsidRPr="007A1717">
        <w:rPr>
          <w:rFonts w:ascii="Sakkal Majalla" w:hAnsi="Sakkal Majalla" w:cs="Sakkal Majalla" w:hint="cs"/>
          <w:b/>
          <w:bCs/>
          <w:color w:val="000000" w:themeColor="text1"/>
          <w:sz w:val="40"/>
          <w:szCs w:val="40"/>
          <w:rtl/>
        </w:rPr>
        <w:lastRenderedPageBreak/>
        <w:t>الفصل الثاني: الإطار النظري</w:t>
      </w:r>
      <w:bookmarkEnd w:id="25"/>
    </w:p>
    <w:p w14:paraId="2638232C" w14:textId="06A1DBE2" w:rsidR="00E748EB" w:rsidRPr="007A1717" w:rsidRDefault="00E748EB" w:rsidP="00E43AF3">
      <w:pPr>
        <w:spacing w:before="100" w:beforeAutospacing="1" w:after="100" w:afterAutospacing="1"/>
        <w:jc w:val="center"/>
        <w:outlineLvl w:val="1"/>
        <w:rPr>
          <w:rFonts w:ascii="Sakkal Majalla" w:hAnsi="Sakkal Majalla" w:cs="Sakkal Majalla"/>
          <w:b/>
          <w:bCs/>
          <w:color w:val="000000" w:themeColor="text1"/>
          <w:sz w:val="36"/>
          <w:szCs w:val="36"/>
        </w:rPr>
      </w:pPr>
      <w:bookmarkStart w:id="26" w:name="_Toc223307782"/>
      <w:r w:rsidRPr="007A1717">
        <w:rPr>
          <w:rFonts w:ascii="Sakkal Majalla" w:hAnsi="Sakkal Majalla" w:cs="Sakkal Majalla"/>
          <w:b/>
          <w:bCs/>
          <w:color w:val="000000" w:themeColor="text1"/>
          <w:sz w:val="36"/>
          <w:szCs w:val="36"/>
          <w:rtl/>
        </w:rPr>
        <w:t>المبحث الأول: أنظمة الإنذار المبكر (المتغير المستقل)</w:t>
      </w:r>
      <w:bookmarkEnd w:id="26"/>
    </w:p>
    <w:p w14:paraId="52AA1484" w14:textId="060F259E" w:rsidR="00E748EB" w:rsidRPr="007A1717" w:rsidRDefault="00E43AF3" w:rsidP="00E43AF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307783"/>
      <w:r w:rsidRPr="007A1717">
        <w:rPr>
          <w:rFonts w:ascii="Sakkal Majalla" w:hAnsi="Sakkal Majalla" w:cs="Sakkal Majalla" w:hint="cs"/>
          <w:b/>
          <w:bCs/>
          <w:color w:val="000000" w:themeColor="text1"/>
          <w:sz w:val="32"/>
          <w:szCs w:val="32"/>
          <w:rtl/>
        </w:rPr>
        <w:t xml:space="preserve">1.1.2 </w:t>
      </w:r>
      <w:r w:rsidR="00E748EB" w:rsidRPr="007A1717">
        <w:rPr>
          <w:rFonts w:ascii="Sakkal Majalla" w:hAnsi="Sakkal Majalla" w:cs="Sakkal Majalla"/>
          <w:b/>
          <w:bCs/>
          <w:color w:val="000000" w:themeColor="text1"/>
          <w:sz w:val="32"/>
          <w:szCs w:val="32"/>
          <w:rtl/>
        </w:rPr>
        <w:t>تمهيد</w:t>
      </w:r>
      <w:bookmarkEnd w:id="27"/>
    </w:p>
    <w:p w14:paraId="61E1FB5F" w14:textId="0855BA7D"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تواجه البيئات الصناعية المعاصرة مشهداً متغيراً من المخاطر التي تتسم بالتعقيد والتشابك، حيث لم تعد التهديدات قاصرة على الأعطال الفنية المنفردة أو الأخطاء التشغيلية المحدودة، بل أصبحت تتضمن سلاسل سببية متداخلة قد تتصاعد فيها حوادث بسيطة لتتحول إلى كوارث صناعية ذات تداعيات واسعة النطاق على الأرواح والممتلكات والاستقرار الاقتصادي</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وقد دفع هذا الواقع المؤسسات الصناعية والمنظمات الدولية إلى البحث عن أدوات وقائية تتجاوز المقاربة التفاعلية القائمة على الاستجابة بعد وقوع الحدث، نحو مقاربة استباقية تعتمد على الرصد والتنبؤ والتحذير المبكر،</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وتمثل أنظمة الإنذار المبكر حجر الزاوية في هذه المقاربة، إذ تشكّل منظومة متكاملة تجمع بين التقنيات الحديثة والأطر التنظيمية وآليات الاتصال بهدف تمكين صانعي القرار والمجتمعات المعرضة للخطر من اتخاذ إجراءات وقائية في الوقت المناسب. ويتناول هذا المبحث أنظمة الإنذار المبكر من خلال استعراض مفهومها وتعريفاتها المتعددة، ثم بيان أهميتها في السياق الصناعي، وصولاً إلى أهدافها وأبعادها واستراتيجيات تطبيقها، مع التركيز على ما يتصل منها بالمدن الصناعية وخصوصيات البيئة السعودية</w:t>
      </w:r>
      <w:r w:rsidRPr="007A1717">
        <w:rPr>
          <w:rFonts w:ascii="Sakkal Majalla" w:hAnsi="Sakkal Majalla" w:cs="Sakkal Majalla"/>
          <w:color w:val="000000" w:themeColor="text1"/>
          <w:sz w:val="28"/>
          <w:szCs w:val="28"/>
        </w:rPr>
        <w:t>.</w:t>
      </w:r>
    </w:p>
    <w:p w14:paraId="6F84F8C5" w14:textId="7B4085C1" w:rsidR="00E748EB" w:rsidRPr="007A1717" w:rsidRDefault="00E43AF3" w:rsidP="00E43AF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307784"/>
      <w:r w:rsidRPr="007A1717">
        <w:rPr>
          <w:rFonts w:ascii="Sakkal Majalla" w:hAnsi="Sakkal Majalla" w:cs="Sakkal Majalla" w:hint="cs"/>
          <w:b/>
          <w:bCs/>
          <w:color w:val="000000" w:themeColor="text1"/>
          <w:sz w:val="32"/>
          <w:szCs w:val="32"/>
          <w:rtl/>
        </w:rPr>
        <w:t xml:space="preserve">2.1.2 </w:t>
      </w:r>
      <w:r w:rsidR="00E748EB" w:rsidRPr="007A1717">
        <w:rPr>
          <w:rFonts w:ascii="Sakkal Majalla" w:hAnsi="Sakkal Majalla" w:cs="Sakkal Majalla"/>
          <w:b/>
          <w:bCs/>
          <w:color w:val="000000" w:themeColor="text1"/>
          <w:sz w:val="32"/>
          <w:szCs w:val="32"/>
          <w:rtl/>
        </w:rPr>
        <w:t>مفهوم أنظمة الإنذار المبكر</w:t>
      </w:r>
      <w:bookmarkEnd w:id="28"/>
    </w:p>
    <w:p w14:paraId="3A0AC799"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يُعدّ مفهوم أنظمة الإنذار المبكر من المفاهيم التي تطورت تطوراً جوهرياً عبر العقود الماضية، إذ انتقل من إطاره العسكري والأمني الضيق الذي نشأ فيه خلال فترة الحرب الباردة، إلى إطار أوسع يشمل مجالات إدارة الكوارث الطبيعية والصناعية وإدارة الأزمات الاقتصادية والصحية والبيئية.</w:t>
      </w:r>
    </w:p>
    <w:p w14:paraId="5B488AF6" w14:textId="5BDFF6C5"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 وقد أسهم هذا التطور في تعدد التعريفات التي طرحها الباحثون والمنظمات الدولية لهذا المفهوم، وهو تعدد يعكس في جوهره تنوع الزوايا التي نُظر من خلالها إلى هذه الأنظمة وتباين السياقات التطبيقية التي وُظفت فيها</w:t>
      </w:r>
      <w:r w:rsidRPr="007A1717">
        <w:rPr>
          <w:rFonts w:ascii="Sakkal Majalla" w:hAnsi="Sakkal Majalla" w:cs="Sakkal Majalla"/>
          <w:color w:val="000000" w:themeColor="text1"/>
          <w:sz w:val="28"/>
          <w:szCs w:val="28"/>
        </w:rPr>
        <w:t>.</w:t>
      </w:r>
    </w:p>
    <w:p w14:paraId="0907E0B4"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فقد عرّف مكتب الأمم المتحدة للحد من مخاطر الكوارث نظام الإنذار المبكر بأنه "منظومة متكاملة من أنشطة رصد الأخطار والتنبؤ بها وتقييم مخاطر الكوارث والاتصال والتأهب، تمكّن الأفراد والمجتمعات والحكومات والمؤسسات من اتخاذ إجراءات في الوقت المناسب للحد من مخاطر الكوارث قبل وقوع الأحداث الخطرة</w:t>
      </w:r>
      <w:r w:rsidRPr="007A1717">
        <w:rPr>
          <w:rFonts w:ascii="Sakkal Majalla" w:hAnsi="Sakkal Majalla" w:cs="Sakkal Majalla"/>
          <w:color w:val="000000" w:themeColor="text1"/>
          <w:sz w:val="28"/>
          <w:szCs w:val="28"/>
        </w:rPr>
        <w:t xml:space="preserve">" (UNDRR, 2022). </w:t>
      </w:r>
      <w:r w:rsidRPr="007A1717">
        <w:rPr>
          <w:rFonts w:ascii="Sakkal Majalla" w:hAnsi="Sakkal Majalla" w:cs="Sakkal Majalla"/>
          <w:color w:val="000000" w:themeColor="text1"/>
          <w:sz w:val="28"/>
          <w:szCs w:val="28"/>
          <w:rtl/>
        </w:rPr>
        <w:t>ويتميز هذا التعريف بشموليته، إذ لا يختزل النظام في بُعده التقني المتمثل في أجهزة الرصد وتقنيات التنبؤ فحسب، بل يمتد ليشمل أبعاداً تنظيمية واجتماعية وتواصلية تجعل منه منظومة ذات طابع اجتماعي-تقني مركب</w:t>
      </w:r>
      <w:r w:rsidRPr="007A1717">
        <w:rPr>
          <w:rFonts w:ascii="Sakkal Majalla" w:hAnsi="Sakkal Majalla" w:cs="Sakkal Majalla"/>
          <w:color w:val="000000" w:themeColor="text1"/>
          <w:sz w:val="28"/>
          <w:szCs w:val="28"/>
        </w:rPr>
        <w:t>.</w:t>
      </w:r>
    </w:p>
    <w:p w14:paraId="0E440AFF" w14:textId="199ECA36"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 أشارت قواسمية (2021) إلى أن نظام الإنذار المبكر يمثل مجموعة من الآليات والأدوات المنهجية التي تعمل على رصد المؤشرات البيئية والتنظيمية وتحليلها بصورة مستمرة بهدف التنبؤ بالأزمات المحتملة قبل تبلورها، مما يتيح للجهات المعنية اتخاذ تدابير استباقية تحول دون تفاقم الأوضاع. </w:t>
      </w:r>
    </w:p>
    <w:p w14:paraId="6366958D" w14:textId="7BC032C9"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أما موساوي وصالحي (2020) فقد تناولتا المفهوم من منظور اقتصادي وإداري، حيث عرّفتا نظم الإنذار المبكر بأنها مجموعة من المؤشرات والمقاييس الكمية والنوعية التي تُرصد بشكل دوري ومنتظم لاكتشاف الانحرافات والاختلالات في بيئة المنظمة الداخلية والخارجية، بحيث تعمل كإشارات تحذيرية تنبّه متخذي القرار إلى احتمالية حدوث أزمات قبل أن تبلغ مرحلة يصعب فيها السيطرة عليها. </w:t>
      </w:r>
    </w:p>
    <w:p w14:paraId="718435E9" w14:textId="17693991"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ومن زاوية مغايرة، تناول خلوفي وشريط</w:t>
      </w:r>
      <w:r w:rsidRPr="007A1717">
        <w:rPr>
          <w:rFonts w:ascii="Sakkal Majalla" w:hAnsi="Sakkal Majalla" w:cs="Sakkal Majalla"/>
          <w:color w:val="000000" w:themeColor="text1"/>
          <w:sz w:val="28"/>
          <w:szCs w:val="28"/>
        </w:rPr>
        <w:t xml:space="preserve"> (2021) </w:t>
      </w:r>
      <w:r w:rsidRPr="007A1717">
        <w:rPr>
          <w:rFonts w:ascii="Sakkal Majalla" w:hAnsi="Sakkal Majalla" w:cs="Sakkal Majalla"/>
          <w:color w:val="000000" w:themeColor="text1"/>
          <w:sz w:val="28"/>
          <w:szCs w:val="28"/>
          <w:rtl/>
        </w:rPr>
        <w:t>مفهوم الإنذار المبكر في سياق المخاطر الصحية والوبائية، حيث عرّفاه بأنه آلية مؤسسية منظمة تجمع بين قدرات الرصد الوبائي والتحليل المخبري ونظم المعلومات الجغرافية وشبكات الاتصال، وتعمل وفق بروتوكولات محددة مسبقاً لإطلاق إنذارات متدرجة المستويات حين تتجاوز المؤشرات الصحية عتبات معينة</w:t>
      </w:r>
      <w:r w:rsidRPr="007A1717">
        <w:rPr>
          <w:rFonts w:ascii="Sakkal Majalla" w:hAnsi="Sakkal Majalla" w:cs="Sakkal Majalla"/>
          <w:color w:val="000000" w:themeColor="text1"/>
          <w:sz w:val="28"/>
          <w:szCs w:val="28"/>
        </w:rPr>
        <w:t xml:space="preserve">. </w:t>
      </w:r>
    </w:p>
    <w:p w14:paraId="781516DD" w14:textId="3AD21C8F"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وقد عرّف السعدي (2024) نظام الإنذار المبكر في إطار عمل المنظمات الدولية المتخصصة بأنه منظومة عمل تتضمن أربعة عناصر مترابطة هي: المعرفة بالمخاطر، وخدمات الرصد والتنبؤ، ونشر المعلومات والاتصال، والقدرة على الاستجابة، بحيث تعمل هذه العناصر بشكل تكاملي لتوفير الإنذارات اللازمة للمجتمعات والمؤسسات المعرضة للأخطار. </w:t>
      </w:r>
    </w:p>
    <w:p w14:paraId="5C1B19CA" w14:textId="299E6C39"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وعلى صعيد البحث في الكوارث الصناعية تحديداً، أشار</w:t>
      </w:r>
      <w:r w:rsidRPr="007A1717">
        <w:rPr>
          <w:rFonts w:ascii="Sakkal Majalla" w:hAnsi="Sakkal Majalla" w:cs="Sakkal Majalla"/>
          <w:color w:val="000000" w:themeColor="text1"/>
          <w:sz w:val="28"/>
          <w:szCs w:val="28"/>
        </w:rPr>
        <w:t xml:space="preserve"> Yan et al. (2024) </w:t>
      </w:r>
      <w:r w:rsidRPr="007A1717">
        <w:rPr>
          <w:rFonts w:ascii="Sakkal Majalla" w:hAnsi="Sakkal Majalla" w:cs="Sakkal Majalla"/>
          <w:color w:val="000000" w:themeColor="text1"/>
          <w:sz w:val="28"/>
          <w:szCs w:val="28"/>
          <w:rtl/>
        </w:rPr>
        <w:t xml:space="preserve">إلى أن نظام الإنذار المبكر في المنشآت الصناعية يُعرّف بأنه منظومة تحليلية متقدمة تجمع بين أساليب التحليل الكمي والنمذجة الاحتمالية لتحديد العلاقات السببية بين عوامل الخطر المتعددة في بيئة العمل الصناعية والتنبؤ باحتمالية وقوع الحوادث وتصنيف مستوى الخطر وفقاً لمعايير محددة. </w:t>
      </w:r>
    </w:p>
    <w:p w14:paraId="16B93DD1" w14:textId="3DAA8B1E"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كما عرّف</w:t>
      </w:r>
      <w:r w:rsidRPr="007A1717">
        <w:rPr>
          <w:rFonts w:ascii="Sakkal Majalla" w:hAnsi="Sakkal Majalla" w:cs="Sakkal Majalla"/>
          <w:color w:val="000000" w:themeColor="text1"/>
          <w:sz w:val="28"/>
          <w:szCs w:val="28"/>
        </w:rPr>
        <w:t xml:space="preserve"> Wei et al. (2023) </w:t>
      </w:r>
      <w:r w:rsidRPr="007A1717">
        <w:rPr>
          <w:rFonts w:ascii="Sakkal Majalla" w:hAnsi="Sakkal Majalla" w:cs="Sakkal Majalla"/>
          <w:color w:val="000000" w:themeColor="text1"/>
          <w:sz w:val="28"/>
          <w:szCs w:val="28"/>
          <w:rtl/>
        </w:rPr>
        <w:t xml:space="preserve">نظام الإنذار المبكر في المجمعات الصناعية الكيميائية بأنه بنية تقنية ذكية تعتمد على شبكة من المستشعرات المتصلة بإنترنت الأشياء والمنصات السحابية لرصد المتغيرات البيئية والتشغيلية في الوقت الحقيقي حول مصادر الخطر الرئيسية كخزانات المواد الخطرة، وإطلاق تنبيهات آلية حين تتجاوز القراءات الحدود الآمنة المحددة مسبقاً. </w:t>
      </w:r>
    </w:p>
    <w:p w14:paraId="5B852FD3" w14:textId="52A7D185"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ومن منظور أكثر شمولية، أوضح</w:t>
      </w:r>
      <w:r w:rsidRPr="007A1717">
        <w:rPr>
          <w:rFonts w:ascii="Sakkal Majalla" w:hAnsi="Sakkal Majalla" w:cs="Sakkal Majalla"/>
          <w:color w:val="000000" w:themeColor="text1"/>
          <w:sz w:val="28"/>
          <w:szCs w:val="28"/>
        </w:rPr>
        <w:t xml:space="preserve"> Pescaroli et al. (2025) </w:t>
      </w:r>
      <w:r w:rsidRPr="007A1717">
        <w:rPr>
          <w:rFonts w:ascii="Sakkal Majalla" w:hAnsi="Sakkal Majalla" w:cs="Sakkal Majalla"/>
          <w:color w:val="000000" w:themeColor="text1"/>
          <w:sz w:val="28"/>
          <w:szCs w:val="28"/>
          <w:rtl/>
        </w:rPr>
        <w:t xml:space="preserve">أن أنظمة الإنذار المبكر ينبغي أن تُفهم بوصفها أنظمة اجتماعية-تقنية لا تقتصر على الجوانب التكنولوجية، بل تتضمن تفاعلات معقدة بين المكونات التقنية والعوامل الاجتماعية والتنظيمية والنفسية التي تحدد مدى فعالية النظام في تحقيق أهدافه. </w:t>
      </w:r>
    </w:p>
    <w:p w14:paraId="1F8894A3" w14:textId="0B1DAA12"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وانطلاقاً من استعراض هذه التعريفات المتعددة، يرى الباحث أن نظام الإنذار المبكر في السياق الصناعي يمكن تعريفه إجرائياً بأنه: منظومة متكاملة تجمع بين البنية التقنية للرصد والاستشعار، وآليات التحليل والتنبؤ، وبروتوكولات الاتصال والتحذير، وقدرات الاستجابة المؤسسية، وتعمل بشكل تكاملي ومستمر لرصد مؤشرات الخطر في البيئة الصناعية وتحليلها وإيصال التحذيرات اللازمة إلى الجهات المعنية في الوقت المناسب، بما يمكّنها من اتخاذ إجراءات وقائية فعّالة تحدّ من احتمالية وقوع الكوارث الصناعية أو تخفف من حدة تأثيراتها. </w:t>
      </w:r>
    </w:p>
    <w:p w14:paraId="7D968F76" w14:textId="5A504F49" w:rsidR="00E748EB" w:rsidRPr="007A1717" w:rsidRDefault="00E43AF3" w:rsidP="00E43AF3">
      <w:pPr>
        <w:spacing w:before="100" w:beforeAutospacing="1" w:after="100" w:afterAutospacing="1"/>
        <w:outlineLvl w:val="2"/>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br w:type="page"/>
      </w:r>
      <w:bookmarkStart w:id="29" w:name="_Toc223307785"/>
      <w:r w:rsidRPr="007A1717">
        <w:rPr>
          <w:rFonts w:ascii="Sakkal Majalla" w:hAnsi="Sakkal Majalla" w:cs="Sakkal Majalla" w:hint="cs"/>
          <w:b/>
          <w:bCs/>
          <w:color w:val="000000" w:themeColor="text1"/>
          <w:sz w:val="32"/>
          <w:szCs w:val="32"/>
          <w:rtl/>
        </w:rPr>
        <w:lastRenderedPageBreak/>
        <w:t xml:space="preserve">3.1.2 </w:t>
      </w:r>
      <w:r w:rsidR="00E748EB" w:rsidRPr="007A1717">
        <w:rPr>
          <w:rFonts w:ascii="Sakkal Majalla" w:hAnsi="Sakkal Majalla" w:cs="Sakkal Majalla"/>
          <w:b/>
          <w:bCs/>
          <w:color w:val="000000" w:themeColor="text1"/>
          <w:sz w:val="32"/>
          <w:szCs w:val="32"/>
          <w:rtl/>
        </w:rPr>
        <w:t>أهمية أنظمة الإنذار المبكر في السياق الصناعي</w:t>
      </w:r>
      <w:bookmarkEnd w:id="29"/>
    </w:p>
    <w:p w14:paraId="140A9DCD" w14:textId="12D552D9"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تكتسب أنظمة الإنذار المبكر أهمية متعاظمة في إدارة المخاطر الصناعية في ضوء التحولات الجوهرية التي تشهدها القطاعات الصناعية على المستويين العالمي والإقليمي، فالتوسع المستمر في حجم المنشآت الصناعية وتعقد عملياتها التشغيلية، إلى جانب التزايد في أحجام المواد الخطرة المستخدمة والمخزنة والمنقولة، يجعل من الكوارث الصناعية تهديداً متصاعداً لا يمكن مواجهته بالأساليب التقليدية القائمة على ردّ الفعل وحده</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وتتعدد أوجه هذه الأهمية بحسب الزوايا التي تناولها الباحثون والمنظمات المتخصصة</w:t>
      </w:r>
      <w:r w:rsidRPr="007A1717">
        <w:rPr>
          <w:rFonts w:ascii="Sakkal Majalla" w:hAnsi="Sakkal Majalla" w:cs="Sakkal Majalla"/>
          <w:color w:val="000000" w:themeColor="text1"/>
          <w:sz w:val="28"/>
          <w:szCs w:val="28"/>
        </w:rPr>
        <w:t>.</w:t>
      </w:r>
    </w:p>
    <w:p w14:paraId="299D772E"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فقد أشار مكتب الأمم المتحدة للحد من مخاطر الكوارث</w:t>
      </w:r>
      <w:r w:rsidRPr="007A1717">
        <w:rPr>
          <w:rFonts w:ascii="Sakkal Majalla" w:hAnsi="Sakkal Majalla" w:cs="Sakkal Majalla"/>
          <w:color w:val="000000" w:themeColor="text1"/>
          <w:sz w:val="28"/>
          <w:szCs w:val="28"/>
        </w:rPr>
        <w:t xml:space="preserve"> (UNDRR, 2023) </w:t>
      </w:r>
      <w:r w:rsidRPr="007A1717">
        <w:rPr>
          <w:rFonts w:ascii="Sakkal Majalla" w:hAnsi="Sakkal Majalla" w:cs="Sakkal Majalla"/>
          <w:color w:val="000000" w:themeColor="text1"/>
          <w:sz w:val="28"/>
          <w:szCs w:val="28"/>
          <w:rtl/>
        </w:rPr>
        <w:t>إلى أن أهمية أنظمة الإنذار المبكر تتجلى في ثلاثة محاور أساسية:</w:t>
      </w:r>
    </w:p>
    <w:p w14:paraId="14D4F771" w14:textId="38535A4A" w:rsidR="00E748EB" w:rsidRPr="007A1717" w:rsidRDefault="00E748EB" w:rsidP="00E43AF3">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 xml:space="preserve">أن هذه الأنظمة تمثل الأداة الأكثر فعالية من حيث التكلفة في منظومة الحد من مخاطر الكوارث، حيث إن كل وحدة نقدية تُستثمر في بناء أنظمة الإنذار تعود بعوائد مضاعفة من خلال تقليل الخسائر البشرية والمادية المحتملة. </w:t>
      </w:r>
    </w:p>
    <w:p w14:paraId="7B81B094" w14:textId="3960240A" w:rsidR="00E748EB" w:rsidRPr="007A1717" w:rsidRDefault="00E748EB" w:rsidP="00E43AF3">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A1717">
        <w:rPr>
          <w:rFonts w:ascii="Sakkal Majalla" w:hAnsi="Sakkal Majalla" w:cs="Sakkal Majalla"/>
          <w:color w:val="000000" w:themeColor="text1"/>
          <w:sz w:val="28"/>
          <w:szCs w:val="28"/>
          <w:rtl/>
        </w:rPr>
        <w:t xml:space="preserve">أنها تعزز قدرة المجتمعات والمؤسسات على التكيف مع المخاطر المتغيرة من خلال توفير معلومات مستمرة ومحدثة عن طبيعة التهديدات ومستوياتها. </w:t>
      </w:r>
    </w:p>
    <w:p w14:paraId="765485BB" w14:textId="62430ADC" w:rsidR="00E748EB" w:rsidRPr="007A1717" w:rsidRDefault="00E748EB" w:rsidP="00E43AF3">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أنها تسهم في بناء ثقافة وقائية تقوم على الاستعداد المسبق بدلاً من الاستجابة المتأخرة</w:t>
      </w:r>
      <w:r w:rsidRPr="007A1717">
        <w:rPr>
          <w:rFonts w:ascii="Sakkal Majalla" w:hAnsi="Sakkal Majalla" w:cs="Sakkal Majalla"/>
          <w:color w:val="000000" w:themeColor="text1"/>
          <w:sz w:val="28"/>
          <w:szCs w:val="28"/>
        </w:rPr>
        <w:t>.</w:t>
      </w:r>
    </w:p>
    <w:p w14:paraId="239B42FB"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ويرى</w:t>
      </w:r>
      <w:r w:rsidRPr="007A1717">
        <w:rPr>
          <w:rFonts w:ascii="Sakkal Majalla" w:hAnsi="Sakkal Majalla" w:cs="Sakkal Majalla"/>
          <w:color w:val="000000" w:themeColor="text1"/>
          <w:sz w:val="28"/>
          <w:szCs w:val="28"/>
        </w:rPr>
        <w:t xml:space="preserve"> Kalogiannidis et al. (2025) </w:t>
      </w:r>
      <w:r w:rsidRPr="007A1717">
        <w:rPr>
          <w:rFonts w:ascii="Sakkal Majalla" w:hAnsi="Sakkal Majalla" w:cs="Sakkal Majalla"/>
          <w:color w:val="000000" w:themeColor="text1"/>
          <w:sz w:val="28"/>
          <w:szCs w:val="28"/>
          <w:rtl/>
        </w:rPr>
        <w:t>أن أهمية أنظمة الإنذار المبكر تنبع من قدرتها على معالجة الفجوة الزمنية الحرجة بين ظهور المؤشرات الأولى للخطر واتخاذ القرارات الوقائية. فالقيمة الجوهرية لهذه الأنظمة تكمن في أنها توفر ما يمكن تسميته "نافذة الفرصة" التي تتيح لصانعي القرار هامشاً زمنياً كافياً لتفعيل خطط الطوارئ وتنفيذ إجراءات الإخلاء وتعبئة موارد الاستجابة قبل أن تبلغ الأحداث ذروتها. كما أن هذه الأنظمة تسهم في تقليل حالة عدم اليقين التي تصاحب الأزمات، إذ توفر معلومات منظمة عن طبيعة الخطر وموقعه وشدته المتوقعة، وهو ما يحسّن جودة القرارات المتخذة تحت الضغط</w:t>
      </w:r>
      <w:r w:rsidRPr="007A1717">
        <w:rPr>
          <w:rFonts w:ascii="Sakkal Majalla" w:hAnsi="Sakkal Majalla" w:cs="Sakkal Majalla"/>
          <w:color w:val="000000" w:themeColor="text1"/>
          <w:sz w:val="28"/>
          <w:szCs w:val="28"/>
        </w:rPr>
        <w:t>.</w:t>
      </w:r>
    </w:p>
    <w:p w14:paraId="16656E54"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أما من منظور الأمن الصناعي والسلامة المهنية، فقد أوضحت منظمة أوابك (2024) أن أنظمة الإنذار المبكر تحتل مكانة مركزية في منظومة السلامة الصناعية المعاصرة، خاصة في قطاعات النفط والغاز والصناعات البتروكيماوية التي تتعامل مع مواد شديدة الخطورة. فهذه الأنظمة تعمل كخط الدفاع الأول الذي يسبق جميع آليات الاستجابة للطوارئ، وتؤدي دوراً حاسماً في الكشف المبكر عن التسربات الغازية والارتفاعات غير الطبيعية في درجات الحرارة والضغط وغيرها من المتغيرات التشغيلية التي قد تنذر بحوادث وشيكة</w:t>
      </w:r>
      <w:r w:rsidRPr="007A1717">
        <w:rPr>
          <w:rFonts w:ascii="Sakkal Majalla" w:hAnsi="Sakkal Majalla" w:cs="Sakkal Majalla"/>
          <w:color w:val="000000" w:themeColor="text1"/>
          <w:sz w:val="28"/>
          <w:szCs w:val="28"/>
        </w:rPr>
        <w:t>.</w:t>
      </w:r>
    </w:p>
    <w:p w14:paraId="4C464982"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وفي السياق ذاته، أكد</w:t>
      </w:r>
      <w:r w:rsidRPr="007A1717">
        <w:rPr>
          <w:rFonts w:ascii="Sakkal Majalla" w:hAnsi="Sakkal Majalla" w:cs="Sakkal Majalla"/>
          <w:color w:val="000000" w:themeColor="text1"/>
          <w:sz w:val="28"/>
          <w:szCs w:val="28"/>
        </w:rPr>
        <w:t xml:space="preserve"> Chai et al. (2025) </w:t>
      </w:r>
      <w:r w:rsidRPr="007A1717">
        <w:rPr>
          <w:rFonts w:ascii="Sakkal Majalla" w:hAnsi="Sakkal Majalla" w:cs="Sakkal Majalla"/>
          <w:color w:val="000000" w:themeColor="text1"/>
          <w:sz w:val="28"/>
          <w:szCs w:val="28"/>
          <w:rtl/>
        </w:rPr>
        <w:t>أن أهمية أنظمة الإنذار المبكر في مجال نقل وتخزين المواد الخطرة تتزايد بشكل مطرد مع النمو المستمر في حجم هذه العمليات على مستوى العالم. فالطبيعة الخاصة لحوادث المواد الخطرة التي تتسم باحتمالية منخفضة للوقوع ولكن بعواقب وخيمة حين تقع، تجعل من الإنذار المبكر ضرورة حتمية وليس ترفاً إدارياً، لأن تكلفة الوقاية تبقى أقل بكثير من تكلفة المعالجة والتعويض بعد وقوع الكارثة</w:t>
      </w:r>
      <w:r w:rsidRPr="007A1717">
        <w:rPr>
          <w:rFonts w:ascii="Sakkal Majalla" w:hAnsi="Sakkal Majalla" w:cs="Sakkal Majalla"/>
          <w:color w:val="000000" w:themeColor="text1"/>
          <w:sz w:val="28"/>
          <w:szCs w:val="28"/>
        </w:rPr>
        <w:t>.</w:t>
      </w:r>
    </w:p>
    <w:p w14:paraId="3F7ED485"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كما يشير مركز المعلومات ودعم اتخاذ القرار </w:t>
      </w:r>
      <w:r w:rsidRPr="007A1717">
        <w:rPr>
          <w:rFonts w:ascii="Sakkal Majalla" w:hAnsi="Sakkal Majalla" w:cs="Sakkal Majalla"/>
          <w:color w:val="000000" w:themeColor="text1"/>
          <w:sz w:val="28"/>
          <w:szCs w:val="28"/>
        </w:rPr>
        <w:t xml:space="preserve">(2024) </w:t>
      </w:r>
      <w:r w:rsidRPr="007A1717">
        <w:rPr>
          <w:rFonts w:ascii="Sakkal Majalla" w:hAnsi="Sakkal Majalla" w:cs="Sakkal Majalla"/>
          <w:color w:val="000000" w:themeColor="text1"/>
          <w:sz w:val="28"/>
          <w:szCs w:val="28"/>
          <w:rtl/>
        </w:rPr>
        <w:t>إلى أن أهمية هذه الأنظمة تتعاظم في ضوء التغيرات المناخية المتسارعة التي تُضاعف من احتمالية وقوع كوارث مركبة تجمع بين المخاطر الطبيعية والصناعية، كأن تؤدي موجة حرارية شديدة إلى تسارع التفاعلات الكيميائية في المنشآت الصناعية أو إلى إجهاد منظومات التبريد فيها. وفي مثل هذه السيناريوهات المعقدة، تصبح أنظمة الإنذار المبكر متعددة الأخطار ضرورة لتوفير رؤية شاملة ومتكاملة للمخاطر المتداخلة</w:t>
      </w:r>
      <w:r w:rsidRPr="007A1717">
        <w:rPr>
          <w:rFonts w:ascii="Sakkal Majalla" w:hAnsi="Sakkal Majalla" w:cs="Sakkal Majalla"/>
          <w:color w:val="000000" w:themeColor="text1"/>
          <w:sz w:val="28"/>
          <w:szCs w:val="28"/>
        </w:rPr>
        <w:t>.</w:t>
      </w:r>
    </w:p>
    <w:p w14:paraId="7FABD96A"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ويضيف</w:t>
      </w:r>
      <w:r w:rsidRPr="007A1717">
        <w:rPr>
          <w:rFonts w:ascii="Sakkal Majalla" w:hAnsi="Sakkal Majalla" w:cs="Sakkal Majalla"/>
          <w:color w:val="000000" w:themeColor="text1"/>
          <w:sz w:val="28"/>
          <w:szCs w:val="28"/>
        </w:rPr>
        <w:t xml:space="preserve"> Hermans et al. (2022) </w:t>
      </w:r>
      <w:r w:rsidRPr="007A1717">
        <w:rPr>
          <w:rFonts w:ascii="Sakkal Majalla" w:hAnsi="Sakkal Majalla" w:cs="Sakkal Majalla"/>
          <w:color w:val="000000" w:themeColor="text1"/>
          <w:sz w:val="28"/>
          <w:szCs w:val="28"/>
          <w:rtl/>
        </w:rPr>
        <w:t>بُعداً آخر لأهمية هذه الأنظمة يتمثل في دورها كأداة لتمكين المجتمعات المحلية المتاخمة للمناطق الصناعية من المشاركة الفعالة في إدارة المخاطر. فأنظمة الإنذار المبكر حين تُصمم بطريقة تشاركية تدمج المعرفة المحلية مع المعرفة العلمية، تتحول من كونها أداة تقنية أحادية الاتجاه إلى منصة تفاعلية تعزز الثقة بين المنشآت الصناعية والمجتمعات المحيطة بها، وهو ما يُعدّ عنصراً حاسماً في تحقيق القبول المجتمعي للعمل الصناعي</w:t>
      </w:r>
      <w:r w:rsidRPr="007A1717">
        <w:rPr>
          <w:rFonts w:ascii="Sakkal Majalla" w:hAnsi="Sakkal Majalla" w:cs="Sakkal Majalla"/>
          <w:color w:val="000000" w:themeColor="text1"/>
          <w:sz w:val="28"/>
          <w:szCs w:val="28"/>
        </w:rPr>
        <w:t>.</w:t>
      </w:r>
    </w:p>
    <w:p w14:paraId="7EC0B54F" w14:textId="11FF230E"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وعلى مستوى المملكة العربية السعودية تحديداً، تكتسب هذه الأنظمة أهمية إضافية في ضوء الطموحات التنموية الكبرى التي تتضمنها رؤية 2030، والتي تستهدف تنويع القاعدة الصناعية وزيادة مساهمة القطاع الصناعي في الناتج المحلي الإجمالي، فالتوسع المخطط في المدن الصناعية وإنشاء مناطق اقتصادية خاصة جديدة يستلزم بالضرورة تطوير بنية تحتية متقدمة للإنذار المبكر تواكب النمو الصناعي المتسارع وتضمن استدامته في إطار آمن</w:t>
      </w:r>
      <w:r w:rsidRPr="007A1717">
        <w:rPr>
          <w:rFonts w:ascii="Sakkal Majalla" w:hAnsi="Sakkal Majalla" w:cs="Sakkal Majalla"/>
          <w:color w:val="000000" w:themeColor="text1"/>
          <w:sz w:val="28"/>
          <w:szCs w:val="28"/>
        </w:rPr>
        <w:t>.</w:t>
      </w:r>
    </w:p>
    <w:p w14:paraId="78C5CC37" w14:textId="4A9763E9" w:rsidR="00E748EB" w:rsidRPr="007A1717" w:rsidRDefault="00E43AF3" w:rsidP="00E43AF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307786"/>
      <w:r w:rsidRPr="007A1717">
        <w:rPr>
          <w:rFonts w:ascii="Sakkal Majalla" w:hAnsi="Sakkal Majalla" w:cs="Sakkal Majalla" w:hint="cs"/>
          <w:b/>
          <w:bCs/>
          <w:color w:val="000000" w:themeColor="text1"/>
          <w:sz w:val="32"/>
          <w:szCs w:val="32"/>
          <w:rtl/>
        </w:rPr>
        <w:t>4.1.2</w:t>
      </w:r>
      <w:r w:rsidR="00E748EB" w:rsidRPr="007A1717">
        <w:rPr>
          <w:rFonts w:ascii="Sakkal Majalla" w:hAnsi="Sakkal Majalla" w:cs="Sakkal Majalla"/>
          <w:b/>
          <w:bCs/>
          <w:color w:val="000000" w:themeColor="text1"/>
          <w:sz w:val="32"/>
          <w:szCs w:val="32"/>
          <w:rtl/>
        </w:rPr>
        <w:t xml:space="preserve"> أهداف أنظمة الإنذار المبكر</w:t>
      </w:r>
      <w:bookmarkEnd w:id="30"/>
    </w:p>
    <w:p w14:paraId="5738456D"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تتعدد أهداف أنظمة الإنذار المبكر وتتنوع بحسب السياق التطبيقي ونطاق عمل النظام، غير أن الأدبيات تكشف عن مجموعة من الأهداف الجوهرية التي يكاد يتفق عليها الباحثون والممارسون، وإن اختلفوا في ترتيب أولوياتها والثقل النسبي الذي يمنحونه لكل هدف منها</w:t>
      </w:r>
      <w:r w:rsidRPr="007A1717">
        <w:rPr>
          <w:rFonts w:ascii="Sakkal Majalla" w:hAnsi="Sakkal Majalla" w:cs="Sakkal Majalla"/>
          <w:color w:val="000000" w:themeColor="text1"/>
          <w:sz w:val="28"/>
          <w:szCs w:val="28"/>
        </w:rPr>
        <w:t>.</w:t>
      </w:r>
    </w:p>
    <w:p w14:paraId="24CC52B9"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فقد حدد</w:t>
      </w:r>
      <w:r w:rsidRPr="007A1717">
        <w:rPr>
          <w:rFonts w:ascii="Sakkal Majalla" w:hAnsi="Sakkal Majalla" w:cs="Sakkal Majalla"/>
          <w:color w:val="000000" w:themeColor="text1"/>
          <w:sz w:val="28"/>
          <w:szCs w:val="28"/>
        </w:rPr>
        <w:t xml:space="preserve"> Rokhideh et al. (2025) </w:t>
      </w:r>
      <w:r w:rsidRPr="007A1717">
        <w:rPr>
          <w:rFonts w:ascii="Sakkal Majalla" w:hAnsi="Sakkal Majalla" w:cs="Sakkal Majalla"/>
          <w:color w:val="000000" w:themeColor="text1"/>
          <w:sz w:val="28"/>
          <w:szCs w:val="28"/>
          <w:rtl/>
        </w:rPr>
        <w:t>أهداف أنظمة الإنذار المبكر في إطار ما أسموه "سلسلة القيمة الوقائية"، والتي تتضمن ثلاثة أهداف رئيسية مترابطة: أولها الهدف الرصدي-التشخيصي المتمثل في الكشف المبكر عن التهديدات من خلال منظومة متكاملة من أدوات المراقبة المستمرة التي تعمل على مدار الساعة لتتبع المتغيرات ذات الصلة بالمخاطر. وثانيها الهدف التواصلي-التحذيري الذي يتمحور حول إيصال المعلومات التحذيرية إلى الفئات المستهدفة بصورة واضحة وفي توقيت مناسب وعبر قنوات متعددة تضمن الوصول إلى أوسع شريحة ممكنة. وثالثها الهدف التمكيني-الاستجابي الذي يسعى إلى تحفيز السلوك الوقائي لدى الأفراد والمؤسسات وتمكينهم من اتخاذ إجراءات حماية فعّالة بناءً على التحذيرات المتلقاة</w:t>
      </w:r>
      <w:r w:rsidRPr="007A1717">
        <w:rPr>
          <w:rFonts w:ascii="Sakkal Majalla" w:hAnsi="Sakkal Majalla" w:cs="Sakkal Majalla"/>
          <w:color w:val="000000" w:themeColor="text1"/>
          <w:sz w:val="28"/>
          <w:szCs w:val="28"/>
        </w:rPr>
        <w:t>.</w:t>
      </w:r>
    </w:p>
    <w:p w14:paraId="4D8E3ACE"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ويرى ثانون وآخرون (2021) أن أهداف أنظمة الإنذار المبكر في مجال الحد من مخاطر الكوارث ينبغي أن تُفهم في ضوء الأطر الدولية المرجعية وفي مقدمتها إطار سنداي، حيث حددوا ثلاثة أهداف محورية</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أولها حماية الأرواح البشرية بوصفه الهدف الأسمى الذي تتمحور حوله جميع مكونات النظام. وثانيها حماية الأصول والممتلكات والبنية التحتية الحيوية من خلال توفير وقت كافٍ لتنفيذ إجراءات الحماية والتأمين. وثالثها تعزيز صمود المجتمعات وقدرتها على التعافي السريع من خلال بناء ثقافة الاستعداد والجاهزية المستمرة</w:t>
      </w:r>
      <w:r w:rsidRPr="007A1717">
        <w:rPr>
          <w:rFonts w:ascii="Sakkal Majalla" w:hAnsi="Sakkal Majalla" w:cs="Sakkal Majalla"/>
          <w:color w:val="000000" w:themeColor="text1"/>
          <w:sz w:val="28"/>
          <w:szCs w:val="28"/>
        </w:rPr>
        <w:t>.</w:t>
      </w:r>
    </w:p>
    <w:p w14:paraId="6472C222" w14:textId="304E9F3D"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كما أوضح</w:t>
      </w:r>
      <w:r w:rsidRPr="007A1717">
        <w:rPr>
          <w:rFonts w:ascii="Sakkal Majalla" w:hAnsi="Sakkal Majalla" w:cs="Sakkal Majalla"/>
          <w:color w:val="000000" w:themeColor="text1"/>
          <w:sz w:val="28"/>
          <w:szCs w:val="28"/>
        </w:rPr>
        <w:t xml:space="preserve"> Zhan et al. (2023) </w:t>
      </w:r>
      <w:r w:rsidRPr="007A1717">
        <w:rPr>
          <w:rFonts w:ascii="Sakkal Majalla" w:hAnsi="Sakkal Majalla" w:cs="Sakkal Majalla"/>
          <w:color w:val="000000" w:themeColor="text1"/>
          <w:sz w:val="28"/>
          <w:szCs w:val="28"/>
          <w:rtl/>
        </w:rPr>
        <w:t>أن أنظمة الإنذار المبكر في سياق السلامة الحضرية والصناعية تسعى إلى تحقيق ثلاثة أهداف تتسم بالتكاملية: أولها التقليل من زمن الاستجابة الفاصل بين وقوع الحدث الخطر وبدء تنفيذ إجراءات الطوارئ، حيث إن كل دقيقة يتم توفيرها في هذا الزمن تترجم إلى إنقاذ أرواح وتقليل خسائر</w:t>
      </w:r>
      <w:r w:rsidR="00E43AF3" w:rsidRPr="007A1717">
        <w:rPr>
          <w:rFonts w:ascii="Sakkal Majalla" w:hAnsi="Sakkal Majalla" w:cs="Sakkal Majalla" w:hint="cs"/>
          <w:color w:val="000000" w:themeColor="text1"/>
          <w:sz w:val="28"/>
          <w:szCs w:val="28"/>
          <w:rtl/>
        </w:rPr>
        <w:t>، وثانيها</w:t>
      </w:r>
      <w:r w:rsidRPr="007A1717">
        <w:rPr>
          <w:rFonts w:ascii="Sakkal Majalla" w:hAnsi="Sakkal Majalla" w:cs="Sakkal Majalla"/>
          <w:color w:val="000000" w:themeColor="text1"/>
          <w:sz w:val="28"/>
          <w:szCs w:val="28"/>
          <w:rtl/>
        </w:rPr>
        <w:t xml:space="preserve"> تحسين آليات التنسيق بين الجهات المتعددة المعنية بالاستجابة للطوارئ من خلال توفير قاعدة معلوماتية مشتركة ومحدثة. وثالثها تحسين تخصيص الموارد والإمكانات المحدودة عبر توجيهها إلى المواقع الأكثر عرضة للخطر بناءً على تقييم مستمر للأوضاع</w:t>
      </w:r>
      <w:r w:rsidRPr="007A1717">
        <w:rPr>
          <w:rFonts w:ascii="Sakkal Majalla" w:hAnsi="Sakkal Majalla" w:cs="Sakkal Majalla"/>
          <w:color w:val="000000" w:themeColor="text1"/>
          <w:sz w:val="28"/>
          <w:szCs w:val="28"/>
        </w:rPr>
        <w:t>.</w:t>
      </w:r>
    </w:p>
    <w:p w14:paraId="218E6F44" w14:textId="26A39268"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 أشار </w:t>
      </w:r>
      <w:r w:rsidRPr="007A1717">
        <w:rPr>
          <w:rFonts w:ascii="Sakkal Majalla" w:hAnsi="Sakkal Majalla" w:cs="Sakkal Majalla"/>
          <w:color w:val="000000" w:themeColor="text1"/>
          <w:sz w:val="28"/>
          <w:szCs w:val="28"/>
        </w:rPr>
        <w:t xml:space="preserve">Meckawy et al. (2022) </w:t>
      </w:r>
      <w:r w:rsidRPr="007A1717">
        <w:rPr>
          <w:rFonts w:ascii="Sakkal Majalla" w:hAnsi="Sakkal Majalla" w:cs="Sakkal Majalla"/>
          <w:color w:val="000000" w:themeColor="text1"/>
          <w:sz w:val="28"/>
          <w:szCs w:val="28"/>
          <w:rtl/>
        </w:rPr>
        <w:t>إلى أن أنظمة الإنذار المبكر تستهدف ثلاثة أهداف حيوية: أولها الكشف السريع عن الأحداث الخطرة في مراحلها الأولى قبل تحولها إلى أزمات كاملة الأبعاد. وثانيها تفعيل بروتوكولات الاستجابة المبكرة التي تحدّ من انتشار التأثيرات السلبية واتساع نطاقها. وثالثها توفير قاعدة بيانات تراكمية تُستخدم في تحسين قدرات التنبؤ والوقاية على المدى البعيد من خلال التعلم المستمر من الأحداث السابقة</w:t>
      </w:r>
      <w:r w:rsidRPr="007A1717">
        <w:rPr>
          <w:rFonts w:ascii="Sakkal Majalla" w:hAnsi="Sakkal Majalla" w:cs="Sakkal Majalla"/>
          <w:color w:val="000000" w:themeColor="text1"/>
          <w:sz w:val="28"/>
          <w:szCs w:val="28"/>
        </w:rPr>
        <w:t>.</w:t>
      </w:r>
    </w:p>
    <w:p w14:paraId="704F402B"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أما</w:t>
      </w:r>
      <w:r w:rsidRPr="007A1717">
        <w:rPr>
          <w:rFonts w:ascii="Sakkal Majalla" w:hAnsi="Sakkal Majalla" w:cs="Sakkal Majalla"/>
          <w:color w:val="000000" w:themeColor="text1"/>
          <w:sz w:val="28"/>
          <w:szCs w:val="28"/>
        </w:rPr>
        <w:t xml:space="preserve"> Ringo et al. (2024) </w:t>
      </w:r>
      <w:r w:rsidRPr="007A1717">
        <w:rPr>
          <w:rFonts w:ascii="Sakkal Majalla" w:hAnsi="Sakkal Majalla" w:cs="Sakkal Majalla"/>
          <w:color w:val="000000" w:themeColor="text1"/>
          <w:sz w:val="28"/>
          <w:szCs w:val="28"/>
          <w:rtl/>
        </w:rPr>
        <w:t>فقد ركزوا على أهداف أنظمة الإنذار المبكر من زاوية الحدّ من آثار الكوارث وليس منعها بالكامل، انطلاقاً من إدراك واقعي بأن بعض الأحداث الكارثية لا يمكن منع وقوعها كلياً. وقد حددوا ثلاثة أهداف في هذا الإطار: أولها تقليل الفجوة بين التنبؤ والاستجابة إلى أدنى حد ممكن. وثانيها تمكين المجتمعات المعرضة للخطر من اتخاذ قرارات مستنيرة بشأن حمايتها الذاتية. وثالثها دعم استمرارية الأعمال في المنشآت الصناعية والاقتصادية من خلال توفير تحذيرات تتيح تنفيذ خطط استمرارية الأعمال في الوقت المناسب</w:t>
      </w:r>
      <w:r w:rsidRPr="007A1717">
        <w:rPr>
          <w:rFonts w:ascii="Sakkal Majalla" w:hAnsi="Sakkal Majalla" w:cs="Sakkal Majalla"/>
          <w:color w:val="000000" w:themeColor="text1"/>
          <w:sz w:val="28"/>
          <w:szCs w:val="28"/>
        </w:rPr>
        <w:t>.</w:t>
      </w:r>
    </w:p>
    <w:p w14:paraId="2B5DA1DE"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وبتأمل هذه الرؤى المتعددة، يتبين أن أهداف أنظمة الإنذار المبكر تتكامل في ثلاث حلقات متداخلة: حلقة الحماية المباشرة للأرواح والممتلكات، وحلقة التمكين المعلوماتي لصانعي القرار والمجتمعات، وحلقة التعلم المؤسسي المستمر الذي يحسّن أداء المنظومة بأكملها عبر الزمن</w:t>
      </w:r>
      <w:r w:rsidRPr="007A1717">
        <w:rPr>
          <w:rFonts w:ascii="Sakkal Majalla" w:hAnsi="Sakkal Majalla" w:cs="Sakkal Majalla"/>
          <w:color w:val="000000" w:themeColor="text1"/>
          <w:sz w:val="28"/>
          <w:szCs w:val="28"/>
        </w:rPr>
        <w:t>.</w:t>
      </w:r>
    </w:p>
    <w:p w14:paraId="198A9793" w14:textId="26A42AF9" w:rsidR="00E748EB" w:rsidRPr="007A1717" w:rsidRDefault="00E43AF3" w:rsidP="00E43AF3">
      <w:pPr>
        <w:spacing w:before="100" w:beforeAutospacing="1" w:after="100" w:afterAutospacing="1"/>
        <w:outlineLvl w:val="2"/>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br w:type="page"/>
      </w:r>
      <w:bookmarkStart w:id="31" w:name="_Toc223307787"/>
      <w:r w:rsidRPr="007A1717">
        <w:rPr>
          <w:rFonts w:ascii="Sakkal Majalla" w:hAnsi="Sakkal Majalla" w:cs="Sakkal Majalla" w:hint="cs"/>
          <w:b/>
          <w:bCs/>
          <w:color w:val="000000" w:themeColor="text1"/>
          <w:sz w:val="32"/>
          <w:szCs w:val="32"/>
          <w:rtl/>
        </w:rPr>
        <w:lastRenderedPageBreak/>
        <w:t xml:space="preserve">5.1.2 </w:t>
      </w:r>
      <w:r w:rsidR="00E748EB" w:rsidRPr="007A1717">
        <w:rPr>
          <w:rFonts w:ascii="Sakkal Majalla" w:hAnsi="Sakkal Majalla" w:cs="Sakkal Majalla"/>
          <w:b/>
          <w:bCs/>
          <w:color w:val="000000" w:themeColor="text1"/>
          <w:sz w:val="32"/>
          <w:szCs w:val="32"/>
          <w:rtl/>
        </w:rPr>
        <w:t>أبعاد أنظمة الإنذار المبكر</w:t>
      </w:r>
      <w:bookmarkEnd w:id="31"/>
    </w:p>
    <w:p w14:paraId="74E5A54F"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تم تحديد أبعاد أنظمة الإنذار المبكر في هذه الدراسة بناءً على مراجعة معمقة للأدبيات ذات الصلة، وبخاصة ما طرحه </w:t>
      </w:r>
      <w:r w:rsidRPr="007A1717">
        <w:rPr>
          <w:rFonts w:ascii="Sakkal Majalla" w:hAnsi="Sakkal Majalla" w:cs="Sakkal Majalla"/>
          <w:color w:val="000000" w:themeColor="text1"/>
          <w:sz w:val="28"/>
          <w:szCs w:val="28"/>
        </w:rPr>
        <w:t xml:space="preserve">Kalogiannidis et al. (2025) </w:t>
      </w:r>
      <w:r w:rsidRPr="007A1717">
        <w:rPr>
          <w:rFonts w:ascii="Sakkal Majalla" w:hAnsi="Sakkal Majalla" w:cs="Sakkal Majalla"/>
          <w:color w:val="000000" w:themeColor="text1"/>
          <w:sz w:val="28"/>
          <w:szCs w:val="28"/>
          <w:rtl/>
        </w:rPr>
        <w:t>بشأن المكونات الأربعة لفعالية أنظمة الإنذار في تقليل الخسائر البشرية والتي تتضمن عناصر التوقيت ودقة التنبؤ والوعي العام والتطور التكنولوجي، وما أكده</w:t>
      </w:r>
      <w:r w:rsidRPr="007A1717">
        <w:rPr>
          <w:rFonts w:ascii="Sakkal Majalla" w:hAnsi="Sakkal Majalla" w:cs="Sakkal Majalla"/>
          <w:color w:val="000000" w:themeColor="text1"/>
          <w:sz w:val="28"/>
          <w:szCs w:val="28"/>
        </w:rPr>
        <w:t xml:space="preserve"> UNDRR (2023) </w:t>
      </w:r>
      <w:r w:rsidRPr="007A1717">
        <w:rPr>
          <w:rFonts w:ascii="Sakkal Majalla" w:hAnsi="Sakkal Majalla" w:cs="Sakkal Majalla"/>
          <w:color w:val="000000" w:themeColor="text1"/>
          <w:sz w:val="28"/>
          <w:szCs w:val="28"/>
          <w:rtl/>
        </w:rPr>
        <w:t>في تقريره عن الوضع العالمي لأنظمة الإنذار المبكر متعددة الأخطار بشأن الركائز الأساسية الأربع التي يقوم عليها أي نظام إنذار فعّال، وما توصل إليه</w:t>
      </w:r>
      <w:r w:rsidRPr="007A1717">
        <w:rPr>
          <w:rFonts w:ascii="Sakkal Majalla" w:hAnsi="Sakkal Majalla" w:cs="Sakkal Majalla"/>
          <w:color w:val="000000" w:themeColor="text1"/>
          <w:sz w:val="28"/>
          <w:szCs w:val="28"/>
        </w:rPr>
        <w:t xml:space="preserve"> Romadiana et al. (2025) </w:t>
      </w:r>
      <w:r w:rsidRPr="007A1717">
        <w:rPr>
          <w:rFonts w:ascii="Sakkal Majalla" w:hAnsi="Sakkal Majalla" w:cs="Sakkal Majalla"/>
          <w:color w:val="000000" w:themeColor="text1"/>
          <w:sz w:val="28"/>
          <w:szCs w:val="28"/>
          <w:rtl/>
        </w:rPr>
        <w:t>بشأن دور الجاهزية الرقمية في تحويل أنظمة الإنذار من آليات إيصال معلومات إلى منظومات تخفيف جماعية فعّالة، فضلاً عن ما أشار إليه</w:t>
      </w:r>
      <w:r w:rsidRPr="007A1717">
        <w:rPr>
          <w:rFonts w:ascii="Sakkal Majalla" w:hAnsi="Sakkal Majalla" w:cs="Sakkal Majalla"/>
          <w:color w:val="000000" w:themeColor="text1"/>
          <w:sz w:val="28"/>
          <w:szCs w:val="28"/>
        </w:rPr>
        <w:t xml:space="preserve"> Yan et al. (2024) </w:t>
      </w:r>
      <w:r w:rsidRPr="007A1717">
        <w:rPr>
          <w:rFonts w:ascii="Sakkal Majalla" w:hAnsi="Sakkal Majalla" w:cs="Sakkal Majalla"/>
          <w:color w:val="000000" w:themeColor="text1"/>
          <w:sz w:val="28"/>
          <w:szCs w:val="28"/>
          <w:rtl/>
        </w:rPr>
        <w:t>بشأن المكونات البنيوية لنظام الإنذار في المنشآت الصناعية المعدنية. وبناءً على هذه المراجعة، تم اعتماد ثلاثة أبعاد رئيسية تعكس المكونات الحرجة لفعالية أنظمة الإنذار المبكر في السياق الصناعي، وهي</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الجاهزية التقنية، وسرعة الاستجابة، وكفاءة الاتصال التحذيري</w:t>
      </w:r>
      <w:r w:rsidRPr="007A1717">
        <w:rPr>
          <w:rFonts w:ascii="Sakkal Majalla" w:hAnsi="Sakkal Majalla" w:cs="Sakkal Majalla"/>
          <w:color w:val="000000" w:themeColor="text1"/>
          <w:sz w:val="28"/>
          <w:szCs w:val="28"/>
        </w:rPr>
        <w:t>.</w:t>
      </w:r>
    </w:p>
    <w:p w14:paraId="2903CFC5" w14:textId="77777777" w:rsidR="00E748EB" w:rsidRPr="007A1717" w:rsidRDefault="00E748EB" w:rsidP="00A12B57">
      <w:pPr>
        <w:spacing w:before="100" w:beforeAutospacing="1" w:after="100" w:afterAutospacing="1" w:line="360" w:lineRule="auto"/>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البعد الأول: الجاهزية التقنية</w:t>
      </w:r>
    </w:p>
    <w:p w14:paraId="12468D04" w14:textId="2672E23D"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تمثل الجاهزية التقنية البنية الأساسية التي تقوم عليها أنظمة الإنذار المبكر، وتشير إلى مدى توفر البنية التحتية التكنولوجية اللازمة لعمل النظام وجاهزيتها للتشغيل المستمر والموثوق في جميع الظروف، ولا يقتصر مفهوم الجاهزية التقنية على مجرد امتلاك المعدات والأجهزة، بل يمتد ليشمل تكامل هذه المكونات وتوافقها وقدرتها على العمل المنسق في ظروف الأزمات التي تتطلب أعلى مستويات الأداء والاعتمادية</w:t>
      </w:r>
      <w:r w:rsidRPr="007A1717">
        <w:rPr>
          <w:rFonts w:ascii="Sakkal Majalla" w:hAnsi="Sakkal Majalla" w:cs="Sakkal Majalla"/>
          <w:color w:val="000000" w:themeColor="text1"/>
          <w:sz w:val="28"/>
          <w:szCs w:val="28"/>
        </w:rPr>
        <w:t>.</w:t>
      </w:r>
    </w:p>
    <w:p w14:paraId="379C7AC4" w14:textId="1562C156"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وقد أوضح</w:t>
      </w:r>
      <w:r w:rsidRPr="007A1717">
        <w:rPr>
          <w:rFonts w:ascii="Sakkal Majalla" w:hAnsi="Sakkal Majalla" w:cs="Sakkal Majalla"/>
          <w:color w:val="000000" w:themeColor="text1"/>
          <w:sz w:val="28"/>
          <w:szCs w:val="28"/>
        </w:rPr>
        <w:t xml:space="preserve"> Romadiana et al. (2025) </w:t>
      </w:r>
      <w:r w:rsidRPr="007A1717">
        <w:rPr>
          <w:rFonts w:ascii="Sakkal Majalla" w:hAnsi="Sakkal Majalla" w:cs="Sakkal Majalla"/>
          <w:color w:val="000000" w:themeColor="text1"/>
          <w:sz w:val="28"/>
          <w:szCs w:val="28"/>
          <w:rtl/>
        </w:rPr>
        <w:t>أن الجاهزية التقنية تتضمن عدة عناصر متكاملة، في مقدمتها جاهزية شبكات الاتصال الرقمية التي تنقل البيانات من نقاط الرصد إلى مراكز التحليل واتخاذ القرار، وتكامل أنظمة البيانات التي تضمن تدفق المعلومات بسلاسة بين المكونات المختلفة للنظام، وموثوقية مصادر الطاقة التي تغذي المنظومة بأكملها، وقد أكدت هذه الدراسة أن كثيراً من أنظمة الإنذار المبكر تعمل فعلياً كآليات لإيصال المعلومات فقط دون أن تتحول إلى أدوات تخفيف حقيقية، وذلك بسبب القصور في الجاهزية التقنية للبنية التحتية الرقمية الداعمة،</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 xml:space="preserve">فمحدودية الشبكات الرقمية وتجزؤ نظم </w:t>
      </w:r>
      <w:r w:rsidRPr="007A1717">
        <w:rPr>
          <w:rFonts w:ascii="Sakkal Majalla" w:hAnsi="Sakkal Majalla" w:cs="Sakkal Majalla"/>
          <w:color w:val="000000" w:themeColor="text1"/>
          <w:sz w:val="28"/>
          <w:szCs w:val="28"/>
          <w:rtl/>
        </w:rPr>
        <w:lastRenderedPageBreak/>
        <w:t>البيانات وضعف التنسيق المؤسسي تشكل عوائق جوهرية تحول دون تحقيق الفعالية المرجوة حتى لو توفرت التقنيات المتقدمة</w:t>
      </w:r>
      <w:r w:rsidRPr="007A1717">
        <w:rPr>
          <w:rFonts w:ascii="Sakkal Majalla" w:hAnsi="Sakkal Majalla" w:cs="Sakkal Majalla"/>
          <w:color w:val="000000" w:themeColor="text1"/>
          <w:sz w:val="28"/>
          <w:szCs w:val="28"/>
        </w:rPr>
        <w:t>.</w:t>
      </w:r>
    </w:p>
    <w:p w14:paraId="091E8068" w14:textId="3638F04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وبيّن</w:t>
      </w:r>
      <w:r w:rsidRPr="007A1717">
        <w:rPr>
          <w:rFonts w:ascii="Sakkal Majalla" w:hAnsi="Sakkal Majalla" w:cs="Sakkal Majalla"/>
          <w:color w:val="000000" w:themeColor="text1"/>
          <w:sz w:val="28"/>
          <w:szCs w:val="28"/>
        </w:rPr>
        <w:t xml:space="preserve"> Wei et al. (2023) </w:t>
      </w:r>
      <w:r w:rsidRPr="007A1717">
        <w:rPr>
          <w:rFonts w:ascii="Sakkal Majalla" w:hAnsi="Sakkal Majalla" w:cs="Sakkal Majalla"/>
          <w:color w:val="000000" w:themeColor="text1"/>
          <w:sz w:val="28"/>
          <w:szCs w:val="28"/>
          <w:rtl/>
        </w:rPr>
        <w:t>أن الجاهزية التقنية لأنظمة الإنذار المبكر في المجمعات الكيميائية الصناعية تتطلب بنية تحتية متعددة الطبقات تبدأ من طبقة الاستشعار الميداني التي تتضمن أجهزة قياس درجة الحرارة والضغط والتركيزات الغازية موزعة حول مصادر الخطر الرئيسية، مروراً بطبقة نقل البيانات التي تعتمد على بروتوكولات إنترنت الأشياء لضمان النقل اللحظي والمستمر للقراءات، وصولاً إلى طبقة المعالجة والتحليل التي تُجرى فيها المقارنة بين القراءات الفعلية والعتبات الآمنة المحددة مسبقاً لإطلاق التنبيهات المناسبة، وهذه البنية المتعددة الطبقات تستلزم مستوى عالياً من التكامل والتزامن بين جميع المكونات لتحقيق الأداء المطلوب</w:t>
      </w:r>
      <w:r w:rsidRPr="007A1717">
        <w:rPr>
          <w:rFonts w:ascii="Sakkal Majalla" w:hAnsi="Sakkal Majalla" w:cs="Sakkal Majalla"/>
          <w:color w:val="000000" w:themeColor="text1"/>
          <w:sz w:val="28"/>
          <w:szCs w:val="28"/>
        </w:rPr>
        <w:t>.</w:t>
      </w:r>
    </w:p>
    <w:p w14:paraId="7230C908" w14:textId="7880EF71"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كما أشار</w:t>
      </w:r>
      <w:r w:rsidRPr="007A1717">
        <w:rPr>
          <w:rFonts w:ascii="Sakkal Majalla" w:hAnsi="Sakkal Majalla" w:cs="Sakkal Majalla"/>
          <w:color w:val="000000" w:themeColor="text1"/>
          <w:sz w:val="28"/>
          <w:szCs w:val="28"/>
        </w:rPr>
        <w:t xml:space="preserve"> Yan et al. (2024) </w:t>
      </w:r>
      <w:r w:rsidRPr="007A1717">
        <w:rPr>
          <w:rFonts w:ascii="Sakkal Majalla" w:hAnsi="Sakkal Majalla" w:cs="Sakkal Majalla"/>
          <w:color w:val="000000" w:themeColor="text1"/>
          <w:sz w:val="28"/>
          <w:szCs w:val="28"/>
          <w:rtl/>
        </w:rPr>
        <w:t>إلى أن الجاهزية التقنية في المنشآت الصناعية المعدنية تستلزم توفر أنظمة قادرة على التعامل مع البيانات غير المؤكدة والمعلومات الناقصة التي كثيراً ما تميّز البيئات الصناعية المعقدة، لأنه يتيح الاستدلال في ظل عدم اليقين وإصدار تقديرات كمية لاحتمالية وقوع الحوادث بدلاً من الاكتفاء بتحذيرات نوعية عامة. وتتضمن الجاهزية التقنية في هذا السياق القدرة على بناء نماذج سببية هرمية متعددة المستويات تربط بين عوامل الخطر الأساسية والانتقالية والمجاورة، وهو ما يتطلب قدرات حوسبية متقدمة وبرمجيات تحليلية متخصصة</w:t>
      </w:r>
      <w:r w:rsidRPr="007A1717">
        <w:rPr>
          <w:rFonts w:ascii="Sakkal Majalla" w:hAnsi="Sakkal Majalla" w:cs="Sakkal Majalla"/>
          <w:color w:val="000000" w:themeColor="text1"/>
          <w:sz w:val="28"/>
          <w:szCs w:val="28"/>
        </w:rPr>
        <w:t>.</w:t>
      </w:r>
    </w:p>
    <w:p w14:paraId="549D1B09"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ويضيف</w:t>
      </w:r>
      <w:r w:rsidRPr="007A1717">
        <w:rPr>
          <w:rFonts w:ascii="Sakkal Majalla" w:hAnsi="Sakkal Majalla" w:cs="Sakkal Majalla"/>
          <w:color w:val="000000" w:themeColor="text1"/>
          <w:sz w:val="28"/>
          <w:szCs w:val="28"/>
        </w:rPr>
        <w:t xml:space="preserve"> Chai et al. (2025) </w:t>
      </w:r>
      <w:r w:rsidRPr="007A1717">
        <w:rPr>
          <w:rFonts w:ascii="Sakkal Majalla" w:hAnsi="Sakkal Majalla" w:cs="Sakkal Majalla"/>
          <w:color w:val="000000" w:themeColor="text1"/>
          <w:sz w:val="28"/>
          <w:szCs w:val="28"/>
          <w:rtl/>
        </w:rPr>
        <w:t>أن الجاهزية التقنية المعاصرة لأنظمة الإنذار المبكر تتضمن بُعداً جديداً يتمثل في القدرة على توظيف خوارزميات التعلم الآلي في تحليل البيانات التاريخية للحوادث والتنبؤ بالحوادث المستقبلية. فالنماذج التقليدية التي تعتمد على قواعد ثابتة ومحددة مسبقاً أصبحت قاصرة عن التعامل مع التعقيد المتنامي للبيئات الصناعية، مما يستلزم الانتقال إلى نماذج تكيّفية قادرة على التعلم من البيانات وتحديث تقديراتها بشكل مستمر</w:t>
      </w:r>
      <w:r w:rsidRPr="007A1717">
        <w:rPr>
          <w:rFonts w:ascii="Sakkal Majalla" w:hAnsi="Sakkal Majalla" w:cs="Sakkal Majalla"/>
          <w:color w:val="000000" w:themeColor="text1"/>
          <w:sz w:val="28"/>
          <w:szCs w:val="28"/>
        </w:rPr>
        <w:t>.</w:t>
      </w:r>
    </w:p>
    <w:p w14:paraId="2A230E19" w14:textId="5FB66EF9" w:rsidR="00E748EB" w:rsidRPr="007A1717" w:rsidRDefault="00E43AF3" w:rsidP="00E43AF3">
      <w:pPr>
        <w:spacing w:before="100" w:beforeAutospacing="1" w:after="100" w:afterAutospacing="1"/>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br w:type="page"/>
      </w:r>
      <w:r w:rsidR="00E748EB" w:rsidRPr="007A1717">
        <w:rPr>
          <w:rFonts w:ascii="Sakkal Majalla" w:hAnsi="Sakkal Majalla" w:cs="Sakkal Majalla"/>
          <w:b/>
          <w:bCs/>
          <w:color w:val="000000" w:themeColor="text1"/>
          <w:sz w:val="28"/>
          <w:szCs w:val="28"/>
          <w:rtl/>
        </w:rPr>
        <w:lastRenderedPageBreak/>
        <w:t>البعد الثاني: سرعة الاستجابة</w:t>
      </w:r>
    </w:p>
    <w:p w14:paraId="1DE0A927"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يُعدّ بُعد سرعة الاستجابة من الأبعاد الحرجة في تحديد فعالية أنظمة الإنذار المبكر، إذ يرتبط مباشرة بالفارق الزمني بين لحظة رصد المؤشرات التحذيرية ولحظة اتخاذ الإجراءات الوقائية الفعلية</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وهذا البُعد لا يتعلق فقط بالسرعة التقنية لمعالجة البيانات وإطلاق التنبيهات، بل يشمل أيضاً سرعة الاستجابة المؤسسية والبشرية التي تترجم التحذيرات إلى أفعال حماية ملموسة على أرض الواقع</w:t>
      </w:r>
      <w:r w:rsidRPr="007A1717">
        <w:rPr>
          <w:rFonts w:ascii="Sakkal Majalla" w:hAnsi="Sakkal Majalla" w:cs="Sakkal Majalla"/>
          <w:color w:val="000000" w:themeColor="text1"/>
          <w:sz w:val="28"/>
          <w:szCs w:val="28"/>
        </w:rPr>
        <w:t>.</w:t>
      </w:r>
    </w:p>
    <w:p w14:paraId="4EC60F5D"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وقد أكد</w:t>
      </w:r>
      <w:r w:rsidRPr="007A1717">
        <w:rPr>
          <w:rFonts w:ascii="Sakkal Majalla" w:hAnsi="Sakkal Majalla" w:cs="Sakkal Majalla"/>
          <w:color w:val="000000" w:themeColor="text1"/>
          <w:sz w:val="28"/>
          <w:szCs w:val="28"/>
        </w:rPr>
        <w:t xml:space="preserve"> Kalogiannidis et al. (2025) </w:t>
      </w:r>
      <w:r w:rsidRPr="007A1717">
        <w:rPr>
          <w:rFonts w:ascii="Sakkal Majalla" w:hAnsi="Sakkal Majalla" w:cs="Sakkal Majalla"/>
          <w:color w:val="000000" w:themeColor="text1"/>
          <w:sz w:val="28"/>
          <w:szCs w:val="28"/>
          <w:rtl/>
        </w:rPr>
        <w:t>أن عنصر التوقيت يمثل المحدد الأول لفعالية أنظمة الإنذار المبكر في إنقاذ الأرواح البشرية، حيث تناولت دراستهم مفهوم التوقيت من حيث مدى قدرة النظام على توفير تنبيهات مبكرة قبل وقوع الكوارث بوقت كافٍ يتيح الاستعداد والتأهب</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وقد تضمن إطارهم التحليلي مؤشرات لقياس هذا البُعد تشمل انطباعات المتخصصين حول مدى كفاية الفترة الزمنية الفاصلة بين إصدار الإنذار ووقوع الحدث، ومدى ملاءمة هذه الفترة لتنفيذ قرارات الإخلاء وتفعيل خطط الطوارئ</w:t>
      </w:r>
      <w:r w:rsidRPr="007A1717">
        <w:rPr>
          <w:rFonts w:ascii="Sakkal Majalla" w:hAnsi="Sakkal Majalla" w:cs="Sakkal Majalla"/>
          <w:color w:val="000000" w:themeColor="text1"/>
          <w:sz w:val="28"/>
          <w:szCs w:val="28"/>
        </w:rPr>
        <w:t>.</w:t>
      </w:r>
    </w:p>
    <w:p w14:paraId="1F484698"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ومن الزاوية التشغيلية، أوضح</w:t>
      </w:r>
      <w:r w:rsidRPr="007A1717">
        <w:rPr>
          <w:rFonts w:ascii="Sakkal Majalla" w:hAnsi="Sakkal Majalla" w:cs="Sakkal Majalla"/>
          <w:color w:val="000000" w:themeColor="text1"/>
          <w:sz w:val="28"/>
          <w:szCs w:val="28"/>
        </w:rPr>
        <w:t xml:space="preserve"> Zhan et al. (2023) </w:t>
      </w:r>
      <w:r w:rsidRPr="007A1717">
        <w:rPr>
          <w:rFonts w:ascii="Sakkal Majalla" w:hAnsi="Sakkal Majalla" w:cs="Sakkal Majalla"/>
          <w:color w:val="000000" w:themeColor="text1"/>
          <w:sz w:val="28"/>
          <w:szCs w:val="28"/>
          <w:rtl/>
        </w:rPr>
        <w:t>أن سرعة الاستجابة في سياق أنظمة الإنذار الحضرية والصناعية تتحدد بعدة عوامل متداخلة، أبرزها سرعة أنظمة الرصد في الكشف عن الانحرافات التشغيلية، وسرعة منظومات التحليل في تقييم مستوى الخطر وتصنيفه، وسرعة قنوات الاتصال في إيصال التحذيرات إلى الجهات المعنية، وسرعة آليات التنسيق بين الجهات المتعددة المشاركة في الاستجابة. وأي تأخر أو اختناق في أي حلقة من هذه الحلقات ينعكس سلباً على الأداء الكلي للمنظومة ويقلص من نافذة الفرصة المتاحة لاتخاذ الإجراءات الوقائية</w:t>
      </w:r>
      <w:r w:rsidRPr="007A1717">
        <w:rPr>
          <w:rFonts w:ascii="Sakkal Majalla" w:hAnsi="Sakkal Majalla" w:cs="Sakkal Majalla"/>
          <w:color w:val="000000" w:themeColor="text1"/>
          <w:sz w:val="28"/>
          <w:szCs w:val="28"/>
        </w:rPr>
        <w:t>.</w:t>
      </w:r>
    </w:p>
    <w:p w14:paraId="32C8E699"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ويؤكد</w:t>
      </w:r>
      <w:r w:rsidRPr="007A1717">
        <w:rPr>
          <w:rFonts w:ascii="Sakkal Majalla" w:hAnsi="Sakkal Majalla" w:cs="Sakkal Majalla"/>
          <w:color w:val="000000" w:themeColor="text1"/>
          <w:sz w:val="28"/>
          <w:szCs w:val="28"/>
        </w:rPr>
        <w:t xml:space="preserve"> Fajrillah et al. (2024) </w:t>
      </w:r>
      <w:r w:rsidRPr="007A1717">
        <w:rPr>
          <w:rFonts w:ascii="Sakkal Majalla" w:hAnsi="Sakkal Majalla" w:cs="Sakkal Majalla"/>
          <w:color w:val="000000" w:themeColor="text1"/>
          <w:sz w:val="28"/>
          <w:szCs w:val="28"/>
          <w:rtl/>
        </w:rPr>
        <w:t>أن سرعة الاستجابة لا تتحقق بمجرد توفر التقنيات السريعة، بل تتطلب بناء قدرات مؤسسية ومجتمعية تضمن ترجمة التحذيرات إلى سلوكيات حماية فعلية. فالتجارب المتراكمة تكشف عن فجوة متكررة بين سرعة إصدار التحذيرات وبطء الاستجابة البشرية والمؤسسية لها، وهو ما يستدعي الاهتمام ببرامج التدريب والتوعية والمحاكاة الدورية التي تبني ذاكرة مؤسسية للاستجابة وتقلل من عوامل التردد والارتباك حين تُطلق الإنذارات الفعلية</w:t>
      </w:r>
      <w:r w:rsidRPr="007A1717">
        <w:rPr>
          <w:rFonts w:ascii="Sakkal Majalla" w:hAnsi="Sakkal Majalla" w:cs="Sakkal Majalla"/>
          <w:color w:val="000000" w:themeColor="text1"/>
          <w:sz w:val="28"/>
          <w:szCs w:val="28"/>
        </w:rPr>
        <w:t>.</w:t>
      </w:r>
    </w:p>
    <w:p w14:paraId="604349F5"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وقد أضاف</w:t>
      </w:r>
      <w:r w:rsidRPr="007A1717">
        <w:rPr>
          <w:rFonts w:ascii="Sakkal Majalla" w:hAnsi="Sakkal Majalla" w:cs="Sakkal Majalla"/>
          <w:color w:val="000000" w:themeColor="text1"/>
          <w:sz w:val="28"/>
          <w:szCs w:val="28"/>
        </w:rPr>
        <w:t xml:space="preserve"> Tin et al. (2023) </w:t>
      </w:r>
      <w:r w:rsidRPr="007A1717">
        <w:rPr>
          <w:rFonts w:ascii="Sakkal Majalla" w:hAnsi="Sakkal Majalla" w:cs="Sakkal Majalla"/>
          <w:color w:val="000000" w:themeColor="text1"/>
          <w:sz w:val="28"/>
          <w:szCs w:val="28"/>
          <w:rtl/>
        </w:rPr>
        <w:t>بُعداً مهماً يتصل بسرعة الاستجابة الطبية والصحية في سياق الكوارث الصناعية، حيث تناولا الجوانب الصحية المرتبطة بالكوارث الصناعية حول العالم من حيث أنماط الإصابات وتوزعها الجغرافي والزمني. وهذا التحليل يكشف عن أن سرعة الاستجابة الطبية ترتبط ارتباطاً وثيقاً بفعالية نظام الإنذار المبكر في توفير معلومات دقيقة عن طبيعة المخاطر المحتملة ونوع الإصابات المتوقعة، مما يتيح للفرق الطبية تهيئة مواردها وبروتوكولاتها بشكل استباقي</w:t>
      </w:r>
      <w:r w:rsidRPr="007A1717">
        <w:rPr>
          <w:rFonts w:ascii="Sakkal Majalla" w:hAnsi="Sakkal Majalla" w:cs="Sakkal Majalla"/>
          <w:color w:val="000000" w:themeColor="text1"/>
          <w:sz w:val="28"/>
          <w:szCs w:val="28"/>
        </w:rPr>
        <w:t>.</w:t>
      </w:r>
    </w:p>
    <w:p w14:paraId="107915B2"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ويشير السعدي (2024) إلى أن سرعة الاستجابة في أنظمة الإنذار المبكر تتأثر بالإطار القانوني والمؤسسي الذي يحكم عملية إطلاق الإنذارات والتصرف بناءً عليها. فوجود تشريعات واضحة تحدد صلاحيات إصدار الإنذار ومسؤوليات كل جهة في سلسلة الاستجابة يُعدّ شرطاً ضرورياً لتفادي التأخيرات الناجمة عن الغموض التنظيمي وتداخل الاختصاصات، وهو ما يتطلب أطراً حوكمية رشيقة تمنح الجهات التنفيذية المرونة الكافية للتصرف السريع ضمن حدود واضحة من المساءلة</w:t>
      </w:r>
      <w:r w:rsidRPr="007A1717">
        <w:rPr>
          <w:rFonts w:ascii="Sakkal Majalla" w:hAnsi="Sakkal Majalla" w:cs="Sakkal Majalla"/>
          <w:color w:val="000000" w:themeColor="text1"/>
          <w:sz w:val="28"/>
          <w:szCs w:val="28"/>
        </w:rPr>
        <w:t>.</w:t>
      </w:r>
    </w:p>
    <w:p w14:paraId="10421167" w14:textId="77777777" w:rsidR="00E748EB" w:rsidRPr="007A1717" w:rsidRDefault="00E748EB" w:rsidP="00A12B57">
      <w:pPr>
        <w:spacing w:before="100" w:beforeAutospacing="1" w:after="100" w:afterAutospacing="1" w:line="360" w:lineRule="auto"/>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البعد الثالث: كفاءة الاتصال التحذيري</w:t>
      </w:r>
    </w:p>
    <w:p w14:paraId="51A257AF"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يمثل بُعد كفاءة الاتصال التحذيري حلقة الوصل الحاسمة بين المكونات التقنية لنظام الإنذار المبكر والسلوك البشري المطلوب استجابة للتحذيرات. فمهما بلغت دقة أجهزة الرصد وسرعة أنظمة التحليل، فإن فعالية النظام تبقى رهينة بمدى قدرته على إيصال الرسائل التحذيرية إلى الفئات المستهدفة بصورة واضحة ومفهومة ومحفزة للعمل. ويشمل هذا البعد جوانب متعددة تتراوح بين تصميم المحتوى التحذيري واختيار قنوات النشر والتأكد من الوصول الفعلي إلى المتلقين وضمان فهمهم للرسالة واستجابتهم لها</w:t>
      </w:r>
      <w:r w:rsidRPr="007A1717">
        <w:rPr>
          <w:rFonts w:ascii="Sakkal Majalla" w:hAnsi="Sakkal Majalla" w:cs="Sakkal Majalla"/>
          <w:color w:val="000000" w:themeColor="text1"/>
          <w:sz w:val="28"/>
          <w:szCs w:val="28"/>
        </w:rPr>
        <w:t>.</w:t>
      </w:r>
    </w:p>
    <w:p w14:paraId="5C0AC869"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وقد تناول</w:t>
      </w:r>
      <w:r w:rsidRPr="007A1717">
        <w:rPr>
          <w:rFonts w:ascii="Sakkal Majalla" w:hAnsi="Sakkal Majalla" w:cs="Sakkal Majalla"/>
          <w:color w:val="000000" w:themeColor="text1"/>
          <w:sz w:val="28"/>
          <w:szCs w:val="28"/>
        </w:rPr>
        <w:t xml:space="preserve"> Pescaroli et al. (2025) </w:t>
      </w:r>
      <w:r w:rsidRPr="007A1717">
        <w:rPr>
          <w:rFonts w:ascii="Sakkal Majalla" w:hAnsi="Sakkal Majalla" w:cs="Sakkal Majalla"/>
          <w:color w:val="000000" w:themeColor="text1"/>
          <w:sz w:val="28"/>
          <w:szCs w:val="28"/>
          <w:rtl/>
        </w:rPr>
        <w:t xml:space="preserve">هذا البُعد من منظور اجتماعي-تقني مركب، حيث أكدوا أن فعالية الاتصال التحذيري لا تتحقق بمجرد إرسال الرسالة، بل تتوقف على شبكة معقدة من العوامل التي تشمل مصداقية مصدر التحذير وثقة المتلقين فيه، ووضوح اللغة المستخدمة وملاءمتها للسياق الثقافي والاجتماعي، وتوفر قنوات اتصال متعددة ومتكاملة تضمن الوصول إلى شرائح متنوعة من المتلقين بما فيهم </w:t>
      </w:r>
      <w:r w:rsidRPr="007A1717">
        <w:rPr>
          <w:rFonts w:ascii="Sakkal Majalla" w:hAnsi="Sakkal Majalla" w:cs="Sakkal Majalla"/>
          <w:color w:val="000000" w:themeColor="text1"/>
          <w:sz w:val="28"/>
          <w:szCs w:val="28"/>
          <w:rtl/>
        </w:rPr>
        <w:lastRenderedPageBreak/>
        <w:t>الفئات الأكثر ضعفاً</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كما أشاروا إلى أن الثقة في مصادر المعلومات تُعدّ عاملاً محورياً يؤثر في مدى استجابة الأفراد للتحذيرات، وأن هذه الثقة تتشكل عبر تفاعلات مستمرة تسبق لحظة الأزمة بفترة طويلة</w:t>
      </w:r>
      <w:r w:rsidRPr="007A1717">
        <w:rPr>
          <w:rFonts w:ascii="Sakkal Majalla" w:hAnsi="Sakkal Majalla" w:cs="Sakkal Majalla"/>
          <w:color w:val="000000" w:themeColor="text1"/>
          <w:sz w:val="28"/>
          <w:szCs w:val="28"/>
        </w:rPr>
        <w:t>.</w:t>
      </w:r>
    </w:p>
    <w:p w14:paraId="24B75D4E"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أما</w:t>
      </w:r>
      <w:r w:rsidRPr="007A1717">
        <w:rPr>
          <w:rFonts w:ascii="Sakkal Majalla" w:hAnsi="Sakkal Majalla" w:cs="Sakkal Majalla"/>
          <w:color w:val="000000" w:themeColor="text1"/>
          <w:sz w:val="28"/>
          <w:szCs w:val="28"/>
        </w:rPr>
        <w:t xml:space="preserve"> Hermans et al. (2022) </w:t>
      </w:r>
      <w:r w:rsidRPr="007A1717">
        <w:rPr>
          <w:rFonts w:ascii="Sakkal Majalla" w:hAnsi="Sakkal Majalla" w:cs="Sakkal Majalla"/>
          <w:color w:val="000000" w:themeColor="text1"/>
          <w:sz w:val="28"/>
          <w:szCs w:val="28"/>
          <w:rtl/>
        </w:rPr>
        <w:t>فقد سلّطوا الضوء على أهمية دمج المعرفة المحلية والتقليدية في تصميم آليات الاتصال التحذيري، انطلاقاً من أن فعالية الرسالة التحذيرية تتعزز حين تُصاغ بلغة ومصطلحات مألوفة لدى المجتمع المستهدف وحين تتضمن مرجعيات ثقافية يستطيع المتلقون الارتباط بها. وهذا المنظور يكتسب أهمية خاصة في السياق السعودي الذي يتميز بتنوع القوى العاملة في المدن الصناعية من حيث الجنسيات واللغات والخلفيات الثقافية، مما يستلزم تصميم منظومة اتصال تحذيري متعددة اللغات ومتكيفة ثقافياً لضمان الوصول الفعال إلى جميع العاملين والمقيمين</w:t>
      </w:r>
      <w:r w:rsidRPr="007A1717">
        <w:rPr>
          <w:rFonts w:ascii="Sakkal Majalla" w:hAnsi="Sakkal Majalla" w:cs="Sakkal Majalla"/>
          <w:color w:val="000000" w:themeColor="text1"/>
          <w:sz w:val="28"/>
          <w:szCs w:val="28"/>
        </w:rPr>
        <w:t>.</w:t>
      </w:r>
    </w:p>
    <w:p w14:paraId="2983482A" w14:textId="01229733"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 أوضح</w:t>
      </w:r>
      <w:r w:rsidRPr="007A1717">
        <w:rPr>
          <w:rFonts w:ascii="Sakkal Majalla" w:hAnsi="Sakkal Majalla" w:cs="Sakkal Majalla"/>
          <w:color w:val="000000" w:themeColor="text1"/>
          <w:sz w:val="28"/>
          <w:szCs w:val="28"/>
        </w:rPr>
        <w:t xml:space="preserve"> Ringo et al. (2024) </w:t>
      </w:r>
      <w:r w:rsidRPr="007A1717">
        <w:rPr>
          <w:rFonts w:ascii="Sakkal Majalla" w:hAnsi="Sakkal Majalla" w:cs="Sakkal Majalla"/>
          <w:color w:val="000000" w:themeColor="text1"/>
          <w:sz w:val="28"/>
          <w:szCs w:val="28"/>
          <w:rtl/>
        </w:rPr>
        <w:t>أن كفاءة الاتصال التحذيري تتطلب اعتماد مقاربة متعددة القنوات لا تعتمد على وسيلة اتصال واحدة، بل تجمع بين الوسائل التقليدية كصفارات الإنذار والإذاعة المحلية، والوسائل الرقمية الحديثة كالرسائل النصية القصيرة وتطبيقات الهواتف الذكية ومنصات التواصل الاجتماعي. فاعتماد قناة واحدة يُعرّض المنظومة لخطر الفشل الكلي في حال تعطل تلك القناة خلال الأزمة، بينما تعدد القنوات يوفر تكراراً احتياطياً يزيد من احتمالية وصول الرسالة إلى أكبر عدد ممكن من المتلقين</w:t>
      </w:r>
      <w:r w:rsidRPr="007A1717">
        <w:rPr>
          <w:rFonts w:ascii="Sakkal Majalla" w:hAnsi="Sakkal Majalla" w:cs="Sakkal Majalla"/>
          <w:color w:val="000000" w:themeColor="text1"/>
          <w:sz w:val="28"/>
          <w:szCs w:val="28"/>
        </w:rPr>
        <w:t>.</w:t>
      </w:r>
    </w:p>
    <w:p w14:paraId="2C742A08" w14:textId="0DD996E4"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 تناول سليمان </w:t>
      </w:r>
      <w:r w:rsidRPr="007A1717">
        <w:rPr>
          <w:rFonts w:ascii="Sakkal Majalla" w:hAnsi="Sakkal Majalla" w:cs="Sakkal Majalla"/>
          <w:color w:val="000000" w:themeColor="text1"/>
          <w:sz w:val="28"/>
          <w:szCs w:val="28"/>
        </w:rPr>
        <w:t xml:space="preserve">(2024) </w:t>
      </w:r>
      <w:r w:rsidRPr="007A1717">
        <w:rPr>
          <w:rFonts w:ascii="Sakkal Majalla" w:hAnsi="Sakkal Majalla" w:cs="Sakkal Majalla"/>
          <w:color w:val="000000" w:themeColor="text1"/>
          <w:sz w:val="28"/>
          <w:szCs w:val="28"/>
          <w:rtl/>
        </w:rPr>
        <w:t>كفاءة الاتصال التحذيري في سياق منع الصراعات والأزمات، حيث أكد أن فعالية الإنذار لا تتوقف عند حدود إيصال المعلومة فحسب، بل تمتد إلى قدرة الرسالة التحذيرية على تحفيز عمل استباقي منسق بين الأطراف المعنية. وهذه الرؤية قابلة للإسقاط على السياق الصناعي، حيث يتطلب الاتصال التحذيري الفعّال ليس فقط إبلاغ العاملين والمجتمعات بوجود خطر وشيك، بل تزويدهم بتوجيهات عملية واضحة حول ما ينبغي فعله وأين ينبغي التوجه وكيف يمكن حماية أنفسهم</w:t>
      </w:r>
      <w:r w:rsidRPr="007A1717">
        <w:rPr>
          <w:rFonts w:ascii="Sakkal Majalla" w:hAnsi="Sakkal Majalla" w:cs="Sakkal Majalla"/>
          <w:color w:val="000000" w:themeColor="text1"/>
          <w:sz w:val="28"/>
          <w:szCs w:val="28"/>
        </w:rPr>
        <w:t>.</w:t>
      </w:r>
    </w:p>
    <w:p w14:paraId="7F7D4646"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كما أشار</w:t>
      </w:r>
      <w:r w:rsidRPr="007A1717">
        <w:rPr>
          <w:rFonts w:ascii="Sakkal Majalla" w:hAnsi="Sakkal Majalla" w:cs="Sakkal Majalla"/>
          <w:color w:val="000000" w:themeColor="text1"/>
          <w:sz w:val="28"/>
          <w:szCs w:val="28"/>
        </w:rPr>
        <w:t xml:space="preserve"> Lahmood &amp; Mutlak (2024) </w:t>
      </w:r>
      <w:r w:rsidRPr="007A1717">
        <w:rPr>
          <w:rFonts w:ascii="Sakkal Majalla" w:hAnsi="Sakkal Majalla" w:cs="Sakkal Majalla"/>
          <w:color w:val="000000" w:themeColor="text1"/>
          <w:sz w:val="28"/>
          <w:szCs w:val="28"/>
          <w:rtl/>
        </w:rPr>
        <w:t xml:space="preserve">إلى أن الأطر المؤسسية الإقليمية والدولية تؤكد على ضرورة أن يكون الاتصال التحذيري ثنائي الاتجاه وليس أحادياً، بمعنى أنه لا يكفي أن تُصدر الجهات المسؤولة تحذيرات دون أن تتلقى تغذية راجعة من المتلقين تؤكد استلامهم للرسالة وفهمهم لمحتواها </w:t>
      </w:r>
      <w:r w:rsidRPr="007A1717">
        <w:rPr>
          <w:rFonts w:ascii="Sakkal Majalla" w:hAnsi="Sakkal Majalla" w:cs="Sakkal Majalla"/>
          <w:color w:val="000000" w:themeColor="text1"/>
          <w:sz w:val="28"/>
          <w:szCs w:val="28"/>
          <w:rtl/>
        </w:rPr>
        <w:lastRenderedPageBreak/>
        <w:t>واستعدادهم للتصرف بناءً عليها. وهذا التصميم التبادلي للاتصال يتيح التحقق من فعالية المنظومة في الوقت الحقيقي وتصحيح أي خلل في الوصول أو الفهم بشكل فوري</w:t>
      </w:r>
      <w:r w:rsidRPr="007A1717">
        <w:rPr>
          <w:rFonts w:ascii="Sakkal Majalla" w:hAnsi="Sakkal Majalla" w:cs="Sakkal Majalla"/>
          <w:color w:val="000000" w:themeColor="text1"/>
          <w:sz w:val="28"/>
          <w:szCs w:val="28"/>
        </w:rPr>
        <w:t>.</w:t>
      </w:r>
    </w:p>
    <w:p w14:paraId="40C6A645" w14:textId="178D15A4" w:rsidR="00E748EB" w:rsidRPr="007A1717" w:rsidRDefault="00E43AF3" w:rsidP="00E43AF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307788"/>
      <w:r w:rsidRPr="007A1717">
        <w:rPr>
          <w:rFonts w:ascii="Sakkal Majalla" w:hAnsi="Sakkal Majalla" w:cs="Sakkal Majalla" w:hint="cs"/>
          <w:b/>
          <w:bCs/>
          <w:color w:val="000000" w:themeColor="text1"/>
          <w:sz w:val="32"/>
          <w:szCs w:val="32"/>
          <w:rtl/>
        </w:rPr>
        <w:t>6.1.2</w:t>
      </w:r>
      <w:r w:rsidR="00E748EB" w:rsidRPr="007A1717">
        <w:rPr>
          <w:rFonts w:ascii="Sakkal Majalla" w:hAnsi="Sakkal Majalla" w:cs="Sakkal Majalla"/>
          <w:b/>
          <w:bCs/>
          <w:color w:val="000000" w:themeColor="text1"/>
          <w:sz w:val="32"/>
          <w:szCs w:val="32"/>
          <w:rtl/>
        </w:rPr>
        <w:t xml:space="preserve"> استراتيجيات تفعيل أنظمة الإنذار المبكر في البيئة الصناعية</w:t>
      </w:r>
      <w:bookmarkEnd w:id="32"/>
    </w:p>
    <w:p w14:paraId="1FE5764A"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يتطلب تفعيل أنظمة الإنذار المبكر في البيئة الصناعية تبني استراتيجيات شاملة تتجاوز البُعد التقني لتشمل الأبعاد التنظيمية والبشرية والمؤسسية. وتكشف الأدبيات عن عدة توجهات استراتيجية تتكامل فيما بينها لتشكيل إطار متماسك لتفعيل هذه الأنظمة وضمان استدامة أدائها</w:t>
      </w:r>
      <w:r w:rsidRPr="007A1717">
        <w:rPr>
          <w:rFonts w:ascii="Sakkal Majalla" w:hAnsi="Sakkal Majalla" w:cs="Sakkal Majalla"/>
          <w:color w:val="000000" w:themeColor="text1"/>
          <w:sz w:val="28"/>
          <w:szCs w:val="28"/>
        </w:rPr>
        <w:t>.</w:t>
      </w:r>
    </w:p>
    <w:p w14:paraId="40F7CAD3"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تتمثل الاستراتيجية الأولى في التكامل التقني القائم على التحول الرقمي، حيث أوضحت منظمة أوابك (2024) أن التحول الرقمي في قطاعات النفط والغاز والصناعات البتروكيماوية يُتيح فرصاً غير مسبوقة لتعزيز منظومات الإنذار المبكر من خلال دمج تقنيات الذكاء الاصطناعي وإنترنت الأشياء والحوسبة السحابية في بنيتها التحتية. وهذا التكامل يمكّن من الانتقال من أنظمة الرصد التقليدية التي تعتمد على عتبات ثابتة إلى أنظمة ذكية قادرة على التعلم المستمر والتكيف مع الأنماط المتغيرة للمخاطر</w:t>
      </w:r>
      <w:r w:rsidRPr="007A1717">
        <w:rPr>
          <w:rFonts w:ascii="Sakkal Majalla" w:hAnsi="Sakkal Majalla" w:cs="Sakkal Majalla"/>
          <w:color w:val="000000" w:themeColor="text1"/>
          <w:sz w:val="28"/>
          <w:szCs w:val="28"/>
        </w:rPr>
        <w:t>.</w:t>
      </w:r>
    </w:p>
    <w:p w14:paraId="7D2CE79A"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وتتجسد الاستراتيجية الثانية في بناء القدرات المؤسسية والبشرية، حيث أكد</w:t>
      </w:r>
      <w:r w:rsidRPr="007A1717">
        <w:rPr>
          <w:rFonts w:ascii="Sakkal Majalla" w:hAnsi="Sakkal Majalla" w:cs="Sakkal Majalla"/>
          <w:color w:val="000000" w:themeColor="text1"/>
          <w:sz w:val="28"/>
          <w:szCs w:val="28"/>
        </w:rPr>
        <w:t xml:space="preserve"> Fajrillah et al. (2024) </w:t>
      </w:r>
      <w:r w:rsidRPr="007A1717">
        <w:rPr>
          <w:rFonts w:ascii="Sakkal Majalla" w:hAnsi="Sakkal Majalla" w:cs="Sakkal Majalla"/>
          <w:color w:val="000000" w:themeColor="text1"/>
          <w:sz w:val="28"/>
          <w:szCs w:val="28"/>
          <w:rtl/>
        </w:rPr>
        <w:t>أن استدامة فعالية أنظمة الإنذار المبكر في المناطق المحلية والصناعية تتوقف على عوامل تتجاوز التقنية لتشمل بناء قدرات الكوادر البشرية المسؤولة عن تشغيل النظام وصيانته وتحديثه، وتطوير برامج تدريبية مستمرة ومحاكاة دورية تضمن جاهزية الفرق العاملة للتعامل مع مختلف السيناريوهات الطارئة. وقد تناولت الدراسة العوامل المؤثرة في الفعالية طويلة المدى لهذه الأنظمة في السياقات المحلية، مشيرة إلى أن الاستثمار في العنصر البشري يُعدّ ركيزة لا تقل أهمية عن الاستثمار في البنية التقنية</w:t>
      </w:r>
      <w:r w:rsidRPr="007A1717">
        <w:rPr>
          <w:rFonts w:ascii="Sakkal Majalla" w:hAnsi="Sakkal Majalla" w:cs="Sakkal Majalla"/>
          <w:color w:val="000000" w:themeColor="text1"/>
          <w:sz w:val="28"/>
          <w:szCs w:val="28"/>
        </w:rPr>
        <w:t>.</w:t>
      </w:r>
    </w:p>
    <w:p w14:paraId="3EBDEED0"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أما الاستراتيجية الثالثة فتتمحور حول التأطير القانوني والحوكمي، وهو ما أشار إليه كمالي ويوسف (2024) في سياق حديثهما عن النظام القانوني الدولي للحماية من آثار التغيرات المناخية والكوارث المرتبطة بها. فوجود إطار قانوني واضح يحدد المسؤوليات والصلاحيات ويُلزم المنشآت الصناعية بمعايير </w:t>
      </w:r>
      <w:r w:rsidRPr="007A1717">
        <w:rPr>
          <w:rFonts w:ascii="Sakkal Majalla" w:hAnsi="Sakkal Majalla" w:cs="Sakkal Majalla"/>
          <w:color w:val="000000" w:themeColor="text1"/>
          <w:sz w:val="28"/>
          <w:szCs w:val="28"/>
          <w:rtl/>
        </w:rPr>
        <w:lastRenderedPageBreak/>
        <w:t>محددة لأنظمة الإنذار المبكر يُعدّ شرطاً ضرورياً لضمان الالتزام المؤسسي وتوفير الحماية القانونية للمجتمعات المعرضة للمخاطر الصناعية</w:t>
      </w:r>
      <w:r w:rsidRPr="007A1717">
        <w:rPr>
          <w:rFonts w:ascii="Sakkal Majalla" w:hAnsi="Sakkal Majalla" w:cs="Sakkal Majalla"/>
          <w:color w:val="000000" w:themeColor="text1"/>
          <w:sz w:val="28"/>
          <w:szCs w:val="28"/>
        </w:rPr>
        <w:t>.</w:t>
      </w:r>
    </w:p>
    <w:p w14:paraId="177F82BF"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وتبرز الاستراتيجية الرابعة في المقاربة التشاركية التي تدمج المجتمعات المحلية في منظومة الإنذار المبكر، وهو ما أكده</w:t>
      </w:r>
      <w:r w:rsidRPr="007A1717">
        <w:rPr>
          <w:rFonts w:ascii="Sakkal Majalla" w:hAnsi="Sakkal Majalla" w:cs="Sakkal Majalla"/>
          <w:color w:val="000000" w:themeColor="text1"/>
          <w:sz w:val="28"/>
          <w:szCs w:val="28"/>
        </w:rPr>
        <w:t xml:space="preserve"> Hermans et al. (2022) </w:t>
      </w:r>
      <w:r w:rsidRPr="007A1717">
        <w:rPr>
          <w:rFonts w:ascii="Sakkal Majalla" w:hAnsi="Sakkal Majalla" w:cs="Sakkal Majalla"/>
          <w:color w:val="000000" w:themeColor="text1"/>
          <w:sz w:val="28"/>
          <w:szCs w:val="28"/>
          <w:rtl/>
        </w:rPr>
        <w:t>بشأن أهمية تكامل المعرفة المحلية والعلمية في تصميم أنظمة الإنذار وتشغيلها. فالمجتمعات المحيطة بالمدن الصناعية تمتلك خبرات تراكمية ومعارف سياقية عن بيئتها المحلية قد لا تتوفر في النماذج التقنية، وإشراكها في المنظومة يعزز الملكية المجتمعية لنظام الإنذار ويزيد من احتمالية الاستجابة الفعالة للتحذيرات</w:t>
      </w:r>
      <w:r w:rsidRPr="007A1717">
        <w:rPr>
          <w:rFonts w:ascii="Sakkal Majalla" w:hAnsi="Sakkal Majalla" w:cs="Sakkal Majalla"/>
          <w:color w:val="000000" w:themeColor="text1"/>
          <w:sz w:val="28"/>
          <w:szCs w:val="28"/>
        </w:rPr>
        <w:t>.</w:t>
      </w:r>
    </w:p>
    <w:p w14:paraId="11C7A36B"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وأخيراً، تتضمن الاستراتيجية الخامسة تبني مقاربة متعددة الأخطار، وهو ما شدد عليه</w:t>
      </w:r>
      <w:r w:rsidRPr="007A1717">
        <w:rPr>
          <w:rFonts w:ascii="Sakkal Majalla" w:hAnsi="Sakkal Majalla" w:cs="Sakkal Majalla"/>
          <w:color w:val="000000" w:themeColor="text1"/>
          <w:sz w:val="28"/>
          <w:szCs w:val="28"/>
        </w:rPr>
        <w:t xml:space="preserve"> Rokhideh et al. (2025) </w:t>
      </w:r>
      <w:r w:rsidRPr="007A1717">
        <w:rPr>
          <w:rFonts w:ascii="Sakkal Majalla" w:hAnsi="Sakkal Majalla" w:cs="Sakkal Majalla"/>
          <w:color w:val="000000" w:themeColor="text1"/>
          <w:sz w:val="28"/>
          <w:szCs w:val="28"/>
          <w:rtl/>
        </w:rPr>
        <w:t>في سياق تحليلهم لإطار سنداي للحد من مخاطر الكوارث. فالمدن الصناعية لا تواجه نوعاً واحداً من المخاطر، بل تتعرض لتهديدات متنوعة ومتداخلة تشمل المخاطر الصناعية والطبيعية والبيئية والتكنولوجية. ولذلك فإن تصميم أنظمة إنذار مبكر متعددة الأخطار قادرة على رصد أنماط مختلفة من التهديدات والتعامل مع السيناريوهات المركبة يمثل توجهاً استراتيجياً متقدماً يتجاوز الأنظمة التقليدية أحادية الخطر</w:t>
      </w:r>
      <w:r w:rsidRPr="007A1717">
        <w:rPr>
          <w:rFonts w:ascii="Sakkal Majalla" w:hAnsi="Sakkal Majalla" w:cs="Sakkal Majalla"/>
          <w:color w:val="000000" w:themeColor="text1"/>
          <w:sz w:val="28"/>
          <w:szCs w:val="28"/>
        </w:rPr>
        <w:t>.</w:t>
      </w:r>
    </w:p>
    <w:p w14:paraId="312ED07C" w14:textId="368A8005" w:rsidR="00E748EB" w:rsidRPr="007A1717" w:rsidRDefault="00E43AF3" w:rsidP="00E43AF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307789"/>
      <w:r w:rsidRPr="007A1717">
        <w:rPr>
          <w:rFonts w:ascii="Sakkal Majalla" w:hAnsi="Sakkal Majalla" w:cs="Sakkal Majalla" w:hint="cs"/>
          <w:b/>
          <w:bCs/>
          <w:color w:val="000000" w:themeColor="text1"/>
          <w:sz w:val="32"/>
          <w:szCs w:val="32"/>
          <w:rtl/>
        </w:rPr>
        <w:t xml:space="preserve">7.1.2 </w:t>
      </w:r>
      <w:r w:rsidR="00E748EB" w:rsidRPr="007A1717">
        <w:rPr>
          <w:rFonts w:ascii="Sakkal Majalla" w:hAnsi="Sakkal Majalla" w:cs="Sakkal Majalla"/>
          <w:b/>
          <w:bCs/>
          <w:color w:val="000000" w:themeColor="text1"/>
          <w:sz w:val="32"/>
          <w:szCs w:val="32"/>
          <w:rtl/>
        </w:rPr>
        <w:t xml:space="preserve"> التحديات المعاصرة لأنظمة الإنذار المبكر في السياق الصناعي</w:t>
      </w:r>
      <w:bookmarkEnd w:id="33"/>
    </w:p>
    <w:p w14:paraId="6C00F0F2"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على الرغم من التطور الملحوظ الذي شهدته أنظمة الإنذار المبكر على المستويين التقني والمؤسسي، إلا أن هذه الأنظمة لا تزال تواجه جملة من التحديات التي تحدّ من فعاليتها في السياق الصناعي</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ويكتسب استعراض هذه التحديات أهمية خاصة في إطار هذه الدراسة لأنه يساعد على تحديد الفجوات التي تسعى الدراسة إلى معالجتها</w:t>
      </w:r>
      <w:r w:rsidRPr="007A1717">
        <w:rPr>
          <w:rFonts w:ascii="Sakkal Majalla" w:hAnsi="Sakkal Majalla" w:cs="Sakkal Majalla"/>
          <w:color w:val="000000" w:themeColor="text1"/>
          <w:sz w:val="28"/>
          <w:szCs w:val="28"/>
        </w:rPr>
        <w:t>.</w:t>
      </w:r>
    </w:p>
    <w:p w14:paraId="7B287430"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فمن التحديات التقنية، أشار</w:t>
      </w:r>
      <w:r w:rsidRPr="007A1717">
        <w:rPr>
          <w:rFonts w:ascii="Sakkal Majalla" w:hAnsi="Sakkal Majalla" w:cs="Sakkal Majalla"/>
          <w:color w:val="000000" w:themeColor="text1"/>
          <w:sz w:val="28"/>
          <w:szCs w:val="28"/>
        </w:rPr>
        <w:t xml:space="preserve"> Romadiana et al. (2025) </w:t>
      </w:r>
      <w:r w:rsidRPr="007A1717">
        <w:rPr>
          <w:rFonts w:ascii="Sakkal Majalla" w:hAnsi="Sakkal Majalla" w:cs="Sakkal Majalla"/>
          <w:color w:val="000000" w:themeColor="text1"/>
          <w:sz w:val="28"/>
          <w:szCs w:val="28"/>
          <w:rtl/>
        </w:rPr>
        <w:t>إلى أن تجزؤ البنية التحتية الرقمية وعدم تكامل أنظمة البيانات يُعدّ من أبرز العقبات التي تحول دون تحقيق الجاهزية التقنية المطلوبة</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 xml:space="preserve">فكثير </w:t>
      </w:r>
      <w:r w:rsidRPr="007A1717">
        <w:rPr>
          <w:rFonts w:ascii="Sakkal Majalla" w:hAnsi="Sakkal Majalla" w:cs="Sakkal Majalla"/>
          <w:color w:val="000000" w:themeColor="text1"/>
          <w:sz w:val="28"/>
          <w:szCs w:val="28"/>
          <w:rtl/>
        </w:rPr>
        <w:lastRenderedPageBreak/>
        <w:t>من المنشآت الصناعية تعتمد على أنظمة رصد منفصلة لا تتواصل فيما بينها، مما يخلق جزراً معلوماتية معزولة تحول دون تشكيل صورة شاملة ومتكاملة عن حالة المخاطر في المنشأة ككل</w:t>
      </w:r>
      <w:r w:rsidRPr="007A1717">
        <w:rPr>
          <w:rFonts w:ascii="Sakkal Majalla" w:hAnsi="Sakkal Majalla" w:cs="Sakkal Majalla"/>
          <w:color w:val="000000" w:themeColor="text1"/>
          <w:sz w:val="28"/>
          <w:szCs w:val="28"/>
        </w:rPr>
        <w:t>.</w:t>
      </w:r>
    </w:p>
    <w:p w14:paraId="59FE5471"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ومن التحديات المؤسسية والتنظيمية، بيّن </w:t>
      </w:r>
      <w:r w:rsidRPr="007A1717">
        <w:rPr>
          <w:rFonts w:ascii="Sakkal Majalla" w:hAnsi="Sakkal Majalla" w:cs="Sakkal Majalla"/>
          <w:color w:val="000000" w:themeColor="text1"/>
          <w:sz w:val="28"/>
          <w:szCs w:val="28"/>
        </w:rPr>
        <w:t xml:space="preserve">Rokhideh et al. (2025) </w:t>
      </w:r>
      <w:r w:rsidRPr="007A1717">
        <w:rPr>
          <w:rFonts w:ascii="Sakkal Majalla" w:hAnsi="Sakkal Majalla" w:cs="Sakkal Majalla"/>
          <w:color w:val="000000" w:themeColor="text1"/>
          <w:sz w:val="28"/>
          <w:szCs w:val="28"/>
          <w:rtl/>
        </w:rPr>
        <w:t>أن غياب تعريف موحد ومعايير مشتركة لأنظمة الإنذار المبكر متعددة الأخطار يخلق تناقضات وثغرات في إعداد التقارير وقياس التقدم المحرز. فالدول والمؤسسات تستخدم تعريفات وأطر مرجعية مختلفة، مما يصعّب عمليات المقارنة والتعلم المتبادل. كما أن مؤشرات القياس الحالية المعتمدة ضمن إطار سنداي تركز على التغطية والانتشار دون أن تقيس الفعالية الفعلية للتحذيرات في تحفيز السلوك الوقائي المطلوب</w:t>
      </w:r>
      <w:r w:rsidRPr="007A1717">
        <w:rPr>
          <w:rFonts w:ascii="Sakkal Majalla" w:hAnsi="Sakkal Majalla" w:cs="Sakkal Majalla"/>
          <w:color w:val="000000" w:themeColor="text1"/>
          <w:sz w:val="28"/>
          <w:szCs w:val="28"/>
        </w:rPr>
        <w:t>.</w:t>
      </w:r>
    </w:p>
    <w:p w14:paraId="0CFA4866"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ومن التحديات الاجتماعية، أوضح</w:t>
      </w:r>
      <w:r w:rsidRPr="007A1717">
        <w:rPr>
          <w:rFonts w:ascii="Sakkal Majalla" w:hAnsi="Sakkal Majalla" w:cs="Sakkal Majalla"/>
          <w:color w:val="000000" w:themeColor="text1"/>
          <w:sz w:val="28"/>
          <w:szCs w:val="28"/>
        </w:rPr>
        <w:t xml:space="preserve"> Pescaroli et al. (2025) </w:t>
      </w:r>
      <w:r w:rsidRPr="007A1717">
        <w:rPr>
          <w:rFonts w:ascii="Sakkal Majalla" w:hAnsi="Sakkal Majalla" w:cs="Sakkal Majalla"/>
          <w:color w:val="000000" w:themeColor="text1"/>
          <w:sz w:val="28"/>
          <w:szCs w:val="28"/>
          <w:rtl/>
        </w:rPr>
        <w:t>أن فهم التفاعل بين العناصر التقنية والاجتماعية والتنظيمية التي تشكّل أنظمة الإنذار المبكر لا يزال قاصراً، وأن ثمة فجوة بين ما توفره هذه الأنظمة من تحذيرات وبين الاستجابة الفعلية للمتلقين. فعوامل مثل الثقة في المصادر والتجارب السابقة مع التحذيرات والخصائص الديموغرافية والاجتماعية-الاقتصادية تؤثر جميعها في مدى استجابة الأفراد، وهي عوامل تتباين تبايناً كبيراً بين السياقات المختلفة</w:t>
      </w:r>
      <w:r w:rsidRPr="007A1717">
        <w:rPr>
          <w:rFonts w:ascii="Sakkal Majalla" w:hAnsi="Sakkal Majalla" w:cs="Sakkal Majalla"/>
          <w:color w:val="000000" w:themeColor="text1"/>
          <w:sz w:val="28"/>
          <w:szCs w:val="28"/>
        </w:rPr>
        <w:t>.</w:t>
      </w:r>
    </w:p>
    <w:p w14:paraId="78B82042"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أما في ما يتصل بالسياق السعودي تحديداً، فإن التحديات تتضمن أبعاداً خاصة تتعلق بالطبيعة الجغرافية والمناخية للمدن الصناعية التي تتميز بدرجات حرارة مرتفعة قد تؤثر على أداء المعدات الإلكترونية والمستشعرات، فضلاً عن التنوع اللغوي والثقافي للقوى العاملة في هذه المدن الذي يستلزم تصميم منظومات اتصال تحذيري متعددة اللغات ومتكيفة ثقافياً. وقد أكدت دراسة أوابك (2024) أن التحول الرقمي في قطاع الصناعات النفطية والبتروكيماوية في دول المنطقة يوفر فرصاً واعدة لمعالجة كثير من هذه التحديات، غير أنه يتطلب استثمارات ضخمة في البنية التحتية الرقمية والكوادر البشرية المؤهلة</w:t>
      </w:r>
      <w:r w:rsidRPr="007A1717">
        <w:rPr>
          <w:rFonts w:ascii="Sakkal Majalla" w:hAnsi="Sakkal Majalla" w:cs="Sakkal Majalla"/>
          <w:color w:val="000000" w:themeColor="text1"/>
          <w:sz w:val="28"/>
          <w:szCs w:val="28"/>
        </w:rPr>
        <w:t>.</w:t>
      </w:r>
    </w:p>
    <w:p w14:paraId="6D2C0FF6" w14:textId="42160088" w:rsidR="00E748EB" w:rsidRPr="007A1717" w:rsidRDefault="00E43AF3" w:rsidP="00E43AF3">
      <w:pPr>
        <w:spacing w:before="100" w:beforeAutospacing="1" w:after="100" w:afterAutospacing="1"/>
        <w:outlineLvl w:val="2"/>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br w:type="page"/>
      </w:r>
      <w:bookmarkStart w:id="34" w:name="_Toc223307790"/>
      <w:r w:rsidRPr="007A1717">
        <w:rPr>
          <w:rFonts w:ascii="Sakkal Majalla" w:hAnsi="Sakkal Majalla" w:cs="Sakkal Majalla" w:hint="cs"/>
          <w:b/>
          <w:bCs/>
          <w:color w:val="000000" w:themeColor="text1"/>
          <w:sz w:val="32"/>
          <w:szCs w:val="32"/>
          <w:rtl/>
        </w:rPr>
        <w:lastRenderedPageBreak/>
        <w:t xml:space="preserve">8.1.2 </w:t>
      </w:r>
      <w:r w:rsidR="00E748EB" w:rsidRPr="007A1717">
        <w:rPr>
          <w:rFonts w:ascii="Sakkal Majalla" w:hAnsi="Sakkal Majalla" w:cs="Sakkal Majalla"/>
          <w:b/>
          <w:bCs/>
          <w:color w:val="000000" w:themeColor="text1"/>
          <w:sz w:val="32"/>
          <w:szCs w:val="32"/>
          <w:rtl/>
        </w:rPr>
        <w:t>أنظمة الإنذار المبكر في المدن الصناعية السعودية</w:t>
      </w:r>
      <w:bookmarkEnd w:id="34"/>
      <w:r w:rsidR="00E748EB" w:rsidRPr="007A1717">
        <w:rPr>
          <w:rFonts w:ascii="Sakkal Majalla" w:hAnsi="Sakkal Majalla" w:cs="Sakkal Majalla"/>
          <w:b/>
          <w:bCs/>
          <w:color w:val="000000" w:themeColor="text1"/>
          <w:sz w:val="32"/>
          <w:szCs w:val="32"/>
          <w:rtl/>
        </w:rPr>
        <w:t xml:space="preserve"> </w:t>
      </w:r>
    </w:p>
    <w:p w14:paraId="4E6D3692"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تمثل المدن الصناعية في المملكة العربية السعودية نموذجاً متقدماً للتخطيط الصناعي المتكامل، حيث تضم هذه المدن مجمعات صناعية متنوعة تشمل الصناعات البتروكيماوية والمعدنية والغذائية والتحويلية وغيرها. وتكتسب أنظمة الإنذار المبكر في هذا السياق خصوصية ناجمة عن عدة عوامل يتعين مراعاتها عند تصميم هذه الأنظمة وتقييم فعاليتها</w:t>
      </w:r>
      <w:r w:rsidRPr="007A1717">
        <w:rPr>
          <w:rFonts w:ascii="Sakkal Majalla" w:hAnsi="Sakkal Majalla" w:cs="Sakkal Majalla"/>
          <w:color w:val="000000" w:themeColor="text1"/>
          <w:sz w:val="28"/>
          <w:szCs w:val="28"/>
        </w:rPr>
        <w:t>.</w:t>
      </w:r>
    </w:p>
    <w:p w14:paraId="4ED34F96"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فمن حيث طبيعة المخاطر، تتميز المدن الصناعية السعودية بتركز عدد كبير من المنشآت الصناعية في مساحات جغرافية محددة، وهو ما يزيد من احتمالية وقوع ما يُعرف بتأثير الدومينو الذي تنتقل فيه الحوادث من منشأة إلى أخرى مجاورة. وقد أشار</w:t>
      </w:r>
      <w:r w:rsidRPr="007A1717">
        <w:rPr>
          <w:rFonts w:ascii="Sakkal Majalla" w:hAnsi="Sakkal Majalla" w:cs="Sakkal Majalla"/>
          <w:color w:val="000000" w:themeColor="text1"/>
          <w:sz w:val="28"/>
          <w:szCs w:val="28"/>
        </w:rPr>
        <w:t xml:space="preserve"> Kamdina et al. (2021) </w:t>
      </w:r>
      <w:r w:rsidRPr="007A1717">
        <w:rPr>
          <w:rFonts w:ascii="Sakkal Majalla" w:hAnsi="Sakkal Majalla" w:cs="Sakkal Majalla"/>
          <w:color w:val="000000" w:themeColor="text1"/>
          <w:sz w:val="28"/>
          <w:szCs w:val="28"/>
          <w:rtl/>
        </w:rPr>
        <w:t>إلى أن الحوادث والكوارث الصناعية تؤثر تأثيراً مباشراً في الأداء المستقر للمنشآت الصناعية وفي جودة حياة السكان والتنمية الاجتماعية-الاقتصادية للمناطق المحيطة، وهو ما يستلزم منظومات إنذار مبكر قادرة على رصد المخاطر المترابطة والتنبه لسيناريوهات التصعيد المتسلسل</w:t>
      </w:r>
      <w:r w:rsidRPr="007A1717">
        <w:rPr>
          <w:rFonts w:ascii="Sakkal Majalla" w:hAnsi="Sakkal Majalla" w:cs="Sakkal Majalla"/>
          <w:color w:val="000000" w:themeColor="text1"/>
          <w:sz w:val="28"/>
          <w:szCs w:val="28"/>
        </w:rPr>
        <w:t>.</w:t>
      </w:r>
    </w:p>
    <w:p w14:paraId="1BA11173"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ومن حيث البُعد البيئي، أشار أرزوقي وعلي </w:t>
      </w:r>
      <w:r w:rsidRPr="007A1717">
        <w:rPr>
          <w:rFonts w:ascii="Sakkal Majalla" w:hAnsi="Sakkal Majalla" w:cs="Sakkal Majalla"/>
          <w:color w:val="000000" w:themeColor="text1"/>
          <w:sz w:val="28"/>
          <w:szCs w:val="28"/>
        </w:rPr>
        <w:t xml:space="preserve">(2022) </w:t>
      </w:r>
      <w:r w:rsidRPr="007A1717">
        <w:rPr>
          <w:rFonts w:ascii="Sakkal Majalla" w:hAnsi="Sakkal Majalla" w:cs="Sakkal Majalla"/>
          <w:color w:val="000000" w:themeColor="text1"/>
          <w:sz w:val="28"/>
          <w:szCs w:val="28"/>
          <w:rtl/>
        </w:rPr>
        <w:t>إلى أن التلوث البيئي الناجم عن المصادر الصناعية يمثل تحدياً جوهرياً يتطلب أنظمة رصد وإنذار متقدمة قادرة على الكشف المبكر عن الانبعاثات والتسربات التي قد تتحول إلى كوارث بيئية واسعة النطاق. وهذا البُعد يكتسب أهمية خاصة في المدن الصناعية السعودية التي تقع في بيئة صحراوية حساسة بيئياً وتتاخم في بعض الحالات مناطق سكنية أو ساحلية ذات قيمة بيئية عالية</w:t>
      </w:r>
      <w:r w:rsidRPr="007A1717">
        <w:rPr>
          <w:rFonts w:ascii="Sakkal Majalla" w:hAnsi="Sakkal Majalla" w:cs="Sakkal Majalla"/>
          <w:color w:val="000000" w:themeColor="text1"/>
          <w:sz w:val="28"/>
          <w:szCs w:val="28"/>
        </w:rPr>
        <w:t>.</w:t>
      </w:r>
    </w:p>
    <w:p w14:paraId="0D272818"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ومن حيث البُعد الاقتصادي، أوضح أحمد</w:t>
      </w:r>
      <w:r w:rsidRPr="007A1717">
        <w:rPr>
          <w:rFonts w:ascii="Sakkal Majalla" w:hAnsi="Sakkal Majalla" w:cs="Sakkal Majalla"/>
          <w:color w:val="000000" w:themeColor="text1"/>
          <w:sz w:val="28"/>
          <w:szCs w:val="28"/>
        </w:rPr>
        <w:t xml:space="preserve"> (2024) </w:t>
      </w:r>
      <w:r w:rsidRPr="007A1717">
        <w:rPr>
          <w:rFonts w:ascii="Sakkal Majalla" w:hAnsi="Sakkal Majalla" w:cs="Sakkal Majalla"/>
          <w:color w:val="000000" w:themeColor="text1"/>
          <w:sz w:val="28"/>
          <w:szCs w:val="28"/>
          <w:rtl/>
        </w:rPr>
        <w:t>أن الكوارث والأزمات تُلحق أضراراً اقتصادية جسيمة بأصحاب الأنشطة التجارية والصناعية قد تصل إلى حد العجز عن سداد الالتزامات المالية، وهو ما يكشف عن البُعد الاقتصادي العميق لفعالية أنظمة الإنذار المبكر ودورها في حماية الاستقرار الاقتصادي للمنشآت الصناعية واستمرارية أعمالها. فكل كارثة صناعية يتم تفاديها أو تخفيف آثارها بفضل الإنذار المبكر تمثل وفراً اقتصادياً حقيقياً ينعكس على المنشأة والاقتصاد المحلي والوطني</w:t>
      </w:r>
      <w:r w:rsidRPr="007A1717">
        <w:rPr>
          <w:rFonts w:ascii="Sakkal Majalla" w:hAnsi="Sakkal Majalla" w:cs="Sakkal Majalla"/>
          <w:color w:val="000000" w:themeColor="text1"/>
          <w:sz w:val="28"/>
          <w:szCs w:val="28"/>
        </w:rPr>
        <w:t>.</w:t>
      </w:r>
    </w:p>
    <w:p w14:paraId="3239E6DA"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ومن حيث البُعد المادي والعمراني، بيّن الكوافي (2024) أن الكوارث بأنواعها تخلّف آثاراً مدمرة على البنية الحضرية والمباني والمرافق، وهو ما ينطبق على الكوارث الصناعية التي قد تؤدي انفجاراتها وحرائقها إلى تدمير البنية التحتية للمدن الصناعية والمناطق المحيطة بها. ولذلك فإن أنظمة الإنذار المبكر تسهم في حماية البنية العمرانية من خلال إتاحة الوقت الكافي لتنفيذ إجراءات الحماية والعزل والإغلاق الآمن للمنشآت المعرضة للخطر</w:t>
      </w:r>
      <w:r w:rsidRPr="007A1717">
        <w:rPr>
          <w:rFonts w:ascii="Sakkal Majalla" w:hAnsi="Sakkal Majalla" w:cs="Sakkal Majalla"/>
          <w:color w:val="000000" w:themeColor="text1"/>
          <w:sz w:val="28"/>
          <w:szCs w:val="28"/>
        </w:rPr>
        <w:t>.</w:t>
      </w:r>
    </w:p>
    <w:p w14:paraId="0F7DD5FA" w14:textId="52709599" w:rsidR="00E748EB" w:rsidRPr="007A1717" w:rsidRDefault="00E43AF3" w:rsidP="00E43AF3">
      <w:pPr>
        <w:spacing w:before="100" w:beforeAutospacing="1" w:after="100" w:afterAutospacing="1"/>
        <w:jc w:val="center"/>
        <w:outlineLvl w:val="1"/>
        <w:rPr>
          <w:rFonts w:ascii="Sakkal Majalla" w:hAnsi="Sakkal Majalla" w:cs="Sakkal Majalla"/>
          <w:b/>
          <w:bCs/>
          <w:color w:val="000000" w:themeColor="text1"/>
          <w:sz w:val="36"/>
          <w:szCs w:val="36"/>
        </w:rPr>
      </w:pPr>
      <w:r w:rsidRPr="007A1717">
        <w:rPr>
          <w:rFonts w:ascii="Sakkal Majalla" w:hAnsi="Sakkal Majalla" w:cs="Sakkal Majalla"/>
          <w:b/>
          <w:bCs/>
          <w:color w:val="000000" w:themeColor="text1"/>
          <w:sz w:val="36"/>
          <w:szCs w:val="36"/>
          <w:rtl/>
        </w:rPr>
        <w:br w:type="page"/>
      </w:r>
      <w:bookmarkStart w:id="35" w:name="_Toc223307791"/>
      <w:r w:rsidR="00E748EB" w:rsidRPr="007A1717">
        <w:rPr>
          <w:rFonts w:ascii="Sakkal Majalla" w:hAnsi="Sakkal Majalla" w:cs="Sakkal Majalla"/>
          <w:b/>
          <w:bCs/>
          <w:color w:val="000000" w:themeColor="text1"/>
          <w:sz w:val="36"/>
          <w:szCs w:val="36"/>
          <w:rtl/>
        </w:rPr>
        <w:lastRenderedPageBreak/>
        <w:t>المبحث الثاني: الحد من تأثير الكوارث الصناعية (المتغير التابع)</w:t>
      </w:r>
      <w:bookmarkEnd w:id="35"/>
    </w:p>
    <w:p w14:paraId="69869615" w14:textId="77635E21" w:rsidR="00E748EB" w:rsidRPr="007A1717" w:rsidRDefault="00E43AF3" w:rsidP="00E43AF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307792"/>
      <w:r w:rsidRPr="007A1717">
        <w:rPr>
          <w:rFonts w:ascii="Sakkal Majalla" w:hAnsi="Sakkal Majalla" w:cs="Sakkal Majalla" w:hint="cs"/>
          <w:b/>
          <w:bCs/>
          <w:color w:val="000000" w:themeColor="text1"/>
          <w:sz w:val="32"/>
          <w:szCs w:val="32"/>
          <w:rtl/>
        </w:rPr>
        <w:t xml:space="preserve">1.2.2 </w:t>
      </w:r>
      <w:r w:rsidR="00E748EB" w:rsidRPr="007A1717">
        <w:rPr>
          <w:rFonts w:ascii="Sakkal Majalla" w:hAnsi="Sakkal Majalla" w:cs="Sakkal Majalla"/>
          <w:b/>
          <w:bCs/>
          <w:color w:val="000000" w:themeColor="text1"/>
          <w:sz w:val="32"/>
          <w:szCs w:val="32"/>
          <w:rtl/>
        </w:rPr>
        <w:t>تمهيد</w:t>
      </w:r>
      <w:bookmarkEnd w:id="36"/>
    </w:p>
    <w:p w14:paraId="769E97CC" w14:textId="516A8C9E"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أصبحت الكوارث الصناعية واحدة من أخطر التحديات التي تواجه المجتمعات المعاصرة، لا سيما في ظل التوسع المتسارع في الأنشطة الصناعية وتزايد حجم المواد الخطرة المستخدمة في العمليات الإنتاجية والتخزينية واللوجستية. ولم يعد تأثير هذه الكوارث محصوراً في نطاق المنشأة التي وقع فيها الحادث، بل بات يمتد ليطال أبعاداً متعددة تشمل الأرواح البشرية والبنية التحتية والنسيج الاقتصادي والبيئة الطبيعية والاستقرار الاجتماعي للمجتمعات المحيطة. وقد أفرز هذا الواقع اهتماماً بحثياً ومؤسسياً متنامياً بمفهوم الحد من تأثير الكوارث الصناعية بوصفه غاية استراتيجية تتقاطع فيها تخصصات متعددة تشمل إدارة المخاطر والهندسة الصناعية والسلامة المهنية والتخطيط الحضري وإدارة الأزمات. ويتناول هذا المبحث مفهوم الحد من تأثير الكوارث الصناعية وتعريفاته المتعددة، ثم يستعرض أهميته وأهدافه، وصولاً إلى أبعاده واستراتيجياته والتحديات المرتبطة به، مع ربط ذلك بالسياق الصناعي السعودي الذي يمثل الميدان التطبيقي لهذه الدراسة</w:t>
      </w:r>
      <w:r w:rsidR="00E43AF3" w:rsidRPr="007A1717">
        <w:rPr>
          <w:rFonts w:ascii="Sakkal Majalla" w:hAnsi="Sakkal Majalla" w:cs="Sakkal Majalla"/>
          <w:color w:val="000000" w:themeColor="text1"/>
          <w:sz w:val="28"/>
          <w:szCs w:val="28"/>
        </w:rPr>
        <w:t>.</w:t>
      </w:r>
    </w:p>
    <w:p w14:paraId="3D32715C" w14:textId="31ECBBEC" w:rsidR="00E748EB" w:rsidRPr="007A1717" w:rsidRDefault="00E43AF3" w:rsidP="00E43AF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307793"/>
      <w:r w:rsidRPr="007A1717">
        <w:rPr>
          <w:rFonts w:ascii="Sakkal Majalla" w:hAnsi="Sakkal Majalla" w:cs="Sakkal Majalla" w:hint="cs"/>
          <w:b/>
          <w:bCs/>
          <w:color w:val="000000" w:themeColor="text1"/>
          <w:sz w:val="32"/>
          <w:szCs w:val="32"/>
          <w:rtl/>
        </w:rPr>
        <w:t xml:space="preserve">2.2.2 </w:t>
      </w:r>
      <w:r w:rsidR="00E748EB" w:rsidRPr="007A1717">
        <w:rPr>
          <w:rFonts w:ascii="Sakkal Majalla" w:hAnsi="Sakkal Majalla" w:cs="Sakkal Majalla"/>
          <w:b/>
          <w:bCs/>
          <w:color w:val="000000" w:themeColor="text1"/>
          <w:sz w:val="32"/>
          <w:szCs w:val="32"/>
          <w:rtl/>
        </w:rPr>
        <w:t xml:space="preserve"> مفهوم الحد من تأثير الكوارث الصناعية</w:t>
      </w:r>
      <w:bookmarkEnd w:id="37"/>
    </w:p>
    <w:p w14:paraId="5333A0D3"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يندرج مفهوم الحد من تأثير الكوارث الصناعية ضمن الإطار الأوسع لمفهوم الحد من مخاطر الكوارث الذي تبلور عبر عقود من الجهود الدولية والأكاديمية، غير أنه يتميز بخصوصيات ناجمة عن طبيعة الكوارث الصناعية ذاتها التي تختلف عن الكوارث الطبيعية في أنها ترتبط بالنشاط البشري والتقني وتخضع نظرياً لدرجة أعلى من إمكانية التحكم والمنع</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وقد تعددت التعريفات التي تناولت هذا المفهوم بتعدد المنظورات والسياقات التي عولج من خلالها</w:t>
      </w:r>
      <w:r w:rsidRPr="007A1717">
        <w:rPr>
          <w:rFonts w:ascii="Sakkal Majalla" w:hAnsi="Sakkal Majalla" w:cs="Sakkal Majalla"/>
          <w:color w:val="000000" w:themeColor="text1"/>
          <w:sz w:val="28"/>
          <w:szCs w:val="28"/>
        </w:rPr>
        <w:t>.</w:t>
      </w:r>
    </w:p>
    <w:p w14:paraId="7EADA6A6"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فقد عرّف مكتب الأمم المتحدة للحد من مخاطر الكوارث</w:t>
      </w:r>
      <w:r w:rsidRPr="007A1717">
        <w:rPr>
          <w:rFonts w:ascii="Sakkal Majalla" w:hAnsi="Sakkal Majalla" w:cs="Sakkal Majalla"/>
          <w:color w:val="000000" w:themeColor="text1"/>
          <w:sz w:val="28"/>
          <w:szCs w:val="28"/>
        </w:rPr>
        <w:t xml:space="preserve"> (UNDRR, 2022) </w:t>
      </w:r>
      <w:r w:rsidRPr="007A1717">
        <w:rPr>
          <w:rFonts w:ascii="Sakkal Majalla" w:hAnsi="Sakkal Majalla" w:cs="Sakkal Majalla"/>
          <w:color w:val="000000" w:themeColor="text1"/>
          <w:sz w:val="28"/>
          <w:szCs w:val="28"/>
          <w:rtl/>
        </w:rPr>
        <w:t xml:space="preserve">الحد من مخاطر الكوارث بأنه مجموعة السياسات والاستراتيجيات والتدابير التي تهدف إلى منع مخاطر الكوارث الجديدة والحد من المخاطر القائمة وإدارة المخاطر المتبقية، بما يسهم في تعزيز الصمود المجتمعي والمؤسسي. ورغم </w:t>
      </w:r>
      <w:r w:rsidRPr="007A1717">
        <w:rPr>
          <w:rFonts w:ascii="Sakkal Majalla" w:hAnsi="Sakkal Majalla" w:cs="Sakkal Majalla"/>
          <w:color w:val="000000" w:themeColor="text1"/>
          <w:sz w:val="28"/>
          <w:szCs w:val="28"/>
          <w:rtl/>
        </w:rPr>
        <w:lastRenderedPageBreak/>
        <w:t>عمومية هذا التعريف الذي يشمل جميع أنواع الكوارث، إلا أنه يوفر إطاراً مرجعياً صالحاً للتطبيق على الكوارث الصناعية، حيث يؤكد على ثلاثة مسارات متكاملة هي: المنع والتخفيف والإدارة، وهي مسارات تنطبق بوضوح على البيئة الصناعية التي تتضمن مخاطر يمكن منع بعضها كلياً وتخفيف بعضها الآخر وإدارة ما يتبقى منها</w:t>
      </w:r>
      <w:r w:rsidRPr="007A1717">
        <w:rPr>
          <w:rFonts w:ascii="Sakkal Majalla" w:hAnsi="Sakkal Majalla" w:cs="Sakkal Majalla"/>
          <w:color w:val="000000" w:themeColor="text1"/>
          <w:sz w:val="28"/>
          <w:szCs w:val="28"/>
        </w:rPr>
        <w:t>.</w:t>
      </w:r>
    </w:p>
    <w:p w14:paraId="66DF3300"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وقد تناول ثانون وآخرون (2021) المفهوم من منظور القانون الدولي العام، حيث أشاروا إلى أن الحد من مخاطر الكوارث يمثل التزاماً قانونياً ومؤسسياً يقع على عاتق الدول والمنظمات بموجب الأطر الدولية ذات الصلة، وفي مقدمتها إطار سنداي للحد من مخاطر الكوارث وإطار هيوغو الذي سبقه. ويُعرّف في هذا السياق بأنه منظومة الإجراءات والسياسات التي تتبناها الدول لتقليل تعرض مجتمعاتها ومؤسساتها للأخطار وتعزيز قدرتها على مواجهة التداعيات المترتبة عليها والتعافي منها بسرعة وكفاءة. ويتميز هذا التعريف بإبرازه للبُعد القانوني والإلزامي للمفهوم، مما يُخرجه من إطار الاختيار الطوعي إلى إطار المسؤولية المؤسسية</w:t>
      </w:r>
      <w:r w:rsidRPr="007A1717">
        <w:rPr>
          <w:rFonts w:ascii="Sakkal Majalla" w:hAnsi="Sakkal Majalla" w:cs="Sakkal Majalla"/>
          <w:color w:val="000000" w:themeColor="text1"/>
          <w:sz w:val="28"/>
          <w:szCs w:val="28"/>
        </w:rPr>
        <w:t>.</w:t>
      </w:r>
    </w:p>
    <w:p w14:paraId="1BB47B37"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أما من المنظور الصناعي التخصصي، فقد أوضح </w:t>
      </w:r>
      <w:r w:rsidRPr="007A1717">
        <w:rPr>
          <w:rFonts w:ascii="Sakkal Majalla" w:hAnsi="Sakkal Majalla" w:cs="Sakkal Majalla"/>
          <w:color w:val="000000" w:themeColor="text1"/>
          <w:sz w:val="28"/>
          <w:szCs w:val="28"/>
        </w:rPr>
        <w:t xml:space="preserve">Kamdina et al. (2021) </w:t>
      </w:r>
      <w:r w:rsidRPr="007A1717">
        <w:rPr>
          <w:rFonts w:ascii="Sakkal Majalla" w:hAnsi="Sakkal Majalla" w:cs="Sakkal Majalla"/>
          <w:color w:val="000000" w:themeColor="text1"/>
          <w:sz w:val="28"/>
          <w:szCs w:val="28"/>
          <w:rtl/>
        </w:rPr>
        <w:t>أن الحد من تأثير الكوارث الصناعية يُقصد به مجموعة التدابير الهندسية والتنظيمية والإدارية التي تستهدف تقليل احتمالية وقوع الحوادث والأعطال الناجمة عن الأنشطة الصناعية، وتخفيف تداعياتها على استقرار المنشآت الصناعية وجودة حياة السكان والتنمية الاجتماعية-الاقتصادية في المناطق المحيطة بها. ويكشف هذا التعريف عن البُعد المزدوج للمفهوم الذي يجمع بين المنع الاستباقي والتخفيف التفاعلي، وبين حماية المنشأة ذاتها وحماية المحيط الخارجي الذي تؤثر فيه</w:t>
      </w:r>
      <w:r w:rsidRPr="007A1717">
        <w:rPr>
          <w:rFonts w:ascii="Sakkal Majalla" w:hAnsi="Sakkal Majalla" w:cs="Sakkal Majalla"/>
          <w:color w:val="000000" w:themeColor="text1"/>
          <w:sz w:val="28"/>
          <w:szCs w:val="28"/>
        </w:rPr>
        <w:t>.</w:t>
      </w:r>
    </w:p>
    <w:p w14:paraId="75E7BC40"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ومن الزاوية الصحية، أشار</w:t>
      </w:r>
      <w:r w:rsidRPr="007A1717">
        <w:rPr>
          <w:rFonts w:ascii="Sakkal Majalla" w:hAnsi="Sakkal Majalla" w:cs="Sakkal Majalla"/>
          <w:color w:val="000000" w:themeColor="text1"/>
          <w:sz w:val="28"/>
          <w:szCs w:val="28"/>
        </w:rPr>
        <w:t xml:space="preserve"> Tin et al. (2023) </w:t>
      </w:r>
      <w:r w:rsidRPr="007A1717">
        <w:rPr>
          <w:rFonts w:ascii="Sakkal Majalla" w:hAnsi="Sakkal Majalla" w:cs="Sakkal Majalla"/>
          <w:color w:val="000000" w:themeColor="text1"/>
          <w:sz w:val="28"/>
          <w:szCs w:val="28"/>
          <w:rtl/>
        </w:rPr>
        <w:t>إلى أن الحد من تأثير الكوارث الصناعية يتضمن بُعداً صحياً جوهرياً يتمثل في تقليل الإصابات والوفيات المرتبطة بالحوادث الصناعية من خلال منظومة متكاملة تبدأ من الوقاية وتمتد إلى الاستجابة الطبية السريعة والتعافي الصحي طويل المدى. وقد تناولت دراستهم الجوانب الصحية للكوارث الصناعية عالمياً، وبيّنت تنوع أنماط التأثيرات الصحية التي تتراوح بين الإصابات الحادة الناجمة عن الانفجارات والحرائق والتأثيرات المزمنة الناجمة عن التعرض للمواد السامة</w:t>
      </w:r>
      <w:r w:rsidRPr="007A1717">
        <w:rPr>
          <w:rFonts w:ascii="Sakkal Majalla" w:hAnsi="Sakkal Majalla" w:cs="Sakkal Majalla"/>
          <w:color w:val="000000" w:themeColor="text1"/>
          <w:sz w:val="28"/>
          <w:szCs w:val="28"/>
        </w:rPr>
        <w:t>.</w:t>
      </w:r>
    </w:p>
    <w:p w14:paraId="562DEA32"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وفي سياق المخاطر البيئية المرتبطة بالكوارث الصناعية، أوضح أرزوقي وعلي (2022) أن الحد من تأثير الكوارث الصناعية يشمل التقليل من الآثار البيئية الناجمة عن التلوث الصناعي بمصادره المتعددة، سواء أكانت تسربات كيميائية أم انبعاثات غازية أم نفايات صناعية خطرة. وقد تناولت دراستهما مشكلات التلوث البيئي من حيث مصادره الطبيعية والبشرية والصناعية، مؤكدَين أن البعد البيئي يُعدّ مكوناً أصيلاً في مفهوم الحد من تأثير الكوارث الصناعية لأن الأضرار البيئية قد تفوق في مداها الزمني والمكاني الأضرار المادية المباشرة</w:t>
      </w:r>
      <w:r w:rsidRPr="007A1717">
        <w:rPr>
          <w:rFonts w:ascii="Sakkal Majalla" w:hAnsi="Sakkal Majalla" w:cs="Sakkal Majalla"/>
          <w:color w:val="000000" w:themeColor="text1"/>
          <w:sz w:val="28"/>
          <w:szCs w:val="28"/>
        </w:rPr>
        <w:t>.</w:t>
      </w:r>
    </w:p>
    <w:p w14:paraId="3A7E5F40"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كما تناول أحمد (2024) المفهوم من الزاوية الاقتصادية والمالية، حيث أشار إلى أن تأثير الكوارث والأزمات يمتد ليشمل الملاءة المالية للمنشآت الصناعية والتجارية وقدرتها على الوفاء بالتزاماتها، وهو ما يجعل الحد من هذا التأثير مسألة حيوية ليس فقط من منظور السلامة بل من منظور الاستدامة الاقتصادية واستمرارية الأعمال</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فالكارثة الصناعية حين تقع لا تدمر الأصول المادية فحسب، بل تعطّل سلاسل الإمداد وتوقف العمليات الإنتاجية وتُفقد المنشأة قدرتها التنافسية وقد تؤدي في نهاية المطاف إلى إفلاسها</w:t>
      </w:r>
      <w:r w:rsidRPr="007A1717">
        <w:rPr>
          <w:rFonts w:ascii="Sakkal Majalla" w:hAnsi="Sakkal Majalla" w:cs="Sakkal Majalla"/>
          <w:color w:val="000000" w:themeColor="text1"/>
          <w:sz w:val="28"/>
          <w:szCs w:val="28"/>
        </w:rPr>
        <w:t>.</w:t>
      </w:r>
    </w:p>
    <w:p w14:paraId="1D18E0FC"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أما</w:t>
      </w:r>
      <w:r w:rsidRPr="007A1717">
        <w:rPr>
          <w:rFonts w:ascii="Sakkal Majalla" w:hAnsi="Sakkal Majalla" w:cs="Sakkal Majalla"/>
          <w:color w:val="000000" w:themeColor="text1"/>
          <w:sz w:val="28"/>
          <w:szCs w:val="28"/>
        </w:rPr>
        <w:t xml:space="preserve"> Rokhideh et al. (2025) </w:t>
      </w:r>
      <w:r w:rsidRPr="007A1717">
        <w:rPr>
          <w:rFonts w:ascii="Sakkal Majalla" w:hAnsi="Sakkal Majalla" w:cs="Sakkal Majalla"/>
          <w:color w:val="000000" w:themeColor="text1"/>
          <w:sz w:val="28"/>
          <w:szCs w:val="28"/>
          <w:rtl/>
        </w:rPr>
        <w:t>فقد تناولوا المفهوم ضمن إطار سنداي في سياق أوسع، حيث بيّنوا أن الحد من تأثير الكوارث لا يُعدّ هدفاً منفصلاً بل يمثل نتيجة تراكمية لمنظومة متكاملة من التدخلات التي تشمل بناء المعرفة بالمخاطر وتعزيز الحوكمة والاستثمار في أنظمة الإنذار المبكر وتعزيز الجاهزية للاستجابة. وهذا المنظور التكاملي يؤكد أن الحد من التأثير ليس إجراءً واحداً بل سيرورة مستمرة تتضمن مكونات وقائية واستباقية وتفاعلية وتعافوية</w:t>
      </w:r>
      <w:r w:rsidRPr="007A1717">
        <w:rPr>
          <w:rFonts w:ascii="Sakkal Majalla" w:hAnsi="Sakkal Majalla" w:cs="Sakkal Majalla"/>
          <w:color w:val="000000" w:themeColor="text1"/>
          <w:sz w:val="28"/>
          <w:szCs w:val="28"/>
        </w:rPr>
        <w:t>.</w:t>
      </w:r>
    </w:p>
    <w:p w14:paraId="52A6B3D0" w14:textId="3BD2AF4B"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وبناءً على هذا الاستعراض التحليلي للتعريفات المتعددة، يرى الباحث أن الحد من تأثير الكوارث الصناعية يمكن تعريفه إجرائياً بأنه: مجموعة السياسات والاستراتيجيات والإجراءات التقنية والتنظيمية والبشرية التي تستهدف تقليل احتمالية وقوع الحوادث الصناعية وتخفيف تداعياتها المتعددة على الأرواح البشرية والبيئة الطبيعية والأصول المادية والاستقرار الاقتصادي والنسيج الاجتماعي، من خلال منظومة </w:t>
      </w:r>
      <w:r w:rsidRPr="007A1717">
        <w:rPr>
          <w:rFonts w:ascii="Sakkal Majalla" w:hAnsi="Sakkal Majalla" w:cs="Sakkal Majalla"/>
          <w:color w:val="000000" w:themeColor="text1"/>
          <w:sz w:val="28"/>
          <w:szCs w:val="28"/>
          <w:rtl/>
        </w:rPr>
        <w:lastRenderedPageBreak/>
        <w:t>متكاملة تجمع بين الوقاية الاستباقية والاستجابة الفعّالة والتعافي المستدام</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ويراعي هذا التعريف الإجرائي الطبيعة متعددة الأبعاد لتأثيرات الكوارث الصناعية التي كشفت عنها الأدبيات المستعرضة</w:t>
      </w:r>
      <w:r w:rsidRPr="007A1717">
        <w:rPr>
          <w:rFonts w:ascii="Sakkal Majalla" w:hAnsi="Sakkal Majalla" w:cs="Sakkal Majalla"/>
          <w:color w:val="000000" w:themeColor="text1"/>
          <w:sz w:val="28"/>
          <w:szCs w:val="28"/>
        </w:rPr>
        <w:t>.</w:t>
      </w:r>
    </w:p>
    <w:p w14:paraId="604D1458" w14:textId="667E1939" w:rsidR="00E748EB" w:rsidRPr="007A1717" w:rsidRDefault="00E43AF3" w:rsidP="00E43AF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307794"/>
      <w:r w:rsidRPr="007A1717">
        <w:rPr>
          <w:rFonts w:ascii="Sakkal Majalla" w:hAnsi="Sakkal Majalla" w:cs="Sakkal Majalla" w:hint="cs"/>
          <w:b/>
          <w:bCs/>
          <w:color w:val="000000" w:themeColor="text1"/>
          <w:sz w:val="32"/>
          <w:szCs w:val="32"/>
          <w:rtl/>
        </w:rPr>
        <w:t xml:space="preserve">3.2.2 </w:t>
      </w:r>
      <w:r w:rsidR="00E748EB" w:rsidRPr="007A1717">
        <w:rPr>
          <w:rFonts w:ascii="Sakkal Majalla" w:hAnsi="Sakkal Majalla" w:cs="Sakkal Majalla"/>
          <w:b/>
          <w:bCs/>
          <w:color w:val="000000" w:themeColor="text1"/>
          <w:sz w:val="32"/>
          <w:szCs w:val="32"/>
          <w:rtl/>
        </w:rPr>
        <w:t xml:space="preserve"> أهمية الحد من تأثير الكوارث الصناعية</w:t>
      </w:r>
      <w:bookmarkEnd w:id="38"/>
    </w:p>
    <w:p w14:paraId="08124F63"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يكتسب الحد من تأثير الكوارث الصناعية أهمية استثنائية في المرحلة الراهنة، وذلك في ضوء التصاعد المستمر في وتيرة المخاطر الصناعية وتعقد طبيعتها من جهة، وتنامي حجم التداعيات المترتبة عليها من جهة أخرى. ويمكن استعراض هذه الأهمية من خلال عدة زوايا تكاملية تعكس تنوع المنظورات التي تناولها الباحثون</w:t>
      </w:r>
      <w:r w:rsidRPr="007A1717">
        <w:rPr>
          <w:rFonts w:ascii="Sakkal Majalla" w:hAnsi="Sakkal Majalla" w:cs="Sakkal Majalla"/>
          <w:color w:val="000000" w:themeColor="text1"/>
          <w:sz w:val="28"/>
          <w:szCs w:val="28"/>
        </w:rPr>
        <w:t>.</w:t>
      </w:r>
    </w:p>
    <w:p w14:paraId="417C2D28"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فقد أوضح</w:t>
      </w:r>
      <w:r w:rsidRPr="007A1717">
        <w:rPr>
          <w:rFonts w:ascii="Sakkal Majalla" w:hAnsi="Sakkal Majalla" w:cs="Sakkal Majalla"/>
          <w:color w:val="000000" w:themeColor="text1"/>
          <w:sz w:val="28"/>
          <w:szCs w:val="28"/>
        </w:rPr>
        <w:t xml:space="preserve"> UNDRR (2023) </w:t>
      </w:r>
      <w:r w:rsidRPr="007A1717">
        <w:rPr>
          <w:rFonts w:ascii="Sakkal Majalla" w:hAnsi="Sakkal Majalla" w:cs="Sakkal Majalla"/>
          <w:color w:val="000000" w:themeColor="text1"/>
          <w:sz w:val="28"/>
          <w:szCs w:val="28"/>
          <w:rtl/>
        </w:rPr>
        <w:t>أن أهمية الحد من تأثير الكوارث تتجلى في ثلاثة محاور جوهرية: أولها الحفاظ على مكتسبات التنمية المستدامة التي قد تُبدد في لحظات بسبب كارثة واحدة، حيث تكشف التقديرات الدولية عن أن الخسائر الناجمة عن الكوارث تلتهم نسبة كبيرة من الناتج المحلي الإجمالي في كثير من الدول. وثانيها حماية الفئات الأكثر ضعفاً التي تتحمل العبء الأكبر من تداعيات الكوارث بسبب محدودية مواردها وقدراتها على التكيف والتعافي. وثالثها تعزيز الصمود المؤسسي والمجتمعي الذي يمثل ركيزة أساسية للاستقرار والازدهار على المدى البعيد</w:t>
      </w:r>
      <w:r w:rsidRPr="007A1717">
        <w:rPr>
          <w:rFonts w:ascii="Sakkal Majalla" w:hAnsi="Sakkal Majalla" w:cs="Sakkal Majalla"/>
          <w:color w:val="000000" w:themeColor="text1"/>
          <w:sz w:val="28"/>
          <w:szCs w:val="28"/>
        </w:rPr>
        <w:t>.</w:t>
      </w:r>
    </w:p>
    <w:p w14:paraId="53DD271B"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ويرى</w:t>
      </w:r>
      <w:r w:rsidRPr="007A1717">
        <w:rPr>
          <w:rFonts w:ascii="Sakkal Majalla" w:hAnsi="Sakkal Majalla" w:cs="Sakkal Majalla"/>
          <w:color w:val="000000" w:themeColor="text1"/>
          <w:sz w:val="28"/>
          <w:szCs w:val="28"/>
        </w:rPr>
        <w:t xml:space="preserve"> Kalogiannidis et al. (2025) </w:t>
      </w:r>
      <w:r w:rsidRPr="007A1717">
        <w:rPr>
          <w:rFonts w:ascii="Sakkal Majalla" w:hAnsi="Sakkal Majalla" w:cs="Sakkal Majalla"/>
          <w:color w:val="000000" w:themeColor="text1"/>
          <w:sz w:val="28"/>
          <w:szCs w:val="28"/>
          <w:rtl/>
        </w:rPr>
        <w:t>أن أهمية الحد من تأثير الكوارث تنبثق من الطبيعة التراكمية والمتشابكة لهذه التأثيرات، إذ لا تقتصر الأضرار على الخسائر المباشرة والفورية بل تمتد لتشمل تداعيات غير مباشرة طويلة المدى تطال النسيج الاقتصادي والاجتماعي للمجتمعات المتضررة. فحين تقع كارثة صناعية في منطقة ما، لا تتوقف آثارها عند الدمار المادي الظاهر، بل تتسلسل لتشمل فقدان الوظائف وتراجع النشاط الاقتصادي وانخفاض قيمة الأصول العقارية ونزوح السكان وتدهور الصحة النفسية للمجتمع</w:t>
      </w:r>
      <w:r w:rsidRPr="007A1717">
        <w:rPr>
          <w:rFonts w:ascii="Sakkal Majalla" w:hAnsi="Sakkal Majalla" w:cs="Sakkal Majalla"/>
          <w:color w:val="000000" w:themeColor="text1"/>
          <w:sz w:val="28"/>
          <w:szCs w:val="28"/>
        </w:rPr>
        <w:t>.</w:t>
      </w:r>
    </w:p>
    <w:p w14:paraId="66320CE6"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وقد أكد كمالي ويوسف (2024) على أهمية هذا الموضوع من المنظور القانوني الدولي، حيث أشارا إلى أن النظام القانوني الدولي يتجه بشكل متزايد نحو إلزام الدول والمؤسسات بتبني تدابير فعّالة للحد من </w:t>
      </w:r>
      <w:r w:rsidRPr="007A1717">
        <w:rPr>
          <w:rFonts w:ascii="Sakkal Majalla" w:hAnsi="Sakkal Majalla" w:cs="Sakkal Majalla"/>
          <w:color w:val="000000" w:themeColor="text1"/>
          <w:sz w:val="28"/>
          <w:szCs w:val="28"/>
          <w:rtl/>
        </w:rPr>
        <w:lastRenderedPageBreak/>
        <w:t>تأثير الكوارث بما فيها الكوارث الصناعية، وأن الإخلال بهذا الالتزام قد يرتب مسؤولية قانونية على المستويين الوطني والدولي. وهذا البُعد القانوني يضيف حافزاً مؤسسياً قوياً يتجاوز الاعتبارات الأخلاقية والإنسانية ويجعل من الحد من تأثير الكوارث ضرورة قانونية ملزمة</w:t>
      </w:r>
      <w:r w:rsidRPr="007A1717">
        <w:rPr>
          <w:rFonts w:ascii="Sakkal Majalla" w:hAnsi="Sakkal Majalla" w:cs="Sakkal Majalla"/>
          <w:color w:val="000000" w:themeColor="text1"/>
          <w:sz w:val="28"/>
          <w:szCs w:val="28"/>
        </w:rPr>
        <w:t>.</w:t>
      </w:r>
    </w:p>
    <w:p w14:paraId="2925C872"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أما على صعيد البُعد الاقتصادي، فقد بيّن أحمد </w:t>
      </w:r>
      <w:r w:rsidRPr="007A1717">
        <w:rPr>
          <w:rFonts w:ascii="Sakkal Majalla" w:hAnsi="Sakkal Majalla" w:cs="Sakkal Majalla"/>
          <w:color w:val="000000" w:themeColor="text1"/>
          <w:sz w:val="28"/>
          <w:szCs w:val="28"/>
        </w:rPr>
        <w:t xml:space="preserve">(2024) </w:t>
      </w:r>
      <w:r w:rsidRPr="007A1717">
        <w:rPr>
          <w:rFonts w:ascii="Sakkal Majalla" w:hAnsi="Sakkal Majalla" w:cs="Sakkal Majalla"/>
          <w:color w:val="000000" w:themeColor="text1"/>
          <w:sz w:val="28"/>
          <w:szCs w:val="28"/>
          <w:rtl/>
        </w:rPr>
        <w:t>أن الكوارث والأزمات تخلّف تداعيات مالية وخيمة تطال ملاءة المنشآت وقدرتها على الاستمرار، مشيراً إلى أن هذه التداعيات قد تمتد إلى سلاسل القيمة بأكملها وتؤثر في شركاء الأعمال والموردين والعملاء. ولذلك فإن الحد من تأثير الكوارث الصناعية يمثل استثماراً اقتصادياً حقيقياً يحمي القيمة المؤسسية ويصون فرص العمل ويحافظ على الاستقرار الاقتصادي المحلي والإقليمي</w:t>
      </w:r>
      <w:r w:rsidRPr="007A1717">
        <w:rPr>
          <w:rFonts w:ascii="Sakkal Majalla" w:hAnsi="Sakkal Majalla" w:cs="Sakkal Majalla"/>
          <w:color w:val="000000" w:themeColor="text1"/>
          <w:sz w:val="28"/>
          <w:szCs w:val="28"/>
        </w:rPr>
        <w:t>.</w:t>
      </w:r>
    </w:p>
    <w:p w14:paraId="29877EAE"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كما أشار الكوافي (2024) إلى أهمية الحد من تأثير الكوارث من منظور الحفاظ على البنية الحضرية والعمرانية، حيث أكد أن الكوارث تدمر مرافق حيوية أُنفقت على بنائها استثمارات ضخمة وجهود سنوات طويلة، وأن إعادة البناء تستنزف موارد كان يمكن توجيهها نحو التنمية والتطوير. وهذا المنظور ينطبق بوضوح على المدن الصناعية السعودية التي تمثل بنيتها التحتية المتقدمة استثماراً وطنياً ضخماً يستوجب الحماية</w:t>
      </w:r>
      <w:r w:rsidRPr="007A1717">
        <w:rPr>
          <w:rFonts w:ascii="Sakkal Majalla" w:hAnsi="Sakkal Majalla" w:cs="Sakkal Majalla"/>
          <w:color w:val="000000" w:themeColor="text1"/>
          <w:sz w:val="28"/>
          <w:szCs w:val="28"/>
        </w:rPr>
        <w:t>.</w:t>
      </w:r>
    </w:p>
    <w:p w14:paraId="4E1394B4"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ويضيف</w:t>
      </w:r>
      <w:r w:rsidRPr="007A1717">
        <w:rPr>
          <w:rFonts w:ascii="Sakkal Majalla" w:hAnsi="Sakkal Majalla" w:cs="Sakkal Majalla"/>
          <w:color w:val="000000" w:themeColor="text1"/>
          <w:sz w:val="28"/>
          <w:szCs w:val="28"/>
        </w:rPr>
        <w:t xml:space="preserve"> Meckawy et al. (2022) </w:t>
      </w:r>
      <w:r w:rsidRPr="007A1717">
        <w:rPr>
          <w:rFonts w:ascii="Sakkal Majalla" w:hAnsi="Sakkal Majalla" w:cs="Sakkal Majalla"/>
          <w:color w:val="000000" w:themeColor="text1"/>
          <w:sz w:val="28"/>
          <w:szCs w:val="28"/>
          <w:rtl/>
        </w:rPr>
        <w:t>بُعداً صحياً لأهمية الحد من تأثير الكوارث، حيث أكدوا أن الكشف المبكر والاستجابة السريعة للأحداث الخطرة يقللان بشكل جوهري من حجم الأعباء الصحية المترتبة عليها. فالتأخر في الاستجابة لا يزيد من عدد الضحايا المباشرين فحسب، بل يفاقم من حدة الإصابات ويرفع تكاليف العلاج والتأهيل ويخلّف آثاراً صحية مزمنة تثقل كاهل المنظومة الصحية لسنوات</w:t>
      </w:r>
      <w:r w:rsidRPr="007A1717">
        <w:rPr>
          <w:rFonts w:ascii="Sakkal Majalla" w:hAnsi="Sakkal Majalla" w:cs="Sakkal Majalla"/>
          <w:color w:val="000000" w:themeColor="text1"/>
          <w:sz w:val="28"/>
          <w:szCs w:val="28"/>
        </w:rPr>
        <w:t>.</w:t>
      </w:r>
    </w:p>
    <w:p w14:paraId="62EBF1FA" w14:textId="77777777" w:rsidR="00E43AF3"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وفي السياق السعودي، تتعاظم أهمية الحد من تأثير الكوارث الصناعية في ضوء المكانة المحورية التي يحتلها القطاع الصناعي في رؤية المملكة 2030 وبرنامج تطوير الصناعة الوطنية واللوجستيات</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فالمحافظة على سمعة البيئة الصناعية السعودية بوصفها بيئة آمنة وجاذبة للاستثمار تمثل ضرورة استراتيجية تستلزم منظومة متقدمة للحد من المخاطر الصناعية وتأثيراتها</w:t>
      </w:r>
      <w:r w:rsidRPr="007A1717">
        <w:rPr>
          <w:rFonts w:ascii="Sakkal Majalla" w:hAnsi="Sakkal Majalla" w:cs="Sakkal Majalla"/>
          <w:color w:val="000000" w:themeColor="text1"/>
          <w:sz w:val="28"/>
          <w:szCs w:val="28"/>
        </w:rPr>
        <w:t>.</w:t>
      </w:r>
    </w:p>
    <w:p w14:paraId="386E00BC" w14:textId="0746E4A2" w:rsidR="00E748EB" w:rsidRPr="007A1717" w:rsidRDefault="00E43AF3" w:rsidP="00E43AF3">
      <w:pPr>
        <w:spacing w:before="100" w:beforeAutospacing="1" w:after="100" w:afterAutospacing="1"/>
        <w:outlineLvl w:val="2"/>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Pr>
        <w:br w:type="page"/>
      </w:r>
      <w:bookmarkStart w:id="39" w:name="_Toc223307795"/>
      <w:r w:rsidRPr="007A1717">
        <w:rPr>
          <w:rFonts w:ascii="Sakkal Majalla" w:hAnsi="Sakkal Majalla" w:cs="Sakkal Majalla" w:hint="cs"/>
          <w:b/>
          <w:bCs/>
          <w:color w:val="000000" w:themeColor="text1"/>
          <w:sz w:val="32"/>
          <w:szCs w:val="32"/>
          <w:rtl/>
        </w:rPr>
        <w:lastRenderedPageBreak/>
        <w:t xml:space="preserve">4.2.2 </w:t>
      </w:r>
      <w:r w:rsidRPr="007A1717">
        <w:rPr>
          <w:rFonts w:ascii="Sakkal Majalla" w:hAnsi="Sakkal Majalla" w:cs="Sakkal Majalla"/>
          <w:b/>
          <w:bCs/>
          <w:color w:val="000000" w:themeColor="text1"/>
          <w:sz w:val="32"/>
          <w:szCs w:val="32"/>
          <w:rtl/>
        </w:rPr>
        <w:t xml:space="preserve"> </w:t>
      </w:r>
      <w:r w:rsidR="00E748EB" w:rsidRPr="007A1717">
        <w:rPr>
          <w:rFonts w:ascii="Sakkal Majalla" w:hAnsi="Sakkal Majalla" w:cs="Sakkal Majalla"/>
          <w:b/>
          <w:bCs/>
          <w:color w:val="000000" w:themeColor="text1"/>
          <w:sz w:val="32"/>
          <w:szCs w:val="32"/>
          <w:rtl/>
        </w:rPr>
        <w:t>أهداف الحد من تأثير الكوارث الصناعية</w:t>
      </w:r>
      <w:bookmarkEnd w:id="39"/>
    </w:p>
    <w:p w14:paraId="6F1EFEDE"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تتعدد أهداف الحد من تأثير الكوارث الصناعية وتتراتب وفق منطق يبدأ من الحماية المباشرة وينتهي بتعزيز الصمود المؤسسي والمجتمعي على المدى البعيد. وتكشف الأدبيات عن تنوع في تحديد هذه الأهداف يعكس تعدد المنظورات التي ينطلق منها الباحثون</w:t>
      </w:r>
      <w:r w:rsidRPr="007A1717">
        <w:rPr>
          <w:rFonts w:ascii="Sakkal Majalla" w:hAnsi="Sakkal Majalla" w:cs="Sakkal Majalla"/>
          <w:color w:val="000000" w:themeColor="text1"/>
          <w:sz w:val="28"/>
          <w:szCs w:val="28"/>
        </w:rPr>
        <w:t>.</w:t>
      </w:r>
    </w:p>
    <w:p w14:paraId="13246AEF"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فقد حدد</w:t>
      </w:r>
      <w:r w:rsidRPr="007A1717">
        <w:rPr>
          <w:rFonts w:ascii="Sakkal Majalla" w:hAnsi="Sakkal Majalla" w:cs="Sakkal Majalla"/>
          <w:color w:val="000000" w:themeColor="text1"/>
          <w:sz w:val="28"/>
          <w:szCs w:val="28"/>
        </w:rPr>
        <w:t xml:space="preserve"> Rokhideh et al. (2025) </w:t>
      </w:r>
      <w:r w:rsidRPr="007A1717">
        <w:rPr>
          <w:rFonts w:ascii="Sakkal Majalla" w:hAnsi="Sakkal Majalla" w:cs="Sakkal Majalla"/>
          <w:color w:val="000000" w:themeColor="text1"/>
          <w:sz w:val="28"/>
          <w:szCs w:val="28"/>
          <w:rtl/>
        </w:rPr>
        <w:t>الأهداف في إطار منظومة سنداي على ثلاثة مستويات: أولها الحد من معدلات الوفيات والإصابات الناجمة عن الكوارث بجميع أنواعها بما فيها الكوارث التكنولوجية والصناعية. وثانيها تقليل الخسائر الاقتصادية المباشرة وغير المباشرة المترتبة على هذه الكوارث، بما في ذلك الأضرار التي تلحق بالبنية التحتية الحيوية والخدمات الأساسية. وثالثها زيادة عدد الدول والمؤسسات التي تتبنى استراتيجيات وطنية ومحلية شاملة للحد من مخاطر الكوارث، وهو ما يعكس هدفاً مؤسسياً يتعلق ببناء الأطر والقدرات وليس فقط بتحقيق نتائج مباشرة</w:t>
      </w:r>
      <w:r w:rsidRPr="007A1717">
        <w:rPr>
          <w:rFonts w:ascii="Sakkal Majalla" w:hAnsi="Sakkal Majalla" w:cs="Sakkal Majalla"/>
          <w:color w:val="000000" w:themeColor="text1"/>
          <w:sz w:val="28"/>
          <w:szCs w:val="28"/>
        </w:rPr>
        <w:t>.</w:t>
      </w:r>
    </w:p>
    <w:p w14:paraId="77271608"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ويرى</w:t>
      </w:r>
      <w:r w:rsidRPr="007A1717">
        <w:rPr>
          <w:rFonts w:ascii="Sakkal Majalla" w:hAnsi="Sakkal Majalla" w:cs="Sakkal Majalla"/>
          <w:color w:val="000000" w:themeColor="text1"/>
          <w:sz w:val="28"/>
          <w:szCs w:val="28"/>
        </w:rPr>
        <w:t xml:space="preserve"> Ringo et al. (2024) </w:t>
      </w:r>
      <w:r w:rsidRPr="007A1717">
        <w:rPr>
          <w:rFonts w:ascii="Sakkal Majalla" w:hAnsi="Sakkal Majalla" w:cs="Sakkal Majalla"/>
          <w:color w:val="000000" w:themeColor="text1"/>
          <w:sz w:val="28"/>
          <w:szCs w:val="28"/>
          <w:rtl/>
        </w:rPr>
        <w:t>أن أهداف الحد من تأثير الكوارث ينبغي أن تُصاغ وفق مقاربة واقعية تعترف باستحالة المنع الكامل لجميع الأحداث الكارثية، وتركز بدلاً من ذلك على ثلاثة أهداف عملية</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أولها تعظيم الفعالية الوقائية من خلال التدخل في المراحل المبكرة للأحداث قبل أن تتصاعد إلى مستوى الكارثة. وثانيها تقليل زمن التعافي وتكاليفه من خلال الاستعداد المسبق وتوفير خطط الطوارئ المفعّلة والمختبرة. وثالثها بناء قدرات التكيف التي تمكّن المؤسسات والمجتمعات من مواصلة أداء وظائفها الحيوية حتى في أثناء الأزمات</w:t>
      </w:r>
      <w:r w:rsidRPr="007A1717">
        <w:rPr>
          <w:rFonts w:ascii="Sakkal Majalla" w:hAnsi="Sakkal Majalla" w:cs="Sakkal Majalla"/>
          <w:color w:val="000000" w:themeColor="text1"/>
          <w:sz w:val="28"/>
          <w:szCs w:val="28"/>
        </w:rPr>
        <w:t>.</w:t>
      </w:r>
    </w:p>
    <w:p w14:paraId="31852E7D"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كما أوضح</w:t>
      </w:r>
      <w:r w:rsidRPr="007A1717">
        <w:rPr>
          <w:rFonts w:ascii="Sakkal Majalla" w:hAnsi="Sakkal Majalla" w:cs="Sakkal Majalla"/>
          <w:color w:val="000000" w:themeColor="text1"/>
          <w:sz w:val="28"/>
          <w:szCs w:val="28"/>
        </w:rPr>
        <w:t xml:space="preserve"> Sugawara (2019) </w:t>
      </w:r>
      <w:r w:rsidRPr="007A1717">
        <w:rPr>
          <w:rFonts w:ascii="Sakkal Majalla" w:hAnsi="Sakkal Majalla" w:cs="Sakkal Majalla"/>
          <w:color w:val="000000" w:themeColor="text1"/>
          <w:sz w:val="28"/>
          <w:szCs w:val="28"/>
          <w:rtl/>
        </w:rPr>
        <w:t>أن فعالية منظومات الحد من تأثير الكوارث تتحقق حين تسعى إلى ثلاثة أهداف مترابطة: أولها الكشف المبكر عن بوادر الأزمات وتفعيل آليات التدخل الاستباقي. وثانيها تنسيق جهود الأطراف المتعددة المعنية بالاستجابة والتعافي ضمن إطار مؤسسي موحد ومتماسك. وثالثها التعلم المنظم من الأحداث السابقة واستخلاص الدروس التي تعزز القدرة على مواجهة الأحداث المستقبلية</w:t>
      </w:r>
      <w:r w:rsidRPr="007A1717">
        <w:rPr>
          <w:rFonts w:ascii="Sakkal Majalla" w:hAnsi="Sakkal Majalla" w:cs="Sakkal Majalla"/>
          <w:color w:val="000000" w:themeColor="text1"/>
          <w:sz w:val="28"/>
          <w:szCs w:val="28"/>
        </w:rPr>
        <w:t>.</w:t>
      </w:r>
    </w:p>
    <w:p w14:paraId="5D55355E" w14:textId="77777777"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أما</w:t>
      </w:r>
      <w:r w:rsidRPr="007A1717">
        <w:rPr>
          <w:rFonts w:ascii="Sakkal Majalla" w:hAnsi="Sakkal Majalla" w:cs="Sakkal Majalla"/>
          <w:color w:val="000000" w:themeColor="text1"/>
          <w:sz w:val="28"/>
          <w:szCs w:val="28"/>
        </w:rPr>
        <w:t xml:space="preserve"> Fajrillah et al. (2024) </w:t>
      </w:r>
      <w:r w:rsidRPr="007A1717">
        <w:rPr>
          <w:rFonts w:ascii="Sakkal Majalla" w:hAnsi="Sakkal Majalla" w:cs="Sakkal Majalla"/>
          <w:color w:val="000000" w:themeColor="text1"/>
          <w:sz w:val="28"/>
          <w:szCs w:val="28"/>
          <w:rtl/>
        </w:rPr>
        <w:t>فقد أكدوا أن الحد من تأثير الكوارث يستهدف في جوهره ثلاثة أهداف طويلة المدى: أولها ترسيخ ثقافة الوقاية والسلامة في المؤسسات والمجتمعات بحيث تصبح جزءاً لا يتجزأ من السلوك التنظيمي اليومي وليست مجرد استجابة ظرفية للأزمات</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وثانيها تعزيز استمرارية الأعمال من خلال تقليل مدة التوقف القسري للعمليات الإنتاجية والخدمية خلال الأزمات وبعدها. وثالثها حماية رأس المال البشري والمعرفي للمؤسسات الذي يمثل أثمن أصولها وأصعبها استعاضة</w:t>
      </w:r>
      <w:r w:rsidRPr="007A1717">
        <w:rPr>
          <w:rFonts w:ascii="Sakkal Majalla" w:hAnsi="Sakkal Majalla" w:cs="Sakkal Majalla"/>
          <w:color w:val="000000" w:themeColor="text1"/>
          <w:sz w:val="28"/>
          <w:szCs w:val="28"/>
        </w:rPr>
        <w:t>.</w:t>
      </w:r>
    </w:p>
    <w:p w14:paraId="32CA1A0D" w14:textId="5275FC6E" w:rsidR="00E748EB" w:rsidRPr="007A1717" w:rsidRDefault="00E748EB" w:rsidP="00E43AF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ومن المنظور البيئي، يرى أرزوقي وعلي</w:t>
      </w:r>
      <w:r w:rsidRPr="007A1717">
        <w:rPr>
          <w:rFonts w:ascii="Sakkal Majalla" w:hAnsi="Sakkal Majalla" w:cs="Sakkal Majalla"/>
          <w:color w:val="000000" w:themeColor="text1"/>
          <w:sz w:val="28"/>
          <w:szCs w:val="28"/>
        </w:rPr>
        <w:t xml:space="preserve"> (2022) </w:t>
      </w:r>
      <w:r w:rsidRPr="007A1717">
        <w:rPr>
          <w:rFonts w:ascii="Sakkal Majalla" w:hAnsi="Sakkal Majalla" w:cs="Sakkal Majalla"/>
          <w:color w:val="000000" w:themeColor="text1"/>
          <w:sz w:val="28"/>
          <w:szCs w:val="28"/>
          <w:rtl/>
        </w:rPr>
        <w:t>أن الحد من تأثير الكوارث الصناعية يستهدف ثلاثة أهداف بيئية حيوية: أولها منع التلوث عند المصدر من خلال التدابير الوقائية الهندسية والتشغيلية التي تحول دون انبعاث الملوثات أو تسرب المواد الخطرة. وثانيها احتواء التلوث في أضيق نطاق ممكن حين يقع لتفادي انتشاره إلى مناطق أوسع. وثالثها المعالجة والاستصلاح البيئي الذي يعيد المناطق المتضررة إلى حالتها الطبيعية أو إلى أقرب ما يمكن منها</w:t>
      </w:r>
      <w:r w:rsidRPr="007A1717">
        <w:rPr>
          <w:rFonts w:ascii="Sakkal Majalla" w:hAnsi="Sakkal Majalla" w:cs="Sakkal Majalla"/>
          <w:color w:val="000000" w:themeColor="text1"/>
          <w:sz w:val="28"/>
          <w:szCs w:val="28"/>
        </w:rPr>
        <w:t>.</w:t>
      </w:r>
    </w:p>
    <w:p w14:paraId="0E5638A5" w14:textId="099CD750" w:rsidR="00E748EB" w:rsidRPr="007A1717" w:rsidRDefault="00E43AF3" w:rsidP="001822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307796"/>
      <w:r w:rsidRPr="007A1717">
        <w:rPr>
          <w:rFonts w:ascii="Sakkal Majalla" w:hAnsi="Sakkal Majalla" w:cs="Sakkal Majalla" w:hint="cs"/>
          <w:b/>
          <w:bCs/>
          <w:color w:val="000000" w:themeColor="text1"/>
          <w:sz w:val="32"/>
          <w:szCs w:val="32"/>
          <w:rtl/>
        </w:rPr>
        <w:t xml:space="preserve">5.2.2 </w:t>
      </w:r>
      <w:r w:rsidR="00E748EB" w:rsidRPr="007A1717">
        <w:rPr>
          <w:rFonts w:ascii="Sakkal Majalla" w:hAnsi="Sakkal Majalla" w:cs="Sakkal Majalla"/>
          <w:b/>
          <w:bCs/>
          <w:color w:val="000000" w:themeColor="text1"/>
          <w:sz w:val="32"/>
          <w:szCs w:val="32"/>
          <w:rtl/>
        </w:rPr>
        <w:t xml:space="preserve"> أبعاد الحد من تأثير الكوارث الصناعية</w:t>
      </w:r>
      <w:bookmarkEnd w:id="40"/>
    </w:p>
    <w:p w14:paraId="1CC7D634"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إن الحد من تأثير الكوارث الصناعية مفهوم متعدد الأوجه لا يمكن اختزاله في بُعد واحد، بل يتضمن أبعاداً متكاملة تعكس تنوع مجالات التأثير التي تخلّفها هذه الكوارث. وقد تم تحديد هذه الأبعاد بناءً على مراجعة شاملة للأدبيات، وبخاصة ما طرحه</w:t>
      </w:r>
      <w:r w:rsidRPr="007A1717">
        <w:rPr>
          <w:rFonts w:ascii="Sakkal Majalla" w:hAnsi="Sakkal Majalla" w:cs="Sakkal Majalla"/>
          <w:color w:val="000000" w:themeColor="text1"/>
          <w:sz w:val="28"/>
          <w:szCs w:val="28"/>
        </w:rPr>
        <w:t xml:space="preserve"> Kamdina et al. (2021) </w:t>
      </w:r>
      <w:r w:rsidRPr="007A1717">
        <w:rPr>
          <w:rFonts w:ascii="Sakkal Majalla" w:hAnsi="Sakkal Majalla" w:cs="Sakkal Majalla"/>
          <w:color w:val="000000" w:themeColor="text1"/>
          <w:sz w:val="28"/>
          <w:szCs w:val="28"/>
          <w:rtl/>
        </w:rPr>
        <w:t>بشأن التأثيرات المتعددة للحوادث الصناعية على استقرار المنشآت وجودة حياة السكان، وما أكده</w:t>
      </w:r>
      <w:r w:rsidRPr="007A1717">
        <w:rPr>
          <w:rFonts w:ascii="Sakkal Majalla" w:hAnsi="Sakkal Majalla" w:cs="Sakkal Majalla"/>
          <w:color w:val="000000" w:themeColor="text1"/>
          <w:sz w:val="28"/>
          <w:szCs w:val="28"/>
        </w:rPr>
        <w:t xml:space="preserve"> UNDRR (2022) </w:t>
      </w:r>
      <w:r w:rsidRPr="007A1717">
        <w:rPr>
          <w:rFonts w:ascii="Sakkal Majalla" w:hAnsi="Sakkal Majalla" w:cs="Sakkal Majalla"/>
          <w:color w:val="000000" w:themeColor="text1"/>
          <w:sz w:val="28"/>
          <w:szCs w:val="28"/>
          <w:rtl/>
        </w:rPr>
        <w:t>بشأن الأبعاد المتكاملة للحد من مخاطر الكوارث في إطار سنداي، وما أوضحه</w:t>
      </w:r>
      <w:r w:rsidRPr="007A1717">
        <w:rPr>
          <w:rFonts w:ascii="Sakkal Majalla" w:hAnsi="Sakkal Majalla" w:cs="Sakkal Majalla"/>
          <w:color w:val="000000" w:themeColor="text1"/>
          <w:sz w:val="28"/>
          <w:szCs w:val="28"/>
        </w:rPr>
        <w:t xml:space="preserve"> Tin et al. (2023) </w:t>
      </w:r>
      <w:r w:rsidRPr="007A1717">
        <w:rPr>
          <w:rFonts w:ascii="Sakkal Majalla" w:hAnsi="Sakkal Majalla" w:cs="Sakkal Majalla"/>
          <w:color w:val="000000" w:themeColor="text1"/>
          <w:sz w:val="28"/>
          <w:szCs w:val="28"/>
          <w:rtl/>
        </w:rPr>
        <w:t>بشأن الأنماط المتنوعة للتأثيرات الصحية للكوارث الصناعية. ويمكن تصنيف هذه الأبعاد في أربعة محاور رئيسية</w:t>
      </w:r>
      <w:r w:rsidRPr="007A1717">
        <w:rPr>
          <w:rFonts w:ascii="Sakkal Majalla" w:hAnsi="Sakkal Majalla" w:cs="Sakkal Majalla"/>
          <w:color w:val="000000" w:themeColor="text1"/>
          <w:sz w:val="28"/>
          <w:szCs w:val="28"/>
        </w:rPr>
        <w:t>.</w:t>
      </w:r>
    </w:p>
    <w:p w14:paraId="39714E93" w14:textId="77777777" w:rsidR="00E748EB" w:rsidRPr="007A1717" w:rsidRDefault="00E748EB" w:rsidP="001822C8">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البُعد البشري والصحي</w:t>
      </w:r>
    </w:p>
    <w:p w14:paraId="4AE03465"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يمثل البُعد البشري والصحي المحور الأكثر أولوية في منظومة الحد من تأثير الكوارث الصناعية، انطلاقاً من المبدأ الراسخ في جميع الأطر الدولية والتشريعات الوطنية بأن حماية الأرواح البشرية تتقدم على جميع الاعتبارات الأخرى. ويشمل هذا البُعد تقليل أعداد الوفيات والإصابات الناجمة عن الحوادث </w:t>
      </w:r>
      <w:r w:rsidRPr="007A1717">
        <w:rPr>
          <w:rFonts w:ascii="Sakkal Majalla" w:hAnsi="Sakkal Majalla" w:cs="Sakkal Majalla"/>
          <w:color w:val="000000" w:themeColor="text1"/>
          <w:sz w:val="28"/>
          <w:szCs w:val="28"/>
          <w:rtl/>
        </w:rPr>
        <w:lastRenderedPageBreak/>
        <w:t>الصناعية، وتخفيف الآثار الصحية قصيرة المدى وطويلة المدى التي قد يتعرض لها العاملون في المنشآت الصناعية والسكان المجاورون لها</w:t>
      </w:r>
      <w:r w:rsidRPr="007A1717">
        <w:rPr>
          <w:rFonts w:ascii="Sakkal Majalla" w:hAnsi="Sakkal Majalla" w:cs="Sakkal Majalla"/>
          <w:color w:val="000000" w:themeColor="text1"/>
          <w:sz w:val="28"/>
          <w:szCs w:val="28"/>
        </w:rPr>
        <w:t>.</w:t>
      </w:r>
    </w:p>
    <w:p w14:paraId="1646DC1D"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وقد بيّن</w:t>
      </w:r>
      <w:r w:rsidRPr="007A1717">
        <w:rPr>
          <w:rFonts w:ascii="Sakkal Majalla" w:hAnsi="Sakkal Majalla" w:cs="Sakkal Majalla"/>
          <w:color w:val="000000" w:themeColor="text1"/>
          <w:sz w:val="28"/>
          <w:szCs w:val="28"/>
        </w:rPr>
        <w:t xml:space="preserve"> Tin et al. (2023) </w:t>
      </w:r>
      <w:r w:rsidRPr="007A1717">
        <w:rPr>
          <w:rFonts w:ascii="Sakkal Majalla" w:hAnsi="Sakkal Majalla" w:cs="Sakkal Majalla"/>
          <w:color w:val="000000" w:themeColor="text1"/>
          <w:sz w:val="28"/>
          <w:szCs w:val="28"/>
          <w:rtl/>
        </w:rPr>
        <w:t>أن التأثيرات الصحية للكوارث الصناعية تتخذ أنماطاً متنوعة تتراوح بين الإصابات الحادة الناجمة عن الانفجارات والحرائق، والتسممات الناتجة عن التعرض للمواد الكيميائية الخطرة، والأمراض المزمنة التي قد تظهر بعد سنوات من التعرض</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وهذا التنوع في أنماط التأثير يستلزم منظومة حماية متعددة المستويات تبدأ من الوقاية الأولية وتمتد إلى الرصد الصحي طويل المدى للمجتمعات المعرضة</w:t>
      </w:r>
      <w:r w:rsidRPr="007A1717">
        <w:rPr>
          <w:rFonts w:ascii="Sakkal Majalla" w:hAnsi="Sakkal Majalla" w:cs="Sakkal Majalla"/>
          <w:color w:val="000000" w:themeColor="text1"/>
          <w:sz w:val="28"/>
          <w:szCs w:val="28"/>
        </w:rPr>
        <w:t>.</w:t>
      </w:r>
    </w:p>
    <w:p w14:paraId="3776FAB6"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ويُعدّ تطوير بروتوكولات الإخلاء الآمن وتأمين مسارات الهروب في المنشآت الصناعية من أهم عناصر هذا البُعد، إلى جانب توفير معدات الحماية الشخصية ونظم التهوية الطارئة ومحطات إزالة التلوث</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كما يشمل البُعد البشري الاهتمام بالصحة النفسية للعاملين والمجتمعات المتأثرة، إذ تخلّف الكوارث الصناعية صدمات نفسية عميقة قد تؤثر في الأداء الوظيفي وجودة الحياة لفترات طويلة بعد انتهاء الحدث المباشر</w:t>
      </w:r>
      <w:r w:rsidRPr="007A1717">
        <w:rPr>
          <w:rFonts w:ascii="Sakkal Majalla" w:hAnsi="Sakkal Majalla" w:cs="Sakkal Majalla"/>
          <w:color w:val="000000" w:themeColor="text1"/>
          <w:sz w:val="28"/>
          <w:szCs w:val="28"/>
        </w:rPr>
        <w:t>.</w:t>
      </w:r>
    </w:p>
    <w:p w14:paraId="6A7CD81B" w14:textId="77777777" w:rsidR="00E748EB" w:rsidRPr="007A1717" w:rsidRDefault="00E748EB" w:rsidP="001822C8">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البُعد المادي والبنيوي</w:t>
      </w:r>
    </w:p>
    <w:p w14:paraId="527B624B"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يتعلق هذا البُعد بحماية البنية التحتية والأصول المادية من التدمير أو الضرر الناجم عن الكوارث الصناعية. وقد أكد الكوافي (2024) أن الكوارث تخلّف آثاراً مدمرة على البنية الحضرية والمباني والمرافق الحيوية، وأن حجم هذه الأضرار يتوقف على مدى فعالية التدابير الوقائية المتخذة مسبقاً ومدى سرعة الاستجابة حين وقوع الحدث</w:t>
      </w:r>
      <w:r w:rsidRPr="007A1717">
        <w:rPr>
          <w:rFonts w:ascii="Sakkal Majalla" w:hAnsi="Sakkal Majalla" w:cs="Sakkal Majalla"/>
          <w:color w:val="000000" w:themeColor="text1"/>
          <w:sz w:val="28"/>
          <w:szCs w:val="28"/>
        </w:rPr>
        <w:t>.</w:t>
      </w:r>
    </w:p>
    <w:p w14:paraId="6276B2F5"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ويشمل البُعد المادي حماية المباني والمنشآت الإنتاجية والمرافق الخدمية والشبكات الحيوية كشبكات الكهرباء والمياه والاتصالات والنقل. كما يتضمن الحماية من ظاهرة تأثير الدومينو التي قد تنتقل فيها الأضرار من منشأة إلى أخرى مجاورة في المجمعات الصناعية المتقاربة، وهي ظاهرة تكتسب أهمية خاصة في سياق المدن الصناعية السعودية التي تضم تجمعات صناعية كثيفة. ويُعدّ تصميم المباني الصناعية وفق </w:t>
      </w:r>
      <w:r w:rsidRPr="007A1717">
        <w:rPr>
          <w:rFonts w:ascii="Sakkal Majalla" w:hAnsi="Sakkal Majalla" w:cs="Sakkal Majalla"/>
          <w:color w:val="000000" w:themeColor="text1"/>
          <w:sz w:val="28"/>
          <w:szCs w:val="28"/>
          <w:rtl/>
        </w:rPr>
        <w:lastRenderedPageBreak/>
        <w:t>معايير مقاومة الحرائق والانفجارات، واعتماد مسافات أمان كافية بين المنشآت، وتوفير أنظمة إطفاء وتبريد آلية من أبرز التدابير المرتبطة بهذا البُعد</w:t>
      </w:r>
      <w:r w:rsidRPr="007A1717">
        <w:rPr>
          <w:rFonts w:ascii="Sakkal Majalla" w:hAnsi="Sakkal Majalla" w:cs="Sakkal Majalla"/>
          <w:color w:val="000000" w:themeColor="text1"/>
          <w:sz w:val="28"/>
          <w:szCs w:val="28"/>
        </w:rPr>
        <w:t>.</w:t>
      </w:r>
    </w:p>
    <w:p w14:paraId="7EBC476D" w14:textId="77777777" w:rsidR="00E748EB" w:rsidRPr="007A1717" w:rsidRDefault="00E748EB" w:rsidP="001822C8">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البُعد البيئي</w:t>
      </w:r>
    </w:p>
    <w:p w14:paraId="180D2C6B"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 xml:space="preserve">يتناول هذا البُعد حماية البيئة الطبيعية من التلوث والتدهور الناجمين عن الكوارث الصناعية. وقد أوضح أرزوقي وعلي </w:t>
      </w:r>
      <w:r w:rsidRPr="007A1717">
        <w:rPr>
          <w:rFonts w:ascii="Sakkal Majalla" w:hAnsi="Sakkal Majalla" w:cs="Sakkal Majalla"/>
          <w:color w:val="000000" w:themeColor="text1"/>
          <w:sz w:val="28"/>
          <w:szCs w:val="28"/>
        </w:rPr>
        <w:t xml:space="preserve">(2022) </w:t>
      </w:r>
      <w:r w:rsidRPr="007A1717">
        <w:rPr>
          <w:rFonts w:ascii="Sakkal Majalla" w:hAnsi="Sakkal Majalla" w:cs="Sakkal Majalla"/>
          <w:color w:val="000000" w:themeColor="text1"/>
          <w:sz w:val="28"/>
          <w:szCs w:val="28"/>
          <w:rtl/>
        </w:rPr>
        <w:t>أن مصادر التلوث الصناعي متعددة ومتنوعة، وأن آثارها البيئية قد تمتد مكانياً وزمنياً إلى ما يتجاوز بكثير نطاق الحادث المباشر. فتسرب كيميائي واحد قد يلوث مصادر المياه الجوفية لسنوات، وانبعاث غازي سام قد يؤثر في جودة الهواء على مساحات واسعة</w:t>
      </w:r>
      <w:r w:rsidRPr="007A1717">
        <w:rPr>
          <w:rFonts w:ascii="Sakkal Majalla" w:hAnsi="Sakkal Majalla" w:cs="Sakkal Majalla"/>
          <w:color w:val="000000" w:themeColor="text1"/>
          <w:sz w:val="28"/>
          <w:szCs w:val="28"/>
        </w:rPr>
        <w:t>.</w:t>
      </w:r>
    </w:p>
    <w:p w14:paraId="4C6DB640"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ويكتسب هذا البُعد أهمية متزايدة في ضوء الوعي البيئي المتنامي والتشريعات البيئية المتشددة التي تُلزم المنشآت الصناعية بمسؤولية الإصلاح البيئي والتعويض عن الأضرار البيئية الناجمة عن أنشطتها</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كما يتصل هذا البُعد بمفهوم التنمية المستدامة الذي يقتضي المحافظة على الموارد الطبيعية للأجيال القادمة، وهو ما يجعل الحد من الأضرار البيئية للكوارث الصناعية التزاماً أخلاقياً وقانونياً وتنموياً في آن واحد</w:t>
      </w:r>
      <w:r w:rsidRPr="007A1717">
        <w:rPr>
          <w:rFonts w:ascii="Sakkal Majalla" w:hAnsi="Sakkal Majalla" w:cs="Sakkal Majalla"/>
          <w:color w:val="000000" w:themeColor="text1"/>
          <w:sz w:val="28"/>
          <w:szCs w:val="28"/>
        </w:rPr>
        <w:t>.</w:t>
      </w:r>
    </w:p>
    <w:p w14:paraId="27F583A0" w14:textId="77777777" w:rsidR="00E748EB" w:rsidRPr="007A1717" w:rsidRDefault="00E748EB" w:rsidP="001822C8">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A1717">
        <w:rPr>
          <w:rFonts w:ascii="Sakkal Majalla" w:hAnsi="Sakkal Majalla" w:cs="Sakkal Majalla"/>
          <w:b/>
          <w:bCs/>
          <w:color w:val="000000" w:themeColor="text1"/>
          <w:sz w:val="28"/>
          <w:szCs w:val="28"/>
          <w:rtl/>
        </w:rPr>
        <w:t>البُعد الاقتصادي والتنظيمي</w:t>
      </w:r>
    </w:p>
    <w:p w14:paraId="10C76AD1"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يشمل هذا البُعد تقليل الخسائر الاقتصادية المباشرة وغير المباشرة المترتبة على الكوارث الصناعية، والحفاظ على استمرارية الأعمال واستقرار سلاسل الإمداد والتوظيف. وقد أكد أحمد</w:t>
      </w:r>
      <w:r w:rsidRPr="007A1717">
        <w:rPr>
          <w:rFonts w:ascii="Sakkal Majalla" w:hAnsi="Sakkal Majalla" w:cs="Sakkal Majalla"/>
          <w:color w:val="000000" w:themeColor="text1"/>
          <w:sz w:val="28"/>
          <w:szCs w:val="28"/>
        </w:rPr>
        <w:t xml:space="preserve"> (2024) </w:t>
      </w:r>
      <w:r w:rsidRPr="007A1717">
        <w:rPr>
          <w:rFonts w:ascii="Sakkal Majalla" w:hAnsi="Sakkal Majalla" w:cs="Sakkal Majalla"/>
          <w:color w:val="000000" w:themeColor="text1"/>
          <w:sz w:val="28"/>
          <w:szCs w:val="28"/>
          <w:rtl/>
        </w:rPr>
        <w:t>أن تأثير الكوارث على الملاءة المالية للمنشآت قد يصل إلى حد العجز عن سداد الالتزامات، وهو ما يعكس العمق الاقتصادي لهذه التأثيرات التي لا تتوقف عند حدود الخسائر المادية المباشرة بل تمتد إلى التدفقات النقدية والقدرة الائتمانية والسمعة المؤسسية</w:t>
      </w:r>
      <w:r w:rsidRPr="007A1717">
        <w:rPr>
          <w:rFonts w:ascii="Sakkal Majalla" w:hAnsi="Sakkal Majalla" w:cs="Sakkal Majalla"/>
          <w:color w:val="000000" w:themeColor="text1"/>
          <w:sz w:val="28"/>
          <w:szCs w:val="28"/>
        </w:rPr>
        <w:t>.</w:t>
      </w:r>
    </w:p>
    <w:p w14:paraId="011C1008" w14:textId="2A5BFA16"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ويتضمن هذا البُعد أيضاً حماية سلاسل الإمداد من الانقطاع، حيث إن كارثة صناعية في منشأة واحدة قد تعطّل سلسلة إمداد كاملة تمتد عبر عدة قطاعات ومناطق جغرافية. كما يشمل المحافظة على فرص العمل والدخل للعاملين في المنشآت المتضررة، والحد من التأثيرات السلبية على الاقتصاد المحلي الذي قد يعتمد بشكل كبير على النشاط الصناعي في المنطقة</w:t>
      </w:r>
      <w:r w:rsidRPr="007A1717">
        <w:rPr>
          <w:rFonts w:ascii="Sakkal Majalla" w:hAnsi="Sakkal Majalla" w:cs="Sakkal Majalla"/>
          <w:color w:val="000000" w:themeColor="text1"/>
          <w:sz w:val="28"/>
          <w:szCs w:val="28"/>
        </w:rPr>
        <w:t>.</w:t>
      </w:r>
    </w:p>
    <w:p w14:paraId="2C9FAA05" w14:textId="143F0304" w:rsidR="00E748EB" w:rsidRPr="007A1717" w:rsidRDefault="001822C8" w:rsidP="001822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307797"/>
      <w:r w:rsidRPr="007A1717">
        <w:rPr>
          <w:rFonts w:ascii="Sakkal Majalla" w:hAnsi="Sakkal Majalla" w:cs="Sakkal Majalla" w:hint="cs"/>
          <w:b/>
          <w:bCs/>
          <w:color w:val="000000" w:themeColor="text1"/>
          <w:sz w:val="32"/>
          <w:szCs w:val="32"/>
          <w:rtl/>
        </w:rPr>
        <w:lastRenderedPageBreak/>
        <w:t>6.2.2</w:t>
      </w:r>
      <w:r w:rsidR="00E748EB" w:rsidRPr="007A1717">
        <w:rPr>
          <w:rFonts w:ascii="Sakkal Majalla" w:hAnsi="Sakkal Majalla" w:cs="Sakkal Majalla"/>
          <w:b/>
          <w:bCs/>
          <w:color w:val="000000" w:themeColor="text1"/>
          <w:sz w:val="32"/>
          <w:szCs w:val="32"/>
          <w:rtl/>
        </w:rPr>
        <w:t xml:space="preserve"> استراتيجيات الحد من تأثير الكوارث الصناعية</w:t>
      </w:r>
      <w:bookmarkEnd w:id="41"/>
    </w:p>
    <w:p w14:paraId="044A549E"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تتطلب عملية الحد من تأثير الكوارث الصناعية تبني استراتيجيات شاملة ومتكاملة تعمل على مستويات متعددة وفي مراحل زمنية مختلفة. وتكشف الأدبيات عن عدة توجهات استراتيجية يمكن تصنيفها وفق المرحلة الزمنية التي تعمل فيها بالنسبة إلى لحظة وقوع الكارثة</w:t>
      </w:r>
      <w:r w:rsidRPr="007A1717">
        <w:rPr>
          <w:rFonts w:ascii="Sakkal Majalla" w:hAnsi="Sakkal Majalla" w:cs="Sakkal Majalla"/>
          <w:color w:val="000000" w:themeColor="text1"/>
          <w:sz w:val="28"/>
          <w:szCs w:val="28"/>
        </w:rPr>
        <w:t>.</w:t>
      </w:r>
    </w:p>
    <w:p w14:paraId="329CE55D"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تتمثل الاستراتيجية الأولى في الوقاية والمنع الاستباقي، وهي استراتيجية تعمل في مرحلة ما قبل الكارثة وتسعى إلى إزالة مسببات الخطر أو تقليلها إلى أدنى مستوى ممكن. وقد أوضح</w:t>
      </w:r>
      <w:r w:rsidRPr="007A1717">
        <w:rPr>
          <w:rFonts w:ascii="Sakkal Majalla" w:hAnsi="Sakkal Majalla" w:cs="Sakkal Majalla"/>
          <w:color w:val="000000" w:themeColor="text1"/>
          <w:sz w:val="28"/>
          <w:szCs w:val="28"/>
        </w:rPr>
        <w:t xml:space="preserve"> Yan et al. (2024) </w:t>
      </w:r>
      <w:r w:rsidRPr="007A1717">
        <w:rPr>
          <w:rFonts w:ascii="Sakkal Majalla" w:hAnsi="Sakkal Majalla" w:cs="Sakkal Majalla"/>
          <w:color w:val="000000" w:themeColor="text1"/>
          <w:sz w:val="28"/>
          <w:szCs w:val="28"/>
          <w:rtl/>
        </w:rPr>
        <w:t>أن البنية الأساسية لهذه الاستراتيجية تقوم على تحليل منهجي لعوامل الخطر في البيئة الصناعية وتحديد العلاقات السببية بينها وتصنيفها إلى عوامل جذرية وانتقالية ومباشرة، بما يتيح توجيه الجهود الوقائية نحو العوامل الأكثر تأثيراً. وقد بيّنت الدراسة أن كمال نظام إدارة السلامة الإنتاجية يمثل العامل الجذري الأعمق الذي يؤثر في جميع المستويات الأخرى، مما يؤكد أن الاستراتيجية الوقائية الفعّالة تبدأ من الأطر الإدارية والتنظيمية وليس من التدابير التقنية فحسب</w:t>
      </w:r>
      <w:r w:rsidRPr="007A1717">
        <w:rPr>
          <w:rFonts w:ascii="Sakkal Majalla" w:hAnsi="Sakkal Majalla" w:cs="Sakkal Majalla"/>
          <w:color w:val="000000" w:themeColor="text1"/>
          <w:sz w:val="28"/>
          <w:szCs w:val="28"/>
        </w:rPr>
        <w:t>.</w:t>
      </w:r>
    </w:p>
    <w:p w14:paraId="4817E635"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أما الاستراتيجية الثانية فتتمحور حول التأهب والاستعداد المؤسسي، وهي تعمل في المرحلة السابقة للكارثة ولكنها تركز على بناء القدرات اللازمة للتعامل مع الأحداث حين وقوعها. وقد أكد السعدي (2024) أن فعالية المنظمات الدولية المتخصصة في مواجهة الكوارث ترتبط ارتباطاً وثيقاً بمستوى التأهب المسبق الذي يتضمن وضع خطط الطوارئ وتحديثها بشكل دوري وإجراء تمارين المحاكاة وتدريب الكوادر البشرية وتجهيز الموارد اللازمة للاستجابة. وهذه العناصر تنطبق بالقدر ذاته على المنشآت الصناعية التي ينبغي أن تمتلك خطط طوارئ مفصّلة ومختبرة لمختلف السيناريوهات المحتملة</w:t>
      </w:r>
      <w:r w:rsidRPr="007A1717">
        <w:rPr>
          <w:rFonts w:ascii="Sakkal Majalla" w:hAnsi="Sakkal Majalla" w:cs="Sakkal Majalla"/>
          <w:color w:val="000000" w:themeColor="text1"/>
          <w:sz w:val="28"/>
          <w:szCs w:val="28"/>
        </w:rPr>
        <w:t>.</w:t>
      </w:r>
    </w:p>
    <w:p w14:paraId="57E75109"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وتتجسد الاستراتيجية الثالثة في الاستجابة الفعّالة والمنسقة، وهي تعمل لحظة وقوع الكارثة وفي مراحلها الأولى. وقد أشار</w:t>
      </w:r>
      <w:r w:rsidRPr="007A1717">
        <w:rPr>
          <w:rFonts w:ascii="Sakkal Majalla" w:hAnsi="Sakkal Majalla" w:cs="Sakkal Majalla"/>
          <w:color w:val="000000" w:themeColor="text1"/>
          <w:sz w:val="28"/>
          <w:szCs w:val="28"/>
        </w:rPr>
        <w:t xml:space="preserve"> Zhan et al. (2023) </w:t>
      </w:r>
      <w:r w:rsidRPr="007A1717">
        <w:rPr>
          <w:rFonts w:ascii="Sakkal Majalla" w:hAnsi="Sakkal Majalla" w:cs="Sakkal Majalla"/>
          <w:color w:val="000000" w:themeColor="text1"/>
          <w:sz w:val="28"/>
          <w:szCs w:val="28"/>
          <w:rtl/>
        </w:rPr>
        <w:t xml:space="preserve">إلى أن فعالية الاستجابة تتوقف على عدة عوامل، أبرزها سرعة تفعيل آليات الطوارئ وكفاءة التنسيق بين الجهات المتعددة المشاركة في عمليات الإنقاذ والإغاثة ودقة المعلومات المتاحة عن طبيعة الحدث ونطاقه. ويُعدّ نظام الإنذار المبكر الركيزة الأولى التي تقوم عليها </w:t>
      </w:r>
      <w:r w:rsidRPr="007A1717">
        <w:rPr>
          <w:rFonts w:ascii="Sakkal Majalla" w:hAnsi="Sakkal Majalla" w:cs="Sakkal Majalla"/>
          <w:color w:val="000000" w:themeColor="text1"/>
          <w:sz w:val="28"/>
          <w:szCs w:val="28"/>
          <w:rtl/>
        </w:rPr>
        <w:lastRenderedPageBreak/>
        <w:t>هذه الاستراتيجية، إذ يوفر المعلومات اللازمة لتفعيل خطط الاستجابة وتوجيه الموارد نحو المواقع المتضررة</w:t>
      </w:r>
      <w:r w:rsidRPr="007A1717">
        <w:rPr>
          <w:rFonts w:ascii="Sakkal Majalla" w:hAnsi="Sakkal Majalla" w:cs="Sakkal Majalla"/>
          <w:color w:val="000000" w:themeColor="text1"/>
          <w:sz w:val="28"/>
          <w:szCs w:val="28"/>
        </w:rPr>
        <w:t>.</w:t>
      </w:r>
    </w:p>
    <w:p w14:paraId="601CBD41"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وتتمثل الاستراتيجية الرابعة في التعافي وإعادة البناء بشكل أفضل، وهي تعمل في مرحلة ما بعد الكارثة وتسعى ليس فقط إلى استعادة الوضع السابق بل إلى تحسينه من خلال استخلاص الدروس وتعزيز منظومة الوقاية. وقد أشار</w:t>
      </w:r>
      <w:r w:rsidRPr="007A1717">
        <w:rPr>
          <w:rFonts w:ascii="Sakkal Majalla" w:hAnsi="Sakkal Majalla" w:cs="Sakkal Majalla"/>
          <w:color w:val="000000" w:themeColor="text1"/>
          <w:sz w:val="28"/>
          <w:szCs w:val="28"/>
        </w:rPr>
        <w:t xml:space="preserve"> Sugawara (2019) </w:t>
      </w:r>
      <w:r w:rsidRPr="007A1717">
        <w:rPr>
          <w:rFonts w:ascii="Sakkal Majalla" w:hAnsi="Sakkal Majalla" w:cs="Sakkal Majalla"/>
          <w:color w:val="000000" w:themeColor="text1"/>
          <w:sz w:val="28"/>
          <w:szCs w:val="28"/>
          <w:rtl/>
        </w:rPr>
        <w:t>إلى أن فعالية الإنذار المبكر ترتبط بمنظومة أوسع تتضمن التحليل اللاحق للأحداث واستخلاص العبر منها، وهو ما يجعل مرحلة التعافي فرصة لتحسين المنظومة بأكملها وسد الثغرات التي كشفت عنها الكارثة</w:t>
      </w:r>
      <w:r w:rsidRPr="007A1717">
        <w:rPr>
          <w:rFonts w:ascii="Sakkal Majalla" w:hAnsi="Sakkal Majalla" w:cs="Sakkal Majalla"/>
          <w:color w:val="000000" w:themeColor="text1"/>
          <w:sz w:val="28"/>
          <w:szCs w:val="28"/>
        </w:rPr>
        <w:t>.</w:t>
      </w:r>
    </w:p>
    <w:p w14:paraId="0065D655" w14:textId="3133D4AE"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أما الاستراتيجية الخامسة فتتركز في بناء الثقافة المؤسسية للسلامة، وهي استراتيجية شاملة تتخلل جميع المراحل وتهدف إلى ترسيخ قيم السلامة والوقاية في الوعي الجمعي للمنظمة وسلوكياتها اليومية. وقد أكد</w:t>
      </w:r>
      <w:r w:rsidRPr="007A1717">
        <w:rPr>
          <w:rFonts w:ascii="Sakkal Majalla" w:hAnsi="Sakkal Majalla" w:cs="Sakkal Majalla"/>
          <w:color w:val="000000" w:themeColor="text1"/>
          <w:sz w:val="28"/>
          <w:szCs w:val="28"/>
        </w:rPr>
        <w:t xml:space="preserve"> Fajrillah et al. (2024) </w:t>
      </w:r>
      <w:r w:rsidRPr="007A1717">
        <w:rPr>
          <w:rFonts w:ascii="Sakkal Majalla" w:hAnsi="Sakkal Majalla" w:cs="Sakkal Majalla"/>
          <w:color w:val="000000" w:themeColor="text1"/>
          <w:sz w:val="28"/>
          <w:szCs w:val="28"/>
          <w:rtl/>
        </w:rPr>
        <w:t>أن استدامة فعالية أنظمة الحماية والإنذار على المدى البعيد تتوقف بشكل حاسم على مدى تجذر ثقافة السلامة في المؤسسة، بحيث تتحول إجراءات الوقاية من كونها التزامات شكلية مفروضة إلى ممارسات تلقائية نابعة من وعي مشترك بأهمية السلامة</w:t>
      </w:r>
      <w:r w:rsidRPr="007A1717">
        <w:rPr>
          <w:rFonts w:ascii="Sakkal Majalla" w:hAnsi="Sakkal Majalla" w:cs="Sakkal Majalla"/>
          <w:color w:val="000000" w:themeColor="text1"/>
          <w:sz w:val="28"/>
          <w:szCs w:val="28"/>
        </w:rPr>
        <w:t>.</w:t>
      </w:r>
    </w:p>
    <w:p w14:paraId="5DDC1B06" w14:textId="682F4FA5" w:rsidR="00E748EB" w:rsidRPr="007A1717" w:rsidRDefault="001822C8" w:rsidP="001822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307798"/>
      <w:r w:rsidRPr="007A1717">
        <w:rPr>
          <w:rFonts w:ascii="Sakkal Majalla" w:hAnsi="Sakkal Majalla" w:cs="Sakkal Majalla" w:hint="cs"/>
          <w:b/>
          <w:bCs/>
          <w:color w:val="000000" w:themeColor="text1"/>
          <w:sz w:val="32"/>
          <w:szCs w:val="32"/>
          <w:rtl/>
        </w:rPr>
        <w:t>7.2.2</w:t>
      </w:r>
      <w:r w:rsidR="00E748EB" w:rsidRPr="007A1717">
        <w:rPr>
          <w:rFonts w:ascii="Sakkal Majalla" w:hAnsi="Sakkal Majalla" w:cs="Sakkal Majalla"/>
          <w:b/>
          <w:bCs/>
          <w:color w:val="000000" w:themeColor="text1"/>
          <w:sz w:val="32"/>
          <w:szCs w:val="32"/>
          <w:rtl/>
        </w:rPr>
        <w:t xml:space="preserve"> العلاقة بين أنظمة الإنذار المبكر والحد من تأثير الكوارث الصناعية</w:t>
      </w:r>
      <w:bookmarkEnd w:id="42"/>
    </w:p>
    <w:p w14:paraId="60058C19"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يمثل هذا المحور الرابط النظري الجوهري بين المتغير المستقل والمتغير التابع في هذه الدراسة. فأنظمة الإنذار المبكر لا تمثل هدفاً في ذاتها بل تُعدّ وسيلة استراتيجية تسعى في المقام الأول إلى الحد من تأثير الكوارث الصناعية بأبعادها المختلفة. وتتعدد المسارات النظرية التي تفسر هذه العلاقة</w:t>
      </w:r>
      <w:r w:rsidRPr="007A1717">
        <w:rPr>
          <w:rFonts w:ascii="Sakkal Majalla" w:hAnsi="Sakkal Majalla" w:cs="Sakkal Majalla"/>
          <w:color w:val="000000" w:themeColor="text1"/>
          <w:sz w:val="28"/>
          <w:szCs w:val="28"/>
        </w:rPr>
        <w:t>.</w:t>
      </w:r>
    </w:p>
    <w:p w14:paraId="4FDC77EB"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فالمسار الأول يتمثل في العلاقة المباشرة بين الجاهزية التقنية لنظام الإنذار والحد من الخسائر البشرية والمادية</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وقد أوضح</w:t>
      </w:r>
      <w:r w:rsidRPr="007A1717">
        <w:rPr>
          <w:rFonts w:ascii="Sakkal Majalla" w:hAnsi="Sakkal Majalla" w:cs="Sakkal Majalla"/>
          <w:color w:val="000000" w:themeColor="text1"/>
          <w:sz w:val="28"/>
          <w:szCs w:val="28"/>
        </w:rPr>
        <w:t xml:space="preserve"> Romadiana et al. (2025) </w:t>
      </w:r>
      <w:r w:rsidRPr="007A1717">
        <w:rPr>
          <w:rFonts w:ascii="Sakkal Majalla" w:hAnsi="Sakkal Majalla" w:cs="Sakkal Majalla"/>
          <w:color w:val="000000" w:themeColor="text1"/>
          <w:sz w:val="28"/>
          <w:szCs w:val="28"/>
          <w:rtl/>
        </w:rPr>
        <w:t>أن جاهزية البنية التحتية الرقمية تمثل شرطاً ضرورياً لتحويل أنظمة الإنذار من آليات نظرية إلى أدوات تخفيف فعلية</w:t>
      </w:r>
      <w:r w:rsidRPr="007A1717">
        <w:rPr>
          <w:rFonts w:ascii="Sakkal Majalla" w:hAnsi="Sakkal Majalla" w:cs="Sakkal Majalla"/>
          <w:color w:val="000000" w:themeColor="text1"/>
          <w:sz w:val="28"/>
          <w:szCs w:val="28"/>
        </w:rPr>
        <w:t xml:space="preserve">. </w:t>
      </w:r>
      <w:r w:rsidRPr="007A1717">
        <w:rPr>
          <w:rFonts w:ascii="Sakkal Majalla" w:hAnsi="Sakkal Majalla" w:cs="Sakkal Majalla"/>
          <w:color w:val="000000" w:themeColor="text1"/>
          <w:sz w:val="28"/>
          <w:szCs w:val="28"/>
          <w:rtl/>
        </w:rPr>
        <w:t xml:space="preserve">فحين تتوفر شبكات اتصال موثوقة وأنظمة بيانات متكاملة ومصادر طاقة احتياطية، يتمكن النظام من رصد مؤشرات الخطر </w:t>
      </w:r>
      <w:r w:rsidRPr="007A1717">
        <w:rPr>
          <w:rFonts w:ascii="Sakkal Majalla" w:hAnsi="Sakkal Majalla" w:cs="Sakkal Majalla"/>
          <w:color w:val="000000" w:themeColor="text1"/>
          <w:sz w:val="28"/>
          <w:szCs w:val="28"/>
          <w:rtl/>
        </w:rPr>
        <w:lastRenderedPageBreak/>
        <w:t>ومعالجتها وإيصال التحذيرات في الوقت المناسب، مما يتيح تفعيل إجراءات الحماية قبل أن تتصاعد الأحداث إلى مستوى الكارثة</w:t>
      </w:r>
      <w:r w:rsidRPr="007A1717">
        <w:rPr>
          <w:rFonts w:ascii="Sakkal Majalla" w:hAnsi="Sakkal Majalla" w:cs="Sakkal Majalla"/>
          <w:color w:val="000000" w:themeColor="text1"/>
          <w:sz w:val="28"/>
          <w:szCs w:val="28"/>
        </w:rPr>
        <w:t>.</w:t>
      </w:r>
    </w:p>
    <w:p w14:paraId="57F14E3B"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أما المسار الثاني فيربط بين سرعة الاستجابة وحجم التأثيرات المترتبة على الكوارث الصناعية. وقد أكد</w:t>
      </w:r>
      <w:r w:rsidRPr="007A1717">
        <w:rPr>
          <w:rFonts w:ascii="Sakkal Majalla" w:hAnsi="Sakkal Majalla" w:cs="Sakkal Majalla"/>
          <w:color w:val="000000" w:themeColor="text1"/>
          <w:sz w:val="28"/>
          <w:szCs w:val="28"/>
        </w:rPr>
        <w:t xml:space="preserve"> Kalogiannidis et al. (2025) </w:t>
      </w:r>
      <w:r w:rsidRPr="007A1717">
        <w:rPr>
          <w:rFonts w:ascii="Sakkal Majalla" w:hAnsi="Sakkal Majalla" w:cs="Sakkal Majalla"/>
          <w:color w:val="000000" w:themeColor="text1"/>
          <w:sz w:val="28"/>
          <w:szCs w:val="28"/>
          <w:rtl/>
        </w:rPr>
        <w:t>أن عنصر التوقيت يمثل المحدد الأول لمدى قدرة المنظومة على إنقاذ الأرواح وتقليل الخسائر، حيث إن كل دقيقة إضافية يتم توفيرها للاستعداد تترجم إلى فارق ملموس في حجم الأضرار الناجمة. وهذه العلاقة ليست خطية بالضرورة، بل تتسم بتأثير حدّي يتضاعف فيه الأثر كلما اقتربنا من اللحظات الأولى للحدث، مما يجعل السرعة في المراحل المبكرة أكثر حسماً منها في المراحل اللاحقة</w:t>
      </w:r>
      <w:r w:rsidRPr="007A1717">
        <w:rPr>
          <w:rFonts w:ascii="Sakkal Majalla" w:hAnsi="Sakkal Majalla" w:cs="Sakkal Majalla"/>
          <w:color w:val="000000" w:themeColor="text1"/>
          <w:sz w:val="28"/>
          <w:szCs w:val="28"/>
        </w:rPr>
        <w:t>.</w:t>
      </w:r>
    </w:p>
    <w:p w14:paraId="5F5321CC"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ويتجسد المسار الثالث في العلاقة بين كفاءة الاتصال التحذيري والسلوك الوقائي للأفراد والمؤسسات. وقد أشار</w:t>
      </w:r>
      <w:r w:rsidRPr="007A1717">
        <w:rPr>
          <w:rFonts w:ascii="Sakkal Majalla" w:hAnsi="Sakkal Majalla" w:cs="Sakkal Majalla"/>
          <w:color w:val="000000" w:themeColor="text1"/>
          <w:sz w:val="28"/>
          <w:szCs w:val="28"/>
        </w:rPr>
        <w:t xml:space="preserve"> Pescaroli et al. (2025) </w:t>
      </w:r>
      <w:r w:rsidRPr="007A1717">
        <w:rPr>
          <w:rFonts w:ascii="Sakkal Majalla" w:hAnsi="Sakkal Majalla" w:cs="Sakkal Majalla"/>
          <w:color w:val="000000" w:themeColor="text1"/>
          <w:sz w:val="28"/>
          <w:szCs w:val="28"/>
          <w:rtl/>
        </w:rPr>
        <w:t>إلى أن فعالية الاتصال التحذيري تتوقف على عوامل اجتماعية ونفسية وثقافية تؤثر في مدى استجابة المتلقين للتحذيرات. فالثقة في المصدر ووضوح الرسالة وملاءمة القناة والخبرات السابقة مع التحذيرات كلها عوامل تحدد ما إذا كان التحذير سيترجم إلى سلوك حماية فعلي أم سيُتجاهل أو يُساء فهمه</w:t>
      </w:r>
      <w:r w:rsidRPr="007A1717">
        <w:rPr>
          <w:rFonts w:ascii="Sakkal Majalla" w:hAnsi="Sakkal Majalla" w:cs="Sakkal Majalla"/>
          <w:color w:val="000000" w:themeColor="text1"/>
          <w:sz w:val="28"/>
          <w:szCs w:val="28"/>
        </w:rPr>
        <w:t>.</w:t>
      </w:r>
    </w:p>
    <w:p w14:paraId="13446C53"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وقد بيّن</w:t>
      </w:r>
      <w:r w:rsidRPr="007A1717">
        <w:rPr>
          <w:rFonts w:ascii="Sakkal Majalla" w:hAnsi="Sakkal Majalla" w:cs="Sakkal Majalla"/>
          <w:color w:val="000000" w:themeColor="text1"/>
          <w:sz w:val="28"/>
          <w:szCs w:val="28"/>
        </w:rPr>
        <w:t xml:space="preserve"> Hermans et al. (2022) </w:t>
      </w:r>
      <w:r w:rsidRPr="007A1717">
        <w:rPr>
          <w:rFonts w:ascii="Sakkal Majalla" w:hAnsi="Sakkal Majalla" w:cs="Sakkal Majalla"/>
          <w:color w:val="000000" w:themeColor="text1"/>
          <w:sz w:val="28"/>
          <w:szCs w:val="28"/>
          <w:rtl/>
        </w:rPr>
        <w:t>أن تكامل المعرفة المحلية والعلمية في تصميم منظومات الاتصال التحذيري يعزز من فعالية التحذيرات في تحفيز السلوك الوقائي، لأن الرسائل التي تراعي السياق الثقافي والاجتماعي للمتلقين تحظى بقدر أعلى من القبول والاستجابة مقارنة بالرسائل المعيارية العامة</w:t>
      </w:r>
      <w:r w:rsidRPr="007A1717">
        <w:rPr>
          <w:rFonts w:ascii="Sakkal Majalla" w:hAnsi="Sakkal Majalla" w:cs="Sakkal Majalla"/>
          <w:color w:val="000000" w:themeColor="text1"/>
          <w:sz w:val="28"/>
          <w:szCs w:val="28"/>
        </w:rPr>
        <w:t>.</w:t>
      </w:r>
    </w:p>
    <w:p w14:paraId="66B3F7BF" w14:textId="6A9D073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وفي ضوء هذه المسارات الثلاثة، يمكن القول إن العلاقة بين أنظمة الإنذار المبكر بأبعادها الثلاثة والحد من تأثير الكوارث الصناعية هي علاقة تكاملية ومتعددة المسارات، حيث يسهم كل بُعد من أبعاد النظام في تخفيف جانب محدد من تأثيرات الكوارث، ويتضاعف الأثر الإجمالي حين تعمل هذه الأبعاد بشكل متناغم ومتكامل</w:t>
      </w:r>
      <w:r w:rsidRPr="007A1717">
        <w:rPr>
          <w:rFonts w:ascii="Sakkal Majalla" w:hAnsi="Sakkal Majalla" w:cs="Sakkal Majalla"/>
          <w:color w:val="000000" w:themeColor="text1"/>
          <w:sz w:val="28"/>
          <w:szCs w:val="28"/>
        </w:rPr>
        <w:t>.</w:t>
      </w:r>
    </w:p>
    <w:p w14:paraId="21343979" w14:textId="684AF937" w:rsidR="00E748EB" w:rsidRPr="007A1717" w:rsidRDefault="001822C8" w:rsidP="001822C8">
      <w:pPr>
        <w:spacing w:before="100" w:beforeAutospacing="1" w:after="100" w:afterAutospacing="1"/>
        <w:outlineLvl w:val="2"/>
        <w:rPr>
          <w:rFonts w:ascii="Sakkal Majalla" w:hAnsi="Sakkal Majalla" w:cs="Sakkal Majalla"/>
          <w:b/>
          <w:bCs/>
          <w:color w:val="000000" w:themeColor="text1"/>
          <w:sz w:val="32"/>
          <w:szCs w:val="32"/>
        </w:rPr>
      </w:pPr>
      <w:r w:rsidRPr="007A1717">
        <w:rPr>
          <w:rFonts w:ascii="Sakkal Majalla" w:hAnsi="Sakkal Majalla" w:cs="Sakkal Majalla"/>
          <w:b/>
          <w:bCs/>
          <w:color w:val="000000" w:themeColor="text1"/>
          <w:sz w:val="32"/>
          <w:szCs w:val="32"/>
          <w:rtl/>
        </w:rPr>
        <w:br w:type="page"/>
      </w:r>
      <w:bookmarkStart w:id="43" w:name="_Toc223307799"/>
      <w:r w:rsidRPr="007A1717">
        <w:rPr>
          <w:rFonts w:ascii="Sakkal Majalla" w:hAnsi="Sakkal Majalla" w:cs="Sakkal Majalla" w:hint="cs"/>
          <w:b/>
          <w:bCs/>
          <w:color w:val="000000" w:themeColor="text1"/>
          <w:sz w:val="32"/>
          <w:szCs w:val="32"/>
          <w:rtl/>
        </w:rPr>
        <w:lastRenderedPageBreak/>
        <w:t xml:space="preserve">8.2.2 </w:t>
      </w:r>
      <w:r w:rsidR="00E748EB" w:rsidRPr="007A1717">
        <w:rPr>
          <w:rFonts w:ascii="Sakkal Majalla" w:hAnsi="Sakkal Majalla" w:cs="Sakkal Majalla"/>
          <w:b/>
          <w:bCs/>
          <w:color w:val="000000" w:themeColor="text1"/>
          <w:sz w:val="32"/>
          <w:szCs w:val="32"/>
          <w:rtl/>
        </w:rPr>
        <w:t>الحد من تأثير الكوارث الصناعية في سياق المدن الصناعية السعودية</w:t>
      </w:r>
      <w:bookmarkEnd w:id="43"/>
    </w:p>
    <w:p w14:paraId="6B8D9DB0"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تتميز المدن الصناعية في المملكة العربية السعودية بخصائص تجعل من موضوع الحد من تأثير الكوارث الصناعية فيها ذا طبيعة خاصة تستلزم مقاربة مخصصة تراعي هذه الخصائص. فمن حيث الحجم والتنوع، تضم هذه المدن مئات المنشآت الصناعية التي تعمل في قطاعات متنوعة تشمل البتروكيماويات والمعادن والمواد الغذائية والصناعات التحويلية، وهو ما يخلق نسيجاً معقداً من المخاطر المتداخلة يستلزم منظومات حماية متطورة</w:t>
      </w:r>
      <w:r w:rsidRPr="007A1717">
        <w:rPr>
          <w:rFonts w:ascii="Sakkal Majalla" w:hAnsi="Sakkal Majalla" w:cs="Sakkal Majalla"/>
          <w:color w:val="000000" w:themeColor="text1"/>
          <w:sz w:val="28"/>
          <w:szCs w:val="28"/>
        </w:rPr>
        <w:t>.</w:t>
      </w:r>
    </w:p>
    <w:p w14:paraId="32E754C3"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ومن حيث البيئة الطبيعية، تقع المدن الصناعية السعودية في مناطق ذات ظروف مناخية قاسية تتسم بدرجات حرارة مرتفعة وعواصف رملية متكررة وندرة في الموارد المائية. وقد أشار مركز المعلومات ودعم اتخاذ القرار (2024) إلى أن التغيرات المناخية تزيد من حدة هذه الظروف وتضاعف من احتمالية وقوع كوارث مركبة تجمع بين المخاطر المناخية والصناعية، مما يستوجب تصميم منظومات للحد من المخاطر تأخذ في الاعتبار هذا التداخل</w:t>
      </w:r>
      <w:r w:rsidRPr="007A1717">
        <w:rPr>
          <w:rFonts w:ascii="Sakkal Majalla" w:hAnsi="Sakkal Majalla" w:cs="Sakkal Majalla"/>
          <w:color w:val="000000" w:themeColor="text1"/>
          <w:sz w:val="28"/>
          <w:szCs w:val="28"/>
        </w:rPr>
        <w:t>.</w:t>
      </w:r>
    </w:p>
    <w:p w14:paraId="6FAB7F00"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ومن حيث القوى العاملة، تتميز المدن الصناعية السعودية بتنوع جنسيات العاملين ولغاتهم وخلفياتهم الثقافية، وهو ما يطرح تحديات خاصة في مجال التوعية والتدريب والاتصال التحذيري. فمنظومة الحد من تأثير الكوارث في هذا السياق ينبغي أن تكون متعددة اللغات ومتكيفة ثقافياً لضمان وصول المعلومات التحذيرية وإجراءات السلامة إلى جميع العاملين بصرف النظر عن خلفياتهم اللغوية والثقافية</w:t>
      </w:r>
      <w:r w:rsidRPr="007A1717">
        <w:rPr>
          <w:rFonts w:ascii="Sakkal Majalla" w:hAnsi="Sakkal Majalla" w:cs="Sakkal Majalla"/>
          <w:color w:val="000000" w:themeColor="text1"/>
          <w:sz w:val="28"/>
          <w:szCs w:val="28"/>
        </w:rPr>
        <w:t>.</w:t>
      </w:r>
    </w:p>
    <w:p w14:paraId="21340BC1"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t>ومن حيث الإطار التنظيمي، تخضع المدن الصناعية السعودية لمنظومة تنظيمية وإشرافية تتضمن عدة جهات حكومية ذات صلة بالسلامة الصناعية والحماية البيئية والدفاع المدني، وهو ما يستلزم مستوى عالياً من التنسيق بين هذه الجهات لضمان فعالية منظومة الحد من تأثير الكوارث الصناعية. وقد أكد السعدي (2024) أن فعالية أنظمة الإنذار والحماية ترتبط ارتباطاً وثيقاً بوضوح الأطر المؤسسية وتحديد المسؤوليات وتوفر آليات التنسيق الفعّال بين الأطراف المعنية</w:t>
      </w:r>
      <w:r w:rsidRPr="007A1717">
        <w:rPr>
          <w:rFonts w:ascii="Sakkal Majalla" w:hAnsi="Sakkal Majalla" w:cs="Sakkal Majalla"/>
          <w:color w:val="000000" w:themeColor="text1"/>
          <w:sz w:val="28"/>
          <w:szCs w:val="28"/>
        </w:rPr>
        <w:t>.</w:t>
      </w:r>
    </w:p>
    <w:p w14:paraId="64B39C30" w14:textId="77777777" w:rsidR="00E748EB" w:rsidRPr="007A1717" w:rsidRDefault="00E748EB" w:rsidP="001822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A1717">
        <w:rPr>
          <w:rFonts w:ascii="Sakkal Majalla" w:hAnsi="Sakkal Majalla" w:cs="Sakkal Majalla"/>
          <w:color w:val="000000" w:themeColor="text1"/>
          <w:sz w:val="28"/>
          <w:szCs w:val="28"/>
          <w:rtl/>
        </w:rPr>
        <w:lastRenderedPageBreak/>
        <w:t>ومن حيث الأهمية الاستراتيجية، تمثل المدن الصناعية السعودية ركيزة أساسية في مسيرة التنويع الاقتصادي التي تتبناها المملكة في إطار رؤية 2030، مما يجعل حمايتها من الكوارث الصناعية وتقليل تأثير هذه الكوارث أولوية وطنية تتجاوز الاعتبارات المحلية. وقد أوضحت دراسة أوابك (2024) أن التحول الرقمي في القطاعات الصناعية بدول المنطقة يفتح آفاقاً واعدة لتعزيز القدرة على الحد من تأثير الكوارث من خلال توظيف التقنيات الحديثة في الرصد والتنبؤ والاستجابة، وهو توجه تتبناه المملكة العربية السعودية بشكل متسارع في مدنها الصناعية</w:t>
      </w:r>
      <w:r w:rsidRPr="007A1717">
        <w:rPr>
          <w:rFonts w:ascii="Sakkal Majalla" w:hAnsi="Sakkal Majalla" w:cs="Sakkal Majalla"/>
          <w:color w:val="000000" w:themeColor="text1"/>
          <w:sz w:val="28"/>
          <w:szCs w:val="28"/>
        </w:rPr>
        <w:t>.</w:t>
      </w:r>
    </w:p>
    <w:p w14:paraId="3A980FAA" w14:textId="09F0174E" w:rsidR="007A1717" w:rsidRPr="007A1717" w:rsidRDefault="001822C8" w:rsidP="003A61F2">
      <w:pPr>
        <w:spacing w:before="100" w:beforeAutospacing="1" w:after="100" w:afterAutospacing="1"/>
        <w:jc w:val="center"/>
        <w:outlineLvl w:val="0"/>
        <w:rPr>
          <w:rFonts w:cs="Sakkal Majalla"/>
          <w:b/>
          <w:bCs/>
          <w:color w:val="000000" w:themeColor="text1"/>
          <w:sz w:val="24"/>
          <w:szCs w:val="32"/>
          <w:rtl/>
        </w:rPr>
        <w:sectPr w:rsidR="007A1717" w:rsidRPr="007A1717" w:rsidSect="00A12B57">
          <w:footerReference w:type="default" r:id="rId9"/>
          <w:pgSz w:w="11906" w:h="16838" w:code="9"/>
          <w:pgMar w:top="1440" w:right="1985" w:bottom="1440" w:left="1418" w:header="720" w:footer="720" w:gutter="567"/>
          <w:pgNumType w:start="1"/>
          <w:cols w:space="708"/>
          <w:bidi/>
          <w:rtlGutter/>
          <w:docGrid w:linePitch="360"/>
        </w:sectPr>
      </w:pPr>
      <w:r w:rsidRPr="007A1717">
        <w:rPr>
          <w:rFonts w:ascii="Sakkal Majalla" w:hAnsi="Sakkal Majalla" w:cs="Sakkal Majalla"/>
          <w:b/>
          <w:bCs/>
          <w:color w:val="000000" w:themeColor="text1"/>
          <w:sz w:val="40"/>
          <w:szCs w:val="40"/>
          <w:rtl/>
        </w:rPr>
        <w:br w:type="page"/>
      </w:r>
      <w:bookmarkStart w:id="44" w:name="_GoBack"/>
      <w:bookmarkEnd w:id="23"/>
      <w:bookmarkEnd w:id="44"/>
    </w:p>
    <w:p w14:paraId="29D4231B" w14:textId="12A9E691" w:rsidR="0081623B" w:rsidRPr="007A1717" w:rsidRDefault="0081623B" w:rsidP="00A12B5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A1717">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23586198">
            <wp:simplePos x="0" y="0"/>
            <wp:positionH relativeFrom="column">
              <wp:posOffset>3351530</wp:posOffset>
            </wp:positionH>
            <wp:positionV relativeFrom="paragraph">
              <wp:posOffset>0</wp:posOffset>
            </wp:positionV>
            <wp:extent cx="1590675" cy="1473200"/>
            <wp:effectExtent l="0" t="0" r="9525" b="0"/>
            <wp:wrapTight wrapText="bothSides">
              <wp:wrapPolygon edited="0">
                <wp:start x="0" y="0"/>
                <wp:lineTo x="0" y="21228"/>
                <wp:lineTo x="21471" y="21228"/>
                <wp:lineTo x="2147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473200"/>
                    </a:xfrm>
                    <a:prstGeom prst="rect">
                      <a:avLst/>
                    </a:prstGeom>
                    <a:noFill/>
                  </pic:spPr>
                </pic:pic>
              </a:graphicData>
            </a:graphic>
            <wp14:sizeRelH relativeFrom="margin">
              <wp14:pctWidth>0</wp14:pctWidth>
            </wp14:sizeRelH>
            <wp14:sizeRelV relativeFrom="margin">
              <wp14:pctHeight>0</wp14:pctHeight>
            </wp14:sizeRelV>
          </wp:anchor>
        </w:drawing>
      </w:r>
      <w:r w:rsidRPr="007A1717">
        <w:rPr>
          <w:rFonts w:ascii="Sakkal Majalla" w:eastAsia="Calibri" w:hAnsi="Sakkal Majalla" w:cs="Sakkal Majalla"/>
          <w:b/>
          <w:bCs/>
          <w:color w:val="000000" w:themeColor="text1"/>
          <w:kern w:val="0"/>
          <w:sz w:val="32"/>
          <w:szCs w:val="32"/>
          <w:lang w:bidi="ar-EG"/>
          <w14:ligatures w14:val="none"/>
        </w:rPr>
        <w:t>Mid</w:t>
      </w:r>
      <w:r w:rsidR="000D353F" w:rsidRPr="007A1717">
        <w:rPr>
          <w:rFonts w:ascii="Sakkal Majalla" w:eastAsia="Calibri" w:hAnsi="Sakkal Majalla" w:cs="Sakkal Majalla"/>
          <w:b/>
          <w:bCs/>
          <w:color w:val="000000" w:themeColor="text1"/>
          <w:kern w:val="0"/>
          <w:sz w:val="32"/>
          <w:szCs w:val="32"/>
          <w:lang w:bidi="ar-EG"/>
          <w14:ligatures w14:val="none"/>
        </w:rPr>
        <w:t xml:space="preserve"> </w:t>
      </w:r>
      <w:r w:rsidRPr="007A1717">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7A1717" w:rsidRDefault="0081623B" w:rsidP="00A12B5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A1717">
        <w:rPr>
          <w:rFonts w:ascii="Sakkal Majalla" w:eastAsia="Calibri" w:hAnsi="Sakkal Majalla" w:cs="Sakkal Majalla"/>
          <w:b/>
          <w:bCs/>
          <w:color w:val="000000" w:themeColor="text1"/>
          <w:kern w:val="0"/>
          <w:sz w:val="32"/>
          <w:szCs w:val="32"/>
          <w:lang w:bidi="ar-EG"/>
          <w14:ligatures w14:val="none"/>
        </w:rPr>
        <w:t>College of Management</w:t>
      </w:r>
    </w:p>
    <w:p w14:paraId="651D07A5" w14:textId="77777777" w:rsidR="00D6120A" w:rsidRPr="007A1717" w:rsidRDefault="00295BBE" w:rsidP="00A12B5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7A1717">
        <w:rPr>
          <w:rFonts w:ascii="Sakkal Majalla" w:eastAsia="Calibri" w:hAnsi="Sakkal Majalla" w:cs="Sakkal Majalla"/>
          <w:b/>
          <w:bCs/>
          <w:color w:val="000000" w:themeColor="text1"/>
          <w:kern w:val="0"/>
          <w:sz w:val="32"/>
          <w:szCs w:val="32"/>
          <w:lang w:bidi="ar-EG"/>
          <w14:ligatures w14:val="none"/>
        </w:rPr>
        <w:t xml:space="preserve">Master of </w:t>
      </w:r>
      <w:r w:rsidR="00D6120A" w:rsidRPr="007A1717">
        <w:rPr>
          <w:rFonts w:ascii="Sakkal Majalla" w:eastAsia="Calibri" w:hAnsi="Sakkal Majalla" w:cs="Sakkal Majalla"/>
          <w:b/>
          <w:bCs/>
          <w:color w:val="000000" w:themeColor="text1"/>
          <w:kern w:val="0"/>
          <w:sz w:val="32"/>
          <w:szCs w:val="32"/>
          <w14:ligatures w14:val="none"/>
        </w:rPr>
        <w:t>risk management</w:t>
      </w:r>
    </w:p>
    <w:p w14:paraId="4922BD3F" w14:textId="07173175" w:rsidR="00FD58AB" w:rsidRPr="007A1717" w:rsidRDefault="00FD58AB" w:rsidP="007A171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14:ligatures w14:val="none"/>
        </w:rPr>
      </w:pPr>
      <w:r w:rsidRPr="007A1717">
        <w:rPr>
          <w:rFonts w:ascii="Sakkal Majalla" w:eastAsia="Calibri" w:hAnsi="Sakkal Majalla" w:cs="Sakkal Majalla"/>
          <w:b/>
          <w:bCs/>
          <w:color w:val="000000" w:themeColor="text1"/>
          <w:kern w:val="0"/>
          <w:sz w:val="40"/>
          <w:szCs w:val="40"/>
          <w:lang w:bidi="ar-EG"/>
          <w14:ligatures w14:val="none"/>
        </w:rPr>
        <w:t>The Effectiveness of Early Warning Systems in Reducing the Impact of Industrial Disasters: A Field Study on Industrial Cities in the Kingdom of Saudi Arabia.</w:t>
      </w:r>
    </w:p>
    <w:p w14:paraId="24532F5F" w14:textId="3F58B4F4" w:rsidR="000D353F" w:rsidRPr="007A1717" w:rsidRDefault="000D353F" w:rsidP="007A171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A1717">
        <w:rPr>
          <w:rFonts w:ascii="Sakkal Majalla" w:eastAsia="Calibri" w:hAnsi="Sakkal Majalla" w:cs="Sakkal Majalla"/>
          <w:b/>
          <w:bCs/>
          <w:color w:val="000000" w:themeColor="text1"/>
          <w:kern w:val="0"/>
          <w:sz w:val="36"/>
          <w:szCs w:val="36"/>
          <w:lang w:bidi="ar-EG"/>
          <w14:ligatures w14:val="none"/>
        </w:rPr>
        <w:t>Prepared by:</w:t>
      </w:r>
    </w:p>
    <w:p w14:paraId="0BFD0AEC" w14:textId="10A4D67E" w:rsidR="00D6120A" w:rsidRPr="007A1717" w:rsidRDefault="00D6120A" w:rsidP="007A171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A1717">
        <w:rPr>
          <w:rFonts w:ascii="Sakkal Majalla" w:eastAsia="Calibri" w:hAnsi="Sakkal Majalla" w:cs="Sakkal Majalla"/>
          <w:color w:val="000000" w:themeColor="text1"/>
          <w:kern w:val="0"/>
          <w:sz w:val="36"/>
          <w:szCs w:val="36"/>
          <w:lang w:bidi="ar-EG"/>
          <w14:ligatures w14:val="none"/>
        </w:rPr>
        <w:t>Abdullah Mohammed Al-Khalifah</w:t>
      </w:r>
    </w:p>
    <w:p w14:paraId="7BC8D513" w14:textId="1DE8EDF1" w:rsidR="00892E22" w:rsidRPr="007A1717" w:rsidRDefault="00D6120A" w:rsidP="007A171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A1717">
        <w:rPr>
          <w:rFonts w:ascii="Sakkal Majalla" w:eastAsia="Calibri" w:hAnsi="Sakkal Majalla" w:cs="Sakkal Majalla"/>
          <w:color w:val="000000" w:themeColor="text1"/>
          <w:kern w:val="0"/>
          <w:sz w:val="36"/>
          <w:szCs w:val="36"/>
          <w:lang w:bidi="ar-EG"/>
          <w14:ligatures w14:val="none"/>
        </w:rPr>
        <w:t>252000304</w:t>
      </w:r>
    </w:p>
    <w:p w14:paraId="11FA3077" w14:textId="76000796" w:rsidR="0081623B" w:rsidRPr="007A1717" w:rsidRDefault="0081623B" w:rsidP="007A171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A1717">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7A1717" w:rsidRDefault="00BA5817" w:rsidP="007A171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A1717">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7A1717" w:rsidRDefault="000A06E6" w:rsidP="007A171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A1717">
        <w:rPr>
          <w:rFonts w:ascii="Sakkal Majalla" w:eastAsia="Calibri" w:hAnsi="Sakkal Majalla" w:cs="Sakkal Majalla"/>
          <w:color w:val="000000" w:themeColor="text1"/>
          <w:kern w:val="0"/>
          <w:sz w:val="36"/>
          <w:szCs w:val="36"/>
          <w:lang w:bidi="ar-EG"/>
          <w14:ligatures w14:val="none"/>
        </w:rPr>
        <w:t>Dr. Fayez Jarad</w:t>
      </w:r>
    </w:p>
    <w:p w14:paraId="6E52896B" w14:textId="3FFDD6C6" w:rsidR="009125CE" w:rsidRPr="007A1717" w:rsidRDefault="007A1717" w:rsidP="007A1717">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7A1717">
        <w:rPr>
          <w:rFonts w:ascii="Sakkal Majalla" w:eastAsia="Calibri" w:hAnsi="Sakkal Majalla" w:cs="Sakkal Majalla" w:hint="cs"/>
          <w:color w:val="000000" w:themeColor="text1"/>
          <w:kern w:val="0"/>
          <w:sz w:val="36"/>
          <w:szCs w:val="36"/>
          <w:rtl/>
          <w:lang w:bidi="ar-EG"/>
          <w14:ligatures w14:val="none"/>
        </w:rPr>
        <w:t xml:space="preserve">1447 </w:t>
      </w:r>
      <w:r w:rsidRPr="007A1717">
        <w:rPr>
          <w:rFonts w:ascii="Sakkal Majalla" w:eastAsia="Calibri" w:hAnsi="Sakkal Majalla" w:cs="Sakkal Majalla"/>
          <w:color w:val="000000" w:themeColor="text1"/>
          <w:kern w:val="0"/>
          <w:sz w:val="36"/>
          <w:szCs w:val="36"/>
          <w:rtl/>
          <w:lang w:bidi="ar-EG"/>
          <w14:ligatures w14:val="none"/>
        </w:rPr>
        <w:t>–</w:t>
      </w:r>
      <w:r w:rsidRPr="007A1717">
        <w:rPr>
          <w:rFonts w:ascii="Sakkal Majalla" w:eastAsia="Calibri" w:hAnsi="Sakkal Majalla" w:cs="Sakkal Majalla" w:hint="cs"/>
          <w:color w:val="000000" w:themeColor="text1"/>
          <w:kern w:val="0"/>
          <w:sz w:val="36"/>
          <w:szCs w:val="36"/>
          <w:rtl/>
          <w:lang w:bidi="ar-EG"/>
          <w14:ligatures w14:val="none"/>
        </w:rPr>
        <w:t xml:space="preserve"> 2026 </w:t>
      </w:r>
    </w:p>
    <w:sectPr w:rsidR="009125CE" w:rsidRPr="007A1717" w:rsidSect="00A12B57">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B96F43" w14:textId="77777777" w:rsidR="00DA740D" w:rsidRDefault="00DA740D" w:rsidP="009125CE">
      <w:pPr>
        <w:spacing w:after="0" w:line="240" w:lineRule="auto"/>
      </w:pPr>
      <w:r>
        <w:separator/>
      </w:r>
    </w:p>
  </w:endnote>
  <w:endnote w:type="continuationSeparator" w:id="0">
    <w:p w14:paraId="40268D1E" w14:textId="77777777" w:rsidR="00DA740D" w:rsidRDefault="00DA740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23181577"/>
      <w:docPartObj>
        <w:docPartGallery w:val="Page Numbers (Bottom of Page)"/>
        <w:docPartUnique/>
      </w:docPartObj>
    </w:sdtPr>
    <w:sdtContent>
      <w:p w14:paraId="7CC5AAE7" w14:textId="77777777" w:rsidR="0075035D" w:rsidRDefault="0075035D">
        <w:pPr>
          <w:pStyle w:val="Footer"/>
        </w:pPr>
        <w:r>
          <w:rPr>
            <w:noProof/>
          </w:rPr>
          <mc:AlternateContent>
            <mc:Choice Requires="wps">
              <w:drawing>
                <wp:anchor distT="0" distB="0" distL="114300" distR="114300" simplePos="0" relativeHeight="251666432" behindDoc="0" locked="0" layoutInCell="1" allowOverlap="1" wp14:anchorId="463A59C0" wp14:editId="47920213">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13B58AD" w14:textId="77777777" w:rsidR="0075035D" w:rsidRPr="00A12B57" w:rsidRDefault="0075035D">
                              <w:pPr>
                                <w:jc w:val="center"/>
                                <w:rPr>
                                  <w:rFonts w:ascii="Sakkal Majalla" w:hAnsi="Sakkal Majalla" w:cs="Sakkal Majalla"/>
                                  <w:b/>
                                  <w:bCs/>
                                  <w:sz w:val="24"/>
                                  <w:szCs w:val="24"/>
                                </w:rPr>
                              </w:pPr>
                              <w:r w:rsidRPr="00A12B57">
                                <w:rPr>
                                  <w:rFonts w:ascii="Sakkal Majalla" w:hAnsi="Sakkal Majalla" w:cs="Sakkal Majalla"/>
                                  <w:b/>
                                  <w:bCs/>
                                  <w:sz w:val="24"/>
                                  <w:szCs w:val="24"/>
                                </w:rPr>
                                <w:fldChar w:fldCharType="begin"/>
                              </w:r>
                              <w:r w:rsidRPr="00A12B57">
                                <w:rPr>
                                  <w:rFonts w:ascii="Sakkal Majalla" w:hAnsi="Sakkal Majalla" w:cs="Sakkal Majalla"/>
                                  <w:b/>
                                  <w:bCs/>
                                  <w:sz w:val="24"/>
                                  <w:szCs w:val="24"/>
                                </w:rPr>
                                <w:instrText xml:space="preserve"> PAGE    \* MERGEFORMAT </w:instrText>
                              </w:r>
                              <w:r w:rsidRPr="00A12B57">
                                <w:rPr>
                                  <w:rFonts w:ascii="Sakkal Majalla" w:hAnsi="Sakkal Majalla" w:cs="Sakkal Majalla"/>
                                  <w:b/>
                                  <w:bCs/>
                                  <w:sz w:val="24"/>
                                  <w:szCs w:val="24"/>
                                </w:rPr>
                                <w:fldChar w:fldCharType="separate"/>
                              </w:r>
                              <w:r w:rsidR="003A61F2">
                                <w:rPr>
                                  <w:rFonts w:ascii="Sakkal Majalla" w:hAnsi="Sakkal Majalla" w:cs="Sakkal Majalla"/>
                                  <w:b/>
                                  <w:bCs/>
                                  <w:noProof/>
                                  <w:sz w:val="24"/>
                                  <w:szCs w:val="24"/>
                                  <w:rtl/>
                                </w:rPr>
                                <w:t>54</w:t>
                              </w:r>
                              <w:r w:rsidRPr="00A12B57">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63A59C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213B58AD" w14:textId="77777777" w:rsidR="0075035D" w:rsidRPr="00A12B57" w:rsidRDefault="0075035D">
                        <w:pPr>
                          <w:jc w:val="center"/>
                          <w:rPr>
                            <w:rFonts w:ascii="Sakkal Majalla" w:hAnsi="Sakkal Majalla" w:cs="Sakkal Majalla"/>
                            <w:b/>
                            <w:bCs/>
                            <w:sz w:val="24"/>
                            <w:szCs w:val="24"/>
                          </w:rPr>
                        </w:pPr>
                        <w:r w:rsidRPr="00A12B57">
                          <w:rPr>
                            <w:rFonts w:ascii="Sakkal Majalla" w:hAnsi="Sakkal Majalla" w:cs="Sakkal Majalla"/>
                            <w:b/>
                            <w:bCs/>
                            <w:sz w:val="24"/>
                            <w:szCs w:val="24"/>
                          </w:rPr>
                          <w:fldChar w:fldCharType="begin"/>
                        </w:r>
                        <w:r w:rsidRPr="00A12B57">
                          <w:rPr>
                            <w:rFonts w:ascii="Sakkal Majalla" w:hAnsi="Sakkal Majalla" w:cs="Sakkal Majalla"/>
                            <w:b/>
                            <w:bCs/>
                            <w:sz w:val="24"/>
                            <w:szCs w:val="24"/>
                          </w:rPr>
                          <w:instrText xml:space="preserve"> PAGE    \* MERGEFORMAT </w:instrText>
                        </w:r>
                        <w:r w:rsidRPr="00A12B57">
                          <w:rPr>
                            <w:rFonts w:ascii="Sakkal Majalla" w:hAnsi="Sakkal Majalla" w:cs="Sakkal Majalla"/>
                            <w:b/>
                            <w:bCs/>
                            <w:sz w:val="24"/>
                            <w:szCs w:val="24"/>
                          </w:rPr>
                          <w:fldChar w:fldCharType="separate"/>
                        </w:r>
                        <w:r w:rsidR="003A61F2">
                          <w:rPr>
                            <w:rFonts w:ascii="Sakkal Majalla" w:hAnsi="Sakkal Majalla" w:cs="Sakkal Majalla"/>
                            <w:b/>
                            <w:bCs/>
                            <w:noProof/>
                            <w:sz w:val="24"/>
                            <w:szCs w:val="24"/>
                            <w:rtl/>
                          </w:rPr>
                          <w:t>54</w:t>
                        </w:r>
                        <w:r w:rsidRPr="00A12B57">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7667F40" wp14:editId="422C86C1">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BF95A27"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F09003" w14:textId="372AA253" w:rsidR="007A1717" w:rsidRDefault="007A17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D4432" w14:textId="77777777" w:rsidR="00DA740D" w:rsidRDefault="00DA740D" w:rsidP="009125CE">
      <w:pPr>
        <w:spacing w:after="0" w:line="240" w:lineRule="auto"/>
      </w:pPr>
      <w:r>
        <w:separator/>
      </w:r>
    </w:p>
  </w:footnote>
  <w:footnote w:type="continuationSeparator" w:id="0">
    <w:p w14:paraId="610C279F" w14:textId="77777777" w:rsidR="00DA740D" w:rsidRDefault="00DA740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62BB5"/>
    <w:multiLevelType w:val="hybridMultilevel"/>
    <w:tmpl w:val="0058A6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CA057B"/>
    <w:multiLevelType w:val="multilevel"/>
    <w:tmpl w:val="D3BEC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3515E7"/>
    <w:multiLevelType w:val="hybridMultilevel"/>
    <w:tmpl w:val="75D871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AD6D01"/>
    <w:multiLevelType w:val="hybridMultilevel"/>
    <w:tmpl w:val="0FA0C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036DED"/>
    <w:multiLevelType w:val="hybridMultilevel"/>
    <w:tmpl w:val="B6F20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665092"/>
    <w:multiLevelType w:val="hybridMultilevel"/>
    <w:tmpl w:val="4F1E9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C67E24"/>
    <w:multiLevelType w:val="hybridMultilevel"/>
    <w:tmpl w:val="94CA9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806388"/>
    <w:multiLevelType w:val="hybridMultilevel"/>
    <w:tmpl w:val="698EF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FA198D"/>
    <w:multiLevelType w:val="hybridMultilevel"/>
    <w:tmpl w:val="CA1AE5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D8142C"/>
    <w:multiLevelType w:val="hybridMultilevel"/>
    <w:tmpl w:val="3FC843C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8860B5"/>
    <w:multiLevelType w:val="hybridMultilevel"/>
    <w:tmpl w:val="96E07A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672F"/>
    <w:multiLevelType w:val="hybridMultilevel"/>
    <w:tmpl w:val="9B769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46296B"/>
    <w:multiLevelType w:val="hybridMultilevel"/>
    <w:tmpl w:val="19B225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336C2B"/>
    <w:multiLevelType w:val="hybridMultilevel"/>
    <w:tmpl w:val="0EFA0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5835D5"/>
    <w:multiLevelType w:val="hybridMultilevel"/>
    <w:tmpl w:val="F9109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0126E1"/>
    <w:multiLevelType w:val="multilevel"/>
    <w:tmpl w:val="5E847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0346D6"/>
    <w:multiLevelType w:val="hybridMultilevel"/>
    <w:tmpl w:val="0B30A35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440DE6"/>
    <w:multiLevelType w:val="hybridMultilevel"/>
    <w:tmpl w:val="C5D89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124DD3"/>
    <w:multiLevelType w:val="hybridMultilevel"/>
    <w:tmpl w:val="98A20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BD64FD"/>
    <w:multiLevelType w:val="hybridMultilevel"/>
    <w:tmpl w:val="16948FBE"/>
    <w:lvl w:ilvl="0" w:tplc="05E6A3B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nsid w:val="677F4F7B"/>
    <w:multiLevelType w:val="hybridMultilevel"/>
    <w:tmpl w:val="E722B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072794"/>
    <w:multiLevelType w:val="hybridMultilevel"/>
    <w:tmpl w:val="0A720C3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6CD14A9B"/>
    <w:multiLevelType w:val="multilevel"/>
    <w:tmpl w:val="9D623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DF52A6E"/>
    <w:multiLevelType w:val="multilevel"/>
    <w:tmpl w:val="FD9858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E0218E7"/>
    <w:multiLevelType w:val="multilevel"/>
    <w:tmpl w:val="2C42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7E57CB"/>
    <w:multiLevelType w:val="hybridMultilevel"/>
    <w:tmpl w:val="B9A43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980DC1"/>
    <w:multiLevelType w:val="multilevel"/>
    <w:tmpl w:val="D228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1"/>
  </w:num>
  <w:num w:numId="3">
    <w:abstractNumId w:val="13"/>
  </w:num>
  <w:num w:numId="4">
    <w:abstractNumId w:val="27"/>
  </w:num>
  <w:num w:numId="5">
    <w:abstractNumId w:val="24"/>
  </w:num>
  <w:num w:numId="6">
    <w:abstractNumId w:val="17"/>
  </w:num>
  <w:num w:numId="7">
    <w:abstractNumId w:val="26"/>
  </w:num>
  <w:num w:numId="8">
    <w:abstractNumId w:val="29"/>
  </w:num>
  <w:num w:numId="9">
    <w:abstractNumId w:val="19"/>
  </w:num>
  <w:num w:numId="10">
    <w:abstractNumId w:val="16"/>
  </w:num>
  <w:num w:numId="11">
    <w:abstractNumId w:val="6"/>
  </w:num>
  <w:num w:numId="12">
    <w:abstractNumId w:val="28"/>
  </w:num>
  <w:num w:numId="13">
    <w:abstractNumId w:val="4"/>
  </w:num>
  <w:num w:numId="14">
    <w:abstractNumId w:val="3"/>
  </w:num>
  <w:num w:numId="15">
    <w:abstractNumId w:val="20"/>
  </w:num>
  <w:num w:numId="16">
    <w:abstractNumId w:val="23"/>
  </w:num>
  <w:num w:numId="17">
    <w:abstractNumId w:val="15"/>
  </w:num>
  <w:num w:numId="18">
    <w:abstractNumId w:val="8"/>
  </w:num>
  <w:num w:numId="19">
    <w:abstractNumId w:val="11"/>
  </w:num>
  <w:num w:numId="20">
    <w:abstractNumId w:val="25"/>
  </w:num>
  <w:num w:numId="21">
    <w:abstractNumId w:val="1"/>
  </w:num>
  <w:num w:numId="22">
    <w:abstractNumId w:val="9"/>
  </w:num>
  <w:num w:numId="23">
    <w:abstractNumId w:val="14"/>
  </w:num>
  <w:num w:numId="24">
    <w:abstractNumId w:val="10"/>
  </w:num>
  <w:num w:numId="25">
    <w:abstractNumId w:val="12"/>
  </w:num>
  <w:num w:numId="26">
    <w:abstractNumId w:val="0"/>
  </w:num>
  <w:num w:numId="27">
    <w:abstractNumId w:val="2"/>
  </w:num>
  <w:num w:numId="28">
    <w:abstractNumId w:val="18"/>
  </w:num>
  <w:num w:numId="29">
    <w:abstractNumId w:val="7"/>
  </w:num>
  <w:num w:numId="30">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5D1"/>
    <w:rsid w:val="000A06E6"/>
    <w:rsid w:val="000A2ED4"/>
    <w:rsid w:val="000A4AC3"/>
    <w:rsid w:val="000A4D31"/>
    <w:rsid w:val="000A4DAE"/>
    <w:rsid w:val="000A5BAC"/>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E53A5"/>
    <w:rsid w:val="000F44B4"/>
    <w:rsid w:val="00110487"/>
    <w:rsid w:val="0011209C"/>
    <w:rsid w:val="0011321B"/>
    <w:rsid w:val="0012342D"/>
    <w:rsid w:val="00123F19"/>
    <w:rsid w:val="001306F3"/>
    <w:rsid w:val="00131E44"/>
    <w:rsid w:val="00134A64"/>
    <w:rsid w:val="00141EEE"/>
    <w:rsid w:val="00143989"/>
    <w:rsid w:val="00150B32"/>
    <w:rsid w:val="001510C1"/>
    <w:rsid w:val="00152611"/>
    <w:rsid w:val="00153B41"/>
    <w:rsid w:val="00170508"/>
    <w:rsid w:val="00170871"/>
    <w:rsid w:val="00172131"/>
    <w:rsid w:val="00174E80"/>
    <w:rsid w:val="00175050"/>
    <w:rsid w:val="00180436"/>
    <w:rsid w:val="0018142E"/>
    <w:rsid w:val="001822C8"/>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04EB8"/>
    <w:rsid w:val="00210FD2"/>
    <w:rsid w:val="00211082"/>
    <w:rsid w:val="002133A6"/>
    <w:rsid w:val="0021390B"/>
    <w:rsid w:val="00214898"/>
    <w:rsid w:val="0021718D"/>
    <w:rsid w:val="00217ADA"/>
    <w:rsid w:val="00220735"/>
    <w:rsid w:val="00223AE0"/>
    <w:rsid w:val="00224D8B"/>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36B1"/>
    <w:rsid w:val="00295BBE"/>
    <w:rsid w:val="0029680E"/>
    <w:rsid w:val="002A32D6"/>
    <w:rsid w:val="002A365A"/>
    <w:rsid w:val="002A471C"/>
    <w:rsid w:val="002A548E"/>
    <w:rsid w:val="002A76B5"/>
    <w:rsid w:val="002B1274"/>
    <w:rsid w:val="002B38F6"/>
    <w:rsid w:val="002C205F"/>
    <w:rsid w:val="002C21BB"/>
    <w:rsid w:val="002C5EE0"/>
    <w:rsid w:val="002D0190"/>
    <w:rsid w:val="002D30A7"/>
    <w:rsid w:val="002D3120"/>
    <w:rsid w:val="002D5C0C"/>
    <w:rsid w:val="002E36BC"/>
    <w:rsid w:val="002E4629"/>
    <w:rsid w:val="002F1A11"/>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5D8B"/>
    <w:rsid w:val="0035706A"/>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61F2"/>
    <w:rsid w:val="003A757C"/>
    <w:rsid w:val="003B30A9"/>
    <w:rsid w:val="003B48BD"/>
    <w:rsid w:val="003B51C3"/>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16B7"/>
    <w:rsid w:val="00433FD4"/>
    <w:rsid w:val="0043649D"/>
    <w:rsid w:val="00437E61"/>
    <w:rsid w:val="00446D28"/>
    <w:rsid w:val="00446ED1"/>
    <w:rsid w:val="004613E8"/>
    <w:rsid w:val="00461DB2"/>
    <w:rsid w:val="00464637"/>
    <w:rsid w:val="00464AF1"/>
    <w:rsid w:val="004708AB"/>
    <w:rsid w:val="00473631"/>
    <w:rsid w:val="00474A1C"/>
    <w:rsid w:val="00475778"/>
    <w:rsid w:val="00475C10"/>
    <w:rsid w:val="00476ADB"/>
    <w:rsid w:val="0047707D"/>
    <w:rsid w:val="004772A9"/>
    <w:rsid w:val="00482056"/>
    <w:rsid w:val="00482616"/>
    <w:rsid w:val="00491EAB"/>
    <w:rsid w:val="004974E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4DA5"/>
    <w:rsid w:val="005423FA"/>
    <w:rsid w:val="00544E3F"/>
    <w:rsid w:val="005459E0"/>
    <w:rsid w:val="00545E45"/>
    <w:rsid w:val="0054713A"/>
    <w:rsid w:val="00550EC8"/>
    <w:rsid w:val="005527F0"/>
    <w:rsid w:val="00557A05"/>
    <w:rsid w:val="00557B85"/>
    <w:rsid w:val="00566BCE"/>
    <w:rsid w:val="00586F13"/>
    <w:rsid w:val="00590B27"/>
    <w:rsid w:val="00597F74"/>
    <w:rsid w:val="005A4FB6"/>
    <w:rsid w:val="005A755A"/>
    <w:rsid w:val="005B112C"/>
    <w:rsid w:val="005B13C1"/>
    <w:rsid w:val="005B2F92"/>
    <w:rsid w:val="005B5824"/>
    <w:rsid w:val="005B7D85"/>
    <w:rsid w:val="005C26B3"/>
    <w:rsid w:val="005C5786"/>
    <w:rsid w:val="005D0E3A"/>
    <w:rsid w:val="005D25AE"/>
    <w:rsid w:val="005D2620"/>
    <w:rsid w:val="005D5DB7"/>
    <w:rsid w:val="005D6A8C"/>
    <w:rsid w:val="005E37C2"/>
    <w:rsid w:val="005E4AF3"/>
    <w:rsid w:val="005F2722"/>
    <w:rsid w:val="005F3FA1"/>
    <w:rsid w:val="005F7706"/>
    <w:rsid w:val="00600FB9"/>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4CC5"/>
    <w:rsid w:val="006A6C3D"/>
    <w:rsid w:val="006B07CD"/>
    <w:rsid w:val="006B3A4B"/>
    <w:rsid w:val="006B40EF"/>
    <w:rsid w:val="006B4F02"/>
    <w:rsid w:val="006B6AA9"/>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26D21"/>
    <w:rsid w:val="007301E5"/>
    <w:rsid w:val="00731DC0"/>
    <w:rsid w:val="00741B9A"/>
    <w:rsid w:val="007501C6"/>
    <w:rsid w:val="0075035D"/>
    <w:rsid w:val="007526FA"/>
    <w:rsid w:val="0075485F"/>
    <w:rsid w:val="00754DB9"/>
    <w:rsid w:val="00755053"/>
    <w:rsid w:val="00756A6F"/>
    <w:rsid w:val="00757802"/>
    <w:rsid w:val="00760A35"/>
    <w:rsid w:val="007653E9"/>
    <w:rsid w:val="00766D40"/>
    <w:rsid w:val="007739B3"/>
    <w:rsid w:val="007753A5"/>
    <w:rsid w:val="00775634"/>
    <w:rsid w:val="00780E8F"/>
    <w:rsid w:val="00784937"/>
    <w:rsid w:val="007874FA"/>
    <w:rsid w:val="0079013B"/>
    <w:rsid w:val="00791E1F"/>
    <w:rsid w:val="00792A28"/>
    <w:rsid w:val="007A1717"/>
    <w:rsid w:val="007A7A94"/>
    <w:rsid w:val="007B0E54"/>
    <w:rsid w:val="007B2139"/>
    <w:rsid w:val="007B3DD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3B3A"/>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7A2"/>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0203"/>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2B57"/>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39E8"/>
    <w:rsid w:val="00A7075F"/>
    <w:rsid w:val="00A71BCE"/>
    <w:rsid w:val="00A74F76"/>
    <w:rsid w:val="00A81B3B"/>
    <w:rsid w:val="00A829D7"/>
    <w:rsid w:val="00A840CF"/>
    <w:rsid w:val="00A86E11"/>
    <w:rsid w:val="00A92B62"/>
    <w:rsid w:val="00A97576"/>
    <w:rsid w:val="00A97D67"/>
    <w:rsid w:val="00AA005F"/>
    <w:rsid w:val="00AA2D33"/>
    <w:rsid w:val="00AA4691"/>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27C3F"/>
    <w:rsid w:val="00B33DC6"/>
    <w:rsid w:val="00B346DF"/>
    <w:rsid w:val="00B36FBC"/>
    <w:rsid w:val="00B4269F"/>
    <w:rsid w:val="00B44182"/>
    <w:rsid w:val="00B467CC"/>
    <w:rsid w:val="00B5443B"/>
    <w:rsid w:val="00B56CAA"/>
    <w:rsid w:val="00B570EB"/>
    <w:rsid w:val="00B57582"/>
    <w:rsid w:val="00B576EF"/>
    <w:rsid w:val="00B63B0F"/>
    <w:rsid w:val="00B63F29"/>
    <w:rsid w:val="00B653F7"/>
    <w:rsid w:val="00B72A08"/>
    <w:rsid w:val="00B74A10"/>
    <w:rsid w:val="00B74FF2"/>
    <w:rsid w:val="00B75E84"/>
    <w:rsid w:val="00B7678A"/>
    <w:rsid w:val="00B80165"/>
    <w:rsid w:val="00B801FA"/>
    <w:rsid w:val="00B9286F"/>
    <w:rsid w:val="00BA0E1B"/>
    <w:rsid w:val="00BA1572"/>
    <w:rsid w:val="00BA3D6A"/>
    <w:rsid w:val="00BA5817"/>
    <w:rsid w:val="00BB1144"/>
    <w:rsid w:val="00BB3514"/>
    <w:rsid w:val="00BB409F"/>
    <w:rsid w:val="00BC24EE"/>
    <w:rsid w:val="00BC454D"/>
    <w:rsid w:val="00BD03D1"/>
    <w:rsid w:val="00BD590D"/>
    <w:rsid w:val="00BE03ED"/>
    <w:rsid w:val="00BE2024"/>
    <w:rsid w:val="00BE74CE"/>
    <w:rsid w:val="00BF35D5"/>
    <w:rsid w:val="00C01C2B"/>
    <w:rsid w:val="00C1175F"/>
    <w:rsid w:val="00C16713"/>
    <w:rsid w:val="00C16D65"/>
    <w:rsid w:val="00C20A1C"/>
    <w:rsid w:val="00C23616"/>
    <w:rsid w:val="00C23A70"/>
    <w:rsid w:val="00C32E49"/>
    <w:rsid w:val="00C3302B"/>
    <w:rsid w:val="00C35B07"/>
    <w:rsid w:val="00C35BBA"/>
    <w:rsid w:val="00C4127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E582D"/>
    <w:rsid w:val="00CF19B5"/>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6120A"/>
    <w:rsid w:val="00D7196E"/>
    <w:rsid w:val="00D76CFA"/>
    <w:rsid w:val="00D7719C"/>
    <w:rsid w:val="00D81039"/>
    <w:rsid w:val="00D82A72"/>
    <w:rsid w:val="00D92BC0"/>
    <w:rsid w:val="00D92F77"/>
    <w:rsid w:val="00D965B5"/>
    <w:rsid w:val="00DA0EBA"/>
    <w:rsid w:val="00DA1C1B"/>
    <w:rsid w:val="00DA3C05"/>
    <w:rsid w:val="00DA4EAA"/>
    <w:rsid w:val="00DA740D"/>
    <w:rsid w:val="00DB1F25"/>
    <w:rsid w:val="00DB43B3"/>
    <w:rsid w:val="00DB64C5"/>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AF3"/>
    <w:rsid w:val="00E43E62"/>
    <w:rsid w:val="00E452A2"/>
    <w:rsid w:val="00E47B7D"/>
    <w:rsid w:val="00E50B03"/>
    <w:rsid w:val="00E53564"/>
    <w:rsid w:val="00E552BA"/>
    <w:rsid w:val="00E640C5"/>
    <w:rsid w:val="00E64188"/>
    <w:rsid w:val="00E6570B"/>
    <w:rsid w:val="00E663FA"/>
    <w:rsid w:val="00E67CA1"/>
    <w:rsid w:val="00E71C79"/>
    <w:rsid w:val="00E748EB"/>
    <w:rsid w:val="00E7565E"/>
    <w:rsid w:val="00E76742"/>
    <w:rsid w:val="00E76A3D"/>
    <w:rsid w:val="00E76DB1"/>
    <w:rsid w:val="00E802F2"/>
    <w:rsid w:val="00E82DAD"/>
    <w:rsid w:val="00E83504"/>
    <w:rsid w:val="00E86613"/>
    <w:rsid w:val="00E90626"/>
    <w:rsid w:val="00E97126"/>
    <w:rsid w:val="00EA1A33"/>
    <w:rsid w:val="00EA6B5D"/>
    <w:rsid w:val="00EB0531"/>
    <w:rsid w:val="00EB60A5"/>
    <w:rsid w:val="00EC10F6"/>
    <w:rsid w:val="00EC5DCF"/>
    <w:rsid w:val="00ED1918"/>
    <w:rsid w:val="00ED24E8"/>
    <w:rsid w:val="00ED2B59"/>
    <w:rsid w:val="00ED2F10"/>
    <w:rsid w:val="00ED5DB0"/>
    <w:rsid w:val="00EE0BB8"/>
    <w:rsid w:val="00EE0BD0"/>
    <w:rsid w:val="00EE775D"/>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66A15"/>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8AB"/>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D6120A"/>
    <w:pPr>
      <w:keepNext/>
      <w:keepLines/>
      <w:spacing w:before="480" w:after="240" w:line="360" w:lineRule="auto"/>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D6120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table" w:styleId="GridTable6Colorful-Accent5">
    <w:name w:val="Grid Table 6 Colorful Accent 5"/>
    <w:basedOn w:val="TableNormal"/>
    <w:uiPriority w:val="51"/>
    <w:rsid w:val="00A12B57"/>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1">
    <w:name w:val="Grid Table 6 Colorful Accent 1"/>
    <w:basedOn w:val="TableNormal"/>
    <w:uiPriority w:val="51"/>
    <w:rsid w:val="000A5BAC"/>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75035D"/>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28996404">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44132">
      <w:bodyDiv w:val="1"/>
      <w:marLeft w:val="0"/>
      <w:marRight w:val="0"/>
      <w:marTop w:val="0"/>
      <w:marBottom w:val="0"/>
      <w:divBdr>
        <w:top w:val="none" w:sz="0" w:space="0" w:color="auto"/>
        <w:left w:val="none" w:sz="0" w:space="0" w:color="auto"/>
        <w:bottom w:val="none" w:sz="0" w:space="0" w:color="auto"/>
        <w:right w:val="none" w:sz="0" w:space="0" w:color="auto"/>
      </w:divBdr>
    </w:div>
    <w:div w:id="49889392">
      <w:bodyDiv w:val="1"/>
      <w:marLeft w:val="0"/>
      <w:marRight w:val="0"/>
      <w:marTop w:val="0"/>
      <w:marBottom w:val="0"/>
      <w:divBdr>
        <w:top w:val="none" w:sz="0" w:space="0" w:color="auto"/>
        <w:left w:val="none" w:sz="0" w:space="0" w:color="auto"/>
        <w:bottom w:val="none" w:sz="0" w:space="0" w:color="auto"/>
        <w:right w:val="none" w:sz="0" w:space="0" w:color="auto"/>
      </w:divBdr>
      <w:divsChild>
        <w:div w:id="1766416239">
          <w:marLeft w:val="0"/>
          <w:marRight w:val="0"/>
          <w:marTop w:val="0"/>
          <w:marBottom w:val="0"/>
          <w:divBdr>
            <w:top w:val="none" w:sz="0" w:space="0" w:color="auto"/>
            <w:left w:val="none" w:sz="0" w:space="0" w:color="auto"/>
            <w:bottom w:val="none" w:sz="0" w:space="0" w:color="auto"/>
            <w:right w:val="none" w:sz="0" w:space="0" w:color="auto"/>
          </w:divBdr>
        </w:div>
        <w:div w:id="969944458">
          <w:marLeft w:val="0"/>
          <w:marRight w:val="0"/>
          <w:marTop w:val="0"/>
          <w:marBottom w:val="0"/>
          <w:divBdr>
            <w:top w:val="none" w:sz="0" w:space="0" w:color="auto"/>
            <w:left w:val="none" w:sz="0" w:space="0" w:color="auto"/>
            <w:bottom w:val="none" w:sz="0" w:space="0" w:color="auto"/>
            <w:right w:val="none" w:sz="0" w:space="0" w:color="auto"/>
          </w:divBdr>
        </w:div>
        <w:div w:id="1757745511">
          <w:marLeft w:val="0"/>
          <w:marRight w:val="0"/>
          <w:marTop w:val="0"/>
          <w:marBottom w:val="0"/>
          <w:divBdr>
            <w:top w:val="none" w:sz="0" w:space="0" w:color="auto"/>
            <w:left w:val="none" w:sz="0" w:space="0" w:color="auto"/>
            <w:bottom w:val="none" w:sz="0" w:space="0" w:color="auto"/>
            <w:right w:val="none" w:sz="0" w:space="0" w:color="auto"/>
          </w:divBdr>
        </w:div>
        <w:div w:id="1016689607">
          <w:marLeft w:val="0"/>
          <w:marRight w:val="0"/>
          <w:marTop w:val="0"/>
          <w:marBottom w:val="0"/>
          <w:divBdr>
            <w:top w:val="none" w:sz="0" w:space="0" w:color="auto"/>
            <w:left w:val="none" w:sz="0" w:space="0" w:color="auto"/>
            <w:bottom w:val="none" w:sz="0" w:space="0" w:color="auto"/>
            <w:right w:val="none" w:sz="0" w:space="0" w:color="auto"/>
          </w:divBdr>
        </w:div>
        <w:div w:id="1672636603">
          <w:marLeft w:val="0"/>
          <w:marRight w:val="0"/>
          <w:marTop w:val="0"/>
          <w:marBottom w:val="0"/>
          <w:divBdr>
            <w:top w:val="none" w:sz="0" w:space="0" w:color="auto"/>
            <w:left w:val="none" w:sz="0" w:space="0" w:color="auto"/>
            <w:bottom w:val="none" w:sz="0" w:space="0" w:color="auto"/>
            <w:right w:val="none" w:sz="0" w:space="0" w:color="auto"/>
          </w:divBdr>
        </w:div>
        <w:div w:id="1829900836">
          <w:marLeft w:val="0"/>
          <w:marRight w:val="0"/>
          <w:marTop w:val="0"/>
          <w:marBottom w:val="0"/>
          <w:divBdr>
            <w:top w:val="none" w:sz="0" w:space="0" w:color="auto"/>
            <w:left w:val="none" w:sz="0" w:space="0" w:color="auto"/>
            <w:bottom w:val="none" w:sz="0" w:space="0" w:color="auto"/>
            <w:right w:val="none" w:sz="0" w:space="0" w:color="auto"/>
          </w:divBdr>
        </w:div>
        <w:div w:id="341393045">
          <w:marLeft w:val="0"/>
          <w:marRight w:val="0"/>
          <w:marTop w:val="0"/>
          <w:marBottom w:val="0"/>
          <w:divBdr>
            <w:top w:val="none" w:sz="0" w:space="0" w:color="auto"/>
            <w:left w:val="none" w:sz="0" w:space="0" w:color="auto"/>
            <w:bottom w:val="none" w:sz="0" w:space="0" w:color="auto"/>
            <w:right w:val="none" w:sz="0" w:space="0" w:color="auto"/>
          </w:divBdr>
        </w:div>
        <w:div w:id="1232547143">
          <w:marLeft w:val="0"/>
          <w:marRight w:val="0"/>
          <w:marTop w:val="0"/>
          <w:marBottom w:val="0"/>
          <w:divBdr>
            <w:top w:val="none" w:sz="0" w:space="0" w:color="auto"/>
            <w:left w:val="none" w:sz="0" w:space="0" w:color="auto"/>
            <w:bottom w:val="none" w:sz="0" w:space="0" w:color="auto"/>
            <w:right w:val="none" w:sz="0" w:space="0" w:color="auto"/>
          </w:divBdr>
        </w:div>
        <w:div w:id="1681619835">
          <w:marLeft w:val="0"/>
          <w:marRight w:val="0"/>
          <w:marTop w:val="0"/>
          <w:marBottom w:val="0"/>
          <w:divBdr>
            <w:top w:val="none" w:sz="0" w:space="0" w:color="auto"/>
            <w:left w:val="none" w:sz="0" w:space="0" w:color="auto"/>
            <w:bottom w:val="none" w:sz="0" w:space="0" w:color="auto"/>
            <w:right w:val="none" w:sz="0" w:space="0" w:color="auto"/>
          </w:divBdr>
        </w:div>
        <w:div w:id="519978936">
          <w:marLeft w:val="0"/>
          <w:marRight w:val="0"/>
          <w:marTop w:val="0"/>
          <w:marBottom w:val="0"/>
          <w:divBdr>
            <w:top w:val="none" w:sz="0" w:space="0" w:color="auto"/>
            <w:left w:val="none" w:sz="0" w:space="0" w:color="auto"/>
            <w:bottom w:val="none" w:sz="0" w:space="0" w:color="auto"/>
            <w:right w:val="none" w:sz="0" w:space="0" w:color="auto"/>
          </w:divBdr>
        </w:div>
        <w:div w:id="1549992561">
          <w:marLeft w:val="0"/>
          <w:marRight w:val="0"/>
          <w:marTop w:val="0"/>
          <w:marBottom w:val="0"/>
          <w:divBdr>
            <w:top w:val="none" w:sz="0" w:space="0" w:color="auto"/>
            <w:left w:val="none" w:sz="0" w:space="0" w:color="auto"/>
            <w:bottom w:val="none" w:sz="0" w:space="0" w:color="auto"/>
            <w:right w:val="none" w:sz="0" w:space="0" w:color="auto"/>
          </w:divBdr>
        </w:div>
        <w:div w:id="919170525">
          <w:marLeft w:val="0"/>
          <w:marRight w:val="0"/>
          <w:marTop w:val="0"/>
          <w:marBottom w:val="0"/>
          <w:divBdr>
            <w:top w:val="none" w:sz="0" w:space="0" w:color="auto"/>
            <w:left w:val="none" w:sz="0" w:space="0" w:color="auto"/>
            <w:bottom w:val="none" w:sz="0" w:space="0" w:color="auto"/>
            <w:right w:val="none" w:sz="0" w:space="0" w:color="auto"/>
          </w:divBdr>
        </w:div>
        <w:div w:id="772360517">
          <w:marLeft w:val="0"/>
          <w:marRight w:val="0"/>
          <w:marTop w:val="0"/>
          <w:marBottom w:val="0"/>
          <w:divBdr>
            <w:top w:val="none" w:sz="0" w:space="0" w:color="auto"/>
            <w:left w:val="none" w:sz="0" w:space="0" w:color="auto"/>
            <w:bottom w:val="none" w:sz="0" w:space="0" w:color="auto"/>
            <w:right w:val="none" w:sz="0" w:space="0" w:color="auto"/>
          </w:divBdr>
        </w:div>
        <w:div w:id="1140924875">
          <w:marLeft w:val="0"/>
          <w:marRight w:val="0"/>
          <w:marTop w:val="0"/>
          <w:marBottom w:val="0"/>
          <w:divBdr>
            <w:top w:val="none" w:sz="0" w:space="0" w:color="auto"/>
            <w:left w:val="none" w:sz="0" w:space="0" w:color="auto"/>
            <w:bottom w:val="none" w:sz="0" w:space="0" w:color="auto"/>
            <w:right w:val="none" w:sz="0" w:space="0" w:color="auto"/>
          </w:divBdr>
        </w:div>
        <w:div w:id="820001651">
          <w:marLeft w:val="0"/>
          <w:marRight w:val="0"/>
          <w:marTop w:val="0"/>
          <w:marBottom w:val="0"/>
          <w:divBdr>
            <w:top w:val="none" w:sz="0" w:space="0" w:color="auto"/>
            <w:left w:val="none" w:sz="0" w:space="0" w:color="auto"/>
            <w:bottom w:val="none" w:sz="0" w:space="0" w:color="auto"/>
            <w:right w:val="none" w:sz="0" w:space="0" w:color="auto"/>
          </w:divBdr>
        </w:div>
        <w:div w:id="1646281679">
          <w:marLeft w:val="0"/>
          <w:marRight w:val="0"/>
          <w:marTop w:val="0"/>
          <w:marBottom w:val="0"/>
          <w:divBdr>
            <w:top w:val="none" w:sz="0" w:space="0" w:color="auto"/>
            <w:left w:val="none" w:sz="0" w:space="0" w:color="auto"/>
            <w:bottom w:val="none" w:sz="0" w:space="0" w:color="auto"/>
            <w:right w:val="none" w:sz="0" w:space="0" w:color="auto"/>
          </w:divBdr>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3534209">
      <w:bodyDiv w:val="1"/>
      <w:marLeft w:val="0"/>
      <w:marRight w:val="0"/>
      <w:marTop w:val="0"/>
      <w:marBottom w:val="0"/>
      <w:divBdr>
        <w:top w:val="none" w:sz="0" w:space="0" w:color="auto"/>
        <w:left w:val="none" w:sz="0" w:space="0" w:color="auto"/>
        <w:bottom w:val="none" w:sz="0" w:space="0" w:color="auto"/>
        <w:right w:val="none" w:sz="0" w:space="0" w:color="auto"/>
      </w:divBdr>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14643770">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7403810">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5532062">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8411476">
      <w:bodyDiv w:val="1"/>
      <w:marLeft w:val="0"/>
      <w:marRight w:val="0"/>
      <w:marTop w:val="0"/>
      <w:marBottom w:val="0"/>
      <w:divBdr>
        <w:top w:val="none" w:sz="0" w:space="0" w:color="auto"/>
        <w:left w:val="none" w:sz="0" w:space="0" w:color="auto"/>
        <w:bottom w:val="none" w:sz="0" w:space="0" w:color="auto"/>
        <w:right w:val="none" w:sz="0" w:space="0" w:color="auto"/>
      </w:divBdr>
      <w:divsChild>
        <w:div w:id="1561478960">
          <w:marLeft w:val="0"/>
          <w:marRight w:val="0"/>
          <w:marTop w:val="0"/>
          <w:marBottom w:val="0"/>
          <w:divBdr>
            <w:top w:val="none" w:sz="0" w:space="0" w:color="auto"/>
            <w:left w:val="none" w:sz="0" w:space="0" w:color="auto"/>
            <w:bottom w:val="none" w:sz="0" w:space="0" w:color="auto"/>
            <w:right w:val="none" w:sz="0" w:space="0" w:color="auto"/>
          </w:divBdr>
        </w:div>
      </w:divsChild>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1195484">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6499940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0146038">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305944">
      <w:bodyDiv w:val="1"/>
      <w:marLeft w:val="0"/>
      <w:marRight w:val="0"/>
      <w:marTop w:val="0"/>
      <w:marBottom w:val="0"/>
      <w:divBdr>
        <w:top w:val="none" w:sz="0" w:space="0" w:color="auto"/>
        <w:left w:val="none" w:sz="0" w:space="0" w:color="auto"/>
        <w:bottom w:val="none" w:sz="0" w:space="0" w:color="auto"/>
        <w:right w:val="none" w:sz="0" w:space="0" w:color="auto"/>
      </w:divBdr>
      <w:divsChild>
        <w:div w:id="2138987227">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337122">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460890">
      <w:bodyDiv w:val="1"/>
      <w:marLeft w:val="0"/>
      <w:marRight w:val="0"/>
      <w:marTop w:val="0"/>
      <w:marBottom w:val="0"/>
      <w:divBdr>
        <w:top w:val="none" w:sz="0" w:space="0" w:color="auto"/>
        <w:left w:val="none" w:sz="0" w:space="0" w:color="auto"/>
        <w:bottom w:val="none" w:sz="0" w:space="0" w:color="auto"/>
        <w:right w:val="none" w:sz="0" w:space="0" w:color="auto"/>
      </w:divBdr>
      <w:divsChild>
        <w:div w:id="1653363115">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2046874">
      <w:bodyDiv w:val="1"/>
      <w:marLeft w:val="0"/>
      <w:marRight w:val="0"/>
      <w:marTop w:val="0"/>
      <w:marBottom w:val="0"/>
      <w:divBdr>
        <w:top w:val="none" w:sz="0" w:space="0" w:color="auto"/>
        <w:left w:val="none" w:sz="0" w:space="0" w:color="auto"/>
        <w:bottom w:val="none" w:sz="0" w:space="0" w:color="auto"/>
        <w:right w:val="none" w:sz="0" w:space="0" w:color="auto"/>
      </w:divBdr>
      <w:divsChild>
        <w:div w:id="1186332854">
          <w:marLeft w:val="0"/>
          <w:marRight w:val="0"/>
          <w:marTop w:val="0"/>
          <w:marBottom w:val="0"/>
          <w:divBdr>
            <w:top w:val="none" w:sz="0" w:space="0" w:color="auto"/>
            <w:left w:val="none" w:sz="0" w:space="0" w:color="auto"/>
            <w:bottom w:val="none" w:sz="0" w:space="0" w:color="auto"/>
            <w:right w:val="none" w:sz="0" w:space="0" w:color="auto"/>
          </w:divBdr>
        </w:div>
      </w:divsChild>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2088975">
      <w:bodyDiv w:val="1"/>
      <w:marLeft w:val="0"/>
      <w:marRight w:val="0"/>
      <w:marTop w:val="0"/>
      <w:marBottom w:val="0"/>
      <w:divBdr>
        <w:top w:val="none" w:sz="0" w:space="0" w:color="auto"/>
        <w:left w:val="none" w:sz="0" w:space="0" w:color="auto"/>
        <w:bottom w:val="none" w:sz="0" w:space="0" w:color="auto"/>
        <w:right w:val="none" w:sz="0" w:space="0" w:color="auto"/>
      </w:divBdr>
      <w:divsChild>
        <w:div w:id="2032413180">
          <w:marLeft w:val="0"/>
          <w:marRight w:val="0"/>
          <w:marTop w:val="0"/>
          <w:marBottom w:val="0"/>
          <w:divBdr>
            <w:top w:val="none" w:sz="0" w:space="0" w:color="auto"/>
            <w:left w:val="none" w:sz="0" w:space="0" w:color="auto"/>
            <w:bottom w:val="none" w:sz="0" w:space="0" w:color="auto"/>
            <w:right w:val="none" w:sz="0" w:space="0" w:color="auto"/>
          </w:divBdr>
        </w:div>
      </w:divsChild>
    </w:div>
    <w:div w:id="1114904447">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32794844">
      <w:bodyDiv w:val="1"/>
      <w:marLeft w:val="0"/>
      <w:marRight w:val="0"/>
      <w:marTop w:val="0"/>
      <w:marBottom w:val="0"/>
      <w:divBdr>
        <w:top w:val="none" w:sz="0" w:space="0" w:color="auto"/>
        <w:left w:val="none" w:sz="0" w:space="0" w:color="auto"/>
        <w:bottom w:val="none" w:sz="0" w:space="0" w:color="auto"/>
        <w:right w:val="none" w:sz="0" w:space="0" w:color="auto"/>
      </w:divBdr>
      <w:divsChild>
        <w:div w:id="552892062">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7455913">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5760706">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30732700">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4443333">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2480583">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8832522">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69656178">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344192">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9645692">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49096143">
      <w:bodyDiv w:val="1"/>
      <w:marLeft w:val="0"/>
      <w:marRight w:val="0"/>
      <w:marTop w:val="0"/>
      <w:marBottom w:val="0"/>
      <w:divBdr>
        <w:top w:val="none" w:sz="0" w:space="0" w:color="auto"/>
        <w:left w:val="none" w:sz="0" w:space="0" w:color="auto"/>
        <w:bottom w:val="none" w:sz="0" w:space="0" w:color="auto"/>
        <w:right w:val="none" w:sz="0" w:space="0" w:color="auto"/>
      </w:divBdr>
      <w:divsChild>
        <w:div w:id="780762443">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487088">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17703130">
      <w:bodyDiv w:val="1"/>
      <w:marLeft w:val="0"/>
      <w:marRight w:val="0"/>
      <w:marTop w:val="0"/>
      <w:marBottom w:val="0"/>
      <w:divBdr>
        <w:top w:val="none" w:sz="0" w:space="0" w:color="auto"/>
        <w:left w:val="none" w:sz="0" w:space="0" w:color="auto"/>
        <w:bottom w:val="none" w:sz="0" w:space="0" w:color="auto"/>
        <w:right w:val="none" w:sz="0" w:space="0" w:color="auto"/>
      </w:divBdr>
      <w:divsChild>
        <w:div w:id="1567377674">
          <w:marLeft w:val="0"/>
          <w:marRight w:val="0"/>
          <w:marTop w:val="0"/>
          <w:marBottom w:val="0"/>
          <w:divBdr>
            <w:top w:val="none" w:sz="0" w:space="0" w:color="auto"/>
            <w:left w:val="none" w:sz="0" w:space="0" w:color="auto"/>
            <w:bottom w:val="none" w:sz="0" w:space="0" w:color="auto"/>
            <w:right w:val="none" w:sz="0" w:space="0" w:color="auto"/>
          </w:divBdr>
          <w:divsChild>
            <w:div w:id="1843010958">
              <w:marLeft w:val="0"/>
              <w:marRight w:val="0"/>
              <w:marTop w:val="0"/>
              <w:marBottom w:val="0"/>
              <w:divBdr>
                <w:top w:val="none" w:sz="0" w:space="0" w:color="auto"/>
                <w:left w:val="none" w:sz="0" w:space="0" w:color="auto"/>
                <w:bottom w:val="none" w:sz="0" w:space="0" w:color="auto"/>
                <w:right w:val="none" w:sz="0" w:space="0" w:color="auto"/>
              </w:divBdr>
              <w:divsChild>
                <w:div w:id="343899308">
                  <w:marLeft w:val="0"/>
                  <w:marRight w:val="0"/>
                  <w:marTop w:val="0"/>
                  <w:marBottom w:val="0"/>
                  <w:divBdr>
                    <w:top w:val="none" w:sz="0" w:space="0" w:color="auto"/>
                    <w:left w:val="none" w:sz="0" w:space="0" w:color="auto"/>
                    <w:bottom w:val="none" w:sz="0" w:space="0" w:color="auto"/>
                    <w:right w:val="none" w:sz="0" w:space="0" w:color="auto"/>
                  </w:divBdr>
                  <w:divsChild>
                    <w:div w:id="1576546088">
                      <w:marLeft w:val="0"/>
                      <w:marRight w:val="0"/>
                      <w:marTop w:val="0"/>
                      <w:marBottom w:val="0"/>
                      <w:divBdr>
                        <w:top w:val="none" w:sz="0" w:space="0" w:color="auto"/>
                        <w:left w:val="none" w:sz="0" w:space="0" w:color="auto"/>
                        <w:bottom w:val="none" w:sz="0" w:space="0" w:color="auto"/>
                        <w:right w:val="none" w:sz="0" w:space="0" w:color="auto"/>
                      </w:divBdr>
                      <w:divsChild>
                        <w:div w:id="309215913">
                          <w:marLeft w:val="0"/>
                          <w:marRight w:val="0"/>
                          <w:marTop w:val="0"/>
                          <w:marBottom w:val="0"/>
                          <w:divBdr>
                            <w:top w:val="none" w:sz="0" w:space="0" w:color="auto"/>
                            <w:left w:val="none" w:sz="0" w:space="0" w:color="auto"/>
                            <w:bottom w:val="none" w:sz="0" w:space="0" w:color="auto"/>
                            <w:right w:val="none" w:sz="0" w:space="0" w:color="auto"/>
                          </w:divBdr>
                          <w:divsChild>
                            <w:div w:id="94254468">
                              <w:marLeft w:val="0"/>
                              <w:marRight w:val="0"/>
                              <w:marTop w:val="0"/>
                              <w:marBottom w:val="0"/>
                              <w:divBdr>
                                <w:top w:val="none" w:sz="0" w:space="0" w:color="auto"/>
                                <w:left w:val="none" w:sz="0" w:space="0" w:color="auto"/>
                                <w:bottom w:val="none" w:sz="0" w:space="0" w:color="auto"/>
                                <w:right w:val="none" w:sz="0" w:space="0" w:color="auto"/>
                              </w:divBdr>
                              <w:divsChild>
                                <w:div w:id="956526136">
                                  <w:marLeft w:val="0"/>
                                  <w:marRight w:val="0"/>
                                  <w:marTop w:val="0"/>
                                  <w:marBottom w:val="0"/>
                                  <w:divBdr>
                                    <w:top w:val="none" w:sz="0" w:space="0" w:color="auto"/>
                                    <w:left w:val="none" w:sz="0" w:space="0" w:color="auto"/>
                                    <w:bottom w:val="none" w:sz="0" w:space="0" w:color="auto"/>
                                    <w:right w:val="none" w:sz="0" w:space="0" w:color="auto"/>
                                  </w:divBdr>
                                  <w:divsChild>
                                    <w:div w:id="662583154">
                                      <w:marLeft w:val="0"/>
                                      <w:marRight w:val="0"/>
                                      <w:marTop w:val="0"/>
                                      <w:marBottom w:val="0"/>
                                      <w:divBdr>
                                        <w:top w:val="none" w:sz="0" w:space="0" w:color="auto"/>
                                        <w:left w:val="none" w:sz="0" w:space="0" w:color="auto"/>
                                        <w:bottom w:val="none" w:sz="0" w:space="0" w:color="auto"/>
                                        <w:right w:val="none" w:sz="0" w:space="0" w:color="auto"/>
                                      </w:divBdr>
                                      <w:divsChild>
                                        <w:div w:id="1083719338">
                                          <w:marLeft w:val="0"/>
                                          <w:marRight w:val="0"/>
                                          <w:marTop w:val="0"/>
                                          <w:marBottom w:val="0"/>
                                          <w:divBdr>
                                            <w:top w:val="none" w:sz="0" w:space="0" w:color="auto"/>
                                            <w:left w:val="none" w:sz="0" w:space="0" w:color="auto"/>
                                            <w:bottom w:val="none" w:sz="0" w:space="0" w:color="auto"/>
                                            <w:right w:val="none" w:sz="0" w:space="0" w:color="auto"/>
                                          </w:divBdr>
                                          <w:divsChild>
                                            <w:div w:id="180978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2993883">
          <w:marLeft w:val="0"/>
          <w:marRight w:val="0"/>
          <w:marTop w:val="0"/>
          <w:marBottom w:val="0"/>
          <w:divBdr>
            <w:top w:val="none" w:sz="0" w:space="0" w:color="auto"/>
            <w:left w:val="none" w:sz="0" w:space="0" w:color="auto"/>
            <w:bottom w:val="none" w:sz="0" w:space="0" w:color="auto"/>
            <w:right w:val="none" w:sz="0" w:space="0" w:color="auto"/>
          </w:divBdr>
          <w:divsChild>
            <w:div w:id="1074087732">
              <w:marLeft w:val="0"/>
              <w:marRight w:val="0"/>
              <w:marTop w:val="0"/>
              <w:marBottom w:val="0"/>
              <w:divBdr>
                <w:top w:val="none" w:sz="0" w:space="0" w:color="auto"/>
                <w:left w:val="none" w:sz="0" w:space="0" w:color="auto"/>
                <w:bottom w:val="none" w:sz="0" w:space="0" w:color="auto"/>
                <w:right w:val="none" w:sz="0" w:space="0" w:color="auto"/>
              </w:divBdr>
              <w:divsChild>
                <w:div w:id="321085128">
                  <w:marLeft w:val="0"/>
                  <w:marRight w:val="0"/>
                  <w:marTop w:val="0"/>
                  <w:marBottom w:val="0"/>
                  <w:divBdr>
                    <w:top w:val="none" w:sz="0" w:space="0" w:color="auto"/>
                    <w:left w:val="none" w:sz="0" w:space="0" w:color="auto"/>
                    <w:bottom w:val="none" w:sz="0" w:space="0" w:color="auto"/>
                    <w:right w:val="none" w:sz="0" w:space="0" w:color="auto"/>
                  </w:divBdr>
                  <w:divsChild>
                    <w:div w:id="2145921978">
                      <w:marLeft w:val="0"/>
                      <w:marRight w:val="0"/>
                      <w:marTop w:val="0"/>
                      <w:marBottom w:val="0"/>
                      <w:divBdr>
                        <w:top w:val="none" w:sz="0" w:space="0" w:color="auto"/>
                        <w:left w:val="none" w:sz="0" w:space="0" w:color="auto"/>
                        <w:bottom w:val="none" w:sz="0" w:space="0" w:color="auto"/>
                        <w:right w:val="none" w:sz="0" w:space="0" w:color="auto"/>
                      </w:divBdr>
                      <w:divsChild>
                        <w:div w:id="943341265">
                          <w:marLeft w:val="0"/>
                          <w:marRight w:val="0"/>
                          <w:marTop w:val="0"/>
                          <w:marBottom w:val="0"/>
                          <w:divBdr>
                            <w:top w:val="none" w:sz="0" w:space="0" w:color="auto"/>
                            <w:left w:val="none" w:sz="0" w:space="0" w:color="auto"/>
                            <w:bottom w:val="none" w:sz="0" w:space="0" w:color="auto"/>
                            <w:right w:val="none" w:sz="0" w:space="0" w:color="auto"/>
                          </w:divBdr>
                          <w:divsChild>
                            <w:div w:id="1912960043">
                              <w:marLeft w:val="0"/>
                              <w:marRight w:val="0"/>
                              <w:marTop w:val="0"/>
                              <w:marBottom w:val="0"/>
                              <w:divBdr>
                                <w:top w:val="none" w:sz="0" w:space="0" w:color="auto"/>
                                <w:left w:val="none" w:sz="0" w:space="0" w:color="auto"/>
                                <w:bottom w:val="none" w:sz="0" w:space="0" w:color="auto"/>
                                <w:right w:val="none" w:sz="0" w:space="0" w:color="auto"/>
                              </w:divBdr>
                              <w:divsChild>
                                <w:div w:id="1188132875">
                                  <w:marLeft w:val="0"/>
                                  <w:marRight w:val="0"/>
                                  <w:marTop w:val="0"/>
                                  <w:marBottom w:val="0"/>
                                  <w:divBdr>
                                    <w:top w:val="none" w:sz="0" w:space="0" w:color="auto"/>
                                    <w:left w:val="none" w:sz="0" w:space="0" w:color="auto"/>
                                    <w:bottom w:val="none" w:sz="0" w:space="0" w:color="auto"/>
                                    <w:right w:val="none" w:sz="0" w:space="0" w:color="auto"/>
                                  </w:divBdr>
                                  <w:divsChild>
                                    <w:div w:id="863715364">
                                      <w:marLeft w:val="0"/>
                                      <w:marRight w:val="0"/>
                                      <w:marTop w:val="0"/>
                                      <w:marBottom w:val="0"/>
                                      <w:divBdr>
                                        <w:top w:val="none" w:sz="0" w:space="0" w:color="auto"/>
                                        <w:left w:val="none" w:sz="0" w:space="0" w:color="auto"/>
                                        <w:bottom w:val="none" w:sz="0" w:space="0" w:color="auto"/>
                                        <w:right w:val="none" w:sz="0" w:space="0" w:color="auto"/>
                                      </w:divBdr>
                                      <w:divsChild>
                                        <w:div w:id="590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8579619">
      <w:bodyDiv w:val="1"/>
      <w:marLeft w:val="0"/>
      <w:marRight w:val="0"/>
      <w:marTop w:val="0"/>
      <w:marBottom w:val="0"/>
      <w:divBdr>
        <w:top w:val="none" w:sz="0" w:space="0" w:color="auto"/>
        <w:left w:val="none" w:sz="0" w:space="0" w:color="auto"/>
        <w:bottom w:val="none" w:sz="0" w:space="0" w:color="auto"/>
        <w:right w:val="none" w:sz="0" w:space="0" w:color="auto"/>
      </w:divBdr>
      <w:divsChild>
        <w:div w:id="1070735238">
          <w:marLeft w:val="0"/>
          <w:marRight w:val="0"/>
          <w:marTop w:val="0"/>
          <w:marBottom w:val="0"/>
          <w:divBdr>
            <w:top w:val="none" w:sz="0" w:space="0" w:color="auto"/>
            <w:left w:val="none" w:sz="0" w:space="0" w:color="auto"/>
            <w:bottom w:val="none" w:sz="0" w:space="0" w:color="auto"/>
            <w:right w:val="none" w:sz="0" w:space="0" w:color="auto"/>
          </w:divBdr>
          <w:divsChild>
            <w:div w:id="169222768">
              <w:marLeft w:val="0"/>
              <w:marRight w:val="0"/>
              <w:marTop w:val="0"/>
              <w:marBottom w:val="0"/>
              <w:divBdr>
                <w:top w:val="none" w:sz="0" w:space="0" w:color="auto"/>
                <w:left w:val="none" w:sz="0" w:space="0" w:color="auto"/>
                <w:bottom w:val="none" w:sz="0" w:space="0" w:color="auto"/>
                <w:right w:val="none" w:sz="0" w:space="0" w:color="auto"/>
              </w:divBdr>
              <w:divsChild>
                <w:div w:id="1649626541">
                  <w:marLeft w:val="0"/>
                  <w:marRight w:val="0"/>
                  <w:marTop w:val="0"/>
                  <w:marBottom w:val="0"/>
                  <w:divBdr>
                    <w:top w:val="none" w:sz="0" w:space="0" w:color="auto"/>
                    <w:left w:val="none" w:sz="0" w:space="0" w:color="auto"/>
                    <w:bottom w:val="none" w:sz="0" w:space="0" w:color="auto"/>
                    <w:right w:val="none" w:sz="0" w:space="0" w:color="auto"/>
                  </w:divBdr>
                  <w:divsChild>
                    <w:div w:id="136608108">
                      <w:marLeft w:val="0"/>
                      <w:marRight w:val="0"/>
                      <w:marTop w:val="0"/>
                      <w:marBottom w:val="0"/>
                      <w:divBdr>
                        <w:top w:val="none" w:sz="0" w:space="0" w:color="auto"/>
                        <w:left w:val="none" w:sz="0" w:space="0" w:color="auto"/>
                        <w:bottom w:val="none" w:sz="0" w:space="0" w:color="auto"/>
                        <w:right w:val="none" w:sz="0" w:space="0" w:color="auto"/>
                      </w:divBdr>
                      <w:divsChild>
                        <w:div w:id="949046104">
                          <w:marLeft w:val="0"/>
                          <w:marRight w:val="0"/>
                          <w:marTop w:val="0"/>
                          <w:marBottom w:val="0"/>
                          <w:divBdr>
                            <w:top w:val="none" w:sz="0" w:space="0" w:color="auto"/>
                            <w:left w:val="none" w:sz="0" w:space="0" w:color="auto"/>
                            <w:bottom w:val="none" w:sz="0" w:space="0" w:color="auto"/>
                            <w:right w:val="none" w:sz="0" w:space="0" w:color="auto"/>
                          </w:divBdr>
                          <w:divsChild>
                            <w:div w:id="3887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033152">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9617039">
      <w:bodyDiv w:val="1"/>
      <w:marLeft w:val="0"/>
      <w:marRight w:val="0"/>
      <w:marTop w:val="0"/>
      <w:marBottom w:val="0"/>
      <w:divBdr>
        <w:top w:val="none" w:sz="0" w:space="0" w:color="auto"/>
        <w:left w:val="none" w:sz="0" w:space="0" w:color="auto"/>
        <w:bottom w:val="none" w:sz="0" w:space="0" w:color="auto"/>
        <w:right w:val="none" w:sz="0" w:space="0" w:color="auto"/>
      </w:divBdr>
      <w:divsChild>
        <w:div w:id="1146359191">
          <w:marLeft w:val="0"/>
          <w:marRight w:val="0"/>
          <w:marTop w:val="0"/>
          <w:marBottom w:val="0"/>
          <w:divBdr>
            <w:top w:val="none" w:sz="0" w:space="0" w:color="auto"/>
            <w:left w:val="none" w:sz="0" w:space="0" w:color="auto"/>
            <w:bottom w:val="none" w:sz="0" w:space="0" w:color="auto"/>
            <w:right w:val="none" w:sz="0" w:space="0" w:color="auto"/>
          </w:divBdr>
        </w:div>
      </w:divsChild>
    </w:div>
    <w:div w:id="1770393307">
      <w:bodyDiv w:val="1"/>
      <w:marLeft w:val="0"/>
      <w:marRight w:val="0"/>
      <w:marTop w:val="0"/>
      <w:marBottom w:val="0"/>
      <w:divBdr>
        <w:top w:val="none" w:sz="0" w:space="0" w:color="auto"/>
        <w:left w:val="none" w:sz="0" w:space="0" w:color="auto"/>
        <w:bottom w:val="none" w:sz="0" w:space="0" w:color="auto"/>
        <w:right w:val="none" w:sz="0" w:space="0" w:color="auto"/>
      </w:divBdr>
      <w:divsChild>
        <w:div w:id="226035168">
          <w:marLeft w:val="0"/>
          <w:marRight w:val="0"/>
          <w:marTop w:val="0"/>
          <w:marBottom w:val="0"/>
          <w:divBdr>
            <w:top w:val="none" w:sz="0" w:space="0" w:color="auto"/>
            <w:left w:val="none" w:sz="0" w:space="0" w:color="auto"/>
            <w:bottom w:val="none" w:sz="0" w:space="0" w:color="auto"/>
            <w:right w:val="none" w:sz="0" w:space="0" w:color="auto"/>
          </w:divBdr>
          <w:divsChild>
            <w:div w:id="558201294">
              <w:marLeft w:val="0"/>
              <w:marRight w:val="0"/>
              <w:marTop w:val="0"/>
              <w:marBottom w:val="0"/>
              <w:divBdr>
                <w:top w:val="none" w:sz="0" w:space="0" w:color="auto"/>
                <w:left w:val="none" w:sz="0" w:space="0" w:color="auto"/>
                <w:bottom w:val="none" w:sz="0" w:space="0" w:color="auto"/>
                <w:right w:val="none" w:sz="0" w:space="0" w:color="auto"/>
              </w:divBdr>
              <w:divsChild>
                <w:div w:id="59327941">
                  <w:marLeft w:val="0"/>
                  <w:marRight w:val="0"/>
                  <w:marTop w:val="0"/>
                  <w:marBottom w:val="0"/>
                  <w:divBdr>
                    <w:top w:val="none" w:sz="0" w:space="0" w:color="auto"/>
                    <w:left w:val="none" w:sz="0" w:space="0" w:color="auto"/>
                    <w:bottom w:val="none" w:sz="0" w:space="0" w:color="auto"/>
                    <w:right w:val="none" w:sz="0" w:space="0" w:color="auto"/>
                  </w:divBdr>
                  <w:divsChild>
                    <w:div w:id="252787062">
                      <w:marLeft w:val="0"/>
                      <w:marRight w:val="0"/>
                      <w:marTop w:val="0"/>
                      <w:marBottom w:val="0"/>
                      <w:divBdr>
                        <w:top w:val="none" w:sz="0" w:space="0" w:color="auto"/>
                        <w:left w:val="none" w:sz="0" w:space="0" w:color="auto"/>
                        <w:bottom w:val="none" w:sz="0" w:space="0" w:color="auto"/>
                        <w:right w:val="none" w:sz="0" w:space="0" w:color="auto"/>
                      </w:divBdr>
                      <w:divsChild>
                        <w:div w:id="182256097">
                          <w:marLeft w:val="0"/>
                          <w:marRight w:val="0"/>
                          <w:marTop w:val="0"/>
                          <w:marBottom w:val="0"/>
                          <w:divBdr>
                            <w:top w:val="none" w:sz="0" w:space="0" w:color="auto"/>
                            <w:left w:val="none" w:sz="0" w:space="0" w:color="auto"/>
                            <w:bottom w:val="none" w:sz="0" w:space="0" w:color="auto"/>
                            <w:right w:val="none" w:sz="0" w:space="0" w:color="auto"/>
                          </w:divBdr>
                          <w:divsChild>
                            <w:div w:id="153310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4541502">
      <w:bodyDiv w:val="1"/>
      <w:marLeft w:val="0"/>
      <w:marRight w:val="0"/>
      <w:marTop w:val="0"/>
      <w:marBottom w:val="0"/>
      <w:divBdr>
        <w:top w:val="none" w:sz="0" w:space="0" w:color="auto"/>
        <w:left w:val="none" w:sz="0" w:space="0" w:color="auto"/>
        <w:bottom w:val="none" w:sz="0" w:space="0" w:color="auto"/>
        <w:right w:val="none" w:sz="0" w:space="0" w:color="auto"/>
      </w:divBdr>
      <w:divsChild>
        <w:div w:id="490945783">
          <w:marLeft w:val="0"/>
          <w:marRight w:val="0"/>
          <w:marTop w:val="0"/>
          <w:marBottom w:val="0"/>
          <w:divBdr>
            <w:top w:val="none" w:sz="0" w:space="0" w:color="auto"/>
            <w:left w:val="none" w:sz="0" w:space="0" w:color="auto"/>
            <w:bottom w:val="none" w:sz="0" w:space="0" w:color="auto"/>
            <w:right w:val="none" w:sz="0" w:space="0" w:color="auto"/>
          </w:divBdr>
          <w:divsChild>
            <w:div w:id="1252853538">
              <w:marLeft w:val="0"/>
              <w:marRight w:val="0"/>
              <w:marTop w:val="0"/>
              <w:marBottom w:val="0"/>
              <w:divBdr>
                <w:top w:val="none" w:sz="0" w:space="0" w:color="auto"/>
                <w:left w:val="none" w:sz="0" w:space="0" w:color="auto"/>
                <w:bottom w:val="none" w:sz="0" w:space="0" w:color="auto"/>
                <w:right w:val="none" w:sz="0" w:space="0" w:color="auto"/>
              </w:divBdr>
              <w:divsChild>
                <w:div w:id="1912426750">
                  <w:marLeft w:val="0"/>
                  <w:marRight w:val="0"/>
                  <w:marTop w:val="0"/>
                  <w:marBottom w:val="0"/>
                  <w:divBdr>
                    <w:top w:val="none" w:sz="0" w:space="0" w:color="auto"/>
                    <w:left w:val="none" w:sz="0" w:space="0" w:color="auto"/>
                    <w:bottom w:val="none" w:sz="0" w:space="0" w:color="auto"/>
                    <w:right w:val="none" w:sz="0" w:space="0" w:color="auto"/>
                  </w:divBdr>
                  <w:divsChild>
                    <w:div w:id="600379573">
                      <w:marLeft w:val="0"/>
                      <w:marRight w:val="0"/>
                      <w:marTop w:val="0"/>
                      <w:marBottom w:val="0"/>
                      <w:divBdr>
                        <w:top w:val="none" w:sz="0" w:space="0" w:color="auto"/>
                        <w:left w:val="none" w:sz="0" w:space="0" w:color="auto"/>
                        <w:bottom w:val="none" w:sz="0" w:space="0" w:color="auto"/>
                        <w:right w:val="none" w:sz="0" w:space="0" w:color="auto"/>
                      </w:divBdr>
                      <w:divsChild>
                        <w:div w:id="1684279782">
                          <w:marLeft w:val="0"/>
                          <w:marRight w:val="0"/>
                          <w:marTop w:val="0"/>
                          <w:marBottom w:val="0"/>
                          <w:divBdr>
                            <w:top w:val="none" w:sz="0" w:space="0" w:color="auto"/>
                            <w:left w:val="none" w:sz="0" w:space="0" w:color="auto"/>
                            <w:bottom w:val="none" w:sz="0" w:space="0" w:color="auto"/>
                            <w:right w:val="none" w:sz="0" w:space="0" w:color="auto"/>
                          </w:divBdr>
                          <w:divsChild>
                            <w:div w:id="104262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9767187">
      <w:bodyDiv w:val="1"/>
      <w:marLeft w:val="0"/>
      <w:marRight w:val="0"/>
      <w:marTop w:val="0"/>
      <w:marBottom w:val="0"/>
      <w:divBdr>
        <w:top w:val="none" w:sz="0" w:space="0" w:color="auto"/>
        <w:left w:val="none" w:sz="0" w:space="0" w:color="auto"/>
        <w:bottom w:val="none" w:sz="0" w:space="0" w:color="auto"/>
        <w:right w:val="none" w:sz="0" w:space="0" w:color="auto"/>
      </w:divBdr>
    </w:div>
    <w:div w:id="2073460389">
      <w:bodyDiv w:val="1"/>
      <w:marLeft w:val="0"/>
      <w:marRight w:val="0"/>
      <w:marTop w:val="0"/>
      <w:marBottom w:val="0"/>
      <w:divBdr>
        <w:top w:val="none" w:sz="0" w:space="0" w:color="auto"/>
        <w:left w:val="none" w:sz="0" w:space="0" w:color="auto"/>
        <w:bottom w:val="none" w:sz="0" w:space="0" w:color="auto"/>
        <w:right w:val="none" w:sz="0" w:space="0" w:color="auto"/>
      </w:divBdr>
      <w:divsChild>
        <w:div w:id="562915192">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8039625">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6911D5-0E3B-42D5-B991-FF2A17465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12933</Words>
  <Characters>73720</Characters>
  <Application>Microsoft Office Word</Application>
  <DocSecurity>0</DocSecurity>
  <Lines>614</Lines>
  <Paragraphs>172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86481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2026-03-01T23:44:00Z</cp:lastPrinted>
  <dcterms:created xsi:type="dcterms:W3CDTF">2026-03-01T23:46:00Z</dcterms:created>
  <dcterms:modified xsi:type="dcterms:W3CDTF">2026-03-01T23:46:00Z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