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C7BF9" w14:textId="77777777" w:rsidR="006A2E70" w:rsidRPr="00C75E7C" w:rsidRDefault="006A2E70" w:rsidP="006A2E70">
      <w:pPr>
        <w:bidi/>
        <w:spacing w:line="240" w:lineRule="auto"/>
        <w:ind w:hanging="283"/>
        <w:jc w:val="both"/>
        <w:rPr>
          <w:rFonts w:ascii="ae_Cortoba" w:hAnsi="ae_Cortoba" w:cs="ae_Cortoba"/>
          <w:b/>
          <w:bCs/>
          <w:color w:val="8496B0" w:themeColor="text2" w:themeTint="99"/>
          <w:sz w:val="40"/>
          <w:szCs w:val="40"/>
          <w:rtl/>
        </w:rPr>
      </w:pPr>
      <w:r w:rsidRPr="00C75E7C">
        <w:rPr>
          <w:rFonts w:ascii="Times New Roman"/>
          <w:b/>
          <w:noProof/>
          <w:sz w:val="20"/>
        </w:rPr>
        <w:drawing>
          <wp:anchor distT="0" distB="0" distL="114300" distR="114300" simplePos="0" relativeHeight="251659264" behindDoc="0" locked="0" layoutInCell="1" allowOverlap="1" wp14:anchorId="2FB7C5DF" wp14:editId="382EBE8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descr="صورة تحتوي على الخط, لقطة شاشة, نص,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صورة تحتوي على الخط, لقطة شاشة, نص, الرسومات&#10;&#10;قد يكون المحتوى الذي تم إنشاؤه بواسطة الذكاء الاصطناعي غير صحيح."/>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7ACC2AC" w14:textId="77777777" w:rsidR="006A2E70" w:rsidRPr="00C75E7C" w:rsidRDefault="006A2E70" w:rsidP="006A2E70">
      <w:pPr>
        <w:bidi/>
        <w:spacing w:line="240" w:lineRule="auto"/>
        <w:jc w:val="both"/>
        <w:rPr>
          <w:rFonts w:ascii="Calibri" w:hAnsi="Calibri" w:cs="Calibri"/>
          <w:b/>
          <w:bCs/>
          <w:color w:val="8496B0" w:themeColor="text2" w:themeTint="99"/>
          <w:sz w:val="40"/>
          <w:szCs w:val="40"/>
          <w:rtl/>
        </w:rPr>
      </w:pPr>
    </w:p>
    <w:p w14:paraId="09B4F157" w14:textId="77777777" w:rsidR="006A2E70" w:rsidRPr="00C75E7C" w:rsidRDefault="006A2E70" w:rsidP="006A2E70">
      <w:pPr>
        <w:bidi/>
        <w:spacing w:line="276" w:lineRule="auto"/>
        <w:jc w:val="both"/>
        <w:rPr>
          <w:rFonts w:cs="Arial"/>
          <w:sz w:val="28"/>
          <w:szCs w:val="28"/>
          <w:rtl/>
        </w:rPr>
      </w:pPr>
    </w:p>
    <w:p w14:paraId="7D9B5A90" w14:textId="77777777" w:rsidR="006A2E70" w:rsidRPr="00C75E7C" w:rsidRDefault="006A2E70" w:rsidP="006A2E70">
      <w:pPr>
        <w:bidi/>
        <w:spacing w:line="276" w:lineRule="auto"/>
        <w:jc w:val="both"/>
        <w:rPr>
          <w:rFonts w:cs="Arial"/>
          <w:sz w:val="28"/>
          <w:szCs w:val="28"/>
          <w:rtl/>
        </w:rPr>
      </w:pPr>
    </w:p>
    <w:p w14:paraId="4BEE3CD9" w14:textId="77777777" w:rsidR="006A2E70" w:rsidRDefault="006A2E70" w:rsidP="006A2E70">
      <w:pPr>
        <w:bidi/>
        <w:rPr>
          <w:rFonts w:cs="Arial"/>
          <w:sz w:val="28"/>
          <w:szCs w:val="28"/>
          <w:rtl/>
        </w:rPr>
      </w:pPr>
    </w:p>
    <w:p w14:paraId="0DA13876" w14:textId="77777777" w:rsidR="006A2E70" w:rsidRDefault="006A2E70" w:rsidP="006A2E70">
      <w:pPr>
        <w:bidi/>
        <w:jc w:val="center"/>
        <w:rPr>
          <w:rFonts w:cs="Arial"/>
          <w:b/>
          <w:bCs/>
        </w:rPr>
      </w:pPr>
    </w:p>
    <w:p w14:paraId="7CFFC25B" w14:textId="77777777" w:rsidR="006A2E70" w:rsidRPr="00856EF4" w:rsidRDefault="006A2E70" w:rsidP="006A2E70">
      <w:pPr>
        <w:bidi/>
        <w:jc w:val="center"/>
        <w:rPr>
          <w:rFonts w:ascii="Arial" w:hAnsi="Arial" w:cs="Monotype Koufi"/>
          <w:b/>
          <w:bCs/>
          <w:sz w:val="44"/>
          <w:szCs w:val="44"/>
          <w:rtl/>
        </w:rPr>
      </w:pPr>
      <w:r w:rsidRPr="00856EF4">
        <w:rPr>
          <w:rFonts w:ascii="Arial" w:hAnsi="Arial" w:cs="Monotype Koufi" w:hint="cs"/>
          <w:b/>
          <w:bCs/>
          <w:sz w:val="44"/>
          <w:szCs w:val="44"/>
          <w:rtl/>
        </w:rPr>
        <w:t>بحث</w:t>
      </w:r>
      <w:r w:rsidRPr="00856EF4">
        <w:rPr>
          <w:rFonts w:ascii="Arial" w:hAnsi="Arial" w:cs="Monotype Koufi"/>
          <w:b/>
          <w:bCs/>
          <w:sz w:val="44"/>
          <w:szCs w:val="44"/>
        </w:rPr>
        <w:t xml:space="preserve"> </w:t>
      </w:r>
      <w:r w:rsidRPr="00856EF4">
        <w:rPr>
          <w:rFonts w:ascii="Arial" w:hAnsi="Arial" w:cs="Arial" w:hint="cs"/>
          <w:b/>
          <w:bCs/>
          <w:sz w:val="44"/>
          <w:szCs w:val="44"/>
          <w:rtl/>
        </w:rPr>
        <w:t>للتسجيل لدرجة</w:t>
      </w:r>
      <w:r>
        <w:rPr>
          <w:rFonts w:ascii="Arial" w:hAnsi="Arial" w:cs="Arial" w:hint="cs"/>
          <w:b/>
          <w:bCs/>
          <w:sz w:val="44"/>
          <w:szCs w:val="44"/>
          <w:rtl/>
        </w:rPr>
        <w:t xml:space="preserve"> الدكتوراة</w:t>
      </w:r>
    </w:p>
    <w:p w14:paraId="7AD025CD" w14:textId="77777777" w:rsidR="006A2E70" w:rsidRPr="00C75E7C" w:rsidRDefault="006A2E70" w:rsidP="006A2E70">
      <w:pPr>
        <w:bidi/>
        <w:spacing w:line="276" w:lineRule="auto"/>
        <w:jc w:val="center"/>
        <w:rPr>
          <w:rFonts w:cs="Arial"/>
          <w:b/>
          <w:bCs/>
        </w:rPr>
      </w:pPr>
    </w:p>
    <w:p w14:paraId="1E471659" w14:textId="77777777" w:rsidR="006A2E70" w:rsidRPr="00C75E7C" w:rsidRDefault="006A2E70" w:rsidP="006A2E70">
      <w:pPr>
        <w:bidi/>
        <w:spacing w:before="600" w:line="276" w:lineRule="auto"/>
        <w:jc w:val="center"/>
        <w:rPr>
          <w:rFonts w:ascii="Sakkal Majalla" w:hAnsi="Sakkal Majalla" w:cs="Sakkal Majalla"/>
          <w:b/>
          <w:bCs/>
          <w:sz w:val="40"/>
          <w:szCs w:val="40"/>
        </w:rPr>
      </w:pPr>
      <w:r w:rsidRPr="00C75E7C">
        <w:rPr>
          <w:rFonts w:ascii="Sakkal Majalla" w:hAnsi="Sakkal Majalla" w:cs="Sakkal Majalla" w:hint="cs"/>
          <w:b/>
          <w:bCs/>
          <w:sz w:val="40"/>
          <w:szCs w:val="40"/>
          <w:rtl/>
        </w:rPr>
        <w:t>أثر تبني تقنيات الذكاء الاصطناعي على فاعلية القرارات الاستراتيجية لدى</w:t>
      </w:r>
      <w:r w:rsidRPr="00C75E7C">
        <w:rPr>
          <w:rFonts w:ascii="Sakkal Majalla" w:hAnsi="Sakkal Majalla" w:cs="Sakkal Majalla" w:hint="cs"/>
          <w:b/>
          <w:bCs/>
          <w:sz w:val="40"/>
          <w:szCs w:val="40"/>
        </w:rPr>
        <w:t xml:space="preserve"> </w:t>
      </w:r>
      <w:r w:rsidRPr="00C75E7C">
        <w:rPr>
          <w:rFonts w:ascii="Sakkal Majalla" w:hAnsi="Sakkal Majalla" w:cs="Sakkal Majalla" w:hint="cs"/>
          <w:b/>
          <w:bCs/>
          <w:sz w:val="40"/>
          <w:szCs w:val="40"/>
          <w:rtl/>
        </w:rPr>
        <w:t>التنفيذيين في شركات الأغذية الكبرى في المملكة في ضوء رؤية 2030</w:t>
      </w:r>
    </w:p>
    <w:p w14:paraId="283104F6" w14:textId="77777777" w:rsidR="006A2E70" w:rsidRPr="00C75E7C" w:rsidRDefault="006A2E70" w:rsidP="006A2E70">
      <w:pPr>
        <w:bidi/>
        <w:spacing w:before="600" w:line="276" w:lineRule="auto"/>
        <w:jc w:val="center"/>
        <w:rPr>
          <w:rFonts w:ascii="Sakkal Majalla" w:hAnsi="Sakkal Majalla" w:cs="Sakkal Majalla"/>
          <w:b/>
          <w:bCs/>
          <w:sz w:val="36"/>
          <w:szCs w:val="36"/>
        </w:rPr>
      </w:pPr>
      <w:r w:rsidRPr="00C75E7C">
        <w:rPr>
          <w:rFonts w:ascii="Sakkal Majalla" w:hAnsi="Sakkal Majalla" w:cs="Sakkal Majalla"/>
          <w:b/>
          <w:bCs/>
          <w:sz w:val="36"/>
          <w:szCs w:val="36"/>
        </w:rPr>
        <w:t xml:space="preserve">The impact of adopting artificial intelligence technologies on the effectiveness of strategic decisions among executives in major food companies in the Kingdom </w:t>
      </w:r>
      <w:proofErr w:type="gramStart"/>
      <w:r w:rsidRPr="00C75E7C">
        <w:rPr>
          <w:rFonts w:ascii="Sakkal Majalla" w:hAnsi="Sakkal Majalla" w:cs="Sakkal Majalla"/>
          <w:b/>
          <w:bCs/>
          <w:sz w:val="36"/>
          <w:szCs w:val="36"/>
        </w:rPr>
        <w:t>in light of</w:t>
      </w:r>
      <w:proofErr w:type="gramEnd"/>
      <w:r w:rsidRPr="00C75E7C">
        <w:rPr>
          <w:rFonts w:ascii="Sakkal Majalla" w:hAnsi="Sakkal Majalla" w:cs="Sakkal Majalla"/>
          <w:b/>
          <w:bCs/>
          <w:sz w:val="36"/>
          <w:szCs w:val="36"/>
        </w:rPr>
        <w:t xml:space="preserve"> Vision 2030</w:t>
      </w:r>
      <w:r w:rsidRPr="00C75E7C">
        <w:rPr>
          <w:rFonts w:ascii="Sakkal Majalla" w:hAnsi="Sakkal Majalla" w:cs="Sakkal Majalla"/>
          <w:b/>
          <w:bCs/>
          <w:sz w:val="36"/>
          <w:szCs w:val="36"/>
          <w:rtl/>
        </w:rPr>
        <w:t>.</w:t>
      </w:r>
    </w:p>
    <w:p w14:paraId="7B9826C8" w14:textId="77777777" w:rsidR="006A2E70" w:rsidRPr="00C75E7C" w:rsidRDefault="006A2E70" w:rsidP="006A2E70">
      <w:pPr>
        <w:bidi/>
        <w:spacing w:line="276" w:lineRule="auto"/>
        <w:jc w:val="center"/>
        <w:rPr>
          <w:rFonts w:ascii="Simplified Arabic" w:hAnsi="Simplified Arabic" w:cs="Simplified Arabic"/>
          <w:b/>
          <w:bCs/>
          <w:sz w:val="32"/>
          <w:szCs w:val="32"/>
          <w:rtl/>
        </w:rPr>
      </w:pPr>
      <w:r w:rsidRPr="00C75E7C">
        <w:rPr>
          <w:rFonts w:ascii="Simplified Arabic" w:hAnsi="Simplified Arabic" w:cs="Simplified Arabic"/>
          <w:b/>
          <w:bCs/>
          <w:sz w:val="32"/>
          <w:szCs w:val="32"/>
          <w:rtl/>
        </w:rPr>
        <w:t>اعداد</w:t>
      </w:r>
    </w:p>
    <w:p w14:paraId="1714C98F" w14:textId="77777777" w:rsidR="006A2E70" w:rsidRPr="008F7B21" w:rsidRDefault="006A2E70" w:rsidP="006A2E70">
      <w:pPr>
        <w:bidi/>
        <w:spacing w:line="276" w:lineRule="auto"/>
        <w:jc w:val="center"/>
        <w:rPr>
          <w:rFonts w:ascii="Simplified Arabic" w:hAnsi="Simplified Arabic" w:cs="Simplified Arabic"/>
          <w:b/>
          <w:bCs/>
          <w:sz w:val="32"/>
          <w:szCs w:val="32"/>
          <w:rtl/>
        </w:rPr>
      </w:pPr>
      <w:r w:rsidRPr="008F7B21">
        <w:rPr>
          <w:rFonts w:ascii="Simplified Arabic" w:hAnsi="Simplified Arabic" w:cs="Simplified Arabic"/>
          <w:b/>
          <w:bCs/>
          <w:sz w:val="32"/>
          <w:szCs w:val="32"/>
          <w:rtl/>
        </w:rPr>
        <w:t xml:space="preserve">علي حسن الشهري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w:t>
      </w:r>
      <w:r w:rsidRPr="008F7B21">
        <w:rPr>
          <w:rFonts w:ascii="Simplified Arabic" w:hAnsi="Simplified Arabic" w:cs="Simplified Arabic"/>
          <w:b/>
          <w:bCs/>
          <w:sz w:val="32"/>
          <w:szCs w:val="32"/>
          <w:rtl/>
        </w:rPr>
        <w:t>232001355</w:t>
      </w:r>
    </w:p>
    <w:p w14:paraId="13853304" w14:textId="77777777" w:rsidR="006A2E70" w:rsidRDefault="006A2E70" w:rsidP="006A2E70">
      <w:pPr>
        <w:bidi/>
        <w:spacing w:line="276"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اشراف / د. مضر علي </w:t>
      </w:r>
    </w:p>
    <w:p w14:paraId="7802DF8A" w14:textId="77777777" w:rsidR="006A2E70" w:rsidRPr="00C75E7C" w:rsidRDefault="006A2E70" w:rsidP="006A2E70">
      <w:pPr>
        <w:bidi/>
        <w:spacing w:line="276" w:lineRule="auto"/>
        <w:jc w:val="center"/>
        <w:rPr>
          <w:rFonts w:ascii="Sakkal Majalla" w:hAnsi="Sakkal Majalla" w:cs="Sakkal Majalla"/>
          <w:b/>
          <w:bCs/>
          <w:sz w:val="36"/>
          <w:szCs w:val="36"/>
        </w:rPr>
      </w:pPr>
      <w:r w:rsidRPr="00C75E7C">
        <w:rPr>
          <w:rFonts w:ascii="Sakkal Majalla" w:hAnsi="Sakkal Majalla" w:cs="Sakkal Majalla" w:hint="cs"/>
          <w:b/>
          <w:bCs/>
          <w:sz w:val="36"/>
          <w:szCs w:val="36"/>
          <w:rtl/>
        </w:rPr>
        <w:t xml:space="preserve">رسالة مقدمة لجامعة </w:t>
      </w:r>
      <w:proofErr w:type="spellStart"/>
      <w:r w:rsidRPr="00C75E7C">
        <w:rPr>
          <w:rFonts w:ascii="Sakkal Majalla" w:hAnsi="Sakkal Majalla" w:cs="Sakkal Majalla" w:hint="cs"/>
          <w:b/>
          <w:bCs/>
          <w:sz w:val="36"/>
          <w:szCs w:val="36"/>
          <w:rtl/>
        </w:rPr>
        <w:t>ميدأوشن</w:t>
      </w:r>
      <w:proofErr w:type="spellEnd"/>
      <w:r w:rsidRPr="00C75E7C">
        <w:rPr>
          <w:rFonts w:ascii="Sakkal Majalla" w:hAnsi="Sakkal Majalla" w:cs="Sakkal Majalla" w:hint="cs"/>
          <w:b/>
          <w:bCs/>
          <w:sz w:val="36"/>
          <w:szCs w:val="36"/>
          <w:rtl/>
        </w:rPr>
        <w:t xml:space="preserve"> لنيل درجة الدكتوراه في إدارة الأعمال</w:t>
      </w:r>
    </w:p>
    <w:p w14:paraId="2146AF17" w14:textId="04C899F7" w:rsidR="006A2E70" w:rsidRPr="00C75E7C" w:rsidRDefault="006A2E70" w:rsidP="006A2E70">
      <w:pPr>
        <w:bidi/>
        <w:spacing w:line="276" w:lineRule="auto"/>
        <w:jc w:val="center"/>
        <w:rPr>
          <w:rFonts w:ascii="Calibri" w:hAnsi="Calibri" w:cs="Calibri"/>
          <w:b/>
          <w:bCs/>
          <w:sz w:val="28"/>
          <w:szCs w:val="28"/>
          <w:rtl/>
          <w:lang w:bidi="ar-EG"/>
        </w:rPr>
        <w:sectPr w:rsidR="006A2E70" w:rsidRPr="00C75E7C" w:rsidSect="006A2E70">
          <w:footerReference w:type="default" r:id="rId8"/>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C75E7C">
        <w:rPr>
          <w:rFonts w:ascii="Calibri" w:hAnsi="Calibri" w:cs="Calibri" w:hint="cs"/>
          <w:b/>
          <w:bCs/>
          <w:sz w:val="28"/>
          <w:szCs w:val="28"/>
          <w:rtl/>
        </w:rPr>
        <w:t>144</w:t>
      </w:r>
      <w:r>
        <w:rPr>
          <w:rFonts w:ascii="Calibri" w:hAnsi="Calibri" w:cs="Calibri" w:hint="cs"/>
          <w:b/>
          <w:bCs/>
          <w:sz w:val="28"/>
          <w:szCs w:val="28"/>
          <w:rtl/>
        </w:rPr>
        <w:t>7</w:t>
      </w:r>
      <w:r w:rsidRPr="00C75E7C">
        <w:rPr>
          <w:rFonts w:ascii="Calibri" w:hAnsi="Calibri" w:cs="Calibri" w:hint="cs"/>
          <w:b/>
          <w:bCs/>
          <w:sz w:val="28"/>
          <w:szCs w:val="28"/>
          <w:rtl/>
        </w:rPr>
        <w:t>ه - 202</w:t>
      </w:r>
      <w:r>
        <w:rPr>
          <w:rFonts w:ascii="Calibri" w:hAnsi="Calibri" w:cs="Calibri" w:hint="cs"/>
          <w:b/>
          <w:bCs/>
          <w:sz w:val="28"/>
          <w:szCs w:val="28"/>
          <w:rtl/>
        </w:rPr>
        <w:t>6</w:t>
      </w:r>
      <w:r w:rsidRPr="00C75E7C">
        <w:rPr>
          <w:rFonts w:ascii="Calibri" w:hAnsi="Calibri" w:cs="Calibri" w:hint="cs"/>
          <w:b/>
          <w:bCs/>
          <w:sz w:val="28"/>
          <w:szCs w:val="28"/>
          <w:rtl/>
        </w:rPr>
        <w:t>م</w:t>
      </w:r>
    </w:p>
    <w:p w14:paraId="47C327D3" w14:textId="77777777" w:rsidR="006A2E70" w:rsidRDefault="006A2E70" w:rsidP="006A2E70">
      <w:pPr>
        <w:bidi/>
        <w:jc w:val="center"/>
        <w:rPr>
          <w:rFonts w:asciiTheme="majorBidi" w:hAnsiTheme="majorBidi" w:cstheme="majorBidi"/>
          <w:b/>
          <w:bCs/>
          <w:sz w:val="28"/>
          <w:szCs w:val="28"/>
          <w:rtl/>
          <w:lang w:bidi="ar-EG"/>
        </w:rPr>
      </w:pPr>
    </w:p>
    <w:p w14:paraId="1B2CD2A7" w14:textId="77777777" w:rsidR="006A2E70" w:rsidRDefault="006A2E70" w:rsidP="006A2E70">
      <w:pPr>
        <w:bidi/>
        <w:jc w:val="center"/>
        <w:rPr>
          <w:rFonts w:asciiTheme="majorBidi" w:hAnsiTheme="majorBidi" w:cstheme="majorBidi"/>
          <w:b/>
          <w:bCs/>
          <w:sz w:val="28"/>
          <w:szCs w:val="28"/>
          <w:rtl/>
          <w:lang w:bidi="ar-EG"/>
        </w:rPr>
      </w:pPr>
    </w:p>
    <w:p w14:paraId="010C056E" w14:textId="77777777" w:rsidR="00AF505F" w:rsidRPr="00AF505F" w:rsidRDefault="00AF505F" w:rsidP="00AF505F">
      <w:pPr>
        <w:bidi/>
        <w:jc w:val="center"/>
        <w:rPr>
          <w:rFonts w:asciiTheme="majorBidi" w:hAnsiTheme="majorBidi" w:cstheme="majorBidi"/>
          <w:b/>
          <w:bCs/>
          <w:sz w:val="40"/>
          <w:szCs w:val="40"/>
          <w:rtl/>
          <w:lang w:bidi="ar-EG"/>
        </w:rPr>
      </w:pPr>
      <w:r w:rsidRPr="00AF505F">
        <w:rPr>
          <w:rFonts w:asciiTheme="majorBidi" w:hAnsiTheme="majorBidi" w:cstheme="majorBidi"/>
          <w:b/>
          <w:bCs/>
          <w:sz w:val="40"/>
          <w:szCs w:val="40"/>
          <w:rtl/>
          <w:lang w:bidi="ar-EG"/>
        </w:rPr>
        <w:t>الفصل الثاني</w:t>
      </w:r>
    </w:p>
    <w:p w14:paraId="4538F3D9" w14:textId="77777777" w:rsidR="00AF505F" w:rsidRPr="00AF505F" w:rsidRDefault="00AF505F" w:rsidP="00AF505F">
      <w:pPr>
        <w:bidi/>
        <w:jc w:val="center"/>
        <w:rPr>
          <w:rFonts w:asciiTheme="majorBidi" w:hAnsiTheme="majorBidi" w:cstheme="majorBidi"/>
          <w:b/>
          <w:bCs/>
          <w:sz w:val="40"/>
          <w:szCs w:val="40"/>
          <w:rtl/>
          <w:lang w:bidi="ar-EG"/>
        </w:rPr>
      </w:pPr>
      <w:r w:rsidRPr="00AF505F">
        <w:rPr>
          <w:rFonts w:asciiTheme="majorBidi" w:hAnsiTheme="majorBidi" w:cstheme="majorBidi"/>
          <w:b/>
          <w:bCs/>
          <w:sz w:val="40"/>
          <w:szCs w:val="40"/>
          <w:rtl/>
          <w:lang w:bidi="ar-EG"/>
        </w:rPr>
        <w:t>الإطار النظري</w:t>
      </w:r>
    </w:p>
    <w:p w14:paraId="34EFB017" w14:textId="77777777" w:rsidR="00AF505F" w:rsidRPr="00AF505F" w:rsidRDefault="00AF505F" w:rsidP="00AF505F">
      <w:pPr>
        <w:bidi/>
        <w:jc w:val="center"/>
        <w:rPr>
          <w:rFonts w:asciiTheme="majorBidi" w:hAnsiTheme="majorBidi" w:cstheme="majorBidi"/>
          <w:b/>
          <w:bCs/>
          <w:sz w:val="32"/>
          <w:szCs w:val="32"/>
          <w:rtl/>
        </w:rPr>
      </w:pPr>
      <w:r w:rsidRPr="00AF505F">
        <w:rPr>
          <w:rFonts w:asciiTheme="majorBidi" w:hAnsiTheme="majorBidi" w:cstheme="majorBidi"/>
          <w:b/>
          <w:bCs/>
          <w:sz w:val="32"/>
          <w:szCs w:val="32"/>
          <w:rtl/>
        </w:rPr>
        <w:t>المبحث الأول: الذكاء الاصطناعي</w:t>
      </w:r>
    </w:p>
    <w:p w14:paraId="6A4322A4" w14:textId="77777777" w:rsidR="00AF505F" w:rsidRPr="00AF505F" w:rsidRDefault="00AF505F" w:rsidP="00AF505F">
      <w:pPr>
        <w:bidi/>
        <w:jc w:val="both"/>
        <w:rPr>
          <w:rFonts w:asciiTheme="majorBidi" w:hAnsiTheme="majorBidi" w:cstheme="majorBidi"/>
          <w:b/>
          <w:bCs/>
          <w:sz w:val="28"/>
          <w:szCs w:val="28"/>
          <w:rtl/>
        </w:rPr>
      </w:pPr>
      <w:r w:rsidRPr="00AF505F">
        <w:rPr>
          <w:rFonts w:asciiTheme="majorBidi" w:hAnsiTheme="majorBidi" w:cstheme="majorBidi"/>
          <w:b/>
          <w:bCs/>
          <w:sz w:val="28"/>
          <w:szCs w:val="28"/>
          <w:rtl/>
        </w:rPr>
        <w:t>الإطار المفاهيمي لتقنيات الذكاء الاصطناعي</w:t>
      </w:r>
    </w:p>
    <w:p w14:paraId="2C94E7F0"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يمثل الذكاء الاصطناعي محورًا أساسيًا في التحولات المعرفية والتكنولوجية الحديثة التي أعادت تشكيل نماذج العمل المؤسسي وطبيعة اتخاذ القرار في المنظمات. لم يعد الذكاء الاصطناعي مجرد أداة رقمية لمعالجة البيانات، بل أصبح إطارًا معرفيًا متكاملاً يتيح للأنظمة الحاسوبية محاكاة القدرات العقلية البشرية مثل التعلم، والاستدلال، والتنبؤ، والتحليل المعقد للعلاقات بين المتغيرات. وتظهر أهميته في توفير حلول تعتمد على المعرفة العلمية المستندة إلى البيانات، بدلًا من الاعتماد على الحدس البشري وحده، وهو ما أسهم في تعزيز فعالية القرارات على مستوى التخطيط الاستراتيجي. ويمكن النظر إلى الذكاء الاصطناعي ليس فقط كأداة تقنية، بل كمنظومة معرفية تسهم في إعادة ترتيب أولويات المؤسسات وتحسين قدرتها على التكيف مع البيئات المتغيرة بسرعة، وهو ما يتطلب قراءة نقدية تجمع بين الفهم التقني والتحليل الإداري العميق، بحيث يكون لدى الباحث رؤية شاملة حول الإمكانات والمحددات التي يفرضها هذا التحول الرقمي</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Aljohani</w:t>
      </w:r>
      <w:proofErr w:type="spellEnd"/>
      <w:r w:rsidRPr="00AF505F">
        <w:rPr>
          <w:rFonts w:asciiTheme="majorBidi" w:hAnsiTheme="majorBidi" w:cstheme="majorBidi"/>
          <w:sz w:val="28"/>
          <w:szCs w:val="28"/>
        </w:rPr>
        <w:t xml:space="preserve"> &amp; </w:t>
      </w:r>
      <w:proofErr w:type="spellStart"/>
      <w:r w:rsidRPr="00AF505F">
        <w:rPr>
          <w:rFonts w:asciiTheme="majorBidi" w:hAnsiTheme="majorBidi" w:cstheme="majorBidi"/>
          <w:sz w:val="28"/>
          <w:szCs w:val="28"/>
        </w:rPr>
        <w:t>Albliwi</w:t>
      </w:r>
      <w:proofErr w:type="spellEnd"/>
      <w:r w:rsidRPr="00AF505F">
        <w:rPr>
          <w:rFonts w:asciiTheme="majorBidi" w:hAnsiTheme="majorBidi" w:cstheme="majorBidi"/>
          <w:sz w:val="28"/>
          <w:szCs w:val="28"/>
        </w:rPr>
        <w:t>, 2022, p.1)</w:t>
      </w:r>
    </w:p>
    <w:p w14:paraId="6792AD6A"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تاريخيًا، مرت تقنيات الذكاء الاصطناعي بمراحل تطورية تعكس طبيعة التقدم العلمي والتكنولوجي على مر العقود. فقد انطلقت هذه التقنيات في بداياتها من محاولات نظرية تهدف إلى تصميم أنظمة تعتمد على قواعد منطقية ثابتة لمحاكاة التفكير البشري، إلا أن محدودية هذه النماذج في التعامل مع المشكلات غير الهيكلية والبيئات الديناميكية دفعت إلى تطوير خوارزميات أكثر تعقيدًا، قادرة على التعلم من البيانات والتفاعل مع المتغيرات الجديدة. ومع توسع حجم البيانات الرقمية وزيادة قدرات الحوسبة، ظهرت أنظمة تستطيع بناء نماذج تنبؤية معقدة تعزز القدرة على استشراف المستقبل واتخاذ قرارات مدروسة. ويكشف التحليل النقدي لهذه المرحلة عن أن الذكاء الاصطناعي لم يكن مجرد تقدم تقني، بل تحول معرفي يعيد تشكيل السلطة المعرفية داخل المنظمات، إذ أصبح القرار الإداري يتأثر بشكل متزايد بنتائج التحليل الخوارزمي المستند إلى البيانات، ما يستدعي قدرة قيادية على الدمج بين التقدير البشري والاستنتاج الآلي</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(AlQahtani, 2023, p.1)</w:t>
      </w:r>
    </w:p>
    <w:p w14:paraId="0113A370"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 xml:space="preserve">تتميز أنظمة الذكاء الاصطناعي بمجموعة من الخصائص التشغيلية والمعرفية التي تجعلها متفوقة على الأنظمة التقليدية. فهي تمتلك القدرة على التعلم المستمر والتكيف مع البيئات المتغيرة، ما يمنحها مرونة فائقة في مواجهة التعقيدات التنظيمية. كما تستطيع معالجة كميات هائلة من البيانات بسرعة ودقة، واكتشاف أنماط خفية لا يمكن ملاحظتها بالطرق التقليدية، وهو ما يعزز التخطيط الاستراتيجي واتخاذ القرار الاستباقي. غير أن هذه القدرات المثالية لا تخلو من أبعاد نقدية، إذ يمكن أن يؤدي الإفراط في الاعتماد على التحليل الخوارزمي إلى تهميش الدور البشري، خاصة في المواقف </w:t>
      </w:r>
      <w:r w:rsidRPr="00AF505F">
        <w:rPr>
          <w:rFonts w:asciiTheme="majorBidi" w:hAnsiTheme="majorBidi" w:cstheme="majorBidi"/>
          <w:sz w:val="28"/>
          <w:szCs w:val="28"/>
          <w:rtl/>
        </w:rPr>
        <w:lastRenderedPageBreak/>
        <w:t xml:space="preserve">التي تتطلب تقديرًا </w:t>
      </w:r>
      <w:proofErr w:type="spellStart"/>
      <w:r w:rsidRPr="00AF505F">
        <w:rPr>
          <w:rFonts w:asciiTheme="majorBidi" w:hAnsiTheme="majorBidi" w:cstheme="majorBidi"/>
          <w:sz w:val="28"/>
          <w:szCs w:val="28"/>
          <w:rtl/>
        </w:rPr>
        <w:t>سياقيًا</w:t>
      </w:r>
      <w:proofErr w:type="spellEnd"/>
      <w:r w:rsidRPr="00AF505F">
        <w:rPr>
          <w:rFonts w:asciiTheme="majorBidi" w:hAnsiTheme="majorBidi" w:cstheme="majorBidi"/>
          <w:sz w:val="28"/>
          <w:szCs w:val="28"/>
          <w:rtl/>
        </w:rPr>
        <w:t xml:space="preserve"> أو حكماً أخلاقياً يتجاوز قدرة النماذج الرقمية. ومن هذا المنطلق، يصبح من الضروري اعتماد منظور تكاملي يوازن بين التحليل الذكي والحكم البشري لضمان استمرارية فعالية القرارات على المستويين التشغيلي والاستراتيجي</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Alarefi</w:t>
      </w:r>
      <w:proofErr w:type="spellEnd"/>
      <w:r w:rsidRPr="00AF505F">
        <w:rPr>
          <w:rFonts w:asciiTheme="majorBidi" w:hAnsiTheme="majorBidi" w:cstheme="majorBidi"/>
          <w:sz w:val="28"/>
          <w:szCs w:val="28"/>
        </w:rPr>
        <w:t>, 2024, p.16802)</w:t>
      </w:r>
    </w:p>
    <w:p w14:paraId="6971B0B0"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تتمثل الفروق الجوهرية بين أنظمة الذكاء الاصطناعي والأنظمة التقليدية في طبيعة المعالجة المعرفية، إذ تعتمد الأخيرة على تعليمات برمجية محددة مسبقًا لتنفيذ المهام، بينما تمتلك الأولى قدرة ديناميكية على التعلم الذاتي واكتشاف العلاقات المعقدة بين المتغيرات. تمنح هذه الخاصية المنظمات مرونة أكبر في التعامل مع بيئات غير مستقرة أو متغيرة بسرعة، لكنها تضع مسؤولية كبيرة على القادة لضمان جودة البيانات المستخدمة، إذ إن موثوقية نتائج النماذج الذكية مرتبطة ارتباطًا مباشرًا بدقة وصحة المدخلات. ومن هنا، يتضح أن نجاح تبني هذه التقنيات لا يقتصر على الجانب الفني، بل يرتبط ارتباطًا وثيقًا بالحوكمة المؤسسية، وبناء ثقافة تنظيمية قادرة على دمج الابتكار التقني مع الخبرة البشرية</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Kazaba</w:t>
      </w:r>
      <w:proofErr w:type="spellEnd"/>
      <w:r w:rsidRPr="00AF505F">
        <w:rPr>
          <w:rFonts w:asciiTheme="majorBidi" w:hAnsiTheme="majorBidi" w:cstheme="majorBidi"/>
          <w:sz w:val="28"/>
          <w:szCs w:val="28"/>
        </w:rPr>
        <w:t>, 2024, p.1291)</w:t>
      </w:r>
    </w:p>
    <w:p w14:paraId="49944833"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يمكن النظر إلى الذكاء الاصطناعي أيضًا كعنصر مزدوج الأثر؛ فهو يعزز الكفاءة التشغيلية ويزيد دقة القرارات، لكنه يفرض تحديات على صعيد إدارة التغيير وإعادة تأهيل الموارد البشرية. فالمؤسسات التي تسعى إلى تبني هذه التقنيات بحاجة إلى تطوير مهارات العاملين، وتبني سياسات تدريبية مستمرة لضمان القدرة على التعامل مع النظم الذكية بشكل فعّال. ومن ناحية أخرى، يوفر الذكاء الاصطناعي فرصة لإعادة صياغة العمليات المؤسسية، وتحويلها من نماذج روتينية محدودة إلى عمليات ديناميكية تعتمد على تحليل البيانات في الوقت الفعلي، ما يسهم في تحسين القدرة التنافسية وتحقيق استدامة الأداء المؤسسي</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Alsulami</w:t>
      </w:r>
      <w:proofErr w:type="spellEnd"/>
      <w:r w:rsidRPr="00AF505F">
        <w:rPr>
          <w:rFonts w:asciiTheme="majorBidi" w:hAnsiTheme="majorBidi" w:cstheme="majorBidi"/>
          <w:sz w:val="28"/>
          <w:szCs w:val="28"/>
        </w:rPr>
        <w:t>, 2026, p.504)</w:t>
      </w:r>
    </w:p>
    <w:p w14:paraId="58A29FEC"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 xml:space="preserve">يتضح مما سبق أن الذكاء الاصطناعي يشكل عاملًا محفزًا لإعادة التفكير في طبيعة العلاقة بين المعرفة والقرار داخل المنظمات، إذ يعيد توزيع أدوار التفسير والتحليل والتنبؤ بين الإنسان والآلة. ويستلزم هذا التحول تطوير بيئة تنظيمية مرنة تستطيع استيعاب الابتكار الرقمي، مع ضمان التوازن بين الكفاءة التقنية والحكم البشري، بما يعزز قدرة المؤسسات على مواجهة التحولات الاقتصادية والتكنولوجية المعقدة. وبناءً على ذلك، يظهر الذكاء الاصطناعي ليس فقط كأداة لتحسين الأداء، بل كرافد استراتيجي يعيد تشكيل المنطق الإداري ويتيح للمؤسسات فهم ديناميات السوق واتخاذ قرارات أكثر استباقية ودقة، وهو ما يمثل قيمة معرفية واستراتيجية محورية لأي منظمة تسعى للبقاء والتميز في عصر </w:t>
      </w:r>
      <w:proofErr w:type="spellStart"/>
      <w:r w:rsidRPr="00AF505F">
        <w:rPr>
          <w:rFonts w:asciiTheme="majorBidi" w:hAnsiTheme="majorBidi" w:cstheme="majorBidi"/>
          <w:sz w:val="28"/>
          <w:szCs w:val="28"/>
          <w:rtl/>
        </w:rPr>
        <w:t>الرقمنة</w:t>
      </w:r>
      <w:proofErr w:type="spellEnd"/>
      <w:r w:rsidRPr="00AF505F">
        <w:rPr>
          <w:rFonts w:asciiTheme="majorBidi" w:hAnsiTheme="majorBidi" w:cstheme="majorBidi"/>
          <w:sz w:val="28"/>
          <w:szCs w:val="28"/>
          <w:rtl/>
        </w:rPr>
        <w:t>.</w:t>
      </w:r>
    </w:p>
    <w:p w14:paraId="71DE00F1" w14:textId="77777777" w:rsidR="00AF505F" w:rsidRPr="00AF505F" w:rsidRDefault="00AF505F" w:rsidP="00AF505F">
      <w:pPr>
        <w:bidi/>
        <w:rPr>
          <w:rFonts w:asciiTheme="majorBidi" w:hAnsiTheme="majorBidi" w:cstheme="majorBidi"/>
          <w:b/>
          <w:bCs/>
          <w:sz w:val="28"/>
          <w:szCs w:val="28"/>
          <w:rtl/>
          <w:lang w:bidi="ar-EG"/>
        </w:rPr>
      </w:pPr>
      <w:r w:rsidRPr="00AF505F">
        <w:rPr>
          <w:rFonts w:asciiTheme="majorBidi" w:hAnsiTheme="majorBidi" w:cstheme="majorBidi"/>
          <w:b/>
          <w:bCs/>
          <w:sz w:val="28"/>
          <w:szCs w:val="28"/>
          <w:rtl/>
        </w:rPr>
        <w:t>أنواع وتقنيات الذكاء الاصطناعي</w:t>
      </w:r>
    </w:p>
    <w:p w14:paraId="6CD70014"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تشكل تقنيات الذكاء الاصطناعي اليوم العمود الفقري للتطوير المؤسسي واتخاذ القرار الاستراتيجي، إذ تجاوزت كونها أدوات تحليلية إلى كونها أطرًا معرفية تمكن المؤسسات من التكيف مع بيئات العمل الديناميكية واستشراف المتغيرات المستقبلية. فالذكاء الاصطناعي لا يقتصر على معالجة البيانات الكمية، بل يمتد ليشمل القدرة على استنتاج الأنماط الخفية في المعلومات المعقدة، والتعامل مع بيانات غير منظمة، وتحليل العلاقات المتشابكة بين المتغيرات الداخلية والخارجية للمؤسسة. ومن هذا المنطلق، يمثل فهم أنواع وتقنيات الذكاء الاصطناعي ضرورة حيوية للباحثين والمديرين على حد سواء، إذ يتيح لهم إدراك نقاط القوة والقيود المرتبطة بكل تقنية، بما يسهم في اتخاذ قرارات أكثر فاعلية واستدامة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(Hicham &amp; Hamza, 2024, p.185)</w:t>
      </w:r>
    </w:p>
    <w:p w14:paraId="0F2AFA14" w14:textId="77777777" w:rsidR="00AF505F" w:rsidRPr="00AF505F" w:rsidRDefault="00AF505F" w:rsidP="00AF505F">
      <w:pPr>
        <w:pStyle w:val="a3"/>
        <w:numPr>
          <w:ilvl w:val="0"/>
          <w:numId w:val="8"/>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lastRenderedPageBreak/>
        <w:t>التعلم الآلي</w:t>
      </w:r>
      <w:r w:rsidRPr="00AF505F">
        <w:rPr>
          <w:rFonts w:asciiTheme="majorBidi" w:hAnsiTheme="majorBidi" w:cstheme="majorBidi"/>
          <w:b/>
          <w:bCs/>
          <w:sz w:val="28"/>
          <w:szCs w:val="28"/>
          <w:lang w:bidi="ar-EG"/>
        </w:rPr>
        <w:t>:</w:t>
      </w:r>
    </w:p>
    <w:p w14:paraId="7EC879A6"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يمثل التعلم الآلي الركيزة الأساسية للذكاء الاصطناعي، حيث يعتمد على تطوير خوارزميات قادرة على التعلم من البيانات التاريخية واستخلاص الأنماط والاتجاهات التي يمكن استخدامها للتنبؤ بالنتائج المستقبلية. هذه القدرة تتيح للمؤسسات تحسين جودة القرارات الاستراتيجية من خلال تزويد القيادات التنفيذية برؤى دقيقة حول الأسواق وسلوك العملاء والعمليات الداخلية. ومع ذلك، يتطلب الاستفادة المثلى من التعلم الآلي تحليلًا دقيقًا لجودة البيانات، إذ يمكن أن تؤدي البيانات المتحيزة أو غير المكتملة إلى نتائج مضللة، مما يستدعي وضع آليات إشرافية صارمة وتكامل هذه النماذج مع الخبرة البشرية لضمان توازن القرارات بين الدقة الرقمية والحكم الاستراتيجي</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Almheiri</w:t>
      </w:r>
      <w:proofErr w:type="spellEnd"/>
      <w:r w:rsidRPr="00AF505F">
        <w:rPr>
          <w:rFonts w:asciiTheme="majorBidi" w:hAnsiTheme="majorBidi" w:cstheme="majorBidi"/>
          <w:sz w:val="28"/>
          <w:szCs w:val="28"/>
        </w:rPr>
        <w:t xml:space="preserve"> et al., 2024, p.953)</w:t>
      </w:r>
    </w:p>
    <w:p w14:paraId="6BEFD1D5" w14:textId="77777777" w:rsidR="00AF505F" w:rsidRPr="00AF505F" w:rsidRDefault="00AF505F" w:rsidP="00AF505F">
      <w:pPr>
        <w:pStyle w:val="a3"/>
        <w:numPr>
          <w:ilvl w:val="0"/>
          <w:numId w:val="8"/>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التعلم العميق</w:t>
      </w:r>
      <w:r w:rsidRPr="00AF505F">
        <w:rPr>
          <w:rFonts w:asciiTheme="majorBidi" w:hAnsiTheme="majorBidi" w:cstheme="majorBidi"/>
          <w:b/>
          <w:bCs/>
          <w:sz w:val="28"/>
          <w:szCs w:val="28"/>
          <w:lang w:bidi="ar-EG"/>
        </w:rPr>
        <w:t>:</w:t>
      </w:r>
    </w:p>
    <w:p w14:paraId="6A51D462"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يتيح التعلم العميق للأنظمة القدرة على معالجة البيانات المعقدة متعددة الطبقات، من خلال شبكات عصبية تحاكي بنية الدماغ البشري. هذه التقنية تمكن المؤسسات من اكتشاف الأنماط المخفية في مجموعات البيانات الضخمة، مثل الصور والفيديو والنصوص، وتوليد رؤى دقيقة تساعد في اتخاذ قرارات استباقية. ومن منظور تحليلي، يتمثل التحدي في صعوبة تفسير كيفية الوصول إلى النتائج، ما يفرض على القيادات تطوير آليات حوكمة تسمح بمساءلة هذه القرارات وتقييم مصداقيتها، وهو ما يعكس الحاجة إلى دمج القدرات التقنية مع التفكير النقدي للقيادة لضمان استدامة النتائج الاستراتيجية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Aboalshamat</w:t>
      </w:r>
      <w:proofErr w:type="spellEnd"/>
      <w:r w:rsidRPr="00AF505F">
        <w:rPr>
          <w:rFonts w:asciiTheme="majorBidi" w:hAnsiTheme="majorBidi" w:cstheme="majorBidi"/>
          <w:sz w:val="28"/>
          <w:szCs w:val="28"/>
        </w:rPr>
        <w:t xml:space="preserve"> et al., 2022, p.52)</w:t>
      </w:r>
    </w:p>
    <w:p w14:paraId="604DA51E" w14:textId="77777777" w:rsidR="00AF505F" w:rsidRPr="00AF505F" w:rsidRDefault="00AF505F" w:rsidP="00AF505F">
      <w:pPr>
        <w:pStyle w:val="a3"/>
        <w:numPr>
          <w:ilvl w:val="0"/>
          <w:numId w:val="8"/>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معالجة اللغة الطبيعية</w:t>
      </w:r>
      <w:r w:rsidRPr="00AF505F">
        <w:rPr>
          <w:rFonts w:asciiTheme="majorBidi" w:hAnsiTheme="majorBidi" w:cstheme="majorBidi"/>
          <w:b/>
          <w:bCs/>
          <w:sz w:val="28"/>
          <w:szCs w:val="28"/>
          <w:rtl/>
          <w:lang w:bidi="ar-EG"/>
        </w:rPr>
        <w:t>:</w:t>
      </w:r>
    </w:p>
    <w:p w14:paraId="1DC450DC"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تمكّن تقنيات معالجة اللغة الطبيعية الأنظمة من فهم النصوص البشرية المكتوبة والمنطوقة وتحليلها وتحويلها إلى بيانات قابلة للتطبيق في صنع القرار. تلعب هذه التقنية دورًا محوريًا في استشراف توجهات العملاء والأسواق، وتحليل ردود الفعل على المنتجات والخدمات. ومع ذلك، يظهر بعد نقدي يتمثل في إمكانية تحيز النتائج أو سوء تفسير المعاني، خصوصًا عند التعامل مع لغات متعددة أو نصوص ثقافية متنوعة. من هذا المنظور، يصبح دمج معالجة اللغة الطبيعية ضمن استراتيجية شاملة لدعم القرار التنفيذي ضرورة لضمان أن تكون النتائج مفهومة وقابلة للاستخدام بشكل فعال</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Abalkhail</w:t>
      </w:r>
      <w:proofErr w:type="spellEnd"/>
      <w:r w:rsidRPr="00AF505F">
        <w:rPr>
          <w:rFonts w:asciiTheme="majorBidi" w:hAnsiTheme="majorBidi" w:cstheme="majorBidi"/>
          <w:sz w:val="28"/>
          <w:szCs w:val="28"/>
        </w:rPr>
        <w:t xml:space="preserve"> &amp; Al Amri, 2022, p.1)</w:t>
      </w:r>
    </w:p>
    <w:p w14:paraId="0F5EBD0D" w14:textId="77777777" w:rsidR="00AF505F" w:rsidRPr="00AF505F" w:rsidRDefault="00AF505F" w:rsidP="00AF505F">
      <w:pPr>
        <w:pStyle w:val="a3"/>
        <w:numPr>
          <w:ilvl w:val="0"/>
          <w:numId w:val="8"/>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الأنظمة الخبيرة</w:t>
      </w:r>
      <w:r w:rsidRPr="00AF505F">
        <w:rPr>
          <w:rFonts w:asciiTheme="majorBidi" w:hAnsiTheme="majorBidi" w:cstheme="majorBidi"/>
          <w:b/>
          <w:bCs/>
          <w:sz w:val="28"/>
          <w:szCs w:val="28"/>
          <w:rtl/>
          <w:lang w:bidi="ar-EG"/>
        </w:rPr>
        <w:t>:</w:t>
      </w:r>
    </w:p>
    <w:p w14:paraId="408746E2"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تعتمد الأنظمة الخبيرة على قواعد معرفة محددة مسبقًا تساعدها على تقديم توصيات أو حلول للمشكلات بناءً على الخبرات السابقة. هذه الأنظمة تُستخدم في دعم القرارات في المجالات التي تتطلب خبرة متخصصة، مثل الجودة وإدارة المخاطر وتقييم المنتجات. ورغم فعاليتها، تظل محدوديتها في مواجهة حالات جديدة أو غير متوقعة تحديًا رئيسيًا، ما يحتم على المؤسسات تحديث قواعد المعرفة باستمرار ودمجها مع أنظمة أخرى لضمان المرونة التشغيلية وتحقيق استدامة القرارات الاستراتيجية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 xml:space="preserve">(Akinwale &amp; </w:t>
      </w:r>
      <w:proofErr w:type="spellStart"/>
      <w:r w:rsidRPr="00AF505F">
        <w:rPr>
          <w:rFonts w:asciiTheme="majorBidi" w:hAnsiTheme="majorBidi" w:cstheme="majorBidi"/>
          <w:sz w:val="28"/>
          <w:szCs w:val="28"/>
        </w:rPr>
        <w:t>AboAlsamh</w:t>
      </w:r>
      <w:proofErr w:type="spellEnd"/>
      <w:r w:rsidRPr="00AF505F">
        <w:rPr>
          <w:rFonts w:asciiTheme="majorBidi" w:hAnsiTheme="majorBidi" w:cstheme="majorBidi"/>
          <w:sz w:val="28"/>
          <w:szCs w:val="28"/>
        </w:rPr>
        <w:t>, 2023, p.1)</w:t>
      </w:r>
    </w:p>
    <w:p w14:paraId="20B7178E" w14:textId="77777777" w:rsidR="00AF505F" w:rsidRPr="00AF505F" w:rsidRDefault="00AF505F" w:rsidP="00AF505F">
      <w:pPr>
        <w:pStyle w:val="a3"/>
        <w:numPr>
          <w:ilvl w:val="0"/>
          <w:numId w:val="8"/>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الرؤية الحاسوبية</w:t>
      </w:r>
      <w:r w:rsidRPr="00AF505F">
        <w:rPr>
          <w:rFonts w:asciiTheme="majorBidi" w:hAnsiTheme="majorBidi" w:cstheme="majorBidi"/>
          <w:b/>
          <w:bCs/>
          <w:sz w:val="28"/>
          <w:szCs w:val="28"/>
          <w:rtl/>
          <w:lang w:bidi="ar-EG"/>
        </w:rPr>
        <w:t>:</w:t>
      </w:r>
    </w:p>
    <w:p w14:paraId="2B0F790E"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 xml:space="preserve">تتيح تقنيات الرؤية الحاسوبية للأنظمة فهم الصور والفيديو واستخلاص معلومات دقيقة تتعلق بالعمليات والمنتجات والبيئة التشغيلية. في قطاع الصناعات الغذائية، تُستخدم هذه التقنية لمراقبة الجودة، والتعرف على الشوائب، وتحسين الإنتاجية. ومع ذلك، تعتمد دقة الرؤية </w:t>
      </w:r>
      <w:r w:rsidRPr="00AF505F">
        <w:rPr>
          <w:rFonts w:asciiTheme="majorBidi" w:hAnsiTheme="majorBidi" w:cstheme="majorBidi"/>
          <w:sz w:val="28"/>
          <w:szCs w:val="28"/>
          <w:rtl/>
        </w:rPr>
        <w:lastRenderedPageBreak/>
        <w:t>الحاسوبية على جودة الكاميرات والظروف البيئية مثل الإضاءة، ما يستلزم وجود آليات داعمة لضمان دقة النتائج. ويبرز البعد النقدي هنا في ضرورة دمج هذه التقنية مع أنظمة تحليلية أخرى لضمان اتخاذ قرارات متوازنة وموثوقة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(Alajmi et al., 2023, p.1)</w:t>
      </w:r>
    </w:p>
    <w:p w14:paraId="0BA3D918" w14:textId="77777777" w:rsidR="00AF505F" w:rsidRPr="00AF505F" w:rsidRDefault="00AF505F" w:rsidP="00AF505F">
      <w:pPr>
        <w:pStyle w:val="a3"/>
        <w:numPr>
          <w:ilvl w:val="0"/>
          <w:numId w:val="8"/>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تحليل البيانات الضخمة</w:t>
      </w:r>
      <w:r w:rsidRPr="00AF505F">
        <w:rPr>
          <w:rFonts w:asciiTheme="majorBidi" w:hAnsiTheme="majorBidi" w:cstheme="majorBidi"/>
          <w:b/>
          <w:bCs/>
          <w:sz w:val="28"/>
          <w:szCs w:val="28"/>
          <w:rtl/>
          <w:lang w:bidi="ar-EG"/>
        </w:rPr>
        <w:t>:</w:t>
      </w:r>
    </w:p>
    <w:p w14:paraId="27CC1A61" w14:textId="77777777" w:rsidR="00AF505F" w:rsidRPr="00AF505F" w:rsidRDefault="00AF505F" w:rsidP="00AF505F">
      <w:pPr>
        <w:pStyle w:val="a3"/>
        <w:bidi/>
        <w:jc w:val="both"/>
        <w:rPr>
          <w:rFonts w:asciiTheme="majorBidi" w:hAnsiTheme="majorBidi" w:cstheme="majorBidi"/>
          <w:sz w:val="28"/>
          <w:szCs w:val="28"/>
          <w:rtl/>
          <w:lang w:bidi="ar-EG"/>
        </w:rPr>
      </w:pPr>
      <w:r w:rsidRPr="00AF505F">
        <w:rPr>
          <w:rFonts w:asciiTheme="majorBidi" w:hAnsiTheme="majorBidi" w:cstheme="majorBidi"/>
          <w:sz w:val="28"/>
          <w:szCs w:val="28"/>
          <w:rtl/>
        </w:rPr>
        <w:t>يمثل تحليل البيانات الضخمة أداة جوهرية للذكاء الاصطناعي، إذ يتيح استخلاص رؤى استراتيجية من كميات ضخمة من البيانات المتنوعة والمعقدة. يساعد هذا التحليل المؤسسات على التعرف على الاتجاهات المستقبلية، واستشراف الفرص والمخاطر، وتحسين الأداء العام للعمليات. ومع ذلك، يتطلب النجاح في تحليل البيانات الضخمة بنية تحتية متقدمة وقدرة على إدارة البيانات بشكل دقيق، بالإضافة إلى كفاءات بشرية قادرة على تفسير النتائج نقديًا. ومن هذا المنطلق، يبرز استنتاج الباحث أن تحقيق الاستفادة القصوى من هذه التقنية يتطلب تكامل القدرات التقنية مع الاستراتيجية المؤسسية لضمان الاستدامة والفعالية في اتخاذ القرارات</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Alasmri</w:t>
      </w:r>
      <w:proofErr w:type="spellEnd"/>
      <w:r w:rsidRPr="00AF505F">
        <w:rPr>
          <w:rFonts w:asciiTheme="majorBidi" w:hAnsiTheme="majorBidi" w:cstheme="majorBidi"/>
          <w:sz w:val="28"/>
          <w:szCs w:val="28"/>
        </w:rPr>
        <w:t xml:space="preserve"> &amp; </w:t>
      </w:r>
      <w:proofErr w:type="spellStart"/>
      <w:r w:rsidRPr="00AF505F">
        <w:rPr>
          <w:rFonts w:asciiTheme="majorBidi" w:hAnsiTheme="majorBidi" w:cstheme="majorBidi"/>
          <w:sz w:val="28"/>
          <w:szCs w:val="28"/>
        </w:rPr>
        <w:t>Basahel</w:t>
      </w:r>
      <w:proofErr w:type="spellEnd"/>
      <w:r w:rsidRPr="00AF505F">
        <w:rPr>
          <w:rFonts w:asciiTheme="majorBidi" w:hAnsiTheme="majorBidi" w:cstheme="majorBidi"/>
          <w:sz w:val="28"/>
          <w:szCs w:val="28"/>
        </w:rPr>
        <w:t>, 2022, p.1)</w:t>
      </w:r>
    </w:p>
    <w:p w14:paraId="5C1CB89A" w14:textId="77777777" w:rsidR="00AF505F" w:rsidRPr="00AF505F" w:rsidRDefault="00AF505F" w:rsidP="00AF505F">
      <w:pPr>
        <w:pStyle w:val="a3"/>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مما سبق يتضح أن تقنيات الذكاء الاصطناعي تشكل محورًا تحويليًا يعيد تشكيل عملية اتخاذ القرار الاستراتيجي في المؤسسات، حيث توفر كل تقنية إمكانات تحليلية متقدمة تدعم التنبؤ واتخاذ القرارات المبنية على البيانات. ومع ذلك، فإن هذه الإمكانات تظل محدودة إذا لم تُدمج ضمن مقاربة استراتيجية تراعي السياق المؤسسي والقدرة البشرية. يُعزز التعلم الآلي والتعلم العميق القدرة على استشراف المستقبل، بينما توفر معالجة اللغة الطبيعية والأنظمة الخبيرة ثراء معرفيًا لدعم القرارات المتخصصة. كما تساهم الرؤية الحاسوبية وتحليل البيانات الضخمة في تحسين الكفاءة التشغيلية والتخطيط الاستراتيجي، إلا أن فعاليتها تتوقف على بنية تحتية متقدمة وكوادر قادرة على تفسير النتائج نقديًا. وبذلك، يظهر الذكاء الاصطناعي كأداة مساعدة تكمل الخبرة البشرية وتدعم الحوكمة المؤسسية لضمان قرارات دقيقة ومرنة تعكس رؤية المؤسسة وأهدافها الاستراتيجية</w:t>
      </w:r>
      <w:r w:rsidRPr="00AF505F">
        <w:rPr>
          <w:rFonts w:asciiTheme="majorBidi" w:hAnsiTheme="majorBidi" w:cstheme="majorBidi"/>
          <w:sz w:val="28"/>
          <w:szCs w:val="28"/>
          <w:rtl/>
          <w:lang w:bidi="ar-EG"/>
        </w:rPr>
        <w:t>.</w:t>
      </w:r>
    </w:p>
    <w:p w14:paraId="54E2E315" w14:textId="77777777" w:rsidR="00AF505F" w:rsidRPr="00AF505F" w:rsidRDefault="00AF505F" w:rsidP="00AF505F">
      <w:pPr>
        <w:bidi/>
        <w:jc w:val="both"/>
        <w:rPr>
          <w:rFonts w:asciiTheme="majorBidi" w:hAnsiTheme="majorBidi" w:cstheme="majorBidi"/>
          <w:b/>
          <w:bCs/>
          <w:sz w:val="28"/>
          <w:szCs w:val="28"/>
          <w:rtl/>
        </w:rPr>
      </w:pPr>
      <w:r w:rsidRPr="00AF505F">
        <w:rPr>
          <w:rFonts w:asciiTheme="majorBidi" w:hAnsiTheme="majorBidi" w:cstheme="majorBidi"/>
          <w:b/>
          <w:bCs/>
          <w:sz w:val="28"/>
          <w:szCs w:val="28"/>
          <w:rtl/>
        </w:rPr>
        <w:t>تطبيقات الذكاء الاصطناعي في قطاع الصناعات الغذائية</w:t>
      </w:r>
    </w:p>
    <w:p w14:paraId="1F2E6F21"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يشهد قطاع الصناعات الغذائية في المملكة العربية السعودية تحولًا نوعيًا نتيجة تبني تقنيات الذكاء الاصطناعي، بما يتماشى مع أهداف رؤية 2030 لتعزيز الكفاءة التشغيلية وتحسين القدرة التنافسية للمؤسسات المحلية. توفر هذه التقنيات قدرة متقدمة على معالجة البيانات الضخمة وتحليل اتجاهات المستهلكين والمنافسة، فضلاً عن مراقبة جودة المنتجات وسلاسل الإمداد. ويعكس اعتماد الذكاء الاصطناعي في هذا القطاع التزام المؤسسات السعودية بالتحول الرقمي وتعزيز الابتكار، مع ضرورة توظيف هذه التقنيات ضمن إطار استراتيجي متكامل يضمن الفاعلية والاستدامة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(AlQahtani, 2024, p.14)</w:t>
      </w:r>
    </w:p>
    <w:p w14:paraId="5369F7F0" w14:textId="77777777" w:rsidR="00AF505F" w:rsidRPr="00AF505F" w:rsidRDefault="00AF505F" w:rsidP="00AF505F">
      <w:pPr>
        <w:pStyle w:val="a3"/>
        <w:numPr>
          <w:ilvl w:val="0"/>
          <w:numId w:val="10"/>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تحسين الإنتاج والتنبؤ بالطلب</w:t>
      </w:r>
      <w:r w:rsidRPr="00AF505F">
        <w:rPr>
          <w:rFonts w:asciiTheme="majorBidi" w:hAnsiTheme="majorBidi" w:cstheme="majorBidi"/>
          <w:b/>
          <w:bCs/>
          <w:sz w:val="28"/>
          <w:szCs w:val="28"/>
          <w:lang w:bidi="ar-EG"/>
        </w:rPr>
        <w:t>:</w:t>
      </w:r>
    </w:p>
    <w:p w14:paraId="23599FCF" w14:textId="77777777" w:rsidR="00AF505F" w:rsidRPr="00AF505F" w:rsidRDefault="00AF505F" w:rsidP="00AF505F">
      <w:pPr>
        <w:pStyle w:val="a3"/>
        <w:bidi/>
        <w:jc w:val="both"/>
        <w:rPr>
          <w:rFonts w:asciiTheme="majorBidi" w:hAnsiTheme="majorBidi" w:cstheme="majorBidi"/>
          <w:sz w:val="28"/>
          <w:szCs w:val="28"/>
          <w:rtl/>
          <w:lang w:bidi="ar-EG"/>
        </w:rPr>
      </w:pPr>
      <w:r w:rsidRPr="00AF505F">
        <w:rPr>
          <w:rFonts w:asciiTheme="majorBidi" w:hAnsiTheme="majorBidi" w:cstheme="majorBidi"/>
          <w:sz w:val="28"/>
          <w:szCs w:val="28"/>
          <w:rtl/>
        </w:rPr>
        <w:t xml:space="preserve">تسهم تقنيات الذكاء الاصطناعي في المملكة بشكل فعال في تحسين الإنتاج الغذائي عبر التنبؤ بالطلب المحلي والإقليمي بدقة عالية، ما يقلل من الهدر ويزيد من كفاءة استخدام الموارد. تعتمد المؤسسات على خوارزميات التعلم الآلي لتحليل البيانات التاريخية المتعلقة بموسمية الطلب، اتجاهات المستهلكين، والتغيرات الاقتصادية المحلية. ومن منظور تنفيذي، يتيح هذا </w:t>
      </w:r>
      <w:r w:rsidRPr="00AF505F">
        <w:rPr>
          <w:rFonts w:asciiTheme="majorBidi" w:hAnsiTheme="majorBidi" w:cstheme="majorBidi"/>
          <w:sz w:val="28"/>
          <w:szCs w:val="28"/>
          <w:rtl/>
        </w:rPr>
        <w:lastRenderedPageBreak/>
        <w:t>التنبؤ تحسين التخطيط المالي والإنتاجي، وتعزيز القدرة على الاستجابة للتقلبات السوقية، مع ضرورة ضمان جودة البيانات لتفادي النتائج المتحيزة أو غير الدقيقة</w:t>
      </w:r>
      <w:r w:rsidRPr="00AF505F">
        <w:rPr>
          <w:rFonts w:asciiTheme="majorBidi" w:hAnsiTheme="majorBidi" w:cstheme="majorBidi"/>
          <w:sz w:val="28"/>
          <w:szCs w:val="28"/>
          <w:lang w:bidi="ar-EG"/>
        </w:rPr>
        <w:t>.</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Alsanosi</w:t>
      </w:r>
      <w:proofErr w:type="spellEnd"/>
      <w:r w:rsidRPr="00AF505F">
        <w:rPr>
          <w:rFonts w:asciiTheme="majorBidi" w:hAnsiTheme="majorBidi" w:cstheme="majorBidi"/>
          <w:sz w:val="28"/>
          <w:szCs w:val="28"/>
        </w:rPr>
        <w:t xml:space="preserve"> &amp; Padmanabhan, 2024, p.1)</w:t>
      </w:r>
    </w:p>
    <w:p w14:paraId="40549813" w14:textId="77777777" w:rsidR="00AF505F" w:rsidRPr="00AF505F" w:rsidRDefault="00AF505F" w:rsidP="00AF505F">
      <w:pPr>
        <w:pStyle w:val="a3"/>
        <w:numPr>
          <w:ilvl w:val="0"/>
          <w:numId w:val="10"/>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تطوير سلاسل الإمداد الذكية</w:t>
      </w:r>
      <w:r w:rsidRPr="00AF505F">
        <w:rPr>
          <w:rFonts w:asciiTheme="majorBidi" w:hAnsiTheme="majorBidi" w:cstheme="majorBidi"/>
          <w:b/>
          <w:bCs/>
          <w:sz w:val="28"/>
          <w:szCs w:val="28"/>
          <w:lang w:bidi="ar-EG"/>
        </w:rPr>
        <w:t>:</w:t>
      </w:r>
    </w:p>
    <w:p w14:paraId="085ADC82"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تعمل تقنيات الذكاء الاصطناعي على تحويل سلاسل الإمداد في المملكة إلى أنظمة ذكية قادرة على الاستجابة لمتغيرات السوق بسرعة ومرونة. تستخدم المؤسسات السعودية التحليلات التنبؤية وأجهزة الاستشعار الذكية لمراقبة المخزون وتحسين توزيع المنتجات، وتقليل زمن النقل والتخزين. وتبرز هنا أهمية تكامل هذه الأنظمة مع البنية التحتية الرقمية القائمة، إلى جانب تدريب الكوادر المحلية على إدارة العمليات الذكية، بما يضمن استدامة الأداء ويحقق الاستجابة السريعة للمتغيرات التشغيلية</w:t>
      </w:r>
      <w:r w:rsidRPr="00AF505F">
        <w:rPr>
          <w:rFonts w:asciiTheme="majorBidi" w:hAnsiTheme="majorBidi" w:cstheme="majorBidi"/>
          <w:sz w:val="28"/>
          <w:szCs w:val="28"/>
          <w:lang w:bidi="ar-EG"/>
        </w:rPr>
        <w:t>.</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Alshamsi</w:t>
      </w:r>
      <w:proofErr w:type="spellEnd"/>
      <w:r w:rsidRPr="00AF505F">
        <w:rPr>
          <w:rFonts w:asciiTheme="majorBidi" w:hAnsiTheme="majorBidi" w:cstheme="majorBidi"/>
          <w:sz w:val="28"/>
          <w:szCs w:val="28"/>
        </w:rPr>
        <w:t xml:space="preserve"> et al., 2024, p.1)</w:t>
      </w:r>
    </w:p>
    <w:p w14:paraId="20CA2545" w14:textId="77777777" w:rsidR="00AF505F" w:rsidRPr="00AF505F" w:rsidRDefault="00AF505F" w:rsidP="00AF505F">
      <w:pPr>
        <w:pStyle w:val="a3"/>
        <w:numPr>
          <w:ilvl w:val="0"/>
          <w:numId w:val="10"/>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تعزيز جودة وسلامة الغذاء</w:t>
      </w:r>
      <w:r w:rsidRPr="00AF505F">
        <w:rPr>
          <w:rFonts w:asciiTheme="majorBidi" w:hAnsiTheme="majorBidi" w:cstheme="majorBidi"/>
          <w:b/>
          <w:bCs/>
          <w:sz w:val="28"/>
          <w:szCs w:val="28"/>
          <w:lang w:bidi="ar-EG"/>
        </w:rPr>
        <w:t>:</w:t>
      </w:r>
    </w:p>
    <w:p w14:paraId="06048AD5"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تعد سلامة الغذاء وجودته محورًا استراتيجيًا في المملكة، حيث تتيح تقنيات الذكاء الاصطناعي، بما في ذلك الرؤية الحاسوبية وأجهزة الاستشعار، الكشف المبكر عن الشوائب والتلوث أو الانحرافات في عمليات التصنيع. هذا يسهم في حماية المستهلكين وتعزيز الثقة في المنتجات المحلية، بما يتماشى مع متطلبات هيئة الغذاء والدواء السعودية. من منظور تحليلي، يتطلب دمج هذه التقنية ضبط المعايير التشغيلية وتحديث البروتوكولات بشكل مستمر لضمان مطابقة المنتجات للمعايير الوطنية والدولية</w:t>
      </w:r>
      <w:r w:rsidRPr="00AF505F">
        <w:rPr>
          <w:rFonts w:asciiTheme="majorBidi" w:hAnsiTheme="majorBidi" w:cstheme="majorBidi"/>
          <w:sz w:val="28"/>
          <w:szCs w:val="28"/>
          <w:lang w:bidi="ar-EG"/>
        </w:rPr>
        <w:t>.</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(Arabia, 2022, p.30)</w:t>
      </w:r>
    </w:p>
    <w:p w14:paraId="774EBAC8" w14:textId="77777777" w:rsidR="00AF505F" w:rsidRPr="00AF505F" w:rsidRDefault="00AF505F" w:rsidP="00AF505F">
      <w:pPr>
        <w:pStyle w:val="a3"/>
        <w:numPr>
          <w:ilvl w:val="0"/>
          <w:numId w:val="10"/>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تحسين التسويق وتحليل سلوك المستهلك</w:t>
      </w:r>
      <w:r w:rsidRPr="00AF505F">
        <w:rPr>
          <w:rFonts w:asciiTheme="majorBidi" w:hAnsiTheme="majorBidi" w:cstheme="majorBidi"/>
          <w:b/>
          <w:bCs/>
          <w:sz w:val="28"/>
          <w:szCs w:val="28"/>
          <w:lang w:bidi="ar-EG"/>
        </w:rPr>
        <w:t>:</w:t>
      </w:r>
    </w:p>
    <w:p w14:paraId="22608DB5"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تتيح تقنيات الذكاء الاصطناعي للشركات السعودية تحليل سلوك المستهلكين المحليين وفهم تفضيلاتهم، مما يدعم تصميم حملات تسويقية فعالة وتطوير منتجات تتوافق مع الثقافة والاحتياجات المحلية. تستخدم المؤسسات أدوات معالجة اللغة الطبيعية وتحليل البيانات الضخمة لدراسة التوجهات الاستهلاكية، وتعزيز استراتيجيات الترويج. ومن الجانب النقدي، يستلزم ذلك مراعاة الجوانب الأخلاقية والخصوصية، والتأكد من أن التحليلات تعزز استدامة العلاقات مع المستهلكين دون الإفراط في الاعتماد على الأتمتة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Binsaeed</w:t>
      </w:r>
      <w:proofErr w:type="spellEnd"/>
      <w:r w:rsidRPr="00AF505F">
        <w:rPr>
          <w:rFonts w:asciiTheme="majorBidi" w:hAnsiTheme="majorBidi" w:cstheme="majorBidi"/>
          <w:sz w:val="28"/>
          <w:szCs w:val="28"/>
        </w:rPr>
        <w:t xml:space="preserve"> et al., 2023, p.1)</w:t>
      </w:r>
    </w:p>
    <w:p w14:paraId="6D2926C0" w14:textId="77777777" w:rsidR="00AF505F" w:rsidRPr="00AF505F" w:rsidRDefault="00AF505F" w:rsidP="00AF505F">
      <w:pPr>
        <w:pStyle w:val="a3"/>
        <w:numPr>
          <w:ilvl w:val="0"/>
          <w:numId w:val="10"/>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إدارة المخاطر التشغيلية</w:t>
      </w:r>
      <w:r w:rsidRPr="00AF505F">
        <w:rPr>
          <w:rFonts w:asciiTheme="majorBidi" w:hAnsiTheme="majorBidi" w:cstheme="majorBidi"/>
          <w:b/>
          <w:bCs/>
          <w:sz w:val="28"/>
          <w:szCs w:val="28"/>
          <w:lang w:bidi="ar-EG"/>
        </w:rPr>
        <w:t>:</w:t>
      </w:r>
    </w:p>
    <w:p w14:paraId="5EC09753" w14:textId="77777777" w:rsidR="00AF505F" w:rsidRPr="00AF505F" w:rsidRDefault="00AF505F" w:rsidP="00AF505F">
      <w:pPr>
        <w:pStyle w:val="a3"/>
        <w:bidi/>
        <w:jc w:val="both"/>
        <w:rPr>
          <w:rFonts w:asciiTheme="majorBidi" w:hAnsiTheme="majorBidi" w:cstheme="majorBidi"/>
          <w:sz w:val="28"/>
          <w:szCs w:val="28"/>
          <w:rtl/>
          <w:lang w:bidi="ar-EG"/>
        </w:rPr>
      </w:pPr>
      <w:r w:rsidRPr="00AF505F">
        <w:rPr>
          <w:rFonts w:asciiTheme="majorBidi" w:hAnsiTheme="majorBidi" w:cstheme="majorBidi"/>
          <w:sz w:val="28"/>
          <w:szCs w:val="28"/>
          <w:rtl/>
        </w:rPr>
        <w:t>تسهم تطبيقات الذكاء الاصطناعي في الحد من المخاطر التشغيلية في المصانع والمستودعات الغذائية في المملكة من خلال التنبؤ بالأعطال، مراقبة المعدات، وتحليل البيانات التشغيلية للكشف المبكر عن المشكلات. يعزز هذا النهج القدرة على التخطيط الاستراتيجي وتقليل الخسائر المالية، لكنه يتطلب تكامل الأدوات التقنية مع الخبرة البشرية لضمان اتخاذ قرارات رشيدة في الحالات غير المتوقعة أو المعقدة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Badghish</w:t>
      </w:r>
      <w:proofErr w:type="spellEnd"/>
      <w:r w:rsidRPr="00AF505F">
        <w:rPr>
          <w:rFonts w:asciiTheme="majorBidi" w:hAnsiTheme="majorBidi" w:cstheme="majorBidi"/>
          <w:sz w:val="28"/>
          <w:szCs w:val="28"/>
        </w:rPr>
        <w:t xml:space="preserve"> &amp; Soomro, 2024, p.1)</w:t>
      </w:r>
    </w:p>
    <w:p w14:paraId="1D7A237F" w14:textId="77777777" w:rsidR="00AF505F" w:rsidRPr="00AF505F" w:rsidRDefault="00AF505F" w:rsidP="00AF505F">
      <w:pPr>
        <w:pStyle w:val="a3"/>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 xml:space="preserve">مما سبق يتضح أن تطبيقات الذكاء الاصطناعي في قطاع الصناعات الغذائية بالمملكة العربية السعودية تشكل محورًا استراتيجيًا متعدد الأبعاد، يربط بين تحسين الإنتاج، تطوير سلاسل الإمداد، تعزيز الجودة وسلامة الغذاء، فهم المستهلكين، وإدارة المخاطر التشغيلية. تكامل هذه التطبيقات مع البنية التحتية الرقمية والكفاءات المحلية يتيح تحقيق قرارات استراتيجية دقيقة ومستدامة، ويعكس التزام المؤسسات السعودية بالابتكار والتحول الرقمي </w:t>
      </w:r>
      <w:r w:rsidRPr="00AF505F">
        <w:rPr>
          <w:rFonts w:asciiTheme="majorBidi" w:hAnsiTheme="majorBidi" w:cstheme="majorBidi"/>
          <w:sz w:val="28"/>
          <w:szCs w:val="28"/>
          <w:rtl/>
        </w:rPr>
        <w:lastRenderedPageBreak/>
        <w:t>وفق أهداف رؤية 2030، مع الحفاظ على التوازن بين التكنولوجيا والخبرة البشرية لضمان كفاءة ومرونة الأداء</w:t>
      </w:r>
      <w:r w:rsidRPr="00AF505F">
        <w:rPr>
          <w:rFonts w:asciiTheme="majorBidi" w:hAnsiTheme="majorBidi" w:cstheme="majorBidi"/>
          <w:sz w:val="28"/>
          <w:szCs w:val="28"/>
          <w:rtl/>
          <w:lang w:bidi="ar-EG"/>
        </w:rPr>
        <w:t>.</w:t>
      </w:r>
    </w:p>
    <w:p w14:paraId="71B07887" w14:textId="77777777" w:rsidR="00AF505F" w:rsidRPr="00AF505F" w:rsidRDefault="00AF505F" w:rsidP="00AF505F">
      <w:pPr>
        <w:bidi/>
        <w:rPr>
          <w:rFonts w:asciiTheme="majorBidi" w:hAnsiTheme="majorBidi" w:cstheme="majorBidi"/>
          <w:b/>
          <w:bCs/>
          <w:sz w:val="28"/>
          <w:szCs w:val="28"/>
          <w:rtl/>
        </w:rPr>
      </w:pPr>
      <w:r w:rsidRPr="00AF505F">
        <w:rPr>
          <w:rFonts w:asciiTheme="majorBidi" w:hAnsiTheme="majorBidi" w:cstheme="majorBidi"/>
          <w:b/>
          <w:bCs/>
          <w:sz w:val="28"/>
          <w:szCs w:val="28"/>
          <w:rtl/>
        </w:rPr>
        <w:t>مزايا تبني تقنيات الذكاء الاصطناعي في المنظمات</w:t>
      </w:r>
    </w:p>
    <w:p w14:paraId="1A0CD87E"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أصبح تبني تقنيات الذكاء الاصطناعي في المؤسسات الحديثة عنصرًا محوريًا لتعزيز الأداء وتحقيق الميزة التنافسية، حيث توفر هذه التقنيات إمكانات واسعة لتحليل البيانات واتخاذ القرارات بشكل أكثر دقة وفعالية. ويعكس اعتماد الذكاء الاصطناعي التزام المؤسسات بتحسين العمليات التشغيلية، تطوير القدرات الابتكارية، وتحقيق استدامة طويلة الأمد. ومن هذا المنطلق، تعد دراسة مزايا هذه التقنيات أمرًا جوهريًا لفهم دورها الاستراتيجي في دعم القرارات الإدارية وتعزيز القدرة التنافسية للمؤسسات</w:t>
      </w:r>
      <w:r w:rsidRPr="00AF505F">
        <w:rPr>
          <w:rFonts w:asciiTheme="majorBidi" w:hAnsiTheme="majorBidi" w:cstheme="majorBidi"/>
          <w:sz w:val="28"/>
          <w:szCs w:val="28"/>
          <w:lang w:bidi="ar-EG"/>
        </w:rPr>
        <w:t>.</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(Felemban et al., 2024, p.1)</w:t>
      </w:r>
    </w:p>
    <w:p w14:paraId="79DA2094" w14:textId="77777777" w:rsidR="00AF505F" w:rsidRPr="00AF505F" w:rsidRDefault="00AF505F" w:rsidP="00AF505F">
      <w:pPr>
        <w:pStyle w:val="a3"/>
        <w:numPr>
          <w:ilvl w:val="0"/>
          <w:numId w:val="11"/>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تحسين الكفاءة التشغيلية</w:t>
      </w:r>
      <w:r w:rsidRPr="00AF505F">
        <w:rPr>
          <w:rFonts w:asciiTheme="majorBidi" w:hAnsiTheme="majorBidi" w:cstheme="majorBidi"/>
          <w:b/>
          <w:bCs/>
          <w:sz w:val="28"/>
          <w:szCs w:val="28"/>
          <w:rtl/>
          <w:lang w:bidi="ar-EG"/>
        </w:rPr>
        <w:t>:</w:t>
      </w:r>
    </w:p>
    <w:p w14:paraId="4020C08E"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تساهم تقنيات الذكاء الاصطناعي في رفع الكفاءة التشغيلية عبر أتمتة العمليات الروتينية، وتقليل الأخطاء البشرية، وتحسين تدفق المعلومات داخل المؤسسة. فعلى سبيل المثال، يمكن للأنظمة الذكية مراقبة الإنتاج والتوزيع بشكل مستمر، والتنبؤ بالاختناقات أو المشكلات التشغيلية قبل حدوثها. ومن منظور تحليلي، يظهر أن تحسين الكفاءة لا يقتصر على السرعة وحدها، بل يشمل أيضًا تعزيز المرونة التشغيلية، وتمكين المؤسسات من الاستجابة السريعة للتغيرات في الأسواق أو الطلب على المنتجات والخدمات</w:t>
      </w:r>
      <w:r w:rsidRPr="00AF505F">
        <w:rPr>
          <w:rFonts w:asciiTheme="majorBidi" w:hAnsiTheme="majorBidi" w:cstheme="majorBidi"/>
          <w:sz w:val="28"/>
          <w:szCs w:val="28"/>
          <w:lang w:bidi="ar-EG"/>
        </w:rPr>
        <w:t>.</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(Kumar et al., 2025, p.1289)</w:t>
      </w:r>
    </w:p>
    <w:p w14:paraId="4387EBEA" w14:textId="77777777" w:rsidR="00AF505F" w:rsidRPr="00AF505F" w:rsidRDefault="00AF505F" w:rsidP="00AF505F">
      <w:pPr>
        <w:pStyle w:val="a3"/>
        <w:numPr>
          <w:ilvl w:val="0"/>
          <w:numId w:val="11"/>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رفع جودة القرارات الإدارية</w:t>
      </w:r>
      <w:r w:rsidRPr="00AF505F">
        <w:rPr>
          <w:rFonts w:asciiTheme="majorBidi" w:hAnsiTheme="majorBidi" w:cstheme="majorBidi"/>
          <w:b/>
          <w:bCs/>
          <w:sz w:val="28"/>
          <w:szCs w:val="28"/>
          <w:lang w:bidi="ar-EG"/>
        </w:rPr>
        <w:t>:</w:t>
      </w:r>
    </w:p>
    <w:p w14:paraId="5072522A"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توفر تقنيات الذكاء الاصطناعي أدوات تحليلية متقدمة تدعم المديرين التنفيذيين في اتخاذ قرارات مستنيرة مبنية على بيانات دقيقة ومعالجة متعمقة. تسهم خوارزميات التعلم الآلي وتحليل البيانات الضخمة في تقليل المخاطر المرتبطة بالقرارات العشوائية أو المبنية على حدس محدود. ومن منظور نقدي، يشير التحليل إلى أن دمج الذكاء الاصطناعي مع الخبرة البشرية يحقق توازنًا بين الدقة التحليلية والقدرة على فهم السياق التنظيمي، وهو ما يعزز جودة القرارات ويجعلها أكثر مواءمة مع الأهداف الاستراتيجية للمؤسسة</w:t>
      </w:r>
      <w:r w:rsidRPr="00AF505F">
        <w:rPr>
          <w:rFonts w:asciiTheme="majorBidi" w:hAnsiTheme="majorBidi" w:cstheme="majorBidi"/>
          <w:sz w:val="28"/>
          <w:szCs w:val="28"/>
          <w:lang w:bidi="ar-EG"/>
        </w:rPr>
        <w:t>.</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(Louati et al., 2024, p.1)</w:t>
      </w:r>
    </w:p>
    <w:p w14:paraId="4CC6ED26" w14:textId="77777777" w:rsidR="00AF505F" w:rsidRPr="00AF505F" w:rsidRDefault="00AF505F" w:rsidP="00AF505F">
      <w:pPr>
        <w:pStyle w:val="a3"/>
        <w:numPr>
          <w:ilvl w:val="0"/>
          <w:numId w:val="11"/>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تعزيز الابتكار والتنافسية</w:t>
      </w:r>
      <w:r w:rsidRPr="00AF505F">
        <w:rPr>
          <w:rFonts w:asciiTheme="majorBidi" w:hAnsiTheme="majorBidi" w:cstheme="majorBidi"/>
          <w:b/>
          <w:bCs/>
          <w:sz w:val="28"/>
          <w:szCs w:val="28"/>
          <w:lang w:bidi="ar-EG"/>
        </w:rPr>
        <w:t>:</w:t>
      </w:r>
    </w:p>
    <w:p w14:paraId="0684A71F"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يسهم تبني الذكاء الاصطناعي في تعزيز قدرات الابتكار داخل المؤسسات، من خلال تطوير منتجات وخدمات جديدة، وتحسين العمليات الحالية، واستشراف فرص السوق المستقبلية. توفر هذه التقنيات القدرة على تحليل البيانات بشكل إبداعي واكتشاف حلول غير تقليدية، ما يمنح المؤسسات ميزة تنافسية مستدامة. ومن منظور تنفيذي، يمثل الابتكار المعزز بالذكاء الاصطناعي عاملاً رئيسيًا في تمكين المؤسسات من التكيف مع متغيرات السوق وتحقيق التفوق على المنافسين، مع مراعاة أن الابتكار التقني يحتاج دائمًا إلى دعم استراتيجي وتخطيط منهجي لضمان تطبيقه بفاعلية</w:t>
      </w:r>
      <w:r w:rsidRPr="00AF505F">
        <w:rPr>
          <w:rFonts w:asciiTheme="majorBidi" w:hAnsiTheme="majorBidi" w:cstheme="majorBidi"/>
          <w:sz w:val="28"/>
          <w:szCs w:val="28"/>
          <w:lang w:bidi="ar-EG"/>
        </w:rPr>
        <w:t>.</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lang w:bidi="ar-EG"/>
        </w:rPr>
        <w:t>(Saeed et al., 2023, p.1)</w:t>
      </w:r>
    </w:p>
    <w:p w14:paraId="2A0BFB59" w14:textId="77777777" w:rsidR="00AF505F" w:rsidRPr="00AF505F" w:rsidRDefault="00AF505F" w:rsidP="00AF505F">
      <w:pPr>
        <w:pStyle w:val="a3"/>
        <w:numPr>
          <w:ilvl w:val="0"/>
          <w:numId w:val="11"/>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تقليل التكاليف التشغيلية</w:t>
      </w:r>
      <w:r w:rsidRPr="00AF505F">
        <w:rPr>
          <w:rFonts w:asciiTheme="majorBidi" w:hAnsiTheme="majorBidi" w:cstheme="majorBidi"/>
          <w:b/>
          <w:bCs/>
          <w:sz w:val="28"/>
          <w:szCs w:val="28"/>
          <w:lang w:bidi="ar-EG"/>
        </w:rPr>
        <w:t>:</w:t>
      </w:r>
    </w:p>
    <w:p w14:paraId="28B649D1"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lastRenderedPageBreak/>
        <w:t>يساهم الذكاء الاصطناعي في تقليل التكاليف من خلال تحسين استهلاك الموارد، أتمتة المهام المتكررة، وتجنب الأخطاء المكلفة. يمكن للمؤسسات توقع احتياجات الإنتاج بدقة أكبر، وتقليل الهدر، وتحسين كفاءة سلسلة الإمداد. ومع ذلك، يظهر التحليل النقدي أن تحقيق هذه الميزة يتطلب استثمارات أولية في البنية التحتية الرقمية والتدريب، وهو ما يجعل من الضروري تقييم العائد على الاستثمار بعناية لضمان استدامة التكاليف المنخفضة على المدى الطويل</w:t>
      </w:r>
      <w:r w:rsidRPr="00AF505F">
        <w:rPr>
          <w:rFonts w:asciiTheme="majorBidi" w:hAnsiTheme="majorBidi" w:cstheme="majorBidi"/>
          <w:sz w:val="28"/>
          <w:szCs w:val="28"/>
          <w:lang w:bidi="ar-EG"/>
        </w:rPr>
        <w:t>.</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Aljohani</w:t>
      </w:r>
      <w:proofErr w:type="spellEnd"/>
      <w:r w:rsidRPr="00AF505F">
        <w:rPr>
          <w:rFonts w:asciiTheme="majorBidi" w:hAnsiTheme="majorBidi" w:cstheme="majorBidi"/>
          <w:sz w:val="28"/>
          <w:szCs w:val="28"/>
        </w:rPr>
        <w:t xml:space="preserve"> &amp; </w:t>
      </w:r>
      <w:proofErr w:type="spellStart"/>
      <w:r w:rsidRPr="00AF505F">
        <w:rPr>
          <w:rFonts w:asciiTheme="majorBidi" w:hAnsiTheme="majorBidi" w:cstheme="majorBidi"/>
          <w:sz w:val="28"/>
          <w:szCs w:val="28"/>
        </w:rPr>
        <w:t>Albliwi</w:t>
      </w:r>
      <w:proofErr w:type="spellEnd"/>
      <w:r w:rsidRPr="00AF505F">
        <w:rPr>
          <w:rFonts w:asciiTheme="majorBidi" w:hAnsiTheme="majorBidi" w:cstheme="majorBidi"/>
          <w:sz w:val="28"/>
          <w:szCs w:val="28"/>
        </w:rPr>
        <w:t>, 2022, p.1)</w:t>
      </w:r>
    </w:p>
    <w:p w14:paraId="743AB183" w14:textId="77777777" w:rsidR="00AF505F" w:rsidRPr="00AF505F" w:rsidRDefault="00AF505F" w:rsidP="00AF505F">
      <w:pPr>
        <w:pStyle w:val="a3"/>
        <w:numPr>
          <w:ilvl w:val="0"/>
          <w:numId w:val="11"/>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دعم الاستدامة المؤسسية</w:t>
      </w:r>
      <w:r w:rsidRPr="00AF505F">
        <w:rPr>
          <w:rFonts w:asciiTheme="majorBidi" w:hAnsiTheme="majorBidi" w:cstheme="majorBidi"/>
          <w:b/>
          <w:bCs/>
          <w:sz w:val="28"/>
          <w:szCs w:val="28"/>
          <w:lang w:bidi="ar-EG"/>
        </w:rPr>
        <w:t>:</w:t>
      </w:r>
    </w:p>
    <w:p w14:paraId="0AB8DF96" w14:textId="77777777" w:rsidR="00AF505F" w:rsidRPr="00AF505F" w:rsidRDefault="00AF505F" w:rsidP="00AF505F">
      <w:pPr>
        <w:pStyle w:val="a3"/>
        <w:bidi/>
        <w:jc w:val="both"/>
        <w:rPr>
          <w:rFonts w:asciiTheme="majorBidi" w:hAnsiTheme="majorBidi" w:cstheme="majorBidi"/>
          <w:sz w:val="28"/>
          <w:szCs w:val="28"/>
          <w:rtl/>
        </w:rPr>
      </w:pPr>
      <w:r w:rsidRPr="00AF505F">
        <w:rPr>
          <w:rFonts w:asciiTheme="majorBidi" w:hAnsiTheme="majorBidi" w:cstheme="majorBidi"/>
          <w:sz w:val="28"/>
          <w:szCs w:val="28"/>
          <w:rtl/>
        </w:rPr>
        <w:t xml:space="preserve">تمثل الاستدامة مؤشراً حيوياً لنجاح المؤسسات في بيئات الأعمال المعقدة، ويسهم الذكاء الاصطناعي في تحقيقها من خلال تحسين كفاءة استخدام الموارد، تعزيز الرقابة البيئية، وتحسين إدارة المخاطر. كما يمكن استخدام التقنيات الذكية لمراقبة الانبعاثات وتقليل الهدر في عمليات الإنتاج والتوزيع. ومن منظور تحليلي، يعكس دمج الذكاء الاصطناعي ضمن استراتيجيات الاستدامة رؤية مؤسسية متقدمة، توازن بين تحقيق الأهداف الاقتصادية والاجتماعية والبيئية، وتعزز القدرة على المنافسة طويلة الأمد. </w:t>
      </w:r>
      <w:r w:rsidRPr="00AF505F">
        <w:rPr>
          <w:rFonts w:asciiTheme="majorBidi" w:hAnsiTheme="majorBidi" w:cstheme="majorBidi"/>
          <w:sz w:val="28"/>
          <w:szCs w:val="28"/>
        </w:rPr>
        <w:t>(AlQahtani, 2023, p.1)</w:t>
      </w:r>
    </w:p>
    <w:p w14:paraId="71662DAB" w14:textId="77777777" w:rsidR="00AF505F" w:rsidRPr="00AF505F" w:rsidRDefault="00AF505F" w:rsidP="00AF505F">
      <w:pPr>
        <w:pStyle w:val="a3"/>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مما سبق يتضح أن تبني تقنيات الذكاء الاصطناعي في المنظمات يوفر مجموعة متكاملة من المزايا الاستراتيجية، تشمل تحسين الكفاءة التشغيلية، رفع جودة القرارات الإدارية، تعزيز الابتكار والتنافسية، تقليل التكاليف التشغيلية، ودعم الاستدامة المؤسسية. ويظهر من التحليل أن الاستفادة القصوى من هذه المزايا تتطلب دمج القدرات التقنية مع الخبرة البشرية والبنية التحتية المؤسسية، بما يضمن اتخاذ قرارات دقيقة وفعالة، وتحقيق توازن مستدام بين الأداء المؤسسي والابتكار والمسؤولية الاجتماعية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Alarefi</w:t>
      </w:r>
      <w:proofErr w:type="spellEnd"/>
      <w:r w:rsidRPr="00AF505F">
        <w:rPr>
          <w:rFonts w:asciiTheme="majorBidi" w:hAnsiTheme="majorBidi" w:cstheme="majorBidi"/>
          <w:sz w:val="28"/>
          <w:szCs w:val="28"/>
        </w:rPr>
        <w:t>, 2024, p.16802)</w:t>
      </w:r>
    </w:p>
    <w:p w14:paraId="77F2F174" w14:textId="77777777" w:rsidR="00AF505F" w:rsidRPr="00AF505F" w:rsidRDefault="00AF505F" w:rsidP="00AF505F">
      <w:pPr>
        <w:bidi/>
        <w:rPr>
          <w:rFonts w:asciiTheme="majorBidi" w:hAnsiTheme="majorBidi" w:cstheme="majorBidi"/>
          <w:b/>
          <w:bCs/>
          <w:sz w:val="28"/>
          <w:szCs w:val="28"/>
          <w:rtl/>
        </w:rPr>
      </w:pPr>
      <w:r w:rsidRPr="00AF505F">
        <w:rPr>
          <w:rFonts w:asciiTheme="majorBidi" w:hAnsiTheme="majorBidi" w:cstheme="majorBidi"/>
          <w:b/>
          <w:bCs/>
          <w:sz w:val="28"/>
          <w:szCs w:val="28"/>
          <w:rtl/>
        </w:rPr>
        <w:t>التحديات والمعوقات المرتبطة بتبني تقنيات الذكاء الاصطناعي</w:t>
      </w:r>
    </w:p>
    <w:p w14:paraId="3E25E48E"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يواجه تبني تقنيات الذكاء الاصطناعي في المؤسسات تحديات متعددة تتعلق بالجوانب التقنية والتنظيمية والبشرية والقانونية، والتي قد تؤثر على فاعلية استغلال هذه التقنيات لتحقيق الأهداف الاستراتيجية. ويبرز هذا الأمر بوضوح في قطاع الصناعات والخدمات بالمملكة العربية السعودية، حيث تتطلب رؤية 2030 تعزيز الابتكار والتحول الرقمي، مع مواجهة العقبات المحتملة لضمان دمج الذكاء الاصطناعي بشكل فعال ومستدام. إن فهم هذه المعوقات بشكل دقيق يمكّن المؤسسات من تطوير استراتيجيات للتغلب عليها وتحقيق أعلى مستوى من الأداء المؤسسي</w:t>
      </w:r>
      <w:r w:rsidRPr="00AF505F">
        <w:rPr>
          <w:rFonts w:asciiTheme="majorBidi" w:hAnsiTheme="majorBidi" w:cstheme="majorBidi"/>
          <w:sz w:val="28"/>
          <w:szCs w:val="28"/>
          <w:lang w:bidi="ar-EG"/>
        </w:rPr>
        <w:t>.</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Kazaba</w:t>
      </w:r>
      <w:proofErr w:type="spellEnd"/>
      <w:r w:rsidRPr="00AF505F">
        <w:rPr>
          <w:rFonts w:asciiTheme="majorBidi" w:hAnsiTheme="majorBidi" w:cstheme="majorBidi"/>
          <w:sz w:val="28"/>
          <w:szCs w:val="28"/>
        </w:rPr>
        <w:t>, 2024, p.1291)</w:t>
      </w:r>
    </w:p>
    <w:p w14:paraId="4EBDE756" w14:textId="77777777" w:rsidR="00AF505F" w:rsidRPr="00AF505F" w:rsidRDefault="00AF505F" w:rsidP="00AF505F">
      <w:pPr>
        <w:pStyle w:val="a3"/>
        <w:numPr>
          <w:ilvl w:val="0"/>
          <w:numId w:val="12"/>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التحديات التقنية والتكنولوجية</w:t>
      </w:r>
      <w:r w:rsidRPr="00AF505F">
        <w:rPr>
          <w:rFonts w:asciiTheme="majorBidi" w:hAnsiTheme="majorBidi" w:cstheme="majorBidi"/>
          <w:b/>
          <w:bCs/>
          <w:sz w:val="28"/>
          <w:szCs w:val="28"/>
          <w:lang w:bidi="ar-EG"/>
        </w:rPr>
        <w:t>:</w:t>
      </w:r>
    </w:p>
    <w:p w14:paraId="6660C095"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تتمثل أبرز التحديات التقنية في الحاجة إلى بنية تحتية رقمية متطورة، وقدرات حاسوبية عالية، وأنظمة برمجية متكاملة لمعالجة البيانات الضخمة وتطوير النماذج الذكية. بالإضافة إلى ذلك، يشكل تكامل الأنظمة القديمة مع التقنيات الحديثة تحديًا كبيرًا، حيث قد تتطلب التحديثات إعادة هندسة العمليات الحالية. ومن منظور تحليلي، يتضح أن التغلب على هذه التحديات يتطلب استثمارات كبيرة في البنية التحتية الرقمية، والتخطيط الاستراتيجي لاستخدام الموارد التقنية بكفاءة، لضمان استدامة وكفاءة تطبيقات الذكاء الاصطناعي</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Alsulami</w:t>
      </w:r>
      <w:proofErr w:type="spellEnd"/>
      <w:r w:rsidRPr="00AF505F">
        <w:rPr>
          <w:rFonts w:asciiTheme="majorBidi" w:hAnsiTheme="majorBidi" w:cstheme="majorBidi"/>
          <w:sz w:val="28"/>
          <w:szCs w:val="28"/>
        </w:rPr>
        <w:t>, 2026, p.504)</w:t>
      </w:r>
    </w:p>
    <w:p w14:paraId="28C8F503" w14:textId="77777777" w:rsidR="00AF505F" w:rsidRPr="00AF505F" w:rsidRDefault="00AF505F" w:rsidP="00AF505F">
      <w:pPr>
        <w:pStyle w:val="a3"/>
        <w:numPr>
          <w:ilvl w:val="0"/>
          <w:numId w:val="12"/>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التحديات التنظيمية والثقافية</w:t>
      </w:r>
      <w:r w:rsidRPr="00AF505F">
        <w:rPr>
          <w:rFonts w:asciiTheme="majorBidi" w:hAnsiTheme="majorBidi" w:cstheme="majorBidi"/>
          <w:b/>
          <w:bCs/>
          <w:sz w:val="28"/>
          <w:szCs w:val="28"/>
          <w:lang w:bidi="ar-EG"/>
        </w:rPr>
        <w:t>:</w:t>
      </w:r>
    </w:p>
    <w:p w14:paraId="406C489C"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lastRenderedPageBreak/>
        <w:t>تشكل مقاومة التغيير والتحديات الثقافية في المؤسسات عائقًا رئيسيًا أمام تبني الذكاء الاصطناعي، إذ قد يرفض بعض الموظفين أو المديرين تبني الأنظمة الذكية خوفًا من فقدان السيطرة أو الوظائف. كما يمكن أن تؤثر الثقافة المؤسسية على سرعة اعتماد الابتكارات التقنية وفعالية استخدام البيانات في صنع القرار. ويشير التحليل النقدي إلى أن معالجة هذه التحديات تتطلب تعزيز الوعي التنظيمي بالتقنيات الرقمية، وتطوير سياسات تدريبية وتشجيعية تدمج الموظفين في عملية التحول الرقمي لضمان نجاح الاستراتيجية المؤسسية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(Hicham &amp; Hamza, 2024, p.185)</w:t>
      </w:r>
    </w:p>
    <w:p w14:paraId="152A5E51" w14:textId="77777777" w:rsidR="00AF505F" w:rsidRPr="00AF505F" w:rsidRDefault="00AF505F" w:rsidP="00AF505F">
      <w:pPr>
        <w:pStyle w:val="a3"/>
        <w:numPr>
          <w:ilvl w:val="0"/>
          <w:numId w:val="12"/>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نقص الكفاءات البشرية المتخصصة</w:t>
      </w:r>
      <w:r w:rsidRPr="00AF505F">
        <w:rPr>
          <w:rFonts w:asciiTheme="majorBidi" w:hAnsiTheme="majorBidi" w:cstheme="majorBidi"/>
          <w:b/>
          <w:bCs/>
          <w:sz w:val="28"/>
          <w:szCs w:val="28"/>
          <w:lang w:bidi="ar-EG"/>
        </w:rPr>
        <w:t>:</w:t>
      </w:r>
    </w:p>
    <w:p w14:paraId="15711482"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تعد الكفاءات البشرية المؤهلة في مجالات الذكاء الاصطناعي وتحليل البيانات من أهم عوامل النجاح، إلا أن نقص الخبرات المتخصصة يمثل تحديًا ملموسًا، خصوصًا في سوق العمل السعودي الذي يشهد تحولًا سريعًا نحو الاقتصاد الرقمي. يتطلب ذلك استراتيجيات تعليمية وتدريبية متقدمة لبناء القدرات المحلية، بالإضافة إلى التعاون مع الجامعات والمؤسسات التعليمية لتطوير برامج متخصصة. من منظور تنفيذي، فإن قدرة المؤسسات على سد فجوة الكفاءات تؤثر بشكل مباشر على جودة تطبيقات الذكاء الاصطناعي وفاعلية القرارات المستندة إليها</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Almheiri</w:t>
      </w:r>
      <w:proofErr w:type="spellEnd"/>
      <w:r w:rsidRPr="00AF505F">
        <w:rPr>
          <w:rFonts w:asciiTheme="majorBidi" w:hAnsiTheme="majorBidi" w:cstheme="majorBidi"/>
          <w:sz w:val="28"/>
          <w:szCs w:val="28"/>
        </w:rPr>
        <w:t xml:space="preserve"> et al., 2024, p.953)</w:t>
      </w:r>
    </w:p>
    <w:p w14:paraId="2E2C72DB" w14:textId="77777777" w:rsidR="00AF505F" w:rsidRPr="00AF505F" w:rsidRDefault="00AF505F" w:rsidP="00AF505F">
      <w:pPr>
        <w:pStyle w:val="a3"/>
        <w:numPr>
          <w:ilvl w:val="0"/>
          <w:numId w:val="12"/>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التحديات القانونية والأخلاقية</w:t>
      </w:r>
      <w:r w:rsidRPr="00AF505F">
        <w:rPr>
          <w:rFonts w:asciiTheme="majorBidi" w:hAnsiTheme="majorBidi" w:cstheme="majorBidi"/>
          <w:b/>
          <w:bCs/>
          <w:sz w:val="28"/>
          <w:szCs w:val="28"/>
          <w:lang w:bidi="ar-EG"/>
        </w:rPr>
        <w:t>:</w:t>
      </w:r>
    </w:p>
    <w:p w14:paraId="7A3EF4CD"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 xml:space="preserve">تواجه المؤسسات تحديات تتعلق بالخصوصية وحماية البيانات، والامتثال للوائح المحلية والدولية، بما في ذلك قوانين حماية البيانات الشخصية في المملكة. كما تبرز القضايا الأخلاقية المتعلقة بتحليل البيانات واتخاذ القرارات عبر الذكاء الاصطناعي، مثل تحيّز النماذج أو تأثيرها على الفئات المختلفة من الموظفين والمستهلكين. ومن منظور تحليلي، يتضح أن تطوير سياسات واضحة للحوكمة الأخلاقية والقانونية يمثل عاملًا أساسيًا لضمان مسؤولية التطبيقات الذكية وموثوقية القرارات </w:t>
      </w:r>
      <w:proofErr w:type="gramStart"/>
      <w:r w:rsidRPr="00AF505F">
        <w:rPr>
          <w:rFonts w:asciiTheme="majorBidi" w:hAnsiTheme="majorBidi" w:cstheme="majorBidi"/>
          <w:sz w:val="28"/>
          <w:szCs w:val="28"/>
          <w:rtl/>
        </w:rPr>
        <w:t>الناتجة  عنها</w:t>
      </w:r>
      <w:proofErr w:type="gramEnd"/>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Aboalshamat</w:t>
      </w:r>
      <w:proofErr w:type="spellEnd"/>
      <w:r w:rsidRPr="00AF505F">
        <w:rPr>
          <w:rFonts w:asciiTheme="majorBidi" w:hAnsiTheme="majorBidi" w:cstheme="majorBidi"/>
          <w:sz w:val="28"/>
          <w:szCs w:val="28"/>
        </w:rPr>
        <w:t xml:space="preserve"> et al., 2022, p.52)</w:t>
      </w:r>
    </w:p>
    <w:p w14:paraId="5C4253FB" w14:textId="77777777" w:rsidR="00AF505F" w:rsidRPr="00AF505F" w:rsidRDefault="00AF505F" w:rsidP="00AF505F">
      <w:pPr>
        <w:pStyle w:val="a3"/>
        <w:numPr>
          <w:ilvl w:val="0"/>
          <w:numId w:val="12"/>
        </w:numPr>
        <w:bidi/>
        <w:jc w:val="both"/>
        <w:rPr>
          <w:rFonts w:asciiTheme="majorBidi" w:hAnsiTheme="majorBidi" w:cstheme="majorBidi"/>
          <w:sz w:val="28"/>
          <w:szCs w:val="28"/>
          <w:lang w:bidi="ar-EG"/>
        </w:rPr>
      </w:pPr>
      <w:proofErr w:type="gramStart"/>
      <w:r w:rsidRPr="00AF505F">
        <w:rPr>
          <w:rFonts w:asciiTheme="majorBidi" w:hAnsiTheme="majorBidi" w:cstheme="majorBidi"/>
          <w:b/>
          <w:bCs/>
          <w:sz w:val="28"/>
          <w:szCs w:val="28"/>
          <w:rtl/>
        </w:rPr>
        <w:t>مخاطر</w:t>
      </w:r>
      <w:proofErr w:type="gramEnd"/>
      <w:r w:rsidRPr="00AF505F">
        <w:rPr>
          <w:rFonts w:asciiTheme="majorBidi" w:hAnsiTheme="majorBidi" w:cstheme="majorBidi"/>
          <w:b/>
          <w:bCs/>
          <w:sz w:val="28"/>
          <w:szCs w:val="28"/>
          <w:rtl/>
        </w:rPr>
        <w:t xml:space="preserve"> الأمن السيبراني</w:t>
      </w:r>
      <w:r w:rsidRPr="00AF505F">
        <w:rPr>
          <w:rFonts w:asciiTheme="majorBidi" w:hAnsiTheme="majorBidi" w:cstheme="majorBidi"/>
          <w:b/>
          <w:bCs/>
          <w:sz w:val="28"/>
          <w:szCs w:val="28"/>
          <w:lang w:bidi="ar-EG"/>
        </w:rPr>
        <w:t>:</w:t>
      </w:r>
    </w:p>
    <w:p w14:paraId="779CB998" w14:textId="77777777" w:rsidR="00AF505F" w:rsidRPr="00AF505F" w:rsidRDefault="00AF505F" w:rsidP="00AF505F">
      <w:pPr>
        <w:pStyle w:val="a3"/>
        <w:bidi/>
        <w:jc w:val="both"/>
        <w:rPr>
          <w:rFonts w:asciiTheme="majorBidi" w:hAnsiTheme="majorBidi" w:cstheme="majorBidi"/>
          <w:sz w:val="28"/>
          <w:szCs w:val="28"/>
          <w:rtl/>
        </w:rPr>
      </w:pPr>
      <w:r w:rsidRPr="00AF505F">
        <w:rPr>
          <w:rFonts w:asciiTheme="majorBidi" w:hAnsiTheme="majorBidi" w:cstheme="majorBidi"/>
          <w:sz w:val="28"/>
          <w:szCs w:val="28"/>
          <w:rtl/>
        </w:rPr>
        <w:t xml:space="preserve">يشكل الأمن السيبراني تحديًا محوريًا عند تبني الذكاء الاصطناعي، حيث تعتمد المؤسسات على البيانات الرقمية بشكل كبير، ما يزيد من احتمالية التعرض للاختراقات والهجمات الإلكترونية. يتطلب ذلك تطبيق أنظمة حماية متقدمة، مراقبة مستمرة للبنية التحتية الرقمية، وإجراءات احترازية للتعامل مع الحوادث الأمنية. ومن منظور نقدي، يبرز أن دمج تقنيات الذكاء الاصطناعي مع استراتيجيات الأمن السيبراني يعزز الثقة في العمليات الرقمية، ويقلل المخاطر التشغيلية ويضمن استمرارية الأعمال في بيئة رقمية آمنة.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Abalkhail</w:t>
      </w:r>
      <w:proofErr w:type="spellEnd"/>
      <w:r w:rsidRPr="00AF505F">
        <w:rPr>
          <w:rFonts w:asciiTheme="majorBidi" w:hAnsiTheme="majorBidi" w:cstheme="majorBidi"/>
          <w:sz w:val="28"/>
          <w:szCs w:val="28"/>
        </w:rPr>
        <w:t xml:space="preserve"> &amp; Al Amri, 2022, p.1)</w:t>
      </w:r>
    </w:p>
    <w:p w14:paraId="5288EE42" w14:textId="77777777" w:rsidR="00AF505F" w:rsidRPr="00AF505F" w:rsidRDefault="00AF505F" w:rsidP="00AF505F">
      <w:pPr>
        <w:pStyle w:val="a3"/>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مما سبق يتضح أن تبني تقنيات الذكاء الاصطناعي في المؤسسات يواجه مجموعة متكاملة من التحديات تشمل التقنية، التنظيمية والثقافية، نقص الكفاءات البشرية، الجوانب القانونية والأخلاقية، ومخاطر الأمن السيبراني. وتتطلب الاستفادة المثلى من هذه التقنيات تطوير بنية تحتية رقمية قوية، تعزيز القدرات البشرية، وتطبيق سياسات حوكمة واضحة لضمان استدامة الأداء، وتحقيق توازن بين الابتكار الرقمي والمسؤولية المؤسسية، بما يضمن اتخاذ قرارات استراتيجية دقيقة وفعالة</w:t>
      </w:r>
      <w:r w:rsidRPr="00AF505F">
        <w:rPr>
          <w:rFonts w:asciiTheme="majorBidi" w:hAnsiTheme="majorBidi" w:cstheme="majorBidi"/>
          <w:sz w:val="28"/>
          <w:szCs w:val="28"/>
          <w:rtl/>
          <w:lang w:bidi="ar-EG"/>
        </w:rPr>
        <w:t>.</w:t>
      </w:r>
    </w:p>
    <w:p w14:paraId="6A29457F" w14:textId="77777777" w:rsidR="00AF505F" w:rsidRPr="00AF505F" w:rsidRDefault="00AF505F" w:rsidP="00AF505F">
      <w:pPr>
        <w:bidi/>
        <w:rPr>
          <w:rFonts w:asciiTheme="majorBidi" w:hAnsiTheme="majorBidi" w:cstheme="majorBidi"/>
          <w:b/>
          <w:bCs/>
          <w:sz w:val="28"/>
          <w:szCs w:val="28"/>
          <w:lang w:bidi="ar-EG"/>
        </w:rPr>
      </w:pPr>
      <w:r w:rsidRPr="00AF505F">
        <w:rPr>
          <w:rFonts w:asciiTheme="majorBidi" w:hAnsiTheme="majorBidi" w:cstheme="majorBidi"/>
          <w:b/>
          <w:bCs/>
          <w:sz w:val="28"/>
          <w:szCs w:val="28"/>
          <w:rtl/>
        </w:rPr>
        <w:lastRenderedPageBreak/>
        <w:t>متطلبات نجاح تبني تقنيات الذكاء الاصطناعي في المنظمات</w:t>
      </w:r>
    </w:p>
    <w:p w14:paraId="4C5C0C14"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 xml:space="preserve">تحقيق الفاعلية المثلى لتقنيات الذكاء الاصطناعي في المؤسسات لا يقتصر على توافر الأنظمة والأدوات الرقمية، بل يتطلب مجموعة من العوامل التنظيمية والاستراتيجية التي تدعم التكامل بين التكنولوجيا والموارد البشرية. في المملكة العربية السعودية، يمثل هذا التبني جزءًا أساسيًا من مساعي التحول الرقمي في ضوء رؤية 2030، حيث تسعى المؤسسات إلى تحسين الإنتاجية وتعزيز القدرة التنافسية من خلال الذكاء الاصطناعي. ومن هذا المنظور، يشكل تحديد متطلبات النجاح خطوة حاسمة لضمان استدامة تطبيق هذه التقنيات وتحقيق تأثير إيجابي ملموس على الأداء المؤسسي. </w:t>
      </w:r>
      <w:r w:rsidRPr="00AF505F">
        <w:rPr>
          <w:rFonts w:asciiTheme="majorBidi" w:hAnsiTheme="majorBidi" w:cstheme="majorBidi"/>
          <w:sz w:val="28"/>
          <w:szCs w:val="28"/>
        </w:rPr>
        <w:t xml:space="preserve">(Akinwale &amp; </w:t>
      </w:r>
      <w:proofErr w:type="spellStart"/>
      <w:r w:rsidRPr="00AF505F">
        <w:rPr>
          <w:rFonts w:asciiTheme="majorBidi" w:hAnsiTheme="majorBidi" w:cstheme="majorBidi"/>
          <w:sz w:val="28"/>
          <w:szCs w:val="28"/>
        </w:rPr>
        <w:t>AboAlsamh</w:t>
      </w:r>
      <w:proofErr w:type="spellEnd"/>
      <w:r w:rsidRPr="00AF505F">
        <w:rPr>
          <w:rFonts w:asciiTheme="majorBidi" w:hAnsiTheme="majorBidi" w:cstheme="majorBidi"/>
          <w:sz w:val="28"/>
          <w:szCs w:val="28"/>
        </w:rPr>
        <w:t>, 2023, p.1)</w:t>
      </w:r>
    </w:p>
    <w:p w14:paraId="0248272C" w14:textId="77777777" w:rsidR="00AF505F" w:rsidRPr="00AF505F" w:rsidRDefault="00AF505F" w:rsidP="00AF505F">
      <w:pPr>
        <w:pStyle w:val="a3"/>
        <w:numPr>
          <w:ilvl w:val="0"/>
          <w:numId w:val="13"/>
        </w:numPr>
        <w:bidi/>
        <w:jc w:val="both"/>
        <w:rPr>
          <w:rFonts w:asciiTheme="majorBidi" w:hAnsiTheme="majorBidi" w:cstheme="majorBidi"/>
          <w:sz w:val="28"/>
          <w:szCs w:val="28"/>
        </w:rPr>
      </w:pPr>
      <w:r w:rsidRPr="00AF505F">
        <w:rPr>
          <w:rFonts w:asciiTheme="majorBidi" w:hAnsiTheme="majorBidi" w:cstheme="majorBidi"/>
          <w:b/>
          <w:bCs/>
          <w:sz w:val="28"/>
          <w:szCs w:val="28"/>
          <w:rtl/>
        </w:rPr>
        <w:t>دعم الإدارة العليا</w:t>
      </w:r>
      <w:r w:rsidRPr="00AF505F">
        <w:rPr>
          <w:rFonts w:asciiTheme="majorBidi" w:hAnsiTheme="majorBidi" w:cstheme="majorBidi"/>
          <w:b/>
          <w:bCs/>
          <w:sz w:val="28"/>
          <w:szCs w:val="28"/>
        </w:rPr>
        <w:t>:</w:t>
      </w:r>
    </w:p>
    <w:p w14:paraId="25137689" w14:textId="77777777" w:rsidR="00AF505F" w:rsidRPr="00AF505F" w:rsidRDefault="00AF505F" w:rsidP="00AF505F">
      <w:pPr>
        <w:pStyle w:val="a3"/>
        <w:bidi/>
        <w:jc w:val="both"/>
        <w:rPr>
          <w:rFonts w:asciiTheme="majorBidi" w:hAnsiTheme="majorBidi" w:cstheme="majorBidi"/>
          <w:sz w:val="28"/>
          <w:szCs w:val="28"/>
        </w:rPr>
      </w:pPr>
      <w:r w:rsidRPr="00AF505F">
        <w:rPr>
          <w:rFonts w:asciiTheme="majorBidi" w:hAnsiTheme="majorBidi" w:cstheme="majorBidi"/>
          <w:sz w:val="28"/>
          <w:szCs w:val="28"/>
          <w:rtl/>
        </w:rPr>
        <w:t xml:space="preserve">يعد دعم الإدارة العليا عنصراً أساسياً لنجاح تبني الذكاء الاصطناعي، إذ يساهم في توفير الموارد المالية والبشرية، وتحديد الأولويات الاستراتيجية، وضمان التزام جميع المستويات التنظيمية بالتغيير الرقمي. يعزز حضور الإدارة العليا في قيادة المبادرات الرقمية من سرعة اتخاذ القرارات، وتجاوز مقاومة التغيير، ويضفي مصداقية على جهود التحول داخل المؤسسة. ومن منظور تحليلي، يبرز أن غياب هذا الدعم قد يؤدي إلى تباطؤ التبني أو عدم تكامل التطبيقات التقنية مع الأهداف الاستراتيجية، مما يقلل من فاعلية الذكاء الاصطناعي. </w:t>
      </w:r>
      <w:r w:rsidRPr="00AF505F">
        <w:rPr>
          <w:rFonts w:asciiTheme="majorBidi" w:hAnsiTheme="majorBidi" w:cstheme="majorBidi"/>
          <w:sz w:val="28"/>
          <w:szCs w:val="28"/>
        </w:rPr>
        <w:t>(Alajmi et al., 2023, p.1)</w:t>
      </w:r>
    </w:p>
    <w:p w14:paraId="76B73E69" w14:textId="77777777" w:rsidR="00AF505F" w:rsidRPr="00AF505F" w:rsidRDefault="00AF505F" w:rsidP="00AF505F">
      <w:pPr>
        <w:pStyle w:val="a3"/>
        <w:numPr>
          <w:ilvl w:val="0"/>
          <w:numId w:val="13"/>
        </w:numPr>
        <w:bidi/>
        <w:jc w:val="both"/>
        <w:rPr>
          <w:rFonts w:asciiTheme="majorBidi" w:hAnsiTheme="majorBidi" w:cstheme="majorBidi"/>
          <w:sz w:val="28"/>
          <w:szCs w:val="28"/>
        </w:rPr>
      </w:pPr>
      <w:r w:rsidRPr="00AF505F">
        <w:rPr>
          <w:rFonts w:asciiTheme="majorBidi" w:hAnsiTheme="majorBidi" w:cstheme="majorBidi"/>
          <w:b/>
          <w:bCs/>
          <w:sz w:val="28"/>
          <w:szCs w:val="28"/>
          <w:rtl/>
        </w:rPr>
        <w:t>تطوير المهارات الرقمية للموارد البشرية:</w:t>
      </w:r>
    </w:p>
    <w:p w14:paraId="6EE22E6A" w14:textId="77777777" w:rsidR="00AF505F" w:rsidRPr="00AF505F" w:rsidRDefault="00AF505F" w:rsidP="00AF505F">
      <w:pPr>
        <w:pStyle w:val="a3"/>
        <w:bidi/>
        <w:jc w:val="both"/>
        <w:rPr>
          <w:rFonts w:asciiTheme="majorBidi" w:hAnsiTheme="majorBidi" w:cstheme="majorBidi"/>
          <w:sz w:val="28"/>
          <w:szCs w:val="28"/>
        </w:rPr>
      </w:pPr>
      <w:r w:rsidRPr="00AF505F">
        <w:rPr>
          <w:rFonts w:asciiTheme="majorBidi" w:hAnsiTheme="majorBidi" w:cstheme="majorBidi"/>
          <w:sz w:val="28"/>
          <w:szCs w:val="28"/>
          <w:rtl/>
        </w:rPr>
        <w:t xml:space="preserve">يمثل الاستثمار في تنمية المهارات الرقمية للموارد البشرية ركيزة أساسية لاستغلال قدرات الذكاء الاصطناعي بفاعلية. يشمل ذلك التدريب على أدوات تحليل البيانات، خوارزميات التعلم الآلي، وإدارة النماذج الذكية، بالإضافة إلى تعزيز مهارات التفكير النقدي واتخاذ القرار المستند إلى البيانات. ومن منظور تنفيذي، يظهر أن الكفاءات البشرية المؤهلة تضمن استمرارية العمليات وتحقيق نتائج دقيقة، كما تعزز قدرة المؤسسات على الابتكار والتكيف مع التطورات التقنية المتسارعة في السوق السعودي.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Alasmri</w:t>
      </w:r>
      <w:proofErr w:type="spellEnd"/>
      <w:r w:rsidRPr="00AF505F">
        <w:rPr>
          <w:rFonts w:asciiTheme="majorBidi" w:hAnsiTheme="majorBidi" w:cstheme="majorBidi"/>
          <w:sz w:val="28"/>
          <w:szCs w:val="28"/>
        </w:rPr>
        <w:t xml:space="preserve"> &amp; </w:t>
      </w:r>
      <w:proofErr w:type="spellStart"/>
      <w:r w:rsidRPr="00AF505F">
        <w:rPr>
          <w:rFonts w:asciiTheme="majorBidi" w:hAnsiTheme="majorBidi" w:cstheme="majorBidi"/>
          <w:sz w:val="28"/>
          <w:szCs w:val="28"/>
        </w:rPr>
        <w:t>Basahel</w:t>
      </w:r>
      <w:proofErr w:type="spellEnd"/>
      <w:r w:rsidRPr="00AF505F">
        <w:rPr>
          <w:rFonts w:asciiTheme="majorBidi" w:hAnsiTheme="majorBidi" w:cstheme="majorBidi"/>
          <w:sz w:val="28"/>
          <w:szCs w:val="28"/>
        </w:rPr>
        <w:t>, 2022, p.1)</w:t>
      </w:r>
    </w:p>
    <w:p w14:paraId="761B847A" w14:textId="77777777" w:rsidR="00AF505F" w:rsidRPr="00AF505F" w:rsidRDefault="00AF505F" w:rsidP="00AF505F">
      <w:pPr>
        <w:pStyle w:val="a3"/>
        <w:numPr>
          <w:ilvl w:val="0"/>
          <w:numId w:val="13"/>
        </w:numPr>
        <w:bidi/>
        <w:jc w:val="both"/>
        <w:rPr>
          <w:rFonts w:asciiTheme="majorBidi" w:hAnsiTheme="majorBidi" w:cstheme="majorBidi"/>
          <w:sz w:val="28"/>
          <w:szCs w:val="28"/>
        </w:rPr>
      </w:pPr>
      <w:r w:rsidRPr="00AF505F">
        <w:rPr>
          <w:rFonts w:asciiTheme="majorBidi" w:hAnsiTheme="majorBidi" w:cstheme="majorBidi"/>
          <w:b/>
          <w:bCs/>
          <w:sz w:val="28"/>
          <w:szCs w:val="28"/>
          <w:rtl/>
        </w:rPr>
        <w:t>جاهزية البنية التحتية التقنية</w:t>
      </w:r>
      <w:r w:rsidRPr="00AF505F">
        <w:rPr>
          <w:rFonts w:asciiTheme="majorBidi" w:hAnsiTheme="majorBidi" w:cstheme="majorBidi"/>
          <w:b/>
          <w:bCs/>
          <w:sz w:val="28"/>
          <w:szCs w:val="28"/>
        </w:rPr>
        <w:t>:</w:t>
      </w:r>
    </w:p>
    <w:p w14:paraId="18B632C9" w14:textId="77777777" w:rsidR="00AF505F" w:rsidRPr="00AF505F" w:rsidRDefault="00AF505F" w:rsidP="00AF505F">
      <w:pPr>
        <w:pStyle w:val="a3"/>
        <w:bidi/>
        <w:jc w:val="both"/>
        <w:rPr>
          <w:rFonts w:asciiTheme="majorBidi" w:hAnsiTheme="majorBidi" w:cstheme="majorBidi"/>
          <w:sz w:val="28"/>
          <w:szCs w:val="28"/>
        </w:rPr>
      </w:pPr>
      <w:r w:rsidRPr="00AF505F">
        <w:rPr>
          <w:rFonts w:asciiTheme="majorBidi" w:hAnsiTheme="majorBidi" w:cstheme="majorBidi"/>
          <w:sz w:val="28"/>
          <w:szCs w:val="28"/>
          <w:rtl/>
        </w:rPr>
        <w:t xml:space="preserve">تتطلب تطبيقات الذكاء الاصطناعي بنية تحتية رقمية متقدمة، تشمل أجهزة حاسوبية عالية الأداء، نظم تخزين متطورة، شبكات اتصالات سريعة وآمنة، وبرمجيات تحليلية متكاملة. ويعتبر هذا الجانب أساسيًا لضمان معالجة البيانات الضخمة بكفاءة ودعم اتخاذ القرارات الاستراتيجية في الوقت المناسب. ومن منظور تحليلي، فإن نقص جاهزية البنية التحتية يحد من قدرة المؤسسات على الاستفادة من الذكاء الاصطناعي، مما يفرض ضرورة الاستثمار المستمر في تحديث الأنظمة والبنية التقنية بما يتماشى مع حجم البيانات وتعقيد العمليات. </w:t>
      </w:r>
      <w:r w:rsidRPr="00AF505F">
        <w:rPr>
          <w:rFonts w:asciiTheme="majorBidi" w:hAnsiTheme="majorBidi" w:cstheme="majorBidi"/>
          <w:sz w:val="28"/>
          <w:szCs w:val="28"/>
        </w:rPr>
        <w:t>(Al-Baity, 2023, p.13725)</w:t>
      </w:r>
    </w:p>
    <w:p w14:paraId="20C7033E" w14:textId="77777777" w:rsidR="00AF505F" w:rsidRPr="00AF505F" w:rsidRDefault="00AF505F" w:rsidP="00AF505F">
      <w:pPr>
        <w:pStyle w:val="a3"/>
        <w:numPr>
          <w:ilvl w:val="0"/>
          <w:numId w:val="13"/>
        </w:numPr>
        <w:bidi/>
        <w:jc w:val="both"/>
        <w:rPr>
          <w:rFonts w:asciiTheme="majorBidi" w:hAnsiTheme="majorBidi" w:cstheme="majorBidi"/>
          <w:sz w:val="28"/>
          <w:szCs w:val="28"/>
        </w:rPr>
      </w:pPr>
      <w:r w:rsidRPr="00AF505F">
        <w:rPr>
          <w:rFonts w:asciiTheme="majorBidi" w:hAnsiTheme="majorBidi" w:cstheme="majorBidi"/>
          <w:b/>
          <w:bCs/>
          <w:sz w:val="28"/>
          <w:szCs w:val="28"/>
          <w:rtl/>
        </w:rPr>
        <w:t>وجود استراتيجية رقمية واضحة</w:t>
      </w:r>
      <w:r w:rsidRPr="00AF505F">
        <w:rPr>
          <w:rFonts w:asciiTheme="majorBidi" w:hAnsiTheme="majorBidi" w:cstheme="majorBidi"/>
          <w:b/>
          <w:bCs/>
          <w:sz w:val="28"/>
          <w:szCs w:val="28"/>
        </w:rPr>
        <w:t>:</w:t>
      </w:r>
    </w:p>
    <w:p w14:paraId="0DD41A2C" w14:textId="77777777" w:rsidR="00AF505F" w:rsidRPr="00AF505F" w:rsidRDefault="00AF505F" w:rsidP="00AF505F">
      <w:pPr>
        <w:pStyle w:val="a3"/>
        <w:bidi/>
        <w:jc w:val="both"/>
        <w:rPr>
          <w:rFonts w:asciiTheme="majorBidi" w:hAnsiTheme="majorBidi" w:cstheme="majorBidi"/>
          <w:sz w:val="28"/>
          <w:szCs w:val="28"/>
        </w:rPr>
      </w:pPr>
      <w:r w:rsidRPr="00AF505F">
        <w:rPr>
          <w:rFonts w:asciiTheme="majorBidi" w:hAnsiTheme="majorBidi" w:cstheme="majorBidi"/>
          <w:sz w:val="28"/>
          <w:szCs w:val="28"/>
          <w:rtl/>
        </w:rPr>
        <w:t xml:space="preserve">تتطلب فعالية تبني الذكاء الاصطناعي وجود استراتيجية رقمية متكاملة تحدد الأهداف، وتحدد المجالات التي ستطبق فيها التقنيات الذكية، مع وضع مؤشرات أداء واضحة. تساعد الاستراتيجية الرقمية المؤسسات على تنظيم الجهود، وتوحيد معايير التنفيذ، وتقييم أثر التطبيقات الذكية على الأداء العام. ومن منظور نقدي، يشير التحليل إلى أن غياب استراتيجية </w:t>
      </w:r>
      <w:r w:rsidRPr="00AF505F">
        <w:rPr>
          <w:rFonts w:asciiTheme="majorBidi" w:hAnsiTheme="majorBidi" w:cstheme="majorBidi"/>
          <w:sz w:val="28"/>
          <w:szCs w:val="28"/>
          <w:rtl/>
        </w:rPr>
        <w:lastRenderedPageBreak/>
        <w:t xml:space="preserve">واضحة يؤدي إلى مبادرات متفرقة وغير متناسقة، ما يقلل من قيمة الاستثمار في الذكاء الاصطناعي ويحد من تحقيق الأهداف المرجوة.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Alenezi</w:t>
      </w:r>
      <w:proofErr w:type="spellEnd"/>
      <w:r w:rsidRPr="00AF505F">
        <w:rPr>
          <w:rFonts w:asciiTheme="majorBidi" w:hAnsiTheme="majorBidi" w:cstheme="majorBidi"/>
          <w:sz w:val="28"/>
          <w:szCs w:val="28"/>
        </w:rPr>
        <w:t xml:space="preserve"> et al., 2024, p.1)</w:t>
      </w:r>
    </w:p>
    <w:p w14:paraId="1CFCC9C0" w14:textId="77777777" w:rsidR="00AF505F" w:rsidRPr="00AF505F" w:rsidRDefault="00AF505F" w:rsidP="00AF505F">
      <w:pPr>
        <w:pStyle w:val="a3"/>
        <w:numPr>
          <w:ilvl w:val="0"/>
          <w:numId w:val="13"/>
        </w:numPr>
        <w:bidi/>
        <w:jc w:val="both"/>
        <w:rPr>
          <w:rFonts w:asciiTheme="majorBidi" w:hAnsiTheme="majorBidi" w:cstheme="majorBidi"/>
          <w:sz w:val="28"/>
          <w:szCs w:val="28"/>
        </w:rPr>
      </w:pPr>
      <w:r w:rsidRPr="00AF505F">
        <w:rPr>
          <w:rFonts w:asciiTheme="majorBidi" w:hAnsiTheme="majorBidi" w:cstheme="majorBidi"/>
          <w:b/>
          <w:bCs/>
          <w:sz w:val="28"/>
          <w:szCs w:val="28"/>
          <w:rtl/>
        </w:rPr>
        <w:t>إدارة التغيير التنظيمي</w:t>
      </w:r>
      <w:r w:rsidRPr="00AF505F">
        <w:rPr>
          <w:rFonts w:asciiTheme="majorBidi" w:hAnsiTheme="majorBidi" w:cstheme="majorBidi"/>
          <w:b/>
          <w:bCs/>
          <w:sz w:val="28"/>
          <w:szCs w:val="28"/>
        </w:rPr>
        <w:t>:</w:t>
      </w:r>
    </w:p>
    <w:p w14:paraId="28D49455" w14:textId="77777777" w:rsidR="00AF505F" w:rsidRPr="00AF505F" w:rsidRDefault="00AF505F" w:rsidP="00AF505F">
      <w:pPr>
        <w:pStyle w:val="a3"/>
        <w:bidi/>
        <w:jc w:val="both"/>
        <w:rPr>
          <w:rFonts w:asciiTheme="majorBidi" w:hAnsiTheme="majorBidi" w:cstheme="majorBidi"/>
          <w:sz w:val="28"/>
          <w:szCs w:val="28"/>
          <w:rtl/>
        </w:rPr>
      </w:pPr>
      <w:r w:rsidRPr="00AF505F">
        <w:rPr>
          <w:rFonts w:asciiTheme="majorBidi" w:hAnsiTheme="majorBidi" w:cstheme="majorBidi"/>
          <w:sz w:val="28"/>
          <w:szCs w:val="28"/>
          <w:rtl/>
        </w:rPr>
        <w:t xml:space="preserve">تعد إدارة التغيير التنظيمي عنصرًا جوهريًا لضمان نجاح تبني الذكاء الاصطناعي، حيث تشمل تحفيز الموظفين، معالجة مقاومة التغيير، وضمان تواصل فعال بين جميع مستويات المؤسسة. كما تركز على دمج الابتكار الرقمي في الثقافة المؤسسية وتعزيز التعاون بين الفرق التقنية والإدارية. ومن منظور تنفيذي، يظهر أن إدارة التغيير المنظمة تسهم في تسريع تبني الذكاء الاصطناعي وتحقيق تأثيره الإيجابي على الأداء الاستراتيجي، مع الحفاظ على التوازن بين التكنولوجيا والموارد البشرية. </w:t>
      </w:r>
      <w:r w:rsidRPr="00AF505F">
        <w:rPr>
          <w:rFonts w:asciiTheme="majorBidi" w:hAnsiTheme="majorBidi" w:cstheme="majorBidi"/>
          <w:sz w:val="28"/>
          <w:szCs w:val="28"/>
        </w:rPr>
        <w:t>(Alharbi, 2024, p.113)</w:t>
      </w:r>
    </w:p>
    <w:p w14:paraId="7E4B4296" w14:textId="77777777" w:rsidR="00AF505F" w:rsidRPr="00AF505F" w:rsidRDefault="00AF505F" w:rsidP="00AF505F">
      <w:pPr>
        <w:pStyle w:val="a3"/>
        <w:bidi/>
        <w:ind w:firstLine="720"/>
        <w:jc w:val="both"/>
        <w:rPr>
          <w:rFonts w:asciiTheme="majorBidi" w:hAnsiTheme="majorBidi" w:cstheme="majorBidi"/>
          <w:sz w:val="28"/>
          <w:szCs w:val="28"/>
          <w:rtl/>
        </w:rPr>
      </w:pPr>
      <w:r w:rsidRPr="00AF505F">
        <w:rPr>
          <w:rFonts w:asciiTheme="majorBidi" w:hAnsiTheme="majorBidi" w:cstheme="majorBidi"/>
          <w:sz w:val="28"/>
          <w:szCs w:val="28"/>
          <w:rtl/>
        </w:rPr>
        <w:t>مما سبق يتضح أن نجاح تبني تقنيات الذكاء الاصطناعي في المنظمات يعتمد على مجموعة مترابطة من العوامل، تشمل دعم الإدارة العليا، تطوير المهارات الرقمية للموارد البشرية، جاهزية البنية التحتية التقنية، وجود استراتيجية رقمية واضحة، وإدارة التغيير التنظيمي. ويبرز من التحليل أن دمج هذه العناصر ضمن خطة متكاملة يضمن استدامة الأداء، تحقيق الفاعلية الاستراتيجية، وتعزيز القدرة التنافسية للمؤسسات، بما يعكس التزامها بالتحول الرقمي وفق رؤية المملكة 2030، مع الحفاظ على التوازن بين التكنولوجيا والكفاءات البشرية لضمان نتائج مستدامة وموثوقة.</w:t>
      </w:r>
    </w:p>
    <w:p w14:paraId="28468029" w14:textId="77777777" w:rsidR="00AF505F" w:rsidRPr="00AF505F" w:rsidRDefault="00AF505F" w:rsidP="00AF505F">
      <w:pPr>
        <w:bidi/>
        <w:jc w:val="center"/>
        <w:rPr>
          <w:rFonts w:asciiTheme="majorBidi" w:hAnsiTheme="majorBidi" w:cstheme="majorBidi"/>
          <w:b/>
          <w:bCs/>
          <w:sz w:val="32"/>
          <w:szCs w:val="32"/>
          <w:rtl/>
          <w:lang w:bidi="ar-EG"/>
        </w:rPr>
      </w:pPr>
    </w:p>
    <w:p w14:paraId="33AF6E8D" w14:textId="77777777" w:rsidR="00AF505F" w:rsidRPr="00AF505F" w:rsidRDefault="00AF505F" w:rsidP="00AF505F">
      <w:pPr>
        <w:bidi/>
        <w:jc w:val="center"/>
        <w:rPr>
          <w:rFonts w:asciiTheme="majorBidi" w:hAnsiTheme="majorBidi" w:cstheme="majorBidi"/>
          <w:b/>
          <w:bCs/>
          <w:sz w:val="32"/>
          <w:szCs w:val="32"/>
          <w:rtl/>
          <w:lang w:bidi="ar-EG"/>
        </w:rPr>
      </w:pPr>
    </w:p>
    <w:p w14:paraId="6C30DFE7" w14:textId="77777777" w:rsidR="00AF505F" w:rsidRPr="00AF505F" w:rsidRDefault="00AF505F" w:rsidP="00AF505F">
      <w:pPr>
        <w:bidi/>
        <w:jc w:val="center"/>
        <w:rPr>
          <w:rFonts w:asciiTheme="majorBidi" w:hAnsiTheme="majorBidi" w:cstheme="majorBidi"/>
          <w:b/>
          <w:bCs/>
          <w:sz w:val="32"/>
          <w:szCs w:val="32"/>
          <w:rtl/>
          <w:lang w:bidi="ar-EG"/>
        </w:rPr>
      </w:pPr>
    </w:p>
    <w:p w14:paraId="2A0A821A" w14:textId="77777777" w:rsidR="00AF505F" w:rsidRPr="00AF505F" w:rsidRDefault="00AF505F" w:rsidP="00AF505F">
      <w:pPr>
        <w:bidi/>
        <w:jc w:val="center"/>
        <w:rPr>
          <w:rFonts w:asciiTheme="majorBidi" w:hAnsiTheme="majorBidi" w:cstheme="majorBidi"/>
          <w:b/>
          <w:bCs/>
          <w:sz w:val="32"/>
          <w:szCs w:val="32"/>
          <w:rtl/>
          <w:lang w:bidi="ar-EG"/>
        </w:rPr>
      </w:pPr>
    </w:p>
    <w:p w14:paraId="702DE98C" w14:textId="77777777" w:rsidR="00AF505F" w:rsidRPr="00AF505F" w:rsidRDefault="00AF505F" w:rsidP="00AF505F">
      <w:pPr>
        <w:bidi/>
        <w:jc w:val="center"/>
        <w:rPr>
          <w:rFonts w:asciiTheme="majorBidi" w:hAnsiTheme="majorBidi" w:cstheme="majorBidi"/>
          <w:b/>
          <w:bCs/>
          <w:sz w:val="32"/>
          <w:szCs w:val="32"/>
          <w:rtl/>
          <w:lang w:bidi="ar-EG"/>
        </w:rPr>
      </w:pPr>
    </w:p>
    <w:p w14:paraId="2C65925A" w14:textId="77777777" w:rsidR="00AF505F" w:rsidRPr="00AF505F" w:rsidRDefault="00AF505F" w:rsidP="00AF505F">
      <w:pPr>
        <w:bidi/>
        <w:jc w:val="center"/>
        <w:rPr>
          <w:rFonts w:asciiTheme="majorBidi" w:hAnsiTheme="majorBidi" w:cstheme="majorBidi"/>
          <w:b/>
          <w:bCs/>
          <w:sz w:val="32"/>
          <w:szCs w:val="32"/>
          <w:rtl/>
          <w:lang w:bidi="ar-EG"/>
        </w:rPr>
      </w:pPr>
      <w:r w:rsidRPr="00AF505F">
        <w:rPr>
          <w:rFonts w:asciiTheme="majorBidi" w:hAnsiTheme="majorBidi" w:cstheme="majorBidi"/>
          <w:b/>
          <w:bCs/>
          <w:sz w:val="32"/>
          <w:szCs w:val="32"/>
          <w:rtl/>
          <w:lang w:bidi="ar-EG"/>
        </w:rPr>
        <w:t>المبحث الثاني: فاعلية القرارات الاستراتيجية</w:t>
      </w:r>
    </w:p>
    <w:p w14:paraId="4FAC4F26" w14:textId="77777777" w:rsidR="00AF505F" w:rsidRPr="00AF505F" w:rsidRDefault="00AF505F" w:rsidP="00AF505F">
      <w:pPr>
        <w:bidi/>
        <w:rPr>
          <w:rFonts w:asciiTheme="majorBidi" w:hAnsiTheme="majorBidi" w:cstheme="majorBidi"/>
          <w:b/>
          <w:bCs/>
          <w:sz w:val="28"/>
          <w:szCs w:val="28"/>
          <w:rtl/>
          <w:lang w:bidi="ar-EG"/>
        </w:rPr>
      </w:pPr>
      <w:r w:rsidRPr="00AF505F">
        <w:rPr>
          <w:rFonts w:asciiTheme="majorBidi" w:hAnsiTheme="majorBidi" w:cstheme="majorBidi"/>
          <w:b/>
          <w:bCs/>
          <w:sz w:val="28"/>
          <w:szCs w:val="28"/>
          <w:rtl/>
        </w:rPr>
        <w:t>الإطار المفاهيمي لفاعلية القرار الاستراتيجي</w:t>
      </w:r>
      <w:r w:rsidRPr="00AF505F">
        <w:rPr>
          <w:rFonts w:asciiTheme="majorBidi" w:hAnsiTheme="majorBidi" w:cstheme="majorBidi"/>
          <w:b/>
          <w:bCs/>
          <w:sz w:val="28"/>
          <w:szCs w:val="28"/>
          <w:rtl/>
          <w:lang w:bidi="ar-EG"/>
        </w:rPr>
        <w:t>:</w:t>
      </w:r>
    </w:p>
    <w:p w14:paraId="20655772"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 xml:space="preserve">تعتبر القرارات الاستراتيجية حجر الزاوية في عملية الإدارة الحديثة، إذ تمثل الاختيارات طويلة الأجل التي تحدد اتجاه المؤسسة وتؤثر على قدرتها التنافسية واستدامتها. تُعرف القرارات الاستراتيجية بأنها تلك القرارات التي تتسم بالتعقيد، وغالبًا ما تتطلب تخصيص موارد كبيرة، كما أنها تحدد المسار المستقبلي للمؤسسة وتربط بين الأهداف التنظيمية والبيئة الخارجية. تختلف القرارات الاستراتيجية عن القرارات التشغيلية والتكتيكية من حيث نطاق التأثير، إذ تركز التشغيلية على العمليات اليومية والتفاصيل التنفيذية، بينما تغطي </w:t>
      </w:r>
      <w:proofErr w:type="spellStart"/>
      <w:r w:rsidRPr="00AF505F">
        <w:rPr>
          <w:rFonts w:asciiTheme="majorBidi" w:hAnsiTheme="majorBidi" w:cstheme="majorBidi"/>
          <w:sz w:val="28"/>
          <w:szCs w:val="28"/>
          <w:rtl/>
        </w:rPr>
        <w:t>التكستيكية</w:t>
      </w:r>
      <w:proofErr w:type="spellEnd"/>
      <w:r w:rsidRPr="00AF505F">
        <w:rPr>
          <w:rFonts w:asciiTheme="majorBidi" w:hAnsiTheme="majorBidi" w:cstheme="majorBidi"/>
          <w:sz w:val="28"/>
          <w:szCs w:val="28"/>
          <w:rtl/>
        </w:rPr>
        <w:t xml:space="preserve"> الأطر الوسيطة التي تربط بين الاستراتيجية والتنفيذ. ويظهر من التحليل أن فاعلية هذه القرارات تعتمد بشكل أساسي على وضوح الرؤية، دقة المعلومات، وقدرة القيادات على التنبؤ بالمتغيرات الداخلية والخارجية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(Ghonim et al., 2022, p. 1)</w:t>
      </w:r>
    </w:p>
    <w:p w14:paraId="6AD886CE"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lastRenderedPageBreak/>
        <w:t>تتسم القرارات الاستراتيجية بعدة خصائص رئيسية تميزها عن غيرها من أنواع القرارات. أولها نطاق التأثير الواسع، إذ تشمل جميع مستويات المؤسسة وقد تمتد آثارها إلى السوق والمنافسين والمستهلكين. ثانيًا، عدم اليقين المصاحب للقرار، حيث تتعامل القيادة مع بيئة ديناميكية مليئة بالمخاطر والفرص غير المتوقعة، مما يتطلب قدرة تحليلية عالية واستعدادًا للتكيف مع السيناريوهات المختلفة. ثالثًا، الالتزام الطويل الأجل، إذ غالبًا ما يكون للقرار الاستراتيجي تداعيات مستمرة تتطلب متابعة وتقييم مستمر لضمان تحقيق النتائج المرجوة. رابعًا، التعقيد في المعلومات المستخدمة، إذ تحتاج القرارات الاستراتيجية إلى دمج معلومات داخلية وخارجية متعددة المصادر، بما في ذلك البيانات المالية، الاتجاهات السوقية، والتغيرات التنظيمية والسياسية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Vudugula</w:t>
      </w:r>
      <w:proofErr w:type="spellEnd"/>
      <w:r w:rsidRPr="00AF505F">
        <w:rPr>
          <w:rFonts w:asciiTheme="majorBidi" w:hAnsiTheme="majorBidi" w:cstheme="majorBidi"/>
          <w:sz w:val="28"/>
          <w:szCs w:val="28"/>
        </w:rPr>
        <w:t xml:space="preserve"> et al., 2023, p. 1)</w:t>
      </w:r>
    </w:p>
    <w:p w14:paraId="0FB8773D"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تنبع أهمية القرارات الاستراتيجية من دورها في تحقيق فاعلية الإدارة على المستوى الكلي، حيث تحدد هذه القرارات أولويات المؤسسة وتوجه الموارد نحو تحقيق الأهداف الأكثر تأثيرًا. ويمكن القول إن الفاعلية هنا ليست مجرد تنفيذ القرار بحد ذاته، بل قياس النتائج المتحققة مقارنة بالأهداف المرجوة ومدى قدرة القرار على تعزيز الميزة التنافسية. من هذا المنظور، تبرز العلاقة بين جودة القرار الاستراتيجي وأداء المؤسسة في المدى الطويل، إذ تؤدي القرارات المتوازنة والمدروسة إلى تحسين الكفاءة، تعزيز الابتكار، وتحقيق الاستدامة المؤسسية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(Csaszar et al., 2024, p. 322)</w:t>
      </w:r>
    </w:p>
    <w:p w14:paraId="32C30FF1"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عند دراسة الفروق بين القرارات الاستراتيجية والتشغيلية، يتضح أن الأخيرة تتعلق بتنفيذ الأنشطة اليومية وتطبيق السياسات القائمة، بينما ترتبط القرارات الاستراتيجية بتحديد الاتجاه العام للمؤسسة ووضع الإطار الذي تحكمه الأهداف الكبرى. على سبيل المثال، في قطاع الصناعات الغذائية بالمملكة العربية السعودية، قد يشمل القرار الاستراتيجي اعتماد تقنيات الذكاء الاصطناعي لتعزيز الإنتاجية والتنبؤ بالطلب، بينما القرارات التشغيلية تتعلق بإدارة خطوط الإنتاج اليومية وضمان جودة المنتجات. وتوضح هذه الأمثلة أن القرارات الاستراتيجية تتطلب منظورًا شاملًا يجمع بين التحليل الرقمي والمعرفة التنظيمية والخبرة التنفيذية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Sinnaiah</w:t>
      </w:r>
      <w:proofErr w:type="spellEnd"/>
      <w:r w:rsidRPr="00AF505F">
        <w:rPr>
          <w:rFonts w:asciiTheme="majorBidi" w:hAnsiTheme="majorBidi" w:cstheme="majorBidi"/>
          <w:sz w:val="28"/>
          <w:szCs w:val="28"/>
        </w:rPr>
        <w:t xml:space="preserve"> &amp; Adam, 2023, p. 37)</w:t>
      </w:r>
    </w:p>
    <w:p w14:paraId="00474D8C"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تتأثر فاعلية القرارات الاستراتيجية بعدة عوامل رئيسية، أبرزها جودة المعلومات المتاحة. تعتمد القيادة التنفيذية على بيانات دقيقة ومحدثة لدعم اتخاذ القرار، ويصبح تحليل البيانات الضخمة والأدوات التنبؤية جزءًا لا يتجزأ من العملية الاستراتيجية، خاصة في بيئة سريعة التغير مثل السوق السعودي. كما تلعب الثقافة التنظيمية دورًا حيويًا، حيث تؤثر المرونة والقدرة على التعلم المؤسسي على مدى نجاح تنفيذ القرارات، بينما قد تؤدي الثقافة التقليدية أو المقاومة الداخلية إلى تقليل فعالية القرارات أو تأخير تطبيقها</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(Eberhard, 2023, p. 167)</w:t>
      </w:r>
    </w:p>
    <w:p w14:paraId="4A76A1CA"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من منظور تحليلي، يمثل التفكير النقدي والاستباقي عناصر أساسية لضمان فاعلية القرارات الاستراتيجية. إذ يتطلب صياغة القرار تقييم السيناريوهات المختلفة، تحديد المخاطر المحتملة، ووضع آليات للمتابعة والتقييم المستمر. كما يشمل ذلك دمج الخبرة البشرية مع التحليلات الرقمية لتجنب التحيزات الناتجة عن الاعتماد الكامل على النماذج الذكية. في هذا الإطار، يمكن القول إن القرارات الاستراتيجية الفعالة هي تلك التي تحقق التوازن بين الدقة التحليلية، القدرة على التكيف مع المتغيرات، واستثمار الموارد بشكل أمثل لدعم الأهداف المؤسسية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(Rajagopal et al., 2022, p. 1)</w:t>
      </w:r>
    </w:p>
    <w:p w14:paraId="4429A97C"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 xml:space="preserve">علاوة على ذلك، يرتبط نجاح القرارات الاستراتيجية بالحوكمة المؤسسية وآليات المساءلة، إذ تساهم الهياكل التنظيمية الواضحة في ضمان تنفيذ القرارات وفق معايير دقيقة وتقييم نتائجها بشكل </w:t>
      </w:r>
      <w:r w:rsidRPr="00AF505F">
        <w:rPr>
          <w:rFonts w:asciiTheme="majorBidi" w:hAnsiTheme="majorBidi" w:cstheme="majorBidi"/>
          <w:sz w:val="28"/>
          <w:szCs w:val="28"/>
          <w:rtl/>
        </w:rPr>
        <w:lastRenderedPageBreak/>
        <w:t>دوري. ويؤكد البحث التنفيذي أن القرارات التي تصاغ ضمن إطار حوكمة صارم تحقق قدرة أعلى على تحقيق الأهداف الاستراتيجية، وتقلل من المخاطر المرتبطة بالقرارات المتسرعة أو غير المدروسة، بما يعكس مستوى النضج المؤسسي في تبني التفكير الاستراتيجي</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(Adesina et al., 2024, p. 1927)</w:t>
      </w:r>
    </w:p>
    <w:p w14:paraId="0D57DFE1"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مما سبق يتضح أن القرارات الاستراتيجية تمثل أداة محورية لضمان فاعلية الإدارة وتوجيه الموارد نحو تحقيق الأهداف الطويلة الأجل. تعتمد هذه الفاعلية على وضوح الرؤية، جودة المعلومات، تكامل الخبرة البشرية مع التحليل الرقمي، ووجود آليات حوكمة ومتابعة مستمرة. كما أن القرارات الاستراتيجية ليست مجرد إجراءات تنفيذية، بل هي اختيارات حاسمة تعكس قدرة المؤسسة على التكيف مع التغيرات البيئية، استثمار الفرص، وتقليل المخاطر، بما يعزز القدرة التنافسية واستدامة الأداء المؤسسي على المدى الطويل</w:t>
      </w:r>
      <w:r w:rsidRPr="00AF505F">
        <w:rPr>
          <w:rFonts w:asciiTheme="majorBidi" w:hAnsiTheme="majorBidi" w:cstheme="majorBidi"/>
          <w:sz w:val="28"/>
          <w:szCs w:val="28"/>
          <w:rtl/>
          <w:lang w:bidi="ar-EG"/>
        </w:rPr>
        <w:t>.</w:t>
      </w:r>
    </w:p>
    <w:p w14:paraId="7F346871" w14:textId="77777777" w:rsidR="00AF505F" w:rsidRPr="00AF505F" w:rsidRDefault="00AF505F" w:rsidP="00AF505F">
      <w:pPr>
        <w:bidi/>
        <w:jc w:val="both"/>
        <w:rPr>
          <w:rFonts w:asciiTheme="majorBidi" w:hAnsiTheme="majorBidi" w:cstheme="majorBidi"/>
          <w:sz w:val="28"/>
          <w:szCs w:val="28"/>
          <w:rtl/>
          <w:lang w:bidi="ar-EG"/>
        </w:rPr>
      </w:pPr>
      <w:r w:rsidRPr="00AF505F">
        <w:rPr>
          <w:rFonts w:asciiTheme="majorBidi" w:hAnsiTheme="majorBidi" w:cstheme="majorBidi"/>
          <w:b/>
          <w:bCs/>
          <w:sz w:val="28"/>
          <w:szCs w:val="28"/>
          <w:rtl/>
        </w:rPr>
        <w:t>عوامل تؤثر على فاعلية القرارات الاستراتيجية</w:t>
      </w:r>
      <w:r w:rsidRPr="00AF505F">
        <w:rPr>
          <w:rFonts w:asciiTheme="majorBidi" w:hAnsiTheme="majorBidi" w:cstheme="majorBidi"/>
          <w:b/>
          <w:bCs/>
          <w:sz w:val="28"/>
          <w:szCs w:val="28"/>
          <w:lang w:bidi="ar-EG"/>
        </w:rPr>
        <w:t>:</w:t>
      </w:r>
    </w:p>
    <w:p w14:paraId="1897AF9D"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تتأثر فاعلية القرارات الاستراتيجية بعدة عوامل متشابكة تتجاوز مجرد توفر البيانات أو الخبرة، لتشمل أبعادًا داخلية تتعلق بالمنظمة نفسها، وأخرى خارجية مرتبطة بالبيئة المحيطة. في سياق المؤسسات السعودية، خصوصًا في قطاع الصناعات الغذائية، تلعب هذه العوامل دورًا بالغ الأهمية في تحديد مدى نجاح القرارات الاستراتيجية في تحقيق الأهداف طويلة الأجل والمساهمة في استدامة الأداء المؤسسي. إن دراسة هذه العوامل بشكل دقيق يتيح للمؤسسات تطوير آليات فعالة لتعظيم نتائج قراراتها الاستراتيجية وتقليل المخاطر المرتبطة بها</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(Meakin, 2022, p. 1)</w:t>
      </w:r>
    </w:p>
    <w:p w14:paraId="0E38D78E" w14:textId="77777777" w:rsidR="00AF505F" w:rsidRPr="00AF505F" w:rsidRDefault="00AF505F" w:rsidP="00AF505F">
      <w:pPr>
        <w:pStyle w:val="a3"/>
        <w:numPr>
          <w:ilvl w:val="0"/>
          <w:numId w:val="14"/>
        </w:numPr>
        <w:bidi/>
        <w:jc w:val="both"/>
        <w:rPr>
          <w:rFonts w:asciiTheme="majorBidi" w:hAnsiTheme="majorBidi" w:cstheme="majorBidi"/>
          <w:sz w:val="28"/>
          <w:szCs w:val="28"/>
        </w:rPr>
      </w:pPr>
      <w:r w:rsidRPr="00AF505F">
        <w:rPr>
          <w:rFonts w:asciiTheme="majorBidi" w:hAnsiTheme="majorBidi" w:cstheme="majorBidi"/>
          <w:b/>
          <w:bCs/>
          <w:sz w:val="28"/>
          <w:szCs w:val="28"/>
          <w:rtl/>
        </w:rPr>
        <w:t>العوامل الداخلية:</w:t>
      </w:r>
    </w:p>
    <w:p w14:paraId="35B21AEF" w14:textId="77777777" w:rsidR="00AF505F" w:rsidRPr="00AF505F" w:rsidRDefault="00AF505F" w:rsidP="00AF505F">
      <w:pPr>
        <w:pStyle w:val="a3"/>
        <w:bidi/>
        <w:jc w:val="both"/>
        <w:rPr>
          <w:rFonts w:asciiTheme="majorBidi" w:hAnsiTheme="majorBidi" w:cstheme="majorBidi"/>
          <w:sz w:val="28"/>
          <w:szCs w:val="28"/>
        </w:rPr>
      </w:pPr>
      <w:r w:rsidRPr="00AF505F">
        <w:rPr>
          <w:rFonts w:asciiTheme="majorBidi" w:hAnsiTheme="majorBidi" w:cstheme="majorBidi"/>
          <w:sz w:val="28"/>
          <w:szCs w:val="28"/>
          <w:rtl/>
        </w:rPr>
        <w:t xml:space="preserve">تشمل العوامل الداخلية عناصر مثل الثقافة التنظيمية، البنية المؤسسية، ونظم الحوكمة الداخلية. الثقافة التنظيمية تحدد درجة تقبل المؤسسة للتغيير، مدى مرونة الموظفين في تبني الابتكار، واستعداد الفرق التنفيذية لاتخاذ قرارات جريئة. تظهر التجربة العملية أن المؤسسات التي تتمتع بثقافة تنظيمية داعمة للابتكار والتحليل الاستراتيجي تحقق فاعلية أعلى في قراراتها، مقارنة بالمنظمات المحافظة التي تفضل الأساليب التقليدية. أما البنية المؤسسية، فتؤثر على توزيع السلطات والمسؤوليات، وتحديد خطوط الاتصال واتخاذ القرار، حيث تسهم الهياكل الواضحة والمرنة في تسريع عملية اتخاذ القرار وتحسين جودته. </w:t>
      </w:r>
      <w:r w:rsidRPr="00AF505F">
        <w:rPr>
          <w:rFonts w:asciiTheme="majorBidi" w:hAnsiTheme="majorBidi" w:cstheme="majorBidi"/>
          <w:sz w:val="28"/>
          <w:szCs w:val="28"/>
        </w:rPr>
        <w:t>(Rijal, 2023, p. 84)</w:t>
      </w:r>
    </w:p>
    <w:p w14:paraId="0CC00D15" w14:textId="77777777" w:rsidR="00AF505F" w:rsidRPr="00AF505F" w:rsidRDefault="00AF505F" w:rsidP="00AF505F">
      <w:pPr>
        <w:pStyle w:val="a3"/>
        <w:numPr>
          <w:ilvl w:val="0"/>
          <w:numId w:val="14"/>
        </w:numPr>
        <w:bidi/>
        <w:jc w:val="both"/>
        <w:rPr>
          <w:rFonts w:asciiTheme="majorBidi" w:hAnsiTheme="majorBidi" w:cstheme="majorBidi"/>
          <w:sz w:val="28"/>
          <w:szCs w:val="28"/>
        </w:rPr>
      </w:pPr>
      <w:r w:rsidRPr="00AF505F">
        <w:rPr>
          <w:rFonts w:asciiTheme="majorBidi" w:hAnsiTheme="majorBidi" w:cstheme="majorBidi"/>
          <w:b/>
          <w:bCs/>
          <w:sz w:val="28"/>
          <w:szCs w:val="28"/>
          <w:rtl/>
        </w:rPr>
        <w:t>العوامل المرتبطة بالقيادة:</w:t>
      </w:r>
    </w:p>
    <w:p w14:paraId="3EC29254" w14:textId="77777777" w:rsidR="00AF505F" w:rsidRPr="00AF505F" w:rsidRDefault="00AF505F" w:rsidP="00AF505F">
      <w:pPr>
        <w:pStyle w:val="a3"/>
        <w:bidi/>
        <w:jc w:val="both"/>
        <w:rPr>
          <w:rFonts w:asciiTheme="majorBidi" w:hAnsiTheme="majorBidi" w:cstheme="majorBidi"/>
          <w:sz w:val="28"/>
          <w:szCs w:val="28"/>
        </w:rPr>
      </w:pPr>
      <w:r w:rsidRPr="00AF505F">
        <w:rPr>
          <w:rFonts w:asciiTheme="majorBidi" w:hAnsiTheme="majorBidi" w:cstheme="majorBidi"/>
          <w:sz w:val="28"/>
          <w:szCs w:val="28"/>
          <w:rtl/>
        </w:rPr>
        <w:t xml:space="preserve">تلعب القيادة التنفيذية دورًا محوريًا في توجيه القرارات الاستراتيجية، إذ تحدد أسلوب التقييم، مستوى المخاطرة المقبول، ودرجة مشاركة الموظفين في عملية اتخاذ القرار. تشير الدراسات إلى أن القادة الذين يجمعون بين الرؤية الاستراتيجية والقدرة على التحليل النقدي يحققون قرارات أكثر فاعلية، ويستطيعون تكييف خططهم بما يتناسب مع التغيرات الاقتصادية والتنافسية. ومن منظور تنفيذي، يعزز إشراك القيادة في تحليل البيانات وتفسير النتائج من جودة القرارات ويقلل من احتمالية التحيز أو اتخاذ خيارات غير مدروسة. </w:t>
      </w:r>
      <w:r w:rsidRPr="00AF505F">
        <w:rPr>
          <w:rFonts w:asciiTheme="majorBidi" w:hAnsiTheme="majorBidi" w:cstheme="majorBidi"/>
          <w:sz w:val="28"/>
          <w:szCs w:val="28"/>
        </w:rPr>
        <w:t>(Al-</w:t>
      </w:r>
      <w:proofErr w:type="spellStart"/>
      <w:r w:rsidRPr="00AF505F">
        <w:rPr>
          <w:rFonts w:asciiTheme="majorBidi" w:hAnsiTheme="majorBidi" w:cstheme="majorBidi"/>
          <w:sz w:val="28"/>
          <w:szCs w:val="28"/>
        </w:rPr>
        <w:t>Surmi</w:t>
      </w:r>
      <w:proofErr w:type="spellEnd"/>
      <w:r w:rsidRPr="00AF505F">
        <w:rPr>
          <w:rFonts w:asciiTheme="majorBidi" w:hAnsiTheme="majorBidi" w:cstheme="majorBidi"/>
          <w:sz w:val="28"/>
          <w:szCs w:val="28"/>
        </w:rPr>
        <w:t xml:space="preserve"> et al., 2022, p. 4464)</w:t>
      </w:r>
    </w:p>
    <w:p w14:paraId="49748718" w14:textId="77777777" w:rsidR="00AF505F" w:rsidRPr="00AF505F" w:rsidRDefault="00AF505F" w:rsidP="00AF505F">
      <w:pPr>
        <w:pStyle w:val="a3"/>
        <w:numPr>
          <w:ilvl w:val="0"/>
          <w:numId w:val="14"/>
        </w:numPr>
        <w:bidi/>
        <w:jc w:val="both"/>
        <w:rPr>
          <w:rFonts w:asciiTheme="majorBidi" w:hAnsiTheme="majorBidi" w:cstheme="majorBidi"/>
          <w:sz w:val="28"/>
          <w:szCs w:val="28"/>
        </w:rPr>
      </w:pPr>
      <w:r w:rsidRPr="00AF505F">
        <w:rPr>
          <w:rFonts w:asciiTheme="majorBidi" w:hAnsiTheme="majorBidi" w:cstheme="majorBidi"/>
          <w:b/>
          <w:bCs/>
          <w:sz w:val="28"/>
          <w:szCs w:val="28"/>
          <w:rtl/>
        </w:rPr>
        <w:t>العوامل الخارجية</w:t>
      </w:r>
      <w:r w:rsidRPr="00AF505F">
        <w:rPr>
          <w:rFonts w:asciiTheme="majorBidi" w:hAnsiTheme="majorBidi" w:cstheme="majorBidi"/>
          <w:b/>
          <w:bCs/>
          <w:sz w:val="28"/>
          <w:szCs w:val="28"/>
        </w:rPr>
        <w:t>:</w:t>
      </w:r>
    </w:p>
    <w:p w14:paraId="166F70BF" w14:textId="77777777" w:rsidR="00AF505F" w:rsidRPr="00AF505F" w:rsidRDefault="00AF505F" w:rsidP="00AF505F">
      <w:pPr>
        <w:pStyle w:val="a3"/>
        <w:bidi/>
        <w:jc w:val="both"/>
        <w:rPr>
          <w:rFonts w:asciiTheme="majorBidi" w:hAnsiTheme="majorBidi" w:cstheme="majorBidi"/>
          <w:sz w:val="28"/>
          <w:szCs w:val="28"/>
        </w:rPr>
      </w:pPr>
      <w:r w:rsidRPr="00AF505F">
        <w:rPr>
          <w:rFonts w:asciiTheme="majorBidi" w:hAnsiTheme="majorBidi" w:cstheme="majorBidi"/>
          <w:sz w:val="28"/>
          <w:szCs w:val="28"/>
          <w:rtl/>
        </w:rPr>
        <w:lastRenderedPageBreak/>
        <w:t xml:space="preserve">تمثل البيئة الاقتصادية، التنظيمية، والتنافسية من أبرز العوامل الخارجية التي تؤثر على فاعلية القرارات. يتعين على المؤسسات أخذ تقلبات السوق، معدلات الطلب، تكاليف الإنتاج، والتشريعات المحلية في الاعتبار عند صياغة القرارات الاستراتيجية. في المملكة العربية السعودية، على سبيل المثال، تتطلب رؤية 2030 من الشركات الالتزام بمعايير التحول الرقمي والاستدامة، مما يجعل القرارات الاستراتيجية أكثر تعقيدًا وتتطلب مراعاة التغيرات السياسية والاجتماعية والتكنولوجية. كما أن المنافسة الشديدة في قطاع الصناعات الغذائية تحتم على المؤسسات اتخاذ قرارات مرنة وسريعة الاستجابة للحفاظ على حصتها السوقية. </w:t>
      </w:r>
      <w:r w:rsidRPr="00AF505F">
        <w:rPr>
          <w:rFonts w:asciiTheme="majorBidi" w:hAnsiTheme="majorBidi" w:cstheme="majorBidi"/>
          <w:sz w:val="28"/>
          <w:szCs w:val="28"/>
        </w:rPr>
        <w:t>(Adeniran et al., 2024, p. 1517)</w:t>
      </w:r>
    </w:p>
    <w:p w14:paraId="4C451EBC" w14:textId="77777777" w:rsidR="00AF505F" w:rsidRPr="00AF505F" w:rsidRDefault="00AF505F" w:rsidP="00AF505F">
      <w:pPr>
        <w:pStyle w:val="a3"/>
        <w:numPr>
          <w:ilvl w:val="0"/>
          <w:numId w:val="14"/>
        </w:numPr>
        <w:bidi/>
        <w:jc w:val="both"/>
        <w:rPr>
          <w:rFonts w:asciiTheme="majorBidi" w:hAnsiTheme="majorBidi" w:cstheme="majorBidi"/>
          <w:sz w:val="28"/>
          <w:szCs w:val="28"/>
        </w:rPr>
      </w:pPr>
      <w:r w:rsidRPr="00AF505F">
        <w:rPr>
          <w:rFonts w:asciiTheme="majorBidi" w:hAnsiTheme="majorBidi" w:cstheme="majorBidi"/>
          <w:b/>
          <w:bCs/>
          <w:sz w:val="28"/>
          <w:szCs w:val="28"/>
          <w:rtl/>
        </w:rPr>
        <w:t>دور المعلومات والتحليل</w:t>
      </w:r>
      <w:r w:rsidRPr="00AF505F">
        <w:rPr>
          <w:rFonts w:asciiTheme="majorBidi" w:hAnsiTheme="majorBidi" w:cstheme="majorBidi"/>
          <w:b/>
          <w:bCs/>
          <w:sz w:val="28"/>
          <w:szCs w:val="28"/>
        </w:rPr>
        <w:t>:</w:t>
      </w:r>
    </w:p>
    <w:p w14:paraId="12B8F9DA" w14:textId="77777777" w:rsidR="00AF505F" w:rsidRPr="00AF505F" w:rsidRDefault="00AF505F" w:rsidP="00AF505F">
      <w:pPr>
        <w:pStyle w:val="a3"/>
        <w:bidi/>
        <w:jc w:val="both"/>
        <w:rPr>
          <w:rFonts w:asciiTheme="majorBidi" w:hAnsiTheme="majorBidi" w:cstheme="majorBidi"/>
          <w:sz w:val="28"/>
          <w:szCs w:val="28"/>
        </w:rPr>
      </w:pPr>
      <w:r w:rsidRPr="00AF505F">
        <w:rPr>
          <w:rFonts w:asciiTheme="majorBidi" w:hAnsiTheme="majorBidi" w:cstheme="majorBidi"/>
          <w:sz w:val="28"/>
          <w:szCs w:val="28"/>
          <w:rtl/>
        </w:rPr>
        <w:t xml:space="preserve">تعتبر جودة المعلومات والتحليلات المقدمة للقيادة أحد العوامل الحاسمة في فاعلية القرارات الاستراتيجية. تعتمد المؤسسات على بيانات دقيقة ومحدثة عن السوق والمستهلكين والمنافسين لتحديد الفرص والمخاطر المستقبلية. كما أن استخدام أدوات التحليل الرقمي والذكاء الاصطناعي يتيح توقع الاتجاهات المستقبلية بدقة أكبر، إلا أن الاعتماد الكامل على التحليل الرقمي دون تكامل مع الخبرة البشرية قد يؤدي إلى نتائج متحيزة أو غير دقيقة. لذا، يتضح أن دمج المعلومات التقنية مع الخبرة المؤسسية يعزز قدرة القرارات على تحقيق أهدافها الاستراتيجية. </w:t>
      </w:r>
      <w:r w:rsidRPr="00AF505F">
        <w:rPr>
          <w:rFonts w:asciiTheme="majorBidi" w:hAnsiTheme="majorBidi" w:cstheme="majorBidi"/>
          <w:sz w:val="28"/>
          <w:szCs w:val="28"/>
        </w:rPr>
        <w:t>(Hicham et al., 2023, p. 139)</w:t>
      </w:r>
    </w:p>
    <w:p w14:paraId="5D55D4B8" w14:textId="77777777" w:rsidR="00AF505F" w:rsidRPr="00AF505F" w:rsidRDefault="00AF505F" w:rsidP="00AF505F">
      <w:pPr>
        <w:pStyle w:val="a3"/>
        <w:numPr>
          <w:ilvl w:val="0"/>
          <w:numId w:val="14"/>
        </w:numPr>
        <w:bidi/>
        <w:jc w:val="both"/>
        <w:rPr>
          <w:rFonts w:asciiTheme="majorBidi" w:hAnsiTheme="majorBidi" w:cstheme="majorBidi"/>
          <w:sz w:val="28"/>
          <w:szCs w:val="28"/>
        </w:rPr>
      </w:pPr>
      <w:r w:rsidRPr="00AF505F">
        <w:rPr>
          <w:rFonts w:asciiTheme="majorBidi" w:hAnsiTheme="majorBidi" w:cstheme="majorBidi"/>
          <w:b/>
          <w:bCs/>
          <w:sz w:val="28"/>
          <w:szCs w:val="28"/>
          <w:rtl/>
        </w:rPr>
        <w:t>التكامل بين العوامل الداخلية والخارجية</w:t>
      </w:r>
      <w:r w:rsidRPr="00AF505F">
        <w:rPr>
          <w:rFonts w:asciiTheme="majorBidi" w:hAnsiTheme="majorBidi" w:cstheme="majorBidi"/>
          <w:b/>
          <w:bCs/>
          <w:sz w:val="28"/>
          <w:szCs w:val="28"/>
        </w:rPr>
        <w:t>:</w:t>
      </w:r>
    </w:p>
    <w:p w14:paraId="40CE7D59" w14:textId="77777777" w:rsidR="00AF505F" w:rsidRPr="00AF505F" w:rsidRDefault="00AF505F" w:rsidP="00AF505F">
      <w:pPr>
        <w:pStyle w:val="a3"/>
        <w:bidi/>
        <w:jc w:val="both"/>
        <w:rPr>
          <w:rFonts w:asciiTheme="majorBidi" w:hAnsiTheme="majorBidi" w:cstheme="majorBidi"/>
          <w:sz w:val="28"/>
          <w:szCs w:val="28"/>
          <w:rtl/>
        </w:rPr>
      </w:pPr>
      <w:r w:rsidRPr="00AF505F">
        <w:rPr>
          <w:rFonts w:asciiTheme="majorBidi" w:hAnsiTheme="majorBidi" w:cstheme="majorBidi"/>
          <w:sz w:val="28"/>
          <w:szCs w:val="28"/>
          <w:rtl/>
        </w:rPr>
        <w:t xml:space="preserve">يتطلب تحقيق فاعلية القرارات الاستراتيجية قدرة المؤسسة على التكيف مع تفاعل العوامل الداخلية والخارجية. فالمؤسسة الناجحة هي تلك التي تستطيع مواءمة قدراتها الداخلية، مثل الكفاءات البشرية والهياكل التنظيمية، مع متطلبات البيئة الخارجية، بما يشمل التغيرات الاقتصادية والتكنولوجية والتنافسية. ويشير التحليل النقدي إلى أن الفشل في التعامل مع هذا التكامل يؤدي إلى قرارات غير متوازنة، قد تحقق بعض الأهداف لكنها تفشل في تعزيز الميزة التنافسية أو الاستدامة المؤسسية. </w:t>
      </w:r>
      <w:r w:rsidRPr="00AF505F">
        <w:rPr>
          <w:rFonts w:asciiTheme="majorBidi" w:hAnsiTheme="majorBidi" w:cstheme="majorBidi"/>
          <w:sz w:val="28"/>
          <w:szCs w:val="28"/>
        </w:rPr>
        <w:t>(Kaggwa et al., 2024, p. 423)</w:t>
      </w:r>
    </w:p>
    <w:p w14:paraId="4CAB8564" w14:textId="77777777" w:rsidR="00AF505F" w:rsidRPr="00AF505F" w:rsidRDefault="00AF505F" w:rsidP="00AF505F">
      <w:pPr>
        <w:pStyle w:val="a3"/>
        <w:bidi/>
        <w:ind w:firstLine="720"/>
        <w:jc w:val="both"/>
        <w:rPr>
          <w:rFonts w:asciiTheme="majorBidi" w:hAnsiTheme="majorBidi" w:cstheme="majorBidi"/>
          <w:sz w:val="28"/>
          <w:szCs w:val="28"/>
          <w:rtl/>
        </w:rPr>
      </w:pPr>
      <w:r w:rsidRPr="00AF505F">
        <w:rPr>
          <w:rFonts w:asciiTheme="majorBidi" w:hAnsiTheme="majorBidi" w:cstheme="majorBidi"/>
          <w:sz w:val="28"/>
          <w:szCs w:val="28"/>
          <w:rtl/>
        </w:rPr>
        <w:t>مما سبق يتضح أن فاعلية القرارات الاستراتيجية تتأثر بمجموعة متشابكة من العوامل الداخلية والخارجية، بما في ذلك الثقافة التنظيمية، البنية المؤسسية، القيادة، البيئة الاقتصادية، وجودة المعلومات والتحليل، والتكامل بين هذه العوامل. ويبرز من التحليل أن المؤسسات التي تتمتع بالمرونة الداخلية، القدرة على التحليل النقدي، والاستجابة الذكية للتغيرات الخارجية تحقق قرارات أكثر دقة وفاعلية، مما يعزز قدرتها على تحقيق الأهداف الاستراتيجية، المحافظة على الميزة التنافسية، وضمان استدامة الأداء المؤسسي في بيئة متغيرة ومعقدة مثل المملكة العربية السعودية.</w:t>
      </w:r>
    </w:p>
    <w:p w14:paraId="6B2920CC" w14:textId="77777777" w:rsidR="00AF505F" w:rsidRPr="00AF505F" w:rsidRDefault="00AF505F" w:rsidP="00AF505F">
      <w:pPr>
        <w:bidi/>
        <w:rPr>
          <w:rFonts w:asciiTheme="majorBidi" w:hAnsiTheme="majorBidi" w:cstheme="majorBidi"/>
          <w:sz w:val="28"/>
          <w:szCs w:val="28"/>
          <w:rtl/>
          <w:lang w:bidi="ar-EG"/>
        </w:rPr>
      </w:pPr>
      <w:r w:rsidRPr="00AF505F">
        <w:rPr>
          <w:rFonts w:asciiTheme="majorBidi" w:hAnsiTheme="majorBidi" w:cstheme="majorBidi"/>
          <w:b/>
          <w:bCs/>
          <w:sz w:val="28"/>
          <w:szCs w:val="28"/>
          <w:rtl/>
        </w:rPr>
        <w:t>التحديات والمخاطر التي تواجه القرارات الاستراتيجية</w:t>
      </w:r>
      <w:r w:rsidRPr="00AF505F">
        <w:rPr>
          <w:rFonts w:asciiTheme="majorBidi" w:hAnsiTheme="majorBidi" w:cstheme="majorBidi"/>
          <w:b/>
          <w:bCs/>
          <w:sz w:val="28"/>
          <w:szCs w:val="28"/>
          <w:rtl/>
          <w:lang w:bidi="ar-EG"/>
        </w:rPr>
        <w:t>:</w:t>
      </w:r>
    </w:p>
    <w:p w14:paraId="23DC194A"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 xml:space="preserve">تواجه المؤسسات العديد من التحديات والمخاطر التي قد تحد من فاعلية القرارات الاستراتيجية، إذ لا يقتصر النجاح على وضع القرار نفسه، بل يتطلب تهيئة بيئة تنظيمية وتقنية مناسبة لضمان تنفيذ القرارات وتحقيق أهدافها. في السياق السعودي، خصوصًا في قطاع الصناعات الغذائية، تتداخل هذه التحديات بين عوامل داخلية وخارجية، تشمل الهيكل التنظيمي، الثقافة المؤسسية، التغيرات الاقتصادية، والتطورات التقنية. ويعد فهم هذه المعوقات وتحليلها بشكل نقدي خطوة أساسية لتطوير </w:t>
      </w:r>
      <w:r w:rsidRPr="00AF505F">
        <w:rPr>
          <w:rFonts w:asciiTheme="majorBidi" w:hAnsiTheme="majorBidi" w:cstheme="majorBidi"/>
          <w:sz w:val="28"/>
          <w:szCs w:val="28"/>
          <w:rtl/>
        </w:rPr>
        <w:lastRenderedPageBreak/>
        <w:t>استراتيجيات مواجهة فعالة تضمن استدامة القرارات وتحسين جودة النتائج</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(Eberhard &amp; Wulf, 2025, p. 130)</w:t>
      </w:r>
    </w:p>
    <w:p w14:paraId="4DC2E401" w14:textId="77777777" w:rsidR="00AF505F" w:rsidRPr="00AF505F" w:rsidRDefault="00AF505F" w:rsidP="00AF505F">
      <w:pPr>
        <w:pStyle w:val="a3"/>
        <w:numPr>
          <w:ilvl w:val="0"/>
          <w:numId w:val="16"/>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التحديات التقنية والتكنولوجية</w:t>
      </w:r>
      <w:r w:rsidRPr="00AF505F">
        <w:rPr>
          <w:rFonts w:asciiTheme="majorBidi" w:hAnsiTheme="majorBidi" w:cstheme="majorBidi"/>
          <w:b/>
          <w:bCs/>
          <w:sz w:val="28"/>
          <w:szCs w:val="28"/>
          <w:lang w:bidi="ar-EG"/>
        </w:rPr>
        <w:t>:</w:t>
      </w:r>
    </w:p>
    <w:p w14:paraId="48B1D613"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تتمثل أبرز التحديات في محدودية البنية التحتية التقنية، ضعف التكامل بين الأنظمة، وعدم توافر أدوات تحليل متقدمة. فغياب التحديث المستمر للأنظمة أو نقص التكامل بين البيانات يؤدي إلى صعوبة الحصول على معلومات دقيقة لدعم اتخاذ القرار. كما أن التعقيد التكنولوجي المتزايد في تطبيقات الذكاء الاصطناعي والتحليل الرقمي قد يخلق فجوة بين الإمكانات النظرية للتقنيات والقدرة الفعلية على استخدامها، ما يستدعي استثمارات كبيرة في البنية التحتية والتدريب المستمر للكوادر البشرية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lang w:bidi="ar-EG"/>
        </w:rPr>
        <w:t xml:space="preserve">(van Den </w:t>
      </w:r>
      <w:proofErr w:type="spellStart"/>
      <w:r w:rsidRPr="00AF505F">
        <w:rPr>
          <w:rFonts w:asciiTheme="majorBidi" w:hAnsiTheme="majorBidi" w:cstheme="majorBidi"/>
          <w:sz w:val="28"/>
          <w:szCs w:val="28"/>
          <w:lang w:bidi="ar-EG"/>
        </w:rPr>
        <w:t>Oever</w:t>
      </w:r>
      <w:proofErr w:type="spellEnd"/>
      <w:r w:rsidRPr="00AF505F">
        <w:rPr>
          <w:rFonts w:asciiTheme="majorBidi" w:hAnsiTheme="majorBidi" w:cstheme="majorBidi"/>
          <w:sz w:val="28"/>
          <w:szCs w:val="28"/>
          <w:lang w:bidi="ar-EG"/>
        </w:rPr>
        <w:t xml:space="preserve"> &amp; Shropshire, 2024, p. 1525)</w:t>
      </w:r>
    </w:p>
    <w:p w14:paraId="696E7D54" w14:textId="77777777" w:rsidR="00AF505F" w:rsidRPr="00AF505F" w:rsidRDefault="00AF505F" w:rsidP="00AF505F">
      <w:pPr>
        <w:pStyle w:val="a3"/>
        <w:numPr>
          <w:ilvl w:val="0"/>
          <w:numId w:val="16"/>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التحديات التنظيمية والثقافية</w:t>
      </w:r>
      <w:r w:rsidRPr="00AF505F">
        <w:rPr>
          <w:rFonts w:asciiTheme="majorBidi" w:hAnsiTheme="majorBidi" w:cstheme="majorBidi"/>
          <w:b/>
          <w:bCs/>
          <w:sz w:val="28"/>
          <w:szCs w:val="28"/>
          <w:lang w:bidi="ar-EG"/>
        </w:rPr>
        <w:t>:</w:t>
      </w:r>
    </w:p>
    <w:p w14:paraId="4ECAE4F8"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تلعب الثقافة التنظيمية دورًا حاسمًا في قدرة المؤسسة على تبني وتنفيذ القرارات الاستراتيجية بفعالية. قد تعيق مقاومة التغيير، ضعف التواصل الداخلي، أو نقص التعاون بين الأقسام تنفيذ القرارات بشكل سلس. كما أن الهيكل التنظيمي التقليدي الذي يركز على التسلسل الهرمي قد يحد من سرعة اتخاذ القرارات، ويقلل من قدرتها على التكيف مع المتغيرات البيئية. ولذلك، يحتاج تعزيز فاعلية القرارات إلى بناء ثقافة تنظيمية مرنة تشجع المشاركة والابتكار وتدعم التواصل الفعال بين المستويات الإدارية المختلفة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(Ghonim et al., 2022, p. 1)</w:t>
      </w:r>
    </w:p>
    <w:p w14:paraId="58BED5AF" w14:textId="77777777" w:rsidR="00AF505F" w:rsidRPr="00AF505F" w:rsidRDefault="00AF505F" w:rsidP="00AF505F">
      <w:pPr>
        <w:pStyle w:val="a3"/>
        <w:numPr>
          <w:ilvl w:val="0"/>
          <w:numId w:val="16"/>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نقص الكفاءات البشرية المتخصصة</w:t>
      </w:r>
      <w:r w:rsidRPr="00AF505F">
        <w:rPr>
          <w:rFonts w:asciiTheme="majorBidi" w:hAnsiTheme="majorBidi" w:cstheme="majorBidi"/>
          <w:b/>
          <w:bCs/>
          <w:sz w:val="28"/>
          <w:szCs w:val="28"/>
          <w:lang w:bidi="ar-EG"/>
        </w:rPr>
        <w:t>:</w:t>
      </w:r>
    </w:p>
    <w:p w14:paraId="2C188161"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تمثل القدرة البشرية على فهم البيانات وتحليلها، وكذلك القدرة على اتخاذ قرارات استراتيجية مستنيرة، عاملًا جوهريًا في نجاح القرارات. نقص الكفاءات الماهرة في مجالات التحليل الرقمي والذكاء الاصطناعي يحد من الاستفادة المثلى من الإمكانات التقنية. كما أن ضعف الخبرة في مجالات إدارة المخاطر والاستراتيجيات المعقدة يؤدي إلى قرارات غير متوازنة أو متأخرة، مما يقلل من فاعليتها ويعرض المؤسسة للمخاطر التشغيلية والاقتصادية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Vudugula</w:t>
      </w:r>
      <w:proofErr w:type="spellEnd"/>
      <w:r w:rsidRPr="00AF505F">
        <w:rPr>
          <w:rFonts w:asciiTheme="majorBidi" w:hAnsiTheme="majorBidi" w:cstheme="majorBidi"/>
          <w:sz w:val="28"/>
          <w:szCs w:val="28"/>
        </w:rPr>
        <w:t xml:space="preserve"> et al., 2023, p. 1)</w:t>
      </w:r>
    </w:p>
    <w:p w14:paraId="432821CE" w14:textId="77777777" w:rsidR="00AF505F" w:rsidRPr="00AF505F" w:rsidRDefault="00AF505F" w:rsidP="00AF505F">
      <w:pPr>
        <w:pStyle w:val="a3"/>
        <w:numPr>
          <w:ilvl w:val="0"/>
          <w:numId w:val="16"/>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التحديات القانونية والأخلاقية</w:t>
      </w:r>
      <w:r w:rsidRPr="00AF505F">
        <w:rPr>
          <w:rFonts w:asciiTheme="majorBidi" w:hAnsiTheme="majorBidi" w:cstheme="majorBidi"/>
          <w:b/>
          <w:bCs/>
          <w:sz w:val="28"/>
          <w:szCs w:val="28"/>
          <w:lang w:bidi="ar-EG"/>
        </w:rPr>
        <w:t>:</w:t>
      </w:r>
    </w:p>
    <w:p w14:paraId="75A5C52F"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تتطلب القرارات الاستراتيجية الالتزام بالأطر القانونية والتنظيمية المحلية والدولية، بالإضافة إلى المبادئ الأخلاقية. تجاهل هذه المتطلبات قد يؤدي إلى تعرض المؤسسة لعقوبات أو خسائر سمعة. في المملكة العربية السعودية، تخضع المؤسسات لمعايير تنظيمية صارمة تشمل حماية المستهلك، سلامة المنتجات، وأحكام التوظيف والعمل. وعليه، يتعين على المؤسسات تضمين هذه الأطر ضمن عملية اتخاذ القرار لضمان توافقها مع القوانين المحلية والممارسات الأخلاقية العالمية</w:t>
      </w:r>
      <w:r w:rsidRPr="00AF505F">
        <w:rPr>
          <w:rFonts w:asciiTheme="majorBidi" w:hAnsiTheme="majorBidi" w:cstheme="majorBidi"/>
          <w:sz w:val="28"/>
          <w:szCs w:val="28"/>
          <w:lang w:bidi="ar-EG"/>
        </w:rPr>
        <w:t>.</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(Csaszar et al., 2024, p. 322)</w:t>
      </w:r>
    </w:p>
    <w:p w14:paraId="738A84BF" w14:textId="77777777" w:rsidR="00AF505F" w:rsidRPr="00AF505F" w:rsidRDefault="00AF505F" w:rsidP="00AF505F">
      <w:pPr>
        <w:pStyle w:val="a3"/>
        <w:numPr>
          <w:ilvl w:val="0"/>
          <w:numId w:val="16"/>
        </w:numPr>
        <w:bidi/>
        <w:jc w:val="both"/>
        <w:rPr>
          <w:rFonts w:asciiTheme="majorBidi" w:hAnsiTheme="majorBidi" w:cstheme="majorBidi"/>
          <w:sz w:val="28"/>
          <w:szCs w:val="28"/>
          <w:lang w:bidi="ar-EG"/>
        </w:rPr>
      </w:pPr>
      <w:proofErr w:type="gramStart"/>
      <w:r w:rsidRPr="00AF505F">
        <w:rPr>
          <w:rFonts w:asciiTheme="majorBidi" w:hAnsiTheme="majorBidi" w:cstheme="majorBidi"/>
          <w:b/>
          <w:bCs/>
          <w:sz w:val="28"/>
          <w:szCs w:val="28"/>
          <w:rtl/>
        </w:rPr>
        <w:t>مخاطر</w:t>
      </w:r>
      <w:proofErr w:type="gramEnd"/>
      <w:r w:rsidRPr="00AF505F">
        <w:rPr>
          <w:rFonts w:asciiTheme="majorBidi" w:hAnsiTheme="majorBidi" w:cstheme="majorBidi"/>
          <w:b/>
          <w:bCs/>
          <w:sz w:val="28"/>
          <w:szCs w:val="28"/>
          <w:rtl/>
        </w:rPr>
        <w:t xml:space="preserve"> الأمن السيبراني</w:t>
      </w:r>
      <w:r w:rsidRPr="00AF505F">
        <w:rPr>
          <w:rFonts w:asciiTheme="majorBidi" w:hAnsiTheme="majorBidi" w:cstheme="majorBidi"/>
          <w:b/>
          <w:bCs/>
          <w:sz w:val="28"/>
          <w:szCs w:val="28"/>
          <w:lang w:bidi="ar-EG"/>
        </w:rPr>
        <w:t>:</w:t>
      </w:r>
    </w:p>
    <w:p w14:paraId="24138A26" w14:textId="77777777" w:rsidR="00AF505F" w:rsidRPr="00AF505F" w:rsidRDefault="00AF505F" w:rsidP="00AF505F">
      <w:pPr>
        <w:pStyle w:val="a3"/>
        <w:bidi/>
        <w:jc w:val="both"/>
        <w:rPr>
          <w:rFonts w:asciiTheme="majorBidi" w:hAnsiTheme="majorBidi" w:cstheme="majorBidi"/>
          <w:sz w:val="28"/>
          <w:szCs w:val="28"/>
          <w:rtl/>
        </w:rPr>
      </w:pPr>
      <w:r w:rsidRPr="00AF505F">
        <w:rPr>
          <w:rFonts w:asciiTheme="majorBidi" w:hAnsiTheme="majorBidi" w:cstheme="majorBidi"/>
          <w:sz w:val="28"/>
          <w:szCs w:val="28"/>
          <w:rtl/>
        </w:rPr>
        <w:t xml:space="preserve">تزداد أهمية الأمن السيبراني مع اعتماد المؤسسات على البيانات الرقمية والتحليلات التقنية في القرارات الاستراتيجية. تعرض أنظمة المعلومات للاختراق أو فقدان البيانات يمكن أن يؤدي إلى قرارات خاطئة أو تسرب معلومات حساسة، ما يؤثر سلبًا على الأداء المؤسسي والموثوقية. ومن هذا المنطلق، يتطلب تعزيز فاعلية القرارات الاستثمار في نظم حماية </w:t>
      </w:r>
      <w:r w:rsidRPr="00AF505F">
        <w:rPr>
          <w:rFonts w:asciiTheme="majorBidi" w:hAnsiTheme="majorBidi" w:cstheme="majorBidi"/>
          <w:sz w:val="28"/>
          <w:szCs w:val="28"/>
          <w:rtl/>
        </w:rPr>
        <w:lastRenderedPageBreak/>
        <w:t xml:space="preserve">متقدمة، وتطوير سياسات أمنية صارمة، بالإضافة إلى رفع وعي الموظفين بأهمية الأمن الرقمي.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Sinnaiah</w:t>
      </w:r>
      <w:proofErr w:type="spellEnd"/>
      <w:r w:rsidRPr="00AF505F">
        <w:rPr>
          <w:rFonts w:asciiTheme="majorBidi" w:hAnsiTheme="majorBidi" w:cstheme="majorBidi"/>
          <w:sz w:val="28"/>
          <w:szCs w:val="28"/>
        </w:rPr>
        <w:t xml:space="preserve"> &amp; Adam, 2023, p. 37)</w:t>
      </w:r>
    </w:p>
    <w:p w14:paraId="1CA7A9E6" w14:textId="77777777" w:rsidR="00AF505F" w:rsidRPr="00AF505F" w:rsidRDefault="00AF505F" w:rsidP="00AF505F">
      <w:pPr>
        <w:bidi/>
        <w:rPr>
          <w:rFonts w:asciiTheme="majorBidi" w:hAnsiTheme="majorBidi" w:cstheme="majorBidi"/>
          <w:b/>
          <w:bCs/>
          <w:sz w:val="28"/>
          <w:szCs w:val="28"/>
          <w:rtl/>
        </w:rPr>
      </w:pPr>
      <w:r w:rsidRPr="00AF505F">
        <w:rPr>
          <w:rFonts w:asciiTheme="majorBidi" w:hAnsiTheme="majorBidi" w:cstheme="majorBidi"/>
          <w:sz w:val="28"/>
          <w:szCs w:val="28"/>
          <w:rtl/>
        </w:rPr>
        <w:t xml:space="preserve">مما سبق يتضح أن فاعلية القرارات الاستراتيجية ليست مضمونة بمجرد صياغتها، بل تتأثر بمجموعة من التحديات والمخاطر المتشابكة، تشمل التقنية </w:t>
      </w:r>
      <w:proofErr w:type="gramStart"/>
      <w:r w:rsidRPr="00AF505F">
        <w:rPr>
          <w:rFonts w:asciiTheme="majorBidi" w:hAnsiTheme="majorBidi" w:cstheme="majorBidi"/>
          <w:sz w:val="28"/>
          <w:szCs w:val="28"/>
          <w:rtl/>
        </w:rPr>
        <w:t>والتنظيمية</w:t>
      </w:r>
      <w:proofErr w:type="gramEnd"/>
      <w:r w:rsidRPr="00AF505F">
        <w:rPr>
          <w:rFonts w:asciiTheme="majorBidi" w:hAnsiTheme="majorBidi" w:cstheme="majorBidi"/>
          <w:sz w:val="28"/>
          <w:szCs w:val="28"/>
          <w:rtl/>
        </w:rPr>
        <w:t xml:space="preserve"> والبشرية والقانونية والأمنية. ويشير التحليل النقدي إلى أن المؤسسات التي تعمل على التعرف المبكر على هذه المعوقات، ووضع استراتيجيات مواجهة متكاملة، تعزز قدرتها على اتخاذ قرارات فعالة ومستدامة، تقلل المخاطر المحتملة، وتحقق أهدافها الاستراتيجية بما يتوافق مع المتطلبات التنظيمية والسياق البيئي في المملكة العربية السعودية.</w:t>
      </w:r>
    </w:p>
    <w:p w14:paraId="672DAB14" w14:textId="77777777" w:rsidR="00AF505F" w:rsidRPr="00AF505F" w:rsidRDefault="00AF505F" w:rsidP="00AF505F">
      <w:pPr>
        <w:bidi/>
        <w:rPr>
          <w:rFonts w:asciiTheme="majorBidi" w:hAnsiTheme="majorBidi" w:cstheme="majorBidi"/>
          <w:b/>
          <w:bCs/>
          <w:sz w:val="28"/>
          <w:szCs w:val="28"/>
          <w:rtl/>
        </w:rPr>
      </w:pPr>
    </w:p>
    <w:p w14:paraId="5E0905E4" w14:textId="77777777" w:rsidR="00AF505F" w:rsidRPr="00AF505F" w:rsidRDefault="00AF505F" w:rsidP="00AF505F">
      <w:pPr>
        <w:bidi/>
        <w:rPr>
          <w:rFonts w:asciiTheme="majorBidi" w:hAnsiTheme="majorBidi" w:cstheme="majorBidi"/>
          <w:b/>
          <w:bCs/>
          <w:sz w:val="28"/>
          <w:szCs w:val="28"/>
          <w:rtl/>
        </w:rPr>
      </w:pPr>
    </w:p>
    <w:p w14:paraId="1B33DDB0" w14:textId="77777777" w:rsidR="00AF505F" w:rsidRPr="00AF505F" w:rsidRDefault="00AF505F" w:rsidP="00AF505F">
      <w:pPr>
        <w:bidi/>
        <w:rPr>
          <w:rFonts w:asciiTheme="majorBidi" w:hAnsiTheme="majorBidi" w:cstheme="majorBidi"/>
          <w:b/>
          <w:bCs/>
          <w:sz w:val="28"/>
          <w:szCs w:val="28"/>
          <w:rtl/>
        </w:rPr>
      </w:pPr>
    </w:p>
    <w:p w14:paraId="2FCC64F5" w14:textId="77777777" w:rsidR="00AF505F" w:rsidRPr="00AF505F" w:rsidRDefault="00AF505F" w:rsidP="00AF505F">
      <w:pPr>
        <w:bidi/>
        <w:rPr>
          <w:rFonts w:asciiTheme="majorBidi" w:hAnsiTheme="majorBidi" w:cstheme="majorBidi"/>
          <w:b/>
          <w:bCs/>
          <w:sz w:val="28"/>
          <w:szCs w:val="28"/>
          <w:rtl/>
        </w:rPr>
      </w:pPr>
    </w:p>
    <w:p w14:paraId="4F49D170" w14:textId="77777777" w:rsidR="00AF505F" w:rsidRPr="00AF505F" w:rsidRDefault="00AF505F" w:rsidP="00AF505F">
      <w:pPr>
        <w:bidi/>
        <w:rPr>
          <w:rFonts w:asciiTheme="majorBidi" w:hAnsiTheme="majorBidi" w:cstheme="majorBidi"/>
          <w:b/>
          <w:bCs/>
          <w:sz w:val="28"/>
          <w:szCs w:val="28"/>
          <w:rtl/>
        </w:rPr>
      </w:pPr>
    </w:p>
    <w:p w14:paraId="5DF485A2" w14:textId="77777777" w:rsidR="00AF505F" w:rsidRPr="00AF505F" w:rsidRDefault="00AF505F" w:rsidP="00AF505F">
      <w:pPr>
        <w:bidi/>
        <w:rPr>
          <w:rFonts w:asciiTheme="majorBidi" w:hAnsiTheme="majorBidi" w:cstheme="majorBidi"/>
          <w:b/>
          <w:bCs/>
          <w:sz w:val="28"/>
          <w:szCs w:val="28"/>
          <w:rtl/>
        </w:rPr>
      </w:pPr>
    </w:p>
    <w:p w14:paraId="08B790CA" w14:textId="77777777" w:rsidR="00AF505F" w:rsidRPr="00AF505F" w:rsidRDefault="00AF505F" w:rsidP="00AF505F">
      <w:pPr>
        <w:bidi/>
        <w:jc w:val="center"/>
        <w:rPr>
          <w:rFonts w:asciiTheme="majorBidi" w:hAnsiTheme="majorBidi" w:cstheme="majorBidi"/>
          <w:b/>
          <w:bCs/>
          <w:sz w:val="32"/>
          <w:szCs w:val="32"/>
          <w:rtl/>
        </w:rPr>
      </w:pPr>
      <w:r w:rsidRPr="00AF505F">
        <w:rPr>
          <w:rFonts w:asciiTheme="majorBidi" w:hAnsiTheme="majorBidi" w:cstheme="majorBidi"/>
          <w:b/>
          <w:bCs/>
          <w:sz w:val="32"/>
          <w:szCs w:val="32"/>
          <w:rtl/>
        </w:rPr>
        <w:t>المبحث الثالث: جودة القرار</w:t>
      </w:r>
    </w:p>
    <w:p w14:paraId="053A4F4E" w14:textId="77777777" w:rsidR="00AF505F" w:rsidRPr="00AF505F" w:rsidRDefault="00AF505F" w:rsidP="00AF505F">
      <w:pPr>
        <w:bidi/>
        <w:rPr>
          <w:rFonts w:asciiTheme="majorBidi" w:hAnsiTheme="majorBidi" w:cstheme="majorBidi"/>
          <w:b/>
          <w:bCs/>
          <w:sz w:val="28"/>
          <w:szCs w:val="28"/>
          <w:rtl/>
        </w:rPr>
      </w:pPr>
      <w:r w:rsidRPr="00AF505F">
        <w:rPr>
          <w:rFonts w:asciiTheme="majorBidi" w:hAnsiTheme="majorBidi" w:cstheme="majorBidi"/>
          <w:b/>
          <w:bCs/>
          <w:sz w:val="28"/>
          <w:szCs w:val="28"/>
          <w:rtl/>
        </w:rPr>
        <w:t xml:space="preserve">مفهوم جودة القرار: </w:t>
      </w:r>
    </w:p>
    <w:p w14:paraId="29012679"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يُعرَّف جودة القرار على أنها مستوى كفاءة وفاعلية القرار في تحقيق الأهداف المرجوة، مع مراعاة الدقة والموضوعية في تحليل المعلومات المتاحة، والتوافق مع استراتيجيات المنظمة، وقدرتها على التكيف مع التغيرات البيئية</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(Schwartz &amp; Sachs, 2022, p. 13)</w:t>
      </w:r>
    </w:p>
    <w:p w14:paraId="2C2DC035"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ويقصد بجودة القرار مدى قدرة القرار على تلبية متطلبات المؤسسة والمستفيدين، بحيث يكون القرار سليمًا من الناحية المنطقية، مستندًا إلى بيانات موثوقة، وقادرًا على توليد نتائج إيجابية مستدامة</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كما يُفهم جودة القرار على أنها درجة الاستناد إلى أسس تحليلية دقيقة ومنهجية واضحة عند اتخاذ القرار، مع الأخذ في الاعتبار المخاطر المحتملة والتوقعات المستقبلية لضمان أفضل النتائج الممكنة</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(Eberhard, 2023, p. 167)</w:t>
      </w:r>
    </w:p>
    <w:p w14:paraId="72337955"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ومن منظور إداري تُشير جودة القرار إلى كفاءة عملية اتخاذ القرار نفسها، بدءًا من تحديد المشكلة وجمع المعلومات، مرورًا بتقييم البدائل، وصولاً إلى تنفيذ القرار ومتابعته، بحيث تحقق هذه العملية قيمة مضافة للمنظمة</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(Shah et al., 2022, p. 1320)</w:t>
      </w:r>
    </w:p>
    <w:p w14:paraId="3BC2A80B" w14:textId="77777777" w:rsidR="00AF505F" w:rsidRPr="00AF505F" w:rsidRDefault="00AF505F" w:rsidP="00AF505F">
      <w:pPr>
        <w:bidi/>
        <w:ind w:firstLine="720"/>
        <w:jc w:val="both"/>
        <w:rPr>
          <w:rFonts w:asciiTheme="majorBidi" w:hAnsiTheme="majorBidi" w:cstheme="majorBidi"/>
          <w:sz w:val="28"/>
          <w:szCs w:val="28"/>
          <w:rtl/>
        </w:rPr>
      </w:pPr>
      <w:r w:rsidRPr="00AF505F">
        <w:rPr>
          <w:rFonts w:asciiTheme="majorBidi" w:hAnsiTheme="majorBidi" w:cstheme="majorBidi"/>
          <w:sz w:val="28"/>
          <w:szCs w:val="28"/>
          <w:rtl/>
        </w:rPr>
        <w:t xml:space="preserve">وفي سياق التحليل الاستراتيجي يُنظر إلى جودة القرار على أنها قدرة المؤسسات على إصدار قرارات سليمة وفعالة، ترتكز على البيانات الدقيقة والتحليل العلمي، وتساهم في تعزيز الأداء المؤسسي وتحقيق أهداف التنمية المستدامة. </w:t>
      </w:r>
      <w:r w:rsidRPr="00AF505F">
        <w:rPr>
          <w:rFonts w:asciiTheme="majorBidi" w:hAnsiTheme="majorBidi" w:cstheme="majorBidi"/>
          <w:sz w:val="28"/>
          <w:szCs w:val="28"/>
        </w:rPr>
        <w:t>(Biswas et al., 2024, p. 5)</w:t>
      </w:r>
    </w:p>
    <w:p w14:paraId="35B572B5" w14:textId="77777777" w:rsidR="00AF505F" w:rsidRPr="00AF505F" w:rsidRDefault="00AF505F" w:rsidP="00AF505F">
      <w:pPr>
        <w:bidi/>
        <w:ind w:firstLine="720"/>
        <w:jc w:val="both"/>
        <w:rPr>
          <w:rFonts w:asciiTheme="majorBidi" w:hAnsiTheme="majorBidi" w:cstheme="majorBidi"/>
          <w:sz w:val="28"/>
          <w:szCs w:val="28"/>
          <w:rtl/>
        </w:rPr>
      </w:pPr>
      <w:r w:rsidRPr="00AF505F">
        <w:rPr>
          <w:rFonts w:asciiTheme="majorBidi" w:hAnsiTheme="majorBidi" w:cstheme="majorBidi"/>
          <w:sz w:val="28"/>
          <w:szCs w:val="28"/>
          <w:rtl/>
        </w:rPr>
        <w:lastRenderedPageBreak/>
        <w:t>يمكن تعريف جودة القرار على أنها القدرة على إصدار قرارات فعّالة وسليمة، قائمة على تحليل دقيق للمعلومات والبيانات المتاحة، مع مراعاة الأهداف الاستراتيجية للمؤسسة والمخاطر المحتملة، بحيث تضمن تحقيق النتائج المرجوة بكفاءة واستدامة، وتساهم في تعزيز الأداء المؤسسي واتخاذ قرارات متوافقة مع بيئة العمل المتغيرة.</w:t>
      </w:r>
    </w:p>
    <w:p w14:paraId="0CFE52E3" w14:textId="77777777" w:rsidR="00AF505F" w:rsidRPr="00AF505F" w:rsidRDefault="00AF505F" w:rsidP="00AF505F">
      <w:pPr>
        <w:bidi/>
        <w:rPr>
          <w:rFonts w:asciiTheme="majorBidi" w:hAnsiTheme="majorBidi" w:cstheme="majorBidi"/>
          <w:b/>
          <w:bCs/>
          <w:sz w:val="28"/>
          <w:szCs w:val="28"/>
          <w:rtl/>
          <w:lang w:bidi="ar-EG"/>
        </w:rPr>
      </w:pPr>
      <w:r w:rsidRPr="00AF505F">
        <w:rPr>
          <w:rFonts w:asciiTheme="majorBidi" w:hAnsiTheme="majorBidi" w:cstheme="majorBidi"/>
          <w:b/>
          <w:bCs/>
          <w:sz w:val="28"/>
          <w:szCs w:val="28"/>
          <w:rtl/>
        </w:rPr>
        <w:t>دور المعلومات والتحليل في تعزيز جودة القرارات</w:t>
      </w:r>
      <w:r w:rsidRPr="00AF505F">
        <w:rPr>
          <w:rFonts w:asciiTheme="majorBidi" w:hAnsiTheme="majorBidi" w:cstheme="majorBidi"/>
          <w:b/>
          <w:bCs/>
          <w:sz w:val="28"/>
          <w:szCs w:val="28"/>
          <w:rtl/>
          <w:lang w:bidi="ar-EG"/>
        </w:rPr>
        <w:t>:</w:t>
      </w:r>
    </w:p>
    <w:p w14:paraId="13BE8CBC"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تلعب المعلومات والتحليل دورًا محوريًا في ضمان جودة القرارات الاستراتيجية داخل المؤسسات، إذ تعد أساسًا لاتخاذ خيارات دقيقة ومستندة إلى أدلة واضحة. تتيح المعلومات الدقيقة والكاملة للقيادات التنفيذية تقييم الفرص والمخاطر بشكل موضوعي، مما يعزز قدرتها على صياغة قرارات تتماشى مع الأهداف الاستراتيجية للمؤسسة. في هذا السياق، يمثل التحليل المتعمق للبيانات، بما في ذلك البيانات الضخمة واستخدام تقنيات الذكاء الاصطناعي، أداة فعالة لاستشراف التوجهات المستقبلية وفهم أنماط السوق وسلوك العملاء. ويظهر من التجربة العملية في المؤسسات السعودية، خصوصًا في قطاع الصناعات الغذائية، أن الجمع بين المعلومات النوعية والكمية يوفر أساسًا متينًا لاتخاذ قرارات مدروسة تساهم في تحسين الأداء المؤسسي والقدرة التنافسية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(Basu et al., 2023, p. 2588)</w:t>
      </w:r>
    </w:p>
    <w:p w14:paraId="1029B99A"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 xml:space="preserve">تعتبر جودة البيانات من أهم العوامل التي تحدد قيمة التحليل الاستراتيجي، إذ أن البيانات غير الدقيقة أو الناقصة قد تؤدي إلى استنتاجات مضللة وإضعاف القرارات الاستراتيجية. ومن هذا المنطلق، تحتاج المؤسسات إلى وضع آليات لجمع المعلومات والتحقق من صحتها ومصداقيتها، وتكاملها عبر المصادر الداخلية والخارجية لضمان شمولية التحليل ودقته. بالإضافة إلى ذلك، يعد فهم السياق التنظيمي والبيئة الاقتصادية والاجتماعية محوريًا، حيث </w:t>
      </w:r>
      <w:proofErr w:type="gramStart"/>
      <w:r w:rsidRPr="00AF505F">
        <w:rPr>
          <w:rFonts w:asciiTheme="majorBidi" w:hAnsiTheme="majorBidi" w:cstheme="majorBidi"/>
          <w:sz w:val="28"/>
          <w:szCs w:val="28"/>
          <w:rtl/>
        </w:rPr>
        <w:t>أن</w:t>
      </w:r>
      <w:proofErr w:type="gramEnd"/>
      <w:r w:rsidRPr="00AF505F">
        <w:rPr>
          <w:rFonts w:asciiTheme="majorBidi" w:hAnsiTheme="majorBidi" w:cstheme="majorBidi"/>
          <w:sz w:val="28"/>
          <w:szCs w:val="28"/>
          <w:rtl/>
        </w:rPr>
        <w:t xml:space="preserve"> البيانات وحدها لا تكفي دون تفسيرها بما يتناسب مع واقع المؤسسة وأهدافها طويلة المدى</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(Yu &amp; Li, 2022, p. 1)</w:t>
      </w:r>
    </w:p>
    <w:p w14:paraId="2BC2105B"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تتيح أدوات تحليل البيانات الضخمة والذكاء الاصطناعي للمنظمات استكشاف أنماط خفية في البيانات، والتنبؤ بالاتجاهات المستقبلية بشكل استباقي، وهو ما يعزز قدرة القيادات على اتخاذ قرارات أكثر دقة وفاعلية. على سبيل المثال، يمكن للتقنيات الحديثة التنبؤ بالطلب على المنتجات، تحسين عمليات سلسلة التوريد، وتقديم توصيات لتحسين الكفاءة التشغيلية. إلا أن هذه الأدوات تتطلب بنية تحتية تقنية متطورة وكفاءات بشرية قادرة على تفسير النتائج وربطها بالأهداف الاستراتيجية، حيث يظل العنصر البشري ضروريًا لضمان دمج التحليل الرقمي مع الخبرة المؤسسية والفكر النقدي</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(Doshi et al., 2025, p. 583)</w:t>
      </w:r>
    </w:p>
    <w:p w14:paraId="4EFA2A81"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من منظور تنفيذي، يمثل التكامل بين التحليل الرقمي والخبرة البشرية عاملاً حاسمًا في تعزيز الفاعلية. فالقيادة الناجحة لا تكتفي بالاعتماد على البيانات، بل تستخدمها كأداة لدعم التفكير الاستراتيجي، وتقييم المخاطر، ووضع افتراضات مستقبلية مبنية على الخبرة الميدانية. هذا التكامل يتيح للمؤسسات التعامل مع عدم اليقين والتعقيدات البيئية، وضمان أن القرارات الاستراتيجية ليست مجرد استجابة فورية للمتغيرات، بل جزءًا من خطة شاملة تعزز الاستدامة والقدرة التنافسية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(Wu et al., 2023, p. 1)</w:t>
      </w:r>
    </w:p>
    <w:p w14:paraId="6E3D8096"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lastRenderedPageBreak/>
        <w:t>كما يساهم التحليل الدقيق في تطوير مؤشرات الأداء، وتقييم النتائج بشكل مستمر، ما يسمح بإجراء تعديلات فورية أو استراتيجية على القرارات عند الضرورة. ويصبح دور المعلومات والتحليل أكثر أهمية في البيئات الديناميكية مثل السوق السعودي، حيث يتطلب التحول الرقمي ورؤية 2030 من المؤسسات القدرة على استشراف التغيرات والتكيف بسرعة مع التطورات الاقتصادية والتكنولوجية والمنافسة المتزايدة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(Basir et al., 2023, p. 1239)</w:t>
      </w:r>
    </w:p>
    <w:p w14:paraId="487ADFA5"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مما سبق يتضح أن المعلومات والتحليل يمثلان عمودًا فقريًا في تعزيز فاعلية القرارات الاستراتيجية، إذ يضمنان اتخاذ قرارات دقيقة، مدروسة، ومرنة تستند إلى بيانات قوية وفهم معمق للسياق المؤسسي والبيئي. كما أن دمج الأدوات الرقمية الحديثة مثل الذكاء الاصطناعي مع الخبرة البشرية والتقييم النقدي يعزز القدرة على التعامل مع المخاطر واستغلال الفرص، ويضمن أن تكون القرارات الاستراتيجية محفزة لتحقيق الأهداف طويلة الأجل، مستدامة، ومتماشية مع رؤية المملكة 2030 ومتطلبات السوق التنافسي.</w:t>
      </w:r>
    </w:p>
    <w:p w14:paraId="2CE29F2D" w14:textId="77777777" w:rsidR="00AF505F" w:rsidRPr="00AF505F" w:rsidRDefault="00AF505F" w:rsidP="00AF505F">
      <w:pPr>
        <w:bidi/>
        <w:jc w:val="both"/>
        <w:rPr>
          <w:rFonts w:asciiTheme="majorBidi" w:hAnsiTheme="majorBidi" w:cstheme="majorBidi"/>
          <w:sz w:val="28"/>
          <w:szCs w:val="28"/>
          <w:rtl/>
          <w:lang w:bidi="ar-EG"/>
        </w:rPr>
      </w:pPr>
      <w:r w:rsidRPr="00AF505F">
        <w:rPr>
          <w:rFonts w:asciiTheme="majorBidi" w:hAnsiTheme="majorBidi" w:cstheme="majorBidi"/>
          <w:b/>
          <w:bCs/>
          <w:sz w:val="28"/>
          <w:szCs w:val="28"/>
          <w:rtl/>
        </w:rPr>
        <w:t>مؤشرات قياس فاعلية القرارات الاستراتيجية</w:t>
      </w:r>
      <w:r w:rsidRPr="00AF505F">
        <w:rPr>
          <w:rFonts w:asciiTheme="majorBidi" w:hAnsiTheme="majorBidi" w:cstheme="majorBidi"/>
          <w:b/>
          <w:bCs/>
          <w:sz w:val="28"/>
          <w:szCs w:val="28"/>
          <w:lang w:bidi="ar-EG"/>
        </w:rPr>
        <w:t>:</w:t>
      </w:r>
    </w:p>
    <w:p w14:paraId="0D0139D9"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 xml:space="preserve">يمثل قياس فاعلية القرارات الاستراتيجية خطوة أساسية لضمان أن الاختيارات المؤسسية تحقق الأهداف المرجوة وتساهم في تعزيز الأداء العام للمؤسسة. فالقرار الاستراتيجي لا يقتصر دوره على صياغة الخيارات، بل يمتد إلى تقييم أثره على الموارد، العمليات، والمخرجات التنظيمية. في المؤسسات السعودية، بما فيها قطاع الصناعات الغذائية، تصبح مؤشرات القياس أداة حيوية لرصد مدى توافق القرارات مع الأهداف الاستراتيجية ورؤية 2030، بالإضافة إلى تعزيز القدرة على التكيف مع التغيرات الاقتصادية والتنافسية. ويتيح القياس الفعال التعرف على نقاط القوة والضعف، وتحديد المجالات التي تتطلب تدخلًا تصحيحيًا لضمان استدامة النتائج.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Iastremska</w:t>
      </w:r>
      <w:proofErr w:type="spellEnd"/>
      <w:r w:rsidRPr="00AF505F">
        <w:rPr>
          <w:rFonts w:asciiTheme="majorBidi" w:hAnsiTheme="majorBidi" w:cstheme="majorBidi"/>
          <w:sz w:val="28"/>
          <w:szCs w:val="28"/>
        </w:rPr>
        <w:t xml:space="preserve"> et al., 2023, p. 117)</w:t>
      </w:r>
    </w:p>
    <w:p w14:paraId="0314EBAA" w14:textId="77777777" w:rsidR="00AF505F" w:rsidRPr="00AF505F" w:rsidRDefault="00AF505F" w:rsidP="00AF505F">
      <w:pPr>
        <w:pStyle w:val="a3"/>
        <w:numPr>
          <w:ilvl w:val="0"/>
          <w:numId w:val="15"/>
        </w:numPr>
        <w:bidi/>
        <w:jc w:val="both"/>
        <w:rPr>
          <w:rFonts w:asciiTheme="majorBidi" w:hAnsiTheme="majorBidi" w:cstheme="majorBidi"/>
          <w:sz w:val="28"/>
          <w:szCs w:val="28"/>
        </w:rPr>
      </w:pPr>
      <w:r w:rsidRPr="00AF505F">
        <w:rPr>
          <w:rFonts w:asciiTheme="majorBidi" w:hAnsiTheme="majorBidi" w:cstheme="majorBidi"/>
          <w:b/>
          <w:bCs/>
          <w:sz w:val="28"/>
          <w:szCs w:val="28"/>
          <w:rtl/>
        </w:rPr>
        <w:t>مؤشرات الأداء المالية</w:t>
      </w:r>
      <w:r w:rsidRPr="00AF505F">
        <w:rPr>
          <w:rFonts w:asciiTheme="majorBidi" w:hAnsiTheme="majorBidi" w:cstheme="majorBidi"/>
          <w:b/>
          <w:bCs/>
          <w:sz w:val="28"/>
          <w:szCs w:val="28"/>
        </w:rPr>
        <w:t>:</w:t>
      </w:r>
    </w:p>
    <w:p w14:paraId="54A18437" w14:textId="77777777" w:rsidR="00AF505F" w:rsidRPr="00AF505F" w:rsidRDefault="00AF505F" w:rsidP="00AF505F">
      <w:pPr>
        <w:pStyle w:val="a3"/>
        <w:bidi/>
        <w:jc w:val="both"/>
        <w:rPr>
          <w:rFonts w:asciiTheme="majorBidi" w:hAnsiTheme="majorBidi" w:cstheme="majorBidi"/>
          <w:sz w:val="28"/>
          <w:szCs w:val="28"/>
        </w:rPr>
      </w:pPr>
      <w:r w:rsidRPr="00AF505F">
        <w:rPr>
          <w:rFonts w:asciiTheme="majorBidi" w:hAnsiTheme="majorBidi" w:cstheme="majorBidi"/>
          <w:sz w:val="28"/>
          <w:szCs w:val="28"/>
          <w:rtl/>
        </w:rPr>
        <w:t xml:space="preserve">تشكل المقاييس المالية أحد الركائز الأساسية لقياس فاعلية القرارات الاستراتيجية، حيث تساعد في تقييم العائد على الاستثمار، التكلفة الفعلية للقرارات، وتحقيق الأهداف الربحية. على سبيل المثال، يمكن استخدام مؤشرات مثل معدل العائد على رأس المال، نمو الإيرادات، أو التوفير في التكاليف التشغيلية لتحديد مدى نجاح القرار الاستراتيجي في تحسين الأداء المالي للمؤسسة. وتعكس هذه المؤشرات القدرة على ترجمة القرارات إلى نتائج ملموسة تسهم في تعزيز الاستدامة المالية والكفاءة المؤسسية.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Camuffo</w:t>
      </w:r>
      <w:proofErr w:type="spellEnd"/>
      <w:r w:rsidRPr="00AF505F">
        <w:rPr>
          <w:rFonts w:asciiTheme="majorBidi" w:hAnsiTheme="majorBidi" w:cstheme="majorBidi"/>
          <w:sz w:val="28"/>
          <w:szCs w:val="28"/>
        </w:rPr>
        <w:t xml:space="preserve"> et al., 2023, p. 127)</w:t>
      </w:r>
    </w:p>
    <w:p w14:paraId="535A194F" w14:textId="77777777" w:rsidR="00AF505F" w:rsidRPr="00AF505F" w:rsidRDefault="00AF505F" w:rsidP="00AF505F">
      <w:pPr>
        <w:pStyle w:val="a3"/>
        <w:numPr>
          <w:ilvl w:val="0"/>
          <w:numId w:val="15"/>
        </w:numPr>
        <w:bidi/>
        <w:jc w:val="both"/>
        <w:rPr>
          <w:rFonts w:asciiTheme="majorBidi" w:hAnsiTheme="majorBidi" w:cstheme="majorBidi"/>
          <w:sz w:val="28"/>
          <w:szCs w:val="28"/>
        </w:rPr>
      </w:pPr>
      <w:r w:rsidRPr="00AF505F">
        <w:rPr>
          <w:rFonts w:asciiTheme="majorBidi" w:hAnsiTheme="majorBidi" w:cstheme="majorBidi"/>
          <w:b/>
          <w:bCs/>
          <w:sz w:val="28"/>
          <w:szCs w:val="28"/>
          <w:rtl/>
        </w:rPr>
        <w:t>مؤشرات الأداء التشغيلية</w:t>
      </w:r>
      <w:r w:rsidRPr="00AF505F">
        <w:rPr>
          <w:rFonts w:asciiTheme="majorBidi" w:hAnsiTheme="majorBidi" w:cstheme="majorBidi"/>
          <w:b/>
          <w:bCs/>
          <w:sz w:val="28"/>
          <w:szCs w:val="28"/>
        </w:rPr>
        <w:t>:</w:t>
      </w:r>
    </w:p>
    <w:p w14:paraId="4289C8AF" w14:textId="77777777" w:rsidR="00AF505F" w:rsidRPr="00AF505F" w:rsidRDefault="00AF505F" w:rsidP="00AF505F">
      <w:pPr>
        <w:pStyle w:val="a3"/>
        <w:bidi/>
        <w:jc w:val="both"/>
        <w:rPr>
          <w:rFonts w:asciiTheme="majorBidi" w:hAnsiTheme="majorBidi" w:cstheme="majorBidi"/>
          <w:sz w:val="28"/>
          <w:szCs w:val="28"/>
        </w:rPr>
      </w:pPr>
      <w:r w:rsidRPr="00AF505F">
        <w:rPr>
          <w:rFonts w:asciiTheme="majorBidi" w:hAnsiTheme="majorBidi" w:cstheme="majorBidi"/>
          <w:sz w:val="28"/>
          <w:szCs w:val="28"/>
          <w:rtl/>
        </w:rPr>
        <w:t>تقدم المقاييس التشغيلية رؤية دقيقة حول مدى كفاءة العمليات الداخلية بعد تنفيذ القرارات الاستراتيجية. يشمل ذلك قياس معدلات الإنتاج، جودة المنتجات، زمن دورة العمليات، وفعالية سلسلة الإمداد. في سياق المؤسسات الغذائية بالمملكة العربية السعودية، توفر هذه المؤشرات بيانات حيوية تساعد القيادات على تعديل استراتيجيات الإنتاج والتوزيع، بما يضمن توافقها مع الطلب السوقي، وتحسين الكفاءة التشغيلية بشكل مستمر</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(Alharbi &amp; Alnoor, 2024, p. 443)</w:t>
      </w:r>
    </w:p>
    <w:p w14:paraId="3AE4CB60" w14:textId="77777777" w:rsidR="00AF505F" w:rsidRPr="00AF505F" w:rsidRDefault="00AF505F" w:rsidP="00AF505F">
      <w:pPr>
        <w:pStyle w:val="a3"/>
        <w:numPr>
          <w:ilvl w:val="0"/>
          <w:numId w:val="15"/>
        </w:numPr>
        <w:bidi/>
        <w:jc w:val="both"/>
        <w:rPr>
          <w:rFonts w:asciiTheme="majorBidi" w:hAnsiTheme="majorBidi" w:cstheme="majorBidi"/>
          <w:sz w:val="28"/>
          <w:szCs w:val="28"/>
        </w:rPr>
      </w:pPr>
      <w:r w:rsidRPr="00AF505F">
        <w:rPr>
          <w:rFonts w:asciiTheme="majorBidi" w:hAnsiTheme="majorBidi" w:cstheme="majorBidi"/>
          <w:b/>
          <w:bCs/>
          <w:sz w:val="28"/>
          <w:szCs w:val="28"/>
          <w:rtl/>
        </w:rPr>
        <w:t>مؤشرات الابتكار والتطوير</w:t>
      </w:r>
      <w:r w:rsidRPr="00AF505F">
        <w:rPr>
          <w:rFonts w:asciiTheme="majorBidi" w:hAnsiTheme="majorBidi" w:cstheme="majorBidi"/>
          <w:b/>
          <w:bCs/>
          <w:sz w:val="28"/>
          <w:szCs w:val="28"/>
        </w:rPr>
        <w:t>:</w:t>
      </w:r>
    </w:p>
    <w:p w14:paraId="765AE7A1" w14:textId="77777777" w:rsidR="00AF505F" w:rsidRPr="00AF505F" w:rsidRDefault="00AF505F" w:rsidP="00AF505F">
      <w:pPr>
        <w:pStyle w:val="a3"/>
        <w:bidi/>
        <w:jc w:val="both"/>
        <w:rPr>
          <w:rFonts w:asciiTheme="majorBidi" w:hAnsiTheme="majorBidi" w:cstheme="majorBidi"/>
          <w:sz w:val="28"/>
          <w:szCs w:val="28"/>
        </w:rPr>
      </w:pPr>
      <w:r w:rsidRPr="00AF505F">
        <w:rPr>
          <w:rFonts w:asciiTheme="majorBidi" w:hAnsiTheme="majorBidi" w:cstheme="majorBidi"/>
          <w:sz w:val="28"/>
          <w:szCs w:val="28"/>
          <w:rtl/>
        </w:rPr>
        <w:lastRenderedPageBreak/>
        <w:t>تعد القدرة على الابتكار والتطوير المستمر من علامات فاعلية القرارات الاستراتيجية، إذ تعكس مدى قدرة المؤسسات على خلق قيمة جديدة وتحقيق التميز التنافسي. تشمل هذه المؤشرات عدد المبادرات الابتكارية، معدل تطوير المنتجات، وتطبيق الحلول الرقمية الحديثة مثل الذكاء الاصطناعي والتحليل البياني. ويؤكد التحليل النقدي أن المؤسسات التي تركز على الابتكار تحقق استدامة أفضل في قراراتها الاستراتيجية مقارنة بالمنظمات التي تلتزم بالأساليب التقليدية فقط</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 xml:space="preserve">(Brundin &amp; </w:t>
      </w:r>
      <w:proofErr w:type="spellStart"/>
      <w:r w:rsidRPr="00AF505F">
        <w:rPr>
          <w:rFonts w:asciiTheme="majorBidi" w:hAnsiTheme="majorBidi" w:cstheme="majorBidi"/>
          <w:sz w:val="28"/>
          <w:szCs w:val="28"/>
        </w:rPr>
        <w:t>Languilaire</w:t>
      </w:r>
      <w:proofErr w:type="spellEnd"/>
      <w:r w:rsidRPr="00AF505F">
        <w:rPr>
          <w:rFonts w:asciiTheme="majorBidi" w:hAnsiTheme="majorBidi" w:cstheme="majorBidi"/>
          <w:sz w:val="28"/>
          <w:szCs w:val="28"/>
        </w:rPr>
        <w:t>, 2023, p. 1)</w:t>
      </w:r>
    </w:p>
    <w:p w14:paraId="18750FD0" w14:textId="77777777" w:rsidR="00AF505F" w:rsidRPr="00AF505F" w:rsidRDefault="00AF505F" w:rsidP="00AF505F">
      <w:pPr>
        <w:pStyle w:val="a3"/>
        <w:numPr>
          <w:ilvl w:val="0"/>
          <w:numId w:val="15"/>
        </w:numPr>
        <w:bidi/>
        <w:jc w:val="both"/>
        <w:rPr>
          <w:rFonts w:asciiTheme="majorBidi" w:hAnsiTheme="majorBidi" w:cstheme="majorBidi"/>
          <w:sz w:val="28"/>
          <w:szCs w:val="28"/>
        </w:rPr>
      </w:pPr>
      <w:r w:rsidRPr="00AF505F">
        <w:rPr>
          <w:rFonts w:asciiTheme="majorBidi" w:hAnsiTheme="majorBidi" w:cstheme="majorBidi"/>
          <w:b/>
          <w:bCs/>
          <w:sz w:val="28"/>
          <w:szCs w:val="28"/>
          <w:rtl/>
        </w:rPr>
        <w:t>مؤشرات رضا أصحاب المصلحة والعملاء</w:t>
      </w:r>
      <w:r w:rsidRPr="00AF505F">
        <w:rPr>
          <w:rFonts w:asciiTheme="majorBidi" w:hAnsiTheme="majorBidi" w:cstheme="majorBidi"/>
          <w:b/>
          <w:bCs/>
          <w:sz w:val="28"/>
          <w:szCs w:val="28"/>
        </w:rPr>
        <w:t>:</w:t>
      </w:r>
    </w:p>
    <w:p w14:paraId="5DEC7002" w14:textId="77777777" w:rsidR="00AF505F" w:rsidRPr="00AF505F" w:rsidRDefault="00AF505F" w:rsidP="00AF505F">
      <w:pPr>
        <w:pStyle w:val="a3"/>
        <w:bidi/>
        <w:jc w:val="both"/>
        <w:rPr>
          <w:rFonts w:asciiTheme="majorBidi" w:hAnsiTheme="majorBidi" w:cstheme="majorBidi"/>
          <w:sz w:val="28"/>
          <w:szCs w:val="28"/>
        </w:rPr>
      </w:pPr>
      <w:r w:rsidRPr="00AF505F">
        <w:rPr>
          <w:rFonts w:asciiTheme="majorBidi" w:hAnsiTheme="majorBidi" w:cstheme="majorBidi"/>
          <w:sz w:val="28"/>
          <w:szCs w:val="28"/>
          <w:rtl/>
        </w:rPr>
        <w:t>يعكس رضا العملاء وأصحاب المصلحة الخارجيين والداخليين مدى تأثير القرارات الاستراتيجية على البيئة المؤسسية والسوقية. ويشمل ذلك تقييم رضا العملاء، الثقة في المؤسسة، ودرجة الالتزام المؤسسي من الموظفين. وتوفر هذه المؤشرات أساسًا لتقييم مدى نجاح القرار في تحسين العلاقة مع المستفيدين وتعزيز الصورة المؤسسية، وهو عامل حاسم في دعم الاستراتيجية العامة وتحقيق ميزة تنافسية مستدامة</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(Moinuddin &amp; Usman, 2025, p. 1)</w:t>
      </w:r>
    </w:p>
    <w:p w14:paraId="5291E793" w14:textId="77777777" w:rsidR="00AF505F" w:rsidRPr="00AF505F" w:rsidRDefault="00AF505F" w:rsidP="00AF505F">
      <w:pPr>
        <w:pStyle w:val="a3"/>
        <w:numPr>
          <w:ilvl w:val="0"/>
          <w:numId w:val="15"/>
        </w:numPr>
        <w:bidi/>
        <w:jc w:val="both"/>
        <w:rPr>
          <w:rFonts w:asciiTheme="majorBidi" w:hAnsiTheme="majorBidi" w:cstheme="majorBidi"/>
          <w:sz w:val="28"/>
          <w:szCs w:val="28"/>
        </w:rPr>
      </w:pPr>
      <w:r w:rsidRPr="00AF505F">
        <w:rPr>
          <w:rFonts w:asciiTheme="majorBidi" w:hAnsiTheme="majorBidi" w:cstheme="majorBidi"/>
          <w:b/>
          <w:bCs/>
          <w:sz w:val="28"/>
          <w:szCs w:val="28"/>
          <w:rtl/>
        </w:rPr>
        <w:t>مؤشرات التوافق مع الأهداف الاستراتيجية</w:t>
      </w:r>
      <w:r w:rsidRPr="00AF505F">
        <w:rPr>
          <w:rFonts w:asciiTheme="majorBidi" w:hAnsiTheme="majorBidi" w:cstheme="majorBidi"/>
          <w:b/>
          <w:bCs/>
          <w:sz w:val="28"/>
          <w:szCs w:val="28"/>
        </w:rPr>
        <w:t>:</w:t>
      </w:r>
    </w:p>
    <w:p w14:paraId="426DCCFE" w14:textId="77777777" w:rsidR="00AF505F" w:rsidRPr="00AF505F" w:rsidRDefault="00AF505F" w:rsidP="00AF505F">
      <w:pPr>
        <w:pStyle w:val="a3"/>
        <w:bidi/>
        <w:jc w:val="both"/>
        <w:rPr>
          <w:rFonts w:asciiTheme="majorBidi" w:hAnsiTheme="majorBidi" w:cstheme="majorBidi"/>
          <w:sz w:val="28"/>
          <w:szCs w:val="28"/>
          <w:rtl/>
        </w:rPr>
      </w:pPr>
      <w:r w:rsidRPr="00AF505F">
        <w:rPr>
          <w:rFonts w:asciiTheme="majorBidi" w:hAnsiTheme="majorBidi" w:cstheme="majorBidi"/>
          <w:sz w:val="28"/>
          <w:szCs w:val="28"/>
          <w:rtl/>
        </w:rPr>
        <w:t xml:space="preserve">تتيح مؤشرات التوافق قياس مدى انسجام القرارات مع الأهداف طويلة المدى للمؤسسة ورؤيتها المستقبلية. ويشمل ذلك تقييم الإنجازات مقابل الخطط المرسومة، ودرجة الالتزام بالمعايير والغايات المؤسسية. ويبرز هنا دور الحوكمة المؤسسية في متابعة التنفيذ وضمان توافق القرارات مع التوجهات الاستراتيجية للمؤسسة، بما يضمن الاستمرارية والقدرة على التكيف مع المتغيرات البيئية. </w:t>
      </w:r>
      <w:r w:rsidRPr="00AF505F">
        <w:rPr>
          <w:rFonts w:asciiTheme="majorBidi" w:hAnsiTheme="majorBidi" w:cstheme="majorBidi"/>
          <w:sz w:val="28"/>
          <w:szCs w:val="28"/>
        </w:rPr>
        <w:t>(Kolar et al., 2024, p. 99)</w:t>
      </w:r>
    </w:p>
    <w:p w14:paraId="095DF6E8" w14:textId="77777777" w:rsidR="00AF505F" w:rsidRPr="00AF505F" w:rsidRDefault="00AF505F" w:rsidP="00AF505F">
      <w:pPr>
        <w:pStyle w:val="a3"/>
        <w:bidi/>
        <w:ind w:firstLine="720"/>
        <w:jc w:val="both"/>
        <w:rPr>
          <w:rFonts w:asciiTheme="majorBidi" w:hAnsiTheme="majorBidi" w:cstheme="majorBidi"/>
          <w:sz w:val="28"/>
          <w:szCs w:val="28"/>
          <w:rtl/>
        </w:rPr>
      </w:pPr>
      <w:r w:rsidRPr="00AF505F">
        <w:rPr>
          <w:rFonts w:asciiTheme="majorBidi" w:hAnsiTheme="majorBidi" w:cstheme="majorBidi"/>
          <w:sz w:val="28"/>
          <w:szCs w:val="28"/>
          <w:rtl/>
        </w:rPr>
        <w:t>مما سبق يتضح أن قياس فاعلية القرارات الاستراتيجية يعتمد على مجموعة متكاملة من المقاييس المالية، التشغيلية، الابتكارية، ورضا أصحاب المصلحة، بالإضافة إلى التحقق من مدى التوافق مع الأهداف الاستراتيجية للمؤسسة. ويبرز التحليل النقدي أن المؤسسات التي تطبق آليات قياس شاملة تملك القدرة على تحسين قراراتها باستمرار، تعديل الاستراتيجيات عند الحاجة، وضمان تحقيق نتائج ملموسة ومستدامة تعزز القدرة التنافسية وتحقق الأهداف المؤسسية وفق رؤية المملكة 2030.</w:t>
      </w:r>
    </w:p>
    <w:p w14:paraId="74D5D275" w14:textId="77777777" w:rsidR="00AF505F" w:rsidRPr="00AF505F" w:rsidRDefault="00AF505F" w:rsidP="00AF505F">
      <w:pPr>
        <w:bidi/>
        <w:jc w:val="both"/>
        <w:rPr>
          <w:rFonts w:asciiTheme="majorBidi" w:hAnsiTheme="majorBidi" w:cstheme="majorBidi"/>
          <w:b/>
          <w:bCs/>
          <w:sz w:val="28"/>
          <w:szCs w:val="28"/>
          <w:rtl/>
        </w:rPr>
      </w:pPr>
      <w:r w:rsidRPr="00AF505F">
        <w:rPr>
          <w:rFonts w:asciiTheme="majorBidi" w:hAnsiTheme="majorBidi" w:cstheme="majorBidi"/>
          <w:b/>
          <w:bCs/>
          <w:sz w:val="28"/>
          <w:szCs w:val="28"/>
          <w:rtl/>
        </w:rPr>
        <w:t>أثر تبني تقنيات الذكاء الاصطناعي على فاعلية القرارات الاستراتيجية</w:t>
      </w:r>
    </w:p>
    <w:p w14:paraId="49F7CAD7"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يمثل تبني تقنيات الذكاء الاصطناعي عاملًا محوريًا في إعادة تشكيل طبيعة اتخاذ القرار الاستراتيجي داخل المؤسسات، إذ توفر هذه التقنيات القدرة على معالجة كميات ضخمة من البيانات وتحويلها إلى رؤى استراتيجية دقيقة تساعد القيادات التنفيذية على اتخاذ قرارات استباقية ومدروسة. في قطاع الصناعات الغذائية بالمملكة العربية السعودية، يتيح الذكاء الاصطناعي تحسين التخطيط الإنتاجي، التنبؤ بالطلب، وتحسين كفاءة سلسلة الإمداد، بما يسهم في تعزيز القدرة التنافسية للمؤسسات وفق مستهدفات رؤية 2030. وتعكس هذه التجربة التحولية كيف يمكن للتقنيات الحديثة أن تدعم الاستراتيجية المؤسسية وتسرع عملية اتخاذ القرارات في بيئة ديناميكية ومعقدة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(Eberhard, 2023, p. 167)</w:t>
      </w:r>
    </w:p>
    <w:p w14:paraId="422D6928"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lastRenderedPageBreak/>
        <w:t>تسهم تقنيات التعلم الآلي والتعلم العميق في تعزيز الدقة التنبؤية للقرارات الاستراتيجية، إذ تتيح للقيادات فهم الأنماط الخفية في البيانات المتعلقة بسلوك العملاء، تقلبات السوق، وأداء العمليات التشغيلية. يوفر هذا التحليل إمكانية استشراف المخاطر والفرص المستقبلية، ما يمكّن التنفيذيين من اتخاذ قرارات أكثر فاعلية ومرونة. إلا أن الفاعلية الكاملة لهذه القرارات تعتمد على دمج هذه النماذج التحليلية مع الخبرة البشرية، لضمان تفسير النتائج ضمن السياق التنظيمي والاستراتيجي لكل مؤسسة، وتفادي الاعتماد الأعمى على التحليل الرقمي وحده</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(Rajagopal et al., 2022, p. 1)</w:t>
      </w:r>
    </w:p>
    <w:p w14:paraId="6327EF35"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تلعب معالجة اللغة الطبيعية والرؤية الحاسوبية دورًا مكملاً في دعم القرارات الاستراتيجية، إذ توفر قدرة على فهم وتحليل البيانات النوعية مثل تقييمات العملاء ومراقبة الجودة في خطوط الإنتاج. هذه الأدوات تعزز من قدرة القيادات على رصد الاتجاهات، الاستجابة للتغيرات في تفضيلات المستهلك، وتحسين الكفاءة التشغيلية، بما يتماشى مع مبادرات التحول الرقمي التي تشجع عليها رؤية 2030. كما أن استخدام هذه التقنيات يعزز من دقة القياس والتقييم المستمر للقرارات الاستراتيجية، ما يدعم الاستدامة وتحقيق أهداف النمو طويل الأجل</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(Adesina et al., 2024, p. 1927)</w:t>
      </w:r>
    </w:p>
    <w:p w14:paraId="0E10AFA1"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يمثل الذكاء الاصطناعي أيضًا أداة لتعزيز التكامل بين الاستراتيجية المؤسسية والتنفيذ الميداني، إذ يتيح القيادات مراقبة الأداء، تحديد نقاط الاختناق، وإعادة تخصيص الموارد بشكل سريع وفعال. ويظهر التحليل النقدي أن المؤسسات التي تعتمد على هذه التقنيات بطريقة متوازنة تستطيع تعزيز الابتكار المؤسسي، تحسين جودة القرارات، وتقليل المخاطر التشغيلية والمالية، بما ينعكس على قدرتها على المنافسة وتحقيق الاستدامة المؤسسية في بيئة المملكة المتغيرة والمتسارعة النمو</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(Meakin, 2022, p. 1)</w:t>
      </w:r>
    </w:p>
    <w:p w14:paraId="312E7221"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بالإضافة إلى ذلك، يوفر تبني تقنيات الذكاء الاصطناعي إطارًا لدعم الحوكمة المؤسسية واتخاذ قرارات قابلة للمساءلة. إذ تسهم الأنظمة التحليلية في توثيق عملية اتخاذ القرار، متابعة مؤشرات الأداء، وتقييم النتائج بشكل دوري، مما يتيح للقيادات ضبط القرارات وضمان توافقها مع أهداف المؤسسة الاستراتيجية ومعايير الاستدامة المحددة في رؤية 2030. كما أن هذا التكامل بين التحليل الرقمي والإشراف البشري يعزز القدرة على التعامل مع التعقيدات القانونية والأخلاقية المرتبطة بالقرارات الاستراتيجية، ويحد من المخاطر المحتملة المرتبطة بالاعتماد الكامل على النماذج التكنولوجية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(Rijal, 2023, p. 84)</w:t>
      </w:r>
    </w:p>
    <w:p w14:paraId="5DDD3022"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مما سبق يتضح أن تبني تقنيات الذكاء الاصطناعي يمثل عنصرًا محوريًا لتعزيز فاعلية القرارات الاستراتيجية لدى التنفيذيين في شركات الأغذية الكبرى بالمملكة، إذ يتيح تحسين دقة التنبؤ، تعزيز التكامل بين التحليل الرقمي والخبرة البشرية، دعم الابتكار، وضمان استدامة الأداء المؤسسي. وتبرز أهمية هذا الأثر بشكل خاص في ضوء رؤية المملكة 2030، التي تشدد على التحول الرقمي، تعزيز الكفاءة المؤسسية، وتحقيق ميزة تنافسية مستدامة في الأسواق المحلية والعالمية</w:t>
      </w:r>
      <w:r w:rsidRPr="00AF505F">
        <w:rPr>
          <w:rFonts w:asciiTheme="majorBidi" w:hAnsiTheme="majorBidi" w:cstheme="majorBidi"/>
          <w:sz w:val="28"/>
          <w:szCs w:val="28"/>
          <w:rtl/>
          <w:lang w:bidi="ar-EG"/>
        </w:rPr>
        <w:t>.</w:t>
      </w:r>
    </w:p>
    <w:p w14:paraId="098C6185" w14:textId="77777777" w:rsidR="00AF505F" w:rsidRPr="00AF505F" w:rsidRDefault="00AF505F" w:rsidP="00AF505F">
      <w:pPr>
        <w:bidi/>
        <w:rPr>
          <w:rFonts w:asciiTheme="majorBidi" w:hAnsiTheme="majorBidi" w:cstheme="majorBidi"/>
          <w:b/>
          <w:bCs/>
          <w:sz w:val="28"/>
          <w:szCs w:val="28"/>
          <w:rtl/>
          <w:lang w:bidi="ar-EG"/>
        </w:rPr>
      </w:pPr>
    </w:p>
    <w:p w14:paraId="6985E4A2" w14:textId="77777777" w:rsidR="00AF505F" w:rsidRPr="00AF505F" w:rsidRDefault="00AF505F" w:rsidP="00AF505F">
      <w:pPr>
        <w:bidi/>
        <w:rPr>
          <w:rFonts w:asciiTheme="majorBidi" w:hAnsiTheme="majorBidi" w:cstheme="majorBidi"/>
          <w:b/>
          <w:bCs/>
          <w:sz w:val="28"/>
          <w:szCs w:val="28"/>
          <w:rtl/>
          <w:lang w:bidi="ar-EG"/>
        </w:rPr>
      </w:pPr>
    </w:p>
    <w:p w14:paraId="50A11954" w14:textId="77777777" w:rsidR="00AF505F" w:rsidRPr="00AF505F" w:rsidRDefault="00AF505F" w:rsidP="00AF505F">
      <w:pPr>
        <w:bidi/>
        <w:rPr>
          <w:rFonts w:asciiTheme="majorBidi" w:hAnsiTheme="majorBidi" w:cstheme="majorBidi"/>
          <w:b/>
          <w:bCs/>
          <w:sz w:val="28"/>
          <w:szCs w:val="28"/>
          <w:rtl/>
          <w:lang w:bidi="ar-EG"/>
        </w:rPr>
      </w:pPr>
    </w:p>
    <w:p w14:paraId="4F559CBB" w14:textId="77777777" w:rsidR="00AF505F" w:rsidRPr="00AF505F" w:rsidRDefault="00AF505F" w:rsidP="00AF505F">
      <w:pPr>
        <w:bidi/>
        <w:rPr>
          <w:rFonts w:asciiTheme="majorBidi" w:hAnsiTheme="majorBidi" w:cstheme="majorBidi"/>
          <w:b/>
          <w:bCs/>
          <w:sz w:val="28"/>
          <w:szCs w:val="28"/>
          <w:rtl/>
          <w:lang w:bidi="ar-EG"/>
        </w:rPr>
      </w:pPr>
    </w:p>
    <w:p w14:paraId="226A9D62" w14:textId="77777777" w:rsidR="00AF505F" w:rsidRPr="00AF505F" w:rsidRDefault="00AF505F" w:rsidP="00AF505F">
      <w:pPr>
        <w:bidi/>
        <w:rPr>
          <w:rFonts w:asciiTheme="majorBidi" w:hAnsiTheme="majorBidi" w:cstheme="majorBidi"/>
          <w:b/>
          <w:bCs/>
          <w:sz w:val="28"/>
          <w:szCs w:val="28"/>
          <w:rtl/>
          <w:lang w:bidi="ar-EG"/>
        </w:rPr>
      </w:pPr>
    </w:p>
    <w:p w14:paraId="6F247E35" w14:textId="77777777" w:rsidR="00AF505F" w:rsidRPr="00AF505F" w:rsidRDefault="00AF505F" w:rsidP="00AF505F">
      <w:pPr>
        <w:bidi/>
        <w:rPr>
          <w:rFonts w:asciiTheme="majorBidi" w:hAnsiTheme="majorBidi" w:cstheme="majorBidi"/>
          <w:b/>
          <w:bCs/>
          <w:sz w:val="28"/>
          <w:szCs w:val="28"/>
          <w:rtl/>
          <w:lang w:bidi="ar-EG"/>
        </w:rPr>
      </w:pPr>
    </w:p>
    <w:p w14:paraId="660AADA3" w14:textId="77777777" w:rsidR="00AF505F" w:rsidRPr="00AF505F" w:rsidRDefault="00AF505F" w:rsidP="00AF505F">
      <w:pPr>
        <w:bidi/>
        <w:rPr>
          <w:rFonts w:asciiTheme="majorBidi" w:hAnsiTheme="majorBidi" w:cstheme="majorBidi"/>
          <w:b/>
          <w:bCs/>
          <w:sz w:val="28"/>
          <w:szCs w:val="28"/>
          <w:rtl/>
          <w:lang w:bidi="ar-EG"/>
        </w:rPr>
      </w:pPr>
    </w:p>
    <w:p w14:paraId="42B4461E" w14:textId="77777777" w:rsidR="00AF505F" w:rsidRPr="00AF505F" w:rsidRDefault="00AF505F" w:rsidP="00AF505F">
      <w:pPr>
        <w:bidi/>
        <w:rPr>
          <w:rFonts w:asciiTheme="majorBidi" w:hAnsiTheme="majorBidi" w:cstheme="majorBidi"/>
          <w:b/>
          <w:bCs/>
          <w:sz w:val="28"/>
          <w:szCs w:val="28"/>
          <w:rtl/>
          <w:lang w:bidi="ar-EG"/>
        </w:rPr>
      </w:pPr>
    </w:p>
    <w:p w14:paraId="18F2C910" w14:textId="77777777" w:rsidR="00AF505F" w:rsidRPr="00AF505F" w:rsidRDefault="00AF505F" w:rsidP="00AF505F">
      <w:pPr>
        <w:bidi/>
        <w:rPr>
          <w:rFonts w:asciiTheme="majorBidi" w:hAnsiTheme="majorBidi" w:cstheme="majorBidi"/>
          <w:b/>
          <w:bCs/>
          <w:sz w:val="28"/>
          <w:szCs w:val="28"/>
          <w:rtl/>
          <w:lang w:bidi="ar-EG"/>
        </w:rPr>
      </w:pPr>
    </w:p>
    <w:p w14:paraId="35182E53" w14:textId="77777777" w:rsidR="00AF505F" w:rsidRPr="00AF505F" w:rsidRDefault="00AF505F" w:rsidP="00AF505F">
      <w:pPr>
        <w:bidi/>
        <w:rPr>
          <w:rFonts w:asciiTheme="majorBidi" w:hAnsiTheme="majorBidi" w:cstheme="majorBidi"/>
          <w:b/>
          <w:bCs/>
          <w:sz w:val="28"/>
          <w:szCs w:val="28"/>
          <w:rtl/>
          <w:lang w:bidi="ar-EG"/>
        </w:rPr>
      </w:pPr>
    </w:p>
    <w:p w14:paraId="7BB5F2E0" w14:textId="77777777" w:rsidR="00AF505F" w:rsidRPr="00AF505F" w:rsidRDefault="00AF505F" w:rsidP="00AF505F">
      <w:pPr>
        <w:bidi/>
        <w:rPr>
          <w:rFonts w:asciiTheme="majorBidi" w:hAnsiTheme="majorBidi" w:cstheme="majorBidi"/>
          <w:b/>
          <w:bCs/>
          <w:sz w:val="28"/>
          <w:szCs w:val="28"/>
          <w:rtl/>
          <w:lang w:bidi="ar-EG"/>
        </w:rPr>
      </w:pPr>
    </w:p>
    <w:p w14:paraId="0E337B95" w14:textId="77777777" w:rsidR="00AF505F" w:rsidRPr="00AF505F" w:rsidRDefault="00AF505F" w:rsidP="00AF505F">
      <w:pPr>
        <w:bidi/>
        <w:rPr>
          <w:rFonts w:asciiTheme="majorBidi" w:hAnsiTheme="majorBidi" w:cstheme="majorBidi"/>
          <w:b/>
          <w:bCs/>
          <w:sz w:val="28"/>
          <w:szCs w:val="28"/>
          <w:rtl/>
          <w:lang w:bidi="ar-EG"/>
        </w:rPr>
      </w:pPr>
    </w:p>
    <w:p w14:paraId="6818AE83" w14:textId="77777777" w:rsidR="00AF505F" w:rsidRPr="00AF505F" w:rsidRDefault="00AF505F" w:rsidP="00AF505F">
      <w:pPr>
        <w:bidi/>
        <w:jc w:val="center"/>
        <w:rPr>
          <w:rFonts w:asciiTheme="majorBidi" w:hAnsiTheme="majorBidi" w:cstheme="majorBidi"/>
          <w:b/>
          <w:bCs/>
          <w:sz w:val="32"/>
          <w:szCs w:val="32"/>
          <w:rtl/>
          <w:lang w:bidi="ar-EG"/>
        </w:rPr>
      </w:pPr>
      <w:r w:rsidRPr="00AF505F">
        <w:rPr>
          <w:rFonts w:asciiTheme="majorBidi" w:hAnsiTheme="majorBidi" w:cstheme="majorBidi"/>
          <w:b/>
          <w:bCs/>
          <w:sz w:val="32"/>
          <w:szCs w:val="32"/>
          <w:rtl/>
          <w:lang w:bidi="ar-EG"/>
        </w:rPr>
        <w:t>المبحث الرابع: التحول الرقمي</w:t>
      </w:r>
    </w:p>
    <w:p w14:paraId="15EBB7F3" w14:textId="77777777" w:rsidR="00AF505F" w:rsidRPr="00AF505F" w:rsidRDefault="00AF505F" w:rsidP="00AF505F">
      <w:pPr>
        <w:bidi/>
        <w:rPr>
          <w:rFonts w:asciiTheme="majorBidi" w:hAnsiTheme="majorBidi" w:cstheme="majorBidi"/>
          <w:b/>
          <w:bCs/>
          <w:sz w:val="28"/>
          <w:szCs w:val="28"/>
          <w:rtl/>
        </w:rPr>
      </w:pPr>
      <w:r w:rsidRPr="00AF505F">
        <w:rPr>
          <w:rFonts w:asciiTheme="majorBidi" w:hAnsiTheme="majorBidi" w:cstheme="majorBidi"/>
          <w:b/>
          <w:bCs/>
          <w:sz w:val="28"/>
          <w:szCs w:val="28"/>
          <w:rtl/>
        </w:rPr>
        <w:t>مفهوم التحول الرقمي:</w:t>
      </w:r>
    </w:p>
    <w:p w14:paraId="0EFCAF62"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يُعرَّف التحول الرقمي بأنه عملية توظيف التقنيات الرقمية الحديثة في مختلف أنشطة وعمليات المؤسسة بهدف تطوير أساليب العمل وتحسين كفاءة الأداء، بما يسهم في تقديم خدمات أكثر سرعة ومرونة وتحقيق قيمة مضافة للمستفيدين</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(Omol, 2024, p. 240)</w:t>
      </w:r>
    </w:p>
    <w:p w14:paraId="0EE10EBB"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ويقصد بالتحول الرقمي إحداث تغيير جوهري في نماذج الأعمال والعمليات التنظيمية من خلال الاعتماد على التقنيات الرقمية المتقدمة، بما يمكن المؤسسات من تحسين جودة الخدمات ورفع مستوى الكفاءة التشغيلية وتعزيز قدرتها التنافسية</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(Plekhanov et al., 2023, p. 821)</w:t>
      </w:r>
    </w:p>
    <w:p w14:paraId="6AFEE463"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كما يشير التحول الرقمي إلى عملية استراتيجية تقوم على دمج التكنولوجيا الرقمية في جميع مجالات العمل المؤسسي، الأمر الذي يؤدي إلى إعادة تصميم العمليات والإجراءات التقليدية وتحويلها إلى عمليات رقمية أكثر كفاءة وفعالية</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ومن منظور إداري يُنظر إلى التحول الرقمي باعتباره تحولًا شاملاً في طريقة إدارة الموارد والمعلومات داخل المؤسسة من خلال استخدام النظم الرقمية وقواعد البيانات المتقدمة، بما يدعم عملية اتخاذ القرار ويحسن مستوى الأداء المؤسسي</w:t>
      </w:r>
      <w:r w:rsidRPr="00AF505F">
        <w:rPr>
          <w:rFonts w:asciiTheme="majorBidi" w:hAnsiTheme="majorBidi" w:cstheme="majorBidi"/>
          <w:sz w:val="28"/>
          <w:szCs w:val="28"/>
        </w:rPr>
        <w:t>.</w:t>
      </w:r>
      <w:r w:rsidRPr="00AF505F">
        <w:rPr>
          <w:rFonts w:asciiTheme="majorBidi" w:hAnsiTheme="majorBidi" w:cstheme="majorBidi"/>
          <w:sz w:val="28"/>
          <w:szCs w:val="28"/>
          <w:rtl/>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Hendrawan</w:t>
      </w:r>
      <w:proofErr w:type="spellEnd"/>
      <w:r w:rsidRPr="00AF505F">
        <w:rPr>
          <w:rFonts w:asciiTheme="majorBidi" w:hAnsiTheme="majorBidi" w:cstheme="majorBidi"/>
          <w:sz w:val="28"/>
          <w:szCs w:val="28"/>
        </w:rPr>
        <w:t xml:space="preserve"> et al., 2024, p. 141)</w:t>
      </w:r>
    </w:p>
    <w:p w14:paraId="4F8C9C9B" w14:textId="77777777" w:rsidR="00AF505F" w:rsidRPr="00AF505F" w:rsidRDefault="00AF505F" w:rsidP="00AF505F">
      <w:pPr>
        <w:bidi/>
        <w:ind w:firstLine="720"/>
        <w:jc w:val="both"/>
        <w:rPr>
          <w:rFonts w:asciiTheme="majorBidi" w:hAnsiTheme="majorBidi" w:cstheme="majorBidi"/>
          <w:sz w:val="28"/>
          <w:szCs w:val="28"/>
          <w:rtl/>
        </w:rPr>
      </w:pPr>
      <w:r w:rsidRPr="00AF505F">
        <w:rPr>
          <w:rFonts w:asciiTheme="majorBidi" w:hAnsiTheme="majorBidi" w:cstheme="majorBidi"/>
          <w:sz w:val="28"/>
          <w:szCs w:val="28"/>
          <w:rtl/>
        </w:rPr>
        <w:t xml:space="preserve">في سياق التطور التكنولوجي المتسارع يُفهم التحول الرقمي على أنه عملية مستمرة تهدف إلى استثمار التقنيات الرقمية الحديثة لتطوير المنتجات والخدمات وتحسين تجربة المستفيدين، مع تعزيز قدرة المؤسسات على الابتكار والتكيف مع متطلبات البيئة الرقمية. </w:t>
      </w:r>
      <w:r w:rsidRPr="00AF505F">
        <w:rPr>
          <w:rFonts w:asciiTheme="majorBidi" w:hAnsiTheme="majorBidi" w:cstheme="majorBidi"/>
          <w:sz w:val="28"/>
          <w:szCs w:val="28"/>
        </w:rPr>
        <w:t>(Fernandez-Vidal et al., 2022, p. 29)</w:t>
      </w:r>
    </w:p>
    <w:p w14:paraId="6060BCD9" w14:textId="77777777" w:rsidR="00AF505F" w:rsidRPr="00AF505F" w:rsidRDefault="00AF505F" w:rsidP="00AF505F">
      <w:pPr>
        <w:bidi/>
        <w:ind w:firstLine="720"/>
        <w:jc w:val="both"/>
        <w:rPr>
          <w:rFonts w:asciiTheme="majorBidi" w:hAnsiTheme="majorBidi" w:cstheme="majorBidi"/>
          <w:sz w:val="28"/>
          <w:szCs w:val="28"/>
          <w:rtl/>
        </w:rPr>
      </w:pPr>
      <w:r w:rsidRPr="00AF505F">
        <w:rPr>
          <w:rFonts w:asciiTheme="majorBidi" w:hAnsiTheme="majorBidi" w:cstheme="majorBidi"/>
          <w:sz w:val="28"/>
          <w:szCs w:val="28"/>
          <w:rtl/>
        </w:rPr>
        <w:t xml:space="preserve">ومما سبق يمكن تعريف التحول الرقمي بأنه عملية استراتيجية شاملة تهدف إلى توظيف التقنيات الرقمية الحديثة في مختلف أنشطة وعمليات المؤسسات، بما يسهم في إعادة تصميم نماذج </w:t>
      </w:r>
      <w:r w:rsidRPr="00AF505F">
        <w:rPr>
          <w:rFonts w:asciiTheme="majorBidi" w:hAnsiTheme="majorBidi" w:cstheme="majorBidi"/>
          <w:sz w:val="28"/>
          <w:szCs w:val="28"/>
          <w:rtl/>
        </w:rPr>
        <w:lastRenderedPageBreak/>
        <w:t>الأعمال وتحسين كفاءة الأداء وتعزيز القدرة على الابتكار، فضلاً عن دعم عملية اتخاذ القرار وتقديم خدمات أكثر جودة ومرونة بما يتوافق مع متطلبات البيئة الرقمية المتسارعة.</w:t>
      </w:r>
    </w:p>
    <w:p w14:paraId="7A39C92A" w14:textId="77777777" w:rsidR="00AF505F" w:rsidRPr="00AF505F" w:rsidRDefault="00AF505F" w:rsidP="00AF505F">
      <w:pPr>
        <w:bidi/>
        <w:rPr>
          <w:rFonts w:asciiTheme="majorBidi" w:hAnsiTheme="majorBidi" w:cstheme="majorBidi"/>
          <w:b/>
          <w:bCs/>
          <w:sz w:val="28"/>
          <w:szCs w:val="28"/>
          <w:rtl/>
          <w:lang w:bidi="ar-EG"/>
        </w:rPr>
      </w:pPr>
      <w:r w:rsidRPr="00AF505F">
        <w:rPr>
          <w:rFonts w:asciiTheme="majorBidi" w:hAnsiTheme="majorBidi" w:cstheme="majorBidi"/>
          <w:b/>
          <w:bCs/>
          <w:sz w:val="28"/>
          <w:szCs w:val="28"/>
          <w:rtl/>
        </w:rPr>
        <w:t>ركائز ومتطلبات البنية التحتية للتحول الرقمي في المنظمات</w:t>
      </w:r>
    </w:p>
    <w:p w14:paraId="15E74586" w14:textId="77777777" w:rsidR="00AF505F" w:rsidRPr="00AF505F" w:rsidRDefault="00AF505F" w:rsidP="00AF505F">
      <w:pPr>
        <w:bidi/>
        <w:ind w:firstLine="720"/>
        <w:jc w:val="both"/>
        <w:rPr>
          <w:rFonts w:asciiTheme="majorBidi" w:hAnsiTheme="majorBidi" w:cstheme="majorBidi"/>
          <w:sz w:val="28"/>
          <w:szCs w:val="28"/>
        </w:rPr>
      </w:pPr>
      <w:r w:rsidRPr="00AF505F">
        <w:rPr>
          <w:rFonts w:asciiTheme="majorBidi" w:hAnsiTheme="majorBidi" w:cstheme="majorBidi"/>
          <w:sz w:val="28"/>
          <w:szCs w:val="28"/>
          <w:rtl/>
        </w:rPr>
        <w:t>في ظل التسارع المتزايد في تبني تقنيات التحول الرقمي داخل المؤسسات، أصبحت البنية التحتية الرقمية أحد المرتكزات الأساسية التي تدعم كفاءة العمليات وتعزز القدرة على تحقيق الأهداف الاستراتيجية. إذ لا يقتصر التحول الرقمي على إدخال التقنيات الحديثة فحسب، بل يتطلب وجود منظومة متكاملة من الموارد التكنولوجية تشمل الأجهزة، والبرمجيات، وشبكات الاتصال، إضافة إلى الكفاءات البشرية القادرة على إدارة هذه التقنيات وتوظيفها بفاعلية. وفي هذا الإطار، يمثل تطوير وتحليل البنية التحتية الرقمية عنصرًا محوريًا في تمكين المؤسسات من تطبيق الابتكارات الرقمية المختلفة، ومن بينها تقنيات الذكاء الاصطناعي، بما يسهم في تحسين الأداء المؤسسي، وتعزيز المرونة التشغيلية، ودعم عملية التحول الرقمي بشكل مستدام.</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(Al-Baity, 2023, p.13725)</w:t>
      </w:r>
    </w:p>
    <w:p w14:paraId="6462E37E" w14:textId="77777777" w:rsidR="00AF505F" w:rsidRPr="00AF505F" w:rsidRDefault="00AF505F" w:rsidP="00AF505F">
      <w:pPr>
        <w:pStyle w:val="a3"/>
        <w:numPr>
          <w:ilvl w:val="0"/>
          <w:numId w:val="9"/>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الأجهزة الحاسوبية المتقدمة</w:t>
      </w:r>
      <w:r w:rsidRPr="00AF505F">
        <w:rPr>
          <w:rFonts w:asciiTheme="majorBidi" w:hAnsiTheme="majorBidi" w:cstheme="majorBidi"/>
          <w:b/>
          <w:bCs/>
          <w:sz w:val="28"/>
          <w:szCs w:val="28"/>
          <w:lang w:bidi="ar-EG"/>
        </w:rPr>
        <w:t>:</w:t>
      </w:r>
    </w:p>
    <w:p w14:paraId="40BE535B"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 xml:space="preserve">تُعد القدرة الحاسوبية المتقدمة أحد المرتكزات الأساسية لدعم مبادرات التحول الرقمي داخل المؤسسات، حيث تعتمد الأنظمة الرقمية الحديثة على معالجة كميات كبيرة ومتنوعة من البيانات بسرعة وكفاءة عالية. ويتطلب ذلك توافر بنية حاسوبية قوية تشمل وحدات معالجة مركزية متطورة، ومعالجات رسومية متخصصة تسهم في تسريع عمليات التحليل والمعالجة، إضافة إلى شبكات اتصال عالية الأداء تتيح تدفق البيانات بسلاسة بين الأنظمة المختلفة. كما يشمل هذا الجانب توفير بنية تخزين متقدمة من خلال الخوادم المحلية أو خدمات التخزين </w:t>
      </w:r>
      <w:proofErr w:type="spellStart"/>
      <w:r w:rsidRPr="00AF505F">
        <w:rPr>
          <w:rFonts w:asciiTheme="majorBidi" w:hAnsiTheme="majorBidi" w:cstheme="majorBidi"/>
          <w:sz w:val="28"/>
          <w:szCs w:val="28"/>
          <w:rtl/>
        </w:rPr>
        <w:t>السحابي</w:t>
      </w:r>
      <w:proofErr w:type="spellEnd"/>
      <w:r w:rsidRPr="00AF505F">
        <w:rPr>
          <w:rFonts w:asciiTheme="majorBidi" w:hAnsiTheme="majorBidi" w:cstheme="majorBidi"/>
          <w:sz w:val="28"/>
          <w:szCs w:val="28"/>
          <w:rtl/>
        </w:rPr>
        <w:t>، بما يسمح بحفظ كميات ضخمة من البيانات وإتاحتها للاستخدام في الوقت المناسب. وفي إطار التحول الرقمي، يصبح من الضروري أن تقوم المؤسسات بتقييم حجم العمليات الرقمية وطبيعة البيانات المتداولة لتحديد مستوى الموارد الحاسوبية المطلوبة، الأمر الذي يساعد على تحقيق التوازن بين الكفاءة التشغيلية والاستثمار الأمثل في البنية التحتية التقنية، بما يعزز قدرة المؤسسة على تنفيذ مبادرات التحول الرقمي بكفاءة واستدامة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Alenezi</w:t>
      </w:r>
      <w:proofErr w:type="spellEnd"/>
      <w:r w:rsidRPr="00AF505F">
        <w:rPr>
          <w:rFonts w:asciiTheme="majorBidi" w:hAnsiTheme="majorBidi" w:cstheme="majorBidi"/>
          <w:sz w:val="28"/>
          <w:szCs w:val="28"/>
        </w:rPr>
        <w:t xml:space="preserve"> et al., 2024, p.1)</w:t>
      </w:r>
    </w:p>
    <w:p w14:paraId="6090AA31" w14:textId="77777777" w:rsidR="00AF505F" w:rsidRPr="00AF505F" w:rsidRDefault="00AF505F" w:rsidP="00AF505F">
      <w:pPr>
        <w:pStyle w:val="a3"/>
        <w:numPr>
          <w:ilvl w:val="0"/>
          <w:numId w:val="9"/>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البرمجيات وأنظمة إدارة البيانات</w:t>
      </w:r>
      <w:r w:rsidRPr="00AF505F">
        <w:rPr>
          <w:rFonts w:asciiTheme="majorBidi" w:hAnsiTheme="majorBidi" w:cstheme="majorBidi"/>
          <w:b/>
          <w:bCs/>
          <w:sz w:val="28"/>
          <w:szCs w:val="28"/>
          <w:rtl/>
          <w:lang w:bidi="ar-EG"/>
        </w:rPr>
        <w:t>:</w:t>
      </w:r>
    </w:p>
    <w:p w14:paraId="28DDF55D"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 xml:space="preserve">تمثل البرمجيات المتقدمة وأنظمة إدارة البيانات عنصرًا محوريًا في دعم جهود التحول الرقمي داخل المؤسسات، إذ تسهم في تنظيم البيانات المؤسسية وتحليلها وتحويلها إلى معلومات ذات قيمة يمكن الاستفادة منها في تحسين الأداء واتخاذ القرارات. وتشمل هذه الأنظمة قواعد البيانات المختلفة التي تستوعب البيانات المهيكلة وغير المهيكلة، إضافة إلى أدوات تحليل البيانات الضخمة التي تمكّن المؤسسات من استكشاف الأنماط والاتجاهات الكامنة في البيانات. كما تتضمن بيئة التحول الرقمي منصات رقمية متقدمة تتيح تطوير التطبيقات الذكية وتحسين العمليات التشغيلية، إلى جانب واجهات برمجية تساعد على تحقيق التكامل بين الأنظمة المختلفة داخل المؤسسة. ويكمن التحدي في اختيار البرمجيات التي تتوافق مع متطلبات المؤسسة الحالية وتدعم توسعها المستقبلي، مع ضمان مرونة هذه الأنظمة وقدرتها على التحديث والتطوير بما يتلاءم مع التطورات التكنولوجية المتسارعة. ومن هذا المنطلق، يُعد </w:t>
      </w:r>
      <w:r w:rsidRPr="00AF505F">
        <w:rPr>
          <w:rFonts w:asciiTheme="majorBidi" w:hAnsiTheme="majorBidi" w:cstheme="majorBidi"/>
          <w:sz w:val="28"/>
          <w:szCs w:val="28"/>
          <w:rtl/>
        </w:rPr>
        <w:lastRenderedPageBreak/>
        <w:t xml:space="preserve">تبني نظم إدارة بيانات متكاملة خطوة استراتيجية في مسار التحول الرقمي، إذ يسهم ذلك في تحسين كفاءة العمليات وتعزيز قدرة المؤسسات على الاستفادة من البيانات في دعم الأداء المؤسسي. </w:t>
      </w:r>
      <w:r w:rsidRPr="00AF505F">
        <w:rPr>
          <w:rFonts w:asciiTheme="majorBidi" w:hAnsiTheme="majorBidi" w:cstheme="majorBidi"/>
          <w:sz w:val="28"/>
          <w:szCs w:val="28"/>
        </w:rPr>
        <w:t>(Alharbi, 2024, p.113)</w:t>
      </w:r>
    </w:p>
    <w:p w14:paraId="661AC946" w14:textId="77777777" w:rsidR="00AF505F" w:rsidRPr="00AF505F" w:rsidRDefault="00AF505F" w:rsidP="00AF505F">
      <w:pPr>
        <w:pStyle w:val="a3"/>
        <w:numPr>
          <w:ilvl w:val="0"/>
          <w:numId w:val="9"/>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أمن البيانات وحوكمتها</w:t>
      </w:r>
      <w:r w:rsidRPr="00AF505F">
        <w:rPr>
          <w:rFonts w:asciiTheme="majorBidi" w:hAnsiTheme="majorBidi" w:cstheme="majorBidi"/>
          <w:b/>
          <w:bCs/>
          <w:sz w:val="28"/>
          <w:szCs w:val="28"/>
          <w:lang w:bidi="ar-EG"/>
        </w:rPr>
        <w:t>:</w:t>
      </w:r>
    </w:p>
    <w:p w14:paraId="2CA87020" w14:textId="77777777" w:rsidR="00AF505F" w:rsidRPr="00AF505F" w:rsidRDefault="00AF505F" w:rsidP="00AF505F">
      <w:pPr>
        <w:pStyle w:val="a3"/>
        <w:bidi/>
        <w:jc w:val="both"/>
        <w:rPr>
          <w:rFonts w:asciiTheme="majorBidi" w:hAnsiTheme="majorBidi" w:cstheme="majorBidi"/>
          <w:sz w:val="28"/>
          <w:szCs w:val="28"/>
          <w:lang w:bidi="ar-EG"/>
        </w:rPr>
      </w:pPr>
      <w:r w:rsidRPr="00AF505F">
        <w:rPr>
          <w:rFonts w:asciiTheme="majorBidi" w:hAnsiTheme="majorBidi" w:cstheme="majorBidi"/>
          <w:sz w:val="28"/>
          <w:szCs w:val="28"/>
          <w:rtl/>
        </w:rPr>
        <w:t>يمثل أمن البيانات وحوكمتها أحد المحاور الجوهرية في بناء بيئة رقمية آمنة وموثوقة تدعم مسيرة التحول الرقمي في المؤسسات. فمع التوسع في استخدام الأنظمة الرقمية وتبادل البيانات عبر المنصات المختلفة، تزداد أهمية وضع سياسات وإجراءات واضحة لحماية البيانات وضمان سلامتها وسريتها. ويتطلب ذلك تطبيق آليات فعالة لإدارة صلاحيات الوصول إلى البيانات، ومراقبة تدفقات المعلومات داخل الأنظمة الرقمية، إضافة إلى استخدام تقنيات متقدمة للحماية من التهديدات والهجمات السيبرانية. كما تشمل حوكمة البيانات وضع أطر تنظيمية تحدد كيفية إدارة البيانات واستخدامها وتخزينها، مع ضمان الالتزام بالمعايير والتشريعات المحلية والدولية المتعلقة بحماية المعلومات. ومن منظور التحول الرقمي، فإن دمج مفاهيم الأمن السيبراني مع إدارة البيانات يسهم في تعزيز الثقة في الأنظمة الرقمية، كما يدعم قدرة المؤسسات على استخدام البيانات بشكل فعال في تحسين العمليات واتخاذ القرارات المبنية على معلومات دقيقة وموثوقة.</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(Alhazmi et al., 2025, p.1)</w:t>
      </w:r>
    </w:p>
    <w:p w14:paraId="54E25277" w14:textId="77777777" w:rsidR="00AF505F" w:rsidRPr="00AF505F" w:rsidRDefault="00AF505F" w:rsidP="00AF505F">
      <w:pPr>
        <w:pStyle w:val="a3"/>
        <w:numPr>
          <w:ilvl w:val="0"/>
          <w:numId w:val="9"/>
        </w:num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الكوادر البشرية المؤهلة</w:t>
      </w:r>
      <w:r w:rsidRPr="00AF505F">
        <w:rPr>
          <w:rFonts w:asciiTheme="majorBidi" w:hAnsiTheme="majorBidi" w:cstheme="majorBidi"/>
          <w:b/>
          <w:bCs/>
          <w:sz w:val="28"/>
          <w:szCs w:val="28"/>
          <w:lang w:bidi="ar-EG"/>
        </w:rPr>
        <w:t>:</w:t>
      </w:r>
    </w:p>
    <w:p w14:paraId="09828D14" w14:textId="77777777" w:rsidR="00AF505F" w:rsidRPr="00AF505F" w:rsidRDefault="00AF505F" w:rsidP="00AF505F">
      <w:pPr>
        <w:pStyle w:val="a3"/>
        <w:bidi/>
        <w:jc w:val="both"/>
        <w:rPr>
          <w:rFonts w:asciiTheme="majorBidi" w:hAnsiTheme="majorBidi" w:cstheme="majorBidi"/>
          <w:sz w:val="28"/>
          <w:szCs w:val="28"/>
          <w:rtl/>
        </w:rPr>
      </w:pPr>
      <w:r w:rsidRPr="00AF505F">
        <w:rPr>
          <w:rFonts w:asciiTheme="majorBidi" w:hAnsiTheme="majorBidi" w:cstheme="majorBidi"/>
          <w:sz w:val="28"/>
          <w:szCs w:val="28"/>
          <w:rtl/>
        </w:rPr>
        <w:t>لا يمكن لمبادرات التحول الرقمي أن تحقق أهدافها المنشودة دون توافر كوادر بشرية مؤهلة تمتلك المهارات والمعارف اللازمة للتعامل مع التقنيات الرقمية الحديثة. إذ يتطلب التحول الرقمي وجود متخصصين قادرين على إدارة الأنظمة التقنية، وتحليل البيانات، وتطوير الحلول الرقمية التي تسهم في تحسين الأداء المؤسسي. كما يستلزم ذلك الاستثمار في برامج التدريب والتطوير المستمر لرفع مستوى المهارات الرقمية لدى العاملين، وتمكينهم من استخدام الأدوات والتطبيقات الرقمية بكفاءة. إضافة إلى ذلك، تلعب الكفاءات البشرية دورًا مهمًا في توظيف نتائج التحليل الرقمي في دعم عملية صنع القرار وتطوير الاستراتيجيات المؤسسية. ومن هذا المنطلق، فإن دمج القدرات التقنية مع المهارات البشرية يعزز قدرة المؤسسات على الابتكار والتكيف مع المتغيرات التكنولوجية المتسارعة، ويضمن استدامة عمليات التحول الرقمي وتحقيق أهدافه على المدى الطويل</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Pr>
        <w:t>(</w:t>
      </w:r>
      <w:proofErr w:type="spellStart"/>
      <w:r w:rsidRPr="00AF505F">
        <w:rPr>
          <w:rFonts w:asciiTheme="majorBidi" w:hAnsiTheme="majorBidi" w:cstheme="majorBidi"/>
          <w:sz w:val="28"/>
          <w:szCs w:val="28"/>
        </w:rPr>
        <w:t>Almalawi</w:t>
      </w:r>
      <w:proofErr w:type="spellEnd"/>
      <w:r w:rsidRPr="00AF505F">
        <w:rPr>
          <w:rFonts w:asciiTheme="majorBidi" w:hAnsiTheme="majorBidi" w:cstheme="majorBidi"/>
          <w:sz w:val="28"/>
          <w:szCs w:val="28"/>
        </w:rPr>
        <w:t xml:space="preserve"> et al., 2022, p.1)</w:t>
      </w:r>
    </w:p>
    <w:p w14:paraId="706AF6AE" w14:textId="77777777" w:rsidR="00AF505F" w:rsidRPr="00AF505F" w:rsidRDefault="00AF505F" w:rsidP="00AF505F">
      <w:pPr>
        <w:pStyle w:val="a3"/>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مما سبق يتضح أن البنية التحتية الرقمية للتحول الرقمي لا تقتصر على توافر التقنيات والأدوات الحديثة فحسب، بل تمثل منظومة متكاملة تضم الأجهزة الحاسوبية المتقدمة، والبرمجيات المرنة، وأنظمة إدارة البيانات، وآليات الأمن السيبراني، إلى جانب الكوادر البشرية المؤهلة. ويسهم تكامل هذه العناصر في تمكين المؤسسات من تنفيذ مبادرات التحول الرقمي بكفاءة وفاعلية، بما يدعم تحسين الأداء التشغيلي، ويعزز القدرة على الابتكار، ويسهم في تحقيق الأهداف الاستراتيجية والتنموية للمؤسسات في بيئة أعمال تتسم بالتغير المستمر</w:t>
      </w:r>
      <w:r w:rsidRPr="00AF505F">
        <w:rPr>
          <w:rFonts w:asciiTheme="majorBidi" w:hAnsiTheme="majorBidi" w:cstheme="majorBidi"/>
          <w:sz w:val="28"/>
          <w:szCs w:val="28"/>
        </w:rPr>
        <w:t>.</w:t>
      </w:r>
    </w:p>
    <w:p w14:paraId="528656D0" w14:textId="77777777" w:rsidR="00AF505F" w:rsidRPr="00AF505F" w:rsidRDefault="00AF505F" w:rsidP="00AF505F">
      <w:pPr>
        <w:bidi/>
        <w:rPr>
          <w:rFonts w:asciiTheme="majorBidi" w:hAnsiTheme="majorBidi" w:cstheme="majorBidi"/>
          <w:b/>
          <w:bCs/>
          <w:sz w:val="28"/>
          <w:szCs w:val="28"/>
          <w:rtl/>
          <w:lang w:bidi="ar-EG"/>
        </w:rPr>
      </w:pPr>
    </w:p>
    <w:p w14:paraId="06BD4F18" w14:textId="77777777" w:rsidR="00AF505F" w:rsidRPr="00AF505F" w:rsidRDefault="00AF505F" w:rsidP="00AF505F">
      <w:pPr>
        <w:bidi/>
        <w:rPr>
          <w:rFonts w:asciiTheme="majorBidi" w:hAnsiTheme="majorBidi" w:cstheme="majorBidi"/>
          <w:b/>
          <w:bCs/>
          <w:sz w:val="28"/>
          <w:szCs w:val="28"/>
          <w:rtl/>
          <w:lang w:bidi="ar-EG"/>
        </w:rPr>
      </w:pPr>
    </w:p>
    <w:p w14:paraId="279003EB" w14:textId="77777777" w:rsidR="00AF505F" w:rsidRPr="00AF505F" w:rsidRDefault="00AF505F" w:rsidP="00AF505F">
      <w:pPr>
        <w:bidi/>
        <w:rPr>
          <w:rFonts w:asciiTheme="majorBidi" w:hAnsiTheme="majorBidi" w:cstheme="majorBidi"/>
          <w:b/>
          <w:bCs/>
          <w:sz w:val="28"/>
          <w:szCs w:val="28"/>
          <w:rtl/>
          <w:lang w:bidi="ar-EG"/>
        </w:rPr>
      </w:pPr>
    </w:p>
    <w:p w14:paraId="5AF30AB0" w14:textId="77777777" w:rsidR="00AF505F" w:rsidRPr="00AF505F" w:rsidRDefault="00AF505F" w:rsidP="00AF505F">
      <w:pPr>
        <w:bidi/>
        <w:rPr>
          <w:rFonts w:asciiTheme="majorBidi" w:hAnsiTheme="majorBidi" w:cstheme="majorBidi"/>
          <w:b/>
          <w:bCs/>
          <w:sz w:val="28"/>
          <w:szCs w:val="28"/>
          <w:rtl/>
          <w:lang w:bidi="ar-EG"/>
        </w:rPr>
      </w:pPr>
    </w:p>
    <w:p w14:paraId="38EDE43F" w14:textId="77777777" w:rsidR="00AF505F" w:rsidRPr="00AF505F" w:rsidRDefault="00AF505F" w:rsidP="00AF505F">
      <w:pPr>
        <w:bidi/>
        <w:rPr>
          <w:rFonts w:asciiTheme="majorBidi" w:hAnsiTheme="majorBidi" w:cstheme="majorBidi"/>
          <w:b/>
          <w:bCs/>
          <w:sz w:val="28"/>
          <w:szCs w:val="28"/>
          <w:rtl/>
          <w:lang w:bidi="ar-EG"/>
        </w:rPr>
      </w:pPr>
    </w:p>
    <w:p w14:paraId="195A045B" w14:textId="77777777" w:rsidR="00AF505F" w:rsidRPr="00AF505F" w:rsidRDefault="00AF505F" w:rsidP="00AF505F">
      <w:pPr>
        <w:bidi/>
        <w:rPr>
          <w:rFonts w:asciiTheme="majorBidi" w:hAnsiTheme="majorBidi" w:cstheme="majorBidi"/>
          <w:b/>
          <w:bCs/>
          <w:sz w:val="28"/>
          <w:szCs w:val="28"/>
          <w:rtl/>
          <w:lang w:bidi="ar-EG"/>
        </w:rPr>
      </w:pPr>
    </w:p>
    <w:p w14:paraId="2D65C4C4" w14:textId="77777777" w:rsidR="00AF505F" w:rsidRPr="00AF505F" w:rsidRDefault="00AF505F" w:rsidP="00AF505F">
      <w:pPr>
        <w:bidi/>
        <w:rPr>
          <w:rFonts w:asciiTheme="majorBidi" w:hAnsiTheme="majorBidi" w:cstheme="majorBidi"/>
          <w:b/>
          <w:bCs/>
          <w:sz w:val="28"/>
          <w:szCs w:val="28"/>
          <w:rtl/>
          <w:lang w:bidi="ar-EG"/>
        </w:rPr>
      </w:pPr>
    </w:p>
    <w:p w14:paraId="343A6567" w14:textId="77777777" w:rsidR="00AF505F" w:rsidRPr="00AF505F" w:rsidRDefault="00AF505F" w:rsidP="00AF505F">
      <w:pPr>
        <w:bidi/>
        <w:rPr>
          <w:rFonts w:asciiTheme="majorBidi" w:hAnsiTheme="majorBidi" w:cstheme="majorBidi"/>
          <w:b/>
          <w:bCs/>
          <w:sz w:val="28"/>
          <w:szCs w:val="28"/>
          <w:rtl/>
          <w:lang w:bidi="ar-EG"/>
        </w:rPr>
      </w:pPr>
    </w:p>
    <w:p w14:paraId="3F50DDDC" w14:textId="77777777" w:rsidR="00AF505F" w:rsidRPr="00AF505F" w:rsidRDefault="00AF505F" w:rsidP="00AF505F">
      <w:pPr>
        <w:bidi/>
        <w:rPr>
          <w:rFonts w:asciiTheme="majorBidi" w:hAnsiTheme="majorBidi" w:cstheme="majorBidi"/>
          <w:b/>
          <w:bCs/>
          <w:sz w:val="28"/>
          <w:szCs w:val="28"/>
          <w:rtl/>
          <w:lang w:bidi="ar-EG"/>
        </w:rPr>
      </w:pPr>
    </w:p>
    <w:p w14:paraId="1C5C18AA" w14:textId="77777777" w:rsidR="00AF505F" w:rsidRPr="00AF505F" w:rsidRDefault="00AF505F" w:rsidP="00AF505F">
      <w:pPr>
        <w:bidi/>
        <w:spacing w:before="100" w:beforeAutospacing="1" w:after="100" w:afterAutospacing="1"/>
        <w:jc w:val="center"/>
        <w:rPr>
          <w:rFonts w:asciiTheme="majorBidi" w:hAnsiTheme="majorBidi" w:cstheme="majorBidi"/>
          <w:b/>
          <w:bCs/>
          <w:sz w:val="32"/>
          <w:szCs w:val="32"/>
          <w:rtl/>
          <w:lang w:bidi="ar-EG"/>
        </w:rPr>
      </w:pPr>
      <w:r w:rsidRPr="00AF505F">
        <w:rPr>
          <w:rFonts w:asciiTheme="majorBidi" w:hAnsiTheme="majorBidi" w:cstheme="majorBidi"/>
          <w:b/>
          <w:bCs/>
          <w:sz w:val="32"/>
          <w:szCs w:val="32"/>
          <w:rtl/>
          <w:lang w:bidi="ar-EG"/>
        </w:rPr>
        <w:t>المبحث الخامس: رؤية 2030</w:t>
      </w:r>
    </w:p>
    <w:p w14:paraId="142B0023" w14:textId="77777777" w:rsidR="00AF505F" w:rsidRPr="00AF505F" w:rsidRDefault="00AF505F" w:rsidP="00AF505F">
      <w:pPr>
        <w:bidi/>
        <w:spacing w:before="100" w:beforeAutospacing="1" w:after="100" w:afterAutospacing="1"/>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تُعد رؤية السعودية 2030 إحدى أبرز المبادرات التنموية الشاملة التي أطلقتها محمد بن سلمان في عام 2016، بهدف إحداث تحول جذري في بنية الاقتصاد والمجتمع في المملكة العربية السعودية</w:t>
      </w:r>
      <w:r w:rsidRPr="00AF505F">
        <w:rPr>
          <w:rFonts w:asciiTheme="majorBidi" w:hAnsiTheme="majorBidi" w:cstheme="majorBidi"/>
          <w:sz w:val="28"/>
          <w:szCs w:val="28"/>
          <w:lang w:bidi="ar-EG"/>
        </w:rPr>
        <w:t xml:space="preserve">. </w:t>
      </w:r>
      <w:r w:rsidRPr="00AF505F">
        <w:rPr>
          <w:rFonts w:asciiTheme="majorBidi" w:hAnsiTheme="majorBidi" w:cstheme="majorBidi"/>
          <w:sz w:val="28"/>
          <w:szCs w:val="28"/>
          <w:rtl/>
        </w:rPr>
        <w:t>وجاءت هذه الرؤية استجابة للتحديات الاقتصادية المرتبطة بالاعتماد الكبير على النفط كمصدر رئيسي للدخل، حيث تسعى إلى تنويع القاعدة الاقتصادية وتعزيز الاستدامة المالية من خلال تطوير قطاعات جديدة وزيادة مساهمة القطاع الخاص في الاقتصاد الوطني. كما تهدف الرؤية إلى بناء مجتمع أكثر حيوية واقتصاد أكثر ازدهارًا ووطن أكثر طموحًا، من خلال تطوير البنية التحتية، وتحسين جودة الحياة، وتعزيز كفاءة المؤسسات الحكومية</w:t>
      </w:r>
      <w:r w:rsidRPr="00AF505F">
        <w:rPr>
          <w:rFonts w:asciiTheme="majorBidi" w:hAnsiTheme="majorBidi" w:cstheme="majorBidi"/>
          <w:sz w:val="28"/>
          <w:szCs w:val="28"/>
          <w:rtl/>
          <w:lang w:bidi="ar-EG"/>
        </w:rPr>
        <w:t>. (الموقع الرسمي رؤية المملكة 2030، 2026)</w:t>
      </w:r>
    </w:p>
    <w:p w14:paraId="50B0F20A" w14:textId="77777777" w:rsidR="00AF505F" w:rsidRPr="00AF505F" w:rsidRDefault="00AF505F" w:rsidP="00AF505F">
      <w:pPr>
        <w:bidi/>
        <w:spacing w:before="100" w:beforeAutospacing="1" w:after="100" w:afterAutospacing="1"/>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وترتكز رؤية المملكة 2030 على ثلاثة محاور رئيسية تشكل الإطار العام لبرامجها ومبادراتها التنموية. يتمثل المحور الأول في مجتمع حيوي، والذي يركز على تحسين جودة الحياة للمواطنين من خلال تطوير الخدمات الصحية والتعليمية، وتعزيز الأنشطة الثقافية والترفيهية، إضافة إلى دعم القيم الاجتماعية والهوية الوطنية. ويشمل هذا المحور كذلك الاهتمام بتوفير بيئة معيشية متوازنة تتيح للأفراد فرصًا أكبر للمشاركة في الأنشطة الاجتماعية والثقافية والرياضية. أما المحور الثاني فهو اقتصاد مزدهر، ويهدف إلى بناء اقتصاد متنوع ومستدام قائم على الابتكار والمعرفة، من خلال دعم ريادة الأعمال، وتطوير سوق العمل، ورفع مستوى مهارات الكوادر الوطنية بما يتلاءم مع متطلبات الاقتصاد الحديث. كما يسعى هذا المحور إلى جذب الاستثمارات المحلية والأجنبية وتعزيز دور القطاع الخاص في دفع عجلة التنمية الاقتصادية. في حين يتمثل المحور الثالث في وطن طموح، الذي يركز على بناء حكومة فعالة تتسم بالكفاءة والشفافية، وتعزز المشاركة المجتمعية في صنع القرار، إضافة إلى تطوير الخدمات الحكومية الرقمية وتحسين مستوى الأداء المؤسسي</w:t>
      </w:r>
      <w:r w:rsidRPr="00AF505F">
        <w:rPr>
          <w:rFonts w:asciiTheme="majorBidi" w:hAnsiTheme="majorBidi" w:cstheme="majorBidi"/>
          <w:sz w:val="28"/>
          <w:szCs w:val="28"/>
          <w:lang w:bidi="ar-EG"/>
        </w:rPr>
        <w:t>.</w:t>
      </w:r>
      <w:r w:rsidRPr="00AF505F">
        <w:rPr>
          <w:rFonts w:asciiTheme="majorBidi" w:hAnsiTheme="majorBidi" w:cstheme="majorBidi"/>
          <w:sz w:val="28"/>
          <w:szCs w:val="28"/>
          <w:rtl/>
          <w:lang w:bidi="ar-EG"/>
        </w:rPr>
        <w:t xml:space="preserve"> (الموقع الرسمي رؤية المملكة 2030، 2026)</w:t>
      </w:r>
    </w:p>
    <w:p w14:paraId="2F4253BC" w14:textId="77777777" w:rsidR="00AF505F" w:rsidRPr="00AF505F" w:rsidRDefault="00AF505F" w:rsidP="00AF505F">
      <w:pPr>
        <w:bidi/>
        <w:spacing w:before="100" w:beforeAutospacing="1" w:after="100" w:afterAutospacing="1"/>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 xml:space="preserve">وفي إطار تنفيذ هذه الرؤية، تم إطلاق عدد كبير من البرامج والمبادرات الوطنية التي تستهدف تطوير قطاعات استراتيجية تسهم في تحقيق أهداف التحول الاقتصادي. وتشمل هذه القطاعات الصناعة، والطاقة المتجددة، والخدمات اللوجستية، والسياحة، والتقنيات الرقمية المتقدمة مثل الذكاء الاصطناعي وتحليل البيانات. كما تعمل المملكة على تطوير مشاريع تنموية كبرى تهدف إلى تعزيز مكانتها الاقتصادية إقليميًا وعالميًا، إضافة إلى تحسين البيئة الاستثمارية وتسهيل الإجراءات التنظيمية </w:t>
      </w:r>
      <w:r w:rsidRPr="00AF505F">
        <w:rPr>
          <w:rFonts w:asciiTheme="majorBidi" w:hAnsiTheme="majorBidi" w:cstheme="majorBidi"/>
          <w:sz w:val="28"/>
          <w:szCs w:val="28"/>
          <w:rtl/>
        </w:rPr>
        <w:lastRenderedPageBreak/>
        <w:t>بما يشجع الشركات العالمية على الاستثمار في السوق السعودية</w:t>
      </w:r>
      <w:r w:rsidRPr="00AF505F">
        <w:rPr>
          <w:rFonts w:asciiTheme="majorBidi" w:hAnsiTheme="majorBidi" w:cstheme="majorBidi"/>
          <w:sz w:val="28"/>
          <w:szCs w:val="28"/>
          <w:lang w:bidi="ar-EG"/>
        </w:rPr>
        <w:t>.</w:t>
      </w:r>
      <w:r w:rsidRPr="00AF505F">
        <w:rPr>
          <w:rFonts w:asciiTheme="majorBidi" w:hAnsiTheme="majorBidi" w:cstheme="majorBidi"/>
          <w:sz w:val="28"/>
          <w:szCs w:val="28"/>
          <w:rtl/>
          <w:lang w:bidi="ar-EG"/>
        </w:rPr>
        <w:t xml:space="preserve"> (الموقع الرسمي رؤية المملكة 2030، 2026)</w:t>
      </w:r>
    </w:p>
    <w:p w14:paraId="1E930E91" w14:textId="77777777" w:rsidR="00AF505F" w:rsidRPr="00AF505F" w:rsidRDefault="00AF505F" w:rsidP="00AF505F">
      <w:pPr>
        <w:bidi/>
        <w:spacing w:before="100" w:beforeAutospacing="1" w:after="100" w:afterAutospacing="1"/>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وعلى الرغم من التقدم الملحوظ الذي تحقق منذ إطلاق الرؤية، فإن تنفيذها يواجه عددًا من التحديات المرتبطة بالتقلبات الاقتصادية العالمية ومتطلبات التمويل للمشروعات الكبرى. ومع ذلك، تواصل المملكة العمل على إعادة تقييم أولوياتها الاقتصادية بما يضمن تحقيق التوازن بين الطموحات التنموية والاستدامة المالية. وفي هذا السياق، يتم التركيز على القطاعات ذات العائد الاقتصادي المرتفع والقادرة على خلق فرص عمل جديدة وتعزيز القدرة التنافسية للاقتصاد الوطني</w:t>
      </w:r>
      <w:r w:rsidRPr="00AF505F">
        <w:rPr>
          <w:rFonts w:asciiTheme="majorBidi" w:hAnsiTheme="majorBidi" w:cstheme="majorBidi"/>
          <w:sz w:val="28"/>
          <w:szCs w:val="28"/>
          <w:lang w:bidi="ar-EG"/>
        </w:rPr>
        <w:t>.</w:t>
      </w:r>
      <w:r w:rsidRPr="00AF505F">
        <w:rPr>
          <w:rFonts w:asciiTheme="majorBidi" w:hAnsiTheme="majorBidi" w:cstheme="majorBidi"/>
          <w:sz w:val="28"/>
          <w:szCs w:val="28"/>
          <w:rtl/>
          <w:lang w:bidi="ar-EG"/>
        </w:rPr>
        <w:t xml:space="preserve"> (الموقع الرسمي رؤية المملكة 2030، 2026)</w:t>
      </w:r>
    </w:p>
    <w:p w14:paraId="0AA29E28" w14:textId="77777777" w:rsidR="00AF505F" w:rsidRPr="00AF505F" w:rsidRDefault="00AF505F" w:rsidP="00AF505F">
      <w:pPr>
        <w:bidi/>
        <w:spacing w:before="100" w:beforeAutospacing="1" w:after="100" w:afterAutospacing="1"/>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وفي المجمل، تمثل رؤية المملكة 2030 إطارًا استراتيجيًا شاملاً يقود عملية التحول الاقتصادي والاجتماعي في المملكة، حيث تسعى من خلالها إلى بناء اقتصاد متنوع قائم على المعرفة والابتكار، وتحسين جودة الحياة للمواطنين، وتعزيز مكانة المملكة على الساحة الإقليمية والدولية. كما تعكس هذه الرؤية التوجه نحو مستقبل أكثر استدامة يعتمد على تنويع مصادر الدخل وتطوير القدرات البشرية والتكنولوجية، بما يدعم تحقيق التنمية الشاملة ويواكب متطلبات العصر الرقمي</w:t>
      </w:r>
      <w:r w:rsidRPr="00AF505F">
        <w:rPr>
          <w:rFonts w:asciiTheme="majorBidi" w:hAnsiTheme="majorBidi" w:cstheme="majorBidi"/>
          <w:sz w:val="28"/>
          <w:szCs w:val="28"/>
          <w:lang w:bidi="ar-EG"/>
        </w:rPr>
        <w:t>.</w:t>
      </w:r>
    </w:p>
    <w:p w14:paraId="1B9A10F7" w14:textId="77777777" w:rsidR="00AF505F" w:rsidRPr="00AF505F" w:rsidRDefault="00AF505F" w:rsidP="00AF505F">
      <w:pPr>
        <w:bidi/>
        <w:spacing w:before="100" w:beforeAutospacing="1" w:after="100" w:afterAutospacing="1"/>
        <w:jc w:val="both"/>
        <w:rPr>
          <w:rFonts w:asciiTheme="majorBidi" w:hAnsiTheme="majorBidi" w:cstheme="majorBidi"/>
          <w:sz w:val="28"/>
          <w:szCs w:val="28"/>
          <w:lang w:bidi="ar-EG"/>
        </w:rPr>
      </w:pPr>
    </w:p>
    <w:p w14:paraId="0089A28F" w14:textId="77777777" w:rsidR="00AF505F" w:rsidRPr="00AF505F" w:rsidRDefault="00AF505F" w:rsidP="00AF505F">
      <w:pPr>
        <w:bidi/>
        <w:rPr>
          <w:rFonts w:asciiTheme="majorBidi" w:hAnsiTheme="majorBidi" w:cstheme="majorBidi"/>
          <w:b/>
          <w:bCs/>
          <w:sz w:val="28"/>
          <w:szCs w:val="28"/>
          <w:rtl/>
          <w:lang w:bidi="ar-EG"/>
        </w:rPr>
      </w:pPr>
    </w:p>
    <w:p w14:paraId="3B2DFEB9" w14:textId="77777777" w:rsidR="00AF505F" w:rsidRPr="00AF505F" w:rsidRDefault="00AF505F" w:rsidP="00AF505F">
      <w:pPr>
        <w:bidi/>
        <w:rPr>
          <w:rFonts w:asciiTheme="majorBidi" w:hAnsiTheme="majorBidi" w:cstheme="majorBidi"/>
          <w:b/>
          <w:bCs/>
          <w:sz w:val="28"/>
          <w:szCs w:val="28"/>
          <w:rtl/>
          <w:lang w:bidi="ar-EG"/>
        </w:rPr>
      </w:pPr>
    </w:p>
    <w:p w14:paraId="6E91D094" w14:textId="77777777" w:rsidR="00AF505F" w:rsidRPr="00AF505F" w:rsidRDefault="00AF505F" w:rsidP="00AF505F">
      <w:pPr>
        <w:bidi/>
        <w:rPr>
          <w:rFonts w:asciiTheme="majorBidi" w:hAnsiTheme="majorBidi" w:cstheme="majorBidi"/>
          <w:b/>
          <w:bCs/>
          <w:sz w:val="28"/>
          <w:szCs w:val="28"/>
          <w:rtl/>
          <w:lang w:bidi="ar-EG"/>
        </w:rPr>
      </w:pPr>
    </w:p>
    <w:p w14:paraId="6AFBAD1B" w14:textId="77777777" w:rsidR="00AF505F" w:rsidRPr="00AF505F" w:rsidRDefault="00AF505F" w:rsidP="00AF505F">
      <w:pPr>
        <w:bidi/>
        <w:rPr>
          <w:rFonts w:asciiTheme="majorBidi" w:hAnsiTheme="majorBidi" w:cstheme="majorBidi"/>
          <w:b/>
          <w:bCs/>
          <w:sz w:val="28"/>
          <w:szCs w:val="28"/>
          <w:rtl/>
          <w:lang w:bidi="ar-EG"/>
        </w:rPr>
      </w:pPr>
    </w:p>
    <w:p w14:paraId="542CE203" w14:textId="77777777" w:rsidR="00AF505F" w:rsidRPr="00AF505F" w:rsidRDefault="00AF505F" w:rsidP="00AF505F">
      <w:pPr>
        <w:bidi/>
        <w:rPr>
          <w:rFonts w:asciiTheme="majorBidi" w:hAnsiTheme="majorBidi" w:cstheme="majorBidi"/>
          <w:b/>
          <w:bCs/>
          <w:sz w:val="28"/>
          <w:szCs w:val="28"/>
          <w:rtl/>
          <w:lang w:bidi="ar-EG"/>
        </w:rPr>
      </w:pPr>
    </w:p>
    <w:p w14:paraId="58E77B02" w14:textId="77777777" w:rsidR="00AF505F" w:rsidRPr="00AF505F" w:rsidRDefault="00AF505F" w:rsidP="00AF505F">
      <w:pPr>
        <w:bidi/>
        <w:rPr>
          <w:rFonts w:asciiTheme="majorBidi" w:hAnsiTheme="majorBidi" w:cstheme="majorBidi"/>
          <w:b/>
          <w:bCs/>
          <w:sz w:val="28"/>
          <w:szCs w:val="28"/>
          <w:rtl/>
          <w:lang w:bidi="ar-EG"/>
        </w:rPr>
      </w:pPr>
    </w:p>
    <w:p w14:paraId="4366E779" w14:textId="77777777" w:rsidR="00AF505F" w:rsidRPr="00AF505F" w:rsidRDefault="00AF505F" w:rsidP="00AF505F">
      <w:pPr>
        <w:bidi/>
        <w:rPr>
          <w:rFonts w:asciiTheme="majorBidi" w:hAnsiTheme="majorBidi" w:cstheme="majorBidi"/>
          <w:b/>
          <w:bCs/>
          <w:sz w:val="28"/>
          <w:szCs w:val="28"/>
          <w:rtl/>
          <w:lang w:bidi="ar-EG"/>
        </w:rPr>
      </w:pPr>
    </w:p>
    <w:p w14:paraId="5DCAEE70" w14:textId="77777777" w:rsidR="00AF505F" w:rsidRPr="00AF505F" w:rsidRDefault="00AF505F" w:rsidP="00AF505F">
      <w:pPr>
        <w:bidi/>
        <w:rPr>
          <w:rFonts w:asciiTheme="majorBidi" w:hAnsiTheme="majorBidi" w:cstheme="majorBidi"/>
          <w:b/>
          <w:bCs/>
          <w:sz w:val="28"/>
          <w:szCs w:val="28"/>
          <w:rtl/>
          <w:lang w:bidi="ar-EG"/>
        </w:rPr>
      </w:pPr>
    </w:p>
    <w:p w14:paraId="4D2A2497" w14:textId="77777777" w:rsidR="00AF505F" w:rsidRPr="00AF505F" w:rsidRDefault="00AF505F" w:rsidP="00AF505F">
      <w:pPr>
        <w:bidi/>
        <w:rPr>
          <w:rFonts w:asciiTheme="majorBidi" w:hAnsiTheme="majorBidi" w:cstheme="majorBidi"/>
          <w:b/>
          <w:bCs/>
          <w:sz w:val="28"/>
          <w:szCs w:val="28"/>
          <w:rtl/>
          <w:lang w:bidi="ar-EG"/>
        </w:rPr>
      </w:pPr>
    </w:p>
    <w:p w14:paraId="64CA8FE4" w14:textId="77777777" w:rsidR="00AF505F" w:rsidRPr="00AF505F" w:rsidRDefault="00AF505F" w:rsidP="00AF505F">
      <w:pPr>
        <w:bidi/>
        <w:rPr>
          <w:rFonts w:asciiTheme="majorBidi" w:hAnsiTheme="majorBidi" w:cstheme="majorBidi"/>
          <w:b/>
          <w:bCs/>
          <w:sz w:val="28"/>
          <w:szCs w:val="28"/>
          <w:rtl/>
          <w:lang w:bidi="ar-EG"/>
        </w:rPr>
      </w:pPr>
    </w:p>
    <w:p w14:paraId="49FF1244" w14:textId="77777777" w:rsidR="00AF505F" w:rsidRPr="00AF505F" w:rsidRDefault="00AF505F" w:rsidP="00AF505F">
      <w:pPr>
        <w:bidi/>
        <w:rPr>
          <w:rFonts w:asciiTheme="majorBidi" w:hAnsiTheme="majorBidi" w:cstheme="majorBidi"/>
          <w:b/>
          <w:bCs/>
          <w:sz w:val="28"/>
          <w:szCs w:val="28"/>
          <w:rtl/>
          <w:lang w:bidi="ar-EG"/>
        </w:rPr>
      </w:pPr>
    </w:p>
    <w:p w14:paraId="596C9EE2" w14:textId="77777777" w:rsidR="00AF505F" w:rsidRPr="00AF505F" w:rsidRDefault="00AF505F" w:rsidP="00AF505F">
      <w:pPr>
        <w:bidi/>
        <w:rPr>
          <w:rFonts w:asciiTheme="majorBidi" w:hAnsiTheme="majorBidi" w:cstheme="majorBidi"/>
          <w:b/>
          <w:bCs/>
          <w:sz w:val="28"/>
          <w:szCs w:val="28"/>
          <w:rtl/>
          <w:lang w:bidi="ar-EG"/>
        </w:rPr>
      </w:pPr>
    </w:p>
    <w:p w14:paraId="37181852" w14:textId="77777777" w:rsidR="00AF505F" w:rsidRPr="00AF505F" w:rsidRDefault="00AF505F" w:rsidP="00AF505F">
      <w:pPr>
        <w:bidi/>
        <w:rPr>
          <w:rFonts w:asciiTheme="majorBidi" w:hAnsiTheme="majorBidi" w:cstheme="majorBidi"/>
          <w:b/>
          <w:bCs/>
          <w:sz w:val="28"/>
          <w:szCs w:val="28"/>
          <w:rtl/>
          <w:lang w:bidi="ar-EG"/>
        </w:rPr>
      </w:pPr>
    </w:p>
    <w:p w14:paraId="43519A1A" w14:textId="77777777" w:rsidR="00AF505F" w:rsidRPr="00AF505F" w:rsidRDefault="00AF505F" w:rsidP="00AF505F">
      <w:pPr>
        <w:bidi/>
        <w:rPr>
          <w:rFonts w:asciiTheme="majorBidi" w:hAnsiTheme="majorBidi" w:cstheme="majorBidi"/>
          <w:b/>
          <w:bCs/>
          <w:sz w:val="28"/>
          <w:szCs w:val="28"/>
          <w:rtl/>
        </w:rPr>
      </w:pPr>
    </w:p>
    <w:p w14:paraId="2C919EC7" w14:textId="77777777" w:rsidR="00AF505F" w:rsidRPr="00AF505F" w:rsidRDefault="00AF505F" w:rsidP="00AF505F">
      <w:pPr>
        <w:bidi/>
        <w:rPr>
          <w:rFonts w:asciiTheme="majorBidi" w:hAnsiTheme="majorBidi" w:cstheme="majorBidi"/>
          <w:b/>
          <w:bCs/>
          <w:sz w:val="28"/>
          <w:szCs w:val="28"/>
          <w:rtl/>
          <w:lang w:bidi="ar-EG"/>
        </w:rPr>
      </w:pPr>
      <w:r w:rsidRPr="00AF505F">
        <w:rPr>
          <w:rFonts w:asciiTheme="majorBidi" w:hAnsiTheme="majorBidi" w:cstheme="majorBidi"/>
          <w:b/>
          <w:bCs/>
          <w:sz w:val="28"/>
          <w:szCs w:val="28"/>
          <w:rtl/>
          <w:lang w:bidi="ar-EG"/>
        </w:rPr>
        <w:lastRenderedPageBreak/>
        <w:t>ثانياً: الدراسات السابقة</w:t>
      </w:r>
    </w:p>
    <w:tbl>
      <w:tblPr>
        <w:tblStyle w:val="a6"/>
        <w:tblpPr w:leftFromText="180" w:rightFromText="180" w:vertAnchor="text" w:horzAnchor="margin" w:tblpXSpec="center" w:tblpY="382"/>
        <w:bidiVisual/>
        <w:tblW w:w="10991" w:type="dxa"/>
        <w:tblLook w:val="04A0" w:firstRow="1" w:lastRow="0" w:firstColumn="1" w:lastColumn="0" w:noHBand="0" w:noVBand="1"/>
      </w:tblPr>
      <w:tblGrid>
        <w:gridCol w:w="1798"/>
        <w:gridCol w:w="1546"/>
        <w:gridCol w:w="2487"/>
        <w:gridCol w:w="2401"/>
        <w:gridCol w:w="2759"/>
      </w:tblGrid>
      <w:tr w:rsidR="00AF505F" w:rsidRPr="00AF505F" w14:paraId="22E785A6" w14:textId="77777777" w:rsidTr="00AF505F">
        <w:trPr>
          <w:trHeight w:val="728"/>
        </w:trPr>
        <w:tc>
          <w:tcPr>
            <w:tcW w:w="1798" w:type="dxa"/>
            <w:hideMark/>
          </w:tcPr>
          <w:p w14:paraId="2D11F884" w14:textId="77777777" w:rsidR="00AF505F" w:rsidRPr="00AF505F" w:rsidRDefault="00AF505F" w:rsidP="00AF505F">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العنوان</w:t>
            </w:r>
          </w:p>
        </w:tc>
        <w:tc>
          <w:tcPr>
            <w:tcW w:w="1546" w:type="dxa"/>
            <w:hideMark/>
          </w:tcPr>
          <w:p w14:paraId="2577AD0E" w14:textId="77777777" w:rsidR="00AF505F" w:rsidRPr="00AF505F" w:rsidRDefault="00AF505F" w:rsidP="00AF505F">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الباحث/السنة</w:t>
            </w:r>
          </w:p>
        </w:tc>
        <w:tc>
          <w:tcPr>
            <w:tcW w:w="2487" w:type="dxa"/>
            <w:hideMark/>
          </w:tcPr>
          <w:p w14:paraId="7B36C866" w14:textId="77777777" w:rsidR="00AF505F" w:rsidRPr="00AF505F" w:rsidRDefault="00AF505F" w:rsidP="00AF505F">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الهدف</w:t>
            </w:r>
          </w:p>
        </w:tc>
        <w:tc>
          <w:tcPr>
            <w:tcW w:w="2401" w:type="dxa"/>
            <w:hideMark/>
          </w:tcPr>
          <w:p w14:paraId="7FB2FAD8" w14:textId="77777777" w:rsidR="00AF505F" w:rsidRPr="00AF505F" w:rsidRDefault="00AF505F" w:rsidP="00AF505F">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المنهج</w:t>
            </w:r>
          </w:p>
        </w:tc>
        <w:tc>
          <w:tcPr>
            <w:tcW w:w="2759" w:type="dxa"/>
            <w:hideMark/>
          </w:tcPr>
          <w:p w14:paraId="104E322C" w14:textId="77777777" w:rsidR="00AF505F" w:rsidRPr="00AF505F" w:rsidRDefault="00AF505F" w:rsidP="00AF505F">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النتائج</w:t>
            </w:r>
          </w:p>
        </w:tc>
      </w:tr>
      <w:tr w:rsidR="00AF505F" w:rsidRPr="00AF505F" w14:paraId="0BB06202" w14:textId="77777777" w:rsidTr="00AF505F">
        <w:trPr>
          <w:trHeight w:val="220"/>
        </w:trPr>
        <w:tc>
          <w:tcPr>
            <w:tcW w:w="1798" w:type="dxa"/>
          </w:tcPr>
          <w:p w14:paraId="26FEE59B"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t>أثر الذكاء الاصطناعي في تطوير رأس المال الفكري في شركة المراعي بالسعودية</w:t>
            </w:r>
          </w:p>
        </w:tc>
        <w:tc>
          <w:tcPr>
            <w:tcW w:w="1546" w:type="dxa"/>
          </w:tcPr>
          <w:p w14:paraId="1BBB3CE8"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t>(عبد النبي والعيوني، 2025)</w:t>
            </w:r>
          </w:p>
        </w:tc>
        <w:tc>
          <w:tcPr>
            <w:tcW w:w="2487" w:type="dxa"/>
          </w:tcPr>
          <w:p w14:paraId="791C62B3"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هدفت الدراسة إلى بيان أثر الذكاء الاصطناعي في تطوير رأس المال الفكري في شركة المراعي بالسعودية، من خلال تحليل مستوى توافر أبعاد الذكاء الاصطناعي المتمثلة في النظم الخبيرة، ونظم دعم القرارات، ونظم مشاركة المعرفة، وقياس مستوى رأس المال الفكري بأبعاده الهيكلية والعلائقية والبشرية.</w:t>
            </w:r>
          </w:p>
        </w:tc>
        <w:tc>
          <w:tcPr>
            <w:tcW w:w="2401" w:type="dxa"/>
          </w:tcPr>
          <w:p w14:paraId="510365BC"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اعتمدت الدراسة على المنهج الوصفي التحليلي، وتكون مجتمع الدراسة من جميع العاملين في شركة المراعي والبالغ عددهم 46,233 فرداً، وتم اختيار عينة ميسرة قوامها 324 فرداً، وتم جمع البيانات باستخدام استبانة إلكترونية.</w:t>
            </w:r>
          </w:p>
        </w:tc>
        <w:tc>
          <w:tcPr>
            <w:tcW w:w="2759" w:type="dxa"/>
          </w:tcPr>
          <w:p w14:paraId="0A62CF1E" w14:textId="77777777" w:rsidR="00AF505F" w:rsidRPr="00AF505F" w:rsidRDefault="00AF505F" w:rsidP="00AF505F">
            <w:pPr>
              <w:bidi/>
              <w:ind w:firstLine="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t>أظهرت النتائج وجود مستوى مرتفع من تطبيق أبعاد الذكاء الاصطناعي في الشركة بمتوسط حسابي 3.56، ومستوى مرتفع من تطوير رأس المال الفكري بمتوسط حسابي 3.58، كما كشفت عن وجود تأثير طردي ذي دلالة إحصائية للذكاء الاصطناعي في تطوير رأس المال الفكري عند مستوى معنوية 0.05، حيث بلغ معامل الارتباط 0.906، وأظهرت النتائج أن النظم الخبيرة جاءت في المرتبة الأولى بين أبعاد الذكاء الاصطناعي، يليها نظم مشاركة المعرفة، ثم نظم دعم القرارات. أوصت الدراسة بضرورة توفير البنية التحتية التكنولوجية الداعمة لتطبيقات الذكاء الاصطناعي، وزيادة وعي الإدارات بأهمية تطوير العلاقات مع العاملين، وتعزيز استخدام النظم الخبيرة في حل المشكلات.</w:t>
            </w:r>
          </w:p>
        </w:tc>
      </w:tr>
      <w:tr w:rsidR="00AF505F" w:rsidRPr="00AF505F" w14:paraId="2AA527AC" w14:textId="77777777" w:rsidTr="00AF505F">
        <w:trPr>
          <w:trHeight w:val="220"/>
        </w:trPr>
        <w:tc>
          <w:tcPr>
            <w:tcW w:w="1798" w:type="dxa"/>
          </w:tcPr>
          <w:p w14:paraId="08AC8B5F"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t xml:space="preserve">أثر التخطيط الاستراتيجي في تحسين أداء المشروعات باستخدام أدوات الذكاء الاصطناعي في ضوء رؤية </w:t>
            </w:r>
            <w:r w:rsidRPr="00AF505F">
              <w:rPr>
                <w:rFonts w:asciiTheme="majorBidi" w:hAnsiTheme="majorBidi" w:cstheme="majorBidi"/>
                <w:b/>
                <w:bCs/>
                <w:sz w:val="28"/>
                <w:szCs w:val="28"/>
                <w:rtl/>
                <w:lang w:bidi="ar-EG"/>
              </w:rPr>
              <w:lastRenderedPageBreak/>
              <w:t>المملكة العربية السعودية 2030</w:t>
            </w:r>
          </w:p>
        </w:tc>
        <w:tc>
          <w:tcPr>
            <w:tcW w:w="1546" w:type="dxa"/>
          </w:tcPr>
          <w:p w14:paraId="5E6B682B"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lastRenderedPageBreak/>
              <w:t>(حمزة، 2024)</w:t>
            </w:r>
          </w:p>
        </w:tc>
        <w:tc>
          <w:tcPr>
            <w:tcW w:w="2487" w:type="dxa"/>
          </w:tcPr>
          <w:p w14:paraId="59881D59"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rPr>
              <w:t xml:space="preserve">هدفت الدراسة إلى الكشف عن أثر التخطيط الاستراتيجي في تحسين أداء المشروعات باستخدام أدوات الذكاء الاصطناعي في ضوء رؤية المملكة العربية السعودية 2030، من خلال تحليل العلاقة بين التخطيط الاستراتيجي </w:t>
            </w:r>
            <w:r w:rsidRPr="00AF505F">
              <w:rPr>
                <w:rFonts w:asciiTheme="majorBidi" w:hAnsiTheme="majorBidi" w:cstheme="majorBidi"/>
                <w:sz w:val="28"/>
                <w:szCs w:val="28"/>
                <w:rtl/>
              </w:rPr>
              <w:lastRenderedPageBreak/>
              <w:t>وتطوير أداء المشروعات الهندسية في القطاعين العام والخاص.</w:t>
            </w:r>
          </w:p>
        </w:tc>
        <w:tc>
          <w:tcPr>
            <w:tcW w:w="2401" w:type="dxa"/>
          </w:tcPr>
          <w:p w14:paraId="55DAD678"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rPr>
              <w:lastRenderedPageBreak/>
              <w:t>اعتمدت الدراسة على المنهج الوصفي والمنهج التاريخي، وتمثل مجتمع الدراسة في الشركات الهندسية السعودية، حيث تم تحليل واقع ممارساتها التخطيطية ومدى توظيفها لتقنيات الذكاء الاصطناعي.</w:t>
            </w:r>
          </w:p>
        </w:tc>
        <w:tc>
          <w:tcPr>
            <w:tcW w:w="2759" w:type="dxa"/>
          </w:tcPr>
          <w:p w14:paraId="47628C17"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rPr>
              <w:t>أظهرت النتائج الرئيسية أن رسائل وأهداف العديد من الشركات تتسق مع مستهدفات رؤية 2030، ولكن هناك قصوراً في تحليل البيئة الداخلية والخارجية</w:t>
            </w:r>
            <w:r w:rsidRPr="00AF505F">
              <w:rPr>
                <w:rFonts w:asciiTheme="majorBidi" w:hAnsiTheme="majorBidi" w:cstheme="majorBidi"/>
                <w:sz w:val="28"/>
                <w:szCs w:val="28"/>
                <w:lang w:bidi="ar-EG"/>
              </w:rPr>
              <w:t xml:space="preserve"> (SWOT) </w:t>
            </w:r>
            <w:r w:rsidRPr="00AF505F">
              <w:rPr>
                <w:rFonts w:asciiTheme="majorBidi" w:hAnsiTheme="majorBidi" w:cstheme="majorBidi"/>
                <w:sz w:val="28"/>
                <w:szCs w:val="28"/>
                <w:rtl/>
              </w:rPr>
              <w:t xml:space="preserve">وضعفاً في توظيف تقنيات الذكاء الاصطناعي في التحليل </w:t>
            </w:r>
            <w:r w:rsidRPr="00AF505F">
              <w:rPr>
                <w:rFonts w:asciiTheme="majorBidi" w:hAnsiTheme="majorBidi" w:cstheme="majorBidi"/>
                <w:sz w:val="28"/>
                <w:szCs w:val="28"/>
                <w:rtl/>
              </w:rPr>
              <w:lastRenderedPageBreak/>
              <w:t>الاستراتيجي وصياغة الخطط، إضافة إلى نقص الخبرات المتخصصة في التخطيط الاستراتيجي وضعف قياس مؤشرات أداء المشروعات المنفذة سابقاً. وأكدت الدراسة أن دمج التخطيط الاستراتيجي القائم على البيانات مع حلول الذكاء الاصطناعي في مجالات التنبؤ بالمخاطر وتخصيص الموارد والجدولة والتحليلات التقريرية يُحسّن الكفاءة والفعالية ويعزز قدرة المشروعات على تحقيق أهدافها. أوصت الدراسة بمواءمة الرؤية والرسالة مع مستهدفات رؤية 2030، وبناء أهداف استراتيجية رقمية قابلة للقياس، وتوسيع مشاركة العاملين في صياغة الخطط، واستقطاب خبرات تخطيطية متخصصة، واعتماد أدوات الذكاء الاصطناعي في جميع مراحل المشروعات مع تطوير نظام مؤشرات أداء لرصد التقدم والتحسين المستمر</w:t>
            </w:r>
            <w:r w:rsidRPr="00AF505F">
              <w:rPr>
                <w:rFonts w:asciiTheme="majorBidi" w:hAnsiTheme="majorBidi" w:cstheme="majorBidi"/>
                <w:sz w:val="28"/>
                <w:szCs w:val="28"/>
                <w:rtl/>
                <w:lang w:bidi="ar-EG"/>
              </w:rPr>
              <w:t>.</w:t>
            </w:r>
          </w:p>
        </w:tc>
      </w:tr>
      <w:tr w:rsidR="00AF505F" w:rsidRPr="00AF505F" w14:paraId="5E762D0B" w14:textId="77777777" w:rsidTr="00AF505F">
        <w:trPr>
          <w:trHeight w:val="220"/>
        </w:trPr>
        <w:tc>
          <w:tcPr>
            <w:tcW w:w="1798" w:type="dxa"/>
          </w:tcPr>
          <w:p w14:paraId="1CEFB8BE" w14:textId="77777777" w:rsidR="00AF505F" w:rsidRPr="00AF505F" w:rsidRDefault="00AF505F" w:rsidP="00AF505F">
            <w:pPr>
              <w:bidi/>
              <w:jc w:val="both"/>
              <w:rPr>
                <w:rFonts w:asciiTheme="majorBidi" w:hAnsiTheme="majorBidi" w:cstheme="majorBidi"/>
                <w:b/>
                <w:bCs/>
                <w:sz w:val="28"/>
                <w:szCs w:val="28"/>
                <w:rtl/>
                <w:lang w:bidi="ar-EG"/>
              </w:rPr>
            </w:pPr>
            <w:r w:rsidRPr="00AF505F">
              <w:rPr>
                <w:rFonts w:asciiTheme="majorBidi" w:hAnsiTheme="majorBidi" w:cstheme="majorBidi"/>
                <w:b/>
                <w:bCs/>
                <w:sz w:val="28"/>
                <w:szCs w:val="28"/>
                <w:rtl/>
                <w:lang w:bidi="ar-EG"/>
              </w:rPr>
              <w:lastRenderedPageBreak/>
              <w:t>أثر تقنيات الذكاء الاصطناعي على الابتكار التسويقي: دراسة تطبيقية على شركة موبايلي بالمملكة العربية السعودية</w:t>
            </w:r>
          </w:p>
          <w:p w14:paraId="338F20E6" w14:textId="77777777" w:rsidR="00AF505F" w:rsidRPr="00AF505F" w:rsidRDefault="00AF505F" w:rsidP="00AF505F">
            <w:pPr>
              <w:bidi/>
              <w:jc w:val="center"/>
              <w:rPr>
                <w:rFonts w:asciiTheme="majorBidi" w:eastAsia="Times New Roman" w:hAnsiTheme="majorBidi" w:cstheme="majorBidi"/>
                <w:b/>
                <w:bCs/>
                <w:sz w:val="26"/>
                <w:szCs w:val="26"/>
                <w:rtl/>
                <w:lang w:bidi="ar-EG"/>
              </w:rPr>
            </w:pPr>
          </w:p>
        </w:tc>
        <w:tc>
          <w:tcPr>
            <w:tcW w:w="1546" w:type="dxa"/>
          </w:tcPr>
          <w:p w14:paraId="14EDE329"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t>(العتيبي واليوبي، 2024)</w:t>
            </w:r>
          </w:p>
        </w:tc>
        <w:tc>
          <w:tcPr>
            <w:tcW w:w="2487" w:type="dxa"/>
          </w:tcPr>
          <w:p w14:paraId="053059F0"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هدفت الدراسة إلى التعرف على أثر تقنيات الذكاء الاصطناعي في الابتكار التسويقي بشركة موبايلي في المملكة العربية السعودية، من خلال تحليل واقع استخدام هذه التقنيات ومدى تأثيرها على عناصر المزيج التسويقي المبتكر.</w:t>
            </w:r>
          </w:p>
        </w:tc>
        <w:tc>
          <w:tcPr>
            <w:tcW w:w="2401" w:type="dxa"/>
          </w:tcPr>
          <w:p w14:paraId="2AF70EF3"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اعتمدت الدراسة على منهج دراسة الحالة، وتمثل مجتمع الدراسة في الفروع الرئيسية لشركة موبايلي بمدينة مكة المكرمة، حيث تم جمع البيانات باستخدام أداة الاستبانة التي طبقت على عينة قوامها 30 موظفاً، بالإضافة إلى استخدام منهج تحليل المحتوى.</w:t>
            </w:r>
          </w:p>
        </w:tc>
        <w:tc>
          <w:tcPr>
            <w:tcW w:w="2759" w:type="dxa"/>
          </w:tcPr>
          <w:p w14:paraId="6305540C"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 xml:space="preserve">أظهرت النتائج أن واقع استخدام تقنيات الذكاء الاصطناعي في الشركة جاء بنسبة مرتفعة جداً بلغت 89.2%، كما كشفت عن وجود أثر إيجابي ذي دلالة إحصائية لتقنيات الذكاء الاصطناعي على الابتكار التسويقي وأبعاده بنسبة 80%، مع وجود علاقة ارتباط طردية قوية بين </w:t>
            </w:r>
            <w:r w:rsidRPr="00AF505F">
              <w:rPr>
                <w:rFonts w:asciiTheme="majorBidi" w:hAnsiTheme="majorBidi" w:cstheme="majorBidi"/>
                <w:sz w:val="28"/>
                <w:szCs w:val="28"/>
                <w:rtl/>
                <w:lang w:bidi="ar-EG"/>
              </w:rPr>
              <w:lastRenderedPageBreak/>
              <w:t>المتغيرين بلغت 93%. وتبين أن تقنية تحليل البيانات الضخمة هي الأكثر تأثيراً في الابتكار التسويقي، في حين كانت تقنية التعلم العميق الأقل تأثيراً. بناءً على هذه النتائج، قدمت الدراسة نموذجاً مقترحاً لكيفية توظيف تقنيات الذكاء الاصطناعي في دعم الابتكار التسويقي، وأوصت بضرورة الاهتمام بتطبيق هذه التقنيات، وتصميم برامج تدريبية متخصصة، وتوفير متطلبات تطبيقها، وإعداد خطط تطويرية للاستفادة من تحليل البيانات الضخمة في تعزيز القدرات الابتكارية.</w:t>
            </w:r>
          </w:p>
        </w:tc>
      </w:tr>
      <w:tr w:rsidR="00AF505F" w:rsidRPr="00AF505F" w14:paraId="40866D60" w14:textId="77777777" w:rsidTr="00AF505F">
        <w:trPr>
          <w:trHeight w:val="220"/>
        </w:trPr>
        <w:tc>
          <w:tcPr>
            <w:tcW w:w="1798" w:type="dxa"/>
          </w:tcPr>
          <w:p w14:paraId="76AAF348"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lastRenderedPageBreak/>
              <w:t>انعكاس تقنيات الذكاء الاصطناعي على حوكمة الشركات في النظام السعودي</w:t>
            </w:r>
          </w:p>
        </w:tc>
        <w:tc>
          <w:tcPr>
            <w:tcW w:w="1546" w:type="dxa"/>
          </w:tcPr>
          <w:p w14:paraId="17440DC4"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t>(الشمري، 2023)</w:t>
            </w:r>
          </w:p>
        </w:tc>
        <w:tc>
          <w:tcPr>
            <w:tcW w:w="2487" w:type="dxa"/>
          </w:tcPr>
          <w:p w14:paraId="28D0CE61"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rPr>
              <w:t>هدفت الدراسة إلى تحليل انعكاس تقنيات الذكاء الاصطناعي على حوكمة الشركات في المملكة العربية السعودية، من خلال توضيح مفهوم الحوكمة وآلياتها التنظيمية، وبيان دورها في تعزيز الإفصاح والشفافية، مع استكشاف الأطر النظامية التي يمكن عبرها توظيف تقنيات الذكاء الاصطناعي لتطوير قواعد وضوابط الحوكمة.</w:t>
            </w:r>
          </w:p>
        </w:tc>
        <w:tc>
          <w:tcPr>
            <w:tcW w:w="2401" w:type="dxa"/>
          </w:tcPr>
          <w:p w14:paraId="6D8A1F39"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rPr>
              <w:t>اعتمدت الدراسة على المنهج الوصفي التحليلي، وركزت على الشركات الخاضعة لأنظمة الحوكمة في السعودية، ولا سيما الشركات المرتبطة بسوق المال ونظم التسجيل الإلكتروني.</w:t>
            </w:r>
          </w:p>
        </w:tc>
        <w:tc>
          <w:tcPr>
            <w:tcW w:w="2759" w:type="dxa"/>
          </w:tcPr>
          <w:p w14:paraId="66DCD28E"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rPr>
              <w:t xml:space="preserve">أظهرت النتائج أن تفعيل تقنيات الذكاء الاصطناعي يستند إلى التوجه الاستراتيجي للمملكة نحو التحول الرقمي، ويعزز الامتثال لمتطلبات الإفصاح والشفافية من خلال الأنظمة الإلكترونية. كما بينت الدراسة أن تبني هذه التقنيات يسهم في تقليص الوقت والجهد والتكاليف التشغيلية، ويرفع من كفاءة الرقابة الداخلية والخارجية، ويحد من مظاهر الفساد الإداري والمالي. وقد تجلى ذلك بوضوح في إجراءات التسجيل الإلكتروني للشركات، وإصدار التراخيص، وتنفيذ عمليات التداول في سوق الأوراق المالية. كما نادت الدراسة بضرورة تدخل المنظم </w:t>
            </w:r>
            <w:r w:rsidRPr="00AF505F">
              <w:rPr>
                <w:rFonts w:asciiTheme="majorBidi" w:hAnsiTheme="majorBidi" w:cstheme="majorBidi"/>
                <w:sz w:val="28"/>
                <w:szCs w:val="28"/>
                <w:rtl/>
              </w:rPr>
              <w:lastRenderedPageBreak/>
              <w:t>السعودي لوضع إطار نظامي خاص بتطبيق تقنيات الذكاء الاصطناعي في مجال الحوكمة، مع إلزام الشركات بالتحول الرقمي الشامل لبياناتها بما يضمن تعزيز الشفافية وتحقيق كفاءة أعلى في الأداء المؤسسي.</w:t>
            </w:r>
          </w:p>
        </w:tc>
      </w:tr>
      <w:tr w:rsidR="00AF505F" w:rsidRPr="00AF505F" w14:paraId="10C804EB" w14:textId="77777777" w:rsidTr="00AF505F">
        <w:trPr>
          <w:trHeight w:val="220"/>
        </w:trPr>
        <w:tc>
          <w:tcPr>
            <w:tcW w:w="1798" w:type="dxa"/>
          </w:tcPr>
          <w:p w14:paraId="001EC2E9"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lastRenderedPageBreak/>
              <w:t>الذكاء الاصطناعي ودوره في إدارة الموارد البشرية في البلديات 2023</w:t>
            </w:r>
          </w:p>
        </w:tc>
        <w:tc>
          <w:tcPr>
            <w:tcW w:w="1546" w:type="dxa"/>
          </w:tcPr>
          <w:p w14:paraId="37281F9D"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t>(الجعافرة، 2023)</w:t>
            </w:r>
          </w:p>
        </w:tc>
        <w:tc>
          <w:tcPr>
            <w:tcW w:w="2487" w:type="dxa"/>
          </w:tcPr>
          <w:p w14:paraId="1951A201"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هدفت الدراسة إلى التعرف على الذكاء الاصطناعي ودوره في إدارة الموارد البشرية في البلديات الأردنية، من خلال تسليط الضوء على أهمية توظيف تقنيات الذكاء الاصطناعي في تطوير وظائف الموارد البشرية والانتقال من الأنظمة التقليدية اليدوية إلى الأنظمة الآلية القائمة على الأرشفة والأتمتة.</w:t>
            </w:r>
          </w:p>
        </w:tc>
        <w:tc>
          <w:tcPr>
            <w:tcW w:w="2401" w:type="dxa"/>
          </w:tcPr>
          <w:p w14:paraId="6BC0CBAA"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اعتمدت الدراسة على المنهج الوصفي التحليلي، وتكون مجتمع الدراسة من البلديات الأردنية، في حين تمثلت العينة في بلدية الكرك الكبرى، واعتمدت الدراسة على جمع المعلومات من مصادرها الأولية والثانوية دون ذكر حجم عينة محدد.</w:t>
            </w:r>
          </w:p>
        </w:tc>
        <w:tc>
          <w:tcPr>
            <w:tcW w:w="2759" w:type="dxa"/>
          </w:tcPr>
          <w:p w14:paraId="5E5227A6" w14:textId="77777777" w:rsidR="00AF505F" w:rsidRPr="00AF505F" w:rsidRDefault="00AF505F" w:rsidP="00AF505F">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أظهرت النتائج أن إدارة الموارد البشرية تواجه تحديات كبيرة لا يمكن معالجتها إلا من خلال تطبيق تقنية الذكاء الاصطناعي في أقسامها، وأكدت أن اندماج الذكاء الاصطناعي مع ممارسات إدارة الموارد البشرية يعمل على تغيير كيفية تجنيد البلدية للقوى العاملة وإدارتها وإشراكها، كما أوضحت أن عمليات التحديث دفعت بتطوير الموارد البشرية بطريقة مدفوعة بالتكنولوجيا والبيانات لتعزيز دورها الاستراتيجي. أوصت الدراسة وزارة الإدارة المحلية بتعظيم أهمية الذكاء الاصطناعي لاستبدال العمالة البدنية بالآلات التقنية، وإحلال الذكاء الاصطناعي محل العقل البشري في إدارة شؤون الموظفين، وتعزيز فعالية وظائف الموارد البشرية من خلال استخداماته، ومعالجة التحديات التي تواجه تطبيقه.</w:t>
            </w:r>
          </w:p>
        </w:tc>
      </w:tr>
    </w:tbl>
    <w:p w14:paraId="6B25D09D" w14:textId="77777777" w:rsidR="00AF505F" w:rsidRDefault="00AF505F" w:rsidP="00AF505F">
      <w:pPr>
        <w:bidi/>
        <w:jc w:val="both"/>
        <w:rPr>
          <w:rFonts w:asciiTheme="majorBidi" w:hAnsiTheme="majorBidi" w:cstheme="majorBidi"/>
          <w:b/>
          <w:bCs/>
          <w:sz w:val="28"/>
          <w:szCs w:val="28"/>
          <w:rtl/>
          <w:lang w:bidi="ar-EG"/>
        </w:rPr>
      </w:pPr>
    </w:p>
    <w:p w14:paraId="1D71BEAC" w14:textId="77777777" w:rsidR="00AF505F" w:rsidRDefault="00AF505F" w:rsidP="00AF505F">
      <w:pPr>
        <w:bidi/>
        <w:jc w:val="both"/>
        <w:rPr>
          <w:rFonts w:asciiTheme="majorBidi" w:hAnsiTheme="majorBidi" w:cstheme="majorBidi"/>
          <w:b/>
          <w:bCs/>
          <w:sz w:val="28"/>
          <w:szCs w:val="28"/>
          <w:rtl/>
          <w:lang w:bidi="ar-EG"/>
        </w:rPr>
      </w:pPr>
    </w:p>
    <w:p w14:paraId="0A7BD219" w14:textId="77777777" w:rsidR="00AF505F" w:rsidRDefault="00AF505F" w:rsidP="00AF505F">
      <w:pPr>
        <w:bidi/>
        <w:jc w:val="both"/>
        <w:rPr>
          <w:rFonts w:asciiTheme="majorBidi" w:hAnsiTheme="majorBidi" w:cstheme="majorBidi"/>
          <w:b/>
          <w:bCs/>
          <w:sz w:val="28"/>
          <w:szCs w:val="28"/>
          <w:rtl/>
          <w:lang w:bidi="ar-EG"/>
        </w:rPr>
      </w:pPr>
    </w:p>
    <w:p w14:paraId="69850F22" w14:textId="2FAC9278" w:rsidR="00AF505F" w:rsidRPr="00AF505F" w:rsidRDefault="00AF505F" w:rsidP="00AF505F">
      <w:pPr>
        <w:bidi/>
        <w:jc w:val="both"/>
        <w:rPr>
          <w:rFonts w:asciiTheme="majorBidi" w:hAnsiTheme="majorBidi" w:cstheme="majorBidi"/>
          <w:b/>
          <w:bCs/>
          <w:sz w:val="28"/>
          <w:szCs w:val="28"/>
          <w:rtl/>
          <w:lang w:bidi="ar-EG"/>
        </w:rPr>
      </w:pPr>
      <w:r w:rsidRPr="00AF505F">
        <w:rPr>
          <w:rFonts w:asciiTheme="majorBidi" w:hAnsiTheme="majorBidi" w:cstheme="majorBidi"/>
          <w:b/>
          <w:bCs/>
          <w:sz w:val="28"/>
          <w:szCs w:val="28"/>
          <w:rtl/>
          <w:lang w:bidi="ar-EG"/>
        </w:rPr>
        <w:lastRenderedPageBreak/>
        <w:t>الدراسات الخاصة بالمتغير المستقل: تقنيات الذكاء الاصطناعي</w:t>
      </w:r>
    </w:p>
    <w:p w14:paraId="614411E3" w14:textId="77777777" w:rsidR="00AF505F" w:rsidRDefault="00AF505F" w:rsidP="00AF505F">
      <w:pPr>
        <w:bidi/>
        <w:jc w:val="both"/>
        <w:rPr>
          <w:rFonts w:asciiTheme="majorBidi" w:hAnsiTheme="majorBidi" w:cstheme="majorBidi"/>
          <w:b/>
          <w:bCs/>
          <w:sz w:val="28"/>
          <w:szCs w:val="28"/>
          <w:rtl/>
          <w:lang w:bidi="ar-EG"/>
        </w:rPr>
      </w:pPr>
      <w:r w:rsidRPr="00AF505F">
        <w:rPr>
          <w:rFonts w:asciiTheme="majorBidi" w:hAnsiTheme="majorBidi" w:cstheme="majorBidi"/>
          <w:b/>
          <w:bCs/>
          <w:sz w:val="28"/>
          <w:szCs w:val="28"/>
          <w:rtl/>
          <w:lang w:bidi="ar-EG"/>
        </w:rPr>
        <w:t>ثانياً: الدراسات الخاصة بالمتغير التابع: فاعلية القرارات الاستراتيجية</w:t>
      </w:r>
    </w:p>
    <w:p w14:paraId="7ED10A9A" w14:textId="77777777" w:rsidR="00AF505F" w:rsidRPr="00AF505F" w:rsidRDefault="00AF505F" w:rsidP="00AF505F">
      <w:pPr>
        <w:bidi/>
        <w:jc w:val="both"/>
        <w:rPr>
          <w:rFonts w:asciiTheme="majorBidi" w:hAnsiTheme="majorBidi" w:cstheme="majorBidi"/>
          <w:b/>
          <w:bCs/>
          <w:sz w:val="28"/>
          <w:szCs w:val="28"/>
          <w:rtl/>
          <w:lang w:bidi="ar-EG"/>
        </w:rPr>
      </w:pPr>
    </w:p>
    <w:tbl>
      <w:tblPr>
        <w:tblStyle w:val="a6"/>
        <w:bidiVisual/>
        <w:tblW w:w="10290" w:type="dxa"/>
        <w:tblInd w:w="-799" w:type="dxa"/>
        <w:tblLook w:val="04A0" w:firstRow="1" w:lastRow="0" w:firstColumn="1" w:lastColumn="0" w:noHBand="0" w:noVBand="1"/>
      </w:tblPr>
      <w:tblGrid>
        <w:gridCol w:w="1795"/>
        <w:gridCol w:w="1546"/>
        <w:gridCol w:w="2490"/>
        <w:gridCol w:w="2395"/>
        <w:gridCol w:w="2064"/>
      </w:tblGrid>
      <w:tr w:rsidR="00AF505F" w:rsidRPr="00AF505F" w14:paraId="64AC61A4" w14:textId="77777777" w:rsidTr="00AF505F">
        <w:trPr>
          <w:trHeight w:val="728"/>
        </w:trPr>
        <w:tc>
          <w:tcPr>
            <w:tcW w:w="1795" w:type="dxa"/>
            <w:hideMark/>
          </w:tcPr>
          <w:p w14:paraId="0B6F295B" w14:textId="77777777" w:rsidR="00AF505F" w:rsidRPr="00AF505F" w:rsidRDefault="00AF505F" w:rsidP="00A021D9">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العنوان</w:t>
            </w:r>
          </w:p>
        </w:tc>
        <w:tc>
          <w:tcPr>
            <w:tcW w:w="1546" w:type="dxa"/>
            <w:hideMark/>
          </w:tcPr>
          <w:p w14:paraId="42922D26" w14:textId="77777777" w:rsidR="00AF505F" w:rsidRPr="00AF505F" w:rsidRDefault="00AF505F" w:rsidP="00A021D9">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الباحث/السنة</w:t>
            </w:r>
          </w:p>
        </w:tc>
        <w:tc>
          <w:tcPr>
            <w:tcW w:w="2490" w:type="dxa"/>
            <w:hideMark/>
          </w:tcPr>
          <w:p w14:paraId="7CDAE145" w14:textId="77777777" w:rsidR="00AF505F" w:rsidRPr="00AF505F" w:rsidRDefault="00AF505F" w:rsidP="00A021D9">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الهدف</w:t>
            </w:r>
          </w:p>
        </w:tc>
        <w:tc>
          <w:tcPr>
            <w:tcW w:w="2395" w:type="dxa"/>
            <w:hideMark/>
          </w:tcPr>
          <w:p w14:paraId="7401056E" w14:textId="77777777" w:rsidR="00AF505F" w:rsidRPr="00AF505F" w:rsidRDefault="00AF505F" w:rsidP="00A021D9">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المنهج</w:t>
            </w:r>
          </w:p>
        </w:tc>
        <w:tc>
          <w:tcPr>
            <w:tcW w:w="2064" w:type="dxa"/>
            <w:hideMark/>
          </w:tcPr>
          <w:p w14:paraId="663A466B" w14:textId="77777777" w:rsidR="00AF505F" w:rsidRPr="00AF505F" w:rsidRDefault="00AF505F" w:rsidP="00A021D9">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النتائج</w:t>
            </w:r>
          </w:p>
        </w:tc>
      </w:tr>
      <w:tr w:rsidR="00AF505F" w:rsidRPr="00AF505F" w14:paraId="0DD1AA76" w14:textId="77777777" w:rsidTr="00AF505F">
        <w:trPr>
          <w:trHeight w:val="220"/>
        </w:trPr>
        <w:tc>
          <w:tcPr>
            <w:tcW w:w="1795" w:type="dxa"/>
          </w:tcPr>
          <w:p w14:paraId="442ACA90" w14:textId="77777777" w:rsidR="00AF505F" w:rsidRPr="00AF505F" w:rsidRDefault="00AF505F" w:rsidP="00A021D9">
            <w:pPr>
              <w:bidi/>
              <w:jc w:val="both"/>
              <w:rPr>
                <w:rFonts w:asciiTheme="majorBidi" w:hAnsiTheme="majorBidi" w:cstheme="majorBidi"/>
                <w:b/>
                <w:bCs/>
                <w:sz w:val="28"/>
                <w:szCs w:val="28"/>
                <w:rtl/>
                <w:lang w:bidi="ar-EG"/>
              </w:rPr>
            </w:pPr>
            <w:r w:rsidRPr="00AF505F">
              <w:rPr>
                <w:rFonts w:asciiTheme="majorBidi" w:hAnsiTheme="majorBidi" w:cstheme="majorBidi"/>
                <w:b/>
                <w:bCs/>
                <w:sz w:val="28"/>
                <w:szCs w:val="28"/>
                <w:rtl/>
                <w:lang w:bidi="ar-EG"/>
              </w:rPr>
              <w:t>الموائمة الاستراتيجية ودورها في دعم الأداء المؤسسي: الدور الوسيط لفعالية القرار، دراسة تطبيقية</w:t>
            </w:r>
          </w:p>
          <w:p w14:paraId="38A9C510" w14:textId="77777777" w:rsidR="00AF505F" w:rsidRPr="00AF505F" w:rsidRDefault="00AF505F" w:rsidP="00A021D9">
            <w:pPr>
              <w:bidi/>
              <w:jc w:val="center"/>
              <w:rPr>
                <w:rFonts w:asciiTheme="majorBidi" w:eastAsia="Times New Roman" w:hAnsiTheme="majorBidi" w:cstheme="majorBidi"/>
                <w:b/>
                <w:bCs/>
                <w:sz w:val="26"/>
                <w:szCs w:val="26"/>
                <w:rtl/>
                <w:lang w:bidi="ar-EG"/>
              </w:rPr>
            </w:pPr>
          </w:p>
        </w:tc>
        <w:tc>
          <w:tcPr>
            <w:tcW w:w="1546" w:type="dxa"/>
          </w:tcPr>
          <w:p w14:paraId="63F9CCFA"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t>(ابراهيم، 2025)</w:t>
            </w:r>
          </w:p>
        </w:tc>
        <w:tc>
          <w:tcPr>
            <w:tcW w:w="2490" w:type="dxa"/>
          </w:tcPr>
          <w:p w14:paraId="01398EAE"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هدفت الدراسة إلى الكشف عن دور الموائمة الاستراتيجية في دعم الأداء المؤسسي من خلال الدور الوسيط لفعالية القرار، وذلك بالتطبيق على جامعة العريش في مصر.</w:t>
            </w:r>
          </w:p>
        </w:tc>
        <w:tc>
          <w:tcPr>
            <w:tcW w:w="2395" w:type="dxa"/>
          </w:tcPr>
          <w:p w14:paraId="1823665B"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اعتمدت الدراسة على المنهج الوصفي التحليلي، وتكون مجتمع الدراسة من جميع أعضاء هيئة التدريس والإداريين بالجامعة والبالغ عددهم 1118 فرداً، وتم اختيار عينة عشوائية طبقية قوامها 230 فرداً، وتم جمع البيانات باستخدام استبانة إلكترونية، وبلغ معدل الاستجابة 82.7%.</w:t>
            </w:r>
          </w:p>
        </w:tc>
        <w:tc>
          <w:tcPr>
            <w:tcW w:w="2064" w:type="dxa"/>
          </w:tcPr>
          <w:p w14:paraId="211A6CEE" w14:textId="77777777" w:rsidR="00AF505F" w:rsidRPr="00AF505F" w:rsidRDefault="00AF505F" w:rsidP="00A021D9">
            <w:pPr>
              <w:bidi/>
              <w:ind w:firstLine="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t xml:space="preserve">أظهرت النتائج وجود تأثير إيجابي ذي دلالة إحصائية للموائمة الاستراتيجية بأبعادها (الاتصالات، الكفاءة، الحوكمة، الشراكة، البنية التحتية، المهارات) على كل من فعالية القرار والأداء المؤسسي، كما تبين وجود تأثير إيجابي لفعالية القرار على الأداء المؤسسي، وأكدت النتائج وجود دور وسيط جزئي لفعالية القرار في العلاقة بين الموائمة الاستراتيجية والأداء المؤسسي، حيث أوضحت أن الموائمة الاستراتيجية تفسر 62% من التباين في فعالية القرار، و81% من التباين في الأداء المؤسسي. أوصت الدراسة بضرورة تقديم رؤى استباقية توجه التغييرات المستقبلية، وتطوير الهياكل التنظيمية والبرامج، </w:t>
            </w:r>
            <w:r w:rsidRPr="00AF505F">
              <w:rPr>
                <w:rFonts w:asciiTheme="majorBidi" w:hAnsiTheme="majorBidi" w:cstheme="majorBidi"/>
                <w:sz w:val="28"/>
                <w:szCs w:val="28"/>
                <w:rtl/>
                <w:lang w:bidi="ar-EG"/>
              </w:rPr>
              <w:lastRenderedPageBreak/>
              <w:t>وتحسين جودة الخدمات.</w:t>
            </w:r>
          </w:p>
        </w:tc>
      </w:tr>
      <w:tr w:rsidR="00AF505F" w:rsidRPr="00AF505F" w14:paraId="2A543E6C" w14:textId="77777777" w:rsidTr="00AF505F">
        <w:trPr>
          <w:trHeight w:val="220"/>
        </w:trPr>
        <w:tc>
          <w:tcPr>
            <w:tcW w:w="1795" w:type="dxa"/>
          </w:tcPr>
          <w:p w14:paraId="3F853158"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lastRenderedPageBreak/>
              <w:t>أثر الرقابة الإدارية على فاعلية القرارات في المؤسسات الحكومية العمانية</w:t>
            </w:r>
          </w:p>
        </w:tc>
        <w:tc>
          <w:tcPr>
            <w:tcW w:w="1546" w:type="dxa"/>
          </w:tcPr>
          <w:p w14:paraId="73C2CF33"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t>(</w:t>
            </w:r>
            <w:proofErr w:type="spellStart"/>
            <w:r w:rsidRPr="00AF505F">
              <w:rPr>
                <w:rFonts w:asciiTheme="majorBidi" w:hAnsiTheme="majorBidi" w:cstheme="majorBidi"/>
                <w:b/>
                <w:bCs/>
                <w:sz w:val="28"/>
                <w:szCs w:val="28"/>
                <w:rtl/>
                <w:lang w:bidi="ar-EG"/>
              </w:rPr>
              <w:t>الشيزاوي</w:t>
            </w:r>
            <w:proofErr w:type="spellEnd"/>
            <w:r w:rsidRPr="00AF505F">
              <w:rPr>
                <w:rFonts w:asciiTheme="majorBidi" w:hAnsiTheme="majorBidi" w:cstheme="majorBidi"/>
                <w:b/>
                <w:bCs/>
                <w:sz w:val="28"/>
                <w:szCs w:val="28"/>
                <w:rtl/>
                <w:lang w:bidi="ar-EG"/>
              </w:rPr>
              <w:t>، 2024)</w:t>
            </w:r>
          </w:p>
        </w:tc>
        <w:tc>
          <w:tcPr>
            <w:tcW w:w="2490" w:type="dxa"/>
          </w:tcPr>
          <w:p w14:paraId="1393D1F7"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هدفت الدراسة إلى التعرف على أثر الرقابة الإدارية على فاعلية القرارات في المؤسسات الحكومية العمانية، من خلال دراسة ميدانية مطبقة في هيئة البيئة العمانية.</w:t>
            </w:r>
          </w:p>
        </w:tc>
        <w:tc>
          <w:tcPr>
            <w:tcW w:w="2395" w:type="dxa"/>
          </w:tcPr>
          <w:p w14:paraId="28EA9CB7"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اعتمدت الدراسة على المنهج الوصفي التحليلي، وتكون مجتمع الدراسة من جميع المديرين في الهيئة والبالغ عددهم 31 مديراً، وتم جمع البيانات باستخدام أداة الاستبانة التي شملت جميع أفراد المجتمع.</w:t>
            </w:r>
          </w:p>
        </w:tc>
        <w:tc>
          <w:tcPr>
            <w:tcW w:w="2064" w:type="dxa"/>
          </w:tcPr>
          <w:p w14:paraId="4B8AE3DC" w14:textId="77777777" w:rsidR="00AF505F" w:rsidRPr="00AF505F" w:rsidRDefault="00AF505F" w:rsidP="00A021D9">
            <w:pPr>
              <w:bidi/>
              <w:ind w:firstLine="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t xml:space="preserve">أظهرت النتائج وجود أثر ذي دلالة إحصائية عند مستوى الدلالة (0.05 ≥ </w:t>
            </w:r>
            <w:r w:rsidRPr="00AF505F">
              <w:rPr>
                <w:rFonts w:asciiTheme="majorBidi" w:hAnsiTheme="majorBidi" w:cstheme="majorBidi"/>
                <w:sz w:val="28"/>
                <w:szCs w:val="28"/>
                <w:lang w:bidi="ar-EG"/>
              </w:rPr>
              <w:t>α</w:t>
            </w:r>
            <w:r w:rsidRPr="00AF505F">
              <w:rPr>
                <w:rFonts w:asciiTheme="majorBidi" w:hAnsiTheme="majorBidi" w:cstheme="majorBidi"/>
                <w:sz w:val="28"/>
                <w:szCs w:val="28"/>
                <w:rtl/>
                <w:lang w:bidi="ar-EG"/>
              </w:rPr>
              <w:t>)</w:t>
            </w:r>
            <w:r w:rsidRPr="00AF505F">
              <w:rPr>
                <w:rFonts w:asciiTheme="majorBidi" w:hAnsiTheme="majorBidi" w:cstheme="majorBidi"/>
                <w:sz w:val="28"/>
                <w:szCs w:val="28"/>
                <w:lang w:bidi="ar-EG"/>
              </w:rPr>
              <w:t xml:space="preserve"> </w:t>
            </w:r>
            <w:r w:rsidRPr="00AF505F">
              <w:rPr>
                <w:rFonts w:asciiTheme="majorBidi" w:hAnsiTheme="majorBidi" w:cstheme="majorBidi"/>
                <w:sz w:val="28"/>
                <w:szCs w:val="28"/>
                <w:rtl/>
                <w:lang w:bidi="ar-EG"/>
              </w:rPr>
              <w:t xml:space="preserve">للرقابة الإدارية بأبعادها (التقارير الإدارية، الملاحظات، الموازنة التقديرية، الشكاوى) على فاعلية عملية اتخاذ القرارات بمراحلها المختلفة (تحديد المشكلة، جمع المعلومات، تحديد البدائل الاستراتيجية، التنفيذ والرقابة) في هيئة البيئة العمانية. كما أظهرت النتائج وجود درجة موافقة كبيرة تجاه مستوى كفاءة التقارير الإدارية والملاحظات والموازنات التقديرية، في حين كانت الاستجابة محايدة تجاه مستوى كفاءة الشكاوى، وكذلك تجاه مرحلتي تحديد المشكلة والتنفيذ والرقابة. أوصت الدراسة بتعزيز قنوات التواصل بين إدارة الهيئة والعاملين، وتطوير نظام الشكاوى، وتكليف لجان مختصة لفحص الشكاوى، وتزويد الإدارة العليا </w:t>
            </w:r>
            <w:r w:rsidRPr="00AF505F">
              <w:rPr>
                <w:rFonts w:asciiTheme="majorBidi" w:hAnsiTheme="majorBidi" w:cstheme="majorBidi"/>
                <w:sz w:val="28"/>
                <w:szCs w:val="28"/>
                <w:rtl/>
                <w:lang w:bidi="ar-EG"/>
              </w:rPr>
              <w:lastRenderedPageBreak/>
              <w:t>بتقارير دورية حول نقاط القوة والضعف في القرارات.</w:t>
            </w:r>
          </w:p>
        </w:tc>
      </w:tr>
      <w:tr w:rsidR="00AF505F" w:rsidRPr="00AF505F" w14:paraId="05484297" w14:textId="77777777" w:rsidTr="00AF505F">
        <w:trPr>
          <w:trHeight w:val="220"/>
        </w:trPr>
        <w:tc>
          <w:tcPr>
            <w:tcW w:w="1795" w:type="dxa"/>
          </w:tcPr>
          <w:p w14:paraId="7CEB845B" w14:textId="77777777" w:rsidR="00AF505F" w:rsidRPr="00AF505F" w:rsidRDefault="00AF505F" w:rsidP="00A021D9">
            <w:pPr>
              <w:bidi/>
              <w:jc w:val="both"/>
              <w:rPr>
                <w:rFonts w:asciiTheme="majorBidi" w:hAnsiTheme="majorBidi" w:cstheme="majorBidi"/>
                <w:b/>
                <w:bCs/>
                <w:sz w:val="28"/>
                <w:szCs w:val="28"/>
                <w:rtl/>
                <w:lang w:bidi="ar-EG"/>
              </w:rPr>
            </w:pPr>
            <w:r w:rsidRPr="00AF505F">
              <w:rPr>
                <w:rFonts w:asciiTheme="majorBidi" w:hAnsiTheme="majorBidi" w:cstheme="majorBidi"/>
                <w:b/>
                <w:bCs/>
                <w:sz w:val="28"/>
                <w:szCs w:val="28"/>
                <w:rtl/>
                <w:lang w:bidi="ar-EG"/>
              </w:rPr>
              <w:lastRenderedPageBreak/>
              <w:t>تأثير التحول الرقمي على فاعلية اتخاذ القرارات الاستراتيجية: الدور الوسيط الميزة التنافسية</w:t>
            </w:r>
          </w:p>
          <w:p w14:paraId="72419011" w14:textId="77777777" w:rsidR="00AF505F" w:rsidRPr="00AF505F" w:rsidRDefault="00AF505F" w:rsidP="00A021D9">
            <w:pPr>
              <w:bidi/>
              <w:jc w:val="center"/>
              <w:rPr>
                <w:rFonts w:asciiTheme="majorBidi" w:eastAsia="Times New Roman" w:hAnsiTheme="majorBidi" w:cstheme="majorBidi"/>
                <w:b/>
                <w:bCs/>
                <w:sz w:val="26"/>
                <w:szCs w:val="26"/>
                <w:rtl/>
                <w:lang w:bidi="ar-EG"/>
              </w:rPr>
            </w:pPr>
          </w:p>
        </w:tc>
        <w:tc>
          <w:tcPr>
            <w:tcW w:w="1546" w:type="dxa"/>
          </w:tcPr>
          <w:p w14:paraId="5840C380"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t>(ابراهيم، 2023)</w:t>
            </w:r>
          </w:p>
        </w:tc>
        <w:tc>
          <w:tcPr>
            <w:tcW w:w="2490" w:type="dxa"/>
          </w:tcPr>
          <w:p w14:paraId="4798F1EC"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هدفت الدراسة إلى قياس تأثير التحول الرقمي على فاعلية اتخاذ القرارات الاستراتيجية من خلال الدور الوسيط للميزة التنافسية في الأندية الرياضية المصرية، وذلك من خلال تحديد العلاقة بين التحول الرقمي بأبعاده (البنية التحتية التكنولوجية، التشريعات والسياسات، المهارات الرقمية، توافر التمويل) وتحقيق الميزة التنافسية، وقياس مدى تأثيرها على فاعلية القرارات الاستراتيجية بأبعادها (تحديد الموقف الاستراتيجي، تحديد الأهداف، جمع المعلومات، توليد البدائل، اختيار البديل).</w:t>
            </w:r>
          </w:p>
        </w:tc>
        <w:tc>
          <w:tcPr>
            <w:tcW w:w="2395" w:type="dxa"/>
          </w:tcPr>
          <w:p w14:paraId="5185BE34"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اعتمدت الدراسة على المنهج الميداني، وتكون مجتمع الدراسة من موظفي نادي الزهور الرياضي بفرعيه والبالغ عددهم 1100 موظف، وتم اختيار عينة ميسرة قوامها 285 مفردة، وتم جمع البيانات باستخدام استبانة إلكترونية.</w:t>
            </w:r>
          </w:p>
        </w:tc>
        <w:tc>
          <w:tcPr>
            <w:tcW w:w="2064" w:type="dxa"/>
          </w:tcPr>
          <w:p w14:paraId="12DEB812"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أظهرت النتائج أن الأندية الرياضية لا تتبنى عملية التحول الرقمي بدرجة كافية، حيث جاءت المتوسطات الحسابية لأبعاده متوسطة، كما أظهرت ضعفاً في مستوى فاعلية اتخاذ القرارات الاستراتيجية وعدم القدرة على تحقيق الميزة التنافسية. كما توصلت إلى قبول الفرض الرئيسي الأول والثالث جزئياً، وقبول الفرضين الرئيسيين الثاني والرابع كلياً. أوصت الدراسة بضرورة إدراك أهمية قدرة الموظفين على اكتساب مهارات وظيفية جديدة، والمبادرة إلى التحول الرقمي في الأندية الرياضية، وتهيئة الموظفين لمواكبة التقدم التكنولوجي، وتطوير الأجهزة والمعدات.</w:t>
            </w:r>
          </w:p>
        </w:tc>
      </w:tr>
      <w:tr w:rsidR="00AF505F" w:rsidRPr="00AF505F" w14:paraId="0C9369D3" w14:textId="77777777" w:rsidTr="00AF505F">
        <w:trPr>
          <w:trHeight w:val="220"/>
        </w:trPr>
        <w:tc>
          <w:tcPr>
            <w:tcW w:w="1795" w:type="dxa"/>
          </w:tcPr>
          <w:p w14:paraId="402F493D"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t xml:space="preserve">دور الذكاء التنافسي في تعزيز فاعلية القرارات الاستراتيجية: بحث استطلاعي </w:t>
            </w:r>
            <w:r w:rsidRPr="00AF505F">
              <w:rPr>
                <w:rFonts w:asciiTheme="majorBidi" w:hAnsiTheme="majorBidi" w:cstheme="majorBidi"/>
                <w:b/>
                <w:bCs/>
                <w:sz w:val="28"/>
                <w:szCs w:val="28"/>
                <w:rtl/>
                <w:lang w:bidi="ar-EG"/>
              </w:rPr>
              <w:lastRenderedPageBreak/>
              <w:t>للآراء عينة من مديري شركة الاتصالات آسيا سيل في العراق</w:t>
            </w:r>
          </w:p>
        </w:tc>
        <w:tc>
          <w:tcPr>
            <w:tcW w:w="1546" w:type="dxa"/>
          </w:tcPr>
          <w:p w14:paraId="71196D58"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rtl/>
                <w:lang w:bidi="ar-EG"/>
              </w:rPr>
              <w:lastRenderedPageBreak/>
              <w:t>(على، 2022)</w:t>
            </w:r>
          </w:p>
        </w:tc>
        <w:tc>
          <w:tcPr>
            <w:tcW w:w="2490" w:type="dxa"/>
          </w:tcPr>
          <w:p w14:paraId="7784AE0B"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 xml:space="preserve">هدفت الدراسة إلى التعرف على دور الذكاء التنافسي في تعزيز فاعلية القرارات الاستراتيجية في شركة آسيا سيل للاتصالات في العراق، </w:t>
            </w:r>
            <w:r w:rsidRPr="00AF505F">
              <w:rPr>
                <w:rFonts w:asciiTheme="majorBidi" w:hAnsiTheme="majorBidi" w:cstheme="majorBidi"/>
                <w:sz w:val="28"/>
                <w:szCs w:val="28"/>
                <w:rtl/>
                <w:lang w:bidi="ar-EG"/>
              </w:rPr>
              <w:lastRenderedPageBreak/>
              <w:t>من خلال تشخيص طبيعة علاقات الارتباط والتأثير بين الذكاء التنافسي بأبعاده (جمع المعلومات، التحليل، التجميع، النشر) وفاعلية القرارات الاستراتيجية بأبعادها (الملاءمة، القبول، الجودة).</w:t>
            </w:r>
          </w:p>
        </w:tc>
        <w:tc>
          <w:tcPr>
            <w:tcW w:w="2395" w:type="dxa"/>
          </w:tcPr>
          <w:p w14:paraId="3815DD8C"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lastRenderedPageBreak/>
              <w:t xml:space="preserve">اعتمدت الدراسة على المنهج الوصفي التحليلي، وتكون مجتمع الدراسة من المديرين في الشركة، وتم اختيار عينة قصدية قوامها 61 فرداً من </w:t>
            </w:r>
            <w:r w:rsidRPr="00AF505F">
              <w:rPr>
                <w:rFonts w:asciiTheme="majorBidi" w:hAnsiTheme="majorBidi" w:cstheme="majorBidi"/>
                <w:sz w:val="28"/>
                <w:szCs w:val="28"/>
                <w:rtl/>
                <w:lang w:bidi="ar-EG"/>
              </w:rPr>
              <w:lastRenderedPageBreak/>
              <w:t>شاغلي المناصب الإدارية العليا، وتم جمع البيانات باستخدام استبانة صممت لهذا الغرض.</w:t>
            </w:r>
          </w:p>
        </w:tc>
        <w:tc>
          <w:tcPr>
            <w:tcW w:w="2064" w:type="dxa"/>
          </w:tcPr>
          <w:p w14:paraId="39E11FF2"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lastRenderedPageBreak/>
              <w:t xml:space="preserve">أظهرت النتائج وجود علاقة ارتباط موجبة وذات دلالة معنوية بين الذكاء التنافسي وفاعلية القرارات الاستراتيجية، حيث </w:t>
            </w:r>
            <w:r w:rsidRPr="00AF505F">
              <w:rPr>
                <w:rFonts w:asciiTheme="majorBidi" w:hAnsiTheme="majorBidi" w:cstheme="majorBidi"/>
                <w:sz w:val="28"/>
                <w:szCs w:val="28"/>
                <w:rtl/>
                <w:lang w:bidi="ar-EG"/>
              </w:rPr>
              <w:lastRenderedPageBreak/>
              <w:t xml:space="preserve">بلغ معامل الارتباط الكلي 0.932 عند مستوى معنوية 1%، كما أظهرت وجود تأثير ذي دلالة معنوية للذكاء التنافسي في فاعلية القرارات الاستراتيجية، حيث بلغ معامل التحديد </w:t>
            </w:r>
            <w:r w:rsidRPr="00AF505F">
              <w:rPr>
                <w:rFonts w:asciiTheme="majorBidi" w:hAnsiTheme="majorBidi" w:cstheme="majorBidi"/>
                <w:sz w:val="28"/>
                <w:szCs w:val="28"/>
                <w:lang w:bidi="ar-EG"/>
              </w:rPr>
              <w:t>R² 0.869</w:t>
            </w:r>
            <w:r w:rsidRPr="00AF505F">
              <w:rPr>
                <w:rFonts w:asciiTheme="majorBidi" w:hAnsiTheme="majorBidi" w:cstheme="majorBidi"/>
                <w:sz w:val="28"/>
                <w:szCs w:val="28"/>
                <w:rtl/>
                <w:lang w:bidi="ar-EG"/>
              </w:rPr>
              <w:t>، مما يعني أن الذكاء التنافسي يفسر 86.9% من التغيرات في فاعلية القرارات الاستراتيجية. أوصت الدراسة بضرورة توجيه قيادة الشركة نحو التخلص من القيود التي تحد من قدرتها التنافسية، وتوفير المتطلبات اللازمة لاستمرار نجاحها وتطويرها في الجوانب البشرية والتقنية.</w:t>
            </w:r>
          </w:p>
        </w:tc>
      </w:tr>
    </w:tbl>
    <w:p w14:paraId="0E4F6E24" w14:textId="77777777" w:rsidR="00AF505F" w:rsidRPr="00AF505F" w:rsidRDefault="00AF505F" w:rsidP="00AF505F">
      <w:pPr>
        <w:bidi/>
        <w:jc w:val="both"/>
        <w:rPr>
          <w:rFonts w:asciiTheme="majorBidi" w:hAnsiTheme="majorBidi" w:cstheme="majorBidi"/>
          <w:b/>
          <w:bCs/>
          <w:sz w:val="28"/>
          <w:szCs w:val="28"/>
          <w:rtl/>
          <w:lang w:bidi="ar-EG"/>
        </w:rPr>
      </w:pPr>
    </w:p>
    <w:p w14:paraId="18410E2F" w14:textId="77777777" w:rsidR="00AF505F" w:rsidRPr="00AF505F" w:rsidRDefault="00AF505F" w:rsidP="00AF505F">
      <w:pPr>
        <w:bidi/>
        <w:jc w:val="both"/>
        <w:rPr>
          <w:rFonts w:asciiTheme="majorBidi" w:hAnsiTheme="majorBidi" w:cstheme="majorBidi"/>
          <w:b/>
          <w:bCs/>
          <w:sz w:val="28"/>
          <w:szCs w:val="28"/>
          <w:rtl/>
          <w:lang w:bidi="ar-EG"/>
        </w:rPr>
      </w:pPr>
      <w:r w:rsidRPr="00AF505F">
        <w:rPr>
          <w:rFonts w:asciiTheme="majorBidi" w:hAnsiTheme="majorBidi" w:cstheme="majorBidi"/>
          <w:b/>
          <w:bCs/>
          <w:sz w:val="28"/>
          <w:szCs w:val="28"/>
          <w:rtl/>
          <w:lang w:bidi="ar-EG"/>
        </w:rPr>
        <w:t xml:space="preserve">  </w:t>
      </w:r>
    </w:p>
    <w:p w14:paraId="12C9CFE8" w14:textId="77777777" w:rsidR="00AF505F" w:rsidRPr="00AF505F" w:rsidRDefault="00AF505F" w:rsidP="00AF505F">
      <w:pPr>
        <w:bidi/>
        <w:jc w:val="both"/>
        <w:rPr>
          <w:rFonts w:asciiTheme="majorBidi" w:hAnsiTheme="majorBidi" w:cstheme="majorBidi"/>
          <w:b/>
          <w:bCs/>
          <w:sz w:val="28"/>
          <w:szCs w:val="28"/>
          <w:rtl/>
          <w:lang w:bidi="ar-EG"/>
        </w:rPr>
      </w:pPr>
    </w:p>
    <w:p w14:paraId="6339BEE9" w14:textId="77777777" w:rsidR="00AF505F" w:rsidRPr="00AF505F" w:rsidRDefault="00AF505F" w:rsidP="00AF505F">
      <w:pPr>
        <w:bidi/>
        <w:ind w:firstLine="720"/>
        <w:jc w:val="both"/>
        <w:rPr>
          <w:rFonts w:asciiTheme="majorBidi" w:hAnsiTheme="majorBidi" w:cstheme="majorBidi"/>
          <w:sz w:val="28"/>
          <w:szCs w:val="28"/>
          <w:rtl/>
          <w:lang w:bidi="ar-EG"/>
        </w:rPr>
      </w:pPr>
    </w:p>
    <w:p w14:paraId="395DE35C" w14:textId="77777777" w:rsidR="00AF505F" w:rsidRPr="00AF505F" w:rsidRDefault="00AF505F" w:rsidP="00AF505F">
      <w:pPr>
        <w:bidi/>
        <w:ind w:firstLine="720"/>
        <w:jc w:val="both"/>
        <w:rPr>
          <w:rFonts w:asciiTheme="majorBidi" w:hAnsiTheme="majorBidi" w:cstheme="majorBidi"/>
          <w:sz w:val="28"/>
          <w:szCs w:val="28"/>
          <w:rtl/>
          <w:lang w:bidi="ar-EG"/>
        </w:rPr>
      </w:pPr>
    </w:p>
    <w:p w14:paraId="61E81DC8" w14:textId="77777777" w:rsidR="00AF505F" w:rsidRPr="00AF505F" w:rsidRDefault="00AF505F" w:rsidP="00AF505F">
      <w:pPr>
        <w:bidi/>
        <w:jc w:val="both"/>
        <w:rPr>
          <w:rFonts w:asciiTheme="majorBidi" w:hAnsiTheme="majorBidi" w:cstheme="majorBidi"/>
          <w:b/>
          <w:bCs/>
          <w:sz w:val="28"/>
          <w:szCs w:val="28"/>
          <w:rtl/>
          <w:lang w:bidi="ar-EG"/>
        </w:rPr>
      </w:pPr>
    </w:p>
    <w:p w14:paraId="20CB67F0" w14:textId="77777777" w:rsidR="00AF505F" w:rsidRDefault="00AF505F" w:rsidP="00AF505F">
      <w:pPr>
        <w:bidi/>
        <w:jc w:val="both"/>
        <w:rPr>
          <w:rFonts w:asciiTheme="majorBidi" w:hAnsiTheme="majorBidi" w:cstheme="majorBidi"/>
          <w:b/>
          <w:bCs/>
          <w:sz w:val="28"/>
          <w:szCs w:val="28"/>
          <w:rtl/>
          <w:lang w:bidi="ar-EG"/>
        </w:rPr>
      </w:pPr>
    </w:p>
    <w:p w14:paraId="6B2E2990" w14:textId="77777777" w:rsidR="00AF505F" w:rsidRDefault="00AF505F" w:rsidP="00AF505F">
      <w:pPr>
        <w:bidi/>
        <w:jc w:val="both"/>
        <w:rPr>
          <w:rFonts w:asciiTheme="majorBidi" w:hAnsiTheme="majorBidi" w:cstheme="majorBidi"/>
          <w:b/>
          <w:bCs/>
          <w:sz w:val="28"/>
          <w:szCs w:val="28"/>
          <w:rtl/>
          <w:lang w:bidi="ar-EG"/>
        </w:rPr>
      </w:pPr>
    </w:p>
    <w:p w14:paraId="6A3CF95B" w14:textId="77777777" w:rsidR="00AF505F" w:rsidRDefault="00AF505F" w:rsidP="00AF505F">
      <w:pPr>
        <w:bidi/>
        <w:jc w:val="both"/>
        <w:rPr>
          <w:rFonts w:asciiTheme="majorBidi" w:hAnsiTheme="majorBidi" w:cstheme="majorBidi"/>
          <w:b/>
          <w:bCs/>
          <w:sz w:val="28"/>
          <w:szCs w:val="28"/>
          <w:rtl/>
          <w:lang w:bidi="ar-EG"/>
        </w:rPr>
      </w:pPr>
    </w:p>
    <w:p w14:paraId="1C1DBA5A" w14:textId="77777777" w:rsidR="00AF505F" w:rsidRDefault="00AF505F" w:rsidP="00AF505F">
      <w:pPr>
        <w:bidi/>
        <w:jc w:val="both"/>
        <w:rPr>
          <w:rFonts w:asciiTheme="majorBidi" w:hAnsiTheme="majorBidi" w:cstheme="majorBidi"/>
          <w:b/>
          <w:bCs/>
          <w:sz w:val="28"/>
          <w:szCs w:val="28"/>
          <w:rtl/>
          <w:lang w:bidi="ar-EG"/>
        </w:rPr>
      </w:pPr>
    </w:p>
    <w:p w14:paraId="23D2B2FA" w14:textId="77777777" w:rsidR="00AF505F" w:rsidRPr="00AF505F" w:rsidRDefault="00AF505F" w:rsidP="00AF505F">
      <w:pPr>
        <w:bidi/>
        <w:jc w:val="both"/>
        <w:rPr>
          <w:rFonts w:asciiTheme="majorBidi" w:hAnsiTheme="majorBidi" w:cstheme="majorBidi"/>
          <w:b/>
          <w:bCs/>
          <w:sz w:val="28"/>
          <w:szCs w:val="28"/>
          <w:rtl/>
          <w:lang w:bidi="ar-EG"/>
        </w:rPr>
      </w:pPr>
    </w:p>
    <w:p w14:paraId="365F1357" w14:textId="77777777" w:rsidR="00AF505F" w:rsidRPr="00AF505F" w:rsidRDefault="00AF505F" w:rsidP="00AF505F">
      <w:pPr>
        <w:bidi/>
        <w:jc w:val="both"/>
        <w:rPr>
          <w:rFonts w:asciiTheme="majorBidi" w:hAnsiTheme="majorBidi" w:cstheme="majorBidi"/>
          <w:b/>
          <w:bCs/>
          <w:sz w:val="28"/>
          <w:szCs w:val="28"/>
          <w:rtl/>
          <w:lang w:bidi="ar-EG"/>
        </w:rPr>
      </w:pPr>
      <w:r w:rsidRPr="00AF505F">
        <w:rPr>
          <w:rFonts w:asciiTheme="majorBidi" w:hAnsiTheme="majorBidi" w:cstheme="majorBidi"/>
          <w:b/>
          <w:bCs/>
          <w:sz w:val="28"/>
          <w:szCs w:val="28"/>
          <w:rtl/>
          <w:lang w:bidi="ar-EG"/>
        </w:rPr>
        <w:t>ثالثاً الدراسات الخاصة بتأثير تقنيات الذكاء الاصطناعي على فعالية القرارات الاستراتيجية</w:t>
      </w:r>
    </w:p>
    <w:tbl>
      <w:tblPr>
        <w:tblStyle w:val="a6"/>
        <w:bidiVisual/>
        <w:tblW w:w="10432" w:type="dxa"/>
        <w:tblInd w:w="-799" w:type="dxa"/>
        <w:tblLook w:val="04A0" w:firstRow="1" w:lastRow="0" w:firstColumn="1" w:lastColumn="0" w:noHBand="0" w:noVBand="1"/>
      </w:tblPr>
      <w:tblGrid>
        <w:gridCol w:w="1960"/>
        <w:gridCol w:w="1546"/>
        <w:gridCol w:w="2430"/>
        <w:gridCol w:w="2348"/>
        <w:gridCol w:w="2148"/>
      </w:tblGrid>
      <w:tr w:rsidR="00AF505F" w:rsidRPr="00AF505F" w14:paraId="151DA18B" w14:textId="77777777" w:rsidTr="00AF505F">
        <w:trPr>
          <w:trHeight w:val="728"/>
        </w:trPr>
        <w:tc>
          <w:tcPr>
            <w:tcW w:w="1960" w:type="dxa"/>
            <w:hideMark/>
          </w:tcPr>
          <w:p w14:paraId="7875D070" w14:textId="77777777" w:rsidR="00AF505F" w:rsidRPr="00AF505F" w:rsidRDefault="00AF505F" w:rsidP="00A021D9">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العنوان</w:t>
            </w:r>
          </w:p>
        </w:tc>
        <w:tc>
          <w:tcPr>
            <w:tcW w:w="1546" w:type="dxa"/>
            <w:hideMark/>
          </w:tcPr>
          <w:p w14:paraId="5ACA3EBD" w14:textId="77777777" w:rsidR="00AF505F" w:rsidRPr="00AF505F" w:rsidRDefault="00AF505F" w:rsidP="00A021D9">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الباحث/السنة</w:t>
            </w:r>
          </w:p>
        </w:tc>
        <w:tc>
          <w:tcPr>
            <w:tcW w:w="2430" w:type="dxa"/>
            <w:hideMark/>
          </w:tcPr>
          <w:p w14:paraId="1BD5C1C9" w14:textId="77777777" w:rsidR="00AF505F" w:rsidRPr="00AF505F" w:rsidRDefault="00AF505F" w:rsidP="00A021D9">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الهدف</w:t>
            </w:r>
          </w:p>
        </w:tc>
        <w:tc>
          <w:tcPr>
            <w:tcW w:w="2348" w:type="dxa"/>
            <w:hideMark/>
          </w:tcPr>
          <w:p w14:paraId="72780FC9" w14:textId="77777777" w:rsidR="00AF505F" w:rsidRPr="00AF505F" w:rsidRDefault="00AF505F" w:rsidP="00A021D9">
            <w:pPr>
              <w:bidi/>
              <w:jc w:val="center"/>
              <w:rPr>
                <w:rFonts w:asciiTheme="majorBidi" w:eastAsia="Times New Roman" w:hAnsiTheme="majorBidi" w:cstheme="majorBidi"/>
                <w:b/>
                <w:bCs/>
                <w:sz w:val="32"/>
                <w:szCs w:val="32"/>
              </w:rPr>
            </w:pPr>
            <w:r w:rsidRPr="00AF505F">
              <w:rPr>
                <w:rFonts w:asciiTheme="majorBidi" w:eastAsia="Times New Roman" w:hAnsiTheme="majorBidi" w:cstheme="majorBidi"/>
                <w:b/>
                <w:bCs/>
                <w:sz w:val="32"/>
                <w:szCs w:val="32"/>
                <w:rtl/>
              </w:rPr>
              <w:t>المنهج</w:t>
            </w:r>
          </w:p>
        </w:tc>
        <w:tc>
          <w:tcPr>
            <w:tcW w:w="2148" w:type="dxa"/>
            <w:hideMark/>
          </w:tcPr>
          <w:p w14:paraId="03029513" w14:textId="77777777" w:rsidR="00AF505F" w:rsidRPr="00AF505F" w:rsidRDefault="00AF505F" w:rsidP="00A021D9">
            <w:pPr>
              <w:bidi/>
              <w:jc w:val="center"/>
              <w:rPr>
                <w:rFonts w:asciiTheme="majorBidi" w:eastAsia="Times New Roman" w:hAnsiTheme="majorBidi" w:cstheme="majorBidi" w:hint="cs"/>
                <w:b/>
                <w:bCs/>
                <w:sz w:val="32"/>
                <w:szCs w:val="32"/>
                <w:rtl/>
              </w:rPr>
            </w:pPr>
            <w:r w:rsidRPr="00AF505F">
              <w:rPr>
                <w:rFonts w:asciiTheme="majorBidi" w:eastAsia="Times New Roman" w:hAnsiTheme="majorBidi" w:cstheme="majorBidi"/>
                <w:b/>
                <w:bCs/>
                <w:sz w:val="32"/>
                <w:szCs w:val="32"/>
                <w:rtl/>
              </w:rPr>
              <w:t>النتائج</w:t>
            </w:r>
          </w:p>
        </w:tc>
      </w:tr>
      <w:tr w:rsidR="00AF505F" w:rsidRPr="00AF505F" w14:paraId="34107499" w14:textId="77777777" w:rsidTr="00AF505F">
        <w:trPr>
          <w:trHeight w:val="220"/>
        </w:trPr>
        <w:tc>
          <w:tcPr>
            <w:tcW w:w="1960" w:type="dxa"/>
          </w:tcPr>
          <w:p w14:paraId="2CCB0859" w14:textId="77777777" w:rsidR="00AF505F" w:rsidRPr="00AF505F" w:rsidRDefault="00AF505F" w:rsidP="00A021D9">
            <w:pPr>
              <w:bidi/>
              <w:jc w:val="center"/>
              <w:rPr>
                <w:rFonts w:asciiTheme="majorBidi" w:eastAsia="Times New Roman" w:hAnsiTheme="majorBidi" w:cstheme="majorBidi"/>
                <w:b/>
                <w:bCs/>
                <w:sz w:val="26"/>
                <w:szCs w:val="26"/>
                <w:rtl/>
                <w:lang w:bidi="ar-EG"/>
              </w:rPr>
            </w:pPr>
            <w:r w:rsidRPr="00AF505F">
              <w:rPr>
                <w:rFonts w:asciiTheme="majorBidi" w:hAnsiTheme="majorBidi" w:cstheme="majorBidi"/>
                <w:b/>
                <w:bCs/>
                <w:sz w:val="28"/>
                <w:szCs w:val="28"/>
                <w:lang w:bidi="ar-EG"/>
              </w:rPr>
              <w:t>Integration of artificial intelligence in management information systems to improve the effectiveness of strategic decision-making in the digital era</w:t>
            </w:r>
          </w:p>
        </w:tc>
        <w:tc>
          <w:tcPr>
            <w:tcW w:w="1546" w:type="dxa"/>
          </w:tcPr>
          <w:p w14:paraId="040C0751"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lang w:bidi="ar-EG"/>
              </w:rPr>
              <w:t>(</w:t>
            </w:r>
            <w:proofErr w:type="spellStart"/>
            <w:r w:rsidRPr="00AF505F">
              <w:rPr>
                <w:rFonts w:asciiTheme="majorBidi" w:hAnsiTheme="majorBidi" w:cstheme="majorBidi"/>
                <w:b/>
                <w:bCs/>
                <w:sz w:val="28"/>
                <w:szCs w:val="28"/>
                <w:lang w:bidi="ar-EG"/>
              </w:rPr>
              <w:t>Wasesa</w:t>
            </w:r>
            <w:proofErr w:type="spellEnd"/>
            <w:r w:rsidRPr="00AF505F">
              <w:rPr>
                <w:rFonts w:asciiTheme="majorBidi" w:hAnsiTheme="majorBidi" w:cstheme="majorBidi"/>
                <w:b/>
                <w:bCs/>
                <w:sz w:val="28"/>
                <w:szCs w:val="28"/>
                <w:lang w:bidi="ar-EG"/>
              </w:rPr>
              <w:t xml:space="preserve"> et al, 2025)</w:t>
            </w:r>
          </w:p>
        </w:tc>
        <w:tc>
          <w:tcPr>
            <w:tcW w:w="2430" w:type="dxa"/>
          </w:tcPr>
          <w:p w14:paraId="5C815EC1"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هدفت الدراسة إلى تحليل العوامل المؤثرة في نجاح تبني الذكاء الاصطناعي ضمن نظم المعلومات الإدارية، وتقييم تأثير هذا التكامل على فاعلية اتخاذ القرارات الاستراتيجية، واستكشاف الدور الوسيط للقدرات الديناميكية في هذه العلاقة.</w:t>
            </w:r>
          </w:p>
        </w:tc>
        <w:tc>
          <w:tcPr>
            <w:tcW w:w="2348" w:type="dxa"/>
          </w:tcPr>
          <w:p w14:paraId="6A1CF205"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 xml:space="preserve">اعتمدت الدراسة على منهجية مختلطة، وتكون مجتمع الدراسة من المؤسسات العاملة في </w:t>
            </w:r>
            <w:proofErr w:type="gramStart"/>
            <w:r w:rsidRPr="00AF505F">
              <w:rPr>
                <w:rFonts w:asciiTheme="majorBidi" w:hAnsiTheme="majorBidi" w:cstheme="majorBidi"/>
                <w:sz w:val="28"/>
                <w:szCs w:val="28"/>
                <w:rtl/>
                <w:lang w:bidi="ar-EG"/>
              </w:rPr>
              <w:t>ستة</w:t>
            </w:r>
            <w:proofErr w:type="gramEnd"/>
            <w:r w:rsidRPr="00AF505F">
              <w:rPr>
                <w:rFonts w:asciiTheme="majorBidi" w:hAnsiTheme="majorBidi" w:cstheme="majorBidi"/>
                <w:sz w:val="28"/>
                <w:szCs w:val="28"/>
                <w:rtl/>
                <w:lang w:bidi="ar-EG"/>
              </w:rPr>
              <w:t xml:space="preserve"> قطاعات صناعية في إندونيسيا، وتم جمع البيانات الكمية من عينة قوامها 715 فرداً من المستويات الإدارية العليا والوسطى والمتخصصين، كما تم إجراء دراسات حالة نوعية في 25 منظمة ذات مستويات متفاوتة من نضج تطبيق الذكاء الاصطناعي.</w:t>
            </w:r>
          </w:p>
        </w:tc>
        <w:tc>
          <w:tcPr>
            <w:tcW w:w="2148" w:type="dxa"/>
          </w:tcPr>
          <w:p w14:paraId="737D96D6" w14:textId="77777777" w:rsidR="00AF505F" w:rsidRPr="00AF505F" w:rsidRDefault="00AF505F" w:rsidP="00A021D9">
            <w:pPr>
              <w:bidi/>
              <w:ind w:firstLine="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t xml:space="preserve">أظهرت نتائج تحليل النمذجة الهيكلية أن العوامل الرئيسية المؤثرة في تبني الذكاء الاصطناعي تشمل الفائدة المدركة، سهولة الاستخدام، الجاهزية التنظيمية، والدعم الإداري. كما أظهر التكامل تحسناً كبيراً في فاعلية القرارات الاستراتيجية تمثل في زيادة جودة القرار بنسبة 34.7%، سرعة اتخاذ القرار بنسبة 42.3%، دقة التنبؤ بنسبة 28.6%، التوافق الاستراتيجي بنسبة 31.2%، وقدرات تقييم المخاطر بنسبة 36.8%. كشفت النتائج النوعية عن تحديات رئيسية للتنفيذ تشمل جودة البيانات، الفجوات المهارية، مقاومة الموظفين، وتعقيد التكامل. أوصت الدراسة بتوفير إطار شامل لتوجيه تكامل الذكاء الاصطناعي في نظم المعلومات الإدارية </w:t>
            </w:r>
            <w:r w:rsidRPr="00AF505F">
              <w:rPr>
                <w:rFonts w:asciiTheme="majorBidi" w:hAnsiTheme="majorBidi" w:cstheme="majorBidi"/>
                <w:sz w:val="28"/>
                <w:szCs w:val="28"/>
                <w:rtl/>
                <w:lang w:bidi="ar-EG"/>
              </w:rPr>
              <w:lastRenderedPageBreak/>
              <w:t>لتحقيق ميزة تنافسية مستدامة.</w:t>
            </w:r>
          </w:p>
        </w:tc>
      </w:tr>
      <w:tr w:rsidR="00AF505F" w:rsidRPr="00AF505F" w14:paraId="71F4A475" w14:textId="77777777" w:rsidTr="00AF505F">
        <w:trPr>
          <w:trHeight w:val="220"/>
        </w:trPr>
        <w:tc>
          <w:tcPr>
            <w:tcW w:w="1960" w:type="dxa"/>
          </w:tcPr>
          <w:p w14:paraId="7655D7F0"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lang w:bidi="ar-EG"/>
              </w:rPr>
              <w:lastRenderedPageBreak/>
              <w:t>In the Era of Emerging Technologies: Discovering the Impact of Artificial Intelligence Capabilities on Timely Decision-Making and Business Performance</w:t>
            </w:r>
          </w:p>
        </w:tc>
        <w:tc>
          <w:tcPr>
            <w:tcW w:w="1546" w:type="dxa"/>
          </w:tcPr>
          <w:p w14:paraId="564A0188"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lang w:bidi="ar-EG"/>
              </w:rPr>
              <w:t>et al, 2024</w:t>
            </w:r>
            <w:proofErr w:type="gramStart"/>
            <w:r w:rsidRPr="00AF505F">
              <w:rPr>
                <w:rFonts w:asciiTheme="majorBidi" w:hAnsiTheme="majorBidi" w:cstheme="majorBidi"/>
                <w:b/>
                <w:bCs/>
                <w:sz w:val="28"/>
                <w:szCs w:val="28"/>
                <w:lang w:bidi="ar-EG"/>
              </w:rPr>
              <w:t xml:space="preserve">) </w:t>
            </w:r>
            <w:r w:rsidRPr="00AF505F">
              <w:rPr>
                <w:rFonts w:asciiTheme="majorBidi" w:hAnsiTheme="majorBidi" w:cstheme="majorBidi"/>
                <w:b/>
                <w:bCs/>
                <w:sz w:val="28"/>
                <w:szCs w:val="28"/>
                <w:rtl/>
                <w:lang w:bidi="ar-EG"/>
              </w:rPr>
              <w:t>)</w:t>
            </w:r>
            <w:proofErr w:type="gramEnd"/>
          </w:p>
        </w:tc>
        <w:tc>
          <w:tcPr>
            <w:tcW w:w="2430" w:type="dxa"/>
          </w:tcPr>
          <w:p w14:paraId="7029953F"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هدفت الدراسة إلى استكشاف تأثير قدرات الذكاء الاصطناعي على الأداء المؤسسي من خلال الدور الوسيط لسرعة اتخاذ القرار في سياق التقنيات الناشئة.</w:t>
            </w:r>
          </w:p>
        </w:tc>
        <w:tc>
          <w:tcPr>
            <w:tcW w:w="2348" w:type="dxa"/>
          </w:tcPr>
          <w:p w14:paraId="064F7FBC"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lang w:bidi="ar-EG"/>
              </w:rPr>
              <w:t>اعتمدت الدراسة على المنهج الكمي، وتكون مجتمع الدراسة من الرؤساء التنفيذيين وكبار المديرين في مجموعة متنوعة من الشركات، وتم اختيار عينة قوامها 600 شركة من الساحلين الشرقي والغربي للولايات المتحدة، وتم جمع البيانات باستخدام استبانة إلكترونية، وبلغت العينة الصالحة للتحليل 184 شركة بعد استبعاد الشركات الصغيرة جداً والكبيرة جداً.</w:t>
            </w:r>
          </w:p>
        </w:tc>
        <w:tc>
          <w:tcPr>
            <w:tcW w:w="2148" w:type="dxa"/>
          </w:tcPr>
          <w:p w14:paraId="32E40DDD" w14:textId="77777777" w:rsidR="00AF505F" w:rsidRPr="00AF505F" w:rsidRDefault="00AF505F" w:rsidP="00A021D9">
            <w:pPr>
              <w:bidi/>
              <w:ind w:firstLine="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t>أظهرت النتائج وجود تأثير إيجابي ذي دلالة إحصائية لقدرات الذكاء الاصطناعي على كل من سرعة اتخاذ القرار والأداء المؤسسي، كما تبين وجود تأثير إيجابي لسرعة اتخاذ القرار على الأداء المؤسسي. وأكدت النتائج وجود دور وسيط لسرعة اتخاذ القرار في العلاقة بين قدرات الذكاء الاصطناعي والأداء المؤسسي، حيث أوضحت أن قدرات الذكاء الاصطناعي تفسر 63.8% من التباين في سرعة اتخاذ القرار، و75.9% من التباين في الأداء المؤسسي. ونادت الدراسة بضرورة الاستثمار في تقنيات الذكاء الاصطناعي التي تتوافق مع الأهداف الاستراتيجية، وتدريب الموظفين لاستغلال هذه القدرات، وتعزيز ثقافة صنع القرار السريع والمرن داخل المؤسسات.</w:t>
            </w:r>
          </w:p>
        </w:tc>
      </w:tr>
      <w:tr w:rsidR="00AF505F" w:rsidRPr="00AF505F" w14:paraId="20B8AFEF" w14:textId="77777777" w:rsidTr="00AF505F">
        <w:trPr>
          <w:trHeight w:val="220"/>
        </w:trPr>
        <w:tc>
          <w:tcPr>
            <w:tcW w:w="1960" w:type="dxa"/>
          </w:tcPr>
          <w:p w14:paraId="51562027" w14:textId="77777777" w:rsidR="00AF505F" w:rsidRPr="00AF505F" w:rsidRDefault="00AF505F" w:rsidP="00A021D9">
            <w:pPr>
              <w:bidi/>
              <w:jc w:val="both"/>
              <w:rPr>
                <w:rFonts w:asciiTheme="majorBidi" w:hAnsiTheme="majorBidi" w:cstheme="majorBidi"/>
                <w:b/>
                <w:bCs/>
                <w:sz w:val="28"/>
                <w:szCs w:val="28"/>
                <w:rtl/>
                <w:lang w:bidi="ar-EG"/>
              </w:rPr>
            </w:pPr>
            <w:r w:rsidRPr="00AF505F">
              <w:rPr>
                <w:rFonts w:asciiTheme="majorBidi" w:hAnsiTheme="majorBidi" w:cstheme="majorBidi"/>
                <w:b/>
                <w:bCs/>
                <w:sz w:val="28"/>
                <w:szCs w:val="28"/>
                <w:lang w:bidi="ar-EG"/>
              </w:rPr>
              <w:t>Foresight and strategic decision-</w:t>
            </w:r>
            <w:r w:rsidRPr="00AF505F">
              <w:rPr>
                <w:rFonts w:asciiTheme="majorBidi" w:hAnsiTheme="majorBidi" w:cstheme="majorBidi"/>
                <w:b/>
                <w:bCs/>
                <w:sz w:val="28"/>
                <w:szCs w:val="28"/>
                <w:lang w:bidi="ar-EG"/>
              </w:rPr>
              <w:lastRenderedPageBreak/>
              <w:t>making framework from artificial intelligence technology development to utilization activities in small-and-medium-sized enterprises</w:t>
            </w:r>
          </w:p>
          <w:p w14:paraId="701C578D" w14:textId="77777777" w:rsidR="00AF505F" w:rsidRPr="00AF505F" w:rsidRDefault="00AF505F" w:rsidP="00A021D9">
            <w:pPr>
              <w:bidi/>
              <w:jc w:val="center"/>
              <w:rPr>
                <w:rFonts w:asciiTheme="majorBidi" w:eastAsia="Times New Roman" w:hAnsiTheme="majorBidi" w:cstheme="majorBidi"/>
                <w:b/>
                <w:bCs/>
                <w:sz w:val="26"/>
                <w:szCs w:val="26"/>
                <w:rtl/>
                <w:lang w:bidi="ar-EG"/>
              </w:rPr>
            </w:pPr>
          </w:p>
        </w:tc>
        <w:tc>
          <w:tcPr>
            <w:tcW w:w="1546" w:type="dxa"/>
          </w:tcPr>
          <w:p w14:paraId="0A579ED5"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b/>
                <w:bCs/>
                <w:sz w:val="28"/>
                <w:szCs w:val="28"/>
                <w:lang w:bidi="ar-EG"/>
              </w:rPr>
              <w:lastRenderedPageBreak/>
              <w:t>(Kim &amp; Seo, 2023)</w:t>
            </w:r>
          </w:p>
        </w:tc>
        <w:tc>
          <w:tcPr>
            <w:tcW w:w="2430" w:type="dxa"/>
          </w:tcPr>
          <w:p w14:paraId="5E75065A"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rPr>
              <w:t xml:space="preserve">هدفت الدراسة إلى التنبؤ بتطور تكنولوجيا الذكاء الاصطناعي وتأثير </w:t>
            </w:r>
            <w:r w:rsidRPr="00AF505F">
              <w:rPr>
                <w:rFonts w:asciiTheme="majorBidi" w:hAnsiTheme="majorBidi" w:cstheme="majorBidi"/>
                <w:sz w:val="28"/>
                <w:szCs w:val="28"/>
                <w:rtl/>
              </w:rPr>
              <w:lastRenderedPageBreak/>
              <w:t>أنشطة توظيفه على الشركات، وتحديد استراتيجيات الذكاء الاصطناعي التي تتعامل مع النشاط الابتكاري الواسع لهذه التكنولوجيا، وبناء إطار استراتيجي لاتخاذ القرارات الخاصة باستراتيجيات الذكاء الاصطناعي في الشركات الصغيرة والمتوسطة، بهدف تحسين ممارسات اتخاذ القرارات الاستراتيجية في هذا القطاع.</w:t>
            </w:r>
          </w:p>
        </w:tc>
        <w:tc>
          <w:tcPr>
            <w:tcW w:w="2348" w:type="dxa"/>
          </w:tcPr>
          <w:p w14:paraId="4A8194A5"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rPr>
              <w:lastRenderedPageBreak/>
              <w:t xml:space="preserve">اعتمدت الدراسة على منهجية متعددة الأساليب تضمنت مرحلتين لجمع </w:t>
            </w:r>
            <w:r w:rsidRPr="00AF505F">
              <w:rPr>
                <w:rFonts w:asciiTheme="majorBidi" w:hAnsiTheme="majorBidi" w:cstheme="majorBidi"/>
                <w:sz w:val="28"/>
                <w:szCs w:val="28"/>
                <w:rtl/>
              </w:rPr>
              <w:lastRenderedPageBreak/>
              <w:t>البيانات؛ تمثلت المرحلة الأولى في منهج قائم على الخبراء من خلال تنظيم ثلاث مجموعات من الخبراء وإجراء مسح دلفي</w:t>
            </w:r>
            <w:r w:rsidRPr="00AF505F">
              <w:rPr>
                <w:rFonts w:asciiTheme="majorBidi" w:hAnsiTheme="majorBidi" w:cstheme="majorBidi"/>
                <w:sz w:val="28"/>
                <w:szCs w:val="28"/>
                <w:lang w:bidi="ar-EG"/>
              </w:rPr>
              <w:t xml:space="preserve"> (Delphi) </w:t>
            </w:r>
            <w:r w:rsidRPr="00AF505F">
              <w:rPr>
                <w:rFonts w:asciiTheme="majorBidi" w:hAnsiTheme="majorBidi" w:cstheme="majorBidi"/>
                <w:sz w:val="28"/>
                <w:szCs w:val="28"/>
                <w:rtl/>
              </w:rPr>
              <w:t>معهم، والمرحلة الثانية في استكمال النتائج عبر مراجعة الأدبيات وتحليل الأوراق الأكاديمية والتقارير والمواد الصوتية المتعلقة بتطور تكنولوجيا الذكاء الاصطناعي وأنواع الابتكار واستراتيجياته، بالإضافة إلى إجراء أربع مقابلات شبه منظمة، وتم استخدام الخريطة الذهنية وشجرة القرار لتحليل النتائج وتوليفها.</w:t>
            </w:r>
          </w:p>
        </w:tc>
        <w:tc>
          <w:tcPr>
            <w:tcW w:w="2148" w:type="dxa"/>
          </w:tcPr>
          <w:p w14:paraId="683051A2" w14:textId="77777777" w:rsidR="00AF505F" w:rsidRPr="00AF505F" w:rsidRDefault="00AF505F" w:rsidP="00A021D9">
            <w:pPr>
              <w:bidi/>
              <w:jc w:val="center"/>
              <w:rPr>
                <w:rFonts w:asciiTheme="majorBidi" w:eastAsia="Times New Roman" w:hAnsiTheme="majorBidi" w:cstheme="majorBidi"/>
                <w:b/>
                <w:bCs/>
                <w:sz w:val="26"/>
                <w:szCs w:val="26"/>
                <w:rtl/>
              </w:rPr>
            </w:pPr>
            <w:r w:rsidRPr="00AF505F">
              <w:rPr>
                <w:rFonts w:asciiTheme="majorBidi" w:hAnsiTheme="majorBidi" w:cstheme="majorBidi"/>
                <w:sz w:val="28"/>
                <w:szCs w:val="28"/>
                <w:rtl/>
              </w:rPr>
              <w:lastRenderedPageBreak/>
              <w:t xml:space="preserve">توصلت الدراسة إلى تحديد </w:t>
            </w:r>
            <w:proofErr w:type="gramStart"/>
            <w:r w:rsidRPr="00AF505F">
              <w:rPr>
                <w:rFonts w:asciiTheme="majorBidi" w:hAnsiTheme="majorBidi" w:cstheme="majorBidi"/>
                <w:sz w:val="28"/>
                <w:szCs w:val="28"/>
                <w:rtl/>
              </w:rPr>
              <w:t>أربعة</w:t>
            </w:r>
            <w:proofErr w:type="gramEnd"/>
            <w:r w:rsidRPr="00AF505F">
              <w:rPr>
                <w:rFonts w:asciiTheme="majorBidi" w:hAnsiTheme="majorBidi" w:cstheme="majorBidi"/>
                <w:sz w:val="28"/>
                <w:szCs w:val="28"/>
                <w:rtl/>
              </w:rPr>
              <w:t xml:space="preserve"> مسارات لتطور تكنولوجيا </w:t>
            </w:r>
            <w:r w:rsidRPr="00AF505F">
              <w:rPr>
                <w:rFonts w:asciiTheme="majorBidi" w:hAnsiTheme="majorBidi" w:cstheme="majorBidi"/>
                <w:sz w:val="28"/>
                <w:szCs w:val="28"/>
                <w:rtl/>
              </w:rPr>
              <w:lastRenderedPageBreak/>
              <w:t>الذكاء الاصطناعي (الذكاء الاصطناعي المتخصص، التقارب مع تقنيات أخرى، الذكاء الاصطناعي العام، أساليب التحكم)، كما حددت ستة أنواع من استراتيجيات الذكاء الاصطناعي وهي: استراتيجية المتفرج، بناء القدرات، امتلاك القدرات، تعزيز الإدارة، تعزيز السوق، وخلق أسواق جديدة، وتم بناء إطار استراتيجي لاتخاذ القرارات باستخدام شجرة القرار. ونادت الدراسة بضرورة مساعدة المديرين التنفيذيين والمهندسين في الشركات الصغيرة والمتوسطة على تطوير ممارساتهم الاستراتيجية من خلال هذا الإطار.</w:t>
            </w:r>
          </w:p>
        </w:tc>
      </w:tr>
    </w:tbl>
    <w:p w14:paraId="684235DE" w14:textId="77777777" w:rsidR="00AF505F" w:rsidRPr="00AF505F" w:rsidRDefault="00AF505F" w:rsidP="00AF505F">
      <w:pPr>
        <w:bidi/>
        <w:jc w:val="both"/>
        <w:rPr>
          <w:rFonts w:asciiTheme="majorBidi" w:hAnsiTheme="majorBidi" w:cstheme="majorBidi"/>
          <w:b/>
          <w:bCs/>
          <w:sz w:val="32"/>
          <w:szCs w:val="32"/>
          <w:rtl/>
          <w:lang w:bidi="ar-EG"/>
        </w:rPr>
      </w:pPr>
    </w:p>
    <w:p w14:paraId="4F1981E1" w14:textId="77777777" w:rsidR="00AF505F" w:rsidRPr="00AF505F" w:rsidRDefault="00AF505F" w:rsidP="00AF505F">
      <w:pPr>
        <w:bidi/>
        <w:jc w:val="both"/>
        <w:rPr>
          <w:rFonts w:asciiTheme="majorBidi" w:hAnsiTheme="majorBidi" w:cstheme="majorBidi"/>
          <w:sz w:val="32"/>
          <w:szCs w:val="32"/>
          <w:rtl/>
          <w:lang w:bidi="ar-EG"/>
        </w:rPr>
      </w:pPr>
      <w:r w:rsidRPr="00AF505F">
        <w:rPr>
          <w:rFonts w:asciiTheme="majorBidi" w:hAnsiTheme="majorBidi" w:cstheme="majorBidi"/>
          <w:b/>
          <w:bCs/>
          <w:sz w:val="32"/>
          <w:szCs w:val="32"/>
          <w:rtl/>
          <w:lang w:bidi="ar-EG"/>
        </w:rPr>
        <w:t>التعليق على الدراسات السابقة</w:t>
      </w:r>
    </w:p>
    <w:p w14:paraId="209874B9" w14:textId="77777777" w:rsidR="00AF505F" w:rsidRPr="00AF505F" w:rsidRDefault="00AF505F" w:rsidP="00AF505F">
      <w:p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أولاً: أوجه التشابه بين الدراسات</w:t>
      </w:r>
    </w:p>
    <w:p w14:paraId="13C2AAD6" w14:textId="77777777" w:rsidR="00AF505F" w:rsidRPr="00AF505F" w:rsidRDefault="00AF505F" w:rsidP="00AF505F">
      <w:pPr>
        <w:bidi/>
        <w:ind w:firstLine="720"/>
        <w:jc w:val="both"/>
        <w:rPr>
          <w:rFonts w:asciiTheme="majorBidi" w:hAnsiTheme="majorBidi" w:cstheme="majorBidi"/>
          <w:sz w:val="28"/>
          <w:szCs w:val="28"/>
          <w:rtl/>
          <w:lang w:bidi="ar-EG"/>
        </w:rPr>
      </w:pPr>
      <w:r w:rsidRPr="00AF505F">
        <w:rPr>
          <w:rFonts w:asciiTheme="majorBidi" w:hAnsiTheme="majorBidi" w:cstheme="majorBidi"/>
          <w:sz w:val="28"/>
          <w:szCs w:val="28"/>
          <w:rtl/>
        </w:rPr>
        <w:t>تتفق الدراسات السابقة في عدد من المرتكزات المنهجية والموضوعية. فمن حيث المنهجية، اعتمدت الغالبية العظمى على المنهج الوصفي التحليلي بوصفه الإطار الرئيس للبحث، كما في دراسات (عبد النبي والعيوني، 2025)، (الشمري، 2023)، (الجعافرة، 2023)، (إبراهيم، 2025)، (</w:t>
      </w:r>
      <w:proofErr w:type="spellStart"/>
      <w:r w:rsidRPr="00AF505F">
        <w:rPr>
          <w:rFonts w:asciiTheme="majorBidi" w:hAnsiTheme="majorBidi" w:cstheme="majorBidi"/>
          <w:sz w:val="28"/>
          <w:szCs w:val="28"/>
          <w:rtl/>
        </w:rPr>
        <w:t>الشيزاوي</w:t>
      </w:r>
      <w:proofErr w:type="spellEnd"/>
      <w:r w:rsidRPr="00AF505F">
        <w:rPr>
          <w:rFonts w:asciiTheme="majorBidi" w:hAnsiTheme="majorBidi" w:cstheme="majorBidi"/>
          <w:sz w:val="28"/>
          <w:szCs w:val="28"/>
          <w:rtl/>
        </w:rPr>
        <w:t xml:space="preserve">، 2024)، (الشعار، 2023)، و(علي، 2022). كما استخدمت بعض الدراسات مناهج مساندة؛ إذ وظفت دراسة (العتيبي واليوبي، 2024) ودراسة (حمزة، 2024) منهج دراسة الحالة، بينما جمعت دراسة (حمزة، 2024) بينه وبين المنهج التاريخي، واعتمدت دراسة (إبراهيم، 2023) المنهج الميداني، أما الدراسات الأجنبية، فقد تنوعت بين المنهج الكمي في دراسة </w:t>
      </w:r>
      <w:r w:rsidRPr="00AF505F">
        <w:rPr>
          <w:rFonts w:asciiTheme="majorBidi" w:hAnsiTheme="majorBidi" w:cstheme="majorBidi"/>
          <w:sz w:val="28"/>
          <w:szCs w:val="28"/>
          <w:lang w:bidi="ar-EG"/>
        </w:rPr>
        <w:t>(</w:t>
      </w:r>
      <w:proofErr w:type="spellStart"/>
      <w:r w:rsidRPr="00AF505F">
        <w:rPr>
          <w:rFonts w:asciiTheme="majorBidi" w:hAnsiTheme="majorBidi" w:cstheme="majorBidi"/>
          <w:sz w:val="28"/>
          <w:szCs w:val="28"/>
          <w:lang w:bidi="ar-EG"/>
        </w:rPr>
        <w:t>Neiroukh</w:t>
      </w:r>
      <w:proofErr w:type="spellEnd"/>
      <w:r w:rsidRPr="00AF505F">
        <w:rPr>
          <w:rFonts w:asciiTheme="majorBidi" w:hAnsiTheme="majorBidi" w:cstheme="majorBidi"/>
          <w:sz w:val="28"/>
          <w:szCs w:val="28"/>
          <w:lang w:bidi="ar-EG"/>
        </w:rPr>
        <w:t xml:space="preserve"> et </w:t>
      </w:r>
      <w:r w:rsidRPr="00AF505F">
        <w:rPr>
          <w:rFonts w:asciiTheme="majorBidi" w:hAnsiTheme="majorBidi" w:cstheme="majorBidi"/>
          <w:sz w:val="28"/>
          <w:szCs w:val="28"/>
          <w:lang w:bidi="ar-EG"/>
        </w:rPr>
        <w:lastRenderedPageBreak/>
        <w:t>al., 2024)</w:t>
      </w:r>
      <w:r w:rsidRPr="00AF505F">
        <w:rPr>
          <w:rFonts w:asciiTheme="majorBidi" w:hAnsiTheme="majorBidi" w:cstheme="majorBidi"/>
          <w:sz w:val="28"/>
          <w:szCs w:val="28"/>
          <w:rtl/>
        </w:rPr>
        <w:t xml:space="preserve">، والمنهج المختلط في </w:t>
      </w:r>
      <w:proofErr w:type="gramStart"/>
      <w:r w:rsidRPr="00AF505F">
        <w:rPr>
          <w:rFonts w:asciiTheme="majorBidi" w:hAnsiTheme="majorBidi" w:cstheme="majorBidi"/>
          <w:sz w:val="28"/>
          <w:szCs w:val="28"/>
          <w:rtl/>
        </w:rPr>
        <w:t xml:space="preserve">دراسة </w:t>
      </w:r>
      <w:r w:rsidRPr="00AF505F">
        <w:rPr>
          <w:rFonts w:asciiTheme="majorBidi" w:hAnsiTheme="majorBidi" w:cstheme="majorBidi"/>
          <w:sz w:val="28"/>
          <w:szCs w:val="28"/>
          <w:lang w:bidi="ar-EG"/>
        </w:rPr>
        <w:t xml:space="preserve"> (</w:t>
      </w:r>
      <w:proofErr w:type="spellStart"/>
      <w:proofErr w:type="gramEnd"/>
      <w:r w:rsidRPr="00AF505F">
        <w:rPr>
          <w:rFonts w:asciiTheme="majorBidi" w:hAnsiTheme="majorBidi" w:cstheme="majorBidi"/>
          <w:sz w:val="28"/>
          <w:szCs w:val="28"/>
          <w:lang w:bidi="ar-EG"/>
        </w:rPr>
        <w:t>Wasesa</w:t>
      </w:r>
      <w:proofErr w:type="spellEnd"/>
      <w:r w:rsidRPr="00AF505F">
        <w:rPr>
          <w:rFonts w:asciiTheme="majorBidi" w:hAnsiTheme="majorBidi" w:cstheme="majorBidi"/>
          <w:sz w:val="28"/>
          <w:szCs w:val="28"/>
          <w:lang w:bidi="ar-EG"/>
        </w:rPr>
        <w:t xml:space="preserve"> et al., 2025)</w:t>
      </w:r>
      <w:r w:rsidRPr="00AF505F">
        <w:rPr>
          <w:rFonts w:asciiTheme="majorBidi" w:hAnsiTheme="majorBidi" w:cstheme="majorBidi"/>
          <w:sz w:val="28"/>
          <w:szCs w:val="28"/>
          <w:rtl/>
        </w:rPr>
        <w:t>، والمنهج متعدد الأساليب (دلفي، مقابلات، تحليل محتوى) في دراسة</w:t>
      </w:r>
      <w:r w:rsidRPr="00AF505F">
        <w:rPr>
          <w:rFonts w:asciiTheme="majorBidi" w:hAnsiTheme="majorBidi" w:cstheme="majorBidi"/>
          <w:sz w:val="28"/>
          <w:szCs w:val="28"/>
          <w:lang w:bidi="ar-EG"/>
        </w:rPr>
        <w:t xml:space="preserve"> (Kim &amp; Seo, 2023) </w:t>
      </w:r>
    </w:p>
    <w:p w14:paraId="2E208E1D" w14:textId="77777777" w:rsidR="00AF505F" w:rsidRPr="00AF505F" w:rsidRDefault="00AF505F" w:rsidP="00AF505F">
      <w:pPr>
        <w:bidi/>
        <w:ind w:firstLine="720"/>
        <w:jc w:val="both"/>
        <w:rPr>
          <w:rFonts w:asciiTheme="majorBidi" w:hAnsiTheme="majorBidi" w:cstheme="majorBidi"/>
          <w:sz w:val="28"/>
          <w:szCs w:val="28"/>
          <w:rtl/>
          <w:lang w:bidi="ar-EG"/>
        </w:rPr>
      </w:pPr>
      <w:r w:rsidRPr="00AF505F">
        <w:rPr>
          <w:rFonts w:asciiTheme="majorBidi" w:hAnsiTheme="majorBidi" w:cstheme="majorBidi"/>
          <w:sz w:val="28"/>
          <w:szCs w:val="28"/>
          <w:rtl/>
        </w:rPr>
        <w:t>ومن حيث أدوات جمع البيانات، اتفقت جميع الدراسات على استخدام الاستبانة أداةً رئيسة، مع توظيف أدوات إضافية مثل تحليل المحتوى في دراستي (العتيبي واليوبي، 2024) و</w:t>
      </w:r>
      <w:r w:rsidRPr="00AF505F">
        <w:rPr>
          <w:rFonts w:asciiTheme="majorBidi" w:hAnsiTheme="majorBidi" w:cstheme="majorBidi"/>
          <w:sz w:val="28"/>
          <w:szCs w:val="28"/>
          <w:lang w:bidi="ar-EG"/>
        </w:rPr>
        <w:t>(Kim &amp; Seo, 2023)</w:t>
      </w:r>
      <w:r w:rsidRPr="00AF505F">
        <w:rPr>
          <w:rFonts w:asciiTheme="majorBidi" w:hAnsiTheme="majorBidi" w:cstheme="majorBidi"/>
          <w:sz w:val="28"/>
          <w:szCs w:val="28"/>
          <w:rtl/>
        </w:rPr>
        <w:t xml:space="preserve">، والمقابلات شبه المنظمة في </w:t>
      </w:r>
      <w:r w:rsidRPr="00AF505F">
        <w:rPr>
          <w:rFonts w:asciiTheme="majorBidi" w:hAnsiTheme="majorBidi" w:cstheme="majorBidi"/>
          <w:sz w:val="28"/>
          <w:szCs w:val="28"/>
          <w:lang w:bidi="ar-EG"/>
        </w:rPr>
        <w:t>(Kim &amp; Seo, 2023)</w:t>
      </w:r>
      <w:r w:rsidRPr="00AF505F">
        <w:rPr>
          <w:rFonts w:asciiTheme="majorBidi" w:hAnsiTheme="majorBidi" w:cstheme="majorBidi"/>
          <w:sz w:val="28"/>
          <w:szCs w:val="28"/>
          <w:rtl/>
        </w:rPr>
        <w:t>، ودراسات الحالة النوعية في</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lang w:bidi="ar-EG"/>
        </w:rPr>
        <w:t>(</w:t>
      </w:r>
      <w:proofErr w:type="spellStart"/>
      <w:r w:rsidRPr="00AF505F">
        <w:rPr>
          <w:rFonts w:asciiTheme="majorBidi" w:hAnsiTheme="majorBidi" w:cstheme="majorBidi"/>
          <w:sz w:val="28"/>
          <w:szCs w:val="28"/>
          <w:lang w:bidi="ar-EG"/>
        </w:rPr>
        <w:t>Wasesa</w:t>
      </w:r>
      <w:proofErr w:type="spellEnd"/>
      <w:r w:rsidRPr="00AF505F">
        <w:rPr>
          <w:rFonts w:asciiTheme="majorBidi" w:hAnsiTheme="majorBidi" w:cstheme="majorBidi"/>
          <w:sz w:val="28"/>
          <w:szCs w:val="28"/>
          <w:lang w:bidi="ar-EG"/>
        </w:rPr>
        <w:t xml:space="preserve"> et al., 2025)</w:t>
      </w:r>
    </w:p>
    <w:p w14:paraId="31F8B51E"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أما من حيث النتائج، فقد أجمعت الدراسات على وجود تأثير إيجابي وعلاقات ارتباط ذات دلالة إحصائية بين المتغيرات المستقلة (تقنيات الذكاء الاصطناعي، الذكاء التنافسي، التحول الرقمي، الموائمة الاستراتيجية، الرقابة الإدارية) والمتغيرات التابعة المرتبطة بفاعلية القرارات الاستراتيجية، سواء بصورة مباشرة أو غير مباشرة</w:t>
      </w:r>
      <w:r w:rsidRPr="00AF505F">
        <w:rPr>
          <w:rFonts w:asciiTheme="majorBidi" w:hAnsiTheme="majorBidi" w:cstheme="majorBidi"/>
          <w:sz w:val="28"/>
          <w:szCs w:val="28"/>
          <w:rtl/>
          <w:lang w:bidi="ar-EG"/>
        </w:rPr>
        <w:t>.</w:t>
      </w:r>
    </w:p>
    <w:p w14:paraId="2D491DC9" w14:textId="77777777" w:rsidR="00AF505F" w:rsidRPr="00AF505F" w:rsidRDefault="00AF505F" w:rsidP="00AF505F">
      <w:p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ثانياً: أوجه الاختلاف بين الدراسات</w:t>
      </w:r>
    </w:p>
    <w:p w14:paraId="69087259" w14:textId="77777777" w:rsidR="00AF505F" w:rsidRPr="00AF505F" w:rsidRDefault="00AF505F" w:rsidP="00AF505F">
      <w:pPr>
        <w:bidi/>
        <w:ind w:firstLine="720"/>
        <w:jc w:val="both"/>
        <w:rPr>
          <w:rFonts w:asciiTheme="majorBidi" w:hAnsiTheme="majorBidi" w:cstheme="majorBidi"/>
          <w:sz w:val="28"/>
          <w:szCs w:val="28"/>
          <w:rtl/>
        </w:rPr>
      </w:pPr>
      <w:r w:rsidRPr="00AF505F">
        <w:rPr>
          <w:rFonts w:asciiTheme="majorBidi" w:hAnsiTheme="majorBidi" w:cstheme="majorBidi"/>
          <w:sz w:val="28"/>
          <w:szCs w:val="28"/>
          <w:rtl/>
        </w:rPr>
        <w:t>رغم اتفاق الدراسات في الإطار العام، إلا أنها تباينت في عدة أبعاد. فعلى مستوى مجتمع الدراسة والعينة، تراوحت الأحجام بين عينات كبيرة مثل دراسة (عبد النبي والعيوني، 2025) التي طبقت على مجتمع بلغ 46,233 فرداً في شركة المراعي بعينة ميسرة قوامها 324 فرداً، ودراسة</w:t>
      </w:r>
      <w:r w:rsidRPr="00AF505F">
        <w:rPr>
          <w:rFonts w:asciiTheme="majorBidi" w:hAnsiTheme="majorBidi" w:cstheme="majorBidi"/>
          <w:sz w:val="28"/>
          <w:szCs w:val="28"/>
          <w:lang w:bidi="ar-EG"/>
        </w:rPr>
        <w:t xml:space="preserve"> (</w:t>
      </w:r>
      <w:proofErr w:type="spellStart"/>
      <w:r w:rsidRPr="00AF505F">
        <w:rPr>
          <w:rFonts w:asciiTheme="majorBidi" w:hAnsiTheme="majorBidi" w:cstheme="majorBidi"/>
          <w:sz w:val="28"/>
          <w:szCs w:val="28"/>
          <w:lang w:bidi="ar-EG"/>
        </w:rPr>
        <w:t>Wasesa</w:t>
      </w:r>
      <w:proofErr w:type="spellEnd"/>
      <w:r w:rsidRPr="00AF505F">
        <w:rPr>
          <w:rFonts w:asciiTheme="majorBidi" w:hAnsiTheme="majorBidi" w:cstheme="majorBidi"/>
          <w:sz w:val="28"/>
          <w:szCs w:val="28"/>
          <w:lang w:bidi="ar-EG"/>
        </w:rPr>
        <w:t xml:space="preserve"> et al., 2025) </w:t>
      </w:r>
      <w:r w:rsidRPr="00AF505F">
        <w:rPr>
          <w:rFonts w:asciiTheme="majorBidi" w:hAnsiTheme="majorBidi" w:cstheme="majorBidi"/>
          <w:sz w:val="28"/>
          <w:szCs w:val="28"/>
          <w:rtl/>
        </w:rPr>
        <w:t>بعينة 715 فرداً من ستة قطاعات صناعية في إندونيسيا، ودراسة</w:t>
      </w:r>
      <w:r w:rsidRPr="00AF505F">
        <w:rPr>
          <w:rFonts w:asciiTheme="majorBidi" w:hAnsiTheme="majorBidi" w:cstheme="majorBidi"/>
          <w:sz w:val="28"/>
          <w:szCs w:val="28"/>
          <w:lang w:bidi="ar-EG"/>
        </w:rPr>
        <w:t xml:space="preserve"> (</w:t>
      </w:r>
      <w:proofErr w:type="spellStart"/>
      <w:r w:rsidRPr="00AF505F">
        <w:rPr>
          <w:rFonts w:asciiTheme="majorBidi" w:hAnsiTheme="majorBidi" w:cstheme="majorBidi"/>
          <w:sz w:val="28"/>
          <w:szCs w:val="28"/>
          <w:lang w:bidi="ar-EG"/>
        </w:rPr>
        <w:t>Neiroukh</w:t>
      </w:r>
      <w:proofErr w:type="spellEnd"/>
      <w:r w:rsidRPr="00AF505F">
        <w:rPr>
          <w:rFonts w:asciiTheme="majorBidi" w:hAnsiTheme="majorBidi" w:cstheme="majorBidi"/>
          <w:sz w:val="28"/>
          <w:szCs w:val="28"/>
          <w:lang w:bidi="ar-EG"/>
        </w:rPr>
        <w:t xml:space="preserve"> et al., 2024) </w:t>
      </w:r>
      <w:r w:rsidRPr="00AF505F">
        <w:rPr>
          <w:rFonts w:asciiTheme="majorBidi" w:hAnsiTheme="majorBidi" w:cstheme="majorBidi"/>
          <w:sz w:val="28"/>
          <w:szCs w:val="28"/>
          <w:rtl/>
        </w:rPr>
        <w:t>التي شملت 184 شركة؛ وعينات متوسطة مثل (إبراهيم، 2025) بعدد 230 فرداً من جامعة العريش، و(الشعار، 2023) بعدد 226 من الشركات الدوائية الأردنية، و(إبراهيم، 2023) بعدد 285 من نادي الزهور؛ وعينات صغيرة مثل (العتيبي واليوبي، 2024) بعدد 30 موظفاً في موبايلي، و(</w:t>
      </w:r>
      <w:proofErr w:type="spellStart"/>
      <w:r w:rsidRPr="00AF505F">
        <w:rPr>
          <w:rFonts w:asciiTheme="majorBidi" w:hAnsiTheme="majorBidi" w:cstheme="majorBidi"/>
          <w:sz w:val="28"/>
          <w:szCs w:val="28"/>
          <w:rtl/>
        </w:rPr>
        <w:t>الشيزاوي</w:t>
      </w:r>
      <w:proofErr w:type="spellEnd"/>
      <w:r w:rsidRPr="00AF505F">
        <w:rPr>
          <w:rFonts w:asciiTheme="majorBidi" w:hAnsiTheme="majorBidi" w:cstheme="majorBidi"/>
          <w:sz w:val="28"/>
          <w:szCs w:val="28"/>
          <w:rtl/>
        </w:rPr>
        <w:t>، 2024) بعدد 31 مديراً في هيئة البيئة العمانية، و(علي، 2022) بعدد 61 مديراً، في حين لم تحدد دراستا (الجعافرة، 2023) و(حمزة، 2024) الحجم بدقة، واعتمدت دراسة</w:t>
      </w:r>
      <w:r w:rsidRPr="00AF505F">
        <w:rPr>
          <w:rFonts w:asciiTheme="majorBidi" w:hAnsiTheme="majorBidi" w:cstheme="majorBidi"/>
          <w:sz w:val="28"/>
          <w:szCs w:val="28"/>
          <w:lang w:bidi="ar-EG"/>
        </w:rPr>
        <w:t xml:space="preserve"> (Kim &amp; Seo, 2023) </w:t>
      </w:r>
      <w:r w:rsidRPr="00AF505F">
        <w:rPr>
          <w:rFonts w:asciiTheme="majorBidi" w:hAnsiTheme="majorBidi" w:cstheme="majorBidi"/>
          <w:sz w:val="28"/>
          <w:szCs w:val="28"/>
          <w:rtl/>
          <w:lang w:bidi="ar-EG"/>
        </w:rPr>
        <w:t xml:space="preserve"> </w:t>
      </w:r>
      <w:r w:rsidRPr="00AF505F">
        <w:rPr>
          <w:rFonts w:asciiTheme="majorBidi" w:hAnsiTheme="majorBidi" w:cstheme="majorBidi"/>
          <w:sz w:val="28"/>
          <w:szCs w:val="28"/>
          <w:rtl/>
        </w:rPr>
        <w:t>على خبراء دون تحديد رقمي.</w:t>
      </w:r>
    </w:p>
    <w:p w14:paraId="0417A15E" w14:textId="77777777" w:rsidR="00AF505F" w:rsidRPr="00AF505F" w:rsidRDefault="00AF505F" w:rsidP="00AF505F">
      <w:pPr>
        <w:bidi/>
        <w:ind w:firstLine="720"/>
        <w:jc w:val="both"/>
        <w:rPr>
          <w:rFonts w:asciiTheme="majorBidi" w:hAnsiTheme="majorBidi" w:cstheme="majorBidi"/>
          <w:sz w:val="28"/>
          <w:szCs w:val="28"/>
          <w:rtl/>
          <w:lang w:bidi="ar-EG"/>
        </w:rPr>
      </w:pPr>
      <w:r w:rsidRPr="00AF505F">
        <w:rPr>
          <w:rFonts w:asciiTheme="majorBidi" w:hAnsiTheme="majorBidi" w:cstheme="majorBidi"/>
          <w:sz w:val="28"/>
          <w:szCs w:val="28"/>
          <w:rtl/>
        </w:rPr>
        <w:t>كما اختلفت البيئات الجغرافية؛ إذ توزعت الدراسات العربية بين السعودية (عبد النبي والعيوني، 2025؛ حمزة، 2024؛ العتيبي واليوبي، 2024؛ الشمري، 2023)، والأردن (الجعافرة، 2023؛ الشعار، 2023)، ومصر (إبراهيم، 2025؛ إبراهيم، 2023)، وعُمان (</w:t>
      </w:r>
      <w:proofErr w:type="spellStart"/>
      <w:r w:rsidRPr="00AF505F">
        <w:rPr>
          <w:rFonts w:asciiTheme="majorBidi" w:hAnsiTheme="majorBidi" w:cstheme="majorBidi"/>
          <w:sz w:val="28"/>
          <w:szCs w:val="28"/>
          <w:rtl/>
        </w:rPr>
        <w:t>الشيزاوي</w:t>
      </w:r>
      <w:proofErr w:type="spellEnd"/>
      <w:r w:rsidRPr="00AF505F">
        <w:rPr>
          <w:rFonts w:asciiTheme="majorBidi" w:hAnsiTheme="majorBidi" w:cstheme="majorBidi"/>
          <w:sz w:val="28"/>
          <w:szCs w:val="28"/>
          <w:rtl/>
        </w:rPr>
        <w:t>، 2024)، والعراق (علي، 2022)، مقابل دراسات دولية في إندونيسيا</w:t>
      </w:r>
      <w:r w:rsidRPr="00AF505F">
        <w:rPr>
          <w:rFonts w:asciiTheme="majorBidi" w:hAnsiTheme="majorBidi" w:cstheme="majorBidi"/>
          <w:sz w:val="28"/>
          <w:szCs w:val="28"/>
          <w:lang w:bidi="ar-EG"/>
        </w:rPr>
        <w:t xml:space="preserve"> (</w:t>
      </w:r>
      <w:proofErr w:type="spellStart"/>
      <w:r w:rsidRPr="00AF505F">
        <w:rPr>
          <w:rFonts w:asciiTheme="majorBidi" w:hAnsiTheme="majorBidi" w:cstheme="majorBidi"/>
          <w:sz w:val="28"/>
          <w:szCs w:val="28"/>
          <w:lang w:bidi="ar-EG"/>
        </w:rPr>
        <w:t>Wasesa</w:t>
      </w:r>
      <w:proofErr w:type="spellEnd"/>
      <w:r w:rsidRPr="00AF505F">
        <w:rPr>
          <w:rFonts w:asciiTheme="majorBidi" w:hAnsiTheme="majorBidi" w:cstheme="majorBidi"/>
          <w:sz w:val="28"/>
          <w:szCs w:val="28"/>
          <w:lang w:bidi="ar-EG"/>
        </w:rPr>
        <w:t xml:space="preserve"> et al., 2025)</w:t>
      </w:r>
      <w:r w:rsidRPr="00AF505F">
        <w:rPr>
          <w:rFonts w:asciiTheme="majorBidi" w:hAnsiTheme="majorBidi" w:cstheme="majorBidi"/>
          <w:sz w:val="28"/>
          <w:szCs w:val="28"/>
          <w:rtl/>
        </w:rPr>
        <w:t>، والولايات المتحدة</w:t>
      </w:r>
      <w:r w:rsidRPr="00AF505F">
        <w:rPr>
          <w:rFonts w:asciiTheme="majorBidi" w:hAnsiTheme="majorBidi" w:cstheme="majorBidi"/>
          <w:sz w:val="28"/>
          <w:szCs w:val="28"/>
          <w:lang w:bidi="ar-EG"/>
        </w:rPr>
        <w:t xml:space="preserve"> (</w:t>
      </w:r>
      <w:proofErr w:type="spellStart"/>
      <w:r w:rsidRPr="00AF505F">
        <w:rPr>
          <w:rFonts w:asciiTheme="majorBidi" w:hAnsiTheme="majorBidi" w:cstheme="majorBidi"/>
          <w:sz w:val="28"/>
          <w:szCs w:val="28"/>
          <w:lang w:bidi="ar-EG"/>
        </w:rPr>
        <w:t>Neiroukh</w:t>
      </w:r>
      <w:proofErr w:type="spellEnd"/>
      <w:r w:rsidRPr="00AF505F">
        <w:rPr>
          <w:rFonts w:asciiTheme="majorBidi" w:hAnsiTheme="majorBidi" w:cstheme="majorBidi"/>
          <w:sz w:val="28"/>
          <w:szCs w:val="28"/>
          <w:lang w:bidi="ar-EG"/>
        </w:rPr>
        <w:t xml:space="preserve"> et al., 2024)</w:t>
      </w:r>
      <w:r w:rsidRPr="00AF505F">
        <w:rPr>
          <w:rFonts w:asciiTheme="majorBidi" w:hAnsiTheme="majorBidi" w:cstheme="majorBidi"/>
          <w:sz w:val="28"/>
          <w:szCs w:val="28"/>
          <w:rtl/>
        </w:rPr>
        <w:t>، ودراسة غير محددة الدولة</w:t>
      </w:r>
      <w:r w:rsidRPr="00AF505F">
        <w:rPr>
          <w:rFonts w:asciiTheme="majorBidi" w:hAnsiTheme="majorBidi" w:cstheme="majorBidi"/>
          <w:sz w:val="28"/>
          <w:szCs w:val="28"/>
          <w:lang w:bidi="ar-EG"/>
        </w:rPr>
        <w:t xml:space="preserve"> (Kim &amp; Seo, 2023).</w:t>
      </w:r>
    </w:p>
    <w:p w14:paraId="19964F3E" w14:textId="77777777" w:rsidR="00AF505F" w:rsidRPr="00AF505F" w:rsidRDefault="00AF505F" w:rsidP="00AF505F">
      <w:pPr>
        <w:bidi/>
        <w:ind w:firstLine="720"/>
        <w:jc w:val="both"/>
        <w:rPr>
          <w:rFonts w:asciiTheme="majorBidi" w:hAnsiTheme="majorBidi" w:cstheme="majorBidi"/>
          <w:sz w:val="28"/>
          <w:szCs w:val="28"/>
          <w:rtl/>
          <w:lang w:bidi="ar-EG"/>
        </w:rPr>
      </w:pPr>
      <w:r w:rsidRPr="00AF505F">
        <w:rPr>
          <w:rFonts w:asciiTheme="majorBidi" w:hAnsiTheme="majorBidi" w:cstheme="majorBidi"/>
          <w:sz w:val="28"/>
          <w:szCs w:val="28"/>
          <w:rtl/>
        </w:rPr>
        <w:t>وتباينت كذلك أبعاد تقنيات الذكاء الاصطناعي؛ فبينما اعتمدت دراسة (عبد النبي والعيوني، 2025) ثلاثة أبعاد (النظم الخبيرة، نظم دعم القرارات، نظم مشاركة المعرفة)، توسعت دراسة (العتيبي واليوبي، 2024) إلى 15 تقنية، في حين ركزت دراسة</w:t>
      </w:r>
      <w:r w:rsidRPr="00AF505F">
        <w:rPr>
          <w:rFonts w:asciiTheme="majorBidi" w:hAnsiTheme="majorBidi" w:cstheme="majorBidi"/>
          <w:sz w:val="28"/>
          <w:szCs w:val="28"/>
          <w:lang w:bidi="ar-EG"/>
        </w:rPr>
        <w:t xml:space="preserve"> (</w:t>
      </w:r>
      <w:proofErr w:type="spellStart"/>
      <w:r w:rsidRPr="00AF505F">
        <w:rPr>
          <w:rFonts w:asciiTheme="majorBidi" w:hAnsiTheme="majorBidi" w:cstheme="majorBidi"/>
          <w:sz w:val="28"/>
          <w:szCs w:val="28"/>
          <w:lang w:bidi="ar-EG"/>
        </w:rPr>
        <w:t>Wasesa</w:t>
      </w:r>
      <w:proofErr w:type="spellEnd"/>
      <w:r w:rsidRPr="00AF505F">
        <w:rPr>
          <w:rFonts w:asciiTheme="majorBidi" w:hAnsiTheme="majorBidi" w:cstheme="majorBidi"/>
          <w:sz w:val="28"/>
          <w:szCs w:val="28"/>
          <w:lang w:bidi="ar-EG"/>
        </w:rPr>
        <w:t xml:space="preserve"> et al., 2025) </w:t>
      </w:r>
      <w:r w:rsidRPr="00AF505F">
        <w:rPr>
          <w:rFonts w:asciiTheme="majorBidi" w:hAnsiTheme="majorBidi" w:cstheme="majorBidi"/>
          <w:sz w:val="28"/>
          <w:szCs w:val="28"/>
          <w:rtl/>
        </w:rPr>
        <w:t>على تقنيات محددة مثل التعلم الآلي ومعالجة اللغات الطبيعية، واعتمدت</w:t>
      </w:r>
      <w:r w:rsidRPr="00AF505F">
        <w:rPr>
          <w:rFonts w:asciiTheme="majorBidi" w:hAnsiTheme="majorBidi" w:cstheme="majorBidi"/>
          <w:sz w:val="28"/>
          <w:szCs w:val="28"/>
          <w:lang w:bidi="ar-EG"/>
        </w:rPr>
        <w:t xml:space="preserve"> (</w:t>
      </w:r>
      <w:proofErr w:type="spellStart"/>
      <w:r w:rsidRPr="00AF505F">
        <w:rPr>
          <w:rFonts w:asciiTheme="majorBidi" w:hAnsiTheme="majorBidi" w:cstheme="majorBidi"/>
          <w:sz w:val="28"/>
          <w:szCs w:val="28"/>
          <w:lang w:bidi="ar-EG"/>
        </w:rPr>
        <w:t>Neiroukh</w:t>
      </w:r>
      <w:proofErr w:type="spellEnd"/>
      <w:r w:rsidRPr="00AF505F">
        <w:rPr>
          <w:rFonts w:asciiTheme="majorBidi" w:hAnsiTheme="majorBidi" w:cstheme="majorBidi"/>
          <w:sz w:val="28"/>
          <w:szCs w:val="28"/>
          <w:lang w:bidi="ar-EG"/>
        </w:rPr>
        <w:t xml:space="preserve"> et al., 2024) </w:t>
      </w:r>
      <w:r w:rsidRPr="00AF505F">
        <w:rPr>
          <w:rFonts w:asciiTheme="majorBidi" w:hAnsiTheme="majorBidi" w:cstheme="majorBidi"/>
          <w:sz w:val="28"/>
          <w:szCs w:val="28"/>
          <w:rtl/>
        </w:rPr>
        <w:t>مفهوم القدرات المركبة، بينما قدمت</w:t>
      </w:r>
      <w:r w:rsidRPr="00AF505F">
        <w:rPr>
          <w:rFonts w:asciiTheme="majorBidi" w:hAnsiTheme="majorBidi" w:cstheme="majorBidi"/>
          <w:sz w:val="28"/>
          <w:szCs w:val="28"/>
          <w:lang w:bidi="ar-EG"/>
        </w:rPr>
        <w:t xml:space="preserve"> (Kim &amp; Seo, 2023) </w:t>
      </w:r>
      <w:r w:rsidRPr="00AF505F">
        <w:rPr>
          <w:rFonts w:asciiTheme="majorBidi" w:hAnsiTheme="majorBidi" w:cstheme="majorBidi"/>
          <w:sz w:val="28"/>
          <w:szCs w:val="28"/>
          <w:rtl/>
        </w:rPr>
        <w:t>مسارات تطورية واستراتيجيات</w:t>
      </w:r>
      <w:r w:rsidRPr="00AF505F">
        <w:rPr>
          <w:rFonts w:asciiTheme="majorBidi" w:hAnsiTheme="majorBidi" w:cstheme="majorBidi"/>
          <w:sz w:val="28"/>
          <w:szCs w:val="28"/>
          <w:lang w:bidi="ar-EG"/>
        </w:rPr>
        <w:t>.</w:t>
      </w:r>
    </w:p>
    <w:p w14:paraId="366ACAED" w14:textId="77777777" w:rsidR="00AF505F" w:rsidRPr="00AF505F" w:rsidRDefault="00AF505F" w:rsidP="00AF505F">
      <w:pPr>
        <w:bidi/>
        <w:ind w:firstLine="720"/>
        <w:jc w:val="both"/>
        <w:rPr>
          <w:rFonts w:asciiTheme="majorBidi" w:hAnsiTheme="majorBidi" w:cstheme="majorBidi"/>
          <w:sz w:val="28"/>
          <w:szCs w:val="28"/>
          <w:rtl/>
          <w:lang w:bidi="ar-EG"/>
        </w:rPr>
      </w:pPr>
      <w:r w:rsidRPr="00AF505F">
        <w:rPr>
          <w:rFonts w:asciiTheme="majorBidi" w:hAnsiTheme="majorBidi" w:cstheme="majorBidi"/>
          <w:sz w:val="28"/>
          <w:szCs w:val="28"/>
          <w:rtl/>
        </w:rPr>
        <w:t>كما اختلفت أبعاد فاعلية القرارات الاستراتيجية، وعددها بين ثلاثة وخمسة أبعاد وفقاً لكل دراسة، أو عولجت كمفهوم كلي دون تفصيل كما في (الشعار، 2023)، أو من خلال مؤشرات كمية دقيقة كما في</w:t>
      </w:r>
      <w:r w:rsidRPr="00AF505F">
        <w:rPr>
          <w:rFonts w:asciiTheme="majorBidi" w:hAnsiTheme="majorBidi" w:cstheme="majorBidi"/>
          <w:sz w:val="28"/>
          <w:szCs w:val="28"/>
          <w:lang w:bidi="ar-EG"/>
        </w:rPr>
        <w:t xml:space="preserve"> (</w:t>
      </w:r>
      <w:proofErr w:type="spellStart"/>
      <w:r w:rsidRPr="00AF505F">
        <w:rPr>
          <w:rFonts w:asciiTheme="majorBidi" w:hAnsiTheme="majorBidi" w:cstheme="majorBidi"/>
          <w:sz w:val="28"/>
          <w:szCs w:val="28"/>
          <w:lang w:bidi="ar-EG"/>
        </w:rPr>
        <w:t>Wasesa</w:t>
      </w:r>
      <w:proofErr w:type="spellEnd"/>
      <w:r w:rsidRPr="00AF505F">
        <w:rPr>
          <w:rFonts w:asciiTheme="majorBidi" w:hAnsiTheme="majorBidi" w:cstheme="majorBidi"/>
          <w:sz w:val="28"/>
          <w:szCs w:val="28"/>
          <w:lang w:bidi="ar-EG"/>
        </w:rPr>
        <w:t xml:space="preserve"> et al., 2025). </w:t>
      </w:r>
      <w:r w:rsidRPr="00AF505F">
        <w:rPr>
          <w:rFonts w:asciiTheme="majorBidi" w:hAnsiTheme="majorBidi" w:cstheme="majorBidi"/>
          <w:sz w:val="28"/>
          <w:szCs w:val="28"/>
          <w:rtl/>
        </w:rPr>
        <w:t xml:space="preserve">وتباينت النتائج بين دراسات أظهرت معاملات ارتباط </w:t>
      </w:r>
      <w:r w:rsidRPr="00AF505F">
        <w:rPr>
          <w:rFonts w:asciiTheme="majorBidi" w:hAnsiTheme="majorBidi" w:cstheme="majorBidi"/>
          <w:sz w:val="28"/>
          <w:szCs w:val="28"/>
          <w:rtl/>
        </w:rPr>
        <w:lastRenderedPageBreak/>
        <w:t>مرتفعة مثل (عبد النبي والعيوني، 2025) بمعامل 0.906 و(علي، 2022) بمعامل 0.932 وتفسير 86.9%، ودراسة</w:t>
      </w:r>
      <w:r w:rsidRPr="00AF505F">
        <w:rPr>
          <w:rFonts w:asciiTheme="majorBidi" w:hAnsiTheme="majorBidi" w:cstheme="majorBidi"/>
          <w:sz w:val="28"/>
          <w:szCs w:val="28"/>
          <w:lang w:bidi="ar-EG"/>
        </w:rPr>
        <w:t xml:space="preserve"> (</w:t>
      </w:r>
      <w:proofErr w:type="spellStart"/>
      <w:r w:rsidRPr="00AF505F">
        <w:rPr>
          <w:rFonts w:asciiTheme="majorBidi" w:hAnsiTheme="majorBidi" w:cstheme="majorBidi"/>
          <w:sz w:val="28"/>
          <w:szCs w:val="28"/>
          <w:lang w:bidi="ar-EG"/>
        </w:rPr>
        <w:t>Neiroukh</w:t>
      </w:r>
      <w:proofErr w:type="spellEnd"/>
      <w:r w:rsidRPr="00AF505F">
        <w:rPr>
          <w:rFonts w:asciiTheme="majorBidi" w:hAnsiTheme="majorBidi" w:cstheme="majorBidi"/>
          <w:sz w:val="28"/>
          <w:szCs w:val="28"/>
          <w:lang w:bidi="ar-EG"/>
        </w:rPr>
        <w:t xml:space="preserve"> et al., 2024) </w:t>
      </w:r>
      <w:r w:rsidRPr="00AF505F">
        <w:rPr>
          <w:rFonts w:asciiTheme="majorBidi" w:hAnsiTheme="majorBidi" w:cstheme="majorBidi"/>
          <w:sz w:val="28"/>
          <w:szCs w:val="28"/>
          <w:rtl/>
        </w:rPr>
        <w:t xml:space="preserve">بتفسير 75.9% من التباين، ودراسات قدمت نسب تحسن رقمية دقيقة مثل </w:t>
      </w:r>
      <w:r w:rsidRPr="00AF505F">
        <w:rPr>
          <w:rFonts w:asciiTheme="majorBidi" w:hAnsiTheme="majorBidi" w:cstheme="majorBidi"/>
          <w:sz w:val="28"/>
          <w:szCs w:val="28"/>
          <w:lang w:bidi="ar-EG"/>
        </w:rPr>
        <w:t>(</w:t>
      </w:r>
      <w:proofErr w:type="spellStart"/>
      <w:r w:rsidRPr="00AF505F">
        <w:rPr>
          <w:rFonts w:asciiTheme="majorBidi" w:hAnsiTheme="majorBidi" w:cstheme="majorBidi"/>
          <w:sz w:val="28"/>
          <w:szCs w:val="28"/>
          <w:lang w:bidi="ar-EG"/>
        </w:rPr>
        <w:t>Wasesa</w:t>
      </w:r>
      <w:proofErr w:type="spellEnd"/>
      <w:r w:rsidRPr="00AF505F">
        <w:rPr>
          <w:rFonts w:asciiTheme="majorBidi" w:hAnsiTheme="majorBidi" w:cstheme="majorBidi"/>
          <w:sz w:val="28"/>
          <w:szCs w:val="28"/>
          <w:lang w:bidi="ar-EG"/>
        </w:rPr>
        <w:t xml:space="preserve"> et al., 2025)</w:t>
      </w:r>
      <w:r w:rsidRPr="00AF505F">
        <w:rPr>
          <w:rFonts w:asciiTheme="majorBidi" w:hAnsiTheme="majorBidi" w:cstheme="majorBidi"/>
          <w:sz w:val="28"/>
          <w:szCs w:val="28"/>
          <w:rtl/>
        </w:rPr>
        <w:t>، وأخرى كشفت عن قصور وضعف مثل (حمزة، 2024) و(إبراهيم، 2023)، أو قدمت تصنيفات استراتيجية كما في</w:t>
      </w:r>
      <w:r w:rsidRPr="00AF505F">
        <w:rPr>
          <w:rFonts w:asciiTheme="majorBidi" w:hAnsiTheme="majorBidi" w:cstheme="majorBidi"/>
          <w:sz w:val="28"/>
          <w:szCs w:val="28"/>
          <w:lang w:bidi="ar-EG"/>
        </w:rPr>
        <w:t xml:space="preserve"> (Kim &amp; Seo, 2023)</w:t>
      </w:r>
      <w:r w:rsidRPr="00AF505F">
        <w:rPr>
          <w:rFonts w:asciiTheme="majorBidi" w:hAnsiTheme="majorBidi" w:cstheme="majorBidi"/>
          <w:sz w:val="28"/>
          <w:szCs w:val="28"/>
          <w:rtl/>
        </w:rPr>
        <w:t>، أو أبرزت تحديات تنفيذية كنسب جودة البيانات (78%) والفجوات المهارية (72%) وغيرها في</w:t>
      </w:r>
      <w:r w:rsidRPr="00AF505F">
        <w:rPr>
          <w:rFonts w:asciiTheme="majorBidi" w:hAnsiTheme="majorBidi" w:cstheme="majorBidi"/>
          <w:sz w:val="28"/>
          <w:szCs w:val="28"/>
          <w:lang w:bidi="ar-EG"/>
        </w:rPr>
        <w:t xml:space="preserve"> (</w:t>
      </w:r>
      <w:proofErr w:type="spellStart"/>
      <w:r w:rsidRPr="00AF505F">
        <w:rPr>
          <w:rFonts w:asciiTheme="majorBidi" w:hAnsiTheme="majorBidi" w:cstheme="majorBidi"/>
          <w:sz w:val="28"/>
          <w:szCs w:val="28"/>
          <w:lang w:bidi="ar-EG"/>
        </w:rPr>
        <w:t>Wasesa</w:t>
      </w:r>
      <w:proofErr w:type="spellEnd"/>
      <w:r w:rsidRPr="00AF505F">
        <w:rPr>
          <w:rFonts w:asciiTheme="majorBidi" w:hAnsiTheme="majorBidi" w:cstheme="majorBidi"/>
          <w:sz w:val="28"/>
          <w:szCs w:val="28"/>
          <w:lang w:bidi="ar-EG"/>
        </w:rPr>
        <w:t xml:space="preserve"> et al., 2025)</w:t>
      </w:r>
    </w:p>
    <w:p w14:paraId="39F7B1ED" w14:textId="77777777" w:rsidR="00AF505F" w:rsidRPr="00AF505F" w:rsidRDefault="00AF505F" w:rsidP="00AF505F">
      <w:pPr>
        <w:bidi/>
        <w:jc w:val="both"/>
        <w:rPr>
          <w:rFonts w:asciiTheme="majorBidi" w:hAnsiTheme="majorBidi" w:cstheme="majorBidi"/>
          <w:sz w:val="28"/>
          <w:szCs w:val="28"/>
          <w:lang w:bidi="ar-EG"/>
        </w:rPr>
      </w:pPr>
      <w:r w:rsidRPr="00AF505F">
        <w:rPr>
          <w:rFonts w:asciiTheme="majorBidi" w:hAnsiTheme="majorBidi" w:cstheme="majorBidi"/>
          <w:b/>
          <w:bCs/>
          <w:sz w:val="28"/>
          <w:szCs w:val="28"/>
          <w:rtl/>
        </w:rPr>
        <w:t xml:space="preserve">الفجوة البحثية </w:t>
      </w:r>
    </w:p>
    <w:p w14:paraId="6E71A40A"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على الرغم من تعدد الدراسات التي تناولت أثر تقنيات الذكاء الاصطناعي في تحسين الأداء المؤسسي وفاعلية القرارات الاستراتيجية، إلا أن استعراض الأدبيات يكشف عن مجموعة من الفجوات التي لم تُعالج بصورة متكاملة، وهو ما تسعى هذه الدراسة إلى معالجته</w:t>
      </w:r>
      <w:r w:rsidRPr="00AF505F">
        <w:rPr>
          <w:rFonts w:asciiTheme="majorBidi" w:hAnsiTheme="majorBidi" w:cstheme="majorBidi"/>
          <w:sz w:val="28"/>
          <w:szCs w:val="28"/>
          <w:rtl/>
          <w:lang w:bidi="ar-EG"/>
        </w:rPr>
        <w:t>.</w:t>
      </w:r>
    </w:p>
    <w:p w14:paraId="18AF16C3" w14:textId="77777777" w:rsidR="00AF505F" w:rsidRPr="00AF505F" w:rsidRDefault="00AF505F" w:rsidP="00AF505F">
      <w:pPr>
        <w:bidi/>
        <w:jc w:val="both"/>
        <w:rPr>
          <w:rFonts w:asciiTheme="majorBidi" w:hAnsiTheme="majorBidi" w:cstheme="majorBidi"/>
          <w:sz w:val="28"/>
          <w:szCs w:val="28"/>
          <w:lang w:bidi="ar-EG"/>
        </w:rPr>
      </w:pPr>
      <w:r w:rsidRPr="00AF505F">
        <w:rPr>
          <w:rFonts w:asciiTheme="majorBidi" w:hAnsiTheme="majorBidi" w:cstheme="majorBidi"/>
          <w:sz w:val="28"/>
          <w:szCs w:val="28"/>
          <w:rtl/>
        </w:rPr>
        <w:t>أولاً، تركزت معظم الدراسات السابقة على قطاعات متنوعة (صناعية، خدمية، تعليمية، بلدية، اتصالات)، دون تخصيص بحث معمق لقطاع الأغذية الكبرى في المملكة العربية السعودية، رغم ما يتسم به هذا القطاع من حساسية استراتيجية، وكثافة بيانات، وتعقيد في سلاسل الإمداد، وارتباط مباشر بالأمن الغذائي وأهداف رؤية 2030. وبالتالي، توجد فجوة قطاعية واضحة تتعلق بغياب دراسة كمية موجهة لكبار التنفيذيين في شركات الأغذية الكبرى تحديداً</w:t>
      </w:r>
      <w:r w:rsidRPr="00AF505F">
        <w:rPr>
          <w:rFonts w:asciiTheme="majorBidi" w:hAnsiTheme="majorBidi" w:cstheme="majorBidi"/>
          <w:sz w:val="28"/>
          <w:szCs w:val="28"/>
          <w:rtl/>
          <w:lang w:bidi="ar-EG"/>
        </w:rPr>
        <w:t>.</w:t>
      </w:r>
    </w:p>
    <w:p w14:paraId="1008E586" w14:textId="77777777" w:rsidR="00AF505F" w:rsidRPr="00AF505F" w:rsidRDefault="00AF505F" w:rsidP="00AF505F">
      <w:pPr>
        <w:bidi/>
        <w:jc w:val="both"/>
        <w:rPr>
          <w:rFonts w:asciiTheme="majorBidi" w:hAnsiTheme="majorBidi" w:cstheme="majorBidi"/>
          <w:sz w:val="28"/>
          <w:szCs w:val="28"/>
          <w:lang w:bidi="ar-EG"/>
        </w:rPr>
      </w:pPr>
      <w:r w:rsidRPr="00AF505F">
        <w:rPr>
          <w:rFonts w:asciiTheme="majorBidi" w:hAnsiTheme="majorBidi" w:cstheme="majorBidi"/>
          <w:sz w:val="28"/>
          <w:szCs w:val="28"/>
          <w:rtl/>
        </w:rPr>
        <w:t>ثانياً، عالجت غالبية الدراسات العلاقة بين الذكاء الاصطناعي وفاعلية القرارات بصورة مباشرة، بينما لم تتناول بشكل كافٍ الدور الوسيط لكفاءة استخدام الذكاء الاصطناعي، ولم تدمج العوامل التنظيمية والقيادية والتقنية والبشرية في نموذج سببي متكامل يفسر كيفية انتقال أثر التبني إلى فاعلية القرار الاستراتيجي. ومن ثم، تظهر فجوة نظرية تتعلق بغياب نموذج تفسيري شامل يجمع بين محددات التبني، وكفاءة الاستخدام، ونتائج القرار</w:t>
      </w:r>
      <w:r w:rsidRPr="00AF505F">
        <w:rPr>
          <w:rFonts w:asciiTheme="majorBidi" w:hAnsiTheme="majorBidi" w:cstheme="majorBidi"/>
          <w:sz w:val="28"/>
          <w:szCs w:val="28"/>
          <w:rtl/>
          <w:lang w:bidi="ar-EG"/>
        </w:rPr>
        <w:t>.</w:t>
      </w:r>
    </w:p>
    <w:p w14:paraId="4059FF60" w14:textId="77777777" w:rsidR="00AF505F" w:rsidRPr="00AF505F" w:rsidRDefault="00AF505F" w:rsidP="00AF505F">
      <w:pPr>
        <w:bidi/>
        <w:jc w:val="both"/>
        <w:rPr>
          <w:rFonts w:asciiTheme="majorBidi" w:hAnsiTheme="majorBidi" w:cstheme="majorBidi"/>
          <w:sz w:val="28"/>
          <w:szCs w:val="28"/>
          <w:lang w:bidi="ar-EG"/>
        </w:rPr>
      </w:pPr>
      <w:r w:rsidRPr="00AF505F">
        <w:rPr>
          <w:rFonts w:asciiTheme="majorBidi" w:hAnsiTheme="majorBidi" w:cstheme="majorBidi"/>
          <w:sz w:val="28"/>
          <w:szCs w:val="28"/>
          <w:rtl/>
        </w:rPr>
        <w:t>ثالثاً، اتسمت بعض الدراسات السابقة بالاعتماد على عينات صغيرة أو مجتمعات غير قيادية، في حين أن القرارات الاستراتيجية تصدر أساساً عن التنفيذيين في المناصب العليا. وعليه، تبرز فجوة منهجية تتعلق بندرة الدراسات الكمية التي تستهدف شريحة كبار التنفيذيين باستخدام تحليلات متقدمة مثل تحليل المسار والانحدار المتعدد لاختبار العلاقات السببية والوساطة</w:t>
      </w:r>
      <w:r w:rsidRPr="00AF505F">
        <w:rPr>
          <w:rFonts w:asciiTheme="majorBidi" w:hAnsiTheme="majorBidi" w:cstheme="majorBidi"/>
          <w:sz w:val="28"/>
          <w:szCs w:val="28"/>
          <w:rtl/>
          <w:lang w:bidi="ar-EG"/>
        </w:rPr>
        <w:t>.</w:t>
      </w:r>
    </w:p>
    <w:p w14:paraId="57A6DA78" w14:textId="77777777" w:rsidR="00AF505F" w:rsidRPr="00AF505F" w:rsidRDefault="00AF505F" w:rsidP="00AF505F">
      <w:pPr>
        <w:bidi/>
        <w:jc w:val="both"/>
        <w:rPr>
          <w:rFonts w:asciiTheme="majorBidi" w:hAnsiTheme="majorBidi" w:cstheme="majorBidi"/>
          <w:sz w:val="28"/>
          <w:szCs w:val="28"/>
          <w:lang w:bidi="ar-EG"/>
        </w:rPr>
      </w:pPr>
      <w:r w:rsidRPr="00AF505F">
        <w:rPr>
          <w:rFonts w:asciiTheme="majorBidi" w:hAnsiTheme="majorBidi" w:cstheme="majorBidi"/>
          <w:sz w:val="28"/>
          <w:szCs w:val="28"/>
          <w:rtl/>
        </w:rPr>
        <w:t>رابعاً، ورغم ارتباط التحول الرقمي برؤية المملكة 2030، إلا أن الأدبيات لم تربط بصورة مباشرة بين تبني تقنيات الذكاء الاصطناعي في قطاع الأغذية وأهداف الرؤية الوطنية في رفع الكفاءة، وتعزيز التنافسية، وتحسين جودة القرار الاستراتيجي</w:t>
      </w:r>
      <w:r w:rsidRPr="00AF505F">
        <w:rPr>
          <w:rFonts w:asciiTheme="majorBidi" w:hAnsiTheme="majorBidi" w:cstheme="majorBidi"/>
          <w:sz w:val="28"/>
          <w:szCs w:val="28"/>
          <w:rtl/>
          <w:lang w:bidi="ar-EG"/>
        </w:rPr>
        <w:t>.</w:t>
      </w:r>
    </w:p>
    <w:p w14:paraId="37180A35" w14:textId="77777777" w:rsidR="00AF505F" w:rsidRPr="00AF505F" w:rsidRDefault="00AF505F" w:rsidP="00AF505F">
      <w:pPr>
        <w:bidi/>
        <w:ind w:firstLine="720"/>
        <w:jc w:val="both"/>
        <w:rPr>
          <w:rFonts w:asciiTheme="majorBidi" w:hAnsiTheme="majorBidi" w:cstheme="majorBidi"/>
          <w:sz w:val="28"/>
          <w:szCs w:val="28"/>
          <w:lang w:bidi="ar-EG"/>
        </w:rPr>
      </w:pPr>
      <w:r w:rsidRPr="00AF505F">
        <w:rPr>
          <w:rFonts w:asciiTheme="majorBidi" w:hAnsiTheme="majorBidi" w:cstheme="majorBidi"/>
          <w:sz w:val="28"/>
          <w:szCs w:val="28"/>
          <w:rtl/>
        </w:rPr>
        <w:t>بناءً على ذلك، تتمثل الفجوة البحثية في الحاجة إلى دراسة كمية تحليلية متكاملة تركز على شركات الأغذية الكبرى في المملكة، وتختبر نموذجاً سببياً يربط بين محددات تبني الذكاء الاصطناعي، وكفاءة استخدامه، وفاعلية القرارات الاستراتيجية لدى التنفيذيين، في سياق وطني يتسق مع مستهدفات رؤية 2030</w:t>
      </w:r>
      <w:r w:rsidRPr="00AF505F">
        <w:rPr>
          <w:rFonts w:asciiTheme="majorBidi" w:hAnsiTheme="majorBidi" w:cstheme="majorBidi"/>
          <w:sz w:val="28"/>
          <w:szCs w:val="28"/>
          <w:rtl/>
          <w:lang w:bidi="ar-EG"/>
        </w:rPr>
        <w:t>.</w:t>
      </w:r>
    </w:p>
    <w:p w14:paraId="304C5A36" w14:textId="77777777" w:rsidR="00AF505F" w:rsidRPr="00AF505F" w:rsidRDefault="00AF505F" w:rsidP="00AF505F">
      <w:pPr>
        <w:bidi/>
        <w:ind w:firstLine="720"/>
        <w:jc w:val="both"/>
        <w:rPr>
          <w:rFonts w:asciiTheme="majorBidi" w:hAnsiTheme="majorBidi" w:cstheme="majorBidi"/>
          <w:sz w:val="28"/>
          <w:szCs w:val="28"/>
          <w:rtl/>
          <w:lang w:bidi="ar-EG"/>
        </w:rPr>
      </w:pPr>
    </w:p>
    <w:p w14:paraId="7C2DA3FA" w14:textId="77777777" w:rsidR="00AF505F" w:rsidRPr="00AF505F" w:rsidRDefault="00AF505F" w:rsidP="00AF505F">
      <w:pPr>
        <w:bidi/>
        <w:ind w:firstLine="720"/>
        <w:jc w:val="both"/>
        <w:rPr>
          <w:rFonts w:asciiTheme="majorBidi" w:hAnsiTheme="majorBidi" w:cstheme="majorBidi"/>
          <w:sz w:val="28"/>
          <w:szCs w:val="28"/>
          <w:rtl/>
          <w:lang w:bidi="ar-EG"/>
        </w:rPr>
      </w:pPr>
    </w:p>
    <w:p w14:paraId="7DF8B044" w14:textId="77777777" w:rsidR="00AF505F" w:rsidRPr="00AF505F" w:rsidRDefault="00AF505F" w:rsidP="00AF505F">
      <w:pPr>
        <w:bidi/>
        <w:rPr>
          <w:rFonts w:asciiTheme="majorBidi" w:hAnsiTheme="majorBidi" w:cstheme="majorBidi"/>
          <w:b/>
          <w:bCs/>
          <w:sz w:val="28"/>
          <w:szCs w:val="28"/>
          <w:rtl/>
          <w:lang w:bidi="ar-EG"/>
        </w:rPr>
      </w:pPr>
    </w:p>
    <w:p w14:paraId="488F2A0C" w14:textId="77777777" w:rsidR="00AF505F" w:rsidRPr="00AF505F" w:rsidRDefault="00AF505F" w:rsidP="00AF505F">
      <w:pPr>
        <w:bidi/>
        <w:rPr>
          <w:rFonts w:asciiTheme="majorBidi" w:hAnsiTheme="majorBidi" w:cstheme="majorBidi"/>
          <w:b/>
          <w:bCs/>
          <w:sz w:val="28"/>
          <w:szCs w:val="28"/>
          <w:rtl/>
          <w:lang w:bidi="ar-EG"/>
        </w:rPr>
      </w:pPr>
    </w:p>
    <w:p w14:paraId="374CE640" w14:textId="77777777" w:rsidR="00AF505F" w:rsidRPr="00AF505F" w:rsidRDefault="00AF505F" w:rsidP="00AF505F">
      <w:pPr>
        <w:bidi/>
        <w:rPr>
          <w:rFonts w:asciiTheme="majorBidi" w:hAnsiTheme="majorBidi" w:cstheme="majorBidi"/>
          <w:b/>
          <w:bCs/>
          <w:sz w:val="28"/>
          <w:szCs w:val="28"/>
          <w:rtl/>
          <w:lang w:bidi="ar-EG"/>
        </w:rPr>
      </w:pPr>
    </w:p>
    <w:p w14:paraId="1C2A0190" w14:textId="77777777" w:rsidR="00AF505F" w:rsidRPr="00AF505F" w:rsidRDefault="00AF505F" w:rsidP="00AF505F">
      <w:pPr>
        <w:bidi/>
        <w:rPr>
          <w:rFonts w:asciiTheme="majorBidi" w:hAnsiTheme="majorBidi" w:cstheme="majorBidi"/>
          <w:b/>
          <w:bCs/>
          <w:sz w:val="28"/>
          <w:szCs w:val="28"/>
          <w:rtl/>
          <w:lang w:bidi="ar-EG"/>
        </w:rPr>
      </w:pPr>
    </w:p>
    <w:p w14:paraId="128AC2C3" w14:textId="77777777" w:rsidR="00AF505F" w:rsidRPr="00AF505F" w:rsidRDefault="00AF505F" w:rsidP="00AF505F">
      <w:pPr>
        <w:bidi/>
        <w:rPr>
          <w:rFonts w:asciiTheme="majorBidi" w:hAnsiTheme="majorBidi" w:cstheme="majorBidi"/>
          <w:b/>
          <w:bCs/>
          <w:sz w:val="28"/>
          <w:szCs w:val="28"/>
          <w:rtl/>
          <w:lang w:bidi="ar-EG"/>
        </w:rPr>
      </w:pPr>
    </w:p>
    <w:p w14:paraId="705E7752" w14:textId="77777777" w:rsidR="00AF505F" w:rsidRPr="00AF505F" w:rsidRDefault="00AF505F" w:rsidP="00AF505F">
      <w:pPr>
        <w:bidi/>
        <w:rPr>
          <w:rFonts w:asciiTheme="majorBidi" w:hAnsiTheme="majorBidi" w:cstheme="majorBidi"/>
          <w:b/>
          <w:bCs/>
          <w:sz w:val="28"/>
          <w:szCs w:val="28"/>
          <w:rtl/>
          <w:lang w:bidi="ar-EG"/>
        </w:rPr>
      </w:pPr>
    </w:p>
    <w:p w14:paraId="731485BD" w14:textId="77777777" w:rsidR="00AF505F" w:rsidRPr="00AF505F" w:rsidRDefault="00AF505F" w:rsidP="00AF505F">
      <w:pPr>
        <w:bidi/>
        <w:rPr>
          <w:rFonts w:asciiTheme="majorBidi" w:hAnsiTheme="majorBidi" w:cstheme="majorBidi"/>
          <w:b/>
          <w:bCs/>
          <w:sz w:val="28"/>
          <w:szCs w:val="28"/>
          <w:rtl/>
          <w:lang w:bidi="ar-EG"/>
        </w:rPr>
      </w:pPr>
    </w:p>
    <w:p w14:paraId="755B94B9" w14:textId="77777777" w:rsidR="00AF505F" w:rsidRDefault="00AF505F" w:rsidP="00AF505F">
      <w:pPr>
        <w:bidi/>
        <w:rPr>
          <w:rFonts w:asciiTheme="majorBidi" w:hAnsiTheme="majorBidi" w:cstheme="majorBidi"/>
          <w:b/>
          <w:bCs/>
          <w:sz w:val="28"/>
          <w:szCs w:val="28"/>
          <w:rtl/>
          <w:lang w:bidi="ar-EG"/>
        </w:rPr>
      </w:pPr>
    </w:p>
    <w:p w14:paraId="1976CAB2" w14:textId="77777777" w:rsidR="00AF505F" w:rsidRDefault="00AF505F" w:rsidP="00AF505F">
      <w:pPr>
        <w:bidi/>
        <w:rPr>
          <w:rFonts w:asciiTheme="majorBidi" w:hAnsiTheme="majorBidi" w:cstheme="majorBidi"/>
          <w:b/>
          <w:bCs/>
          <w:sz w:val="28"/>
          <w:szCs w:val="28"/>
          <w:rtl/>
          <w:lang w:bidi="ar-EG"/>
        </w:rPr>
      </w:pPr>
    </w:p>
    <w:p w14:paraId="3A681555" w14:textId="77777777" w:rsidR="00AF505F" w:rsidRDefault="00AF505F" w:rsidP="00AF505F">
      <w:pPr>
        <w:bidi/>
        <w:rPr>
          <w:rFonts w:asciiTheme="majorBidi" w:hAnsiTheme="majorBidi" w:cstheme="majorBidi"/>
          <w:b/>
          <w:bCs/>
          <w:sz w:val="28"/>
          <w:szCs w:val="28"/>
          <w:rtl/>
          <w:lang w:bidi="ar-EG"/>
        </w:rPr>
      </w:pPr>
    </w:p>
    <w:p w14:paraId="1F335109" w14:textId="77777777" w:rsidR="00AF505F" w:rsidRDefault="00AF505F" w:rsidP="00AF505F">
      <w:pPr>
        <w:bidi/>
        <w:rPr>
          <w:rFonts w:asciiTheme="majorBidi" w:hAnsiTheme="majorBidi" w:cstheme="majorBidi"/>
          <w:b/>
          <w:bCs/>
          <w:sz w:val="28"/>
          <w:szCs w:val="28"/>
          <w:rtl/>
          <w:lang w:bidi="ar-EG"/>
        </w:rPr>
      </w:pPr>
    </w:p>
    <w:p w14:paraId="55E428E7" w14:textId="77777777" w:rsidR="00AF505F" w:rsidRDefault="00AF505F" w:rsidP="00AF505F">
      <w:pPr>
        <w:bidi/>
        <w:rPr>
          <w:rFonts w:asciiTheme="majorBidi" w:hAnsiTheme="majorBidi" w:cstheme="majorBidi"/>
          <w:b/>
          <w:bCs/>
          <w:sz w:val="28"/>
          <w:szCs w:val="28"/>
          <w:rtl/>
          <w:lang w:bidi="ar-EG"/>
        </w:rPr>
      </w:pPr>
    </w:p>
    <w:p w14:paraId="42C2EFDF" w14:textId="77777777" w:rsidR="00AF505F" w:rsidRDefault="00AF505F" w:rsidP="00AF505F">
      <w:pPr>
        <w:bidi/>
        <w:rPr>
          <w:rFonts w:asciiTheme="majorBidi" w:hAnsiTheme="majorBidi" w:cstheme="majorBidi"/>
          <w:b/>
          <w:bCs/>
          <w:sz w:val="28"/>
          <w:szCs w:val="28"/>
          <w:rtl/>
          <w:lang w:bidi="ar-EG"/>
        </w:rPr>
      </w:pPr>
    </w:p>
    <w:p w14:paraId="7D952EE2" w14:textId="77777777" w:rsidR="00AF505F" w:rsidRDefault="00AF505F" w:rsidP="00AF505F">
      <w:pPr>
        <w:bidi/>
        <w:rPr>
          <w:rFonts w:asciiTheme="majorBidi" w:hAnsiTheme="majorBidi" w:cstheme="majorBidi"/>
          <w:b/>
          <w:bCs/>
          <w:sz w:val="28"/>
          <w:szCs w:val="28"/>
          <w:rtl/>
          <w:lang w:bidi="ar-EG"/>
        </w:rPr>
      </w:pPr>
    </w:p>
    <w:p w14:paraId="7FCB3ED6" w14:textId="77777777" w:rsidR="00AF505F" w:rsidRDefault="00AF505F" w:rsidP="00AF505F">
      <w:pPr>
        <w:bidi/>
        <w:rPr>
          <w:rFonts w:asciiTheme="majorBidi" w:hAnsiTheme="majorBidi" w:cstheme="majorBidi"/>
          <w:b/>
          <w:bCs/>
          <w:sz w:val="28"/>
          <w:szCs w:val="28"/>
          <w:rtl/>
          <w:lang w:bidi="ar-EG"/>
        </w:rPr>
      </w:pPr>
    </w:p>
    <w:p w14:paraId="51530685" w14:textId="77777777" w:rsidR="00AF505F" w:rsidRDefault="00AF505F" w:rsidP="00AF505F">
      <w:pPr>
        <w:bidi/>
        <w:rPr>
          <w:rFonts w:asciiTheme="majorBidi" w:hAnsiTheme="majorBidi" w:cstheme="majorBidi"/>
          <w:b/>
          <w:bCs/>
          <w:sz w:val="28"/>
          <w:szCs w:val="28"/>
          <w:rtl/>
          <w:lang w:bidi="ar-EG"/>
        </w:rPr>
      </w:pPr>
    </w:p>
    <w:p w14:paraId="7282D720" w14:textId="77777777" w:rsidR="00AF505F" w:rsidRDefault="00AF505F" w:rsidP="00AF505F">
      <w:pPr>
        <w:bidi/>
        <w:rPr>
          <w:rFonts w:asciiTheme="majorBidi" w:hAnsiTheme="majorBidi" w:cstheme="majorBidi"/>
          <w:b/>
          <w:bCs/>
          <w:sz w:val="28"/>
          <w:szCs w:val="28"/>
          <w:rtl/>
          <w:lang w:bidi="ar-EG"/>
        </w:rPr>
      </w:pPr>
    </w:p>
    <w:p w14:paraId="7BCB8C55" w14:textId="77777777" w:rsidR="00AF505F" w:rsidRDefault="00AF505F" w:rsidP="00AF505F">
      <w:pPr>
        <w:bidi/>
        <w:rPr>
          <w:rFonts w:asciiTheme="majorBidi" w:hAnsiTheme="majorBidi" w:cstheme="majorBidi"/>
          <w:b/>
          <w:bCs/>
          <w:sz w:val="28"/>
          <w:szCs w:val="28"/>
          <w:rtl/>
          <w:lang w:bidi="ar-EG"/>
        </w:rPr>
      </w:pPr>
    </w:p>
    <w:p w14:paraId="32E0E996" w14:textId="77777777" w:rsidR="00AF505F" w:rsidRDefault="00AF505F" w:rsidP="00AF505F">
      <w:pPr>
        <w:bidi/>
        <w:rPr>
          <w:rFonts w:asciiTheme="majorBidi" w:hAnsiTheme="majorBidi" w:cstheme="majorBidi"/>
          <w:b/>
          <w:bCs/>
          <w:sz w:val="28"/>
          <w:szCs w:val="28"/>
          <w:rtl/>
          <w:lang w:bidi="ar-EG"/>
        </w:rPr>
      </w:pPr>
    </w:p>
    <w:p w14:paraId="09793546" w14:textId="77777777" w:rsidR="00AF505F" w:rsidRDefault="00AF505F" w:rsidP="00AF505F">
      <w:pPr>
        <w:bidi/>
        <w:rPr>
          <w:rFonts w:asciiTheme="majorBidi" w:hAnsiTheme="majorBidi" w:cstheme="majorBidi"/>
          <w:b/>
          <w:bCs/>
          <w:sz w:val="28"/>
          <w:szCs w:val="28"/>
          <w:rtl/>
          <w:lang w:bidi="ar-EG"/>
        </w:rPr>
      </w:pPr>
    </w:p>
    <w:p w14:paraId="5958765A" w14:textId="77777777" w:rsidR="00AF505F" w:rsidRDefault="00AF505F" w:rsidP="00AF505F">
      <w:pPr>
        <w:bidi/>
        <w:rPr>
          <w:rFonts w:asciiTheme="majorBidi" w:hAnsiTheme="majorBidi" w:cstheme="majorBidi"/>
          <w:b/>
          <w:bCs/>
          <w:sz w:val="28"/>
          <w:szCs w:val="28"/>
          <w:rtl/>
          <w:lang w:bidi="ar-EG"/>
        </w:rPr>
      </w:pPr>
    </w:p>
    <w:p w14:paraId="5C9EB6B7" w14:textId="77777777" w:rsidR="00AF505F" w:rsidRDefault="00AF505F" w:rsidP="00AF505F">
      <w:pPr>
        <w:bidi/>
        <w:rPr>
          <w:rFonts w:asciiTheme="majorBidi" w:hAnsiTheme="majorBidi" w:cstheme="majorBidi"/>
          <w:b/>
          <w:bCs/>
          <w:sz w:val="28"/>
          <w:szCs w:val="28"/>
          <w:rtl/>
          <w:lang w:bidi="ar-EG"/>
        </w:rPr>
      </w:pPr>
    </w:p>
    <w:p w14:paraId="246994D2" w14:textId="77777777" w:rsidR="00AF505F" w:rsidRDefault="00AF505F" w:rsidP="00AF505F">
      <w:pPr>
        <w:bidi/>
        <w:rPr>
          <w:rFonts w:asciiTheme="majorBidi" w:hAnsiTheme="majorBidi" w:cstheme="majorBidi"/>
          <w:b/>
          <w:bCs/>
          <w:sz w:val="28"/>
          <w:szCs w:val="28"/>
          <w:rtl/>
          <w:lang w:bidi="ar-EG"/>
        </w:rPr>
      </w:pPr>
    </w:p>
    <w:p w14:paraId="02B1CAFA" w14:textId="77777777" w:rsidR="00AF505F" w:rsidRDefault="00AF505F" w:rsidP="00AF505F">
      <w:pPr>
        <w:bidi/>
        <w:rPr>
          <w:rFonts w:asciiTheme="majorBidi" w:hAnsiTheme="majorBidi" w:cstheme="majorBidi"/>
          <w:b/>
          <w:bCs/>
          <w:sz w:val="28"/>
          <w:szCs w:val="28"/>
          <w:rtl/>
          <w:lang w:bidi="ar-EG"/>
        </w:rPr>
      </w:pPr>
    </w:p>
    <w:p w14:paraId="3EB93205" w14:textId="77777777" w:rsidR="00AF505F" w:rsidRPr="00AF505F" w:rsidRDefault="00AF505F" w:rsidP="00AF505F">
      <w:pPr>
        <w:bidi/>
        <w:rPr>
          <w:rFonts w:asciiTheme="majorBidi" w:hAnsiTheme="majorBidi" w:cstheme="majorBidi"/>
          <w:b/>
          <w:bCs/>
          <w:sz w:val="28"/>
          <w:szCs w:val="28"/>
          <w:rtl/>
          <w:lang w:bidi="ar-EG"/>
        </w:rPr>
      </w:pPr>
    </w:p>
    <w:p w14:paraId="55658128" w14:textId="77777777" w:rsidR="00AF505F" w:rsidRPr="00AF505F" w:rsidRDefault="00AF505F" w:rsidP="00AF505F">
      <w:pPr>
        <w:bidi/>
        <w:rPr>
          <w:rFonts w:asciiTheme="majorBidi" w:hAnsiTheme="majorBidi" w:cstheme="majorBidi"/>
          <w:b/>
          <w:bCs/>
          <w:sz w:val="28"/>
          <w:szCs w:val="28"/>
          <w:rtl/>
          <w:lang w:bidi="ar-EG"/>
        </w:rPr>
      </w:pPr>
    </w:p>
    <w:p w14:paraId="3218B06D" w14:textId="77777777" w:rsidR="00AF505F" w:rsidRPr="00AF505F" w:rsidRDefault="00AF505F" w:rsidP="00AF505F">
      <w:pPr>
        <w:bidi/>
        <w:rPr>
          <w:rFonts w:asciiTheme="majorBidi" w:hAnsiTheme="majorBidi" w:cstheme="majorBidi"/>
          <w:b/>
          <w:bCs/>
          <w:sz w:val="28"/>
          <w:szCs w:val="28"/>
          <w:rtl/>
          <w:lang w:bidi="ar-EG"/>
        </w:rPr>
      </w:pPr>
      <w:r w:rsidRPr="00AF505F">
        <w:rPr>
          <w:rFonts w:asciiTheme="majorBidi" w:hAnsiTheme="majorBidi" w:cstheme="majorBidi"/>
          <w:b/>
          <w:bCs/>
          <w:sz w:val="28"/>
          <w:szCs w:val="28"/>
          <w:rtl/>
          <w:lang w:bidi="ar-EG"/>
        </w:rPr>
        <w:t>المراجع:</w:t>
      </w:r>
    </w:p>
    <w:p w14:paraId="783517B7" w14:textId="77777777" w:rsidR="00AF505F" w:rsidRPr="00AF505F" w:rsidRDefault="00AF505F" w:rsidP="00AF505F">
      <w:pPr>
        <w:bidi/>
        <w:rPr>
          <w:rFonts w:asciiTheme="majorBidi" w:hAnsiTheme="majorBidi" w:cstheme="majorBidi"/>
          <w:b/>
          <w:bCs/>
          <w:sz w:val="28"/>
          <w:szCs w:val="28"/>
          <w:rtl/>
          <w:lang w:bidi="ar-EG"/>
        </w:rPr>
      </w:pPr>
      <w:r w:rsidRPr="00AF505F">
        <w:rPr>
          <w:rFonts w:asciiTheme="majorBidi" w:hAnsiTheme="majorBidi" w:cstheme="majorBidi"/>
          <w:b/>
          <w:bCs/>
          <w:sz w:val="28"/>
          <w:szCs w:val="28"/>
          <w:rtl/>
          <w:lang w:bidi="ar-EG"/>
        </w:rPr>
        <w:t>المراجع العربية</w:t>
      </w:r>
    </w:p>
    <w:p w14:paraId="27DBCAAF" w14:textId="77777777" w:rsidR="00AF505F" w:rsidRPr="00AF505F" w:rsidRDefault="00AF505F" w:rsidP="00AF505F">
      <w:pPr>
        <w:bidi/>
        <w:ind w:left="1440" w:hanging="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t xml:space="preserve">رؤية المملكة العربية السعودية 2030. (2026). الموقع الرسمي. مسترجع من: </w:t>
      </w:r>
      <w:hyperlink r:id="rId9" w:history="1">
        <w:r w:rsidRPr="00AF505F">
          <w:rPr>
            <w:rStyle w:val="Hyperlink"/>
            <w:rFonts w:asciiTheme="majorBidi" w:hAnsiTheme="majorBidi" w:cstheme="majorBidi"/>
            <w:sz w:val="28"/>
            <w:szCs w:val="28"/>
            <w:lang w:bidi="ar-EG"/>
          </w:rPr>
          <w:t>https://www.vision2030.gov.sa/ar/</w:t>
        </w:r>
      </w:hyperlink>
      <w:r w:rsidRPr="00AF505F">
        <w:rPr>
          <w:rFonts w:asciiTheme="majorBidi" w:hAnsiTheme="majorBidi" w:cstheme="majorBidi"/>
          <w:sz w:val="28"/>
          <w:szCs w:val="28"/>
          <w:rtl/>
          <w:lang w:bidi="ar-EG"/>
        </w:rPr>
        <w:t xml:space="preserve"> </w:t>
      </w:r>
    </w:p>
    <w:p w14:paraId="35FB5126" w14:textId="77777777" w:rsidR="00AF505F" w:rsidRPr="00AF505F" w:rsidRDefault="00AF505F" w:rsidP="00AF505F">
      <w:pPr>
        <w:bidi/>
        <w:ind w:left="1440" w:hanging="720"/>
        <w:jc w:val="both"/>
        <w:rPr>
          <w:rFonts w:asciiTheme="majorBidi" w:hAnsiTheme="majorBidi" w:cstheme="majorBidi"/>
          <w:sz w:val="28"/>
          <w:szCs w:val="28"/>
          <w:rtl/>
          <w:lang w:bidi="ar-EG"/>
        </w:rPr>
      </w:pPr>
      <w:proofErr w:type="gramStart"/>
      <w:r w:rsidRPr="00AF505F">
        <w:rPr>
          <w:rFonts w:asciiTheme="majorBidi" w:hAnsiTheme="majorBidi" w:cstheme="majorBidi"/>
          <w:sz w:val="28"/>
          <w:szCs w:val="28"/>
          <w:rtl/>
          <w:lang w:bidi="ar-EG"/>
        </w:rPr>
        <w:t>عبدالنبي,</w:t>
      </w:r>
      <w:proofErr w:type="gramEnd"/>
      <w:r w:rsidRPr="00AF505F">
        <w:rPr>
          <w:rFonts w:asciiTheme="majorBidi" w:hAnsiTheme="majorBidi" w:cstheme="majorBidi"/>
          <w:sz w:val="28"/>
          <w:szCs w:val="28"/>
          <w:rtl/>
          <w:lang w:bidi="ar-EG"/>
        </w:rPr>
        <w:t xml:space="preserve"> هدى أحمد </w:t>
      </w:r>
      <w:proofErr w:type="gramStart"/>
      <w:r w:rsidRPr="00AF505F">
        <w:rPr>
          <w:rFonts w:asciiTheme="majorBidi" w:hAnsiTheme="majorBidi" w:cstheme="majorBidi"/>
          <w:sz w:val="28"/>
          <w:szCs w:val="28"/>
          <w:rtl/>
          <w:lang w:bidi="ar-EG"/>
        </w:rPr>
        <w:t>ابراهيم,</w:t>
      </w:r>
      <w:proofErr w:type="gramEnd"/>
      <w:r w:rsidRPr="00AF505F">
        <w:rPr>
          <w:rFonts w:asciiTheme="majorBidi" w:hAnsiTheme="majorBidi" w:cstheme="majorBidi"/>
          <w:sz w:val="28"/>
          <w:szCs w:val="28"/>
          <w:rtl/>
          <w:lang w:bidi="ar-EG"/>
        </w:rPr>
        <w:t xml:space="preserve"> </w:t>
      </w:r>
      <w:proofErr w:type="gramStart"/>
      <w:r w:rsidRPr="00AF505F">
        <w:rPr>
          <w:rFonts w:asciiTheme="majorBidi" w:hAnsiTheme="majorBidi" w:cstheme="majorBidi"/>
          <w:sz w:val="28"/>
          <w:szCs w:val="28"/>
          <w:rtl/>
          <w:lang w:bidi="ar-EG"/>
        </w:rPr>
        <w:t>العيوني,</w:t>
      </w:r>
      <w:proofErr w:type="gramEnd"/>
      <w:r w:rsidRPr="00AF505F">
        <w:rPr>
          <w:rFonts w:asciiTheme="majorBidi" w:hAnsiTheme="majorBidi" w:cstheme="majorBidi"/>
          <w:sz w:val="28"/>
          <w:szCs w:val="28"/>
          <w:rtl/>
          <w:lang w:bidi="ar-EG"/>
        </w:rPr>
        <w:t xml:space="preserve"> &amp; عهد علي حمد. (2025). أثر الذكاء الاصطناعي في تطوير راس المال الفكري في شركة المراعي بالسعودية. </w:t>
      </w:r>
      <w:r w:rsidRPr="00AF505F">
        <w:rPr>
          <w:rFonts w:asciiTheme="majorBidi" w:hAnsiTheme="majorBidi" w:cstheme="majorBidi"/>
          <w:i/>
          <w:iCs/>
          <w:sz w:val="28"/>
          <w:szCs w:val="28"/>
          <w:rtl/>
          <w:lang w:bidi="ar-EG"/>
        </w:rPr>
        <w:t>المجلة الدولية للتنمية</w:t>
      </w:r>
      <w:r w:rsidRPr="00AF505F">
        <w:rPr>
          <w:rFonts w:asciiTheme="majorBidi" w:hAnsiTheme="majorBidi" w:cstheme="majorBidi"/>
          <w:sz w:val="28"/>
          <w:szCs w:val="28"/>
          <w:rtl/>
          <w:lang w:bidi="ar-EG"/>
        </w:rPr>
        <w:t>, 14(</w:t>
      </w:r>
      <w:proofErr w:type="gramStart"/>
      <w:r w:rsidRPr="00AF505F">
        <w:rPr>
          <w:rFonts w:asciiTheme="majorBidi" w:hAnsiTheme="majorBidi" w:cstheme="majorBidi"/>
          <w:sz w:val="28"/>
          <w:szCs w:val="28"/>
          <w:rtl/>
          <w:lang w:bidi="ar-EG"/>
        </w:rPr>
        <w:t>1),</w:t>
      </w:r>
      <w:proofErr w:type="gramEnd"/>
      <w:r w:rsidRPr="00AF505F">
        <w:rPr>
          <w:rFonts w:asciiTheme="majorBidi" w:hAnsiTheme="majorBidi" w:cstheme="majorBidi"/>
          <w:sz w:val="28"/>
          <w:szCs w:val="28"/>
          <w:rtl/>
          <w:lang w:bidi="ar-EG"/>
        </w:rPr>
        <w:t xml:space="preserve"> 53-78.</w:t>
      </w:r>
    </w:p>
    <w:p w14:paraId="0564F3C7" w14:textId="77777777" w:rsidR="00AF505F" w:rsidRPr="00AF505F" w:rsidRDefault="00AF505F" w:rsidP="00AF505F">
      <w:pPr>
        <w:bidi/>
        <w:ind w:left="1440" w:hanging="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t xml:space="preserve">عبد العال عبد الودود محمد حمزة. (2025). أثر التخطيط الاستراتيجي في تحسين أداء المشروعات باستخدام أدوات الذكاء الاصطناعي في ضوء رؤية المملكة العربية السعودية 2030. </w:t>
      </w:r>
      <w:r w:rsidRPr="00AF505F">
        <w:rPr>
          <w:rFonts w:asciiTheme="majorBidi" w:hAnsiTheme="majorBidi" w:cstheme="majorBidi"/>
          <w:i/>
          <w:iCs/>
          <w:sz w:val="28"/>
          <w:szCs w:val="28"/>
          <w:rtl/>
          <w:lang w:bidi="ar-EG"/>
        </w:rPr>
        <w:t>مجلة العلوم الإنسانية والطبيعية</w:t>
      </w:r>
      <w:r w:rsidRPr="00AF505F">
        <w:rPr>
          <w:rFonts w:asciiTheme="majorBidi" w:hAnsiTheme="majorBidi" w:cstheme="majorBidi"/>
          <w:sz w:val="28"/>
          <w:szCs w:val="28"/>
          <w:rtl/>
          <w:lang w:bidi="ar-EG"/>
        </w:rPr>
        <w:t>, 6(</w:t>
      </w:r>
      <w:proofErr w:type="gramStart"/>
      <w:r w:rsidRPr="00AF505F">
        <w:rPr>
          <w:rFonts w:asciiTheme="majorBidi" w:hAnsiTheme="majorBidi" w:cstheme="majorBidi"/>
          <w:sz w:val="28"/>
          <w:szCs w:val="28"/>
          <w:rtl/>
          <w:lang w:bidi="ar-EG"/>
        </w:rPr>
        <w:t>12),</w:t>
      </w:r>
      <w:proofErr w:type="gramEnd"/>
      <w:r w:rsidRPr="00AF505F">
        <w:rPr>
          <w:rFonts w:asciiTheme="majorBidi" w:hAnsiTheme="majorBidi" w:cstheme="majorBidi"/>
          <w:sz w:val="28"/>
          <w:szCs w:val="28"/>
          <w:rtl/>
          <w:lang w:bidi="ar-EG"/>
        </w:rPr>
        <w:t xml:space="preserve"> 90-107.</w:t>
      </w:r>
    </w:p>
    <w:p w14:paraId="0CE8CC06" w14:textId="77777777" w:rsidR="00AF505F" w:rsidRPr="00AF505F" w:rsidRDefault="00AF505F" w:rsidP="00AF505F">
      <w:pPr>
        <w:bidi/>
        <w:ind w:left="1440" w:hanging="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t xml:space="preserve">مها محمد </w:t>
      </w:r>
      <w:proofErr w:type="gramStart"/>
      <w:r w:rsidRPr="00AF505F">
        <w:rPr>
          <w:rFonts w:asciiTheme="majorBidi" w:hAnsiTheme="majorBidi" w:cstheme="majorBidi"/>
          <w:sz w:val="28"/>
          <w:szCs w:val="28"/>
          <w:rtl/>
          <w:lang w:bidi="ar-EG"/>
        </w:rPr>
        <w:t>العتيبي,</w:t>
      </w:r>
      <w:proofErr w:type="gramEnd"/>
      <w:r w:rsidRPr="00AF505F">
        <w:rPr>
          <w:rFonts w:asciiTheme="majorBidi" w:hAnsiTheme="majorBidi" w:cstheme="majorBidi"/>
          <w:sz w:val="28"/>
          <w:szCs w:val="28"/>
          <w:rtl/>
          <w:lang w:bidi="ar-EG"/>
        </w:rPr>
        <w:t xml:space="preserve"> &amp; ليلى عابد اليوبي. (2024). أثر تقنيات الذكاء الاصطناعي على الابتكار التسويقي: دراسة تطبيقية على شركة موبايلي بالمملكة العربية السعودية. </w:t>
      </w:r>
      <w:r w:rsidRPr="00AF505F">
        <w:rPr>
          <w:rFonts w:asciiTheme="majorBidi" w:hAnsiTheme="majorBidi" w:cstheme="majorBidi"/>
          <w:i/>
          <w:iCs/>
          <w:sz w:val="28"/>
          <w:szCs w:val="28"/>
          <w:rtl/>
          <w:lang w:bidi="ar-EG"/>
        </w:rPr>
        <w:t xml:space="preserve">مجلة العلوم الإنسانية </w:t>
      </w:r>
      <w:proofErr w:type="gramStart"/>
      <w:r w:rsidRPr="00AF505F">
        <w:rPr>
          <w:rFonts w:asciiTheme="majorBidi" w:hAnsiTheme="majorBidi" w:cstheme="majorBidi"/>
          <w:i/>
          <w:iCs/>
          <w:sz w:val="28"/>
          <w:szCs w:val="28"/>
          <w:rtl/>
          <w:lang w:bidi="ar-EG"/>
        </w:rPr>
        <w:t xml:space="preserve">و </w:t>
      </w:r>
      <w:proofErr w:type="spellStart"/>
      <w:r w:rsidRPr="00AF505F">
        <w:rPr>
          <w:rFonts w:asciiTheme="majorBidi" w:hAnsiTheme="majorBidi" w:cstheme="majorBidi"/>
          <w:i/>
          <w:iCs/>
          <w:sz w:val="28"/>
          <w:szCs w:val="28"/>
          <w:rtl/>
          <w:lang w:bidi="ar-EG"/>
        </w:rPr>
        <w:t>الإجتماعية</w:t>
      </w:r>
      <w:proofErr w:type="spellEnd"/>
      <w:proofErr w:type="gramEnd"/>
      <w:r w:rsidRPr="00AF505F">
        <w:rPr>
          <w:rFonts w:asciiTheme="majorBidi" w:hAnsiTheme="majorBidi" w:cstheme="majorBidi"/>
          <w:sz w:val="28"/>
          <w:szCs w:val="28"/>
          <w:rtl/>
          <w:lang w:bidi="ar-EG"/>
        </w:rPr>
        <w:t>, 8(</w:t>
      </w:r>
      <w:proofErr w:type="gramStart"/>
      <w:r w:rsidRPr="00AF505F">
        <w:rPr>
          <w:rFonts w:asciiTheme="majorBidi" w:hAnsiTheme="majorBidi" w:cstheme="majorBidi"/>
          <w:sz w:val="28"/>
          <w:szCs w:val="28"/>
          <w:rtl/>
          <w:lang w:bidi="ar-EG"/>
        </w:rPr>
        <w:t>11),</w:t>
      </w:r>
      <w:proofErr w:type="gramEnd"/>
      <w:r w:rsidRPr="00AF505F">
        <w:rPr>
          <w:rFonts w:asciiTheme="majorBidi" w:hAnsiTheme="majorBidi" w:cstheme="majorBidi"/>
          <w:sz w:val="28"/>
          <w:szCs w:val="28"/>
          <w:rtl/>
          <w:lang w:bidi="ar-EG"/>
        </w:rPr>
        <w:t xml:space="preserve"> 10-26.</w:t>
      </w:r>
    </w:p>
    <w:p w14:paraId="59E7B488" w14:textId="77777777" w:rsidR="00AF505F" w:rsidRPr="00AF505F" w:rsidRDefault="00AF505F" w:rsidP="00AF505F">
      <w:pPr>
        <w:bidi/>
        <w:ind w:left="1440" w:hanging="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t xml:space="preserve">مشعان حاتم ابن عج. (2023). انعكاس تقنيات الذكاء الاصطناعي على الشركات في النظام السعودي. </w:t>
      </w:r>
      <w:r w:rsidRPr="00AF505F">
        <w:rPr>
          <w:rFonts w:asciiTheme="majorBidi" w:hAnsiTheme="majorBidi" w:cstheme="majorBidi"/>
          <w:i/>
          <w:iCs/>
          <w:sz w:val="28"/>
          <w:szCs w:val="28"/>
          <w:rtl/>
          <w:lang w:bidi="ar-EG"/>
        </w:rPr>
        <w:t>مجلة الأندلس للعلوم الإنسانية والاجتماعية</w:t>
      </w:r>
      <w:r w:rsidRPr="00AF505F">
        <w:rPr>
          <w:rFonts w:asciiTheme="majorBidi" w:hAnsiTheme="majorBidi" w:cstheme="majorBidi"/>
          <w:sz w:val="28"/>
          <w:szCs w:val="28"/>
          <w:rtl/>
          <w:lang w:bidi="ar-EG"/>
        </w:rPr>
        <w:t>، 10(73).</w:t>
      </w:r>
    </w:p>
    <w:p w14:paraId="2905A1A5" w14:textId="77777777" w:rsidR="00AF505F" w:rsidRPr="00AF505F" w:rsidRDefault="00AF505F" w:rsidP="00AF505F">
      <w:pPr>
        <w:bidi/>
        <w:ind w:left="1440" w:hanging="720"/>
        <w:jc w:val="both"/>
        <w:rPr>
          <w:rFonts w:asciiTheme="majorBidi" w:hAnsiTheme="majorBidi" w:cstheme="majorBidi"/>
          <w:sz w:val="28"/>
          <w:szCs w:val="28"/>
          <w:rtl/>
          <w:lang w:bidi="ar-EG"/>
        </w:rPr>
      </w:pPr>
      <w:proofErr w:type="spellStart"/>
      <w:r w:rsidRPr="00AF505F">
        <w:rPr>
          <w:rFonts w:asciiTheme="majorBidi" w:hAnsiTheme="majorBidi" w:cstheme="majorBidi"/>
          <w:sz w:val="28"/>
          <w:szCs w:val="28"/>
          <w:rtl/>
          <w:lang w:bidi="ar-EG"/>
        </w:rPr>
        <w:t>تهامه</w:t>
      </w:r>
      <w:proofErr w:type="spellEnd"/>
      <w:r w:rsidRPr="00AF505F">
        <w:rPr>
          <w:rFonts w:asciiTheme="majorBidi" w:hAnsiTheme="majorBidi" w:cstheme="majorBidi"/>
          <w:sz w:val="28"/>
          <w:szCs w:val="28"/>
          <w:rtl/>
          <w:lang w:bidi="ar-EG"/>
        </w:rPr>
        <w:t xml:space="preserve"> سميح موسى الجعافرة. (2023). الذكاء الاصطناعي ودوره في إدارة الموارد البشرية في البلديات 2023. </w:t>
      </w:r>
      <w:r w:rsidRPr="00AF505F">
        <w:rPr>
          <w:rFonts w:asciiTheme="majorBidi" w:hAnsiTheme="majorBidi" w:cstheme="majorBidi"/>
          <w:i/>
          <w:iCs/>
          <w:sz w:val="28"/>
          <w:szCs w:val="28"/>
          <w:rtl/>
          <w:lang w:bidi="ar-EG"/>
        </w:rPr>
        <w:t>مجلة العلوم الإنسانية والطبيعية</w:t>
      </w:r>
      <w:r w:rsidRPr="00AF505F">
        <w:rPr>
          <w:rFonts w:asciiTheme="majorBidi" w:hAnsiTheme="majorBidi" w:cstheme="majorBidi"/>
          <w:sz w:val="28"/>
          <w:szCs w:val="28"/>
          <w:rtl/>
          <w:lang w:bidi="ar-EG"/>
        </w:rPr>
        <w:t>, 4(</w:t>
      </w:r>
      <w:proofErr w:type="gramStart"/>
      <w:r w:rsidRPr="00AF505F">
        <w:rPr>
          <w:rFonts w:asciiTheme="majorBidi" w:hAnsiTheme="majorBidi" w:cstheme="majorBidi"/>
          <w:sz w:val="28"/>
          <w:szCs w:val="28"/>
          <w:rtl/>
          <w:lang w:bidi="ar-EG"/>
        </w:rPr>
        <w:t>2),</w:t>
      </w:r>
      <w:proofErr w:type="gramEnd"/>
      <w:r w:rsidRPr="00AF505F">
        <w:rPr>
          <w:rFonts w:asciiTheme="majorBidi" w:hAnsiTheme="majorBidi" w:cstheme="majorBidi"/>
          <w:sz w:val="28"/>
          <w:szCs w:val="28"/>
          <w:rtl/>
          <w:lang w:bidi="ar-EG"/>
        </w:rPr>
        <w:t xml:space="preserve"> 986-1002.</w:t>
      </w:r>
    </w:p>
    <w:p w14:paraId="5817016B" w14:textId="77777777" w:rsidR="00AF505F" w:rsidRPr="00AF505F" w:rsidRDefault="00AF505F" w:rsidP="00AF505F">
      <w:pPr>
        <w:bidi/>
        <w:ind w:left="1440" w:hanging="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t xml:space="preserve">عبد المنعم محمد إبراهيم. (2025). الموائمة الاستراتيجية ودورها في دعم الأداء المؤسسي: الدور الوسيط لفعالية القرار، دراسة تطبيقية. </w:t>
      </w:r>
      <w:r w:rsidRPr="00AF505F">
        <w:rPr>
          <w:rFonts w:asciiTheme="majorBidi" w:hAnsiTheme="majorBidi" w:cstheme="majorBidi"/>
          <w:i/>
          <w:iCs/>
          <w:sz w:val="28"/>
          <w:szCs w:val="28"/>
          <w:rtl/>
          <w:lang w:bidi="ar-EG"/>
        </w:rPr>
        <w:t>المجلة العلمية للدراسات التجارية والبيئية</w:t>
      </w:r>
      <w:r w:rsidRPr="00AF505F">
        <w:rPr>
          <w:rFonts w:asciiTheme="majorBidi" w:hAnsiTheme="majorBidi" w:cstheme="majorBidi"/>
          <w:sz w:val="28"/>
          <w:szCs w:val="28"/>
          <w:rtl/>
          <w:lang w:bidi="ar-EG"/>
        </w:rPr>
        <w:t>, 16(</w:t>
      </w:r>
      <w:proofErr w:type="gramStart"/>
      <w:r w:rsidRPr="00AF505F">
        <w:rPr>
          <w:rFonts w:asciiTheme="majorBidi" w:hAnsiTheme="majorBidi" w:cstheme="majorBidi"/>
          <w:sz w:val="28"/>
          <w:szCs w:val="28"/>
          <w:rtl/>
          <w:lang w:bidi="ar-EG"/>
        </w:rPr>
        <w:t>2),</w:t>
      </w:r>
      <w:proofErr w:type="gramEnd"/>
      <w:r w:rsidRPr="00AF505F">
        <w:rPr>
          <w:rFonts w:asciiTheme="majorBidi" w:hAnsiTheme="majorBidi" w:cstheme="majorBidi"/>
          <w:sz w:val="28"/>
          <w:szCs w:val="28"/>
          <w:rtl/>
          <w:lang w:bidi="ar-EG"/>
        </w:rPr>
        <w:t xml:space="preserve"> 186-242.</w:t>
      </w:r>
    </w:p>
    <w:p w14:paraId="059E54D8" w14:textId="77777777" w:rsidR="00AF505F" w:rsidRPr="00AF505F" w:rsidRDefault="00AF505F" w:rsidP="00AF505F">
      <w:pPr>
        <w:bidi/>
        <w:ind w:left="1440" w:hanging="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t xml:space="preserve">حاتم </w:t>
      </w:r>
      <w:proofErr w:type="gramStart"/>
      <w:r w:rsidRPr="00AF505F">
        <w:rPr>
          <w:rFonts w:asciiTheme="majorBidi" w:hAnsiTheme="majorBidi" w:cstheme="majorBidi"/>
          <w:sz w:val="28"/>
          <w:szCs w:val="28"/>
          <w:rtl/>
          <w:lang w:bidi="ar-EG"/>
        </w:rPr>
        <w:t>عبدالله</w:t>
      </w:r>
      <w:proofErr w:type="gramEnd"/>
      <w:r w:rsidRPr="00AF505F">
        <w:rPr>
          <w:rFonts w:asciiTheme="majorBidi" w:hAnsiTheme="majorBidi" w:cstheme="majorBidi"/>
          <w:sz w:val="28"/>
          <w:szCs w:val="28"/>
          <w:rtl/>
          <w:lang w:bidi="ar-EG"/>
        </w:rPr>
        <w:t xml:space="preserve"> محمد </w:t>
      </w:r>
      <w:proofErr w:type="spellStart"/>
      <w:r w:rsidRPr="00AF505F">
        <w:rPr>
          <w:rFonts w:asciiTheme="majorBidi" w:hAnsiTheme="majorBidi" w:cstheme="majorBidi"/>
          <w:sz w:val="28"/>
          <w:szCs w:val="28"/>
          <w:rtl/>
          <w:lang w:bidi="ar-EG"/>
        </w:rPr>
        <w:t>الشيزاوي</w:t>
      </w:r>
      <w:proofErr w:type="spellEnd"/>
      <w:r w:rsidRPr="00AF505F">
        <w:rPr>
          <w:rFonts w:asciiTheme="majorBidi" w:hAnsiTheme="majorBidi" w:cstheme="majorBidi"/>
          <w:sz w:val="28"/>
          <w:szCs w:val="28"/>
          <w:rtl/>
          <w:lang w:bidi="ar-EG"/>
        </w:rPr>
        <w:t xml:space="preserve">. (2024). أثر الرقابة الإدارية على فاعلية القرارات في المؤسسات الحكومية العمانية. </w:t>
      </w:r>
      <w:r w:rsidRPr="00AF505F">
        <w:rPr>
          <w:rFonts w:asciiTheme="majorBidi" w:hAnsiTheme="majorBidi" w:cstheme="majorBidi"/>
          <w:i/>
          <w:iCs/>
          <w:sz w:val="28"/>
          <w:szCs w:val="28"/>
          <w:rtl/>
          <w:lang w:bidi="ar-EG"/>
        </w:rPr>
        <w:t xml:space="preserve">مجلة العلوم </w:t>
      </w:r>
      <w:proofErr w:type="spellStart"/>
      <w:r w:rsidRPr="00AF505F">
        <w:rPr>
          <w:rFonts w:asciiTheme="majorBidi" w:hAnsiTheme="majorBidi" w:cstheme="majorBidi"/>
          <w:i/>
          <w:iCs/>
          <w:sz w:val="28"/>
          <w:szCs w:val="28"/>
          <w:rtl/>
          <w:lang w:bidi="ar-EG"/>
        </w:rPr>
        <w:t>الإقتصادية</w:t>
      </w:r>
      <w:proofErr w:type="spellEnd"/>
      <w:r w:rsidRPr="00AF505F">
        <w:rPr>
          <w:rFonts w:asciiTheme="majorBidi" w:hAnsiTheme="majorBidi" w:cstheme="majorBidi"/>
          <w:i/>
          <w:iCs/>
          <w:sz w:val="28"/>
          <w:szCs w:val="28"/>
          <w:rtl/>
          <w:lang w:bidi="ar-EG"/>
        </w:rPr>
        <w:t xml:space="preserve"> </w:t>
      </w:r>
      <w:proofErr w:type="gramStart"/>
      <w:r w:rsidRPr="00AF505F">
        <w:rPr>
          <w:rFonts w:asciiTheme="majorBidi" w:hAnsiTheme="majorBidi" w:cstheme="majorBidi"/>
          <w:i/>
          <w:iCs/>
          <w:sz w:val="28"/>
          <w:szCs w:val="28"/>
          <w:rtl/>
          <w:lang w:bidi="ar-EG"/>
        </w:rPr>
        <w:t>و الإدارية</w:t>
      </w:r>
      <w:proofErr w:type="gramEnd"/>
      <w:r w:rsidRPr="00AF505F">
        <w:rPr>
          <w:rFonts w:asciiTheme="majorBidi" w:hAnsiTheme="majorBidi" w:cstheme="majorBidi"/>
          <w:i/>
          <w:iCs/>
          <w:sz w:val="28"/>
          <w:szCs w:val="28"/>
          <w:rtl/>
          <w:lang w:bidi="ar-EG"/>
        </w:rPr>
        <w:t xml:space="preserve"> </w:t>
      </w:r>
      <w:proofErr w:type="gramStart"/>
      <w:r w:rsidRPr="00AF505F">
        <w:rPr>
          <w:rFonts w:asciiTheme="majorBidi" w:hAnsiTheme="majorBidi" w:cstheme="majorBidi"/>
          <w:i/>
          <w:iCs/>
          <w:sz w:val="28"/>
          <w:szCs w:val="28"/>
          <w:rtl/>
          <w:lang w:bidi="ar-EG"/>
        </w:rPr>
        <w:t>و القانونية</w:t>
      </w:r>
      <w:proofErr w:type="gramEnd"/>
      <w:r w:rsidRPr="00AF505F">
        <w:rPr>
          <w:rFonts w:asciiTheme="majorBidi" w:hAnsiTheme="majorBidi" w:cstheme="majorBidi"/>
          <w:sz w:val="28"/>
          <w:szCs w:val="28"/>
          <w:rtl/>
          <w:lang w:bidi="ar-EG"/>
        </w:rPr>
        <w:t>, 8(</w:t>
      </w:r>
      <w:proofErr w:type="gramStart"/>
      <w:r w:rsidRPr="00AF505F">
        <w:rPr>
          <w:rFonts w:asciiTheme="majorBidi" w:hAnsiTheme="majorBidi" w:cstheme="majorBidi"/>
          <w:sz w:val="28"/>
          <w:szCs w:val="28"/>
          <w:rtl/>
          <w:lang w:bidi="ar-EG"/>
        </w:rPr>
        <w:t>5),</w:t>
      </w:r>
      <w:proofErr w:type="gramEnd"/>
      <w:r w:rsidRPr="00AF505F">
        <w:rPr>
          <w:rFonts w:asciiTheme="majorBidi" w:hAnsiTheme="majorBidi" w:cstheme="majorBidi"/>
          <w:sz w:val="28"/>
          <w:szCs w:val="28"/>
          <w:rtl/>
          <w:lang w:bidi="ar-EG"/>
        </w:rPr>
        <w:t xml:space="preserve"> 17-36.</w:t>
      </w:r>
    </w:p>
    <w:p w14:paraId="26299652" w14:textId="77777777" w:rsidR="00AF505F" w:rsidRPr="00AF505F" w:rsidRDefault="00AF505F" w:rsidP="00AF505F">
      <w:pPr>
        <w:bidi/>
        <w:ind w:left="1440" w:hanging="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t xml:space="preserve">محمد بيرم </w:t>
      </w:r>
      <w:proofErr w:type="gramStart"/>
      <w:r w:rsidRPr="00AF505F">
        <w:rPr>
          <w:rFonts w:asciiTheme="majorBidi" w:hAnsiTheme="majorBidi" w:cstheme="majorBidi"/>
          <w:sz w:val="28"/>
          <w:szCs w:val="28"/>
          <w:rtl/>
          <w:lang w:bidi="ar-EG"/>
        </w:rPr>
        <w:t>عبدالعزيز</w:t>
      </w:r>
      <w:proofErr w:type="gramEnd"/>
      <w:r w:rsidRPr="00AF505F">
        <w:rPr>
          <w:rFonts w:asciiTheme="majorBidi" w:hAnsiTheme="majorBidi" w:cstheme="majorBidi"/>
          <w:sz w:val="28"/>
          <w:szCs w:val="28"/>
          <w:rtl/>
          <w:lang w:bidi="ar-EG"/>
        </w:rPr>
        <w:t xml:space="preserve"> </w:t>
      </w:r>
      <w:proofErr w:type="gramStart"/>
      <w:r w:rsidRPr="00AF505F">
        <w:rPr>
          <w:rFonts w:asciiTheme="majorBidi" w:hAnsiTheme="majorBidi" w:cstheme="majorBidi"/>
          <w:sz w:val="28"/>
          <w:szCs w:val="28"/>
          <w:rtl/>
          <w:lang w:bidi="ar-EG"/>
        </w:rPr>
        <w:t>ابراهيم,</w:t>
      </w:r>
      <w:proofErr w:type="gramEnd"/>
      <w:r w:rsidRPr="00AF505F">
        <w:rPr>
          <w:rFonts w:asciiTheme="majorBidi" w:hAnsiTheme="majorBidi" w:cstheme="majorBidi"/>
          <w:sz w:val="28"/>
          <w:szCs w:val="28"/>
          <w:rtl/>
          <w:lang w:bidi="ar-EG"/>
        </w:rPr>
        <w:t xml:space="preserve"> </w:t>
      </w:r>
      <w:proofErr w:type="gramStart"/>
      <w:r w:rsidRPr="00AF505F">
        <w:rPr>
          <w:rFonts w:asciiTheme="majorBidi" w:hAnsiTheme="majorBidi" w:cstheme="majorBidi"/>
          <w:sz w:val="28"/>
          <w:szCs w:val="28"/>
          <w:rtl/>
          <w:lang w:bidi="ar-EG"/>
        </w:rPr>
        <w:t>أيمن,</w:t>
      </w:r>
      <w:proofErr w:type="gramEnd"/>
      <w:r w:rsidRPr="00AF505F">
        <w:rPr>
          <w:rFonts w:asciiTheme="majorBidi" w:hAnsiTheme="majorBidi" w:cstheme="majorBidi"/>
          <w:sz w:val="28"/>
          <w:szCs w:val="28"/>
          <w:rtl/>
          <w:lang w:bidi="ar-EG"/>
        </w:rPr>
        <w:t xml:space="preserve"> &amp; سعد. (2023). تأثير التحول </w:t>
      </w:r>
      <w:proofErr w:type="spellStart"/>
      <w:r w:rsidRPr="00AF505F">
        <w:rPr>
          <w:rFonts w:asciiTheme="majorBidi" w:hAnsiTheme="majorBidi" w:cstheme="majorBidi"/>
          <w:sz w:val="28"/>
          <w:szCs w:val="28"/>
          <w:rtl/>
          <w:lang w:bidi="ar-EG"/>
        </w:rPr>
        <w:t>الرقمى</w:t>
      </w:r>
      <w:proofErr w:type="spellEnd"/>
      <w:r w:rsidRPr="00AF505F">
        <w:rPr>
          <w:rFonts w:asciiTheme="majorBidi" w:hAnsiTheme="majorBidi" w:cstheme="majorBidi"/>
          <w:sz w:val="28"/>
          <w:szCs w:val="28"/>
          <w:rtl/>
          <w:lang w:bidi="ar-EG"/>
        </w:rPr>
        <w:t xml:space="preserve"> على فاعلية اتخاذ القرارات الإستراتيجية: الدور الوسيط الميزة التنافسية. </w:t>
      </w:r>
      <w:r w:rsidRPr="00AF505F">
        <w:rPr>
          <w:rFonts w:asciiTheme="majorBidi" w:hAnsiTheme="majorBidi" w:cstheme="majorBidi"/>
          <w:i/>
          <w:iCs/>
          <w:sz w:val="28"/>
          <w:szCs w:val="28"/>
          <w:rtl/>
          <w:lang w:bidi="ar-EG"/>
        </w:rPr>
        <w:t>المجلة العلمية للدراسات التجارية والبيئية</w:t>
      </w:r>
      <w:r w:rsidRPr="00AF505F">
        <w:rPr>
          <w:rFonts w:asciiTheme="majorBidi" w:hAnsiTheme="majorBidi" w:cstheme="majorBidi"/>
          <w:sz w:val="28"/>
          <w:szCs w:val="28"/>
          <w:rtl/>
          <w:lang w:bidi="ar-EG"/>
        </w:rPr>
        <w:t>, 14(</w:t>
      </w:r>
      <w:proofErr w:type="gramStart"/>
      <w:r w:rsidRPr="00AF505F">
        <w:rPr>
          <w:rFonts w:asciiTheme="majorBidi" w:hAnsiTheme="majorBidi" w:cstheme="majorBidi"/>
          <w:sz w:val="28"/>
          <w:szCs w:val="28"/>
          <w:rtl/>
          <w:lang w:bidi="ar-EG"/>
        </w:rPr>
        <w:t>3),</w:t>
      </w:r>
      <w:proofErr w:type="gramEnd"/>
      <w:r w:rsidRPr="00AF505F">
        <w:rPr>
          <w:rFonts w:asciiTheme="majorBidi" w:hAnsiTheme="majorBidi" w:cstheme="majorBidi"/>
          <w:sz w:val="28"/>
          <w:szCs w:val="28"/>
          <w:rtl/>
          <w:lang w:bidi="ar-EG"/>
        </w:rPr>
        <w:t xml:space="preserve"> 2297-2323.</w:t>
      </w:r>
    </w:p>
    <w:p w14:paraId="247895F1" w14:textId="77777777" w:rsidR="00AF505F" w:rsidRPr="00AF505F" w:rsidRDefault="00AF505F" w:rsidP="00AF505F">
      <w:pPr>
        <w:bidi/>
        <w:ind w:left="1440" w:hanging="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t xml:space="preserve">يوسف صالح </w:t>
      </w:r>
      <w:proofErr w:type="gramStart"/>
      <w:r w:rsidRPr="00AF505F">
        <w:rPr>
          <w:rFonts w:asciiTheme="majorBidi" w:hAnsiTheme="majorBidi" w:cstheme="majorBidi"/>
          <w:sz w:val="28"/>
          <w:szCs w:val="28"/>
          <w:rtl/>
          <w:lang w:bidi="ar-EG"/>
        </w:rPr>
        <w:t>الشعار,</w:t>
      </w:r>
      <w:proofErr w:type="gramEnd"/>
      <w:r w:rsidRPr="00AF505F">
        <w:rPr>
          <w:rFonts w:asciiTheme="majorBidi" w:hAnsiTheme="majorBidi" w:cstheme="majorBidi"/>
          <w:sz w:val="28"/>
          <w:szCs w:val="28"/>
          <w:rtl/>
          <w:lang w:bidi="ar-EG"/>
        </w:rPr>
        <w:t xml:space="preserve"> &amp; حمزة. (2023). فاعلية إدارة الأصول غير الملموسة وأثرها على نظم اتخاذ القرارات الاستراتيجية في المنظمات الدور المعدل للهدر التنظيمي: دراسة ميدانية على شركات الصناعات الدوائية الأردنية. </w:t>
      </w:r>
      <w:r w:rsidRPr="00AF505F">
        <w:rPr>
          <w:rFonts w:asciiTheme="majorBidi" w:hAnsiTheme="majorBidi" w:cstheme="majorBidi"/>
          <w:i/>
          <w:iCs/>
          <w:sz w:val="28"/>
          <w:szCs w:val="28"/>
          <w:rtl/>
          <w:lang w:bidi="ar-EG"/>
        </w:rPr>
        <w:t>المجلة المصرية للدراسات التجارية</w:t>
      </w:r>
      <w:r w:rsidRPr="00AF505F">
        <w:rPr>
          <w:rFonts w:asciiTheme="majorBidi" w:hAnsiTheme="majorBidi" w:cstheme="majorBidi"/>
          <w:sz w:val="28"/>
          <w:szCs w:val="28"/>
          <w:rtl/>
          <w:lang w:bidi="ar-EG"/>
        </w:rPr>
        <w:t>, 844-868.</w:t>
      </w:r>
    </w:p>
    <w:p w14:paraId="411D0356" w14:textId="77777777" w:rsidR="00AF505F" w:rsidRPr="00AF505F" w:rsidRDefault="00AF505F" w:rsidP="00AF505F">
      <w:pPr>
        <w:bidi/>
        <w:ind w:left="1440" w:hanging="720"/>
        <w:jc w:val="both"/>
        <w:rPr>
          <w:rFonts w:asciiTheme="majorBidi" w:hAnsiTheme="majorBidi" w:cstheme="majorBidi"/>
          <w:sz w:val="28"/>
          <w:szCs w:val="28"/>
          <w:rtl/>
          <w:lang w:bidi="ar-EG"/>
        </w:rPr>
      </w:pPr>
      <w:r w:rsidRPr="00AF505F">
        <w:rPr>
          <w:rFonts w:asciiTheme="majorBidi" w:hAnsiTheme="majorBidi" w:cstheme="majorBidi"/>
          <w:sz w:val="28"/>
          <w:szCs w:val="28"/>
          <w:rtl/>
          <w:lang w:bidi="ar-EG"/>
        </w:rPr>
        <w:lastRenderedPageBreak/>
        <w:t xml:space="preserve">عبد علي. (2022). دور الجمال يتنافس في شدة التحديد تحديدا: تم النظر في الاستطلاع للآراء الفنية من مديري شركة الاتصالات آسيا سيل في العراق. </w:t>
      </w:r>
      <w:r w:rsidRPr="00AF505F">
        <w:rPr>
          <w:rFonts w:asciiTheme="majorBidi" w:hAnsiTheme="majorBidi" w:cstheme="majorBidi"/>
          <w:i/>
          <w:iCs/>
          <w:sz w:val="28"/>
          <w:szCs w:val="28"/>
          <w:rtl/>
          <w:lang w:bidi="ar-EG"/>
        </w:rPr>
        <w:t>المجلة العراقية للعلوم الادارية</w:t>
      </w:r>
      <w:r w:rsidRPr="00AF505F">
        <w:rPr>
          <w:rFonts w:asciiTheme="majorBidi" w:hAnsiTheme="majorBidi" w:cstheme="majorBidi"/>
          <w:sz w:val="28"/>
          <w:szCs w:val="28"/>
          <w:rtl/>
          <w:lang w:bidi="ar-EG"/>
        </w:rPr>
        <w:t>, 18(</w:t>
      </w:r>
      <w:proofErr w:type="gramStart"/>
      <w:r w:rsidRPr="00AF505F">
        <w:rPr>
          <w:rFonts w:asciiTheme="majorBidi" w:hAnsiTheme="majorBidi" w:cstheme="majorBidi"/>
          <w:sz w:val="28"/>
          <w:szCs w:val="28"/>
          <w:rtl/>
          <w:lang w:bidi="ar-EG"/>
        </w:rPr>
        <w:t>71),</w:t>
      </w:r>
      <w:proofErr w:type="gramEnd"/>
      <w:r w:rsidRPr="00AF505F">
        <w:rPr>
          <w:rFonts w:asciiTheme="majorBidi" w:hAnsiTheme="majorBidi" w:cstheme="majorBidi"/>
          <w:sz w:val="28"/>
          <w:szCs w:val="28"/>
          <w:rtl/>
          <w:lang w:bidi="ar-EG"/>
        </w:rPr>
        <w:t xml:space="preserve"> 145-168.‏</w:t>
      </w:r>
    </w:p>
    <w:p w14:paraId="1115CA58" w14:textId="77777777" w:rsidR="00AF505F" w:rsidRPr="00AF505F" w:rsidRDefault="00AF505F" w:rsidP="00AF505F">
      <w:pPr>
        <w:bidi/>
        <w:jc w:val="both"/>
        <w:rPr>
          <w:rFonts w:asciiTheme="majorBidi" w:hAnsiTheme="majorBidi" w:cstheme="majorBidi"/>
          <w:b/>
          <w:bCs/>
          <w:sz w:val="32"/>
          <w:szCs w:val="32"/>
          <w:rtl/>
          <w:lang w:bidi="ar-EG"/>
        </w:rPr>
      </w:pPr>
      <w:r w:rsidRPr="00AF505F">
        <w:rPr>
          <w:rFonts w:asciiTheme="majorBidi" w:hAnsiTheme="majorBidi" w:cstheme="majorBidi"/>
          <w:b/>
          <w:bCs/>
          <w:sz w:val="32"/>
          <w:szCs w:val="32"/>
          <w:rtl/>
          <w:lang w:bidi="ar-EG"/>
        </w:rPr>
        <w:t>المراجع الأجنبية:</w:t>
      </w:r>
    </w:p>
    <w:p w14:paraId="0C004C1E"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Abalkhail</w:t>
      </w:r>
      <w:proofErr w:type="spellEnd"/>
      <w:r w:rsidRPr="00AF505F">
        <w:rPr>
          <w:rFonts w:asciiTheme="majorBidi" w:hAnsiTheme="majorBidi" w:cstheme="majorBidi"/>
          <w:color w:val="222222"/>
          <w:sz w:val="28"/>
          <w:szCs w:val="28"/>
          <w:shd w:val="clear" w:color="auto" w:fill="FFFFFF"/>
        </w:rPr>
        <w:t>, A. A. A., &amp; Al Amri, S. M. A. (2022). Saudi Arabia’s management of the Hajj season through artificial intelligence and sustainability. </w:t>
      </w:r>
      <w:r w:rsidRPr="00AF505F">
        <w:rPr>
          <w:rFonts w:asciiTheme="majorBidi" w:hAnsiTheme="majorBidi" w:cstheme="majorBidi"/>
          <w:i/>
          <w:iCs/>
          <w:color w:val="222222"/>
          <w:sz w:val="28"/>
          <w:szCs w:val="28"/>
          <w:shd w:val="clear" w:color="auto" w:fill="FFFFFF"/>
        </w:rPr>
        <w:t>Sustainability</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14</w:t>
      </w:r>
      <w:r w:rsidRPr="00AF505F">
        <w:rPr>
          <w:rFonts w:asciiTheme="majorBidi" w:hAnsiTheme="majorBidi" w:cstheme="majorBidi"/>
          <w:color w:val="222222"/>
          <w:sz w:val="28"/>
          <w:szCs w:val="28"/>
          <w:shd w:val="clear" w:color="auto" w:fill="FFFFFF"/>
        </w:rPr>
        <w:t>(21), 14142.</w:t>
      </w:r>
      <w:r w:rsidRPr="00AF505F">
        <w:rPr>
          <w:rFonts w:asciiTheme="majorBidi" w:hAnsiTheme="majorBidi" w:cstheme="majorBidi"/>
          <w:color w:val="222222"/>
          <w:sz w:val="28"/>
          <w:szCs w:val="28"/>
          <w:shd w:val="clear" w:color="auto" w:fill="FFFFFF"/>
          <w:rtl/>
        </w:rPr>
        <w:t>‏</w:t>
      </w:r>
      <w:r w:rsidRPr="00AF505F">
        <w:rPr>
          <w:rFonts w:asciiTheme="majorBidi" w:hAnsiTheme="majorBidi" w:cstheme="majorBidi"/>
          <w:color w:val="222222"/>
          <w:sz w:val="28"/>
          <w:szCs w:val="28"/>
          <w:shd w:val="clear" w:color="auto" w:fill="FFFFFF"/>
        </w:rPr>
        <w:t xml:space="preserve"> 1-19</w:t>
      </w:r>
    </w:p>
    <w:p w14:paraId="0274CC94"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Aboalshamat</w:t>
      </w:r>
      <w:proofErr w:type="spellEnd"/>
      <w:r w:rsidRPr="00AF505F">
        <w:rPr>
          <w:rFonts w:asciiTheme="majorBidi" w:hAnsiTheme="majorBidi" w:cstheme="majorBidi"/>
          <w:color w:val="222222"/>
          <w:sz w:val="28"/>
          <w:szCs w:val="28"/>
          <w:shd w:val="clear" w:color="auto" w:fill="FFFFFF"/>
        </w:rPr>
        <w:t xml:space="preserve">, K., </w:t>
      </w:r>
      <w:proofErr w:type="spellStart"/>
      <w:r w:rsidRPr="00AF505F">
        <w:rPr>
          <w:rFonts w:asciiTheme="majorBidi" w:hAnsiTheme="majorBidi" w:cstheme="majorBidi"/>
          <w:color w:val="222222"/>
          <w:sz w:val="28"/>
          <w:szCs w:val="28"/>
          <w:shd w:val="clear" w:color="auto" w:fill="FFFFFF"/>
        </w:rPr>
        <w:t>Alhuzali</w:t>
      </w:r>
      <w:proofErr w:type="spellEnd"/>
      <w:r w:rsidRPr="00AF505F">
        <w:rPr>
          <w:rFonts w:asciiTheme="majorBidi" w:hAnsiTheme="majorBidi" w:cstheme="majorBidi"/>
          <w:color w:val="222222"/>
          <w:sz w:val="28"/>
          <w:szCs w:val="28"/>
          <w:shd w:val="clear" w:color="auto" w:fill="FFFFFF"/>
        </w:rPr>
        <w:t xml:space="preserve">, R., </w:t>
      </w:r>
      <w:proofErr w:type="spellStart"/>
      <w:r w:rsidRPr="00AF505F">
        <w:rPr>
          <w:rFonts w:asciiTheme="majorBidi" w:hAnsiTheme="majorBidi" w:cstheme="majorBidi"/>
          <w:color w:val="222222"/>
          <w:sz w:val="28"/>
          <w:szCs w:val="28"/>
          <w:shd w:val="clear" w:color="auto" w:fill="FFFFFF"/>
        </w:rPr>
        <w:t>Alalyani</w:t>
      </w:r>
      <w:proofErr w:type="spellEnd"/>
      <w:r w:rsidRPr="00AF505F">
        <w:rPr>
          <w:rFonts w:asciiTheme="majorBidi" w:hAnsiTheme="majorBidi" w:cstheme="majorBidi"/>
          <w:color w:val="222222"/>
          <w:sz w:val="28"/>
          <w:szCs w:val="28"/>
          <w:shd w:val="clear" w:color="auto" w:fill="FFFFFF"/>
        </w:rPr>
        <w:t xml:space="preserve">, A., Alsharif, S., Qadhi, H., </w:t>
      </w:r>
      <w:proofErr w:type="spellStart"/>
      <w:r w:rsidRPr="00AF505F">
        <w:rPr>
          <w:rFonts w:asciiTheme="majorBidi" w:hAnsiTheme="majorBidi" w:cstheme="majorBidi"/>
          <w:color w:val="222222"/>
          <w:sz w:val="28"/>
          <w:szCs w:val="28"/>
          <w:shd w:val="clear" w:color="auto" w:fill="FFFFFF"/>
        </w:rPr>
        <w:t>Almatrafi</w:t>
      </w:r>
      <w:proofErr w:type="spellEnd"/>
      <w:r w:rsidRPr="00AF505F">
        <w:rPr>
          <w:rFonts w:asciiTheme="majorBidi" w:hAnsiTheme="majorBidi" w:cstheme="majorBidi"/>
          <w:color w:val="222222"/>
          <w:sz w:val="28"/>
          <w:szCs w:val="28"/>
          <w:shd w:val="clear" w:color="auto" w:fill="FFFFFF"/>
        </w:rPr>
        <w:t xml:space="preserve">, R., ... &amp; Alotaibi, S. (2022). Medical and dental </w:t>
      </w:r>
      <w:proofErr w:type="gramStart"/>
      <w:r w:rsidRPr="00AF505F">
        <w:rPr>
          <w:rFonts w:asciiTheme="majorBidi" w:hAnsiTheme="majorBidi" w:cstheme="majorBidi"/>
          <w:color w:val="222222"/>
          <w:sz w:val="28"/>
          <w:szCs w:val="28"/>
          <w:shd w:val="clear" w:color="auto" w:fill="FFFFFF"/>
        </w:rPr>
        <w:t>professionals</w:t>
      </w:r>
      <w:proofErr w:type="gramEnd"/>
      <w:r w:rsidRPr="00AF505F">
        <w:rPr>
          <w:rFonts w:asciiTheme="majorBidi" w:hAnsiTheme="majorBidi" w:cstheme="majorBidi"/>
          <w:color w:val="222222"/>
          <w:sz w:val="28"/>
          <w:szCs w:val="28"/>
          <w:shd w:val="clear" w:color="auto" w:fill="FFFFFF"/>
        </w:rPr>
        <w:t xml:space="preserve"> readiness for artificial intelligence for Saudi Arabia vision 2030. </w:t>
      </w:r>
      <w:r w:rsidRPr="00AF505F">
        <w:rPr>
          <w:rFonts w:asciiTheme="majorBidi" w:hAnsiTheme="majorBidi" w:cstheme="majorBidi"/>
          <w:i/>
          <w:iCs/>
          <w:color w:val="222222"/>
          <w:sz w:val="28"/>
          <w:szCs w:val="28"/>
          <w:shd w:val="clear" w:color="auto" w:fill="FFFFFF"/>
        </w:rPr>
        <w:t>International Journal of Pharmaceutical Research and Allied Sciences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11</w:t>
      </w:r>
      <w:r w:rsidRPr="00AF505F">
        <w:rPr>
          <w:rFonts w:asciiTheme="majorBidi" w:hAnsiTheme="majorBidi" w:cstheme="majorBidi"/>
          <w:color w:val="222222"/>
          <w:sz w:val="28"/>
          <w:szCs w:val="28"/>
          <w:shd w:val="clear" w:color="auto" w:fill="FFFFFF"/>
        </w:rPr>
        <w:t>(4-2022), 52-59.</w:t>
      </w:r>
      <w:r w:rsidRPr="00AF505F">
        <w:rPr>
          <w:rFonts w:asciiTheme="majorBidi" w:hAnsiTheme="majorBidi" w:cstheme="majorBidi"/>
          <w:color w:val="222222"/>
          <w:sz w:val="28"/>
          <w:szCs w:val="28"/>
          <w:shd w:val="clear" w:color="auto" w:fill="FFFFFF"/>
          <w:rtl/>
        </w:rPr>
        <w:t>‏</w:t>
      </w:r>
    </w:p>
    <w:p w14:paraId="55D90DA6"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 xml:space="preserve">Adeniran, I. A., </w:t>
      </w:r>
      <w:proofErr w:type="spellStart"/>
      <w:r w:rsidRPr="00AF505F">
        <w:rPr>
          <w:rFonts w:asciiTheme="majorBidi" w:hAnsiTheme="majorBidi" w:cstheme="majorBidi"/>
          <w:color w:val="222222"/>
          <w:sz w:val="28"/>
          <w:szCs w:val="28"/>
          <w:shd w:val="clear" w:color="auto" w:fill="FFFFFF"/>
        </w:rPr>
        <w:t>Efunniyi</w:t>
      </w:r>
      <w:proofErr w:type="spellEnd"/>
      <w:r w:rsidRPr="00AF505F">
        <w:rPr>
          <w:rFonts w:asciiTheme="majorBidi" w:hAnsiTheme="majorBidi" w:cstheme="majorBidi"/>
          <w:color w:val="222222"/>
          <w:sz w:val="28"/>
          <w:szCs w:val="28"/>
          <w:shd w:val="clear" w:color="auto" w:fill="FFFFFF"/>
        </w:rPr>
        <w:t xml:space="preserve">, C. P., </w:t>
      </w:r>
      <w:proofErr w:type="spellStart"/>
      <w:r w:rsidRPr="00AF505F">
        <w:rPr>
          <w:rFonts w:asciiTheme="majorBidi" w:hAnsiTheme="majorBidi" w:cstheme="majorBidi"/>
          <w:color w:val="222222"/>
          <w:sz w:val="28"/>
          <w:szCs w:val="28"/>
          <w:shd w:val="clear" w:color="auto" w:fill="FFFFFF"/>
        </w:rPr>
        <w:t>Osundare</w:t>
      </w:r>
      <w:proofErr w:type="spellEnd"/>
      <w:r w:rsidRPr="00AF505F">
        <w:rPr>
          <w:rFonts w:asciiTheme="majorBidi" w:hAnsiTheme="majorBidi" w:cstheme="majorBidi"/>
          <w:color w:val="222222"/>
          <w:sz w:val="28"/>
          <w:szCs w:val="28"/>
          <w:shd w:val="clear" w:color="auto" w:fill="FFFFFF"/>
        </w:rPr>
        <w:t xml:space="preserve">, O. S., </w:t>
      </w:r>
      <w:proofErr w:type="spellStart"/>
      <w:r w:rsidRPr="00AF505F">
        <w:rPr>
          <w:rFonts w:asciiTheme="majorBidi" w:hAnsiTheme="majorBidi" w:cstheme="majorBidi"/>
          <w:color w:val="222222"/>
          <w:sz w:val="28"/>
          <w:szCs w:val="28"/>
          <w:shd w:val="clear" w:color="auto" w:fill="FFFFFF"/>
        </w:rPr>
        <w:t>Abhulimen</w:t>
      </w:r>
      <w:proofErr w:type="spellEnd"/>
      <w:r w:rsidRPr="00AF505F">
        <w:rPr>
          <w:rFonts w:asciiTheme="majorBidi" w:hAnsiTheme="majorBidi" w:cstheme="majorBidi"/>
          <w:color w:val="222222"/>
          <w:sz w:val="28"/>
          <w:szCs w:val="28"/>
          <w:shd w:val="clear" w:color="auto" w:fill="FFFFFF"/>
        </w:rPr>
        <w:t xml:space="preserve">, A. O., &amp; </w:t>
      </w:r>
      <w:proofErr w:type="spellStart"/>
      <w:r w:rsidRPr="00AF505F">
        <w:rPr>
          <w:rFonts w:asciiTheme="majorBidi" w:hAnsiTheme="majorBidi" w:cstheme="majorBidi"/>
          <w:color w:val="222222"/>
          <w:sz w:val="28"/>
          <w:szCs w:val="28"/>
          <w:shd w:val="clear" w:color="auto" w:fill="FFFFFF"/>
        </w:rPr>
        <w:t>OneAdvanced</w:t>
      </w:r>
      <w:proofErr w:type="spellEnd"/>
      <w:r w:rsidRPr="00AF505F">
        <w:rPr>
          <w:rFonts w:asciiTheme="majorBidi" w:hAnsiTheme="majorBidi" w:cstheme="majorBidi"/>
          <w:color w:val="222222"/>
          <w:sz w:val="28"/>
          <w:szCs w:val="28"/>
          <w:shd w:val="clear" w:color="auto" w:fill="FFFFFF"/>
        </w:rPr>
        <w:t>, U. K. (2024). Integrating business intelligence and predictive analytics in banking: A framework for optimizing financial decision-making. </w:t>
      </w:r>
      <w:r w:rsidRPr="00AF505F">
        <w:rPr>
          <w:rFonts w:asciiTheme="majorBidi" w:hAnsiTheme="majorBidi" w:cstheme="majorBidi"/>
          <w:i/>
          <w:iCs/>
          <w:color w:val="222222"/>
          <w:sz w:val="28"/>
          <w:szCs w:val="28"/>
          <w:shd w:val="clear" w:color="auto" w:fill="FFFFFF"/>
        </w:rPr>
        <w:t>Finance &amp; Accounting Research Journal</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6</w:t>
      </w:r>
      <w:r w:rsidRPr="00AF505F">
        <w:rPr>
          <w:rFonts w:asciiTheme="majorBidi" w:hAnsiTheme="majorBidi" w:cstheme="majorBidi"/>
          <w:color w:val="222222"/>
          <w:sz w:val="28"/>
          <w:szCs w:val="28"/>
          <w:shd w:val="clear" w:color="auto" w:fill="FFFFFF"/>
        </w:rPr>
        <w:t>(8), 1517-1530.</w:t>
      </w:r>
      <w:r w:rsidRPr="00AF505F">
        <w:rPr>
          <w:rFonts w:asciiTheme="majorBidi" w:hAnsiTheme="majorBidi" w:cstheme="majorBidi"/>
          <w:color w:val="222222"/>
          <w:sz w:val="28"/>
          <w:szCs w:val="28"/>
          <w:shd w:val="clear" w:color="auto" w:fill="FFFFFF"/>
          <w:rtl/>
        </w:rPr>
        <w:t>‏</w:t>
      </w:r>
    </w:p>
    <w:p w14:paraId="02ED88E1"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 xml:space="preserve">Adesina, A. A., </w:t>
      </w:r>
      <w:proofErr w:type="spellStart"/>
      <w:r w:rsidRPr="00AF505F">
        <w:rPr>
          <w:rFonts w:asciiTheme="majorBidi" w:hAnsiTheme="majorBidi" w:cstheme="majorBidi"/>
          <w:color w:val="222222"/>
          <w:sz w:val="28"/>
          <w:szCs w:val="28"/>
          <w:shd w:val="clear" w:color="auto" w:fill="FFFFFF"/>
        </w:rPr>
        <w:t>Iyelolu</w:t>
      </w:r>
      <w:proofErr w:type="spellEnd"/>
      <w:r w:rsidRPr="00AF505F">
        <w:rPr>
          <w:rFonts w:asciiTheme="majorBidi" w:hAnsiTheme="majorBidi" w:cstheme="majorBidi"/>
          <w:color w:val="222222"/>
          <w:sz w:val="28"/>
          <w:szCs w:val="28"/>
          <w:shd w:val="clear" w:color="auto" w:fill="FFFFFF"/>
        </w:rPr>
        <w:t>, T. V., &amp; Paul, P. O. (2024). Leveraging predictive analytics for strategic decision-making: Enhancing business performance through data-driven insights. </w:t>
      </w:r>
      <w:r w:rsidRPr="00AF505F">
        <w:rPr>
          <w:rFonts w:asciiTheme="majorBidi" w:hAnsiTheme="majorBidi" w:cstheme="majorBidi"/>
          <w:i/>
          <w:iCs/>
          <w:color w:val="222222"/>
          <w:sz w:val="28"/>
          <w:szCs w:val="28"/>
          <w:shd w:val="clear" w:color="auto" w:fill="FFFFFF"/>
        </w:rPr>
        <w:t>World Journal of Advanced Research and Reviews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22</w:t>
      </w:r>
      <w:r w:rsidRPr="00AF505F">
        <w:rPr>
          <w:rFonts w:asciiTheme="majorBidi" w:hAnsiTheme="majorBidi" w:cstheme="majorBidi"/>
          <w:color w:val="222222"/>
          <w:sz w:val="28"/>
          <w:szCs w:val="28"/>
          <w:shd w:val="clear" w:color="auto" w:fill="FFFFFF"/>
        </w:rPr>
        <w:t>(3), 1927-1934.</w:t>
      </w:r>
      <w:r w:rsidRPr="00AF505F">
        <w:rPr>
          <w:rFonts w:asciiTheme="majorBidi" w:hAnsiTheme="majorBidi" w:cstheme="majorBidi"/>
          <w:color w:val="222222"/>
          <w:sz w:val="28"/>
          <w:szCs w:val="28"/>
          <w:shd w:val="clear" w:color="auto" w:fill="FFFFFF"/>
          <w:rtl/>
        </w:rPr>
        <w:t>‏</w:t>
      </w:r>
    </w:p>
    <w:p w14:paraId="6DA8D59C"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 xml:space="preserve">Akinwale, Y. O., &amp; </w:t>
      </w:r>
      <w:proofErr w:type="spellStart"/>
      <w:r w:rsidRPr="00AF505F">
        <w:rPr>
          <w:rFonts w:asciiTheme="majorBidi" w:hAnsiTheme="majorBidi" w:cstheme="majorBidi"/>
          <w:color w:val="222222"/>
          <w:sz w:val="28"/>
          <w:szCs w:val="28"/>
          <w:shd w:val="clear" w:color="auto" w:fill="FFFFFF"/>
        </w:rPr>
        <w:t>AboAlsamh</w:t>
      </w:r>
      <w:proofErr w:type="spellEnd"/>
      <w:r w:rsidRPr="00AF505F">
        <w:rPr>
          <w:rFonts w:asciiTheme="majorBidi" w:hAnsiTheme="majorBidi" w:cstheme="majorBidi"/>
          <w:color w:val="222222"/>
          <w:sz w:val="28"/>
          <w:szCs w:val="28"/>
          <w:shd w:val="clear" w:color="auto" w:fill="FFFFFF"/>
        </w:rPr>
        <w:t>, H. M. (2023). Technology innovation and healthcare performance among healthcare organizations in Saudi Arabia: A structural equation model analysis. </w:t>
      </w:r>
      <w:r w:rsidRPr="00AF505F">
        <w:rPr>
          <w:rFonts w:asciiTheme="majorBidi" w:hAnsiTheme="majorBidi" w:cstheme="majorBidi"/>
          <w:i/>
          <w:iCs/>
          <w:color w:val="222222"/>
          <w:sz w:val="28"/>
          <w:szCs w:val="28"/>
          <w:shd w:val="clear" w:color="auto" w:fill="FFFFFF"/>
        </w:rPr>
        <w:t>Sustainability</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15</w:t>
      </w:r>
      <w:r w:rsidRPr="00AF505F">
        <w:rPr>
          <w:rFonts w:asciiTheme="majorBidi" w:hAnsiTheme="majorBidi" w:cstheme="majorBidi"/>
          <w:color w:val="222222"/>
          <w:sz w:val="28"/>
          <w:szCs w:val="28"/>
          <w:shd w:val="clear" w:color="auto" w:fill="FFFFFF"/>
        </w:rPr>
        <w:t>(5), 3962.</w:t>
      </w:r>
      <w:r w:rsidRPr="00AF505F">
        <w:rPr>
          <w:rFonts w:asciiTheme="majorBidi" w:hAnsiTheme="majorBidi" w:cstheme="majorBidi"/>
          <w:color w:val="222222"/>
          <w:sz w:val="28"/>
          <w:szCs w:val="28"/>
          <w:shd w:val="clear" w:color="auto" w:fill="FFFFFF"/>
          <w:rtl/>
        </w:rPr>
        <w:t>‏</w:t>
      </w:r>
      <w:r w:rsidRPr="00AF505F">
        <w:rPr>
          <w:rFonts w:asciiTheme="majorBidi" w:hAnsiTheme="majorBidi" w:cstheme="majorBidi"/>
          <w:color w:val="222222"/>
          <w:sz w:val="28"/>
          <w:szCs w:val="28"/>
          <w:shd w:val="clear" w:color="auto" w:fill="FFFFFF"/>
        </w:rPr>
        <w:t xml:space="preserve"> 1-15</w:t>
      </w:r>
    </w:p>
    <w:p w14:paraId="0117B285"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lastRenderedPageBreak/>
        <w:t>Alajmi, M., Mohammadian, M., &amp; Talukder, M. (2023). The determinants of smart government systems adoption by public sector organizations in Saudi Arabia. </w:t>
      </w:r>
      <w:proofErr w:type="spellStart"/>
      <w:r w:rsidRPr="00AF505F">
        <w:rPr>
          <w:rFonts w:asciiTheme="majorBidi" w:hAnsiTheme="majorBidi" w:cstheme="majorBidi"/>
          <w:i/>
          <w:iCs/>
          <w:color w:val="222222"/>
          <w:sz w:val="28"/>
          <w:szCs w:val="28"/>
          <w:shd w:val="clear" w:color="auto" w:fill="FFFFFF"/>
        </w:rPr>
        <w:t>Heliyon</w:t>
      </w:r>
      <w:proofErr w:type="spellEnd"/>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9</w:t>
      </w:r>
      <w:r w:rsidRPr="00AF505F">
        <w:rPr>
          <w:rFonts w:asciiTheme="majorBidi" w:hAnsiTheme="majorBidi" w:cstheme="majorBidi"/>
          <w:color w:val="222222"/>
          <w:sz w:val="28"/>
          <w:szCs w:val="28"/>
          <w:shd w:val="clear" w:color="auto" w:fill="FFFFFF"/>
        </w:rPr>
        <w:t>(10).</w:t>
      </w:r>
      <w:r w:rsidRPr="00AF505F">
        <w:rPr>
          <w:rFonts w:asciiTheme="majorBidi" w:hAnsiTheme="majorBidi" w:cstheme="majorBidi"/>
          <w:color w:val="222222"/>
          <w:sz w:val="28"/>
          <w:szCs w:val="28"/>
          <w:shd w:val="clear" w:color="auto" w:fill="FFFFFF"/>
          <w:rtl/>
        </w:rPr>
        <w:t>‏</w:t>
      </w:r>
    </w:p>
    <w:p w14:paraId="052851A4"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Alarefi</w:t>
      </w:r>
      <w:proofErr w:type="spellEnd"/>
      <w:r w:rsidRPr="00AF505F">
        <w:rPr>
          <w:rFonts w:asciiTheme="majorBidi" w:hAnsiTheme="majorBidi" w:cstheme="majorBidi"/>
          <w:color w:val="222222"/>
          <w:sz w:val="28"/>
          <w:szCs w:val="28"/>
          <w:shd w:val="clear" w:color="auto" w:fill="FFFFFF"/>
        </w:rPr>
        <w:t>, M. (2024). The impact of artificial intelligence on business performance in Saudi Arabia: The role of technological readiness and data quality. </w:t>
      </w:r>
      <w:r w:rsidRPr="00AF505F">
        <w:rPr>
          <w:rFonts w:asciiTheme="majorBidi" w:hAnsiTheme="majorBidi" w:cstheme="majorBidi"/>
          <w:i/>
          <w:iCs/>
          <w:color w:val="222222"/>
          <w:sz w:val="28"/>
          <w:szCs w:val="28"/>
          <w:shd w:val="clear" w:color="auto" w:fill="FFFFFF"/>
        </w:rPr>
        <w:t>Engineering, Technology &amp; Applied Science Research</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14</w:t>
      </w:r>
      <w:r w:rsidRPr="00AF505F">
        <w:rPr>
          <w:rFonts w:asciiTheme="majorBidi" w:hAnsiTheme="majorBidi" w:cstheme="majorBidi"/>
          <w:color w:val="222222"/>
          <w:sz w:val="28"/>
          <w:szCs w:val="28"/>
          <w:shd w:val="clear" w:color="auto" w:fill="FFFFFF"/>
        </w:rPr>
        <w:t>(5), 16802-16807.</w:t>
      </w:r>
      <w:r w:rsidRPr="00AF505F">
        <w:rPr>
          <w:rFonts w:asciiTheme="majorBidi" w:hAnsiTheme="majorBidi" w:cstheme="majorBidi"/>
          <w:color w:val="222222"/>
          <w:sz w:val="28"/>
          <w:szCs w:val="28"/>
          <w:shd w:val="clear" w:color="auto" w:fill="FFFFFF"/>
          <w:rtl/>
        </w:rPr>
        <w:t>‏</w:t>
      </w:r>
    </w:p>
    <w:p w14:paraId="76D0B254"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Alasmri</w:t>
      </w:r>
      <w:proofErr w:type="spellEnd"/>
      <w:r w:rsidRPr="00AF505F">
        <w:rPr>
          <w:rFonts w:asciiTheme="majorBidi" w:hAnsiTheme="majorBidi" w:cstheme="majorBidi"/>
          <w:color w:val="222222"/>
          <w:sz w:val="28"/>
          <w:szCs w:val="28"/>
          <w:shd w:val="clear" w:color="auto" w:fill="FFFFFF"/>
        </w:rPr>
        <w:t xml:space="preserve">, N., &amp; </w:t>
      </w:r>
      <w:proofErr w:type="spellStart"/>
      <w:r w:rsidRPr="00AF505F">
        <w:rPr>
          <w:rFonts w:asciiTheme="majorBidi" w:hAnsiTheme="majorBidi" w:cstheme="majorBidi"/>
          <w:color w:val="222222"/>
          <w:sz w:val="28"/>
          <w:szCs w:val="28"/>
          <w:shd w:val="clear" w:color="auto" w:fill="FFFFFF"/>
        </w:rPr>
        <w:t>Basahel</w:t>
      </w:r>
      <w:proofErr w:type="spellEnd"/>
      <w:r w:rsidRPr="00AF505F">
        <w:rPr>
          <w:rFonts w:asciiTheme="majorBidi" w:hAnsiTheme="majorBidi" w:cstheme="majorBidi"/>
          <w:color w:val="222222"/>
          <w:sz w:val="28"/>
          <w:szCs w:val="28"/>
          <w:shd w:val="clear" w:color="auto" w:fill="FFFFFF"/>
        </w:rPr>
        <w:t xml:space="preserve">, S. (2022). Linking artificial intelligence </w:t>
      </w:r>
      <w:proofErr w:type="gramStart"/>
      <w:r w:rsidRPr="00AF505F">
        <w:rPr>
          <w:rFonts w:asciiTheme="majorBidi" w:hAnsiTheme="majorBidi" w:cstheme="majorBidi"/>
          <w:color w:val="222222"/>
          <w:sz w:val="28"/>
          <w:szCs w:val="28"/>
          <w:shd w:val="clear" w:color="auto" w:fill="FFFFFF"/>
        </w:rPr>
        <w:t>use</w:t>
      </w:r>
      <w:proofErr w:type="gramEnd"/>
      <w:r w:rsidRPr="00AF505F">
        <w:rPr>
          <w:rFonts w:asciiTheme="majorBidi" w:hAnsiTheme="majorBidi" w:cstheme="majorBidi"/>
          <w:color w:val="222222"/>
          <w:sz w:val="28"/>
          <w:szCs w:val="28"/>
          <w:shd w:val="clear" w:color="auto" w:fill="FFFFFF"/>
        </w:rPr>
        <w:t xml:space="preserve"> to improved decision-making, individual and organizational outcomes. </w:t>
      </w:r>
      <w:r w:rsidRPr="00AF505F">
        <w:rPr>
          <w:rFonts w:asciiTheme="majorBidi" w:hAnsiTheme="majorBidi" w:cstheme="majorBidi"/>
          <w:i/>
          <w:iCs/>
          <w:color w:val="222222"/>
          <w:sz w:val="28"/>
          <w:szCs w:val="28"/>
          <w:shd w:val="clear" w:color="auto" w:fill="FFFFFF"/>
        </w:rPr>
        <w:t>International Business Research</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15</w:t>
      </w:r>
      <w:r w:rsidRPr="00AF505F">
        <w:rPr>
          <w:rFonts w:asciiTheme="majorBidi" w:hAnsiTheme="majorBidi" w:cstheme="majorBidi"/>
          <w:color w:val="222222"/>
          <w:sz w:val="28"/>
          <w:szCs w:val="28"/>
          <w:shd w:val="clear" w:color="auto" w:fill="FFFFFF"/>
        </w:rPr>
        <w:t>(10), 1-15.</w:t>
      </w:r>
    </w:p>
    <w:p w14:paraId="3F563D3B"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Al-Baity, H. H. (2023). The artificial intelligence revolution in digital finance in Saudi Arabia: A comprehensive review and proposed framework. </w:t>
      </w:r>
      <w:r w:rsidRPr="00AF505F">
        <w:rPr>
          <w:rFonts w:asciiTheme="majorBidi" w:hAnsiTheme="majorBidi" w:cstheme="majorBidi"/>
          <w:i/>
          <w:iCs/>
          <w:color w:val="222222"/>
          <w:sz w:val="28"/>
          <w:szCs w:val="28"/>
          <w:shd w:val="clear" w:color="auto" w:fill="FFFFFF"/>
        </w:rPr>
        <w:t>Sustainability</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15</w:t>
      </w:r>
      <w:r w:rsidRPr="00AF505F">
        <w:rPr>
          <w:rFonts w:asciiTheme="majorBidi" w:hAnsiTheme="majorBidi" w:cstheme="majorBidi"/>
          <w:color w:val="222222"/>
          <w:sz w:val="28"/>
          <w:szCs w:val="28"/>
          <w:shd w:val="clear" w:color="auto" w:fill="FFFFFF"/>
        </w:rPr>
        <w:t>(18), 13725.</w:t>
      </w:r>
      <w:r w:rsidRPr="00AF505F">
        <w:rPr>
          <w:rFonts w:asciiTheme="majorBidi" w:hAnsiTheme="majorBidi" w:cstheme="majorBidi"/>
          <w:color w:val="222222"/>
          <w:sz w:val="28"/>
          <w:szCs w:val="28"/>
          <w:shd w:val="clear" w:color="auto" w:fill="FFFFFF"/>
          <w:rtl/>
        </w:rPr>
        <w:t>‏</w:t>
      </w:r>
      <w:r w:rsidRPr="00AF505F">
        <w:rPr>
          <w:rFonts w:asciiTheme="majorBidi" w:hAnsiTheme="majorBidi" w:cstheme="majorBidi"/>
          <w:color w:val="222222"/>
          <w:sz w:val="28"/>
          <w:szCs w:val="28"/>
          <w:shd w:val="clear" w:color="auto" w:fill="FFFFFF"/>
        </w:rPr>
        <w:t xml:space="preserve"> 1-16</w:t>
      </w:r>
    </w:p>
    <w:p w14:paraId="6A77CCA2"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Alenezi</w:t>
      </w:r>
      <w:proofErr w:type="spellEnd"/>
      <w:r w:rsidRPr="00AF505F">
        <w:rPr>
          <w:rFonts w:asciiTheme="majorBidi" w:hAnsiTheme="majorBidi" w:cstheme="majorBidi"/>
          <w:color w:val="222222"/>
          <w:sz w:val="28"/>
          <w:szCs w:val="28"/>
          <w:shd w:val="clear" w:color="auto" w:fill="FFFFFF"/>
        </w:rPr>
        <w:t>, A., Alshammari, M. H., &amp; Ibrahim, I. A. (2024). Optimizing nursing productivity: exploring the role of artificial intelligence, technology integration, competencies, and leadership. </w:t>
      </w:r>
      <w:r w:rsidRPr="00AF505F">
        <w:rPr>
          <w:rFonts w:asciiTheme="majorBidi" w:hAnsiTheme="majorBidi" w:cstheme="majorBidi"/>
          <w:i/>
          <w:iCs/>
          <w:color w:val="222222"/>
          <w:sz w:val="28"/>
          <w:szCs w:val="28"/>
          <w:shd w:val="clear" w:color="auto" w:fill="FFFFFF"/>
        </w:rPr>
        <w:t>Journal of Nursing Management</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2024</w:t>
      </w:r>
      <w:r w:rsidRPr="00AF505F">
        <w:rPr>
          <w:rFonts w:asciiTheme="majorBidi" w:hAnsiTheme="majorBidi" w:cstheme="majorBidi"/>
          <w:color w:val="222222"/>
          <w:sz w:val="28"/>
          <w:szCs w:val="28"/>
          <w:shd w:val="clear" w:color="auto" w:fill="FFFFFF"/>
        </w:rPr>
        <w:t>(1), 8371068.</w:t>
      </w:r>
      <w:r w:rsidRPr="00AF505F">
        <w:rPr>
          <w:rFonts w:asciiTheme="majorBidi" w:hAnsiTheme="majorBidi" w:cstheme="majorBidi"/>
          <w:color w:val="222222"/>
          <w:sz w:val="28"/>
          <w:szCs w:val="28"/>
          <w:shd w:val="clear" w:color="auto" w:fill="FFFFFF"/>
          <w:rtl/>
        </w:rPr>
        <w:t>‏</w:t>
      </w:r>
      <w:r w:rsidRPr="00AF505F">
        <w:rPr>
          <w:rFonts w:asciiTheme="majorBidi" w:hAnsiTheme="majorBidi" w:cstheme="majorBidi"/>
          <w:color w:val="222222"/>
          <w:sz w:val="28"/>
          <w:szCs w:val="28"/>
          <w:shd w:val="clear" w:color="auto" w:fill="FFFFFF"/>
        </w:rPr>
        <w:t xml:space="preserve"> 1-15</w:t>
      </w:r>
    </w:p>
    <w:p w14:paraId="10F258A4"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Alharbi, R., &amp; Alnoor, A. (2024). The influence of emotional intelligence and personal styles of dealing with conflict on strategic decisions. </w:t>
      </w:r>
      <w:r w:rsidRPr="00AF505F">
        <w:rPr>
          <w:rFonts w:asciiTheme="majorBidi" w:hAnsiTheme="majorBidi" w:cstheme="majorBidi"/>
          <w:i/>
          <w:iCs/>
          <w:color w:val="222222"/>
          <w:sz w:val="28"/>
          <w:szCs w:val="28"/>
          <w:shd w:val="clear" w:color="auto" w:fill="FFFFFF"/>
        </w:rPr>
        <w:t>PSU research review</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8</w:t>
      </w:r>
      <w:r w:rsidRPr="00AF505F">
        <w:rPr>
          <w:rFonts w:asciiTheme="majorBidi" w:hAnsiTheme="majorBidi" w:cstheme="majorBidi"/>
          <w:color w:val="222222"/>
          <w:sz w:val="28"/>
          <w:szCs w:val="28"/>
          <w:shd w:val="clear" w:color="auto" w:fill="FFFFFF"/>
        </w:rPr>
        <w:t>(2), 443-454.</w:t>
      </w:r>
      <w:r w:rsidRPr="00AF505F">
        <w:rPr>
          <w:rFonts w:asciiTheme="majorBidi" w:hAnsiTheme="majorBidi" w:cstheme="majorBidi"/>
          <w:color w:val="222222"/>
          <w:sz w:val="28"/>
          <w:szCs w:val="28"/>
          <w:shd w:val="clear" w:color="auto" w:fill="FFFFFF"/>
          <w:rtl/>
        </w:rPr>
        <w:t>‏</w:t>
      </w:r>
    </w:p>
    <w:p w14:paraId="3C3F53BC"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Alharbi, S. H. (2024). Using Artificial Intelligence to Foster Performance: A Case Study of Public Organizations in the Kingdom of Saudi Arabia. </w:t>
      </w:r>
      <w:r w:rsidRPr="00AF505F">
        <w:rPr>
          <w:rFonts w:asciiTheme="majorBidi" w:hAnsiTheme="majorBidi" w:cstheme="majorBidi"/>
          <w:i/>
          <w:iCs/>
          <w:color w:val="222222"/>
          <w:sz w:val="28"/>
          <w:szCs w:val="28"/>
          <w:shd w:val="clear" w:color="auto" w:fill="FFFFFF"/>
        </w:rPr>
        <w:t>Proc. VIAC</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2024</w:t>
      </w:r>
      <w:r w:rsidRPr="00AF505F">
        <w:rPr>
          <w:rFonts w:asciiTheme="majorBidi" w:hAnsiTheme="majorBidi" w:cstheme="majorBidi"/>
          <w:color w:val="222222"/>
          <w:sz w:val="28"/>
          <w:szCs w:val="28"/>
          <w:shd w:val="clear" w:color="auto" w:fill="FFFFFF"/>
        </w:rPr>
        <w:t>, 113-121</w:t>
      </w:r>
    </w:p>
    <w:p w14:paraId="647C2A10"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lastRenderedPageBreak/>
        <w:t xml:space="preserve">Alhazmi, A. H. J., Islam, S. M., &amp; </w:t>
      </w:r>
      <w:proofErr w:type="spellStart"/>
      <w:r w:rsidRPr="00AF505F">
        <w:rPr>
          <w:rFonts w:asciiTheme="majorBidi" w:hAnsiTheme="majorBidi" w:cstheme="majorBidi"/>
          <w:color w:val="222222"/>
          <w:sz w:val="28"/>
          <w:szCs w:val="28"/>
          <w:shd w:val="clear" w:color="auto" w:fill="FFFFFF"/>
        </w:rPr>
        <w:t>Prokofieva</w:t>
      </w:r>
      <w:proofErr w:type="spellEnd"/>
      <w:r w:rsidRPr="00AF505F">
        <w:rPr>
          <w:rFonts w:asciiTheme="majorBidi" w:hAnsiTheme="majorBidi" w:cstheme="majorBidi"/>
          <w:color w:val="222222"/>
          <w:sz w:val="28"/>
          <w:szCs w:val="28"/>
          <w:shd w:val="clear" w:color="auto" w:fill="FFFFFF"/>
        </w:rPr>
        <w:t>, M. (2025). The impact of artificial intelligence adoption on the quality of financial reports on the Saudi Stock Exchange. </w:t>
      </w:r>
      <w:r w:rsidRPr="00AF505F">
        <w:rPr>
          <w:rFonts w:asciiTheme="majorBidi" w:hAnsiTheme="majorBidi" w:cstheme="majorBidi"/>
          <w:i/>
          <w:iCs/>
          <w:color w:val="222222"/>
          <w:sz w:val="28"/>
          <w:szCs w:val="28"/>
          <w:shd w:val="clear" w:color="auto" w:fill="FFFFFF"/>
        </w:rPr>
        <w:t>International Journal of Financial Studies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13</w:t>
      </w:r>
      <w:r w:rsidRPr="00AF505F">
        <w:rPr>
          <w:rFonts w:asciiTheme="majorBidi" w:hAnsiTheme="majorBidi" w:cstheme="majorBidi"/>
          <w:color w:val="222222"/>
          <w:sz w:val="28"/>
          <w:szCs w:val="28"/>
          <w:shd w:val="clear" w:color="auto" w:fill="FFFFFF"/>
        </w:rPr>
        <w:t>(1), 1-38.</w:t>
      </w:r>
    </w:p>
    <w:p w14:paraId="0A668EB1"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Aljohani</w:t>
      </w:r>
      <w:proofErr w:type="spellEnd"/>
      <w:r w:rsidRPr="00AF505F">
        <w:rPr>
          <w:rFonts w:asciiTheme="majorBidi" w:hAnsiTheme="majorBidi" w:cstheme="majorBidi"/>
          <w:color w:val="222222"/>
          <w:sz w:val="28"/>
          <w:szCs w:val="28"/>
          <w:shd w:val="clear" w:color="auto" w:fill="FFFFFF"/>
        </w:rPr>
        <w:t xml:space="preserve">, N. B., &amp; </w:t>
      </w:r>
      <w:proofErr w:type="spellStart"/>
      <w:r w:rsidRPr="00AF505F">
        <w:rPr>
          <w:rFonts w:asciiTheme="majorBidi" w:hAnsiTheme="majorBidi" w:cstheme="majorBidi"/>
          <w:color w:val="222222"/>
          <w:sz w:val="28"/>
          <w:szCs w:val="28"/>
          <w:shd w:val="clear" w:color="auto" w:fill="FFFFFF"/>
        </w:rPr>
        <w:t>Albliwi</w:t>
      </w:r>
      <w:proofErr w:type="spellEnd"/>
      <w:r w:rsidRPr="00AF505F">
        <w:rPr>
          <w:rFonts w:asciiTheme="majorBidi" w:hAnsiTheme="majorBidi" w:cstheme="majorBidi"/>
          <w:color w:val="222222"/>
          <w:sz w:val="28"/>
          <w:szCs w:val="28"/>
          <w:shd w:val="clear" w:color="auto" w:fill="FFFFFF"/>
        </w:rPr>
        <w:t>, S. (2022). Impacts of applying artificial intelligence on decision-making quality: a descriptive study in Saudi Arabian private sector organizations. </w:t>
      </w:r>
      <w:r w:rsidRPr="00AF505F">
        <w:rPr>
          <w:rFonts w:asciiTheme="majorBidi" w:hAnsiTheme="majorBidi" w:cstheme="majorBidi"/>
          <w:i/>
          <w:iCs/>
          <w:color w:val="222222"/>
          <w:sz w:val="28"/>
          <w:szCs w:val="28"/>
          <w:shd w:val="clear" w:color="auto" w:fill="FFFFFF"/>
        </w:rPr>
        <w:t>International Transaction Journal of Engineering, Management, &amp; Applied Sciences &amp; Technologies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13</w:t>
      </w:r>
      <w:r w:rsidRPr="00AF505F">
        <w:rPr>
          <w:rFonts w:asciiTheme="majorBidi" w:hAnsiTheme="majorBidi" w:cstheme="majorBidi"/>
          <w:color w:val="222222"/>
          <w:sz w:val="28"/>
          <w:szCs w:val="28"/>
          <w:shd w:val="clear" w:color="auto" w:fill="FFFFFF"/>
        </w:rPr>
        <w:t>(5), 1-1</w:t>
      </w:r>
      <w:r w:rsidRPr="00AF505F">
        <w:rPr>
          <w:rFonts w:asciiTheme="majorBidi" w:hAnsiTheme="majorBidi" w:cstheme="majorBidi"/>
          <w:color w:val="222222"/>
          <w:sz w:val="28"/>
          <w:szCs w:val="28"/>
          <w:shd w:val="clear" w:color="auto" w:fill="FFFFFF"/>
          <w:rtl/>
        </w:rPr>
        <w:t>4</w:t>
      </w:r>
      <w:r w:rsidRPr="00AF505F">
        <w:rPr>
          <w:rFonts w:asciiTheme="majorBidi" w:hAnsiTheme="majorBidi" w:cstheme="majorBidi"/>
          <w:color w:val="222222"/>
          <w:sz w:val="28"/>
          <w:szCs w:val="28"/>
          <w:shd w:val="clear" w:color="auto" w:fill="FFFFFF"/>
        </w:rPr>
        <w:t>.</w:t>
      </w:r>
    </w:p>
    <w:p w14:paraId="1B7CDED7"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Almalawi</w:t>
      </w:r>
      <w:proofErr w:type="spellEnd"/>
      <w:r w:rsidRPr="00AF505F">
        <w:rPr>
          <w:rFonts w:asciiTheme="majorBidi" w:hAnsiTheme="majorBidi" w:cstheme="majorBidi"/>
          <w:color w:val="222222"/>
          <w:sz w:val="28"/>
          <w:szCs w:val="28"/>
          <w:shd w:val="clear" w:color="auto" w:fill="FFFFFF"/>
        </w:rPr>
        <w:t xml:space="preserve">, A., Khan, A. I., </w:t>
      </w:r>
      <w:proofErr w:type="spellStart"/>
      <w:r w:rsidRPr="00AF505F">
        <w:rPr>
          <w:rFonts w:asciiTheme="majorBidi" w:hAnsiTheme="majorBidi" w:cstheme="majorBidi"/>
          <w:color w:val="222222"/>
          <w:sz w:val="28"/>
          <w:szCs w:val="28"/>
          <w:shd w:val="clear" w:color="auto" w:fill="FFFFFF"/>
        </w:rPr>
        <w:t>Alsolami</w:t>
      </w:r>
      <w:proofErr w:type="spellEnd"/>
      <w:r w:rsidRPr="00AF505F">
        <w:rPr>
          <w:rFonts w:asciiTheme="majorBidi" w:hAnsiTheme="majorBidi" w:cstheme="majorBidi"/>
          <w:color w:val="222222"/>
          <w:sz w:val="28"/>
          <w:szCs w:val="28"/>
          <w:shd w:val="clear" w:color="auto" w:fill="FFFFFF"/>
        </w:rPr>
        <w:t xml:space="preserve">, F., </w:t>
      </w:r>
      <w:proofErr w:type="spellStart"/>
      <w:r w:rsidRPr="00AF505F">
        <w:rPr>
          <w:rFonts w:asciiTheme="majorBidi" w:hAnsiTheme="majorBidi" w:cstheme="majorBidi"/>
          <w:color w:val="222222"/>
          <w:sz w:val="28"/>
          <w:szCs w:val="28"/>
          <w:shd w:val="clear" w:color="auto" w:fill="FFFFFF"/>
        </w:rPr>
        <w:t>Abushark</w:t>
      </w:r>
      <w:proofErr w:type="spellEnd"/>
      <w:r w:rsidRPr="00AF505F">
        <w:rPr>
          <w:rFonts w:asciiTheme="majorBidi" w:hAnsiTheme="majorBidi" w:cstheme="majorBidi"/>
          <w:color w:val="222222"/>
          <w:sz w:val="28"/>
          <w:szCs w:val="28"/>
          <w:shd w:val="clear" w:color="auto" w:fill="FFFFFF"/>
        </w:rPr>
        <w:t xml:space="preserve">, Y. B., </w:t>
      </w:r>
      <w:proofErr w:type="spellStart"/>
      <w:r w:rsidRPr="00AF505F">
        <w:rPr>
          <w:rFonts w:asciiTheme="majorBidi" w:hAnsiTheme="majorBidi" w:cstheme="majorBidi"/>
          <w:color w:val="222222"/>
          <w:sz w:val="28"/>
          <w:szCs w:val="28"/>
          <w:shd w:val="clear" w:color="auto" w:fill="FFFFFF"/>
        </w:rPr>
        <w:t>Alfakeeh</w:t>
      </w:r>
      <w:proofErr w:type="spellEnd"/>
      <w:r w:rsidRPr="00AF505F">
        <w:rPr>
          <w:rFonts w:asciiTheme="majorBidi" w:hAnsiTheme="majorBidi" w:cstheme="majorBidi"/>
          <w:color w:val="222222"/>
          <w:sz w:val="28"/>
          <w:szCs w:val="28"/>
          <w:shd w:val="clear" w:color="auto" w:fill="FFFFFF"/>
        </w:rPr>
        <w:t xml:space="preserve">, A. S., &amp; </w:t>
      </w:r>
      <w:proofErr w:type="spellStart"/>
      <w:r w:rsidRPr="00AF505F">
        <w:rPr>
          <w:rFonts w:asciiTheme="majorBidi" w:hAnsiTheme="majorBidi" w:cstheme="majorBidi"/>
          <w:color w:val="222222"/>
          <w:sz w:val="28"/>
          <w:szCs w:val="28"/>
          <w:shd w:val="clear" w:color="auto" w:fill="FFFFFF"/>
        </w:rPr>
        <w:t>Mekuriyaw</w:t>
      </w:r>
      <w:proofErr w:type="spellEnd"/>
      <w:r w:rsidRPr="00AF505F">
        <w:rPr>
          <w:rFonts w:asciiTheme="majorBidi" w:hAnsiTheme="majorBidi" w:cstheme="majorBidi"/>
          <w:color w:val="222222"/>
          <w:sz w:val="28"/>
          <w:szCs w:val="28"/>
          <w:shd w:val="clear" w:color="auto" w:fill="FFFFFF"/>
        </w:rPr>
        <w:t>, W. D. (2022). Analysis of the exploration of security and privacy for healthcare management using artificial intelligence: Saudi hospitals. </w:t>
      </w:r>
      <w:r w:rsidRPr="00AF505F">
        <w:rPr>
          <w:rFonts w:asciiTheme="majorBidi" w:hAnsiTheme="majorBidi" w:cstheme="majorBidi"/>
          <w:i/>
          <w:iCs/>
          <w:color w:val="222222"/>
          <w:sz w:val="28"/>
          <w:szCs w:val="28"/>
          <w:shd w:val="clear" w:color="auto" w:fill="FFFFFF"/>
        </w:rPr>
        <w:t>Computational intelligence and neuroscience</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2022</w:t>
      </w:r>
      <w:r w:rsidRPr="00AF505F">
        <w:rPr>
          <w:rFonts w:asciiTheme="majorBidi" w:hAnsiTheme="majorBidi" w:cstheme="majorBidi"/>
          <w:color w:val="222222"/>
          <w:sz w:val="28"/>
          <w:szCs w:val="28"/>
          <w:shd w:val="clear" w:color="auto" w:fill="FFFFFF"/>
        </w:rPr>
        <w:t>(1), 4048197. 1-10.</w:t>
      </w:r>
    </w:p>
    <w:p w14:paraId="207D9CF9"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Almheiri</w:t>
      </w:r>
      <w:proofErr w:type="spellEnd"/>
      <w:r w:rsidRPr="00AF505F">
        <w:rPr>
          <w:rFonts w:asciiTheme="majorBidi" w:hAnsiTheme="majorBidi" w:cstheme="majorBidi"/>
          <w:color w:val="222222"/>
          <w:sz w:val="28"/>
          <w:szCs w:val="28"/>
          <w:shd w:val="clear" w:color="auto" w:fill="FFFFFF"/>
        </w:rPr>
        <w:t>, H. M., Ahmad, S. Z., Abu Bakar, A. R., &amp; Khalid, K. (2024). Artificial intelligence capabilities, dynamic capabilities and organizational creativity: contributing factors to the United Arab Emirates Government’s organizational performance. </w:t>
      </w:r>
      <w:r w:rsidRPr="00AF505F">
        <w:rPr>
          <w:rFonts w:asciiTheme="majorBidi" w:hAnsiTheme="majorBidi" w:cstheme="majorBidi"/>
          <w:i/>
          <w:iCs/>
          <w:color w:val="222222"/>
          <w:sz w:val="28"/>
          <w:szCs w:val="28"/>
          <w:shd w:val="clear" w:color="auto" w:fill="FFFFFF"/>
        </w:rPr>
        <w:t>Journal of Modelling in Management</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19</w:t>
      </w:r>
      <w:r w:rsidRPr="00AF505F">
        <w:rPr>
          <w:rFonts w:asciiTheme="majorBidi" w:hAnsiTheme="majorBidi" w:cstheme="majorBidi"/>
          <w:color w:val="222222"/>
          <w:sz w:val="28"/>
          <w:szCs w:val="28"/>
          <w:shd w:val="clear" w:color="auto" w:fill="FFFFFF"/>
        </w:rPr>
        <w:t>(3), 953-979.</w:t>
      </w:r>
      <w:r w:rsidRPr="00AF505F">
        <w:rPr>
          <w:rFonts w:asciiTheme="majorBidi" w:hAnsiTheme="majorBidi" w:cstheme="majorBidi"/>
          <w:color w:val="222222"/>
          <w:sz w:val="28"/>
          <w:szCs w:val="28"/>
          <w:shd w:val="clear" w:color="auto" w:fill="FFFFFF"/>
          <w:rtl/>
        </w:rPr>
        <w:t>‏</w:t>
      </w:r>
    </w:p>
    <w:p w14:paraId="0DFBBF26"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AlQahtani, D. M. S. (2023). Artificial intelligence and its influence on digital transformation, development, and productivity in Saudi Arabian organizations: A critical evaluation. Arab Journal of Management, 1-14.</w:t>
      </w:r>
    </w:p>
    <w:p w14:paraId="0DE0BB3F"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 xml:space="preserve">AlQahtani, M. A. (2024). Impact of artificial intelligence on knowledge management: an investigation on the public sector in Saudi </w:t>
      </w:r>
      <w:r w:rsidRPr="00AF505F">
        <w:rPr>
          <w:rFonts w:asciiTheme="majorBidi" w:hAnsiTheme="majorBidi" w:cstheme="majorBidi"/>
          <w:color w:val="222222"/>
          <w:sz w:val="28"/>
          <w:szCs w:val="28"/>
          <w:shd w:val="clear" w:color="auto" w:fill="FFFFFF"/>
        </w:rPr>
        <w:lastRenderedPageBreak/>
        <w:t>Arabia. </w:t>
      </w:r>
      <w:r w:rsidRPr="00AF505F">
        <w:rPr>
          <w:rFonts w:asciiTheme="majorBidi" w:hAnsiTheme="majorBidi" w:cstheme="majorBidi"/>
          <w:i/>
          <w:iCs/>
          <w:color w:val="222222"/>
          <w:sz w:val="28"/>
          <w:szCs w:val="28"/>
          <w:shd w:val="clear" w:color="auto" w:fill="FFFFFF"/>
        </w:rPr>
        <w:t>American Academic &amp; Scholarly Research Journal</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14</w:t>
      </w:r>
      <w:r w:rsidRPr="00AF505F">
        <w:rPr>
          <w:rFonts w:asciiTheme="majorBidi" w:hAnsiTheme="majorBidi" w:cstheme="majorBidi"/>
          <w:color w:val="222222"/>
          <w:sz w:val="28"/>
          <w:szCs w:val="28"/>
          <w:shd w:val="clear" w:color="auto" w:fill="FFFFFF"/>
        </w:rPr>
        <w:t>(7).</w:t>
      </w:r>
      <w:r w:rsidRPr="00AF505F">
        <w:rPr>
          <w:rFonts w:asciiTheme="majorBidi" w:hAnsiTheme="majorBidi" w:cstheme="majorBidi"/>
          <w:color w:val="222222"/>
          <w:sz w:val="28"/>
          <w:szCs w:val="28"/>
          <w:shd w:val="clear" w:color="auto" w:fill="FFFFFF"/>
          <w:rtl/>
        </w:rPr>
        <w:t>‏</w:t>
      </w:r>
      <w:r w:rsidRPr="00AF505F">
        <w:rPr>
          <w:rFonts w:asciiTheme="majorBidi" w:hAnsiTheme="majorBidi" w:cstheme="majorBidi"/>
          <w:color w:val="222222"/>
          <w:sz w:val="28"/>
          <w:szCs w:val="28"/>
          <w:shd w:val="clear" w:color="auto" w:fill="FFFFFF"/>
        </w:rPr>
        <w:t xml:space="preserve"> 14-29</w:t>
      </w:r>
    </w:p>
    <w:p w14:paraId="017C1A56"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Alsanosi, S. M., &amp; Padmanabhan, S. (2024, April). Potential applications of artificial intelligence (AI) in managing polypharmacy in Saudi Arabia: a narrative review. In </w:t>
      </w:r>
      <w:r w:rsidRPr="00AF505F">
        <w:rPr>
          <w:rFonts w:asciiTheme="majorBidi" w:hAnsiTheme="majorBidi" w:cstheme="majorBidi"/>
          <w:i/>
          <w:iCs/>
          <w:color w:val="222222"/>
          <w:sz w:val="28"/>
          <w:szCs w:val="28"/>
          <w:shd w:val="clear" w:color="auto" w:fill="FFFFFF"/>
        </w:rPr>
        <w:t>Healthcare</w:t>
      </w:r>
      <w:r w:rsidRPr="00AF505F">
        <w:rPr>
          <w:rFonts w:asciiTheme="majorBidi" w:hAnsiTheme="majorBidi" w:cstheme="majorBidi"/>
          <w:color w:val="222222"/>
          <w:sz w:val="28"/>
          <w:szCs w:val="28"/>
          <w:shd w:val="clear" w:color="auto" w:fill="FFFFFF"/>
        </w:rPr>
        <w:t> (Vol. 12, No. 7, p. 788). MDPI.</w:t>
      </w:r>
      <w:r w:rsidRPr="00AF505F">
        <w:rPr>
          <w:rFonts w:asciiTheme="majorBidi" w:hAnsiTheme="majorBidi" w:cstheme="majorBidi"/>
          <w:color w:val="222222"/>
          <w:sz w:val="28"/>
          <w:szCs w:val="28"/>
          <w:shd w:val="clear" w:color="auto" w:fill="FFFFFF"/>
          <w:rtl/>
        </w:rPr>
        <w:t>‏</w:t>
      </w:r>
      <w:r w:rsidRPr="00AF505F">
        <w:rPr>
          <w:rFonts w:asciiTheme="majorBidi" w:hAnsiTheme="majorBidi" w:cstheme="majorBidi"/>
          <w:color w:val="222222"/>
          <w:sz w:val="28"/>
          <w:szCs w:val="28"/>
          <w:shd w:val="clear" w:color="auto" w:fill="FFFFFF"/>
        </w:rPr>
        <w:t xml:space="preserve"> 1-15</w:t>
      </w:r>
    </w:p>
    <w:p w14:paraId="110AFC6F"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Alshamsi</w:t>
      </w:r>
      <w:proofErr w:type="spellEnd"/>
      <w:r w:rsidRPr="00AF505F">
        <w:rPr>
          <w:rFonts w:asciiTheme="majorBidi" w:hAnsiTheme="majorBidi" w:cstheme="majorBidi"/>
          <w:color w:val="222222"/>
          <w:sz w:val="28"/>
          <w:szCs w:val="28"/>
          <w:shd w:val="clear" w:color="auto" w:fill="FFFFFF"/>
        </w:rPr>
        <w:t>, S., Hussain, T. P. R. S., &amp; Ali, S. S. S. (2024). The role of artificial intelligence on the public energy sector performance in the United Arab Emirates: The mediation role of organizational agility. </w:t>
      </w:r>
      <w:r w:rsidRPr="00AF505F">
        <w:rPr>
          <w:rFonts w:asciiTheme="majorBidi" w:hAnsiTheme="majorBidi" w:cstheme="majorBidi"/>
          <w:i/>
          <w:iCs/>
          <w:color w:val="222222"/>
          <w:sz w:val="28"/>
          <w:szCs w:val="28"/>
          <w:shd w:val="clear" w:color="auto" w:fill="FFFFFF"/>
        </w:rPr>
        <w:t>Journal of Law and Sustainable Development</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12</w:t>
      </w:r>
      <w:r w:rsidRPr="00AF505F">
        <w:rPr>
          <w:rFonts w:asciiTheme="majorBidi" w:hAnsiTheme="majorBidi" w:cstheme="majorBidi"/>
          <w:color w:val="222222"/>
          <w:sz w:val="28"/>
          <w:szCs w:val="28"/>
          <w:shd w:val="clear" w:color="auto" w:fill="FFFFFF"/>
        </w:rPr>
        <w:t>(1), e2808-e2808.</w:t>
      </w:r>
      <w:r w:rsidRPr="00AF505F">
        <w:rPr>
          <w:rFonts w:asciiTheme="majorBidi" w:hAnsiTheme="majorBidi" w:cstheme="majorBidi"/>
          <w:color w:val="222222"/>
          <w:sz w:val="28"/>
          <w:szCs w:val="28"/>
          <w:shd w:val="clear" w:color="auto" w:fill="FFFFFF"/>
          <w:rtl/>
        </w:rPr>
        <w:t>‏</w:t>
      </w:r>
      <w:r w:rsidRPr="00AF505F">
        <w:rPr>
          <w:rFonts w:asciiTheme="majorBidi" w:hAnsiTheme="majorBidi" w:cstheme="majorBidi"/>
          <w:color w:val="222222"/>
          <w:sz w:val="28"/>
          <w:szCs w:val="28"/>
          <w:shd w:val="clear" w:color="auto" w:fill="FFFFFF"/>
        </w:rPr>
        <w:t xml:space="preserve"> 1-32</w:t>
      </w:r>
    </w:p>
    <w:p w14:paraId="6D82E1B9"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Alsulami</w:t>
      </w:r>
      <w:proofErr w:type="spellEnd"/>
      <w:r w:rsidRPr="00AF505F">
        <w:rPr>
          <w:rFonts w:asciiTheme="majorBidi" w:hAnsiTheme="majorBidi" w:cstheme="majorBidi"/>
          <w:color w:val="222222"/>
          <w:sz w:val="28"/>
          <w:szCs w:val="28"/>
          <w:shd w:val="clear" w:color="auto" w:fill="FFFFFF"/>
        </w:rPr>
        <w:t>, A. N. (2026). The Impact of Adopting Artificial Intelligence Systems on the Efficiency of Knowledge Management Processes: An Applied Study at Noon Saudi Arabia. </w:t>
      </w:r>
      <w:r w:rsidRPr="00AF505F">
        <w:rPr>
          <w:rFonts w:asciiTheme="majorBidi" w:hAnsiTheme="majorBidi" w:cstheme="majorBidi"/>
          <w:i/>
          <w:iCs/>
          <w:color w:val="222222"/>
          <w:sz w:val="28"/>
          <w:szCs w:val="28"/>
          <w:shd w:val="clear" w:color="auto" w:fill="FFFFFF"/>
        </w:rPr>
        <w:t>European Journal of Sustainable Development</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15</w:t>
      </w:r>
      <w:r w:rsidRPr="00AF505F">
        <w:rPr>
          <w:rFonts w:asciiTheme="majorBidi" w:hAnsiTheme="majorBidi" w:cstheme="majorBidi"/>
          <w:color w:val="222222"/>
          <w:sz w:val="28"/>
          <w:szCs w:val="28"/>
          <w:shd w:val="clear" w:color="auto" w:fill="FFFFFF"/>
        </w:rPr>
        <w:t>(1), 504-504.</w:t>
      </w:r>
      <w:r w:rsidRPr="00AF505F">
        <w:rPr>
          <w:rFonts w:asciiTheme="majorBidi" w:hAnsiTheme="majorBidi" w:cstheme="majorBidi"/>
          <w:color w:val="222222"/>
          <w:sz w:val="28"/>
          <w:szCs w:val="28"/>
          <w:shd w:val="clear" w:color="auto" w:fill="FFFFFF"/>
          <w:rtl/>
        </w:rPr>
        <w:t>‏</w:t>
      </w:r>
    </w:p>
    <w:p w14:paraId="511A72C6"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Al-</w:t>
      </w:r>
      <w:proofErr w:type="spellStart"/>
      <w:r w:rsidRPr="00AF505F">
        <w:rPr>
          <w:rFonts w:asciiTheme="majorBidi" w:hAnsiTheme="majorBidi" w:cstheme="majorBidi"/>
          <w:color w:val="222222"/>
          <w:sz w:val="28"/>
          <w:szCs w:val="28"/>
          <w:shd w:val="clear" w:color="auto" w:fill="FFFFFF"/>
        </w:rPr>
        <w:t>Surmi</w:t>
      </w:r>
      <w:proofErr w:type="spellEnd"/>
      <w:r w:rsidRPr="00AF505F">
        <w:rPr>
          <w:rFonts w:asciiTheme="majorBidi" w:hAnsiTheme="majorBidi" w:cstheme="majorBidi"/>
          <w:color w:val="222222"/>
          <w:sz w:val="28"/>
          <w:szCs w:val="28"/>
          <w:shd w:val="clear" w:color="auto" w:fill="FFFFFF"/>
        </w:rPr>
        <w:t xml:space="preserve">, A., Bashiri, M., &amp; </w:t>
      </w:r>
      <w:proofErr w:type="spellStart"/>
      <w:r w:rsidRPr="00AF505F">
        <w:rPr>
          <w:rFonts w:asciiTheme="majorBidi" w:hAnsiTheme="majorBidi" w:cstheme="majorBidi"/>
          <w:color w:val="222222"/>
          <w:sz w:val="28"/>
          <w:szCs w:val="28"/>
          <w:shd w:val="clear" w:color="auto" w:fill="FFFFFF"/>
        </w:rPr>
        <w:t>Koliousis</w:t>
      </w:r>
      <w:proofErr w:type="spellEnd"/>
      <w:r w:rsidRPr="00AF505F">
        <w:rPr>
          <w:rFonts w:asciiTheme="majorBidi" w:hAnsiTheme="majorBidi" w:cstheme="majorBidi"/>
          <w:color w:val="222222"/>
          <w:sz w:val="28"/>
          <w:szCs w:val="28"/>
          <w:shd w:val="clear" w:color="auto" w:fill="FFFFFF"/>
        </w:rPr>
        <w:t xml:space="preserve">, I. (2022). AI based decision </w:t>
      </w:r>
      <w:proofErr w:type="gramStart"/>
      <w:r w:rsidRPr="00AF505F">
        <w:rPr>
          <w:rFonts w:asciiTheme="majorBidi" w:hAnsiTheme="majorBidi" w:cstheme="majorBidi"/>
          <w:color w:val="222222"/>
          <w:sz w:val="28"/>
          <w:szCs w:val="28"/>
          <w:shd w:val="clear" w:color="auto" w:fill="FFFFFF"/>
        </w:rPr>
        <w:t>making:</w:t>
      </w:r>
      <w:proofErr w:type="gramEnd"/>
      <w:r w:rsidRPr="00AF505F">
        <w:rPr>
          <w:rFonts w:asciiTheme="majorBidi" w:hAnsiTheme="majorBidi" w:cstheme="majorBidi"/>
          <w:color w:val="222222"/>
          <w:sz w:val="28"/>
          <w:szCs w:val="28"/>
          <w:shd w:val="clear" w:color="auto" w:fill="FFFFFF"/>
        </w:rPr>
        <w:t xml:space="preserve"> combining strategies to improve operational performance. </w:t>
      </w:r>
      <w:r w:rsidRPr="00AF505F">
        <w:rPr>
          <w:rFonts w:asciiTheme="majorBidi" w:hAnsiTheme="majorBidi" w:cstheme="majorBidi"/>
          <w:i/>
          <w:iCs/>
          <w:color w:val="222222"/>
          <w:sz w:val="28"/>
          <w:szCs w:val="28"/>
          <w:shd w:val="clear" w:color="auto" w:fill="FFFFFF"/>
        </w:rPr>
        <w:t>International Journal of Production Research</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60</w:t>
      </w:r>
      <w:r w:rsidRPr="00AF505F">
        <w:rPr>
          <w:rFonts w:asciiTheme="majorBidi" w:hAnsiTheme="majorBidi" w:cstheme="majorBidi"/>
          <w:color w:val="222222"/>
          <w:sz w:val="28"/>
          <w:szCs w:val="28"/>
          <w:shd w:val="clear" w:color="auto" w:fill="FFFFFF"/>
        </w:rPr>
        <w:t>(14), 4464-4486.</w:t>
      </w:r>
      <w:r w:rsidRPr="00AF505F">
        <w:rPr>
          <w:rFonts w:asciiTheme="majorBidi" w:hAnsiTheme="majorBidi" w:cstheme="majorBidi"/>
          <w:color w:val="222222"/>
          <w:sz w:val="28"/>
          <w:szCs w:val="28"/>
          <w:shd w:val="clear" w:color="auto" w:fill="FFFFFF"/>
          <w:rtl/>
        </w:rPr>
        <w:t>‏</w:t>
      </w:r>
    </w:p>
    <w:p w14:paraId="7EB20233"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Arabia, R. S. (2022). Readiness of HRM Departments in the Kingdom of Saudi Arabia to Integrate Artificial Intelligence Technologies into Their Practices.</w:t>
      </w:r>
      <w:r w:rsidRPr="00AF505F">
        <w:rPr>
          <w:rFonts w:asciiTheme="majorBidi" w:hAnsiTheme="majorBidi" w:cstheme="majorBidi"/>
          <w:color w:val="222222"/>
          <w:sz w:val="28"/>
          <w:szCs w:val="28"/>
          <w:shd w:val="clear" w:color="auto" w:fill="FFFFFF"/>
          <w:rtl/>
        </w:rPr>
        <w:t>‏</w:t>
      </w:r>
      <w:r w:rsidRPr="00AF505F">
        <w:rPr>
          <w:rFonts w:asciiTheme="majorBidi" w:hAnsiTheme="majorBidi" w:cstheme="majorBidi"/>
          <w:color w:val="222222"/>
          <w:sz w:val="28"/>
          <w:szCs w:val="28"/>
          <w:shd w:val="clear" w:color="auto" w:fill="FFFFFF"/>
        </w:rPr>
        <w:t xml:space="preserve"> 30-36</w:t>
      </w:r>
    </w:p>
    <w:p w14:paraId="0E0B4A6D"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Badghish</w:t>
      </w:r>
      <w:proofErr w:type="spellEnd"/>
      <w:r w:rsidRPr="00AF505F">
        <w:rPr>
          <w:rFonts w:asciiTheme="majorBidi" w:hAnsiTheme="majorBidi" w:cstheme="majorBidi"/>
          <w:color w:val="222222"/>
          <w:sz w:val="28"/>
          <w:szCs w:val="28"/>
          <w:shd w:val="clear" w:color="auto" w:fill="FFFFFF"/>
        </w:rPr>
        <w:t xml:space="preserve">, S., &amp; Soomro, Y. A. (2024). Artificial intelligence adoption by SMEs to achieve sustainable business performance: </w:t>
      </w:r>
      <w:r w:rsidRPr="00AF505F">
        <w:rPr>
          <w:rFonts w:asciiTheme="majorBidi" w:hAnsiTheme="majorBidi" w:cstheme="majorBidi"/>
          <w:color w:val="222222"/>
          <w:sz w:val="28"/>
          <w:szCs w:val="28"/>
          <w:shd w:val="clear" w:color="auto" w:fill="FFFFFF"/>
        </w:rPr>
        <w:lastRenderedPageBreak/>
        <w:t xml:space="preserve">application of technology–organization–environment framework. </w:t>
      </w:r>
      <w:r w:rsidRPr="00AF505F">
        <w:rPr>
          <w:rFonts w:asciiTheme="majorBidi" w:hAnsiTheme="majorBidi" w:cstheme="majorBidi"/>
          <w:i/>
          <w:iCs/>
          <w:color w:val="222222"/>
          <w:sz w:val="28"/>
          <w:szCs w:val="28"/>
          <w:shd w:val="clear" w:color="auto" w:fill="FFFFFF"/>
        </w:rPr>
        <w:t>Sustainability</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16</w:t>
      </w:r>
      <w:r w:rsidRPr="00AF505F">
        <w:rPr>
          <w:rFonts w:asciiTheme="majorBidi" w:hAnsiTheme="majorBidi" w:cstheme="majorBidi"/>
          <w:color w:val="222222"/>
          <w:sz w:val="28"/>
          <w:szCs w:val="28"/>
          <w:shd w:val="clear" w:color="auto" w:fill="FFFFFF"/>
        </w:rPr>
        <w:t>(5), 1864.</w:t>
      </w:r>
      <w:r w:rsidRPr="00AF505F">
        <w:rPr>
          <w:rFonts w:asciiTheme="majorBidi" w:hAnsiTheme="majorBidi" w:cstheme="majorBidi"/>
          <w:color w:val="222222"/>
          <w:sz w:val="28"/>
          <w:szCs w:val="28"/>
          <w:shd w:val="clear" w:color="auto" w:fill="FFFFFF"/>
          <w:rtl/>
        </w:rPr>
        <w:t>‏</w:t>
      </w:r>
      <w:r w:rsidRPr="00AF505F">
        <w:rPr>
          <w:rFonts w:asciiTheme="majorBidi" w:hAnsiTheme="majorBidi" w:cstheme="majorBidi"/>
          <w:color w:val="222222"/>
          <w:sz w:val="28"/>
          <w:szCs w:val="28"/>
          <w:shd w:val="clear" w:color="auto" w:fill="FFFFFF"/>
        </w:rPr>
        <w:t xml:space="preserve"> 1-24</w:t>
      </w:r>
    </w:p>
    <w:p w14:paraId="623300A7"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 xml:space="preserve">Basir, A., </w:t>
      </w:r>
      <w:proofErr w:type="spellStart"/>
      <w:r w:rsidRPr="00AF505F">
        <w:rPr>
          <w:rFonts w:asciiTheme="majorBidi" w:hAnsiTheme="majorBidi" w:cstheme="majorBidi"/>
          <w:color w:val="222222"/>
          <w:sz w:val="28"/>
          <w:szCs w:val="28"/>
          <w:shd w:val="clear" w:color="auto" w:fill="FFFFFF"/>
        </w:rPr>
        <w:t>Puspitasari</w:t>
      </w:r>
      <w:proofErr w:type="spellEnd"/>
      <w:r w:rsidRPr="00AF505F">
        <w:rPr>
          <w:rFonts w:asciiTheme="majorBidi" w:hAnsiTheme="majorBidi" w:cstheme="majorBidi"/>
          <w:color w:val="222222"/>
          <w:sz w:val="28"/>
          <w:szCs w:val="28"/>
          <w:shd w:val="clear" w:color="auto" w:fill="FFFFFF"/>
        </w:rPr>
        <w:t xml:space="preserve">, E. D., </w:t>
      </w:r>
      <w:proofErr w:type="spellStart"/>
      <w:r w:rsidRPr="00AF505F">
        <w:rPr>
          <w:rFonts w:asciiTheme="majorBidi" w:hAnsiTheme="majorBidi" w:cstheme="majorBidi"/>
          <w:color w:val="222222"/>
          <w:sz w:val="28"/>
          <w:szCs w:val="28"/>
          <w:shd w:val="clear" w:color="auto" w:fill="FFFFFF"/>
        </w:rPr>
        <w:t>Aristarini</w:t>
      </w:r>
      <w:proofErr w:type="spellEnd"/>
      <w:r w:rsidRPr="00AF505F">
        <w:rPr>
          <w:rFonts w:asciiTheme="majorBidi" w:hAnsiTheme="majorBidi" w:cstheme="majorBidi"/>
          <w:color w:val="222222"/>
          <w:sz w:val="28"/>
          <w:szCs w:val="28"/>
          <w:shd w:val="clear" w:color="auto" w:fill="FFFFFF"/>
        </w:rPr>
        <w:t xml:space="preserve">, C. C., Sulastri, P. D., &amp; </w:t>
      </w:r>
      <w:proofErr w:type="spellStart"/>
      <w:r w:rsidRPr="00AF505F">
        <w:rPr>
          <w:rFonts w:asciiTheme="majorBidi" w:hAnsiTheme="majorBidi" w:cstheme="majorBidi"/>
          <w:color w:val="222222"/>
          <w:sz w:val="28"/>
          <w:szCs w:val="28"/>
          <w:shd w:val="clear" w:color="auto" w:fill="FFFFFF"/>
        </w:rPr>
        <w:t>Ausat</w:t>
      </w:r>
      <w:proofErr w:type="spellEnd"/>
      <w:r w:rsidRPr="00AF505F">
        <w:rPr>
          <w:rFonts w:asciiTheme="majorBidi" w:hAnsiTheme="majorBidi" w:cstheme="majorBidi"/>
          <w:color w:val="222222"/>
          <w:sz w:val="28"/>
          <w:szCs w:val="28"/>
          <w:shd w:val="clear" w:color="auto" w:fill="FFFFFF"/>
        </w:rPr>
        <w:t>, A. M. A. (2023). Ethical use of ChatGPT in the context of leadership and strategic decisions. </w:t>
      </w:r>
      <w:proofErr w:type="spellStart"/>
      <w:r w:rsidRPr="00AF505F">
        <w:rPr>
          <w:rFonts w:asciiTheme="majorBidi" w:hAnsiTheme="majorBidi" w:cstheme="majorBidi"/>
          <w:i/>
          <w:iCs/>
          <w:color w:val="222222"/>
          <w:sz w:val="28"/>
          <w:szCs w:val="28"/>
          <w:shd w:val="clear" w:color="auto" w:fill="FFFFFF"/>
        </w:rPr>
        <w:t>Jurnal</w:t>
      </w:r>
      <w:proofErr w:type="spellEnd"/>
      <w:r w:rsidRPr="00AF505F">
        <w:rPr>
          <w:rFonts w:asciiTheme="majorBidi" w:hAnsiTheme="majorBidi" w:cstheme="majorBidi"/>
          <w:i/>
          <w:iCs/>
          <w:color w:val="222222"/>
          <w:sz w:val="28"/>
          <w:szCs w:val="28"/>
          <w:shd w:val="clear" w:color="auto" w:fill="FFFFFF"/>
        </w:rPr>
        <w:t xml:space="preserve"> </w:t>
      </w:r>
      <w:proofErr w:type="spellStart"/>
      <w:r w:rsidRPr="00AF505F">
        <w:rPr>
          <w:rFonts w:asciiTheme="majorBidi" w:hAnsiTheme="majorBidi" w:cstheme="majorBidi"/>
          <w:i/>
          <w:iCs/>
          <w:color w:val="222222"/>
          <w:sz w:val="28"/>
          <w:szCs w:val="28"/>
          <w:shd w:val="clear" w:color="auto" w:fill="FFFFFF"/>
        </w:rPr>
        <w:t>Minfo</w:t>
      </w:r>
      <w:proofErr w:type="spellEnd"/>
      <w:r w:rsidRPr="00AF505F">
        <w:rPr>
          <w:rFonts w:asciiTheme="majorBidi" w:hAnsiTheme="majorBidi" w:cstheme="majorBidi"/>
          <w:i/>
          <w:iCs/>
          <w:color w:val="222222"/>
          <w:sz w:val="28"/>
          <w:szCs w:val="28"/>
          <w:shd w:val="clear" w:color="auto" w:fill="FFFFFF"/>
        </w:rPr>
        <w:t xml:space="preserve"> </w:t>
      </w:r>
      <w:proofErr w:type="spellStart"/>
      <w:r w:rsidRPr="00AF505F">
        <w:rPr>
          <w:rFonts w:asciiTheme="majorBidi" w:hAnsiTheme="majorBidi" w:cstheme="majorBidi"/>
          <w:i/>
          <w:iCs/>
          <w:color w:val="222222"/>
          <w:sz w:val="28"/>
          <w:szCs w:val="28"/>
          <w:shd w:val="clear" w:color="auto" w:fill="FFFFFF"/>
        </w:rPr>
        <w:t>Polgan</w:t>
      </w:r>
      <w:proofErr w:type="spellEnd"/>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12</w:t>
      </w:r>
      <w:r w:rsidRPr="00AF505F">
        <w:rPr>
          <w:rFonts w:asciiTheme="majorBidi" w:hAnsiTheme="majorBidi" w:cstheme="majorBidi"/>
          <w:color w:val="222222"/>
          <w:sz w:val="28"/>
          <w:szCs w:val="28"/>
          <w:shd w:val="clear" w:color="auto" w:fill="FFFFFF"/>
        </w:rPr>
        <w:t>(1), 1239-1246.</w:t>
      </w:r>
      <w:r w:rsidRPr="00AF505F">
        <w:rPr>
          <w:rFonts w:asciiTheme="majorBidi" w:hAnsiTheme="majorBidi" w:cstheme="majorBidi"/>
          <w:color w:val="222222"/>
          <w:sz w:val="28"/>
          <w:szCs w:val="28"/>
          <w:shd w:val="clear" w:color="auto" w:fill="FFFFFF"/>
          <w:rtl/>
        </w:rPr>
        <w:t>‏</w:t>
      </w:r>
    </w:p>
    <w:p w14:paraId="59ACE454"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Basu, R., Lim, W. M., Kumar, A., &amp; Kumar, S. (2023). Marketing analytics: The bridge between customer psychology and marketing decision‐making. </w:t>
      </w:r>
      <w:r w:rsidRPr="00AF505F">
        <w:rPr>
          <w:rFonts w:asciiTheme="majorBidi" w:hAnsiTheme="majorBidi" w:cstheme="majorBidi"/>
          <w:i/>
          <w:iCs/>
          <w:color w:val="222222"/>
          <w:sz w:val="28"/>
          <w:szCs w:val="28"/>
          <w:shd w:val="clear" w:color="auto" w:fill="FFFFFF"/>
        </w:rPr>
        <w:t>Psychology &amp; Marketing</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40</w:t>
      </w:r>
      <w:r w:rsidRPr="00AF505F">
        <w:rPr>
          <w:rFonts w:asciiTheme="majorBidi" w:hAnsiTheme="majorBidi" w:cstheme="majorBidi"/>
          <w:color w:val="222222"/>
          <w:sz w:val="28"/>
          <w:szCs w:val="28"/>
          <w:shd w:val="clear" w:color="auto" w:fill="FFFFFF"/>
        </w:rPr>
        <w:t>(12), 2588-2611.</w:t>
      </w:r>
      <w:r w:rsidRPr="00AF505F">
        <w:rPr>
          <w:rFonts w:asciiTheme="majorBidi" w:hAnsiTheme="majorBidi" w:cstheme="majorBidi"/>
          <w:color w:val="222222"/>
          <w:sz w:val="28"/>
          <w:szCs w:val="28"/>
          <w:shd w:val="clear" w:color="auto" w:fill="FFFFFF"/>
          <w:rtl/>
        </w:rPr>
        <w:t>‏</w:t>
      </w:r>
    </w:p>
    <w:p w14:paraId="58C0464D"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Binsaeed</w:t>
      </w:r>
      <w:proofErr w:type="spellEnd"/>
      <w:r w:rsidRPr="00AF505F">
        <w:rPr>
          <w:rFonts w:asciiTheme="majorBidi" w:hAnsiTheme="majorBidi" w:cstheme="majorBidi"/>
          <w:color w:val="222222"/>
          <w:sz w:val="28"/>
          <w:szCs w:val="28"/>
          <w:shd w:val="clear" w:color="auto" w:fill="FFFFFF"/>
        </w:rPr>
        <w:t xml:space="preserve">, R. H., Yousaf, Z., Grigorescu, A., Samoila, A., Chitescu, R. I., &amp; </w:t>
      </w:r>
      <w:proofErr w:type="spellStart"/>
      <w:r w:rsidRPr="00AF505F">
        <w:rPr>
          <w:rFonts w:asciiTheme="majorBidi" w:hAnsiTheme="majorBidi" w:cstheme="majorBidi"/>
          <w:color w:val="222222"/>
          <w:sz w:val="28"/>
          <w:szCs w:val="28"/>
          <w:shd w:val="clear" w:color="auto" w:fill="FFFFFF"/>
        </w:rPr>
        <w:t>Nassani</w:t>
      </w:r>
      <w:proofErr w:type="spellEnd"/>
      <w:r w:rsidRPr="00AF505F">
        <w:rPr>
          <w:rFonts w:asciiTheme="majorBidi" w:hAnsiTheme="majorBidi" w:cstheme="majorBidi"/>
          <w:color w:val="222222"/>
          <w:sz w:val="28"/>
          <w:szCs w:val="28"/>
          <w:shd w:val="clear" w:color="auto" w:fill="FFFFFF"/>
        </w:rPr>
        <w:t xml:space="preserve">, A. A. (2023). Knowledge sharing </w:t>
      </w:r>
      <w:proofErr w:type="gramStart"/>
      <w:r w:rsidRPr="00AF505F">
        <w:rPr>
          <w:rFonts w:asciiTheme="majorBidi" w:hAnsiTheme="majorBidi" w:cstheme="majorBidi"/>
          <w:color w:val="222222"/>
          <w:sz w:val="28"/>
          <w:szCs w:val="28"/>
          <w:shd w:val="clear" w:color="auto" w:fill="FFFFFF"/>
        </w:rPr>
        <w:t>key</w:t>
      </w:r>
      <w:proofErr w:type="gramEnd"/>
      <w:r w:rsidRPr="00AF505F">
        <w:rPr>
          <w:rFonts w:asciiTheme="majorBidi" w:hAnsiTheme="majorBidi" w:cstheme="majorBidi"/>
          <w:color w:val="222222"/>
          <w:sz w:val="28"/>
          <w:szCs w:val="28"/>
          <w:shd w:val="clear" w:color="auto" w:fill="FFFFFF"/>
        </w:rPr>
        <w:t xml:space="preserve"> </w:t>
      </w:r>
      <w:proofErr w:type="gramStart"/>
      <w:r w:rsidRPr="00AF505F">
        <w:rPr>
          <w:rFonts w:asciiTheme="majorBidi" w:hAnsiTheme="majorBidi" w:cstheme="majorBidi"/>
          <w:color w:val="222222"/>
          <w:sz w:val="28"/>
          <w:szCs w:val="28"/>
          <w:shd w:val="clear" w:color="auto" w:fill="FFFFFF"/>
        </w:rPr>
        <w:t>issue</w:t>
      </w:r>
      <w:proofErr w:type="gramEnd"/>
      <w:r w:rsidRPr="00AF505F">
        <w:rPr>
          <w:rFonts w:asciiTheme="majorBidi" w:hAnsiTheme="majorBidi" w:cstheme="majorBidi"/>
          <w:color w:val="222222"/>
          <w:sz w:val="28"/>
          <w:szCs w:val="28"/>
          <w:shd w:val="clear" w:color="auto" w:fill="FFFFFF"/>
        </w:rPr>
        <w:t xml:space="preserve"> for digital technology and artificial intelligence adoption. </w:t>
      </w:r>
      <w:r w:rsidRPr="00AF505F">
        <w:rPr>
          <w:rFonts w:asciiTheme="majorBidi" w:hAnsiTheme="majorBidi" w:cstheme="majorBidi"/>
          <w:i/>
          <w:iCs/>
          <w:color w:val="222222"/>
          <w:sz w:val="28"/>
          <w:szCs w:val="28"/>
          <w:shd w:val="clear" w:color="auto" w:fill="FFFFFF"/>
        </w:rPr>
        <w:t>Systems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11</w:t>
      </w:r>
      <w:r w:rsidRPr="00AF505F">
        <w:rPr>
          <w:rFonts w:asciiTheme="majorBidi" w:hAnsiTheme="majorBidi" w:cstheme="majorBidi"/>
          <w:color w:val="222222"/>
          <w:sz w:val="28"/>
          <w:szCs w:val="28"/>
          <w:shd w:val="clear" w:color="auto" w:fill="FFFFFF"/>
        </w:rPr>
        <w:t>(7), 316.</w:t>
      </w:r>
      <w:r w:rsidRPr="00AF505F">
        <w:rPr>
          <w:rFonts w:asciiTheme="majorBidi" w:hAnsiTheme="majorBidi" w:cstheme="majorBidi"/>
          <w:color w:val="222222"/>
          <w:sz w:val="28"/>
          <w:szCs w:val="28"/>
          <w:shd w:val="clear" w:color="auto" w:fill="FFFFFF"/>
          <w:rtl/>
        </w:rPr>
        <w:t>‏</w:t>
      </w:r>
      <w:r w:rsidRPr="00AF505F">
        <w:rPr>
          <w:rFonts w:asciiTheme="majorBidi" w:hAnsiTheme="majorBidi" w:cstheme="majorBidi"/>
          <w:color w:val="222222"/>
          <w:sz w:val="28"/>
          <w:szCs w:val="28"/>
          <w:shd w:val="clear" w:color="auto" w:fill="FFFFFF"/>
        </w:rPr>
        <w:t xml:space="preserve"> 1-16</w:t>
      </w:r>
    </w:p>
    <w:p w14:paraId="6355E55E"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Biswas, T. R., Hossain, M. Z., &amp; Comite, U. (2024). Role of management information systems in enhancing decision-making in large-scale organizations. </w:t>
      </w:r>
      <w:r w:rsidRPr="00AF505F">
        <w:rPr>
          <w:rFonts w:asciiTheme="majorBidi" w:hAnsiTheme="majorBidi" w:cstheme="majorBidi"/>
          <w:i/>
          <w:iCs/>
          <w:color w:val="222222"/>
          <w:sz w:val="28"/>
          <w:szCs w:val="28"/>
          <w:shd w:val="clear" w:color="auto" w:fill="FFFFFF"/>
        </w:rPr>
        <w:t>Pacific Journal of Business Innovation and Strategy</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w:t>
      </w:r>
      <w:r w:rsidRPr="00AF505F">
        <w:rPr>
          <w:rFonts w:asciiTheme="majorBidi" w:hAnsiTheme="majorBidi" w:cstheme="majorBidi"/>
          <w:color w:val="222222"/>
          <w:sz w:val="28"/>
          <w:szCs w:val="28"/>
          <w:shd w:val="clear" w:color="auto" w:fill="FFFFFF"/>
        </w:rPr>
        <w:t>(1), 5-18.</w:t>
      </w:r>
      <w:r w:rsidRPr="00AF505F">
        <w:rPr>
          <w:rFonts w:asciiTheme="majorBidi" w:hAnsiTheme="majorBidi" w:cstheme="majorBidi"/>
          <w:color w:val="222222"/>
          <w:sz w:val="28"/>
          <w:szCs w:val="28"/>
          <w:shd w:val="clear" w:color="auto" w:fill="FFFFFF"/>
          <w:rtl/>
        </w:rPr>
        <w:t>‏</w:t>
      </w:r>
    </w:p>
    <w:p w14:paraId="714D287A"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 xml:space="preserve">Brundin, E., &amp; </w:t>
      </w:r>
      <w:proofErr w:type="spellStart"/>
      <w:r w:rsidRPr="00AF505F">
        <w:rPr>
          <w:rFonts w:asciiTheme="majorBidi" w:hAnsiTheme="majorBidi" w:cstheme="majorBidi"/>
          <w:color w:val="222222"/>
          <w:sz w:val="28"/>
          <w:szCs w:val="28"/>
          <w:shd w:val="clear" w:color="auto" w:fill="FFFFFF"/>
        </w:rPr>
        <w:t>Languilaire</w:t>
      </w:r>
      <w:proofErr w:type="spellEnd"/>
      <w:r w:rsidRPr="00AF505F">
        <w:rPr>
          <w:rFonts w:asciiTheme="majorBidi" w:hAnsiTheme="majorBidi" w:cstheme="majorBidi"/>
          <w:color w:val="222222"/>
          <w:sz w:val="28"/>
          <w:szCs w:val="28"/>
          <w:shd w:val="clear" w:color="auto" w:fill="FFFFFF"/>
        </w:rPr>
        <w:t>, J. C. (2023). When the display of emotion is not enough: An emotion boundary management perspective on the quality of strategic decisions. </w:t>
      </w:r>
      <w:r w:rsidRPr="00AF505F">
        <w:rPr>
          <w:rFonts w:asciiTheme="majorBidi" w:hAnsiTheme="majorBidi" w:cstheme="majorBidi"/>
          <w:i/>
          <w:iCs/>
          <w:color w:val="222222"/>
          <w:sz w:val="28"/>
          <w:szCs w:val="28"/>
          <w:shd w:val="clear" w:color="auto" w:fill="FFFFFF"/>
        </w:rPr>
        <w:t>Long Range Planning</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56</w:t>
      </w:r>
      <w:r w:rsidRPr="00AF505F">
        <w:rPr>
          <w:rFonts w:asciiTheme="majorBidi" w:hAnsiTheme="majorBidi" w:cstheme="majorBidi"/>
          <w:color w:val="222222"/>
          <w:sz w:val="28"/>
          <w:szCs w:val="28"/>
          <w:shd w:val="clear" w:color="auto" w:fill="FFFFFF"/>
        </w:rPr>
        <w:t>(5), 102245.</w:t>
      </w:r>
      <w:r w:rsidRPr="00AF505F">
        <w:rPr>
          <w:rFonts w:asciiTheme="majorBidi" w:hAnsiTheme="majorBidi" w:cstheme="majorBidi"/>
          <w:color w:val="222222"/>
          <w:sz w:val="28"/>
          <w:szCs w:val="28"/>
          <w:shd w:val="clear" w:color="auto" w:fill="FFFFFF"/>
          <w:rtl/>
        </w:rPr>
        <w:t>‏</w:t>
      </w:r>
    </w:p>
    <w:p w14:paraId="3816CEA6"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Camuffo, A., Gambardella, A., &amp; Pignataro, A. (2023). Framing strategic decisions in the digital world. </w:t>
      </w:r>
      <w:r w:rsidRPr="00AF505F">
        <w:rPr>
          <w:rFonts w:asciiTheme="majorBidi" w:hAnsiTheme="majorBidi" w:cstheme="majorBidi"/>
          <w:i/>
          <w:iCs/>
          <w:color w:val="222222"/>
          <w:sz w:val="28"/>
          <w:szCs w:val="28"/>
          <w:shd w:val="clear" w:color="auto" w:fill="FFFFFF"/>
        </w:rPr>
        <w:t>Strategic Management Review</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4</w:t>
      </w:r>
      <w:r w:rsidRPr="00AF505F">
        <w:rPr>
          <w:rFonts w:asciiTheme="majorBidi" w:hAnsiTheme="majorBidi" w:cstheme="majorBidi"/>
          <w:color w:val="222222"/>
          <w:sz w:val="28"/>
          <w:szCs w:val="28"/>
          <w:shd w:val="clear" w:color="auto" w:fill="FFFFFF"/>
        </w:rPr>
        <w:t>(2), 127-160.</w:t>
      </w:r>
      <w:r w:rsidRPr="00AF505F">
        <w:rPr>
          <w:rFonts w:asciiTheme="majorBidi" w:hAnsiTheme="majorBidi" w:cstheme="majorBidi"/>
          <w:color w:val="222222"/>
          <w:sz w:val="28"/>
          <w:szCs w:val="28"/>
          <w:shd w:val="clear" w:color="auto" w:fill="FFFFFF"/>
          <w:rtl/>
        </w:rPr>
        <w:t>‏</w:t>
      </w:r>
    </w:p>
    <w:p w14:paraId="5E0299BC"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lastRenderedPageBreak/>
        <w:t>Csaszar, F. A., Ketkar, H., &amp; Kim, H. (2024). Artificial intelligence and strategic decision-making: Evidence from entrepreneurs and investors. </w:t>
      </w:r>
      <w:r w:rsidRPr="00AF505F">
        <w:rPr>
          <w:rFonts w:asciiTheme="majorBidi" w:hAnsiTheme="majorBidi" w:cstheme="majorBidi"/>
          <w:i/>
          <w:iCs/>
          <w:color w:val="222222"/>
          <w:sz w:val="28"/>
          <w:szCs w:val="28"/>
          <w:shd w:val="clear" w:color="auto" w:fill="FFFFFF"/>
        </w:rPr>
        <w:t>Strategy Science</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9</w:t>
      </w:r>
      <w:r w:rsidRPr="00AF505F">
        <w:rPr>
          <w:rFonts w:asciiTheme="majorBidi" w:hAnsiTheme="majorBidi" w:cstheme="majorBidi"/>
          <w:color w:val="222222"/>
          <w:sz w:val="28"/>
          <w:szCs w:val="28"/>
          <w:shd w:val="clear" w:color="auto" w:fill="FFFFFF"/>
        </w:rPr>
        <w:t>(4), 322-345.</w:t>
      </w:r>
      <w:r w:rsidRPr="00AF505F">
        <w:rPr>
          <w:rFonts w:asciiTheme="majorBidi" w:hAnsiTheme="majorBidi" w:cstheme="majorBidi"/>
          <w:color w:val="222222"/>
          <w:sz w:val="28"/>
          <w:szCs w:val="28"/>
          <w:shd w:val="clear" w:color="auto" w:fill="FFFFFF"/>
          <w:rtl/>
        </w:rPr>
        <w:t>‏</w:t>
      </w:r>
    </w:p>
    <w:p w14:paraId="24D09C90"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Doshi, A. R., Bell, J. J., Mirzayev, E., &amp; Vanneste, B. S. (2025). Generative artificial intelligence and evaluating strategic decisions. </w:t>
      </w:r>
      <w:r w:rsidRPr="00AF505F">
        <w:rPr>
          <w:rFonts w:asciiTheme="majorBidi" w:hAnsiTheme="majorBidi" w:cstheme="majorBidi"/>
          <w:i/>
          <w:iCs/>
          <w:color w:val="222222"/>
          <w:sz w:val="28"/>
          <w:szCs w:val="28"/>
          <w:shd w:val="clear" w:color="auto" w:fill="FFFFFF"/>
        </w:rPr>
        <w:t>Strategic Management Journal</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46</w:t>
      </w:r>
      <w:r w:rsidRPr="00AF505F">
        <w:rPr>
          <w:rFonts w:asciiTheme="majorBidi" w:hAnsiTheme="majorBidi" w:cstheme="majorBidi"/>
          <w:color w:val="222222"/>
          <w:sz w:val="28"/>
          <w:szCs w:val="28"/>
          <w:shd w:val="clear" w:color="auto" w:fill="FFFFFF"/>
        </w:rPr>
        <w:t>(3), 583-610.</w:t>
      </w:r>
      <w:r w:rsidRPr="00AF505F">
        <w:rPr>
          <w:rFonts w:asciiTheme="majorBidi" w:hAnsiTheme="majorBidi" w:cstheme="majorBidi"/>
          <w:color w:val="222222"/>
          <w:sz w:val="28"/>
          <w:szCs w:val="28"/>
          <w:shd w:val="clear" w:color="auto" w:fill="FFFFFF"/>
          <w:rtl/>
        </w:rPr>
        <w:t>‏</w:t>
      </w:r>
    </w:p>
    <w:p w14:paraId="7212FCED"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Eberhard, K. (2023). The effects of visualization on judgment and decision-making: a systematic literature review. </w:t>
      </w:r>
      <w:r w:rsidRPr="00AF505F">
        <w:rPr>
          <w:rFonts w:asciiTheme="majorBidi" w:hAnsiTheme="majorBidi" w:cstheme="majorBidi"/>
          <w:i/>
          <w:iCs/>
          <w:color w:val="222222"/>
          <w:sz w:val="28"/>
          <w:szCs w:val="28"/>
          <w:shd w:val="clear" w:color="auto" w:fill="FFFFFF"/>
        </w:rPr>
        <w:t>Management Review Quarterly</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73</w:t>
      </w:r>
      <w:r w:rsidRPr="00AF505F">
        <w:rPr>
          <w:rFonts w:asciiTheme="majorBidi" w:hAnsiTheme="majorBidi" w:cstheme="majorBidi"/>
          <w:color w:val="222222"/>
          <w:sz w:val="28"/>
          <w:szCs w:val="28"/>
          <w:shd w:val="clear" w:color="auto" w:fill="FFFFFF"/>
        </w:rPr>
        <w:t>(1), 167-214.</w:t>
      </w:r>
      <w:r w:rsidRPr="00AF505F">
        <w:rPr>
          <w:rFonts w:asciiTheme="majorBidi" w:hAnsiTheme="majorBidi" w:cstheme="majorBidi"/>
          <w:color w:val="222222"/>
          <w:sz w:val="28"/>
          <w:szCs w:val="28"/>
          <w:shd w:val="clear" w:color="auto" w:fill="FFFFFF"/>
          <w:rtl/>
        </w:rPr>
        <w:t>‏</w:t>
      </w:r>
    </w:p>
    <w:p w14:paraId="5D7E0E47"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Eberhard, K. (2023). The effects of visualization on judgment and decision-making: a systematic literature review. </w:t>
      </w:r>
      <w:r w:rsidRPr="00AF505F">
        <w:rPr>
          <w:rFonts w:asciiTheme="majorBidi" w:hAnsiTheme="majorBidi" w:cstheme="majorBidi"/>
          <w:i/>
          <w:iCs/>
          <w:color w:val="222222"/>
          <w:sz w:val="28"/>
          <w:szCs w:val="28"/>
          <w:shd w:val="clear" w:color="auto" w:fill="FFFFFF"/>
        </w:rPr>
        <w:t>Management Review Quarterly</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73</w:t>
      </w:r>
      <w:r w:rsidRPr="00AF505F">
        <w:rPr>
          <w:rFonts w:asciiTheme="majorBidi" w:hAnsiTheme="majorBidi" w:cstheme="majorBidi"/>
          <w:color w:val="222222"/>
          <w:sz w:val="28"/>
          <w:szCs w:val="28"/>
          <w:shd w:val="clear" w:color="auto" w:fill="FFFFFF"/>
        </w:rPr>
        <w:t>(1), 167-214.</w:t>
      </w:r>
      <w:r w:rsidRPr="00AF505F">
        <w:rPr>
          <w:rFonts w:asciiTheme="majorBidi" w:hAnsiTheme="majorBidi" w:cstheme="majorBidi"/>
          <w:color w:val="222222"/>
          <w:sz w:val="28"/>
          <w:szCs w:val="28"/>
          <w:shd w:val="clear" w:color="auto" w:fill="FFFFFF"/>
          <w:rtl/>
        </w:rPr>
        <w:t>‏</w:t>
      </w:r>
    </w:p>
    <w:p w14:paraId="47F68F23"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Eberhard, K., &amp; Wulf, T. (2025). Information visualization and strategic problem comprehension as drivers of strategic decisions. </w:t>
      </w:r>
      <w:r w:rsidRPr="00AF505F">
        <w:rPr>
          <w:rFonts w:asciiTheme="majorBidi" w:hAnsiTheme="majorBidi" w:cstheme="majorBidi"/>
          <w:i/>
          <w:iCs/>
          <w:color w:val="222222"/>
          <w:sz w:val="28"/>
          <w:szCs w:val="28"/>
          <w:shd w:val="clear" w:color="auto" w:fill="FFFFFF"/>
        </w:rPr>
        <w:t>European Management Journal</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43</w:t>
      </w:r>
      <w:r w:rsidRPr="00AF505F">
        <w:rPr>
          <w:rFonts w:asciiTheme="majorBidi" w:hAnsiTheme="majorBidi" w:cstheme="majorBidi"/>
          <w:color w:val="222222"/>
          <w:sz w:val="28"/>
          <w:szCs w:val="28"/>
          <w:shd w:val="clear" w:color="auto" w:fill="FFFFFF"/>
        </w:rPr>
        <w:t>(1), 130-141.</w:t>
      </w:r>
      <w:r w:rsidRPr="00AF505F">
        <w:rPr>
          <w:rFonts w:asciiTheme="majorBidi" w:hAnsiTheme="majorBidi" w:cstheme="majorBidi"/>
          <w:color w:val="222222"/>
          <w:sz w:val="28"/>
          <w:szCs w:val="28"/>
          <w:shd w:val="clear" w:color="auto" w:fill="FFFFFF"/>
          <w:rtl/>
        </w:rPr>
        <w:t>‏</w:t>
      </w:r>
    </w:p>
    <w:p w14:paraId="58DE0748"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 xml:space="preserve">Felemban, H., Sohail, M., &amp; </w:t>
      </w:r>
      <w:proofErr w:type="spellStart"/>
      <w:r w:rsidRPr="00AF505F">
        <w:rPr>
          <w:rFonts w:asciiTheme="majorBidi" w:hAnsiTheme="majorBidi" w:cstheme="majorBidi"/>
          <w:color w:val="222222"/>
          <w:sz w:val="28"/>
          <w:szCs w:val="28"/>
          <w:shd w:val="clear" w:color="auto" w:fill="FFFFFF"/>
        </w:rPr>
        <w:t>Ruikar</w:t>
      </w:r>
      <w:proofErr w:type="spellEnd"/>
      <w:r w:rsidRPr="00AF505F">
        <w:rPr>
          <w:rFonts w:asciiTheme="majorBidi" w:hAnsiTheme="majorBidi" w:cstheme="majorBidi"/>
          <w:color w:val="222222"/>
          <w:sz w:val="28"/>
          <w:szCs w:val="28"/>
          <w:shd w:val="clear" w:color="auto" w:fill="FFFFFF"/>
        </w:rPr>
        <w:t xml:space="preserve">, K. (2024). Exploring the readiness of </w:t>
      </w:r>
      <w:proofErr w:type="spellStart"/>
      <w:r w:rsidRPr="00AF505F">
        <w:rPr>
          <w:rFonts w:asciiTheme="majorBidi" w:hAnsiTheme="majorBidi" w:cstheme="majorBidi"/>
          <w:color w:val="222222"/>
          <w:sz w:val="28"/>
          <w:szCs w:val="28"/>
          <w:shd w:val="clear" w:color="auto" w:fill="FFFFFF"/>
        </w:rPr>
        <w:t>organisations</w:t>
      </w:r>
      <w:proofErr w:type="spellEnd"/>
      <w:r w:rsidRPr="00AF505F">
        <w:rPr>
          <w:rFonts w:asciiTheme="majorBidi" w:hAnsiTheme="majorBidi" w:cstheme="majorBidi"/>
          <w:color w:val="222222"/>
          <w:sz w:val="28"/>
          <w:szCs w:val="28"/>
          <w:shd w:val="clear" w:color="auto" w:fill="FFFFFF"/>
        </w:rPr>
        <w:t xml:space="preserve"> to adopt artificial intelligence. </w:t>
      </w:r>
      <w:r w:rsidRPr="00AF505F">
        <w:rPr>
          <w:rFonts w:asciiTheme="majorBidi" w:hAnsiTheme="majorBidi" w:cstheme="majorBidi"/>
          <w:i/>
          <w:iCs/>
          <w:color w:val="222222"/>
          <w:sz w:val="28"/>
          <w:szCs w:val="28"/>
          <w:shd w:val="clear" w:color="auto" w:fill="FFFFFF"/>
        </w:rPr>
        <w:t>Buildings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14</w:t>
      </w:r>
      <w:r w:rsidRPr="00AF505F">
        <w:rPr>
          <w:rFonts w:asciiTheme="majorBidi" w:hAnsiTheme="majorBidi" w:cstheme="majorBidi"/>
          <w:color w:val="222222"/>
          <w:sz w:val="28"/>
          <w:szCs w:val="28"/>
          <w:shd w:val="clear" w:color="auto" w:fill="FFFFFF"/>
        </w:rPr>
        <w:t>(8), 2460.</w:t>
      </w:r>
      <w:r w:rsidRPr="00AF505F">
        <w:rPr>
          <w:rFonts w:asciiTheme="majorBidi" w:hAnsiTheme="majorBidi" w:cstheme="majorBidi"/>
          <w:color w:val="222222"/>
          <w:sz w:val="28"/>
          <w:szCs w:val="28"/>
          <w:shd w:val="clear" w:color="auto" w:fill="FFFFFF"/>
          <w:rtl/>
        </w:rPr>
        <w:t>‏</w:t>
      </w:r>
      <w:r w:rsidRPr="00AF505F">
        <w:rPr>
          <w:rFonts w:asciiTheme="majorBidi" w:hAnsiTheme="majorBidi" w:cstheme="majorBidi"/>
          <w:color w:val="222222"/>
          <w:sz w:val="28"/>
          <w:szCs w:val="28"/>
          <w:shd w:val="clear" w:color="auto" w:fill="FFFFFF"/>
        </w:rPr>
        <w:t xml:space="preserve"> 1-21</w:t>
      </w:r>
    </w:p>
    <w:p w14:paraId="58CA3FA1"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Fernandez-Vidal, J., Perotti, F. A., Gonzalez, R., &amp; Gasco, J. (2022). Managing digital transformation: The view from the top. </w:t>
      </w:r>
      <w:r w:rsidRPr="00AF505F">
        <w:rPr>
          <w:rFonts w:asciiTheme="majorBidi" w:hAnsiTheme="majorBidi" w:cstheme="majorBidi"/>
          <w:i/>
          <w:iCs/>
          <w:color w:val="222222"/>
          <w:sz w:val="28"/>
          <w:szCs w:val="28"/>
          <w:shd w:val="clear" w:color="auto" w:fill="FFFFFF"/>
        </w:rPr>
        <w:t>Journal of Business Research</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152</w:t>
      </w:r>
      <w:r w:rsidRPr="00AF505F">
        <w:rPr>
          <w:rFonts w:asciiTheme="majorBidi" w:hAnsiTheme="majorBidi" w:cstheme="majorBidi"/>
          <w:color w:val="222222"/>
          <w:sz w:val="28"/>
          <w:szCs w:val="28"/>
          <w:shd w:val="clear" w:color="auto" w:fill="FFFFFF"/>
        </w:rPr>
        <w:t>, 29-41.</w:t>
      </w:r>
      <w:r w:rsidRPr="00AF505F">
        <w:rPr>
          <w:rFonts w:asciiTheme="majorBidi" w:hAnsiTheme="majorBidi" w:cstheme="majorBidi"/>
          <w:color w:val="222222"/>
          <w:sz w:val="28"/>
          <w:szCs w:val="28"/>
          <w:shd w:val="clear" w:color="auto" w:fill="FFFFFF"/>
          <w:rtl/>
        </w:rPr>
        <w:t>‏</w:t>
      </w:r>
    </w:p>
    <w:p w14:paraId="61F7E199"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 xml:space="preserve">Ghonim, M. A., </w:t>
      </w:r>
      <w:proofErr w:type="spellStart"/>
      <w:r w:rsidRPr="00AF505F">
        <w:rPr>
          <w:rFonts w:asciiTheme="majorBidi" w:hAnsiTheme="majorBidi" w:cstheme="majorBidi"/>
          <w:color w:val="222222"/>
          <w:sz w:val="28"/>
          <w:szCs w:val="28"/>
          <w:shd w:val="clear" w:color="auto" w:fill="FFFFFF"/>
        </w:rPr>
        <w:t>Khashaba</w:t>
      </w:r>
      <w:proofErr w:type="spellEnd"/>
      <w:r w:rsidRPr="00AF505F">
        <w:rPr>
          <w:rFonts w:asciiTheme="majorBidi" w:hAnsiTheme="majorBidi" w:cstheme="majorBidi"/>
          <w:color w:val="222222"/>
          <w:sz w:val="28"/>
          <w:szCs w:val="28"/>
          <w:shd w:val="clear" w:color="auto" w:fill="FFFFFF"/>
        </w:rPr>
        <w:t>, N. M., Al-</w:t>
      </w:r>
      <w:proofErr w:type="spellStart"/>
      <w:r w:rsidRPr="00AF505F">
        <w:rPr>
          <w:rFonts w:asciiTheme="majorBidi" w:hAnsiTheme="majorBidi" w:cstheme="majorBidi"/>
          <w:color w:val="222222"/>
          <w:sz w:val="28"/>
          <w:szCs w:val="28"/>
          <w:shd w:val="clear" w:color="auto" w:fill="FFFFFF"/>
        </w:rPr>
        <w:t>Najaar</w:t>
      </w:r>
      <w:proofErr w:type="spellEnd"/>
      <w:r w:rsidRPr="00AF505F">
        <w:rPr>
          <w:rFonts w:asciiTheme="majorBidi" w:hAnsiTheme="majorBidi" w:cstheme="majorBidi"/>
          <w:color w:val="222222"/>
          <w:sz w:val="28"/>
          <w:szCs w:val="28"/>
          <w:shd w:val="clear" w:color="auto" w:fill="FFFFFF"/>
        </w:rPr>
        <w:t xml:space="preserve">, H. M., &amp; Khashan, M. A. (2022). Strategic alignment and its impact on decision </w:t>
      </w:r>
      <w:r w:rsidRPr="00AF505F">
        <w:rPr>
          <w:rFonts w:asciiTheme="majorBidi" w:hAnsiTheme="majorBidi" w:cstheme="majorBidi"/>
          <w:color w:val="222222"/>
          <w:sz w:val="28"/>
          <w:szCs w:val="28"/>
          <w:shd w:val="clear" w:color="auto" w:fill="FFFFFF"/>
        </w:rPr>
        <w:lastRenderedPageBreak/>
        <w:t>effectiveness: a comprehensive model. </w:t>
      </w:r>
      <w:r w:rsidRPr="00AF505F">
        <w:rPr>
          <w:rFonts w:asciiTheme="majorBidi" w:hAnsiTheme="majorBidi" w:cstheme="majorBidi"/>
          <w:i/>
          <w:iCs/>
          <w:color w:val="222222"/>
          <w:sz w:val="28"/>
          <w:szCs w:val="28"/>
          <w:shd w:val="clear" w:color="auto" w:fill="FFFFFF"/>
        </w:rPr>
        <w:t>International Journal of Emerging Markets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17</w:t>
      </w:r>
      <w:r w:rsidRPr="00AF505F">
        <w:rPr>
          <w:rFonts w:asciiTheme="majorBidi" w:hAnsiTheme="majorBidi" w:cstheme="majorBidi"/>
          <w:color w:val="222222"/>
          <w:sz w:val="28"/>
          <w:szCs w:val="28"/>
          <w:shd w:val="clear" w:color="auto" w:fill="FFFFFF"/>
        </w:rPr>
        <w:t>(1), 198-218.</w:t>
      </w:r>
      <w:r w:rsidRPr="00AF505F">
        <w:rPr>
          <w:rFonts w:asciiTheme="majorBidi" w:hAnsiTheme="majorBidi" w:cstheme="majorBidi"/>
          <w:color w:val="222222"/>
          <w:sz w:val="28"/>
          <w:szCs w:val="28"/>
          <w:shd w:val="clear" w:color="auto" w:fill="FFFFFF"/>
          <w:rtl/>
        </w:rPr>
        <w:t>‏</w:t>
      </w:r>
    </w:p>
    <w:p w14:paraId="7D9689D0"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Hendrawan</w:t>
      </w:r>
      <w:proofErr w:type="spellEnd"/>
      <w:r w:rsidRPr="00AF505F">
        <w:rPr>
          <w:rFonts w:asciiTheme="majorBidi" w:hAnsiTheme="majorBidi" w:cstheme="majorBidi"/>
          <w:color w:val="222222"/>
          <w:sz w:val="28"/>
          <w:szCs w:val="28"/>
          <w:shd w:val="clear" w:color="auto" w:fill="FFFFFF"/>
        </w:rPr>
        <w:t xml:space="preserve">, S. A., </w:t>
      </w:r>
      <w:proofErr w:type="spellStart"/>
      <w:r w:rsidRPr="00AF505F">
        <w:rPr>
          <w:rFonts w:asciiTheme="majorBidi" w:hAnsiTheme="majorBidi" w:cstheme="majorBidi"/>
          <w:color w:val="222222"/>
          <w:sz w:val="28"/>
          <w:szCs w:val="28"/>
          <w:shd w:val="clear" w:color="auto" w:fill="FFFFFF"/>
        </w:rPr>
        <w:t>Chatra</w:t>
      </w:r>
      <w:proofErr w:type="spellEnd"/>
      <w:r w:rsidRPr="00AF505F">
        <w:rPr>
          <w:rFonts w:asciiTheme="majorBidi" w:hAnsiTheme="majorBidi" w:cstheme="majorBidi"/>
          <w:color w:val="222222"/>
          <w:sz w:val="28"/>
          <w:szCs w:val="28"/>
          <w:shd w:val="clear" w:color="auto" w:fill="FFFFFF"/>
        </w:rPr>
        <w:t xml:space="preserve">, A., Iman, N., Hidayatullah, S., &amp; </w:t>
      </w:r>
      <w:proofErr w:type="spellStart"/>
      <w:r w:rsidRPr="00AF505F">
        <w:rPr>
          <w:rFonts w:asciiTheme="majorBidi" w:hAnsiTheme="majorBidi" w:cstheme="majorBidi"/>
          <w:color w:val="222222"/>
          <w:sz w:val="28"/>
          <w:szCs w:val="28"/>
          <w:shd w:val="clear" w:color="auto" w:fill="FFFFFF"/>
        </w:rPr>
        <w:t>Suprayitno</w:t>
      </w:r>
      <w:proofErr w:type="spellEnd"/>
      <w:r w:rsidRPr="00AF505F">
        <w:rPr>
          <w:rFonts w:asciiTheme="majorBidi" w:hAnsiTheme="majorBidi" w:cstheme="majorBidi"/>
          <w:color w:val="222222"/>
          <w:sz w:val="28"/>
          <w:szCs w:val="28"/>
          <w:shd w:val="clear" w:color="auto" w:fill="FFFFFF"/>
        </w:rPr>
        <w:t>, D. (2024). Digital transformation in MSMEs: Challenges and opportunities in technology management. </w:t>
      </w:r>
      <w:proofErr w:type="spellStart"/>
      <w:r w:rsidRPr="00AF505F">
        <w:rPr>
          <w:rFonts w:asciiTheme="majorBidi" w:hAnsiTheme="majorBidi" w:cstheme="majorBidi"/>
          <w:i/>
          <w:iCs/>
          <w:color w:val="222222"/>
          <w:sz w:val="28"/>
          <w:szCs w:val="28"/>
          <w:shd w:val="clear" w:color="auto" w:fill="FFFFFF"/>
        </w:rPr>
        <w:t>Jurnal</w:t>
      </w:r>
      <w:proofErr w:type="spellEnd"/>
      <w:r w:rsidRPr="00AF505F">
        <w:rPr>
          <w:rFonts w:asciiTheme="majorBidi" w:hAnsiTheme="majorBidi" w:cstheme="majorBidi"/>
          <w:i/>
          <w:iCs/>
          <w:color w:val="222222"/>
          <w:sz w:val="28"/>
          <w:szCs w:val="28"/>
          <w:shd w:val="clear" w:color="auto" w:fill="FFFFFF"/>
        </w:rPr>
        <w:t xml:space="preserve"> </w:t>
      </w:r>
      <w:proofErr w:type="spellStart"/>
      <w:r w:rsidRPr="00AF505F">
        <w:rPr>
          <w:rFonts w:asciiTheme="majorBidi" w:hAnsiTheme="majorBidi" w:cstheme="majorBidi"/>
          <w:i/>
          <w:iCs/>
          <w:color w:val="222222"/>
          <w:sz w:val="28"/>
          <w:szCs w:val="28"/>
          <w:shd w:val="clear" w:color="auto" w:fill="FFFFFF"/>
        </w:rPr>
        <w:t>Informasi</w:t>
      </w:r>
      <w:proofErr w:type="spellEnd"/>
      <w:r w:rsidRPr="00AF505F">
        <w:rPr>
          <w:rFonts w:asciiTheme="majorBidi" w:hAnsiTheme="majorBidi" w:cstheme="majorBidi"/>
          <w:i/>
          <w:iCs/>
          <w:color w:val="222222"/>
          <w:sz w:val="28"/>
          <w:szCs w:val="28"/>
          <w:shd w:val="clear" w:color="auto" w:fill="FFFFFF"/>
        </w:rPr>
        <w:t xml:space="preserve"> dan </w:t>
      </w:r>
      <w:proofErr w:type="spellStart"/>
      <w:r w:rsidRPr="00AF505F">
        <w:rPr>
          <w:rFonts w:asciiTheme="majorBidi" w:hAnsiTheme="majorBidi" w:cstheme="majorBidi"/>
          <w:i/>
          <w:iCs/>
          <w:color w:val="222222"/>
          <w:sz w:val="28"/>
          <w:szCs w:val="28"/>
          <w:shd w:val="clear" w:color="auto" w:fill="FFFFFF"/>
        </w:rPr>
        <w:t>Teknologi</w:t>
      </w:r>
      <w:proofErr w:type="spellEnd"/>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6</w:t>
      </w:r>
      <w:r w:rsidRPr="00AF505F">
        <w:rPr>
          <w:rFonts w:asciiTheme="majorBidi" w:hAnsiTheme="majorBidi" w:cstheme="majorBidi"/>
          <w:color w:val="222222"/>
          <w:sz w:val="28"/>
          <w:szCs w:val="28"/>
          <w:shd w:val="clear" w:color="auto" w:fill="FFFFFF"/>
        </w:rPr>
        <w:t>(2), 141-149.</w:t>
      </w:r>
      <w:r w:rsidRPr="00AF505F">
        <w:rPr>
          <w:rFonts w:asciiTheme="majorBidi" w:hAnsiTheme="majorBidi" w:cstheme="majorBidi"/>
          <w:color w:val="222222"/>
          <w:sz w:val="28"/>
          <w:szCs w:val="28"/>
          <w:shd w:val="clear" w:color="auto" w:fill="FFFFFF"/>
          <w:rtl/>
        </w:rPr>
        <w:t>‏</w:t>
      </w:r>
    </w:p>
    <w:p w14:paraId="1331EB99"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Hicham, B., &amp; Hamza, D. T. (2024). Dimensions of artificial intelligence and data strategies in industrial enterprises and achieving sustainable leadership: A reading in the Saudi Industrial National Strategy 2016-2030. </w:t>
      </w:r>
      <w:r w:rsidRPr="00AF505F">
        <w:rPr>
          <w:rFonts w:asciiTheme="majorBidi" w:hAnsiTheme="majorBidi" w:cstheme="majorBidi"/>
          <w:i/>
          <w:iCs/>
          <w:color w:val="222222"/>
          <w:sz w:val="28"/>
          <w:szCs w:val="28"/>
          <w:shd w:val="clear" w:color="auto" w:fill="FFFFFF"/>
        </w:rPr>
        <w:t>Journal of North African Economies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20</w:t>
      </w:r>
      <w:r w:rsidRPr="00AF505F">
        <w:rPr>
          <w:rFonts w:asciiTheme="majorBidi" w:hAnsiTheme="majorBidi" w:cstheme="majorBidi"/>
          <w:color w:val="222222"/>
          <w:sz w:val="28"/>
          <w:szCs w:val="28"/>
          <w:shd w:val="clear" w:color="auto" w:fill="FFFFFF"/>
        </w:rPr>
        <w:t>(34), 185-204.</w:t>
      </w:r>
      <w:r w:rsidRPr="00AF505F">
        <w:rPr>
          <w:rFonts w:asciiTheme="majorBidi" w:hAnsiTheme="majorBidi" w:cstheme="majorBidi"/>
          <w:color w:val="222222"/>
          <w:sz w:val="28"/>
          <w:szCs w:val="28"/>
          <w:shd w:val="clear" w:color="auto" w:fill="FFFFFF"/>
          <w:rtl/>
        </w:rPr>
        <w:t>‏</w:t>
      </w:r>
    </w:p>
    <w:p w14:paraId="7D2809F2"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 xml:space="preserve">Hicham, N., </w:t>
      </w:r>
      <w:proofErr w:type="spellStart"/>
      <w:r w:rsidRPr="00AF505F">
        <w:rPr>
          <w:rFonts w:asciiTheme="majorBidi" w:hAnsiTheme="majorBidi" w:cstheme="majorBidi"/>
          <w:color w:val="222222"/>
          <w:sz w:val="28"/>
          <w:szCs w:val="28"/>
          <w:shd w:val="clear" w:color="auto" w:fill="FFFFFF"/>
        </w:rPr>
        <w:t>Nassera</w:t>
      </w:r>
      <w:proofErr w:type="spellEnd"/>
      <w:r w:rsidRPr="00AF505F">
        <w:rPr>
          <w:rFonts w:asciiTheme="majorBidi" w:hAnsiTheme="majorBidi" w:cstheme="majorBidi"/>
          <w:color w:val="222222"/>
          <w:sz w:val="28"/>
          <w:szCs w:val="28"/>
          <w:shd w:val="clear" w:color="auto" w:fill="FFFFFF"/>
        </w:rPr>
        <w:t>, H., &amp; Karim, S. (2023). Strategic framework for leveraging artificial intelligence in future marketing decision-making. </w:t>
      </w:r>
      <w:r w:rsidRPr="00AF505F">
        <w:rPr>
          <w:rFonts w:asciiTheme="majorBidi" w:hAnsiTheme="majorBidi" w:cstheme="majorBidi"/>
          <w:i/>
          <w:iCs/>
          <w:color w:val="222222"/>
          <w:sz w:val="28"/>
          <w:szCs w:val="28"/>
          <w:shd w:val="clear" w:color="auto" w:fill="FFFFFF"/>
        </w:rPr>
        <w:t>Journal of Intelligent Management Decision</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2</w:t>
      </w:r>
      <w:r w:rsidRPr="00AF505F">
        <w:rPr>
          <w:rFonts w:asciiTheme="majorBidi" w:hAnsiTheme="majorBidi" w:cstheme="majorBidi"/>
          <w:color w:val="222222"/>
          <w:sz w:val="28"/>
          <w:szCs w:val="28"/>
          <w:shd w:val="clear" w:color="auto" w:fill="FFFFFF"/>
        </w:rPr>
        <w:t>(3), 139-150.</w:t>
      </w:r>
      <w:r w:rsidRPr="00AF505F">
        <w:rPr>
          <w:rFonts w:asciiTheme="majorBidi" w:hAnsiTheme="majorBidi" w:cstheme="majorBidi"/>
          <w:color w:val="222222"/>
          <w:sz w:val="28"/>
          <w:szCs w:val="28"/>
          <w:shd w:val="clear" w:color="auto" w:fill="FFFFFF"/>
          <w:rtl/>
        </w:rPr>
        <w:t>‏</w:t>
      </w:r>
    </w:p>
    <w:p w14:paraId="0412800E"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AF505F">
        <w:rPr>
          <w:rFonts w:asciiTheme="majorBidi" w:hAnsiTheme="majorBidi" w:cstheme="majorBidi"/>
          <w:color w:val="222222"/>
          <w:sz w:val="28"/>
          <w:szCs w:val="28"/>
          <w:shd w:val="clear" w:color="auto" w:fill="FFFFFF"/>
        </w:rPr>
        <w:t>Iastremska</w:t>
      </w:r>
      <w:proofErr w:type="spellEnd"/>
      <w:r w:rsidRPr="00AF505F">
        <w:rPr>
          <w:rFonts w:asciiTheme="majorBidi" w:hAnsiTheme="majorBidi" w:cstheme="majorBidi"/>
          <w:color w:val="222222"/>
          <w:sz w:val="28"/>
          <w:szCs w:val="28"/>
          <w:shd w:val="clear" w:color="auto" w:fill="FFFFFF"/>
        </w:rPr>
        <w:t xml:space="preserve">, O., Tryfonova, O., Mantaliuk, O., &amp; </w:t>
      </w:r>
      <w:proofErr w:type="spellStart"/>
      <w:r w:rsidRPr="00AF505F">
        <w:rPr>
          <w:rFonts w:asciiTheme="majorBidi" w:hAnsiTheme="majorBidi" w:cstheme="majorBidi"/>
          <w:color w:val="222222"/>
          <w:sz w:val="28"/>
          <w:szCs w:val="28"/>
          <w:shd w:val="clear" w:color="auto" w:fill="FFFFFF"/>
        </w:rPr>
        <w:t>Baranets</w:t>
      </w:r>
      <w:proofErr w:type="spellEnd"/>
      <w:r w:rsidRPr="00AF505F">
        <w:rPr>
          <w:rFonts w:asciiTheme="majorBidi" w:hAnsiTheme="majorBidi" w:cstheme="majorBidi"/>
          <w:color w:val="222222"/>
          <w:sz w:val="28"/>
          <w:szCs w:val="28"/>
          <w:shd w:val="clear" w:color="auto" w:fill="FFFFFF"/>
        </w:rPr>
        <w:t xml:space="preserve">, H. (2023). The impact of strategic decisions on the future development of </w:t>
      </w:r>
      <w:proofErr w:type="spellStart"/>
      <w:r w:rsidRPr="00AF505F">
        <w:rPr>
          <w:rFonts w:asciiTheme="majorBidi" w:hAnsiTheme="majorBidi" w:cstheme="majorBidi"/>
          <w:color w:val="222222"/>
          <w:sz w:val="28"/>
          <w:szCs w:val="28"/>
          <w:shd w:val="clear" w:color="auto" w:fill="FFFFFF"/>
        </w:rPr>
        <w:t>organisations</w:t>
      </w:r>
      <w:proofErr w:type="spellEnd"/>
      <w:r w:rsidRPr="00AF505F">
        <w:rPr>
          <w:rFonts w:asciiTheme="majorBidi" w:hAnsiTheme="majorBidi" w:cstheme="majorBidi"/>
          <w:color w:val="222222"/>
          <w:sz w:val="28"/>
          <w:szCs w:val="28"/>
          <w:shd w:val="clear" w:color="auto" w:fill="FFFFFF"/>
        </w:rPr>
        <w:t xml:space="preserve"> and economic dynamics. </w:t>
      </w:r>
      <w:r w:rsidRPr="00AF505F">
        <w:rPr>
          <w:rFonts w:asciiTheme="majorBidi" w:hAnsiTheme="majorBidi" w:cstheme="majorBidi"/>
          <w:i/>
          <w:iCs/>
          <w:color w:val="222222"/>
          <w:sz w:val="28"/>
          <w:szCs w:val="28"/>
          <w:shd w:val="clear" w:color="auto" w:fill="FFFFFF"/>
        </w:rPr>
        <w:t xml:space="preserve">Futurity </w:t>
      </w:r>
      <w:proofErr w:type="spellStart"/>
      <w:r w:rsidRPr="00AF505F">
        <w:rPr>
          <w:rFonts w:asciiTheme="majorBidi" w:hAnsiTheme="majorBidi" w:cstheme="majorBidi"/>
          <w:i/>
          <w:iCs/>
          <w:color w:val="222222"/>
          <w:sz w:val="28"/>
          <w:szCs w:val="28"/>
          <w:shd w:val="clear" w:color="auto" w:fill="FFFFFF"/>
        </w:rPr>
        <w:t>Economics&amp;Law</w:t>
      </w:r>
      <w:proofErr w:type="spellEnd"/>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3</w:t>
      </w:r>
      <w:r w:rsidRPr="00AF505F">
        <w:rPr>
          <w:rFonts w:asciiTheme="majorBidi" w:hAnsiTheme="majorBidi" w:cstheme="majorBidi"/>
          <w:color w:val="222222"/>
          <w:sz w:val="28"/>
          <w:szCs w:val="28"/>
          <w:shd w:val="clear" w:color="auto" w:fill="FFFFFF"/>
        </w:rPr>
        <w:t>(4), 117-133.</w:t>
      </w:r>
      <w:r w:rsidRPr="00AF505F">
        <w:rPr>
          <w:rFonts w:asciiTheme="majorBidi" w:hAnsiTheme="majorBidi" w:cstheme="majorBidi"/>
          <w:color w:val="222222"/>
          <w:sz w:val="28"/>
          <w:szCs w:val="28"/>
          <w:shd w:val="clear" w:color="auto" w:fill="FFFFFF"/>
          <w:rtl/>
        </w:rPr>
        <w:t>‏</w:t>
      </w:r>
    </w:p>
    <w:p w14:paraId="54C7455E"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 xml:space="preserve">Kaggwa, S., </w:t>
      </w:r>
      <w:proofErr w:type="spellStart"/>
      <w:r w:rsidRPr="00AF505F">
        <w:rPr>
          <w:rFonts w:asciiTheme="majorBidi" w:hAnsiTheme="majorBidi" w:cstheme="majorBidi"/>
          <w:color w:val="222222"/>
          <w:sz w:val="28"/>
          <w:szCs w:val="28"/>
          <w:shd w:val="clear" w:color="auto" w:fill="FFFFFF"/>
        </w:rPr>
        <w:t>Eleogu</w:t>
      </w:r>
      <w:proofErr w:type="spellEnd"/>
      <w:r w:rsidRPr="00AF505F">
        <w:rPr>
          <w:rFonts w:asciiTheme="majorBidi" w:hAnsiTheme="majorBidi" w:cstheme="majorBidi"/>
          <w:color w:val="222222"/>
          <w:sz w:val="28"/>
          <w:szCs w:val="28"/>
          <w:shd w:val="clear" w:color="auto" w:fill="FFFFFF"/>
        </w:rPr>
        <w:t xml:space="preserve">, T. F., Okonkwo, F., </w:t>
      </w:r>
      <w:proofErr w:type="spellStart"/>
      <w:r w:rsidRPr="00AF505F">
        <w:rPr>
          <w:rFonts w:asciiTheme="majorBidi" w:hAnsiTheme="majorBidi" w:cstheme="majorBidi"/>
          <w:color w:val="222222"/>
          <w:sz w:val="28"/>
          <w:szCs w:val="28"/>
          <w:shd w:val="clear" w:color="auto" w:fill="FFFFFF"/>
        </w:rPr>
        <w:t>Farayola</w:t>
      </w:r>
      <w:proofErr w:type="spellEnd"/>
      <w:r w:rsidRPr="00AF505F">
        <w:rPr>
          <w:rFonts w:asciiTheme="majorBidi" w:hAnsiTheme="majorBidi" w:cstheme="majorBidi"/>
          <w:color w:val="222222"/>
          <w:sz w:val="28"/>
          <w:szCs w:val="28"/>
          <w:shd w:val="clear" w:color="auto" w:fill="FFFFFF"/>
        </w:rPr>
        <w:t xml:space="preserve">, O. A., </w:t>
      </w:r>
      <w:proofErr w:type="spellStart"/>
      <w:r w:rsidRPr="00AF505F">
        <w:rPr>
          <w:rFonts w:asciiTheme="majorBidi" w:hAnsiTheme="majorBidi" w:cstheme="majorBidi"/>
          <w:color w:val="222222"/>
          <w:sz w:val="28"/>
          <w:szCs w:val="28"/>
          <w:shd w:val="clear" w:color="auto" w:fill="FFFFFF"/>
        </w:rPr>
        <w:t>Uwaoma</w:t>
      </w:r>
      <w:proofErr w:type="spellEnd"/>
      <w:r w:rsidRPr="00AF505F">
        <w:rPr>
          <w:rFonts w:asciiTheme="majorBidi" w:hAnsiTheme="majorBidi" w:cstheme="majorBidi"/>
          <w:color w:val="222222"/>
          <w:sz w:val="28"/>
          <w:szCs w:val="28"/>
          <w:shd w:val="clear" w:color="auto" w:fill="FFFFFF"/>
        </w:rPr>
        <w:t xml:space="preserve">, P. U., &amp; Akinoso, A. (2024). AI in decision </w:t>
      </w:r>
      <w:proofErr w:type="gramStart"/>
      <w:r w:rsidRPr="00AF505F">
        <w:rPr>
          <w:rFonts w:asciiTheme="majorBidi" w:hAnsiTheme="majorBidi" w:cstheme="majorBidi"/>
          <w:color w:val="222222"/>
          <w:sz w:val="28"/>
          <w:szCs w:val="28"/>
          <w:shd w:val="clear" w:color="auto" w:fill="FFFFFF"/>
        </w:rPr>
        <w:t>making:</w:t>
      </w:r>
      <w:proofErr w:type="gramEnd"/>
      <w:r w:rsidRPr="00AF505F">
        <w:rPr>
          <w:rFonts w:asciiTheme="majorBidi" w:hAnsiTheme="majorBidi" w:cstheme="majorBidi"/>
          <w:color w:val="222222"/>
          <w:sz w:val="28"/>
          <w:szCs w:val="28"/>
          <w:shd w:val="clear" w:color="auto" w:fill="FFFFFF"/>
        </w:rPr>
        <w:t xml:space="preserve"> transforming business strategies. </w:t>
      </w:r>
      <w:r w:rsidRPr="00AF505F">
        <w:rPr>
          <w:rFonts w:asciiTheme="majorBidi" w:hAnsiTheme="majorBidi" w:cstheme="majorBidi"/>
          <w:i/>
          <w:iCs/>
          <w:color w:val="222222"/>
          <w:sz w:val="28"/>
          <w:szCs w:val="28"/>
          <w:shd w:val="clear" w:color="auto" w:fill="FFFFFF"/>
        </w:rPr>
        <w:t>International Journal of Research and Scientific Innovation</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10</w:t>
      </w:r>
      <w:r w:rsidRPr="00AF505F">
        <w:rPr>
          <w:rFonts w:asciiTheme="majorBidi" w:hAnsiTheme="majorBidi" w:cstheme="majorBidi"/>
          <w:color w:val="222222"/>
          <w:sz w:val="28"/>
          <w:szCs w:val="28"/>
          <w:shd w:val="clear" w:color="auto" w:fill="FFFFFF"/>
        </w:rPr>
        <w:t>(12), 423-444.</w:t>
      </w:r>
      <w:r w:rsidRPr="00AF505F">
        <w:rPr>
          <w:rFonts w:asciiTheme="majorBidi" w:hAnsiTheme="majorBidi" w:cstheme="majorBidi"/>
          <w:color w:val="222222"/>
          <w:sz w:val="28"/>
          <w:szCs w:val="28"/>
          <w:shd w:val="clear" w:color="auto" w:fill="FFFFFF"/>
          <w:rtl/>
        </w:rPr>
        <w:t>‏</w:t>
      </w:r>
    </w:p>
    <w:p w14:paraId="7BBD0E65"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AF505F">
        <w:rPr>
          <w:rFonts w:asciiTheme="majorBidi" w:hAnsiTheme="majorBidi" w:cstheme="majorBidi"/>
          <w:color w:val="222222"/>
          <w:sz w:val="28"/>
          <w:szCs w:val="28"/>
          <w:shd w:val="clear" w:color="auto" w:fill="FFFFFF"/>
        </w:rPr>
        <w:t>Kazaba</w:t>
      </w:r>
      <w:proofErr w:type="spellEnd"/>
      <w:r w:rsidRPr="00AF505F">
        <w:rPr>
          <w:rFonts w:asciiTheme="majorBidi" w:hAnsiTheme="majorBidi" w:cstheme="majorBidi"/>
          <w:color w:val="222222"/>
          <w:sz w:val="28"/>
          <w:szCs w:val="28"/>
          <w:shd w:val="clear" w:color="auto" w:fill="FFFFFF"/>
        </w:rPr>
        <w:t xml:space="preserve">, F. (2024). The Role of Artificial Intelligence in Improving Project Management Processes: An Applied Study on the </w:t>
      </w:r>
      <w:r w:rsidRPr="00AF505F">
        <w:rPr>
          <w:rFonts w:asciiTheme="majorBidi" w:hAnsiTheme="majorBidi" w:cstheme="majorBidi"/>
          <w:color w:val="222222"/>
          <w:sz w:val="28"/>
          <w:szCs w:val="28"/>
          <w:shd w:val="clear" w:color="auto" w:fill="FFFFFF"/>
        </w:rPr>
        <w:lastRenderedPageBreak/>
        <w:t>Information Technology Sector in the Kingdom of Saudi Arabia. </w:t>
      </w:r>
      <w:r w:rsidRPr="00AF505F">
        <w:rPr>
          <w:rFonts w:asciiTheme="majorBidi" w:hAnsiTheme="majorBidi" w:cstheme="majorBidi"/>
          <w:i/>
          <w:iCs/>
          <w:color w:val="222222"/>
          <w:sz w:val="28"/>
          <w:szCs w:val="28"/>
          <w:shd w:val="clear" w:color="auto" w:fill="FFFFFF"/>
        </w:rPr>
        <w:t>International Journal of Financial, Administrative, and Economic Sciences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3</w:t>
      </w:r>
      <w:r w:rsidRPr="00AF505F">
        <w:rPr>
          <w:rFonts w:asciiTheme="majorBidi" w:hAnsiTheme="majorBidi" w:cstheme="majorBidi"/>
          <w:color w:val="222222"/>
          <w:sz w:val="28"/>
          <w:szCs w:val="28"/>
          <w:shd w:val="clear" w:color="auto" w:fill="FFFFFF"/>
        </w:rPr>
        <w:t>(10), 1291-1328.</w:t>
      </w:r>
    </w:p>
    <w:p w14:paraId="1EDE446F"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Kim, J. S., &amp; Seo, D. (2023). Foresight and strategic decision-making framework from artificial intelligence technology development to utilization activities in small-and-medium-sized enterprises. </w:t>
      </w:r>
      <w:r w:rsidRPr="00AF505F">
        <w:rPr>
          <w:rFonts w:asciiTheme="majorBidi" w:hAnsiTheme="majorBidi" w:cstheme="majorBidi"/>
          <w:i/>
          <w:iCs/>
          <w:color w:val="222222"/>
          <w:sz w:val="28"/>
          <w:szCs w:val="28"/>
          <w:shd w:val="clear" w:color="auto" w:fill="FFFFFF"/>
        </w:rPr>
        <w:t>foresight</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25</w:t>
      </w:r>
      <w:r w:rsidRPr="00AF505F">
        <w:rPr>
          <w:rFonts w:asciiTheme="majorBidi" w:hAnsiTheme="majorBidi" w:cstheme="majorBidi"/>
          <w:color w:val="222222"/>
          <w:sz w:val="28"/>
          <w:szCs w:val="28"/>
          <w:shd w:val="clear" w:color="auto" w:fill="FFFFFF"/>
        </w:rPr>
        <w:t>(6), 769-787.</w:t>
      </w:r>
      <w:r w:rsidRPr="00AF505F">
        <w:rPr>
          <w:rFonts w:asciiTheme="majorBidi" w:hAnsiTheme="majorBidi" w:cstheme="majorBidi"/>
          <w:color w:val="222222"/>
          <w:sz w:val="28"/>
          <w:szCs w:val="28"/>
          <w:shd w:val="clear" w:color="auto" w:fill="FFFFFF"/>
          <w:rtl/>
        </w:rPr>
        <w:t>‏</w:t>
      </w:r>
    </w:p>
    <w:p w14:paraId="4FF42705"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 xml:space="preserve">Kolar, E., </w:t>
      </w:r>
      <w:proofErr w:type="spellStart"/>
      <w:r w:rsidRPr="00AF505F">
        <w:rPr>
          <w:rFonts w:asciiTheme="majorBidi" w:hAnsiTheme="majorBidi" w:cstheme="majorBidi"/>
          <w:color w:val="222222"/>
          <w:sz w:val="28"/>
          <w:szCs w:val="28"/>
          <w:shd w:val="clear" w:color="auto" w:fill="FFFFFF"/>
        </w:rPr>
        <w:t>Tušak</w:t>
      </w:r>
      <w:proofErr w:type="spellEnd"/>
      <w:r w:rsidRPr="00AF505F">
        <w:rPr>
          <w:rFonts w:asciiTheme="majorBidi" w:hAnsiTheme="majorBidi" w:cstheme="majorBidi"/>
          <w:color w:val="222222"/>
          <w:sz w:val="28"/>
          <w:szCs w:val="28"/>
          <w:shd w:val="clear" w:color="auto" w:fill="FFFFFF"/>
        </w:rPr>
        <w:t xml:space="preserve">, M., Robnik, P., &amp; Biloslavo, R. (2024). Strategic decisions: How good does it fit the decision-making process into the strategic management </w:t>
      </w:r>
      <w:proofErr w:type="gramStart"/>
      <w:r w:rsidRPr="00AF505F">
        <w:rPr>
          <w:rFonts w:asciiTheme="majorBidi" w:hAnsiTheme="majorBidi" w:cstheme="majorBidi"/>
          <w:color w:val="222222"/>
          <w:sz w:val="28"/>
          <w:szCs w:val="28"/>
          <w:shd w:val="clear" w:color="auto" w:fill="FFFFFF"/>
        </w:rPr>
        <w:t>process?.</w:t>
      </w:r>
      <w:proofErr w:type="gramEnd"/>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Journal of engineering management and competitiveness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14</w:t>
      </w:r>
      <w:r w:rsidRPr="00AF505F">
        <w:rPr>
          <w:rFonts w:asciiTheme="majorBidi" w:hAnsiTheme="majorBidi" w:cstheme="majorBidi"/>
          <w:color w:val="222222"/>
          <w:sz w:val="28"/>
          <w:szCs w:val="28"/>
          <w:shd w:val="clear" w:color="auto" w:fill="FFFFFF"/>
        </w:rPr>
        <w:t>(2), 99-111.</w:t>
      </w:r>
      <w:r w:rsidRPr="00AF505F">
        <w:rPr>
          <w:rFonts w:asciiTheme="majorBidi" w:hAnsiTheme="majorBidi" w:cstheme="majorBidi"/>
          <w:color w:val="222222"/>
          <w:sz w:val="28"/>
          <w:szCs w:val="28"/>
          <w:shd w:val="clear" w:color="auto" w:fill="FFFFFF"/>
          <w:rtl/>
        </w:rPr>
        <w:t>‏</w:t>
      </w:r>
    </w:p>
    <w:p w14:paraId="6489DCB5"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Kumar, R., Singh, A., Subahi, A., Humaida, M., Joshi, S., &amp; Sharma, M. (2025). Leveraging artificial intelligence to achieve sustainable public healthcare services in Saudi Arabia: a systematic literature review of critical success factors. </w:t>
      </w:r>
      <w:r w:rsidRPr="00AF505F">
        <w:rPr>
          <w:rFonts w:asciiTheme="majorBidi" w:hAnsiTheme="majorBidi" w:cstheme="majorBidi"/>
          <w:i/>
          <w:iCs/>
          <w:color w:val="222222"/>
          <w:sz w:val="28"/>
          <w:szCs w:val="28"/>
          <w:shd w:val="clear" w:color="auto" w:fill="FFFFFF"/>
        </w:rPr>
        <w:t>Computer Modeling in Engineering &amp; Sciences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142</w:t>
      </w:r>
      <w:r w:rsidRPr="00AF505F">
        <w:rPr>
          <w:rFonts w:asciiTheme="majorBidi" w:hAnsiTheme="majorBidi" w:cstheme="majorBidi"/>
          <w:color w:val="222222"/>
          <w:sz w:val="28"/>
          <w:szCs w:val="28"/>
          <w:shd w:val="clear" w:color="auto" w:fill="FFFFFF"/>
        </w:rPr>
        <w:t>(2), 1289-1349</w:t>
      </w:r>
    </w:p>
    <w:p w14:paraId="17E4E931"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 xml:space="preserve">Louati, A., Louati, H., Alharbi, M., </w:t>
      </w:r>
      <w:proofErr w:type="spellStart"/>
      <w:r w:rsidRPr="00AF505F">
        <w:rPr>
          <w:rFonts w:asciiTheme="majorBidi" w:hAnsiTheme="majorBidi" w:cstheme="majorBidi"/>
          <w:color w:val="222222"/>
          <w:sz w:val="28"/>
          <w:szCs w:val="28"/>
          <w:shd w:val="clear" w:color="auto" w:fill="FFFFFF"/>
        </w:rPr>
        <w:t>Kariri</w:t>
      </w:r>
      <w:proofErr w:type="spellEnd"/>
      <w:r w:rsidRPr="00AF505F">
        <w:rPr>
          <w:rFonts w:asciiTheme="majorBidi" w:hAnsiTheme="majorBidi" w:cstheme="majorBidi"/>
          <w:color w:val="222222"/>
          <w:sz w:val="28"/>
          <w:szCs w:val="28"/>
          <w:shd w:val="clear" w:color="auto" w:fill="FFFFFF"/>
        </w:rPr>
        <w:t xml:space="preserve">, E., </w:t>
      </w:r>
      <w:proofErr w:type="spellStart"/>
      <w:r w:rsidRPr="00AF505F">
        <w:rPr>
          <w:rFonts w:asciiTheme="majorBidi" w:hAnsiTheme="majorBidi" w:cstheme="majorBidi"/>
          <w:color w:val="222222"/>
          <w:sz w:val="28"/>
          <w:szCs w:val="28"/>
          <w:shd w:val="clear" w:color="auto" w:fill="FFFFFF"/>
        </w:rPr>
        <w:t>Khawaji</w:t>
      </w:r>
      <w:proofErr w:type="spellEnd"/>
      <w:r w:rsidRPr="00AF505F">
        <w:rPr>
          <w:rFonts w:asciiTheme="majorBidi" w:hAnsiTheme="majorBidi" w:cstheme="majorBidi"/>
          <w:color w:val="222222"/>
          <w:sz w:val="28"/>
          <w:szCs w:val="28"/>
          <w:shd w:val="clear" w:color="auto" w:fill="FFFFFF"/>
        </w:rPr>
        <w:t xml:space="preserve">, T., </w:t>
      </w:r>
      <w:proofErr w:type="spellStart"/>
      <w:r w:rsidRPr="00AF505F">
        <w:rPr>
          <w:rFonts w:asciiTheme="majorBidi" w:hAnsiTheme="majorBidi" w:cstheme="majorBidi"/>
          <w:color w:val="222222"/>
          <w:sz w:val="28"/>
          <w:szCs w:val="28"/>
          <w:shd w:val="clear" w:color="auto" w:fill="FFFFFF"/>
        </w:rPr>
        <w:t>Almubaddil</w:t>
      </w:r>
      <w:proofErr w:type="spellEnd"/>
      <w:r w:rsidRPr="00AF505F">
        <w:rPr>
          <w:rFonts w:asciiTheme="majorBidi" w:hAnsiTheme="majorBidi" w:cstheme="majorBidi"/>
          <w:color w:val="222222"/>
          <w:sz w:val="28"/>
          <w:szCs w:val="28"/>
          <w:shd w:val="clear" w:color="auto" w:fill="FFFFFF"/>
        </w:rPr>
        <w:t xml:space="preserve">, Y., &amp; </w:t>
      </w:r>
      <w:proofErr w:type="spellStart"/>
      <w:r w:rsidRPr="00AF505F">
        <w:rPr>
          <w:rFonts w:asciiTheme="majorBidi" w:hAnsiTheme="majorBidi" w:cstheme="majorBidi"/>
          <w:color w:val="222222"/>
          <w:sz w:val="28"/>
          <w:szCs w:val="28"/>
          <w:shd w:val="clear" w:color="auto" w:fill="FFFFFF"/>
        </w:rPr>
        <w:t>Aldwsary</w:t>
      </w:r>
      <w:proofErr w:type="spellEnd"/>
      <w:r w:rsidRPr="00AF505F">
        <w:rPr>
          <w:rFonts w:asciiTheme="majorBidi" w:hAnsiTheme="majorBidi" w:cstheme="majorBidi"/>
          <w:color w:val="222222"/>
          <w:sz w:val="28"/>
          <w:szCs w:val="28"/>
          <w:shd w:val="clear" w:color="auto" w:fill="FFFFFF"/>
        </w:rPr>
        <w:t>, S. (2024). Machine learning and artificial intelligence for a sustainable tourism: a case study on Saudi Arabia. </w:t>
      </w:r>
      <w:r w:rsidRPr="00AF505F">
        <w:rPr>
          <w:rFonts w:asciiTheme="majorBidi" w:hAnsiTheme="majorBidi" w:cstheme="majorBidi"/>
          <w:i/>
          <w:iCs/>
          <w:color w:val="222222"/>
          <w:sz w:val="28"/>
          <w:szCs w:val="28"/>
          <w:shd w:val="clear" w:color="auto" w:fill="FFFFFF"/>
        </w:rPr>
        <w:t>Information</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15</w:t>
      </w:r>
      <w:r w:rsidRPr="00AF505F">
        <w:rPr>
          <w:rFonts w:asciiTheme="majorBidi" w:hAnsiTheme="majorBidi" w:cstheme="majorBidi"/>
          <w:color w:val="222222"/>
          <w:sz w:val="28"/>
          <w:szCs w:val="28"/>
          <w:shd w:val="clear" w:color="auto" w:fill="FFFFFF"/>
        </w:rPr>
        <w:t>(9), 516.</w:t>
      </w:r>
      <w:r w:rsidRPr="00AF505F">
        <w:rPr>
          <w:rFonts w:asciiTheme="majorBidi" w:hAnsiTheme="majorBidi" w:cstheme="majorBidi"/>
          <w:color w:val="222222"/>
          <w:sz w:val="28"/>
          <w:szCs w:val="28"/>
          <w:shd w:val="clear" w:color="auto" w:fill="FFFFFF"/>
          <w:rtl/>
        </w:rPr>
        <w:t>‏</w:t>
      </w:r>
      <w:r w:rsidRPr="00AF505F">
        <w:rPr>
          <w:rFonts w:asciiTheme="majorBidi" w:hAnsiTheme="majorBidi" w:cstheme="majorBidi"/>
          <w:color w:val="222222"/>
          <w:sz w:val="28"/>
          <w:szCs w:val="28"/>
          <w:shd w:val="clear" w:color="auto" w:fill="FFFFFF"/>
        </w:rPr>
        <w:t xml:space="preserve"> 1-30</w:t>
      </w:r>
    </w:p>
    <w:p w14:paraId="43D2C3AF"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 xml:space="preserve">Meakin, J. (2022). </w:t>
      </w:r>
      <w:proofErr w:type="spellStart"/>
      <w:r w:rsidRPr="00AF505F">
        <w:rPr>
          <w:rFonts w:asciiTheme="majorBidi" w:hAnsiTheme="majorBidi" w:cstheme="majorBidi"/>
          <w:color w:val="222222"/>
          <w:sz w:val="28"/>
          <w:szCs w:val="28"/>
          <w:shd w:val="clear" w:color="auto" w:fill="FFFFFF"/>
        </w:rPr>
        <w:t>Labour</w:t>
      </w:r>
      <w:proofErr w:type="spellEnd"/>
      <w:r w:rsidRPr="00AF505F">
        <w:rPr>
          <w:rFonts w:asciiTheme="majorBidi" w:hAnsiTheme="majorBidi" w:cstheme="majorBidi"/>
          <w:color w:val="222222"/>
          <w:sz w:val="28"/>
          <w:szCs w:val="28"/>
          <w:shd w:val="clear" w:color="auto" w:fill="FFFFFF"/>
        </w:rPr>
        <w:t xml:space="preserve"> movements and the effectiveness of legal strategy: Three tenets. </w:t>
      </w:r>
      <w:r w:rsidRPr="00AF505F">
        <w:rPr>
          <w:rFonts w:asciiTheme="majorBidi" w:hAnsiTheme="majorBidi" w:cstheme="majorBidi"/>
          <w:i/>
          <w:iCs/>
          <w:color w:val="222222"/>
          <w:sz w:val="28"/>
          <w:szCs w:val="28"/>
          <w:shd w:val="clear" w:color="auto" w:fill="FFFFFF"/>
        </w:rPr>
        <w:t xml:space="preserve">International Journal of Comparative </w:t>
      </w:r>
      <w:proofErr w:type="spellStart"/>
      <w:r w:rsidRPr="00AF505F">
        <w:rPr>
          <w:rFonts w:asciiTheme="majorBidi" w:hAnsiTheme="majorBidi" w:cstheme="majorBidi"/>
          <w:i/>
          <w:iCs/>
          <w:color w:val="222222"/>
          <w:sz w:val="28"/>
          <w:szCs w:val="28"/>
          <w:shd w:val="clear" w:color="auto" w:fill="FFFFFF"/>
        </w:rPr>
        <w:t>Labour</w:t>
      </w:r>
      <w:proofErr w:type="spellEnd"/>
      <w:r w:rsidRPr="00AF505F">
        <w:rPr>
          <w:rFonts w:asciiTheme="majorBidi" w:hAnsiTheme="majorBidi" w:cstheme="majorBidi"/>
          <w:i/>
          <w:iCs/>
          <w:color w:val="222222"/>
          <w:sz w:val="28"/>
          <w:szCs w:val="28"/>
          <w:shd w:val="clear" w:color="auto" w:fill="FFFFFF"/>
        </w:rPr>
        <w:t xml:space="preserve"> Law and Industrial Relations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38</w:t>
      </w:r>
      <w:r w:rsidRPr="00AF505F">
        <w:rPr>
          <w:rFonts w:asciiTheme="majorBidi" w:hAnsiTheme="majorBidi" w:cstheme="majorBidi"/>
          <w:color w:val="222222"/>
          <w:sz w:val="28"/>
          <w:szCs w:val="28"/>
          <w:shd w:val="clear" w:color="auto" w:fill="FFFFFF"/>
        </w:rPr>
        <w:t>(2).</w:t>
      </w:r>
      <w:r w:rsidRPr="00AF505F">
        <w:rPr>
          <w:rFonts w:asciiTheme="majorBidi" w:hAnsiTheme="majorBidi" w:cstheme="majorBidi"/>
          <w:color w:val="222222"/>
          <w:sz w:val="28"/>
          <w:szCs w:val="28"/>
          <w:shd w:val="clear" w:color="auto" w:fill="FFFFFF"/>
          <w:rtl/>
        </w:rPr>
        <w:t>‏</w:t>
      </w:r>
    </w:p>
    <w:p w14:paraId="07A9E3F9"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lastRenderedPageBreak/>
        <w:t>Moinuddin, M., &amp; Usman, M. (2025). Driving strategic decisions: Business intelligence in supply chain and marketing. </w:t>
      </w:r>
      <w:r w:rsidRPr="00AF505F">
        <w:rPr>
          <w:rFonts w:asciiTheme="majorBidi" w:hAnsiTheme="majorBidi" w:cstheme="majorBidi"/>
          <w:i/>
          <w:iCs/>
          <w:color w:val="222222"/>
          <w:sz w:val="28"/>
          <w:szCs w:val="28"/>
          <w:shd w:val="clear" w:color="auto" w:fill="FFFFFF"/>
        </w:rPr>
        <w:t>American Journal of Business, Commerce and Economics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6</w:t>
      </w:r>
      <w:r w:rsidRPr="00AF505F">
        <w:rPr>
          <w:rFonts w:asciiTheme="majorBidi" w:hAnsiTheme="majorBidi" w:cstheme="majorBidi"/>
          <w:color w:val="222222"/>
          <w:sz w:val="28"/>
          <w:szCs w:val="28"/>
          <w:shd w:val="clear" w:color="auto" w:fill="FFFFFF"/>
        </w:rPr>
        <w:t>(4), 1-14.</w:t>
      </w:r>
      <w:r w:rsidRPr="00AF505F">
        <w:rPr>
          <w:rFonts w:asciiTheme="majorBidi" w:hAnsiTheme="majorBidi" w:cstheme="majorBidi"/>
          <w:color w:val="222222"/>
          <w:sz w:val="28"/>
          <w:szCs w:val="28"/>
          <w:shd w:val="clear" w:color="auto" w:fill="FFFFFF"/>
          <w:rtl/>
        </w:rPr>
        <w:t>‏</w:t>
      </w:r>
    </w:p>
    <w:p w14:paraId="1B9B814E"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AF505F">
        <w:rPr>
          <w:rFonts w:asciiTheme="majorBidi" w:hAnsiTheme="majorBidi" w:cstheme="majorBidi"/>
          <w:color w:val="222222"/>
          <w:sz w:val="28"/>
          <w:szCs w:val="28"/>
          <w:shd w:val="clear" w:color="auto" w:fill="FFFFFF"/>
        </w:rPr>
        <w:t>Neiroukh</w:t>
      </w:r>
      <w:proofErr w:type="spellEnd"/>
      <w:r w:rsidRPr="00AF505F">
        <w:rPr>
          <w:rFonts w:asciiTheme="majorBidi" w:hAnsiTheme="majorBidi" w:cstheme="majorBidi"/>
          <w:color w:val="222222"/>
          <w:sz w:val="28"/>
          <w:szCs w:val="28"/>
          <w:shd w:val="clear" w:color="auto" w:fill="FFFFFF"/>
        </w:rPr>
        <w:t xml:space="preserve">, S., </w:t>
      </w:r>
      <w:proofErr w:type="spellStart"/>
      <w:r w:rsidRPr="00AF505F">
        <w:rPr>
          <w:rFonts w:asciiTheme="majorBidi" w:hAnsiTheme="majorBidi" w:cstheme="majorBidi"/>
          <w:color w:val="222222"/>
          <w:sz w:val="28"/>
          <w:szCs w:val="28"/>
          <w:shd w:val="clear" w:color="auto" w:fill="FFFFFF"/>
        </w:rPr>
        <w:t>Aljuhmani</w:t>
      </w:r>
      <w:proofErr w:type="spellEnd"/>
      <w:r w:rsidRPr="00AF505F">
        <w:rPr>
          <w:rFonts w:asciiTheme="majorBidi" w:hAnsiTheme="majorBidi" w:cstheme="majorBidi"/>
          <w:color w:val="222222"/>
          <w:sz w:val="28"/>
          <w:szCs w:val="28"/>
          <w:shd w:val="clear" w:color="auto" w:fill="FFFFFF"/>
        </w:rPr>
        <w:t xml:space="preserve">, H. Y., &amp; </w:t>
      </w:r>
      <w:proofErr w:type="spellStart"/>
      <w:r w:rsidRPr="00AF505F">
        <w:rPr>
          <w:rFonts w:asciiTheme="majorBidi" w:hAnsiTheme="majorBidi" w:cstheme="majorBidi"/>
          <w:color w:val="222222"/>
          <w:sz w:val="28"/>
          <w:szCs w:val="28"/>
          <w:shd w:val="clear" w:color="auto" w:fill="FFFFFF"/>
        </w:rPr>
        <w:t>Alnajdawi</w:t>
      </w:r>
      <w:proofErr w:type="spellEnd"/>
      <w:r w:rsidRPr="00AF505F">
        <w:rPr>
          <w:rFonts w:asciiTheme="majorBidi" w:hAnsiTheme="majorBidi" w:cstheme="majorBidi"/>
          <w:color w:val="222222"/>
          <w:sz w:val="28"/>
          <w:szCs w:val="28"/>
          <w:shd w:val="clear" w:color="auto" w:fill="FFFFFF"/>
        </w:rPr>
        <w:t>, S. (2024, January). In the era of emerging technologies: discovering the impact of artificial intelligence capabilities on timely decision-making and business performance. In </w:t>
      </w:r>
      <w:r w:rsidRPr="00AF505F">
        <w:rPr>
          <w:rFonts w:asciiTheme="majorBidi" w:hAnsiTheme="majorBidi" w:cstheme="majorBidi"/>
          <w:i/>
          <w:iCs/>
          <w:color w:val="222222"/>
          <w:sz w:val="28"/>
          <w:szCs w:val="28"/>
          <w:shd w:val="clear" w:color="auto" w:fill="FFFFFF"/>
        </w:rPr>
        <w:t>2024 ASU International Conference in Emerging Technologies for Sustainability and Intelligent Systems (ICETSIS)</w:t>
      </w:r>
      <w:r w:rsidRPr="00AF505F">
        <w:rPr>
          <w:rFonts w:asciiTheme="majorBidi" w:hAnsiTheme="majorBidi" w:cstheme="majorBidi"/>
          <w:color w:val="222222"/>
          <w:sz w:val="28"/>
          <w:szCs w:val="28"/>
          <w:shd w:val="clear" w:color="auto" w:fill="FFFFFF"/>
        </w:rPr>
        <w:t> (pp. 1-6). IEEE.</w:t>
      </w:r>
      <w:r w:rsidRPr="00AF505F">
        <w:rPr>
          <w:rFonts w:asciiTheme="majorBidi" w:hAnsiTheme="majorBidi" w:cstheme="majorBidi"/>
          <w:color w:val="222222"/>
          <w:sz w:val="28"/>
          <w:szCs w:val="28"/>
          <w:shd w:val="clear" w:color="auto" w:fill="FFFFFF"/>
          <w:rtl/>
        </w:rPr>
        <w:t>‏</w:t>
      </w:r>
    </w:p>
    <w:p w14:paraId="37BC4981"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Omol, E. J. (2024). Organizational digital transformation: from evolution to future trends. </w:t>
      </w:r>
      <w:r w:rsidRPr="00AF505F">
        <w:rPr>
          <w:rFonts w:asciiTheme="majorBidi" w:hAnsiTheme="majorBidi" w:cstheme="majorBidi"/>
          <w:i/>
          <w:iCs/>
          <w:color w:val="222222"/>
          <w:sz w:val="28"/>
          <w:szCs w:val="28"/>
          <w:shd w:val="clear" w:color="auto" w:fill="FFFFFF"/>
        </w:rPr>
        <w:t>Digital Transformation and Society</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3</w:t>
      </w:r>
      <w:r w:rsidRPr="00AF505F">
        <w:rPr>
          <w:rFonts w:asciiTheme="majorBidi" w:hAnsiTheme="majorBidi" w:cstheme="majorBidi"/>
          <w:color w:val="222222"/>
          <w:sz w:val="28"/>
          <w:szCs w:val="28"/>
          <w:shd w:val="clear" w:color="auto" w:fill="FFFFFF"/>
        </w:rPr>
        <w:t>(3), 240-256.</w:t>
      </w:r>
      <w:r w:rsidRPr="00AF505F">
        <w:rPr>
          <w:rFonts w:asciiTheme="majorBidi" w:hAnsiTheme="majorBidi" w:cstheme="majorBidi"/>
          <w:color w:val="222222"/>
          <w:sz w:val="28"/>
          <w:szCs w:val="28"/>
          <w:shd w:val="clear" w:color="auto" w:fill="FFFFFF"/>
          <w:rtl/>
        </w:rPr>
        <w:t>‏</w:t>
      </w:r>
    </w:p>
    <w:p w14:paraId="4D5CAE3B"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Plekhanov, D., Franke, H., &amp; Netland, T. H. (2023). Digital transformation: A review and research agenda. </w:t>
      </w:r>
      <w:r w:rsidRPr="00AF505F">
        <w:rPr>
          <w:rFonts w:asciiTheme="majorBidi" w:hAnsiTheme="majorBidi" w:cstheme="majorBidi"/>
          <w:i/>
          <w:iCs/>
          <w:color w:val="222222"/>
          <w:sz w:val="28"/>
          <w:szCs w:val="28"/>
          <w:shd w:val="clear" w:color="auto" w:fill="FFFFFF"/>
        </w:rPr>
        <w:t>European management journal</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41</w:t>
      </w:r>
      <w:r w:rsidRPr="00AF505F">
        <w:rPr>
          <w:rFonts w:asciiTheme="majorBidi" w:hAnsiTheme="majorBidi" w:cstheme="majorBidi"/>
          <w:color w:val="222222"/>
          <w:sz w:val="28"/>
          <w:szCs w:val="28"/>
          <w:shd w:val="clear" w:color="auto" w:fill="FFFFFF"/>
        </w:rPr>
        <w:t>(6), 821-844.</w:t>
      </w:r>
      <w:r w:rsidRPr="00AF505F">
        <w:rPr>
          <w:rFonts w:asciiTheme="majorBidi" w:hAnsiTheme="majorBidi" w:cstheme="majorBidi"/>
          <w:color w:val="222222"/>
          <w:sz w:val="28"/>
          <w:szCs w:val="28"/>
          <w:shd w:val="clear" w:color="auto" w:fill="FFFFFF"/>
          <w:rtl/>
        </w:rPr>
        <w:t>‏</w:t>
      </w:r>
    </w:p>
    <w:p w14:paraId="7794FB80"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Rajagopal, N. K., Qureshi, N. I., Durga, S., Ramirez Asis, E. H., Huerta Soto, R. M., Gupta, S. K., &amp; Deepak, S. (2022). Future of business culture: An artificial intelligence‐driven digital framework for organization decision‐making process. </w:t>
      </w:r>
      <w:r w:rsidRPr="00AF505F">
        <w:rPr>
          <w:rFonts w:asciiTheme="majorBidi" w:hAnsiTheme="majorBidi" w:cstheme="majorBidi"/>
          <w:i/>
          <w:iCs/>
          <w:color w:val="222222"/>
          <w:sz w:val="28"/>
          <w:szCs w:val="28"/>
          <w:shd w:val="clear" w:color="auto" w:fill="FFFFFF"/>
        </w:rPr>
        <w:t>Complexity</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2022</w:t>
      </w:r>
      <w:r w:rsidRPr="00AF505F">
        <w:rPr>
          <w:rFonts w:asciiTheme="majorBidi" w:hAnsiTheme="majorBidi" w:cstheme="majorBidi"/>
          <w:color w:val="222222"/>
          <w:sz w:val="28"/>
          <w:szCs w:val="28"/>
          <w:shd w:val="clear" w:color="auto" w:fill="FFFFFF"/>
        </w:rPr>
        <w:t>(1), 7796507.</w:t>
      </w:r>
      <w:r w:rsidRPr="00AF505F">
        <w:rPr>
          <w:rFonts w:asciiTheme="majorBidi" w:hAnsiTheme="majorBidi" w:cstheme="majorBidi"/>
          <w:color w:val="222222"/>
          <w:sz w:val="28"/>
          <w:szCs w:val="28"/>
          <w:shd w:val="clear" w:color="auto" w:fill="FFFFFF"/>
          <w:rtl/>
        </w:rPr>
        <w:t>‏</w:t>
      </w:r>
    </w:p>
    <w:p w14:paraId="2981572F"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Rijal, S. (2023). The importance of community involvement in public management planning and decision-making processes. </w:t>
      </w:r>
      <w:r w:rsidRPr="00AF505F">
        <w:rPr>
          <w:rFonts w:asciiTheme="majorBidi" w:hAnsiTheme="majorBidi" w:cstheme="majorBidi"/>
          <w:i/>
          <w:iCs/>
          <w:color w:val="222222"/>
          <w:sz w:val="28"/>
          <w:szCs w:val="28"/>
          <w:shd w:val="clear" w:color="auto" w:fill="FFFFFF"/>
        </w:rPr>
        <w:t>Journal of Contemporary Administration and Management (ADMAN)</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w:t>
      </w:r>
      <w:r w:rsidRPr="00AF505F">
        <w:rPr>
          <w:rFonts w:asciiTheme="majorBidi" w:hAnsiTheme="majorBidi" w:cstheme="majorBidi"/>
          <w:color w:val="222222"/>
          <w:sz w:val="28"/>
          <w:szCs w:val="28"/>
          <w:shd w:val="clear" w:color="auto" w:fill="FFFFFF"/>
        </w:rPr>
        <w:t>(2), 84-92.</w:t>
      </w:r>
      <w:r w:rsidRPr="00AF505F">
        <w:rPr>
          <w:rFonts w:asciiTheme="majorBidi" w:hAnsiTheme="majorBidi" w:cstheme="majorBidi"/>
          <w:color w:val="222222"/>
          <w:sz w:val="28"/>
          <w:szCs w:val="28"/>
          <w:shd w:val="clear" w:color="auto" w:fill="FFFFFF"/>
          <w:rtl/>
        </w:rPr>
        <w:t>‏</w:t>
      </w:r>
    </w:p>
    <w:p w14:paraId="61FA7F50"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lastRenderedPageBreak/>
        <w:t xml:space="preserve">Saeed, A., Saeed, A. B., &amp; </w:t>
      </w:r>
      <w:proofErr w:type="spellStart"/>
      <w:r w:rsidRPr="00AF505F">
        <w:rPr>
          <w:rFonts w:asciiTheme="majorBidi" w:hAnsiTheme="majorBidi" w:cstheme="majorBidi"/>
          <w:color w:val="222222"/>
          <w:sz w:val="28"/>
          <w:szCs w:val="28"/>
          <w:shd w:val="clear" w:color="auto" w:fill="FFFFFF"/>
        </w:rPr>
        <w:t>AlAhmri</w:t>
      </w:r>
      <w:proofErr w:type="spellEnd"/>
      <w:r w:rsidRPr="00AF505F">
        <w:rPr>
          <w:rFonts w:asciiTheme="majorBidi" w:hAnsiTheme="majorBidi" w:cstheme="majorBidi"/>
          <w:color w:val="222222"/>
          <w:sz w:val="28"/>
          <w:szCs w:val="28"/>
          <w:shd w:val="clear" w:color="auto" w:fill="FFFFFF"/>
        </w:rPr>
        <w:t>, F. A. (2023). Saudi Arabia health systems: challenging and future transformations with artificial intelligence. </w:t>
      </w:r>
      <w:r w:rsidRPr="00AF505F">
        <w:rPr>
          <w:rFonts w:asciiTheme="majorBidi" w:hAnsiTheme="majorBidi" w:cstheme="majorBidi"/>
          <w:i/>
          <w:iCs/>
          <w:color w:val="222222"/>
          <w:sz w:val="28"/>
          <w:szCs w:val="28"/>
          <w:shd w:val="clear" w:color="auto" w:fill="FFFFFF"/>
        </w:rPr>
        <w:t>Cureus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15</w:t>
      </w:r>
      <w:r w:rsidRPr="00AF505F">
        <w:rPr>
          <w:rFonts w:asciiTheme="majorBidi" w:hAnsiTheme="majorBidi" w:cstheme="majorBidi"/>
          <w:color w:val="222222"/>
          <w:sz w:val="28"/>
          <w:szCs w:val="28"/>
          <w:shd w:val="clear" w:color="auto" w:fill="FFFFFF"/>
        </w:rPr>
        <w:t>(4).</w:t>
      </w:r>
      <w:r w:rsidRPr="00AF505F">
        <w:rPr>
          <w:rFonts w:asciiTheme="majorBidi" w:hAnsiTheme="majorBidi" w:cstheme="majorBidi"/>
          <w:color w:val="222222"/>
          <w:sz w:val="28"/>
          <w:szCs w:val="28"/>
          <w:shd w:val="clear" w:color="auto" w:fill="FFFFFF"/>
          <w:rtl/>
        </w:rPr>
        <w:t>‏</w:t>
      </w:r>
      <w:r w:rsidRPr="00AF505F">
        <w:rPr>
          <w:rFonts w:asciiTheme="majorBidi" w:hAnsiTheme="majorBidi" w:cstheme="majorBidi"/>
          <w:color w:val="222222"/>
          <w:sz w:val="28"/>
          <w:szCs w:val="28"/>
          <w:shd w:val="clear" w:color="auto" w:fill="FFFFFF"/>
        </w:rPr>
        <w:t xml:space="preserve"> 1-2</w:t>
      </w:r>
    </w:p>
    <w:p w14:paraId="61F306B6"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Schwartz, P. H., &amp; Sachs, G. A. (2022). Rethinking decision quality: measures, meaning, and bioethics. </w:t>
      </w:r>
      <w:r w:rsidRPr="00AF505F">
        <w:rPr>
          <w:rFonts w:asciiTheme="majorBidi" w:hAnsiTheme="majorBidi" w:cstheme="majorBidi"/>
          <w:i/>
          <w:iCs/>
          <w:color w:val="222222"/>
          <w:sz w:val="28"/>
          <w:szCs w:val="28"/>
          <w:shd w:val="clear" w:color="auto" w:fill="FFFFFF"/>
        </w:rPr>
        <w:t>Hastings Center Report</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52</w:t>
      </w:r>
      <w:r w:rsidRPr="00AF505F">
        <w:rPr>
          <w:rFonts w:asciiTheme="majorBidi" w:hAnsiTheme="majorBidi" w:cstheme="majorBidi"/>
          <w:color w:val="222222"/>
          <w:sz w:val="28"/>
          <w:szCs w:val="28"/>
          <w:shd w:val="clear" w:color="auto" w:fill="FFFFFF"/>
        </w:rPr>
        <w:t>(6), 13-22.</w:t>
      </w:r>
      <w:r w:rsidRPr="00AF505F">
        <w:rPr>
          <w:rFonts w:asciiTheme="majorBidi" w:hAnsiTheme="majorBidi" w:cstheme="majorBidi"/>
          <w:color w:val="222222"/>
          <w:sz w:val="28"/>
          <w:szCs w:val="28"/>
          <w:shd w:val="clear" w:color="auto" w:fill="FFFFFF"/>
          <w:rtl/>
        </w:rPr>
        <w:t>‏</w:t>
      </w:r>
    </w:p>
    <w:p w14:paraId="43556E7A"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Shah, S., Wang, K., Wilder, B., Perrault, A., &amp; Tambe, M. (2022). Decision-focused learning without decision-making: Learning locally optimized decision losses. </w:t>
      </w:r>
      <w:r w:rsidRPr="00AF505F">
        <w:rPr>
          <w:rFonts w:asciiTheme="majorBidi" w:hAnsiTheme="majorBidi" w:cstheme="majorBidi"/>
          <w:i/>
          <w:iCs/>
          <w:color w:val="222222"/>
          <w:sz w:val="28"/>
          <w:szCs w:val="28"/>
          <w:shd w:val="clear" w:color="auto" w:fill="FFFFFF"/>
        </w:rPr>
        <w:t>Advances in Neural Information Processing Systems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35</w:t>
      </w:r>
      <w:r w:rsidRPr="00AF505F">
        <w:rPr>
          <w:rFonts w:asciiTheme="majorBidi" w:hAnsiTheme="majorBidi" w:cstheme="majorBidi"/>
          <w:color w:val="222222"/>
          <w:sz w:val="28"/>
          <w:szCs w:val="28"/>
          <w:shd w:val="clear" w:color="auto" w:fill="FFFFFF"/>
        </w:rPr>
        <w:t>, 1320-1332.</w:t>
      </w:r>
      <w:r w:rsidRPr="00AF505F">
        <w:rPr>
          <w:rFonts w:asciiTheme="majorBidi" w:hAnsiTheme="majorBidi" w:cstheme="majorBidi"/>
          <w:color w:val="222222"/>
          <w:sz w:val="28"/>
          <w:szCs w:val="28"/>
          <w:shd w:val="clear" w:color="auto" w:fill="FFFFFF"/>
          <w:rtl/>
        </w:rPr>
        <w:t>‏</w:t>
      </w:r>
    </w:p>
    <w:p w14:paraId="3F7C098C"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AF505F">
        <w:rPr>
          <w:rFonts w:asciiTheme="majorBidi" w:hAnsiTheme="majorBidi" w:cstheme="majorBidi"/>
          <w:color w:val="222222"/>
          <w:sz w:val="28"/>
          <w:szCs w:val="28"/>
          <w:shd w:val="clear" w:color="auto" w:fill="FFFFFF"/>
        </w:rPr>
        <w:t>Sinnaiah</w:t>
      </w:r>
      <w:proofErr w:type="spellEnd"/>
      <w:r w:rsidRPr="00AF505F">
        <w:rPr>
          <w:rFonts w:asciiTheme="majorBidi" w:hAnsiTheme="majorBidi" w:cstheme="majorBidi"/>
          <w:color w:val="222222"/>
          <w:sz w:val="28"/>
          <w:szCs w:val="28"/>
          <w:shd w:val="clear" w:color="auto" w:fill="FFFFFF"/>
        </w:rPr>
        <w:t xml:space="preserve">, T., Adam, S., &amp; Mahadi, B. (2023). A strategic management process: the role of decision-making style and </w:t>
      </w:r>
      <w:proofErr w:type="spellStart"/>
      <w:r w:rsidRPr="00AF505F">
        <w:rPr>
          <w:rFonts w:asciiTheme="majorBidi" w:hAnsiTheme="majorBidi" w:cstheme="majorBidi"/>
          <w:color w:val="222222"/>
          <w:sz w:val="28"/>
          <w:szCs w:val="28"/>
          <w:shd w:val="clear" w:color="auto" w:fill="FFFFFF"/>
        </w:rPr>
        <w:t>organisational</w:t>
      </w:r>
      <w:proofErr w:type="spellEnd"/>
      <w:r w:rsidRPr="00AF505F">
        <w:rPr>
          <w:rFonts w:asciiTheme="majorBidi" w:hAnsiTheme="majorBidi" w:cstheme="majorBidi"/>
          <w:color w:val="222222"/>
          <w:sz w:val="28"/>
          <w:szCs w:val="28"/>
          <w:shd w:val="clear" w:color="auto" w:fill="FFFFFF"/>
        </w:rPr>
        <w:t xml:space="preserve"> performance. </w:t>
      </w:r>
      <w:r w:rsidRPr="00AF505F">
        <w:rPr>
          <w:rFonts w:asciiTheme="majorBidi" w:hAnsiTheme="majorBidi" w:cstheme="majorBidi"/>
          <w:i/>
          <w:iCs/>
          <w:color w:val="222222"/>
          <w:sz w:val="28"/>
          <w:szCs w:val="28"/>
          <w:shd w:val="clear" w:color="auto" w:fill="FFFFFF"/>
        </w:rPr>
        <w:t>Journal of work-applied management</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15</w:t>
      </w:r>
      <w:r w:rsidRPr="00AF505F">
        <w:rPr>
          <w:rFonts w:asciiTheme="majorBidi" w:hAnsiTheme="majorBidi" w:cstheme="majorBidi"/>
          <w:color w:val="222222"/>
          <w:sz w:val="28"/>
          <w:szCs w:val="28"/>
          <w:shd w:val="clear" w:color="auto" w:fill="FFFFFF"/>
        </w:rPr>
        <w:t>(1), 37-50.</w:t>
      </w:r>
      <w:r w:rsidRPr="00AF505F">
        <w:rPr>
          <w:rFonts w:asciiTheme="majorBidi" w:hAnsiTheme="majorBidi" w:cstheme="majorBidi"/>
          <w:color w:val="222222"/>
          <w:sz w:val="28"/>
          <w:szCs w:val="28"/>
          <w:shd w:val="clear" w:color="auto" w:fill="FFFFFF"/>
          <w:rtl/>
        </w:rPr>
        <w:t>‏</w:t>
      </w:r>
    </w:p>
    <w:p w14:paraId="148727CA"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 xml:space="preserve">van Den Oever, K., &amp; Shropshire, C. (2024). More than a feeling: how board </w:t>
      </w:r>
      <w:proofErr w:type="gramStart"/>
      <w:r w:rsidRPr="00AF505F">
        <w:rPr>
          <w:rFonts w:asciiTheme="majorBidi" w:hAnsiTheme="majorBidi" w:cstheme="majorBidi"/>
          <w:color w:val="222222"/>
          <w:sz w:val="28"/>
          <w:szCs w:val="28"/>
          <w:shd w:val="clear" w:color="auto" w:fill="FFFFFF"/>
        </w:rPr>
        <w:t>member displays of</w:t>
      </w:r>
      <w:proofErr w:type="gramEnd"/>
      <w:r w:rsidRPr="00AF505F">
        <w:rPr>
          <w:rFonts w:asciiTheme="majorBidi" w:hAnsiTheme="majorBidi" w:cstheme="majorBidi"/>
          <w:color w:val="222222"/>
          <w:sz w:val="28"/>
          <w:szCs w:val="28"/>
          <w:shd w:val="clear" w:color="auto" w:fill="FFFFFF"/>
        </w:rPr>
        <w:t xml:space="preserve"> anger and happiness influence strategic decisions. </w:t>
      </w:r>
      <w:r w:rsidRPr="00AF505F">
        <w:rPr>
          <w:rFonts w:asciiTheme="majorBidi" w:hAnsiTheme="majorBidi" w:cstheme="majorBidi"/>
          <w:i/>
          <w:iCs/>
          <w:color w:val="222222"/>
          <w:sz w:val="28"/>
          <w:szCs w:val="28"/>
          <w:shd w:val="clear" w:color="auto" w:fill="FFFFFF"/>
        </w:rPr>
        <w:t>Academy of Management Journal</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67</w:t>
      </w:r>
      <w:r w:rsidRPr="00AF505F">
        <w:rPr>
          <w:rFonts w:asciiTheme="majorBidi" w:hAnsiTheme="majorBidi" w:cstheme="majorBidi"/>
          <w:color w:val="222222"/>
          <w:sz w:val="28"/>
          <w:szCs w:val="28"/>
          <w:shd w:val="clear" w:color="auto" w:fill="FFFFFF"/>
        </w:rPr>
        <w:t>(6), 1525-1552.</w:t>
      </w:r>
      <w:r w:rsidRPr="00AF505F">
        <w:rPr>
          <w:rFonts w:asciiTheme="majorBidi" w:hAnsiTheme="majorBidi" w:cstheme="majorBidi"/>
          <w:color w:val="222222"/>
          <w:sz w:val="28"/>
          <w:szCs w:val="28"/>
          <w:shd w:val="clear" w:color="auto" w:fill="FFFFFF"/>
          <w:rtl/>
        </w:rPr>
        <w:t>‏</w:t>
      </w:r>
    </w:p>
    <w:p w14:paraId="200E2163"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AF505F">
        <w:rPr>
          <w:rFonts w:asciiTheme="majorBidi" w:hAnsiTheme="majorBidi" w:cstheme="majorBidi"/>
          <w:color w:val="222222"/>
          <w:sz w:val="28"/>
          <w:szCs w:val="28"/>
          <w:shd w:val="clear" w:color="auto" w:fill="FFFFFF"/>
        </w:rPr>
        <w:t>Vudugula</w:t>
      </w:r>
      <w:proofErr w:type="spellEnd"/>
      <w:r w:rsidRPr="00AF505F">
        <w:rPr>
          <w:rFonts w:asciiTheme="majorBidi" w:hAnsiTheme="majorBidi" w:cstheme="majorBidi"/>
          <w:color w:val="222222"/>
          <w:sz w:val="28"/>
          <w:szCs w:val="28"/>
          <w:shd w:val="clear" w:color="auto" w:fill="FFFFFF"/>
        </w:rPr>
        <w:t xml:space="preserve">, S., </w:t>
      </w:r>
      <w:proofErr w:type="spellStart"/>
      <w:r w:rsidRPr="00AF505F">
        <w:rPr>
          <w:rFonts w:asciiTheme="majorBidi" w:hAnsiTheme="majorBidi" w:cstheme="majorBidi"/>
          <w:color w:val="222222"/>
          <w:sz w:val="28"/>
          <w:szCs w:val="28"/>
          <w:shd w:val="clear" w:color="auto" w:fill="FFFFFF"/>
        </w:rPr>
        <w:t>Chebrolu</w:t>
      </w:r>
      <w:proofErr w:type="spellEnd"/>
      <w:r w:rsidRPr="00AF505F">
        <w:rPr>
          <w:rFonts w:asciiTheme="majorBidi" w:hAnsiTheme="majorBidi" w:cstheme="majorBidi"/>
          <w:color w:val="222222"/>
          <w:sz w:val="28"/>
          <w:szCs w:val="28"/>
          <w:shd w:val="clear" w:color="auto" w:fill="FFFFFF"/>
        </w:rPr>
        <w:t xml:space="preserve">, S. K., Bhuiyan, M., &amp; </w:t>
      </w:r>
      <w:proofErr w:type="spellStart"/>
      <w:r w:rsidRPr="00AF505F">
        <w:rPr>
          <w:rFonts w:asciiTheme="majorBidi" w:hAnsiTheme="majorBidi" w:cstheme="majorBidi"/>
          <w:color w:val="222222"/>
          <w:sz w:val="28"/>
          <w:szCs w:val="28"/>
          <w:shd w:val="clear" w:color="auto" w:fill="FFFFFF"/>
        </w:rPr>
        <w:t>Rozony</w:t>
      </w:r>
      <w:proofErr w:type="spellEnd"/>
      <w:r w:rsidRPr="00AF505F">
        <w:rPr>
          <w:rFonts w:asciiTheme="majorBidi" w:hAnsiTheme="majorBidi" w:cstheme="majorBidi"/>
          <w:color w:val="222222"/>
          <w:sz w:val="28"/>
          <w:szCs w:val="28"/>
          <w:shd w:val="clear" w:color="auto" w:fill="FFFFFF"/>
        </w:rPr>
        <w:t xml:space="preserve">, F. Z. (2023). Integrating artificial intelligence </w:t>
      </w:r>
      <w:proofErr w:type="gramStart"/>
      <w:r w:rsidRPr="00AF505F">
        <w:rPr>
          <w:rFonts w:asciiTheme="majorBidi" w:hAnsiTheme="majorBidi" w:cstheme="majorBidi"/>
          <w:color w:val="222222"/>
          <w:sz w:val="28"/>
          <w:szCs w:val="28"/>
          <w:shd w:val="clear" w:color="auto" w:fill="FFFFFF"/>
        </w:rPr>
        <w:t>in</w:t>
      </w:r>
      <w:proofErr w:type="gramEnd"/>
      <w:r w:rsidRPr="00AF505F">
        <w:rPr>
          <w:rFonts w:asciiTheme="majorBidi" w:hAnsiTheme="majorBidi" w:cstheme="majorBidi"/>
          <w:color w:val="222222"/>
          <w:sz w:val="28"/>
          <w:szCs w:val="28"/>
          <w:shd w:val="clear" w:color="auto" w:fill="FFFFFF"/>
        </w:rPr>
        <w:t xml:space="preserve"> strategic business decision-making: A systematic review of predictive models. </w:t>
      </w:r>
      <w:r w:rsidRPr="00AF505F">
        <w:rPr>
          <w:rFonts w:asciiTheme="majorBidi" w:hAnsiTheme="majorBidi" w:cstheme="majorBidi"/>
          <w:i/>
          <w:iCs/>
          <w:color w:val="222222"/>
          <w:sz w:val="28"/>
          <w:szCs w:val="28"/>
          <w:shd w:val="clear" w:color="auto" w:fill="FFFFFF"/>
        </w:rPr>
        <w:t>International Journal of Scientific Interdisciplinary Research</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4</w:t>
      </w:r>
      <w:r w:rsidRPr="00AF505F">
        <w:rPr>
          <w:rFonts w:asciiTheme="majorBidi" w:hAnsiTheme="majorBidi" w:cstheme="majorBidi"/>
          <w:color w:val="222222"/>
          <w:sz w:val="28"/>
          <w:szCs w:val="28"/>
          <w:shd w:val="clear" w:color="auto" w:fill="FFFFFF"/>
        </w:rPr>
        <w:t>(1), 01-26.</w:t>
      </w:r>
      <w:r w:rsidRPr="00AF505F">
        <w:rPr>
          <w:rFonts w:asciiTheme="majorBidi" w:hAnsiTheme="majorBidi" w:cstheme="majorBidi"/>
          <w:color w:val="222222"/>
          <w:sz w:val="28"/>
          <w:szCs w:val="28"/>
          <w:shd w:val="clear" w:color="auto" w:fill="FFFFFF"/>
          <w:rtl/>
        </w:rPr>
        <w:t>‏</w:t>
      </w:r>
    </w:p>
    <w:p w14:paraId="5923A4DC"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AF505F">
        <w:rPr>
          <w:rFonts w:asciiTheme="majorBidi" w:hAnsiTheme="majorBidi" w:cstheme="majorBidi"/>
          <w:color w:val="222222"/>
          <w:sz w:val="28"/>
          <w:szCs w:val="28"/>
          <w:shd w:val="clear" w:color="auto" w:fill="FFFFFF"/>
        </w:rPr>
        <w:t>Wasesa</w:t>
      </w:r>
      <w:proofErr w:type="spellEnd"/>
      <w:r w:rsidRPr="00AF505F">
        <w:rPr>
          <w:rFonts w:asciiTheme="majorBidi" w:hAnsiTheme="majorBidi" w:cstheme="majorBidi"/>
          <w:color w:val="222222"/>
          <w:sz w:val="28"/>
          <w:szCs w:val="28"/>
          <w:shd w:val="clear" w:color="auto" w:fill="FFFFFF"/>
        </w:rPr>
        <w:t xml:space="preserve">, I. R. H., </w:t>
      </w:r>
      <w:proofErr w:type="spellStart"/>
      <w:r w:rsidRPr="00AF505F">
        <w:rPr>
          <w:rFonts w:asciiTheme="majorBidi" w:hAnsiTheme="majorBidi" w:cstheme="majorBidi"/>
          <w:color w:val="222222"/>
          <w:sz w:val="28"/>
          <w:szCs w:val="28"/>
          <w:shd w:val="clear" w:color="auto" w:fill="FFFFFF"/>
        </w:rPr>
        <w:t>Permatasari</w:t>
      </w:r>
      <w:proofErr w:type="spellEnd"/>
      <w:r w:rsidRPr="00AF505F">
        <w:rPr>
          <w:rFonts w:asciiTheme="majorBidi" w:hAnsiTheme="majorBidi" w:cstheme="majorBidi"/>
          <w:color w:val="222222"/>
          <w:sz w:val="28"/>
          <w:szCs w:val="28"/>
          <w:shd w:val="clear" w:color="auto" w:fill="FFFFFF"/>
        </w:rPr>
        <w:t xml:space="preserve">, D., </w:t>
      </w:r>
      <w:proofErr w:type="spellStart"/>
      <w:r w:rsidRPr="00AF505F">
        <w:rPr>
          <w:rFonts w:asciiTheme="majorBidi" w:hAnsiTheme="majorBidi" w:cstheme="majorBidi"/>
          <w:color w:val="222222"/>
          <w:sz w:val="28"/>
          <w:szCs w:val="28"/>
          <w:shd w:val="clear" w:color="auto" w:fill="FFFFFF"/>
        </w:rPr>
        <w:t>Angkat</w:t>
      </w:r>
      <w:proofErr w:type="spellEnd"/>
      <w:r w:rsidRPr="00AF505F">
        <w:rPr>
          <w:rFonts w:asciiTheme="majorBidi" w:hAnsiTheme="majorBidi" w:cstheme="majorBidi"/>
          <w:color w:val="222222"/>
          <w:sz w:val="28"/>
          <w:szCs w:val="28"/>
          <w:shd w:val="clear" w:color="auto" w:fill="FFFFFF"/>
        </w:rPr>
        <w:t>, F. A., &amp; Al-</w:t>
      </w:r>
      <w:proofErr w:type="spellStart"/>
      <w:r w:rsidRPr="00AF505F">
        <w:rPr>
          <w:rFonts w:asciiTheme="majorBidi" w:hAnsiTheme="majorBidi" w:cstheme="majorBidi"/>
          <w:color w:val="222222"/>
          <w:sz w:val="28"/>
          <w:szCs w:val="28"/>
          <w:shd w:val="clear" w:color="auto" w:fill="FFFFFF"/>
        </w:rPr>
        <w:t>Khowarizmi</w:t>
      </w:r>
      <w:proofErr w:type="spellEnd"/>
      <w:r w:rsidRPr="00AF505F">
        <w:rPr>
          <w:rFonts w:asciiTheme="majorBidi" w:hAnsiTheme="majorBidi" w:cstheme="majorBidi"/>
          <w:color w:val="222222"/>
          <w:sz w:val="28"/>
          <w:szCs w:val="28"/>
          <w:shd w:val="clear" w:color="auto" w:fill="FFFFFF"/>
        </w:rPr>
        <w:t xml:space="preserve">, A. K. (2025). Integration of artificial intelligence in management information systems to improve the effectiveness of strategic </w:t>
      </w:r>
      <w:r w:rsidRPr="00AF505F">
        <w:rPr>
          <w:rFonts w:asciiTheme="majorBidi" w:hAnsiTheme="majorBidi" w:cstheme="majorBidi"/>
          <w:color w:val="222222"/>
          <w:sz w:val="28"/>
          <w:szCs w:val="28"/>
          <w:shd w:val="clear" w:color="auto" w:fill="FFFFFF"/>
        </w:rPr>
        <w:lastRenderedPageBreak/>
        <w:t>decision-making in the digital era. </w:t>
      </w:r>
      <w:r w:rsidRPr="00AF505F">
        <w:rPr>
          <w:rFonts w:asciiTheme="majorBidi" w:hAnsiTheme="majorBidi" w:cstheme="majorBidi"/>
          <w:i/>
          <w:iCs/>
          <w:color w:val="222222"/>
          <w:sz w:val="28"/>
          <w:szCs w:val="28"/>
          <w:shd w:val="clear" w:color="auto" w:fill="FFFFFF"/>
        </w:rPr>
        <w:t>Journal of Computer Science, Information Technology and Telecommunication Engineering</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6</w:t>
      </w:r>
      <w:r w:rsidRPr="00AF505F">
        <w:rPr>
          <w:rFonts w:asciiTheme="majorBidi" w:hAnsiTheme="majorBidi" w:cstheme="majorBidi"/>
          <w:color w:val="222222"/>
          <w:sz w:val="28"/>
          <w:szCs w:val="28"/>
          <w:shd w:val="clear" w:color="auto" w:fill="FFFFFF"/>
        </w:rPr>
        <w:t>(2), 923-929.</w:t>
      </w:r>
      <w:r w:rsidRPr="00AF505F">
        <w:rPr>
          <w:rFonts w:asciiTheme="majorBidi" w:hAnsiTheme="majorBidi" w:cstheme="majorBidi"/>
          <w:color w:val="222222"/>
          <w:sz w:val="28"/>
          <w:szCs w:val="28"/>
          <w:shd w:val="clear" w:color="auto" w:fill="FFFFFF"/>
          <w:rtl/>
        </w:rPr>
        <w:t>‏</w:t>
      </w:r>
    </w:p>
    <w:p w14:paraId="47787A37"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r w:rsidRPr="00AF505F">
        <w:rPr>
          <w:rFonts w:asciiTheme="majorBidi" w:hAnsiTheme="majorBidi" w:cstheme="majorBidi"/>
          <w:color w:val="222222"/>
          <w:sz w:val="28"/>
          <w:szCs w:val="28"/>
          <w:shd w:val="clear" w:color="auto" w:fill="FFFFFF"/>
        </w:rPr>
        <w:t xml:space="preserve">Wu, C., Zhang, R., Kotagiri, R., &amp; </w:t>
      </w:r>
      <w:proofErr w:type="spellStart"/>
      <w:r w:rsidRPr="00AF505F">
        <w:rPr>
          <w:rFonts w:asciiTheme="majorBidi" w:hAnsiTheme="majorBidi" w:cstheme="majorBidi"/>
          <w:color w:val="222222"/>
          <w:sz w:val="28"/>
          <w:szCs w:val="28"/>
          <w:shd w:val="clear" w:color="auto" w:fill="FFFFFF"/>
        </w:rPr>
        <w:t>Bouvry</w:t>
      </w:r>
      <w:proofErr w:type="spellEnd"/>
      <w:r w:rsidRPr="00AF505F">
        <w:rPr>
          <w:rFonts w:asciiTheme="majorBidi" w:hAnsiTheme="majorBidi" w:cstheme="majorBidi"/>
          <w:color w:val="222222"/>
          <w:sz w:val="28"/>
          <w:szCs w:val="28"/>
          <w:shd w:val="clear" w:color="auto" w:fill="FFFFFF"/>
        </w:rPr>
        <w:t>, P. (2023). Strategic decisions: survey, taxonomy, and future directions from artificial intelligence perspective. </w:t>
      </w:r>
      <w:r w:rsidRPr="00AF505F">
        <w:rPr>
          <w:rFonts w:asciiTheme="majorBidi" w:hAnsiTheme="majorBidi" w:cstheme="majorBidi"/>
          <w:i/>
          <w:iCs/>
          <w:color w:val="222222"/>
          <w:sz w:val="28"/>
          <w:szCs w:val="28"/>
          <w:shd w:val="clear" w:color="auto" w:fill="FFFFFF"/>
        </w:rPr>
        <w:t>ACM Computing Surveys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55</w:t>
      </w:r>
      <w:r w:rsidRPr="00AF505F">
        <w:rPr>
          <w:rFonts w:asciiTheme="majorBidi" w:hAnsiTheme="majorBidi" w:cstheme="majorBidi"/>
          <w:color w:val="222222"/>
          <w:sz w:val="28"/>
          <w:szCs w:val="28"/>
          <w:shd w:val="clear" w:color="auto" w:fill="FFFFFF"/>
        </w:rPr>
        <w:t>(12), 1-30.</w:t>
      </w:r>
      <w:r w:rsidRPr="00AF505F">
        <w:rPr>
          <w:rFonts w:asciiTheme="majorBidi" w:hAnsiTheme="majorBidi" w:cstheme="majorBidi"/>
          <w:color w:val="222222"/>
          <w:sz w:val="28"/>
          <w:szCs w:val="28"/>
          <w:shd w:val="clear" w:color="auto" w:fill="FFFFFF"/>
          <w:rtl/>
        </w:rPr>
        <w:t>‏</w:t>
      </w:r>
    </w:p>
    <w:p w14:paraId="73F57834"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Pr>
      </w:pPr>
      <w:r w:rsidRPr="00AF505F">
        <w:rPr>
          <w:rFonts w:asciiTheme="majorBidi" w:hAnsiTheme="majorBidi" w:cstheme="majorBidi"/>
          <w:color w:val="222222"/>
          <w:sz w:val="28"/>
          <w:szCs w:val="28"/>
          <w:shd w:val="clear" w:color="auto" w:fill="FFFFFF"/>
        </w:rPr>
        <w:t>Yu, L., &amp; Li, Y. (2022). Artificial intelligence decision-making transparency and employees’ trust: The parallel multiple mediating effect of effectiveness and discomfort. </w:t>
      </w:r>
      <w:r w:rsidRPr="00AF505F">
        <w:rPr>
          <w:rFonts w:asciiTheme="majorBidi" w:hAnsiTheme="majorBidi" w:cstheme="majorBidi"/>
          <w:i/>
          <w:iCs/>
          <w:color w:val="222222"/>
          <w:sz w:val="28"/>
          <w:szCs w:val="28"/>
          <w:shd w:val="clear" w:color="auto" w:fill="FFFFFF"/>
        </w:rPr>
        <w:t>Behavioral Sciences</w:t>
      </w:r>
      <w:r w:rsidRPr="00AF505F">
        <w:rPr>
          <w:rFonts w:asciiTheme="majorBidi" w:hAnsiTheme="majorBidi" w:cstheme="majorBidi"/>
          <w:color w:val="222222"/>
          <w:sz w:val="28"/>
          <w:szCs w:val="28"/>
          <w:shd w:val="clear" w:color="auto" w:fill="FFFFFF"/>
        </w:rPr>
        <w:t>, </w:t>
      </w:r>
      <w:r w:rsidRPr="00AF505F">
        <w:rPr>
          <w:rFonts w:asciiTheme="majorBidi" w:hAnsiTheme="majorBidi" w:cstheme="majorBidi"/>
          <w:i/>
          <w:iCs/>
          <w:color w:val="222222"/>
          <w:sz w:val="28"/>
          <w:szCs w:val="28"/>
          <w:shd w:val="clear" w:color="auto" w:fill="FFFFFF"/>
        </w:rPr>
        <w:t>12</w:t>
      </w:r>
      <w:r w:rsidRPr="00AF505F">
        <w:rPr>
          <w:rFonts w:asciiTheme="majorBidi" w:hAnsiTheme="majorBidi" w:cstheme="majorBidi"/>
          <w:color w:val="222222"/>
          <w:sz w:val="28"/>
          <w:szCs w:val="28"/>
          <w:shd w:val="clear" w:color="auto" w:fill="FFFFFF"/>
        </w:rPr>
        <w:t>(5), 127.</w:t>
      </w:r>
      <w:r w:rsidRPr="00AF505F">
        <w:rPr>
          <w:rFonts w:asciiTheme="majorBidi" w:hAnsiTheme="majorBidi" w:cstheme="majorBidi"/>
          <w:color w:val="222222"/>
          <w:sz w:val="28"/>
          <w:szCs w:val="28"/>
          <w:shd w:val="clear" w:color="auto" w:fill="FFFFFF"/>
          <w:rtl/>
        </w:rPr>
        <w:t>‏</w:t>
      </w:r>
    </w:p>
    <w:p w14:paraId="2B115622" w14:textId="77777777" w:rsidR="00AF505F" w:rsidRPr="00AF505F" w:rsidRDefault="00AF505F" w:rsidP="00AF505F">
      <w:pPr>
        <w:spacing w:line="360" w:lineRule="auto"/>
        <w:ind w:left="1440" w:hanging="720"/>
        <w:jc w:val="both"/>
        <w:rPr>
          <w:rFonts w:asciiTheme="majorBidi" w:hAnsiTheme="majorBidi" w:cstheme="majorBidi"/>
          <w:color w:val="222222"/>
          <w:sz w:val="28"/>
          <w:szCs w:val="28"/>
          <w:shd w:val="clear" w:color="auto" w:fill="FFFFFF"/>
          <w:rtl/>
        </w:rPr>
      </w:pPr>
    </w:p>
    <w:p w14:paraId="64CA793F" w14:textId="3C00AD7A" w:rsidR="0090259A" w:rsidRPr="00AF505F" w:rsidRDefault="0090259A" w:rsidP="00AF505F">
      <w:pPr>
        <w:bidi/>
        <w:jc w:val="center"/>
        <w:rPr>
          <w:rFonts w:asciiTheme="majorBidi" w:hAnsiTheme="majorBidi" w:cstheme="majorBidi"/>
          <w:color w:val="222222"/>
          <w:sz w:val="28"/>
          <w:szCs w:val="28"/>
          <w:shd w:val="clear" w:color="auto" w:fill="FFFFFF"/>
          <w:rtl/>
        </w:rPr>
      </w:pPr>
    </w:p>
    <w:sectPr w:rsidR="0090259A" w:rsidRPr="00AF505F" w:rsidSect="006A2E70">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AEC35" w14:textId="77777777" w:rsidR="00EC5F97" w:rsidRDefault="00EC5F97">
      <w:pPr>
        <w:spacing w:after="0" w:line="240" w:lineRule="auto"/>
      </w:pPr>
      <w:r>
        <w:separator/>
      </w:r>
    </w:p>
  </w:endnote>
  <w:endnote w:type="continuationSeparator" w:id="0">
    <w:p w14:paraId="4EBAAA28" w14:textId="77777777" w:rsidR="00EC5F97" w:rsidRDefault="00EC5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73601"/>
      <w:docPartObj>
        <w:docPartGallery w:val="Page Numbers (Bottom of Page)"/>
        <w:docPartUnique/>
      </w:docPartObj>
    </w:sdtPr>
    <w:sdtEndPr>
      <w:rPr>
        <w:noProof/>
      </w:rPr>
    </w:sdtEndPr>
    <w:sdtContent>
      <w:p w14:paraId="7450E616" w14:textId="77777777" w:rsidR="006A2E70" w:rsidRDefault="006A2E70">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5E97C30A" w14:textId="77777777" w:rsidR="006A2E70" w:rsidRDefault="006A2E7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F5605" w14:textId="77777777" w:rsidR="00EC5F97" w:rsidRDefault="00EC5F97">
      <w:pPr>
        <w:spacing w:after="0" w:line="240" w:lineRule="auto"/>
      </w:pPr>
      <w:r>
        <w:separator/>
      </w:r>
    </w:p>
  </w:footnote>
  <w:footnote w:type="continuationSeparator" w:id="0">
    <w:p w14:paraId="5D949D53" w14:textId="77777777" w:rsidR="00EC5F97" w:rsidRDefault="00EC5F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F3D64"/>
    <w:multiLevelType w:val="hybridMultilevel"/>
    <w:tmpl w:val="4ECA3584"/>
    <w:lvl w:ilvl="0" w:tplc="10AE36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A66F8"/>
    <w:multiLevelType w:val="hybridMultilevel"/>
    <w:tmpl w:val="8946B106"/>
    <w:lvl w:ilvl="0" w:tplc="F75650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AD5708"/>
    <w:multiLevelType w:val="multilevel"/>
    <w:tmpl w:val="3096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342461"/>
    <w:multiLevelType w:val="multilevel"/>
    <w:tmpl w:val="CCE6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804809"/>
    <w:multiLevelType w:val="hybridMultilevel"/>
    <w:tmpl w:val="C9601750"/>
    <w:lvl w:ilvl="0" w:tplc="9C7CED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E27456"/>
    <w:multiLevelType w:val="multilevel"/>
    <w:tmpl w:val="94146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710F54"/>
    <w:multiLevelType w:val="multilevel"/>
    <w:tmpl w:val="7378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8D3B0F"/>
    <w:multiLevelType w:val="hybridMultilevel"/>
    <w:tmpl w:val="91F60C12"/>
    <w:lvl w:ilvl="0" w:tplc="3064B1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C71D8B"/>
    <w:multiLevelType w:val="multilevel"/>
    <w:tmpl w:val="3B24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923621"/>
    <w:multiLevelType w:val="hybridMultilevel"/>
    <w:tmpl w:val="6A62C0DE"/>
    <w:lvl w:ilvl="0" w:tplc="43C08A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617CDA"/>
    <w:multiLevelType w:val="hybridMultilevel"/>
    <w:tmpl w:val="310E61A8"/>
    <w:lvl w:ilvl="0" w:tplc="F11688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533581"/>
    <w:multiLevelType w:val="multilevel"/>
    <w:tmpl w:val="8F64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295203"/>
    <w:multiLevelType w:val="hybridMultilevel"/>
    <w:tmpl w:val="BD26EDF6"/>
    <w:lvl w:ilvl="0" w:tplc="5E00AD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D65D22"/>
    <w:multiLevelType w:val="multilevel"/>
    <w:tmpl w:val="7426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0C5D37"/>
    <w:multiLevelType w:val="hybridMultilevel"/>
    <w:tmpl w:val="7A72CBBC"/>
    <w:lvl w:ilvl="0" w:tplc="4ED0D1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B86599"/>
    <w:multiLevelType w:val="hybridMultilevel"/>
    <w:tmpl w:val="361085C0"/>
    <w:lvl w:ilvl="0" w:tplc="B76423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8992789">
    <w:abstractNumId w:val="6"/>
  </w:num>
  <w:num w:numId="2" w16cid:durableId="1638997926">
    <w:abstractNumId w:val="3"/>
  </w:num>
  <w:num w:numId="3" w16cid:durableId="1306735496">
    <w:abstractNumId w:val="13"/>
  </w:num>
  <w:num w:numId="4" w16cid:durableId="983656761">
    <w:abstractNumId w:val="11"/>
  </w:num>
  <w:num w:numId="5" w16cid:durableId="2023973253">
    <w:abstractNumId w:val="2"/>
  </w:num>
  <w:num w:numId="6" w16cid:durableId="782000475">
    <w:abstractNumId w:val="8"/>
  </w:num>
  <w:num w:numId="7" w16cid:durableId="2050760726">
    <w:abstractNumId w:val="5"/>
  </w:num>
  <w:num w:numId="8" w16cid:durableId="1157302940">
    <w:abstractNumId w:val="15"/>
  </w:num>
  <w:num w:numId="9" w16cid:durableId="1876195424">
    <w:abstractNumId w:val="9"/>
  </w:num>
  <w:num w:numId="10" w16cid:durableId="1926331819">
    <w:abstractNumId w:val="0"/>
  </w:num>
  <w:num w:numId="11" w16cid:durableId="148863661">
    <w:abstractNumId w:val="4"/>
  </w:num>
  <w:num w:numId="12" w16cid:durableId="1664971490">
    <w:abstractNumId w:val="12"/>
  </w:num>
  <w:num w:numId="13" w16cid:durableId="922765635">
    <w:abstractNumId w:val="7"/>
  </w:num>
  <w:num w:numId="14" w16cid:durableId="1399935573">
    <w:abstractNumId w:val="14"/>
  </w:num>
  <w:num w:numId="15" w16cid:durableId="349111255">
    <w:abstractNumId w:val="10"/>
  </w:num>
  <w:num w:numId="16" w16cid:durableId="535195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84B"/>
    <w:rsid w:val="00057390"/>
    <w:rsid w:val="00063A93"/>
    <w:rsid w:val="00094A15"/>
    <w:rsid w:val="000E5679"/>
    <w:rsid w:val="000E72B9"/>
    <w:rsid w:val="00117B84"/>
    <w:rsid w:val="0013066F"/>
    <w:rsid w:val="00130FC6"/>
    <w:rsid w:val="00137B3B"/>
    <w:rsid w:val="00144CC4"/>
    <w:rsid w:val="00197228"/>
    <w:rsid w:val="001A7D68"/>
    <w:rsid w:val="001B3155"/>
    <w:rsid w:val="00202AFD"/>
    <w:rsid w:val="00206B3F"/>
    <w:rsid w:val="002265B2"/>
    <w:rsid w:val="00235F9B"/>
    <w:rsid w:val="002450AC"/>
    <w:rsid w:val="00252082"/>
    <w:rsid w:val="00286260"/>
    <w:rsid w:val="002A6A74"/>
    <w:rsid w:val="002A6F9E"/>
    <w:rsid w:val="002E2988"/>
    <w:rsid w:val="002F31E0"/>
    <w:rsid w:val="002F4DFE"/>
    <w:rsid w:val="003570B0"/>
    <w:rsid w:val="00372133"/>
    <w:rsid w:val="0038473F"/>
    <w:rsid w:val="003C64B0"/>
    <w:rsid w:val="003F0047"/>
    <w:rsid w:val="0042670A"/>
    <w:rsid w:val="004553F9"/>
    <w:rsid w:val="0046623A"/>
    <w:rsid w:val="004A0A2E"/>
    <w:rsid w:val="004C33C9"/>
    <w:rsid w:val="004E0C0B"/>
    <w:rsid w:val="005050B7"/>
    <w:rsid w:val="005617FB"/>
    <w:rsid w:val="00581D0A"/>
    <w:rsid w:val="005B7750"/>
    <w:rsid w:val="005D684B"/>
    <w:rsid w:val="005E2ABD"/>
    <w:rsid w:val="005E3FCF"/>
    <w:rsid w:val="00602942"/>
    <w:rsid w:val="0061595F"/>
    <w:rsid w:val="00694ED8"/>
    <w:rsid w:val="006A2E70"/>
    <w:rsid w:val="006F48BF"/>
    <w:rsid w:val="006F5668"/>
    <w:rsid w:val="00720953"/>
    <w:rsid w:val="007330D8"/>
    <w:rsid w:val="00742030"/>
    <w:rsid w:val="0076156D"/>
    <w:rsid w:val="00791C39"/>
    <w:rsid w:val="007A6BF5"/>
    <w:rsid w:val="00801D40"/>
    <w:rsid w:val="00812129"/>
    <w:rsid w:val="00830050"/>
    <w:rsid w:val="0088508C"/>
    <w:rsid w:val="00887924"/>
    <w:rsid w:val="008F3D67"/>
    <w:rsid w:val="008F69CF"/>
    <w:rsid w:val="0090127F"/>
    <w:rsid w:val="0090259A"/>
    <w:rsid w:val="00907458"/>
    <w:rsid w:val="00917B5A"/>
    <w:rsid w:val="0094457A"/>
    <w:rsid w:val="00950260"/>
    <w:rsid w:val="0099716B"/>
    <w:rsid w:val="009B4B26"/>
    <w:rsid w:val="009F4125"/>
    <w:rsid w:val="009F7331"/>
    <w:rsid w:val="00A0386E"/>
    <w:rsid w:val="00A1165D"/>
    <w:rsid w:val="00A71409"/>
    <w:rsid w:val="00A85296"/>
    <w:rsid w:val="00A933EF"/>
    <w:rsid w:val="00AC2C89"/>
    <w:rsid w:val="00AE394B"/>
    <w:rsid w:val="00AF505F"/>
    <w:rsid w:val="00AF6B65"/>
    <w:rsid w:val="00B52242"/>
    <w:rsid w:val="00B663D4"/>
    <w:rsid w:val="00B804CF"/>
    <w:rsid w:val="00B94435"/>
    <w:rsid w:val="00BB70EF"/>
    <w:rsid w:val="00C26D6C"/>
    <w:rsid w:val="00C337D7"/>
    <w:rsid w:val="00C448D9"/>
    <w:rsid w:val="00C80DAC"/>
    <w:rsid w:val="00CB2159"/>
    <w:rsid w:val="00CE066D"/>
    <w:rsid w:val="00CE7982"/>
    <w:rsid w:val="00D321AB"/>
    <w:rsid w:val="00D42C46"/>
    <w:rsid w:val="00D45C4B"/>
    <w:rsid w:val="00D6132D"/>
    <w:rsid w:val="00D74D18"/>
    <w:rsid w:val="00D81CB0"/>
    <w:rsid w:val="00D849B5"/>
    <w:rsid w:val="00DD440A"/>
    <w:rsid w:val="00E27801"/>
    <w:rsid w:val="00E27D71"/>
    <w:rsid w:val="00E461E3"/>
    <w:rsid w:val="00E50E11"/>
    <w:rsid w:val="00E70164"/>
    <w:rsid w:val="00E70EFC"/>
    <w:rsid w:val="00E77D96"/>
    <w:rsid w:val="00EA1603"/>
    <w:rsid w:val="00EB35F4"/>
    <w:rsid w:val="00EC5F97"/>
    <w:rsid w:val="00ED3557"/>
    <w:rsid w:val="00F324FA"/>
    <w:rsid w:val="00F62D1F"/>
    <w:rsid w:val="00F703B7"/>
    <w:rsid w:val="00F93775"/>
    <w:rsid w:val="00FD6D47"/>
    <w:rsid w:val="00FF5D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CBE5"/>
  <w15:chartTrackingRefBased/>
  <w15:docId w15:val="{C8D2003A-F112-40E3-B868-84ED7028E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2988"/>
    <w:pPr>
      <w:ind w:left="720"/>
      <w:contextualSpacing/>
    </w:pPr>
  </w:style>
  <w:style w:type="paragraph" w:styleId="a4">
    <w:name w:val="Normal (Web)"/>
    <w:basedOn w:val="a"/>
    <w:uiPriority w:val="99"/>
    <w:semiHidden/>
    <w:unhideWhenUsed/>
    <w:rsid w:val="00E27D71"/>
    <w:rPr>
      <w:rFonts w:ascii="Times New Roman" w:hAnsi="Times New Roman" w:cs="Times New Roman"/>
      <w:sz w:val="24"/>
      <w:szCs w:val="24"/>
    </w:rPr>
  </w:style>
  <w:style w:type="paragraph" w:styleId="a5">
    <w:name w:val="footer"/>
    <w:basedOn w:val="a"/>
    <w:link w:val="Char"/>
    <w:uiPriority w:val="99"/>
    <w:unhideWhenUsed/>
    <w:rsid w:val="006A2E70"/>
    <w:pPr>
      <w:tabs>
        <w:tab w:val="center" w:pos="4680"/>
        <w:tab w:val="right" w:pos="9360"/>
      </w:tabs>
      <w:spacing w:after="0" w:line="240" w:lineRule="auto"/>
    </w:pPr>
    <w:rPr>
      <w:kern w:val="2"/>
      <w:sz w:val="24"/>
      <w:szCs w:val="24"/>
      <w14:ligatures w14:val="standardContextual"/>
    </w:rPr>
  </w:style>
  <w:style w:type="character" w:customStyle="1" w:styleId="Char">
    <w:name w:val="تذييل الصفحة Char"/>
    <w:basedOn w:val="a0"/>
    <w:link w:val="a5"/>
    <w:uiPriority w:val="99"/>
    <w:rsid w:val="006A2E70"/>
    <w:rPr>
      <w:kern w:val="2"/>
      <w:sz w:val="24"/>
      <w:szCs w:val="24"/>
      <w14:ligatures w14:val="standardContextual"/>
    </w:rPr>
  </w:style>
  <w:style w:type="table" w:styleId="1">
    <w:name w:val="Plain Table 1"/>
    <w:basedOn w:val="a1"/>
    <w:uiPriority w:val="41"/>
    <w:rsid w:val="00AF50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6">
    <w:name w:val="Table Grid"/>
    <w:basedOn w:val="a1"/>
    <w:uiPriority w:val="39"/>
    <w:rsid w:val="00AF5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AF50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842">
      <w:bodyDiv w:val="1"/>
      <w:marLeft w:val="0"/>
      <w:marRight w:val="0"/>
      <w:marTop w:val="0"/>
      <w:marBottom w:val="0"/>
      <w:divBdr>
        <w:top w:val="none" w:sz="0" w:space="0" w:color="auto"/>
        <w:left w:val="none" w:sz="0" w:space="0" w:color="auto"/>
        <w:bottom w:val="none" w:sz="0" w:space="0" w:color="auto"/>
        <w:right w:val="none" w:sz="0" w:space="0" w:color="auto"/>
      </w:divBdr>
    </w:div>
    <w:div w:id="218326187">
      <w:bodyDiv w:val="1"/>
      <w:marLeft w:val="0"/>
      <w:marRight w:val="0"/>
      <w:marTop w:val="0"/>
      <w:marBottom w:val="0"/>
      <w:divBdr>
        <w:top w:val="none" w:sz="0" w:space="0" w:color="auto"/>
        <w:left w:val="none" w:sz="0" w:space="0" w:color="auto"/>
        <w:bottom w:val="none" w:sz="0" w:space="0" w:color="auto"/>
        <w:right w:val="none" w:sz="0" w:space="0" w:color="auto"/>
      </w:divBdr>
    </w:div>
    <w:div w:id="369570546">
      <w:bodyDiv w:val="1"/>
      <w:marLeft w:val="0"/>
      <w:marRight w:val="0"/>
      <w:marTop w:val="0"/>
      <w:marBottom w:val="0"/>
      <w:divBdr>
        <w:top w:val="none" w:sz="0" w:space="0" w:color="auto"/>
        <w:left w:val="none" w:sz="0" w:space="0" w:color="auto"/>
        <w:bottom w:val="none" w:sz="0" w:space="0" w:color="auto"/>
        <w:right w:val="none" w:sz="0" w:space="0" w:color="auto"/>
      </w:divBdr>
      <w:divsChild>
        <w:div w:id="94448351">
          <w:marLeft w:val="0"/>
          <w:marRight w:val="0"/>
          <w:marTop w:val="0"/>
          <w:marBottom w:val="0"/>
          <w:divBdr>
            <w:top w:val="none" w:sz="0" w:space="0" w:color="auto"/>
            <w:left w:val="none" w:sz="0" w:space="0" w:color="auto"/>
            <w:bottom w:val="none" w:sz="0" w:space="0" w:color="auto"/>
            <w:right w:val="none" w:sz="0" w:space="0" w:color="auto"/>
          </w:divBdr>
          <w:divsChild>
            <w:div w:id="1584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261932">
      <w:bodyDiv w:val="1"/>
      <w:marLeft w:val="0"/>
      <w:marRight w:val="0"/>
      <w:marTop w:val="0"/>
      <w:marBottom w:val="0"/>
      <w:divBdr>
        <w:top w:val="none" w:sz="0" w:space="0" w:color="auto"/>
        <w:left w:val="none" w:sz="0" w:space="0" w:color="auto"/>
        <w:bottom w:val="none" w:sz="0" w:space="0" w:color="auto"/>
        <w:right w:val="none" w:sz="0" w:space="0" w:color="auto"/>
      </w:divBdr>
    </w:div>
    <w:div w:id="630790014">
      <w:bodyDiv w:val="1"/>
      <w:marLeft w:val="0"/>
      <w:marRight w:val="0"/>
      <w:marTop w:val="0"/>
      <w:marBottom w:val="0"/>
      <w:divBdr>
        <w:top w:val="none" w:sz="0" w:space="0" w:color="auto"/>
        <w:left w:val="none" w:sz="0" w:space="0" w:color="auto"/>
        <w:bottom w:val="none" w:sz="0" w:space="0" w:color="auto"/>
        <w:right w:val="none" w:sz="0" w:space="0" w:color="auto"/>
      </w:divBdr>
    </w:div>
    <w:div w:id="637690553">
      <w:bodyDiv w:val="1"/>
      <w:marLeft w:val="0"/>
      <w:marRight w:val="0"/>
      <w:marTop w:val="0"/>
      <w:marBottom w:val="0"/>
      <w:divBdr>
        <w:top w:val="none" w:sz="0" w:space="0" w:color="auto"/>
        <w:left w:val="none" w:sz="0" w:space="0" w:color="auto"/>
        <w:bottom w:val="none" w:sz="0" w:space="0" w:color="auto"/>
        <w:right w:val="none" w:sz="0" w:space="0" w:color="auto"/>
      </w:divBdr>
    </w:div>
    <w:div w:id="707148185">
      <w:bodyDiv w:val="1"/>
      <w:marLeft w:val="0"/>
      <w:marRight w:val="0"/>
      <w:marTop w:val="0"/>
      <w:marBottom w:val="0"/>
      <w:divBdr>
        <w:top w:val="none" w:sz="0" w:space="0" w:color="auto"/>
        <w:left w:val="none" w:sz="0" w:space="0" w:color="auto"/>
        <w:bottom w:val="none" w:sz="0" w:space="0" w:color="auto"/>
        <w:right w:val="none" w:sz="0" w:space="0" w:color="auto"/>
      </w:divBdr>
    </w:div>
    <w:div w:id="794175489">
      <w:bodyDiv w:val="1"/>
      <w:marLeft w:val="0"/>
      <w:marRight w:val="0"/>
      <w:marTop w:val="0"/>
      <w:marBottom w:val="0"/>
      <w:divBdr>
        <w:top w:val="none" w:sz="0" w:space="0" w:color="auto"/>
        <w:left w:val="none" w:sz="0" w:space="0" w:color="auto"/>
        <w:bottom w:val="none" w:sz="0" w:space="0" w:color="auto"/>
        <w:right w:val="none" w:sz="0" w:space="0" w:color="auto"/>
      </w:divBdr>
    </w:div>
    <w:div w:id="806580968">
      <w:bodyDiv w:val="1"/>
      <w:marLeft w:val="0"/>
      <w:marRight w:val="0"/>
      <w:marTop w:val="0"/>
      <w:marBottom w:val="0"/>
      <w:divBdr>
        <w:top w:val="none" w:sz="0" w:space="0" w:color="auto"/>
        <w:left w:val="none" w:sz="0" w:space="0" w:color="auto"/>
        <w:bottom w:val="none" w:sz="0" w:space="0" w:color="auto"/>
        <w:right w:val="none" w:sz="0" w:space="0" w:color="auto"/>
      </w:divBdr>
    </w:div>
    <w:div w:id="818572171">
      <w:bodyDiv w:val="1"/>
      <w:marLeft w:val="0"/>
      <w:marRight w:val="0"/>
      <w:marTop w:val="0"/>
      <w:marBottom w:val="0"/>
      <w:divBdr>
        <w:top w:val="none" w:sz="0" w:space="0" w:color="auto"/>
        <w:left w:val="none" w:sz="0" w:space="0" w:color="auto"/>
        <w:bottom w:val="none" w:sz="0" w:space="0" w:color="auto"/>
        <w:right w:val="none" w:sz="0" w:space="0" w:color="auto"/>
      </w:divBdr>
    </w:div>
    <w:div w:id="903755737">
      <w:bodyDiv w:val="1"/>
      <w:marLeft w:val="0"/>
      <w:marRight w:val="0"/>
      <w:marTop w:val="0"/>
      <w:marBottom w:val="0"/>
      <w:divBdr>
        <w:top w:val="none" w:sz="0" w:space="0" w:color="auto"/>
        <w:left w:val="none" w:sz="0" w:space="0" w:color="auto"/>
        <w:bottom w:val="none" w:sz="0" w:space="0" w:color="auto"/>
        <w:right w:val="none" w:sz="0" w:space="0" w:color="auto"/>
      </w:divBdr>
    </w:div>
    <w:div w:id="910579615">
      <w:bodyDiv w:val="1"/>
      <w:marLeft w:val="0"/>
      <w:marRight w:val="0"/>
      <w:marTop w:val="0"/>
      <w:marBottom w:val="0"/>
      <w:divBdr>
        <w:top w:val="none" w:sz="0" w:space="0" w:color="auto"/>
        <w:left w:val="none" w:sz="0" w:space="0" w:color="auto"/>
        <w:bottom w:val="none" w:sz="0" w:space="0" w:color="auto"/>
        <w:right w:val="none" w:sz="0" w:space="0" w:color="auto"/>
      </w:divBdr>
    </w:div>
    <w:div w:id="999230281">
      <w:bodyDiv w:val="1"/>
      <w:marLeft w:val="0"/>
      <w:marRight w:val="0"/>
      <w:marTop w:val="0"/>
      <w:marBottom w:val="0"/>
      <w:divBdr>
        <w:top w:val="none" w:sz="0" w:space="0" w:color="auto"/>
        <w:left w:val="none" w:sz="0" w:space="0" w:color="auto"/>
        <w:bottom w:val="none" w:sz="0" w:space="0" w:color="auto"/>
        <w:right w:val="none" w:sz="0" w:space="0" w:color="auto"/>
      </w:divBdr>
    </w:div>
    <w:div w:id="1045445941">
      <w:bodyDiv w:val="1"/>
      <w:marLeft w:val="0"/>
      <w:marRight w:val="0"/>
      <w:marTop w:val="0"/>
      <w:marBottom w:val="0"/>
      <w:divBdr>
        <w:top w:val="none" w:sz="0" w:space="0" w:color="auto"/>
        <w:left w:val="none" w:sz="0" w:space="0" w:color="auto"/>
        <w:bottom w:val="none" w:sz="0" w:space="0" w:color="auto"/>
        <w:right w:val="none" w:sz="0" w:space="0" w:color="auto"/>
      </w:divBdr>
    </w:div>
    <w:div w:id="1167788591">
      <w:bodyDiv w:val="1"/>
      <w:marLeft w:val="0"/>
      <w:marRight w:val="0"/>
      <w:marTop w:val="0"/>
      <w:marBottom w:val="0"/>
      <w:divBdr>
        <w:top w:val="none" w:sz="0" w:space="0" w:color="auto"/>
        <w:left w:val="none" w:sz="0" w:space="0" w:color="auto"/>
        <w:bottom w:val="none" w:sz="0" w:space="0" w:color="auto"/>
        <w:right w:val="none" w:sz="0" w:space="0" w:color="auto"/>
      </w:divBdr>
    </w:div>
    <w:div w:id="1199393517">
      <w:bodyDiv w:val="1"/>
      <w:marLeft w:val="0"/>
      <w:marRight w:val="0"/>
      <w:marTop w:val="0"/>
      <w:marBottom w:val="0"/>
      <w:divBdr>
        <w:top w:val="none" w:sz="0" w:space="0" w:color="auto"/>
        <w:left w:val="none" w:sz="0" w:space="0" w:color="auto"/>
        <w:bottom w:val="none" w:sz="0" w:space="0" w:color="auto"/>
        <w:right w:val="none" w:sz="0" w:space="0" w:color="auto"/>
      </w:divBdr>
    </w:div>
    <w:div w:id="1274436080">
      <w:bodyDiv w:val="1"/>
      <w:marLeft w:val="0"/>
      <w:marRight w:val="0"/>
      <w:marTop w:val="0"/>
      <w:marBottom w:val="0"/>
      <w:divBdr>
        <w:top w:val="none" w:sz="0" w:space="0" w:color="auto"/>
        <w:left w:val="none" w:sz="0" w:space="0" w:color="auto"/>
        <w:bottom w:val="none" w:sz="0" w:space="0" w:color="auto"/>
        <w:right w:val="none" w:sz="0" w:space="0" w:color="auto"/>
      </w:divBdr>
    </w:div>
    <w:div w:id="1295866638">
      <w:bodyDiv w:val="1"/>
      <w:marLeft w:val="0"/>
      <w:marRight w:val="0"/>
      <w:marTop w:val="0"/>
      <w:marBottom w:val="0"/>
      <w:divBdr>
        <w:top w:val="none" w:sz="0" w:space="0" w:color="auto"/>
        <w:left w:val="none" w:sz="0" w:space="0" w:color="auto"/>
        <w:bottom w:val="none" w:sz="0" w:space="0" w:color="auto"/>
        <w:right w:val="none" w:sz="0" w:space="0" w:color="auto"/>
      </w:divBdr>
    </w:div>
    <w:div w:id="1316641772">
      <w:bodyDiv w:val="1"/>
      <w:marLeft w:val="0"/>
      <w:marRight w:val="0"/>
      <w:marTop w:val="0"/>
      <w:marBottom w:val="0"/>
      <w:divBdr>
        <w:top w:val="none" w:sz="0" w:space="0" w:color="auto"/>
        <w:left w:val="none" w:sz="0" w:space="0" w:color="auto"/>
        <w:bottom w:val="none" w:sz="0" w:space="0" w:color="auto"/>
        <w:right w:val="none" w:sz="0" w:space="0" w:color="auto"/>
      </w:divBdr>
      <w:divsChild>
        <w:div w:id="1667006245">
          <w:marLeft w:val="0"/>
          <w:marRight w:val="0"/>
          <w:marTop w:val="0"/>
          <w:marBottom w:val="0"/>
          <w:divBdr>
            <w:top w:val="none" w:sz="0" w:space="0" w:color="auto"/>
            <w:left w:val="none" w:sz="0" w:space="0" w:color="auto"/>
            <w:bottom w:val="none" w:sz="0" w:space="0" w:color="auto"/>
            <w:right w:val="none" w:sz="0" w:space="0" w:color="auto"/>
          </w:divBdr>
          <w:divsChild>
            <w:div w:id="90553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124185">
      <w:bodyDiv w:val="1"/>
      <w:marLeft w:val="0"/>
      <w:marRight w:val="0"/>
      <w:marTop w:val="0"/>
      <w:marBottom w:val="0"/>
      <w:divBdr>
        <w:top w:val="none" w:sz="0" w:space="0" w:color="auto"/>
        <w:left w:val="none" w:sz="0" w:space="0" w:color="auto"/>
        <w:bottom w:val="none" w:sz="0" w:space="0" w:color="auto"/>
        <w:right w:val="none" w:sz="0" w:space="0" w:color="auto"/>
      </w:divBdr>
      <w:divsChild>
        <w:div w:id="1576670270">
          <w:marLeft w:val="0"/>
          <w:marRight w:val="0"/>
          <w:marTop w:val="0"/>
          <w:marBottom w:val="0"/>
          <w:divBdr>
            <w:top w:val="none" w:sz="0" w:space="0" w:color="auto"/>
            <w:left w:val="none" w:sz="0" w:space="0" w:color="auto"/>
            <w:bottom w:val="none" w:sz="0" w:space="0" w:color="auto"/>
            <w:right w:val="none" w:sz="0" w:space="0" w:color="auto"/>
          </w:divBdr>
          <w:divsChild>
            <w:div w:id="123215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42937">
      <w:bodyDiv w:val="1"/>
      <w:marLeft w:val="0"/>
      <w:marRight w:val="0"/>
      <w:marTop w:val="0"/>
      <w:marBottom w:val="0"/>
      <w:divBdr>
        <w:top w:val="none" w:sz="0" w:space="0" w:color="auto"/>
        <w:left w:val="none" w:sz="0" w:space="0" w:color="auto"/>
        <w:bottom w:val="none" w:sz="0" w:space="0" w:color="auto"/>
        <w:right w:val="none" w:sz="0" w:space="0" w:color="auto"/>
      </w:divBdr>
    </w:div>
    <w:div w:id="1512254577">
      <w:bodyDiv w:val="1"/>
      <w:marLeft w:val="0"/>
      <w:marRight w:val="0"/>
      <w:marTop w:val="0"/>
      <w:marBottom w:val="0"/>
      <w:divBdr>
        <w:top w:val="none" w:sz="0" w:space="0" w:color="auto"/>
        <w:left w:val="none" w:sz="0" w:space="0" w:color="auto"/>
        <w:bottom w:val="none" w:sz="0" w:space="0" w:color="auto"/>
        <w:right w:val="none" w:sz="0" w:space="0" w:color="auto"/>
      </w:divBdr>
    </w:div>
    <w:div w:id="1539122038">
      <w:bodyDiv w:val="1"/>
      <w:marLeft w:val="0"/>
      <w:marRight w:val="0"/>
      <w:marTop w:val="0"/>
      <w:marBottom w:val="0"/>
      <w:divBdr>
        <w:top w:val="none" w:sz="0" w:space="0" w:color="auto"/>
        <w:left w:val="none" w:sz="0" w:space="0" w:color="auto"/>
        <w:bottom w:val="none" w:sz="0" w:space="0" w:color="auto"/>
        <w:right w:val="none" w:sz="0" w:space="0" w:color="auto"/>
      </w:divBdr>
    </w:div>
    <w:div w:id="1551113269">
      <w:bodyDiv w:val="1"/>
      <w:marLeft w:val="0"/>
      <w:marRight w:val="0"/>
      <w:marTop w:val="0"/>
      <w:marBottom w:val="0"/>
      <w:divBdr>
        <w:top w:val="none" w:sz="0" w:space="0" w:color="auto"/>
        <w:left w:val="none" w:sz="0" w:space="0" w:color="auto"/>
        <w:bottom w:val="none" w:sz="0" w:space="0" w:color="auto"/>
        <w:right w:val="none" w:sz="0" w:space="0" w:color="auto"/>
      </w:divBdr>
    </w:div>
    <w:div w:id="1666547468">
      <w:bodyDiv w:val="1"/>
      <w:marLeft w:val="0"/>
      <w:marRight w:val="0"/>
      <w:marTop w:val="0"/>
      <w:marBottom w:val="0"/>
      <w:divBdr>
        <w:top w:val="none" w:sz="0" w:space="0" w:color="auto"/>
        <w:left w:val="none" w:sz="0" w:space="0" w:color="auto"/>
        <w:bottom w:val="none" w:sz="0" w:space="0" w:color="auto"/>
        <w:right w:val="none" w:sz="0" w:space="0" w:color="auto"/>
      </w:divBdr>
    </w:div>
    <w:div w:id="1690135964">
      <w:bodyDiv w:val="1"/>
      <w:marLeft w:val="0"/>
      <w:marRight w:val="0"/>
      <w:marTop w:val="0"/>
      <w:marBottom w:val="0"/>
      <w:divBdr>
        <w:top w:val="none" w:sz="0" w:space="0" w:color="auto"/>
        <w:left w:val="none" w:sz="0" w:space="0" w:color="auto"/>
        <w:bottom w:val="none" w:sz="0" w:space="0" w:color="auto"/>
        <w:right w:val="none" w:sz="0" w:space="0" w:color="auto"/>
      </w:divBdr>
    </w:div>
    <w:div w:id="1894390813">
      <w:bodyDiv w:val="1"/>
      <w:marLeft w:val="0"/>
      <w:marRight w:val="0"/>
      <w:marTop w:val="0"/>
      <w:marBottom w:val="0"/>
      <w:divBdr>
        <w:top w:val="none" w:sz="0" w:space="0" w:color="auto"/>
        <w:left w:val="none" w:sz="0" w:space="0" w:color="auto"/>
        <w:bottom w:val="none" w:sz="0" w:space="0" w:color="auto"/>
        <w:right w:val="none" w:sz="0" w:space="0" w:color="auto"/>
      </w:divBdr>
    </w:div>
    <w:div w:id="1923297503">
      <w:bodyDiv w:val="1"/>
      <w:marLeft w:val="0"/>
      <w:marRight w:val="0"/>
      <w:marTop w:val="0"/>
      <w:marBottom w:val="0"/>
      <w:divBdr>
        <w:top w:val="none" w:sz="0" w:space="0" w:color="auto"/>
        <w:left w:val="none" w:sz="0" w:space="0" w:color="auto"/>
        <w:bottom w:val="none" w:sz="0" w:space="0" w:color="auto"/>
        <w:right w:val="none" w:sz="0" w:space="0" w:color="auto"/>
      </w:divBdr>
    </w:div>
    <w:div w:id="2019429118">
      <w:bodyDiv w:val="1"/>
      <w:marLeft w:val="0"/>
      <w:marRight w:val="0"/>
      <w:marTop w:val="0"/>
      <w:marBottom w:val="0"/>
      <w:divBdr>
        <w:top w:val="none" w:sz="0" w:space="0" w:color="auto"/>
        <w:left w:val="none" w:sz="0" w:space="0" w:color="auto"/>
        <w:bottom w:val="none" w:sz="0" w:space="0" w:color="auto"/>
        <w:right w:val="none" w:sz="0" w:space="0" w:color="auto"/>
      </w:divBdr>
    </w:div>
    <w:div w:id="203634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ision2030.gov.sa/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51</Pages>
  <Words>14058</Words>
  <Characters>81396</Characters>
  <Application>Microsoft Office Word</Application>
  <DocSecurity>0</DocSecurity>
  <Lines>1379</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ALSHEHRI</dc:creator>
  <cp:keywords/>
  <dc:description/>
  <cp:lastModifiedBy>A K</cp:lastModifiedBy>
  <cp:revision>3</cp:revision>
  <cp:lastPrinted>2026-03-01T01:42:00Z</cp:lastPrinted>
  <dcterms:created xsi:type="dcterms:W3CDTF">2026-03-01T01:44:00Z</dcterms:created>
  <dcterms:modified xsi:type="dcterms:W3CDTF">2026-03-30T22:12:00Z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015d7e5b-1f29-45eb-b564-908587943af3</vt:lpwstr>
  </property>
</Properties>
</file>