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C3F6" w14:textId="77777777" w:rsidR="004B0569" w:rsidRPr="006018CC" w:rsidRDefault="004B0569" w:rsidP="004B0569">
      <w:pPr>
        <w:rPr>
          <w:rtl/>
        </w:rPr>
      </w:pPr>
      <w:r w:rsidRPr="006018CC">
        <w:rPr>
          <w:noProof/>
          <w:rtl/>
        </w:rPr>
        <mc:AlternateContent>
          <mc:Choice Requires="wps">
            <w:drawing>
              <wp:anchor distT="0" distB="0" distL="114300" distR="114300" simplePos="0" relativeHeight="251659264" behindDoc="0" locked="0" layoutInCell="1" allowOverlap="1" wp14:anchorId="1A0FE367" wp14:editId="6E93ACD9">
                <wp:simplePos x="0" y="0"/>
                <wp:positionH relativeFrom="column">
                  <wp:posOffset>3716655</wp:posOffset>
                </wp:positionH>
                <wp:positionV relativeFrom="paragraph">
                  <wp:posOffset>-15875</wp:posOffset>
                </wp:positionV>
                <wp:extent cx="1877695" cy="1467485"/>
                <wp:effectExtent l="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695" cy="146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DEABFB" w14:textId="77777777" w:rsidR="007A1F68" w:rsidRPr="00981E82" w:rsidRDefault="007A1F68" w:rsidP="004B0569">
                            <w:pPr>
                              <w:rPr>
                                <w:b/>
                                <w:bCs/>
                                <w:rtl/>
                              </w:rPr>
                            </w:pPr>
                            <w:r w:rsidRPr="00981E82">
                              <w:rPr>
                                <w:b/>
                                <w:bCs/>
                                <w:rtl/>
                              </w:rPr>
                              <w:t xml:space="preserve">جامعة </w:t>
                            </w:r>
                            <w:proofErr w:type="spellStart"/>
                            <w:r w:rsidRPr="00981E82">
                              <w:rPr>
                                <w:b/>
                                <w:bCs/>
                                <w:rtl/>
                              </w:rPr>
                              <w:t>ميدأوشن</w:t>
                            </w:r>
                            <w:proofErr w:type="spellEnd"/>
                          </w:p>
                          <w:p w14:paraId="6F78ADD9" w14:textId="77777777" w:rsidR="007A1F68" w:rsidRPr="00981E82" w:rsidRDefault="007A1F68" w:rsidP="004B0569">
                            <w:pPr>
                              <w:rPr>
                                <w:b/>
                                <w:bCs/>
                                <w:rtl/>
                              </w:rPr>
                            </w:pPr>
                            <w:r w:rsidRPr="00981E82">
                              <w:rPr>
                                <w:b/>
                                <w:bCs/>
                                <w:rtl/>
                              </w:rPr>
                              <w:t>كلية الإدارة</w:t>
                            </w:r>
                          </w:p>
                          <w:p w14:paraId="03B24CCE" w14:textId="77777777" w:rsidR="007A1F68" w:rsidRPr="00981E82" w:rsidRDefault="007A1F68" w:rsidP="004B0569">
                            <w:pPr>
                              <w:rPr>
                                <w:b/>
                                <w:bCs/>
                              </w:rPr>
                            </w:pPr>
                            <w:r w:rsidRPr="00981E82">
                              <w:rPr>
                                <w:b/>
                                <w:bCs/>
                                <w:rtl/>
                              </w:rPr>
                              <w:t>ماجستير إدارة مشاريع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FE367" id="_x0000_t202" coordsize="21600,21600" o:spt="202" path="m,l,21600r21600,l21600,xe">
                <v:stroke joinstyle="miter"/>
                <v:path gradientshapeok="t" o:connecttype="rect"/>
              </v:shapetype>
              <v:shape id="Text Box 2" o:spid="_x0000_s1026" type="#_x0000_t202" style="position:absolute;left:0;text-align:left;margin-left:292.65pt;margin-top:-1.25pt;width:147.85pt;height:1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" stroked="f">
                <v:textbox>
                  <w:txbxContent>
                    <w:p w14:paraId="6EDEABFB" w14:textId="77777777" w:rsidR="007A1F68" w:rsidRPr="00981E82" w:rsidRDefault="007A1F68" w:rsidP="004B0569">
                      <w:pPr>
                        <w:rPr>
                          <w:b/>
                          <w:bCs/>
                          <w:rtl/>
                        </w:rPr>
                      </w:pPr>
                      <w:r w:rsidRPr="00981E82">
                        <w:rPr>
                          <w:b/>
                          <w:bCs/>
                          <w:rtl/>
                        </w:rPr>
                        <w:t xml:space="preserve">جامعة </w:t>
                      </w:r>
                      <w:proofErr w:type="spellStart"/>
                      <w:r w:rsidRPr="00981E82">
                        <w:rPr>
                          <w:b/>
                          <w:bCs/>
                          <w:rtl/>
                        </w:rPr>
                        <w:t>ميدأوشن</w:t>
                      </w:r>
                      <w:proofErr w:type="spellEnd"/>
                    </w:p>
                    <w:p w14:paraId="6F78ADD9" w14:textId="77777777" w:rsidR="007A1F68" w:rsidRPr="00981E82" w:rsidRDefault="007A1F68" w:rsidP="004B0569">
                      <w:pPr>
                        <w:rPr>
                          <w:b/>
                          <w:bCs/>
                          <w:rtl/>
                        </w:rPr>
                      </w:pPr>
                      <w:r w:rsidRPr="00981E82">
                        <w:rPr>
                          <w:b/>
                          <w:bCs/>
                          <w:rtl/>
                        </w:rPr>
                        <w:t>كلية الإدارة</w:t>
                      </w:r>
                    </w:p>
                    <w:p w14:paraId="03B24CCE" w14:textId="77777777" w:rsidR="007A1F68" w:rsidRPr="00981E82" w:rsidRDefault="007A1F68" w:rsidP="004B0569">
                      <w:pPr>
                        <w:rPr>
                          <w:b/>
                          <w:bCs/>
                        </w:rPr>
                      </w:pPr>
                      <w:r w:rsidRPr="00981E82">
                        <w:rPr>
                          <w:b/>
                          <w:bCs/>
                          <w:rtl/>
                        </w:rPr>
                        <w:t>ماجستير إدارة مشاريع</w:t>
                      </w:r>
                    </w:p>
                  </w:txbxContent>
                </v:textbox>
              </v:shape>
            </w:pict>
          </mc:Fallback>
        </mc:AlternateContent>
      </w:r>
      <w:r w:rsidRPr="006018CC">
        <w:rPr>
          <w:noProof/>
        </w:rPr>
        <w:drawing>
          <wp:anchor distT="0" distB="0" distL="114300" distR="114300" simplePos="0" relativeHeight="251660288" behindDoc="1" locked="0" layoutInCell="1" allowOverlap="1" wp14:anchorId="325AF725" wp14:editId="66C81916">
            <wp:simplePos x="0" y="0"/>
            <wp:positionH relativeFrom="column">
              <wp:posOffset>210185</wp:posOffset>
            </wp:positionH>
            <wp:positionV relativeFrom="paragraph">
              <wp:posOffset>84455</wp:posOffset>
            </wp:positionV>
            <wp:extent cx="1686751" cy="882503"/>
            <wp:effectExtent l="0" t="0" r="0" b="0"/>
            <wp:wrapNone/>
            <wp:docPr id="213417354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173543" name="Picture 1" descr="A close-up of a logo&#10;&#10;Description automatically generated"/>
                    <pic:cNvPicPr>
                      <a:picLocks noChangeAspect="1" noChangeArrowheads="1"/>
                    </pic:cNvPicPr>
                  </pic:nvPicPr>
                  <pic:blipFill>
                    <a:blip r:embed="rId8">
                      <a:extLst>
                        <a:ext uri="{BEBA8EAE-BF5A-486C-A8C5-ECC9F3942E4B}">
                          <a14:imgProps xmlns:a14="http://schemas.microsoft.com/office/drawing/2010/main">
                            <a14:imgLayer r:embed="rId9">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686751" cy="8825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417508" w14:textId="77777777" w:rsidR="004B0569" w:rsidRPr="006018CC" w:rsidRDefault="004B0569" w:rsidP="004B0569">
      <w:pPr>
        <w:rPr>
          <w:rtl/>
        </w:rPr>
      </w:pPr>
    </w:p>
    <w:p w14:paraId="15338462" w14:textId="77777777" w:rsidR="004B0569" w:rsidRPr="006018CC" w:rsidRDefault="004B0569" w:rsidP="004B0569">
      <w:pPr>
        <w:rPr>
          <w:rtl/>
        </w:rPr>
      </w:pPr>
    </w:p>
    <w:p w14:paraId="746A5A39" w14:textId="77777777" w:rsidR="004B0569" w:rsidRPr="006018CC" w:rsidRDefault="004B0569" w:rsidP="004B0569">
      <w:pPr>
        <w:rPr>
          <w:rtl/>
        </w:rPr>
      </w:pPr>
    </w:p>
    <w:p w14:paraId="2F142682" w14:textId="77777777" w:rsidR="004B0569" w:rsidRPr="006018CC" w:rsidRDefault="004B0569" w:rsidP="004B0569">
      <w:pPr>
        <w:rPr>
          <w:rtl/>
        </w:rPr>
      </w:pPr>
    </w:p>
    <w:p w14:paraId="33160EFC" w14:textId="77777777" w:rsidR="004B0569" w:rsidRPr="006018CC" w:rsidRDefault="004B0569" w:rsidP="004B0569">
      <w:pPr>
        <w:rPr>
          <w:rtl/>
        </w:rPr>
      </w:pPr>
    </w:p>
    <w:p w14:paraId="7049B781" w14:textId="77777777" w:rsidR="004B0569" w:rsidRPr="006018CC" w:rsidRDefault="004B0569" w:rsidP="004B0569">
      <w:pPr>
        <w:jc w:val="center"/>
        <w:rPr>
          <w:b/>
          <w:bCs/>
          <w:sz w:val="32"/>
          <w:szCs w:val="32"/>
        </w:rPr>
      </w:pPr>
      <w:r w:rsidRPr="006018CC">
        <w:rPr>
          <w:b/>
          <w:bCs/>
          <w:sz w:val="32"/>
          <w:szCs w:val="32"/>
          <w:rtl/>
        </w:rPr>
        <w:t>أثر الذكاء الاصطناعي على الابتكار والتنافسية في المؤسسات الصغيرة والمتوسطة، دراسة ميدانية على عينة من المؤسسات في المملكة العربية السعودية</w:t>
      </w:r>
    </w:p>
    <w:p w14:paraId="60203CAA" w14:textId="39D4A758" w:rsidR="004B0569" w:rsidRDefault="004B0569" w:rsidP="004B0569">
      <w:pPr>
        <w:rPr>
          <w:rtl/>
          <w:lang w:val="en-GB"/>
        </w:rPr>
      </w:pPr>
    </w:p>
    <w:p w14:paraId="2E24A406" w14:textId="77777777" w:rsidR="002871BA" w:rsidRPr="006018CC" w:rsidRDefault="002871BA" w:rsidP="004B0569">
      <w:pPr>
        <w:rPr>
          <w:rtl/>
          <w:lang w:val="en-GB"/>
        </w:rPr>
      </w:pPr>
    </w:p>
    <w:p w14:paraId="4FC42F8E" w14:textId="77777777" w:rsidR="004B0569" w:rsidRPr="006018CC" w:rsidRDefault="004B0569" w:rsidP="004B0569">
      <w:pPr>
        <w:jc w:val="center"/>
        <w:rPr>
          <w:rtl/>
        </w:rPr>
      </w:pPr>
      <w:r w:rsidRPr="006018CC">
        <w:rPr>
          <w:rtl/>
        </w:rPr>
        <w:t>إعداد الطالب</w:t>
      </w:r>
    </w:p>
    <w:p w14:paraId="7D814825" w14:textId="77777777" w:rsidR="00227DD8" w:rsidRDefault="00227DD8" w:rsidP="00227DD8">
      <w:pPr>
        <w:jc w:val="center"/>
        <w:rPr>
          <w:rtl/>
        </w:rPr>
      </w:pPr>
      <w:r>
        <w:rPr>
          <w:rFonts w:hint="cs"/>
          <w:rtl/>
        </w:rPr>
        <w:t xml:space="preserve">م. معاذ حماد </w:t>
      </w:r>
      <w:proofErr w:type="spellStart"/>
      <w:r>
        <w:rPr>
          <w:rFonts w:hint="cs"/>
          <w:rtl/>
        </w:rPr>
        <w:t>المهيلب</w:t>
      </w:r>
      <w:proofErr w:type="spellEnd"/>
      <w:r>
        <w:rPr>
          <w:rFonts w:hint="cs"/>
          <w:rtl/>
        </w:rPr>
        <w:t xml:space="preserve"> </w:t>
      </w:r>
    </w:p>
    <w:p w14:paraId="63B99E10" w14:textId="77777777" w:rsidR="00227DD8" w:rsidRPr="006018CC" w:rsidRDefault="00227DD8" w:rsidP="00227DD8">
      <w:pPr>
        <w:jc w:val="center"/>
        <w:rPr>
          <w:rtl/>
        </w:rPr>
      </w:pPr>
      <w:r w:rsidRPr="00F904B3">
        <w:rPr>
          <w:rFonts w:hint="cs"/>
          <w:rtl/>
        </w:rPr>
        <w:t>(242000784)</w:t>
      </w:r>
    </w:p>
    <w:p w14:paraId="12E26BB8" w14:textId="77777777" w:rsidR="004B0569" w:rsidRPr="006018CC" w:rsidRDefault="004B0569" w:rsidP="004B0569">
      <w:pPr>
        <w:jc w:val="center"/>
      </w:pPr>
    </w:p>
    <w:p w14:paraId="134B1CC8" w14:textId="77777777" w:rsidR="004B0569" w:rsidRPr="006018CC" w:rsidRDefault="004B0569" w:rsidP="004B0569">
      <w:pPr>
        <w:jc w:val="center"/>
        <w:rPr>
          <w:rtl/>
        </w:rPr>
      </w:pPr>
      <w:r w:rsidRPr="006018CC">
        <w:rPr>
          <w:rtl/>
        </w:rPr>
        <w:t>إشراف</w:t>
      </w:r>
    </w:p>
    <w:p w14:paraId="439BDB34" w14:textId="44A7CB84" w:rsidR="004B0569" w:rsidRPr="006018CC" w:rsidRDefault="004B0569" w:rsidP="004B0569">
      <w:pPr>
        <w:jc w:val="center"/>
      </w:pPr>
      <w:r w:rsidRPr="006018CC">
        <w:rPr>
          <w:rFonts w:hint="cs"/>
          <w:rtl/>
        </w:rPr>
        <w:t>د</w:t>
      </w:r>
      <w:r w:rsidRPr="006018CC">
        <w:rPr>
          <w:rtl/>
        </w:rPr>
        <w:t>.</w:t>
      </w:r>
      <w:r w:rsidR="00F904B3">
        <w:rPr>
          <w:rFonts w:hint="cs"/>
          <w:rtl/>
        </w:rPr>
        <w:t xml:space="preserve"> الفيصل </w:t>
      </w:r>
      <w:proofErr w:type="gramStart"/>
      <w:r w:rsidR="00F904B3">
        <w:rPr>
          <w:rFonts w:hint="cs"/>
          <w:rtl/>
        </w:rPr>
        <w:t>عبدالحميد</w:t>
      </w:r>
      <w:proofErr w:type="gramEnd"/>
      <w:r w:rsidR="00F904B3">
        <w:rPr>
          <w:rFonts w:hint="cs"/>
          <w:rtl/>
        </w:rPr>
        <w:t xml:space="preserve"> محمد                                                   د. فايز علي جواد</w:t>
      </w:r>
    </w:p>
    <w:p w14:paraId="4D353CB8" w14:textId="77777777" w:rsidR="004B0569" w:rsidRPr="006018CC" w:rsidRDefault="004B0569" w:rsidP="004B0569">
      <w:pPr>
        <w:jc w:val="center"/>
        <w:rPr>
          <w:rtl/>
        </w:rPr>
      </w:pPr>
    </w:p>
    <w:p w14:paraId="0E674F17" w14:textId="77777777" w:rsidR="004B0569" w:rsidRPr="006018CC" w:rsidRDefault="004B0569" w:rsidP="004B0569">
      <w:pPr>
        <w:jc w:val="center"/>
      </w:pPr>
    </w:p>
    <w:p w14:paraId="2C51DC94" w14:textId="77777777" w:rsidR="004B0569" w:rsidRPr="006018CC" w:rsidRDefault="004B0569" w:rsidP="004B0569">
      <w:pPr>
        <w:jc w:val="center"/>
        <w:rPr>
          <w:rtl/>
        </w:rPr>
      </w:pPr>
      <w:r w:rsidRPr="006018CC">
        <w:rPr>
          <w:rtl/>
        </w:rPr>
        <w:t>العام الدراسي:</w:t>
      </w:r>
    </w:p>
    <w:p w14:paraId="5B87EE95" w14:textId="0B38A10B" w:rsidR="004B0569" w:rsidRPr="006018CC" w:rsidRDefault="004B0569" w:rsidP="004B0569">
      <w:pPr>
        <w:jc w:val="center"/>
        <w:rPr>
          <w:rtl/>
        </w:rPr>
      </w:pPr>
      <w:r w:rsidRPr="006018CC">
        <w:rPr>
          <w:rtl/>
        </w:rPr>
        <w:t>202</w:t>
      </w:r>
      <w:r w:rsidR="00F904B3">
        <w:rPr>
          <w:rFonts w:hint="cs"/>
          <w:rtl/>
        </w:rPr>
        <w:t>5</w:t>
      </w:r>
    </w:p>
    <w:p w14:paraId="08D8BBA6" w14:textId="77777777" w:rsidR="004B0569" w:rsidRPr="006018CC" w:rsidRDefault="004B0569" w:rsidP="004B0569">
      <w:pPr>
        <w:rPr>
          <w:rtl/>
        </w:rPr>
      </w:pPr>
    </w:p>
    <w:p w14:paraId="3C6DBD84" w14:textId="5B616570" w:rsidR="009F1D6B" w:rsidRDefault="009F1D6B" w:rsidP="004B0569">
      <w:pPr>
        <w:spacing w:line="259" w:lineRule="auto"/>
        <w:jc w:val="left"/>
        <w:rPr>
          <w:rtl/>
        </w:rPr>
        <w:sectPr w:rsidR="009F1D6B" w:rsidSect="009F1D6B">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7C7D9C4A" w14:textId="0724DD7B" w:rsidR="00F52834" w:rsidRPr="00D6096A" w:rsidRDefault="00F52834" w:rsidP="00D6096A">
      <w:pPr>
        <w:pStyle w:val="1"/>
        <w:rPr>
          <w:rtl/>
        </w:rPr>
      </w:pPr>
      <w:bookmarkStart w:id="0" w:name="_Toc189599532"/>
      <w:r w:rsidRPr="00D6096A">
        <w:rPr>
          <w:rFonts w:hint="cs"/>
          <w:rtl/>
        </w:rPr>
        <w:lastRenderedPageBreak/>
        <w:t>الفصل الأول: مقدمة الدراسة</w:t>
      </w:r>
      <w:bookmarkEnd w:id="0"/>
      <w:r w:rsidRPr="00D6096A">
        <w:rPr>
          <w:rFonts w:hint="cs"/>
          <w:rtl/>
        </w:rPr>
        <w:t xml:space="preserve"> </w:t>
      </w:r>
    </w:p>
    <w:p w14:paraId="79E1B9A4" w14:textId="77777777" w:rsidR="00F52834" w:rsidRPr="00D6096A" w:rsidRDefault="00F52834" w:rsidP="00D6096A">
      <w:pPr>
        <w:pStyle w:val="2"/>
        <w:rPr>
          <w:rtl/>
        </w:rPr>
      </w:pPr>
      <w:bookmarkStart w:id="1" w:name="_Toc189599533"/>
      <w:r w:rsidRPr="00D6096A">
        <w:rPr>
          <w:rtl/>
        </w:rPr>
        <w:t>مقدمة</w:t>
      </w:r>
      <w:r w:rsidRPr="00D6096A">
        <w:rPr>
          <w:rFonts w:hint="cs"/>
          <w:rtl/>
        </w:rPr>
        <w:t>:</w:t>
      </w:r>
      <w:bookmarkEnd w:id="1"/>
      <w:r w:rsidRPr="00D6096A">
        <w:rPr>
          <w:rFonts w:hint="cs"/>
          <w:rtl/>
        </w:rPr>
        <w:t xml:space="preserve"> </w:t>
      </w:r>
    </w:p>
    <w:p w14:paraId="639BC508" w14:textId="77777777" w:rsidR="00F52834" w:rsidRPr="006018CC" w:rsidRDefault="00F52834" w:rsidP="00F52834">
      <w:pPr>
        <w:rPr>
          <w:rtl/>
        </w:rPr>
      </w:pPr>
      <w:r w:rsidRPr="006018CC">
        <w:rPr>
          <w:rtl/>
        </w:rPr>
        <w:t>الذكاء الاصطناعي هو أحد أهم التطورات التي لها تأثير عميق على العديد من المجالات في العصر التكنولوجي الحديث. أصبح الذكاء الاصطناعي أداة مهمة تستخدم في المنظمات لتحسين الكفاءة والفعالية. يمكنه تقديم حلول مبتكرة لمختلف المشاكل من خلال تطبيق تقنيات مثل الذكاء الاصطناعي والتعلم الآلي وتحليلات البيانات الضخمة. كما أنه يسهل أتمتة العمليات، مما يسمح للموارد البشرية بالتركيز على المهام الاستراتيجية والإبداعية. يعكس انتشار الذكاء الاصطناعي في الصناعات مثل الرعاية الصحية وريادة الأعمال والخدمات المالية وغيرها أهميته في تعزيز القدرة التنافسية للمنظمات وتلبية الاحتياجات المتغيرة للسوق.</w:t>
      </w:r>
    </w:p>
    <w:p w14:paraId="69E2B8DE" w14:textId="77777777" w:rsidR="00F52834" w:rsidRPr="006018CC" w:rsidRDefault="00F52834" w:rsidP="00F52834">
      <w:pPr>
        <w:rPr>
          <w:rtl/>
        </w:rPr>
      </w:pPr>
      <w:r w:rsidRPr="006018CC">
        <w:rPr>
          <w:rtl/>
        </w:rPr>
        <w:t>أما الابتكار فهو يعتبر محركًا رئيسيًا لنمو واستدامة المنظمات. يعتمد الابتكار على القدرة على تطوير منتجات وخدمات جديدة تلبي الاحتياجات المتزايدة والمتغيرة للعملاء. يتطلب تحقيق الابتكار بيئة عمل تشجع على التجريب والمخاطرة المحسوبة، حيث يمكن للموظفين استكشاف وتنفيذ الأفكار الجديدة دون خوف من الفشل. غالبًا ما تكتسب المنظمات التي تتبنى ثقافة الابتكار ميزة تنافسية لأنها تستطيع تحسين جودة منتجاتها وزيادة رضا العملاء من خلال تقديم حلول مبتكرة تلبي توقعات العملاء.</w:t>
      </w:r>
    </w:p>
    <w:p w14:paraId="39DB0B3E" w14:textId="77777777" w:rsidR="00F52834" w:rsidRPr="006018CC" w:rsidRDefault="00F52834" w:rsidP="00F52834">
      <w:pPr>
        <w:rPr>
          <w:rtl/>
        </w:rPr>
      </w:pPr>
      <w:r w:rsidRPr="006018CC">
        <w:rPr>
          <w:rtl/>
        </w:rPr>
        <w:t>في سياق التنافسية، تعد القدرة على التكيف مع تغيرات السوق والتفوق على المنافسين أمرًا حيويًا لنجاح أي منظمة. تتطلب التنافسية استراتيجيات فعالة تهدف إلى تقديم قيمة مضافة للعملاء وتحقيق الكفاءة التشغيلية. تتمتع المنظمات التي تستثمر في الابتكار وتطبق تقنيات الذكاء الاصطناعي بميزة تنافسية مميزة لأنها تستطيع الاستجابة بسرعة لاحتياجات العملاء والسوق المتغيرة. كما تتيح القدرة على استخدام البيانات والتحليلات المتقدمة لهذه المنظمات اتخاذ قرارات استراتيجية مستنيرة من شأنها تحسين وضعها في السوق.</w:t>
      </w:r>
    </w:p>
    <w:p w14:paraId="234B2743" w14:textId="6796FB51" w:rsidR="009F1D6B" w:rsidRDefault="00F52834" w:rsidP="00F52834">
      <w:pPr>
        <w:rPr>
          <w:rtl/>
        </w:rPr>
      </w:pPr>
      <w:r w:rsidRPr="006018CC">
        <w:rPr>
          <w:rtl/>
        </w:rPr>
        <w:t>تظهر الأبحاث أن هناك ارتباطًا قويًا بين الذكاء الاصطناعي والابتكار والقدرة التنافسية</w:t>
      </w:r>
      <w:r w:rsidRPr="006018CC">
        <w:rPr>
          <w:rFonts w:hint="cs"/>
          <w:rtl/>
        </w:rPr>
        <w:t xml:space="preserve"> (محمود وآخرون، 2024)</w:t>
      </w:r>
      <w:r w:rsidRPr="006018CC">
        <w:rPr>
          <w:rtl/>
        </w:rPr>
        <w:t>. وقد أظهرت الأبحاث أن استخدام الذكاء الاصطناعي يمكن أن يحسن أداء الابتكار في المنظمات ويزيد من قدرتها التنافسية من خلال توفير معلومات دقيقة تساعد في اتخاذ القرارات الاستراتيجية المناسبة</w:t>
      </w:r>
      <w:r w:rsidRPr="006018CC">
        <w:rPr>
          <w:rFonts w:hint="cs"/>
          <w:rtl/>
        </w:rPr>
        <w:t xml:space="preserve"> (شريف وآخرون، 2023)</w:t>
      </w:r>
      <w:r w:rsidRPr="006018CC">
        <w:rPr>
          <w:rtl/>
        </w:rPr>
        <w:t>. كما تسلط هذه الدراسات الضوء على أهمية الملكية الفكرية كعامل في دعم الابتكار وتحسين قدرة المنظمات على حماية أفكارها وابتكاراتها.</w:t>
      </w:r>
    </w:p>
    <w:p w14:paraId="26343E5D" w14:textId="77777777" w:rsidR="00F52834" w:rsidRPr="009F1D6B" w:rsidRDefault="00F52834" w:rsidP="009F1D6B">
      <w:pPr>
        <w:jc w:val="center"/>
        <w:rPr>
          <w:rtl/>
        </w:rPr>
      </w:pPr>
    </w:p>
    <w:p w14:paraId="152DF1BC" w14:textId="77777777" w:rsidR="00F52834" w:rsidRPr="006018CC" w:rsidRDefault="00F52834" w:rsidP="00F52834">
      <w:pPr>
        <w:rPr>
          <w:rtl/>
        </w:rPr>
      </w:pPr>
      <w:r w:rsidRPr="006018CC">
        <w:rPr>
          <w:rtl/>
        </w:rPr>
        <w:lastRenderedPageBreak/>
        <w:t>في المملكة العربية السعودية، تلعب الشركات الصغيرة والمتوسطة دورًا حيويًا في الاقتصاد الوطني حيث تمثل حصة كبيرة من إجمالي عدد الشركات وتساهم بشكل كبير في خلق فرص العمل وتعزيز النمو الاقتصادي. ومع تزايد الاعتماد على الذكاء الاصطناعي، تواجه هذه المؤسسات تحديات وفرصًا جديدة تتعلق بالابتكار والقدرة التنافسية. وتُظهر الأبحاث أن تطبيق تقنيات الذكاء الاصطناعي يمكن أن يساهم بشكل كبير في تحسين قدرات الابتكار لدى هذه المؤسسات وتعزيز قدرتها التنافسية في الأسواق المحلية والدولية. لذلك، فإن فهم تأثير الذكاء الاصطناعي على الابتكار والقدرة التنافسية للمؤسسات الصغيرة والمتوسطة أمر بالغ الأهمية لتحقيق التنمية المستدامة والنمو الاقتصادي في المملكة.</w:t>
      </w:r>
    </w:p>
    <w:p w14:paraId="1E9F7C36" w14:textId="77777777" w:rsidR="00F52834" w:rsidRPr="006018CC" w:rsidRDefault="00F52834" w:rsidP="00F52834">
      <w:pPr>
        <w:rPr>
          <w:rtl/>
        </w:rPr>
      </w:pPr>
      <w:r w:rsidRPr="006018CC">
        <w:rPr>
          <w:rFonts w:hint="cs"/>
          <w:rtl/>
        </w:rPr>
        <w:t>وبناء على ما سبق تهدف هذه الدراسة البحث في أثر</w:t>
      </w:r>
      <w:r w:rsidRPr="006018CC">
        <w:rPr>
          <w:rtl/>
        </w:rPr>
        <w:t xml:space="preserve"> الذكاء الاصطناعي على الابتكار والتنافسية في المؤسسات الصغيرة والمتوسطة</w:t>
      </w:r>
      <w:r w:rsidRPr="006018CC">
        <w:rPr>
          <w:rFonts w:hint="cs"/>
          <w:rtl/>
        </w:rPr>
        <w:t xml:space="preserve"> وذلك على </w:t>
      </w:r>
      <w:r w:rsidRPr="006018CC">
        <w:rPr>
          <w:rtl/>
        </w:rPr>
        <w:t>عينة من المؤسسات في المملكة العربية السعودية</w:t>
      </w:r>
      <w:r w:rsidRPr="006018CC">
        <w:rPr>
          <w:rFonts w:hint="cs"/>
          <w:rtl/>
        </w:rPr>
        <w:t>.</w:t>
      </w:r>
    </w:p>
    <w:p w14:paraId="676CDEF5" w14:textId="77777777" w:rsidR="00F52834" w:rsidRPr="006018CC" w:rsidRDefault="00F52834" w:rsidP="00D6096A">
      <w:pPr>
        <w:pStyle w:val="2"/>
        <w:rPr>
          <w:rtl/>
          <w:lang w:bidi="ar-SY"/>
        </w:rPr>
      </w:pPr>
      <w:bookmarkStart w:id="2" w:name="_Toc189599534"/>
      <w:r w:rsidRPr="006018CC">
        <w:rPr>
          <w:rtl/>
          <w:lang w:bidi="ar-SY"/>
        </w:rPr>
        <w:t>مشكلة الدراسة</w:t>
      </w:r>
      <w:bookmarkEnd w:id="2"/>
    </w:p>
    <w:p w14:paraId="56B257CF" w14:textId="77777777" w:rsidR="00F52834" w:rsidRPr="006018CC" w:rsidRDefault="00F52834" w:rsidP="00F52834">
      <w:pPr>
        <w:rPr>
          <w:rtl/>
        </w:rPr>
      </w:pPr>
      <w:r w:rsidRPr="006018CC">
        <w:rPr>
          <w:rtl/>
        </w:rPr>
        <w:t>تعتبر الشركات الصغيرة والمتوسطة ركيزة أساسية للاقتصاد السعودي وتساهم بشكل كبير في خلق فرص العمل والابتكار والنمو الاقتصادي. ومع ذلك، تواجه هذه الشركات العديد من التحديات في قدرتها على التكيف مع بيئة الأعمال المتغيرة بسرعة، وخاصة في ضوء التقدم التكنولوجي السريع</w:t>
      </w:r>
      <w:r w:rsidRPr="006018CC">
        <w:rPr>
          <w:rFonts w:hint="cs"/>
          <w:rtl/>
        </w:rPr>
        <w:t xml:space="preserve"> (شراك </w:t>
      </w:r>
      <w:proofErr w:type="spellStart"/>
      <w:r w:rsidRPr="006018CC">
        <w:rPr>
          <w:rFonts w:hint="cs"/>
          <w:rtl/>
        </w:rPr>
        <w:t>وفرطاس</w:t>
      </w:r>
      <w:proofErr w:type="spellEnd"/>
      <w:r w:rsidRPr="006018CC">
        <w:rPr>
          <w:rFonts w:hint="cs"/>
          <w:rtl/>
        </w:rPr>
        <w:t>، 2024)</w:t>
      </w:r>
      <w:r w:rsidRPr="006018CC">
        <w:rPr>
          <w:rtl/>
        </w:rPr>
        <w:t>. يعد الذكاء الاصطناعي أحد أهم التطورات لأنه لديه القدرة على تغيير طريقة عمل المنظمات بشكل جذري، لكنه لم يتم استخدامه بالكامل بعد في العديد من الشركات الصغيرة والمتوسطة.</w:t>
      </w:r>
    </w:p>
    <w:p w14:paraId="12DF953E" w14:textId="77777777" w:rsidR="00F52834" w:rsidRPr="006018CC" w:rsidRDefault="00F52834" w:rsidP="00F52834">
      <w:pPr>
        <w:rPr>
          <w:rtl/>
        </w:rPr>
      </w:pPr>
      <w:r w:rsidRPr="006018CC">
        <w:rPr>
          <w:rtl/>
        </w:rPr>
        <w:t>تتمثل إحدى مشكلات البحث في أن العلاقة بين استخدام الذكاء الاصطناعي والابتكار والقدرة التنافسية في الشركات الصغيرة والمتوسطة غير واضحة</w:t>
      </w:r>
      <w:r w:rsidRPr="006018CC">
        <w:rPr>
          <w:rFonts w:hint="cs"/>
          <w:rtl/>
        </w:rPr>
        <w:t xml:space="preserve"> (منال، 2023)</w:t>
      </w:r>
      <w:r w:rsidRPr="006018CC">
        <w:rPr>
          <w:rtl/>
        </w:rPr>
        <w:t>. وعلى الرغم من أن الأدبيات توضح الفوائد المحتملة للذكاء الاصطناعي في تعزيز الابتكار وتعزيز القدرة التنافسية، إلا أن هناك نقصًا في الأبحاث حول التطبيق الفعال لهذه التقنيات في سياق الشركات الصغيرة والمتوسطة في المملكة العربية السعودية.</w:t>
      </w:r>
    </w:p>
    <w:p w14:paraId="266D145C" w14:textId="77777777" w:rsidR="00F52834" w:rsidRPr="006018CC" w:rsidRDefault="00F52834" w:rsidP="00F52834">
      <w:pPr>
        <w:rPr>
          <w:rtl/>
        </w:rPr>
      </w:pPr>
      <w:r w:rsidRPr="006018CC">
        <w:rPr>
          <w:rtl/>
        </w:rPr>
        <w:t>علاوة على ذلك، تفتقر العديد من هذه الشركات إلى المعرفة والموارد اللازمة لتنفيذ تقنيات الذكاء الاصطناعي، مما يؤدي إلى انخفاض قدرتها على الابتكار والمنافسة. لذلك، من الضروري إجراء دراسة ميدانية تسلط الضوء على تأثير الذكاء الاصطناعي على الابتكار والقدرة التنافسية لهذه الشركات وتحديد العوامل التي قد تعيق أو تعزز هذا التأثير.</w:t>
      </w:r>
    </w:p>
    <w:p w14:paraId="41B2E709" w14:textId="77777777" w:rsidR="00F52834" w:rsidRPr="006018CC" w:rsidRDefault="00F52834" w:rsidP="00F52834">
      <w:pPr>
        <w:rPr>
          <w:rtl/>
        </w:rPr>
      </w:pPr>
      <w:r w:rsidRPr="006018CC">
        <w:rPr>
          <w:rtl/>
        </w:rPr>
        <w:t>هل يمكن للذكاء الاصطناعي أن يساهم بشكل فعال في تعزيز الابتكار والقدرة التنافسية للمؤسسات الصغيرة والمتوسطة في المملكة العربية السعودية؟</w:t>
      </w:r>
    </w:p>
    <w:p w14:paraId="07562767" w14:textId="77777777" w:rsidR="00F52834" w:rsidRPr="006018CC" w:rsidRDefault="00F52834" w:rsidP="00D6096A">
      <w:pPr>
        <w:pStyle w:val="2"/>
        <w:rPr>
          <w:rtl/>
        </w:rPr>
      </w:pPr>
      <w:bookmarkStart w:id="3" w:name="_Toc189599535"/>
      <w:r w:rsidRPr="006018CC">
        <w:rPr>
          <w:rFonts w:hint="cs"/>
          <w:rtl/>
        </w:rPr>
        <w:lastRenderedPageBreak/>
        <w:t>تساؤلات الدراسة</w:t>
      </w:r>
      <w:bookmarkEnd w:id="3"/>
    </w:p>
    <w:p w14:paraId="0F3259D0" w14:textId="77777777" w:rsidR="00F52834" w:rsidRPr="006018CC" w:rsidRDefault="00F52834" w:rsidP="00F52834">
      <w:pPr>
        <w:rPr>
          <w:rtl/>
        </w:rPr>
      </w:pPr>
      <w:r w:rsidRPr="006018CC">
        <w:rPr>
          <w:rFonts w:hint="cs"/>
          <w:rtl/>
        </w:rPr>
        <w:t xml:space="preserve">السؤال الرئيس للدراسة: </w:t>
      </w:r>
      <w:r w:rsidRPr="006018CC">
        <w:rPr>
          <w:rtl/>
        </w:rPr>
        <w:t>ما هو مدى انتشار استخدام تقنيات الذكاء الاصطناعي في المؤسسات الصغيرة والمتوسطة بالمملكة؟</w:t>
      </w:r>
    </w:p>
    <w:p w14:paraId="19AC274E" w14:textId="77777777" w:rsidR="00F52834" w:rsidRPr="006018CC" w:rsidRDefault="00F52834" w:rsidP="00F52834">
      <w:pPr>
        <w:rPr>
          <w:rtl/>
        </w:rPr>
      </w:pPr>
      <w:r w:rsidRPr="006018CC">
        <w:rPr>
          <w:rFonts w:hint="cs"/>
          <w:rtl/>
        </w:rPr>
        <w:t>يتفرع عنه:</w:t>
      </w:r>
    </w:p>
    <w:p w14:paraId="7C6C8B49" w14:textId="77777777" w:rsidR="00F52834" w:rsidRPr="006018CC" w:rsidRDefault="00F52834" w:rsidP="00F52834">
      <w:pPr>
        <w:numPr>
          <w:ilvl w:val="0"/>
          <w:numId w:val="1"/>
        </w:numPr>
        <w:rPr>
          <w:rtl/>
        </w:rPr>
      </w:pPr>
      <w:r w:rsidRPr="006018CC">
        <w:rPr>
          <w:rtl/>
        </w:rPr>
        <w:t>ما هي التحديات التي تواجه هذه المؤسسات في تبني وتطبيق تقنيات الذكاء الاصطناعي؟</w:t>
      </w:r>
    </w:p>
    <w:p w14:paraId="6B28794F" w14:textId="77777777" w:rsidR="00F52834" w:rsidRPr="006018CC" w:rsidRDefault="00F52834" w:rsidP="00F52834">
      <w:pPr>
        <w:numPr>
          <w:ilvl w:val="0"/>
          <w:numId w:val="1"/>
        </w:numPr>
        <w:rPr>
          <w:rtl/>
        </w:rPr>
      </w:pPr>
      <w:r w:rsidRPr="006018CC">
        <w:rPr>
          <w:rtl/>
        </w:rPr>
        <w:t>هل هناك علاقة بين استخدام الذكاء الاصطناعي وزيادة الابتكار في المؤسسات الصغيرة والمتوسطة؟</w:t>
      </w:r>
    </w:p>
    <w:p w14:paraId="0AC2CD67" w14:textId="4F3FEC70" w:rsidR="00F52834" w:rsidRDefault="00F52834" w:rsidP="00F52834">
      <w:pPr>
        <w:numPr>
          <w:ilvl w:val="0"/>
          <w:numId w:val="1"/>
        </w:numPr>
      </w:pPr>
      <w:r w:rsidRPr="006018CC">
        <w:rPr>
          <w:rtl/>
        </w:rPr>
        <w:t>كيف يساهم الذكاء الاصطناعي في تعزيز القدرة التنافسية لهذه المؤسسات في السوق؟</w:t>
      </w:r>
    </w:p>
    <w:p w14:paraId="625E7394" w14:textId="77777777" w:rsidR="00573121" w:rsidRPr="006018CC" w:rsidRDefault="00573121" w:rsidP="00573121">
      <w:pPr>
        <w:ind w:left="1004" w:firstLine="0"/>
        <w:rPr>
          <w:rtl/>
        </w:rPr>
      </w:pPr>
    </w:p>
    <w:p w14:paraId="6E4EAC13" w14:textId="77777777" w:rsidR="00F52834" w:rsidRPr="006018CC" w:rsidRDefault="00F52834" w:rsidP="00D6096A">
      <w:pPr>
        <w:pStyle w:val="2"/>
        <w:rPr>
          <w:rtl/>
        </w:rPr>
      </w:pPr>
      <w:bookmarkStart w:id="4" w:name="_Toc189599536"/>
      <w:r w:rsidRPr="006018CC">
        <w:rPr>
          <w:rtl/>
        </w:rPr>
        <w:t>أهداف ال</w:t>
      </w:r>
      <w:r w:rsidRPr="006018CC">
        <w:rPr>
          <w:rFonts w:hint="cs"/>
          <w:rtl/>
        </w:rPr>
        <w:t>دراسة</w:t>
      </w:r>
      <w:bookmarkEnd w:id="4"/>
    </w:p>
    <w:p w14:paraId="5B2C55ED" w14:textId="77777777" w:rsidR="00F52834" w:rsidRPr="006018CC" w:rsidRDefault="00F52834" w:rsidP="00F52834">
      <w:pPr>
        <w:rPr>
          <w:rtl/>
        </w:rPr>
      </w:pPr>
      <w:r w:rsidRPr="006018CC">
        <w:rPr>
          <w:rFonts w:hint="cs"/>
          <w:rtl/>
        </w:rPr>
        <w:t>هدف الدراسة الرئيسي:</w:t>
      </w:r>
    </w:p>
    <w:p w14:paraId="4EE95D35" w14:textId="77777777" w:rsidR="00F52834" w:rsidRPr="006018CC" w:rsidRDefault="00F52834" w:rsidP="00F52834">
      <w:pPr>
        <w:rPr>
          <w:rtl/>
        </w:rPr>
      </w:pPr>
      <w:r w:rsidRPr="006018CC">
        <w:rPr>
          <w:rFonts w:hint="cs"/>
          <w:rtl/>
        </w:rPr>
        <w:t xml:space="preserve">التعرف على </w:t>
      </w:r>
      <w:r w:rsidRPr="006018CC">
        <w:rPr>
          <w:rtl/>
        </w:rPr>
        <w:t>تأثير تقنيات الذكاء الاصطناعي على مستوى الابتكار في الشركات الصغيرة والمتوسطة في المملكة العربية السعودية</w:t>
      </w:r>
      <w:r w:rsidRPr="006018CC">
        <w:rPr>
          <w:rFonts w:hint="cs"/>
          <w:rtl/>
        </w:rPr>
        <w:t>، ويتفرع من هذا الهدف الرئيسي عدد من الأهداف الفرعية التالية:</w:t>
      </w:r>
    </w:p>
    <w:p w14:paraId="69A99A9C" w14:textId="77777777" w:rsidR="00F52834" w:rsidRPr="006018CC" w:rsidRDefault="00F52834" w:rsidP="00F52834">
      <w:pPr>
        <w:numPr>
          <w:ilvl w:val="0"/>
          <w:numId w:val="3"/>
        </w:numPr>
        <w:rPr>
          <w:rtl/>
        </w:rPr>
      </w:pPr>
      <w:r w:rsidRPr="006018CC">
        <w:rPr>
          <w:rtl/>
        </w:rPr>
        <w:t>رفع الوعي بأهمية الذكاء الاصطناعي.</w:t>
      </w:r>
    </w:p>
    <w:p w14:paraId="2A9D4324" w14:textId="77777777" w:rsidR="00F52834" w:rsidRPr="006018CC" w:rsidRDefault="00F52834" w:rsidP="00F52834">
      <w:pPr>
        <w:numPr>
          <w:ilvl w:val="0"/>
          <w:numId w:val="3"/>
        </w:numPr>
        <w:rPr>
          <w:rtl/>
        </w:rPr>
      </w:pPr>
      <w:r w:rsidRPr="006018CC">
        <w:rPr>
          <w:rtl/>
        </w:rPr>
        <w:t>تقييم العلاقة بين الابتكار والتنافسية، ودراسة العلاقة بين الابتكار الذي يتم تحقيقه من خلال الذكاء الاصطناعي وتعزيز القدرة التنافسية للمؤسسات الصغيرة والمتوسطة.</w:t>
      </w:r>
    </w:p>
    <w:p w14:paraId="6E258834" w14:textId="77777777" w:rsidR="00F52834" w:rsidRPr="006018CC" w:rsidRDefault="00F52834" w:rsidP="00F52834">
      <w:pPr>
        <w:numPr>
          <w:ilvl w:val="0"/>
          <w:numId w:val="3"/>
        </w:numPr>
        <w:rPr>
          <w:rtl/>
        </w:rPr>
      </w:pPr>
      <w:r w:rsidRPr="006018CC">
        <w:rPr>
          <w:rtl/>
        </w:rPr>
        <w:t>تحديد العوامل المؤثرة التي تعيق أو تعزز استخدام الذكاء الاصطناعي في المؤسسات الصغيرة والمتوسطة، بما في ذلك المعرفة والموارد والثقافة التنظيمية.</w:t>
      </w:r>
    </w:p>
    <w:p w14:paraId="30E721B6" w14:textId="77777777" w:rsidR="00F52834" w:rsidRPr="006018CC" w:rsidRDefault="00F52834" w:rsidP="00F52834">
      <w:pPr>
        <w:numPr>
          <w:ilvl w:val="0"/>
          <w:numId w:val="3"/>
        </w:numPr>
        <w:rPr>
          <w:rtl/>
        </w:rPr>
      </w:pPr>
      <w:r w:rsidRPr="006018CC">
        <w:rPr>
          <w:rtl/>
        </w:rPr>
        <w:t>تقديم المشورة العملية للمؤسسات وصناع القرار حول كيفية تحسين استخدام الذكاء الاصطناعي لتحسين الابتكار والقدرة التنافسية.</w:t>
      </w:r>
    </w:p>
    <w:p w14:paraId="2E050F78" w14:textId="0A38592D" w:rsidR="00F52834" w:rsidRDefault="00F52834" w:rsidP="00F52834">
      <w:pPr>
        <w:numPr>
          <w:ilvl w:val="0"/>
          <w:numId w:val="3"/>
        </w:numPr>
      </w:pPr>
      <w:r w:rsidRPr="006018CC">
        <w:rPr>
          <w:rtl/>
        </w:rPr>
        <w:t>تسليط الضوء على التجارب الناجحة للمؤسسات الصغيرة والمتوسطة التي تطبق تقنيات الذكاء الاصطناعي، ودراسة كيفية تأثير هذه التطبيقات على أدائها.</w:t>
      </w:r>
    </w:p>
    <w:p w14:paraId="2EC1DCA1" w14:textId="3CE10698" w:rsidR="00573121" w:rsidRDefault="00573121" w:rsidP="00573121">
      <w:pPr>
        <w:rPr>
          <w:rtl/>
        </w:rPr>
      </w:pPr>
    </w:p>
    <w:p w14:paraId="1FC6D80D" w14:textId="77777777" w:rsidR="00573121" w:rsidRPr="006018CC" w:rsidRDefault="00573121" w:rsidP="00573121">
      <w:pPr>
        <w:rPr>
          <w:rtl/>
        </w:rPr>
      </w:pPr>
    </w:p>
    <w:p w14:paraId="1881B5EC" w14:textId="77777777" w:rsidR="00F52834" w:rsidRPr="006018CC" w:rsidRDefault="00F52834" w:rsidP="00D6096A">
      <w:pPr>
        <w:pStyle w:val="2"/>
        <w:rPr>
          <w:rtl/>
        </w:rPr>
      </w:pPr>
      <w:bookmarkStart w:id="5" w:name="_Toc189599537"/>
      <w:r w:rsidRPr="006018CC">
        <w:rPr>
          <w:rFonts w:hint="cs"/>
          <w:rtl/>
        </w:rPr>
        <w:lastRenderedPageBreak/>
        <w:t>فروض الدراسة:</w:t>
      </w:r>
      <w:bookmarkEnd w:id="5"/>
    </w:p>
    <w:p w14:paraId="432CCFE3" w14:textId="77777777" w:rsidR="00F52834" w:rsidRPr="006018CC" w:rsidRDefault="00F52834" w:rsidP="00F52834">
      <w:pPr>
        <w:numPr>
          <w:ilvl w:val="0"/>
          <w:numId w:val="2"/>
        </w:numPr>
      </w:pPr>
      <w:r w:rsidRPr="006018CC">
        <w:rPr>
          <w:rFonts w:hint="cs"/>
          <w:rtl/>
        </w:rPr>
        <w:t>لا يوجد أثر ذو دلالة إحصائية عند مستوى 0.05 للذكاء الاصطناعي على الابتكار في المؤسسات الصغيرة والمتوسطة.</w:t>
      </w:r>
    </w:p>
    <w:p w14:paraId="2930174D" w14:textId="0F090CD7" w:rsidR="00F52834" w:rsidRDefault="00F52834" w:rsidP="00F52834">
      <w:pPr>
        <w:numPr>
          <w:ilvl w:val="0"/>
          <w:numId w:val="2"/>
        </w:numPr>
      </w:pPr>
      <w:r w:rsidRPr="006018CC">
        <w:rPr>
          <w:rFonts w:hint="cs"/>
          <w:rtl/>
        </w:rPr>
        <w:t>لا يوجد أثر ذو دلالة إحصائية عند مستوى 0.05 للذكاء الاصطناعي على التنافسية في المؤسسات الصغيرة والمتوسطة.</w:t>
      </w:r>
    </w:p>
    <w:p w14:paraId="34FAA4AA" w14:textId="77777777" w:rsidR="00F52834" w:rsidRPr="006018CC" w:rsidRDefault="00F52834" w:rsidP="00D6096A">
      <w:pPr>
        <w:pStyle w:val="2"/>
        <w:rPr>
          <w:rtl/>
        </w:rPr>
      </w:pPr>
      <w:bookmarkStart w:id="6" w:name="_Toc189599538"/>
      <w:r w:rsidRPr="006018CC">
        <w:rPr>
          <w:rtl/>
        </w:rPr>
        <w:t>أهمية الدراسة</w:t>
      </w:r>
      <w:r w:rsidRPr="006018CC">
        <w:rPr>
          <w:rFonts w:hint="cs"/>
          <w:rtl/>
        </w:rPr>
        <w:t>:</w:t>
      </w:r>
      <w:bookmarkEnd w:id="6"/>
      <w:r w:rsidRPr="006018CC">
        <w:rPr>
          <w:rFonts w:hint="cs"/>
          <w:rtl/>
        </w:rPr>
        <w:t xml:space="preserve"> </w:t>
      </w:r>
    </w:p>
    <w:p w14:paraId="0E8BD05F" w14:textId="77777777" w:rsidR="00F52834" w:rsidRPr="006018CC" w:rsidRDefault="00F52834" w:rsidP="00F52834">
      <w:pPr>
        <w:ind w:firstLine="0"/>
        <w:rPr>
          <w:b/>
          <w:bCs/>
          <w:u w:val="single"/>
          <w:rtl/>
        </w:rPr>
      </w:pPr>
      <w:r w:rsidRPr="006018CC">
        <w:rPr>
          <w:b/>
          <w:bCs/>
          <w:u w:val="single"/>
          <w:rtl/>
        </w:rPr>
        <w:t>الأهمية العملية للدراسة</w:t>
      </w:r>
      <w:r w:rsidRPr="006018CC">
        <w:rPr>
          <w:rFonts w:hint="cs"/>
          <w:b/>
          <w:bCs/>
          <w:u w:val="single"/>
          <w:rtl/>
        </w:rPr>
        <w:t xml:space="preserve">: </w:t>
      </w:r>
    </w:p>
    <w:p w14:paraId="24C59259" w14:textId="77777777" w:rsidR="00F52834" w:rsidRPr="006018CC" w:rsidRDefault="00F52834" w:rsidP="00F52834">
      <w:pPr>
        <w:rPr>
          <w:rtl/>
        </w:rPr>
      </w:pPr>
      <w:r w:rsidRPr="006018CC">
        <w:rPr>
          <w:rtl/>
        </w:rPr>
        <w:t>1. تقديم حلول واقعية، تساعد الدراسة في إيجاد حلول عملية للمشاكل التي تواجهها المؤسسات الصغيرة والمتوسطة في المملكة العربية السعودية.</w:t>
      </w:r>
    </w:p>
    <w:p w14:paraId="4A8C1EE6" w14:textId="77777777" w:rsidR="00F52834" w:rsidRPr="006018CC" w:rsidRDefault="00F52834" w:rsidP="00F52834">
      <w:pPr>
        <w:rPr>
          <w:rtl/>
        </w:rPr>
      </w:pPr>
      <w:r w:rsidRPr="006018CC">
        <w:rPr>
          <w:rtl/>
        </w:rPr>
        <w:t>2. تبحث نتائج الدراسة في تأثير الذكاء الاصطناعي على الابتكار والقدرة التنافسية، مما يساعد المنظمات على تحسين عملياتها الإدارية والتشغيلية.</w:t>
      </w:r>
    </w:p>
    <w:p w14:paraId="7C8A2ABA" w14:textId="77777777" w:rsidR="00F52834" w:rsidRPr="006018CC" w:rsidRDefault="00F52834" w:rsidP="00F52834">
      <w:pPr>
        <w:rPr>
          <w:rtl/>
        </w:rPr>
      </w:pPr>
      <w:r w:rsidRPr="006018CC">
        <w:rPr>
          <w:rtl/>
        </w:rPr>
        <w:t>3. تهدف التوصيات العملية إلى تقديم توصيات تساعد في تحسين فعالية استخدام تقنيات الذكاء الاصطناعي التي تساهم في تحقيق أهداف التعلم والنمو والتوسع.</w:t>
      </w:r>
    </w:p>
    <w:p w14:paraId="5B962538" w14:textId="77777777" w:rsidR="00F52834" w:rsidRPr="006018CC" w:rsidRDefault="00F52834" w:rsidP="00F52834">
      <w:pPr>
        <w:rPr>
          <w:rtl/>
        </w:rPr>
      </w:pPr>
      <w:r w:rsidRPr="006018CC">
        <w:rPr>
          <w:rtl/>
        </w:rPr>
        <w:t>4. توفر الدراسة لصناع القرار معلومات قيمة لتمكين صناع القرار من وضع استراتيجيات تدعم الابتكار وتعزز القدرة التنافسية للمؤسسات.</w:t>
      </w:r>
    </w:p>
    <w:p w14:paraId="2A1EB4BB" w14:textId="77777777" w:rsidR="00F52834" w:rsidRPr="006018CC" w:rsidRDefault="00F52834" w:rsidP="00F52834">
      <w:pPr>
        <w:rPr>
          <w:rtl/>
        </w:rPr>
      </w:pPr>
      <w:r w:rsidRPr="006018CC">
        <w:rPr>
          <w:rtl/>
        </w:rPr>
        <w:t>5. تعزيز الاقتصاد الوطني، تساهم النتائج في زيادة النمو الاقتصادي الوطني من خلال تعزيز إنتاجية المؤسسات الصغيرة والمتوسطة.</w:t>
      </w:r>
    </w:p>
    <w:p w14:paraId="7708262C" w14:textId="77777777" w:rsidR="00F52834" w:rsidRPr="006018CC" w:rsidRDefault="00F52834" w:rsidP="00F52834">
      <w:pPr>
        <w:ind w:firstLine="0"/>
        <w:rPr>
          <w:b/>
          <w:bCs/>
          <w:u w:val="single"/>
          <w:rtl/>
        </w:rPr>
      </w:pPr>
      <w:r w:rsidRPr="006018CC">
        <w:rPr>
          <w:rFonts w:hint="cs"/>
          <w:b/>
          <w:bCs/>
          <w:u w:val="single"/>
          <w:rtl/>
        </w:rPr>
        <w:t xml:space="preserve">الأهمية العلمية للدراسة: </w:t>
      </w:r>
    </w:p>
    <w:p w14:paraId="0EAD67B0" w14:textId="77777777" w:rsidR="00F52834" w:rsidRPr="006018CC" w:rsidRDefault="00F52834" w:rsidP="00F52834">
      <w:pPr>
        <w:rPr>
          <w:rtl/>
        </w:rPr>
      </w:pPr>
      <w:r w:rsidRPr="006018CC">
        <w:rPr>
          <w:rtl/>
        </w:rPr>
        <w:t>1. توسيع قاعدة المعرفة، تضيف الدراسة معلومات جديدة إلى الأدبيات العلمية حول العلاقة بين الذكاء الاصطناعي والابتكار والقدرة التنافسية.</w:t>
      </w:r>
    </w:p>
    <w:p w14:paraId="2D6F8E99" w14:textId="77777777" w:rsidR="00F52834" w:rsidRPr="006018CC" w:rsidRDefault="00F52834" w:rsidP="00F52834">
      <w:pPr>
        <w:rPr>
          <w:rtl/>
        </w:rPr>
      </w:pPr>
      <w:r w:rsidRPr="006018CC">
        <w:rPr>
          <w:rtl/>
        </w:rPr>
        <w:t>2. تطوير نظريات جديدة، مما يساعد على تطوير نظريات جديدة حول تأثير التكنولوجيا الحديثة على أداء الشركات الصغيرة والمتوسطة.</w:t>
      </w:r>
    </w:p>
    <w:p w14:paraId="2BBE5E3F" w14:textId="77777777" w:rsidR="00F52834" w:rsidRPr="006018CC" w:rsidRDefault="00F52834" w:rsidP="00F52834">
      <w:pPr>
        <w:rPr>
          <w:rtl/>
        </w:rPr>
      </w:pPr>
      <w:r w:rsidRPr="006018CC">
        <w:rPr>
          <w:rtl/>
        </w:rPr>
        <w:t>3. فتح آفاق جديدة للبحث، تفتح الدراسة آفاقًا جديدة للأبحاث المستقبلية وتزيد من أهمية البحث العلمي في هذا المجال.</w:t>
      </w:r>
    </w:p>
    <w:p w14:paraId="4132687C" w14:textId="77777777" w:rsidR="00F52834" w:rsidRPr="006018CC" w:rsidRDefault="00F52834" w:rsidP="00F52834">
      <w:pPr>
        <w:rPr>
          <w:rtl/>
        </w:rPr>
      </w:pPr>
      <w:r w:rsidRPr="006018CC">
        <w:rPr>
          <w:rtl/>
        </w:rPr>
        <w:lastRenderedPageBreak/>
        <w:t>4. سد الفجوات المعرفية يساعد على سد الفجوات المعرفية الموجودة حاليًا في الأدبيات العربية حول استخدام الذكاء الاصطناعي في الشركات الصغيرة والمتوسطة.</w:t>
      </w:r>
    </w:p>
    <w:p w14:paraId="45DF2F78" w14:textId="77777777" w:rsidR="00F52834" w:rsidRPr="006018CC" w:rsidRDefault="00F52834" w:rsidP="00F52834">
      <w:pPr>
        <w:rPr>
          <w:rtl/>
        </w:rPr>
      </w:pPr>
      <w:r w:rsidRPr="006018CC">
        <w:rPr>
          <w:rtl/>
        </w:rPr>
        <w:t>5. كمرجع مهم للباحثين، تصبح الدراسة مرجعًا مهمًا للباحثين والمهتمين بمجال الذكاء الاصطناعي والابتكار في الشركات الصغيرة والمتوسطة.</w:t>
      </w:r>
    </w:p>
    <w:p w14:paraId="1E2CE0F1" w14:textId="77777777" w:rsidR="00F52834" w:rsidRPr="006018CC" w:rsidRDefault="00F52834" w:rsidP="00D6096A">
      <w:pPr>
        <w:pStyle w:val="2"/>
        <w:rPr>
          <w:rtl/>
        </w:rPr>
      </w:pPr>
      <w:bookmarkStart w:id="7" w:name="_Toc189599539"/>
      <w:r w:rsidRPr="006018CC">
        <w:rPr>
          <w:rFonts w:hint="cs"/>
          <w:rtl/>
        </w:rPr>
        <w:t>مفاهيم الدراسة:</w:t>
      </w:r>
      <w:bookmarkEnd w:id="7"/>
    </w:p>
    <w:p w14:paraId="3ABE48EE" w14:textId="77777777" w:rsidR="00F52834" w:rsidRPr="006018CC" w:rsidRDefault="00F52834" w:rsidP="00F52834">
      <w:pPr>
        <w:rPr>
          <w:u w:val="single"/>
          <w:rtl/>
        </w:rPr>
      </w:pPr>
      <w:r w:rsidRPr="006018CC">
        <w:rPr>
          <w:u w:val="single"/>
          <w:rtl/>
        </w:rPr>
        <w:t>الذكاء الاصطناعي</w:t>
      </w:r>
      <w:r w:rsidRPr="006018CC">
        <w:rPr>
          <w:rFonts w:hint="cs"/>
          <w:u w:val="single"/>
          <w:rtl/>
        </w:rPr>
        <w:t>:</w:t>
      </w:r>
    </w:p>
    <w:p w14:paraId="3100A1F6" w14:textId="77777777" w:rsidR="00F52834" w:rsidRPr="006018CC" w:rsidRDefault="00F52834" w:rsidP="00F52834">
      <w:pPr>
        <w:rPr>
          <w:rtl/>
        </w:rPr>
      </w:pPr>
      <w:r w:rsidRPr="006018CC">
        <w:rPr>
          <w:rFonts w:hint="cs"/>
          <w:rtl/>
        </w:rPr>
        <w:t xml:space="preserve">التعريف الاصطلاحي: </w:t>
      </w:r>
    </w:p>
    <w:p w14:paraId="0052297F" w14:textId="77777777" w:rsidR="00F52834" w:rsidRPr="006018CC" w:rsidRDefault="00F52834" w:rsidP="00573121">
      <w:pPr>
        <w:rPr>
          <w:rtl/>
        </w:rPr>
      </w:pPr>
      <w:r w:rsidRPr="006018CC">
        <w:rPr>
          <w:rtl/>
        </w:rPr>
        <w:t xml:space="preserve">تعريف الذكاء الاصطناعي ليس بالأمر السهل نظرًا لعدم وجود تعريف متفق عليه عالميًا، حيث تتنوع التعريفات المستخدمة مما يسبب بعض الغموض. في أبسط أشكاله، يُعرف الذكاء الاصطناعي على أنه استخدام الخوارزميات، ولكن هذا التعريف لا يميز الذكاء الاصطناعي عن العمليات التقليدية مثل الحسابات البسيطة. </w:t>
      </w:r>
    </w:p>
    <w:p w14:paraId="6B0E996B" w14:textId="77777777" w:rsidR="00F52834" w:rsidRPr="006018CC" w:rsidRDefault="00F52834" w:rsidP="00573121">
      <w:r w:rsidRPr="006018CC">
        <w:rPr>
          <w:rFonts w:hint="cs"/>
          <w:rtl/>
        </w:rPr>
        <w:t xml:space="preserve">كما يعرف </w:t>
      </w:r>
      <w:r w:rsidRPr="006018CC">
        <w:rPr>
          <w:rtl/>
        </w:rPr>
        <w:t xml:space="preserve">الذكاء الاصطناعي </w:t>
      </w:r>
      <w:r w:rsidRPr="006018CC">
        <w:rPr>
          <w:rFonts w:hint="cs"/>
          <w:rtl/>
        </w:rPr>
        <w:t>بأنه</w:t>
      </w:r>
      <w:r w:rsidRPr="006018CC">
        <w:rPr>
          <w:rtl/>
        </w:rPr>
        <w:t xml:space="preserve"> أحد فروع علوم الحاسوب الذي يهدف إلى تطوير أنظمة وآلات قادرة على التفكير ومحاكاة القدرات الذهنية البشرية، بما في ذلك التعلم، والاستنتاج، والتفاعل مع مواقف جديدة لم يتم برمجتها مسبقًا</w:t>
      </w:r>
      <w:r w:rsidRPr="006018CC">
        <w:rPr>
          <w:rFonts w:hint="cs"/>
          <w:rtl/>
        </w:rPr>
        <w:t xml:space="preserve"> كما</w:t>
      </w:r>
      <w:r w:rsidRPr="006018CC">
        <w:rPr>
          <w:rtl/>
        </w:rPr>
        <w:t xml:space="preserve"> يتميز الذكاء الاصطناعي بقدرته على تحسين أدائه استنادًا إلى البيانات التي يجمعها، مما يجعله مختلفًا عن نظام الأتمتة الذي يعتمد على قواعد برمجية ثابتة وسلاسل منطقية محددة مسبقً</w:t>
      </w:r>
      <w:r w:rsidRPr="006018CC">
        <w:rPr>
          <w:rFonts w:hint="cs"/>
          <w:rtl/>
        </w:rPr>
        <w:t>ا،</w:t>
      </w:r>
      <w:r w:rsidRPr="006018CC">
        <w:rPr>
          <w:rtl/>
        </w:rPr>
        <w:t xml:space="preserve"> في حين أن الأتمتة تعمل بناءً على أوامر محددة، يتيح الذكاء الاصطناعي للآلات استنتاج القرارات ذاتيًا وفهم كيفية التصرف بناءً على المعطيات دون الاعتماد على ترميز صريح، مما يمنحها مرونة أكبر في الأداء</w:t>
      </w:r>
      <w:r w:rsidRPr="006018CC">
        <w:rPr>
          <w:rFonts w:hint="cs"/>
          <w:rtl/>
        </w:rPr>
        <w:t xml:space="preserve"> (محمد، 2021، ص 573). </w:t>
      </w:r>
    </w:p>
    <w:p w14:paraId="2A208520" w14:textId="77777777" w:rsidR="00F52834" w:rsidRPr="006018CC" w:rsidRDefault="00F52834" w:rsidP="00573121">
      <w:pPr>
        <w:rPr>
          <w:rtl/>
          <w:lang w:bidi="ar-EG"/>
        </w:rPr>
      </w:pPr>
      <w:r w:rsidRPr="006018CC">
        <w:rPr>
          <w:rtl/>
        </w:rPr>
        <w:t>من ناحية أخرى، يُعرّف الذكاء الاصطناعي بشكل أكثر تحديدًا على أنه محاكاة الحواسيب للذكاء البشري، لكن بعض المتخصصين يعتبرون هذا التعريف غير كافٍ لأن العديد من التطبيقات الحالية لا تزال بسيطة. تعريف آخر يصف الذكاء الاصطناعي بأنه تقنية تمكّن الآلات من تقليد المهارات البشرية المعقدة، ولكنه يفتقر إلى التحديد الدقيق لتلك المهارات. تعريفات أخرى أكثر تفصيلًا تركز على قدرة الأنظمة على التعلم، والتفاعل، واتخاذ القرارات بشكل مستقل لتحقيق أهداف محددة. وقد أشار خبراء مثل نيلز جون نيلسون والمفوضية الأوروبية إلى أن الذكاء الاصطناعي يتمثل في الأنظمة التي تحلل بيئتها وتتخذ إجراءات ذاتية لتحقيق أهدافها بذكاء وفعالية</w:t>
      </w:r>
      <w:r w:rsidRPr="006018CC">
        <w:t>.</w:t>
      </w:r>
      <w:r w:rsidRPr="006018CC">
        <w:rPr>
          <w:rFonts w:hint="cs"/>
          <w:rtl/>
        </w:rPr>
        <w:t xml:space="preserve"> (</w:t>
      </w:r>
      <w:r w:rsidRPr="006018CC">
        <w:t>Sheikh</w:t>
      </w:r>
      <w:r w:rsidRPr="006018CC">
        <w:rPr>
          <w:lang w:bidi="ar-EG"/>
        </w:rPr>
        <w:t>. Et.al 2023</w:t>
      </w:r>
      <w:r w:rsidRPr="006018CC">
        <w:rPr>
          <w:rFonts w:hint="cs"/>
          <w:rtl/>
          <w:lang w:bidi="ar-EG"/>
        </w:rPr>
        <w:t>)</w:t>
      </w:r>
    </w:p>
    <w:p w14:paraId="66A966A0" w14:textId="77777777" w:rsidR="00573121" w:rsidRDefault="00573121" w:rsidP="00F52834">
      <w:pPr>
        <w:rPr>
          <w:rtl/>
        </w:rPr>
      </w:pPr>
    </w:p>
    <w:p w14:paraId="619E0F89" w14:textId="77777777" w:rsidR="00573121" w:rsidRDefault="00573121" w:rsidP="00F52834">
      <w:pPr>
        <w:rPr>
          <w:rtl/>
        </w:rPr>
      </w:pPr>
    </w:p>
    <w:p w14:paraId="12730245" w14:textId="1231CBC4" w:rsidR="00F52834" w:rsidRPr="006018CC" w:rsidRDefault="00F52834" w:rsidP="00573121">
      <w:pPr>
        <w:rPr>
          <w:rtl/>
        </w:rPr>
      </w:pPr>
      <w:r w:rsidRPr="006018CC">
        <w:rPr>
          <w:rFonts w:hint="cs"/>
          <w:rtl/>
        </w:rPr>
        <w:lastRenderedPageBreak/>
        <w:t xml:space="preserve">التعريف الإجرائي: </w:t>
      </w:r>
      <w:r w:rsidRPr="006018CC">
        <w:rPr>
          <w:rtl/>
        </w:rPr>
        <w:t>في سياق هذه الدراسة، يُعرف الذكاء الاصطناعي بأنه مجموعة من التقنيات والأنظمة الحاسوبية التي تعتمد على خوارزميات التعلم الآلي وتحليل البيانات لاتخاذ قرارات واستنتاجات تسهم في دعم الابتكار وتحسين التنافسية في المؤسسات الصغيرة والمتوسطة. ويتجلى الذكاء الاصطناعي في القدرة على أتمتة العمليات، وتحليل السوق، وتخصيص الموارد بكفاءة، وتطوير حلول مبتكرة للتحديات التشغيلية والاستراتيجية. سيتم قياس تأثير الذكاء الاصطناعي على الابتكار والتنافسية بناءً على مدى تطبيق هذه التقنيات في المؤسسات المشمولة بالدراسة داخل المملكة العربية السعودية، ومدى تأثيرها على تحسين الأداء وتطوير المنتجات والخدمات.</w:t>
      </w:r>
    </w:p>
    <w:p w14:paraId="612ABF98" w14:textId="77777777" w:rsidR="00F52834" w:rsidRPr="006018CC" w:rsidRDefault="00F52834" w:rsidP="00F52834">
      <w:pPr>
        <w:rPr>
          <w:u w:val="single"/>
          <w:rtl/>
        </w:rPr>
      </w:pPr>
      <w:r w:rsidRPr="006018CC">
        <w:rPr>
          <w:u w:val="single"/>
          <w:rtl/>
        </w:rPr>
        <w:t>الابتكار</w:t>
      </w:r>
      <w:r w:rsidRPr="006018CC">
        <w:rPr>
          <w:rFonts w:hint="cs"/>
          <w:u w:val="single"/>
          <w:rtl/>
        </w:rPr>
        <w:t>:</w:t>
      </w:r>
    </w:p>
    <w:p w14:paraId="2011303B" w14:textId="54FD8452" w:rsidR="00F52834" w:rsidRPr="006018CC" w:rsidRDefault="00F52834" w:rsidP="00573121">
      <w:pPr>
        <w:rPr>
          <w:rtl/>
        </w:rPr>
      </w:pPr>
      <w:r w:rsidRPr="006018CC">
        <w:rPr>
          <w:rFonts w:hint="cs"/>
          <w:rtl/>
        </w:rPr>
        <w:t xml:space="preserve">التعريف الاصطلاحي: </w:t>
      </w:r>
      <w:r w:rsidRPr="006018CC">
        <w:rPr>
          <w:rtl/>
        </w:rPr>
        <w:t xml:space="preserve">الابتكار هو عملية معقدة ومتعددة الأبعاد تجمع بين توليد فكرة جديدة وتنفيذها في منتج أو عملية أو خدمة تساهم في تحقيق نمو ديناميكي للاقتصاد الوطني وزيادة فرص التوظيف، إلى جانب تحقيق أرباح صافية للمؤسسات المبتكرة. كما يشمل الابتكار دمج المعرفة الجديدة في المنتجات والخدمات والعمليات، ويتسم بتأثيره الاقتصادي الناتج عن التغير التكنولوجي واستخدام التوليفات الجديدة للقوى الإنتاجية لحل المشكلات الاقتصادية، وفقاً لرؤية </w:t>
      </w:r>
      <w:proofErr w:type="spellStart"/>
      <w:r w:rsidRPr="006018CC">
        <w:rPr>
          <w:rtl/>
        </w:rPr>
        <w:t>شومبيتر</w:t>
      </w:r>
      <w:proofErr w:type="spellEnd"/>
      <w:r w:rsidRPr="006018CC">
        <w:rPr>
          <w:rtl/>
        </w:rPr>
        <w:t xml:space="preserve">. ويعرف الابتكار أيضاً كعملية تربط بين العلم والتكنولوجيا والاقتصاد والإدارة، تمتد من نشوء الفكرة إلى تحويلها إلى منتج تجاري يُستهلك أو يُتداول، حسب تعريف </w:t>
      </w:r>
      <w:proofErr w:type="spellStart"/>
      <w:r w:rsidRPr="006018CC">
        <w:rPr>
          <w:rtl/>
        </w:rPr>
        <w:t>تويس</w:t>
      </w:r>
      <w:proofErr w:type="spellEnd"/>
      <w:r w:rsidRPr="006018CC">
        <w:rPr>
          <w:rtl/>
        </w:rPr>
        <w:t>. ومع تعدد النماذج النظرية للابتكار، لا يوجد تعريف موحد له في الأدبيات العلمية، إلا أنه يُصنف وفقاً لخصائص تكنولوجية وسوقية وإدارية، مما يعكس تنوع معاييره ومؤشراته</w:t>
      </w:r>
      <w:r w:rsidRPr="006018CC">
        <w:t>.</w:t>
      </w:r>
      <w:r w:rsidRPr="006018CC">
        <w:rPr>
          <w:rFonts w:hint="cs"/>
          <w:rtl/>
        </w:rPr>
        <w:t xml:space="preserve"> (</w:t>
      </w:r>
      <w:hyperlink r:id="rId10" w:history="1">
        <w:r w:rsidRPr="006018CC">
          <w:t>Maziliauskas</w:t>
        </w:r>
      </w:hyperlink>
      <w:r w:rsidRPr="006018CC">
        <w:rPr>
          <w:rFonts w:hint="cs"/>
          <w:rtl/>
        </w:rPr>
        <w:t xml:space="preserve">. </w:t>
      </w:r>
      <w:hyperlink r:id="rId11" w:history="1">
        <w:proofErr w:type="spellStart"/>
        <w:r w:rsidRPr="006018CC">
          <w:t>Kogabayev</w:t>
        </w:r>
        <w:proofErr w:type="spellEnd"/>
      </w:hyperlink>
      <w:r w:rsidRPr="006018CC">
        <w:rPr>
          <w:rFonts w:hint="cs"/>
          <w:rtl/>
        </w:rPr>
        <w:t xml:space="preserve">. 2017. ص </w:t>
      </w:r>
      <w:proofErr w:type="spellStart"/>
      <w:r w:rsidRPr="006018CC">
        <w:rPr>
          <w:rFonts w:hint="cs"/>
          <w:rtl/>
        </w:rPr>
        <w:t>ص</w:t>
      </w:r>
      <w:proofErr w:type="spellEnd"/>
      <w:r w:rsidRPr="006018CC">
        <w:rPr>
          <w:rFonts w:hint="cs"/>
          <w:rtl/>
        </w:rPr>
        <w:t xml:space="preserve"> 59-60)</w:t>
      </w:r>
    </w:p>
    <w:p w14:paraId="4E73FCEF" w14:textId="5835F314" w:rsidR="00F52834" w:rsidRDefault="00F52834" w:rsidP="00F52834">
      <w:pPr>
        <w:rPr>
          <w:rtl/>
        </w:rPr>
      </w:pPr>
      <w:r w:rsidRPr="006018CC">
        <w:rPr>
          <w:rtl/>
        </w:rPr>
        <w:t>الابتكار هو عملية تشمل الإبداع الفردي وتنتج عنها أفكار أو منتجات جديدة ومميزة، وتعتمد على قدرات عقلية وتفاعلات اجتماعية وبيئية ملائمة. يمكن تعريفه كنهج للحياة يعبر عن تفرد الفرد وسعيه لتحقيق ذاته، أو كناتج ملموس يتسم بالجدة والأصالة، أو كعملية عقلية تشمل إدراك المشكلات، وصياغة الحلول، وإيصال الأفكار المبتكرة للآخرين. كما يتأثر الابتكار بالبيئة الاجتماعية والثقافية والظروف النفسية، مما يبرز أهمية توافر حرية التعبير والدعم المجتمعي لتعزيز الإبداع وتحقيق نتائج مبتكرة في مختلف المجالات</w:t>
      </w:r>
      <w:r w:rsidRPr="006018CC">
        <w:t>.</w:t>
      </w:r>
      <w:r w:rsidRPr="006018CC">
        <w:rPr>
          <w:rFonts w:hint="cs"/>
          <w:rtl/>
        </w:rPr>
        <w:t xml:space="preserve"> (مخن، الشايب، 2015، ص </w:t>
      </w:r>
      <w:proofErr w:type="spellStart"/>
      <w:r w:rsidRPr="006018CC">
        <w:rPr>
          <w:rFonts w:hint="cs"/>
          <w:rtl/>
        </w:rPr>
        <w:t>ص</w:t>
      </w:r>
      <w:proofErr w:type="spellEnd"/>
      <w:r w:rsidRPr="006018CC">
        <w:rPr>
          <w:rFonts w:hint="cs"/>
          <w:rtl/>
        </w:rPr>
        <w:t xml:space="preserve"> 51-52).</w:t>
      </w:r>
    </w:p>
    <w:p w14:paraId="338E9CF6" w14:textId="01BBBA15" w:rsidR="00F52834" w:rsidRPr="006018CC" w:rsidRDefault="00F52834" w:rsidP="00573121">
      <w:pPr>
        <w:rPr>
          <w:rtl/>
        </w:rPr>
      </w:pPr>
      <w:r w:rsidRPr="006018CC">
        <w:rPr>
          <w:rFonts w:hint="cs"/>
          <w:rtl/>
        </w:rPr>
        <w:t>التعريف الإجرائي:</w:t>
      </w:r>
      <w:r w:rsidR="00573121">
        <w:rPr>
          <w:rFonts w:hint="cs"/>
          <w:rtl/>
        </w:rPr>
        <w:t xml:space="preserve"> </w:t>
      </w:r>
      <w:r w:rsidRPr="006018CC">
        <w:rPr>
          <w:rFonts w:hint="cs"/>
          <w:rtl/>
        </w:rPr>
        <w:t xml:space="preserve">بأنه يتم </w:t>
      </w:r>
      <w:r w:rsidRPr="006018CC">
        <w:rPr>
          <w:rtl/>
        </w:rPr>
        <w:t xml:space="preserve">" استخدام </w:t>
      </w:r>
      <w:r w:rsidRPr="006018CC">
        <w:rPr>
          <w:rFonts w:hint="cs"/>
          <w:rtl/>
        </w:rPr>
        <w:t xml:space="preserve">تقنيات </w:t>
      </w:r>
      <w:r w:rsidRPr="006018CC">
        <w:rPr>
          <w:rtl/>
        </w:rPr>
        <w:t>الذكاء الاصطناعي لتطوير أفكار جديدة أو تحسين المنتجات والخدمات أو العمليات التشغيلية، بما يؤدي إلى تحقيق قيمة مضافة للمؤسسة وزيادة قدرتها على التكيف مع تغيرات السوق واحتياجات العملاء".</w:t>
      </w:r>
    </w:p>
    <w:p w14:paraId="0128490F" w14:textId="77777777" w:rsidR="00F52834" w:rsidRPr="006018CC" w:rsidRDefault="00F52834" w:rsidP="00F52834">
      <w:pPr>
        <w:rPr>
          <w:u w:val="single"/>
          <w:rtl/>
        </w:rPr>
      </w:pPr>
      <w:r w:rsidRPr="006018CC">
        <w:rPr>
          <w:u w:val="single"/>
          <w:rtl/>
        </w:rPr>
        <w:t>التنافسية</w:t>
      </w:r>
      <w:r w:rsidRPr="006018CC">
        <w:rPr>
          <w:rFonts w:hint="cs"/>
          <w:u w:val="single"/>
          <w:rtl/>
        </w:rPr>
        <w:t>:</w:t>
      </w:r>
    </w:p>
    <w:p w14:paraId="475536A6" w14:textId="00AC990F" w:rsidR="00F52834" w:rsidRPr="006018CC" w:rsidRDefault="00F52834" w:rsidP="00573121">
      <w:r w:rsidRPr="006018CC">
        <w:rPr>
          <w:rFonts w:hint="cs"/>
          <w:rtl/>
        </w:rPr>
        <w:lastRenderedPageBreak/>
        <w:t xml:space="preserve">التعريف الاصطلاحي: </w:t>
      </w:r>
      <w:r w:rsidRPr="006018CC">
        <w:rPr>
          <w:rtl/>
        </w:rPr>
        <w:t>التنافسية هي قدرة المنظمة على تحقيق التفوق على المنافسين من خلال تقديم منتجات وخدمات تلبي احتياجات العملاء بجودة عالية وأسعار مناسبة وفي الوقت المناسب، مما يضمن رضا العملاء وكسب ولائهم. تعتمد التنافسية على مجموعة من المقومات مثل الابتكار، الجودة، التكلفة، والتوقيت الفعّال، ويتم قياسها بمؤشرات تشمل الربحية، الإنتاجية، الحصة السوقية، وانخفاض التكاليف. كما تعكس التنافسية الجهود المتكاملة التي تبذلها المنظمة على المستويات الإدارية، التسويقية، الإنتاجية، والابتكارية، بهدف تعزيز قدرتها على الصمود في وجه المنافسة وتحقيق النمو والاستقرار في السوق</w:t>
      </w:r>
      <w:r w:rsidRPr="006018CC">
        <w:t>.</w:t>
      </w:r>
      <w:r w:rsidRPr="006018CC">
        <w:rPr>
          <w:rFonts w:hint="cs"/>
          <w:rtl/>
        </w:rPr>
        <w:t xml:space="preserve"> (إلياس، 2021، ص </w:t>
      </w:r>
      <w:proofErr w:type="spellStart"/>
      <w:r w:rsidRPr="006018CC">
        <w:rPr>
          <w:rFonts w:hint="cs"/>
          <w:rtl/>
        </w:rPr>
        <w:t>ص</w:t>
      </w:r>
      <w:proofErr w:type="spellEnd"/>
      <w:r w:rsidRPr="006018CC">
        <w:rPr>
          <w:rFonts w:hint="cs"/>
          <w:rtl/>
        </w:rPr>
        <w:t xml:space="preserve"> 232-233)</w:t>
      </w:r>
    </w:p>
    <w:p w14:paraId="2B1E485F" w14:textId="77777777" w:rsidR="00F52834" w:rsidRPr="006018CC" w:rsidRDefault="00F52834" w:rsidP="00F52834">
      <w:pPr>
        <w:rPr>
          <w:rtl/>
          <w:lang w:val="en-GB"/>
        </w:rPr>
      </w:pPr>
      <w:r w:rsidRPr="006018CC">
        <w:rPr>
          <w:rFonts w:hint="cs"/>
          <w:rtl/>
          <w:lang w:val="en-GB"/>
        </w:rPr>
        <w:t xml:space="preserve">كما تعرف التنافسية بأنها تمكن قدرة المؤسسة على منافسة المؤسسات الأخرى في نفس السوق بالنسبة لنفس السلع والخدمات، وذلك على تحقيق كفاءات مساوية أو تفوق كفاءات المنافسين وتتجسد القدرة التنافسية من خلال التحكم في التكاليف والجودة النوعية العالية للمنتج حيث تم تمثيل القدرة التنافسية بحجم المبيعات للشركات. (أبو الحاج، 2013، ص 11) </w:t>
      </w:r>
    </w:p>
    <w:p w14:paraId="63FEF894" w14:textId="3D2D1EE6" w:rsidR="00F52834" w:rsidRPr="006018CC" w:rsidRDefault="00F52834" w:rsidP="00573121">
      <w:pPr>
        <w:rPr>
          <w:lang w:val="en-GB"/>
        </w:rPr>
      </w:pPr>
      <w:r w:rsidRPr="006018CC">
        <w:rPr>
          <w:rFonts w:hint="cs"/>
          <w:rtl/>
        </w:rPr>
        <w:t xml:space="preserve">التعريف الإجرائي: </w:t>
      </w:r>
      <w:r w:rsidRPr="006018CC">
        <w:rPr>
          <w:rtl/>
          <w:lang w:val="en-GB"/>
        </w:rPr>
        <w:t>يتمثل في قدرة المؤسسات الصغيرة والمتوسطة على تحقيق التميز في السوق من خلال تقديم منتجات وخدمات ذات جودة عالية وتكلفة منخفضة وبأسعار تنافسية، بما يساهم في تعزيز رضا العملاء وكسب ولائهم. يتم قياس التنافسية استنادًا إلى مؤشرات واضحة تشمل الحصة السوقية، الربحية، الإنتاجية، ومستوى الابتكار في المنتجات والخدمات، مع التركيز على دور الذكاء الاصطناعي في تحسين الأداء والتفوق على المنافسين في السوق السعودي</w:t>
      </w:r>
      <w:r w:rsidRPr="006018CC">
        <w:rPr>
          <w:lang w:val="en-GB"/>
        </w:rPr>
        <w:t>.</w:t>
      </w:r>
    </w:p>
    <w:p w14:paraId="47932227" w14:textId="77777777" w:rsidR="00F52834" w:rsidRPr="00573121" w:rsidRDefault="00F52834" w:rsidP="00F52834">
      <w:pPr>
        <w:rPr>
          <w:u w:val="single"/>
          <w:rtl/>
        </w:rPr>
      </w:pPr>
      <w:r w:rsidRPr="00573121">
        <w:rPr>
          <w:u w:val="single"/>
          <w:rtl/>
        </w:rPr>
        <w:t>المؤسسات الصغيرة والمتوسطة</w:t>
      </w:r>
      <w:r w:rsidRPr="00573121">
        <w:rPr>
          <w:rFonts w:hint="cs"/>
          <w:u w:val="single"/>
          <w:rtl/>
        </w:rPr>
        <w:t>:</w:t>
      </w:r>
    </w:p>
    <w:p w14:paraId="72920A95" w14:textId="77777777" w:rsidR="00F52834" w:rsidRPr="006018CC" w:rsidRDefault="00F52834" w:rsidP="00F52834">
      <w:pPr>
        <w:rPr>
          <w:rtl/>
        </w:rPr>
      </w:pPr>
      <w:r w:rsidRPr="006018CC">
        <w:rPr>
          <w:rFonts w:hint="cs"/>
          <w:rtl/>
        </w:rPr>
        <w:t xml:space="preserve">التعريف الاصطلاحي: </w:t>
      </w:r>
    </w:p>
    <w:p w14:paraId="67ACDCDA" w14:textId="652CF1A8" w:rsidR="00F52834" w:rsidRPr="006018CC" w:rsidRDefault="00F52834" w:rsidP="00573121">
      <w:pPr>
        <w:rPr>
          <w:rtl/>
          <w:lang w:val="en-GB"/>
        </w:rPr>
      </w:pPr>
      <w:r w:rsidRPr="006018CC">
        <w:rPr>
          <w:rtl/>
          <w:lang w:val="en-GB"/>
        </w:rPr>
        <w:t>المؤسسات الصغيرة والمتوسطة هي كيانات اقتصادية تتميز بحجم محدود من حيث عدد الموظفين، حجم الإنتاج، أو الإيرادات السنوية. تتفاوت تعريفاتها حسب المعايير الاقتصادية المحلية والدولية، حيث تعتمد التصنيفات على عدد العاملين أو الإيرادات. تلعب هذه المؤسسات دورًا حيويًا في الاقتصاد من خلال خلق فرص عمل، تعزيز الابتكار، والمساهمة في التنمية الاقتصادية، مع تميزها عن المؤسسات الكبرى في مرونتها وقدرتها على التكيف السريع مع التغيرات السوقية</w:t>
      </w:r>
      <w:r w:rsidRPr="006018CC">
        <w:rPr>
          <w:lang w:val="en-GB"/>
        </w:rPr>
        <w:t>.</w:t>
      </w:r>
      <w:r w:rsidR="00573121">
        <w:rPr>
          <w:rFonts w:hint="cs"/>
          <w:rtl/>
          <w:lang w:val="en-GB"/>
        </w:rPr>
        <w:t xml:space="preserve"> (عزيز، 2011)</w:t>
      </w:r>
      <w:r w:rsidRPr="006018CC">
        <w:rPr>
          <w:rFonts w:hint="cs"/>
          <w:rtl/>
          <w:lang w:val="en-GB"/>
        </w:rPr>
        <w:t xml:space="preserve">. </w:t>
      </w:r>
    </w:p>
    <w:p w14:paraId="6DA19898" w14:textId="3497A305" w:rsidR="00F52834" w:rsidRPr="006018CC" w:rsidRDefault="00F52834" w:rsidP="00573121">
      <w:pPr>
        <w:rPr>
          <w:lang w:val="en-GB"/>
        </w:rPr>
      </w:pPr>
      <w:r w:rsidRPr="006018CC">
        <w:rPr>
          <w:rtl/>
          <w:lang w:val="en-GB"/>
        </w:rPr>
        <w:t xml:space="preserve">تعرف لجنة الأمم المتحدة للتنمية الصناعية في الدول النامية المؤسسة الصغيرة بأنها تلك التي يعمل فيها ما بين 15 </w:t>
      </w:r>
      <w:proofErr w:type="gramStart"/>
      <w:r w:rsidRPr="006018CC">
        <w:rPr>
          <w:rtl/>
          <w:lang w:val="en-GB"/>
        </w:rPr>
        <w:t>و 19</w:t>
      </w:r>
      <w:proofErr w:type="gramEnd"/>
      <w:r w:rsidRPr="006018CC">
        <w:rPr>
          <w:rtl/>
          <w:lang w:val="en-GB"/>
        </w:rPr>
        <w:t xml:space="preserve"> عاملًا، بينما تعرف المؤسسة المتوسطة بأنها التي تضم ما بين 20 </w:t>
      </w:r>
      <w:proofErr w:type="gramStart"/>
      <w:r w:rsidRPr="006018CC">
        <w:rPr>
          <w:rtl/>
          <w:lang w:val="en-GB"/>
        </w:rPr>
        <w:t>و 99</w:t>
      </w:r>
      <w:proofErr w:type="gramEnd"/>
      <w:r w:rsidRPr="006018CC">
        <w:rPr>
          <w:rtl/>
          <w:lang w:val="en-GB"/>
        </w:rPr>
        <w:t xml:space="preserve"> عاملًا، في حين أن المؤسسة الكبيرة هي التي يتجاوز عدد عمالها 100. أما البنك الدولي فيعتمد في تعريفه للمؤسسات الصغيرة والمتوسطة على ثلاثة معايير كمية: عدد العمال، إجمالي الأصول، وحجم المبيعات السنوي</w:t>
      </w:r>
      <w:r w:rsidRPr="006018CC">
        <w:rPr>
          <w:lang w:val="en-GB"/>
        </w:rPr>
        <w:t>.</w:t>
      </w:r>
      <w:r w:rsidRPr="006018CC">
        <w:rPr>
          <w:rFonts w:hint="cs"/>
          <w:rtl/>
          <w:lang w:val="en-GB"/>
        </w:rPr>
        <w:t xml:space="preserve"> (شاهيناز، مريم، شريفة، 2021</w:t>
      </w:r>
      <w:r w:rsidR="00573121">
        <w:rPr>
          <w:rFonts w:hint="cs"/>
          <w:rtl/>
          <w:lang w:val="en-GB"/>
        </w:rPr>
        <w:t>)</w:t>
      </w:r>
    </w:p>
    <w:p w14:paraId="6EA1EC79" w14:textId="548B5538" w:rsidR="00F52834" w:rsidRDefault="00F52834" w:rsidP="00573121">
      <w:pPr>
        <w:pStyle w:val="1"/>
        <w:rPr>
          <w:rtl/>
        </w:rPr>
      </w:pPr>
      <w:bookmarkStart w:id="8" w:name="_Toc189599540"/>
      <w:r w:rsidRPr="006018CC">
        <w:rPr>
          <w:rFonts w:hint="cs"/>
          <w:rtl/>
        </w:rPr>
        <w:lastRenderedPageBreak/>
        <w:t>الفصل الثاني: الدراسات السابقة والجانب النظري</w:t>
      </w:r>
      <w:bookmarkEnd w:id="8"/>
    </w:p>
    <w:p w14:paraId="00511B97" w14:textId="60385F8A" w:rsidR="00573121" w:rsidRDefault="00573121" w:rsidP="00573121">
      <w:pPr>
        <w:pStyle w:val="2"/>
        <w:rPr>
          <w:rtl/>
        </w:rPr>
      </w:pPr>
      <w:bookmarkStart w:id="9" w:name="_Toc189599541"/>
      <w:r>
        <w:rPr>
          <w:rFonts w:hint="cs"/>
          <w:rtl/>
        </w:rPr>
        <w:t>مقدمة</w:t>
      </w:r>
      <w:bookmarkEnd w:id="9"/>
    </w:p>
    <w:p w14:paraId="6DB61649" w14:textId="5E1FD89F" w:rsidR="00573121" w:rsidRPr="00573121" w:rsidRDefault="00573121" w:rsidP="00573121">
      <w:pPr>
        <w:rPr>
          <w:rtl/>
        </w:rPr>
      </w:pPr>
      <w:r>
        <w:rPr>
          <w:rFonts w:hint="cs"/>
          <w:rtl/>
        </w:rPr>
        <w:t>يعرض هذا الفصل الدراسات السابقة المتعلقة بمتغيرات الدراسة والتعليق عليها. كما يعرض الفصل الإطار النظري المناسب الذي اعتمدت عليه الدراسة الحالية.</w:t>
      </w:r>
    </w:p>
    <w:p w14:paraId="54F9CDE6" w14:textId="77777777" w:rsidR="00F52834" w:rsidRPr="006018CC" w:rsidRDefault="00F52834" w:rsidP="00D6096A">
      <w:pPr>
        <w:pStyle w:val="2"/>
        <w:rPr>
          <w:rtl/>
        </w:rPr>
      </w:pPr>
      <w:bookmarkStart w:id="10" w:name="_Toc189599542"/>
      <w:r w:rsidRPr="006018CC">
        <w:rPr>
          <w:rFonts w:hint="cs"/>
          <w:rtl/>
        </w:rPr>
        <w:t>الدراسات السابقة</w:t>
      </w:r>
      <w:bookmarkEnd w:id="10"/>
    </w:p>
    <w:p w14:paraId="0E5CD8C9" w14:textId="77777777" w:rsidR="00F52834" w:rsidRPr="006018CC" w:rsidRDefault="00F52834" w:rsidP="00F52834">
      <w:pPr>
        <w:ind w:firstLine="0"/>
        <w:rPr>
          <w:b/>
          <w:bCs/>
          <w:u w:val="single"/>
          <w:rtl/>
        </w:rPr>
      </w:pPr>
      <w:r w:rsidRPr="006018CC">
        <w:rPr>
          <w:rFonts w:hint="cs"/>
          <w:b/>
          <w:bCs/>
          <w:u w:val="single"/>
          <w:rtl/>
        </w:rPr>
        <w:t xml:space="preserve">دراسات حول الابتكار والتنافسية في المؤسسات والشركات </w:t>
      </w:r>
    </w:p>
    <w:p w14:paraId="1AF53D89" w14:textId="77777777" w:rsidR="00F52834" w:rsidRPr="006018CC" w:rsidRDefault="00F52834" w:rsidP="00F52834">
      <w:r w:rsidRPr="006018CC">
        <w:rPr>
          <w:rtl/>
          <w:lang w:bidi="ar-SY"/>
        </w:rPr>
        <w:t>قام الباحثون محمود عبد الجيد صقر وزملاؤه</w:t>
      </w:r>
      <w:r w:rsidRPr="006018CC">
        <w:rPr>
          <w:rFonts w:hint="cs"/>
          <w:rtl/>
          <w:lang w:bidi="ar-SY"/>
        </w:rPr>
        <w:t xml:space="preserve"> (2024)،</w:t>
      </w:r>
      <w:r w:rsidRPr="006018CC">
        <w:rPr>
          <w:rtl/>
          <w:lang w:bidi="ar-SY"/>
        </w:rPr>
        <w:t xml:space="preserve"> بإجراء دراسة بعنوان "دور الذكاء الاصطناعي في تحسين ابتكار الخدمة: دراسة تطبيقية" لتسليط الضوء على أهمية التقنيات الحديثة في القطاع المصرفي المصري.</w:t>
      </w:r>
      <w:r w:rsidRPr="006018CC">
        <w:rPr>
          <w:rFonts w:hint="cs"/>
          <w:rtl/>
          <w:lang w:bidi="ar-SY"/>
        </w:rPr>
        <w:t xml:space="preserve"> </w:t>
      </w:r>
      <w:r w:rsidRPr="006018CC">
        <w:rPr>
          <w:rtl/>
          <w:lang w:bidi="ar-SY"/>
        </w:rPr>
        <w:t>هدفت هذه الدراسة إلى استكشاف تأثير الذكاء الاصطناعي على تطوير وتحسين الابتكار في الخدمات المصرفية. سعت الدراسة إلى تحديد كيفية مساهمة الذكاء الاصطناعي في تعزيز الإبداع في الخدمات التي تقدمها المؤسسات المصرفية التجارية في مصر، خاصة في ظل التحول الرقمي والتطورات التكنولوجية المتسارعة. اعتمد الباحثون على المنهج الكمي، حيث استخدموا استبيانًا لجمع البيانات من عينة شملت 384 عميلًا مصرفيًا، وحققوا معدل استجابة مرتفع بلغ 84%.</w:t>
      </w:r>
      <w:r w:rsidRPr="006018CC">
        <w:rPr>
          <w:rFonts w:hint="cs"/>
          <w:rtl/>
          <w:lang w:bidi="ar-SY"/>
        </w:rPr>
        <w:t xml:space="preserve"> </w:t>
      </w:r>
      <w:r w:rsidRPr="006018CC">
        <w:rPr>
          <w:rtl/>
          <w:lang w:bidi="ar-SY"/>
        </w:rPr>
        <w:t>أظهرت نتائج الدراسة وجود علاقة إيجابية قوية بين مختلف جوانب الذكاء الاصطناعي وتطوير الخدمات المبتكرة في القطاع المصرفي. كما أكدت النتائج على الدور الحيوي للذكاء الاصطناعي في تعزيز قدرة البنوك على الابتكار وتحسين جودة خدماتها.</w:t>
      </w:r>
      <w:r w:rsidRPr="006018CC">
        <w:rPr>
          <w:rFonts w:hint="cs"/>
          <w:rtl/>
          <w:lang w:bidi="ar-SY"/>
        </w:rPr>
        <w:t xml:space="preserve"> </w:t>
      </w:r>
      <w:r w:rsidRPr="006018CC">
        <w:rPr>
          <w:rtl/>
          <w:lang w:bidi="ar-SY"/>
        </w:rPr>
        <w:t>بناءً على هذه النتائج، قدم الباحثون عدة توصيات، أبرزها ضرورة قيام الإدارة العليا في البنوك بمتابعة مستمرة لأحدث التطورات في مجال الذكاء الاصطناعي. كما اقترحوا وضع استراتيجيات شاملة لتطبيق هذه التقنيات في العمليات المصرفية، مع التركيز بشكل خاص على ضمان الامتثال القانوني وحماية البيانات.</w:t>
      </w:r>
      <w:r w:rsidRPr="006018CC">
        <w:rPr>
          <w:rFonts w:hint="cs"/>
          <w:rtl/>
          <w:lang w:bidi="ar-SY"/>
        </w:rPr>
        <w:t xml:space="preserve"> </w:t>
      </w:r>
      <w:r w:rsidRPr="006018CC">
        <w:rPr>
          <w:rtl/>
          <w:lang w:bidi="ar-SY"/>
        </w:rPr>
        <w:t>تؤكد هذه الدراسة على الأهمية المتزايدة للابتكار في القطاع المصرفي وكيف يمكن للذكاء الاصطناعي أن يلعب دورًا محوريًا في تحسين كفاءة العمليات وجودة الخدمات، مما يعزز القدرة التنافسية للبنوك المصرية في العصر الرقمي.</w:t>
      </w:r>
    </w:p>
    <w:p w14:paraId="4D46722E" w14:textId="77777777" w:rsidR="00F52834" w:rsidRPr="006018CC" w:rsidRDefault="00F52834" w:rsidP="00F52834">
      <w:pPr>
        <w:rPr>
          <w:rtl/>
          <w:lang w:bidi="ar-SY"/>
        </w:rPr>
      </w:pPr>
      <w:r w:rsidRPr="006018CC">
        <w:rPr>
          <w:rtl/>
          <w:lang w:bidi="ar-SY"/>
        </w:rPr>
        <w:t xml:space="preserve">قام الباحثان محمد سعد الدين بيان ومهند أحمد شباط </w:t>
      </w:r>
      <w:r w:rsidRPr="006018CC">
        <w:rPr>
          <w:rFonts w:hint="cs"/>
          <w:rtl/>
          <w:lang w:bidi="ar-SY"/>
        </w:rPr>
        <w:t xml:space="preserve">(2024) </w:t>
      </w:r>
      <w:r w:rsidRPr="006018CC">
        <w:rPr>
          <w:rtl/>
          <w:lang w:bidi="ar-SY"/>
        </w:rPr>
        <w:t xml:space="preserve">بإجراء دراسة بعنوان "دور الابتكار التكنولوجي والذكاء الصناعي في تحقيق استدامة التعليم: تحليل وتوجيهات للمستقبل" لتسليط الضوء على أهمية هذه التقنيات في تعزيز العملية التعليمية. هدفت هذه الدراسة إلى استكشاف تأثير الابتكار التكنولوجي والذكاء الاصطناعي على استدامة التعليم وتطويره. تسعى الدراسة إلى تحليل كيفية توظيف التقنيات الحديثة لرفع كفاءة التعليم وجعله أكثر شمولية، حيث أظهرت النتائج الرئيسية أن استخدام التكنولوجيا يعزز تجربة التعلم من خلال تخصيص المحتوى وفقًا لاحتياجات كل طالب، مما يزيد من </w:t>
      </w:r>
      <w:r w:rsidRPr="006018CC">
        <w:rPr>
          <w:rtl/>
          <w:lang w:bidi="ar-SY"/>
        </w:rPr>
        <w:lastRenderedPageBreak/>
        <w:t xml:space="preserve">تفاعلهم مع المواد التعليمية. كما تسهم هذه التقنيات في تحسين أنظمة التقييم عبر تحليل بيانات الطلاب، مما يساعد في تحديد نقاط القوة والضعف لديهم. </w:t>
      </w:r>
      <w:r w:rsidRPr="006018CC">
        <w:rPr>
          <w:rFonts w:hint="cs"/>
          <w:rtl/>
          <w:lang w:bidi="ar-SY"/>
        </w:rPr>
        <w:t xml:space="preserve"> </w:t>
      </w:r>
      <w:r w:rsidRPr="006018CC">
        <w:rPr>
          <w:rtl/>
          <w:lang w:bidi="ar-SY"/>
        </w:rPr>
        <w:t>علاوة على ذلك، توفر الابتكارات التكنولوجية فرص التعليم عن بُعد، مما يزيد من إمكانية الوصول للأفراد في المناطق النائية وذوي الاحتياجات الخاصة، وتلعب دورًا في تعزيز تعلم مهارات المستقبل مثل التفكير النقدي والمهارات الرقمية. تناولت الدراسة أيضًا التحديات التي تواجه التحول الرقمي في التعليم، بما في ذلك ضرورة تطوير البنية التحتية والبرامج التعليمية، وتعزيز التدريب للمعلمين. وفي الختام، تؤكد الدراسة على أن توجيه الابتكار التكنولوجي والذكاء الاصطناعي بشكل سليم يمكن أن يسهم بشكل كبير في تحسين جودة التعليم وزيادة الوصول إليه، مما يعزز استدامته ويعالج التحديات التي تواجه المؤسسات التعليمية.</w:t>
      </w:r>
    </w:p>
    <w:p w14:paraId="22973E82" w14:textId="77777777" w:rsidR="00F52834" w:rsidRPr="006018CC" w:rsidRDefault="00F52834" w:rsidP="00F52834">
      <w:pPr>
        <w:rPr>
          <w:rtl/>
          <w:lang w:bidi="ar-SY"/>
        </w:rPr>
      </w:pPr>
      <w:r w:rsidRPr="006018CC">
        <w:rPr>
          <w:rtl/>
          <w:lang w:bidi="ar-SY"/>
        </w:rPr>
        <w:t>يهدف البحث الذي أجراه شريف مصطفى وزملاؤه (2023) بعنوان "دور الذكاء الاصطناعي بإدارة علاقات العملاء في تحقيق الميزة التنافسية" إلى استكشاف الآثار الإيجابية للذكاء الاصطناعي على إدارة علاقات العملاء في قطاع توزيع الأدوية، وكيف يساهم ذلك في تمييز الشركات عن منافسيها</w:t>
      </w:r>
      <w:r w:rsidRPr="006018CC">
        <w:t xml:space="preserve">. </w:t>
      </w:r>
      <w:r w:rsidRPr="006018CC">
        <w:rPr>
          <w:rFonts w:hint="cs"/>
          <w:rtl/>
          <w:lang w:bidi="ar-SY"/>
        </w:rPr>
        <w:t xml:space="preserve"> </w:t>
      </w:r>
      <w:r w:rsidRPr="006018CC">
        <w:rPr>
          <w:rtl/>
          <w:lang w:bidi="ar-SY"/>
        </w:rPr>
        <w:t>ولتحقيق هذا الهدف، اعتمد الباحثون على منهجية بحثية تجمع بين الوصف والتحليل. وقد استخدموا استبيانًا موجهًا لمدراء كبار في أربع من أكبر شركات توزيع الأدوية في مصر. تم تحليل البيانات التي جمعوها باستخدام برنامج الإحصاء</w:t>
      </w:r>
      <w:r w:rsidRPr="006018CC">
        <w:t xml:space="preserve"> SPSS 25.0. </w:t>
      </w:r>
      <w:r w:rsidRPr="006018CC">
        <w:rPr>
          <w:rFonts w:hint="cs"/>
          <w:rtl/>
          <w:lang w:bidi="ar-SY"/>
        </w:rPr>
        <w:t xml:space="preserve"> </w:t>
      </w:r>
      <w:r w:rsidRPr="006018CC">
        <w:rPr>
          <w:rtl/>
          <w:lang w:bidi="ar-SY"/>
        </w:rPr>
        <w:t>أظهرت نتائج الدراسة علاقة قوية بين استخدام الذكاء الاصطناعي وتحسين إدارة علاقات العملاء. مما يؤدي بدوره إلى تعزيز الميزة التنافسية للشركات. وخلص الباحثون إلى أن الذكاء الاصطناعي يساهم في توفير خدمات أسرع وأكثر كفاءة للعملاء</w:t>
      </w:r>
      <w:r w:rsidRPr="006018CC">
        <w:t>.</w:t>
      </w:r>
      <w:r w:rsidRPr="006018CC">
        <w:rPr>
          <w:rFonts w:hint="cs"/>
          <w:rtl/>
          <w:lang w:bidi="ar-SY"/>
        </w:rPr>
        <w:t xml:space="preserve"> </w:t>
      </w:r>
      <w:r w:rsidRPr="006018CC">
        <w:rPr>
          <w:rtl/>
          <w:lang w:bidi="ar-SY"/>
        </w:rPr>
        <w:t>ومن أبرز التوصيات التي قدمها الباحثون: ضرورة الاستفادة من قدرات الذكاء الاصطناعي في خلق بيئات عمل مبتكرة، ودراسة أسباب فشل بعض الشركات في تطبيق أنظمة إدارة العملاء الذكية، والاعتماد على التحليلات المتقدمة للبيانات لاتخاذ قرارات أكثر استنارة</w:t>
      </w:r>
      <w:r w:rsidRPr="006018CC">
        <w:t>.</w:t>
      </w:r>
      <w:r w:rsidRPr="006018CC">
        <w:rPr>
          <w:rFonts w:hint="cs"/>
          <w:rtl/>
          <w:lang w:bidi="ar-SY"/>
        </w:rPr>
        <w:t xml:space="preserve"> </w:t>
      </w:r>
      <w:r w:rsidRPr="006018CC">
        <w:rPr>
          <w:rtl/>
          <w:lang w:bidi="ar-SY"/>
        </w:rPr>
        <w:t>بصورة مبسطة، أظهرت الدراسة أن الذكاء الاصطناعي أصبح أداة أساسية لتحسين أداء الشركات في قطاع توزيع الأدوية، وأن الاستثمار في هذه التقنية يساهم في تحقيق نتائج أفضل</w:t>
      </w:r>
      <w:r w:rsidRPr="006018CC">
        <w:t>.</w:t>
      </w:r>
    </w:p>
    <w:p w14:paraId="1F45B501" w14:textId="77777777" w:rsidR="00F52834" w:rsidRPr="006018CC" w:rsidRDefault="00F52834" w:rsidP="00F52834">
      <w:pPr>
        <w:rPr>
          <w:rtl/>
          <w:lang w:bidi="ar-SY"/>
        </w:rPr>
      </w:pPr>
      <w:r w:rsidRPr="006018CC">
        <w:rPr>
          <w:rtl/>
          <w:lang w:bidi="ar-SY"/>
        </w:rPr>
        <w:t>تهدف الدراسة التي أجرتها منال موسى سعيد حسن (2023) إلى استكشاف سبل تعزيز القدرة التنافسية لجامعة الوادي الجديد من خلال الاستفادة من تطبيقات الذكاء الاصطناعي. تسعى الدراسة إلى تحديد المعايير الأساسية للقدرة التنافسية الجامعية، وتقييم دور الذكاء الاصطناعي في تحقيق هذه المعايير، واقتراح رؤية مستقبلية لجامعة الوادي الجديد</w:t>
      </w:r>
      <w:r w:rsidRPr="006018CC">
        <w:t>.</w:t>
      </w:r>
      <w:r w:rsidRPr="006018CC">
        <w:rPr>
          <w:rFonts w:hint="cs"/>
          <w:rtl/>
          <w:lang w:bidi="ar-SY"/>
        </w:rPr>
        <w:t xml:space="preserve"> </w:t>
      </w:r>
      <w:r w:rsidRPr="006018CC">
        <w:rPr>
          <w:rtl/>
          <w:lang w:bidi="ar-SY"/>
        </w:rPr>
        <w:t>اعتمدت الدراسة على منهجية بحثية شاملة شملت استعراضًا للأدبيات المتعلقة بالقدرة التنافسية الجامعية وتطبيقات الذكاء الاصطناعي في التعليم. كما تم تحليل البيانات والمعلومات المتعلقة بجامعة الوادي الجديد لتحديد نقاط قوتها وضعفها</w:t>
      </w:r>
      <w:r w:rsidRPr="006018CC">
        <w:t>.</w:t>
      </w:r>
      <w:r w:rsidRPr="006018CC">
        <w:rPr>
          <w:rFonts w:hint="cs"/>
          <w:rtl/>
          <w:lang w:bidi="ar-SY"/>
        </w:rPr>
        <w:t xml:space="preserve"> </w:t>
      </w:r>
      <w:r w:rsidRPr="006018CC">
        <w:rPr>
          <w:rtl/>
          <w:lang w:bidi="ar-SY"/>
        </w:rPr>
        <w:t xml:space="preserve">ركزت الدراسة على مجموعة من المداخل التي تساهم في تعزيز القدرة التنافسية مثل: الاستثمار في التكنولوجيا، تسويق الخدمات التعليمية، بناء الشراكات، وتدويل التعليم. كما استعرضت الدراسة مجموعة متنوعة من تطبيقات </w:t>
      </w:r>
      <w:r w:rsidRPr="006018CC">
        <w:rPr>
          <w:rtl/>
          <w:lang w:bidi="ar-SY"/>
        </w:rPr>
        <w:lastRenderedPageBreak/>
        <w:t>الذكاء الاصطناعي التي يمكن استخدامها في التعليم العالي، مثل: أنظمة التعلّم الذكي، والروبوتات التعليمية، وأنظمة إدارة التعلم الذكية</w:t>
      </w:r>
      <w:r w:rsidRPr="006018CC">
        <w:t>.</w:t>
      </w:r>
      <w:r w:rsidRPr="006018CC">
        <w:rPr>
          <w:rFonts w:hint="cs"/>
          <w:rtl/>
          <w:lang w:bidi="ar-SY"/>
        </w:rPr>
        <w:t xml:space="preserve"> </w:t>
      </w:r>
      <w:r w:rsidRPr="006018CC">
        <w:rPr>
          <w:rtl/>
          <w:lang w:bidi="ar-SY"/>
        </w:rPr>
        <w:t>توصلت الدراسة إلى مجموعة من النتائج الهامة، من أهمها أن تطبيقات الذكاء الاصطناعي يمكن أن تلعب دورًا حاسمًا في تحسين جودة التعليم، وتوسيع نطاق الوصول إلى الموارد التعليمية، وتعزيز تجربة الطلاب. كما أشارت الدراسة إلى أن الاستثمار في البنية التحتية التكنولوجية وتدريب الكوادر الأكاديمية على استخدام هذه التقنيات يعد أمرًا ضروريًا لتحقيق النجاح</w:t>
      </w:r>
      <w:r w:rsidRPr="006018CC">
        <w:t>.</w:t>
      </w:r>
      <w:r w:rsidRPr="006018CC">
        <w:rPr>
          <w:rFonts w:hint="cs"/>
          <w:rtl/>
          <w:lang w:bidi="ar-SY"/>
        </w:rPr>
        <w:t xml:space="preserve"> </w:t>
      </w:r>
      <w:r w:rsidRPr="006018CC">
        <w:rPr>
          <w:rtl/>
          <w:lang w:bidi="ar-SY"/>
        </w:rPr>
        <w:t>اقترحت الدراسة رؤية مستقبلية لجامعة الوادي الجديد تعتمد على الاستفادة القصوى من تطبيقات الذكاء الاصطناعي لتحقيق الريادة في مجال التعليم العالي. وتضمنت هذه الرؤية مجموعة من التوصيات، مثل: تطوير استراتيجية شاملة لدمج الذكاء الاصطناعي في جميع جوانب العملية التعليمية، وبناء شراكات مع المؤسسات الأكاديمية والصناعية لتطوير تطبيقات الذكاء الاصطناعي المخصصة لاحتياجات الجامعة، والاستثمار في البحث والتطوير في مجال الذكاء الاصطناعي</w:t>
      </w:r>
      <w:r w:rsidRPr="006018CC">
        <w:t>.</w:t>
      </w:r>
      <w:r w:rsidRPr="006018CC">
        <w:rPr>
          <w:rFonts w:hint="cs"/>
          <w:rtl/>
          <w:lang w:bidi="ar-SY"/>
        </w:rPr>
        <w:t xml:space="preserve"> </w:t>
      </w:r>
      <w:r w:rsidRPr="006018CC">
        <w:rPr>
          <w:rtl/>
          <w:lang w:bidi="ar-SY"/>
        </w:rPr>
        <w:t>بصفة عامة، تقدم هذه الدراسة رؤية واضحة لدور الذكاء الاصطناعي في تعزيز القدرة التنافسية للجامعات، وتوفر إطارًا عمل عملي يمكن لجامعة الوادي الجديد الاستفادة منه لتطوير نفسها وتحقيق أهدافها الاستراتيجية</w:t>
      </w:r>
      <w:r w:rsidRPr="006018CC">
        <w:t>.</w:t>
      </w:r>
    </w:p>
    <w:p w14:paraId="503DAE8B" w14:textId="77777777" w:rsidR="00F52834" w:rsidRPr="006018CC" w:rsidRDefault="00F52834" w:rsidP="00F52834">
      <w:pPr>
        <w:rPr>
          <w:rtl/>
          <w:lang w:bidi="ar-SY"/>
        </w:rPr>
      </w:pPr>
      <w:r w:rsidRPr="006018CC">
        <w:rPr>
          <w:rtl/>
          <w:lang w:bidi="ar-SY"/>
        </w:rPr>
        <w:t xml:space="preserve">قام الباحثان محمد حسين شراك وفتيحة </w:t>
      </w:r>
      <w:proofErr w:type="spellStart"/>
      <w:r w:rsidRPr="006018CC">
        <w:rPr>
          <w:rtl/>
          <w:lang w:bidi="ar-SY"/>
        </w:rPr>
        <w:t>فرطاس</w:t>
      </w:r>
      <w:proofErr w:type="spellEnd"/>
      <w:r w:rsidRPr="006018CC">
        <w:rPr>
          <w:rFonts w:hint="cs"/>
          <w:rtl/>
          <w:lang w:bidi="ar-SY"/>
        </w:rPr>
        <w:t xml:space="preserve"> (2024)،</w:t>
      </w:r>
      <w:r w:rsidRPr="006018CC">
        <w:rPr>
          <w:rtl/>
          <w:lang w:bidi="ar-SY"/>
        </w:rPr>
        <w:t xml:space="preserve"> بإجراء دراسة بعنوان "</w:t>
      </w:r>
      <w:r w:rsidRPr="006018CC">
        <w:rPr>
          <w:rFonts w:hint="cs"/>
          <w:rtl/>
          <w:lang w:bidi="ar-SY"/>
        </w:rPr>
        <w:t>الابتكار</w:t>
      </w:r>
      <w:r w:rsidRPr="006018CC">
        <w:rPr>
          <w:rtl/>
          <w:lang w:bidi="ar-SY"/>
        </w:rPr>
        <w:t xml:space="preserve"> والتكنولوجيا الرقمية </w:t>
      </w:r>
      <w:proofErr w:type="gramStart"/>
      <w:r w:rsidRPr="006018CC">
        <w:rPr>
          <w:rtl/>
          <w:lang w:bidi="ar-SY"/>
        </w:rPr>
        <w:t>و أهميتها</w:t>
      </w:r>
      <w:proofErr w:type="gramEnd"/>
      <w:r w:rsidRPr="006018CC">
        <w:rPr>
          <w:rtl/>
          <w:lang w:bidi="ar-SY"/>
        </w:rPr>
        <w:t xml:space="preserve"> في المؤسسات الناشئة" لتسليط الضوء على أهمية هذه العناصر في نجاح المؤسسات الناشئة في بيئة الأعمال التنافسية.</w:t>
      </w:r>
      <w:r w:rsidRPr="006018CC">
        <w:rPr>
          <w:rFonts w:hint="cs"/>
          <w:rtl/>
          <w:lang w:bidi="ar-SY"/>
        </w:rPr>
        <w:t xml:space="preserve"> </w:t>
      </w:r>
      <w:r w:rsidRPr="006018CC">
        <w:rPr>
          <w:rtl/>
          <w:lang w:bidi="ar-SY"/>
        </w:rPr>
        <w:t>سعت الدراسة إلى تحليل المراحل التاريخية التي سبقت ظهور العصر الرقمي، موضحة كيفية مساهمة التطورات التكنولوجية في تشكيل المشهد الاقتصادي الحالي. كما استعرضت المفاهيم الأساسية للتكنولوجيا الرقمية والابتكار، إضافة إلى تعريف المؤسسة الناشئة وأهمية التكنولوجيا الرقمية بالنسبة لها.</w:t>
      </w:r>
      <w:r w:rsidRPr="006018CC">
        <w:rPr>
          <w:rFonts w:hint="cs"/>
          <w:rtl/>
          <w:lang w:bidi="ar-SY"/>
        </w:rPr>
        <w:t xml:space="preserve"> </w:t>
      </w:r>
      <w:r w:rsidRPr="006018CC">
        <w:rPr>
          <w:rtl/>
          <w:lang w:bidi="ar-SY"/>
        </w:rPr>
        <w:t>أظهرت نتائج الدراسة الدور المحوري للتكنولوجيا الرقمية في نجاح المؤسسات الناشئة، خاصة من خلال تطبيقات مثل الذكاء الاصطناعي والحوسبة السحابية. وقد ساهمت هذه التطبيقات ليس فقط في تحسين الكفاءة التشغيلية، بل أيضًا في تحقيق الربحية وتعزيز القدرة التنافسية. كما أكدت الدراسة على أهمية الابتكار المستمر كعامل رئيسي في تطوير المنتجات والخدمات، مما ساعد المؤسسات الناشئة على التكيف مع التغيرات السريعة في السوق.</w:t>
      </w:r>
      <w:r w:rsidRPr="006018CC">
        <w:rPr>
          <w:rFonts w:hint="cs"/>
          <w:rtl/>
          <w:lang w:bidi="ar-SY"/>
        </w:rPr>
        <w:t xml:space="preserve"> </w:t>
      </w:r>
      <w:r w:rsidRPr="006018CC">
        <w:rPr>
          <w:rtl/>
          <w:lang w:bidi="ar-SY"/>
        </w:rPr>
        <w:t>في ضوء هذه النتائج، أوصى الباحثان بضرورة توظيف التقنيات الرقمية بطرق مبتكرة لتحقيق نتائج إيجابية. كما اقترحا تبني استراتيجيات شاملة لدمج التكنولوجيا والابتكار في عمليات المؤسسات الناشئة، مع التركيز على التطوير المستمر للمهارات الرقمية.</w:t>
      </w:r>
      <w:r w:rsidRPr="006018CC">
        <w:rPr>
          <w:rFonts w:hint="cs"/>
          <w:rtl/>
          <w:lang w:bidi="ar-SY"/>
        </w:rPr>
        <w:t xml:space="preserve"> </w:t>
      </w:r>
      <w:r w:rsidRPr="006018CC">
        <w:rPr>
          <w:rtl/>
          <w:lang w:bidi="ar-SY"/>
        </w:rPr>
        <w:t>تؤكد هذه الدراسة على الأهمية الحاسمة للتكنولوجيا الرقمية والابتكار في ضمان نجاح المؤسسات الناشئة وقدرتها على المنافسة في السوق. وتشير إلى أن الاستخدام الفعال لهذه العناصر يمكن أن يضمن للمؤسسات الناشئة البقاء في صدارة المنافسة وتحقيق نمو مستدام في بيئة الأعمال المتغيرة باستمرار.</w:t>
      </w:r>
    </w:p>
    <w:p w14:paraId="695DF9C3" w14:textId="77777777" w:rsidR="00F52834" w:rsidRPr="006018CC" w:rsidRDefault="00F52834" w:rsidP="00F52834">
      <w:pPr>
        <w:rPr>
          <w:rtl/>
        </w:rPr>
      </w:pPr>
      <w:r w:rsidRPr="006018CC">
        <w:rPr>
          <w:rFonts w:hint="cs"/>
          <w:rtl/>
          <w:lang w:bidi="ar-SY"/>
        </w:rPr>
        <w:lastRenderedPageBreak/>
        <w:t xml:space="preserve">وفي دراسة </w:t>
      </w:r>
      <w:r w:rsidRPr="006018CC">
        <w:t xml:space="preserve">Abu </w:t>
      </w:r>
      <w:proofErr w:type="spellStart"/>
      <w:r w:rsidRPr="006018CC">
        <w:t>Tabikh</w:t>
      </w:r>
      <w:proofErr w:type="spellEnd"/>
      <w:r w:rsidRPr="006018CC">
        <w:t xml:space="preserve"> (2024)</w:t>
      </w:r>
      <w:r w:rsidRPr="006018CC">
        <w:rPr>
          <w:rFonts w:hint="cs"/>
          <w:rtl/>
          <w:lang w:bidi="ar-SY"/>
        </w:rPr>
        <w:t xml:space="preserve"> </w:t>
      </w:r>
      <w:r w:rsidRPr="006018CC">
        <w:rPr>
          <w:rtl/>
        </w:rPr>
        <w:t xml:space="preserve">هدف </w:t>
      </w:r>
      <w:r w:rsidRPr="006018CC">
        <w:rPr>
          <w:rFonts w:hint="cs"/>
          <w:rtl/>
        </w:rPr>
        <w:t>الباحث</w:t>
      </w:r>
      <w:r w:rsidRPr="006018CC">
        <w:rPr>
          <w:rtl/>
        </w:rPr>
        <w:t xml:space="preserve"> إلى استكشاف طبيعة العلاقة بين الذكاء الاصطناعي والابتكار التنظيمي. اعتمد البحث على فرضيتين رئيسيتين، تفرعت منهما أربع فرضيات فرعية لكل منهما. تم التحقق من صحة الفرضيات باستخدام المنهج الوصفي التحليلي، حيث تم تحليل علاقات الارتباط والتأثير بين متغيرات البحث باستخدام برنامج (</w:t>
      </w:r>
      <w:r w:rsidRPr="006018CC">
        <w:t>SPSS v. 26</w:t>
      </w:r>
      <w:r w:rsidRPr="006018CC">
        <w:rPr>
          <w:rtl/>
        </w:rPr>
        <w:t>). جُمعت البيانات من خلال استبيان وُزع على عينة مكونة من 87 مهندسًا يعملون في شركة ربان السفينة للصناعات الكهربائية والهندسية في النجف. تم استرداد 83 استبيانًا، وبعد الفحص، تبين أن 79 منها صالحة للتحليل الإحصائي، بمعدل استرداد بلغ 90%. تضمن البحث أربعة أقسام رئيسية: المنهجية العلمية للبحث، الجانب النظري، الجانب التطبيقي، وأخيرًا الاستنتاجات والتوصيات. قدمت هذه الدراسة رؤية شاملة حول العلاقة بين الذكاء الاصطناعي والابتكار التنظيمي في سياق الصناعات الكهربائية والهندسية، مما يسهم في فهم أعمق لتأثير التكنولوجيا المتقدمة على الابتكار في المؤسسات الصناعية.</w:t>
      </w:r>
    </w:p>
    <w:p w14:paraId="5543A3ED" w14:textId="77777777" w:rsidR="00F52834" w:rsidRPr="006018CC" w:rsidRDefault="00F52834" w:rsidP="00F52834">
      <w:pPr>
        <w:ind w:firstLine="0"/>
        <w:rPr>
          <w:b/>
          <w:bCs/>
          <w:u w:val="single"/>
        </w:rPr>
      </w:pPr>
      <w:r w:rsidRPr="006018CC">
        <w:rPr>
          <w:rFonts w:hint="cs"/>
          <w:b/>
          <w:bCs/>
          <w:u w:val="single"/>
          <w:rtl/>
        </w:rPr>
        <w:t>دراسات في الذكاء الاصطناعي</w:t>
      </w:r>
    </w:p>
    <w:p w14:paraId="1EF49F21" w14:textId="77777777" w:rsidR="00F52834" w:rsidRPr="006018CC" w:rsidRDefault="00F52834" w:rsidP="00F52834">
      <w:pPr>
        <w:rPr>
          <w:rtl/>
        </w:rPr>
      </w:pPr>
      <w:r w:rsidRPr="006018CC">
        <w:rPr>
          <w:rFonts w:hint="cs"/>
          <w:rtl/>
        </w:rPr>
        <w:t>س</w:t>
      </w:r>
      <w:r w:rsidRPr="006018CC">
        <w:rPr>
          <w:rtl/>
        </w:rPr>
        <w:t>عت دراسة</w:t>
      </w:r>
      <w:r w:rsidRPr="006018CC">
        <w:rPr>
          <w:rFonts w:hint="cs"/>
          <w:rtl/>
        </w:rPr>
        <w:t xml:space="preserve"> </w:t>
      </w:r>
      <w:proofErr w:type="spellStart"/>
      <w:r w:rsidRPr="006018CC">
        <w:rPr>
          <w:rtl/>
        </w:rPr>
        <w:t>أرطباز</w:t>
      </w:r>
      <w:proofErr w:type="spellEnd"/>
      <w:r w:rsidRPr="006018CC">
        <w:rPr>
          <w:rtl/>
        </w:rPr>
        <w:t xml:space="preserve"> (2022) إلى استكشاف فعالية تطبيقات الذكاء الاصطناعي في تحسين أداء المؤسسات الاقتصادية، مع التركيز على دور الذكاء الاصطناعي في توفير ميزة تنافسية وتحليل أثره على أداء المؤسسات.</w:t>
      </w:r>
      <w:r w:rsidRPr="006018CC">
        <w:rPr>
          <w:rFonts w:hint="cs"/>
          <w:rtl/>
        </w:rPr>
        <w:t xml:space="preserve"> </w:t>
      </w:r>
      <w:r w:rsidRPr="006018CC">
        <w:rPr>
          <w:rtl/>
        </w:rPr>
        <w:t>اعتمدت الدراسة على المنهج الوصفي التحليلي، مستخدمة الأسلوبين الاستقرائي والاستنباطي. لجمع البيانات، وُظِّفت استبانات موجَّهة إلى المدراء والمسؤولين في المؤسسات الاقتصادية، بالإضافة إلى مقابلات مع خبراء متخصصين في الذكاء الاصطناعي والاقتصاد.</w:t>
      </w:r>
      <w:r w:rsidRPr="006018CC">
        <w:rPr>
          <w:rFonts w:hint="cs"/>
          <w:rtl/>
        </w:rPr>
        <w:t xml:space="preserve"> </w:t>
      </w:r>
      <w:r w:rsidRPr="006018CC">
        <w:rPr>
          <w:rtl/>
        </w:rPr>
        <w:t>تم تطبيق الدراسة على 100 مؤسسة اقتصادية من مختلف القطاعات والأنشطة في الجزائر، مما أتاح تنوعًا في آراء المشاركين وتعمقًا في تحليل الدور الذي يؤديه الذكاء الاصطناعي.</w:t>
      </w:r>
      <w:r w:rsidRPr="006018CC">
        <w:rPr>
          <w:rFonts w:hint="cs"/>
          <w:rtl/>
        </w:rPr>
        <w:t xml:space="preserve"> </w:t>
      </w:r>
      <w:r w:rsidRPr="006018CC">
        <w:rPr>
          <w:rtl/>
        </w:rPr>
        <w:t>بيَّنت الدراسة أن تطبيقات الذكاء الاصطناعي تُستخدم بشكل متزايد في مجالات الإنتاج والتسويق والموارد البشرية والمالية والإدارية، حيث أثبتت فاعليتها في تحسين جودة المنتجات والخدمات، ورفع كفاءة الأداء، وزيادة الإنتاجية، وتقليل التكاليف والمخاطر. كما أشارت إلى أن الذكاء الاصطناعي يمنح المؤسسات ميزة تنافسية سواء على المستوى المحلي أو الدولي.</w:t>
      </w:r>
      <w:r w:rsidRPr="006018CC">
        <w:rPr>
          <w:rFonts w:hint="cs"/>
          <w:rtl/>
        </w:rPr>
        <w:t xml:space="preserve"> </w:t>
      </w:r>
      <w:r w:rsidRPr="006018CC">
        <w:rPr>
          <w:rtl/>
        </w:rPr>
        <w:t>أوصت الدراسة بضرورة تعزيز دعم المؤسسات الاقتصادية لتبني تقنيات الذكاء الاصطناعي، مع توفير الدعم الفني، المالي، والتدريبي، والتشريعي المطلوب. كما أكدت على أهمية الالتزام بالمعايير الأخلاقية والقانونية لضمان استخدام آمن ومسؤول لهذه التقنيات.</w:t>
      </w:r>
    </w:p>
    <w:p w14:paraId="29897B46" w14:textId="77777777" w:rsidR="00F52834" w:rsidRPr="006018CC" w:rsidRDefault="00F52834" w:rsidP="00F52834">
      <w:pPr>
        <w:rPr>
          <w:rtl/>
        </w:rPr>
      </w:pPr>
      <w:r w:rsidRPr="006018CC">
        <w:rPr>
          <w:rtl/>
        </w:rPr>
        <w:t>دراسة</w:t>
      </w:r>
      <w:r w:rsidRPr="006018CC">
        <w:t xml:space="preserve"> Osbome et al. (</w:t>
      </w:r>
      <w:proofErr w:type="gramStart"/>
      <w:r w:rsidRPr="006018CC">
        <w:t>2022)</w:t>
      </w:r>
      <w:r w:rsidRPr="006018CC">
        <w:rPr>
          <w:rtl/>
        </w:rPr>
        <w:t>ركزت</w:t>
      </w:r>
      <w:proofErr w:type="gramEnd"/>
      <w:r w:rsidRPr="006018CC">
        <w:rPr>
          <w:rtl/>
        </w:rPr>
        <w:t xml:space="preserve"> هذه الدراسة على تقييم دور التحول الرقمي وتقنيات الذكاء الاصطناعي في تحسين تصميم وإدارة وتقديم الخدمات العامة، مسلطة الضوء على ما تقدمه هذه التقنيات من فرص وتحديات للقطاع العام في القرن الواحد والعشرين</w:t>
      </w:r>
      <w:r w:rsidRPr="006018CC">
        <w:t>.</w:t>
      </w:r>
      <w:r w:rsidRPr="006018CC">
        <w:rPr>
          <w:rFonts w:hint="cs"/>
          <w:rtl/>
        </w:rPr>
        <w:t xml:space="preserve"> </w:t>
      </w:r>
      <w:r w:rsidRPr="006018CC">
        <w:rPr>
          <w:rtl/>
        </w:rPr>
        <w:t xml:space="preserve">استندت الدراسة إلى نظرية القبول التكنولوجي لديفيس ونظرية الابتكار التنظيمي لروجرز، واستخدمت المنهج الوصفي التحليلي. تم جمع المعلومات من خلال مراجعة الدراسات السابقة وتحليلها باستخدام الأسلوب </w:t>
      </w:r>
      <w:proofErr w:type="spellStart"/>
      <w:r w:rsidRPr="006018CC">
        <w:rPr>
          <w:rtl/>
        </w:rPr>
        <w:t>الببليومتري</w:t>
      </w:r>
      <w:proofErr w:type="spellEnd"/>
      <w:r w:rsidRPr="006018CC">
        <w:rPr>
          <w:rtl/>
        </w:rPr>
        <w:t xml:space="preserve">، مع توظيف </w:t>
      </w:r>
      <w:r w:rsidRPr="006018CC">
        <w:rPr>
          <w:rtl/>
        </w:rPr>
        <w:lastRenderedPageBreak/>
        <w:t>استراتيجيات استقرائية واستنباطية</w:t>
      </w:r>
      <w:r w:rsidRPr="006018CC">
        <w:t>.</w:t>
      </w:r>
      <w:r w:rsidRPr="006018CC">
        <w:rPr>
          <w:rFonts w:hint="cs"/>
          <w:rtl/>
        </w:rPr>
        <w:t xml:space="preserve"> </w:t>
      </w:r>
      <w:r w:rsidRPr="006018CC">
        <w:rPr>
          <w:rtl/>
        </w:rPr>
        <w:t>توصلت الدراسة إلى أن التحول الرقمي والذكاء الاصطناعي يمتلكان القدرة على الارتقاء بمستوى الخدمات العامة وزيادة كفاءتها، غير أن تطبيق هذه التقنيات يواجه العديد من التحديات، بما في ذلك القضايا الأخلاقية والقانونية إلى جانب اعتبارات اجتماعية وتنظيمية هامة</w:t>
      </w:r>
      <w:r w:rsidRPr="006018CC">
        <w:t>.</w:t>
      </w:r>
      <w:r w:rsidRPr="006018CC">
        <w:rPr>
          <w:rFonts w:hint="cs"/>
          <w:rtl/>
        </w:rPr>
        <w:t xml:space="preserve"> </w:t>
      </w:r>
      <w:r w:rsidRPr="006018CC">
        <w:rPr>
          <w:rtl/>
        </w:rPr>
        <w:t>أوصت الدراسة بإنشاء إطار عمل متكامل يضمن تبني التحول الرقمي والذكاء الاصطناعي في القطاع العام بفعالية، وتعزيز التعاون بين الجهات ذات الصلة لتحقيق هذه الأهداف، مع التأكيد على ضرورة وضع معايير وقواعد أخلاقية وقانونية تحكم استخدام هذه التقنيات لضمان سلامتها وأمانها.</w:t>
      </w:r>
    </w:p>
    <w:p w14:paraId="1A4AEE72" w14:textId="77777777" w:rsidR="00F52834" w:rsidRPr="006018CC" w:rsidRDefault="00F52834" w:rsidP="00F52834">
      <w:pPr>
        <w:rPr>
          <w:rtl/>
        </w:rPr>
      </w:pPr>
      <w:r w:rsidRPr="006018CC">
        <w:rPr>
          <w:rtl/>
        </w:rPr>
        <w:t>تهدف دراسة</w:t>
      </w:r>
      <w:r w:rsidRPr="006018CC">
        <w:t xml:space="preserve"> Hinge (2022) </w:t>
      </w:r>
      <w:r w:rsidRPr="006018CC">
        <w:rPr>
          <w:rtl/>
        </w:rPr>
        <w:t>إلى استكشاف الدور المتزايد للذكاء الاصطناعي في قطاع البنوك، وكيف يساهم في تعزيز تنافسية هذه المؤسسات في السوق العالمي. تسلط الدراسة الضوء على التحول الرقمي الذي يشهده القطاع المصرفي، حيث انتقلت الخدمات المصرفية من المعاملات التقليدية إلى الاعتماد المتزايد على التكنولوجيا الرقمية، وصولاً إلى تبني تقنيات متقدمة مثل الذكاء الاصطناعي والروبوتات</w:t>
      </w:r>
      <w:r w:rsidRPr="006018CC">
        <w:t>.</w:t>
      </w:r>
      <w:r w:rsidRPr="006018CC">
        <w:rPr>
          <w:rFonts w:hint="cs"/>
          <w:rtl/>
        </w:rPr>
        <w:t xml:space="preserve"> </w:t>
      </w:r>
      <w:r w:rsidRPr="006018CC">
        <w:rPr>
          <w:rtl/>
        </w:rPr>
        <w:t>تؤكد الدراسة أن الذكاء الاصطناعي أصبح ضرورة ملحة للبنوك التي تسعى للحفاظ على مكانتها في السوق، وذلك لتلبية توقعات العملاء المتزايدة بشأن الخدمات المصرفية الرقمية المخصصة. كما تشير الدراسة إلى أن الذكاء الاصطناعي يساهم في تحسين كفاءة العمليات المصرفية، وتقديم تجربة عملاء أفضل، وتعزيز الأمن السيبراني</w:t>
      </w:r>
      <w:r w:rsidRPr="006018CC">
        <w:t>.</w:t>
      </w:r>
      <w:r w:rsidRPr="006018CC">
        <w:rPr>
          <w:rFonts w:hint="cs"/>
          <w:rtl/>
        </w:rPr>
        <w:t xml:space="preserve"> </w:t>
      </w:r>
      <w:r w:rsidRPr="006018CC">
        <w:rPr>
          <w:rtl/>
        </w:rPr>
        <w:t>اعتمدت الدراسة على منهجية تحليلية شملت دراسة حالة لبنوك تعتمد على الذكاء الاصطناعي، وتحليل تأثير هذه التقنية على مختلف جوانب العمل المصرفي. وقد توصلت الدراسة إلى نتائج مهمة، منها</w:t>
      </w:r>
      <w:r w:rsidRPr="006018CC">
        <w:t>:</w:t>
      </w:r>
    </w:p>
    <w:p w14:paraId="47AA3FDD" w14:textId="77777777" w:rsidR="00F52834" w:rsidRPr="006018CC" w:rsidRDefault="00F52834" w:rsidP="00F52834">
      <w:pPr>
        <w:numPr>
          <w:ilvl w:val="0"/>
          <w:numId w:val="5"/>
        </w:numPr>
        <w:rPr>
          <w:rtl/>
        </w:rPr>
      </w:pPr>
      <w:r w:rsidRPr="006018CC">
        <w:rPr>
          <w:rtl/>
        </w:rPr>
        <w:t>يساهم الذكاء الاصطناعي في أتمتة العديد من المهام، مما يزيد من كفاءة العمليات المصرفية ويقلل من الأخطاء البشرية</w:t>
      </w:r>
      <w:r w:rsidRPr="006018CC">
        <w:t>.</w:t>
      </w:r>
    </w:p>
    <w:p w14:paraId="6960E0D1" w14:textId="77777777" w:rsidR="00F52834" w:rsidRPr="006018CC" w:rsidRDefault="00F52834" w:rsidP="00F52834">
      <w:pPr>
        <w:numPr>
          <w:ilvl w:val="0"/>
          <w:numId w:val="5"/>
        </w:numPr>
        <w:rPr>
          <w:rtl/>
        </w:rPr>
      </w:pPr>
      <w:r w:rsidRPr="006018CC">
        <w:rPr>
          <w:rtl/>
        </w:rPr>
        <w:t>يوفر الذكاء الاصطناعي خدمات مصرفية مخصصة لكل عميل، مما يعزز رضاهم وولائهم</w:t>
      </w:r>
      <w:r w:rsidRPr="006018CC">
        <w:t>.</w:t>
      </w:r>
    </w:p>
    <w:p w14:paraId="449DA278" w14:textId="77777777" w:rsidR="00F52834" w:rsidRPr="006018CC" w:rsidRDefault="00F52834" w:rsidP="00F52834">
      <w:pPr>
        <w:numPr>
          <w:ilvl w:val="0"/>
          <w:numId w:val="5"/>
        </w:numPr>
        <w:rPr>
          <w:rtl/>
        </w:rPr>
      </w:pPr>
      <w:r w:rsidRPr="006018CC">
        <w:rPr>
          <w:rtl/>
        </w:rPr>
        <w:t>يساعد الذكاء الاصطناعي في الكشف عن الاحتيال والتهديدات الأمنية بشكل أسرع وأكثر دقة</w:t>
      </w:r>
      <w:r w:rsidRPr="006018CC">
        <w:t>.</w:t>
      </w:r>
    </w:p>
    <w:p w14:paraId="6E6EA8B0" w14:textId="77777777" w:rsidR="00F52834" w:rsidRPr="006018CC" w:rsidRDefault="00F52834" w:rsidP="00F52834">
      <w:pPr>
        <w:rPr>
          <w:rtl/>
        </w:rPr>
      </w:pPr>
      <w:r w:rsidRPr="006018CC">
        <w:rPr>
          <w:rtl/>
        </w:rPr>
        <w:t>أوصت الدراسة بتطوير البنية التحتية التكنولوجية للبنوك، وتدريب الموظفين على استخدام التقنيات الجديدة، والاستثمار في البحث والتطوير في مجال الذكاء الاصطناعي. كما شددت الدراسة على أهمية إجراء المزيد من الأبحاث لتقييم الآثار الأمنية للذكاء الاصطناعي في القطاع المصرفي</w:t>
      </w:r>
      <w:r w:rsidRPr="006018CC">
        <w:t>.</w:t>
      </w:r>
      <w:r w:rsidRPr="006018CC">
        <w:rPr>
          <w:rFonts w:hint="cs"/>
          <w:rtl/>
        </w:rPr>
        <w:t xml:space="preserve"> </w:t>
      </w:r>
      <w:r w:rsidRPr="006018CC">
        <w:rPr>
          <w:rtl/>
        </w:rPr>
        <w:t>بشكل عام، تؤكد دراسة</w:t>
      </w:r>
      <w:r w:rsidRPr="006018CC">
        <w:t xml:space="preserve"> Hinge (2022) </w:t>
      </w:r>
      <w:r w:rsidRPr="006018CC">
        <w:rPr>
          <w:rtl/>
        </w:rPr>
        <w:t>أن الذكاء الاصطناعي هو محرك رئيسي للابتكار والتحول في القطاع المصرفي. وتدعو البنوك إلى تبني هذه التقنية والاستثمار فيها لتبقى قادرة على المنافسة في السوق العالمية</w:t>
      </w:r>
      <w:r w:rsidRPr="006018CC">
        <w:t>.</w:t>
      </w:r>
    </w:p>
    <w:p w14:paraId="264A52A3" w14:textId="77777777" w:rsidR="00F52834" w:rsidRPr="006018CC" w:rsidRDefault="00F52834" w:rsidP="00F52834">
      <w:pPr>
        <w:rPr>
          <w:rtl/>
        </w:rPr>
      </w:pPr>
      <w:r w:rsidRPr="006018CC">
        <w:rPr>
          <w:rtl/>
        </w:rPr>
        <w:t>قام الباحث</w:t>
      </w:r>
      <w:r w:rsidRPr="006018CC">
        <w:t xml:space="preserve"> El-Adawy</w:t>
      </w:r>
      <w:r w:rsidRPr="006018CC">
        <w:rPr>
          <w:rFonts w:hint="cs"/>
          <w:rtl/>
        </w:rPr>
        <w:t xml:space="preserve"> (2023</w:t>
      </w:r>
      <w:proofErr w:type="gramStart"/>
      <w:r w:rsidRPr="006018CC">
        <w:rPr>
          <w:rFonts w:hint="cs"/>
          <w:rtl/>
        </w:rPr>
        <w:t xml:space="preserve">) </w:t>
      </w:r>
      <w:r w:rsidRPr="006018CC">
        <w:t xml:space="preserve"> </w:t>
      </w:r>
      <w:r w:rsidRPr="006018CC">
        <w:rPr>
          <w:rtl/>
        </w:rPr>
        <w:t>بإجراء</w:t>
      </w:r>
      <w:proofErr w:type="gramEnd"/>
      <w:r w:rsidRPr="006018CC">
        <w:rPr>
          <w:rtl/>
        </w:rPr>
        <w:t xml:space="preserve"> دراسة بعنوان "الذكاء الاصطناعي الفائق والأمن الوطني العربي" في عام 2023، والتي سلطت الضوء على التحديات الأمنية المرتبطة بتقنيات الذكاء </w:t>
      </w:r>
      <w:r w:rsidRPr="006018CC">
        <w:rPr>
          <w:rtl/>
        </w:rPr>
        <w:lastRenderedPageBreak/>
        <w:t>الاصطناعي الفائق في المنطقة العربية. تناولت الدراسة المخاوف المتعلقة بالسيطرة والتحكم في هذه التقنيات التي تتجاوز الذكاء البشري، مؤكدة على أهمية الاستعداد للتطورات التكنولوجية كعنصر حاسم في الأمن الوطني العربي</w:t>
      </w:r>
      <w:r w:rsidRPr="006018CC">
        <w:t>.</w:t>
      </w:r>
      <w:r w:rsidRPr="006018CC">
        <w:rPr>
          <w:rFonts w:hint="cs"/>
          <w:rtl/>
        </w:rPr>
        <w:t xml:space="preserve"> </w:t>
      </w:r>
      <w:r w:rsidRPr="006018CC">
        <w:rPr>
          <w:rtl/>
        </w:rPr>
        <w:t>أشارت الدراسة إلى أن الأنظمة الحالية لا تزال تعتمد على الإشراف البشري، مما يجعلها عرضة للتجاوز بسبب التطور السريع للخوارزميات. كما لفتت الانتباه إلى أن منظومة الأمن العربية لم تدرك بعد حجم هذا التهديد، داعية إلى تبني سياسات استباقية لاحتواء المخاطر المحتملة</w:t>
      </w:r>
      <w:r w:rsidRPr="006018CC">
        <w:t>.</w:t>
      </w:r>
      <w:r w:rsidRPr="006018CC">
        <w:rPr>
          <w:rFonts w:hint="cs"/>
          <w:rtl/>
        </w:rPr>
        <w:t xml:space="preserve"> </w:t>
      </w:r>
      <w:r w:rsidRPr="006018CC">
        <w:rPr>
          <w:rtl/>
        </w:rPr>
        <w:t>حددت الورقة عدة عقبات تواجه تقدم الدول العربية في مجال الذكاء الاصطناعي الفائق، مثل ضعف البنية التحتية التكنولوجية وقيود الخصوصية على البيانات، مما قد يؤدي إلى تبعية تكنولوجية. كما ناقشت مخاطر إساءة استخدام البيانات، واضطرابات سوق العمل، والاستعمار التكنولوجي، وتأثير القيم الغربية على تكنولوجيا الذكاء الاصطناعي</w:t>
      </w:r>
      <w:r w:rsidRPr="006018CC">
        <w:t>.</w:t>
      </w:r>
      <w:r w:rsidRPr="006018CC">
        <w:rPr>
          <w:rFonts w:hint="cs"/>
          <w:rtl/>
        </w:rPr>
        <w:t xml:space="preserve"> </w:t>
      </w:r>
      <w:r w:rsidRPr="006018CC">
        <w:rPr>
          <w:rtl/>
        </w:rPr>
        <w:t>حذرت الدراسة من مخاطر الأسلحة المستقلة وجنود الذكاء الاصطناعي والتحديات الأخلاقية المرتبطة بها. ولمواجهة هذه التحديات، قدمت الورقة عدة توصيات للدول العربية، منها</w:t>
      </w:r>
      <w:r w:rsidRPr="006018CC">
        <w:t>:</w:t>
      </w:r>
    </w:p>
    <w:p w14:paraId="0C5103DF" w14:textId="77777777" w:rsidR="00F52834" w:rsidRPr="006018CC" w:rsidRDefault="00F52834" w:rsidP="00F52834">
      <w:pPr>
        <w:numPr>
          <w:ilvl w:val="0"/>
          <w:numId w:val="6"/>
        </w:numPr>
        <w:rPr>
          <w:rtl/>
        </w:rPr>
      </w:pPr>
      <w:r w:rsidRPr="006018CC">
        <w:rPr>
          <w:rtl/>
        </w:rPr>
        <w:t>الاستثمار في البنية التحتية الرقمية</w:t>
      </w:r>
    </w:p>
    <w:p w14:paraId="1B0E2E86" w14:textId="77777777" w:rsidR="00F52834" w:rsidRPr="006018CC" w:rsidRDefault="00F52834" w:rsidP="00F52834">
      <w:pPr>
        <w:numPr>
          <w:ilvl w:val="0"/>
          <w:numId w:val="6"/>
        </w:numPr>
        <w:rPr>
          <w:rtl/>
        </w:rPr>
      </w:pPr>
      <w:r w:rsidRPr="006018CC">
        <w:rPr>
          <w:rtl/>
        </w:rPr>
        <w:t>تطوير الكفاءات الوطنية في مجال الذكاء الاصطناعي</w:t>
      </w:r>
    </w:p>
    <w:p w14:paraId="0A1B7A1D" w14:textId="77777777" w:rsidR="00F52834" w:rsidRPr="006018CC" w:rsidRDefault="00F52834" w:rsidP="00F52834">
      <w:pPr>
        <w:numPr>
          <w:ilvl w:val="0"/>
          <w:numId w:val="6"/>
        </w:numPr>
        <w:rPr>
          <w:rtl/>
        </w:rPr>
      </w:pPr>
      <w:r w:rsidRPr="006018CC">
        <w:rPr>
          <w:rtl/>
        </w:rPr>
        <w:t>وضع الأطر التنظيمية اللازمة</w:t>
      </w:r>
    </w:p>
    <w:p w14:paraId="5B285D2F" w14:textId="77777777" w:rsidR="00F52834" w:rsidRPr="006018CC" w:rsidRDefault="00F52834" w:rsidP="00F52834">
      <w:pPr>
        <w:numPr>
          <w:ilvl w:val="0"/>
          <w:numId w:val="6"/>
        </w:numPr>
        <w:rPr>
          <w:rtl/>
        </w:rPr>
      </w:pPr>
      <w:r w:rsidRPr="006018CC">
        <w:rPr>
          <w:rtl/>
        </w:rPr>
        <w:t>ضمان التمثيل العادل في التعامل مع البيانات</w:t>
      </w:r>
    </w:p>
    <w:p w14:paraId="368BCC2F" w14:textId="77777777" w:rsidR="00F52834" w:rsidRPr="006018CC" w:rsidRDefault="00F52834" w:rsidP="00F52834">
      <w:pPr>
        <w:numPr>
          <w:ilvl w:val="0"/>
          <w:numId w:val="6"/>
        </w:numPr>
        <w:rPr>
          <w:rtl/>
        </w:rPr>
      </w:pPr>
      <w:r w:rsidRPr="006018CC">
        <w:rPr>
          <w:rtl/>
        </w:rPr>
        <w:t>بناء آليات التحكم لموائمة القيم</w:t>
      </w:r>
    </w:p>
    <w:p w14:paraId="2C25076F" w14:textId="77777777" w:rsidR="00F52834" w:rsidRPr="006018CC" w:rsidRDefault="00F52834" w:rsidP="00F52834">
      <w:pPr>
        <w:numPr>
          <w:ilvl w:val="0"/>
          <w:numId w:val="6"/>
        </w:numPr>
        <w:rPr>
          <w:rtl/>
        </w:rPr>
      </w:pPr>
      <w:r w:rsidRPr="006018CC">
        <w:rPr>
          <w:rtl/>
        </w:rPr>
        <w:t>تعزيز التعاون الدولي لضمان استخدام آمن ومسؤول لتقنيات الذكاء الاصطناعي الفائق</w:t>
      </w:r>
    </w:p>
    <w:p w14:paraId="239AF76E" w14:textId="77777777" w:rsidR="00F52834" w:rsidRPr="006018CC" w:rsidRDefault="00F52834" w:rsidP="00F52834">
      <w:pPr>
        <w:rPr>
          <w:rtl/>
        </w:rPr>
      </w:pPr>
      <w:r w:rsidRPr="006018CC">
        <w:rPr>
          <w:rtl/>
        </w:rPr>
        <w:t>تؤكد هذه الدراسة على ضرورة اتخاذ إجراءات استباقية من قبل الدول العربية لمواجهة التحديات الأمنية الناشئة عن تطور الذكاء الاصطناعي الفائق، مع التركيز على بناء القدرات الوطنية وتعزيز التعاون الإقليمي والدولي في هذا المجال</w:t>
      </w:r>
      <w:r w:rsidRPr="006018CC">
        <w:t>.</w:t>
      </w:r>
    </w:p>
    <w:p w14:paraId="0B130317" w14:textId="77777777" w:rsidR="00F52834" w:rsidRPr="006018CC" w:rsidRDefault="00F52834" w:rsidP="00F52834">
      <w:pPr>
        <w:rPr>
          <w:rtl/>
        </w:rPr>
      </w:pPr>
      <w:r w:rsidRPr="006018CC">
        <w:rPr>
          <w:rtl/>
        </w:rPr>
        <w:t>دراسة قشي (2023)</w:t>
      </w:r>
      <w:r w:rsidRPr="006018CC">
        <w:rPr>
          <w:rFonts w:hint="cs"/>
          <w:rtl/>
        </w:rPr>
        <w:t xml:space="preserve">، </w:t>
      </w:r>
      <w:r w:rsidRPr="006018CC">
        <w:rPr>
          <w:rtl/>
        </w:rPr>
        <w:t>ركزت هذه الدراسة على دور الذكاء الاصطناعي في دعم التحول الكبير الذي يشهده قطاع الصناعة ضمن إطار الثورة الصناعية الرابعة. وسعت إلى تحديد الفرص والتحديات المستقبلية المرتبطة بتطبيقات الذكاء الاصطناعي في المجال الصناعي وتقييم مدى تكامله مع العمليات الإنتاجية.</w:t>
      </w:r>
      <w:r w:rsidRPr="006018CC">
        <w:rPr>
          <w:rFonts w:hint="cs"/>
          <w:rtl/>
        </w:rPr>
        <w:t xml:space="preserve"> </w:t>
      </w:r>
      <w:r w:rsidRPr="006018CC">
        <w:rPr>
          <w:rtl/>
        </w:rPr>
        <w:t>منهجية الدراسة: اعتمدت الدراسة على تحليل معمّق للاتجاهات الحالية والمستقبلية للذكاء الاصطناعي، مع مراجعة شاملة للأبحاث والتقارير العالمية المتعلقة بالذكاء الاصطناعي الصناعي، بهدف تقديم فهم دقيق لكيفية دمج هذه التقنيات في التطبيقات الصناعية.</w:t>
      </w:r>
      <w:r w:rsidRPr="006018CC">
        <w:rPr>
          <w:rFonts w:hint="cs"/>
          <w:rtl/>
        </w:rPr>
        <w:t xml:space="preserve"> </w:t>
      </w:r>
      <w:r w:rsidRPr="006018CC">
        <w:rPr>
          <w:rtl/>
        </w:rPr>
        <w:t xml:space="preserve">النتائج: توصلت الدراسة إلى أن استخدام الذكاء الاصطناعي يؤدي إلى تحسين الأداء التشغيلي والتجاري للمؤسسات الصناعية، ويعزز الابتكار والمرونة في العمليات، كما يسهم في نمو سوق الذكاء الاصطناعي الصناعي على </w:t>
      </w:r>
      <w:r w:rsidRPr="006018CC">
        <w:rPr>
          <w:rtl/>
        </w:rPr>
        <w:lastRenderedPageBreak/>
        <w:t>الصعيد العالمي.</w:t>
      </w:r>
      <w:r w:rsidRPr="006018CC">
        <w:rPr>
          <w:rFonts w:hint="cs"/>
          <w:rtl/>
        </w:rPr>
        <w:t xml:space="preserve"> </w:t>
      </w:r>
      <w:r w:rsidRPr="006018CC">
        <w:rPr>
          <w:rtl/>
        </w:rPr>
        <w:t>التوصيات: أوصت الدراسة بضرورة تبني نهج شامل لتطبيق الذكاء الاصطناعي في الصناعة، مع إجراء تعديلات تنظيمية وتقنية لضمان تنفيذ ناجح، بما يسهم في استدامة وتحقيق الاستفادة القصوى من هذه التقنيات المتقدمة.</w:t>
      </w:r>
      <w:r w:rsidRPr="006018CC">
        <w:rPr>
          <w:rFonts w:hint="cs"/>
          <w:rtl/>
        </w:rPr>
        <w:t xml:space="preserve"> </w:t>
      </w:r>
    </w:p>
    <w:p w14:paraId="736A51CF" w14:textId="77777777" w:rsidR="00F52834" w:rsidRPr="006018CC" w:rsidRDefault="00F52834" w:rsidP="00F52834">
      <w:pPr>
        <w:rPr>
          <w:rtl/>
        </w:rPr>
      </w:pPr>
      <w:r w:rsidRPr="006018CC">
        <w:rPr>
          <w:rtl/>
        </w:rPr>
        <w:t>تهدف دراسة الهادي (2021) إلى استكشاف الآثار المتوقعة لتكنولوجيا الذكاء الاصطناعي على سوق العمل، وذلك من خلال تحليل شامل للدراسات والأبحاث السابقة في هذا المجال</w:t>
      </w:r>
      <w:r w:rsidRPr="006018CC">
        <w:t>.</w:t>
      </w:r>
      <w:r w:rsidRPr="006018CC">
        <w:rPr>
          <w:rFonts w:hint="cs"/>
          <w:rtl/>
        </w:rPr>
        <w:t xml:space="preserve"> </w:t>
      </w:r>
      <w:r w:rsidRPr="006018CC">
        <w:rPr>
          <w:rtl/>
        </w:rPr>
        <w:t>توصلت الدراسة إلى مجموعة من النتائج الهامة</w:t>
      </w:r>
      <w:r w:rsidRPr="006018CC">
        <w:rPr>
          <w:rFonts w:hint="cs"/>
          <w:rtl/>
        </w:rPr>
        <w:t xml:space="preserve"> </w:t>
      </w:r>
      <w:proofErr w:type="gramStart"/>
      <w:r w:rsidRPr="006018CC">
        <w:rPr>
          <w:rFonts w:hint="cs"/>
          <w:rtl/>
        </w:rPr>
        <w:t xml:space="preserve">حيث </w:t>
      </w:r>
      <w:r w:rsidRPr="006018CC">
        <w:rPr>
          <w:rtl/>
        </w:rPr>
        <w:t xml:space="preserve"> يؤكد</w:t>
      </w:r>
      <w:proofErr w:type="gramEnd"/>
      <w:r w:rsidRPr="006018CC">
        <w:rPr>
          <w:rtl/>
        </w:rPr>
        <w:t xml:space="preserve"> البحث أن الذكاء الاصطناعي سيغير بشكل جذري طبيعة العمل والمهن، مما قد يؤدي إلى فقدان بعض الوظائف التقليدية وظهور وظائف جديدة تتطلب مهارات تقنية عالية</w:t>
      </w:r>
      <w:r w:rsidRPr="006018CC">
        <w:t>.</w:t>
      </w:r>
      <w:r w:rsidRPr="006018CC">
        <w:rPr>
          <w:rFonts w:hint="cs"/>
          <w:rtl/>
        </w:rPr>
        <w:t xml:space="preserve"> كما </w:t>
      </w:r>
      <w:r w:rsidRPr="006018CC">
        <w:rPr>
          <w:rtl/>
        </w:rPr>
        <w:t>أشارت الدراسة إلى أن تأثير الذكاء الاصطناعي لن يكون موحدًا، بل سيختلف باختلاف فئات العمال، حيث سيتأثر العمال ذوو المهارات المنخفضة بشكل أكبر</w:t>
      </w:r>
      <w:r w:rsidRPr="006018CC">
        <w:t>.</w:t>
      </w:r>
      <w:r w:rsidRPr="006018CC">
        <w:rPr>
          <w:rFonts w:hint="cs"/>
          <w:rtl/>
        </w:rPr>
        <w:t xml:space="preserve"> و</w:t>
      </w:r>
      <w:r w:rsidRPr="006018CC">
        <w:rPr>
          <w:rtl/>
        </w:rPr>
        <w:t>من المتوقع أن يساهم الذكاء الاصطناعي في زيادة الإنتاجية وتحسين جودة المنتجات والخدمات، مما يدفع عجلة النمو الاقتصادي</w:t>
      </w:r>
      <w:r w:rsidRPr="006018CC">
        <w:t>.</w:t>
      </w:r>
      <w:r w:rsidRPr="006018CC">
        <w:rPr>
          <w:rFonts w:hint="cs"/>
          <w:rtl/>
        </w:rPr>
        <w:t xml:space="preserve"> كما </w:t>
      </w:r>
      <w:r w:rsidRPr="006018CC">
        <w:rPr>
          <w:rtl/>
        </w:rPr>
        <w:t>ستفتح تكنولوجيا الذكاء الاصطناعي الباب أمام ظهور نماذج أعمال مبتكرة وغير تقليدية</w:t>
      </w:r>
      <w:r w:rsidRPr="006018CC">
        <w:t>.</w:t>
      </w:r>
      <w:r w:rsidRPr="006018CC">
        <w:rPr>
          <w:rFonts w:hint="cs"/>
          <w:rtl/>
        </w:rPr>
        <w:t xml:space="preserve"> </w:t>
      </w:r>
      <w:r w:rsidRPr="006018CC">
        <w:rPr>
          <w:rtl/>
        </w:rPr>
        <w:t>أوصت الدراسة بعدة إجراءات</w:t>
      </w:r>
      <w:r w:rsidRPr="006018CC">
        <w:rPr>
          <w:rFonts w:hint="cs"/>
          <w:rtl/>
        </w:rPr>
        <w:t xml:space="preserve"> مثل </w:t>
      </w:r>
      <w:r w:rsidRPr="006018CC">
        <w:rPr>
          <w:rtl/>
        </w:rPr>
        <w:t>ضرورة وضع سياسات تضمن توزيع عوائد الذكاء الاصطناعي بشكل عادل بين أفراد المجتمع</w:t>
      </w:r>
      <w:r w:rsidRPr="006018CC">
        <w:t>.</w:t>
      </w:r>
      <w:r w:rsidRPr="006018CC">
        <w:rPr>
          <w:rFonts w:hint="cs"/>
          <w:rtl/>
        </w:rPr>
        <w:t xml:space="preserve"> و</w:t>
      </w:r>
      <w:r w:rsidRPr="006018CC">
        <w:rPr>
          <w:rtl/>
        </w:rPr>
        <w:t>التركيز على برامج إعادة تأهيل وتدريب العمال المتأثرين بالتحول التكنولوجي</w:t>
      </w:r>
      <w:r w:rsidRPr="006018CC">
        <w:t>.</w:t>
      </w:r>
      <w:r w:rsidRPr="006018CC">
        <w:rPr>
          <w:rFonts w:hint="cs"/>
          <w:rtl/>
        </w:rPr>
        <w:t xml:space="preserve"> و</w:t>
      </w:r>
      <w:r w:rsidRPr="006018CC">
        <w:rPr>
          <w:rtl/>
        </w:rPr>
        <w:t>إجراء المزيد من الدراسات لتعميق فهم الآثار طويلة الأجل للذكاء الاصطناعي على سوق العمل</w:t>
      </w:r>
      <w:r w:rsidRPr="006018CC">
        <w:t>.</w:t>
      </w:r>
      <w:r w:rsidRPr="006018CC">
        <w:rPr>
          <w:rFonts w:hint="cs"/>
          <w:rtl/>
        </w:rPr>
        <w:t xml:space="preserve"> و</w:t>
      </w:r>
      <w:r w:rsidRPr="006018CC">
        <w:rPr>
          <w:rtl/>
        </w:rPr>
        <w:t>تشجيع التعاون بين البشر والذكاء الاصطناعي لتحقيق أقصى استفادة من هذه التقنية</w:t>
      </w:r>
      <w:r w:rsidRPr="006018CC">
        <w:t>.</w:t>
      </w:r>
      <w:r w:rsidRPr="006018CC">
        <w:rPr>
          <w:rFonts w:hint="cs"/>
          <w:rtl/>
        </w:rPr>
        <w:t xml:space="preserve"> </w:t>
      </w:r>
      <w:r w:rsidRPr="006018CC">
        <w:rPr>
          <w:rtl/>
        </w:rPr>
        <w:t>في الختام، أكدت الدراسة أن الذكاء الاصطناعي سيحدث ثورة في عالم العمل، وأن التكيف مع هذه التغيرات يتطلب استعدادًا وتخطيطًا مسبقًا. كما شددت على أهمية الاستفادة من الذكاء الاصطناعي لتعزيز الإنتاجية والابتكار، مع الحرص على معالجة التحديات التي قد يطرحها هذا التطور التكنولوجي</w:t>
      </w:r>
      <w:r w:rsidRPr="006018CC">
        <w:t>.</w:t>
      </w:r>
    </w:p>
    <w:p w14:paraId="50D164D7" w14:textId="77777777" w:rsidR="00F52834" w:rsidRPr="006018CC" w:rsidRDefault="00F52834" w:rsidP="00F52834">
      <w:pPr>
        <w:rPr>
          <w:rtl/>
        </w:rPr>
      </w:pPr>
      <w:r w:rsidRPr="006018CC">
        <w:rPr>
          <w:rtl/>
        </w:rPr>
        <w:t xml:space="preserve">هدفت دراسة </w:t>
      </w:r>
      <w:r w:rsidRPr="006018CC">
        <w:t>Shamim</w:t>
      </w:r>
      <w:r w:rsidRPr="006018CC">
        <w:rPr>
          <w:rtl/>
        </w:rPr>
        <w:t xml:space="preserve"> (2024) بعنوان "الذكاء الاصطناعي في إدارة المشاريع: تعزيز الكفاءة وصنع القرار" إلى استكشاف دور الذكاء الاصطناعي في تحسين ممارسات إدارة المشاريع وتعزيز كفاءتها وعمليات صنع القرار فيها. اتبع الباحثون منهجية بحثية شاملة تضمنت مراجعة الأدبيات ودراسات الحالة والأطر النظرية المتعلقة بدمج تقنيات الذكاء الاصطناعي في إدارة المشاريع. ركزت الدراسة على تحليل الفوائد المحتملة والتحديات والآثار المترتبة على استخدام الذكاء الاصطناعي في جوانب إدارة المشاريع، بما في ذلك التخطيط والجدولة وتخصيص الموارد وإدارة المخاطر والتواصل مع أصحاب المصلحة. توصلت النتائج إلى أن الذكاء الاصطناعي يمكن أن يلعب دورًا محوريًا في تحسين كفاءة وفعالية إدارة المشاريع، مع إمكانية تحسين كبيرة في عمليات التخطيط واتخاذ القرارات. كما سلطت الضوء على الاعتبارات الأخلاقية والتأثيرات المجتمعية المرتبطة بتبني الذكاء الاصطناعي. أوصت الدراسة بتطوير استراتيجيات لدمج الذكاء الاصطناعي بشكل فعال في ممارسات إدارة المشاريع، مع مراعاة الجوانب الأخلاقية والمجتمعية، وأهمية إجراء المزيد من البحوث التطبيقية لتقييم فعالية تطبيقات </w:t>
      </w:r>
      <w:r w:rsidRPr="006018CC">
        <w:rPr>
          <w:rtl/>
        </w:rPr>
        <w:lastRenderedPageBreak/>
        <w:t>الذكاء الاصطناعي في مختلف القطاعات، وتطوير إطار عمل شامل لتوجيه المنظمات في تبني وتنفيذ حلول الذكاء الاصطناعي في إدارة مشاريعها.</w:t>
      </w:r>
    </w:p>
    <w:p w14:paraId="0C1662A7" w14:textId="77777777" w:rsidR="00F52834" w:rsidRPr="006018CC" w:rsidRDefault="00F52834" w:rsidP="00F52834">
      <w:pPr>
        <w:rPr>
          <w:rtl/>
        </w:rPr>
      </w:pPr>
      <w:r w:rsidRPr="006018CC">
        <w:rPr>
          <w:rtl/>
        </w:rPr>
        <w:t xml:space="preserve">سعت دراسة </w:t>
      </w:r>
      <w:proofErr w:type="gramStart"/>
      <w:r w:rsidRPr="006018CC">
        <w:rPr>
          <w:rtl/>
        </w:rPr>
        <w:t>أحمد</w:t>
      </w:r>
      <w:r w:rsidRPr="006018CC">
        <w:t>(</w:t>
      </w:r>
      <w:proofErr w:type="gramEnd"/>
      <w:r w:rsidRPr="006018CC">
        <w:t>2022)</w:t>
      </w:r>
      <w:r w:rsidRPr="006018CC">
        <w:rPr>
          <w:rtl/>
        </w:rPr>
        <w:t xml:space="preserve"> إلى فهم تأثير تطبيقات الذكاء الاصطناعي على القرارات الإدارية والأعمال القانونية، مع التركيز على دور هذه التطبيقات في تحسين تخزين المعلومات واتخاذ القرارات من خلال إنشاء قواعد بيانات واسعة. كما استهدفت اقتراح حلول لتعزيز فعالية الإدارات عبر استخدام الذكاء الاصطناعي</w:t>
      </w:r>
      <w:r w:rsidRPr="006018CC">
        <w:t>.</w:t>
      </w:r>
      <w:r w:rsidRPr="006018CC">
        <w:rPr>
          <w:rFonts w:hint="cs"/>
          <w:rtl/>
        </w:rPr>
        <w:t xml:space="preserve"> </w:t>
      </w:r>
      <w:r w:rsidRPr="006018CC">
        <w:rPr>
          <w:rtl/>
        </w:rPr>
        <w:t>اعتمدت الدراسة المنهج الوصفي التحليلي، حيث تمت مراجعة وتحليل نصوص القوانين والتشريعات، والرد على الأسئلة المطروحة في إشكالية الدراسة للوصول إلى استنتاجات تخدم تحسين الأداء الإداري باستخدام الذكاء الاصطناعي</w:t>
      </w:r>
      <w:r w:rsidRPr="006018CC">
        <w:t>.</w:t>
      </w:r>
      <w:r w:rsidRPr="006018CC">
        <w:rPr>
          <w:rFonts w:hint="cs"/>
          <w:rtl/>
        </w:rPr>
        <w:t xml:space="preserve"> </w:t>
      </w:r>
      <w:r w:rsidRPr="006018CC">
        <w:rPr>
          <w:rtl/>
        </w:rPr>
        <w:t>توصلت الدراسة إلى أن هناك تكاملاً بين الإدارة الحديثة وأنظمة الذكاء الاصطناعي، إذ تساعد هذه الأنظمة في ربط الإدارات داخلياً لتنسيق العمليات وتقديم الخدمات بفعالية. كما أوضحت النتائج أن الأتمتة الذكية لا تعني الاستغناء عن الموظفين، وأن القرارات الإدارية الذكية تتخطى القيود الزمانية والمكانية. ومع ذلك، أشارت النتائج إلى عدم وجود تنظيم قانوني واضح للإدارة الإلكترونية وحماية المستندات الرقمية</w:t>
      </w:r>
      <w:r w:rsidRPr="006018CC">
        <w:t>.</w:t>
      </w:r>
      <w:r w:rsidRPr="006018CC">
        <w:rPr>
          <w:rFonts w:hint="cs"/>
          <w:rtl/>
        </w:rPr>
        <w:t xml:space="preserve"> </w:t>
      </w:r>
      <w:r w:rsidRPr="006018CC">
        <w:rPr>
          <w:rtl/>
        </w:rPr>
        <w:t>أوصت بتحديث التشريعات الحالية بما يواكب تطور الذكاء الاصطناعي في الإدارة، مع وضع أنظمة وقوانين جديدة لتنظيم آليات اتخاذ القرارات الإدارية عبر الذكاء الاصطناعي، وذلك لضمان إدارة فعالة وآمنة للأعمال في ظل التحول الرقمي.</w:t>
      </w:r>
    </w:p>
    <w:p w14:paraId="51D34C47" w14:textId="77777777" w:rsidR="00F52834" w:rsidRPr="006018CC" w:rsidRDefault="00F52834" w:rsidP="00F52834">
      <w:pPr>
        <w:rPr>
          <w:rtl/>
        </w:rPr>
      </w:pPr>
      <w:r w:rsidRPr="006018CC">
        <w:rPr>
          <w:rtl/>
        </w:rPr>
        <w:t>تهدف دراسة حمدي (2022) إلى استكشاف إمكانية تطبيق الذكاء الاصطناعي في مجال التصميم الداخلي، وكيف يمكن لهذه التقنية أن تساهم في تطوير العمليات الإبداعية وتحسين النتائج النهائية</w:t>
      </w:r>
      <w:r w:rsidRPr="006018CC">
        <w:t xml:space="preserve">. </w:t>
      </w:r>
      <w:r w:rsidRPr="006018CC">
        <w:rPr>
          <w:rFonts w:hint="cs"/>
          <w:rtl/>
        </w:rPr>
        <w:t xml:space="preserve"> </w:t>
      </w:r>
      <w:r w:rsidRPr="006018CC">
        <w:rPr>
          <w:rtl/>
        </w:rPr>
        <w:t>أثبتت الدراسة أن الذكاء الاصطناعي يمكن أن يساعد المصممين في جمع وتحليل كميات كبيرة من البيانات، وتوليد أفكار تصميمية مبتكرة بسرعة ودقة، وتقليل الأخطاء البشرية</w:t>
      </w:r>
      <w:r w:rsidRPr="006018CC">
        <w:t>.</w:t>
      </w:r>
      <w:r w:rsidRPr="006018CC">
        <w:rPr>
          <w:rFonts w:hint="cs"/>
          <w:rtl/>
        </w:rPr>
        <w:t xml:space="preserve"> كما </w:t>
      </w:r>
      <w:r w:rsidRPr="006018CC">
        <w:rPr>
          <w:rtl/>
        </w:rPr>
        <w:t>يمكن للذكاء الاصطناعي تحليل سلوكيات وتفضيلات العملاء، وتقديم تصميمات مخصصة تلبي احتياجاتهم بشكل أفضل</w:t>
      </w:r>
      <w:r w:rsidRPr="006018CC">
        <w:t>.</w:t>
      </w:r>
      <w:r w:rsidRPr="006018CC">
        <w:rPr>
          <w:rtl/>
        </w:rPr>
        <w:t xml:space="preserve"> يمكن للذكاء الاصطناعي أتمتة العديد من المهام الروتينية في عملية التصميم، مما يتيح للمصممين التركيز على المهام الإبداعية</w:t>
      </w:r>
      <w:r w:rsidRPr="006018CC">
        <w:t>.</w:t>
      </w:r>
      <w:r w:rsidRPr="006018CC">
        <w:rPr>
          <w:rFonts w:hint="cs"/>
          <w:rtl/>
        </w:rPr>
        <w:t xml:space="preserve"> و</w:t>
      </w:r>
      <w:r w:rsidRPr="006018CC">
        <w:rPr>
          <w:rtl/>
        </w:rPr>
        <w:t>يمكن للذكاء الاصطناعي تحسين إدارة المشاريع من خلال توفير أدوات للتخطيط والتنفيذ ومتابعة سير العمل</w:t>
      </w:r>
      <w:r w:rsidRPr="006018CC">
        <w:t>.</w:t>
      </w:r>
      <w:r w:rsidRPr="006018CC">
        <w:rPr>
          <w:rFonts w:hint="cs"/>
          <w:rtl/>
        </w:rPr>
        <w:t xml:space="preserve"> </w:t>
      </w:r>
      <w:r w:rsidRPr="006018CC">
        <w:rPr>
          <w:rtl/>
        </w:rPr>
        <w:t>شجعت الدراسة شركات التصميم والاستشارات على تبني تقنيات الذكاء الاصطناعي للاستفادة من مزاياها في تحسين الكفاءة والابتكار</w:t>
      </w:r>
      <w:r w:rsidRPr="006018CC">
        <w:t>.</w:t>
      </w:r>
      <w:r w:rsidRPr="006018CC">
        <w:rPr>
          <w:rFonts w:hint="cs"/>
          <w:rtl/>
        </w:rPr>
        <w:t xml:space="preserve"> </w:t>
      </w:r>
      <w:r w:rsidRPr="006018CC">
        <w:rPr>
          <w:rtl/>
        </w:rPr>
        <w:t>أكدت الدراسة على أهمية تدريب المصممين على استخدام أدوات الذكاء الاصطناعي، وتعريفهم بإمكانياتها</w:t>
      </w:r>
      <w:r w:rsidRPr="006018CC">
        <w:t>.</w:t>
      </w:r>
      <w:r w:rsidRPr="006018CC">
        <w:rPr>
          <w:rFonts w:hint="cs"/>
          <w:rtl/>
        </w:rPr>
        <w:t xml:space="preserve"> </w:t>
      </w:r>
      <w:r w:rsidRPr="006018CC">
        <w:rPr>
          <w:rtl/>
        </w:rPr>
        <w:t>اقترحت الدراسة إدراج مبادئ الذكاء الاصطناعي وتطبيقاته في مجال التصميم الداخلي ضمن المناهج الدراسية</w:t>
      </w:r>
      <w:r w:rsidRPr="006018CC">
        <w:t>.</w:t>
      </w:r>
      <w:r w:rsidRPr="006018CC">
        <w:rPr>
          <w:rFonts w:hint="cs"/>
          <w:rtl/>
        </w:rPr>
        <w:t xml:space="preserve">  </w:t>
      </w:r>
      <w:r w:rsidRPr="006018CC">
        <w:rPr>
          <w:rtl/>
        </w:rPr>
        <w:t>بشكل عام، تؤكد دراسة حمدي أن الذكاء الاصطناعي يمثل أداة قوية يمكن أن تحدث ثورة في مجال التصميم الداخلي، مما يفتح آفاقًا جديدة للإبداع والابتكار</w:t>
      </w:r>
      <w:r w:rsidRPr="006018CC">
        <w:t>.</w:t>
      </w:r>
    </w:p>
    <w:p w14:paraId="32220EB2" w14:textId="77777777" w:rsidR="00F52834" w:rsidRPr="00573121" w:rsidRDefault="00F52834" w:rsidP="00573121">
      <w:pPr>
        <w:pStyle w:val="3"/>
        <w:rPr>
          <w:rtl/>
        </w:rPr>
      </w:pPr>
      <w:bookmarkStart w:id="11" w:name="_Toc189599543"/>
      <w:r w:rsidRPr="00573121">
        <w:rPr>
          <w:rFonts w:hint="cs"/>
          <w:rtl/>
        </w:rPr>
        <w:t>التعقيب على الدراسات السابقة</w:t>
      </w:r>
      <w:bookmarkEnd w:id="11"/>
    </w:p>
    <w:p w14:paraId="5F9A8067" w14:textId="77777777" w:rsidR="00F52834" w:rsidRPr="006018CC" w:rsidRDefault="00F52834" w:rsidP="00F52834">
      <w:pPr>
        <w:rPr>
          <w:rtl/>
        </w:rPr>
      </w:pPr>
      <w:r w:rsidRPr="006018CC">
        <w:rPr>
          <w:rtl/>
        </w:rPr>
        <w:lastRenderedPageBreak/>
        <w:t xml:space="preserve">تقدم مجموعة الدراسات التي تم </w:t>
      </w:r>
      <w:r w:rsidRPr="006018CC">
        <w:rPr>
          <w:rFonts w:hint="cs"/>
          <w:rtl/>
        </w:rPr>
        <w:t>عرضها</w:t>
      </w:r>
      <w:r w:rsidRPr="006018CC">
        <w:rPr>
          <w:rtl/>
        </w:rPr>
        <w:t xml:space="preserve"> نظرة شاملة حول الدور المتزايد للذكاء الاصطناعي في مختلف القطاعات والمجالات. تتفق هذه الدراسات على أن الذكاء الاصطناعي أصبح محركًا رئيسيًا للابتكار والتحول الرقمي، مما يؤثر بشكل كبير على كفاءة المؤسسات وقدرتها التنافسية</w:t>
      </w:r>
      <w:r w:rsidRPr="006018CC">
        <w:t>.</w:t>
      </w:r>
    </w:p>
    <w:p w14:paraId="453CE308" w14:textId="77777777" w:rsidR="00F52834" w:rsidRPr="006018CC" w:rsidRDefault="00F52834" w:rsidP="00F52834">
      <w:pPr>
        <w:rPr>
          <w:rtl/>
        </w:rPr>
      </w:pPr>
      <w:r w:rsidRPr="006018CC">
        <w:rPr>
          <w:rtl/>
        </w:rPr>
        <w:t>النقاط الرئيسية التي أبرزتها الدراسات</w:t>
      </w:r>
      <w:r w:rsidRPr="006018CC">
        <w:t>:</w:t>
      </w:r>
    </w:p>
    <w:p w14:paraId="4BDE8E29" w14:textId="77777777" w:rsidR="00F52834" w:rsidRPr="006018CC" w:rsidRDefault="00F52834" w:rsidP="00F52834">
      <w:pPr>
        <w:rPr>
          <w:rtl/>
        </w:rPr>
      </w:pPr>
      <w:r w:rsidRPr="006018CC">
        <w:rPr>
          <w:rtl/>
        </w:rPr>
        <w:t>1</w:t>
      </w:r>
      <w:r w:rsidRPr="006018CC">
        <w:t xml:space="preserve">. </w:t>
      </w:r>
      <w:r w:rsidRPr="006018CC">
        <w:rPr>
          <w:rtl/>
        </w:rPr>
        <w:t>التأثير الإيجابي للذكاء الاصطناعي على الابتكار: أظهرت جميع الدراسات تقريبًا علاقة إيجابية بين اعتماد الذكاء الاصطناعي وزيادة مستوى الابتكار في المؤسسات. تساهم هذه التقنية في تسريع عمليات تطوير المنتجات والخدمات، وتحسين جودتها، وتوليد أفكار جديدة</w:t>
      </w:r>
      <w:r w:rsidRPr="006018CC">
        <w:t>.</w:t>
      </w:r>
    </w:p>
    <w:p w14:paraId="34009615" w14:textId="77777777" w:rsidR="00F52834" w:rsidRPr="006018CC" w:rsidRDefault="00F52834" w:rsidP="00F52834">
      <w:pPr>
        <w:rPr>
          <w:rtl/>
        </w:rPr>
      </w:pPr>
      <w:r w:rsidRPr="006018CC">
        <w:rPr>
          <w:rtl/>
        </w:rPr>
        <w:t>2</w:t>
      </w:r>
      <w:r w:rsidRPr="006018CC">
        <w:t xml:space="preserve">. </w:t>
      </w:r>
      <w:r w:rsidRPr="006018CC">
        <w:rPr>
          <w:rtl/>
        </w:rPr>
        <w:t>تعزيز القدرة التنافسية: أكدت الدراسات على دور الذكاء الاصطناعي في تعزيز القدرة التنافسية للمؤسسات، وذلك من خلال تحسين الكفاءة، وتقديم خدمات مخصصة للعملاء، وتقليل التكاليف</w:t>
      </w:r>
      <w:r w:rsidRPr="006018CC">
        <w:t>.</w:t>
      </w:r>
    </w:p>
    <w:p w14:paraId="158A7FA5" w14:textId="77777777" w:rsidR="00F52834" w:rsidRPr="006018CC" w:rsidRDefault="00F52834" w:rsidP="00F52834">
      <w:pPr>
        <w:rPr>
          <w:rtl/>
        </w:rPr>
      </w:pPr>
      <w:r w:rsidRPr="006018CC">
        <w:rPr>
          <w:rtl/>
        </w:rPr>
        <w:t>3</w:t>
      </w:r>
      <w:r w:rsidRPr="006018CC">
        <w:t xml:space="preserve">. </w:t>
      </w:r>
      <w:r w:rsidRPr="006018CC">
        <w:rPr>
          <w:rtl/>
        </w:rPr>
        <w:t>التحديات والمخاطر: إلى جانب الفوائد، أشارت بعض الدراسات إلى وجود تحديات مثل نقص الكفاءات، وتكاليف التبني المرتفعة، والقضايا الأخلاقية المرتبطة باستخدام الذكاء الاصطناعي</w:t>
      </w:r>
      <w:r w:rsidRPr="006018CC">
        <w:t>.</w:t>
      </w:r>
    </w:p>
    <w:p w14:paraId="7D4F9283" w14:textId="77777777" w:rsidR="00F52834" w:rsidRPr="006018CC" w:rsidRDefault="00F52834" w:rsidP="00F52834">
      <w:pPr>
        <w:rPr>
          <w:rtl/>
        </w:rPr>
      </w:pPr>
      <w:r w:rsidRPr="006018CC">
        <w:rPr>
          <w:rtl/>
        </w:rPr>
        <w:t>4</w:t>
      </w:r>
      <w:r w:rsidRPr="006018CC">
        <w:t xml:space="preserve">. </w:t>
      </w:r>
      <w:r w:rsidRPr="006018CC">
        <w:rPr>
          <w:rtl/>
        </w:rPr>
        <w:t>أهمية الاستثمار في البنية التحتية: شددت العديد من الدراسات على أهمية الاستثمار في البنية التحتية التكنولوجية وتدريب الكوادر البشرية لضمان الاستفادة القصوى من الذكاء الاصطناعي</w:t>
      </w:r>
      <w:r w:rsidRPr="006018CC">
        <w:t>.</w:t>
      </w:r>
    </w:p>
    <w:p w14:paraId="70B4A6EB" w14:textId="77777777" w:rsidR="00F52834" w:rsidRPr="006018CC" w:rsidRDefault="00F52834" w:rsidP="00F52834">
      <w:pPr>
        <w:rPr>
          <w:rtl/>
        </w:rPr>
      </w:pPr>
      <w:r w:rsidRPr="006018CC">
        <w:rPr>
          <w:rtl/>
        </w:rPr>
        <w:t>5</w:t>
      </w:r>
      <w:r w:rsidRPr="006018CC">
        <w:t xml:space="preserve">. </w:t>
      </w:r>
      <w:r w:rsidRPr="006018CC">
        <w:rPr>
          <w:rtl/>
        </w:rPr>
        <w:t>التحول الرقمي الشامل: أكدت الدراسات على ضرورة تبني نهج شامل للتحول الرقمي، يشمل جميع جوانب المؤسسة، وليس مجرد اعتماد تقنيات معينة</w:t>
      </w:r>
      <w:r w:rsidRPr="006018CC">
        <w:t>.</w:t>
      </w:r>
    </w:p>
    <w:p w14:paraId="01DB97BE" w14:textId="77777777" w:rsidR="00F52834" w:rsidRPr="006018CC" w:rsidRDefault="00F52834" w:rsidP="00F52834">
      <w:pPr>
        <w:rPr>
          <w:rtl/>
        </w:rPr>
      </w:pPr>
      <w:r w:rsidRPr="006018CC">
        <w:rPr>
          <w:rtl/>
        </w:rPr>
        <w:t>التوصيات العامة</w:t>
      </w:r>
      <w:r w:rsidRPr="006018CC">
        <w:t>:</w:t>
      </w:r>
    </w:p>
    <w:p w14:paraId="605915F5" w14:textId="77777777" w:rsidR="00F52834" w:rsidRPr="006018CC" w:rsidRDefault="00F52834" w:rsidP="00F52834">
      <w:pPr>
        <w:numPr>
          <w:ilvl w:val="0"/>
          <w:numId w:val="7"/>
        </w:numPr>
        <w:rPr>
          <w:rtl/>
        </w:rPr>
      </w:pPr>
      <w:r w:rsidRPr="006018CC">
        <w:rPr>
          <w:rtl/>
        </w:rPr>
        <w:t>تبني استراتيجية واضحة للذكاء الاصطناعي: يجب على المؤسسات وضع استراتيجية واضحة لتبني الذكاء الاصطناعي، تحدد الأهداف، وتحدد الأولويات، وتضع خططًا لتنفيذها</w:t>
      </w:r>
      <w:r w:rsidRPr="006018CC">
        <w:t>.</w:t>
      </w:r>
    </w:p>
    <w:p w14:paraId="54AC5237" w14:textId="77777777" w:rsidR="00F52834" w:rsidRPr="006018CC" w:rsidRDefault="00F52834" w:rsidP="00F52834">
      <w:pPr>
        <w:numPr>
          <w:ilvl w:val="0"/>
          <w:numId w:val="7"/>
        </w:numPr>
        <w:rPr>
          <w:rtl/>
        </w:rPr>
      </w:pPr>
      <w:r w:rsidRPr="006018CC">
        <w:rPr>
          <w:rtl/>
        </w:rPr>
        <w:t>الاستثمار في البنية التحتية والتدريب: يجب على المؤسسات الاستثمار في تطوير البنية التحتية التكنولوجية وتدريب الموظفين على استخدام أدوات الذكاء الاصطناعي</w:t>
      </w:r>
      <w:r w:rsidRPr="006018CC">
        <w:t>.</w:t>
      </w:r>
    </w:p>
    <w:p w14:paraId="71DADC46" w14:textId="77777777" w:rsidR="00F52834" w:rsidRPr="006018CC" w:rsidRDefault="00F52834" w:rsidP="00F52834">
      <w:pPr>
        <w:numPr>
          <w:ilvl w:val="0"/>
          <w:numId w:val="7"/>
        </w:numPr>
        <w:rPr>
          <w:rtl/>
        </w:rPr>
      </w:pPr>
      <w:r w:rsidRPr="006018CC">
        <w:rPr>
          <w:rtl/>
        </w:rPr>
        <w:t>التركيز على الابتكار: يجب على المؤسسات تشجيع الابتكار وتوفير بيئة محفزة للإبداع</w:t>
      </w:r>
      <w:r w:rsidRPr="006018CC">
        <w:t>.</w:t>
      </w:r>
    </w:p>
    <w:p w14:paraId="74415087" w14:textId="77777777" w:rsidR="00F52834" w:rsidRPr="006018CC" w:rsidRDefault="00F52834" w:rsidP="00F52834">
      <w:pPr>
        <w:numPr>
          <w:ilvl w:val="0"/>
          <w:numId w:val="7"/>
        </w:numPr>
        <w:rPr>
          <w:rtl/>
        </w:rPr>
      </w:pPr>
      <w:r w:rsidRPr="006018CC">
        <w:rPr>
          <w:rtl/>
        </w:rPr>
        <w:t>الاهتمام بالقضايا الأخلاقية: يجب على المؤسسات الالتزام بالمعايير الأخلاقية في استخدام الذكاء الاصطناعي، وضمان حماية البيانات والخصوصية</w:t>
      </w:r>
      <w:r w:rsidRPr="006018CC">
        <w:t>.</w:t>
      </w:r>
    </w:p>
    <w:p w14:paraId="08BB48DA" w14:textId="77777777" w:rsidR="00F52834" w:rsidRPr="006018CC" w:rsidRDefault="00F52834" w:rsidP="00F52834">
      <w:pPr>
        <w:numPr>
          <w:ilvl w:val="0"/>
          <w:numId w:val="7"/>
        </w:numPr>
        <w:rPr>
          <w:rtl/>
        </w:rPr>
      </w:pPr>
      <w:r w:rsidRPr="006018CC">
        <w:rPr>
          <w:rtl/>
        </w:rPr>
        <w:t>التعاون مع الشركاء: يجب على المؤسسات التعاون مع الشركاء الأكاديميين والصناعيين لتطوير تطبيقات الذكاء الاصطناعي المخصصة</w:t>
      </w:r>
      <w:r w:rsidRPr="006018CC">
        <w:t>.</w:t>
      </w:r>
    </w:p>
    <w:p w14:paraId="13E685C6" w14:textId="77777777" w:rsidR="00F52834" w:rsidRPr="006018CC" w:rsidRDefault="00F52834" w:rsidP="00F52834">
      <w:pPr>
        <w:rPr>
          <w:rtl/>
        </w:rPr>
      </w:pPr>
      <w:r w:rsidRPr="006018CC">
        <w:rPr>
          <w:rtl/>
        </w:rPr>
        <w:lastRenderedPageBreak/>
        <w:t>تؤكد الدراسات التي تم تحليلها على الدور المحوري للذكاء الاصطناعي في تشكيل مستقبل الأعمال والمؤسسات. إن التبني الفعال للذكاء الاصطناعي يمكن أن يساهم في تحسين الكفاءة، وتعزيز الابتكار، وزيادة القدرة التنافسية. ومع ذلك، يجب على المؤسسات أن تكون مستعدة لتجاوز التحديات والعمل على تطوير الكفاءات اللازمة للاستفادة من هذه التقنية المتقدمة</w:t>
      </w:r>
      <w:r w:rsidRPr="006018CC">
        <w:t>.</w:t>
      </w:r>
    </w:p>
    <w:p w14:paraId="0DA6C7B6" w14:textId="77777777" w:rsidR="00F52834" w:rsidRPr="006018CC" w:rsidRDefault="00F52834" w:rsidP="00F52834">
      <w:pPr>
        <w:rPr>
          <w:rtl/>
        </w:rPr>
      </w:pPr>
      <w:r w:rsidRPr="006018CC">
        <w:rPr>
          <w:rFonts w:hint="cs"/>
          <w:rtl/>
        </w:rPr>
        <w:t xml:space="preserve">تقدم الدراسات السابقة مجموعة </w:t>
      </w:r>
      <w:r w:rsidRPr="006018CC">
        <w:rPr>
          <w:rtl/>
        </w:rPr>
        <w:t>أسئلة للنقاش</w:t>
      </w:r>
      <w:r w:rsidRPr="006018CC">
        <w:t>:</w:t>
      </w:r>
    </w:p>
    <w:p w14:paraId="52484F3B" w14:textId="77777777" w:rsidR="00F52834" w:rsidRPr="006018CC" w:rsidRDefault="00F52834" w:rsidP="00F52834">
      <w:pPr>
        <w:numPr>
          <w:ilvl w:val="0"/>
          <w:numId w:val="8"/>
        </w:numPr>
        <w:rPr>
          <w:rtl/>
        </w:rPr>
      </w:pPr>
      <w:r w:rsidRPr="006018CC">
        <w:rPr>
          <w:rtl/>
        </w:rPr>
        <w:t>ما هي التحديات الرئيسية التي تواجه المؤسسات العربية في تبني الذكاء الاصطناعي؟</w:t>
      </w:r>
    </w:p>
    <w:p w14:paraId="3B147A87" w14:textId="77777777" w:rsidR="00F52834" w:rsidRPr="006018CC" w:rsidRDefault="00F52834" w:rsidP="00F52834">
      <w:pPr>
        <w:numPr>
          <w:ilvl w:val="0"/>
          <w:numId w:val="8"/>
        </w:numPr>
        <w:rPr>
          <w:rtl/>
        </w:rPr>
      </w:pPr>
      <w:r w:rsidRPr="006018CC">
        <w:rPr>
          <w:rtl/>
        </w:rPr>
        <w:t>كيف يمكن للمؤسسات الصغيرة والمتوسطة الاستفادة من الذكاء الاصطناعي؟</w:t>
      </w:r>
    </w:p>
    <w:p w14:paraId="1BAD5CB2" w14:textId="77777777" w:rsidR="00F52834" w:rsidRPr="006018CC" w:rsidRDefault="00F52834" w:rsidP="00F52834">
      <w:pPr>
        <w:numPr>
          <w:ilvl w:val="0"/>
          <w:numId w:val="8"/>
        </w:numPr>
        <w:rPr>
          <w:rtl/>
        </w:rPr>
      </w:pPr>
      <w:r w:rsidRPr="006018CC">
        <w:rPr>
          <w:rtl/>
        </w:rPr>
        <w:t>ما هي الآثار الاجتماعية والاقتصادية المحتملة لتوسع استخدام الذكاء الاصطناعي؟</w:t>
      </w:r>
    </w:p>
    <w:p w14:paraId="64C9CF5C" w14:textId="77777777" w:rsidR="00F52834" w:rsidRPr="006018CC" w:rsidRDefault="00F52834" w:rsidP="00F52834">
      <w:pPr>
        <w:rPr>
          <w:rtl/>
        </w:rPr>
      </w:pPr>
      <w:r w:rsidRPr="006018CC">
        <w:t xml:space="preserve"> </w:t>
      </w:r>
      <w:r w:rsidRPr="006018CC">
        <w:rPr>
          <w:rtl/>
        </w:rPr>
        <w:t>أوجه الاستفادة من الدراسات السابقة في الدراسة الحالية</w:t>
      </w:r>
    </w:p>
    <w:p w14:paraId="2D24ED31" w14:textId="77777777" w:rsidR="00F52834" w:rsidRPr="006018CC" w:rsidRDefault="00F52834" w:rsidP="00F52834">
      <w:pPr>
        <w:rPr>
          <w:rtl/>
        </w:rPr>
      </w:pPr>
      <w:r w:rsidRPr="006018CC">
        <w:rPr>
          <w:rtl/>
        </w:rPr>
        <w:t>تعد الدراسات السابقة بمثابة خارطة طريق، حيث توفر قاعدة معرفية قوية تساع</w:t>
      </w:r>
      <w:r w:rsidRPr="006018CC">
        <w:rPr>
          <w:rFonts w:hint="cs"/>
          <w:rtl/>
        </w:rPr>
        <w:t>د</w:t>
      </w:r>
      <w:r w:rsidRPr="006018CC">
        <w:rPr>
          <w:rtl/>
        </w:rPr>
        <w:t xml:space="preserve"> على بناء </w:t>
      </w:r>
      <w:r w:rsidRPr="006018CC">
        <w:rPr>
          <w:rFonts w:hint="cs"/>
          <w:rtl/>
        </w:rPr>
        <w:t xml:space="preserve">الدراسة وتطويرها وفي ذلك: </w:t>
      </w:r>
    </w:p>
    <w:p w14:paraId="7CAC326F" w14:textId="77777777" w:rsidR="00F52834" w:rsidRPr="006018CC" w:rsidRDefault="00F52834" w:rsidP="00F52834">
      <w:pPr>
        <w:numPr>
          <w:ilvl w:val="0"/>
          <w:numId w:val="9"/>
        </w:numPr>
        <w:rPr>
          <w:rtl/>
        </w:rPr>
      </w:pPr>
      <w:r w:rsidRPr="006018CC">
        <w:rPr>
          <w:rtl/>
        </w:rPr>
        <w:t>كشف الثغرات: تساعد الدراسات السابقة في تحديد الجوانب التي لم يتم تناولها بشكل كافٍ أو التي تحتاج إلى مزيد من البحث</w:t>
      </w:r>
      <w:r w:rsidRPr="006018CC">
        <w:t>.</w:t>
      </w:r>
    </w:p>
    <w:p w14:paraId="7517D105" w14:textId="77777777" w:rsidR="00F52834" w:rsidRPr="006018CC" w:rsidRDefault="00F52834" w:rsidP="00F52834">
      <w:pPr>
        <w:numPr>
          <w:ilvl w:val="0"/>
          <w:numId w:val="9"/>
        </w:numPr>
        <w:rPr>
          <w:rtl/>
        </w:rPr>
      </w:pPr>
      <w:r w:rsidRPr="006018CC">
        <w:rPr>
          <w:rtl/>
        </w:rPr>
        <w:t>تحديد المفاهيم: تساعد في تحديد المفاهيم الرئيسية المتعلقة ببحثك وتوضيح العلاقة بينها</w:t>
      </w:r>
      <w:r w:rsidRPr="006018CC">
        <w:t>.</w:t>
      </w:r>
    </w:p>
    <w:p w14:paraId="2DBAA108" w14:textId="77777777" w:rsidR="00F52834" w:rsidRPr="006018CC" w:rsidRDefault="00F52834" w:rsidP="00F52834">
      <w:pPr>
        <w:numPr>
          <w:ilvl w:val="0"/>
          <w:numId w:val="9"/>
        </w:numPr>
        <w:rPr>
          <w:rtl/>
        </w:rPr>
      </w:pPr>
      <w:r w:rsidRPr="006018CC">
        <w:rPr>
          <w:rtl/>
        </w:rPr>
        <w:t>بناء النماذج: تساعد في بناء نماذج مفاهيمية توضح العلاقة بين المتغيرات المختلفة</w:t>
      </w:r>
      <w:r w:rsidRPr="006018CC">
        <w:t>.</w:t>
      </w:r>
    </w:p>
    <w:p w14:paraId="6BC07F41" w14:textId="77777777" w:rsidR="00F52834" w:rsidRPr="006018CC" w:rsidRDefault="00F52834" w:rsidP="00F52834">
      <w:pPr>
        <w:numPr>
          <w:ilvl w:val="0"/>
          <w:numId w:val="9"/>
        </w:numPr>
        <w:rPr>
          <w:rtl/>
        </w:rPr>
      </w:pPr>
      <w:r w:rsidRPr="006018CC">
        <w:rPr>
          <w:rtl/>
        </w:rPr>
        <w:t>دراسة المنهجيات السابقة: تساعد في فهم المنهجيات المختلفة التي يمكن استخدامها في البحث وكيفية تطبيقها</w:t>
      </w:r>
      <w:r w:rsidRPr="006018CC">
        <w:t>.</w:t>
      </w:r>
    </w:p>
    <w:p w14:paraId="52DEC82A" w14:textId="77777777" w:rsidR="00F52834" w:rsidRPr="006018CC" w:rsidRDefault="00F52834" w:rsidP="00F52834">
      <w:pPr>
        <w:numPr>
          <w:ilvl w:val="0"/>
          <w:numId w:val="9"/>
        </w:numPr>
        <w:rPr>
          <w:rtl/>
        </w:rPr>
      </w:pPr>
      <w:r w:rsidRPr="006018CC">
        <w:rPr>
          <w:rtl/>
        </w:rPr>
        <w:t>الاستفادة من الفرضيات السابقة: تساعد في صياغة فرضيات جديدة بناءً على الفرضيات التي تم اختبارها في الدراسات السابقة</w:t>
      </w:r>
      <w:r w:rsidRPr="006018CC">
        <w:t>.</w:t>
      </w:r>
    </w:p>
    <w:p w14:paraId="47B1CE4C" w14:textId="77777777" w:rsidR="00F52834" w:rsidRPr="006018CC" w:rsidRDefault="00F52834" w:rsidP="00F52834">
      <w:pPr>
        <w:numPr>
          <w:ilvl w:val="0"/>
          <w:numId w:val="9"/>
        </w:numPr>
        <w:rPr>
          <w:rtl/>
        </w:rPr>
      </w:pPr>
      <w:r w:rsidRPr="006018CC">
        <w:rPr>
          <w:rtl/>
        </w:rPr>
        <w:t>تطوير فرضيات بديلة: تساعد في تطوير فرضيات بديلة يمكن اختبارها</w:t>
      </w:r>
      <w:r w:rsidRPr="006018CC">
        <w:t>.</w:t>
      </w:r>
    </w:p>
    <w:p w14:paraId="0B4407B0" w14:textId="77777777" w:rsidR="00F52834" w:rsidRPr="006018CC" w:rsidRDefault="00F52834" w:rsidP="00F52834">
      <w:pPr>
        <w:numPr>
          <w:ilvl w:val="0"/>
          <w:numId w:val="9"/>
        </w:numPr>
        <w:rPr>
          <w:rtl/>
        </w:rPr>
      </w:pPr>
      <w:r w:rsidRPr="006018CC">
        <w:rPr>
          <w:rtl/>
        </w:rPr>
        <w:t>تحديد الأدوات المناسبة: تساعد في تحديد الأدوات المناسبة لجمع البيانات، مثل الاستبيانات والمقابلات والملاحظات</w:t>
      </w:r>
      <w:r w:rsidRPr="006018CC">
        <w:t>.</w:t>
      </w:r>
    </w:p>
    <w:p w14:paraId="4BE7A8C1" w14:textId="77777777" w:rsidR="00F52834" w:rsidRPr="006018CC" w:rsidRDefault="00F52834" w:rsidP="00F52834">
      <w:pPr>
        <w:numPr>
          <w:ilvl w:val="0"/>
          <w:numId w:val="9"/>
        </w:numPr>
        <w:rPr>
          <w:rtl/>
        </w:rPr>
      </w:pPr>
      <w:r w:rsidRPr="006018CC">
        <w:rPr>
          <w:rtl/>
        </w:rPr>
        <w:t>تطوير أدوات جديدة: تساعد في تطوير أدوات جديدة لجمع البيانات إذا لزم الأمر</w:t>
      </w:r>
      <w:r w:rsidRPr="006018CC">
        <w:t>.</w:t>
      </w:r>
    </w:p>
    <w:p w14:paraId="1141C856" w14:textId="77777777" w:rsidR="00F52834" w:rsidRPr="006018CC" w:rsidRDefault="00F52834" w:rsidP="00F52834">
      <w:pPr>
        <w:numPr>
          <w:ilvl w:val="0"/>
          <w:numId w:val="9"/>
        </w:numPr>
        <w:rPr>
          <w:rtl/>
        </w:rPr>
      </w:pPr>
      <w:r w:rsidRPr="006018CC">
        <w:rPr>
          <w:rtl/>
        </w:rPr>
        <w:t>استخدام التقنيات الإحصائية: تساعد في اختيار التقنيات الإحصائية المناسبة لتحليل البيانات</w:t>
      </w:r>
      <w:r w:rsidRPr="006018CC">
        <w:t>.</w:t>
      </w:r>
    </w:p>
    <w:p w14:paraId="23AF4504" w14:textId="77777777" w:rsidR="00F52834" w:rsidRPr="006018CC" w:rsidRDefault="00F52834" w:rsidP="00F52834">
      <w:pPr>
        <w:numPr>
          <w:ilvl w:val="0"/>
          <w:numId w:val="9"/>
        </w:numPr>
        <w:rPr>
          <w:rtl/>
        </w:rPr>
      </w:pPr>
      <w:r w:rsidRPr="006018CC">
        <w:rPr>
          <w:rtl/>
        </w:rPr>
        <w:lastRenderedPageBreak/>
        <w:t>تفسير النتائج: تساعد في تفسير النتائج بشكل أفضل من خلال مقارنتها بنتائج الدراسات السابقة</w:t>
      </w:r>
      <w:r w:rsidRPr="006018CC">
        <w:t>.</w:t>
      </w:r>
    </w:p>
    <w:p w14:paraId="15F75FA8" w14:textId="77777777" w:rsidR="00F52834" w:rsidRPr="006018CC" w:rsidRDefault="00F52834" w:rsidP="00F52834">
      <w:pPr>
        <w:numPr>
          <w:ilvl w:val="0"/>
          <w:numId w:val="9"/>
        </w:numPr>
        <w:rPr>
          <w:rtl/>
        </w:rPr>
      </w:pPr>
      <w:r w:rsidRPr="006018CC">
        <w:rPr>
          <w:rtl/>
        </w:rPr>
        <w:t>مقارنة النتائج: تساعد في مقارنة نتائج الدراسة الحالية بنتائج الدراسات السابقة لتعميم النتائج</w:t>
      </w:r>
      <w:r w:rsidRPr="006018CC">
        <w:t>.</w:t>
      </w:r>
    </w:p>
    <w:p w14:paraId="4E1D6228" w14:textId="77777777" w:rsidR="00F52834" w:rsidRPr="006018CC" w:rsidRDefault="00F52834" w:rsidP="00F52834">
      <w:pPr>
        <w:numPr>
          <w:ilvl w:val="0"/>
          <w:numId w:val="9"/>
        </w:numPr>
        <w:rPr>
          <w:rtl/>
        </w:rPr>
      </w:pPr>
      <w:r w:rsidRPr="006018CC">
        <w:rPr>
          <w:rtl/>
        </w:rPr>
        <w:t>الاستفادة من التوصيات السابقة: تساعد في وضع توصيات جديدة بناءً على التوصيات التي تم تقديمها في الدراسات السابقة</w:t>
      </w:r>
      <w:r w:rsidRPr="006018CC">
        <w:t>.</w:t>
      </w:r>
    </w:p>
    <w:p w14:paraId="584B863A" w14:textId="77777777" w:rsidR="00F52834" w:rsidRPr="006018CC" w:rsidRDefault="00F52834" w:rsidP="00F52834">
      <w:pPr>
        <w:rPr>
          <w:rtl/>
        </w:rPr>
      </w:pPr>
      <w:r w:rsidRPr="006018CC">
        <w:t xml:space="preserve"> </w:t>
      </w:r>
      <w:r w:rsidRPr="006018CC">
        <w:rPr>
          <w:rtl/>
        </w:rPr>
        <w:t>بشكل عام، يمكن القول إن الدراسات السابقة تشكل حجر الأساس لبناء المعرفة وتطويرها. من خلال الاستفادة منها بشكل صحيح، يمكن للباحثين تجنب تكرار الأخطاء السابقة، وإنتاج أبحاث ذات جودة عالية تساهم في تقدم المعرفة في مجالهم</w:t>
      </w:r>
      <w:r w:rsidRPr="006018CC">
        <w:t>.</w:t>
      </w:r>
    </w:p>
    <w:p w14:paraId="3346197E" w14:textId="090372D3" w:rsidR="00F52834" w:rsidRPr="006018CC" w:rsidRDefault="00603F3B" w:rsidP="00573121">
      <w:pPr>
        <w:pStyle w:val="2"/>
        <w:rPr>
          <w:rtl/>
        </w:rPr>
      </w:pPr>
      <w:bookmarkStart w:id="12" w:name="_Toc189599544"/>
      <w:r>
        <w:rPr>
          <w:rFonts w:hint="cs"/>
          <w:rtl/>
          <w:lang w:bidi="ar-SY"/>
        </w:rPr>
        <w:t>الإطار النظري</w:t>
      </w:r>
      <w:r w:rsidR="00F52834" w:rsidRPr="006018CC">
        <w:rPr>
          <w:rFonts w:hint="cs"/>
          <w:rtl/>
        </w:rPr>
        <w:t xml:space="preserve"> للدراسة:</w:t>
      </w:r>
      <w:bookmarkEnd w:id="12"/>
    </w:p>
    <w:p w14:paraId="234CB531" w14:textId="527A1482" w:rsidR="00F52834" w:rsidRPr="006018CC" w:rsidRDefault="00F52834" w:rsidP="00573121">
      <w:pPr>
        <w:spacing w:after="0"/>
        <w:ind w:firstLine="0"/>
        <w:rPr>
          <w:rtl/>
        </w:rPr>
      </w:pPr>
      <w:r w:rsidRPr="006018CC">
        <w:rPr>
          <w:rtl/>
        </w:rPr>
        <w:t xml:space="preserve">تعتمد الدراسة الحالية على مجموع من النظريات وهي: </w:t>
      </w:r>
    </w:p>
    <w:p w14:paraId="50CFD80A" w14:textId="77777777" w:rsidR="00F52834" w:rsidRPr="00573121" w:rsidRDefault="00F52834" w:rsidP="00F52834">
      <w:pPr>
        <w:spacing w:after="0"/>
        <w:ind w:firstLine="0"/>
        <w:rPr>
          <w:b/>
          <w:bCs/>
        </w:rPr>
      </w:pPr>
      <w:r w:rsidRPr="00573121">
        <w:rPr>
          <w:b/>
          <w:bCs/>
          <w:rtl/>
        </w:rPr>
        <w:t>أولا: نظرية الموارد والقدرات (</w:t>
      </w:r>
      <w:r w:rsidRPr="00573121">
        <w:rPr>
          <w:b/>
          <w:bCs/>
        </w:rPr>
        <w:t>Resource-Based View</w:t>
      </w:r>
      <w:r w:rsidRPr="00573121">
        <w:rPr>
          <w:b/>
          <w:bCs/>
          <w:rtl/>
        </w:rPr>
        <w:t>)</w:t>
      </w:r>
    </w:p>
    <w:p w14:paraId="509FDD29" w14:textId="77777777" w:rsidR="00F52834" w:rsidRPr="006018CC" w:rsidRDefault="00F52834" w:rsidP="00F52834">
      <w:pPr>
        <w:spacing w:after="0"/>
        <w:rPr>
          <w:rtl/>
        </w:rPr>
      </w:pPr>
      <w:r w:rsidRPr="006018CC">
        <w:rPr>
          <w:rtl/>
        </w:rPr>
        <w:t xml:space="preserve">   - تفسير كيفية استخدام الذكاء الاصطناعي كمورد استراتيجي:</w:t>
      </w:r>
    </w:p>
    <w:p w14:paraId="1FF44C75" w14:textId="77777777" w:rsidR="00F52834" w:rsidRPr="006018CC" w:rsidRDefault="00F52834" w:rsidP="00F52834">
      <w:pPr>
        <w:spacing w:after="0"/>
        <w:ind w:firstLine="0"/>
        <w:rPr>
          <w:rtl/>
        </w:rPr>
      </w:pPr>
      <w:r w:rsidRPr="006018CC">
        <w:rPr>
          <w:rtl/>
        </w:rPr>
        <w:t xml:space="preserve">تركز النظرية على مفهوم الخصائص التي يصعب تقليدها في الشركة كمصادر للأداء المتفوق والميزة التنافسية، الموارد التي لا يمكن نقلها بسهولة أو شراؤها، والتي تتطلب منحنى تعلم ممتد أو تغيير كبير في مناخ وثقافة المنظمة، من المرجح أن تكون فريدة بالنسبة للمنظمة وبالتالي أكثر صعوبة في تقليدها من قبل المنافسين. لقد كانت نظرية </w:t>
      </w:r>
      <w:r w:rsidRPr="006018CC">
        <w:t>RBV</w:t>
      </w:r>
      <w:r w:rsidRPr="006018CC">
        <w:rPr>
          <w:rtl/>
        </w:rPr>
        <w:t xml:space="preserve"> مفيدة في تحديد الأسس التي تعمل من خلالها موارد وقدرات الشركة كمصادر لميزة تنافسية مستدامة. على هذا النحو، تعتبر الموارد والقدرات الركائز الأساسية لأي مصدر للميزة، وتسمى الموارد القيمة بالأصول الاستراتيجية، تؤكد نظرية </w:t>
      </w:r>
      <w:r w:rsidRPr="006018CC">
        <w:t>RBV</w:t>
      </w:r>
      <w:r w:rsidRPr="006018CC">
        <w:rPr>
          <w:rtl/>
        </w:rPr>
        <w:t xml:space="preserve"> أن ملكية الأصول الاستراتيجية والسيطرة عليها تحدد أي المنظمات ستحقق أرباحًا متفوقة وتتمتع بموقع من الميزة التنافسية على الآخرين</w:t>
      </w:r>
      <w:r w:rsidRPr="006018CC">
        <w:rPr>
          <w:rFonts w:hint="cs"/>
          <w:rtl/>
        </w:rPr>
        <w:t xml:space="preserve"> (</w:t>
      </w:r>
      <w:r w:rsidRPr="006018CC">
        <w:t>Madhani, P. M. 2010</w:t>
      </w:r>
      <w:r w:rsidRPr="006018CC">
        <w:rPr>
          <w:rFonts w:hint="cs"/>
          <w:rtl/>
        </w:rPr>
        <w:t>)</w:t>
      </w:r>
      <w:r w:rsidRPr="006018CC">
        <w:rPr>
          <w:rtl/>
        </w:rPr>
        <w:t>.</w:t>
      </w:r>
    </w:p>
    <w:p w14:paraId="7A25E0D1" w14:textId="77777777" w:rsidR="00F52834" w:rsidRPr="006018CC" w:rsidRDefault="00F52834" w:rsidP="00F52834">
      <w:pPr>
        <w:spacing w:after="0"/>
        <w:ind w:firstLine="0"/>
        <w:rPr>
          <w:rtl/>
          <w:lang w:val="en-GB"/>
        </w:rPr>
      </w:pPr>
      <w:r w:rsidRPr="006018CC">
        <w:rPr>
          <w:rtl/>
        </w:rPr>
        <w:t>يمكن للشركات استغلال الموارد التي لا يمكن تكرارها من قبل الشركات الأخرى لأنها لا تمتلك مسارات تاريخية فريدة، وبالتالي لا يمكنها الحصول على الموارد اللازمة لتنفيذ استراتيجياتها، وأن نظرية</w:t>
      </w:r>
      <w:r w:rsidRPr="006018CC">
        <w:t xml:space="preserve"> RBV </w:t>
      </w:r>
      <w:r w:rsidRPr="006018CC">
        <w:rPr>
          <w:rtl/>
        </w:rPr>
        <w:t>لها قيود تتعلق بتنوع الشركات وعدم قابلية الموارد للتحرك. من خلال هذين المعيارين لمنتجات التصدير، فإن</w:t>
      </w:r>
      <w:r w:rsidRPr="006018CC">
        <w:t xml:space="preserve"> RBV </w:t>
      </w:r>
      <w:r w:rsidRPr="006018CC">
        <w:rPr>
          <w:rtl/>
        </w:rPr>
        <w:t>والتعاون التكنولوجي ضروريان. واحدة من هذه التقنيات المحتملة هي الذكاء الاصطناعي، وأن التعلم الآلي في جميع سياقات الذكاء الاصطناعي</w:t>
      </w:r>
      <w:r w:rsidRPr="006018CC">
        <w:t xml:space="preserve"> (AI) </w:t>
      </w:r>
      <w:r w:rsidRPr="006018CC">
        <w:rPr>
          <w:rtl/>
        </w:rPr>
        <w:t>يغير العلاقة بين البشر والآلات بطريقة أكثر تكاملًا، ويسمح استخدام وجهة نظر</w:t>
      </w:r>
      <w:r w:rsidRPr="006018CC">
        <w:t xml:space="preserve"> RBV </w:t>
      </w:r>
      <w:r w:rsidRPr="006018CC">
        <w:rPr>
          <w:rtl/>
        </w:rPr>
        <w:t>للمؤسسات الصغيرة والمتوسطة</w:t>
      </w:r>
      <w:r w:rsidRPr="006018CC">
        <w:t xml:space="preserve"> (MSMEs) </w:t>
      </w:r>
      <w:r w:rsidRPr="006018CC">
        <w:rPr>
          <w:rtl/>
        </w:rPr>
        <w:t>بتحديد مجالات النمو والتشغيل التي تُعتبر حاليًا غير ملائمة وغير مناسبة لتدخلاتها في الوقت المناسب، و</w:t>
      </w:r>
      <w:r w:rsidRPr="006018CC">
        <w:rPr>
          <w:rtl/>
          <w:lang w:val="en-GB"/>
        </w:rPr>
        <w:t xml:space="preserve">يُعتبر الذكاء الاصطناعي حلاً لمساعدة عملية أنشطة تصدير المؤسسات الصغيرة والمتوسطة </w:t>
      </w:r>
      <w:r w:rsidRPr="006018CC">
        <w:rPr>
          <w:rtl/>
          <w:lang w:val="en-GB"/>
        </w:rPr>
        <w:lastRenderedPageBreak/>
        <w:t>(</w:t>
      </w:r>
      <w:r w:rsidRPr="006018CC">
        <w:rPr>
          <w:lang w:val="en-GB"/>
        </w:rPr>
        <w:t>MSMEs</w:t>
      </w:r>
      <w:r w:rsidRPr="006018CC">
        <w:rPr>
          <w:rtl/>
          <w:lang w:val="en-GB"/>
        </w:rPr>
        <w:t>)، والدراسات التجريبية تثبت أن الذكاء الاصطناعي يلعب دورًا مهمًا في تطوير الموارد الإستراتيجية، وأن المديرين اليابانيين يضعون أولوية متزايدة على تفعيل تطوير الموارد البشرية وتكنولوجيا المعلومات باستخدام تقنيات الذكاء الاصطناعي. ولكن في شرط، يتطلب الذكاء الاصطناعي دور البيانات الكبيرة لاتخاذ القرارات، حتى يعود الأمر إلى المديرين في صياغة استراتيجيات جديدة</w:t>
      </w:r>
      <w:r w:rsidRPr="006018CC">
        <w:rPr>
          <w:rFonts w:hint="cs"/>
          <w:rtl/>
          <w:lang w:val="en-GB"/>
        </w:rPr>
        <w:t xml:space="preserve"> (</w:t>
      </w:r>
      <w:r w:rsidRPr="006018CC">
        <w:rPr>
          <w:lang w:val="en-GB"/>
        </w:rPr>
        <w:t>Ristyawan, M. R. 2020</w:t>
      </w:r>
      <w:r w:rsidRPr="006018CC">
        <w:rPr>
          <w:rFonts w:hint="cs"/>
          <w:rtl/>
          <w:lang w:val="en-GB"/>
        </w:rPr>
        <w:t>)</w:t>
      </w:r>
      <w:r w:rsidRPr="006018CC">
        <w:rPr>
          <w:rtl/>
          <w:lang w:val="en-GB"/>
        </w:rPr>
        <w:t>.</w:t>
      </w:r>
    </w:p>
    <w:p w14:paraId="1A2EBA99" w14:textId="77777777" w:rsidR="00F52834" w:rsidRPr="006018CC" w:rsidRDefault="00F52834" w:rsidP="00F52834">
      <w:pPr>
        <w:spacing w:after="0"/>
        <w:ind w:firstLine="0"/>
        <w:rPr>
          <w:rtl/>
        </w:rPr>
      </w:pPr>
      <w:r w:rsidRPr="006018CC">
        <w:rPr>
          <w:rtl/>
        </w:rPr>
        <w:t>أصبح الذكاء الاصطناعي</w:t>
      </w:r>
      <w:r w:rsidRPr="006018CC">
        <w:t xml:space="preserve"> (AI) </w:t>
      </w:r>
      <w:r w:rsidRPr="006018CC">
        <w:rPr>
          <w:rtl/>
        </w:rPr>
        <w:t>أمرًا بالغ الأهمية بشكل متزايد بالنسبة للشركات التي تهدف إلى تحسين عمليات الابتكار الخاصة بها، ومن منظور نظرية الموارد</w:t>
      </w:r>
      <w:r w:rsidRPr="006018CC">
        <w:t xml:space="preserve"> (RBV)</w:t>
      </w:r>
      <w:r w:rsidRPr="006018CC">
        <w:rPr>
          <w:rtl/>
        </w:rPr>
        <w:t>، تُعتبر الموارد القيمة والنادرة وغير القابلة للتقليد وغير القابلة للاستبدال</w:t>
      </w:r>
      <w:r w:rsidRPr="006018CC">
        <w:t xml:space="preserve"> (VRIN</w:t>
      </w:r>
      <w:proofErr w:type="gramStart"/>
      <w:r w:rsidRPr="006018CC">
        <w:t>)</w:t>
      </w:r>
      <w:r w:rsidRPr="006018CC">
        <w:rPr>
          <w:rtl/>
        </w:rPr>
        <w:t xml:space="preserve"> ،</w:t>
      </w:r>
      <w:proofErr w:type="gramEnd"/>
      <w:r w:rsidRPr="006018CC">
        <w:rPr>
          <w:rtl/>
        </w:rPr>
        <w:t xml:space="preserve"> التي تشمل الموارد المعرفية ورأس المال البشري والأصول المادية، أمرًا حيويًا لابتكار الشركات. تعمل هذه الموارد كعوامل أساسية في مراحل توليد الأفكار، والدعوة والفحص، والتطوير والتجريب في الابتكار. وقد تبين أن تبني الذكاء الاصطناعي يسرع من ابتكار الشركات، كما تم تأكيده من خلال اختبارات متعددة للموثوقية. يكشف التحليل الوسيط أن الذكاء الاصطناعي يسرع من ابتكار الشركات من خلال تعزيز الربط المعرفي، وتحسين هيكل رأس المال البشري، وتقليل خصوصية الأصول. وأن تأثير تبني الذكاء الاصطناعي على سرعة الابتكار المؤسسي أكثر وضوحًا بين الشركات الموجودة في مناطق الطيار للذكاء الاصطناعي، وتلك العاملة في الصناعات كثيفة البراءات، وتلك التي تمتلك حقوق ملكية غير مملوكة للدولة</w:t>
      </w:r>
      <w:r w:rsidRPr="006018CC">
        <w:rPr>
          <w:rFonts w:hint="cs"/>
          <w:rtl/>
        </w:rPr>
        <w:t xml:space="preserve"> (</w:t>
      </w:r>
      <w:r w:rsidRPr="006018CC">
        <w:t>2024</w:t>
      </w:r>
      <w:r w:rsidRPr="006018CC">
        <w:rPr>
          <w:rFonts w:hint="cs"/>
          <w:rtl/>
        </w:rPr>
        <w:t>.</w:t>
      </w:r>
      <w:r w:rsidRPr="006018CC">
        <w:t xml:space="preserve">Zhang, Xu, Xiong, </w:t>
      </w:r>
      <w:proofErr w:type="spellStart"/>
      <w:r w:rsidRPr="006018CC">
        <w:t>Shengxu</w:t>
      </w:r>
      <w:proofErr w:type="spellEnd"/>
      <w:r w:rsidRPr="006018CC">
        <w:rPr>
          <w:rFonts w:hint="cs"/>
          <w:rtl/>
        </w:rPr>
        <w:t>).</w:t>
      </w:r>
      <w:r w:rsidRPr="006018CC">
        <w:rPr>
          <w:rtl/>
        </w:rPr>
        <w:t xml:space="preserve"> </w:t>
      </w:r>
    </w:p>
    <w:p w14:paraId="23BE1356" w14:textId="77777777" w:rsidR="00F52834" w:rsidRPr="006018CC" w:rsidRDefault="00F52834" w:rsidP="00F52834">
      <w:pPr>
        <w:spacing w:after="0"/>
        <w:rPr>
          <w:rtl/>
        </w:rPr>
      </w:pPr>
      <w:r w:rsidRPr="006018CC">
        <w:rPr>
          <w:rtl/>
        </w:rPr>
        <w:t xml:space="preserve">   - تحليل دور الذكاء الاصطناعي في تعزيز القدرات التنافسية للمؤسسات:</w:t>
      </w:r>
    </w:p>
    <w:p w14:paraId="4DF8A1FC" w14:textId="77777777" w:rsidR="00F52834" w:rsidRPr="006018CC" w:rsidRDefault="00F52834" w:rsidP="00573121">
      <w:pPr>
        <w:rPr>
          <w:rtl/>
        </w:rPr>
      </w:pPr>
      <w:r w:rsidRPr="006018CC">
        <w:rPr>
          <w:rtl/>
        </w:rPr>
        <w:t>في الآونة الأخيرة، تم ربط تقنيات الذكاء الاصطناعي</w:t>
      </w:r>
      <w:r w:rsidRPr="006018CC">
        <w:t xml:space="preserve"> (AI) </w:t>
      </w:r>
      <w:r w:rsidRPr="006018CC">
        <w:rPr>
          <w:rtl/>
        </w:rPr>
        <w:t>الممكِّنة بمصادر كبيرة من الميزة التنافسية. ومن بين هذه التقنيات، يُعتبر أتمتة العمليات الروبوتية</w:t>
      </w:r>
      <w:r w:rsidRPr="006018CC">
        <w:t xml:space="preserve"> (RPA) </w:t>
      </w:r>
      <w:r w:rsidRPr="006018CC">
        <w:rPr>
          <w:rtl/>
        </w:rPr>
        <w:t>الحالية واحدة من أكثر استراتيجيات تطبيق الذكاء الاصطناعي واعدة. من خلال منظور نظرية الموارد</w:t>
      </w:r>
      <w:r w:rsidRPr="006018CC">
        <w:t xml:space="preserve"> (RBV)</w:t>
      </w:r>
      <w:r w:rsidRPr="006018CC">
        <w:rPr>
          <w:rtl/>
        </w:rPr>
        <w:t>، يمكن اعتبار</w:t>
      </w:r>
      <w:r w:rsidRPr="006018CC">
        <w:t xml:space="preserve"> RPA </w:t>
      </w:r>
      <w:r w:rsidRPr="006018CC">
        <w:rPr>
          <w:rtl/>
        </w:rPr>
        <w:t>أداة يمكنها تغيير ودمج وتحسين مجموعات من الموارد، مما يخلق قدرات الذكاء الاصطناعي ويولد مزايا تنافسية حيث لابد أن يكون لدى الشركات إطار مفهومي جديد يدعم إنشاء استراتيجية الذكاء الاصطناعي عبر تطبيق تكنولوجيا</w:t>
      </w:r>
      <w:r w:rsidRPr="006018CC">
        <w:t xml:space="preserve"> </w:t>
      </w:r>
      <w:proofErr w:type="gramStart"/>
      <w:r w:rsidRPr="006018CC">
        <w:t xml:space="preserve">RPA </w:t>
      </w:r>
      <w:r w:rsidRPr="006018CC">
        <w:rPr>
          <w:rtl/>
        </w:rPr>
        <w:t xml:space="preserve"> مما</w:t>
      </w:r>
      <w:proofErr w:type="gramEnd"/>
      <w:r w:rsidRPr="006018CC">
        <w:rPr>
          <w:rtl/>
        </w:rPr>
        <w:t xml:space="preserve"> يتطلب معه أن تكون لدي الفرد قدرات الذكاء الاصطناعي كما يمكن لتكنولوجيا</w:t>
      </w:r>
      <w:r w:rsidRPr="006018CC">
        <w:t xml:space="preserve"> RPA </w:t>
      </w:r>
      <w:r w:rsidRPr="006018CC">
        <w:rPr>
          <w:rtl/>
        </w:rPr>
        <w:t>تغيير وتوسيع وتحسين بنية تحتية نظم المعلومات، مما يخلق مزايا تنافسية للمنظمات</w:t>
      </w:r>
      <w:r w:rsidRPr="006018CC">
        <w:rPr>
          <w:rFonts w:hint="cs"/>
          <w:rtl/>
        </w:rPr>
        <w:t xml:space="preserve"> (</w:t>
      </w:r>
      <w:r w:rsidRPr="006018CC">
        <w:t>Nascimento. Et.al. 2021</w:t>
      </w:r>
      <w:r w:rsidRPr="006018CC">
        <w:rPr>
          <w:rFonts w:hint="cs"/>
          <w:rtl/>
        </w:rPr>
        <w:t>)</w:t>
      </w:r>
      <w:r w:rsidRPr="006018CC">
        <w:rPr>
          <w:rtl/>
        </w:rPr>
        <w:t xml:space="preserve">، كما يضاف لما في إطار متكامل مع توظيف التكنولوجيا كل من الموارد البشرية باعتبارها ذات الأولوية الأعلى لاهتمام الشركات، تليها التسويق والتوزيع، التمويل والتمويلات، العمليات والإنتاج، وأن التكامل بين هذه العوامل مع التكنولوجيا يحقق للشركات الميزة </w:t>
      </w:r>
      <w:proofErr w:type="gramStart"/>
      <w:r w:rsidRPr="006018CC">
        <w:rPr>
          <w:rtl/>
        </w:rPr>
        <w:t>التنافسية</w:t>
      </w:r>
      <w:r w:rsidRPr="006018CC">
        <w:t xml:space="preserve"> </w:t>
      </w:r>
      <w:r w:rsidRPr="006018CC">
        <w:rPr>
          <w:rFonts w:hint="cs"/>
          <w:rtl/>
          <w:lang w:bidi="ar-EG"/>
        </w:rPr>
        <w:t xml:space="preserve"> (</w:t>
      </w:r>
      <w:proofErr w:type="gramEnd"/>
      <w:r w:rsidRPr="006018CC">
        <w:rPr>
          <w:lang w:bidi="ar-EG"/>
        </w:rPr>
        <w:t>Ristyawan.2020</w:t>
      </w:r>
      <w:r w:rsidRPr="006018CC">
        <w:rPr>
          <w:rFonts w:hint="cs"/>
          <w:rtl/>
          <w:lang w:bidi="ar-EG"/>
        </w:rPr>
        <w:t>)</w:t>
      </w:r>
      <w:r w:rsidRPr="006018CC">
        <w:rPr>
          <w:rtl/>
        </w:rPr>
        <w:t xml:space="preserve">. </w:t>
      </w:r>
    </w:p>
    <w:p w14:paraId="566B0EEC" w14:textId="77777777" w:rsidR="00F52834" w:rsidRPr="006018CC" w:rsidRDefault="00F52834" w:rsidP="00573121">
      <w:pPr>
        <w:rPr>
          <w:rtl/>
        </w:rPr>
      </w:pPr>
      <w:r w:rsidRPr="006018CC">
        <w:rPr>
          <w:rtl/>
        </w:rPr>
        <w:lastRenderedPageBreak/>
        <w:t xml:space="preserve"> ويضاف لما سبق أن دمج الذكاء الاصطناعي في سير العمل داخل المؤسسات يمكن أن يعزز بشكل كبير أداء المهام في مجالات مثل الأتمتة، والدعم، والإبداع، وعمليات الابتكار كما أن الذكاء الاصطناعي التوليدي ينتج عادة مشاعر إيجابية أكثر، ويستخدم لغة أبسط، ولديه مفردات أضيق مقارنة </w:t>
      </w:r>
      <w:proofErr w:type="gramStart"/>
      <w:r w:rsidRPr="006018CC">
        <w:rPr>
          <w:rtl/>
        </w:rPr>
        <w:t>بالبشر</w:t>
      </w:r>
      <w:r w:rsidRPr="006018CC">
        <w:t xml:space="preserve"> </w:t>
      </w:r>
      <w:r w:rsidRPr="006018CC">
        <w:rPr>
          <w:rFonts w:hint="cs"/>
          <w:rtl/>
          <w:lang w:bidi="ar-EG"/>
        </w:rPr>
        <w:t xml:space="preserve"> (</w:t>
      </w:r>
      <w:proofErr w:type="gramEnd"/>
      <w:r w:rsidRPr="006018CC">
        <w:rPr>
          <w:lang w:bidi="ar-EG"/>
        </w:rPr>
        <w:t>Triantoro. Et.al. 2024</w:t>
      </w:r>
      <w:r w:rsidRPr="006018CC">
        <w:rPr>
          <w:rFonts w:hint="cs"/>
          <w:rtl/>
          <w:lang w:bidi="ar-EG"/>
        </w:rPr>
        <w:t>)</w:t>
      </w:r>
      <w:r w:rsidRPr="006018CC">
        <w:rPr>
          <w:rtl/>
        </w:rPr>
        <w:t xml:space="preserve">. </w:t>
      </w:r>
    </w:p>
    <w:p w14:paraId="64284D6C" w14:textId="77777777" w:rsidR="00F52834" w:rsidRPr="006018CC" w:rsidRDefault="00F52834" w:rsidP="00F52834">
      <w:pPr>
        <w:spacing w:after="0"/>
        <w:ind w:firstLine="0"/>
      </w:pPr>
    </w:p>
    <w:p w14:paraId="792F1254" w14:textId="77777777" w:rsidR="00F52834" w:rsidRPr="00573121" w:rsidRDefault="00F52834" w:rsidP="00F52834">
      <w:pPr>
        <w:spacing w:after="0"/>
        <w:ind w:firstLine="0"/>
        <w:rPr>
          <w:b/>
          <w:bCs/>
          <w:rtl/>
        </w:rPr>
      </w:pPr>
      <w:r w:rsidRPr="00573121">
        <w:rPr>
          <w:b/>
          <w:bCs/>
          <w:rtl/>
        </w:rPr>
        <w:t>ثانيا: نظرية الابتكار المفتوح (</w:t>
      </w:r>
      <w:r w:rsidRPr="00573121">
        <w:rPr>
          <w:b/>
          <w:bCs/>
        </w:rPr>
        <w:t>Open Innovation Theory</w:t>
      </w:r>
      <w:r w:rsidRPr="00573121">
        <w:rPr>
          <w:b/>
          <w:bCs/>
          <w:rtl/>
        </w:rPr>
        <w:t>)</w:t>
      </w:r>
    </w:p>
    <w:p w14:paraId="1DDF2883" w14:textId="77777777" w:rsidR="00F52834" w:rsidRPr="006018CC" w:rsidRDefault="00F52834" w:rsidP="00573121">
      <w:pPr>
        <w:rPr>
          <w:rtl/>
        </w:rPr>
      </w:pPr>
      <w:r w:rsidRPr="006018CC">
        <w:rPr>
          <w:rtl/>
        </w:rPr>
        <w:t xml:space="preserve">الابتكار المفتوح هو ظاهرة أصبحت تزداد أهمية سواء في الممارسة أو النظرية في السنوات الأخيرة. تعود الأسباب إلى دورات الابتكار الأقصر، وارتفاع تكاليف البحث والتطوير الصناعي، وكذلك نقص الموارد. وبالتالي، جذبت ظاهرة المصادر المفتوحة الباحثين والممارسين في مجال الابتكار. بدأ العصر الحديث للابتكار المفتوح عندما أدرك الممارسون أن الشركات التي ترغب في تجاري أفكارها الخاصة وكذلك ابتكارات شركات أخرى يجب أن تبحث عن طرق جديدة لإطلاق أفكارها الداخلية إلى السوق. يحتاجون إلى استخدام مسارات خارج أعمالهم الحالية ويجب أن يدركوا أن المكان الذي يتم فيه خلق المعرفة لا يتساوى بالضرورة مع مكان الابتكار - فلا يلزم أن يكونا داخل الشركة. لقد أظهرت التجربة أن مكان الابتكار أو الاستغلال لا يجب أن يكون داخل حدود الشركات الخاصة. ومع ذلك، فإن محاكاة نهج الابتكار المفتوح يحول الحدود الصلبة للشركة إلى غشاء شبه قابل للاختراق يسمح للابتكار بالتحرك بسهولة أكبر بين البيئة الخارجية وعمليات الابتكار الداخلية للشركة، ومن هذا المنطلق هناك </w:t>
      </w:r>
      <w:r w:rsidRPr="006018CC">
        <w:rPr>
          <w:rtl/>
          <w:lang w:val="en-GB"/>
        </w:rPr>
        <w:t>ثلاث عمليات أساسية للابتكار المفتوح</w:t>
      </w:r>
      <w:r w:rsidRPr="006018CC">
        <w:rPr>
          <w:lang w:val="en-GB"/>
        </w:rPr>
        <w:t xml:space="preserve"> </w:t>
      </w:r>
      <w:r w:rsidRPr="006018CC">
        <w:rPr>
          <w:rFonts w:hint="cs"/>
          <w:rtl/>
          <w:lang w:val="en-GB" w:bidi="ar-EG"/>
        </w:rPr>
        <w:t>(</w:t>
      </w:r>
      <w:r w:rsidRPr="006018CC">
        <w:t>Gassmann</w:t>
      </w:r>
      <w:r w:rsidRPr="006018CC">
        <w:rPr>
          <w:rFonts w:hint="cs"/>
          <w:rtl/>
        </w:rPr>
        <w:t xml:space="preserve">. </w:t>
      </w:r>
      <w:r w:rsidRPr="006018CC">
        <w:t>Enkel</w:t>
      </w:r>
      <w:r w:rsidRPr="006018CC">
        <w:rPr>
          <w:rFonts w:hint="cs"/>
          <w:rtl/>
        </w:rPr>
        <w:t xml:space="preserve">. </w:t>
      </w:r>
      <w:r w:rsidRPr="006018CC">
        <w:t>2004</w:t>
      </w:r>
      <w:r w:rsidRPr="006018CC">
        <w:rPr>
          <w:rFonts w:hint="cs"/>
          <w:rtl/>
          <w:lang w:val="en-GB" w:bidi="ar-EG"/>
        </w:rPr>
        <w:t>)</w:t>
      </w:r>
      <w:r w:rsidRPr="006018CC">
        <w:rPr>
          <w:rtl/>
          <w:lang w:val="en-GB"/>
        </w:rPr>
        <w:t>:</w:t>
      </w:r>
    </w:p>
    <w:p w14:paraId="1521F725" w14:textId="77777777" w:rsidR="00F52834" w:rsidRPr="006018CC" w:rsidRDefault="00F52834" w:rsidP="00F52834">
      <w:pPr>
        <w:widowControl w:val="0"/>
        <w:numPr>
          <w:ilvl w:val="0"/>
          <w:numId w:val="10"/>
        </w:numPr>
        <w:spacing w:after="0"/>
        <w:rPr>
          <w:rtl/>
          <w:lang w:val="en-GB"/>
        </w:rPr>
      </w:pPr>
      <w:r w:rsidRPr="006018CC">
        <w:rPr>
          <w:rtl/>
          <w:lang w:val="en-GB"/>
        </w:rPr>
        <w:t>عملية من الخارج إلى الداخل: إثراء قاعدة المعرفة الخاصة بالشركة من خلال دمج الموردين والعملاء والمصادر الخارجية للمعرفة يمكن أن يزيد من ابتكار الشركة.</w:t>
      </w:r>
    </w:p>
    <w:p w14:paraId="5312F9D7" w14:textId="77777777" w:rsidR="00F52834" w:rsidRPr="006018CC" w:rsidRDefault="00F52834" w:rsidP="00F52834">
      <w:pPr>
        <w:widowControl w:val="0"/>
        <w:numPr>
          <w:ilvl w:val="0"/>
          <w:numId w:val="10"/>
        </w:numPr>
        <w:spacing w:after="0"/>
        <w:rPr>
          <w:rtl/>
          <w:lang w:val="en-GB"/>
        </w:rPr>
      </w:pPr>
      <w:r w:rsidRPr="006018CC">
        <w:rPr>
          <w:rtl/>
          <w:lang w:val="en-GB"/>
        </w:rPr>
        <w:t>عملية من الداخل إلى الخارج: استغلال الأفكار في أسواق مختلفة، بيع حقوق الملكية الفكرية وتوسيع التكنولوجيا عن طريق إرسال الأفكار إلى البيئة الخارجية.</w:t>
      </w:r>
    </w:p>
    <w:p w14:paraId="1A079E2D" w14:textId="77777777" w:rsidR="00F52834" w:rsidRPr="006018CC" w:rsidRDefault="00F52834" w:rsidP="00F52834">
      <w:pPr>
        <w:widowControl w:val="0"/>
        <w:numPr>
          <w:ilvl w:val="0"/>
          <w:numId w:val="10"/>
        </w:numPr>
        <w:spacing w:after="0"/>
        <w:rPr>
          <w:lang w:val="en-GB"/>
        </w:rPr>
      </w:pPr>
      <w:r w:rsidRPr="006018CC">
        <w:rPr>
          <w:rtl/>
          <w:lang w:val="en-GB"/>
        </w:rPr>
        <w:t>العملية المدمجة: ربط عملية من الخارج إلى الداخل مع عملية من الداخل إلى الخارج من خلال العمل في تحالفات مع شركات متممة حيث يكون التبادل المتبادل أمرًا حاسمًا للنجاح.</w:t>
      </w:r>
    </w:p>
    <w:p w14:paraId="314BDB7F" w14:textId="77777777" w:rsidR="00F52834" w:rsidRPr="006018CC" w:rsidRDefault="00F52834" w:rsidP="00F52834">
      <w:pPr>
        <w:spacing w:after="0"/>
        <w:ind w:left="360" w:firstLine="0"/>
        <w:rPr>
          <w:rtl/>
          <w:lang w:val="en-GB"/>
        </w:rPr>
      </w:pPr>
      <w:r w:rsidRPr="006018CC">
        <w:rPr>
          <w:rtl/>
          <w:lang w:val="en-GB"/>
        </w:rPr>
        <w:t>يتضمن الابتكار المفتوح أيضًا تحويل أو ترخيص الأفكار التي لا يتم استخدامها داخليًا إلى أطراف خارجية. أصبح التحول نحو الابتكار المفتوح استراتيجية أساسية للشركات التي تهدف إلى البقاء قادرة على المنافسة في سوق متشابكة وسريعة التغير</w:t>
      </w:r>
      <w:r w:rsidRPr="006018CC">
        <w:rPr>
          <w:lang w:val="en-GB"/>
        </w:rPr>
        <w:t xml:space="preserve"> </w:t>
      </w:r>
      <w:r w:rsidRPr="006018CC">
        <w:rPr>
          <w:rFonts w:hint="cs"/>
          <w:rtl/>
          <w:lang w:val="en-GB" w:bidi="ar-EG"/>
        </w:rPr>
        <w:t>(</w:t>
      </w:r>
      <w:r w:rsidRPr="006018CC">
        <w:rPr>
          <w:lang w:val="en-GB" w:bidi="ar-EG"/>
        </w:rPr>
        <w:t>Wim</w:t>
      </w:r>
      <w:r w:rsidRPr="006018CC">
        <w:rPr>
          <w:rFonts w:hint="cs"/>
          <w:rtl/>
          <w:lang w:val="en-GB" w:bidi="ar-EG"/>
        </w:rPr>
        <w:t xml:space="preserve">. </w:t>
      </w:r>
      <w:r w:rsidRPr="006018CC">
        <w:rPr>
          <w:lang w:bidi="ar-EG"/>
        </w:rPr>
        <w:t>2014</w:t>
      </w:r>
      <w:r w:rsidRPr="006018CC">
        <w:rPr>
          <w:rFonts w:hint="cs"/>
          <w:rtl/>
          <w:lang w:val="en-GB" w:bidi="ar-EG"/>
        </w:rPr>
        <w:t>)</w:t>
      </w:r>
      <w:r w:rsidRPr="006018CC">
        <w:rPr>
          <w:rtl/>
          <w:lang w:val="en-GB"/>
        </w:rPr>
        <w:t>.</w:t>
      </w:r>
    </w:p>
    <w:p w14:paraId="463064FD" w14:textId="77777777" w:rsidR="00F52834" w:rsidRPr="006018CC" w:rsidRDefault="00F52834" w:rsidP="00573121">
      <w:pPr>
        <w:rPr>
          <w:rtl/>
          <w:lang w:val="en-GB"/>
        </w:rPr>
      </w:pPr>
      <w:r w:rsidRPr="006018CC">
        <w:rPr>
          <w:rtl/>
          <w:lang w:val="en-GB"/>
        </w:rPr>
        <w:t xml:space="preserve">  </w:t>
      </w:r>
      <w:r w:rsidRPr="006018CC">
        <w:rPr>
          <w:rtl/>
        </w:rPr>
        <w:t>وعن كيفية تسهيل الذكاء الاصطناعي لعمليات الابتكار التعاوني، تبين أن</w:t>
      </w:r>
      <w:r w:rsidRPr="006018CC">
        <w:rPr>
          <w:rtl/>
          <w:lang w:val="en-GB"/>
        </w:rPr>
        <w:t xml:space="preserve"> المنظمات تعتبر الابتكار المفتوح أمرًا مهمًا لاستراتيجيات نموها المستقبلية. وقد أدى الاهتمام المتزايد بالذكاء الاصطناعي إلى زيادة الاهتمام بتطبيقاته المحتملة في العديد من الصناعات. تستثمر العديد من الشركات بشكل كبير </w:t>
      </w:r>
      <w:r w:rsidRPr="006018CC">
        <w:rPr>
          <w:rtl/>
          <w:lang w:val="en-GB"/>
        </w:rPr>
        <w:lastRenderedPageBreak/>
        <w:t>في الذكاء الاصطناعي بهدف ابتكار نماذج أعمالها، رغم أن المديرين غالبًا ما يفتقرون إلى الفهم عند محاولة تطبيق الذكاء الاصطناعي في عملياتهم. ومن خلال استخدام الذكاء الاصطناعي في عمليات الابتكار المفتوح وإدارة الابتكار المفتوح تبين أن التقدم الأخير في الذكاء الاصطناعي خلق فرصًا جديدة لزيادة التعاون الخارجي، وأن صعود الذكاء الاصطناعي كتقنية رئيسية لتعزيز الانفتاح والتعاون قد بدأ عصرًا جديدًا من الابتكار المفتوح القابل للتحقيق</w:t>
      </w:r>
      <w:r w:rsidRPr="006018CC">
        <w:rPr>
          <w:rFonts w:hint="cs"/>
          <w:rtl/>
          <w:lang w:val="en-GB"/>
        </w:rPr>
        <w:t xml:space="preserve">. </w:t>
      </w:r>
      <w:proofErr w:type="gramStart"/>
      <w:r w:rsidRPr="006018CC">
        <w:rPr>
          <w:rFonts w:hint="cs"/>
          <w:rtl/>
          <w:lang w:val="en-GB"/>
        </w:rPr>
        <w:t>(</w:t>
      </w:r>
      <w:r w:rsidRPr="006018CC">
        <w:rPr>
          <w:lang w:val="en-GB"/>
        </w:rPr>
        <w:t xml:space="preserve"> 2023</w:t>
      </w:r>
      <w:proofErr w:type="gramEnd"/>
      <w:r w:rsidRPr="006018CC">
        <w:rPr>
          <w:rFonts w:hint="cs"/>
          <w:rtl/>
          <w:lang w:val="en-GB"/>
        </w:rPr>
        <w:t xml:space="preserve">. </w:t>
      </w:r>
      <w:proofErr w:type="spellStart"/>
      <w:r w:rsidRPr="006018CC">
        <w:t>Bro</w:t>
      </w:r>
      <w:r w:rsidRPr="006018CC">
        <w:rPr>
          <w:rFonts w:ascii="Times New Roman" w:hAnsi="Times New Roman" w:cs="Times New Roman"/>
        </w:rPr>
        <w:t>˙</w:t>
      </w:r>
      <w:r w:rsidRPr="006018CC">
        <w:t>zek</w:t>
      </w:r>
      <w:proofErr w:type="spellEnd"/>
      <w:r w:rsidRPr="006018CC">
        <w:t xml:space="preserve"> .Sira</w:t>
      </w:r>
      <w:r w:rsidRPr="006018CC">
        <w:rPr>
          <w:rFonts w:hint="cs"/>
          <w:rtl/>
          <w:lang w:val="en-GB"/>
        </w:rPr>
        <w:t xml:space="preserve">) </w:t>
      </w:r>
    </w:p>
    <w:p w14:paraId="499F0D2F" w14:textId="77777777" w:rsidR="00F52834" w:rsidRPr="006018CC" w:rsidRDefault="00F52834" w:rsidP="00573121">
      <w:pPr>
        <w:rPr>
          <w:rtl/>
        </w:rPr>
      </w:pPr>
      <w:r w:rsidRPr="006018CC">
        <w:rPr>
          <w:rtl/>
        </w:rPr>
        <w:t xml:space="preserve"> كما تبين أن التعلم الآلي يُستخدم على نطاق واسع في إدارة المشاريع، خاصة في التنبؤ بالتحليلات، وتحسين الموارد، وإدارة المخاطر حيث يحسن الذكاء الاصطناعي إدارة مشاريع الابتكار المفتوح من خلال دمج مصادر المعرفة المتنوعة، وتعزيز التعاون، وتوفير رؤى استراتيجية لاتخاذ القرارات، علاوة على أن اعتماد الذكاء الاصطناعي لا يعتمد فقط على البنية التحتية التقنية، والتكامل مع الأنظمة القائمة، واستعداد البيانات، بل يعتمد على دعم القيادة، ومحاذاة الاستراتيجيات، والموارد المالية، وتطوير المهارات، والثقافة التنظيمية. تبرز من هنا أهمية محاذاة مبادرات الذكاء الاصطناعي مع متطلبات الابتكار المفتوح، حيث يعتبر التعاون، والمرونة، ودمج المعرفة الخارجية أموراً حاسمة، وقد تبين على سبيل المثال أن قطاع البناء يتصدر مجالات اعتماد الذكاء الاصطناعي</w:t>
      </w:r>
      <w:r w:rsidRPr="006018CC">
        <w:t xml:space="preserve"> </w:t>
      </w:r>
      <w:r w:rsidRPr="006018CC">
        <w:rPr>
          <w:rFonts w:hint="cs"/>
          <w:rtl/>
          <w:lang w:bidi="ar-EG"/>
        </w:rPr>
        <w:t>(</w:t>
      </w:r>
      <w:r w:rsidRPr="006018CC">
        <w:rPr>
          <w:lang w:bidi="ar-EG"/>
        </w:rPr>
        <w:t>Wicaksono. Et.al. 2024</w:t>
      </w:r>
      <w:r w:rsidRPr="006018CC">
        <w:rPr>
          <w:rFonts w:hint="cs"/>
          <w:rtl/>
          <w:lang w:bidi="ar-EG"/>
        </w:rPr>
        <w:t>)</w:t>
      </w:r>
      <w:r w:rsidRPr="006018CC">
        <w:rPr>
          <w:rtl/>
        </w:rPr>
        <w:t xml:space="preserve">. </w:t>
      </w:r>
    </w:p>
    <w:p w14:paraId="530E85C2" w14:textId="77777777" w:rsidR="00F52834" w:rsidRPr="006018CC" w:rsidRDefault="00F52834" w:rsidP="00F52834">
      <w:pPr>
        <w:spacing w:after="0"/>
      </w:pPr>
      <w:r w:rsidRPr="006018CC">
        <w:rPr>
          <w:rtl/>
        </w:rPr>
        <w:t xml:space="preserve">  تحليل تأثير الذكاء الاصطناعي على تدفق المعرفة والأفكار</w:t>
      </w:r>
      <w:r w:rsidRPr="006018CC">
        <w:t xml:space="preserve"> </w:t>
      </w:r>
      <w:r w:rsidRPr="006018CC">
        <w:rPr>
          <w:rFonts w:hint="cs"/>
          <w:rtl/>
          <w:lang w:bidi="ar-EG"/>
        </w:rPr>
        <w:t>(</w:t>
      </w:r>
      <w:r w:rsidRPr="006018CC">
        <w:rPr>
          <w:lang w:bidi="ar-EG"/>
        </w:rPr>
        <w:t>Dekker. Et.al.2023</w:t>
      </w:r>
      <w:r w:rsidRPr="006018CC">
        <w:rPr>
          <w:rFonts w:hint="cs"/>
          <w:rtl/>
          <w:lang w:bidi="ar-EG"/>
        </w:rPr>
        <w:t>)</w:t>
      </w:r>
      <w:r w:rsidRPr="006018CC">
        <w:rPr>
          <w:rtl/>
        </w:rPr>
        <w:t xml:space="preserve">: </w:t>
      </w:r>
    </w:p>
    <w:p w14:paraId="6F2E536B" w14:textId="77777777" w:rsidR="00F52834" w:rsidRPr="006018CC" w:rsidRDefault="00F52834" w:rsidP="00F52834">
      <w:pPr>
        <w:spacing w:after="0"/>
        <w:rPr>
          <w:rtl/>
        </w:rPr>
      </w:pPr>
      <w:r w:rsidRPr="006018CC">
        <w:rPr>
          <w:rtl/>
        </w:rPr>
        <w:t>لتطوير مشاريع الابتكار المفتوح، يجب على الشركات أن تكون مستعدة للتعاون مع مجموعة واسعة من الشركاء لتبادل المعرفة ومع ذلك، قد يؤدي هذا الانفتاح إلى توتر، مثل "مفارقة الانفتاح</w:t>
      </w:r>
      <w:r w:rsidRPr="006018CC">
        <w:t xml:space="preserve">" </w:t>
      </w:r>
      <w:r w:rsidRPr="006018CC">
        <w:rPr>
          <w:rtl/>
        </w:rPr>
        <w:t>لذلك، تحتاج الشركات إلى آليات حماية للمعرفة تمنع تسربها دون إعاقة العمليات التي تدعم إنشاء المعرفة المشتركة</w:t>
      </w:r>
      <w:r w:rsidRPr="006018CC">
        <w:t xml:space="preserve"> </w:t>
      </w:r>
      <w:r w:rsidRPr="006018CC">
        <w:rPr>
          <w:rtl/>
        </w:rPr>
        <w:t>وبالتالي، يجب على المديرين تقييم الحاجة إلى دمج المعرفة من شركاء مختلفين، خاصة في الحالات التي تشمل العمليات البعيدة أو تضارب المصالح الشخصية</w:t>
      </w:r>
      <w:r w:rsidRPr="006018CC">
        <w:t xml:space="preserve"> </w:t>
      </w:r>
      <w:r w:rsidRPr="006018CC">
        <w:rPr>
          <w:rtl/>
        </w:rPr>
        <w:t xml:space="preserve"> كما يتطلب إدارة الابتكار المفتوح آليات تحكم (رسمية وغير رسمية) تشجع على المعاملة بالمثل في حين تمنع احتكار المعرفة، الاستفادة المجانية، أو التراجع عن الاتفاقات</w:t>
      </w:r>
      <w:r w:rsidRPr="006018CC">
        <w:t xml:space="preserve"> </w:t>
      </w:r>
      <w:r w:rsidRPr="006018CC">
        <w:rPr>
          <w:rtl/>
        </w:rPr>
        <w:t>علاوة على ذلك، هناك حاجة إلى أساليب جديدة لإدارة البحث والتطوير عندما تتنافس مشاريع الابتكار المفتوح للحصول على ميزانيات الابتكار</w:t>
      </w:r>
      <w:r w:rsidRPr="006018CC">
        <w:t xml:space="preserve"> </w:t>
      </w:r>
      <w:r w:rsidRPr="006018CC">
        <w:rPr>
          <w:rtl/>
        </w:rPr>
        <w:t>أو تواجه مقاومة بسبب "متلازمة ليس من اختراعي</w:t>
      </w:r>
      <w:r w:rsidRPr="006018CC">
        <w:t>"</w:t>
      </w:r>
      <w:r w:rsidRPr="006018CC">
        <w:rPr>
          <w:rtl/>
        </w:rPr>
        <w:t xml:space="preserve"> كما يتطلب الابتكار المفتوح من موظفي البحث والتطوير تغيير ممارسات عملهم لتضمين التفاعل مع الأطراف الخارجية، وبالتالي يستفيد من المديرين القادرين على التغلب على المقاومة الداخلية من خلال التواصل المقنع بفوائد الابتكار المفتوح، وباختصار، يؤدي المديرون مهام التنسيق الحيوية خلال مرحلة تطوير الابتكار المفتوح التي تشمل تبادل المعلومات والدمج بين الشركاء، وجميعها يمكن أن تستفيد من الذكاء الاصطناعي</w:t>
      </w:r>
      <w:r w:rsidRPr="006018CC">
        <w:t>.</w:t>
      </w:r>
    </w:p>
    <w:p w14:paraId="5F4317F2" w14:textId="77777777" w:rsidR="00F52834" w:rsidRPr="006018CC" w:rsidRDefault="00F52834" w:rsidP="00573121">
      <w:pPr>
        <w:rPr>
          <w:rtl/>
        </w:rPr>
      </w:pPr>
      <w:r w:rsidRPr="006018CC">
        <w:rPr>
          <w:rtl/>
        </w:rPr>
        <w:lastRenderedPageBreak/>
        <w:t>كما تعتبر تنمية التكميلية بين معرفة الشركاء أمرًا حيويًا لنجاح الابتكار المفتوح. ومع ذلك، لا يمكن التنبؤ بالتكامل الكامل للمعرفة مسبقًا، وهو أفضل عندما يتم التعرف عليه بعد تشكيل التعاون من خلال الاستكشاف المتبادل المتعمق</w:t>
      </w:r>
      <w:r w:rsidRPr="006018CC">
        <w:t xml:space="preserve"> </w:t>
      </w:r>
      <w:r w:rsidRPr="006018CC">
        <w:rPr>
          <w:rtl/>
        </w:rPr>
        <w:t>نتيجة لذلك، يعد تحديد وإعادة تقييم الفرص لإعادة تركيب المعرفة مهمة صعبة حيث يمكن للذكاء الاصطناعي أن يحدد التكميلية المعرفية الحالية والمحتملة من خلال تحليل مخزونات معرفة الشركاء وأنه من خلال تطوير التكميلية المعرفية والفرص غير المستغلة لإعادة التركيب، يمكن للذكاء الاصطناعي مساعدة الشركات الشريكة على تجاوز المقاومة الداخلية أو متلازمة "ليس من اختراعي" من خلال رسم وتصور إمكانيات الابتكار المفتوح. بمعنى آخر، يمكن للذكاء الاصطناعي أن يساعد في كشف الفوائد المحتملة للابتكار المفتوح التي ستكون غامضة بخلاف ذلك بالنسبة للشركات الشريكة وموظفيها. على سبيل المثال، تستخدم شركة فايزر الذكاء الاصطناعي لاكتشاف الأدوية وتطويرها عن طريق تحليل عدد كبير من المركبات الكيميائية لتحديد التركيبات المناسبة لعلاج أمراض معينة. بشكل خاص، وللمساعدة في تطوير لقاح</w:t>
      </w:r>
      <w:r w:rsidRPr="006018CC">
        <w:t xml:space="preserve"> COVID-19</w:t>
      </w:r>
      <w:r w:rsidRPr="006018CC">
        <w:rPr>
          <w:rtl/>
        </w:rPr>
        <w:t>، استخدمت فايزر نظام</w:t>
      </w:r>
      <w:r w:rsidRPr="006018CC">
        <w:t xml:space="preserve"> IBM Watson </w:t>
      </w:r>
      <w:r w:rsidRPr="006018CC">
        <w:rPr>
          <w:rtl/>
        </w:rPr>
        <w:t>لتحليل 25 مليون ملخص طبية و1 مليون مقال طبي كامل و4 ملايين براءة اختراع</w:t>
      </w:r>
      <w:r w:rsidRPr="006018CC">
        <w:t>.</w:t>
      </w:r>
      <w:r w:rsidRPr="006018CC">
        <w:rPr>
          <w:rtl/>
        </w:rPr>
        <w:t xml:space="preserve">  </w:t>
      </w:r>
    </w:p>
    <w:p w14:paraId="2BFA844B" w14:textId="77777777" w:rsidR="00F52834" w:rsidRPr="006018CC" w:rsidRDefault="00F52834" w:rsidP="00F52834">
      <w:pPr>
        <w:spacing w:after="0"/>
        <w:rPr>
          <w:rtl/>
        </w:rPr>
      </w:pPr>
      <w:r w:rsidRPr="00573121">
        <w:rPr>
          <w:rtl/>
        </w:rPr>
        <w:t>كما أن الذكاء الاصطناعي يعتبر كـ "قائد أوركسترا" – دمج المعرفة</w:t>
      </w:r>
      <w:r w:rsidRPr="006018CC">
        <w:rPr>
          <w:rtl/>
        </w:rPr>
        <w:t xml:space="preserve"> حيث يجب على شركاء الابتكار المفتوح دمج مدخلاتهم المعرفية المتنوعة لإنشاء اختراعات جديدة. بينما يعتبر هذا التكامل جزءًا أساسيًا من الإنتاج التعاوني للمعرفة في الابتكار المفتوح، إلا أنه من الصعب التنسيق، وقد يكتشف المديرون في وقت لاحق أن المخرجات الفردية غير متوافقة مع الأهداف الأوسع لمشروع الابتكار المفتوح. بشكل مثالي، تخلق إدارة الابتكار المفتوح الظروف التي تجعل الشركاء مستعدين لمشاركة المعرفة بتنسيقات متوافقة دون تقييد العملية الإبداعية أو إثارة المقاومة. يمكن للذكاء الاصطناعي أن يساعد في خلق هذه الظروف. على سبيل المثال، يعتبر</w:t>
      </w:r>
      <w:r w:rsidRPr="006018CC">
        <w:t xml:space="preserve"> Spacemaker</w:t>
      </w:r>
      <w:r w:rsidRPr="006018CC">
        <w:rPr>
          <w:rtl/>
        </w:rPr>
        <w:t>، وهو منتج برمجيات تصميم من</w:t>
      </w:r>
      <w:r w:rsidRPr="006018CC">
        <w:t xml:space="preserve"> AUTODESK</w:t>
      </w:r>
      <w:r w:rsidRPr="006018CC">
        <w:rPr>
          <w:rtl/>
        </w:rPr>
        <w:t>، مثالاً على كيفية مساعد الذكاء الاصطناعي في دمج المعرفة. يمكّن هذا النظام التعاوني من تحميل تصاميم العقارات الأولية كنماذج ثلاثية الأبعاد إلى مواقع جغرافية محددة، مما يوفر للمصممين أرض اختبار لاستكشاف كيفية تأثير التصاميم بفعل الظروف المختلفة</w:t>
      </w:r>
      <w:r w:rsidRPr="006018CC">
        <w:t>.</w:t>
      </w:r>
    </w:p>
    <w:p w14:paraId="44B201DE" w14:textId="77777777" w:rsidR="00F52834" w:rsidRPr="006018CC" w:rsidRDefault="00F52834" w:rsidP="00F52834">
      <w:pPr>
        <w:spacing w:after="0"/>
        <w:ind w:firstLine="0"/>
        <w:rPr>
          <w:b/>
          <w:bCs/>
          <w:rtl/>
        </w:rPr>
      </w:pPr>
      <w:r w:rsidRPr="006018CC">
        <w:rPr>
          <w:b/>
          <w:bCs/>
          <w:rtl/>
        </w:rPr>
        <w:t>ثالثا: نظرية انتشار الابتكارات (</w:t>
      </w:r>
      <w:r w:rsidRPr="006018CC">
        <w:rPr>
          <w:b/>
          <w:bCs/>
        </w:rPr>
        <w:t>Diffusion of Innovations Theory</w:t>
      </w:r>
      <w:r w:rsidRPr="006018CC">
        <w:rPr>
          <w:b/>
          <w:bCs/>
          <w:rtl/>
        </w:rPr>
        <w:t>)</w:t>
      </w:r>
    </w:p>
    <w:p w14:paraId="7BFE8C91" w14:textId="719A3C46" w:rsidR="00F52834" w:rsidRPr="006018CC" w:rsidRDefault="00F52834" w:rsidP="00016E2F">
      <w:r w:rsidRPr="006018CC">
        <w:rPr>
          <w:rtl/>
        </w:rPr>
        <w:t xml:space="preserve">يعد الابتكار المحرك الأساسي للنمو </w:t>
      </w:r>
      <w:proofErr w:type="gramStart"/>
      <w:r w:rsidRPr="006018CC">
        <w:rPr>
          <w:rtl/>
        </w:rPr>
        <w:t>الاقتصادي</w:t>
      </w:r>
      <w:r w:rsidRPr="006018CC">
        <w:t>(</w:t>
      </w:r>
      <w:proofErr w:type="gramEnd"/>
      <w:r w:rsidRPr="006018CC">
        <w:t>Mokyr, 2002)</w:t>
      </w:r>
      <w:r w:rsidRPr="006018CC">
        <w:rPr>
          <w:rtl/>
        </w:rPr>
        <w:t>، وهو مصدر رئيسي لفرص العمل الجديدة، ووسيلة لتحقيق الفوائد البيئية</w:t>
      </w:r>
      <w:r w:rsidRPr="006018CC">
        <w:t xml:space="preserve"> (Foxon et al., 2005) </w:t>
      </w:r>
      <w:r w:rsidRPr="006018CC">
        <w:rPr>
          <w:rtl/>
        </w:rPr>
        <w:t xml:space="preserve">يُعتقد أنه في اقتصاد عالمي حيث تُنفذ الأنشطة الاقتصادية بتكلفة منخفضة في الاقتصادات ذات الأجور المنخفضة مثل الصين، فإن الطريقة الرئيسية لبقاء الاقتصادات الأخرى ومنافستها هي تطوير منتجات وعمليات جديدة ومحسّنة. وبناءً على ذلك، يجب عليها </w:t>
      </w:r>
      <w:proofErr w:type="gramStart"/>
      <w:r w:rsidRPr="006018CC">
        <w:rPr>
          <w:rtl/>
        </w:rPr>
        <w:t>الابتكار</w:t>
      </w:r>
      <w:r w:rsidR="00016E2F">
        <w:rPr>
          <w:rFonts w:hint="cs"/>
          <w:rtl/>
        </w:rPr>
        <w:t xml:space="preserve"> </w:t>
      </w:r>
      <w:r w:rsidRPr="006018CC">
        <w:t xml:space="preserve"> (</w:t>
      </w:r>
      <w:proofErr w:type="gramEnd"/>
      <w:r w:rsidRPr="006018CC">
        <w:t xml:space="preserve">Salaman &amp; </w:t>
      </w:r>
      <w:proofErr w:type="spellStart"/>
      <w:r w:rsidRPr="006018CC">
        <w:t>Storey</w:t>
      </w:r>
      <w:proofErr w:type="spellEnd"/>
      <w:r w:rsidRPr="006018CC">
        <w:t xml:space="preserve">, 2005) </w:t>
      </w:r>
      <w:r w:rsidRPr="006018CC">
        <w:rPr>
          <w:rtl/>
        </w:rPr>
        <w:t>يشير ابتكار المنتجات إلى منتج جديد أو معدل، بينما يشير ابتكار العمليات إلى طريقة جديدة أو معدلة لإنتاج منتج</w:t>
      </w:r>
      <w:r w:rsidRPr="006018CC">
        <w:t xml:space="preserve"> (Black et </w:t>
      </w:r>
      <w:r w:rsidRPr="006018CC">
        <w:lastRenderedPageBreak/>
        <w:t xml:space="preserve">al., 2006) </w:t>
      </w:r>
      <w:r w:rsidRPr="006018CC">
        <w:rPr>
          <w:rtl/>
        </w:rPr>
        <w:t>وفقًا لـ</w:t>
      </w:r>
      <w:r w:rsidRPr="006018CC">
        <w:t xml:space="preserve"> (</w:t>
      </w:r>
      <w:proofErr w:type="spellStart"/>
      <w:r w:rsidRPr="006018CC">
        <w:t>Afuah</w:t>
      </w:r>
      <w:proofErr w:type="spellEnd"/>
      <w:r w:rsidRPr="006018CC">
        <w:t>, 2003)</w:t>
      </w:r>
      <w:r w:rsidRPr="006018CC">
        <w:rPr>
          <w:rtl/>
        </w:rPr>
        <w:t>، فإن الابتكار هو تطبيق معرفة جديدة لإنشاء منتج أو خدمة جديدة يرغب فيها العملاء. بعبارة أخرى، هو مزيج من الاختراع والتسويق</w:t>
      </w:r>
      <w:r w:rsidRPr="006018CC">
        <w:rPr>
          <w:rFonts w:hint="cs"/>
          <w:rtl/>
          <w:lang w:bidi="ar-EG"/>
        </w:rPr>
        <w:t xml:space="preserve"> حيث</w:t>
      </w:r>
      <w:r w:rsidRPr="006018CC">
        <w:rPr>
          <w:rtl/>
        </w:rPr>
        <w:t xml:space="preserve"> عرّف</w:t>
      </w:r>
      <w:r w:rsidRPr="006018CC">
        <w:t xml:space="preserve"> (Van de Ven, 1986) </w:t>
      </w:r>
      <w:r w:rsidRPr="006018CC">
        <w:rPr>
          <w:rtl/>
        </w:rPr>
        <w:t>الابتكار على أنه فكرة جديدة، قد تكون إعادة دمج أفكار قديمة، خطة تتحدى النظام الحالي، صيغة، أو طريقة حصرية يُنظر إليها على أنها جديدة من قبل الأفراد المعنيين</w:t>
      </w:r>
      <w:r w:rsidRPr="006018CC">
        <w:t>.</w:t>
      </w:r>
    </w:p>
    <w:p w14:paraId="6F639E98" w14:textId="77777777" w:rsidR="00F52834" w:rsidRPr="006018CC" w:rsidRDefault="00F52834" w:rsidP="00016E2F">
      <w:r w:rsidRPr="006018CC">
        <w:rPr>
          <w:rtl/>
        </w:rPr>
        <w:t>تصنف الأدبيات الحالية الابتكار إلى عدة فئات مثل النوع، الدرجة، الكفاءة، التأثير، والملكية</w:t>
      </w:r>
      <w:r w:rsidRPr="006018CC">
        <w:t xml:space="preserve"> (</w:t>
      </w:r>
      <w:proofErr w:type="spellStart"/>
      <w:r w:rsidRPr="006018CC">
        <w:t>Narvekar</w:t>
      </w:r>
      <w:proofErr w:type="spellEnd"/>
      <w:r w:rsidRPr="006018CC">
        <w:t xml:space="preserve"> &amp; Jain, 2006</w:t>
      </w:r>
      <w:proofErr w:type="gramStart"/>
      <w:r w:rsidRPr="006018CC">
        <w:t xml:space="preserve">) </w:t>
      </w:r>
      <w:r w:rsidRPr="006018CC">
        <w:rPr>
          <w:rFonts w:hint="cs"/>
          <w:rtl/>
        </w:rPr>
        <w:t xml:space="preserve"> حيث</w:t>
      </w:r>
      <w:proofErr w:type="gramEnd"/>
      <w:r w:rsidRPr="006018CC">
        <w:rPr>
          <w:rFonts w:hint="cs"/>
          <w:rtl/>
        </w:rPr>
        <w:t xml:space="preserve"> </w:t>
      </w:r>
      <w:r w:rsidRPr="006018CC">
        <w:rPr>
          <w:rtl/>
        </w:rPr>
        <w:t>يمكن أن تفكر مختلف أحجام القطاعات الصناعية والخدمية في الابتكار (صغير، متوسط، وكبير). على الرغم من الاختلافات بين هذين القطاعين، إلا أن التعريف العام وعملية الابتكار تبقى هي نفسها. تختلف الخدمات عن التصنيع في عدة نواحٍ، بما في ذلك كونها غير ملموسة، وقابلة للتلف، وغير متجانسة</w:t>
      </w:r>
      <w:r w:rsidRPr="006018CC">
        <w:t xml:space="preserve"> (</w:t>
      </w:r>
      <w:proofErr w:type="spellStart"/>
      <w:r w:rsidRPr="006018CC">
        <w:t>Oke</w:t>
      </w:r>
      <w:proofErr w:type="spellEnd"/>
      <w:r w:rsidRPr="006018CC">
        <w:t xml:space="preserve">, 2004) </w:t>
      </w:r>
      <w:r w:rsidRPr="006018CC">
        <w:rPr>
          <w:rFonts w:hint="cs"/>
          <w:rtl/>
        </w:rPr>
        <w:t xml:space="preserve">كما لاحظ </w:t>
      </w:r>
      <w:r w:rsidRPr="006018CC">
        <w:rPr>
          <w:rtl/>
        </w:rPr>
        <w:br/>
      </w:r>
      <w:r w:rsidRPr="006018CC">
        <w:t xml:space="preserve"> (Tidd &amp; Hull, 2006) </w:t>
      </w:r>
      <w:r w:rsidRPr="006018CC">
        <w:rPr>
          <w:rtl/>
        </w:rPr>
        <w:t>أن الابتكار يمكن أن يقدم طرقًا جديدة لخدمة الأسواق القديمة والمُستقرة بالإضافة إلى فتح أسواق جديدة. قسموا الابتكار إلى أربع فئات: المنتج، العملية، الوضع، والنموذج، حيث يحدث كل منها على محور يتراوح من التغيير التدريجي إلى التغيير الجذري. ينطوي الابتكار التدريجي للمنتج على تقديم منتج أفضل له على الأقل ميزة مرغوبة إضافية مقارنة بسابقه أو أنه أكثر كفاءة بنفس الميزات. من ناحية أخرى، يحدث الابتكار الجذري أو الأساسي للمنتج عندما يتم فتح سوق جديد ويبدأ المبتكر في تلبية الطلبات المخفية</w:t>
      </w:r>
      <w:r w:rsidRPr="006018CC">
        <w:t xml:space="preserve"> (Arundel et al., 2019).</w:t>
      </w:r>
    </w:p>
    <w:p w14:paraId="5BC81A3D" w14:textId="77777777" w:rsidR="00F52834" w:rsidRPr="006018CC" w:rsidRDefault="00F52834" w:rsidP="00016E2F">
      <w:r w:rsidRPr="006018CC">
        <w:rPr>
          <w:rFonts w:hint="cs"/>
          <w:rtl/>
        </w:rPr>
        <w:t xml:space="preserve">أولا: </w:t>
      </w:r>
      <w:r w:rsidRPr="006018CC">
        <w:rPr>
          <w:rtl/>
        </w:rPr>
        <w:t>الموظفون واعتماد الابتكار الإلكتروني</w:t>
      </w:r>
      <w:r w:rsidRPr="006018CC">
        <w:t>:</w:t>
      </w:r>
    </w:p>
    <w:p w14:paraId="26A37B17" w14:textId="77777777" w:rsidR="00F52834" w:rsidRPr="006018CC" w:rsidRDefault="00F52834" w:rsidP="00016E2F">
      <w:pPr>
        <w:rPr>
          <w:rtl/>
        </w:rPr>
      </w:pPr>
      <w:r w:rsidRPr="006018CC">
        <w:rPr>
          <w:rtl/>
        </w:rPr>
        <w:t>وفقًا لـ</w:t>
      </w:r>
      <w:r w:rsidRPr="006018CC">
        <w:t xml:space="preserve"> Siyal et al. (2021)</w:t>
      </w:r>
      <w:r w:rsidRPr="006018CC">
        <w:rPr>
          <w:rtl/>
        </w:rPr>
        <w:t>، يجب أن يكون الموظفون مدربين وذوي مهارات عالية لأداء تدفق مستمر من الابتكار وتحقيق الأهداف والغايات في القطاعين العام والخاص. بناءً على نظرية الدافع الذاتي</w:t>
      </w:r>
      <w:r w:rsidRPr="006018CC">
        <w:t xml:space="preserve"> (SDT)</w:t>
      </w:r>
      <w:r w:rsidRPr="006018CC">
        <w:rPr>
          <w:rtl/>
        </w:rPr>
        <w:t>، لدى الشخص ثلاث احتياجات نفسية أساسية:</w:t>
      </w:r>
    </w:p>
    <w:p w14:paraId="68B5EE88" w14:textId="77777777" w:rsidR="00F52834" w:rsidRPr="006018CC" w:rsidRDefault="00F52834" w:rsidP="00016E2F">
      <w:r w:rsidRPr="006018CC">
        <w:rPr>
          <w:rtl/>
        </w:rPr>
        <w:t xml:space="preserve"> 1. الاستقلالية، 2. الكفاءة، و3. الصلة</w:t>
      </w:r>
      <w:r w:rsidRPr="006018CC">
        <w:t xml:space="preserve"> (Chiu, 2018; </w:t>
      </w:r>
      <w:proofErr w:type="spellStart"/>
      <w:r w:rsidRPr="006018CC">
        <w:t>Gagné</w:t>
      </w:r>
      <w:proofErr w:type="spellEnd"/>
      <w:r w:rsidRPr="006018CC">
        <w:t xml:space="preserve"> &amp; Deci, 2005; Koe &amp; Sakir, 2020; Ryan &amp; Deci, 2000)</w:t>
      </w:r>
      <w:r w:rsidRPr="006018CC">
        <w:rPr>
          <w:rtl/>
        </w:rPr>
        <w:t>، حيث يمكن أن تحسن أو تضعف العوامل الاجتماعية والبيئية تلك الاحتياجات</w:t>
      </w:r>
      <w:r w:rsidRPr="006018CC">
        <w:t xml:space="preserve"> (Chiu, 2018). </w:t>
      </w:r>
      <w:r w:rsidRPr="006018CC">
        <w:rPr>
          <w:rtl/>
        </w:rPr>
        <w:t>يرتبط معدل اعتماد الابتكار الإلكتروني ارتباطًا وثيقًا بالديناميكيات المتحمسة للموظفين؛ الدافع الداخلي، الدافع الخارجي</w:t>
      </w:r>
      <w:r w:rsidRPr="006018CC">
        <w:rPr>
          <w:rtl/>
        </w:rPr>
        <w:br/>
      </w:r>
      <w:r w:rsidRPr="006018CC">
        <w:t xml:space="preserve"> (Siyal et al., 2021) </w:t>
      </w:r>
      <w:r w:rsidRPr="006018CC">
        <w:rPr>
          <w:rtl/>
        </w:rPr>
        <w:t>وكفاءة الذات المدركة</w:t>
      </w:r>
      <w:r w:rsidRPr="006018CC">
        <w:t xml:space="preserve"> (Fuchs et al., 2019).</w:t>
      </w:r>
    </w:p>
    <w:p w14:paraId="268CB4B2" w14:textId="77777777" w:rsidR="00F52834" w:rsidRPr="006018CC" w:rsidRDefault="00F52834" w:rsidP="00016E2F">
      <w:r w:rsidRPr="006018CC">
        <w:rPr>
          <w:rFonts w:hint="cs"/>
          <w:rtl/>
        </w:rPr>
        <w:t xml:space="preserve">أ- </w:t>
      </w:r>
      <w:r w:rsidRPr="006018CC">
        <w:rPr>
          <w:rtl/>
        </w:rPr>
        <w:t>الدافع الداخلي</w:t>
      </w:r>
    </w:p>
    <w:p w14:paraId="7EFCC99B" w14:textId="6EBDAA6A" w:rsidR="00F52834" w:rsidRPr="006018CC" w:rsidRDefault="00F52834" w:rsidP="00016E2F">
      <w:r w:rsidRPr="006018CC">
        <w:rPr>
          <w:rtl/>
        </w:rPr>
        <w:t>الشخص الذي يتمتع بدرجة أعلى من الدافع الداخلي يبحث عن المكافآت الداخلية مثل الفرح أو الإنجاز أو الفخر</w:t>
      </w:r>
      <w:r w:rsidRPr="006018CC">
        <w:t xml:space="preserve"> (Chiu, 2018; </w:t>
      </w:r>
      <w:proofErr w:type="spellStart"/>
      <w:r w:rsidRPr="006018CC">
        <w:t>Gagné</w:t>
      </w:r>
      <w:proofErr w:type="spellEnd"/>
      <w:r w:rsidRPr="006018CC">
        <w:t xml:space="preserve"> &amp; Deci, 2005; Ryan &amp; Deci, 2000) </w:t>
      </w:r>
      <w:r w:rsidRPr="006018CC">
        <w:rPr>
          <w:rtl/>
        </w:rPr>
        <w:t>ومع ذلك، قد يكون اعتماد الابتكار الإلكتروني صعبًا ومثيرًا لأن الابتكار الإلكتروني جديد تمامًا للمُعتمدين عليه</w:t>
      </w:r>
      <w:r w:rsidRPr="006018CC">
        <w:t xml:space="preserve"> </w:t>
      </w:r>
      <w:r w:rsidRPr="006018CC">
        <w:lastRenderedPageBreak/>
        <w:t xml:space="preserve">(Rogers, 2003) </w:t>
      </w:r>
      <w:r w:rsidRPr="006018CC">
        <w:rPr>
          <w:rtl/>
        </w:rPr>
        <w:t>وبالتالي، يرتبط الدافع الداخلي بشكل إيجابي ومباشر بالانفتاح، مما يعني أن الأفراد مهتمون ويقبلون الجدة التي يقدمها الابتكار الإلكتروني</w:t>
      </w:r>
      <w:r w:rsidR="00016E2F">
        <w:rPr>
          <w:rFonts w:hint="cs"/>
          <w:rtl/>
        </w:rPr>
        <w:t xml:space="preserve"> </w:t>
      </w:r>
      <w:r w:rsidRPr="006018CC">
        <w:t xml:space="preserve"> (Chiu, 2018; Robbins &amp; Judge, 2015) </w:t>
      </w:r>
      <w:r w:rsidRPr="006018CC">
        <w:rPr>
          <w:rtl/>
        </w:rPr>
        <w:t>بالمثل، تؤثر الاحتياجات النفسية الأساسية مثل الاستقلالية والكفاءة والصلة بشكل مباشر على الدافع الداخلي للمبادرين في البلدان النامية مثل ماليزيا لاستخدام التجارة الإلكترونية</w:t>
      </w:r>
      <w:r w:rsidRPr="006018CC">
        <w:t xml:space="preserve"> (Koe &amp; Sakir, 2020) </w:t>
      </w:r>
    </w:p>
    <w:p w14:paraId="42CF414F" w14:textId="4B775FB7" w:rsidR="00F52834" w:rsidRPr="006018CC" w:rsidRDefault="00F52834" w:rsidP="00016E2F">
      <w:pPr>
        <w:rPr>
          <w:rtl/>
        </w:rPr>
      </w:pPr>
      <w:r w:rsidRPr="006018CC">
        <w:rPr>
          <w:rtl/>
        </w:rPr>
        <w:t>بالإضافة إلى ذلك، أشار المؤلفون إلى أن إحدى الطرق التي قد تؤدي إلى تحقيق الدافع الداخلي هي من خلال تقديم الخيارات والاعتراف بالعواطف. يتبع ذلك أنه عندما يكون لدى الأشخاص شعور بالتحكم في بيئتهم، يكونون أكثر احتمالًا أن يتحفزوا من العوامل الداخلية ويغمروا أنفسهم بالكامل فيما يفعلونه. وقد وجدت العديد من الدراسات أن الدافع الداخلي أثر بشكل إيجابي وكبير على اعتماد الابتكار الإلكتروني في قطاعات مختلفة مثل التجارة</w:t>
      </w:r>
      <w:r w:rsidRPr="006018CC">
        <w:rPr>
          <w:rFonts w:hint="cs"/>
          <w:rtl/>
          <w:lang w:bidi="ar-EG"/>
        </w:rPr>
        <w:t xml:space="preserve"> </w:t>
      </w:r>
      <w:proofErr w:type="gramStart"/>
      <w:r w:rsidRPr="006018CC">
        <w:rPr>
          <w:rFonts w:hint="cs"/>
          <w:rtl/>
          <w:lang w:bidi="ar-EG"/>
        </w:rPr>
        <w:t>الإلكترونية</w:t>
      </w:r>
      <w:r w:rsidR="00016E2F">
        <w:rPr>
          <w:rFonts w:hint="cs"/>
          <w:rtl/>
          <w:lang w:bidi="ar-EG"/>
        </w:rPr>
        <w:t xml:space="preserve"> </w:t>
      </w:r>
      <w:r w:rsidRPr="006018CC">
        <w:t xml:space="preserve"> (</w:t>
      </w:r>
      <w:proofErr w:type="gramEnd"/>
      <w:r w:rsidRPr="006018CC">
        <w:t>Chen et al., 2019; Koe &amp; Sakir, 2020)</w:t>
      </w:r>
      <w:r w:rsidRPr="006018CC">
        <w:rPr>
          <w:rtl/>
        </w:rPr>
        <w:t xml:space="preserve">، وسائل التواصل الاجتماعي في القطاع </w:t>
      </w:r>
      <w:proofErr w:type="gramStart"/>
      <w:r w:rsidRPr="006018CC">
        <w:rPr>
          <w:rtl/>
        </w:rPr>
        <w:t>الحكومي</w:t>
      </w:r>
      <w:r w:rsidRPr="006018CC">
        <w:rPr>
          <w:rFonts w:hint="cs"/>
          <w:rtl/>
        </w:rPr>
        <w:t xml:space="preserve"> </w:t>
      </w:r>
      <w:r w:rsidRPr="006018CC">
        <w:t xml:space="preserve"> (</w:t>
      </w:r>
      <w:proofErr w:type="spellStart"/>
      <w:proofErr w:type="gramEnd"/>
      <w:r w:rsidRPr="006018CC">
        <w:t>Demircioglu</w:t>
      </w:r>
      <w:proofErr w:type="spellEnd"/>
      <w:r w:rsidRPr="006018CC">
        <w:t xml:space="preserve"> &amp; Chen, 2019)</w:t>
      </w:r>
      <w:r w:rsidRPr="006018CC">
        <w:rPr>
          <w:rtl/>
        </w:rPr>
        <w:t>، مشاركة المحتوى التجاري على خدمات الشبكات الاجتماعية للأعمال الإلكترونية</w:t>
      </w:r>
      <w:r w:rsidRPr="006018CC">
        <w:t xml:space="preserve"> (</w:t>
      </w:r>
      <w:proofErr w:type="spellStart"/>
      <w:r w:rsidRPr="006018CC">
        <w:t>Vilnai-Yavetz</w:t>
      </w:r>
      <w:proofErr w:type="spellEnd"/>
      <w:r w:rsidRPr="006018CC">
        <w:t xml:space="preserve"> &amp; Levina, 2018) </w:t>
      </w:r>
      <w:r w:rsidRPr="006018CC">
        <w:rPr>
          <w:rtl/>
        </w:rPr>
        <w:t>والتعلم الإلكتروني في قطاع التعليم</w:t>
      </w:r>
      <w:r w:rsidRPr="006018CC">
        <w:t xml:space="preserve"> (Fırat et al., 2018; Harandi, 2015).</w:t>
      </w:r>
    </w:p>
    <w:p w14:paraId="14CAEEFB" w14:textId="77777777" w:rsidR="00F52834" w:rsidRPr="006018CC" w:rsidRDefault="00F52834" w:rsidP="00016E2F">
      <w:r w:rsidRPr="006018CC">
        <w:rPr>
          <w:rFonts w:hint="cs"/>
          <w:rtl/>
        </w:rPr>
        <w:t>ب-</w:t>
      </w:r>
      <w:r w:rsidRPr="006018CC">
        <w:t xml:space="preserve"> </w:t>
      </w:r>
      <w:r w:rsidRPr="006018CC">
        <w:rPr>
          <w:rtl/>
        </w:rPr>
        <w:t>الدافع الخارجي</w:t>
      </w:r>
    </w:p>
    <w:p w14:paraId="483EBFEA" w14:textId="77777777" w:rsidR="00F52834" w:rsidRPr="006018CC" w:rsidRDefault="00F52834" w:rsidP="00016E2F">
      <w:pPr>
        <w:rPr>
          <w:rtl/>
        </w:rPr>
      </w:pPr>
      <w:r w:rsidRPr="006018CC">
        <w:rPr>
          <w:rtl/>
        </w:rPr>
        <w:t xml:space="preserve">وجدت العديد من الدراسات أن الدافع الخارجي كان له تأثير كبير على تكنولوجيا الابتكار الإلكتروني. تشمل الأمثلة: </w:t>
      </w:r>
    </w:p>
    <w:p w14:paraId="2A555EB5" w14:textId="77777777" w:rsidR="00F52834" w:rsidRPr="006018CC" w:rsidRDefault="00F52834" w:rsidP="00016E2F">
      <w:pPr>
        <w:rPr>
          <w:rtl/>
        </w:rPr>
      </w:pPr>
      <w:r w:rsidRPr="006018CC">
        <w:rPr>
          <w:rFonts w:hint="cs"/>
          <w:rtl/>
        </w:rPr>
        <w:t xml:space="preserve">- </w:t>
      </w:r>
      <w:r w:rsidRPr="006018CC">
        <w:rPr>
          <w:rtl/>
        </w:rPr>
        <w:t>قطاع التعليم</w:t>
      </w:r>
      <w:r w:rsidRPr="006018CC">
        <w:rPr>
          <w:rFonts w:hint="cs"/>
          <w:rtl/>
        </w:rPr>
        <w:t xml:space="preserve"> </w:t>
      </w:r>
      <w:r w:rsidRPr="006018CC">
        <w:t>(I.F. Liu &amp; Young, 2017)</w:t>
      </w:r>
      <w:r w:rsidRPr="006018CC">
        <w:rPr>
          <w:rFonts w:hint="cs"/>
          <w:rtl/>
        </w:rPr>
        <w:t>.</w:t>
      </w:r>
    </w:p>
    <w:p w14:paraId="281F1268" w14:textId="77777777" w:rsidR="00F52834" w:rsidRPr="006018CC" w:rsidRDefault="00F52834" w:rsidP="00016E2F">
      <w:pPr>
        <w:rPr>
          <w:rtl/>
        </w:rPr>
      </w:pPr>
      <w:r w:rsidRPr="006018CC">
        <w:rPr>
          <w:rFonts w:hint="cs"/>
          <w:rtl/>
        </w:rPr>
        <w:t xml:space="preserve">- </w:t>
      </w:r>
      <w:r w:rsidRPr="006018CC">
        <w:rPr>
          <w:rtl/>
        </w:rPr>
        <w:t xml:space="preserve">صناعة </w:t>
      </w:r>
      <w:proofErr w:type="gramStart"/>
      <w:r w:rsidRPr="006018CC">
        <w:rPr>
          <w:rtl/>
        </w:rPr>
        <w:t>التصنيع</w:t>
      </w:r>
      <w:r w:rsidRPr="006018CC">
        <w:t xml:space="preserve"> </w:t>
      </w:r>
      <w:r w:rsidRPr="006018CC">
        <w:rPr>
          <w:rFonts w:hint="cs"/>
          <w:rtl/>
        </w:rPr>
        <w:t xml:space="preserve"> </w:t>
      </w:r>
      <w:r w:rsidRPr="006018CC">
        <w:t>(</w:t>
      </w:r>
      <w:proofErr w:type="gramEnd"/>
      <w:r w:rsidRPr="006018CC">
        <w:t>Chiu, 2018)</w:t>
      </w:r>
      <w:r w:rsidRPr="006018CC">
        <w:rPr>
          <w:rFonts w:hint="cs"/>
          <w:rtl/>
        </w:rPr>
        <w:t xml:space="preserve"> </w:t>
      </w:r>
      <w:r w:rsidRPr="006018CC">
        <w:rPr>
          <w:rtl/>
        </w:rPr>
        <w:t>في تايوان</w:t>
      </w:r>
      <w:r w:rsidRPr="006018CC">
        <w:rPr>
          <w:rFonts w:hint="cs"/>
          <w:rtl/>
        </w:rPr>
        <w:t>.</w:t>
      </w:r>
    </w:p>
    <w:p w14:paraId="4B11F2A7" w14:textId="77777777" w:rsidR="00F52834" w:rsidRPr="006018CC" w:rsidRDefault="00F52834" w:rsidP="00016E2F">
      <w:pPr>
        <w:rPr>
          <w:rtl/>
        </w:rPr>
      </w:pPr>
      <w:r w:rsidRPr="006018CC">
        <w:rPr>
          <w:rFonts w:hint="cs"/>
          <w:rtl/>
        </w:rPr>
        <w:t xml:space="preserve">- </w:t>
      </w:r>
      <w:r w:rsidRPr="006018CC">
        <w:rPr>
          <w:rtl/>
        </w:rPr>
        <w:t xml:space="preserve">مستخدمو الأعمال </w:t>
      </w:r>
      <w:proofErr w:type="gramStart"/>
      <w:r w:rsidRPr="006018CC">
        <w:rPr>
          <w:rtl/>
        </w:rPr>
        <w:t>الإلكترونية</w:t>
      </w:r>
      <w:r w:rsidRPr="006018CC">
        <w:rPr>
          <w:rFonts w:hint="cs"/>
          <w:rtl/>
        </w:rPr>
        <w:t xml:space="preserve"> </w:t>
      </w:r>
      <w:r w:rsidRPr="006018CC">
        <w:t xml:space="preserve"> (</w:t>
      </w:r>
      <w:proofErr w:type="spellStart"/>
      <w:proofErr w:type="gramEnd"/>
      <w:r w:rsidRPr="006018CC">
        <w:t>Vilnai-Yavetz</w:t>
      </w:r>
      <w:proofErr w:type="spellEnd"/>
      <w:r w:rsidRPr="006018CC">
        <w:t xml:space="preserve"> &amp; Levina, 2018)</w:t>
      </w:r>
    </w:p>
    <w:p w14:paraId="0A96C677" w14:textId="77777777" w:rsidR="00F52834" w:rsidRPr="006018CC" w:rsidRDefault="00F52834" w:rsidP="00016E2F">
      <w:pPr>
        <w:rPr>
          <w:rtl/>
        </w:rPr>
      </w:pPr>
      <w:r w:rsidRPr="006018CC">
        <w:rPr>
          <w:rFonts w:hint="cs"/>
          <w:rtl/>
        </w:rPr>
        <w:t xml:space="preserve">- </w:t>
      </w:r>
      <w:r w:rsidRPr="006018CC">
        <w:rPr>
          <w:rtl/>
        </w:rPr>
        <w:t>التسوق عبر الهاتف المحمول باستخدام تطبيقات التجزئة المحمولة في الصين</w:t>
      </w:r>
      <w:r w:rsidRPr="006018CC">
        <w:t xml:space="preserve"> (</w:t>
      </w:r>
      <w:proofErr w:type="gramStart"/>
      <w:r w:rsidRPr="006018CC">
        <w:t xml:space="preserve">De </w:t>
      </w:r>
      <w:r w:rsidRPr="006018CC">
        <w:rPr>
          <w:rFonts w:hint="cs"/>
          <w:rtl/>
        </w:rPr>
        <w:t xml:space="preserve"> </w:t>
      </w:r>
      <w:r w:rsidRPr="006018CC">
        <w:t>Canio</w:t>
      </w:r>
      <w:proofErr w:type="gramEnd"/>
      <w:r w:rsidRPr="006018CC">
        <w:t xml:space="preserve"> et al., 2022) </w:t>
      </w:r>
      <w:r w:rsidRPr="006018CC">
        <w:rPr>
          <w:rFonts w:hint="cs"/>
          <w:rtl/>
        </w:rPr>
        <w:t xml:space="preserve"> </w:t>
      </w:r>
    </w:p>
    <w:p w14:paraId="554875E2" w14:textId="77777777" w:rsidR="00F52834" w:rsidRPr="006018CC" w:rsidRDefault="00F52834" w:rsidP="00016E2F">
      <w:pPr>
        <w:rPr>
          <w:rtl/>
        </w:rPr>
      </w:pPr>
      <w:r w:rsidRPr="006018CC">
        <w:rPr>
          <w:rFonts w:hint="cs"/>
          <w:rtl/>
        </w:rPr>
        <w:t xml:space="preserve">- </w:t>
      </w:r>
      <w:r w:rsidRPr="006018CC">
        <w:rPr>
          <w:rtl/>
        </w:rPr>
        <w:t>مستخدمي التجارة الإلكترونية في أستراليا</w:t>
      </w:r>
      <w:r w:rsidRPr="006018CC">
        <w:t xml:space="preserve"> (</w:t>
      </w:r>
      <w:proofErr w:type="spellStart"/>
      <w:r w:rsidRPr="006018CC">
        <w:t>Xuequn</w:t>
      </w:r>
      <w:proofErr w:type="spellEnd"/>
      <w:r w:rsidRPr="006018CC">
        <w:t xml:space="preserve"> Wang et al., 2019) </w:t>
      </w:r>
    </w:p>
    <w:p w14:paraId="57DF30D9" w14:textId="6F88F688" w:rsidR="00F52834" w:rsidRDefault="00F52834" w:rsidP="00016E2F">
      <w:pPr>
        <w:rPr>
          <w:rtl/>
        </w:rPr>
      </w:pPr>
      <w:r w:rsidRPr="006018CC">
        <w:rPr>
          <w:rFonts w:hint="cs"/>
          <w:rtl/>
        </w:rPr>
        <w:t xml:space="preserve">حيث </w:t>
      </w:r>
      <w:r w:rsidRPr="006018CC">
        <w:rPr>
          <w:rtl/>
        </w:rPr>
        <w:t>يسعى الأفراد الذين يتمتعون بدافع خارجي قوي إلى المكافآت الخارجية مثل المال (العائد المالي)، الاعتراف من الآخرين، أو الترقيات المتعلقة بالوظيفة</w:t>
      </w:r>
      <w:r w:rsidRPr="006018CC">
        <w:t xml:space="preserve"> (Chiu, 2018; </w:t>
      </w:r>
      <w:proofErr w:type="spellStart"/>
      <w:r w:rsidRPr="006018CC">
        <w:t>Gagné</w:t>
      </w:r>
      <w:proofErr w:type="spellEnd"/>
      <w:r w:rsidRPr="006018CC">
        <w:t xml:space="preserve"> &amp; Deci, 2005; Ryan &amp; Deci, 2000) </w:t>
      </w:r>
      <w:r w:rsidRPr="006018CC">
        <w:rPr>
          <w:rtl/>
        </w:rPr>
        <w:t>بالإضافة إلى ذلك، قد يؤدي الأفراد المدفوعون خارجيًا إلى أداء بعض المهام لأسباب تتجاوز المهام نفسها، مثل المكافأة أو الاعتراف</w:t>
      </w:r>
      <w:r w:rsidRPr="006018CC">
        <w:t xml:space="preserve"> (Chiu, 2018; </w:t>
      </w:r>
      <w:r w:rsidRPr="006018CC">
        <w:rPr>
          <w:rFonts w:hint="cs"/>
          <w:rtl/>
        </w:rPr>
        <w:t xml:space="preserve">  </w:t>
      </w:r>
      <w:proofErr w:type="spellStart"/>
      <w:r w:rsidRPr="006018CC">
        <w:t>Gagné</w:t>
      </w:r>
      <w:proofErr w:type="spellEnd"/>
      <w:r w:rsidRPr="006018CC">
        <w:t xml:space="preserve"> &amp; Deci, 2005) </w:t>
      </w:r>
      <w:r w:rsidRPr="006018CC">
        <w:rPr>
          <w:rFonts w:hint="cs"/>
          <w:rtl/>
        </w:rPr>
        <w:t xml:space="preserve"> </w:t>
      </w:r>
      <w:r w:rsidRPr="006018CC">
        <w:rPr>
          <w:rtl/>
        </w:rPr>
        <w:t xml:space="preserve">علاوة على ذلك، قد يسعى الأفراد ذوو الدافع الخارجي إلى أهداف تتعلق بالذات، </w:t>
      </w:r>
      <w:r w:rsidRPr="006018CC">
        <w:rPr>
          <w:rtl/>
        </w:rPr>
        <w:lastRenderedPageBreak/>
        <w:t>مقارنة أنفسهم بالآخرين، مما يدفعهم لاعتماد ابتكارات إلكترونية جديدة ليشعروا بالتفوق</w:t>
      </w:r>
      <w:r w:rsidRPr="006018CC">
        <w:t xml:space="preserve"> (Chiu, 2018). </w:t>
      </w:r>
      <w:r w:rsidRPr="006018CC">
        <w:rPr>
          <w:rtl/>
        </w:rPr>
        <w:t>وفقًا لـ</w:t>
      </w:r>
      <w:r w:rsidRPr="006018CC">
        <w:t xml:space="preserve"> Wang et al. (2019)</w:t>
      </w:r>
      <w:r w:rsidRPr="006018CC">
        <w:rPr>
          <w:rtl/>
        </w:rPr>
        <w:t>، أثر الدافع الخارجي بين مستخدمي التجارة الاجتماعية الإلكترونية بشكل إيجابي على مشاركاتهم في معلومات التجارة الاجتماعية واعتمادهم الناجح لمنصات الموردين الإلكترونية</w:t>
      </w:r>
      <w:r w:rsidRPr="006018CC">
        <w:t>.</w:t>
      </w:r>
    </w:p>
    <w:p w14:paraId="2861D531" w14:textId="77777777" w:rsidR="00F52834" w:rsidRPr="006018CC" w:rsidRDefault="00F52834" w:rsidP="00016E2F">
      <w:r w:rsidRPr="006018CC">
        <w:rPr>
          <w:rFonts w:hint="cs"/>
          <w:rtl/>
        </w:rPr>
        <w:t>ج-</w:t>
      </w:r>
      <w:r w:rsidRPr="006018CC">
        <w:rPr>
          <w:rtl/>
        </w:rPr>
        <w:t>كفاءة الذات</w:t>
      </w:r>
    </w:p>
    <w:p w14:paraId="4C3C82E8" w14:textId="77777777" w:rsidR="00F52834" w:rsidRPr="006018CC" w:rsidRDefault="00F52834" w:rsidP="00016E2F">
      <w:r w:rsidRPr="006018CC">
        <w:rPr>
          <w:rtl/>
        </w:rPr>
        <w:t>تشير كفاءة الذات إلى إيمان الفرد بقدرته على النجاح في موقف معين</w:t>
      </w:r>
      <w:r w:rsidRPr="006018CC">
        <w:t xml:space="preserve"> (Bandura, 1977; </w:t>
      </w:r>
      <w:r w:rsidRPr="006018CC">
        <w:rPr>
          <w:rFonts w:hint="cs"/>
          <w:rtl/>
        </w:rPr>
        <w:t xml:space="preserve"> </w:t>
      </w:r>
      <w:r w:rsidRPr="006018CC">
        <w:t xml:space="preserve">Fuchs et al., 2019; Raeder et al., 2019) </w:t>
      </w:r>
      <w:r w:rsidRPr="006018CC">
        <w:rPr>
          <w:rFonts w:hint="cs"/>
          <w:rtl/>
        </w:rPr>
        <w:t xml:space="preserve"> حيث </w:t>
      </w:r>
      <w:r w:rsidRPr="006018CC">
        <w:rPr>
          <w:rtl/>
        </w:rPr>
        <w:t>يُعتبر العامل الرئيسي في سلوك الأفراد هو أنهم أكثر احتمالًا للمشاركة في مهمة إذا رأوا أنفسهم قادرين على تحقيقها</w:t>
      </w:r>
      <w:r w:rsidRPr="006018CC">
        <w:rPr>
          <w:rtl/>
        </w:rPr>
        <w:br/>
      </w:r>
      <w:r w:rsidRPr="006018CC">
        <w:t xml:space="preserve">(Fuchs et al., 2019) </w:t>
      </w:r>
      <w:r w:rsidRPr="006018CC">
        <w:rPr>
          <w:rFonts w:hint="cs"/>
          <w:rtl/>
        </w:rPr>
        <w:t xml:space="preserve"> حيث </w:t>
      </w:r>
      <w:r w:rsidRPr="006018CC">
        <w:rPr>
          <w:rtl/>
        </w:rPr>
        <w:t>يميل الأفراد الذين يتمتعون بكفاءة ذاتية متفائلة إلى قبول واعتماد الابتكار الإلكتروني</w:t>
      </w:r>
      <w:r w:rsidRPr="006018CC">
        <w:t xml:space="preserve"> (Fuchs et al., 2019) </w:t>
      </w:r>
      <w:r w:rsidRPr="006018CC">
        <w:rPr>
          <w:rtl/>
        </w:rPr>
        <w:t>وجدت الأبحاث السابقة أن كفاءة الذات لعبت دورًا مهمًا في تفسير اعتماد تقنيات أو أنظمة الابتكار الإلكتروني المدعومة بالذكاء الاصطناعي</w:t>
      </w:r>
      <w:r w:rsidRPr="006018CC">
        <w:rPr>
          <w:rtl/>
        </w:rPr>
        <w:br/>
      </w:r>
      <w:r w:rsidRPr="006018CC">
        <w:t xml:space="preserve"> (Ahmad et al., 2023; Brown et al., 2006; Park et al., 2012)</w:t>
      </w:r>
    </w:p>
    <w:p w14:paraId="4876CA69" w14:textId="77777777" w:rsidR="00F52834" w:rsidRPr="006018CC" w:rsidRDefault="00F52834" w:rsidP="00016E2F">
      <w:pPr>
        <w:rPr>
          <w:u w:val="single"/>
        </w:rPr>
      </w:pPr>
      <w:r w:rsidRPr="006018CC">
        <w:rPr>
          <w:rFonts w:hint="cs"/>
          <w:u w:val="single"/>
          <w:rtl/>
        </w:rPr>
        <w:t xml:space="preserve">وفي ضوء معطيات النظرية يمكن </w:t>
      </w:r>
      <w:r w:rsidRPr="006018CC">
        <w:rPr>
          <w:u w:val="single"/>
          <w:rtl/>
        </w:rPr>
        <w:t>تفسير عملية تبني الذكاء الاصطناعي في المؤسسات المتوسطة والصغيرة</w:t>
      </w:r>
      <w:r w:rsidRPr="006018CC">
        <w:rPr>
          <w:rFonts w:hint="cs"/>
          <w:u w:val="single"/>
          <w:rtl/>
        </w:rPr>
        <w:t xml:space="preserve"> كما يلي: </w:t>
      </w:r>
    </w:p>
    <w:p w14:paraId="103FE69A" w14:textId="77777777" w:rsidR="00F52834" w:rsidRPr="006018CC" w:rsidRDefault="00F52834" w:rsidP="00016E2F">
      <w:r w:rsidRPr="006018CC">
        <w:rPr>
          <w:rtl/>
        </w:rPr>
        <w:t>عملية تبني الذكاء الاصطناعي في المؤسسات الصغيرة والمتوسطة تعد عملية معقدة، تتداخل فيها العديد من العوامل النفسية والاجتماعية والاقتصادية. وفقًا للنظرية المتعلقة بالدافع الداخلي والخارجي وكفاءة الذات، يمكن تفسير عملية تبني الذكاء الاصطناعي من خلال ثلاثة محاور رئيسية</w:t>
      </w:r>
      <w:r w:rsidRPr="006018CC">
        <w:t>:</w:t>
      </w:r>
    </w:p>
    <w:p w14:paraId="7E7E6E38" w14:textId="77777777" w:rsidR="00F52834" w:rsidRPr="006018CC" w:rsidRDefault="00F52834" w:rsidP="00016E2F">
      <w:r w:rsidRPr="006018CC">
        <w:rPr>
          <w:rtl/>
        </w:rPr>
        <w:t>الدافع الداخلي</w:t>
      </w:r>
      <w:r w:rsidRPr="006018CC">
        <w:rPr>
          <w:rFonts w:hint="cs"/>
          <w:rtl/>
        </w:rPr>
        <w:t xml:space="preserve"> حيث يعد</w:t>
      </w:r>
      <w:r w:rsidRPr="006018CC">
        <w:rPr>
          <w:rtl/>
        </w:rPr>
        <w:t xml:space="preserve"> أحد العوامل الرئيسية التي تؤثر في تبني الذكاء الاصطناعي. الموظفون الذين يتمتعون بدافع داخلي قوي مثل الرغبة في التحسين الشخصي أو التحدي في العمل سيكونون أكثر استعدادًا لتبني تقنيات جديدة مثل الذكاء الاصطناعي. عندما يشعر الأفراد بأنهم يتحكمون في بيئتهم ويشعرون بالاستقلالية والكفاءة في استخدام التقنيات الجديدة، فإنهم يبدون استعدادًا أكبر لقبول الابتكار واستخدامه في بيئة العمل</w:t>
      </w:r>
      <w:r w:rsidRPr="006018CC">
        <w:t>.</w:t>
      </w:r>
    </w:p>
    <w:p w14:paraId="53575719" w14:textId="77777777" w:rsidR="00F52834" w:rsidRPr="006018CC" w:rsidRDefault="00F52834" w:rsidP="00016E2F">
      <w:r w:rsidRPr="006018CC">
        <w:rPr>
          <w:rtl/>
        </w:rPr>
        <w:t>الدافع الخارجي</w:t>
      </w:r>
      <w:r w:rsidRPr="006018CC">
        <w:rPr>
          <w:rFonts w:hint="cs"/>
          <w:rtl/>
        </w:rPr>
        <w:t xml:space="preserve"> يشمل</w:t>
      </w:r>
      <w:r w:rsidRPr="006018CC">
        <w:rPr>
          <w:rtl/>
        </w:rPr>
        <w:t xml:space="preserve"> المكافآت المادية والتقدير الاجتماعي، فإن المؤسسات الصغيرة والمتوسطة قد تجد أن الابتكار باستخدام الذكاء الاصطناعي مرتبط بتحقيق مكافآت خارجية مثل تحسين الأداء المالي أو تعزيز السمعة السوقية. على سبيل المثال، يمكن أن يؤدي اعتماد الذكاء الاصطناعي إلى زيادة الكفاءة وتحسين الإنتاجية، مما يعزز مكانة المؤسسة في السوق ويزيد من فرصها في التوسع. بالنسبة للموظفين، يمكن أن يتضمن الدافع الخارجي الحوافز مثل المكافآت أو الترقية نتيجة لاستخدام التقنيات الجديدة بشكل فعال</w:t>
      </w:r>
      <w:r w:rsidRPr="006018CC">
        <w:t>.</w:t>
      </w:r>
    </w:p>
    <w:p w14:paraId="58B5448E" w14:textId="77777777" w:rsidR="00F52834" w:rsidRPr="006018CC" w:rsidRDefault="00F52834" w:rsidP="00016E2F">
      <w:r w:rsidRPr="006018CC">
        <w:rPr>
          <w:rtl/>
        </w:rPr>
        <w:lastRenderedPageBreak/>
        <w:t>كفاءة الذات</w:t>
      </w:r>
      <w:r w:rsidRPr="006018CC">
        <w:t xml:space="preserve"> </w:t>
      </w:r>
      <w:r w:rsidRPr="006018CC">
        <w:rPr>
          <w:rtl/>
        </w:rPr>
        <w:t>تعتبر عاملاً حاسمًا في عملية تبني الذكاء الاصطناعي. إذا كان الموظفون أو الفرق التكنولوجية في المؤسسة يشعرون بأن لديهم القدرة على تطبيق تقنيات الذكاء الاصطناعي بنجاح، فإنهم يكونون أكثر ميلًا إلى تبني هذه التقنيات. بناءً على هذا المبدأ، فإن التدريب والتمكين من خلال تحسين المهارات التقنية وتعزيز الثقة في القدرة على استخدام هذه الأدوات سيكون له دور كبير في تسريع عملية التبني</w:t>
      </w:r>
      <w:r w:rsidRPr="006018CC">
        <w:t>.</w:t>
      </w:r>
    </w:p>
    <w:p w14:paraId="3D13D9B2" w14:textId="77777777" w:rsidR="00F52834" w:rsidRPr="006018CC" w:rsidRDefault="00F52834" w:rsidP="00F52834">
      <w:pPr>
        <w:spacing w:after="0"/>
        <w:rPr>
          <w:u w:val="single"/>
        </w:rPr>
      </w:pPr>
      <w:r w:rsidRPr="006018CC">
        <w:rPr>
          <w:rFonts w:hint="cs"/>
          <w:u w:val="single"/>
          <w:rtl/>
        </w:rPr>
        <w:t xml:space="preserve">أما عن </w:t>
      </w:r>
      <w:r w:rsidRPr="006018CC">
        <w:rPr>
          <w:u w:val="single"/>
          <w:rtl/>
        </w:rPr>
        <w:t>تحليل العوامل المؤثرة على سرعة وفعالية انتشار تقنيات الذكاء الاصطناعي</w:t>
      </w:r>
      <w:r w:rsidRPr="006018CC">
        <w:rPr>
          <w:rFonts w:hint="cs"/>
          <w:u w:val="single"/>
          <w:rtl/>
        </w:rPr>
        <w:t xml:space="preserve"> فهو كما يلي: </w:t>
      </w:r>
    </w:p>
    <w:p w14:paraId="3D9360E6" w14:textId="77777777" w:rsidR="00F52834" w:rsidRPr="006018CC" w:rsidRDefault="00F52834" w:rsidP="00F52834">
      <w:pPr>
        <w:numPr>
          <w:ilvl w:val="0"/>
          <w:numId w:val="11"/>
        </w:numPr>
        <w:spacing w:after="0"/>
        <w:ind w:left="226"/>
      </w:pPr>
      <w:r w:rsidRPr="006018CC">
        <w:rPr>
          <w:rtl/>
        </w:rPr>
        <w:t>دعم الإدارة العليا</w:t>
      </w:r>
      <w:r w:rsidRPr="006018CC">
        <w:rPr>
          <w:rFonts w:hint="cs"/>
          <w:rtl/>
        </w:rPr>
        <w:t xml:space="preserve"> يعد </w:t>
      </w:r>
      <w:r w:rsidRPr="006018CC">
        <w:rPr>
          <w:rtl/>
        </w:rPr>
        <w:t>من العوامل المهمة التي تسهم في تسريع تبني الذكاء الاصطناعي في المؤسسات الصغيرة والمتوسطة. هذا الدعم يتضمن توفير الموارد اللازمة، مثل التمويل والتدريب، وتشجيع الموظفين على تبني التكنولوجيا</w:t>
      </w:r>
      <w:r w:rsidRPr="006018CC">
        <w:t>.</w:t>
      </w:r>
    </w:p>
    <w:p w14:paraId="59F92C39" w14:textId="77777777" w:rsidR="00F52834" w:rsidRPr="006018CC" w:rsidRDefault="00F52834" w:rsidP="00F52834">
      <w:pPr>
        <w:numPr>
          <w:ilvl w:val="0"/>
          <w:numId w:val="11"/>
        </w:numPr>
        <w:spacing w:after="0"/>
        <w:ind w:left="226"/>
      </w:pPr>
      <w:r w:rsidRPr="006018CC">
        <w:rPr>
          <w:rtl/>
        </w:rPr>
        <w:t>ثقافة الابتكار داخل المؤسسة تعد أحد العوامل التي تسهم بشكل كبير في تبني تقنيات الذكاء الاصطناعي. المؤسسات التي تشجع على الإبداع وتوفر بيئة مفتوحة للتجربة والتعلم تكون أكثر استعدادًا لتبني تقنيات جديدة مثل الذكاء الاصطناعي</w:t>
      </w:r>
      <w:r w:rsidRPr="006018CC">
        <w:t>.</w:t>
      </w:r>
    </w:p>
    <w:p w14:paraId="47226A49" w14:textId="77777777" w:rsidR="00F52834" w:rsidRPr="006018CC" w:rsidRDefault="00F52834" w:rsidP="00F52834">
      <w:pPr>
        <w:numPr>
          <w:ilvl w:val="0"/>
          <w:numId w:val="11"/>
        </w:numPr>
        <w:spacing w:after="0"/>
        <w:ind w:left="226"/>
      </w:pPr>
      <w:r w:rsidRPr="006018CC">
        <w:rPr>
          <w:rtl/>
        </w:rPr>
        <w:t>الوصول إلى الموارد التقنية</w:t>
      </w:r>
      <w:r w:rsidRPr="006018CC">
        <w:rPr>
          <w:rFonts w:hint="cs"/>
          <w:rtl/>
        </w:rPr>
        <w:t xml:space="preserve"> حيث </w:t>
      </w:r>
      <w:r w:rsidRPr="006018CC">
        <w:rPr>
          <w:rtl/>
        </w:rPr>
        <w:t>تتطلب تقنيات الذكاء الاصطناعي استثمارات في التكنولوجيا والبنية التحتية. الشركات الصغيرة والمتوسطة التي تمتلك القدرة على الوصول إلى هذه الموارد التقنية تتمتع بفرصة أكبر في تبني هذه التقنيات بشكل فعال وسريع</w:t>
      </w:r>
      <w:r w:rsidRPr="006018CC">
        <w:t>.</w:t>
      </w:r>
    </w:p>
    <w:p w14:paraId="0E545BB9" w14:textId="77777777" w:rsidR="00F52834" w:rsidRPr="006018CC" w:rsidRDefault="00F52834" w:rsidP="00F52834">
      <w:pPr>
        <w:numPr>
          <w:ilvl w:val="0"/>
          <w:numId w:val="11"/>
        </w:numPr>
        <w:spacing w:after="0"/>
        <w:ind w:left="226"/>
      </w:pPr>
      <w:r w:rsidRPr="006018CC">
        <w:rPr>
          <w:rtl/>
        </w:rPr>
        <w:t>التدريب والتطوير للموظفين على تقنيات الذكاء الاصطناعي له تأثير كبير على سرعة تبني هذه التقنيات. المؤسسات التي تقدم برامج تدريبية مكثفة تساهم في زيادة الثقة والقدرة على استخدام هذه التقنيات بفعالية</w:t>
      </w:r>
      <w:r w:rsidRPr="006018CC">
        <w:t>.</w:t>
      </w:r>
    </w:p>
    <w:p w14:paraId="554F7C95" w14:textId="77777777" w:rsidR="00F52834" w:rsidRPr="006018CC" w:rsidRDefault="00F52834" w:rsidP="00F52834">
      <w:pPr>
        <w:numPr>
          <w:ilvl w:val="0"/>
          <w:numId w:val="11"/>
        </w:numPr>
        <w:spacing w:after="0"/>
        <w:ind w:left="226"/>
      </w:pPr>
      <w:r w:rsidRPr="006018CC">
        <w:rPr>
          <w:rtl/>
        </w:rPr>
        <w:t>الاستجابة للسوق والابتكار التنافسي</w:t>
      </w:r>
      <w:r w:rsidRPr="006018CC">
        <w:rPr>
          <w:rFonts w:hint="cs"/>
          <w:rtl/>
        </w:rPr>
        <w:t xml:space="preserve"> حيث</w:t>
      </w:r>
      <w:r w:rsidRPr="006018CC">
        <w:rPr>
          <w:rtl/>
        </w:rPr>
        <w:t xml:space="preserve"> قد تضطر المؤسسات الصغيرة والمتوسطة إلى تبني تقنيات الذكاء الاصطناعي بسرعة للحفاظ على تنافسيتها. الابتكار من خلال تقنيات جديدة يتيح للمؤسسات تقديم منتجات وخدمات محسنة مما يعزز موقعها في السوق</w:t>
      </w:r>
      <w:r w:rsidRPr="006018CC">
        <w:t>.</w:t>
      </w:r>
    </w:p>
    <w:p w14:paraId="656B38B1" w14:textId="77777777" w:rsidR="00F52834" w:rsidRPr="00123A1C" w:rsidRDefault="00F52834" w:rsidP="00F52834">
      <w:pPr>
        <w:spacing w:after="0"/>
        <w:rPr>
          <w:rtl/>
        </w:rPr>
      </w:pPr>
      <w:r w:rsidRPr="00123A1C">
        <w:rPr>
          <w:rtl/>
        </w:rPr>
        <w:t>رابعا: نظرية القبول التكنولوجي (</w:t>
      </w:r>
      <w:r w:rsidRPr="00123A1C">
        <w:t>Technology Acceptance Model</w:t>
      </w:r>
      <w:r w:rsidRPr="00123A1C">
        <w:rPr>
          <w:rtl/>
        </w:rPr>
        <w:t>)</w:t>
      </w:r>
    </w:p>
    <w:p w14:paraId="5D6AD2F6" w14:textId="77777777" w:rsidR="00F52834" w:rsidRPr="00123A1C" w:rsidRDefault="00F52834" w:rsidP="00F52834">
      <w:pPr>
        <w:spacing w:after="0"/>
      </w:pPr>
      <w:r w:rsidRPr="00123A1C">
        <w:rPr>
          <w:rtl/>
        </w:rPr>
        <w:t xml:space="preserve">  - العوامل المؤثرة على قبول واستخدام تقنيات الذكاء الاصطناعي في المؤسسات</w:t>
      </w:r>
    </w:p>
    <w:p w14:paraId="662C2073" w14:textId="77777777" w:rsidR="00F52834" w:rsidRPr="00123A1C" w:rsidRDefault="00F52834" w:rsidP="00F52834">
      <w:pPr>
        <w:spacing w:after="0"/>
      </w:pPr>
      <w:r w:rsidRPr="00123A1C">
        <w:rPr>
          <w:rFonts w:hint="cs"/>
          <w:rtl/>
        </w:rPr>
        <w:t>أولا:</w:t>
      </w:r>
      <w:r w:rsidRPr="00123A1C">
        <w:t xml:space="preserve"> </w:t>
      </w:r>
      <w:r w:rsidRPr="00123A1C">
        <w:rPr>
          <w:rtl/>
        </w:rPr>
        <w:t>الفائدة النسبية المدركة</w:t>
      </w:r>
      <w:r w:rsidRPr="00123A1C">
        <w:t>:</w:t>
      </w:r>
    </w:p>
    <w:p w14:paraId="45E5C9FF" w14:textId="77777777" w:rsidR="00F52834" w:rsidRPr="00123A1C" w:rsidRDefault="00F52834" w:rsidP="00F52834">
      <w:pPr>
        <w:spacing w:after="0"/>
      </w:pPr>
      <w:r w:rsidRPr="00123A1C">
        <w:rPr>
          <w:rtl/>
        </w:rPr>
        <w:t>استخدم</w:t>
      </w:r>
      <w:r w:rsidRPr="00123A1C">
        <w:t xml:space="preserve"> Rogers (1995 &amp; 2003, p.229) </w:t>
      </w:r>
      <w:r w:rsidRPr="00123A1C">
        <w:rPr>
          <w:rtl/>
        </w:rPr>
        <w:t>مصطلح "الفائدة النسبية" لوصف درجة تفضيل اختراع ما. تعتمد فكرة الميزة النسبية على بعض خصائص الابتكار والخطوات الأساسية لاعتماد الابتكار الإلكتروني (العقود الذكية</w:t>
      </w:r>
      <w:r w:rsidRPr="00123A1C">
        <w:rPr>
          <w:rFonts w:hint="cs"/>
          <w:rtl/>
        </w:rPr>
        <w:t>)</w:t>
      </w:r>
      <w:r w:rsidRPr="00123A1C">
        <w:t xml:space="preserve"> (Badi et al., 2021) </w:t>
      </w:r>
      <w:r w:rsidRPr="00123A1C">
        <w:rPr>
          <w:rtl/>
        </w:rPr>
        <w:t xml:space="preserve">وبالمثل، ذكر المؤلفون أنه كلما كانت الفائدة النسبية للابتكار المدرك عالية، زادت احتمالية اعتماده بشكل واسع. تم تحديد أن الفائدة النسبية هي الدرجة التي </w:t>
      </w:r>
      <w:r w:rsidRPr="00123A1C">
        <w:rPr>
          <w:rtl/>
        </w:rPr>
        <w:lastRenderedPageBreak/>
        <w:t>يُرى فيها أن الابتكار الإلكتروني معين يتفوق على استخدام التقنيات السابقة لتحسين الأداء الوظيفي</w:t>
      </w:r>
      <w:r w:rsidRPr="00123A1C">
        <w:t xml:space="preserve"> (Badi et al., 2021; Y. Wang et al., 2008).</w:t>
      </w:r>
    </w:p>
    <w:p w14:paraId="1B831CE5" w14:textId="77777777" w:rsidR="00F52834" w:rsidRPr="00123A1C" w:rsidRDefault="00F52834" w:rsidP="00F52834">
      <w:pPr>
        <w:spacing w:after="0"/>
        <w:rPr>
          <w:rtl/>
        </w:rPr>
      </w:pPr>
      <w:r w:rsidRPr="00123A1C">
        <w:rPr>
          <w:rtl/>
        </w:rPr>
        <w:t>وجدت العديد من الدراسات أن الفائدة النسبية المدركة لها تأثير غير هام على اعتماد الابتكار الإلكتروني الذكي. هناك أمثلة تدعم هذه النتائج، مثل</w:t>
      </w:r>
      <w:r w:rsidRPr="00123A1C">
        <w:rPr>
          <w:rFonts w:hint="cs"/>
          <w:rtl/>
        </w:rPr>
        <w:t>:</w:t>
      </w:r>
    </w:p>
    <w:p w14:paraId="0FF84E31" w14:textId="77777777" w:rsidR="00F52834" w:rsidRPr="00123A1C" w:rsidRDefault="00F52834" w:rsidP="00F52834">
      <w:pPr>
        <w:spacing w:after="0"/>
        <w:rPr>
          <w:rtl/>
        </w:rPr>
      </w:pPr>
      <w:r w:rsidRPr="00123A1C">
        <w:rPr>
          <w:rFonts w:hint="cs"/>
          <w:rtl/>
        </w:rPr>
        <w:t xml:space="preserve">- </w:t>
      </w:r>
      <w:r w:rsidRPr="00123A1C">
        <w:rPr>
          <w:rtl/>
        </w:rPr>
        <w:t>297 شركة صينية</w:t>
      </w:r>
      <w:r w:rsidRPr="00123A1C">
        <w:rPr>
          <w:rFonts w:hint="cs"/>
          <w:rtl/>
        </w:rPr>
        <w:t xml:space="preserve"> </w:t>
      </w:r>
      <w:r w:rsidRPr="00123A1C">
        <w:t>(Pan et al., 2022)</w:t>
      </w:r>
    </w:p>
    <w:p w14:paraId="43DC6ED7" w14:textId="77777777" w:rsidR="00F52834" w:rsidRPr="00123A1C" w:rsidRDefault="00F52834" w:rsidP="00F52834">
      <w:pPr>
        <w:spacing w:after="0"/>
        <w:rPr>
          <w:rtl/>
        </w:rPr>
      </w:pPr>
      <w:r w:rsidRPr="00123A1C">
        <w:rPr>
          <w:rFonts w:hint="cs"/>
          <w:rtl/>
        </w:rPr>
        <w:t xml:space="preserve">- </w:t>
      </w:r>
      <w:r w:rsidRPr="00123A1C">
        <w:rPr>
          <w:rtl/>
        </w:rPr>
        <w:t xml:space="preserve">القطاع المصرفي في الولايات </w:t>
      </w:r>
      <w:proofErr w:type="gramStart"/>
      <w:r w:rsidRPr="00123A1C">
        <w:rPr>
          <w:rtl/>
        </w:rPr>
        <w:t>المتحدة</w:t>
      </w:r>
      <w:r w:rsidRPr="00123A1C">
        <w:rPr>
          <w:rFonts w:hint="cs"/>
          <w:rtl/>
        </w:rPr>
        <w:t xml:space="preserve"> </w:t>
      </w:r>
      <w:r w:rsidRPr="00123A1C">
        <w:t xml:space="preserve"> (</w:t>
      </w:r>
      <w:proofErr w:type="gramEnd"/>
      <w:r w:rsidRPr="00123A1C">
        <w:t>Payne et al., 2018)</w:t>
      </w:r>
    </w:p>
    <w:p w14:paraId="7A94FB0E" w14:textId="77777777" w:rsidR="00F52834" w:rsidRPr="00123A1C" w:rsidRDefault="00F52834" w:rsidP="00F52834">
      <w:pPr>
        <w:spacing w:after="0"/>
        <w:rPr>
          <w:rtl/>
        </w:rPr>
      </w:pPr>
      <w:r w:rsidRPr="00123A1C">
        <w:rPr>
          <w:rFonts w:hint="cs"/>
          <w:rtl/>
        </w:rPr>
        <w:t xml:space="preserve">- </w:t>
      </w:r>
      <w:r w:rsidRPr="00123A1C">
        <w:rPr>
          <w:rtl/>
        </w:rPr>
        <w:t>القطاع المصرفي في إندونيسيا</w:t>
      </w:r>
      <w:r w:rsidRPr="00123A1C">
        <w:t xml:space="preserve"> (</w:t>
      </w:r>
      <w:proofErr w:type="spellStart"/>
      <w:r w:rsidRPr="00123A1C">
        <w:t>Yussaivi</w:t>
      </w:r>
      <w:proofErr w:type="spellEnd"/>
      <w:r w:rsidRPr="00123A1C">
        <w:t xml:space="preserve"> et al., 2020)</w:t>
      </w:r>
    </w:p>
    <w:p w14:paraId="407036D5" w14:textId="77777777" w:rsidR="00F52834" w:rsidRPr="00123A1C" w:rsidRDefault="00F52834" w:rsidP="00F52834">
      <w:pPr>
        <w:spacing w:after="0"/>
        <w:rPr>
          <w:rtl/>
        </w:rPr>
      </w:pPr>
      <w:r w:rsidRPr="00123A1C">
        <w:rPr>
          <w:rFonts w:hint="cs"/>
          <w:rtl/>
        </w:rPr>
        <w:t xml:space="preserve">-  </w:t>
      </w:r>
      <w:r w:rsidRPr="00123A1C">
        <w:rPr>
          <w:rtl/>
        </w:rPr>
        <w:t>القطاع الحكومي في الأردن</w:t>
      </w:r>
      <w:r w:rsidRPr="00123A1C">
        <w:t xml:space="preserve"> (Alomari et al., 2012). </w:t>
      </w:r>
    </w:p>
    <w:p w14:paraId="2BF44ED7" w14:textId="77777777" w:rsidR="00F52834" w:rsidRPr="00123A1C" w:rsidRDefault="00F52834" w:rsidP="00F52834">
      <w:pPr>
        <w:spacing w:after="0"/>
      </w:pPr>
      <w:r w:rsidRPr="00123A1C">
        <w:rPr>
          <w:rFonts w:hint="cs"/>
          <w:rtl/>
        </w:rPr>
        <w:t>مع</w:t>
      </w:r>
      <w:r w:rsidRPr="00123A1C">
        <w:rPr>
          <w:rtl/>
        </w:rPr>
        <w:t xml:space="preserve"> ذلك، وجدت بعض الدراسات القليلة علاقة إيجابية وهامة بين الفائدة النسبية المدركة ونية اعتماد الابتكار الإلكتروني. هناك أمثلة تدعم هذه النتائج، مثل؛ خدمات الحكومة الإلكترونية في ماليزيا</w:t>
      </w:r>
      <w:r w:rsidRPr="00123A1C">
        <w:t xml:space="preserve"> (Lean et al., 2009) </w:t>
      </w:r>
      <w:r w:rsidRPr="00123A1C">
        <w:rPr>
          <w:rtl/>
        </w:rPr>
        <w:t>وتسويق وسائل التواصل الاجتماعي باستخدام بيانات على مستوى الشركات في 214 شركة صغيرة ومتوسطة في ماليزيا</w:t>
      </w:r>
      <w:r w:rsidRPr="00123A1C">
        <w:t xml:space="preserve"> (Ali Abbasi et al., 2022)</w:t>
      </w:r>
      <w:r w:rsidRPr="00123A1C">
        <w:rPr>
          <w:rFonts w:hint="cs"/>
          <w:rtl/>
        </w:rPr>
        <w:t xml:space="preserve"> </w:t>
      </w:r>
    </w:p>
    <w:p w14:paraId="56815031" w14:textId="77777777" w:rsidR="00F52834" w:rsidRPr="00123A1C" w:rsidRDefault="00F52834" w:rsidP="00F52834">
      <w:pPr>
        <w:spacing w:after="0"/>
      </w:pPr>
      <w:r w:rsidRPr="00123A1C">
        <w:rPr>
          <w:rFonts w:hint="cs"/>
          <w:rtl/>
        </w:rPr>
        <w:t>ثانيا:</w:t>
      </w:r>
      <w:r w:rsidRPr="00123A1C">
        <w:t xml:space="preserve"> </w:t>
      </w:r>
      <w:r w:rsidRPr="00123A1C">
        <w:rPr>
          <w:rtl/>
        </w:rPr>
        <w:t>التوافق المدرك</w:t>
      </w:r>
      <w:r w:rsidRPr="00123A1C">
        <w:t>:</w:t>
      </w:r>
    </w:p>
    <w:p w14:paraId="39EE4995" w14:textId="77777777" w:rsidR="00F52834" w:rsidRPr="00123A1C" w:rsidRDefault="00F52834" w:rsidP="00F52834">
      <w:pPr>
        <w:spacing w:after="0"/>
      </w:pPr>
      <w:r w:rsidRPr="00123A1C">
        <w:rPr>
          <w:rtl/>
        </w:rPr>
        <w:t>وجدت عدة دراسات أن التوافق المدرك كان له تأثير إحصائي كبير على اعتماد الابتكار الإلكتروني</w:t>
      </w:r>
      <w:r w:rsidRPr="00123A1C">
        <w:t xml:space="preserve"> (</w:t>
      </w:r>
      <w:proofErr w:type="spellStart"/>
      <w:r w:rsidRPr="00123A1C">
        <w:t>Achjari</w:t>
      </w:r>
      <w:proofErr w:type="spellEnd"/>
      <w:r w:rsidRPr="00123A1C">
        <w:t xml:space="preserve"> &amp; Quaddus, 2003; Chatterjee et al., 2021; Hoang &amp; Nguyen, 2022; Mondego &amp; Gide, 2022; Pillai et al., 2021; Poong et al., 2009; </w:t>
      </w:r>
      <w:proofErr w:type="spellStart"/>
      <w:r w:rsidRPr="00123A1C">
        <w:t>Saffu</w:t>
      </w:r>
      <w:proofErr w:type="spellEnd"/>
      <w:r w:rsidRPr="00123A1C">
        <w:t xml:space="preserve"> et al., 2008). </w:t>
      </w:r>
      <w:r w:rsidRPr="00123A1C">
        <w:rPr>
          <w:rtl/>
        </w:rPr>
        <w:t>عند اعتماد تقنيات جديدة، يتم تحديد "التوافق المدرك" على أنه درجة توافقها مع قيم وتجارب واحتياجات المحتملين لاعتمادها</w:t>
      </w:r>
      <w:r w:rsidRPr="00123A1C">
        <w:t xml:space="preserve"> (Rogers, 2003, p.240) </w:t>
      </w:r>
      <w:r w:rsidRPr="00123A1C">
        <w:rPr>
          <w:rtl/>
        </w:rPr>
        <w:t>ستكون القدرة على تقدير فوائد الابتكار أسهل للأفراد الأكثر خبرة</w:t>
      </w:r>
      <w:r w:rsidRPr="00123A1C">
        <w:t xml:space="preserve"> (Kapoor et al., 2014) </w:t>
      </w:r>
      <w:r w:rsidRPr="00123A1C">
        <w:rPr>
          <w:rtl/>
        </w:rPr>
        <w:t>وأشار</w:t>
      </w:r>
      <w:r w:rsidRPr="00123A1C">
        <w:t xml:space="preserve"> Badi et al. (2021) </w:t>
      </w:r>
      <w:r w:rsidRPr="00123A1C">
        <w:rPr>
          <w:rtl/>
        </w:rPr>
        <w:t>إلى أن دمج الابتكار الإلكتروني في الإطار الفني القائم للمؤسسة يعد أمرًا مهمًا</w:t>
      </w:r>
      <w:r w:rsidRPr="00123A1C">
        <w:t>.</w:t>
      </w:r>
    </w:p>
    <w:p w14:paraId="0589B48C" w14:textId="1456C3D1" w:rsidR="00F52834" w:rsidRPr="00123A1C" w:rsidRDefault="00F52834" w:rsidP="00F52834">
      <w:pPr>
        <w:spacing w:after="0"/>
        <w:rPr>
          <w:rtl/>
        </w:rPr>
      </w:pPr>
      <w:r w:rsidRPr="00123A1C">
        <w:rPr>
          <w:rtl/>
        </w:rPr>
        <w:t>عندما تكون العمليات والمواقف والمعتقدات الحالية للشركة متوافقة مع تقنية الابتكار الإلكتروني، فإن لهذه التقنية فرصة أكبر ليتم اعتمادها</w:t>
      </w:r>
      <w:r w:rsidRPr="00123A1C">
        <w:t xml:space="preserve"> (Badi et al., 2021; Gutierrez et al., 2015). </w:t>
      </w:r>
      <w:r w:rsidRPr="00123A1C">
        <w:rPr>
          <w:rtl/>
        </w:rPr>
        <w:t>وجد</w:t>
      </w:r>
      <w:r w:rsidRPr="00123A1C">
        <w:t xml:space="preserve"> </w:t>
      </w:r>
      <w:proofErr w:type="spellStart"/>
      <w:r w:rsidRPr="00123A1C">
        <w:t>Achjari</w:t>
      </w:r>
      <w:proofErr w:type="spellEnd"/>
      <w:r w:rsidRPr="00123A1C">
        <w:t xml:space="preserve"> &amp; Quaddus (2003) </w:t>
      </w:r>
      <w:r w:rsidRPr="00123A1C">
        <w:rPr>
          <w:rtl/>
        </w:rPr>
        <w:t>أن التوافق المدرك كان له دور كبير في انتشار شبكة الويب العالمية</w:t>
      </w:r>
      <w:r w:rsidRPr="00123A1C">
        <w:t xml:space="preserve"> (WWW) </w:t>
      </w:r>
      <w:r w:rsidRPr="00123A1C">
        <w:rPr>
          <w:rtl/>
        </w:rPr>
        <w:t>في البنوك الإندونيسية. وفقًا لـ</w:t>
      </w:r>
      <w:r w:rsidRPr="00123A1C">
        <w:t xml:space="preserve"> Chatterjee et al. (2021)</w:t>
      </w:r>
      <w:r w:rsidRPr="00123A1C">
        <w:rPr>
          <w:rtl/>
        </w:rPr>
        <w:t>، كان للتوافق المدرك تأثير كبير على الفائدة المدركة لأن تقنية الذكاء الاصطناعي كانت متوافقة مع التنسيق الحالي، والهياكل التقنية، والبيانات الهيكلية الأخرى. وبالمثل، درس</w:t>
      </w:r>
      <w:r w:rsidRPr="00123A1C">
        <w:t xml:space="preserve"> Pillai et al. (2021) 480 </w:t>
      </w:r>
      <w:r w:rsidRPr="00123A1C">
        <w:rPr>
          <w:rtl/>
        </w:rPr>
        <w:t>روبوتًا صناعيًا مدعومًا</w:t>
      </w:r>
      <w:r w:rsidRPr="00E26291">
        <w:rPr>
          <w:color w:val="FF0000"/>
          <w:rtl/>
        </w:rPr>
        <w:t xml:space="preserve"> </w:t>
      </w:r>
      <w:r w:rsidRPr="00123A1C">
        <w:rPr>
          <w:rtl/>
        </w:rPr>
        <w:t xml:space="preserve">بالذكاء الاصطناعي في شركات تصنيع مكونات السيارات في الهند واكتشفوا أن التوافق المدرك كان مؤشرًا جيدًا على اعتماد الذكاء الاصطناعي في تلك الشركات. </w:t>
      </w:r>
    </w:p>
    <w:p w14:paraId="5FA2E9E3" w14:textId="77777777" w:rsidR="00321A64" w:rsidRPr="00123A1C" w:rsidRDefault="00321A64" w:rsidP="00F52834">
      <w:pPr>
        <w:spacing w:after="0"/>
      </w:pPr>
    </w:p>
    <w:p w14:paraId="0EE0030E" w14:textId="77777777" w:rsidR="00F52834" w:rsidRPr="00123A1C" w:rsidRDefault="00F52834" w:rsidP="00F52834">
      <w:pPr>
        <w:spacing w:after="0"/>
      </w:pPr>
      <w:r w:rsidRPr="00123A1C">
        <w:rPr>
          <w:rFonts w:hint="cs"/>
          <w:rtl/>
        </w:rPr>
        <w:t>ثالثا:</w:t>
      </w:r>
      <w:r w:rsidRPr="00123A1C">
        <w:t xml:space="preserve"> </w:t>
      </w:r>
      <w:r w:rsidRPr="00123A1C">
        <w:rPr>
          <w:rtl/>
        </w:rPr>
        <w:t>التعقيد المدرك</w:t>
      </w:r>
      <w:r w:rsidRPr="00123A1C">
        <w:t>:</w:t>
      </w:r>
    </w:p>
    <w:p w14:paraId="42E1D94C" w14:textId="77777777" w:rsidR="00F52834" w:rsidRPr="00123A1C" w:rsidRDefault="00F52834" w:rsidP="00F52834">
      <w:pPr>
        <w:spacing w:after="0"/>
      </w:pPr>
      <w:r w:rsidRPr="00123A1C">
        <w:rPr>
          <w:rtl/>
        </w:rPr>
        <w:lastRenderedPageBreak/>
        <w:t>يشير التعقيد المدرك إلى إدراك الابتكار على أنه صعب الفهم والاستخدام</w:t>
      </w:r>
      <w:r w:rsidRPr="00123A1C">
        <w:t xml:space="preserve"> (Joo et al., 2014; Rogers, 2003, p.257) </w:t>
      </w:r>
      <w:r w:rsidRPr="00123A1C">
        <w:rPr>
          <w:rtl/>
        </w:rPr>
        <w:t>وبالمثل، ذكر</w:t>
      </w:r>
      <w:r w:rsidRPr="00123A1C">
        <w:t xml:space="preserve"> Christiansen et al. (2022) </w:t>
      </w:r>
      <w:r w:rsidRPr="00123A1C">
        <w:rPr>
          <w:rtl/>
        </w:rPr>
        <w:t>أن التعقيد المدرك يشير إلى صعوبة تعلم وتطبيق وفهم الابتكار الإلكتروني. كان للنظام المعقد للابتكار تأثير عكسي على نية الاعتماد. وجدت العديد من الدراسات أن التعقيد المدرك له تأثير كبير على اعتماد الابتكار الإلكتروني المدعوم بالذكاء الاصطناعي في القطاع الحكومي</w:t>
      </w:r>
      <w:r w:rsidRPr="00123A1C">
        <w:t xml:space="preserve"> (Alomari et al., 2012; Lean et al., 2009; Liang &amp; Lu, 2013) </w:t>
      </w:r>
      <w:r w:rsidRPr="00123A1C">
        <w:rPr>
          <w:rtl/>
        </w:rPr>
        <w:t>والقطاع الخاص</w:t>
      </w:r>
      <w:r w:rsidRPr="00123A1C">
        <w:t xml:space="preserve"> (Chatterjee </w:t>
      </w:r>
      <w:proofErr w:type="gramStart"/>
      <w:r w:rsidRPr="00123A1C">
        <w:t xml:space="preserve">et </w:t>
      </w:r>
      <w:r w:rsidRPr="00123A1C">
        <w:rPr>
          <w:rFonts w:hint="cs"/>
          <w:rtl/>
        </w:rPr>
        <w:t xml:space="preserve"> </w:t>
      </w:r>
      <w:r w:rsidRPr="00123A1C">
        <w:t>al.</w:t>
      </w:r>
      <w:proofErr w:type="gramEnd"/>
      <w:r w:rsidRPr="00123A1C">
        <w:t xml:space="preserve">, 2021; Pan et al., 2022). </w:t>
      </w:r>
      <w:r w:rsidRPr="00123A1C">
        <w:rPr>
          <w:rFonts w:hint="cs"/>
          <w:rtl/>
        </w:rPr>
        <w:t xml:space="preserve"> كما تم</w:t>
      </w:r>
      <w:r w:rsidRPr="00123A1C">
        <w:rPr>
          <w:rtl/>
        </w:rPr>
        <w:t xml:space="preserve"> العثور على أن التعقيد المدرك كان له تأثير سلبي وهام على اعتماد الابتكار الإلكتروني المدعوم بالذكاء الاصطناعي في الإنتاج والتصنيع في 340 شركة في الهند</w:t>
      </w:r>
      <w:r w:rsidRPr="00123A1C">
        <w:t xml:space="preserve"> (Chatterjee et al., 2021)</w:t>
      </w:r>
      <w:r w:rsidRPr="00123A1C">
        <w:rPr>
          <w:rtl/>
        </w:rPr>
        <w:t>، القطاع الحكومي في الأردن</w:t>
      </w:r>
      <w:r w:rsidRPr="00123A1C">
        <w:t xml:space="preserve"> (Alomari et al., 2012)</w:t>
      </w:r>
      <w:r w:rsidRPr="00123A1C">
        <w:rPr>
          <w:rtl/>
        </w:rPr>
        <w:t>، نتائج الاستبيان من 297 شركة في الصين</w:t>
      </w:r>
      <w:r w:rsidRPr="00123A1C">
        <w:t xml:space="preserve"> (Pan et al., 2022)</w:t>
      </w:r>
      <w:r w:rsidRPr="00123A1C">
        <w:rPr>
          <w:rtl/>
        </w:rPr>
        <w:t>، والقطاع الحكومي في ماليزيا</w:t>
      </w:r>
      <w:r w:rsidRPr="00123A1C">
        <w:t xml:space="preserve"> (Lean et al., 2009). </w:t>
      </w:r>
      <w:r w:rsidRPr="00123A1C">
        <w:rPr>
          <w:rtl/>
        </w:rPr>
        <w:t>في المقابل، كشف</w:t>
      </w:r>
      <w:r w:rsidRPr="00123A1C">
        <w:t xml:space="preserve"> Liang &amp; Lu (2013) </w:t>
      </w:r>
      <w:r w:rsidRPr="00123A1C">
        <w:rPr>
          <w:rtl/>
        </w:rPr>
        <w:t xml:space="preserve">أن التعقيد المدرك كان له تأثير إيجابي على اعتماد الابتكار الإلكتروني المدعوم بالذكاء الاصطناعي في القطاع المالي في تايوان. </w:t>
      </w:r>
    </w:p>
    <w:p w14:paraId="6D5A0EB3" w14:textId="77777777" w:rsidR="00F52834" w:rsidRPr="00123A1C" w:rsidRDefault="00F52834" w:rsidP="00F52834">
      <w:pPr>
        <w:spacing w:after="0"/>
      </w:pPr>
      <w:r w:rsidRPr="00123A1C">
        <w:rPr>
          <w:rFonts w:hint="cs"/>
          <w:rtl/>
        </w:rPr>
        <w:t>رابعا:</w:t>
      </w:r>
      <w:r w:rsidRPr="00123A1C">
        <w:t xml:space="preserve"> </w:t>
      </w:r>
      <w:r w:rsidRPr="00123A1C">
        <w:rPr>
          <w:rtl/>
        </w:rPr>
        <w:t>القابلية للتجربة المدركة</w:t>
      </w:r>
      <w:r w:rsidRPr="00123A1C">
        <w:t>:</w:t>
      </w:r>
    </w:p>
    <w:p w14:paraId="32F2DDEB" w14:textId="77777777" w:rsidR="00F52834" w:rsidRPr="00123A1C" w:rsidRDefault="00F52834" w:rsidP="00F52834">
      <w:pPr>
        <w:spacing w:after="0"/>
      </w:pPr>
      <w:r w:rsidRPr="00123A1C">
        <w:rPr>
          <w:rtl/>
        </w:rPr>
        <w:t>القابلية للتجربة المدركة هي مدى إمكانية تجربة الابتكار لفترة محدودة قبل اعتماده</w:t>
      </w:r>
      <w:r w:rsidRPr="00123A1C">
        <w:t xml:space="preserve"> (Rogers, 2003, p. 258). </w:t>
      </w:r>
      <w:r w:rsidRPr="00123A1C">
        <w:rPr>
          <w:rtl/>
        </w:rPr>
        <w:t>يمكن تتبع فوائد تكنولوجيا الابتكار الإلكتروني إلى قدرتها على الاختبار قبل الاعتماد</w:t>
      </w:r>
      <w:r w:rsidRPr="00123A1C">
        <w:t xml:space="preserve"> (Christiansen et al., 2022). </w:t>
      </w:r>
      <w:r w:rsidRPr="00123A1C">
        <w:rPr>
          <w:rtl/>
        </w:rPr>
        <w:t>وبالمثل، تزيد مرحلة الاختبار من احتمالية أن تقبل المنظمة الابتكار بنجاح قبل نشره الفعلي</w:t>
      </w:r>
      <w:r w:rsidRPr="00123A1C">
        <w:t xml:space="preserve"> (Lin &amp; Chen, 2012). </w:t>
      </w:r>
      <w:r w:rsidRPr="00123A1C">
        <w:rPr>
          <w:rtl/>
        </w:rPr>
        <w:t>وجدت العديد من الدراسات أن القابلية للتجربة المدركة لها تأثير إيجابي على الابتكار الإلكتروني. أمثلة على ذلك؛ القطاع المصرفي في اليمن (خدمات البنوك الإلكترونية</w:t>
      </w:r>
      <w:r w:rsidRPr="00123A1C">
        <w:t>) (Mutahar et al., 2016)</w:t>
      </w:r>
      <w:r w:rsidRPr="00123A1C">
        <w:rPr>
          <w:rtl/>
        </w:rPr>
        <w:t>، القطاع الحكومي في تايوان (خدمات الحكومة الإلكترونية، مثل نظام تقديم الضرائب</w:t>
      </w:r>
      <w:r w:rsidRPr="00123A1C">
        <w:t>) (Liang &amp; Lu, 2013)</w:t>
      </w:r>
      <w:r w:rsidRPr="00123A1C">
        <w:rPr>
          <w:rtl/>
        </w:rPr>
        <w:t>، قطاع التعليم في تايوان (منصة التعلم مفتوحة المصدر</w:t>
      </w:r>
      <w:r w:rsidRPr="00123A1C">
        <w:t xml:space="preserve">) (C.Y. Huang et al., 2020) </w:t>
      </w:r>
      <w:r w:rsidRPr="00123A1C">
        <w:rPr>
          <w:rtl/>
        </w:rPr>
        <w:t>وقطاع الشركات في تايوان (نظام التعليم الإلكتروني</w:t>
      </w:r>
      <w:r w:rsidRPr="00123A1C">
        <w:t xml:space="preserve">) (Lee et al., 2011). </w:t>
      </w:r>
      <w:r w:rsidRPr="00123A1C">
        <w:rPr>
          <w:rtl/>
        </w:rPr>
        <w:t>وأشار</w:t>
      </w:r>
      <w:r w:rsidRPr="00123A1C">
        <w:t xml:space="preserve"> Chen (2009) </w:t>
      </w:r>
      <w:r w:rsidRPr="00123A1C">
        <w:rPr>
          <w:rtl/>
        </w:rPr>
        <w:t>إلى أن القابلية للتجربة المدركة كان لها تأثير غير هام على الابتكار الإلكتروني (التعلم الإلكتروني</w:t>
      </w:r>
      <w:r w:rsidRPr="00123A1C">
        <w:rPr>
          <w:rFonts w:hint="cs"/>
          <w:rtl/>
        </w:rPr>
        <w:t>)</w:t>
      </w:r>
      <w:r w:rsidRPr="00123A1C">
        <w:t>.</w:t>
      </w:r>
    </w:p>
    <w:p w14:paraId="2A3841A3" w14:textId="77777777" w:rsidR="00F52834" w:rsidRPr="00123A1C" w:rsidRDefault="00F52834" w:rsidP="00F52834">
      <w:pPr>
        <w:spacing w:after="0"/>
        <w:rPr>
          <w:rtl/>
        </w:rPr>
      </w:pPr>
      <w:r w:rsidRPr="00123A1C">
        <w:rPr>
          <w:rtl/>
        </w:rPr>
        <w:t>في الوقت نفسه، وجد</w:t>
      </w:r>
      <w:r w:rsidRPr="00123A1C">
        <w:t xml:space="preserve"> Ramayah et al. (2013) </w:t>
      </w:r>
      <w:r w:rsidRPr="00123A1C">
        <w:rPr>
          <w:rtl/>
        </w:rPr>
        <w:t>أن القابلية للتجربة المدركة أثرت سلبًا على الابتكار الإلكتروني في الشركات الصغيرة والمتوسطة في ماليزيا. وفقًا للمؤلفين، قد يكون من الصعب أحيانًا اختبار التكنولوجيا الجديدة، مما يؤدي إلى تكاليف إضافية من حيث الوقت أو المال. هذا يعني أن السماح بتجربة التكنولوجيا قبل اعتماد الابتكار وتنفيذه بالكامل قد يكون أكثر تكلفة. استخدمت الدراسات نظرية انتشار الابتكار ونموذج قبول التكنولوجيا ووجدت أن القابلية للتجربة المدركة تؤثر بشكل مباشر على الابتكار الإلكتروني</w:t>
      </w:r>
      <w:r w:rsidRPr="00123A1C">
        <w:t xml:space="preserve"> (C.Y. Huang et al., 2020; Lee et al., 2011). </w:t>
      </w:r>
      <w:r w:rsidRPr="00123A1C">
        <w:rPr>
          <w:rtl/>
        </w:rPr>
        <w:t>بناءً على ذلك، تم اقتراح الفرضية التالية</w:t>
      </w:r>
      <w:r w:rsidRPr="00123A1C">
        <w:t>:</w:t>
      </w:r>
    </w:p>
    <w:p w14:paraId="4B3AC5B5" w14:textId="77777777" w:rsidR="00F52834" w:rsidRPr="00123A1C" w:rsidRDefault="00F52834" w:rsidP="00F52834">
      <w:pPr>
        <w:spacing w:after="0"/>
      </w:pPr>
      <w:r w:rsidRPr="00123A1C">
        <w:rPr>
          <w:rFonts w:hint="cs"/>
          <w:rtl/>
        </w:rPr>
        <w:lastRenderedPageBreak/>
        <w:t>خامسا:</w:t>
      </w:r>
      <w:r w:rsidRPr="00123A1C">
        <w:t xml:space="preserve"> </w:t>
      </w:r>
      <w:r w:rsidRPr="00123A1C">
        <w:rPr>
          <w:rtl/>
        </w:rPr>
        <w:t>القابلية للرصد المدركة</w:t>
      </w:r>
      <w:r w:rsidRPr="00123A1C">
        <w:t>:</w:t>
      </w:r>
    </w:p>
    <w:p w14:paraId="28BF9323" w14:textId="77777777" w:rsidR="00F52834" w:rsidRPr="00123A1C" w:rsidRDefault="00F52834" w:rsidP="00F52834">
      <w:pPr>
        <w:spacing w:after="0"/>
      </w:pPr>
      <w:r w:rsidRPr="00123A1C">
        <w:rPr>
          <w:rtl/>
        </w:rPr>
        <w:t>تتمثل القابلية للرصد المدركة في مدى وضوح نتائج الابتكارات وظهورها للآخرين</w:t>
      </w:r>
      <w:r w:rsidRPr="00123A1C">
        <w:t xml:space="preserve"> (Rogers, 2003, p. 258). </w:t>
      </w:r>
      <w:r w:rsidRPr="00123A1C">
        <w:rPr>
          <w:rtl/>
        </w:rPr>
        <w:t>تؤثر القابلية للرصد المدركة بشكل إيجابي على اعتماد الابتكار الإلكتروني</w:t>
      </w:r>
      <w:r w:rsidRPr="00123A1C">
        <w:t xml:space="preserve"> (Rehman &amp; Rajkumar, 2022). </w:t>
      </w:r>
      <w:r w:rsidRPr="00123A1C">
        <w:rPr>
          <w:rtl/>
        </w:rPr>
        <w:t>وبالمثل، ستتحفز الشركات لاعتماد تقنية جديدة إذا كانت تقدم فوائد مرئية (ملاحظة) مشابهة لتلك التي حصلت عليها شركات أخرى</w:t>
      </w:r>
      <w:r w:rsidRPr="00123A1C">
        <w:t xml:space="preserve"> (Badi et al., 2021). </w:t>
      </w:r>
      <w:r w:rsidRPr="00123A1C">
        <w:rPr>
          <w:rtl/>
        </w:rPr>
        <w:t>أظهرت العديد من الدراسات أن القابلية للرصد المدركة كان لها تأثير إيجابي وإحصائي كبير على الابتكار الإلكتروني المدعوم بالذكاء الاصطناعي</w:t>
      </w:r>
      <w:r w:rsidRPr="00123A1C">
        <w:t xml:space="preserve"> (M.P. Chen, 2009; M.H. Huang &amp; Rust, 2013; Ramayah et al., 2013). </w:t>
      </w:r>
      <w:r w:rsidRPr="00123A1C">
        <w:rPr>
          <w:rtl/>
        </w:rPr>
        <w:t>من ناحية أخرى، وجد</w:t>
      </w:r>
      <w:r w:rsidRPr="00123A1C">
        <w:t xml:space="preserve"> Liang &amp; Lu (2013) </w:t>
      </w:r>
      <w:r w:rsidRPr="00123A1C">
        <w:rPr>
          <w:rtl/>
        </w:rPr>
        <w:t>و</w:t>
      </w:r>
      <w:r w:rsidRPr="00123A1C">
        <w:t xml:space="preserve">Wang et al. (2018) </w:t>
      </w:r>
      <w:r w:rsidRPr="00123A1C">
        <w:rPr>
          <w:rtl/>
        </w:rPr>
        <w:t>تأثيرًا غير هام للقابلية للرصد المدركة على الابتكار الإلكتروني المدعوم بالذكاء الاصطناعي</w:t>
      </w:r>
      <w:r w:rsidRPr="00123A1C">
        <w:t>.</w:t>
      </w:r>
    </w:p>
    <w:p w14:paraId="587C6C25" w14:textId="77777777" w:rsidR="00F52834" w:rsidRPr="00123A1C" w:rsidRDefault="00F52834" w:rsidP="00F52834">
      <w:pPr>
        <w:spacing w:after="0"/>
      </w:pPr>
      <w:r w:rsidRPr="00123A1C">
        <w:rPr>
          <w:rtl/>
        </w:rPr>
        <w:t>أظهرت دراسة تم إجراؤها على الشركات الصغيرة والمتوسطة في ماليزيا في مجال التصنيع والخدمات ذات الصلة باستخدام تقنية التحليل باستخدام التحليل الهيكلي الجزئي</w:t>
      </w:r>
      <w:r w:rsidRPr="00123A1C">
        <w:t xml:space="preserve"> (PLS) </w:t>
      </w:r>
      <w:r w:rsidRPr="00123A1C">
        <w:rPr>
          <w:rtl/>
        </w:rPr>
        <w:t>عبر برنامج</w:t>
      </w:r>
      <w:r w:rsidRPr="00123A1C">
        <w:t xml:space="preserve"> SmartPLS 2.0 </w:t>
      </w:r>
      <w:r w:rsidRPr="00123A1C">
        <w:rPr>
          <w:rtl/>
        </w:rPr>
        <w:t>أن خصائص الابتكار، أي القابلية للرصد المدركة، كانت مرتبطة بشكل إيجابي باعتماد التقنية</w:t>
      </w:r>
      <w:r w:rsidRPr="00123A1C">
        <w:t xml:space="preserve"> (Ramayah et al., 2013). </w:t>
      </w:r>
      <w:r w:rsidRPr="00123A1C">
        <w:rPr>
          <w:rtl/>
        </w:rPr>
        <w:t>وبالمثل، استخدم</w:t>
      </w:r>
      <w:r w:rsidRPr="00123A1C">
        <w:t xml:space="preserve"> Huang et al. (2020) </w:t>
      </w:r>
      <w:r w:rsidRPr="00123A1C">
        <w:rPr>
          <w:rtl/>
        </w:rPr>
        <w:t xml:space="preserve">نماذج المعاملات المباشرة وغير المباشرة لتحليل تأثير القابلية للرصد المدركة على تكنولوجيا الابتكار الإلكتروني في قطاع التعليم في تايوان. </w:t>
      </w:r>
    </w:p>
    <w:p w14:paraId="384DBDC1" w14:textId="77777777" w:rsidR="00F52834" w:rsidRPr="00123A1C" w:rsidRDefault="00F52834" w:rsidP="00F52834">
      <w:pPr>
        <w:spacing w:after="0"/>
      </w:pPr>
      <w:r w:rsidRPr="00123A1C">
        <w:rPr>
          <w:rFonts w:hint="cs"/>
          <w:rtl/>
        </w:rPr>
        <w:t>سادسا:</w:t>
      </w:r>
      <w:r w:rsidRPr="00123A1C">
        <w:t xml:space="preserve"> </w:t>
      </w:r>
      <w:r w:rsidRPr="00123A1C">
        <w:rPr>
          <w:rtl/>
        </w:rPr>
        <w:t>الخصائص الخاصة بالجودة المدركة</w:t>
      </w:r>
      <w:r w:rsidRPr="00123A1C">
        <w:t>:</w:t>
      </w:r>
    </w:p>
    <w:p w14:paraId="197567B0" w14:textId="77777777" w:rsidR="00F52834" w:rsidRPr="00123A1C" w:rsidRDefault="00F52834" w:rsidP="00F52834">
      <w:pPr>
        <w:spacing w:after="0"/>
      </w:pPr>
      <w:r w:rsidRPr="00123A1C">
        <w:rPr>
          <w:rtl/>
        </w:rPr>
        <w:t>وجدت بعض الدراسات أن الخصائص الأخرى لجودة الابتكار الإلكتروني تتضمن التكلفة والعائد على الاستثمار وكفاءة وقت استخدام نظام الابتكار الإلكتروني</w:t>
      </w:r>
      <w:r w:rsidRPr="00123A1C">
        <w:t xml:space="preserve"> (Sun &amp; Chi, 2014).</w:t>
      </w:r>
    </w:p>
    <w:p w14:paraId="4950AF0F" w14:textId="77777777" w:rsidR="00F52834" w:rsidRPr="00123A1C" w:rsidRDefault="00F52834" w:rsidP="00F52834">
      <w:pPr>
        <w:spacing w:after="0"/>
      </w:pPr>
      <w:r w:rsidRPr="00123A1C">
        <w:rPr>
          <w:rFonts w:hint="cs"/>
          <w:rtl/>
        </w:rPr>
        <w:t>ت</w:t>
      </w:r>
      <w:r w:rsidRPr="00123A1C">
        <w:rPr>
          <w:rtl/>
        </w:rPr>
        <w:t>حليل تأثير المنفعة المدركة وسهولة الاستخدام على تبني الذكاء الاصطناعي</w:t>
      </w:r>
    </w:p>
    <w:p w14:paraId="3758A2B3" w14:textId="77777777" w:rsidR="00F52834" w:rsidRPr="00123A1C" w:rsidRDefault="00F52834" w:rsidP="00F52834">
      <w:pPr>
        <w:spacing w:after="0"/>
      </w:pPr>
      <w:r w:rsidRPr="00123A1C">
        <w:rPr>
          <w:rtl/>
        </w:rPr>
        <w:t>تعتبر المنفعة المدركة أحد العوامل الأساسية في تبني الذكاء الاصطناعي، حيث تشير إلى مدى فائدة التقنية بالنسبة للأفراد أو المؤسسات مقارنة بالتقنيات السابقة. كلما كانت المنفعة المدركة أكبر، زادت احتمالية اعتماد التقنية. العديد من الدراسات تؤكد أن المنفعة المدركة لها تأثير كبير على تبني الابتكارات التكنولوجية، مثلما أظهرت الدراسات في قطاعات متنوعة مثل البنوك والحكومة الإلكترونية. ومع ذلك، إذا كانت الفوائد غير واضحة أو ملموسة، فإن ذلك يقلل من دافع الأفراد لتبني التكنولوجيا. من جهة أخرى، سهولة الاستخدام تلعب دورًا محوريًا في تبني الذكاء الاصطناعي، حيث تعتبر التقنيات التي تتمتع بواجهات سهلة الاستخدام أكثر جذبًا للمستخدمين. الدراسات أظهرت أن الأنظمة المعقدة التي تتطلب مهارات فنية متقدمة تؤدي إلى تقليل نية اعتماد التكنولوجيا</w:t>
      </w:r>
      <w:r w:rsidRPr="00123A1C">
        <w:t>.</w:t>
      </w:r>
    </w:p>
    <w:p w14:paraId="5E66751B" w14:textId="77777777" w:rsidR="00F52834" w:rsidRPr="00123A1C" w:rsidRDefault="00F52834" w:rsidP="00F52834">
      <w:pPr>
        <w:spacing w:after="0"/>
      </w:pPr>
      <w:r w:rsidRPr="00123A1C">
        <w:rPr>
          <w:rtl/>
        </w:rPr>
        <w:t xml:space="preserve">الارتباط بين المنفعة المدركة وسهولة الاستخدام يعكس تأثيرًا مشتركًا في تبني الذكاء الاصطناعي. عندما يعتقد الأفراد أن التكنولوجيا توفر فوائد واضحة وسهلة الاستخدام، تكون هناك احتمالية أكبر لتبنيها بنجاح. لكن إذا كانت التقنية غير مفهومة أو معقدة، حتى وإن كانت مفيدة، فقد ينخفض مستوى التبني. </w:t>
      </w:r>
      <w:r w:rsidRPr="00123A1C">
        <w:rPr>
          <w:rtl/>
        </w:rPr>
        <w:lastRenderedPageBreak/>
        <w:t>لهذا السبب، من الضروري دمج كلاً من الفائدة المدركة وسهولة الاستخدام لجعل الذكاء الاصطناعي أكثر قابلية للتطبيق في المؤسسات المختلفة وتحقيق أقصى استفادة منه</w:t>
      </w:r>
      <w:r w:rsidRPr="00123A1C">
        <w:t>.</w:t>
      </w:r>
    </w:p>
    <w:p w14:paraId="1BA782F9" w14:textId="77777777" w:rsidR="00F52834" w:rsidRPr="00123A1C" w:rsidRDefault="00F52834" w:rsidP="00F52834">
      <w:pPr>
        <w:spacing w:after="0"/>
        <w:ind w:firstLine="0"/>
      </w:pPr>
    </w:p>
    <w:p w14:paraId="04584F18" w14:textId="77777777" w:rsidR="00F52834" w:rsidRPr="00123A1C" w:rsidRDefault="00F52834" w:rsidP="00F52834">
      <w:pPr>
        <w:spacing w:after="0"/>
        <w:ind w:firstLine="0"/>
        <w:rPr>
          <w:rtl/>
        </w:rPr>
      </w:pPr>
      <w:r w:rsidRPr="00123A1C">
        <w:rPr>
          <w:rtl/>
        </w:rPr>
        <w:t>خامسا: نظرية الشبكات (</w:t>
      </w:r>
      <w:r w:rsidRPr="00123A1C">
        <w:t>Network Theory</w:t>
      </w:r>
      <w:r w:rsidRPr="00123A1C">
        <w:rPr>
          <w:rtl/>
        </w:rPr>
        <w:t>)</w:t>
      </w:r>
    </w:p>
    <w:p w14:paraId="4ADF0DE1" w14:textId="77777777" w:rsidR="00F52834" w:rsidRPr="00123A1C" w:rsidRDefault="00F52834" w:rsidP="00F52834">
      <w:pPr>
        <w:spacing w:after="0"/>
      </w:pPr>
      <w:r w:rsidRPr="00123A1C">
        <w:rPr>
          <w:rtl/>
        </w:rPr>
        <w:t>نظرية الشبكات هي مجال دراسي متعدد التخصصات يدرس كيفية تنظيم العلاقات بين الأفراد أو الكيانات داخل شبكات مترابطة. يتمحور هذا المجال حول فكرة أن كل عنصر في الشبكة يتفاعل مع عناصر أخرى عبر روابط محددة. يمكن أن تكون هذه الشبكات اجتماعية، تجارية، أو حتى معلوماتية، وقد أصبحت هذه النظرية جزءًا أساسيًا من دراسات علوم الاجتماع وعلوم الكمبيوتر والفيزياء. تركز نظرية الشبكات على تحليل العقد (الأفراد أو الكيانات) والروابط (العلاقات أو التفاعلات بين هذه العقد)، وهو ما يساعد في فهم كيفية انتقال المعلومات أو التأثيرات عبر الشبكات المختلفة</w:t>
      </w:r>
      <w:r w:rsidRPr="00123A1C">
        <w:t xml:space="preserve"> (</w:t>
      </w:r>
      <w:proofErr w:type="spellStart"/>
      <w:r w:rsidRPr="00123A1C">
        <w:t>Barabási</w:t>
      </w:r>
      <w:proofErr w:type="spellEnd"/>
      <w:r w:rsidRPr="00123A1C">
        <w:t>, 2016).</w:t>
      </w:r>
    </w:p>
    <w:p w14:paraId="6A24597C" w14:textId="77777777" w:rsidR="00F52834" w:rsidRPr="00123A1C" w:rsidRDefault="00F52834" w:rsidP="00F52834">
      <w:pPr>
        <w:spacing w:after="0"/>
      </w:pPr>
      <w:r w:rsidRPr="00123A1C">
        <w:rPr>
          <w:rtl/>
        </w:rPr>
        <w:t>العناصر الأساسية في نظرية الشبكات تشمل العقد</w:t>
      </w:r>
      <w:r w:rsidRPr="00123A1C">
        <w:t xml:space="preserve"> (nodes) </w:t>
      </w:r>
      <w:r w:rsidRPr="00123A1C">
        <w:rPr>
          <w:rtl/>
        </w:rPr>
        <w:t>التي تمثل الأفراد أو الكيانات في الشبكة، والروابط</w:t>
      </w:r>
      <w:r w:rsidRPr="00123A1C">
        <w:t xml:space="preserve"> (edges) </w:t>
      </w:r>
      <w:r w:rsidRPr="00123A1C">
        <w:rPr>
          <w:rtl/>
        </w:rPr>
        <w:t>التي تمثل العلاقات أو التفاعلات بينهم. تلعب هذه العناصر دورًا محوريًا في تحديد كيفية تشكل الشبكات وكيفية تفاعل الأفراد داخل هذه الشبكات. العقد قد تكون أفرادًا في شبكة اجتماعية أو مواقع إلكترونية في شبكة الإنترنت، بينما الروابط قد تكون علاقات اجتماعية، تجارية، أو بيانات تتدفق بين العقد</w:t>
      </w:r>
      <w:r w:rsidRPr="00123A1C">
        <w:t xml:space="preserve"> (Newman, 2010).</w:t>
      </w:r>
    </w:p>
    <w:p w14:paraId="0F89E7B4" w14:textId="77777777" w:rsidR="00F52834" w:rsidRPr="00123A1C" w:rsidRDefault="00F52834" w:rsidP="00F52834">
      <w:pPr>
        <w:spacing w:after="0"/>
      </w:pPr>
      <w:r w:rsidRPr="00123A1C">
        <w:rPr>
          <w:rtl/>
        </w:rPr>
        <w:t>أنواع الشبكات التي تدرسها هذه النظرية تتنوع وتشمل العديد من المجالات. واحدة من أهم هذه الأنواع هي الشبكات الاجتماعية، التي تركز على العلاقات بين الأفراد أو المجموعات في المجتمع. هذه الشبكات تلعب دورًا كبيرًا في فهم سلوكيات الأفراد وكيفية تأثيرهم في بعضهم البعض. كما توجد الشبكات المعلوماتية التي تتعلق بكيفية انتقال البيانات والمعلومات عبر الإنترنت أو شبكات الاتصال المختلفة. إلى جانب ذلك، هناك الشبكات التجارية التي تدرس العلاقات بين الشركات أو المؤسسات، وكيفية تأثيرها في الأنشطة الاقتصادية وتبادل المعلومات</w:t>
      </w:r>
      <w:r w:rsidRPr="00123A1C">
        <w:t xml:space="preserve"> (</w:t>
      </w:r>
      <w:proofErr w:type="spellStart"/>
      <w:r w:rsidRPr="00123A1C">
        <w:t>Granovetter</w:t>
      </w:r>
      <w:proofErr w:type="spellEnd"/>
      <w:r w:rsidRPr="00123A1C">
        <w:t>, 1973).</w:t>
      </w:r>
    </w:p>
    <w:p w14:paraId="388AAF52" w14:textId="77777777" w:rsidR="00F52834" w:rsidRPr="00123A1C" w:rsidRDefault="00F52834" w:rsidP="00F52834">
      <w:pPr>
        <w:spacing w:after="0"/>
      </w:pPr>
      <w:r w:rsidRPr="00123A1C">
        <w:rPr>
          <w:rtl/>
        </w:rPr>
        <w:t>المفاهيم الرئيسية في نظرية الشبكات تتضمن العديد من النقاط الهامة التي تساهم في فهم كيفية عمل الشبكات. من أبرز هذه المفاهيم هو الانتشار</w:t>
      </w:r>
      <w:r w:rsidRPr="00123A1C">
        <w:t xml:space="preserve"> (diffusion)</w:t>
      </w:r>
      <w:r w:rsidRPr="00123A1C">
        <w:rPr>
          <w:rtl/>
        </w:rPr>
        <w:t>، الذي يشير إلى دراسة كيفية انتقال المعلومات أو الأفكار عبر الشبكة. يتضمن ذلك تحليل الطرق التي تنتشر بها المنتجات أو الابتكارات في الأسواق. كما يُعد مفهوم الروابط القوية والضعيفة من العناصر الجوهرية، حيث تشير الروابط القوية إلى العلاقات الوثيقة بين الأفراد أو الكيانات، بينما تشير الروابط الضعيفة إلى علاقات أقل تشابهًا لكنها قد تكون أكثر أهمية في نشر المعلومات بين شبكات مختلفة</w:t>
      </w:r>
      <w:r w:rsidRPr="00123A1C">
        <w:t xml:space="preserve"> (</w:t>
      </w:r>
      <w:proofErr w:type="spellStart"/>
      <w:r w:rsidRPr="00123A1C">
        <w:t>Granovetter</w:t>
      </w:r>
      <w:proofErr w:type="spellEnd"/>
      <w:r w:rsidRPr="00123A1C">
        <w:t>, 1973).</w:t>
      </w:r>
    </w:p>
    <w:p w14:paraId="3B74A8D8" w14:textId="77777777" w:rsidR="00F52834" w:rsidRPr="00123A1C" w:rsidRDefault="00F52834" w:rsidP="00F52834">
      <w:pPr>
        <w:spacing w:after="0"/>
      </w:pPr>
      <w:r w:rsidRPr="00123A1C">
        <w:rPr>
          <w:rtl/>
        </w:rPr>
        <w:t xml:space="preserve">التطبيقات العملية لنظرية الشبكات تبرز في مجالات عدة مثل التسويق، حيث تستخدم الشركات نظرية الشبكات لفهم كيفية انتشار الحملات الدعائية أو المنتجات عبر الشبكات الاجتماعية. في </w:t>
      </w:r>
      <w:r w:rsidRPr="00123A1C">
        <w:rPr>
          <w:rtl/>
        </w:rPr>
        <w:lastRenderedPageBreak/>
        <w:t>السياسة، تُستخدم هذه النظرية لفهم تأثير الشبكات السياسية على تشكيل الرأي العام أو التأثير على نتائج الانتخابات. أما في الاقتصاد، فإن نظرية الشبكات تتيح دراسة كيفية تأثير العلاقات التجارية بين الشركات على أسواق معينة وعلى اتخاذ القرارات الاقتصادية</w:t>
      </w:r>
      <w:r w:rsidRPr="00123A1C">
        <w:t xml:space="preserve"> (Borgatti et al., 2009).</w:t>
      </w:r>
    </w:p>
    <w:p w14:paraId="057E27F6" w14:textId="77777777" w:rsidR="00F52834" w:rsidRPr="00123A1C" w:rsidRDefault="00F52834" w:rsidP="00F52834">
      <w:pPr>
        <w:spacing w:after="0"/>
      </w:pPr>
      <w:r w:rsidRPr="00123A1C">
        <w:rPr>
          <w:rtl/>
        </w:rPr>
        <w:t>أخيرًا، توفر نماذج تحليل الشبكات أدوات لفهم كيفية تفاعل العقد والروابط داخل الشبكة. أحد النماذج المستخدمة في هذا السياق هو نظرية الشبكة الاجتماعية التي تركز على العلاقات الاجتماعية بين الأفراد أو المجموعات. وهناك أيضًا الشبكات التي تدور حول تدفق المعلومات أو البيانات، كما في شبكات الإنترنت أو شبكات الاتصال. هذه النماذج تساعد في تحديد كيفية تأثير الشبكة في سلوك الأفراد، وكيف يمكن أن يتم توجيه التدفقات أو اتخاذ القرارات بناءً على الهياكل الشبكية المختلفة</w:t>
      </w:r>
      <w:r w:rsidRPr="00123A1C">
        <w:t xml:space="preserve"> (Wasserman &amp; Faust, 1994).</w:t>
      </w:r>
    </w:p>
    <w:p w14:paraId="53CFB267" w14:textId="77777777" w:rsidR="00F52834" w:rsidRPr="00123A1C" w:rsidRDefault="00F52834" w:rsidP="00F52834">
      <w:pPr>
        <w:spacing w:after="0"/>
      </w:pPr>
      <w:r w:rsidRPr="00123A1C">
        <w:rPr>
          <w:rtl/>
        </w:rPr>
        <w:t>دراسة تأثير الذكاء الاصطناعي على العلاقات بين المؤسسات وأصحاب المصلحة</w:t>
      </w:r>
      <w:r w:rsidRPr="00123A1C">
        <w:t>:</w:t>
      </w:r>
    </w:p>
    <w:p w14:paraId="61FBEF6F" w14:textId="77777777" w:rsidR="00F52834" w:rsidRPr="00123A1C" w:rsidRDefault="00F52834" w:rsidP="00F52834">
      <w:pPr>
        <w:spacing w:after="0"/>
      </w:pPr>
      <w:r w:rsidRPr="00123A1C">
        <w:rPr>
          <w:rtl/>
        </w:rPr>
        <w:t>في ضوء نظرية الشبكات، يمكن فهم تأثير الذكاء الاصطناعي على العلاقات بين المؤسسات وأصحاب المصلحة من خلال تحليل الروابط بين مختلف الأطراف. الذكاء الاصطناعي يمكن أن يعزز تفاعل المؤسسات مع أصحاب المصلحة من خلال تقديم حلول تقنية لزيادة الكفاءة وتقليل التكاليف. على سبيل المثال، يمكن للأنظمة الذكية أن تسهم في تحسين خدمة العملاء، مما يعزز العلاقة بين الشركات والعملاء. كما يمكن أن يسهم الذكاء الاصطناعي في تغيير هيكل الشبكات الاجتماعية والتجارية عبر إنشاء علاقات أكثر تفاعلية ومتسقة. من خلال تحليل العقد (المؤسسات) والروابط (العلاقات مع العملاء أو الشركاء) يمكن فهم كيف يساهم الذكاء الاصطناعي في تحويل هذه الروابط إلى روابط أقوى وأكثر استدامة، وهو ما يعزز القدرة على بناء شبكات تجارية فعالة ومرنة</w:t>
      </w:r>
      <w:r w:rsidRPr="00123A1C">
        <w:t>.</w:t>
      </w:r>
    </w:p>
    <w:p w14:paraId="191D633F" w14:textId="77777777" w:rsidR="00F52834" w:rsidRPr="00123A1C" w:rsidRDefault="00F52834" w:rsidP="00F52834">
      <w:pPr>
        <w:spacing w:after="0"/>
      </w:pPr>
      <w:r w:rsidRPr="00123A1C">
        <w:rPr>
          <w:rtl/>
        </w:rPr>
        <w:t>تحليل دور الذكاء الاصطناعي في تعزيز التعاون وتبادل المعلومات</w:t>
      </w:r>
      <w:r w:rsidRPr="00123A1C">
        <w:t>:</w:t>
      </w:r>
    </w:p>
    <w:p w14:paraId="17752D46" w14:textId="77777777" w:rsidR="00F52834" w:rsidRPr="00123A1C" w:rsidRDefault="00F52834" w:rsidP="00F52834">
      <w:pPr>
        <w:spacing w:after="0"/>
      </w:pPr>
      <w:r w:rsidRPr="00123A1C">
        <w:rPr>
          <w:rtl/>
        </w:rPr>
        <w:t>الذكاء الاصطناعي يلعب دورًا حيويًا في تعزيز التعاون وتبادل المعلومات عبر الشبكات، وهو ما ينعكس على قدرة المؤسسات على التفاعل مع بعضها البعض بطرق أكثر فاعلية. في ضوء نظرية الشبكات، يمكن للذكاء الاصطناعي تحسين تدفق المعلومات بين العقد في الشبكة، سواء كانت هذه العقد تمثل أفرادًا أو مؤسسات. من خلال أدوات الذكاء الاصطناعي مثل تحليل البيانات الضخمة والتعلم الآلي، يمكن للمؤسسات التنبؤ بالاتجاهات والتفاعل بشكل أسرع مع التغيرات في السوق. هذه الأنظمة الذكية تساعد في تحسين عملية اتخاذ القرارات وتعزيز التفاعل بين الأطراف المعنية، مما يؤدي إلى تبادل أفضل للمعلومات وتعاون أكثر فعالية بين المؤسسات</w:t>
      </w:r>
      <w:r w:rsidRPr="00123A1C">
        <w:t>.</w:t>
      </w:r>
    </w:p>
    <w:p w14:paraId="26C71911" w14:textId="77777777" w:rsidR="00321A64" w:rsidRPr="00123A1C" w:rsidRDefault="00321A64" w:rsidP="00321A64">
      <w:pPr>
        <w:pStyle w:val="a3"/>
        <w:ind w:firstLine="0"/>
        <w:rPr>
          <w:b/>
          <w:bCs/>
          <w:rtl/>
        </w:rPr>
      </w:pPr>
    </w:p>
    <w:p w14:paraId="0556918D" w14:textId="07F395D1" w:rsidR="00F52834" w:rsidRPr="006018CC" w:rsidRDefault="00F52834" w:rsidP="00321A64">
      <w:pPr>
        <w:pStyle w:val="a3"/>
        <w:ind w:left="84" w:firstLine="0"/>
      </w:pPr>
      <w:r w:rsidRPr="006018CC">
        <w:rPr>
          <w:rStyle w:val="a7"/>
          <w:rtl/>
        </w:rPr>
        <w:t>نظرية الميزة التنافسية</w:t>
      </w:r>
      <w:r w:rsidRPr="006018CC">
        <w:rPr>
          <w:rtl/>
        </w:rPr>
        <w:t xml:space="preserve"> </w:t>
      </w:r>
      <w:r w:rsidRPr="006018CC">
        <w:t xml:space="preserve">(Competitive Advantage Theory) </w:t>
      </w:r>
      <w:r w:rsidRPr="006018CC">
        <w:rPr>
          <w:rtl/>
        </w:rPr>
        <w:t xml:space="preserve">هي نظرية اقتصادية تركز على كيفية قدرة الشركات أو الدول على تحقيق النجاح في الأسواق من خلال التفوق على منافسيهم. يُعتبر هذا التفوق نتيجة امتلاك الشركة لميزة خاصة تجعلها قادرة على تقديم قيمة أعلى للعملاء أو تقليل </w:t>
      </w:r>
      <w:r w:rsidRPr="006018CC">
        <w:rPr>
          <w:rtl/>
        </w:rPr>
        <w:lastRenderedPageBreak/>
        <w:t xml:space="preserve">التكاليف بشكل أكثر فعالية من منافسيها. تُعد هذه النظرية من أهم المفاهيم التي قدمها الباحث </w:t>
      </w:r>
      <w:r w:rsidRPr="006018CC">
        <w:rPr>
          <w:rStyle w:val="a7"/>
          <w:rtl/>
        </w:rPr>
        <w:t xml:space="preserve">مايكل </w:t>
      </w:r>
      <w:proofErr w:type="spellStart"/>
      <w:r w:rsidRPr="006018CC">
        <w:rPr>
          <w:rStyle w:val="a7"/>
          <w:rtl/>
        </w:rPr>
        <w:t>بورتر</w:t>
      </w:r>
      <w:proofErr w:type="spellEnd"/>
      <w:r w:rsidRPr="006018CC">
        <w:rPr>
          <w:rtl/>
        </w:rPr>
        <w:t xml:space="preserve"> في كتابه الشهير "الميزة التنافسية: استراتيجيات الشركات من أجل التفوق</w:t>
      </w:r>
      <w:r w:rsidRPr="006018CC">
        <w:t>" (Porter, 1985).</w:t>
      </w:r>
    </w:p>
    <w:p w14:paraId="651A8DC3" w14:textId="77777777" w:rsidR="00F52834" w:rsidRPr="006018CC" w:rsidRDefault="00F52834" w:rsidP="00603F3B">
      <w:r w:rsidRPr="006018CC">
        <w:rPr>
          <w:rStyle w:val="a7"/>
          <w:rtl/>
        </w:rPr>
        <w:t>المفاهيم الرئيسية في نظرية الميزة التنافسية</w:t>
      </w:r>
    </w:p>
    <w:p w14:paraId="46BD4CE1" w14:textId="77777777" w:rsidR="00F52834" w:rsidRPr="006018CC" w:rsidRDefault="00F52834" w:rsidP="00F52834">
      <w:pPr>
        <w:pStyle w:val="a3"/>
      </w:pPr>
      <w:r w:rsidRPr="006018CC">
        <w:rPr>
          <w:rStyle w:val="a7"/>
          <w:rtl/>
        </w:rPr>
        <w:t>الميزة التنافسية</w:t>
      </w:r>
      <w:r w:rsidRPr="006018CC">
        <w:rPr>
          <w:rtl/>
        </w:rPr>
        <w:t xml:space="preserve"> تشير إلى القدرات الفريدة التي تتمتع بها الشركات والتي تمنحها القدرة على تقديم منتج أو خدمة تتمتع بجاذبية أعلى للمستهلكين أو تكاليف أقل من المنافسين. هذه الميزة قد تكون ناتجة عن عوامل مختلفة مثل الابتكار التكنولوجي، الموقع الجغرافي، العلاقات القوية مع الموردين والعملاء، أو القدرة على الوصول إلى أسواق جديدة</w:t>
      </w:r>
      <w:r w:rsidRPr="006018CC">
        <w:t xml:space="preserve"> (Porter, 1985).</w:t>
      </w:r>
    </w:p>
    <w:p w14:paraId="673B21D0" w14:textId="77777777" w:rsidR="00F52834" w:rsidRPr="006018CC" w:rsidRDefault="00F52834" w:rsidP="00F52834">
      <w:pPr>
        <w:pStyle w:val="a3"/>
      </w:pPr>
      <w:r w:rsidRPr="006018CC">
        <w:rPr>
          <w:rtl/>
        </w:rPr>
        <w:t xml:space="preserve">من جانب آخر، تطرق </w:t>
      </w:r>
      <w:proofErr w:type="spellStart"/>
      <w:r w:rsidRPr="006018CC">
        <w:rPr>
          <w:rStyle w:val="a7"/>
          <w:rtl/>
        </w:rPr>
        <w:t>بورتر</w:t>
      </w:r>
      <w:proofErr w:type="spellEnd"/>
      <w:r w:rsidRPr="006018CC">
        <w:rPr>
          <w:rtl/>
        </w:rPr>
        <w:t xml:space="preserve"> إلى ثلاثة استراتيجيات رئيسية يمكن أن تساهم في تحقيق الميزة التنافسية</w:t>
      </w:r>
      <w:r w:rsidRPr="006018CC">
        <w:t>:</w:t>
      </w:r>
    </w:p>
    <w:p w14:paraId="628D0CBD" w14:textId="77777777" w:rsidR="00F52834" w:rsidRPr="00E26291" w:rsidRDefault="00F52834" w:rsidP="00F52834">
      <w:pPr>
        <w:pStyle w:val="a3"/>
        <w:numPr>
          <w:ilvl w:val="0"/>
          <w:numId w:val="13"/>
        </w:numPr>
      </w:pPr>
      <w:r w:rsidRPr="00E26291">
        <w:rPr>
          <w:rStyle w:val="a7"/>
          <w:rtl/>
        </w:rPr>
        <w:t>استراتيجية التميز</w:t>
      </w:r>
      <w:r w:rsidRPr="00E26291">
        <w:rPr>
          <w:rStyle w:val="a7"/>
        </w:rPr>
        <w:t xml:space="preserve"> (Differentiation Strategy)</w:t>
      </w:r>
      <w:r w:rsidRPr="00E26291">
        <w:t xml:space="preserve">: </w:t>
      </w:r>
      <w:r w:rsidRPr="00E26291">
        <w:rPr>
          <w:rtl/>
        </w:rPr>
        <w:t xml:space="preserve">تقوم هذه الاستراتيجية على تقديم منتج أو خدمة تتمتع بصفات فريدة تجعلها مميزة عن منتجات المنافسين. الهدف هو أن يدفع العملاء سعرًا أعلى مقابل هذا التميز. على سبيل المثال، شركات مثل </w:t>
      </w:r>
      <w:r w:rsidRPr="00E26291">
        <w:rPr>
          <w:rStyle w:val="a7"/>
          <w:rtl/>
        </w:rPr>
        <w:t>آبل</w:t>
      </w:r>
      <w:r w:rsidRPr="00E26291">
        <w:rPr>
          <w:rtl/>
        </w:rPr>
        <w:t xml:space="preserve"> </w:t>
      </w:r>
      <w:r w:rsidRPr="00E26291">
        <w:t xml:space="preserve">(Apple) </w:t>
      </w:r>
      <w:r w:rsidRPr="00E26291">
        <w:rPr>
          <w:rtl/>
        </w:rPr>
        <w:t>حققت تميزًا في تصميم منتجاتها وجودتها</w:t>
      </w:r>
      <w:r w:rsidRPr="00E26291">
        <w:t>.</w:t>
      </w:r>
    </w:p>
    <w:p w14:paraId="582EA93E" w14:textId="77777777" w:rsidR="00F52834" w:rsidRPr="00E26291" w:rsidRDefault="00F52834" w:rsidP="00F52834">
      <w:pPr>
        <w:pStyle w:val="a3"/>
        <w:numPr>
          <w:ilvl w:val="0"/>
          <w:numId w:val="13"/>
        </w:numPr>
      </w:pPr>
      <w:r w:rsidRPr="00E26291">
        <w:rPr>
          <w:rStyle w:val="a7"/>
          <w:rtl/>
        </w:rPr>
        <w:t>استراتيجية القيادة في التكلفة</w:t>
      </w:r>
      <w:r w:rsidRPr="00E26291">
        <w:rPr>
          <w:rStyle w:val="a7"/>
        </w:rPr>
        <w:t xml:space="preserve"> (Cost Leadership Strategy)</w:t>
      </w:r>
      <w:r w:rsidRPr="00E26291">
        <w:t xml:space="preserve">: </w:t>
      </w:r>
      <w:r w:rsidRPr="00E26291">
        <w:rPr>
          <w:rtl/>
        </w:rPr>
        <w:t xml:space="preserve">تركز الشركات التي تتبع هذه الاستراتيجية على تقليل تكاليف الإنتاج بشكل كبير مع الحفاظ على جودة المنتج. الهدف هو تقديم منتجات بأسعار منخفضة نسبيًا مقارنة بالمنافسين، مما يجعلها أكثر جذبًا للعملاء. شركة </w:t>
      </w:r>
      <w:r w:rsidRPr="00E26291">
        <w:rPr>
          <w:rStyle w:val="a7"/>
          <w:rtl/>
        </w:rPr>
        <w:t>وول مارت</w:t>
      </w:r>
      <w:r w:rsidRPr="00E26291">
        <w:rPr>
          <w:rtl/>
        </w:rPr>
        <w:t xml:space="preserve"> </w:t>
      </w:r>
      <w:r w:rsidRPr="00E26291">
        <w:t xml:space="preserve">(Walmart) </w:t>
      </w:r>
      <w:r w:rsidRPr="00E26291">
        <w:rPr>
          <w:rtl/>
        </w:rPr>
        <w:t>هي مثال على تطبيق هذه الاستراتيجية</w:t>
      </w:r>
      <w:r w:rsidRPr="00E26291">
        <w:t>.</w:t>
      </w:r>
    </w:p>
    <w:p w14:paraId="111F8FA9" w14:textId="77777777" w:rsidR="00F52834" w:rsidRPr="006018CC" w:rsidRDefault="00F52834" w:rsidP="00F52834">
      <w:pPr>
        <w:pStyle w:val="a3"/>
        <w:numPr>
          <w:ilvl w:val="0"/>
          <w:numId w:val="13"/>
        </w:numPr>
      </w:pPr>
      <w:r w:rsidRPr="00E26291">
        <w:rPr>
          <w:rStyle w:val="a7"/>
          <w:rtl/>
        </w:rPr>
        <w:t>استراتيجية التركيز</w:t>
      </w:r>
      <w:r w:rsidRPr="00E26291">
        <w:rPr>
          <w:rStyle w:val="a7"/>
        </w:rPr>
        <w:t xml:space="preserve"> (Focus Strategy)</w:t>
      </w:r>
      <w:r w:rsidRPr="00E26291">
        <w:t xml:space="preserve">: </w:t>
      </w:r>
      <w:r w:rsidRPr="00E26291">
        <w:rPr>
          <w:rtl/>
        </w:rPr>
        <w:t>تركز هذه</w:t>
      </w:r>
      <w:r w:rsidRPr="006018CC">
        <w:rPr>
          <w:rtl/>
        </w:rPr>
        <w:t xml:space="preserve"> الاستراتيجية على تلبية احتياجات شريحة معينة من السوق أو سوق محددة جغرافيًا. قد تجمع هذه الاستراتيجية بين التميز أو القيادة في التكلفة مع التركيز على فئة معينة من العملاء. على سبيل المثال، </w:t>
      </w:r>
      <w:r w:rsidRPr="006018CC">
        <w:rPr>
          <w:rStyle w:val="a7"/>
          <w:rtl/>
        </w:rPr>
        <w:t>شركة نايك</w:t>
      </w:r>
      <w:r w:rsidRPr="006018CC">
        <w:rPr>
          <w:rtl/>
        </w:rPr>
        <w:t xml:space="preserve"> </w:t>
      </w:r>
      <w:r w:rsidRPr="006018CC">
        <w:t xml:space="preserve">(Nike) </w:t>
      </w:r>
      <w:r w:rsidRPr="006018CC">
        <w:rPr>
          <w:rtl/>
        </w:rPr>
        <w:t>التي تركز على الرياضيين وعشاق الرياضة</w:t>
      </w:r>
      <w:r w:rsidRPr="006018CC">
        <w:t>.</w:t>
      </w:r>
    </w:p>
    <w:p w14:paraId="02D6FB99" w14:textId="77777777" w:rsidR="00F52834" w:rsidRPr="006018CC" w:rsidRDefault="00F52834" w:rsidP="00603F3B">
      <w:r w:rsidRPr="006018CC">
        <w:rPr>
          <w:rStyle w:val="a7"/>
          <w:rtl/>
        </w:rPr>
        <w:t>الموارد والقدرات</w:t>
      </w:r>
    </w:p>
    <w:p w14:paraId="0C7ECEB6" w14:textId="77777777" w:rsidR="00F52834" w:rsidRPr="006018CC" w:rsidRDefault="00F52834" w:rsidP="00F52834">
      <w:pPr>
        <w:pStyle w:val="a3"/>
      </w:pPr>
      <w:r w:rsidRPr="006018CC">
        <w:rPr>
          <w:rtl/>
        </w:rPr>
        <w:t xml:space="preserve">من الجوانب الأساسية في نظرية الميزة التنافسية هو التمييز بين </w:t>
      </w:r>
      <w:r w:rsidRPr="006018CC">
        <w:rPr>
          <w:rStyle w:val="a7"/>
          <w:rtl/>
        </w:rPr>
        <w:t>الموارد</w:t>
      </w:r>
      <w:r w:rsidRPr="006018CC">
        <w:rPr>
          <w:rtl/>
        </w:rPr>
        <w:t xml:space="preserve"> </w:t>
      </w:r>
      <w:proofErr w:type="gramStart"/>
      <w:r w:rsidRPr="006018CC">
        <w:rPr>
          <w:rtl/>
        </w:rPr>
        <w:t xml:space="preserve">و </w:t>
      </w:r>
      <w:r w:rsidRPr="006018CC">
        <w:rPr>
          <w:rStyle w:val="a7"/>
          <w:rtl/>
        </w:rPr>
        <w:t>القدرات</w:t>
      </w:r>
      <w:proofErr w:type="gramEnd"/>
      <w:r w:rsidRPr="006018CC">
        <w:t xml:space="preserve">. </w:t>
      </w:r>
      <w:r w:rsidRPr="006018CC">
        <w:rPr>
          <w:rStyle w:val="a7"/>
          <w:rtl/>
        </w:rPr>
        <w:t>الموارد</w:t>
      </w:r>
      <w:r w:rsidRPr="006018CC">
        <w:rPr>
          <w:rtl/>
        </w:rPr>
        <w:t xml:space="preserve"> هي الأصول التي تمتلكها الشركات مثل المال، والمعدات، والعلاقات. أما </w:t>
      </w:r>
      <w:r w:rsidRPr="006018CC">
        <w:rPr>
          <w:rStyle w:val="a7"/>
          <w:rtl/>
        </w:rPr>
        <w:t>القدرات</w:t>
      </w:r>
      <w:r w:rsidRPr="006018CC">
        <w:rPr>
          <w:rtl/>
        </w:rPr>
        <w:t xml:space="preserve"> فهي قدرة الشركة على استخدام هذه الموارد بشكل فعال، مثل القدرة على الابتكار أو التسويق</w:t>
      </w:r>
      <w:r w:rsidRPr="006018CC">
        <w:t>.</w:t>
      </w:r>
    </w:p>
    <w:p w14:paraId="77CCE373" w14:textId="77777777" w:rsidR="00F52834" w:rsidRPr="006018CC" w:rsidRDefault="00F52834" w:rsidP="00F52834">
      <w:pPr>
        <w:pStyle w:val="a3"/>
      </w:pPr>
      <w:r w:rsidRPr="006018CC">
        <w:rPr>
          <w:rtl/>
        </w:rPr>
        <w:t xml:space="preserve">وفقًا لنظرية </w:t>
      </w:r>
      <w:proofErr w:type="spellStart"/>
      <w:r w:rsidRPr="006018CC">
        <w:rPr>
          <w:rtl/>
        </w:rPr>
        <w:t>بورتر</w:t>
      </w:r>
      <w:proofErr w:type="spellEnd"/>
      <w:r w:rsidRPr="006018CC">
        <w:rPr>
          <w:rtl/>
        </w:rPr>
        <w:t>، من أجل أن تحظى الشركة بميزة تنافسية مستدامة، يجب أن تجمع بين الموارد الفريدة والقدرات المتميزة التي يصعب تقليدها من قبل المنافسين</w:t>
      </w:r>
      <w:r w:rsidRPr="006018CC">
        <w:t xml:space="preserve"> (Barney, 1991). </w:t>
      </w:r>
      <w:r w:rsidRPr="006018CC">
        <w:rPr>
          <w:rtl/>
        </w:rPr>
        <w:t>على سبيل المثال، يمكن للشركة أن تكون قادرة على تحسين استخدام الموارد مثل العمالة الماهرة أو التكنولوجيا المتقدمة</w:t>
      </w:r>
      <w:r w:rsidRPr="006018CC">
        <w:t>.</w:t>
      </w:r>
    </w:p>
    <w:p w14:paraId="0A3EA09E" w14:textId="77777777" w:rsidR="00F52834" w:rsidRPr="006018CC" w:rsidRDefault="00F52834" w:rsidP="00603F3B">
      <w:pPr>
        <w:rPr>
          <w:rtl/>
        </w:rPr>
      </w:pPr>
      <w:r w:rsidRPr="006018CC">
        <w:rPr>
          <w:rStyle w:val="a7"/>
          <w:rtl/>
        </w:rPr>
        <w:lastRenderedPageBreak/>
        <w:t>المزايا التنافسية المستدامة</w:t>
      </w:r>
    </w:p>
    <w:p w14:paraId="1FA47CAE" w14:textId="77777777" w:rsidR="00F52834" w:rsidRPr="006018CC" w:rsidRDefault="00F52834" w:rsidP="00F52834">
      <w:pPr>
        <w:pStyle w:val="a3"/>
      </w:pPr>
      <w:r w:rsidRPr="006018CC">
        <w:rPr>
          <w:rtl/>
        </w:rPr>
        <w:t xml:space="preserve">الميزة التنافسية ليست مجرد التفوق اللحظي، بل يجب أن تكون مستدامة على المدى الطويل. أحد العوامل التي تساعد في الحفاظ على الميزة التنافسية هي </w:t>
      </w:r>
      <w:r w:rsidRPr="006018CC">
        <w:rPr>
          <w:rStyle w:val="a7"/>
          <w:rtl/>
        </w:rPr>
        <w:t>الحواجز الدخول</w:t>
      </w:r>
      <w:r w:rsidRPr="006018CC">
        <w:t xml:space="preserve">. </w:t>
      </w:r>
      <w:r w:rsidRPr="006018CC">
        <w:rPr>
          <w:rtl/>
        </w:rPr>
        <w:t>الحواجز مثل التكاليف العالية، العلاقات القوية مع العملاء والموردين، أو الحماية القانونية (مثل حقوق الملكية الفكرية) يمكن أن تمنع المنافسين الجدد من دخول السوق وتهديد تفوق الشركة</w:t>
      </w:r>
      <w:r w:rsidRPr="006018CC">
        <w:t>.</w:t>
      </w:r>
    </w:p>
    <w:p w14:paraId="044FEA4B" w14:textId="77777777" w:rsidR="00F52834" w:rsidRPr="006018CC" w:rsidRDefault="00F52834" w:rsidP="00603F3B">
      <w:r w:rsidRPr="006018CC">
        <w:rPr>
          <w:rStyle w:val="a7"/>
          <w:rtl/>
        </w:rPr>
        <w:t>التطبيقات العملية في الحياة العملية</w:t>
      </w:r>
    </w:p>
    <w:p w14:paraId="08DBF2E0" w14:textId="77777777" w:rsidR="00F52834" w:rsidRPr="006018CC" w:rsidRDefault="00F52834" w:rsidP="00F52834">
      <w:pPr>
        <w:pStyle w:val="a3"/>
      </w:pPr>
      <w:r w:rsidRPr="006018CC">
        <w:rPr>
          <w:rtl/>
        </w:rPr>
        <w:t xml:space="preserve">تُستخدم نظرية الميزة التنافسية في مجموعة واسعة من التطبيقات العملية. الشركات التي تتبع استراتيجيات الميزة التنافسية عادة ما تركز على الابتكار المستمر والقدرة على التكيف مع التغيرات في السوق. على سبيل المثال، </w:t>
      </w:r>
      <w:r w:rsidRPr="006018CC">
        <w:rPr>
          <w:rStyle w:val="a7"/>
          <w:rtl/>
        </w:rPr>
        <w:t>شركة تسلا</w:t>
      </w:r>
      <w:r w:rsidRPr="006018CC">
        <w:rPr>
          <w:rtl/>
        </w:rPr>
        <w:t xml:space="preserve"> </w:t>
      </w:r>
      <w:r w:rsidRPr="006018CC">
        <w:t xml:space="preserve">(Tesla) </w:t>
      </w:r>
      <w:r w:rsidRPr="006018CC">
        <w:rPr>
          <w:rtl/>
        </w:rPr>
        <w:t xml:space="preserve">اعتمدت على التميز في التكنولوجيا والابتكار لتصبح رائدة في صناعة السيارات الكهربائية، في حين أن شركات مثل </w:t>
      </w:r>
      <w:r w:rsidRPr="006018CC">
        <w:rPr>
          <w:rStyle w:val="a7"/>
          <w:rtl/>
        </w:rPr>
        <w:t>إتش بي</w:t>
      </w:r>
      <w:r w:rsidRPr="006018CC">
        <w:rPr>
          <w:rtl/>
        </w:rPr>
        <w:t xml:space="preserve"> </w:t>
      </w:r>
      <w:r w:rsidRPr="006018CC">
        <w:t xml:space="preserve">(HP) </w:t>
      </w:r>
      <w:proofErr w:type="gramStart"/>
      <w:r w:rsidRPr="006018CC">
        <w:rPr>
          <w:rtl/>
        </w:rPr>
        <w:t xml:space="preserve">و </w:t>
      </w:r>
      <w:r w:rsidRPr="006018CC">
        <w:rPr>
          <w:rStyle w:val="a7"/>
          <w:rtl/>
        </w:rPr>
        <w:t>ديل</w:t>
      </w:r>
      <w:proofErr w:type="gramEnd"/>
      <w:r w:rsidRPr="006018CC">
        <w:rPr>
          <w:rtl/>
        </w:rPr>
        <w:t xml:space="preserve"> </w:t>
      </w:r>
      <w:r w:rsidRPr="006018CC">
        <w:t xml:space="preserve">(Dell) </w:t>
      </w:r>
      <w:r w:rsidRPr="006018CC">
        <w:rPr>
          <w:rtl/>
        </w:rPr>
        <w:t>استخدمت استراتيجيات القيادة في التكلفة</w:t>
      </w:r>
      <w:r w:rsidRPr="006018CC">
        <w:t>.</w:t>
      </w:r>
    </w:p>
    <w:p w14:paraId="7901349E" w14:textId="77777777" w:rsidR="00F52834" w:rsidRPr="006018CC" w:rsidRDefault="00F52834" w:rsidP="00F52834">
      <w:pPr>
        <w:pStyle w:val="a3"/>
      </w:pPr>
      <w:r w:rsidRPr="006018CC">
        <w:rPr>
          <w:rtl/>
        </w:rPr>
        <w:t>في القطاع الحكومي، يُمكن تطبيق نظرية الميزة التنافسية لفهم كيفية تمكين الدول من تحسين القدرة التنافسية لاقتصاداتها. على سبيل المثال، من خلال تحسين بيئة الأعمال، دعم الابتكار، وتطوير البنية التحتية</w:t>
      </w:r>
      <w:r w:rsidRPr="006018CC">
        <w:t>.</w:t>
      </w:r>
    </w:p>
    <w:p w14:paraId="3E4C88E9" w14:textId="77777777" w:rsidR="00F52834" w:rsidRPr="006018CC" w:rsidRDefault="00F52834" w:rsidP="00F52834">
      <w:pPr>
        <w:pStyle w:val="a3"/>
      </w:pPr>
      <w:r w:rsidRPr="006018CC">
        <w:rPr>
          <w:rtl/>
        </w:rPr>
        <w:t>تحليل دور الذكاء الاصطناعي في خلق وتعزيز الميزة التنافسية للمؤسسات</w:t>
      </w:r>
      <w:r w:rsidRPr="006018CC">
        <w:t>:</w:t>
      </w:r>
    </w:p>
    <w:p w14:paraId="192D21B2" w14:textId="77777777" w:rsidR="00F52834" w:rsidRPr="006018CC" w:rsidRDefault="00F52834" w:rsidP="00F52834">
      <w:pPr>
        <w:pStyle w:val="a3"/>
      </w:pPr>
      <w:r w:rsidRPr="006018CC">
        <w:rPr>
          <w:rtl/>
        </w:rPr>
        <w:t>في ضوء نظرية الميزة التنافسية، يشكل الذكاء الاصطناعي أداة رئيسية للمؤسسات في تعزيز قدرتها التنافسية عبر تحسين العمليات الداخلية والابتكار في المنتجات والخدمات. الذكاء الاصطناعي يتيح للمؤسسات تحليل البيانات بشكل أكثر كفاءة وفهم احتياجات السوق بشكل أعمق، مما يسمح لها بتقديم حلول أسرع وأكثر دقة لعملائها. هذا التميز في تقديم الخدمات أو المنتجات يعزز من موقع المؤسسة في السوق. بالنسبة للمشروعات المتوسطة والصغيرة، يمكن للذكاء الاصطناعي أن يقلل من التكاليف التشغيلية ويساهم في تسريع اتخاذ القرارات الاستراتيجية، مما يمكنها من التكيف بسرعة مع المتغيرات السوقية. بذلك، يمكن للمؤسسات الصغيرة والمتوسطة أن تخلق ميزة تنافسية قائمة على الابتكار في العمليات أو المنتجات باستخدام تقنيات الذكاء الاصطناعي</w:t>
      </w:r>
      <w:r w:rsidRPr="006018CC">
        <w:t>.</w:t>
      </w:r>
    </w:p>
    <w:p w14:paraId="73727557" w14:textId="77777777" w:rsidR="00F52834" w:rsidRPr="006018CC" w:rsidRDefault="00F52834" w:rsidP="00F52834">
      <w:pPr>
        <w:pStyle w:val="a3"/>
      </w:pPr>
      <w:r w:rsidRPr="006018CC">
        <w:rPr>
          <w:rtl/>
        </w:rPr>
        <w:t>دراسة كيفية استخدام الذكاء الاصطناعي لتحقيق التمايز في السوق</w:t>
      </w:r>
      <w:r w:rsidRPr="006018CC">
        <w:t>:</w:t>
      </w:r>
    </w:p>
    <w:p w14:paraId="090C75FB" w14:textId="77777777" w:rsidR="00F52834" w:rsidRPr="006018CC" w:rsidRDefault="00F52834" w:rsidP="00F52834">
      <w:pPr>
        <w:pStyle w:val="a3"/>
      </w:pPr>
      <w:r w:rsidRPr="006018CC">
        <w:rPr>
          <w:rtl/>
        </w:rPr>
        <w:t xml:space="preserve">الذكاء الاصطناعي يمكن أن يكون محركًا رئيسيًا لتحقيق التمايز في السوق من خلال تطبيقات مبتكرة تساعد المؤسسات على التفوق على منافسيها. وفقًا لنظرية الميزة التنافسية، التمايز في السوق يحدث عندما تستطيع المؤسسة تقديم قيمة مضافة للعملاء بطريقة لا يمكن تقليدها بسهولة من قبل المنافسين. باستخدام الذكاء الاصطناعي، يمكن للمشروعات المتوسطة </w:t>
      </w:r>
      <w:r w:rsidRPr="006018CC">
        <w:rPr>
          <w:rtl/>
        </w:rPr>
        <w:lastRenderedPageBreak/>
        <w:t>والصغيرة ابتكار حلول مخصصة بناءً على تحليل البيانات الضخمة وتعلم الآلات، مما يسمح لها بتقديم منتجات أو خدمات فريدة تلبي احتياجات العميل بشكل أفضل. هذا النوع من التمايز لا يعتمد فقط على تحسين المنتجات، بل يشمل أيضًا تحسين تجربة العملاء عبر تخصيص الخدمات وتحليل سلوكياتهم بشكل أكثر دقة. في هذا السياق، يعزز الذكاء الاصطناعي القدرة على الابتكار والتفاعل مع العملاء بطرق تميز المؤسسات عن منافسيها في الأسواق المتنافسة</w:t>
      </w:r>
      <w:r w:rsidRPr="006018CC">
        <w:t>.</w:t>
      </w:r>
    </w:p>
    <w:p w14:paraId="00071795" w14:textId="77777777" w:rsidR="00321A64" w:rsidRDefault="00321A64" w:rsidP="00F52834">
      <w:pPr>
        <w:spacing w:after="0"/>
        <w:ind w:firstLine="0"/>
        <w:rPr>
          <w:rtl/>
        </w:rPr>
      </w:pPr>
    </w:p>
    <w:p w14:paraId="15F64497" w14:textId="77777777" w:rsidR="00321A64" w:rsidRDefault="00321A64" w:rsidP="00F52834">
      <w:pPr>
        <w:spacing w:after="0"/>
        <w:ind w:firstLine="0"/>
        <w:rPr>
          <w:rtl/>
        </w:rPr>
      </w:pPr>
    </w:p>
    <w:p w14:paraId="023C8C5E" w14:textId="77777777" w:rsidR="00321A64" w:rsidRDefault="00321A64" w:rsidP="00F52834">
      <w:pPr>
        <w:spacing w:after="0"/>
        <w:ind w:firstLine="0"/>
        <w:rPr>
          <w:rtl/>
        </w:rPr>
      </w:pPr>
    </w:p>
    <w:p w14:paraId="3E16DCE6" w14:textId="23B21782" w:rsidR="00F52834" w:rsidRPr="006018CC" w:rsidRDefault="00F52834" w:rsidP="00F52834">
      <w:pPr>
        <w:spacing w:after="0"/>
        <w:ind w:firstLine="0"/>
      </w:pPr>
      <w:r w:rsidRPr="006018CC">
        <w:rPr>
          <w:rtl/>
        </w:rPr>
        <w:t>سابعا: نظرية القدرات الديناميكية (</w:t>
      </w:r>
      <w:r w:rsidRPr="006018CC">
        <w:t>Dynamic Capabilities Theory</w:t>
      </w:r>
      <w:r w:rsidRPr="006018CC">
        <w:rPr>
          <w:rtl/>
        </w:rPr>
        <w:t>)</w:t>
      </w:r>
    </w:p>
    <w:p w14:paraId="0E253EAC" w14:textId="77777777" w:rsidR="00F52834" w:rsidRPr="006018CC" w:rsidRDefault="00F52834" w:rsidP="00F52834">
      <w:pPr>
        <w:pStyle w:val="a3"/>
      </w:pPr>
      <w:r w:rsidRPr="006018CC">
        <w:rPr>
          <w:rStyle w:val="a7"/>
          <w:rtl/>
        </w:rPr>
        <w:t>نظرية القدرات الديناميكية</w:t>
      </w:r>
      <w:r w:rsidRPr="006018CC">
        <w:rPr>
          <w:rtl/>
        </w:rPr>
        <w:t xml:space="preserve"> </w:t>
      </w:r>
      <w:r w:rsidRPr="006018CC">
        <w:t xml:space="preserve">(Dynamic Capabilities Theory) </w:t>
      </w:r>
      <w:r w:rsidRPr="006018CC">
        <w:rPr>
          <w:rtl/>
        </w:rPr>
        <w:t xml:space="preserve">هي نظرية اقتصادية تهتم بكيفية قدرة الشركات على التكيف مع التغيرات البيئية السريعة والمتسارعة في الأسواق من خلال تطوير وتحسين قدراتها الداخلية. تهدف النظرية إلى فهم كيفية استجابة الشركات للتحديات والفرص الجديدة، وكيفية تحقيق التميز التنافسي عن طريق تعديل وتطوير القدرات الأساسية على المدى الطويل. تم تطوير هذه النظرية بشكل رئيسي من قبل </w:t>
      </w:r>
      <w:r w:rsidRPr="006018CC">
        <w:rPr>
          <w:rStyle w:val="a7"/>
          <w:rtl/>
        </w:rPr>
        <w:t xml:space="preserve">دافيد </w:t>
      </w:r>
      <w:proofErr w:type="spellStart"/>
      <w:r w:rsidRPr="006018CC">
        <w:rPr>
          <w:rStyle w:val="a7"/>
          <w:rtl/>
        </w:rPr>
        <w:t>تيسمان</w:t>
      </w:r>
      <w:proofErr w:type="spellEnd"/>
      <w:r w:rsidRPr="006018CC">
        <w:rPr>
          <w:rtl/>
        </w:rPr>
        <w:t xml:space="preserve"> </w:t>
      </w:r>
      <w:r w:rsidRPr="006018CC">
        <w:t xml:space="preserve">(David Teece) </w:t>
      </w:r>
      <w:r w:rsidRPr="006018CC">
        <w:rPr>
          <w:rtl/>
        </w:rPr>
        <w:t>في بداية التسعينيات</w:t>
      </w:r>
      <w:r w:rsidRPr="006018CC">
        <w:t>.</w:t>
      </w:r>
    </w:p>
    <w:p w14:paraId="45E1FB2A" w14:textId="77777777" w:rsidR="00F52834" w:rsidRPr="006018CC" w:rsidRDefault="00F52834" w:rsidP="00603F3B">
      <w:r w:rsidRPr="006018CC">
        <w:rPr>
          <w:rStyle w:val="a7"/>
          <w:rtl/>
        </w:rPr>
        <w:t>المفاهيم الرئيسية في نظرية القدرات الديناميكية</w:t>
      </w:r>
    </w:p>
    <w:p w14:paraId="096D5A52" w14:textId="77777777" w:rsidR="00F52834" w:rsidRPr="006018CC" w:rsidRDefault="00F52834" w:rsidP="00F52834">
      <w:pPr>
        <w:pStyle w:val="a3"/>
      </w:pPr>
      <w:r w:rsidRPr="006018CC">
        <w:rPr>
          <w:rtl/>
        </w:rPr>
        <w:t xml:space="preserve">نظرية القدرات الديناميكية تتعامل مع مفهوم </w:t>
      </w:r>
      <w:r w:rsidRPr="006018CC">
        <w:rPr>
          <w:rStyle w:val="a7"/>
          <w:rtl/>
        </w:rPr>
        <w:t>القدرات</w:t>
      </w:r>
      <w:r w:rsidRPr="006018CC">
        <w:rPr>
          <w:rtl/>
        </w:rPr>
        <w:t xml:space="preserve"> التي تمتلكها الشركات، وهي مجموعة من المهارات والمعرفة والموارد التي تسمح للشركة بتنفيذ الأنشطة الأساسية</w:t>
      </w:r>
      <w:r w:rsidRPr="006018CC">
        <w:t xml:space="preserve"> (Teece, Pisano &amp; </w:t>
      </w:r>
      <w:proofErr w:type="spellStart"/>
      <w:r w:rsidRPr="006018CC">
        <w:t>Shuen</w:t>
      </w:r>
      <w:proofErr w:type="spellEnd"/>
      <w:r w:rsidRPr="006018CC">
        <w:t xml:space="preserve">, 1997). </w:t>
      </w:r>
      <w:r w:rsidRPr="006018CC">
        <w:rPr>
          <w:rtl/>
        </w:rPr>
        <w:t>ومع ذلك، فإن ما يميز نظرية القدرات الديناميكية هو تركيزها على كيفية تكييف وتطوير هذه القدرات بمرور الوقت لمواكبة التغيرات السريعة في بيئة الأعمال</w:t>
      </w:r>
      <w:r w:rsidRPr="006018CC">
        <w:t>.</w:t>
      </w:r>
    </w:p>
    <w:p w14:paraId="432EAA05" w14:textId="77777777" w:rsidR="00F52834" w:rsidRPr="006018CC" w:rsidRDefault="00F52834" w:rsidP="00F52834">
      <w:pPr>
        <w:pStyle w:val="a3"/>
      </w:pPr>
      <w:r w:rsidRPr="006018CC">
        <w:rPr>
          <w:rtl/>
        </w:rPr>
        <w:t>القدرات الديناميكية تشير إلى "القدرة على تكامل وتكييف وإعادة تكوين المهارات الداخلية والخارجية من أجل مواجهة التغيرات في بيئة العمل</w:t>
      </w:r>
      <w:r w:rsidRPr="006018CC">
        <w:t xml:space="preserve">" (Teece, 2007). </w:t>
      </w:r>
      <w:r w:rsidRPr="006018CC">
        <w:rPr>
          <w:rtl/>
        </w:rPr>
        <w:t>يشمل هذا التكيف مجموعة من الأنشطة مثل الابتكار، والتعلم التنظيمي، وإعادة التنظيم، والتفاعل مع التغيرات التكنولوجية والسوقية</w:t>
      </w:r>
      <w:r w:rsidRPr="006018CC">
        <w:t>.</w:t>
      </w:r>
    </w:p>
    <w:p w14:paraId="703D5E6D" w14:textId="77777777" w:rsidR="00F52834" w:rsidRPr="006018CC" w:rsidRDefault="00F52834" w:rsidP="00603F3B">
      <w:r w:rsidRPr="006018CC">
        <w:rPr>
          <w:rStyle w:val="a7"/>
          <w:rtl/>
        </w:rPr>
        <w:t>الركائز الأساسية للقدرات الديناميكية</w:t>
      </w:r>
    </w:p>
    <w:p w14:paraId="7D5C68EA" w14:textId="77777777" w:rsidR="00F52834" w:rsidRPr="006018CC" w:rsidRDefault="00F52834" w:rsidP="00F52834">
      <w:pPr>
        <w:pStyle w:val="a3"/>
        <w:numPr>
          <w:ilvl w:val="0"/>
          <w:numId w:val="14"/>
        </w:numPr>
      </w:pPr>
      <w:r w:rsidRPr="006018CC">
        <w:rPr>
          <w:rStyle w:val="a7"/>
          <w:rtl/>
        </w:rPr>
        <w:t>اكتشاف الفرص</w:t>
      </w:r>
      <w:r w:rsidRPr="006018CC">
        <w:rPr>
          <w:rStyle w:val="a7"/>
        </w:rPr>
        <w:t xml:space="preserve"> (Sensing Opportunities)</w:t>
      </w:r>
      <w:r w:rsidRPr="006018CC">
        <w:t xml:space="preserve">: </w:t>
      </w:r>
      <w:r w:rsidRPr="006018CC">
        <w:rPr>
          <w:rtl/>
        </w:rPr>
        <w:t>تمثل القدرة على اكتشاف الفرص والتهديدات في البيئة الخارجية. يتطلب ذلك قدرة على المراقبة المستمرة للأسواق، التنبؤ بالتغيرات التكنولوجية أو السلوكية للعملاء، وفهم الاتجاهات العالمية</w:t>
      </w:r>
      <w:r w:rsidRPr="006018CC">
        <w:t>.</w:t>
      </w:r>
    </w:p>
    <w:p w14:paraId="5D31D9CF" w14:textId="77777777" w:rsidR="00F52834" w:rsidRPr="006018CC" w:rsidRDefault="00F52834" w:rsidP="00F52834">
      <w:pPr>
        <w:pStyle w:val="a3"/>
        <w:numPr>
          <w:ilvl w:val="0"/>
          <w:numId w:val="14"/>
        </w:numPr>
      </w:pPr>
      <w:r w:rsidRPr="006018CC">
        <w:rPr>
          <w:rStyle w:val="a7"/>
          <w:rtl/>
        </w:rPr>
        <w:lastRenderedPageBreak/>
        <w:t>استجابة الفرص</w:t>
      </w:r>
      <w:r w:rsidRPr="006018CC">
        <w:rPr>
          <w:rStyle w:val="a7"/>
        </w:rPr>
        <w:t xml:space="preserve"> (Seizing Opportunities)</w:t>
      </w:r>
      <w:r w:rsidRPr="006018CC">
        <w:t xml:space="preserve">: </w:t>
      </w:r>
      <w:r w:rsidRPr="006018CC">
        <w:rPr>
          <w:rtl/>
        </w:rPr>
        <w:t>بعد اكتشاف الفرص، تتضمن القدرات الديناميكية القدرة على التفاعل بسرعة مع هذه الفرص عبر تطوير استراتيجيات ومنتجات جديدة، أو تعديل استراتيجيات العمل الحالية لتلبية احتياجات السوق المتغيرة</w:t>
      </w:r>
      <w:r w:rsidRPr="006018CC">
        <w:t>.</w:t>
      </w:r>
    </w:p>
    <w:p w14:paraId="5C7DBD54" w14:textId="77777777" w:rsidR="00F52834" w:rsidRPr="006018CC" w:rsidRDefault="00F52834" w:rsidP="00F52834">
      <w:pPr>
        <w:pStyle w:val="a3"/>
        <w:numPr>
          <w:ilvl w:val="0"/>
          <w:numId w:val="14"/>
        </w:numPr>
      </w:pPr>
      <w:r w:rsidRPr="006018CC">
        <w:rPr>
          <w:rStyle w:val="a7"/>
          <w:rtl/>
        </w:rPr>
        <w:t>تحويل الهيكل التنظيمي</w:t>
      </w:r>
      <w:r w:rsidRPr="006018CC">
        <w:rPr>
          <w:rStyle w:val="a7"/>
        </w:rPr>
        <w:t xml:space="preserve"> (Transforming Organizational Structures)</w:t>
      </w:r>
      <w:r w:rsidRPr="006018CC">
        <w:t xml:space="preserve">: </w:t>
      </w:r>
      <w:r w:rsidRPr="006018CC">
        <w:rPr>
          <w:rtl/>
        </w:rPr>
        <w:t>يشمل هذا إعادة تصميم الهيكل التنظيمي والعمليات الداخلية للشركة لتلبية التغيرات في البيئة. يتطلب هذا قدرة على الابتكار والتحول الاستراتيجي في طريقة العمل داخل المؤسسة</w:t>
      </w:r>
      <w:r w:rsidRPr="006018CC">
        <w:t>.</w:t>
      </w:r>
    </w:p>
    <w:p w14:paraId="5ED52544" w14:textId="77777777" w:rsidR="00F52834" w:rsidRPr="006018CC" w:rsidRDefault="00F52834" w:rsidP="00603F3B">
      <w:r w:rsidRPr="006018CC">
        <w:rPr>
          <w:rStyle w:val="a7"/>
          <w:rtl/>
        </w:rPr>
        <w:t>أهمية القدرات الديناميكية</w:t>
      </w:r>
    </w:p>
    <w:p w14:paraId="3203952B" w14:textId="77777777" w:rsidR="00F52834" w:rsidRPr="006018CC" w:rsidRDefault="00F52834" w:rsidP="00F52834">
      <w:pPr>
        <w:pStyle w:val="a3"/>
        <w:numPr>
          <w:ilvl w:val="0"/>
          <w:numId w:val="15"/>
        </w:numPr>
      </w:pPr>
      <w:r w:rsidRPr="006018CC">
        <w:rPr>
          <w:rStyle w:val="a7"/>
          <w:rtl/>
        </w:rPr>
        <w:t>التكيف مع التغيرات السريعة</w:t>
      </w:r>
      <w:r w:rsidRPr="006018CC">
        <w:t xml:space="preserve">: </w:t>
      </w:r>
      <w:r w:rsidRPr="006018CC">
        <w:rPr>
          <w:rtl/>
        </w:rPr>
        <w:t>إحدى السمات البارزة في بيئة الأعمال الحديثة هي التغيرات السريعة، التي تشمل التغيرات التكنولوجية، الاقتصادية، والاجتماعية. الشركات التي تمتلك قدرات ديناميكية قوية تكون أكثر قدرة على الاستجابة لهذه التغيرات بفعالية</w:t>
      </w:r>
      <w:r w:rsidRPr="006018CC">
        <w:t>.</w:t>
      </w:r>
    </w:p>
    <w:p w14:paraId="4E7E68F0" w14:textId="77777777" w:rsidR="00F52834" w:rsidRPr="006018CC" w:rsidRDefault="00F52834" w:rsidP="00F52834">
      <w:pPr>
        <w:pStyle w:val="a3"/>
        <w:numPr>
          <w:ilvl w:val="0"/>
          <w:numId w:val="15"/>
        </w:numPr>
      </w:pPr>
      <w:r w:rsidRPr="006018CC">
        <w:rPr>
          <w:rStyle w:val="a7"/>
          <w:rtl/>
        </w:rPr>
        <w:t>الابتكار المستدام</w:t>
      </w:r>
      <w:r w:rsidRPr="006018CC">
        <w:t xml:space="preserve">: </w:t>
      </w:r>
      <w:r w:rsidRPr="006018CC">
        <w:rPr>
          <w:rtl/>
        </w:rPr>
        <w:t>القدرات الديناميكية تتيح للشركات القدرة على الابتكار المستمر. الشركات القادرة على تطوير هذه القدرات تجد نفسها قادرة على تحقيق ميزة تنافسية مستدامة، حيث لا يعتمد النجاح فقط على القدرات الحالية ولكن على القدرة على تحسينها</w:t>
      </w:r>
      <w:r w:rsidRPr="006018CC">
        <w:t>.</w:t>
      </w:r>
    </w:p>
    <w:p w14:paraId="628CA29E" w14:textId="77777777" w:rsidR="00F52834" w:rsidRPr="006018CC" w:rsidRDefault="00F52834" w:rsidP="00F52834">
      <w:pPr>
        <w:pStyle w:val="a3"/>
        <w:numPr>
          <w:ilvl w:val="0"/>
          <w:numId w:val="15"/>
        </w:numPr>
      </w:pPr>
      <w:r w:rsidRPr="006018CC">
        <w:rPr>
          <w:rStyle w:val="a7"/>
          <w:rtl/>
        </w:rPr>
        <w:t>توليد التميز التنافسي</w:t>
      </w:r>
      <w:r w:rsidRPr="006018CC">
        <w:t xml:space="preserve">: </w:t>
      </w:r>
      <w:r w:rsidRPr="006018CC">
        <w:rPr>
          <w:rtl/>
        </w:rPr>
        <w:t>الشركات التي تبني وتحافظ على قدرات ديناميكية تتمكن من تحويل المعرفة والموارد المتاحة لها إلى مزايا تنافسية متميزة، مما يساعدها على التميز في السوق</w:t>
      </w:r>
      <w:r w:rsidRPr="006018CC">
        <w:t>.</w:t>
      </w:r>
    </w:p>
    <w:p w14:paraId="484762A9" w14:textId="77777777" w:rsidR="00F52834" w:rsidRPr="006018CC" w:rsidRDefault="00F52834" w:rsidP="00603F3B">
      <w:r w:rsidRPr="006018CC">
        <w:rPr>
          <w:rStyle w:val="a7"/>
          <w:rtl/>
        </w:rPr>
        <w:t>مزايا القدرات الديناميكية على المدى الطويل</w:t>
      </w:r>
    </w:p>
    <w:p w14:paraId="75A0D05F" w14:textId="77777777" w:rsidR="00F52834" w:rsidRPr="006018CC" w:rsidRDefault="00F52834" w:rsidP="00F52834">
      <w:pPr>
        <w:pStyle w:val="a3"/>
        <w:numPr>
          <w:ilvl w:val="0"/>
          <w:numId w:val="16"/>
        </w:numPr>
      </w:pPr>
      <w:r w:rsidRPr="006018CC">
        <w:rPr>
          <w:rStyle w:val="a7"/>
          <w:rtl/>
        </w:rPr>
        <w:t>إعادة بناء القدرة التنافسية</w:t>
      </w:r>
      <w:r w:rsidRPr="006018CC">
        <w:t xml:space="preserve">: </w:t>
      </w:r>
      <w:r w:rsidRPr="006018CC">
        <w:rPr>
          <w:rtl/>
        </w:rPr>
        <w:t>في عالم سريع التغير، يمكن أن تصبح القدرات الديناميكية هي العنصر الحاسم في إعادة بناء القدرة التنافسية على المدى الطويل. الشركات التي تطور وتعيد تكوين قدراتها بمرور الوقت ستظل قادرة على المنافسة في بيئات غير مستقرة</w:t>
      </w:r>
      <w:r w:rsidRPr="006018CC">
        <w:t>.</w:t>
      </w:r>
    </w:p>
    <w:p w14:paraId="3566CAB1" w14:textId="77777777" w:rsidR="00F52834" w:rsidRPr="006018CC" w:rsidRDefault="00F52834" w:rsidP="00F52834">
      <w:pPr>
        <w:pStyle w:val="a3"/>
        <w:numPr>
          <w:ilvl w:val="0"/>
          <w:numId w:val="16"/>
        </w:numPr>
      </w:pPr>
      <w:r w:rsidRPr="006018CC">
        <w:rPr>
          <w:rStyle w:val="a7"/>
          <w:rtl/>
        </w:rPr>
        <w:t>التعلم التنظيمي المستمر</w:t>
      </w:r>
      <w:r w:rsidRPr="006018CC">
        <w:t xml:space="preserve">: </w:t>
      </w:r>
      <w:r w:rsidRPr="006018CC">
        <w:rPr>
          <w:rtl/>
        </w:rPr>
        <w:t xml:space="preserve">تمتد القدرات الديناميكية إلى </w:t>
      </w:r>
      <w:r w:rsidRPr="006018CC">
        <w:rPr>
          <w:rStyle w:val="a7"/>
          <w:rtl/>
        </w:rPr>
        <w:t>التعلم التنظيمي</w:t>
      </w:r>
      <w:r w:rsidRPr="006018CC">
        <w:rPr>
          <w:rtl/>
        </w:rPr>
        <w:t>، حيث يكون التعلم المستمر داخل الشركة جزءًا أساسيًا من الحفاظ على القدرة التنافسية. من خلال التعلم المستمر، تقوم الشركات بتطوير قدراتها بشكل يسمح لها بتجاوز المنافسة</w:t>
      </w:r>
      <w:r w:rsidRPr="006018CC">
        <w:t>.</w:t>
      </w:r>
    </w:p>
    <w:p w14:paraId="437ABDA5" w14:textId="77777777" w:rsidR="00F52834" w:rsidRPr="006018CC" w:rsidRDefault="00F52834" w:rsidP="00603F3B">
      <w:r w:rsidRPr="006018CC">
        <w:rPr>
          <w:rStyle w:val="a7"/>
          <w:rtl/>
        </w:rPr>
        <w:t>التطبيقات العملية في الحياة العملية</w:t>
      </w:r>
    </w:p>
    <w:p w14:paraId="56CA3882" w14:textId="77777777" w:rsidR="00F52834" w:rsidRPr="006018CC" w:rsidRDefault="00F52834" w:rsidP="00F52834">
      <w:pPr>
        <w:pStyle w:val="a3"/>
        <w:numPr>
          <w:ilvl w:val="0"/>
          <w:numId w:val="17"/>
        </w:numPr>
      </w:pPr>
      <w:r w:rsidRPr="006018CC">
        <w:rPr>
          <w:rStyle w:val="a7"/>
          <w:rtl/>
        </w:rPr>
        <w:t>إدارة الابتكار</w:t>
      </w:r>
      <w:r w:rsidRPr="006018CC">
        <w:t xml:space="preserve">: </w:t>
      </w:r>
      <w:r w:rsidRPr="006018CC">
        <w:rPr>
          <w:rtl/>
        </w:rPr>
        <w:t xml:space="preserve">الشركات في قطاعات مثل </w:t>
      </w:r>
      <w:r w:rsidRPr="006018CC">
        <w:rPr>
          <w:rStyle w:val="a7"/>
          <w:rtl/>
        </w:rPr>
        <w:t>التكنولوجيا</w:t>
      </w:r>
      <w:r w:rsidRPr="006018CC">
        <w:rPr>
          <w:rtl/>
        </w:rPr>
        <w:t xml:space="preserve"> و</w:t>
      </w:r>
      <w:r w:rsidRPr="006018CC">
        <w:rPr>
          <w:rStyle w:val="a7"/>
          <w:rtl/>
        </w:rPr>
        <w:t>المنتجات الاستهلاكية</w:t>
      </w:r>
      <w:r w:rsidRPr="006018CC">
        <w:rPr>
          <w:rtl/>
        </w:rPr>
        <w:t xml:space="preserve"> تستخدم القدرات الديناميكية لتطوير منتجات جديدة وتبني تقنيات جديدة. شركات مثل </w:t>
      </w:r>
      <w:r w:rsidRPr="006018CC">
        <w:rPr>
          <w:rStyle w:val="a7"/>
          <w:rtl/>
        </w:rPr>
        <w:t>أبل</w:t>
      </w:r>
      <w:r w:rsidRPr="006018CC">
        <w:rPr>
          <w:rtl/>
        </w:rPr>
        <w:t xml:space="preserve"> </w:t>
      </w:r>
      <w:proofErr w:type="gramStart"/>
      <w:r w:rsidRPr="006018CC">
        <w:rPr>
          <w:rtl/>
        </w:rPr>
        <w:t xml:space="preserve">و </w:t>
      </w:r>
      <w:r w:rsidRPr="006018CC">
        <w:rPr>
          <w:rStyle w:val="a7"/>
          <w:rtl/>
        </w:rPr>
        <w:t>جوجل</w:t>
      </w:r>
      <w:proofErr w:type="gramEnd"/>
      <w:r w:rsidRPr="006018CC">
        <w:rPr>
          <w:rtl/>
        </w:rPr>
        <w:t xml:space="preserve"> تمثل أمثلة ناجحة على تطبيق هذه النظرية من خلال قدرتها على الاستجابة للتغيرات التكنولوجية واحتياجات العملاء</w:t>
      </w:r>
      <w:r w:rsidRPr="006018CC">
        <w:t>.</w:t>
      </w:r>
    </w:p>
    <w:p w14:paraId="26E6BDB4" w14:textId="77777777" w:rsidR="00F52834" w:rsidRPr="006018CC" w:rsidRDefault="00F52834" w:rsidP="00F52834">
      <w:pPr>
        <w:pStyle w:val="a3"/>
        <w:numPr>
          <w:ilvl w:val="0"/>
          <w:numId w:val="17"/>
        </w:numPr>
      </w:pPr>
      <w:r w:rsidRPr="006018CC">
        <w:rPr>
          <w:rStyle w:val="a7"/>
          <w:rtl/>
        </w:rPr>
        <w:lastRenderedPageBreak/>
        <w:t>إعادة الهيكلة التنظيمية</w:t>
      </w:r>
      <w:r w:rsidRPr="006018CC">
        <w:t xml:space="preserve">: </w:t>
      </w:r>
      <w:r w:rsidRPr="006018CC">
        <w:rPr>
          <w:rtl/>
        </w:rPr>
        <w:t xml:space="preserve">في العديد من الشركات الكبيرة مثل </w:t>
      </w:r>
      <w:r w:rsidRPr="006018CC">
        <w:rPr>
          <w:rStyle w:val="a7"/>
          <w:rtl/>
        </w:rPr>
        <w:t>جنرال إلكتريك</w:t>
      </w:r>
      <w:r w:rsidRPr="006018CC">
        <w:rPr>
          <w:rtl/>
        </w:rPr>
        <w:t xml:space="preserve"> </w:t>
      </w:r>
      <w:r w:rsidRPr="006018CC">
        <w:t>(GE)</w:t>
      </w:r>
      <w:r w:rsidRPr="006018CC">
        <w:rPr>
          <w:rtl/>
        </w:rPr>
        <w:t>، يتم تطبيق القدرات الديناميكية من خلال إعادة هيكلة التنظيم والعمليات الداخلية بشكل دوري لتتناسب مع التحديات الاقتصادية أو السوقية الجديدة</w:t>
      </w:r>
      <w:r w:rsidRPr="006018CC">
        <w:t>.</w:t>
      </w:r>
    </w:p>
    <w:p w14:paraId="7D085A22" w14:textId="77777777" w:rsidR="00F52834" w:rsidRPr="006018CC" w:rsidRDefault="00F52834" w:rsidP="00603F3B">
      <w:r w:rsidRPr="006018CC">
        <w:rPr>
          <w:rStyle w:val="a7"/>
          <w:rtl/>
        </w:rPr>
        <w:t>التحديات في تطبيق القدرات الديناميكية</w:t>
      </w:r>
    </w:p>
    <w:p w14:paraId="4476CFF3" w14:textId="77777777" w:rsidR="00F52834" w:rsidRPr="006018CC" w:rsidRDefault="00F52834" w:rsidP="00F52834">
      <w:pPr>
        <w:pStyle w:val="a3"/>
      </w:pPr>
      <w:r w:rsidRPr="006018CC">
        <w:rPr>
          <w:rtl/>
        </w:rPr>
        <w:t>على الرغم من فوائدها، تواجه الشركات تحديات كبيرة في تطبيق القدرات الديناميكية بنجاح. من أبرز هذه التحديات</w:t>
      </w:r>
      <w:r w:rsidRPr="006018CC">
        <w:t>:</w:t>
      </w:r>
    </w:p>
    <w:p w14:paraId="1D147206" w14:textId="77777777" w:rsidR="00F52834" w:rsidRPr="006018CC" w:rsidRDefault="00F52834" w:rsidP="00F52834">
      <w:pPr>
        <w:pStyle w:val="a3"/>
        <w:numPr>
          <w:ilvl w:val="0"/>
          <w:numId w:val="18"/>
        </w:numPr>
      </w:pPr>
      <w:r w:rsidRPr="006018CC">
        <w:rPr>
          <w:rStyle w:val="a7"/>
          <w:rtl/>
        </w:rPr>
        <w:t>التكلفة العالية</w:t>
      </w:r>
      <w:r w:rsidRPr="006018CC">
        <w:t xml:space="preserve">: </w:t>
      </w:r>
      <w:r w:rsidRPr="006018CC">
        <w:rPr>
          <w:rtl/>
        </w:rPr>
        <w:t>تطوير القدرات الديناميكية يتطلب استثمارًا كبيرًا في الموارد المالية والبشرية، حيث يشمل ذلك التدريب المستمر، البحث والتطوير، وإعادة التنظيم المستمر</w:t>
      </w:r>
      <w:r w:rsidRPr="006018CC">
        <w:t>.</w:t>
      </w:r>
    </w:p>
    <w:p w14:paraId="3467145E" w14:textId="77777777" w:rsidR="00F52834" w:rsidRPr="006018CC" w:rsidRDefault="00F52834" w:rsidP="00F52834">
      <w:pPr>
        <w:pStyle w:val="a3"/>
        <w:numPr>
          <w:ilvl w:val="0"/>
          <w:numId w:val="18"/>
        </w:numPr>
      </w:pPr>
      <w:r w:rsidRPr="006018CC">
        <w:rPr>
          <w:rStyle w:val="a7"/>
          <w:rtl/>
        </w:rPr>
        <w:t>المقاومة الداخلية للتغيير</w:t>
      </w:r>
      <w:r w:rsidRPr="006018CC">
        <w:t xml:space="preserve">: </w:t>
      </w:r>
      <w:r w:rsidRPr="006018CC">
        <w:rPr>
          <w:rtl/>
        </w:rPr>
        <w:t>داخل الشركات الكبيرة، قد يكون من الصعب تغيير الهيكل التنظيمي أو العمليات المعتمدة، خاصة عندما يكون الموظفون عالقين في طرق العمل التقليدية</w:t>
      </w:r>
      <w:r w:rsidRPr="006018CC">
        <w:t>.</w:t>
      </w:r>
    </w:p>
    <w:p w14:paraId="718518DC" w14:textId="77777777" w:rsidR="00F52834" w:rsidRPr="006018CC" w:rsidRDefault="00F52834" w:rsidP="00F52834">
      <w:pPr>
        <w:pStyle w:val="a3"/>
      </w:pPr>
      <w:r w:rsidRPr="006018CC">
        <w:rPr>
          <w:rtl/>
        </w:rPr>
        <w:t>دراسة كيفية تعزيز الذكاء الاصطناعي لقدرة المؤسسات على التكيف مع التغيرات البيئية</w:t>
      </w:r>
      <w:r w:rsidRPr="006018CC">
        <w:t>:</w:t>
      </w:r>
    </w:p>
    <w:p w14:paraId="1A17B167" w14:textId="77777777" w:rsidR="00F52834" w:rsidRPr="006018CC" w:rsidRDefault="00F52834" w:rsidP="00F52834">
      <w:pPr>
        <w:pStyle w:val="a3"/>
      </w:pPr>
      <w:r w:rsidRPr="006018CC">
        <w:rPr>
          <w:rtl/>
        </w:rPr>
        <w:t xml:space="preserve">في ضوء نظرية القدرات الديناميكية، يمكن للذكاء الاصطناعي أن يكون عنصرًا محوريًا في تعزيز قدرة المؤسسات على التكيف مع التغيرات السريعة في البيئة الخارجية. الذكاء الاصطناعي يمكن أن يساعد المؤسسات في "اكتشاف الفرص" و "استشعار التهديدات" من خلال تقنيات تحليل البيانات الكبيرة والتعلم الآلي، التي تتيح للمؤسسات فهم الاتجاهات العالمية والتغيرات التكنولوجية والسلوكية للعملاء بشكل أسرع وأكثر دقة. على سبيل المثال، يمكن للذكاء الاصطناعي أن يحلل البيانات المتاحة بسرعة لاكتشاف احتياجات السوق غير </w:t>
      </w:r>
      <w:proofErr w:type="spellStart"/>
      <w:r w:rsidRPr="006018CC">
        <w:rPr>
          <w:rtl/>
        </w:rPr>
        <w:t>الملباة</w:t>
      </w:r>
      <w:proofErr w:type="spellEnd"/>
      <w:r w:rsidRPr="006018CC">
        <w:rPr>
          <w:rtl/>
        </w:rPr>
        <w:t xml:space="preserve"> أو التغيرات في سلوك العملاء، مما يمنح الشركات القدرة على التفاعل بسرعة مع هذه الفرص. بالنسبة للمشروعات المتوسطة والصغيرة، يتيح الذكاء الاصطناعي لها أن تكون أكثر مرونة في مواجهة التغيرات البيئية، ويعزز من قدرتها على تطوير استراتيجيات جديدة أو تعديل العمليات الحالية بما يتوافق مع الظروف المتغيرة</w:t>
      </w:r>
      <w:r w:rsidRPr="006018CC">
        <w:t>.</w:t>
      </w:r>
    </w:p>
    <w:p w14:paraId="19FD6B1A" w14:textId="77777777" w:rsidR="00F52834" w:rsidRPr="006018CC" w:rsidRDefault="00F52834" w:rsidP="00F52834">
      <w:pPr>
        <w:pStyle w:val="a3"/>
      </w:pPr>
      <w:r w:rsidRPr="006018CC">
        <w:rPr>
          <w:rtl/>
        </w:rPr>
        <w:t>تحليل دور الذكاء الاصطناعي في تطوير وتجديد القدرات التنظيمية</w:t>
      </w:r>
      <w:r w:rsidRPr="006018CC">
        <w:t>:</w:t>
      </w:r>
    </w:p>
    <w:p w14:paraId="2A027E24" w14:textId="77777777" w:rsidR="00F52834" w:rsidRPr="006018CC" w:rsidRDefault="00F52834" w:rsidP="00F52834">
      <w:pPr>
        <w:pStyle w:val="a3"/>
      </w:pPr>
      <w:r w:rsidRPr="006018CC">
        <w:rPr>
          <w:rtl/>
        </w:rPr>
        <w:t xml:space="preserve">يعتبر الذكاء الاصطناعي أحد الأدوات الرئيسية التي تساهم في "تحويل الهيكل التنظيمي" داخل المؤسسات، حيث يمكنه تحسين العمليات التنظيمية من خلال الأتمتة والتحسين المستمر. الذكاء الاصطناعي يسمح بتطوير القدرات التنظيمية عبر تحليل البيانات وتحسين اتخاذ القرارات في الوقت الفعلي. كما يساهم في "استجابة الفرص" من خلال تمكين الشركات من الابتكار وإعادة تصميم استراتيجياتها بسرعة أكبر. بالنسبة للمشروعات المتوسطة والصغيرة، يمكن للذكاء الاصطناعي أن يعزز من قدرتها على التكيف مع التحديات الجديدة، سواء من خلال تحسين إدارة الموارد أو تسريع عملية تطوير المنتجات والخدمات. من خلال استخدام الذكاء الاصطناعي </w:t>
      </w:r>
      <w:r w:rsidRPr="006018CC">
        <w:rPr>
          <w:rtl/>
        </w:rPr>
        <w:lastRenderedPageBreak/>
        <w:t>في العمليات الداخلية، يمكن للمشروعات المتوسطة والصغيرة تجديد قدراتها التنظيمية بشكل مستمر، مما يعزز من قدرتها على التنافس والابتكار في السوق</w:t>
      </w:r>
      <w:r w:rsidRPr="006018CC">
        <w:t>.</w:t>
      </w:r>
    </w:p>
    <w:p w14:paraId="3CADFFAC" w14:textId="77777777" w:rsidR="00F52834" w:rsidRPr="006018CC" w:rsidRDefault="00F52834" w:rsidP="00F52834">
      <w:pPr>
        <w:pStyle w:val="a3"/>
      </w:pPr>
      <w:r w:rsidRPr="006018CC">
        <w:rPr>
          <w:rtl/>
        </w:rPr>
        <w:t>أثر الذكاء الاصطناعي على الابتكار والمنافسة في المشروعات المتوسطة والصغيرة</w:t>
      </w:r>
      <w:r w:rsidRPr="006018CC">
        <w:t>:</w:t>
      </w:r>
    </w:p>
    <w:p w14:paraId="7A364618" w14:textId="77777777" w:rsidR="00F52834" w:rsidRPr="006018CC" w:rsidRDefault="00F52834" w:rsidP="00F52834">
      <w:pPr>
        <w:pStyle w:val="a3"/>
      </w:pPr>
      <w:r w:rsidRPr="006018CC">
        <w:rPr>
          <w:rtl/>
        </w:rPr>
        <w:t>الذكاء الاصطناعي يعزز من الابتكار والتنافسية في المشروعات المتوسطة والصغيرة عن طريق تحسين قدرتها على التكيف مع التغيرات البيئية وتطوير الهيكل التنظيمي. هذه المشروعات تستفيد من القدرة على اكتشاف الفرص والتفاعل مع التغيرات السوقية بشكل أسرع مما يعزز من قدرتها على الابتكار المستمر. باستخدام الذكاء الاصطناعي، تستطيع هذه المشروعات تكييف قدراتها مع التغيرات السريعة في السوق، مما يسمح لها بتطوير منتجات وخدمات جديدة تلبي احتياجات العملاء بشكل أفضل. كما يسهم في تحسين الكفاءة وتقليل التكاليف التشغيلية، مما يمكنها من التنافس بفعالية أكبر مع الشركات الكبيرة، وبالتالي خلق مزايا تنافسية مستدامة</w:t>
      </w:r>
      <w:r w:rsidRPr="006018CC">
        <w:t>.</w:t>
      </w:r>
    </w:p>
    <w:p w14:paraId="0F2BF40B" w14:textId="77777777" w:rsidR="00F52834" w:rsidRPr="006018CC" w:rsidRDefault="00F52834" w:rsidP="00F52834">
      <w:pPr>
        <w:spacing w:after="0"/>
        <w:ind w:firstLine="0"/>
      </w:pPr>
      <w:r w:rsidRPr="006018CC">
        <w:rPr>
          <w:rtl/>
        </w:rPr>
        <w:t>ثامنا: نظرية التعلم التنظيمي (</w:t>
      </w:r>
      <w:r w:rsidRPr="006018CC">
        <w:t>Organizational Learning Theory</w:t>
      </w:r>
      <w:r w:rsidRPr="006018CC">
        <w:rPr>
          <w:rtl/>
        </w:rPr>
        <w:t>)</w:t>
      </w:r>
    </w:p>
    <w:p w14:paraId="243DFE13" w14:textId="77777777" w:rsidR="00F52834" w:rsidRPr="006018CC" w:rsidRDefault="00F52834" w:rsidP="00F52834">
      <w:pPr>
        <w:pStyle w:val="a3"/>
      </w:pPr>
      <w:r w:rsidRPr="006018CC">
        <w:rPr>
          <w:rStyle w:val="a7"/>
          <w:rtl/>
        </w:rPr>
        <w:t>نظرية التعلم التنظيمي</w:t>
      </w:r>
      <w:r w:rsidRPr="006018CC">
        <w:rPr>
          <w:rStyle w:val="a7"/>
        </w:rPr>
        <w:t xml:space="preserve"> (Organizational Learning Theory)</w:t>
      </w:r>
      <w:r w:rsidRPr="006018CC">
        <w:t xml:space="preserve"> </w:t>
      </w:r>
      <w:r w:rsidRPr="006018CC">
        <w:rPr>
          <w:rtl/>
        </w:rPr>
        <w:t>هي نظرية تركز على كيفية تعلم المنظمات من تجاربها وكيفية تحسين أدائها بناءً على المعرفة المتراكمة والتجارب السابقة. تبرز أهمية هذه النظرية في تسليط الضوء على كيفية بناء وتحسين المعرفة داخل المنظمات لتحقيق التكيف والابتكار المستمر، مما يساعد على تعزيز قدرة المنظمة على التكيف مع التغيرات البيئية والتطورات السريعة</w:t>
      </w:r>
      <w:r w:rsidRPr="006018CC">
        <w:t>.</w:t>
      </w:r>
    </w:p>
    <w:p w14:paraId="7948DB97" w14:textId="77777777" w:rsidR="00F52834" w:rsidRPr="006018CC" w:rsidRDefault="00F52834" w:rsidP="00603F3B">
      <w:r w:rsidRPr="006018CC">
        <w:rPr>
          <w:rStyle w:val="a7"/>
          <w:rtl/>
        </w:rPr>
        <w:t>مفاهيم أساسية في نظرية التعلم التنظيمي</w:t>
      </w:r>
    </w:p>
    <w:p w14:paraId="7B1D3500" w14:textId="77777777" w:rsidR="00F52834" w:rsidRPr="006018CC" w:rsidRDefault="00F52834" w:rsidP="00F52834">
      <w:pPr>
        <w:pStyle w:val="a3"/>
      </w:pPr>
      <w:r w:rsidRPr="006018CC">
        <w:rPr>
          <w:rtl/>
        </w:rPr>
        <w:t xml:space="preserve">تعتبر </w:t>
      </w:r>
      <w:r w:rsidRPr="006018CC">
        <w:rPr>
          <w:rStyle w:val="a7"/>
          <w:rtl/>
        </w:rPr>
        <w:t>نظرية التعلم التنظيمي</w:t>
      </w:r>
      <w:r w:rsidRPr="006018CC">
        <w:rPr>
          <w:rtl/>
        </w:rPr>
        <w:t xml:space="preserve"> أن المنظمات تعلم وتتطور بشكل مستمر من خلال معالجة التجارب السابقة وتحليل الأخطاء والنجاحات. تتضمن هذه النظرية مجموعة من المبادئ الأساسية التي تساهم في تحسين أداء المنظمة مثل</w:t>
      </w:r>
      <w:r w:rsidRPr="006018CC">
        <w:t>:</w:t>
      </w:r>
    </w:p>
    <w:p w14:paraId="2A8738AA" w14:textId="77777777" w:rsidR="00F52834" w:rsidRPr="006018CC" w:rsidRDefault="00F52834" w:rsidP="00F52834">
      <w:pPr>
        <w:pStyle w:val="a3"/>
        <w:numPr>
          <w:ilvl w:val="0"/>
          <w:numId w:val="19"/>
        </w:numPr>
      </w:pPr>
      <w:r w:rsidRPr="006018CC">
        <w:rPr>
          <w:rStyle w:val="a7"/>
          <w:rtl/>
        </w:rPr>
        <w:t>التعلم الفردي والجماعي</w:t>
      </w:r>
      <w:r w:rsidRPr="006018CC">
        <w:t xml:space="preserve">: </w:t>
      </w:r>
      <w:r w:rsidRPr="006018CC">
        <w:rPr>
          <w:rtl/>
        </w:rPr>
        <w:t>التعلم التنظيمي لا يقتصر على تعلم الأفراد فقط، بل يشمل أيضًا عملية التعلم الجماعي حيث يتم تقاسم المعرفة وتوزيعها عبر المنظمة</w:t>
      </w:r>
      <w:r w:rsidRPr="006018CC">
        <w:t>.</w:t>
      </w:r>
    </w:p>
    <w:p w14:paraId="20958862" w14:textId="77777777" w:rsidR="00F52834" w:rsidRPr="006018CC" w:rsidRDefault="00F52834" w:rsidP="00F52834">
      <w:pPr>
        <w:pStyle w:val="a3"/>
        <w:numPr>
          <w:ilvl w:val="0"/>
          <w:numId w:val="19"/>
        </w:numPr>
      </w:pPr>
      <w:r w:rsidRPr="006018CC">
        <w:rPr>
          <w:rStyle w:val="a7"/>
          <w:rtl/>
        </w:rPr>
        <w:t>التعلم من الخبرات السابقة</w:t>
      </w:r>
      <w:r w:rsidRPr="006018CC">
        <w:t xml:space="preserve">: </w:t>
      </w:r>
      <w:r w:rsidRPr="006018CC">
        <w:rPr>
          <w:rtl/>
        </w:rPr>
        <w:t>تعتبر التجارب السابقة، سواء كانت ناجحة أو فاشلة، مصدرًا رئيسيًا للتعلم داخل المنظمة. المنظمات التي تتمكن من تحليل وتجميع المعرفة المستخلصة من هذه التجارب تتمكن من تحسين أدائها</w:t>
      </w:r>
      <w:r w:rsidRPr="006018CC">
        <w:t>.</w:t>
      </w:r>
    </w:p>
    <w:p w14:paraId="239DDB0A" w14:textId="77777777" w:rsidR="00F52834" w:rsidRPr="006018CC" w:rsidRDefault="00F52834" w:rsidP="00F52834">
      <w:pPr>
        <w:pStyle w:val="a3"/>
        <w:numPr>
          <w:ilvl w:val="0"/>
          <w:numId w:val="19"/>
        </w:numPr>
      </w:pPr>
      <w:r w:rsidRPr="006018CC">
        <w:rPr>
          <w:rStyle w:val="a7"/>
          <w:rtl/>
        </w:rPr>
        <w:t>التعلم المستمر</w:t>
      </w:r>
      <w:r w:rsidRPr="006018CC">
        <w:t xml:space="preserve">: </w:t>
      </w:r>
      <w:r w:rsidRPr="006018CC">
        <w:rPr>
          <w:rtl/>
        </w:rPr>
        <w:t>التعلم التنظيمي لا يتوقف عند نقطة معينة. بل هو عملية مستمرة ترتبط بتفاعل المنظمة مع بيئتها، وتحليل التغيرات والتكيف معها بفعالية</w:t>
      </w:r>
      <w:r w:rsidRPr="006018CC">
        <w:t>.</w:t>
      </w:r>
    </w:p>
    <w:p w14:paraId="79E8D463" w14:textId="77777777" w:rsidR="00F52834" w:rsidRPr="006018CC" w:rsidRDefault="00F52834" w:rsidP="00F52834">
      <w:pPr>
        <w:pStyle w:val="a3"/>
        <w:numPr>
          <w:ilvl w:val="0"/>
          <w:numId w:val="19"/>
        </w:numPr>
      </w:pPr>
      <w:r w:rsidRPr="006018CC">
        <w:rPr>
          <w:rStyle w:val="a7"/>
          <w:rtl/>
        </w:rPr>
        <w:lastRenderedPageBreak/>
        <w:t>القدرة على التكيف والابتكار</w:t>
      </w:r>
      <w:r w:rsidRPr="006018CC">
        <w:t xml:space="preserve">: </w:t>
      </w:r>
      <w:r w:rsidRPr="006018CC">
        <w:rPr>
          <w:rtl/>
        </w:rPr>
        <w:t>من خلال التعلم التنظيمي، تتمكن المنظمات من تطوير قدرات جديدة على التكيف مع التغيرات في بيئات الأعمال. كما يمكنها تعزيز الابتكار باستخدام المعرفة المتراكمة</w:t>
      </w:r>
      <w:r w:rsidRPr="006018CC">
        <w:t>.</w:t>
      </w:r>
    </w:p>
    <w:p w14:paraId="7428DE49" w14:textId="77777777" w:rsidR="00F52834" w:rsidRPr="006018CC" w:rsidRDefault="00F52834" w:rsidP="00603F3B">
      <w:r w:rsidRPr="006018CC">
        <w:rPr>
          <w:rStyle w:val="a7"/>
          <w:rtl/>
        </w:rPr>
        <w:t>أنواع التعلم التنظيمي</w:t>
      </w:r>
    </w:p>
    <w:p w14:paraId="5EE48E54" w14:textId="77777777" w:rsidR="00F52834" w:rsidRPr="006018CC" w:rsidRDefault="00F52834" w:rsidP="00F52834">
      <w:pPr>
        <w:pStyle w:val="a3"/>
      </w:pPr>
      <w:r w:rsidRPr="006018CC">
        <w:rPr>
          <w:rtl/>
        </w:rPr>
        <w:t>نظرية التعلم التنظيمي تميز بين أنواع مختلفة من التعلم الذي يحدث في المنظمات، منها</w:t>
      </w:r>
      <w:r w:rsidRPr="006018CC">
        <w:t>:</w:t>
      </w:r>
    </w:p>
    <w:p w14:paraId="01351771" w14:textId="77777777" w:rsidR="00F52834" w:rsidRPr="006018CC" w:rsidRDefault="00F52834" w:rsidP="00F52834">
      <w:pPr>
        <w:pStyle w:val="a3"/>
        <w:numPr>
          <w:ilvl w:val="0"/>
          <w:numId w:val="20"/>
        </w:numPr>
      </w:pPr>
      <w:r w:rsidRPr="006018CC">
        <w:rPr>
          <w:rStyle w:val="a7"/>
          <w:rtl/>
        </w:rPr>
        <w:t>التعلم من النوع الأول</w:t>
      </w:r>
      <w:r w:rsidRPr="006018CC">
        <w:rPr>
          <w:rStyle w:val="a7"/>
        </w:rPr>
        <w:t xml:space="preserve"> (Single-loop Learning)</w:t>
      </w:r>
      <w:r w:rsidRPr="006018CC">
        <w:t xml:space="preserve">: </w:t>
      </w:r>
      <w:r w:rsidRPr="006018CC">
        <w:rPr>
          <w:rtl/>
        </w:rPr>
        <w:t>هو التعلم الذي يحدث عندما تقوم المنظمة بتعديل سلوكها أو عملياتها بناءً على الأخطاء أو المعلومات الجديدة، ولكن دون تغيير الأسس أو المبادئ التي تقوم عليها تلك العمليات</w:t>
      </w:r>
      <w:r w:rsidRPr="006018CC">
        <w:t>.</w:t>
      </w:r>
    </w:p>
    <w:p w14:paraId="6CD1053E" w14:textId="77777777" w:rsidR="00F52834" w:rsidRPr="006018CC" w:rsidRDefault="00F52834" w:rsidP="00F52834">
      <w:pPr>
        <w:pStyle w:val="a3"/>
        <w:numPr>
          <w:ilvl w:val="0"/>
          <w:numId w:val="20"/>
        </w:numPr>
      </w:pPr>
      <w:r w:rsidRPr="006018CC">
        <w:rPr>
          <w:rStyle w:val="a7"/>
          <w:rtl/>
        </w:rPr>
        <w:t>التعلم من النوع الثاني</w:t>
      </w:r>
      <w:r w:rsidRPr="006018CC">
        <w:rPr>
          <w:rStyle w:val="a7"/>
        </w:rPr>
        <w:t xml:space="preserve"> (Double-loop Learning)</w:t>
      </w:r>
      <w:r w:rsidRPr="006018CC">
        <w:t xml:space="preserve">: </w:t>
      </w:r>
      <w:r w:rsidRPr="006018CC">
        <w:rPr>
          <w:rtl/>
        </w:rPr>
        <w:t>يحدث هذا النوع من التعلم عندما تقوم المنظمة بتغيير الأسس والمبادئ التي تقوم عليها عملياتها. بمعنى آخر، المنظمة لا تقتصر على تعديل سلوكها فحسب، بل تعيد النظر في استراتيجياتها أو طريقة عملها الأساسية</w:t>
      </w:r>
      <w:r w:rsidRPr="006018CC">
        <w:t>.</w:t>
      </w:r>
    </w:p>
    <w:p w14:paraId="29C30866" w14:textId="77777777" w:rsidR="00F52834" w:rsidRPr="006018CC" w:rsidRDefault="00F52834" w:rsidP="00F52834">
      <w:pPr>
        <w:pStyle w:val="a3"/>
        <w:numPr>
          <w:ilvl w:val="0"/>
          <w:numId w:val="20"/>
        </w:numPr>
      </w:pPr>
      <w:r w:rsidRPr="006018CC">
        <w:rPr>
          <w:rStyle w:val="a7"/>
          <w:rtl/>
        </w:rPr>
        <w:t>التعلم الاستكشافي</w:t>
      </w:r>
      <w:r w:rsidRPr="006018CC">
        <w:rPr>
          <w:rStyle w:val="a7"/>
        </w:rPr>
        <w:t xml:space="preserve"> (Exploratory Learning)</w:t>
      </w:r>
      <w:r w:rsidRPr="006018CC">
        <w:t xml:space="preserve">: </w:t>
      </w:r>
      <w:r w:rsidRPr="006018CC">
        <w:rPr>
          <w:rtl/>
        </w:rPr>
        <w:t>هو تعلم يستند إلى البحث عن أفكار وتقنيات جديدة. يشمل الاستكشاف والمجازفة بدلاً من الالتزام بالممارسات التقليدية</w:t>
      </w:r>
      <w:r w:rsidRPr="006018CC">
        <w:t>.</w:t>
      </w:r>
    </w:p>
    <w:p w14:paraId="3A25ED39" w14:textId="77777777" w:rsidR="00F52834" w:rsidRPr="006018CC" w:rsidRDefault="00F52834" w:rsidP="00F52834">
      <w:pPr>
        <w:pStyle w:val="a3"/>
        <w:numPr>
          <w:ilvl w:val="0"/>
          <w:numId w:val="20"/>
        </w:numPr>
      </w:pPr>
      <w:r w:rsidRPr="006018CC">
        <w:rPr>
          <w:rStyle w:val="a7"/>
          <w:rtl/>
        </w:rPr>
        <w:t>التعلم الاستغلالي</w:t>
      </w:r>
      <w:r w:rsidRPr="006018CC">
        <w:rPr>
          <w:rStyle w:val="a7"/>
        </w:rPr>
        <w:t xml:space="preserve"> (Exploitation Learning)</w:t>
      </w:r>
      <w:r w:rsidRPr="006018CC">
        <w:t xml:space="preserve">: </w:t>
      </w:r>
      <w:r w:rsidRPr="006018CC">
        <w:rPr>
          <w:rtl/>
        </w:rPr>
        <w:t>هو تعلم يستند إلى تحسين الممارسات الحالية واستخدام المعرفة المتاحة لزيادة الكفاءة وتحقيق النجاح</w:t>
      </w:r>
      <w:r w:rsidRPr="006018CC">
        <w:t>.</w:t>
      </w:r>
    </w:p>
    <w:p w14:paraId="5C0A7813" w14:textId="77777777" w:rsidR="00F52834" w:rsidRPr="006018CC" w:rsidRDefault="00F52834" w:rsidP="00603F3B">
      <w:r w:rsidRPr="006018CC">
        <w:rPr>
          <w:rStyle w:val="a7"/>
          <w:rtl/>
        </w:rPr>
        <w:t>المفكرون الرئيسيون في نظرية التعلم التنظيمي</w:t>
      </w:r>
    </w:p>
    <w:p w14:paraId="18AD5EFA" w14:textId="77777777" w:rsidR="00F52834" w:rsidRPr="006018CC" w:rsidRDefault="00F52834" w:rsidP="00603F3B">
      <w:r w:rsidRPr="006018CC">
        <w:rPr>
          <w:rtl/>
        </w:rPr>
        <w:t xml:space="preserve">تعد </w:t>
      </w:r>
      <w:r w:rsidRPr="006018CC">
        <w:rPr>
          <w:rStyle w:val="a7"/>
          <w:rtl/>
        </w:rPr>
        <w:t xml:space="preserve">كريس </w:t>
      </w:r>
      <w:proofErr w:type="spellStart"/>
      <w:r w:rsidRPr="006018CC">
        <w:rPr>
          <w:rStyle w:val="a7"/>
          <w:rtl/>
        </w:rPr>
        <w:t>أرجيريس</w:t>
      </w:r>
      <w:proofErr w:type="spellEnd"/>
      <w:r w:rsidRPr="006018CC">
        <w:rPr>
          <w:rtl/>
        </w:rPr>
        <w:t xml:space="preserve"> </w:t>
      </w:r>
      <w:r w:rsidRPr="006018CC">
        <w:t xml:space="preserve">(Chris Argyris) </w:t>
      </w:r>
      <w:r w:rsidRPr="006018CC">
        <w:rPr>
          <w:rtl/>
        </w:rPr>
        <w:t>و</w:t>
      </w:r>
      <w:r w:rsidRPr="006018CC">
        <w:rPr>
          <w:rStyle w:val="a7"/>
          <w:rtl/>
        </w:rPr>
        <w:t>دونالد شون</w:t>
      </w:r>
      <w:r w:rsidRPr="006018CC">
        <w:rPr>
          <w:rtl/>
        </w:rPr>
        <w:t xml:space="preserve"> </w:t>
      </w:r>
      <w:r w:rsidRPr="006018CC">
        <w:t xml:space="preserve">(Donald Schön) </w:t>
      </w:r>
      <w:r w:rsidRPr="006018CC">
        <w:rPr>
          <w:rtl/>
        </w:rPr>
        <w:t xml:space="preserve">من المفكرين الرئيسيين الذين ساهموا في تطوير نظرية التعلم التنظيمي. وفقًا </w:t>
      </w:r>
      <w:proofErr w:type="spellStart"/>
      <w:r w:rsidRPr="006018CC">
        <w:rPr>
          <w:rtl/>
        </w:rPr>
        <w:t>لأرجيريس</w:t>
      </w:r>
      <w:proofErr w:type="spellEnd"/>
      <w:r w:rsidRPr="006018CC">
        <w:rPr>
          <w:rtl/>
        </w:rPr>
        <w:t xml:space="preserve"> وشون (1978)، فالتعلم التنظيمي يشمل عملية التكيف والتحسين المستمر للممارسات التنظيمية، ويشمل مرحلتين: الأولى تتعلق بتعلم كيفية تحسين العمليات اليومية (التعلم من النوع الأول)، والثانية تتعلق بتغيير أسس المبادئ والنظريات التي توجه هذه العمليات (التعلم من النوع الثاني)</w:t>
      </w:r>
      <w:r w:rsidRPr="006018CC">
        <w:t>.</w:t>
      </w:r>
    </w:p>
    <w:p w14:paraId="4E2149C7" w14:textId="77777777" w:rsidR="00F52834" w:rsidRPr="006018CC" w:rsidRDefault="00F52834" w:rsidP="00603F3B">
      <w:r w:rsidRPr="006018CC">
        <w:rPr>
          <w:rStyle w:val="a7"/>
          <w:rtl/>
        </w:rPr>
        <w:t>المراحل الأساسية للتعلم التنظيمي</w:t>
      </w:r>
    </w:p>
    <w:p w14:paraId="6E183088" w14:textId="77777777" w:rsidR="00F52834" w:rsidRPr="006018CC" w:rsidRDefault="00F52834" w:rsidP="00F52834">
      <w:pPr>
        <w:pStyle w:val="a3"/>
      </w:pPr>
      <w:r w:rsidRPr="006018CC">
        <w:rPr>
          <w:rtl/>
        </w:rPr>
        <w:t>يشمل التعلم التنظيمي عادةً أربع مراحل رئيسية</w:t>
      </w:r>
      <w:r w:rsidRPr="006018CC">
        <w:t>:</w:t>
      </w:r>
    </w:p>
    <w:p w14:paraId="310AB80F" w14:textId="77777777" w:rsidR="00F52834" w:rsidRPr="006018CC" w:rsidRDefault="00F52834" w:rsidP="00F52834">
      <w:pPr>
        <w:numPr>
          <w:ilvl w:val="0"/>
          <w:numId w:val="21"/>
        </w:numPr>
        <w:spacing w:before="100" w:beforeAutospacing="1" w:after="100" w:afterAutospacing="1"/>
      </w:pPr>
      <w:r w:rsidRPr="006018CC">
        <w:rPr>
          <w:rStyle w:val="a7"/>
          <w:rtl/>
        </w:rPr>
        <w:t>التعرف على المشكلة</w:t>
      </w:r>
      <w:r w:rsidRPr="006018CC">
        <w:t xml:space="preserve">: </w:t>
      </w:r>
      <w:r w:rsidRPr="006018CC">
        <w:rPr>
          <w:rtl/>
        </w:rPr>
        <w:t>تبدأ العملية عندما تحدد المنظمة مشكلة أو تحديًا داخليًا أو خارجيًا</w:t>
      </w:r>
      <w:r w:rsidRPr="006018CC">
        <w:t>.</w:t>
      </w:r>
    </w:p>
    <w:p w14:paraId="0343EB99" w14:textId="77777777" w:rsidR="00F52834" w:rsidRPr="006018CC" w:rsidRDefault="00F52834" w:rsidP="00F52834">
      <w:pPr>
        <w:numPr>
          <w:ilvl w:val="0"/>
          <w:numId w:val="21"/>
        </w:numPr>
        <w:spacing w:before="100" w:beforeAutospacing="1" w:after="100" w:afterAutospacing="1"/>
      </w:pPr>
      <w:r w:rsidRPr="006018CC">
        <w:rPr>
          <w:rStyle w:val="a7"/>
          <w:rtl/>
        </w:rPr>
        <w:t>تحليل البيانات</w:t>
      </w:r>
      <w:r w:rsidRPr="006018CC">
        <w:t xml:space="preserve">: </w:t>
      </w:r>
      <w:r w:rsidRPr="006018CC">
        <w:rPr>
          <w:rtl/>
        </w:rPr>
        <w:t>يتم جمع وتحليل البيانات ذات الصلة لفهم الجذور والآثار</w:t>
      </w:r>
      <w:r w:rsidRPr="006018CC">
        <w:t>.</w:t>
      </w:r>
    </w:p>
    <w:p w14:paraId="5FB1FF62" w14:textId="77777777" w:rsidR="00F52834" w:rsidRPr="006018CC" w:rsidRDefault="00F52834" w:rsidP="00F52834">
      <w:pPr>
        <w:numPr>
          <w:ilvl w:val="0"/>
          <w:numId w:val="21"/>
        </w:numPr>
        <w:spacing w:before="100" w:beforeAutospacing="1" w:after="100" w:afterAutospacing="1"/>
      </w:pPr>
      <w:r w:rsidRPr="006018CC">
        <w:rPr>
          <w:rStyle w:val="a7"/>
          <w:rtl/>
        </w:rPr>
        <w:t>تطوير الحلول</w:t>
      </w:r>
      <w:r w:rsidRPr="006018CC">
        <w:t xml:space="preserve">: </w:t>
      </w:r>
      <w:r w:rsidRPr="006018CC">
        <w:rPr>
          <w:rtl/>
        </w:rPr>
        <w:t>بناءً على البيانات المستخلصة، يتم تطوير حلول أو استراتيجيات جديدة</w:t>
      </w:r>
      <w:r w:rsidRPr="006018CC">
        <w:t>.</w:t>
      </w:r>
    </w:p>
    <w:p w14:paraId="4A9F3249" w14:textId="77777777" w:rsidR="00F52834" w:rsidRPr="006018CC" w:rsidRDefault="00F52834" w:rsidP="00F52834">
      <w:pPr>
        <w:numPr>
          <w:ilvl w:val="0"/>
          <w:numId w:val="21"/>
        </w:numPr>
        <w:spacing w:before="100" w:beforeAutospacing="1" w:after="100" w:afterAutospacing="1"/>
      </w:pPr>
      <w:r w:rsidRPr="006018CC">
        <w:rPr>
          <w:rStyle w:val="a7"/>
          <w:rtl/>
        </w:rPr>
        <w:lastRenderedPageBreak/>
        <w:t>تنفيذ الحلول</w:t>
      </w:r>
      <w:r w:rsidRPr="006018CC">
        <w:t xml:space="preserve">: </w:t>
      </w:r>
      <w:r w:rsidRPr="006018CC">
        <w:rPr>
          <w:rtl/>
        </w:rPr>
        <w:t>يتم تطبيق الحلول المقترحة، ومن ثم تقييم مدى نجاحها وتأثيرها على أداء المنظمة</w:t>
      </w:r>
      <w:r w:rsidRPr="006018CC">
        <w:t>.</w:t>
      </w:r>
    </w:p>
    <w:p w14:paraId="585909A3" w14:textId="77777777" w:rsidR="00F52834" w:rsidRPr="006018CC" w:rsidRDefault="00F52834" w:rsidP="00603F3B">
      <w:r w:rsidRPr="006018CC">
        <w:rPr>
          <w:rStyle w:val="a7"/>
          <w:rtl/>
        </w:rPr>
        <w:t>أهمية التعلم التنظيمي</w:t>
      </w:r>
    </w:p>
    <w:p w14:paraId="6AD39A5D" w14:textId="77777777" w:rsidR="00F52834" w:rsidRPr="006018CC" w:rsidRDefault="00F52834" w:rsidP="00F52834">
      <w:pPr>
        <w:pStyle w:val="a3"/>
        <w:numPr>
          <w:ilvl w:val="0"/>
          <w:numId w:val="22"/>
        </w:numPr>
      </w:pPr>
      <w:r w:rsidRPr="006018CC">
        <w:rPr>
          <w:rStyle w:val="a7"/>
          <w:rtl/>
        </w:rPr>
        <w:t>التكيف مع التغيرات البيئية</w:t>
      </w:r>
      <w:r w:rsidRPr="006018CC">
        <w:t xml:space="preserve">: </w:t>
      </w:r>
      <w:r w:rsidRPr="006018CC">
        <w:rPr>
          <w:rtl/>
        </w:rPr>
        <w:t>في بيئة الأعمال الحالية التي تتسم بالتغير المستمر، يكون التعلم التنظيمي أمرًا حيويًا لتمكين المنظمات من التكيف السريع مع التغيرات التكنولوجية والاجتماعية والاقتصادية</w:t>
      </w:r>
      <w:r w:rsidRPr="006018CC">
        <w:t>.</w:t>
      </w:r>
    </w:p>
    <w:p w14:paraId="52D5CE0E" w14:textId="77777777" w:rsidR="00F52834" w:rsidRPr="006018CC" w:rsidRDefault="00F52834" w:rsidP="00F52834">
      <w:pPr>
        <w:pStyle w:val="a3"/>
        <w:numPr>
          <w:ilvl w:val="0"/>
          <w:numId w:val="22"/>
        </w:numPr>
      </w:pPr>
      <w:r w:rsidRPr="006018CC">
        <w:rPr>
          <w:rStyle w:val="a7"/>
          <w:rtl/>
        </w:rPr>
        <w:t>الابتكار المستمر</w:t>
      </w:r>
      <w:r w:rsidRPr="006018CC">
        <w:t xml:space="preserve">: </w:t>
      </w:r>
      <w:r w:rsidRPr="006018CC">
        <w:rPr>
          <w:rtl/>
        </w:rPr>
        <w:t>من خلال التعلم من التجارب وتطبيق الحلول المستندة إلى المعرفة المكتسبة، يمكن للمنظمات الحفاظ على ابتكارها المستمر، ما يسهم في تعزيز التميز التنافسي</w:t>
      </w:r>
      <w:r w:rsidRPr="006018CC">
        <w:t>.</w:t>
      </w:r>
    </w:p>
    <w:p w14:paraId="6F4EDB0E" w14:textId="77777777" w:rsidR="00F52834" w:rsidRPr="006018CC" w:rsidRDefault="00F52834" w:rsidP="00F52834">
      <w:pPr>
        <w:pStyle w:val="a3"/>
        <w:numPr>
          <w:ilvl w:val="0"/>
          <w:numId w:val="22"/>
        </w:numPr>
      </w:pPr>
      <w:r w:rsidRPr="006018CC">
        <w:rPr>
          <w:rStyle w:val="a7"/>
          <w:rtl/>
        </w:rPr>
        <w:t>تحقيق التحسين المستدام</w:t>
      </w:r>
      <w:r w:rsidRPr="006018CC">
        <w:t xml:space="preserve">: </w:t>
      </w:r>
      <w:r w:rsidRPr="006018CC">
        <w:rPr>
          <w:rtl/>
        </w:rPr>
        <w:t>من خلال التعلم المستمر، يمكن للمنظمات تحسين أدائها بشكل دائم من خلال التكيف المستمر مع التغيرات الجديدة، وتحسين العمليات والمنتجات</w:t>
      </w:r>
      <w:r w:rsidRPr="006018CC">
        <w:t>.</w:t>
      </w:r>
    </w:p>
    <w:p w14:paraId="3F369E79" w14:textId="77777777" w:rsidR="00F52834" w:rsidRPr="006018CC" w:rsidRDefault="00F52834" w:rsidP="00603F3B">
      <w:r w:rsidRPr="006018CC">
        <w:rPr>
          <w:rStyle w:val="a7"/>
          <w:rtl/>
        </w:rPr>
        <w:t>التحديات في تطبيق التعلم التنظيمي</w:t>
      </w:r>
    </w:p>
    <w:p w14:paraId="2D6A617F" w14:textId="77777777" w:rsidR="00F52834" w:rsidRPr="006018CC" w:rsidRDefault="00F52834" w:rsidP="00F52834">
      <w:pPr>
        <w:pStyle w:val="a3"/>
      </w:pPr>
      <w:r w:rsidRPr="006018CC">
        <w:rPr>
          <w:rtl/>
        </w:rPr>
        <w:t>على الرغم من فوائدها الكبيرة، تواجه المنظمات بعض التحديات في تطبيق نظرية التعلم التنظيمي، مثل</w:t>
      </w:r>
      <w:r w:rsidRPr="006018CC">
        <w:t>:</w:t>
      </w:r>
    </w:p>
    <w:p w14:paraId="652B214C" w14:textId="77777777" w:rsidR="00F52834" w:rsidRPr="006018CC" w:rsidRDefault="00F52834" w:rsidP="00F52834">
      <w:pPr>
        <w:numPr>
          <w:ilvl w:val="0"/>
          <w:numId w:val="23"/>
        </w:numPr>
        <w:spacing w:before="100" w:beforeAutospacing="1" w:after="100" w:afterAutospacing="1"/>
      </w:pPr>
      <w:r w:rsidRPr="006018CC">
        <w:rPr>
          <w:rStyle w:val="a7"/>
          <w:rtl/>
        </w:rPr>
        <w:t>المقاومة للتغيير</w:t>
      </w:r>
      <w:r w:rsidRPr="006018CC">
        <w:t xml:space="preserve">: </w:t>
      </w:r>
      <w:r w:rsidRPr="006018CC">
        <w:rPr>
          <w:rtl/>
        </w:rPr>
        <w:t>بعض الأفراد أو الفرق داخل المنظمات قد يكونون مقاومين للتغيير أو للطرق الجديدة في العمل</w:t>
      </w:r>
      <w:r w:rsidRPr="006018CC">
        <w:t>.</w:t>
      </w:r>
    </w:p>
    <w:p w14:paraId="42A94A7C" w14:textId="77777777" w:rsidR="00F52834" w:rsidRPr="006018CC" w:rsidRDefault="00F52834" w:rsidP="00F52834">
      <w:pPr>
        <w:numPr>
          <w:ilvl w:val="0"/>
          <w:numId w:val="23"/>
        </w:numPr>
        <w:spacing w:before="100" w:beforeAutospacing="1" w:after="100" w:afterAutospacing="1"/>
      </w:pPr>
      <w:r w:rsidRPr="006018CC">
        <w:rPr>
          <w:rStyle w:val="a7"/>
          <w:rtl/>
        </w:rPr>
        <w:t>صعوبة في نقل المعرفة</w:t>
      </w:r>
      <w:r w:rsidRPr="006018CC">
        <w:t xml:space="preserve">: </w:t>
      </w:r>
      <w:r w:rsidRPr="006018CC">
        <w:rPr>
          <w:rtl/>
        </w:rPr>
        <w:t>نقل المعرفة من فرد إلى آخر أو من وحدة إلى وحدة أخرى داخل المنظمة يمكن أن يكون تحديًا كبيرًا</w:t>
      </w:r>
      <w:r w:rsidRPr="006018CC">
        <w:t>.</w:t>
      </w:r>
    </w:p>
    <w:p w14:paraId="739B43C5" w14:textId="77777777" w:rsidR="00F52834" w:rsidRPr="006018CC" w:rsidRDefault="00F52834" w:rsidP="00F52834">
      <w:pPr>
        <w:numPr>
          <w:ilvl w:val="0"/>
          <w:numId w:val="23"/>
        </w:numPr>
        <w:spacing w:before="100" w:beforeAutospacing="1" w:after="100" w:afterAutospacing="1"/>
      </w:pPr>
      <w:r w:rsidRPr="006018CC">
        <w:rPr>
          <w:rStyle w:val="a7"/>
          <w:rtl/>
        </w:rPr>
        <w:t>تعقيد بيئة العمل</w:t>
      </w:r>
      <w:r w:rsidRPr="006018CC">
        <w:t xml:space="preserve">: </w:t>
      </w:r>
      <w:r w:rsidRPr="006018CC">
        <w:rPr>
          <w:rtl/>
        </w:rPr>
        <w:t>في بيئات العمل المعقدة، قد يكون من الصعب تحديد أولويات التعلم وتطبيق الاستراتيجيات التعليمية الفعالة</w:t>
      </w:r>
      <w:r w:rsidRPr="006018CC">
        <w:t>.</w:t>
      </w:r>
    </w:p>
    <w:p w14:paraId="2683DCC5" w14:textId="77777777" w:rsidR="00F52834" w:rsidRPr="006018CC" w:rsidRDefault="00F52834" w:rsidP="001C2F1D">
      <w:r w:rsidRPr="006018CC">
        <w:rPr>
          <w:rStyle w:val="a7"/>
          <w:rtl/>
        </w:rPr>
        <w:t>التطبيقات العملية لنظرية التعلم التنظيمي</w:t>
      </w:r>
    </w:p>
    <w:p w14:paraId="2BB94351" w14:textId="77777777" w:rsidR="00F52834" w:rsidRPr="006018CC" w:rsidRDefault="00F52834" w:rsidP="00F52834">
      <w:pPr>
        <w:pStyle w:val="a3"/>
        <w:numPr>
          <w:ilvl w:val="0"/>
          <w:numId w:val="24"/>
        </w:numPr>
      </w:pPr>
      <w:r w:rsidRPr="006018CC">
        <w:rPr>
          <w:rStyle w:val="a7"/>
          <w:rtl/>
        </w:rPr>
        <w:t>تطوير القيادة</w:t>
      </w:r>
      <w:r w:rsidRPr="006018CC">
        <w:t xml:space="preserve">: </w:t>
      </w:r>
      <w:r w:rsidRPr="006018CC">
        <w:rPr>
          <w:rtl/>
        </w:rPr>
        <w:t>المنظمات التي تبني ثقافة تعلمية تتمكن من تعزيز مهارات القيادة داخل المؤسسة، حيث يمكن للمسؤولين في القيادة أن يتعلموا كيفية التكيف مع التغيرات وتحقيق الابتكار</w:t>
      </w:r>
      <w:r w:rsidRPr="006018CC">
        <w:t>.</w:t>
      </w:r>
    </w:p>
    <w:p w14:paraId="7D58346B" w14:textId="77777777" w:rsidR="00F52834" w:rsidRPr="006018CC" w:rsidRDefault="00F52834" w:rsidP="00F52834">
      <w:pPr>
        <w:pStyle w:val="a3"/>
        <w:numPr>
          <w:ilvl w:val="0"/>
          <w:numId w:val="24"/>
        </w:numPr>
      </w:pPr>
      <w:r w:rsidRPr="006018CC">
        <w:rPr>
          <w:rStyle w:val="a7"/>
          <w:rtl/>
        </w:rPr>
        <w:t>إدارة الابتكار</w:t>
      </w:r>
      <w:r w:rsidRPr="006018CC">
        <w:t xml:space="preserve">: </w:t>
      </w:r>
      <w:r w:rsidRPr="006018CC">
        <w:rPr>
          <w:rtl/>
        </w:rPr>
        <w:t>باستخدام التعلم التنظيمي، يمكن للمنظمات تحسين قدراتها الابتكارية من خلال تجربة أفكار جديدة وتحليل نتائج هذه التجارب</w:t>
      </w:r>
      <w:r w:rsidRPr="006018CC">
        <w:t>.</w:t>
      </w:r>
    </w:p>
    <w:p w14:paraId="3BDFDD57" w14:textId="77777777" w:rsidR="00F52834" w:rsidRPr="006018CC" w:rsidRDefault="00F52834" w:rsidP="00F52834">
      <w:pPr>
        <w:pStyle w:val="a3"/>
      </w:pPr>
      <w:r w:rsidRPr="006018CC">
        <w:rPr>
          <w:rtl/>
        </w:rPr>
        <w:lastRenderedPageBreak/>
        <w:t>نظرية التعلم التنظيمي تركز على كيفية تعلم المنظمات من تجاربها وكيفية تحسين أدائها بناءً على المعرفة المكتسبة والتجارب السابقة. في هذا السياق، يمكن تفسير تأثير الذكاء الاصطناعي في عمليات التعلم والتطوير المؤسسي من خلال النقاط التالية</w:t>
      </w:r>
      <w:r w:rsidRPr="006018CC">
        <w:t>:</w:t>
      </w:r>
    </w:p>
    <w:p w14:paraId="163B1ECF" w14:textId="77777777" w:rsidR="00F52834" w:rsidRPr="006018CC" w:rsidRDefault="00F52834" w:rsidP="00F52834">
      <w:pPr>
        <w:pStyle w:val="a3"/>
      </w:pPr>
      <w:r w:rsidRPr="006018CC">
        <w:rPr>
          <w:rtl/>
        </w:rPr>
        <w:t>مساهمة الذكاء الاصطناعي في التعلم والتطوير المؤسسي</w:t>
      </w:r>
      <w:r w:rsidRPr="006018CC">
        <w:t>:</w:t>
      </w:r>
    </w:p>
    <w:p w14:paraId="7519BA9F" w14:textId="77777777" w:rsidR="00F52834" w:rsidRPr="006018CC" w:rsidRDefault="00F52834" w:rsidP="00F52834">
      <w:pPr>
        <w:pStyle w:val="a3"/>
      </w:pPr>
      <w:r w:rsidRPr="006018CC">
        <w:rPr>
          <w:rtl/>
        </w:rPr>
        <w:t>تحليل البيانات وتحسين القرار</w:t>
      </w:r>
      <w:r w:rsidRPr="006018CC">
        <w:t xml:space="preserve">: </w:t>
      </w:r>
      <w:r w:rsidRPr="006018CC">
        <w:rPr>
          <w:rtl/>
        </w:rPr>
        <w:t>الذكاء الاصطناعي يمكنه جمع وتحليل كميات ضخمة من البيانات بشكل أسرع وأكثر دقة من البشر. هذا يعزز قدرة المنظمة على التفاعل مع البيئات المتغيرة واكتشاف الأنماط والتوجهات التي قد لا تكون مرئية للبشر، مما يسهم في تحسين استراتيجيات التعلم</w:t>
      </w:r>
      <w:r w:rsidRPr="006018CC">
        <w:t>.</w:t>
      </w:r>
    </w:p>
    <w:p w14:paraId="77195447" w14:textId="77777777" w:rsidR="00F52834" w:rsidRPr="006018CC" w:rsidRDefault="00F52834" w:rsidP="00F52834">
      <w:pPr>
        <w:pStyle w:val="a3"/>
      </w:pPr>
      <w:r w:rsidRPr="006018CC">
        <w:rPr>
          <w:rtl/>
        </w:rPr>
        <w:t>تعزيز التعلم الفردي والجماعي</w:t>
      </w:r>
      <w:r w:rsidRPr="006018CC">
        <w:t xml:space="preserve">: </w:t>
      </w:r>
      <w:r w:rsidRPr="006018CC">
        <w:rPr>
          <w:rtl/>
        </w:rPr>
        <w:t>أدوات الذكاء الاصطناعي مثل نظم إدارة التعلم الذكية توفر منصات تعليمية مخصصة تسهل الوصول إلى المعلومات والتعلم التفاعلي، مما يساعد الأفراد داخل المنظمة على اكتساب مهارات جديدة وتحسين أدائهم. كما يمكن للذكاء الاصطناعي تسهيل عملية تقاسم المعرفة على نطاق أوسع في المنظمة</w:t>
      </w:r>
      <w:r w:rsidRPr="006018CC">
        <w:t>.</w:t>
      </w:r>
    </w:p>
    <w:p w14:paraId="21C32500" w14:textId="77777777" w:rsidR="00F52834" w:rsidRPr="006018CC" w:rsidRDefault="00F52834" w:rsidP="00F52834">
      <w:pPr>
        <w:pStyle w:val="a3"/>
      </w:pPr>
      <w:r w:rsidRPr="006018CC">
        <w:rPr>
          <w:rtl/>
        </w:rPr>
        <w:t>التحسين المستمر</w:t>
      </w:r>
      <w:r w:rsidRPr="006018CC">
        <w:t xml:space="preserve">: </w:t>
      </w:r>
      <w:r w:rsidRPr="006018CC">
        <w:rPr>
          <w:rtl/>
        </w:rPr>
        <w:t>يمكن للذكاء الاصطناعي تحليل البيانات التاريخية والتفاعل مع الأنماط المتغيرة، مما يسمح للمنظمات بتعديل استراتيجياتها بمرونة وتطوير حلول جديدة للتحديات المستقبلية</w:t>
      </w:r>
      <w:r w:rsidRPr="006018CC">
        <w:t>.</w:t>
      </w:r>
    </w:p>
    <w:p w14:paraId="566F388E" w14:textId="77777777" w:rsidR="00F52834" w:rsidRPr="006018CC" w:rsidRDefault="00F52834" w:rsidP="00F52834">
      <w:pPr>
        <w:pStyle w:val="a3"/>
      </w:pPr>
      <w:r w:rsidRPr="006018CC">
        <w:rPr>
          <w:rtl/>
        </w:rPr>
        <w:t>تأثير الذكاء الاصطناعي على إدارة المعرفة وتحسين الأداء</w:t>
      </w:r>
      <w:r w:rsidRPr="006018CC">
        <w:t>:</w:t>
      </w:r>
    </w:p>
    <w:p w14:paraId="03D98B56" w14:textId="77777777" w:rsidR="00F52834" w:rsidRPr="006018CC" w:rsidRDefault="00F52834" w:rsidP="00F52834">
      <w:pPr>
        <w:pStyle w:val="a3"/>
      </w:pPr>
      <w:r w:rsidRPr="006018CC">
        <w:rPr>
          <w:rtl/>
        </w:rPr>
        <w:t xml:space="preserve">إدارة المعرفة وتحليل المعرفة </w:t>
      </w:r>
      <w:proofErr w:type="spellStart"/>
      <w:r w:rsidRPr="006018CC">
        <w:rPr>
          <w:rtl/>
        </w:rPr>
        <w:t>التكتيلية</w:t>
      </w:r>
      <w:proofErr w:type="spellEnd"/>
      <w:r w:rsidRPr="006018CC">
        <w:t xml:space="preserve">: </w:t>
      </w:r>
      <w:r w:rsidRPr="006018CC">
        <w:rPr>
          <w:rtl/>
        </w:rPr>
        <w:t>الذكاء الاصطناعي يسهم في تنظيم المعرفة داخل المنظمة، حيث يمكنه تصنيف المعلومات، استخراج الأنماط المفيدة، وتحليل ما يتم تعلمه بشكل مستمر. هذا يحسن قدرة المنظمة على الوصول إلى المعرفة في الوقت المناسب، ويساعد في توجيه التعلم والتطوير</w:t>
      </w:r>
      <w:r w:rsidRPr="006018CC">
        <w:t>.</w:t>
      </w:r>
    </w:p>
    <w:p w14:paraId="4BC31D5C" w14:textId="77777777" w:rsidR="00F52834" w:rsidRPr="006018CC" w:rsidRDefault="00F52834" w:rsidP="00F52834">
      <w:pPr>
        <w:pStyle w:val="a3"/>
      </w:pPr>
      <w:r w:rsidRPr="006018CC">
        <w:rPr>
          <w:rtl/>
        </w:rPr>
        <w:t>الابتكار المستدام</w:t>
      </w:r>
      <w:r w:rsidRPr="006018CC">
        <w:t xml:space="preserve">: </w:t>
      </w:r>
      <w:r w:rsidRPr="006018CC">
        <w:rPr>
          <w:rtl/>
        </w:rPr>
        <w:t>الذكاء الاصطناعي يعمل كداعم للابتكار من خلال تسهيل عملية البحث عن حلول جديدة وتحليل الأفكار والبيانات الجديدة، ما يساعد في الحفاظ على الابتكار المستمر داخل المنظمة. الشركات التي تعتمد على الذكاء الاصطناعي يمكنها استكشاف تقنيات جديدة وتطوير منتجات وخدمات مبتكرة</w:t>
      </w:r>
      <w:r w:rsidRPr="006018CC">
        <w:t>.</w:t>
      </w:r>
    </w:p>
    <w:p w14:paraId="174A3854" w14:textId="77777777" w:rsidR="00F52834" w:rsidRPr="006018CC" w:rsidRDefault="00F52834" w:rsidP="00F52834">
      <w:pPr>
        <w:pStyle w:val="a3"/>
      </w:pPr>
      <w:r w:rsidRPr="006018CC">
        <w:rPr>
          <w:rtl/>
        </w:rPr>
        <w:t>المنافسة والتميز التنافسي</w:t>
      </w:r>
      <w:r w:rsidRPr="006018CC">
        <w:t xml:space="preserve">: </w:t>
      </w:r>
      <w:r w:rsidRPr="006018CC">
        <w:rPr>
          <w:rtl/>
        </w:rPr>
        <w:t>من خلال تسريع عمليات التعلم والتطوير، يمكن للمنظمات استخدام الذكاء الاصطناعي لتحقيق ميزة تنافسية مستدامة. قدرة الذكاء الاصطناعي على التكيف مع التغيرات السريعة توفر للمنظمات القدرة على التفوق على المنافسين والتكيف مع متطلبات السوق المتغيرة</w:t>
      </w:r>
      <w:r w:rsidRPr="006018CC">
        <w:t>.</w:t>
      </w:r>
    </w:p>
    <w:p w14:paraId="155FA331" w14:textId="77777777" w:rsidR="00F52834" w:rsidRPr="006018CC" w:rsidRDefault="00F52834" w:rsidP="00F52834">
      <w:pPr>
        <w:pStyle w:val="a3"/>
      </w:pPr>
      <w:r w:rsidRPr="006018CC">
        <w:rPr>
          <w:rtl/>
        </w:rPr>
        <w:t>الربط بالذكاء والابتكار في المشروعات الصغيرة والمتوسطة</w:t>
      </w:r>
      <w:r w:rsidRPr="006018CC">
        <w:t>:</w:t>
      </w:r>
    </w:p>
    <w:p w14:paraId="11045CE1" w14:textId="77777777" w:rsidR="00F52834" w:rsidRPr="006018CC" w:rsidRDefault="00F52834" w:rsidP="00F52834">
      <w:pPr>
        <w:pStyle w:val="a3"/>
      </w:pPr>
      <w:r w:rsidRPr="006018CC">
        <w:rPr>
          <w:rtl/>
        </w:rPr>
        <w:lastRenderedPageBreak/>
        <w:t>تمكين الابتكار في المشروعات الصغيرة والمتوسطة</w:t>
      </w:r>
      <w:r w:rsidRPr="006018CC">
        <w:t xml:space="preserve">: </w:t>
      </w:r>
      <w:r w:rsidRPr="006018CC">
        <w:rPr>
          <w:rtl/>
        </w:rPr>
        <w:t>يمكن للمشروعات الصغيرة والمتوسطة استخدام الذكاء الاصطناعي لتسريع عملية التعلم والتطوير وتحسين الأداء العام. من خلال تطبيق تقنيات الذكاء الاصطناعي في مجالات مثل التحليل البياني، إدارة المعرفة، وتصميم المنتجات، يمكن لهذه الشركات تحسين استراتيجياتها الابتكارية وتقديم حلول أكثر تميزًا</w:t>
      </w:r>
      <w:r w:rsidRPr="006018CC">
        <w:t>.</w:t>
      </w:r>
    </w:p>
    <w:p w14:paraId="6F6BE18D" w14:textId="77777777" w:rsidR="00F52834" w:rsidRPr="006018CC" w:rsidRDefault="00F52834" w:rsidP="00F52834">
      <w:pPr>
        <w:pStyle w:val="a3"/>
      </w:pPr>
      <w:r w:rsidRPr="006018CC">
        <w:rPr>
          <w:rtl/>
        </w:rPr>
        <w:t>تعزيز التكيف مع التغيرات السريعة</w:t>
      </w:r>
      <w:r w:rsidRPr="006018CC">
        <w:t xml:space="preserve">: </w:t>
      </w:r>
      <w:r w:rsidRPr="006018CC">
        <w:rPr>
          <w:rtl/>
        </w:rPr>
        <w:t>المشروعات الصغيرة والمتوسطة تواجه تحديات كبيرة في التكيف مع التغيرات التكنولوجية والاقتصادية. لكن باستخدام الذكاء الاصطناعي، يمكن لهذه الشركات أن تتابع التطورات في الأسواق بشكل أسرع وتتكيف معها بطرق أكثر مرونة</w:t>
      </w:r>
      <w:r w:rsidRPr="006018CC">
        <w:t>.</w:t>
      </w:r>
    </w:p>
    <w:p w14:paraId="18B8D8CF" w14:textId="77777777" w:rsidR="00F52834" w:rsidRPr="006018CC" w:rsidRDefault="00F52834" w:rsidP="00F52834">
      <w:pPr>
        <w:pStyle w:val="a3"/>
      </w:pPr>
      <w:r w:rsidRPr="006018CC">
        <w:rPr>
          <w:rtl/>
        </w:rPr>
        <w:t>من خلال توظيف الذكاء الاصطناعي في التعلم التنظيمي، يمكن للمنظمات تعزيز قدرتها على التكيف المستمر وتحقيق النجاح في بيئات عمل سريعة التغير، مما يعزز القدرة التنافسية والابتكار داخل السوق</w:t>
      </w:r>
      <w:r w:rsidRPr="006018CC">
        <w:t>.</w:t>
      </w:r>
    </w:p>
    <w:p w14:paraId="066236F9" w14:textId="77777777" w:rsidR="00F52834" w:rsidRPr="006018CC" w:rsidRDefault="00F52834" w:rsidP="00F52834">
      <w:pPr>
        <w:spacing w:after="0"/>
        <w:ind w:firstLine="0"/>
      </w:pPr>
      <w:r w:rsidRPr="006018CC">
        <w:rPr>
          <w:rtl/>
        </w:rPr>
        <w:t>تاسعا: نظرية الاعتماد على الموارد (</w:t>
      </w:r>
      <w:r w:rsidRPr="006018CC">
        <w:t>Resource Dependence Theory</w:t>
      </w:r>
      <w:r w:rsidRPr="006018CC">
        <w:rPr>
          <w:rtl/>
        </w:rPr>
        <w:t>)</w:t>
      </w:r>
    </w:p>
    <w:p w14:paraId="00E3A3A9" w14:textId="77777777" w:rsidR="00F52834" w:rsidRPr="006018CC" w:rsidRDefault="00F52834" w:rsidP="00F52834">
      <w:pPr>
        <w:pStyle w:val="a3"/>
      </w:pPr>
      <w:r w:rsidRPr="006018CC">
        <w:rPr>
          <w:rtl/>
        </w:rPr>
        <w:t>الإدارة تُستخدم لفهم كيفية تأثير الموارد الخارجية على قدرة المنظمات على اتخاذ قرارات مستقلة. تدور هذه النظرية حول فكرة أن المنظمات تعتمد على موارد خارجية مثل الأموال، الموظفين، التكنولوجيا، أو المواد الخام، مما يجعلها تعتمد على البيئة المحيطة بها لتحقيق استمراريتها ونجاحها</w:t>
      </w:r>
      <w:r w:rsidRPr="006018CC">
        <w:t>.</w:t>
      </w:r>
    </w:p>
    <w:p w14:paraId="380A3C86" w14:textId="77777777" w:rsidR="00F52834" w:rsidRPr="006018CC" w:rsidRDefault="00F52834" w:rsidP="001C2F1D">
      <w:r w:rsidRPr="006018CC">
        <w:rPr>
          <w:rStyle w:val="a7"/>
          <w:rtl/>
        </w:rPr>
        <w:t>المفاهيم الأساسية في نظرية الاعتماد على الموارد</w:t>
      </w:r>
    </w:p>
    <w:p w14:paraId="7BC0A802" w14:textId="77777777" w:rsidR="00F52834" w:rsidRPr="006018CC" w:rsidRDefault="00F52834" w:rsidP="00F52834">
      <w:pPr>
        <w:pStyle w:val="a3"/>
        <w:numPr>
          <w:ilvl w:val="0"/>
          <w:numId w:val="25"/>
        </w:numPr>
      </w:pPr>
      <w:r w:rsidRPr="006018CC">
        <w:rPr>
          <w:rStyle w:val="a7"/>
          <w:rtl/>
        </w:rPr>
        <w:t>الاعتماد على البيئة الخارجية</w:t>
      </w:r>
      <w:r w:rsidRPr="006018CC">
        <w:t xml:space="preserve">: </w:t>
      </w:r>
      <w:r w:rsidRPr="006018CC">
        <w:rPr>
          <w:rtl/>
        </w:rPr>
        <w:t>تعتمد المنظمات على البيئة الخارجية للحصول على الموارد التي تحتاجها للبقاء والنمو. البيئة تشمل الموردين، العملاء، الحكومات، والمنافسين</w:t>
      </w:r>
      <w:r w:rsidRPr="006018CC">
        <w:t>.</w:t>
      </w:r>
    </w:p>
    <w:p w14:paraId="28FA5D66" w14:textId="77777777" w:rsidR="00F52834" w:rsidRPr="006018CC" w:rsidRDefault="00F52834" w:rsidP="00F52834">
      <w:pPr>
        <w:pStyle w:val="a3"/>
        <w:numPr>
          <w:ilvl w:val="0"/>
          <w:numId w:val="25"/>
        </w:numPr>
      </w:pPr>
      <w:r w:rsidRPr="006018CC">
        <w:rPr>
          <w:rStyle w:val="a7"/>
          <w:rtl/>
        </w:rPr>
        <w:t>الاستقلالية التنظيمية</w:t>
      </w:r>
      <w:r w:rsidRPr="006018CC">
        <w:t xml:space="preserve">: </w:t>
      </w:r>
      <w:r w:rsidRPr="006018CC">
        <w:rPr>
          <w:rtl/>
        </w:rPr>
        <w:t>بما أن المنظمات تعتمد على الموارد التي تتحكم فيها أطراف خارجية، فإن قدرتها على اتخاذ قرارات مستقلة تصبح محدودة. أي أن المنظمة يجب أن تتفاعل مع البيئة لضمان حصولها على الموارد التي تحتاجها</w:t>
      </w:r>
      <w:r w:rsidRPr="006018CC">
        <w:t>.</w:t>
      </w:r>
    </w:p>
    <w:p w14:paraId="27DDD185" w14:textId="77777777" w:rsidR="00F52834" w:rsidRPr="006018CC" w:rsidRDefault="00F52834" w:rsidP="00F52834">
      <w:pPr>
        <w:pStyle w:val="a3"/>
        <w:numPr>
          <w:ilvl w:val="0"/>
          <w:numId w:val="25"/>
        </w:numPr>
      </w:pPr>
      <w:r w:rsidRPr="006018CC">
        <w:rPr>
          <w:rStyle w:val="a7"/>
          <w:rtl/>
        </w:rPr>
        <w:t>السلطة والعلاقات</w:t>
      </w:r>
      <w:r w:rsidRPr="006018CC">
        <w:t xml:space="preserve">: </w:t>
      </w:r>
      <w:r w:rsidRPr="006018CC">
        <w:rPr>
          <w:rtl/>
        </w:rPr>
        <w:t>تقوم المنظمات بإنشاء علاقات مع الجهات الخارجية للحصول على الموارد اللازمة. قد تكون هذه العلاقات غير متكافئة، حيث تتحكم بعض الجهات الخارجية في الموارد الأساسية التي تحتاجها المنظمة، مما يمنحها قدرة أكبر على التأثير على المنظمة</w:t>
      </w:r>
      <w:r w:rsidRPr="006018CC">
        <w:t>.</w:t>
      </w:r>
    </w:p>
    <w:p w14:paraId="03BBAF64" w14:textId="77777777" w:rsidR="00F52834" w:rsidRPr="006018CC" w:rsidRDefault="00F52834" w:rsidP="00F52834">
      <w:pPr>
        <w:pStyle w:val="a3"/>
        <w:numPr>
          <w:ilvl w:val="0"/>
          <w:numId w:val="25"/>
        </w:numPr>
      </w:pPr>
      <w:r w:rsidRPr="006018CC">
        <w:rPr>
          <w:rStyle w:val="a7"/>
          <w:rtl/>
        </w:rPr>
        <w:t>الاستراتيجيات التنظيمية</w:t>
      </w:r>
      <w:r w:rsidRPr="006018CC">
        <w:t xml:space="preserve">: </w:t>
      </w:r>
      <w:r w:rsidRPr="006018CC">
        <w:rPr>
          <w:rtl/>
        </w:rPr>
        <w:t>نظرًا لهذا الاعتماد، قد تتبع المنظمات استراتيجيات معينة مثل التنويع أو التحالفات الاستراتيجية لتقليل اعتمادها على الموردين أو الأطراف الخارجية</w:t>
      </w:r>
      <w:r w:rsidRPr="006018CC">
        <w:t>.</w:t>
      </w:r>
    </w:p>
    <w:p w14:paraId="52443B29" w14:textId="77777777" w:rsidR="00F52834" w:rsidRPr="006018CC" w:rsidRDefault="00F52834" w:rsidP="001C2F1D">
      <w:r w:rsidRPr="006018CC">
        <w:rPr>
          <w:rStyle w:val="a7"/>
          <w:rtl/>
        </w:rPr>
        <w:t>مؤسسو نظرية الاعتماد على الموارد</w:t>
      </w:r>
    </w:p>
    <w:p w14:paraId="1E9E77B4" w14:textId="77777777" w:rsidR="00F52834" w:rsidRPr="006018CC" w:rsidRDefault="00F52834" w:rsidP="00F52834">
      <w:pPr>
        <w:pStyle w:val="a3"/>
      </w:pPr>
      <w:r w:rsidRPr="006018CC">
        <w:rPr>
          <w:rtl/>
        </w:rPr>
        <w:lastRenderedPageBreak/>
        <w:t xml:space="preserve">تم تطوير </w:t>
      </w:r>
      <w:r w:rsidRPr="006018CC">
        <w:rPr>
          <w:rStyle w:val="a7"/>
          <w:rtl/>
        </w:rPr>
        <w:t>نظرية الاعتماد على الموارد</w:t>
      </w:r>
      <w:r w:rsidRPr="006018CC">
        <w:rPr>
          <w:rtl/>
        </w:rPr>
        <w:t xml:space="preserve"> بواسطة الباحثين </w:t>
      </w:r>
      <w:proofErr w:type="spellStart"/>
      <w:r w:rsidRPr="006018CC">
        <w:rPr>
          <w:rStyle w:val="a7"/>
          <w:rtl/>
        </w:rPr>
        <w:t>جينغ</w:t>
      </w:r>
      <w:proofErr w:type="spellEnd"/>
      <w:r w:rsidRPr="006018CC">
        <w:rPr>
          <w:rStyle w:val="a7"/>
          <w:rtl/>
        </w:rPr>
        <w:t xml:space="preserve"> </w:t>
      </w:r>
      <w:proofErr w:type="spellStart"/>
      <w:r w:rsidRPr="006018CC">
        <w:rPr>
          <w:rStyle w:val="a7"/>
          <w:rtl/>
        </w:rPr>
        <w:t>مينز</w:t>
      </w:r>
      <w:proofErr w:type="spellEnd"/>
      <w:r w:rsidRPr="006018CC">
        <w:rPr>
          <w:rStyle w:val="a7"/>
          <w:rtl/>
        </w:rPr>
        <w:t xml:space="preserve"> </w:t>
      </w:r>
      <w:proofErr w:type="gramStart"/>
      <w:r w:rsidRPr="006018CC">
        <w:rPr>
          <w:rStyle w:val="a7"/>
          <w:rtl/>
        </w:rPr>
        <w:t>و كيث</w:t>
      </w:r>
      <w:proofErr w:type="gramEnd"/>
      <w:r w:rsidRPr="006018CC">
        <w:rPr>
          <w:rStyle w:val="a7"/>
          <w:rtl/>
        </w:rPr>
        <w:t xml:space="preserve"> بوتر</w:t>
      </w:r>
      <w:r w:rsidRPr="006018CC">
        <w:rPr>
          <w:rtl/>
        </w:rPr>
        <w:t xml:space="preserve"> في السبعينيات. وفقًا لهذه النظرية، فإن المنظمات يجب أن تدير بيئتها الخارجية بعناية لضمان حصولها على الموارد التي تحتاجها للبقاء. اعتقد </w:t>
      </w:r>
      <w:proofErr w:type="spellStart"/>
      <w:r w:rsidRPr="006018CC">
        <w:rPr>
          <w:rtl/>
        </w:rPr>
        <w:t>مينز</w:t>
      </w:r>
      <w:proofErr w:type="spellEnd"/>
      <w:r w:rsidRPr="006018CC">
        <w:rPr>
          <w:rtl/>
        </w:rPr>
        <w:t xml:space="preserve"> وبوتر أن المنظمات لا تعمل في فراغ، بل هي جزء من شبكة من العلاقات التي تؤثر بشكل كبير على استراتيجياتها وقراراتها</w:t>
      </w:r>
      <w:r w:rsidRPr="006018CC">
        <w:t>.</w:t>
      </w:r>
    </w:p>
    <w:p w14:paraId="4062E5C5" w14:textId="77777777" w:rsidR="00F52834" w:rsidRPr="006018CC" w:rsidRDefault="00F52834" w:rsidP="001C2F1D">
      <w:r w:rsidRPr="006018CC">
        <w:rPr>
          <w:rStyle w:val="a7"/>
          <w:rtl/>
        </w:rPr>
        <w:t>المبادئ الأساسية في نظرية الاعتماد على الموارد</w:t>
      </w:r>
    </w:p>
    <w:p w14:paraId="2D1584F1" w14:textId="77777777" w:rsidR="00F52834" w:rsidRPr="006018CC" w:rsidRDefault="00F52834" w:rsidP="00F52834">
      <w:pPr>
        <w:pStyle w:val="a3"/>
        <w:numPr>
          <w:ilvl w:val="0"/>
          <w:numId w:val="26"/>
        </w:numPr>
      </w:pPr>
      <w:r w:rsidRPr="006018CC">
        <w:rPr>
          <w:rStyle w:val="a7"/>
          <w:rtl/>
        </w:rPr>
        <w:t>الاعتماد المتبادل</w:t>
      </w:r>
      <w:r w:rsidRPr="006018CC">
        <w:t xml:space="preserve">: </w:t>
      </w:r>
      <w:r w:rsidRPr="006018CC">
        <w:rPr>
          <w:rtl/>
        </w:rPr>
        <w:t>المنظمات تعتمد على مجموعة متنوعة من الموردين والعملاء والموارد الأخرى الموجودة في بيئتها. في الوقت نفسه، تعتمد هذه الجهات الخارجية أيضًا على المنظمات للحصول على قيمة أو فوائد. يشير هذا إلى وجود علاقة متبادلة من الاعتماد</w:t>
      </w:r>
      <w:r w:rsidRPr="006018CC">
        <w:t>.</w:t>
      </w:r>
    </w:p>
    <w:p w14:paraId="2D99EB3E" w14:textId="77777777" w:rsidR="00F52834" w:rsidRPr="006018CC" w:rsidRDefault="00F52834" w:rsidP="00F52834">
      <w:pPr>
        <w:pStyle w:val="a3"/>
        <w:numPr>
          <w:ilvl w:val="0"/>
          <w:numId w:val="26"/>
        </w:numPr>
      </w:pPr>
      <w:r w:rsidRPr="006018CC">
        <w:rPr>
          <w:rStyle w:val="a7"/>
          <w:rtl/>
        </w:rPr>
        <w:t>الاستراتيجيات لتقليل الاعتماد</w:t>
      </w:r>
      <w:r w:rsidRPr="006018CC">
        <w:t xml:space="preserve">: </w:t>
      </w:r>
      <w:r w:rsidRPr="006018CC">
        <w:rPr>
          <w:rtl/>
        </w:rPr>
        <w:t>نظراً للمخاطر المرتبطة بالاعتماد على الموردين أو الأطراف الأخرى، تسعى المنظمات إلى تقليل هذا الاعتماد من خلال اتخاذ إجراءات مثل التنويع أو تكوين تحالفات أو حتى استراتيجيات لتكوين مواردها الخاصة</w:t>
      </w:r>
      <w:r w:rsidRPr="006018CC">
        <w:t>.</w:t>
      </w:r>
    </w:p>
    <w:p w14:paraId="04E26D43" w14:textId="77777777" w:rsidR="00F52834" w:rsidRPr="006018CC" w:rsidRDefault="00F52834" w:rsidP="00F52834">
      <w:pPr>
        <w:pStyle w:val="a3"/>
        <w:numPr>
          <w:ilvl w:val="0"/>
          <w:numId w:val="26"/>
        </w:numPr>
      </w:pPr>
      <w:r w:rsidRPr="006018CC">
        <w:rPr>
          <w:rStyle w:val="a7"/>
          <w:rtl/>
        </w:rPr>
        <w:t>السلطة في العلاقات</w:t>
      </w:r>
      <w:r w:rsidRPr="006018CC">
        <w:t xml:space="preserve">: </w:t>
      </w:r>
      <w:r w:rsidRPr="006018CC">
        <w:rPr>
          <w:rtl/>
        </w:rPr>
        <w:t>في سياق علاقات الاعتماد، تتحقق السلطة عندما تتحكم إحدى الأطراف في الموارد التي تحتاجها الأطراف الأخرى. تكون المنظمة في وضع ضعيف إذا كانت تعتمد بشكل مفرط على مصدر واحد للموارد</w:t>
      </w:r>
      <w:r w:rsidRPr="006018CC">
        <w:t>.</w:t>
      </w:r>
    </w:p>
    <w:p w14:paraId="7D865E9B" w14:textId="77777777" w:rsidR="00F52834" w:rsidRPr="006018CC" w:rsidRDefault="00F52834" w:rsidP="00F52834">
      <w:pPr>
        <w:pStyle w:val="a3"/>
        <w:numPr>
          <w:ilvl w:val="0"/>
          <w:numId w:val="26"/>
        </w:numPr>
      </w:pPr>
      <w:r w:rsidRPr="006018CC">
        <w:rPr>
          <w:rStyle w:val="a7"/>
          <w:rtl/>
        </w:rPr>
        <w:t>التوازن بين التبعية والسلطة</w:t>
      </w:r>
      <w:r w:rsidRPr="006018CC">
        <w:t xml:space="preserve">: </w:t>
      </w:r>
      <w:r w:rsidRPr="006018CC">
        <w:rPr>
          <w:rtl/>
        </w:rPr>
        <w:t>المنظمات تسعى إلى تحقيق التوازن بين الاعتماد على الموارد الخارجية وبين الحفاظ على مستوى من الاستقلالية. يتطلب هذا استخدام استراتيجيات مثل التحالفات، الدمج، أو حتى بناء تحالفات طويلة الأمد مع الموردين والعملاء</w:t>
      </w:r>
      <w:r w:rsidRPr="006018CC">
        <w:t>.</w:t>
      </w:r>
    </w:p>
    <w:p w14:paraId="26E85426" w14:textId="77777777" w:rsidR="00F52834" w:rsidRPr="006018CC" w:rsidRDefault="00F52834" w:rsidP="001C2F1D">
      <w:r w:rsidRPr="006018CC">
        <w:rPr>
          <w:rStyle w:val="a7"/>
          <w:rtl/>
        </w:rPr>
        <w:t>أهمية نظرية الاعتماد على الموارد</w:t>
      </w:r>
    </w:p>
    <w:p w14:paraId="39F108C0" w14:textId="77777777" w:rsidR="00F52834" w:rsidRPr="006018CC" w:rsidRDefault="00F52834" w:rsidP="00F52834">
      <w:pPr>
        <w:pStyle w:val="a3"/>
        <w:numPr>
          <w:ilvl w:val="0"/>
          <w:numId w:val="27"/>
        </w:numPr>
      </w:pPr>
      <w:r w:rsidRPr="006018CC">
        <w:rPr>
          <w:rStyle w:val="a7"/>
          <w:rtl/>
        </w:rPr>
        <w:t>تحليل بيئة العمل</w:t>
      </w:r>
      <w:r w:rsidRPr="006018CC">
        <w:t xml:space="preserve">: </w:t>
      </w:r>
      <w:r w:rsidRPr="006018CC">
        <w:rPr>
          <w:rtl/>
        </w:rPr>
        <w:t>تتيح نظرية الاعتماد على الموارد للمنظمات فهم البيئة الخارجية التي تعمل فيها وكيفية تأثير هذه البيئة على استراتيجياتها وقراراتها. تساعد المنظمات في تقدير المخاطر المتعلقة بالاعتماد على موردين أو عملاء محددين</w:t>
      </w:r>
      <w:r w:rsidRPr="006018CC">
        <w:t>.</w:t>
      </w:r>
    </w:p>
    <w:p w14:paraId="6EE98A82" w14:textId="77777777" w:rsidR="00F52834" w:rsidRPr="006018CC" w:rsidRDefault="00F52834" w:rsidP="00F52834">
      <w:pPr>
        <w:pStyle w:val="a3"/>
        <w:numPr>
          <w:ilvl w:val="0"/>
          <w:numId w:val="27"/>
        </w:numPr>
      </w:pPr>
      <w:r w:rsidRPr="006018CC">
        <w:rPr>
          <w:rStyle w:val="a7"/>
          <w:rtl/>
        </w:rPr>
        <w:t>إدارة العلاقات مع الأطراف الخارجية</w:t>
      </w:r>
      <w:r w:rsidRPr="006018CC">
        <w:t xml:space="preserve">: </w:t>
      </w:r>
      <w:r w:rsidRPr="006018CC">
        <w:rPr>
          <w:rtl/>
        </w:rPr>
        <w:t>من خلال النظر في الاعتماد على الموردين والعملاء، يمكن للمنظمات تطوير استراتيجيات لتقليل هذا الاعتماد، مثل البحث عن بدائل للموردين أو التفاوض للحصول على شروط أفضل</w:t>
      </w:r>
      <w:r w:rsidRPr="006018CC">
        <w:t>.</w:t>
      </w:r>
    </w:p>
    <w:p w14:paraId="1073987D" w14:textId="77777777" w:rsidR="00F52834" w:rsidRPr="006018CC" w:rsidRDefault="00F52834" w:rsidP="00F52834">
      <w:pPr>
        <w:pStyle w:val="a3"/>
        <w:numPr>
          <w:ilvl w:val="0"/>
          <w:numId w:val="27"/>
        </w:numPr>
      </w:pPr>
      <w:r w:rsidRPr="006018CC">
        <w:rPr>
          <w:rStyle w:val="a7"/>
          <w:rtl/>
        </w:rPr>
        <w:t>تحقيق الاستدامة</w:t>
      </w:r>
      <w:r w:rsidRPr="006018CC">
        <w:t xml:space="preserve">: </w:t>
      </w:r>
      <w:r w:rsidRPr="006018CC">
        <w:rPr>
          <w:rtl/>
        </w:rPr>
        <w:t>تساعد هذه النظرية المنظمات في تحقيق الاستدامة على المدى الطويل من خلال تحسين إدارتها للموارد، وتقليل تعرضها للمخاطر الناتجة عن الاعتماد المفرط على مصدر واحد</w:t>
      </w:r>
      <w:r w:rsidRPr="006018CC">
        <w:t>.</w:t>
      </w:r>
    </w:p>
    <w:p w14:paraId="3DAD9F3E" w14:textId="77777777" w:rsidR="00F52834" w:rsidRPr="006018CC" w:rsidRDefault="00F52834" w:rsidP="001C2F1D">
      <w:r w:rsidRPr="006018CC">
        <w:rPr>
          <w:rStyle w:val="a7"/>
          <w:rtl/>
        </w:rPr>
        <w:t>أبعاد نظرية الاعتماد على الموارد</w:t>
      </w:r>
    </w:p>
    <w:p w14:paraId="48C2F154" w14:textId="77777777" w:rsidR="00F52834" w:rsidRPr="006018CC" w:rsidRDefault="00F52834" w:rsidP="00F52834">
      <w:pPr>
        <w:pStyle w:val="a3"/>
        <w:numPr>
          <w:ilvl w:val="0"/>
          <w:numId w:val="28"/>
        </w:numPr>
      </w:pPr>
      <w:r w:rsidRPr="006018CC">
        <w:rPr>
          <w:rStyle w:val="a7"/>
          <w:rtl/>
        </w:rPr>
        <w:lastRenderedPageBreak/>
        <w:t>الاعتماد على الموردين</w:t>
      </w:r>
      <w:r w:rsidRPr="006018CC">
        <w:t xml:space="preserve">: </w:t>
      </w:r>
      <w:r w:rsidRPr="006018CC">
        <w:rPr>
          <w:rtl/>
        </w:rPr>
        <w:t>يعتمد معظم المنظمات على موردي المواد الخام، العمالة، أو التكنولوجيا. هذا الاعتماد يمكن أن يُحَدِّد قدرتها على التحكم في عمليات الإنتاج والتوسع</w:t>
      </w:r>
      <w:r w:rsidRPr="006018CC">
        <w:t>.</w:t>
      </w:r>
    </w:p>
    <w:p w14:paraId="79B0FB41" w14:textId="77777777" w:rsidR="00F52834" w:rsidRPr="006018CC" w:rsidRDefault="00F52834" w:rsidP="00F52834">
      <w:pPr>
        <w:pStyle w:val="a3"/>
        <w:numPr>
          <w:ilvl w:val="0"/>
          <w:numId w:val="28"/>
        </w:numPr>
      </w:pPr>
      <w:r w:rsidRPr="006018CC">
        <w:rPr>
          <w:rStyle w:val="a7"/>
          <w:rtl/>
        </w:rPr>
        <w:t>الاعتماد على العملاء</w:t>
      </w:r>
      <w:r w:rsidRPr="006018CC">
        <w:t xml:space="preserve">: </w:t>
      </w:r>
      <w:r w:rsidRPr="006018CC">
        <w:rPr>
          <w:rtl/>
        </w:rPr>
        <w:t>قد تكون المنظمات أيضًا في موقف تعتمد فيه على عملائها لتحقيق إيرادات مستدامة. في هذا السياق، تسعى المنظمات إلى تقليل هذا الاعتماد عن طريق التنويع في العملاء</w:t>
      </w:r>
      <w:r w:rsidRPr="006018CC">
        <w:t>.</w:t>
      </w:r>
    </w:p>
    <w:p w14:paraId="15A3E15B" w14:textId="77777777" w:rsidR="00F52834" w:rsidRPr="006018CC" w:rsidRDefault="00F52834" w:rsidP="00F52834">
      <w:pPr>
        <w:pStyle w:val="a3"/>
        <w:numPr>
          <w:ilvl w:val="0"/>
          <w:numId w:val="28"/>
        </w:numPr>
      </w:pPr>
      <w:r w:rsidRPr="006018CC">
        <w:rPr>
          <w:rStyle w:val="a7"/>
          <w:rtl/>
        </w:rPr>
        <w:t>الاعتماد على السلطات والحكومات</w:t>
      </w:r>
      <w:r w:rsidRPr="006018CC">
        <w:t xml:space="preserve">: </w:t>
      </w:r>
      <w:r w:rsidRPr="006018CC">
        <w:rPr>
          <w:rtl/>
        </w:rPr>
        <w:t>قد تكون بعض المنظمات، خاصةً في القطاعات الخدمية أو التنظيمية، بحاجة إلى الاعتماد على الجهات الحكومية للحصول على التصاريح أو الامتيازات الخاصة بالعمل</w:t>
      </w:r>
      <w:r w:rsidRPr="006018CC">
        <w:t>.</w:t>
      </w:r>
    </w:p>
    <w:p w14:paraId="4B091389" w14:textId="77777777" w:rsidR="00F52834" w:rsidRPr="006018CC" w:rsidRDefault="00F52834" w:rsidP="001C2F1D">
      <w:r w:rsidRPr="006018CC">
        <w:rPr>
          <w:rStyle w:val="a7"/>
          <w:rtl/>
        </w:rPr>
        <w:t>الاستراتيجيات في إطار نظرية الاعتماد على الموارد</w:t>
      </w:r>
    </w:p>
    <w:p w14:paraId="363F4071" w14:textId="77777777" w:rsidR="00F52834" w:rsidRPr="006018CC" w:rsidRDefault="00F52834" w:rsidP="00F52834">
      <w:pPr>
        <w:pStyle w:val="a3"/>
        <w:numPr>
          <w:ilvl w:val="0"/>
          <w:numId w:val="29"/>
        </w:numPr>
      </w:pPr>
      <w:r w:rsidRPr="006018CC">
        <w:rPr>
          <w:rStyle w:val="a7"/>
          <w:rtl/>
        </w:rPr>
        <w:t>التنويع</w:t>
      </w:r>
      <w:r w:rsidRPr="006018CC">
        <w:t xml:space="preserve">: </w:t>
      </w:r>
      <w:r w:rsidRPr="006018CC">
        <w:rPr>
          <w:rtl/>
        </w:rPr>
        <w:t>تسعى المنظمات لتقليل اعتمادها على مصدر واحد للموارد من خلال التنويع في مصادرها. هذا قد يشمل البحث عن موردين بديلين أو توسيع نطاق العملاء</w:t>
      </w:r>
      <w:r w:rsidRPr="006018CC">
        <w:t>.</w:t>
      </w:r>
    </w:p>
    <w:p w14:paraId="33980871" w14:textId="77777777" w:rsidR="00F52834" w:rsidRPr="006018CC" w:rsidRDefault="00F52834" w:rsidP="00F52834">
      <w:pPr>
        <w:pStyle w:val="a3"/>
        <w:numPr>
          <w:ilvl w:val="0"/>
          <w:numId w:val="29"/>
        </w:numPr>
      </w:pPr>
      <w:r w:rsidRPr="006018CC">
        <w:rPr>
          <w:rStyle w:val="a7"/>
          <w:rtl/>
        </w:rPr>
        <w:t>التحالفات الاستراتيجية</w:t>
      </w:r>
      <w:r w:rsidRPr="006018CC">
        <w:t xml:space="preserve">: </w:t>
      </w:r>
      <w:r w:rsidRPr="006018CC">
        <w:rPr>
          <w:rtl/>
        </w:rPr>
        <w:t>تعمل المنظمات على إقامة شراكات وتحالفات مع مؤسسات أخرى للمشاركة في الموارد وتقليل الاعتماد على الأطراف الخارجية</w:t>
      </w:r>
      <w:r w:rsidRPr="006018CC">
        <w:t>.</w:t>
      </w:r>
    </w:p>
    <w:p w14:paraId="6A88A546" w14:textId="77777777" w:rsidR="00F52834" w:rsidRPr="006018CC" w:rsidRDefault="00F52834" w:rsidP="00F52834">
      <w:pPr>
        <w:pStyle w:val="a3"/>
        <w:numPr>
          <w:ilvl w:val="0"/>
          <w:numId w:val="29"/>
        </w:numPr>
      </w:pPr>
      <w:r w:rsidRPr="006018CC">
        <w:rPr>
          <w:rStyle w:val="a7"/>
          <w:rtl/>
        </w:rPr>
        <w:t>الاستحواذ والدمج</w:t>
      </w:r>
      <w:r w:rsidRPr="006018CC">
        <w:t xml:space="preserve">: </w:t>
      </w:r>
      <w:r w:rsidRPr="006018CC">
        <w:rPr>
          <w:rtl/>
        </w:rPr>
        <w:t>في بعض الحالات، تسعى المنظمات إلى تقليل الاعتماد على الموردين أو العملاء من خلال الاستحواذ على الشركات الأخرى أو الدمج معها</w:t>
      </w:r>
      <w:r w:rsidRPr="006018CC">
        <w:t>.</w:t>
      </w:r>
    </w:p>
    <w:p w14:paraId="1739608C" w14:textId="77777777" w:rsidR="00F52834" w:rsidRPr="006018CC" w:rsidRDefault="00F52834" w:rsidP="00F52834">
      <w:pPr>
        <w:pStyle w:val="a3"/>
        <w:numPr>
          <w:ilvl w:val="0"/>
          <w:numId w:val="29"/>
        </w:numPr>
      </w:pPr>
      <w:r w:rsidRPr="006018CC">
        <w:rPr>
          <w:rStyle w:val="a7"/>
          <w:rtl/>
        </w:rPr>
        <w:t>التفاوض على الشروط</w:t>
      </w:r>
      <w:r w:rsidRPr="006018CC">
        <w:t xml:space="preserve">: </w:t>
      </w:r>
      <w:r w:rsidRPr="006018CC">
        <w:rPr>
          <w:rtl/>
        </w:rPr>
        <w:t>يمكن للمنظمات تحسين وضعها التفاوضي مع الموردين والعملاء من خلال استخدام استراتيجيات تفاوضية للحصول على شروط أفضل وتقليل الاعتماد</w:t>
      </w:r>
      <w:r w:rsidRPr="006018CC">
        <w:t>.</w:t>
      </w:r>
    </w:p>
    <w:p w14:paraId="0F39A6D7" w14:textId="77777777" w:rsidR="00F52834" w:rsidRPr="006018CC" w:rsidRDefault="00F52834" w:rsidP="001C2F1D">
      <w:r w:rsidRPr="006018CC">
        <w:rPr>
          <w:rStyle w:val="a7"/>
          <w:rtl/>
        </w:rPr>
        <w:t>التحديات في تطبيق نظرية الاعتماد على الموارد</w:t>
      </w:r>
    </w:p>
    <w:p w14:paraId="31C240A0" w14:textId="77777777" w:rsidR="00F52834" w:rsidRPr="006018CC" w:rsidRDefault="00F52834" w:rsidP="00F52834">
      <w:pPr>
        <w:pStyle w:val="a3"/>
        <w:numPr>
          <w:ilvl w:val="0"/>
          <w:numId w:val="30"/>
        </w:numPr>
      </w:pPr>
      <w:r w:rsidRPr="006018CC">
        <w:rPr>
          <w:rStyle w:val="a7"/>
          <w:rtl/>
        </w:rPr>
        <w:t>القدرة على التكيف مع التغيرات</w:t>
      </w:r>
      <w:r w:rsidRPr="006018CC">
        <w:t xml:space="preserve">: </w:t>
      </w:r>
      <w:r w:rsidRPr="006018CC">
        <w:rPr>
          <w:rtl/>
        </w:rPr>
        <w:t>المنظمات قد تواجه صعوبة في التكيف مع التغيرات السريعة في البيئة الخارجية التي تؤثر على مواردها</w:t>
      </w:r>
      <w:r w:rsidRPr="006018CC">
        <w:t>.</w:t>
      </w:r>
    </w:p>
    <w:p w14:paraId="04360EA6" w14:textId="77777777" w:rsidR="00F52834" w:rsidRPr="006018CC" w:rsidRDefault="00F52834" w:rsidP="00F52834">
      <w:pPr>
        <w:pStyle w:val="a3"/>
        <w:numPr>
          <w:ilvl w:val="0"/>
          <w:numId w:val="30"/>
        </w:numPr>
      </w:pPr>
      <w:r w:rsidRPr="006018CC">
        <w:rPr>
          <w:rStyle w:val="a7"/>
          <w:rtl/>
        </w:rPr>
        <w:t>المخاطر المرتبطة بالعلاقات الخارجية</w:t>
      </w:r>
      <w:r w:rsidRPr="006018CC">
        <w:t xml:space="preserve">: </w:t>
      </w:r>
      <w:r w:rsidRPr="006018CC">
        <w:rPr>
          <w:rtl/>
        </w:rPr>
        <w:t>الاعتماد على أطراف خارجية قد يؤدي إلى مخاطر إذا كانت هذه الأطراف لا تلتزم بالعقود أو تواجه مشكلات اقتصادية</w:t>
      </w:r>
      <w:r w:rsidRPr="006018CC">
        <w:t>.</w:t>
      </w:r>
    </w:p>
    <w:p w14:paraId="28DCA596" w14:textId="77777777" w:rsidR="00F52834" w:rsidRPr="006018CC" w:rsidRDefault="00F52834" w:rsidP="00F52834">
      <w:pPr>
        <w:pStyle w:val="a3"/>
        <w:numPr>
          <w:ilvl w:val="0"/>
          <w:numId w:val="30"/>
        </w:numPr>
      </w:pPr>
      <w:r w:rsidRPr="006018CC">
        <w:rPr>
          <w:rStyle w:val="a7"/>
          <w:rtl/>
        </w:rPr>
        <w:t>تعقيد استراتيجيات التقليل من الاعتماد</w:t>
      </w:r>
      <w:r w:rsidRPr="006018CC">
        <w:t xml:space="preserve">: </w:t>
      </w:r>
      <w:r w:rsidRPr="006018CC">
        <w:rPr>
          <w:rtl/>
        </w:rPr>
        <w:t>بناء استراتيجيات فعالة لتقليل الاعتماد يتطلب وقتًا وجهدًا كبيرًا، وقد يتطلب استثمارات مالية كبيرة</w:t>
      </w:r>
      <w:r w:rsidRPr="006018CC">
        <w:t>.</w:t>
      </w:r>
    </w:p>
    <w:p w14:paraId="33C93692" w14:textId="77777777" w:rsidR="00F52834" w:rsidRPr="006018CC" w:rsidRDefault="00F52834" w:rsidP="00F52834">
      <w:pPr>
        <w:pStyle w:val="a3"/>
      </w:pPr>
      <w:r w:rsidRPr="006018CC">
        <w:rPr>
          <w:rtl/>
        </w:rPr>
        <w:t>في ضوء نظرية الاعتماد على الموارد، يمكن تحليل تأثير الذكاء الاصطناعي</w:t>
      </w:r>
      <w:r w:rsidRPr="006018CC">
        <w:t xml:space="preserve"> (AI) </w:t>
      </w:r>
      <w:r w:rsidRPr="006018CC">
        <w:rPr>
          <w:rtl/>
        </w:rPr>
        <w:t>على اعتماد المؤسسات على الموارد الخارجية ودوره في تقليل عدم اليقين البيئي من خلال النقاط التالية</w:t>
      </w:r>
      <w:r w:rsidRPr="006018CC">
        <w:t>:</w:t>
      </w:r>
    </w:p>
    <w:p w14:paraId="493F5907" w14:textId="77777777" w:rsidR="00F52834" w:rsidRPr="006018CC" w:rsidRDefault="00F52834" w:rsidP="00F52834">
      <w:pPr>
        <w:pStyle w:val="a3"/>
        <w:rPr>
          <w:rtl/>
        </w:rPr>
      </w:pPr>
    </w:p>
    <w:p w14:paraId="1E474127" w14:textId="77777777" w:rsidR="00F52834" w:rsidRPr="006018CC" w:rsidRDefault="00F52834" w:rsidP="00F52834">
      <w:pPr>
        <w:pStyle w:val="a3"/>
      </w:pPr>
      <w:r w:rsidRPr="006018CC">
        <w:rPr>
          <w:rtl/>
        </w:rPr>
        <w:t>تأثير الذكاء الاصطناعي على اعتماد المؤسسات على الموارد الخارجية</w:t>
      </w:r>
      <w:r w:rsidRPr="006018CC">
        <w:t>:</w:t>
      </w:r>
    </w:p>
    <w:p w14:paraId="2E9B4651" w14:textId="77777777" w:rsidR="00F52834" w:rsidRPr="006018CC" w:rsidRDefault="00F52834" w:rsidP="00F52834">
      <w:pPr>
        <w:pStyle w:val="a3"/>
        <w:numPr>
          <w:ilvl w:val="0"/>
          <w:numId w:val="37"/>
        </w:numPr>
      </w:pPr>
      <w:r w:rsidRPr="006018CC">
        <w:rPr>
          <w:b/>
          <w:bCs/>
          <w:rtl/>
        </w:rPr>
        <w:lastRenderedPageBreak/>
        <w:t>تحسين استراتيجيات التوريد والتوريد الذكي</w:t>
      </w:r>
      <w:r w:rsidRPr="006018CC">
        <w:t xml:space="preserve">: </w:t>
      </w:r>
      <w:r w:rsidRPr="006018CC">
        <w:rPr>
          <w:rtl/>
        </w:rPr>
        <w:t>يمكن للذكاء الاصطناعي تحسين القدرة على التنبؤ بالاحتياجات المستقبلية من خلال تحليل البيانات الضخمة، مما يمكن المؤسسات من تحسين استراتيجيات التوريد. عبر استخدام تقنيات الذكاء الاصطناعي مثل التعلم الآلي والتحليلات التنبؤية، يمكن للمؤسسات تحديد مصادر بديلة للموردين أو المواد الخام بشكل أسرع وأكثر دقة، وبالتالي تقليل الاعتماد على الموردين الحاليين</w:t>
      </w:r>
      <w:r w:rsidRPr="006018CC">
        <w:t>.</w:t>
      </w:r>
    </w:p>
    <w:p w14:paraId="15E56067" w14:textId="77777777" w:rsidR="00F52834" w:rsidRPr="006018CC" w:rsidRDefault="00F52834" w:rsidP="00F52834">
      <w:pPr>
        <w:pStyle w:val="a3"/>
        <w:numPr>
          <w:ilvl w:val="0"/>
          <w:numId w:val="37"/>
        </w:numPr>
      </w:pPr>
      <w:r w:rsidRPr="006018CC">
        <w:rPr>
          <w:b/>
          <w:bCs/>
          <w:rtl/>
        </w:rPr>
        <w:t>أتمتة العمليات</w:t>
      </w:r>
      <w:r w:rsidRPr="006018CC">
        <w:t xml:space="preserve">: </w:t>
      </w:r>
      <w:r w:rsidRPr="006018CC">
        <w:rPr>
          <w:rtl/>
        </w:rPr>
        <w:t>الذكاء الاصطناعي يمكن أن يساهم في أتمتة العمليات داخل المنظمة، مثل إدارة سلسلة التوريد أو الأنظمة المالية. هذا يمكن أن يقلل من الاعتماد على الموارد البشرية أو الأطراف الخارجية التي كانت مسؤولة عن هذه العمليات، مما يعزز قدرة المنظمة على العمل بشكل مستقل</w:t>
      </w:r>
      <w:r w:rsidRPr="006018CC">
        <w:t>.</w:t>
      </w:r>
    </w:p>
    <w:p w14:paraId="1BB01421" w14:textId="77777777" w:rsidR="00F52834" w:rsidRPr="006018CC" w:rsidRDefault="00F52834" w:rsidP="00F52834">
      <w:pPr>
        <w:pStyle w:val="a3"/>
        <w:numPr>
          <w:ilvl w:val="0"/>
          <w:numId w:val="37"/>
        </w:numPr>
      </w:pPr>
      <w:r w:rsidRPr="006018CC">
        <w:rPr>
          <w:b/>
          <w:bCs/>
          <w:rtl/>
        </w:rPr>
        <w:t>التفاعل مع العملاء</w:t>
      </w:r>
      <w:r w:rsidRPr="006018CC">
        <w:t xml:space="preserve">: </w:t>
      </w:r>
      <w:r w:rsidRPr="006018CC">
        <w:rPr>
          <w:rtl/>
        </w:rPr>
        <w:t>الذكاء الاصطناعي يمكن أن يحسن التفاعل مع العملاء من خلال أدوات مثل الدردشة الآلية وخدمات الدعم الذكي، مما يقلل من الاعتماد على الموظفين الخارجيين أو الأطراف الثالثة التي تدير هذه الأنشطة</w:t>
      </w:r>
      <w:r w:rsidRPr="006018CC">
        <w:t>.</w:t>
      </w:r>
    </w:p>
    <w:p w14:paraId="4D00FF1E" w14:textId="77777777" w:rsidR="00F52834" w:rsidRPr="006018CC" w:rsidRDefault="00F52834" w:rsidP="00F52834">
      <w:pPr>
        <w:pStyle w:val="a3"/>
        <w:numPr>
          <w:ilvl w:val="0"/>
          <w:numId w:val="37"/>
        </w:numPr>
      </w:pPr>
      <w:r w:rsidRPr="006018CC">
        <w:rPr>
          <w:b/>
          <w:bCs/>
          <w:rtl/>
        </w:rPr>
        <w:t>تحسين استراتيجيات التفاوض</w:t>
      </w:r>
      <w:r w:rsidRPr="006018CC">
        <w:t xml:space="preserve">: </w:t>
      </w:r>
      <w:r w:rsidRPr="006018CC">
        <w:rPr>
          <w:rtl/>
        </w:rPr>
        <w:t>يمكن للذكاء الاصطناعي تحليل بيانات السوق والعلاقات مع الموردين والعملاء، مما يتيح للمؤسسات التفاوض بشكل أكثر فاعلية للحصول على شروط أفضل وتقليل الاعتماد على العلاقات غير المتوازنة مع الأطراف الخارجية</w:t>
      </w:r>
      <w:r w:rsidRPr="006018CC">
        <w:t>.</w:t>
      </w:r>
    </w:p>
    <w:p w14:paraId="3A480687" w14:textId="77777777" w:rsidR="00F52834" w:rsidRPr="006018CC" w:rsidRDefault="00F52834" w:rsidP="00F52834">
      <w:pPr>
        <w:pStyle w:val="a3"/>
      </w:pPr>
      <w:r w:rsidRPr="006018CC">
        <w:rPr>
          <w:rtl/>
        </w:rPr>
        <w:t>دور الذكاء الاصطناعي في تقليل عدم اليقين البيئي</w:t>
      </w:r>
      <w:r w:rsidRPr="006018CC">
        <w:t>:</w:t>
      </w:r>
    </w:p>
    <w:p w14:paraId="782F40B5" w14:textId="77777777" w:rsidR="00F52834" w:rsidRPr="006018CC" w:rsidRDefault="00F52834" w:rsidP="00F52834">
      <w:pPr>
        <w:pStyle w:val="a3"/>
        <w:numPr>
          <w:ilvl w:val="0"/>
          <w:numId w:val="38"/>
        </w:numPr>
      </w:pPr>
      <w:r w:rsidRPr="006018CC">
        <w:rPr>
          <w:b/>
          <w:bCs/>
          <w:rtl/>
        </w:rPr>
        <w:t>التنبؤ والتخطيط الاستراتيجي</w:t>
      </w:r>
      <w:r w:rsidRPr="006018CC">
        <w:t xml:space="preserve">: </w:t>
      </w:r>
      <w:r w:rsidRPr="006018CC">
        <w:rPr>
          <w:rtl/>
        </w:rPr>
        <w:t>الذكاء الاصطناعي يمكن أن يساعد المؤسسات على التنبؤ بالتغيرات المستقبلية في البيئة الاقتصادية، السياسية، والاجتماعية من خلال تحليل البيانات والتوجهات. هذا التنبؤ يمكن أن يقلل من عدم اليقين الذي تواجهه المنظمات في اتخاذ قرارات استراتيجية ويزيد من قدرتها على التكيف مع التغيرات البيئية بسرعة أكبر</w:t>
      </w:r>
      <w:r w:rsidRPr="006018CC">
        <w:t>.</w:t>
      </w:r>
    </w:p>
    <w:p w14:paraId="47D24D86" w14:textId="77777777" w:rsidR="00F52834" w:rsidRPr="006018CC" w:rsidRDefault="00F52834" w:rsidP="00F52834">
      <w:pPr>
        <w:pStyle w:val="a3"/>
        <w:numPr>
          <w:ilvl w:val="0"/>
          <w:numId w:val="38"/>
        </w:numPr>
      </w:pPr>
      <w:r w:rsidRPr="006018CC">
        <w:rPr>
          <w:b/>
          <w:bCs/>
          <w:rtl/>
        </w:rPr>
        <w:t>تحسين إدارة المخاطر</w:t>
      </w:r>
      <w:r w:rsidRPr="006018CC">
        <w:t xml:space="preserve">: </w:t>
      </w:r>
      <w:r w:rsidRPr="006018CC">
        <w:rPr>
          <w:rtl/>
        </w:rPr>
        <w:t>باستخدام تقنيات الذكاء الاصطناعي في تحليل المخاطر، يمكن للمؤسسات تقليل المخاطر المرتبطة بالاعتماد على أطراف خارجية. على سبيل المثال، يمكن للذكاء الاصطناعي اكتشاف أي مشكلات محتملة مع الموردين أو الأسواق بشكل مبكر، مما يتيح للمؤسسة اتخاذ إجراءات استباقية لتقليل التأثيرات السلبية</w:t>
      </w:r>
      <w:r w:rsidRPr="006018CC">
        <w:t>.</w:t>
      </w:r>
    </w:p>
    <w:p w14:paraId="69F4EB90" w14:textId="77777777" w:rsidR="00F52834" w:rsidRPr="006018CC" w:rsidRDefault="00F52834" w:rsidP="00F52834">
      <w:pPr>
        <w:pStyle w:val="a3"/>
        <w:numPr>
          <w:ilvl w:val="0"/>
          <w:numId w:val="38"/>
        </w:numPr>
      </w:pPr>
      <w:r w:rsidRPr="006018CC">
        <w:rPr>
          <w:b/>
          <w:bCs/>
          <w:rtl/>
        </w:rPr>
        <w:t>زيادة الابتكار</w:t>
      </w:r>
      <w:r w:rsidRPr="006018CC">
        <w:t xml:space="preserve">: </w:t>
      </w:r>
      <w:r w:rsidRPr="006018CC">
        <w:rPr>
          <w:rtl/>
        </w:rPr>
        <w:t>يمكن للذكاء الاصطناعي تعزيز قدرة المؤسسات على الابتكار، مما يعزز قدرتها على التكيف مع البيئات المتغيرة. الابتكار المستمر يقلل من الاعتماد على العوامل الخارجية ويزيد من استقلالية المنظمة</w:t>
      </w:r>
      <w:r w:rsidRPr="006018CC">
        <w:t>.</w:t>
      </w:r>
    </w:p>
    <w:p w14:paraId="73FDE400" w14:textId="77777777" w:rsidR="00F52834" w:rsidRPr="006018CC" w:rsidRDefault="00F52834" w:rsidP="00F52834">
      <w:pPr>
        <w:pStyle w:val="a3"/>
        <w:numPr>
          <w:ilvl w:val="0"/>
          <w:numId w:val="38"/>
        </w:numPr>
      </w:pPr>
      <w:r w:rsidRPr="006018CC">
        <w:rPr>
          <w:b/>
          <w:bCs/>
          <w:rtl/>
        </w:rPr>
        <w:t>دعم المشروعات المتوسطة والصغيرة</w:t>
      </w:r>
      <w:r w:rsidRPr="006018CC">
        <w:t xml:space="preserve">: </w:t>
      </w:r>
      <w:r w:rsidRPr="006018CC">
        <w:rPr>
          <w:rtl/>
        </w:rPr>
        <w:t xml:space="preserve">يساعد الذكاء الاصطناعي المشروعات المتوسطة والصغيرة في تقليل عدم اليقين البيئي من خلال أدوات مثل الذكاء التنافسي وتحليل البيانات، </w:t>
      </w:r>
      <w:r w:rsidRPr="006018CC">
        <w:rPr>
          <w:rtl/>
        </w:rPr>
        <w:lastRenderedPageBreak/>
        <w:t>مما يمكنها من التكيف بسرعة مع التغيرات في الطلب أو السوق. هذا يمكن أن يعزز من قدرتها على التنافس في بيئة الأعمال المليئة بالتحديات ويقلل من اعتمادها على الموارد الخارجية</w:t>
      </w:r>
      <w:r w:rsidRPr="006018CC">
        <w:t>.</w:t>
      </w:r>
    </w:p>
    <w:p w14:paraId="6E20DB65" w14:textId="77777777" w:rsidR="00F52834" w:rsidRPr="006018CC" w:rsidRDefault="00F52834" w:rsidP="00F52834">
      <w:pPr>
        <w:pStyle w:val="a3"/>
      </w:pPr>
      <w:r w:rsidRPr="006018CC">
        <w:rPr>
          <w:rtl/>
        </w:rPr>
        <w:t>من خلال تكامل الذكاء الاصطناعي، يمكن للمؤسسات تقليل اعتمادها على الموارد الخارجية عبر تحسين استراتيجيات التوريد، أتمتة العمليات، وتحسين التفاعل مع العملاء. كما يلعب الذكاء الاصطناعي دورًا مهمًا في تقليل عدم اليقين البيئي، مما يمكن المؤسسات من التكيف بشكل أسرع مع التغيرات، تعزيز الابتكار، وتحقيق المزيد من الاستقلالية والقدرة على التنافس</w:t>
      </w:r>
      <w:r w:rsidRPr="006018CC">
        <w:t>.</w:t>
      </w:r>
    </w:p>
    <w:p w14:paraId="7D8D9438" w14:textId="77777777" w:rsidR="00F52834" w:rsidRPr="006018CC" w:rsidRDefault="00F52834" w:rsidP="00F52834">
      <w:pPr>
        <w:spacing w:after="0"/>
        <w:ind w:firstLine="0"/>
      </w:pPr>
      <w:r w:rsidRPr="006018CC">
        <w:rPr>
          <w:rtl/>
        </w:rPr>
        <w:t>عاشرا: نظرية التنظيم الصناعي (</w:t>
      </w:r>
      <w:r w:rsidRPr="006018CC">
        <w:t>Industrial Organization Theory</w:t>
      </w:r>
      <w:r w:rsidRPr="006018CC">
        <w:rPr>
          <w:rtl/>
        </w:rPr>
        <w:t>)</w:t>
      </w:r>
    </w:p>
    <w:p w14:paraId="3B7C2327" w14:textId="77777777" w:rsidR="00F52834" w:rsidRPr="006018CC" w:rsidRDefault="00F52834" w:rsidP="00F52834">
      <w:pPr>
        <w:pStyle w:val="a3"/>
      </w:pPr>
      <w:r w:rsidRPr="006018CC">
        <w:rPr>
          <w:rStyle w:val="a7"/>
          <w:rtl/>
        </w:rPr>
        <w:t>نظرية التنظيم الصناعي</w:t>
      </w:r>
      <w:r w:rsidRPr="006018CC">
        <w:rPr>
          <w:rStyle w:val="a7"/>
        </w:rPr>
        <w:t xml:space="preserve"> (Industrial Organization Theory)</w:t>
      </w:r>
      <w:r w:rsidRPr="006018CC">
        <w:t xml:space="preserve"> </w:t>
      </w:r>
      <w:r w:rsidRPr="006018CC">
        <w:rPr>
          <w:rtl/>
        </w:rPr>
        <w:t>هي نظرية في مجال الاقتصاد تهدف إلى دراسة سلوك الشركات والأسواق الصناعية، وكيف تؤثر الهيكل الصناعي في الأداء الاقتصادي. تهتم هذه النظرية بتحليل كيفية تأثير العوامل الهيكلية على تنافسية السوق وكيفية توزيع الثروة بين الشركات والمستهلكين</w:t>
      </w:r>
      <w:r w:rsidRPr="006018CC">
        <w:t>.</w:t>
      </w:r>
    </w:p>
    <w:p w14:paraId="245D5DEB" w14:textId="77777777" w:rsidR="00F52834" w:rsidRPr="006018CC" w:rsidRDefault="00F52834" w:rsidP="001C2F1D">
      <w:r w:rsidRPr="006018CC">
        <w:rPr>
          <w:rStyle w:val="a7"/>
          <w:rtl/>
        </w:rPr>
        <w:t>المفاهيم الأساسية في نظرية التنظيم الصناعي</w:t>
      </w:r>
    </w:p>
    <w:p w14:paraId="2CE8D68A" w14:textId="77777777" w:rsidR="00F52834" w:rsidRPr="006018CC" w:rsidRDefault="00F52834" w:rsidP="00F52834">
      <w:pPr>
        <w:pStyle w:val="a3"/>
        <w:numPr>
          <w:ilvl w:val="0"/>
          <w:numId w:val="31"/>
        </w:numPr>
      </w:pPr>
      <w:r w:rsidRPr="006018CC">
        <w:rPr>
          <w:rStyle w:val="a7"/>
          <w:rtl/>
        </w:rPr>
        <w:t>الهيكل السوقي</w:t>
      </w:r>
      <w:r w:rsidRPr="006018CC">
        <w:rPr>
          <w:rStyle w:val="a7"/>
        </w:rPr>
        <w:t xml:space="preserve"> (Market Structure)</w:t>
      </w:r>
      <w:r w:rsidRPr="006018CC">
        <w:t xml:space="preserve">: </w:t>
      </w:r>
      <w:r w:rsidRPr="006018CC">
        <w:rPr>
          <w:rtl/>
        </w:rPr>
        <w:t>يتعامل هذا المفهوم مع خصائص السوق مثل عدد الشركات، حجم الشركات، درجة التنافس، ووجود حواجز الدخول. الهيكل السوقي يُعتبر عنصرًا رئيسيًا في تحديد كيفية تصرف الشركات في السوق</w:t>
      </w:r>
      <w:r w:rsidRPr="006018CC">
        <w:t>.</w:t>
      </w:r>
    </w:p>
    <w:p w14:paraId="7B7B419F" w14:textId="77777777" w:rsidR="00F52834" w:rsidRPr="006018CC" w:rsidRDefault="00F52834" w:rsidP="00F52834">
      <w:pPr>
        <w:pStyle w:val="a3"/>
        <w:numPr>
          <w:ilvl w:val="0"/>
          <w:numId w:val="31"/>
        </w:numPr>
      </w:pPr>
      <w:r w:rsidRPr="006018CC">
        <w:rPr>
          <w:rStyle w:val="a7"/>
          <w:rtl/>
        </w:rPr>
        <w:t>سلوك الشركات</w:t>
      </w:r>
      <w:r w:rsidRPr="006018CC">
        <w:rPr>
          <w:rStyle w:val="a7"/>
        </w:rPr>
        <w:t xml:space="preserve"> (Firms' Behavior)</w:t>
      </w:r>
      <w:r w:rsidRPr="006018CC">
        <w:t xml:space="preserve">: </w:t>
      </w:r>
      <w:r w:rsidRPr="006018CC">
        <w:rPr>
          <w:rtl/>
        </w:rPr>
        <w:t>يركز هذا الجزء من النظرية على كيف تتصرف الشركات داخل السوق بناءً على الهيكل السائد. يشمل ذلك استراتيجيات التسعير، الإعلان، الابتكار، والممارسات التنافسية</w:t>
      </w:r>
      <w:r w:rsidRPr="006018CC">
        <w:t>.</w:t>
      </w:r>
    </w:p>
    <w:p w14:paraId="42917AA1" w14:textId="77777777" w:rsidR="00F52834" w:rsidRPr="006018CC" w:rsidRDefault="00F52834" w:rsidP="00F52834">
      <w:pPr>
        <w:pStyle w:val="a3"/>
        <w:numPr>
          <w:ilvl w:val="0"/>
          <w:numId w:val="31"/>
        </w:numPr>
      </w:pPr>
      <w:r w:rsidRPr="006018CC">
        <w:rPr>
          <w:rStyle w:val="a7"/>
          <w:rtl/>
        </w:rPr>
        <w:t>الأداء الاقتصادي</w:t>
      </w:r>
      <w:r w:rsidRPr="006018CC">
        <w:rPr>
          <w:rStyle w:val="a7"/>
        </w:rPr>
        <w:t xml:space="preserve"> (Economic Performance)</w:t>
      </w:r>
      <w:r w:rsidRPr="006018CC">
        <w:t xml:space="preserve">: </w:t>
      </w:r>
      <w:r w:rsidRPr="006018CC">
        <w:rPr>
          <w:rtl/>
        </w:rPr>
        <w:t>تتعلق هذه الفئة بكيفية تأثير هيكل السوق وسلوك الشركات على الأداء الكلي للاقتصاد، بما في ذلك الكفاءة الاقتصادية، الربحية، والابتكار</w:t>
      </w:r>
      <w:r w:rsidRPr="006018CC">
        <w:t>.</w:t>
      </w:r>
    </w:p>
    <w:p w14:paraId="621A54B8" w14:textId="77777777" w:rsidR="00F52834" w:rsidRPr="006018CC" w:rsidRDefault="00F52834" w:rsidP="00F52834">
      <w:pPr>
        <w:pStyle w:val="a3"/>
        <w:numPr>
          <w:ilvl w:val="0"/>
          <w:numId w:val="31"/>
        </w:numPr>
      </w:pPr>
      <w:r w:rsidRPr="006018CC">
        <w:rPr>
          <w:rStyle w:val="a7"/>
          <w:rtl/>
        </w:rPr>
        <w:t>التنافسية</w:t>
      </w:r>
      <w:r w:rsidRPr="006018CC">
        <w:rPr>
          <w:rStyle w:val="a7"/>
        </w:rPr>
        <w:t xml:space="preserve"> (Competition)</w:t>
      </w:r>
      <w:r w:rsidRPr="006018CC">
        <w:t xml:space="preserve">: </w:t>
      </w:r>
      <w:r w:rsidRPr="006018CC">
        <w:rPr>
          <w:rtl/>
        </w:rPr>
        <w:t>تعتبر التنافسية أحد الأعمدة الرئيسية في نظرية التنظيم الصناعي، حيث تسعى الشركات إلى زيادة حصتها السوقية من خلال تقنيات مختلفة مثل خفض الأسعار أو تحسين الجودة</w:t>
      </w:r>
      <w:r w:rsidRPr="006018CC">
        <w:t>.</w:t>
      </w:r>
    </w:p>
    <w:p w14:paraId="2730F5B4" w14:textId="77777777" w:rsidR="00F52834" w:rsidRPr="006018CC" w:rsidRDefault="00F52834" w:rsidP="001C2F1D">
      <w:r w:rsidRPr="006018CC">
        <w:rPr>
          <w:rStyle w:val="a7"/>
          <w:rtl/>
        </w:rPr>
        <w:t>مؤسسو نظرية التنظيم الصناعي</w:t>
      </w:r>
    </w:p>
    <w:p w14:paraId="1C4ED295" w14:textId="77777777" w:rsidR="00F52834" w:rsidRPr="006018CC" w:rsidRDefault="00F52834" w:rsidP="00F52834">
      <w:pPr>
        <w:pStyle w:val="a3"/>
      </w:pPr>
      <w:r w:rsidRPr="006018CC">
        <w:rPr>
          <w:rtl/>
        </w:rPr>
        <w:t xml:space="preserve">ظهرت نظرية التنظيم الصناعي في بداية القرن العشرين، وارتبطت بشكل خاص بـ </w:t>
      </w:r>
      <w:proofErr w:type="spellStart"/>
      <w:r w:rsidRPr="006018CC">
        <w:rPr>
          <w:rStyle w:val="a7"/>
          <w:rtl/>
        </w:rPr>
        <w:t>أوتو</w:t>
      </w:r>
      <w:proofErr w:type="spellEnd"/>
      <w:r w:rsidRPr="006018CC">
        <w:rPr>
          <w:rStyle w:val="a7"/>
          <w:rtl/>
        </w:rPr>
        <w:t xml:space="preserve"> إي. ويبر</w:t>
      </w:r>
      <w:r w:rsidRPr="006018CC">
        <w:rPr>
          <w:rtl/>
        </w:rPr>
        <w:t xml:space="preserve"> </w:t>
      </w:r>
      <w:proofErr w:type="gramStart"/>
      <w:r w:rsidRPr="006018CC">
        <w:rPr>
          <w:rtl/>
        </w:rPr>
        <w:t xml:space="preserve">و </w:t>
      </w:r>
      <w:r w:rsidRPr="006018CC">
        <w:rPr>
          <w:rStyle w:val="a7"/>
          <w:rtl/>
        </w:rPr>
        <w:t>هارولد</w:t>
      </w:r>
      <w:proofErr w:type="gramEnd"/>
      <w:r w:rsidRPr="006018CC">
        <w:rPr>
          <w:rStyle w:val="a7"/>
          <w:rtl/>
        </w:rPr>
        <w:t xml:space="preserve"> </w:t>
      </w:r>
      <w:proofErr w:type="spellStart"/>
      <w:r w:rsidRPr="006018CC">
        <w:rPr>
          <w:rStyle w:val="a7"/>
          <w:rtl/>
        </w:rPr>
        <w:t>هوتلين</w:t>
      </w:r>
      <w:proofErr w:type="spellEnd"/>
      <w:r w:rsidRPr="006018CC">
        <w:t xml:space="preserve">. </w:t>
      </w:r>
      <w:r w:rsidRPr="006018CC">
        <w:rPr>
          <w:rtl/>
        </w:rPr>
        <w:t xml:space="preserve">ومع تطور النظرية، قام العديد من الاقتصاديين بتطوير نماذج ونظريات </w:t>
      </w:r>
      <w:r w:rsidRPr="006018CC">
        <w:rPr>
          <w:rtl/>
        </w:rPr>
        <w:lastRenderedPageBreak/>
        <w:t xml:space="preserve">تحاول تفسير كيفية تأثير الهيكل السوقي على الأداء الاقتصادي، مثل </w:t>
      </w:r>
      <w:r w:rsidRPr="006018CC">
        <w:rPr>
          <w:rStyle w:val="a7"/>
          <w:rtl/>
        </w:rPr>
        <w:t xml:space="preserve">نموذج </w:t>
      </w:r>
      <w:proofErr w:type="spellStart"/>
      <w:r w:rsidRPr="006018CC">
        <w:rPr>
          <w:rStyle w:val="a7"/>
          <w:rtl/>
        </w:rPr>
        <w:t>سِبَرَنر</w:t>
      </w:r>
      <w:proofErr w:type="spellEnd"/>
      <w:r w:rsidRPr="006018CC">
        <w:rPr>
          <w:rtl/>
        </w:rPr>
        <w:t xml:space="preserve"> </w:t>
      </w:r>
      <w:proofErr w:type="gramStart"/>
      <w:r w:rsidRPr="006018CC">
        <w:rPr>
          <w:rtl/>
        </w:rPr>
        <w:t xml:space="preserve">و </w:t>
      </w:r>
      <w:r w:rsidRPr="006018CC">
        <w:rPr>
          <w:rStyle w:val="a7"/>
          <w:rtl/>
        </w:rPr>
        <w:t>نموذج</w:t>
      </w:r>
      <w:proofErr w:type="gramEnd"/>
      <w:r w:rsidRPr="006018CC">
        <w:rPr>
          <w:rStyle w:val="a7"/>
          <w:rtl/>
        </w:rPr>
        <w:t xml:space="preserve"> </w:t>
      </w:r>
      <w:proofErr w:type="spellStart"/>
      <w:r w:rsidRPr="006018CC">
        <w:rPr>
          <w:rStyle w:val="a7"/>
          <w:rtl/>
        </w:rPr>
        <w:t>بركمان</w:t>
      </w:r>
      <w:proofErr w:type="spellEnd"/>
      <w:r w:rsidRPr="006018CC">
        <w:t>.</w:t>
      </w:r>
    </w:p>
    <w:p w14:paraId="16F16FF4" w14:textId="77777777" w:rsidR="00F52834" w:rsidRPr="006018CC" w:rsidRDefault="00F52834" w:rsidP="001C2F1D">
      <w:r w:rsidRPr="006018CC">
        <w:rPr>
          <w:rStyle w:val="a7"/>
          <w:rtl/>
        </w:rPr>
        <w:t>النماذج الأساسية في نظرية التنظيم الصناعي</w:t>
      </w:r>
    </w:p>
    <w:p w14:paraId="4760A49A" w14:textId="77777777" w:rsidR="00F52834" w:rsidRPr="006018CC" w:rsidRDefault="00F52834" w:rsidP="00F52834">
      <w:pPr>
        <w:pStyle w:val="a3"/>
        <w:numPr>
          <w:ilvl w:val="0"/>
          <w:numId w:val="32"/>
        </w:numPr>
      </w:pPr>
      <w:r w:rsidRPr="006018CC">
        <w:rPr>
          <w:rStyle w:val="a7"/>
          <w:rtl/>
        </w:rPr>
        <w:t>نموذج هيكل-سلوك-أداء</w:t>
      </w:r>
      <w:r w:rsidRPr="006018CC">
        <w:rPr>
          <w:rStyle w:val="a7"/>
        </w:rPr>
        <w:t xml:space="preserve"> (Structure-Conduct-Performance Model)</w:t>
      </w:r>
      <w:r w:rsidRPr="006018CC">
        <w:t>:</w:t>
      </w:r>
    </w:p>
    <w:p w14:paraId="6197944A" w14:textId="77777777" w:rsidR="00F52834" w:rsidRPr="006018CC" w:rsidRDefault="00F52834" w:rsidP="00F52834">
      <w:pPr>
        <w:numPr>
          <w:ilvl w:val="1"/>
          <w:numId w:val="32"/>
        </w:numPr>
        <w:spacing w:before="100" w:beforeAutospacing="1" w:after="100" w:afterAutospacing="1"/>
      </w:pPr>
      <w:r w:rsidRPr="006018CC">
        <w:rPr>
          <w:rStyle w:val="a7"/>
          <w:rtl/>
        </w:rPr>
        <w:t>الهيكل</w:t>
      </w:r>
      <w:r w:rsidRPr="006018CC">
        <w:t xml:space="preserve">: </w:t>
      </w:r>
      <w:r w:rsidRPr="006018CC">
        <w:rPr>
          <w:rtl/>
        </w:rPr>
        <w:t>يُعني بتركيب السوق من حيث عدد الشركات وحجمها، الحواجز التي تواجه دخول الشركات الجديدة، ودرجة التنافس</w:t>
      </w:r>
      <w:r w:rsidRPr="006018CC">
        <w:t>.</w:t>
      </w:r>
    </w:p>
    <w:p w14:paraId="0F20CDC0" w14:textId="77777777" w:rsidR="00F52834" w:rsidRPr="006018CC" w:rsidRDefault="00F52834" w:rsidP="00F52834">
      <w:pPr>
        <w:numPr>
          <w:ilvl w:val="1"/>
          <w:numId w:val="32"/>
        </w:numPr>
        <w:spacing w:before="100" w:beforeAutospacing="1" w:after="100" w:afterAutospacing="1"/>
      </w:pPr>
      <w:r w:rsidRPr="006018CC">
        <w:rPr>
          <w:rStyle w:val="a7"/>
          <w:rtl/>
        </w:rPr>
        <w:t>السلوك</w:t>
      </w:r>
      <w:r w:rsidRPr="006018CC">
        <w:t xml:space="preserve">: </w:t>
      </w:r>
      <w:r w:rsidRPr="006018CC">
        <w:rPr>
          <w:rtl/>
        </w:rPr>
        <w:t>يتعلق بكيفية تصرف الشركات في السوق، مثل استراتيجيات التسعير، الإعلان، الابتكار، والتحالفات</w:t>
      </w:r>
      <w:r w:rsidRPr="006018CC">
        <w:t>.</w:t>
      </w:r>
    </w:p>
    <w:p w14:paraId="788203AE" w14:textId="77777777" w:rsidR="00F52834" w:rsidRPr="006018CC" w:rsidRDefault="00F52834" w:rsidP="00F52834">
      <w:pPr>
        <w:numPr>
          <w:ilvl w:val="1"/>
          <w:numId w:val="32"/>
        </w:numPr>
        <w:spacing w:before="100" w:beforeAutospacing="1" w:after="100" w:afterAutospacing="1"/>
      </w:pPr>
      <w:r w:rsidRPr="006018CC">
        <w:rPr>
          <w:rStyle w:val="a7"/>
          <w:rtl/>
        </w:rPr>
        <w:t>الأداء</w:t>
      </w:r>
      <w:r w:rsidRPr="006018CC">
        <w:t xml:space="preserve">: </w:t>
      </w:r>
      <w:r w:rsidRPr="006018CC">
        <w:rPr>
          <w:rtl/>
        </w:rPr>
        <w:t>يتناول تأثير الهيكل والسلوك على الأداء الاقتصادي، مثل مستوى الأسعار، الكفاءة الاقتصادية، وربحية الشركات</w:t>
      </w:r>
      <w:r w:rsidRPr="006018CC">
        <w:t>.</w:t>
      </w:r>
    </w:p>
    <w:p w14:paraId="2ED42E9C" w14:textId="77777777" w:rsidR="00F52834" w:rsidRPr="006018CC" w:rsidRDefault="00F52834" w:rsidP="00F52834">
      <w:pPr>
        <w:pStyle w:val="a3"/>
        <w:numPr>
          <w:ilvl w:val="0"/>
          <w:numId w:val="32"/>
        </w:numPr>
      </w:pPr>
      <w:r w:rsidRPr="006018CC">
        <w:rPr>
          <w:rStyle w:val="a7"/>
          <w:rtl/>
        </w:rPr>
        <w:t>نظرية السوق المثالية</w:t>
      </w:r>
      <w:r w:rsidRPr="006018CC">
        <w:rPr>
          <w:rStyle w:val="a7"/>
        </w:rPr>
        <w:t xml:space="preserve"> (Perfect Competition Theory)</w:t>
      </w:r>
      <w:r w:rsidRPr="006018CC">
        <w:t xml:space="preserve">: </w:t>
      </w:r>
      <w:r w:rsidRPr="006018CC">
        <w:rPr>
          <w:rtl/>
        </w:rPr>
        <w:t>تركز على السوق المثالي حيث يوجد عدد غير محدود من الشركات التي تتنافس بحرية، حيث يؤدي التنافس إلى تخصيص فعال للموارد</w:t>
      </w:r>
      <w:r w:rsidRPr="006018CC">
        <w:t>.</w:t>
      </w:r>
    </w:p>
    <w:p w14:paraId="1D0CEF04" w14:textId="77777777" w:rsidR="00F52834" w:rsidRPr="006018CC" w:rsidRDefault="00F52834" w:rsidP="00F52834">
      <w:pPr>
        <w:pStyle w:val="a3"/>
        <w:numPr>
          <w:ilvl w:val="0"/>
          <w:numId w:val="32"/>
        </w:numPr>
      </w:pPr>
      <w:r w:rsidRPr="006018CC">
        <w:rPr>
          <w:rStyle w:val="a7"/>
          <w:rtl/>
        </w:rPr>
        <w:t>نموذج الاحتكار الطبيعي</w:t>
      </w:r>
      <w:r w:rsidRPr="006018CC">
        <w:rPr>
          <w:rStyle w:val="a7"/>
        </w:rPr>
        <w:t xml:space="preserve"> (Natural Monopoly Model)</w:t>
      </w:r>
      <w:r w:rsidRPr="006018CC">
        <w:t xml:space="preserve">: </w:t>
      </w:r>
      <w:r w:rsidRPr="006018CC">
        <w:rPr>
          <w:rtl/>
        </w:rPr>
        <w:t>يوضح هذا النموذج كيف يمكن لبعض الصناعات التي تتطلب استثمارات ضخمة في البنية التحتية أن تؤدي إلى ظهور احتكار طبيعي، حيث يكون وجود شركة واحدة أكثر كفاءة من وجود عدة شركات</w:t>
      </w:r>
      <w:r w:rsidRPr="006018CC">
        <w:t>.</w:t>
      </w:r>
    </w:p>
    <w:p w14:paraId="143A25DA" w14:textId="77777777" w:rsidR="00F52834" w:rsidRPr="006018CC" w:rsidRDefault="00F52834" w:rsidP="00F52834">
      <w:pPr>
        <w:pStyle w:val="a3"/>
        <w:numPr>
          <w:ilvl w:val="0"/>
          <w:numId w:val="32"/>
        </w:numPr>
      </w:pPr>
      <w:r w:rsidRPr="006018CC">
        <w:rPr>
          <w:rStyle w:val="a7"/>
          <w:rtl/>
        </w:rPr>
        <w:t>نموذج الاستراتيجيات التنافسية</w:t>
      </w:r>
      <w:r w:rsidRPr="006018CC">
        <w:t xml:space="preserve">: </w:t>
      </w:r>
      <w:r w:rsidRPr="006018CC">
        <w:rPr>
          <w:rtl/>
        </w:rPr>
        <w:t>تركز هذه النظرية على كيفية استخدام الشركات لاستراتيجيات مثل التميز أو خفض التكاليف للتفوق على المنافسين</w:t>
      </w:r>
      <w:r w:rsidRPr="006018CC">
        <w:t>.</w:t>
      </w:r>
    </w:p>
    <w:p w14:paraId="15CAD4EB" w14:textId="77777777" w:rsidR="00F52834" w:rsidRPr="006018CC" w:rsidRDefault="00F52834" w:rsidP="001C2F1D">
      <w:r w:rsidRPr="006018CC">
        <w:rPr>
          <w:rStyle w:val="a7"/>
          <w:rtl/>
        </w:rPr>
        <w:t>المفاهيم الأساسية في نظرية التنظيم الصناعي</w:t>
      </w:r>
    </w:p>
    <w:p w14:paraId="2157021B" w14:textId="77777777" w:rsidR="00F52834" w:rsidRPr="006018CC" w:rsidRDefault="00F52834" w:rsidP="00F52834">
      <w:pPr>
        <w:pStyle w:val="a3"/>
        <w:numPr>
          <w:ilvl w:val="0"/>
          <w:numId w:val="33"/>
        </w:numPr>
      </w:pPr>
      <w:r w:rsidRPr="006018CC">
        <w:rPr>
          <w:rStyle w:val="a7"/>
          <w:rtl/>
        </w:rPr>
        <w:t>الاحتكار</w:t>
      </w:r>
      <w:r w:rsidRPr="006018CC">
        <w:rPr>
          <w:rStyle w:val="a7"/>
        </w:rPr>
        <w:t xml:space="preserve"> (Monopoly)</w:t>
      </w:r>
      <w:r w:rsidRPr="006018CC">
        <w:t xml:space="preserve">: </w:t>
      </w:r>
      <w:r w:rsidRPr="006018CC">
        <w:rPr>
          <w:rtl/>
        </w:rPr>
        <w:t>حيث تهيمن شركة واحدة على السوق ولا توجد منافسة فعالة. في هذه الحالة، تتحكم الشركة في الأسعار وتحديد الإنتاج</w:t>
      </w:r>
      <w:r w:rsidRPr="006018CC">
        <w:t>.</w:t>
      </w:r>
    </w:p>
    <w:p w14:paraId="21F88B45" w14:textId="77777777" w:rsidR="00F52834" w:rsidRPr="006018CC" w:rsidRDefault="00F52834" w:rsidP="00F52834">
      <w:pPr>
        <w:pStyle w:val="a3"/>
        <w:numPr>
          <w:ilvl w:val="0"/>
          <w:numId w:val="33"/>
        </w:numPr>
      </w:pPr>
      <w:r w:rsidRPr="006018CC">
        <w:rPr>
          <w:rStyle w:val="a7"/>
          <w:rtl/>
        </w:rPr>
        <w:t>الاحتكار القليل</w:t>
      </w:r>
      <w:r w:rsidRPr="006018CC">
        <w:rPr>
          <w:rStyle w:val="a7"/>
        </w:rPr>
        <w:t xml:space="preserve"> (Oligopoly)</w:t>
      </w:r>
      <w:r w:rsidRPr="006018CC">
        <w:t xml:space="preserve">: </w:t>
      </w:r>
      <w:r w:rsidRPr="006018CC">
        <w:rPr>
          <w:rtl/>
        </w:rPr>
        <w:t>حيث يوجد عدد قليل من الشركات التي تهيمن على السوق، ويتفاعل سلوك كل شركة مع سلوك الشركات الأخرى. هذا النوع من السوق يعزز الاستراتيجيات التنافسية مثل التكتلات أو التفاهمات الضمنية</w:t>
      </w:r>
      <w:r w:rsidRPr="006018CC">
        <w:t>.</w:t>
      </w:r>
    </w:p>
    <w:p w14:paraId="57039827" w14:textId="77777777" w:rsidR="00F52834" w:rsidRPr="006018CC" w:rsidRDefault="00F52834" w:rsidP="00F52834">
      <w:pPr>
        <w:pStyle w:val="a3"/>
        <w:numPr>
          <w:ilvl w:val="0"/>
          <w:numId w:val="33"/>
        </w:numPr>
      </w:pPr>
      <w:r w:rsidRPr="006018CC">
        <w:rPr>
          <w:rStyle w:val="a7"/>
          <w:rtl/>
        </w:rPr>
        <w:t>المنافسة الكاملة</w:t>
      </w:r>
      <w:r w:rsidRPr="006018CC">
        <w:rPr>
          <w:rStyle w:val="a7"/>
        </w:rPr>
        <w:t xml:space="preserve"> (Perfect Competition)</w:t>
      </w:r>
      <w:r w:rsidRPr="006018CC">
        <w:t xml:space="preserve">: </w:t>
      </w:r>
      <w:r w:rsidRPr="006018CC">
        <w:rPr>
          <w:rtl/>
        </w:rPr>
        <w:t>في هذا النوع من الأسواق، يوجد العديد من الشركات التي تبيع منتجًا متماثلًا، مع قلة أو عدم وجود حواجز للدخول، مما يضمن تخصيصًا فعالًا للموارد</w:t>
      </w:r>
      <w:r w:rsidRPr="006018CC">
        <w:t>.</w:t>
      </w:r>
    </w:p>
    <w:p w14:paraId="3FF0F1F3" w14:textId="77777777" w:rsidR="00F52834" w:rsidRPr="006018CC" w:rsidRDefault="00F52834" w:rsidP="00F52834">
      <w:pPr>
        <w:pStyle w:val="a3"/>
        <w:numPr>
          <w:ilvl w:val="0"/>
          <w:numId w:val="33"/>
        </w:numPr>
      </w:pPr>
      <w:r w:rsidRPr="006018CC">
        <w:rPr>
          <w:rStyle w:val="a7"/>
          <w:rtl/>
        </w:rPr>
        <w:lastRenderedPageBreak/>
        <w:t>المنافسة غير الكاملة</w:t>
      </w:r>
      <w:r w:rsidRPr="006018CC">
        <w:rPr>
          <w:rStyle w:val="a7"/>
        </w:rPr>
        <w:t xml:space="preserve"> (Monopolistic Competition)</w:t>
      </w:r>
      <w:r w:rsidRPr="006018CC">
        <w:t xml:space="preserve">: </w:t>
      </w:r>
      <w:r w:rsidRPr="006018CC">
        <w:rPr>
          <w:rtl/>
        </w:rPr>
        <w:t>يشير إلى وجود العديد من الشركات التي تقدم منتجات مشابهة ولكنها متميزة قليلاً عن بعضها، مما يسمح لها بالحصول على جزء من السوق من خلال استراتيجيات التميز</w:t>
      </w:r>
      <w:r w:rsidRPr="006018CC">
        <w:t>.</w:t>
      </w:r>
    </w:p>
    <w:p w14:paraId="197ED2B1" w14:textId="77777777" w:rsidR="00F52834" w:rsidRPr="006018CC" w:rsidRDefault="00F52834" w:rsidP="001C2F1D">
      <w:r w:rsidRPr="006018CC">
        <w:rPr>
          <w:rStyle w:val="a7"/>
          <w:rtl/>
        </w:rPr>
        <w:t>العوامل المؤثرة في التنظيم الصناعي</w:t>
      </w:r>
    </w:p>
    <w:p w14:paraId="31659ADB" w14:textId="77777777" w:rsidR="00F52834" w:rsidRPr="006018CC" w:rsidRDefault="00F52834" w:rsidP="00F52834">
      <w:pPr>
        <w:pStyle w:val="a3"/>
        <w:numPr>
          <w:ilvl w:val="0"/>
          <w:numId w:val="34"/>
        </w:numPr>
      </w:pPr>
      <w:r w:rsidRPr="006018CC">
        <w:rPr>
          <w:rStyle w:val="a7"/>
          <w:rtl/>
        </w:rPr>
        <w:t>حواجز الدخول</w:t>
      </w:r>
      <w:r w:rsidRPr="006018CC">
        <w:t xml:space="preserve">: </w:t>
      </w:r>
      <w:r w:rsidRPr="006018CC">
        <w:rPr>
          <w:rtl/>
        </w:rPr>
        <w:t>تشمل الحواجز الاقتصادية مثل التكاليف المرتفعة أو القوانين التي تمنع دخول الشركات الجديدة إلى السوق، وهذه العوامل تؤثر بشكل مباشر في درجة التنافس</w:t>
      </w:r>
      <w:r w:rsidRPr="006018CC">
        <w:t>.</w:t>
      </w:r>
    </w:p>
    <w:p w14:paraId="21F29322" w14:textId="77777777" w:rsidR="00F52834" w:rsidRPr="006018CC" w:rsidRDefault="00F52834" w:rsidP="00F52834">
      <w:pPr>
        <w:pStyle w:val="a3"/>
        <w:numPr>
          <w:ilvl w:val="0"/>
          <w:numId w:val="34"/>
        </w:numPr>
      </w:pPr>
      <w:r w:rsidRPr="006018CC">
        <w:rPr>
          <w:rStyle w:val="a7"/>
          <w:rtl/>
        </w:rPr>
        <w:t>اقتصاديات الحجم</w:t>
      </w:r>
      <w:r w:rsidRPr="006018CC">
        <w:t xml:space="preserve">: </w:t>
      </w:r>
      <w:r w:rsidRPr="006018CC">
        <w:rPr>
          <w:rtl/>
        </w:rPr>
        <w:t>يمكن للشركات الكبيرة الاستفادة من اقتصاديات الحجم التي تجعل من الصعب على الشركات الأصغر التنافس معها بسبب انخفاض تكاليف الإنتاج لكل وحدة</w:t>
      </w:r>
      <w:r w:rsidRPr="006018CC">
        <w:t>.</w:t>
      </w:r>
    </w:p>
    <w:p w14:paraId="72035571" w14:textId="77777777" w:rsidR="00F52834" w:rsidRPr="006018CC" w:rsidRDefault="00F52834" w:rsidP="00F52834">
      <w:pPr>
        <w:pStyle w:val="a3"/>
        <w:numPr>
          <w:ilvl w:val="0"/>
          <w:numId w:val="34"/>
        </w:numPr>
      </w:pPr>
      <w:r w:rsidRPr="006018CC">
        <w:rPr>
          <w:rStyle w:val="a7"/>
          <w:rtl/>
        </w:rPr>
        <w:t>التكنولوجيا والابتكار</w:t>
      </w:r>
      <w:r w:rsidRPr="006018CC">
        <w:t xml:space="preserve">: </w:t>
      </w:r>
      <w:r w:rsidRPr="006018CC">
        <w:rPr>
          <w:rtl/>
        </w:rPr>
        <w:t>تؤثر الابتكارات التكنولوجية بشكل كبير على الهيكل الصناعي، حيث يمكن للشركات التي تتبنى التقنيات الجديدة أن تحقق ميزات تنافسية</w:t>
      </w:r>
      <w:r w:rsidRPr="006018CC">
        <w:t>.</w:t>
      </w:r>
    </w:p>
    <w:p w14:paraId="04F1C4F1" w14:textId="77777777" w:rsidR="00F52834" w:rsidRPr="006018CC" w:rsidRDefault="00F52834" w:rsidP="00F52834">
      <w:pPr>
        <w:pStyle w:val="a3"/>
        <w:numPr>
          <w:ilvl w:val="0"/>
          <w:numId w:val="34"/>
        </w:numPr>
      </w:pPr>
      <w:r w:rsidRPr="006018CC">
        <w:rPr>
          <w:rStyle w:val="a7"/>
          <w:rtl/>
        </w:rPr>
        <w:t>المنافسة الدولية</w:t>
      </w:r>
      <w:r w:rsidRPr="006018CC">
        <w:t xml:space="preserve">: </w:t>
      </w:r>
      <w:r w:rsidRPr="006018CC">
        <w:rPr>
          <w:rtl/>
        </w:rPr>
        <w:t>في بعض الصناعات، يؤدي التوسع العالمي إلى زيادة التنافس ويؤثر على سلوك الشركات وأسواقها المحلية</w:t>
      </w:r>
      <w:r w:rsidRPr="006018CC">
        <w:t>.</w:t>
      </w:r>
    </w:p>
    <w:p w14:paraId="4A1D12D0" w14:textId="77777777" w:rsidR="00F52834" w:rsidRPr="006018CC" w:rsidRDefault="00F52834" w:rsidP="00603F3B">
      <w:r w:rsidRPr="006018CC">
        <w:rPr>
          <w:rStyle w:val="a7"/>
          <w:rtl/>
        </w:rPr>
        <w:t>التطبيقات العملية لنظرية التنظيم الصناعي</w:t>
      </w:r>
    </w:p>
    <w:p w14:paraId="5867976B" w14:textId="77777777" w:rsidR="00F52834" w:rsidRPr="006018CC" w:rsidRDefault="00F52834" w:rsidP="00F52834">
      <w:pPr>
        <w:pStyle w:val="a3"/>
        <w:numPr>
          <w:ilvl w:val="0"/>
          <w:numId w:val="35"/>
        </w:numPr>
      </w:pPr>
      <w:r w:rsidRPr="006018CC">
        <w:rPr>
          <w:rStyle w:val="a7"/>
          <w:rtl/>
        </w:rPr>
        <w:t>الاحتكار والتنافس</w:t>
      </w:r>
      <w:r w:rsidRPr="006018CC">
        <w:t xml:space="preserve">: </w:t>
      </w:r>
      <w:r w:rsidRPr="006018CC">
        <w:rPr>
          <w:rtl/>
        </w:rPr>
        <w:t>يمكن استخدام نظرية التنظيم الصناعي لتحليل صناعات مثل الاتصالات والطاقة، حيث قد توجد حواجز دخول كبيرة تجعل من الصعب دخول المنافسين الجدد</w:t>
      </w:r>
      <w:r w:rsidRPr="006018CC">
        <w:t>.</w:t>
      </w:r>
    </w:p>
    <w:p w14:paraId="1928C641" w14:textId="77777777" w:rsidR="00F52834" w:rsidRPr="006018CC" w:rsidRDefault="00F52834" w:rsidP="00F52834">
      <w:pPr>
        <w:pStyle w:val="a3"/>
        <w:numPr>
          <w:ilvl w:val="0"/>
          <w:numId w:val="35"/>
        </w:numPr>
      </w:pPr>
      <w:r w:rsidRPr="006018CC">
        <w:rPr>
          <w:rStyle w:val="a7"/>
          <w:rtl/>
        </w:rPr>
        <w:t>استراتيجيات التسعير</w:t>
      </w:r>
      <w:r w:rsidRPr="006018CC">
        <w:t xml:space="preserve">: </w:t>
      </w:r>
      <w:r w:rsidRPr="006018CC">
        <w:rPr>
          <w:rtl/>
        </w:rPr>
        <w:t>تدرس النظرية استراتيجيات التسعير في الأسواق المختلفة، مثل خفض الأسعار لمكافحة المنافسة أو استخدام استراتيجيات مبتكرة لزيادة التميز</w:t>
      </w:r>
      <w:r w:rsidRPr="006018CC">
        <w:t>.</w:t>
      </w:r>
    </w:p>
    <w:p w14:paraId="4C4A720C" w14:textId="77777777" w:rsidR="00F52834" w:rsidRPr="006018CC" w:rsidRDefault="00F52834" w:rsidP="00F52834">
      <w:pPr>
        <w:pStyle w:val="a3"/>
        <w:numPr>
          <w:ilvl w:val="0"/>
          <w:numId w:val="35"/>
        </w:numPr>
      </w:pPr>
      <w:proofErr w:type="spellStart"/>
      <w:r w:rsidRPr="006018CC">
        <w:rPr>
          <w:rStyle w:val="a7"/>
          <w:rtl/>
        </w:rPr>
        <w:t>الاستحواذات</w:t>
      </w:r>
      <w:proofErr w:type="spellEnd"/>
      <w:r w:rsidRPr="006018CC">
        <w:rPr>
          <w:rStyle w:val="a7"/>
          <w:rtl/>
        </w:rPr>
        <w:t xml:space="preserve"> </w:t>
      </w:r>
      <w:proofErr w:type="spellStart"/>
      <w:r w:rsidRPr="006018CC">
        <w:rPr>
          <w:rStyle w:val="a7"/>
          <w:rtl/>
        </w:rPr>
        <w:t>والاندماجات</w:t>
      </w:r>
      <w:proofErr w:type="spellEnd"/>
      <w:r w:rsidRPr="006018CC">
        <w:t xml:space="preserve">: </w:t>
      </w:r>
      <w:r w:rsidRPr="006018CC">
        <w:rPr>
          <w:rtl/>
        </w:rPr>
        <w:t>تساعد نظرية التنظيم الصناعي في فهم كيفية تأثير الاندماج بين الشركات الكبرى على الهيكل السوقي والمنافسة</w:t>
      </w:r>
      <w:r w:rsidRPr="006018CC">
        <w:t>.</w:t>
      </w:r>
    </w:p>
    <w:p w14:paraId="5F06064E" w14:textId="77777777" w:rsidR="00F52834" w:rsidRPr="006018CC" w:rsidRDefault="00F52834" w:rsidP="00F52834">
      <w:pPr>
        <w:pStyle w:val="a3"/>
        <w:numPr>
          <w:ilvl w:val="0"/>
          <w:numId w:val="35"/>
        </w:numPr>
      </w:pPr>
      <w:r w:rsidRPr="006018CC">
        <w:rPr>
          <w:rStyle w:val="a7"/>
          <w:rtl/>
        </w:rPr>
        <w:t>التنظيم الحكومي</w:t>
      </w:r>
      <w:r w:rsidRPr="006018CC">
        <w:t xml:space="preserve">: </w:t>
      </w:r>
      <w:r w:rsidRPr="006018CC">
        <w:rPr>
          <w:rtl/>
        </w:rPr>
        <w:t>تهتم النظرية أيضًا بكيفية تأثير التدخل الحكومي في بعض الصناعات لتنظيم المنافسة، مثل قوانين مكافحة الاحتكار</w:t>
      </w:r>
      <w:r w:rsidRPr="006018CC">
        <w:t>.</w:t>
      </w:r>
    </w:p>
    <w:p w14:paraId="052CD746" w14:textId="77777777" w:rsidR="00F52834" w:rsidRPr="006018CC" w:rsidRDefault="00F52834" w:rsidP="001C2F1D">
      <w:r w:rsidRPr="006018CC">
        <w:rPr>
          <w:rStyle w:val="a7"/>
          <w:rtl/>
        </w:rPr>
        <w:t>أهمية نظرية التنظيم الصناعي</w:t>
      </w:r>
    </w:p>
    <w:p w14:paraId="244B525A" w14:textId="77777777" w:rsidR="00F52834" w:rsidRPr="006018CC" w:rsidRDefault="00F52834" w:rsidP="00F52834">
      <w:pPr>
        <w:pStyle w:val="a3"/>
        <w:numPr>
          <w:ilvl w:val="0"/>
          <w:numId w:val="36"/>
        </w:numPr>
      </w:pPr>
      <w:r w:rsidRPr="006018CC">
        <w:rPr>
          <w:rStyle w:val="a7"/>
          <w:rtl/>
        </w:rPr>
        <w:t>تحديد الاستراتيجيات التنافسية</w:t>
      </w:r>
      <w:r w:rsidRPr="006018CC">
        <w:t xml:space="preserve">: </w:t>
      </w:r>
      <w:r w:rsidRPr="006018CC">
        <w:rPr>
          <w:rtl/>
        </w:rPr>
        <w:t>تساعد الشركات في فهم بيئتها السوقية ووضع استراتيجيات تنافسية فعّالة، مثل تحسين الكفاءة أو التركيز على الابتكار</w:t>
      </w:r>
      <w:r w:rsidRPr="006018CC">
        <w:t>.</w:t>
      </w:r>
    </w:p>
    <w:p w14:paraId="78A309D4" w14:textId="77777777" w:rsidR="00F52834" w:rsidRPr="006018CC" w:rsidRDefault="00F52834" w:rsidP="00F52834">
      <w:pPr>
        <w:pStyle w:val="a3"/>
        <w:numPr>
          <w:ilvl w:val="0"/>
          <w:numId w:val="36"/>
        </w:numPr>
      </w:pPr>
      <w:r w:rsidRPr="006018CC">
        <w:rPr>
          <w:rStyle w:val="a7"/>
          <w:rtl/>
        </w:rPr>
        <w:t>تحليل أداء السوق</w:t>
      </w:r>
      <w:r w:rsidRPr="006018CC">
        <w:t xml:space="preserve">: </w:t>
      </w:r>
      <w:r w:rsidRPr="006018CC">
        <w:rPr>
          <w:rtl/>
        </w:rPr>
        <w:t>تساهم هذه النظرية في فحص كيفية تأثير الهيكل السوقي على الأداء الاقتصادي، سواء من حيث الكفاءة أو التوزيع العادل للثروة</w:t>
      </w:r>
      <w:r w:rsidRPr="006018CC">
        <w:t>.</w:t>
      </w:r>
    </w:p>
    <w:p w14:paraId="21BD00A1" w14:textId="77777777" w:rsidR="00F52834" w:rsidRPr="006018CC" w:rsidRDefault="00F52834" w:rsidP="00F52834">
      <w:pPr>
        <w:pStyle w:val="a3"/>
        <w:numPr>
          <w:ilvl w:val="0"/>
          <w:numId w:val="36"/>
        </w:numPr>
      </w:pPr>
      <w:r w:rsidRPr="006018CC">
        <w:rPr>
          <w:rStyle w:val="a7"/>
          <w:rtl/>
        </w:rPr>
        <w:t>السياسات الحكومية</w:t>
      </w:r>
      <w:r w:rsidRPr="006018CC">
        <w:t xml:space="preserve">: </w:t>
      </w:r>
      <w:r w:rsidRPr="006018CC">
        <w:rPr>
          <w:rtl/>
        </w:rPr>
        <w:t>تساعد الحكومات في اتخاذ قرارات بشأن تنظيم الأسواق وحماية المنافسة من خلال قوانين مكافحة الاحتكار وتنظيم الأسعار</w:t>
      </w:r>
      <w:r w:rsidRPr="006018CC">
        <w:t>.</w:t>
      </w:r>
    </w:p>
    <w:p w14:paraId="6ACDE8A4" w14:textId="77777777" w:rsidR="00F52834" w:rsidRPr="006018CC" w:rsidRDefault="00F52834" w:rsidP="00F52834">
      <w:pPr>
        <w:spacing w:after="0"/>
        <w:ind w:firstLine="0"/>
      </w:pPr>
      <w:r w:rsidRPr="006018CC">
        <w:rPr>
          <w:rtl/>
        </w:rPr>
        <w:lastRenderedPageBreak/>
        <w:t>في ضوء نظرية التنظيم الصناعي، يمكن تحليل تأثير الذكاء الاصطناعي على هيكل الصناعة والمنافسة من خلال عدة جوانب رئيسية تتعلق بالتطور التكنولوجي ودوره في إعادة تشكيل الأسواق. يعد الذكاء الاصطناعي من العوامل المحورية التي تساهم في تغيير هيكل السوق، حيث يمكنه تحسين الكفاءة التشغيلية وتوسيع نطاق الخدمات المقدمة، مما يؤدي إلى تغييرات في طبيعة المنافسة بين الشركات. فالتطور التكنولوجي الذي يأتي مع الذكاء الاصطناعي يسمح للشركات بتقديم منتجات وخدمات مبتكرة بأسعار أقل، مما يعزز التنافس في الأسواق التي كانت تتميز بوجود هيمنة لمجموعة قليلة من الشركات (مثل الاحتكار القليل أو الاحتكار الطبيعي). من خلال تقنيات الذكاء الاصطناعي، يمكن للشركات الكبيرة والصغيرة على حد سواء تحسين كفاءتها وتحقيق اقتصاديات الحجم، مما يعزز قدرتها على التوسع ويجعلها قادرة على منافسة اللاعبين الأكبر في السوق</w:t>
      </w:r>
      <w:r w:rsidRPr="006018CC">
        <w:t>.</w:t>
      </w:r>
    </w:p>
    <w:p w14:paraId="7862D8B5" w14:textId="77777777" w:rsidR="00F52834" w:rsidRPr="006018CC" w:rsidRDefault="00F52834" w:rsidP="00F52834">
      <w:pPr>
        <w:spacing w:after="0"/>
        <w:ind w:firstLine="0"/>
      </w:pPr>
      <w:r w:rsidRPr="006018CC">
        <w:rPr>
          <w:rtl/>
        </w:rPr>
        <w:t>كما يغير الذكاء الاصطناعي ديناميكيات السوق وسلوك المؤسسات من خلال تحويل طرق الإنتاج والتسويق إلى عمليات أكثر تخصيصًا وتفاعلية. في الأسواق التنافسية مثل المنافسة غير الكاملة أو المنافسة الكاملة، تستطيع الشركات استخدام الذكاء الاصطناعي لتحديد الأسعار بشكل ديناميكي استنادًا إلى البيانات والاتجاهات السوقية في الوقت الفعلي. هذه القدرة على التفاعل بسرعة مع التغيرات في الطلب أو العرض قد تساهم في تعديل سلوك الشركات، من خلال توجيه استراتيجيات التسويق أو الابتكار بناءً على تحليل دقيق للسوق. كما يمكن للذكاء الاصطناعي تحسين استراتيجيات التسويق الرقمي، مما يجعلها أكثر تخصيصًا وفاعلية، وبالتالي يغير طريقة التفاعل بين الشركات والعملاء</w:t>
      </w:r>
      <w:r w:rsidRPr="006018CC">
        <w:t>.</w:t>
      </w:r>
    </w:p>
    <w:p w14:paraId="03207EC9" w14:textId="77777777" w:rsidR="00F52834" w:rsidRPr="006018CC" w:rsidRDefault="00F52834" w:rsidP="00F52834">
      <w:pPr>
        <w:spacing w:after="0"/>
        <w:ind w:firstLine="0"/>
      </w:pPr>
      <w:r w:rsidRPr="006018CC">
        <w:rPr>
          <w:rtl/>
        </w:rPr>
        <w:t>من جهة أخرى، يعزز الذكاء الاصطناعي الابتكار في المشرعات المتوسطة والصغيرة بشكل خاص. يمكن لهذه الشركات الاستفادة من الذكاء الاصطناعي لتطوير منتجات وخدمات جديدة بطريقة أكثر فاعلية من خلال أتمتة العمليات وتحليل البيانات. هذا يمنحها القدرة على تحسين الكفاءة وتقليل التكاليف، مما يفتح لها فرصًا أكبر للدخول في أسواق كانت تعتبر في السابق محجوزة للكبرى. على سبيل المثال، يمكن للمشروعات المتوسطة والصغيرة استخدام الذكاء الاصطناعي في أبحاث السوق أو لتقديم حلول مبتكرة تلبي احتياجات محددة لجمهورها المستهدف، مما يعزز قدرتها على المنافسة في أسواق تعاني من احتكار قليل أو منافسة شديدة</w:t>
      </w:r>
      <w:r w:rsidRPr="006018CC">
        <w:t>.</w:t>
      </w:r>
    </w:p>
    <w:p w14:paraId="10AC8F35" w14:textId="77777777" w:rsidR="00F52834" w:rsidRPr="006018CC" w:rsidRDefault="00F52834" w:rsidP="00F52834">
      <w:pPr>
        <w:spacing w:after="0"/>
        <w:ind w:firstLine="0"/>
      </w:pPr>
      <w:r w:rsidRPr="006018CC">
        <w:rPr>
          <w:rtl/>
        </w:rPr>
        <w:t>بناءً على ذلك، فإن الذكاء الاصطناعي يعد أحد المحركات الرئيسية التي تؤثر في هيكل الصناعة وسلوك الشركات، وهو عامل مهم في تحديد مدى قدرة الشركات، بما في ذلك المشرعات الصغيرة والمتوسطة، على التكيف مع بيئات السوق التنافسية</w:t>
      </w:r>
      <w:r w:rsidRPr="006018CC">
        <w:t>.</w:t>
      </w:r>
    </w:p>
    <w:p w14:paraId="46FEA1D9" w14:textId="77777777" w:rsidR="00F52834" w:rsidRPr="006018CC" w:rsidRDefault="00F52834" w:rsidP="00F52834">
      <w:pPr>
        <w:spacing w:after="0"/>
        <w:ind w:firstLine="0"/>
        <w:rPr>
          <w:b/>
          <w:bCs/>
          <w:rtl/>
        </w:rPr>
      </w:pPr>
    </w:p>
    <w:p w14:paraId="3193D827" w14:textId="7F8328CD" w:rsidR="00F52834" w:rsidRPr="006018CC" w:rsidRDefault="00F52834" w:rsidP="00F52834">
      <w:pPr>
        <w:spacing w:after="0"/>
        <w:ind w:firstLine="0"/>
        <w:rPr>
          <w:b/>
          <w:bCs/>
          <w:rtl/>
        </w:rPr>
      </w:pPr>
      <w:r w:rsidRPr="006018CC">
        <w:rPr>
          <w:rFonts w:hint="cs"/>
          <w:b/>
          <w:bCs/>
          <w:rtl/>
        </w:rPr>
        <w:t>الذكاء الاصطناعي والمشروعات المتوسطة والصغيرة</w:t>
      </w:r>
      <w:r w:rsidRPr="006018CC">
        <w:rPr>
          <w:b/>
          <w:bCs/>
          <w:rtl/>
        </w:rPr>
        <w:t>:</w:t>
      </w:r>
    </w:p>
    <w:p w14:paraId="0FD80D3D" w14:textId="77777777" w:rsidR="00F52834" w:rsidRPr="006018CC" w:rsidRDefault="00F52834" w:rsidP="00F52834">
      <w:pPr>
        <w:spacing w:after="0"/>
        <w:ind w:firstLine="0"/>
        <w:rPr>
          <w:rtl/>
        </w:rPr>
      </w:pPr>
      <w:r w:rsidRPr="006018CC">
        <w:rPr>
          <w:rtl/>
        </w:rPr>
        <w:t xml:space="preserve">ترجع أصول الذكاء الاصطناعي إلى أوائل الأربعينيات من القرن الماضي، حين اقترح بعض العلماء نموذجًا للخلايا العصبية الاصطناعية. وقد برز مفهوم الذكاء الاصطناعي بشكل كبير في أوائل </w:t>
      </w:r>
      <w:r w:rsidRPr="006018CC">
        <w:rPr>
          <w:rtl/>
        </w:rPr>
        <w:lastRenderedPageBreak/>
        <w:t xml:space="preserve">الخمسينيات عندما طرح العالم البريطاني آلان </w:t>
      </w:r>
      <w:proofErr w:type="spellStart"/>
      <w:r w:rsidRPr="006018CC">
        <w:rPr>
          <w:rtl/>
        </w:rPr>
        <w:t>تورينج</w:t>
      </w:r>
      <w:proofErr w:type="spellEnd"/>
      <w:r w:rsidRPr="006018CC">
        <w:rPr>
          <w:rtl/>
        </w:rPr>
        <w:t xml:space="preserve"> تساؤله الشهير: "هل يمكن للآلة أن تفكر؟". منذ ذلك الحين، شهد الذكاء الاصطناعي فترات من الازدهار والركود، والمعروفة أيضًا </w:t>
      </w:r>
      <w:proofErr w:type="gramStart"/>
      <w:r w:rsidRPr="006018CC">
        <w:rPr>
          <w:rtl/>
        </w:rPr>
        <w:t>بـ"</w:t>
      </w:r>
      <w:proofErr w:type="gramEnd"/>
      <w:r w:rsidRPr="006018CC">
        <w:rPr>
          <w:rtl/>
        </w:rPr>
        <w:t xml:space="preserve">شتاء الذكاء الاصطناعي"، وصولاً إلى الانتشار الواسع الذي نراه اليوم في مختلف المجالات. </w:t>
      </w:r>
    </w:p>
    <w:p w14:paraId="6E80920F" w14:textId="77777777" w:rsidR="00F52834" w:rsidRPr="006018CC" w:rsidRDefault="00F52834" w:rsidP="00F52834">
      <w:pPr>
        <w:spacing w:after="0"/>
        <w:ind w:firstLine="0"/>
        <w:rPr>
          <w:rtl/>
        </w:rPr>
      </w:pPr>
      <w:r w:rsidRPr="006018CC">
        <w:rPr>
          <w:rtl/>
        </w:rPr>
        <w:t xml:space="preserve">يشهد المجتمع العربي تطوراً متسارعاً في استخدام التكنولوجيا الرقمية ووسائل الاتصال والمعلومات لتحسين أداء المؤسسات وزيادة كفاءة العاملين بها، مما يسهم في تعزيز الإنتاجية التنافسية. هذه التحولات تدعم قدرات المؤسسات الإدارية والإنتاجية والبشرية والاقتصادية، مما يمكنها من المنافسة على المستويين العربي والعالمي (محاسن السيد نصر، 2019). تتعدد تطبيقات الذكاء الاصطناعي في مختلف المجالات، ومنها تطوير الحواسيب وتوظيفها لتعزيز التسويق الرقمي الذي يتفاعل مع الأفراد ويتنبأ بسلوكياتهم المستقبلية في المجال التجاري. كما يساهم الذكاء الاصطناعي في تحسين أساليب تقديم الرسائل الإعلامية عبر البرامج التلفزيونية ومواقع التواصل الاجتماعي، إلى جانب استثماره بشكل كبير في الصحافة. يشمل ذلك أيضاً المجالات الأمنية والطبية والزراعية، بالإضافة إلى تطوير السيارات ذاتية القيادة التي تتكيف مع ظروف الطرق وحركة المرور، والاستثمار في الأسهم من خلال التكيف مع تغيرات السوق المالي. وتشمل الاستخدامات الأخرى الطائرات بدون طيار ذاتية التحكم والروبوتات القادرة على اتخاذ القرارات بشكل مستقل، والتي يمكن توظيفها من قبل القوات المسلحة، أو تقديم الرعاية لكبار السن وغيرها من المجالات المتعددة (سامية شهيي </w:t>
      </w:r>
      <w:proofErr w:type="spellStart"/>
      <w:r w:rsidRPr="006018CC">
        <w:rPr>
          <w:rtl/>
        </w:rPr>
        <w:t>قمورة</w:t>
      </w:r>
      <w:proofErr w:type="spellEnd"/>
      <w:r w:rsidRPr="006018CC">
        <w:rPr>
          <w:rtl/>
        </w:rPr>
        <w:t xml:space="preserve"> وآخرون، 2018).</w:t>
      </w:r>
    </w:p>
    <w:p w14:paraId="55702C6E" w14:textId="77777777" w:rsidR="00F52834" w:rsidRPr="006018CC" w:rsidRDefault="00F52834" w:rsidP="00F52834">
      <w:pPr>
        <w:spacing w:after="0"/>
        <w:ind w:firstLine="0"/>
        <w:rPr>
          <w:shd w:val="clear" w:color="auto" w:fill="FFFFFF"/>
          <w:rtl/>
        </w:rPr>
      </w:pPr>
      <w:r w:rsidRPr="006018CC">
        <w:rPr>
          <w:shd w:val="clear" w:color="auto" w:fill="FFFFFF"/>
          <w:rtl/>
        </w:rPr>
        <w:t xml:space="preserve">      وارتباطًا بتنوع المجالات التي تم استثمار تقنيـات الـذكاء الاصطناعـي بها في رفع كفاءتها وتطويرها، ترتب على ذلك إشـكاليات متعددة أبرزها قبول الأفراد لاستخدام تطبيقات الــذكاء الاصطناعي في اتخاذ القــرارات وارتياحهــم للتفاعــل مــع الآلات بديلًا عـن البشر وكذلك تطوير مهارتهم المهنية والتنفيذية، حيث أثارت </w:t>
      </w:r>
      <w:r w:rsidRPr="006018CC">
        <w:rPr>
          <w:rtl/>
        </w:rPr>
        <w:t>تقنيات</w:t>
      </w:r>
      <w:r w:rsidRPr="006018CC">
        <w:rPr>
          <w:shd w:val="clear" w:color="auto" w:fill="FFFFFF"/>
          <w:rtl/>
        </w:rPr>
        <w:t xml:space="preserve"> الذكاء الاصطناعي بعض ردود الأفعال الرافضـة لاختراق خصوصيـة الأفراد وتوظيـف بياناتهـم الشـخصية ضمـن حـزم البيانـات الضخمـة التـي يعتمـد عليهـا الـذكاء الاصطناعي، واحتمالات الافتقاد للتـوازن والتحيـز في قـرارات تطبيقـات الـذكاء الاصطناعي في المجالات الماليـة والائتمانية والإسـكان والتوظيـف بالنظـر إلى الانفصال بـين الواقـع والتمثيـل الكمـي للبيانـات التي يتـم الاعتماد عليهـا في اتخـاذ القـرارات (إيهاب خليفة، 2019)</w:t>
      </w:r>
    </w:p>
    <w:p w14:paraId="4B654FDA" w14:textId="77777777" w:rsidR="00F52834" w:rsidRPr="006018CC" w:rsidRDefault="00F52834" w:rsidP="00F52834">
      <w:pPr>
        <w:spacing w:after="0"/>
      </w:pPr>
      <w:r w:rsidRPr="006018CC">
        <w:rPr>
          <w:rtl/>
        </w:rPr>
        <w:t xml:space="preserve">1. الذكاء الاصطناعي: </w:t>
      </w:r>
    </w:p>
    <w:p w14:paraId="08B53A83" w14:textId="77777777" w:rsidR="00F52834" w:rsidRPr="006018CC" w:rsidRDefault="00F52834" w:rsidP="00F52834">
      <w:pPr>
        <w:spacing w:after="0"/>
        <w:rPr>
          <w:rtl/>
        </w:rPr>
      </w:pPr>
      <w:r w:rsidRPr="006018CC">
        <w:rPr>
          <w:rtl/>
        </w:rPr>
        <w:t xml:space="preserve">   1.1. تعريف الذكاء الاصطناعي: </w:t>
      </w:r>
    </w:p>
    <w:p w14:paraId="2B925EAD" w14:textId="77777777" w:rsidR="00F52834" w:rsidRPr="006018CC" w:rsidRDefault="00F52834" w:rsidP="00F52834">
      <w:pPr>
        <w:spacing w:after="0"/>
        <w:ind w:firstLine="0"/>
        <w:rPr>
          <w:shd w:val="clear" w:color="auto" w:fill="FFFFFF"/>
        </w:rPr>
      </w:pPr>
      <w:r w:rsidRPr="006018CC">
        <w:rPr>
          <w:shd w:val="clear" w:color="auto" w:fill="FFFFFF"/>
          <w:rtl/>
        </w:rPr>
        <w:t xml:space="preserve">الذكاء الاصطناعي يُعرّف بأنه عملية محاكاة للقدرات الذهنية والحسية للبشر باستخدام أنظمة الحاسوب، بهدف تقليد المهارات الأساسية التي يمتلكها الإنسان، مثل التعلم واكتساب المعرفة، وتحليل اللغة، والتفاعل الاجتماعي، وحل المشكلات، وفهم الأصوات والصور ومقاطع الفيديو. ويُعزى هذا التطور إلى التقدم الكبير في صناعة المعالجات وأنظمة الحاسوب، مما أتاح إنشاء أنظمة متقدمة قادرة على محاكاة الذكاء البشري بكفاءة عالية (خليفة، 2019). يتم تصنيف الذكاء الاصطناعي بناءً على مدى تشابهه </w:t>
      </w:r>
      <w:r w:rsidRPr="006018CC">
        <w:rPr>
          <w:shd w:val="clear" w:color="auto" w:fill="FFFFFF"/>
          <w:rtl/>
        </w:rPr>
        <w:lastRenderedPageBreak/>
        <w:t>مع العقل البشري، وقدرته على تقليد وظائفه، بالإضافة إلى مستوى تطور التكنولوجيا المستخدمة فيه وكفاءته في تنفيذ المهام البشرية</w:t>
      </w:r>
      <w:r w:rsidRPr="006018CC">
        <w:rPr>
          <w:shd w:val="clear" w:color="auto" w:fill="FFFFFF"/>
        </w:rPr>
        <w:t>.</w:t>
      </w:r>
    </w:p>
    <w:p w14:paraId="2946D755" w14:textId="77777777" w:rsidR="00F52834" w:rsidRPr="006018CC" w:rsidRDefault="00F52834" w:rsidP="00F52834">
      <w:pPr>
        <w:spacing w:after="0"/>
        <w:ind w:firstLine="0"/>
        <w:rPr>
          <w:shd w:val="clear" w:color="auto" w:fill="FFFFFF"/>
        </w:rPr>
      </w:pPr>
      <w:r w:rsidRPr="006018CC">
        <w:rPr>
          <w:shd w:val="clear" w:color="auto" w:fill="FFFFFF"/>
          <w:rtl/>
        </w:rPr>
        <w:t>يتألف مصطلح الذكاء الاصطناعي من كلمتين: "اصطناعي" التي تعني ما هو مصنوع أو غير طبيعي، و"ذكاء" الذي يشير إلى القدرة على التفكير والفهم. الهدف الأساسي هو تطوير أنظمة تعمل بذكاء يشابه تصرفات الإنسان، وتشمل مهامها دراسة القدرات العقلية باستخدام نماذج حسابية، وتحسين أداء الحواسيب للمهام التي ينفذها البشر بشكل أفضل في الوقت الحاضر. يركز هذا المجال أيضاً على تصميم أنظمة قادرة على فهم البيئة المحيطة واتخاذ قرارات تزيد من فرص نجاحها في تحقيق أهدافها (خالد بن جمعة بن خميس، حميد بن مسلم السعيدي، 2022)</w:t>
      </w:r>
      <w:r w:rsidRPr="006018CC">
        <w:rPr>
          <w:shd w:val="clear" w:color="auto" w:fill="FFFFFF"/>
        </w:rPr>
        <w:t>.</w:t>
      </w:r>
    </w:p>
    <w:p w14:paraId="1DBFB278" w14:textId="77777777" w:rsidR="00F52834" w:rsidRPr="006018CC" w:rsidRDefault="00F52834" w:rsidP="00F52834">
      <w:pPr>
        <w:spacing w:after="0"/>
        <w:ind w:firstLine="0"/>
        <w:rPr>
          <w:shd w:val="clear" w:color="auto" w:fill="FFFFFF"/>
        </w:rPr>
      </w:pPr>
      <w:r w:rsidRPr="006018CC">
        <w:rPr>
          <w:shd w:val="clear" w:color="auto" w:fill="FFFFFF"/>
          <w:rtl/>
        </w:rPr>
        <w:t xml:space="preserve">بيلمان (1978) وصف الذكاء الاصطناعي بأنه عملية أتمتة العمليات المرتبطة بالتفكير البشري مثل اتخاذ القرارات وحل المشكلات والتعلم. أما جون مكارثي، الذي أسس مفهوم الذكاء الاصطناعي في معهد ماساتشوستس للتكنولوجيا عام 1965، فقد اعتبره فرعاً من علوم الحاسوب يسعى لجعل الآلات تعمل وتفكر مثل البشر. </w:t>
      </w:r>
      <w:proofErr w:type="spellStart"/>
      <w:r w:rsidRPr="006018CC">
        <w:rPr>
          <w:shd w:val="clear" w:color="auto" w:fill="FFFFFF"/>
          <w:rtl/>
        </w:rPr>
        <w:t>هاراسيوم</w:t>
      </w:r>
      <w:proofErr w:type="spellEnd"/>
      <w:r w:rsidRPr="006018CC">
        <w:rPr>
          <w:shd w:val="clear" w:color="auto" w:fill="FFFFFF"/>
          <w:rtl/>
        </w:rPr>
        <w:t xml:space="preserve"> وبارنيت (2015) أشارا إلى أن الذكاء الاصطناعي هو العلم الذي يتيح للحواسيب تنفيذ أعمال يؤديها البشر بفعالية أكبر. يعتمد الذكاء الاصطناعي على تقنيات محاكاة وصف الأشياء والعمليات من خلال خصائصها المنطقية والحسابية، بهدف تمكين الأنظمة الحاسوبية من تنفيذ المهام البشرية بكفاءة (غادة أحمد الصالح، 2022)</w:t>
      </w:r>
      <w:r w:rsidRPr="006018CC">
        <w:rPr>
          <w:shd w:val="clear" w:color="auto" w:fill="FFFFFF"/>
        </w:rPr>
        <w:t>.</w:t>
      </w:r>
    </w:p>
    <w:p w14:paraId="5E2E7039" w14:textId="77777777" w:rsidR="00F52834" w:rsidRPr="006018CC" w:rsidRDefault="00F52834" w:rsidP="00F52834">
      <w:pPr>
        <w:spacing w:after="0"/>
        <w:ind w:firstLine="0"/>
        <w:rPr>
          <w:shd w:val="clear" w:color="auto" w:fill="FFFFFF"/>
          <w:rtl/>
        </w:rPr>
      </w:pPr>
      <w:r w:rsidRPr="006018CC">
        <w:rPr>
          <w:shd w:val="clear" w:color="auto" w:fill="FFFFFF"/>
          <w:rtl/>
        </w:rPr>
        <w:t>يُعد الذكاء الاصطناعي من تخصصات علوم الحاسوب التي تهدف إلى تطوير أنظمة قادرة على التفكير والتصرف بشكل مشابه للبشر. تشمل تطبيقاته مهام مثل التعلم، والتخطيط، والتعرف على الكلام والوجوه، وحل المشكلات، بالإضافة إلى التفكير المنطقي وتحليل البيانات. يتميز الذكاء الاصطناعي بقدرته على استنباط قواعد جديدة من البيانات واستخدامها لتحقيق أهداف محددة، مما يجعله أداة فعالة تتجاوز الأساليب الخوارزمية التقليدية لحل المشكلات (سامية فاضل الغامدي، 2020)</w:t>
      </w:r>
      <w:r w:rsidRPr="006018CC">
        <w:rPr>
          <w:shd w:val="clear" w:color="auto" w:fill="FFFFFF"/>
        </w:rPr>
        <w:t>.</w:t>
      </w:r>
    </w:p>
    <w:p w14:paraId="36941140" w14:textId="77777777" w:rsidR="00F52834" w:rsidRPr="006018CC" w:rsidRDefault="00F52834" w:rsidP="00F52834">
      <w:pPr>
        <w:tabs>
          <w:tab w:val="left" w:pos="368"/>
        </w:tabs>
        <w:spacing w:after="0"/>
        <w:rPr>
          <w:rtl/>
        </w:rPr>
      </w:pPr>
      <w:r w:rsidRPr="006018CC">
        <w:rPr>
          <w:rtl/>
        </w:rPr>
        <w:t xml:space="preserve">كما تم التفرقة في تعريف الذكاء من حيث التفسير للقدرات أو تعريفات مرتبطة بمحاكاة السلوك: (طاهر جابر عبد، 2023) </w:t>
      </w:r>
    </w:p>
    <w:p w14:paraId="69669638" w14:textId="77777777" w:rsidR="00F52834" w:rsidRPr="006018CC" w:rsidRDefault="00F52834" w:rsidP="00F52834">
      <w:pPr>
        <w:widowControl w:val="0"/>
        <w:numPr>
          <w:ilvl w:val="0"/>
          <w:numId w:val="39"/>
        </w:numPr>
        <w:tabs>
          <w:tab w:val="left" w:pos="368"/>
        </w:tabs>
        <w:spacing w:after="0"/>
      </w:pPr>
      <w:r w:rsidRPr="006018CC">
        <w:rPr>
          <w:rtl/>
        </w:rPr>
        <w:t xml:space="preserve">التعريفات المتعلقة بالتفسير تشمل دراسة القدرات الذهنية من خلال استخدام النماذج العقلانية، وهي تتضمن الحوسبة التي تمكن من الإدراك والتقدير واتخاذ الأفعال. يُعرف هذا النوع من الدراسة بالمفاهيم المرتبطة بالمعقولية في الذكاء الاصطناعي كما يُعتبر التقدم نحو جعل الحواسيب تفكر بطرق تشبه الذكاء البشري جهداً جديداً في أتمتة الأنشطة مثل صناعة القرارات وحل مسائل التعلم، وهو ما يعكس ارتباط هذا التقدم بالأداء البشري. </w:t>
      </w:r>
    </w:p>
    <w:p w14:paraId="1F9DD79C" w14:textId="77777777" w:rsidR="00F52834" w:rsidRPr="006018CC" w:rsidRDefault="00F52834" w:rsidP="00F52834">
      <w:pPr>
        <w:widowControl w:val="0"/>
        <w:numPr>
          <w:ilvl w:val="0"/>
          <w:numId w:val="39"/>
        </w:numPr>
        <w:tabs>
          <w:tab w:val="left" w:pos="368"/>
        </w:tabs>
        <w:spacing w:after="0"/>
      </w:pPr>
      <w:r w:rsidRPr="006018CC">
        <w:rPr>
          <w:rtl/>
        </w:rPr>
        <w:t xml:space="preserve">أما فيما يتعلق بالسلوك، فإن هذا المجال يركز على توضيح ومحاكاة السلوك الذكي عبر عمليات حسابية، وهو فرع من علوم الحاسوب يهتم بأتمتة السلوك الذكي، ويعرف أيضاً بالمعقولية كمفهوم مثالي للذكاء كما يُعد فن تصميم آلات قادرة على أداء وظائف تتطلب ذكاء بشري عند </w:t>
      </w:r>
      <w:r w:rsidRPr="006018CC">
        <w:rPr>
          <w:rtl/>
        </w:rPr>
        <w:lastRenderedPageBreak/>
        <w:t>تنفيذها من قبل الإنسان، وهو مجال يدرس كيفية تمكين الحواسيب من أداء مهام يمكن للبشر إنجازها بشكل أكثر كفاءة، مما يعكس مفهوم الأداء البشري</w:t>
      </w:r>
      <w:r w:rsidRPr="006018CC">
        <w:t>.</w:t>
      </w:r>
      <w:r w:rsidRPr="006018CC">
        <w:rPr>
          <w:rtl/>
        </w:rPr>
        <w:t xml:space="preserve"> </w:t>
      </w:r>
    </w:p>
    <w:p w14:paraId="0565396B" w14:textId="77777777" w:rsidR="00F52834" w:rsidRPr="006018CC" w:rsidRDefault="00F52834" w:rsidP="00F52834">
      <w:pPr>
        <w:tabs>
          <w:tab w:val="left" w:pos="368"/>
        </w:tabs>
        <w:spacing w:after="0"/>
        <w:rPr>
          <w:lang w:bidi="ar-EG"/>
        </w:rPr>
      </w:pPr>
      <w:r w:rsidRPr="006018CC">
        <w:rPr>
          <w:rtl/>
          <w:lang w:bidi="ar-EG"/>
        </w:rPr>
        <w:t>والذكاء الاصطناعي هو المجال العلمي الذي يسعى إلى محاكاة القدرات العقلية البشرية في الحواسيب والآلات. يشمل هذا المجال جوانب متعددة</w:t>
      </w:r>
      <w:r w:rsidRPr="006018CC">
        <w:rPr>
          <w:lang w:bidi="ar-EG"/>
        </w:rPr>
        <w:t>:</w:t>
      </w:r>
      <w:r w:rsidRPr="006018CC">
        <w:rPr>
          <w:u w:val="single"/>
          <w:rtl/>
          <w:lang w:bidi="ar-EG"/>
        </w:rPr>
        <w:t xml:space="preserve"> (أسماء مجدي على حسين، 2023)</w:t>
      </w:r>
    </w:p>
    <w:p w14:paraId="175864C3"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التفكير كالإنسان، الذي يهدف إلى تمكين الآلات من محاكاة عمليات التفكير البشري، مما يجعلها قادرة على معالجة المعلومات بشكل مشابه للعقل البشري</w:t>
      </w:r>
      <w:r w:rsidRPr="006018CC">
        <w:rPr>
          <w:lang w:bidi="ar-EG"/>
        </w:rPr>
        <w:t>.</w:t>
      </w:r>
    </w:p>
    <w:p w14:paraId="351E4ABB"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التفكير العقلاني، الذي يتعامل مع استخدام الحوسبة لأداء مهام تتطلب القدرات العقلية، مما يمكن الآلات من تنفيذ عمليات عقلية مشابهة لتلك التي يقوم بها الإنسان</w:t>
      </w:r>
      <w:r w:rsidRPr="006018CC">
        <w:rPr>
          <w:lang w:bidi="ar-EG"/>
        </w:rPr>
        <w:t>.</w:t>
      </w:r>
    </w:p>
    <w:p w14:paraId="6625C31F"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الفعل كالإنسان، الذي يركز على تمكين الآلات من تنفيذ مهام قد تتطلب الذكاء إذا قام بها البشر، مما يعزز قدرة الآلات على أداء أعمال معقدة بشكل مشابه للبشر</w:t>
      </w:r>
      <w:r w:rsidRPr="006018CC">
        <w:rPr>
          <w:lang w:bidi="ar-EG"/>
        </w:rPr>
        <w:t>.</w:t>
      </w:r>
    </w:p>
    <w:p w14:paraId="51BB5846" w14:textId="77777777" w:rsidR="00F52834" w:rsidRPr="006018CC" w:rsidRDefault="00F52834" w:rsidP="00F52834">
      <w:pPr>
        <w:widowControl w:val="0"/>
        <w:numPr>
          <w:ilvl w:val="0"/>
          <w:numId w:val="40"/>
        </w:numPr>
        <w:tabs>
          <w:tab w:val="left" w:pos="368"/>
        </w:tabs>
        <w:spacing w:after="0"/>
        <w:ind w:left="429"/>
        <w:rPr>
          <w:lang w:bidi="ar-EG"/>
        </w:rPr>
      </w:pPr>
      <w:r w:rsidRPr="006018CC">
        <w:rPr>
          <w:rtl/>
          <w:lang w:bidi="ar-EG"/>
        </w:rPr>
        <w:t>الفعل العقلاني، الذي يدرس كيفية تصميم وظائف ذكية باستخدام تقنيات الذكاء الاصطناعي، مما يتيح للآلات القيام بمهام تتطلب مستوى عالٍ من الذكاء والتفكير</w:t>
      </w:r>
      <w:r w:rsidRPr="006018CC">
        <w:rPr>
          <w:lang w:bidi="ar-EG"/>
        </w:rPr>
        <w:t>.</w:t>
      </w:r>
    </w:p>
    <w:p w14:paraId="1B36515F" w14:textId="77777777" w:rsidR="00F52834" w:rsidRPr="006018CC" w:rsidRDefault="00F52834" w:rsidP="00F52834">
      <w:pPr>
        <w:spacing w:after="0"/>
        <w:rPr>
          <w:rtl/>
        </w:rPr>
      </w:pPr>
      <w:r w:rsidRPr="006018CC">
        <w:rPr>
          <w:rtl/>
        </w:rPr>
        <w:t>كما لابد من التفرقة بين الذكاء الاصطناعي والبشري، يتميز الذكاء الاصطناعي والذكاء البشري بمجموعة من الاختلافات الجوهرية التي تبرز تفرد كل منهما. من حيث الديمومة والنسيان، يتسم الذكاء الاصطناعي بقدرته على الاستمرار في الأداء دون التأثر بالنسيان، حيث يحتفظ بمعلوماته ومعارفه دون فقدان مع مرور الوقت. على النقيض، يعاني الذكاء البشري من ضعف في الاحتفاظ بالمعلومات، مما يجعله عرضة للنسيان مع تقدم الزمن، أما فيما يتعلق بـالاستنساخ ونشر المعرفة، فإن الذكاء الاصطناعي يتميز بسهولة استنساخه ونشر معارفه بسرعة وفعالية، بفضل التقنيات الحديثة. في المقابل، يواجه الذكاء البشري صعوبة في تحقيق ذلك، حيث يعتمد نشر المعرفة على التعليم والتدريب المستمرين، مما يتطلب وقتًا وجهدًا أكبر.</w:t>
      </w:r>
    </w:p>
    <w:p w14:paraId="0DDC581F" w14:textId="77777777" w:rsidR="00F52834" w:rsidRPr="006018CC" w:rsidRDefault="00F52834" w:rsidP="00F52834">
      <w:pPr>
        <w:spacing w:after="0"/>
        <w:rPr>
          <w:rtl/>
        </w:rPr>
      </w:pPr>
      <w:r w:rsidRPr="006018CC">
        <w:rPr>
          <w:rtl/>
        </w:rPr>
        <w:t>في مجال توثيق المعرفة، يمكن للذكاء الاصطناعي توثيق المعلومات بكفاءة عالية وبسرعة كبيرة، ما يتيح استرجاعها واستخدامها بسهولة. على العكس، يتطلب الذكاء البشري جهودًا مضاعفة لتوثيق المعرفة، وغالبًا ما يحتاج إلى إعادة تقديمها أو تدريسها عدة مرات لتحقيق الاستيعاب الكامل، ومن حيث سرعة تنفيذ المهام، يتمتع الذكاء الاصطناعي بقدرة فائقة على أداء المهام الرئيسية بسرعة ودقة تفوق الذكاء البشري، الذي قد يكون أبطأ نسبيًا نتيجة العوامل البشرية الطبيعية مثل التركيز والجهد البدني.</w:t>
      </w:r>
    </w:p>
    <w:p w14:paraId="592D4FFD" w14:textId="77777777" w:rsidR="00F52834" w:rsidRPr="006018CC" w:rsidRDefault="00F52834" w:rsidP="00F52834">
      <w:pPr>
        <w:spacing w:after="0"/>
        <w:rPr>
          <w:rtl/>
        </w:rPr>
      </w:pPr>
      <w:r w:rsidRPr="006018CC">
        <w:rPr>
          <w:rtl/>
        </w:rPr>
        <w:t xml:space="preserve">على صعيد تكلفة التدريب والتطوير، يتطلب الذكاء الاصطناعي استثمارات مالية كبيرة لتطوير البرمجيات وتعليم الآلات. في المقابل، تكون تكلفة تدريب الإنسان أقل نسبيًا، على الرغم من أنها تستغرق وقتًا أطول بسبب متطلبات التعلم والتدريب التقليدية، وأخيرًا، عند النظر إلى اكتساب المعرفة وحل المشكلات، يتميز الذكاء البشري بالمرونة والتكيف مع المواقف المعقدة، مما يمكنه من اكتساب المعرفة وحل المشكلات بطرق مبتكرة وغير متوقعة. في حين يعتمد الذكاء الاصطناعي على برمجيات محددة </w:t>
      </w:r>
      <w:r w:rsidRPr="006018CC">
        <w:rPr>
          <w:rtl/>
        </w:rPr>
        <w:lastRenderedPageBreak/>
        <w:t>ومعلومات مسبقة لتحقيق مهام مماثلة، ما يجعله أقل مرونة وأقل قدرة على التكيف مع المواقف الجديدة بنفس كفاءة البشر. (فايق عوضين، 2022)</w:t>
      </w:r>
    </w:p>
    <w:p w14:paraId="3A6275A0" w14:textId="77777777" w:rsidR="00F52834" w:rsidRPr="006018CC" w:rsidRDefault="00F52834" w:rsidP="00F52834">
      <w:pPr>
        <w:spacing w:after="0"/>
        <w:rPr>
          <w:rtl/>
        </w:rPr>
      </w:pPr>
    </w:p>
    <w:p w14:paraId="6E47575C" w14:textId="77777777" w:rsidR="00F52834" w:rsidRPr="006018CC" w:rsidRDefault="00F52834" w:rsidP="00F52834">
      <w:pPr>
        <w:spacing w:after="0"/>
        <w:rPr>
          <w:rtl/>
        </w:rPr>
      </w:pPr>
      <w:r w:rsidRPr="006018CC">
        <w:rPr>
          <w:rtl/>
        </w:rPr>
        <w:t xml:space="preserve">  1.2. تاريخ تطور الذكاء الاصطناعي: </w:t>
      </w:r>
    </w:p>
    <w:p w14:paraId="41EF5544" w14:textId="77777777" w:rsidR="00F52834" w:rsidRPr="006018CC" w:rsidRDefault="00F52834" w:rsidP="00F52834">
      <w:pPr>
        <w:spacing w:after="0"/>
        <w:rPr>
          <w:rtl/>
        </w:rPr>
      </w:pPr>
      <w:r w:rsidRPr="006018CC">
        <w:rPr>
          <w:rtl/>
        </w:rPr>
        <w:t xml:space="preserve">حقق الذكاء الاصطناعي نجاحاً ملموساً وفعالية كبيرة في مجموعة واسعة من المجالات مثل الصناعة، الاتصالات، التجارة، وتنظيم النقل. وقد شهد هذا المجال تطوراً ملحوظاً منذ بداياته التي يمكن تتبعها إلى عصور الفلاسفة الأوائل كأرسطو وديكارت، حيث تناولوا طبيعة العقل البشري وعلاقته بالجسم. ومع ذلك، بدأ البحث العلمي الرسمي حول الذكاء الاصطناعي في خمسينيات القرن الماضي، عندما انطلق العلماء في تطوير خوارزميات وبرمجيات تحاكي الذكاء البشري. ظهر مصطلح "الذكاء الاصطناعي" لأول مرة عام 1956 في مؤتمر </w:t>
      </w:r>
      <w:proofErr w:type="spellStart"/>
      <w:r w:rsidRPr="006018CC">
        <w:rPr>
          <w:rtl/>
        </w:rPr>
        <w:t>دارتموث</w:t>
      </w:r>
      <w:proofErr w:type="spellEnd"/>
      <w:r w:rsidRPr="006018CC">
        <w:rPr>
          <w:rtl/>
        </w:rPr>
        <w:t xml:space="preserve">، الذي نظمه جون مكارثي </w:t>
      </w:r>
      <w:proofErr w:type="spellStart"/>
      <w:r w:rsidRPr="006018CC">
        <w:rPr>
          <w:rtl/>
        </w:rPr>
        <w:t>ومارفن</w:t>
      </w:r>
      <w:proofErr w:type="spellEnd"/>
      <w:r w:rsidRPr="006018CC">
        <w:rPr>
          <w:rtl/>
        </w:rPr>
        <w:t xml:space="preserve"> </w:t>
      </w:r>
      <w:proofErr w:type="spellStart"/>
      <w:r w:rsidRPr="006018CC">
        <w:rPr>
          <w:rtl/>
        </w:rPr>
        <w:t>مينسكي</w:t>
      </w:r>
      <w:proofErr w:type="spellEnd"/>
      <w:r w:rsidRPr="006018CC">
        <w:rPr>
          <w:rtl/>
        </w:rPr>
        <w:t xml:space="preserve"> </w:t>
      </w:r>
      <w:proofErr w:type="spellStart"/>
      <w:r w:rsidRPr="006018CC">
        <w:rPr>
          <w:rtl/>
        </w:rPr>
        <w:t>وناثانيال</w:t>
      </w:r>
      <w:proofErr w:type="spellEnd"/>
      <w:r w:rsidRPr="006018CC">
        <w:rPr>
          <w:rtl/>
        </w:rPr>
        <w:t xml:space="preserve"> </w:t>
      </w:r>
      <w:proofErr w:type="spellStart"/>
      <w:r w:rsidRPr="006018CC">
        <w:rPr>
          <w:rtl/>
        </w:rPr>
        <w:t>روشستر</w:t>
      </w:r>
      <w:proofErr w:type="spellEnd"/>
      <w:r w:rsidRPr="006018CC">
        <w:rPr>
          <w:rtl/>
        </w:rPr>
        <w:t xml:space="preserve"> وكلود شانون. شكّل هذا المؤتمر بداية اعتبار الذكاء الاصطناعي كتخصص أكاديمي رسمي، حيث جمع باحثين من مختلف المجالات كعلوم الحوسبة، وعلم النفس، والرياضيات لمناقشة إمكانيات إنشاء آلات ذكية.</w:t>
      </w:r>
    </w:p>
    <w:p w14:paraId="15A6DA76" w14:textId="77777777" w:rsidR="00F52834" w:rsidRPr="006018CC" w:rsidRDefault="00F52834" w:rsidP="00F52834">
      <w:pPr>
        <w:spacing w:after="0"/>
        <w:rPr>
          <w:rtl/>
        </w:rPr>
      </w:pPr>
      <w:r w:rsidRPr="006018CC">
        <w:rPr>
          <w:rtl/>
        </w:rPr>
        <w:t>في الستينيات، بدأ الذكاء الاصطناعي بالاندماج في حياة الإنسان بشكل أوسع، وانتقل من كونه أداة مساعدة إلى أداة أساسية في مجالات عدة مثل الصناعة، التجارة، الصحة، التعليم، والنقل (</w:t>
      </w:r>
      <w:r w:rsidRPr="006018CC">
        <w:t>Shekhar, 2021</w:t>
      </w:r>
      <w:r w:rsidRPr="006018CC">
        <w:rPr>
          <w:rtl/>
        </w:rPr>
        <w:t>). يشير مفهوم "الذكاء الاصطناعي الحاسوبي" إلى استخدام الحواسيب لمحاكاة القدرات البشرية وتنفيذ المهام التي تتطلب عادة تدخلاً بشرياً، عبر تقنيات برمجية مبتكرة (</w:t>
      </w:r>
      <w:r w:rsidRPr="006018CC">
        <w:t>Vahid Rakhshan, 2023</w:t>
      </w:r>
      <w:r w:rsidRPr="006018CC">
        <w:rPr>
          <w:rtl/>
        </w:rPr>
        <w:t>). تعتمد البرمجة التقليدية على تحويل المعرفة والخبرة البشرية إلى قواعد محددة، تُنفذ خطوة بخطوة لتوجيه الأجهزة الذكية. هذه القواعد، أو الخوارزميات، تسمح للأجهزة بأداء المهام بطريقة ذكية وموجهة. على سبيل المثال، في مجال "الطبيب الرقمي"، يمكن تعديل الأنظمة لتشمل مستجدات المعرفة الطبية، مما يُحسن من أدائها بمرور الوقت (</w:t>
      </w:r>
      <w:r w:rsidRPr="006018CC">
        <w:t>Julia Simpson, 2024</w:t>
      </w:r>
      <w:r w:rsidRPr="006018CC">
        <w:rPr>
          <w:rtl/>
        </w:rPr>
        <w:t>).</w:t>
      </w:r>
    </w:p>
    <w:p w14:paraId="3D17A2A8" w14:textId="77777777" w:rsidR="00F52834" w:rsidRPr="006018CC" w:rsidRDefault="00F52834" w:rsidP="00F52834">
      <w:pPr>
        <w:spacing w:after="0"/>
        <w:rPr>
          <w:rtl/>
        </w:rPr>
      </w:pPr>
      <w:r w:rsidRPr="006018CC">
        <w:rPr>
          <w:rtl/>
        </w:rPr>
        <w:t xml:space="preserve">تعود فكرة تصميم آلات قادرة على التفكير والتعلم إلى قرون مضت، ولكن البداية الحقيقية جاءت مع أول برنامج ذكاء اصطناعي فعلي أنشأه كريستوفر </w:t>
      </w:r>
      <w:proofErr w:type="spellStart"/>
      <w:r w:rsidRPr="006018CC">
        <w:rPr>
          <w:rtl/>
        </w:rPr>
        <w:t>ستراشي</w:t>
      </w:r>
      <w:proofErr w:type="spellEnd"/>
      <w:r w:rsidRPr="006018CC">
        <w:rPr>
          <w:rtl/>
        </w:rPr>
        <w:t xml:space="preserve"> عام 1951، وهو برنامج للعب الداما على حاسوب </w:t>
      </w:r>
      <w:r w:rsidRPr="006018CC">
        <w:t>Ferranti Mark I</w:t>
      </w:r>
      <w:r w:rsidRPr="006018CC">
        <w:rPr>
          <w:rtl/>
        </w:rPr>
        <w:t xml:space="preserve">. وقد شهد مؤتمر </w:t>
      </w:r>
      <w:proofErr w:type="spellStart"/>
      <w:r w:rsidRPr="006018CC">
        <w:rPr>
          <w:rtl/>
        </w:rPr>
        <w:t>دارتموث</w:t>
      </w:r>
      <w:proofErr w:type="spellEnd"/>
      <w:r w:rsidRPr="006018CC">
        <w:rPr>
          <w:rtl/>
        </w:rPr>
        <w:t xml:space="preserve"> لعام 1956 انطلاقة هذا المجال كعلم أكاديمي، حيث ركزت الأبحاث في الستينيات والسبعينيات على الأنظمة الخبيرة، وهي برامج قادرة على اتخاذ قرارات تحاكي تلك التي يتخذها الخبراء في مجالات محددة. وفي الثمانينيات، شهدت الأبحاث تطور خوارزميات التعلم الآلي، التي مكنت الحواسيب من التعلم من البيانات دون الحاجة إلى برمجة محددة. بحلول التسعينيات، أصبحت الشبكات العصبية محور الأبحاث، حيث استلهمت بنيتها من الدماغ البشري، مما أتاح للحواسيب التعلم والتحسين مع مرور الوقت. اليوم، بات الذكاء الاصطناعي </w:t>
      </w:r>
      <w:r w:rsidRPr="006018CC">
        <w:rPr>
          <w:rtl/>
        </w:rPr>
        <w:lastRenderedPageBreak/>
        <w:t xml:space="preserve">جزءاً لا يتجزأ من حياتنا اليومية، حيث يظهر في التطبيقات العملية مثل المساعدات الافتراضية كـ </w:t>
      </w:r>
      <w:r w:rsidRPr="006018CC">
        <w:t>Siri</w:t>
      </w:r>
      <w:r w:rsidRPr="006018CC">
        <w:rPr>
          <w:rtl/>
        </w:rPr>
        <w:t xml:space="preserve"> و</w:t>
      </w:r>
      <w:r w:rsidRPr="006018CC">
        <w:t>Alexa</w:t>
      </w:r>
      <w:r w:rsidRPr="006018CC">
        <w:rPr>
          <w:rtl/>
        </w:rPr>
        <w:t>، والسيارات ذاتية القيادة، والإعلانات المخصصة على الإنترنت (</w:t>
      </w:r>
      <w:r w:rsidRPr="006018CC">
        <w:t>Guntupalli, 2007</w:t>
      </w:r>
      <w:r w:rsidRPr="006018CC">
        <w:rPr>
          <w:rtl/>
        </w:rPr>
        <w:t>).</w:t>
      </w:r>
    </w:p>
    <w:p w14:paraId="4EC7CCF0" w14:textId="77777777" w:rsidR="00F52834" w:rsidRPr="006018CC" w:rsidRDefault="00F52834" w:rsidP="00F52834">
      <w:pPr>
        <w:tabs>
          <w:tab w:val="left" w:pos="368"/>
        </w:tabs>
        <w:spacing w:after="0"/>
        <w:rPr>
          <w:u w:val="single"/>
          <w:lang w:bidi="ar-EG"/>
        </w:rPr>
      </w:pPr>
      <w:r w:rsidRPr="006018CC">
        <w:rPr>
          <w:u w:val="single"/>
          <w:rtl/>
          <w:lang w:bidi="ar-EG"/>
        </w:rPr>
        <w:t>فيما يلي نظرة على التطور التاريخي للذكاء الاصطناعي (حبيب محمد، صدوق حمزة، 2022):</w:t>
      </w:r>
    </w:p>
    <w:p w14:paraId="620DFF15"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قدم تشارلز ببيج تصميمه للآلة الحاسبة، والتي كانت خطوة مبكرة نحو بناء أجهزة قادرة على تنفيذ العمليات الحسابية (1882)</w:t>
      </w:r>
      <w:r w:rsidRPr="006018CC">
        <w:rPr>
          <w:lang w:bidi="ar-EG"/>
        </w:rPr>
        <w:t>.</w:t>
      </w:r>
    </w:p>
    <w:p w14:paraId="4DFFB80C"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 xml:space="preserve">ابتكر جورج بوول نظرية المنطق الرمزي، التي اعتمدت على قيمتي "الصفر والواحد" كوسيلة لتمثيل المعلومات (1854) </w:t>
      </w:r>
    </w:p>
    <w:p w14:paraId="66448205"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تم استخدام مصطلح "روبوت" لأول مرة في مسرحية تشيكية بعنوان "روبوتات – معركة راس" للدلالة على الآلات القادرة على تنفيذ مهام محددة (1921)</w:t>
      </w:r>
      <w:r w:rsidRPr="006018CC">
        <w:rPr>
          <w:lang w:bidi="ar-EG"/>
        </w:rPr>
        <w:t>.</w:t>
      </w:r>
    </w:p>
    <w:p w14:paraId="6D3CD59A"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بدأت محاولات بناء شبكات عصبية بسيطة تُحاكي عملية التفكير البشري (1940)</w:t>
      </w:r>
      <w:r w:rsidRPr="006018CC">
        <w:rPr>
          <w:lang w:bidi="ar-EG"/>
        </w:rPr>
        <w:t>.</w:t>
      </w:r>
    </w:p>
    <w:p w14:paraId="51DB6257"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 xml:space="preserve">قدم "آلان </w:t>
      </w:r>
      <w:proofErr w:type="spellStart"/>
      <w:r w:rsidRPr="006018CC">
        <w:rPr>
          <w:rtl/>
          <w:lang w:bidi="ar-EG"/>
        </w:rPr>
        <w:t>تورينج</w:t>
      </w:r>
      <w:proofErr w:type="spellEnd"/>
      <w:r w:rsidRPr="006018CC">
        <w:rPr>
          <w:rtl/>
          <w:lang w:bidi="ar-EG"/>
        </w:rPr>
        <w:t>" فكرة الآلات القادرة على التفكير كالبشر، مما كان له تأثير كبير على تطوير الذكاء الاصطناعي (1948)</w:t>
      </w:r>
      <w:r w:rsidRPr="006018CC">
        <w:rPr>
          <w:lang w:bidi="ar-EG"/>
        </w:rPr>
        <w:t>.</w:t>
      </w:r>
    </w:p>
    <w:p w14:paraId="685884EF" w14:textId="77777777" w:rsidR="00F52834" w:rsidRPr="006018CC" w:rsidRDefault="00F52834" w:rsidP="00F52834">
      <w:pPr>
        <w:numPr>
          <w:ilvl w:val="0"/>
          <w:numId w:val="41"/>
        </w:numPr>
        <w:tabs>
          <w:tab w:val="left" w:pos="368"/>
        </w:tabs>
        <w:spacing w:after="0"/>
        <w:ind w:left="226"/>
        <w:rPr>
          <w:rtl/>
          <w:lang w:bidi="ar-EG"/>
        </w:rPr>
      </w:pPr>
      <w:r w:rsidRPr="006018CC">
        <w:rPr>
          <w:rtl/>
          <w:lang w:bidi="ar-EG"/>
        </w:rPr>
        <w:t>قام "جون مكارثي" بتطوير لغة البرمجة</w:t>
      </w:r>
      <w:r w:rsidRPr="006018CC">
        <w:rPr>
          <w:lang w:bidi="ar-EG"/>
        </w:rPr>
        <w:t xml:space="preserve"> "LISP"</w:t>
      </w:r>
      <w:r w:rsidRPr="006018CC">
        <w:rPr>
          <w:rtl/>
          <w:lang w:bidi="ar-EG"/>
        </w:rPr>
        <w:t>، التي أصبحت اللغة المفضلة في مجال الذكاء الاصطناعي (1958)</w:t>
      </w:r>
    </w:p>
    <w:p w14:paraId="26F0C328" w14:textId="77777777" w:rsidR="00F52834" w:rsidRPr="006018CC" w:rsidRDefault="00F52834" w:rsidP="00F52834">
      <w:pPr>
        <w:numPr>
          <w:ilvl w:val="0"/>
          <w:numId w:val="41"/>
        </w:numPr>
        <w:tabs>
          <w:tab w:val="left" w:pos="368"/>
        </w:tabs>
        <w:spacing w:after="0"/>
        <w:ind w:left="226"/>
        <w:rPr>
          <w:rtl/>
          <w:lang w:bidi="ar-EG"/>
        </w:rPr>
      </w:pPr>
      <w:r w:rsidRPr="006018CC">
        <w:rPr>
          <w:rtl/>
          <w:lang w:bidi="ar-EG"/>
        </w:rPr>
        <w:t>شهد الذكاء الاصطناعي طفرة ملحوظة عبر نجاح الأنظمة الخبيرة، التي تمكنت من محاكاة الخبرات البشرية في بعض المجالات (1980)</w:t>
      </w:r>
    </w:p>
    <w:p w14:paraId="7D7B9272"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ارتفعت استثمارات الحكومات في أبحاث الذكاء الاصطناعي بشكل كبير، حيث تخطت أرباح الأبحاث مليار دولار (1985)</w:t>
      </w:r>
      <w:r w:rsidRPr="006018CC">
        <w:rPr>
          <w:lang w:bidi="ar-EG"/>
        </w:rPr>
        <w:t>.</w:t>
      </w:r>
    </w:p>
    <w:p w14:paraId="08AE131B" w14:textId="77777777" w:rsidR="00F52834" w:rsidRPr="006018CC" w:rsidRDefault="00F52834" w:rsidP="00F52834">
      <w:pPr>
        <w:numPr>
          <w:ilvl w:val="0"/>
          <w:numId w:val="41"/>
        </w:numPr>
        <w:tabs>
          <w:tab w:val="left" w:pos="368"/>
        </w:tabs>
        <w:spacing w:after="0"/>
        <w:ind w:left="226"/>
        <w:rPr>
          <w:rtl/>
          <w:lang w:bidi="ar-EG"/>
        </w:rPr>
      </w:pPr>
      <w:r w:rsidRPr="006018CC">
        <w:rPr>
          <w:rtl/>
          <w:lang w:bidi="ar-EG"/>
        </w:rPr>
        <w:t>واجهت أبحاث الذكاء الاصطناعي فترة من الانتكاس بسبب فشل الآلات في تحقيق تقدم ملموس (1987)</w:t>
      </w:r>
    </w:p>
    <w:p w14:paraId="191FB7AC" w14:textId="77777777" w:rsidR="00F52834" w:rsidRPr="006018CC" w:rsidRDefault="00F52834" w:rsidP="00F52834">
      <w:pPr>
        <w:numPr>
          <w:ilvl w:val="0"/>
          <w:numId w:val="41"/>
        </w:numPr>
        <w:tabs>
          <w:tab w:val="left" w:pos="368"/>
        </w:tabs>
        <w:spacing w:after="0"/>
        <w:ind w:left="226"/>
        <w:rPr>
          <w:lang w:bidi="ar-EG"/>
        </w:rPr>
      </w:pPr>
      <w:r w:rsidRPr="006018CC">
        <w:rPr>
          <w:rtl/>
          <w:lang w:bidi="ar-EG"/>
        </w:rPr>
        <w:t>حقق الذكاء الاصطناعي تقدمًا كبيرًا في مجالات مثل اللوجستيات، استخراج البيانات، والتشخيص الطبي (1987)</w:t>
      </w:r>
      <w:r w:rsidRPr="006018CC">
        <w:rPr>
          <w:lang w:bidi="ar-EG"/>
        </w:rPr>
        <w:t>.</w:t>
      </w:r>
    </w:p>
    <w:p w14:paraId="70D5F22F" w14:textId="77777777" w:rsidR="00F52834" w:rsidRPr="006018CC" w:rsidRDefault="00F52834" w:rsidP="00F52834">
      <w:pPr>
        <w:spacing w:after="0"/>
        <w:rPr>
          <w:rtl/>
          <w:lang w:val="en-GB"/>
        </w:rPr>
      </w:pPr>
      <w:r w:rsidRPr="006018CC">
        <w:rPr>
          <w:rtl/>
          <w:lang w:val="en-GB"/>
        </w:rPr>
        <w:t xml:space="preserve">شهد مجال الذكاء الاصطناعي تحولًا كبيرًا في أواخر التسعينيات نتيجة لتزايد القدرة الحسابية والانفجار الكبير في حجم البيانات المتاحة. هذا الجمع بين القوة الحاسوبية الهائلة والبيانات الضخمة أسهم في تحقيق قفزات نوعية في مجالات مثل البرمجة اللغوية العصبية، الروبوتات، التعلم الآلي، والتعلم العميق. وخلال العقد الأول من القرن الحادي والعشرين، ظهرت منتجات وخدمات رائدة شكّلت نمط حياتنا الحالي، منها إطلاق محرك البحث "جوجل" عام 2000، ونظام توصيات أمازون في 2001، ونظام توصيات الأفلام من </w:t>
      </w:r>
      <w:r w:rsidRPr="006018CC">
        <w:rPr>
          <w:lang w:val="en-GB"/>
        </w:rPr>
        <w:t>Netflix</w:t>
      </w:r>
      <w:r w:rsidRPr="006018CC">
        <w:rPr>
          <w:rtl/>
          <w:lang w:val="en-GB"/>
        </w:rPr>
        <w:t xml:space="preserve">، وتقنية التعرف على الوجه في </w:t>
      </w:r>
      <w:r w:rsidRPr="006018CC">
        <w:rPr>
          <w:lang w:val="en-GB"/>
        </w:rPr>
        <w:t>Facebook</w:t>
      </w:r>
      <w:r w:rsidRPr="006018CC">
        <w:rPr>
          <w:rtl/>
          <w:lang w:val="en-GB"/>
        </w:rPr>
        <w:t xml:space="preserve">، ونظام تحويل الكلام إلى نص من </w:t>
      </w:r>
      <w:r w:rsidRPr="006018CC">
        <w:rPr>
          <w:lang w:val="en-GB"/>
        </w:rPr>
        <w:t>Microsoft</w:t>
      </w:r>
      <w:r w:rsidRPr="006018CC">
        <w:rPr>
          <w:rtl/>
          <w:lang w:val="en-GB"/>
        </w:rPr>
        <w:t xml:space="preserve">. كما طورت </w:t>
      </w:r>
      <w:r w:rsidRPr="006018CC">
        <w:rPr>
          <w:lang w:val="en-GB"/>
        </w:rPr>
        <w:t>IBM</w:t>
      </w:r>
      <w:r w:rsidRPr="006018CC">
        <w:rPr>
          <w:rtl/>
          <w:lang w:val="en-GB"/>
        </w:rPr>
        <w:t xml:space="preserve"> تطبيق </w:t>
      </w:r>
      <w:r w:rsidRPr="006018CC">
        <w:rPr>
          <w:lang w:val="en-GB"/>
        </w:rPr>
        <w:t>Watson</w:t>
      </w:r>
      <w:r w:rsidRPr="006018CC">
        <w:rPr>
          <w:rtl/>
          <w:lang w:val="en-GB"/>
        </w:rPr>
        <w:t xml:space="preserve">، بينما بدأت </w:t>
      </w:r>
      <w:r w:rsidRPr="006018CC">
        <w:rPr>
          <w:lang w:val="en-GB"/>
        </w:rPr>
        <w:t>Google</w:t>
      </w:r>
      <w:r w:rsidRPr="006018CC">
        <w:rPr>
          <w:rtl/>
          <w:lang w:val="en-GB"/>
        </w:rPr>
        <w:t xml:space="preserve"> مبادرة السيارات ذاتية القيادة (</w:t>
      </w:r>
      <w:r w:rsidRPr="006018CC">
        <w:rPr>
          <w:lang w:val="en-GB"/>
        </w:rPr>
        <w:t>Waymo</w:t>
      </w:r>
      <w:r w:rsidRPr="006018CC">
        <w:rPr>
          <w:rtl/>
          <w:lang w:val="en-GB"/>
        </w:rPr>
        <w:t>) في 2022.</w:t>
      </w:r>
    </w:p>
    <w:p w14:paraId="5AB8F7D3" w14:textId="77777777" w:rsidR="00F52834" w:rsidRPr="006018CC" w:rsidRDefault="00F52834" w:rsidP="00F52834">
      <w:pPr>
        <w:spacing w:after="0"/>
        <w:rPr>
          <w:rtl/>
          <w:lang w:val="en-GB"/>
        </w:rPr>
      </w:pPr>
      <w:r w:rsidRPr="006018CC">
        <w:rPr>
          <w:rtl/>
          <w:lang w:val="en-GB"/>
        </w:rPr>
        <w:lastRenderedPageBreak/>
        <w:t xml:space="preserve">في العقد التالي الممتد بين 2010 و2020، تسارعت التطورات في الذكاء الاصطناعي، حيث شهد العالم إطلاق </w:t>
      </w:r>
      <w:r w:rsidRPr="006018CC">
        <w:rPr>
          <w:lang w:val="en-GB"/>
        </w:rPr>
        <w:t>Siri</w:t>
      </w:r>
      <w:r w:rsidRPr="006018CC">
        <w:rPr>
          <w:rtl/>
          <w:lang w:val="en-GB"/>
        </w:rPr>
        <w:t xml:space="preserve"> من </w:t>
      </w:r>
      <w:r w:rsidRPr="006018CC">
        <w:rPr>
          <w:lang w:val="en-GB"/>
        </w:rPr>
        <w:t>Apple</w:t>
      </w:r>
      <w:r w:rsidRPr="006018CC">
        <w:rPr>
          <w:rtl/>
          <w:lang w:val="en-GB"/>
        </w:rPr>
        <w:t xml:space="preserve">، والمساعد </w:t>
      </w:r>
      <w:r w:rsidRPr="006018CC">
        <w:rPr>
          <w:lang w:val="en-GB"/>
        </w:rPr>
        <w:t>Alexa</w:t>
      </w:r>
      <w:r w:rsidRPr="006018CC">
        <w:rPr>
          <w:rtl/>
          <w:lang w:val="en-GB"/>
        </w:rPr>
        <w:t xml:space="preserve"> من </w:t>
      </w:r>
      <w:r w:rsidRPr="006018CC">
        <w:rPr>
          <w:lang w:val="en-GB"/>
        </w:rPr>
        <w:t>Amazon</w:t>
      </w:r>
      <w:r w:rsidRPr="006018CC">
        <w:rPr>
          <w:rtl/>
          <w:lang w:val="en-GB"/>
        </w:rPr>
        <w:t xml:space="preserve">، بالإضافة إلى تطور السيارات ذاتية القيادة. أطلقت </w:t>
      </w:r>
      <w:r w:rsidRPr="006018CC">
        <w:rPr>
          <w:lang w:val="en-GB"/>
        </w:rPr>
        <w:t>Google</w:t>
      </w:r>
      <w:r w:rsidRPr="006018CC">
        <w:rPr>
          <w:rtl/>
          <w:lang w:val="en-GB"/>
        </w:rPr>
        <w:t xml:space="preserve"> إطار العمل مفتوح المصدر </w:t>
      </w:r>
      <w:r w:rsidRPr="006018CC">
        <w:rPr>
          <w:lang w:val="en-GB"/>
        </w:rPr>
        <w:t>TensorFlow</w:t>
      </w:r>
      <w:r w:rsidRPr="006018CC">
        <w:rPr>
          <w:rtl/>
          <w:lang w:val="en-GB"/>
        </w:rPr>
        <w:t xml:space="preserve"> للتعلم العميق، كما تم تأسيس </w:t>
      </w:r>
      <w:r w:rsidRPr="006018CC">
        <w:rPr>
          <w:lang w:val="en-GB"/>
        </w:rPr>
        <w:t>OpenAI</w:t>
      </w:r>
      <w:r w:rsidRPr="006018CC">
        <w:rPr>
          <w:rtl/>
          <w:lang w:val="en-GB"/>
        </w:rPr>
        <w:t xml:space="preserve"> الذي قدم نموذج اللغة </w:t>
      </w:r>
      <w:r w:rsidRPr="006018CC">
        <w:rPr>
          <w:lang w:val="en-GB"/>
        </w:rPr>
        <w:t>GPT-3</w:t>
      </w:r>
      <w:r w:rsidRPr="006018CC">
        <w:rPr>
          <w:rtl/>
          <w:lang w:val="en-GB"/>
        </w:rPr>
        <w:t xml:space="preserve"> ومولد الصور </w:t>
      </w:r>
      <w:r w:rsidRPr="006018CC">
        <w:rPr>
          <w:lang w:val="en-GB"/>
        </w:rPr>
        <w:t>DALL-E</w:t>
      </w:r>
      <w:r w:rsidRPr="006018CC">
        <w:rPr>
          <w:rtl/>
          <w:lang w:val="en-GB"/>
        </w:rPr>
        <w:t>. ومن الإنجازات البارزة في هذا العقد أيضًا تطوير أنظمة ذكاء اصطناعي قادرة على اكتشاف السرطان بدقة متناهية.</w:t>
      </w:r>
    </w:p>
    <w:p w14:paraId="05083226" w14:textId="77777777" w:rsidR="00F52834" w:rsidRPr="006018CC" w:rsidRDefault="00F52834" w:rsidP="00F52834">
      <w:pPr>
        <w:spacing w:after="0"/>
        <w:rPr>
          <w:rtl/>
          <w:lang w:val="en-GB"/>
        </w:rPr>
      </w:pPr>
      <w:r w:rsidRPr="006018CC">
        <w:rPr>
          <w:rtl/>
          <w:lang w:val="en-GB"/>
        </w:rPr>
        <w:t xml:space="preserve">وفي السنوات الأخيرة، برز الذكاء الاصطناعي التوليدي كأحد الاتجاهات الجديدة في هذا المجال، حيث أصبح بإمكانه إنشاء محتوى متنوع يشمل النصوص، الصور، الفيديوهات، والموسيقى استنادًا إلى مدخلات المستخدم. ومن الأمثلة على هذه النماذج </w:t>
      </w:r>
      <w:r w:rsidRPr="006018CC">
        <w:rPr>
          <w:lang w:val="en-GB"/>
        </w:rPr>
        <w:t>ChatGPT-3</w:t>
      </w:r>
      <w:r w:rsidRPr="006018CC">
        <w:rPr>
          <w:rtl/>
          <w:lang w:val="en-GB"/>
        </w:rPr>
        <w:t xml:space="preserve"> من </w:t>
      </w:r>
      <w:r w:rsidRPr="006018CC">
        <w:rPr>
          <w:lang w:val="en-GB"/>
        </w:rPr>
        <w:t>OpenAI</w:t>
      </w:r>
      <w:r w:rsidRPr="006018CC">
        <w:rPr>
          <w:rtl/>
          <w:lang w:val="en-GB"/>
        </w:rPr>
        <w:t>، و</w:t>
      </w:r>
      <w:r w:rsidRPr="006018CC">
        <w:rPr>
          <w:lang w:val="en-GB"/>
        </w:rPr>
        <w:t>Bard</w:t>
      </w:r>
      <w:r w:rsidRPr="006018CC">
        <w:rPr>
          <w:rtl/>
          <w:lang w:val="en-GB"/>
        </w:rPr>
        <w:t xml:space="preserve"> من </w:t>
      </w:r>
      <w:r w:rsidRPr="006018CC">
        <w:rPr>
          <w:lang w:val="en-GB"/>
        </w:rPr>
        <w:t>Google</w:t>
      </w:r>
      <w:r w:rsidRPr="006018CC">
        <w:rPr>
          <w:rtl/>
          <w:lang w:val="en-GB"/>
        </w:rPr>
        <w:t>، و</w:t>
      </w:r>
      <w:r w:rsidRPr="006018CC">
        <w:rPr>
          <w:lang w:val="en-GB"/>
        </w:rPr>
        <w:t>Turing-Megatron</w:t>
      </w:r>
      <w:r w:rsidRPr="006018CC">
        <w:rPr>
          <w:rtl/>
          <w:lang w:val="en-GB"/>
        </w:rPr>
        <w:t xml:space="preserve"> من </w:t>
      </w:r>
      <w:r w:rsidRPr="006018CC">
        <w:rPr>
          <w:lang w:val="en-GB"/>
        </w:rPr>
        <w:t>Microsoft</w:t>
      </w:r>
      <w:r w:rsidRPr="006018CC">
        <w:rPr>
          <w:rtl/>
          <w:lang w:val="en-GB"/>
        </w:rPr>
        <w:t>. ومع أن هذه التقنية ما زالت في مراحلها المبكرة، إلا أنها تمثل خطوة هامة نحو تعزيز قدرات الذكاء الاصطناعي.</w:t>
      </w:r>
    </w:p>
    <w:p w14:paraId="26787CC6" w14:textId="77777777" w:rsidR="00F52834" w:rsidRPr="006018CC" w:rsidRDefault="00F52834" w:rsidP="00F52834">
      <w:pPr>
        <w:spacing w:after="0"/>
        <w:rPr>
          <w:rtl/>
          <w:lang w:val="en-GB"/>
        </w:rPr>
      </w:pPr>
      <w:r w:rsidRPr="006018CC">
        <w:rPr>
          <w:rtl/>
          <w:lang w:val="en-GB"/>
        </w:rPr>
        <w:t xml:space="preserve">أما المستقبل، فيُتوقع أن يشهد المزيد من الابتكارات في الذكاء الاصطناعي، حيث يُنتظر إطلاق نموذج </w:t>
      </w:r>
      <w:r w:rsidRPr="006018CC">
        <w:rPr>
          <w:lang w:val="en-GB"/>
        </w:rPr>
        <w:t>GPT-5</w:t>
      </w:r>
      <w:r w:rsidRPr="006018CC">
        <w:rPr>
          <w:rtl/>
          <w:lang w:val="en-GB"/>
        </w:rPr>
        <w:t xml:space="preserve"> في المستقبل القريب، مع توقعات بتحسين الموثوقية وتقليل الأخطاء الناتجة </w:t>
      </w:r>
      <w:proofErr w:type="gramStart"/>
      <w:r w:rsidRPr="006018CC">
        <w:rPr>
          <w:rtl/>
          <w:lang w:val="en-GB"/>
        </w:rPr>
        <w:t>عن ما</w:t>
      </w:r>
      <w:proofErr w:type="gramEnd"/>
      <w:r w:rsidRPr="006018CC">
        <w:rPr>
          <w:rtl/>
          <w:lang w:val="en-GB"/>
        </w:rPr>
        <w:t xml:space="preserve"> يُعرف </w:t>
      </w:r>
      <w:proofErr w:type="gramStart"/>
      <w:r w:rsidRPr="006018CC">
        <w:rPr>
          <w:rtl/>
          <w:lang w:val="en-GB"/>
        </w:rPr>
        <w:t>بـ"</w:t>
      </w:r>
      <w:proofErr w:type="gramEnd"/>
      <w:r w:rsidRPr="006018CC">
        <w:rPr>
          <w:rtl/>
          <w:lang w:val="en-GB"/>
        </w:rPr>
        <w:t xml:space="preserve">الهلوسة". وقد يكون النموذج الجديد متعدد الحواس، بمعنى قدرته على معالجة بيانات متنوعة تشمل النصوص، الصوت، الصور، الفيديو، وحتى معلومات أكثر تعقيدًا مثل بيانات العمق ودرجة الحرارة. ومن المحتمل أن يدعم النموذج ذاكرة طويلة المدى، مما يعزز من كفاءته التشغيلية ويقلل التكاليف. وعلى الرغم من التكهنات حول وصول </w:t>
      </w:r>
      <w:r w:rsidRPr="006018CC">
        <w:rPr>
          <w:lang w:val="en-GB"/>
        </w:rPr>
        <w:t>GPT-5</w:t>
      </w:r>
      <w:r w:rsidRPr="006018CC">
        <w:rPr>
          <w:rtl/>
          <w:lang w:val="en-GB"/>
        </w:rPr>
        <w:t xml:space="preserve"> إلى مستوى الذكاء الاصطناعي العام (</w:t>
      </w:r>
      <w:r w:rsidRPr="006018CC">
        <w:rPr>
          <w:lang w:val="en-GB"/>
        </w:rPr>
        <w:t>AGI</w:t>
      </w:r>
      <w:r w:rsidRPr="006018CC">
        <w:rPr>
          <w:rtl/>
          <w:lang w:val="en-GB"/>
        </w:rPr>
        <w:t>)، إلا أن ذلك لا يزال تحت البحث والتطوير.</w:t>
      </w:r>
    </w:p>
    <w:p w14:paraId="77578EC5" w14:textId="77777777" w:rsidR="00F52834" w:rsidRPr="006018CC" w:rsidRDefault="00F52834" w:rsidP="00F52834">
      <w:pPr>
        <w:spacing w:after="0"/>
        <w:rPr>
          <w:rtl/>
        </w:rPr>
      </w:pPr>
      <w:r w:rsidRPr="006018CC">
        <w:rPr>
          <w:rtl/>
        </w:rPr>
        <w:t xml:space="preserve">   1.3. أنواع الذكاء الاصطناعي: </w:t>
      </w:r>
    </w:p>
    <w:p w14:paraId="750D0969" w14:textId="77777777" w:rsidR="00F52834" w:rsidRPr="006018CC" w:rsidRDefault="00F52834" w:rsidP="00F52834">
      <w:pPr>
        <w:spacing w:after="0"/>
        <w:rPr>
          <w:rtl/>
        </w:rPr>
      </w:pPr>
      <w:r w:rsidRPr="006018CC">
        <w:rPr>
          <w:rtl/>
        </w:rPr>
        <w:t>تتعدد أنواع أنظمة الذكاء الاصطناعي وفقًا لقدراتها واستخداماتها، بدءًا من الآلات التفاعلية التي تمثل أقدم أشكال الذكاء الاصطناعي. تُعرف الآلات التفاعلية (</w:t>
      </w:r>
      <w:r w:rsidRPr="006018CC">
        <w:t>Reactive Machines AI</w:t>
      </w:r>
      <w:r w:rsidRPr="006018CC">
        <w:rPr>
          <w:rtl/>
        </w:rPr>
        <w:t xml:space="preserve">) بقدرتها المحدودة التي تحاكي استجابة العقل البشري للمحفزات المختلفة دون الاعتماد على الذاكرة أو التعلم من التجارب السابقة. تقتصر وظيفتها على الاستجابة المباشرة لمجموعة محددة من المدخلات، مما يجعلها غير قادرة على تطوير معرفتها أو تحسين أدائها بمرور الوقت. مثال بارز على هذا النوع هو جهاز </w:t>
      </w:r>
      <w:r w:rsidRPr="006018CC">
        <w:t>Deep Blue</w:t>
      </w:r>
      <w:r w:rsidRPr="006018CC">
        <w:rPr>
          <w:rtl/>
        </w:rPr>
        <w:t xml:space="preserve"> التابع لشركة </w:t>
      </w:r>
      <w:r w:rsidRPr="006018CC">
        <w:t>IBM</w:t>
      </w:r>
      <w:r w:rsidRPr="006018CC">
        <w:rPr>
          <w:rtl/>
        </w:rPr>
        <w:t>، الذي تمكن من هزيمة بطل الشطرنج غاري كاسباروف في عام 1997 (</w:t>
      </w:r>
      <w:r w:rsidRPr="006018CC">
        <w:t>Dhokare &amp; Gaikwad, 2021</w:t>
      </w:r>
      <w:r w:rsidRPr="006018CC">
        <w:rPr>
          <w:rtl/>
        </w:rPr>
        <w:t>).</w:t>
      </w:r>
    </w:p>
    <w:p w14:paraId="102EE614" w14:textId="77777777" w:rsidR="00F52834" w:rsidRPr="006018CC" w:rsidRDefault="00F52834" w:rsidP="00F52834">
      <w:pPr>
        <w:spacing w:after="0"/>
        <w:rPr>
          <w:rtl/>
        </w:rPr>
      </w:pPr>
      <w:r w:rsidRPr="006018CC">
        <w:rPr>
          <w:rtl/>
        </w:rPr>
        <w:t>على النقيض، يتميز الذكاء الاصطناعي ذو الذاكرة المحدودة (</w:t>
      </w:r>
      <w:r w:rsidRPr="006018CC">
        <w:t>Limited Memory AI</w:t>
      </w:r>
      <w:r w:rsidRPr="006018CC">
        <w:rPr>
          <w:rtl/>
        </w:rPr>
        <w:t xml:space="preserve">) بقدرته على التعلم من البيانات التاريخية واتخاذ القرارات بناءً على التجارب السابقة. تُعد معظم التطبيقات الحديثة التي نتفاعل معها اليوم جزءًا من هذا النوع، حيث تعتمد على التعلم العميق لتحليل كميات ضخمة من بيانات التدريب. على سبيل المثال، تُستخدم أنظمة التعرف على الصور لتصنيف الصور </w:t>
      </w:r>
      <w:r w:rsidRPr="006018CC">
        <w:rPr>
          <w:rtl/>
        </w:rPr>
        <w:lastRenderedPageBreak/>
        <w:t>الجديدة استنادًا إلى المعرفة المكتسبة من آلاف الصور التي تمت معالجتها سابقًا. وتشمل تطبيقات هذا النوع:</w:t>
      </w:r>
    </w:p>
    <w:p w14:paraId="723D3427" w14:textId="77777777" w:rsidR="00F52834" w:rsidRPr="006018CC" w:rsidRDefault="00F52834" w:rsidP="00F52834">
      <w:pPr>
        <w:widowControl w:val="0"/>
        <w:numPr>
          <w:ilvl w:val="0"/>
          <w:numId w:val="42"/>
        </w:numPr>
        <w:spacing w:after="0"/>
        <w:ind w:left="651"/>
        <w:rPr>
          <w:rtl/>
        </w:rPr>
      </w:pPr>
      <w:r w:rsidRPr="006018CC">
        <w:rPr>
          <w:rtl/>
        </w:rPr>
        <w:t>تطوير أدوات تشخيصية للكشف المبكر عن الأمراض مثل السرطان والزهايمر، وتخصيص خطط علاجية للمرضى.</w:t>
      </w:r>
    </w:p>
    <w:p w14:paraId="3106A06C" w14:textId="77777777" w:rsidR="00F52834" w:rsidRPr="006018CC" w:rsidRDefault="00F52834" w:rsidP="00F52834">
      <w:pPr>
        <w:widowControl w:val="0"/>
        <w:numPr>
          <w:ilvl w:val="0"/>
          <w:numId w:val="42"/>
        </w:numPr>
        <w:spacing w:after="0"/>
        <w:ind w:left="651"/>
        <w:rPr>
          <w:rtl/>
        </w:rPr>
      </w:pPr>
      <w:r w:rsidRPr="006018CC">
        <w:rPr>
          <w:rtl/>
        </w:rPr>
        <w:t>تصميم خوارزميات للتداول في الأسواق المالية، تُستخدم للتنبؤ بحركة الأسهم وكشف المعاملات الاحتيالية.</w:t>
      </w:r>
    </w:p>
    <w:p w14:paraId="66452A92" w14:textId="77777777" w:rsidR="00F52834" w:rsidRPr="006018CC" w:rsidRDefault="00F52834" w:rsidP="00F52834">
      <w:pPr>
        <w:widowControl w:val="0"/>
        <w:numPr>
          <w:ilvl w:val="0"/>
          <w:numId w:val="42"/>
        </w:numPr>
        <w:spacing w:after="0"/>
        <w:ind w:left="651"/>
        <w:rPr>
          <w:rtl/>
        </w:rPr>
      </w:pPr>
      <w:r w:rsidRPr="006018CC">
        <w:rPr>
          <w:rtl/>
        </w:rPr>
        <w:t>تطوير مركبات ذاتية القيادة تعتمد على الذكاء الاصطناعي للقيادة دون تدخل بشري.</w:t>
      </w:r>
    </w:p>
    <w:p w14:paraId="067F0CFE" w14:textId="77777777" w:rsidR="00F52834" w:rsidRPr="006018CC" w:rsidRDefault="00F52834" w:rsidP="00F52834">
      <w:pPr>
        <w:widowControl w:val="0"/>
        <w:numPr>
          <w:ilvl w:val="0"/>
          <w:numId w:val="42"/>
        </w:numPr>
        <w:spacing w:after="0"/>
        <w:ind w:left="651"/>
        <w:rPr>
          <w:rtl/>
        </w:rPr>
      </w:pPr>
      <w:r w:rsidRPr="006018CC">
        <w:rPr>
          <w:rtl/>
        </w:rPr>
        <w:t>تحسين عمليات الإنتاج من خلال تحديد العيوب في المنتجات وزيادة كفاءة العمليات.</w:t>
      </w:r>
    </w:p>
    <w:p w14:paraId="5322199B" w14:textId="77777777" w:rsidR="00F52834" w:rsidRPr="006018CC" w:rsidRDefault="00F52834" w:rsidP="00F52834">
      <w:pPr>
        <w:widowControl w:val="0"/>
        <w:numPr>
          <w:ilvl w:val="0"/>
          <w:numId w:val="42"/>
        </w:numPr>
        <w:spacing w:after="0"/>
        <w:ind w:left="651"/>
        <w:rPr>
          <w:rtl/>
        </w:rPr>
      </w:pPr>
      <w:r w:rsidRPr="006018CC">
        <w:rPr>
          <w:rtl/>
        </w:rPr>
        <w:t>إنشاء نظم تعليم شخصية تُكيف المناهج مع أسلوب التعلم الخاص بكل طالب (</w:t>
      </w:r>
      <w:r w:rsidRPr="006018CC">
        <w:t>Xiao et al., 2007</w:t>
      </w:r>
      <w:r w:rsidRPr="006018CC">
        <w:rPr>
          <w:rtl/>
        </w:rPr>
        <w:t>).</w:t>
      </w:r>
    </w:p>
    <w:p w14:paraId="5E3D2506" w14:textId="77777777" w:rsidR="00F52834" w:rsidRPr="006018CC" w:rsidRDefault="00F52834" w:rsidP="00F52834">
      <w:pPr>
        <w:spacing w:after="0"/>
        <w:rPr>
          <w:rtl/>
        </w:rPr>
      </w:pPr>
      <w:r w:rsidRPr="006018CC">
        <w:rPr>
          <w:rtl/>
        </w:rPr>
        <w:t>أما الذكاء الاصطناعي بنظرية العقل (</w:t>
      </w:r>
      <w:r w:rsidRPr="006018CC">
        <w:t>Theory of Mind AI</w:t>
      </w:r>
      <w:r w:rsidRPr="006018CC">
        <w:rPr>
          <w:rtl/>
        </w:rPr>
        <w:t>) فهو يُمثل المستوى التالي من تطور الذكاء الاصطناعي. يهدف هذا النوع إلى تعزيز فهم الأنظمة الاصطناعية لاحتياجات ومشاعر ومعتقدات الكيانات التي تتفاعل معها. يُعتبر الذكاء العاطفي الاصطناعي مجالًا ناشئًا يلقى اهتمامًا متزايدًا من الباحثين، حيث يُمكنه أن يمهد الطريق لأنظمة أكثر قدرة على التفاعل البشري الفعال. ومع ذلك، فإن تحقيق هذا النوع يتطلب تطوير تقنيات إضافية لدعم قدراته المستقبلية (</w:t>
      </w:r>
      <w:r w:rsidRPr="006018CC">
        <w:t>Dhokare &amp; Gaikwad, 2021</w:t>
      </w:r>
      <w:r w:rsidRPr="006018CC">
        <w:rPr>
          <w:rtl/>
        </w:rPr>
        <w:t>).</w:t>
      </w:r>
    </w:p>
    <w:p w14:paraId="6AC24F96" w14:textId="77777777" w:rsidR="00F52834" w:rsidRPr="006018CC" w:rsidRDefault="00F52834" w:rsidP="00F52834">
      <w:pPr>
        <w:spacing w:after="0"/>
      </w:pPr>
      <w:r w:rsidRPr="006018CC">
        <w:rPr>
          <w:rtl/>
        </w:rPr>
        <w:t xml:space="preserve">في سياق تطور أنظمة الذكاء الاصطناعي، يمكن تصنيفها إلى أنواع متعددة بناءً على مستوى تعقيدها وقدراتها التقنية (خليفة، 2017، ص </w:t>
      </w:r>
      <w:proofErr w:type="spellStart"/>
      <w:r w:rsidRPr="006018CC">
        <w:rPr>
          <w:rtl/>
        </w:rPr>
        <w:t>ص</w:t>
      </w:r>
      <w:proofErr w:type="spellEnd"/>
      <w:r w:rsidRPr="006018CC">
        <w:rPr>
          <w:rtl/>
        </w:rPr>
        <w:t xml:space="preserve"> 62-63). النوع الأول يُعرف باسم "الذكاء الاصطناعي الضيق" أو "الذكاء الاصطناعي الضعيف</w:t>
      </w:r>
      <w:r w:rsidRPr="006018CC">
        <w:t xml:space="preserve">" (ANI). </w:t>
      </w:r>
      <w:r w:rsidRPr="006018CC">
        <w:rPr>
          <w:rtl/>
        </w:rPr>
        <w:t>يتمثل هذا النوع في الأنظمة الموجودة حاليًا، والتي تقتصر على أداء مهام محددة بكفاءة باستخدام قدرات تحاكي جزئيًا الخصائص البشرية. وتُعدّ هذه الأنظمة مبرمجة مسبقًا لتنفيذ مهام معينة، مما يجعلها غير قادرة على التكيف أو العمل خارج النطاق المحدد لها. من أمثلتها روبوتات المحادثة، وأنظمة التوصية، وأدوات اكتشاف الاحتيال</w:t>
      </w:r>
      <w:r w:rsidRPr="006018CC">
        <w:t>.</w:t>
      </w:r>
    </w:p>
    <w:p w14:paraId="3B7429B9" w14:textId="77777777" w:rsidR="00F52834" w:rsidRPr="006018CC" w:rsidRDefault="00F52834" w:rsidP="00F52834">
      <w:pPr>
        <w:spacing w:after="0"/>
      </w:pPr>
      <w:r w:rsidRPr="006018CC">
        <w:rPr>
          <w:rtl/>
        </w:rPr>
        <w:t>النوع الثاني هو "الذكاء الاصطناعي العام</w:t>
      </w:r>
      <w:r w:rsidRPr="006018CC">
        <w:t>" (AGI)</w:t>
      </w:r>
      <w:r w:rsidRPr="006018CC">
        <w:rPr>
          <w:rtl/>
        </w:rPr>
        <w:t>، والذي يمثل مرحلة متقدمة حيث يمكن للأنظمة أن تتعلم وتفهم وتتكيف مع السياقات المختلفة مثل الإنسان. يتميز هذا النوع بقدرته على تنفيذ مجموعة متنوعة من المهام بشكل مستقل، مما يقلل من الحاجة إلى تدريب مطول. تشمل تطبيقاته أنظمة يمكنها التفاعل مع مجالات متعددة بفعالية، مما يتيح أداء وظائف متنوعة بمرونة عالية</w:t>
      </w:r>
      <w:r w:rsidRPr="006018CC">
        <w:t>.</w:t>
      </w:r>
    </w:p>
    <w:p w14:paraId="72717E30" w14:textId="77777777" w:rsidR="00F52834" w:rsidRPr="006018CC" w:rsidRDefault="00F52834" w:rsidP="00F52834">
      <w:pPr>
        <w:spacing w:after="0"/>
      </w:pPr>
      <w:r w:rsidRPr="006018CC">
        <w:rPr>
          <w:rtl/>
        </w:rPr>
        <w:t>أما النوع الثالث، فهو "الذكاء الاصطناعي الخارق</w:t>
      </w:r>
      <w:r w:rsidRPr="006018CC">
        <w:t>" (ASI)</w:t>
      </w:r>
      <w:r w:rsidRPr="006018CC">
        <w:rPr>
          <w:rtl/>
        </w:rPr>
        <w:t>، والذي يمثل مستوى متقدمًا للغاية من الذكاء الاصطناعي. يهدف هذا النوع إلى تجاوز القدرات البشرية من خلال معالجة وتحليل البيانات بشكل أسرع وأعمق، مما يمكّنه من اتخاذ قرارات تتفوق على الأداء البشري. يشمل هذا النوع أيضًا تطوير أنظمة قادرة على محاكاة الذكاء البشري بالكامل مع إضافة إمكانات تفوقها</w:t>
      </w:r>
      <w:r w:rsidRPr="006018CC">
        <w:t>.</w:t>
      </w:r>
    </w:p>
    <w:p w14:paraId="0702EB6E" w14:textId="77777777" w:rsidR="00F52834" w:rsidRPr="006018CC" w:rsidRDefault="00F52834" w:rsidP="00F52834">
      <w:pPr>
        <w:spacing w:after="0"/>
      </w:pPr>
      <w:r w:rsidRPr="006018CC">
        <w:rPr>
          <w:rtl/>
        </w:rPr>
        <w:lastRenderedPageBreak/>
        <w:t>إلى جانب الأنواع الثلاثة السابقة، يُعتبر "الذكاء الاصطناعي الواعٍ" هدفًا افتراضيًا يطمح الباحثون إلى تحقيقه في المستقبل. هذا النوع من الذكاء الاصطناعي يمتلك وعيًا ذاتيًا مشابهًا للعقل البشري، مما يمكّنه من تطوير مشاعر واحتياجات خاصة به. يُتوقع أن يستغرق تطوير هذه الأنظمة فترة زمنية طويلة، وقد يغير ذلك جذريًا طريقة التفاعل مع التقنية</w:t>
      </w:r>
      <w:r w:rsidRPr="006018CC">
        <w:t>.</w:t>
      </w:r>
    </w:p>
    <w:p w14:paraId="160E9555" w14:textId="77777777" w:rsidR="00F52834" w:rsidRPr="006018CC" w:rsidRDefault="00F52834" w:rsidP="00F52834">
      <w:pPr>
        <w:spacing w:after="0"/>
      </w:pPr>
      <w:r w:rsidRPr="006018CC">
        <w:rPr>
          <w:rtl/>
        </w:rPr>
        <w:t>وأخيرًا، يتضمن التصنيف الحديث للذكاء الاصطناعي نوعًا جديدًا يُعرف باسم "الذكاء الاصطناعي التوليدي"، وهو يركز على إنشاء محتوى جديد وأصلي باستخدام تقنيات تعلم الآلة والشبكات العصبية العميقة. يتميز هذا النوع بقدرته على إنتاج نصوص وصور وأصوات ومقاطع فيديو وبرمجيات بشكل مبتكر، دون الاعتماد على تكرار البيانات المستخدمة في التدريب (الذكاء الاصطناعي، 2024)</w:t>
      </w:r>
      <w:r w:rsidRPr="006018CC">
        <w:t>.</w:t>
      </w:r>
    </w:p>
    <w:p w14:paraId="4883A476" w14:textId="77777777" w:rsidR="00F52834" w:rsidRPr="006018CC" w:rsidRDefault="00F52834" w:rsidP="00F52834">
      <w:pPr>
        <w:spacing w:after="0"/>
        <w:rPr>
          <w:rtl/>
        </w:rPr>
      </w:pPr>
      <w:r w:rsidRPr="006018CC">
        <w:rPr>
          <w:rtl/>
        </w:rPr>
        <w:t xml:space="preserve">   1.4. تطبيقات الذكاء الاصطناعي في الأعمال: </w:t>
      </w:r>
    </w:p>
    <w:p w14:paraId="7D4920C0" w14:textId="77777777" w:rsidR="00F52834" w:rsidRPr="006018CC" w:rsidRDefault="00F52834" w:rsidP="00F52834">
      <w:pPr>
        <w:spacing w:after="0"/>
        <w:rPr>
          <w:rtl/>
        </w:rPr>
      </w:pPr>
      <w:r w:rsidRPr="006018CC">
        <w:rPr>
          <w:rtl/>
        </w:rPr>
        <w:t xml:space="preserve">أصبح الذكاء الاصطناعي اليوم جزءًا لا يتجزأ من العديد من المجالات العلمية والتقنية، فضلاً عن تأثيره الملحوظ في العلوم الإنسانية واستخداماته اليومية. تتنوع تطبيقات الذكاء الاصطناعي بشكل كبير، بدءًا من تحسين أداء أجهزة الكمبيوتر وتطوير أدوات التسويق الرقمي التفاعلي التي تتنبأ بسلوكيات المستخدمين المستقبلية، وصولاً إلى تعزيز جودة الرسائل الإعلامية عبر البرامج التلفزيونية ومنصات التواصل الاجتماعي. كما يُستخدم الذكاء الاصطناعي في المجالات الأمنية والطبية، ويُساهم في تطوير السيارات ذاتية القيادة القادرة على التكيف مع ظروف الطرق وحركة المرور. علاوة على ذلك، يُستخدم الذكاء الاصطناعي في تحليل سوق الأسهم واتخاذ القرارات المالية، وتطوير الطائرات بدون طيار ذات التوجيه الذاتي. بالإضافة إلى ذلك، يدخل الذكاء الاصطناعي في تصميم الروبوتات المستخدمة في القوات المسلحة وفي تقديم الرعاية لكبار السن (سامية شهيي </w:t>
      </w:r>
      <w:proofErr w:type="spellStart"/>
      <w:r w:rsidRPr="006018CC">
        <w:rPr>
          <w:rtl/>
        </w:rPr>
        <w:t>قمورة</w:t>
      </w:r>
      <w:proofErr w:type="spellEnd"/>
      <w:r w:rsidRPr="006018CC">
        <w:rPr>
          <w:rtl/>
        </w:rPr>
        <w:t xml:space="preserve"> </w:t>
      </w:r>
      <w:proofErr w:type="gramStart"/>
      <w:r w:rsidRPr="006018CC">
        <w:rPr>
          <w:rtl/>
        </w:rPr>
        <w:t>وأخرون</w:t>
      </w:r>
      <w:proofErr w:type="gramEnd"/>
      <w:r w:rsidRPr="006018CC">
        <w:rPr>
          <w:rtl/>
        </w:rPr>
        <w:t>، 2018</w:t>
      </w:r>
      <w:proofErr w:type="gramStart"/>
      <w:r w:rsidRPr="006018CC">
        <w:rPr>
          <w:rtl/>
        </w:rPr>
        <w:t>)،  وعلى</w:t>
      </w:r>
      <w:proofErr w:type="gramEnd"/>
      <w:r w:rsidRPr="006018CC">
        <w:rPr>
          <w:rtl/>
        </w:rPr>
        <w:t xml:space="preserve"> صعيد التفصيل فقد جاء ما يلي: </w:t>
      </w:r>
    </w:p>
    <w:p w14:paraId="797A5670" w14:textId="77777777" w:rsidR="00F52834" w:rsidRPr="006018CC" w:rsidRDefault="00F52834" w:rsidP="00F52834">
      <w:pPr>
        <w:spacing w:after="0"/>
        <w:rPr>
          <w:rtl/>
        </w:rPr>
      </w:pPr>
      <w:r w:rsidRPr="006018CC">
        <w:rPr>
          <w:rtl/>
        </w:rPr>
        <w:t>شهد دمج الذكاء الاصطناعي في العمليات الإدارية والصناعية تحولات جذرية غيّرت أساليب تنفيذ العمليات واتخاذ القرارات. ففي القطاع الصناعي، تُظهر الآلات الذكية قدرة فائقة على معالجة البيانات وتحليلها، مما يمكنها من تنفيذ عمليات دقيقة مثل فحص التصاميم الهندسية، مراقبة خطوط الإنتاج، واتخاذ قرارات فورية بناءً على بيانات فورية. علاوة على ذلك، عزز استخدام الذكاء الاصطناعي تقنيات متطورة، مثل السيارات ذاتية القيادة التي تتكيف مع ظروف المرور، والطائرات بدون طيار المستخدمة في الاستطلاع والمراقبة، وقطارات "</w:t>
      </w:r>
      <w:proofErr w:type="spellStart"/>
      <w:r w:rsidRPr="006018CC">
        <w:rPr>
          <w:rtl/>
        </w:rPr>
        <w:t>الهايبرلوب</w:t>
      </w:r>
      <w:proofErr w:type="spellEnd"/>
      <w:r w:rsidRPr="006018CC">
        <w:rPr>
          <w:rtl/>
        </w:rPr>
        <w:t>" التي تُعد قفزة نوعية في وسائل النقل السريع.</w:t>
      </w:r>
    </w:p>
    <w:p w14:paraId="65530E15" w14:textId="77777777" w:rsidR="00F52834" w:rsidRPr="006018CC" w:rsidRDefault="00F52834" w:rsidP="00F52834">
      <w:pPr>
        <w:spacing w:after="0"/>
        <w:rPr>
          <w:rtl/>
        </w:rPr>
      </w:pPr>
      <w:r w:rsidRPr="006018CC">
        <w:rPr>
          <w:rtl/>
        </w:rPr>
        <w:t>أما في الإدارة، فقد اعتمدت الشركات بشكل واسع على الذكاء الاصطناعي لتحسين كفاءة العمليات الداخلية وتقديم خدمات محسّنة للعملاء. من خلال معالجة كميات ضخمة من البيانات، يمكن لهذه التقنيات توفير رؤى استراتيجية تدعم اتخاذ القرارات المدروسة، إلى جانب تعزيز تجربة العملاء عبر تقديم خدمات مخصصة تلبي احتياجاتهم الفردية، مما يعزز من مستويات رضاهم وولائهم.</w:t>
      </w:r>
    </w:p>
    <w:p w14:paraId="3E501E29" w14:textId="77777777" w:rsidR="00F52834" w:rsidRPr="006018CC" w:rsidRDefault="00F52834" w:rsidP="00F52834">
      <w:pPr>
        <w:spacing w:after="0"/>
        <w:rPr>
          <w:rtl/>
        </w:rPr>
      </w:pPr>
      <w:r w:rsidRPr="006018CC">
        <w:rPr>
          <w:rtl/>
        </w:rPr>
        <w:lastRenderedPageBreak/>
        <w:t>وفي المملكة العربية السعودية، شهدت بيئة الأعمال تطورًا ملحوظًا في تبني الذكاء الاصطناعي كجزء من رؤية المملكة 2030، حيث تم تطبيق تقنيات مبتكرة لتحسين الكفاءة والإنتاجية. على سبيل المثال، أطلقت جهات حكومية وخاصة مبادرات رائدة مثل استخدام روبوتات الدردشة لتقديم خدمات العملاء، وتقنيات التوقيع الإلكتروني، وإدارة علاقات الشركاء باستخدام الذكاء الاصطناعي. كما قامت المملكة بتطوير مشاريع متقدمة، مثل "</w:t>
      </w:r>
      <w:proofErr w:type="spellStart"/>
      <w:r w:rsidRPr="006018CC">
        <w:rPr>
          <w:rtl/>
        </w:rPr>
        <w:t>نيوم</w:t>
      </w:r>
      <w:proofErr w:type="spellEnd"/>
      <w:r w:rsidRPr="006018CC">
        <w:rPr>
          <w:rtl/>
        </w:rPr>
        <w:t>" التي تعتمد بشكل كبير على التقنيات الذكية لتحويل المنطقة إلى مركز عالمي للابتكار الصناعي والإداري.</w:t>
      </w:r>
    </w:p>
    <w:p w14:paraId="22A1DF44" w14:textId="77777777" w:rsidR="00F52834" w:rsidRPr="006018CC" w:rsidRDefault="00F52834" w:rsidP="00F52834">
      <w:pPr>
        <w:spacing w:after="0"/>
        <w:rPr>
          <w:rtl/>
        </w:rPr>
      </w:pPr>
      <w:r w:rsidRPr="006018CC">
        <w:rPr>
          <w:rtl/>
        </w:rPr>
        <w:t>وفي إطار تعزيز الكفاءة الإدارية، تبنت المملكة أدوات متطورة مثل الأنظمة التنبؤية التي تعتمد على الذكاء الاصطناعي لتحليل بيانات الموظفين والتنبؤ بمعدلات الاستقالة. توفر هذه الأنظمة رؤية دقيقة تساعد المسؤولين في اتخاذ قرارات استباقية للحد من تسرب الكفاءات وتحسين بيئة العمل. كما يتم استخدام الذكاء الاصطناعي في مجالات أخرى، مثل تحليل بيانات العملاء لتحسين استراتيجيات التسويق، وتعزيز رضا العملاء من خلال تقديم خدمات تلبي احتياجاتهم بشكل أكثر دقة وفعالية.</w:t>
      </w:r>
    </w:p>
    <w:p w14:paraId="36FEFB69" w14:textId="77777777" w:rsidR="00F52834" w:rsidRPr="006018CC" w:rsidRDefault="00F52834" w:rsidP="00F52834">
      <w:pPr>
        <w:spacing w:after="0"/>
        <w:rPr>
          <w:rtl/>
        </w:rPr>
      </w:pPr>
      <w:r w:rsidRPr="006018CC">
        <w:rPr>
          <w:rtl/>
        </w:rPr>
        <w:t xml:space="preserve">وفي القطاع الصناعي، أدت هذه التقنيات إلى تحسين الأداء وزيادة الإنتاجية وإعادة هيكلة سلاسل التوريد بشكل أكثر كفاءة، مما يعزز من قدرة المؤسسات السعودية على التنافس في الأسواق العالمية. على سبيل المثال، يتم توظيف تقنيات الذكاء الاصطناعي في الصناعة البتروكيماوية لتحليل البيانات الضخمة، وتحسين عمليات التصنيع، وتقليل الهدر، ما يعزز من الاستدامة الاقتصادية، حيث يتضح </w:t>
      </w:r>
      <w:r w:rsidRPr="006018CC">
        <w:rPr>
          <w:shd w:val="clear" w:color="auto" w:fill="FFFFFF"/>
          <w:rtl/>
        </w:rPr>
        <w:t xml:space="preserve">أن الذكاء الاصطناعي لا يقتصر فقط على تحسين العمليات التقنية، بل يمتد أيضًا ليكون أداة حيوية في تعزيز الإدارة الذكية داخل المؤسسات، مما يسهم في بناء بيئات عمل أكثر كفاءة وابتكارًا، حيث أن المتغيرات العالمية المتسارعة فرضت معادلة جديدة على المؤسسات والشركات، بتبني نهج جديد لاستقطاب وجذب أصحاب المواهب والكفاءات، والحفاظ عليها داخل المؤسسة، ومواكبة آخر المستجدات في عالم التكنولوجيا والذكاء الاصطناعي، والاستفادة من هذه التقنيات في تطوير منظومة العمل (منصور عبد الله رباع، 2019). </w:t>
      </w:r>
    </w:p>
    <w:p w14:paraId="6EFFBE76" w14:textId="77777777" w:rsidR="00F52834" w:rsidRPr="006018CC" w:rsidRDefault="00F52834" w:rsidP="00F52834">
      <w:pPr>
        <w:spacing w:after="0"/>
        <w:rPr>
          <w:rtl/>
        </w:rPr>
      </w:pPr>
      <w:r w:rsidRPr="006018CC">
        <w:rPr>
          <w:rtl/>
        </w:rPr>
        <w:t xml:space="preserve">  إن العالم قد دخل حقبة الاقتصاد الرقمي، مما دفع العديد من الدول إلى إعادة صياغة ميزاتها التنافسية وإعادة هيكلة النمط الاقتصادي لمواكبة الثورة العلمية والتكنولوجية العالمية. في ظل هذه الثورة الرقمية، أصبحت الصناعة أكثر بشكل صحيح. من بين المزايا الرئيسية للذكاء الاصطناعي في العمليات الحسابية: الأتمتة، دعم اتخاذ القرارات الذكية، ح قدرة على الإنتاج بكفاءة وسرعة أكبر. هناك أربعة تأثيرات رئيسية لهذه الثورة على الصناعة: تحسين الأداء، زيادة الإنتاجية، إعادة تنظيم سلاسل التوريد بشكل شامل، وتخصيص المنتجات والخدمات مما يعزز التنافسية علاوة على أن الذكاء الاصطناعي يوفر فرصًا هائلة للمؤسسات إذا تم تطبيق تقنياته للمشكلات المعقدة، إدارة المهام المتكررة، رفع الكفاءة التجارية، تقليل الأخطاء في العمليات الصناعية المعقدة والحساسة، ودفع عجلة التقدم الطبي وتسهيل الرعاية الصحية (ميسون إبراهيم، 2023).</w:t>
      </w:r>
    </w:p>
    <w:p w14:paraId="643AB478" w14:textId="77777777" w:rsidR="00F52834" w:rsidRPr="006018CC" w:rsidRDefault="00F52834" w:rsidP="00F52834">
      <w:pPr>
        <w:spacing w:after="0"/>
        <w:rPr>
          <w:rtl/>
        </w:rPr>
      </w:pPr>
      <w:r w:rsidRPr="006018CC">
        <w:rPr>
          <w:rtl/>
        </w:rPr>
        <w:lastRenderedPageBreak/>
        <w:t>إن استثمار المملكة في الذكاء الاصطناعي يعكس رؤية استراتيجية لتحقيق نمو شامل ومستدام في مختلف القطاعات، مع التركيز على الابتكار والإبداع لتحسين حياة المواطنين ودفع عجلة التنمية الاقتصادية.</w:t>
      </w:r>
    </w:p>
    <w:p w14:paraId="3B2A4652" w14:textId="77777777" w:rsidR="00F52834" w:rsidRPr="006018CC" w:rsidRDefault="00F52834" w:rsidP="00F52834">
      <w:pPr>
        <w:spacing w:after="0"/>
        <w:rPr>
          <w:rtl/>
        </w:rPr>
      </w:pPr>
      <w:r w:rsidRPr="006018CC">
        <w:rPr>
          <w:rtl/>
        </w:rPr>
        <w:t xml:space="preserve">أشارت دراسة </w:t>
      </w:r>
      <w:r w:rsidRPr="006018CC">
        <w:t xml:space="preserve">Ivanov, Stanislav </w:t>
      </w:r>
      <w:proofErr w:type="gramStart"/>
      <w:r w:rsidRPr="006018CC">
        <w:t>Hristov  2019</w:t>
      </w:r>
      <w:proofErr w:type="gramEnd"/>
      <w:r w:rsidRPr="006018CC">
        <w:rPr>
          <w:rtl/>
        </w:rPr>
        <w:t xml:space="preserve">  لاستخدام الشركات العاملة في صناعة السفر والسياحة والضيافة لتقنيات الذكاء الاصطناعي وتقنيات أتمتة الخدمات (</w:t>
      </w:r>
      <w:proofErr w:type="gramStart"/>
      <w:r w:rsidRPr="006018CC">
        <w:t>RAISA</w:t>
      </w:r>
      <w:r w:rsidRPr="006018CC">
        <w:rPr>
          <w:rtl/>
        </w:rPr>
        <w:t>)  في</w:t>
      </w:r>
      <w:proofErr w:type="gramEnd"/>
      <w:r w:rsidRPr="006018CC">
        <w:rPr>
          <w:rtl/>
        </w:rPr>
        <w:t xml:space="preserve"> عملياتها بشكل متزايد لخدمة مختلف عملياتها </w:t>
      </w:r>
      <w:proofErr w:type="gramStart"/>
      <w:r w:rsidRPr="006018CC">
        <w:rPr>
          <w:rtl/>
        </w:rPr>
        <w:t>التسويقية  وعمليات</w:t>
      </w:r>
      <w:proofErr w:type="gramEnd"/>
      <w:r w:rsidRPr="006018CC">
        <w:rPr>
          <w:rtl/>
        </w:rPr>
        <w:t xml:space="preserve"> إدارة سلاسل التوريد وإدارة الموارد البشرية والإدارة المالية، وتؤكد على أنه سوف يشهد المستقبل تنامي في استخدام هذه التطبيقات مع التطور التقني الملحوظ والذي يسهم في تقديم خدمات قياسية رخيصة يتم تسليمها بواسطة </w:t>
      </w:r>
      <w:proofErr w:type="gramStart"/>
      <w:r w:rsidRPr="006018CC">
        <w:rPr>
          <w:rtl/>
        </w:rPr>
        <w:t>الروبوت ،</w:t>
      </w:r>
      <w:proofErr w:type="gramEnd"/>
      <w:r w:rsidRPr="006018CC">
        <w:rPr>
          <w:rtl/>
        </w:rPr>
        <w:t xml:space="preserve"> وذلك على حساب الموظفين البشرين. </w:t>
      </w:r>
    </w:p>
    <w:p w14:paraId="5FD892C0" w14:textId="77777777" w:rsidR="00F52834" w:rsidRPr="006018CC" w:rsidRDefault="00F52834" w:rsidP="00F52834">
      <w:pPr>
        <w:spacing w:after="0"/>
      </w:pPr>
      <w:r w:rsidRPr="006018CC">
        <w:rPr>
          <w:rtl/>
        </w:rPr>
        <w:t xml:space="preserve">أما عن مجال النقل، لم يكن بمنأى عن تكنولوجيا الذكاء الاصطناعي؛ إذ بدأت العديد من مصانع السيارات الشهيرة في وضع اللمسات الأخيرة على خطوط إنتاج المركبات ذاتية القيادة، المزودة بتقنية استشعار الحركة وخاصية الإدراك المكاني (هبة صبحي جلال إسماعيل، 2023). </w:t>
      </w:r>
    </w:p>
    <w:p w14:paraId="1282BD39" w14:textId="77777777" w:rsidR="00F52834" w:rsidRPr="006018CC" w:rsidRDefault="00F52834" w:rsidP="00F52834">
      <w:pPr>
        <w:spacing w:after="0"/>
        <w:rPr>
          <w:rtl/>
        </w:rPr>
      </w:pPr>
      <w:r w:rsidRPr="006018CC">
        <w:rPr>
          <w:rtl/>
        </w:rPr>
        <w:t xml:space="preserve">سيؤدي الطلب المتزايد على الغذاء إلى ضغوط هائلة على استخدام المياه والتربة. وكل هذا سيتفاقم بسبب تغير المناخ والاحترار العالمي. ومعظم الغذاء في العالم يحصده صغار المزارعين الذين يواجهون الفقر وانعدام الأمن الغذائي، ويمكن الآن إدارة المزارع الحديثة باستخدام الذكاء الاصطناعي والبيانات الضخمة بدقة تبدأ من مستوى الأقدام وحتى التفاصيل الدقيقة. تتيح المعلوماتية الجغرافية تطبيقات دقيقة للعلاجات الميدانية المستهدفة، مما يسهم في تحسين الكفاءة بشكل كبير. استخدمت الحكومات، بالتعاون مع مشغلي الاتصالات، الهواتف المحمولة لتنسيق توزيع البذور والأسمدة في المناطق النائية عبر قسائم إلكترونية، كما في مبادرة نيجيريا للمحفظة الإلكترونية. بالإضافة إلى ذلك، تسعى العديد من ابتكارات القطاع الخاص إلى تحسين دقة التنبؤات الجوية باستخدام أجهزة الاستشعار عن بعد والتقنيات المدمجة بنظام المعلومات الجغرافية، مما يساهم في التكيف مع تغير المناخ. كما أصبحت الحصادات الروبوتية المزودة بتقنيات الذكاء الاصطناعي قادرة على اتخاذ قرارات حصاد في الوقت الفعلي بناءً على البيانات المستمدة من الكاميرات وأجهزة الاستشعار. (ميريانا </w:t>
      </w:r>
      <w:proofErr w:type="spellStart"/>
      <w:r w:rsidRPr="006018CC">
        <w:rPr>
          <w:rtl/>
        </w:rPr>
        <w:t>ستانكوفيتش</w:t>
      </w:r>
      <w:proofErr w:type="spellEnd"/>
      <w:r w:rsidRPr="006018CC">
        <w:rPr>
          <w:rtl/>
        </w:rPr>
        <w:t xml:space="preserve"> واخرون، 2021)</w:t>
      </w:r>
    </w:p>
    <w:p w14:paraId="3CA1F5A5" w14:textId="77777777" w:rsidR="00F52834" w:rsidRPr="006018CC" w:rsidRDefault="00F52834" w:rsidP="00F52834">
      <w:pPr>
        <w:spacing w:after="0"/>
      </w:pPr>
      <w:r w:rsidRPr="006018CC">
        <w:rPr>
          <w:rtl/>
        </w:rPr>
        <w:t xml:space="preserve">شهدت استخدامات الذكاء الاصطناعي في مختلف القطاعات الاقتصادية نمواً ملحوظاً، خاصة في مجالات مثل تحليل البيانات الاقتصادية وتطوير أنظمة تداول الأسهم. تم تصميم أجهزة كمبيوتر ذكية قادرة على التكيف مع الأسواق المالية وتحليلها بشكل آلي، مما ساعد في تعزيز قدرة الشركات على الاستثمار في الأسواق المالية. كما أظهرت دراسة أعدتها </w:t>
      </w:r>
      <w:r w:rsidRPr="006018CC">
        <w:rPr>
          <w:i/>
          <w:iCs/>
          <w:rtl/>
        </w:rPr>
        <w:t>فرنانديز</w:t>
      </w:r>
      <w:r w:rsidRPr="006018CC">
        <w:rPr>
          <w:i/>
          <w:iCs/>
        </w:rPr>
        <w:t xml:space="preserve"> (2019)</w:t>
      </w:r>
      <w:r w:rsidRPr="006018CC">
        <w:t xml:space="preserve"> </w:t>
      </w:r>
      <w:r w:rsidRPr="006018CC">
        <w:rPr>
          <w:rtl/>
        </w:rPr>
        <w:t>تزايد استخدام هذه الأدوات في الآونة الأخيرة، حيث أصبحت العديد من المؤسسات المالية والبنوك تعتمد عليها لتقديم خدمات مالية متطورة، وهو ما يعكس الفوائد المتزايدة للتكنولوجيا في هذا المجال</w:t>
      </w:r>
      <w:r w:rsidRPr="006018CC">
        <w:t>.</w:t>
      </w:r>
    </w:p>
    <w:p w14:paraId="2C598ECA" w14:textId="77777777" w:rsidR="00F52834" w:rsidRPr="006018CC" w:rsidRDefault="00F52834" w:rsidP="00F52834">
      <w:pPr>
        <w:spacing w:after="0"/>
      </w:pPr>
      <w:r w:rsidRPr="006018CC">
        <w:rPr>
          <w:rtl/>
        </w:rPr>
        <w:lastRenderedPageBreak/>
        <w:t xml:space="preserve">في جانب آخر، تم توظيف الذكاء الاصطناعي في مجالات أخرى مثل الطيران الآلي والطائرات بدون طيار ذاتية التوجيه، بالإضافة إلى الروبوتات الذكية القادرة على اتخاذ قرارات مستقلة. من أبرز الأمثلة على ذلك الروبوت "صوفيا"، الذي ابتكرته شركة هانسون </w:t>
      </w:r>
      <w:proofErr w:type="spellStart"/>
      <w:r w:rsidRPr="006018CC">
        <w:rPr>
          <w:rtl/>
        </w:rPr>
        <w:t>روبوتكس</w:t>
      </w:r>
      <w:proofErr w:type="spellEnd"/>
      <w:r w:rsidRPr="006018CC">
        <w:rPr>
          <w:rtl/>
        </w:rPr>
        <w:t xml:space="preserve"> في عام 2016. يتميز هذا الروبوت عن الروبوتات التقليدية بقدرته على التفاعل الاجتماعي وتعلم الخوارزميات الذكية التي تجعله قادرًا على محاكاة تعبيرات الوجه والتفاعل مع البشر بشكل طبيعي، بالإضافة إلى اتخاذ قرارات مستقلة</w:t>
      </w:r>
      <w:r w:rsidRPr="006018CC">
        <w:t>.</w:t>
      </w:r>
    </w:p>
    <w:p w14:paraId="02C798AE" w14:textId="77777777" w:rsidR="00F52834" w:rsidRPr="006018CC" w:rsidRDefault="00F52834" w:rsidP="00F52834">
      <w:pPr>
        <w:spacing w:after="0"/>
      </w:pPr>
      <w:r w:rsidRPr="006018CC">
        <w:rPr>
          <w:rtl/>
        </w:rPr>
        <w:t xml:space="preserve">يمثل الذكاء الاصطناعي في هذه المجالات جزءاً أساسياً من استراتيجيات التحول الإلكتروني في الحكومات، حيث يسهم في تحسين الأنظمة الحكومية ودعم الاقتصاد. من خلال الاستثمار في هذه التقنيات، تعمل الدول على تطوير بنية تحتية ذكية تسهم في تحقيق نمو اقتصادي مستدام، بالإضافة إلى تحسين جودة الحياة للموطنين وتعزيز </w:t>
      </w:r>
      <w:proofErr w:type="gramStart"/>
      <w:r w:rsidRPr="006018CC">
        <w:rPr>
          <w:rtl/>
        </w:rPr>
        <w:t>رفاههم</w:t>
      </w:r>
      <w:proofErr w:type="gramEnd"/>
      <w:r w:rsidRPr="006018CC">
        <w:rPr>
          <w:rtl/>
        </w:rPr>
        <w:t xml:space="preserve"> الاجتماعي. كما يعزز ذلك من قدرة الدول على تطوير الكوادر البشرية المحلية وتصدير المعرفة، مما يساهم في تحقيق تقدم غير مسبوق في كافة القطاعات</w:t>
      </w:r>
      <w:r w:rsidRPr="006018CC">
        <w:t>.</w:t>
      </w:r>
    </w:p>
    <w:p w14:paraId="3E38EEA7" w14:textId="77777777" w:rsidR="00F52834" w:rsidRPr="006018CC" w:rsidRDefault="00F52834" w:rsidP="00F52834">
      <w:pPr>
        <w:spacing w:after="0"/>
      </w:pPr>
      <w:r w:rsidRPr="006018CC">
        <w:rPr>
          <w:rtl/>
        </w:rPr>
        <w:t>وفي ضوء ما سبق وتنوع مجالات توظيف الذكاء الاصطناعي، أصبحت الشركات المتوسطة والصغيرة أمام فرص واسعة لتوظيف تقنيات الذكاء الاصطناعي في مجالات أعمالها المختلفة. كان من المعتاد أن تقتصر هذه التقنيات على الشركات الكبرى ذات الموارد الضخمة، لكن اليوم أصبح بإمكان الشركات الصغيرة والمتوسطة الاستفادة من الذكاء الاصطناعي لتحسين الأداء وزيادة الكفاءة. من خلال أدوات الذكاء الاصطناعي، يمكن لهذه الشركات تحسين عملياتها التشغيلية، من إدارة المخزون والتوريد إلى تحليل بيانات العملاء وتخصيص العروض. كما يمكنها أيضاً استخدام الذكاء الاصطناعي في تسويق منتجاتها عبر الإنترنت، وتحليل سلوك العملاء لتقديم خدمات مخصصة وتحقيق رضا أكبر، مما يعزز من قدرتها التنافسية في السوق</w:t>
      </w:r>
      <w:r w:rsidRPr="006018CC">
        <w:t>.</w:t>
      </w:r>
    </w:p>
    <w:p w14:paraId="2928534A" w14:textId="65C13762" w:rsidR="00F52834" w:rsidRPr="006018CC" w:rsidRDefault="00F52834" w:rsidP="00F52834">
      <w:pPr>
        <w:spacing w:after="0"/>
        <w:rPr>
          <w:rtl/>
        </w:rPr>
      </w:pPr>
      <w:r w:rsidRPr="006018CC">
        <w:rPr>
          <w:rtl/>
        </w:rPr>
        <w:t>علاوة على ذلك، يوفر الذكاء الاصطناعي حلولاً مبتكرة لدعم الابتكار وتوسيع نطاق أعمال الشركات الصغيرة والمتوسطة. من خلال الأنظمة الذكية المدعمة بالذكاء الاصطناعي، يمكن للشركات أتمتة العديد من المهام الروتينية، مما يتيح لها توجيه الموارد بشكل أكثر كفاءة نحو تطوير المنتجات وتحسين استراتيجيات الأعمال. كما يمكنها الاستفادة من الذكاء الاصطناعي لتحليل البيانات وتقديم رؤى استراتيجية تساعد في اتخاذ قرارات أكثر دقة وسرعة. من خلال هذه الأدوات، تتاح الفرصة لهذه الشركات لتعزيز مستوى خدماتها ومنتجاتها، بل والتوسع في أسواق جديدة دون الحاجة إلى استثمارات ضخمة، مما يعزز من قدرتها على التكيف مع التغيرات السريعة في بيئة الأعمال</w:t>
      </w:r>
      <w:r w:rsidRPr="006018CC">
        <w:t>.</w:t>
      </w:r>
    </w:p>
    <w:p w14:paraId="40768EA2" w14:textId="77777777" w:rsidR="00D7048D" w:rsidRPr="006018CC" w:rsidRDefault="00D7048D" w:rsidP="00F52834">
      <w:pPr>
        <w:spacing w:after="0"/>
      </w:pPr>
    </w:p>
    <w:p w14:paraId="0B100777" w14:textId="77777777" w:rsidR="00F52834" w:rsidRPr="006018CC" w:rsidRDefault="00F52834" w:rsidP="00F52834">
      <w:pPr>
        <w:spacing w:after="0"/>
      </w:pPr>
      <w:r w:rsidRPr="006018CC">
        <w:rPr>
          <w:rtl/>
        </w:rPr>
        <w:t xml:space="preserve">2. الابتكار في المؤسسات: </w:t>
      </w:r>
    </w:p>
    <w:p w14:paraId="00FB21F2" w14:textId="77777777" w:rsidR="00F52834" w:rsidRPr="006018CC" w:rsidRDefault="00F52834" w:rsidP="00F52834">
      <w:pPr>
        <w:spacing w:after="0"/>
        <w:rPr>
          <w:rtl/>
        </w:rPr>
      </w:pPr>
      <w:r w:rsidRPr="006018CC">
        <w:rPr>
          <w:rtl/>
        </w:rPr>
        <w:t xml:space="preserve">   2.1. مفهوم الابتكار وأهميته: </w:t>
      </w:r>
    </w:p>
    <w:p w14:paraId="3D51FFDB" w14:textId="77777777" w:rsidR="00F52834" w:rsidRPr="006018CC" w:rsidRDefault="00F52834" w:rsidP="00F52834">
      <w:pPr>
        <w:tabs>
          <w:tab w:val="left" w:pos="270"/>
          <w:tab w:val="left" w:pos="482"/>
          <w:tab w:val="left" w:pos="509"/>
          <w:tab w:val="left" w:pos="7880"/>
        </w:tabs>
        <w:spacing w:after="0"/>
        <w:ind w:left="90" w:right="142"/>
        <w:rPr>
          <w:rtl/>
          <w:lang w:bidi="ar-EG"/>
        </w:rPr>
      </w:pPr>
      <w:r w:rsidRPr="006018CC">
        <w:rPr>
          <w:rtl/>
          <w:lang w:bidi="ar-EG"/>
        </w:rPr>
        <w:t xml:space="preserve">يُعرف الإبداع </w:t>
      </w:r>
      <w:r w:rsidRPr="006018CC">
        <w:rPr>
          <w:lang w:bidi="ar-EG"/>
        </w:rPr>
        <w:t>Creativity</w:t>
      </w:r>
      <w:r w:rsidRPr="006018CC">
        <w:rPr>
          <w:rtl/>
          <w:lang w:bidi="ar-EG"/>
        </w:rPr>
        <w:t xml:space="preserve"> بأنه مزيج من القدرات الشخصية والاستعدادات والخصائص الذهنية التي تمكن الفرد من التفكير بطرق غير تقليدية </w:t>
      </w:r>
      <w:r w:rsidRPr="006018CC">
        <w:rPr>
          <w:lang w:bidi="ar-EG"/>
        </w:rPr>
        <w:t xml:space="preserve"> Unconventional</w:t>
      </w:r>
      <w:r w:rsidRPr="006018CC">
        <w:rPr>
          <w:rtl/>
          <w:lang w:bidi="ar-EG"/>
        </w:rPr>
        <w:t xml:space="preserve">وإذا وجدت في بيئة مناسبة أن </w:t>
      </w:r>
      <w:r w:rsidRPr="006018CC">
        <w:rPr>
          <w:rtl/>
          <w:lang w:bidi="ar-EG"/>
        </w:rPr>
        <w:lastRenderedPageBreak/>
        <w:t xml:space="preserve">تعمل على الارتقاء بالعمليات العقلية للوصول لنتائج </w:t>
      </w:r>
      <w:r w:rsidRPr="006018CC">
        <w:rPr>
          <w:rFonts w:eastAsia="Calibri"/>
          <w:rtl/>
        </w:rPr>
        <w:t>أصيلة</w:t>
      </w:r>
      <w:r w:rsidRPr="006018CC">
        <w:rPr>
          <w:rtl/>
          <w:lang w:bidi="ar-EG"/>
        </w:rPr>
        <w:t xml:space="preserve"> ومفيدة للفرد والشركة والمجتمع، حيث يمكن القول أن  الإبداع هو عملية معقدة من العمليات الذهنية أو العقلية تستدعي توليد الأفكار والمفاهيم الجديدة أو الأصيلة </w:t>
      </w:r>
      <w:r w:rsidRPr="006018CC">
        <w:rPr>
          <w:lang w:bidi="ar-EG"/>
        </w:rPr>
        <w:t>New or Original Ideas and Concepts</w:t>
      </w:r>
      <w:r w:rsidRPr="006018CC">
        <w:rPr>
          <w:rtl/>
          <w:lang w:bidi="ar-EG"/>
        </w:rPr>
        <w:t xml:space="preserve"> ويؤدي ما سبق إلى تحقق خاصية الابتكار </w:t>
      </w:r>
      <w:r w:rsidRPr="006018CC">
        <w:rPr>
          <w:lang w:bidi="ar-EG"/>
        </w:rPr>
        <w:t>Innovation</w:t>
      </w:r>
      <w:r w:rsidRPr="006018CC">
        <w:rPr>
          <w:rtl/>
          <w:lang w:bidi="ar-EG"/>
        </w:rPr>
        <w:t xml:space="preserve"> أو استخدام أساليب مغايرة غير عادية أثناء التعامل مع مهمة أو قضية معينة</w:t>
      </w:r>
      <w:r w:rsidRPr="006018CC">
        <w:rPr>
          <w:rFonts w:hint="cs"/>
          <w:rtl/>
          <w:lang w:bidi="ar-EG"/>
        </w:rPr>
        <w:t xml:space="preserve"> (محمد، الهاشمي، 2016، ص ص3-4)</w:t>
      </w:r>
      <w:r w:rsidRPr="006018CC">
        <w:rPr>
          <w:rtl/>
          <w:lang w:bidi="ar-EG"/>
        </w:rPr>
        <w:t xml:space="preserve">. </w:t>
      </w:r>
    </w:p>
    <w:p w14:paraId="0DD13E38" w14:textId="77777777" w:rsidR="00F52834" w:rsidRPr="006018CC" w:rsidRDefault="00F52834" w:rsidP="00F52834">
      <w:pPr>
        <w:tabs>
          <w:tab w:val="left" w:pos="270"/>
          <w:tab w:val="left" w:pos="482"/>
          <w:tab w:val="left" w:pos="509"/>
          <w:tab w:val="left" w:pos="7880"/>
        </w:tabs>
        <w:spacing w:after="0"/>
        <w:ind w:left="90" w:right="142"/>
        <w:rPr>
          <w:rtl/>
          <w:lang w:bidi="ar-EG"/>
        </w:rPr>
      </w:pPr>
      <w:r w:rsidRPr="006018CC">
        <w:rPr>
          <w:rtl/>
          <w:lang w:bidi="ar-EG"/>
        </w:rPr>
        <w:t xml:space="preserve"> وفي إطار العلاقة بين الإبداع والابتكار، فهناك خلط في اعتبارهما نفس المعنى، فالإبداع التوصل لحل أو أفكار خلاقة لأمر معين، بينما الابتكار هو التطبيق والتجسيد لهذه الأفكار والحلول وتحويلها لواقع مفيد ملموس، وبالتالي يمكن القول </w:t>
      </w:r>
      <w:proofErr w:type="gramStart"/>
      <w:r w:rsidRPr="006018CC">
        <w:rPr>
          <w:rtl/>
          <w:lang w:bidi="ar-EG"/>
        </w:rPr>
        <w:t>أن</w:t>
      </w:r>
      <w:proofErr w:type="gramEnd"/>
      <w:r w:rsidRPr="006018CC">
        <w:rPr>
          <w:rtl/>
          <w:lang w:bidi="ar-EG"/>
        </w:rPr>
        <w:t xml:space="preserve"> الإبداع هو قاعدة الابتكار، لذا اتجه البعض لتوصيف العلاقة بينهما، بأن كل ابتكار يبدأ بأفكار مبدعة، أي أنها علاقة </w:t>
      </w:r>
      <w:proofErr w:type="spellStart"/>
      <w:r w:rsidRPr="006018CC">
        <w:rPr>
          <w:rtl/>
          <w:lang w:bidi="ar-EG"/>
        </w:rPr>
        <w:t>تلازمية</w:t>
      </w:r>
      <w:proofErr w:type="spellEnd"/>
      <w:r w:rsidRPr="006018CC">
        <w:rPr>
          <w:rtl/>
          <w:lang w:bidi="ar-EG"/>
        </w:rPr>
        <w:t>، ومرحلتين متعاقبتين، ويمكن التعبير عن هذه العلاقة بالمعادلة التالية</w:t>
      </w:r>
      <w:r w:rsidRPr="006018CC">
        <w:rPr>
          <w:rFonts w:hint="cs"/>
          <w:rtl/>
          <w:lang w:bidi="ar-EG"/>
        </w:rPr>
        <w:t xml:space="preserve"> (سليماني، 2007، ص </w:t>
      </w:r>
      <w:proofErr w:type="spellStart"/>
      <w:r w:rsidRPr="006018CC">
        <w:rPr>
          <w:rFonts w:hint="cs"/>
          <w:rtl/>
          <w:lang w:bidi="ar-EG"/>
        </w:rPr>
        <w:t>ص</w:t>
      </w:r>
      <w:proofErr w:type="spellEnd"/>
      <w:r w:rsidRPr="006018CC">
        <w:rPr>
          <w:rFonts w:hint="cs"/>
          <w:rtl/>
          <w:lang w:bidi="ar-EG"/>
        </w:rPr>
        <w:t xml:space="preserve"> 26-28)</w:t>
      </w:r>
      <w:r w:rsidRPr="006018CC">
        <w:rPr>
          <w:rtl/>
          <w:lang w:bidi="ar-EG"/>
        </w:rPr>
        <w:t>:</w:t>
      </w:r>
    </w:p>
    <w:p w14:paraId="2F4C9820" w14:textId="77777777" w:rsidR="00F52834" w:rsidRPr="006018CC" w:rsidRDefault="00F52834" w:rsidP="00F52834">
      <w:pPr>
        <w:spacing w:after="0"/>
        <w:jc w:val="center"/>
        <w:rPr>
          <w:b/>
          <w:bCs/>
          <w:rtl/>
          <w:lang w:bidi="ar-EG"/>
        </w:rPr>
      </w:pPr>
      <w:r w:rsidRPr="006018CC">
        <w:rPr>
          <w:b/>
          <w:bCs/>
          <w:rtl/>
          <w:lang w:bidi="ar-EG"/>
        </w:rPr>
        <w:t>الابتكار= الإبداع + التطبيق</w:t>
      </w:r>
    </w:p>
    <w:p w14:paraId="2874DCCB" w14:textId="77777777" w:rsidR="00F52834" w:rsidRPr="006018CC" w:rsidRDefault="00F52834" w:rsidP="00F52834">
      <w:pPr>
        <w:spacing w:after="0"/>
        <w:rPr>
          <w:rtl/>
          <w:lang w:val="en-GB"/>
        </w:rPr>
      </w:pPr>
      <w:r w:rsidRPr="006018CC">
        <w:rPr>
          <w:rtl/>
          <w:lang w:val="en-GB"/>
        </w:rPr>
        <w:t>الابتكار هو المحرك الرئيسي للنمو الاقتصادي (</w:t>
      </w:r>
      <w:r w:rsidRPr="006018CC">
        <w:rPr>
          <w:lang w:val="en-GB"/>
        </w:rPr>
        <w:t>Mokyr, 2002</w:t>
      </w:r>
      <w:r w:rsidRPr="006018CC">
        <w:rPr>
          <w:rtl/>
          <w:lang w:val="en-GB"/>
        </w:rPr>
        <w:t>)، وهو مصدر رئيسي لفرص العمل الجديدة ووسيلة لتحقيق الفوائد البيئية (</w:t>
      </w:r>
      <w:r w:rsidRPr="006018CC">
        <w:rPr>
          <w:lang w:val="en-GB"/>
        </w:rPr>
        <w:t>Foxon et al., 2005</w:t>
      </w:r>
      <w:r w:rsidRPr="006018CC">
        <w:rPr>
          <w:rtl/>
          <w:lang w:val="en-GB"/>
        </w:rPr>
        <w:t>). يُقال إنه في الاقتصاد العالمي حيث تُنفذ الأنشطة الاقتصادية بتكلفة منخفضة في اقتصادات ذات أجور منخفضة مثل الصين، فإن الطريقة الرئيسية التي يمكن لبقية الاقتصادات التنافس والبقاء بها هي تطوير منتجات وعمليات جديدة ومحسّنة. ولذلك، يجب عليهم الابتكار (</w:t>
      </w:r>
      <w:r w:rsidRPr="006018CC">
        <w:rPr>
          <w:lang w:val="en-GB"/>
        </w:rPr>
        <w:t>Salaman &amp; Storey, 2005</w:t>
      </w:r>
      <w:r w:rsidRPr="006018CC">
        <w:rPr>
          <w:rtl/>
          <w:lang w:val="en-GB"/>
        </w:rPr>
        <w:t>). يشير الابتكار المنتج إلى منتج جديد أو معدّل، في حين يشير الابتكار العملياتي إلى طريقة جديدة أو معدّلة لإنتاج منتج (</w:t>
      </w:r>
      <w:r w:rsidRPr="006018CC">
        <w:rPr>
          <w:lang w:val="en-GB"/>
        </w:rPr>
        <w:t>Black</w:t>
      </w:r>
      <w:r w:rsidRPr="006018CC">
        <w:rPr>
          <w:rtl/>
          <w:lang w:val="en-GB"/>
        </w:rPr>
        <w:t xml:space="preserve"> وزملاؤه، 2006). وفقًا لـ (</w:t>
      </w:r>
      <w:r w:rsidRPr="006018CC">
        <w:rPr>
          <w:lang w:val="en-GB"/>
        </w:rPr>
        <w:t>Afuah, 2003</w:t>
      </w:r>
      <w:r w:rsidRPr="006018CC">
        <w:rPr>
          <w:rtl/>
          <w:lang w:val="en-GB"/>
        </w:rPr>
        <w:t>)، فإن الابتكار هو تطبيق المعرفة الجديدة لإنشاء منتج أو خدمة جديدة يطلبها العملاء. بمعنى آخر، هو دمج الاختراع والتسويق. عرف (</w:t>
      </w:r>
      <w:r w:rsidRPr="006018CC">
        <w:rPr>
          <w:lang w:val="en-GB"/>
        </w:rPr>
        <w:t>Van de Ven, 1986</w:t>
      </w:r>
      <w:r w:rsidRPr="006018CC">
        <w:rPr>
          <w:rtl/>
          <w:lang w:val="en-GB"/>
        </w:rPr>
        <w:t>) الابتكار على أنه فكرة جديدة، قد تكون عبارة عن إعادة دمج أفكار قديمة، خطة تتحدى النظام الحالي، صيغة أو طريقة حصرية يُنظر إليها على أنها جديدة من قبل الأفراد المعنيين.</w:t>
      </w:r>
    </w:p>
    <w:p w14:paraId="26471111" w14:textId="77777777" w:rsidR="00F52834" w:rsidRPr="006018CC" w:rsidRDefault="00F52834" w:rsidP="00F52834">
      <w:pPr>
        <w:spacing w:after="0"/>
        <w:rPr>
          <w:rtl/>
        </w:rPr>
      </w:pPr>
      <w:r w:rsidRPr="006018CC">
        <w:rPr>
          <w:rtl/>
        </w:rPr>
        <w:t xml:space="preserve">   2.2. أنواع الابتكار (منتج، عملية، تسويق، تنظيمي): </w:t>
      </w:r>
    </w:p>
    <w:p w14:paraId="0F66914B" w14:textId="77777777" w:rsidR="00F52834" w:rsidRPr="006018CC" w:rsidRDefault="00F52834" w:rsidP="00F52834">
      <w:pPr>
        <w:spacing w:after="0"/>
        <w:ind w:right="187"/>
        <w:rPr>
          <w:rtl/>
          <w:lang w:bidi="ar-EG"/>
        </w:rPr>
      </w:pPr>
      <w:r w:rsidRPr="006018CC">
        <w:rPr>
          <w:rtl/>
          <w:lang w:bidi="ar-EG"/>
        </w:rPr>
        <w:t>تُظْهِر</w:t>
      </w:r>
      <w:r w:rsidRPr="006018CC">
        <w:rPr>
          <w:lang w:bidi="ar-EG"/>
        </w:rPr>
        <w:t xml:space="preserve"> </w:t>
      </w:r>
      <w:r w:rsidRPr="006018CC">
        <w:rPr>
          <w:rtl/>
          <w:lang w:bidi="ar-EG"/>
        </w:rPr>
        <w:t>الأدبيات</w:t>
      </w:r>
      <w:r w:rsidRPr="006018CC">
        <w:rPr>
          <w:lang w:bidi="ar-EG"/>
        </w:rPr>
        <w:t xml:space="preserve"> </w:t>
      </w:r>
      <w:r w:rsidRPr="006018CC">
        <w:rPr>
          <w:rtl/>
          <w:lang w:bidi="ar-EG"/>
        </w:rPr>
        <w:t>أن</w:t>
      </w:r>
      <w:r w:rsidRPr="006018CC">
        <w:rPr>
          <w:lang w:bidi="ar-EG"/>
        </w:rPr>
        <w:t xml:space="preserve"> </w:t>
      </w:r>
      <w:r w:rsidRPr="006018CC">
        <w:rPr>
          <w:rtl/>
          <w:lang w:bidi="ar-EG"/>
        </w:rPr>
        <w:t>هناك</w:t>
      </w:r>
      <w:r w:rsidRPr="006018CC">
        <w:rPr>
          <w:lang w:bidi="ar-EG"/>
        </w:rPr>
        <w:t xml:space="preserve"> </w:t>
      </w:r>
      <w:r w:rsidRPr="006018CC">
        <w:rPr>
          <w:rtl/>
          <w:lang w:bidi="ar-EG"/>
        </w:rPr>
        <w:t>نوعان</w:t>
      </w:r>
      <w:r w:rsidRPr="006018CC">
        <w:rPr>
          <w:lang w:bidi="ar-EG"/>
        </w:rPr>
        <w:t xml:space="preserve"> </w:t>
      </w:r>
      <w:r w:rsidRPr="006018CC">
        <w:rPr>
          <w:rtl/>
          <w:lang w:bidi="ar-EG"/>
        </w:rPr>
        <w:t>أساسان</w:t>
      </w:r>
      <w:r w:rsidRPr="006018CC">
        <w:rPr>
          <w:lang w:bidi="ar-EG"/>
        </w:rPr>
        <w:t xml:space="preserve"> </w:t>
      </w:r>
      <w:r w:rsidRPr="006018CC">
        <w:rPr>
          <w:rtl/>
          <w:lang w:bidi="ar-EG"/>
        </w:rPr>
        <w:t>من</w:t>
      </w:r>
      <w:r w:rsidRPr="006018CC">
        <w:rPr>
          <w:lang w:bidi="ar-EG"/>
        </w:rPr>
        <w:t xml:space="preserve"> </w:t>
      </w:r>
      <w:r w:rsidRPr="006018CC">
        <w:rPr>
          <w:rtl/>
          <w:lang w:bidi="ar-EG"/>
        </w:rPr>
        <w:t>الابتكار</w:t>
      </w:r>
      <w:r w:rsidRPr="006018CC">
        <w:rPr>
          <w:lang w:bidi="ar-EG"/>
        </w:rPr>
        <w:t xml:space="preserve"> </w:t>
      </w:r>
      <w:r w:rsidRPr="006018CC">
        <w:rPr>
          <w:rtl/>
          <w:lang w:bidi="ar-EG"/>
        </w:rPr>
        <w:t>في</w:t>
      </w:r>
      <w:r w:rsidRPr="006018CC">
        <w:rPr>
          <w:lang w:bidi="ar-EG"/>
        </w:rPr>
        <w:t xml:space="preserve"> </w:t>
      </w:r>
      <w:r w:rsidRPr="006018CC">
        <w:rPr>
          <w:rtl/>
          <w:lang w:bidi="ar-EG"/>
        </w:rPr>
        <w:t>المنظمة،</w:t>
      </w:r>
      <w:r w:rsidRPr="006018CC">
        <w:rPr>
          <w:lang w:bidi="ar-EG"/>
        </w:rPr>
        <w:t xml:space="preserve"> </w:t>
      </w:r>
      <w:r w:rsidRPr="006018CC">
        <w:rPr>
          <w:rtl/>
          <w:lang w:bidi="ar-EG"/>
        </w:rPr>
        <w:t>الأول</w:t>
      </w:r>
      <w:r w:rsidRPr="006018CC">
        <w:rPr>
          <w:lang w:bidi="ar-EG"/>
        </w:rPr>
        <w:t xml:space="preserve">: </w:t>
      </w:r>
      <w:r w:rsidRPr="006018CC">
        <w:rPr>
          <w:rtl/>
          <w:lang w:bidi="ar-EG"/>
        </w:rPr>
        <w:t>هو</w:t>
      </w:r>
      <w:r w:rsidRPr="006018CC">
        <w:rPr>
          <w:lang w:bidi="ar-EG"/>
        </w:rPr>
        <w:t xml:space="preserve"> </w:t>
      </w:r>
      <w:r w:rsidRPr="006018CC">
        <w:rPr>
          <w:rtl/>
          <w:lang w:bidi="ar-EG"/>
        </w:rPr>
        <w:t>الابتكارات التكنولوجية</w:t>
      </w:r>
      <w:r w:rsidRPr="006018CC">
        <w:rPr>
          <w:lang w:bidi="ar-EG"/>
        </w:rPr>
        <w:t xml:space="preserve"> </w:t>
      </w:r>
      <w:r w:rsidRPr="006018CC">
        <w:rPr>
          <w:rtl/>
          <w:lang w:bidi="ar-EG"/>
        </w:rPr>
        <w:t>المتقدمة التي تتمثل في جانبين هما ابتكارات المنتجات وابتكارات العمليات،</w:t>
      </w:r>
      <w:r w:rsidRPr="006018CC">
        <w:rPr>
          <w:rtl/>
          <w:lang w:val="en-GB"/>
        </w:rPr>
        <w:t xml:space="preserve"> الابتكار المدعوم بالتكنولوجيا يُسمى أحيانًا "الابتكار الإلكتروني" (</w:t>
      </w:r>
      <w:r w:rsidRPr="006018CC">
        <w:rPr>
          <w:lang w:val="en-GB"/>
        </w:rPr>
        <w:t>Martin, 2004</w:t>
      </w:r>
      <w:r w:rsidRPr="006018CC">
        <w:rPr>
          <w:rtl/>
          <w:lang w:val="en-GB"/>
        </w:rPr>
        <w:t>)، وهو يشير إلى أي نهج أو نموذج مبتكر لإدارة وتطوير الابتكار في المجال الرقمي (</w:t>
      </w:r>
      <w:r w:rsidRPr="006018CC">
        <w:rPr>
          <w:lang w:val="en-GB"/>
        </w:rPr>
        <w:t>Lan, 2004</w:t>
      </w:r>
      <w:r w:rsidRPr="006018CC">
        <w:rPr>
          <w:rtl/>
          <w:lang w:val="en-GB"/>
        </w:rPr>
        <w:t>). عند تطبيقه على البيئة الحالية للتغيير السريع، قد يشير "الابتكار الإلكتروني" أيضًا إلى مفهوم أو اسم جديد لمجموعة من الأنشطة التي تهدف إلى تطوير طرق لتعزيز؛ الابتكار، إنشاء المنتجات، وتوسيع الشركات (</w:t>
      </w:r>
      <w:r w:rsidRPr="006018CC">
        <w:rPr>
          <w:lang w:val="en-GB"/>
        </w:rPr>
        <w:t>Hasan et al., 2017</w:t>
      </w:r>
      <w:r w:rsidRPr="006018CC">
        <w:rPr>
          <w:rtl/>
          <w:lang w:val="en-GB"/>
        </w:rPr>
        <w:t xml:space="preserve">). لقد أثار الإنترنت بالتأكيد تطوير السلع والخدمات والممارسات التجارية المتطورة. وفقًا لـ </w:t>
      </w:r>
      <w:r w:rsidRPr="006018CC">
        <w:rPr>
          <w:lang w:val="en-GB"/>
        </w:rPr>
        <w:t>Carraher-Wolverton &amp; Zhu</w:t>
      </w:r>
      <w:r w:rsidRPr="006018CC">
        <w:rPr>
          <w:rtl/>
          <w:lang w:val="en-GB"/>
        </w:rPr>
        <w:t xml:space="preserve"> (2021) </w:t>
      </w:r>
      <w:proofErr w:type="gramStart"/>
      <w:r w:rsidRPr="006018CC">
        <w:rPr>
          <w:rtl/>
          <w:lang w:val="en-GB"/>
        </w:rPr>
        <w:t xml:space="preserve">و </w:t>
      </w:r>
      <w:r w:rsidRPr="006018CC">
        <w:rPr>
          <w:lang w:val="en-GB"/>
        </w:rPr>
        <w:t>Rogers</w:t>
      </w:r>
      <w:proofErr w:type="gramEnd"/>
      <w:r w:rsidRPr="006018CC">
        <w:rPr>
          <w:rtl/>
          <w:lang w:val="en-GB"/>
        </w:rPr>
        <w:t xml:space="preserve"> (2010)، فإن معدل تبني الابتكار </w:t>
      </w:r>
      <w:r w:rsidRPr="006018CC">
        <w:rPr>
          <w:rtl/>
          <w:lang w:val="en-GB"/>
        </w:rPr>
        <w:lastRenderedPageBreak/>
        <w:t>الإلكتروني من قبل أعضاء المجتمع له سرعة نسبية تقيس معدل تبني فكرة جديدة من قبل عدد الأفراد أو الموظفين في فترة زمنية محددة. من ناحية أخرى، هناك عدة عوامل داخلية تؤثر في تبني الابتكار مثل الموظفين، التكنولوجيا، والمنظمات التي تستخدم إدارة المخاطر كوسيط (</w:t>
      </w:r>
      <w:r w:rsidRPr="006018CC">
        <w:rPr>
          <w:lang w:val="en-GB"/>
        </w:rPr>
        <w:t>CITE</w:t>
      </w:r>
      <w:r w:rsidRPr="006018CC">
        <w:rPr>
          <w:rtl/>
          <w:lang w:val="en-GB"/>
        </w:rPr>
        <w:t>).</w:t>
      </w:r>
    </w:p>
    <w:p w14:paraId="6CE0B519" w14:textId="77777777" w:rsidR="00F52834" w:rsidRPr="006018CC" w:rsidRDefault="00F52834" w:rsidP="00F52834">
      <w:pPr>
        <w:spacing w:after="0"/>
        <w:ind w:right="187"/>
        <w:rPr>
          <w:rtl/>
          <w:lang w:bidi="ar-EG"/>
        </w:rPr>
      </w:pPr>
      <w:r w:rsidRPr="006018CC">
        <w:rPr>
          <w:lang w:bidi="ar-EG"/>
        </w:rPr>
        <w:t xml:space="preserve"> </w:t>
      </w:r>
      <w:r w:rsidRPr="006018CC">
        <w:rPr>
          <w:rtl/>
          <w:lang w:bidi="ar-EG"/>
        </w:rPr>
        <w:t>والثاني متمثل في الابتكارات</w:t>
      </w:r>
      <w:r w:rsidRPr="006018CC">
        <w:rPr>
          <w:lang w:bidi="ar-EG"/>
        </w:rPr>
        <w:t xml:space="preserve"> </w:t>
      </w:r>
      <w:r w:rsidRPr="006018CC">
        <w:rPr>
          <w:rtl/>
          <w:lang w:bidi="ar-EG"/>
        </w:rPr>
        <w:t>الإدارية،</w:t>
      </w:r>
      <w:r w:rsidRPr="006018CC">
        <w:rPr>
          <w:lang w:bidi="ar-EG"/>
        </w:rPr>
        <w:t xml:space="preserve"> </w:t>
      </w:r>
      <w:r w:rsidRPr="006018CC">
        <w:rPr>
          <w:rtl/>
          <w:lang w:bidi="ar-EG"/>
        </w:rPr>
        <w:t>وفي حين يتجه آخرون لتصنيف الابتكار داخل</w:t>
      </w:r>
      <w:r w:rsidRPr="006018CC">
        <w:rPr>
          <w:lang w:bidi="ar-EG"/>
        </w:rPr>
        <w:t xml:space="preserve"> </w:t>
      </w:r>
      <w:r w:rsidRPr="006018CC">
        <w:rPr>
          <w:rtl/>
          <w:lang w:bidi="ar-EG"/>
        </w:rPr>
        <w:t>المنظمة،</w:t>
      </w:r>
      <w:r w:rsidRPr="006018CC">
        <w:rPr>
          <w:lang w:bidi="ar-EG"/>
        </w:rPr>
        <w:t xml:space="preserve"> </w:t>
      </w:r>
      <w:r w:rsidRPr="006018CC">
        <w:rPr>
          <w:rtl/>
          <w:lang w:bidi="ar-EG"/>
        </w:rPr>
        <w:t>لثلاث مجالات هي ابتكارات</w:t>
      </w:r>
      <w:r w:rsidRPr="006018CC">
        <w:rPr>
          <w:lang w:bidi="ar-EG"/>
        </w:rPr>
        <w:t xml:space="preserve"> </w:t>
      </w:r>
      <w:r w:rsidRPr="006018CC">
        <w:rPr>
          <w:rtl/>
          <w:lang w:bidi="ar-EG"/>
        </w:rPr>
        <w:t>المنتجات،</w:t>
      </w:r>
      <w:r w:rsidRPr="006018CC">
        <w:rPr>
          <w:lang w:bidi="ar-EG"/>
        </w:rPr>
        <w:t xml:space="preserve"> </w:t>
      </w:r>
      <w:r w:rsidRPr="006018CC">
        <w:rPr>
          <w:rtl/>
          <w:lang w:bidi="ar-EG"/>
        </w:rPr>
        <w:t>وابتكارات</w:t>
      </w:r>
      <w:r w:rsidRPr="006018CC">
        <w:rPr>
          <w:lang w:bidi="ar-EG"/>
        </w:rPr>
        <w:t xml:space="preserve"> </w:t>
      </w:r>
      <w:r w:rsidRPr="006018CC">
        <w:rPr>
          <w:rtl/>
          <w:lang w:bidi="ar-EG"/>
        </w:rPr>
        <w:t>العمليات، والابتكارات الإدارية،</w:t>
      </w:r>
      <w:r w:rsidRPr="006018CC">
        <w:rPr>
          <w:rFonts w:hint="cs"/>
          <w:rtl/>
          <w:lang w:bidi="ar-EG"/>
        </w:rPr>
        <w:t xml:space="preserve"> (</w:t>
      </w:r>
      <w:proofErr w:type="spellStart"/>
      <w:r w:rsidRPr="006018CC">
        <w:rPr>
          <w:rFonts w:hint="cs"/>
          <w:rtl/>
          <w:lang w:bidi="ar-EG"/>
        </w:rPr>
        <w:t>أبوحشيش</w:t>
      </w:r>
      <w:proofErr w:type="spellEnd"/>
      <w:r w:rsidRPr="006018CC">
        <w:rPr>
          <w:rFonts w:hint="cs"/>
          <w:rtl/>
          <w:lang w:bidi="ar-EG"/>
        </w:rPr>
        <w:t>، 2021)</w:t>
      </w:r>
      <w:r w:rsidRPr="006018CC">
        <w:rPr>
          <w:rtl/>
          <w:lang w:bidi="ar-EG"/>
        </w:rPr>
        <w:t xml:space="preserve"> كما قام كالفن تايلور 1965 بتحليل ما يزيد على مائة تعريف للابتكار، وانتهي لوجود خمس مستويات للابتكار هي (مستوى الابتكار التعبيري- مستوى الابتكار الإنتاجي- مستوى الابتكار الاختراعي- مستوى الابتكار الانبثاقي- مستوى الابتكار التجديدي).</w:t>
      </w:r>
      <w:r w:rsidRPr="006018CC">
        <w:rPr>
          <w:rFonts w:hint="cs"/>
          <w:rtl/>
          <w:lang w:bidi="ar-EG"/>
        </w:rPr>
        <w:t xml:space="preserve"> (</w:t>
      </w:r>
      <w:proofErr w:type="spellStart"/>
      <w:r w:rsidRPr="006018CC">
        <w:rPr>
          <w:rFonts w:hint="cs"/>
          <w:rtl/>
          <w:lang w:bidi="ar-EG"/>
        </w:rPr>
        <w:t>عديفي</w:t>
      </w:r>
      <w:proofErr w:type="spellEnd"/>
      <w:r w:rsidRPr="006018CC">
        <w:rPr>
          <w:rFonts w:hint="cs"/>
          <w:rtl/>
          <w:lang w:bidi="ar-EG"/>
        </w:rPr>
        <w:t>، 2018، ص 776)</w:t>
      </w:r>
      <w:r w:rsidRPr="006018CC">
        <w:rPr>
          <w:rtl/>
          <w:lang w:bidi="ar-EG"/>
        </w:rPr>
        <w:t xml:space="preserve"> </w:t>
      </w:r>
    </w:p>
    <w:p w14:paraId="03906B89" w14:textId="77777777" w:rsidR="00F52834" w:rsidRPr="006018CC" w:rsidRDefault="00F52834" w:rsidP="00F52834">
      <w:pPr>
        <w:spacing w:after="0"/>
        <w:rPr>
          <w:rtl/>
          <w:lang w:val="en-GB" w:bidi="ar-EG"/>
        </w:rPr>
      </w:pPr>
      <w:r w:rsidRPr="006018CC">
        <w:rPr>
          <w:rtl/>
          <w:lang w:val="en-GB"/>
        </w:rPr>
        <w:t>تصنف الأدبيات الحالية الابتكار إلى فئات مختلفة مثل النوع، الدرجة، الكفاءة، التأثير، والملكية (</w:t>
      </w:r>
      <w:r w:rsidRPr="006018CC">
        <w:rPr>
          <w:lang w:val="en-GB"/>
        </w:rPr>
        <w:t>Narvekar &amp; Jain, 2006</w:t>
      </w:r>
      <w:r w:rsidRPr="006018CC">
        <w:rPr>
          <w:rtl/>
          <w:lang w:val="en-GB"/>
        </w:rPr>
        <w:t>). يمكن اعتبار الابتكار في قطاعات التصنيع والخدمات بمختلف أحجامها (الصغيرة والمتوسطة والكبيرة). رغم الاختلافات بين هذين القطاعين، إلا أن التعريف العام وعملية الابتكار تظل كما هي. تختلف الخدمات عن التصنيع في عدة طرق، بما في ذلك حقيقة أنها غير ملموسة، وقابلة للتلف، ومتنوعة (</w:t>
      </w:r>
      <w:r w:rsidRPr="006018CC">
        <w:rPr>
          <w:lang w:val="en-GB"/>
        </w:rPr>
        <w:t>Oke, 2004</w:t>
      </w:r>
      <w:r w:rsidRPr="006018CC">
        <w:rPr>
          <w:rtl/>
          <w:lang w:val="en-GB"/>
        </w:rPr>
        <w:t>). لاحظ (</w:t>
      </w:r>
      <w:r w:rsidRPr="006018CC">
        <w:rPr>
          <w:lang w:val="en-GB"/>
        </w:rPr>
        <w:t>Tidd &amp; Hull, 2006</w:t>
      </w:r>
      <w:r w:rsidRPr="006018CC">
        <w:rPr>
          <w:rtl/>
          <w:lang w:val="en-GB"/>
        </w:rPr>
        <w:t>) أن الابتكار يمكن أن يقدم طرقًا جديدة لخدمة الأسواق القديمة والراسخة بالإضافة إلى فتح أسواق جديدة. قسموا الابتكار إلى أربع فئات: المنتج، العملية، الموقع، والنموذج، مع حدوث كل منها على محور يمتد من التغيير التدريجي إلى الجذري. يتضمن الابتكار التدريجي في المنتج تقديم منتج أفضل، عندما يُقارن مع سابقيه، يحتوي على ميزة واحدة إضافية على الأقل أو يكون أكثر كفاءة بنفس الميزات. من ناحية أخرى، يحدث الابتكار الجذري أو الأساسي في المنتج عندما يتم فتح سوق جديد ويبدأ المبتكر في تلبية الطلب المخفي (</w:t>
      </w:r>
      <w:r w:rsidRPr="006018CC">
        <w:rPr>
          <w:lang w:val="en-GB"/>
        </w:rPr>
        <w:t>Arundel et al., 2019</w:t>
      </w:r>
      <w:r w:rsidRPr="006018CC">
        <w:rPr>
          <w:rtl/>
          <w:lang w:val="en-GB"/>
        </w:rPr>
        <w:t>).</w:t>
      </w:r>
    </w:p>
    <w:p w14:paraId="567A062A" w14:textId="77777777" w:rsidR="00F52834" w:rsidRPr="006018CC" w:rsidRDefault="00F52834" w:rsidP="00F52834">
      <w:pPr>
        <w:spacing w:after="0"/>
        <w:ind w:right="187"/>
        <w:rPr>
          <w:rtl/>
          <w:lang w:bidi="ar-EG"/>
        </w:rPr>
      </w:pPr>
      <w:r w:rsidRPr="006018CC">
        <w:rPr>
          <w:rtl/>
          <w:lang w:bidi="ar-EG"/>
        </w:rPr>
        <w:t>ويعتبر</w:t>
      </w:r>
      <w:r w:rsidRPr="006018CC">
        <w:rPr>
          <w:lang w:bidi="ar-EG"/>
        </w:rPr>
        <w:t xml:space="preserve"> </w:t>
      </w:r>
      <w:r w:rsidRPr="006018CC">
        <w:rPr>
          <w:rtl/>
          <w:lang w:bidi="ar-EG"/>
        </w:rPr>
        <w:t>قياس</w:t>
      </w:r>
      <w:r w:rsidRPr="006018CC">
        <w:rPr>
          <w:lang w:bidi="ar-EG"/>
        </w:rPr>
        <w:t xml:space="preserve"> </w:t>
      </w:r>
      <w:r w:rsidRPr="006018CC">
        <w:rPr>
          <w:rtl/>
          <w:lang w:bidi="ar-EG"/>
        </w:rPr>
        <w:t>القدرة الابتكارية</w:t>
      </w:r>
      <w:r w:rsidRPr="006018CC">
        <w:rPr>
          <w:lang w:bidi="ar-EG"/>
        </w:rPr>
        <w:t xml:space="preserve"> </w:t>
      </w:r>
      <w:r w:rsidRPr="006018CC">
        <w:rPr>
          <w:rtl/>
          <w:lang w:bidi="ar-EG"/>
        </w:rPr>
        <w:t>جزءا</w:t>
      </w:r>
      <w:r w:rsidRPr="006018CC">
        <w:rPr>
          <w:lang w:bidi="ar-EG"/>
        </w:rPr>
        <w:t xml:space="preserve"> </w:t>
      </w:r>
      <w:r w:rsidRPr="006018CC">
        <w:rPr>
          <w:rtl/>
          <w:lang w:bidi="ar-EG"/>
        </w:rPr>
        <w:t>أساسيا</w:t>
      </w:r>
      <w:r w:rsidRPr="006018CC">
        <w:rPr>
          <w:lang w:bidi="ar-EG"/>
        </w:rPr>
        <w:t xml:space="preserve"> </w:t>
      </w:r>
      <w:r w:rsidRPr="006018CC">
        <w:rPr>
          <w:rtl/>
          <w:lang w:bidi="ar-EG"/>
        </w:rPr>
        <w:t>في النظم الإدارية بالمؤسسات، إلى جانب ضرورة وجود نظام</w:t>
      </w:r>
      <w:r w:rsidRPr="006018CC">
        <w:rPr>
          <w:lang w:bidi="ar-EG"/>
        </w:rPr>
        <w:t xml:space="preserve"> </w:t>
      </w:r>
      <w:r w:rsidRPr="006018CC">
        <w:rPr>
          <w:rtl/>
          <w:lang w:bidi="ar-EG"/>
        </w:rPr>
        <w:t>قائم</w:t>
      </w:r>
      <w:r w:rsidRPr="006018CC">
        <w:rPr>
          <w:lang w:bidi="ar-EG"/>
        </w:rPr>
        <w:t xml:space="preserve"> </w:t>
      </w:r>
      <w:r w:rsidRPr="006018CC">
        <w:rPr>
          <w:rtl/>
          <w:lang w:bidi="ar-EG"/>
        </w:rPr>
        <w:t>على</w:t>
      </w:r>
      <w:r w:rsidRPr="006018CC">
        <w:rPr>
          <w:lang w:bidi="ar-EG"/>
        </w:rPr>
        <w:t xml:space="preserve"> </w:t>
      </w:r>
      <w:r w:rsidRPr="006018CC">
        <w:rPr>
          <w:rtl/>
          <w:lang w:bidi="ar-EG"/>
        </w:rPr>
        <w:t>جمع</w:t>
      </w:r>
      <w:r w:rsidRPr="006018CC">
        <w:rPr>
          <w:lang w:bidi="ar-EG"/>
        </w:rPr>
        <w:t xml:space="preserve"> </w:t>
      </w:r>
      <w:r w:rsidRPr="006018CC">
        <w:rPr>
          <w:rtl/>
          <w:lang w:bidi="ar-EG"/>
        </w:rPr>
        <w:t>اقتراحات</w:t>
      </w:r>
      <w:r w:rsidRPr="006018CC">
        <w:rPr>
          <w:lang w:bidi="ar-EG"/>
        </w:rPr>
        <w:t xml:space="preserve"> </w:t>
      </w:r>
      <w:r w:rsidRPr="006018CC">
        <w:rPr>
          <w:rtl/>
          <w:lang w:bidi="ar-EG"/>
        </w:rPr>
        <w:t>العاملين</w:t>
      </w:r>
      <w:r w:rsidRPr="006018CC">
        <w:rPr>
          <w:lang w:bidi="ar-EG"/>
        </w:rPr>
        <w:t xml:space="preserve"> </w:t>
      </w:r>
      <w:r w:rsidRPr="006018CC">
        <w:rPr>
          <w:rtl/>
          <w:lang w:bidi="ar-EG"/>
        </w:rPr>
        <w:t>داخل</w:t>
      </w:r>
      <w:r w:rsidRPr="006018CC">
        <w:rPr>
          <w:lang w:bidi="ar-EG"/>
        </w:rPr>
        <w:t xml:space="preserve"> </w:t>
      </w:r>
      <w:r w:rsidRPr="006018CC">
        <w:rPr>
          <w:rtl/>
          <w:lang w:bidi="ar-EG"/>
        </w:rPr>
        <w:t>المؤسسة</w:t>
      </w:r>
      <w:r w:rsidRPr="006018CC">
        <w:rPr>
          <w:lang w:bidi="ar-EG"/>
        </w:rPr>
        <w:t xml:space="preserve"> </w:t>
      </w:r>
      <w:r w:rsidRPr="006018CC">
        <w:rPr>
          <w:rtl/>
          <w:lang w:bidi="ar-EG"/>
        </w:rPr>
        <w:t>وقد يكون عبر تكوين</w:t>
      </w:r>
      <w:r w:rsidRPr="006018CC">
        <w:rPr>
          <w:lang w:bidi="ar-EG"/>
        </w:rPr>
        <w:t xml:space="preserve"> </w:t>
      </w:r>
      <w:r w:rsidRPr="006018CC">
        <w:rPr>
          <w:rtl/>
          <w:lang w:bidi="ar-EG"/>
        </w:rPr>
        <w:t>آلية</w:t>
      </w:r>
      <w:r w:rsidRPr="006018CC">
        <w:rPr>
          <w:lang w:bidi="ar-EG"/>
        </w:rPr>
        <w:t xml:space="preserve"> </w:t>
      </w:r>
      <w:r w:rsidRPr="006018CC">
        <w:rPr>
          <w:rtl/>
          <w:lang w:bidi="ar-EG"/>
        </w:rPr>
        <w:t>خاصة</w:t>
      </w:r>
      <w:r w:rsidRPr="006018CC">
        <w:rPr>
          <w:lang w:bidi="ar-EG"/>
        </w:rPr>
        <w:t xml:space="preserve"> </w:t>
      </w:r>
      <w:r w:rsidRPr="006018CC">
        <w:rPr>
          <w:rtl/>
          <w:lang w:bidi="ar-EG"/>
        </w:rPr>
        <w:t>لذلك يستطيع</w:t>
      </w:r>
      <w:r w:rsidRPr="006018CC">
        <w:rPr>
          <w:lang w:bidi="ar-EG"/>
        </w:rPr>
        <w:t xml:space="preserve"> </w:t>
      </w:r>
      <w:r w:rsidRPr="006018CC">
        <w:rPr>
          <w:rtl/>
          <w:lang w:bidi="ar-EG"/>
        </w:rPr>
        <w:t>أي</w:t>
      </w:r>
      <w:r w:rsidRPr="006018CC">
        <w:rPr>
          <w:lang w:bidi="ar-EG"/>
        </w:rPr>
        <w:t xml:space="preserve"> </w:t>
      </w:r>
      <w:r w:rsidRPr="006018CC">
        <w:rPr>
          <w:rtl/>
          <w:lang w:bidi="ar-EG"/>
        </w:rPr>
        <w:t>عامل</w:t>
      </w:r>
      <w:r w:rsidRPr="006018CC">
        <w:rPr>
          <w:lang w:bidi="ar-EG"/>
        </w:rPr>
        <w:t xml:space="preserve"> </w:t>
      </w:r>
      <w:r w:rsidRPr="006018CC">
        <w:rPr>
          <w:rtl/>
          <w:lang w:bidi="ar-EG"/>
        </w:rPr>
        <w:t>تقديم</w:t>
      </w:r>
      <w:r w:rsidRPr="006018CC">
        <w:rPr>
          <w:lang w:bidi="ar-EG"/>
        </w:rPr>
        <w:t xml:space="preserve"> </w:t>
      </w:r>
      <w:r w:rsidRPr="006018CC">
        <w:rPr>
          <w:rtl/>
          <w:lang w:bidi="ar-EG"/>
        </w:rPr>
        <w:t>أي</w:t>
      </w:r>
      <w:r w:rsidRPr="006018CC">
        <w:rPr>
          <w:lang w:bidi="ar-EG"/>
        </w:rPr>
        <w:t xml:space="preserve"> </w:t>
      </w:r>
      <w:r w:rsidRPr="006018CC">
        <w:rPr>
          <w:rtl/>
          <w:lang w:bidi="ar-EG"/>
        </w:rPr>
        <w:t>اقتراح عبرها، وكل</w:t>
      </w:r>
      <w:r w:rsidRPr="006018CC">
        <w:rPr>
          <w:lang w:bidi="ar-EG"/>
        </w:rPr>
        <w:t xml:space="preserve"> </w:t>
      </w:r>
      <w:r w:rsidRPr="006018CC">
        <w:rPr>
          <w:rtl/>
          <w:lang w:bidi="ar-EG"/>
        </w:rPr>
        <w:t>اقتراح</w:t>
      </w:r>
      <w:r w:rsidRPr="006018CC">
        <w:rPr>
          <w:lang w:bidi="ar-EG"/>
        </w:rPr>
        <w:t xml:space="preserve"> </w:t>
      </w:r>
      <w:r w:rsidRPr="006018CC">
        <w:rPr>
          <w:rtl/>
          <w:lang w:bidi="ar-EG"/>
        </w:rPr>
        <w:t>يثبت</w:t>
      </w:r>
      <w:r w:rsidRPr="006018CC">
        <w:rPr>
          <w:lang w:bidi="ar-EG"/>
        </w:rPr>
        <w:t xml:space="preserve"> </w:t>
      </w:r>
      <w:r w:rsidRPr="006018CC">
        <w:rPr>
          <w:rtl/>
          <w:lang w:bidi="ar-EG"/>
        </w:rPr>
        <w:t>نجاحه</w:t>
      </w:r>
      <w:r w:rsidRPr="006018CC">
        <w:rPr>
          <w:lang w:bidi="ar-EG"/>
        </w:rPr>
        <w:t xml:space="preserve"> </w:t>
      </w:r>
      <w:r w:rsidRPr="006018CC">
        <w:rPr>
          <w:rtl/>
          <w:lang w:bidi="ar-EG"/>
        </w:rPr>
        <w:t>يؤجر</w:t>
      </w:r>
      <w:r w:rsidRPr="006018CC">
        <w:rPr>
          <w:lang w:bidi="ar-EG"/>
        </w:rPr>
        <w:t xml:space="preserve"> </w:t>
      </w:r>
      <w:r w:rsidRPr="006018CC">
        <w:rPr>
          <w:rtl/>
          <w:lang w:bidi="ar-EG"/>
        </w:rPr>
        <w:t>صاحبه</w:t>
      </w:r>
      <w:r w:rsidRPr="006018CC">
        <w:rPr>
          <w:lang w:bidi="ar-EG"/>
        </w:rPr>
        <w:t xml:space="preserve"> </w:t>
      </w:r>
      <w:r w:rsidRPr="006018CC">
        <w:rPr>
          <w:rtl/>
          <w:lang w:bidi="ar-EG"/>
        </w:rPr>
        <w:t>على</w:t>
      </w:r>
      <w:r w:rsidRPr="006018CC">
        <w:rPr>
          <w:lang w:bidi="ar-EG"/>
        </w:rPr>
        <w:t xml:space="preserve"> </w:t>
      </w:r>
      <w:r w:rsidRPr="006018CC">
        <w:rPr>
          <w:rtl/>
          <w:lang w:bidi="ar-EG"/>
        </w:rPr>
        <w:t>شكل علاوات</w:t>
      </w:r>
      <w:r w:rsidRPr="006018CC">
        <w:rPr>
          <w:lang w:bidi="ar-EG"/>
        </w:rPr>
        <w:t xml:space="preserve"> </w:t>
      </w:r>
      <w:r w:rsidRPr="006018CC">
        <w:rPr>
          <w:rtl/>
          <w:lang w:bidi="ar-EG"/>
        </w:rPr>
        <w:t>أو</w:t>
      </w:r>
      <w:r w:rsidRPr="006018CC">
        <w:rPr>
          <w:lang w:bidi="ar-EG"/>
        </w:rPr>
        <w:t xml:space="preserve"> </w:t>
      </w:r>
      <w:r w:rsidRPr="006018CC">
        <w:rPr>
          <w:rtl/>
          <w:lang w:bidi="ar-EG"/>
        </w:rPr>
        <w:t>ترقية</w:t>
      </w:r>
      <w:r w:rsidRPr="006018CC">
        <w:rPr>
          <w:lang w:bidi="ar-EG"/>
        </w:rPr>
        <w:t xml:space="preserve"> </w:t>
      </w:r>
      <w:r w:rsidRPr="006018CC">
        <w:rPr>
          <w:rtl/>
          <w:lang w:bidi="ar-EG"/>
        </w:rPr>
        <w:t>أو</w:t>
      </w:r>
      <w:r w:rsidRPr="006018CC">
        <w:rPr>
          <w:lang w:bidi="ar-EG"/>
        </w:rPr>
        <w:t xml:space="preserve"> </w:t>
      </w:r>
      <w:r w:rsidRPr="006018CC">
        <w:rPr>
          <w:rtl/>
          <w:lang w:bidi="ar-EG"/>
        </w:rPr>
        <w:t>نسبة</w:t>
      </w:r>
      <w:r w:rsidRPr="006018CC">
        <w:rPr>
          <w:lang w:bidi="ar-EG"/>
        </w:rPr>
        <w:t xml:space="preserve"> </w:t>
      </w:r>
      <w:r w:rsidRPr="006018CC">
        <w:rPr>
          <w:rtl/>
          <w:lang w:bidi="ar-EG"/>
        </w:rPr>
        <w:t>من</w:t>
      </w:r>
      <w:r w:rsidRPr="006018CC">
        <w:rPr>
          <w:lang w:bidi="ar-EG"/>
        </w:rPr>
        <w:t xml:space="preserve"> </w:t>
      </w:r>
      <w:r w:rsidRPr="006018CC">
        <w:rPr>
          <w:rtl/>
          <w:lang w:bidi="ar-EG"/>
        </w:rPr>
        <w:t>أرباحه</w:t>
      </w:r>
      <w:r w:rsidRPr="006018CC">
        <w:rPr>
          <w:lang w:bidi="ar-EG"/>
        </w:rPr>
        <w:t xml:space="preserve"> </w:t>
      </w:r>
      <w:r w:rsidRPr="006018CC">
        <w:rPr>
          <w:rtl/>
          <w:lang w:bidi="ar-EG"/>
        </w:rPr>
        <w:t>أو</w:t>
      </w:r>
      <w:r w:rsidRPr="006018CC">
        <w:rPr>
          <w:lang w:bidi="ar-EG"/>
        </w:rPr>
        <w:t xml:space="preserve"> </w:t>
      </w:r>
      <w:r w:rsidRPr="006018CC">
        <w:rPr>
          <w:rtl/>
          <w:lang w:bidi="ar-EG"/>
        </w:rPr>
        <w:t>على</w:t>
      </w:r>
      <w:r w:rsidRPr="006018CC">
        <w:rPr>
          <w:lang w:bidi="ar-EG"/>
        </w:rPr>
        <w:t xml:space="preserve"> </w:t>
      </w:r>
      <w:r w:rsidRPr="006018CC">
        <w:rPr>
          <w:rtl/>
          <w:lang w:bidi="ar-EG"/>
        </w:rPr>
        <w:t>شكل</w:t>
      </w:r>
      <w:r w:rsidRPr="006018CC">
        <w:rPr>
          <w:lang w:bidi="ar-EG"/>
        </w:rPr>
        <w:t xml:space="preserve"> </w:t>
      </w:r>
      <w:r w:rsidRPr="006018CC">
        <w:rPr>
          <w:rtl/>
          <w:lang w:bidi="ar-EG"/>
        </w:rPr>
        <w:t>آخر</w:t>
      </w:r>
      <w:r w:rsidRPr="006018CC">
        <w:rPr>
          <w:lang w:bidi="ar-EG"/>
        </w:rPr>
        <w:t xml:space="preserve"> </w:t>
      </w:r>
      <w:r w:rsidRPr="006018CC">
        <w:rPr>
          <w:rtl/>
          <w:lang w:bidi="ar-EG"/>
        </w:rPr>
        <w:t>يتم</w:t>
      </w:r>
      <w:r w:rsidRPr="006018CC">
        <w:rPr>
          <w:lang w:bidi="ar-EG"/>
        </w:rPr>
        <w:t xml:space="preserve"> </w:t>
      </w:r>
      <w:r w:rsidRPr="006018CC">
        <w:rPr>
          <w:rtl/>
          <w:lang w:bidi="ar-EG"/>
        </w:rPr>
        <w:t>الاتفاق</w:t>
      </w:r>
      <w:r w:rsidRPr="006018CC">
        <w:rPr>
          <w:lang w:bidi="ar-EG"/>
        </w:rPr>
        <w:t xml:space="preserve"> </w:t>
      </w:r>
      <w:r w:rsidRPr="006018CC">
        <w:rPr>
          <w:rtl/>
          <w:lang w:bidi="ar-EG"/>
        </w:rPr>
        <w:t>عليه، أو تطبيق نظام حلقات الجودة وهو فريق يتكون من 6 إلى 12 فرد يجتمعون بصفة دورية على فترات عادة ما تكون متقاربة لتداول كل الأمور المتعلقة بجودة المنتج أو النظام، واقتراح التجديدات والتعديلات على ضوء النتائج الفعلية المحققة. وتعتبر حلقات الجودة من أهم تقنيات التحسين المتواصل التي مثلت إحدى أسباب نجاح المؤسسات اليابانية</w:t>
      </w:r>
      <w:r w:rsidRPr="006018CC">
        <w:rPr>
          <w:rFonts w:hint="cs"/>
          <w:rtl/>
          <w:lang w:bidi="ar-EG"/>
        </w:rPr>
        <w:t xml:space="preserve"> (عبد الوهاب، 2012)</w:t>
      </w:r>
      <w:r w:rsidRPr="006018CC">
        <w:rPr>
          <w:rtl/>
          <w:lang w:bidi="ar-EG"/>
        </w:rPr>
        <w:t>.</w:t>
      </w:r>
    </w:p>
    <w:p w14:paraId="224B5738" w14:textId="77777777" w:rsidR="00F52834" w:rsidRPr="006018CC" w:rsidRDefault="00F52834" w:rsidP="00F52834">
      <w:pPr>
        <w:spacing w:after="0"/>
        <w:ind w:right="187"/>
        <w:rPr>
          <w:u w:val="single"/>
          <w:rtl/>
          <w:lang w:bidi="ar-EG"/>
        </w:rPr>
      </w:pPr>
      <w:r w:rsidRPr="006018CC">
        <w:rPr>
          <w:u w:val="single"/>
          <w:rtl/>
          <w:lang w:bidi="ar-EG"/>
        </w:rPr>
        <w:t xml:space="preserve">وعن مؤشرات قياس الابتكار في المؤسسات كما يلي: </w:t>
      </w:r>
    </w:p>
    <w:p w14:paraId="3F5DD0A4" w14:textId="77777777" w:rsidR="00F52834" w:rsidRPr="006018CC" w:rsidRDefault="00F52834" w:rsidP="00F52834">
      <w:pPr>
        <w:spacing w:after="0"/>
        <w:ind w:right="187"/>
        <w:rPr>
          <w:rtl/>
          <w:lang w:bidi="ar-EG"/>
        </w:rPr>
      </w:pPr>
      <w:r w:rsidRPr="006018CC">
        <w:rPr>
          <w:b/>
          <w:bCs/>
          <w:rtl/>
          <w:lang w:bidi="ar-EG"/>
        </w:rPr>
        <w:t>أولًا: حسب الفكرة</w:t>
      </w:r>
      <w:r w:rsidRPr="006018CC">
        <w:rPr>
          <w:rtl/>
          <w:lang w:bidi="ar-EG"/>
        </w:rPr>
        <w:t xml:space="preserve">: (عدد الأفكار التي تم توليدها في فترة جمع الأفكار- فترة التوصل للفكرة المبتكرة فكلما كان أسرع كان ذلك مؤشر جيد- عدد الأفكار الجيدة التي تصبح مرشحة للمتابعة والتطبيق </w:t>
      </w:r>
      <w:r w:rsidRPr="006018CC">
        <w:rPr>
          <w:rtl/>
          <w:lang w:bidi="ar-EG"/>
        </w:rPr>
        <w:lastRenderedPageBreak/>
        <w:t>وتحويلها لواقع ملموس- دورة الفكرة وفي الفترة الزمنية بين طرح الفكرة واتخاذ القرار المؤسسي بشأنها- عدد الأفكار المختارة التي فشلت قبل أن تتحول لمنتج أول).</w:t>
      </w:r>
      <w:r w:rsidRPr="006018CC">
        <w:rPr>
          <w:rStyle w:val="a6"/>
          <w:rtl/>
          <w:lang w:bidi="ar-EG"/>
        </w:rPr>
        <w:t xml:space="preserve"> </w:t>
      </w:r>
    </w:p>
    <w:p w14:paraId="0D1A007E" w14:textId="77777777" w:rsidR="00F52834" w:rsidRPr="006018CC" w:rsidRDefault="00F52834" w:rsidP="00F52834">
      <w:pPr>
        <w:spacing w:after="0"/>
        <w:ind w:right="187"/>
        <w:rPr>
          <w:b/>
          <w:bCs/>
          <w:rtl/>
          <w:lang w:bidi="ar-EG"/>
        </w:rPr>
      </w:pPr>
      <w:r w:rsidRPr="006018CC">
        <w:rPr>
          <w:b/>
          <w:bCs/>
          <w:rtl/>
          <w:lang w:bidi="ar-EG"/>
        </w:rPr>
        <w:t>ثانيا: حسب المنتج المبتكر</w:t>
      </w:r>
      <w:r w:rsidRPr="006018CC">
        <w:rPr>
          <w:rtl/>
          <w:lang w:bidi="ar-EG"/>
        </w:rPr>
        <w:t>: (نسبة المنتجات الجديدة التي تم بناؤها من الأفكار المقدمة وكلما ارتفع دل على القدرة الفنية المرتفعة للمؤسسة- عدد مقترحات التحسين للمنتج الجديد- عدد المنتجات الجديدة مقارنة بالمؤسسات المنافسة خلال السنوات الثلاث الماضية- عدد المنتجات الجديدة التي فشلت قبل أن تصل للجمهور- عدد المنتجات الجديدة التي تتطلب تكنولوجيا جديدة- التكلفة لحين وصولها للجمهور)</w:t>
      </w:r>
      <w:r w:rsidRPr="006018CC">
        <w:rPr>
          <w:rFonts w:hint="cs"/>
          <w:rtl/>
          <w:lang w:bidi="ar-EG"/>
        </w:rPr>
        <w:t xml:space="preserve"> (صباح، 2018)</w:t>
      </w:r>
      <w:r w:rsidRPr="006018CC">
        <w:rPr>
          <w:rtl/>
          <w:lang w:bidi="ar-EG"/>
        </w:rPr>
        <w:t>.</w:t>
      </w:r>
    </w:p>
    <w:p w14:paraId="39919E3E" w14:textId="77777777" w:rsidR="00F52834" w:rsidRPr="006018CC" w:rsidRDefault="00F52834" w:rsidP="00F52834">
      <w:pPr>
        <w:spacing w:after="0"/>
        <w:rPr>
          <w:rtl/>
        </w:rPr>
      </w:pPr>
      <w:r w:rsidRPr="006018CC">
        <w:rPr>
          <w:rtl/>
        </w:rPr>
        <w:t xml:space="preserve">   عوامل تحفيز الابتكار في المؤسسات: </w:t>
      </w:r>
    </w:p>
    <w:p w14:paraId="22707A68" w14:textId="77777777" w:rsidR="00F52834" w:rsidRPr="006018CC" w:rsidRDefault="00F52834" w:rsidP="00F52834">
      <w:pPr>
        <w:spacing w:after="0"/>
        <w:ind w:right="187"/>
        <w:rPr>
          <w:rtl/>
          <w:lang w:bidi="ar-EG"/>
        </w:rPr>
      </w:pPr>
      <w:r w:rsidRPr="006018CC">
        <w:rPr>
          <w:rtl/>
          <w:lang w:bidi="ar-EG"/>
        </w:rPr>
        <w:t>لقد أجبر النمو السريع لتكنولوجيا المعلومات المنظمات على تغيير الابتكار في مجال الأعمال الرقمية بسرعة وسرعة</w:t>
      </w:r>
      <w:r w:rsidRPr="006018CC">
        <w:rPr>
          <w:lang w:bidi="ar-EG"/>
        </w:rPr>
        <w:t xml:space="preserve"> (Hasan et al., 2017). </w:t>
      </w:r>
      <w:r w:rsidRPr="006018CC">
        <w:rPr>
          <w:rtl/>
          <w:lang w:bidi="ar-EG"/>
        </w:rPr>
        <w:t>والابتكار هو مصدر للنمو</w:t>
      </w:r>
      <w:r w:rsidRPr="006018CC">
        <w:rPr>
          <w:lang w:bidi="ar-EG"/>
        </w:rPr>
        <w:t xml:space="preserve"> (Romer, 1987)</w:t>
      </w:r>
      <w:r w:rsidRPr="006018CC">
        <w:rPr>
          <w:rtl/>
          <w:lang w:bidi="ar-EG"/>
        </w:rPr>
        <w:t>، أو هو عملية مستمرة لإنشاء أفكار جديدة في المنتجات والخدمات، والتي تعتمد بشكل كبير على المنصات والبيئة</w:t>
      </w:r>
      <w:r w:rsidRPr="006018CC">
        <w:rPr>
          <w:lang w:bidi="ar-EG"/>
        </w:rPr>
        <w:t xml:space="preserve"> (Hasan et al., 2017). </w:t>
      </w:r>
      <w:r w:rsidRPr="006018CC">
        <w:rPr>
          <w:rtl/>
          <w:lang w:bidi="ar-EG"/>
        </w:rPr>
        <w:t>وبالتالي يمكننا القول إن الرابط بين الابتكار والتكنولوجيا الرقمية قد ولّد مصطلح "الابتكار الإلكتروني"، الذي تم استخدامه في العقود الثلاثة الماضية</w:t>
      </w:r>
      <w:r w:rsidRPr="006018CC">
        <w:rPr>
          <w:lang w:bidi="ar-EG"/>
        </w:rPr>
        <w:t xml:space="preserve"> (Lan &amp; Du, 2002). </w:t>
      </w:r>
      <w:r w:rsidRPr="006018CC">
        <w:rPr>
          <w:rtl/>
          <w:lang w:bidi="ar-EG"/>
        </w:rPr>
        <w:t>يرتبط الابتكار الإلكتروني بـ: التخطيط، بناء السيناريوهات، التنبؤ التكنولوجي، استخبارات السوق، تطوير المنتجات والأعمال، وتشكيل الأفكار الجديدة استجابة استباقية للتغيير</w:t>
      </w:r>
      <w:r w:rsidRPr="006018CC">
        <w:rPr>
          <w:lang w:bidi="ar-EG"/>
        </w:rPr>
        <w:t>.</w:t>
      </w:r>
    </w:p>
    <w:p w14:paraId="50149F01" w14:textId="77777777" w:rsidR="00F52834" w:rsidRPr="006018CC" w:rsidRDefault="00F52834" w:rsidP="00F52834">
      <w:pPr>
        <w:spacing w:after="0"/>
        <w:ind w:right="187"/>
        <w:rPr>
          <w:rtl/>
          <w:lang w:bidi="ar-EG"/>
        </w:rPr>
      </w:pPr>
    </w:p>
    <w:p w14:paraId="342D7E07" w14:textId="77777777" w:rsidR="00F52834" w:rsidRPr="006018CC" w:rsidRDefault="00F52834" w:rsidP="00F52834">
      <w:pPr>
        <w:spacing w:after="0"/>
        <w:rPr>
          <w:rtl/>
          <w:lang w:val="en-GB"/>
        </w:rPr>
      </w:pPr>
      <w:r w:rsidRPr="006018CC">
        <w:rPr>
          <w:rtl/>
          <w:lang w:val="en-GB"/>
        </w:rPr>
        <w:t>يعتمد التبني الناجح للابتكار بالنظر في عاملين رئيسيين: التكنولوجيا والموظفين كما يلي:</w:t>
      </w:r>
    </w:p>
    <w:p w14:paraId="5048AE08" w14:textId="77777777" w:rsidR="00F52834" w:rsidRPr="006018CC" w:rsidRDefault="00F52834" w:rsidP="00F52834">
      <w:pPr>
        <w:spacing w:after="0"/>
        <w:rPr>
          <w:rtl/>
          <w:lang w:val="en-GB"/>
        </w:rPr>
      </w:pPr>
      <w:proofErr w:type="gramStart"/>
      <w:r w:rsidRPr="006018CC">
        <w:rPr>
          <w:rtl/>
          <w:lang w:val="en-GB"/>
        </w:rPr>
        <w:t>أولاً،  الوقوف</w:t>
      </w:r>
      <w:proofErr w:type="gramEnd"/>
      <w:r w:rsidRPr="006018CC">
        <w:rPr>
          <w:rtl/>
          <w:lang w:val="en-GB"/>
        </w:rPr>
        <w:t xml:space="preserve"> على مدى قبول التكنولوجيا في الشركات من خلال خمسة عوامل فرعية مختلفة: الفائدة النسبية المدركة، التوافق المدرك، التعقيد المدرك، قابلية التجربة المدركة، والملاحظة المدركة (</w:t>
      </w:r>
      <w:r w:rsidRPr="006018CC">
        <w:rPr>
          <w:lang w:val="en-GB"/>
        </w:rPr>
        <w:t>Carraher-Wolverton &amp; Zhu, 2021; Rogers, 2010</w:t>
      </w:r>
      <w:r w:rsidRPr="006018CC">
        <w:rPr>
          <w:rtl/>
          <w:lang w:val="en-GB"/>
        </w:rPr>
        <w:t>)، سهولة الاستخدام المدركة، والفائدة المدركة (</w:t>
      </w:r>
      <w:r w:rsidRPr="006018CC">
        <w:rPr>
          <w:lang w:val="en-GB"/>
        </w:rPr>
        <w:t>Davis, 1989; Lee et al., 2011; S.H. Liu et al., 2009; Park et al., 2012; Salloum et al., 2019</w:t>
      </w:r>
      <w:r w:rsidRPr="006018CC">
        <w:rPr>
          <w:rtl/>
          <w:lang w:val="en-GB"/>
        </w:rPr>
        <w:t>).</w:t>
      </w:r>
    </w:p>
    <w:p w14:paraId="0F493A6E" w14:textId="77777777" w:rsidR="00F52834" w:rsidRPr="006018CC" w:rsidRDefault="00F52834" w:rsidP="00F52834">
      <w:pPr>
        <w:spacing w:after="0"/>
        <w:rPr>
          <w:rtl/>
          <w:lang w:val="en-GB"/>
        </w:rPr>
      </w:pPr>
      <w:r w:rsidRPr="006018CC">
        <w:rPr>
          <w:rtl/>
          <w:lang w:val="en-GB"/>
        </w:rPr>
        <w:t>ثانيًا، العمل على تحفيز وتطوير الموظفين من خلال ثلاثة ديناميكيات: التحفيز الداخلي، التحفيز الخارجي (</w:t>
      </w:r>
      <w:r w:rsidRPr="006018CC">
        <w:rPr>
          <w:lang w:val="en-GB"/>
        </w:rPr>
        <w:t>Siyal et al., 2021</w:t>
      </w:r>
      <w:r w:rsidRPr="006018CC">
        <w:rPr>
          <w:rtl/>
          <w:lang w:val="en-GB"/>
        </w:rPr>
        <w:t>) والكفاءة الذاتية المدركة (</w:t>
      </w:r>
      <w:r w:rsidRPr="006018CC">
        <w:rPr>
          <w:lang w:val="en-GB"/>
        </w:rPr>
        <w:t>Fuchs et al., 2019</w:t>
      </w:r>
      <w:r w:rsidRPr="006018CC">
        <w:rPr>
          <w:rtl/>
          <w:lang w:val="en-GB"/>
        </w:rPr>
        <w:t>). جميع هذه العوامل دعمت التبني الناجح للابتكار الإلكتروني في المؤسسات أيا كان حجمها.</w:t>
      </w:r>
    </w:p>
    <w:p w14:paraId="0753596B" w14:textId="77777777" w:rsidR="00F52834" w:rsidRPr="006018CC" w:rsidRDefault="00F52834" w:rsidP="00F52834">
      <w:pPr>
        <w:spacing w:after="0"/>
        <w:rPr>
          <w:rtl/>
        </w:rPr>
      </w:pPr>
      <w:r w:rsidRPr="006018CC">
        <w:rPr>
          <w:rtl/>
        </w:rPr>
        <w:t xml:space="preserve"> تحديات الابتكار في المؤسسات المتوسطة والصغيرة: </w:t>
      </w:r>
    </w:p>
    <w:p w14:paraId="239A0DFA" w14:textId="77777777" w:rsidR="00F52834" w:rsidRPr="006018CC" w:rsidRDefault="00F52834" w:rsidP="00F52834">
      <w:pPr>
        <w:spacing w:after="0"/>
        <w:ind w:right="187"/>
        <w:rPr>
          <w:lang w:bidi="ar-EG"/>
        </w:rPr>
      </w:pPr>
      <w:r w:rsidRPr="006018CC">
        <w:rPr>
          <w:rtl/>
          <w:lang w:bidi="ar-EG"/>
        </w:rPr>
        <w:t>تفشل مشاريع الابتكار عندما تتخلى المنظمات عن الابتكارات أو تتركها قبل أن يتم طرحها في السوق</w:t>
      </w:r>
      <w:r w:rsidRPr="006018CC">
        <w:rPr>
          <w:lang w:bidi="ar-EG"/>
        </w:rPr>
        <w:t xml:space="preserve"> (</w:t>
      </w:r>
      <w:proofErr w:type="spellStart"/>
      <w:r w:rsidRPr="006018CC">
        <w:rPr>
          <w:lang w:bidi="ar-EG"/>
        </w:rPr>
        <w:t>D'Attoma</w:t>
      </w:r>
      <w:proofErr w:type="spellEnd"/>
      <w:r w:rsidRPr="006018CC">
        <w:rPr>
          <w:lang w:bidi="ar-EG"/>
        </w:rPr>
        <w:t xml:space="preserve"> &amp; Ieva, 2020; Tranekjer, 2017). </w:t>
      </w:r>
      <w:r w:rsidRPr="006018CC">
        <w:rPr>
          <w:rtl/>
          <w:lang w:bidi="ar-EG"/>
        </w:rPr>
        <w:t>وفقًا لـ</w:t>
      </w:r>
      <w:r w:rsidRPr="006018CC">
        <w:rPr>
          <w:lang w:bidi="ar-EG"/>
        </w:rPr>
        <w:t xml:space="preserve"> Pearce et al. (2000)</w:t>
      </w:r>
      <w:r w:rsidRPr="006018CC">
        <w:rPr>
          <w:rtl/>
          <w:lang w:bidi="ar-EG"/>
        </w:rPr>
        <w:t>، تعني استراتيجية المنظمة استخدام الموارد المتاحة لتحقيق أهداف محددة في المدى القصير أو الطويل، وقد أكد على هذه المفاهيم</w:t>
      </w:r>
      <w:r w:rsidRPr="006018CC">
        <w:rPr>
          <w:lang w:bidi="ar-EG"/>
        </w:rPr>
        <w:t xml:space="preserve"> (Bhatti et al., 2011)</w:t>
      </w:r>
      <w:r w:rsidRPr="006018CC">
        <w:rPr>
          <w:rtl/>
          <w:lang w:bidi="ar-EG"/>
        </w:rPr>
        <w:t xml:space="preserve">، لذا يمكن ملاحظة أن كليهما شدد على أهمية </w:t>
      </w:r>
      <w:r w:rsidRPr="006018CC">
        <w:rPr>
          <w:rtl/>
          <w:lang w:bidi="ar-EG"/>
        </w:rPr>
        <w:lastRenderedPageBreak/>
        <w:t>تفكير المديرين بشكل مختلف، وضمان استخدام الموارد المتاحة داخل المنظمة كأساس لأي استراتيجية، وأن المنظمة جاهزة لتبني الابتكار، وإلا فقد تواجه المنظمة خسائر مالية. أحد الأسباب الأخرى لفشل الابتكار يمكن أن يكون هيكل المنظمة، كما ذكر</w:t>
      </w:r>
      <w:r w:rsidRPr="006018CC">
        <w:rPr>
          <w:lang w:bidi="ar-EG"/>
        </w:rPr>
        <w:t xml:space="preserve"> Joshi &amp; Chawla (2019)</w:t>
      </w:r>
      <w:r w:rsidRPr="006018CC">
        <w:rPr>
          <w:rtl/>
          <w:lang w:bidi="ar-EG"/>
        </w:rPr>
        <w:t>، أن المنظمة لديها نوعان من الهياكل: المركزية، حيث يتخذ الإدارة العليا القرارات، والنوع الآخر يسمى "اللامركزية" الذي يشجع التواصل بين الموظفين مما يؤدي إلى نتائج في زيادة رضا الموظفين وتحفيزهم</w:t>
      </w:r>
      <w:r w:rsidRPr="006018CC">
        <w:rPr>
          <w:lang w:bidi="ar-EG"/>
        </w:rPr>
        <w:t>.</w:t>
      </w:r>
    </w:p>
    <w:p w14:paraId="6816FAD2" w14:textId="77777777" w:rsidR="00F52834" w:rsidRPr="006018CC" w:rsidRDefault="00F52834" w:rsidP="00F52834">
      <w:pPr>
        <w:spacing w:after="0"/>
        <w:rPr>
          <w:rtl/>
        </w:rPr>
      </w:pPr>
      <w:r w:rsidRPr="006018CC">
        <w:rPr>
          <w:rtl/>
        </w:rPr>
        <w:t>بالتالي، يمكن أن يؤدي الهيكل التنظيمي غير المناسب إلى سوء تنظيم مهام الابتكار بين الموظفين وعدم احترام سلطة صناع القرار. علاوة على ذلك، في عملية تبني الابتكار، أكد (</w:t>
      </w:r>
      <w:r w:rsidRPr="006018CC">
        <w:t>Giampaoli et al., 2017</w:t>
      </w:r>
      <w:r w:rsidRPr="006018CC">
        <w:rPr>
          <w:rtl/>
        </w:rPr>
        <w:t>) على أهمية ثقافة المنظمة في تطوير المعرفة المفيدة حول إدارة المخاطر وحل المشكلات.</w:t>
      </w:r>
    </w:p>
    <w:p w14:paraId="54A143AC" w14:textId="77777777" w:rsidR="00F52834" w:rsidRPr="006018CC" w:rsidRDefault="00F52834" w:rsidP="00F52834">
      <w:pPr>
        <w:spacing w:after="0"/>
        <w:rPr>
          <w:rtl/>
        </w:rPr>
      </w:pPr>
      <w:r w:rsidRPr="006018CC">
        <w:rPr>
          <w:rtl/>
        </w:rPr>
        <w:t>على الرغم من زيادة تبني الابتكار الإلكتروني، إلا أن ما يصل إلى 90% من هذه المشاريع تفشل (</w:t>
      </w:r>
      <w:r w:rsidRPr="006018CC">
        <w:t>Kuester et al., 2018; Marmer et al., 2011</w:t>
      </w:r>
      <w:r w:rsidRPr="006018CC">
        <w:rPr>
          <w:rtl/>
        </w:rPr>
        <w:t>). وعادة ما يكون هذا النتيجة بسبب تطبيق الابتكارات الإلكترونية مستويات عالية من عدم اليقين للمستخدمين المحتملين، خاصة الابتكارات الإلكترونية الخاصة بالشركات الناشئة. تتعلق عدة خصائص مهمة للابتكارات الإلكترونية التي تقدمها الشركات الناشئة بهذا الشك وعدم اليقين. تشمل هذه الخصائص؛ طبيعتها الرقمية، عدم ملموسيتها، حداثتها وغياب الشخصية، وعدم الألفة مع المنظمة التي تطلقها (</w:t>
      </w:r>
      <w:r w:rsidRPr="006018CC">
        <w:t>Huang &amp; Rust, 2013; Kuester et al., 2018</w:t>
      </w:r>
      <w:r w:rsidRPr="006018CC">
        <w:rPr>
          <w:rtl/>
        </w:rPr>
        <w:t>). علاوة على ذلك، يزداد حالة عدم اليقين مع القلق بشأن الخصوصية وخوف من إساءة استخدام البيانات (</w:t>
      </w:r>
      <w:r w:rsidRPr="006018CC">
        <w:t>Kuester et al., 2018</w:t>
      </w:r>
      <w:r w:rsidRPr="006018CC">
        <w:rPr>
          <w:rtl/>
        </w:rPr>
        <w:t>). تشمل المخاطر المرتبطة بتبني الابتكار أشكالًا مادية وغير مادية.</w:t>
      </w:r>
    </w:p>
    <w:p w14:paraId="49AE0137" w14:textId="77777777" w:rsidR="00F52834" w:rsidRPr="006018CC" w:rsidRDefault="00F52834" w:rsidP="00F52834">
      <w:pPr>
        <w:spacing w:after="0"/>
        <w:rPr>
          <w:rtl/>
        </w:rPr>
      </w:pPr>
      <w:r w:rsidRPr="006018CC">
        <w:rPr>
          <w:rtl/>
        </w:rPr>
        <w:t>الابتكار في المنتجات يتعلق بخلق شيء جديد ويتطلب تغييرات في المنظمة (</w:t>
      </w:r>
      <w:r w:rsidRPr="006018CC">
        <w:t>CITE</w:t>
      </w:r>
      <w:r w:rsidRPr="006018CC">
        <w:rPr>
          <w:rtl/>
        </w:rPr>
        <w:t>). لذا، فإن هذه العملية تنطوي بطبيعتها على مخاطر، ومن الضروري أن تقوم الشركات المبتكرة بتحديد وإدارة المخاطر في وقت مبكر (</w:t>
      </w:r>
      <w:r w:rsidRPr="006018CC">
        <w:t>CITE</w:t>
      </w:r>
      <w:r w:rsidRPr="006018CC">
        <w:rPr>
          <w:rtl/>
        </w:rPr>
        <w:t>). المخاطر متأصلة في أنشطة الابتكار داخل الشركة، وإدارة هذه المخاطر تمثل فرصة لتحسين قدرة الشركة على تحقيق أهدافها (</w:t>
      </w:r>
      <w:r w:rsidRPr="006018CC">
        <w:t>CITE</w:t>
      </w:r>
      <w:r w:rsidRPr="006018CC">
        <w:rPr>
          <w:rtl/>
        </w:rPr>
        <w:t>). بالنظر إلى الآراء السابقة، تعد "المخاطر" من السمات الرئيسية للابتكار. لذلك يجب أن يسهل إدارة المخاطر الابتكار بدلاً من قمعه (</w:t>
      </w:r>
      <w:r w:rsidRPr="006018CC">
        <w:t>Taplin, 2005</w:t>
      </w:r>
      <w:r w:rsidRPr="006018CC">
        <w:rPr>
          <w:rtl/>
        </w:rPr>
        <w:t>).</w:t>
      </w:r>
    </w:p>
    <w:p w14:paraId="33716BC1" w14:textId="77777777" w:rsidR="00F52834" w:rsidRPr="006018CC" w:rsidRDefault="00F52834" w:rsidP="00F52834">
      <w:pPr>
        <w:spacing w:after="0"/>
      </w:pPr>
      <w:r w:rsidRPr="006018CC">
        <w:rPr>
          <w:rtl/>
        </w:rPr>
        <w:t>الابتكار لا يؤثر فقط على المستوى الجزئي، بل أيضًا على المستوى الكلي. لقد نما سوق تطوير الابتكار عامًا بعد عام ويعتبر الآن جزءًا فعالًا وأساسيًا من الاقتصاد. يتمثل سمة التمييز في علاقته بالصناعة في أنه يتكون من عدد كبير من الشركات الصغيرة (</w:t>
      </w:r>
      <w:r w:rsidRPr="006018CC">
        <w:t>Lowman et al., 2012</w:t>
      </w:r>
      <w:r w:rsidRPr="006018CC">
        <w:rPr>
          <w:rtl/>
        </w:rPr>
        <w:t>). قامت الدول ذات الاقتصادات الأكثر تطورًا بإجراء أبحاث واسعة في هذا الموضوع. في المقابل، كان عدد الدراسات التي أجريت في الدول النامية محدودًا (</w:t>
      </w:r>
      <w:r w:rsidRPr="006018CC">
        <w:t>Nagano et al., 2014</w:t>
      </w:r>
      <w:r w:rsidRPr="006018CC">
        <w:rPr>
          <w:rtl/>
        </w:rPr>
        <w:t>).</w:t>
      </w:r>
    </w:p>
    <w:p w14:paraId="213F9D9D" w14:textId="77777777" w:rsidR="00F52834" w:rsidRPr="006018CC" w:rsidRDefault="00F52834" w:rsidP="00F52834">
      <w:pPr>
        <w:spacing w:after="0"/>
        <w:rPr>
          <w:rtl/>
        </w:rPr>
      </w:pPr>
    </w:p>
    <w:p w14:paraId="208E42FD" w14:textId="77777777" w:rsidR="00F52834" w:rsidRPr="006018CC" w:rsidRDefault="00F52834" w:rsidP="00F52834">
      <w:pPr>
        <w:spacing w:after="0"/>
      </w:pPr>
      <w:r w:rsidRPr="006018CC">
        <w:rPr>
          <w:rtl/>
        </w:rPr>
        <w:lastRenderedPageBreak/>
        <w:t>التنافسية في المؤسسات</w:t>
      </w:r>
    </w:p>
    <w:p w14:paraId="0CACAB2C" w14:textId="77777777" w:rsidR="00F52834" w:rsidRPr="006018CC" w:rsidRDefault="00F52834" w:rsidP="00F52834">
      <w:pPr>
        <w:spacing w:after="0"/>
        <w:rPr>
          <w:rtl/>
        </w:rPr>
      </w:pPr>
      <w:r w:rsidRPr="006018CC">
        <w:rPr>
          <w:rtl/>
        </w:rPr>
        <w:t xml:space="preserve">   3.1. تعريف التنافسية وأبعادها: </w:t>
      </w:r>
    </w:p>
    <w:p w14:paraId="2F048342" w14:textId="77777777" w:rsidR="00D7048D" w:rsidRPr="006018CC" w:rsidRDefault="00F52834" w:rsidP="00D7048D">
      <w:pPr>
        <w:spacing w:after="0"/>
        <w:rPr>
          <w:rFonts w:eastAsia="Times New Roman"/>
          <w:rtl/>
          <w:lang w:bidi="ar-EG"/>
        </w:rPr>
      </w:pPr>
      <w:r w:rsidRPr="006018CC">
        <w:rPr>
          <w:rFonts w:eastAsia="Times New Roman"/>
          <w:rtl/>
          <w:lang w:bidi="ar-EG"/>
        </w:rPr>
        <w:t xml:space="preserve">   </w:t>
      </w:r>
      <w:r w:rsidR="00D7048D" w:rsidRPr="006018CC">
        <w:rPr>
          <w:rFonts w:eastAsia="Times New Roman"/>
          <w:rtl/>
          <w:lang w:bidi="ar-EG"/>
        </w:rPr>
        <w:t>التنافسية تُعرف بأنها قدرة المؤسسة أو الدولة على تحقيق أداء متميز في السوق مقارنةً بمنافسيها، من خلال تقديم منتجات وخدمات ذات جودة عالية مع تحقيق كفاءة في استخدام الموارد (</w:t>
      </w:r>
      <w:r w:rsidR="00D7048D" w:rsidRPr="006018CC">
        <w:rPr>
          <w:rFonts w:eastAsia="Times New Roman"/>
          <w:lang w:bidi="ar-EG"/>
        </w:rPr>
        <w:t>Porter, 1990</w:t>
      </w:r>
      <w:r w:rsidR="00D7048D" w:rsidRPr="006018CC">
        <w:rPr>
          <w:rFonts w:eastAsia="Times New Roman"/>
          <w:rtl/>
          <w:lang w:bidi="ar-EG"/>
        </w:rPr>
        <w:t>). ويُعد مفهوم التنافسية أساسيًا في بيئة الأعمال المعاصرة، حيث يساهم في تعزيز النمو الاقتصادي والابتكار المستمر. التنافسية لا تقتصر فقط على الأداء الاقتصادي، بل تمتد لتشمل قدرات الابتكار، والبنية التحتية، والسياسات التنظيمية، والموارد البشرية المدربة، مما يجعلها مؤشرًا متعدد الأبعاد لتقييم النجاح المؤسسي والوطني (</w:t>
      </w:r>
      <w:r w:rsidR="00D7048D" w:rsidRPr="006018CC">
        <w:rPr>
          <w:rFonts w:eastAsia="Times New Roman"/>
          <w:lang w:bidi="ar-EG"/>
        </w:rPr>
        <w:t>Schwab, 2019</w:t>
      </w:r>
      <w:r w:rsidR="00D7048D" w:rsidRPr="006018CC">
        <w:rPr>
          <w:rFonts w:eastAsia="Times New Roman"/>
          <w:rtl/>
          <w:lang w:bidi="ar-EG"/>
        </w:rPr>
        <w:t>).</w:t>
      </w:r>
    </w:p>
    <w:p w14:paraId="4A6079E8" w14:textId="77777777" w:rsidR="00D7048D" w:rsidRPr="006018CC" w:rsidRDefault="00D7048D" w:rsidP="00D7048D">
      <w:pPr>
        <w:spacing w:after="0"/>
        <w:ind w:firstLine="0"/>
        <w:rPr>
          <w:rFonts w:eastAsia="Times New Roman"/>
          <w:rtl/>
          <w:lang w:bidi="ar-EG"/>
        </w:rPr>
      </w:pPr>
      <w:r w:rsidRPr="006018CC">
        <w:rPr>
          <w:rFonts w:eastAsia="Times New Roman"/>
          <w:rtl/>
          <w:lang w:bidi="ar-EG"/>
        </w:rPr>
        <w:t>أبعاد التنافسية</w:t>
      </w:r>
    </w:p>
    <w:p w14:paraId="72318A80" w14:textId="77777777" w:rsidR="00D7048D" w:rsidRPr="006018CC" w:rsidRDefault="00D7048D" w:rsidP="00D7048D">
      <w:pPr>
        <w:spacing w:after="0"/>
        <w:rPr>
          <w:rFonts w:eastAsia="Times New Roman"/>
          <w:rtl/>
          <w:lang w:bidi="ar-EG"/>
        </w:rPr>
      </w:pPr>
      <w:r w:rsidRPr="006018CC">
        <w:rPr>
          <w:rFonts w:eastAsia="Times New Roman"/>
          <w:rtl/>
          <w:lang w:bidi="ar-EG"/>
        </w:rPr>
        <w:t>تشمل التنافسية عدة أبعاد رئيسية تؤثر بشكل مباشر على الأداء العام للمؤسسة، أبرزها:</w:t>
      </w:r>
    </w:p>
    <w:p w14:paraId="6DDE61DC"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الابتكار والإبداع: يشير هذا البعد إلى قدرة المؤسسة على تطوير منتجات وخدمات جديدة أو تحسين العمليات الإنتاجية بطرق مبتكرة، مما يعزز من القيمة المضافة ويخلق مزايا تنافسية مستدامة (</w:t>
      </w:r>
      <w:r w:rsidRPr="006018CC">
        <w:rPr>
          <w:rFonts w:eastAsia="Times New Roman"/>
          <w:lang w:bidi="ar-EG"/>
        </w:rPr>
        <w:t>OECD, 2015</w:t>
      </w:r>
      <w:r w:rsidRPr="006018CC">
        <w:rPr>
          <w:rFonts w:eastAsia="Times New Roman"/>
          <w:rtl/>
          <w:lang w:bidi="ar-EG"/>
        </w:rPr>
        <w:t>).</w:t>
      </w:r>
    </w:p>
    <w:p w14:paraId="075D2BD6"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الجودة والكفاءة: تعكس الكفاءة قدرة المؤسسة على تحقيق أفضل النتائج بأقل الموارد، في حين تشير الجودة إلى تقديم منتجات وخدمات تلبي توقعات العملاء، مما يعزز من رضاهم وولائهم (</w:t>
      </w:r>
      <w:r w:rsidRPr="006018CC">
        <w:rPr>
          <w:rFonts w:eastAsia="Times New Roman"/>
          <w:lang w:bidi="ar-EG"/>
        </w:rPr>
        <w:t>Garcia, 2016</w:t>
      </w:r>
      <w:r w:rsidRPr="006018CC">
        <w:rPr>
          <w:rFonts w:eastAsia="Times New Roman"/>
          <w:rtl/>
          <w:lang w:bidi="ar-EG"/>
        </w:rPr>
        <w:t>).</w:t>
      </w:r>
    </w:p>
    <w:p w14:paraId="1C676E69"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القدرة المالية والاستدامة: يتعلق هذا البعد بالقدرة على إدارة الموارد المالية بشكل فعال، بما في ذلك تحقيق أرباح مستدامة، والقدرة على مواجهة الأزمات الاقتصادية، والالتزام بالمعايير البيئية والاجتماعية (</w:t>
      </w:r>
      <w:r w:rsidRPr="006018CC">
        <w:rPr>
          <w:rFonts w:eastAsia="Times New Roman"/>
          <w:lang w:bidi="ar-EG"/>
        </w:rPr>
        <w:t>Kaplan &amp; Norton, 2004</w:t>
      </w:r>
      <w:r w:rsidRPr="006018CC">
        <w:rPr>
          <w:rFonts w:eastAsia="Times New Roman"/>
          <w:rtl/>
          <w:lang w:bidi="ar-EG"/>
        </w:rPr>
        <w:t>).</w:t>
      </w:r>
    </w:p>
    <w:p w14:paraId="4703786D" w14:textId="77777777" w:rsidR="00D7048D"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رأس المال البشري: يشمل هذا البعد مدى توافر المهارات والخبرات داخل المؤسسة، حيث يساهم الاستثمار في تطوير الكوادر البشرية في تحسين الأداء وتعزيز القدرات الابتكارية (</w:t>
      </w:r>
      <w:r w:rsidRPr="006018CC">
        <w:rPr>
          <w:rFonts w:eastAsia="Times New Roman"/>
          <w:lang w:bidi="ar-EG"/>
        </w:rPr>
        <w:t>Becker, 2009</w:t>
      </w:r>
      <w:r w:rsidRPr="006018CC">
        <w:rPr>
          <w:rFonts w:eastAsia="Times New Roman"/>
          <w:rtl/>
          <w:lang w:bidi="ar-EG"/>
        </w:rPr>
        <w:t>).</w:t>
      </w:r>
    </w:p>
    <w:p w14:paraId="572F607E" w14:textId="6B2FD5F8" w:rsidR="00F52834" w:rsidRPr="006018CC" w:rsidRDefault="00D7048D" w:rsidP="00D7048D">
      <w:pPr>
        <w:pStyle w:val="a3"/>
        <w:numPr>
          <w:ilvl w:val="0"/>
          <w:numId w:val="49"/>
        </w:numPr>
        <w:spacing w:after="0"/>
        <w:rPr>
          <w:rFonts w:eastAsia="Times New Roman"/>
          <w:rtl/>
          <w:lang w:bidi="ar-EG"/>
        </w:rPr>
      </w:pPr>
      <w:r w:rsidRPr="006018CC">
        <w:rPr>
          <w:rFonts w:eastAsia="Times New Roman"/>
          <w:rtl/>
          <w:lang w:bidi="ar-EG"/>
        </w:rPr>
        <w:t>المرونة والقدرة على التكيف: تتعلق بمدى قدرة المؤسسة على التكيف مع التغيرات في السوق والتقلبات الاقتصادية، وهو عامل حاسم للحفاظ على الاستمرارية والنجاح طويل الأمد (</w:t>
      </w:r>
      <w:r w:rsidRPr="006018CC">
        <w:rPr>
          <w:rFonts w:eastAsia="Times New Roman"/>
          <w:lang w:bidi="ar-EG"/>
        </w:rPr>
        <w:t>Teece, 2018</w:t>
      </w:r>
      <w:r w:rsidRPr="006018CC">
        <w:rPr>
          <w:rFonts w:eastAsia="Times New Roman"/>
          <w:rtl/>
          <w:lang w:bidi="ar-EG"/>
        </w:rPr>
        <w:t>).</w:t>
      </w:r>
    </w:p>
    <w:p w14:paraId="4F95B3BD" w14:textId="43361EC5" w:rsidR="00F52834" w:rsidRPr="006018CC" w:rsidRDefault="00D7048D" w:rsidP="00F52834">
      <w:pPr>
        <w:spacing w:after="0"/>
        <w:rPr>
          <w:rFonts w:eastAsia="Times New Roman"/>
          <w:rtl/>
          <w:lang w:bidi="ar-EG"/>
        </w:rPr>
      </w:pPr>
      <w:r w:rsidRPr="006018CC">
        <w:rPr>
          <w:rFonts w:eastAsia="Times New Roman" w:hint="cs"/>
          <w:rtl/>
          <w:lang w:bidi="ar-EG"/>
        </w:rPr>
        <w:t xml:space="preserve">أما عن </w:t>
      </w:r>
      <w:r w:rsidR="00F52834" w:rsidRPr="006018CC">
        <w:rPr>
          <w:rFonts w:eastAsia="Times New Roman" w:hint="cs"/>
          <w:rtl/>
          <w:lang w:bidi="ar-EG"/>
        </w:rPr>
        <w:t>العلاقة ببن التنافسية ورأس المال</w:t>
      </w:r>
      <w:r w:rsidRPr="006018CC">
        <w:rPr>
          <w:rFonts w:eastAsia="Times New Roman" w:hint="cs"/>
          <w:rtl/>
          <w:lang w:bidi="ar-EG"/>
        </w:rPr>
        <w:t xml:space="preserve"> فهي </w:t>
      </w:r>
      <w:r w:rsidR="00F52834" w:rsidRPr="006018CC">
        <w:rPr>
          <w:rFonts w:eastAsia="Times New Roman"/>
          <w:rtl/>
          <w:lang w:bidi="ar-EG"/>
        </w:rPr>
        <w:t xml:space="preserve">تتأثر تلك القيمة بالقدرة التنافسية لها ومن ثم قدرتها </w:t>
      </w:r>
      <w:proofErr w:type="gramStart"/>
      <w:r w:rsidR="00F52834" w:rsidRPr="006018CC">
        <w:rPr>
          <w:rFonts w:eastAsia="Times New Roman"/>
          <w:rtl/>
          <w:lang w:bidi="ar-EG"/>
        </w:rPr>
        <w:t>علي</w:t>
      </w:r>
      <w:proofErr w:type="gramEnd"/>
      <w:r w:rsidR="00F52834" w:rsidRPr="006018CC">
        <w:rPr>
          <w:rFonts w:eastAsia="Times New Roman"/>
          <w:rtl/>
          <w:lang w:bidi="ar-EG"/>
        </w:rPr>
        <w:t xml:space="preserve"> خلق مزايا تنافسية تفوق المنافسين، ويقصد بالقدرة التنافسية للموارد البشرية ما تتمتع به المنظمة من موارد بشرية ذات قيمة عالية تفوق المنافسين، هذا وتتأثر تلك القيمة بالقدرة </w:t>
      </w:r>
      <w:proofErr w:type="gramStart"/>
      <w:r w:rsidR="00F52834" w:rsidRPr="006018CC">
        <w:rPr>
          <w:rFonts w:eastAsia="Times New Roman"/>
          <w:rtl/>
          <w:lang w:bidi="ar-EG"/>
        </w:rPr>
        <w:t>علي</w:t>
      </w:r>
      <w:proofErr w:type="gramEnd"/>
      <w:r w:rsidR="00F52834" w:rsidRPr="006018CC">
        <w:rPr>
          <w:rFonts w:eastAsia="Times New Roman"/>
          <w:rtl/>
          <w:lang w:bidi="ar-EG"/>
        </w:rPr>
        <w:t xml:space="preserve"> تحقيق المعايير أو المحددات التالية: (محمد </w:t>
      </w:r>
      <w:proofErr w:type="spellStart"/>
      <w:r w:rsidR="00F52834" w:rsidRPr="006018CC">
        <w:rPr>
          <w:rFonts w:eastAsia="Times New Roman"/>
          <w:rtl/>
          <w:lang w:bidi="ar-EG"/>
        </w:rPr>
        <w:t>محمد</w:t>
      </w:r>
      <w:proofErr w:type="spellEnd"/>
      <w:r w:rsidR="00F52834" w:rsidRPr="006018CC">
        <w:rPr>
          <w:rFonts w:eastAsia="Times New Roman"/>
          <w:rtl/>
          <w:lang w:bidi="ar-EG"/>
        </w:rPr>
        <w:t xml:space="preserve"> إبراهيم، 2020)</w:t>
      </w:r>
    </w:p>
    <w:p w14:paraId="3D1D3E11" w14:textId="77777777" w:rsidR="00F52834" w:rsidRPr="006018CC" w:rsidRDefault="00F52834" w:rsidP="00F52834">
      <w:pPr>
        <w:numPr>
          <w:ilvl w:val="0"/>
          <w:numId w:val="43"/>
        </w:numPr>
        <w:spacing w:after="0"/>
        <w:ind w:left="450"/>
        <w:contextualSpacing/>
        <w:rPr>
          <w:rFonts w:eastAsia="Times New Roman"/>
          <w:rtl/>
          <w:lang w:bidi="ar-EG"/>
        </w:rPr>
      </w:pPr>
      <w:r w:rsidRPr="006018CC">
        <w:rPr>
          <w:rFonts w:eastAsia="Times New Roman"/>
          <w:rtl/>
          <w:lang w:bidi="ar-EG"/>
        </w:rPr>
        <w:lastRenderedPageBreak/>
        <w:t xml:space="preserve">الحرص المستمر على أن تكون الموارد البشرية ذات قيمة </w:t>
      </w:r>
      <w:r w:rsidRPr="006018CC">
        <w:rPr>
          <w:rFonts w:eastAsia="Times New Roman"/>
          <w:lang w:bidi="ar-EG"/>
        </w:rPr>
        <w:t xml:space="preserve">The human resource must be of </w:t>
      </w:r>
      <w:proofErr w:type="gramStart"/>
      <w:r w:rsidRPr="006018CC">
        <w:rPr>
          <w:rFonts w:eastAsia="Times New Roman"/>
          <w:lang w:bidi="ar-EG"/>
        </w:rPr>
        <w:t xml:space="preserve">value </w:t>
      </w:r>
      <w:r w:rsidRPr="006018CC">
        <w:rPr>
          <w:rFonts w:eastAsia="Times New Roman"/>
          <w:rtl/>
          <w:lang w:bidi="ar-EG"/>
        </w:rPr>
        <w:t>:</w:t>
      </w:r>
      <w:proofErr w:type="gramEnd"/>
      <w:r w:rsidRPr="006018CC">
        <w:rPr>
          <w:rFonts w:eastAsia="Times New Roman"/>
          <w:rtl/>
          <w:lang w:bidi="ar-EG"/>
        </w:rPr>
        <w:t xml:space="preserve"> إن قيمة العنصر البشري تزداد عندما يبحث دائما عن طرق جديدة لتخفيض التكاليف أو تزويد العملاء بأشياء فريدة من نوعها أو مزيج من الأمرين، ويتم زيادة قيمة النتائج المتولدة عن استخدام الموارد البشرية من خلال مجموعة من الأليات مثل برامج التمكين، مبادرات الجودة من المنظور الإداري الشامل والتحسينات المستمرة التي تبذلها المؤسسات في إطار الإدارة الإستراتيجية للموارد البشرية، وغيرها من الأليات والبرامج.</w:t>
      </w:r>
    </w:p>
    <w:p w14:paraId="25E2D4F0" w14:textId="77777777" w:rsidR="00F52834" w:rsidRPr="006018CC" w:rsidRDefault="00F52834" w:rsidP="00F52834">
      <w:pPr>
        <w:numPr>
          <w:ilvl w:val="0"/>
          <w:numId w:val="43"/>
        </w:numPr>
        <w:spacing w:after="0"/>
        <w:ind w:left="450"/>
        <w:contextualSpacing/>
        <w:rPr>
          <w:rFonts w:eastAsia="Times New Roman"/>
          <w:rtl/>
          <w:lang w:bidi="ar-EG"/>
        </w:rPr>
      </w:pPr>
      <w:r w:rsidRPr="006018CC">
        <w:rPr>
          <w:rFonts w:eastAsia="Times New Roman"/>
          <w:rtl/>
          <w:lang w:bidi="ar-EG"/>
        </w:rPr>
        <w:t xml:space="preserve">أن تتسم الموارد البشرية بالندرة </w:t>
      </w:r>
      <w:r w:rsidRPr="006018CC">
        <w:rPr>
          <w:rFonts w:eastAsia="Times New Roman"/>
          <w:lang w:bidi="ar-EG"/>
        </w:rPr>
        <w:t>The human resource must be rare</w:t>
      </w:r>
      <w:r w:rsidRPr="006018CC">
        <w:rPr>
          <w:rFonts w:eastAsia="Times New Roman"/>
          <w:rtl/>
          <w:lang w:bidi="ar-EG"/>
        </w:rPr>
        <w:t>: غالبًا ما يصبح العنصر البشري ذو قدرة تنافسية ومن ثم مصدر ميزة تنافسية عندما تكون مهاراته ومعارفه غير متاحة بسهولة للمنافسين.</w:t>
      </w:r>
    </w:p>
    <w:p w14:paraId="0A0FCEF6" w14:textId="77777777" w:rsidR="00F52834" w:rsidRPr="006018CC" w:rsidRDefault="00F52834" w:rsidP="00F52834">
      <w:pPr>
        <w:numPr>
          <w:ilvl w:val="0"/>
          <w:numId w:val="43"/>
        </w:numPr>
        <w:spacing w:after="0"/>
        <w:ind w:left="450"/>
        <w:contextualSpacing/>
        <w:rPr>
          <w:rFonts w:eastAsia="Times New Roman"/>
          <w:lang w:bidi="ar-EG"/>
        </w:rPr>
      </w:pPr>
      <w:r w:rsidRPr="006018CC">
        <w:rPr>
          <w:rFonts w:eastAsia="Times New Roman"/>
          <w:rtl/>
          <w:lang w:bidi="ar-EG"/>
        </w:rPr>
        <w:t>أن تصبح الموارد البشرية صعبة التقليد أو المحاكاة: تكون الموارد البشرية مصدر للقدرة التنافسية ومن ثم للميزة التنافسية عندما يصبح من غير الممكن إيجاد صورة طبق الأصل لدى المنافسين من قدرات العاملين ومساهماتهم في زيادة القدرة التنافسية للمؤسسة.</w:t>
      </w:r>
    </w:p>
    <w:p w14:paraId="1B8369B1" w14:textId="77777777" w:rsidR="00F52834" w:rsidRPr="006018CC" w:rsidRDefault="00F52834" w:rsidP="00F52834">
      <w:pPr>
        <w:numPr>
          <w:ilvl w:val="0"/>
          <w:numId w:val="43"/>
        </w:numPr>
        <w:spacing w:after="0"/>
        <w:ind w:left="450"/>
        <w:contextualSpacing/>
        <w:rPr>
          <w:rFonts w:eastAsia="Times New Roman"/>
          <w:lang w:bidi="ar-EG"/>
        </w:rPr>
      </w:pPr>
      <w:r w:rsidRPr="006018CC">
        <w:rPr>
          <w:rFonts w:eastAsia="Times New Roman"/>
          <w:rtl/>
          <w:lang w:bidi="ar-EG"/>
        </w:rPr>
        <w:t xml:space="preserve">الإدارة الفعالة المستمرة للموارد البشرية: فحتي يكون العاملين أكثر قدرة </w:t>
      </w:r>
      <w:proofErr w:type="gramStart"/>
      <w:r w:rsidRPr="006018CC">
        <w:rPr>
          <w:rFonts w:eastAsia="Times New Roman"/>
          <w:rtl/>
          <w:lang w:bidi="ar-EG"/>
        </w:rPr>
        <w:t>علي</w:t>
      </w:r>
      <w:proofErr w:type="gramEnd"/>
      <w:r w:rsidRPr="006018CC">
        <w:rPr>
          <w:rFonts w:eastAsia="Times New Roman"/>
          <w:rtl/>
          <w:lang w:bidi="ar-EG"/>
        </w:rPr>
        <w:t xml:space="preserve"> خلق فرصة تنافسية، فلابد أن تكون طاقاتهم وامكانياتهم متصلة بالعمل، ويتم تطويرها وتحسينها بصفة مستمرة بما يتفق مع متطلبات التكنولوجيا الحديثة في المجال المؤسسي ولا يتحقق ذلك إلا من خلال الإدارة الفعالة للموارد البشرية.</w:t>
      </w:r>
    </w:p>
    <w:p w14:paraId="1B7A793B" w14:textId="77777777" w:rsidR="00F52834" w:rsidRPr="006018CC" w:rsidRDefault="00F52834" w:rsidP="00F52834">
      <w:pPr>
        <w:spacing w:after="0"/>
        <w:rPr>
          <w:rFonts w:eastAsia="Times New Roman"/>
          <w:lang w:bidi="ar-EG"/>
        </w:rPr>
      </w:pPr>
      <w:r w:rsidRPr="006018CC">
        <w:rPr>
          <w:rFonts w:eastAsia="Times New Roman"/>
          <w:rtl/>
          <w:lang w:bidi="ar-EG"/>
        </w:rPr>
        <w:t xml:space="preserve">  إذن، فالعنصر البشري هو بمثابة القوة الذهنية للمنظمات "</w:t>
      </w:r>
      <w:r w:rsidRPr="006018CC">
        <w:rPr>
          <w:rFonts w:eastAsia="Times New Roman"/>
          <w:lang w:bidi="ar-EG"/>
        </w:rPr>
        <w:t>Brain Power</w:t>
      </w:r>
      <w:r w:rsidRPr="006018CC">
        <w:rPr>
          <w:rFonts w:eastAsia="Times New Roman"/>
          <w:rtl/>
          <w:lang w:bidi="ar-EG"/>
        </w:rPr>
        <w:t xml:space="preserve">" والتي تتمتع بها بعض المؤسسات دون غيرها ومن ثم تتحقق لها مصادر التفوق والربح والثروة وتحولها بدورها إلى منظمات متعلمة </w:t>
      </w:r>
      <w:r w:rsidRPr="006018CC">
        <w:rPr>
          <w:rFonts w:eastAsia="Times New Roman"/>
          <w:lang w:bidi="ar-EG"/>
        </w:rPr>
        <w:t>" Learning Organization "</w:t>
      </w:r>
    </w:p>
    <w:p w14:paraId="44897C50" w14:textId="77777777" w:rsidR="00F52834" w:rsidRPr="006018CC" w:rsidRDefault="00F52834" w:rsidP="00F52834">
      <w:pPr>
        <w:spacing w:after="0"/>
        <w:rPr>
          <w:highlight w:val="green"/>
        </w:rPr>
      </w:pPr>
    </w:p>
    <w:p w14:paraId="6972E586" w14:textId="77777777" w:rsidR="00F52834" w:rsidRPr="006018CC" w:rsidRDefault="00F52834" w:rsidP="00F52834">
      <w:pPr>
        <w:widowControl w:val="0"/>
        <w:numPr>
          <w:ilvl w:val="1"/>
          <w:numId w:val="10"/>
        </w:numPr>
        <w:spacing w:after="0"/>
        <w:rPr>
          <w:rtl/>
        </w:rPr>
      </w:pPr>
      <w:r w:rsidRPr="006018CC">
        <w:rPr>
          <w:rtl/>
        </w:rPr>
        <w:t xml:space="preserve">مؤشرات قياس التنافسية: </w:t>
      </w:r>
    </w:p>
    <w:p w14:paraId="77DC250F" w14:textId="77777777" w:rsidR="00F52834" w:rsidRPr="006018CC" w:rsidRDefault="00F52834" w:rsidP="00F52834">
      <w:pPr>
        <w:widowControl w:val="0"/>
        <w:spacing w:after="0"/>
        <w:rPr>
          <w:rtl/>
        </w:rPr>
      </w:pPr>
      <w:r w:rsidRPr="006018CC">
        <w:rPr>
          <w:rFonts w:hint="cs"/>
          <w:rtl/>
        </w:rPr>
        <w:t xml:space="preserve">سيتم استعراض </w:t>
      </w:r>
      <w:r w:rsidRPr="006018CC">
        <w:rPr>
          <w:rtl/>
        </w:rPr>
        <w:t>نتائج مؤشر التنافسية العالمية المستدامة خلال عام 2024</w:t>
      </w:r>
      <w:r w:rsidRPr="006018CC">
        <w:rPr>
          <w:rFonts w:hint="cs"/>
          <w:rtl/>
        </w:rPr>
        <w:t xml:space="preserve"> والذي جاء كما يلي: </w:t>
      </w:r>
    </w:p>
    <w:p w14:paraId="5386B96B" w14:textId="77777777" w:rsidR="00F52834" w:rsidRPr="006018CC" w:rsidRDefault="00F52834" w:rsidP="00F52834">
      <w:pPr>
        <w:widowControl w:val="0"/>
        <w:spacing w:after="0"/>
        <w:ind w:left="360" w:firstLine="0"/>
        <w:rPr>
          <w:rtl/>
        </w:rPr>
      </w:pPr>
      <w:r w:rsidRPr="006018CC">
        <w:rPr>
          <w:rtl/>
        </w:rPr>
        <w:t xml:space="preserve">أظهرت نتائج مؤشر التنافسية العالمية المستدامة الصادر عن مؤسسة “سول </w:t>
      </w:r>
      <w:proofErr w:type="spellStart"/>
      <w:r w:rsidRPr="006018CC">
        <w:rPr>
          <w:rtl/>
        </w:rPr>
        <w:t>أبيليتي</w:t>
      </w:r>
      <w:proofErr w:type="spellEnd"/>
      <w:r w:rsidRPr="006018CC">
        <w:rPr>
          <w:rtl/>
        </w:rPr>
        <w:t>” المتخصصة في الاستشارات، خلال عام 2024، أن متوسط درجة القدرة التنافسية المستدامة لا يزال يسجل 43.4 نقطة عام 2024، وهو أقل من 50% من أفضل نتيجة ممكنة، وأقل من قيمة أعلى دولة البالغة 61.2 نقطة، كما كشفت النتائج أنه لا تزال الدول الرائدة بعيدة كل البعد عن كونها مستدامة وتنافسية حقًا.</w:t>
      </w:r>
    </w:p>
    <w:p w14:paraId="72841935" w14:textId="77777777" w:rsidR="00F52834" w:rsidRPr="006018CC" w:rsidRDefault="00F52834" w:rsidP="00F52834">
      <w:pPr>
        <w:widowControl w:val="0"/>
        <w:spacing w:after="0"/>
        <w:ind w:left="360" w:firstLine="0"/>
        <w:rPr>
          <w:rtl/>
        </w:rPr>
      </w:pPr>
      <w:r w:rsidRPr="006018CC">
        <w:rPr>
          <w:rtl/>
        </w:rPr>
        <w:t>يقيس مؤشر التنافسية العالمية المستدامة (</w:t>
      </w:r>
      <w:r w:rsidRPr="006018CC">
        <w:t>GSCI</w:t>
      </w:r>
      <w:r w:rsidRPr="006018CC">
        <w:rPr>
          <w:rtl/>
        </w:rPr>
        <w:t xml:space="preserve">)، الذي نُشر لأول مرة في عام 2012، استدامة البيئة والمجتمع والحوكمة على في 191 دولة بناءً على 216 مؤشرًا كميًا. كما يعمل المؤشر كبديل شامل للناتج المحلي الإجمالي، لتقييم المخاطر الخاصة بكل دولة والمخاطر الخاصة بالقضايا </w:t>
      </w:r>
      <w:r w:rsidRPr="006018CC">
        <w:rPr>
          <w:rtl/>
        </w:rPr>
        <w:lastRenderedPageBreak/>
        <w:t>بالنسبة للمشغلين والمستثمرين، والتحقق من التقدم الذي تحرزه الوكالات الحكومية. حيث إن الناتج المحلي الإجمالي- وهو المقياس الأكثر استخدامًا لقياس "نجاح" الدولة - يعاني من قيود خطيرة، حيث لا يحسب إلا ما يتم تبادله في السوق مقابل المال، ولكنه يستبعد كل شيء آخر: البيئة والصحة والتعليم والأمن والحوكمة وجودة المعيشة، على سبيل المثال لا الحصر.</w:t>
      </w:r>
    </w:p>
    <w:p w14:paraId="50C7F034" w14:textId="77777777" w:rsidR="00F52834" w:rsidRPr="006018CC" w:rsidRDefault="00F52834" w:rsidP="00F52834">
      <w:pPr>
        <w:widowControl w:val="0"/>
        <w:spacing w:after="0"/>
        <w:ind w:left="360" w:firstLine="0"/>
        <w:rPr>
          <w:rtl/>
        </w:rPr>
      </w:pPr>
      <w:r w:rsidRPr="006018CC">
        <w:rPr>
          <w:rtl/>
        </w:rPr>
        <w:t>يعتمد المؤشر على 6 مؤشرات فرعية، هي: رأس المال الطبيعي، وكفاءة الموارد وكثافتها، والتماسك الاجتماعي، ورأس المال الفكري، والاستدامة الاقتصادية، وكفاءة الحوكمة، وتحدد هذه الركائز مجتمعة الأداء الوطني والتوقعات المستقبلية، ويتم تقييم جميع المؤشرات كما هي، وتحليلها من أجل تحديد الاتجاهات باستخدام أدوات التعلم العميق والذكاء الاصطناعي، وتحليل البيانات وتحليل الارتباطات لتحسين عملية التقييم. والنتيجة هي رؤية شاملة لنقاط القوة والضعف لكل دولة، فضلاً عن الإشارة إلى الاتجاه المستقبلي وإمكانات الدولة، وتتراوح قيمة المؤشر بين (0-100) نقطة، حيث تعبر 100 عن أفضل حالة ممكنة وعالم مثالي.</w:t>
      </w:r>
    </w:p>
    <w:p w14:paraId="2156CEBD" w14:textId="77777777" w:rsidR="00F52834" w:rsidRPr="006018CC" w:rsidRDefault="00F52834" w:rsidP="00F52834">
      <w:pPr>
        <w:widowControl w:val="0"/>
        <w:spacing w:after="0"/>
        <w:ind w:left="360" w:firstLine="0"/>
      </w:pPr>
      <w:r w:rsidRPr="006018CC">
        <w:rPr>
          <w:rtl/>
        </w:rPr>
        <w:t>جاءت الإمارات في المركز الأول عربيا والمركز 70 عربيا، بقيمة بلغت (44.09 نقطة)، تلتها كل من السعودية في المركز الثاني عربيا والمركز 103 عالميا بنحو (51.25 نقطة)، والمغرب في المركز الثالث عربيا والمركز 104 عالميا بقيمة (41.23 نقطة).</w:t>
      </w:r>
    </w:p>
    <w:p w14:paraId="1A45E5F4" w14:textId="1B01A3FD" w:rsidR="00F52834" w:rsidRPr="006018CC" w:rsidRDefault="00F52834" w:rsidP="00F52834">
      <w:pPr>
        <w:spacing w:after="0"/>
        <w:ind w:firstLine="0"/>
        <w:rPr>
          <w:rtl/>
        </w:rPr>
      </w:pPr>
    </w:p>
    <w:p w14:paraId="1EC6CFEE" w14:textId="77777777" w:rsidR="00D7048D" w:rsidRPr="006018CC" w:rsidRDefault="00D7048D" w:rsidP="00D7048D">
      <w:pPr>
        <w:spacing w:after="0"/>
        <w:ind w:firstLine="0"/>
        <w:rPr>
          <w:rtl/>
          <w:lang w:val="en-GB"/>
        </w:rPr>
      </w:pPr>
      <w:r w:rsidRPr="006018CC">
        <w:rPr>
          <w:rtl/>
          <w:lang w:val="en-GB"/>
        </w:rPr>
        <w:t>استراتيجيات تعزيز التنافسية</w:t>
      </w:r>
    </w:p>
    <w:p w14:paraId="4C23ADA2" w14:textId="77777777" w:rsidR="00D7048D" w:rsidRPr="006018CC" w:rsidRDefault="00D7048D" w:rsidP="00D7048D">
      <w:pPr>
        <w:spacing w:after="0"/>
        <w:ind w:firstLine="0"/>
        <w:rPr>
          <w:rtl/>
          <w:lang w:val="en-GB"/>
        </w:rPr>
      </w:pPr>
    </w:p>
    <w:p w14:paraId="0FC90755" w14:textId="77777777" w:rsidR="00D7048D" w:rsidRPr="006018CC" w:rsidRDefault="00D7048D" w:rsidP="00D7048D">
      <w:pPr>
        <w:spacing w:after="0"/>
        <w:ind w:firstLine="0"/>
        <w:rPr>
          <w:rtl/>
          <w:lang w:val="en-GB"/>
        </w:rPr>
      </w:pPr>
      <w:r w:rsidRPr="006018CC">
        <w:rPr>
          <w:rtl/>
          <w:lang w:val="en-GB"/>
        </w:rPr>
        <w:t>تعزيز التنافسية يتطلب من المؤسسات تبني استراتيجيات شاملة تهدف إلى تحسين أدائها وزيادة قدرتها على التفوق في السوق. هناك عدة استراتيجيات يمكن أن تساهم بشكل فعال في تعزيز التنافسية على المستويين الفردي والمؤسسي. أبرز هذه الاستراتيجيات تشمل:</w:t>
      </w:r>
    </w:p>
    <w:p w14:paraId="41168DF3" w14:textId="77777777" w:rsidR="00D7048D" w:rsidRPr="006018CC" w:rsidRDefault="00D7048D" w:rsidP="00D7048D">
      <w:pPr>
        <w:spacing w:after="0"/>
        <w:ind w:firstLine="0"/>
        <w:rPr>
          <w:b/>
          <w:bCs/>
          <w:rtl/>
          <w:lang w:val="en-GB"/>
        </w:rPr>
      </w:pPr>
      <w:r w:rsidRPr="006018CC">
        <w:rPr>
          <w:b/>
          <w:bCs/>
          <w:rtl/>
          <w:lang w:val="en-GB"/>
        </w:rPr>
        <w:t>استراتيجية الابتكار المستمر:</w:t>
      </w:r>
    </w:p>
    <w:p w14:paraId="195068F7" w14:textId="77777777" w:rsidR="00D7048D" w:rsidRPr="006018CC" w:rsidRDefault="00D7048D" w:rsidP="00D7048D">
      <w:pPr>
        <w:spacing w:after="0"/>
        <w:ind w:firstLine="0"/>
        <w:rPr>
          <w:rtl/>
          <w:lang w:val="en-GB"/>
        </w:rPr>
      </w:pPr>
      <w:r w:rsidRPr="006018CC">
        <w:rPr>
          <w:rtl/>
          <w:lang w:val="en-GB"/>
        </w:rPr>
        <w:t xml:space="preserve">الابتكار هو أحد أهم العوامل التي تعزز التنافسية. المؤسسات التي تركز على البحث والتطوير وتبتكر في منتجاتها أو خدماتها تتمكن من تلبية احتياجات السوق المتغيرة وتحقيق ميزة تنافسية مستدامة. وفقًا لـ </w:t>
      </w:r>
      <w:r w:rsidRPr="006018CC">
        <w:rPr>
          <w:lang w:val="en-GB"/>
        </w:rPr>
        <w:t>Porter</w:t>
      </w:r>
      <w:r w:rsidRPr="006018CC">
        <w:rPr>
          <w:rtl/>
          <w:lang w:val="en-GB"/>
        </w:rPr>
        <w:t xml:space="preserve"> (1990)، يعد الابتكار مصدرًا رئيسيًا للتفوق في السوق لأنه يسمح للمؤسسات بتقديم حلول جديدة وفعالة تميزها عن منافسيها. تعزيز الابتكار لا يقتصر فقط على تقديم منتجات جديدة، بل يشمل تحسين العمليات التشغيلية وزيادة الكفاءة.</w:t>
      </w:r>
    </w:p>
    <w:p w14:paraId="4708D6A4" w14:textId="2ED2D0AE" w:rsidR="00D7048D" w:rsidRPr="006018CC" w:rsidRDefault="00D7048D" w:rsidP="00D7048D">
      <w:pPr>
        <w:pStyle w:val="a3"/>
        <w:numPr>
          <w:ilvl w:val="0"/>
          <w:numId w:val="50"/>
        </w:numPr>
        <w:spacing w:after="0"/>
        <w:rPr>
          <w:rtl/>
          <w:lang w:val="en-GB"/>
        </w:rPr>
      </w:pPr>
      <w:r w:rsidRPr="006018CC">
        <w:rPr>
          <w:rtl/>
          <w:lang w:val="en-GB"/>
        </w:rPr>
        <w:t>تحقيق التميز في الخدمة وجودة المنتج:</w:t>
      </w:r>
      <w:r w:rsidRPr="006018CC">
        <w:rPr>
          <w:rFonts w:hint="cs"/>
          <w:rtl/>
          <w:lang w:val="en-GB"/>
        </w:rPr>
        <w:t xml:space="preserve"> </w:t>
      </w:r>
      <w:r w:rsidRPr="006018CC">
        <w:rPr>
          <w:rtl/>
          <w:lang w:val="en-GB"/>
        </w:rPr>
        <w:t xml:space="preserve">ترتبط التنافسية أيضًا بالجودة العالية للمنتجات والخدمات. المؤسسات التي تركز على تحسين جودة ما تقدمه، سواء من حيث المنتجات أو خدمات ما بعد البيع، تكتسب ولاء العملاء وتزيد من حصتها السوقية. </w:t>
      </w:r>
      <w:r w:rsidRPr="006018CC">
        <w:rPr>
          <w:lang w:val="en-GB"/>
        </w:rPr>
        <w:t>Garvin</w:t>
      </w:r>
      <w:r w:rsidRPr="006018CC">
        <w:rPr>
          <w:rtl/>
          <w:lang w:val="en-GB"/>
        </w:rPr>
        <w:t xml:space="preserve"> (1987) يشير </w:t>
      </w:r>
      <w:r w:rsidRPr="006018CC">
        <w:rPr>
          <w:rtl/>
          <w:lang w:val="en-GB"/>
        </w:rPr>
        <w:lastRenderedPageBreak/>
        <w:t>إلى أن التميز في الجودة يمكن أن يحقق مزايا تنافسية طويلة الأمد ويعزز من صورة العلامة التجارية.</w:t>
      </w:r>
    </w:p>
    <w:p w14:paraId="1E1FB6A1" w14:textId="0BF204C1" w:rsidR="00D7048D" w:rsidRPr="006018CC" w:rsidRDefault="00D7048D" w:rsidP="00D7048D">
      <w:pPr>
        <w:pStyle w:val="a3"/>
        <w:numPr>
          <w:ilvl w:val="0"/>
          <w:numId w:val="50"/>
        </w:numPr>
        <w:spacing w:after="0"/>
        <w:rPr>
          <w:rtl/>
          <w:lang w:val="en-GB"/>
        </w:rPr>
      </w:pPr>
      <w:r w:rsidRPr="006018CC">
        <w:rPr>
          <w:rtl/>
          <w:lang w:val="en-GB"/>
        </w:rPr>
        <w:t>الاستفادة من التكنولوجيا والتحول الرقمي:</w:t>
      </w:r>
      <w:r w:rsidRPr="006018CC">
        <w:rPr>
          <w:rFonts w:hint="cs"/>
          <w:rtl/>
          <w:lang w:val="en-GB"/>
        </w:rPr>
        <w:t xml:space="preserve"> </w:t>
      </w:r>
      <w:r w:rsidRPr="006018CC">
        <w:rPr>
          <w:rtl/>
          <w:lang w:val="en-GB"/>
        </w:rPr>
        <w:t xml:space="preserve">التكنولوجيا الحديثة، بما في ذلك الذكاء الاصطناعي، والتحليل البياني، وإنترنت الأشياء، تمثل استراتيجيات قوية لتحسين التنافسية. </w:t>
      </w:r>
      <w:r w:rsidRPr="006018CC">
        <w:rPr>
          <w:lang w:val="en-GB"/>
        </w:rPr>
        <w:t>Brynjolfsson &amp; McAfee</w:t>
      </w:r>
      <w:r w:rsidRPr="006018CC">
        <w:rPr>
          <w:rtl/>
          <w:lang w:val="en-GB"/>
        </w:rPr>
        <w:t xml:space="preserve"> (2017) يؤكدون على أن المؤسسات التي تتبنى التقنيات الحديثة تصبح أكثر كفاءة وقادرة على تقديم منتجات وخدمات مبتكرة، مما يعزز من قدرتها التنافسية في السوق.</w:t>
      </w:r>
    </w:p>
    <w:p w14:paraId="0B896071" w14:textId="41DAE5CA" w:rsidR="00D7048D" w:rsidRPr="006018CC" w:rsidRDefault="00D7048D" w:rsidP="00D7048D">
      <w:pPr>
        <w:pStyle w:val="a3"/>
        <w:numPr>
          <w:ilvl w:val="0"/>
          <w:numId w:val="50"/>
        </w:numPr>
        <w:spacing w:after="0"/>
        <w:rPr>
          <w:rtl/>
          <w:lang w:val="en-GB"/>
        </w:rPr>
      </w:pPr>
      <w:r w:rsidRPr="006018CC">
        <w:rPr>
          <w:rtl/>
          <w:lang w:val="en-GB"/>
        </w:rPr>
        <w:t>تنمية رأس المال البشري:</w:t>
      </w:r>
      <w:r w:rsidRPr="006018CC">
        <w:rPr>
          <w:rFonts w:hint="cs"/>
          <w:rtl/>
          <w:lang w:val="en-GB"/>
        </w:rPr>
        <w:t xml:space="preserve"> </w:t>
      </w:r>
      <w:r w:rsidRPr="006018CC">
        <w:rPr>
          <w:rtl/>
          <w:lang w:val="en-GB"/>
        </w:rPr>
        <w:t xml:space="preserve">تعد الموارد البشرية من العناصر الحيوية في تعزيز التنافسية. الاستثمار في تدريب الموظفين وتطوير مهاراتهم يعتبر خطوة أساسية لتحسين الأداء وزيادة الكفاءة. </w:t>
      </w:r>
      <w:r w:rsidRPr="006018CC">
        <w:rPr>
          <w:lang w:val="en-GB"/>
        </w:rPr>
        <w:t>Becker</w:t>
      </w:r>
      <w:r w:rsidRPr="006018CC">
        <w:rPr>
          <w:rtl/>
          <w:lang w:val="en-GB"/>
        </w:rPr>
        <w:t xml:space="preserve"> (2009) يوضح أن المؤسسات التي تركز على تدريب وتنمية موظفيها تستطيع مواجهة التحديات السوقية بشكل أفضل وتعزيز قدرتها على الابتكار.</w:t>
      </w:r>
    </w:p>
    <w:p w14:paraId="191442F5" w14:textId="4751C718" w:rsidR="00D7048D" w:rsidRPr="006018CC" w:rsidRDefault="00D7048D" w:rsidP="00D7048D">
      <w:pPr>
        <w:pStyle w:val="a3"/>
        <w:numPr>
          <w:ilvl w:val="0"/>
          <w:numId w:val="50"/>
        </w:numPr>
        <w:spacing w:after="0"/>
        <w:rPr>
          <w:rtl/>
          <w:lang w:val="en-GB"/>
        </w:rPr>
      </w:pPr>
      <w:r w:rsidRPr="006018CC">
        <w:rPr>
          <w:rtl/>
          <w:lang w:val="en-GB"/>
        </w:rPr>
        <w:t>الاستراتيجية التوسعية والتحالفات الاستراتيجية:</w:t>
      </w:r>
      <w:r w:rsidRPr="006018CC">
        <w:rPr>
          <w:rFonts w:hint="cs"/>
          <w:rtl/>
          <w:lang w:val="en-GB"/>
        </w:rPr>
        <w:t xml:space="preserve"> </w:t>
      </w:r>
      <w:r w:rsidRPr="006018CC">
        <w:rPr>
          <w:rtl/>
          <w:lang w:val="en-GB"/>
        </w:rPr>
        <w:t xml:space="preserve">الدخول إلى أسواق جديدة أو إقامة تحالفات استراتيجية يمكن أن يكون وسيلة فعالة لتعزيز التنافسية. التوسع الجغرافي أو التعاون مع شركات أخرى يمكن أن يوفر فرصًا جديدة للنمو ويزيد من قدرة المؤسسة على التكيف مع التغيرات في البيئة الاقتصادية. </w:t>
      </w:r>
      <w:r w:rsidRPr="006018CC">
        <w:rPr>
          <w:lang w:val="en-GB"/>
        </w:rPr>
        <w:t>Hitt et al</w:t>
      </w:r>
      <w:r w:rsidRPr="006018CC">
        <w:rPr>
          <w:rtl/>
          <w:lang w:val="en-GB"/>
        </w:rPr>
        <w:t>. (2000) يبرزون أهمية التحالفات الاستراتيجية في تقوية موقع المؤسسات في الأسواق العالمية.</w:t>
      </w:r>
    </w:p>
    <w:p w14:paraId="28FCD06B" w14:textId="39F3FF71" w:rsidR="00D7048D" w:rsidRPr="006018CC" w:rsidRDefault="00D7048D" w:rsidP="00D7048D">
      <w:pPr>
        <w:pStyle w:val="a3"/>
        <w:numPr>
          <w:ilvl w:val="0"/>
          <w:numId w:val="50"/>
        </w:numPr>
        <w:spacing w:after="0"/>
        <w:rPr>
          <w:rtl/>
          <w:lang w:val="en-GB"/>
        </w:rPr>
      </w:pPr>
      <w:r w:rsidRPr="006018CC">
        <w:rPr>
          <w:rtl/>
          <w:lang w:val="en-GB"/>
        </w:rPr>
        <w:t>المرونة والقدرة على التكيف مع التغيرات:</w:t>
      </w:r>
      <w:r w:rsidRPr="006018CC">
        <w:rPr>
          <w:rFonts w:hint="cs"/>
          <w:rtl/>
          <w:lang w:val="en-GB"/>
        </w:rPr>
        <w:t xml:space="preserve"> </w:t>
      </w:r>
      <w:r w:rsidRPr="006018CC">
        <w:rPr>
          <w:rtl/>
          <w:lang w:val="en-GB"/>
        </w:rPr>
        <w:t xml:space="preserve">التغيرات السريعة في السوق تتطلب من المؤسسات التكيف السريع. القدرة على تغيير الاستراتيجيات بسرعة استجابة للتقلبات الاقتصادية أو التكنولوجية تعد ميزة تنافسية رئيسية. </w:t>
      </w:r>
      <w:r w:rsidRPr="006018CC">
        <w:rPr>
          <w:lang w:val="en-GB"/>
        </w:rPr>
        <w:t>Teece</w:t>
      </w:r>
      <w:r w:rsidRPr="006018CC">
        <w:rPr>
          <w:rtl/>
          <w:lang w:val="en-GB"/>
        </w:rPr>
        <w:t xml:space="preserve"> (2018) يوضح أن الشركات التي تمتلك قدرات ديناميكية يمكنها التكيف بسرعة مع التغيرات وتظل قادرة على المنافسة في بيئات عمل غير مستقرة.</w:t>
      </w:r>
    </w:p>
    <w:p w14:paraId="2FFEAA11" w14:textId="77777777" w:rsidR="00D7048D" w:rsidRPr="006018CC" w:rsidRDefault="00D7048D" w:rsidP="00D7048D">
      <w:pPr>
        <w:spacing w:after="0"/>
        <w:ind w:firstLine="0"/>
        <w:rPr>
          <w:rtl/>
          <w:lang w:val="en-GB"/>
        </w:rPr>
      </w:pPr>
      <w:r w:rsidRPr="006018CC">
        <w:rPr>
          <w:rtl/>
          <w:lang w:val="en-GB"/>
        </w:rPr>
        <w:t>خصوصية التنافسية في المؤسسات المتوسطة والصغيرة</w:t>
      </w:r>
    </w:p>
    <w:p w14:paraId="401120B4" w14:textId="77777777" w:rsidR="00D7048D" w:rsidRPr="006018CC" w:rsidRDefault="00D7048D" w:rsidP="00D7048D">
      <w:pPr>
        <w:spacing w:after="0"/>
        <w:ind w:firstLine="0"/>
        <w:rPr>
          <w:rtl/>
          <w:lang w:val="en-GB"/>
        </w:rPr>
      </w:pPr>
      <w:r w:rsidRPr="006018CC">
        <w:rPr>
          <w:rtl/>
          <w:lang w:val="en-GB"/>
        </w:rPr>
        <w:t>تتميز المؤسسات المتوسطة والصغيرة (</w:t>
      </w:r>
      <w:r w:rsidRPr="006018CC">
        <w:rPr>
          <w:lang w:val="en-GB"/>
        </w:rPr>
        <w:t>SMEs</w:t>
      </w:r>
      <w:r w:rsidRPr="006018CC">
        <w:rPr>
          <w:rtl/>
          <w:lang w:val="en-GB"/>
        </w:rPr>
        <w:t>) بخصائص فريدة تؤثر بشكل كبير على قدرتها التنافسية في الأسواق المحلية والدولية. على الرغم من أن هذه المؤسسات قد تواجه تحديات أكبر مقارنة بالشركات الكبرى، إلا أنها تملك أيضًا مزايا يمكن أن تساهم في تعزيز تنافسيتها. فيما يلي بعض الخصائص التي تميز التنافسية في المؤسسات الصغيرة والمتوسطة:</w:t>
      </w:r>
    </w:p>
    <w:p w14:paraId="357B3E64" w14:textId="77777777" w:rsidR="00D7048D" w:rsidRPr="006018CC" w:rsidRDefault="00D7048D" w:rsidP="00D7048D">
      <w:pPr>
        <w:pStyle w:val="a3"/>
        <w:numPr>
          <w:ilvl w:val="0"/>
          <w:numId w:val="51"/>
        </w:numPr>
        <w:spacing w:after="0"/>
        <w:rPr>
          <w:rtl/>
          <w:lang w:val="en-GB"/>
        </w:rPr>
      </w:pPr>
      <w:r w:rsidRPr="006018CC">
        <w:rPr>
          <w:rtl/>
          <w:lang w:val="en-GB"/>
        </w:rPr>
        <w:t>المرونة وسرعة التكيف: المؤسسات الصغيرة والمتوسطة تتمتع بمرونة كبيرة تتيح لها التكيف بسرعة مع التغيرات في السوق، سواء كانت اقتصادية أو تكنولوجية. ذلك يسمح لها باتخاذ قرارات سريعة وتنفيذها بشكل فعال، مما يمنحها ميزة في بيئات الأعمال المتغيرة (</w:t>
      </w:r>
      <w:r w:rsidRPr="006018CC">
        <w:rPr>
          <w:lang w:val="en-GB"/>
        </w:rPr>
        <w:t>Teece, 2018</w:t>
      </w:r>
      <w:r w:rsidRPr="006018CC">
        <w:rPr>
          <w:rtl/>
          <w:lang w:val="en-GB"/>
        </w:rPr>
        <w:t>). هذه القدرة على التكيف تتيح للمؤسسات الصغيرة والمتوسطة الاستفادة من الفرص الجديدة أو التعامل مع الأزمات بشكل أسرع من الشركات الكبرى.</w:t>
      </w:r>
    </w:p>
    <w:p w14:paraId="4E505F67" w14:textId="77777777" w:rsidR="00D7048D" w:rsidRPr="006018CC" w:rsidRDefault="00D7048D" w:rsidP="00D7048D">
      <w:pPr>
        <w:pStyle w:val="a3"/>
        <w:numPr>
          <w:ilvl w:val="0"/>
          <w:numId w:val="51"/>
        </w:numPr>
        <w:spacing w:after="0"/>
        <w:rPr>
          <w:rtl/>
          <w:lang w:val="en-GB"/>
        </w:rPr>
      </w:pPr>
      <w:r w:rsidRPr="006018CC">
        <w:rPr>
          <w:rtl/>
          <w:lang w:val="en-GB"/>
        </w:rPr>
        <w:lastRenderedPageBreak/>
        <w:t>الابتكار والإبداع: على الرغم من الموارد المحدودة التي قد تمتلكها، تسعى العديد من المؤسسات الصغيرة والمتوسطة إلى التفوق من خلال الابتكار والإبداع. نظرًا لعدم وجود هياكل معقدة، يمكن لهذه الشركات أن تكون أكثر ابتكارًا في تطوير المنتجات أو تحسين الخدمات لتلبية احتياجات السوق (</w:t>
      </w:r>
      <w:r w:rsidRPr="006018CC">
        <w:rPr>
          <w:lang w:val="en-GB"/>
        </w:rPr>
        <w:t>OECD, 2015</w:t>
      </w:r>
      <w:r w:rsidRPr="006018CC">
        <w:rPr>
          <w:rtl/>
          <w:lang w:val="en-GB"/>
        </w:rPr>
        <w:t>). غالبًا ما تكون هذه المؤسسات أكثر استعدادًا لتجربة أفكار جديدة بسبب تقليل البيروقراطية.</w:t>
      </w:r>
    </w:p>
    <w:p w14:paraId="5B261502" w14:textId="77777777" w:rsidR="00D7048D" w:rsidRPr="006018CC" w:rsidRDefault="00D7048D" w:rsidP="00D7048D">
      <w:pPr>
        <w:pStyle w:val="a3"/>
        <w:numPr>
          <w:ilvl w:val="0"/>
          <w:numId w:val="51"/>
        </w:numPr>
        <w:spacing w:after="0"/>
        <w:rPr>
          <w:rtl/>
          <w:lang w:val="en-GB"/>
        </w:rPr>
      </w:pPr>
      <w:r w:rsidRPr="006018CC">
        <w:rPr>
          <w:rtl/>
          <w:lang w:val="en-GB"/>
        </w:rPr>
        <w:t>التفاعل المباشر مع العملاء: المؤسسات الصغيرة والمتوسطة تتمتع بقدرة على التفاعل المباشر مع العملاء بشكل مستمر، مما يسمح لها بفهم احتياجات السوق بشكل دقيق ومتجدد. هذا التفاعل يمكن أن يساهم في تحسين جودة الخدمة أو المنتج وزيادة ولاء العملاء. كما أن هذا التفاعل يمكن أن يعزز القدرة على التكيف مع التغيرات في تفضيلات المستهلكين (</w:t>
      </w:r>
      <w:r w:rsidRPr="006018CC">
        <w:rPr>
          <w:lang w:val="en-GB"/>
        </w:rPr>
        <w:t>Garvin, 1987</w:t>
      </w:r>
      <w:r w:rsidRPr="006018CC">
        <w:rPr>
          <w:rtl/>
          <w:lang w:val="en-GB"/>
        </w:rPr>
        <w:t>).</w:t>
      </w:r>
    </w:p>
    <w:p w14:paraId="4072A39E" w14:textId="77777777" w:rsidR="00D7048D" w:rsidRPr="006018CC" w:rsidRDefault="00D7048D" w:rsidP="00D7048D">
      <w:pPr>
        <w:pStyle w:val="a3"/>
        <w:numPr>
          <w:ilvl w:val="0"/>
          <w:numId w:val="51"/>
        </w:numPr>
        <w:spacing w:after="0"/>
        <w:rPr>
          <w:rtl/>
          <w:lang w:val="en-GB"/>
        </w:rPr>
      </w:pPr>
      <w:r w:rsidRPr="006018CC">
        <w:rPr>
          <w:rtl/>
          <w:lang w:val="en-GB"/>
        </w:rPr>
        <w:t>الاعتماد على رأس المال البشري: في كثير من الأحيان، تعد القوى العاملة المؤهلة من العوامل الأساسية في نجاح المؤسسات الصغيرة والمتوسطة. إذ تعتمد هذه الشركات على رأس المال البشري في تنفيذ استراتيجياتها التنافسية. الاستثمار في تدريب الموظفين وتطوير مهاراتهم يعد أمرًا حيويًا لتحسين الكفاءة والابتكار (</w:t>
      </w:r>
      <w:r w:rsidRPr="006018CC">
        <w:rPr>
          <w:lang w:val="en-GB"/>
        </w:rPr>
        <w:t>Becker, 2009</w:t>
      </w:r>
      <w:r w:rsidRPr="006018CC">
        <w:rPr>
          <w:rtl/>
          <w:lang w:val="en-GB"/>
        </w:rPr>
        <w:t>). في بعض الحالات، قد تتمكن هذه الشركات من استخدام كفاءات الأفراد لتحقيق نجاحات كبيرة دون الحاجة إلى استثمارات ضخمة.</w:t>
      </w:r>
    </w:p>
    <w:p w14:paraId="3CDABA8A" w14:textId="77777777" w:rsidR="00D7048D" w:rsidRPr="006018CC" w:rsidRDefault="00D7048D" w:rsidP="00D7048D">
      <w:pPr>
        <w:pStyle w:val="a3"/>
        <w:numPr>
          <w:ilvl w:val="0"/>
          <w:numId w:val="51"/>
        </w:numPr>
        <w:spacing w:after="0"/>
        <w:rPr>
          <w:rtl/>
          <w:lang w:val="en-GB"/>
        </w:rPr>
      </w:pPr>
      <w:r w:rsidRPr="006018CC">
        <w:rPr>
          <w:rtl/>
          <w:lang w:val="en-GB"/>
        </w:rPr>
        <w:t xml:space="preserve">التحديات المالية والموارد المحدودة: على الرغم من هذه المزايا، تواجه المؤسسات الصغيرة والمتوسطة تحديات كبيرة </w:t>
      </w:r>
      <w:proofErr w:type="gramStart"/>
      <w:r w:rsidRPr="006018CC">
        <w:rPr>
          <w:rtl/>
          <w:lang w:val="en-GB"/>
        </w:rPr>
        <w:t>في ما</w:t>
      </w:r>
      <w:proofErr w:type="gramEnd"/>
      <w:r w:rsidRPr="006018CC">
        <w:rPr>
          <w:rtl/>
          <w:lang w:val="en-GB"/>
        </w:rPr>
        <w:t xml:space="preserve"> يتعلق بالحصول على التمويل الكافي لدعم عملياتها التنافسية. قلة الوصول إلى التمويل مقارنة بالشركات الكبرى قد يحد من قدرتها على الاستثمار في البنية التحتية أو التوسع في الأسواق الجديدة (</w:t>
      </w:r>
      <w:r w:rsidRPr="006018CC">
        <w:rPr>
          <w:lang w:val="en-GB"/>
        </w:rPr>
        <w:t>Kaplan &amp; Norton, 2004</w:t>
      </w:r>
      <w:r w:rsidRPr="006018CC">
        <w:rPr>
          <w:rtl/>
          <w:lang w:val="en-GB"/>
        </w:rPr>
        <w:t>). هذه التحديات المالية قد تؤثر أيضًا على قدرتها في تطوير تكنولوجيا جديدة أو تحسين العمليات التشغيلية.</w:t>
      </w:r>
    </w:p>
    <w:p w14:paraId="01C74E88" w14:textId="78F9BCD1" w:rsidR="00D7048D" w:rsidRPr="006018CC" w:rsidRDefault="00D7048D" w:rsidP="00D7048D">
      <w:pPr>
        <w:pStyle w:val="a3"/>
        <w:numPr>
          <w:ilvl w:val="0"/>
          <w:numId w:val="51"/>
        </w:numPr>
        <w:spacing w:after="0"/>
        <w:rPr>
          <w:rtl/>
          <w:lang w:val="en-GB"/>
        </w:rPr>
      </w:pPr>
      <w:r w:rsidRPr="006018CC">
        <w:rPr>
          <w:rtl/>
          <w:lang w:val="en-GB"/>
        </w:rPr>
        <w:t>استراتيجيات تسويق مبتكرة: تعتمد المؤسسات الصغيرة والمتوسطة غالبًا على استراتيجيات تسويقية مبتكرة وذات تكاليف منخفضة لزيادة انتشارها في السوق. على سبيل المثال، قد تركز على التسويق الرقمي ووسائل التواصل الاجتماعي للوصول إلى جمهور أكبر بتكلفة أقل، مما يوفر لها ميزة تنافسية أمام الشركات الأكبر التي قد تجد صعوبة في التكيف مع هذه الاستراتيجيات (</w:t>
      </w:r>
      <w:r w:rsidRPr="006018CC">
        <w:rPr>
          <w:lang w:val="en-GB"/>
        </w:rPr>
        <w:t>Porter, 1990</w:t>
      </w:r>
      <w:r w:rsidRPr="006018CC">
        <w:rPr>
          <w:rtl/>
          <w:lang w:val="en-GB"/>
        </w:rPr>
        <w:t>).</w:t>
      </w:r>
    </w:p>
    <w:p w14:paraId="6C424FFB" w14:textId="77777777" w:rsidR="00D7048D" w:rsidRPr="006018CC" w:rsidRDefault="00D7048D" w:rsidP="00F52834">
      <w:pPr>
        <w:spacing w:after="0"/>
        <w:ind w:firstLine="0"/>
        <w:rPr>
          <w:rtl/>
        </w:rPr>
      </w:pPr>
    </w:p>
    <w:p w14:paraId="2A693873" w14:textId="77777777" w:rsidR="00D7048D" w:rsidRPr="006018CC" w:rsidRDefault="00D7048D" w:rsidP="00D7048D">
      <w:pPr>
        <w:spacing w:after="0"/>
        <w:ind w:firstLine="0"/>
        <w:rPr>
          <w:rtl/>
        </w:rPr>
      </w:pPr>
      <w:r w:rsidRPr="006018CC">
        <w:rPr>
          <w:rtl/>
        </w:rPr>
        <w:t>4.1. تعريف وخصائص المؤسسات المتوسطة والصغيرة</w:t>
      </w:r>
    </w:p>
    <w:p w14:paraId="21A7665A" w14:textId="77777777" w:rsidR="00D7048D" w:rsidRPr="006018CC" w:rsidRDefault="00D7048D" w:rsidP="00D7048D">
      <w:pPr>
        <w:spacing w:after="0"/>
        <w:ind w:firstLine="0"/>
        <w:rPr>
          <w:rtl/>
        </w:rPr>
      </w:pPr>
      <w:r w:rsidRPr="006018CC">
        <w:rPr>
          <w:rtl/>
        </w:rPr>
        <w:t>المؤسسات المتوسطة والصغيرة (</w:t>
      </w:r>
      <w:r w:rsidRPr="006018CC">
        <w:t>SMEs</w:t>
      </w:r>
      <w:r w:rsidRPr="006018CC">
        <w:rPr>
          <w:rtl/>
        </w:rPr>
        <w:t>) هي تلك الشركات التي تتمتع بحجم محدود من حيث عدد الموظفين والإيرادات السنوية، وهي تلعب دورًا حيويًا في الاقتصاد المحلي والدولي. وفقًا لتعريفات العديد من المنظمات الدولية مثل البنك الدولي ومنظمة التعاون الاقتصادي والتنمية (</w:t>
      </w:r>
      <w:r w:rsidRPr="006018CC">
        <w:t>OECD</w:t>
      </w:r>
      <w:r w:rsidRPr="006018CC">
        <w:rPr>
          <w:rtl/>
        </w:rPr>
        <w:t xml:space="preserve">)، تُعرف الشركات </w:t>
      </w:r>
      <w:r w:rsidRPr="006018CC">
        <w:rPr>
          <w:rtl/>
        </w:rPr>
        <w:lastRenderedPageBreak/>
        <w:t>الصغيرة بأنها التي تضم أقل من 50 موظفًا، في حين تُصنف الشركات المتوسطة بأنها التي تضم بين 50 و250 موظفًا. تتميز هذه المؤسسات بعدد من الخصائص المهمة، مثل:</w:t>
      </w:r>
    </w:p>
    <w:p w14:paraId="746B2488" w14:textId="77777777" w:rsidR="00D7048D" w:rsidRPr="006018CC" w:rsidRDefault="00D7048D" w:rsidP="00D7048D">
      <w:pPr>
        <w:pStyle w:val="a3"/>
        <w:numPr>
          <w:ilvl w:val="0"/>
          <w:numId w:val="53"/>
        </w:numPr>
        <w:spacing w:after="0"/>
        <w:rPr>
          <w:rtl/>
        </w:rPr>
      </w:pPr>
      <w:r w:rsidRPr="006018CC">
        <w:rPr>
          <w:rtl/>
        </w:rPr>
        <w:t>حجمها الصغير: غالبًا ما تكون هذه الشركات صغيرة من حيث عدد الموظفين والإيرادات مقارنة بالشركات الكبرى.</w:t>
      </w:r>
    </w:p>
    <w:p w14:paraId="4D656C04" w14:textId="77777777" w:rsidR="00D7048D" w:rsidRPr="006018CC" w:rsidRDefault="00D7048D" w:rsidP="00D7048D">
      <w:pPr>
        <w:pStyle w:val="a3"/>
        <w:numPr>
          <w:ilvl w:val="0"/>
          <w:numId w:val="53"/>
        </w:numPr>
        <w:spacing w:after="0"/>
        <w:rPr>
          <w:rtl/>
        </w:rPr>
      </w:pPr>
      <w:r w:rsidRPr="006018CC">
        <w:rPr>
          <w:rtl/>
        </w:rPr>
        <w:t>المرونة: تملك القدرة على التكيف بسرعة مع التغيرات في السوق بفضل هيكلها التنظيمي البسيط.</w:t>
      </w:r>
    </w:p>
    <w:p w14:paraId="46EDC3F9" w14:textId="77777777" w:rsidR="00D7048D" w:rsidRPr="006018CC" w:rsidRDefault="00D7048D" w:rsidP="00D7048D">
      <w:pPr>
        <w:pStyle w:val="a3"/>
        <w:numPr>
          <w:ilvl w:val="0"/>
          <w:numId w:val="53"/>
        </w:numPr>
        <w:spacing w:after="0"/>
        <w:rPr>
          <w:rtl/>
        </w:rPr>
      </w:pPr>
      <w:r w:rsidRPr="006018CC">
        <w:rPr>
          <w:rtl/>
        </w:rPr>
        <w:t>الابتكار والإبداع: تحرص على الابتكار نظرًا لكونها تعتمد على تقديم منتجات وخدمات مبتكرة لتمييز نفسها عن المنافسين.</w:t>
      </w:r>
    </w:p>
    <w:p w14:paraId="2A83FE3A" w14:textId="77777777" w:rsidR="00D7048D" w:rsidRPr="006018CC" w:rsidRDefault="00D7048D" w:rsidP="00D7048D">
      <w:pPr>
        <w:pStyle w:val="a3"/>
        <w:numPr>
          <w:ilvl w:val="0"/>
          <w:numId w:val="53"/>
        </w:numPr>
        <w:spacing w:after="0"/>
        <w:rPr>
          <w:rtl/>
        </w:rPr>
      </w:pPr>
      <w:r w:rsidRPr="006018CC">
        <w:rPr>
          <w:rtl/>
        </w:rPr>
        <w:t>التركيز المحلي: غالبًا ما تركز هذه المؤسسات على السوق المحلي وتخدم فئة معينة من العملاء.</w:t>
      </w:r>
    </w:p>
    <w:p w14:paraId="24BCB796" w14:textId="77777777" w:rsidR="00D7048D" w:rsidRPr="006018CC" w:rsidRDefault="00D7048D" w:rsidP="00D7048D">
      <w:pPr>
        <w:spacing w:after="0"/>
        <w:ind w:firstLine="0"/>
        <w:rPr>
          <w:rtl/>
        </w:rPr>
      </w:pPr>
      <w:r w:rsidRPr="006018CC">
        <w:rPr>
          <w:rtl/>
        </w:rPr>
        <w:t>4.2. أهمية المؤسسات المتوسطة والصغيرة في الاقتصاد</w:t>
      </w:r>
    </w:p>
    <w:p w14:paraId="76DBB807" w14:textId="77777777" w:rsidR="00D7048D" w:rsidRPr="006018CC" w:rsidRDefault="00D7048D" w:rsidP="00D7048D">
      <w:pPr>
        <w:spacing w:after="0"/>
        <w:ind w:firstLine="0"/>
        <w:rPr>
          <w:rtl/>
        </w:rPr>
      </w:pPr>
      <w:r w:rsidRPr="006018CC">
        <w:rPr>
          <w:rtl/>
        </w:rPr>
        <w:t>تعد المؤسسات المتوسطة والصغيرة جزءًا أساسيًا من الهيكل الاقتصادي في العديد من البلدان، بما في ذلك الدول النامية والمتقدمة على حد سواء. تلعب هذه المؤسسات دورًا مهمًا في:</w:t>
      </w:r>
    </w:p>
    <w:p w14:paraId="525C73B1" w14:textId="77777777" w:rsidR="00D7048D" w:rsidRPr="006018CC" w:rsidRDefault="00D7048D" w:rsidP="00D7048D">
      <w:pPr>
        <w:pStyle w:val="a3"/>
        <w:numPr>
          <w:ilvl w:val="0"/>
          <w:numId w:val="52"/>
        </w:numPr>
        <w:spacing w:after="0"/>
        <w:rPr>
          <w:rtl/>
        </w:rPr>
      </w:pPr>
      <w:r w:rsidRPr="006018CC">
        <w:rPr>
          <w:rtl/>
        </w:rPr>
        <w:t>خلق فرص العمل: تمثل الشركات الصغيرة والمتوسطة أكثر من 70% من إجمالي الوظائف في العديد من الاقتصادات. حيث توفر فرص عمل لعدد كبير من الأفراد.</w:t>
      </w:r>
    </w:p>
    <w:p w14:paraId="3FCF2112" w14:textId="77777777" w:rsidR="00D7048D" w:rsidRPr="006018CC" w:rsidRDefault="00D7048D" w:rsidP="00D7048D">
      <w:pPr>
        <w:pStyle w:val="a3"/>
        <w:numPr>
          <w:ilvl w:val="0"/>
          <w:numId w:val="52"/>
        </w:numPr>
        <w:spacing w:after="0"/>
        <w:rPr>
          <w:rtl/>
        </w:rPr>
      </w:pPr>
      <w:r w:rsidRPr="006018CC">
        <w:rPr>
          <w:rtl/>
        </w:rPr>
        <w:t>تحفيز الابتكار: نظرًا لحجمها الصغير، تسعى الشركات الصغيرة والمتوسطة إلى تبني استراتيجيات ابتكارية للتفوق على المنافسين، ما يعزز نمو القطاعات المختلفة.</w:t>
      </w:r>
    </w:p>
    <w:p w14:paraId="08348C3B" w14:textId="77777777" w:rsidR="00D7048D" w:rsidRPr="006018CC" w:rsidRDefault="00D7048D" w:rsidP="00D7048D">
      <w:pPr>
        <w:pStyle w:val="a3"/>
        <w:numPr>
          <w:ilvl w:val="0"/>
          <w:numId w:val="52"/>
        </w:numPr>
        <w:spacing w:after="0"/>
        <w:rPr>
          <w:rtl/>
        </w:rPr>
      </w:pPr>
      <w:r w:rsidRPr="006018CC">
        <w:rPr>
          <w:rtl/>
        </w:rPr>
        <w:t>دعم الاقتصاد المحلي: تساهم هذه المؤسسات في نمو الاقتصاد المحلي من خلال تقديم خدمات ومنتجات تلبي احتياجات السوق المحلي.</w:t>
      </w:r>
    </w:p>
    <w:p w14:paraId="638C0A97" w14:textId="62F45AFE" w:rsidR="00D7048D" w:rsidRPr="006018CC" w:rsidRDefault="00D7048D" w:rsidP="00D7048D">
      <w:pPr>
        <w:pStyle w:val="a3"/>
        <w:numPr>
          <w:ilvl w:val="0"/>
          <w:numId w:val="52"/>
        </w:numPr>
        <w:spacing w:after="0"/>
        <w:rPr>
          <w:rtl/>
        </w:rPr>
      </w:pPr>
      <w:r w:rsidRPr="006018CC">
        <w:rPr>
          <w:rtl/>
        </w:rPr>
        <w:t>زيادة التنافسية: تعمل الشركات الصغيرة والمتوسطة على رفع مستوى التنافسية في السوق من خلال تقديم حلول متنوعة ومستدامة.</w:t>
      </w:r>
    </w:p>
    <w:p w14:paraId="06938B73" w14:textId="47034572" w:rsidR="00F52834" w:rsidRPr="006018CC" w:rsidRDefault="00F52834" w:rsidP="00F52834">
      <w:pPr>
        <w:spacing w:after="0"/>
        <w:ind w:firstLine="0"/>
        <w:rPr>
          <w:rtl/>
        </w:rPr>
      </w:pPr>
      <w:r w:rsidRPr="006018CC">
        <w:rPr>
          <w:rtl/>
        </w:rPr>
        <w:t>تحديات المؤسسات المتوسطة والصغيرة في العصر الرقمي:</w:t>
      </w:r>
    </w:p>
    <w:p w14:paraId="65596B07" w14:textId="77777777" w:rsidR="00F52834" w:rsidRPr="006018CC" w:rsidRDefault="00F52834" w:rsidP="00F52834">
      <w:pPr>
        <w:spacing w:after="0"/>
      </w:pPr>
      <w:r w:rsidRPr="006018CC">
        <w:rPr>
          <w:rtl/>
        </w:rPr>
        <w:t xml:space="preserve">تواجه تطبيقات تقنيات الثورة الصناعية الرابعة، وخاصة الذكاء الاصطناعي، عدة تحديات رئيسية تعيق تبنيها على نطاق واسع. من أبرز هذه التحديات </w:t>
      </w:r>
      <w:r w:rsidRPr="006018CC">
        <w:rPr>
          <w:b/>
          <w:bCs/>
          <w:rtl/>
        </w:rPr>
        <w:t>ارتفاع التكاليف المالية</w:t>
      </w:r>
      <w:r w:rsidRPr="006018CC">
        <w:rPr>
          <w:rtl/>
        </w:rPr>
        <w:t xml:space="preserve"> المرتبطة بشراء الأنظمة والأجهزة الذكية، بالإضافة إلى ضرورة تهيئة البنية التحتية الملائمة لهذه التقنيات. تعد التحديات المالية من العوائق الأساسية التي تمنع تعميم هذه التطبيقات، نظرًا للنفقات الكبيرة المطلوبة ليس فقط لاقتناء الأجهزة، ولكن أيضًا لتطوير البنية التحتية التي تدعم استخدامها</w:t>
      </w:r>
      <w:r w:rsidRPr="006018CC">
        <w:t>.</w:t>
      </w:r>
    </w:p>
    <w:p w14:paraId="326BEAD9" w14:textId="77777777" w:rsidR="00F52834" w:rsidRPr="006018CC" w:rsidRDefault="00F52834" w:rsidP="00F52834">
      <w:pPr>
        <w:spacing w:after="0"/>
      </w:pPr>
      <w:r w:rsidRPr="006018CC">
        <w:rPr>
          <w:rtl/>
        </w:rPr>
        <w:t xml:space="preserve">إلى جانب ذلك، فإن </w:t>
      </w:r>
      <w:r w:rsidRPr="006018CC">
        <w:rPr>
          <w:b/>
          <w:bCs/>
          <w:rtl/>
        </w:rPr>
        <w:t>القضايا الأمنية</w:t>
      </w:r>
      <w:r w:rsidRPr="006018CC">
        <w:rPr>
          <w:rtl/>
        </w:rPr>
        <w:t xml:space="preserve"> الناتجة عن التوسع في استخدام تقنيات الثورة الصناعية الرابعة تشكل تحديًا بارزًا. فقد يؤدي استخدام تقنيات مثل إنترنت الأشياء إلى ظهور ثغرات أمنية تهدد البيانات الشخصية للمستفيدين، مما يزيد من مخاطر الهجمات الإلكترونية. هذه الثغرات يمكن استغلالها لتعطيل </w:t>
      </w:r>
      <w:r w:rsidRPr="006018CC">
        <w:rPr>
          <w:rtl/>
        </w:rPr>
        <w:lastRenderedPageBreak/>
        <w:t>الخدمات أو الوصول غير المصرح به إلى معلومات حساسة، وهو ما يثير القلق بين المستخدمين بشأن خصوصيتهم وسرية بياناتهم</w:t>
      </w:r>
      <w:r w:rsidRPr="006018CC">
        <w:t>.</w:t>
      </w:r>
      <w:r w:rsidRPr="006018CC">
        <w:rPr>
          <w:rtl/>
        </w:rPr>
        <w:t xml:space="preserve"> (جمال بن مطر، 2020)</w:t>
      </w:r>
    </w:p>
    <w:p w14:paraId="711D519C" w14:textId="77777777" w:rsidR="00F52834" w:rsidRPr="006018CC" w:rsidRDefault="00F52834" w:rsidP="00F52834">
      <w:pPr>
        <w:spacing w:after="0"/>
        <w:rPr>
          <w:rtl/>
        </w:rPr>
      </w:pPr>
      <w:r w:rsidRPr="006018CC">
        <w:rPr>
          <w:rtl/>
        </w:rPr>
        <w:t xml:space="preserve">علاوة على ذلك، </w:t>
      </w:r>
      <w:r w:rsidRPr="006018CC">
        <w:rPr>
          <w:b/>
          <w:bCs/>
          <w:rtl/>
        </w:rPr>
        <w:t>النقص في الموظفين المؤهلين</w:t>
      </w:r>
      <w:r w:rsidRPr="006018CC">
        <w:rPr>
          <w:rtl/>
        </w:rPr>
        <w:t xml:space="preserve"> لاستخدام تقنيات الذكاء الاصطناعي يشكل عائقًا كبيرًا. يتطلب هذا المجال تدريبًا وتأهيلًا مستمرين للعاملين لرفع مهاراتهم وضمان كفاءتهم في التعامل مع التقنيات الحديثة. وتُظهر التوقعات أن الذكاء الاصطناعي قد يؤدي إلى تغييرات جذرية في سوق العمل، حيث يُتوقع فقدان حوالي 57 مليون وظيفة بسبب التحول التقني، إلا أنه سيُساهم في خلق حوالي 133 مليون وظيفة جديدة. كما يُتوقع انخفاض ساعات العمل البشرية لتصل إلى 48% بحلول عام 2025، بينما سترتفع ساعات العمل الخاصة بالآلات إلى 52</w:t>
      </w:r>
      <w:proofErr w:type="gramStart"/>
      <w:r w:rsidRPr="006018CC">
        <w:t>%.</w:t>
      </w:r>
      <w:r w:rsidRPr="006018CC">
        <w:rPr>
          <w:rtl/>
        </w:rPr>
        <w:t>(</w:t>
      </w:r>
      <w:proofErr w:type="gramEnd"/>
      <w:r w:rsidRPr="006018CC">
        <w:rPr>
          <w:rtl/>
        </w:rPr>
        <w:t xml:space="preserve">الذكاء الاصطناعي، 2020) </w:t>
      </w:r>
    </w:p>
    <w:p w14:paraId="0CD0B227" w14:textId="77777777" w:rsidR="00F52834" w:rsidRPr="006018CC" w:rsidRDefault="00F52834" w:rsidP="00F52834">
      <w:pPr>
        <w:spacing w:after="0"/>
      </w:pPr>
      <w:r w:rsidRPr="006018CC">
        <w:rPr>
          <w:rtl/>
        </w:rPr>
        <w:t>وفقًا لـ</w:t>
      </w:r>
      <w:r w:rsidRPr="006018CC">
        <w:t xml:space="preserve"> Siyal et al. (2021)</w:t>
      </w:r>
      <w:r w:rsidRPr="006018CC">
        <w:rPr>
          <w:rtl/>
        </w:rPr>
        <w:t>، يجب أن يكون الموظفون مدربين ومهرة بشكل جيد لأداء تدفق مستمر من الابتكار وتحقيق أهداف وغايات القطاعين الخاص والعام. استنادًا إلى نظرية الدافعية الذاتية</w:t>
      </w:r>
      <w:r w:rsidRPr="006018CC">
        <w:t xml:space="preserve"> (SDT)</w:t>
      </w:r>
      <w:r w:rsidRPr="006018CC">
        <w:rPr>
          <w:rtl/>
        </w:rPr>
        <w:t>، لدى الشخص ثلاث احتياجات نفسية أساسية: 1. الاستقلالية، 2. الكفاءة، 3. العلاقة</w:t>
      </w:r>
      <w:r w:rsidRPr="006018CC">
        <w:t xml:space="preserve"> (Chiu, 2018</w:t>
      </w:r>
      <w:r w:rsidRPr="006018CC">
        <w:rPr>
          <w:rtl/>
        </w:rPr>
        <w:t>؛</w:t>
      </w:r>
      <w:r w:rsidRPr="006018CC">
        <w:t xml:space="preserve"> </w:t>
      </w:r>
      <w:proofErr w:type="spellStart"/>
      <w:r w:rsidRPr="006018CC">
        <w:t>Gagné</w:t>
      </w:r>
      <w:proofErr w:type="spellEnd"/>
      <w:r w:rsidRPr="006018CC">
        <w:t xml:space="preserve"> &amp; Deci, 2005</w:t>
      </w:r>
      <w:r w:rsidRPr="006018CC">
        <w:rPr>
          <w:rtl/>
        </w:rPr>
        <w:t>؛</w:t>
      </w:r>
      <w:r w:rsidRPr="006018CC">
        <w:t xml:space="preserve"> Koe &amp; Sakir, 2020</w:t>
      </w:r>
      <w:r w:rsidRPr="006018CC">
        <w:rPr>
          <w:rtl/>
        </w:rPr>
        <w:t>؛</w:t>
      </w:r>
      <w:r w:rsidRPr="006018CC">
        <w:t xml:space="preserve"> Ryan &amp; Deci, 2000)</w:t>
      </w:r>
      <w:r w:rsidRPr="006018CC">
        <w:rPr>
          <w:rtl/>
        </w:rPr>
        <w:t>، حيث يمكن أن تحسن العوامل الاجتماعية والبيئية المختلفة أو تضعف تلك الاحتياجات</w:t>
      </w:r>
      <w:r w:rsidRPr="006018CC">
        <w:t xml:space="preserve"> (Chiu, 2018). </w:t>
      </w:r>
      <w:r w:rsidRPr="006018CC">
        <w:rPr>
          <w:rtl/>
        </w:rPr>
        <w:t>يرتبط معدل تبني الابتكار الإلكتروني ارتباطًا قويًا بالديناميكيات المتحمسة للموظفين؛ التحفيز الداخلي، التحفيز الخارجي</w:t>
      </w:r>
      <w:r w:rsidRPr="006018CC">
        <w:t xml:space="preserve"> (Siyal et al., 2021) </w:t>
      </w:r>
      <w:r w:rsidRPr="006018CC">
        <w:rPr>
          <w:rtl/>
        </w:rPr>
        <w:t>والكفاءة الذاتية المدركة</w:t>
      </w:r>
      <w:r w:rsidRPr="006018CC">
        <w:t xml:space="preserve"> (Fuchs et al., 2019).</w:t>
      </w:r>
    </w:p>
    <w:p w14:paraId="3D4F4BF9" w14:textId="77777777" w:rsidR="00F52834" w:rsidRPr="006018CC" w:rsidRDefault="00F52834" w:rsidP="00F52834">
      <w:pPr>
        <w:spacing w:after="0"/>
      </w:pPr>
      <w:r w:rsidRPr="006018CC">
        <w:rPr>
          <w:rtl/>
        </w:rPr>
        <w:t xml:space="preserve">أما بالنسبة </w:t>
      </w:r>
      <w:r w:rsidRPr="006018CC">
        <w:rPr>
          <w:b/>
          <w:bCs/>
          <w:rtl/>
        </w:rPr>
        <w:t>للمؤسسات المتوسطة والصغيرة</w:t>
      </w:r>
      <w:r w:rsidRPr="006018CC">
        <w:rPr>
          <w:rtl/>
        </w:rPr>
        <w:t>، فهي تواجه تحديات إضافية تتمثل في محدودية الموارد المالية والقدرات التقنية اللازمة لتبني هذه التقنيات. غالبًا ما تفتقر هذه المؤسسات إلى الدعم الفني اللازم والخبرات المتخصصة، مما يحد من قدرتها على مواكبة التحولات التقنية. كما أن التكاليف المرتبطة بتدريب الموظفين وتطوير الأنظمة التكنولوجية تمثل عبئًا كبيرًا، إضافة إلى تأثير هذه التحولات على استقرار سوق العمل داخل هذه المؤسسات</w:t>
      </w:r>
      <w:r w:rsidRPr="006018CC">
        <w:t>.</w:t>
      </w:r>
    </w:p>
    <w:p w14:paraId="26226613" w14:textId="77777777" w:rsidR="00F52834" w:rsidRPr="006018CC" w:rsidRDefault="00F52834" w:rsidP="00F52834">
      <w:pPr>
        <w:spacing w:after="0"/>
        <w:rPr>
          <w:rtl/>
        </w:rPr>
      </w:pPr>
      <w:r w:rsidRPr="006018CC">
        <w:rPr>
          <w:rtl/>
        </w:rPr>
        <w:t xml:space="preserve">ومن التحديات الأخرى، </w:t>
      </w:r>
      <w:r w:rsidRPr="006018CC">
        <w:rPr>
          <w:b/>
          <w:bCs/>
          <w:rtl/>
        </w:rPr>
        <w:t>الحاجة إلى برامج تدريبية مستمرة</w:t>
      </w:r>
      <w:r w:rsidRPr="006018CC">
        <w:rPr>
          <w:rtl/>
        </w:rPr>
        <w:t xml:space="preserve"> تجمع بين الجوانب النظرية والعملية لتعزيز كفاءة الموظفين ورفع إنتاجيتهم. ومع ذلك، يواجه الموظفون في كثير من الأحيان شعورًا بالخوف من احتمالية استبدالهم بالروبوتات والتقنيات الذكية التي تتميز بقدرتها على إنجاز المهام بدقة وسرعة. ولذلك، يُعد دعم السياسات المؤسسية لتعزيز الأمن الوظيفي أمرًا ضروريًا، حيث يُنصح باستخدام الروبوتات لدعم العاملين بدلاً من استبدالهم، مما يضمن تحقيق توازن بين الكفاءة التقنية والاستقرار البشري في بيئة العمل</w:t>
      </w:r>
      <w:r w:rsidRPr="006018CC">
        <w:t>.</w:t>
      </w:r>
    </w:p>
    <w:p w14:paraId="10B2BFD8" w14:textId="77777777" w:rsidR="00F52834" w:rsidRPr="006018CC" w:rsidRDefault="00F52834" w:rsidP="00F52834">
      <w:pPr>
        <w:spacing w:after="0"/>
      </w:pPr>
      <w:r w:rsidRPr="006018CC">
        <w:rPr>
          <w:rtl/>
        </w:rPr>
        <w:t>إذا كان مجتمع المعرفة هو المجتمع القائم على إيجاد المعرفة ونشرها واستثمارها لتحسين نوعية الحياة ورفع مستوى المعيشة، فإن اقتصاد المعرفة هو عصب هذا المجتمع، فاقتصاد المعرفة تكون فيه المعرفة سلعة وخدمة، ومحرك أساسي للنمو الاقتصادي، وهو ما يتطلب معه توافر تقنيات المعلومات والتكنولوجيا في المؤسسة، إلى جانب تعزيز رأس المال البشري الذي يعد أكثر الأصول قيمة في المؤسسة</w:t>
      </w:r>
      <w:r w:rsidRPr="006018CC">
        <w:rPr>
          <w:rFonts w:hint="cs"/>
          <w:rtl/>
        </w:rPr>
        <w:t xml:space="preserve"> </w:t>
      </w:r>
      <w:r w:rsidRPr="006018CC">
        <w:rPr>
          <w:rFonts w:hint="cs"/>
          <w:rtl/>
        </w:rPr>
        <w:lastRenderedPageBreak/>
        <w:t>(عبد الهادي، 2019، ص 150)،</w:t>
      </w:r>
      <w:r w:rsidRPr="006018CC">
        <w:rPr>
          <w:rtl/>
        </w:rPr>
        <w:t xml:space="preserve"> حيث تتوقف أهمية رأس المال البشري في سعي المؤسسة لتطوير خبرات الموظفين والعاملين لديها بما يسهم في رفع مستوى أداء المؤسسة مع غيرها من المؤسسات الأخرى المناظرة في ذات النشاط مما يؤدي لتعزيز ثقة العاملين في المؤسسة وعملهم، وليك يتحقق ما سبق لابد من اشراك العاملين في دورات تدريبية لغرض تطوير وتنمية مهاراتهم ورفع كفاءتهم المهنية، ويُعد المبدأ الأساسي القائم "الدوافع والحوافز" بمثابة القضية المركزية في عملية الإدارة، وهو ما يساعد في الاحتفاظ بعقد طويل الأجل للموظف، فنظم التقييم والتدريب، تُعد مؤشرات جيدة لثقافة تنظيمية صحية وسليمة، لذلك، تعتمد كفاءة أي منظمة على أفضل السبل لتحفيز الأصول البشرية لتحقيق الأهداف التنظيمية المنشودة. (</w:t>
      </w:r>
      <w:r w:rsidRPr="006018CC">
        <w:t>Enamul Islam, 2019</w:t>
      </w:r>
      <w:r w:rsidRPr="006018CC">
        <w:rPr>
          <w:rtl/>
        </w:rPr>
        <w:t xml:space="preserve">). </w:t>
      </w:r>
    </w:p>
    <w:p w14:paraId="34768C40" w14:textId="77777777" w:rsidR="00F52834" w:rsidRPr="006018CC" w:rsidRDefault="00F52834" w:rsidP="00F52834">
      <w:pPr>
        <w:spacing w:after="0"/>
      </w:pPr>
      <w:r w:rsidRPr="006018CC">
        <w:rPr>
          <w:rtl/>
        </w:rPr>
        <w:t>يرى الباحث من خلال تتبع التطورات المستمرة في مجال الذكاء الاصطناعي بأن هذه التقنيات تشكل مستقبل المجتمعات بشكل جذري، حيث بدأ الذكاء الاصطناعي كفكرة فلسفية تحولت إلى علم تطبيقي، حيث أصبحت الآلات قادرة على أداء مهام معقدة كانت تتطلب في السابق تدخلاً بشريًا. ومع مرور الوقت، لم يقتصر دور الذكاء الاصطناعي على تعزيز الكفاءة في مجالات مثل الصناعة والتجارة فحسب، بل امتد ليشمل تحسين جودة الحياة، وتطوير الرعاية الصحية، والتعليم، والنقل وغيره، إلا أن هذا التطور يفرض تحديات جديدة، تتعلق بالخصوصية، والأمن، وضرورة التكيف مع تغييرات سوق العمل. بالإضافة إلى ذلك، لا يزال هناك حاجز أمام تعميم تقنيات الذكاء الاصطناعي في مختلف القطاعات بسبب التكلفة العالية والحاجة إلى بنية تحتية مناسبة. ومع ذلك، يبقى مستقبل الذكاء الاصطناعي واعدًا، حيث يتوقع أن يسهم في تطوير الحلول المبتكرة للتحديات العالمية، مما يعزز أهمية استمرارية البحث والتطوير في هذا المجال للاستفادة القصوى من إمكانياته</w:t>
      </w:r>
      <w:r w:rsidRPr="006018CC">
        <w:t>.</w:t>
      </w:r>
    </w:p>
    <w:p w14:paraId="42EF315E" w14:textId="37954A57" w:rsidR="00F52834" w:rsidRPr="006018CC" w:rsidRDefault="00F52834" w:rsidP="00F52834">
      <w:pPr>
        <w:spacing w:after="0"/>
        <w:ind w:firstLine="0"/>
        <w:rPr>
          <w:rtl/>
        </w:rPr>
      </w:pPr>
    </w:p>
    <w:p w14:paraId="353943E9" w14:textId="5B5269B8" w:rsidR="00E916B9" w:rsidRPr="006018CC" w:rsidRDefault="00E916B9" w:rsidP="00E916B9">
      <w:pPr>
        <w:spacing w:after="0"/>
        <w:ind w:firstLine="0"/>
        <w:rPr>
          <w:rtl/>
        </w:rPr>
      </w:pPr>
      <w:r w:rsidRPr="006018CC">
        <w:rPr>
          <w:rtl/>
        </w:rPr>
        <w:t xml:space="preserve"> تحديات تبني الذكاء الاصطناعي في المؤسسات المتوسطة والصغيرة</w:t>
      </w:r>
    </w:p>
    <w:p w14:paraId="70EF145D" w14:textId="1FB1836C" w:rsidR="00E916B9" w:rsidRPr="006018CC" w:rsidRDefault="00E916B9" w:rsidP="00E916B9">
      <w:pPr>
        <w:spacing w:after="0"/>
        <w:ind w:firstLine="0"/>
        <w:rPr>
          <w:rtl/>
        </w:rPr>
      </w:pPr>
      <w:r w:rsidRPr="006018CC">
        <w:rPr>
          <w:rtl/>
        </w:rPr>
        <w:t>التحديات التقنية والمالية</w:t>
      </w:r>
    </w:p>
    <w:p w14:paraId="1EED2202" w14:textId="77777777" w:rsidR="00E916B9" w:rsidRPr="006018CC" w:rsidRDefault="00E916B9" w:rsidP="00E916B9">
      <w:pPr>
        <w:spacing w:after="0"/>
        <w:ind w:firstLine="0"/>
        <w:rPr>
          <w:rtl/>
        </w:rPr>
      </w:pPr>
      <w:r w:rsidRPr="006018CC">
        <w:rPr>
          <w:rtl/>
        </w:rPr>
        <w:t>تعد التحديات التقنية والمالية من أبرز العقبات التي تواجه المؤسسات المتوسطة والصغيرة عند تبني الذكاء الاصطناعي. من الناحية التقنية، يواجه العديد من هذه المؤسسات صعوبة في توفير البنية التحتية المناسبة لتطبيقات الذكاء الاصطناعي، مثل الخوادم المتطورة والأنظمة البرمجية المعقدة. كما أن القدرة على معالجة البيانات الضخمة وتحليلها بشكل فعال يتطلب تقنيات متقدمة قد تكون مكلفة أو غير متاحة للمؤسسات الصغيرة. من الناحية المالية، غالبًا ما تكون تكلفة تطبيق الذكاء الاصطناعي عالية، وهو ما يمثل عائقًا كبيرًا لهذه الشركات التي قد لا تمتلك الموارد المالية اللازمة للاستثمار في هذه التقنية. وفقًا لدراسة أجراها "</w:t>
      </w:r>
      <w:r w:rsidRPr="006018CC">
        <w:t>Huang et al</w:t>
      </w:r>
      <w:r w:rsidRPr="006018CC">
        <w:rPr>
          <w:rtl/>
        </w:rPr>
        <w:t>." (2020)، فإن تكلفة التكيف مع الذكاء الاصطناعي وشراء البرمجيات المتطورة يمكن أن تؤثر بشكل كبير على الميزانية المحدودة للمؤسسات الصغيرة والمتوسطة.</w:t>
      </w:r>
    </w:p>
    <w:p w14:paraId="1636C1A2" w14:textId="044AD691" w:rsidR="00E916B9" w:rsidRPr="006018CC" w:rsidRDefault="00E916B9" w:rsidP="00E916B9">
      <w:pPr>
        <w:spacing w:after="0"/>
        <w:ind w:firstLine="0"/>
        <w:rPr>
          <w:rtl/>
        </w:rPr>
      </w:pPr>
      <w:r w:rsidRPr="006018CC">
        <w:rPr>
          <w:rtl/>
        </w:rPr>
        <w:t xml:space="preserve"> تحديات الموارد البشرية والمهارات</w:t>
      </w:r>
    </w:p>
    <w:p w14:paraId="4DAF20C5" w14:textId="77777777" w:rsidR="00E916B9" w:rsidRPr="006018CC" w:rsidRDefault="00E916B9" w:rsidP="00E916B9">
      <w:pPr>
        <w:spacing w:after="0"/>
        <w:ind w:firstLine="0"/>
        <w:rPr>
          <w:rtl/>
        </w:rPr>
      </w:pPr>
      <w:r w:rsidRPr="006018CC">
        <w:rPr>
          <w:rtl/>
        </w:rPr>
        <w:lastRenderedPageBreak/>
        <w:t>من أبرز التحديات التي تواجه تبني الذكاء الاصطناعي في المؤسسات المتوسطة والصغيرة هو نقص الكوادر البشرية المدربة على استخدام هذه التقنية. يتطلب الذكاء الاصطناعي مهارات متخصصة في مجالات مثل تحليل البيانات، وتعلم الآلات، والبرمجة المتقدمة، وهو ما قد لا يتوفر بكثرة في المؤسسات الصغيرة والمتوسطة. كما أن هذه المؤسسات غالبًا ما تفتقر إلى الموارد اللازمة لتدريب الموظفين أو توظيف الخبراء في الذكاء الاصطناعي. وقد أشارت دراسة أجراها "</w:t>
      </w:r>
      <w:r w:rsidRPr="006018CC">
        <w:t>Mikalef et al</w:t>
      </w:r>
      <w:r w:rsidRPr="006018CC">
        <w:rPr>
          <w:rtl/>
        </w:rPr>
        <w:t>." (2020) إلى أن نقص المهارات التقنية والقدرة على تدريب الموظفين يشكل تحديًا رئيسيًا في التوسع في استخدام الذكاء الاصطناعي داخل هذه المؤسسات. وللتغلب على هذا التحدي، يتعين على المؤسسات تطوير برامج تدريبية مستمرة أو التعاون مع شركاء تقنيين لتوفير الخبرات المطلوبة.</w:t>
      </w:r>
    </w:p>
    <w:p w14:paraId="6ADB000C" w14:textId="365326EC" w:rsidR="00E916B9" w:rsidRPr="006018CC" w:rsidRDefault="00E916B9" w:rsidP="00E916B9">
      <w:pPr>
        <w:spacing w:after="0"/>
        <w:ind w:firstLine="0"/>
        <w:rPr>
          <w:rtl/>
        </w:rPr>
      </w:pPr>
      <w:r w:rsidRPr="006018CC">
        <w:rPr>
          <w:rtl/>
        </w:rPr>
        <w:t>القضايا الأخلاقية والقانونية</w:t>
      </w:r>
    </w:p>
    <w:p w14:paraId="6E9DC9C9" w14:textId="77777777" w:rsidR="00E916B9" w:rsidRPr="006018CC" w:rsidRDefault="00E916B9" w:rsidP="00E916B9">
      <w:pPr>
        <w:spacing w:after="0"/>
        <w:ind w:firstLine="0"/>
        <w:rPr>
          <w:rtl/>
        </w:rPr>
      </w:pPr>
      <w:r w:rsidRPr="006018CC">
        <w:rPr>
          <w:rtl/>
        </w:rPr>
        <w:t>من التحديات المهمة أيضًا التي تواجه تبني الذكاء الاصطناعي في المؤسسات المتوسطة والصغيرة هي القضايا الأخلاقية والقانونية المتعلقة باستخدام هذه التقنيات. مع تزايد الاعتماد على الذكاء الاصطناعي، يبرز القلق حول الخصوصية وحماية البيانات الشخصية، حيث قد تتعرض هذه البيانات للاستخدام غير المشروع أو المعالجة غير الأخلاقية. علاوة على ذلك، تواجه المؤسسات تحديات في فهم وتنفيذ القوانين المتعلقة بالذكاء الاصطناعي، مثل التشريعات المتعلقة بحقوق الملكية الفكرية، مسؤولية القرارات التي يتخذها الذكاء الاصطناعي، وكيفية التحقق من امتثال هذه الأنظمة للتشريعات المحلية والدولية. بحسب "</w:t>
      </w:r>
      <w:r w:rsidRPr="006018CC">
        <w:t>Lasi et al</w:t>
      </w:r>
      <w:r w:rsidRPr="006018CC">
        <w:rPr>
          <w:rtl/>
        </w:rPr>
        <w:t>." (2020)، فإن المؤسسات الصغيرة والمتوسطة بحاجة إلى استشارات قانونية لتوجيهها نحو الامتثال للقوانين المتعلقة بالذكاء الاصطناعي وضمان حماية حقوق الأفراد في بياناتهم.</w:t>
      </w:r>
    </w:p>
    <w:p w14:paraId="7551B34F" w14:textId="77777777" w:rsidR="00E916B9" w:rsidRPr="006018CC" w:rsidRDefault="00E916B9" w:rsidP="00F52834">
      <w:pPr>
        <w:spacing w:after="0"/>
        <w:ind w:firstLine="0"/>
        <w:rPr>
          <w:rtl/>
        </w:rPr>
      </w:pPr>
    </w:p>
    <w:p w14:paraId="6D45ACE0" w14:textId="77777777" w:rsidR="00F52834" w:rsidRPr="006018CC" w:rsidRDefault="00F52834" w:rsidP="00F52834">
      <w:pPr>
        <w:spacing w:after="0"/>
        <w:ind w:firstLine="0"/>
      </w:pPr>
      <w:r w:rsidRPr="006018CC">
        <w:rPr>
          <w:rtl/>
        </w:rPr>
        <w:t>العلاقة بين الذكاء الاصطناعي والابتكار</w:t>
      </w:r>
    </w:p>
    <w:p w14:paraId="25060364" w14:textId="77777777" w:rsidR="00F52834" w:rsidRPr="006018CC" w:rsidRDefault="00F52834" w:rsidP="00F52834">
      <w:pPr>
        <w:spacing w:after="0"/>
        <w:ind w:firstLine="0"/>
        <w:rPr>
          <w:rtl/>
        </w:rPr>
      </w:pPr>
      <w:r w:rsidRPr="006018CC">
        <w:rPr>
          <w:rtl/>
        </w:rPr>
        <w:t>دور الذكاء الاصطناعي في تعزيز القدرات الابتكارية:</w:t>
      </w:r>
    </w:p>
    <w:p w14:paraId="3B813A81" w14:textId="77777777" w:rsidR="00F52834" w:rsidRPr="006018CC" w:rsidRDefault="00F52834" w:rsidP="00F52834">
      <w:pPr>
        <w:spacing w:after="0"/>
        <w:rPr>
          <w:rFonts w:eastAsia="Times New Roman"/>
          <w:rtl/>
        </w:rPr>
      </w:pPr>
      <w:r w:rsidRPr="006018CC">
        <w:rPr>
          <w:rFonts w:eastAsia="Times New Roman"/>
          <w:rtl/>
        </w:rPr>
        <w:t>الذكاء الاصطناعي (</w:t>
      </w:r>
      <w:r w:rsidRPr="006018CC">
        <w:rPr>
          <w:rFonts w:eastAsia="Times New Roman"/>
        </w:rPr>
        <w:t>AI</w:t>
      </w:r>
      <w:r w:rsidRPr="006018CC">
        <w:rPr>
          <w:rFonts w:eastAsia="Times New Roman"/>
          <w:rtl/>
        </w:rPr>
        <w:t>) يلعب دورًا حيويًا في تعزيز القدرات الابتكارية للمؤسسات من خلال تمكينها من تحليل كميات هائلة من البيانات بشكل أكثر كفاءة ودقة، مما يساعد في اكتشاف الأنماط والاتجاهات التي يمكن أن تسهم في تطوير منتجات وخدمات جديدة (</w:t>
      </w:r>
      <w:r w:rsidRPr="006018CC">
        <w:rPr>
          <w:rFonts w:eastAsia="Times New Roman"/>
        </w:rPr>
        <w:t>Brynjolfsson &amp; McAfee, 2017</w:t>
      </w:r>
      <w:r w:rsidRPr="006018CC">
        <w:rPr>
          <w:rFonts w:eastAsia="Times New Roman"/>
          <w:rtl/>
        </w:rPr>
        <w:t>). على سبيل المثال، يمكن لخوارزميات التعلم الآلي توقع احتياجات المستهلكين بناءً على سلوكهم السابق، مما يسمح للشركات بابتكار حلول مخصصة تلبي تلك الاحتياجات بفعالية. كما يساهم الذكاء الاصطناعي في تقليل الوقت اللازم للبحث والتطوير من خلال تقديم نماذج أولية افتراضية يمكن اختبارها وتحسينها بسرعة (</w:t>
      </w:r>
      <w:r w:rsidRPr="006018CC">
        <w:rPr>
          <w:rFonts w:eastAsia="Times New Roman"/>
        </w:rPr>
        <w:t>Chui et al., 2018</w:t>
      </w:r>
      <w:r w:rsidRPr="006018CC">
        <w:rPr>
          <w:rFonts w:eastAsia="Times New Roman"/>
          <w:rtl/>
        </w:rPr>
        <w:t>).</w:t>
      </w:r>
    </w:p>
    <w:p w14:paraId="1370148E" w14:textId="77777777" w:rsidR="00F52834" w:rsidRPr="006018CC" w:rsidRDefault="00F52834" w:rsidP="00F52834">
      <w:pPr>
        <w:spacing w:after="0"/>
        <w:rPr>
          <w:rFonts w:eastAsia="Times New Roman"/>
          <w:rtl/>
        </w:rPr>
      </w:pPr>
      <w:r w:rsidRPr="006018CC">
        <w:rPr>
          <w:rFonts w:eastAsia="Times New Roman"/>
          <w:rtl/>
        </w:rPr>
        <w:t>علاوة على ذلك، يسهم الذكاء الاصطناعي في تعزيز الإبداع المؤسسي من خلال تمكين فرق العمل من التركيز على المهام الاستراتيجية بدلاً من الأعمال الروتينية، حيث تتولى الأنظمة الذكية عمليات التحليل والتشغيل المتكرر (</w:t>
      </w:r>
      <w:r w:rsidRPr="006018CC">
        <w:rPr>
          <w:rFonts w:eastAsia="Times New Roman"/>
        </w:rPr>
        <w:t>LeCun et al., 2015</w:t>
      </w:r>
      <w:r w:rsidRPr="006018CC">
        <w:rPr>
          <w:rFonts w:eastAsia="Times New Roman"/>
          <w:rtl/>
        </w:rPr>
        <w:t xml:space="preserve">). كما يتيح استخدام أدوات تحليل البيانات الضخمة </w:t>
      </w:r>
      <w:r w:rsidRPr="006018CC">
        <w:rPr>
          <w:rFonts w:eastAsia="Times New Roman"/>
          <w:rtl/>
        </w:rPr>
        <w:lastRenderedPageBreak/>
        <w:t>ومنصات الذكاء الاصطناعي للمؤسسات الصغيرة والمتوسطة فرصًا أكبر للابتكار دون الحاجة إلى موارد مالية ضخمة، مما يسهم في تحسين التنافسية بشكل مستدام (</w:t>
      </w:r>
      <w:r w:rsidRPr="006018CC">
        <w:rPr>
          <w:rFonts w:eastAsia="Times New Roman"/>
        </w:rPr>
        <w:t>Westerman et al., 2014</w:t>
      </w:r>
      <w:r w:rsidRPr="006018CC">
        <w:rPr>
          <w:rFonts w:eastAsia="Times New Roman"/>
          <w:rtl/>
        </w:rPr>
        <w:t>). هذه التحولات تعزز من قدرة المؤسسات على تقديم حلول مبتكرة ومواكبة للتغيرات المستمرة في الأسواق العالمية.</w:t>
      </w:r>
    </w:p>
    <w:p w14:paraId="72BCCA19" w14:textId="662D8B65" w:rsidR="00F52834" w:rsidRPr="006018CC" w:rsidRDefault="00F52834" w:rsidP="00F52834">
      <w:pPr>
        <w:spacing w:after="0"/>
        <w:rPr>
          <w:rFonts w:eastAsia="Times New Roman"/>
          <w:u w:val="single"/>
          <w:rtl/>
        </w:rPr>
      </w:pPr>
      <w:r w:rsidRPr="006018CC">
        <w:rPr>
          <w:rFonts w:eastAsia="Times New Roman" w:hint="cs"/>
          <w:rtl/>
        </w:rPr>
        <w:t xml:space="preserve">كما </w:t>
      </w:r>
      <w:r w:rsidRPr="006018CC">
        <w:rPr>
          <w:rFonts w:eastAsia="Times New Roman"/>
          <w:rtl/>
        </w:rPr>
        <w:t xml:space="preserve">يعني قدرات مستخدمي مؤسسة الأعمال اللازمة لتوفير حلولًا ومقترحات </w:t>
      </w:r>
      <w:proofErr w:type="spellStart"/>
      <w:r w:rsidRPr="006018CC">
        <w:rPr>
          <w:rFonts w:eastAsia="Times New Roman"/>
          <w:rtl/>
        </w:rPr>
        <w:t>لعملاءها</w:t>
      </w:r>
      <w:proofErr w:type="spellEnd"/>
      <w:r w:rsidRPr="006018CC">
        <w:rPr>
          <w:rFonts w:eastAsia="Times New Roman"/>
          <w:rtl/>
        </w:rPr>
        <w:t>، وهو يمثل مصدر الابتكار والتحسين، وعندما يتم اعتبار الأشخاص كأصول للمؤسسة، تصبح القدرة على تحديد قيمة هذه الأصول</w:t>
      </w:r>
      <w:r w:rsidRPr="006018CC">
        <w:rPr>
          <w:rFonts w:eastAsia="Times New Roman"/>
        </w:rPr>
        <w:t xml:space="preserve"> </w:t>
      </w:r>
      <w:r w:rsidRPr="006018CC">
        <w:rPr>
          <w:rFonts w:eastAsia="Times New Roman"/>
          <w:rtl/>
        </w:rPr>
        <w:t xml:space="preserve">هام جدًا، وهذه الحقيقة ضرورية لاتخاذ القرارات بشأن الإدارة وتعظيم معدل عائد </w:t>
      </w:r>
      <w:proofErr w:type="spellStart"/>
      <w:r w:rsidRPr="006018CC">
        <w:rPr>
          <w:rFonts w:eastAsia="Times New Roman"/>
          <w:rtl/>
        </w:rPr>
        <w:t>الإستثمار</w:t>
      </w:r>
      <w:proofErr w:type="spellEnd"/>
      <w:r w:rsidRPr="006018CC">
        <w:rPr>
          <w:rFonts w:eastAsia="Times New Roman"/>
          <w:rtl/>
        </w:rPr>
        <w:t xml:space="preserve"> لديها، وفي البحث الذي أجراه</w:t>
      </w:r>
      <w:r w:rsidRPr="006018CC">
        <w:rPr>
          <w:rFonts w:eastAsia="Times New Roman"/>
        </w:rPr>
        <w:t>Guest (1997</w:t>
      </w:r>
      <w:proofErr w:type="gramStart"/>
      <w:r w:rsidRPr="006018CC">
        <w:rPr>
          <w:rFonts w:eastAsia="Times New Roman"/>
        </w:rPr>
        <w:t xml:space="preserve">) </w:t>
      </w:r>
      <w:r w:rsidRPr="006018CC">
        <w:rPr>
          <w:rFonts w:eastAsia="Times New Roman"/>
          <w:rtl/>
        </w:rPr>
        <w:t>،</w:t>
      </w:r>
      <w:proofErr w:type="gramEnd"/>
      <w:r w:rsidRPr="006018CC">
        <w:rPr>
          <w:rFonts w:eastAsia="Times New Roman"/>
          <w:rtl/>
        </w:rPr>
        <w:t xml:space="preserve"> </w:t>
      </w:r>
      <w:r w:rsidRPr="006018CC">
        <w:rPr>
          <w:rFonts w:eastAsia="Times New Roman"/>
          <w:u w:val="single"/>
          <w:rtl/>
        </w:rPr>
        <w:t>تم تحديد مؤشرات مختلفة لقياس أبعاد</w:t>
      </w:r>
      <w:r w:rsidRPr="006018CC">
        <w:rPr>
          <w:rFonts w:eastAsia="Times New Roman"/>
          <w:u w:val="single"/>
        </w:rPr>
        <w:t xml:space="preserve"> </w:t>
      </w:r>
      <w:r w:rsidRPr="006018CC">
        <w:rPr>
          <w:rFonts w:eastAsia="Times New Roman"/>
          <w:u w:val="single"/>
          <w:rtl/>
        </w:rPr>
        <w:t xml:space="preserve">وخصائص رأس المال البشري: (ساجد خالد محمد، 2019) </w:t>
      </w:r>
    </w:p>
    <w:p w14:paraId="4FA218D1" w14:textId="77777777" w:rsidR="00F52834" w:rsidRPr="006018CC" w:rsidRDefault="00F52834" w:rsidP="00F52834">
      <w:pPr>
        <w:numPr>
          <w:ilvl w:val="0"/>
          <w:numId w:val="44"/>
        </w:numPr>
        <w:spacing w:after="0"/>
        <w:rPr>
          <w:rFonts w:eastAsia="Times New Roman"/>
          <w:rtl/>
        </w:rPr>
      </w:pPr>
      <w:r w:rsidRPr="006018CC">
        <w:rPr>
          <w:rFonts w:eastAsia="Times New Roman"/>
          <w:b/>
          <w:bCs/>
          <w:rtl/>
          <w:lang w:bidi="ar-EG"/>
        </w:rPr>
        <w:t>قدرات العاملين:</w:t>
      </w:r>
      <w:r w:rsidRPr="006018CC">
        <w:rPr>
          <w:rFonts w:eastAsia="Times New Roman"/>
          <w:rtl/>
          <w:lang w:bidi="ar-EG"/>
        </w:rPr>
        <w:t xml:space="preserve"> وتشمل مستوى جودة العاملين، وقدرة التعلم لدى العاملين، وكفاءة عمليات تدريب العاملين، قدرة العاملين على المشاركة في اتخاذ القرار،</w:t>
      </w:r>
      <w:r w:rsidRPr="006018CC">
        <w:rPr>
          <w:rFonts w:eastAsia="Times New Roman"/>
          <w:rtl/>
        </w:rPr>
        <w:t xml:space="preserve"> المؤشرات المالية مثل البيع والأداء المالي.</w:t>
      </w:r>
    </w:p>
    <w:p w14:paraId="189EEDF5" w14:textId="77777777" w:rsidR="00F52834" w:rsidRPr="006018CC" w:rsidRDefault="00F52834" w:rsidP="00F52834">
      <w:pPr>
        <w:numPr>
          <w:ilvl w:val="0"/>
          <w:numId w:val="44"/>
        </w:numPr>
        <w:spacing w:after="0"/>
        <w:rPr>
          <w:rFonts w:eastAsia="Times New Roman"/>
        </w:rPr>
      </w:pPr>
      <w:r w:rsidRPr="006018CC">
        <w:rPr>
          <w:rFonts w:eastAsia="Times New Roman"/>
          <w:b/>
          <w:bCs/>
          <w:rtl/>
          <w:lang w:bidi="ar-EG"/>
        </w:rPr>
        <w:t>إبداع العاملين:</w:t>
      </w:r>
      <w:r w:rsidRPr="006018CC">
        <w:rPr>
          <w:rFonts w:eastAsia="Times New Roman"/>
          <w:rtl/>
          <w:lang w:bidi="ar-EG"/>
        </w:rPr>
        <w:t xml:space="preserve"> تشمل قدرات الإبداع والابتكار لدى العاملين، والدخل المتحقق من الأفكار الأصلية للعاملين، </w:t>
      </w:r>
      <w:r w:rsidRPr="006018CC">
        <w:rPr>
          <w:rFonts w:eastAsia="Times New Roman"/>
          <w:rtl/>
        </w:rPr>
        <w:t>مؤشرات الكفاءة أو السلع والخدمات، والخدمات المقدمة للعميل، وعدد الأخطاء.</w:t>
      </w:r>
    </w:p>
    <w:p w14:paraId="241B964A" w14:textId="77777777" w:rsidR="00F52834" w:rsidRPr="006018CC" w:rsidRDefault="00F52834" w:rsidP="00F52834">
      <w:pPr>
        <w:numPr>
          <w:ilvl w:val="0"/>
          <w:numId w:val="44"/>
        </w:numPr>
        <w:spacing w:after="0"/>
        <w:rPr>
          <w:rFonts w:eastAsia="Times New Roman"/>
        </w:rPr>
      </w:pPr>
      <w:r w:rsidRPr="006018CC">
        <w:rPr>
          <w:rFonts w:eastAsia="Times New Roman"/>
          <w:b/>
          <w:bCs/>
          <w:rtl/>
        </w:rPr>
        <w:t>اتجاهات العاملين</w:t>
      </w:r>
      <w:r w:rsidRPr="006018CC">
        <w:rPr>
          <w:rFonts w:eastAsia="Times New Roman"/>
          <w:rtl/>
        </w:rPr>
        <w:t>: وتشمل تطابق العاملين مع قيم المؤسسة ودرجة رضا العاملين ومعدل دوران العمل ومتوسط مدة خدمة العاملين بالمؤسسة، ورضا العميل، ومؤشرات التأخير وما إلى ذلك</w:t>
      </w:r>
      <w:r w:rsidRPr="006018CC">
        <w:rPr>
          <w:rFonts w:eastAsia="Times New Roman"/>
          <w:rtl/>
          <w:lang w:bidi="ar-EG"/>
        </w:rPr>
        <w:t xml:space="preserve">. </w:t>
      </w:r>
    </w:p>
    <w:p w14:paraId="516156E5" w14:textId="77777777" w:rsidR="00F52834" w:rsidRPr="006018CC" w:rsidRDefault="00F52834" w:rsidP="00F52834">
      <w:pPr>
        <w:spacing w:after="0"/>
        <w:ind w:left="360" w:firstLine="0"/>
        <w:rPr>
          <w:rFonts w:eastAsia="Times New Roman"/>
          <w:rtl/>
        </w:rPr>
      </w:pPr>
      <w:r w:rsidRPr="006018CC">
        <w:rPr>
          <w:rFonts w:eastAsia="Times New Roman"/>
          <w:rtl/>
        </w:rPr>
        <w:t>ويمكن تحليل رأس المال البشري إلى العناصر التالية: القدرات والإمكانيات، والتعلم الإبداع، والالتزامات والتحفيزات، وأن تنمية رأس المال البشري يمكن أن يوفر للمؤسسات ميزة تنافسية مستدامة ويحسن من أداءها</w:t>
      </w:r>
      <w:r w:rsidRPr="006018CC">
        <w:rPr>
          <w:rFonts w:eastAsia="Times New Roman"/>
        </w:rPr>
        <w:t xml:space="preserve"> </w:t>
      </w:r>
      <w:r w:rsidRPr="006018CC">
        <w:rPr>
          <w:rFonts w:eastAsia="Times New Roman"/>
          <w:rtl/>
        </w:rPr>
        <w:t>(غدير أحمد الخوالدة، 2020)</w:t>
      </w:r>
    </w:p>
    <w:p w14:paraId="1E4F6A02" w14:textId="57D98D2A" w:rsidR="00F52834" w:rsidRPr="006018CC" w:rsidRDefault="00F52834" w:rsidP="00F52834">
      <w:pPr>
        <w:spacing w:after="0"/>
        <w:rPr>
          <w:rtl/>
        </w:rPr>
      </w:pPr>
    </w:p>
    <w:p w14:paraId="56345AFD" w14:textId="77777777" w:rsidR="00D7048D" w:rsidRPr="006018CC" w:rsidRDefault="00D7048D" w:rsidP="00D7048D">
      <w:pPr>
        <w:spacing w:after="0"/>
        <w:rPr>
          <w:rtl/>
        </w:rPr>
      </w:pPr>
      <w:r w:rsidRPr="006018CC">
        <w:rPr>
          <w:rtl/>
        </w:rPr>
        <w:t>6.1. كيفية تحسين الذكاء الاصطناعي للكفاءة التشغيلية</w:t>
      </w:r>
    </w:p>
    <w:p w14:paraId="31936EC8" w14:textId="77777777" w:rsidR="00D7048D" w:rsidRPr="006018CC" w:rsidRDefault="00D7048D" w:rsidP="00D7048D">
      <w:pPr>
        <w:spacing w:after="0"/>
        <w:rPr>
          <w:rtl/>
        </w:rPr>
      </w:pPr>
      <w:r w:rsidRPr="006018CC">
        <w:rPr>
          <w:rtl/>
        </w:rPr>
        <w:t>يعد الذكاء الاصطناعي (</w:t>
      </w:r>
      <w:r w:rsidRPr="006018CC">
        <w:t>AI</w:t>
      </w:r>
      <w:r w:rsidRPr="006018CC">
        <w:rPr>
          <w:rtl/>
        </w:rPr>
        <w:t>) من التقنيات التي تلعب دورًا محوريًا في تحسين الكفاءة التشغيلية للمؤسسات، حيث يساهم في زيادة الإنتاجية، تقليل التكاليف، وتعزيز الجودة في مختلف العمليات التشغيلية. من خلال عدة آليات، يمكن للذكاء الاصطناعي تحسين أداء المؤسسات في مختلف المجالات. فيما يلي أبرز الطرق التي يسهم فيها الذكاء الاصطناعي في تعزيز الكفاءة التشغيلية:</w:t>
      </w:r>
    </w:p>
    <w:p w14:paraId="5C93657E" w14:textId="46EEB35B" w:rsidR="00D7048D" w:rsidRPr="006018CC" w:rsidRDefault="00D7048D" w:rsidP="00D7048D">
      <w:pPr>
        <w:spacing w:after="0"/>
        <w:rPr>
          <w:rtl/>
        </w:rPr>
      </w:pPr>
      <w:r w:rsidRPr="006018CC">
        <w:rPr>
          <w:rtl/>
        </w:rPr>
        <w:t>أتمتة العمليات الروتينية:</w:t>
      </w:r>
      <w:r w:rsidRPr="006018CC">
        <w:rPr>
          <w:rFonts w:hint="cs"/>
          <w:rtl/>
        </w:rPr>
        <w:t xml:space="preserve"> </w:t>
      </w:r>
      <w:r w:rsidRPr="006018CC">
        <w:rPr>
          <w:rtl/>
        </w:rPr>
        <w:t xml:space="preserve">تساهم تقنيات الذكاء الاصطناعي في أتمتة المهام اليومية والمتكررة مثل معالجة البيانات وتنظيم الجداول الزمنية. وفقًا لـ </w:t>
      </w:r>
      <w:r w:rsidRPr="006018CC">
        <w:t>Brynjolfsson</w:t>
      </w:r>
      <w:r w:rsidRPr="006018CC">
        <w:rPr>
          <w:rtl/>
        </w:rPr>
        <w:t xml:space="preserve"> </w:t>
      </w:r>
      <w:proofErr w:type="gramStart"/>
      <w:r w:rsidRPr="006018CC">
        <w:rPr>
          <w:rtl/>
        </w:rPr>
        <w:t xml:space="preserve">و </w:t>
      </w:r>
      <w:r w:rsidRPr="006018CC">
        <w:t>McAfee</w:t>
      </w:r>
      <w:proofErr w:type="gramEnd"/>
      <w:r w:rsidRPr="006018CC">
        <w:rPr>
          <w:rtl/>
        </w:rPr>
        <w:t xml:space="preserve"> (2017)، يؤدي هذا إلى تقليل الاعتماد على التدخل البشري في العمليات الروتينية، مما يزيد من سرعة الإنجاز ويتيح للموظفين التركيز على المهام التي تتطلب إبداعًا أو مهارات خاصة.</w:t>
      </w:r>
    </w:p>
    <w:p w14:paraId="2F2B01BC" w14:textId="5B6E98B9" w:rsidR="00D7048D" w:rsidRPr="006018CC" w:rsidRDefault="00D7048D" w:rsidP="00D7048D">
      <w:pPr>
        <w:spacing w:after="0"/>
        <w:rPr>
          <w:rtl/>
        </w:rPr>
      </w:pPr>
      <w:r w:rsidRPr="006018CC">
        <w:rPr>
          <w:rtl/>
        </w:rPr>
        <w:lastRenderedPageBreak/>
        <w:t>تحليل البيانات وتحسين اتخاذ القرارات:</w:t>
      </w:r>
      <w:r w:rsidRPr="006018CC">
        <w:rPr>
          <w:rFonts w:hint="cs"/>
          <w:rtl/>
        </w:rPr>
        <w:t xml:space="preserve"> </w:t>
      </w:r>
      <w:r w:rsidRPr="006018CC">
        <w:rPr>
          <w:rtl/>
        </w:rPr>
        <w:t>يعمل الذكاء الاصطناعي على تحليل كميات ضخمة من البيانات بكفاءة، مما يمكن المؤسسات من اتخاذ قرارات سريعة ومدروسة. كما يساهم الذكاء الاصطناعي في تحديد الأنماط والتوجهات من خلال تقنيات التعلم الآلي (</w:t>
      </w:r>
      <w:r w:rsidRPr="006018CC">
        <w:t>machine learning</w:t>
      </w:r>
      <w:r w:rsidRPr="006018CC">
        <w:rPr>
          <w:rtl/>
        </w:rPr>
        <w:t>) مما يساعد الشركات على التنبؤ بالاتجاهات المستقبلية وصياغة استراتيجيات قائمة على البيانات (</w:t>
      </w:r>
      <w:r w:rsidRPr="006018CC">
        <w:t xml:space="preserve">Davenport &amp; </w:t>
      </w:r>
      <w:proofErr w:type="spellStart"/>
      <w:r w:rsidRPr="006018CC">
        <w:t>Ronanki</w:t>
      </w:r>
      <w:proofErr w:type="spellEnd"/>
      <w:r w:rsidRPr="006018CC">
        <w:t>, 2018</w:t>
      </w:r>
      <w:r w:rsidRPr="006018CC">
        <w:rPr>
          <w:rtl/>
        </w:rPr>
        <w:t>).</w:t>
      </w:r>
    </w:p>
    <w:p w14:paraId="02231C30" w14:textId="5B06AADA" w:rsidR="00D7048D" w:rsidRPr="006018CC" w:rsidRDefault="00D7048D" w:rsidP="00D7048D">
      <w:pPr>
        <w:spacing w:after="0"/>
        <w:rPr>
          <w:rtl/>
        </w:rPr>
      </w:pPr>
      <w:r w:rsidRPr="006018CC">
        <w:rPr>
          <w:rtl/>
        </w:rPr>
        <w:t>تحسين إدارة الموارد:</w:t>
      </w:r>
      <w:r w:rsidRPr="006018CC">
        <w:rPr>
          <w:rFonts w:hint="cs"/>
          <w:rtl/>
        </w:rPr>
        <w:t xml:space="preserve"> </w:t>
      </w:r>
      <w:r w:rsidRPr="006018CC">
        <w:rPr>
          <w:rtl/>
        </w:rPr>
        <w:t xml:space="preserve">يستخدم الذكاء الاصطناعي في تحسين تخصيص الموارد البشرية والمالية واللوجستية عبر أدوات مثل التحليل التنبؤي. </w:t>
      </w:r>
      <w:r w:rsidRPr="006018CC">
        <w:t>Chui et al</w:t>
      </w:r>
      <w:r w:rsidRPr="006018CC">
        <w:rPr>
          <w:rtl/>
        </w:rPr>
        <w:t>. (2018) أشاروا إلى أن الذكاء الاصطناعي يساعد الشركات في توقع احتياجات المخزون، مما يسهم في تقليل الفائض أو النقص في الموارد، وبالتالي تعزيز كفاءة العمليات وتقليل التكاليف.</w:t>
      </w:r>
    </w:p>
    <w:p w14:paraId="686F19C8" w14:textId="77D92181" w:rsidR="00D7048D" w:rsidRPr="006018CC" w:rsidRDefault="00D7048D" w:rsidP="00D7048D">
      <w:pPr>
        <w:spacing w:after="0"/>
        <w:rPr>
          <w:rtl/>
        </w:rPr>
      </w:pPr>
      <w:r w:rsidRPr="006018CC">
        <w:rPr>
          <w:rtl/>
        </w:rPr>
        <w:t>تحسين تجربة العملاء:</w:t>
      </w:r>
      <w:r w:rsidRPr="006018CC">
        <w:rPr>
          <w:rFonts w:hint="cs"/>
          <w:rtl/>
        </w:rPr>
        <w:t xml:space="preserve"> </w:t>
      </w:r>
      <w:r w:rsidRPr="006018CC">
        <w:rPr>
          <w:rtl/>
        </w:rPr>
        <w:t xml:space="preserve">وفقًا لـ </w:t>
      </w:r>
      <w:r w:rsidRPr="006018CC">
        <w:t>Raj</w:t>
      </w:r>
      <w:r w:rsidRPr="006018CC">
        <w:rPr>
          <w:rtl/>
        </w:rPr>
        <w:t xml:space="preserve"> (2020)، يقوم الذكاء الاصطناعي بتحسين التفاعل مع العملاء من خلال أدوات مثل روبوتات الدردشة الذكية والمساعدين الافتراضيين. هذه الأنظمة قادرة على تقديم استجابة فورية ودقيقة، كما أنها توفر تجربة مخصصة للعملاء بناءً على بيانات سلوكهم، مما يعزز رضا العملاء ويزيد من كفاءة العمليات التجارية.</w:t>
      </w:r>
    </w:p>
    <w:p w14:paraId="61BD3DA3" w14:textId="485B26E3" w:rsidR="00D7048D" w:rsidRPr="006018CC" w:rsidRDefault="00D7048D" w:rsidP="00D7048D">
      <w:pPr>
        <w:spacing w:after="0"/>
        <w:rPr>
          <w:rtl/>
        </w:rPr>
      </w:pPr>
      <w:r w:rsidRPr="006018CC">
        <w:rPr>
          <w:rtl/>
        </w:rPr>
        <w:t>صيانة استباقية وتحسين الإنتاجية:</w:t>
      </w:r>
      <w:r w:rsidRPr="006018CC">
        <w:rPr>
          <w:rFonts w:hint="cs"/>
          <w:rtl/>
        </w:rPr>
        <w:t xml:space="preserve"> </w:t>
      </w:r>
      <w:r w:rsidRPr="006018CC">
        <w:rPr>
          <w:rtl/>
        </w:rPr>
        <w:t>في الصناعات التي تعتمد على الآلات الثقيلة، يساعد الذكاء الاصطناعي في تطبيق أنظمة الصيانة الاستباقية. من خلال مراقبة حالة الآلات باستخدام تقنيات الذكاء الاصطناعي، يتم اكتشاف الأعطال المحتملة قبل وقوعها، مما يقلل من فترات التوقف غير المخطط لها ويحسن الإنتاجية (</w:t>
      </w:r>
      <w:r w:rsidRPr="006018CC">
        <w:t>Brynjolfsson &amp; McAfee, 2017</w:t>
      </w:r>
      <w:r w:rsidRPr="006018CC">
        <w:rPr>
          <w:rtl/>
        </w:rPr>
        <w:t>).</w:t>
      </w:r>
    </w:p>
    <w:p w14:paraId="60926444" w14:textId="667B0971" w:rsidR="00D7048D" w:rsidRPr="006018CC" w:rsidRDefault="00D7048D" w:rsidP="00D7048D">
      <w:pPr>
        <w:spacing w:after="0"/>
        <w:rPr>
          <w:rtl/>
        </w:rPr>
      </w:pPr>
      <w:r w:rsidRPr="006018CC">
        <w:rPr>
          <w:rtl/>
        </w:rPr>
        <w:t>تحسين إدارة سلسلة التوريد:</w:t>
      </w:r>
      <w:r w:rsidRPr="006018CC">
        <w:rPr>
          <w:rFonts w:hint="cs"/>
          <w:rtl/>
        </w:rPr>
        <w:t xml:space="preserve"> </w:t>
      </w:r>
      <w:r w:rsidRPr="006018CC">
        <w:rPr>
          <w:rtl/>
        </w:rPr>
        <w:t>يمكن للذكاء الاصطناعي تحسين عمليات سلسلة التوريد من خلال تعزيز التنبؤ بالطلب وتحسين اختيار الموردين. كما يمكنه تحسين استراتيجيات النقل والتخزين، مما يقلل التكاليف ويزيد من كفاءة العمليات اللوجستية (</w:t>
      </w:r>
      <w:r w:rsidRPr="006018CC">
        <w:t>Chui et al., 2018</w:t>
      </w:r>
      <w:r w:rsidRPr="006018CC">
        <w:rPr>
          <w:rtl/>
        </w:rPr>
        <w:t>).</w:t>
      </w:r>
    </w:p>
    <w:p w14:paraId="692B393B" w14:textId="77777777" w:rsidR="00D7048D" w:rsidRPr="006018CC" w:rsidRDefault="00D7048D" w:rsidP="00F52834">
      <w:pPr>
        <w:spacing w:after="0"/>
        <w:rPr>
          <w:rtl/>
        </w:rPr>
      </w:pPr>
    </w:p>
    <w:p w14:paraId="580E0DA8" w14:textId="076F6C85" w:rsidR="00D7048D" w:rsidRPr="006018CC" w:rsidRDefault="00D7048D" w:rsidP="00D7048D">
      <w:pPr>
        <w:rPr>
          <w:b/>
          <w:bCs/>
          <w:lang w:val="en-GB"/>
        </w:rPr>
      </w:pPr>
      <w:r w:rsidRPr="006018CC">
        <w:rPr>
          <w:b/>
          <w:bCs/>
          <w:rtl/>
        </w:rPr>
        <w:t>نماذج وأطر لتبني الذكاء الاصطناعي في المؤسسات المتوسطة والصغيرة</w:t>
      </w:r>
    </w:p>
    <w:p w14:paraId="2E2EBE86" w14:textId="7858F301" w:rsidR="00D7048D" w:rsidRPr="006018CC" w:rsidRDefault="00D7048D" w:rsidP="00D7048D">
      <w:pPr>
        <w:rPr>
          <w:b/>
          <w:bCs/>
          <w:lang w:val="en-GB"/>
        </w:rPr>
      </w:pPr>
      <w:r w:rsidRPr="006018CC">
        <w:rPr>
          <w:b/>
          <w:bCs/>
          <w:rtl/>
        </w:rPr>
        <w:t>نموذج التبني التدريجي للذكاء الاصطناعي</w:t>
      </w:r>
    </w:p>
    <w:p w14:paraId="524FE203" w14:textId="77777777" w:rsidR="00D7048D" w:rsidRPr="00752169" w:rsidRDefault="00D7048D" w:rsidP="00D7048D">
      <w:r w:rsidRPr="006018CC">
        <w:rPr>
          <w:rtl/>
        </w:rPr>
        <w:t>التبني التدريجي للذكاء الاصطناعي</w:t>
      </w:r>
      <w:r w:rsidRPr="006018CC">
        <w:rPr>
          <w:lang w:val="en-GB"/>
        </w:rPr>
        <w:t xml:space="preserve"> (AI) </w:t>
      </w:r>
      <w:r w:rsidRPr="006018CC">
        <w:rPr>
          <w:rtl/>
        </w:rPr>
        <w:t>هو عملية تتم على مراحل وفقًا لاحتياجات المؤسسة وقدراتها، ويمكن أن يسهم بشكل كبير في نجاح تطبيقات الذكاء الاصطناعي في المؤسسات المتوسطة والصغيرة. يتكون هذا النموذج من ثلاث مراحل رئيسية</w:t>
      </w:r>
      <w:r w:rsidRPr="006018CC">
        <w:rPr>
          <w:lang w:val="en-GB"/>
        </w:rPr>
        <w:t xml:space="preserve">: </w:t>
      </w:r>
      <w:r w:rsidRPr="006018CC">
        <w:rPr>
          <w:b/>
          <w:bCs/>
          <w:rtl/>
        </w:rPr>
        <w:t>التقييم</w:t>
      </w:r>
      <w:r w:rsidRPr="006018CC">
        <w:rPr>
          <w:rtl/>
        </w:rPr>
        <w:t xml:space="preserve">، </w:t>
      </w:r>
      <w:r w:rsidRPr="006018CC">
        <w:rPr>
          <w:b/>
          <w:bCs/>
          <w:rtl/>
        </w:rPr>
        <w:t>التجريب</w:t>
      </w:r>
      <w:r w:rsidRPr="006018CC">
        <w:rPr>
          <w:rtl/>
        </w:rPr>
        <w:t>، و</w:t>
      </w:r>
      <w:r w:rsidRPr="006018CC">
        <w:rPr>
          <w:b/>
          <w:bCs/>
          <w:rtl/>
        </w:rPr>
        <w:t>التوسع</w:t>
      </w:r>
      <w:r w:rsidRPr="006018CC">
        <w:rPr>
          <w:lang w:val="en-GB"/>
        </w:rPr>
        <w:t xml:space="preserve">. </w:t>
      </w:r>
      <w:r w:rsidRPr="006018CC">
        <w:rPr>
          <w:rtl/>
        </w:rPr>
        <w:t xml:space="preserve">في المرحلة الأولى، يجب أن تقوم المؤسسة بتقييم جاهزيتها التقنية والبشرية لتطبيق تقنيات الذكاء الاصطناعي، مثل وجود البنية التحتية المناسبة وتوافر الكوادر المدربة. في المرحلة الثانية، يتم اختيار تطبيق واحد من التطبيقات البسيطة للذكاء الاصطناعي مثل الأتمتة أو أدوات تحليل البيانات، لتكون نقطة انطلاق لتجربة هذه </w:t>
      </w:r>
      <w:r w:rsidRPr="006018CC">
        <w:rPr>
          <w:rtl/>
        </w:rPr>
        <w:lastRenderedPageBreak/>
        <w:t>التقنية في بيئة محدودة. أخيرًا، في المرحلة الثالثة، يتم توسيع نطاق استخدام الذكاء الاصطناعي ليشمل كافة العمليات في المؤسسة بعد التأكد من نجاح المرحلة التجريبية. هذا النموذج يساعد المؤسسات في تقليل المخاطر المرتبطة بتطبيقات الذكاء الاصطناعي ويعزز قدرتها على التكيف مع التغيرات التقنية</w:t>
      </w:r>
      <w:r w:rsidRPr="006018CC">
        <w:rPr>
          <w:lang w:val="en-GB"/>
        </w:rPr>
        <w:t xml:space="preserve"> (Binns &amp; Brown, 2021).</w:t>
      </w:r>
    </w:p>
    <w:p w14:paraId="5D9E63EE" w14:textId="17E99DD7" w:rsidR="00D7048D" w:rsidRPr="006018CC" w:rsidRDefault="00D7048D" w:rsidP="00D7048D">
      <w:pPr>
        <w:rPr>
          <w:b/>
          <w:bCs/>
          <w:lang w:val="en-GB"/>
        </w:rPr>
      </w:pPr>
      <w:r w:rsidRPr="006018CC">
        <w:rPr>
          <w:b/>
          <w:bCs/>
          <w:rtl/>
        </w:rPr>
        <w:t>إطار تقييم جاهزية المؤسسة لتبني الذكاء الاصطناعي</w:t>
      </w:r>
    </w:p>
    <w:p w14:paraId="206C8F4F" w14:textId="77777777" w:rsidR="00D7048D" w:rsidRPr="006018CC" w:rsidRDefault="00D7048D" w:rsidP="00D7048D">
      <w:pPr>
        <w:rPr>
          <w:lang w:val="en-GB"/>
        </w:rPr>
      </w:pPr>
      <w:r w:rsidRPr="006018CC">
        <w:rPr>
          <w:rtl/>
        </w:rPr>
        <w:t>لتبني الذكاء الاصطناعي بشكل فعال، من المهم أن يكون لدى المؤسسة إطار عمل لتقييم جاهزيتها. يشمل هذا الإطار عدة أبعاد أساسية</w:t>
      </w:r>
      <w:r w:rsidRPr="006018CC">
        <w:rPr>
          <w:lang w:val="en-GB"/>
        </w:rPr>
        <w:t>:</w:t>
      </w:r>
    </w:p>
    <w:p w14:paraId="7FC2881C" w14:textId="77777777" w:rsidR="00D7048D" w:rsidRPr="006018CC" w:rsidRDefault="00D7048D" w:rsidP="00D7048D">
      <w:pPr>
        <w:numPr>
          <w:ilvl w:val="0"/>
          <w:numId w:val="54"/>
        </w:numPr>
        <w:rPr>
          <w:lang w:val="en-GB"/>
        </w:rPr>
      </w:pPr>
      <w:r w:rsidRPr="006018CC">
        <w:rPr>
          <w:b/>
          <w:bCs/>
          <w:rtl/>
        </w:rPr>
        <w:t>القدرات التقنية</w:t>
      </w:r>
      <w:r w:rsidRPr="006018CC">
        <w:rPr>
          <w:lang w:val="en-GB"/>
        </w:rPr>
        <w:t xml:space="preserve">: </w:t>
      </w:r>
      <w:r w:rsidRPr="006018CC">
        <w:rPr>
          <w:rtl/>
        </w:rPr>
        <w:t>يتطلب الذكاء الاصطناعي بنية تحتية قوية تشمل الأنظمة الرقمية والخوادم المتطورة</w:t>
      </w:r>
      <w:r w:rsidRPr="006018CC">
        <w:rPr>
          <w:lang w:val="en-GB"/>
        </w:rPr>
        <w:t>.</w:t>
      </w:r>
    </w:p>
    <w:p w14:paraId="64ECA623" w14:textId="77777777" w:rsidR="00D7048D" w:rsidRPr="006018CC" w:rsidRDefault="00D7048D" w:rsidP="00D7048D">
      <w:pPr>
        <w:numPr>
          <w:ilvl w:val="0"/>
          <w:numId w:val="54"/>
        </w:numPr>
        <w:rPr>
          <w:lang w:val="en-GB"/>
        </w:rPr>
      </w:pPr>
      <w:r w:rsidRPr="006018CC">
        <w:rPr>
          <w:b/>
          <w:bCs/>
          <w:rtl/>
        </w:rPr>
        <w:t>القدرات البشرية</w:t>
      </w:r>
      <w:r w:rsidRPr="006018CC">
        <w:rPr>
          <w:lang w:val="en-GB"/>
        </w:rPr>
        <w:t xml:space="preserve">: </w:t>
      </w:r>
      <w:r w:rsidRPr="006018CC">
        <w:rPr>
          <w:rtl/>
        </w:rPr>
        <w:t>يحتاج تبني الذكاء الاصطناعي إلى موظفين مدربين على تقنيات</w:t>
      </w:r>
      <w:r w:rsidRPr="006018CC">
        <w:rPr>
          <w:lang w:val="en-GB"/>
        </w:rPr>
        <w:t xml:space="preserve"> AI </w:t>
      </w:r>
      <w:r w:rsidRPr="006018CC">
        <w:rPr>
          <w:rtl/>
        </w:rPr>
        <w:t>وعلوم البيانات</w:t>
      </w:r>
      <w:r w:rsidRPr="006018CC">
        <w:rPr>
          <w:lang w:val="en-GB"/>
        </w:rPr>
        <w:t>.</w:t>
      </w:r>
    </w:p>
    <w:p w14:paraId="65AE723E" w14:textId="77777777" w:rsidR="00D7048D" w:rsidRPr="006018CC" w:rsidRDefault="00D7048D" w:rsidP="00D7048D">
      <w:pPr>
        <w:numPr>
          <w:ilvl w:val="0"/>
          <w:numId w:val="54"/>
        </w:numPr>
        <w:rPr>
          <w:lang w:val="en-GB"/>
        </w:rPr>
      </w:pPr>
      <w:r w:rsidRPr="006018CC">
        <w:rPr>
          <w:b/>
          <w:bCs/>
          <w:rtl/>
        </w:rPr>
        <w:t>ثقافة الابتكار</w:t>
      </w:r>
      <w:r w:rsidRPr="006018CC">
        <w:rPr>
          <w:lang w:val="en-GB"/>
        </w:rPr>
        <w:t xml:space="preserve">: </w:t>
      </w:r>
      <w:r w:rsidRPr="006018CC">
        <w:rPr>
          <w:rtl/>
        </w:rPr>
        <w:t>المؤسسات التي تملك ثقافة تشجع الابتكار والتغيير تكون أكثر استعدادًا لتبني هذه التقنية</w:t>
      </w:r>
      <w:r w:rsidRPr="006018CC">
        <w:rPr>
          <w:lang w:val="en-GB"/>
        </w:rPr>
        <w:t>.</w:t>
      </w:r>
    </w:p>
    <w:p w14:paraId="70619315" w14:textId="77777777" w:rsidR="00D7048D" w:rsidRPr="006018CC" w:rsidRDefault="00D7048D" w:rsidP="00D7048D">
      <w:pPr>
        <w:numPr>
          <w:ilvl w:val="0"/>
          <w:numId w:val="54"/>
        </w:numPr>
        <w:rPr>
          <w:lang w:val="en-GB"/>
        </w:rPr>
      </w:pPr>
      <w:r w:rsidRPr="006018CC">
        <w:rPr>
          <w:b/>
          <w:bCs/>
          <w:rtl/>
        </w:rPr>
        <w:t>البيئة التنظيمية والسياسات</w:t>
      </w:r>
      <w:r w:rsidRPr="006018CC">
        <w:rPr>
          <w:lang w:val="en-GB"/>
        </w:rPr>
        <w:t xml:space="preserve">: </w:t>
      </w:r>
      <w:r w:rsidRPr="006018CC">
        <w:rPr>
          <w:rtl/>
        </w:rPr>
        <w:t>يجب أن يكون هناك دعم إداري لتطبيق الذكاء الاصطناعي، بما في ذلك وجود سياسات تشجع على الأبحاث والتطوير في هذا المجال</w:t>
      </w:r>
      <w:r w:rsidRPr="006018CC">
        <w:rPr>
          <w:lang w:val="en-GB"/>
        </w:rPr>
        <w:t xml:space="preserve"> (Mikalef et al., 2020).</w:t>
      </w:r>
    </w:p>
    <w:p w14:paraId="3A764751" w14:textId="77777777" w:rsidR="00E916B9" w:rsidRPr="006018CC" w:rsidRDefault="00E916B9" w:rsidP="00E916B9">
      <w:pPr>
        <w:spacing w:after="0"/>
        <w:rPr>
          <w:b/>
          <w:bCs/>
          <w:rtl/>
        </w:rPr>
      </w:pPr>
      <w:r w:rsidRPr="006018CC">
        <w:rPr>
          <w:b/>
          <w:bCs/>
          <w:rtl/>
        </w:rPr>
        <w:t>نتائج مؤشر جاهزية الحكومة للذكاء الاصطناعي 2024</w:t>
      </w:r>
    </w:p>
    <w:p w14:paraId="669AB11C" w14:textId="77777777" w:rsidR="00E916B9" w:rsidRPr="006018CC" w:rsidRDefault="00E916B9" w:rsidP="00E916B9">
      <w:pPr>
        <w:spacing w:after="0"/>
        <w:rPr>
          <w:rtl/>
        </w:rPr>
      </w:pPr>
      <w:r w:rsidRPr="006018CC">
        <w:rPr>
          <w:rtl/>
        </w:rPr>
        <w:t>كشفت نتائج مؤشر جاهزية الحكومة للذكاء الاصطناعي أن استراتيجيات الذكاء الاصطناعي تعود إلى الارتفاع مرة أخرى، مع زخم متزايد في مختلف الدول ذات الدخل المنخفض والمتوسط في العام الماضي، حيث قامت الاقتصادات ذات الدخل المنخفض والمتوسط المنخفض بإضفاء الطابع الرسمي بشكل متزايد على رؤيتها للذكاء الاصطناعي.</w:t>
      </w:r>
    </w:p>
    <w:p w14:paraId="57897256" w14:textId="77777777" w:rsidR="00E916B9" w:rsidRPr="006018CC" w:rsidRDefault="00E916B9" w:rsidP="00E916B9">
      <w:pPr>
        <w:spacing w:after="0"/>
        <w:ind w:firstLine="0"/>
        <w:rPr>
          <w:rtl/>
        </w:rPr>
      </w:pPr>
      <w:r w:rsidRPr="006018CC">
        <w:rPr>
          <w:rtl/>
        </w:rPr>
        <w:t>ففي عام 2024، تم نشر أو الإعلان عن 12 استراتيجية جديدة للذكاء الاصطناعي - وهو ثلاثة أضعاف العدد الذي شوهد في عام 2023، والجدير بالذكر أن أكثر من نصف هذه الاستراتيجيات تأتي من بلدان ذات دخل متوسط منخفض ودخل منخفض، مما يدل على تقدم الاقتصادات التي تأخرت تاريخيًا في حوكمة الذكاء الاصطناعي. على سبيل المثال، أصبحت إثيوبيا ثاني دولة منخفضة الدخل تطلق استراتيجية، بعد إنجاز رواندا في عام 2023. وبالمثل، قامت اقتصادات ذات دخل متوسط منخفض مثل غانا ونيجيريا وسريلانكا وأوزبكستان وزامبيا بإضفاء الطابع الرسمي على رؤى الذكاء الاصطناعي الخاصة بها هذا العام، بعد أن كانت قيد التطوير في عام 2023.</w:t>
      </w:r>
    </w:p>
    <w:p w14:paraId="4EF42E0D" w14:textId="77777777" w:rsidR="00E916B9" w:rsidRPr="006018CC" w:rsidRDefault="00E916B9" w:rsidP="00E916B9">
      <w:pPr>
        <w:spacing w:after="0"/>
        <w:rPr>
          <w:rtl/>
        </w:rPr>
      </w:pPr>
      <w:r w:rsidRPr="006018CC">
        <w:rPr>
          <w:rtl/>
        </w:rPr>
        <w:lastRenderedPageBreak/>
        <w:t xml:space="preserve">تشير هذه المناطق - التي كانت ممثلة تاريخيًا بشكل أقل في إصدار استراتيجية الذكاء الاصطناعي - إلى التزامها ببناء أطر الحوكمة الأساسية اللازمة لتحسين جاهزية الذكاء الاصطناعي، وفي الوقت نفسه، ساهمت البلدان ذات الدخل المرتفع أيضًا في الإجمالي، وإن كان بوتيرة أبطأ من السنوات السابقة. أصدرت دول مثل رومانيا استراتيجيات جديدة في عام 2024، مما يعكس التقدم المطرد في الاقتصادات الأكثر تقدمًا. </w:t>
      </w:r>
    </w:p>
    <w:p w14:paraId="08977647" w14:textId="77777777" w:rsidR="00E916B9" w:rsidRPr="006018CC" w:rsidRDefault="00E916B9" w:rsidP="00E916B9">
      <w:pPr>
        <w:spacing w:after="0"/>
        <w:rPr>
          <w:rtl/>
        </w:rPr>
      </w:pPr>
      <w:r w:rsidRPr="006018CC">
        <w:rPr>
          <w:rFonts w:hint="cs"/>
          <w:rtl/>
        </w:rPr>
        <w:t xml:space="preserve">تسلط </w:t>
      </w:r>
      <w:r w:rsidRPr="006018CC">
        <w:rPr>
          <w:rtl/>
        </w:rPr>
        <w:t>هذه التطورات الضوء على الاعتراف المتزايد بالذكاء الاصطناعي كمحرك للتنمية الوطنية، ومن المرجح أن يلعب التعاون الدولي وتبادل المعرفة دورًا في دعم هذا الزخم. وبالنظر إلى المستقبل، ستكون هذه الجهود حاسمة في معالجة الثغرات في الحوكمة، حيث تقوم المزيد من البلدان بإضفاء الطابع الرسمي على استراتيجيات الذكاء الاصطناعي وتعزيز قدرتها على تبني الذكاء الاصطناعي بشكل فعال.</w:t>
      </w:r>
    </w:p>
    <w:p w14:paraId="35A13532" w14:textId="77777777" w:rsidR="00E916B9" w:rsidRPr="006018CC" w:rsidRDefault="00E916B9" w:rsidP="00E916B9">
      <w:pPr>
        <w:spacing w:after="0"/>
        <w:rPr>
          <w:rtl/>
        </w:rPr>
      </w:pPr>
      <w:r w:rsidRPr="006018CC">
        <w:rPr>
          <w:rtl/>
        </w:rPr>
        <w:t>يُعد مؤشر جاهزية الحكومة للذكاء الاصطناعي موردًا موثوقًا به لصناع السياسات، وتم اعتماده كمعيار رسمي من قبل الحكومات الوطنية، وتم الرجوع إليه من قبل المنظمات الرائدة مثل اليونسكو ومجموعة العشرين، ويعمل المؤشر هذا العام على تقييم جاهزية الذكاء الاصطناعي لـ 188 دولة في وقت من التعقيد المتزايد، حيث تواجه الحكومات احتياجات وتحديات المواطنين المتطورة مثل عدم اليقين الاقتصادي ومخاطر المناخ وتزايد التفاوتات. ويلعب الذكاء الاصطناعي دورًا رئيسيًا - ليس فقط في إدارة التكنولوجيا، ولكن في مساعدة الحكومات على الأداء بشكل أفضل.</w:t>
      </w:r>
    </w:p>
    <w:p w14:paraId="048289DF" w14:textId="77777777" w:rsidR="00E916B9" w:rsidRPr="006018CC" w:rsidRDefault="00E916B9" w:rsidP="00E916B9">
      <w:pPr>
        <w:spacing w:after="0"/>
        <w:rPr>
          <w:rtl/>
        </w:rPr>
      </w:pPr>
      <w:r w:rsidRPr="006018CC">
        <w:rPr>
          <w:rtl/>
        </w:rPr>
        <w:t xml:space="preserve">يعتمد المؤشر على ثلاثة ركائز: الحكومة، وقطاع التكنولوجيا، وركيزة البيانات والبنية </w:t>
      </w:r>
      <w:proofErr w:type="gramStart"/>
      <w:r w:rsidRPr="006018CC">
        <w:rPr>
          <w:rtl/>
        </w:rPr>
        <w:t>التحتية ،</w:t>
      </w:r>
      <w:proofErr w:type="gramEnd"/>
      <w:r w:rsidRPr="006018CC">
        <w:rPr>
          <w:rtl/>
        </w:rPr>
        <w:t xml:space="preserve"> بنحو 40 مؤشرًا فرعيا وتتراوح قيمة المؤشر بين (100:0) نقطة وكلما اقتربت إلى 100 كان ذلك أفضل.</w:t>
      </w:r>
    </w:p>
    <w:p w14:paraId="1EEFE729" w14:textId="77777777" w:rsidR="00E916B9" w:rsidRPr="006018CC" w:rsidRDefault="00E916B9" w:rsidP="00E916B9">
      <w:pPr>
        <w:spacing w:after="0"/>
      </w:pPr>
      <w:r w:rsidRPr="006018CC">
        <w:rPr>
          <w:rtl/>
        </w:rPr>
        <w:t>جاءت الإمارات في المركز الأول عربيا والمركز 13 عالميا بنحو (75.66 نقطة)، تلتها كل من السعودية في المركز الثاني عربيا والـ 22 عالميا بنحو (72.36 نقطة)، ثم قطر في المركز الثالث عربيا والمركز 32 عالميا بقيمة (68.22 نقطة)، فيما جاءت كل من اليمن وأفغانستان وسوريا في المراكز الأخيرة عالميا على التوالي.</w:t>
      </w:r>
    </w:p>
    <w:p w14:paraId="443F0C15" w14:textId="5EAFD829" w:rsidR="00D7048D" w:rsidRPr="006018CC" w:rsidRDefault="00D7048D" w:rsidP="00E916B9">
      <w:pPr>
        <w:rPr>
          <w:b/>
          <w:bCs/>
          <w:lang w:val="en-GB"/>
        </w:rPr>
      </w:pPr>
      <w:r w:rsidRPr="006018CC">
        <w:rPr>
          <w:b/>
          <w:bCs/>
          <w:rtl/>
        </w:rPr>
        <w:t>استراتيجيات لتعظيم فوائد الذكاء الاصطناعي في الابتكار والتنافسية</w:t>
      </w:r>
    </w:p>
    <w:p w14:paraId="41BF4810" w14:textId="77777777" w:rsidR="00D7048D" w:rsidRPr="006018CC" w:rsidRDefault="00D7048D" w:rsidP="00D7048D">
      <w:pPr>
        <w:rPr>
          <w:lang w:val="en-GB"/>
        </w:rPr>
      </w:pPr>
      <w:r w:rsidRPr="006018CC">
        <w:rPr>
          <w:rtl/>
        </w:rPr>
        <w:t>لتعظيم فوائد الذكاء الاصطناعي في الابتكار والتنافسية، يجب على المؤسسات المتوسطة والصغيرة اتباع بعض الاستراتيجيات الأساسية</w:t>
      </w:r>
      <w:r w:rsidRPr="006018CC">
        <w:rPr>
          <w:lang w:val="en-GB"/>
        </w:rPr>
        <w:t>:</w:t>
      </w:r>
    </w:p>
    <w:p w14:paraId="623C5DC2" w14:textId="77777777" w:rsidR="00D7048D" w:rsidRPr="006018CC" w:rsidRDefault="00D7048D" w:rsidP="00D7048D">
      <w:pPr>
        <w:numPr>
          <w:ilvl w:val="0"/>
          <w:numId w:val="55"/>
        </w:numPr>
        <w:rPr>
          <w:lang w:val="en-GB"/>
        </w:rPr>
      </w:pPr>
      <w:r w:rsidRPr="006018CC">
        <w:rPr>
          <w:b/>
          <w:bCs/>
          <w:rtl/>
        </w:rPr>
        <w:t>تكامل الذكاء الاصطناعي مع استراتيجيات العمل</w:t>
      </w:r>
      <w:r w:rsidRPr="006018CC">
        <w:rPr>
          <w:lang w:val="en-GB"/>
        </w:rPr>
        <w:t xml:space="preserve">: </w:t>
      </w:r>
      <w:r w:rsidRPr="006018CC">
        <w:rPr>
          <w:rtl/>
        </w:rPr>
        <w:t>يجب على المؤسسات وضع الذكاء الاصطناعي ضمن استراتيجياتها التشغيلية بشكل متكامل، بحيث يسهم في تحسين العمليات والمنتجات</w:t>
      </w:r>
      <w:r w:rsidRPr="006018CC">
        <w:rPr>
          <w:lang w:val="en-GB"/>
        </w:rPr>
        <w:t>.</w:t>
      </w:r>
    </w:p>
    <w:p w14:paraId="40E5D469" w14:textId="77777777" w:rsidR="00D7048D" w:rsidRPr="006018CC" w:rsidRDefault="00D7048D" w:rsidP="00D7048D">
      <w:pPr>
        <w:numPr>
          <w:ilvl w:val="0"/>
          <w:numId w:val="55"/>
        </w:numPr>
        <w:rPr>
          <w:lang w:val="en-GB"/>
        </w:rPr>
      </w:pPr>
      <w:r w:rsidRPr="006018CC">
        <w:rPr>
          <w:b/>
          <w:bCs/>
          <w:rtl/>
        </w:rPr>
        <w:lastRenderedPageBreak/>
        <w:t>الاستثمار في التدريب والتطوير</w:t>
      </w:r>
      <w:r w:rsidRPr="006018CC">
        <w:rPr>
          <w:lang w:val="en-GB"/>
        </w:rPr>
        <w:t xml:space="preserve">: </w:t>
      </w:r>
      <w:r w:rsidRPr="006018CC">
        <w:rPr>
          <w:rtl/>
        </w:rPr>
        <w:t>تعد الكوادر المدربة على استخدام الذكاء الاصطناعي من أهم عناصر النجاح، لذا ينبغي الاستثمار في برامج تدريب مستمرة</w:t>
      </w:r>
      <w:r w:rsidRPr="006018CC">
        <w:rPr>
          <w:lang w:val="en-GB"/>
        </w:rPr>
        <w:t>.</w:t>
      </w:r>
    </w:p>
    <w:p w14:paraId="4C12A06D" w14:textId="77777777" w:rsidR="00D7048D" w:rsidRPr="006018CC" w:rsidRDefault="00D7048D" w:rsidP="00D7048D">
      <w:pPr>
        <w:numPr>
          <w:ilvl w:val="0"/>
          <w:numId w:val="55"/>
        </w:numPr>
        <w:rPr>
          <w:lang w:val="en-GB"/>
        </w:rPr>
      </w:pPr>
      <w:r w:rsidRPr="006018CC">
        <w:rPr>
          <w:b/>
          <w:bCs/>
          <w:rtl/>
        </w:rPr>
        <w:t>التعاون مع شركاء التكنولوجيا</w:t>
      </w:r>
      <w:r w:rsidRPr="006018CC">
        <w:rPr>
          <w:lang w:val="en-GB"/>
        </w:rPr>
        <w:t xml:space="preserve">: </w:t>
      </w:r>
      <w:r w:rsidRPr="006018CC">
        <w:rPr>
          <w:rtl/>
        </w:rPr>
        <w:t>التعاون مع شركات تكنولوجيا المعلومات والذكاء الاصطناعي يمكن أن يوفر حلولًا مبتكرة تسرع من عملية تبني الذكاء الاصطناعي</w:t>
      </w:r>
      <w:r w:rsidRPr="006018CC">
        <w:rPr>
          <w:lang w:val="en-GB"/>
        </w:rPr>
        <w:t>.</w:t>
      </w:r>
    </w:p>
    <w:p w14:paraId="01A15F1A" w14:textId="77777777" w:rsidR="00D7048D" w:rsidRPr="006018CC" w:rsidRDefault="00D7048D" w:rsidP="00D7048D">
      <w:pPr>
        <w:numPr>
          <w:ilvl w:val="0"/>
          <w:numId w:val="55"/>
        </w:numPr>
        <w:rPr>
          <w:lang w:val="en-GB"/>
        </w:rPr>
      </w:pPr>
      <w:r w:rsidRPr="006018CC">
        <w:rPr>
          <w:b/>
          <w:bCs/>
          <w:rtl/>
        </w:rPr>
        <w:t>التركيز على البيانات</w:t>
      </w:r>
      <w:r w:rsidRPr="006018CC">
        <w:rPr>
          <w:lang w:val="en-GB"/>
        </w:rPr>
        <w:t xml:space="preserve">: </w:t>
      </w:r>
      <w:r w:rsidRPr="006018CC">
        <w:rPr>
          <w:rtl/>
        </w:rPr>
        <w:t>يعتبر الذكاء الاصطناعي معتمدًا بشكل رئيسي على البيانات، لذا يجب أن تستثمر المؤسسات في جمع وتحليل البيانات بشكل فعال لزيادة دقة القرارات</w:t>
      </w:r>
      <w:r w:rsidRPr="006018CC">
        <w:rPr>
          <w:lang w:val="en-GB"/>
        </w:rPr>
        <w:t xml:space="preserve"> (Sutherland et al., 2021).</w:t>
      </w:r>
    </w:p>
    <w:p w14:paraId="26CA1255" w14:textId="0D5FEED6" w:rsidR="00D7048D" w:rsidRPr="006018CC" w:rsidRDefault="00D7048D" w:rsidP="00D7048D">
      <w:pPr>
        <w:rPr>
          <w:b/>
          <w:bCs/>
          <w:lang w:val="en-GB"/>
        </w:rPr>
      </w:pPr>
      <w:r w:rsidRPr="006018CC">
        <w:rPr>
          <w:b/>
          <w:bCs/>
          <w:rtl/>
        </w:rPr>
        <w:t>دراسات حالة وأمثلة عملية</w:t>
      </w:r>
    </w:p>
    <w:p w14:paraId="312E0EF6" w14:textId="345A48B5" w:rsidR="00D7048D" w:rsidRPr="006018CC" w:rsidRDefault="00D7048D" w:rsidP="00D7048D">
      <w:pPr>
        <w:rPr>
          <w:b/>
          <w:bCs/>
          <w:lang w:val="en-GB"/>
        </w:rPr>
      </w:pPr>
      <w:r w:rsidRPr="006018CC">
        <w:rPr>
          <w:b/>
          <w:bCs/>
          <w:rtl/>
        </w:rPr>
        <w:t>نجاحات في تطبيق الذكاء الاصطناعي في مؤسسات متوسطة وصغيرة</w:t>
      </w:r>
    </w:p>
    <w:p w14:paraId="4F00CEAB" w14:textId="77777777" w:rsidR="00D7048D" w:rsidRPr="006018CC" w:rsidRDefault="00D7048D" w:rsidP="00D7048D">
      <w:pPr>
        <w:rPr>
          <w:lang w:val="en-GB"/>
        </w:rPr>
      </w:pPr>
      <w:r w:rsidRPr="006018CC">
        <w:rPr>
          <w:rtl/>
        </w:rPr>
        <w:t>في دراسة على عدد من المؤسسات المتوسطة والصغيرة، لوحظ أن الشركات التي تبنت الذكاء الاصطناعي حققت نتائج ملموسة في تحسين الكفاءة وتقليل التكاليف. على سبيل المثال، في المملكة المتحدة، قامت إحدى الشركات المتوسطة باستخدام الذكاء الاصطناعي لتحسين خدمات العملاء عبر روبوتات الدردشة الذكية، مما أدى إلى تقليص أوقات الاستجابة وزيادة رضا العملاء. كذلك، تمكنت شركة ناشئة في الهند من استخدام الذكاء الاصطناعي لتحليل بيانات العملاء وتقديم منتجات مخصصة، مما عزز من قدرتها التنافسية</w:t>
      </w:r>
      <w:r w:rsidRPr="006018CC">
        <w:rPr>
          <w:lang w:val="en-GB"/>
        </w:rPr>
        <w:t xml:space="preserve"> (Pereira et al., 2021).</w:t>
      </w:r>
    </w:p>
    <w:p w14:paraId="6D054967" w14:textId="22395ADF" w:rsidR="00D7048D" w:rsidRPr="006018CC" w:rsidRDefault="00D7048D" w:rsidP="00D7048D">
      <w:pPr>
        <w:rPr>
          <w:b/>
          <w:bCs/>
          <w:lang w:val="en-GB"/>
        </w:rPr>
      </w:pPr>
      <w:r w:rsidRPr="006018CC">
        <w:rPr>
          <w:b/>
          <w:bCs/>
          <w:rtl/>
        </w:rPr>
        <w:t>دروس مستفادة من تجارب تبني الذكاء الاصطناعي</w:t>
      </w:r>
    </w:p>
    <w:p w14:paraId="7EDDDD50" w14:textId="77777777" w:rsidR="00D7048D" w:rsidRPr="006018CC" w:rsidRDefault="00D7048D" w:rsidP="00D7048D">
      <w:pPr>
        <w:rPr>
          <w:lang w:val="en-GB"/>
        </w:rPr>
      </w:pPr>
      <w:r w:rsidRPr="006018CC">
        <w:rPr>
          <w:rtl/>
        </w:rPr>
        <w:t>من تجارب تبني الذكاء الاصطناعي في مؤسسات متوسطة وصغيرة، يمكن استخلاص دروس مهمة. أولاً، يتعين على الشركات أن تكون مستعدة لتحديات البيانات، بما في ذلك جمع البيانات وتنظيفها بشكل مناسب قبل استخدامها في تطبيقات الذكاء الاصطناعي. ثانيًا، تبرز أهمية القيادة الداعمة من جانب الإدارة العليا، حيث يجب أن تلتزم المؤسسات بالاستثمار في البنية التحتية والتدريب لضمان النجاح في تطبيق الذكاء الاصطناعي</w:t>
      </w:r>
      <w:r w:rsidRPr="006018CC">
        <w:rPr>
          <w:lang w:val="en-GB"/>
        </w:rPr>
        <w:t xml:space="preserve"> (</w:t>
      </w:r>
      <w:proofErr w:type="spellStart"/>
      <w:r w:rsidRPr="006018CC">
        <w:rPr>
          <w:lang w:val="en-GB"/>
        </w:rPr>
        <w:t>Lasi</w:t>
      </w:r>
      <w:proofErr w:type="spellEnd"/>
      <w:r w:rsidRPr="006018CC">
        <w:rPr>
          <w:lang w:val="en-GB"/>
        </w:rPr>
        <w:t xml:space="preserve"> et al., 2020).</w:t>
      </w:r>
    </w:p>
    <w:p w14:paraId="208051A8" w14:textId="640B57EF" w:rsidR="00D7048D" w:rsidRPr="006018CC" w:rsidRDefault="00D7048D" w:rsidP="00D7048D">
      <w:pPr>
        <w:rPr>
          <w:b/>
          <w:bCs/>
          <w:lang w:val="en-GB"/>
        </w:rPr>
      </w:pPr>
      <w:r w:rsidRPr="006018CC">
        <w:rPr>
          <w:b/>
          <w:bCs/>
          <w:rtl/>
        </w:rPr>
        <w:t>الاتجاهات المستقبلية والتوقعات</w:t>
      </w:r>
    </w:p>
    <w:p w14:paraId="75C95CCA" w14:textId="01BA52E9" w:rsidR="00D7048D" w:rsidRPr="006018CC" w:rsidRDefault="00D7048D" w:rsidP="00D7048D">
      <w:pPr>
        <w:rPr>
          <w:b/>
          <w:bCs/>
          <w:lang w:val="en-GB"/>
        </w:rPr>
      </w:pPr>
      <w:r w:rsidRPr="006018CC">
        <w:rPr>
          <w:b/>
          <w:bCs/>
          <w:rtl/>
        </w:rPr>
        <w:t>التطورات المتوقعة في تقنيات الذكاء الاصطناعي</w:t>
      </w:r>
    </w:p>
    <w:p w14:paraId="48F9AB84" w14:textId="3367FE58" w:rsidR="00D7048D" w:rsidRPr="00752169" w:rsidRDefault="00D7048D" w:rsidP="00D7048D">
      <w:r w:rsidRPr="006018CC">
        <w:rPr>
          <w:rtl/>
        </w:rPr>
        <w:t>من المتوقع أن تستمر تقنيات الذكاء الاصطناعي في التطور بشكل سريع، حيث سيشهد المستقبل دمج تقنيات الذكاء الاصطناعي مع إنترنت الأشياء</w:t>
      </w:r>
      <w:r w:rsidRPr="006018CC">
        <w:rPr>
          <w:lang w:val="en-GB"/>
        </w:rPr>
        <w:t xml:space="preserve"> (IoT) </w:t>
      </w:r>
      <w:r w:rsidRPr="006018CC">
        <w:rPr>
          <w:rtl/>
        </w:rPr>
        <w:t>والحوسبة السحابية، مما يسهم في تحسين قدرة المؤسسات على جمع البيانات وتحليلها بشكل أكثر دقة وفعالية</w:t>
      </w:r>
      <w:r w:rsidRPr="006018CC">
        <w:rPr>
          <w:lang w:val="en-GB"/>
        </w:rPr>
        <w:t xml:space="preserve"> (Binns  </w:t>
      </w:r>
      <w:r w:rsidR="00E916B9" w:rsidRPr="006018CC">
        <w:rPr>
          <w:rtl/>
          <w:lang w:val="en-GB"/>
        </w:rPr>
        <w:br/>
      </w:r>
      <w:r w:rsidRPr="006018CC">
        <w:rPr>
          <w:lang w:val="en-GB"/>
        </w:rPr>
        <w:t>Brown, 2021).</w:t>
      </w:r>
    </w:p>
    <w:p w14:paraId="2D35C3CA" w14:textId="779DF484" w:rsidR="00D7048D" w:rsidRPr="006018CC" w:rsidRDefault="00D7048D" w:rsidP="00D7048D">
      <w:pPr>
        <w:rPr>
          <w:b/>
          <w:bCs/>
          <w:lang w:val="en-GB"/>
        </w:rPr>
      </w:pPr>
      <w:r w:rsidRPr="006018CC">
        <w:rPr>
          <w:b/>
          <w:bCs/>
          <w:rtl/>
        </w:rPr>
        <w:lastRenderedPageBreak/>
        <w:t>التأثيرات المحتملة على مستقبل الابتكار والتنافسية</w:t>
      </w:r>
    </w:p>
    <w:p w14:paraId="02A4F840" w14:textId="77777777" w:rsidR="00D7048D" w:rsidRPr="006018CC" w:rsidRDefault="00D7048D" w:rsidP="00D7048D">
      <w:pPr>
        <w:rPr>
          <w:lang w:val="en-GB"/>
        </w:rPr>
      </w:pPr>
      <w:r w:rsidRPr="006018CC">
        <w:rPr>
          <w:rtl/>
        </w:rPr>
        <w:t>سيؤثر الذكاء الاصطناعي بشكل كبير على الابتكار والتنافسية في المستقبل، حيث سيتمكن من تعزيز القدرة على الابتكار من خلال تحليل البيانات واكتشاف الأنماط الخفية التي يمكن أن تؤدي إلى تطوير منتجات أو خدمات جديدة. كما سيكون له تأثير على تعزيز التنافسية من خلال تحسين الكفاءة وتقليل التكاليف</w:t>
      </w:r>
      <w:r w:rsidRPr="006018CC">
        <w:rPr>
          <w:lang w:val="en-GB"/>
        </w:rPr>
        <w:t>.</w:t>
      </w:r>
    </w:p>
    <w:p w14:paraId="0DD456E4" w14:textId="667A29AE" w:rsidR="00D7048D" w:rsidRPr="006018CC" w:rsidRDefault="00D7048D" w:rsidP="00D7048D">
      <w:pPr>
        <w:rPr>
          <w:b/>
          <w:bCs/>
          <w:lang w:val="en-GB"/>
        </w:rPr>
      </w:pPr>
      <w:r w:rsidRPr="006018CC">
        <w:rPr>
          <w:b/>
          <w:bCs/>
          <w:rtl/>
        </w:rPr>
        <w:t>توصيات للمؤسسات المتوسطة والصغيرة للاستعداد للمستقبل</w:t>
      </w:r>
    </w:p>
    <w:p w14:paraId="26161FAE" w14:textId="77777777" w:rsidR="00D7048D" w:rsidRPr="006018CC" w:rsidRDefault="00D7048D" w:rsidP="00D7048D">
      <w:pPr>
        <w:rPr>
          <w:lang w:val="en-GB"/>
        </w:rPr>
      </w:pPr>
      <w:r w:rsidRPr="006018CC">
        <w:rPr>
          <w:rtl/>
        </w:rPr>
        <w:t>من المهم أن تبدأ المؤسسات المتوسطة والصغيرة في إعداد خطط استراتيجية لتبني الذكاء الاصطناعي، تشمل الاستثمار في تدريب الكوادر البشرية، تحديث البنية التحتية التكنولوجية، ودمج الذكاء الاصطناعي في العمليات اليومية. هذه الخطوات ستضمن أن تكون المؤسسات مستعدة للاستفادة من التغيرات المستقبلية في التقنية والابتكار</w:t>
      </w:r>
      <w:r w:rsidRPr="006018CC">
        <w:rPr>
          <w:lang w:val="en-GB"/>
        </w:rPr>
        <w:t xml:space="preserve"> (Sutherland et al., 2021).</w:t>
      </w:r>
    </w:p>
    <w:p w14:paraId="4614E1C6" w14:textId="77777777" w:rsidR="004B0569" w:rsidRPr="006018CC" w:rsidRDefault="004B0569" w:rsidP="004B0569">
      <w:pPr>
        <w:rPr>
          <w:rtl/>
          <w:lang w:val="en-GB"/>
        </w:rPr>
      </w:pPr>
    </w:p>
    <w:p w14:paraId="08B46A95" w14:textId="77777777" w:rsidR="00284C4A" w:rsidRPr="007A1F68" w:rsidRDefault="00284C4A" w:rsidP="007A1F68">
      <w:pPr>
        <w:widowControl w:val="0"/>
        <w:autoSpaceDE w:val="0"/>
        <w:autoSpaceDN w:val="0"/>
        <w:bidi w:val="0"/>
        <w:adjustRightInd w:val="0"/>
        <w:spacing w:after="0"/>
        <w:ind w:left="360" w:hanging="567"/>
        <w:rPr>
          <w:rFonts w:asciiTheme="majorBidi" w:hAnsiTheme="majorBidi" w:cstheme="majorBidi"/>
          <w:noProof/>
          <w:sz w:val="24"/>
          <w:szCs w:val="24"/>
        </w:rPr>
      </w:pPr>
    </w:p>
    <w:sectPr w:rsidR="00284C4A" w:rsidRPr="007A1F68" w:rsidSect="009F1D6B">
      <w:footerReference w:type="default" r:id="rId12"/>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4CCBE" w14:textId="77777777" w:rsidR="005F1F5C" w:rsidRDefault="005F1F5C" w:rsidP="00284C4A">
      <w:pPr>
        <w:spacing w:after="0"/>
      </w:pPr>
      <w:r>
        <w:separator/>
      </w:r>
    </w:p>
  </w:endnote>
  <w:endnote w:type="continuationSeparator" w:id="0">
    <w:p w14:paraId="4CA52425" w14:textId="77777777" w:rsidR="005F1F5C" w:rsidRDefault="005F1F5C" w:rsidP="00284C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8A500" w14:textId="77777777" w:rsidR="002871BA" w:rsidRDefault="002871B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F6529" w14:textId="77777777" w:rsidR="005F1F5C" w:rsidRDefault="005F1F5C" w:rsidP="00284C4A">
      <w:pPr>
        <w:spacing w:after="0"/>
      </w:pPr>
      <w:r>
        <w:separator/>
      </w:r>
    </w:p>
  </w:footnote>
  <w:footnote w:type="continuationSeparator" w:id="0">
    <w:p w14:paraId="06B33AFD" w14:textId="77777777" w:rsidR="005F1F5C" w:rsidRDefault="005F1F5C" w:rsidP="00284C4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2BBE"/>
    <w:multiLevelType w:val="hybridMultilevel"/>
    <w:tmpl w:val="BC6E564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C0409"/>
    <w:multiLevelType w:val="hybridMultilevel"/>
    <w:tmpl w:val="014E6FC8"/>
    <w:lvl w:ilvl="0" w:tplc="4FD61B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62E85"/>
    <w:multiLevelType w:val="hybridMultilevel"/>
    <w:tmpl w:val="AE4AD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10335"/>
    <w:multiLevelType w:val="multilevel"/>
    <w:tmpl w:val="5A48D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A134E8"/>
    <w:multiLevelType w:val="hybridMultilevel"/>
    <w:tmpl w:val="E0A6EE56"/>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9F64B8A"/>
    <w:multiLevelType w:val="hybridMultilevel"/>
    <w:tmpl w:val="413C20B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0DAC36F0"/>
    <w:multiLevelType w:val="multilevel"/>
    <w:tmpl w:val="83CE0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9D1C29"/>
    <w:multiLevelType w:val="hybridMultilevel"/>
    <w:tmpl w:val="9A10BE1E"/>
    <w:lvl w:ilvl="0" w:tplc="468CF128">
      <w:start w:val="1"/>
      <w:numFmt w:val="decimal"/>
      <w:lvlText w:val="%1-"/>
      <w:lvlJc w:val="left"/>
      <w:pPr>
        <w:ind w:left="720" w:hanging="360"/>
      </w:pPr>
      <w:rPr>
        <w:rFonts w:hint="default"/>
      </w:rPr>
    </w:lvl>
    <w:lvl w:ilvl="1" w:tplc="4934C184">
      <w:numFmt w:val="bullet"/>
      <w:lvlText w:val="-"/>
      <w:lvlJc w:val="left"/>
      <w:pPr>
        <w:ind w:left="1440" w:hanging="360"/>
      </w:pPr>
      <w:rPr>
        <w:rFonts w:ascii="Simplified Arabic" w:eastAsiaTheme="minorHAnsi" w:hAnsi="Simplified Arabic" w:cs="Simplified Arabic" w:hint="default"/>
      </w:rPr>
    </w:lvl>
    <w:lvl w:ilvl="2" w:tplc="FB00EDCC">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92AC7"/>
    <w:multiLevelType w:val="hybridMultilevel"/>
    <w:tmpl w:val="7B2CDC5C"/>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9" w15:restartNumberingAfterBreak="0">
    <w:nsid w:val="13473855"/>
    <w:multiLevelType w:val="multilevel"/>
    <w:tmpl w:val="867CB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BC22A0"/>
    <w:multiLevelType w:val="hybridMultilevel"/>
    <w:tmpl w:val="2F02C57E"/>
    <w:lvl w:ilvl="0" w:tplc="1616A366">
      <w:numFmt w:val="bullet"/>
      <w:lvlText w:val="-"/>
      <w:lvlJc w:val="left"/>
      <w:pPr>
        <w:ind w:left="734" w:hanging="360"/>
      </w:pPr>
      <w:rPr>
        <w:rFonts w:ascii="Simplified Arabic" w:eastAsia="Times New Roman" w:hAnsi="Simplified Arabic" w:cs="Simplified Arabic"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15:restartNumberingAfterBreak="0">
    <w:nsid w:val="16267688"/>
    <w:multiLevelType w:val="hybridMultilevel"/>
    <w:tmpl w:val="0058ADF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091D71"/>
    <w:multiLevelType w:val="hybridMultilevel"/>
    <w:tmpl w:val="553EB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F0E1873"/>
    <w:multiLevelType w:val="multilevel"/>
    <w:tmpl w:val="4E347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9B3180"/>
    <w:multiLevelType w:val="hybridMultilevel"/>
    <w:tmpl w:val="7B2CDC5C"/>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5" w15:restartNumberingAfterBreak="0">
    <w:nsid w:val="1FCD2C94"/>
    <w:multiLevelType w:val="hybridMultilevel"/>
    <w:tmpl w:val="AEF80D5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B35CB8"/>
    <w:multiLevelType w:val="multilevel"/>
    <w:tmpl w:val="9B80E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3A202E"/>
    <w:multiLevelType w:val="hybridMultilevel"/>
    <w:tmpl w:val="7456783E"/>
    <w:lvl w:ilvl="0" w:tplc="3B8E3714">
      <w:start w:val="1"/>
      <w:numFmt w:val="decimal"/>
      <w:lvlText w:val="%1-"/>
      <w:lvlJc w:val="left"/>
      <w:pPr>
        <w:ind w:left="1288"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18" w15:restartNumberingAfterBreak="0">
    <w:nsid w:val="248A004A"/>
    <w:multiLevelType w:val="hybridMultilevel"/>
    <w:tmpl w:val="77B27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58C1893"/>
    <w:multiLevelType w:val="hybridMultilevel"/>
    <w:tmpl w:val="FAFA155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286C67CF"/>
    <w:multiLevelType w:val="hybridMultilevel"/>
    <w:tmpl w:val="7456783E"/>
    <w:lvl w:ilvl="0" w:tplc="3B8E3714">
      <w:start w:val="1"/>
      <w:numFmt w:val="decimal"/>
      <w:lvlText w:val="%1-"/>
      <w:lvlJc w:val="left"/>
      <w:pPr>
        <w:ind w:left="1288"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21" w15:restartNumberingAfterBreak="0">
    <w:nsid w:val="29C63D36"/>
    <w:multiLevelType w:val="multilevel"/>
    <w:tmpl w:val="06FAF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D24164"/>
    <w:multiLevelType w:val="multilevel"/>
    <w:tmpl w:val="9D7C4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F6173E"/>
    <w:multiLevelType w:val="multilevel"/>
    <w:tmpl w:val="B378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D146B5"/>
    <w:multiLevelType w:val="hybridMultilevel"/>
    <w:tmpl w:val="7456783E"/>
    <w:lvl w:ilvl="0" w:tplc="3B8E3714">
      <w:start w:val="1"/>
      <w:numFmt w:val="decimal"/>
      <w:lvlText w:val="%1-"/>
      <w:lvlJc w:val="left"/>
      <w:pPr>
        <w:ind w:left="1288"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25" w15:restartNumberingAfterBreak="0">
    <w:nsid w:val="3509485C"/>
    <w:multiLevelType w:val="hybridMultilevel"/>
    <w:tmpl w:val="55ECB73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36756D26"/>
    <w:multiLevelType w:val="hybridMultilevel"/>
    <w:tmpl w:val="2182ED9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38097563"/>
    <w:multiLevelType w:val="hybridMultilevel"/>
    <w:tmpl w:val="96026610"/>
    <w:lvl w:ilvl="0" w:tplc="A3022FFE">
      <w:numFmt w:val="bullet"/>
      <w:lvlText w:val="-"/>
      <w:lvlJc w:val="left"/>
      <w:pPr>
        <w:ind w:left="720" w:hanging="360"/>
      </w:pPr>
      <w:rPr>
        <w:rFonts w:ascii="Simplified Arabic" w:eastAsia="Times New Roman"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124A6A"/>
    <w:multiLevelType w:val="multilevel"/>
    <w:tmpl w:val="0076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310363"/>
    <w:multiLevelType w:val="multilevel"/>
    <w:tmpl w:val="2C7C2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1324CF"/>
    <w:multiLevelType w:val="hybridMultilevel"/>
    <w:tmpl w:val="23DE87E8"/>
    <w:lvl w:ilvl="0" w:tplc="98C684AC">
      <w:start w:val="1"/>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D5360C"/>
    <w:multiLevelType w:val="hybridMultilevel"/>
    <w:tmpl w:val="5BB6C72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2" w15:restartNumberingAfterBreak="0">
    <w:nsid w:val="466D194E"/>
    <w:multiLevelType w:val="hybridMultilevel"/>
    <w:tmpl w:val="D06AFC3E"/>
    <w:lvl w:ilvl="0" w:tplc="E8467744">
      <w:start w:val="1"/>
      <w:numFmt w:val="decimal"/>
      <w:lvlText w:val="%1-"/>
      <w:lvlJc w:val="left"/>
      <w:pPr>
        <w:ind w:left="928" w:hanging="360"/>
      </w:pPr>
      <w:rPr>
        <w:rFonts w:hint="default"/>
        <w:b/>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3" w15:restartNumberingAfterBreak="0">
    <w:nsid w:val="468E6A6B"/>
    <w:multiLevelType w:val="hybridMultilevel"/>
    <w:tmpl w:val="59A458C0"/>
    <w:lvl w:ilvl="0" w:tplc="3B8E371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4" w15:restartNumberingAfterBreak="0">
    <w:nsid w:val="48A65203"/>
    <w:multiLevelType w:val="hybridMultilevel"/>
    <w:tmpl w:val="DAD827B4"/>
    <w:lvl w:ilvl="0" w:tplc="E8467744">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15:restartNumberingAfterBreak="0">
    <w:nsid w:val="48BA5258"/>
    <w:multiLevelType w:val="hybridMultilevel"/>
    <w:tmpl w:val="831AF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544FC9"/>
    <w:multiLevelType w:val="multilevel"/>
    <w:tmpl w:val="4390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762729"/>
    <w:multiLevelType w:val="hybridMultilevel"/>
    <w:tmpl w:val="24C617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4CC847A6"/>
    <w:multiLevelType w:val="hybridMultilevel"/>
    <w:tmpl w:val="CAF49C5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157AD6"/>
    <w:multiLevelType w:val="multilevel"/>
    <w:tmpl w:val="4C4E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534ECD"/>
    <w:multiLevelType w:val="hybridMultilevel"/>
    <w:tmpl w:val="CDFA95F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3AB05D0"/>
    <w:multiLevelType w:val="multilevel"/>
    <w:tmpl w:val="32DEB80C"/>
    <w:lvl w:ilvl="0">
      <w:start w:val="1"/>
      <w:numFmt w:val="decimal"/>
      <w:lvlText w:val="%1."/>
      <w:lvlJc w:val="left"/>
      <w:pPr>
        <w:ind w:left="720" w:hanging="360"/>
      </w:pPr>
    </w:lvl>
    <w:lvl w:ilvl="1">
      <w:start w:val="2"/>
      <w:numFmt w:val="decimal"/>
      <w:isLgl/>
      <w:lvlText w:val="%1.%2."/>
      <w:lvlJc w:val="left"/>
      <w:pPr>
        <w:ind w:left="1628" w:hanging="720"/>
      </w:pPr>
      <w:rPr>
        <w:rFonts w:hint="default"/>
      </w:rPr>
    </w:lvl>
    <w:lvl w:ilvl="2">
      <w:start w:val="1"/>
      <w:numFmt w:val="decimal"/>
      <w:isLgl/>
      <w:lvlText w:val="%1.%2.%3."/>
      <w:lvlJc w:val="left"/>
      <w:pPr>
        <w:ind w:left="2176" w:hanging="720"/>
      </w:pPr>
      <w:rPr>
        <w:rFonts w:hint="default"/>
      </w:rPr>
    </w:lvl>
    <w:lvl w:ilvl="3">
      <w:start w:val="1"/>
      <w:numFmt w:val="decimal"/>
      <w:isLgl/>
      <w:lvlText w:val="%1.%2.%3.%4."/>
      <w:lvlJc w:val="left"/>
      <w:pPr>
        <w:ind w:left="3084" w:hanging="1080"/>
      </w:pPr>
      <w:rPr>
        <w:rFonts w:hint="default"/>
      </w:rPr>
    </w:lvl>
    <w:lvl w:ilvl="4">
      <w:start w:val="1"/>
      <w:numFmt w:val="decimal"/>
      <w:isLgl/>
      <w:lvlText w:val="%1.%2.%3.%4.%5."/>
      <w:lvlJc w:val="left"/>
      <w:pPr>
        <w:ind w:left="3992" w:hanging="1440"/>
      </w:pPr>
      <w:rPr>
        <w:rFonts w:hint="default"/>
      </w:rPr>
    </w:lvl>
    <w:lvl w:ilvl="5">
      <w:start w:val="1"/>
      <w:numFmt w:val="decimal"/>
      <w:isLgl/>
      <w:lvlText w:val="%1.%2.%3.%4.%5.%6."/>
      <w:lvlJc w:val="left"/>
      <w:pPr>
        <w:ind w:left="4540" w:hanging="1440"/>
      </w:pPr>
      <w:rPr>
        <w:rFonts w:hint="default"/>
      </w:rPr>
    </w:lvl>
    <w:lvl w:ilvl="6">
      <w:start w:val="1"/>
      <w:numFmt w:val="decimal"/>
      <w:isLgl/>
      <w:lvlText w:val="%1.%2.%3.%4.%5.%6.%7."/>
      <w:lvlJc w:val="left"/>
      <w:pPr>
        <w:ind w:left="5448" w:hanging="1800"/>
      </w:pPr>
      <w:rPr>
        <w:rFonts w:hint="default"/>
      </w:rPr>
    </w:lvl>
    <w:lvl w:ilvl="7">
      <w:start w:val="1"/>
      <w:numFmt w:val="decimal"/>
      <w:isLgl/>
      <w:lvlText w:val="%1.%2.%3.%4.%5.%6.%7.%8."/>
      <w:lvlJc w:val="left"/>
      <w:pPr>
        <w:ind w:left="6356" w:hanging="2160"/>
      </w:pPr>
      <w:rPr>
        <w:rFonts w:hint="default"/>
      </w:rPr>
    </w:lvl>
    <w:lvl w:ilvl="8">
      <w:start w:val="1"/>
      <w:numFmt w:val="decimal"/>
      <w:isLgl/>
      <w:lvlText w:val="%1.%2.%3.%4.%5.%6.%7.%8.%9."/>
      <w:lvlJc w:val="left"/>
      <w:pPr>
        <w:ind w:left="6904" w:hanging="2160"/>
      </w:pPr>
      <w:rPr>
        <w:rFonts w:hint="default"/>
      </w:rPr>
    </w:lvl>
  </w:abstractNum>
  <w:abstractNum w:abstractNumId="42" w15:restartNumberingAfterBreak="0">
    <w:nsid w:val="59560C77"/>
    <w:multiLevelType w:val="hybridMultilevel"/>
    <w:tmpl w:val="E2AEE21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3" w15:restartNumberingAfterBreak="0">
    <w:nsid w:val="59A71CCC"/>
    <w:multiLevelType w:val="hybridMultilevel"/>
    <w:tmpl w:val="0A500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ACD25B5"/>
    <w:multiLevelType w:val="multilevel"/>
    <w:tmpl w:val="74324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B260938"/>
    <w:multiLevelType w:val="hybridMultilevel"/>
    <w:tmpl w:val="BDDC550A"/>
    <w:lvl w:ilvl="0" w:tplc="C0BEB06C">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5DBF2AB7"/>
    <w:multiLevelType w:val="multilevel"/>
    <w:tmpl w:val="C5EC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0F0777"/>
    <w:multiLevelType w:val="hybridMultilevel"/>
    <w:tmpl w:val="155830E2"/>
    <w:lvl w:ilvl="0" w:tplc="04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8" w15:restartNumberingAfterBreak="0">
    <w:nsid w:val="6333592C"/>
    <w:multiLevelType w:val="multilevel"/>
    <w:tmpl w:val="F4D2C1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60" w:hanging="4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F3363A"/>
    <w:multiLevelType w:val="multilevel"/>
    <w:tmpl w:val="350ED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71029D"/>
    <w:multiLevelType w:val="multilevel"/>
    <w:tmpl w:val="FED60C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5635BFA"/>
    <w:multiLevelType w:val="multilevel"/>
    <w:tmpl w:val="A062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9B51F4"/>
    <w:multiLevelType w:val="hybridMultilevel"/>
    <w:tmpl w:val="A4D64C3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95E13D7"/>
    <w:multiLevelType w:val="multilevel"/>
    <w:tmpl w:val="B3703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9A228F7"/>
    <w:multiLevelType w:val="hybridMultilevel"/>
    <w:tmpl w:val="AB820F4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15:restartNumberingAfterBreak="0">
    <w:nsid w:val="6AD11AB5"/>
    <w:multiLevelType w:val="hybridMultilevel"/>
    <w:tmpl w:val="926CE646"/>
    <w:lvl w:ilvl="0" w:tplc="DB8AB5CA">
      <w:numFmt w:val="bullet"/>
      <w:lvlText w:val="-"/>
      <w:lvlJc w:val="left"/>
      <w:pPr>
        <w:ind w:left="720" w:hanging="360"/>
      </w:pPr>
      <w:rPr>
        <w:rFonts w:ascii="Simplified Arabic" w:eastAsiaTheme="minorHAnsi"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B3657EA"/>
    <w:multiLevelType w:val="multilevel"/>
    <w:tmpl w:val="CBA2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E11CA8"/>
    <w:multiLevelType w:val="hybridMultilevel"/>
    <w:tmpl w:val="FDE626C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8" w15:restartNumberingAfterBreak="0">
    <w:nsid w:val="729B63C5"/>
    <w:multiLevelType w:val="multilevel"/>
    <w:tmpl w:val="9EDC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3892F0D"/>
    <w:multiLevelType w:val="hybridMultilevel"/>
    <w:tmpl w:val="A7D2CC42"/>
    <w:lvl w:ilvl="0" w:tplc="E8467744">
      <w:start w:val="1"/>
      <w:numFmt w:val="decimal"/>
      <w:lvlText w:val="%1-"/>
      <w:lvlJc w:val="left"/>
      <w:pPr>
        <w:ind w:left="1004"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0" w15:restartNumberingAfterBreak="0">
    <w:nsid w:val="7416376E"/>
    <w:multiLevelType w:val="hybridMultilevel"/>
    <w:tmpl w:val="45B4668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1" w15:restartNumberingAfterBreak="0">
    <w:nsid w:val="744D071B"/>
    <w:multiLevelType w:val="hybridMultilevel"/>
    <w:tmpl w:val="A9ACB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991068A"/>
    <w:multiLevelType w:val="multilevel"/>
    <w:tmpl w:val="1520E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9C13AF8"/>
    <w:multiLevelType w:val="multilevel"/>
    <w:tmpl w:val="E29C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B025CE7"/>
    <w:multiLevelType w:val="multilevel"/>
    <w:tmpl w:val="A86E3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B7760B2"/>
    <w:multiLevelType w:val="multilevel"/>
    <w:tmpl w:val="C228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435E63"/>
    <w:multiLevelType w:val="hybridMultilevel"/>
    <w:tmpl w:val="CD34B784"/>
    <w:lvl w:ilvl="0" w:tplc="984AF7EC">
      <w:start w:val="1"/>
      <w:numFmt w:val="bullet"/>
      <w:lvlText w:val="-"/>
      <w:lvlJc w:val="left"/>
      <w:pPr>
        <w:ind w:left="644" w:hanging="360"/>
      </w:pPr>
      <w:rPr>
        <w:rFonts w:ascii="Simplified Arabic" w:eastAsiaTheme="minorHAnsi" w:hAnsi="Simplified Arabic" w:cs="Simplified Arabic"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7" w15:restartNumberingAfterBreak="0">
    <w:nsid w:val="7D086CAA"/>
    <w:multiLevelType w:val="hybridMultilevel"/>
    <w:tmpl w:val="2370D60A"/>
    <w:lvl w:ilvl="0" w:tplc="3B8E3714">
      <w:start w:val="1"/>
      <w:numFmt w:val="decimal"/>
      <w:lvlText w:val="%1-"/>
      <w:lvlJc w:val="left"/>
      <w:pPr>
        <w:ind w:left="928"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8" w15:restartNumberingAfterBreak="0">
    <w:nsid w:val="7DDA7609"/>
    <w:multiLevelType w:val="multilevel"/>
    <w:tmpl w:val="2700A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8831168">
    <w:abstractNumId w:val="26"/>
  </w:num>
  <w:num w:numId="2" w16cid:durableId="1654870589">
    <w:abstractNumId w:val="5"/>
  </w:num>
  <w:num w:numId="3" w16cid:durableId="1671790195">
    <w:abstractNumId w:val="57"/>
  </w:num>
  <w:num w:numId="4" w16cid:durableId="1485466152">
    <w:abstractNumId w:val="25"/>
  </w:num>
  <w:num w:numId="5" w16cid:durableId="1122650702">
    <w:abstractNumId w:val="2"/>
  </w:num>
  <w:num w:numId="6" w16cid:durableId="1753577172">
    <w:abstractNumId w:val="0"/>
  </w:num>
  <w:num w:numId="7" w16cid:durableId="2003463610">
    <w:abstractNumId w:val="54"/>
  </w:num>
  <w:num w:numId="8" w16cid:durableId="944075391">
    <w:abstractNumId w:val="19"/>
  </w:num>
  <w:num w:numId="9" w16cid:durableId="275602235">
    <w:abstractNumId w:val="4"/>
  </w:num>
  <w:num w:numId="10" w16cid:durableId="27536834">
    <w:abstractNumId w:val="41"/>
  </w:num>
  <w:num w:numId="11" w16cid:durableId="54283277">
    <w:abstractNumId w:val="42"/>
  </w:num>
  <w:num w:numId="12" w16cid:durableId="972979787">
    <w:abstractNumId w:val="31"/>
  </w:num>
  <w:num w:numId="13" w16cid:durableId="1010377538">
    <w:abstractNumId w:val="49"/>
  </w:num>
  <w:num w:numId="14" w16cid:durableId="2018194123">
    <w:abstractNumId w:val="53"/>
  </w:num>
  <w:num w:numId="15" w16cid:durableId="1917396981">
    <w:abstractNumId w:val="39"/>
  </w:num>
  <w:num w:numId="16" w16cid:durableId="2036345575">
    <w:abstractNumId w:val="28"/>
  </w:num>
  <w:num w:numId="17" w16cid:durableId="469788687">
    <w:abstractNumId w:val="65"/>
  </w:num>
  <w:num w:numId="18" w16cid:durableId="1107315886">
    <w:abstractNumId w:val="44"/>
  </w:num>
  <w:num w:numId="19" w16cid:durableId="466822368">
    <w:abstractNumId w:val="3"/>
  </w:num>
  <w:num w:numId="20" w16cid:durableId="19666576">
    <w:abstractNumId w:val="63"/>
  </w:num>
  <w:num w:numId="21" w16cid:durableId="513496261">
    <w:abstractNumId w:val="29"/>
  </w:num>
  <w:num w:numId="22" w16cid:durableId="2066758978">
    <w:abstractNumId w:val="46"/>
  </w:num>
  <w:num w:numId="23" w16cid:durableId="481393482">
    <w:abstractNumId w:val="64"/>
  </w:num>
  <w:num w:numId="24" w16cid:durableId="1995643585">
    <w:abstractNumId w:val="56"/>
  </w:num>
  <w:num w:numId="25" w16cid:durableId="324821177">
    <w:abstractNumId w:val="68"/>
  </w:num>
  <w:num w:numId="26" w16cid:durableId="1668707071">
    <w:abstractNumId w:val="16"/>
  </w:num>
  <w:num w:numId="27" w16cid:durableId="628632733">
    <w:abstractNumId w:val="51"/>
  </w:num>
  <w:num w:numId="28" w16cid:durableId="1726174125">
    <w:abstractNumId w:val="48"/>
  </w:num>
  <w:num w:numId="29" w16cid:durableId="497504932">
    <w:abstractNumId w:val="6"/>
  </w:num>
  <w:num w:numId="30" w16cid:durableId="334649677">
    <w:abstractNumId w:val="58"/>
  </w:num>
  <w:num w:numId="31" w16cid:durableId="2106530070">
    <w:abstractNumId w:val="21"/>
  </w:num>
  <w:num w:numId="32" w16cid:durableId="1310018300">
    <w:abstractNumId w:val="50"/>
  </w:num>
  <w:num w:numId="33" w16cid:durableId="776095811">
    <w:abstractNumId w:val="9"/>
  </w:num>
  <w:num w:numId="34" w16cid:durableId="1896160901">
    <w:abstractNumId w:val="36"/>
  </w:num>
  <w:num w:numId="35" w16cid:durableId="18554139">
    <w:abstractNumId w:val="13"/>
  </w:num>
  <w:num w:numId="36" w16cid:durableId="223178984">
    <w:abstractNumId w:val="23"/>
  </w:num>
  <w:num w:numId="37" w16cid:durableId="284238844">
    <w:abstractNumId w:val="43"/>
  </w:num>
  <w:num w:numId="38" w16cid:durableId="1524393589">
    <w:abstractNumId w:val="18"/>
  </w:num>
  <w:num w:numId="39" w16cid:durableId="1608924485">
    <w:abstractNumId w:val="30"/>
  </w:num>
  <w:num w:numId="40" w16cid:durableId="1952004847">
    <w:abstractNumId w:val="1"/>
  </w:num>
  <w:num w:numId="41" w16cid:durableId="1266500386">
    <w:abstractNumId w:val="35"/>
  </w:num>
  <w:num w:numId="42" w16cid:durableId="178934490">
    <w:abstractNumId w:val="60"/>
  </w:num>
  <w:num w:numId="43" w16cid:durableId="39985934">
    <w:abstractNumId w:val="12"/>
  </w:num>
  <w:num w:numId="44" w16cid:durableId="1125348690">
    <w:abstractNumId w:val="45"/>
  </w:num>
  <w:num w:numId="45" w16cid:durableId="941768612">
    <w:abstractNumId w:val="7"/>
  </w:num>
  <w:num w:numId="46" w16cid:durableId="192887919">
    <w:abstractNumId w:val="55"/>
  </w:num>
  <w:num w:numId="47" w16cid:durableId="582615073">
    <w:abstractNumId w:val="8"/>
  </w:num>
  <w:num w:numId="48" w16cid:durableId="1189903616">
    <w:abstractNumId w:val="14"/>
  </w:num>
  <w:num w:numId="49" w16cid:durableId="789054373">
    <w:abstractNumId w:val="47"/>
  </w:num>
  <w:num w:numId="50" w16cid:durableId="191505976">
    <w:abstractNumId w:val="52"/>
  </w:num>
  <w:num w:numId="51" w16cid:durableId="1021279442">
    <w:abstractNumId w:val="15"/>
  </w:num>
  <w:num w:numId="52" w16cid:durableId="64570007">
    <w:abstractNumId w:val="40"/>
  </w:num>
  <w:num w:numId="53" w16cid:durableId="91165078">
    <w:abstractNumId w:val="38"/>
  </w:num>
  <w:num w:numId="54" w16cid:durableId="108091576">
    <w:abstractNumId w:val="62"/>
  </w:num>
  <w:num w:numId="55" w16cid:durableId="129128876">
    <w:abstractNumId w:val="22"/>
  </w:num>
  <w:num w:numId="56" w16cid:durableId="2068069593">
    <w:abstractNumId w:val="27"/>
  </w:num>
  <w:num w:numId="57" w16cid:durableId="297803496">
    <w:abstractNumId w:val="37"/>
  </w:num>
  <w:num w:numId="58" w16cid:durableId="811484823">
    <w:abstractNumId w:val="10"/>
  </w:num>
  <w:num w:numId="59" w16cid:durableId="620261176">
    <w:abstractNumId w:val="61"/>
  </w:num>
  <w:num w:numId="60" w16cid:durableId="2009865747">
    <w:abstractNumId w:val="11"/>
  </w:num>
  <w:num w:numId="61" w16cid:durableId="1887255813">
    <w:abstractNumId w:val="34"/>
  </w:num>
  <w:num w:numId="62" w16cid:durableId="1728184460">
    <w:abstractNumId w:val="32"/>
  </w:num>
  <w:num w:numId="63" w16cid:durableId="107548473">
    <w:abstractNumId w:val="59"/>
  </w:num>
  <w:num w:numId="64" w16cid:durableId="808403896">
    <w:abstractNumId w:val="33"/>
  </w:num>
  <w:num w:numId="65" w16cid:durableId="637223741">
    <w:abstractNumId w:val="67"/>
  </w:num>
  <w:num w:numId="66" w16cid:durableId="767581394">
    <w:abstractNumId w:val="66"/>
  </w:num>
  <w:num w:numId="67" w16cid:durableId="1153183872">
    <w:abstractNumId w:val="20"/>
  </w:num>
  <w:num w:numId="68" w16cid:durableId="1326474546">
    <w:abstractNumId w:val="17"/>
  </w:num>
  <w:num w:numId="69" w16cid:durableId="275721727">
    <w:abstractNumId w:val="2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569"/>
    <w:rsid w:val="00016E2F"/>
    <w:rsid w:val="00030823"/>
    <w:rsid w:val="000A1D29"/>
    <w:rsid w:val="000C0D0C"/>
    <w:rsid w:val="000D2F70"/>
    <w:rsid w:val="000E12DA"/>
    <w:rsid w:val="00123A1C"/>
    <w:rsid w:val="00143251"/>
    <w:rsid w:val="001647AF"/>
    <w:rsid w:val="00180DE8"/>
    <w:rsid w:val="001B6D4F"/>
    <w:rsid w:val="001C2F1D"/>
    <w:rsid w:val="00227DD8"/>
    <w:rsid w:val="00237D41"/>
    <w:rsid w:val="002638C8"/>
    <w:rsid w:val="00284C4A"/>
    <w:rsid w:val="002871BA"/>
    <w:rsid w:val="002D08E3"/>
    <w:rsid w:val="002E41A3"/>
    <w:rsid w:val="00321A64"/>
    <w:rsid w:val="00332763"/>
    <w:rsid w:val="00401A73"/>
    <w:rsid w:val="004B0569"/>
    <w:rsid w:val="00506041"/>
    <w:rsid w:val="0055512E"/>
    <w:rsid w:val="005667CD"/>
    <w:rsid w:val="00573121"/>
    <w:rsid w:val="005C12F1"/>
    <w:rsid w:val="005D1453"/>
    <w:rsid w:val="005F1F5C"/>
    <w:rsid w:val="006018CC"/>
    <w:rsid w:val="00603F3B"/>
    <w:rsid w:val="00631A4B"/>
    <w:rsid w:val="00712EE3"/>
    <w:rsid w:val="00752169"/>
    <w:rsid w:val="00783D59"/>
    <w:rsid w:val="007A1F68"/>
    <w:rsid w:val="008F065E"/>
    <w:rsid w:val="00966845"/>
    <w:rsid w:val="009B2EE3"/>
    <w:rsid w:val="009C28CF"/>
    <w:rsid w:val="009E510E"/>
    <w:rsid w:val="009F1D6B"/>
    <w:rsid w:val="00A01535"/>
    <w:rsid w:val="00A47EB9"/>
    <w:rsid w:val="00AB4C78"/>
    <w:rsid w:val="00AF52DC"/>
    <w:rsid w:val="00B278F5"/>
    <w:rsid w:val="00BC1077"/>
    <w:rsid w:val="00C3124E"/>
    <w:rsid w:val="00C55681"/>
    <w:rsid w:val="00D6096A"/>
    <w:rsid w:val="00D64CFB"/>
    <w:rsid w:val="00D7048D"/>
    <w:rsid w:val="00E26291"/>
    <w:rsid w:val="00E80F60"/>
    <w:rsid w:val="00E916B9"/>
    <w:rsid w:val="00F5199D"/>
    <w:rsid w:val="00F52834"/>
    <w:rsid w:val="00F84A17"/>
    <w:rsid w:val="00F904B3"/>
    <w:rsid w:val="00FA05B6"/>
    <w:rsid w:val="00FE46C6"/>
    <w:rsid w:val="00FF1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305A7"/>
  <w15:chartTrackingRefBased/>
  <w15:docId w15:val="{3A8929F4-3B7D-45DC-B3AA-675AE4E2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0569"/>
    <w:pPr>
      <w:bidi/>
      <w:spacing w:after="120" w:line="240" w:lineRule="auto"/>
      <w:ind w:firstLine="284"/>
      <w:jc w:val="both"/>
    </w:pPr>
    <w:rPr>
      <w:rFonts w:ascii="Simplified Arabic" w:hAnsi="Simplified Arabic" w:cs="Simplified Arabic"/>
      <w:sz w:val="28"/>
      <w:szCs w:val="28"/>
      <w:lang w:val="en-US"/>
    </w:rPr>
  </w:style>
  <w:style w:type="paragraph" w:styleId="1">
    <w:name w:val="heading 1"/>
    <w:basedOn w:val="2"/>
    <w:next w:val="a"/>
    <w:link w:val="1Char"/>
    <w:uiPriority w:val="9"/>
    <w:qFormat/>
    <w:rsid w:val="00D6096A"/>
    <w:pPr>
      <w:outlineLvl w:val="0"/>
    </w:pPr>
    <w:rPr>
      <w:sz w:val="40"/>
      <w:szCs w:val="40"/>
    </w:rPr>
  </w:style>
  <w:style w:type="paragraph" w:styleId="2">
    <w:name w:val="heading 2"/>
    <w:basedOn w:val="a"/>
    <w:next w:val="a"/>
    <w:link w:val="2Char"/>
    <w:uiPriority w:val="9"/>
    <w:unhideWhenUsed/>
    <w:qFormat/>
    <w:rsid w:val="00D6096A"/>
    <w:pPr>
      <w:ind w:firstLine="0"/>
      <w:outlineLvl w:val="1"/>
    </w:pPr>
    <w:rPr>
      <w:b/>
      <w:bCs/>
      <w:sz w:val="36"/>
      <w:szCs w:val="36"/>
    </w:rPr>
  </w:style>
  <w:style w:type="paragraph" w:styleId="3">
    <w:name w:val="heading 3"/>
    <w:basedOn w:val="a"/>
    <w:next w:val="a"/>
    <w:link w:val="3Char"/>
    <w:uiPriority w:val="9"/>
    <w:unhideWhenUsed/>
    <w:qFormat/>
    <w:rsid w:val="00573121"/>
    <w:pPr>
      <w:ind w:firstLine="0"/>
      <w:outlineLvl w:val="2"/>
    </w:pPr>
    <w:rPr>
      <w:b/>
      <w:bCs/>
      <w:sz w:val="32"/>
      <w:szCs w:val="32"/>
    </w:rPr>
  </w:style>
  <w:style w:type="paragraph" w:styleId="4">
    <w:name w:val="heading 4"/>
    <w:basedOn w:val="a"/>
    <w:next w:val="a"/>
    <w:link w:val="4Char"/>
    <w:uiPriority w:val="9"/>
    <w:semiHidden/>
    <w:unhideWhenUsed/>
    <w:qFormat/>
    <w:rsid w:val="00D704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D6096A"/>
    <w:rPr>
      <w:rFonts w:ascii="Simplified Arabic" w:hAnsi="Simplified Arabic" w:cs="Simplified Arabic"/>
      <w:b/>
      <w:bCs/>
      <w:sz w:val="36"/>
      <w:szCs w:val="36"/>
      <w:lang w:val="en-US"/>
    </w:rPr>
  </w:style>
  <w:style w:type="character" w:customStyle="1" w:styleId="3Char">
    <w:name w:val="عنوان 3 Char"/>
    <w:basedOn w:val="a0"/>
    <w:link w:val="3"/>
    <w:uiPriority w:val="9"/>
    <w:rsid w:val="00573121"/>
    <w:rPr>
      <w:rFonts w:ascii="Simplified Arabic" w:hAnsi="Simplified Arabic" w:cs="Simplified Arabic"/>
      <w:b/>
      <w:bCs/>
      <w:sz w:val="32"/>
      <w:szCs w:val="32"/>
      <w:lang w:val="en-US"/>
    </w:rPr>
  </w:style>
  <w:style w:type="paragraph" w:styleId="a3">
    <w:name w:val="List Paragraph"/>
    <w:aliases w:val="NumberedList,Numbered Para 1,Dot pt,List Paragraph Char Char Char,Indicator Text,Bullet 1,Bullet Points,F5 List Paragraph,Colorful List - Accent 11,List Paragraph2,Normal numbered,List Paragraph11,OBC Bullet,Bullet Style"/>
    <w:basedOn w:val="a"/>
    <w:link w:val="Char"/>
    <w:uiPriority w:val="34"/>
    <w:qFormat/>
    <w:rsid w:val="00F52834"/>
    <w:pPr>
      <w:ind w:left="720"/>
      <w:contextualSpacing/>
    </w:pPr>
  </w:style>
  <w:style w:type="character" w:customStyle="1" w:styleId="Char">
    <w:name w:val="سرد الفقرات Char"/>
    <w:aliases w:val="NumberedList Char,Numbered Para 1 Char,Dot pt Char,List Paragraph Char Char Char Char,Indicator Text Char,Bullet 1 Char,Bullet Points Char,F5 List Paragraph Char,Colorful List - Accent 11 Char,List Paragraph2 Char,Normal numbered Char"/>
    <w:link w:val="a3"/>
    <w:uiPriority w:val="34"/>
    <w:qFormat/>
    <w:locked/>
    <w:rsid w:val="00F52834"/>
    <w:rPr>
      <w:rFonts w:ascii="Simplified Arabic" w:hAnsi="Simplified Arabic" w:cs="Simplified Arabic"/>
      <w:sz w:val="28"/>
      <w:szCs w:val="28"/>
      <w:lang w:val="en-US"/>
    </w:rPr>
  </w:style>
  <w:style w:type="paragraph" w:styleId="a4">
    <w:name w:val="Normal (Web)"/>
    <w:basedOn w:val="a"/>
    <w:uiPriority w:val="99"/>
    <w:semiHidden/>
    <w:unhideWhenUsed/>
    <w:rsid w:val="00F52834"/>
    <w:pPr>
      <w:bidi w:val="0"/>
      <w:spacing w:before="100" w:beforeAutospacing="1" w:after="100" w:afterAutospacing="1"/>
      <w:ind w:firstLine="0"/>
      <w:jc w:val="left"/>
    </w:pPr>
    <w:rPr>
      <w:rFonts w:ascii="Times New Roman" w:eastAsia="Times New Roman" w:hAnsi="Times New Roman" w:cs="Times New Roman"/>
      <w:sz w:val="24"/>
      <w:szCs w:val="24"/>
      <w:lang w:val="en-GB" w:eastAsia="en-GB"/>
    </w:rPr>
  </w:style>
  <w:style w:type="character" w:styleId="Hyperlink">
    <w:name w:val="Hyperlink"/>
    <w:basedOn w:val="a0"/>
    <w:uiPriority w:val="99"/>
    <w:unhideWhenUsed/>
    <w:qFormat/>
    <w:rsid w:val="00F52834"/>
    <w:rPr>
      <w:color w:val="0000FF"/>
      <w:u w:val="single"/>
    </w:rPr>
  </w:style>
  <w:style w:type="paragraph" w:styleId="a5">
    <w:name w:val="footnote text"/>
    <w:aliases w:val=" Char Char Char Char Char Char Char Char Char, Char Char Char Char Char Char Char Char Char Char Char Char Char Char Char Char Char Char Char Char Char Char Char Char Char Char,Footnote Text Char1,Footnote Text Char Char,Char,5_G,الهامش,r"/>
    <w:basedOn w:val="a"/>
    <w:link w:val="Char0"/>
    <w:uiPriority w:val="99"/>
    <w:unhideWhenUsed/>
    <w:qFormat/>
    <w:rsid w:val="00F52834"/>
    <w:pPr>
      <w:bidi w:val="0"/>
      <w:spacing w:after="0"/>
      <w:ind w:firstLine="0"/>
      <w:jc w:val="left"/>
    </w:pPr>
    <w:rPr>
      <w:rFonts w:asciiTheme="minorHAnsi" w:hAnsiTheme="minorHAnsi" w:cstheme="minorBidi"/>
      <w:sz w:val="20"/>
      <w:szCs w:val="20"/>
    </w:rPr>
  </w:style>
  <w:style w:type="character" w:customStyle="1" w:styleId="Char0">
    <w:name w:val="نص حاشية سفلية Char"/>
    <w:aliases w:val=" Char Char Char Char Char Char Char Char Char Char, Char Char Char Char Char Char Char Char Char Char Char Char Char Char Char Char Char Char Char Char Char Char Char Char Char Char Char,Footnote Text Char1 Char,Char Char,5_G Char"/>
    <w:basedOn w:val="a0"/>
    <w:link w:val="a5"/>
    <w:uiPriority w:val="99"/>
    <w:rsid w:val="00F52834"/>
    <w:rPr>
      <w:sz w:val="20"/>
      <w:szCs w:val="20"/>
      <w:lang w:val="en-US"/>
    </w:rPr>
  </w:style>
  <w:style w:type="character" w:styleId="a6">
    <w:name w:val="footnote reference"/>
    <w:aliases w:val="4_GA,4_G,(مرجع حاشية سفلية),Footnote Reference1,Footnote Reference2,Footnote Reference11,Footnote Reference21,Footnote Reference12,Footnote Reference22,Footnote Reference13,Footnote Reference23,Footnote Reference111,عادي1,Footnote"/>
    <w:basedOn w:val="a0"/>
    <w:unhideWhenUsed/>
    <w:rsid w:val="00F52834"/>
    <w:rPr>
      <w:vertAlign w:val="superscript"/>
    </w:rPr>
  </w:style>
  <w:style w:type="character" w:styleId="a7">
    <w:name w:val="Strong"/>
    <w:basedOn w:val="a0"/>
    <w:uiPriority w:val="22"/>
    <w:qFormat/>
    <w:rsid w:val="00F52834"/>
    <w:rPr>
      <w:b/>
      <w:bCs/>
    </w:rPr>
  </w:style>
  <w:style w:type="character" w:customStyle="1" w:styleId="overflow-hidden">
    <w:name w:val="overflow-hidden"/>
    <w:basedOn w:val="a0"/>
    <w:rsid w:val="00F52834"/>
  </w:style>
  <w:style w:type="character" w:customStyle="1" w:styleId="Char1">
    <w:name w:val="أعلى النموذج Char"/>
    <w:basedOn w:val="a0"/>
    <w:link w:val="a8"/>
    <w:uiPriority w:val="99"/>
    <w:semiHidden/>
    <w:rsid w:val="00F52834"/>
    <w:rPr>
      <w:rFonts w:ascii="Arial" w:eastAsia="Times New Roman" w:hAnsi="Arial" w:cs="Arial"/>
      <w:vanish/>
      <w:sz w:val="16"/>
      <w:szCs w:val="16"/>
      <w:lang w:eastAsia="en-GB"/>
    </w:rPr>
  </w:style>
  <w:style w:type="paragraph" w:styleId="a8">
    <w:name w:val="HTML Top of Form"/>
    <w:basedOn w:val="a"/>
    <w:next w:val="a"/>
    <w:link w:val="Char1"/>
    <w:hidden/>
    <w:uiPriority w:val="99"/>
    <w:semiHidden/>
    <w:unhideWhenUsed/>
    <w:rsid w:val="00F52834"/>
    <w:pPr>
      <w:pBdr>
        <w:bottom w:val="single" w:sz="6" w:space="1" w:color="auto"/>
      </w:pBdr>
      <w:bidi w:val="0"/>
      <w:spacing w:after="0"/>
      <w:ind w:firstLine="0"/>
      <w:jc w:val="center"/>
    </w:pPr>
    <w:rPr>
      <w:rFonts w:ascii="Arial" w:eastAsia="Times New Roman" w:hAnsi="Arial" w:cs="Arial"/>
      <w:vanish/>
      <w:sz w:val="16"/>
      <w:szCs w:val="16"/>
      <w:lang w:val="en-GB" w:eastAsia="en-GB"/>
    </w:rPr>
  </w:style>
  <w:style w:type="paragraph" w:customStyle="1" w:styleId="placeholder">
    <w:name w:val="placeholder"/>
    <w:basedOn w:val="a"/>
    <w:rsid w:val="00F52834"/>
    <w:pPr>
      <w:bidi w:val="0"/>
      <w:spacing w:before="100" w:beforeAutospacing="1" w:after="100" w:afterAutospacing="1"/>
      <w:ind w:firstLine="0"/>
      <w:jc w:val="left"/>
    </w:pPr>
    <w:rPr>
      <w:rFonts w:ascii="Times New Roman" w:eastAsia="Times New Roman" w:hAnsi="Times New Roman" w:cs="Times New Roman"/>
      <w:sz w:val="24"/>
      <w:szCs w:val="24"/>
      <w:lang w:val="en-GB" w:eastAsia="en-GB"/>
    </w:rPr>
  </w:style>
  <w:style w:type="character" w:customStyle="1" w:styleId="pointer-events-none">
    <w:name w:val="pointer-events-none"/>
    <w:basedOn w:val="a0"/>
    <w:rsid w:val="00F52834"/>
  </w:style>
  <w:style w:type="character" w:customStyle="1" w:styleId="Char2">
    <w:name w:val="أسفل النموذج Char"/>
    <w:basedOn w:val="a0"/>
    <w:link w:val="a9"/>
    <w:uiPriority w:val="99"/>
    <w:semiHidden/>
    <w:rsid w:val="00F52834"/>
    <w:rPr>
      <w:rFonts w:ascii="Arial" w:eastAsia="Times New Roman" w:hAnsi="Arial" w:cs="Arial"/>
      <w:vanish/>
      <w:sz w:val="16"/>
      <w:szCs w:val="16"/>
      <w:lang w:eastAsia="en-GB"/>
    </w:rPr>
  </w:style>
  <w:style w:type="paragraph" w:styleId="a9">
    <w:name w:val="HTML Bottom of Form"/>
    <w:basedOn w:val="a"/>
    <w:next w:val="a"/>
    <w:link w:val="Char2"/>
    <w:hidden/>
    <w:uiPriority w:val="99"/>
    <w:semiHidden/>
    <w:unhideWhenUsed/>
    <w:rsid w:val="00F52834"/>
    <w:pPr>
      <w:pBdr>
        <w:top w:val="single" w:sz="6" w:space="1" w:color="auto"/>
      </w:pBdr>
      <w:bidi w:val="0"/>
      <w:spacing w:after="0"/>
      <w:ind w:firstLine="0"/>
      <w:jc w:val="center"/>
    </w:pPr>
    <w:rPr>
      <w:rFonts w:ascii="Arial" w:eastAsia="Times New Roman" w:hAnsi="Arial" w:cs="Arial"/>
      <w:vanish/>
      <w:sz w:val="16"/>
      <w:szCs w:val="16"/>
      <w:lang w:val="en-GB" w:eastAsia="en-GB"/>
    </w:rPr>
  </w:style>
  <w:style w:type="character" w:customStyle="1" w:styleId="4Char">
    <w:name w:val="عنوان 4 Char"/>
    <w:basedOn w:val="a0"/>
    <w:link w:val="4"/>
    <w:uiPriority w:val="9"/>
    <w:semiHidden/>
    <w:rsid w:val="00D7048D"/>
    <w:rPr>
      <w:rFonts w:asciiTheme="majorHAnsi" w:eastAsiaTheme="majorEastAsia" w:hAnsiTheme="majorHAnsi" w:cstheme="majorBidi"/>
      <w:i/>
      <w:iCs/>
      <w:color w:val="2F5496" w:themeColor="accent1" w:themeShade="BF"/>
      <w:sz w:val="28"/>
      <w:szCs w:val="28"/>
      <w:lang w:val="en-US"/>
    </w:rPr>
  </w:style>
  <w:style w:type="table" w:styleId="aa">
    <w:name w:val="Table Grid"/>
    <w:basedOn w:val="a1"/>
    <w:uiPriority w:val="39"/>
    <w:rsid w:val="00284C4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basedOn w:val="a0"/>
    <w:uiPriority w:val="20"/>
    <w:qFormat/>
    <w:rsid w:val="00B278F5"/>
    <w:rPr>
      <w:i/>
      <w:iCs/>
    </w:rPr>
  </w:style>
  <w:style w:type="paragraph" w:styleId="ac">
    <w:name w:val="header"/>
    <w:basedOn w:val="a"/>
    <w:link w:val="Char3"/>
    <w:uiPriority w:val="99"/>
    <w:unhideWhenUsed/>
    <w:rsid w:val="00321A64"/>
    <w:pPr>
      <w:tabs>
        <w:tab w:val="center" w:pos="4153"/>
        <w:tab w:val="right" w:pos="8306"/>
      </w:tabs>
      <w:spacing w:after="0"/>
    </w:pPr>
  </w:style>
  <w:style w:type="character" w:customStyle="1" w:styleId="Char3">
    <w:name w:val="رأس الصفحة Char"/>
    <w:basedOn w:val="a0"/>
    <w:link w:val="ac"/>
    <w:uiPriority w:val="99"/>
    <w:rsid w:val="00321A64"/>
    <w:rPr>
      <w:rFonts w:ascii="Simplified Arabic" w:hAnsi="Simplified Arabic" w:cs="Simplified Arabic"/>
      <w:sz w:val="28"/>
      <w:szCs w:val="28"/>
      <w:lang w:val="en-US"/>
    </w:rPr>
  </w:style>
  <w:style w:type="paragraph" w:styleId="ad">
    <w:name w:val="footer"/>
    <w:basedOn w:val="a"/>
    <w:link w:val="Char4"/>
    <w:uiPriority w:val="99"/>
    <w:unhideWhenUsed/>
    <w:rsid w:val="00321A64"/>
    <w:pPr>
      <w:tabs>
        <w:tab w:val="center" w:pos="4153"/>
        <w:tab w:val="right" w:pos="8306"/>
      </w:tabs>
      <w:spacing w:after="0"/>
    </w:pPr>
  </w:style>
  <w:style w:type="character" w:customStyle="1" w:styleId="Char4">
    <w:name w:val="تذييل الصفحة Char"/>
    <w:basedOn w:val="a0"/>
    <w:link w:val="ad"/>
    <w:uiPriority w:val="99"/>
    <w:rsid w:val="00321A64"/>
    <w:rPr>
      <w:rFonts w:ascii="Simplified Arabic" w:hAnsi="Simplified Arabic" w:cs="Simplified Arabic"/>
      <w:sz w:val="28"/>
      <w:szCs w:val="28"/>
      <w:lang w:val="en-US"/>
    </w:rPr>
  </w:style>
  <w:style w:type="character" w:customStyle="1" w:styleId="1Char">
    <w:name w:val="العنوان 1 Char"/>
    <w:basedOn w:val="a0"/>
    <w:link w:val="1"/>
    <w:uiPriority w:val="9"/>
    <w:rsid w:val="00D6096A"/>
    <w:rPr>
      <w:rFonts w:ascii="Simplified Arabic" w:hAnsi="Simplified Arabic" w:cs="Simplified Arabic"/>
      <w:b/>
      <w:bCs/>
      <w:sz w:val="40"/>
      <w:szCs w:val="40"/>
      <w:lang w:val="en-US"/>
    </w:rPr>
  </w:style>
  <w:style w:type="paragraph" w:styleId="ae">
    <w:name w:val="caption"/>
    <w:basedOn w:val="a"/>
    <w:next w:val="a"/>
    <w:uiPriority w:val="35"/>
    <w:unhideWhenUsed/>
    <w:qFormat/>
    <w:rsid w:val="00F84A17"/>
    <w:pPr>
      <w:spacing w:after="200"/>
      <w:jc w:val="center"/>
    </w:pPr>
    <w:rPr>
      <w:i/>
      <w:iCs/>
      <w:color w:val="44546A" w:themeColor="text2"/>
      <w:sz w:val="24"/>
      <w:szCs w:val="24"/>
    </w:rPr>
  </w:style>
  <w:style w:type="table" w:customStyle="1" w:styleId="TableGrid1">
    <w:name w:val="Table Grid1"/>
    <w:basedOn w:val="a1"/>
    <w:next w:val="aa"/>
    <w:uiPriority w:val="59"/>
    <w:rsid w:val="002871BA"/>
    <w:pPr>
      <w:bidi/>
      <w:spacing w:after="0" w:line="240" w:lineRule="auto"/>
    </w:pPr>
    <w:rPr>
      <w:rFonts w:ascii="Times New Roman" w:hAnsi="Times New Roman" w:cs="Arial"/>
      <w:sz w:val="28"/>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table of figures"/>
    <w:basedOn w:val="a"/>
    <w:next w:val="a"/>
    <w:uiPriority w:val="99"/>
    <w:unhideWhenUsed/>
    <w:rsid w:val="001C2F1D"/>
    <w:pPr>
      <w:spacing w:after="0"/>
    </w:pPr>
  </w:style>
  <w:style w:type="paragraph" w:styleId="af0">
    <w:name w:val="TOC Heading"/>
    <w:basedOn w:val="1"/>
    <w:next w:val="a"/>
    <w:uiPriority w:val="39"/>
    <w:unhideWhenUsed/>
    <w:qFormat/>
    <w:rsid w:val="001C2F1D"/>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1C2F1D"/>
    <w:pPr>
      <w:spacing w:after="100"/>
    </w:pPr>
  </w:style>
  <w:style w:type="paragraph" w:styleId="20">
    <w:name w:val="toc 2"/>
    <w:basedOn w:val="a"/>
    <w:next w:val="a"/>
    <w:autoRedefine/>
    <w:uiPriority w:val="39"/>
    <w:unhideWhenUsed/>
    <w:rsid w:val="001C2F1D"/>
    <w:pPr>
      <w:spacing w:after="100"/>
      <w:ind w:left="280"/>
    </w:pPr>
  </w:style>
  <w:style w:type="paragraph" w:styleId="30">
    <w:name w:val="toc 3"/>
    <w:basedOn w:val="a"/>
    <w:next w:val="a"/>
    <w:autoRedefine/>
    <w:uiPriority w:val="39"/>
    <w:unhideWhenUsed/>
    <w:rsid w:val="001C2F1D"/>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435">
      <w:bodyDiv w:val="1"/>
      <w:marLeft w:val="0"/>
      <w:marRight w:val="0"/>
      <w:marTop w:val="0"/>
      <w:marBottom w:val="0"/>
      <w:divBdr>
        <w:top w:val="none" w:sz="0" w:space="0" w:color="auto"/>
        <w:left w:val="none" w:sz="0" w:space="0" w:color="auto"/>
        <w:bottom w:val="none" w:sz="0" w:space="0" w:color="auto"/>
        <w:right w:val="none" w:sz="0" w:space="0" w:color="auto"/>
      </w:divBdr>
    </w:div>
    <w:div w:id="228351207">
      <w:bodyDiv w:val="1"/>
      <w:marLeft w:val="0"/>
      <w:marRight w:val="0"/>
      <w:marTop w:val="0"/>
      <w:marBottom w:val="0"/>
      <w:divBdr>
        <w:top w:val="none" w:sz="0" w:space="0" w:color="auto"/>
        <w:left w:val="none" w:sz="0" w:space="0" w:color="auto"/>
        <w:bottom w:val="none" w:sz="0" w:space="0" w:color="auto"/>
        <w:right w:val="none" w:sz="0" w:space="0" w:color="auto"/>
      </w:divBdr>
    </w:div>
    <w:div w:id="336463376">
      <w:bodyDiv w:val="1"/>
      <w:marLeft w:val="0"/>
      <w:marRight w:val="0"/>
      <w:marTop w:val="0"/>
      <w:marBottom w:val="0"/>
      <w:divBdr>
        <w:top w:val="none" w:sz="0" w:space="0" w:color="auto"/>
        <w:left w:val="none" w:sz="0" w:space="0" w:color="auto"/>
        <w:bottom w:val="none" w:sz="0" w:space="0" w:color="auto"/>
        <w:right w:val="none" w:sz="0" w:space="0" w:color="auto"/>
      </w:divBdr>
    </w:div>
    <w:div w:id="425729746">
      <w:bodyDiv w:val="1"/>
      <w:marLeft w:val="0"/>
      <w:marRight w:val="0"/>
      <w:marTop w:val="0"/>
      <w:marBottom w:val="0"/>
      <w:divBdr>
        <w:top w:val="none" w:sz="0" w:space="0" w:color="auto"/>
        <w:left w:val="none" w:sz="0" w:space="0" w:color="auto"/>
        <w:bottom w:val="none" w:sz="0" w:space="0" w:color="auto"/>
        <w:right w:val="none" w:sz="0" w:space="0" w:color="auto"/>
      </w:divBdr>
    </w:div>
    <w:div w:id="637540590">
      <w:bodyDiv w:val="1"/>
      <w:marLeft w:val="0"/>
      <w:marRight w:val="0"/>
      <w:marTop w:val="0"/>
      <w:marBottom w:val="0"/>
      <w:divBdr>
        <w:top w:val="none" w:sz="0" w:space="0" w:color="auto"/>
        <w:left w:val="none" w:sz="0" w:space="0" w:color="auto"/>
        <w:bottom w:val="none" w:sz="0" w:space="0" w:color="auto"/>
        <w:right w:val="none" w:sz="0" w:space="0" w:color="auto"/>
      </w:divBdr>
    </w:div>
    <w:div w:id="849757742">
      <w:bodyDiv w:val="1"/>
      <w:marLeft w:val="0"/>
      <w:marRight w:val="0"/>
      <w:marTop w:val="0"/>
      <w:marBottom w:val="0"/>
      <w:divBdr>
        <w:top w:val="none" w:sz="0" w:space="0" w:color="auto"/>
        <w:left w:val="none" w:sz="0" w:space="0" w:color="auto"/>
        <w:bottom w:val="none" w:sz="0" w:space="0" w:color="auto"/>
        <w:right w:val="none" w:sz="0" w:space="0" w:color="auto"/>
      </w:divBdr>
    </w:div>
    <w:div w:id="1048264377">
      <w:bodyDiv w:val="1"/>
      <w:marLeft w:val="0"/>
      <w:marRight w:val="0"/>
      <w:marTop w:val="0"/>
      <w:marBottom w:val="0"/>
      <w:divBdr>
        <w:top w:val="none" w:sz="0" w:space="0" w:color="auto"/>
        <w:left w:val="none" w:sz="0" w:space="0" w:color="auto"/>
        <w:bottom w:val="none" w:sz="0" w:space="0" w:color="auto"/>
        <w:right w:val="none" w:sz="0" w:space="0" w:color="auto"/>
      </w:divBdr>
    </w:div>
    <w:div w:id="1458060724">
      <w:bodyDiv w:val="1"/>
      <w:marLeft w:val="0"/>
      <w:marRight w:val="0"/>
      <w:marTop w:val="0"/>
      <w:marBottom w:val="0"/>
      <w:divBdr>
        <w:top w:val="none" w:sz="0" w:space="0" w:color="auto"/>
        <w:left w:val="none" w:sz="0" w:space="0" w:color="auto"/>
        <w:bottom w:val="none" w:sz="0" w:space="0" w:color="auto"/>
        <w:right w:val="none" w:sz="0" w:space="0" w:color="auto"/>
      </w:divBdr>
    </w:div>
    <w:div w:id="1602369781">
      <w:bodyDiv w:val="1"/>
      <w:marLeft w:val="0"/>
      <w:marRight w:val="0"/>
      <w:marTop w:val="0"/>
      <w:marBottom w:val="0"/>
      <w:divBdr>
        <w:top w:val="none" w:sz="0" w:space="0" w:color="auto"/>
        <w:left w:val="none" w:sz="0" w:space="0" w:color="auto"/>
        <w:bottom w:val="none" w:sz="0" w:space="0" w:color="auto"/>
        <w:right w:val="none" w:sz="0" w:space="0" w:color="auto"/>
      </w:divBdr>
    </w:div>
    <w:div w:id="1819682590">
      <w:bodyDiv w:val="1"/>
      <w:marLeft w:val="0"/>
      <w:marRight w:val="0"/>
      <w:marTop w:val="0"/>
      <w:marBottom w:val="0"/>
      <w:divBdr>
        <w:top w:val="none" w:sz="0" w:space="0" w:color="auto"/>
        <w:left w:val="none" w:sz="0" w:space="0" w:color="auto"/>
        <w:bottom w:val="none" w:sz="0" w:space="0" w:color="auto"/>
        <w:right w:val="none" w:sz="0" w:space="0" w:color="auto"/>
      </w:divBdr>
    </w:div>
    <w:div w:id="1984458599">
      <w:bodyDiv w:val="1"/>
      <w:marLeft w:val="0"/>
      <w:marRight w:val="0"/>
      <w:marTop w:val="0"/>
      <w:marBottom w:val="0"/>
      <w:divBdr>
        <w:top w:val="none" w:sz="0" w:space="0" w:color="auto"/>
        <w:left w:val="none" w:sz="0" w:space="0" w:color="auto"/>
        <w:bottom w:val="none" w:sz="0" w:space="0" w:color="auto"/>
        <w:right w:val="none" w:sz="0" w:space="0" w:color="auto"/>
      </w:divBdr>
    </w:div>
    <w:div w:id="2113431539">
      <w:bodyDiv w:val="1"/>
      <w:marLeft w:val="0"/>
      <w:marRight w:val="0"/>
      <w:marTop w:val="0"/>
      <w:marBottom w:val="0"/>
      <w:divBdr>
        <w:top w:val="none" w:sz="0" w:space="0" w:color="auto"/>
        <w:left w:val="none" w:sz="0" w:space="0" w:color="auto"/>
        <w:bottom w:val="none" w:sz="0" w:space="0" w:color="auto"/>
        <w:right w:val="none" w:sz="0" w:space="0" w:color="auto"/>
      </w:divBdr>
      <w:divsChild>
        <w:div w:id="73280522">
          <w:marLeft w:val="0"/>
          <w:marRight w:val="0"/>
          <w:marTop w:val="0"/>
          <w:marBottom w:val="0"/>
          <w:divBdr>
            <w:top w:val="none" w:sz="0" w:space="0" w:color="auto"/>
            <w:left w:val="none" w:sz="0" w:space="0" w:color="auto"/>
            <w:bottom w:val="none" w:sz="0" w:space="0" w:color="auto"/>
            <w:right w:val="none" w:sz="0" w:space="0" w:color="auto"/>
          </w:divBdr>
          <w:divsChild>
            <w:div w:id="1720738970">
              <w:marLeft w:val="0"/>
              <w:marRight w:val="0"/>
              <w:marTop w:val="0"/>
              <w:marBottom w:val="0"/>
              <w:divBdr>
                <w:top w:val="none" w:sz="0" w:space="0" w:color="auto"/>
                <w:left w:val="none" w:sz="0" w:space="0" w:color="auto"/>
                <w:bottom w:val="none" w:sz="0" w:space="0" w:color="auto"/>
                <w:right w:val="none" w:sz="0" w:space="0" w:color="auto"/>
              </w:divBdr>
              <w:divsChild>
                <w:div w:id="887451321">
                  <w:marLeft w:val="0"/>
                  <w:marRight w:val="0"/>
                  <w:marTop w:val="0"/>
                  <w:marBottom w:val="0"/>
                  <w:divBdr>
                    <w:top w:val="none" w:sz="0" w:space="0" w:color="auto"/>
                    <w:left w:val="none" w:sz="0" w:space="0" w:color="auto"/>
                    <w:bottom w:val="none" w:sz="0" w:space="0" w:color="auto"/>
                    <w:right w:val="none" w:sz="0" w:space="0" w:color="auto"/>
                  </w:divBdr>
                  <w:divsChild>
                    <w:div w:id="19158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Timur-Kogabayev?_tp=eyJjb250ZXh0Ijp7ImZpcnN0UGFnZSI6InB1YmxpY2F0aW9uIiwicGFnZSI6InB1YmxpY2F0aW9uIn19" TargetMode="External"/><Relationship Id="rId5" Type="http://schemas.openxmlformats.org/officeDocument/2006/relationships/webSettings" Target="webSettings.xml"/><Relationship Id="rId10" Type="http://schemas.openxmlformats.org/officeDocument/2006/relationships/hyperlink" Target="https://www.researchgate.net/profile/Antanas-Maziliauskas?_tp=eyJjb250ZXh0Ijp7ImZpcnN0UGFnZSI6InB1YmxpY2F0aW9uIiwicGFnZSI6InB1YmxpY2F0aW9uIn19"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266C5-EF55-4B97-BA23-832FA60F7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25146</Words>
  <Characters>143337</Characters>
  <Application>Microsoft Office Word</Application>
  <DocSecurity>0</DocSecurity>
  <Lines>1194</Lines>
  <Paragraphs>336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Idsc</dc:creator>
  <cp:keywords/>
  <dc:description/>
  <cp:lastModifiedBy>MUATH ALMUHAILEB</cp:lastModifiedBy>
  <cp:revision>4</cp:revision>
  <cp:lastPrinted>2025-03-11T00:48:00Z</cp:lastPrinted>
  <dcterms:created xsi:type="dcterms:W3CDTF">2025-04-10T06:41:00Z</dcterms:created>
  <dcterms:modified xsi:type="dcterms:W3CDTF">2025-04-10T13:23:00Z</dcterms:modified>
</cp:coreProperties>
</file>