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E5D0206" w:rsidR="008239B5" w:rsidRDefault="00EB387B" w:rsidP="00EB387B">
      <w:pPr>
        <w:rPr>
          <w:b/>
          <w:bCs/>
          <w:rtl/>
        </w:rPr>
      </w:pPr>
      <w:r>
        <w:t xml:space="preserve">Leader Name: </w:t>
      </w:r>
      <w:r w:rsidR="00F12EA3">
        <w:rPr>
          <w:rFonts w:ascii="Segoe UI" w:hAnsi="Segoe UI" w:cs="Segoe UI"/>
          <w:color w:val="0F1115"/>
          <w:shd w:val="clear" w:color="auto" w:fill="FFFFFF"/>
          <w:rtl/>
        </w:rPr>
        <w:t>رشا مصطفى أسعد مالكي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243B766B" w:rsidR="006C5DFA" w:rsidRDefault="006C5DFA" w:rsidP="006C5DFA">
            <w:pPr>
              <w:jc w:val="center"/>
            </w:pPr>
            <w:r w:rsidRPr="00935AC8">
              <w:t>√</w:t>
            </w:r>
          </w:p>
        </w:tc>
        <w:tc>
          <w:tcPr>
            <w:tcW w:w="944" w:type="dxa"/>
            <w:vAlign w:val="center"/>
          </w:tcPr>
          <w:p w14:paraId="593FA448" w14:textId="77777777" w:rsidR="006C5DFA" w:rsidRDefault="006C5DFA" w:rsidP="006C5DFA">
            <w:pPr>
              <w:jc w:val="center"/>
            </w:pPr>
          </w:p>
        </w:tc>
        <w:tc>
          <w:tcPr>
            <w:tcW w:w="1177" w:type="dxa"/>
            <w:vAlign w:val="center"/>
          </w:tcPr>
          <w:p w14:paraId="798E4AB9" w14:textId="575428B2" w:rsidR="006C5DFA" w:rsidRDefault="006C5DFA" w:rsidP="006C5DFA">
            <w:pPr>
              <w:jc w:val="center"/>
            </w:pP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FF4C32A" w:rsidR="006C5DFA" w:rsidRDefault="006C5DFA" w:rsidP="006C5DFA">
            <w:pPr>
              <w:jc w:val="center"/>
            </w:pPr>
            <w:r w:rsidRPr="00935AC8">
              <w:t>√</w:t>
            </w:r>
          </w:p>
        </w:tc>
        <w:tc>
          <w:tcPr>
            <w:tcW w:w="944" w:type="dxa"/>
            <w:vAlign w:val="center"/>
          </w:tcPr>
          <w:p w14:paraId="61FA7EFC" w14:textId="77777777" w:rsidR="006C5DFA" w:rsidRDefault="006C5DFA" w:rsidP="006C5DFA">
            <w:pPr>
              <w:jc w:val="center"/>
            </w:pPr>
          </w:p>
        </w:tc>
        <w:tc>
          <w:tcPr>
            <w:tcW w:w="1177" w:type="dxa"/>
            <w:vAlign w:val="center"/>
          </w:tcPr>
          <w:p w14:paraId="61E6639C" w14:textId="77777777" w:rsidR="006C5DFA" w:rsidRDefault="006C5DFA" w:rsidP="006C5DFA">
            <w:pPr>
              <w:jc w:val="center"/>
            </w:pP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32B52517" w:rsidR="006C5DFA" w:rsidRDefault="006C5DFA" w:rsidP="006C5DFA">
            <w:pPr>
              <w:jc w:val="center"/>
            </w:pPr>
            <w:r w:rsidRPr="00935AC8">
              <w:t>√</w:t>
            </w:r>
          </w:p>
        </w:tc>
        <w:tc>
          <w:tcPr>
            <w:tcW w:w="944" w:type="dxa"/>
            <w:vAlign w:val="center"/>
          </w:tcPr>
          <w:p w14:paraId="750070BF" w14:textId="77777777" w:rsidR="006C5DFA" w:rsidRDefault="006C5DFA" w:rsidP="006C5DFA">
            <w:pPr>
              <w:jc w:val="center"/>
            </w:pPr>
          </w:p>
        </w:tc>
        <w:tc>
          <w:tcPr>
            <w:tcW w:w="1177" w:type="dxa"/>
            <w:vAlign w:val="center"/>
          </w:tcPr>
          <w:p w14:paraId="2CF2410E" w14:textId="77777777" w:rsidR="006C5DFA" w:rsidRDefault="006C5DFA" w:rsidP="006C5DFA">
            <w:pPr>
              <w:jc w:val="center"/>
            </w:pPr>
          </w:p>
        </w:tc>
        <w:tc>
          <w:tcPr>
            <w:tcW w:w="3978" w:type="dxa"/>
            <w:vAlign w:val="center"/>
          </w:tcPr>
          <w:p w14:paraId="64B67EB1" w14:textId="35BE513F" w:rsidR="006C5DFA" w:rsidRDefault="006C5DFA" w:rsidP="006C5DFA">
            <w:pPr>
              <w:jc w:val="center"/>
            </w:pPr>
          </w:p>
        </w:tc>
      </w:tr>
      <w:tr w:rsidR="006C5DFA" w14:paraId="2739CAFA" w14:textId="77777777" w:rsidTr="007A68B3">
        <w:trPr>
          <w:trHeight w:val="453"/>
        </w:trPr>
        <w:tc>
          <w:tcPr>
            <w:tcW w:w="3897" w:type="dxa"/>
            <w:shd w:val="clear" w:color="auto" w:fill="EEECE1"/>
            <w:vAlign w:val="center"/>
          </w:tcPr>
          <w:p w14:paraId="20FD641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6A5CA37E" w:rsidR="006C5DFA" w:rsidRDefault="006C5DFA" w:rsidP="006C5DFA">
            <w:pPr>
              <w:jc w:val="center"/>
            </w:pPr>
            <w:r w:rsidRPr="00935AC8">
              <w:t>√</w:t>
            </w:r>
          </w:p>
        </w:tc>
        <w:tc>
          <w:tcPr>
            <w:tcW w:w="944" w:type="dxa"/>
            <w:vAlign w:val="center"/>
          </w:tcPr>
          <w:p w14:paraId="04E6AB52" w14:textId="77777777" w:rsidR="006C5DFA" w:rsidRDefault="006C5DFA" w:rsidP="006C5DFA">
            <w:pPr>
              <w:jc w:val="center"/>
            </w:pPr>
          </w:p>
        </w:tc>
        <w:tc>
          <w:tcPr>
            <w:tcW w:w="1177" w:type="dxa"/>
            <w:vAlign w:val="center"/>
          </w:tcPr>
          <w:p w14:paraId="204722F0" w14:textId="77777777" w:rsidR="006C5DFA" w:rsidRDefault="006C5DFA" w:rsidP="006C5DFA">
            <w:pPr>
              <w:jc w:val="center"/>
            </w:pPr>
          </w:p>
        </w:tc>
        <w:tc>
          <w:tcPr>
            <w:tcW w:w="3978" w:type="dxa"/>
            <w:vAlign w:val="center"/>
          </w:tcPr>
          <w:p w14:paraId="6EBEC288" w14:textId="77777777" w:rsidR="006C5DFA" w:rsidRDefault="006C5DFA" w:rsidP="006C5DFA">
            <w:pPr>
              <w:jc w:val="center"/>
            </w:pPr>
          </w:p>
        </w:tc>
      </w:tr>
      <w:tr w:rsidR="006C5DFA" w14:paraId="775BDB18" w14:textId="77777777" w:rsidTr="007A68B3">
        <w:trPr>
          <w:trHeight w:val="453"/>
        </w:trPr>
        <w:tc>
          <w:tcPr>
            <w:tcW w:w="3897" w:type="dxa"/>
            <w:shd w:val="clear" w:color="auto" w:fill="EEECE1"/>
            <w:vAlign w:val="center"/>
          </w:tcPr>
          <w:p w14:paraId="6F2C9E20"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F90531" w:rsidR="006C5DFA" w:rsidRDefault="006C5DFA" w:rsidP="006C5DFA">
            <w:pPr>
              <w:jc w:val="center"/>
            </w:pPr>
            <w:r w:rsidRPr="00935AC8">
              <w:t>√</w:t>
            </w:r>
          </w:p>
        </w:tc>
        <w:tc>
          <w:tcPr>
            <w:tcW w:w="944" w:type="dxa"/>
            <w:vAlign w:val="center"/>
          </w:tcPr>
          <w:p w14:paraId="318D4286" w14:textId="77777777" w:rsidR="006C5DFA" w:rsidRDefault="006C5DFA" w:rsidP="006C5DFA">
            <w:pPr>
              <w:jc w:val="center"/>
            </w:pPr>
          </w:p>
        </w:tc>
        <w:tc>
          <w:tcPr>
            <w:tcW w:w="1177" w:type="dxa"/>
            <w:vAlign w:val="center"/>
          </w:tcPr>
          <w:p w14:paraId="133DE959" w14:textId="77777777" w:rsidR="006C5DFA" w:rsidRDefault="006C5DFA" w:rsidP="006C5DFA">
            <w:pPr>
              <w:jc w:val="center"/>
            </w:pPr>
          </w:p>
        </w:tc>
        <w:tc>
          <w:tcPr>
            <w:tcW w:w="3978" w:type="dxa"/>
            <w:vAlign w:val="center"/>
          </w:tcPr>
          <w:p w14:paraId="492DA691" w14:textId="613FB2EE" w:rsidR="006C5DFA" w:rsidRDefault="006C5DFA" w:rsidP="006C5DFA">
            <w:pPr>
              <w:jc w:val="center"/>
            </w:pPr>
          </w:p>
        </w:tc>
      </w:tr>
      <w:tr w:rsidR="006C5DFA" w14:paraId="26B6E1C1" w14:textId="77777777" w:rsidTr="007A68B3">
        <w:trPr>
          <w:trHeight w:val="884"/>
        </w:trPr>
        <w:tc>
          <w:tcPr>
            <w:tcW w:w="3897" w:type="dxa"/>
            <w:shd w:val="clear" w:color="auto" w:fill="EEECE1"/>
            <w:vAlign w:val="center"/>
          </w:tcPr>
          <w:p w14:paraId="19F1206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C5DFA" w:rsidRDefault="006C5DFA" w:rsidP="006C5DFA">
            <w:pPr>
              <w:jc w:val="center"/>
            </w:pPr>
            <w:r w:rsidRPr="00935AC8">
              <w:t>√</w:t>
            </w:r>
          </w:p>
        </w:tc>
        <w:tc>
          <w:tcPr>
            <w:tcW w:w="944" w:type="dxa"/>
            <w:vAlign w:val="center"/>
          </w:tcPr>
          <w:p w14:paraId="103BA3FA" w14:textId="77777777" w:rsidR="006C5DFA" w:rsidRDefault="006C5DFA" w:rsidP="006C5DFA">
            <w:pPr>
              <w:jc w:val="center"/>
            </w:pPr>
          </w:p>
        </w:tc>
        <w:tc>
          <w:tcPr>
            <w:tcW w:w="1177" w:type="dxa"/>
            <w:vAlign w:val="center"/>
          </w:tcPr>
          <w:p w14:paraId="5B0E78D2" w14:textId="77777777" w:rsidR="006C5DFA" w:rsidRDefault="006C5DFA" w:rsidP="006C5DFA">
            <w:pPr>
              <w:jc w:val="center"/>
            </w:pPr>
          </w:p>
        </w:tc>
        <w:tc>
          <w:tcPr>
            <w:tcW w:w="3978" w:type="dxa"/>
            <w:vAlign w:val="center"/>
          </w:tcPr>
          <w:p w14:paraId="4805EF37" w14:textId="77777777" w:rsidR="006C5DFA" w:rsidRDefault="006C5DFA" w:rsidP="00F12EA3">
            <w:pPr>
              <w:bidi/>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C5CF446" w14:textId="77777777" w:rsidR="00F12EA3" w:rsidRDefault="00F12EA3" w:rsidP="00F12EA3">
            <w:pPr>
              <w:bidi/>
            </w:pPr>
          </w:p>
          <w:p w14:paraId="3513EDDC" w14:textId="42A12134" w:rsidR="00F12EA3" w:rsidRDefault="00F12EA3" w:rsidP="00F12EA3">
            <w:pPr>
              <w:bidi/>
            </w:pPr>
            <w:r>
              <w:rPr>
                <w:rtl/>
              </w:rPr>
              <w:t xml:space="preserve">ملاحظات وتوصيات </w:t>
            </w:r>
            <w:r>
              <w:rPr>
                <w:rFonts w:hint="cs"/>
                <w:rtl/>
              </w:rPr>
              <w:t xml:space="preserve"> </w:t>
            </w:r>
            <w:r>
              <w:t>:</w:t>
            </w:r>
          </w:p>
          <w:p w14:paraId="5898CEE3" w14:textId="6858E3A9" w:rsidR="00F12EA3" w:rsidRDefault="00F12EA3" w:rsidP="00F12EA3">
            <w:pPr>
              <w:bidi/>
            </w:pPr>
            <w:r>
              <w:rPr>
                <w:rtl/>
              </w:rPr>
              <w:t>النموذج المفاهيمي</w:t>
            </w:r>
            <w:r>
              <w:t xml:space="preserve"> </w:t>
            </w:r>
            <w:r>
              <w:rPr>
                <w:rFonts w:hint="cs"/>
                <w:rtl/>
              </w:rPr>
              <w:t xml:space="preserve"> </w:t>
            </w:r>
            <w:r>
              <w:t xml:space="preserve">): </w:t>
            </w:r>
            <w:r>
              <w:rPr>
                <w:rtl/>
              </w:rPr>
              <w:t>الإطار النظري غني جدًا، لكن يُنصح بإضافة نموذج رسومي يوضح العلاقات بين التحول الرقمي (المتغير المستقل) والمتغيرات التابعة الأربعة (مشاركة الموظفين، الرضا الوظيفي، التوازن بين العمل والحياة، فعالية الأنظمة). هذا سيساعد القارئ على تصور العلاقات المقترحة</w:t>
            </w:r>
            <w:r>
              <w:t>.</w:t>
            </w:r>
          </w:p>
          <w:p w14:paraId="7945BC9E" w14:textId="77777777" w:rsidR="00F12EA3" w:rsidRDefault="00F12EA3" w:rsidP="00F12EA3">
            <w:pPr>
              <w:bidi/>
            </w:pPr>
          </w:p>
          <w:p w14:paraId="0361F7A8" w14:textId="124786D1" w:rsidR="00F12EA3" w:rsidRDefault="00F12EA3" w:rsidP="00F12EA3">
            <w:pPr>
              <w:bidi/>
            </w:pPr>
            <w:r>
              <w:rPr>
                <w:rtl/>
              </w:rPr>
              <w:t xml:space="preserve">حجم العينة الكمية </w:t>
            </w:r>
            <w:r>
              <w:rPr>
                <w:rFonts w:hint="cs"/>
                <w:rtl/>
              </w:rPr>
              <w:t xml:space="preserve"> </w:t>
            </w:r>
            <w:r>
              <w:rPr>
                <w:rtl/>
              </w:rPr>
              <w:t xml:space="preserve"> تم تحديد حجم العينة بـ 384 مشاركًا باستخدام معادلة ستيفن ك. تومبسون. هذا إجراء علمي ممتاز. يجب توضيح مجتمع الدراسة الأصلي الذي استندت إليه المعادلة</w:t>
            </w:r>
            <w:r>
              <w:t>.</w:t>
            </w:r>
          </w:p>
          <w:p w14:paraId="60669E0E" w14:textId="77777777" w:rsidR="00F12EA3" w:rsidRDefault="00F12EA3" w:rsidP="00F12EA3">
            <w:pPr>
              <w:bidi/>
            </w:pPr>
          </w:p>
          <w:p w14:paraId="5BCA5780" w14:textId="242DF76A" w:rsidR="00F12EA3" w:rsidRDefault="00F12EA3" w:rsidP="00F12EA3">
            <w:pPr>
              <w:bidi/>
            </w:pPr>
            <w:r>
              <w:rPr>
                <w:rtl/>
              </w:rPr>
              <w:t>المقابلات النوعية (</w:t>
            </w:r>
            <w:r>
              <w:rPr>
                <w:rFonts w:hint="cs"/>
                <w:rtl/>
              </w:rPr>
              <w:t xml:space="preserve"> </w:t>
            </w:r>
            <w:r>
              <w:rPr>
                <w:rtl/>
              </w:rPr>
              <w:t>: تم تحديد 20 مقابلة مع قادة الموارد البشرية. هذا عدد مناسب للدراسات النوعية. يجب توضيح معايير اختيار المشاركين في المقابلات</w:t>
            </w:r>
            <w:r>
              <w:t>.</w:t>
            </w:r>
          </w:p>
          <w:p w14:paraId="7C8BB039" w14:textId="77777777" w:rsidR="00F12EA3" w:rsidRDefault="00F12EA3" w:rsidP="00F12EA3">
            <w:pPr>
              <w:bidi/>
            </w:pPr>
          </w:p>
          <w:p w14:paraId="15F47C09" w14:textId="286C3FDF" w:rsidR="00F12EA3" w:rsidRDefault="00F12EA3" w:rsidP="00F12EA3">
            <w:pPr>
              <w:bidi/>
            </w:pPr>
            <w:r>
              <w:rPr>
                <w:rtl/>
              </w:rPr>
              <w:t xml:space="preserve">التحليل الإحصائي </w:t>
            </w:r>
            <w:r>
              <w:rPr>
                <w:rFonts w:hint="cs"/>
                <w:rtl/>
              </w:rPr>
              <w:t xml:space="preserve"> </w:t>
            </w:r>
            <w:r>
              <w:rPr>
                <w:rtl/>
              </w:rPr>
              <w:t>): تم ذكر استخدام تحليل المسار</w:t>
            </w:r>
            <w:r>
              <w:t xml:space="preserve"> (Path Analysis) </w:t>
            </w:r>
            <w:r>
              <w:rPr>
                <w:rtl/>
              </w:rPr>
              <w:t>أو نمذجة المعادلات الهيكلية</w:t>
            </w:r>
            <w:r>
              <w:t xml:space="preserve"> (SEM). </w:t>
            </w:r>
            <w:r>
              <w:rPr>
                <w:rtl/>
              </w:rPr>
              <w:t>هذا ممتاز. أنصح أيضًا بإجراء اختبار</w:t>
            </w:r>
            <w:r>
              <w:t xml:space="preserve"> (VIF) </w:t>
            </w:r>
            <w:r>
              <w:rPr>
                <w:rtl/>
              </w:rPr>
              <w:t>للتأكد من عدم وجود مشكلة تعدد الخطية بين المتغيرات المستقلة</w:t>
            </w:r>
            <w:r>
              <w:t>.</w:t>
            </w:r>
          </w:p>
          <w:p w14:paraId="5F472C86" w14:textId="77777777" w:rsidR="00F12EA3" w:rsidRDefault="00F12EA3" w:rsidP="00F12EA3">
            <w:pPr>
              <w:bidi/>
            </w:pPr>
          </w:p>
          <w:p w14:paraId="488406EB" w14:textId="24390038" w:rsidR="00F12EA3" w:rsidRDefault="00F12EA3" w:rsidP="00F12EA3">
            <w:pPr>
              <w:bidi/>
            </w:pPr>
            <w:r>
              <w:rPr>
                <w:rtl/>
              </w:rPr>
              <w:t>الدراسة الاستطلاعية</w:t>
            </w:r>
            <w:r>
              <w:t xml:space="preserve"> </w:t>
            </w:r>
            <w:r>
              <w:rPr>
                <w:rFonts w:hint="cs"/>
                <w:rtl/>
              </w:rPr>
              <w:t xml:space="preserve"> </w:t>
            </w:r>
            <w:r>
              <w:t xml:space="preserve">): </w:t>
            </w:r>
            <w:r>
              <w:rPr>
                <w:rtl/>
              </w:rPr>
              <w:t>لم يتم ذكر إجراء دراسة استطلاعية. يُنصح بإجراء دراسة استطلاعية على عينة صغيرة (30-50 مشاركًا) للتأكد من وضوح عبارات الاستبيان وثباتها قبل التطبيق النهائي</w:t>
            </w:r>
            <w:r>
              <w:t>.</w:t>
            </w:r>
          </w:p>
          <w:p w14:paraId="0C0A30FA" w14:textId="77777777" w:rsidR="00F12EA3" w:rsidRDefault="00F12EA3" w:rsidP="00F12EA3">
            <w:pPr>
              <w:bidi/>
            </w:pPr>
          </w:p>
          <w:p w14:paraId="7435E8FC" w14:textId="19895635" w:rsidR="008239B5" w:rsidRDefault="00F12EA3" w:rsidP="00F12EA3">
            <w:pPr>
              <w:bidi/>
              <w:jc w:val="center"/>
            </w:pPr>
            <w:r>
              <w:rPr>
                <w:rtl/>
              </w:rPr>
              <w:t>دمج النتائج (</w:t>
            </w:r>
            <w:r>
              <w:rPr>
                <w:rFonts w:hint="cs"/>
                <w:rtl/>
              </w:rPr>
              <w:t xml:space="preserve">  </w:t>
            </w:r>
            <w:r>
              <w:rPr>
                <w:rtl/>
              </w:rPr>
              <w:t>: تم ذكر استخدام التثليث</w:t>
            </w:r>
            <w:r>
              <w:t xml:space="preserve"> (Triangulation) </w:t>
            </w:r>
            <w:r>
              <w:rPr>
                <w:rtl/>
              </w:rPr>
              <w:t>لدمج النتائج الكمية والنوعية. هذا إجراء منهجي ممتاز. يجب توضيح كيفية تطبيق ذلك عمليًا</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6C5DFA"/>
    <w:rsid w:val="008047BE"/>
    <w:rsid w:val="008239B5"/>
    <w:rsid w:val="008D7A2A"/>
    <w:rsid w:val="00A26BC4"/>
    <w:rsid w:val="00AD60A7"/>
    <w:rsid w:val="00C60C27"/>
    <w:rsid w:val="00D34A3E"/>
    <w:rsid w:val="00EB387B"/>
    <w:rsid w:val="00F12E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2026-07-24T23:49:00Z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