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3BA44"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006300CC">
        <w:rPr>
          <w:rFonts w:ascii="Simplified Arabic" w:eastAsia="Calibri" w:hAnsi="Simplified Arabic" w:cs="Simplified Arabic" w:hint="cs"/>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1B3D94D4" w14:textId="77777777" w:rsidR="003220EB" w:rsidRPr="003220EB" w:rsidRDefault="006300CC" w:rsidP="003220EB">
      <w:pPr>
        <w:spacing w:after="0" w:line="257" w:lineRule="auto"/>
        <w:ind w:firstLine="284"/>
        <w:jc w:val="both"/>
        <w:rPr>
          <w:rFonts w:ascii="Simplified Arabic" w:eastAsia="Calibri" w:hAnsi="Simplified Arabic" w:cs="Simplified Arabic"/>
          <w:b/>
          <w:bCs/>
          <w:noProof/>
          <w:sz w:val="32"/>
          <w:szCs w:val="32"/>
          <w:rtl/>
          <w:lang w:bidi="ar-SY"/>
        </w:rPr>
      </w:pPr>
      <w:r>
        <w:rPr>
          <w:rFonts w:ascii="Simplified Arabic" w:eastAsia="Calibri" w:hAnsi="Simplified Arabic" w:cs="Simplified Arabic" w:hint="cs"/>
          <w:b/>
          <w:bCs/>
          <w:color w:val="000000"/>
          <w:sz w:val="32"/>
          <w:szCs w:val="32"/>
          <w:rtl/>
        </w:rPr>
        <w:t xml:space="preserve">       </w:t>
      </w:r>
      <w:r w:rsidR="003220EB"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24833F7E" w14:textId="62012875"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3D7965">
        <w:rPr>
          <w:rFonts w:ascii="Simplified Arabic" w:eastAsia="Calibri" w:hAnsi="Simplified Arabic" w:cs="Simplified Arabic" w:hint="cs"/>
          <w:b/>
          <w:bCs/>
          <w:noProof/>
          <w:sz w:val="32"/>
          <w:szCs w:val="32"/>
          <w:rtl/>
          <w:lang w:bidi="ar-SY"/>
        </w:rPr>
        <w:t>المشاريع</w:t>
      </w:r>
    </w:p>
    <w:p w14:paraId="5A277A45"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78A9D6E"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5BC6622C" w14:textId="77777777" w:rsidR="003220EB" w:rsidRPr="00C84DB0" w:rsidRDefault="003220EB" w:rsidP="008B0D19">
      <w:pPr>
        <w:spacing w:line="257" w:lineRule="auto"/>
        <w:jc w:val="both"/>
        <w:rPr>
          <w:rFonts w:ascii="Simplified Arabic" w:eastAsia="Calibri" w:hAnsi="Simplified Arabic" w:cs="Simplified Arabic"/>
          <w:sz w:val="14"/>
          <w:szCs w:val="14"/>
          <w:rtl/>
          <w:lang w:bidi="ar-SY"/>
        </w:rPr>
      </w:pPr>
    </w:p>
    <w:bookmarkEnd w:id="0"/>
    <w:p w14:paraId="2824B8A6" w14:textId="3A07B8DB" w:rsidR="00CA5875" w:rsidRDefault="003D7965" w:rsidP="00217D8D">
      <w:pPr>
        <w:spacing w:line="257" w:lineRule="auto"/>
        <w:ind w:firstLine="284"/>
        <w:jc w:val="center"/>
        <w:rPr>
          <w:rFonts w:ascii="Simplified Arabic" w:eastAsia="Calibri" w:hAnsi="Simplified Arabic" w:cs="Simplified Arabic"/>
          <w:b/>
          <w:bCs/>
          <w:sz w:val="14"/>
          <w:szCs w:val="14"/>
          <w:rtl/>
        </w:rPr>
      </w:pPr>
      <w:r w:rsidRPr="003D7965">
        <w:rPr>
          <w:rFonts w:ascii="Times New Roman" w:eastAsia="Calibri" w:hAnsi="Times New Roman" w:cs="Simplified Arabic"/>
          <w:b/>
          <w:bCs/>
          <w:sz w:val="36"/>
          <w:szCs w:val="40"/>
          <w:rtl/>
        </w:rPr>
        <w:t>تطبيق التحول الرقمي في إدارة مشاريع المطارات: دراسة حالة على أنظمة الملاحة الجوية في المملكة العربية السعودية</w:t>
      </w:r>
    </w:p>
    <w:p w14:paraId="4B33A64A" w14:textId="77777777" w:rsidR="003D7965" w:rsidRDefault="003D7965" w:rsidP="00217D8D">
      <w:pPr>
        <w:spacing w:line="257" w:lineRule="auto"/>
        <w:ind w:firstLine="284"/>
        <w:jc w:val="center"/>
        <w:rPr>
          <w:rFonts w:ascii="Simplified Arabic" w:eastAsia="Calibri" w:hAnsi="Simplified Arabic" w:cs="Simplified Arabic"/>
          <w:b/>
          <w:bCs/>
          <w:sz w:val="14"/>
          <w:szCs w:val="14"/>
          <w:rtl/>
        </w:rPr>
      </w:pPr>
    </w:p>
    <w:p w14:paraId="07FAAC5B" w14:textId="77777777" w:rsidR="003D7965" w:rsidRPr="00CF5C0F" w:rsidRDefault="003D7965" w:rsidP="00217D8D">
      <w:pPr>
        <w:spacing w:line="257" w:lineRule="auto"/>
        <w:ind w:firstLine="284"/>
        <w:jc w:val="center"/>
        <w:rPr>
          <w:rFonts w:ascii="Simplified Arabic" w:eastAsia="Calibri" w:hAnsi="Simplified Arabic" w:cs="Simplified Arabic"/>
          <w:b/>
          <w:bCs/>
          <w:sz w:val="14"/>
          <w:szCs w:val="14"/>
          <w:rtl/>
        </w:rPr>
      </w:pPr>
    </w:p>
    <w:p w14:paraId="6E7E56BA" w14:textId="77777777"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522AEF">
        <w:rPr>
          <w:rFonts w:ascii="Simplified Arabic" w:eastAsia="Calibri" w:hAnsi="Simplified Arabic" w:cs="Simplified Arabic" w:hint="cs"/>
          <w:b/>
          <w:bCs/>
          <w:sz w:val="32"/>
          <w:szCs w:val="32"/>
          <w:rtl/>
          <w:lang w:bidi="ar-SY"/>
        </w:rPr>
        <w:t>:</w:t>
      </w:r>
    </w:p>
    <w:p w14:paraId="2444C6A8" w14:textId="77777777" w:rsidR="003D7965" w:rsidRPr="003D7965" w:rsidRDefault="003D7965" w:rsidP="003D7965">
      <w:pPr>
        <w:spacing w:before="120" w:after="240" w:line="276" w:lineRule="auto"/>
        <w:ind w:firstLine="397"/>
        <w:jc w:val="center"/>
        <w:rPr>
          <w:rFonts w:ascii="Times New Roman" w:eastAsia="Calibri" w:hAnsi="Times New Roman" w:cs="Simplified Arabic"/>
          <w:b/>
          <w:bCs/>
          <w:sz w:val="28"/>
          <w:szCs w:val="32"/>
          <w:rtl/>
          <w:lang w:bidi="ar-EG"/>
        </w:rPr>
      </w:pPr>
      <w:r w:rsidRPr="003D7965">
        <w:rPr>
          <w:rFonts w:ascii="Times New Roman" w:eastAsia="Calibri" w:hAnsi="Times New Roman" w:cs="Simplified Arabic" w:hint="cs"/>
          <w:b/>
          <w:bCs/>
          <w:sz w:val="28"/>
          <w:szCs w:val="32"/>
          <w:rtl/>
        </w:rPr>
        <w:t>نورة</w:t>
      </w:r>
      <w:r w:rsidRPr="003D7965">
        <w:rPr>
          <w:rFonts w:ascii="Times New Roman" w:eastAsia="Calibri" w:hAnsi="Times New Roman" w:cs="Simplified Arabic" w:hint="cs"/>
          <w:b/>
          <w:bCs/>
          <w:sz w:val="28"/>
          <w:szCs w:val="32"/>
          <w:rtl/>
          <w:lang w:bidi="ar-EG"/>
        </w:rPr>
        <w:t xml:space="preserve"> </w:t>
      </w:r>
      <w:r w:rsidRPr="003D7965">
        <w:rPr>
          <w:rFonts w:ascii="Times New Roman" w:eastAsia="Calibri" w:hAnsi="Times New Roman" w:cs="Simplified Arabic"/>
          <w:b/>
          <w:bCs/>
          <w:sz w:val="28"/>
          <w:szCs w:val="32"/>
          <w:rtl/>
        </w:rPr>
        <w:t>عايض القحطاني</w:t>
      </w:r>
    </w:p>
    <w:p w14:paraId="7D85F132" w14:textId="77777777" w:rsidR="003D7965" w:rsidRPr="003D7965" w:rsidRDefault="003D7965" w:rsidP="003D7965">
      <w:pPr>
        <w:spacing w:before="120" w:after="240" w:line="276" w:lineRule="auto"/>
        <w:ind w:firstLine="397"/>
        <w:jc w:val="center"/>
        <w:rPr>
          <w:rFonts w:ascii="Times New Roman" w:eastAsia="Calibri" w:hAnsi="Times New Roman" w:cs="Simplified Arabic"/>
          <w:b/>
          <w:bCs/>
          <w:sz w:val="28"/>
          <w:szCs w:val="32"/>
          <w:rtl/>
        </w:rPr>
      </w:pPr>
      <w:r w:rsidRPr="003D7965">
        <w:rPr>
          <w:rFonts w:ascii="Times New Roman" w:eastAsia="Calibri" w:hAnsi="Times New Roman" w:cs="Simplified Arabic" w:hint="cs"/>
          <w:b/>
          <w:bCs/>
          <w:sz w:val="28"/>
          <w:szCs w:val="32"/>
          <w:rtl/>
          <w:lang w:bidi="ar-EG"/>
        </w:rPr>
        <w:t xml:space="preserve">الرقم الأكاديمي: </w:t>
      </w:r>
      <w:r w:rsidRPr="003D7965">
        <w:rPr>
          <w:rFonts w:ascii="Times New Roman" w:eastAsia="Calibri" w:hAnsi="Times New Roman" w:cs="Simplified Arabic"/>
          <w:b/>
          <w:bCs/>
          <w:sz w:val="28"/>
          <w:szCs w:val="32"/>
          <w:rtl/>
        </w:rPr>
        <w:t>252001487</w:t>
      </w:r>
    </w:p>
    <w:p w14:paraId="7CA8EB0C" w14:textId="77777777" w:rsidR="003747FA" w:rsidRDefault="003747FA" w:rsidP="00217D8D">
      <w:pPr>
        <w:spacing w:line="257" w:lineRule="auto"/>
        <w:ind w:firstLine="284"/>
        <w:jc w:val="center"/>
        <w:rPr>
          <w:rFonts w:ascii="Simplified Arabic" w:eastAsia="Calibri" w:hAnsi="Simplified Arabic" w:cs="Simplified Arabic"/>
          <w:b/>
          <w:bCs/>
          <w:sz w:val="32"/>
          <w:szCs w:val="32"/>
          <w:rtl/>
        </w:rPr>
      </w:pPr>
    </w:p>
    <w:p w14:paraId="774E36B9" w14:textId="77777777"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0E9651B8" w14:textId="77777777" w:rsidR="00CF5C0F" w:rsidRDefault="00376DB0" w:rsidP="00CF5C0F">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أ</w:t>
      </w:r>
      <w:r w:rsidR="00522AEF">
        <w:rPr>
          <w:rFonts w:ascii="Simplified Arabic" w:eastAsia="Calibri" w:hAnsi="Simplified Arabic" w:cs="Simplified Arabic" w:hint="cs"/>
          <w:b/>
          <w:bCs/>
          <w:sz w:val="32"/>
          <w:szCs w:val="32"/>
          <w:rtl/>
          <w:lang w:bidi="ar-EG"/>
        </w:rPr>
        <w:t>.</w:t>
      </w:r>
      <w:r w:rsidR="00CF5C0F" w:rsidRPr="00CF5C0F">
        <w:rPr>
          <w:rFonts w:ascii="Simplified Arabic" w:eastAsia="Calibri" w:hAnsi="Simplified Arabic" w:cs="Simplified Arabic" w:hint="cs"/>
          <w:b/>
          <w:bCs/>
          <w:sz w:val="32"/>
          <w:szCs w:val="32"/>
          <w:rtl/>
          <w:lang w:bidi="ar-EG"/>
        </w:rPr>
        <w:t>د</w:t>
      </w:r>
      <w:r w:rsidR="00522AEF">
        <w:rPr>
          <w:rFonts w:ascii="Simplified Arabic" w:eastAsia="Calibri" w:hAnsi="Simplified Arabic" w:cs="Simplified Arabic" w:hint="cs"/>
          <w:b/>
          <w:bCs/>
          <w:sz w:val="32"/>
          <w:szCs w:val="32"/>
          <w:rtl/>
          <w:lang w:bidi="ar-EG"/>
        </w:rPr>
        <w:t xml:space="preserve">. </w:t>
      </w:r>
      <w:r w:rsidR="00E0434F">
        <w:rPr>
          <w:rFonts w:ascii="Simplified Arabic" w:eastAsia="Calibri" w:hAnsi="Simplified Arabic" w:cs="Simplified Arabic" w:hint="cs"/>
          <w:b/>
          <w:bCs/>
          <w:sz w:val="32"/>
          <w:szCs w:val="32"/>
          <w:rtl/>
          <w:lang w:bidi="ar-EG"/>
        </w:rPr>
        <w:t xml:space="preserve">الفيصل </w:t>
      </w:r>
      <w:proofErr w:type="gramStart"/>
      <w:r w:rsidR="00E0434F">
        <w:rPr>
          <w:rFonts w:ascii="Simplified Arabic" w:eastAsia="Calibri" w:hAnsi="Simplified Arabic" w:cs="Simplified Arabic" w:hint="cs"/>
          <w:b/>
          <w:bCs/>
          <w:sz w:val="32"/>
          <w:szCs w:val="32"/>
          <w:rtl/>
          <w:lang w:bidi="ar-EG"/>
        </w:rPr>
        <w:t>عبدالحميد</w:t>
      </w:r>
      <w:proofErr w:type="gramEnd"/>
    </w:p>
    <w:p w14:paraId="37C9B2B9" w14:textId="77777777" w:rsidR="00376DB0" w:rsidRPr="00CF5C0F" w:rsidRDefault="00376DB0" w:rsidP="00CF5C0F">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 xml:space="preserve">أ.د. </w:t>
      </w:r>
      <w:r w:rsidRPr="00CF5C0F">
        <w:rPr>
          <w:rFonts w:ascii="Simplified Arabic" w:eastAsia="Calibri" w:hAnsi="Simplified Arabic" w:cs="Simplified Arabic" w:hint="cs"/>
          <w:b/>
          <w:bCs/>
          <w:sz w:val="29"/>
          <w:szCs w:val="29"/>
          <w:rtl/>
        </w:rPr>
        <w:t>فايز</w:t>
      </w:r>
      <w:r>
        <w:rPr>
          <w:rFonts w:ascii="Simplified Arabic" w:eastAsia="Calibri" w:hAnsi="Simplified Arabic" w:cs="Simplified Arabic" w:hint="cs"/>
          <w:b/>
          <w:bCs/>
          <w:sz w:val="29"/>
          <w:szCs w:val="29"/>
          <w:rtl/>
        </w:rPr>
        <w:t xml:space="preserve"> </w:t>
      </w:r>
      <w:r w:rsidRPr="00CF5C0F">
        <w:rPr>
          <w:rFonts w:ascii="Simplified Arabic" w:eastAsia="Calibri" w:hAnsi="Simplified Arabic" w:cs="Simplified Arabic" w:hint="cs"/>
          <w:b/>
          <w:bCs/>
          <w:sz w:val="29"/>
          <w:szCs w:val="29"/>
          <w:rtl/>
        </w:rPr>
        <w:t>علي</w:t>
      </w:r>
      <w:r>
        <w:rPr>
          <w:rFonts w:ascii="Simplified Arabic" w:eastAsia="Calibri" w:hAnsi="Simplified Arabic" w:cs="Simplified Arabic" w:hint="cs"/>
          <w:b/>
          <w:bCs/>
          <w:sz w:val="29"/>
          <w:szCs w:val="29"/>
          <w:rtl/>
        </w:rPr>
        <w:t xml:space="preserve"> </w:t>
      </w:r>
      <w:r w:rsidRPr="00CF5C0F">
        <w:rPr>
          <w:rFonts w:ascii="Simplified Arabic" w:eastAsia="Calibri" w:hAnsi="Simplified Arabic" w:cs="Simplified Arabic" w:hint="cs"/>
          <w:b/>
          <w:bCs/>
          <w:sz w:val="29"/>
          <w:szCs w:val="29"/>
          <w:rtl/>
        </w:rPr>
        <w:t>جراد</w:t>
      </w:r>
    </w:p>
    <w:p w14:paraId="4FDA237F" w14:textId="77777777" w:rsidR="00594922" w:rsidRPr="00217D8D" w:rsidRDefault="00594922" w:rsidP="00217D8D">
      <w:pPr>
        <w:spacing w:line="257" w:lineRule="auto"/>
        <w:ind w:firstLine="284"/>
        <w:jc w:val="center"/>
        <w:rPr>
          <w:rFonts w:ascii="Simplified Arabic" w:eastAsia="Calibri" w:hAnsi="Simplified Arabic" w:cs="Simplified Arabic"/>
          <w:sz w:val="32"/>
          <w:szCs w:val="32"/>
          <w:rtl/>
          <w:lang w:bidi="ar-SY"/>
        </w:rPr>
      </w:pPr>
    </w:p>
    <w:p w14:paraId="7E909321"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0B694A95" w14:textId="77777777"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w:t>
      </w:r>
      <w:r w:rsidR="00E0434F">
        <w:rPr>
          <w:rFonts w:ascii="Simplified Arabic" w:eastAsia="Calibri" w:hAnsi="Simplified Arabic" w:cs="Simplified Arabic" w:hint="cs"/>
          <w:b/>
          <w:bCs/>
          <w:sz w:val="28"/>
          <w:szCs w:val="28"/>
          <w:rtl/>
          <w:lang w:bidi="ar-SY"/>
        </w:rPr>
        <w:t>6</w:t>
      </w:r>
      <w:r w:rsidRPr="00217D8D">
        <w:rPr>
          <w:rFonts w:ascii="Simplified Arabic" w:eastAsia="Calibri" w:hAnsi="Simplified Arabic" w:cs="Simplified Arabic" w:hint="cs"/>
          <w:b/>
          <w:bCs/>
          <w:sz w:val="28"/>
          <w:szCs w:val="28"/>
          <w:rtl/>
          <w:lang w:bidi="ar-SY"/>
        </w:rPr>
        <w:t>م</w:t>
      </w:r>
    </w:p>
    <w:bookmarkEnd w:id="1"/>
    <w:p w14:paraId="615EF7B1" w14:textId="77777777"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109FB"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3F00873A" w14:textId="77777777" w:rsidR="00586478" w:rsidRPr="00586478" w:rsidRDefault="00586478" w:rsidP="00B03B33">
      <w:pPr>
        <w:spacing w:after="0" w:line="360" w:lineRule="auto"/>
        <w:jc w:val="both"/>
        <w:rPr>
          <w:rFonts w:ascii="Simplified Arabic" w:hAnsi="Simplified Arabic" w:cs="Simplified Arabic"/>
          <w:sz w:val="28"/>
          <w:szCs w:val="28"/>
          <w:rtl/>
        </w:rPr>
      </w:pPr>
    </w:p>
    <w:p w14:paraId="12508F9E" w14:textId="77777777" w:rsidR="00586478" w:rsidRPr="00586478" w:rsidRDefault="00586478" w:rsidP="00B03B33">
      <w:pPr>
        <w:spacing w:after="0" w:line="360" w:lineRule="auto"/>
      </w:pPr>
    </w:p>
    <w:p w14:paraId="37A2682E" w14:textId="77777777" w:rsidR="00586478" w:rsidRPr="00586478" w:rsidRDefault="00586478" w:rsidP="00B03B33">
      <w:pPr>
        <w:spacing w:after="0" w:line="360" w:lineRule="auto"/>
        <w:jc w:val="center"/>
        <w:rPr>
          <w:rFonts w:ascii="Simplified Arabic" w:hAnsi="Simplified Arabic" w:cs="Simplified Arabic"/>
          <w:sz w:val="28"/>
          <w:szCs w:val="28"/>
          <w:rtl/>
        </w:rPr>
      </w:pPr>
    </w:p>
    <w:p w14:paraId="6C8386FF" w14:textId="77777777" w:rsidR="00586478" w:rsidRPr="00586478" w:rsidRDefault="00586478" w:rsidP="00B03B33">
      <w:pPr>
        <w:spacing w:after="0" w:line="360" w:lineRule="auto"/>
        <w:jc w:val="center"/>
        <w:rPr>
          <w:rFonts w:ascii="Simplified Arabic" w:hAnsi="Simplified Arabic" w:cs="PT Bold Heading"/>
          <w:rtl/>
        </w:rPr>
      </w:pPr>
    </w:p>
    <w:p w14:paraId="0CDEE01F"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الأول</w:t>
      </w:r>
    </w:p>
    <w:p w14:paraId="5D48C5EC" w14:textId="77777777" w:rsidR="00586478" w:rsidRPr="00586478" w:rsidRDefault="00586478" w:rsidP="00B03B33">
      <w:pPr>
        <w:spacing w:after="0" w:line="360" w:lineRule="auto"/>
        <w:ind w:firstLine="284"/>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العام للدراسة</w:t>
      </w:r>
    </w:p>
    <w:p w14:paraId="4BDDE592" w14:textId="77777777" w:rsidR="00586478" w:rsidRPr="00586478" w:rsidRDefault="00586478" w:rsidP="002A79E1">
      <w:pPr>
        <w:spacing w:after="0" w:line="276" w:lineRule="auto"/>
        <w:ind w:left="720" w:firstLine="284"/>
        <w:contextualSpacing/>
        <w:jc w:val="both"/>
        <w:rPr>
          <w:rFonts w:ascii="Simplified Arabic" w:eastAsia="Calibri" w:hAnsi="Simplified Arabic" w:cs="Simplified Arabic"/>
          <w:b/>
          <w:bCs/>
          <w:sz w:val="24"/>
          <w:szCs w:val="24"/>
          <w:rtl/>
        </w:rPr>
      </w:pPr>
    </w:p>
    <w:p w14:paraId="1ABCEF07"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tl/>
        </w:rPr>
      </w:pPr>
      <w:r w:rsidRPr="00586478">
        <w:rPr>
          <w:rFonts w:ascii="Simplified Arabic" w:eastAsia="Calibri" w:hAnsi="Simplified Arabic" w:cs="Monotype Koufi"/>
          <w:sz w:val="42"/>
          <w:szCs w:val="42"/>
          <w:rtl/>
        </w:rPr>
        <w:t>المقدمة.</w:t>
      </w:r>
    </w:p>
    <w:p w14:paraId="5D2AA2FA"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مشكلة الدراسة.</w:t>
      </w:r>
    </w:p>
    <w:p w14:paraId="47BB3CF1" w14:textId="77777777" w:rsidR="009B4B26" w:rsidRPr="00586478" w:rsidRDefault="009B4B26" w:rsidP="009B4B26">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تساؤلات الدراسة.</w:t>
      </w:r>
    </w:p>
    <w:p w14:paraId="751DC782"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أهمية الدراسة.</w:t>
      </w:r>
    </w:p>
    <w:p w14:paraId="127BBDE4"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أهداف الدراسة.</w:t>
      </w:r>
    </w:p>
    <w:p w14:paraId="30308A74"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متغيرات وأبعاد الدراسة.</w:t>
      </w:r>
    </w:p>
    <w:p w14:paraId="513C4793"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فرضيات الدراسة.</w:t>
      </w:r>
    </w:p>
    <w:p w14:paraId="1092BE87" w14:textId="77777777" w:rsid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حدود الدراسة.</w:t>
      </w:r>
    </w:p>
    <w:p w14:paraId="68A3F8A3" w14:textId="5F4597D7" w:rsidR="002A79E1" w:rsidRPr="00586478" w:rsidRDefault="00BB2499" w:rsidP="002A79E1">
      <w:pPr>
        <w:numPr>
          <w:ilvl w:val="0"/>
          <w:numId w:val="2"/>
        </w:numPr>
        <w:spacing w:after="0" w:line="276"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مصطلحات الدراسة.</w:t>
      </w:r>
    </w:p>
    <w:p w14:paraId="75867CDF" w14:textId="77777777" w:rsidR="00586478" w:rsidRPr="00586478" w:rsidRDefault="00586478" w:rsidP="00B03B33">
      <w:pPr>
        <w:spacing w:after="0" w:line="360"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br w:type="page"/>
      </w:r>
    </w:p>
    <w:p w14:paraId="43717A49"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bookmarkStart w:id="2" w:name="_Hlk192448459"/>
      <w:r w:rsidRPr="00586478">
        <w:rPr>
          <w:rFonts w:ascii="Simplified Arabic" w:eastAsia="Calibri" w:hAnsi="Simplified Arabic" w:cs="PT Bold Heading"/>
          <w:sz w:val="32"/>
          <w:szCs w:val="32"/>
          <w:rtl/>
        </w:rPr>
        <w:lastRenderedPageBreak/>
        <w:t>الفصل الأول</w:t>
      </w:r>
    </w:p>
    <w:p w14:paraId="736D2559"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العام للدراسة</w:t>
      </w:r>
    </w:p>
    <w:p w14:paraId="3D3EB793" w14:textId="77777777" w:rsidR="00266060" w:rsidRDefault="00266060" w:rsidP="00B03B33">
      <w:pPr>
        <w:spacing w:after="0" w:line="360" w:lineRule="auto"/>
        <w:ind w:firstLine="510"/>
        <w:jc w:val="both"/>
        <w:rPr>
          <w:rFonts w:ascii="Times New Roman" w:eastAsia="Calibri" w:hAnsi="Times New Roman" w:cs="Simplified Arabic"/>
          <w:b/>
          <w:bCs/>
          <w:sz w:val="24"/>
          <w:szCs w:val="28"/>
          <w:rtl/>
        </w:rPr>
      </w:pPr>
    </w:p>
    <w:p w14:paraId="2A156024" w14:textId="77777777" w:rsidR="00586478" w:rsidRPr="00586478" w:rsidRDefault="00586478" w:rsidP="00B03B33">
      <w:pPr>
        <w:spacing w:after="0" w:line="360"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تمهيد</w:t>
      </w:r>
    </w:p>
    <w:p w14:paraId="32E44812"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يتناول هذا الفصل خارطة الطريق المنهجية للدراسة، حيث يستعرض الخلفية المعرفية لعمليات التحول الرقمي في قطاع الطيران، ويشخص مشكلة الدراسة المتعلقة بإدارة مشاريع الملاحة الجوية بالمملكة، صياغةً للتساؤلات البحثية التي تسعى الدراسة للإجابة عنها وفق أسس علمية رصينة. </w:t>
      </w:r>
    </w:p>
    <w:p w14:paraId="7AAD9C8C" w14:textId="77777777" w:rsidR="00BA4025" w:rsidRPr="00BA4025" w:rsidRDefault="00BA4025" w:rsidP="00BA4025">
      <w:pPr>
        <w:spacing w:after="0" w:line="360" w:lineRule="auto"/>
        <w:ind w:firstLine="510"/>
        <w:jc w:val="both"/>
        <w:rPr>
          <w:rFonts w:ascii="Times New Roman" w:eastAsia="Calibri" w:hAnsi="Times New Roman" w:cs="Simplified Arabic"/>
          <w:b/>
          <w:bCs/>
          <w:sz w:val="24"/>
          <w:szCs w:val="28"/>
          <w:rtl/>
        </w:rPr>
      </w:pPr>
      <w:r w:rsidRPr="00BA4025">
        <w:rPr>
          <w:rFonts w:ascii="Times New Roman" w:eastAsia="Calibri" w:hAnsi="Times New Roman" w:cs="Simplified Arabic"/>
          <w:b/>
          <w:bCs/>
          <w:sz w:val="24"/>
          <w:szCs w:val="28"/>
          <w:rtl/>
        </w:rPr>
        <w:t>1. المقدمة</w:t>
      </w:r>
    </w:p>
    <w:p w14:paraId="715BA808"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تعد صناعة الطيران والملاحة الجوية اليوم الشريان الحيوي الذي يربط العالم ببعضه، ومع تسارع وتيرة الابتكار التقني، أصبح تطوير مشاريع المطارات يتجاوز الأطر التقليدية للبناء والتشغيل، لينتقل نحو آفاق ذكية تعيد تعريف مفهوم الأجواء المفتوحة، حيث يبرز التحول الرقمي كقوة دافعة لإعادة هيكلة النظم الملاحية العالمية. </w:t>
      </w:r>
    </w:p>
    <w:p w14:paraId="644A40CD"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إن نجاح أي منشأة </w:t>
      </w:r>
      <w:proofErr w:type="spellStart"/>
      <w:r w:rsidRPr="00BA4025">
        <w:rPr>
          <w:rFonts w:ascii="Times New Roman" w:eastAsia="Calibri" w:hAnsi="Times New Roman" w:cs="Simplified Arabic"/>
          <w:sz w:val="24"/>
          <w:szCs w:val="28"/>
          <w:rtl/>
        </w:rPr>
        <w:t>مطارية</w:t>
      </w:r>
      <w:proofErr w:type="spellEnd"/>
      <w:r w:rsidRPr="00BA4025">
        <w:rPr>
          <w:rFonts w:ascii="Times New Roman" w:eastAsia="Calibri" w:hAnsi="Times New Roman" w:cs="Simplified Arabic"/>
          <w:sz w:val="24"/>
          <w:szCs w:val="28"/>
          <w:rtl/>
        </w:rPr>
        <w:t xml:space="preserve"> في العصر الراهن لم يعد يُقاس بحجم مدرجاتها فحسب، بل بمدى فاعلية "إدارة مشاريعها" وقدرتها على تحقيق الأهداف الاستراتيجية في بيئة تتسم بالتعقيد العالي والمخاطر المتزايدة. وتعد إدارة المشاريع في قطاع الملاحة الجوية من أكثر المهام دقة؛ نظرًا لارتباطها المباشر بمعايير السلامة الدولية (</w:t>
      </w:r>
      <w:r w:rsidRPr="00BA4025">
        <w:rPr>
          <w:rFonts w:ascii="Times New Roman" w:eastAsia="Calibri" w:hAnsi="Times New Roman" w:cs="Simplified Arabic"/>
          <w:sz w:val="24"/>
          <w:szCs w:val="28"/>
        </w:rPr>
        <w:t>Safety-Critical Systems</w:t>
      </w:r>
      <w:r w:rsidRPr="00BA4025">
        <w:rPr>
          <w:rFonts w:ascii="Times New Roman" w:eastAsia="Calibri" w:hAnsi="Times New Roman" w:cs="Simplified Arabic"/>
          <w:sz w:val="24"/>
          <w:szCs w:val="28"/>
          <w:rtl/>
        </w:rPr>
        <w:t>). وبهذا الشأن، يؤكد (</w:t>
      </w:r>
      <w:r w:rsidRPr="00BA4025">
        <w:rPr>
          <w:rFonts w:ascii="Times New Roman" w:eastAsia="Calibri" w:hAnsi="Times New Roman" w:cs="Simplified Arabic"/>
          <w:sz w:val="24"/>
          <w:szCs w:val="28"/>
        </w:rPr>
        <w:t>Al-Shehri, 2024</w:t>
      </w:r>
      <w:r w:rsidRPr="00BA4025">
        <w:rPr>
          <w:rFonts w:ascii="Times New Roman" w:eastAsia="Calibri" w:hAnsi="Times New Roman" w:cs="Simplified Arabic"/>
          <w:sz w:val="24"/>
          <w:szCs w:val="28"/>
          <w:rtl/>
        </w:rPr>
        <w:t>) أن كفاءة إدارة هذه المشاريع تتطلب مرونة فائقة في التعامل مع المتغيرات الجيوسياسية والتقنية، حيث يساهم تبني المنهجيات الحديثة في تقليص الهدر الزمني وتكاليف التشغيل بنسب تصل إلى 20%. وفي السياق ذاته، تشير دراسة (</w:t>
      </w:r>
      <w:r w:rsidRPr="00BA4025">
        <w:rPr>
          <w:rFonts w:ascii="Times New Roman" w:eastAsia="Calibri" w:hAnsi="Times New Roman" w:cs="Simplified Arabic"/>
          <w:sz w:val="24"/>
          <w:szCs w:val="28"/>
        </w:rPr>
        <w:t>Hassan &amp; Al-Qahtani, 2023</w:t>
      </w:r>
      <w:r w:rsidRPr="00BA4025">
        <w:rPr>
          <w:rFonts w:ascii="Times New Roman" w:eastAsia="Calibri" w:hAnsi="Times New Roman" w:cs="Simplified Arabic"/>
          <w:sz w:val="24"/>
          <w:szCs w:val="28"/>
          <w:rtl/>
        </w:rPr>
        <w:t xml:space="preserve">) إلى أن المشاريع الملاحية بالمملكة العربية السعودية تشهد تحولاً من نمط الإدارة الخطية التقليدية </w:t>
      </w:r>
      <w:r w:rsidRPr="00BA4025">
        <w:rPr>
          <w:rFonts w:ascii="Times New Roman" w:eastAsia="Calibri" w:hAnsi="Times New Roman" w:cs="Simplified Arabic"/>
          <w:sz w:val="24"/>
          <w:szCs w:val="28"/>
          <w:rtl/>
        </w:rPr>
        <w:lastRenderedPageBreak/>
        <w:t>إلى النظم التكاملية التي تضمن استدامة الأصول الملاحية، وهو ما يتوافق مع توجهات منظمة الطيران المدني الدولي (</w:t>
      </w:r>
      <w:r w:rsidRPr="00BA4025">
        <w:rPr>
          <w:rFonts w:ascii="Times New Roman" w:eastAsia="Calibri" w:hAnsi="Times New Roman" w:cs="Simplified Arabic"/>
          <w:sz w:val="24"/>
          <w:szCs w:val="28"/>
        </w:rPr>
        <w:t>ICAO</w:t>
      </w:r>
      <w:r w:rsidRPr="00BA4025">
        <w:rPr>
          <w:rFonts w:ascii="Times New Roman" w:eastAsia="Calibri" w:hAnsi="Times New Roman" w:cs="Simplified Arabic"/>
          <w:sz w:val="24"/>
          <w:szCs w:val="28"/>
          <w:rtl/>
        </w:rPr>
        <w:t>) التي تشدد على ضرورة تحسين كفاءة التنفيذ لضمان تدفق الحركة الجوية دون انقطاع، مما يعزز من الميزة التنافسية للمطارات المحورية.</w:t>
      </w:r>
    </w:p>
    <w:p w14:paraId="394A5E6F" w14:textId="77777777" w:rsidR="00D72E4D"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وفي مواجهة هذا التعقيد، برزت استراتيجيات "التحول الرقمي" كحجر زاوية لتطوير الأداء المؤسسي في قطاع الطيران. ولا يقتصر هذا التحول على استبدال الأنظمة التناظرية بأخرى رقمية، بل يمتد ليشمل إعادة هندسة العمليات الإدارية والتشغيلية (</w:t>
      </w:r>
      <w:r w:rsidRPr="00BA4025">
        <w:rPr>
          <w:rFonts w:ascii="Times New Roman" w:eastAsia="Calibri" w:hAnsi="Times New Roman" w:cs="Simplified Arabic"/>
          <w:sz w:val="24"/>
          <w:szCs w:val="28"/>
        </w:rPr>
        <w:t>Strohmeier, 2020</w:t>
      </w:r>
      <w:r w:rsidRPr="00BA4025">
        <w:rPr>
          <w:rFonts w:ascii="Times New Roman" w:eastAsia="Calibri" w:hAnsi="Times New Roman" w:cs="Simplified Arabic"/>
          <w:sz w:val="24"/>
          <w:szCs w:val="28"/>
          <w:rtl/>
        </w:rPr>
        <w:t>). وفي إدارة مشاريع الملاحة، تساهم التقنيات الرقمية مثل "نمذجة معلومات البناء" (</w:t>
      </w:r>
      <w:r w:rsidRPr="00BA4025">
        <w:rPr>
          <w:rFonts w:ascii="Times New Roman" w:eastAsia="Calibri" w:hAnsi="Times New Roman" w:cs="Simplified Arabic"/>
          <w:sz w:val="24"/>
          <w:szCs w:val="28"/>
        </w:rPr>
        <w:t>BIM</w:t>
      </w:r>
      <w:r w:rsidRPr="00BA4025">
        <w:rPr>
          <w:rFonts w:ascii="Times New Roman" w:eastAsia="Calibri" w:hAnsi="Times New Roman" w:cs="Simplified Arabic"/>
          <w:sz w:val="24"/>
          <w:szCs w:val="28"/>
          <w:rtl/>
        </w:rPr>
        <w:t>) وإنترنت الأشياء (</w:t>
      </w:r>
      <w:r w:rsidRPr="00BA4025">
        <w:rPr>
          <w:rFonts w:ascii="Times New Roman" w:eastAsia="Calibri" w:hAnsi="Times New Roman" w:cs="Simplified Arabic"/>
          <w:sz w:val="24"/>
          <w:szCs w:val="28"/>
        </w:rPr>
        <w:t>IoT</w:t>
      </w:r>
      <w:r w:rsidRPr="00BA4025">
        <w:rPr>
          <w:rFonts w:ascii="Times New Roman" w:eastAsia="Calibri" w:hAnsi="Times New Roman" w:cs="Simplified Arabic"/>
          <w:sz w:val="24"/>
          <w:szCs w:val="28"/>
          <w:rtl/>
        </w:rPr>
        <w:t xml:space="preserve">) في توفير رؤية استباقية للمخاطر الملاحية قبل وقوعها. </w:t>
      </w:r>
    </w:p>
    <w:p w14:paraId="0FA4E918" w14:textId="18602671"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و</w:t>
      </w:r>
      <w:r w:rsidR="00D72E4D">
        <w:rPr>
          <w:rFonts w:ascii="Times New Roman" w:eastAsia="Calibri" w:hAnsi="Times New Roman" w:cs="Simplified Arabic" w:hint="cs"/>
          <w:sz w:val="24"/>
          <w:szCs w:val="28"/>
          <w:rtl/>
        </w:rPr>
        <w:t xml:space="preserve">بهذا الصدد، </w:t>
      </w:r>
      <w:r w:rsidRPr="00BA4025">
        <w:rPr>
          <w:rFonts w:ascii="Times New Roman" w:eastAsia="Calibri" w:hAnsi="Times New Roman" w:cs="Simplified Arabic"/>
          <w:sz w:val="24"/>
          <w:szCs w:val="28"/>
          <w:rtl/>
        </w:rPr>
        <w:t>يشير (</w:t>
      </w:r>
      <w:r w:rsidRPr="00BA4025">
        <w:rPr>
          <w:rFonts w:ascii="Times New Roman" w:eastAsia="Calibri" w:hAnsi="Times New Roman" w:cs="Simplified Arabic"/>
          <w:sz w:val="24"/>
          <w:szCs w:val="28"/>
        </w:rPr>
        <w:t>Nawaz &amp; Al-Rashed, 2024</w:t>
      </w:r>
      <w:r w:rsidRPr="00BA4025">
        <w:rPr>
          <w:rFonts w:ascii="Times New Roman" w:eastAsia="Calibri" w:hAnsi="Times New Roman" w:cs="Simplified Arabic"/>
          <w:sz w:val="24"/>
          <w:szCs w:val="28"/>
          <w:rtl/>
        </w:rPr>
        <w:t xml:space="preserve">) إلى أن </w:t>
      </w:r>
      <w:proofErr w:type="spellStart"/>
      <w:r w:rsidRPr="00BA4025">
        <w:rPr>
          <w:rFonts w:ascii="Times New Roman" w:eastAsia="Calibri" w:hAnsi="Times New Roman" w:cs="Simplified Arabic"/>
          <w:sz w:val="24"/>
          <w:szCs w:val="28"/>
          <w:rtl/>
        </w:rPr>
        <w:t>الرقمنة</w:t>
      </w:r>
      <w:proofErr w:type="spellEnd"/>
      <w:r w:rsidRPr="00BA4025">
        <w:rPr>
          <w:rFonts w:ascii="Times New Roman" w:eastAsia="Calibri" w:hAnsi="Times New Roman" w:cs="Simplified Arabic"/>
          <w:sz w:val="24"/>
          <w:szCs w:val="28"/>
          <w:rtl/>
        </w:rPr>
        <w:t xml:space="preserve"> في المطارات السعودية لم تعد مجرد ترف تقني، بل هي استجابة لضرورات التشغيل الآمن للجيل القادم من الطائرات والأنظمة المسيرة. كما يوضح (</w:t>
      </w:r>
      <w:r w:rsidRPr="00BA4025">
        <w:rPr>
          <w:rFonts w:ascii="Times New Roman" w:eastAsia="Calibri" w:hAnsi="Times New Roman" w:cs="Simplified Arabic"/>
          <w:sz w:val="24"/>
          <w:szCs w:val="28"/>
        </w:rPr>
        <w:t>Gartner, 2023</w:t>
      </w:r>
      <w:r w:rsidRPr="00BA4025">
        <w:rPr>
          <w:rFonts w:ascii="Times New Roman" w:eastAsia="Calibri" w:hAnsi="Times New Roman" w:cs="Simplified Arabic"/>
          <w:sz w:val="24"/>
          <w:szCs w:val="28"/>
          <w:rtl/>
        </w:rPr>
        <w:t>) أن التحول الرقمي الفعال يتطلب تكاملًا بين التكنولوجيا والعنصر البشري، حيث تساهم الأنظمة السحابية في ربط مهندسي المشاريع الملاحية بمراكز المراقبة الجوية لحظيًا، مما يضمن دقة التنفيذ وتجنب الأخطاء التشغيلية الجسيمة التي قد تنجم عن نقص البيانات أو تأخر وصولها.</w:t>
      </w:r>
    </w:p>
    <w:p w14:paraId="448EF16B"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إن العلاقة التفاعلية بين توظيف الحلول الرقمية وكفاءة إدارة المشاريع الملاحية تخلق نموذجًا تشغيليًا يتسم بالذكاء والسرعة. فعندما تُدمج أدوات التحليل التنبؤي في دورة حياة مشروع الملاحة الجوية، يتحول المشروع من مرحلة التنفيذ التقليدي إلى "المشروع الذكي" الذي يمتلك القدرة على التعافي الذاتي وتعديل المسار (</w:t>
      </w:r>
      <w:r w:rsidRPr="00BA4025">
        <w:rPr>
          <w:rFonts w:ascii="Times New Roman" w:eastAsia="Calibri" w:hAnsi="Times New Roman" w:cs="Simplified Arabic"/>
          <w:sz w:val="24"/>
          <w:szCs w:val="28"/>
        </w:rPr>
        <w:t>Self-Correction</w:t>
      </w:r>
      <w:r w:rsidRPr="00BA4025">
        <w:rPr>
          <w:rFonts w:ascii="Times New Roman" w:eastAsia="Calibri" w:hAnsi="Times New Roman" w:cs="Simplified Arabic"/>
          <w:sz w:val="24"/>
          <w:szCs w:val="28"/>
          <w:rtl/>
        </w:rPr>
        <w:t>). وتؤكد نتائج دراسة (</w:t>
      </w:r>
      <w:r w:rsidRPr="00BA4025">
        <w:rPr>
          <w:rFonts w:ascii="Times New Roman" w:eastAsia="Calibri" w:hAnsi="Times New Roman" w:cs="Simplified Arabic"/>
          <w:sz w:val="24"/>
          <w:szCs w:val="28"/>
        </w:rPr>
        <w:t>Votto et al., 2021</w:t>
      </w:r>
      <w:r w:rsidRPr="00BA4025">
        <w:rPr>
          <w:rFonts w:ascii="Times New Roman" w:eastAsia="Calibri" w:hAnsi="Times New Roman" w:cs="Simplified Arabic"/>
          <w:sz w:val="24"/>
          <w:szCs w:val="28"/>
          <w:rtl/>
        </w:rPr>
        <w:t>) أن دمج الذكاء الاصطناعي في إدارة مشاريع البنية التحتية الجوية أدى إلى تحسين دقة التنبؤ بالميزانيات بنسبة 30%. ويبرز هنا مفهوم "التوأمة الرقمية" (</w:t>
      </w:r>
      <w:r w:rsidRPr="00BA4025">
        <w:rPr>
          <w:rFonts w:ascii="Times New Roman" w:eastAsia="Calibri" w:hAnsi="Times New Roman" w:cs="Simplified Arabic"/>
          <w:sz w:val="24"/>
          <w:szCs w:val="28"/>
        </w:rPr>
        <w:t>Digital Twin</w:t>
      </w:r>
      <w:r w:rsidRPr="00BA4025">
        <w:rPr>
          <w:rFonts w:ascii="Times New Roman" w:eastAsia="Calibri" w:hAnsi="Times New Roman" w:cs="Simplified Arabic"/>
          <w:sz w:val="24"/>
          <w:szCs w:val="28"/>
          <w:rtl/>
        </w:rPr>
        <w:t xml:space="preserve">) لأنظمة الملاحة، والتي تتيح </w:t>
      </w:r>
      <w:r w:rsidRPr="00BA4025">
        <w:rPr>
          <w:rFonts w:ascii="Times New Roman" w:eastAsia="Calibri" w:hAnsi="Times New Roman" w:cs="Simplified Arabic"/>
          <w:sz w:val="24"/>
          <w:szCs w:val="28"/>
          <w:rtl/>
        </w:rPr>
        <w:lastRenderedPageBreak/>
        <w:t>لمديري المشاريع اختبار كافة السيناريوهات التشغيلية في بيئة افتراضية قبل تطبيقها على أرض الواقع، مما يقلل من مخاطر التوقف المفاجئ للحركة الجوية، ويضمن توافق المشاريع مع المعايير الفنية والتشغيلية الصارمة التي تفرضها الهيئة العامة للطيران المدني (</w:t>
      </w:r>
      <w:r w:rsidRPr="00BA4025">
        <w:rPr>
          <w:rFonts w:ascii="Times New Roman" w:eastAsia="Calibri" w:hAnsi="Times New Roman" w:cs="Simplified Arabic"/>
          <w:sz w:val="24"/>
          <w:szCs w:val="28"/>
        </w:rPr>
        <w:t>GACA</w:t>
      </w:r>
      <w:r w:rsidRPr="00BA4025">
        <w:rPr>
          <w:rFonts w:ascii="Times New Roman" w:eastAsia="Calibri" w:hAnsi="Times New Roman" w:cs="Simplified Arabic"/>
          <w:sz w:val="24"/>
          <w:szCs w:val="28"/>
          <w:rtl/>
        </w:rPr>
        <w:t>).</w:t>
      </w:r>
    </w:p>
    <w:p w14:paraId="3AD07C73"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وتكتسب هذه المفاهيم أهمية استثنائية عند إسقاطها على بيئة الملاحة الجوية السعودية، التي تمر بمرحلة تاريخية من التحول تحت مظلة "رؤية 2030". حيث تضخ المملكة استثمارات </w:t>
      </w:r>
      <w:proofErr w:type="spellStart"/>
      <w:r w:rsidRPr="00BA4025">
        <w:rPr>
          <w:rFonts w:ascii="Times New Roman" w:eastAsia="Calibri" w:hAnsi="Times New Roman" w:cs="Simplified Arabic"/>
          <w:sz w:val="24"/>
          <w:szCs w:val="28"/>
          <w:rtl/>
        </w:rPr>
        <w:t>مليارية</w:t>
      </w:r>
      <w:proofErr w:type="spellEnd"/>
      <w:r w:rsidRPr="00BA4025">
        <w:rPr>
          <w:rFonts w:ascii="Times New Roman" w:eastAsia="Calibri" w:hAnsi="Times New Roman" w:cs="Simplified Arabic"/>
          <w:sz w:val="24"/>
          <w:szCs w:val="28"/>
          <w:rtl/>
        </w:rPr>
        <w:t xml:space="preserve"> لتطوير المطارات الدولية وتحويلها إلى منصات لوجستية عالمية، بقيادة شركة "</w:t>
      </w:r>
      <w:proofErr w:type="spellStart"/>
      <w:r w:rsidRPr="00BA4025">
        <w:rPr>
          <w:rFonts w:ascii="Times New Roman" w:eastAsia="Calibri" w:hAnsi="Times New Roman" w:cs="Simplified Arabic"/>
          <w:sz w:val="24"/>
          <w:szCs w:val="28"/>
          <w:rtl/>
        </w:rPr>
        <w:t>نيرس</w:t>
      </w:r>
      <w:proofErr w:type="spellEnd"/>
      <w:r w:rsidRPr="00BA4025">
        <w:rPr>
          <w:rFonts w:ascii="Times New Roman" w:eastAsia="Calibri" w:hAnsi="Times New Roman" w:cs="Simplified Arabic"/>
          <w:sz w:val="24"/>
          <w:szCs w:val="28"/>
          <w:rtl/>
        </w:rPr>
        <w:t>" (</w:t>
      </w:r>
      <w:r w:rsidRPr="00BA4025">
        <w:rPr>
          <w:rFonts w:ascii="Times New Roman" w:eastAsia="Calibri" w:hAnsi="Times New Roman" w:cs="Simplified Arabic"/>
          <w:sz w:val="24"/>
          <w:szCs w:val="28"/>
        </w:rPr>
        <w:t>SANS</w:t>
      </w:r>
      <w:r w:rsidRPr="00BA4025">
        <w:rPr>
          <w:rFonts w:ascii="Times New Roman" w:eastAsia="Calibri" w:hAnsi="Times New Roman" w:cs="Simplified Arabic"/>
          <w:sz w:val="24"/>
          <w:szCs w:val="28"/>
          <w:rtl/>
        </w:rPr>
        <w:t xml:space="preserve">) والمطارات القابضة. إن ضخامة هذه المشاريع وتعدد أطرافها يفرض ضرورة الانتقال نحو "الإدارة الرقمية للمشاريع" لضمان توافقها مع الاستراتيجية الوطنية للطيران التي تهدف لربط المملكة بـ 250 وجهة عالمية بحلول عام 2030. وهذا لا يتأتى إلا عبر </w:t>
      </w:r>
      <w:proofErr w:type="spellStart"/>
      <w:r w:rsidRPr="00BA4025">
        <w:rPr>
          <w:rFonts w:ascii="Times New Roman" w:eastAsia="Calibri" w:hAnsi="Times New Roman" w:cs="Simplified Arabic"/>
          <w:sz w:val="24"/>
          <w:szCs w:val="28"/>
          <w:rtl/>
        </w:rPr>
        <w:t>رقمنة</w:t>
      </w:r>
      <w:proofErr w:type="spellEnd"/>
      <w:r w:rsidRPr="00BA4025">
        <w:rPr>
          <w:rFonts w:ascii="Times New Roman" w:eastAsia="Calibri" w:hAnsi="Times New Roman" w:cs="Simplified Arabic"/>
          <w:sz w:val="24"/>
          <w:szCs w:val="28"/>
          <w:rtl/>
        </w:rPr>
        <w:t xml:space="preserve"> أنظمة الرادار، والاتصالات، والملاحة، والاستطلاع (</w:t>
      </w:r>
      <w:r w:rsidRPr="00BA4025">
        <w:rPr>
          <w:rFonts w:ascii="Times New Roman" w:eastAsia="Calibri" w:hAnsi="Times New Roman" w:cs="Simplified Arabic"/>
          <w:sz w:val="24"/>
          <w:szCs w:val="28"/>
        </w:rPr>
        <w:t>CNS</w:t>
      </w:r>
      <w:r w:rsidRPr="00BA4025">
        <w:rPr>
          <w:rFonts w:ascii="Times New Roman" w:eastAsia="Calibri" w:hAnsi="Times New Roman" w:cs="Simplified Arabic"/>
          <w:sz w:val="24"/>
          <w:szCs w:val="28"/>
          <w:rtl/>
        </w:rPr>
        <w:t>) وفق أرقى المعايير العالمية، لضمان استيعاب الزيادة المتوقعة في أعداد المسافرين والتي تهدف للوصول إلى 330 مليون مسافر.</w:t>
      </w:r>
    </w:p>
    <w:p w14:paraId="6B4314CD"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وعليه، تتطلع الدراسة الحالية من خلال هذا الطرح إلى تقديم رؤية علمية وتطبيقية مبتكرة، تسلط الضوء على آليات تفعيل التحول الرقمي كقوة تمكينية لرفع كفاءة إدارة مشاريع الملاحة الجوية بالمملكة. </w:t>
      </w:r>
    </w:p>
    <w:p w14:paraId="0781F230" w14:textId="77777777" w:rsidR="00BA4025" w:rsidRPr="00BA4025" w:rsidRDefault="00BA4025" w:rsidP="00BA4025">
      <w:pPr>
        <w:spacing w:after="0" w:line="360" w:lineRule="auto"/>
        <w:ind w:firstLine="510"/>
        <w:jc w:val="both"/>
        <w:rPr>
          <w:rFonts w:ascii="Times New Roman" w:eastAsia="Calibri" w:hAnsi="Times New Roman" w:cs="Simplified Arabic"/>
          <w:b/>
          <w:bCs/>
          <w:sz w:val="24"/>
          <w:szCs w:val="28"/>
          <w:rtl/>
        </w:rPr>
      </w:pPr>
      <w:r w:rsidRPr="00BA4025">
        <w:rPr>
          <w:rFonts w:ascii="Times New Roman" w:eastAsia="Calibri" w:hAnsi="Times New Roman" w:cs="Simplified Arabic"/>
          <w:b/>
          <w:bCs/>
          <w:sz w:val="24"/>
          <w:szCs w:val="28"/>
          <w:rtl/>
        </w:rPr>
        <w:t>2. مشكلة الدراسة:</w:t>
      </w:r>
    </w:p>
    <w:p w14:paraId="1F34DCB4"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يواجه قطاع الطيران والملاحة الجوية العالمي تحديات تشغيلية متزايدة ناتجة عن تقادم البنى التحتية التقنية والحاجة الماسة لمواكبة نمو الحركة الجوية المتسارع. وفي المملكة العربية السعودية، وعلى الرغم من الاستثمارات الضخمة في تطوير المطارات، لا تزال عمليات إدارة مشاريع الملاحة الجوية تواجه عقبات تتعلق ببطء التحول الرقمي الشامل في دورة حياة المشروع. ويشعر الباحث بوجود فجوة إجرائية وتقنية تتمثل في الاعتماد الجزئي على النظم التقليدية في متابعة المشاريع </w:t>
      </w:r>
      <w:r w:rsidRPr="00BA4025">
        <w:rPr>
          <w:rFonts w:ascii="Times New Roman" w:eastAsia="Calibri" w:hAnsi="Times New Roman" w:cs="Simplified Arabic"/>
          <w:sz w:val="24"/>
          <w:szCs w:val="28"/>
          <w:rtl/>
        </w:rPr>
        <w:lastRenderedPageBreak/>
        <w:t>الملاحية الكبرى، مما يؤدي أحيانًا إلى تداخل في الصلاحيات، وتأخر في جداول التنفيذ، وزيادة في تكاليف الصيانة المستقبلية نتيجة لعدم التكامل الرقمي المبكر.</w:t>
      </w:r>
    </w:p>
    <w:p w14:paraId="7A0333A3" w14:textId="77777777" w:rsidR="00D72E4D"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وتتجلى أبعاد هذه المشكلة من خلال المؤشرات الوطنية والعالمية؛ ففي تقرير "مؤشر الجاهزية الرقمية" الصادر عن وزارة الاتصالات وتقنية المعلومات (2024)، يتضح أن قطاع النقل والخدمات اللوجستية يحرز تقدمًا، إلا أن التخصصات النوعية مثل "الملاحة الجوية" تتطلب معايير </w:t>
      </w:r>
      <w:proofErr w:type="spellStart"/>
      <w:r w:rsidRPr="00BA4025">
        <w:rPr>
          <w:rFonts w:ascii="Times New Roman" w:eastAsia="Calibri" w:hAnsi="Times New Roman" w:cs="Simplified Arabic"/>
          <w:sz w:val="24"/>
          <w:szCs w:val="28"/>
          <w:rtl/>
        </w:rPr>
        <w:t>رقمنة</w:t>
      </w:r>
      <w:proofErr w:type="spellEnd"/>
      <w:r w:rsidRPr="00BA4025">
        <w:rPr>
          <w:rFonts w:ascii="Times New Roman" w:eastAsia="Calibri" w:hAnsi="Times New Roman" w:cs="Simplified Arabic"/>
          <w:sz w:val="24"/>
          <w:szCs w:val="28"/>
          <w:rtl/>
        </w:rPr>
        <w:t xml:space="preserve"> أكثر تعقيدًا تضمن (</w:t>
      </w:r>
      <w:r w:rsidRPr="00BA4025">
        <w:rPr>
          <w:rFonts w:ascii="Times New Roman" w:eastAsia="Calibri" w:hAnsi="Times New Roman" w:cs="Simplified Arabic"/>
          <w:sz w:val="24"/>
          <w:szCs w:val="28"/>
        </w:rPr>
        <w:t>Zero Downtime</w:t>
      </w:r>
      <w:r w:rsidRPr="00BA4025">
        <w:rPr>
          <w:rFonts w:ascii="Times New Roman" w:eastAsia="Calibri" w:hAnsi="Times New Roman" w:cs="Simplified Arabic"/>
          <w:sz w:val="24"/>
          <w:szCs w:val="28"/>
          <w:rtl/>
        </w:rPr>
        <w:t>). وتؤيد دراسة (العتيبي، 2023) هذا الطرح، حيث أشارت إلى أن 45% من مشاريع البنية التحتية للمطارات السعودية تواجه تحديات في "التنسيق الرقمي" بين المقاولين وجهات التشغيل، مما يؤدي إلى إعادة العمل (</w:t>
      </w:r>
      <w:r w:rsidRPr="00BA4025">
        <w:rPr>
          <w:rFonts w:ascii="Times New Roman" w:eastAsia="Calibri" w:hAnsi="Times New Roman" w:cs="Simplified Arabic"/>
          <w:sz w:val="24"/>
          <w:szCs w:val="28"/>
        </w:rPr>
        <w:t>Rework</w:t>
      </w:r>
      <w:r w:rsidRPr="00BA4025">
        <w:rPr>
          <w:rFonts w:ascii="Times New Roman" w:eastAsia="Calibri" w:hAnsi="Times New Roman" w:cs="Simplified Arabic"/>
          <w:sz w:val="24"/>
          <w:szCs w:val="28"/>
          <w:rtl/>
        </w:rPr>
        <w:t xml:space="preserve">) بنسبة تصل إلى 15%. </w:t>
      </w:r>
    </w:p>
    <w:p w14:paraId="4A03A0E2" w14:textId="2004FA4E"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كما أكدت نتائج "مؤتمر مستقبل الطيران" (الرياض، 2024) على أن التحول الرقمي في أنظمة الملاحة يواجه "تحدي المواءمة" بين التكنولوجيا الحديثة والكوادر البشرية المدربة، حيث أشار التقرير الختامي للمؤتمر إلى ضرورة تسريع </w:t>
      </w:r>
      <w:proofErr w:type="spellStart"/>
      <w:r w:rsidRPr="00BA4025">
        <w:rPr>
          <w:rFonts w:ascii="Times New Roman" w:eastAsia="Calibri" w:hAnsi="Times New Roman" w:cs="Simplified Arabic"/>
          <w:sz w:val="24"/>
          <w:szCs w:val="28"/>
          <w:rtl/>
        </w:rPr>
        <w:t>رقمنة</w:t>
      </w:r>
      <w:proofErr w:type="spellEnd"/>
      <w:r w:rsidRPr="00BA4025">
        <w:rPr>
          <w:rFonts w:ascii="Times New Roman" w:eastAsia="Calibri" w:hAnsi="Times New Roman" w:cs="Simplified Arabic"/>
          <w:sz w:val="24"/>
          <w:szCs w:val="28"/>
          <w:rtl/>
        </w:rPr>
        <w:t xml:space="preserve"> أنظمة المراقبة الجوية لتقليل الانبعاثات الكربونية وزيادة السعة الاستيعابية للمجال الجوي بنسبة 25%.</w:t>
      </w:r>
    </w:p>
    <w:p w14:paraId="083FE07C" w14:textId="77777777" w:rsid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وعلى الصعيد الدولي، تشير إحصاءات منظمة (</w:t>
      </w:r>
      <w:r w:rsidRPr="00BA4025">
        <w:rPr>
          <w:rFonts w:ascii="Times New Roman" w:eastAsia="Calibri" w:hAnsi="Times New Roman" w:cs="Simplified Arabic"/>
          <w:sz w:val="24"/>
          <w:szCs w:val="28"/>
        </w:rPr>
        <w:t>IATA, 2024</w:t>
      </w:r>
      <w:r w:rsidRPr="00BA4025">
        <w:rPr>
          <w:rFonts w:ascii="Times New Roman" w:eastAsia="Calibri" w:hAnsi="Times New Roman" w:cs="Simplified Arabic"/>
          <w:sz w:val="24"/>
          <w:szCs w:val="28"/>
          <w:rtl/>
        </w:rPr>
        <w:t xml:space="preserve">) إلى أن المطارات التي لم تتبنَّ استراتيجيات التحول الرقمي في إدارة مشاريعها خسرت ما يقرب من 12% من كفاءتها التشغيلية خلال فترات التوسع. وبالنظر إلى نتائج دراسة (الحربي، 2022) المحلية، يتضح أن هناك نقصًا في استخدام تطبيقات "الذكاء الاصطناعي" </w:t>
      </w:r>
      <w:proofErr w:type="spellStart"/>
      <w:r w:rsidRPr="00BA4025">
        <w:rPr>
          <w:rFonts w:ascii="Times New Roman" w:eastAsia="Calibri" w:hAnsi="Times New Roman" w:cs="Simplified Arabic"/>
          <w:sz w:val="24"/>
          <w:szCs w:val="28"/>
          <w:rtl/>
        </w:rPr>
        <w:t>و"بلوكشين</w:t>
      </w:r>
      <w:proofErr w:type="spellEnd"/>
      <w:r w:rsidRPr="00BA4025">
        <w:rPr>
          <w:rFonts w:ascii="Times New Roman" w:eastAsia="Calibri" w:hAnsi="Times New Roman" w:cs="Simplified Arabic"/>
          <w:sz w:val="24"/>
          <w:szCs w:val="28"/>
          <w:rtl/>
        </w:rPr>
        <w:t>" في إدارة العقود الملاحية، مما يعزز الحاجة الماسة لهذه الدراسة لتشخيص الواقع وتقديم حلول رقمية تكاملية تضمن ريادة المملكة في هذا القطاع الحيوي، وتحد من المخاطر التشغيلية والمالية المرتبطة بمشاريع أنظمة الملاحة الجوية.</w:t>
      </w:r>
    </w:p>
    <w:p w14:paraId="461E2DF4" w14:textId="77777777" w:rsidR="00D72E4D" w:rsidRDefault="00D72E4D" w:rsidP="00BA4025">
      <w:pPr>
        <w:spacing w:after="0" w:line="360" w:lineRule="auto"/>
        <w:ind w:firstLine="510"/>
        <w:jc w:val="both"/>
        <w:rPr>
          <w:rFonts w:ascii="Times New Roman" w:eastAsia="Calibri" w:hAnsi="Times New Roman" w:cs="Simplified Arabic"/>
          <w:sz w:val="24"/>
          <w:szCs w:val="28"/>
          <w:rtl/>
        </w:rPr>
      </w:pPr>
    </w:p>
    <w:p w14:paraId="3C4E399C" w14:textId="77777777" w:rsidR="00D72E4D" w:rsidRPr="00BA4025" w:rsidRDefault="00D72E4D" w:rsidP="00BA4025">
      <w:pPr>
        <w:spacing w:after="0" w:line="360" w:lineRule="auto"/>
        <w:ind w:firstLine="510"/>
        <w:jc w:val="both"/>
        <w:rPr>
          <w:rFonts w:ascii="Times New Roman" w:eastAsia="Calibri" w:hAnsi="Times New Roman" w:cs="Simplified Arabic"/>
          <w:sz w:val="24"/>
          <w:szCs w:val="28"/>
          <w:rtl/>
        </w:rPr>
      </w:pPr>
    </w:p>
    <w:p w14:paraId="1593BB7B" w14:textId="77777777" w:rsidR="00BA4025" w:rsidRPr="00BA4025" w:rsidRDefault="00BA4025" w:rsidP="00BA4025">
      <w:pPr>
        <w:spacing w:after="0" w:line="360" w:lineRule="auto"/>
        <w:ind w:firstLine="510"/>
        <w:jc w:val="both"/>
        <w:rPr>
          <w:rFonts w:ascii="Times New Roman" w:eastAsia="Calibri" w:hAnsi="Times New Roman" w:cs="Simplified Arabic"/>
          <w:b/>
          <w:bCs/>
          <w:sz w:val="24"/>
          <w:szCs w:val="28"/>
          <w:rtl/>
        </w:rPr>
      </w:pPr>
      <w:r w:rsidRPr="00BA4025">
        <w:rPr>
          <w:rFonts w:ascii="Times New Roman" w:eastAsia="Calibri" w:hAnsi="Times New Roman" w:cs="Simplified Arabic"/>
          <w:b/>
          <w:bCs/>
          <w:sz w:val="24"/>
          <w:szCs w:val="28"/>
          <w:rtl/>
        </w:rPr>
        <w:lastRenderedPageBreak/>
        <w:t>3. أسئلة الدراسة:</w:t>
      </w:r>
    </w:p>
    <w:p w14:paraId="5F8C2DA1"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 xml:space="preserve">التساؤل الرئيس: </w:t>
      </w:r>
      <w:r w:rsidRPr="00BA4025">
        <w:rPr>
          <w:rFonts w:ascii="Times New Roman" w:eastAsia="Calibri" w:hAnsi="Times New Roman" w:cs="Simplified Arabic"/>
          <w:sz w:val="24"/>
          <w:szCs w:val="28"/>
          <w:rtl/>
        </w:rPr>
        <w:t>"ما دور تطبيق التحول الرقمي في تحسين كفاءة إدارة مشاريع أنظمة الملاحة الجوية في المملكة العربية السعودية؟"</w:t>
      </w:r>
    </w:p>
    <w:p w14:paraId="1FBF726D"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وينبثق عن هذا التساؤل الرئيس الأسئلة الفرعية التالية:</w:t>
      </w:r>
    </w:p>
    <w:p w14:paraId="0E957985" w14:textId="77777777" w:rsidR="00BA4025" w:rsidRPr="00BA4025" w:rsidRDefault="00BA4025" w:rsidP="00CE7F2B">
      <w:pPr>
        <w:numPr>
          <w:ilvl w:val="0"/>
          <w:numId w:val="156"/>
        </w:numPr>
        <w:spacing w:after="0" w:line="276"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ما واقع تطبيق التحول الرقمي في إدارة مشاريع أنظمة الملاحة الجوية بالمملكة العربية السعودية من وجهة نظر المتخصصين؟</w:t>
      </w:r>
    </w:p>
    <w:p w14:paraId="1763A674" w14:textId="77777777" w:rsidR="00BA4025" w:rsidRPr="00BA4025" w:rsidRDefault="00BA4025" w:rsidP="00CE7F2B">
      <w:pPr>
        <w:numPr>
          <w:ilvl w:val="0"/>
          <w:numId w:val="156"/>
        </w:numPr>
        <w:spacing w:after="0" w:line="276"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ما مستوى كفاءة إدارة مشاريع أنظمة الملاحة الجوية في المطارات السعودية حالياً؟</w:t>
      </w:r>
    </w:p>
    <w:p w14:paraId="64F58063" w14:textId="77777777" w:rsidR="00BA4025" w:rsidRPr="00BA4025" w:rsidRDefault="00BA4025" w:rsidP="00CE7F2B">
      <w:pPr>
        <w:numPr>
          <w:ilvl w:val="0"/>
          <w:numId w:val="156"/>
        </w:numPr>
        <w:spacing w:after="0" w:line="276"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هل توجد علاقة ارتباطية ذات دلالة إحصائية بين مستوى التحول الرقمي وكفاءة إدارة مشاريع الملاحة الجوية؟</w:t>
      </w:r>
    </w:p>
    <w:p w14:paraId="394B4469" w14:textId="77777777" w:rsidR="00BA4025" w:rsidRPr="00BA4025" w:rsidRDefault="00BA4025" w:rsidP="00CE7F2B">
      <w:pPr>
        <w:numPr>
          <w:ilvl w:val="0"/>
          <w:numId w:val="156"/>
        </w:numPr>
        <w:spacing w:after="0" w:line="276"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ما دور تطبيق التحول الرقمي بأبعاده المختلفة (البنية التحتية الرقمية، أتمتة العمليات، التحليل التنبؤي، الأمن السيبراني الملاحي) في تحسين كفاءة إدارة مشاريع أنظمة الملاحة الجوية بالمملكة؟</w:t>
      </w:r>
    </w:p>
    <w:p w14:paraId="178C3FF2" w14:textId="77777777" w:rsidR="00BA4025" w:rsidRPr="00BA4025" w:rsidRDefault="00BA4025" w:rsidP="00CE7F2B">
      <w:pPr>
        <w:numPr>
          <w:ilvl w:val="1"/>
          <w:numId w:val="156"/>
        </w:numPr>
        <w:tabs>
          <w:tab w:val="clear" w:pos="1440"/>
          <w:tab w:val="num" w:pos="1077"/>
        </w:tabs>
        <w:spacing w:after="0" w:line="276" w:lineRule="auto"/>
        <w:ind w:left="1077"/>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ما دور البنية التحتية الرقمية في تحسين كفاءة إدارة مشاريع الملاحة الجوية؟</w:t>
      </w:r>
    </w:p>
    <w:p w14:paraId="7A7DEB8C" w14:textId="77777777" w:rsidR="00BA4025" w:rsidRPr="00BA4025" w:rsidRDefault="00BA4025" w:rsidP="00CE7F2B">
      <w:pPr>
        <w:numPr>
          <w:ilvl w:val="1"/>
          <w:numId w:val="156"/>
        </w:numPr>
        <w:tabs>
          <w:tab w:val="clear" w:pos="1440"/>
          <w:tab w:val="num" w:pos="1077"/>
        </w:tabs>
        <w:spacing w:after="0" w:line="276" w:lineRule="auto"/>
        <w:ind w:left="1077"/>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ما دور أتمتة العمليات الإدارية والتقنية في تحسين كفاءة إدارة مشاريع الملاحة الجوية؟</w:t>
      </w:r>
    </w:p>
    <w:p w14:paraId="4BC24262" w14:textId="77777777" w:rsidR="00BA4025" w:rsidRPr="00BA4025" w:rsidRDefault="00BA4025" w:rsidP="00CE7F2B">
      <w:pPr>
        <w:numPr>
          <w:ilvl w:val="1"/>
          <w:numId w:val="156"/>
        </w:numPr>
        <w:tabs>
          <w:tab w:val="clear" w:pos="1440"/>
          <w:tab w:val="num" w:pos="1077"/>
        </w:tabs>
        <w:spacing w:after="0" w:line="276" w:lineRule="auto"/>
        <w:ind w:left="1077"/>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ما دور التحليل التنبؤي والبيانات الضخمة في تحسين كفاءة إدارة مشاريع الملاحة الجوية؟</w:t>
      </w:r>
    </w:p>
    <w:p w14:paraId="7679926C" w14:textId="77777777" w:rsidR="00BA4025" w:rsidRPr="00BA4025" w:rsidRDefault="00BA4025" w:rsidP="00CE7F2B">
      <w:pPr>
        <w:numPr>
          <w:ilvl w:val="1"/>
          <w:numId w:val="156"/>
        </w:numPr>
        <w:tabs>
          <w:tab w:val="clear" w:pos="1440"/>
          <w:tab w:val="num" w:pos="1077"/>
        </w:tabs>
        <w:spacing w:after="0" w:line="276" w:lineRule="auto"/>
        <w:ind w:left="1077"/>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ما دور الأمن السيبراني الملاحي في تحسين كفاءة إدارة مشاريع الملاحة الجوية؟</w:t>
      </w:r>
    </w:p>
    <w:p w14:paraId="30F33DDC" w14:textId="77777777" w:rsidR="00BA4025" w:rsidRPr="00BA4025" w:rsidRDefault="00BA4025" w:rsidP="00BA4025">
      <w:pPr>
        <w:spacing w:after="0" w:line="360" w:lineRule="auto"/>
        <w:ind w:firstLine="510"/>
        <w:jc w:val="both"/>
        <w:rPr>
          <w:rFonts w:ascii="Times New Roman" w:eastAsia="Calibri" w:hAnsi="Times New Roman" w:cs="Simplified Arabic"/>
          <w:b/>
          <w:bCs/>
          <w:sz w:val="24"/>
          <w:szCs w:val="28"/>
          <w:rtl/>
        </w:rPr>
      </w:pPr>
      <w:r w:rsidRPr="00BA4025">
        <w:rPr>
          <w:rFonts w:ascii="Times New Roman" w:eastAsia="Calibri" w:hAnsi="Times New Roman" w:cs="Simplified Arabic"/>
          <w:b/>
          <w:bCs/>
          <w:sz w:val="24"/>
          <w:szCs w:val="28"/>
          <w:rtl/>
        </w:rPr>
        <w:t>4. أهداف الدراسة</w:t>
      </w:r>
    </w:p>
    <w:p w14:paraId="7E98E7E0"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الهدف العام:</w:t>
      </w:r>
    </w:p>
    <w:p w14:paraId="4B047D1A"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يتمثل الهدف الرئيس لهذه الدراسة في تقصي دور تطبيق التحول الرقمي في تحسين كفاءة إدارة مشاريع أنظمة الملاحة الجوية في المملكة العربية السعودية، وذلك من خلال تحقيق الأهداف الفرعية التالية:</w:t>
      </w:r>
    </w:p>
    <w:p w14:paraId="06402AB0" w14:textId="77777777" w:rsidR="00BA4025" w:rsidRPr="00BA4025" w:rsidRDefault="00BA4025" w:rsidP="00BA4025">
      <w:pPr>
        <w:numPr>
          <w:ilvl w:val="0"/>
          <w:numId w:val="157"/>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lastRenderedPageBreak/>
        <w:t>الكشف عن واقع تطبيق التحول الرقمي في إدارة مشاريع أنظمة الملاحة الجوية بالمملكة العربية السعودية.</w:t>
      </w:r>
    </w:p>
    <w:p w14:paraId="66B2460D" w14:textId="77777777" w:rsidR="00BA4025" w:rsidRPr="00BA4025" w:rsidRDefault="00BA4025" w:rsidP="00BA4025">
      <w:pPr>
        <w:numPr>
          <w:ilvl w:val="0"/>
          <w:numId w:val="157"/>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تحديد مستوى كفاءة إدارة مشاريع أنظمة الملاحة الجوية الحالية في المطارات السعودية.</w:t>
      </w:r>
    </w:p>
    <w:p w14:paraId="60364FB1" w14:textId="77777777" w:rsidR="00BA4025" w:rsidRPr="00BA4025" w:rsidRDefault="00BA4025" w:rsidP="00BA4025">
      <w:pPr>
        <w:numPr>
          <w:ilvl w:val="0"/>
          <w:numId w:val="157"/>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قياس طبيعة العلاقة الارتباطية بين مستوى التحول الرقمي وكفاءة إدارة مشاريع الملاحة الجوية.</w:t>
      </w:r>
    </w:p>
    <w:p w14:paraId="1E9C1384" w14:textId="77777777" w:rsidR="00BA4025" w:rsidRPr="00BA4025" w:rsidRDefault="00BA4025" w:rsidP="00BA4025">
      <w:pPr>
        <w:numPr>
          <w:ilvl w:val="0"/>
          <w:numId w:val="157"/>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تحديد مدى مساهمة أبعاد التحول الرقمي (البنية التحتية، الأتمتة، التحليل التنبؤي، الأمن السيبراني) في تحسين كفاءة إدارة مشاريع أنظمة الملاحة الجوية بالمملكة.</w:t>
      </w:r>
    </w:p>
    <w:p w14:paraId="64A57D1A" w14:textId="77777777" w:rsidR="00BA4025" w:rsidRPr="00BA4025" w:rsidRDefault="00BA4025" w:rsidP="00BA4025">
      <w:pPr>
        <w:spacing w:after="0" w:line="360" w:lineRule="auto"/>
        <w:ind w:firstLine="510"/>
        <w:jc w:val="both"/>
        <w:rPr>
          <w:rFonts w:ascii="Times New Roman" w:eastAsia="Calibri" w:hAnsi="Times New Roman" w:cs="Simplified Arabic"/>
          <w:b/>
          <w:bCs/>
          <w:sz w:val="24"/>
          <w:szCs w:val="28"/>
          <w:rtl/>
        </w:rPr>
      </w:pPr>
      <w:r w:rsidRPr="00BA4025">
        <w:rPr>
          <w:rFonts w:ascii="Times New Roman" w:eastAsia="Calibri" w:hAnsi="Times New Roman" w:cs="Simplified Arabic"/>
          <w:b/>
          <w:bCs/>
          <w:sz w:val="24"/>
          <w:szCs w:val="28"/>
          <w:rtl/>
        </w:rPr>
        <w:t>5. أهمية الدراسة</w:t>
      </w:r>
    </w:p>
    <w:p w14:paraId="3BBD3998"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الأهمية العلمية:</w:t>
      </w:r>
    </w:p>
    <w:p w14:paraId="65574C51" w14:textId="77777777" w:rsidR="00BA4025" w:rsidRPr="00BA4025" w:rsidRDefault="00BA4025" w:rsidP="00BA4025">
      <w:pPr>
        <w:numPr>
          <w:ilvl w:val="0"/>
          <w:numId w:val="158"/>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إثراء الأدب النظري في مجال الإدارة الهندسية من خلال تقديم إطار معرفي يربط بين تقنيات الثورة الصناعية الرابعة وإدارة المشاريع النوعية في قطاع الطيران.</w:t>
      </w:r>
    </w:p>
    <w:p w14:paraId="61179FEF" w14:textId="77777777" w:rsidR="00BA4025" w:rsidRPr="00BA4025" w:rsidRDefault="00BA4025" w:rsidP="00BA4025">
      <w:pPr>
        <w:numPr>
          <w:ilvl w:val="0"/>
          <w:numId w:val="158"/>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توفير مرجع علمي حديث للمكتبة العربية يتناول "الملاحة الجوية" من منظور إداري وتقني متكامل، وهو تخصص يتسم بندرة الدراسات الأكاديمية باللغة العربية.</w:t>
      </w:r>
    </w:p>
    <w:p w14:paraId="625F6BDD" w14:textId="77777777" w:rsidR="00BA4025" w:rsidRPr="00BA4025" w:rsidRDefault="00BA4025" w:rsidP="00BA4025">
      <w:pPr>
        <w:numPr>
          <w:ilvl w:val="0"/>
          <w:numId w:val="158"/>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فتح آفاق بحثية جديدة للباحثين لدراسة أثر التقنيات الناشئة مثل التوأمة الرقمية والذكاء الاصطناعي في البيئات التشغيلية عالية الخطورة.</w:t>
      </w:r>
    </w:p>
    <w:p w14:paraId="01B9E78A"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الأهمية العملية:</w:t>
      </w:r>
    </w:p>
    <w:p w14:paraId="53F43BF9" w14:textId="77777777" w:rsidR="00BA4025" w:rsidRPr="00BA4025" w:rsidRDefault="00BA4025" w:rsidP="00BA4025">
      <w:pPr>
        <w:numPr>
          <w:ilvl w:val="0"/>
          <w:numId w:val="159"/>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تقديم مؤشرات ميدانية واقعية لصناع القرار في الهيئة العامة للطيران المدني (</w:t>
      </w:r>
      <w:r w:rsidRPr="00BA4025">
        <w:rPr>
          <w:rFonts w:ascii="Times New Roman" w:eastAsia="Calibri" w:hAnsi="Times New Roman" w:cs="Simplified Arabic"/>
          <w:sz w:val="24"/>
          <w:szCs w:val="28"/>
        </w:rPr>
        <w:t>GACA</w:t>
      </w:r>
      <w:r w:rsidRPr="00BA4025">
        <w:rPr>
          <w:rFonts w:ascii="Times New Roman" w:eastAsia="Calibri" w:hAnsi="Times New Roman" w:cs="Simplified Arabic"/>
          <w:sz w:val="24"/>
          <w:szCs w:val="28"/>
          <w:rtl/>
        </w:rPr>
        <w:t>) وشركة خدمات الملاحة الجوية السعودية (</w:t>
      </w:r>
      <w:r w:rsidRPr="00BA4025">
        <w:rPr>
          <w:rFonts w:ascii="Times New Roman" w:eastAsia="Calibri" w:hAnsi="Times New Roman" w:cs="Simplified Arabic"/>
          <w:sz w:val="24"/>
          <w:szCs w:val="28"/>
        </w:rPr>
        <w:t>SANS</w:t>
      </w:r>
      <w:r w:rsidRPr="00BA4025">
        <w:rPr>
          <w:rFonts w:ascii="Times New Roman" w:eastAsia="Calibri" w:hAnsi="Times New Roman" w:cs="Simplified Arabic"/>
          <w:sz w:val="24"/>
          <w:szCs w:val="28"/>
          <w:rtl/>
        </w:rPr>
        <w:t xml:space="preserve">) حول فاعلية استراتيجيات </w:t>
      </w:r>
      <w:proofErr w:type="spellStart"/>
      <w:r w:rsidRPr="00BA4025">
        <w:rPr>
          <w:rFonts w:ascii="Times New Roman" w:eastAsia="Calibri" w:hAnsi="Times New Roman" w:cs="Simplified Arabic"/>
          <w:sz w:val="24"/>
          <w:szCs w:val="28"/>
          <w:rtl/>
        </w:rPr>
        <w:t>الرقمنة</w:t>
      </w:r>
      <w:proofErr w:type="spellEnd"/>
      <w:r w:rsidRPr="00BA4025">
        <w:rPr>
          <w:rFonts w:ascii="Times New Roman" w:eastAsia="Calibri" w:hAnsi="Times New Roman" w:cs="Simplified Arabic"/>
          <w:sz w:val="24"/>
          <w:szCs w:val="28"/>
          <w:rtl/>
        </w:rPr>
        <w:t xml:space="preserve"> الحالية.</w:t>
      </w:r>
    </w:p>
    <w:p w14:paraId="5BADAB0E" w14:textId="77777777" w:rsidR="00BA4025" w:rsidRPr="00BA4025" w:rsidRDefault="00BA4025" w:rsidP="00BA4025">
      <w:pPr>
        <w:numPr>
          <w:ilvl w:val="0"/>
          <w:numId w:val="159"/>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تزويد مديري مشاريع المطارات بمجموعة من التوصيات المبنية على نتائج إحصائية حول أفضل الممارسات الرقمية التي ترفع من دقة الالتزام بالجداول الزمنية والميزانيات المرصودة.</w:t>
      </w:r>
    </w:p>
    <w:p w14:paraId="308822A3" w14:textId="77777777" w:rsidR="00BA4025" w:rsidRPr="00BA4025" w:rsidRDefault="00BA4025" w:rsidP="00BA4025">
      <w:pPr>
        <w:numPr>
          <w:ilvl w:val="0"/>
          <w:numId w:val="159"/>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lastRenderedPageBreak/>
        <w:t>المساهمة في دعم مستهدفات رؤية المملكة 2030 وبرنامج التحول الوطني عبر تسليط الضوء على آليات رفع كفاءة التشغيل في قطاع النقل والخدمات اللوجستية.</w:t>
      </w:r>
    </w:p>
    <w:p w14:paraId="71A585ED" w14:textId="77777777" w:rsidR="00BA4025" w:rsidRPr="00BA4025" w:rsidRDefault="00BA4025" w:rsidP="00BA4025">
      <w:pPr>
        <w:spacing w:after="0" w:line="360" w:lineRule="auto"/>
        <w:ind w:firstLine="510"/>
        <w:jc w:val="both"/>
        <w:rPr>
          <w:rFonts w:ascii="Times New Roman" w:eastAsia="Calibri" w:hAnsi="Times New Roman" w:cs="Simplified Arabic"/>
          <w:b/>
          <w:bCs/>
          <w:sz w:val="24"/>
          <w:szCs w:val="28"/>
          <w:rtl/>
        </w:rPr>
      </w:pPr>
      <w:r w:rsidRPr="00BA4025">
        <w:rPr>
          <w:rFonts w:ascii="Times New Roman" w:eastAsia="Calibri" w:hAnsi="Times New Roman" w:cs="Simplified Arabic"/>
          <w:b/>
          <w:bCs/>
          <w:sz w:val="24"/>
          <w:szCs w:val="28"/>
          <w:rtl/>
        </w:rPr>
        <w:t>6. متغيرات وأبعاد الدراسة</w:t>
      </w:r>
    </w:p>
    <w:p w14:paraId="760FD692"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تتحدد متغيرات الدراسة وأبعادها فيما يلي:</w:t>
      </w:r>
    </w:p>
    <w:p w14:paraId="58A79A72" w14:textId="77777777" w:rsidR="00BA4025" w:rsidRPr="00BA4025" w:rsidRDefault="00BA4025" w:rsidP="00BA4025">
      <w:pPr>
        <w:numPr>
          <w:ilvl w:val="0"/>
          <w:numId w:val="160"/>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المتغير المستقل: التحول الرقمي (</w:t>
      </w:r>
      <w:r w:rsidRPr="00BA4025">
        <w:rPr>
          <w:rFonts w:ascii="Times New Roman" w:eastAsia="Calibri" w:hAnsi="Times New Roman" w:cs="Simplified Arabic"/>
          <w:b/>
          <w:bCs/>
          <w:sz w:val="24"/>
          <w:szCs w:val="28"/>
        </w:rPr>
        <w:t>Digital Transformation</w:t>
      </w:r>
      <w:r w:rsidRPr="00BA4025">
        <w:rPr>
          <w:rFonts w:ascii="Times New Roman" w:eastAsia="Calibri" w:hAnsi="Times New Roman" w:cs="Simplified Arabic"/>
          <w:b/>
          <w:bCs/>
          <w:sz w:val="24"/>
          <w:szCs w:val="28"/>
          <w:rtl/>
        </w:rPr>
        <w:t>)، وأبعاده:</w:t>
      </w:r>
    </w:p>
    <w:p w14:paraId="30DCE78C" w14:textId="77777777" w:rsidR="00BA4025" w:rsidRPr="00BA4025" w:rsidRDefault="00BA4025" w:rsidP="00BA4025">
      <w:pPr>
        <w:numPr>
          <w:ilvl w:val="1"/>
          <w:numId w:val="160"/>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البنية التحتية الرقمية.</w:t>
      </w:r>
    </w:p>
    <w:p w14:paraId="25ABC16C" w14:textId="77777777" w:rsidR="00BA4025" w:rsidRPr="00BA4025" w:rsidRDefault="00BA4025" w:rsidP="00BA4025">
      <w:pPr>
        <w:numPr>
          <w:ilvl w:val="1"/>
          <w:numId w:val="160"/>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أتمتة العمليات.</w:t>
      </w:r>
    </w:p>
    <w:p w14:paraId="492824B9" w14:textId="77777777" w:rsidR="00BA4025" w:rsidRPr="00BA4025" w:rsidRDefault="00BA4025" w:rsidP="00BA4025">
      <w:pPr>
        <w:numPr>
          <w:ilvl w:val="1"/>
          <w:numId w:val="160"/>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التحليل التنبؤي والبيانات الضخمة.</w:t>
      </w:r>
    </w:p>
    <w:p w14:paraId="2415BAE7" w14:textId="77777777" w:rsidR="00BA4025" w:rsidRPr="00BA4025" w:rsidRDefault="00BA4025" w:rsidP="00BA4025">
      <w:pPr>
        <w:numPr>
          <w:ilvl w:val="1"/>
          <w:numId w:val="160"/>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الأمن السيبراني الملاحي.</w:t>
      </w:r>
    </w:p>
    <w:p w14:paraId="70B006C2" w14:textId="77777777" w:rsidR="00BA4025" w:rsidRPr="00BA4025" w:rsidRDefault="00BA4025" w:rsidP="00BA4025">
      <w:pPr>
        <w:numPr>
          <w:ilvl w:val="0"/>
          <w:numId w:val="160"/>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المتغير التابع: كفاءة إدارة مشاريع أنظمة الملاحة الجوية (</w:t>
      </w:r>
      <w:r w:rsidRPr="00BA4025">
        <w:rPr>
          <w:rFonts w:ascii="Times New Roman" w:eastAsia="Calibri" w:hAnsi="Times New Roman" w:cs="Simplified Arabic"/>
          <w:b/>
          <w:bCs/>
          <w:sz w:val="24"/>
          <w:szCs w:val="28"/>
        </w:rPr>
        <w:t>Efficiency of Air Navigation Project Management</w:t>
      </w:r>
      <w:r w:rsidRPr="00BA4025">
        <w:rPr>
          <w:rFonts w:ascii="Times New Roman" w:eastAsia="Calibri" w:hAnsi="Times New Roman" w:cs="Simplified Arabic"/>
          <w:b/>
          <w:bCs/>
          <w:sz w:val="24"/>
          <w:szCs w:val="28"/>
          <w:rtl/>
        </w:rPr>
        <w:t>).</w:t>
      </w:r>
    </w:p>
    <w:p w14:paraId="2C002E53" w14:textId="77777777" w:rsidR="00BA4025" w:rsidRPr="00BA4025" w:rsidRDefault="00BA4025" w:rsidP="00BA4025">
      <w:pPr>
        <w:spacing w:after="0" w:line="360" w:lineRule="auto"/>
        <w:ind w:firstLine="510"/>
        <w:jc w:val="both"/>
        <w:rPr>
          <w:rFonts w:ascii="Times New Roman" w:eastAsia="Calibri" w:hAnsi="Times New Roman" w:cs="Simplified Arabic"/>
          <w:b/>
          <w:bCs/>
          <w:sz w:val="24"/>
          <w:szCs w:val="28"/>
          <w:rtl/>
        </w:rPr>
      </w:pPr>
      <w:r w:rsidRPr="00BA4025">
        <w:rPr>
          <w:rFonts w:ascii="Times New Roman" w:eastAsia="Calibri" w:hAnsi="Times New Roman" w:cs="Simplified Arabic"/>
          <w:b/>
          <w:bCs/>
          <w:sz w:val="24"/>
          <w:szCs w:val="28"/>
          <w:rtl/>
        </w:rPr>
        <w:t>7. فرضيات الدراسة</w:t>
      </w:r>
    </w:p>
    <w:p w14:paraId="1DFDE4B8"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الفرضية الرئيسة:</w:t>
      </w:r>
    </w:p>
    <w:p w14:paraId="303C3405"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"يوجد دور ذو دلالة إحصائية عند مستوى (</w:t>
      </w:r>
      <w:r w:rsidRPr="00BA4025">
        <w:rPr>
          <w:rFonts w:ascii="Times New Roman" w:eastAsia="Calibri" w:hAnsi="Times New Roman" w:cs="Simplified Arabic"/>
          <w:sz w:val="24"/>
          <w:szCs w:val="28"/>
        </w:rPr>
        <w:t>α ≤ 0.05</w:t>
      </w:r>
      <w:r w:rsidRPr="00BA4025">
        <w:rPr>
          <w:rFonts w:ascii="Times New Roman" w:eastAsia="Calibri" w:hAnsi="Times New Roman" w:cs="Simplified Arabic"/>
          <w:sz w:val="24"/>
          <w:szCs w:val="28"/>
          <w:rtl/>
        </w:rPr>
        <w:t>) لتطبيق التحول الرقمي بأبعاده المختلفة في تحسين كفاءة إدارة مشاريع أنظمة الملاحة الجوية في المملكة العربية السعودية".</w:t>
      </w:r>
    </w:p>
    <w:p w14:paraId="10A4811B"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الفروض الفرعية:</w:t>
      </w:r>
    </w:p>
    <w:p w14:paraId="11F9A1C2" w14:textId="77777777" w:rsidR="00BA4025" w:rsidRPr="00BA4025" w:rsidRDefault="00BA4025" w:rsidP="00BA4025">
      <w:pPr>
        <w:numPr>
          <w:ilvl w:val="0"/>
          <w:numId w:val="161"/>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يوجد دور ذو دلالة إحصائية لـ </w:t>
      </w:r>
      <w:r w:rsidRPr="00BA4025">
        <w:rPr>
          <w:rFonts w:ascii="Times New Roman" w:eastAsia="Calibri" w:hAnsi="Times New Roman" w:cs="Simplified Arabic"/>
          <w:b/>
          <w:bCs/>
          <w:sz w:val="24"/>
          <w:szCs w:val="28"/>
          <w:rtl/>
        </w:rPr>
        <w:t>البنية التحتية الرقمية</w:t>
      </w:r>
      <w:r w:rsidRPr="00BA4025">
        <w:rPr>
          <w:rFonts w:ascii="Times New Roman" w:eastAsia="Calibri" w:hAnsi="Times New Roman" w:cs="Simplified Arabic"/>
          <w:sz w:val="24"/>
          <w:szCs w:val="28"/>
          <w:rtl/>
        </w:rPr>
        <w:t xml:space="preserve"> في تحسين كفاءة إدارة مشاريع أنظمة الملاحة الجوية.</w:t>
      </w:r>
    </w:p>
    <w:p w14:paraId="30BF44C0" w14:textId="77777777" w:rsidR="00BA4025" w:rsidRPr="00BA4025" w:rsidRDefault="00BA4025" w:rsidP="00BA4025">
      <w:pPr>
        <w:numPr>
          <w:ilvl w:val="0"/>
          <w:numId w:val="161"/>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يوجد دور ذو دلالة إحصائية لـ </w:t>
      </w:r>
      <w:r w:rsidRPr="00BA4025">
        <w:rPr>
          <w:rFonts w:ascii="Times New Roman" w:eastAsia="Calibri" w:hAnsi="Times New Roman" w:cs="Simplified Arabic"/>
          <w:b/>
          <w:bCs/>
          <w:sz w:val="24"/>
          <w:szCs w:val="28"/>
          <w:rtl/>
        </w:rPr>
        <w:t>أتمتة العمليات</w:t>
      </w:r>
      <w:r w:rsidRPr="00BA4025">
        <w:rPr>
          <w:rFonts w:ascii="Times New Roman" w:eastAsia="Calibri" w:hAnsi="Times New Roman" w:cs="Simplified Arabic"/>
          <w:sz w:val="24"/>
          <w:szCs w:val="28"/>
          <w:rtl/>
        </w:rPr>
        <w:t xml:space="preserve"> في تحسين كفاءة إدارة مشاريع أنظمة الملاحة الجوية.</w:t>
      </w:r>
    </w:p>
    <w:p w14:paraId="34BD5936" w14:textId="77777777" w:rsidR="00BA4025" w:rsidRPr="00BA4025" w:rsidRDefault="00BA4025" w:rsidP="00BA4025">
      <w:pPr>
        <w:numPr>
          <w:ilvl w:val="0"/>
          <w:numId w:val="161"/>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lastRenderedPageBreak/>
        <w:t xml:space="preserve">يوجد دور ذو دلالة إحصائية لـ </w:t>
      </w:r>
      <w:r w:rsidRPr="00BA4025">
        <w:rPr>
          <w:rFonts w:ascii="Times New Roman" w:eastAsia="Calibri" w:hAnsi="Times New Roman" w:cs="Simplified Arabic"/>
          <w:b/>
          <w:bCs/>
          <w:sz w:val="24"/>
          <w:szCs w:val="28"/>
          <w:rtl/>
        </w:rPr>
        <w:t>التحليل التنبؤي والبيانات الضخمة</w:t>
      </w:r>
      <w:r w:rsidRPr="00BA4025">
        <w:rPr>
          <w:rFonts w:ascii="Times New Roman" w:eastAsia="Calibri" w:hAnsi="Times New Roman" w:cs="Simplified Arabic"/>
          <w:sz w:val="24"/>
          <w:szCs w:val="28"/>
          <w:rtl/>
        </w:rPr>
        <w:t xml:space="preserve"> في تحسين كفاءة إدارة مشاريع أنظمة الملاحة الجوية.</w:t>
      </w:r>
    </w:p>
    <w:p w14:paraId="5F142FD4" w14:textId="77777777" w:rsidR="00BA4025" w:rsidRPr="00BA4025" w:rsidRDefault="00BA4025" w:rsidP="00BA4025">
      <w:pPr>
        <w:numPr>
          <w:ilvl w:val="0"/>
          <w:numId w:val="161"/>
        </w:numPr>
        <w:spacing w:after="0" w:line="360" w:lineRule="auto"/>
        <w:jc w:val="both"/>
        <w:rPr>
          <w:rFonts w:ascii="Times New Roman" w:eastAsia="Calibri" w:hAnsi="Times New Roman" w:cs="Simplified Arabic"/>
          <w:sz w:val="24"/>
          <w:szCs w:val="28"/>
        </w:rPr>
      </w:pPr>
      <w:r w:rsidRPr="00BA4025">
        <w:rPr>
          <w:rFonts w:ascii="Times New Roman" w:eastAsia="Calibri" w:hAnsi="Times New Roman" w:cs="Simplified Arabic"/>
          <w:sz w:val="24"/>
          <w:szCs w:val="28"/>
          <w:rtl/>
        </w:rPr>
        <w:t xml:space="preserve">يوجد دور ذو دلالة إحصائية لـ </w:t>
      </w:r>
      <w:r w:rsidRPr="00BA4025">
        <w:rPr>
          <w:rFonts w:ascii="Times New Roman" w:eastAsia="Calibri" w:hAnsi="Times New Roman" w:cs="Simplified Arabic"/>
          <w:b/>
          <w:bCs/>
          <w:sz w:val="24"/>
          <w:szCs w:val="28"/>
          <w:rtl/>
        </w:rPr>
        <w:t>الأمن السيبراني الملاحي</w:t>
      </w:r>
      <w:r w:rsidRPr="00BA4025">
        <w:rPr>
          <w:rFonts w:ascii="Times New Roman" w:eastAsia="Calibri" w:hAnsi="Times New Roman" w:cs="Simplified Arabic"/>
          <w:sz w:val="24"/>
          <w:szCs w:val="28"/>
          <w:rtl/>
        </w:rPr>
        <w:t xml:space="preserve"> في تحسين كفاءة إدارة مشاريع أنظمة الملاحة الجوية.</w:t>
      </w:r>
    </w:p>
    <w:p w14:paraId="247BAF3C" w14:textId="77777777" w:rsidR="00BA4025" w:rsidRPr="00BA4025" w:rsidRDefault="00BA4025" w:rsidP="00BA4025">
      <w:pPr>
        <w:spacing w:after="0" w:line="360" w:lineRule="auto"/>
        <w:ind w:firstLine="510"/>
        <w:jc w:val="both"/>
        <w:rPr>
          <w:rFonts w:ascii="Times New Roman" w:eastAsia="Calibri" w:hAnsi="Times New Roman" w:cs="Simplified Arabic"/>
          <w:b/>
          <w:bCs/>
          <w:sz w:val="24"/>
          <w:szCs w:val="28"/>
          <w:rtl/>
        </w:rPr>
      </w:pPr>
      <w:r w:rsidRPr="00BA4025">
        <w:rPr>
          <w:rFonts w:ascii="Times New Roman" w:eastAsia="Calibri" w:hAnsi="Times New Roman" w:cs="Simplified Arabic" w:hint="cs"/>
          <w:b/>
          <w:bCs/>
          <w:sz w:val="24"/>
          <w:szCs w:val="28"/>
          <w:rtl/>
        </w:rPr>
        <w:t xml:space="preserve">8. </w:t>
      </w:r>
      <w:r w:rsidRPr="00BA4025">
        <w:rPr>
          <w:rFonts w:ascii="Times New Roman" w:eastAsia="Calibri" w:hAnsi="Times New Roman" w:cs="Simplified Arabic"/>
          <w:b/>
          <w:bCs/>
          <w:sz w:val="24"/>
          <w:szCs w:val="28"/>
          <w:rtl/>
        </w:rPr>
        <w:t>حدود الدراسة (</w:t>
      </w:r>
      <w:r w:rsidRPr="00BA4025">
        <w:rPr>
          <w:rFonts w:ascii="Times New Roman" w:eastAsia="Calibri" w:hAnsi="Times New Roman" w:cs="Simplified Arabic"/>
          <w:b/>
          <w:bCs/>
          <w:sz w:val="24"/>
          <w:szCs w:val="28"/>
        </w:rPr>
        <w:t>Study Limits</w:t>
      </w:r>
      <w:r w:rsidRPr="00BA4025">
        <w:rPr>
          <w:rFonts w:ascii="Times New Roman" w:eastAsia="Calibri" w:hAnsi="Times New Roman" w:cs="Simplified Arabic"/>
          <w:b/>
          <w:bCs/>
          <w:sz w:val="24"/>
          <w:szCs w:val="28"/>
          <w:rtl/>
        </w:rPr>
        <w:t>)</w:t>
      </w:r>
    </w:p>
    <w:p w14:paraId="37FE54C2"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تتحدد هذه الدراسة بمجموعة من الأطر التي ترسم نطاق تطبيقها ومجال تعميم نتائجها، وهي كالآتي:</w:t>
      </w:r>
    </w:p>
    <w:p w14:paraId="330666A7" w14:textId="77777777" w:rsidR="00BA4025" w:rsidRPr="00BA4025" w:rsidRDefault="00BA4025" w:rsidP="00BA4025">
      <w:pPr>
        <w:numPr>
          <w:ilvl w:val="0"/>
          <w:numId w:val="183"/>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الحدود الموضوعية (</w:t>
      </w:r>
      <w:r w:rsidRPr="00BA4025">
        <w:rPr>
          <w:rFonts w:ascii="Times New Roman" w:eastAsia="Calibri" w:hAnsi="Times New Roman" w:cs="Simplified Arabic"/>
          <w:b/>
          <w:bCs/>
          <w:sz w:val="24"/>
          <w:szCs w:val="28"/>
        </w:rPr>
        <w:t>Scientific Limits</w:t>
      </w:r>
      <w:r w:rsidRPr="00BA4025">
        <w:rPr>
          <w:rFonts w:ascii="Times New Roman" w:eastAsia="Calibri" w:hAnsi="Times New Roman" w:cs="Simplified Arabic"/>
          <w:b/>
          <w:bCs/>
          <w:sz w:val="24"/>
          <w:szCs w:val="28"/>
          <w:rtl/>
        </w:rPr>
        <w:t>):</w:t>
      </w:r>
    </w:p>
    <w:p w14:paraId="179CD5C9"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اقتصرت الدراسة في جانبها العلمي على بحث "أثر التحول الرقمي" كمتغير مستقل بأبعاده الأربعة (البنية التحتية، الأتمتة، التحليل التنبؤي، الأمن السيبراني) في "تعزيز كفاءة إدارة مشاريع أنظمة الملاحة الجوية" كمتغير تابع بأبعاده الثلاثة (الكفاءة الزمنية، كفاءة التكلفة، كفاءة الجودة والامتثال).</w:t>
      </w:r>
    </w:p>
    <w:p w14:paraId="76C22D93" w14:textId="77777777" w:rsidR="00BA4025" w:rsidRPr="00BA4025" w:rsidRDefault="00BA4025" w:rsidP="00BA4025">
      <w:pPr>
        <w:numPr>
          <w:ilvl w:val="0"/>
          <w:numId w:val="183"/>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الحدود المكانية (</w:t>
      </w:r>
      <w:r w:rsidRPr="00BA4025">
        <w:rPr>
          <w:rFonts w:ascii="Times New Roman" w:eastAsia="Calibri" w:hAnsi="Times New Roman" w:cs="Simplified Arabic"/>
          <w:b/>
          <w:bCs/>
          <w:sz w:val="24"/>
          <w:szCs w:val="28"/>
        </w:rPr>
        <w:t>Spatial Limits</w:t>
      </w:r>
      <w:r w:rsidRPr="00BA4025">
        <w:rPr>
          <w:rFonts w:ascii="Times New Roman" w:eastAsia="Calibri" w:hAnsi="Times New Roman" w:cs="Simplified Arabic"/>
          <w:b/>
          <w:bCs/>
          <w:sz w:val="24"/>
          <w:szCs w:val="28"/>
          <w:rtl/>
        </w:rPr>
        <w:t>):</w:t>
      </w:r>
    </w:p>
    <w:p w14:paraId="125B4B07"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تم تطبيق الدراسة ميدانياً في المملكة العربية السعودية، وتحديداً في </w:t>
      </w:r>
      <w:r w:rsidRPr="00BA4025">
        <w:rPr>
          <w:rFonts w:ascii="Times New Roman" w:eastAsia="Calibri" w:hAnsi="Times New Roman" w:cs="Simplified Arabic"/>
          <w:b/>
          <w:bCs/>
          <w:sz w:val="24"/>
          <w:szCs w:val="28"/>
          <w:rtl/>
        </w:rPr>
        <w:t>شركة خدمات الملاحة الجوية السعودية (</w:t>
      </w:r>
      <w:r w:rsidRPr="00BA4025">
        <w:rPr>
          <w:rFonts w:ascii="Times New Roman" w:eastAsia="Calibri" w:hAnsi="Times New Roman" w:cs="Simplified Arabic"/>
          <w:b/>
          <w:bCs/>
          <w:sz w:val="24"/>
          <w:szCs w:val="28"/>
        </w:rPr>
        <w:t>SANS</w:t>
      </w:r>
      <w:r w:rsidRPr="00BA4025">
        <w:rPr>
          <w:rFonts w:ascii="Times New Roman" w:eastAsia="Calibri" w:hAnsi="Times New Roman" w:cs="Simplified Arabic"/>
          <w:b/>
          <w:bCs/>
          <w:sz w:val="24"/>
          <w:szCs w:val="28"/>
          <w:rtl/>
        </w:rPr>
        <w:t>)</w:t>
      </w:r>
      <w:r w:rsidRPr="00BA4025">
        <w:rPr>
          <w:rFonts w:ascii="Times New Roman" w:eastAsia="Calibri" w:hAnsi="Times New Roman" w:cs="Simplified Arabic"/>
          <w:sz w:val="24"/>
          <w:szCs w:val="28"/>
          <w:rtl/>
        </w:rPr>
        <w:t xml:space="preserve"> والمراكز والمطارات الرئيسية المرتبطة بعمليات إدارة الحركة الجوية والملاحة (</w:t>
      </w:r>
      <w:r w:rsidRPr="00BA4025">
        <w:rPr>
          <w:rFonts w:ascii="Times New Roman" w:eastAsia="Calibri" w:hAnsi="Times New Roman" w:cs="Simplified Arabic"/>
          <w:sz w:val="24"/>
          <w:szCs w:val="28"/>
        </w:rPr>
        <w:t>CNS/ATM</w:t>
      </w:r>
      <w:r w:rsidRPr="00BA4025">
        <w:rPr>
          <w:rFonts w:ascii="Times New Roman" w:eastAsia="Calibri" w:hAnsi="Times New Roman" w:cs="Simplified Arabic"/>
          <w:sz w:val="24"/>
          <w:szCs w:val="28"/>
          <w:rtl/>
        </w:rPr>
        <w:t>).</w:t>
      </w:r>
    </w:p>
    <w:p w14:paraId="535A114D" w14:textId="77777777" w:rsidR="00BA4025" w:rsidRPr="00BA4025" w:rsidRDefault="00BA4025" w:rsidP="00BA4025">
      <w:pPr>
        <w:numPr>
          <w:ilvl w:val="0"/>
          <w:numId w:val="183"/>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الحدود البشرية (</w:t>
      </w:r>
      <w:r w:rsidRPr="00BA4025">
        <w:rPr>
          <w:rFonts w:ascii="Times New Roman" w:eastAsia="Calibri" w:hAnsi="Times New Roman" w:cs="Simplified Arabic"/>
          <w:b/>
          <w:bCs/>
          <w:sz w:val="24"/>
          <w:szCs w:val="28"/>
        </w:rPr>
        <w:t>Human Limits</w:t>
      </w:r>
      <w:r w:rsidRPr="00BA4025">
        <w:rPr>
          <w:rFonts w:ascii="Times New Roman" w:eastAsia="Calibri" w:hAnsi="Times New Roman" w:cs="Simplified Arabic"/>
          <w:b/>
          <w:bCs/>
          <w:sz w:val="24"/>
          <w:szCs w:val="28"/>
          <w:rtl/>
        </w:rPr>
        <w:t>):</w:t>
      </w:r>
    </w:p>
    <w:p w14:paraId="415694EF"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استهدفت الدراسة الكوادر المهنية والتقنية العاملة في قطاع الملاحة الجوية، بمن في ذلك: مديرو المشاريع، مهندسو الأنظمة الملاحية، المراقبون الجويون، والتقنيون المساندون المشاركون في تنفيذ وتشغيل المشاريع الرقمية.</w:t>
      </w:r>
    </w:p>
    <w:p w14:paraId="319C661F" w14:textId="77777777" w:rsidR="00BA4025" w:rsidRPr="00BA4025" w:rsidRDefault="00BA4025" w:rsidP="00BA4025">
      <w:pPr>
        <w:numPr>
          <w:ilvl w:val="0"/>
          <w:numId w:val="183"/>
        </w:numPr>
        <w:spacing w:after="0" w:line="360" w:lineRule="auto"/>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lastRenderedPageBreak/>
        <w:t>الحدود الزمنية (</w:t>
      </w:r>
      <w:r w:rsidRPr="00BA4025">
        <w:rPr>
          <w:rFonts w:ascii="Times New Roman" w:eastAsia="Calibri" w:hAnsi="Times New Roman" w:cs="Simplified Arabic"/>
          <w:b/>
          <w:bCs/>
          <w:sz w:val="24"/>
          <w:szCs w:val="28"/>
        </w:rPr>
        <w:t>Temporal Limits</w:t>
      </w:r>
      <w:r w:rsidRPr="00BA4025">
        <w:rPr>
          <w:rFonts w:ascii="Times New Roman" w:eastAsia="Calibri" w:hAnsi="Times New Roman" w:cs="Simplified Arabic"/>
          <w:b/>
          <w:bCs/>
          <w:sz w:val="24"/>
          <w:szCs w:val="28"/>
          <w:rtl/>
        </w:rPr>
        <w:t>):</w:t>
      </w:r>
    </w:p>
    <w:p w14:paraId="5806902C"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تمت صياغة الإطار النظري وجمع البيانات الميدانية وتحليلها خلال العام الحالي، حيث طُبقت الدراسة ميدانياً خلال </w:t>
      </w:r>
      <w:r w:rsidRPr="00BA4025">
        <w:rPr>
          <w:rFonts w:ascii="Times New Roman" w:eastAsia="Calibri" w:hAnsi="Times New Roman" w:cs="Simplified Arabic"/>
          <w:b/>
          <w:bCs/>
          <w:sz w:val="24"/>
          <w:szCs w:val="28"/>
          <w:rtl/>
        </w:rPr>
        <w:t>شهر يناير 2026م</w:t>
      </w:r>
      <w:r w:rsidRPr="00BA4025">
        <w:rPr>
          <w:rFonts w:ascii="Times New Roman" w:eastAsia="Calibri" w:hAnsi="Times New Roman" w:cs="Simplified Arabic"/>
          <w:sz w:val="24"/>
          <w:szCs w:val="28"/>
          <w:rtl/>
        </w:rPr>
        <w:t>.</w:t>
      </w:r>
    </w:p>
    <w:p w14:paraId="0ED5CAD1" w14:textId="77777777" w:rsidR="00BA4025" w:rsidRPr="00BA4025" w:rsidRDefault="00BA4025" w:rsidP="00BA4025">
      <w:pPr>
        <w:spacing w:after="0" w:line="360" w:lineRule="auto"/>
        <w:ind w:firstLine="510"/>
        <w:jc w:val="both"/>
        <w:rPr>
          <w:rFonts w:ascii="Times New Roman" w:eastAsia="Calibri" w:hAnsi="Times New Roman" w:cs="Simplified Arabic"/>
          <w:b/>
          <w:bCs/>
          <w:sz w:val="24"/>
          <w:szCs w:val="28"/>
          <w:rtl/>
        </w:rPr>
      </w:pPr>
      <w:r w:rsidRPr="00BA4025">
        <w:rPr>
          <w:rFonts w:ascii="Times New Roman" w:eastAsia="Calibri" w:hAnsi="Times New Roman" w:cs="Simplified Arabic"/>
          <w:b/>
          <w:bCs/>
          <w:sz w:val="24"/>
          <w:szCs w:val="28"/>
          <w:rtl/>
        </w:rPr>
        <w:t>9. مصطلحات الدراسة</w:t>
      </w:r>
    </w:p>
    <w:p w14:paraId="3AD27DCE"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أولاً: التحول الرقمي (</w:t>
      </w:r>
      <w:r w:rsidRPr="00BA4025">
        <w:rPr>
          <w:rFonts w:ascii="Times New Roman" w:eastAsia="Calibri" w:hAnsi="Times New Roman" w:cs="Simplified Arabic"/>
          <w:b/>
          <w:bCs/>
          <w:sz w:val="24"/>
          <w:szCs w:val="28"/>
        </w:rPr>
        <w:t>Digital Transformation</w:t>
      </w:r>
      <w:r w:rsidRPr="00BA4025">
        <w:rPr>
          <w:rFonts w:ascii="Times New Roman" w:eastAsia="Calibri" w:hAnsi="Times New Roman" w:cs="Simplified Arabic"/>
          <w:b/>
          <w:bCs/>
          <w:sz w:val="24"/>
          <w:szCs w:val="28"/>
          <w:rtl/>
        </w:rPr>
        <w:t>)</w:t>
      </w:r>
    </w:p>
    <w:p w14:paraId="3831256C"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يُعرف (</w:t>
      </w:r>
      <w:proofErr w:type="spellStart"/>
      <w:r w:rsidRPr="00BA4025">
        <w:rPr>
          <w:rFonts w:ascii="Times New Roman" w:eastAsia="Calibri" w:hAnsi="Times New Roman" w:cs="Simplified Arabic"/>
          <w:sz w:val="24"/>
          <w:szCs w:val="28"/>
        </w:rPr>
        <w:t>Westernman</w:t>
      </w:r>
      <w:proofErr w:type="spellEnd"/>
      <w:r w:rsidRPr="00BA4025">
        <w:rPr>
          <w:rFonts w:ascii="Times New Roman" w:eastAsia="Calibri" w:hAnsi="Times New Roman" w:cs="Simplified Arabic"/>
          <w:sz w:val="24"/>
          <w:szCs w:val="28"/>
        </w:rPr>
        <w:t xml:space="preserve"> et al., 2024</w:t>
      </w:r>
      <w:r w:rsidRPr="00BA4025">
        <w:rPr>
          <w:rFonts w:ascii="Times New Roman" w:eastAsia="Calibri" w:hAnsi="Times New Roman" w:cs="Simplified Arabic"/>
          <w:sz w:val="24"/>
          <w:szCs w:val="28"/>
          <w:rtl/>
        </w:rPr>
        <w:t>) التحول الرقمي بأنه الاستخدام الاستراتيجي للتقنيات الرقمية والبيانات لإحداث تغيير جوهري في كيفية تقديم القيمة وتحقيق الأهداف التنظيمية. بينما يراه (</w:t>
      </w:r>
      <w:r w:rsidRPr="00BA4025">
        <w:rPr>
          <w:rFonts w:ascii="Times New Roman" w:eastAsia="Calibri" w:hAnsi="Times New Roman" w:cs="Simplified Arabic"/>
          <w:sz w:val="24"/>
          <w:szCs w:val="28"/>
        </w:rPr>
        <w:t>Rogers, 2021</w:t>
      </w:r>
      <w:r w:rsidRPr="00BA4025">
        <w:rPr>
          <w:rFonts w:ascii="Times New Roman" w:eastAsia="Calibri" w:hAnsi="Times New Roman" w:cs="Simplified Arabic"/>
          <w:sz w:val="24"/>
          <w:szCs w:val="28"/>
          <w:rtl/>
        </w:rPr>
        <w:t>) بأنه</w:t>
      </w:r>
      <w:r w:rsidRPr="00BA4025">
        <w:rPr>
          <w:rFonts w:ascii="Times New Roman" w:eastAsia="Calibri" w:hAnsi="Times New Roman" w:cs="Simplified Arabic" w:hint="cs"/>
          <w:sz w:val="24"/>
          <w:szCs w:val="28"/>
          <w:rtl/>
        </w:rPr>
        <w:t xml:space="preserve">: </w:t>
      </w:r>
      <w:r w:rsidRPr="00BA4025">
        <w:rPr>
          <w:rFonts w:ascii="Times New Roman" w:eastAsia="Calibri" w:hAnsi="Times New Roman" w:cs="Simplified Arabic"/>
          <w:sz w:val="24"/>
          <w:szCs w:val="28"/>
          <w:rtl/>
        </w:rPr>
        <w:t>إعادة تفكير شاملة في نماذج العمل والعمليات التشغيلية وتجربة العميل باستخدام القدرات الرقمية المتاحة. ويُعرفه (</w:t>
      </w:r>
      <w:r w:rsidRPr="00BA4025">
        <w:rPr>
          <w:rFonts w:ascii="Times New Roman" w:eastAsia="Calibri" w:hAnsi="Times New Roman" w:cs="Simplified Arabic"/>
          <w:sz w:val="24"/>
          <w:szCs w:val="28"/>
        </w:rPr>
        <w:t>Vial, 2019</w:t>
      </w:r>
      <w:r w:rsidRPr="00BA4025">
        <w:rPr>
          <w:rFonts w:ascii="Times New Roman" w:eastAsia="Calibri" w:hAnsi="Times New Roman" w:cs="Simplified Arabic"/>
          <w:sz w:val="24"/>
          <w:szCs w:val="28"/>
          <w:rtl/>
        </w:rPr>
        <w:t>) بأنه</w:t>
      </w:r>
      <w:r w:rsidRPr="00BA4025">
        <w:rPr>
          <w:rFonts w:ascii="Times New Roman" w:eastAsia="Calibri" w:hAnsi="Times New Roman" w:cs="Simplified Arabic" w:hint="cs"/>
          <w:sz w:val="24"/>
          <w:szCs w:val="28"/>
          <w:rtl/>
        </w:rPr>
        <w:t xml:space="preserve">: </w:t>
      </w:r>
      <w:r w:rsidRPr="00BA4025">
        <w:rPr>
          <w:rFonts w:ascii="Times New Roman" w:eastAsia="Calibri" w:hAnsi="Times New Roman" w:cs="Simplified Arabic"/>
          <w:sz w:val="24"/>
          <w:szCs w:val="28"/>
          <w:rtl/>
        </w:rPr>
        <w:t xml:space="preserve">عملية تهدف إلى تحسين الكيانات من خلال إحداث تغييرات جوهرية في خصائصها من خلال مجموعات من تكنولوجيات المعلومات والاتصالات والحوسبة. </w:t>
      </w:r>
    </w:p>
    <w:p w14:paraId="5075750D"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وفي سياق هذه الدراسة، يعرف مصطلح </w:t>
      </w:r>
      <w:r w:rsidRPr="00BA4025">
        <w:rPr>
          <w:rFonts w:ascii="Times New Roman" w:eastAsia="Calibri" w:hAnsi="Times New Roman" w:cs="Simplified Arabic"/>
          <w:b/>
          <w:bCs/>
          <w:sz w:val="24"/>
          <w:szCs w:val="28"/>
          <w:rtl/>
        </w:rPr>
        <w:t>التحول الرقمي</w:t>
      </w:r>
      <w:r w:rsidRPr="00BA4025">
        <w:rPr>
          <w:rFonts w:ascii="Times New Roman" w:eastAsia="Calibri" w:hAnsi="Times New Roman" w:cs="Simplified Arabic"/>
          <w:sz w:val="24"/>
          <w:szCs w:val="28"/>
          <w:rtl/>
        </w:rPr>
        <w:t xml:space="preserve"> إجرائياً، بأنه: مستوى تبني واستخدام أنظمة الملاحة الجوية السعودية للحلول التقنية المتقدمة (كالرقمية السحابية، والأتمتة، والتحليلات الذكية) في إدارة دورة حياة مشاريعها، ويقاس من خلال الدرجة التي يحصل عليها المستجيب في الاستبيان ضمن الأبعاد المحددة.</w:t>
      </w:r>
    </w:p>
    <w:p w14:paraId="4518653D"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b/>
          <w:bCs/>
          <w:sz w:val="24"/>
          <w:szCs w:val="28"/>
          <w:rtl/>
        </w:rPr>
        <w:t>ثانياً: إدارة مشاريع الملاحة الجوية (</w:t>
      </w:r>
      <w:r w:rsidRPr="00BA4025">
        <w:rPr>
          <w:rFonts w:ascii="Times New Roman" w:eastAsia="Calibri" w:hAnsi="Times New Roman" w:cs="Simplified Arabic"/>
          <w:b/>
          <w:bCs/>
          <w:sz w:val="24"/>
          <w:szCs w:val="28"/>
        </w:rPr>
        <w:t>Air Navigation Project Management</w:t>
      </w:r>
      <w:r w:rsidRPr="00BA4025">
        <w:rPr>
          <w:rFonts w:ascii="Times New Roman" w:eastAsia="Calibri" w:hAnsi="Times New Roman" w:cs="Simplified Arabic"/>
          <w:b/>
          <w:bCs/>
          <w:sz w:val="24"/>
          <w:szCs w:val="28"/>
          <w:rtl/>
        </w:rPr>
        <w:t>)</w:t>
      </w:r>
    </w:p>
    <w:p w14:paraId="53F0B61E" w14:textId="77777777" w:rsidR="00BA4025" w:rsidRPr="00BA4025"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تُعرف (</w:t>
      </w:r>
      <w:r w:rsidRPr="00BA4025">
        <w:rPr>
          <w:rFonts w:ascii="Times New Roman" w:eastAsia="Calibri" w:hAnsi="Times New Roman" w:cs="Simplified Arabic"/>
          <w:sz w:val="24"/>
          <w:szCs w:val="28"/>
        </w:rPr>
        <w:t>Kerzner, 2023</w:t>
      </w:r>
      <w:r w:rsidRPr="00BA4025">
        <w:rPr>
          <w:rFonts w:ascii="Times New Roman" w:eastAsia="Calibri" w:hAnsi="Times New Roman" w:cs="Simplified Arabic"/>
          <w:sz w:val="24"/>
          <w:szCs w:val="28"/>
          <w:rtl/>
        </w:rPr>
        <w:t>) إدارة المشاريع بأنها</w:t>
      </w:r>
      <w:r w:rsidRPr="00BA4025">
        <w:rPr>
          <w:rFonts w:ascii="Times New Roman" w:eastAsia="Calibri" w:hAnsi="Times New Roman" w:cs="Simplified Arabic" w:hint="cs"/>
          <w:sz w:val="24"/>
          <w:szCs w:val="28"/>
          <w:rtl/>
        </w:rPr>
        <w:t xml:space="preserve">: </w:t>
      </w:r>
      <w:r w:rsidRPr="00BA4025">
        <w:rPr>
          <w:rFonts w:ascii="Times New Roman" w:eastAsia="Calibri" w:hAnsi="Times New Roman" w:cs="Simplified Arabic"/>
          <w:sz w:val="24"/>
          <w:szCs w:val="28"/>
          <w:rtl/>
        </w:rPr>
        <w:t>تخطيط وتنظيم وتوجيه والتحكم في موارد الشركة لهدف قصير الأجل تم وضعه لتحقيق أهداف محددة. ويُعرفها (</w:t>
      </w:r>
      <w:r w:rsidRPr="00BA4025">
        <w:rPr>
          <w:rFonts w:ascii="Times New Roman" w:eastAsia="Calibri" w:hAnsi="Times New Roman" w:cs="Simplified Arabic"/>
          <w:sz w:val="24"/>
          <w:szCs w:val="28"/>
        </w:rPr>
        <w:t>Project Management Institute [PMI], 2021</w:t>
      </w:r>
      <w:r w:rsidRPr="00BA4025">
        <w:rPr>
          <w:rFonts w:ascii="Times New Roman" w:eastAsia="Calibri" w:hAnsi="Times New Roman" w:cs="Simplified Arabic"/>
          <w:sz w:val="24"/>
          <w:szCs w:val="28"/>
          <w:rtl/>
        </w:rPr>
        <w:t>) بأنها</w:t>
      </w:r>
      <w:r w:rsidRPr="00BA4025">
        <w:rPr>
          <w:rFonts w:ascii="Times New Roman" w:eastAsia="Calibri" w:hAnsi="Times New Roman" w:cs="Simplified Arabic" w:hint="cs"/>
          <w:sz w:val="24"/>
          <w:szCs w:val="28"/>
          <w:rtl/>
        </w:rPr>
        <w:t xml:space="preserve">: </w:t>
      </w:r>
      <w:r w:rsidRPr="00BA4025">
        <w:rPr>
          <w:rFonts w:ascii="Times New Roman" w:eastAsia="Calibri" w:hAnsi="Times New Roman" w:cs="Simplified Arabic"/>
          <w:sz w:val="24"/>
          <w:szCs w:val="28"/>
          <w:rtl/>
        </w:rPr>
        <w:t xml:space="preserve">تطبيق المعرفة والمهارات والأدوات والتقنيات على أنشطة المشروع </w:t>
      </w:r>
      <w:r w:rsidRPr="00BA4025">
        <w:rPr>
          <w:rFonts w:ascii="Times New Roman" w:eastAsia="Calibri" w:hAnsi="Times New Roman" w:cs="Simplified Arabic"/>
          <w:sz w:val="24"/>
          <w:szCs w:val="28"/>
          <w:rtl/>
        </w:rPr>
        <w:lastRenderedPageBreak/>
        <w:t>لتلبية متطلباته وتوقعات أصحاب المصلحة. بينما يُعرفها (</w:t>
      </w:r>
      <w:r w:rsidRPr="00BA4025">
        <w:rPr>
          <w:rFonts w:ascii="Times New Roman" w:eastAsia="Calibri" w:hAnsi="Times New Roman" w:cs="Simplified Arabic"/>
          <w:sz w:val="24"/>
          <w:szCs w:val="28"/>
        </w:rPr>
        <w:t>Wysocki, 2019</w:t>
      </w:r>
      <w:r w:rsidRPr="00BA4025">
        <w:rPr>
          <w:rFonts w:ascii="Times New Roman" w:eastAsia="Calibri" w:hAnsi="Times New Roman" w:cs="Simplified Arabic"/>
          <w:sz w:val="24"/>
          <w:szCs w:val="28"/>
          <w:rtl/>
        </w:rPr>
        <w:t>) بأنها</w:t>
      </w:r>
      <w:r w:rsidRPr="00BA4025">
        <w:rPr>
          <w:rFonts w:ascii="Times New Roman" w:eastAsia="Calibri" w:hAnsi="Times New Roman" w:cs="Simplified Arabic" w:hint="cs"/>
          <w:sz w:val="24"/>
          <w:szCs w:val="28"/>
          <w:rtl/>
        </w:rPr>
        <w:t xml:space="preserve">: </w:t>
      </w:r>
      <w:r w:rsidRPr="00BA4025">
        <w:rPr>
          <w:rFonts w:ascii="Times New Roman" w:eastAsia="Calibri" w:hAnsi="Times New Roman" w:cs="Simplified Arabic"/>
          <w:sz w:val="24"/>
          <w:szCs w:val="28"/>
          <w:rtl/>
        </w:rPr>
        <w:t xml:space="preserve">مجموعة من الأنشطة المنظمة والموجهة نحو تحقيق نتائج فريدة ومحددة ضمن قيود الوقت والتكلفة والجودة. </w:t>
      </w:r>
    </w:p>
    <w:p w14:paraId="5F3E1DA1" w14:textId="54877863" w:rsidR="00586478" w:rsidRPr="00586478" w:rsidRDefault="00BA4025" w:rsidP="00BA4025">
      <w:pPr>
        <w:spacing w:after="0" w:line="360" w:lineRule="auto"/>
        <w:ind w:firstLine="510"/>
        <w:jc w:val="both"/>
        <w:rPr>
          <w:rFonts w:ascii="Times New Roman" w:eastAsia="Calibri" w:hAnsi="Times New Roman" w:cs="Simplified Arabic"/>
          <w:sz w:val="24"/>
          <w:szCs w:val="28"/>
          <w:rtl/>
        </w:rPr>
      </w:pPr>
      <w:r w:rsidRPr="00BA4025">
        <w:rPr>
          <w:rFonts w:ascii="Times New Roman" w:eastAsia="Calibri" w:hAnsi="Times New Roman" w:cs="Simplified Arabic"/>
          <w:sz w:val="24"/>
          <w:szCs w:val="28"/>
          <w:rtl/>
        </w:rPr>
        <w:t xml:space="preserve">وفي سياق هذه الدراسة، يعرف مصطلح </w:t>
      </w:r>
      <w:r w:rsidRPr="00BA4025">
        <w:rPr>
          <w:rFonts w:ascii="Times New Roman" w:eastAsia="Calibri" w:hAnsi="Times New Roman" w:cs="Simplified Arabic"/>
          <w:b/>
          <w:bCs/>
          <w:sz w:val="24"/>
          <w:szCs w:val="28"/>
          <w:rtl/>
        </w:rPr>
        <w:t>كفاءة إدارة مشاريع أنظمة الملاحة الجوية</w:t>
      </w:r>
      <w:r w:rsidRPr="00BA4025">
        <w:rPr>
          <w:rFonts w:ascii="Times New Roman" w:eastAsia="Calibri" w:hAnsi="Times New Roman" w:cs="Simplified Arabic"/>
          <w:sz w:val="24"/>
          <w:szCs w:val="28"/>
          <w:rtl/>
        </w:rPr>
        <w:t xml:space="preserve"> إجرائياً، بأنه: قدرة القائمين على مشاريع الأنظمة الملاحية (</w:t>
      </w:r>
      <w:r w:rsidRPr="00BA4025">
        <w:rPr>
          <w:rFonts w:ascii="Times New Roman" w:eastAsia="Calibri" w:hAnsi="Times New Roman" w:cs="Simplified Arabic"/>
          <w:sz w:val="24"/>
          <w:szCs w:val="28"/>
        </w:rPr>
        <w:t>CNS/ATM</w:t>
      </w:r>
      <w:r w:rsidRPr="00BA4025">
        <w:rPr>
          <w:rFonts w:ascii="Times New Roman" w:eastAsia="Calibri" w:hAnsi="Times New Roman" w:cs="Simplified Arabic"/>
          <w:sz w:val="24"/>
          <w:szCs w:val="28"/>
          <w:rtl/>
        </w:rPr>
        <w:t>) في المملكة على استثمار الموارد المتاحة وتحقيق الأهداف المخططة وفق المعايير الزمنية والفنية الدولية، وتقاس بمدى تحسن جودة المخرجات الملاحية وسرعة إنجازها.</w:t>
      </w:r>
      <w:r w:rsidR="00586478" w:rsidRPr="00586478">
        <w:rPr>
          <w:rFonts w:ascii="Times New Roman" w:eastAsia="Calibri" w:hAnsi="Times New Roman" w:cs="Simplified Arabic"/>
          <w:sz w:val="24"/>
          <w:szCs w:val="28"/>
          <w:rtl/>
        </w:rPr>
        <w:br w:type="page"/>
      </w:r>
    </w:p>
    <w:p w14:paraId="6D038C3E" w14:textId="77777777" w:rsidR="00586478" w:rsidRPr="00586478" w:rsidRDefault="00586478" w:rsidP="00B03B33">
      <w:pPr>
        <w:spacing w:after="0" w:line="360" w:lineRule="auto"/>
        <w:ind w:firstLine="284"/>
        <w:jc w:val="both"/>
        <w:rPr>
          <w:rFonts w:ascii="Times New Roman" w:eastAsia="Calibri" w:hAnsi="Times New Roman" w:cs="Simplified Arabic"/>
          <w:sz w:val="24"/>
          <w:szCs w:val="28"/>
          <w:rtl/>
        </w:rPr>
      </w:pPr>
    </w:p>
    <w:p w14:paraId="3C280FCC" w14:textId="77777777" w:rsidR="00586478" w:rsidRPr="00586478" w:rsidRDefault="00586478" w:rsidP="00B03B33">
      <w:pPr>
        <w:spacing w:after="0" w:line="360" w:lineRule="auto"/>
        <w:ind w:firstLine="284"/>
        <w:jc w:val="both"/>
        <w:rPr>
          <w:rFonts w:ascii="Times New Roman" w:eastAsia="Calibri" w:hAnsi="Times New Roman" w:cs="Simplified Arabic"/>
          <w:sz w:val="24"/>
          <w:szCs w:val="28"/>
          <w:rtl/>
        </w:rPr>
      </w:pPr>
    </w:p>
    <w:p w14:paraId="67F2E6E4" w14:textId="77777777" w:rsidR="00586478" w:rsidRPr="00586478" w:rsidRDefault="00586478" w:rsidP="00B03B33">
      <w:pPr>
        <w:spacing w:after="0" w:line="360" w:lineRule="auto"/>
        <w:rPr>
          <w:rFonts w:ascii="Simplified Arabic" w:eastAsia="Calibri" w:hAnsi="Simplified Arabic" w:cs="PT Bold Heading"/>
          <w:sz w:val="48"/>
          <w:szCs w:val="48"/>
          <w:rtl/>
        </w:rPr>
      </w:pPr>
      <w:bookmarkStart w:id="3" w:name="_Hlk200813560"/>
      <w:bookmarkEnd w:id="2"/>
    </w:p>
    <w:p w14:paraId="6C90943D"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الثاني</w:t>
      </w:r>
    </w:p>
    <w:p w14:paraId="0193D915"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النظري والدراسات السابقة</w:t>
      </w:r>
    </w:p>
    <w:p w14:paraId="1FFBA3EB"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p>
    <w:p w14:paraId="13CC2513"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مقدمة</w:t>
      </w:r>
    </w:p>
    <w:p w14:paraId="19B6F972" w14:textId="77777777" w:rsidR="00586478" w:rsidRPr="00586478" w:rsidRDefault="00586478" w:rsidP="00B03B33">
      <w:pPr>
        <w:spacing w:after="0" w:line="360" w:lineRule="auto"/>
        <w:ind w:left="1077"/>
        <w:rPr>
          <w:rFonts w:ascii="Simplified Arabic" w:eastAsia="Calibri" w:hAnsi="Simplified Arabic" w:cs="PT Bold Heading"/>
          <w:sz w:val="2"/>
          <w:szCs w:val="2"/>
          <w:rtl/>
        </w:rPr>
      </w:pPr>
    </w:p>
    <w:p w14:paraId="1B8C5AB4"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 xml:space="preserve">المحور الأول: الدراسات السابقة </w:t>
      </w:r>
    </w:p>
    <w:p w14:paraId="728063C5" w14:textId="77777777" w:rsidR="00586478" w:rsidRPr="00586478" w:rsidRDefault="00586478" w:rsidP="00B03B33">
      <w:pPr>
        <w:spacing w:after="0" w:line="360" w:lineRule="auto"/>
        <w:ind w:left="1077"/>
        <w:rPr>
          <w:rFonts w:ascii="Simplified Arabic" w:eastAsia="Calibri" w:hAnsi="Simplified Arabic" w:cs="PT Bold Heading"/>
          <w:sz w:val="2"/>
          <w:szCs w:val="2"/>
          <w:rtl/>
        </w:rPr>
      </w:pPr>
    </w:p>
    <w:p w14:paraId="428083D9"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 الثاني: الإطار النظري للدراسة</w:t>
      </w:r>
    </w:p>
    <w:bookmarkEnd w:id="3"/>
    <w:p w14:paraId="574F070E" w14:textId="77777777" w:rsidR="00586478" w:rsidRPr="00586478" w:rsidRDefault="00586478" w:rsidP="00B03B33">
      <w:pPr>
        <w:spacing w:after="0" w:line="360" w:lineRule="auto"/>
        <w:jc w:val="center"/>
        <w:rPr>
          <w:rFonts w:ascii="Simplified Arabic" w:eastAsia="Calibri" w:hAnsi="Simplified Arabic" w:cs="PT Bold Heading"/>
          <w:sz w:val="42"/>
          <w:szCs w:val="42"/>
          <w:rtl/>
        </w:rPr>
      </w:pPr>
    </w:p>
    <w:p w14:paraId="0DCE7B28" w14:textId="77777777" w:rsidR="00586478" w:rsidRPr="00586478" w:rsidRDefault="00586478" w:rsidP="00B03B33">
      <w:pPr>
        <w:spacing w:after="0" w:line="360" w:lineRule="auto"/>
        <w:ind w:firstLine="284"/>
        <w:jc w:val="center"/>
        <w:rPr>
          <w:rFonts w:ascii="Simplified Arabic" w:eastAsia="Calibri" w:hAnsi="Simplified Arabic" w:cs="Simplified Arabic"/>
          <w:sz w:val="28"/>
          <w:szCs w:val="28"/>
          <w:lang w:bidi="ar-EG"/>
        </w:rPr>
      </w:pPr>
      <w:r w:rsidRPr="00586478">
        <w:rPr>
          <w:rFonts w:ascii="Simplified Arabic" w:eastAsia="Calibri" w:hAnsi="Simplified Arabic" w:cs="PT Bold Heading"/>
          <w:sz w:val="48"/>
          <w:szCs w:val="48"/>
          <w:rtl/>
        </w:rPr>
        <w:br w:type="page"/>
      </w:r>
    </w:p>
    <w:p w14:paraId="4557638E"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lastRenderedPageBreak/>
        <w:t>الفصل الثاني</w:t>
      </w:r>
    </w:p>
    <w:p w14:paraId="44931700"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النظري والدراسات السابقة</w:t>
      </w:r>
    </w:p>
    <w:p w14:paraId="59E641BA" w14:textId="77777777" w:rsidR="0039762B" w:rsidRDefault="0039762B" w:rsidP="00B03B33">
      <w:pPr>
        <w:spacing w:after="0" w:line="360" w:lineRule="auto"/>
        <w:ind w:firstLine="284"/>
        <w:jc w:val="both"/>
        <w:rPr>
          <w:rFonts w:ascii="Times New Roman" w:eastAsia="Calibri" w:hAnsi="Times New Roman" w:cs="Simplified Arabic"/>
          <w:b/>
          <w:bCs/>
          <w:sz w:val="24"/>
          <w:szCs w:val="28"/>
          <w:rtl/>
        </w:rPr>
      </w:pPr>
    </w:p>
    <w:p w14:paraId="71745788" w14:textId="77777777" w:rsidR="00903814" w:rsidRPr="00A23936" w:rsidRDefault="00586478" w:rsidP="00A23936">
      <w:pPr>
        <w:spacing w:after="0" w:line="360" w:lineRule="auto"/>
        <w:ind w:firstLine="284"/>
        <w:jc w:val="both"/>
        <w:rPr>
          <w:rFonts w:ascii="Times New Roman" w:eastAsia="Calibri" w:hAnsi="Times New Roman" w:cs="Simplified Arabic"/>
          <w:b/>
          <w:bCs/>
          <w:sz w:val="24"/>
          <w:szCs w:val="28"/>
        </w:rPr>
      </w:pPr>
      <w:r w:rsidRPr="00586478">
        <w:rPr>
          <w:rFonts w:ascii="Times New Roman" w:eastAsia="Calibri" w:hAnsi="Times New Roman" w:cs="Simplified Arabic"/>
          <w:b/>
          <w:bCs/>
          <w:sz w:val="24"/>
          <w:szCs w:val="28"/>
          <w:rtl/>
        </w:rPr>
        <w:t>مقدمة</w:t>
      </w:r>
    </w:p>
    <w:p w14:paraId="1ABDFB96" w14:textId="77777777" w:rsidR="0031779C" w:rsidRPr="0031779C" w:rsidRDefault="0031779C" w:rsidP="0031779C">
      <w:pPr>
        <w:spacing w:after="240" w:line="360" w:lineRule="auto"/>
        <w:ind w:firstLine="397"/>
        <w:jc w:val="both"/>
        <w:rPr>
          <w:rFonts w:ascii="Times New Roman" w:eastAsia="Calibri" w:hAnsi="Times New Roman" w:cs="Simplified Arabic"/>
          <w:sz w:val="24"/>
          <w:szCs w:val="28"/>
        </w:rPr>
      </w:pPr>
      <w:r w:rsidRPr="0031779C">
        <w:rPr>
          <w:rFonts w:ascii="Times New Roman" w:eastAsia="Calibri" w:hAnsi="Times New Roman" w:cs="Simplified Arabic"/>
          <w:sz w:val="24"/>
          <w:szCs w:val="28"/>
          <w:rtl/>
        </w:rPr>
        <w:t>يتناول هذا الفصل محورين رئيسيين؛ يستعرض المحور الأول الدراسات السابقة (المحلية، والعربية، والأجنبية) ذات الصلة بموضوع الدراسة الحالية، مع تقديم تعقيب تحليلي يبرز أوجه الاتفاق والاختلاف والفجوة البحثية. بينما يتناول المحور الثاني الإطار النظري للموضوع، مفصلاً في ثلاثة مباحث تغطي المتغيرات المستقلة والتابعة والعلاقة بينهما.</w:t>
      </w:r>
    </w:p>
    <w:p w14:paraId="0D8F4307" w14:textId="77777777" w:rsidR="0031779C" w:rsidRDefault="0031779C" w:rsidP="00AF54A4">
      <w:pPr>
        <w:spacing w:after="240" w:line="360" w:lineRule="auto"/>
        <w:ind w:firstLine="397"/>
        <w:jc w:val="center"/>
        <w:rPr>
          <w:rFonts w:ascii="Times New Roman" w:eastAsia="Calibri" w:hAnsi="Times New Roman" w:cs="Simplified Arabic"/>
          <w:b/>
          <w:bCs/>
          <w:sz w:val="28"/>
          <w:szCs w:val="32"/>
          <w:rtl/>
        </w:rPr>
      </w:pPr>
    </w:p>
    <w:p w14:paraId="36AB1E73" w14:textId="15F25ABA" w:rsidR="00E63780" w:rsidRPr="00E63780" w:rsidRDefault="00E63780" w:rsidP="00AF54A4">
      <w:pPr>
        <w:spacing w:after="240" w:line="360" w:lineRule="auto"/>
        <w:ind w:firstLine="397"/>
        <w:jc w:val="center"/>
        <w:rPr>
          <w:rFonts w:ascii="Times New Roman" w:eastAsia="Calibri" w:hAnsi="Times New Roman" w:cs="Simplified Arabic"/>
          <w:b/>
          <w:bCs/>
          <w:sz w:val="28"/>
          <w:szCs w:val="32"/>
          <w:rtl/>
        </w:rPr>
      </w:pPr>
      <w:r w:rsidRPr="00E63780">
        <w:rPr>
          <w:rFonts w:ascii="Times New Roman" w:eastAsia="Calibri" w:hAnsi="Times New Roman" w:cs="Simplified Arabic"/>
          <w:b/>
          <w:bCs/>
          <w:sz w:val="28"/>
          <w:szCs w:val="32"/>
          <w:rtl/>
        </w:rPr>
        <w:t>المحور الأول: الدراسات السابقة</w:t>
      </w:r>
    </w:p>
    <w:p w14:paraId="5DBBFBEA"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تمهيد:</w:t>
      </w:r>
    </w:p>
    <w:p w14:paraId="0FBC2D8E"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يحظى موضوع التحول الرقمي وكفاءة إدارة المشاريع باهتمام متزايد من قبل الباحثين والممارسين في شتى القطاعات، نظراً لدوره المحوري في استدامة الأعمال وتطوير البنى التحتية، لا سيما في البيئات التشغيلية المعقدة. وفي هذا المحور، يتم استعراض مجموعة من الدراسات السابقة ذات الصلة بمتغيرات الدراسة الحالية، مقسمة إلى دراسات محلية (في البيئة السعودية)، ودراسات عربية، تم ترتيبها زمنياً من الأحدث إلى الأقدم، بهدف الوقوف على أحدث التوجهات البحثية والاستفادة منها في إثراء مشكلة الدراسة الراهنة وتوجيه مسارها.</w:t>
      </w:r>
    </w:p>
    <w:p w14:paraId="0DF89ED7" w14:textId="77777777" w:rsidR="0031779C" w:rsidRDefault="0031779C" w:rsidP="00E63780">
      <w:pPr>
        <w:spacing w:after="240" w:line="360" w:lineRule="auto"/>
        <w:ind w:firstLine="397"/>
        <w:jc w:val="both"/>
        <w:rPr>
          <w:rFonts w:ascii="Times New Roman" w:eastAsia="Calibri" w:hAnsi="Times New Roman" w:cs="Simplified Arabic"/>
          <w:b/>
          <w:bCs/>
          <w:sz w:val="24"/>
          <w:szCs w:val="28"/>
          <w:rtl/>
        </w:rPr>
      </w:pPr>
    </w:p>
    <w:p w14:paraId="412C697E" w14:textId="6D8121BF"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lastRenderedPageBreak/>
        <w:t xml:space="preserve">أولاً: دراسات محلية </w:t>
      </w:r>
    </w:p>
    <w:p w14:paraId="5FD7D67F"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دراسة العتيبي والزامل (2025)، المملكة العربية السعودية، دراسة بعنوان "التحول الرقمي وأثره على كفاءة وإدارة المشاريع في القطاع العقاري في مدينة الرياض"، هدفت الدراسة إلى التعرف على دور التقنيات الرقمية في رفع كفاءة تقييم الجدوى وإدارة المشاريع التنموية. اعتمدت الدراسة على المنهج الوصفي التحليلي، واستخدمت الاستبانة كأداة لجمع البيانات من عينة تكونت من 120 مدير مشروع ومختصاً في التخطيط. وتوصلت النتائج إلى أن التقنيات الرقمية تسهم بشكل فعال في تعزيز الشفافية، ورفع مستوى المتابعة، وتسريع عمليات اتخاذ القرار من خلال توفير بيانات لحظية عالية الدقة، مما ينعكس إيجاباً على جودة مخرجات المشروع وتقليل الانحرافات الزمنية والمالية. وأوصت الدراسة بضرورة توظيف الذكاء الاصطناعي بشكل موسع لتقييم المشاريع وتدريب الكوادر الهندسية والإدارية على المنصات الرقمية التفاعلية.</w:t>
      </w:r>
    </w:p>
    <w:p w14:paraId="764CAA2A"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دراسة الفهد (2024)، المملكة العربية السعودية، دراسة بعنوان "التحول الرقمي وأثره على إدارة مشاريع التخرج في إطار رؤية المملكة 2030"، استهدفت الكشف عن دور </w:t>
      </w:r>
      <w:proofErr w:type="spellStart"/>
      <w:r w:rsidRPr="00E63780">
        <w:rPr>
          <w:rFonts w:ascii="Times New Roman" w:eastAsia="Calibri" w:hAnsi="Times New Roman" w:cs="Simplified Arabic"/>
          <w:sz w:val="24"/>
          <w:szCs w:val="28"/>
          <w:rtl/>
        </w:rPr>
        <w:t>الرقمنة</w:t>
      </w:r>
      <w:proofErr w:type="spellEnd"/>
      <w:r w:rsidRPr="00E63780">
        <w:rPr>
          <w:rFonts w:ascii="Times New Roman" w:eastAsia="Calibri" w:hAnsi="Times New Roman" w:cs="Simplified Arabic"/>
          <w:sz w:val="24"/>
          <w:szCs w:val="28"/>
          <w:rtl/>
        </w:rPr>
        <w:t xml:space="preserve"> في تطوير آليات إدارة المشاريع الأكاديمية والبحثية كنموذج للمشاريع المصغرة. وظفت الدراسة المنهج الوصفي، واعتمدت على أداة الاستبانة التي وُزعت على عينة شملت 250 من المشرفين ومديري المشاريع. وأظهرت النتائج أن تطبيق استراتيجيات التحول الرقمي أدى إلى تحسين ملحوظ في كفاءة إدارة وقت المشاريع وتسهيل قنوات التواصل المباشر بين أطراف المشروع، إضافة إلى دور المنصات السحابية في أرشفة ومتابعة الإنجاز بدقة عالية. وقدمت الدراسة توصية رئيسية تتمثل في تعميم استخدام برامج إدارة المشاريع الرشيقة (</w:t>
      </w:r>
      <w:r w:rsidRPr="00E63780">
        <w:rPr>
          <w:rFonts w:ascii="Times New Roman" w:eastAsia="Calibri" w:hAnsi="Times New Roman" w:cs="Simplified Arabic"/>
          <w:sz w:val="24"/>
          <w:szCs w:val="28"/>
        </w:rPr>
        <w:t>Agile</w:t>
      </w:r>
      <w:r w:rsidRPr="00E63780">
        <w:rPr>
          <w:rFonts w:ascii="Times New Roman" w:eastAsia="Calibri" w:hAnsi="Times New Roman" w:cs="Simplified Arabic"/>
          <w:sz w:val="24"/>
          <w:szCs w:val="28"/>
          <w:rtl/>
        </w:rPr>
        <w:t>) المدعومة بالذكاء الاصطناعي في كافة المؤسسات لضمان مرونة التنفيذ.</w:t>
      </w:r>
    </w:p>
    <w:p w14:paraId="7628F9E7"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lastRenderedPageBreak/>
        <w:t xml:space="preserve">دراسة العتيبي (2023)، المملكة العربية السعودية، دراسة بعنوان "تحديات التحول الرقمي في البنية التحتية للمطارات: دراسة تطبيقية على شركة مطارات القابضة"، سعت إلى تقييم التحديات التقنية والتنظيمية التي تواجه </w:t>
      </w:r>
      <w:proofErr w:type="spellStart"/>
      <w:r w:rsidRPr="00E63780">
        <w:rPr>
          <w:rFonts w:ascii="Times New Roman" w:eastAsia="Calibri" w:hAnsi="Times New Roman" w:cs="Simplified Arabic"/>
          <w:sz w:val="24"/>
          <w:szCs w:val="28"/>
          <w:rtl/>
        </w:rPr>
        <w:t>رقمنة</w:t>
      </w:r>
      <w:proofErr w:type="spellEnd"/>
      <w:r w:rsidRPr="00E63780">
        <w:rPr>
          <w:rFonts w:ascii="Times New Roman" w:eastAsia="Calibri" w:hAnsi="Times New Roman" w:cs="Simplified Arabic"/>
          <w:sz w:val="24"/>
          <w:szCs w:val="28"/>
          <w:rtl/>
        </w:rPr>
        <w:t xml:space="preserve"> مشاريع البنية التحتية في قطاع الطيران المدني. استخدم الباحث المنهج الوصفي التحليلي، وجمع البيانات عبر المقابلات الشخصية والاستبانة من عينة ضمت 85 من القيادات الهندسية ومديري المشاريع. وبينت النتائج وجود مستوى عالٍ من الوعي بأهمية التحول الرقمي، إلا أن هناك تحديات تتمثل في تكامل الأنظمة القديمة مع التقنيات الناشئة، والحاجة إلى تحديث البنية التحتية للأمن السيبراني، كما أكدت النتائج أن الأتمتة خفضت من تكاليف التشغيل بنسبة ملموسة. وأوصت الدراسة بأهمية بناء شراكات استراتيجية مع شركات التكنولوجيا العالمية لتوطين المعرفة الرقمية في مشاريع المطارات والملاحة.</w:t>
      </w:r>
    </w:p>
    <w:p w14:paraId="1D07FB72"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دراسة الحربي (2022)، المملكة العربية السعودية، دراسة بعنوان "أثر استخدام تقنيات الذكاء الاصطناعي في جودة إدارة المشاريع الإنشائية بالمطارات السعودية"، استهدفت قياس مدى مساهمة التقنيات الناشئة في تحسين مؤشرات الجودة بمشاريع الطيران. اتبع الباحث المنهج الكمي، معتمداً على الاستبانة لجمع بيانات من عينة عشوائية بلغت 150 مهندساً وخبيراً في قطاع الملاحة الجوية. وتوصلت الدراسة إلى نتائج أبرزها أن استخدام التحليل التنبؤي وتطبيقات التوأمة الرقمية يقلل من نسب الأخطاء الهندسية بنسبة تصل إلى 20%، ويساهم في توقع المخاطر قبل وقوعها، مما يعزز من كفاءة الالتزام بالمعايير الدولية. وكانت أبرز توصيات الدراسة هي ضرورة الإسراع في إنشاء مراكز بيانات متخصصة لدعم اتخاذ القرار في مشاريع المطارات اعتماداً على خوارزميات الذكاء الاصطناعي.</w:t>
      </w:r>
    </w:p>
    <w:p w14:paraId="5FD2743F" w14:textId="77777777" w:rsidR="0031779C" w:rsidRDefault="0031779C" w:rsidP="00E63780">
      <w:pPr>
        <w:spacing w:after="240" w:line="360" w:lineRule="auto"/>
        <w:ind w:firstLine="397"/>
        <w:jc w:val="both"/>
        <w:rPr>
          <w:rFonts w:ascii="Times New Roman" w:eastAsia="Calibri" w:hAnsi="Times New Roman" w:cs="Simplified Arabic"/>
          <w:b/>
          <w:bCs/>
          <w:sz w:val="24"/>
          <w:szCs w:val="28"/>
          <w:rtl/>
        </w:rPr>
      </w:pPr>
    </w:p>
    <w:p w14:paraId="564606E0" w14:textId="4C0B1286"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lastRenderedPageBreak/>
        <w:t>ثانياً: دراسات عربية</w:t>
      </w:r>
    </w:p>
    <w:p w14:paraId="57829DA2"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دراسة القاضي (</w:t>
      </w:r>
      <w:r w:rsidRPr="00E63780">
        <w:rPr>
          <w:rFonts w:ascii="Times New Roman" w:eastAsia="Calibri" w:hAnsi="Times New Roman" w:cs="Simplified Arabic"/>
          <w:sz w:val="24"/>
          <w:szCs w:val="28"/>
        </w:rPr>
        <w:t>Al-Qadi, 2025</w:t>
      </w:r>
      <w:r w:rsidRPr="00E63780">
        <w:rPr>
          <w:rFonts w:ascii="Times New Roman" w:eastAsia="Calibri" w:hAnsi="Times New Roman" w:cs="Simplified Arabic"/>
          <w:sz w:val="24"/>
          <w:szCs w:val="28"/>
          <w:rtl/>
        </w:rPr>
        <w:t>)، المملكة المغربية، دراسة بعنوان (</w:t>
      </w:r>
      <w:r w:rsidRPr="00E63780">
        <w:rPr>
          <w:rFonts w:ascii="Times New Roman" w:eastAsia="Calibri" w:hAnsi="Times New Roman" w:cs="Simplified Arabic"/>
          <w:sz w:val="24"/>
          <w:szCs w:val="28"/>
        </w:rPr>
        <w:t>Digital Transformation in Public Facilities Management: The Impact of AI Applications</w:t>
      </w:r>
      <w:r w:rsidRPr="00E63780">
        <w:rPr>
          <w:rFonts w:ascii="Times New Roman" w:eastAsia="Calibri" w:hAnsi="Times New Roman" w:cs="Simplified Arabic"/>
          <w:sz w:val="24"/>
          <w:szCs w:val="28"/>
          <w:rtl/>
        </w:rPr>
        <w:t xml:space="preserve">) "التحول الرقمي في إدارة المرافق العامة: أثر تطبيقات الذكاء الاصطناعي"، هدفت إلى تحليل دور الذكاء الاصطناعي </w:t>
      </w:r>
      <w:proofErr w:type="spellStart"/>
      <w:r w:rsidRPr="00E63780">
        <w:rPr>
          <w:rFonts w:ascii="Times New Roman" w:eastAsia="Calibri" w:hAnsi="Times New Roman" w:cs="Simplified Arabic"/>
          <w:sz w:val="24"/>
          <w:szCs w:val="28"/>
          <w:rtl/>
        </w:rPr>
        <w:t>والرقمنة</w:t>
      </w:r>
      <w:proofErr w:type="spellEnd"/>
      <w:r w:rsidRPr="00E63780">
        <w:rPr>
          <w:rFonts w:ascii="Times New Roman" w:eastAsia="Calibri" w:hAnsi="Times New Roman" w:cs="Simplified Arabic"/>
          <w:sz w:val="24"/>
          <w:szCs w:val="28"/>
          <w:rtl/>
        </w:rPr>
        <w:t xml:space="preserve"> في رفع كفاءة مشاريع المرافق العامة وتطويرها. طبقت الدراسة المنهج الوصفي التحليلي، مستخدمة الاستبانة الموجهة لعينة قوامها 110 من مديري وموظفي القطاع العام. وأسفرت النتائج عن أن إدماج تقنيات التحول الرقمي في إدارة المشاريع يسرع من دورة حياة المشروع، ويزيد من مرونته، ويحسن من قدرة المؤسسات على التعامل مع التحديات المعقدة بكفاءة عالية، مما ينعكس على جودة الخدمات المقدمة للجمهور. وأوصت الدراسة بضرورة الاستثمار المستمر في البنية التحتية الرقمية وتحديث نظم المعلومات الإدارية لضمان جاهزية سير المشاريع.</w:t>
      </w:r>
    </w:p>
    <w:p w14:paraId="48E63D06"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دراسة الحراصي وآخرون (2024)، سلطنة عمان، دراسة بعنوان "تحول الشركات الصغيرة والمتوسطة إلى الرقمية في سلطنة عمان"، سعت إلى استكشاف واقع التحول الرقمي وتحديد استراتيجيات دعم </w:t>
      </w:r>
      <w:proofErr w:type="spellStart"/>
      <w:r w:rsidRPr="00E63780">
        <w:rPr>
          <w:rFonts w:ascii="Times New Roman" w:eastAsia="Calibri" w:hAnsi="Times New Roman" w:cs="Simplified Arabic"/>
          <w:sz w:val="24"/>
          <w:szCs w:val="28"/>
          <w:rtl/>
        </w:rPr>
        <w:t>رقمنة</w:t>
      </w:r>
      <w:proofErr w:type="spellEnd"/>
      <w:r w:rsidRPr="00E63780">
        <w:rPr>
          <w:rFonts w:ascii="Times New Roman" w:eastAsia="Calibri" w:hAnsi="Times New Roman" w:cs="Simplified Arabic"/>
          <w:sz w:val="24"/>
          <w:szCs w:val="28"/>
          <w:rtl/>
        </w:rPr>
        <w:t xml:space="preserve"> إدارة الأعمال والمشاريع. اعتمدت الدراسة على المنهج المختلط (الكمي والنوعي)، وجمعت البيانات عبر استبانات ومقابلات شملت 200 من رواد الأعمال ومديري المشاريع. وأشارت النتائج إلى أن تبني تقنيات التحول الرقمي أدى بشكل جلي إلى تغيير وتطوير الهياكل التنظيمية، وتحسين طرق أداء الخدمات، كما أظهرت قدرة المؤسسات على تحسين الإنتاجية وتخفيض التكاليف التشغيلية للمشاريع بشكل ملحوظ. وأوصت الدراسة بأهمية توفير برامج تمويلية وتدريبية حكومية مسهلة لتسريع تبني التقنيات الرقمية في المؤسسات.</w:t>
      </w:r>
    </w:p>
    <w:p w14:paraId="43BFDB9B"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lastRenderedPageBreak/>
        <w:t>دراسة أبو النصر (2023)، المملكة الأردنية الهاشمية، دراسة بعنوان "أهمية التحول الرقمي بإدارة المشاريع الهندسية ببلديات في المملكة الأردنية الهاشمية وأثرها على جودة التنفيذ"، هدفت إلى التعرف على مرتكزات التحول الرقمي ودور نظم المعلومات الجغرافية في تحسين مخرجات المشاريع. اتبع الباحث المنهج الوصفي التحليلي، مستخدماً الاستبانة كأداة لجمع البيانات من عينة تكونت من 130 مهندساً وإدارياً. وأكدت النتائج أن هناك أثراً إيجابياً وذا دلالة إحصائية لاستخدام الأنظمة الرقمية في تحسين كفاءة التخطيط وتقليل الفجوات الزمنية للتنفيذ، كما بينت أن التحول الرقمي يعزز الشفافية والمساءلة في متابعة إنجاز المشاريع. وأوصت الدراسة بتكثيف الدورات التدريبية للكوادر الهندسية على استخدام منصات إدارة المشاريع القائمة على الحوسبة السحابية.</w:t>
      </w:r>
    </w:p>
    <w:p w14:paraId="3258ADA4"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دراسة المدهون (2023)، فلسطين، دراسة بعنوان "دور التحول الرقمي في تحقيق التميز المؤسسي بالتطبيق على العاملين في بلدية غزة"، هدفت إلى قياس أثر </w:t>
      </w:r>
      <w:proofErr w:type="spellStart"/>
      <w:r w:rsidRPr="00E63780">
        <w:rPr>
          <w:rFonts w:ascii="Times New Roman" w:eastAsia="Calibri" w:hAnsi="Times New Roman" w:cs="Simplified Arabic"/>
          <w:sz w:val="24"/>
          <w:szCs w:val="28"/>
          <w:rtl/>
        </w:rPr>
        <w:t>رقمنة</w:t>
      </w:r>
      <w:proofErr w:type="spellEnd"/>
      <w:r w:rsidRPr="00E63780">
        <w:rPr>
          <w:rFonts w:ascii="Times New Roman" w:eastAsia="Calibri" w:hAnsi="Times New Roman" w:cs="Simplified Arabic"/>
          <w:sz w:val="24"/>
          <w:szCs w:val="28"/>
          <w:rtl/>
        </w:rPr>
        <w:t xml:space="preserve"> العمليات على التميز في إدارة وأداء المشاريع المؤسسية. استخدمت الدراسة المنهج الوصفي التحليلي، وتم جمع البيانات بواسطة استبانة وزعت على عينة ضمت 185 موظفاً إدارياً وفنياً. وأظهرت النتائج أن توظيف البيانات الضخمة والأنظمة الرقمية له تأثير إيجابي وكبير على تحسين أداء الأعمال وسرعة الإنجاز، وأثبتت أن استيعاب التقنيات الحديثة يسرع من دورة تنفيذ المشاريع الخدمية. وقدمت الدراسة توصية محورية بضرورة دمج استراتيجية التحول الرقمي كجزء لا يتجزأ من الخطة الاستراتيجية الشاملة للمؤسسات لضمان استدامتها.</w:t>
      </w:r>
    </w:p>
    <w:p w14:paraId="0F0A2860"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دراسة </w:t>
      </w:r>
      <w:proofErr w:type="gramStart"/>
      <w:r w:rsidRPr="00E63780">
        <w:rPr>
          <w:rFonts w:ascii="Times New Roman" w:eastAsia="Calibri" w:hAnsi="Times New Roman" w:cs="Simplified Arabic"/>
          <w:sz w:val="24"/>
          <w:szCs w:val="28"/>
          <w:rtl/>
        </w:rPr>
        <w:t>علي</w:t>
      </w:r>
      <w:proofErr w:type="gramEnd"/>
      <w:r w:rsidRPr="00E63780">
        <w:rPr>
          <w:rFonts w:ascii="Times New Roman" w:eastAsia="Calibri" w:hAnsi="Times New Roman" w:cs="Simplified Arabic"/>
          <w:sz w:val="24"/>
          <w:szCs w:val="28"/>
          <w:rtl/>
        </w:rPr>
        <w:t xml:space="preserve"> (2022)، المملكة الأردنية الهاشمية، دراسة بعنوان "استراتيجية التحول الرقمي والاتجاهات الرئيسية"، استهدفت تقييم مدى توافق الخطط الاستراتيجية للمؤسسات مع الاتجاهات العالمية </w:t>
      </w:r>
      <w:proofErr w:type="spellStart"/>
      <w:r w:rsidRPr="00E63780">
        <w:rPr>
          <w:rFonts w:ascii="Times New Roman" w:eastAsia="Calibri" w:hAnsi="Times New Roman" w:cs="Simplified Arabic"/>
          <w:sz w:val="24"/>
          <w:szCs w:val="28"/>
          <w:rtl/>
        </w:rPr>
        <w:t>لرقمنة</w:t>
      </w:r>
      <w:proofErr w:type="spellEnd"/>
      <w:r w:rsidRPr="00E63780">
        <w:rPr>
          <w:rFonts w:ascii="Times New Roman" w:eastAsia="Calibri" w:hAnsi="Times New Roman" w:cs="Simplified Arabic"/>
          <w:sz w:val="24"/>
          <w:szCs w:val="28"/>
          <w:rtl/>
        </w:rPr>
        <w:t xml:space="preserve"> إدارة المشاريع. وظفت الدراسة المنهج الوصفي، واعتمدت على أداة تحليل المحتوى والمقابلات المقننة مع 60 خبيراً في تكنولوجيا المعلومات وإدارة المشاريع. وبينت النتائج أن التحول </w:t>
      </w:r>
      <w:r w:rsidRPr="00E63780">
        <w:rPr>
          <w:rFonts w:ascii="Times New Roman" w:eastAsia="Calibri" w:hAnsi="Times New Roman" w:cs="Simplified Arabic"/>
          <w:sz w:val="24"/>
          <w:szCs w:val="28"/>
          <w:rtl/>
        </w:rPr>
        <w:lastRenderedPageBreak/>
        <w:t>الرقمي لم يعد خياراً بل ضرورة حتمية لضمان كفاءة وتنافسية المشاريع، وأن المؤسسات التي طبقت منهجيات الإدارة الرشيقة الرقمية كانت أسرع في التكيف مع التغيرات وتلبية توقعات أصحاب المصلحة. وأوصت الدراسة بإنشاء مكاتب متخصصة لإدارة مشاريع التحول الرقمي (</w:t>
      </w:r>
      <w:r w:rsidRPr="00E63780">
        <w:rPr>
          <w:rFonts w:ascii="Times New Roman" w:eastAsia="Calibri" w:hAnsi="Times New Roman" w:cs="Simplified Arabic"/>
          <w:sz w:val="24"/>
          <w:szCs w:val="28"/>
        </w:rPr>
        <w:t>PMO</w:t>
      </w:r>
      <w:r w:rsidRPr="00E63780">
        <w:rPr>
          <w:rFonts w:ascii="Times New Roman" w:eastAsia="Calibri" w:hAnsi="Times New Roman" w:cs="Simplified Arabic"/>
          <w:sz w:val="24"/>
          <w:szCs w:val="28"/>
          <w:rtl/>
        </w:rPr>
        <w:t>) في كافة المؤسسات الكبرى لضمان حوكمة الأداء.</w:t>
      </w:r>
    </w:p>
    <w:p w14:paraId="13BB9C68"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دراسة الهادي (2021)، جمهورية مصر العربية، دراسة بعنوان "نحو بناء خارطة طريق تحول رقمي لمنظمات المجتمع لاستراتيجية مصر الرقمية"، هدفت إلى تصميم إطار عمل متكامل يسهل عملية انتقال المؤسسات نحو </w:t>
      </w:r>
      <w:proofErr w:type="spellStart"/>
      <w:r w:rsidRPr="00E63780">
        <w:rPr>
          <w:rFonts w:ascii="Times New Roman" w:eastAsia="Calibri" w:hAnsi="Times New Roman" w:cs="Simplified Arabic"/>
          <w:sz w:val="24"/>
          <w:szCs w:val="28"/>
          <w:rtl/>
        </w:rPr>
        <w:t>الرقمنة</w:t>
      </w:r>
      <w:proofErr w:type="spellEnd"/>
      <w:r w:rsidRPr="00E63780">
        <w:rPr>
          <w:rFonts w:ascii="Times New Roman" w:eastAsia="Calibri" w:hAnsi="Times New Roman" w:cs="Simplified Arabic"/>
          <w:sz w:val="24"/>
          <w:szCs w:val="28"/>
          <w:rtl/>
        </w:rPr>
        <w:t xml:space="preserve"> الشاملة لمشاريعها. اعتمد الباحث المنهج الاستنباطي التحليلي، مستخدماً الملاحظة وتحليل الوثائق لاستخلاص البيانات. وخلصت النتائج إلى أن غياب الرؤية الموحدة وضعف البنية التحتية التكنولوجية يعدان من أبرز معوقات إدارة مشاريع التحول الرقمي، في حين أن التخطيط الاستراتيجي الجيد وتقييم الجاهزية الرقمية يسهمان في تقليل مخاطر فشل المشاريع التقنية. وأوصت الدراسة بتبني منهجية تدريجية في التحول الرقمي تبدأ </w:t>
      </w:r>
      <w:proofErr w:type="spellStart"/>
      <w:r w:rsidRPr="00E63780">
        <w:rPr>
          <w:rFonts w:ascii="Times New Roman" w:eastAsia="Calibri" w:hAnsi="Times New Roman" w:cs="Simplified Arabic"/>
          <w:sz w:val="24"/>
          <w:szCs w:val="28"/>
          <w:rtl/>
        </w:rPr>
        <w:t>برقمنة</w:t>
      </w:r>
      <w:proofErr w:type="spellEnd"/>
      <w:r w:rsidRPr="00E63780">
        <w:rPr>
          <w:rFonts w:ascii="Times New Roman" w:eastAsia="Calibri" w:hAnsi="Times New Roman" w:cs="Simplified Arabic"/>
          <w:sz w:val="24"/>
          <w:szCs w:val="28"/>
          <w:rtl/>
        </w:rPr>
        <w:t xml:space="preserve"> العمليات الأساسية وصولاً إلى التكامل التام.</w:t>
      </w:r>
    </w:p>
    <w:p w14:paraId="1F6BF7BB"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دراسة البلوشي وآخرون (2020)، سلطنة عمان، دراسة بعنوان "واقع التحول الرقمي في المؤسسات الحكومية"، سعت إلى تقييم مستوى الجاهزية والجهود المبذولة في تطبيق التحول الرقمي في تخطيط وتنفيذ المشاريع الوطنية. استخدمت الدراسة المنهج الوصفي النوعي، واعتمدت على المقابلة شبه المقننة كأداة رئيسة شملت 45 مسؤولاً ومدير مشروع حكومي. وتوصلت النتائج إلى وجود جهود واضحة وملموسة من قبل المؤسسات لتحقيق التحول الرقمي، إلا أن هناك تفاوتاً ملحوظاً في مستوى كفاءة المشاريع الرقمية بين مؤسسة وأخرى نتيجة التباين في الميزانيات المخصصة وتأهيل الكوادر البشرية. وأوصت الدراسة بتوحيد معايير تقييم نضج التحول الرقمي وإلزام كافة الجهات بتوثيق الدروس المستفادة من مشاريعهم التقنية السابقة.</w:t>
      </w:r>
    </w:p>
    <w:p w14:paraId="32FB7E16"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lastRenderedPageBreak/>
        <w:t>ثالثاً: دراسات أجنبية</w:t>
      </w:r>
    </w:p>
    <w:p w14:paraId="7520EC94"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دراسة دوتا وآخرون (</w:t>
      </w:r>
      <w:r w:rsidRPr="00E63780">
        <w:rPr>
          <w:rFonts w:ascii="Times New Roman" w:eastAsia="Calibri" w:hAnsi="Times New Roman" w:cs="Simplified Arabic"/>
          <w:sz w:val="24"/>
          <w:szCs w:val="28"/>
        </w:rPr>
        <w:t>Dutta et al., 2025</w:t>
      </w:r>
      <w:r w:rsidRPr="00E63780">
        <w:rPr>
          <w:rFonts w:ascii="Times New Roman" w:eastAsia="Calibri" w:hAnsi="Times New Roman" w:cs="Simplified Arabic"/>
          <w:sz w:val="24"/>
          <w:szCs w:val="28"/>
          <w:rtl/>
        </w:rPr>
        <w:t>)، المملكة المتحدة، دراسة بعنوان (</w:t>
      </w:r>
      <w:r w:rsidRPr="00E63780">
        <w:rPr>
          <w:rFonts w:ascii="Times New Roman" w:eastAsia="Calibri" w:hAnsi="Times New Roman" w:cs="Simplified Arabic"/>
          <w:sz w:val="24"/>
          <w:szCs w:val="28"/>
        </w:rPr>
        <w:t>Digital Transformation in Aviation Industry Operations: Innovations and Sustainable Solutions</w:t>
      </w:r>
      <w:r w:rsidRPr="00E63780">
        <w:rPr>
          <w:rFonts w:ascii="Times New Roman" w:eastAsia="Calibri" w:hAnsi="Times New Roman" w:cs="Simplified Arabic"/>
          <w:sz w:val="24"/>
          <w:szCs w:val="28"/>
          <w:rtl/>
        </w:rPr>
        <w:t>) "التحول الرقمي في عمليات صناعة الطيران: الابتكارات والحلول المستدامة"، هدفت الدراسة إلى استكشاف التقنيات التحويلية التي تقود حقبة جديدة في إدارة مشاريع الطيران والملاحة الجوية لتعزيز الاستدامة وتقليل التكاليف. اعتمدت الدراسة المنهج الوصفي التحليلي، واستخدمت أداة تحليل المحتوى والمقابلات المتعمقة لجمع البيانات من عينة شملت 80 خبيراً ومدير مشروع في قطاع الطيران الأوروبي. وتوصلت النتائج إلى أن دمج الأدوات الرقمية الحديثة مثل الأنظمة السحابية والتحليلات التنبؤية يعيد تشكيل الهياكل التنظيمية لإدارة المشاريع، ويسهم في رفع كفاءة التنبؤ بالأحوال الجوية وجدولة الملاحة، مما يخفض من نسب التأخير التشغيلي بشكل كبير. وكانت أبرز توصية قدمتها الدراسة هي ضرورة تبني استراتيجيات إدارة التغيير لضمان التكيف السلس للكوادر البشرية مع الأنظمة الرقمية الجديدة.</w:t>
      </w:r>
    </w:p>
    <w:p w14:paraId="0B20DAC3"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دراسة بيترز وآخرون (</w:t>
      </w:r>
      <w:r w:rsidRPr="00E63780">
        <w:rPr>
          <w:rFonts w:ascii="Times New Roman" w:eastAsia="Calibri" w:hAnsi="Times New Roman" w:cs="Simplified Arabic"/>
          <w:sz w:val="24"/>
          <w:szCs w:val="28"/>
        </w:rPr>
        <w:t>Peters et al., 2024</w:t>
      </w:r>
      <w:r w:rsidRPr="00E63780">
        <w:rPr>
          <w:rFonts w:ascii="Times New Roman" w:eastAsia="Calibri" w:hAnsi="Times New Roman" w:cs="Simplified Arabic"/>
          <w:sz w:val="24"/>
          <w:szCs w:val="28"/>
          <w:rtl/>
        </w:rPr>
        <w:t>)، سويسرا، دراسة بعنوان (</w:t>
      </w:r>
      <w:r w:rsidRPr="00E63780">
        <w:rPr>
          <w:rFonts w:ascii="Times New Roman" w:eastAsia="Calibri" w:hAnsi="Times New Roman" w:cs="Simplified Arabic"/>
          <w:sz w:val="24"/>
          <w:szCs w:val="28"/>
        </w:rPr>
        <w:t>Digital Transformation in Project Management: A Systematic Review and Research Agenda</w:t>
      </w:r>
      <w:r w:rsidRPr="00E63780">
        <w:rPr>
          <w:rFonts w:ascii="Times New Roman" w:eastAsia="Calibri" w:hAnsi="Times New Roman" w:cs="Simplified Arabic"/>
          <w:sz w:val="24"/>
          <w:szCs w:val="28"/>
          <w:rtl/>
        </w:rPr>
        <w:t xml:space="preserve">) "التحول الرقمي في إدارة المشاريع: مراجعة منهجية للأدبيات وأجندة بحثية"، سعت الدراسة إلى تحديد كيفية إعادة تشكيل التقنيات الرقمية لعمليات إدارة المشاريع في القطاعات التكنولوجية المعقدة ومنها قطاع النقل الجوي. استخدم الباحثون المنهج المكتبي التحليلي، مستعينين ببطاقة تحليل لاستعراض 150 ورقة علمية حديثة. وأظهرت النتائج أن التحول الرقمي يتجاوز مجرد النشر التقني ليشمل تغييرات سلوكية واستراتيجية، وأن استخدام إنترنت الأشياء والبيانات الضخمة يتيح لمديري المشاريع استجابة أسرع </w:t>
      </w:r>
      <w:r w:rsidRPr="00E63780">
        <w:rPr>
          <w:rFonts w:ascii="Times New Roman" w:eastAsia="Calibri" w:hAnsi="Times New Roman" w:cs="Simplified Arabic"/>
          <w:sz w:val="24"/>
          <w:szCs w:val="28"/>
          <w:rtl/>
        </w:rPr>
        <w:lastRenderedPageBreak/>
        <w:t>للمخاطر وتخصيصاً أدق للموارد. وأوصت الدراسة بتطوير نماذج نضج رقمية مخصصة لكل قطاع لقياس مدى نجاح تكامل التقنيات مع منهجيات الإدارة الرشيقة.</w:t>
      </w:r>
    </w:p>
    <w:p w14:paraId="06751B06"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دراسة الخطابي (</w:t>
      </w:r>
      <w:r w:rsidRPr="00E63780">
        <w:rPr>
          <w:rFonts w:ascii="Times New Roman" w:eastAsia="Calibri" w:hAnsi="Times New Roman" w:cs="Simplified Arabic"/>
          <w:sz w:val="24"/>
          <w:szCs w:val="28"/>
        </w:rPr>
        <w:t>Alkhatabi, 2024</w:t>
      </w:r>
      <w:r w:rsidRPr="00E63780">
        <w:rPr>
          <w:rFonts w:ascii="Times New Roman" w:eastAsia="Calibri" w:hAnsi="Times New Roman" w:cs="Simplified Arabic"/>
          <w:sz w:val="24"/>
          <w:szCs w:val="28"/>
          <w:rtl/>
        </w:rPr>
        <w:t>)، الولايات المتحدة الأمريكية، دراسة بعنوان (</w:t>
      </w:r>
      <w:r w:rsidRPr="00E63780">
        <w:rPr>
          <w:rFonts w:ascii="Times New Roman" w:eastAsia="Calibri" w:hAnsi="Times New Roman" w:cs="Simplified Arabic"/>
          <w:sz w:val="24"/>
          <w:szCs w:val="28"/>
        </w:rPr>
        <w:t>Digital Transformation in the Aviation Industry: Opportunities, Challenges, and Future</w:t>
      </w:r>
      <w:r w:rsidRPr="00E63780">
        <w:rPr>
          <w:rFonts w:ascii="Times New Roman" w:eastAsia="Calibri" w:hAnsi="Times New Roman" w:cs="Simplified Arabic"/>
          <w:sz w:val="24"/>
          <w:szCs w:val="28"/>
          <w:rtl/>
        </w:rPr>
        <w:t xml:space="preserve">) "التحول الرقمي في صناعة الطيران: الفرص، والتحديات، والمستقبل"، هدفت إلى فحص أثر التحول الرقمي على الكفاءة التشغيلية لمشاريع الطيران وأداء الأعمال. طبقت الدراسة المنهج الوصفي، واعتمدت على الاستبانة الإلكترونية التي طبقت على عينة قوامها 200 من المتخصصين في تكنولوجيا الطيران. وأشارت النتائج إلى أن تقنيات </w:t>
      </w:r>
      <w:proofErr w:type="spellStart"/>
      <w:r w:rsidRPr="00E63780">
        <w:rPr>
          <w:rFonts w:ascii="Times New Roman" w:eastAsia="Calibri" w:hAnsi="Times New Roman" w:cs="Simplified Arabic"/>
          <w:sz w:val="24"/>
          <w:szCs w:val="28"/>
          <w:rtl/>
        </w:rPr>
        <w:t>البلوكشين</w:t>
      </w:r>
      <w:proofErr w:type="spellEnd"/>
      <w:r w:rsidRPr="00E63780">
        <w:rPr>
          <w:rFonts w:ascii="Times New Roman" w:eastAsia="Calibri" w:hAnsi="Times New Roman" w:cs="Simplified Arabic"/>
          <w:sz w:val="24"/>
          <w:szCs w:val="28"/>
          <w:rtl/>
        </w:rPr>
        <w:t xml:space="preserve"> والذكاء الاصطناعي تسهم بفاعلية في تبسيط العمليات، وتقليص الأخطاء البشرية، وتحسين عملية صنع القرار في المشاريع التقنية للطيران، مع تحديد "الأمن السيبراني" كأكبر تحدٍ يواجه هذا التحول. وأوصت الدراسة بتكثيف الاستثمار في البنية التحتية للأمن السيبراني لحماية البيانات الملاحية الحساسة أثناء تنفيذ المشاريع.</w:t>
      </w:r>
    </w:p>
    <w:p w14:paraId="559A60C9"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دراسة ماسانا </w:t>
      </w:r>
      <w:proofErr w:type="spellStart"/>
      <w:r w:rsidRPr="00E63780">
        <w:rPr>
          <w:rFonts w:ascii="Times New Roman" w:eastAsia="Calibri" w:hAnsi="Times New Roman" w:cs="Simplified Arabic"/>
          <w:sz w:val="24"/>
          <w:szCs w:val="28"/>
          <w:rtl/>
        </w:rPr>
        <w:t>وبالاند</w:t>
      </w:r>
      <w:proofErr w:type="spellEnd"/>
      <w:r w:rsidRPr="00E63780">
        <w:rPr>
          <w:rFonts w:ascii="Times New Roman" w:eastAsia="Calibri" w:hAnsi="Times New Roman" w:cs="Simplified Arabic"/>
          <w:sz w:val="24"/>
          <w:szCs w:val="28"/>
          <w:rtl/>
        </w:rPr>
        <w:t xml:space="preserve"> (</w:t>
      </w:r>
      <w:r w:rsidRPr="00E63780">
        <w:rPr>
          <w:rFonts w:ascii="Times New Roman" w:eastAsia="Calibri" w:hAnsi="Times New Roman" w:cs="Simplified Arabic"/>
          <w:sz w:val="24"/>
          <w:szCs w:val="28"/>
        </w:rPr>
        <w:t>Masana</w:t>
      </w:r>
      <w:r w:rsidRPr="00E63780">
        <w:rPr>
          <w:rFonts w:ascii="Times New Roman" w:eastAsia="Calibri" w:hAnsi="Times New Roman" w:cs="Simplified Arabic"/>
          <w:sz w:val="24"/>
          <w:szCs w:val="28"/>
          <w:rtl/>
        </w:rPr>
        <w:t xml:space="preserve"> &amp; </w:t>
      </w:r>
      <w:r w:rsidRPr="00E63780">
        <w:rPr>
          <w:rFonts w:ascii="Times New Roman" w:eastAsia="Calibri" w:hAnsi="Times New Roman" w:cs="Simplified Arabic"/>
          <w:sz w:val="24"/>
          <w:szCs w:val="28"/>
        </w:rPr>
        <w:t>Balland, 2024</w:t>
      </w:r>
      <w:r w:rsidRPr="00E63780">
        <w:rPr>
          <w:rFonts w:ascii="Times New Roman" w:eastAsia="Calibri" w:hAnsi="Times New Roman" w:cs="Simplified Arabic"/>
          <w:sz w:val="24"/>
          <w:szCs w:val="28"/>
          <w:rtl/>
        </w:rPr>
        <w:t>)، سنغافورة، دراسة بعنوان (</w:t>
      </w:r>
      <w:r w:rsidRPr="00E63780">
        <w:rPr>
          <w:rFonts w:ascii="Times New Roman" w:eastAsia="Calibri" w:hAnsi="Times New Roman" w:cs="Simplified Arabic"/>
          <w:sz w:val="24"/>
          <w:szCs w:val="28"/>
        </w:rPr>
        <w:t>ATM Twin: an Air Traffic Management Digital Twin for the Singapore FIR</w:t>
      </w:r>
      <w:r w:rsidRPr="00E63780">
        <w:rPr>
          <w:rFonts w:ascii="Times New Roman" w:eastAsia="Calibri" w:hAnsi="Times New Roman" w:cs="Simplified Arabic"/>
          <w:sz w:val="24"/>
          <w:szCs w:val="28"/>
          <w:rtl/>
        </w:rPr>
        <w:t xml:space="preserve">) "توأم إدارة الحركة الجوية: توأم رقمي لإدارة الحركة الجوية لإقليم معلومات الطيران في سنغافورة"، استهدفت تصميم وتقييم نظام توأمة رقمية متقدم لرفع كفاءة التخطيط وإدارة مشاريع الحركة الجوية. استخدم الباحثان المنهج التجريبي، من خلال أداة المحاكاة الحاسوبية لبيانات الحركة الجوية المأخوذة من أنظمة الرادار الحقيقية. وتوصلت النتائج إلى أن استخدام التوأمة الرقمية وفر بيئة اختبار خالية من المخاطر للمشاريع الملاحية الجديدة، وسمح بتحليل سيناريوهات "ماذا لو" بدقة فائقة، مما أدى إلى تحسين القدرة الاستيعابية للمجال الجوي بنسبة 15% دون الحاجة إلى بنية تحتية مادية إضافية. وأوصت </w:t>
      </w:r>
      <w:r w:rsidRPr="00E63780">
        <w:rPr>
          <w:rFonts w:ascii="Times New Roman" w:eastAsia="Calibri" w:hAnsi="Times New Roman" w:cs="Simplified Arabic"/>
          <w:sz w:val="24"/>
          <w:szCs w:val="28"/>
          <w:rtl/>
        </w:rPr>
        <w:lastRenderedPageBreak/>
        <w:t>الدراسة بدمج نماذج التوأمة الرقمية كأداة أساسية في مرحلة التخطيط لأي مشروع تطويري في قطاع الملاحة.</w:t>
      </w:r>
    </w:p>
    <w:p w14:paraId="1E7FF449"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دراسة ألام وآخرون (</w:t>
      </w:r>
      <w:r w:rsidRPr="00E63780">
        <w:rPr>
          <w:rFonts w:ascii="Times New Roman" w:eastAsia="Calibri" w:hAnsi="Times New Roman" w:cs="Simplified Arabic"/>
          <w:sz w:val="24"/>
          <w:szCs w:val="28"/>
        </w:rPr>
        <w:t>Alam et al., 2023</w:t>
      </w:r>
      <w:r w:rsidRPr="00E63780">
        <w:rPr>
          <w:rFonts w:ascii="Times New Roman" w:eastAsia="Calibri" w:hAnsi="Times New Roman" w:cs="Simplified Arabic"/>
          <w:sz w:val="24"/>
          <w:szCs w:val="28"/>
          <w:rtl/>
        </w:rPr>
        <w:t>)، أستراليا، دراسة بعنوان (</w:t>
      </w:r>
      <w:r w:rsidRPr="00E63780">
        <w:rPr>
          <w:rFonts w:ascii="Times New Roman" w:eastAsia="Calibri" w:hAnsi="Times New Roman" w:cs="Simplified Arabic"/>
          <w:sz w:val="24"/>
          <w:szCs w:val="28"/>
        </w:rPr>
        <w:t>Digital Twin Approach for Integrated Airspace Management with Applications</w:t>
      </w:r>
      <w:r w:rsidRPr="00E63780">
        <w:rPr>
          <w:rFonts w:ascii="Times New Roman" w:eastAsia="Calibri" w:hAnsi="Times New Roman" w:cs="Simplified Arabic"/>
          <w:sz w:val="24"/>
          <w:szCs w:val="28"/>
          <w:rtl/>
        </w:rPr>
        <w:t>) "نهج التوأم الرقمي لإدارة المجال الجوي المتكاملة مع تطبيقاته"، هدفت إلى التحقق من فاعلية التوائم الرقمية كأداة استراتيجية لإدارة مشاريع المجال الجوي التي تتضمن الطائرات بدون طيار والطيران التجاري. اتبع الباحثون منهج دراسة الحالة، واعتمدوا على الملاحظة المباشرة وتحليل السجلات لبيانات نظام ملاحة تجريبي. وأثبتت النتائج أن خوارزميات التعلم الآلي المدمجة في النظام الرقمي قادرة على التنبؤ بالاختناقات الجوية واقتراح مسارات بديلة في أجزاء من الثانية، مما يرفع من جودة وكفاءة إدارة الأصول الملاحية. وقدمت الدراسة توصية بضرورة تحديث اللوائح والقوانين الملاحية لتتواكب مع الإمكانيات اللامحدودة التي توفرها الأنظمة الرقمية المستقلة.</w:t>
      </w:r>
    </w:p>
    <w:p w14:paraId="2DCB5243"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دراسة </w:t>
      </w:r>
      <w:proofErr w:type="spellStart"/>
      <w:r w:rsidRPr="00E63780">
        <w:rPr>
          <w:rFonts w:ascii="Times New Roman" w:eastAsia="Calibri" w:hAnsi="Times New Roman" w:cs="Simplified Arabic"/>
          <w:sz w:val="24"/>
          <w:szCs w:val="28"/>
          <w:rtl/>
        </w:rPr>
        <w:t>هيسيلينك</w:t>
      </w:r>
      <w:proofErr w:type="spellEnd"/>
      <w:r w:rsidRPr="00E63780">
        <w:rPr>
          <w:rFonts w:ascii="Times New Roman" w:eastAsia="Calibri" w:hAnsi="Times New Roman" w:cs="Simplified Arabic"/>
          <w:sz w:val="24"/>
          <w:szCs w:val="28"/>
          <w:rtl/>
        </w:rPr>
        <w:t xml:space="preserve"> وآخرون (</w:t>
      </w:r>
      <w:r w:rsidRPr="00E63780">
        <w:rPr>
          <w:rFonts w:ascii="Times New Roman" w:eastAsia="Calibri" w:hAnsi="Times New Roman" w:cs="Simplified Arabic"/>
          <w:sz w:val="24"/>
          <w:szCs w:val="28"/>
        </w:rPr>
        <w:t>Hesselink et al., 2023</w:t>
      </w:r>
      <w:r w:rsidRPr="00E63780">
        <w:rPr>
          <w:rFonts w:ascii="Times New Roman" w:eastAsia="Calibri" w:hAnsi="Times New Roman" w:cs="Simplified Arabic"/>
          <w:sz w:val="24"/>
          <w:szCs w:val="28"/>
          <w:rtl/>
        </w:rPr>
        <w:t>)، هولندا، دراسة بعنوان (</w:t>
      </w:r>
      <w:r w:rsidRPr="00E63780">
        <w:rPr>
          <w:rFonts w:ascii="Times New Roman" w:eastAsia="Calibri" w:hAnsi="Times New Roman" w:cs="Simplified Arabic"/>
          <w:sz w:val="24"/>
          <w:szCs w:val="28"/>
        </w:rPr>
        <w:t>Digital twin–based asset inspection and user–technology interactions</w:t>
      </w:r>
      <w:r w:rsidRPr="00E63780">
        <w:rPr>
          <w:rFonts w:ascii="Times New Roman" w:eastAsia="Calibri" w:hAnsi="Times New Roman" w:cs="Simplified Arabic"/>
          <w:sz w:val="24"/>
          <w:szCs w:val="28"/>
          <w:rtl/>
        </w:rPr>
        <w:t>) "فحص الأصول القائم على التوأمة الرقمية وتفاعلات المستخدم مع التكنولوجيا"، سعت إلى تقييم دور التقنيات التفاعلية والواقع الافتراضي في تحسين عمليات فحص وإدارة أصول المشاريع الهندسية. وظفت الدراسة المنهج الوصفي التحليلي، واستخدمت المقابلات المتعمقة والملاحظة لجمع البيانات من عينة تكونت من 45 مهندس مشروع ومفتشاً. وأوضحت النتائج أن التفاعل عبر الواقع الافتراضي المدعوم بالتوأمة الرقمية يعزز من الإدراك المكاني لمديري المشاريع، ويقلل من الحاجة إلى التواجد الميداني في المواقع الخطرة، مما يوفر الوقت والتكلفة ويقلل من معدلات الحوادث. وأوصت الدراسة بضرورة تصميم واجهات مستخدم بديهية لتقليل المقاومة التكنولوجية لدى العاملين القدامى في المشاريع.</w:t>
      </w:r>
    </w:p>
    <w:p w14:paraId="6C1FA197"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lastRenderedPageBreak/>
        <w:t xml:space="preserve">دراسة </w:t>
      </w:r>
      <w:proofErr w:type="spellStart"/>
      <w:r w:rsidRPr="00E63780">
        <w:rPr>
          <w:rFonts w:ascii="Times New Roman" w:eastAsia="Calibri" w:hAnsi="Times New Roman" w:cs="Simplified Arabic"/>
          <w:sz w:val="24"/>
          <w:szCs w:val="28"/>
          <w:rtl/>
        </w:rPr>
        <w:t>جاكوبس</w:t>
      </w:r>
      <w:proofErr w:type="spellEnd"/>
      <w:r w:rsidRPr="00E63780">
        <w:rPr>
          <w:rFonts w:ascii="Times New Roman" w:eastAsia="Calibri" w:hAnsi="Times New Roman" w:cs="Simplified Arabic"/>
          <w:sz w:val="24"/>
          <w:szCs w:val="28"/>
          <w:rtl/>
        </w:rPr>
        <w:t xml:space="preserve"> ومشاركوه (</w:t>
      </w:r>
      <w:r w:rsidRPr="00E63780">
        <w:rPr>
          <w:rFonts w:ascii="Times New Roman" w:eastAsia="Calibri" w:hAnsi="Times New Roman" w:cs="Simplified Arabic"/>
          <w:sz w:val="24"/>
          <w:szCs w:val="28"/>
        </w:rPr>
        <w:t>Jacobs et al., 2023</w:t>
      </w:r>
      <w:r w:rsidRPr="00E63780">
        <w:rPr>
          <w:rFonts w:ascii="Times New Roman" w:eastAsia="Calibri" w:hAnsi="Times New Roman" w:cs="Simplified Arabic"/>
          <w:sz w:val="24"/>
          <w:szCs w:val="28"/>
          <w:rtl/>
        </w:rPr>
        <w:t>)، كندا، دراسة بعنوان (</w:t>
      </w:r>
      <w:r w:rsidRPr="00E63780">
        <w:rPr>
          <w:rFonts w:ascii="Times New Roman" w:eastAsia="Calibri" w:hAnsi="Times New Roman" w:cs="Simplified Arabic"/>
          <w:sz w:val="24"/>
          <w:szCs w:val="28"/>
        </w:rPr>
        <w:t>Future-proofing Air Navigation Service Providers Asset Operations</w:t>
      </w:r>
      <w:r w:rsidRPr="00E63780">
        <w:rPr>
          <w:rFonts w:ascii="Times New Roman" w:eastAsia="Calibri" w:hAnsi="Times New Roman" w:cs="Simplified Arabic"/>
          <w:sz w:val="24"/>
          <w:szCs w:val="28"/>
          <w:rtl/>
        </w:rPr>
        <w:t>) "ضمان مستقبل عمليات أصول مزودي خدمات الملاحة الجوية"، هدفت إلى صياغة خارطة طريق رقمية تمكن مزودي خدمات الملاحة من إدارة مشاريعهم وأصولهم بكفاءة عالية وفق منهجيات الإدارة الحديثة. اعتمدت الدراسة على المنهج الوصفي الاستكشافي، واستخدمت أداة الاستبانة وتحليل الوثائق لعينة شملت 110 مسؤولين في دوائر الطيران المدني. وكشفت النتائج أن الانتقال من الصيانة التفاعلية إلى الصيانة التنبؤية (المدعومة بالذكاء الاصطناعي) في المشاريع الملاحية يسهم في تمديد العمر الافتراضي لأنظمة الرادار والاتصالات، ويضمن استمرارية تقديم خدمات الملاحة الجوية دون انقطاع. وأوصت الدراسة بإنشاء منصة بيانات مركزية تجمع كافة الأطراف المعنية بالمشروع (المقاول، المالك، المشغل) لضمان الشفافية وسرعة الإنجاز.</w:t>
      </w:r>
    </w:p>
    <w:p w14:paraId="1487021D"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رابعاً: تعقيب تحليلي عام على الدراسات السابقة</w:t>
      </w:r>
    </w:p>
    <w:p w14:paraId="1A68C783"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استناداً إلى الاستعراض المنهجي الشامل للدراسات السابقة (المحلية، والعربية، والأجنبية)، يمكن تقديم التعقيب التحليلي الآتي:</w:t>
      </w:r>
    </w:p>
    <w:p w14:paraId="40BAB02D"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1. اتساق الدراسة الحالية مع الدراسات السابقة:</w:t>
      </w:r>
    </w:p>
    <w:p w14:paraId="5505820B"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تتسق الدراسة الحالية في إطارها المفاهيمي العام مع التوجه البحثي العالمي والمحلي الذي يؤكد على حتمية التحول الرقمي كقوة دافعة لرفع كفاءة الأداء المؤسسي وإدارة المشاريع. كما تتسق مع الدراسات التي تناولت البيئة التشغيلية لقطاع الطيران والملاحة (مثل دراسات: الحربي، 2022؛ والخطابي، 2024؛ وماسانا </w:t>
      </w:r>
      <w:proofErr w:type="spellStart"/>
      <w:r w:rsidRPr="00E63780">
        <w:rPr>
          <w:rFonts w:ascii="Times New Roman" w:eastAsia="Calibri" w:hAnsi="Times New Roman" w:cs="Simplified Arabic"/>
          <w:sz w:val="24"/>
          <w:szCs w:val="28"/>
          <w:rtl/>
        </w:rPr>
        <w:t>وبالاند</w:t>
      </w:r>
      <w:proofErr w:type="spellEnd"/>
      <w:r w:rsidRPr="00E63780">
        <w:rPr>
          <w:rFonts w:ascii="Times New Roman" w:eastAsia="Calibri" w:hAnsi="Times New Roman" w:cs="Simplified Arabic"/>
          <w:sz w:val="24"/>
          <w:szCs w:val="28"/>
          <w:rtl/>
        </w:rPr>
        <w:t>، 2024)، مؤكدةً على أن قطاع الملاحة الجوية يُعد من أكثر القطاعات احتياجاً واستفادةً من مخرجات الثورة الصناعية الرابعة.</w:t>
      </w:r>
    </w:p>
    <w:p w14:paraId="4F5AB5B7"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lastRenderedPageBreak/>
        <w:t>2. جوانب اتفاق الدراسة الحالية مع الدراسات السابقة:</w:t>
      </w:r>
    </w:p>
    <w:p w14:paraId="65F9FF86" w14:textId="77777777" w:rsid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تتفق الدراسة الحالية مع معظم الدراسات السابقة (مثل: العتيبي والزامل، 2025؛ وبيترز وآخرون، 2024) في التأكيد على وجود علاقة إيجابية وطردية بين استخدام التقنيات الرقمية المتقدمة (كالبيانات الضخمة، والتحليل التنبؤي، والأتمتة) وبين تحسين كفاءة إنجاز المشاريع من حيث التكلفة والوقت والجودة. كما تتفق في الاعتماد على المنهج الوصفي التحليلي كمنهجية علمية ملائمة لدراسة مثل هذه الظواهر الإدارية والتقنية في بيئتها الواقعية.</w:t>
      </w:r>
    </w:p>
    <w:p w14:paraId="42CCB3E9"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3. جوانب اختلاف الدراسة الحالية مع الدراسات السابقة:</w:t>
      </w:r>
    </w:p>
    <w:p w14:paraId="421ED1A1"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تختلف الدراسة الحالية عن الدراسات السابقة في طبيعة البيئة التطبيقية الدقيقة؛ فبينما ركزت العديد من الدراسات على التحول الرقمي في القطاع العقاري (العتيبي والزامل، 2025)، أو البلديات (أبو النصر، 2023)، أو المشاريع الإنشائية العامة في المطارات (الحربي، 2022)، فإن الدراسة الحالية تُركز بشكل حصري ومُعمق على "مشاريع أنظمة الملاحة الجوية (</w:t>
      </w:r>
      <w:r w:rsidRPr="00E63780">
        <w:rPr>
          <w:rFonts w:ascii="Times New Roman" w:eastAsia="Calibri" w:hAnsi="Times New Roman" w:cs="Simplified Arabic"/>
          <w:sz w:val="24"/>
          <w:szCs w:val="28"/>
        </w:rPr>
        <w:t>CNS/ATM</w:t>
      </w:r>
      <w:r w:rsidRPr="00E63780">
        <w:rPr>
          <w:rFonts w:ascii="Times New Roman" w:eastAsia="Calibri" w:hAnsi="Times New Roman" w:cs="Simplified Arabic"/>
          <w:sz w:val="24"/>
          <w:szCs w:val="28"/>
          <w:rtl/>
        </w:rPr>
        <w:t>)" ذات التعقيد التقني العالي والحساسية المطلقة للسلامة، وهو بُعد لم ينل حظه الكافي من البحث المتخصص المنفرد.</w:t>
      </w:r>
    </w:p>
    <w:p w14:paraId="335CDB1D"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4. الفجوة البحثية:</w:t>
      </w:r>
    </w:p>
    <w:p w14:paraId="0C4EC845"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من خلال استقراء الأدبيات السابقة، تبرز فجوة بحثية واضحة تتمثل في ندرة الدراسات (لا سيما في البيئة السعودية والعربية) التي تدمج بين الأبعاد الأربعة للتحول الرقمي (البنية التحتية، الأتمتة، التحليل التنبؤي، والأمن السيبراني الملاحي) وتأثيرها المباشر والمجتمع على كفاءة إدارة مشاريع الأنظمة الملاحية بشكل خاص. معظم الدراسات تناولت إما </w:t>
      </w:r>
      <w:proofErr w:type="spellStart"/>
      <w:r w:rsidRPr="00E63780">
        <w:rPr>
          <w:rFonts w:ascii="Times New Roman" w:eastAsia="Calibri" w:hAnsi="Times New Roman" w:cs="Simplified Arabic"/>
          <w:sz w:val="24"/>
          <w:szCs w:val="28"/>
          <w:rtl/>
        </w:rPr>
        <w:t>رقمنة</w:t>
      </w:r>
      <w:proofErr w:type="spellEnd"/>
      <w:r w:rsidRPr="00E63780">
        <w:rPr>
          <w:rFonts w:ascii="Times New Roman" w:eastAsia="Calibri" w:hAnsi="Times New Roman" w:cs="Simplified Arabic"/>
          <w:sz w:val="24"/>
          <w:szCs w:val="28"/>
          <w:rtl/>
        </w:rPr>
        <w:t xml:space="preserve"> المطارات كمنشآت مدنية، أو </w:t>
      </w:r>
      <w:r w:rsidRPr="00E63780">
        <w:rPr>
          <w:rFonts w:ascii="Times New Roman" w:eastAsia="Calibri" w:hAnsi="Times New Roman" w:cs="Simplified Arabic"/>
          <w:sz w:val="24"/>
          <w:szCs w:val="28"/>
          <w:rtl/>
        </w:rPr>
        <w:lastRenderedPageBreak/>
        <w:t>تناولت إدارة المشاريع كإطار عام، مما يجعل الدراسة الحالية محاولة جادة لسد هذه الفجوة المعرفية والتطبيقية في ظل التوسع الضخم لمشاريع الملاحة السعودية المزامنة لرؤية 2030.</w:t>
      </w:r>
    </w:p>
    <w:p w14:paraId="4565C5A6"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5. جوانب استفادة الدراسة الحالية من الدراسات السابقة:</w:t>
      </w:r>
    </w:p>
    <w:p w14:paraId="6C5C4F30"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استفادت الدراسة الحالية من الدراسات السابقة في عدة جوانب حيوية، أبرزها: بلورة المشكلة البحثية وتحديد أبعادها بدقة، وتأصيل الإطار النظري، وصياغة التساؤلات والفرضيات، بالإضافة إلى الاستفادة المنهجية في بناء وتطوير أداة الدراسة (الاستبانة) من خلال الاطلاع على المقاييس والمؤشرات التي استخدمتها تلك الدراسات (مثل دراسة: ألام وآخرون، 2023؛ والحراصي وآخرون، 2024)، ناهيك عن دورها كمرجعية لمقارنة وتفسير النتائج التي ستسفر عنها الدراسة الميدانية.</w:t>
      </w:r>
    </w:p>
    <w:p w14:paraId="2C56D522"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6. الجوانب المميزة للدراسة الحالية عن الدراسات السابقة:</w:t>
      </w:r>
    </w:p>
    <w:p w14:paraId="1A3B3406"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تتميز الدراسة الحالية بشمولية المتغير المستقل (التحول الرقمي) وتقسيمه إلى أبعاد نوعية تتناسب تماماً مع طبيعة الملاحة الجوية (بما في ذلك الأمن السيبراني الملاحي). كما تتميز بكونها من الدراسات الحديثة التي تواكب تطلعات "شركة خدمات الملاحة الجوية السعودية (</w:t>
      </w:r>
      <w:r w:rsidRPr="00E63780">
        <w:rPr>
          <w:rFonts w:ascii="Times New Roman" w:eastAsia="Calibri" w:hAnsi="Times New Roman" w:cs="Simplified Arabic"/>
          <w:sz w:val="24"/>
          <w:szCs w:val="28"/>
        </w:rPr>
        <w:t>SANS</w:t>
      </w:r>
      <w:r w:rsidRPr="00E63780">
        <w:rPr>
          <w:rFonts w:ascii="Times New Roman" w:eastAsia="Calibri" w:hAnsi="Times New Roman" w:cs="Simplified Arabic"/>
          <w:sz w:val="24"/>
          <w:szCs w:val="28"/>
          <w:rtl/>
        </w:rPr>
        <w:t>)" والهيئة العامة للطيران المدني في التحول نحو الأجواء الذكية، مما يمنح مخرجاتها قيمة مضافة وقابلية عالية للتطبيق الفوري في واحد من أكثر القطاعات الاستراتيجية في المملكة.</w:t>
      </w:r>
    </w:p>
    <w:p w14:paraId="6C478645"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Pr>
        <w:br w:type="page"/>
      </w:r>
    </w:p>
    <w:p w14:paraId="0EF6F8D5" w14:textId="77777777" w:rsidR="00E63780" w:rsidRPr="00E63780" w:rsidRDefault="00E63780" w:rsidP="00E63780">
      <w:pPr>
        <w:spacing w:after="240" w:line="360" w:lineRule="auto"/>
        <w:ind w:firstLine="397"/>
        <w:jc w:val="center"/>
        <w:rPr>
          <w:rFonts w:ascii="Times New Roman" w:eastAsia="Calibri" w:hAnsi="Times New Roman" w:cs="Simplified Arabic"/>
          <w:b/>
          <w:bCs/>
          <w:sz w:val="28"/>
          <w:szCs w:val="32"/>
          <w:rtl/>
        </w:rPr>
      </w:pPr>
      <w:r w:rsidRPr="00E63780">
        <w:rPr>
          <w:rFonts w:ascii="Times New Roman" w:eastAsia="Calibri" w:hAnsi="Times New Roman" w:cs="Simplified Arabic"/>
          <w:b/>
          <w:bCs/>
          <w:sz w:val="28"/>
          <w:szCs w:val="32"/>
          <w:rtl/>
        </w:rPr>
        <w:lastRenderedPageBreak/>
        <w:t>المحور الثاني: الإطار النظري للدراسة</w:t>
      </w:r>
    </w:p>
    <w:p w14:paraId="33B4CF48"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تمهيد:</w:t>
      </w:r>
    </w:p>
    <w:p w14:paraId="3A80D712"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يتناول هذا الفصل البناء النظري والمفاهيمي لمتغيرات الدراسة، حيث يستعرض في المبحث الأول ماهية التحول الرقمي وأبعاده التقنية، وينتقل في المبحث الثاني لتأصيل كفاءة إدارة مشاريع الملاحة الجوية، وصولاً للمبحث الثالث الذي يبلور العلاقة التفاعلية بينهما من منظور النظريات الإدارية الحديثة، مما يوفر قاعدة معرفية صلبة لتفسير النتائج الميدانية. </w:t>
      </w:r>
    </w:p>
    <w:p w14:paraId="7BC7A62D" w14:textId="77777777" w:rsidR="00E63780" w:rsidRPr="00E63780" w:rsidRDefault="00E63780" w:rsidP="00E63780">
      <w:pPr>
        <w:spacing w:after="240" w:line="360" w:lineRule="auto"/>
        <w:ind w:firstLine="397"/>
        <w:jc w:val="center"/>
        <w:rPr>
          <w:rFonts w:ascii="Times New Roman" w:eastAsia="Calibri" w:hAnsi="Times New Roman" w:cs="Simplified Arabic"/>
          <w:b/>
          <w:bCs/>
          <w:sz w:val="26"/>
          <w:szCs w:val="30"/>
          <w:rtl/>
        </w:rPr>
      </w:pPr>
      <w:r w:rsidRPr="00E63780">
        <w:rPr>
          <w:rFonts w:ascii="Times New Roman" w:eastAsia="Calibri" w:hAnsi="Times New Roman" w:cs="Simplified Arabic"/>
          <w:b/>
          <w:bCs/>
          <w:sz w:val="26"/>
          <w:szCs w:val="30"/>
          <w:rtl/>
        </w:rPr>
        <w:t>المبحث الأول: التحول الرقمي في قطاع الملاحة الجوية</w:t>
      </w:r>
    </w:p>
    <w:p w14:paraId="353F07FB"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1. مفهوم وفلسفة التحول الرقمي في صناعة الطيران:</w:t>
      </w:r>
    </w:p>
    <w:p w14:paraId="4E21F6EF"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يتجاوز التحول الرقمي في قطاع الطيران مجرد "</w:t>
      </w:r>
      <w:proofErr w:type="spellStart"/>
      <w:r w:rsidRPr="00E63780">
        <w:rPr>
          <w:rFonts w:ascii="Times New Roman" w:eastAsia="Calibri" w:hAnsi="Times New Roman" w:cs="Simplified Arabic"/>
          <w:sz w:val="24"/>
          <w:szCs w:val="28"/>
          <w:rtl/>
        </w:rPr>
        <w:t>الرقمنة</w:t>
      </w:r>
      <w:proofErr w:type="spellEnd"/>
      <w:r w:rsidRPr="00E63780">
        <w:rPr>
          <w:rFonts w:ascii="Times New Roman" w:eastAsia="Calibri" w:hAnsi="Times New Roman" w:cs="Simplified Arabic"/>
          <w:sz w:val="24"/>
          <w:szCs w:val="28"/>
          <w:rtl/>
        </w:rPr>
        <w:t>" التقليدية (</w:t>
      </w:r>
      <w:r w:rsidRPr="00E63780">
        <w:rPr>
          <w:rFonts w:ascii="Times New Roman" w:eastAsia="Calibri" w:hAnsi="Times New Roman" w:cs="Simplified Arabic"/>
          <w:sz w:val="24"/>
          <w:szCs w:val="28"/>
        </w:rPr>
        <w:t>Digitization</w:t>
      </w:r>
      <w:r w:rsidRPr="00E63780">
        <w:rPr>
          <w:rFonts w:ascii="Times New Roman" w:eastAsia="Calibri" w:hAnsi="Times New Roman" w:cs="Simplified Arabic"/>
          <w:sz w:val="24"/>
          <w:szCs w:val="28"/>
          <w:rtl/>
        </w:rPr>
        <w:t>)؛ إذ يمثل إعادة هندسة شاملة للنموذج التشغيلي والثقافة المؤسسية. ويؤكد (</w:t>
      </w:r>
      <w:r w:rsidRPr="00E63780">
        <w:rPr>
          <w:rFonts w:ascii="Times New Roman" w:eastAsia="Calibri" w:hAnsi="Times New Roman" w:cs="Simplified Arabic"/>
          <w:sz w:val="24"/>
          <w:szCs w:val="28"/>
        </w:rPr>
        <w:t>Verhoef et al., 2021</w:t>
      </w:r>
      <w:r w:rsidRPr="00E63780">
        <w:rPr>
          <w:rFonts w:ascii="Times New Roman" w:eastAsia="Calibri" w:hAnsi="Times New Roman" w:cs="Simplified Arabic"/>
          <w:sz w:val="24"/>
          <w:szCs w:val="28"/>
          <w:rtl/>
        </w:rPr>
        <w:t>) في كتابه حول التغيير الاستراتيجي أن التحول الرقمي هو "المرحلة التي تتبنى فيها المنشأة تقنيات تغير وجهات النظر وتخلق قيمة جديدة". وفي الملاحة الجوية، يعني هذا التحول الانتقال من الأنظمة القائمة على الصوت والتنسيق اليدوي إلى أنظمة تعتمد على البيانات الضخمة والذكاء الاصطناعي (</w:t>
      </w:r>
      <w:r w:rsidRPr="00E63780">
        <w:rPr>
          <w:rFonts w:ascii="Times New Roman" w:eastAsia="Calibri" w:hAnsi="Times New Roman" w:cs="Simplified Arabic"/>
          <w:sz w:val="24"/>
          <w:szCs w:val="28"/>
        </w:rPr>
        <w:t>SANS, 2024</w:t>
      </w:r>
      <w:r w:rsidRPr="00E63780">
        <w:rPr>
          <w:rFonts w:ascii="Times New Roman" w:eastAsia="Calibri" w:hAnsi="Times New Roman" w:cs="Simplified Arabic"/>
          <w:sz w:val="24"/>
          <w:szCs w:val="28"/>
          <w:rtl/>
        </w:rPr>
        <w:t>).</w:t>
      </w:r>
    </w:p>
    <w:p w14:paraId="080B04FF"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2. البنية التحتية الرقمية والحوسبة السحابية (</w:t>
      </w:r>
      <w:r w:rsidRPr="00E63780">
        <w:rPr>
          <w:rFonts w:ascii="Times New Roman" w:eastAsia="Calibri" w:hAnsi="Times New Roman" w:cs="Simplified Arabic"/>
          <w:b/>
          <w:bCs/>
          <w:sz w:val="24"/>
          <w:szCs w:val="28"/>
        </w:rPr>
        <w:t>Cloud Infrastructure</w:t>
      </w:r>
      <w:r w:rsidRPr="00E63780">
        <w:rPr>
          <w:rFonts w:ascii="Times New Roman" w:eastAsia="Calibri" w:hAnsi="Times New Roman" w:cs="Simplified Arabic"/>
          <w:b/>
          <w:bCs/>
          <w:sz w:val="24"/>
          <w:szCs w:val="28"/>
          <w:rtl/>
        </w:rPr>
        <w:t>):</w:t>
      </w:r>
    </w:p>
    <w:p w14:paraId="29CB59C5" w14:textId="23F2EC61"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تُعد البنية التحتية </w:t>
      </w:r>
      <w:r w:rsidR="0045641C" w:rsidRPr="0045641C">
        <w:rPr>
          <w:rFonts w:ascii="Times New Roman" w:eastAsia="Calibri" w:hAnsi="Times New Roman" w:cs="Simplified Arabic"/>
          <w:sz w:val="24"/>
          <w:szCs w:val="28"/>
          <w:rtl/>
        </w:rPr>
        <w:t xml:space="preserve">الصلبة والمرنة حجر الزاوية </w:t>
      </w:r>
      <w:proofErr w:type="spellStart"/>
      <w:r w:rsidR="0045641C" w:rsidRPr="0045641C">
        <w:rPr>
          <w:rFonts w:ascii="Times New Roman" w:eastAsia="Calibri" w:hAnsi="Times New Roman" w:cs="Simplified Arabic"/>
          <w:sz w:val="24"/>
          <w:szCs w:val="28"/>
          <w:rtl/>
        </w:rPr>
        <w:t>لرقمنة</w:t>
      </w:r>
      <w:proofErr w:type="spellEnd"/>
      <w:r w:rsidR="0045641C" w:rsidRPr="0045641C">
        <w:rPr>
          <w:rFonts w:ascii="Times New Roman" w:eastAsia="Calibri" w:hAnsi="Times New Roman" w:cs="Simplified Arabic"/>
          <w:sz w:val="24"/>
          <w:szCs w:val="28"/>
          <w:rtl/>
        </w:rPr>
        <w:t xml:space="preserve"> الملاحة. يتطلب الأمر شبكات فائقة السرعة وأنظمة تخزين سحابية تسمح بتبادل البيانات اللحظي بين مراكز المراقبة الجوية (</w:t>
      </w:r>
      <w:r w:rsidR="0045641C" w:rsidRPr="0045641C">
        <w:rPr>
          <w:rFonts w:ascii="Times New Roman" w:eastAsia="Calibri" w:hAnsi="Times New Roman" w:cs="Simplified Arabic"/>
          <w:sz w:val="24"/>
          <w:szCs w:val="28"/>
        </w:rPr>
        <w:t>ACC</w:t>
      </w:r>
      <w:r w:rsidR="0045641C" w:rsidRPr="0045641C">
        <w:rPr>
          <w:rFonts w:ascii="Times New Roman" w:eastAsia="Calibri" w:hAnsi="Times New Roman" w:cs="Simplified Arabic"/>
          <w:sz w:val="24"/>
          <w:szCs w:val="28"/>
          <w:rtl/>
        </w:rPr>
        <w:t>) والطائرات. ويشير (</w:t>
      </w:r>
      <w:r w:rsidR="0045641C" w:rsidRPr="0045641C">
        <w:rPr>
          <w:rFonts w:ascii="Times New Roman" w:eastAsia="Calibri" w:hAnsi="Times New Roman" w:cs="Simplified Arabic"/>
          <w:sz w:val="24"/>
          <w:szCs w:val="28"/>
        </w:rPr>
        <w:t>Hassan &amp; Al-Qahtani, 2023</w:t>
      </w:r>
      <w:r w:rsidR="0045641C" w:rsidRPr="0045641C">
        <w:rPr>
          <w:rFonts w:ascii="Times New Roman" w:eastAsia="Calibri" w:hAnsi="Times New Roman" w:cs="Simplified Arabic"/>
          <w:sz w:val="24"/>
          <w:szCs w:val="28"/>
          <w:rtl/>
        </w:rPr>
        <w:t xml:space="preserve">) إلى أن </w:t>
      </w:r>
      <w:r w:rsidRPr="00E63780">
        <w:rPr>
          <w:rFonts w:ascii="Times New Roman" w:eastAsia="Calibri" w:hAnsi="Times New Roman" w:cs="Simplified Arabic"/>
          <w:sz w:val="24"/>
          <w:szCs w:val="28"/>
          <w:rtl/>
        </w:rPr>
        <w:t xml:space="preserve">استثمار المملكة في البنية التحتية </w:t>
      </w:r>
      <w:r w:rsidRPr="00E63780">
        <w:rPr>
          <w:rFonts w:ascii="Times New Roman" w:eastAsia="Calibri" w:hAnsi="Times New Roman" w:cs="Simplified Arabic"/>
          <w:sz w:val="24"/>
          <w:szCs w:val="28"/>
          <w:rtl/>
        </w:rPr>
        <w:lastRenderedPageBreak/>
        <w:t>الرقمية ضمن "استراتيجية الطيران الوطنية" مكن من ربط الأنظمة الملاحية بمنصات موحدة تضمن تدفق البيانات دون انقطاع، مما يعزز الجاهزية الرقمية للمطارات السعودية.</w:t>
      </w:r>
    </w:p>
    <w:p w14:paraId="793F97B4"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3. أتمتة العمليات والأنظمة المستقلة (</w:t>
      </w:r>
      <w:r w:rsidRPr="00E63780">
        <w:rPr>
          <w:rFonts w:ascii="Times New Roman" w:eastAsia="Calibri" w:hAnsi="Times New Roman" w:cs="Simplified Arabic"/>
          <w:b/>
          <w:bCs/>
          <w:sz w:val="24"/>
          <w:szCs w:val="28"/>
        </w:rPr>
        <w:t>Autonomous Systems</w:t>
      </w:r>
      <w:r w:rsidRPr="00E63780">
        <w:rPr>
          <w:rFonts w:ascii="Times New Roman" w:eastAsia="Calibri" w:hAnsi="Times New Roman" w:cs="Simplified Arabic"/>
          <w:b/>
          <w:bCs/>
          <w:sz w:val="24"/>
          <w:szCs w:val="28"/>
          <w:rtl/>
        </w:rPr>
        <w:t>):</w:t>
      </w:r>
    </w:p>
    <w:p w14:paraId="17ABDCFD"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تهدف الأتمتة في هذا السياق إلى تقليل العبء الذهني على المراقبين الجويين ومديري المشاريع عبر أتمتة المهام المتكررة. يوضح (</w:t>
      </w:r>
      <w:r w:rsidRPr="00E63780">
        <w:rPr>
          <w:rFonts w:ascii="Times New Roman" w:eastAsia="Calibri" w:hAnsi="Times New Roman" w:cs="Simplified Arabic"/>
          <w:sz w:val="24"/>
          <w:szCs w:val="28"/>
        </w:rPr>
        <w:t>Strohmeier, 2020</w:t>
      </w:r>
      <w:r w:rsidRPr="00E63780">
        <w:rPr>
          <w:rFonts w:ascii="Times New Roman" w:eastAsia="Calibri" w:hAnsi="Times New Roman" w:cs="Simplified Arabic"/>
          <w:sz w:val="24"/>
          <w:szCs w:val="28"/>
          <w:rtl/>
        </w:rPr>
        <w:t>) أن الأتمتة الذكية تساهم في تحويل دور العنصر البشري من "المُنفذ" إلى "المُشرف". وفي مشاريع الملاحة، تبرز أنظمة (</w:t>
      </w:r>
      <w:r w:rsidRPr="00E63780">
        <w:rPr>
          <w:rFonts w:ascii="Times New Roman" w:eastAsia="Calibri" w:hAnsi="Times New Roman" w:cs="Simplified Arabic"/>
          <w:sz w:val="24"/>
          <w:szCs w:val="28"/>
        </w:rPr>
        <w:t>Electronic Flight Strips</w:t>
      </w:r>
      <w:r w:rsidRPr="00E63780">
        <w:rPr>
          <w:rFonts w:ascii="Times New Roman" w:eastAsia="Calibri" w:hAnsi="Times New Roman" w:cs="Simplified Arabic"/>
          <w:sz w:val="24"/>
          <w:szCs w:val="28"/>
          <w:rtl/>
        </w:rPr>
        <w:t>) كأداة أتمتة حيوية تضمن دقة نقل المعلومات بين القطاعات المختلفة وتحد من الخطأ البشري في إدارة البيانات.</w:t>
      </w:r>
    </w:p>
    <w:p w14:paraId="37498E7B"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4. التحليل التنبؤي والبيانات الضخمة (</w:t>
      </w:r>
      <w:r w:rsidRPr="00E63780">
        <w:rPr>
          <w:rFonts w:ascii="Times New Roman" w:eastAsia="Calibri" w:hAnsi="Times New Roman" w:cs="Simplified Arabic"/>
          <w:b/>
          <w:bCs/>
          <w:sz w:val="24"/>
          <w:szCs w:val="28"/>
        </w:rPr>
        <w:t>Predictive Analytics</w:t>
      </w:r>
      <w:r w:rsidRPr="00E63780">
        <w:rPr>
          <w:rFonts w:ascii="Times New Roman" w:eastAsia="Calibri" w:hAnsi="Times New Roman" w:cs="Simplified Arabic"/>
          <w:b/>
          <w:bCs/>
          <w:sz w:val="24"/>
          <w:szCs w:val="28"/>
          <w:rtl/>
        </w:rPr>
        <w:t>):</w:t>
      </w:r>
    </w:p>
    <w:p w14:paraId="1BEBE3D8"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يمثل التحليل التنبؤي الذكاء الكامن خلف البيانات الضخمة المستقاة من الرادارات وأنظمة الاستطلاع. ويذكر (</w:t>
      </w:r>
      <w:r w:rsidRPr="00E63780">
        <w:rPr>
          <w:rFonts w:ascii="Times New Roman" w:eastAsia="Calibri" w:hAnsi="Times New Roman" w:cs="Simplified Arabic"/>
          <w:sz w:val="24"/>
          <w:szCs w:val="28"/>
        </w:rPr>
        <w:t>Votto et al., 2021</w:t>
      </w:r>
      <w:r w:rsidRPr="00E63780">
        <w:rPr>
          <w:rFonts w:ascii="Times New Roman" w:eastAsia="Calibri" w:hAnsi="Times New Roman" w:cs="Simplified Arabic"/>
          <w:sz w:val="24"/>
          <w:szCs w:val="28"/>
          <w:rtl/>
        </w:rPr>
        <w:t>) أن القدرة على التنبؤ بالاختناقات المرورية الجوية أو الأعطال الفنية في الأجهزة الملاحية قبل وقوعها (</w:t>
      </w:r>
      <w:r w:rsidRPr="00E63780">
        <w:rPr>
          <w:rFonts w:ascii="Times New Roman" w:eastAsia="Calibri" w:hAnsi="Times New Roman" w:cs="Simplified Arabic"/>
          <w:sz w:val="24"/>
          <w:szCs w:val="28"/>
        </w:rPr>
        <w:t>Maintenance 4.0</w:t>
      </w:r>
      <w:r w:rsidRPr="00E63780">
        <w:rPr>
          <w:rFonts w:ascii="Times New Roman" w:eastAsia="Calibri" w:hAnsi="Times New Roman" w:cs="Simplified Arabic"/>
          <w:sz w:val="24"/>
          <w:szCs w:val="28"/>
          <w:rtl/>
        </w:rPr>
        <w:t>) تعزز من استمرارية الخدمة. هذه التقنيات تتيح لصناع القرار في المطارات السعودية اتخاذ قرارات استباقية مبنية على حقائق رقمية وليست تقديرات شخصية.</w:t>
      </w:r>
    </w:p>
    <w:p w14:paraId="4390A32B"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5. الأمن السيبراني الملاحي (</w:t>
      </w:r>
      <w:r w:rsidRPr="00E63780">
        <w:rPr>
          <w:rFonts w:ascii="Times New Roman" w:eastAsia="Calibri" w:hAnsi="Times New Roman" w:cs="Simplified Arabic"/>
          <w:b/>
          <w:bCs/>
          <w:sz w:val="24"/>
          <w:szCs w:val="28"/>
        </w:rPr>
        <w:t>Aviation Cyber Security</w:t>
      </w:r>
      <w:r w:rsidRPr="00E63780">
        <w:rPr>
          <w:rFonts w:ascii="Times New Roman" w:eastAsia="Calibri" w:hAnsi="Times New Roman" w:cs="Simplified Arabic"/>
          <w:b/>
          <w:bCs/>
          <w:sz w:val="24"/>
          <w:szCs w:val="28"/>
          <w:rtl/>
        </w:rPr>
        <w:t>):</w:t>
      </w:r>
    </w:p>
    <w:p w14:paraId="1ED09053"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مع تزايد الاعتماد على النظم الرقمية، يبرز تهديد الاختراقات السيبرانية. إن الأمن السيبراني في الملاحة الجوية ليس مجرد حماية للبيانات، بل هو حماية للأرواح (</w:t>
      </w:r>
      <w:r w:rsidRPr="00E63780">
        <w:rPr>
          <w:rFonts w:ascii="Times New Roman" w:eastAsia="Calibri" w:hAnsi="Times New Roman" w:cs="Simplified Arabic"/>
          <w:sz w:val="24"/>
          <w:szCs w:val="28"/>
        </w:rPr>
        <w:t>Safety-Critical Security</w:t>
      </w:r>
      <w:r w:rsidRPr="00E63780">
        <w:rPr>
          <w:rFonts w:ascii="Times New Roman" w:eastAsia="Calibri" w:hAnsi="Times New Roman" w:cs="Simplified Arabic"/>
          <w:sz w:val="24"/>
          <w:szCs w:val="28"/>
          <w:rtl/>
        </w:rPr>
        <w:t>). ويؤكد (</w:t>
      </w:r>
      <w:r w:rsidRPr="00E63780">
        <w:rPr>
          <w:rFonts w:ascii="Times New Roman" w:eastAsia="Calibri" w:hAnsi="Times New Roman" w:cs="Simplified Arabic"/>
          <w:sz w:val="24"/>
          <w:szCs w:val="28"/>
        </w:rPr>
        <w:t>Nawaz &amp; Al-Rashed, 2024</w:t>
      </w:r>
      <w:r w:rsidRPr="00E63780">
        <w:rPr>
          <w:rFonts w:ascii="Times New Roman" w:eastAsia="Calibri" w:hAnsi="Times New Roman" w:cs="Simplified Arabic"/>
          <w:sz w:val="24"/>
          <w:szCs w:val="28"/>
          <w:rtl/>
        </w:rPr>
        <w:t xml:space="preserve">) أن التحول الرقمي الآمن يتطلب بناء جدران حماية برمجية </w:t>
      </w:r>
      <w:r w:rsidRPr="00E63780">
        <w:rPr>
          <w:rFonts w:ascii="Times New Roman" w:eastAsia="Calibri" w:hAnsi="Times New Roman" w:cs="Simplified Arabic"/>
          <w:sz w:val="24"/>
          <w:szCs w:val="28"/>
          <w:rtl/>
        </w:rPr>
        <w:lastRenderedPageBreak/>
        <w:t>متطورة وفحصاً مستمراً للثغرات في بروتوكولات التواصل الملاحي لضمان سلامة المجال الجوي السعودي من أي هجمات سيبرانية.</w:t>
      </w:r>
    </w:p>
    <w:p w14:paraId="423D829D" w14:textId="77777777" w:rsidR="00E63780" w:rsidRPr="006373A5" w:rsidRDefault="00E63780" w:rsidP="008D5937">
      <w:pPr>
        <w:spacing w:after="120" w:line="240" w:lineRule="auto"/>
        <w:jc w:val="center"/>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جدول رقم (1): الفروق الجوهرية بين الإدارة التقليدية والتحول الرقمي في مشاريع الملاحة</w:t>
      </w:r>
    </w:p>
    <w:tbl>
      <w:tblPr>
        <w:tblStyle w:val="4-51"/>
        <w:bidiVisual/>
        <w:tblW w:w="0" w:type="auto"/>
        <w:tblLook w:val="04A0" w:firstRow="1" w:lastRow="0" w:firstColumn="1" w:lastColumn="0" w:noHBand="0" w:noVBand="1"/>
      </w:tblPr>
      <w:tblGrid>
        <w:gridCol w:w="1465"/>
        <w:gridCol w:w="2152"/>
        <w:gridCol w:w="2710"/>
        <w:gridCol w:w="2111"/>
      </w:tblGrid>
      <w:tr w:rsidR="00E63780" w:rsidRPr="006373A5" w14:paraId="597C8258" w14:textId="77777777" w:rsidTr="004564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C89F4B" w14:textId="77777777" w:rsidR="00E63780" w:rsidRPr="006373A5" w:rsidRDefault="00E63780" w:rsidP="0045641C">
            <w:pPr>
              <w:spacing w:after="120" w:line="240" w:lineRule="auto"/>
              <w:jc w:val="center"/>
              <w:rPr>
                <w:rFonts w:ascii="Times New Roman" w:eastAsia="Calibri" w:hAnsi="Times New Roman" w:cs="Simplified Arabic"/>
                <w:sz w:val="24"/>
                <w:szCs w:val="24"/>
                <w:rtl/>
              </w:rPr>
            </w:pPr>
            <w:r w:rsidRPr="006373A5">
              <w:rPr>
                <w:rFonts w:ascii="Times New Roman" w:eastAsia="Calibri" w:hAnsi="Times New Roman" w:cs="Simplified Arabic"/>
                <w:sz w:val="24"/>
                <w:szCs w:val="24"/>
                <w:rtl/>
              </w:rPr>
              <w:t>وجه المقارنة</w:t>
            </w:r>
          </w:p>
        </w:tc>
        <w:tc>
          <w:tcPr>
            <w:tcW w:w="0" w:type="auto"/>
            <w:vAlign w:val="center"/>
            <w:hideMark/>
          </w:tcPr>
          <w:p w14:paraId="4793ED6B" w14:textId="77777777" w:rsidR="00E63780" w:rsidRPr="006373A5" w:rsidRDefault="00E63780" w:rsidP="0045641C">
            <w:pPr>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tl/>
              </w:rPr>
            </w:pPr>
            <w:r w:rsidRPr="006373A5">
              <w:rPr>
                <w:rFonts w:ascii="Times New Roman" w:eastAsia="Calibri" w:hAnsi="Times New Roman" w:cs="Simplified Arabic"/>
                <w:sz w:val="24"/>
                <w:szCs w:val="24"/>
                <w:rtl/>
              </w:rPr>
              <w:t>الإدارة التقليدية (</w:t>
            </w:r>
            <w:r w:rsidRPr="006373A5">
              <w:rPr>
                <w:rFonts w:ascii="Times New Roman" w:eastAsia="Calibri" w:hAnsi="Times New Roman" w:cs="Simplified Arabic"/>
                <w:sz w:val="24"/>
                <w:szCs w:val="24"/>
              </w:rPr>
              <w:t>Analog</w:t>
            </w:r>
            <w:r w:rsidRPr="006373A5">
              <w:rPr>
                <w:rFonts w:ascii="Times New Roman" w:eastAsia="Calibri" w:hAnsi="Times New Roman" w:cs="Simplified Arabic"/>
                <w:sz w:val="24"/>
                <w:szCs w:val="24"/>
                <w:rtl/>
              </w:rPr>
              <w:t>)</w:t>
            </w:r>
          </w:p>
        </w:tc>
        <w:tc>
          <w:tcPr>
            <w:tcW w:w="0" w:type="auto"/>
            <w:vAlign w:val="center"/>
            <w:hideMark/>
          </w:tcPr>
          <w:p w14:paraId="1107EE4D" w14:textId="77777777" w:rsidR="00E63780" w:rsidRPr="006373A5" w:rsidRDefault="00E63780" w:rsidP="0045641C">
            <w:pPr>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tl/>
              </w:rPr>
            </w:pPr>
            <w:r w:rsidRPr="006373A5">
              <w:rPr>
                <w:rFonts w:ascii="Times New Roman" w:eastAsia="Calibri" w:hAnsi="Times New Roman" w:cs="Simplified Arabic"/>
                <w:sz w:val="24"/>
                <w:szCs w:val="24"/>
                <w:rtl/>
              </w:rPr>
              <w:t>التحول الرقمي (</w:t>
            </w:r>
            <w:r w:rsidRPr="006373A5">
              <w:rPr>
                <w:rFonts w:ascii="Times New Roman" w:eastAsia="Calibri" w:hAnsi="Times New Roman" w:cs="Simplified Arabic"/>
                <w:sz w:val="24"/>
                <w:szCs w:val="24"/>
              </w:rPr>
              <w:t>Smart/Digital</w:t>
            </w:r>
            <w:r w:rsidRPr="006373A5">
              <w:rPr>
                <w:rFonts w:ascii="Times New Roman" w:eastAsia="Calibri" w:hAnsi="Times New Roman" w:cs="Simplified Arabic"/>
                <w:sz w:val="24"/>
                <w:szCs w:val="24"/>
                <w:rtl/>
              </w:rPr>
              <w:t>)</w:t>
            </w:r>
          </w:p>
        </w:tc>
        <w:tc>
          <w:tcPr>
            <w:tcW w:w="0" w:type="auto"/>
            <w:vAlign w:val="center"/>
            <w:hideMark/>
          </w:tcPr>
          <w:p w14:paraId="784DBDEF" w14:textId="77777777" w:rsidR="00E63780" w:rsidRPr="006373A5" w:rsidRDefault="00E63780" w:rsidP="0045641C">
            <w:pPr>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tl/>
              </w:rPr>
            </w:pPr>
            <w:r w:rsidRPr="006373A5">
              <w:rPr>
                <w:rFonts w:ascii="Times New Roman" w:eastAsia="Calibri" w:hAnsi="Times New Roman" w:cs="Simplified Arabic"/>
                <w:sz w:val="24"/>
                <w:szCs w:val="24"/>
                <w:rtl/>
              </w:rPr>
              <w:t>المصدر</w:t>
            </w:r>
          </w:p>
        </w:tc>
      </w:tr>
      <w:tr w:rsidR="00E63780" w:rsidRPr="006373A5" w14:paraId="4893A2B5" w14:textId="77777777" w:rsidTr="004564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A14203" w14:textId="77777777" w:rsidR="00E63780" w:rsidRPr="006373A5" w:rsidRDefault="00E63780" w:rsidP="0045641C">
            <w:pPr>
              <w:spacing w:after="120" w:line="240" w:lineRule="auto"/>
              <w:jc w:val="center"/>
              <w:rPr>
                <w:rFonts w:ascii="Times New Roman" w:eastAsia="Calibri" w:hAnsi="Times New Roman" w:cs="Simplified Arabic"/>
                <w:sz w:val="24"/>
                <w:szCs w:val="24"/>
                <w:rtl/>
              </w:rPr>
            </w:pPr>
            <w:r w:rsidRPr="006373A5">
              <w:rPr>
                <w:rFonts w:ascii="Times New Roman" w:eastAsia="Calibri" w:hAnsi="Times New Roman" w:cs="Simplified Arabic"/>
                <w:sz w:val="24"/>
                <w:szCs w:val="24"/>
                <w:rtl/>
              </w:rPr>
              <w:t>سرعة تدفق البيانات</w:t>
            </w:r>
          </w:p>
        </w:tc>
        <w:tc>
          <w:tcPr>
            <w:tcW w:w="0" w:type="auto"/>
            <w:vAlign w:val="center"/>
            <w:hideMark/>
          </w:tcPr>
          <w:p w14:paraId="7D6E30F9" w14:textId="77777777" w:rsidR="00E63780" w:rsidRPr="006373A5"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بطيئة/ يدوية (</w:t>
            </w:r>
            <w:r w:rsidRPr="006373A5">
              <w:rPr>
                <w:rFonts w:ascii="Times New Roman" w:eastAsia="Calibri" w:hAnsi="Times New Roman" w:cs="Simplified Arabic"/>
                <w:b/>
                <w:bCs/>
                <w:sz w:val="24"/>
                <w:szCs w:val="24"/>
              </w:rPr>
              <w:t>Paper-based</w:t>
            </w:r>
            <w:r w:rsidRPr="006373A5">
              <w:rPr>
                <w:rFonts w:ascii="Times New Roman" w:eastAsia="Calibri" w:hAnsi="Times New Roman" w:cs="Simplified Arabic"/>
                <w:b/>
                <w:bCs/>
                <w:sz w:val="24"/>
                <w:szCs w:val="24"/>
                <w:rtl/>
              </w:rPr>
              <w:t>)</w:t>
            </w:r>
          </w:p>
        </w:tc>
        <w:tc>
          <w:tcPr>
            <w:tcW w:w="0" w:type="auto"/>
            <w:vAlign w:val="center"/>
            <w:hideMark/>
          </w:tcPr>
          <w:p w14:paraId="0759B007" w14:textId="77777777" w:rsidR="00E63780" w:rsidRPr="006373A5"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لحظية (</w:t>
            </w:r>
            <w:r w:rsidRPr="006373A5">
              <w:rPr>
                <w:rFonts w:ascii="Times New Roman" w:eastAsia="Calibri" w:hAnsi="Times New Roman" w:cs="Simplified Arabic"/>
                <w:b/>
                <w:bCs/>
                <w:sz w:val="24"/>
                <w:szCs w:val="24"/>
              </w:rPr>
              <w:t>Real-time data stream</w:t>
            </w:r>
            <w:r w:rsidRPr="006373A5">
              <w:rPr>
                <w:rFonts w:ascii="Times New Roman" w:eastAsia="Calibri" w:hAnsi="Times New Roman" w:cs="Simplified Arabic"/>
                <w:b/>
                <w:bCs/>
                <w:sz w:val="24"/>
                <w:szCs w:val="24"/>
                <w:rtl/>
              </w:rPr>
              <w:t>)</w:t>
            </w:r>
          </w:p>
        </w:tc>
        <w:tc>
          <w:tcPr>
            <w:tcW w:w="0" w:type="auto"/>
            <w:vAlign w:val="center"/>
            <w:hideMark/>
          </w:tcPr>
          <w:p w14:paraId="16C2C1DB" w14:textId="77777777" w:rsidR="00E63780" w:rsidRPr="006373A5"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(العتيبي، 2023)</w:t>
            </w:r>
          </w:p>
        </w:tc>
      </w:tr>
      <w:tr w:rsidR="00E63780" w:rsidRPr="006373A5" w14:paraId="6FBDED7E" w14:textId="77777777" w:rsidTr="0045641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D5E3C7" w14:textId="77777777" w:rsidR="00E63780" w:rsidRPr="006373A5" w:rsidRDefault="00E63780" w:rsidP="0045641C">
            <w:pPr>
              <w:spacing w:after="120" w:line="240" w:lineRule="auto"/>
              <w:jc w:val="center"/>
              <w:rPr>
                <w:rFonts w:ascii="Times New Roman" w:eastAsia="Calibri" w:hAnsi="Times New Roman" w:cs="Simplified Arabic"/>
                <w:sz w:val="24"/>
                <w:szCs w:val="24"/>
                <w:rtl/>
              </w:rPr>
            </w:pPr>
            <w:r w:rsidRPr="006373A5">
              <w:rPr>
                <w:rFonts w:ascii="Times New Roman" w:eastAsia="Calibri" w:hAnsi="Times New Roman" w:cs="Simplified Arabic"/>
                <w:sz w:val="24"/>
                <w:szCs w:val="24"/>
                <w:rtl/>
              </w:rPr>
              <w:t>دقة التنبؤ</w:t>
            </w:r>
          </w:p>
        </w:tc>
        <w:tc>
          <w:tcPr>
            <w:tcW w:w="0" w:type="auto"/>
            <w:vAlign w:val="center"/>
            <w:hideMark/>
          </w:tcPr>
          <w:p w14:paraId="429023F5" w14:textId="77777777" w:rsidR="00E63780" w:rsidRPr="006373A5"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تعتمد على الخبرة الشخصية</w:t>
            </w:r>
          </w:p>
        </w:tc>
        <w:tc>
          <w:tcPr>
            <w:tcW w:w="0" w:type="auto"/>
            <w:vAlign w:val="center"/>
            <w:hideMark/>
          </w:tcPr>
          <w:p w14:paraId="2EC03F9A" w14:textId="77777777" w:rsidR="00E63780" w:rsidRPr="006373A5"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 xml:space="preserve">تعتمد على خوارزميات </w:t>
            </w:r>
            <w:r w:rsidRPr="006373A5">
              <w:rPr>
                <w:rFonts w:ascii="Times New Roman" w:eastAsia="Calibri" w:hAnsi="Times New Roman" w:cs="Simplified Arabic"/>
                <w:b/>
                <w:bCs/>
                <w:sz w:val="24"/>
                <w:szCs w:val="24"/>
              </w:rPr>
              <w:t>AI</w:t>
            </w:r>
          </w:p>
        </w:tc>
        <w:tc>
          <w:tcPr>
            <w:tcW w:w="0" w:type="auto"/>
            <w:vAlign w:val="center"/>
            <w:hideMark/>
          </w:tcPr>
          <w:p w14:paraId="2054C95E" w14:textId="77777777" w:rsidR="00E63780" w:rsidRPr="006373A5"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w:t>
            </w:r>
            <w:r w:rsidRPr="006373A5">
              <w:rPr>
                <w:rFonts w:ascii="Times New Roman" w:eastAsia="Calibri" w:hAnsi="Times New Roman" w:cs="Simplified Arabic"/>
                <w:b/>
                <w:bCs/>
                <w:sz w:val="24"/>
                <w:szCs w:val="24"/>
              </w:rPr>
              <w:t>Jacobs et al., 2023</w:t>
            </w:r>
            <w:r w:rsidRPr="006373A5">
              <w:rPr>
                <w:rFonts w:ascii="Times New Roman" w:eastAsia="Calibri" w:hAnsi="Times New Roman" w:cs="Simplified Arabic"/>
                <w:b/>
                <w:bCs/>
                <w:sz w:val="24"/>
                <w:szCs w:val="24"/>
                <w:rtl/>
              </w:rPr>
              <w:t>)</w:t>
            </w:r>
          </w:p>
        </w:tc>
      </w:tr>
      <w:tr w:rsidR="00E63780" w:rsidRPr="006373A5" w14:paraId="4FC3CCCE" w14:textId="77777777" w:rsidTr="004564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4CEC83" w14:textId="77777777" w:rsidR="00E63780" w:rsidRPr="006373A5" w:rsidRDefault="00E63780" w:rsidP="0045641C">
            <w:pPr>
              <w:spacing w:after="120" w:line="240" w:lineRule="auto"/>
              <w:jc w:val="center"/>
              <w:rPr>
                <w:rFonts w:ascii="Times New Roman" w:eastAsia="Calibri" w:hAnsi="Times New Roman" w:cs="Simplified Arabic"/>
                <w:sz w:val="24"/>
                <w:szCs w:val="24"/>
                <w:rtl/>
              </w:rPr>
            </w:pPr>
            <w:r w:rsidRPr="006373A5">
              <w:rPr>
                <w:rFonts w:ascii="Times New Roman" w:eastAsia="Calibri" w:hAnsi="Times New Roman" w:cs="Simplified Arabic"/>
                <w:sz w:val="24"/>
                <w:szCs w:val="24"/>
                <w:rtl/>
              </w:rPr>
              <w:t>التنسيق بين الأطراف</w:t>
            </w:r>
          </w:p>
        </w:tc>
        <w:tc>
          <w:tcPr>
            <w:tcW w:w="0" w:type="auto"/>
            <w:vAlign w:val="center"/>
            <w:hideMark/>
          </w:tcPr>
          <w:p w14:paraId="761A5399" w14:textId="77777777" w:rsidR="00E63780" w:rsidRPr="006373A5"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مركزي/ خطي</w:t>
            </w:r>
          </w:p>
        </w:tc>
        <w:tc>
          <w:tcPr>
            <w:tcW w:w="0" w:type="auto"/>
            <w:vAlign w:val="center"/>
            <w:hideMark/>
          </w:tcPr>
          <w:p w14:paraId="6B061801" w14:textId="77777777" w:rsidR="00E63780" w:rsidRPr="006373A5"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شبكي/ تكاملي (</w:t>
            </w:r>
            <w:r w:rsidRPr="006373A5">
              <w:rPr>
                <w:rFonts w:ascii="Times New Roman" w:eastAsia="Calibri" w:hAnsi="Times New Roman" w:cs="Simplified Arabic"/>
                <w:b/>
                <w:bCs/>
                <w:sz w:val="24"/>
                <w:szCs w:val="24"/>
              </w:rPr>
              <w:t>Cloud-based</w:t>
            </w:r>
            <w:r w:rsidRPr="006373A5">
              <w:rPr>
                <w:rFonts w:ascii="Times New Roman" w:eastAsia="Calibri" w:hAnsi="Times New Roman" w:cs="Simplified Arabic"/>
                <w:b/>
                <w:bCs/>
                <w:sz w:val="24"/>
                <w:szCs w:val="24"/>
                <w:rtl/>
              </w:rPr>
              <w:t>)</w:t>
            </w:r>
          </w:p>
        </w:tc>
        <w:tc>
          <w:tcPr>
            <w:tcW w:w="0" w:type="auto"/>
            <w:vAlign w:val="center"/>
            <w:hideMark/>
          </w:tcPr>
          <w:p w14:paraId="63D3CF47" w14:textId="77777777" w:rsidR="00E63780" w:rsidRPr="006373A5"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w:t>
            </w:r>
            <w:r w:rsidRPr="006373A5">
              <w:rPr>
                <w:rFonts w:ascii="Times New Roman" w:eastAsia="Calibri" w:hAnsi="Times New Roman" w:cs="Simplified Arabic"/>
                <w:b/>
                <w:bCs/>
                <w:sz w:val="24"/>
                <w:szCs w:val="24"/>
              </w:rPr>
              <w:t>Hesselink et al., 2023</w:t>
            </w:r>
            <w:r w:rsidRPr="006373A5">
              <w:rPr>
                <w:rFonts w:ascii="Times New Roman" w:eastAsia="Calibri" w:hAnsi="Times New Roman" w:cs="Simplified Arabic"/>
                <w:b/>
                <w:bCs/>
                <w:sz w:val="24"/>
                <w:szCs w:val="24"/>
                <w:rtl/>
              </w:rPr>
              <w:t>)</w:t>
            </w:r>
          </w:p>
        </w:tc>
      </w:tr>
      <w:tr w:rsidR="00E63780" w:rsidRPr="006373A5" w14:paraId="718BB7CD" w14:textId="77777777" w:rsidTr="0045641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94D7E6" w14:textId="77777777" w:rsidR="00E63780" w:rsidRPr="006373A5" w:rsidRDefault="00E63780" w:rsidP="0045641C">
            <w:pPr>
              <w:spacing w:after="120" w:line="240" w:lineRule="auto"/>
              <w:jc w:val="center"/>
              <w:rPr>
                <w:rFonts w:ascii="Times New Roman" w:eastAsia="Calibri" w:hAnsi="Times New Roman" w:cs="Simplified Arabic"/>
                <w:sz w:val="24"/>
                <w:szCs w:val="24"/>
                <w:rtl/>
              </w:rPr>
            </w:pPr>
            <w:r w:rsidRPr="006373A5">
              <w:rPr>
                <w:rFonts w:ascii="Times New Roman" w:eastAsia="Calibri" w:hAnsi="Times New Roman" w:cs="Simplified Arabic"/>
                <w:sz w:val="24"/>
                <w:szCs w:val="24"/>
                <w:rtl/>
              </w:rPr>
              <w:t>مخاطر السلامة</w:t>
            </w:r>
          </w:p>
        </w:tc>
        <w:tc>
          <w:tcPr>
            <w:tcW w:w="0" w:type="auto"/>
            <w:vAlign w:val="center"/>
            <w:hideMark/>
          </w:tcPr>
          <w:p w14:paraId="5A2B5CF5" w14:textId="77777777" w:rsidR="00E63780" w:rsidRPr="006373A5"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مرتفعة بسبب الخطأ البشري</w:t>
            </w:r>
          </w:p>
        </w:tc>
        <w:tc>
          <w:tcPr>
            <w:tcW w:w="0" w:type="auto"/>
            <w:vAlign w:val="center"/>
            <w:hideMark/>
          </w:tcPr>
          <w:p w14:paraId="4C9A0B01" w14:textId="77777777" w:rsidR="00E63780" w:rsidRPr="006373A5"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منخفضة بسبب الأتمتة الذكية</w:t>
            </w:r>
          </w:p>
        </w:tc>
        <w:tc>
          <w:tcPr>
            <w:tcW w:w="0" w:type="auto"/>
            <w:vAlign w:val="center"/>
            <w:hideMark/>
          </w:tcPr>
          <w:p w14:paraId="4CA503B3" w14:textId="77777777" w:rsidR="00E63780" w:rsidRPr="006373A5"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6373A5">
              <w:rPr>
                <w:rFonts w:ascii="Times New Roman" w:eastAsia="Calibri" w:hAnsi="Times New Roman" w:cs="Simplified Arabic"/>
                <w:b/>
                <w:bCs/>
                <w:sz w:val="24"/>
                <w:szCs w:val="24"/>
                <w:rtl/>
              </w:rPr>
              <w:t>(</w:t>
            </w:r>
            <w:r w:rsidRPr="006373A5">
              <w:rPr>
                <w:rFonts w:ascii="Times New Roman" w:eastAsia="Calibri" w:hAnsi="Times New Roman" w:cs="Simplified Arabic"/>
                <w:b/>
                <w:bCs/>
                <w:sz w:val="24"/>
                <w:szCs w:val="24"/>
              </w:rPr>
              <w:t>Al-Shehri, 2024</w:t>
            </w:r>
            <w:r w:rsidRPr="006373A5">
              <w:rPr>
                <w:rFonts w:ascii="Times New Roman" w:eastAsia="Calibri" w:hAnsi="Times New Roman" w:cs="Simplified Arabic"/>
                <w:b/>
                <w:bCs/>
                <w:sz w:val="24"/>
                <w:szCs w:val="24"/>
                <w:rtl/>
              </w:rPr>
              <w:t>)</w:t>
            </w:r>
          </w:p>
        </w:tc>
      </w:tr>
    </w:tbl>
    <w:p w14:paraId="18172225"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يوضح الجدول أعلاه انتقال مفهوم إدارة مشاريع الملاحة من العشوائية والبطء التقليدي إلى الدقة والسرعة الرقمية، مما يبرز الأهمية الاستراتيجية للتحول الرقمي في تحقيق الكفاءة والحد من المخاطر التشغيلية.</w:t>
      </w:r>
    </w:p>
    <w:p w14:paraId="4A85A3DB"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hint="cs"/>
          <w:b/>
          <w:bCs/>
          <w:sz w:val="24"/>
          <w:szCs w:val="28"/>
          <w:rtl/>
        </w:rPr>
        <w:t>تحليل تعقيبي على المبحث الأول:</w:t>
      </w:r>
    </w:p>
    <w:p w14:paraId="03EBEE2A"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hint="cs"/>
          <w:sz w:val="24"/>
          <w:szCs w:val="28"/>
          <w:rtl/>
        </w:rPr>
        <w:t>ت</w:t>
      </w:r>
      <w:r w:rsidRPr="00E63780">
        <w:rPr>
          <w:rFonts w:ascii="Times New Roman" w:eastAsia="Calibri" w:hAnsi="Times New Roman" w:cs="Simplified Arabic"/>
          <w:sz w:val="24"/>
          <w:szCs w:val="28"/>
          <w:rtl/>
        </w:rPr>
        <w:t>رى الباحث</w:t>
      </w:r>
      <w:r w:rsidRPr="00E63780">
        <w:rPr>
          <w:rFonts w:ascii="Times New Roman" w:eastAsia="Calibri" w:hAnsi="Times New Roman" w:cs="Simplified Arabic" w:hint="cs"/>
          <w:sz w:val="24"/>
          <w:szCs w:val="28"/>
          <w:rtl/>
        </w:rPr>
        <w:t>ة</w:t>
      </w:r>
      <w:r w:rsidRPr="00E63780">
        <w:rPr>
          <w:rFonts w:ascii="Times New Roman" w:eastAsia="Calibri" w:hAnsi="Times New Roman" w:cs="Simplified Arabic"/>
          <w:sz w:val="24"/>
          <w:szCs w:val="28"/>
          <w:rtl/>
        </w:rPr>
        <w:t xml:space="preserve"> أن التحول الرقمي في قطاع الملاحة الجوية السعودية ليس مجرد عملية "تحديث تقني"، بل هو إعادة صياغة جذرية لمفهوم "السيادة الجوية الرقمية". </w:t>
      </w:r>
      <w:r w:rsidRPr="00E63780">
        <w:rPr>
          <w:rFonts w:ascii="Times New Roman" w:eastAsia="Calibri" w:hAnsi="Times New Roman" w:cs="Simplified Arabic" w:hint="cs"/>
          <w:sz w:val="24"/>
          <w:szCs w:val="28"/>
          <w:rtl/>
        </w:rPr>
        <w:t xml:space="preserve">إذ تمثل </w:t>
      </w:r>
      <w:r w:rsidRPr="00E63780">
        <w:rPr>
          <w:rFonts w:ascii="Times New Roman" w:eastAsia="Calibri" w:hAnsi="Times New Roman" w:cs="Simplified Arabic"/>
          <w:sz w:val="24"/>
          <w:szCs w:val="28"/>
          <w:rtl/>
        </w:rPr>
        <w:t>أبعاد التحول الرقمي (البنية، الأتمتة، التنبؤ، الأمن) منظومة متكاملة؛ فلا يمكن الحديث عن أتمتة ناجحة دون بنية تحتية صلبة، ولا يمكن الركون إلى التحليل التنبؤي دون أمن سيبراني يحمي تلك البيانات. ومن وجهة نظر الباحث، فإن التحدي الأكبر يكمن في "الفجوة المهارية"، حيث يتطلب هذا التحول كوادر وطنية قادرة على إدارة "الأنظمة الهجينة" التي تجمع بين الإدارة الهندسية والذكاء الاصطناعي.</w:t>
      </w:r>
    </w:p>
    <w:p w14:paraId="19778DCC" w14:textId="77777777" w:rsidR="00E63780" w:rsidRPr="00E63780" w:rsidRDefault="00E63780" w:rsidP="00E63780">
      <w:pPr>
        <w:spacing w:after="240" w:line="360" w:lineRule="auto"/>
        <w:ind w:firstLine="397"/>
        <w:jc w:val="center"/>
        <w:rPr>
          <w:rFonts w:ascii="Times New Roman" w:eastAsia="Calibri" w:hAnsi="Times New Roman" w:cs="Simplified Arabic"/>
          <w:b/>
          <w:bCs/>
          <w:sz w:val="28"/>
          <w:szCs w:val="32"/>
          <w:rtl/>
        </w:rPr>
      </w:pPr>
      <w:r w:rsidRPr="00E63780">
        <w:rPr>
          <w:rFonts w:ascii="Times New Roman" w:eastAsia="Calibri" w:hAnsi="Times New Roman" w:cs="Simplified Arabic"/>
          <w:b/>
          <w:bCs/>
          <w:sz w:val="28"/>
          <w:szCs w:val="32"/>
          <w:rtl/>
        </w:rPr>
        <w:lastRenderedPageBreak/>
        <w:t>المبحث الثاني: كفاءة إدارة مشاريع أنظمة الملاحة الجوية</w:t>
      </w:r>
    </w:p>
    <w:p w14:paraId="1A87876E"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1. ماهية كفاءة إدارة المشاريع في القطاعات عالية الموثوقية:</w:t>
      </w:r>
    </w:p>
    <w:p w14:paraId="5C6342E7" w14:textId="65F4B93E"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تُعد إدارة مشاريع الملاحة الجوية من فئة الإدارة في "الأنظمة عالية الموثوقية" (</w:t>
      </w:r>
      <w:r w:rsidRPr="00E63780">
        <w:rPr>
          <w:rFonts w:ascii="Times New Roman" w:eastAsia="Calibri" w:hAnsi="Times New Roman" w:cs="Simplified Arabic"/>
          <w:sz w:val="24"/>
          <w:szCs w:val="28"/>
        </w:rPr>
        <w:t>High-Reliability Organizations</w:t>
      </w:r>
      <w:r w:rsidRPr="00E63780">
        <w:rPr>
          <w:rFonts w:ascii="Times New Roman" w:eastAsia="Calibri" w:hAnsi="Times New Roman" w:cs="Simplified Arabic"/>
          <w:sz w:val="24"/>
          <w:szCs w:val="28"/>
          <w:rtl/>
        </w:rPr>
        <w:t>)، حيث لا مجال للخطأ. وتعرف الكفاءة هنا بأنها</w:t>
      </w:r>
      <w:r w:rsidR="006D4186">
        <w:rPr>
          <w:rFonts w:ascii="Times New Roman" w:eastAsia="Calibri" w:hAnsi="Times New Roman" w:cs="Simplified Arabic" w:hint="cs"/>
          <w:sz w:val="24"/>
          <w:szCs w:val="28"/>
          <w:rtl/>
        </w:rPr>
        <w:t>:</w:t>
      </w:r>
      <w:r w:rsidRPr="00E63780">
        <w:rPr>
          <w:rFonts w:ascii="Times New Roman" w:eastAsia="Calibri" w:hAnsi="Times New Roman" w:cs="Simplified Arabic"/>
          <w:sz w:val="24"/>
          <w:szCs w:val="28"/>
          <w:rtl/>
        </w:rPr>
        <w:t xml:space="preserve"> الاستغلال الأمثل للموارد التقنية والبشرية والمالية لتحقيق أهداف المشروع ضمن معايير زمنية وفنية صارمة (</w:t>
      </w:r>
      <w:r w:rsidRPr="00E63780">
        <w:rPr>
          <w:rFonts w:ascii="Times New Roman" w:eastAsia="Calibri" w:hAnsi="Times New Roman" w:cs="Simplified Arabic"/>
          <w:sz w:val="24"/>
          <w:szCs w:val="28"/>
        </w:rPr>
        <w:t>Kerzner, 2023</w:t>
      </w:r>
      <w:r w:rsidRPr="00E63780">
        <w:rPr>
          <w:rFonts w:ascii="Times New Roman" w:eastAsia="Calibri" w:hAnsi="Times New Roman" w:cs="Simplified Arabic"/>
          <w:sz w:val="24"/>
          <w:szCs w:val="28"/>
          <w:rtl/>
        </w:rPr>
        <w:t>). ويؤكد (</w:t>
      </w:r>
      <w:r w:rsidRPr="00E63780">
        <w:rPr>
          <w:rFonts w:ascii="Times New Roman" w:eastAsia="Calibri" w:hAnsi="Times New Roman" w:cs="Simplified Arabic"/>
          <w:sz w:val="24"/>
          <w:szCs w:val="28"/>
        </w:rPr>
        <w:t>Wysocki, 2019</w:t>
      </w:r>
      <w:r w:rsidRPr="00E63780">
        <w:rPr>
          <w:rFonts w:ascii="Times New Roman" w:eastAsia="Calibri" w:hAnsi="Times New Roman" w:cs="Simplified Arabic"/>
          <w:sz w:val="24"/>
          <w:szCs w:val="28"/>
          <w:rtl/>
        </w:rPr>
        <w:t>) أن الكفاءة في المشاريع المعقدة لا تقاس فقط بمثلث القيود التقليدي (الوقت، التكلفة، الجودة)، بل بمدى قدرة المشروع على التكيف مع المتغيرات الفنية الطارئة دون المساس بسلامة العمليات الجوية.</w:t>
      </w:r>
    </w:p>
    <w:p w14:paraId="670A7DBE"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2. خصوصية دورة حياة مشاريع أنظمة الملاحة (</w:t>
      </w:r>
      <w:r w:rsidRPr="00E63780">
        <w:rPr>
          <w:rFonts w:ascii="Times New Roman" w:eastAsia="Calibri" w:hAnsi="Times New Roman" w:cs="Simplified Arabic"/>
          <w:b/>
          <w:bCs/>
          <w:sz w:val="24"/>
          <w:szCs w:val="28"/>
        </w:rPr>
        <w:t>CNS/ATM</w:t>
      </w:r>
      <w:r w:rsidRPr="00E63780">
        <w:rPr>
          <w:rFonts w:ascii="Times New Roman" w:eastAsia="Calibri" w:hAnsi="Times New Roman" w:cs="Simplified Arabic"/>
          <w:b/>
          <w:bCs/>
          <w:sz w:val="24"/>
          <w:szCs w:val="28"/>
          <w:rtl/>
        </w:rPr>
        <w:t>):</w:t>
      </w:r>
    </w:p>
    <w:p w14:paraId="1886DC76"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تتميز مشاريع أنظمة الملاحة (الاتصالات، الملاحة، الاستطلاع، وإدارة الحركة الجوية) بدورة حياة معقدة تتطلب تنسيقاً فائقاً. ويشير (</w:t>
      </w:r>
      <w:r w:rsidRPr="00E63780">
        <w:rPr>
          <w:rFonts w:ascii="Times New Roman" w:eastAsia="Calibri" w:hAnsi="Times New Roman" w:cs="Simplified Arabic"/>
          <w:sz w:val="24"/>
          <w:szCs w:val="28"/>
        </w:rPr>
        <w:t>Al-Shehri, 2024</w:t>
      </w:r>
      <w:r w:rsidRPr="00E63780">
        <w:rPr>
          <w:rFonts w:ascii="Times New Roman" w:eastAsia="Calibri" w:hAnsi="Times New Roman" w:cs="Simplified Arabic"/>
          <w:sz w:val="24"/>
          <w:szCs w:val="28"/>
          <w:rtl/>
        </w:rPr>
        <w:t>) إلى أن هذه المشاريع تمر بمراحل دقيقة تبدأ من تحديد المتطلبات التشغيلية (</w:t>
      </w:r>
      <w:r w:rsidRPr="00E63780">
        <w:rPr>
          <w:rFonts w:ascii="Times New Roman" w:eastAsia="Calibri" w:hAnsi="Times New Roman" w:cs="Simplified Arabic"/>
          <w:sz w:val="24"/>
          <w:szCs w:val="28"/>
        </w:rPr>
        <w:t>ORs</w:t>
      </w:r>
      <w:r w:rsidRPr="00E63780">
        <w:rPr>
          <w:rFonts w:ascii="Times New Roman" w:eastAsia="Calibri" w:hAnsi="Times New Roman" w:cs="Simplified Arabic"/>
          <w:sz w:val="24"/>
          <w:szCs w:val="28"/>
          <w:rtl/>
        </w:rPr>
        <w:t>) وصولاً إلى مرحلة القبول الميداني (</w:t>
      </w:r>
      <w:r w:rsidRPr="00E63780">
        <w:rPr>
          <w:rFonts w:ascii="Times New Roman" w:eastAsia="Calibri" w:hAnsi="Times New Roman" w:cs="Simplified Arabic"/>
          <w:sz w:val="24"/>
          <w:szCs w:val="28"/>
        </w:rPr>
        <w:t>SAT</w:t>
      </w:r>
      <w:r w:rsidRPr="00E63780">
        <w:rPr>
          <w:rFonts w:ascii="Times New Roman" w:eastAsia="Calibri" w:hAnsi="Times New Roman" w:cs="Simplified Arabic"/>
          <w:sz w:val="24"/>
          <w:szCs w:val="28"/>
          <w:rtl/>
        </w:rPr>
        <w:t>). وتتجلى الكفاءة في هذه المراحل عبر تقليل زمن الانتقال من الأنظمة القديمة (</w:t>
      </w:r>
      <w:r w:rsidRPr="00E63780">
        <w:rPr>
          <w:rFonts w:ascii="Times New Roman" w:eastAsia="Calibri" w:hAnsi="Times New Roman" w:cs="Simplified Arabic"/>
          <w:sz w:val="24"/>
          <w:szCs w:val="28"/>
        </w:rPr>
        <w:t>Legacy Systems</w:t>
      </w:r>
      <w:r w:rsidRPr="00E63780">
        <w:rPr>
          <w:rFonts w:ascii="Times New Roman" w:eastAsia="Calibri" w:hAnsi="Times New Roman" w:cs="Simplified Arabic"/>
          <w:sz w:val="24"/>
          <w:szCs w:val="28"/>
          <w:rtl/>
        </w:rPr>
        <w:t>) إلى الأنظمة الحديثة دون حدوث انقطاع في الخدمة الملاحية، وهو ما تبرع فيه الكوادر السعودية في شركة "</w:t>
      </w:r>
      <w:proofErr w:type="spellStart"/>
      <w:r w:rsidRPr="00E63780">
        <w:rPr>
          <w:rFonts w:ascii="Times New Roman" w:eastAsia="Calibri" w:hAnsi="Times New Roman" w:cs="Simplified Arabic"/>
          <w:sz w:val="24"/>
          <w:szCs w:val="28"/>
          <w:rtl/>
        </w:rPr>
        <w:t>نيرس</w:t>
      </w:r>
      <w:proofErr w:type="spellEnd"/>
      <w:r w:rsidRPr="00E63780">
        <w:rPr>
          <w:rFonts w:ascii="Times New Roman" w:eastAsia="Calibri" w:hAnsi="Times New Roman" w:cs="Simplified Arabic"/>
          <w:sz w:val="24"/>
          <w:szCs w:val="28"/>
          <w:rtl/>
        </w:rPr>
        <w:t>" (</w:t>
      </w:r>
      <w:r w:rsidRPr="00E63780">
        <w:rPr>
          <w:rFonts w:ascii="Times New Roman" w:eastAsia="Calibri" w:hAnsi="Times New Roman" w:cs="Simplified Arabic"/>
          <w:sz w:val="24"/>
          <w:szCs w:val="28"/>
        </w:rPr>
        <w:t>SANS, 2024</w:t>
      </w:r>
      <w:r w:rsidRPr="00E63780">
        <w:rPr>
          <w:rFonts w:ascii="Times New Roman" w:eastAsia="Calibri" w:hAnsi="Times New Roman" w:cs="Simplified Arabic"/>
          <w:sz w:val="24"/>
          <w:szCs w:val="28"/>
          <w:rtl/>
        </w:rPr>
        <w:t>).</w:t>
      </w:r>
    </w:p>
    <w:p w14:paraId="08C446B4"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3. مؤشرات الأداء الرئيسي (</w:t>
      </w:r>
      <w:r w:rsidRPr="00E63780">
        <w:rPr>
          <w:rFonts w:ascii="Times New Roman" w:eastAsia="Calibri" w:hAnsi="Times New Roman" w:cs="Simplified Arabic"/>
          <w:b/>
          <w:bCs/>
          <w:sz w:val="24"/>
          <w:szCs w:val="28"/>
        </w:rPr>
        <w:t>KPIs</w:t>
      </w:r>
      <w:r w:rsidRPr="00E63780">
        <w:rPr>
          <w:rFonts w:ascii="Times New Roman" w:eastAsia="Calibri" w:hAnsi="Times New Roman" w:cs="Simplified Arabic"/>
          <w:b/>
          <w:bCs/>
          <w:sz w:val="24"/>
          <w:szCs w:val="28"/>
          <w:rtl/>
        </w:rPr>
        <w:t>) في إدارة مشاريع المطار الذكي:</w:t>
      </w:r>
    </w:p>
    <w:p w14:paraId="6CD924D4"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لقياس كفاءة إدارة المشاريع الملاحية، يتم الاعتماد على مؤشرات أداء متقدمة تتجاوز النماذج الإدارية البسيطة. ويذكر (</w:t>
      </w:r>
      <w:r w:rsidRPr="00E63780">
        <w:rPr>
          <w:rFonts w:ascii="Times New Roman" w:eastAsia="Calibri" w:hAnsi="Times New Roman" w:cs="Simplified Arabic"/>
          <w:sz w:val="24"/>
          <w:szCs w:val="28"/>
        </w:rPr>
        <w:t>Project Management Institute [PMI], 2021</w:t>
      </w:r>
      <w:r w:rsidRPr="00E63780">
        <w:rPr>
          <w:rFonts w:ascii="Times New Roman" w:eastAsia="Calibri" w:hAnsi="Times New Roman" w:cs="Simplified Arabic"/>
          <w:sz w:val="24"/>
          <w:szCs w:val="28"/>
          <w:rtl/>
        </w:rPr>
        <w:t xml:space="preserve">) في الإصدار السابع من </w:t>
      </w:r>
      <w:r w:rsidRPr="00E63780">
        <w:rPr>
          <w:rFonts w:ascii="Times New Roman" w:eastAsia="Calibri" w:hAnsi="Times New Roman" w:cs="Simplified Arabic"/>
          <w:sz w:val="24"/>
          <w:szCs w:val="28"/>
          <w:rtl/>
        </w:rPr>
        <w:lastRenderedPageBreak/>
        <w:t>الدليل المعرفي أن التركيز انتقل من "المخرجات" إلى "النتائج والمنافع". وفي سياق الملاحة، تشمل هذه المؤشرات: نسبة الالتزام بمعايير منظمة الطيران المدني الدولي (</w:t>
      </w:r>
      <w:r w:rsidRPr="00E63780">
        <w:rPr>
          <w:rFonts w:ascii="Times New Roman" w:eastAsia="Calibri" w:hAnsi="Times New Roman" w:cs="Simplified Arabic"/>
          <w:sz w:val="24"/>
          <w:szCs w:val="28"/>
        </w:rPr>
        <w:t>ICAO</w:t>
      </w:r>
      <w:r w:rsidRPr="00E63780">
        <w:rPr>
          <w:rFonts w:ascii="Times New Roman" w:eastAsia="Calibri" w:hAnsi="Times New Roman" w:cs="Simplified Arabic"/>
          <w:sz w:val="24"/>
          <w:szCs w:val="28"/>
          <w:rtl/>
        </w:rPr>
        <w:t>)، ودقة التكامل بين الرادارات الأرضية والأنظمة السحابية، ومدى انخفاض الانحراف في ميزانية المشروع التقديرية (</w:t>
      </w:r>
      <w:r w:rsidRPr="00E63780">
        <w:rPr>
          <w:rFonts w:ascii="Times New Roman" w:eastAsia="Calibri" w:hAnsi="Times New Roman" w:cs="Simplified Arabic"/>
          <w:sz w:val="24"/>
          <w:szCs w:val="28"/>
        </w:rPr>
        <w:t>Cost Variance</w:t>
      </w:r>
      <w:r w:rsidRPr="00E63780">
        <w:rPr>
          <w:rFonts w:ascii="Times New Roman" w:eastAsia="Calibri" w:hAnsi="Times New Roman" w:cs="Simplified Arabic"/>
          <w:sz w:val="24"/>
          <w:szCs w:val="28"/>
          <w:rtl/>
        </w:rPr>
        <w:t>).</w:t>
      </w:r>
    </w:p>
    <w:p w14:paraId="6166D71E"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4. إدارة المخاطر واستمرارية الأعمال في المشاريع الملاحية:</w:t>
      </w:r>
    </w:p>
    <w:p w14:paraId="41578EB6" w14:textId="77777777" w:rsid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تعتبر إدارة المخاطر العمود الفقري لكفاءة المشاريع الجوية. يؤكد (</w:t>
      </w:r>
      <w:r w:rsidRPr="00E63780">
        <w:rPr>
          <w:rFonts w:ascii="Times New Roman" w:eastAsia="Calibri" w:hAnsi="Times New Roman" w:cs="Simplified Arabic"/>
          <w:sz w:val="24"/>
          <w:szCs w:val="28"/>
        </w:rPr>
        <w:t>Jacobs et al., 2023</w:t>
      </w:r>
      <w:r w:rsidRPr="00E63780">
        <w:rPr>
          <w:rFonts w:ascii="Times New Roman" w:eastAsia="Calibri" w:hAnsi="Times New Roman" w:cs="Simplified Arabic"/>
          <w:sz w:val="24"/>
          <w:szCs w:val="28"/>
          <w:rtl/>
        </w:rPr>
        <w:t>) أن المشاريع الملاحية الحديثة تتبنى منهجية "المخاطر الاستباقية"؛ حيث يتم استخدام المحاكاة الرقمية لتوقع الفشل الفني في أنظمة الهبوط الآلي (</w:t>
      </w:r>
      <w:r w:rsidRPr="00E63780">
        <w:rPr>
          <w:rFonts w:ascii="Times New Roman" w:eastAsia="Calibri" w:hAnsi="Times New Roman" w:cs="Simplified Arabic"/>
          <w:sz w:val="24"/>
          <w:szCs w:val="28"/>
        </w:rPr>
        <w:t>ILS</w:t>
      </w:r>
      <w:r w:rsidRPr="00E63780">
        <w:rPr>
          <w:rFonts w:ascii="Times New Roman" w:eastAsia="Calibri" w:hAnsi="Times New Roman" w:cs="Simplified Arabic"/>
          <w:sz w:val="24"/>
          <w:szCs w:val="28"/>
          <w:rtl/>
        </w:rPr>
        <w:t>) قبل تركيبها. الكفاءة هنا تعني امتلاك خطط بديلة (</w:t>
      </w:r>
      <w:r w:rsidRPr="00E63780">
        <w:rPr>
          <w:rFonts w:ascii="Times New Roman" w:eastAsia="Calibri" w:hAnsi="Times New Roman" w:cs="Simplified Arabic"/>
          <w:sz w:val="24"/>
          <w:szCs w:val="28"/>
        </w:rPr>
        <w:t>Contingency Plans</w:t>
      </w:r>
      <w:r w:rsidRPr="00E63780">
        <w:rPr>
          <w:rFonts w:ascii="Times New Roman" w:eastAsia="Calibri" w:hAnsi="Times New Roman" w:cs="Simplified Arabic"/>
          <w:sz w:val="24"/>
          <w:szCs w:val="28"/>
          <w:rtl/>
        </w:rPr>
        <w:t>) تضمن استمرارية الملاحة الجوية بنسبة توفر (</w:t>
      </w:r>
      <w:r w:rsidRPr="00E63780">
        <w:rPr>
          <w:rFonts w:ascii="Times New Roman" w:eastAsia="Calibri" w:hAnsi="Times New Roman" w:cs="Simplified Arabic"/>
          <w:sz w:val="24"/>
          <w:szCs w:val="28"/>
        </w:rPr>
        <w:t>Availability</w:t>
      </w:r>
      <w:r w:rsidRPr="00E63780">
        <w:rPr>
          <w:rFonts w:ascii="Times New Roman" w:eastAsia="Calibri" w:hAnsi="Times New Roman" w:cs="Simplified Arabic"/>
          <w:sz w:val="24"/>
          <w:szCs w:val="28"/>
          <w:rtl/>
        </w:rPr>
        <w:t xml:space="preserve">) تصل </w:t>
      </w:r>
      <w:r w:rsidRPr="00E63780">
        <w:rPr>
          <w:rFonts w:ascii="Times New Roman" w:eastAsia="Calibri" w:hAnsi="Times New Roman" w:cs="Simplified Arabic" w:hint="cs"/>
          <w:sz w:val="24"/>
          <w:szCs w:val="28"/>
          <w:rtl/>
        </w:rPr>
        <w:t>إلى 99.999</w:t>
      </w:r>
      <w:r w:rsidRPr="00E63780">
        <w:rPr>
          <w:rFonts w:ascii="Times New Roman" w:eastAsia="Calibri" w:hAnsi="Times New Roman" w:cs="Simplified Arabic"/>
          <w:sz w:val="24"/>
          <w:szCs w:val="28"/>
          <w:rtl/>
        </w:rPr>
        <w:t>\</w:t>
      </w:r>
      <w:proofErr w:type="gramStart"/>
      <w:r w:rsidRPr="00E63780">
        <w:rPr>
          <w:rFonts w:ascii="Times New Roman" w:eastAsia="Calibri" w:hAnsi="Times New Roman" w:cs="Simplified Arabic"/>
          <w:sz w:val="24"/>
          <w:szCs w:val="28"/>
          <w:rtl/>
        </w:rPr>
        <w:t>% .</w:t>
      </w:r>
      <w:proofErr w:type="gramEnd"/>
    </w:p>
    <w:p w14:paraId="570ABCC6"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5. الحوكمة والامتثال للمعايير الدولية في بيئة الملاحة السعودية:</w:t>
      </w:r>
    </w:p>
    <w:p w14:paraId="51F8DDE8" w14:textId="04939975" w:rsid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لا يمكن </w:t>
      </w:r>
      <w:r w:rsidR="0045641C" w:rsidRPr="0045641C">
        <w:rPr>
          <w:rFonts w:ascii="Times New Roman" w:eastAsia="Calibri" w:hAnsi="Times New Roman" w:cs="Simplified Arabic"/>
          <w:sz w:val="24"/>
          <w:szCs w:val="28"/>
          <w:rtl/>
        </w:rPr>
        <w:t>الحديث عن كفاءة في إدارة مشاريع الملاحة دون امتثال تام لمعايير الهيئة العامة للطيران المدني (</w:t>
      </w:r>
      <w:r w:rsidR="0045641C" w:rsidRPr="0045641C">
        <w:rPr>
          <w:rFonts w:ascii="Times New Roman" w:eastAsia="Calibri" w:hAnsi="Times New Roman" w:cs="Simplified Arabic"/>
          <w:sz w:val="24"/>
          <w:szCs w:val="28"/>
        </w:rPr>
        <w:t>GACA</w:t>
      </w:r>
      <w:r w:rsidR="0045641C" w:rsidRPr="0045641C">
        <w:rPr>
          <w:rFonts w:ascii="Times New Roman" w:eastAsia="Calibri" w:hAnsi="Times New Roman" w:cs="Simplified Arabic"/>
          <w:sz w:val="24"/>
          <w:szCs w:val="28"/>
          <w:rtl/>
        </w:rPr>
        <w:t>) والمنظمات الدولية. ويرى (</w:t>
      </w:r>
      <w:r w:rsidR="0045641C" w:rsidRPr="0045641C">
        <w:rPr>
          <w:rFonts w:ascii="Times New Roman" w:eastAsia="Calibri" w:hAnsi="Times New Roman" w:cs="Simplified Arabic"/>
          <w:sz w:val="24"/>
          <w:szCs w:val="28"/>
        </w:rPr>
        <w:t>Nawaz &amp; Al-Rashed, 2024</w:t>
      </w:r>
      <w:r w:rsidR="0045641C" w:rsidRPr="0045641C">
        <w:rPr>
          <w:rFonts w:ascii="Times New Roman" w:eastAsia="Calibri" w:hAnsi="Times New Roman" w:cs="Simplified Arabic"/>
          <w:sz w:val="24"/>
          <w:szCs w:val="28"/>
          <w:rtl/>
        </w:rPr>
        <w:t>) أن الحوكمة الرقمية تساهم في أتمتة عمليات الامتثال، مما يرفع من كفاءة الرقابة على المقاولين المنفذين لأنظمة الرادار، ويضمن توافق كافة التجهيزات التقنية مع "الخطة الوطنية للملاحة الجوية" المنبثقة من رؤية المملكة 2030.</w:t>
      </w:r>
    </w:p>
    <w:p w14:paraId="29BA9ECD" w14:textId="77777777" w:rsidR="0045641C" w:rsidRDefault="0045641C" w:rsidP="00E63780">
      <w:pPr>
        <w:spacing w:after="240" w:line="360" w:lineRule="auto"/>
        <w:ind w:firstLine="397"/>
        <w:jc w:val="both"/>
        <w:rPr>
          <w:rFonts w:ascii="Times New Roman" w:eastAsia="Calibri" w:hAnsi="Times New Roman" w:cs="Simplified Arabic"/>
          <w:sz w:val="24"/>
          <w:szCs w:val="28"/>
          <w:rtl/>
        </w:rPr>
      </w:pPr>
    </w:p>
    <w:p w14:paraId="5DD625F5" w14:textId="77777777" w:rsidR="0045641C" w:rsidRPr="00E63780" w:rsidRDefault="0045641C" w:rsidP="00E63780">
      <w:pPr>
        <w:spacing w:after="240" w:line="360" w:lineRule="auto"/>
        <w:ind w:firstLine="397"/>
        <w:jc w:val="both"/>
        <w:rPr>
          <w:rFonts w:ascii="Times New Roman" w:eastAsia="Calibri" w:hAnsi="Times New Roman" w:cs="Simplified Arabic"/>
          <w:sz w:val="24"/>
          <w:szCs w:val="28"/>
          <w:rtl/>
        </w:rPr>
      </w:pPr>
    </w:p>
    <w:p w14:paraId="5365EF49" w14:textId="77777777" w:rsidR="00E63780" w:rsidRPr="008D5937" w:rsidRDefault="00E63780" w:rsidP="008D5937">
      <w:pPr>
        <w:spacing w:after="120" w:line="240" w:lineRule="auto"/>
        <w:jc w:val="center"/>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lastRenderedPageBreak/>
        <w:t>جدول رقم (2): معايير قياس كفاءة إدارة مشاريع الملاحة الجوية</w:t>
      </w:r>
    </w:p>
    <w:tbl>
      <w:tblPr>
        <w:tblStyle w:val="4-51"/>
        <w:bidiVisual/>
        <w:tblW w:w="0" w:type="auto"/>
        <w:jc w:val="center"/>
        <w:tblLook w:val="04A0" w:firstRow="1" w:lastRow="0" w:firstColumn="1" w:lastColumn="0" w:noHBand="0" w:noVBand="1"/>
      </w:tblPr>
      <w:tblGrid>
        <w:gridCol w:w="1051"/>
        <w:gridCol w:w="2948"/>
        <w:gridCol w:w="2933"/>
        <w:gridCol w:w="1506"/>
      </w:tblGrid>
      <w:tr w:rsidR="00E63780" w:rsidRPr="008D5937" w14:paraId="320A2D82" w14:textId="77777777" w:rsidTr="00B7239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99B3D7" w14:textId="77777777" w:rsidR="00E63780" w:rsidRPr="008D5937" w:rsidRDefault="00E63780" w:rsidP="00B72399">
            <w:pPr>
              <w:spacing w:after="120" w:line="240" w:lineRule="auto"/>
              <w:jc w:val="center"/>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المعيار الرئيسي</w:t>
            </w:r>
          </w:p>
        </w:tc>
        <w:tc>
          <w:tcPr>
            <w:tcW w:w="0" w:type="auto"/>
            <w:vAlign w:val="center"/>
            <w:hideMark/>
          </w:tcPr>
          <w:p w14:paraId="0B94FD4D" w14:textId="77777777" w:rsidR="00E63780" w:rsidRPr="008D5937" w:rsidRDefault="00E63780" w:rsidP="00B72399">
            <w:pPr>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المؤشر الفرعي</w:t>
            </w:r>
          </w:p>
        </w:tc>
        <w:tc>
          <w:tcPr>
            <w:tcW w:w="0" w:type="auto"/>
            <w:vAlign w:val="center"/>
            <w:hideMark/>
          </w:tcPr>
          <w:p w14:paraId="6DC61D4E" w14:textId="77777777" w:rsidR="00E63780" w:rsidRPr="008D5937" w:rsidRDefault="00E63780" w:rsidP="00B72399">
            <w:pPr>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التوصيف الأكاديمي</w:t>
            </w:r>
          </w:p>
        </w:tc>
        <w:tc>
          <w:tcPr>
            <w:tcW w:w="0" w:type="auto"/>
            <w:vAlign w:val="center"/>
            <w:hideMark/>
          </w:tcPr>
          <w:p w14:paraId="645F2B3A" w14:textId="77777777" w:rsidR="00E63780" w:rsidRPr="008D5937" w:rsidRDefault="00E63780" w:rsidP="00B72399">
            <w:pPr>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المصدر</w:t>
            </w:r>
          </w:p>
        </w:tc>
      </w:tr>
      <w:tr w:rsidR="00E63780" w:rsidRPr="008D5937" w14:paraId="60166938" w14:textId="77777777" w:rsidTr="00B7239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809B1C" w14:textId="77777777" w:rsidR="00E63780" w:rsidRPr="008D5937" w:rsidRDefault="00E63780" w:rsidP="00B72399">
            <w:pPr>
              <w:spacing w:after="120" w:line="240" w:lineRule="auto"/>
              <w:jc w:val="center"/>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الكفاءة الزمنية</w:t>
            </w:r>
          </w:p>
        </w:tc>
        <w:tc>
          <w:tcPr>
            <w:tcW w:w="0" w:type="auto"/>
            <w:vAlign w:val="center"/>
            <w:hideMark/>
          </w:tcPr>
          <w:p w14:paraId="1FCB5492" w14:textId="77777777" w:rsidR="00E63780" w:rsidRPr="008D5937" w:rsidRDefault="00E63780" w:rsidP="00B72399">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معدل إنجاز المعالم (</w:t>
            </w:r>
            <w:r w:rsidRPr="008D5937">
              <w:rPr>
                <w:rFonts w:ascii="Times New Roman" w:eastAsia="Calibri" w:hAnsi="Times New Roman" w:cs="Simplified Arabic"/>
                <w:b/>
                <w:bCs/>
                <w:sz w:val="24"/>
                <w:szCs w:val="24"/>
              </w:rPr>
              <w:t>Milestones</w:t>
            </w:r>
            <w:r w:rsidRPr="008D5937">
              <w:rPr>
                <w:rFonts w:ascii="Times New Roman" w:eastAsia="Calibri" w:hAnsi="Times New Roman" w:cs="Simplified Arabic"/>
                <w:b/>
                <w:bCs/>
                <w:sz w:val="24"/>
                <w:szCs w:val="24"/>
                <w:rtl/>
              </w:rPr>
              <w:t>)</w:t>
            </w:r>
          </w:p>
        </w:tc>
        <w:tc>
          <w:tcPr>
            <w:tcW w:w="0" w:type="auto"/>
            <w:vAlign w:val="center"/>
            <w:hideMark/>
          </w:tcPr>
          <w:p w14:paraId="56781EE2" w14:textId="77777777" w:rsidR="00E63780" w:rsidRPr="008D5937" w:rsidRDefault="00E63780" w:rsidP="00B72399">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القدرة على تركيب واختبار الأنظمة وفق الجدول الزمني المعتمد.</w:t>
            </w:r>
          </w:p>
        </w:tc>
        <w:tc>
          <w:tcPr>
            <w:tcW w:w="0" w:type="auto"/>
            <w:vAlign w:val="center"/>
            <w:hideMark/>
          </w:tcPr>
          <w:p w14:paraId="5945A6A2" w14:textId="77777777" w:rsidR="00E63780" w:rsidRPr="008D5937" w:rsidRDefault="00E63780" w:rsidP="00B72399">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w:t>
            </w:r>
            <w:r w:rsidRPr="008D5937">
              <w:rPr>
                <w:rFonts w:ascii="Times New Roman" w:eastAsia="Calibri" w:hAnsi="Times New Roman" w:cs="Simplified Arabic"/>
                <w:b/>
                <w:bCs/>
                <w:sz w:val="24"/>
                <w:szCs w:val="24"/>
              </w:rPr>
              <w:t>Al-Shehri, 2024</w:t>
            </w:r>
            <w:r w:rsidRPr="008D5937">
              <w:rPr>
                <w:rFonts w:ascii="Times New Roman" w:eastAsia="Calibri" w:hAnsi="Times New Roman" w:cs="Simplified Arabic"/>
                <w:b/>
                <w:bCs/>
                <w:sz w:val="24"/>
                <w:szCs w:val="24"/>
                <w:rtl/>
              </w:rPr>
              <w:t>)</w:t>
            </w:r>
          </w:p>
        </w:tc>
      </w:tr>
      <w:tr w:rsidR="00E63780" w:rsidRPr="008D5937" w14:paraId="53923691" w14:textId="77777777" w:rsidTr="00B7239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CF776A" w14:textId="77777777" w:rsidR="00E63780" w:rsidRPr="008D5937" w:rsidRDefault="00E63780" w:rsidP="00B72399">
            <w:pPr>
              <w:spacing w:after="120" w:line="240" w:lineRule="auto"/>
              <w:jc w:val="center"/>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كفاءة التكلفة</w:t>
            </w:r>
          </w:p>
        </w:tc>
        <w:tc>
          <w:tcPr>
            <w:tcW w:w="0" w:type="auto"/>
            <w:vAlign w:val="center"/>
            <w:hideMark/>
          </w:tcPr>
          <w:p w14:paraId="7024F0D3" w14:textId="77777777" w:rsidR="00E63780" w:rsidRPr="008D5937" w:rsidRDefault="00E63780" w:rsidP="00B72399">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إدارة القيمة المكتسبة (</w:t>
            </w:r>
            <w:r w:rsidRPr="008D5937">
              <w:rPr>
                <w:rFonts w:ascii="Times New Roman" w:eastAsia="Calibri" w:hAnsi="Times New Roman" w:cs="Simplified Arabic"/>
                <w:b/>
                <w:bCs/>
                <w:sz w:val="24"/>
                <w:szCs w:val="24"/>
              </w:rPr>
              <w:t>EVM</w:t>
            </w:r>
            <w:r w:rsidRPr="008D5937">
              <w:rPr>
                <w:rFonts w:ascii="Times New Roman" w:eastAsia="Calibri" w:hAnsi="Times New Roman" w:cs="Simplified Arabic"/>
                <w:b/>
                <w:bCs/>
                <w:sz w:val="24"/>
                <w:szCs w:val="24"/>
                <w:rtl/>
              </w:rPr>
              <w:t>)</w:t>
            </w:r>
          </w:p>
        </w:tc>
        <w:tc>
          <w:tcPr>
            <w:tcW w:w="0" w:type="auto"/>
            <w:vAlign w:val="center"/>
            <w:hideMark/>
          </w:tcPr>
          <w:p w14:paraId="5437CE41" w14:textId="77777777" w:rsidR="00E63780" w:rsidRPr="008D5937" w:rsidRDefault="00E63780" w:rsidP="00B72399">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مواءمة الإنفاق الفعلي مع التقدم الفني المحرز في المواقع الملاحية.</w:t>
            </w:r>
          </w:p>
        </w:tc>
        <w:tc>
          <w:tcPr>
            <w:tcW w:w="0" w:type="auto"/>
            <w:vAlign w:val="center"/>
            <w:hideMark/>
          </w:tcPr>
          <w:p w14:paraId="7BF07A56" w14:textId="77777777" w:rsidR="00E63780" w:rsidRPr="008D5937" w:rsidRDefault="00E63780" w:rsidP="00B72399">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w:t>
            </w:r>
            <w:r w:rsidRPr="008D5937">
              <w:rPr>
                <w:rFonts w:ascii="Times New Roman" w:eastAsia="Calibri" w:hAnsi="Times New Roman" w:cs="Simplified Arabic"/>
                <w:b/>
                <w:bCs/>
                <w:sz w:val="24"/>
                <w:szCs w:val="24"/>
              </w:rPr>
              <w:t>PMI, 2021</w:t>
            </w:r>
            <w:r w:rsidRPr="008D5937">
              <w:rPr>
                <w:rFonts w:ascii="Times New Roman" w:eastAsia="Calibri" w:hAnsi="Times New Roman" w:cs="Simplified Arabic"/>
                <w:b/>
                <w:bCs/>
                <w:sz w:val="24"/>
                <w:szCs w:val="24"/>
                <w:rtl/>
              </w:rPr>
              <w:t>)</w:t>
            </w:r>
          </w:p>
        </w:tc>
      </w:tr>
      <w:tr w:rsidR="00E63780" w:rsidRPr="008D5937" w14:paraId="2BB5A1C0" w14:textId="77777777" w:rsidTr="00B7239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44464C" w14:textId="77777777" w:rsidR="00E63780" w:rsidRPr="008D5937" w:rsidRDefault="00E63780" w:rsidP="00B72399">
            <w:pPr>
              <w:spacing w:after="120" w:line="240" w:lineRule="auto"/>
              <w:jc w:val="center"/>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كفاءة الجودة</w:t>
            </w:r>
          </w:p>
        </w:tc>
        <w:tc>
          <w:tcPr>
            <w:tcW w:w="0" w:type="auto"/>
            <w:vAlign w:val="center"/>
            <w:hideMark/>
          </w:tcPr>
          <w:p w14:paraId="7549A17B" w14:textId="77777777" w:rsidR="00E63780" w:rsidRPr="008D5937" w:rsidRDefault="00E63780" w:rsidP="00B72399">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الامتثال لبروتوكولات (</w:t>
            </w:r>
            <w:r w:rsidRPr="008D5937">
              <w:rPr>
                <w:rFonts w:ascii="Times New Roman" w:eastAsia="Calibri" w:hAnsi="Times New Roman" w:cs="Simplified Arabic"/>
                <w:b/>
                <w:bCs/>
                <w:sz w:val="24"/>
                <w:szCs w:val="24"/>
              </w:rPr>
              <w:t>Eurocontrol/ICAO</w:t>
            </w:r>
            <w:r w:rsidRPr="008D5937">
              <w:rPr>
                <w:rFonts w:ascii="Times New Roman" w:eastAsia="Calibri" w:hAnsi="Times New Roman" w:cs="Simplified Arabic"/>
                <w:b/>
                <w:bCs/>
                <w:sz w:val="24"/>
                <w:szCs w:val="24"/>
                <w:rtl/>
              </w:rPr>
              <w:t>)</w:t>
            </w:r>
          </w:p>
        </w:tc>
        <w:tc>
          <w:tcPr>
            <w:tcW w:w="0" w:type="auto"/>
            <w:vAlign w:val="center"/>
            <w:hideMark/>
          </w:tcPr>
          <w:p w14:paraId="24C4DDA7" w14:textId="77777777" w:rsidR="00E63780" w:rsidRPr="008D5937" w:rsidRDefault="00E63780" w:rsidP="00B72399">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مدى مطابقة الأنظمة الرقمية الموردة للمعايير الفنية العالمية.</w:t>
            </w:r>
          </w:p>
        </w:tc>
        <w:tc>
          <w:tcPr>
            <w:tcW w:w="0" w:type="auto"/>
            <w:vAlign w:val="center"/>
            <w:hideMark/>
          </w:tcPr>
          <w:p w14:paraId="2F780DC9" w14:textId="77777777" w:rsidR="00E63780" w:rsidRPr="008D5937" w:rsidRDefault="00E63780" w:rsidP="00B72399">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w:t>
            </w:r>
            <w:r w:rsidRPr="008D5937">
              <w:rPr>
                <w:rFonts w:ascii="Times New Roman" w:eastAsia="Calibri" w:hAnsi="Times New Roman" w:cs="Simplified Arabic"/>
                <w:b/>
                <w:bCs/>
                <w:sz w:val="24"/>
                <w:szCs w:val="24"/>
              </w:rPr>
              <w:t>SANS, 2024</w:t>
            </w:r>
            <w:r w:rsidRPr="008D5937">
              <w:rPr>
                <w:rFonts w:ascii="Times New Roman" w:eastAsia="Calibri" w:hAnsi="Times New Roman" w:cs="Simplified Arabic"/>
                <w:b/>
                <w:bCs/>
                <w:sz w:val="24"/>
                <w:szCs w:val="24"/>
                <w:rtl/>
              </w:rPr>
              <w:t>)</w:t>
            </w:r>
          </w:p>
        </w:tc>
      </w:tr>
      <w:tr w:rsidR="00E63780" w:rsidRPr="008D5937" w14:paraId="1161D094" w14:textId="77777777" w:rsidTr="00B7239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0B1265" w14:textId="77777777" w:rsidR="00E63780" w:rsidRPr="008D5937" w:rsidRDefault="00E63780" w:rsidP="00B72399">
            <w:pPr>
              <w:spacing w:after="120" w:line="240" w:lineRule="auto"/>
              <w:jc w:val="center"/>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كفاءة التكامل</w:t>
            </w:r>
          </w:p>
        </w:tc>
        <w:tc>
          <w:tcPr>
            <w:tcW w:w="0" w:type="auto"/>
            <w:vAlign w:val="center"/>
            <w:hideMark/>
          </w:tcPr>
          <w:p w14:paraId="2DCDB01E" w14:textId="77777777" w:rsidR="00E63780" w:rsidRPr="008D5937" w:rsidRDefault="00E63780" w:rsidP="00B72399">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التوافقية (</w:t>
            </w:r>
            <w:r w:rsidRPr="008D5937">
              <w:rPr>
                <w:rFonts w:ascii="Times New Roman" w:eastAsia="Calibri" w:hAnsi="Times New Roman" w:cs="Simplified Arabic"/>
                <w:b/>
                <w:bCs/>
                <w:sz w:val="24"/>
                <w:szCs w:val="24"/>
              </w:rPr>
              <w:t>Interoperability</w:t>
            </w:r>
            <w:r w:rsidRPr="008D5937">
              <w:rPr>
                <w:rFonts w:ascii="Times New Roman" w:eastAsia="Calibri" w:hAnsi="Times New Roman" w:cs="Simplified Arabic"/>
                <w:b/>
                <w:bCs/>
                <w:sz w:val="24"/>
                <w:szCs w:val="24"/>
                <w:rtl/>
              </w:rPr>
              <w:t>)</w:t>
            </w:r>
          </w:p>
        </w:tc>
        <w:tc>
          <w:tcPr>
            <w:tcW w:w="0" w:type="auto"/>
            <w:vAlign w:val="center"/>
            <w:hideMark/>
          </w:tcPr>
          <w:p w14:paraId="46EA3974" w14:textId="77777777" w:rsidR="00E63780" w:rsidRPr="008D5937" w:rsidRDefault="00E63780" w:rsidP="00B72399">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نجاح الربط التقني بين أنظمة الملاحة المختلفة (</w:t>
            </w:r>
            <w:r w:rsidRPr="008D5937">
              <w:rPr>
                <w:rFonts w:ascii="Times New Roman" w:eastAsia="Calibri" w:hAnsi="Times New Roman" w:cs="Simplified Arabic"/>
                <w:b/>
                <w:bCs/>
                <w:sz w:val="24"/>
                <w:szCs w:val="24"/>
              </w:rPr>
              <w:t>CNS</w:t>
            </w:r>
            <w:r w:rsidRPr="008D5937">
              <w:rPr>
                <w:rFonts w:ascii="Times New Roman" w:eastAsia="Calibri" w:hAnsi="Times New Roman" w:cs="Simplified Arabic"/>
                <w:b/>
                <w:bCs/>
                <w:sz w:val="24"/>
                <w:szCs w:val="24"/>
                <w:rtl/>
              </w:rPr>
              <w:t>) والمنصات الرقمية.</w:t>
            </w:r>
          </w:p>
        </w:tc>
        <w:tc>
          <w:tcPr>
            <w:tcW w:w="0" w:type="auto"/>
            <w:vAlign w:val="center"/>
            <w:hideMark/>
          </w:tcPr>
          <w:p w14:paraId="22AAE6B7" w14:textId="77777777" w:rsidR="00E63780" w:rsidRPr="008D5937" w:rsidRDefault="00E63780" w:rsidP="00B72399">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w:t>
            </w:r>
            <w:r w:rsidRPr="008D5937">
              <w:rPr>
                <w:rFonts w:ascii="Times New Roman" w:eastAsia="Calibri" w:hAnsi="Times New Roman" w:cs="Simplified Arabic"/>
                <w:b/>
                <w:bCs/>
                <w:sz w:val="24"/>
                <w:szCs w:val="24"/>
              </w:rPr>
              <w:t>Jacobs et al., 2023</w:t>
            </w:r>
            <w:r w:rsidRPr="008D5937">
              <w:rPr>
                <w:rFonts w:ascii="Times New Roman" w:eastAsia="Calibri" w:hAnsi="Times New Roman" w:cs="Simplified Arabic"/>
                <w:b/>
                <w:bCs/>
                <w:sz w:val="24"/>
                <w:szCs w:val="24"/>
                <w:rtl/>
              </w:rPr>
              <w:t>)</w:t>
            </w:r>
          </w:p>
        </w:tc>
      </w:tr>
    </w:tbl>
    <w:p w14:paraId="708B65ED"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يظهر الجدول أن كفاءة إدارة مشاريع الملاحة الجوية هي منظومة متعددة الأبعاد، لا تقتصر على الجانب المالي أو الزمني فحسب، بل تمتد لتشمل الجودة الفنية والقدرة على التكامل التقني المعقد، وهو ما يمثل جوهر النجاح في مشاريع المطارات الحديثة.</w:t>
      </w:r>
    </w:p>
    <w:p w14:paraId="2ED21CBA"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hint="cs"/>
          <w:b/>
          <w:bCs/>
          <w:sz w:val="24"/>
          <w:szCs w:val="28"/>
          <w:rtl/>
        </w:rPr>
        <w:t>تعقيب تحليلي على المبحث الثاني:</w:t>
      </w:r>
    </w:p>
    <w:p w14:paraId="4DA4C723"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يرى الباحث أن "كفاءة إدارة المشاريع" في قطاع الملاحة الجوية السعودية تمر بنقلة نوعية من "الإدارة الإجرائية" إلى "الإدارة الاستراتيجية المرنة". فالملاحة الجوية ليست قطاعاً خدمياً عادياً، بل هي قطاع سيادي يتطلب كفاءة تنفيذية تضمن الأمن القومي وسلامة الأجواء. ومن وجهة نظر الباحث، فإن الكفاءة الحقيقية تكمن في القدرة على إدارة "المشاريع الهجينة" التي تتطلب دمج الأنظمة الملاحية الفيزيائية (</w:t>
      </w:r>
      <w:r w:rsidRPr="00E63780">
        <w:rPr>
          <w:rFonts w:ascii="Times New Roman" w:eastAsia="Calibri" w:hAnsi="Times New Roman" w:cs="Simplified Arabic"/>
          <w:sz w:val="24"/>
          <w:szCs w:val="28"/>
        </w:rPr>
        <w:t>Hardware</w:t>
      </w:r>
      <w:r w:rsidRPr="00E63780">
        <w:rPr>
          <w:rFonts w:ascii="Times New Roman" w:eastAsia="Calibri" w:hAnsi="Times New Roman" w:cs="Simplified Arabic"/>
          <w:sz w:val="24"/>
          <w:szCs w:val="28"/>
          <w:rtl/>
        </w:rPr>
        <w:t>) مع الحلول البرمجية الذكية (</w:t>
      </w:r>
      <w:r w:rsidRPr="00E63780">
        <w:rPr>
          <w:rFonts w:ascii="Times New Roman" w:eastAsia="Calibri" w:hAnsi="Times New Roman" w:cs="Simplified Arabic"/>
          <w:sz w:val="24"/>
          <w:szCs w:val="28"/>
        </w:rPr>
        <w:t>Software</w:t>
      </w:r>
      <w:r w:rsidRPr="00E63780">
        <w:rPr>
          <w:rFonts w:ascii="Times New Roman" w:eastAsia="Calibri" w:hAnsi="Times New Roman" w:cs="Simplified Arabic"/>
          <w:sz w:val="24"/>
          <w:szCs w:val="28"/>
          <w:rtl/>
        </w:rPr>
        <w:t>) في آن واحد، مع الحفاظ على استقرار المجال الجوي أثناء فترات التحديث، وهو تحدٍ هندسي وإداري يتطلب احترافية عالية.</w:t>
      </w:r>
    </w:p>
    <w:p w14:paraId="45787310" w14:textId="77777777" w:rsidR="00E63780" w:rsidRPr="00E63780" w:rsidRDefault="00E63780" w:rsidP="00E63780">
      <w:pPr>
        <w:spacing w:after="240" w:line="360" w:lineRule="auto"/>
        <w:jc w:val="both"/>
        <w:rPr>
          <w:rFonts w:ascii="Times New Roman" w:eastAsia="Calibri" w:hAnsi="Times New Roman" w:cs="Simplified Arabic"/>
          <w:sz w:val="24"/>
          <w:szCs w:val="28"/>
          <w:rtl/>
        </w:rPr>
      </w:pPr>
    </w:p>
    <w:p w14:paraId="38E3157D" w14:textId="77777777" w:rsidR="00E63780" w:rsidRPr="00E63780" w:rsidRDefault="00E63780" w:rsidP="00E63780">
      <w:pPr>
        <w:spacing w:after="240" w:line="360" w:lineRule="auto"/>
        <w:ind w:firstLine="397"/>
        <w:jc w:val="center"/>
        <w:rPr>
          <w:rFonts w:ascii="Times New Roman" w:eastAsia="Calibri" w:hAnsi="Times New Roman" w:cs="Simplified Arabic"/>
          <w:b/>
          <w:bCs/>
          <w:sz w:val="26"/>
          <w:szCs w:val="30"/>
          <w:rtl/>
        </w:rPr>
      </w:pPr>
      <w:r w:rsidRPr="00E63780">
        <w:rPr>
          <w:rFonts w:ascii="Times New Roman" w:eastAsia="Calibri" w:hAnsi="Times New Roman" w:cs="Simplified Arabic"/>
          <w:b/>
          <w:bCs/>
          <w:sz w:val="26"/>
          <w:szCs w:val="30"/>
          <w:rtl/>
        </w:rPr>
        <w:lastRenderedPageBreak/>
        <w:t>المبحث الثالث: دور التحول الرقمي في تعزيز كفاءة إدارة مشاريع الملاحة الجوية</w:t>
      </w:r>
    </w:p>
    <w:p w14:paraId="7ABC2CBB"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1. المنطلقات النظرية المفسرة للعلاقة (نظرية القدرات الديناميكية ونظرية تكنولوجيا المعلومات):</w:t>
      </w:r>
    </w:p>
    <w:p w14:paraId="200CF759"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تستند العلاقة بين التحول الرقمي وكفاءة المشاريع إلى "نظرية القدرات الديناميكية" (</w:t>
      </w:r>
      <w:r w:rsidRPr="00E63780">
        <w:rPr>
          <w:rFonts w:ascii="Times New Roman" w:eastAsia="Calibri" w:hAnsi="Times New Roman" w:cs="Simplified Arabic"/>
          <w:sz w:val="24"/>
          <w:szCs w:val="28"/>
        </w:rPr>
        <w:t>Dynamic Capabilities Theory</w:t>
      </w:r>
      <w:r w:rsidRPr="00E63780">
        <w:rPr>
          <w:rFonts w:ascii="Times New Roman" w:eastAsia="Calibri" w:hAnsi="Times New Roman" w:cs="Simplified Arabic"/>
          <w:sz w:val="24"/>
          <w:szCs w:val="28"/>
          <w:rtl/>
        </w:rPr>
        <w:t>)، التي تشير إلى أن قدرة المنظمة على دمج وبناء وإعادة تكوين الكفاءات الداخلية والخارجية لمواجهة البيئات سريعة التغير هي مفتاح التميز (</w:t>
      </w:r>
      <w:r w:rsidRPr="00E63780">
        <w:rPr>
          <w:rFonts w:ascii="Times New Roman" w:eastAsia="Calibri" w:hAnsi="Times New Roman" w:cs="Simplified Arabic"/>
          <w:sz w:val="24"/>
          <w:szCs w:val="28"/>
        </w:rPr>
        <w:t>Verhoef et al., 2021</w:t>
      </w:r>
      <w:r w:rsidRPr="00E63780">
        <w:rPr>
          <w:rFonts w:ascii="Times New Roman" w:eastAsia="Calibri" w:hAnsi="Times New Roman" w:cs="Simplified Arabic"/>
          <w:sz w:val="24"/>
          <w:szCs w:val="28"/>
          <w:rtl/>
        </w:rPr>
        <w:t>). وفي سياق الملاحة الجوية، يمثل التحول الرقمي "القدرة الديناميكية" التي تُمكّن شركة "</w:t>
      </w:r>
      <w:proofErr w:type="spellStart"/>
      <w:r w:rsidRPr="00E63780">
        <w:rPr>
          <w:rFonts w:ascii="Times New Roman" w:eastAsia="Calibri" w:hAnsi="Times New Roman" w:cs="Simplified Arabic"/>
          <w:sz w:val="24"/>
          <w:szCs w:val="28"/>
          <w:rtl/>
        </w:rPr>
        <w:t>نيرس</w:t>
      </w:r>
      <w:proofErr w:type="spellEnd"/>
      <w:r w:rsidRPr="00E63780">
        <w:rPr>
          <w:rFonts w:ascii="Times New Roman" w:eastAsia="Calibri" w:hAnsi="Times New Roman" w:cs="Simplified Arabic"/>
          <w:sz w:val="24"/>
          <w:szCs w:val="28"/>
          <w:rtl/>
        </w:rPr>
        <w:t>" (</w:t>
      </w:r>
      <w:r w:rsidRPr="00E63780">
        <w:rPr>
          <w:rFonts w:ascii="Times New Roman" w:eastAsia="Calibri" w:hAnsi="Times New Roman" w:cs="Simplified Arabic"/>
          <w:sz w:val="24"/>
          <w:szCs w:val="28"/>
        </w:rPr>
        <w:t>SANS</w:t>
      </w:r>
      <w:r w:rsidRPr="00E63780">
        <w:rPr>
          <w:rFonts w:ascii="Times New Roman" w:eastAsia="Calibri" w:hAnsi="Times New Roman" w:cs="Simplified Arabic"/>
          <w:sz w:val="24"/>
          <w:szCs w:val="28"/>
          <w:rtl/>
        </w:rPr>
        <w:t>) من استيعاب التقنيات الملاحية المتطورة وإدماجها في إدارة مشاريعها بمرونة عالية، مما يحقق الكفاءة المطلوبة.</w:t>
      </w:r>
    </w:p>
    <w:p w14:paraId="2C79DD16"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2. أثر البنية التحتية الرقمية على سرعة اتخاذ القرار في المشاريع:</w:t>
      </w:r>
    </w:p>
    <w:p w14:paraId="5A2360F8"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تساهم البنية التحتية الرقمية، ولا سيما الحوسبة السحابية وشبكات الجيل الخامس، في خلق بيئة معلوماتية موحدة (</w:t>
      </w:r>
      <w:r w:rsidRPr="00E63780">
        <w:rPr>
          <w:rFonts w:ascii="Times New Roman" w:eastAsia="Calibri" w:hAnsi="Times New Roman" w:cs="Simplified Arabic"/>
          <w:sz w:val="24"/>
          <w:szCs w:val="28"/>
        </w:rPr>
        <w:t>Unified Data Environment</w:t>
      </w:r>
      <w:r w:rsidRPr="00E63780">
        <w:rPr>
          <w:rFonts w:ascii="Times New Roman" w:eastAsia="Calibri" w:hAnsi="Times New Roman" w:cs="Simplified Arabic"/>
          <w:sz w:val="24"/>
          <w:szCs w:val="28"/>
          <w:rtl/>
        </w:rPr>
        <w:t>). ويؤكد (</w:t>
      </w:r>
      <w:r w:rsidRPr="00E63780">
        <w:rPr>
          <w:rFonts w:ascii="Times New Roman" w:eastAsia="Calibri" w:hAnsi="Times New Roman" w:cs="Simplified Arabic"/>
          <w:sz w:val="24"/>
          <w:szCs w:val="28"/>
        </w:rPr>
        <w:t>Hassan &amp; Al-Qahtani, 2023</w:t>
      </w:r>
      <w:r w:rsidRPr="00E63780">
        <w:rPr>
          <w:rFonts w:ascii="Times New Roman" w:eastAsia="Calibri" w:hAnsi="Times New Roman" w:cs="Simplified Arabic"/>
          <w:sz w:val="24"/>
          <w:szCs w:val="28"/>
          <w:rtl/>
        </w:rPr>
        <w:t>) أن توفر بنية رقمية صلبة في المطارات السعودية يقلل من زمن الاستجابة للمشكلات الفنية في أنظمة الرادار بنسبة تصل إلى 30%. الكفاءة هنا تتحقق من خلال "التدفق الحر للمعلومات" بين مهندسي الموقع وصناع القرار، مما يلغي البيروقراطية ويحقق الالتزام بالجداول الزمنية.</w:t>
      </w:r>
    </w:p>
    <w:p w14:paraId="1A4BEAFB"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3. دور الأتمتة والذكاء الاصطناعي في تقليل الهدر وتحسين الجودة:</w:t>
      </w:r>
    </w:p>
    <w:p w14:paraId="6D824D56"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تعمل الأتمتة كأداة لضبط الجودة وتقليل الهدر في موارد المشروع. ويشير (</w:t>
      </w:r>
      <w:r w:rsidRPr="00E63780">
        <w:rPr>
          <w:rFonts w:ascii="Times New Roman" w:eastAsia="Calibri" w:hAnsi="Times New Roman" w:cs="Simplified Arabic"/>
          <w:sz w:val="24"/>
          <w:szCs w:val="28"/>
        </w:rPr>
        <w:t>Votto et al., 2021</w:t>
      </w:r>
      <w:r w:rsidRPr="00E63780">
        <w:rPr>
          <w:rFonts w:ascii="Times New Roman" w:eastAsia="Calibri" w:hAnsi="Times New Roman" w:cs="Simplified Arabic"/>
          <w:sz w:val="24"/>
          <w:szCs w:val="28"/>
          <w:rtl/>
        </w:rPr>
        <w:t xml:space="preserve">) إلى أن استخدام خوارزميات الذكاء الاصطناعي في مراقبة توريد وتركيب أجهزة الملاحة الجوية </w:t>
      </w:r>
      <w:r w:rsidRPr="00E63780">
        <w:rPr>
          <w:rFonts w:ascii="Times New Roman" w:eastAsia="Calibri" w:hAnsi="Times New Roman" w:cs="Simplified Arabic"/>
          <w:sz w:val="24"/>
          <w:szCs w:val="28"/>
          <w:rtl/>
        </w:rPr>
        <w:lastRenderedPageBreak/>
        <w:t>(</w:t>
      </w:r>
      <w:r w:rsidRPr="00E63780">
        <w:rPr>
          <w:rFonts w:ascii="Times New Roman" w:eastAsia="Calibri" w:hAnsi="Times New Roman" w:cs="Simplified Arabic"/>
          <w:sz w:val="24"/>
          <w:szCs w:val="28"/>
        </w:rPr>
        <w:t>CNS</w:t>
      </w:r>
      <w:r w:rsidRPr="00E63780">
        <w:rPr>
          <w:rFonts w:ascii="Times New Roman" w:eastAsia="Calibri" w:hAnsi="Times New Roman" w:cs="Simplified Arabic"/>
          <w:sz w:val="24"/>
          <w:szCs w:val="28"/>
          <w:rtl/>
        </w:rPr>
        <w:t>) يساهم في اكتشاف حالات عدم المطابقة للمعايير الدولية (</w:t>
      </w:r>
      <w:r w:rsidRPr="00E63780">
        <w:rPr>
          <w:rFonts w:ascii="Times New Roman" w:eastAsia="Calibri" w:hAnsi="Times New Roman" w:cs="Simplified Arabic"/>
          <w:sz w:val="24"/>
          <w:szCs w:val="28"/>
        </w:rPr>
        <w:t>ICAO</w:t>
      </w:r>
      <w:r w:rsidRPr="00E63780">
        <w:rPr>
          <w:rFonts w:ascii="Times New Roman" w:eastAsia="Calibri" w:hAnsi="Times New Roman" w:cs="Simplified Arabic"/>
          <w:sz w:val="24"/>
          <w:szCs w:val="28"/>
          <w:rtl/>
        </w:rPr>
        <w:t>) في مراحل مبكرة. هذا الربط الرقمي يمنع "إعادة العمل" (</w:t>
      </w:r>
      <w:r w:rsidRPr="00E63780">
        <w:rPr>
          <w:rFonts w:ascii="Times New Roman" w:eastAsia="Calibri" w:hAnsi="Times New Roman" w:cs="Simplified Arabic"/>
          <w:sz w:val="24"/>
          <w:szCs w:val="28"/>
        </w:rPr>
        <w:t>Rework</w:t>
      </w:r>
      <w:r w:rsidRPr="00E63780">
        <w:rPr>
          <w:rFonts w:ascii="Times New Roman" w:eastAsia="Calibri" w:hAnsi="Times New Roman" w:cs="Simplified Arabic"/>
          <w:sz w:val="24"/>
          <w:szCs w:val="28"/>
          <w:rtl/>
        </w:rPr>
        <w:t>)، وهو أحد أكبر مهددات كفاءة التكلفة في مشاريع المطارات الكبرى.</w:t>
      </w:r>
    </w:p>
    <w:p w14:paraId="3ADDD840"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4. مساهمة التحليل التنبؤي في إدارة المخاطر الملاحية الاستباقية:</w:t>
      </w:r>
    </w:p>
    <w:p w14:paraId="6BBDDA67"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ينقل التحليل التنبؤي إدارة مشاريع الملاحة من مرحلة "رد الفعل" إلى مرحلة "الاستباق". ومن خلال توظيف البيانات الضخمة، يمكن لمديري المشاريع التنبؤ بالمعوقات التشغيلية قبل حدوثها. ويوضح (</w:t>
      </w:r>
      <w:r w:rsidRPr="00E63780">
        <w:rPr>
          <w:rFonts w:ascii="Times New Roman" w:eastAsia="Calibri" w:hAnsi="Times New Roman" w:cs="Simplified Arabic"/>
          <w:sz w:val="24"/>
          <w:szCs w:val="28"/>
        </w:rPr>
        <w:t>Jacobs et al., 2023</w:t>
      </w:r>
      <w:r w:rsidRPr="00E63780">
        <w:rPr>
          <w:rFonts w:ascii="Times New Roman" w:eastAsia="Calibri" w:hAnsi="Times New Roman" w:cs="Simplified Arabic"/>
          <w:sz w:val="24"/>
          <w:szCs w:val="28"/>
          <w:rtl/>
        </w:rPr>
        <w:t>) أن نماذج الصيانة التنبؤية المدعومة رقمياً ترفع من كفاءة الأداء الوظيفي لأنظمة الهبوط الآلي، مما يضمن أن مشاريع التحديث لا تؤثر سلباً على انسيابية الحركة الجوية، وهو ما يعد جوهر الكفاءة في بيئة الملاحة.</w:t>
      </w:r>
    </w:p>
    <w:p w14:paraId="6D70825F"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b/>
          <w:bCs/>
          <w:sz w:val="24"/>
          <w:szCs w:val="28"/>
          <w:rtl/>
        </w:rPr>
        <w:t xml:space="preserve">5. تعزيز الشفافية والحوكمة من خلال </w:t>
      </w:r>
      <w:proofErr w:type="spellStart"/>
      <w:r w:rsidRPr="00E63780">
        <w:rPr>
          <w:rFonts w:ascii="Times New Roman" w:eastAsia="Calibri" w:hAnsi="Times New Roman" w:cs="Simplified Arabic"/>
          <w:b/>
          <w:bCs/>
          <w:sz w:val="24"/>
          <w:szCs w:val="28"/>
          <w:rtl/>
        </w:rPr>
        <w:t>الرقمنة</w:t>
      </w:r>
      <w:proofErr w:type="spellEnd"/>
      <w:r w:rsidRPr="00E63780">
        <w:rPr>
          <w:rFonts w:ascii="Times New Roman" w:eastAsia="Calibri" w:hAnsi="Times New Roman" w:cs="Simplified Arabic"/>
          <w:b/>
          <w:bCs/>
          <w:sz w:val="24"/>
          <w:szCs w:val="28"/>
          <w:rtl/>
        </w:rPr>
        <w:t xml:space="preserve"> الشاملة للمشاريع:</w:t>
      </w:r>
    </w:p>
    <w:p w14:paraId="10467884"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يؤدي التحول الرقمي إلى خلق "سجل ذهبي" (</w:t>
      </w:r>
      <w:r w:rsidRPr="00E63780">
        <w:rPr>
          <w:rFonts w:ascii="Times New Roman" w:eastAsia="Calibri" w:hAnsi="Times New Roman" w:cs="Simplified Arabic"/>
          <w:sz w:val="24"/>
          <w:szCs w:val="28"/>
        </w:rPr>
        <w:t>Golden Record</w:t>
      </w:r>
      <w:r w:rsidRPr="00E63780">
        <w:rPr>
          <w:rFonts w:ascii="Times New Roman" w:eastAsia="Calibri" w:hAnsi="Times New Roman" w:cs="Simplified Arabic"/>
          <w:sz w:val="24"/>
          <w:szCs w:val="28"/>
          <w:rtl/>
        </w:rPr>
        <w:t>) لكافة خطوات تنفيذ المشروع، مما يعزز الحوكمة. ويؤكد (</w:t>
      </w:r>
      <w:r w:rsidRPr="00E63780">
        <w:rPr>
          <w:rFonts w:ascii="Times New Roman" w:eastAsia="Calibri" w:hAnsi="Times New Roman" w:cs="Simplified Arabic"/>
          <w:sz w:val="24"/>
          <w:szCs w:val="28"/>
        </w:rPr>
        <w:t>Nawaz &amp; Al-Rashed, 2024</w:t>
      </w:r>
      <w:r w:rsidRPr="00E63780">
        <w:rPr>
          <w:rFonts w:ascii="Times New Roman" w:eastAsia="Calibri" w:hAnsi="Times New Roman" w:cs="Simplified Arabic"/>
          <w:sz w:val="24"/>
          <w:szCs w:val="28"/>
          <w:rtl/>
        </w:rPr>
        <w:t xml:space="preserve">) أن </w:t>
      </w:r>
      <w:proofErr w:type="spellStart"/>
      <w:r w:rsidRPr="00E63780">
        <w:rPr>
          <w:rFonts w:ascii="Times New Roman" w:eastAsia="Calibri" w:hAnsi="Times New Roman" w:cs="Simplified Arabic"/>
          <w:sz w:val="24"/>
          <w:szCs w:val="28"/>
          <w:rtl/>
        </w:rPr>
        <w:t>رقمنة</w:t>
      </w:r>
      <w:proofErr w:type="spellEnd"/>
      <w:r w:rsidRPr="00E63780">
        <w:rPr>
          <w:rFonts w:ascii="Times New Roman" w:eastAsia="Calibri" w:hAnsi="Times New Roman" w:cs="Simplified Arabic"/>
          <w:sz w:val="24"/>
          <w:szCs w:val="28"/>
          <w:rtl/>
        </w:rPr>
        <w:t xml:space="preserve"> العقود والمواصفات الفنية في مشاريع الملاحة السعودية تتيح للهيئة العامة للطيران المدني (</w:t>
      </w:r>
      <w:r w:rsidRPr="00E63780">
        <w:rPr>
          <w:rFonts w:ascii="Times New Roman" w:eastAsia="Calibri" w:hAnsi="Times New Roman" w:cs="Simplified Arabic"/>
          <w:sz w:val="24"/>
          <w:szCs w:val="28"/>
        </w:rPr>
        <w:t>GACA</w:t>
      </w:r>
      <w:r w:rsidRPr="00E63780">
        <w:rPr>
          <w:rFonts w:ascii="Times New Roman" w:eastAsia="Calibri" w:hAnsi="Times New Roman" w:cs="Simplified Arabic"/>
          <w:sz w:val="24"/>
          <w:szCs w:val="28"/>
          <w:rtl/>
        </w:rPr>
        <w:t>) رقابة لحظية على مستوى الإنجاز والامتثال السيبراني. هذه الشفافية تضمن توجيه الموارد المالية نحو مستهدفاتها الحقيقية، محققةً أعلى مستويات الكفاءة الإدارية والمالية.</w:t>
      </w:r>
    </w:p>
    <w:p w14:paraId="29C2139B" w14:textId="77777777" w:rsidR="0045641C" w:rsidRDefault="0045641C" w:rsidP="008D5937">
      <w:pPr>
        <w:spacing w:after="120" w:line="240" w:lineRule="auto"/>
        <w:jc w:val="center"/>
        <w:rPr>
          <w:rFonts w:ascii="Times New Roman" w:eastAsia="Calibri" w:hAnsi="Times New Roman" w:cs="Simplified Arabic"/>
          <w:b/>
          <w:bCs/>
          <w:sz w:val="24"/>
          <w:szCs w:val="24"/>
          <w:rtl/>
        </w:rPr>
      </w:pPr>
    </w:p>
    <w:p w14:paraId="0E7FAA26" w14:textId="77777777" w:rsidR="0045641C" w:rsidRDefault="0045641C" w:rsidP="008D5937">
      <w:pPr>
        <w:spacing w:after="120" w:line="240" w:lineRule="auto"/>
        <w:jc w:val="center"/>
        <w:rPr>
          <w:rFonts w:ascii="Times New Roman" w:eastAsia="Calibri" w:hAnsi="Times New Roman" w:cs="Simplified Arabic"/>
          <w:b/>
          <w:bCs/>
          <w:sz w:val="24"/>
          <w:szCs w:val="24"/>
          <w:rtl/>
        </w:rPr>
      </w:pPr>
    </w:p>
    <w:p w14:paraId="227A7E3D" w14:textId="77777777" w:rsidR="0045641C" w:rsidRDefault="0045641C" w:rsidP="008D5937">
      <w:pPr>
        <w:spacing w:after="120" w:line="240" w:lineRule="auto"/>
        <w:jc w:val="center"/>
        <w:rPr>
          <w:rFonts w:ascii="Times New Roman" w:eastAsia="Calibri" w:hAnsi="Times New Roman" w:cs="Simplified Arabic"/>
          <w:b/>
          <w:bCs/>
          <w:sz w:val="24"/>
          <w:szCs w:val="24"/>
          <w:rtl/>
        </w:rPr>
      </w:pPr>
    </w:p>
    <w:p w14:paraId="35AC8B4E" w14:textId="77777777" w:rsidR="0045641C" w:rsidRDefault="0045641C" w:rsidP="008D5937">
      <w:pPr>
        <w:spacing w:after="120" w:line="240" w:lineRule="auto"/>
        <w:jc w:val="center"/>
        <w:rPr>
          <w:rFonts w:ascii="Times New Roman" w:eastAsia="Calibri" w:hAnsi="Times New Roman" w:cs="Simplified Arabic"/>
          <w:b/>
          <w:bCs/>
          <w:sz w:val="24"/>
          <w:szCs w:val="24"/>
          <w:rtl/>
        </w:rPr>
      </w:pPr>
    </w:p>
    <w:p w14:paraId="54FEE498" w14:textId="77777777" w:rsidR="0045641C" w:rsidRDefault="0045641C" w:rsidP="008D5937">
      <w:pPr>
        <w:spacing w:after="120" w:line="240" w:lineRule="auto"/>
        <w:jc w:val="center"/>
        <w:rPr>
          <w:rFonts w:ascii="Times New Roman" w:eastAsia="Calibri" w:hAnsi="Times New Roman" w:cs="Simplified Arabic"/>
          <w:b/>
          <w:bCs/>
          <w:sz w:val="24"/>
          <w:szCs w:val="24"/>
          <w:rtl/>
        </w:rPr>
      </w:pPr>
    </w:p>
    <w:p w14:paraId="7A8A191F" w14:textId="376912B1" w:rsidR="00E63780" w:rsidRPr="008D5937" w:rsidRDefault="00E63780" w:rsidP="008D5937">
      <w:pPr>
        <w:spacing w:after="120" w:line="240" w:lineRule="auto"/>
        <w:jc w:val="center"/>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lastRenderedPageBreak/>
        <w:t>جدول رقم (3): مصفوفة تأثير أبعاد التحول الرقمي على مؤشرات كفاءة المشاريع الملاحية</w:t>
      </w:r>
    </w:p>
    <w:tbl>
      <w:tblPr>
        <w:tblStyle w:val="4-51"/>
        <w:bidiVisual/>
        <w:tblW w:w="0" w:type="auto"/>
        <w:jc w:val="center"/>
        <w:tblLook w:val="04A0" w:firstRow="1" w:lastRow="0" w:firstColumn="1" w:lastColumn="0" w:noHBand="0" w:noVBand="1"/>
      </w:tblPr>
      <w:tblGrid>
        <w:gridCol w:w="1313"/>
        <w:gridCol w:w="1654"/>
        <w:gridCol w:w="3043"/>
        <w:gridCol w:w="2428"/>
      </w:tblGrid>
      <w:tr w:rsidR="00E63780" w:rsidRPr="008D5937" w14:paraId="5D2D3722" w14:textId="77777777" w:rsidTr="0045641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F2AACE" w14:textId="77777777" w:rsidR="00E63780" w:rsidRPr="008D5937" w:rsidRDefault="00E63780" w:rsidP="0045641C">
            <w:pPr>
              <w:spacing w:after="120" w:line="240" w:lineRule="auto"/>
              <w:jc w:val="center"/>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بُعد التحول الرقمي</w:t>
            </w:r>
          </w:p>
        </w:tc>
        <w:tc>
          <w:tcPr>
            <w:tcW w:w="0" w:type="auto"/>
            <w:vAlign w:val="center"/>
            <w:hideMark/>
          </w:tcPr>
          <w:p w14:paraId="5E8F7414" w14:textId="77777777" w:rsidR="00E63780" w:rsidRPr="008D5937" w:rsidRDefault="00E63780" w:rsidP="0045641C">
            <w:pPr>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مؤشر الكفاءة المستهدف</w:t>
            </w:r>
          </w:p>
        </w:tc>
        <w:tc>
          <w:tcPr>
            <w:tcW w:w="0" w:type="auto"/>
            <w:vAlign w:val="center"/>
            <w:hideMark/>
          </w:tcPr>
          <w:p w14:paraId="40651BE7" w14:textId="77777777" w:rsidR="00E63780" w:rsidRPr="008D5937" w:rsidRDefault="00E63780" w:rsidP="0045641C">
            <w:pPr>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آلية التأثير</w:t>
            </w:r>
          </w:p>
        </w:tc>
        <w:tc>
          <w:tcPr>
            <w:tcW w:w="0" w:type="auto"/>
            <w:vAlign w:val="center"/>
            <w:hideMark/>
          </w:tcPr>
          <w:p w14:paraId="01EC3155" w14:textId="77777777" w:rsidR="00E63780" w:rsidRPr="008D5937" w:rsidRDefault="00E63780" w:rsidP="0045641C">
            <w:pPr>
              <w:spacing w:after="1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المصدر</w:t>
            </w:r>
          </w:p>
        </w:tc>
      </w:tr>
      <w:tr w:rsidR="00E63780" w:rsidRPr="008D5937" w14:paraId="23831344" w14:textId="77777777" w:rsidTr="004564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A90878" w14:textId="77777777" w:rsidR="00E63780" w:rsidRPr="008D5937" w:rsidRDefault="00E63780" w:rsidP="0045641C">
            <w:pPr>
              <w:spacing w:after="120" w:line="240" w:lineRule="auto"/>
              <w:jc w:val="center"/>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البنية الرقمية</w:t>
            </w:r>
          </w:p>
        </w:tc>
        <w:tc>
          <w:tcPr>
            <w:tcW w:w="0" w:type="auto"/>
            <w:vAlign w:val="center"/>
            <w:hideMark/>
          </w:tcPr>
          <w:p w14:paraId="31B6AA67" w14:textId="77777777" w:rsidR="00E63780" w:rsidRPr="008D5937"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الكفاءة الزمنية</w:t>
            </w:r>
          </w:p>
        </w:tc>
        <w:tc>
          <w:tcPr>
            <w:tcW w:w="0" w:type="auto"/>
            <w:vAlign w:val="center"/>
            <w:hideMark/>
          </w:tcPr>
          <w:p w14:paraId="47B3FDD8" w14:textId="77777777" w:rsidR="00E63780" w:rsidRPr="008D5937"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تقليل زمن تبادل البيانات وتنسيق الأعمال الميدانية.</w:t>
            </w:r>
          </w:p>
        </w:tc>
        <w:tc>
          <w:tcPr>
            <w:tcW w:w="0" w:type="auto"/>
            <w:vAlign w:val="center"/>
            <w:hideMark/>
          </w:tcPr>
          <w:p w14:paraId="5F1E2BCC" w14:textId="77777777" w:rsidR="00E63780" w:rsidRPr="008D5937"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w:t>
            </w:r>
            <w:r w:rsidRPr="008D5937">
              <w:rPr>
                <w:rFonts w:ascii="Times New Roman" w:eastAsia="Calibri" w:hAnsi="Times New Roman" w:cs="Simplified Arabic"/>
                <w:b/>
                <w:bCs/>
                <w:sz w:val="24"/>
                <w:szCs w:val="24"/>
              </w:rPr>
              <w:t>Al-Shehri, 2024</w:t>
            </w:r>
            <w:r w:rsidRPr="008D5937">
              <w:rPr>
                <w:rFonts w:ascii="Times New Roman" w:eastAsia="Calibri" w:hAnsi="Times New Roman" w:cs="Simplified Arabic"/>
                <w:b/>
                <w:bCs/>
                <w:sz w:val="24"/>
                <w:szCs w:val="24"/>
                <w:rtl/>
              </w:rPr>
              <w:t>)</w:t>
            </w:r>
          </w:p>
        </w:tc>
      </w:tr>
      <w:tr w:rsidR="00E63780" w:rsidRPr="008D5937" w14:paraId="02388E97" w14:textId="77777777" w:rsidTr="0045641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86EF97" w14:textId="77777777" w:rsidR="00E63780" w:rsidRPr="008D5937" w:rsidRDefault="00E63780" w:rsidP="0045641C">
            <w:pPr>
              <w:spacing w:after="120" w:line="240" w:lineRule="auto"/>
              <w:jc w:val="center"/>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أتمتة العمليات</w:t>
            </w:r>
          </w:p>
        </w:tc>
        <w:tc>
          <w:tcPr>
            <w:tcW w:w="0" w:type="auto"/>
            <w:vAlign w:val="center"/>
            <w:hideMark/>
          </w:tcPr>
          <w:p w14:paraId="31A27688" w14:textId="77777777" w:rsidR="00E63780" w:rsidRPr="008D5937"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كفاءة الجودة</w:t>
            </w:r>
          </w:p>
        </w:tc>
        <w:tc>
          <w:tcPr>
            <w:tcW w:w="0" w:type="auto"/>
            <w:vAlign w:val="center"/>
            <w:hideMark/>
          </w:tcPr>
          <w:p w14:paraId="40AA10DB" w14:textId="77777777" w:rsidR="00E63780" w:rsidRPr="008D5937"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تقليل التدخل البشري والخطأ في ضبط المعايير الفنية.</w:t>
            </w:r>
          </w:p>
        </w:tc>
        <w:tc>
          <w:tcPr>
            <w:tcW w:w="0" w:type="auto"/>
            <w:vAlign w:val="center"/>
            <w:hideMark/>
          </w:tcPr>
          <w:p w14:paraId="5755660B" w14:textId="77777777" w:rsidR="00E63780" w:rsidRPr="008D5937"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w:t>
            </w:r>
            <w:r w:rsidRPr="008D5937">
              <w:rPr>
                <w:rFonts w:ascii="Times New Roman" w:eastAsia="Calibri" w:hAnsi="Times New Roman" w:cs="Simplified Arabic"/>
                <w:b/>
                <w:bCs/>
                <w:sz w:val="24"/>
                <w:szCs w:val="24"/>
              </w:rPr>
              <w:t>Strohmeier, 2020</w:t>
            </w:r>
            <w:r w:rsidRPr="008D5937">
              <w:rPr>
                <w:rFonts w:ascii="Times New Roman" w:eastAsia="Calibri" w:hAnsi="Times New Roman" w:cs="Simplified Arabic"/>
                <w:b/>
                <w:bCs/>
                <w:sz w:val="24"/>
                <w:szCs w:val="24"/>
                <w:rtl/>
              </w:rPr>
              <w:t>)</w:t>
            </w:r>
          </w:p>
        </w:tc>
      </w:tr>
      <w:tr w:rsidR="00E63780" w:rsidRPr="008D5937" w14:paraId="43C4059F" w14:textId="77777777" w:rsidTr="0045641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C2DB1F" w14:textId="77777777" w:rsidR="00E63780" w:rsidRPr="008D5937" w:rsidRDefault="00E63780" w:rsidP="0045641C">
            <w:pPr>
              <w:spacing w:after="120" w:line="240" w:lineRule="auto"/>
              <w:jc w:val="center"/>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التحليل التنبؤي</w:t>
            </w:r>
          </w:p>
        </w:tc>
        <w:tc>
          <w:tcPr>
            <w:tcW w:w="0" w:type="auto"/>
            <w:vAlign w:val="center"/>
            <w:hideMark/>
          </w:tcPr>
          <w:p w14:paraId="245D0ACF" w14:textId="77777777" w:rsidR="00E63780" w:rsidRPr="008D5937"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إدارة المخاطر</w:t>
            </w:r>
          </w:p>
        </w:tc>
        <w:tc>
          <w:tcPr>
            <w:tcW w:w="0" w:type="auto"/>
            <w:vAlign w:val="center"/>
            <w:hideMark/>
          </w:tcPr>
          <w:p w14:paraId="207469D0" w14:textId="77777777" w:rsidR="00E63780" w:rsidRPr="008D5937"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توقع الفشل التقني وتجنب انقطاع الخدمة الملاحية.</w:t>
            </w:r>
          </w:p>
        </w:tc>
        <w:tc>
          <w:tcPr>
            <w:tcW w:w="0" w:type="auto"/>
            <w:vAlign w:val="center"/>
            <w:hideMark/>
          </w:tcPr>
          <w:p w14:paraId="2D0C1666" w14:textId="77777777" w:rsidR="00E63780" w:rsidRPr="008D5937" w:rsidRDefault="00E63780" w:rsidP="0045641C">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w:t>
            </w:r>
            <w:r w:rsidRPr="008D5937">
              <w:rPr>
                <w:rFonts w:ascii="Times New Roman" w:eastAsia="Calibri" w:hAnsi="Times New Roman" w:cs="Simplified Arabic"/>
                <w:b/>
                <w:bCs/>
                <w:sz w:val="24"/>
                <w:szCs w:val="24"/>
              </w:rPr>
              <w:t>Votto et al., 2021</w:t>
            </w:r>
            <w:r w:rsidRPr="008D5937">
              <w:rPr>
                <w:rFonts w:ascii="Times New Roman" w:eastAsia="Calibri" w:hAnsi="Times New Roman" w:cs="Simplified Arabic"/>
                <w:b/>
                <w:bCs/>
                <w:sz w:val="24"/>
                <w:szCs w:val="24"/>
                <w:rtl/>
              </w:rPr>
              <w:t>)</w:t>
            </w:r>
          </w:p>
        </w:tc>
      </w:tr>
      <w:tr w:rsidR="00E63780" w:rsidRPr="008D5937" w14:paraId="31557311" w14:textId="77777777" w:rsidTr="0045641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1871F0" w14:textId="77777777" w:rsidR="00E63780" w:rsidRPr="008D5937" w:rsidRDefault="00E63780" w:rsidP="0045641C">
            <w:pPr>
              <w:spacing w:after="120" w:line="240" w:lineRule="auto"/>
              <w:jc w:val="center"/>
              <w:rPr>
                <w:rFonts w:ascii="Times New Roman" w:eastAsia="Calibri" w:hAnsi="Times New Roman" w:cs="Simplified Arabic"/>
                <w:b w:val="0"/>
                <w:bCs w:val="0"/>
                <w:sz w:val="24"/>
                <w:szCs w:val="24"/>
                <w:rtl/>
              </w:rPr>
            </w:pPr>
            <w:r w:rsidRPr="008D5937">
              <w:rPr>
                <w:rFonts w:ascii="Times New Roman" w:eastAsia="Calibri" w:hAnsi="Times New Roman" w:cs="Simplified Arabic"/>
                <w:sz w:val="24"/>
                <w:szCs w:val="24"/>
                <w:rtl/>
              </w:rPr>
              <w:t>الأمن السيبراني</w:t>
            </w:r>
          </w:p>
        </w:tc>
        <w:tc>
          <w:tcPr>
            <w:tcW w:w="0" w:type="auto"/>
            <w:vAlign w:val="center"/>
            <w:hideMark/>
          </w:tcPr>
          <w:p w14:paraId="0ED7E17A" w14:textId="77777777" w:rsidR="00E63780" w:rsidRPr="008D5937"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كفاءة الامتثال</w:t>
            </w:r>
          </w:p>
        </w:tc>
        <w:tc>
          <w:tcPr>
            <w:tcW w:w="0" w:type="auto"/>
            <w:vAlign w:val="center"/>
            <w:hideMark/>
          </w:tcPr>
          <w:p w14:paraId="0AF1BE45" w14:textId="77777777" w:rsidR="00E63780" w:rsidRPr="008D5937"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ضمان سلامة الأنظمة من الاختراق وفق المعايير الدولية.</w:t>
            </w:r>
          </w:p>
        </w:tc>
        <w:tc>
          <w:tcPr>
            <w:tcW w:w="0" w:type="auto"/>
            <w:vAlign w:val="center"/>
            <w:hideMark/>
          </w:tcPr>
          <w:p w14:paraId="771D1256" w14:textId="77777777" w:rsidR="00E63780" w:rsidRPr="008D5937" w:rsidRDefault="00E63780" w:rsidP="0045641C">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8D5937">
              <w:rPr>
                <w:rFonts w:ascii="Times New Roman" w:eastAsia="Calibri" w:hAnsi="Times New Roman" w:cs="Simplified Arabic"/>
                <w:b/>
                <w:bCs/>
                <w:sz w:val="24"/>
                <w:szCs w:val="24"/>
                <w:rtl/>
              </w:rPr>
              <w:t>(</w:t>
            </w:r>
            <w:r w:rsidRPr="008D5937">
              <w:rPr>
                <w:rFonts w:ascii="Times New Roman" w:eastAsia="Calibri" w:hAnsi="Times New Roman" w:cs="Simplified Arabic"/>
                <w:b/>
                <w:bCs/>
                <w:sz w:val="24"/>
                <w:szCs w:val="24"/>
              </w:rPr>
              <w:t>Nawaz</w:t>
            </w:r>
            <w:r w:rsidRPr="008D5937">
              <w:rPr>
                <w:rFonts w:ascii="Times New Roman" w:eastAsia="Calibri" w:hAnsi="Times New Roman" w:cs="Simplified Arabic"/>
                <w:b/>
                <w:bCs/>
                <w:sz w:val="24"/>
                <w:szCs w:val="24"/>
                <w:rtl/>
              </w:rPr>
              <w:t xml:space="preserve"> &amp; </w:t>
            </w:r>
            <w:r w:rsidRPr="008D5937">
              <w:rPr>
                <w:rFonts w:ascii="Times New Roman" w:eastAsia="Calibri" w:hAnsi="Times New Roman" w:cs="Simplified Arabic"/>
                <w:b/>
                <w:bCs/>
                <w:sz w:val="24"/>
                <w:szCs w:val="24"/>
              </w:rPr>
              <w:t>Al-Rashed, 2024</w:t>
            </w:r>
            <w:r w:rsidRPr="008D5937">
              <w:rPr>
                <w:rFonts w:ascii="Times New Roman" w:eastAsia="Calibri" w:hAnsi="Times New Roman" w:cs="Simplified Arabic"/>
                <w:b/>
                <w:bCs/>
                <w:sz w:val="24"/>
                <w:szCs w:val="24"/>
                <w:rtl/>
              </w:rPr>
              <w:t>)</w:t>
            </w:r>
          </w:p>
        </w:tc>
      </w:tr>
    </w:tbl>
    <w:p w14:paraId="362C168A" w14:textId="77777777" w:rsidR="00E63780" w:rsidRPr="00E63780" w:rsidRDefault="00E63780" w:rsidP="0045641C">
      <w:pPr>
        <w:spacing w:before="240"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تظهر المصفوفة أن التحول الرقمي ليس كتلة صماء، بل هو مجموعة من الأدوات التي يستهدف كل منها جانباً محدداً من جوانب كفاءة إدارة المشروع، مما يؤكد على ضرورة التطبيق المتكامل لهذه الأبعاد لضمان نجاح مشاريع أنظمة الملاحة.</w:t>
      </w:r>
    </w:p>
    <w:p w14:paraId="54696AEC"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hint="cs"/>
          <w:b/>
          <w:bCs/>
          <w:sz w:val="24"/>
          <w:szCs w:val="28"/>
          <w:rtl/>
        </w:rPr>
        <w:t>تعقيب تحليلي على المبحث الثالث:</w:t>
      </w:r>
    </w:p>
    <w:p w14:paraId="6B37C1D0" w14:textId="77777777"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يستخلص الباحث أن العلاقة بين التحول الرقمي وكفاءة إدارة مشاريع الملاحة الجوية هي "علاقة تكاملية عضوية"؛ حيث يمثل التحول الرقمي "المحرك التقني"، بينما تمثل كفاءة الإدارة "المقود" الذي يوجه هذا المحرك نحو تحقيق الرؤية الوطنية. ويرى الباحث أن نجاح هذه العلاقة في البيئة السعودية مرهون بكسر "الصوامع المعلوماتية" (</w:t>
      </w:r>
      <w:r w:rsidRPr="00E63780">
        <w:rPr>
          <w:rFonts w:ascii="Times New Roman" w:eastAsia="Calibri" w:hAnsi="Times New Roman" w:cs="Simplified Arabic"/>
          <w:sz w:val="24"/>
          <w:szCs w:val="28"/>
        </w:rPr>
        <w:t>Information Silos</w:t>
      </w:r>
      <w:r w:rsidRPr="00E63780">
        <w:rPr>
          <w:rFonts w:ascii="Times New Roman" w:eastAsia="Calibri" w:hAnsi="Times New Roman" w:cs="Simplified Arabic"/>
          <w:sz w:val="24"/>
          <w:szCs w:val="28"/>
          <w:rtl/>
        </w:rPr>
        <w:t>)، فمن دون تكامل البيانات بين كافة أطراف المشروع (من المخططين إلى المشغلين)، سيبقى التحول الرقمي مجرد جزر معزولة لا تحقق الكفاءة الكلية المنشودة.</w:t>
      </w:r>
    </w:p>
    <w:p w14:paraId="55133FD9" w14:textId="77777777" w:rsidR="00E63780" w:rsidRPr="00E63780" w:rsidRDefault="00E63780" w:rsidP="00E63780">
      <w:pPr>
        <w:spacing w:after="240" w:line="360" w:lineRule="auto"/>
        <w:ind w:firstLine="397"/>
        <w:jc w:val="both"/>
        <w:rPr>
          <w:rFonts w:ascii="Times New Roman" w:eastAsia="Calibri" w:hAnsi="Times New Roman" w:cs="Simplified Arabic"/>
          <w:sz w:val="2"/>
          <w:szCs w:val="2"/>
          <w:rtl/>
        </w:rPr>
      </w:pPr>
    </w:p>
    <w:p w14:paraId="08E8BFF1" w14:textId="77777777" w:rsidR="0045641C" w:rsidRDefault="0045641C" w:rsidP="00E63780">
      <w:pPr>
        <w:spacing w:after="240" w:line="360" w:lineRule="auto"/>
        <w:ind w:firstLine="397"/>
        <w:jc w:val="both"/>
        <w:rPr>
          <w:rFonts w:ascii="Times New Roman" w:eastAsia="Calibri" w:hAnsi="Times New Roman" w:cs="Simplified Arabic"/>
          <w:b/>
          <w:bCs/>
          <w:sz w:val="24"/>
          <w:szCs w:val="28"/>
          <w:rtl/>
        </w:rPr>
      </w:pPr>
    </w:p>
    <w:p w14:paraId="5E854843" w14:textId="11DDE6B7" w:rsidR="00E63780" w:rsidRPr="00E63780" w:rsidRDefault="00E63780" w:rsidP="00E63780">
      <w:pPr>
        <w:spacing w:after="240" w:line="360" w:lineRule="auto"/>
        <w:ind w:firstLine="397"/>
        <w:jc w:val="both"/>
        <w:rPr>
          <w:rFonts w:ascii="Times New Roman" w:eastAsia="Calibri" w:hAnsi="Times New Roman" w:cs="Simplified Arabic"/>
          <w:b/>
          <w:bCs/>
          <w:sz w:val="24"/>
          <w:szCs w:val="28"/>
          <w:rtl/>
        </w:rPr>
      </w:pPr>
      <w:r w:rsidRPr="00E63780">
        <w:rPr>
          <w:rFonts w:ascii="Times New Roman" w:eastAsia="Calibri" w:hAnsi="Times New Roman" w:cs="Simplified Arabic"/>
          <w:b/>
          <w:bCs/>
          <w:sz w:val="24"/>
          <w:szCs w:val="28"/>
          <w:rtl/>
        </w:rPr>
        <w:lastRenderedPageBreak/>
        <w:t>خاتمة الإطار النظري</w:t>
      </w:r>
    </w:p>
    <w:p w14:paraId="3A3229C7" w14:textId="7032FC4F" w:rsidR="00E63780" w:rsidRPr="00E63780" w:rsidRDefault="00E63780" w:rsidP="00E63780">
      <w:pPr>
        <w:spacing w:after="240" w:line="360" w:lineRule="auto"/>
        <w:ind w:firstLine="397"/>
        <w:jc w:val="both"/>
        <w:rPr>
          <w:rFonts w:ascii="Times New Roman" w:eastAsia="Calibri" w:hAnsi="Times New Roman" w:cs="Simplified Arabic"/>
          <w:sz w:val="24"/>
          <w:szCs w:val="28"/>
          <w:rtl/>
        </w:rPr>
      </w:pPr>
      <w:r w:rsidRPr="00E63780">
        <w:rPr>
          <w:rFonts w:ascii="Times New Roman" w:eastAsia="Calibri" w:hAnsi="Times New Roman" w:cs="Simplified Arabic"/>
          <w:sz w:val="24"/>
          <w:szCs w:val="28"/>
          <w:rtl/>
        </w:rPr>
        <w:t xml:space="preserve">ختاماً لهذا الفصل، فقد تم استعراض الأسس النظرية والمفاهيمية للتحول الرقمي وكفاءة إدارة المشاريع، مع تسليط الضوء على الخصوصية العالية لقطاع الملاحة الجوية بالمملكة. </w:t>
      </w:r>
      <w:r w:rsidR="00774691">
        <w:rPr>
          <w:rFonts w:ascii="Times New Roman" w:eastAsia="Calibri" w:hAnsi="Times New Roman" w:cs="Simplified Arabic" w:hint="cs"/>
          <w:sz w:val="24"/>
          <w:szCs w:val="28"/>
          <w:rtl/>
        </w:rPr>
        <w:t>و</w:t>
      </w:r>
      <w:r w:rsidRPr="00E63780">
        <w:rPr>
          <w:rFonts w:ascii="Times New Roman" w:eastAsia="Calibri" w:hAnsi="Times New Roman" w:cs="Simplified Arabic"/>
          <w:sz w:val="24"/>
          <w:szCs w:val="28"/>
          <w:rtl/>
        </w:rPr>
        <w:t xml:space="preserve">إن التراكم المعرفي الذي قدمه الإطار النظري يؤكد أن </w:t>
      </w:r>
      <w:proofErr w:type="spellStart"/>
      <w:r w:rsidRPr="00E63780">
        <w:rPr>
          <w:rFonts w:ascii="Times New Roman" w:eastAsia="Calibri" w:hAnsi="Times New Roman" w:cs="Simplified Arabic"/>
          <w:sz w:val="24"/>
          <w:szCs w:val="28"/>
          <w:rtl/>
        </w:rPr>
        <w:t>الرقمنة</w:t>
      </w:r>
      <w:proofErr w:type="spellEnd"/>
      <w:r w:rsidRPr="00E63780">
        <w:rPr>
          <w:rFonts w:ascii="Times New Roman" w:eastAsia="Calibri" w:hAnsi="Times New Roman" w:cs="Simplified Arabic"/>
          <w:sz w:val="24"/>
          <w:szCs w:val="28"/>
          <w:rtl/>
        </w:rPr>
        <w:t xml:space="preserve"> هي السبيل الوحيد لإدارة التعقيد المتزايد في مشاريع المطارات الحديثة. وبهذا، يكون البحث قد وضع ركيزة صلبة للانتقال من الجانب النظري الوصفي إلى الجانب الميداني التحليلي، لاختبار هذه الفرضيات على أرض الواقع في مطارات المملكة العربية السعودية.</w:t>
      </w:r>
    </w:p>
    <w:p w14:paraId="26B06A7D" w14:textId="33F72029" w:rsidR="00217D8D" w:rsidRPr="00612B60" w:rsidRDefault="00217D8D" w:rsidP="00612B60">
      <w:pPr>
        <w:spacing w:after="0" w:line="360" w:lineRule="auto"/>
        <w:jc w:val="both"/>
        <w:rPr>
          <w:rFonts w:ascii="Times New Roman" w:eastAsia="Calibri" w:hAnsi="Times New Roman" w:cs="Simplified Arabic" w:hint="cs"/>
          <w:sz w:val="24"/>
          <w:szCs w:val="28"/>
        </w:rPr>
      </w:pPr>
    </w:p>
    <w:sectPr w:rsidR="00217D8D" w:rsidRPr="00612B60"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C0E73" w14:textId="77777777" w:rsidR="00D57D4A" w:rsidRDefault="00D57D4A">
      <w:pPr>
        <w:spacing w:after="0" w:line="240" w:lineRule="auto"/>
      </w:pPr>
      <w:r>
        <w:separator/>
      </w:r>
    </w:p>
  </w:endnote>
  <w:endnote w:type="continuationSeparator" w:id="0">
    <w:p w14:paraId="655E722C" w14:textId="77777777" w:rsidR="00D57D4A" w:rsidRDefault="00D57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Content>
      <w:p w14:paraId="1C39DD6C" w14:textId="77777777"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72F02A0F" w14:textId="7777777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1569232E"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7D7761B1"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15A80" w14:textId="77777777" w:rsidR="00D57D4A" w:rsidRDefault="00D57D4A">
      <w:pPr>
        <w:spacing w:after="0" w:line="240" w:lineRule="auto"/>
      </w:pPr>
      <w:r>
        <w:separator/>
      </w:r>
    </w:p>
  </w:footnote>
  <w:footnote w:type="continuationSeparator" w:id="0">
    <w:p w14:paraId="04AC4A1B" w14:textId="77777777" w:rsidR="00D57D4A" w:rsidRDefault="00D57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630"/>
    <w:multiLevelType w:val="multilevel"/>
    <w:tmpl w:val="5B3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223A5"/>
    <w:multiLevelType w:val="multilevel"/>
    <w:tmpl w:val="4EDCB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222C07"/>
    <w:multiLevelType w:val="multilevel"/>
    <w:tmpl w:val="2964614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5722EA"/>
    <w:multiLevelType w:val="multilevel"/>
    <w:tmpl w:val="54744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8B4E2F"/>
    <w:multiLevelType w:val="multilevel"/>
    <w:tmpl w:val="6D4A3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AF45E7"/>
    <w:multiLevelType w:val="multilevel"/>
    <w:tmpl w:val="C1E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05311A"/>
    <w:multiLevelType w:val="multilevel"/>
    <w:tmpl w:val="0468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EE06BB"/>
    <w:multiLevelType w:val="multilevel"/>
    <w:tmpl w:val="C378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FC1774"/>
    <w:multiLevelType w:val="multilevel"/>
    <w:tmpl w:val="019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4136D9"/>
    <w:multiLevelType w:val="multilevel"/>
    <w:tmpl w:val="E7A09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F91D3F"/>
    <w:multiLevelType w:val="multilevel"/>
    <w:tmpl w:val="6808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FC2926"/>
    <w:multiLevelType w:val="multilevel"/>
    <w:tmpl w:val="8C922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0B31A8"/>
    <w:multiLevelType w:val="multilevel"/>
    <w:tmpl w:val="72746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5968DC"/>
    <w:multiLevelType w:val="multilevel"/>
    <w:tmpl w:val="2936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B417E4"/>
    <w:multiLevelType w:val="multilevel"/>
    <w:tmpl w:val="6A3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BA09BD"/>
    <w:multiLevelType w:val="multilevel"/>
    <w:tmpl w:val="94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E56384"/>
    <w:multiLevelType w:val="multilevel"/>
    <w:tmpl w:val="1F82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9256FE6"/>
    <w:multiLevelType w:val="multilevel"/>
    <w:tmpl w:val="385C7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A6D29C3"/>
    <w:multiLevelType w:val="multilevel"/>
    <w:tmpl w:val="C77A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B101B64"/>
    <w:multiLevelType w:val="multilevel"/>
    <w:tmpl w:val="0DBE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B2F3B01"/>
    <w:multiLevelType w:val="multilevel"/>
    <w:tmpl w:val="C270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B945314"/>
    <w:multiLevelType w:val="multilevel"/>
    <w:tmpl w:val="D6B2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2B115B"/>
    <w:multiLevelType w:val="multilevel"/>
    <w:tmpl w:val="29DE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C392A1E"/>
    <w:multiLevelType w:val="multilevel"/>
    <w:tmpl w:val="DD9C6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CC7516E"/>
    <w:multiLevelType w:val="multilevel"/>
    <w:tmpl w:val="46849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E242C0E"/>
    <w:multiLevelType w:val="multilevel"/>
    <w:tmpl w:val="AD94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297706"/>
    <w:multiLevelType w:val="multilevel"/>
    <w:tmpl w:val="FF24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7778E5"/>
    <w:multiLevelType w:val="multilevel"/>
    <w:tmpl w:val="684CC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FAF5CEB"/>
    <w:multiLevelType w:val="multilevel"/>
    <w:tmpl w:val="FD2883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FCE0781"/>
    <w:multiLevelType w:val="multilevel"/>
    <w:tmpl w:val="0BD656A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01F1A4A"/>
    <w:multiLevelType w:val="multilevel"/>
    <w:tmpl w:val="688C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0205394"/>
    <w:multiLevelType w:val="multilevel"/>
    <w:tmpl w:val="4E56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0B650B7"/>
    <w:multiLevelType w:val="multilevel"/>
    <w:tmpl w:val="93B06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21024D3"/>
    <w:multiLevelType w:val="multilevel"/>
    <w:tmpl w:val="CD109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2305CB2"/>
    <w:multiLevelType w:val="multilevel"/>
    <w:tmpl w:val="DB84EE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2E8059D"/>
    <w:multiLevelType w:val="multilevel"/>
    <w:tmpl w:val="2A2650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3C3426F"/>
    <w:multiLevelType w:val="multilevel"/>
    <w:tmpl w:val="CA38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4830F24"/>
    <w:multiLevelType w:val="multilevel"/>
    <w:tmpl w:val="018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50E6136"/>
    <w:multiLevelType w:val="multilevel"/>
    <w:tmpl w:val="28F8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6DE084C"/>
    <w:multiLevelType w:val="multilevel"/>
    <w:tmpl w:val="ECA88C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6F26AD4"/>
    <w:multiLevelType w:val="multilevel"/>
    <w:tmpl w:val="305A3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98D6D29"/>
    <w:multiLevelType w:val="multilevel"/>
    <w:tmpl w:val="0BD656A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A83466F"/>
    <w:multiLevelType w:val="multilevel"/>
    <w:tmpl w:val="811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B3F7F14"/>
    <w:multiLevelType w:val="multilevel"/>
    <w:tmpl w:val="D11C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C337F1D"/>
    <w:multiLevelType w:val="multilevel"/>
    <w:tmpl w:val="BC440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C5C1CF7"/>
    <w:multiLevelType w:val="multilevel"/>
    <w:tmpl w:val="D9E2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D574596"/>
    <w:multiLevelType w:val="multilevel"/>
    <w:tmpl w:val="9CC26C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DD80DD6"/>
    <w:multiLevelType w:val="multilevel"/>
    <w:tmpl w:val="FF2AB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DEF0F54"/>
    <w:multiLevelType w:val="multilevel"/>
    <w:tmpl w:val="7B1EA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E345DCF"/>
    <w:multiLevelType w:val="multilevel"/>
    <w:tmpl w:val="282A1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E4909E6"/>
    <w:multiLevelType w:val="multilevel"/>
    <w:tmpl w:val="93CC8C6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E597D53"/>
    <w:multiLevelType w:val="multilevel"/>
    <w:tmpl w:val="48BA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EAF5630"/>
    <w:multiLevelType w:val="multilevel"/>
    <w:tmpl w:val="584496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F3435A9"/>
    <w:multiLevelType w:val="multilevel"/>
    <w:tmpl w:val="90B05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286293F"/>
    <w:multiLevelType w:val="multilevel"/>
    <w:tmpl w:val="43FC8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32622AA"/>
    <w:multiLevelType w:val="multilevel"/>
    <w:tmpl w:val="32BEF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3C20B70"/>
    <w:multiLevelType w:val="multilevel"/>
    <w:tmpl w:val="14FC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58" w15:restartNumberingAfterBreak="0">
    <w:nsid w:val="23E42A56"/>
    <w:multiLevelType w:val="multilevel"/>
    <w:tmpl w:val="B8A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4B32FC6"/>
    <w:multiLevelType w:val="multilevel"/>
    <w:tmpl w:val="19A8C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5736E06"/>
    <w:multiLevelType w:val="multilevel"/>
    <w:tmpl w:val="40F8F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5817A85"/>
    <w:multiLevelType w:val="multilevel"/>
    <w:tmpl w:val="35708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5B96F8C"/>
    <w:multiLevelType w:val="multilevel"/>
    <w:tmpl w:val="441A2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5E73D5C"/>
    <w:multiLevelType w:val="multilevel"/>
    <w:tmpl w:val="64D0E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6374AC2"/>
    <w:multiLevelType w:val="multilevel"/>
    <w:tmpl w:val="87E00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6913769"/>
    <w:multiLevelType w:val="multilevel"/>
    <w:tmpl w:val="F4CA7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8186D46"/>
    <w:multiLevelType w:val="multilevel"/>
    <w:tmpl w:val="63A2CC0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8256024"/>
    <w:multiLevelType w:val="multilevel"/>
    <w:tmpl w:val="205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8AF736E"/>
    <w:multiLevelType w:val="multilevel"/>
    <w:tmpl w:val="4D66C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95D2160"/>
    <w:multiLevelType w:val="multilevel"/>
    <w:tmpl w:val="42BE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ACD28E4"/>
    <w:multiLevelType w:val="multilevel"/>
    <w:tmpl w:val="FC1AFE8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BEC281A"/>
    <w:multiLevelType w:val="multilevel"/>
    <w:tmpl w:val="6EB8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C771C92"/>
    <w:multiLevelType w:val="multilevel"/>
    <w:tmpl w:val="86D06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EA0704D"/>
    <w:multiLevelType w:val="multilevel"/>
    <w:tmpl w:val="9CC26C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2FA6E13"/>
    <w:multiLevelType w:val="multilevel"/>
    <w:tmpl w:val="59BE4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3C53D5B"/>
    <w:multiLevelType w:val="multilevel"/>
    <w:tmpl w:val="3AFE6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44D2CE5"/>
    <w:multiLevelType w:val="multilevel"/>
    <w:tmpl w:val="EF6A40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48479F5"/>
    <w:multiLevelType w:val="multilevel"/>
    <w:tmpl w:val="EF8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53D12B2"/>
    <w:multiLevelType w:val="multilevel"/>
    <w:tmpl w:val="C068F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57D4A7A"/>
    <w:multiLevelType w:val="multilevel"/>
    <w:tmpl w:val="EB024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5B646A3"/>
    <w:multiLevelType w:val="multilevel"/>
    <w:tmpl w:val="3D463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62900B9"/>
    <w:multiLevelType w:val="hybridMultilevel"/>
    <w:tmpl w:val="F02ECE54"/>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2" w15:restartNumberingAfterBreak="0">
    <w:nsid w:val="363B43CB"/>
    <w:multiLevelType w:val="multilevel"/>
    <w:tmpl w:val="02CEE6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77F462A"/>
    <w:multiLevelType w:val="multilevel"/>
    <w:tmpl w:val="144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7C951D0"/>
    <w:multiLevelType w:val="multilevel"/>
    <w:tmpl w:val="E4F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97B6B34"/>
    <w:multiLevelType w:val="multilevel"/>
    <w:tmpl w:val="DBB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A8F2F3D"/>
    <w:multiLevelType w:val="multilevel"/>
    <w:tmpl w:val="F21E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DCB5EAA"/>
    <w:multiLevelType w:val="multilevel"/>
    <w:tmpl w:val="AFB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E1A1C8A"/>
    <w:multiLevelType w:val="multilevel"/>
    <w:tmpl w:val="FF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ECB39C3"/>
    <w:multiLevelType w:val="multilevel"/>
    <w:tmpl w:val="4722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EE478DF"/>
    <w:multiLevelType w:val="multilevel"/>
    <w:tmpl w:val="9A64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F904B87"/>
    <w:multiLevelType w:val="multilevel"/>
    <w:tmpl w:val="8698F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F933C94"/>
    <w:multiLevelType w:val="multilevel"/>
    <w:tmpl w:val="50B6E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FF42D52"/>
    <w:multiLevelType w:val="multilevel"/>
    <w:tmpl w:val="CAA26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0634956"/>
    <w:multiLevelType w:val="multilevel"/>
    <w:tmpl w:val="5E22D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96" w15:restartNumberingAfterBreak="0">
    <w:nsid w:val="415B1113"/>
    <w:multiLevelType w:val="multilevel"/>
    <w:tmpl w:val="8098D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3432D90"/>
    <w:multiLevelType w:val="multilevel"/>
    <w:tmpl w:val="73FE4136"/>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4217B7D"/>
    <w:multiLevelType w:val="multilevel"/>
    <w:tmpl w:val="63A2CC0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4A7751F"/>
    <w:multiLevelType w:val="multilevel"/>
    <w:tmpl w:val="0EA66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4C86172"/>
    <w:multiLevelType w:val="multilevel"/>
    <w:tmpl w:val="2F623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5046576"/>
    <w:multiLevelType w:val="multilevel"/>
    <w:tmpl w:val="77D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6EC1042"/>
    <w:multiLevelType w:val="multilevel"/>
    <w:tmpl w:val="F4621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7275C42"/>
    <w:multiLevelType w:val="multilevel"/>
    <w:tmpl w:val="266C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8982339"/>
    <w:multiLevelType w:val="multilevel"/>
    <w:tmpl w:val="FFA26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9296E04"/>
    <w:multiLevelType w:val="multilevel"/>
    <w:tmpl w:val="B4BAB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9882977"/>
    <w:multiLevelType w:val="multilevel"/>
    <w:tmpl w:val="C4F69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9CA1939"/>
    <w:multiLevelType w:val="multilevel"/>
    <w:tmpl w:val="C930C1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A5C5DA4"/>
    <w:multiLevelType w:val="multilevel"/>
    <w:tmpl w:val="6F6AA3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AED3AFD"/>
    <w:multiLevelType w:val="multilevel"/>
    <w:tmpl w:val="838C3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B8909B7"/>
    <w:multiLevelType w:val="multilevel"/>
    <w:tmpl w:val="CFFEB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4BAC5715"/>
    <w:multiLevelType w:val="multilevel"/>
    <w:tmpl w:val="FDDA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4C0060B6"/>
    <w:multiLevelType w:val="multilevel"/>
    <w:tmpl w:val="C84E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C70384F"/>
    <w:multiLevelType w:val="multilevel"/>
    <w:tmpl w:val="FC7C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CC01CA5"/>
    <w:multiLevelType w:val="multilevel"/>
    <w:tmpl w:val="1970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D1C5DD0"/>
    <w:multiLevelType w:val="multilevel"/>
    <w:tmpl w:val="6BF044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D6560FE"/>
    <w:multiLevelType w:val="multilevel"/>
    <w:tmpl w:val="5FCA5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4DA568CC"/>
    <w:multiLevelType w:val="multilevel"/>
    <w:tmpl w:val="72AC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DC13B94"/>
    <w:multiLevelType w:val="multilevel"/>
    <w:tmpl w:val="987C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DE474BE"/>
    <w:multiLevelType w:val="multilevel"/>
    <w:tmpl w:val="B63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E845A4C"/>
    <w:multiLevelType w:val="multilevel"/>
    <w:tmpl w:val="A47A7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F9420DC"/>
    <w:multiLevelType w:val="multilevel"/>
    <w:tmpl w:val="7F8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04F372D"/>
    <w:multiLevelType w:val="multilevel"/>
    <w:tmpl w:val="1222F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0E933D5"/>
    <w:multiLevelType w:val="multilevel"/>
    <w:tmpl w:val="5A6E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1BA21AE"/>
    <w:multiLevelType w:val="multilevel"/>
    <w:tmpl w:val="83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2FA1079"/>
    <w:multiLevelType w:val="multilevel"/>
    <w:tmpl w:val="46A46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3524ACC"/>
    <w:multiLevelType w:val="multilevel"/>
    <w:tmpl w:val="6BF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4B27E3D"/>
    <w:multiLevelType w:val="multilevel"/>
    <w:tmpl w:val="0C80D2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6E1448A"/>
    <w:multiLevelType w:val="hybridMultilevel"/>
    <w:tmpl w:val="575A7640"/>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9" w15:restartNumberingAfterBreak="0">
    <w:nsid w:val="57E831A3"/>
    <w:multiLevelType w:val="hybridMultilevel"/>
    <w:tmpl w:val="8F4CED36"/>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30" w15:restartNumberingAfterBreak="0">
    <w:nsid w:val="5A327B87"/>
    <w:multiLevelType w:val="multilevel"/>
    <w:tmpl w:val="88ACA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ACD2437"/>
    <w:multiLevelType w:val="multilevel"/>
    <w:tmpl w:val="0E3EC05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B0F1E60"/>
    <w:multiLevelType w:val="multilevel"/>
    <w:tmpl w:val="EA926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BFA5A27"/>
    <w:multiLevelType w:val="multilevel"/>
    <w:tmpl w:val="C72E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C625E6E"/>
    <w:multiLevelType w:val="multilevel"/>
    <w:tmpl w:val="2964614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5DC76E62"/>
    <w:multiLevelType w:val="multilevel"/>
    <w:tmpl w:val="D098D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ED72649"/>
    <w:multiLevelType w:val="multilevel"/>
    <w:tmpl w:val="F0D01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5EFE784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F69172A"/>
    <w:multiLevelType w:val="multilevel"/>
    <w:tmpl w:val="94842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5FAD2936"/>
    <w:multiLevelType w:val="multilevel"/>
    <w:tmpl w:val="62421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1595C6A"/>
    <w:multiLevelType w:val="multilevel"/>
    <w:tmpl w:val="287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17063C7"/>
    <w:multiLevelType w:val="multilevel"/>
    <w:tmpl w:val="303E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23313B0"/>
    <w:multiLevelType w:val="multilevel"/>
    <w:tmpl w:val="F148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332509D"/>
    <w:multiLevelType w:val="multilevel"/>
    <w:tmpl w:val="BB426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33E02F7"/>
    <w:multiLevelType w:val="multilevel"/>
    <w:tmpl w:val="E0AE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5471F81"/>
    <w:multiLevelType w:val="multilevel"/>
    <w:tmpl w:val="795A0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658E49B5"/>
    <w:multiLevelType w:val="multilevel"/>
    <w:tmpl w:val="EF844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65FE7CC8"/>
    <w:multiLevelType w:val="multilevel"/>
    <w:tmpl w:val="982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68D78A5"/>
    <w:multiLevelType w:val="multilevel"/>
    <w:tmpl w:val="488EE5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773626D"/>
    <w:multiLevelType w:val="multilevel"/>
    <w:tmpl w:val="5E7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83B5B9A"/>
    <w:multiLevelType w:val="multilevel"/>
    <w:tmpl w:val="F1340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8D75B08"/>
    <w:multiLevelType w:val="multilevel"/>
    <w:tmpl w:val="2A7065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93D1976"/>
    <w:multiLevelType w:val="multilevel"/>
    <w:tmpl w:val="F9FCB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A2153A3"/>
    <w:multiLevelType w:val="multilevel"/>
    <w:tmpl w:val="D79C0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A3D6A28"/>
    <w:multiLevelType w:val="hybridMultilevel"/>
    <w:tmpl w:val="7F7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A7600A0"/>
    <w:multiLevelType w:val="multilevel"/>
    <w:tmpl w:val="6FDA8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A9C2D66"/>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BA43F41"/>
    <w:multiLevelType w:val="multilevel"/>
    <w:tmpl w:val="A696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C3F0979"/>
    <w:multiLevelType w:val="multilevel"/>
    <w:tmpl w:val="0AFCE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D0D512B"/>
    <w:multiLevelType w:val="multilevel"/>
    <w:tmpl w:val="655A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DC853F2"/>
    <w:multiLevelType w:val="multilevel"/>
    <w:tmpl w:val="690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EFA3AB5"/>
    <w:multiLevelType w:val="multilevel"/>
    <w:tmpl w:val="C466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F13795E"/>
    <w:multiLevelType w:val="multilevel"/>
    <w:tmpl w:val="B2F05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02F1DF9"/>
    <w:multiLevelType w:val="multilevel"/>
    <w:tmpl w:val="12AEF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0DF6681"/>
    <w:multiLevelType w:val="multilevel"/>
    <w:tmpl w:val="61E29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70F7116D"/>
    <w:multiLevelType w:val="multilevel"/>
    <w:tmpl w:val="5C42D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71E77AB2"/>
    <w:multiLevelType w:val="multilevel"/>
    <w:tmpl w:val="B324D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2CA1135"/>
    <w:multiLevelType w:val="multilevel"/>
    <w:tmpl w:val="A3244082"/>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73600225"/>
    <w:multiLevelType w:val="multilevel"/>
    <w:tmpl w:val="FE64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51B5E89"/>
    <w:multiLevelType w:val="multilevel"/>
    <w:tmpl w:val="FE0A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75661499"/>
    <w:multiLevelType w:val="multilevel"/>
    <w:tmpl w:val="D3807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5FC1331"/>
    <w:multiLevelType w:val="multilevel"/>
    <w:tmpl w:val="EA846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767D5BD1"/>
    <w:multiLevelType w:val="multilevel"/>
    <w:tmpl w:val="606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7FB2C14"/>
    <w:multiLevelType w:val="multilevel"/>
    <w:tmpl w:val="66986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8A51709"/>
    <w:multiLevelType w:val="multilevel"/>
    <w:tmpl w:val="CDA85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799768C7"/>
    <w:multiLevelType w:val="multilevel"/>
    <w:tmpl w:val="CD385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7A4D2DA5"/>
    <w:multiLevelType w:val="multilevel"/>
    <w:tmpl w:val="9F422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AE3371C"/>
    <w:multiLevelType w:val="multilevel"/>
    <w:tmpl w:val="CBA65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CBD454A"/>
    <w:multiLevelType w:val="multilevel"/>
    <w:tmpl w:val="E468F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CE47B72"/>
    <w:multiLevelType w:val="multilevel"/>
    <w:tmpl w:val="303A9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7D7679F1"/>
    <w:multiLevelType w:val="multilevel"/>
    <w:tmpl w:val="E3480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7DE80604"/>
    <w:multiLevelType w:val="multilevel"/>
    <w:tmpl w:val="1494F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E5A126E"/>
    <w:multiLevelType w:val="multilevel"/>
    <w:tmpl w:val="77486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FCE46C2"/>
    <w:multiLevelType w:val="hybridMultilevel"/>
    <w:tmpl w:val="35E4FE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08293">
    <w:abstractNumId w:val="95"/>
  </w:num>
  <w:num w:numId="2" w16cid:durableId="2129541181">
    <w:abstractNumId w:val="57"/>
  </w:num>
  <w:num w:numId="3" w16cid:durableId="1352954896">
    <w:abstractNumId w:val="128"/>
  </w:num>
  <w:num w:numId="4" w16cid:durableId="1463964379">
    <w:abstractNumId w:val="137"/>
  </w:num>
  <w:num w:numId="5" w16cid:durableId="1852523126">
    <w:abstractNumId w:val="156"/>
  </w:num>
  <w:num w:numId="6" w16cid:durableId="650252179">
    <w:abstractNumId w:val="5"/>
  </w:num>
  <w:num w:numId="7" w16cid:durableId="251861357">
    <w:abstractNumId w:val="146"/>
  </w:num>
  <w:num w:numId="8" w16cid:durableId="13195516">
    <w:abstractNumId w:val="31"/>
  </w:num>
  <w:num w:numId="9" w16cid:durableId="504319135">
    <w:abstractNumId w:val="172"/>
  </w:num>
  <w:num w:numId="10" w16cid:durableId="1957517621">
    <w:abstractNumId w:val="63"/>
  </w:num>
  <w:num w:numId="11" w16cid:durableId="1966420689">
    <w:abstractNumId w:val="15"/>
  </w:num>
  <w:num w:numId="12" w16cid:durableId="322703937">
    <w:abstractNumId w:val="83"/>
  </w:num>
  <w:num w:numId="13" w16cid:durableId="2142266153">
    <w:abstractNumId w:val="168"/>
  </w:num>
  <w:num w:numId="14" w16cid:durableId="490563651">
    <w:abstractNumId w:val="140"/>
  </w:num>
  <w:num w:numId="15" w16cid:durableId="1968315205">
    <w:abstractNumId w:val="126"/>
  </w:num>
  <w:num w:numId="16" w16cid:durableId="51000871">
    <w:abstractNumId w:val="149"/>
  </w:num>
  <w:num w:numId="17" w16cid:durableId="159466258">
    <w:abstractNumId w:val="51"/>
  </w:num>
  <w:num w:numId="18" w16cid:durableId="1732188788">
    <w:abstractNumId w:val="87"/>
  </w:num>
  <w:num w:numId="19" w16cid:durableId="2013948564">
    <w:abstractNumId w:val="14"/>
  </w:num>
  <w:num w:numId="20" w16cid:durableId="1056006242">
    <w:abstractNumId w:val="160"/>
  </w:num>
  <w:num w:numId="21" w16cid:durableId="352196021">
    <w:abstractNumId w:val="101"/>
  </w:num>
  <w:num w:numId="22" w16cid:durableId="919950166">
    <w:abstractNumId w:val="103"/>
  </w:num>
  <w:num w:numId="23" w16cid:durableId="967858425">
    <w:abstractNumId w:val="113"/>
  </w:num>
  <w:num w:numId="24" w16cid:durableId="937979412">
    <w:abstractNumId w:val="42"/>
  </w:num>
  <w:num w:numId="25" w16cid:durableId="735781023">
    <w:abstractNumId w:val="124"/>
  </w:num>
  <w:num w:numId="26" w16cid:durableId="2146964918">
    <w:abstractNumId w:val="169"/>
  </w:num>
  <w:num w:numId="27" w16cid:durableId="652686835">
    <w:abstractNumId w:val="67"/>
  </w:num>
  <w:num w:numId="28" w16cid:durableId="1367413872">
    <w:abstractNumId w:val="84"/>
  </w:num>
  <w:num w:numId="29" w16cid:durableId="294338633">
    <w:abstractNumId w:val="147"/>
  </w:num>
  <w:num w:numId="30" w16cid:durableId="1761024022">
    <w:abstractNumId w:val="141"/>
  </w:num>
  <w:num w:numId="31" w16cid:durableId="72941838">
    <w:abstractNumId w:val="123"/>
  </w:num>
  <w:num w:numId="32" w16cid:durableId="125440643">
    <w:abstractNumId w:val="85"/>
  </w:num>
  <w:num w:numId="33" w16cid:durableId="2090497330">
    <w:abstractNumId w:val="36"/>
  </w:num>
  <w:num w:numId="34" w16cid:durableId="1370761751">
    <w:abstractNumId w:val="77"/>
  </w:num>
  <w:num w:numId="35" w16cid:durableId="1568177666">
    <w:abstractNumId w:val="110"/>
  </w:num>
  <w:num w:numId="36" w16cid:durableId="503781703">
    <w:abstractNumId w:val="144"/>
  </w:num>
  <w:num w:numId="37" w16cid:durableId="1317949551">
    <w:abstractNumId w:val="142"/>
  </w:num>
  <w:num w:numId="38" w16cid:durableId="768769799">
    <w:abstractNumId w:val="18"/>
  </w:num>
  <w:num w:numId="39" w16cid:durableId="518660538">
    <w:abstractNumId w:val="16"/>
  </w:num>
  <w:num w:numId="40" w16cid:durableId="874512468">
    <w:abstractNumId w:val="56"/>
  </w:num>
  <w:num w:numId="41" w16cid:durableId="2095855828">
    <w:abstractNumId w:val="118"/>
  </w:num>
  <w:num w:numId="42" w16cid:durableId="1987123039">
    <w:abstractNumId w:val="119"/>
  </w:num>
  <w:num w:numId="43" w16cid:durableId="365717571">
    <w:abstractNumId w:val="88"/>
  </w:num>
  <w:num w:numId="44" w16cid:durableId="467432745">
    <w:abstractNumId w:val="58"/>
  </w:num>
  <w:num w:numId="45" w16cid:durableId="1726488743">
    <w:abstractNumId w:val="8"/>
  </w:num>
  <w:num w:numId="46" w16cid:durableId="1406565027">
    <w:abstractNumId w:val="37"/>
  </w:num>
  <w:num w:numId="47" w16cid:durableId="2023628543">
    <w:abstractNumId w:val="129"/>
  </w:num>
  <w:num w:numId="48" w16cid:durableId="1764840132">
    <w:abstractNumId w:val="154"/>
  </w:num>
  <w:num w:numId="49" w16cid:durableId="1193110011">
    <w:abstractNumId w:val="52"/>
  </w:num>
  <w:num w:numId="50" w16cid:durableId="1895117793">
    <w:abstractNumId w:val="116"/>
  </w:num>
  <w:num w:numId="51" w16cid:durableId="1992321324">
    <w:abstractNumId w:val="178"/>
  </w:num>
  <w:num w:numId="52" w16cid:durableId="1215390514">
    <w:abstractNumId w:val="179"/>
  </w:num>
  <w:num w:numId="53" w16cid:durableId="1829900878">
    <w:abstractNumId w:val="114"/>
  </w:num>
  <w:num w:numId="54" w16cid:durableId="2025937716">
    <w:abstractNumId w:val="164"/>
  </w:num>
  <w:num w:numId="55" w16cid:durableId="1772552313">
    <w:abstractNumId w:val="79"/>
  </w:num>
  <w:num w:numId="56" w16cid:durableId="191040249">
    <w:abstractNumId w:val="143"/>
  </w:num>
  <w:num w:numId="57" w16cid:durableId="1912497764">
    <w:abstractNumId w:val="106"/>
  </w:num>
  <w:num w:numId="58" w16cid:durableId="1232160789">
    <w:abstractNumId w:val="138"/>
  </w:num>
  <w:num w:numId="59" w16cid:durableId="39793861">
    <w:abstractNumId w:val="175"/>
  </w:num>
  <w:num w:numId="60" w16cid:durableId="511653554">
    <w:abstractNumId w:val="62"/>
  </w:num>
  <w:num w:numId="61" w16cid:durableId="717630776">
    <w:abstractNumId w:val="22"/>
  </w:num>
  <w:num w:numId="62" w16cid:durableId="963076450">
    <w:abstractNumId w:val="181"/>
  </w:num>
  <w:num w:numId="63" w16cid:durableId="550119259">
    <w:abstractNumId w:val="174"/>
  </w:num>
  <w:num w:numId="64" w16cid:durableId="168373413">
    <w:abstractNumId w:val="54"/>
  </w:num>
  <w:num w:numId="65" w16cid:durableId="1340549170">
    <w:abstractNumId w:val="136"/>
  </w:num>
  <w:num w:numId="66" w16cid:durableId="239025859">
    <w:abstractNumId w:val="107"/>
  </w:num>
  <w:num w:numId="67" w16cid:durableId="1208100603">
    <w:abstractNumId w:val="80"/>
  </w:num>
  <w:num w:numId="68" w16cid:durableId="1028677278">
    <w:abstractNumId w:val="99"/>
  </w:num>
  <w:num w:numId="69" w16cid:durableId="1907184676">
    <w:abstractNumId w:val="78"/>
  </w:num>
  <w:num w:numId="70" w16cid:durableId="1097293267">
    <w:abstractNumId w:val="173"/>
  </w:num>
  <w:num w:numId="71" w16cid:durableId="1905407039">
    <w:abstractNumId w:val="55"/>
  </w:num>
  <w:num w:numId="72" w16cid:durableId="1294094155">
    <w:abstractNumId w:val="92"/>
  </w:num>
  <w:num w:numId="73" w16cid:durableId="1911647220">
    <w:abstractNumId w:val="94"/>
  </w:num>
  <w:num w:numId="74" w16cid:durableId="904146164">
    <w:abstractNumId w:val="102"/>
  </w:num>
  <w:num w:numId="75" w16cid:durableId="1466659941">
    <w:abstractNumId w:val="82"/>
  </w:num>
  <w:num w:numId="76" w16cid:durableId="2132090222">
    <w:abstractNumId w:val="45"/>
  </w:num>
  <w:num w:numId="77" w16cid:durableId="1111364694">
    <w:abstractNumId w:val="163"/>
  </w:num>
  <w:num w:numId="78" w16cid:durableId="1205288978">
    <w:abstractNumId w:val="111"/>
  </w:num>
  <w:num w:numId="79" w16cid:durableId="1910722545">
    <w:abstractNumId w:val="134"/>
  </w:num>
  <w:num w:numId="80" w16cid:durableId="274293659">
    <w:abstractNumId w:val="2"/>
  </w:num>
  <w:num w:numId="81" w16cid:durableId="50354001">
    <w:abstractNumId w:val="120"/>
  </w:num>
  <w:num w:numId="82" w16cid:durableId="826432708">
    <w:abstractNumId w:val="27"/>
  </w:num>
  <w:num w:numId="83" w16cid:durableId="372467915">
    <w:abstractNumId w:val="21"/>
  </w:num>
  <w:num w:numId="84" w16cid:durableId="300228328">
    <w:abstractNumId w:val="35"/>
  </w:num>
  <w:num w:numId="85" w16cid:durableId="1013218032">
    <w:abstractNumId w:val="155"/>
  </w:num>
  <w:num w:numId="86" w16cid:durableId="1355113528">
    <w:abstractNumId w:val="133"/>
  </w:num>
  <w:num w:numId="87" w16cid:durableId="1889225074">
    <w:abstractNumId w:val="25"/>
  </w:num>
  <w:num w:numId="88" w16cid:durableId="1029646942">
    <w:abstractNumId w:val="105"/>
  </w:num>
  <w:num w:numId="89" w16cid:durableId="1699969187">
    <w:abstractNumId w:val="177"/>
  </w:num>
  <w:num w:numId="90" w16cid:durableId="506559756">
    <w:abstractNumId w:val="109"/>
  </w:num>
  <w:num w:numId="91" w16cid:durableId="2009209088">
    <w:abstractNumId w:val="117"/>
  </w:num>
  <w:num w:numId="92" w16cid:durableId="1362516864">
    <w:abstractNumId w:val="112"/>
  </w:num>
  <w:num w:numId="93" w16cid:durableId="1463496393">
    <w:abstractNumId w:val="89"/>
  </w:num>
  <w:num w:numId="94" w16cid:durableId="479542175">
    <w:abstractNumId w:val="0"/>
  </w:num>
  <w:num w:numId="95" w16cid:durableId="1414620297">
    <w:abstractNumId w:val="122"/>
  </w:num>
  <w:num w:numId="96" w16cid:durableId="1348217829">
    <w:abstractNumId w:val="19"/>
  </w:num>
  <w:num w:numId="97" w16cid:durableId="1503668906">
    <w:abstractNumId w:val="68"/>
  </w:num>
  <w:num w:numId="98" w16cid:durableId="991562392">
    <w:abstractNumId w:val="162"/>
  </w:num>
  <w:num w:numId="99" w16cid:durableId="510528561">
    <w:abstractNumId w:val="1"/>
  </w:num>
  <w:num w:numId="100" w16cid:durableId="1950623303">
    <w:abstractNumId w:val="130"/>
  </w:num>
  <w:num w:numId="101" w16cid:durableId="1720350883">
    <w:abstractNumId w:val="65"/>
  </w:num>
  <w:num w:numId="102" w16cid:durableId="2015572921">
    <w:abstractNumId w:val="100"/>
  </w:num>
  <w:num w:numId="103" w16cid:durableId="736249530">
    <w:abstractNumId w:val="13"/>
  </w:num>
  <w:num w:numId="104" w16cid:durableId="807092289">
    <w:abstractNumId w:val="40"/>
  </w:num>
  <w:num w:numId="105" w16cid:durableId="1785731909">
    <w:abstractNumId w:val="91"/>
  </w:num>
  <w:num w:numId="106" w16cid:durableId="943806074">
    <w:abstractNumId w:val="182"/>
  </w:num>
  <w:num w:numId="107" w16cid:durableId="1926694178">
    <w:abstractNumId w:val="125"/>
  </w:num>
  <w:num w:numId="108" w16cid:durableId="1043408753">
    <w:abstractNumId w:val="6"/>
  </w:num>
  <w:num w:numId="109" w16cid:durableId="1921987843">
    <w:abstractNumId w:val="4"/>
  </w:num>
  <w:num w:numId="110" w16cid:durableId="420641038">
    <w:abstractNumId w:val="150"/>
  </w:num>
  <w:num w:numId="111" w16cid:durableId="411513589">
    <w:abstractNumId w:val="24"/>
  </w:num>
  <w:num w:numId="112" w16cid:durableId="1056275424">
    <w:abstractNumId w:val="59"/>
  </w:num>
  <w:num w:numId="113" w16cid:durableId="961496886">
    <w:abstractNumId w:val="3"/>
  </w:num>
  <w:num w:numId="114" w16cid:durableId="1496729215">
    <w:abstractNumId w:val="73"/>
  </w:num>
  <w:num w:numId="115" w16cid:durableId="966929676">
    <w:abstractNumId w:val="74"/>
  </w:num>
  <w:num w:numId="116" w16cid:durableId="1037118898">
    <w:abstractNumId w:val="46"/>
  </w:num>
  <w:num w:numId="117" w16cid:durableId="162287315">
    <w:abstractNumId w:val="93"/>
  </w:num>
  <w:num w:numId="118" w16cid:durableId="267547167">
    <w:abstractNumId w:val="72"/>
  </w:num>
  <w:num w:numId="119" w16cid:durableId="1141727652">
    <w:abstractNumId w:val="152"/>
  </w:num>
  <w:num w:numId="120" w16cid:durableId="438835945">
    <w:abstractNumId w:val="71"/>
  </w:num>
  <w:num w:numId="121" w16cid:durableId="2075614829">
    <w:abstractNumId w:val="11"/>
  </w:num>
  <w:num w:numId="122" w16cid:durableId="776676611">
    <w:abstractNumId w:val="104"/>
  </w:num>
  <w:num w:numId="123" w16cid:durableId="1008214748">
    <w:abstractNumId w:val="48"/>
  </w:num>
  <w:num w:numId="124" w16cid:durableId="762729333">
    <w:abstractNumId w:val="26"/>
  </w:num>
  <w:num w:numId="125" w16cid:durableId="788936177">
    <w:abstractNumId w:val="166"/>
  </w:num>
  <w:num w:numId="126" w16cid:durableId="991561531">
    <w:abstractNumId w:val="30"/>
  </w:num>
  <w:num w:numId="127" w16cid:durableId="458570543">
    <w:abstractNumId w:val="23"/>
  </w:num>
  <w:num w:numId="128" w16cid:durableId="824206490">
    <w:abstractNumId w:val="69"/>
  </w:num>
  <w:num w:numId="129" w16cid:durableId="1923445069">
    <w:abstractNumId w:val="44"/>
  </w:num>
  <w:num w:numId="130" w16cid:durableId="1499034745">
    <w:abstractNumId w:val="170"/>
  </w:num>
  <w:num w:numId="131" w16cid:durableId="1663387961">
    <w:abstractNumId w:val="49"/>
  </w:num>
  <w:num w:numId="132" w16cid:durableId="1031759043">
    <w:abstractNumId w:val="157"/>
  </w:num>
  <w:num w:numId="133" w16cid:durableId="210726798">
    <w:abstractNumId w:val="121"/>
  </w:num>
  <w:num w:numId="134" w16cid:durableId="1607080287">
    <w:abstractNumId w:val="159"/>
  </w:num>
  <w:num w:numId="135" w16cid:durableId="898635961">
    <w:abstractNumId w:val="7"/>
  </w:num>
  <w:num w:numId="136" w16cid:durableId="1977681134">
    <w:abstractNumId w:val="60"/>
  </w:num>
  <w:num w:numId="137" w16cid:durableId="778139306">
    <w:abstractNumId w:val="75"/>
  </w:num>
  <w:num w:numId="138" w16cid:durableId="502823698">
    <w:abstractNumId w:val="39"/>
  </w:num>
  <w:num w:numId="139" w16cid:durableId="1054504674">
    <w:abstractNumId w:val="86"/>
  </w:num>
  <w:num w:numId="140" w16cid:durableId="649871028">
    <w:abstractNumId w:val="10"/>
  </w:num>
  <w:num w:numId="141" w16cid:durableId="629021061">
    <w:abstractNumId w:val="165"/>
  </w:num>
  <w:num w:numId="142" w16cid:durableId="2087605174">
    <w:abstractNumId w:val="132"/>
  </w:num>
  <w:num w:numId="143" w16cid:durableId="1055860961">
    <w:abstractNumId w:val="76"/>
  </w:num>
  <w:num w:numId="144" w16cid:durableId="1716617086">
    <w:abstractNumId w:val="20"/>
  </w:num>
  <w:num w:numId="145" w16cid:durableId="1273785050">
    <w:abstractNumId w:val="96"/>
  </w:num>
  <w:num w:numId="146" w16cid:durableId="117651909">
    <w:abstractNumId w:val="176"/>
  </w:num>
  <w:num w:numId="147" w16cid:durableId="1953173746">
    <w:abstractNumId w:val="153"/>
  </w:num>
  <w:num w:numId="148" w16cid:durableId="1607078708">
    <w:abstractNumId w:val="127"/>
  </w:num>
  <w:num w:numId="149" w16cid:durableId="694355995">
    <w:abstractNumId w:val="81"/>
  </w:num>
  <w:num w:numId="150" w16cid:durableId="1855996712">
    <w:abstractNumId w:val="70"/>
  </w:num>
  <w:num w:numId="151" w16cid:durableId="702288226">
    <w:abstractNumId w:val="64"/>
  </w:num>
  <w:num w:numId="152" w16cid:durableId="1968391536">
    <w:abstractNumId w:val="47"/>
  </w:num>
  <w:num w:numId="153" w16cid:durableId="2008434951">
    <w:abstractNumId w:val="50"/>
  </w:num>
  <w:num w:numId="154" w16cid:durableId="1523083018">
    <w:abstractNumId w:val="98"/>
  </w:num>
  <w:num w:numId="155" w16cid:durableId="1737557109">
    <w:abstractNumId w:val="66"/>
  </w:num>
  <w:num w:numId="156" w16cid:durableId="2058119885">
    <w:abstractNumId w:val="151"/>
  </w:num>
  <w:num w:numId="157" w16cid:durableId="413401256">
    <w:abstractNumId w:val="158"/>
  </w:num>
  <w:num w:numId="158" w16cid:durableId="869298680">
    <w:abstractNumId w:val="145"/>
  </w:num>
  <w:num w:numId="159" w16cid:durableId="1964535297">
    <w:abstractNumId w:val="12"/>
  </w:num>
  <w:num w:numId="160" w16cid:durableId="881787864">
    <w:abstractNumId w:val="148"/>
  </w:num>
  <w:num w:numId="161" w16cid:durableId="296111140">
    <w:abstractNumId w:val="53"/>
  </w:num>
  <w:num w:numId="162" w16cid:durableId="1851019240">
    <w:abstractNumId w:val="139"/>
  </w:num>
  <w:num w:numId="163" w16cid:durableId="1786459943">
    <w:abstractNumId w:val="115"/>
  </w:num>
  <w:num w:numId="164" w16cid:durableId="1572228042">
    <w:abstractNumId w:val="135"/>
  </w:num>
  <w:num w:numId="165" w16cid:durableId="722602002">
    <w:abstractNumId w:val="131"/>
  </w:num>
  <w:num w:numId="166" w16cid:durableId="680083711">
    <w:abstractNumId w:val="167"/>
  </w:num>
  <w:num w:numId="167" w16cid:durableId="593898467">
    <w:abstractNumId w:val="97"/>
  </w:num>
  <w:num w:numId="168" w16cid:durableId="1590234852">
    <w:abstractNumId w:val="183"/>
  </w:num>
  <w:num w:numId="169" w16cid:durableId="1916477806">
    <w:abstractNumId w:val="17"/>
  </w:num>
  <w:num w:numId="170" w16cid:durableId="1019160041">
    <w:abstractNumId w:val="41"/>
  </w:num>
  <w:num w:numId="171" w16cid:durableId="1893423933">
    <w:abstractNumId w:val="180"/>
  </w:num>
  <w:num w:numId="172" w16cid:durableId="1663073829">
    <w:abstractNumId w:val="43"/>
  </w:num>
  <w:num w:numId="173" w16cid:durableId="1727875097">
    <w:abstractNumId w:val="38"/>
  </w:num>
  <w:num w:numId="174" w16cid:durableId="749423729">
    <w:abstractNumId w:val="28"/>
  </w:num>
  <w:num w:numId="175" w16cid:durableId="1670056038">
    <w:abstractNumId w:val="32"/>
  </w:num>
  <w:num w:numId="176" w16cid:durableId="1259407585">
    <w:abstractNumId w:val="171"/>
  </w:num>
  <w:num w:numId="177" w16cid:durableId="516891274">
    <w:abstractNumId w:val="161"/>
  </w:num>
  <w:num w:numId="178" w16cid:durableId="287049923">
    <w:abstractNumId w:val="90"/>
  </w:num>
  <w:num w:numId="179" w16cid:durableId="1789474410">
    <w:abstractNumId w:val="9"/>
  </w:num>
  <w:num w:numId="180" w16cid:durableId="542055826">
    <w:abstractNumId w:val="108"/>
  </w:num>
  <w:num w:numId="181" w16cid:durableId="160435412">
    <w:abstractNumId w:val="61"/>
  </w:num>
  <w:num w:numId="182" w16cid:durableId="1958216877">
    <w:abstractNumId w:val="34"/>
  </w:num>
  <w:num w:numId="183" w16cid:durableId="112677991">
    <w:abstractNumId w:val="33"/>
  </w:num>
  <w:num w:numId="184" w16cid:durableId="573779513">
    <w:abstractNumId w:val="2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D8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5581"/>
    <w:rsid w:val="0007577E"/>
    <w:rsid w:val="00076DF9"/>
    <w:rsid w:val="00081E36"/>
    <w:rsid w:val="0008520B"/>
    <w:rsid w:val="00086B2C"/>
    <w:rsid w:val="00086BD5"/>
    <w:rsid w:val="00093603"/>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A7D"/>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4721E"/>
    <w:rsid w:val="00151119"/>
    <w:rsid w:val="00151467"/>
    <w:rsid w:val="00152750"/>
    <w:rsid w:val="00154EAB"/>
    <w:rsid w:val="001565D3"/>
    <w:rsid w:val="00160229"/>
    <w:rsid w:val="001618FC"/>
    <w:rsid w:val="00162334"/>
    <w:rsid w:val="00162864"/>
    <w:rsid w:val="00163E75"/>
    <w:rsid w:val="001658FF"/>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B621C"/>
    <w:rsid w:val="001B78BE"/>
    <w:rsid w:val="001C02A6"/>
    <w:rsid w:val="001C0539"/>
    <w:rsid w:val="001C080F"/>
    <w:rsid w:val="001C11C1"/>
    <w:rsid w:val="001C24DE"/>
    <w:rsid w:val="001C28A1"/>
    <w:rsid w:val="001C28D1"/>
    <w:rsid w:val="001C39D6"/>
    <w:rsid w:val="001C427F"/>
    <w:rsid w:val="001C447D"/>
    <w:rsid w:val="001D06B6"/>
    <w:rsid w:val="001D12AE"/>
    <w:rsid w:val="001D3256"/>
    <w:rsid w:val="001D3E7A"/>
    <w:rsid w:val="001D5541"/>
    <w:rsid w:val="001D6979"/>
    <w:rsid w:val="001E087C"/>
    <w:rsid w:val="001E1396"/>
    <w:rsid w:val="001E1B7B"/>
    <w:rsid w:val="001E1E03"/>
    <w:rsid w:val="001E26F7"/>
    <w:rsid w:val="001E291F"/>
    <w:rsid w:val="001E361B"/>
    <w:rsid w:val="001E383D"/>
    <w:rsid w:val="001E4110"/>
    <w:rsid w:val="001E43CF"/>
    <w:rsid w:val="001E471E"/>
    <w:rsid w:val="001E491D"/>
    <w:rsid w:val="001E4C76"/>
    <w:rsid w:val="001E689B"/>
    <w:rsid w:val="001F215D"/>
    <w:rsid w:val="001F25D0"/>
    <w:rsid w:val="001F6A0A"/>
    <w:rsid w:val="0020024D"/>
    <w:rsid w:val="00200DCE"/>
    <w:rsid w:val="00201A1E"/>
    <w:rsid w:val="00202EC8"/>
    <w:rsid w:val="00203CFC"/>
    <w:rsid w:val="002050B7"/>
    <w:rsid w:val="0020647A"/>
    <w:rsid w:val="002068D8"/>
    <w:rsid w:val="00206BFC"/>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3C41"/>
    <w:rsid w:val="002351D1"/>
    <w:rsid w:val="002360B8"/>
    <w:rsid w:val="002365D2"/>
    <w:rsid w:val="00242845"/>
    <w:rsid w:val="0024313C"/>
    <w:rsid w:val="00243B8C"/>
    <w:rsid w:val="002450A3"/>
    <w:rsid w:val="00251235"/>
    <w:rsid w:val="00251EA0"/>
    <w:rsid w:val="00252078"/>
    <w:rsid w:val="0025373F"/>
    <w:rsid w:val="00253EB3"/>
    <w:rsid w:val="00254B54"/>
    <w:rsid w:val="00255DA3"/>
    <w:rsid w:val="0025667E"/>
    <w:rsid w:val="00256EBB"/>
    <w:rsid w:val="00256F77"/>
    <w:rsid w:val="00260682"/>
    <w:rsid w:val="00261D90"/>
    <w:rsid w:val="002623D4"/>
    <w:rsid w:val="00262AAF"/>
    <w:rsid w:val="0026305E"/>
    <w:rsid w:val="0026390F"/>
    <w:rsid w:val="0026451D"/>
    <w:rsid w:val="00264823"/>
    <w:rsid w:val="00265866"/>
    <w:rsid w:val="00266060"/>
    <w:rsid w:val="002669FA"/>
    <w:rsid w:val="00266D2D"/>
    <w:rsid w:val="002670E6"/>
    <w:rsid w:val="002703D7"/>
    <w:rsid w:val="002704B3"/>
    <w:rsid w:val="00270950"/>
    <w:rsid w:val="00273E08"/>
    <w:rsid w:val="002746D9"/>
    <w:rsid w:val="0027786C"/>
    <w:rsid w:val="002817E1"/>
    <w:rsid w:val="00281F89"/>
    <w:rsid w:val="002827E9"/>
    <w:rsid w:val="00282C19"/>
    <w:rsid w:val="0028432B"/>
    <w:rsid w:val="002903CD"/>
    <w:rsid w:val="00292D1A"/>
    <w:rsid w:val="00294BF9"/>
    <w:rsid w:val="00296A44"/>
    <w:rsid w:val="00296AB4"/>
    <w:rsid w:val="002A2507"/>
    <w:rsid w:val="002A2842"/>
    <w:rsid w:val="002A46BB"/>
    <w:rsid w:val="002A5439"/>
    <w:rsid w:val="002A659A"/>
    <w:rsid w:val="002A79E1"/>
    <w:rsid w:val="002A7B95"/>
    <w:rsid w:val="002B0FE8"/>
    <w:rsid w:val="002B1017"/>
    <w:rsid w:val="002B3323"/>
    <w:rsid w:val="002B382F"/>
    <w:rsid w:val="002B6D3E"/>
    <w:rsid w:val="002B6EA3"/>
    <w:rsid w:val="002B72E7"/>
    <w:rsid w:val="002C06BC"/>
    <w:rsid w:val="002C070C"/>
    <w:rsid w:val="002C10D9"/>
    <w:rsid w:val="002C2414"/>
    <w:rsid w:val="002C26AD"/>
    <w:rsid w:val="002C4D35"/>
    <w:rsid w:val="002C53EB"/>
    <w:rsid w:val="002C5EC9"/>
    <w:rsid w:val="002D3369"/>
    <w:rsid w:val="002D37BA"/>
    <w:rsid w:val="002D46AC"/>
    <w:rsid w:val="002D6106"/>
    <w:rsid w:val="002D713C"/>
    <w:rsid w:val="002D75E1"/>
    <w:rsid w:val="002E2303"/>
    <w:rsid w:val="002E242D"/>
    <w:rsid w:val="002E349B"/>
    <w:rsid w:val="002E42B6"/>
    <w:rsid w:val="002E4D5B"/>
    <w:rsid w:val="002E6BB3"/>
    <w:rsid w:val="002F02C0"/>
    <w:rsid w:val="002F03BA"/>
    <w:rsid w:val="002F1E95"/>
    <w:rsid w:val="002F27BB"/>
    <w:rsid w:val="002F2AD4"/>
    <w:rsid w:val="002F49ED"/>
    <w:rsid w:val="002F6640"/>
    <w:rsid w:val="002F6877"/>
    <w:rsid w:val="002F73CF"/>
    <w:rsid w:val="003013B7"/>
    <w:rsid w:val="0030240A"/>
    <w:rsid w:val="00302A17"/>
    <w:rsid w:val="0030429D"/>
    <w:rsid w:val="00306F63"/>
    <w:rsid w:val="003109BF"/>
    <w:rsid w:val="00311C23"/>
    <w:rsid w:val="00313562"/>
    <w:rsid w:val="00315FED"/>
    <w:rsid w:val="003171B7"/>
    <w:rsid w:val="0031779C"/>
    <w:rsid w:val="00321AA1"/>
    <w:rsid w:val="00321E54"/>
    <w:rsid w:val="003220EB"/>
    <w:rsid w:val="003230E3"/>
    <w:rsid w:val="003264C3"/>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5"/>
    <w:rsid w:val="00370DC7"/>
    <w:rsid w:val="00371B9A"/>
    <w:rsid w:val="00373A6F"/>
    <w:rsid w:val="003743A7"/>
    <w:rsid w:val="003747FA"/>
    <w:rsid w:val="00374E1D"/>
    <w:rsid w:val="003756BF"/>
    <w:rsid w:val="003768F8"/>
    <w:rsid w:val="00376DB0"/>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9762B"/>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D7965"/>
    <w:rsid w:val="003E2F0B"/>
    <w:rsid w:val="003E3407"/>
    <w:rsid w:val="003E3ACD"/>
    <w:rsid w:val="003E4AC9"/>
    <w:rsid w:val="003E543F"/>
    <w:rsid w:val="003E6FB0"/>
    <w:rsid w:val="003E7229"/>
    <w:rsid w:val="003E749D"/>
    <w:rsid w:val="003E7DFC"/>
    <w:rsid w:val="003F01EA"/>
    <w:rsid w:val="003F07DE"/>
    <w:rsid w:val="003F09CC"/>
    <w:rsid w:val="003F11E5"/>
    <w:rsid w:val="003F2D47"/>
    <w:rsid w:val="003F32B9"/>
    <w:rsid w:val="003F36D2"/>
    <w:rsid w:val="003F38C1"/>
    <w:rsid w:val="003F41A4"/>
    <w:rsid w:val="003F51CC"/>
    <w:rsid w:val="003F5286"/>
    <w:rsid w:val="003F6F63"/>
    <w:rsid w:val="003F6FED"/>
    <w:rsid w:val="0040332C"/>
    <w:rsid w:val="00404805"/>
    <w:rsid w:val="00405795"/>
    <w:rsid w:val="0040687F"/>
    <w:rsid w:val="00406E1A"/>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641C"/>
    <w:rsid w:val="00457CB5"/>
    <w:rsid w:val="00460B54"/>
    <w:rsid w:val="00461337"/>
    <w:rsid w:val="004639C8"/>
    <w:rsid w:val="004645C2"/>
    <w:rsid w:val="004668B3"/>
    <w:rsid w:val="00466DBC"/>
    <w:rsid w:val="004679AA"/>
    <w:rsid w:val="00471224"/>
    <w:rsid w:val="00472502"/>
    <w:rsid w:val="00472A16"/>
    <w:rsid w:val="004749BF"/>
    <w:rsid w:val="00475227"/>
    <w:rsid w:val="00475C71"/>
    <w:rsid w:val="00475E80"/>
    <w:rsid w:val="004770F8"/>
    <w:rsid w:val="004772CE"/>
    <w:rsid w:val="004772DF"/>
    <w:rsid w:val="004801D8"/>
    <w:rsid w:val="00480F5F"/>
    <w:rsid w:val="00482252"/>
    <w:rsid w:val="00482443"/>
    <w:rsid w:val="00483131"/>
    <w:rsid w:val="00483B4A"/>
    <w:rsid w:val="00484912"/>
    <w:rsid w:val="00484EB8"/>
    <w:rsid w:val="00485255"/>
    <w:rsid w:val="00486C37"/>
    <w:rsid w:val="004904C5"/>
    <w:rsid w:val="004905EB"/>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1C99"/>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0E7"/>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7AF"/>
    <w:rsid w:val="00514A53"/>
    <w:rsid w:val="00514A63"/>
    <w:rsid w:val="00515836"/>
    <w:rsid w:val="00516063"/>
    <w:rsid w:val="005160F8"/>
    <w:rsid w:val="005214A9"/>
    <w:rsid w:val="00521F54"/>
    <w:rsid w:val="00522AEF"/>
    <w:rsid w:val="005247AE"/>
    <w:rsid w:val="00524E28"/>
    <w:rsid w:val="005252F9"/>
    <w:rsid w:val="00525E0E"/>
    <w:rsid w:val="00526FBB"/>
    <w:rsid w:val="005272EC"/>
    <w:rsid w:val="005302FF"/>
    <w:rsid w:val="005303A7"/>
    <w:rsid w:val="0053201D"/>
    <w:rsid w:val="00533B7A"/>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BA9"/>
    <w:rsid w:val="00570D9C"/>
    <w:rsid w:val="00570DA2"/>
    <w:rsid w:val="00572F06"/>
    <w:rsid w:val="0057452C"/>
    <w:rsid w:val="00574861"/>
    <w:rsid w:val="00575A25"/>
    <w:rsid w:val="00576378"/>
    <w:rsid w:val="0057680B"/>
    <w:rsid w:val="0058279C"/>
    <w:rsid w:val="00582EFE"/>
    <w:rsid w:val="00584E72"/>
    <w:rsid w:val="00586478"/>
    <w:rsid w:val="00586BBF"/>
    <w:rsid w:val="005903D6"/>
    <w:rsid w:val="00590C3E"/>
    <w:rsid w:val="00591E2E"/>
    <w:rsid w:val="00592DC5"/>
    <w:rsid w:val="005947FE"/>
    <w:rsid w:val="00594922"/>
    <w:rsid w:val="00596509"/>
    <w:rsid w:val="00596F43"/>
    <w:rsid w:val="00597698"/>
    <w:rsid w:val="005A0D4E"/>
    <w:rsid w:val="005A1969"/>
    <w:rsid w:val="005A36C4"/>
    <w:rsid w:val="005A373C"/>
    <w:rsid w:val="005A3E74"/>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5D84"/>
    <w:rsid w:val="005E6A5D"/>
    <w:rsid w:val="005E6AC9"/>
    <w:rsid w:val="005E7C66"/>
    <w:rsid w:val="005F0041"/>
    <w:rsid w:val="005F00AF"/>
    <w:rsid w:val="005F2A2E"/>
    <w:rsid w:val="005F4DA8"/>
    <w:rsid w:val="00600363"/>
    <w:rsid w:val="006016B0"/>
    <w:rsid w:val="006016B8"/>
    <w:rsid w:val="006016C0"/>
    <w:rsid w:val="00601E7A"/>
    <w:rsid w:val="00602DC3"/>
    <w:rsid w:val="00603A73"/>
    <w:rsid w:val="00604D75"/>
    <w:rsid w:val="00605EDD"/>
    <w:rsid w:val="00607C3F"/>
    <w:rsid w:val="0061276C"/>
    <w:rsid w:val="00612B60"/>
    <w:rsid w:val="00614BFB"/>
    <w:rsid w:val="00617DE6"/>
    <w:rsid w:val="006205BC"/>
    <w:rsid w:val="006214ED"/>
    <w:rsid w:val="00622DB5"/>
    <w:rsid w:val="0062456E"/>
    <w:rsid w:val="006300CC"/>
    <w:rsid w:val="006309D3"/>
    <w:rsid w:val="00633E04"/>
    <w:rsid w:val="0063402F"/>
    <w:rsid w:val="006360AB"/>
    <w:rsid w:val="006373A5"/>
    <w:rsid w:val="00637AE8"/>
    <w:rsid w:val="0064184A"/>
    <w:rsid w:val="00641B03"/>
    <w:rsid w:val="0064217F"/>
    <w:rsid w:val="00644BDF"/>
    <w:rsid w:val="00645988"/>
    <w:rsid w:val="00646B84"/>
    <w:rsid w:val="006470F6"/>
    <w:rsid w:val="006504FF"/>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6CAD"/>
    <w:rsid w:val="006976D7"/>
    <w:rsid w:val="006A10D3"/>
    <w:rsid w:val="006A2D69"/>
    <w:rsid w:val="006A2F76"/>
    <w:rsid w:val="006A3286"/>
    <w:rsid w:val="006A3621"/>
    <w:rsid w:val="006A5331"/>
    <w:rsid w:val="006A6F87"/>
    <w:rsid w:val="006A7187"/>
    <w:rsid w:val="006A71A8"/>
    <w:rsid w:val="006A7BDE"/>
    <w:rsid w:val="006B3BA8"/>
    <w:rsid w:val="006B3C99"/>
    <w:rsid w:val="006B45BB"/>
    <w:rsid w:val="006B5633"/>
    <w:rsid w:val="006B5B6E"/>
    <w:rsid w:val="006B5F14"/>
    <w:rsid w:val="006B67AF"/>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186"/>
    <w:rsid w:val="006D4A74"/>
    <w:rsid w:val="006D4E55"/>
    <w:rsid w:val="006D5A6C"/>
    <w:rsid w:val="006D75C2"/>
    <w:rsid w:val="006E055B"/>
    <w:rsid w:val="006E14EB"/>
    <w:rsid w:val="006E16CF"/>
    <w:rsid w:val="006E2AA9"/>
    <w:rsid w:val="006F31E2"/>
    <w:rsid w:val="006F463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1B1"/>
    <w:rsid w:val="0071771F"/>
    <w:rsid w:val="00720B9E"/>
    <w:rsid w:val="007229C2"/>
    <w:rsid w:val="00724907"/>
    <w:rsid w:val="00730DB6"/>
    <w:rsid w:val="007319AE"/>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691"/>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316C"/>
    <w:rsid w:val="007D4CE2"/>
    <w:rsid w:val="007D56E7"/>
    <w:rsid w:val="007E044A"/>
    <w:rsid w:val="007E0AD4"/>
    <w:rsid w:val="007E11C3"/>
    <w:rsid w:val="007E2D44"/>
    <w:rsid w:val="007E4D10"/>
    <w:rsid w:val="007E695D"/>
    <w:rsid w:val="007E6D9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0F4A"/>
    <w:rsid w:val="00815899"/>
    <w:rsid w:val="00815AD6"/>
    <w:rsid w:val="00820731"/>
    <w:rsid w:val="0082095C"/>
    <w:rsid w:val="00820A2B"/>
    <w:rsid w:val="0082209E"/>
    <w:rsid w:val="0082243C"/>
    <w:rsid w:val="00825888"/>
    <w:rsid w:val="00826D1A"/>
    <w:rsid w:val="00827B63"/>
    <w:rsid w:val="00830E88"/>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3AC3"/>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4E35"/>
    <w:rsid w:val="008C51CE"/>
    <w:rsid w:val="008C520F"/>
    <w:rsid w:val="008C5991"/>
    <w:rsid w:val="008C5D0B"/>
    <w:rsid w:val="008C633F"/>
    <w:rsid w:val="008C63AC"/>
    <w:rsid w:val="008D0737"/>
    <w:rsid w:val="008D0920"/>
    <w:rsid w:val="008D0E1B"/>
    <w:rsid w:val="008D1C04"/>
    <w:rsid w:val="008D34AE"/>
    <w:rsid w:val="008D3C9C"/>
    <w:rsid w:val="008D46B6"/>
    <w:rsid w:val="008D5937"/>
    <w:rsid w:val="008D5D1E"/>
    <w:rsid w:val="008D691B"/>
    <w:rsid w:val="008D7B8D"/>
    <w:rsid w:val="008D7BFD"/>
    <w:rsid w:val="008D7DB8"/>
    <w:rsid w:val="008E0C6C"/>
    <w:rsid w:val="008E24CC"/>
    <w:rsid w:val="008E325E"/>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48A"/>
    <w:rsid w:val="00916860"/>
    <w:rsid w:val="0091790F"/>
    <w:rsid w:val="00917F6A"/>
    <w:rsid w:val="009206D4"/>
    <w:rsid w:val="00920EE9"/>
    <w:rsid w:val="00921726"/>
    <w:rsid w:val="00922586"/>
    <w:rsid w:val="0092371C"/>
    <w:rsid w:val="009269E6"/>
    <w:rsid w:val="00927167"/>
    <w:rsid w:val="00927FCE"/>
    <w:rsid w:val="00931E26"/>
    <w:rsid w:val="00935373"/>
    <w:rsid w:val="0093669A"/>
    <w:rsid w:val="00937903"/>
    <w:rsid w:val="0094000F"/>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1B3"/>
    <w:rsid w:val="00962B3F"/>
    <w:rsid w:val="0096525B"/>
    <w:rsid w:val="00965995"/>
    <w:rsid w:val="00965D90"/>
    <w:rsid w:val="00972154"/>
    <w:rsid w:val="00972E2B"/>
    <w:rsid w:val="0097325D"/>
    <w:rsid w:val="009736DA"/>
    <w:rsid w:val="00973A49"/>
    <w:rsid w:val="00977124"/>
    <w:rsid w:val="0098003E"/>
    <w:rsid w:val="00981648"/>
    <w:rsid w:val="009829AB"/>
    <w:rsid w:val="00982F89"/>
    <w:rsid w:val="00983425"/>
    <w:rsid w:val="00987600"/>
    <w:rsid w:val="0099068C"/>
    <w:rsid w:val="0099140C"/>
    <w:rsid w:val="009953F1"/>
    <w:rsid w:val="00997E7E"/>
    <w:rsid w:val="009A10B6"/>
    <w:rsid w:val="009A1E73"/>
    <w:rsid w:val="009A2A97"/>
    <w:rsid w:val="009A3BA4"/>
    <w:rsid w:val="009B04C0"/>
    <w:rsid w:val="009B1448"/>
    <w:rsid w:val="009B1A29"/>
    <w:rsid w:val="009B3C18"/>
    <w:rsid w:val="009B4B26"/>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936"/>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015"/>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7AB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3FD4"/>
    <w:rsid w:val="00AF54A4"/>
    <w:rsid w:val="00AF68B8"/>
    <w:rsid w:val="00AF71D4"/>
    <w:rsid w:val="00AF7362"/>
    <w:rsid w:val="00AF7CFE"/>
    <w:rsid w:val="00AF7FFC"/>
    <w:rsid w:val="00B00320"/>
    <w:rsid w:val="00B01720"/>
    <w:rsid w:val="00B036EB"/>
    <w:rsid w:val="00B03B33"/>
    <w:rsid w:val="00B04F33"/>
    <w:rsid w:val="00B05B37"/>
    <w:rsid w:val="00B05D7C"/>
    <w:rsid w:val="00B060A4"/>
    <w:rsid w:val="00B063A1"/>
    <w:rsid w:val="00B067D9"/>
    <w:rsid w:val="00B073AD"/>
    <w:rsid w:val="00B07625"/>
    <w:rsid w:val="00B07B22"/>
    <w:rsid w:val="00B07DBC"/>
    <w:rsid w:val="00B11124"/>
    <w:rsid w:val="00B11712"/>
    <w:rsid w:val="00B13396"/>
    <w:rsid w:val="00B13676"/>
    <w:rsid w:val="00B14C30"/>
    <w:rsid w:val="00B16D8B"/>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13F"/>
    <w:rsid w:val="00B634D3"/>
    <w:rsid w:val="00B6486B"/>
    <w:rsid w:val="00B64E3E"/>
    <w:rsid w:val="00B65644"/>
    <w:rsid w:val="00B667E3"/>
    <w:rsid w:val="00B72399"/>
    <w:rsid w:val="00B72F3A"/>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025"/>
    <w:rsid w:val="00BA44A3"/>
    <w:rsid w:val="00BA4671"/>
    <w:rsid w:val="00BA6D38"/>
    <w:rsid w:val="00BB05EA"/>
    <w:rsid w:val="00BB0988"/>
    <w:rsid w:val="00BB19F9"/>
    <w:rsid w:val="00BB249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0515"/>
    <w:rsid w:val="00C125A5"/>
    <w:rsid w:val="00C13D86"/>
    <w:rsid w:val="00C14B0E"/>
    <w:rsid w:val="00C15635"/>
    <w:rsid w:val="00C15F01"/>
    <w:rsid w:val="00C1777C"/>
    <w:rsid w:val="00C2299D"/>
    <w:rsid w:val="00C237F7"/>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071"/>
    <w:rsid w:val="00C62860"/>
    <w:rsid w:val="00C62E41"/>
    <w:rsid w:val="00C65C9A"/>
    <w:rsid w:val="00C6620E"/>
    <w:rsid w:val="00C66C62"/>
    <w:rsid w:val="00C70515"/>
    <w:rsid w:val="00C72BA7"/>
    <w:rsid w:val="00C73292"/>
    <w:rsid w:val="00C75B7B"/>
    <w:rsid w:val="00C77470"/>
    <w:rsid w:val="00C8148C"/>
    <w:rsid w:val="00C81F9E"/>
    <w:rsid w:val="00C827E3"/>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829"/>
    <w:rsid w:val="00CA5875"/>
    <w:rsid w:val="00CA5C67"/>
    <w:rsid w:val="00CA68E9"/>
    <w:rsid w:val="00CA697A"/>
    <w:rsid w:val="00CA69DB"/>
    <w:rsid w:val="00CB44ED"/>
    <w:rsid w:val="00CB4F64"/>
    <w:rsid w:val="00CB72D1"/>
    <w:rsid w:val="00CC0BB7"/>
    <w:rsid w:val="00CC14A8"/>
    <w:rsid w:val="00CC2468"/>
    <w:rsid w:val="00CC24A6"/>
    <w:rsid w:val="00CC33B6"/>
    <w:rsid w:val="00CC390B"/>
    <w:rsid w:val="00CC3C4B"/>
    <w:rsid w:val="00CC41A4"/>
    <w:rsid w:val="00CC4C02"/>
    <w:rsid w:val="00CC6A35"/>
    <w:rsid w:val="00CD0748"/>
    <w:rsid w:val="00CD09C4"/>
    <w:rsid w:val="00CD09D6"/>
    <w:rsid w:val="00CD5D74"/>
    <w:rsid w:val="00CD5FAD"/>
    <w:rsid w:val="00CD6321"/>
    <w:rsid w:val="00CD7337"/>
    <w:rsid w:val="00CE34F1"/>
    <w:rsid w:val="00CE3CA7"/>
    <w:rsid w:val="00CE4B4E"/>
    <w:rsid w:val="00CE530D"/>
    <w:rsid w:val="00CE7F2B"/>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4546"/>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57D4A"/>
    <w:rsid w:val="00D60457"/>
    <w:rsid w:val="00D61558"/>
    <w:rsid w:val="00D622B0"/>
    <w:rsid w:val="00D62979"/>
    <w:rsid w:val="00D636F9"/>
    <w:rsid w:val="00D6394B"/>
    <w:rsid w:val="00D63A5F"/>
    <w:rsid w:val="00D64C19"/>
    <w:rsid w:val="00D65131"/>
    <w:rsid w:val="00D65FBC"/>
    <w:rsid w:val="00D66908"/>
    <w:rsid w:val="00D677CD"/>
    <w:rsid w:val="00D6785F"/>
    <w:rsid w:val="00D70007"/>
    <w:rsid w:val="00D704F1"/>
    <w:rsid w:val="00D70BFE"/>
    <w:rsid w:val="00D70E3B"/>
    <w:rsid w:val="00D7157F"/>
    <w:rsid w:val="00D71749"/>
    <w:rsid w:val="00D71853"/>
    <w:rsid w:val="00D72E4D"/>
    <w:rsid w:val="00D735C7"/>
    <w:rsid w:val="00D7381B"/>
    <w:rsid w:val="00D74578"/>
    <w:rsid w:val="00D7489A"/>
    <w:rsid w:val="00D75A26"/>
    <w:rsid w:val="00D7601E"/>
    <w:rsid w:val="00D77ADA"/>
    <w:rsid w:val="00D77D87"/>
    <w:rsid w:val="00D81F19"/>
    <w:rsid w:val="00D81F20"/>
    <w:rsid w:val="00D82B8D"/>
    <w:rsid w:val="00D87D6F"/>
    <w:rsid w:val="00D90938"/>
    <w:rsid w:val="00D90C81"/>
    <w:rsid w:val="00D96360"/>
    <w:rsid w:val="00D97785"/>
    <w:rsid w:val="00DA30D4"/>
    <w:rsid w:val="00DA4699"/>
    <w:rsid w:val="00DA47C1"/>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53D"/>
    <w:rsid w:val="00DF0C70"/>
    <w:rsid w:val="00DF357C"/>
    <w:rsid w:val="00DF47FC"/>
    <w:rsid w:val="00DF7499"/>
    <w:rsid w:val="00DF7E76"/>
    <w:rsid w:val="00E0008F"/>
    <w:rsid w:val="00E003FE"/>
    <w:rsid w:val="00E01C75"/>
    <w:rsid w:val="00E025B2"/>
    <w:rsid w:val="00E025DD"/>
    <w:rsid w:val="00E03314"/>
    <w:rsid w:val="00E0434F"/>
    <w:rsid w:val="00E050DA"/>
    <w:rsid w:val="00E06563"/>
    <w:rsid w:val="00E07C4D"/>
    <w:rsid w:val="00E1000E"/>
    <w:rsid w:val="00E10EC3"/>
    <w:rsid w:val="00E110FF"/>
    <w:rsid w:val="00E12364"/>
    <w:rsid w:val="00E13C70"/>
    <w:rsid w:val="00E14CEA"/>
    <w:rsid w:val="00E16C53"/>
    <w:rsid w:val="00E1725D"/>
    <w:rsid w:val="00E20B87"/>
    <w:rsid w:val="00E23EEA"/>
    <w:rsid w:val="00E255E5"/>
    <w:rsid w:val="00E27A4A"/>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476D"/>
    <w:rsid w:val="00E549DC"/>
    <w:rsid w:val="00E55037"/>
    <w:rsid w:val="00E555F5"/>
    <w:rsid w:val="00E57DF8"/>
    <w:rsid w:val="00E6186A"/>
    <w:rsid w:val="00E627B3"/>
    <w:rsid w:val="00E62D02"/>
    <w:rsid w:val="00E63780"/>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6498"/>
    <w:rsid w:val="00E90D2C"/>
    <w:rsid w:val="00E9115F"/>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6F69"/>
    <w:rsid w:val="00ED73A8"/>
    <w:rsid w:val="00ED7E77"/>
    <w:rsid w:val="00EE0CB0"/>
    <w:rsid w:val="00EE1728"/>
    <w:rsid w:val="00EE1CCA"/>
    <w:rsid w:val="00EE2E91"/>
    <w:rsid w:val="00EF018C"/>
    <w:rsid w:val="00EF2481"/>
    <w:rsid w:val="00EF2F92"/>
    <w:rsid w:val="00EF38CB"/>
    <w:rsid w:val="00EF4259"/>
    <w:rsid w:val="00EF689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36C24"/>
    <w:rsid w:val="00F4099B"/>
    <w:rsid w:val="00F424F0"/>
    <w:rsid w:val="00F467BD"/>
    <w:rsid w:val="00F4712C"/>
    <w:rsid w:val="00F50F11"/>
    <w:rsid w:val="00F52C7B"/>
    <w:rsid w:val="00F532B8"/>
    <w:rsid w:val="00F53F91"/>
    <w:rsid w:val="00F54262"/>
    <w:rsid w:val="00F61DBD"/>
    <w:rsid w:val="00F620E3"/>
    <w:rsid w:val="00F6520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5C07"/>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05D"/>
    <w:rsid w:val="00FC3B0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E6FF3"/>
    <w:rsid w:val="00FF2536"/>
    <w:rsid w:val="00FF2FFC"/>
    <w:rsid w:val="00FF48C3"/>
    <w:rsid w:val="00FF5058"/>
    <w:rsid w:val="00FF61B3"/>
    <w:rsid w:val="00FF78A8"/>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C3F46"/>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Grid Table 4 Accent 2"/>
    <w:basedOn w:val="a1"/>
    <w:uiPriority w:val="49"/>
    <w:rsid w:val="005A3E7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numbering" w:customStyle="1" w:styleId="41">
    <w:name w:val="بلا قائمة4"/>
    <w:next w:val="a2"/>
    <w:uiPriority w:val="99"/>
    <w:semiHidden/>
    <w:unhideWhenUsed/>
    <w:rsid w:val="0039762B"/>
  </w:style>
  <w:style w:type="table" w:customStyle="1" w:styleId="4-63">
    <w:name w:val="جدول شبكة 4 - تمييز 63"/>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52">
    <w:name w:val="بلا قائمة5"/>
    <w:next w:val="a2"/>
    <w:uiPriority w:val="99"/>
    <w:semiHidden/>
    <w:unhideWhenUsed/>
    <w:rsid w:val="0039762B"/>
  </w:style>
  <w:style w:type="table" w:customStyle="1" w:styleId="4-64">
    <w:name w:val="جدول شبكة 4 - تمييز 64"/>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60">
    <w:name w:val="بلا قائمة6"/>
    <w:next w:val="a2"/>
    <w:uiPriority w:val="99"/>
    <w:semiHidden/>
    <w:unhideWhenUsed/>
    <w:rsid w:val="0039762B"/>
  </w:style>
  <w:style w:type="table" w:customStyle="1" w:styleId="4-65">
    <w:name w:val="جدول شبكة 4 - تمييز 65"/>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70">
    <w:name w:val="بلا قائمة7"/>
    <w:next w:val="a2"/>
    <w:uiPriority w:val="99"/>
    <w:semiHidden/>
    <w:unhideWhenUsed/>
    <w:rsid w:val="005303A7"/>
  </w:style>
  <w:style w:type="table" w:customStyle="1" w:styleId="4-66">
    <w:name w:val="جدول شبكة 4 - تمييز 66"/>
    <w:basedOn w:val="a1"/>
    <w:next w:val="4-6"/>
    <w:uiPriority w:val="49"/>
    <w:rsid w:val="005303A7"/>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4-3">
    <w:name w:val="Grid Table 4 Accent 3"/>
    <w:basedOn w:val="a1"/>
    <w:uiPriority w:val="49"/>
    <w:rsid w:val="00370DC5"/>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80">
    <w:name w:val="بلا قائمة8"/>
    <w:next w:val="a2"/>
    <w:uiPriority w:val="99"/>
    <w:semiHidden/>
    <w:unhideWhenUsed/>
    <w:rsid w:val="00FE6FF3"/>
  </w:style>
  <w:style w:type="numbering" w:customStyle="1" w:styleId="90">
    <w:name w:val="بلا قائمة9"/>
    <w:next w:val="a2"/>
    <w:uiPriority w:val="99"/>
    <w:semiHidden/>
    <w:unhideWhenUsed/>
    <w:rsid w:val="003E6FB0"/>
  </w:style>
  <w:style w:type="numbering" w:customStyle="1" w:styleId="100">
    <w:name w:val="بلا قائمة10"/>
    <w:next w:val="a2"/>
    <w:uiPriority w:val="99"/>
    <w:semiHidden/>
    <w:unhideWhenUsed/>
    <w:rsid w:val="002903CD"/>
  </w:style>
  <w:style w:type="numbering" w:customStyle="1" w:styleId="120">
    <w:name w:val="بلا قائمة12"/>
    <w:next w:val="a2"/>
    <w:uiPriority w:val="99"/>
    <w:semiHidden/>
    <w:unhideWhenUsed/>
    <w:rsid w:val="002903CD"/>
  </w:style>
  <w:style w:type="numbering" w:customStyle="1" w:styleId="130">
    <w:name w:val="بلا قائمة13"/>
    <w:next w:val="a2"/>
    <w:uiPriority w:val="99"/>
    <w:semiHidden/>
    <w:unhideWhenUsed/>
    <w:rsid w:val="0040687F"/>
  </w:style>
  <w:style w:type="numbering" w:customStyle="1" w:styleId="140">
    <w:name w:val="بلا قائمة14"/>
    <w:next w:val="a2"/>
    <w:uiPriority w:val="99"/>
    <w:semiHidden/>
    <w:unhideWhenUsed/>
    <w:rsid w:val="0040687F"/>
  </w:style>
  <w:style w:type="table" w:styleId="4-5">
    <w:name w:val="Grid Table 4 Accent 5"/>
    <w:basedOn w:val="a1"/>
    <w:uiPriority w:val="49"/>
    <w:rsid w:val="002D6106"/>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150">
    <w:name w:val="بلا قائمة15"/>
    <w:next w:val="a2"/>
    <w:uiPriority w:val="99"/>
    <w:semiHidden/>
    <w:unhideWhenUsed/>
    <w:rsid w:val="00BB2499"/>
  </w:style>
  <w:style w:type="numbering" w:customStyle="1" w:styleId="160">
    <w:name w:val="بلا قائمة16"/>
    <w:next w:val="a2"/>
    <w:uiPriority w:val="99"/>
    <w:semiHidden/>
    <w:unhideWhenUsed/>
    <w:rsid w:val="00E637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35</Pages>
  <Words>6349</Words>
  <Characters>36190</Characters>
  <Application>Microsoft Office Word</Application>
  <DocSecurity>0</DocSecurity>
  <Lines>301</Lines>
  <Paragraphs>84</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13</cp:revision>
  <cp:lastPrinted>2025-11-11T21:20:00Z</cp:lastPrinted>
  <dcterms:created xsi:type="dcterms:W3CDTF">2026-02-28T23:45:00Z</dcterms:created>
  <dcterms:modified xsi:type="dcterms:W3CDTF">2026-03-03T22:46:00Z</dcterms:modified>
</cp:coreProperties>
</file>