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after="0" w:lineRule="auto" w:line="360"/>
        <w:rPr>
          <w:rFonts w:ascii="Sakkal Majalla" w:cs="Sakkal Majalla" w:hAnsi="Sakkal Majalla"/>
          <w:b/>
          <w:bCs/>
          <w:sz w:val="28"/>
          <w:szCs w:val="28"/>
          <w:rtl/>
          <w:lang w:bidi="ar-EG"/>
        </w:rPr>
      </w:pPr>
      <w:bookmarkStart w:id="0" w:name="_Hlk172555450"/>
      <w:bookmarkStart w:id="1" w:name="_Hlk202640205"/>
      <w:bookmarkStart w:id="2" w:name="_Hlk217821368"/>
      <w:bookmarkStart w:id="3" w:name="_Hlk204884645"/>
      <w:bookmarkStart w:id="4" w:name="_Hlk213561699"/>
      <w:bookmarkStart w:id="5" w:name="_Hlk217889284"/>
      <w:bookmarkEnd w:id="0"/>
      <w:r>
        <w:rPr>
          <w:rFonts w:ascii="Simplified Arabic" w:cs="Simplified Arabic" w:hAnsi="Simplified Arabic"/>
          <w:b/>
          <w:bCs/>
          <w:noProof/>
          <w:sz w:val="28"/>
          <w:szCs w:val="28"/>
        </w:rPr>
        <w:drawing>
          <wp:anchor distT="0" distB="0" distL="114300" distR="114300" simplePos="false" relativeHeight="2" behindDoc="false" locked="false" layoutInCell="true" allowOverlap="true">
            <wp:simplePos x="0" y="0"/>
            <wp:positionH relativeFrom="margin">
              <wp:align>left</wp:align>
            </wp:positionH>
            <wp:positionV relativeFrom="margin">
              <wp:posOffset>-523875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227152" cy="2066925"/>
                    </a:xfrm>
                    <a:prstGeom prst="rect"/>
                  </pic:spPr>
                </pic:pic>
              </a:graphicData>
            </a:graphic>
          </wp:anchor>
        </w:drawing>
      </w:r>
      <w:r>
        <w:rPr>
          <w:rFonts w:hint="cs"/>
          <w:b/>
          <w:bCs/>
          <w:sz w:val="28"/>
          <w:szCs w:val="28"/>
          <w:rtl/>
          <w:lang w:bidi="ar-EG"/>
        </w:rPr>
        <w:t xml:space="preserve">      </w:t>
      </w:r>
      <w:r>
        <w:rPr>
          <w:rFonts w:hint="cs"/>
          <w:b/>
          <w:bCs/>
          <w:sz w:val="28"/>
          <w:szCs w:val="28"/>
          <w:rtl/>
          <w:lang w:bidi="ar-EG"/>
        </w:rPr>
        <w:t xml:space="preserve"> </w:t>
      </w:r>
      <w:r>
        <w:rPr>
          <w:rFonts w:ascii="Sakkal Majalla" w:cs="Sakkal Majalla" w:hAnsi="Sakkal Majalla"/>
          <w:b/>
          <w:bCs/>
          <w:sz w:val="28"/>
          <w:szCs w:val="28"/>
          <w:rtl/>
          <w:lang w:bidi="ar-EG"/>
        </w:rPr>
        <w:t>جامعة ميدأوشن</w:t>
      </w:r>
    </w:p>
    <w:p>
      <w:pPr>
        <w:pStyle w:val="style0"/>
        <w:spacing w:after="0" w:lineRule="auto" w:line="360"/>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 xml:space="preserve">                 </w:t>
      </w:r>
      <w:r>
        <w:rPr>
          <w:rFonts w:ascii="Sakkal Majalla" w:cs="Sakkal Majalla" w:hAnsi="Sakkal Majalla"/>
          <w:b/>
          <w:bCs/>
          <w:sz w:val="28"/>
          <w:szCs w:val="28"/>
          <w:rtl/>
          <w:lang w:bidi="ar-EG"/>
        </w:rPr>
        <w:t xml:space="preserve">كلية </w:t>
      </w:r>
      <w:r>
        <w:rPr>
          <w:rFonts w:ascii="Sakkal Majalla" w:cs="Sakkal Majalla" w:hAnsi="Sakkal Majalla" w:hint="cs"/>
          <w:b/>
          <w:bCs/>
          <w:sz w:val="28"/>
          <w:szCs w:val="28"/>
          <w:rtl/>
          <w:lang w:bidi="ar-EG"/>
        </w:rPr>
        <w:t>الإدارة</w:t>
      </w:r>
    </w:p>
    <w:p>
      <w:pPr>
        <w:pStyle w:val="style0"/>
        <w:tabs>
          <w:tab w:val="left" w:leader="none" w:pos="1905"/>
        </w:tabs>
        <w:spacing w:after="0" w:lineRule="auto" w:line="360"/>
        <w:ind w:left="-90"/>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 xml:space="preserve"> </w:t>
      </w:r>
      <w:r>
        <w:rPr>
          <w:rFonts w:ascii="Sakkal Majalla" w:cs="Sakkal Majalla" w:hAnsi="Sakkal Majalla"/>
          <w:b/>
          <w:bCs/>
          <w:sz w:val="28"/>
          <w:szCs w:val="28"/>
          <w:rtl/>
          <w:lang w:bidi="ar-EG"/>
        </w:rPr>
        <w:t xml:space="preserve">تخصص </w:t>
      </w:r>
      <w:r>
        <w:rPr>
          <w:rFonts w:ascii="Sakkal Majalla" w:cs="Sakkal Majalla" w:hAnsi="Sakkal Majalla" w:hint="cs"/>
          <w:b/>
          <w:bCs/>
          <w:sz w:val="28"/>
          <w:szCs w:val="28"/>
          <w:rtl/>
          <w:lang w:bidi="ar-EG"/>
        </w:rPr>
        <w:t>ماجستير موارد بشرية</w:t>
      </w:r>
    </w:p>
    <w:p>
      <w:pPr>
        <w:pStyle w:val="style0"/>
        <w:spacing w:after="0" w:lineRule="auto" w:line="276"/>
        <w:rPr>
          <w:rFonts w:ascii="Sakkal Majalla" w:cs="Sakkal Majalla" w:hAnsi="Sakkal Majalla"/>
          <w:sz w:val="28"/>
          <w:szCs w:val="28"/>
          <w:rtl/>
          <w:lang w:bidi="ar-EG"/>
        </w:rPr>
      </w:pPr>
    </w:p>
    <w:p>
      <w:pPr>
        <w:pStyle w:val="style0"/>
        <w:rPr>
          <w:rFonts w:ascii="Sakkal Majalla" w:cs="Sakkal Majalla" w:hAnsi="Sakkal Majalla"/>
          <w:sz w:val="28"/>
          <w:szCs w:val="28"/>
          <w:rtl/>
          <w:lang w:bidi="ar-EG"/>
        </w:rPr>
      </w:pPr>
    </w:p>
    <w:p>
      <w:pPr>
        <w:pStyle w:val="style0"/>
        <w:rPr>
          <w:rFonts w:ascii="Simplified Arabic" w:cs="Simplified Arabic" w:hAnsi="Simplified Arabic"/>
          <w:b/>
          <w:bCs/>
          <w:sz w:val="28"/>
          <w:szCs w:val="28"/>
          <w:rtl/>
          <w:lang w:bidi="ar-EG"/>
        </w:rPr>
      </w:pPr>
    </w:p>
    <w:p>
      <w:pPr>
        <w:pStyle w:val="style0"/>
        <w:jc w:val="center"/>
        <w:rPr>
          <w:rFonts w:ascii="Sakkal Majalla" w:cs="Sakkal Majalla" w:hAnsi="Sakkal Majalla"/>
          <w:b/>
          <w:bCs/>
          <w:sz w:val="32"/>
          <w:szCs w:val="32"/>
          <w:rtl/>
        </w:rPr>
      </w:pPr>
      <w:r>
        <w:rPr>
          <w:rFonts w:ascii="Sakkal Majalla" w:cs="Sakkal Majalla" w:hAnsi="Sakkal Majalla"/>
          <w:b/>
          <w:bCs/>
          <w:sz w:val="32"/>
          <w:szCs w:val="32"/>
          <w:rtl/>
        </w:rPr>
        <w:t>أثر المرونة التنظيمية في إدارة الموارد البشرية على تحقيق الاستدامة الوظيفية في المؤسسات السعودية</w:t>
      </w:r>
    </w:p>
    <w:p>
      <w:pPr>
        <w:pStyle w:val="style0"/>
        <w:jc w:val="center"/>
        <w:rPr>
          <w:rFonts w:cs="Calibri"/>
          <w:rtl/>
          <w:lang w:bidi="ar-EG"/>
        </w:rPr>
      </w:pPr>
    </w:p>
    <w:p>
      <w:pPr>
        <w:pStyle w:val="style0"/>
        <w:jc w:val="center"/>
        <w:rPr>
          <w:rFonts w:cs="Calibri"/>
          <w:rtl/>
          <w:lang w:bidi="ar-EG"/>
        </w:rPr>
      </w:pPr>
    </w:p>
    <w:p>
      <w:pPr>
        <w:pStyle w:val="style0"/>
        <w:jc w:val="center"/>
        <w:rPr>
          <w:rFonts w:ascii="Sakkal Majalla" w:cs="Sakkal Majalla" w:hAnsi="Sakkal Majalla"/>
          <w:b/>
          <w:bCs/>
          <w:sz w:val="32"/>
          <w:szCs w:val="32"/>
          <w:rtl/>
          <w:lang w:bidi="ar-EG"/>
        </w:rPr>
      </w:pPr>
      <w:r>
        <w:rPr>
          <w:rFonts w:ascii="Sakkal Majalla" w:cs="Sakkal Majalla" w:hAnsi="Sakkal Majalla"/>
          <w:b/>
          <w:bCs/>
          <w:sz w:val="32"/>
          <w:szCs w:val="32"/>
          <w:rtl/>
          <w:lang w:bidi="ar-EG"/>
        </w:rPr>
        <w:t>إعداد الطالب/</w:t>
      </w:r>
    </w:p>
    <w:p>
      <w:pPr>
        <w:pStyle w:val="style0"/>
        <w:jc w:val="center"/>
        <w:rPr>
          <w:rFonts w:ascii="Sakkal Majalla" w:cs="Sakkal Majalla" w:eastAsia="Calibri" w:hAnsi="Sakkal Majalla"/>
          <w:b/>
          <w:bCs/>
          <w:sz w:val="28"/>
          <w:szCs w:val="28"/>
          <w:rtl/>
        </w:rPr>
      </w:pPr>
      <w:r>
        <w:rPr>
          <w:rFonts w:ascii="Sakkal Majalla" w:eastAsia="Calibri" w:hAnsi="Sakkal Majalla" w:hint="cs"/>
          <w:b/>
          <w:bCs/>
          <w:sz w:val="28"/>
          <w:szCs w:val="28"/>
          <w:rtl/>
          <w:lang w:bidi="ar-DZ"/>
        </w:rPr>
        <w:t>معتز بن عبد العزيز ابراهيم بن غشيان</w:t>
      </w:r>
    </w:p>
    <w:p>
      <w:pPr>
        <w:pStyle w:val="style0"/>
        <w:jc w:val="center"/>
        <w:rPr>
          <w:rFonts w:ascii="Sakkal Majalla" w:cs="Sakkal Majalla" w:hAnsi="Sakkal Majalla"/>
          <w:b/>
          <w:bCs/>
          <w:rtl/>
        </w:rPr>
      </w:pPr>
    </w:p>
    <w:p>
      <w:pPr>
        <w:pStyle w:val="style0"/>
        <w:jc w:val="center"/>
        <w:rPr>
          <w:rFonts w:ascii="Sakkal Majalla" w:cs="Sakkal Majalla" w:hAnsi="Sakkal Majalla"/>
          <w:b/>
          <w:bCs/>
          <w:sz w:val="32"/>
          <w:szCs w:val="32"/>
          <w:rtl/>
          <w:lang w:bidi="ar-EG"/>
        </w:rPr>
      </w:pPr>
      <w:r>
        <w:rPr>
          <w:rFonts w:ascii="Sakkal Majalla" w:cs="Sakkal Majalla" w:hAnsi="Sakkal Majalla"/>
          <w:b/>
          <w:bCs/>
          <w:sz w:val="32"/>
          <w:szCs w:val="32"/>
          <w:rtl/>
          <w:lang w:bidi="ar-EG"/>
        </w:rPr>
        <w:t>الرقم الجامعي/</w:t>
      </w:r>
    </w:p>
    <w:p>
      <w:pPr>
        <w:pStyle w:val="style0"/>
        <w:jc w:val="center"/>
        <w:rPr>
          <w:rFonts w:ascii="Sakkal Majalla" w:cs="Sakkal Majalla" w:hAnsi="Sakkal Majalla"/>
          <w:b/>
          <w:bCs/>
          <w:sz w:val="28"/>
          <w:szCs w:val="28"/>
          <w:rtl/>
          <w:lang w:bidi="ar-EG"/>
        </w:rPr>
      </w:pPr>
      <w:r>
        <w:rPr>
          <w:rFonts w:ascii="Sakkal Majalla" w:hAnsi="Sakkal Majalla" w:hint="cs"/>
          <w:b/>
          <w:bCs/>
          <w:sz w:val="28"/>
          <w:szCs w:val="28"/>
          <w:rtl/>
          <w:lang w:bidi="ar-DZ"/>
        </w:rPr>
        <w:t>253001990</w:t>
      </w: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32"/>
          <w:szCs w:val="32"/>
          <w:rtl/>
          <w:lang w:bidi="ar-EG"/>
        </w:rPr>
      </w:pPr>
      <w:r>
        <w:rPr>
          <w:rFonts w:ascii="Sakkal Majalla" w:cs="Sakkal Majalla" w:hAnsi="Sakkal Majalla"/>
          <w:b/>
          <w:bCs/>
          <w:sz w:val="32"/>
          <w:szCs w:val="32"/>
          <w:rtl/>
          <w:lang w:bidi="ar-EG"/>
        </w:rPr>
        <w:t>إشراف/</w:t>
      </w: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أد.الفيصل عبدالحميد محمد</w:t>
      </w:r>
    </w:p>
    <w:p>
      <w:pPr>
        <w:pStyle w:val="style0"/>
        <w:jc w:val="center"/>
        <w:rPr>
          <w:rFonts w:ascii="Sakkal Majalla" w:cs="Sakkal Majalla" w:hAnsi="Sakkal Majalla"/>
          <w:b/>
          <w:bCs/>
          <w:sz w:val="28"/>
          <w:szCs w:val="28"/>
          <w:lang w:bidi="ar-EG"/>
        </w:rPr>
      </w:pPr>
      <w:r>
        <w:rPr>
          <w:rFonts w:ascii="Sakkal Majalla" w:cs="Sakkal Majalla" w:hAnsi="Sakkal Majalla"/>
          <w:b/>
          <w:bCs/>
          <w:sz w:val="28"/>
          <w:szCs w:val="28"/>
          <w:rtl/>
          <w:lang w:bidi="ar-EG"/>
        </w:rPr>
        <w:t>أد.فايز علي جراد</w:t>
      </w:r>
    </w:p>
    <w:p>
      <w:pPr>
        <w:pStyle w:val="style0"/>
        <w:jc w:val="center"/>
        <w:rPr>
          <w:rFonts w:ascii="Simplified Arabic" w:cs="Simplified Arabic" w:hAnsi="Simplified Arabic"/>
          <w:b/>
          <w:bCs/>
          <w:sz w:val="28"/>
          <w:szCs w:val="28"/>
          <w:rtl/>
          <w:lang w:bidi="ar-EG"/>
        </w:rPr>
      </w:pPr>
    </w:p>
    <w:p>
      <w:pPr>
        <w:pStyle w:val="style0"/>
        <w:jc w:val="center"/>
        <w:rPr>
          <w:rFonts w:ascii="Sakkal Majalla" w:cs="Sakkal Majalla" w:hAnsi="Sakkal Majalla"/>
          <w:b/>
          <w:bCs/>
          <w:sz w:val="32"/>
          <w:szCs w:val="32"/>
          <w:rtl/>
          <w:lang w:bidi="ar-EG"/>
        </w:rPr>
      </w:pPr>
      <w:r>
        <w:rPr>
          <w:rFonts w:ascii="Sakkal Majalla" w:cs="Sakkal Majalla" w:hAnsi="Sakkal Majalla"/>
          <w:b/>
          <w:bCs/>
          <w:sz w:val="32"/>
          <w:szCs w:val="32"/>
          <w:rtl/>
          <w:lang w:bidi="ar-EG"/>
        </w:rPr>
        <w:t>العام الدراسي</w:t>
      </w:r>
    </w:p>
    <w:p>
      <w:pPr>
        <w:pStyle w:val="style0"/>
        <w:jc w:val="center"/>
        <w:rPr>
          <w:rFonts w:ascii="Sakkal Majalla" w:cs="Sakkal Majalla" w:hAnsi="Sakkal Majalla"/>
          <w:b/>
          <w:bCs/>
          <w:sz w:val="32"/>
          <w:szCs w:val="32"/>
          <w:rtl/>
          <w:lang w:bidi="ar-EG"/>
        </w:rPr>
      </w:pPr>
      <w:r>
        <w:rPr>
          <w:rFonts w:ascii="Sakkal Majalla" w:cs="Sakkal Majalla" w:hAnsi="Sakkal Majalla"/>
          <w:b/>
          <w:bCs/>
          <w:sz w:val="32"/>
          <w:szCs w:val="32"/>
          <w:rtl/>
          <w:lang w:bidi="ar-EG"/>
        </w:rPr>
        <w:t>202</w:t>
      </w:r>
      <w:bookmarkEnd w:id="1"/>
      <w:r>
        <w:rPr>
          <w:rFonts w:ascii="Sakkal Majalla" w:cs="Sakkal Majalla" w:hAnsi="Sakkal Majalla" w:hint="cs"/>
          <w:b/>
          <w:bCs/>
          <w:sz w:val="32"/>
          <w:szCs w:val="32"/>
          <w:rtl/>
          <w:lang w:bidi="ar-EG"/>
        </w:rPr>
        <w:t>6</w:t>
      </w:r>
    </w:p>
    <w:bookmarkEnd w:id="2"/>
    <w:p>
      <w:pPr>
        <w:pStyle w:val="style0"/>
        <w:jc w:val="center"/>
        <w:rPr>
          <w:noProof/>
          <w:rtl/>
        </w:rPr>
      </w:pPr>
    </w:p>
    <w:bookmarkEnd w:id="3"/>
    <w:p>
      <w:pPr>
        <w:pStyle w:val="style0"/>
        <w:rPr>
          <w:noProof/>
          <w:rtl/>
        </w:rPr>
      </w:pPr>
    </w:p>
    <w:p>
      <w:pPr>
        <w:pStyle w:val="style0"/>
        <w:rPr>
          <w:noProof/>
          <w:rtl/>
        </w:rPr>
      </w:pPr>
    </w:p>
    <w:p>
      <w:pPr>
        <w:pStyle w:val="style0"/>
        <w:rPr>
          <w:noProof/>
          <w:rtl/>
        </w:rPr>
      </w:pPr>
    </w:p>
    <w:bookmarkEnd w:id="4"/>
    <w:p>
      <w:pPr>
        <w:pStyle w:val="style0"/>
        <w:rPr>
          <w:noProof/>
          <w:rtl/>
        </w:rPr>
      </w:pPr>
    </w:p>
    <w:bookmarkEnd w:id="5"/>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1"/>
        <w:jc w:val="center"/>
        <w:rPr>
          <w:rFonts w:ascii="Andalus" w:cs="Andalus" w:hAnsi="Andalus"/>
          <w:b/>
          <w:bCs/>
          <w:sz w:val="200"/>
          <w:szCs w:val="200"/>
          <w:rtl/>
        </w:rPr>
      </w:pPr>
      <w:r>
        <w:rPr>
          <w:rFonts w:ascii="Andalus" w:cs="Andalus" w:hAnsi="Andalus"/>
          <w:b/>
          <w:bCs/>
          <w:sz w:val="200"/>
          <w:szCs w:val="200"/>
          <w:rtl/>
        </w:rPr>
        <w:t>الفصل الأول</w:t>
      </w: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bookmarkStart w:id="6" w:name="_Toc172397776"/>
    <w:bookmarkStart w:id="7" w:name="_Toc172746089"/>
    <w:bookmarkStart w:id="8" w:name="_Toc179741527"/>
    <w:bookmarkStart w:id="9" w:name="_Toc217821155"/>
    <w:bookmarkStart w:id="10" w:name="_Hlk217889383"/>
    <w:bookmarkStart w:id="11" w:name="_Hlk218530871"/>
    <w:p>
      <w:pPr>
        <w:pStyle w:val="style2"/>
        <w:spacing w:before="0"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المقدمة</w:t>
      </w:r>
      <w:bookmarkEnd w:id="6"/>
      <w:bookmarkEnd w:id="7"/>
      <w:bookmarkEnd w:id="8"/>
      <w:bookmarkEnd w:id="9"/>
    </w:p>
    <w:bookmarkStart w:id="12" w:name="_Toc171380653"/>
    <w:bookmarkStart w:id="13" w:name="_Toc175325838"/>
    <w:bookmarkStart w:id="14" w:name="_Toc217821156"/>
    <w:p>
      <w:pPr>
        <w:pStyle w:val="style0"/>
        <w:spacing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في ظل بيئة الأعمال الحالية، باتت المرونة التنظيمية مفهومًا عصريًا يحظى باهتمام متزايد، لا سيما في ضوء التغيرات المتسارعة في الأسواق العالمية والتطورات التكنولوجية المتواصلة. فاليوم، بات لزامًا على المؤسسات أن تتمتع بقدرة عالية على التكيف والتعامل مع مختلف التحديات. ونظرًا لأن الموارد البشرية تُعتبر المصدر الرئيسي لاستدامة المؤسسة وكفاءتها، فقد كان لذلك أثر مباشر على ممارسات إدارة الموارد البشرية.</w:t>
      </w:r>
    </w:p>
    <w:p>
      <w:pPr>
        <w:pStyle w:val="style0"/>
        <w:spacing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يتضح الآن مدى أهمية دمج مبادئ المرونة التنظيمية في إدارة الموارد البشرية. ويتحقق ذلك من خلال تطبيق سياسات مرنة في التوظيف والتدريب وتقييم الأداء وتحفيز الموظفين، مما يُحسّن قدرة العاملين على التكيف مع متطلبات العمل المتغيرة. ومن أهم عناصر تحقيق استدامة التوظيف تهيئة بيئة عمل داعمة تُشجع الإبداع والاستقرار الوظيفي، وكلاهما يتحقق بفضل هذه المرونة. ويُعدّ الحفاظ على الأداء الجيد وخفض معدلات دوران الموظفين من أهداف هذه الاستدامة.</w:t>
      </w:r>
    </w:p>
    <w:p>
      <w:pPr>
        <w:pStyle w:val="style0"/>
        <w:spacing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وبالنظر إلى أهداف رؤية 2030، التي تتمحور حول تحسين كفاءة سوق العمل وبناء رأس المال البشري، فإن هذه المسألة تكتسب أهمية خاصة في المملكة العربية السعودية. بهدف توفير إطار علمي يساعد صناع القرار على وضع سياسات أكثر استدامة وفعالية، تهدف هذه الدراسة إلى بحث تأثير المرونة التنظيمية في ممارسات إدارة الموارد البشرية على تحقيق استدامة الوظائف من خلال دراسة العلاقة بين أبعاد المرونة التنظيمية ودرجة الاستقرار والرضا الوظيفي بين الموظفين في المؤسسات السعودية.</w:t>
      </w:r>
    </w:p>
    <w:p>
      <w:pPr>
        <w:pStyle w:val="style0"/>
        <w:spacing w:lineRule="auto" w:line="360"/>
        <w:jc w:val="both"/>
        <w:rPr>
          <w:rFonts w:ascii="Sakkal Majalla" w:cs="Sakkal Majalla" w:hAnsi="Sakkal Majalla"/>
          <w:sz w:val="28"/>
          <w:szCs w:val="28"/>
        </w:rPr>
      </w:pPr>
    </w:p>
    <w:p>
      <w:pPr>
        <w:pStyle w:val="style1"/>
        <w:spacing w:before="0" w:lineRule="auto" w:line="360"/>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مشكلة الدراسة</w:t>
      </w:r>
      <w:bookmarkEnd w:id="12"/>
      <w:bookmarkEnd w:id="13"/>
      <w:bookmarkEnd w:id="14"/>
    </w:p>
    <w:bookmarkStart w:id="15" w:name="_Toc172397777"/>
    <w:bookmarkStart w:id="16" w:name="_Toc172746090"/>
    <w:bookmarkStart w:id="17" w:name="_Toc179741528"/>
    <w:p>
      <w:pPr>
        <w:pStyle w:val="style0"/>
        <w:spacing w:after="0"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تواجه المؤسسات صعوبة متزايدة في التكيف مع التغيرات التقنية والاقتصادية في بيئة الأعمال الحديثة، مما يستدعي تبني أساليب إدارية أكثر مرونة. ولا تزال العديد من الشركات السعودية تعاني من أجل تحقيق استدامة الوظائف، ويتجلى ذلك في ارتفاع معدلات دوران الموظفين، وانخفاض الرضا الوظيفي، وضعف الأمن الوظيفي، على الرغم من جهودها المبذولة لتحسين عمليات إدارة الموارد البشرية.</w:t>
      </w:r>
    </w:p>
    <w:p>
      <w:pPr>
        <w:pStyle w:val="style0"/>
        <w:spacing w:after="0"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تكمن المشكلة الأساسية في أن مفاهيم المرونة التنظيمية تُطبق في إدارات الموارد البشرية بشكل محدود وغير فعال، كما أن تأثير هذه المرونة على استدامة الوظائف غير واضح. وتزداد صعوبة وضع سياسات تستند إلى مبادئ علمية دقيقة بسبب ندرة البحوث التطبيقية التي تتناول هذا الموضوع تحديدًا في السياق السعودي.</w:t>
      </w:r>
    </w:p>
    <w:p>
      <w:pPr>
        <w:pStyle w:val="style0"/>
        <w:spacing w:after="0"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 xml:space="preserve">لذا، فإن الموضوع الرئيسي الذي تسعى هذه الدراسة إلى معالجته هو: </w:t>
      </w:r>
      <w:r>
        <w:rPr>
          <w:rFonts w:ascii="Sakkal Majalla" w:cs="Sakkal Majalla" w:hAnsi="Sakkal Majalla"/>
          <w:b/>
          <w:bCs/>
          <w:sz w:val="28"/>
          <w:szCs w:val="28"/>
          <w:rtl/>
        </w:rPr>
        <w:t>كيف تؤثر المرونة التنظيمية في إدارة الموارد البشرية على تحقيق استدامة التوظيف في المؤسسات السعودية؟</w:t>
      </w:r>
    </w:p>
    <w:p>
      <w:pPr>
        <w:pStyle w:val="style0"/>
        <w:spacing w:after="0" w:lineRule="auto" w:line="360"/>
        <w:jc w:val="both"/>
        <w:rPr>
          <w:rFonts w:ascii="Sakkal Majalla" w:cs="Sakkal Majalla" w:eastAsia="Calibri" w:hAnsi="Sakkal Majalla"/>
          <w:sz w:val="28"/>
          <w:szCs w:val="28"/>
        </w:rPr>
      </w:pPr>
    </w:p>
    <w:bookmarkStart w:id="18" w:name="_Toc217821157"/>
    <w:p>
      <w:pPr>
        <w:pStyle w:val="style2"/>
        <w:spacing w:lineRule="auto" w:line="360"/>
        <w:jc w:val="both"/>
        <w:rPr>
          <w:rFonts w:ascii="Sakkal Majalla" w:cs="Sakkal Majalla" w:hAnsi="Sakkal Majalla"/>
          <w:b/>
          <w:bCs/>
          <w:color w:val="000000"/>
          <w:sz w:val="28"/>
          <w:szCs w:val="28"/>
          <w:rtl/>
        </w:rPr>
      </w:pPr>
      <w:r>
        <w:rPr>
          <w:rFonts w:ascii="Sakkal Majalla" w:cs="Sakkal Majalla" w:hAnsi="Sakkal Majalla" w:hint="cs"/>
          <w:b/>
          <w:bCs/>
          <w:color w:val="000000"/>
          <w:sz w:val="28"/>
          <w:szCs w:val="28"/>
          <w:rtl/>
        </w:rPr>
        <w:t>أهمية</w:t>
      </w:r>
      <w:r>
        <w:rPr>
          <w:rFonts w:ascii="Sakkal Majalla" w:cs="Sakkal Majalla" w:hAnsi="Sakkal Majalla"/>
          <w:b/>
          <w:bCs/>
          <w:color w:val="000000"/>
          <w:sz w:val="28"/>
          <w:szCs w:val="28"/>
          <w:rtl/>
        </w:rPr>
        <w:t xml:space="preserve"> الدراسة</w:t>
      </w:r>
      <w:bookmarkEnd w:id="15"/>
      <w:bookmarkEnd w:id="16"/>
      <w:bookmarkEnd w:id="17"/>
      <w:bookmarkEnd w:id="18"/>
      <w:r>
        <w:rPr>
          <w:rFonts w:ascii="Sakkal Majalla" w:cs="Sakkal Majalla" w:hAnsi="Sakkal Majalla"/>
          <w:b/>
          <w:bCs/>
          <w:color w:val="000000"/>
          <w:sz w:val="28"/>
          <w:szCs w:val="28"/>
          <w:rtl/>
        </w:rPr>
        <w:t xml:space="preserve"> </w:t>
      </w:r>
      <w:bookmarkStart w:id="19" w:name="_Toc172397779"/>
      <w:bookmarkStart w:id="20" w:name="_Toc172746092"/>
      <w:bookmarkStart w:id="21" w:name="_Toc179741530"/>
      <w:bookmarkStart w:id="22" w:name="_Toc217821158"/>
    </w:p>
    <w:p>
      <w:pPr>
        <w:pStyle w:val="style179"/>
        <w:numPr>
          <w:ilvl w:val="0"/>
          <w:numId w:val="3"/>
        </w:numPr>
        <w:spacing w:lineRule="auto" w:line="360"/>
        <w:jc w:val="both"/>
        <w:rPr>
          <w:rFonts w:ascii="Sakkal Majalla" w:cs="Sakkal Majalla" w:hAnsi="Sakkal Majalla"/>
          <w:b/>
          <w:bCs/>
          <w:sz w:val="28"/>
          <w:szCs w:val="28"/>
        </w:rPr>
      </w:pPr>
      <w:r>
        <w:rPr>
          <w:rFonts w:ascii="Sakkal Majalla" w:cs="Sakkal Majalla" w:hAnsi="Sakkal Majalla"/>
          <w:b/>
          <w:bCs/>
          <w:sz w:val="28"/>
          <w:szCs w:val="28"/>
          <w:rtl/>
        </w:rPr>
        <w:t>الأهمية العلمية</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تتجلى الأهمية العلمية لهذه الدراسة في عدة جوانب، أبرزها:</w:t>
      </w:r>
    </w:p>
    <w:p>
      <w:pPr>
        <w:pStyle w:val="style179"/>
        <w:numPr>
          <w:ilvl w:val="0"/>
          <w:numId w:val="24"/>
        </w:numPr>
        <w:spacing w:lineRule="auto" w:line="360"/>
        <w:jc w:val="both"/>
        <w:rPr>
          <w:rFonts w:ascii="Sakkal Majalla" w:cs="Sakkal Majalla" w:hAnsi="Sakkal Majalla"/>
          <w:sz w:val="28"/>
          <w:szCs w:val="28"/>
          <w:rtl/>
        </w:rPr>
      </w:pPr>
      <w:r>
        <w:rPr>
          <w:rFonts w:ascii="Sakkal Majalla" w:cs="Sakkal Majalla" w:hAnsi="Sakkal Majalla"/>
          <w:sz w:val="28"/>
          <w:szCs w:val="28"/>
          <w:rtl/>
        </w:rPr>
        <w:t>إذ تُسهم في تطوير المعرفة النظرية حول مرونة المنظمات، وتربطها منهجياً بمفهوم استدامة الوظائف، وهو موضوع حديث نسبياً في أدبيات إدارة الموارد البشرية.</w:t>
      </w:r>
    </w:p>
    <w:p>
      <w:pPr>
        <w:pStyle w:val="style179"/>
        <w:numPr>
          <w:ilvl w:val="0"/>
          <w:numId w:val="24"/>
        </w:numPr>
        <w:spacing w:lineRule="auto" w:line="360"/>
        <w:jc w:val="both"/>
        <w:rPr>
          <w:rFonts w:ascii="Sakkal Majalla" w:cs="Sakkal Majalla" w:hAnsi="Sakkal Majalla"/>
          <w:sz w:val="28"/>
          <w:szCs w:val="28"/>
          <w:rtl/>
        </w:rPr>
      </w:pPr>
      <w:r>
        <w:rPr>
          <w:rFonts w:ascii="Sakkal Majalla" w:cs="Sakkal Majalla" w:hAnsi="Sakkal Majalla"/>
          <w:sz w:val="28"/>
          <w:szCs w:val="28"/>
          <w:rtl/>
        </w:rPr>
        <w:t>كما تُقدم إطاراً تحليلياً يُوضح كيفية تأثير سياسات الموارد البشرية المرنة (مثل المرونة في التوظيف والتدريب والعمل والتقييم) على استقرار القوى العاملة واستمراريتها.</w:t>
      </w:r>
    </w:p>
    <w:p>
      <w:pPr>
        <w:pStyle w:val="style179"/>
        <w:numPr>
          <w:ilvl w:val="0"/>
          <w:numId w:val="24"/>
        </w:numPr>
        <w:spacing w:lineRule="auto" w:line="360"/>
        <w:jc w:val="both"/>
        <w:rPr>
          <w:rFonts w:ascii="Sakkal Majalla" w:cs="Sakkal Majalla" w:hAnsi="Sakkal Majalla"/>
          <w:sz w:val="28"/>
          <w:szCs w:val="28"/>
          <w:rtl/>
        </w:rPr>
      </w:pPr>
      <w:r>
        <w:rPr>
          <w:rFonts w:ascii="Sakkal Majalla" w:cs="Sakkal Majalla" w:hAnsi="Sakkal Majalla"/>
          <w:sz w:val="28"/>
          <w:szCs w:val="28"/>
          <w:rtl/>
        </w:rPr>
        <w:t>وتسد هذه الدراسة ثغرة بحثية هامة في الدراسات العربية، لا سيما في السياق السعودي، حيث لا تزال الدراسات التي تتناول العلاقة بين هذين المتغيرين قليلة.</w:t>
      </w:r>
    </w:p>
    <w:p>
      <w:pPr>
        <w:pStyle w:val="style179"/>
        <w:numPr>
          <w:ilvl w:val="0"/>
          <w:numId w:val="24"/>
        </w:numPr>
        <w:spacing w:lineRule="auto" w:line="360"/>
        <w:jc w:val="both"/>
        <w:rPr>
          <w:rFonts w:ascii="Sakkal Majalla" w:cs="Sakkal Majalla" w:hAnsi="Sakkal Majalla"/>
          <w:sz w:val="28"/>
          <w:szCs w:val="28"/>
          <w:rtl/>
        </w:rPr>
      </w:pPr>
      <w:r>
        <w:rPr>
          <w:rFonts w:ascii="Sakkal Majalla" w:cs="Sakkal Majalla" w:hAnsi="Sakkal Majalla"/>
          <w:sz w:val="28"/>
          <w:szCs w:val="28"/>
          <w:rtl/>
        </w:rPr>
        <w:t>وتُتيح هذه الدراسة إجراء بحوث مستقبلية حول العوامل الوسيطة أو المعدلة، بما في ذلك ثقافة الشركات والقيادة التحويلية والتحول الرقمي.</w:t>
      </w:r>
    </w:p>
    <w:p>
      <w:pPr>
        <w:pStyle w:val="style179"/>
        <w:numPr>
          <w:ilvl w:val="0"/>
          <w:numId w:val="24"/>
        </w:numPr>
        <w:spacing w:lineRule="auto" w:line="360"/>
        <w:jc w:val="both"/>
        <w:rPr>
          <w:rFonts w:ascii="Sakkal Majalla" w:cs="Sakkal Majalla" w:hAnsi="Sakkal Majalla"/>
          <w:sz w:val="28"/>
          <w:szCs w:val="28"/>
        </w:rPr>
      </w:pPr>
      <w:r>
        <w:rPr>
          <w:rFonts w:ascii="Sakkal Majalla" w:cs="Sakkal Majalla" w:hAnsi="Sakkal Majalla"/>
          <w:sz w:val="28"/>
          <w:szCs w:val="28"/>
          <w:rtl/>
        </w:rPr>
        <w:t>وتدعم هذه الدراسة التوجهات البحثية العلمية الحالية التي تُؤكد على استدامة الموارد البشرية كعنصر أساسي في الاستدامة التنظيمية الشاملة.</w:t>
      </w:r>
    </w:p>
    <w:p>
      <w:pPr>
        <w:pStyle w:val="style179"/>
        <w:numPr>
          <w:ilvl w:val="0"/>
          <w:numId w:val="24"/>
        </w:numPr>
        <w:spacing w:lineRule="auto" w:line="360"/>
        <w:jc w:val="both"/>
        <w:rPr>
          <w:rFonts w:ascii="Sakkal Majalla" w:cs="Sakkal Majalla" w:hAnsi="Sakkal Majalla"/>
          <w:sz w:val="28"/>
          <w:szCs w:val="28"/>
          <w:rtl/>
        </w:rPr>
      </w:pPr>
      <w:r>
        <w:rPr>
          <w:rFonts w:ascii="Sakkal Majalla" w:cs="Sakkal Majalla" w:hAnsi="Sakkal Majalla"/>
          <w:sz w:val="28"/>
          <w:szCs w:val="28"/>
          <w:rtl/>
        </w:rPr>
        <w:t>وتُساعد هذه الدراسة في ابتكار مقاييس وأدوات بحثية يُمكن تطبيقها مستقبلاً في دراسات مُقارنة تُجرى داخل المملكة العربية السعودية وخارجها.</w:t>
      </w:r>
    </w:p>
    <w:p>
      <w:pPr>
        <w:pStyle w:val="style179"/>
        <w:numPr>
          <w:ilvl w:val="0"/>
          <w:numId w:val="23"/>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الأهمية العملية</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تتجلى التطبيقات العملية الهامة لهذا العمل في الميزات التالية:</w:t>
      </w:r>
    </w:p>
    <w:p>
      <w:pPr>
        <w:pStyle w:val="style179"/>
        <w:numPr>
          <w:ilvl w:val="0"/>
          <w:numId w:val="25"/>
        </w:numPr>
        <w:spacing w:lineRule="auto" w:line="360"/>
        <w:rPr>
          <w:rFonts w:ascii="Sakkal Majalla" w:cs="Sakkal Majalla" w:hAnsi="Sakkal Majalla"/>
          <w:sz w:val="28"/>
          <w:szCs w:val="28"/>
          <w:rtl/>
        </w:rPr>
      </w:pPr>
      <w:r>
        <w:rPr>
          <w:rFonts w:ascii="Sakkal Majalla" w:cs="Sakkal Majalla" w:hAnsi="Sakkal Majalla"/>
          <w:sz w:val="28"/>
          <w:szCs w:val="28"/>
          <w:rtl/>
        </w:rPr>
        <w:t>تساعد هذه الدراسة صانعي القرار في قطاع الأعمال السعودي على فهم أهمية تطبيق المرونة التنظيمية كاستراتيجية ناجحة لتحسين فعالية إدارة الموارد البشرية.</w:t>
      </w:r>
    </w:p>
    <w:p>
      <w:pPr>
        <w:pStyle w:val="style179"/>
        <w:numPr>
          <w:ilvl w:val="0"/>
          <w:numId w:val="25"/>
        </w:numPr>
        <w:spacing w:lineRule="auto" w:line="360"/>
        <w:rPr>
          <w:rFonts w:ascii="Sakkal Majalla" w:cs="Sakkal Majalla" w:hAnsi="Sakkal Majalla"/>
          <w:sz w:val="28"/>
          <w:szCs w:val="28"/>
          <w:rtl/>
        </w:rPr>
      </w:pPr>
      <w:r>
        <w:rPr>
          <w:rFonts w:ascii="Sakkal Majalla" w:cs="Sakkal Majalla" w:hAnsi="Sakkal Majalla"/>
          <w:sz w:val="28"/>
          <w:szCs w:val="28"/>
          <w:rtl/>
        </w:rPr>
        <w:t>تشجع الدراسة على تبني ترتيبات عمل مرنة، مثل العمل عن بُعد، وجداول العمل المرنة، وإعادة تصميم الوظائف، بما يدعم التوازن بين العمل والحياة.</w:t>
      </w:r>
    </w:p>
    <w:p>
      <w:pPr>
        <w:pStyle w:val="style179"/>
        <w:numPr>
          <w:ilvl w:val="0"/>
          <w:numId w:val="25"/>
        </w:numPr>
        <w:spacing w:lineRule="auto" w:line="360"/>
        <w:rPr>
          <w:rFonts w:ascii="Sakkal Majalla" w:cs="Sakkal Majalla" w:hAnsi="Sakkal Majalla"/>
          <w:sz w:val="28"/>
          <w:szCs w:val="28"/>
          <w:rtl/>
        </w:rPr>
      </w:pPr>
      <w:r>
        <w:rPr>
          <w:rFonts w:ascii="Sakkal Majalla" w:cs="Sakkal Majalla" w:hAnsi="Sakkal Majalla"/>
          <w:sz w:val="28"/>
          <w:szCs w:val="28"/>
          <w:rtl/>
        </w:rPr>
        <w:t>من خلال تعزيز الاستقرار والرضا الوظيفي، تُسهم الدراسة في خفض معدل دوران الموظفين.</w:t>
      </w:r>
    </w:p>
    <w:p>
      <w:pPr>
        <w:pStyle w:val="style179"/>
        <w:numPr>
          <w:ilvl w:val="0"/>
          <w:numId w:val="25"/>
        </w:numPr>
        <w:spacing w:lineRule="auto" w:line="360"/>
        <w:rPr>
          <w:rFonts w:ascii="Sakkal Majalla" w:cs="Sakkal Majalla" w:hAnsi="Sakkal Majalla"/>
          <w:sz w:val="28"/>
          <w:szCs w:val="28"/>
          <w:rtl/>
        </w:rPr>
      </w:pPr>
      <w:r>
        <w:rPr>
          <w:rFonts w:ascii="Sakkal Majalla" w:cs="Sakkal Majalla" w:hAnsi="Sakkal Majalla"/>
          <w:sz w:val="28"/>
          <w:szCs w:val="28"/>
          <w:rtl/>
        </w:rPr>
        <w:t>يساعد التقرير إدارات الموارد البشرية على وضع استراتيجيات مرنة للتدريب والتطوير تواكب التغيرات السريعة في سوق العمل.</w:t>
      </w:r>
    </w:p>
    <w:p>
      <w:pPr>
        <w:pStyle w:val="style179"/>
        <w:numPr>
          <w:ilvl w:val="0"/>
          <w:numId w:val="25"/>
        </w:numPr>
        <w:spacing w:lineRule="auto" w:line="360"/>
        <w:rPr>
          <w:rFonts w:ascii="Sakkal Majalla" w:cs="Sakkal Majalla" w:hAnsi="Sakkal Majalla"/>
          <w:sz w:val="28"/>
          <w:szCs w:val="28"/>
          <w:rtl/>
        </w:rPr>
      </w:pPr>
      <w:r>
        <w:rPr>
          <w:rFonts w:ascii="Sakkal Majalla" w:cs="Sakkal Majalla" w:hAnsi="Sakkal Majalla"/>
          <w:sz w:val="28"/>
          <w:szCs w:val="28"/>
          <w:rtl/>
        </w:rPr>
        <w:t>تعزز الدراسة قدرة المؤسسة على الاحتفاظ بأفضل الكفاءات، وهو أمر بالغ الأهمية لاكتساب ميزة تنافسية.</w:t>
      </w:r>
    </w:p>
    <w:p>
      <w:pPr>
        <w:pStyle w:val="style179"/>
        <w:numPr>
          <w:ilvl w:val="0"/>
          <w:numId w:val="25"/>
        </w:numPr>
        <w:spacing w:lineRule="auto" w:line="360"/>
        <w:rPr>
          <w:rFonts w:ascii="Sakkal Majalla" w:cs="Sakkal Majalla" w:hAnsi="Sakkal Majalla"/>
          <w:sz w:val="28"/>
          <w:szCs w:val="28"/>
          <w:rtl/>
        </w:rPr>
      </w:pPr>
      <w:r>
        <w:rPr>
          <w:rFonts w:ascii="Sakkal Majalla" w:cs="Sakkal Majalla" w:hAnsi="Sakkal Majalla"/>
          <w:sz w:val="28"/>
          <w:szCs w:val="28"/>
          <w:rtl/>
        </w:rPr>
        <w:t>لتحقيق الاستدامة التنظيمية، تنصح الدراسة الشركات بتعظيم استثماراتها في رأس المال البشري.</w:t>
      </w:r>
    </w:p>
    <w:p>
      <w:pPr>
        <w:pStyle w:val="style179"/>
        <w:numPr>
          <w:ilvl w:val="0"/>
          <w:numId w:val="25"/>
        </w:numPr>
        <w:spacing w:lineRule="auto" w:line="360"/>
        <w:rPr>
          <w:rFonts w:ascii="Sakkal Majalla" w:cs="Sakkal Majalla" w:hAnsi="Sakkal Majalla"/>
          <w:sz w:val="28"/>
          <w:szCs w:val="28"/>
          <w:rtl/>
        </w:rPr>
      </w:pPr>
      <w:r>
        <w:rPr>
          <w:rFonts w:ascii="Sakkal Majalla" w:cs="Sakkal Majalla" w:hAnsi="Sakkal Majalla"/>
          <w:sz w:val="28"/>
          <w:szCs w:val="28"/>
          <w:rtl/>
        </w:rPr>
        <w:t>يقدم التقرير توصيات عملية قابلة للتطبيق لتحسين بيئة العمل وتعزيز الإنتاجية والإبداع في الشركات.</w:t>
      </w:r>
    </w:p>
    <w:p>
      <w:pPr>
        <w:pStyle w:val="style179"/>
        <w:numPr>
          <w:ilvl w:val="0"/>
          <w:numId w:val="25"/>
        </w:numPr>
        <w:spacing w:lineRule="auto" w:line="360"/>
        <w:rPr>
          <w:rFonts w:ascii="Sakkal Majalla" w:cs="Sakkal Majalla" w:hAnsi="Sakkal Majalla"/>
          <w:sz w:val="28"/>
          <w:szCs w:val="28"/>
          <w:rtl/>
        </w:rPr>
      </w:pPr>
      <w:r>
        <w:rPr>
          <w:rFonts w:ascii="Sakkal Majalla" w:cs="Sakkal Majalla" w:hAnsi="Sakkal Majalla"/>
          <w:sz w:val="28"/>
          <w:szCs w:val="28"/>
          <w:rtl/>
        </w:rPr>
        <w:t>تدعم الدراسة أهداف رؤية المملكة 2030، التي تُركز على تنمية الموارد البشرية وتعزيز استدامة وفعالية سوق العمل.</w:t>
      </w:r>
    </w:p>
    <w:p>
      <w:pPr>
        <w:pStyle w:val="style0"/>
        <w:spacing w:after="0" w:lineRule="auto" w:line="360"/>
        <w:jc w:val="both"/>
        <w:rPr>
          <w:rFonts w:ascii="Sakkal Majalla" w:cs="Sakkal Majalla" w:eastAsia="Calibri" w:hAnsi="Sakkal Majalla"/>
          <w:sz w:val="28"/>
          <w:szCs w:val="28"/>
        </w:rPr>
      </w:pPr>
    </w:p>
    <w:p>
      <w:pPr>
        <w:pStyle w:val="style2"/>
        <w:spacing w:before="0" w:lineRule="auto" w:line="360"/>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أهداف الدراسة</w:t>
      </w:r>
      <w:bookmarkStart w:id="23" w:name="_Toc172397781"/>
      <w:bookmarkStart w:id="24" w:name="_Toc172746094"/>
      <w:bookmarkStart w:id="25" w:name="_Toc179741532"/>
      <w:bookmarkEnd w:id="19"/>
      <w:bookmarkEnd w:id="20"/>
      <w:bookmarkEnd w:id="21"/>
      <w:bookmarkEnd w:id="22"/>
    </w:p>
    <w:bookmarkStart w:id="26" w:name="_Toc217821159"/>
    <w:p>
      <w:pPr>
        <w:pStyle w:val="style0"/>
        <w:spacing w:after="0" w:lineRule="auto" w:line="360"/>
        <w:jc w:val="both"/>
        <w:rPr>
          <w:rFonts w:ascii="Sakkal Majalla" w:cs="Sakkal Majalla" w:hAnsi="Sakkal Majalla"/>
          <w:b/>
          <w:bCs/>
          <w:sz w:val="28"/>
          <w:szCs w:val="28"/>
          <w:rtl/>
        </w:rPr>
      </w:pPr>
      <w:r>
        <w:rPr>
          <w:rFonts w:ascii="Sakkal Majalla" w:cs="Sakkal Majalla" w:hAnsi="Sakkal Majalla"/>
          <w:b/>
          <w:bCs/>
          <w:sz w:val="28"/>
          <w:szCs w:val="28"/>
          <w:rtl/>
        </w:rPr>
        <w:t>الهدف الرئيسي</w:t>
      </w: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يتمثل الهدف الرئيسي لهذه الدراسة في:</w:t>
      </w:r>
    </w:p>
    <w:p>
      <w:pPr>
        <w:pStyle w:val="style179"/>
        <w:numPr>
          <w:ilvl w:val="0"/>
          <w:numId w:val="26"/>
        </w:numPr>
        <w:spacing w:after="0" w:lineRule="auto" w:line="360"/>
        <w:jc w:val="both"/>
        <w:rPr>
          <w:rFonts w:ascii="Sakkal Majalla" w:cs="Sakkal Majalla" w:hAnsi="Sakkal Majalla"/>
          <w:sz w:val="28"/>
          <w:szCs w:val="28"/>
        </w:rPr>
      </w:pPr>
      <w:r>
        <w:rPr>
          <w:rFonts w:ascii="Sakkal Majalla" w:cs="Sakkal Majalla" w:hAnsi="Sakkal Majalla"/>
          <w:sz w:val="28"/>
          <w:szCs w:val="28"/>
          <w:rtl/>
        </w:rPr>
        <w:t>تحليل أثر المرونة التنظيمية في إدارة الموارد البشرية على تحقيق الاستدامة الوظيفية في المؤسسات السعودية، بما يسهم في تعزيز استقرار القوى العاملة ورفع كفاءة الأداء المؤسسي.</w:t>
      </w:r>
    </w:p>
    <w:p>
      <w:pPr>
        <w:pStyle w:val="style0"/>
        <w:spacing w:after="0" w:lineRule="auto" w:line="360"/>
        <w:jc w:val="both"/>
        <w:rPr>
          <w:rFonts w:ascii="Sakkal Majalla" w:cs="Sakkal Majalla" w:hAnsi="Sakkal Majalla"/>
          <w:b/>
          <w:bCs/>
          <w:sz w:val="28"/>
          <w:szCs w:val="28"/>
        </w:rPr>
      </w:pPr>
      <w:r>
        <w:rPr>
          <w:rFonts w:ascii="Sakkal Majalla" w:cs="Sakkal Majalla" w:hAnsi="Sakkal Majalla"/>
          <w:b/>
          <w:bCs/>
          <w:sz w:val="28"/>
          <w:szCs w:val="28"/>
          <w:rtl/>
        </w:rPr>
        <w:t>الأهداف الفرعية</w:t>
      </w: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تسعى الدراسة إلى تحقيق مجموعة من الأهداف الفرعية، وهي:</w:t>
      </w:r>
    </w:p>
    <w:p>
      <w:pPr>
        <w:pStyle w:val="style179"/>
        <w:numPr>
          <w:ilvl w:val="0"/>
          <w:numId w:val="26"/>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التعرف على مستوى تطبيق المرونة التنظيمية في إدارات الموارد البشرية داخل المؤسسات السعودية.</w:t>
      </w:r>
    </w:p>
    <w:p>
      <w:pPr>
        <w:pStyle w:val="style179"/>
        <w:numPr>
          <w:ilvl w:val="0"/>
          <w:numId w:val="26"/>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تحديد أبعاد المرونة التنظيمية (مثل المرونة في التوظيف، التدريب، تقييم الأداء، وأنماط العمل) وتحليل مدى تطبيقها.</w:t>
      </w:r>
    </w:p>
    <w:p>
      <w:pPr>
        <w:pStyle w:val="style179"/>
        <w:numPr>
          <w:ilvl w:val="0"/>
          <w:numId w:val="26"/>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قياس مستوى الاستدامة الوظيفية لدى العاملين في المؤسسات السعودية من حيث الاستقرار الوظيفي، والرضا، والاستمرارية.</w:t>
      </w:r>
    </w:p>
    <w:p>
      <w:pPr>
        <w:pStyle w:val="style179"/>
        <w:numPr>
          <w:ilvl w:val="0"/>
          <w:numId w:val="26"/>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تحليل العلاقة بين المرونة التنظيمية والاستدامة الوظيفية لدى العاملين.</w:t>
      </w:r>
    </w:p>
    <w:p>
      <w:pPr>
        <w:pStyle w:val="style179"/>
        <w:numPr>
          <w:ilvl w:val="0"/>
          <w:numId w:val="26"/>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دراسة تأثير كل بُعد من أبعاد المرونة التنظيمية على الاستدامة الوظيفية بشكل منفصل.</w:t>
      </w:r>
    </w:p>
    <w:p>
      <w:pPr>
        <w:pStyle w:val="style179"/>
        <w:numPr>
          <w:ilvl w:val="0"/>
          <w:numId w:val="26"/>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التعرف على الفروق في مستوى الاستدامة الوظيفية تبعًا للمتغيرات الديموغرافية (مثل العمر، الجنس، المؤهل العلمي، سنوات الخبرة).</w:t>
      </w:r>
    </w:p>
    <w:p>
      <w:pPr>
        <w:pStyle w:val="style179"/>
        <w:numPr>
          <w:ilvl w:val="0"/>
          <w:numId w:val="26"/>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تقديم مجموعة من التوصيات العملية التي تساعد المؤسسات السعودية على تعزيز المرونة التنظيمية لتحقيق الاستدامة الوظيفية.</w:t>
      </w:r>
    </w:p>
    <w:p>
      <w:pPr>
        <w:pStyle w:val="style0"/>
        <w:rPr>
          <w:rtl/>
        </w:rPr>
      </w:pPr>
    </w:p>
    <w:p>
      <w:pPr>
        <w:pStyle w:val="style0"/>
        <w:rPr>
          <w:rtl/>
        </w:rPr>
      </w:pPr>
    </w:p>
    <w:p>
      <w:pPr>
        <w:pStyle w:val="style2"/>
        <w:spacing w:before="0" w:lineRule="auto" w:line="360"/>
        <w:jc w:val="both"/>
        <w:rPr>
          <w:rFonts w:ascii="Sakkal Majalla" w:cs="Sakkal Majalla" w:hAnsi="Sakkal Majalla"/>
          <w:b/>
          <w:bCs/>
          <w:color w:val="000000"/>
          <w:sz w:val="28"/>
          <w:szCs w:val="28"/>
          <w:rtl/>
        </w:rPr>
      </w:pPr>
      <w:r>
        <w:rPr>
          <w:rFonts w:ascii="Sakkal Majalla" w:cs="Sakkal Majalla" w:hAnsi="Sakkal Majalla" w:hint="cs"/>
          <w:b/>
          <w:bCs/>
          <w:color w:val="000000"/>
          <w:sz w:val="28"/>
          <w:szCs w:val="28"/>
          <w:rtl/>
        </w:rPr>
        <w:t>تساؤلات</w:t>
      </w:r>
      <w:r>
        <w:rPr>
          <w:rFonts w:ascii="Sakkal Majalla" w:cs="Sakkal Majalla" w:hAnsi="Sakkal Majalla"/>
          <w:b/>
          <w:bCs/>
          <w:color w:val="000000"/>
          <w:sz w:val="28"/>
          <w:szCs w:val="28"/>
          <w:rtl/>
        </w:rPr>
        <w:t xml:space="preserve"> الدراسة</w:t>
      </w:r>
      <w:bookmarkEnd w:id="26"/>
    </w:p>
    <w:p>
      <w:pPr>
        <w:pStyle w:val="style0"/>
        <w:spacing w:after="0" w:lineRule="auto" w:line="360"/>
        <w:jc w:val="both"/>
        <w:rPr>
          <w:rFonts w:ascii="Sakkal Majalla" w:cs="Sakkal Majalla" w:hAnsi="Sakkal Majalla"/>
          <w:b/>
          <w:bCs/>
          <w:sz w:val="28"/>
          <w:szCs w:val="28"/>
          <w:rtl/>
        </w:rPr>
      </w:pPr>
      <w:r>
        <w:rPr>
          <w:rFonts w:ascii="Sakkal Majalla" w:cs="Sakkal Majalla" w:hAnsi="Sakkal Majalla"/>
          <w:b/>
          <w:bCs/>
          <w:sz w:val="28"/>
          <w:szCs w:val="28"/>
          <w:rtl/>
        </w:rPr>
        <w:t>السؤال الرئيسي</w:t>
      </w:r>
    </w:p>
    <w:p>
      <w:pPr>
        <w:pStyle w:val="style179"/>
        <w:numPr>
          <w:ilvl w:val="0"/>
          <w:numId w:val="27"/>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ما أثر المرونة التنظيمية في إدارة الموارد البشرية على تحقيق الاستدامة الوظيفية في المؤسسات السعودية؟</w:t>
      </w:r>
    </w:p>
    <w:p>
      <w:pPr>
        <w:pStyle w:val="style0"/>
        <w:spacing w:after="0" w:lineRule="auto" w:line="360"/>
        <w:jc w:val="both"/>
        <w:rPr>
          <w:rFonts w:ascii="Sakkal Majalla" w:cs="Sakkal Majalla" w:hAnsi="Sakkal Majalla"/>
          <w:b/>
          <w:bCs/>
          <w:sz w:val="28"/>
          <w:szCs w:val="28"/>
        </w:rPr>
      </w:pPr>
      <w:r>
        <w:rPr>
          <w:rFonts w:ascii="Sakkal Majalla" w:cs="Sakkal Majalla" w:hAnsi="Sakkal Majalla"/>
          <w:b/>
          <w:bCs/>
          <w:sz w:val="28"/>
          <w:szCs w:val="28"/>
          <w:rtl/>
        </w:rPr>
        <w:t>الأسئلة الفرعية</w:t>
      </w: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ينبثق عن السؤال الرئيسي مجموعة من التساؤلات الفرعية، وهي:</w:t>
      </w:r>
    </w:p>
    <w:p>
      <w:pPr>
        <w:pStyle w:val="style179"/>
        <w:numPr>
          <w:ilvl w:val="0"/>
          <w:numId w:val="27"/>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ما مستوى تطبيق المرونة التنظيمية في إدارات الموارد البشرية داخل المؤسسات السعودية؟</w:t>
      </w:r>
    </w:p>
    <w:p>
      <w:pPr>
        <w:pStyle w:val="style179"/>
        <w:numPr>
          <w:ilvl w:val="0"/>
          <w:numId w:val="27"/>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ما أبرز أبعاد المرونة التنظيمية المطبقة في هذه المؤسسات؟</w:t>
      </w:r>
    </w:p>
    <w:p>
      <w:pPr>
        <w:pStyle w:val="style179"/>
        <w:numPr>
          <w:ilvl w:val="0"/>
          <w:numId w:val="27"/>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ما مستوى الاستدامة الوظيفية لدى العاملين في المؤسسات السعودية؟</w:t>
      </w:r>
    </w:p>
    <w:p>
      <w:pPr>
        <w:pStyle w:val="style179"/>
        <w:numPr>
          <w:ilvl w:val="0"/>
          <w:numId w:val="27"/>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هل توجد علاقة ذات دلالة إحصائية بين المرونة التنظيمية والاستدامة الوظيفية؟</w:t>
      </w:r>
    </w:p>
    <w:p>
      <w:pPr>
        <w:pStyle w:val="style179"/>
        <w:numPr>
          <w:ilvl w:val="0"/>
          <w:numId w:val="27"/>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ما أثر المرونة في التوظيف على تحقيق الاستدامة الوظيفية؟</w:t>
      </w:r>
    </w:p>
    <w:p>
      <w:pPr>
        <w:pStyle w:val="style179"/>
        <w:numPr>
          <w:ilvl w:val="0"/>
          <w:numId w:val="27"/>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ما أثر المرونة في التدريب والتطوير على الاستدامة الوظيفية؟</w:t>
      </w:r>
    </w:p>
    <w:p>
      <w:pPr>
        <w:pStyle w:val="style179"/>
        <w:numPr>
          <w:ilvl w:val="0"/>
          <w:numId w:val="27"/>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ما أثر المرونة في تقييم الأداء على الاستدامة الوظيفية؟</w:t>
      </w:r>
    </w:p>
    <w:p>
      <w:pPr>
        <w:pStyle w:val="style179"/>
        <w:numPr>
          <w:ilvl w:val="0"/>
          <w:numId w:val="27"/>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ما أثر المرونة في أنماط العمل (مثل العمل المرن أو عن بعد) على الاستدامة الوظيفية؟</w:t>
      </w:r>
    </w:p>
    <w:p>
      <w:pPr>
        <w:pStyle w:val="style179"/>
        <w:numPr>
          <w:ilvl w:val="0"/>
          <w:numId w:val="27"/>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هل تختلف مستويات الاستدامة الوظيفية باختلاف الخصائص الديموغرافية للعاملين (العمر، المؤهل العلمي، سنوات الخبرة)؟</w:t>
      </w:r>
    </w:p>
    <w:p>
      <w:pPr>
        <w:pStyle w:val="style0"/>
        <w:rPr>
          <w:rFonts w:ascii="Sakkal Majalla" w:cs="Sakkal Majalla" w:hAnsi="Sakkal Majalla"/>
          <w:b/>
          <w:bCs/>
          <w:sz w:val="28"/>
          <w:szCs w:val="28"/>
          <w:rtl/>
        </w:rPr>
      </w:pPr>
    </w:p>
    <w:p>
      <w:pPr>
        <w:pStyle w:val="style0"/>
        <w:rPr/>
      </w:pPr>
    </w:p>
    <w:bookmarkStart w:id="27" w:name="_Toc217821160"/>
    <w:p>
      <w:pPr>
        <w:pStyle w:val="style2"/>
        <w:spacing w:before="0" w:lineRule="auto" w:line="360"/>
        <w:jc w:val="both"/>
        <w:rPr>
          <w:rFonts w:ascii="Sakkal Majalla" w:cs="Sakkal Majalla" w:hAnsi="Sakkal Majalla"/>
          <w:b/>
          <w:bCs/>
          <w:color w:val="000000"/>
          <w:sz w:val="28"/>
          <w:szCs w:val="28"/>
        </w:rPr>
      </w:pPr>
      <w:r>
        <w:rPr>
          <w:rFonts w:ascii="Sakkal Majalla" w:cs="Sakkal Majalla" w:hAnsi="Sakkal Majalla" w:hint="cs"/>
          <w:b/>
          <w:bCs/>
          <w:color w:val="000000"/>
          <w:sz w:val="28"/>
          <w:szCs w:val="28"/>
          <w:rtl/>
        </w:rPr>
        <w:t>فرضيات</w:t>
      </w:r>
      <w:r>
        <w:rPr>
          <w:rFonts w:ascii="Sakkal Majalla" w:cs="Sakkal Majalla" w:hAnsi="Sakkal Majalla"/>
          <w:b/>
          <w:bCs/>
          <w:color w:val="000000"/>
          <w:sz w:val="28"/>
          <w:szCs w:val="28"/>
          <w:rtl/>
        </w:rPr>
        <w:t xml:space="preserve"> الدراسة</w:t>
      </w:r>
      <w:bookmarkEnd w:id="23"/>
      <w:bookmarkEnd w:id="24"/>
      <w:bookmarkEnd w:id="25"/>
      <w:bookmarkEnd w:id="27"/>
    </w:p>
    <w:p>
      <w:pPr>
        <w:pStyle w:val="style0"/>
        <w:spacing w:after="0" w:lineRule="auto" w:line="360"/>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الفرضية الرئيسية</w:t>
      </w:r>
    </w:p>
    <w:p>
      <w:pPr>
        <w:pStyle w:val="style179"/>
        <w:numPr>
          <w:ilvl w:val="0"/>
          <w:numId w:val="28"/>
        </w:numPr>
        <w:spacing w:after="0" w:lineRule="auto" w:line="360"/>
        <w:jc w:val="both"/>
        <w:rPr>
          <w:rFonts w:ascii="Sakkal Majalla" w:cs="Sakkal Majalla" w:hAnsi="Sakkal Majalla"/>
          <w:color w:val="000000"/>
          <w:sz w:val="28"/>
          <w:szCs w:val="28"/>
          <w:rtl/>
        </w:rPr>
      </w:pPr>
      <w:r>
        <w:rPr>
          <w:rFonts w:ascii="Sakkal Majalla" w:cs="Sakkal Majalla" w:hAnsi="Sakkal Majalla"/>
          <w:color w:val="000000"/>
          <w:sz w:val="28"/>
          <w:szCs w:val="28"/>
          <w:rtl/>
        </w:rPr>
        <w:t>توجد علاقة ذات دلالة إحصائية بين المرونة التنظيمية في إدارة الموارد البشرية وتحقيق الاستدامة الوظيفية في المؤسسات السعودية.</w:t>
      </w:r>
    </w:p>
    <w:p>
      <w:pPr>
        <w:pStyle w:val="style0"/>
        <w:spacing w:after="0" w:lineRule="auto" w:line="360"/>
        <w:jc w:val="both"/>
        <w:rPr>
          <w:rFonts w:ascii="Sakkal Majalla" w:cs="Sakkal Majalla" w:hAnsi="Sakkal Majalla"/>
          <w:b/>
          <w:bCs/>
          <w:color w:val="000000"/>
          <w:sz w:val="28"/>
          <w:szCs w:val="28"/>
        </w:rPr>
      </w:pPr>
      <w:r>
        <w:rPr>
          <w:rFonts w:ascii="Sakkal Majalla" w:cs="Sakkal Majalla" w:hAnsi="Sakkal Majalla"/>
          <w:b/>
          <w:bCs/>
          <w:color w:val="000000"/>
          <w:sz w:val="28"/>
          <w:szCs w:val="28"/>
          <w:rtl/>
        </w:rPr>
        <w:t>الفرضيات الفرعية</w:t>
      </w:r>
    </w:p>
    <w:p>
      <w:pPr>
        <w:pStyle w:val="style0"/>
        <w:spacing w:after="0" w:lineRule="auto" w:line="360"/>
        <w:jc w:val="both"/>
        <w:rPr>
          <w:rFonts w:ascii="Sakkal Majalla" w:cs="Sakkal Majalla" w:hAnsi="Sakkal Majalla"/>
          <w:color w:val="000000"/>
          <w:sz w:val="28"/>
          <w:szCs w:val="28"/>
          <w:rtl/>
        </w:rPr>
      </w:pPr>
      <w:r>
        <w:rPr>
          <w:rFonts w:ascii="Sakkal Majalla" w:cs="Sakkal Majalla" w:hAnsi="Sakkal Majalla"/>
          <w:color w:val="000000"/>
          <w:sz w:val="28"/>
          <w:szCs w:val="28"/>
          <w:rtl/>
        </w:rPr>
        <w:t>تنقسم الفرضية الرئيسية إلى مجموعة من الفرضيات الفرعية، كما يلي:</w:t>
      </w:r>
    </w:p>
    <w:p>
      <w:pPr>
        <w:pStyle w:val="style179"/>
        <w:numPr>
          <w:ilvl w:val="0"/>
          <w:numId w:val="28"/>
        </w:numPr>
        <w:spacing w:after="0" w:lineRule="auto" w:line="360"/>
        <w:jc w:val="both"/>
        <w:rPr>
          <w:rFonts w:ascii="Sakkal Majalla" w:cs="Sakkal Majalla" w:hAnsi="Sakkal Majalla"/>
          <w:color w:val="000000"/>
          <w:sz w:val="28"/>
          <w:szCs w:val="28"/>
          <w:rtl/>
        </w:rPr>
      </w:pPr>
      <w:r>
        <w:rPr>
          <w:rFonts w:ascii="Sakkal Majalla" w:cs="Sakkal Majalla" w:hAnsi="Sakkal Majalla"/>
          <w:color w:val="000000"/>
          <w:sz w:val="28"/>
          <w:szCs w:val="28"/>
          <w:rtl/>
        </w:rPr>
        <w:t>توجد علاقة ذات دلالة إحصائية بين المرونة في التوظيف وتحقيق الاستدامة الوظيفية في المؤسسات السعودية.</w:t>
      </w:r>
    </w:p>
    <w:p>
      <w:pPr>
        <w:pStyle w:val="style179"/>
        <w:numPr>
          <w:ilvl w:val="0"/>
          <w:numId w:val="28"/>
        </w:numPr>
        <w:spacing w:after="0" w:lineRule="auto" w:line="360"/>
        <w:jc w:val="both"/>
        <w:rPr>
          <w:rFonts w:ascii="Sakkal Majalla" w:cs="Sakkal Majalla" w:hAnsi="Sakkal Majalla"/>
          <w:color w:val="000000"/>
          <w:sz w:val="28"/>
          <w:szCs w:val="28"/>
          <w:rtl/>
        </w:rPr>
      </w:pPr>
      <w:r>
        <w:rPr>
          <w:rFonts w:ascii="Sakkal Majalla" w:cs="Sakkal Majalla" w:hAnsi="Sakkal Majalla"/>
          <w:color w:val="000000"/>
          <w:sz w:val="28"/>
          <w:szCs w:val="28"/>
          <w:rtl/>
        </w:rPr>
        <w:t>توجد علاقة ذات دلالة إحصائية بين المرونة في التدريب والتطوير وتحقيق الاستدامة الوظيفية.</w:t>
      </w:r>
    </w:p>
    <w:p>
      <w:pPr>
        <w:pStyle w:val="style179"/>
        <w:numPr>
          <w:ilvl w:val="0"/>
          <w:numId w:val="28"/>
        </w:numPr>
        <w:spacing w:after="0" w:lineRule="auto" w:line="360"/>
        <w:jc w:val="both"/>
        <w:rPr>
          <w:rFonts w:ascii="Sakkal Majalla" w:cs="Sakkal Majalla" w:hAnsi="Sakkal Majalla"/>
          <w:color w:val="000000"/>
          <w:sz w:val="28"/>
          <w:szCs w:val="28"/>
          <w:rtl/>
        </w:rPr>
      </w:pPr>
      <w:r>
        <w:rPr>
          <w:rFonts w:ascii="Sakkal Majalla" w:cs="Sakkal Majalla" w:hAnsi="Sakkal Majalla"/>
          <w:color w:val="000000"/>
          <w:sz w:val="28"/>
          <w:szCs w:val="28"/>
          <w:rtl/>
        </w:rPr>
        <w:t>توجد علاقة ذات دلالة إحصائية بين المرونة في تقييم الأداء وتحقيق الاستدامة الوظيفية.</w:t>
      </w:r>
    </w:p>
    <w:p>
      <w:pPr>
        <w:pStyle w:val="style179"/>
        <w:numPr>
          <w:ilvl w:val="0"/>
          <w:numId w:val="28"/>
        </w:numPr>
        <w:spacing w:after="0" w:lineRule="auto" w:line="360"/>
        <w:jc w:val="both"/>
        <w:rPr>
          <w:rFonts w:ascii="Sakkal Majalla" w:cs="Sakkal Majalla" w:hAnsi="Sakkal Majalla"/>
          <w:color w:val="000000"/>
          <w:sz w:val="28"/>
          <w:szCs w:val="28"/>
          <w:rtl/>
        </w:rPr>
      </w:pPr>
      <w:r>
        <w:rPr>
          <w:rFonts w:ascii="Sakkal Majalla" w:cs="Sakkal Majalla" w:hAnsi="Sakkal Majalla"/>
          <w:color w:val="000000"/>
          <w:sz w:val="28"/>
          <w:szCs w:val="28"/>
          <w:rtl/>
        </w:rPr>
        <w:t>توجد علاقة ذات دلالة إحصائية بين المرونة في أنماط العمل (مثل العمل المرن أو عن بعد) وتحقيق الاستدامة الوظيفية.</w:t>
      </w:r>
    </w:p>
    <w:p>
      <w:pPr>
        <w:pStyle w:val="style179"/>
        <w:numPr>
          <w:ilvl w:val="0"/>
          <w:numId w:val="28"/>
        </w:numPr>
        <w:spacing w:after="0" w:lineRule="auto" w:line="360"/>
        <w:jc w:val="both"/>
        <w:rPr>
          <w:rFonts w:ascii="Sakkal Majalla" w:cs="Sakkal Majalla" w:hAnsi="Sakkal Majalla"/>
          <w:color w:val="000000"/>
          <w:sz w:val="28"/>
          <w:szCs w:val="28"/>
          <w:rtl/>
        </w:rPr>
      </w:pPr>
      <w:r>
        <w:rPr>
          <w:rFonts w:ascii="Sakkal Majalla" w:cs="Sakkal Majalla" w:hAnsi="Sakkal Majalla"/>
          <w:color w:val="000000"/>
          <w:sz w:val="28"/>
          <w:szCs w:val="28"/>
          <w:rtl/>
        </w:rPr>
        <w:t>يوجد أثر ذو دلالة إحصائية لكل بُعد من أبعاد المرونة التنظيمية مجتمعة على الاستدامة الوظيفية.</w:t>
      </w:r>
    </w:p>
    <w:p>
      <w:pPr>
        <w:pStyle w:val="style179"/>
        <w:numPr>
          <w:ilvl w:val="0"/>
          <w:numId w:val="28"/>
        </w:numPr>
        <w:spacing w:after="0" w:lineRule="auto" w:line="360"/>
        <w:jc w:val="both"/>
        <w:rPr>
          <w:rFonts w:ascii="Sakkal Majalla" w:cs="Sakkal Majalla" w:hAnsi="Sakkal Majalla"/>
          <w:color w:val="000000"/>
          <w:sz w:val="28"/>
          <w:szCs w:val="28"/>
          <w:rtl/>
        </w:rPr>
      </w:pPr>
      <w:r>
        <w:rPr>
          <w:rFonts w:ascii="Sakkal Majalla" w:cs="Sakkal Majalla" w:hAnsi="Sakkal Majalla"/>
          <w:color w:val="000000"/>
          <w:sz w:val="28"/>
          <w:szCs w:val="28"/>
          <w:rtl/>
        </w:rPr>
        <w:t>توجد فروق ذات دلالة إحصائية في مستوى الاستدامة الوظيفية تُعزى للمتغيرات الديموغرافية (العمر، المؤهل العلمي، سنوات الخبرة).</w:t>
      </w:r>
    </w:p>
    <w:p>
      <w:pPr>
        <w:pStyle w:val="style0"/>
        <w:spacing w:after="0" w:lineRule="auto" w:line="360"/>
        <w:jc w:val="both"/>
        <w:rPr>
          <w:rFonts w:ascii="Sakkal Majalla" w:cs="Sakkal Majalla" w:hAnsi="Sakkal Majalla"/>
          <w:kern w:val="0"/>
          <w:sz w:val="24"/>
          <w:szCs w:val="28"/>
          <w:rtl/>
          <w14:ligatures xmlns:w14="http://schemas.microsoft.com/office/word/2010/wordml" w14:val="none"/>
        </w:rPr>
      </w:pPr>
    </w:p>
    <w:bookmarkStart w:id="28" w:name="_Toc172397782"/>
    <w:bookmarkStart w:id="29" w:name="_Toc172746095"/>
    <w:bookmarkStart w:id="30" w:name="_Toc179741533"/>
    <w:bookmarkStart w:id="31" w:name="_Toc217821161"/>
    <w:p>
      <w:pPr>
        <w:pStyle w:val="style2"/>
        <w:spacing w:lineRule="auto" w:line="360"/>
        <w:jc w:val="both"/>
        <w:rPr>
          <w:rFonts w:ascii="Sakkal Majalla" w:cs="Sakkal Majalla" w:hAnsi="Sakkal Majalla"/>
          <w:b/>
          <w:bCs/>
          <w:color w:val="000000"/>
          <w:sz w:val="28"/>
          <w:szCs w:val="28"/>
        </w:rPr>
      </w:pPr>
      <w:r>
        <w:rPr>
          <w:rFonts w:ascii="Sakkal Majalla" w:cs="Sakkal Majalla" w:hAnsi="Sakkal Majalla"/>
          <w:b/>
          <w:bCs/>
          <w:color w:val="000000"/>
          <w:sz w:val="28"/>
          <w:szCs w:val="28"/>
          <w:rtl/>
        </w:rPr>
        <w:t>النظرية العلمية المتبعة لإعداد البحث</w:t>
      </w:r>
      <w:bookmarkEnd w:id="28"/>
      <w:bookmarkEnd w:id="29"/>
      <w:bookmarkEnd w:id="30"/>
      <w:bookmarkEnd w:id="31"/>
    </w:p>
    <w:p>
      <w:pPr>
        <w:pStyle w:val="style0"/>
        <w:spacing w:after="0" w:lineRule="auto" w:line="360"/>
        <w:ind w:firstLine="567"/>
        <w:jc w:val="both"/>
        <w:rPr>
          <w:rFonts w:ascii="Sakkal Majalla" w:cs="Sakkal Majalla" w:hAnsi="Sakkal Majalla"/>
          <w:sz w:val="28"/>
          <w:szCs w:val="28"/>
          <w:rtl/>
        </w:rPr>
      </w:pPr>
      <w:r>
        <w:rPr>
          <w:rFonts w:ascii="Sakkal Majalla" w:cs="Sakkal Majalla" w:hAnsi="Sakkal Majalla" w:hint="cs"/>
          <w:sz w:val="28"/>
          <w:szCs w:val="28"/>
          <w:rtl/>
        </w:rPr>
        <w:t>تشكل</w:t>
      </w:r>
      <w:r>
        <w:rPr>
          <w:rFonts w:ascii="Sakkal Majalla" w:cs="Sakkal Majalla" w:hAnsi="Sakkal Majalla"/>
          <w:sz w:val="28"/>
          <w:szCs w:val="28"/>
          <w:rtl/>
        </w:rPr>
        <w:t xml:space="preserve"> نظرية الموارد الديناميكية</w:t>
      </w:r>
      <w:r>
        <w:rPr>
          <w:rFonts w:ascii="Sakkal Majalla" w:cs="Sakkal Majalla" w:hAnsi="Sakkal Majalla"/>
          <w:sz w:val="28"/>
          <w:szCs w:val="28"/>
        </w:rPr>
        <w:t xml:space="preserve"> (Dynamic Capabilities Theory) </w:t>
      </w:r>
      <w:r>
        <w:rPr>
          <w:rFonts w:ascii="Sakkal Majalla" w:cs="Sakkal Majalla" w:hAnsi="Sakkal Majalla"/>
          <w:sz w:val="28"/>
          <w:szCs w:val="28"/>
          <w:rtl/>
        </w:rPr>
        <w:t xml:space="preserve">من أكثر النظريات ملاءمة لتفسير العلاقة بين المرونة التنظيمية في إدارة الموارد البشرية وتحقيق الاستدامة الوظيفية في المؤسسات السعودية، وذلك لأنها تركز على قدرة المنظمة على إعادة تشكيل مواردها البشرية والتنظيمية وتطويرها بصورة مستمرة بما يتلاءم مع المتغيرات الداخلية والخارجية، بما يضمن المحافظة على الأداء المؤسسي واستدامة الوظائف في ظل بيئة أعمال تتسم بالتغير السريع والتطور التقني المتلاحق. وقد طوّر هذه النظرية كل من </w:t>
      </w:r>
      <w:r>
        <w:rPr>
          <w:rFonts w:ascii="Sakkal Majalla" w:cs="Sakkal Majalla" w:hAnsi="Sakkal Majalla"/>
          <w:sz w:val="28"/>
          <w:szCs w:val="28"/>
        </w:rPr>
        <w:t xml:space="preserve">David Teece </w:t>
      </w:r>
      <w:r>
        <w:rPr>
          <w:rFonts w:ascii="Sakkal Majalla" w:cs="Sakkal Majalla" w:hAnsi="Sakkal Majalla"/>
          <w:sz w:val="28"/>
          <w:szCs w:val="28"/>
          <w:rtl/>
        </w:rPr>
        <w:t>و</w:t>
      </w:r>
      <w:r>
        <w:rPr>
          <w:rFonts w:ascii="Sakkal Majalla" w:cs="Sakkal Majalla" w:hAnsi="Sakkal Majalla"/>
          <w:sz w:val="28"/>
          <w:szCs w:val="28"/>
        </w:rPr>
        <w:t xml:space="preserve">Gary Pisano </w:t>
      </w:r>
      <w:r>
        <w:rPr>
          <w:rFonts w:ascii="Sakkal Majalla" w:cs="Sakkal Majalla" w:hAnsi="Sakkal Majalla"/>
          <w:sz w:val="28"/>
          <w:szCs w:val="28"/>
          <w:rtl/>
        </w:rPr>
        <w:t>و</w:t>
      </w:r>
      <w:r>
        <w:rPr>
          <w:rFonts w:ascii="Sakkal Majalla" w:cs="Sakkal Majalla" w:hAnsi="Sakkal Majalla"/>
          <w:sz w:val="28"/>
          <w:szCs w:val="28"/>
        </w:rPr>
        <w:t xml:space="preserve">Amy Shuen </w:t>
      </w:r>
      <w:r>
        <w:rPr>
          <w:rFonts w:ascii="Sakkal Majalla" w:cs="Sakkal Majalla" w:hAnsi="Sakkal Majalla"/>
          <w:sz w:val="28"/>
          <w:szCs w:val="28"/>
          <w:rtl/>
        </w:rPr>
        <w:t>في منتصف تسعينيات القرن الماضي، استكمالاً لنظرية الموارد</w:t>
      </w:r>
      <w:r>
        <w:rPr>
          <w:rFonts w:ascii="Sakkal Majalla" w:cs="Sakkal Majalla" w:hAnsi="Sakkal Majalla"/>
          <w:sz w:val="28"/>
          <w:szCs w:val="28"/>
        </w:rPr>
        <w:t xml:space="preserve"> (Resource-Based View)</w:t>
      </w:r>
      <w:r>
        <w:rPr>
          <w:rFonts w:ascii="Sakkal Majalla" w:cs="Sakkal Majalla" w:hAnsi="Sakkal Majalla"/>
          <w:sz w:val="28"/>
          <w:szCs w:val="28"/>
          <w:rtl/>
        </w:rPr>
        <w:t>، حيث انتقلت من التركيز على امتلاك الموارد إلى التركيز على قدرة المنظمة على تطوير هذه الموارد وإعادة توظيفها بصورة مستمرة لتحقيق ميزة تنافسية مستدامة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Aln</w:instrText>
      </w:r>
      <w:r>
        <w:rPr>
          <w:rFonts w:ascii="Sakkal Majalla" w:cs="Sakkal Majalla" w:hAnsi="Sakkal Majalla" w:hint="cs"/>
          <w:sz w:val="28"/>
          <w:szCs w:val="28"/>
          <w:rtl/>
          <w:lang w:bidi="ar-EG"/>
        </w:rPr>
        <w:instrText xml:space="preserve">232 </w:instrText>
      </w:r>
      <w:r>
        <w:rPr>
          <w:rFonts w:ascii="Sakkal Majalla" w:cs="Sakkal Majalla" w:hAnsi="Sakkal Majalla" w:hint="cs"/>
          <w:sz w:val="28"/>
          <w:szCs w:val="28"/>
          <w:lang w:bidi="ar-EG"/>
        </w:rPr>
        <w:instrText xml:space="preserve">\l </w:instrText>
      </w:r>
      <w:r>
        <w:rPr>
          <w:rFonts w:ascii="Sakkal Majalla" w:cs="Sakkal Majalla" w:hAnsi="Sakkal Majalla" w:hint="cs"/>
          <w:sz w:val="28"/>
          <w:szCs w:val="28"/>
          <w:rtl/>
          <w:lang w:bidi="ar-EG"/>
        </w:rPr>
        <w:instrText>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Alnashmi</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0"/>
        <w:spacing w:after="0" w:lineRule="auto" w:line="360"/>
        <w:ind w:firstLine="567"/>
        <w:jc w:val="both"/>
        <w:rPr>
          <w:rFonts w:ascii="Sakkal Majalla" w:cs="Sakkal Majalla" w:hAnsi="Sakkal Majalla"/>
          <w:sz w:val="28"/>
          <w:szCs w:val="28"/>
          <w:rtl/>
        </w:rPr>
      </w:pPr>
      <w:r>
        <w:rPr>
          <w:rFonts w:ascii="Sakkal Majalla" w:cs="Sakkal Majalla" w:hAnsi="Sakkal Majalla"/>
          <w:sz w:val="28"/>
          <w:szCs w:val="28"/>
          <w:rtl/>
        </w:rPr>
        <w:t>وتفترض النظرية أن نجاح المؤسسات لا يعتمد فقط على امتلاكها لموارد بشرية متميزة، وإنما يعتمد بصورة أكبر على قدرتها على إدارة هذه الموارد بمرونة عالية، وإعادة توزيعها، وتنمية مهاراتها، وتطوير هياكلها التنظيمية، والاستجابة السريعة للمتغيرات البيئية، وهو ما يجعل إدارة الموارد البشرية أحد أهم مصادر بناء القدرات الديناميكية داخل المنظمة. فالمرونة التنظيمية تمثل القدرة على تعديل السياسات والإجراءات وأساليب العمل بصورة مستمرة بما يتوافق مع متطلبات البيئة الداخلية والخارجية، الأمر الذي ينعكس بصورة مباشرة على استقرار العاملين واستدامة وظائفهم، ويحد من معدلات دوران العمل، ويرفع من مستويات الرضا الوظيفي والانتماء التنظيمي</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Tag</w:instrText>
      </w:r>
      <w:r>
        <w:rPr>
          <w:rFonts w:ascii="Sakkal Majalla" w:cs="Sakkal Majalla" w:hAnsi="Sakkal Majalla" w:hint="cs"/>
          <w:sz w:val="28"/>
          <w:szCs w:val="28"/>
          <w:rtl/>
          <w:lang w:bidi="ar-EG"/>
        </w:rPr>
        <w:instrText xml:space="preserve">25 </w:instrText>
      </w:r>
      <w:r>
        <w:rPr>
          <w:rFonts w:ascii="Sakkal Majalla" w:cs="Sakkal Majalla" w:hAnsi="Sakkal Majalla" w:hint="cs"/>
          <w:sz w:val="28"/>
          <w:szCs w:val="28"/>
          <w:lang w:bidi="ar-EG"/>
        </w:rPr>
        <w:instrText xml:space="preserve">\l </w:instrText>
      </w:r>
      <w:r>
        <w:rPr>
          <w:rFonts w:ascii="Sakkal Majalla" w:cs="Sakkal Majalla" w:hAnsi="Sakkal Majalla" w:hint="cs"/>
          <w:sz w:val="28"/>
          <w:szCs w:val="28"/>
          <w:rtl/>
          <w:lang w:bidi="ar-EG"/>
        </w:rPr>
        <w:instrText>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Taghavy</w:t>
      </w:r>
      <w:r>
        <w:rPr>
          <w:rFonts w:ascii="Sakkal Majalla" w:cs="Sakkal Majalla" w:hAnsi="Sakkal Majalla" w:hint="cs"/>
          <w:noProof/>
          <w:sz w:val="28"/>
          <w:szCs w:val="28"/>
          <w:rtl/>
          <w:lang w:bidi="ar-EG"/>
        </w:rPr>
        <w:t>، 2025)</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0"/>
        <w:spacing w:after="0" w:lineRule="auto" w:line="360"/>
        <w:ind w:firstLine="567"/>
        <w:jc w:val="both"/>
        <w:rPr>
          <w:rFonts w:ascii="Sakkal Majalla" w:cs="Sakkal Majalla" w:hAnsi="Sakkal Majalla"/>
          <w:sz w:val="28"/>
          <w:szCs w:val="28"/>
          <w:rtl/>
        </w:rPr>
      </w:pPr>
      <w:r>
        <w:rPr>
          <w:rFonts w:ascii="Sakkal Majalla" w:cs="Sakkal Majalla" w:hAnsi="Sakkal Majalla"/>
          <w:sz w:val="28"/>
          <w:szCs w:val="28"/>
          <w:rtl/>
        </w:rPr>
        <w:t xml:space="preserve">وتشير النظرية إلى أن المؤسسات التي تمتلك إدارة موارد بشرية مرنة تستطيع استشعار التغيرات في سوق العمل والبيئة الاقتصادية بصورة مبكرة، ثم استغلال تلك التغيرات من خلال إعادة تصميم الوظائف، وتطوير المهارات، وإعادة توزيع الكفاءات، وتطبيق سياسات تدريبية حديثة، بما يحقق توافقاً دائماً بين احتياجات المنظمة وقدرات العاملين. ويؤدي هذا </w:t>
      </w:r>
      <w:r>
        <w:rPr>
          <w:rFonts w:ascii="Sakkal Majalla" w:cs="Sakkal Majalla" w:hAnsi="Sakkal Majalla"/>
          <w:sz w:val="28"/>
          <w:szCs w:val="28"/>
          <w:rtl/>
        </w:rPr>
        <w:t>التوافق إلى تعزيز قدرة المؤسسة على الاحتفاظ بالموظفين، ورفع إنتاجيتهم، وتحقيق مستويات مرتفعة من الاستدامة الوظيفية، باعتبارها أحد المؤشرات الرئيسة لاستدامة الأداء المؤسسي</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Duk</w:instrText>
      </w:r>
      <w:r>
        <w:rPr>
          <w:rFonts w:ascii="Sakkal Majalla" w:cs="Sakkal Majalla" w:hAnsi="Sakkal Majalla" w:hint="cs"/>
          <w:sz w:val="28"/>
          <w:szCs w:val="28"/>
          <w:rtl/>
          <w:lang w:bidi="ar-EG"/>
        </w:rPr>
        <w:instrText xml:space="preserve">26 </w:instrText>
      </w:r>
      <w:r>
        <w:rPr>
          <w:rFonts w:ascii="Sakkal Majalla" w:cs="Sakkal Majalla" w:hAnsi="Sakkal Majalla" w:hint="cs"/>
          <w:sz w:val="28"/>
          <w:szCs w:val="28"/>
          <w:lang w:bidi="ar-EG"/>
        </w:rPr>
        <w:instrText xml:space="preserve">\l </w:instrText>
      </w:r>
      <w:r>
        <w:rPr>
          <w:rFonts w:ascii="Sakkal Majalla" w:cs="Sakkal Majalla" w:hAnsi="Sakkal Majalla" w:hint="cs"/>
          <w:sz w:val="28"/>
          <w:szCs w:val="28"/>
          <w:rtl/>
          <w:lang w:bidi="ar-EG"/>
        </w:rPr>
        <w:instrText>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Dukhaykh</w:t>
      </w:r>
      <w:r>
        <w:rPr>
          <w:rFonts w:ascii="Sakkal Majalla" w:cs="Sakkal Majalla" w:hAnsi="Sakkal Majalla" w:hint="cs"/>
          <w:noProof/>
          <w:sz w:val="28"/>
          <w:szCs w:val="28"/>
          <w:rtl/>
          <w:lang w:bidi="ar-EG"/>
        </w:rPr>
        <w:t>، 2026)</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0"/>
        <w:spacing w:after="0" w:lineRule="auto" w:line="360"/>
        <w:ind w:firstLine="567"/>
        <w:jc w:val="both"/>
        <w:rPr>
          <w:rFonts w:ascii="Sakkal Majalla" w:cs="Sakkal Majalla" w:hAnsi="Sakkal Majalla"/>
          <w:sz w:val="28"/>
          <w:szCs w:val="28"/>
          <w:rtl/>
        </w:rPr>
      </w:pPr>
      <w:r>
        <w:rPr>
          <w:rFonts w:ascii="Sakkal Majalla" w:cs="Sakkal Majalla" w:hAnsi="Sakkal Majalla"/>
          <w:sz w:val="28"/>
          <w:szCs w:val="28"/>
          <w:rtl/>
        </w:rPr>
        <w:t>كما تؤكد النظرية أن المرونة التنظيمية لا تقتصر على تعديل الهياكل التنظيمية فحسب، بل تمتد إلى مرونة الثقافة التنظيمية، ومرونة القيادة، ومرونة عمليات اتخاذ القرار، ومرونة إدارة المواهب، ومرونة نظم تقييم الأداء والحوافز، وهي جميعها عناصر ترتبط ارتباطاً وثيقاً بإدارة الموارد البشرية. فكلما زادت قدرة المنظمة على التكيف مع التغيرات، ارتفعت قدرتها على المحافظة على رأس المال البشري، وتقليل المخاطر المرتبطة بفقدان الكفاءات، وضمان استمرارية المعرفة التنظيمية، وهو ما يمثل جوهر مفهوم الاستدامة الوظيفية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Val</w:instrText>
      </w:r>
      <w:r>
        <w:rPr>
          <w:rFonts w:ascii="Sakkal Majalla" w:cs="Sakkal Majalla" w:hAnsi="Sakkal Majalla" w:hint="cs"/>
          <w:sz w:val="28"/>
          <w:szCs w:val="28"/>
          <w:rtl/>
          <w:lang w:bidi="ar-EG"/>
        </w:rPr>
        <w:instrText xml:space="preserve">231 </w:instrText>
      </w:r>
      <w:r>
        <w:rPr>
          <w:rFonts w:ascii="Sakkal Majalla" w:cs="Sakkal Majalla" w:hAnsi="Sakkal Majalla" w:hint="cs"/>
          <w:sz w:val="28"/>
          <w:szCs w:val="28"/>
          <w:lang w:bidi="ar-EG"/>
        </w:rPr>
        <w:instrText xml:space="preserve">\l </w:instrText>
      </w:r>
      <w:r>
        <w:rPr>
          <w:rFonts w:ascii="Sakkal Majalla" w:cs="Sakkal Majalla" w:hAnsi="Sakkal Majalla" w:hint="cs"/>
          <w:sz w:val="28"/>
          <w:szCs w:val="28"/>
          <w:rtl/>
          <w:lang w:bidi="ar-EG"/>
        </w:rPr>
        <w:instrText>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Valenzuela</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0"/>
        <w:spacing w:after="0" w:lineRule="auto" w:line="360"/>
        <w:ind w:firstLine="567"/>
        <w:jc w:val="both"/>
        <w:rPr>
          <w:rFonts w:ascii="Sakkal Majalla" w:cs="Sakkal Majalla" w:hAnsi="Sakkal Majalla"/>
          <w:sz w:val="28"/>
          <w:szCs w:val="28"/>
          <w:rtl/>
        </w:rPr>
      </w:pPr>
      <w:r>
        <w:rPr>
          <w:rFonts w:ascii="Sakkal Majalla" w:cs="Sakkal Majalla" w:hAnsi="Sakkal Majalla"/>
          <w:sz w:val="28"/>
          <w:szCs w:val="28"/>
          <w:rtl/>
        </w:rPr>
        <w:t>وفي ضوء رؤية المملكة العربية السعودية 2030، تكتسب هذه النظرية أهمية خاصة؛ إذ تشهد المؤسسات السعودية تحولات تنظيمية ورقمية واسعة تتطلب من إدارات الموارد البشرية تبني ممارسات أكثر مرونة في التخطيط للقوى العاملة، وإدارة المواهب، والتعلم المستمر، والتحول الرقمي، والعمل المرن، وإعادة تصميم الوظائف بما يتوافق مع المتغيرات الاقتصادية والتكنولوجية. ولذلك أصبحت القدرة على بناء موارد بشرية مرنة وقادرة على التعلم المستمر أحد أهم متطلبات تحقيق التنمية المستدامة وتعزيز تنافسية المؤسسات السعودية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Chr</w:instrText>
      </w:r>
      <w:r>
        <w:rPr>
          <w:rFonts w:ascii="Sakkal Majalla" w:cs="Sakkal Majalla" w:hAnsi="Sakkal Majalla" w:hint="cs"/>
          <w:sz w:val="28"/>
          <w:szCs w:val="28"/>
          <w:rtl/>
          <w:lang w:bidi="ar-EG"/>
        </w:rPr>
        <w:instrText xml:space="preserve">25 </w:instrText>
      </w:r>
      <w:r>
        <w:rPr>
          <w:rFonts w:ascii="Sakkal Majalla" w:cs="Sakkal Majalla" w:hAnsi="Sakkal Majalla" w:hint="cs"/>
          <w:sz w:val="28"/>
          <w:szCs w:val="28"/>
          <w:lang w:bidi="ar-EG"/>
        </w:rPr>
        <w:instrText xml:space="preserve">\l </w:instrText>
      </w:r>
      <w:r>
        <w:rPr>
          <w:rFonts w:ascii="Sakkal Majalla" w:cs="Sakkal Majalla" w:hAnsi="Sakkal Majalla" w:hint="cs"/>
          <w:sz w:val="28"/>
          <w:szCs w:val="28"/>
          <w:rtl/>
          <w:lang w:bidi="ar-EG"/>
        </w:rPr>
        <w:instrText>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Christina</w:t>
      </w:r>
      <w:r>
        <w:rPr>
          <w:rFonts w:ascii="Sakkal Majalla" w:cs="Sakkal Majalla" w:hAnsi="Sakkal Majalla" w:hint="cs"/>
          <w:noProof/>
          <w:sz w:val="28"/>
          <w:szCs w:val="28"/>
          <w:rtl/>
          <w:lang w:bidi="ar-EG"/>
        </w:rPr>
        <w:t>، 2025)</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0"/>
        <w:spacing w:after="0" w:lineRule="auto" w:line="360"/>
        <w:ind w:firstLine="567"/>
        <w:jc w:val="both"/>
        <w:rPr>
          <w:rFonts w:ascii="Sakkal Majalla" w:cs="Sakkal Majalla" w:hAnsi="Sakkal Majalla"/>
          <w:sz w:val="28"/>
          <w:szCs w:val="28"/>
          <w:rtl/>
        </w:rPr>
      </w:pPr>
      <w:r>
        <w:rPr>
          <w:rFonts w:ascii="Sakkal Majalla" w:cs="Sakkal Majalla" w:hAnsi="Sakkal Majalla"/>
          <w:sz w:val="28"/>
          <w:szCs w:val="28"/>
          <w:rtl/>
        </w:rPr>
        <w:t>وتوضح النظرية كذلك أن القدرات الديناميكية تتكون من ثلاث عمليات رئيسة هي</w:t>
      </w:r>
      <w:r>
        <w:rPr>
          <w:rFonts w:ascii="Sakkal Majalla" w:cs="Sakkal Majalla" w:hAnsi="Sakkal Majalla"/>
          <w:sz w:val="28"/>
          <w:szCs w:val="28"/>
        </w:rPr>
        <w:t xml:space="preserve">: </w:t>
      </w:r>
      <w:r>
        <w:rPr>
          <w:rFonts w:ascii="Sakkal Majalla" w:cs="Sakkal Majalla" w:hAnsi="Sakkal Majalla"/>
          <w:sz w:val="28"/>
          <w:szCs w:val="28"/>
          <w:rtl/>
        </w:rPr>
        <w:t>الاستشعار</w:t>
      </w:r>
      <w:r>
        <w:rPr>
          <w:rFonts w:ascii="Sakkal Majalla" w:cs="Sakkal Majalla" w:hAnsi="Sakkal Majalla"/>
          <w:sz w:val="28"/>
          <w:szCs w:val="28"/>
        </w:rPr>
        <w:t xml:space="preserve"> (Sensing)</w:t>
      </w:r>
      <w:r>
        <w:rPr>
          <w:rFonts w:ascii="Sakkal Majalla" w:cs="Sakkal Majalla" w:hAnsi="Sakkal Majalla"/>
          <w:sz w:val="28"/>
          <w:szCs w:val="28"/>
          <w:rtl/>
        </w:rPr>
        <w:t>، واغتنام الفرص</w:t>
      </w:r>
      <w:r>
        <w:rPr>
          <w:rFonts w:ascii="Sakkal Majalla" w:cs="Sakkal Majalla" w:hAnsi="Sakkal Majalla"/>
          <w:sz w:val="28"/>
          <w:szCs w:val="28"/>
        </w:rPr>
        <w:t xml:space="preserve"> (Seizing)</w:t>
      </w:r>
      <w:r>
        <w:rPr>
          <w:rFonts w:ascii="Sakkal Majalla" w:cs="Sakkal Majalla" w:hAnsi="Sakkal Majalla"/>
          <w:sz w:val="28"/>
          <w:szCs w:val="28"/>
          <w:rtl/>
        </w:rPr>
        <w:t>، وإعادة التهيئة أو التحول</w:t>
      </w:r>
      <w:r>
        <w:rPr>
          <w:rFonts w:ascii="Sakkal Majalla" w:cs="Sakkal Majalla" w:hAnsi="Sakkal Majalla"/>
          <w:sz w:val="28"/>
          <w:szCs w:val="28"/>
        </w:rPr>
        <w:t xml:space="preserve"> (Reconfiguring). </w:t>
      </w:r>
      <w:r>
        <w:rPr>
          <w:rFonts w:ascii="Sakkal Majalla" w:cs="Sakkal Majalla" w:hAnsi="Sakkal Majalla"/>
          <w:sz w:val="28"/>
          <w:szCs w:val="28"/>
          <w:rtl/>
        </w:rPr>
        <w:t>ففي مرحلة الاستشعار تعمل المؤسسة على متابعة التغيرات التي قد تؤثر في سوق العمل أو احتياجات العاملين، بينما يتم في مرحلة اغتنام الفرص تطوير السياسات والإجراءات المناسبة للاستفادة من هذه التغيرات، أما مرحلة إعادة التهيئة فتتضمن إعادة تنظيم الموارد البشرية والعمليات التنظيمية بصورة مستمرة لضمان توافقها مع الأهداف الاستراتيجية للمؤسسة. وتسهم هذه المراحل مجتمعة في تعزيز مرونة إدارة الموارد البشرية، وتحقيق مستويات مرتفعة من الاستدامة الوظيفية</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Cha</w:instrText>
      </w:r>
      <w:r>
        <w:rPr>
          <w:rFonts w:ascii="Sakkal Majalla" w:cs="Sakkal Majalla" w:hAnsi="Sakkal Majalla" w:hint="cs"/>
          <w:sz w:val="28"/>
          <w:szCs w:val="28"/>
          <w:rtl/>
          <w:lang w:bidi="ar-EG"/>
        </w:rPr>
        <w:instrText xml:space="preserve">239 </w:instrText>
      </w:r>
      <w:r>
        <w:rPr>
          <w:rFonts w:ascii="Sakkal Majalla" w:cs="Sakkal Majalla" w:hAnsi="Sakkal Majalla" w:hint="cs"/>
          <w:sz w:val="28"/>
          <w:szCs w:val="28"/>
          <w:lang w:bidi="ar-EG"/>
        </w:rPr>
        <w:instrText xml:space="preserve">\l </w:instrText>
      </w:r>
      <w:r>
        <w:rPr>
          <w:rFonts w:ascii="Sakkal Majalla" w:cs="Sakkal Majalla" w:hAnsi="Sakkal Majalla" w:hint="cs"/>
          <w:sz w:val="28"/>
          <w:szCs w:val="28"/>
          <w:rtl/>
          <w:lang w:bidi="ar-EG"/>
        </w:rPr>
        <w:instrText>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Charles Hanu</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0"/>
        <w:spacing w:after="0" w:lineRule="auto" w:line="360"/>
        <w:ind w:firstLine="567"/>
        <w:jc w:val="both"/>
        <w:rPr>
          <w:rFonts w:ascii="Sakkal Majalla" w:cs="Sakkal Majalla" w:hAnsi="Sakkal Majalla"/>
          <w:sz w:val="28"/>
          <w:szCs w:val="28"/>
          <w:rtl/>
        </w:rPr>
      </w:pPr>
      <w:r>
        <w:rPr>
          <w:rFonts w:ascii="Sakkal Majalla" w:cs="Sakkal Majalla" w:hAnsi="Sakkal Majalla"/>
          <w:sz w:val="28"/>
          <w:szCs w:val="28"/>
          <w:rtl/>
        </w:rPr>
        <w:t xml:space="preserve">ومن منظور هذه النظرية، فإن الاستدامة الوظيفية لا تعني مجرد استمرار العامل في وظيفته، وإنما تشير إلى قدرة المؤسسة على توفير بيئة عمل مستقرة، وآمنة، ومحفزة للنمو المهني، وقادرة على المحافظة على الموظفين ذوي الكفاءة من خلال سياسات عادلة في التوظيف، والتدريب، والترقية، وإدارة الأداء، والتعويضات، وتحقيق التوازن بين الحياة المهنية والشخصية. </w:t>
      </w:r>
      <w:r>
        <w:rPr>
          <w:rFonts w:ascii="Sakkal Majalla" w:cs="Sakkal Majalla" w:hAnsi="Sakkal Majalla"/>
          <w:sz w:val="28"/>
          <w:szCs w:val="28"/>
          <w:rtl/>
        </w:rPr>
        <w:t>كما ترتبط الاستدامة الوظيفية بقدرة المؤسسة على مواجهة الأزمات والتغيرات دون التأثير السلبي في استقرار القوى العاملة أو جودة الأداء</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Zah</w:instrText>
      </w:r>
      <w:r>
        <w:rPr>
          <w:rFonts w:ascii="Sakkal Majalla" w:cs="Sakkal Majalla" w:hAnsi="Sakkal Majalla" w:hint="cs"/>
          <w:sz w:val="28"/>
          <w:szCs w:val="28"/>
          <w:rtl/>
          <w:lang w:bidi="ar-EG"/>
        </w:rPr>
        <w:instrText xml:space="preserve">23 </w:instrText>
      </w:r>
      <w:r>
        <w:rPr>
          <w:rFonts w:ascii="Sakkal Majalla" w:cs="Sakkal Majalla" w:hAnsi="Sakkal Majalla" w:hint="cs"/>
          <w:sz w:val="28"/>
          <w:szCs w:val="28"/>
          <w:lang w:bidi="ar-EG"/>
        </w:rPr>
        <w:instrText xml:space="preserve">\l </w:instrText>
      </w:r>
      <w:r>
        <w:rPr>
          <w:rFonts w:ascii="Sakkal Majalla" w:cs="Sakkal Majalla" w:hAnsi="Sakkal Majalla" w:hint="cs"/>
          <w:sz w:val="28"/>
          <w:szCs w:val="28"/>
          <w:rtl/>
          <w:lang w:bidi="ar-EG"/>
        </w:rPr>
        <w:instrText>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Zahoor</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0"/>
        <w:spacing w:after="0" w:lineRule="auto" w:line="360"/>
        <w:ind w:firstLine="567"/>
        <w:jc w:val="both"/>
        <w:rPr>
          <w:rFonts w:ascii="Sakkal Majalla" w:cs="Sakkal Majalla" w:hAnsi="Sakkal Majalla"/>
          <w:sz w:val="28"/>
          <w:szCs w:val="28"/>
        </w:rPr>
      </w:pPr>
      <w:r>
        <w:rPr>
          <w:rFonts w:ascii="Sakkal Majalla" w:cs="Sakkal Majalla" w:hAnsi="Sakkal Majalla"/>
          <w:sz w:val="28"/>
          <w:szCs w:val="28"/>
          <w:rtl/>
        </w:rPr>
        <w:t>تمثل نظرية الموارد الديناميكية الأساس العلمي الذي تستند إليه هذه الدراسة؛ إذ تفسر كيف تؤدي المرونة التنظيمية في إدارة الموارد البشرية إلى بناء قدرات تنظيمية مستدامة تساعد المؤسسات السعودية على تحقيق الاستدامة الوظيفية، من خلال تعزيز سرعة الاستجابة للمتغيرات، وتنمية رأس المال البشري، وتحسين بيئة العمل، ودعم الابتكار التنظيمي، ورفع مستويات الرضا والالتزام الوظيفي. كما توفر النظرية إطاراً تفسيرياً واضحاً للعلاقة بين المتغير المستقل المتمثل في المرونة التنظيمية في إدارة الموارد البشرية والمتغير التابع المتمثل في تحقيق الاستدامة الوظيفية، مما يجعلها الأنسب لتوجيه التحليل النظري والنتائج التطبيقية لهذه الدراسة</w:t>
      </w:r>
      <w:r>
        <w:rPr>
          <w:rFonts w:ascii="Sakkal Majalla" w:cs="Sakkal Majalla" w:hAnsi="Sakkal Majalla"/>
          <w:sz w:val="28"/>
          <w:szCs w:val="28"/>
        </w:rPr>
        <w:t>.</w:t>
      </w: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pPr>
    </w:p>
    <w:bookmarkStart w:id="32" w:name="_Toc217821162"/>
    <w:bookmarkStart w:id="33" w:name="_Toc172397784"/>
    <w:bookmarkStart w:id="34" w:name="_Toc172746097"/>
    <w:bookmarkStart w:id="35" w:name="_Toc179741535"/>
    <w:p>
      <w:pPr>
        <w:pStyle w:val="style1"/>
        <w:spacing w:before="0" w:lineRule="auto" w:line="240"/>
        <w:jc w:val="center"/>
        <w:rPr>
          <w:rFonts w:ascii="Andalus" w:cs="Andalus" w:hAnsi="Andalus"/>
          <w:b/>
          <w:bCs/>
          <w:sz w:val="180"/>
          <w:szCs w:val="180"/>
          <w:rtl/>
        </w:rPr>
      </w:pPr>
      <w:r>
        <w:rPr>
          <w:rFonts w:ascii="Andalus" w:cs="Andalus" w:hAnsi="Andalus"/>
          <w:b/>
          <w:bCs/>
          <w:sz w:val="180"/>
          <w:szCs w:val="180"/>
          <w:rtl/>
        </w:rPr>
        <w:t>الفصل الثاني</w:t>
      </w:r>
      <w:bookmarkEnd w:id="32"/>
    </w:p>
    <w:bookmarkStart w:id="36" w:name="_Toc217821163"/>
    <w:bookmarkEnd w:id="33"/>
    <w:bookmarkEnd w:id="34"/>
    <w:bookmarkEnd w:id="35"/>
    <w:p>
      <w:pPr>
        <w:pStyle w:val="style1"/>
        <w:spacing w:before="0" w:lineRule="auto" w:line="240"/>
        <w:jc w:val="center"/>
        <w:rPr>
          <w:rFonts w:ascii="Andalus" w:cs="Andalus" w:hAnsi="Andalus"/>
          <w:b/>
          <w:bCs/>
          <w:sz w:val="160"/>
          <w:szCs w:val="160"/>
          <w:rtl/>
        </w:rPr>
      </w:pPr>
      <w:r>
        <w:rPr>
          <w:rFonts w:ascii="Andalus" w:cs="Andalus" w:hAnsi="Andalus"/>
          <w:b/>
          <w:bCs/>
          <w:sz w:val="160"/>
          <w:szCs w:val="160"/>
          <w:rtl/>
        </w:rPr>
        <w:t>الدراسات السابقة</w:t>
      </w:r>
      <w:bookmarkEnd w:id="36"/>
    </w:p>
    <w:p>
      <w:pPr>
        <w:pStyle w:val="style0"/>
        <w:rPr>
          <w:b/>
          <w:bCs/>
          <w:color w:val="e97132"/>
          <w:rtl/>
        </w:rPr>
      </w:pPr>
    </w:p>
    <w:p>
      <w:pPr>
        <w:pStyle w:val="style0"/>
        <w:rPr>
          <w:b/>
          <w:bCs/>
          <w:color w:val="e97132"/>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sz w:val="28"/>
          <w:szCs w:val="28"/>
          <w:u w:val="single"/>
          <w:rtl/>
        </w:rPr>
      </w:pPr>
    </w:p>
    <w:bookmarkStart w:id="37" w:name="_Toc172397785"/>
    <w:bookmarkStart w:id="38" w:name="_Toc172746098"/>
    <w:bookmarkStart w:id="39" w:name="_Toc179741536"/>
    <w:bookmarkStart w:id="40" w:name="_Toc217821164"/>
    <w:p>
      <w:pPr>
        <w:pStyle w:val="style2"/>
        <w:spacing w:before="0" w:lineRule="auto" w:line="360"/>
        <w:rPr>
          <w:rFonts w:ascii="Sakkal Majalla" w:cs="Sakkal Majalla" w:hAnsi="Sakkal Majalla"/>
          <w:b/>
          <w:bCs/>
          <w:color w:val="000000"/>
          <w:sz w:val="28"/>
          <w:szCs w:val="28"/>
          <w:rtl/>
        </w:rPr>
      </w:pPr>
      <w:r>
        <w:rPr>
          <w:rFonts w:ascii="Sakkal Majalla" w:cs="Sakkal Majalla" w:hAnsi="Sakkal Majalla" w:hint="cs"/>
          <w:b/>
          <w:bCs/>
          <w:color w:val="000000"/>
          <w:sz w:val="28"/>
          <w:szCs w:val="28"/>
          <w:rtl/>
        </w:rPr>
        <w:t>ال</w:t>
      </w:r>
      <w:r>
        <w:rPr>
          <w:rFonts w:ascii="Sakkal Majalla" w:cs="Sakkal Majalla" w:hAnsi="Sakkal Majalla"/>
          <w:b/>
          <w:bCs/>
          <w:color w:val="000000"/>
          <w:sz w:val="28"/>
          <w:szCs w:val="28"/>
          <w:rtl/>
        </w:rPr>
        <w:t>مقدم</w:t>
      </w:r>
      <w:bookmarkEnd w:id="37"/>
      <w:bookmarkEnd w:id="38"/>
      <w:bookmarkEnd w:id="39"/>
      <w:r>
        <w:rPr>
          <w:rFonts w:ascii="Sakkal Majalla" w:cs="Sakkal Majalla" w:hAnsi="Sakkal Majalla" w:hint="cs"/>
          <w:b/>
          <w:bCs/>
          <w:color w:val="000000"/>
          <w:sz w:val="28"/>
          <w:szCs w:val="28"/>
          <w:rtl/>
        </w:rPr>
        <w:t>ة</w:t>
      </w:r>
      <w:bookmarkEnd w:id="40"/>
    </w:p>
    <w:p>
      <w:pPr>
        <w:pStyle w:val="style0"/>
        <w:spacing w:lineRule="auto" w:line="360"/>
        <w:ind w:firstLine="567"/>
        <w:jc w:val="both"/>
        <w:rPr>
          <w:rFonts w:ascii="Sakkal Majalla" w:cs="Sakkal Majalla" w:hAnsi="Sakkal Majalla"/>
          <w:sz w:val="28"/>
          <w:szCs w:val="28"/>
          <w:rtl/>
        </w:rPr>
      </w:pPr>
      <w:r>
        <w:rPr>
          <w:rFonts w:ascii="Sakkal Majalla" w:cs="Sakkal Majalla" w:hAnsi="Sakkal Majalla"/>
          <w:sz w:val="28"/>
          <w:szCs w:val="28"/>
          <w:rtl/>
        </w:rPr>
        <w:t>يمثل الفصل الثاني الركيزة العلمية والمعرفية التي يقوم عليها البناء الفكري للدراسة، إذ يهدف إلى تأسيس قاعدة نظرية متينة تفسر الظاهرة محل البحث، وتوضح أبعادها المختلفة، وتربط بين المفاهيم الرئيسة التي تنطلق منها الدراسة. وتبرز أهمية هذا الفصل في كونه يهيئ الإطار العلمي الذي تستند إليه بقية فصول البحث، حيث يسهم في تحديد المفاهيم بدقة، واستعراض الأسس الفكرية والنظرية التي تناولتها الأدبيات العلمية، وتحليل الاتجاهات البحثية الحديثة ذات الصلة بموضوع الدراسة. ومن خلال هذا البناء المعرفي يصبح الباحث أكثر قدرة على تفسير العلاقات بين المتغيرات، وصياغة الفرضيات بصورة منطقية تستند إلى أسس علمية راسخة، بما يعزز من قوة الدراسة ومصداقية نتائجها</w:t>
      </w:r>
      <w:r>
        <w:rPr>
          <w:rFonts w:ascii="Sakkal Majalla" w:cs="Sakkal Majalla" w:hAnsi="Sakkal Majalla"/>
          <w:sz w:val="28"/>
          <w:szCs w:val="28"/>
        </w:rPr>
        <w:t>.</w:t>
      </w:r>
    </w:p>
    <w:p>
      <w:pPr>
        <w:pStyle w:val="style0"/>
        <w:spacing w:lineRule="auto" w:line="360"/>
        <w:ind w:firstLine="567"/>
        <w:jc w:val="both"/>
        <w:rPr>
          <w:rFonts w:ascii="Sakkal Majalla" w:cs="Sakkal Majalla" w:hAnsi="Sakkal Majalla"/>
          <w:sz w:val="28"/>
          <w:szCs w:val="28"/>
          <w:rtl/>
        </w:rPr>
      </w:pPr>
      <w:r>
        <w:rPr>
          <w:rFonts w:ascii="Sakkal Majalla" w:cs="Sakkal Majalla" w:hAnsi="Sakkal Majalla"/>
          <w:sz w:val="28"/>
          <w:szCs w:val="28"/>
          <w:rtl/>
        </w:rPr>
        <w:t>ويأتي هذا الفصل ليقدم عرضًا علميًا متدرجًا يبدأ بتوضيح المفاهيم الأساسية التي ترتبط بموضوع الدراسة، مع إبراز أبعادها المختلفة كما تناولتها المدارس الفكرية والاتجاهات الإدارية الحديثة، ثم الانتقال إلى تحليل النظريات التي فسرت هذه المفاهيم والعلاقات المتبادلة بينها، مع توضيح مدى ملاءمة تلك النظريات للبيئة التنظيمية المعاصرة، ولاسيما في ظل التحولات التي تشهدها المؤسسات السعودية في إطار برامج التطوير المؤسسي ورؤية المملكة العربية السعودية 2030. كما يتناول الفصل عرضًا تحليليًا للدراسات العلمية السابقة، سواء العربية أو الأجنبية، بهدف الوقوف على أبرز النتائج التي توصلت إليها، وتحديد أوجه الاتفاق والاختلاف بينها، والكشف عن الفجوات البحثية التي لا تزال بحاجة إلى مزيد من الدراسة، وهو ما يسهم في تبرير الحاجة إلى إجراء الدراسة الحالية وإبراز قيمتها العلمية والتطبيقية</w:t>
      </w:r>
      <w:r>
        <w:rPr>
          <w:rFonts w:ascii="Sakkal Majalla" w:cs="Sakkal Majalla" w:hAnsi="Sakkal Majalla"/>
          <w:sz w:val="28"/>
          <w:szCs w:val="28"/>
        </w:rPr>
        <w:t>.</w:t>
      </w:r>
    </w:p>
    <w:p>
      <w:pPr>
        <w:pStyle w:val="style0"/>
        <w:spacing w:lineRule="auto" w:line="360"/>
        <w:ind w:firstLine="567"/>
        <w:jc w:val="both"/>
        <w:rPr>
          <w:rFonts w:ascii="Sakkal Majalla" w:cs="Sakkal Majalla" w:hAnsi="Sakkal Majalla"/>
          <w:sz w:val="28"/>
          <w:szCs w:val="28"/>
        </w:rPr>
      </w:pPr>
      <w:r>
        <w:rPr>
          <w:rFonts w:ascii="Sakkal Majalla" w:cs="Sakkal Majalla" w:hAnsi="Sakkal Majalla"/>
          <w:sz w:val="28"/>
          <w:szCs w:val="28"/>
          <w:rtl/>
        </w:rPr>
        <w:t>وتكمن أهمية هذا الفصل في أنه لا يقتصر على عرض المعلومات النظرية، وإنما يعمل على تحليلها وربطها بموضوع الدراسة بصورة نقدية، بما يساعد في بناء تصور متكامل للعلاقات المفترضة بين متغيرات البحث، ويمنح الدراسة أساسًا علميًا يمكن الاستناد إليه عند تفسير النتائج لاحقًا. كما يسهم في تعزيز قدرة الباحث على اختيار النموذج النظري الأكثر ملاءمة، وصياغة فرضيات الدراسة بصورة منسجمة مع الأدبيات العلمية، فضلاً عن توفير خلفية معرفية متخصصة تساعد القارئ على فهم أبعاد المشكلة البحثية وأهميتها في البيئة السعودية، وهو ما يجعل هذا الفصل نقطة الانطلاق الرئيسة نحو الجوانب التطبيقية للدراسة</w:t>
      </w:r>
      <w:r>
        <w:rPr>
          <w:rFonts w:ascii="Sakkal Majalla" w:cs="Sakkal Majalla" w:hAnsi="Sakkal Majalla"/>
          <w:sz w:val="28"/>
          <w:szCs w:val="28"/>
        </w:rPr>
        <w:t>.</w:t>
      </w:r>
    </w:p>
    <w:p>
      <w:pPr>
        <w:pStyle w:val="style0"/>
        <w:rPr/>
      </w:pPr>
    </w:p>
    <w:bookmarkStart w:id="41" w:name="_Toc217821165"/>
    <w:p>
      <w:pPr>
        <w:pStyle w:val="style1"/>
        <w:spacing w:lineRule="auto" w:line="360"/>
        <w:jc w:val="both"/>
        <w:rPr>
          <w:rFonts w:ascii="Sakkal Majalla" w:cs="Sakkal Majalla" w:hAnsi="Sakkal Majalla"/>
          <w:b/>
          <w:bCs/>
          <w:color w:val="auto"/>
          <w:sz w:val="28"/>
          <w:szCs w:val="28"/>
        </w:rPr>
      </w:pPr>
      <w:r>
        <w:rPr>
          <w:rFonts w:ascii="Sakkal Majalla" w:cs="Sakkal Majalla" w:hAnsi="Sakkal Majalla"/>
          <w:b/>
          <w:bCs/>
          <w:color w:val="auto"/>
          <w:sz w:val="28"/>
          <w:szCs w:val="28"/>
          <w:rtl/>
        </w:rPr>
        <w:t>المتغير التابع والمستقل</w:t>
      </w:r>
      <w:bookmarkStart w:id="42" w:name="_Toc172397786"/>
      <w:bookmarkStart w:id="43" w:name="_Toc172746099"/>
      <w:bookmarkStart w:id="44" w:name="_Toc179741537"/>
      <w:bookmarkEnd w:id="41"/>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تستند الدراسة الحالية إلى نموذج بحثي يهدف إلى تفسير أثر المرونة التنظيمية في إدارة الموارد البشرية في تحقيق الاستدامة الوظيفية داخل المؤسسات السعودية، وذلك من خلال قياس تأثير مجموعة من أبعاد المرونة التنظيمية بوصفها متغيرات مستقلة على الاستدامة الوظيفية بوصفها المتغير التابع. ويعكس هذا النموذج أهمية تطوير ممارسات إدارة الموارد البشرية بما يتلاءم مع التحولات التنظيمية والاقتصادية والتقنية التي تشهدها بيئة العمل السعودية، حيث أصبحت المرونة التنظيمية أحد أهم المقومات التي تمكن المؤسسات من المحافظة على رأس المال البشري وتحقيق الاستقرار الوظيفي واستدامة الأداء المؤسسي. وفيما يأتي عرض تفصيلي لمتغيرات الدراسة</w:t>
      </w:r>
      <w:r>
        <w:rPr>
          <w:rFonts w:ascii="Sakkal Majalla" w:cs="Sakkal Majalla" w:hAnsi="Sakkal Majalla"/>
          <w:sz w:val="28"/>
          <w:szCs w:val="28"/>
        </w:rPr>
        <w:t>.</w:t>
      </w:r>
    </w:p>
    <w:p>
      <w:pPr>
        <w:pStyle w:val="style179"/>
        <w:numPr>
          <w:ilvl w:val="0"/>
          <w:numId w:val="23"/>
        </w:numPr>
        <w:spacing w:lineRule="auto" w:line="360"/>
        <w:jc w:val="both"/>
        <w:rPr>
          <w:rFonts w:ascii="Sakkal Majalla" w:cs="Sakkal Majalla" w:hAnsi="Sakkal Majalla"/>
          <w:b/>
          <w:bCs/>
          <w:sz w:val="28"/>
          <w:szCs w:val="28"/>
        </w:rPr>
      </w:pPr>
      <w:r>
        <w:rPr>
          <w:rFonts w:ascii="Sakkal Majalla" w:cs="Sakkal Majalla" w:hAnsi="Sakkal Majalla"/>
          <w:b/>
          <w:bCs/>
          <w:sz w:val="28"/>
          <w:szCs w:val="28"/>
          <w:rtl/>
        </w:rPr>
        <w:t xml:space="preserve"> المتغير التابع: الاستدامة الوظيفية</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تُعد الاستدامة الوظيفية أحد المفاهيم الإدارية الحديثة التي اكتسبت أهمية متزايدة في ظل التغيرات الاقتصادية والتكنولوجية المتسارعة، حيث تشير إلى قدرة المؤسسة على توفير بيئة عمل مستقرة وآمنة تمكن العاملين من الاستمرار في أداء وظائفهم بكفاءة، مع ضمان توافر فرص التطوير المهني والنمو الوظيفي والمحافظة على مستويات مرتفعة من الرضا الوظيفي والالتزام التنظيمي. ولا تقتصر الاستدامة الوظيفية على استمرار الموظف في عمله لفترة طويلة، وإنما تمتد لتشمل قدرة المؤسسة على المحافظة على كفاءاتها البشرية، وتوفير بيئة عمل تدعم الصحة المهنية، والعدالة التنظيمية، والتوازن بين الحياة الوظيفية والشخصية، بما يسهم في تحقيق الاستقرار المؤسسي على المدى الطويل</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وتعتمد الاستدامة الوظيفية على مجموعة من العوامل التنظيمية والإدارية التي تساعد في بناء علاقة طويلة الأجل بين المؤسسة والعاملين، مثل وضوح المسار الوظيفي، وعدالة نظم المكافآت والترقيات، وتوفير برامج التدريب والتطوير، وتحقيق المشاركة في اتخاذ القرار، وتعزيز بيئة العمل الإيجابية. كما ترتبط الاستدامة الوظيفية بقدرة المؤسسة على التكيف مع المتغيرات المختلفة دون التأثير في استقرار القوى العاملة أو فقدان الكفاءات، الأمر الذي يجعلها أحد المؤشرات الرئيسة على نجاح إدارة الموارد البشرية في تحقيق التنمية التنظيمية المستدامة</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 xml:space="preserve">وفي المؤسسات السعودية، أصبحت الاستدامة الوظيفية من المرتكزات الأساسية لتحقيق مستهدفات رؤية المملكة العربية السعودية 2030، التي تؤكد أهمية الاستثمار في رأس المال البشري، ورفع جودة الحياة الوظيفية، وتحسين بيئات العمل، </w:t>
      </w:r>
      <w:r>
        <w:rPr>
          <w:rFonts w:ascii="Sakkal Majalla" w:cs="Sakkal Majalla" w:hAnsi="Sakkal Majalla"/>
          <w:sz w:val="28"/>
          <w:szCs w:val="28"/>
          <w:rtl/>
        </w:rPr>
        <w:t>وتعزيز الإنتاجية، والمحافظة على الكفاءات الوطنية. ومن ثم فإن تحقيق الاستدامة الوظيفية يسهم في خفض معدلات دوران العمل، وتقليل تكاليف الاستقطاب والتدريب، وتعزيز الولاء التنظيمي، ورفع مستويات الأداء الفردي والمؤسسي، بما يدعم استدامة المؤسسات وقدرتها التنافسية</w:t>
      </w:r>
      <w:r>
        <w:rPr>
          <w:rFonts w:ascii="Sakkal Majalla" w:cs="Sakkal Majalla" w:hAnsi="Sakkal Majalla"/>
          <w:sz w:val="28"/>
          <w:szCs w:val="28"/>
        </w:rPr>
        <w:t>.</w:t>
      </w:r>
    </w:p>
    <w:p>
      <w:pPr>
        <w:pStyle w:val="style179"/>
        <w:numPr>
          <w:ilvl w:val="0"/>
          <w:numId w:val="23"/>
        </w:numPr>
        <w:spacing w:lineRule="auto" w:line="360"/>
        <w:jc w:val="both"/>
        <w:rPr>
          <w:rFonts w:ascii="Sakkal Majalla" w:cs="Sakkal Majalla" w:hAnsi="Sakkal Majalla"/>
          <w:b/>
          <w:bCs/>
          <w:sz w:val="28"/>
          <w:szCs w:val="28"/>
        </w:rPr>
      </w:pPr>
      <w:r>
        <w:rPr>
          <w:rFonts w:ascii="Sakkal Majalla" w:cs="Sakkal Majalla" w:hAnsi="Sakkal Majalla"/>
          <w:b/>
          <w:bCs/>
          <w:sz w:val="28"/>
          <w:szCs w:val="28"/>
          <w:rtl/>
        </w:rPr>
        <w:t>المتغيرات المستقلة</w:t>
      </w:r>
    </w:p>
    <w:p>
      <w:pPr>
        <w:pStyle w:val="style179"/>
        <w:numPr>
          <w:ilvl w:val="0"/>
          <w:numId w:val="29"/>
        </w:numPr>
        <w:spacing w:lineRule="auto" w:line="360"/>
        <w:jc w:val="both"/>
        <w:rPr>
          <w:rFonts w:ascii="Sakkal Majalla" w:cs="Sakkal Majalla" w:hAnsi="Sakkal Majalla"/>
          <w:b/>
          <w:bCs/>
          <w:sz w:val="28"/>
          <w:szCs w:val="28"/>
        </w:rPr>
      </w:pPr>
      <w:r>
        <w:rPr>
          <w:rFonts w:ascii="Sakkal Majalla" w:cs="Sakkal Majalla" w:hAnsi="Sakkal Majalla"/>
          <w:b/>
          <w:bCs/>
          <w:sz w:val="28"/>
          <w:szCs w:val="28"/>
        </w:rPr>
        <w:t xml:space="preserve"> </w:t>
      </w:r>
      <w:r>
        <w:rPr>
          <w:rFonts w:ascii="Sakkal Majalla" w:cs="Sakkal Majalla" w:hAnsi="Sakkal Majalla"/>
          <w:b/>
          <w:bCs/>
          <w:sz w:val="28"/>
          <w:szCs w:val="28"/>
          <w:rtl/>
        </w:rPr>
        <w:t>المرونة في السياسات والإجراءات الإدارية</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تمثل المرونة في السياسات والإجراءات الإدارية قدرة المؤسسة على تعديل وتطوير الأنظمة واللوائح والإجراءات التنظيمية بما يتناسب مع المتغيرات الداخلية والخارجية، دون الإخلال بالأهداف الاستراتيجية أو جودة الأداء المؤسسي. ويعد هذا البعد من أهم أبعاد المرونة التنظيمية؛ لأنه يتيح للإدارة سرعة الاستجابة للتحديات والمتغيرات التي قد تواجه المؤسسة، سواء كانت تغيرات اقتصادية أو تقنية أو تشريعية أو تنظيمية</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وتتجسد المرونة في السياسات والإجراءات من خلال تبسيط العمليات الإدارية، وتقليل التعقيدات البيروقراطية، وتسريع عمليات اتخاذ القرار، ومنح الإدارات صلاحيات مناسبة لمعالجة المواقف الطارئة، مع مراجعة السياسات بصورة دورية بما يتوافق مع احتياجات العاملين ومتطلبات بيئة العمل الحديثة. كما تشمل قدرة المؤسسة على تحديث اللوائح التنظيمية، وتطوير نظم تقييم الأداء، وتعديل آليات العمل بما يسهم في رفع كفاءة الأداء وتحسين جودة الخدمات</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وتؤدي هذه المرونة إلى تعزيز ثقة العاملين بالمؤسسة، وتقليل مقاومة التغيير، وزيادة سرعة التكيف مع المستجدات، الأمر الذي ينعكس بصورة إيجابية على استقرار الموظفين ورفع مستوى الرضا الوظيفي، وهو ما يسهم في تحقيق الاستدامة الوظيفية على المدى الطويل</w:t>
      </w:r>
      <w:r>
        <w:rPr>
          <w:rFonts w:ascii="Sakkal Majalla" w:cs="Sakkal Majalla" w:hAnsi="Sakkal Majalla"/>
          <w:sz w:val="28"/>
          <w:szCs w:val="28"/>
        </w:rPr>
        <w:t>.</w:t>
      </w:r>
    </w:p>
    <w:p>
      <w:pPr>
        <w:pStyle w:val="style179"/>
        <w:numPr>
          <w:ilvl w:val="0"/>
          <w:numId w:val="29"/>
        </w:numPr>
        <w:spacing w:lineRule="auto" w:line="360"/>
        <w:jc w:val="both"/>
        <w:rPr>
          <w:rFonts w:ascii="Sakkal Majalla" w:cs="Sakkal Majalla" w:hAnsi="Sakkal Majalla"/>
          <w:b/>
          <w:bCs/>
          <w:sz w:val="28"/>
          <w:szCs w:val="28"/>
        </w:rPr>
      </w:pPr>
      <w:r>
        <w:rPr>
          <w:rFonts w:ascii="Sakkal Majalla" w:cs="Sakkal Majalla" w:hAnsi="Sakkal Majalla"/>
          <w:b/>
          <w:bCs/>
          <w:sz w:val="28"/>
          <w:szCs w:val="28"/>
        </w:rPr>
        <w:t xml:space="preserve"> </w:t>
      </w:r>
      <w:r>
        <w:rPr>
          <w:rFonts w:ascii="Sakkal Majalla" w:cs="Sakkal Majalla" w:hAnsi="Sakkal Majalla"/>
          <w:b/>
          <w:bCs/>
          <w:sz w:val="28"/>
          <w:szCs w:val="28"/>
          <w:rtl/>
        </w:rPr>
        <w:t>مرونة إدارة المواهب وتنمية الموارد البشرية</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 xml:space="preserve">تشير مرونة إدارة المواهب وتنمية الموارد البشرية إلى قدرة المؤسسة على تطوير رأس المال البشري بصورة مستمرة، من خلال تبني سياسات مرنة في استقطاب الكفاءات، وتطويرها، والمحافظة عليها، بما يضمن توافق مهارات العاملين مع احتياجات </w:t>
      </w:r>
      <w:r>
        <w:rPr>
          <w:rFonts w:ascii="Sakkal Majalla" w:cs="Sakkal Majalla" w:hAnsi="Sakkal Majalla"/>
          <w:sz w:val="28"/>
          <w:szCs w:val="28"/>
          <w:rtl/>
        </w:rPr>
        <w:t>المؤسسة الحالية والمستقبلية. ويعد هذا البعد من أكثر أبعاد المرونة التنظيمية تأثيرًا في نجاح المؤسسات، لأن العنصر البشري يمثل المورد الأكثر أهمية في تحقيق الميزة التنافسية المستدامة</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وتتضمن هذه المرونة تصميم برامج تدريبية حديثة، وتوفير فرص التعلم المستمر، وإعداد القيادات المستقبلية، وإدارة التعاقب الوظيفي، وتطبيق نظم مرنة لتقييم الأداء، وربط نتائج الأداء ببرامج التطوير والترقية. كما تشمل قدرة المؤسسة على إعادة توزيع الموظفين وفق احتياجات العمل، والاستفادة من مهاراتهم المتنوعة، وتشجيع الابتكار والإبداع، ودعم التعلم التنظيمي المستمر</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وتسهم مرونة إدارة المواهب في رفع مستوى الكفاءة المهنية للعاملين، وتعزيز شعورهم بالأمان الوظيفي، وزيادة فرص النمو والتطور المهني، الأمر الذي يؤدي إلى تعزيز الالتزام التنظيمي وتقليل الرغبة في ترك العمل، وبالتالي تحقيق مستويات مرتفعة من الاستدامة الوظيفية داخل المؤسسة</w:t>
      </w:r>
      <w:r>
        <w:rPr>
          <w:rFonts w:ascii="Sakkal Majalla" w:cs="Sakkal Majalla" w:hAnsi="Sakkal Majalla"/>
          <w:sz w:val="28"/>
          <w:szCs w:val="28"/>
        </w:rPr>
        <w:t>.</w:t>
      </w:r>
    </w:p>
    <w:p>
      <w:pPr>
        <w:pStyle w:val="style179"/>
        <w:numPr>
          <w:ilvl w:val="0"/>
          <w:numId w:val="29"/>
        </w:numPr>
        <w:spacing w:lineRule="auto" w:line="360"/>
        <w:jc w:val="both"/>
        <w:rPr>
          <w:rFonts w:ascii="Sakkal Majalla" w:cs="Sakkal Majalla" w:hAnsi="Sakkal Majalla"/>
          <w:b/>
          <w:bCs/>
          <w:sz w:val="28"/>
          <w:szCs w:val="28"/>
        </w:rPr>
      </w:pPr>
      <w:r>
        <w:rPr>
          <w:rFonts w:ascii="Sakkal Majalla" w:cs="Sakkal Majalla" w:hAnsi="Sakkal Majalla"/>
          <w:b/>
          <w:bCs/>
          <w:sz w:val="28"/>
          <w:szCs w:val="28"/>
        </w:rPr>
        <w:t xml:space="preserve"> </w:t>
      </w:r>
      <w:r>
        <w:rPr>
          <w:rFonts w:ascii="Sakkal Majalla" w:cs="Sakkal Majalla" w:hAnsi="Sakkal Majalla"/>
          <w:b/>
          <w:bCs/>
          <w:sz w:val="28"/>
          <w:szCs w:val="28"/>
          <w:rtl/>
        </w:rPr>
        <w:t>المرونة في بيئة العمل وتنظيم العمل</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يقصد بالمرونة في بيئة العمل وتنظيم العمل قدرة المؤسسة على توفير بيئة تنظيمية تتسم بالمرونة في أساليب أداء العمل، وتنظيم ساعات العمل، وتوزيع المهام، واستخدام التكنولوجيا الحديثة، بما يحقق التوازن بين متطلبات المؤسسة واحتياجات العاملين. وقد ازدادت أهمية هذا البعد بصورة كبيرة في السنوات الأخيرة نتيجة التحول الرقمي وانتشار أنماط العمل الحديثة، مثل العمل المرن والعمل عن بُعد والعمل الهجين</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وتظهر المرونة في بيئة العمل من خلال تصميم أماكن عمل صحية وآمنة، وتوفير بيئة تنظيمية داعمة للتعاون والابتكار، وتمكين العاملين من المشاركة في اتخاذ القرار، وتطبيق أنظمة عمل مرنة تراعي ظروف الموظفين، مع توفير الوسائل التقنية التي تساعد على إنجاز الأعمال بكفاءة عالية. كما تشمل إعادة تصميم الوظائف بما يتناسب مع قدرات العاملين، وتوزيع الأدوار بصورة تحقق العدالة والكفاءة، وتعزيز ثقافة الثقة والتواصل الفعال بين الإدارة والموظفين</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وتؤدي هذه الممارسات إلى رفع مستويات الرضا الوظيفي، وتقليل الضغوط المهنية، وتعزيز جودة الحياة الوظيفية، وزيادة الإنتاجية، والمحافظة على الكفاءات البشرية، وهو ما ينعكس بصورة مباشرة على تحقيق الاستدامة الوظيفية واستمرار الأداء المؤسسي بكفاءة عالية</w:t>
      </w:r>
      <w:r>
        <w:rPr>
          <w:rFonts w:ascii="Sakkal Majalla" w:cs="Sakkal Majalla" w:hAnsi="Sakkal Majalla"/>
          <w:sz w:val="28"/>
          <w:szCs w:val="28"/>
        </w:rPr>
        <w:t>.</w:t>
      </w:r>
    </w:p>
    <w:p>
      <w:pPr>
        <w:pStyle w:val="style0"/>
        <w:spacing w:lineRule="auto" w:line="360"/>
        <w:jc w:val="both"/>
        <w:rPr>
          <w:rFonts w:ascii="Sakkal Majalla" w:cs="Sakkal Majalla" w:hAnsi="Sakkal Majalla"/>
          <w:b/>
          <w:bCs/>
          <w:sz w:val="28"/>
          <w:szCs w:val="28"/>
          <w:u w:val="single"/>
        </w:rPr>
      </w:pPr>
      <w:r>
        <w:rPr>
          <w:rFonts w:ascii="Sakkal Majalla" w:cs="Sakkal Majalla" w:hAnsi="Sakkal Majalla"/>
          <w:b/>
          <w:bCs/>
          <w:sz w:val="28"/>
          <w:szCs w:val="28"/>
          <w:u w:val="single"/>
          <w:rtl/>
        </w:rPr>
        <w:t>العلاقة بين المتغيرات المستقلة والمتغير التابع</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تنطلق الدراسة من افتراض رئيس يتمثل في وجود علاقة تأثير إيجابية بين المرونة التنظيمية في إدارة الموارد البشرية بأبعادها المختلفة والاستدامة الوظيفية داخل المؤسسات السعودية. فكلما ارتفعت درجة المرونة في السياسات والإجراءات الإدارية، أصبحت المؤسسة أكثر قدرة على الاستجابة السريعة للمتغيرات التنظيمية، وتوفير بيئة عمل تتسم بالوضوح والعدالة والكفاءة، مما يعزز استقرار العاملين ويحد من معدلات دوران العمل. كما أن مرونة إدارة المواهب وتنمية الموارد البشرية تسهم في رفع كفاءة العاملين وتطوير مهاراتهم وتعزيز فرصهم المهنية، وهو ما يزيد من مستويات الرضا والالتزام التنظيمي ويقوي ارتباطهم بالمؤسسة</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ومن جانب آخر، تؤدي المرونة في بيئة العمل وتنظيم العمل إلى تحسين جودة الحياة الوظيفية من خلال توفير بيئة عمل مرنة وآمنة تدعم التوازن بين الحياة المهنية والشخصية، وتشجع التعاون والابتكار، وتخفف الضغوط المهنية، الأمر الذي يسهم في المحافظة على الكفاءات البشرية واستمرارها داخل المؤسسة. وعليه، فإن التكامل بين هذه الأبعاد الثلاثة يشكل منظومة متكاملة من الممارسات الإدارية التي تعزز قدرة المؤسسات السعودية على تحقيق الاستدامة الوظيفية، من خلال رفع مستويات الرضا الوظيفي والالتزام التنظيمي، وخفض معدلات الغياب ودوران العمل، وزيادة الإنتاجية، وتحقيق الاستقرار المؤسسي، بما يتوافق مع مستهدفات رؤية المملكة العربية السعودية 2030 في بناء بيئات عمل مستدامة وقادرة على المنافسة</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p>
    <w:bookmarkStart w:id="45" w:name="_Toc217821166"/>
    <w:p>
      <w:pPr>
        <w:pStyle w:val="style2"/>
        <w:spacing w:lineRule="auto" w:line="360"/>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الدراسات السابقة</w:t>
      </w:r>
      <w:bookmarkEnd w:id="42"/>
      <w:bookmarkEnd w:id="43"/>
      <w:bookmarkEnd w:id="44"/>
      <w:bookmarkEnd w:id="45"/>
    </w:p>
    <w:p>
      <w:pPr>
        <w:pStyle w:val="style0"/>
        <w:spacing w:lineRule="auto" w:line="360"/>
        <w:ind w:firstLine="720"/>
        <w:jc w:val="both"/>
        <w:rPr>
          <w:rFonts w:ascii="Sakkal Majalla" w:cs="Sakkal Majalla" w:hAnsi="Sakkal Majalla"/>
          <w:sz w:val="28"/>
          <w:szCs w:val="28"/>
        </w:rPr>
      </w:pPr>
      <w:r>
        <w:rPr>
          <w:rFonts w:ascii="Sakkal Majalla" w:cs="Sakkal Majalla" w:hAnsi="Sakkal Majalla"/>
          <w:sz w:val="28"/>
          <w:szCs w:val="28"/>
          <w:rtl/>
        </w:rPr>
        <w:t>تهدف دراسة</w:t>
      </w:r>
      <w:r>
        <w:rPr>
          <w:rFonts w:ascii="Sakkal Majalla" w:cs="Sakkal Majalla" w:hAnsi="Sakkal Majalla"/>
          <w:sz w:val="28"/>
          <w:szCs w:val="28"/>
        </w:rPr>
        <w:t xml:space="preserve"> </w:t>
      </w:r>
      <w:r>
        <w:rPr>
          <w:rFonts w:ascii="Sakkal Majalla" w:cs="Sakkal Majalla" w:hAnsi="Sakkal Majalla"/>
          <w:sz w:val="28"/>
          <w:szCs w:val="28"/>
          <w:rtl/>
        </w:rPr>
        <w:fldChar w:fldCharType="begin"/>
      </w:r>
      <w:r>
        <w:rPr>
          <w:rFonts w:ascii="Sakkal Majalla" w:cs="Sakkal Majalla" w:hAnsi="Sakkal Majalla"/>
          <w:sz w:val="28"/>
          <w:szCs w:val="28"/>
        </w:rPr>
        <w:instrText xml:space="preserve"> CITATION Ald221 \l 1033 </w:instrText>
      </w:r>
      <w:r>
        <w:rPr>
          <w:rFonts w:ascii="Sakkal Majalla" w:cs="Sakkal Majalla" w:hAnsi="Sakkal Majalla"/>
          <w:sz w:val="28"/>
          <w:szCs w:val="28"/>
          <w:rtl/>
        </w:rPr>
        <w:fldChar w:fldCharType="separate"/>
      </w:r>
      <w:r>
        <w:rPr>
          <w:rFonts w:ascii="Sakkal Majalla" w:cs="Sakkal Majalla" w:hAnsi="Sakkal Majalla"/>
          <w:noProof/>
          <w:sz w:val="28"/>
          <w:szCs w:val="28"/>
        </w:rPr>
        <w:t>(Aldaiem, 2022)</w:t>
      </w:r>
      <w:r>
        <w:rPr>
          <w:rFonts w:ascii="Sakkal Majalla" w:cs="Sakkal Majalla" w:hAnsi="Sakkal Majalla"/>
          <w:sz w:val="28"/>
          <w:szCs w:val="28"/>
          <w:rtl/>
        </w:rPr>
        <w:fldChar w:fldCharType="end"/>
      </w:r>
      <w:r>
        <w:rPr>
          <w:rFonts w:ascii="Sakkal Majalla" w:cs="Sakkal Majalla" w:hAnsi="Sakkal Majalla"/>
          <w:sz w:val="28"/>
          <w:szCs w:val="28"/>
          <w:rtl/>
        </w:rPr>
        <w:t xml:space="preserve"> إلى توضيح كيف يمكن لتقنيات إدارة سلاسل التوريد الخضراء أن تساعد الشركات الصناعية الأردنية على اكتساب ميزة تنافسية. وقد اعتمدت الدراسة المنهج الوصفي التحليلي، وشملت عينة الدراسة مئتي </w:t>
      </w:r>
      <w:r>
        <w:rPr>
          <w:rFonts w:ascii="Sakkal Majalla" w:cs="Sakkal Majalla" w:hAnsi="Sakkal Majalla"/>
          <w:sz w:val="28"/>
          <w:szCs w:val="28"/>
          <w:rtl/>
        </w:rPr>
        <w:t>موظف من الإدارة العليا في شركات صناعية بالمملكة الأردنية الهاشمية. تضمن الاستبيان الذي استخدمه الباحث لجمع البيانات مقياسًا للميزة التنافسية ومقياسًا لإدارة سلاسل التوريد الخضراء، وقد تم التحقق من موثوقية وصحة الاستبيان. أظهرت النتائج أن ممارسات إدارة سلاسل التوريد الخضراء في الشركات الصناعية الأردنية كانت متوسطة بشكل عام وفي جميع الفئات الثلاث (الإنتاج الأخضر، والتسويق الأخضر، والمشتريات الخضراء). في المقابل، تميزت الشركات الصناعية الأردنية بميزة تنافسية منخفضة من حيث التكلفة والسمعة، ولكنها تميزت بميزة تنافسية عالية من حيث الابتكار والجودة والقدرة على التكيف. وأظهرت النتائج أن لأساليب إدارة سلاسل التوريد الخضراء تأثيرًا ذا دلالة إحصائية (</w:t>
      </w:r>
      <w:r>
        <w:rPr>
          <w:rFonts w:ascii="Cambria" w:cs="Cambria" w:hAnsi="Cambria"/>
          <w:sz w:val="28"/>
          <w:szCs w:val="28"/>
        </w:rPr>
        <w:t>α</w:t>
      </w:r>
      <w:r>
        <w:rPr>
          <w:rFonts w:ascii="Sakkal Majalla" w:cs="Sakkal Majalla" w:hAnsi="Sakkal Majalla"/>
          <w:sz w:val="28"/>
          <w:szCs w:val="28"/>
        </w:rPr>
        <w:t xml:space="preserve"> &lt; 0.05</w:t>
      </w:r>
      <w:r>
        <w:rPr>
          <w:rFonts w:ascii="Sakkal Majalla" w:cs="Sakkal Majalla" w:hAnsi="Sakkal Majalla"/>
          <w:sz w:val="28"/>
          <w:szCs w:val="28"/>
          <w:rtl/>
        </w:rPr>
        <w:t>) على جميع جوانب الميزة التنافسية في الشركات الصناعية، بما في ذلك التكلفة والجودة والابتكار والسمعة والمرونة.</w:t>
      </w:r>
    </w:p>
    <w:p>
      <w:pPr>
        <w:pStyle w:val="style0"/>
        <w:spacing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تهدف دراسة</w:t>
      </w:r>
      <w:r>
        <w:rPr>
          <w:rFonts w:ascii="Sakkal Majalla" w:cs="Sakkal Majalla" w:hAnsi="Sakkal Majalla"/>
          <w:sz w:val="28"/>
          <w:szCs w:val="28"/>
        </w:rPr>
        <w:t xml:space="preserve"> </w:t>
      </w:r>
      <w:r>
        <w:rPr>
          <w:rFonts w:ascii="Sakkal Majalla" w:cs="Sakkal Majalla" w:hAnsi="Sakkal Majalla"/>
          <w:sz w:val="28"/>
          <w:szCs w:val="28"/>
          <w:rtl/>
        </w:rPr>
        <w:fldChar w:fldCharType="begin"/>
      </w:r>
      <w:r>
        <w:rPr>
          <w:rFonts w:ascii="Sakkal Majalla" w:cs="Sakkal Majalla" w:hAnsi="Sakkal Majalla"/>
          <w:sz w:val="28"/>
          <w:szCs w:val="28"/>
        </w:rPr>
        <w:instrText xml:space="preserve"> CITATION Rum24 \l 1033 </w:instrText>
      </w:r>
      <w:r>
        <w:rPr>
          <w:rFonts w:ascii="Sakkal Majalla" w:cs="Sakkal Majalla" w:hAnsi="Sakkal Majalla"/>
          <w:sz w:val="28"/>
          <w:szCs w:val="28"/>
          <w:rtl/>
        </w:rPr>
        <w:fldChar w:fldCharType="separate"/>
      </w:r>
      <w:r>
        <w:rPr>
          <w:rFonts w:ascii="Sakkal Majalla" w:cs="Sakkal Majalla" w:hAnsi="Sakkal Majalla"/>
          <w:noProof/>
          <w:sz w:val="28"/>
          <w:szCs w:val="28"/>
        </w:rPr>
        <w:t>(Rumman, 2024)</w:t>
      </w:r>
      <w:r>
        <w:rPr>
          <w:rFonts w:ascii="Sakkal Majalla" w:cs="Sakkal Majalla" w:hAnsi="Sakkal Majalla"/>
          <w:sz w:val="28"/>
          <w:szCs w:val="28"/>
          <w:rtl/>
        </w:rPr>
        <w:fldChar w:fldCharType="end"/>
      </w:r>
      <w:r>
        <w:rPr>
          <w:rFonts w:ascii="Sakkal Majalla" w:cs="Sakkal Majalla" w:hAnsi="Sakkal Majalla"/>
          <w:sz w:val="28"/>
          <w:szCs w:val="28"/>
          <w:rtl/>
        </w:rPr>
        <w:t xml:space="preserve"> إلى تقديم فهم شامل لكيفية تأثير إدارة الموارد البشرية الخضراء على تطبيق تقنيات الإدارة الرشيقة في قطاع الخدمات، وتحديدًا في شركات الخدمات الأردنية. وتتناول الدراسة دور المرونة التنظيمية كعامل وسيط في هذه العلاقة. وقد استُخدم نمذجة المعادلات الهيكلية باستخدام المربعات الصغرى الجزئية لإجراء تحليل معمق على عينة مكونة من 399 عاملًا في قطاع الخدمات في عمّان، الأردن. تُظهر النتائج أن لإدارة الموارد البشرية تأثيرًا كبيرًا وإيجابيًا على تطبيق تقنيات الإدارة الرشيقة. ونظرًا لأهميتها البالغة ومرونتها التنظيمية، فإن ذلك يُسهم في تحسين فعالية إدارة الموارد البشرية في تطبيق هذه الممارسات. ويؤكد هذا على أهمية تبني القدرة على التكيف والمرونة كعنصرين أساسيين في أساليب التكامل التنظيمي الناجحة لإدارة الموارد البشرية. تُبرز الدراسة أهمية توظيف الموارد البشرية في الجهود الخضراء من خلال توفير بيئة عمل مرنة، مما يمهد الطريق للربط بين إدارة الموارد البشرية والمرونة التنظيمية. وتشجع النتائج صانعي القرار والممارسين في قطاع الخدمات على مراعاة آراء الموظفين عند بناء الثقافات والهياكل التنظيمية، مع إيلاء أهمية أكبر لتلك التي تُعزز السلوك الصديق للبيئة بشكل مباشر. ستتيح هذه الاستراتيجية لعمليات البرمجيات الرشيقة أن يكون لها تأثير أكبر وتشجع الشركات على تبني ممارسات واعية اجتماعياً وبيئياً، مما يسمح لها بالمشاركة.</w:t>
      </w:r>
    </w:p>
    <w:p>
      <w:pPr>
        <w:pStyle w:val="style0"/>
        <w:spacing w:lineRule="auto" w:line="360"/>
        <w:ind w:firstLine="720"/>
        <w:jc w:val="both"/>
        <w:rPr>
          <w:rFonts w:ascii="Sakkal Majalla" w:cs="Sakkal Majalla" w:hAnsi="Sakkal Majalla"/>
          <w:sz w:val="28"/>
          <w:szCs w:val="28"/>
        </w:rPr>
      </w:pPr>
      <w:r>
        <w:rPr>
          <w:rFonts w:ascii="Sakkal Majalla" w:cs="Sakkal Majalla" w:hAnsi="Sakkal Majalla"/>
          <w:sz w:val="28"/>
          <w:szCs w:val="28"/>
          <w:rtl/>
        </w:rPr>
        <w:t>تهدف دراسة</w:t>
      </w:r>
      <w:r>
        <w:rPr>
          <w:rFonts w:ascii="Sakkal Majalla" w:cs="Sakkal Majalla" w:hAnsi="Sakkal Majalla"/>
          <w:sz w:val="28"/>
          <w:szCs w:val="28"/>
        </w:rPr>
        <w:t xml:space="preserve"> </w:t>
      </w:r>
      <w:r>
        <w:rPr>
          <w:rFonts w:ascii="Sakkal Majalla" w:cs="Sakkal Majalla" w:hAnsi="Sakkal Majalla"/>
          <w:sz w:val="28"/>
          <w:szCs w:val="28"/>
          <w:rtl/>
        </w:rPr>
        <w:fldChar w:fldCharType="begin"/>
      </w:r>
      <w:r>
        <w:rPr>
          <w:rFonts w:ascii="Sakkal Majalla" w:cs="Sakkal Majalla" w:hAnsi="Sakkal Majalla"/>
          <w:sz w:val="28"/>
          <w:szCs w:val="28"/>
        </w:rPr>
        <w:instrText xml:space="preserve"> CITATION Alo23 \l 1033 </w:instrText>
      </w:r>
      <w:r>
        <w:rPr>
          <w:rFonts w:ascii="Sakkal Majalla" w:cs="Sakkal Majalla" w:hAnsi="Sakkal Majalla"/>
          <w:sz w:val="28"/>
          <w:szCs w:val="28"/>
          <w:rtl/>
        </w:rPr>
        <w:fldChar w:fldCharType="separate"/>
      </w:r>
      <w:r>
        <w:rPr>
          <w:rFonts w:ascii="Sakkal Majalla" w:cs="Sakkal Majalla" w:hAnsi="Sakkal Majalla"/>
          <w:noProof/>
          <w:sz w:val="28"/>
          <w:szCs w:val="28"/>
        </w:rPr>
        <w:t>(Alotaibi, 2023)</w:t>
      </w:r>
      <w:r>
        <w:rPr>
          <w:rFonts w:ascii="Sakkal Majalla" w:cs="Sakkal Majalla" w:hAnsi="Sakkal Majalla"/>
          <w:sz w:val="28"/>
          <w:szCs w:val="28"/>
          <w:rtl/>
        </w:rPr>
        <w:fldChar w:fldCharType="end"/>
      </w:r>
      <w:r>
        <w:rPr>
          <w:rFonts w:ascii="Sakkal Majalla" w:cs="Sakkal Majalla" w:hAnsi="Sakkal Majalla"/>
          <w:sz w:val="28"/>
          <w:szCs w:val="28"/>
          <w:rtl/>
        </w:rPr>
        <w:t xml:space="preserve">، التي أُجريت في مؤسسة العتبة الحسينية الصحية بمدينة كربلاء المقدسة، إلى بحث الدور الوسيط للقوى العاملة المرنة في تعزيز العلاقة بين تحسين الأداء المستدام ومرونة الموارد البشرية. ويتمحور السؤال الرئيسي الذي يُمثل المشكلة المفاهيمية للدراسة حول ما يلي: هل يُحسّن تطبيق مرونة الموارد البشرية أداء المؤسسة الصحية؟ </w:t>
      </w:r>
      <w:r>
        <w:rPr>
          <w:rFonts w:ascii="Sakkal Majalla" w:cs="Sakkal Majalla" w:hAnsi="Sakkal Majalla"/>
          <w:sz w:val="28"/>
          <w:szCs w:val="28"/>
          <w:rtl/>
        </w:rPr>
        <w:t xml:space="preserve">استُخدم استبيان مُصمم خصيصًا لهذا الغرض، وأُجريت الدراسة في مؤسسة العتبة الحسينية الصحية بمدينة كربلاء المقدسة على عينة عشوائية من 144 موظفًا من أصل 220 موظفًا في مجتمع الدراسة. وتم تحليل البيانات باستخدام تقنيات إحصائية، مثل نمذجة المعادلات. واستُخدم برنامجا </w:t>
      </w:r>
      <w:r>
        <w:rPr>
          <w:rFonts w:ascii="Sakkal Majalla" w:cs="Sakkal Majalla" w:hAnsi="Sakkal Majalla"/>
          <w:sz w:val="28"/>
          <w:szCs w:val="28"/>
        </w:rPr>
        <w:t>SPSS</w:t>
      </w:r>
      <w:r>
        <w:rPr>
          <w:rFonts w:ascii="Sakkal Majalla" w:cs="Sakkal Majalla" w:hAnsi="Sakkal Majalla"/>
          <w:sz w:val="28"/>
          <w:szCs w:val="28"/>
          <w:rtl/>
        </w:rPr>
        <w:t xml:space="preserve"> الإصدار 28 و</w:t>
      </w:r>
      <w:r>
        <w:rPr>
          <w:rFonts w:ascii="Sakkal Majalla" w:cs="Sakkal Majalla" w:hAnsi="Sakkal Majalla"/>
          <w:sz w:val="28"/>
          <w:szCs w:val="28"/>
        </w:rPr>
        <w:t>AMOS</w:t>
      </w:r>
      <w:r>
        <w:rPr>
          <w:rFonts w:ascii="Sakkal Majalla" w:cs="Sakkal Majalla" w:hAnsi="Sakkal Majalla"/>
          <w:sz w:val="28"/>
          <w:szCs w:val="28"/>
          <w:rtl/>
        </w:rPr>
        <w:t xml:space="preserve"> الإصدار 26 للتحليل الهيكلي وتحليل المسار. وتوصل الباحثون إلى عدد من النتائج، أبرزها وجود ارتباط مباشر قوي بين متغيرات البحث، وأن للقوى العاملة المرنة تأثيرًا غير مباشر كبيرًا على العلاقة بين تبني مرونة الموارد البشرية وتحسين الأداء المستدام. استند الباحثون في نتائج دراستهم إلى عدد من المقترحات لتعزيز الاستجابة لمتطلبات العمل. ويتمثل أهم هذه المقترحات في إيلاء المؤسسة الصحية قيد الدراسة اهتمامًا أكبر بتوفير قوة عاملة مرنة، إذ تُعدّ هذه القوة أساسية لاستمرارية العمل، لا سيما في ظروف العمل الشاقة. إضافةً إلى ذلك، تُشجع هذه الاستراتيجية على اكتساب مهارات جديدة بسرعة، وتُمكّن العاملين على جميع المستويات من المشاركة في عمليات صنع القرار الرامية إلى تحسين الأداء التشغيلي.</w:t>
      </w:r>
    </w:p>
    <w:p>
      <w:pPr>
        <w:pStyle w:val="style0"/>
        <w:spacing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تهدف دراسة</w:t>
      </w:r>
      <w:r>
        <w:rPr>
          <w:rFonts w:ascii="Sakkal Majalla" w:cs="Sakkal Majalla" w:hAnsi="Sakkal Majalla"/>
          <w:sz w:val="28"/>
          <w:szCs w:val="28"/>
        </w:rPr>
        <w:t xml:space="preserve"> </w:t>
      </w:r>
      <w:r>
        <w:rPr>
          <w:rFonts w:ascii="Sakkal Majalla" w:cs="Sakkal Majalla" w:hAnsi="Sakkal Majalla"/>
          <w:sz w:val="28"/>
          <w:szCs w:val="28"/>
          <w:rtl/>
        </w:rPr>
        <w:fldChar w:fldCharType="begin"/>
      </w:r>
      <w:r>
        <w:rPr>
          <w:rFonts w:ascii="Sakkal Majalla" w:cs="Sakkal Majalla" w:hAnsi="Sakkal Majalla"/>
          <w:sz w:val="28"/>
          <w:szCs w:val="28"/>
        </w:rPr>
        <w:instrText xml:space="preserve"> CITATION Alw24 \l 1033 </w:instrText>
      </w:r>
      <w:r>
        <w:rPr>
          <w:rFonts w:ascii="Sakkal Majalla" w:cs="Sakkal Majalla" w:hAnsi="Sakkal Majalla"/>
          <w:sz w:val="28"/>
          <w:szCs w:val="28"/>
          <w:rtl/>
        </w:rPr>
        <w:fldChar w:fldCharType="separate"/>
      </w:r>
      <w:r>
        <w:rPr>
          <w:rFonts w:ascii="Sakkal Majalla" w:cs="Sakkal Majalla" w:hAnsi="Sakkal Majalla"/>
          <w:noProof/>
          <w:sz w:val="28"/>
          <w:szCs w:val="28"/>
        </w:rPr>
        <w:t>(Alwan, 2024)</w:t>
      </w:r>
      <w:r>
        <w:rPr>
          <w:rFonts w:ascii="Sakkal Majalla" w:cs="Sakkal Majalla" w:hAnsi="Sakkal Majalla"/>
          <w:sz w:val="28"/>
          <w:szCs w:val="28"/>
          <w:rtl/>
        </w:rPr>
        <w:fldChar w:fldCharType="end"/>
      </w:r>
      <w:r>
        <w:rPr>
          <w:rFonts w:ascii="Sakkal Majalla" w:cs="Sakkal Majalla" w:hAnsi="Sakkal Majalla"/>
          <w:sz w:val="28"/>
          <w:szCs w:val="28"/>
          <w:rtl/>
        </w:rPr>
        <w:t xml:space="preserve">، التي أُجريت في مؤسسة الرعاية الصحية بالمرقد الحسيني بمدينة كربلاء المقدسة، إلى بحث دور مرونة القوى العاملة كوسيط في تعزيز العلاقة بين مرونة الموارد البشرية وتحسين الأداء المستدام. وتتمحور المشكلة البحثية الرئيسية حول السؤال التالي: هل يُسهم تطبيق مرونة الموارد البشرية في تحسين أداء المؤسسة الصحية؟ استُخدم استبيان مُصمم خصيصًا لهذا الغرض، وأُجريت الدراسة في مؤسسة الرعاية الصحية بالمرقد الحسيني بمدينة كربلاء المقدسة، على عينة عشوائية مكونة من 144 موظفًا من أصل 220 موظفًا في مجتمع الدراسة. وتم تحليل البيانات باستخدام أساليب إحصائية، مثل نمذجة المعادلات. واستُخدم برنامجا </w:t>
      </w:r>
      <w:r>
        <w:rPr>
          <w:rFonts w:ascii="Sakkal Majalla" w:cs="Sakkal Majalla" w:hAnsi="Sakkal Majalla"/>
          <w:sz w:val="28"/>
          <w:szCs w:val="28"/>
        </w:rPr>
        <w:t>AMOS</w:t>
      </w:r>
      <w:r>
        <w:rPr>
          <w:rFonts w:ascii="Sakkal Majalla" w:cs="Sakkal Majalla" w:hAnsi="Sakkal Majalla"/>
          <w:sz w:val="28"/>
          <w:szCs w:val="28"/>
          <w:rtl/>
        </w:rPr>
        <w:t xml:space="preserve"> الإصدار 26 و</w:t>
      </w:r>
      <w:r>
        <w:rPr>
          <w:rFonts w:ascii="Sakkal Majalla" w:cs="Sakkal Majalla" w:hAnsi="Sakkal Majalla"/>
          <w:sz w:val="28"/>
          <w:szCs w:val="28"/>
        </w:rPr>
        <w:t>SPSS</w:t>
      </w:r>
      <w:r>
        <w:rPr>
          <w:rFonts w:ascii="Sakkal Majalla" w:cs="Sakkal Majalla" w:hAnsi="Sakkal Majalla"/>
          <w:sz w:val="28"/>
          <w:szCs w:val="28"/>
          <w:rtl/>
        </w:rPr>
        <w:t xml:space="preserve"> الإصدار 28 للتحليل الهيكلي وتحليل المسار. وخلص الباحثون إلى عدد من النتائج، أبرزها وجود ارتباط مباشر قوي بين متغيرات البحث، وأن لمرونة القوى العاملة تأثيرًا غير مباشر كبيرًا على العلاقة بين تطبيق مرونة الموارد البشرية وتحسين الأداء المستدام. قدّم الباحثون عدداً من المقترحات لتعزيز الاستجابة لمتطلبات العمل في ضوء هذه النتائج. ويتمثل أهم هذه المقترحات في إيلاء المؤسسة الصحية قيد الدراسة مزيداً من الاهتمام لامتلاك قوة عاملة مرنة، لأن هذه القوة ضرورية لاستمرارية العمل، لا سيما في ظروف العمل الصعبة. إضافةً إلى ذلك، تُسهّل هذه الاستراتيجية اكتساب مهارات جديدة بسرعة، وتُمكّن العاملين على جميع المستويات من المشاركة في عمليات صنع القرار التي تهدف إلى تحسين الأداء التشغيلي.</w:t>
      </w:r>
    </w:p>
    <w:p>
      <w:pPr>
        <w:pStyle w:val="style0"/>
        <w:spacing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تقارن دراسة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Pr>
        <w:instrText xml:space="preserve"> CITATION Qaw25 \l 1033 </w:instrText>
      </w:r>
      <w:r>
        <w:rPr>
          <w:rFonts w:ascii="Sakkal Majalla" w:cs="Sakkal Majalla" w:hAnsi="Sakkal Majalla"/>
          <w:sz w:val="28"/>
          <w:szCs w:val="28"/>
          <w:rtl/>
        </w:rPr>
        <w:fldChar w:fldCharType="separate"/>
      </w:r>
      <w:r>
        <w:rPr>
          <w:rFonts w:ascii="Sakkal Majalla" w:cs="Sakkal Majalla" w:hAnsi="Sakkal Majalla"/>
          <w:noProof/>
          <w:sz w:val="28"/>
          <w:szCs w:val="28"/>
        </w:rPr>
        <w:t>(Qawasmeh, 2025)</w:t>
      </w:r>
      <w:r>
        <w:rPr>
          <w:rFonts w:ascii="Sakkal Majalla" w:cs="Sakkal Majalla" w:hAnsi="Sakkal Majalla"/>
          <w:sz w:val="28"/>
          <w:szCs w:val="28"/>
          <w:rtl/>
        </w:rPr>
        <w:fldChar w:fldCharType="end"/>
      </w:r>
      <w:r>
        <w:rPr>
          <w:rFonts w:ascii="Sakkal Majalla" w:cs="Sakkal Majalla" w:hAnsi="Sakkal Majalla"/>
          <w:sz w:val="28"/>
          <w:szCs w:val="28"/>
          <w:rtl/>
        </w:rPr>
        <w:t xml:space="preserve"> بين الكليات الأردنية والسعودية لتحديد كيفية تأثير ممارسات إدارة الموارد البشرية على أداء العاملين. مثّل المشاركون في عينة الدراسة، وعددهم 600، مجموعة متنوعة من المناصب والتخصصات الأكاديمية، بواقع 300 أكاديمي من مؤسسات سعودية و300 من جامعات أردنية. استُخدم </w:t>
      </w:r>
      <w:r>
        <w:rPr>
          <w:rFonts w:ascii="Sakkal Majalla" w:cs="Sakkal Majalla" w:hAnsi="Sakkal Majalla" w:hint="cs"/>
          <w:sz w:val="28"/>
          <w:szCs w:val="28"/>
          <w:rtl/>
        </w:rPr>
        <w:t>استبانة</w:t>
      </w:r>
      <w:r>
        <w:rPr>
          <w:rFonts w:ascii="Sakkal Majalla" w:cs="Sakkal Majalla" w:hAnsi="Sakkal Majalla"/>
          <w:sz w:val="28"/>
          <w:szCs w:val="28"/>
          <w:rtl/>
        </w:rPr>
        <w:t xml:space="preserve"> </w:t>
      </w:r>
      <w:r>
        <w:rPr>
          <w:rFonts w:ascii="Sakkal Majalla" w:cs="Sakkal Majalla" w:hAnsi="Sakkal Majalla" w:hint="cs"/>
          <w:sz w:val="28"/>
          <w:szCs w:val="28"/>
          <w:rtl/>
        </w:rPr>
        <w:t>مهيكلة</w:t>
      </w:r>
      <w:r>
        <w:rPr>
          <w:rFonts w:ascii="Sakkal Majalla" w:cs="Sakkal Majalla" w:hAnsi="Sakkal Majalla"/>
          <w:sz w:val="28"/>
          <w:szCs w:val="28"/>
          <w:rtl/>
        </w:rPr>
        <w:t xml:space="preserve"> كأداة رئيسية لجمع البيانات، حيث اعتمدت الدراسة تصميمًا بحثيًا مقارنًا مقطعيًا. شمل</w:t>
      </w:r>
      <w:r>
        <w:rPr>
          <w:rFonts w:ascii="Sakkal Majalla" w:cs="Sakkal Majalla" w:hAnsi="Sakkal Majalla" w:hint="cs"/>
          <w:sz w:val="28"/>
          <w:szCs w:val="28"/>
          <w:rtl/>
          <w:lang w:bidi="ar-EG"/>
        </w:rPr>
        <w:t>ت</w:t>
      </w:r>
      <w:r>
        <w:rPr>
          <w:rFonts w:ascii="Sakkal Majalla" w:cs="Sakkal Majalla" w:hAnsi="Sakkal Majalla"/>
          <w:sz w:val="28"/>
          <w:szCs w:val="28"/>
          <w:rtl/>
        </w:rPr>
        <w:t xml:space="preserve"> </w:t>
      </w:r>
      <w:r>
        <w:rPr>
          <w:rFonts w:ascii="Sakkal Majalla" w:cs="Sakkal Majalla" w:hAnsi="Sakkal Majalla" w:hint="cs"/>
          <w:sz w:val="28"/>
          <w:szCs w:val="28"/>
          <w:rtl/>
        </w:rPr>
        <w:t>الاستبانة</w:t>
      </w:r>
      <w:r>
        <w:rPr>
          <w:rFonts w:ascii="Sakkal Majalla" w:cs="Sakkal Majalla" w:hAnsi="Sakkal Majalla"/>
          <w:sz w:val="28"/>
          <w:szCs w:val="28"/>
          <w:rtl/>
        </w:rPr>
        <w:t xml:space="preserve"> مقاييس مُعتمدة لتقييم مؤشرات أداء الموظفين (الإنتاجية، والرضا الوظيفي، والالتزام) وإجراءات إدارة الموارد البشرية (التوظيف، والتدريب، وتقييم الأداء، والمكافآت، وتطوير الموظفين). قُسّم </w:t>
      </w:r>
      <w:r>
        <w:rPr>
          <w:rFonts w:ascii="Sakkal Majalla" w:cs="Sakkal Majalla" w:hAnsi="Sakkal Majalla" w:hint="cs"/>
          <w:sz w:val="28"/>
          <w:szCs w:val="28"/>
          <w:rtl/>
        </w:rPr>
        <w:t>الاستبانة</w:t>
      </w:r>
      <w:r>
        <w:rPr>
          <w:rFonts w:ascii="Sakkal Majalla" w:cs="Sakkal Majalla" w:hAnsi="Sakkal Majalla"/>
          <w:sz w:val="28"/>
          <w:szCs w:val="28"/>
          <w:rtl/>
        </w:rPr>
        <w:t xml:space="preserve"> إلى قسمين: تناول الأول استخدام أساليب إدارة الموارد البشرية وفعاليتها المُدركة، بينما قيّم الثاني مقاييس أداء الموظفين لتحديد الالتزام الأكاديمي، والرضا الوظيفي، والإنتاجية. أظهرت مقارنة ممارسات إدارة الموارد البشرية في الجامعات السعودية والأردنية اتجاهات مختلفة. فقد أولى كلا البلدين، بدرجات متفاوتة، اهتمامًا كبيرًا بتقييم الأداء والتدريب. والجدير بالذكر أن الجامعات السعودية أظهرت تركيزًا أكبر على أنظمة التعويض. في كلتا الحالتين، وجدت الدراسة علاقات وثيقة بين مؤشرات أداء الموظفين وأساليب إدارة الموارد البشرية. ففي الجامعات الأردنية، ارتبطت برامج التدريب ارتباطًا إيجابيًا قويًا بكل من الرضا الوظيفي والإنتاجية؛ بينما كان تأثير التعويضات على الإنتاجية أكثر وضوحًا في الجامعات السعودية. وقدّمت الدراسة مقترحات لوضع خطط مخصصة لإدارة الموارد البشرية تراعي الفروقات الثقافية الدقيقة في كل منطقة. وتشمل هذه المقترحات: تعزيز برامج التدريب لزيادة الإنتاجية الأكاديمية والرضا الوظيفي؛ والتركيز على سياسات التعويضات لزيادة إنتاجية الموظفين في الجامعات السعودية؛ وإجراء دراسات طولية لتتبع الآثار طويلة الأجل لممارسات إدارة الموارد البشرية على أداء الموظفين؛ وتطبيق إدارة موارد بشرية تراعي الجوانب الثقافية لضمان فعاليتها في مختلف قطاعات القوى العاملة.</w:t>
      </w:r>
    </w:p>
    <w:p>
      <w:pPr>
        <w:pStyle w:val="style0"/>
        <w:spacing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تتناول دراسة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Pr>
        <w:instrText xml:space="preserve"> CITATION Abu24 \l 1033 </w:instrText>
      </w:r>
      <w:r>
        <w:rPr>
          <w:rFonts w:ascii="Sakkal Majalla" w:cs="Sakkal Majalla" w:hAnsi="Sakkal Majalla"/>
          <w:sz w:val="28"/>
          <w:szCs w:val="28"/>
          <w:rtl/>
        </w:rPr>
        <w:fldChar w:fldCharType="separate"/>
      </w:r>
      <w:r>
        <w:rPr>
          <w:rFonts w:ascii="Sakkal Majalla" w:cs="Sakkal Majalla" w:hAnsi="Sakkal Majalla"/>
          <w:noProof/>
          <w:sz w:val="28"/>
          <w:szCs w:val="28"/>
        </w:rPr>
        <w:t>(Abubakar, 2024)</w:t>
      </w:r>
      <w:r>
        <w:rPr>
          <w:rFonts w:ascii="Sakkal Majalla" w:cs="Sakkal Majalla" w:hAnsi="Sakkal Majalla"/>
          <w:sz w:val="28"/>
          <w:szCs w:val="28"/>
          <w:rtl/>
        </w:rPr>
        <w:fldChar w:fldCharType="end"/>
      </w:r>
      <w:r>
        <w:rPr>
          <w:rFonts w:ascii="Sakkal Majalla" w:cs="Sakkal Majalla" w:hAnsi="Sakkal Majalla"/>
          <w:sz w:val="28"/>
          <w:szCs w:val="28"/>
          <w:rtl/>
        </w:rPr>
        <w:t xml:space="preserve"> المتغيرات الهامة المؤثرة على التنمية المستدامة لرأس المال البشري في المملكة العربية السعودية. وتماشياً مع أهداف رؤية السعودية 2030، تتمثل مهمتها الرئيسية في دراسة العلاقات بين المتغيرات المقترحة وكيفية تأثير كل منها على بناء قوة عاملة كفؤة ومرنة وواعية اجتماعياً. وتعتمد هذه الدراسة منهجاً كمياً، باستخدام نمذجة المعادلات الهيكلية بالتربيعات الصغرى الجزئية لتحليل البيانات التي جُمعت عبر </w:t>
      </w:r>
      <w:r>
        <w:rPr>
          <w:rFonts w:ascii="Sakkal Majalla" w:cs="Sakkal Majalla" w:hAnsi="Sakkal Majalla" w:hint="cs"/>
          <w:sz w:val="28"/>
          <w:szCs w:val="28"/>
          <w:rtl/>
        </w:rPr>
        <w:t>استبانة</w:t>
      </w:r>
      <w:r>
        <w:rPr>
          <w:rFonts w:ascii="Sakkal Majalla" w:cs="Sakkal Majalla" w:hAnsi="Sakkal Majalla"/>
          <w:sz w:val="28"/>
          <w:szCs w:val="28"/>
          <w:rtl/>
        </w:rPr>
        <w:t xml:space="preserve"> إلكتروني</w:t>
      </w:r>
      <w:r>
        <w:rPr>
          <w:rFonts w:ascii="Sakkal Majalla" w:cs="Sakkal Majalla" w:hAnsi="Sakkal Majalla" w:hint="cs"/>
          <w:sz w:val="28"/>
          <w:szCs w:val="28"/>
          <w:rtl/>
          <w:lang w:bidi="ar-EG"/>
        </w:rPr>
        <w:t>ة</w:t>
      </w:r>
      <w:r>
        <w:rPr>
          <w:rFonts w:ascii="Sakkal Majalla" w:cs="Sakkal Majalla" w:hAnsi="Sakkal Majalla"/>
          <w:sz w:val="28"/>
          <w:szCs w:val="28"/>
          <w:rtl/>
        </w:rPr>
        <w:t xml:space="preserve"> شمل</w:t>
      </w:r>
      <w:r>
        <w:rPr>
          <w:rFonts w:ascii="Sakkal Majalla" w:cs="Sakkal Majalla" w:hAnsi="Sakkal Majalla" w:hint="cs"/>
          <w:sz w:val="28"/>
          <w:szCs w:val="28"/>
          <w:rtl/>
        </w:rPr>
        <w:t>ت</w:t>
      </w:r>
      <w:r>
        <w:rPr>
          <w:rFonts w:ascii="Sakkal Majalla" w:cs="Sakkal Majalla" w:hAnsi="Sakkal Majalla"/>
          <w:sz w:val="28"/>
          <w:szCs w:val="28"/>
          <w:rtl/>
        </w:rPr>
        <w:t xml:space="preserve"> 203 موظفين حكوميين سعوديين. وتُظهر النتائج أن التنمية المستدامة لرأس المال البشري تتطلب التدريب، والمشاركة المجتمعية، والدعم المؤسسي، والتكامل التكنولوجي. ومع ذلك، لم يُسهم التعلم والتعليم وتوافر الموارد في تعزيز التنمية المستدامة لرأس المال </w:t>
      </w:r>
      <w:r>
        <w:rPr>
          <w:rFonts w:ascii="Sakkal Majalla" w:cs="Sakkal Majalla" w:hAnsi="Sakkal Majalla"/>
          <w:sz w:val="28"/>
          <w:szCs w:val="28"/>
          <w:rtl/>
        </w:rPr>
        <w:t>البشري في المملكة العربية السعودية، ولم تكن هذه العوامل ذات دلالة إحصائية. وتُبرز النتائج أهمية وجود إطار تعليمي يتجاوز النظرة التقليدية، ويركز على كلٍ من الإعداد الأكاديمي والتنمية الشاملة للأفراد. ومن خلال تنمية مواطنين أكفاء ومرنين وواعيين اجتماعياً، يُسهم هذا المشروع في تعزيز المعرفة حول كيفية إحداث التدريب والمشاركة المجتمعية والدعم المؤسسي والتكامل التكنولوجي تحولاً جذرياً في بناء مستقبل المملكة العربية السعودية.</w:t>
      </w:r>
    </w:p>
    <w:p>
      <w:pPr>
        <w:pStyle w:val="style0"/>
        <w:spacing w:lineRule="auto" w:line="360"/>
        <w:ind w:firstLine="720"/>
        <w:jc w:val="both"/>
        <w:rPr>
          <w:rFonts w:ascii="Sakkal Majalla" w:cs="Sakkal Majalla" w:hAnsi="Sakkal Majalla"/>
          <w:sz w:val="28"/>
          <w:szCs w:val="28"/>
        </w:rPr>
      </w:pPr>
      <w:r>
        <w:rPr>
          <w:rFonts w:ascii="Sakkal Majalla" w:cs="Sakkal Majalla" w:hAnsi="Sakkal Majalla"/>
          <w:sz w:val="28"/>
          <w:szCs w:val="28"/>
          <w:rtl/>
        </w:rPr>
        <w:t>تسعى دراسة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Pr>
        <w:instrText xml:space="preserve"> CITATION Alq23 \l 1033 </w:instrText>
      </w:r>
      <w:r>
        <w:rPr>
          <w:rFonts w:ascii="Sakkal Majalla" w:cs="Sakkal Majalla" w:hAnsi="Sakkal Majalla"/>
          <w:sz w:val="28"/>
          <w:szCs w:val="28"/>
          <w:rtl/>
        </w:rPr>
        <w:fldChar w:fldCharType="separate"/>
      </w:r>
      <w:r>
        <w:rPr>
          <w:rFonts w:ascii="Sakkal Majalla" w:cs="Sakkal Majalla" w:hAnsi="Sakkal Majalla"/>
          <w:noProof/>
          <w:sz w:val="28"/>
          <w:szCs w:val="28"/>
        </w:rPr>
        <w:t>(Alqarni, 2023)</w:t>
      </w:r>
      <w:r>
        <w:rPr>
          <w:rFonts w:ascii="Sakkal Majalla" w:cs="Sakkal Majalla" w:hAnsi="Sakkal Majalla"/>
          <w:sz w:val="28"/>
          <w:szCs w:val="28"/>
          <w:rtl/>
        </w:rPr>
        <w:fldChar w:fldCharType="end"/>
      </w:r>
      <w:r>
        <w:rPr>
          <w:rFonts w:ascii="Sakkal Majalla" w:cs="Sakkal Majalla" w:hAnsi="Sakkal Majalla"/>
          <w:sz w:val="28"/>
          <w:szCs w:val="28"/>
          <w:rtl/>
        </w:rPr>
        <w:t xml:space="preserve">، من خلال دمج الابتكار المستدام والمرونة التنظيمية كعناصر وسيطة، إلى فهم كيفية تأثير أنظمة إدارة الموارد البشرية الإلكترونية على اكتساب ميزة تنافسية مستدامة في قطاعي السياحة والضيافة. يتعين على شركات السياحة والضيافة تبني التحول الرقمي عبر ممارسات إدارة الموارد البشرية الإلكترونية، بما في ذلك التدريب عبر الإنترنت، والتوظيف الرقمي، وأنظمة إدارة الأداء، للحفاظ على قدرتها التنافسية. ويمكن للشركات الحفاظ على ميزة تنافسية مستدامة وتحسين الأداء التنظيمي العام من خلال تعزيز إجراءات صنع القرار وزيادة فعالية وكفاءة إدارات الموارد البشرية. شارك في </w:t>
      </w:r>
      <w:r>
        <w:rPr>
          <w:rFonts w:ascii="Sakkal Majalla" w:cs="Sakkal Majalla" w:hAnsi="Sakkal Majalla" w:hint="cs"/>
          <w:sz w:val="28"/>
          <w:szCs w:val="28"/>
          <w:rtl/>
        </w:rPr>
        <w:t>الاستبانة</w:t>
      </w:r>
      <w:r>
        <w:rPr>
          <w:rFonts w:ascii="Sakkal Majalla" w:cs="Sakkal Majalla" w:hAnsi="Sakkal Majalla"/>
          <w:sz w:val="28"/>
          <w:szCs w:val="28"/>
          <w:rtl/>
        </w:rPr>
        <w:t xml:space="preserve"> مديرون من المستويين المتوسط </w:t>
      </w:r>
      <w:r>
        <w:rPr>
          <w:rFonts w:ascii="Times New Roman" w:cs="Times New Roman" w:hAnsi="Times New Roman" w:hint="cs"/>
          <w:sz w:val="28"/>
          <w:szCs w:val="28"/>
          <w:rtl/>
        </w:rPr>
        <w:t>​​</w:t>
      </w:r>
      <w:r>
        <w:rPr>
          <w:rFonts w:ascii="Sakkal Majalla" w:cs="Sakkal Majalla" w:hAnsi="Sakkal Majalla" w:hint="cs"/>
          <w:sz w:val="28"/>
          <w:szCs w:val="28"/>
          <w:rtl/>
        </w:rPr>
        <w:t>والعالي</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فنادق</w:t>
      </w:r>
      <w:r>
        <w:rPr>
          <w:rFonts w:ascii="Sakkal Majalla" w:cs="Sakkal Majalla" w:hAnsi="Sakkal Majalla"/>
          <w:sz w:val="28"/>
          <w:szCs w:val="28"/>
          <w:rtl/>
        </w:rPr>
        <w:t xml:space="preserve"> </w:t>
      </w:r>
      <w:r>
        <w:rPr>
          <w:rFonts w:ascii="Sakkal Majalla" w:cs="Sakkal Majalla" w:hAnsi="Sakkal Majalla" w:hint="cs"/>
          <w:sz w:val="28"/>
          <w:szCs w:val="28"/>
          <w:rtl/>
        </w:rPr>
        <w:t>خمس</w:t>
      </w:r>
      <w:r>
        <w:rPr>
          <w:rFonts w:ascii="Sakkal Majalla" w:cs="Sakkal Majalla" w:hAnsi="Sakkal Majalla"/>
          <w:sz w:val="28"/>
          <w:szCs w:val="28"/>
          <w:rtl/>
        </w:rPr>
        <w:t xml:space="preserve"> </w:t>
      </w:r>
      <w:r>
        <w:rPr>
          <w:rFonts w:ascii="Sakkal Majalla" w:cs="Sakkal Majalla" w:hAnsi="Sakkal Majalla" w:hint="cs"/>
          <w:sz w:val="28"/>
          <w:szCs w:val="28"/>
          <w:rtl/>
        </w:rPr>
        <w:t>نجوم</w:t>
      </w:r>
      <w:r>
        <w:rPr>
          <w:rFonts w:ascii="Sakkal Majalla" w:cs="Sakkal Majalla" w:hAnsi="Sakkal Majalla"/>
          <w:sz w:val="28"/>
          <w:szCs w:val="28"/>
          <w:rtl/>
        </w:rPr>
        <w:t xml:space="preserve"> </w:t>
      </w:r>
      <w:r>
        <w:rPr>
          <w:rFonts w:ascii="Sakkal Majalla" w:cs="Sakkal Majalla" w:hAnsi="Sakkal Majalla" w:hint="cs"/>
          <w:sz w:val="28"/>
          <w:szCs w:val="28"/>
          <w:rtl/>
        </w:rPr>
        <w:t>وشركات</w:t>
      </w:r>
      <w:r>
        <w:rPr>
          <w:rFonts w:ascii="Sakkal Majalla" w:cs="Sakkal Majalla" w:hAnsi="Sakkal Majalla"/>
          <w:sz w:val="28"/>
          <w:szCs w:val="28"/>
          <w:rtl/>
        </w:rPr>
        <w:t xml:space="preserve"> </w:t>
      </w:r>
      <w:r>
        <w:rPr>
          <w:rFonts w:ascii="Sakkal Majalla" w:cs="Sakkal Majalla" w:hAnsi="Sakkal Majalla" w:hint="cs"/>
          <w:sz w:val="28"/>
          <w:szCs w:val="28"/>
          <w:rtl/>
        </w:rPr>
        <w:t>سفر</w:t>
      </w:r>
      <w:r>
        <w:rPr>
          <w:rFonts w:ascii="Sakkal Majalla" w:cs="Sakkal Majalla" w:hAnsi="Sakkal Majalla"/>
          <w:sz w:val="28"/>
          <w:szCs w:val="28"/>
          <w:rtl/>
        </w:rPr>
        <w:t xml:space="preserve"> </w:t>
      </w:r>
      <w:r>
        <w:rPr>
          <w:rFonts w:ascii="Sakkal Majalla" w:cs="Sakkal Majalla" w:hAnsi="Sakkal Majalla" w:hint="cs"/>
          <w:sz w:val="28"/>
          <w:szCs w:val="28"/>
          <w:rtl/>
        </w:rPr>
        <w:t>من</w:t>
      </w:r>
      <w:r>
        <w:rPr>
          <w:rFonts w:ascii="Sakkal Majalla" w:cs="Sakkal Majalla" w:hAnsi="Sakkal Majalla"/>
          <w:sz w:val="28"/>
          <w:szCs w:val="28"/>
          <w:rtl/>
        </w:rPr>
        <w:t xml:space="preserve"> </w:t>
      </w:r>
      <w:r>
        <w:rPr>
          <w:rFonts w:ascii="Sakkal Majalla" w:cs="Sakkal Majalla" w:hAnsi="Sakkal Majalla" w:hint="cs"/>
          <w:sz w:val="28"/>
          <w:szCs w:val="28"/>
          <w:rtl/>
        </w:rPr>
        <w:t>الفئة</w:t>
      </w:r>
      <w:r>
        <w:rPr>
          <w:rFonts w:ascii="Sakkal Majalla" w:cs="Sakkal Majalla" w:hAnsi="Sakkal Majalla"/>
          <w:sz w:val="28"/>
          <w:szCs w:val="28"/>
          <w:rtl/>
        </w:rPr>
        <w:t xml:space="preserve"> (</w:t>
      </w:r>
      <w:r>
        <w:rPr>
          <w:rFonts w:ascii="Sakkal Majalla" w:cs="Sakkal Majalla" w:hAnsi="Sakkal Majalla" w:hint="cs"/>
          <w:sz w:val="28"/>
          <w:szCs w:val="28"/>
          <w:rtl/>
        </w:rPr>
        <w:t>أ</w:t>
      </w:r>
      <w:r>
        <w:rPr>
          <w:rFonts w:ascii="Sakkal Majalla" w:cs="Sakkal Majalla" w:hAnsi="Sakkal Majalla"/>
          <w:sz w:val="28"/>
          <w:szCs w:val="28"/>
          <w:rtl/>
        </w:rPr>
        <w:t xml:space="preserve">) </w:t>
      </w:r>
      <w:r>
        <w:rPr>
          <w:rFonts w:ascii="Sakkal Majalla" w:cs="Sakkal Majalla" w:hAnsi="Sakkal Majalla" w:hint="cs"/>
          <w:sz w:val="28"/>
          <w:szCs w:val="28"/>
          <w:rtl/>
        </w:rPr>
        <w:t>في</w:t>
      </w:r>
      <w:r>
        <w:rPr>
          <w:rFonts w:ascii="Sakkal Majalla" w:cs="Sakkal Majalla" w:hAnsi="Sakkal Majalla"/>
          <w:sz w:val="28"/>
          <w:szCs w:val="28"/>
          <w:rtl/>
        </w:rPr>
        <w:t xml:space="preserve"> </w:t>
      </w:r>
      <w:r>
        <w:rPr>
          <w:rFonts w:ascii="Sakkal Majalla" w:cs="Sakkal Majalla" w:hAnsi="Sakkal Majalla" w:hint="cs"/>
          <w:sz w:val="28"/>
          <w:szCs w:val="28"/>
          <w:rtl/>
        </w:rPr>
        <w:t>مصر</w:t>
      </w:r>
      <w:r>
        <w:rPr>
          <w:rFonts w:ascii="Sakkal Majalla" w:cs="Sakkal Majalla" w:hAnsi="Sakkal Majalla"/>
          <w:sz w:val="28"/>
          <w:szCs w:val="28"/>
          <w:rtl/>
        </w:rPr>
        <w:t xml:space="preserve">. </w:t>
      </w:r>
      <w:r>
        <w:rPr>
          <w:rFonts w:ascii="Sakkal Majalla" w:cs="Sakkal Majalla" w:hAnsi="Sakkal Majalla" w:hint="cs"/>
          <w:sz w:val="28"/>
          <w:szCs w:val="28"/>
          <w:rtl/>
        </w:rPr>
        <w:t>تم</w:t>
      </w:r>
      <w:r>
        <w:rPr>
          <w:rFonts w:ascii="Sakkal Majalla" w:cs="Sakkal Majalla" w:hAnsi="Sakkal Majalla"/>
          <w:sz w:val="28"/>
          <w:szCs w:val="28"/>
          <w:rtl/>
        </w:rPr>
        <w:t xml:space="preserve"> </w:t>
      </w:r>
      <w:r>
        <w:rPr>
          <w:rFonts w:ascii="Sakkal Majalla" w:cs="Sakkal Majalla" w:hAnsi="Sakkal Majalla" w:hint="cs"/>
          <w:sz w:val="28"/>
          <w:szCs w:val="28"/>
          <w:rtl/>
        </w:rPr>
        <w:t>جمع</w:t>
      </w:r>
      <w:r>
        <w:rPr>
          <w:rFonts w:ascii="Sakkal Majalla" w:cs="Sakkal Majalla" w:hAnsi="Sakkal Majalla"/>
          <w:sz w:val="28"/>
          <w:szCs w:val="28"/>
          <w:rtl/>
        </w:rPr>
        <w:t xml:space="preserve"> 313 </w:t>
      </w:r>
      <w:r>
        <w:rPr>
          <w:rFonts w:ascii="Sakkal Majalla" w:cs="Sakkal Majalla" w:hAnsi="Sakkal Majalla" w:hint="cs"/>
          <w:sz w:val="28"/>
          <w:szCs w:val="28"/>
          <w:rtl/>
        </w:rPr>
        <w:t>استجابة</w:t>
      </w:r>
      <w:r>
        <w:rPr>
          <w:rFonts w:ascii="Sakkal Majalla" w:cs="Sakkal Majalla" w:hAnsi="Sakkal Majalla"/>
          <w:sz w:val="28"/>
          <w:szCs w:val="28"/>
          <w:rtl/>
        </w:rPr>
        <w:t xml:space="preserve"> </w:t>
      </w:r>
      <w:r>
        <w:rPr>
          <w:rFonts w:ascii="Sakkal Majalla" w:cs="Sakkal Majalla" w:hAnsi="Sakkal Majalla" w:hint="cs"/>
          <w:sz w:val="28"/>
          <w:szCs w:val="28"/>
          <w:rtl/>
        </w:rPr>
        <w:t>صالحة</w:t>
      </w:r>
      <w:r>
        <w:rPr>
          <w:rFonts w:ascii="Sakkal Majalla" w:cs="Sakkal Majalla" w:hAnsi="Sakkal Majalla"/>
          <w:sz w:val="28"/>
          <w:szCs w:val="28"/>
          <w:rtl/>
        </w:rPr>
        <w:t xml:space="preserve"> </w:t>
      </w:r>
      <w:r>
        <w:rPr>
          <w:rFonts w:ascii="Sakkal Majalla" w:cs="Sakkal Majalla" w:hAnsi="Sakkal Majalla" w:hint="cs"/>
          <w:sz w:val="28"/>
          <w:szCs w:val="28"/>
          <w:rtl/>
        </w:rPr>
        <w:t>باستخدام</w:t>
      </w:r>
      <w:r>
        <w:rPr>
          <w:rFonts w:ascii="Sakkal Majalla" w:cs="Sakkal Majalla" w:hAnsi="Sakkal Majalla"/>
          <w:sz w:val="28"/>
          <w:szCs w:val="28"/>
          <w:rtl/>
        </w:rPr>
        <w:t xml:space="preserve"> </w:t>
      </w:r>
      <w:r>
        <w:rPr>
          <w:rFonts w:ascii="Sakkal Majalla" w:cs="Sakkal Majalla" w:hAnsi="Sakkal Majalla" w:hint="cs"/>
          <w:sz w:val="28"/>
          <w:szCs w:val="28"/>
          <w:rtl/>
        </w:rPr>
        <w:t>برنامج</w:t>
      </w:r>
      <w:r>
        <w:rPr>
          <w:rFonts w:ascii="Sakkal Majalla" w:cs="Sakkal Majalla" w:hAnsi="Sakkal Majalla"/>
          <w:sz w:val="28"/>
          <w:szCs w:val="28"/>
          <w:rtl/>
        </w:rPr>
        <w:t xml:space="preserve"> </w:t>
      </w:r>
      <w:r>
        <w:rPr>
          <w:rFonts w:ascii="Sakkal Majalla" w:cs="Sakkal Majalla" w:hAnsi="Sakkal Majalla"/>
          <w:sz w:val="28"/>
          <w:szCs w:val="28"/>
        </w:rPr>
        <w:t>WarpPLS 7.0</w:t>
      </w:r>
      <w:r>
        <w:rPr>
          <w:rFonts w:ascii="Sakkal Majalla" w:cs="Sakkal Majalla" w:hAnsi="Sakkal Majalla"/>
          <w:sz w:val="28"/>
          <w:szCs w:val="28"/>
          <w:rtl/>
        </w:rPr>
        <w:t xml:space="preserve">، وخضعت لتحليل </w:t>
      </w:r>
      <w:r>
        <w:rPr>
          <w:rFonts w:ascii="Sakkal Majalla" w:cs="Sakkal Majalla" w:hAnsi="Sakkal Majalla"/>
          <w:sz w:val="28"/>
          <w:szCs w:val="28"/>
        </w:rPr>
        <w:t>PLS-SEM</w:t>
      </w:r>
      <w:r>
        <w:rPr>
          <w:rFonts w:ascii="Sakkal Majalla" w:cs="Sakkal Majalla" w:hAnsi="Sakkal Majalla"/>
          <w:sz w:val="28"/>
          <w:szCs w:val="28"/>
          <w:rtl/>
        </w:rPr>
        <w:t>. أظهرت النتائج وجود علاقة إيجابية بين الابتكار المستدام والمرونة التنظيمية، وكذلك بين إدارة الموارد البشرية الإلكترونية والميزة التنافسية المستدامة. بالإضافة إلى ذلك، وُجد أن الابتكار المستدام والمرونة التنظيمية والميزة التنافسية المستدامة مرتبطة ارتباطًا إيجابيًا. كما أظهرت النتائج أن العلاقة بين إدارة الموارد البشرية الإلكترونية والميزة التنافسية المستدامة تتوسطها المرونة التنظيمية والابتكار المستدام. تُضيف هذه الدراسة إلى المعرفة المتراكمة حول تأثير إدارة الموارد البشرية الإلكترونية على الميزة التنافسية، والمرونة التنظيمية، واستدامة الشركات. ولم يسبق لأي دراسة تجريبية أن تناولت العلاقة بين هذه العناصر في قطاعي الفنادق والسياحة. ومن خلال إجراء تحليل فعلي لهذه الروابط في سياق الفنادق ووكالات السفر المصرية، تسدّ هذه الدراسة هذه الفجوة. كما تتناول الدراسة، في سياق الاستدامة في قطاعي السياحة والفنادق، إدارة الموارد البشرية الإلكترونية، والابتكار، والمرونة التنظيمية، والميزة التنافسية.</w:t>
      </w:r>
    </w:p>
    <w:p>
      <w:pPr>
        <w:pStyle w:val="style0"/>
        <w:spacing w:lineRule="auto" w:line="360"/>
        <w:ind w:firstLine="720"/>
        <w:jc w:val="both"/>
        <w:rPr>
          <w:rFonts w:ascii="Sakkal Majalla" w:cs="Sakkal Majalla" w:hAnsi="Sakkal Majalla"/>
          <w:sz w:val="28"/>
          <w:szCs w:val="28"/>
        </w:rPr>
      </w:pPr>
      <w:r>
        <w:rPr>
          <w:rFonts w:ascii="Sakkal Majalla" w:cs="Sakkal Majalla" w:hAnsi="Sakkal Majalla"/>
          <w:sz w:val="28"/>
          <w:szCs w:val="28"/>
          <w:rtl/>
        </w:rPr>
        <w:t xml:space="preserve">بدأت المملكة العربية السعودية مؤخرًا سلسلة من الإصلاحات الطموحة الرامية إلى تحسين وضع المرأة السعودية في الاقتصاد والمجتمع، سعيًا منها لتسريع تحديث مؤسساتها الاقتصادية والاجتماعية. وفي ظل هذه التغييرات التشريعية، تبحث </w:t>
      </w:r>
      <w:r>
        <w:rPr>
          <w:rFonts w:ascii="Sakkal Majalla" w:cs="Sakkal Majalla" w:hAnsi="Sakkal Majalla"/>
          <w:sz w:val="28"/>
          <w:szCs w:val="28"/>
          <w:rtl/>
        </w:rPr>
        <w:t>هذه الدراسة في كيفية ومدى اضطلاع مديري الموارد البشرية بدور استراتيجي في تعزيز التقدم الوظيفي للمرأة. ولتحقيق ذلك، نستخدم مقابلات شبه منظمة مع مديري الموارد البشرية، مستفيدين من رؤى نظرية التنظيم ونموذج الشراكة الاستراتيجية في إدارة الموارد البشرية. وللحد من التمييز بين الجنسين وتعزيز مسيرة المرأة المهنية، نقدم أدلة واقعية تستند إلى هذه الأطر، تُظهر كيف ينتقل مديرو الموارد البشرية السعوديون تدريجيًا من مجرد مهام إدارية إلى تعاون استراتيجي. إلا أن التباينات بين صانعي السياسات وكبار المديرين ومديري الموارد البشرية، فضلًا عن اختلاف معدلات التغيير في المؤسسات المعرفية والثقافية والمعيارية والتنظيمية، تعيق هذا التحول. وتظهر هذه الفجوات كعقبات مؤسسية تُصعّب ترجمة أهداف الاقتصاد الكلي إلى تقدم اجتماعي وتقنيات إدارية تدعم التقدم المهني للمرأة السعودية</w:t>
      </w:r>
      <w:r>
        <w:rPr>
          <w:rFonts w:ascii="Sakkal Majalla" w:cs="Sakkal Majalla" w:hAnsi="Sakkal Majalla"/>
          <w:sz w:val="28"/>
          <w:szCs w:val="28"/>
          <w:rtl/>
        </w:rPr>
        <w:fldChar w:fldCharType="begin"/>
      </w:r>
      <w:r>
        <w:rPr>
          <w:rFonts w:ascii="Sakkal Majalla" w:cs="Sakkal Majalla" w:hAnsi="Sakkal Majalla"/>
          <w:sz w:val="28"/>
          <w:szCs w:val="28"/>
        </w:rPr>
        <w:instrText xml:space="preserve"> CITATION Tla22 \l 1033 </w:instrText>
      </w:r>
      <w:r>
        <w:rPr>
          <w:rFonts w:ascii="Sakkal Majalla" w:cs="Sakkal Majalla" w:hAnsi="Sakkal Majalla"/>
          <w:sz w:val="28"/>
          <w:szCs w:val="28"/>
          <w:rtl/>
        </w:rPr>
        <w:fldChar w:fldCharType="separate"/>
      </w:r>
      <w:r>
        <w:rPr>
          <w:rFonts w:ascii="Sakkal Majalla" w:cs="Sakkal Majalla" w:hAnsi="Sakkal Majalla"/>
          <w:noProof/>
          <w:sz w:val="28"/>
          <w:szCs w:val="28"/>
        </w:rPr>
        <w:t xml:space="preserve"> </w:t>
      </w:r>
      <w:r>
        <w:rPr>
          <w:rFonts w:ascii="Sakkal Majalla" w:cs="Sakkal Majalla" w:hAnsi="Sakkal Majalla"/>
          <w:noProof/>
          <w:sz w:val="28"/>
          <w:szCs w:val="28"/>
        </w:rPr>
        <w:t>(Tlaiss, 2022)</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ind w:firstLine="720"/>
        <w:jc w:val="both"/>
        <w:rPr>
          <w:rFonts w:ascii="Sakkal Majalla" w:cs="Sakkal Majalla" w:hAnsi="Sakkal Majalla"/>
          <w:sz w:val="28"/>
          <w:szCs w:val="28"/>
        </w:rPr>
      </w:pPr>
      <w:r>
        <w:rPr>
          <w:rFonts w:ascii="Sakkal Majalla" w:cs="Sakkal Majalla" w:hAnsi="Sakkal Majalla"/>
          <w:sz w:val="28"/>
          <w:szCs w:val="28"/>
          <w:rtl/>
        </w:rPr>
        <w:t>هدفت دراسة</w:t>
      </w:r>
      <w:r>
        <w:rPr>
          <w:rFonts w:ascii="Sakkal Majalla" w:cs="Sakkal Majalla" w:hAnsi="Sakkal Majalla"/>
          <w:sz w:val="28"/>
          <w:szCs w:val="28"/>
        </w:rPr>
        <w:t xml:space="preserve"> </w:t>
      </w:r>
      <w:r>
        <w:rPr>
          <w:rFonts w:ascii="Sakkal Majalla" w:cs="Sakkal Majalla" w:hAnsi="Sakkal Majalla"/>
          <w:sz w:val="28"/>
          <w:szCs w:val="28"/>
          <w:rtl/>
        </w:rPr>
        <w:fldChar w:fldCharType="begin"/>
      </w:r>
      <w:r>
        <w:rPr>
          <w:rFonts w:ascii="Sakkal Majalla" w:cs="Sakkal Majalla" w:hAnsi="Sakkal Majalla"/>
          <w:sz w:val="28"/>
          <w:szCs w:val="28"/>
          <w:lang w:bidi="ar-EG"/>
        </w:rPr>
        <w:instrText xml:space="preserve"> CITATION Alt24 \l 1033 </w:instrText>
      </w:r>
      <w:r>
        <w:rPr>
          <w:rFonts w:ascii="Sakkal Majalla" w:cs="Sakkal Majalla" w:hAnsi="Sakkal Majalla"/>
          <w:sz w:val="28"/>
          <w:szCs w:val="28"/>
          <w:rtl/>
        </w:rPr>
        <w:fldChar w:fldCharType="separate"/>
      </w:r>
      <w:r>
        <w:rPr>
          <w:rFonts w:ascii="Sakkal Majalla" w:cs="Sakkal Majalla" w:hAnsi="Sakkal Majalla"/>
          <w:noProof/>
          <w:sz w:val="28"/>
          <w:szCs w:val="28"/>
          <w:lang w:bidi="ar-EG"/>
        </w:rPr>
        <w:t>(Altaee, 2024)</w:t>
      </w:r>
      <w:r>
        <w:rPr>
          <w:rFonts w:ascii="Sakkal Majalla" w:cs="Sakkal Majalla" w:hAnsi="Sakkal Majalla"/>
          <w:sz w:val="28"/>
          <w:szCs w:val="28"/>
          <w:rtl/>
        </w:rPr>
        <w:fldChar w:fldCharType="end"/>
      </w:r>
      <w:r>
        <w:rPr>
          <w:rFonts w:ascii="Sakkal Majalla" w:cs="Sakkal Majalla" w:hAnsi="Sakkal Majalla"/>
          <w:sz w:val="28"/>
          <w:szCs w:val="28"/>
          <w:rtl/>
        </w:rPr>
        <w:t xml:space="preserve"> إلى بحث تأثير ممارسات إدارة الموارد البشرية الخضراء على التوازن التنظيمي في الهيئة الأردنية للغذاء والدواء. مثّلت الأبعاد السبعة لممارسات إدارة الموارد البشرية الخضراء - التحليل الأخضر وتوصيف الوظائف، والاختيار والتوظيف الأخضر، والتدريب الأخضر، وتقييم الأداء الأخضر، والمكافآت الخضراء، ومشاركة الموظفين الخضراء، والصحة والسلامة الخضراء - المتغير المستقل، بينما مثّل بُعدا التوازن التنظيمي - الاستغلال والاستكشاف - المتغير التابع. استُخدم </w:t>
      </w:r>
      <w:r>
        <w:rPr>
          <w:rFonts w:ascii="Sakkal Majalla" w:cs="Sakkal Majalla" w:hAnsi="Sakkal Majalla" w:hint="cs"/>
          <w:sz w:val="28"/>
          <w:szCs w:val="28"/>
          <w:rtl/>
        </w:rPr>
        <w:t>استبانة</w:t>
      </w:r>
      <w:r>
        <w:rPr>
          <w:rFonts w:ascii="Sakkal Majalla" w:cs="Sakkal Majalla" w:hAnsi="Sakkal Majalla"/>
          <w:sz w:val="28"/>
          <w:szCs w:val="28"/>
          <w:rtl/>
        </w:rPr>
        <w:t xml:space="preserve"> لجمع البيانات، واستجاب 84% من موظفي الهيئة المستهدفين البالغ عددهم 260 موظفًا. مع الأسف، لم يتم استلام 41 استبيانًا - أي 16% من الإجمالي. لذلك، استُخدم 219 استبيانًا صالحًا في البحث. لاختبار فرضيتنا وتحقيق هدف الدراسة، استخدمنا منهجًا وصفيًا تحليليًا والإجراءات الإحصائية المناسبة في برنامج </w:t>
      </w:r>
      <w:r>
        <w:rPr>
          <w:rFonts w:ascii="Sakkal Majalla" w:cs="Sakkal Majalla" w:hAnsi="Sakkal Majalla"/>
          <w:sz w:val="28"/>
          <w:szCs w:val="28"/>
        </w:rPr>
        <w:t>SPSS</w:t>
      </w:r>
      <w:r>
        <w:rPr>
          <w:rFonts w:ascii="Sakkal Majalla" w:cs="Sakkal Majalla" w:hAnsi="Sakkal Majalla"/>
          <w:sz w:val="28"/>
          <w:szCs w:val="28"/>
          <w:rtl/>
        </w:rPr>
        <w:t>. أظهرت استنتاجاتنا الرئيسية أن تقييم أداء الهيئة الأردنية للغذاء والدواء تأثر بشكل كبير بتطبيق ممارسات إدارة الموارد البشرية الخضراء المحددة. شكلت جوانب إدارة الموارد البشرية الخضراء حوالي 42% من تقييم الأداء، حيث ساهم بُعد "الصحة والسلامة الخضراء" بشكل كبير. تشير دراستنا إلى ضرورة التركيز بشكل أكبر على تحسين فوائد تقييم الأداء وتطبيقاته في ضوء هذه النتائج. كما تُبرز الدراسة الحاجة إلى تطوير إجراءات إدارة الموارد البشرية الخضراء لدى إدارة الغذاء والدواء اليابانية، لا سيما تلك المتعلقة بالصحة والسلامة الخضراء.</w:t>
      </w:r>
    </w:p>
    <w:p>
      <w:pPr>
        <w:pStyle w:val="style0"/>
        <w:spacing w:after="0" w:lineRule="auto" w:line="360"/>
        <w:jc w:val="both"/>
        <w:rPr>
          <w:rFonts w:ascii="Sakkal Majalla" w:cs="Sakkal Majalla" w:eastAsia="Times New Roman" w:hAnsi="Sakkal Majalla"/>
          <w:b/>
          <w:bCs/>
          <w:color w:val="1f1f1f"/>
          <w:sz w:val="28"/>
          <w:szCs w:val="28"/>
          <w:rtl/>
        </w:rPr>
      </w:pPr>
    </w:p>
    <w:bookmarkStart w:id="46" w:name="_Toc172397787"/>
    <w:bookmarkStart w:id="47" w:name="_Toc172746100"/>
    <w:bookmarkStart w:id="48" w:name="_Toc179741538"/>
    <w:bookmarkStart w:id="49" w:name="_Toc217821167"/>
    <w:p>
      <w:pPr>
        <w:pStyle w:val="style2"/>
        <w:spacing w:lineRule="auto" w:line="360"/>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الإطار النظري</w:t>
      </w:r>
      <w:bookmarkEnd w:id="46"/>
      <w:bookmarkEnd w:id="47"/>
      <w:bookmarkEnd w:id="48"/>
      <w:r>
        <w:rPr>
          <w:rFonts w:ascii="Sakkal Majalla" w:cs="Sakkal Majalla" w:hAnsi="Sakkal Majalla" w:hint="cs"/>
          <w:b/>
          <w:bCs/>
          <w:color w:val="000000"/>
          <w:sz w:val="28"/>
          <w:szCs w:val="28"/>
          <w:rtl/>
        </w:rPr>
        <w:t xml:space="preserve"> للدراسة</w:t>
      </w:r>
      <w:bookmarkEnd w:id="10"/>
      <w:bookmarkEnd w:id="11"/>
      <w:bookmarkEnd w:id="49"/>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لفهم العلاقة بين تحقيق استدامة الوظائف والمرونة التنظيمية في إدارة الموارد البشرية، تستعين هذه الدراسة بعدد من النظريات الإدارية والتنظيمية. توفر هذه النظريات إطارًا مفاهيميًا لفهم كيفية تأثير ممارسات الإدارة المرنة على استقرار الموظفين واستمراريتهم، فضلًا عن تحليل السلوك الفردي داخل الشركات.</w:t>
      </w:r>
    </w:p>
    <w:p>
      <w:pPr>
        <w:pStyle w:val="style0"/>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1. نظرية النظم</w:t>
      </w:r>
    </w:p>
    <w:p>
      <w:pPr>
        <w:pStyle w:val="style0"/>
        <w:spacing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تُعدّ نظرية النظم نظرية أساسية لفهم السلوك التنظيمي. فهي تنظر إلى المنظمة كنظام مفتوح يتكون من عدد من المكونات المترابطة والمتفاعلة، بما في ذلك البيئة الخارجية، والهياكل التنظيمية، والتقنيات، والموارد البشرية.</w:t>
      </w:r>
    </w:p>
    <w:p>
      <w:pPr>
        <w:pStyle w:val="style0"/>
        <w:spacing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تؤكد هذه الفكرة أن إدارة الموارد البشرية تؤثر وتتأثر في الوقت نفسه بالعناصر الأخرى للمنظمة، بدلًا من أن تعمل بمعزل عنها. وبالتالي، فإن تطبيق المرونة التنظيمية في استراتيجيات الموارد البشرية (مثل التوظيف المرن أو التدريب المستمر) يُسهم في تحسين قدرة المنظمة على التكيف مع التغيرات البيئية، بما في ذلك التغيرات التقنية والاقتصادية.</w:t>
      </w:r>
    </w:p>
    <w:p>
      <w:pPr>
        <w:pStyle w:val="style0"/>
        <w:spacing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إضافةً إلى ذلك، تُعدّ استدامة التوظيف نتيجة مهمة لهذا النظام، إذ يُظهر رضا الموظفين واستقرارهم مدى كفاءة التفاعل بين مختلف أقسام الشركة. نتيجةً لذلك، تُؤدي كل زيادة في مرونة النظام إلى تحسين المخرجات، وأهمها استقرار الوظائف</w:t>
      </w:r>
      <w:r>
        <w:rPr>
          <w:rFonts w:ascii="Sakkal Majalla" w:cs="Sakkal Majalla" w:hAnsi="Sakkal Majalla"/>
          <w:sz w:val="28"/>
          <w:szCs w:val="28"/>
          <w:rtl/>
        </w:rPr>
        <w:fldChar w:fldCharType="begin"/>
      </w:r>
      <w:r>
        <w:rPr>
          <w:rFonts w:ascii="Sakkal Majalla" w:cs="Sakkal Majalla" w:hAnsi="Sakkal Majalla"/>
          <w:sz w:val="28"/>
          <w:szCs w:val="28"/>
        </w:rPr>
        <w:instrText xml:space="preserve"> CITATION Ish23 \l 1033 </w:instrText>
      </w:r>
      <w:r>
        <w:rPr>
          <w:rFonts w:ascii="Sakkal Majalla" w:cs="Sakkal Majalla" w:hAnsi="Sakkal Majalla"/>
          <w:sz w:val="28"/>
          <w:szCs w:val="28"/>
          <w:rtl/>
        </w:rPr>
        <w:fldChar w:fldCharType="separate"/>
      </w:r>
      <w:r>
        <w:rPr>
          <w:rFonts w:ascii="Sakkal Majalla" w:cs="Sakkal Majalla" w:hAnsi="Sakkal Majalla"/>
          <w:noProof/>
          <w:sz w:val="28"/>
          <w:szCs w:val="28"/>
        </w:rPr>
        <w:t xml:space="preserve"> </w:t>
      </w:r>
      <w:r>
        <w:rPr>
          <w:rFonts w:ascii="Sakkal Majalla" w:cs="Sakkal Majalla" w:hAnsi="Sakkal Majalla"/>
          <w:noProof/>
          <w:sz w:val="28"/>
          <w:szCs w:val="28"/>
        </w:rPr>
        <w:t>(Ishaq, 2023)</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2. نظرية رأس المال البشري</w:t>
      </w:r>
    </w:p>
    <w:p>
      <w:pPr>
        <w:pStyle w:val="style0"/>
        <w:spacing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وفقًا لهذه النظرية، يُعدّ الموظفون أهم مورد اقتصادي للمنظمة، ويُساعد الاستثمار في تعليمهم وتدريبهم وتطويرهم على زيادة إنتاجيتهم وتحقيق أهداف الشركة.</w:t>
      </w:r>
    </w:p>
    <w:p>
      <w:pPr>
        <w:pStyle w:val="style0"/>
        <w:spacing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في هذا السياق، تُعدّ المرونة التنظيمية أداةً فعّالةً لتعظيم قيمة رأس المال البشري، إذ تُتيح للعاملين فرصًا للتعليم المستمر وتنمية المهارات والتكيّف مع متطلبات العمل المتغيرة. كما تُساعد في إنشاء مسارات وظيفية مرنة تُكمّل مهارات الأفراد وأهدافهم.</w:t>
      </w:r>
    </w:p>
    <w:p>
      <w:pPr>
        <w:pStyle w:val="style0"/>
        <w:spacing w:lineRule="auto" w:line="360"/>
        <w:ind w:firstLine="720"/>
        <w:jc w:val="both"/>
        <w:rPr>
          <w:rFonts w:ascii="Sakkal Majalla" w:cs="Sakkal Majalla" w:hAnsi="Sakkal Majalla"/>
          <w:sz w:val="28"/>
          <w:szCs w:val="28"/>
        </w:rPr>
      </w:pPr>
      <w:r>
        <w:rPr>
          <w:rFonts w:ascii="Sakkal Majalla" w:cs="Sakkal Majalla" w:hAnsi="Sakkal Majalla"/>
          <w:sz w:val="28"/>
          <w:szCs w:val="28"/>
          <w:rtl/>
        </w:rPr>
        <w:t>يُساهم هذا الاستثمار بشكل مباشر في استدامة الوظائف، إذ يُشعر العاملين بتقدير الشركة لهم، مما يزيد من ولائهم ويُقلّل من احتمالية تركهم للعمل. لذا، يُمكن تفسير العلاقة بين المرونة التنظيمية واستدامة الوظائف بقدرة المنظمة على بناء رأس المال البشري والحفاظ عليه</w:t>
      </w:r>
      <w:r>
        <w:rPr>
          <w:rFonts w:ascii="Sakkal Majalla" w:cs="Sakkal Majalla" w:hAnsi="Sakkal Majalla"/>
          <w:sz w:val="28"/>
          <w:szCs w:val="28"/>
          <w:rtl/>
        </w:rPr>
        <w:fldChar w:fldCharType="begin"/>
      </w:r>
      <w:r>
        <w:rPr>
          <w:rFonts w:ascii="Sakkal Majalla" w:cs="Sakkal Majalla" w:hAnsi="Sakkal Majalla"/>
          <w:sz w:val="28"/>
          <w:szCs w:val="28"/>
        </w:rPr>
        <w:instrText xml:space="preserve"> CITATION Mel10 \l 1033 </w:instrText>
      </w:r>
      <w:r>
        <w:rPr>
          <w:rFonts w:ascii="Sakkal Majalla" w:cs="Sakkal Majalla" w:hAnsi="Sakkal Majalla"/>
          <w:sz w:val="28"/>
          <w:szCs w:val="28"/>
          <w:rtl/>
        </w:rPr>
        <w:fldChar w:fldCharType="separate"/>
      </w:r>
      <w:r>
        <w:rPr>
          <w:rFonts w:ascii="Sakkal Majalla" w:cs="Sakkal Majalla" w:hAnsi="Sakkal Majalla"/>
          <w:noProof/>
          <w:sz w:val="28"/>
          <w:szCs w:val="28"/>
        </w:rPr>
        <w:t xml:space="preserve"> </w:t>
      </w:r>
      <w:r>
        <w:rPr>
          <w:rFonts w:ascii="Sakkal Majalla" w:cs="Sakkal Majalla" w:hAnsi="Sakkal Majalla"/>
          <w:noProof/>
          <w:sz w:val="28"/>
          <w:szCs w:val="28"/>
        </w:rPr>
        <w:t>(Mele, 2010)</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3. نظرية التبادل الاجتماعي</w:t>
      </w:r>
    </w:p>
    <w:p>
      <w:pPr>
        <w:pStyle w:val="style0"/>
        <w:spacing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تقوم هذه النظرية على فكرة أن التبادل المتبادل بين الطرفين (الموظف والمنظمة) يُشكل أساس العلاقات داخل المنظمة. ويزداد تفاعل الموظفين وولائهم وأداؤهم عندما تُقدم الشركة مزايا ومساعدات.</w:t>
      </w:r>
    </w:p>
    <w:p>
      <w:pPr>
        <w:pStyle w:val="style0"/>
        <w:spacing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تُعد المرونة التنظيمية أحد أنواع الدعم الذي تُقدمه المنظمة في سياق هذه الدراسة، مثل توفير بيئة عمل مرنة، والسماح بساعات عمل مرنة، وتعزيز التوازن بين العمل والحياة. تُحسّن هذه الإجراءات من شعور الموظفين بالعدالة والامتنان.</w:t>
      </w:r>
    </w:p>
    <w:p>
      <w:pPr>
        <w:pStyle w:val="style0"/>
        <w:spacing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وبالتالي، يزداد احتمال بقاء الموظفين في وظائفهم، مما يُشجع على استدامة التوظيف. تُوضح هذه الفرضية كيف تُؤدي الإجراءات المرنة إلى بناء علاقة إيجابية طويلة الأمد بين الشركة وموظفيها</w:t>
      </w:r>
      <w:r>
        <w:rPr>
          <w:rFonts w:ascii="Sakkal Majalla" w:cs="Sakkal Majalla" w:hAnsi="Sakkal Majalla"/>
          <w:sz w:val="28"/>
          <w:szCs w:val="28"/>
          <w:rtl/>
        </w:rPr>
        <w:fldChar w:fldCharType="begin"/>
      </w:r>
      <w:r>
        <w:rPr>
          <w:rFonts w:ascii="Sakkal Majalla" w:cs="Sakkal Majalla" w:hAnsi="Sakkal Majalla"/>
          <w:sz w:val="28"/>
          <w:szCs w:val="28"/>
        </w:rPr>
        <w:instrText xml:space="preserve"> CITATION Mad25 \l 1033 </w:instrText>
      </w:r>
      <w:r>
        <w:rPr>
          <w:rFonts w:ascii="Sakkal Majalla" w:cs="Sakkal Majalla" w:hAnsi="Sakkal Majalla"/>
          <w:sz w:val="28"/>
          <w:szCs w:val="28"/>
          <w:rtl/>
        </w:rPr>
        <w:fldChar w:fldCharType="separate"/>
      </w:r>
      <w:r>
        <w:rPr>
          <w:rFonts w:ascii="Sakkal Majalla" w:cs="Sakkal Majalla" w:hAnsi="Sakkal Majalla"/>
          <w:noProof/>
          <w:sz w:val="28"/>
          <w:szCs w:val="28"/>
        </w:rPr>
        <w:t xml:space="preserve"> </w:t>
      </w:r>
      <w:r>
        <w:rPr>
          <w:rFonts w:ascii="Sakkal Majalla" w:cs="Sakkal Majalla" w:hAnsi="Sakkal Majalla"/>
          <w:noProof/>
          <w:sz w:val="28"/>
          <w:szCs w:val="28"/>
        </w:rPr>
        <w:t>(Madison, 2025)</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4. منظور الموارد (</w:t>
      </w:r>
      <w:r>
        <w:rPr>
          <w:rFonts w:ascii="Sakkal Majalla" w:cs="Sakkal Majalla" w:hAnsi="Sakkal Majalla"/>
          <w:b/>
          <w:bCs/>
          <w:sz w:val="28"/>
          <w:szCs w:val="28"/>
        </w:rPr>
        <w:t>RBV</w:t>
      </w:r>
      <w:r>
        <w:rPr>
          <w:rFonts w:ascii="Sakkal Majalla" w:cs="Sakkal Majalla" w:hAnsi="Sakkal Majalla"/>
          <w:b/>
          <w:bCs/>
          <w:sz w:val="28"/>
          <w:szCs w:val="28"/>
          <w:rtl/>
        </w:rPr>
        <w:t>)</w:t>
      </w:r>
    </w:p>
    <w:p>
      <w:pPr>
        <w:pStyle w:val="style0"/>
        <w:spacing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تتمحور هذه النظرية حول فكرة أن الميزة التنافسية للمنظمة مُستمدة من مواردها الداخلية، لا سيما تلك التي يصعب استنساخها، بما في ذلك المواهب والخبرات البشرية.</w:t>
      </w:r>
    </w:p>
    <w:p>
      <w:pPr>
        <w:pStyle w:val="style0"/>
        <w:spacing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وفقًا لهذا المنظور، تُعدّ الموارد البشرية من أهم الأصول الاستراتيجية التي يجب الحفاظ عليها وتعزيزها. ويمكن تحقيق ذلك من خلال المرونة التنظيمية، التي تُمكّن من الإدارة الديناميكية للموارد البشرية استجابةً للتغيرات.</w:t>
      </w:r>
    </w:p>
    <w:p>
      <w:pPr>
        <w:pStyle w:val="style0"/>
        <w:spacing w:lineRule="auto" w:line="360"/>
        <w:ind w:firstLine="720"/>
        <w:jc w:val="both"/>
        <w:rPr>
          <w:rFonts w:ascii="Sakkal Majalla" w:cs="Sakkal Majalla" w:hAnsi="Sakkal Majalla"/>
          <w:sz w:val="28"/>
          <w:szCs w:val="28"/>
        </w:rPr>
      </w:pPr>
      <w:r>
        <w:rPr>
          <w:rFonts w:ascii="Sakkal Majalla" w:cs="Sakkal Majalla" w:hAnsi="Sakkal Majalla"/>
          <w:sz w:val="28"/>
          <w:szCs w:val="28"/>
          <w:rtl/>
        </w:rPr>
        <w:t>إضافةً إلى ذلك، ولأن فقدان الكفاءات يُؤدي إلى فقدان المعرفة والميزة التنافسية، فإنّ الحفاظ على الموظفين يُعدّ أمرًا بالغ الأهمية لضمان استمرارية هذه الموارد. وبالتالي، تُسهم المرونة التنظيمية في دعم نجاح المنظمة على المدى الطويل من خلال المساعدة في الحفاظ على هذه الموارد وتعزيز استمراريتها</w:t>
      </w:r>
      <w:r>
        <w:rPr>
          <w:rFonts w:ascii="Sakkal Majalla" w:cs="Sakkal Majalla" w:hAnsi="Sakkal Majalla"/>
          <w:sz w:val="28"/>
          <w:szCs w:val="28"/>
          <w:rtl/>
        </w:rPr>
        <w:fldChar w:fldCharType="begin"/>
      </w:r>
      <w:r>
        <w:rPr>
          <w:rFonts w:ascii="Sakkal Majalla" w:cs="Sakkal Majalla" w:hAnsi="Sakkal Majalla"/>
          <w:sz w:val="28"/>
          <w:szCs w:val="28"/>
        </w:rPr>
        <w:instrText xml:space="preserve"> CITATION Raj25 \l 1033 </w:instrText>
      </w:r>
      <w:r>
        <w:rPr>
          <w:rFonts w:ascii="Sakkal Majalla" w:cs="Sakkal Majalla" w:hAnsi="Sakkal Majalla"/>
          <w:sz w:val="28"/>
          <w:szCs w:val="28"/>
          <w:rtl/>
        </w:rPr>
        <w:fldChar w:fldCharType="separate"/>
      </w:r>
      <w:r>
        <w:rPr>
          <w:rFonts w:ascii="Sakkal Majalla" w:cs="Sakkal Majalla" w:hAnsi="Sakkal Majalla"/>
          <w:noProof/>
          <w:sz w:val="28"/>
          <w:szCs w:val="28"/>
        </w:rPr>
        <w:t xml:space="preserve"> </w:t>
      </w:r>
      <w:r>
        <w:rPr>
          <w:rFonts w:ascii="Sakkal Majalla" w:cs="Sakkal Majalla" w:hAnsi="Sakkal Majalla"/>
          <w:noProof/>
          <w:sz w:val="28"/>
          <w:szCs w:val="28"/>
        </w:rPr>
        <w:t>(Rajâa, 2025)</w:t>
      </w:r>
      <w:r>
        <w:rPr>
          <w:rFonts w:ascii="Sakkal Majalla" w:cs="Sakkal Majalla" w:hAnsi="Sakkal Majalla"/>
          <w:sz w:val="28"/>
          <w:szCs w:val="28"/>
          <w:rtl/>
        </w:rPr>
        <w:fldChar w:fldCharType="end"/>
      </w:r>
    </w:p>
    <w:p>
      <w:pPr>
        <w:pStyle w:val="style0"/>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5. نظرية التكيف التنظيمي</w:t>
      </w:r>
    </w:p>
    <w:p>
      <w:pPr>
        <w:pStyle w:val="style0"/>
        <w:spacing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وفقًا لهذه النظرية، فإن قدرة المنظمة على التكيف مع التغيرات في البيئة الخارجية - كالتغيرات المجتمعية أو التكنولوجية أو الاقتصادية - هي التي تحدد بقاءها واستمراريتها.</w:t>
      </w:r>
    </w:p>
    <w:p>
      <w:pPr>
        <w:pStyle w:val="style0"/>
        <w:spacing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ومن أهم أدوات هذا التكيف المرونة التنظيمية، التي تُمكّن الشركة من تغيير سياساتها وإجراءاتها بسرعة وفعالية. ويتجلى ذلك في قطاع الموارد البشرية من خلال قبول ترتيبات عمل جديدة، بما في ذلك العمل بدوام جزئي أو عن بُعد.</w:t>
      </w:r>
    </w:p>
    <w:p>
      <w:pPr>
        <w:pStyle w:val="style0"/>
        <w:spacing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وبما أن استقرار الموظفين يُظهر قدرتهم على التكيف مع التغيرات دون التأثير سلبًا على أدائهم أو رضاهم، فإن استدامة الوظائف تُعدّ مقياسًا لنجاح المنظمة في تحقيق هذا التكيف</w:t>
      </w:r>
      <w:r>
        <w:rPr>
          <w:rFonts w:ascii="Sakkal Majalla" w:cs="Sakkal Majalla" w:hAnsi="Sakkal Majalla"/>
          <w:sz w:val="28"/>
          <w:szCs w:val="28"/>
          <w:rtl/>
        </w:rPr>
        <w:fldChar w:fldCharType="begin"/>
      </w:r>
      <w:r>
        <w:rPr>
          <w:rFonts w:ascii="Sakkal Majalla" w:cs="Sakkal Majalla" w:hAnsi="Sakkal Majalla"/>
          <w:sz w:val="28"/>
          <w:szCs w:val="28"/>
        </w:rPr>
        <w:instrText xml:space="preserve"> CITATION Gar24 \l 1033 </w:instrText>
      </w:r>
      <w:r>
        <w:rPr>
          <w:rFonts w:ascii="Sakkal Majalla" w:cs="Sakkal Majalla" w:hAnsi="Sakkal Majalla"/>
          <w:sz w:val="28"/>
          <w:szCs w:val="28"/>
          <w:rtl/>
        </w:rPr>
        <w:fldChar w:fldCharType="separate"/>
      </w:r>
      <w:r>
        <w:rPr>
          <w:rFonts w:ascii="Sakkal Majalla" w:cs="Sakkal Majalla" w:hAnsi="Sakkal Majalla"/>
          <w:noProof/>
          <w:sz w:val="28"/>
          <w:szCs w:val="28"/>
        </w:rPr>
        <w:t xml:space="preserve"> </w:t>
      </w:r>
      <w:r>
        <w:rPr>
          <w:rFonts w:ascii="Sakkal Majalla" w:cs="Sakkal Majalla" w:hAnsi="Sakkal Majalla"/>
          <w:noProof/>
          <w:sz w:val="28"/>
          <w:szCs w:val="28"/>
        </w:rPr>
        <w:t>(Garrido-Moreno, 2024)</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6. إدارة الموارد البشرية طويلة الأجل</w:t>
      </w:r>
    </w:p>
    <w:p>
      <w:pPr>
        <w:pStyle w:val="style0"/>
        <w:spacing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تُعدّ هذه الاستراتيجية، التي تُركز على تحقيق التوازن بين الجوانب البشرية والاجتماعية والاقتصادية للمنظمة، اتجاهًا معاصرًا في إدارة الموارد البشرية.</w:t>
      </w:r>
    </w:p>
    <w:p>
      <w:pPr>
        <w:pStyle w:val="style0"/>
        <w:spacing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ومن خلال تعزيز رفاهية الموظفين، ودعم التوازن بين العمل والحياة، وخلق بيئة عمل مستدامة ومحفزة، تهدف هذه الاستراتيجية إلى ضمان استمرارية الموارد البشرية. تُعدّ المرونة التنظيمية من أهم الأدوات الداعمة لهذه الاستراتيجية، إذ تُسهم في تلبية الاحتياجات المتنوعة للموظفين.</w:t>
      </w:r>
    </w:p>
    <w:p>
      <w:pPr>
        <w:pStyle w:val="style0"/>
        <w:spacing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ووفقًا لهذا الرأي، فإن تطبيق ممارسات إدارة الموارد البشرية المستدامة - التي تُركّز على التكيف والمرونة والاهتمام بالجانب الإنساني - يُمكن أن يُؤدي إلى استدامة الوظائف</w:t>
      </w:r>
      <w:r>
        <w:rPr>
          <w:rFonts w:ascii="Sakkal Majalla" w:cs="Sakkal Majalla" w:hAnsi="Sakkal Majalla"/>
          <w:sz w:val="28"/>
          <w:szCs w:val="28"/>
          <w:rtl/>
        </w:rPr>
        <w:fldChar w:fldCharType="begin"/>
      </w:r>
      <w:r>
        <w:rPr>
          <w:rFonts w:ascii="Sakkal Majalla" w:cs="Sakkal Majalla" w:hAnsi="Sakkal Majalla"/>
          <w:sz w:val="28"/>
          <w:szCs w:val="28"/>
        </w:rPr>
        <w:instrText xml:space="preserve"> CITATION Cak23 \l 1033 </w:instrText>
      </w:r>
      <w:r>
        <w:rPr>
          <w:rFonts w:ascii="Sakkal Majalla" w:cs="Sakkal Majalla" w:hAnsi="Sakkal Majalla"/>
          <w:sz w:val="28"/>
          <w:szCs w:val="28"/>
          <w:rtl/>
        </w:rPr>
        <w:fldChar w:fldCharType="separate"/>
      </w:r>
      <w:r>
        <w:rPr>
          <w:rFonts w:ascii="Sakkal Majalla" w:cs="Sakkal Majalla" w:hAnsi="Sakkal Majalla"/>
          <w:noProof/>
          <w:sz w:val="28"/>
          <w:szCs w:val="28"/>
        </w:rPr>
        <w:t xml:space="preserve"> </w:t>
      </w:r>
      <w:r>
        <w:rPr>
          <w:rFonts w:ascii="Sakkal Majalla" w:cs="Sakkal Majalla" w:hAnsi="Sakkal Majalla"/>
          <w:noProof/>
          <w:sz w:val="28"/>
          <w:szCs w:val="28"/>
        </w:rPr>
        <w:t>(Cakmak, 2023)</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jc w:val="both"/>
        <w:rPr>
          <w:rFonts w:ascii="Sakkal Majalla" w:cs="Sakkal Majalla" w:hAnsi="Sakkal Majalla"/>
          <w:sz w:val="28"/>
          <w:szCs w:val="28"/>
          <w:rtl/>
        </w:rPr>
      </w:pPr>
    </w:p>
    <w:sectPr>
      <w:footerReference w:type="default" r:id="rId3"/>
      <w:pgSz w:w="12240" w:h="15840" w:orient="portrait"/>
      <w:pgMar w:top="1440" w:right="1440" w:bottom="1440" w:left="1440" w:header="708" w:footer="708" w:gutter="0"/>
      <w:pgBorders w:zOrder="front" w:display="allPage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akkal Majalla">
    <w:altName w:val="Sakkal Majalla"/>
    <w:panose1 w:val="02000000000000000000"/>
    <w:charset w:val="00"/>
    <w:family w:val="auto"/>
    <w:pitch w:val="variable"/>
    <w:sig w:usb0="A0002027" w:usb1="80000000" w:usb2="00000108" w:usb3="00000000" w:csb0="000000D3" w:csb1="00000000"/>
  </w:font>
  <w:font w:name="Calibri">
    <w:altName w:val="Calibri"/>
    <w:panose1 w:val="020f0502020002030204"/>
    <w:charset w:val="00"/>
    <w:family w:val="swiss"/>
    <w:pitch w:val="variable"/>
    <w:sig w:usb0="E4002EFF" w:usb1="C000247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Times New Roman">
    <w:altName w:val="Times New Roman"/>
    <w:panose1 w:val="02020603050004020304"/>
    <w:charset w:val="00"/>
    <w:family w:val="roman"/>
    <w:pitch w:val="variable"/>
    <w:sig w:usb0="E0002EFF" w:usb1="C000785B"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altName w:val="Symbol"/>
    <w:panose1 w:val="05050102010007020507"/>
    <w:charset w:val="02"/>
    <w:family w:val="roman"/>
    <w:pitch w:val="variable"/>
    <w:sig w:usb0="00000000" w:usb1="10000000" w:usb2="00000000" w:usb3="00000000" w:csb0="80000000" w:csb1="00000000"/>
  </w:font>
  <w:font w:name="Aptos">
    <w:altName w:val="Aptos"/>
    <w:panose1 w:val="00000000000000000000"/>
    <w:charset w:val="00"/>
    <w:family w:val="swiss"/>
    <w:pitch w:val="variable"/>
    <w:sig w:usb0="20000287" w:usb1="00000003" w:usb2="00000000" w:usb3="00000000" w:csb0="0000019F" w:csb1="00000000"/>
  </w:font>
  <w:font w:name="Arial">
    <w:altName w:val="Arial"/>
    <w:panose1 w:val="020b0604020002020204"/>
    <w:charset w:val="00"/>
    <w:family w:val="swiss"/>
    <w:pitch w:val="variable"/>
    <w:sig w:usb0="E0002EFF" w:usb1="C000785B" w:usb2="00000009" w:usb3="00000000" w:csb0="000001FF" w:csb1="00000000"/>
  </w:font>
  <w:font w:name="Aptos Display">
    <w:altName w:val="Aptos Display"/>
    <w:panose1 w:val="00000000000000000000"/>
    <w:charset w:val="00"/>
    <w:family w:val="swiss"/>
    <w:pitch w:val="variable"/>
    <w:sig w:usb0="20000287" w:usb1="00000003" w:usb2="00000000" w:usb3="00000000" w:csb0="0000019F" w:csb1="00000000"/>
  </w:font>
  <w:font w:name="Tahoma">
    <w:altName w:val="Tahoma"/>
    <w:panose1 w:val="020b0604030005040204"/>
    <w:charset w:val="00"/>
    <w:family w:val="swiss"/>
    <w:pitch w:val="variable"/>
    <w:sig w:usb0="E1002EFF" w:usb1="C000605B" w:usb2="00000029" w:usb3="00000000" w:csb0="000101FF" w:csb1="00000000"/>
  </w:font>
  <w:font w:name="Consolas">
    <w:altName w:val="Consolas"/>
    <w:panose1 w:val="020b0609020002030204"/>
    <w:charset w:val="00"/>
    <w:family w:val="modern"/>
    <w:pitch w:val="fixed"/>
    <w:sig w:usb0="E00006FF" w:usb1="0000FCFF" w:usb2="00000001" w:usb3="00000000" w:csb0="0000019F" w:csb1="00000000"/>
  </w:font>
  <w:font w:name="Helvetica Neue">
    <w:altName w:val="Helvetica Neue"/>
    <w:panose1 w:val="00000000000000000000"/>
    <w:charset w:val="00"/>
    <w:family w:val="swiss"/>
    <w:pitch w:val="variable"/>
    <w:sig w:usb0="E50002FF" w:usb1="500079DB" w:usb2="00000010" w:usb3="00000000" w:csb0="00000001" w:csb1="00000000"/>
  </w:font>
  <w:font w:name="Simplified Arabic">
    <w:altName w:val="Simplified Arabic"/>
    <w:panose1 w:val="02020603050004020304"/>
    <w:charset w:val="00"/>
    <w:family w:val="roman"/>
    <w:pitch w:val="variable"/>
    <w:sig w:usb0="00002003" w:usb1="80000000" w:usb2="00000008" w:usb3="00000000" w:csb0="00000041" w:csb1="00000000"/>
  </w:font>
  <w:font w:name="Andalus">
    <w:altName w:val="Andalus"/>
    <w:panose1 w:val="02020603050004020304"/>
    <w:charset w:val="00"/>
    <w:family w:val="roman"/>
    <w:pitch w:val="variable"/>
    <w:sig w:usb0="00002003" w:usb1="80000000" w:usb2="00000008" w:usb3="00000000" w:csb0="00000041" w:csb1="00000000"/>
  </w:font>
  <w:font w:name="Cambria">
    <w:altName w:val="Cambria"/>
    <w:panose1 w:val="02040503050004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center"/>
      <w:rPr/>
    </w:pPr>
    <w:r>
      <w:rPr/>
      <w:fldChar w:fldCharType="begin"/>
    </w:r>
    <w:r>
      <w:instrText xml:space="preserve"> PAGE   \* MERGEFORMAT </w:instrText>
    </w:r>
    <w:r>
      <w:rPr/>
      <w:fldChar w:fldCharType="separate"/>
    </w:r>
    <w:r>
      <w:rPr>
        <w:noProof/>
      </w:rPr>
      <w:t>2</w:t>
    </w:r>
    <w:r>
      <w:rPr>
        <w:noProof/>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E1308CCE"/>
    <w:lvl w:ilvl="0" w:tplc="D9981852">
      <w:start w:val="1"/>
      <w:numFmt w:val="bullet"/>
      <w:lvlText w:val="-"/>
      <w:lvlJc w:val="left"/>
      <w:pPr>
        <w:ind w:left="720" w:hanging="360"/>
      </w:pPr>
      <w:rPr>
        <w:rFonts w:ascii="Sakkal Majalla" w:cs="Sakkal Majalla" w:eastAsia="Calibri" w:hAnsi="Sakkal Majalla" w:hint="default"/>
        <w:b w:val="false"/>
      </w:rPr>
    </w:lvl>
    <w:lvl w:ilvl="1" w:tplc="C6A07052" w:tentative="1">
      <w:start w:val="1"/>
      <w:numFmt w:val="bullet"/>
      <w:lvlText w:val="o"/>
      <w:lvlJc w:val="left"/>
      <w:pPr>
        <w:ind w:left="1440" w:hanging="360"/>
      </w:pPr>
      <w:rPr>
        <w:rFonts w:ascii="Courier New" w:cs="Courier New" w:hAnsi="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cs="Courier New" w:hAnsi="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cs="Courier New" w:hAnsi="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1">
    <w:nsid w:val="00000001"/>
    <w:multiLevelType w:val="multilevel"/>
    <w:tmpl w:val="C7E64E6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
    <w:nsid w:val="00000002"/>
    <w:multiLevelType w:val="hybridMultilevel"/>
    <w:tmpl w:val="D6D6928C"/>
    <w:lvl w:ilvl="0" w:tplc="F3687A78">
      <w:start w:val="1"/>
      <w:numFmt w:val="bullet"/>
      <w:lvlText w:val="-"/>
      <w:lvlJc w:val="left"/>
      <w:pPr>
        <w:ind w:left="720" w:hanging="360"/>
      </w:pPr>
      <w:rPr>
        <w:rFonts w:ascii="Sakkal Majalla" w:cs="Sakkal Majalla" w:eastAsia="Calibri"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000003"/>
    <w:multiLevelType w:val="hybridMultilevel"/>
    <w:tmpl w:val="6992908E"/>
    <w:lvl w:ilvl="0" w:tplc="33603B04">
      <w:start w:val="1"/>
      <w:numFmt w:val="bullet"/>
      <w:lvlText w:val="-"/>
      <w:lvlJc w:val="left"/>
      <w:pPr>
        <w:ind w:left="720" w:hanging="360"/>
      </w:pPr>
      <w:rPr>
        <w:rFonts w:ascii="Sakkal Majalla" w:cs="Sakkal Majalla" w:eastAsia="Calibri" w:hAnsi="Sakkal Majalla" w:hint="default"/>
        <w:b/>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0000004"/>
    <w:multiLevelType w:val="hybridMultilevel"/>
    <w:tmpl w:val="EB3AB718"/>
    <w:lvl w:ilvl="0" w:tplc="B41047C8">
      <w:start w:val="1"/>
      <w:numFmt w:val="bullet"/>
      <w:pStyle w:val="style4125"/>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0000005"/>
    <w:multiLevelType w:val="hybridMultilevel"/>
    <w:tmpl w:val="FFFFFFFF"/>
    <w:lvl w:ilvl="0" w:tplc="E28CD22C">
      <w:start w:val="1"/>
      <w:numFmt w:val="bullet"/>
      <w:pStyle w:val="style4157"/>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00000006"/>
    <w:multiLevelType w:val="hybridMultilevel"/>
    <w:tmpl w:val="ACF6DE30"/>
    <w:lvl w:ilvl="0" w:tplc="F4E24C7C">
      <w:start w:val="2"/>
      <w:numFmt w:val="bullet"/>
      <w:lvlText w:val="-"/>
      <w:lvlJc w:val="left"/>
      <w:pPr>
        <w:ind w:left="720" w:hanging="360"/>
      </w:pPr>
      <w:rPr>
        <w:rFonts w:ascii="Sakkal Majalla" w:cs="Sakkal Majalla" w:eastAsia="Calibri"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0000007"/>
    <w:multiLevelType w:val="multilevel"/>
    <w:tmpl w:val="94145EBA"/>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8">
    <w:nsid w:val="00000008"/>
    <w:multiLevelType w:val="hybridMultilevel"/>
    <w:tmpl w:val="5B925742"/>
    <w:lvl w:ilvl="0" w:tplc="10C0E67A">
      <w:start w:val="1"/>
      <w:numFmt w:val="bullet"/>
      <w:lvlText w:val="-"/>
      <w:lvlJc w:val="left"/>
      <w:pPr>
        <w:ind w:left="720" w:hanging="360"/>
      </w:pPr>
      <w:rPr>
        <w:rFonts w:ascii="Sakkal Majalla" w:cs="Sakkal Majalla" w:eastAsia="Calibri" w:hAnsi="Sakkal Majalla" w:hint="default"/>
        <w:b/>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0000009"/>
    <w:multiLevelType w:val="hybridMultilevel"/>
    <w:tmpl w:val="B61AA5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000000A"/>
    <w:multiLevelType w:val="multilevel"/>
    <w:tmpl w:val="FA36A35A"/>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1">
    <w:nsid w:val="0000000B"/>
    <w:multiLevelType w:val="multilevel"/>
    <w:tmpl w:val="1408C6EE"/>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2">
    <w:nsid w:val="0000000C"/>
    <w:multiLevelType w:val="hybridMultilevel"/>
    <w:tmpl w:val="C178CC56"/>
    <w:lvl w:ilvl="0" w:tplc="F3687A78">
      <w:start w:val="1"/>
      <w:numFmt w:val="bullet"/>
      <w:lvlText w:val="-"/>
      <w:lvlJc w:val="left"/>
      <w:pPr>
        <w:ind w:left="720" w:hanging="360"/>
      </w:pPr>
      <w:rPr>
        <w:rFonts w:ascii="Sakkal Majalla" w:cs="Sakkal Majalla" w:eastAsia="Calibri"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000000D"/>
    <w:multiLevelType w:val="hybridMultilevel"/>
    <w:tmpl w:val="1D9A1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000000E"/>
    <w:multiLevelType w:val="hybridMultilevel"/>
    <w:tmpl w:val="0C406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000000F"/>
    <w:multiLevelType w:val="multilevel"/>
    <w:tmpl w:val="86640A56"/>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6">
    <w:nsid w:val="00000010"/>
    <w:multiLevelType w:val="hybridMultilevel"/>
    <w:tmpl w:val="D368E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0000011"/>
    <w:multiLevelType w:val="multilevel"/>
    <w:tmpl w:val="D390E902"/>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8">
    <w:nsid w:val="00000012"/>
    <w:multiLevelType w:val="hybridMultilevel"/>
    <w:tmpl w:val="AEB29748"/>
    <w:lvl w:ilvl="0" w:tplc="9F32CFA6">
      <w:start w:val="2"/>
      <w:numFmt w:val="bullet"/>
      <w:lvlText w:val="-"/>
      <w:lvlJc w:val="left"/>
      <w:pPr>
        <w:ind w:left="720" w:hanging="360"/>
      </w:pPr>
      <w:rPr>
        <w:rFonts w:ascii="Sakkal Majalla" w:cs="Sakkal Majalla" w:eastAsia="Calibri"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0000013"/>
    <w:multiLevelType w:val="hybridMultilevel"/>
    <w:tmpl w:val="3578C0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0000014"/>
    <w:multiLevelType w:val="multilevel"/>
    <w:tmpl w:val="E7D8F58E"/>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1">
    <w:nsid w:val="00000015"/>
    <w:multiLevelType w:val="hybridMultilevel"/>
    <w:tmpl w:val="537E8C2C"/>
    <w:lvl w:ilvl="0" w:tplc="D6DC6CC6">
      <w:start w:val="1"/>
      <w:numFmt w:val="bullet"/>
      <w:lvlText w:val="-"/>
      <w:lvlJc w:val="left"/>
      <w:pPr>
        <w:ind w:left="720" w:hanging="360"/>
      </w:pPr>
      <w:rPr>
        <w:rFonts w:ascii="Sakkal Majalla" w:cs="Sakkal Majalla" w:eastAsia="Aptos"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0000016"/>
    <w:multiLevelType w:val="multilevel"/>
    <w:tmpl w:val="493E572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3">
    <w:nsid w:val="00000017"/>
    <w:multiLevelType w:val="hybridMultilevel"/>
    <w:tmpl w:val="3990A8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00000018"/>
    <w:multiLevelType w:val="multilevel"/>
    <w:tmpl w:val="73D413A2"/>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5">
    <w:nsid w:val="00000019"/>
    <w:multiLevelType w:val="hybridMultilevel"/>
    <w:tmpl w:val="AB3E0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000001A"/>
    <w:multiLevelType w:val="hybridMultilevel"/>
    <w:tmpl w:val="FFF29C66"/>
    <w:lvl w:ilvl="0" w:tplc="8DAEE4FA">
      <w:start w:val="1"/>
      <w:numFmt w:val="bullet"/>
      <w:lvlText w:val="-"/>
      <w:lvlJc w:val="left"/>
      <w:pPr>
        <w:ind w:left="720" w:hanging="360"/>
      </w:pPr>
      <w:rPr>
        <w:rFonts w:ascii="Sakkal Majalla" w:cs="Sakkal Majalla" w:eastAsia="Calibri" w:hAnsi="Sakkal Majalla" w:hint="default"/>
        <w:b w:val="false"/>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0000001B"/>
    <w:multiLevelType w:val="hybridMultilevel"/>
    <w:tmpl w:val="B106AEB4"/>
    <w:lvl w:ilvl="0" w:tplc="D9981852">
      <w:start w:val="1"/>
      <w:numFmt w:val="bullet"/>
      <w:lvlText w:val="-"/>
      <w:lvlJc w:val="left"/>
      <w:pPr>
        <w:ind w:left="720" w:hanging="360"/>
      </w:pPr>
      <w:rPr>
        <w:rFonts w:ascii="Sakkal Majalla" w:cs="Sakkal Majalla" w:eastAsia="Calibri" w:hAnsi="Sakkal Majalla" w:hint="default"/>
        <w:b w:val="false"/>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8">
    <w:nsid w:val="0000001C"/>
    <w:multiLevelType w:val="hybridMultilevel"/>
    <w:tmpl w:val="6CA42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6"/>
  </w:num>
  <w:num w:numId="4">
    <w:abstractNumId w:val="27"/>
  </w:num>
  <w:num w:numId="5">
    <w:abstractNumId w:val="21"/>
  </w:num>
  <w:num w:numId="6">
    <w:abstractNumId w:val="17"/>
  </w:num>
  <w:num w:numId="7">
    <w:abstractNumId w:val="1"/>
  </w:num>
  <w:num w:numId="8">
    <w:abstractNumId w:val="15"/>
  </w:num>
  <w:num w:numId="9">
    <w:abstractNumId w:val="12"/>
  </w:num>
  <w:num w:numId="10">
    <w:abstractNumId w:val="23"/>
  </w:num>
  <w:num w:numId="11">
    <w:abstractNumId w:val="0"/>
  </w:num>
  <w:num w:numId="12">
    <w:abstractNumId w:val="26"/>
  </w:num>
  <w:num w:numId="13">
    <w:abstractNumId w:val="22"/>
  </w:num>
  <w:num w:numId="14">
    <w:abstractNumId w:val="7"/>
  </w:num>
  <w:num w:numId="15">
    <w:abstractNumId w:val="11"/>
  </w:num>
  <w:num w:numId="16">
    <w:abstractNumId w:val="2"/>
  </w:num>
  <w:num w:numId="17">
    <w:abstractNumId w:val="8"/>
  </w:num>
  <w:num w:numId="18">
    <w:abstractNumId w:val="3"/>
  </w:num>
  <w:num w:numId="19">
    <w:abstractNumId w:val="24"/>
  </w:num>
  <w:num w:numId="20">
    <w:abstractNumId w:val="10"/>
  </w:num>
  <w:num w:numId="21">
    <w:abstractNumId w:val="20"/>
  </w:num>
  <w:num w:numId="22">
    <w:abstractNumId w:val="19"/>
  </w:num>
  <w:num w:numId="23">
    <w:abstractNumId w:val="18"/>
  </w:num>
  <w:num w:numId="24">
    <w:abstractNumId w:val="28"/>
  </w:num>
  <w:num w:numId="25">
    <w:abstractNumId w:val="25"/>
  </w:num>
  <w:num w:numId="26">
    <w:abstractNumId w:val="14"/>
  </w:num>
  <w:num w:numId="27">
    <w:abstractNumId w:val="16"/>
  </w:num>
  <w:num w:numId="28">
    <w:abstractNumId w:val="13"/>
  </w:num>
  <w:num w:numId="29">
    <w:abstractNumId w:val="9"/>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ptos" w:cs="Arial" w:eastAsia="Aptos" w:hAnsi="Aptos"/>
        <w:kern w:val="2"/>
        <w:sz w:val="24"/>
        <w:szCs w:val="24"/>
        <w:lang w:val="en-US" w:bidi="ar-SA" w:eastAsia="en-US"/>
        <w14:ligatures xmlns:w14="http://schemas.microsoft.com/office/word/2010/wordml" w14:val="standardContextual"/>
      </w:rPr>
    </w:rPrDefault>
    <w:pPrDefault>
      <w:pPr>
        <w:spacing w:after="160" w:lineRule="auto" w:line="278"/>
      </w:pPr>
    </w:pPrDefault>
  </w:docDefaults>
  <w:style w:type="paragraph" w:default="1" w:styleId="style0">
    <w:name w:val="Normal"/>
    <w:next w:val="style0"/>
    <w:qFormat/>
    <w:pPr>
      <w:bidi/>
      <w:spacing w:lineRule="auto" w:line="259"/>
    </w:pPr>
    <w:rPr>
      <w:sz w:val="22"/>
      <w:szCs w:val="22"/>
    </w:rPr>
  </w:style>
  <w:style w:type="paragraph" w:styleId="style1">
    <w:name w:val="heading 1"/>
    <w:basedOn w:val="style0"/>
    <w:next w:val="style0"/>
    <w:link w:val="style4098"/>
    <w:qFormat/>
    <w:uiPriority w:val="9"/>
    <w:pPr>
      <w:keepNext/>
      <w:keepLines/>
      <w:spacing w:before="360" w:after="80"/>
      <w:outlineLvl w:val="0"/>
    </w:pPr>
    <w:rPr>
      <w:rFonts w:ascii="Aptos Display" w:cs="Times New Roman" w:eastAsia="宋体" w:hAnsi="Aptos Display"/>
      <w:color w:val="0f4761"/>
      <w:sz w:val="40"/>
      <w:szCs w:val="40"/>
    </w:rPr>
  </w:style>
  <w:style w:type="paragraph" w:styleId="style2">
    <w:name w:val="heading 2"/>
    <w:basedOn w:val="style0"/>
    <w:next w:val="style0"/>
    <w:link w:val="style4099"/>
    <w:qFormat/>
    <w:uiPriority w:val="99"/>
    <w:pPr>
      <w:keepNext/>
      <w:keepLines/>
      <w:spacing w:before="160" w:after="80"/>
      <w:outlineLvl w:val="1"/>
    </w:pPr>
    <w:rPr>
      <w:rFonts w:ascii="Aptos Display" w:cs="Times New Roman" w:eastAsia="宋体" w:hAnsi="Aptos Display"/>
      <w:color w:val="0f4761"/>
      <w:sz w:val="32"/>
      <w:szCs w:val="32"/>
    </w:rPr>
  </w:style>
  <w:style w:type="paragraph" w:styleId="style3">
    <w:name w:val="heading 3"/>
    <w:basedOn w:val="style0"/>
    <w:next w:val="style0"/>
    <w:link w:val="style4100"/>
    <w:qFormat/>
    <w:uiPriority w:val="99"/>
    <w:pPr>
      <w:keepNext/>
      <w:keepLines/>
      <w:spacing w:before="160" w:after="80"/>
      <w:outlineLvl w:val="2"/>
    </w:pPr>
    <w:rPr>
      <w:rFonts w:cs="Times New Roman" w:eastAsia="宋体"/>
      <w:color w:val="0f4761"/>
      <w:sz w:val="28"/>
      <w:szCs w:val="28"/>
    </w:rPr>
  </w:style>
  <w:style w:type="paragraph" w:styleId="style4">
    <w:name w:val="heading 4"/>
    <w:basedOn w:val="style0"/>
    <w:next w:val="style0"/>
    <w:link w:val="style4101"/>
    <w:qFormat/>
    <w:uiPriority w:val="9"/>
    <w:pPr>
      <w:keepNext/>
      <w:keepLines/>
      <w:spacing w:before="80" w:after="40"/>
      <w:outlineLvl w:val="3"/>
    </w:pPr>
    <w:rPr>
      <w:rFonts w:cs="Times New Roman" w:eastAsia="宋体"/>
      <w:i/>
      <w:iCs/>
      <w:color w:val="0f4761"/>
    </w:rPr>
  </w:style>
  <w:style w:type="paragraph" w:styleId="style5">
    <w:name w:val="heading 5"/>
    <w:basedOn w:val="style0"/>
    <w:next w:val="style0"/>
    <w:link w:val="style4102"/>
    <w:qFormat/>
    <w:uiPriority w:val="9"/>
    <w:pPr>
      <w:keepNext/>
      <w:keepLines/>
      <w:spacing w:before="80" w:after="40"/>
      <w:outlineLvl w:val="4"/>
    </w:pPr>
    <w:rPr>
      <w:rFonts w:cs="Times New Roman" w:eastAsia="宋体"/>
      <w:color w:val="0f4761"/>
    </w:rPr>
  </w:style>
  <w:style w:type="paragraph" w:styleId="style6">
    <w:name w:val="heading 6"/>
    <w:basedOn w:val="style0"/>
    <w:next w:val="style0"/>
    <w:link w:val="style4103"/>
    <w:qFormat/>
    <w:uiPriority w:val="9"/>
    <w:pPr>
      <w:keepNext/>
      <w:keepLines/>
      <w:spacing w:before="40" w:after="0"/>
      <w:outlineLvl w:val="5"/>
    </w:pPr>
    <w:rPr>
      <w:rFonts w:cs="Times New Roman" w:eastAsia="宋体"/>
      <w:i/>
      <w:iCs/>
      <w:color w:val="595959"/>
    </w:rPr>
  </w:style>
  <w:style w:type="paragraph" w:styleId="style7">
    <w:name w:val="heading 7"/>
    <w:basedOn w:val="style0"/>
    <w:next w:val="style0"/>
    <w:link w:val="style4104"/>
    <w:qFormat/>
    <w:uiPriority w:val="9"/>
    <w:pPr>
      <w:keepNext/>
      <w:keepLines/>
      <w:spacing w:before="40" w:after="0"/>
      <w:outlineLvl w:val="6"/>
    </w:pPr>
    <w:rPr>
      <w:rFonts w:cs="Times New Roman" w:eastAsia="宋体"/>
      <w:color w:val="595959"/>
    </w:rPr>
  </w:style>
  <w:style w:type="paragraph" w:styleId="style8">
    <w:name w:val="heading 8"/>
    <w:basedOn w:val="style0"/>
    <w:next w:val="style0"/>
    <w:link w:val="style4105"/>
    <w:qFormat/>
    <w:uiPriority w:val="9"/>
    <w:pPr>
      <w:keepNext/>
      <w:keepLines/>
      <w:spacing w:after="0"/>
      <w:outlineLvl w:val="7"/>
    </w:pPr>
    <w:rPr>
      <w:rFonts w:cs="Times New Roman" w:eastAsia="宋体"/>
      <w:i/>
      <w:iCs/>
      <w:color w:val="272727"/>
    </w:rPr>
  </w:style>
  <w:style w:type="paragraph" w:styleId="style9">
    <w:name w:val="heading 9"/>
    <w:basedOn w:val="style0"/>
    <w:next w:val="style0"/>
    <w:link w:val="style4106"/>
    <w:qFormat/>
    <w:uiPriority w:val="9"/>
    <w:pPr>
      <w:keepNext/>
      <w:keepLines/>
      <w:spacing w:after="0"/>
      <w:outlineLvl w:val="8"/>
    </w:pPr>
    <w:rPr>
      <w:rFonts w:cs="Times New Roman" w:eastAsia="宋体"/>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table" w:customStyle="1" w:styleId="style4097">
    <w:name w:val="Style2"/>
    <w:basedOn w:val="style133"/>
    <w:next w:val="style4097"/>
    <w:uiPriority w:val="99"/>
    <w:pPr>
      <w:spacing w:after="0" w:lineRule="auto" w:line="240"/>
    </w:pPr>
    <w:rPr/>
    <w:tblPr/>
    <w:tblStylePr w:type="firstRow">
      <w:pPr/>
      <w:rPr>
        <w:b/>
        <w:bCs/>
        <w:color w:val="ffffff"/>
      </w:rPr>
      <w:tblPr/>
      <w:tcPr>
        <w:tcBorders>
          <w:tl2br w:val="none" w:sz="0" w:space="0" w:color="auto"/>
          <w:tr2bl w:val="none" w:sz="0" w:space="0" w:color="auto"/>
        </w:tcBorders>
        <w:shd w:val="solid" w:color="000080" w:fill="ffffff"/>
      </w:tcPr>
    </w:tblStylePr>
    <w:tblStylePr w:type="lastRow">
      <w:pPr/>
      <w:rPr>
        <w:b/>
        <w:bCs/>
        <w:color w:val="auto"/>
      </w:rPr>
      <w:tblPr/>
      <w:tcPr>
        <w:tcBorders>
          <w:tl2br w:val="none" w:sz="0" w:space="0" w:color="auto"/>
          <w:tr2bl w:val="none" w:sz="0" w:space="0" w:color="auto"/>
        </w:tcBorders>
      </w:tcPr>
    </w:tblStylePr>
    <w:tblStylePr w:type="lastCol">
      <w:pPr/>
      <w:rPr>
        <w:b/>
        <w:bCs/>
        <w:color w:val="auto"/>
      </w:rPr>
      <w:tblPr/>
      <w:tcPr>
        <w:tcBorders>
          <w:tl2br w:val="none" w:sz="0" w:space="0" w:color="auto"/>
          <w:tr2bl w:val="none" w:sz="0" w:space="0" w:color="auto"/>
        </w:tcBorders>
      </w:tcPr>
    </w:tblStylePr>
    <w:tcPr>
      <w:tcBorders/>
    </w:tcPr>
  </w:style>
  <w:style w:type="table" w:styleId="style133">
    <w:name w:val="Table Grid 8"/>
    <w:basedOn w:val="style105"/>
    <w:next w:val="style133"/>
    <w:uiPriority w:val="99"/>
    <w:pP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shd w:val="clear" w:color="auto" w:fill="auto"/>
    </w:tblPr>
    <w:tblStylePr w:type="firstRow">
      <w:pPr/>
      <w:rPr>
        <w:b/>
        <w:bCs/>
        <w:color w:val="ffffff"/>
      </w:rPr>
      <w:tblPr/>
      <w:tcPr>
        <w:tcBorders>
          <w:tl2br w:val="none" w:sz="0" w:space="0" w:color="auto"/>
          <w:tr2bl w:val="none" w:sz="0" w:space="0" w:color="auto"/>
        </w:tcBorders>
        <w:shd w:val="solid" w:color="000080" w:fill="ffffff"/>
      </w:tcPr>
    </w:tblStylePr>
    <w:tblStylePr w:type="lastRow">
      <w:pPr/>
      <w:rPr>
        <w:b/>
        <w:bCs/>
        <w:color w:val="auto"/>
      </w:rPr>
      <w:tblPr/>
      <w:tcPr>
        <w:tcBorders>
          <w:tl2br w:val="none" w:sz="0" w:space="0" w:color="auto"/>
          <w:tr2bl w:val="none" w:sz="0" w:space="0" w:color="auto"/>
        </w:tcBorders>
      </w:tcPr>
    </w:tblStylePr>
    <w:tblStylePr w:type="lastCol">
      <w:pPr/>
      <w:rPr>
        <w:b/>
        <w:bCs/>
        <w:color w:val="auto"/>
      </w:rPr>
      <w:tblPr/>
      <w:tcPr>
        <w:tcBorders>
          <w:tl2br w:val="none" w:sz="0" w:space="0" w:color="auto"/>
          <w:tr2bl w:val="none" w:sz="0" w:space="0" w:color="auto"/>
        </w:tcBorders>
      </w:tcPr>
    </w:tblStylePr>
    <w:tcPr>
      <w:tcBorders/>
      <w:shd w:val="clear" w:color="auto" w:fill="auto"/>
    </w:tcPr>
  </w:style>
  <w:style w:type="character" w:customStyle="1" w:styleId="style4098">
    <w:name w:val="Heading 1 Char_ca952441-e4db-4be9-a6f4-f589889e19f4"/>
    <w:basedOn w:val="style65"/>
    <w:next w:val="style4098"/>
    <w:link w:val="style1"/>
    <w:uiPriority w:val="9"/>
    <w:rPr>
      <w:rFonts w:ascii="Aptos Display" w:cs="Times New Roman" w:eastAsia="宋体" w:hAnsi="Aptos Display"/>
      <w:color w:val="0f4761"/>
      <w:sz w:val="40"/>
      <w:szCs w:val="40"/>
    </w:rPr>
  </w:style>
  <w:style w:type="character" w:customStyle="1" w:styleId="style4099">
    <w:name w:val="Heading 2 Char_b6152727-b922-48db-9fa7-5cc021696792"/>
    <w:basedOn w:val="style65"/>
    <w:next w:val="style4099"/>
    <w:link w:val="style2"/>
    <w:uiPriority w:val="99"/>
    <w:rPr>
      <w:rFonts w:ascii="Aptos Display" w:cs="Times New Roman" w:eastAsia="宋体" w:hAnsi="Aptos Display"/>
      <w:color w:val="0f4761"/>
      <w:sz w:val="32"/>
      <w:szCs w:val="32"/>
    </w:rPr>
  </w:style>
  <w:style w:type="character" w:customStyle="1" w:styleId="style4100">
    <w:name w:val="Heading 3 Char_b0548df6-18ce-415d-b8e7-0122feec7c10"/>
    <w:basedOn w:val="style65"/>
    <w:next w:val="style4100"/>
    <w:link w:val="style3"/>
    <w:uiPriority w:val="99"/>
    <w:rPr>
      <w:rFonts w:cs="Times New Roman" w:eastAsia="宋体"/>
      <w:color w:val="0f4761"/>
      <w:sz w:val="28"/>
      <w:szCs w:val="28"/>
    </w:rPr>
  </w:style>
  <w:style w:type="character" w:customStyle="1" w:styleId="style4101">
    <w:name w:val="Heading 4 Char_31129788-c05f-41ef-b69e-b632fbc834f4"/>
    <w:basedOn w:val="style65"/>
    <w:next w:val="style4101"/>
    <w:link w:val="style4"/>
    <w:uiPriority w:val="9"/>
    <w:rPr>
      <w:rFonts w:cs="Times New Roman" w:eastAsia="宋体"/>
      <w:i/>
      <w:iCs/>
      <w:color w:val="0f4761"/>
    </w:rPr>
  </w:style>
  <w:style w:type="character" w:customStyle="1" w:styleId="style4102">
    <w:name w:val="Heading 5 Char_0eab4792-8170-4da0-a3ac-e6de17edad1a"/>
    <w:basedOn w:val="style65"/>
    <w:next w:val="style4102"/>
    <w:link w:val="style5"/>
    <w:uiPriority w:val="9"/>
    <w:rPr>
      <w:rFonts w:cs="Times New Roman" w:eastAsia="宋体"/>
      <w:color w:val="0f4761"/>
    </w:rPr>
  </w:style>
  <w:style w:type="character" w:customStyle="1" w:styleId="style4103">
    <w:name w:val="Heading 6 Char_86e9cd59-4c97-400d-ae9e-e720266dc4c3"/>
    <w:basedOn w:val="style65"/>
    <w:next w:val="style4103"/>
    <w:link w:val="style6"/>
    <w:uiPriority w:val="9"/>
    <w:rPr>
      <w:rFonts w:cs="Times New Roman" w:eastAsia="宋体"/>
      <w:i/>
      <w:iCs/>
      <w:color w:val="595959"/>
    </w:rPr>
  </w:style>
  <w:style w:type="character" w:customStyle="1" w:styleId="style4104">
    <w:name w:val="Heading 7 Char_59596acc-cf21-466a-8d84-f70e2020e2c2"/>
    <w:basedOn w:val="style65"/>
    <w:next w:val="style4104"/>
    <w:link w:val="style7"/>
    <w:uiPriority w:val="9"/>
    <w:rPr>
      <w:rFonts w:cs="Times New Roman" w:eastAsia="宋体"/>
      <w:color w:val="595959"/>
    </w:rPr>
  </w:style>
  <w:style w:type="character" w:customStyle="1" w:styleId="style4105">
    <w:name w:val="Heading 8 Char_3aee4297-8a39-4240-9112-9df4780d04dd"/>
    <w:basedOn w:val="style65"/>
    <w:next w:val="style4105"/>
    <w:link w:val="style8"/>
    <w:uiPriority w:val="9"/>
    <w:rPr>
      <w:rFonts w:cs="Times New Roman" w:eastAsia="宋体"/>
      <w:i/>
      <w:iCs/>
      <w:color w:val="272727"/>
    </w:rPr>
  </w:style>
  <w:style w:type="character" w:customStyle="1" w:styleId="style4106">
    <w:name w:val="Heading 9 Char_0b46565d-fc47-4687-8605-c61867157330"/>
    <w:basedOn w:val="style65"/>
    <w:next w:val="style4106"/>
    <w:link w:val="style9"/>
    <w:uiPriority w:val="9"/>
    <w:rPr>
      <w:rFonts w:cs="Times New Roman" w:eastAsia="宋体"/>
      <w:color w:val="272727"/>
    </w:rPr>
  </w:style>
  <w:style w:type="paragraph" w:styleId="style62">
    <w:name w:val="Title"/>
    <w:basedOn w:val="style0"/>
    <w:next w:val="style0"/>
    <w:link w:val="style4107"/>
    <w:qFormat/>
    <w:uiPriority w:val="10"/>
    <w:pPr>
      <w:spacing w:after="80" w:lineRule="auto" w:line="240"/>
      <w:contextualSpacing/>
    </w:pPr>
    <w:rPr>
      <w:rFonts w:ascii="Aptos Display" w:cs="Times New Roman" w:eastAsia="宋体" w:hAnsi="Aptos Display"/>
      <w:spacing w:val="-10"/>
      <w:kern w:val="28"/>
      <w:sz w:val="56"/>
      <w:szCs w:val="56"/>
    </w:rPr>
  </w:style>
  <w:style w:type="character" w:customStyle="1" w:styleId="style4107">
    <w:name w:val="Title Char_b3843d44-f6f2-403d-81a2-39fabccd6c07"/>
    <w:basedOn w:val="style65"/>
    <w:next w:val="style4107"/>
    <w:link w:val="style62"/>
    <w:uiPriority w:val="10"/>
    <w:rPr>
      <w:rFonts w:ascii="Aptos Display" w:cs="Times New Roman" w:eastAsia="宋体" w:hAnsi="Aptos Display"/>
      <w:spacing w:val="-10"/>
      <w:kern w:val="28"/>
      <w:sz w:val="56"/>
      <w:szCs w:val="56"/>
    </w:rPr>
  </w:style>
  <w:style w:type="paragraph" w:styleId="style74">
    <w:name w:val="Subtitle"/>
    <w:basedOn w:val="style0"/>
    <w:next w:val="style0"/>
    <w:link w:val="style4108"/>
    <w:qFormat/>
    <w:uiPriority w:val="11"/>
    <w:pPr>
      <w:numPr>
        <w:ilvl w:val="1"/>
        <w:numId w:val="0"/>
      </w:numPr>
    </w:pPr>
    <w:rPr>
      <w:rFonts w:cs="Times New Roman" w:eastAsia="宋体"/>
      <w:color w:val="595959"/>
      <w:spacing w:val="15"/>
      <w:sz w:val="28"/>
      <w:szCs w:val="28"/>
    </w:rPr>
  </w:style>
  <w:style w:type="character" w:customStyle="1" w:styleId="style4108">
    <w:name w:val="Subtitle Char"/>
    <w:basedOn w:val="style65"/>
    <w:next w:val="style4108"/>
    <w:link w:val="style74"/>
    <w:uiPriority w:val="11"/>
    <w:rPr>
      <w:rFonts w:cs="Times New Roman" w:eastAsia="宋体"/>
      <w:color w:val="595959"/>
      <w:spacing w:val="15"/>
      <w:sz w:val="28"/>
      <w:szCs w:val="28"/>
    </w:rPr>
  </w:style>
  <w:style w:type="paragraph" w:styleId="style180">
    <w:name w:val="Quote"/>
    <w:basedOn w:val="style0"/>
    <w:next w:val="style0"/>
    <w:link w:val="style4109"/>
    <w:qFormat/>
    <w:uiPriority w:val="29"/>
    <w:pPr>
      <w:spacing w:before="160"/>
      <w:jc w:val="center"/>
    </w:pPr>
    <w:rPr>
      <w:i/>
      <w:iCs/>
      <w:color w:val="404040"/>
    </w:rPr>
  </w:style>
  <w:style w:type="character" w:customStyle="1" w:styleId="style4109">
    <w:name w:val="Quote Char_3047a485-dd83-4bb8-8d1f-94e06b320eeb"/>
    <w:basedOn w:val="style65"/>
    <w:next w:val="style4109"/>
    <w:link w:val="style180"/>
    <w:uiPriority w:val="29"/>
    <w:rPr>
      <w:i/>
      <w:iCs/>
      <w:color w:val="404040"/>
    </w:rPr>
  </w:style>
  <w:style w:type="paragraph" w:styleId="style179">
    <w:name w:val="List Paragraph"/>
    <w:basedOn w:val="style0"/>
    <w:next w:val="style179"/>
    <w:link w:val="style4111"/>
    <w:qFormat/>
    <w:uiPriority w:val="34"/>
    <w:pPr>
      <w:ind w:left="720"/>
      <w:contextualSpacing/>
    </w:pPr>
    <w:rPr/>
  </w:style>
  <w:style w:type="character" w:styleId="style261">
    <w:name w:val="Intense Emphasis"/>
    <w:basedOn w:val="style65"/>
    <w:next w:val="style261"/>
    <w:qFormat/>
    <w:uiPriority w:val="21"/>
    <w:rPr>
      <w:i/>
      <w:iCs/>
      <w:color w:val="0f4761"/>
    </w:rPr>
  </w:style>
  <w:style w:type="paragraph" w:styleId="style181">
    <w:name w:val="Intense Quote"/>
    <w:basedOn w:val="style0"/>
    <w:next w:val="style0"/>
    <w:link w:val="style4110"/>
    <w:qFormat/>
    <w:uiPriority w:val="30"/>
    <w:pPr>
      <w:pBdr>
        <w:top w:val="single" w:sz="4" w:space="10" w:color="0f4761"/>
        <w:bottom w:val="single" w:sz="4" w:space="10" w:color="0f4761"/>
      </w:pBdr>
      <w:spacing w:before="360" w:after="360"/>
      <w:ind w:left="864" w:right="864"/>
      <w:jc w:val="center"/>
    </w:pPr>
    <w:rPr>
      <w:i/>
      <w:iCs/>
      <w:color w:val="0f4761"/>
    </w:rPr>
  </w:style>
  <w:style w:type="character" w:customStyle="1" w:styleId="style4110">
    <w:name w:val="Intense Quote Char_48f016e7-ac03-4b89-acdb-f982d1c7faec"/>
    <w:basedOn w:val="style65"/>
    <w:next w:val="style4110"/>
    <w:link w:val="style181"/>
    <w:uiPriority w:val="30"/>
    <w:rPr>
      <w:i/>
      <w:iCs/>
      <w:color w:val="0f4761"/>
    </w:rPr>
  </w:style>
  <w:style w:type="character" w:styleId="style263">
    <w:name w:val="Intense Reference"/>
    <w:basedOn w:val="style65"/>
    <w:next w:val="style263"/>
    <w:qFormat/>
    <w:uiPriority w:val="32"/>
    <w:rPr>
      <w:b/>
      <w:bCs/>
      <w:smallCaps/>
      <w:color w:val="0f4761"/>
      <w:spacing w:val="5"/>
    </w:rPr>
  </w:style>
  <w:style w:type="character" w:customStyle="1" w:styleId="style4111">
    <w:name w:val="List Paragraph Char"/>
    <w:next w:val="style4111"/>
    <w:link w:val="style179"/>
    <w:uiPriority w:val="34"/>
  </w:style>
  <w:style w:type="paragraph" w:styleId="style31">
    <w:name w:val="header"/>
    <w:basedOn w:val="style0"/>
    <w:next w:val="style31"/>
    <w:link w:val="style4112"/>
    <w:uiPriority w:val="99"/>
    <w:pPr>
      <w:tabs>
        <w:tab w:val="center" w:leader="none" w:pos="4680"/>
        <w:tab w:val="right" w:leader="none" w:pos="9360"/>
      </w:tabs>
      <w:spacing w:after="0" w:lineRule="auto" w:line="240"/>
    </w:pPr>
    <w:rPr/>
  </w:style>
  <w:style w:type="character" w:customStyle="1" w:styleId="style4112">
    <w:name w:val="Header Char_e2026892-821d-4d6c-a52a-b189de88e5d3"/>
    <w:basedOn w:val="style65"/>
    <w:next w:val="style4112"/>
    <w:link w:val="style31"/>
    <w:uiPriority w:val="99"/>
    <w:rPr>
      <w:sz w:val="22"/>
      <w:szCs w:val="22"/>
    </w:rPr>
  </w:style>
  <w:style w:type="paragraph" w:styleId="style32">
    <w:name w:val="footer"/>
    <w:basedOn w:val="style0"/>
    <w:next w:val="style32"/>
    <w:link w:val="style4113"/>
    <w:uiPriority w:val="99"/>
    <w:pPr>
      <w:tabs>
        <w:tab w:val="center" w:leader="none" w:pos="4680"/>
        <w:tab w:val="right" w:leader="none" w:pos="9360"/>
      </w:tabs>
      <w:spacing w:after="0" w:lineRule="auto" w:line="240"/>
    </w:pPr>
    <w:rPr/>
  </w:style>
  <w:style w:type="character" w:customStyle="1" w:styleId="style4113">
    <w:name w:val="Footer Char_065b11b5-829b-492d-90f1-11fac777395f"/>
    <w:basedOn w:val="style65"/>
    <w:next w:val="style4113"/>
    <w:link w:val="style32"/>
    <w:uiPriority w:val="99"/>
    <w:rPr>
      <w:sz w:val="22"/>
      <w:szCs w:val="22"/>
    </w:rPr>
  </w:style>
  <w:style w:type="paragraph" w:styleId="style34">
    <w:name w:val="caption"/>
    <w:basedOn w:val="style0"/>
    <w:next w:val="style0"/>
    <w:link w:val="style4114"/>
    <w:qFormat/>
    <w:uiPriority w:val="35"/>
    <w:pPr>
      <w:spacing w:after="200" w:lineRule="auto" w:line="240"/>
    </w:pPr>
    <w:rPr>
      <w:i/>
      <w:iCs/>
      <w:color w:val="0e2841"/>
      <w:sz w:val="18"/>
      <w:szCs w:val="18"/>
    </w:rPr>
  </w:style>
  <w:style w:type="character" w:customStyle="1" w:styleId="style4114">
    <w:name w:val="Caption Char"/>
    <w:basedOn w:val="style65"/>
    <w:next w:val="style4114"/>
    <w:link w:val="style34"/>
    <w:uiPriority w:val="35"/>
    <w:rPr>
      <w:i/>
      <w:iCs/>
      <w:color w:val="0e2841"/>
      <w:sz w:val="18"/>
      <w:szCs w:val="18"/>
    </w:rPr>
  </w:style>
  <w:style w:type="paragraph" w:styleId="style266">
    <w:name w:val="TOC Heading"/>
    <w:basedOn w:val="style1"/>
    <w:next w:val="style0"/>
    <w:qFormat/>
    <w:uiPriority w:val="39"/>
    <w:pPr>
      <w:bidi w:val="false"/>
      <w:spacing w:before="240" w:after="0"/>
      <w:outlineLvl w:val="9"/>
    </w:pPr>
    <w:rPr>
      <w:kern w:val="0"/>
      <w:sz w:val="32"/>
      <w:szCs w:val="32"/>
      <w14:ligatures xmlns:w14="http://schemas.microsoft.com/office/word/2010/wordml" w14:val="none"/>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20"/>
    </w:pPr>
    <w:rPr/>
  </w:style>
  <w:style w:type="character" w:styleId="style85">
    <w:name w:val="Hyperlink"/>
    <w:basedOn w:val="style65"/>
    <w:next w:val="style85"/>
    <w:uiPriority w:val="99"/>
    <w:rPr>
      <w:color w:val="467886"/>
      <w:u w:val="single"/>
    </w:rPr>
  </w:style>
  <w:style w:type="table" w:styleId="style154">
    <w:name w:val="Table Grid"/>
    <w:basedOn w:val="style105"/>
    <w:next w:val="style154"/>
    <w:uiPriority w:val="39"/>
    <w:pPr>
      <w:spacing w:after="0" w:lineRule="auto" w:line="240"/>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character" w:customStyle="1" w:styleId="style4115">
    <w:name w:val="Unresolved Mention1"/>
    <w:basedOn w:val="style65"/>
    <w:next w:val="style4115"/>
    <w:uiPriority w:val="99"/>
    <w:rPr>
      <w:color w:val="605e5c"/>
      <w:shd w:val="clear" w:color="auto" w:fill="e1dfdd"/>
    </w:rPr>
  </w:style>
  <w:style w:type="character" w:customStyle="1" w:styleId="style4116">
    <w:name w:val="m7eme"/>
    <w:basedOn w:val="style65"/>
    <w:next w:val="style4116"/>
  </w:style>
  <w:style w:type="paragraph" w:styleId="style265">
    <w:name w:val="Bibliography"/>
    <w:basedOn w:val="style0"/>
    <w:next w:val="style0"/>
    <w:uiPriority w:val="37"/>
    <w:pPr/>
  </w:style>
  <w:style w:type="paragraph" w:styleId="style35">
    <w:name w:val="table of figures"/>
    <w:basedOn w:val="style0"/>
    <w:next w:val="style0"/>
    <w:uiPriority w:val="99"/>
    <w:pPr>
      <w:spacing w:after="0"/>
    </w:pPr>
    <w:rPr/>
  </w:style>
  <w:style w:type="character" w:customStyle="1" w:styleId="style4117">
    <w:name w:val="Unresolved Mention"/>
    <w:basedOn w:val="style65"/>
    <w:next w:val="style4117"/>
    <w:uiPriority w:val="99"/>
    <w:rPr>
      <w:color w:val="605e5c"/>
      <w:shd w:val="clear" w:color="auto" w:fill="e1dfdd"/>
    </w:rPr>
  </w:style>
  <w:style w:type="paragraph" w:styleId="style157">
    <w:name w:val="No Spacing"/>
    <w:next w:val="style157"/>
    <w:link w:val="style4123"/>
    <w:qFormat/>
    <w:uiPriority w:val="1"/>
    <w:pPr>
      <w:bidi/>
      <w:spacing w:after="0" w:lineRule="auto" w:line="240"/>
    </w:pPr>
    <w:rPr>
      <w:sz w:val="22"/>
      <w:szCs w:val="22"/>
    </w:rPr>
  </w:style>
  <w:style w:type="paragraph" w:styleId="style153">
    <w:name w:val="Balloon Text"/>
    <w:basedOn w:val="style0"/>
    <w:next w:val="style153"/>
    <w:link w:val="style4118"/>
    <w:uiPriority w:val="99"/>
    <w:pPr>
      <w:bidi w:val="false"/>
      <w:spacing w:after="0" w:lineRule="auto" w:line="240"/>
    </w:pPr>
    <w:rPr>
      <w:rFonts w:ascii="Tahoma" w:cs="Tahoma" w:hAnsi="Tahoma"/>
      <w:sz w:val="16"/>
      <w:szCs w:val="16"/>
    </w:rPr>
  </w:style>
  <w:style w:type="character" w:customStyle="1" w:styleId="style4118">
    <w:name w:val="Balloon Text Char"/>
    <w:basedOn w:val="style65"/>
    <w:next w:val="style4118"/>
    <w:link w:val="style153"/>
    <w:uiPriority w:val="99"/>
    <w:rPr>
      <w:rFonts w:ascii="Tahoma" w:cs="Tahoma" w:hAnsi="Tahoma"/>
      <w:sz w:val="16"/>
      <w:szCs w:val="16"/>
    </w:rPr>
  </w:style>
  <w:style w:type="character" w:styleId="style86">
    <w:name w:val="FollowedHyperlink"/>
    <w:basedOn w:val="style65"/>
    <w:next w:val="style86"/>
    <w:uiPriority w:val="99"/>
    <w:rPr>
      <w:color w:val="96607d"/>
      <w:u w:val="single"/>
    </w:rPr>
  </w:style>
  <w:style w:type="character" w:styleId="style87">
    <w:name w:val="Strong"/>
    <w:basedOn w:val="style65"/>
    <w:next w:val="style87"/>
    <w:qFormat/>
    <w:uiPriority w:val="22"/>
    <w:rPr>
      <w:b/>
      <w:bCs/>
    </w:rPr>
  </w:style>
  <w:style w:type="paragraph" w:styleId="style94">
    <w:name w:val="Normal (Web)"/>
    <w:basedOn w:val="style0"/>
    <w:next w:val="style94"/>
    <w:uiPriority w:val="99"/>
    <w:pPr>
      <w:bidi w:val="false"/>
    </w:pPr>
    <w:rPr>
      <w:rFonts w:ascii="Times New Roman" w:cs="Times New Roman" w:hAnsi="Times New Roman"/>
      <w:sz w:val="24"/>
      <w:szCs w:val="24"/>
    </w:rPr>
  </w:style>
  <w:style w:type="paragraph" w:styleId="style21">
    <w:name w:val="toc 3"/>
    <w:basedOn w:val="style0"/>
    <w:next w:val="style0"/>
    <w:uiPriority w:val="39"/>
    <w:pPr>
      <w:bidi w:val="false"/>
      <w:spacing w:after="100"/>
      <w:ind w:left="440"/>
    </w:pPr>
    <w:rPr>
      <w:rFonts w:cs="Times New Roman" w:eastAsia="宋体"/>
      <w:kern w:val="0"/>
      <w14:ligatures xmlns:w14="http://schemas.microsoft.com/office/word/2010/wordml" w14:val="none"/>
    </w:rPr>
  </w:style>
  <w:style w:type="paragraph" w:styleId="style101">
    <w:name w:val="HTML Preformatted"/>
    <w:basedOn w:val="style0"/>
    <w:next w:val="style101"/>
    <w:link w:val="style4119"/>
    <w:uiPriority w:val="99"/>
    <w:pPr>
      <w:spacing w:after="0" w:lineRule="auto" w:line="240"/>
    </w:pPr>
    <w:rPr>
      <w:rFonts w:ascii="Consolas" w:hAnsi="Consolas"/>
      <w:sz w:val="20"/>
      <w:szCs w:val="20"/>
    </w:rPr>
  </w:style>
  <w:style w:type="character" w:customStyle="1" w:styleId="style4119">
    <w:name w:val="HTML Preformatted Char"/>
    <w:basedOn w:val="style65"/>
    <w:next w:val="style4119"/>
    <w:link w:val="style101"/>
    <w:uiPriority w:val="99"/>
    <w:rPr>
      <w:rFonts w:ascii="Consolas" w:hAnsi="Consolas"/>
      <w:sz w:val="20"/>
      <w:szCs w:val="20"/>
    </w:rPr>
  </w:style>
  <w:style w:type="character" w:customStyle="1" w:styleId="style4120">
    <w:name w:val="myxfac"/>
    <w:basedOn w:val="style65"/>
    <w:next w:val="style4120"/>
  </w:style>
  <w:style w:type="table" w:customStyle="1" w:styleId="style4121">
    <w:name w:val="Grid Table Light"/>
    <w:basedOn w:val="style105"/>
    <w:next w:val="style4121"/>
    <w:uiPriority w:val="40"/>
    <w:pPr>
      <w:spacing w:after="0" w:lineRule="auto" w:line="240"/>
    </w:pPr>
    <w:rPr>
      <w:sz w:val="22"/>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cPr>
      <w:tcBorders/>
    </w:tcPr>
  </w:style>
  <w:style w:type="paragraph" w:customStyle="1" w:styleId="style4122">
    <w:name w:val="كلام"/>
    <w:basedOn w:val="style157"/>
    <w:next w:val="style4122"/>
    <w:link w:val="style4124"/>
    <w:qFormat/>
    <w:pPr>
      <w:spacing w:lineRule="auto" w:line="360"/>
      <w:jc w:val="both"/>
    </w:pPr>
    <w:rPr>
      <w:b/>
      <w:bCs/>
    </w:rPr>
  </w:style>
  <w:style w:type="character" w:customStyle="1" w:styleId="style4123">
    <w:name w:val="No Spacing Char"/>
    <w:basedOn w:val="style65"/>
    <w:next w:val="style4123"/>
    <w:link w:val="style157"/>
    <w:uiPriority w:val="1"/>
    <w:rPr>
      <w:sz w:val="22"/>
      <w:szCs w:val="22"/>
    </w:rPr>
  </w:style>
  <w:style w:type="character" w:customStyle="1" w:styleId="style4124">
    <w:name w:val="كلام Char"/>
    <w:basedOn w:val="style4123"/>
    <w:next w:val="style4124"/>
    <w:link w:val="style4122"/>
    <w:rPr>
      <w:b/>
      <w:bCs/>
      <w:sz w:val="22"/>
      <w:szCs w:val="22"/>
    </w:rPr>
  </w:style>
  <w:style w:type="paragraph" w:customStyle="1" w:styleId="style4125">
    <w:name w:val="عنوان"/>
    <w:basedOn w:val="style4122"/>
    <w:next w:val="style4125"/>
    <w:link w:val="style4126"/>
    <w:qFormat/>
    <w:uiPriority w:val="99"/>
    <w:pPr>
      <w:numPr>
        <w:ilvl w:val="0"/>
        <w:numId w:val="1"/>
      </w:numPr>
      <w:spacing w:after="160"/>
    </w:pPr>
    <w:rPr>
      <w:rFonts w:ascii="Sakkal Majalla" w:cs="Sakkal Majalla" w:hAnsi="Sakkal Majalla"/>
      <w:sz w:val="28"/>
      <w:szCs w:val="28"/>
    </w:rPr>
  </w:style>
  <w:style w:type="character" w:customStyle="1" w:styleId="style4126">
    <w:name w:val="عنوان Char"/>
    <w:basedOn w:val="style4124"/>
    <w:next w:val="style4126"/>
    <w:link w:val="style4125"/>
    <w:uiPriority w:val="99"/>
    <w:rPr>
      <w:rFonts w:ascii="Sakkal Majalla" w:cs="Sakkal Majalla" w:hAnsi="Sakkal Majalla"/>
      <w:b/>
      <w:bCs/>
      <w:sz w:val="28"/>
      <w:szCs w:val="28"/>
    </w:rPr>
  </w:style>
  <w:style w:type="table" w:customStyle="1" w:styleId="style4127">
    <w:name w:val="Grid Table 4 Accent 3"/>
    <w:basedOn w:val="style105"/>
    <w:next w:val="style4127"/>
    <w:uiPriority w:val="49"/>
    <w:pPr>
      <w:spacing w:after="0" w:lineRule="auto" w:line="240"/>
    </w:pPr>
    <w:rPr>
      <w:sz w:val="22"/>
      <w:szCs w:val="22"/>
    </w:rPr>
    <w:tblPr>
      <w:tblStyleRowBandSize w:val="1"/>
      <w:tblStyleColBandSize w:val="1"/>
      <w:tblBorders>
        <w:top w:val="single" w:sz="4" w:space="0" w:color="47d459"/>
        <w:left w:val="single" w:sz="4" w:space="0" w:color="47d459"/>
        <w:bottom w:val="single" w:sz="4" w:space="0" w:color="47d459"/>
        <w:right w:val="single" w:sz="4" w:space="0" w:color="47d459"/>
        <w:insideH w:val="single" w:sz="4" w:space="0" w:color="47d459"/>
        <w:insideV w:val="single" w:sz="4" w:space="0" w:color="47d459"/>
      </w:tblBorders>
    </w:tblPr>
    <w:tblStylePr w:type="firstRow">
      <w:pPr/>
      <w:rPr>
        <w:b/>
        <w:bCs/>
        <w:color w:val="ffffff"/>
      </w:rPr>
      <w:tblPr/>
      <w:tcPr>
        <w:tcBorders>
          <w:top w:val="single" w:sz="4" w:space="0" w:color="196b24"/>
          <w:left w:val="single" w:sz="4" w:space="0" w:color="196b24"/>
          <w:bottom w:val="single" w:sz="4" w:space="0" w:color="196b24"/>
          <w:right w:val="single" w:sz="4" w:space="0" w:color="196b24"/>
          <w:insideH w:val="nil"/>
          <w:insideV w:val="nil"/>
        </w:tcBorders>
        <w:shd w:val="clear" w:color="auto" w:fill="196b24"/>
      </w:tcPr>
    </w:tblStylePr>
    <w:tblStylePr w:type="lastRow">
      <w:pPr/>
      <w:rPr>
        <w:b/>
        <w:bCs/>
      </w:rPr>
      <w:tblPr/>
      <w:tcPr>
        <w:tcBorders>
          <w:top w:val="double" w:sz="4" w:space="0" w:color="196b24"/>
        </w:tcBorders>
      </w:tcPr>
    </w:tblStylePr>
    <w:tblStylePr w:type="band1Horz">
      <w:pPr/>
      <w:tblPr/>
      <w:tcPr>
        <w:tcBorders/>
        <w:shd w:val="clear" w:color="auto" w:fill="c1f0c7"/>
      </w:tcPr>
    </w:tblStylePr>
    <w:tblStylePr w:type="firstCol">
      <w:pPr/>
      <w:rPr>
        <w:b/>
        <w:bCs/>
      </w:rPr>
      <w:tcPr>
        <w:tcBorders/>
      </w:tcPr>
    </w:tblStylePr>
    <w:tblStylePr w:type="lastCol">
      <w:pPr/>
      <w:rPr>
        <w:b/>
        <w:bCs/>
      </w:rPr>
      <w:tcPr>
        <w:tcBorders/>
      </w:tcPr>
    </w:tblStylePr>
    <w:tblStylePr w:type="band1Vert">
      <w:pPr/>
      <w:tblPr/>
      <w:tcPr>
        <w:tcBorders/>
        <w:shd w:val="clear" w:color="auto" w:fill="c1f0c7"/>
      </w:tcPr>
    </w:tblStylePr>
    <w:tcPr>
      <w:tcBorders/>
    </w:tcPr>
  </w:style>
  <w:style w:type="table" w:customStyle="1" w:styleId="style4128">
    <w:name w:val="Grid Table 5 Dark Accent 3"/>
    <w:basedOn w:val="style105"/>
    <w:next w:val="style4128"/>
    <w:uiPriority w:val="50"/>
    <w:pPr>
      <w:spacing w:after="0" w:lineRule="auto" w:line="240"/>
    </w:pPr>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c1f0c7"/>
    </w:tblPr>
    <w:tblStylePr w:type="firstRow">
      <w:pPr/>
      <w:rPr>
        <w:b/>
        <w:bCs/>
        <w:color w:val="ffffff"/>
      </w:rPr>
      <w:tblPr/>
      <w:tcPr>
        <w:tcBorders>
          <w:top w:val="single" w:sz="4" w:space="0" w:color="ffffff"/>
          <w:left w:val="single" w:sz="4" w:space="0" w:color="ffffff"/>
          <w:right w:val="single" w:sz="4" w:space="0" w:color="ffffff"/>
          <w:insideH w:val="nil"/>
          <w:insideV w:val="nil"/>
        </w:tcBorders>
        <w:shd w:val="clear" w:color="auto" w:fill="196b24"/>
      </w:tcPr>
    </w:tblStylePr>
    <w:tblStylePr w:type="lastRow">
      <w:pPr/>
      <w:rPr>
        <w:b/>
        <w:bCs/>
        <w:color w:val="ffffff"/>
      </w:rPr>
      <w:tblPr/>
      <w:tcPr>
        <w:tcBorders>
          <w:left w:val="single" w:sz="4" w:space="0" w:color="ffffff"/>
          <w:bottom w:val="single" w:sz="4" w:space="0" w:color="ffffff"/>
          <w:right w:val="single" w:sz="4" w:space="0" w:color="ffffff"/>
          <w:insideH w:val="nil"/>
          <w:insideV w:val="nil"/>
        </w:tcBorders>
        <w:shd w:val="clear" w:color="auto" w:fill="196b24"/>
      </w:tcPr>
    </w:tblStylePr>
    <w:tblStylePr w:type="band1Horz">
      <w:pPr/>
      <w:tblPr/>
      <w:tcPr>
        <w:tcBorders/>
        <w:shd w:val="clear" w:color="auto" w:fill="84e290"/>
      </w:tcPr>
    </w:tblStylePr>
    <w:tblStylePr w:type="firstCol">
      <w:pPr/>
      <w:rPr>
        <w:b/>
        <w:bCs/>
        <w:color w:val="ffffff"/>
      </w:rPr>
      <w:tblPr/>
      <w:tcPr>
        <w:tcBorders>
          <w:top w:val="single" w:sz="4" w:space="0" w:color="ffffff"/>
          <w:left w:val="single" w:sz="4" w:space="0" w:color="ffffff"/>
          <w:bottom w:val="single" w:sz="4" w:space="0" w:color="ffffff"/>
          <w:insideV w:val="nil"/>
        </w:tcBorders>
        <w:shd w:val="clear" w:color="auto" w:fill="196b24"/>
      </w:tcPr>
    </w:tblStylePr>
    <w:tblStylePr w:type="lastCol">
      <w:pPr/>
      <w:rPr>
        <w:b/>
        <w:bCs/>
        <w:color w:val="ffffff"/>
      </w:rPr>
      <w:tblPr/>
      <w:tcPr>
        <w:tcBorders>
          <w:top w:val="single" w:sz="4" w:space="0" w:color="ffffff"/>
          <w:bottom w:val="single" w:sz="4" w:space="0" w:color="ffffff"/>
          <w:right w:val="single" w:sz="4" w:space="0" w:color="ffffff"/>
          <w:insideV w:val="nil"/>
        </w:tcBorders>
        <w:shd w:val="clear" w:color="auto" w:fill="196b24"/>
      </w:tcPr>
    </w:tblStylePr>
    <w:tblStylePr w:type="band1Vert">
      <w:pPr/>
      <w:tblPr/>
      <w:tcPr>
        <w:tcBorders/>
        <w:shd w:val="clear" w:color="auto" w:fill="84e290"/>
      </w:tcPr>
    </w:tblStylePr>
    <w:tcPr>
      <w:tcBorders/>
      <w:shd w:val="clear" w:color="auto" w:fill="c1f0c7"/>
    </w:tcPr>
  </w:style>
  <w:style w:type="table" w:customStyle="1" w:styleId="style4129">
    <w:name w:val="Grid Table 7 Colorful"/>
    <w:basedOn w:val="style105"/>
    <w:next w:val="style4129"/>
    <w:uiPriority w:val="52"/>
    <w:pPr>
      <w:spacing w:after="0" w:lineRule="auto" w:line="240"/>
    </w:pPr>
    <w:rPr>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pPr/>
      <w:rPr>
        <w:b/>
        <w:bCs/>
      </w:rPr>
      <w:tblPr/>
      <w:tcPr>
        <w:tcBorders>
          <w:top w:val="nil"/>
          <w:left w:val="nil"/>
          <w:right w:val="nil"/>
          <w:insideH w:val="nil"/>
          <w:insideV w:val="nil"/>
        </w:tcBorders>
        <w:shd w:val="clear" w:color="auto" w:fill="ffffff"/>
      </w:tcPr>
    </w:tblStylePr>
    <w:tblStylePr w:type="lastRow">
      <w:pPr/>
      <w:rPr>
        <w:b/>
        <w:bCs/>
      </w:rPr>
      <w:tblPr/>
      <w:tcPr>
        <w:tcBorders>
          <w:left w:val="nil"/>
          <w:bottom w:val="nil"/>
          <w:right w:val="nil"/>
          <w:insideH w:val="nil"/>
          <w:insideV w:val="nil"/>
        </w:tcBorders>
        <w:shd w:val="clear" w:color="auto" w:fill="ffffff"/>
      </w:tcPr>
    </w:tblStylePr>
    <w:tblStylePr w:type="band1Horz">
      <w:pPr/>
      <w:tblPr/>
      <w:tcPr>
        <w:tcBorders/>
        <w:shd w:val="clear" w:color="auto" w:fill="cccccc"/>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pPr/>
      <w:rPr>
        <w:i/>
        <w:iCs/>
      </w:rPr>
      <w:tblPr/>
      <w:tcPr>
        <w:tcBorders>
          <w:top w:val="nil"/>
          <w:bottom w:val="nil"/>
          <w:right w:val="nil"/>
          <w:insideH w:val="nil"/>
          <w:insideV w:val="nil"/>
        </w:tcBorders>
        <w:shd w:val="clear" w:color="auto" w:fill="ffffff"/>
      </w:tcPr>
    </w:tblStylePr>
    <w:tblStylePr w:type="band1Vert">
      <w:pPr/>
      <w:tblPr/>
      <w:tcPr>
        <w:tcBorders/>
        <w:shd w:val="clear" w:color="auto" w:fill="cccccc"/>
      </w:tcPr>
    </w:tblStylePr>
    <w:tblStylePr w:type="neCell">
      <w:pPr/>
      <w:tblPr/>
      <w:tcPr>
        <w:tcBorders>
          <w:bottom w:val="single" w:sz="4" w:space="0" w:color="666666"/>
        </w:tcBorders>
      </w:tcPr>
    </w:tblStylePr>
    <w:tblStylePr w:type="nwCell">
      <w:pPr/>
      <w:tblPr/>
      <w:tcPr>
        <w:tcBorders>
          <w:bottom w:val="single" w:sz="4" w:space="0" w:color="666666"/>
        </w:tcBorders>
      </w:tcPr>
    </w:tblStylePr>
    <w:tblStylePr w:type="seCell">
      <w:pPr/>
      <w:tblPr/>
      <w:tcPr>
        <w:tcBorders>
          <w:top w:val="single" w:sz="4" w:space="0" w:color="666666"/>
        </w:tcBorders>
      </w:tcPr>
    </w:tblStylePr>
    <w:tblStylePr w:type="swCell">
      <w:pPr/>
      <w:tblPr/>
      <w:tcPr>
        <w:tcBorders>
          <w:top w:val="single" w:sz="4" w:space="0" w:color="666666"/>
        </w:tcBorders>
      </w:tcPr>
    </w:tblStylePr>
    <w:tcPr>
      <w:tcBorders/>
    </w:tcPr>
  </w:style>
  <w:style w:type="table" w:customStyle="1" w:styleId="style4130">
    <w:name w:val="Grid Table 5 Dark"/>
    <w:basedOn w:val="style105"/>
    <w:next w:val="style4130"/>
    <w:uiPriority w:val="50"/>
    <w:pPr>
      <w:spacing w:after="0" w:lineRule="auto" w:line="240"/>
    </w:pPr>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cccccc"/>
    </w:tblPr>
    <w:tblStylePr w:type="firstRow">
      <w:pPr/>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pPr/>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band1Horz">
      <w:pPr/>
      <w:tblPr/>
      <w:tcPr>
        <w:tcBorders/>
        <w:shd w:val="clear" w:color="auto" w:fill="999999"/>
      </w:tcPr>
    </w:tblStylePr>
    <w:tblStylePr w:type="firstCol">
      <w:pPr/>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pPr/>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pPr/>
      <w:tblPr/>
      <w:tcPr>
        <w:tcBorders/>
        <w:shd w:val="clear" w:color="auto" w:fill="999999"/>
      </w:tcPr>
    </w:tblStylePr>
    <w:tcPr>
      <w:tcBorders/>
      <w:shd w:val="clear" w:color="auto" w:fill="cccccc"/>
    </w:tcPr>
  </w:style>
  <w:style w:type="table" w:customStyle="1" w:styleId="style4131">
    <w:name w:val="Grid Table 3"/>
    <w:basedOn w:val="style105"/>
    <w:next w:val="style4131"/>
    <w:uiPriority w:val="48"/>
    <w:pPr>
      <w:spacing w:after="0" w:lineRule="auto" w:line="240"/>
    </w:pPr>
    <w:rPr>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pPr/>
      <w:rPr>
        <w:b/>
        <w:bCs/>
      </w:rPr>
      <w:tblPr/>
      <w:tcPr>
        <w:tcBorders>
          <w:top w:val="nil"/>
          <w:left w:val="nil"/>
          <w:right w:val="nil"/>
          <w:insideH w:val="nil"/>
          <w:insideV w:val="nil"/>
        </w:tcBorders>
        <w:shd w:val="clear" w:color="auto" w:fill="ffffff"/>
      </w:tcPr>
    </w:tblStylePr>
    <w:tblStylePr w:type="lastRow">
      <w:pPr/>
      <w:rPr>
        <w:b/>
        <w:bCs/>
      </w:rPr>
      <w:tblPr/>
      <w:tcPr>
        <w:tcBorders>
          <w:left w:val="nil"/>
          <w:bottom w:val="nil"/>
          <w:right w:val="nil"/>
          <w:insideH w:val="nil"/>
          <w:insideV w:val="nil"/>
        </w:tcBorders>
        <w:shd w:val="clear" w:color="auto" w:fill="ffffff"/>
      </w:tcPr>
    </w:tblStylePr>
    <w:tblStylePr w:type="band1Horz">
      <w:pPr/>
      <w:tblPr/>
      <w:tcPr>
        <w:tcBorders/>
        <w:shd w:val="clear" w:color="auto" w:fill="cccccc"/>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pPr/>
      <w:rPr>
        <w:i/>
        <w:iCs/>
      </w:rPr>
      <w:tblPr/>
      <w:tcPr>
        <w:tcBorders>
          <w:top w:val="nil"/>
          <w:bottom w:val="nil"/>
          <w:right w:val="nil"/>
          <w:insideH w:val="nil"/>
          <w:insideV w:val="nil"/>
        </w:tcBorders>
        <w:shd w:val="clear" w:color="auto" w:fill="ffffff"/>
      </w:tcPr>
    </w:tblStylePr>
    <w:tblStylePr w:type="band1Vert">
      <w:pPr/>
      <w:tblPr/>
      <w:tcPr>
        <w:tcBorders/>
        <w:shd w:val="clear" w:color="auto" w:fill="cccccc"/>
      </w:tcPr>
    </w:tblStylePr>
    <w:tblStylePr w:type="neCell">
      <w:pPr/>
      <w:tblPr/>
      <w:tcPr>
        <w:tcBorders>
          <w:bottom w:val="single" w:sz="4" w:space="0" w:color="666666"/>
        </w:tcBorders>
      </w:tcPr>
    </w:tblStylePr>
    <w:tblStylePr w:type="nwCell">
      <w:pPr/>
      <w:tblPr/>
      <w:tcPr>
        <w:tcBorders>
          <w:bottom w:val="single" w:sz="4" w:space="0" w:color="666666"/>
        </w:tcBorders>
      </w:tcPr>
    </w:tblStylePr>
    <w:tblStylePr w:type="seCell">
      <w:pPr/>
      <w:tblPr/>
      <w:tcPr>
        <w:tcBorders>
          <w:top w:val="single" w:sz="4" w:space="0" w:color="666666"/>
        </w:tcBorders>
      </w:tcPr>
    </w:tblStylePr>
    <w:tblStylePr w:type="swCell">
      <w:pPr/>
      <w:tblPr/>
      <w:tcPr>
        <w:tcBorders>
          <w:top w:val="single" w:sz="4" w:space="0" w:color="666666"/>
        </w:tcBorders>
      </w:tcPr>
    </w:tblStylePr>
    <w:tcPr>
      <w:tcBorders/>
    </w:tcPr>
  </w:style>
  <w:style w:type="table" w:customStyle="1" w:styleId="style4132">
    <w:name w:val="Plain Table 5"/>
    <w:basedOn w:val="style105"/>
    <w:next w:val="style4132"/>
    <w:uiPriority w:val="45"/>
    <w:pPr>
      <w:spacing w:after="0" w:lineRule="auto" w:line="240"/>
    </w:pPr>
    <w:rPr>
      <w:sz w:val="22"/>
      <w:szCs w:val="22"/>
    </w:rPr>
    <w:tblPr>
      <w:tblStyleRowBandSize w:val="1"/>
      <w:tblStyleColBandSize w:val="1"/>
    </w:tblPr>
    <w:tblStylePr w:type="firstRow">
      <w:pPr/>
      <w:rPr>
        <w:rFonts w:ascii="Aptos Display" w:cs="Times New Roman" w:eastAsia="宋体" w:hAnsi="Aptos Display"/>
        <w:i/>
        <w:iCs/>
        <w:sz w:val="26"/>
      </w:rPr>
      <w:tblPr/>
      <w:tcPr>
        <w:tcBorders>
          <w:bottom w:val="single" w:sz="4" w:space="0" w:color="7f7f7f"/>
        </w:tcBorders>
        <w:shd w:val="clear" w:color="auto" w:fill="ffffff"/>
      </w:tcPr>
    </w:tblStylePr>
    <w:tblStylePr w:type="lastRow">
      <w:pPr/>
      <w:rPr>
        <w:rFonts w:ascii="Aptos Display" w:cs="Times New Roman" w:eastAsia="宋体" w:hAnsi="Aptos Display"/>
        <w:i/>
        <w:iCs/>
        <w:sz w:val="26"/>
      </w:rPr>
      <w:tblPr/>
      <w:tcPr>
        <w:tcBorders>
          <w:top w:val="single" w:sz="4" w:space="0" w:color="7f7f7f"/>
        </w:tcBorders>
        <w:shd w:val="clear" w:color="auto" w:fill="ffffff"/>
      </w:tcPr>
    </w:tblStylePr>
    <w:tblStylePr w:type="band1Horz">
      <w:pPr/>
      <w:tblPr/>
      <w:tcPr>
        <w:tcBorders/>
        <w:shd w:val="clear" w:color="auto" w:fill="f2f2f2"/>
      </w:tcPr>
    </w:tblStylePr>
    <w:tblStylePr w:type="firstCol">
      <w:pPr>
        <w:jc w:val="right"/>
      </w:pPr>
      <w:rPr>
        <w:rFonts w:ascii="Aptos Display" w:cs="Times New Roman" w:eastAsia="宋体" w:hAnsi="Aptos Display"/>
        <w:i/>
        <w:iCs/>
        <w:sz w:val="26"/>
      </w:rPr>
      <w:tblPr/>
      <w:tcPr>
        <w:tcBorders>
          <w:right w:val="single" w:sz="4" w:space="0" w:color="7f7f7f"/>
        </w:tcBorders>
        <w:shd w:val="clear" w:color="auto" w:fill="ffffff"/>
      </w:tcPr>
    </w:tblStylePr>
    <w:tblStylePr w:type="lastCol">
      <w:pPr/>
      <w:rPr>
        <w:rFonts w:ascii="Aptos Display" w:cs="Times New Roman" w:eastAsia="宋体" w:hAnsi="Aptos Display"/>
        <w:i/>
        <w:iCs/>
        <w:sz w:val="26"/>
      </w:rPr>
      <w:tblPr/>
      <w:tcPr>
        <w:tcBorders>
          <w:left w:val="single" w:sz="4" w:space="0" w:color="7f7f7f"/>
        </w:tcBorders>
        <w:shd w:val="clear" w:color="auto" w:fill="ffffff"/>
      </w:tcPr>
    </w:tblStylePr>
    <w:tblStylePr w:type="band1Vert">
      <w:pPr/>
      <w:tblPr/>
      <w:tcPr>
        <w:tcBorders/>
        <w:shd w:val="clear" w:color="auto" w:fill="f2f2f2"/>
      </w:tcPr>
    </w:tblStylePr>
    <w:tblStylePr w:type="neCell">
      <w:pPr/>
      <w:tblPr/>
      <w:tcPr>
        <w:tcBorders>
          <w:left w:val="nil"/>
        </w:tcBorders>
      </w:tcPr>
    </w:tblStylePr>
    <w:tblStylePr w:type="nwCell">
      <w:pPr/>
      <w:tblPr/>
      <w:tcPr>
        <w:tcBorders>
          <w:right w:val="nil"/>
        </w:tcBorders>
      </w:tcPr>
    </w:tblStylePr>
    <w:tblStylePr w:type="seCell">
      <w:pPr/>
      <w:tblPr/>
      <w:tcPr>
        <w:tcBorders>
          <w:left w:val="nil"/>
        </w:tcBorders>
      </w:tcPr>
    </w:tblStylePr>
    <w:tblStylePr w:type="swCell">
      <w:pPr/>
      <w:tblPr/>
      <w:tcPr>
        <w:tcBorders>
          <w:right w:val="nil"/>
        </w:tcBorders>
      </w:tcPr>
    </w:tblStylePr>
    <w:tcPr>
      <w:tcBorders/>
    </w:tcPr>
  </w:style>
  <w:style w:type="table" w:customStyle="1" w:styleId="style4133">
    <w:name w:val="Grid Table 5 Dark Accent 1"/>
    <w:basedOn w:val="style105"/>
    <w:next w:val="style4133"/>
    <w:uiPriority w:val="50"/>
    <w:pPr>
      <w:spacing w:after="0" w:lineRule="auto" w:line="240"/>
    </w:pPr>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c1e4f5"/>
    </w:tblPr>
    <w:tblStylePr w:type="firstRow">
      <w:pPr/>
      <w:rPr>
        <w:b/>
        <w:bCs/>
        <w:color w:val="ffffff"/>
      </w:rPr>
      <w:tblPr/>
      <w:tcPr>
        <w:tcBorders>
          <w:top w:val="single" w:sz="4" w:space="0" w:color="ffffff"/>
          <w:left w:val="single" w:sz="4" w:space="0" w:color="ffffff"/>
          <w:right w:val="single" w:sz="4" w:space="0" w:color="ffffff"/>
          <w:insideH w:val="nil"/>
          <w:insideV w:val="nil"/>
        </w:tcBorders>
        <w:shd w:val="clear" w:color="auto" w:fill="156082"/>
      </w:tcPr>
    </w:tblStylePr>
    <w:tblStylePr w:type="lastRow">
      <w:pPr/>
      <w:rPr>
        <w:b/>
        <w:bCs/>
        <w:color w:val="ffffff"/>
      </w:rPr>
      <w:tblPr/>
      <w:tcPr>
        <w:tcBorders>
          <w:left w:val="single" w:sz="4" w:space="0" w:color="ffffff"/>
          <w:bottom w:val="single" w:sz="4" w:space="0" w:color="ffffff"/>
          <w:right w:val="single" w:sz="4" w:space="0" w:color="ffffff"/>
          <w:insideH w:val="nil"/>
          <w:insideV w:val="nil"/>
        </w:tcBorders>
        <w:shd w:val="clear" w:color="auto" w:fill="156082"/>
      </w:tcPr>
    </w:tblStylePr>
    <w:tblStylePr w:type="band1Horz">
      <w:pPr/>
      <w:tblPr/>
      <w:tcPr>
        <w:tcBorders/>
        <w:shd w:val="clear" w:color="auto" w:fill="83caeb"/>
      </w:tcPr>
    </w:tblStylePr>
    <w:tblStylePr w:type="firstCol">
      <w:pPr/>
      <w:rPr>
        <w:b/>
        <w:bCs/>
        <w:color w:val="ffffff"/>
      </w:rPr>
      <w:tblPr/>
      <w:tcPr>
        <w:tcBorders>
          <w:top w:val="single" w:sz="4" w:space="0" w:color="ffffff"/>
          <w:left w:val="single" w:sz="4" w:space="0" w:color="ffffff"/>
          <w:bottom w:val="single" w:sz="4" w:space="0" w:color="ffffff"/>
          <w:insideV w:val="nil"/>
        </w:tcBorders>
        <w:shd w:val="clear" w:color="auto" w:fill="156082"/>
      </w:tcPr>
    </w:tblStylePr>
    <w:tblStylePr w:type="lastCol">
      <w:pPr/>
      <w:rPr>
        <w:b/>
        <w:bCs/>
        <w:color w:val="ffffff"/>
      </w:rPr>
      <w:tblPr/>
      <w:tcPr>
        <w:tcBorders>
          <w:top w:val="single" w:sz="4" w:space="0" w:color="ffffff"/>
          <w:bottom w:val="single" w:sz="4" w:space="0" w:color="ffffff"/>
          <w:right w:val="single" w:sz="4" w:space="0" w:color="ffffff"/>
          <w:insideV w:val="nil"/>
        </w:tcBorders>
        <w:shd w:val="clear" w:color="auto" w:fill="156082"/>
      </w:tcPr>
    </w:tblStylePr>
    <w:tblStylePr w:type="band1Vert">
      <w:pPr/>
      <w:tblPr/>
      <w:tcPr>
        <w:tcBorders/>
        <w:shd w:val="clear" w:color="auto" w:fill="83caeb"/>
      </w:tcPr>
    </w:tblStylePr>
    <w:tcPr>
      <w:tcBorders/>
      <w:shd w:val="clear" w:color="auto" w:fill="c1e4f5"/>
    </w:tcPr>
  </w:style>
  <w:style w:type="table" w:customStyle="1" w:styleId="style4134">
    <w:name w:val="Plain Table 2"/>
    <w:basedOn w:val="style105"/>
    <w:next w:val="style4134"/>
    <w:uiPriority w:val="42"/>
    <w:pPr>
      <w:spacing w:after="0" w:lineRule="auto" w:line="240"/>
    </w:pPr>
    <w:rPr>
      <w:sz w:val="22"/>
      <w:szCs w:val="22"/>
    </w:rPr>
    <w:tblPr>
      <w:tblStyleRowBandSize w:val="1"/>
      <w:tblStyleColBandSize w:val="1"/>
      <w:tblBorders>
        <w:top w:val="single" w:sz="4" w:space="0" w:color="7f7f7f"/>
        <w:bottom w:val="single" w:sz="4" w:space="0" w:color="7f7f7f"/>
      </w:tblBorders>
    </w:tblPr>
    <w:tblStylePr w:type="firstRow">
      <w:pPr/>
      <w:rPr>
        <w:b/>
        <w:bCs/>
      </w:rPr>
      <w:tblPr/>
      <w:tcPr>
        <w:tcBorders>
          <w:bottom w:val="single" w:sz="4" w:space="0" w:color="7f7f7f"/>
        </w:tcBorders>
      </w:tcPr>
    </w:tblStylePr>
    <w:tblStylePr w:type="lastRow">
      <w:pPr/>
      <w:rPr>
        <w:b/>
        <w:bCs/>
      </w:rPr>
      <w:tblPr/>
      <w:tcPr>
        <w:tcBorders>
          <w:top w:val="single" w:sz="4" w:space="0" w:color="7f7f7f"/>
        </w:tcBorders>
      </w:tcPr>
    </w:tblStylePr>
    <w:tblStylePr w:type="band1Horz">
      <w:pPr/>
      <w:tblPr/>
      <w:tcPr>
        <w:tcBorders>
          <w:top w:val="single" w:sz="4" w:space="0" w:color="7f7f7f"/>
          <w:bottom w:val="single" w:sz="4" w:space="0" w:color="7f7f7f"/>
        </w:tcBorders>
      </w:tcPr>
    </w:tblStylePr>
    <w:tblStylePr w:type="firstCol">
      <w:pPr/>
      <w:rPr>
        <w:b/>
        <w:bCs/>
      </w:rPr>
      <w:tcPr>
        <w:tcBorders/>
      </w:tcPr>
    </w:tblStylePr>
    <w:tblStylePr w:type="lastCol">
      <w:pPr/>
      <w:rPr>
        <w:b/>
        <w:bCs/>
      </w:rPr>
      <w:tcPr>
        <w:tcBorders/>
      </w:tcPr>
    </w:tblStylePr>
    <w:tblStylePr w:type="band1Vert">
      <w:pPr/>
      <w:tblPr/>
      <w:tcPr>
        <w:tcBorders>
          <w:left w:val="single" w:sz="4" w:space="0" w:color="7f7f7f"/>
          <w:right w:val="single" w:sz="4" w:space="0" w:color="7f7f7f"/>
        </w:tcBorders>
      </w:tcPr>
    </w:tblStylePr>
    <w:tblStylePr w:type="band2Vert">
      <w:pPr/>
      <w:tblPr/>
      <w:tcPr>
        <w:tcBorders>
          <w:left w:val="single" w:sz="4" w:space="0" w:color="7f7f7f"/>
          <w:right w:val="single" w:sz="4" w:space="0" w:color="7f7f7f"/>
        </w:tcBorders>
      </w:tcPr>
    </w:tblStylePr>
    <w:tcPr>
      <w:tcBorders/>
    </w:tcPr>
  </w:style>
  <w:style w:type="table" w:customStyle="1" w:styleId="style4135">
    <w:name w:val="Plain Table 1"/>
    <w:basedOn w:val="style105"/>
    <w:next w:val="style4135"/>
    <w:uiPriority w:val="41"/>
    <w:pPr>
      <w:spacing w:after="0" w:lineRule="auto" w:line="240"/>
    </w:pPr>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pPr/>
      <w:rPr>
        <w:b/>
        <w:bCs/>
      </w:rPr>
      <w:tcPr>
        <w:tcBorders/>
      </w:tcPr>
    </w:tblStylePr>
    <w:tblStylePr w:type="lastRow">
      <w:pPr/>
      <w:rPr>
        <w:b/>
        <w:bCs/>
      </w:rPr>
      <w:tblPr/>
      <w:tcPr>
        <w:tcBorders>
          <w:top w:val="double" w:sz="4" w:space="0" w:color="bfbfbf"/>
        </w:tcBorders>
      </w:tcPr>
    </w:tblStylePr>
    <w:tblStylePr w:type="band1Horz">
      <w:pPr/>
      <w:tblPr/>
      <w:tcPr>
        <w:tcBorders/>
        <w:shd w:val="clear" w:color="auto" w:fill="f2f2f2"/>
      </w:tcPr>
    </w:tblStylePr>
    <w:tblStylePr w:type="firstCol">
      <w:pPr/>
      <w:rPr>
        <w:b/>
        <w:bCs/>
      </w:rPr>
      <w:tcPr>
        <w:tcBorders/>
      </w:tcPr>
    </w:tblStylePr>
    <w:tblStylePr w:type="lastCol">
      <w:pPr/>
      <w:rPr>
        <w:b/>
        <w:bCs/>
      </w:rPr>
      <w:tcPr>
        <w:tcBorders/>
      </w:tcPr>
    </w:tblStylePr>
    <w:tblStylePr w:type="band1Vert">
      <w:pPr/>
      <w:tblPr/>
      <w:tcPr>
        <w:tcBorders/>
        <w:shd w:val="clear" w:color="auto" w:fill="f2f2f2"/>
      </w:tcPr>
    </w:tblStylePr>
    <w:tcPr>
      <w:tcBorders/>
    </w:tcPr>
  </w:style>
  <w:style w:type="table" w:customStyle="1" w:styleId="style4136">
    <w:name w:val="Grid Table 5 Dark Accent 4"/>
    <w:basedOn w:val="style105"/>
    <w:next w:val="style4136"/>
    <w:uiPriority w:val="50"/>
    <w:pPr>
      <w:spacing w:after="0" w:lineRule="auto" w:line="240"/>
    </w:pPr>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caedfb"/>
    </w:tblPr>
    <w:tblStylePr w:type="firstRow">
      <w:pPr/>
      <w:rPr>
        <w:b/>
        <w:bCs/>
        <w:color w:val="ffffff"/>
      </w:rPr>
      <w:tblPr/>
      <w:tcPr>
        <w:tcBorders>
          <w:top w:val="single" w:sz="4" w:space="0" w:color="ffffff"/>
          <w:left w:val="single" w:sz="4" w:space="0" w:color="ffffff"/>
          <w:right w:val="single" w:sz="4" w:space="0" w:color="ffffff"/>
          <w:insideH w:val="nil"/>
          <w:insideV w:val="nil"/>
        </w:tcBorders>
        <w:shd w:val="clear" w:color="auto" w:fill="0f9ed5"/>
      </w:tcPr>
    </w:tblStylePr>
    <w:tblStylePr w:type="lastRow">
      <w:pPr/>
      <w:rPr>
        <w:b/>
        <w:bCs/>
        <w:color w:val="ffffff"/>
      </w:rPr>
      <w:tblPr/>
      <w:tcPr>
        <w:tcBorders>
          <w:left w:val="single" w:sz="4" w:space="0" w:color="ffffff"/>
          <w:bottom w:val="single" w:sz="4" w:space="0" w:color="ffffff"/>
          <w:right w:val="single" w:sz="4" w:space="0" w:color="ffffff"/>
          <w:insideH w:val="nil"/>
          <w:insideV w:val="nil"/>
        </w:tcBorders>
        <w:shd w:val="clear" w:color="auto" w:fill="0f9ed5"/>
      </w:tcPr>
    </w:tblStylePr>
    <w:tblStylePr w:type="band1Horz">
      <w:pPr/>
      <w:tblPr/>
      <w:tcPr>
        <w:tcBorders/>
        <w:shd w:val="clear" w:color="auto" w:fill="95dcf7"/>
      </w:tcPr>
    </w:tblStylePr>
    <w:tblStylePr w:type="firstCol">
      <w:pPr/>
      <w:rPr>
        <w:b/>
        <w:bCs/>
        <w:color w:val="ffffff"/>
      </w:rPr>
      <w:tblPr/>
      <w:tcPr>
        <w:tcBorders>
          <w:top w:val="single" w:sz="4" w:space="0" w:color="ffffff"/>
          <w:left w:val="single" w:sz="4" w:space="0" w:color="ffffff"/>
          <w:bottom w:val="single" w:sz="4" w:space="0" w:color="ffffff"/>
          <w:insideV w:val="nil"/>
        </w:tcBorders>
        <w:shd w:val="clear" w:color="auto" w:fill="0f9ed5"/>
      </w:tcPr>
    </w:tblStylePr>
    <w:tblStylePr w:type="lastCol">
      <w:pPr/>
      <w:rPr>
        <w:b/>
        <w:bCs/>
        <w:color w:val="ffffff"/>
      </w:rPr>
      <w:tblPr/>
      <w:tcPr>
        <w:tcBorders>
          <w:top w:val="single" w:sz="4" w:space="0" w:color="ffffff"/>
          <w:bottom w:val="single" w:sz="4" w:space="0" w:color="ffffff"/>
          <w:right w:val="single" w:sz="4" w:space="0" w:color="ffffff"/>
          <w:insideV w:val="nil"/>
        </w:tcBorders>
        <w:shd w:val="clear" w:color="auto" w:fill="0f9ed5"/>
      </w:tcPr>
    </w:tblStylePr>
    <w:tblStylePr w:type="band1Vert">
      <w:pPr/>
      <w:tblPr/>
      <w:tcPr>
        <w:tcBorders/>
        <w:shd w:val="clear" w:color="auto" w:fill="95dcf7"/>
      </w:tcPr>
    </w:tblStylePr>
    <w:tcPr>
      <w:tcBorders/>
      <w:shd w:val="clear" w:color="auto" w:fill="caedfb"/>
    </w:tcPr>
  </w:style>
  <w:style w:type="table" w:customStyle="1" w:styleId="style4137">
    <w:name w:val="Grid Table 5 Dark Accent 2"/>
    <w:basedOn w:val="style105"/>
    <w:next w:val="style4137"/>
    <w:uiPriority w:val="50"/>
    <w:pPr>
      <w:spacing w:after="0" w:lineRule="auto" w:line="240"/>
    </w:pPr>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ae2d5"/>
    </w:tblPr>
    <w:tblStylePr w:type="firstRow">
      <w:pPr/>
      <w:rPr>
        <w:b/>
        <w:bCs/>
        <w:color w:val="ffffff"/>
      </w:rPr>
      <w:tblPr/>
      <w:tcPr>
        <w:tcBorders>
          <w:top w:val="single" w:sz="4" w:space="0" w:color="ffffff"/>
          <w:left w:val="single" w:sz="4" w:space="0" w:color="ffffff"/>
          <w:right w:val="single" w:sz="4" w:space="0" w:color="ffffff"/>
          <w:insideH w:val="nil"/>
          <w:insideV w:val="nil"/>
        </w:tcBorders>
        <w:shd w:val="clear" w:color="auto" w:fill="e97132"/>
      </w:tcPr>
    </w:tblStylePr>
    <w:tblStylePr w:type="lastRow">
      <w:pPr/>
      <w:rPr>
        <w:b/>
        <w:bCs/>
        <w:color w:val="ffffff"/>
      </w:rPr>
      <w:tblPr/>
      <w:tcPr>
        <w:tcBorders>
          <w:left w:val="single" w:sz="4" w:space="0" w:color="ffffff"/>
          <w:bottom w:val="single" w:sz="4" w:space="0" w:color="ffffff"/>
          <w:right w:val="single" w:sz="4" w:space="0" w:color="ffffff"/>
          <w:insideH w:val="nil"/>
          <w:insideV w:val="nil"/>
        </w:tcBorders>
        <w:shd w:val="clear" w:color="auto" w:fill="e97132"/>
      </w:tcPr>
    </w:tblStylePr>
    <w:tblStylePr w:type="band1Horz">
      <w:pPr/>
      <w:tblPr/>
      <w:tcPr>
        <w:tcBorders/>
        <w:shd w:val="clear" w:color="auto" w:fill="f6c5ac"/>
      </w:tcPr>
    </w:tblStylePr>
    <w:tblStylePr w:type="firstCol">
      <w:pPr/>
      <w:rPr>
        <w:b/>
        <w:bCs/>
        <w:color w:val="ffffff"/>
      </w:rPr>
      <w:tblPr/>
      <w:tcPr>
        <w:tcBorders>
          <w:top w:val="single" w:sz="4" w:space="0" w:color="ffffff"/>
          <w:left w:val="single" w:sz="4" w:space="0" w:color="ffffff"/>
          <w:bottom w:val="single" w:sz="4" w:space="0" w:color="ffffff"/>
          <w:insideV w:val="nil"/>
        </w:tcBorders>
        <w:shd w:val="clear" w:color="auto" w:fill="e97132"/>
      </w:tcPr>
    </w:tblStylePr>
    <w:tblStylePr w:type="lastCol">
      <w:pPr/>
      <w:rPr>
        <w:b/>
        <w:bCs/>
        <w:color w:val="ffffff"/>
      </w:rPr>
      <w:tblPr/>
      <w:tcPr>
        <w:tcBorders>
          <w:top w:val="single" w:sz="4" w:space="0" w:color="ffffff"/>
          <w:bottom w:val="single" w:sz="4" w:space="0" w:color="ffffff"/>
          <w:right w:val="single" w:sz="4" w:space="0" w:color="ffffff"/>
          <w:insideV w:val="nil"/>
        </w:tcBorders>
        <w:shd w:val="clear" w:color="auto" w:fill="e97132"/>
      </w:tcPr>
    </w:tblStylePr>
    <w:tblStylePr w:type="band1Vert">
      <w:pPr/>
      <w:tblPr/>
      <w:tcPr>
        <w:tcBorders/>
        <w:shd w:val="clear" w:color="auto" w:fill="f6c5ac"/>
      </w:tcPr>
    </w:tblStylePr>
    <w:tcPr>
      <w:tcBorders/>
      <w:shd w:val="clear" w:color="auto" w:fill="fae2d5"/>
    </w:tcPr>
  </w:style>
  <w:style w:type="table" w:customStyle="1" w:styleId="style4138">
    <w:name w:val="Grid Table 3 Accent 2"/>
    <w:basedOn w:val="style105"/>
    <w:next w:val="style4138"/>
    <w:uiPriority w:val="48"/>
    <w:pPr>
      <w:spacing w:after="0" w:lineRule="auto" w:line="240"/>
    </w:pPr>
    <w:rPr>
      <w:sz w:val="22"/>
      <w:szCs w:val="22"/>
    </w:rPr>
    <w:tblPr>
      <w:tblStyleRowBandSize w:val="1"/>
      <w:tblStyleColBandSize w:val="1"/>
      <w:tblBorders>
        <w:top w:val="single" w:sz="4" w:space="0" w:color="f1a983"/>
        <w:left w:val="single" w:sz="4" w:space="0" w:color="f1a983"/>
        <w:bottom w:val="single" w:sz="4" w:space="0" w:color="f1a983"/>
        <w:right w:val="single" w:sz="4" w:space="0" w:color="f1a983"/>
        <w:insideH w:val="single" w:sz="4" w:space="0" w:color="f1a983"/>
        <w:insideV w:val="single" w:sz="4" w:space="0" w:color="f1a983"/>
      </w:tblBorders>
    </w:tblPr>
    <w:tblStylePr w:type="firstRow">
      <w:pPr/>
      <w:rPr>
        <w:b/>
        <w:bCs/>
      </w:rPr>
      <w:tblPr/>
      <w:tcPr>
        <w:tcBorders>
          <w:top w:val="nil"/>
          <w:left w:val="nil"/>
          <w:right w:val="nil"/>
          <w:insideH w:val="nil"/>
          <w:insideV w:val="nil"/>
        </w:tcBorders>
        <w:shd w:val="clear" w:color="auto" w:fill="ffffff"/>
      </w:tcPr>
    </w:tblStylePr>
    <w:tblStylePr w:type="lastRow">
      <w:pPr/>
      <w:rPr>
        <w:b/>
        <w:bCs/>
      </w:rPr>
      <w:tblPr/>
      <w:tcPr>
        <w:tcBorders>
          <w:left w:val="nil"/>
          <w:bottom w:val="nil"/>
          <w:right w:val="nil"/>
          <w:insideH w:val="nil"/>
          <w:insideV w:val="nil"/>
        </w:tcBorders>
        <w:shd w:val="clear" w:color="auto" w:fill="ffffff"/>
      </w:tcPr>
    </w:tblStylePr>
    <w:tblStylePr w:type="band1Horz">
      <w:pPr/>
      <w:tblPr/>
      <w:tcPr>
        <w:tcBorders/>
        <w:shd w:val="clear" w:color="auto" w:fill="fae2d5"/>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pPr/>
      <w:rPr>
        <w:i/>
        <w:iCs/>
      </w:rPr>
      <w:tblPr/>
      <w:tcPr>
        <w:tcBorders>
          <w:top w:val="nil"/>
          <w:bottom w:val="nil"/>
          <w:right w:val="nil"/>
          <w:insideH w:val="nil"/>
          <w:insideV w:val="nil"/>
        </w:tcBorders>
        <w:shd w:val="clear" w:color="auto" w:fill="ffffff"/>
      </w:tcPr>
    </w:tblStylePr>
    <w:tblStylePr w:type="band1Vert">
      <w:pPr/>
      <w:tblPr/>
      <w:tcPr>
        <w:tcBorders/>
        <w:shd w:val="clear" w:color="auto" w:fill="fae2d5"/>
      </w:tcPr>
    </w:tblStylePr>
    <w:tblStylePr w:type="neCell">
      <w:pPr/>
      <w:tblPr/>
      <w:tcPr>
        <w:tcBorders>
          <w:bottom w:val="single" w:sz="4" w:space="0" w:color="f1a983"/>
        </w:tcBorders>
      </w:tcPr>
    </w:tblStylePr>
    <w:tblStylePr w:type="nwCell">
      <w:pPr/>
      <w:tblPr/>
      <w:tcPr>
        <w:tcBorders>
          <w:bottom w:val="single" w:sz="4" w:space="0" w:color="f1a983"/>
        </w:tcBorders>
      </w:tcPr>
    </w:tblStylePr>
    <w:tblStylePr w:type="seCell">
      <w:pPr/>
      <w:tblPr/>
      <w:tcPr>
        <w:tcBorders>
          <w:top w:val="single" w:sz="4" w:space="0" w:color="f1a983"/>
        </w:tcBorders>
      </w:tcPr>
    </w:tblStylePr>
    <w:tblStylePr w:type="swCell">
      <w:pPr/>
      <w:tblPr/>
      <w:tcPr>
        <w:tcBorders>
          <w:top w:val="single" w:sz="4" w:space="0" w:color="f1a983"/>
        </w:tcBorders>
      </w:tcPr>
    </w:tblStylePr>
    <w:tcPr>
      <w:tcBorders/>
    </w:tcPr>
  </w:style>
  <w:style w:type="table" w:customStyle="1" w:styleId="style4139">
    <w:name w:val="Grid Table 2 Accent 2"/>
    <w:basedOn w:val="style105"/>
    <w:next w:val="style4139"/>
    <w:uiPriority w:val="47"/>
    <w:pPr>
      <w:spacing w:after="0" w:lineRule="auto" w:line="240"/>
    </w:pPr>
    <w:rPr>
      <w:sz w:val="22"/>
      <w:szCs w:val="22"/>
    </w:rPr>
    <w:tblPr>
      <w:tblStyleRowBandSize w:val="1"/>
      <w:tblStyleColBandSize w:val="1"/>
      <w:tblBorders>
        <w:top w:val="single" w:sz="2" w:space="0" w:color="f1a983"/>
        <w:bottom w:val="single" w:sz="2" w:space="0" w:color="f1a983"/>
        <w:insideH w:val="single" w:sz="2" w:space="0" w:color="f1a983"/>
        <w:insideV w:val="single" w:sz="2" w:space="0" w:color="f1a983"/>
      </w:tblBorders>
    </w:tblPr>
    <w:tblStylePr w:type="firstRow">
      <w:pPr/>
      <w:rPr>
        <w:b/>
        <w:bCs/>
      </w:rPr>
      <w:tblPr/>
      <w:tcPr>
        <w:tcBorders>
          <w:top w:val="nil"/>
          <w:bottom w:val="single" w:sz="12" w:space="0" w:color="f1a983"/>
          <w:insideH w:val="nil"/>
          <w:insideV w:val="nil"/>
        </w:tcBorders>
        <w:shd w:val="clear" w:color="auto" w:fill="ffffff"/>
      </w:tcPr>
    </w:tblStylePr>
    <w:tblStylePr w:type="lastRow">
      <w:pPr/>
      <w:rPr>
        <w:b/>
        <w:bCs/>
      </w:rPr>
      <w:tblPr/>
      <w:tcPr>
        <w:tcBorders>
          <w:top w:val="double" w:sz="2" w:space="0" w:color="f1a983"/>
          <w:bottom w:val="nil"/>
          <w:insideH w:val="nil"/>
          <w:insideV w:val="nil"/>
        </w:tcBorders>
        <w:shd w:val="clear" w:color="auto" w:fill="ffffff"/>
      </w:tcPr>
    </w:tblStylePr>
    <w:tblStylePr w:type="band1Horz">
      <w:pPr/>
      <w:tblPr/>
      <w:tcPr>
        <w:tcBorders/>
        <w:shd w:val="clear" w:color="auto" w:fill="fae2d5"/>
      </w:tcPr>
    </w:tblStylePr>
    <w:tblStylePr w:type="firstCol">
      <w:pPr/>
      <w:rPr>
        <w:b/>
        <w:bCs/>
      </w:rPr>
      <w:tcPr>
        <w:tcBorders/>
      </w:tcPr>
    </w:tblStylePr>
    <w:tblStylePr w:type="lastCol">
      <w:pPr/>
      <w:rPr>
        <w:b/>
        <w:bCs/>
      </w:rPr>
      <w:tcPr>
        <w:tcBorders/>
      </w:tcPr>
    </w:tblStylePr>
    <w:tblStylePr w:type="band1Vert">
      <w:pPr/>
      <w:tblPr/>
      <w:tcPr>
        <w:tcBorders/>
        <w:shd w:val="clear" w:color="auto" w:fill="fae2d5"/>
      </w:tcPr>
    </w:tblStylePr>
    <w:tcPr>
      <w:tcBorders/>
    </w:tcPr>
  </w:style>
  <w:style w:type="table" w:customStyle="1" w:styleId="style4140">
    <w:name w:val="Grid Table 5 Dark Accent 5"/>
    <w:basedOn w:val="style105"/>
    <w:next w:val="style4140"/>
    <w:uiPriority w:val="50"/>
    <w:pPr>
      <w:spacing w:after="0" w:lineRule="auto" w:line="240"/>
    </w:pPr>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ceed"/>
    </w:tblPr>
    <w:tblStylePr w:type="firstRow">
      <w:pPr/>
      <w:rPr>
        <w:b/>
        <w:bCs/>
        <w:color w:val="ffffff"/>
      </w:rPr>
      <w:tblPr/>
      <w:tcPr>
        <w:tcBorders>
          <w:top w:val="single" w:sz="4" w:space="0" w:color="ffffff"/>
          <w:left w:val="single" w:sz="4" w:space="0" w:color="ffffff"/>
          <w:right w:val="single" w:sz="4" w:space="0" w:color="ffffff"/>
          <w:insideH w:val="nil"/>
          <w:insideV w:val="nil"/>
        </w:tcBorders>
        <w:shd w:val="clear" w:color="auto" w:fill="a02b93"/>
      </w:tcPr>
    </w:tblStylePr>
    <w:tblStylePr w:type="lastRow">
      <w:pPr/>
      <w:rPr>
        <w:b/>
        <w:bCs/>
        <w:color w:val="ffffff"/>
      </w:rPr>
      <w:tblPr/>
      <w:tcPr>
        <w:tcBorders>
          <w:left w:val="single" w:sz="4" w:space="0" w:color="ffffff"/>
          <w:bottom w:val="single" w:sz="4" w:space="0" w:color="ffffff"/>
          <w:right w:val="single" w:sz="4" w:space="0" w:color="ffffff"/>
          <w:insideH w:val="nil"/>
          <w:insideV w:val="nil"/>
        </w:tcBorders>
        <w:shd w:val="clear" w:color="auto" w:fill="a02b93"/>
      </w:tcPr>
    </w:tblStylePr>
    <w:tblStylePr w:type="band1Horz">
      <w:pPr/>
      <w:tblPr/>
      <w:tcPr>
        <w:tcBorders/>
        <w:shd w:val="clear" w:color="auto" w:fill="e59edc"/>
      </w:tcPr>
    </w:tblStylePr>
    <w:tblStylePr w:type="firstCol">
      <w:pPr/>
      <w:rPr>
        <w:b/>
        <w:bCs/>
        <w:color w:val="ffffff"/>
      </w:rPr>
      <w:tblPr/>
      <w:tcPr>
        <w:tcBorders>
          <w:top w:val="single" w:sz="4" w:space="0" w:color="ffffff"/>
          <w:left w:val="single" w:sz="4" w:space="0" w:color="ffffff"/>
          <w:bottom w:val="single" w:sz="4" w:space="0" w:color="ffffff"/>
          <w:insideV w:val="nil"/>
        </w:tcBorders>
        <w:shd w:val="clear" w:color="auto" w:fill="a02b93"/>
      </w:tcPr>
    </w:tblStylePr>
    <w:tblStylePr w:type="lastCol">
      <w:pPr/>
      <w:rPr>
        <w:b/>
        <w:bCs/>
        <w:color w:val="ffffff"/>
      </w:rPr>
      <w:tblPr/>
      <w:tcPr>
        <w:tcBorders>
          <w:top w:val="single" w:sz="4" w:space="0" w:color="ffffff"/>
          <w:bottom w:val="single" w:sz="4" w:space="0" w:color="ffffff"/>
          <w:right w:val="single" w:sz="4" w:space="0" w:color="ffffff"/>
          <w:insideV w:val="nil"/>
        </w:tcBorders>
        <w:shd w:val="clear" w:color="auto" w:fill="a02b93"/>
      </w:tcPr>
    </w:tblStylePr>
    <w:tblStylePr w:type="band1Vert">
      <w:pPr/>
      <w:tblPr/>
      <w:tcPr>
        <w:tcBorders/>
        <w:shd w:val="clear" w:color="auto" w:fill="e59edc"/>
      </w:tcPr>
    </w:tblStylePr>
    <w:tcPr>
      <w:tcBorders/>
      <w:shd w:val="clear" w:color="auto" w:fill="f2ceed"/>
    </w:tcPr>
  </w:style>
  <w:style w:type="character" w:styleId="style38">
    <w:name w:val="footnote reference"/>
    <w:basedOn w:val="style65"/>
    <w:next w:val="style38"/>
    <w:uiPriority w:val="99"/>
    <w:rPr>
      <w:vertAlign w:val="superscript"/>
    </w:rPr>
  </w:style>
  <w:style w:type="paragraph" w:styleId="style29">
    <w:name w:val="footnote text"/>
    <w:basedOn w:val="style0"/>
    <w:next w:val="style29"/>
    <w:link w:val="style4141"/>
    <w:uiPriority w:val="99"/>
    <w:pPr>
      <w:spacing w:after="0" w:lineRule="auto" w:line="240"/>
    </w:pPr>
    <w:rPr>
      <w:sz w:val="20"/>
      <w:szCs w:val="20"/>
    </w:rPr>
  </w:style>
  <w:style w:type="character" w:customStyle="1" w:styleId="style4141">
    <w:name w:val="Footnote Text Char"/>
    <w:basedOn w:val="style65"/>
    <w:next w:val="style4141"/>
    <w:link w:val="style29"/>
    <w:uiPriority w:val="99"/>
    <w:rPr>
      <w:sz w:val="20"/>
      <w:szCs w:val="20"/>
    </w:rPr>
  </w:style>
  <w:style w:type="table" w:customStyle="1" w:styleId="style4142">
    <w:name w:val="Grid Table 3 Accent 4"/>
    <w:basedOn w:val="style105"/>
    <w:next w:val="style4142"/>
    <w:uiPriority w:val="48"/>
    <w:pPr>
      <w:spacing w:after="0" w:lineRule="auto" w:line="240"/>
    </w:pPr>
    <w:rPr>
      <w:sz w:val="22"/>
      <w:szCs w:val="22"/>
    </w:rPr>
    <w:tblPr>
      <w:tblStyleRowBandSize w:val="1"/>
      <w:tblStyleColBandSize w:val="1"/>
      <w:tblBorders>
        <w:top w:val="single" w:sz="4" w:space="0" w:color="60caf3"/>
        <w:left w:val="single" w:sz="4" w:space="0" w:color="60caf3"/>
        <w:bottom w:val="single" w:sz="4" w:space="0" w:color="60caf3"/>
        <w:right w:val="single" w:sz="4" w:space="0" w:color="60caf3"/>
        <w:insideH w:val="single" w:sz="4" w:space="0" w:color="60caf3"/>
        <w:insideV w:val="single" w:sz="4" w:space="0" w:color="60caf3"/>
      </w:tblBorders>
    </w:tblPr>
    <w:tblStylePr w:type="firstRow">
      <w:pPr/>
      <w:rPr>
        <w:b/>
        <w:bCs/>
      </w:rPr>
      <w:tblPr/>
      <w:tcPr>
        <w:tcBorders>
          <w:top w:val="nil"/>
          <w:left w:val="nil"/>
          <w:right w:val="nil"/>
          <w:insideH w:val="nil"/>
          <w:insideV w:val="nil"/>
        </w:tcBorders>
        <w:shd w:val="clear" w:color="auto" w:fill="ffffff"/>
      </w:tcPr>
    </w:tblStylePr>
    <w:tblStylePr w:type="lastRow">
      <w:pPr/>
      <w:rPr>
        <w:b/>
        <w:bCs/>
      </w:rPr>
      <w:tblPr/>
      <w:tcPr>
        <w:tcBorders>
          <w:left w:val="nil"/>
          <w:bottom w:val="nil"/>
          <w:right w:val="nil"/>
          <w:insideH w:val="nil"/>
          <w:insideV w:val="nil"/>
        </w:tcBorders>
        <w:shd w:val="clear" w:color="auto" w:fill="ffffff"/>
      </w:tcPr>
    </w:tblStylePr>
    <w:tblStylePr w:type="band1Horz">
      <w:pPr/>
      <w:tblPr/>
      <w:tcPr>
        <w:tcBorders/>
        <w:shd w:val="clear" w:color="auto" w:fill="caedfb"/>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pPr/>
      <w:rPr>
        <w:i/>
        <w:iCs/>
      </w:rPr>
      <w:tblPr/>
      <w:tcPr>
        <w:tcBorders>
          <w:top w:val="nil"/>
          <w:bottom w:val="nil"/>
          <w:right w:val="nil"/>
          <w:insideH w:val="nil"/>
          <w:insideV w:val="nil"/>
        </w:tcBorders>
        <w:shd w:val="clear" w:color="auto" w:fill="ffffff"/>
      </w:tcPr>
    </w:tblStylePr>
    <w:tblStylePr w:type="band1Vert">
      <w:pPr/>
      <w:tblPr/>
      <w:tcPr>
        <w:tcBorders/>
        <w:shd w:val="clear" w:color="auto" w:fill="caedfb"/>
      </w:tcPr>
    </w:tblStylePr>
    <w:tblStylePr w:type="neCell">
      <w:pPr/>
      <w:tblPr/>
      <w:tcPr>
        <w:tcBorders>
          <w:bottom w:val="single" w:sz="4" w:space="0" w:color="60caf3"/>
        </w:tcBorders>
      </w:tcPr>
    </w:tblStylePr>
    <w:tblStylePr w:type="nwCell">
      <w:pPr/>
      <w:tblPr/>
      <w:tcPr>
        <w:tcBorders>
          <w:bottom w:val="single" w:sz="4" w:space="0" w:color="60caf3"/>
        </w:tcBorders>
      </w:tcPr>
    </w:tblStylePr>
    <w:tblStylePr w:type="seCell">
      <w:pPr/>
      <w:tblPr/>
      <w:tcPr>
        <w:tcBorders>
          <w:top w:val="single" w:sz="4" w:space="0" w:color="60caf3"/>
        </w:tcBorders>
      </w:tcPr>
    </w:tblStylePr>
    <w:tblStylePr w:type="swCell">
      <w:pPr/>
      <w:tblPr/>
      <w:tcPr>
        <w:tcBorders>
          <w:top w:val="single" w:sz="4" w:space="0" w:color="60caf3"/>
        </w:tcBorders>
      </w:tcPr>
    </w:tblStylePr>
    <w:tcPr>
      <w:tcBorders/>
    </w:tcPr>
  </w:style>
  <w:style w:type="table" w:customStyle="1" w:styleId="style4143">
    <w:name w:val="Grid Table 4 Accent 1"/>
    <w:basedOn w:val="style105"/>
    <w:next w:val="style4143"/>
    <w:uiPriority w:val="49"/>
    <w:pPr>
      <w:spacing w:after="0" w:lineRule="auto" w:line="240"/>
    </w:pPr>
    <w:rPr>
      <w:sz w:val="22"/>
      <w:szCs w:val="22"/>
    </w:rPr>
    <w:tblPr>
      <w:tblStyleRowBandSize w:val="1"/>
      <w:tblStyleColBandSize w:val="1"/>
      <w:tblBorders>
        <w:top w:val="single" w:sz="4" w:space="0" w:color="45b0e1"/>
        <w:left w:val="single" w:sz="4" w:space="0" w:color="45b0e1"/>
        <w:bottom w:val="single" w:sz="4" w:space="0" w:color="45b0e1"/>
        <w:right w:val="single" w:sz="4" w:space="0" w:color="45b0e1"/>
        <w:insideH w:val="single" w:sz="4" w:space="0" w:color="45b0e1"/>
        <w:insideV w:val="single" w:sz="4" w:space="0" w:color="45b0e1"/>
      </w:tblBorders>
    </w:tblPr>
    <w:tblStylePr w:type="firstRow">
      <w:pPr/>
      <w:rPr>
        <w:b/>
        <w:bCs/>
        <w:color w:val="ffffff"/>
      </w:rPr>
      <w:tblPr/>
      <w:tcPr>
        <w:tcBorders>
          <w:top w:val="single" w:sz="4" w:space="0" w:color="156082"/>
          <w:left w:val="single" w:sz="4" w:space="0" w:color="156082"/>
          <w:bottom w:val="single" w:sz="4" w:space="0" w:color="156082"/>
          <w:right w:val="single" w:sz="4" w:space="0" w:color="156082"/>
          <w:insideH w:val="nil"/>
          <w:insideV w:val="nil"/>
        </w:tcBorders>
        <w:shd w:val="clear" w:color="auto" w:fill="156082"/>
      </w:tcPr>
    </w:tblStylePr>
    <w:tblStylePr w:type="lastRow">
      <w:pPr/>
      <w:rPr>
        <w:b/>
        <w:bCs/>
      </w:rPr>
      <w:tblPr/>
      <w:tcPr>
        <w:tcBorders>
          <w:top w:val="double" w:sz="4" w:space="0" w:color="156082"/>
        </w:tcBorders>
      </w:tcPr>
    </w:tblStylePr>
    <w:tblStylePr w:type="band1Horz">
      <w:pPr/>
      <w:tblPr/>
      <w:tcPr>
        <w:tcBorders/>
        <w:shd w:val="clear" w:color="auto" w:fill="c1e4f5"/>
      </w:tcPr>
    </w:tblStylePr>
    <w:tblStylePr w:type="firstCol">
      <w:pPr/>
      <w:rPr>
        <w:b/>
        <w:bCs/>
      </w:rPr>
      <w:tcPr>
        <w:tcBorders/>
      </w:tcPr>
    </w:tblStylePr>
    <w:tblStylePr w:type="lastCol">
      <w:pPr/>
      <w:rPr>
        <w:b/>
        <w:bCs/>
      </w:rPr>
      <w:tcPr>
        <w:tcBorders/>
      </w:tcPr>
    </w:tblStylePr>
    <w:tblStylePr w:type="band1Vert">
      <w:pPr/>
      <w:tblPr/>
      <w:tcPr>
        <w:tcBorders/>
        <w:shd w:val="clear" w:color="auto" w:fill="c1e4f5"/>
      </w:tcPr>
    </w:tblStylePr>
    <w:tcPr>
      <w:tcBorders/>
    </w:tcPr>
  </w:style>
  <w:style w:type="table" w:customStyle="1" w:styleId="style4144">
    <w:name w:val="Grid Table 5 Dark Accent 6"/>
    <w:basedOn w:val="style105"/>
    <w:next w:val="style4144"/>
    <w:uiPriority w:val="50"/>
    <w:pPr>
      <w:spacing w:after="0" w:lineRule="auto" w:line="240"/>
    </w:pPr>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9f2d0"/>
    </w:tblPr>
    <w:tblStylePr w:type="firstRow">
      <w:pPr/>
      <w:rPr>
        <w:b/>
        <w:bCs/>
        <w:color w:val="ffffff"/>
      </w:rPr>
      <w:tblPr/>
      <w:tcPr>
        <w:tcBorders>
          <w:top w:val="single" w:sz="4" w:space="0" w:color="ffffff"/>
          <w:left w:val="single" w:sz="4" w:space="0" w:color="ffffff"/>
          <w:right w:val="single" w:sz="4" w:space="0" w:color="ffffff"/>
          <w:insideH w:val="nil"/>
          <w:insideV w:val="nil"/>
        </w:tcBorders>
        <w:shd w:val="clear" w:color="auto" w:fill="4ea72e"/>
      </w:tcPr>
    </w:tblStylePr>
    <w:tblStylePr w:type="lastRow">
      <w:pPr/>
      <w:rPr>
        <w:b/>
        <w:bCs/>
        <w:color w:val="ffffff"/>
      </w:rPr>
      <w:tblPr/>
      <w:tcPr>
        <w:tcBorders>
          <w:left w:val="single" w:sz="4" w:space="0" w:color="ffffff"/>
          <w:bottom w:val="single" w:sz="4" w:space="0" w:color="ffffff"/>
          <w:right w:val="single" w:sz="4" w:space="0" w:color="ffffff"/>
          <w:insideH w:val="nil"/>
          <w:insideV w:val="nil"/>
        </w:tcBorders>
        <w:shd w:val="clear" w:color="auto" w:fill="4ea72e"/>
      </w:tcPr>
    </w:tblStylePr>
    <w:tblStylePr w:type="band1Horz">
      <w:pPr/>
      <w:tblPr/>
      <w:tcPr>
        <w:tcBorders/>
        <w:shd w:val="clear" w:color="auto" w:fill="b3e5a1"/>
      </w:tcPr>
    </w:tblStylePr>
    <w:tblStylePr w:type="firstCol">
      <w:pPr/>
      <w:rPr>
        <w:b/>
        <w:bCs/>
        <w:color w:val="ffffff"/>
      </w:rPr>
      <w:tblPr/>
      <w:tcPr>
        <w:tcBorders>
          <w:top w:val="single" w:sz="4" w:space="0" w:color="ffffff"/>
          <w:left w:val="single" w:sz="4" w:space="0" w:color="ffffff"/>
          <w:bottom w:val="single" w:sz="4" w:space="0" w:color="ffffff"/>
          <w:insideV w:val="nil"/>
        </w:tcBorders>
        <w:shd w:val="clear" w:color="auto" w:fill="4ea72e"/>
      </w:tcPr>
    </w:tblStylePr>
    <w:tblStylePr w:type="lastCol">
      <w:pPr/>
      <w:rPr>
        <w:b/>
        <w:bCs/>
        <w:color w:val="ffffff"/>
      </w:rPr>
      <w:tblPr/>
      <w:tcPr>
        <w:tcBorders>
          <w:top w:val="single" w:sz="4" w:space="0" w:color="ffffff"/>
          <w:bottom w:val="single" w:sz="4" w:space="0" w:color="ffffff"/>
          <w:right w:val="single" w:sz="4" w:space="0" w:color="ffffff"/>
          <w:insideV w:val="nil"/>
        </w:tcBorders>
        <w:shd w:val="clear" w:color="auto" w:fill="4ea72e"/>
      </w:tcPr>
    </w:tblStylePr>
    <w:tblStylePr w:type="band1Vert">
      <w:pPr/>
      <w:tblPr/>
      <w:tcPr>
        <w:tcBorders/>
        <w:shd w:val="clear" w:color="auto" w:fill="b3e5a1"/>
      </w:tcPr>
    </w:tblStylePr>
    <w:tcPr>
      <w:tcBorders/>
      <w:shd w:val="clear" w:color="auto" w:fill="d9f2d0"/>
    </w:tcPr>
  </w:style>
  <w:style w:type="table" w:customStyle="1" w:styleId="style4145">
    <w:name w:val="Style1"/>
    <w:basedOn w:val="style105"/>
    <w:next w:val="style4145"/>
    <w:uiPriority w:val="99"/>
    <w:pPr>
      <w:spacing w:after="0" w:lineRule="auto" w:line="240"/>
    </w:pPr>
    <w:rPr/>
    <w:tblPr>
      <w:shd w:val="clear" w:color="auto" w:fill="ee0000"/>
    </w:tblPr>
    <w:tcPr>
      <w:tcBorders/>
      <w:shd w:val="clear" w:color="auto" w:fill="ee0000"/>
    </w:tcPr>
  </w:style>
  <w:style w:type="table" w:customStyle="1" w:styleId="style4146">
    <w:name w:val="Grid Table 6 Colorful Accent 2"/>
    <w:basedOn w:val="style105"/>
    <w:next w:val="style4146"/>
    <w:uiPriority w:val="51"/>
    <w:pPr>
      <w:spacing w:after="0" w:lineRule="auto" w:line="240"/>
    </w:pPr>
    <w:rPr>
      <w:color w:val="bf4e14"/>
    </w:rPr>
    <w:tblPr>
      <w:tblStyleRowBandSize w:val="1"/>
      <w:tblStyleColBandSize w:val="1"/>
      <w:tblBorders>
        <w:top w:val="single" w:sz="4" w:space="0" w:color="f1a983"/>
        <w:left w:val="single" w:sz="4" w:space="0" w:color="f1a983"/>
        <w:bottom w:val="single" w:sz="4" w:space="0" w:color="f1a983"/>
        <w:right w:val="single" w:sz="4" w:space="0" w:color="f1a983"/>
        <w:insideH w:val="single" w:sz="4" w:space="0" w:color="f1a983"/>
        <w:insideV w:val="single" w:sz="4" w:space="0" w:color="f1a983"/>
      </w:tblBorders>
    </w:tblPr>
    <w:tblStylePr w:type="firstRow">
      <w:pPr/>
      <w:rPr>
        <w:b/>
        <w:bCs/>
      </w:rPr>
      <w:tblPr/>
      <w:tcPr>
        <w:tcBorders>
          <w:bottom w:val="single" w:sz="12" w:space="0" w:color="f1a983"/>
        </w:tcBorders>
      </w:tcPr>
    </w:tblStylePr>
    <w:tblStylePr w:type="lastRow">
      <w:pPr/>
      <w:rPr>
        <w:b/>
        <w:bCs/>
      </w:rPr>
      <w:tblPr/>
      <w:tcPr>
        <w:tcBorders>
          <w:top w:val="double" w:sz="4" w:space="0" w:color="f1a983"/>
        </w:tcBorders>
      </w:tcPr>
    </w:tblStylePr>
    <w:tblStylePr w:type="band1Horz">
      <w:pPr/>
      <w:tblPr/>
      <w:tcPr>
        <w:tcBorders/>
        <w:shd w:val="clear" w:color="auto" w:fill="fae2d5"/>
      </w:tcPr>
    </w:tblStylePr>
    <w:tblStylePr w:type="firstCol">
      <w:pPr/>
      <w:rPr>
        <w:b/>
        <w:bCs/>
      </w:rPr>
      <w:tcPr>
        <w:tcBorders/>
      </w:tcPr>
    </w:tblStylePr>
    <w:tblStylePr w:type="lastCol">
      <w:pPr/>
      <w:rPr>
        <w:b/>
        <w:bCs/>
      </w:rPr>
      <w:tcPr>
        <w:tcBorders/>
      </w:tcPr>
    </w:tblStylePr>
    <w:tblStylePr w:type="band1Vert">
      <w:pPr/>
      <w:tblPr/>
      <w:tcPr>
        <w:tcBorders/>
        <w:shd w:val="clear" w:color="auto" w:fill="fae2d5"/>
      </w:tcPr>
    </w:tblStylePr>
    <w:tcPr>
      <w:tcBorders/>
    </w:tcPr>
  </w:style>
  <w:style w:type="table" w:customStyle="1" w:styleId="style4147">
    <w:name w:val="Plain Table 3"/>
    <w:basedOn w:val="style105"/>
    <w:next w:val="style4147"/>
    <w:uiPriority w:val="43"/>
    <w:pPr>
      <w:spacing w:after="0" w:lineRule="auto" w:line="240"/>
    </w:pPr>
    <w:rPr/>
    <w:tblPr>
      <w:tblStyleRowBandSize w:val="1"/>
      <w:tblStyleColBandSize w:val="1"/>
    </w:tblPr>
    <w:tblStylePr w:type="firstRow">
      <w:pPr/>
      <w:rPr>
        <w:b/>
        <w:bCs/>
        <w:caps/>
      </w:rPr>
      <w:tblPr/>
      <w:tcPr>
        <w:tcBorders>
          <w:bottom w:val="single" w:sz="4" w:space="0" w:color="7f7f7f"/>
        </w:tcBorders>
      </w:tcPr>
    </w:tblStylePr>
    <w:tblStylePr w:type="lastRow">
      <w:pPr/>
      <w:rPr>
        <w:b/>
        <w:bCs/>
        <w:caps/>
      </w:rPr>
      <w:tblPr/>
      <w:tcPr>
        <w:tcBorders>
          <w:top w:val="nil"/>
        </w:tcBorders>
      </w:tcPr>
    </w:tblStylePr>
    <w:tblStylePr w:type="band1Horz">
      <w:pPr/>
      <w:tblPr/>
      <w:tcPr>
        <w:tcBorders/>
        <w:shd w:val="clear" w:color="auto" w:fill="f2f2f2"/>
      </w:tcPr>
    </w:tblStylePr>
    <w:tblStylePr w:type="firstCol">
      <w:pPr/>
      <w:rPr>
        <w:b/>
        <w:bCs/>
        <w:caps/>
      </w:rPr>
      <w:tblPr/>
      <w:tcPr>
        <w:tcBorders>
          <w:right w:val="single" w:sz="4" w:space="0" w:color="7f7f7f"/>
        </w:tcBorders>
      </w:tcPr>
    </w:tblStylePr>
    <w:tblStylePr w:type="lastCol">
      <w:pPr/>
      <w:rPr>
        <w:b/>
        <w:bCs/>
        <w:caps/>
      </w:rPr>
      <w:tblPr/>
      <w:tcPr>
        <w:tcBorders>
          <w:left w:val="nil"/>
        </w:tcBorders>
      </w:tcPr>
    </w:tblStylePr>
    <w:tblStylePr w:type="band1Vert">
      <w:pPr/>
      <w:tblPr/>
      <w:tcPr>
        <w:tcBorders/>
        <w:shd w:val="clear" w:color="auto" w:fill="f2f2f2"/>
      </w:tcPr>
    </w:tblStylePr>
    <w:tblStylePr w:type="neCell">
      <w:pPr/>
      <w:tblPr/>
      <w:tcPr>
        <w:tcBorders>
          <w:left w:val="nil"/>
        </w:tcBorders>
      </w:tcPr>
    </w:tblStylePr>
    <w:tblStylePr w:type="nwCell">
      <w:pPr/>
      <w:tblPr/>
      <w:tcPr>
        <w:tcBorders>
          <w:right w:val="nil"/>
        </w:tcBorders>
      </w:tcPr>
    </w:tblStylePr>
    <w:tcPr>
      <w:tcBorders/>
    </w:tcPr>
  </w:style>
  <w:style w:type="table" w:customStyle="1" w:styleId="style4148">
    <w:name w:val="Grid Table 4 Accent 6"/>
    <w:basedOn w:val="style105"/>
    <w:next w:val="style4148"/>
    <w:uiPriority w:val="49"/>
    <w:pPr>
      <w:bidi/>
      <w:spacing w:after="0" w:lineRule="auto" w:line="240"/>
    </w:pPr>
    <w:rPr>
      <w:rFonts w:eastAsia="Times New Roman"/>
      <w:kern w:val="0"/>
      <w:sz w:val="22"/>
      <w:szCs w:val="22"/>
    </w:rPr>
    <w:tblPr>
      <w:tblStyleRowBandSize w:val="1"/>
      <w:tblStyleColBandSize w:val="1"/>
      <w:tblBorders>
        <w:top w:val="single" w:sz="4" w:space="0" w:color="8dd873"/>
        <w:left w:val="single" w:sz="4" w:space="0" w:color="8dd873"/>
        <w:bottom w:val="single" w:sz="4" w:space="0" w:color="8dd873"/>
        <w:right w:val="single" w:sz="4" w:space="0" w:color="8dd873"/>
        <w:insideH w:val="single" w:sz="4" w:space="0" w:color="8dd873"/>
        <w:insideV w:val="single" w:sz="4" w:space="0" w:color="8dd873"/>
      </w:tblBorders>
    </w:tblPr>
    <w:tblStylePr w:type="firstRow">
      <w:pPr/>
      <w:rPr>
        <w:b/>
        <w:bCs/>
        <w:color w:val="ffffff"/>
      </w:rPr>
      <w:tblPr/>
      <w:tcPr>
        <w:tcBorders>
          <w:top w:val="single" w:sz="4" w:space="0" w:color="4ea72e"/>
          <w:left w:val="single" w:sz="4" w:space="0" w:color="4ea72e"/>
          <w:bottom w:val="single" w:sz="4" w:space="0" w:color="4ea72e"/>
          <w:right w:val="single" w:sz="4" w:space="0" w:color="4ea72e"/>
          <w:insideH w:val="nil"/>
          <w:insideV w:val="nil"/>
        </w:tcBorders>
        <w:shd w:val="clear" w:color="auto" w:fill="4ea72e"/>
      </w:tcPr>
    </w:tblStylePr>
    <w:tblStylePr w:type="lastRow">
      <w:pPr/>
      <w:rPr>
        <w:b/>
        <w:bCs/>
      </w:rPr>
      <w:tblPr/>
      <w:tcPr>
        <w:tcBorders>
          <w:top w:val="double" w:sz="4" w:space="0" w:color="4ea72e"/>
        </w:tcBorders>
      </w:tcPr>
    </w:tblStylePr>
    <w:tblStylePr w:type="band1Horz">
      <w:pPr/>
      <w:tblPr/>
      <w:tcPr>
        <w:tcBorders/>
        <w:shd w:val="clear" w:color="auto" w:fill="d9f2d0"/>
      </w:tcPr>
    </w:tblStylePr>
    <w:tblStylePr w:type="firstCol">
      <w:pPr/>
      <w:rPr>
        <w:b/>
        <w:bCs/>
      </w:rPr>
      <w:tcPr>
        <w:tcBorders/>
      </w:tcPr>
    </w:tblStylePr>
    <w:tblStylePr w:type="lastCol">
      <w:pPr/>
      <w:rPr>
        <w:b/>
        <w:bCs/>
      </w:rPr>
      <w:tcPr>
        <w:tcBorders/>
      </w:tcPr>
    </w:tblStylePr>
    <w:tblStylePr w:type="band1Vert">
      <w:pPr/>
      <w:tblPr/>
      <w:tcPr>
        <w:tcBorders/>
        <w:shd w:val="clear" w:color="auto" w:fill="d9f2d0"/>
      </w:tcPr>
    </w:tblStylePr>
    <w:tcPr>
      <w:tcBorders/>
    </w:tcPr>
  </w:style>
  <w:style w:type="table" w:customStyle="1" w:styleId="style4149">
    <w:name w:val="Grid Table 6 Colorful Accent 5"/>
    <w:basedOn w:val="style105"/>
    <w:next w:val="style4149"/>
    <w:uiPriority w:val="51"/>
    <w:pPr>
      <w:spacing w:after="0" w:lineRule="auto" w:line="240"/>
    </w:pPr>
    <w:rPr>
      <w:color w:val="77206d"/>
    </w:rPr>
    <w:tblPr>
      <w:tblStyleRowBandSize w:val="1"/>
      <w:tblStyleColBandSize w:val="1"/>
      <w:tblBorders>
        <w:top w:val="single" w:sz="4" w:space="0" w:color="d86dcb"/>
        <w:left w:val="single" w:sz="4" w:space="0" w:color="d86dcb"/>
        <w:bottom w:val="single" w:sz="4" w:space="0" w:color="d86dcb"/>
        <w:right w:val="single" w:sz="4" w:space="0" w:color="d86dcb"/>
        <w:insideH w:val="single" w:sz="4" w:space="0" w:color="d86dcb"/>
        <w:insideV w:val="single" w:sz="4" w:space="0" w:color="d86dcb"/>
      </w:tblBorders>
    </w:tblPr>
    <w:tblStylePr w:type="firstRow">
      <w:pPr/>
      <w:rPr>
        <w:b/>
        <w:bCs/>
      </w:rPr>
      <w:tblPr/>
      <w:tcPr>
        <w:tcBorders>
          <w:bottom w:val="single" w:sz="12" w:space="0" w:color="d86dcb"/>
        </w:tcBorders>
      </w:tcPr>
    </w:tblStylePr>
    <w:tblStylePr w:type="lastRow">
      <w:pPr/>
      <w:rPr>
        <w:b/>
        <w:bCs/>
      </w:rPr>
      <w:tblPr/>
      <w:tcPr>
        <w:tcBorders>
          <w:top w:val="double" w:sz="4" w:space="0" w:color="d86dcb"/>
        </w:tcBorders>
      </w:tcPr>
    </w:tblStylePr>
    <w:tblStylePr w:type="band1Horz">
      <w:pPr/>
      <w:tblPr/>
      <w:tcPr>
        <w:tcBorders/>
        <w:shd w:val="clear" w:color="auto" w:fill="f2ceed"/>
      </w:tcPr>
    </w:tblStylePr>
    <w:tblStylePr w:type="firstCol">
      <w:pPr/>
      <w:rPr>
        <w:b/>
        <w:bCs/>
      </w:rPr>
      <w:tcPr>
        <w:tcBorders/>
      </w:tcPr>
    </w:tblStylePr>
    <w:tblStylePr w:type="lastCol">
      <w:pPr/>
      <w:rPr>
        <w:b/>
        <w:bCs/>
      </w:rPr>
      <w:tcPr>
        <w:tcBorders/>
      </w:tcPr>
    </w:tblStylePr>
    <w:tblStylePr w:type="band1Vert">
      <w:pPr/>
      <w:tblPr/>
      <w:tcPr>
        <w:tcBorders/>
        <w:shd w:val="clear" w:color="auto" w:fill="f2ceed"/>
      </w:tcPr>
    </w:tblStylePr>
    <w:tcPr>
      <w:tcBorders/>
    </w:tcPr>
  </w:style>
  <w:style w:type="table" w:customStyle="1" w:styleId="style4150">
    <w:name w:val="Grid Table 6 Colorful Accent 6"/>
    <w:basedOn w:val="style105"/>
    <w:next w:val="style4150"/>
    <w:uiPriority w:val="51"/>
    <w:pPr>
      <w:bidi/>
      <w:spacing w:after="0" w:lineRule="auto" w:line="240"/>
    </w:pPr>
    <w:rPr>
      <w:rFonts w:eastAsia="Times New Roman"/>
      <w:color w:val="3a7c22"/>
      <w:kern w:val="0"/>
      <w:sz w:val="22"/>
      <w:szCs w:val="22"/>
    </w:rPr>
    <w:tblPr>
      <w:tblStyleRowBandSize w:val="1"/>
      <w:tblStyleColBandSize w:val="1"/>
      <w:tblBorders>
        <w:top w:val="single" w:sz="4" w:space="0" w:color="8dd873"/>
        <w:left w:val="single" w:sz="4" w:space="0" w:color="8dd873"/>
        <w:bottom w:val="single" w:sz="4" w:space="0" w:color="8dd873"/>
        <w:right w:val="single" w:sz="4" w:space="0" w:color="8dd873"/>
        <w:insideH w:val="single" w:sz="4" w:space="0" w:color="8dd873"/>
        <w:insideV w:val="single" w:sz="4" w:space="0" w:color="8dd873"/>
      </w:tblBorders>
    </w:tblPr>
    <w:tblStylePr w:type="firstRow">
      <w:pPr/>
      <w:rPr>
        <w:b/>
        <w:bCs/>
      </w:rPr>
      <w:tblPr/>
      <w:tcPr>
        <w:tcBorders>
          <w:bottom w:val="single" w:sz="12" w:space="0" w:color="8dd873"/>
        </w:tcBorders>
      </w:tcPr>
    </w:tblStylePr>
    <w:tblStylePr w:type="lastRow">
      <w:pPr/>
      <w:rPr>
        <w:b/>
        <w:bCs/>
      </w:rPr>
      <w:tblPr/>
      <w:tcPr>
        <w:tcBorders>
          <w:top w:val="double" w:sz="4" w:space="0" w:color="8dd873"/>
        </w:tcBorders>
      </w:tcPr>
    </w:tblStylePr>
    <w:tblStylePr w:type="band1Horz">
      <w:pPr/>
      <w:tblPr/>
      <w:tcPr>
        <w:tcBorders/>
        <w:shd w:val="clear" w:color="auto" w:fill="d9f2d0"/>
      </w:tcPr>
    </w:tblStylePr>
    <w:tblStylePr w:type="firstCol">
      <w:pPr/>
      <w:rPr>
        <w:b/>
        <w:bCs/>
      </w:rPr>
      <w:tcPr>
        <w:tcBorders/>
      </w:tcPr>
    </w:tblStylePr>
    <w:tblStylePr w:type="lastCol">
      <w:pPr/>
      <w:rPr>
        <w:b/>
        <w:bCs/>
      </w:rPr>
      <w:tcPr>
        <w:tcBorders/>
      </w:tcPr>
    </w:tblStylePr>
    <w:tblStylePr w:type="band1Vert">
      <w:pPr/>
      <w:tblPr/>
      <w:tcPr>
        <w:tcBorders/>
        <w:shd w:val="clear" w:color="auto" w:fill="d9f2d0"/>
      </w:tcPr>
    </w:tblStylePr>
    <w:tcPr>
      <w:tcBorders/>
    </w:tcPr>
  </w:style>
  <w:style w:type="table" w:customStyle="1" w:styleId="style4151">
    <w:name w:val="Grid Table 4 Accent 5"/>
    <w:basedOn w:val="style105"/>
    <w:next w:val="style4151"/>
    <w:uiPriority w:val="49"/>
    <w:pPr>
      <w:spacing w:after="0" w:lineRule="auto" w:line="240"/>
    </w:pPr>
    <w:rPr>
      <w:sz w:val="22"/>
      <w:szCs w:val="22"/>
    </w:rPr>
    <w:tblPr>
      <w:tblStyleRowBandSize w:val="1"/>
      <w:tblStyleColBandSize w:val="1"/>
      <w:tblBorders>
        <w:top w:val="single" w:sz="4" w:space="0" w:color="d86dcb"/>
        <w:left w:val="single" w:sz="4" w:space="0" w:color="d86dcb"/>
        <w:bottom w:val="single" w:sz="4" w:space="0" w:color="d86dcb"/>
        <w:right w:val="single" w:sz="4" w:space="0" w:color="d86dcb"/>
        <w:insideH w:val="single" w:sz="4" w:space="0" w:color="d86dcb"/>
        <w:insideV w:val="single" w:sz="4" w:space="0" w:color="d86dcb"/>
      </w:tblBorders>
    </w:tblPr>
    <w:tblStylePr w:type="firstRow">
      <w:pPr/>
      <w:rPr>
        <w:b/>
        <w:bCs/>
        <w:color w:val="ffffff"/>
      </w:rPr>
      <w:tblPr/>
      <w:tcPr>
        <w:tcBorders>
          <w:top w:val="single" w:sz="4" w:space="0" w:color="a02b93"/>
          <w:left w:val="single" w:sz="4" w:space="0" w:color="a02b93"/>
          <w:bottom w:val="single" w:sz="4" w:space="0" w:color="a02b93"/>
          <w:right w:val="single" w:sz="4" w:space="0" w:color="a02b93"/>
          <w:insideH w:val="nil"/>
          <w:insideV w:val="nil"/>
        </w:tcBorders>
        <w:shd w:val="clear" w:color="auto" w:fill="a02b93"/>
      </w:tcPr>
    </w:tblStylePr>
    <w:tblStylePr w:type="lastRow">
      <w:pPr/>
      <w:rPr>
        <w:b/>
        <w:bCs/>
      </w:rPr>
      <w:tblPr/>
      <w:tcPr>
        <w:tcBorders>
          <w:top w:val="double" w:sz="4" w:space="0" w:color="a02b93"/>
        </w:tcBorders>
      </w:tcPr>
    </w:tblStylePr>
    <w:tblStylePr w:type="band1Horz">
      <w:pPr/>
      <w:tblPr/>
      <w:tcPr>
        <w:tcBorders/>
        <w:shd w:val="clear" w:color="auto" w:fill="f2ceed"/>
      </w:tcPr>
    </w:tblStylePr>
    <w:tblStylePr w:type="firstCol">
      <w:pPr/>
      <w:rPr>
        <w:b/>
        <w:bCs/>
      </w:rPr>
      <w:tcPr>
        <w:tcBorders/>
      </w:tcPr>
    </w:tblStylePr>
    <w:tblStylePr w:type="lastCol">
      <w:pPr/>
      <w:rPr>
        <w:b/>
        <w:bCs/>
      </w:rPr>
      <w:tcPr>
        <w:tcBorders/>
      </w:tcPr>
    </w:tblStylePr>
    <w:tblStylePr w:type="band1Vert">
      <w:pPr/>
      <w:tblPr/>
      <w:tcPr>
        <w:tcBorders/>
        <w:shd w:val="clear" w:color="auto" w:fill="f2ceed"/>
      </w:tcPr>
    </w:tblStylePr>
    <w:tcPr>
      <w:tcBorders/>
    </w:tcPr>
  </w:style>
  <w:style w:type="table" w:customStyle="1" w:styleId="style4152">
    <w:name w:val="Grid Table 3 Accent 5"/>
    <w:basedOn w:val="style105"/>
    <w:next w:val="style4152"/>
    <w:uiPriority w:val="48"/>
    <w:pPr>
      <w:spacing w:after="0" w:lineRule="auto" w:line="240"/>
    </w:pPr>
    <w:rPr>
      <w:sz w:val="22"/>
      <w:szCs w:val="22"/>
    </w:rPr>
    <w:tblPr>
      <w:tblStyleRowBandSize w:val="1"/>
      <w:tblStyleColBandSize w:val="1"/>
      <w:tblBorders>
        <w:top w:val="single" w:sz="4" w:space="0" w:color="d86dcb"/>
        <w:left w:val="single" w:sz="4" w:space="0" w:color="d86dcb"/>
        <w:bottom w:val="single" w:sz="4" w:space="0" w:color="d86dcb"/>
        <w:right w:val="single" w:sz="4" w:space="0" w:color="d86dcb"/>
        <w:insideH w:val="single" w:sz="4" w:space="0" w:color="d86dcb"/>
        <w:insideV w:val="single" w:sz="4" w:space="0" w:color="d86dcb"/>
      </w:tblBorders>
    </w:tblPr>
    <w:tblStylePr w:type="firstRow">
      <w:pPr/>
      <w:rPr>
        <w:b/>
        <w:bCs/>
      </w:rPr>
      <w:tblPr/>
      <w:tcPr>
        <w:tcBorders>
          <w:top w:val="nil"/>
          <w:left w:val="nil"/>
          <w:right w:val="nil"/>
          <w:insideH w:val="nil"/>
          <w:insideV w:val="nil"/>
        </w:tcBorders>
        <w:shd w:val="clear" w:color="auto" w:fill="ffffff"/>
      </w:tcPr>
    </w:tblStylePr>
    <w:tblStylePr w:type="lastRow">
      <w:pPr/>
      <w:rPr>
        <w:b/>
        <w:bCs/>
      </w:rPr>
      <w:tblPr/>
      <w:tcPr>
        <w:tcBorders>
          <w:left w:val="nil"/>
          <w:bottom w:val="nil"/>
          <w:right w:val="nil"/>
          <w:insideH w:val="nil"/>
          <w:insideV w:val="nil"/>
        </w:tcBorders>
        <w:shd w:val="clear" w:color="auto" w:fill="ffffff"/>
      </w:tcPr>
    </w:tblStylePr>
    <w:tblStylePr w:type="band1Horz">
      <w:pPr/>
      <w:tblPr/>
      <w:tcPr>
        <w:tcBorders/>
        <w:shd w:val="clear" w:color="auto" w:fill="f2ceed"/>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pPr/>
      <w:rPr>
        <w:i/>
        <w:iCs/>
      </w:rPr>
      <w:tblPr/>
      <w:tcPr>
        <w:tcBorders>
          <w:top w:val="nil"/>
          <w:bottom w:val="nil"/>
          <w:right w:val="nil"/>
          <w:insideH w:val="nil"/>
          <w:insideV w:val="nil"/>
        </w:tcBorders>
        <w:shd w:val="clear" w:color="auto" w:fill="ffffff"/>
      </w:tcPr>
    </w:tblStylePr>
    <w:tblStylePr w:type="band1Vert">
      <w:pPr/>
      <w:tblPr/>
      <w:tcPr>
        <w:tcBorders/>
        <w:shd w:val="clear" w:color="auto" w:fill="f2ceed"/>
      </w:tcPr>
    </w:tblStylePr>
    <w:tblStylePr w:type="neCell">
      <w:pPr/>
      <w:tblPr/>
      <w:tcPr>
        <w:tcBorders>
          <w:bottom w:val="single" w:sz="4" w:space="0" w:color="d86dcb"/>
        </w:tcBorders>
      </w:tcPr>
    </w:tblStylePr>
    <w:tblStylePr w:type="nwCell">
      <w:pPr/>
      <w:tblPr/>
      <w:tcPr>
        <w:tcBorders>
          <w:bottom w:val="single" w:sz="4" w:space="0" w:color="d86dcb"/>
        </w:tcBorders>
      </w:tcPr>
    </w:tblStylePr>
    <w:tblStylePr w:type="seCell">
      <w:pPr/>
      <w:tblPr/>
      <w:tcPr>
        <w:tcBorders>
          <w:top w:val="single" w:sz="4" w:space="0" w:color="d86dcb"/>
        </w:tcBorders>
      </w:tcPr>
    </w:tblStylePr>
    <w:tblStylePr w:type="swCell">
      <w:pPr/>
      <w:tblPr/>
      <w:tcPr>
        <w:tcBorders>
          <w:top w:val="single" w:sz="4" w:space="0" w:color="d86dcb"/>
        </w:tcBorders>
      </w:tcPr>
    </w:tblStylePr>
    <w:tcPr>
      <w:tcBorders/>
    </w:tcPr>
  </w:style>
  <w:style w:type="table" w:customStyle="1" w:styleId="style4153">
    <w:name w:val="Grid Table 4 Accent 2"/>
    <w:basedOn w:val="style105"/>
    <w:next w:val="style4153"/>
    <w:uiPriority w:val="49"/>
    <w:pPr>
      <w:spacing w:after="0" w:lineRule="auto" w:line="240"/>
    </w:pPr>
    <w:rPr>
      <w:sz w:val="22"/>
      <w:szCs w:val="22"/>
    </w:rPr>
    <w:tblPr>
      <w:tblStyleRowBandSize w:val="1"/>
      <w:tblStyleColBandSize w:val="1"/>
      <w:tblBorders>
        <w:top w:val="single" w:sz="4" w:space="0" w:color="f1a983"/>
        <w:left w:val="single" w:sz="4" w:space="0" w:color="f1a983"/>
        <w:bottom w:val="single" w:sz="4" w:space="0" w:color="f1a983"/>
        <w:right w:val="single" w:sz="4" w:space="0" w:color="f1a983"/>
        <w:insideH w:val="single" w:sz="4" w:space="0" w:color="f1a983"/>
        <w:insideV w:val="single" w:sz="4" w:space="0" w:color="f1a983"/>
      </w:tblBorders>
    </w:tblPr>
    <w:tblStylePr w:type="firstRow">
      <w:pPr/>
      <w:rPr>
        <w:b/>
        <w:bCs/>
        <w:color w:val="ffffff"/>
      </w:rPr>
      <w:tblPr/>
      <w:tcPr>
        <w:tcBorders>
          <w:top w:val="single" w:sz="4" w:space="0" w:color="e97132"/>
          <w:left w:val="single" w:sz="4" w:space="0" w:color="e97132"/>
          <w:bottom w:val="single" w:sz="4" w:space="0" w:color="e97132"/>
          <w:right w:val="single" w:sz="4" w:space="0" w:color="e97132"/>
          <w:insideH w:val="nil"/>
          <w:insideV w:val="nil"/>
        </w:tcBorders>
        <w:shd w:val="clear" w:color="auto" w:fill="e97132"/>
      </w:tcPr>
    </w:tblStylePr>
    <w:tblStylePr w:type="lastRow">
      <w:pPr/>
      <w:rPr>
        <w:b/>
        <w:bCs/>
      </w:rPr>
      <w:tblPr/>
      <w:tcPr>
        <w:tcBorders>
          <w:top w:val="double" w:sz="4" w:space="0" w:color="e97132"/>
        </w:tcBorders>
      </w:tcPr>
    </w:tblStylePr>
    <w:tblStylePr w:type="band1Horz">
      <w:pPr/>
      <w:tblPr/>
      <w:tcPr>
        <w:tcBorders/>
        <w:shd w:val="clear" w:color="auto" w:fill="fae2d5"/>
      </w:tcPr>
    </w:tblStylePr>
    <w:tblStylePr w:type="firstCol">
      <w:pPr/>
      <w:rPr>
        <w:b/>
        <w:bCs/>
      </w:rPr>
      <w:tcPr>
        <w:tcBorders/>
      </w:tcPr>
    </w:tblStylePr>
    <w:tblStylePr w:type="lastCol">
      <w:pPr/>
      <w:rPr>
        <w:b/>
        <w:bCs/>
      </w:rPr>
      <w:tcPr>
        <w:tcBorders/>
      </w:tcPr>
    </w:tblStylePr>
    <w:tblStylePr w:type="band1Vert">
      <w:pPr/>
      <w:tblPr/>
      <w:tcPr>
        <w:tcBorders/>
        <w:shd w:val="clear" w:color="auto" w:fill="fae2d5"/>
      </w:tcPr>
    </w:tblStylePr>
    <w:tcPr>
      <w:tcBorders/>
    </w:tcPr>
  </w:style>
  <w:style w:type="table" w:customStyle="1" w:styleId="style4154">
    <w:name w:val="Grid Table 6 Colorful Accent 1"/>
    <w:basedOn w:val="style105"/>
    <w:next w:val="style4154"/>
    <w:uiPriority w:val="51"/>
    <w:pPr>
      <w:spacing w:after="0" w:lineRule="auto" w:line="240"/>
    </w:pPr>
    <w:rPr>
      <w:color w:val="0f4761"/>
      <w:sz w:val="22"/>
      <w:szCs w:val="22"/>
    </w:rPr>
    <w:tblPr>
      <w:tblStyleRowBandSize w:val="1"/>
      <w:tblStyleColBandSize w:val="1"/>
      <w:tblBorders>
        <w:top w:val="single" w:sz="4" w:space="0" w:color="45b0e1"/>
        <w:left w:val="single" w:sz="4" w:space="0" w:color="45b0e1"/>
        <w:bottom w:val="single" w:sz="4" w:space="0" w:color="45b0e1"/>
        <w:right w:val="single" w:sz="4" w:space="0" w:color="45b0e1"/>
        <w:insideH w:val="single" w:sz="4" w:space="0" w:color="45b0e1"/>
        <w:insideV w:val="single" w:sz="4" w:space="0" w:color="45b0e1"/>
      </w:tblBorders>
    </w:tblPr>
    <w:tblStylePr w:type="firstRow">
      <w:pPr/>
      <w:rPr>
        <w:b/>
        <w:bCs/>
      </w:rPr>
      <w:tblPr/>
      <w:tcPr>
        <w:tcBorders>
          <w:bottom w:val="single" w:sz="12" w:space="0" w:color="45b0e1"/>
        </w:tcBorders>
      </w:tcPr>
    </w:tblStylePr>
    <w:tblStylePr w:type="lastRow">
      <w:pPr/>
      <w:rPr>
        <w:b/>
        <w:bCs/>
      </w:rPr>
      <w:tblPr/>
      <w:tcPr>
        <w:tcBorders>
          <w:top w:val="double" w:sz="4" w:space="0" w:color="45b0e1"/>
        </w:tcBorders>
      </w:tcPr>
    </w:tblStylePr>
    <w:tblStylePr w:type="band1Horz">
      <w:pPr/>
      <w:tblPr/>
      <w:tcPr>
        <w:tcBorders/>
        <w:shd w:val="clear" w:color="auto" w:fill="c1e4f5"/>
      </w:tcPr>
    </w:tblStylePr>
    <w:tblStylePr w:type="firstCol">
      <w:pPr/>
      <w:rPr>
        <w:b/>
        <w:bCs/>
      </w:rPr>
      <w:tcPr>
        <w:tcBorders/>
      </w:tcPr>
    </w:tblStylePr>
    <w:tblStylePr w:type="lastCol">
      <w:pPr/>
      <w:rPr>
        <w:b/>
        <w:bCs/>
      </w:rPr>
      <w:tcPr>
        <w:tcBorders/>
      </w:tcPr>
    </w:tblStylePr>
    <w:tblStylePr w:type="band1Vert">
      <w:pPr/>
      <w:tblPr/>
      <w:tcPr>
        <w:tcBorders/>
        <w:shd w:val="clear" w:color="auto" w:fill="c1e4f5"/>
      </w:tcPr>
    </w:tblStylePr>
    <w:tcPr>
      <w:tcBorders/>
    </w:tcPr>
  </w:style>
  <w:style w:type="paragraph" w:customStyle="1" w:styleId="style4155">
    <w:name w:val="HSN"/>
    <w:basedOn w:val="style0"/>
    <w:next w:val="style4155"/>
    <w:link w:val="style4156"/>
    <w:qFormat/>
    <w:uiPriority w:val="99"/>
    <w:pPr>
      <w:spacing w:after="0" w:lineRule="auto" w:line="240"/>
      <w:jc w:val="center"/>
    </w:pPr>
    <w:rPr>
      <w:rFonts w:ascii="Calibri" w:cs="Calibri" w:eastAsia="宋体" w:hAnsi="Calibri"/>
      <w:color w:val="000000"/>
      <w:kern w:val="0"/>
      <w:lang w:val="en-GB" w:eastAsia="en-GB"/>
      <w14:ligatures xmlns:w14="http://schemas.microsoft.com/office/word/2010/wordml" w14:val="none"/>
    </w:rPr>
  </w:style>
  <w:style w:type="character" w:customStyle="1" w:styleId="style4156">
    <w:name w:val="HSN Char"/>
    <w:basedOn w:val="style65"/>
    <w:next w:val="style4156"/>
    <w:link w:val="style4155"/>
    <w:uiPriority w:val="99"/>
    <w:rPr>
      <w:rFonts w:ascii="Calibri" w:cs="Calibri" w:eastAsia="宋体" w:hAnsi="Calibri"/>
      <w:color w:val="000000"/>
      <w:kern w:val="0"/>
      <w:sz w:val="22"/>
      <w:szCs w:val="22"/>
      <w:lang w:val="en-GB" w:eastAsia="en-GB"/>
      <w14:ligatures xmlns:w14="http://schemas.microsoft.com/office/word/2010/wordml" w14:val="none"/>
    </w:rPr>
  </w:style>
  <w:style w:type="paragraph" w:customStyle="1" w:styleId="style4157">
    <w:name w:val="عنواني"/>
    <w:basedOn w:val="style0"/>
    <w:next w:val="style4157"/>
    <w:link w:val="style4158"/>
    <w:qFormat/>
    <w:uiPriority w:val="99"/>
    <w:pPr>
      <w:widowControl w:val="false"/>
      <w:numPr>
        <w:ilvl w:val="0"/>
        <w:numId w:val="2"/>
      </w:numPr>
      <w:autoSpaceDE w:val="false"/>
      <w:autoSpaceDN w:val="false"/>
      <w:adjustRightInd w:val="false"/>
      <w:spacing w:after="0" w:lineRule="auto" w:line="240"/>
    </w:pPr>
    <w:rPr>
      <w:rFonts w:ascii="Sakkal Majalla" w:cs="Sakkal Majalla" w:eastAsia="宋体" w:hAnsi="Sakkal Majalla"/>
      <w:b/>
      <w:bCs/>
      <w:color w:val="000000"/>
      <w:kern w:val="0"/>
      <w:sz w:val="28"/>
      <w:szCs w:val="28"/>
      <w:lang w:val="en-GB" w:eastAsia="en-GB"/>
      <w14:ligatures xmlns:w14="http://schemas.microsoft.com/office/word/2010/wordml" w14:val="none"/>
    </w:rPr>
  </w:style>
  <w:style w:type="character" w:customStyle="1" w:styleId="style4158">
    <w:name w:val="عنواني Char"/>
    <w:basedOn w:val="style65"/>
    <w:next w:val="style4158"/>
    <w:link w:val="style4157"/>
    <w:uiPriority w:val="99"/>
    <w:rPr>
      <w:rFonts w:ascii="Sakkal Majalla" w:cs="Sakkal Majalla" w:eastAsia="宋体" w:hAnsi="Sakkal Majalla"/>
      <w:b/>
      <w:bCs/>
      <w:color w:val="000000"/>
      <w:kern w:val="0"/>
      <w:sz w:val="28"/>
      <w:szCs w:val="28"/>
      <w:lang w:val="en-GB" w:eastAsia="en-GB"/>
      <w14:ligatures xmlns:w14="http://schemas.microsoft.com/office/word/2010/wordml" w14:val="none"/>
    </w:rPr>
  </w:style>
  <w:style w:type="paragraph" w:customStyle="1" w:styleId="style4159">
    <w:name w:val="فقرة"/>
    <w:basedOn w:val="style4157"/>
    <w:next w:val="style4159"/>
    <w:link w:val="style4160"/>
    <w:qFormat/>
    <w:uiPriority w:val="35"/>
    <w:pPr>
      <w:numPr>
        <w:ilvl w:val="0"/>
        <w:numId w:val="0"/>
      </w:numPr>
      <w:spacing w:lineRule="auto" w:line="360"/>
      <w:jc w:val="both"/>
    </w:pPr>
    <w:rPr>
      <w:rFonts w:eastAsia="Times New Roman"/>
      <w:b w:val="false"/>
      <w:bCs w:val="false"/>
    </w:rPr>
  </w:style>
  <w:style w:type="character" w:customStyle="1" w:styleId="style4160">
    <w:name w:val="فقرة Char"/>
    <w:basedOn w:val="style4158"/>
    <w:next w:val="style4160"/>
    <w:link w:val="style4159"/>
    <w:uiPriority w:val="35"/>
    <w:rPr>
      <w:rFonts w:ascii="Sakkal Majalla" w:cs="Sakkal Majalla" w:eastAsia="Times New Roman" w:hAnsi="Sakkal Majalla"/>
      <w:b w:val="false"/>
      <w:bCs w:val="false"/>
      <w:color w:val="000000"/>
      <w:kern w:val="0"/>
      <w:sz w:val="28"/>
      <w:szCs w:val="28"/>
      <w:lang w:val="en-GB" w:eastAsia="en-GB"/>
      <w14:ligatures xmlns:w14="http://schemas.microsoft.com/office/word/2010/wordml" w14:val="none"/>
    </w:rPr>
  </w:style>
  <w:style w:type="paragraph" w:customStyle="1" w:styleId="style4161">
    <w:name w:val="animating"/>
    <w:basedOn w:val="style0"/>
    <w:next w:val="style4161"/>
    <w:pPr>
      <w:bidi w:val="false"/>
      <w:spacing w:before="100" w:beforeAutospacing="true" w:after="100" w:afterAutospacing="true" w:lineRule="auto" w:line="240"/>
    </w:pPr>
    <w:rPr>
      <w:rFonts w:ascii="Times New Roman" w:cs="Times New Roman" w:eastAsia="Times New Roman" w:hAnsi="Times New Roman"/>
      <w:kern w:val="0"/>
      <w:sz w:val="24"/>
      <w:szCs w:val="24"/>
      <w14:ligatures xmlns:w14="http://schemas.microsoft.com/office/word/2010/wordml" w14:val="none"/>
    </w:rPr>
  </w:style>
  <w:style w:type="character" w:customStyle="1" w:styleId="style4162">
    <w:name w:val="animating1"/>
    <w:basedOn w:val="style65"/>
    <w:next w:val="style4162"/>
  </w:style>
  <w:style w:type="character" w:customStyle="1" w:styleId="style4163">
    <w:name w:val="label"/>
    <w:basedOn w:val="style65"/>
    <w:next w:val="style4163"/>
  </w:style>
  <w:style w:type="paragraph" w:customStyle="1" w:styleId="style4164">
    <w:name w:val="فقرة.."/>
    <w:basedOn w:val="style4159"/>
    <w:next w:val="style4164"/>
    <w:link w:val="style4165"/>
    <w:qFormat/>
    <w:pPr/>
  </w:style>
  <w:style w:type="character" w:customStyle="1" w:styleId="style4165">
    <w:name w:val="فقرة.. Char"/>
    <w:basedOn w:val="style4160"/>
    <w:next w:val="style4165"/>
    <w:link w:val="style4164"/>
    <w:rPr>
      <w:rFonts w:ascii="Sakkal Majalla" w:cs="Sakkal Majalla" w:eastAsia="Times New Roman" w:hAnsi="Sakkal Majalla"/>
      <w:b w:val="false"/>
      <w:bCs w:val="false"/>
      <w:color w:val="000000"/>
      <w:kern w:val="0"/>
      <w:sz w:val="28"/>
      <w:szCs w:val="28"/>
      <w:lang w:val="en-GB" w:eastAsia="en-GB"/>
      <w14:ligatures xmlns:w14="http://schemas.microsoft.com/office/word/2010/wordml" w14:val="none"/>
    </w:rPr>
  </w:style>
  <w:style w:type="paragraph" w:customStyle="1" w:styleId="style4166">
    <w:name w:val="p1"/>
    <w:basedOn w:val="style0"/>
    <w:next w:val="style4166"/>
    <w:pPr>
      <w:bidi w:val="false"/>
      <w:spacing w:after="0" w:lineRule="auto" w:line="240"/>
      <w:jc w:val="right"/>
    </w:pPr>
    <w:rPr>
      <w:rFonts w:ascii="Helvetica Neue" w:cs="Times New Roman" w:hAnsi="Helvetica Neue"/>
      <w:kern w:val="0"/>
      <w:sz w:val="20"/>
      <w:szCs w:val="20"/>
      <w14:ligatures xmlns:w14="http://schemas.microsoft.com/office/word/2010/wordml" w14:val="none"/>
    </w:rPr>
  </w:style>
  <w:style w:type="paragraph" w:customStyle="1" w:styleId="style4167">
    <w:name w:val="p2"/>
    <w:basedOn w:val="style0"/>
    <w:next w:val="style4167"/>
    <w:pPr>
      <w:bidi w:val="false"/>
      <w:spacing w:after="0" w:lineRule="auto" w:line="240"/>
      <w:jc w:val="right"/>
    </w:pPr>
    <w:rPr>
      <w:rFonts w:ascii="Helvetica Neue" w:cs="Times New Roman" w:hAnsi="Helvetica Neue"/>
      <w:kern w:val="0"/>
      <w:sz w:val="20"/>
      <w:szCs w:val="20"/>
      <w14:ligatures xmlns:w14="http://schemas.microsoft.com/office/word/2010/wordml" w14:val="none"/>
    </w:rPr>
  </w:style>
  <w:style w:type="character" w:customStyle="1" w:styleId="style4168">
    <w:name w:val="math-inline"/>
    <w:basedOn w:val="style65"/>
    <w:next w:val="style4168"/>
  </w:style>
  <w:style w:type="table" w:customStyle="1" w:styleId="style4169">
    <w:name w:val="Grid Table 6 Colorful"/>
    <w:basedOn w:val="style105"/>
    <w:next w:val="style4169"/>
    <w:uiPriority w:val="51"/>
    <w:pPr>
      <w:spacing w:after="0" w:lineRule="auto" w:line="240"/>
    </w:pPr>
    <w:rPr>
      <w:rFonts w:eastAsia="宋体"/>
      <w:color w:val="000000"/>
      <w:kern w:val="0"/>
      <w14:ligatures xmlns:w14="http://schemas.microsoft.com/office/word/2010/wordml"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pPr/>
      <w:rPr>
        <w:b/>
        <w:bCs/>
      </w:rPr>
      <w:tblPr/>
      <w:tcPr>
        <w:tcBorders>
          <w:bottom w:val="single" w:sz="12" w:space="0" w:color="666666"/>
        </w:tcBorders>
      </w:tcPr>
    </w:tblStylePr>
    <w:tblStylePr w:type="lastRow">
      <w:pPr/>
      <w:rPr>
        <w:b/>
        <w:bCs/>
      </w:rPr>
      <w:tblPr/>
      <w:tcPr>
        <w:tcBorders>
          <w:top w:val="double" w:sz="4" w:space="0" w:color="666666"/>
        </w:tcBorders>
      </w:tcPr>
    </w:tblStylePr>
    <w:tblStylePr w:type="band1Horz">
      <w:pPr/>
      <w:tblPr/>
      <w:tcPr>
        <w:tcBorders/>
        <w:shd w:val="clear" w:color="auto" w:fill="cccccc"/>
      </w:tcPr>
    </w:tblStylePr>
    <w:tblStylePr w:type="firstCol">
      <w:pPr/>
      <w:rPr>
        <w:b/>
        <w:bCs/>
      </w:rPr>
      <w:tcPr>
        <w:tcBorders/>
      </w:tcPr>
    </w:tblStylePr>
    <w:tblStylePr w:type="lastCol">
      <w:pPr/>
      <w:rPr>
        <w:b/>
        <w:bCs/>
      </w:rPr>
      <w:tcPr>
        <w:tcBorders/>
      </w:tcPr>
    </w:tblStylePr>
    <w:tblStylePr w:type="band1Vert">
      <w:pPr/>
      <w:tblPr/>
      <w:tcPr>
        <w:tcBorders/>
        <w:shd w:val="clear" w:color="auto" w:fill="cccccc"/>
      </w:tcPr>
    </w:tblStylePr>
    <w:tcPr>
      <w:tcBorders/>
    </w:tcPr>
  </w:style>
  <w:style w:type="character" w:styleId="style88">
    <w:name w:val="Emphasis"/>
    <w:basedOn w:val="style65"/>
    <w:next w:val="style88"/>
    <w:qFormat/>
    <w:uiPriority w:val="20"/>
    <w:rPr>
      <w:i/>
      <w:iCs/>
    </w:rPr>
  </w:style>
  <w:style w:type="character" w:styleId="style260">
    <w:name w:val="Subtle Emphasis"/>
    <w:basedOn w:val="style65"/>
    <w:next w:val="style260"/>
    <w:qFormat/>
    <w:uiPriority w:val="19"/>
    <w:rPr>
      <w:i/>
      <w:iCs/>
      <w:color w:val="404040"/>
    </w:rPr>
  </w:style>
  <w:style w:type="character" w:styleId="style262">
    <w:name w:val="Subtle Reference"/>
    <w:basedOn w:val="style65"/>
    <w:next w:val="style262"/>
    <w:qFormat/>
    <w:uiPriority w:val="31"/>
    <w:rPr>
      <w:smallCaps/>
      <w:color w:val="404040"/>
      <w:u w:val="single" w:color="7f7f7f"/>
    </w:rPr>
  </w:style>
  <w:style w:type="character" w:styleId="style264">
    <w:name w:val="Book Title"/>
    <w:basedOn w:val="style65"/>
    <w:next w:val="style264"/>
    <w:qFormat/>
    <w:uiPriority w:val="33"/>
    <w:rPr>
      <w:b/>
      <w:bCs/>
      <w:smallCaps/>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1</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2</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3</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4</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5</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6</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7</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8</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9</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10</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11</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17</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12</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13</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14</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15</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16</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1</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3</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4</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5</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6</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7</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8</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9</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10</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11</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12</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13</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14</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15</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16</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17</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18</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19</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20</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21</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22</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23</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24</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25</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26</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27</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28</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29</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30</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31</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32</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33</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1</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2</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3</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4</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5</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7</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8</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9</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10</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11</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12</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13</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14</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15</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16</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17</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18</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19</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20</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21</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22</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1</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2</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3</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4</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5</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6</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7</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9</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10</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11</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12</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13</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14</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15</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16</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1</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2</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3</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4</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5</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6</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7</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8</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9</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11</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12</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13</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14</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15</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16</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17</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18</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2</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3</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4</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5</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6</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7</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8</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9</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10</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11</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13</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14</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15</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16</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2</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3</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4</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5</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6</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7</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8</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9</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10</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11</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12</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13</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2</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3</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4</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5</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6</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7</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8</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9</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10</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11</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12</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13</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14</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16</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17</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18</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19</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20</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2</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3</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4</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5</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6</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7</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8</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9</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10</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11</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12</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13</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14</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15</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16</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17</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2</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3</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4</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5</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6</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7</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8</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9</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10</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11</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12</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13</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14</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15</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16</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17</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18</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9</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10</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1</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3</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4</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5</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6</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7</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8</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9</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10</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11</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12</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13</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14</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15</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16</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17</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18</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19</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20</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21</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10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11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12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13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14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15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16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17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18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19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1</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3</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4</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5</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6</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7</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8</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9</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10</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11</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12</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13</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14</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1</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3</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4</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5</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6</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7</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8</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9</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10</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11</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12</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13</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14</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15</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16</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17</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18</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19</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20</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21</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22</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23</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24</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25</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26</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27</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29</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30</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31</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32</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1</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3</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4</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5</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6</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7</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8</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9</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10</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11</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12</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13</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14</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15</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16</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17</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18</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19</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20</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21</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22</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23</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24</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25</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26</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27</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28</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29</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1</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2</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4</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5</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6</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7</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8</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9</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10</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11</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12</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13</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14</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15</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16</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17</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18</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19</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20</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21</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22</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23</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24</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25</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26</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27</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28</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29</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30</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1</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2</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4</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5</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6</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7</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8</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9</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10</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11</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12</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13</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14</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15</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16</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17</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18</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19</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20</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21</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22</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23</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24</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25</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1</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2</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4</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5</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6</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7</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8</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9</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10</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11</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12</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13</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14</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15</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16</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17</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18</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19</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20</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21</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1</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2</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4</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5</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6</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7</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8</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9</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10</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11</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12</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13</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1</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2</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3</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5</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6</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7</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8</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9</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10</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11</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12</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13</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14</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15</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16</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17</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18</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19</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20</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21</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22</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23</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24</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1</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2</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3</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5</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6</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7</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8</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9</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10</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11</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12</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13</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14</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15</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16</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17</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18</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19</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20</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21</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22</b:RefOrder>
  </b:Source>
</b:Sources>
</file>

<file path=customXml/itemProps1.xml><?xml version="1.0" encoding="utf-8"?>
<ds:datastoreItem xmlns:ds="http://schemas.openxmlformats.org/officeDocument/2006/customXml" ds:itemID="{23F23EB7-92D6-4B3E-BB8A-44E42819E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Words>5480</Words>
  <Pages>24</Pages>
  <Characters>31059</Characters>
  <Application>WPS Office</Application>
  <DocSecurity>0</DocSecurity>
  <Paragraphs>230</Paragraphs>
  <ScaleCrop>false</ScaleCrop>
  <LinksUpToDate>false</LinksUpToDate>
  <CharactersWithSpaces>36416</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٢٠٢٥-١٢-٠٧T٠١:٥٨:٠٠Z</dcterms:created>
  <dc:creator>DR.Amr Samy</dc:creator>
  <lastModifiedBy>SM-N975U1</lastModifiedBy>
  <dcterms:modified xsi:type="dcterms:W3CDTF">٢٠٢٦-٠٧-٠٨T١٥:٢٢:٢٠Z</dcterms:modified>
  <revision>67</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d9ba111afcea49a49045b8d791121ef4</vt:lpwstr>
  </property>
</Properties>
</file>