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12C76D66" w:rsidR="009125CE" w:rsidRPr="001F14A2" w:rsidRDefault="003331CF" w:rsidP="003331C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F14A2">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F5D0BF2">
            <wp:simplePos x="0" y="0"/>
            <wp:positionH relativeFrom="margin">
              <wp:posOffset>133350</wp:posOffset>
            </wp:positionH>
            <wp:positionV relativeFrom="margin">
              <wp:posOffset>-224790</wp:posOffset>
            </wp:positionV>
            <wp:extent cx="1701165" cy="1578610"/>
            <wp:effectExtent l="0" t="0" r="0"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1165" cy="1578610"/>
                    </a:xfrm>
                    <a:prstGeom prst="rect">
                      <a:avLst/>
                    </a:prstGeom>
                  </pic:spPr>
                </pic:pic>
              </a:graphicData>
            </a:graphic>
            <wp14:sizeRelH relativeFrom="margin">
              <wp14:pctWidth>0</wp14:pctWidth>
            </wp14:sizeRelH>
            <wp14:sizeRelV relativeFrom="margin">
              <wp14:pctHeight>0</wp14:pctHeight>
            </wp14:sizeRelV>
          </wp:anchor>
        </w:drawing>
      </w:r>
      <w:r w:rsidR="009125CE" w:rsidRPr="001F14A2">
        <w:rPr>
          <w:rFonts w:ascii="Simplified Arabic" w:hAnsi="Simplified Arabic" w:cs="Simplified Arabic"/>
          <w:b/>
          <w:bCs/>
          <w:color w:val="000000" w:themeColor="text1"/>
          <w:sz w:val="32"/>
          <w:szCs w:val="32"/>
          <w:rtl/>
          <w:lang w:bidi="ar-EG"/>
        </w:rPr>
        <w:t xml:space="preserve">جامعة </w:t>
      </w:r>
      <w:proofErr w:type="spellStart"/>
      <w:r w:rsidR="009125CE" w:rsidRPr="001F14A2">
        <w:rPr>
          <w:rFonts w:ascii="Simplified Arabic" w:hAnsi="Simplified Arabic" w:cs="Simplified Arabic"/>
          <w:b/>
          <w:bCs/>
          <w:color w:val="000000" w:themeColor="text1"/>
          <w:sz w:val="32"/>
          <w:szCs w:val="32"/>
          <w:rtl/>
          <w:lang w:bidi="ar-EG"/>
        </w:rPr>
        <w:t>ميدأوشن</w:t>
      </w:r>
      <w:proofErr w:type="spellEnd"/>
      <w:r w:rsidR="009125CE" w:rsidRPr="001F14A2">
        <w:rPr>
          <w:rFonts w:ascii="Simplified Arabic" w:hAnsi="Simplified Arabic" w:cs="Simplified Arabic"/>
          <w:b/>
          <w:bCs/>
          <w:color w:val="000000" w:themeColor="text1"/>
          <w:sz w:val="32"/>
          <w:szCs w:val="32"/>
          <w:rtl/>
          <w:lang w:bidi="ar-EG"/>
        </w:rPr>
        <w:t xml:space="preserve"> </w:t>
      </w:r>
    </w:p>
    <w:p w14:paraId="1E957002" w14:textId="68F8259A" w:rsidR="00F546CE" w:rsidRPr="001F14A2" w:rsidRDefault="009125CE" w:rsidP="003331C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F14A2">
        <w:rPr>
          <w:rFonts w:ascii="Simplified Arabic" w:hAnsi="Simplified Arabic" w:cs="Simplified Arabic"/>
          <w:b/>
          <w:bCs/>
          <w:color w:val="000000" w:themeColor="text1"/>
          <w:sz w:val="32"/>
          <w:szCs w:val="32"/>
          <w:rtl/>
          <w:lang w:bidi="ar-EG"/>
        </w:rPr>
        <w:t xml:space="preserve">كلية </w:t>
      </w:r>
      <w:r w:rsidR="008C42C1" w:rsidRPr="001F14A2">
        <w:rPr>
          <w:rFonts w:ascii="Simplified Arabic" w:hAnsi="Simplified Arabic" w:cs="Simplified Arabic"/>
          <w:b/>
          <w:bCs/>
          <w:color w:val="000000" w:themeColor="text1"/>
          <w:sz w:val="32"/>
          <w:szCs w:val="32"/>
          <w:rtl/>
          <w:lang w:bidi="ar-EG"/>
        </w:rPr>
        <w:t>الإدارة</w:t>
      </w:r>
      <w:r w:rsidRPr="001F14A2">
        <w:rPr>
          <w:rFonts w:ascii="Simplified Arabic" w:hAnsi="Simplified Arabic" w:cs="Simplified Arabic"/>
          <w:b/>
          <w:bCs/>
          <w:color w:val="000000" w:themeColor="text1"/>
          <w:sz w:val="32"/>
          <w:szCs w:val="32"/>
          <w:rtl/>
          <w:lang w:bidi="ar-EG"/>
        </w:rPr>
        <w:t xml:space="preserve"> </w:t>
      </w:r>
    </w:p>
    <w:p w14:paraId="0217C513" w14:textId="6D0BB64C" w:rsidR="009125CE" w:rsidRPr="001F14A2" w:rsidRDefault="009125CE" w:rsidP="003331C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F14A2">
        <w:rPr>
          <w:rFonts w:ascii="Simplified Arabic" w:hAnsi="Simplified Arabic" w:cs="Simplified Arabic"/>
          <w:b/>
          <w:bCs/>
          <w:color w:val="000000" w:themeColor="text1"/>
          <w:sz w:val="32"/>
          <w:szCs w:val="32"/>
          <w:rtl/>
          <w:lang w:bidi="ar-EG"/>
        </w:rPr>
        <w:t>تخصص</w:t>
      </w:r>
      <w:r w:rsidR="00B15A9E" w:rsidRPr="001F14A2">
        <w:rPr>
          <w:rFonts w:ascii="Simplified Arabic" w:hAnsi="Simplified Arabic" w:cs="Simplified Arabic"/>
          <w:b/>
          <w:bCs/>
          <w:color w:val="000000" w:themeColor="text1"/>
          <w:sz w:val="32"/>
          <w:szCs w:val="32"/>
          <w:rtl/>
          <w:lang w:bidi="ar-EG"/>
        </w:rPr>
        <w:t xml:space="preserve"> </w:t>
      </w:r>
      <w:r w:rsidR="00854B0B" w:rsidRPr="001F14A2">
        <w:rPr>
          <w:rFonts w:ascii="Simplified Arabic" w:hAnsi="Simplified Arabic" w:cs="Simplified Arabic"/>
          <w:b/>
          <w:bCs/>
          <w:color w:val="000000" w:themeColor="text1"/>
          <w:sz w:val="32"/>
          <w:szCs w:val="32"/>
          <w:rtl/>
          <w:lang w:bidi="ar-EG"/>
        </w:rPr>
        <w:t>اداره ا</w:t>
      </w:r>
      <w:r w:rsidR="00CC6261" w:rsidRPr="001F14A2">
        <w:rPr>
          <w:rFonts w:ascii="Simplified Arabic" w:hAnsi="Simplified Arabic" w:cs="Simplified Arabic"/>
          <w:b/>
          <w:bCs/>
          <w:color w:val="000000" w:themeColor="text1"/>
          <w:sz w:val="32"/>
          <w:szCs w:val="32"/>
          <w:rtl/>
          <w:lang w:bidi="ar-EG"/>
        </w:rPr>
        <w:t>ل</w:t>
      </w:r>
      <w:r w:rsidR="00E42E37" w:rsidRPr="001F14A2">
        <w:rPr>
          <w:rFonts w:ascii="Simplified Arabic" w:hAnsi="Simplified Arabic" w:cs="Simplified Arabic"/>
          <w:b/>
          <w:bCs/>
          <w:color w:val="000000" w:themeColor="text1"/>
          <w:sz w:val="32"/>
          <w:szCs w:val="32"/>
          <w:rtl/>
          <w:lang w:bidi="ar-EG"/>
        </w:rPr>
        <w:t>اعمال</w:t>
      </w:r>
    </w:p>
    <w:p w14:paraId="0A25F43C" w14:textId="77777777" w:rsidR="008C7BB4" w:rsidRPr="001F14A2" w:rsidRDefault="008C7BB4" w:rsidP="003331C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557552C" w14:textId="77777777" w:rsidR="00FA1C54" w:rsidRPr="001F14A2" w:rsidRDefault="00FA1C54" w:rsidP="003331CF">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1F14A2">
        <w:rPr>
          <w:rFonts w:ascii="Simplified Arabic" w:hAnsi="Simplified Arabic" w:cs="Simplified Arabic"/>
          <w:b/>
          <w:bCs/>
          <w:color w:val="000000" w:themeColor="text1"/>
          <w:sz w:val="40"/>
          <w:szCs w:val="40"/>
          <w:rtl/>
        </w:rPr>
        <w:t>أثر تخطيط القوى العاملة الموسمية على جودة الخدمة وتقليل الازدحام التشغيلي: دراسة ميدانية على منشآت خدمات الحجاج والمعتمرين في مكة المكرمة</w:t>
      </w:r>
    </w:p>
    <w:p w14:paraId="751A7E65" w14:textId="64F24B2F" w:rsidR="009125CE" w:rsidRDefault="009125CE" w:rsidP="003331CF">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1F14A2">
        <w:rPr>
          <w:rFonts w:ascii="Simplified Arabic" w:hAnsi="Simplified Arabic" w:cs="Simplified Arabic"/>
          <w:b/>
          <w:bCs/>
          <w:color w:val="000000" w:themeColor="text1"/>
          <w:sz w:val="36"/>
          <w:szCs w:val="36"/>
          <w:rtl/>
          <w:lang w:bidi="ar-EG"/>
        </w:rPr>
        <w:t>إعداد الطالب/</w:t>
      </w:r>
      <w:r w:rsidR="00000C50">
        <w:rPr>
          <w:rFonts w:ascii="Simplified Arabic" w:hAnsi="Simplified Arabic" w:cs="Simplified Arabic" w:hint="cs"/>
          <w:b/>
          <w:bCs/>
          <w:color w:val="000000" w:themeColor="text1"/>
          <w:sz w:val="36"/>
          <w:szCs w:val="36"/>
          <w:rtl/>
        </w:rPr>
        <w:t>ه</w:t>
      </w:r>
    </w:p>
    <w:p w14:paraId="3E3B487B" w14:textId="043DB720" w:rsidR="00000C50" w:rsidRDefault="00000C50" w:rsidP="003331CF">
      <w:pPr>
        <w:spacing w:before="100" w:beforeAutospacing="1" w:after="100" w:afterAutospacing="1" w:line="276" w:lineRule="auto"/>
        <w:jc w:val="center"/>
        <w:rPr>
          <w:rFonts w:ascii="Simplified Arabic" w:hAnsi="Simplified Arabic" w:cs="Simplified Arabic"/>
          <w:b/>
          <w:bCs/>
          <w:color w:val="000000" w:themeColor="text1"/>
          <w:sz w:val="24"/>
          <w:szCs w:val="24"/>
          <w:rtl/>
        </w:rPr>
      </w:pPr>
      <w:proofErr w:type="spellStart"/>
      <w:r>
        <w:rPr>
          <w:rFonts w:ascii="Simplified Arabic" w:hAnsi="Simplified Arabic" w:cs="Simplified Arabic" w:hint="cs"/>
          <w:b/>
          <w:bCs/>
          <w:color w:val="000000" w:themeColor="text1"/>
          <w:sz w:val="24"/>
          <w:szCs w:val="24"/>
          <w:rtl/>
        </w:rPr>
        <w:t>سهيله</w:t>
      </w:r>
      <w:proofErr w:type="spellEnd"/>
      <w:r>
        <w:rPr>
          <w:rFonts w:ascii="Simplified Arabic" w:hAnsi="Simplified Arabic" w:cs="Simplified Arabic" w:hint="cs"/>
          <w:b/>
          <w:bCs/>
          <w:color w:val="000000" w:themeColor="text1"/>
          <w:sz w:val="24"/>
          <w:szCs w:val="24"/>
          <w:rtl/>
        </w:rPr>
        <w:t xml:space="preserve"> محمد </w:t>
      </w:r>
      <w:proofErr w:type="spellStart"/>
      <w:r>
        <w:rPr>
          <w:rFonts w:ascii="Simplified Arabic" w:hAnsi="Simplified Arabic" w:cs="Simplified Arabic" w:hint="cs"/>
          <w:b/>
          <w:bCs/>
          <w:color w:val="000000" w:themeColor="text1"/>
          <w:sz w:val="24"/>
          <w:szCs w:val="24"/>
          <w:rtl/>
        </w:rPr>
        <w:t>خوج</w:t>
      </w:r>
      <w:proofErr w:type="spellEnd"/>
    </w:p>
    <w:p w14:paraId="532A1852" w14:textId="77777777" w:rsidR="00000C50" w:rsidRPr="007134B5" w:rsidRDefault="00000C50" w:rsidP="00000C50">
      <w:pPr>
        <w:spacing w:before="100" w:beforeAutospacing="1" w:after="100" w:afterAutospacing="1" w:line="276" w:lineRule="auto"/>
        <w:jc w:val="center"/>
        <w:rPr>
          <w:rFonts w:ascii="Simplified Arabic" w:hAnsi="Simplified Arabic" w:cs="Simplified Arabic" w:hint="cs"/>
          <w:b/>
          <w:bCs/>
          <w:color w:val="000000" w:themeColor="text1"/>
          <w:sz w:val="24"/>
          <w:szCs w:val="24"/>
          <w:rtl/>
        </w:rPr>
      </w:pPr>
      <w:r>
        <w:rPr>
          <w:rFonts w:ascii="Simplified Arabic" w:hAnsi="Simplified Arabic" w:cs="Simplified Arabic" w:hint="cs"/>
          <w:b/>
          <w:bCs/>
          <w:color w:val="000000" w:themeColor="text1"/>
          <w:sz w:val="24"/>
          <w:szCs w:val="24"/>
          <w:rtl/>
        </w:rPr>
        <w:t>253002260</w:t>
      </w:r>
    </w:p>
    <w:p w14:paraId="4EA6FDD9" w14:textId="77777777" w:rsidR="00000C50" w:rsidRPr="00000C50" w:rsidRDefault="00000C50" w:rsidP="003331CF">
      <w:pPr>
        <w:spacing w:before="100" w:beforeAutospacing="1" w:after="100" w:afterAutospacing="1" w:line="276" w:lineRule="auto"/>
        <w:jc w:val="center"/>
        <w:rPr>
          <w:rFonts w:ascii="Simplified Arabic" w:hAnsi="Simplified Arabic" w:cs="Simplified Arabic" w:hint="cs"/>
          <w:b/>
          <w:bCs/>
          <w:color w:val="000000" w:themeColor="text1"/>
          <w:sz w:val="24"/>
          <w:szCs w:val="24"/>
          <w:rtl/>
        </w:rPr>
      </w:pPr>
    </w:p>
    <w:p w14:paraId="69923BEA" w14:textId="77777777" w:rsidR="001F14A2" w:rsidRPr="001F14A2" w:rsidRDefault="001F14A2" w:rsidP="003331C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2A116F47" w14:textId="77777777" w:rsidR="001F14A2" w:rsidRPr="001F14A2" w:rsidRDefault="001F14A2" w:rsidP="003331C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F14A2" w:rsidRPr="001F14A2" w14:paraId="2091E2C8" w14:textId="77777777" w:rsidTr="00A5261F">
        <w:tc>
          <w:tcPr>
            <w:tcW w:w="4530" w:type="dxa"/>
          </w:tcPr>
          <w:p w14:paraId="1295A66A" w14:textId="77777777" w:rsidR="001F14A2" w:rsidRPr="001F14A2" w:rsidRDefault="001F14A2" w:rsidP="00A526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F14A2">
              <w:rPr>
                <w:rFonts w:ascii="Simplified Arabic" w:hAnsi="Simplified Arabic" w:cs="Simplified Arabic" w:hint="cs"/>
                <w:b/>
                <w:bCs/>
                <w:color w:val="000000" w:themeColor="text1"/>
                <w:sz w:val="36"/>
                <w:szCs w:val="36"/>
                <w:rtl/>
                <w:lang w:bidi="ar-EG"/>
              </w:rPr>
              <w:t>المشرف الرئيسي/</w:t>
            </w:r>
          </w:p>
        </w:tc>
        <w:tc>
          <w:tcPr>
            <w:tcW w:w="4531" w:type="dxa"/>
          </w:tcPr>
          <w:p w14:paraId="121DE975" w14:textId="77777777" w:rsidR="001F14A2" w:rsidRPr="001F14A2" w:rsidRDefault="001F14A2" w:rsidP="00A526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F14A2">
              <w:rPr>
                <w:rFonts w:ascii="Simplified Arabic" w:hAnsi="Simplified Arabic" w:cs="Simplified Arabic" w:hint="cs"/>
                <w:b/>
                <w:bCs/>
                <w:color w:val="000000" w:themeColor="text1"/>
                <w:sz w:val="36"/>
                <w:szCs w:val="36"/>
                <w:rtl/>
                <w:lang w:bidi="ar-EG"/>
              </w:rPr>
              <w:t>المشرف الثاني/</w:t>
            </w:r>
          </w:p>
        </w:tc>
      </w:tr>
      <w:tr w:rsidR="001F14A2" w:rsidRPr="001F14A2" w14:paraId="72D33D5E" w14:textId="77777777" w:rsidTr="00A5261F">
        <w:tc>
          <w:tcPr>
            <w:tcW w:w="4530" w:type="dxa"/>
          </w:tcPr>
          <w:p w14:paraId="17B5CBC1" w14:textId="77777777" w:rsidR="001F14A2" w:rsidRPr="001F14A2" w:rsidRDefault="001F14A2" w:rsidP="00A526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F14A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4566E53" w14:textId="77777777" w:rsidR="001F14A2" w:rsidRPr="001F14A2" w:rsidRDefault="001F14A2" w:rsidP="00A5261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1F14A2">
              <w:rPr>
                <w:rFonts w:ascii="Simplified Arabic" w:eastAsia="Calibri" w:hAnsi="Simplified Arabic" w:cs="Simplified Arabic"/>
                <w:color w:val="000000" w:themeColor="text1"/>
                <w:kern w:val="0"/>
                <w:sz w:val="36"/>
                <w:szCs w:val="36"/>
                <w:rtl/>
                <w:lang w:bidi="ar-EG"/>
                <w14:ligatures w14:val="none"/>
              </w:rPr>
              <w:t>د.فايز</w:t>
            </w:r>
            <w:proofErr w:type="spellEnd"/>
            <w:r w:rsidRPr="001F14A2">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2CE62979" w14:textId="77777777" w:rsidR="001F14A2" w:rsidRPr="001F14A2" w:rsidRDefault="001F14A2" w:rsidP="001F14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F14A2">
        <w:rPr>
          <w:rFonts w:ascii="Simplified Arabic" w:hAnsi="Simplified Arabic" w:cs="Simplified Arabic"/>
          <w:b/>
          <w:bCs/>
          <w:color w:val="000000" w:themeColor="text1"/>
          <w:sz w:val="36"/>
          <w:szCs w:val="36"/>
          <w:rtl/>
          <w:lang w:bidi="ar-EG"/>
        </w:rPr>
        <w:t>العام الدراسي:</w:t>
      </w:r>
    </w:p>
    <w:p w14:paraId="14D1D735" w14:textId="77777777" w:rsidR="001F14A2" w:rsidRPr="001F14A2" w:rsidRDefault="001F14A2" w:rsidP="001F14A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F14A2">
        <w:rPr>
          <w:rFonts w:ascii="Simplified Arabic" w:hAnsi="Simplified Arabic" w:cs="Simplified Arabic" w:hint="cs"/>
          <w:color w:val="000000" w:themeColor="text1"/>
          <w:sz w:val="36"/>
          <w:szCs w:val="36"/>
          <w:rtl/>
          <w:lang w:bidi="ar-EG"/>
        </w:rPr>
        <w:t xml:space="preserve">1448 </w:t>
      </w:r>
      <w:r w:rsidRPr="001F14A2">
        <w:rPr>
          <w:rFonts w:ascii="Simplified Arabic" w:hAnsi="Simplified Arabic" w:cs="Simplified Arabic"/>
          <w:color w:val="000000" w:themeColor="text1"/>
          <w:sz w:val="36"/>
          <w:szCs w:val="36"/>
          <w:rtl/>
          <w:lang w:bidi="ar-EG"/>
        </w:rPr>
        <w:t>–</w:t>
      </w:r>
      <w:r w:rsidRPr="001F14A2">
        <w:rPr>
          <w:rFonts w:ascii="Simplified Arabic" w:hAnsi="Simplified Arabic" w:cs="Simplified Arabic" w:hint="cs"/>
          <w:color w:val="000000" w:themeColor="text1"/>
          <w:sz w:val="36"/>
          <w:szCs w:val="36"/>
          <w:rtl/>
          <w:lang w:bidi="ar-EG"/>
        </w:rPr>
        <w:t xml:space="preserve"> 2026</w:t>
      </w:r>
    </w:p>
    <w:p w14:paraId="34318478" w14:textId="77777777" w:rsidR="001F14A2" w:rsidRPr="001F14A2" w:rsidRDefault="001F14A2" w:rsidP="001F14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1F14A2" w:rsidRPr="001F14A2" w:rsidSect="001F14A2">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24BBA01" w14:textId="32AB47D5" w:rsidR="001F14A2" w:rsidRPr="001F14A2" w:rsidRDefault="001F14A2" w:rsidP="001F14A2">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905849"/>
      <w:bookmarkStart w:id="1" w:name="_Hlk172151144"/>
      <w:bookmarkStart w:id="2" w:name="_Toc169790489"/>
      <w:r w:rsidRPr="001F14A2">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04AC7507" w14:textId="46757E0B" w:rsidR="003331CF" w:rsidRPr="001F14A2" w:rsidRDefault="001F14A2" w:rsidP="001F14A2">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905850"/>
      <w:r w:rsidRPr="001F14A2">
        <w:rPr>
          <w:rFonts w:ascii="Simplified Arabic" w:hAnsi="Simplified Arabic" w:cs="Simplified Arabic" w:hint="cs"/>
          <w:b/>
          <w:bCs/>
          <w:color w:val="000000" w:themeColor="text1"/>
          <w:sz w:val="36"/>
          <w:szCs w:val="36"/>
          <w:rtl/>
        </w:rPr>
        <w:t>1.1 المقدمة</w:t>
      </w:r>
      <w:bookmarkEnd w:id="3"/>
    </w:p>
    <w:p w14:paraId="0428CAF1" w14:textId="43252F95"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يُعدّ العنصر البشري الركيزة الجوهرية التي تقوم عليها المنظمات في تحقيق أهدافها الاستراتيجية وتقديم خدماتها بالكفاءة والفاعلية المطلوبتين، إذ لا يمكن لأي منظمة مهما بلغت إمكاناتها المادية والتقنية أن تُحقق التميز في أدائها دون توافر قوى عاملة مؤهلة ومُخطَّط لها بشكل علمي ومنهجي يضمن التوازن بين العرض والطلب على الموارد البشرية في التوقيت والمكان والتخصص المناسب. ومن هنا يبرز تخطيط القوى العاملة بوصفه عملية استراتيجية بالغة الأهمية تسعى إلى ضمان توافر الأعداد الكافية من العاملين ذوي الكفاءات والمهارات اللازمة لتلبية احتياجات المنظمة الحالية والمستقبلية في ظل بيئة تتسم بالتغيّر وعدم اليقين</w:t>
      </w:r>
      <w:r w:rsidRPr="001F14A2">
        <w:rPr>
          <w:rFonts w:ascii="Simplified Arabic" w:hAnsi="Simplified Arabic" w:cs="Simplified Arabic"/>
          <w:color w:val="000000" w:themeColor="text1"/>
          <w:sz w:val="28"/>
          <w:szCs w:val="28"/>
        </w:rPr>
        <w:t xml:space="preserve"> (Jaillet</w:t>
      </w:r>
      <w:r w:rsidR="00B254D5" w:rsidRPr="001F14A2">
        <w:rPr>
          <w:rFonts w:ascii="Simplified Arabic" w:hAnsi="Simplified Arabic" w:cs="Simplified Arabic"/>
          <w:color w:val="000000" w:themeColor="text1"/>
          <w:sz w:val="28"/>
          <w:szCs w:val="28"/>
        </w:rPr>
        <w:t xml:space="preserve"> </w:t>
      </w:r>
      <w:proofErr w:type="spellStart"/>
      <w:r w:rsidR="00B254D5" w:rsidRPr="001F14A2">
        <w:rPr>
          <w:rFonts w:ascii="Simplified Arabic" w:hAnsi="Simplified Arabic" w:cs="Simplified Arabic"/>
          <w:color w:val="000000" w:themeColor="text1"/>
          <w:sz w:val="28"/>
          <w:szCs w:val="28"/>
        </w:rPr>
        <w:t>etal</w:t>
      </w:r>
      <w:proofErr w:type="spellEnd"/>
      <w:r w:rsidR="00B254D5" w:rsidRPr="001F14A2">
        <w:rPr>
          <w:rFonts w:ascii="Simplified Arabic" w:hAnsi="Simplified Arabic" w:cs="Simplified Arabic"/>
          <w:color w:val="000000" w:themeColor="text1"/>
          <w:sz w:val="28"/>
          <w:szCs w:val="28"/>
        </w:rPr>
        <w:t>.</w:t>
      </w:r>
      <w:r w:rsidRPr="001F14A2">
        <w:rPr>
          <w:rFonts w:ascii="Simplified Arabic" w:hAnsi="Simplified Arabic" w:cs="Simplified Arabic"/>
          <w:color w:val="000000" w:themeColor="text1"/>
          <w:sz w:val="28"/>
          <w:szCs w:val="28"/>
        </w:rPr>
        <w:t>, 2022).</w:t>
      </w:r>
    </w:p>
    <w:p w14:paraId="2BFE416A" w14:textId="2BC95307"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ويكتسب تخطيط القوى العاملة أهمية مضاعفة في القطاعات الخدمية التي تتسم بالموسمية الحادة والتذبذب الكبير في حجم الطلب على الخدمات، حيث تفرض هذه الطبيعة الموسمية تحديات فريدة في تحديد الاحتياجات الوظيفية واستقطاب الكوادر المناسبة وتأهيلها وتقييم أدائها خلال فترات زمنية قصيرة ومكثّفة. وقد أكّدت الأدبيات الإدارية المعاصرة أن المنظمات العاملة في قطاعات السياحة والفعاليات الكبرى تواجه صعوبات جوهرية في الموازنة بين الحاجة إلى المرونة في حجم القوى العاملة من جهة والحفاظ على الكفاءات والخبرات المتراكمة من جهة أخرى، مما يجعل تخطيط القوى العاملة ضرورة استراتيجية وليس مجرد إجراء إداري روتيني</w:t>
      </w:r>
      <w:r w:rsidRPr="001F14A2">
        <w:rPr>
          <w:rFonts w:ascii="Simplified Arabic" w:hAnsi="Simplified Arabic" w:cs="Simplified Arabic"/>
          <w:color w:val="000000" w:themeColor="text1"/>
          <w:sz w:val="28"/>
          <w:szCs w:val="28"/>
        </w:rPr>
        <w:t xml:space="preserve"> (Ronaghi</w:t>
      </w:r>
      <w:r w:rsidR="00B254D5" w:rsidRPr="001F14A2">
        <w:rPr>
          <w:rFonts w:ascii="Simplified Arabic" w:eastAsiaTheme="minorHAnsi" w:hAnsi="Simplified Arabic" w:cs="Simplified Arabic"/>
          <w:color w:val="000000" w:themeColor="text1"/>
          <w:kern w:val="2"/>
          <w:sz w:val="28"/>
          <w:szCs w:val="28"/>
          <w14:ligatures w14:val="standardContextual"/>
        </w:rPr>
        <w:t xml:space="preserve"> </w:t>
      </w:r>
      <w:proofErr w:type="spellStart"/>
      <w:r w:rsidR="00B254D5" w:rsidRPr="001F14A2">
        <w:rPr>
          <w:rFonts w:ascii="Simplified Arabic" w:hAnsi="Simplified Arabic" w:cs="Simplified Arabic"/>
          <w:color w:val="000000" w:themeColor="text1"/>
          <w:sz w:val="28"/>
          <w:szCs w:val="28"/>
        </w:rPr>
        <w:t>etal</w:t>
      </w:r>
      <w:proofErr w:type="spellEnd"/>
      <w:r w:rsidR="00B254D5" w:rsidRPr="001F14A2">
        <w:rPr>
          <w:rFonts w:ascii="Simplified Arabic" w:hAnsi="Simplified Arabic" w:cs="Simplified Arabic"/>
          <w:color w:val="000000" w:themeColor="text1"/>
          <w:sz w:val="28"/>
          <w:szCs w:val="28"/>
        </w:rPr>
        <w:t>.,</w:t>
      </w:r>
      <w:r w:rsidRPr="001F14A2">
        <w:rPr>
          <w:rFonts w:ascii="Simplified Arabic" w:hAnsi="Simplified Arabic" w:cs="Simplified Arabic"/>
          <w:color w:val="000000" w:themeColor="text1"/>
          <w:sz w:val="28"/>
          <w:szCs w:val="28"/>
        </w:rPr>
        <w:t xml:space="preserve"> 2024).</w:t>
      </w:r>
    </w:p>
    <w:p w14:paraId="54204C62" w14:textId="48AE356D"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 xml:space="preserve">وتُمثّل جودة الخدمات المقدمة في المنظمات الخدمية عاملاً حاسماً في تحقيق رضا المستفيدين وتعزيز ثقتهم، لا سيما حين يتعلق الأمر بخدمات ذات طابع ديني وروحي تمسّ وجدان الملايين من المسلمين حول العالم. وتتجاوز جودة الخدمات في هذا السياق مفهومها التقليدي لتشمل أبعاداً إنسانية وروحية وثقافية تستدعي من مقدّمي الخدمة مستوى عالياً من الحساسية الثقافية والكفاءة اللغوية والجاهزية المهنية، وهو ما لا يتحقق إلا من خلال تخطيط محكم للقوى العاملة يُراعي هذه الأبعاد المتشعبة </w:t>
      </w:r>
      <w:r w:rsidRPr="001F14A2">
        <w:rPr>
          <w:rFonts w:ascii="Simplified Arabic" w:hAnsi="Simplified Arabic" w:cs="Simplified Arabic"/>
          <w:color w:val="000000" w:themeColor="text1"/>
          <w:sz w:val="28"/>
          <w:szCs w:val="28"/>
        </w:rPr>
        <w:t>(</w:t>
      </w:r>
      <w:proofErr w:type="spellStart"/>
      <w:r w:rsidRPr="001F14A2">
        <w:rPr>
          <w:rFonts w:ascii="Simplified Arabic" w:hAnsi="Simplified Arabic" w:cs="Simplified Arabic"/>
          <w:color w:val="000000" w:themeColor="text1"/>
          <w:sz w:val="28"/>
          <w:szCs w:val="28"/>
        </w:rPr>
        <w:t>Shambour</w:t>
      </w:r>
      <w:proofErr w:type="spellEnd"/>
      <w:r w:rsidRPr="001F14A2">
        <w:rPr>
          <w:rFonts w:ascii="Simplified Arabic" w:hAnsi="Simplified Arabic" w:cs="Simplified Arabic"/>
          <w:color w:val="000000" w:themeColor="text1"/>
          <w:sz w:val="28"/>
          <w:szCs w:val="28"/>
        </w:rPr>
        <w:t xml:space="preserve"> </w:t>
      </w:r>
      <w:proofErr w:type="spellStart"/>
      <w:r w:rsidR="00B254D5" w:rsidRPr="001F14A2">
        <w:rPr>
          <w:rFonts w:ascii="Simplified Arabic" w:hAnsi="Simplified Arabic" w:cs="Simplified Arabic"/>
          <w:color w:val="000000" w:themeColor="text1"/>
          <w:sz w:val="28"/>
          <w:szCs w:val="28"/>
        </w:rPr>
        <w:t>etal</w:t>
      </w:r>
      <w:proofErr w:type="spellEnd"/>
      <w:r w:rsidR="00B254D5" w:rsidRPr="001F14A2">
        <w:rPr>
          <w:rFonts w:ascii="Simplified Arabic" w:hAnsi="Simplified Arabic" w:cs="Simplified Arabic"/>
          <w:color w:val="000000" w:themeColor="text1"/>
          <w:sz w:val="28"/>
          <w:szCs w:val="28"/>
        </w:rPr>
        <w:t>.</w:t>
      </w:r>
      <w:r w:rsidRPr="001F14A2">
        <w:rPr>
          <w:rFonts w:ascii="Simplified Arabic" w:hAnsi="Simplified Arabic" w:cs="Simplified Arabic"/>
          <w:color w:val="000000" w:themeColor="text1"/>
          <w:sz w:val="28"/>
          <w:szCs w:val="28"/>
        </w:rPr>
        <w:t>, 2023).</w:t>
      </w:r>
    </w:p>
    <w:p w14:paraId="761F3360" w14:textId="3B09DD40"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 xml:space="preserve">وفي سياق منظومة الحج والعمرة في المملكة العربية السعودية، تتضافر هذه الأبعاد جميعها لتُشكّل بيئة خدمية بالغة التعقيد والتفرد، حيث يتوافد ملايين الحجاج والمعتمرين سنوياً من شتى أنحاء العالم لأداء </w:t>
      </w:r>
      <w:r w:rsidRPr="001F14A2">
        <w:rPr>
          <w:rFonts w:ascii="Simplified Arabic" w:hAnsi="Simplified Arabic" w:cs="Simplified Arabic"/>
          <w:color w:val="000000" w:themeColor="text1"/>
          <w:sz w:val="28"/>
          <w:szCs w:val="28"/>
          <w:rtl/>
        </w:rPr>
        <w:lastRenderedPageBreak/>
        <w:t>مناسكهم في رقعة جغرافية محدودة وفترة زمنية قصيرة، مما يستلزم حشد أعداد ضخمة من القوى العاملة وتنسيق جهود جهات متعددة لضمان سلاسة تقديم الخدمات وسلامة الحجاج. وقد أثبتت الدراسات المتخصصة أن إدارة هذا الحدث تتطلب تخطيطاً مسبقاً دقيقاً ومراقبة آنية مستمرة لضمان كفاءة التشغيل وتجنّب الاختناقات والأزمات</w:t>
      </w:r>
      <w:r w:rsidRPr="001F14A2">
        <w:rPr>
          <w:rFonts w:ascii="Simplified Arabic" w:hAnsi="Simplified Arabic" w:cs="Simplified Arabic"/>
          <w:color w:val="000000" w:themeColor="text1"/>
          <w:sz w:val="28"/>
          <w:szCs w:val="28"/>
        </w:rPr>
        <w:t xml:space="preserve"> (</w:t>
      </w:r>
      <w:proofErr w:type="spellStart"/>
      <w:r w:rsidRPr="001F14A2">
        <w:rPr>
          <w:rFonts w:ascii="Simplified Arabic" w:hAnsi="Simplified Arabic" w:cs="Simplified Arabic"/>
          <w:color w:val="000000" w:themeColor="text1"/>
          <w:sz w:val="28"/>
          <w:szCs w:val="28"/>
        </w:rPr>
        <w:t>Owaidah</w:t>
      </w:r>
      <w:proofErr w:type="spellEnd"/>
      <w:r w:rsidR="00B254D5" w:rsidRPr="001F14A2">
        <w:rPr>
          <w:rFonts w:ascii="Simplified Arabic" w:eastAsiaTheme="minorHAnsi" w:hAnsi="Simplified Arabic" w:cs="Simplified Arabic"/>
          <w:color w:val="000000" w:themeColor="text1"/>
          <w:kern w:val="2"/>
          <w:sz w:val="28"/>
          <w:szCs w:val="28"/>
          <w14:ligatures w14:val="standardContextual"/>
        </w:rPr>
        <w:t xml:space="preserve"> </w:t>
      </w:r>
      <w:proofErr w:type="spellStart"/>
      <w:r w:rsidR="00B254D5" w:rsidRPr="001F14A2">
        <w:rPr>
          <w:rFonts w:ascii="Simplified Arabic" w:hAnsi="Simplified Arabic" w:cs="Simplified Arabic"/>
          <w:color w:val="000000" w:themeColor="text1"/>
          <w:sz w:val="28"/>
          <w:szCs w:val="28"/>
        </w:rPr>
        <w:t>etal</w:t>
      </w:r>
      <w:proofErr w:type="spellEnd"/>
      <w:r w:rsidR="00B254D5" w:rsidRPr="001F14A2">
        <w:rPr>
          <w:rFonts w:ascii="Simplified Arabic" w:hAnsi="Simplified Arabic" w:cs="Simplified Arabic"/>
          <w:color w:val="000000" w:themeColor="text1"/>
          <w:sz w:val="28"/>
          <w:szCs w:val="28"/>
        </w:rPr>
        <w:t>.,</w:t>
      </w:r>
      <w:r w:rsidRPr="001F14A2">
        <w:rPr>
          <w:rFonts w:ascii="Simplified Arabic" w:hAnsi="Simplified Arabic" w:cs="Simplified Arabic"/>
          <w:color w:val="000000" w:themeColor="text1"/>
          <w:sz w:val="28"/>
          <w:szCs w:val="28"/>
        </w:rPr>
        <w:t xml:space="preserve"> 2023).</w:t>
      </w:r>
    </w:p>
    <w:p w14:paraId="56654F42" w14:textId="782AFEFF"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وانطلاقاً مما سبق، تأتي هذه الدراسة لتتناول أثر تخطيط القوى العاملة بأبعاده المتمثلة في التنبؤ بالاحتياجات الوظيفية والاستقطاب والتوظيف والتدريب وتنمية المهارات وتقييم الأداء الوظيفي على جودة الخدمات المقدمة لضيوف الرحمن في منظومة الحج والعمرة، ساعيةً إلى تقديم إطار علمي متكامل يُسهم في تعزيز الفهم الأكاديمي لهذه العلاقة ويُوفّر أدلة تطبيقية تدعم صانعي القرار في تطوير ممارسات تخطيط القوى العاملة بما يُحقق أعلى مستويات الجودة في خدمة ضيوف الرحمن</w:t>
      </w:r>
      <w:r w:rsidR="00B254D5" w:rsidRPr="001F14A2">
        <w:rPr>
          <w:rFonts w:ascii="Simplified Arabic" w:hAnsi="Simplified Arabic" w:cs="Simplified Arabic"/>
          <w:color w:val="000000" w:themeColor="text1"/>
          <w:sz w:val="28"/>
          <w:szCs w:val="28"/>
          <w:rtl/>
        </w:rPr>
        <w:t>.</w:t>
      </w:r>
    </w:p>
    <w:p w14:paraId="1EAE374F" w14:textId="73E3E76E" w:rsidR="001F14A2" w:rsidRPr="001F14A2" w:rsidRDefault="001F14A2" w:rsidP="001F14A2">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905851"/>
      <w:bookmarkEnd w:id="1"/>
      <w:r w:rsidRPr="001F14A2">
        <w:rPr>
          <w:rFonts w:ascii="Simplified Arabic" w:hAnsi="Simplified Arabic" w:cs="Simplified Arabic"/>
          <w:b/>
          <w:bCs/>
          <w:color w:val="000000" w:themeColor="text1"/>
          <w:sz w:val="36"/>
          <w:szCs w:val="36"/>
          <w:rtl/>
        </w:rPr>
        <w:t>2.1 مشكلة الدراسة</w:t>
      </w:r>
      <w:bookmarkEnd w:id="4"/>
    </w:p>
    <w:p w14:paraId="6DD44B69" w14:textId="77777777"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تُمثّل منظومة الحج والعمرة في المملكة العربية السعودية واحدة من أعقد المنظومات الخدمية وأكثرها تفرّداً على المستوى العالمي، إذ تتسم بخصائص تنظيمية وتشغيلية استثنائية تتمثل في الموسمية الحادة والتركّز الزمني والمكاني المكثف، حيث تستقبل ملايين الحجاج والمعتمرين سنوياً من أكثر من مئة وثمانين دولة بتنوعٍ ثقافي ولغوي وديموغرافي غير مسبوق، في رقعة جغرافية محدودة وفترة زمنية قصيرة، مما يفرض ضغوطاً هائلة على القوى العاملة المسؤولة عن تقديم الخدمات بجودة تليق بقدسية المكان وعظمة الشعيرة. وفي ظل التوجهات الاستراتيجية الطموحة لرؤية المملكة 2030 وبرنامج خدمة ضيوف الرحمن الذي يستهدف استقبال ثلاثين مليون معتمر سنوياً، تتضاعف التحديات المرتبطة بإعداد وتأهيل وإدارة القوى العاملة القادرة على مواكبة هذا التوسع الكمي الكبير دون المساس بمعايير الجودة والتميز في الخدمة</w:t>
      </w:r>
      <w:r w:rsidRPr="001F14A2">
        <w:rPr>
          <w:rFonts w:ascii="Simplified Arabic" w:hAnsi="Simplified Arabic" w:cs="Simplified Arabic"/>
          <w:color w:val="000000" w:themeColor="text1"/>
          <w:sz w:val="28"/>
          <w:szCs w:val="28"/>
        </w:rPr>
        <w:t>.</w:t>
      </w:r>
    </w:p>
    <w:p w14:paraId="045DE193" w14:textId="77777777"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 xml:space="preserve">وتكشف المؤشرات الواقعية والتقارير الميدانية عن وجود فجوات ملموسة في ممارسات تخطيط القوى العاملة داخل منظومة الحج والعمرة، تتجلّى في عدة مظاهر مقلقة؛ فعلى صعيد التنبؤ بالاحتياجات الوظيفية، تعاني بعض الجهات من ضعف في دقة التقديرات المسبقة للأعداد والتخصصات المطلوبة مما يُفضي إلى فائض في بعض الوظائف ونقص حاد في أخرى خلال ذروة المواسم. وعلى صعيد الاستقطاب والتوظيف، تُلاحَظ تحديات في استقطاب الكفاءات المؤهلة القادرة على التعامل مع الخصوصية الثقافية واللغوية للحجاج، لا سيما في ظل قصر فترة التشغيل الموسمي وضعف الحوافز المقدمة مقارنة بالقطاعات الأخرى، فضلاً عن أن نسبة مشاركة المرأة لم تتجاوز سبعة بالمئة من إجمالي القوى العاملة رغم مساعي المملكة </w:t>
      </w:r>
      <w:r w:rsidRPr="001F14A2">
        <w:rPr>
          <w:rFonts w:ascii="Simplified Arabic" w:hAnsi="Simplified Arabic" w:cs="Simplified Arabic"/>
          <w:color w:val="000000" w:themeColor="text1"/>
          <w:sz w:val="28"/>
          <w:szCs w:val="28"/>
          <w:rtl/>
        </w:rPr>
        <w:lastRenderedPageBreak/>
        <w:t>لتمكينها وفقاً لرؤية 2030. أما على صعيد التدريب وتنمية المهارات، فتُشير الشواهد إلى أن كثيراً من العاملين يلتحقون بالعمل الموسمي دون تأهيل كافٍ يُمكّنهم من التعامل مع المواقف الطارئة والتنوع في احتياجات المستفيدين، مع محدودية في البرامج التدريبية المتخصصة التي تُراعي الطبيعة الفريدة لبيئة العمل في المشاعر المقدسة. وعلى صعيد تقييم الأداء الوظيفي، تبرز إشكالية غياب أنظمة تقييم شاملة ومستمرة ترتبط بمخرجات واضحة تُوجّه القرارات التصحيحية والتطويرية وتُعزز مبدأ المساءلة والتحسين المستمر</w:t>
      </w:r>
      <w:r w:rsidRPr="001F14A2">
        <w:rPr>
          <w:rFonts w:ascii="Simplified Arabic" w:hAnsi="Simplified Arabic" w:cs="Simplified Arabic"/>
          <w:color w:val="000000" w:themeColor="text1"/>
          <w:sz w:val="28"/>
          <w:szCs w:val="28"/>
        </w:rPr>
        <w:t>.</w:t>
      </w:r>
    </w:p>
    <w:p w14:paraId="20A38392" w14:textId="77777777"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وقد أكّدت عديد من الدراسات السابقة أهمية تخطيط القوى العاملة في تحسين جودة الخدمات في القطاعات المختلفة، حيث أشارت دراسة</w:t>
      </w:r>
      <w:r w:rsidRPr="001F14A2">
        <w:rPr>
          <w:rFonts w:ascii="Simplified Arabic" w:hAnsi="Simplified Arabic" w:cs="Simplified Arabic"/>
          <w:color w:val="000000" w:themeColor="text1"/>
          <w:sz w:val="28"/>
          <w:szCs w:val="28"/>
        </w:rPr>
        <w:t xml:space="preserve"> (Jaillet, Loke &amp; Sim, 2022) </w:t>
      </w:r>
      <w:r w:rsidRPr="001F14A2">
        <w:rPr>
          <w:rFonts w:ascii="Simplified Arabic" w:hAnsi="Simplified Arabic" w:cs="Simplified Arabic"/>
          <w:color w:val="000000" w:themeColor="text1"/>
          <w:sz w:val="28"/>
          <w:szCs w:val="28"/>
          <w:rtl/>
        </w:rPr>
        <w:t>إلى أن التخطيط الاستراتيجي للقوى العاملة في ظل عدم اليقين يُعدّ ضرورة مُلحّة للمؤسسات التي تسعى لتحقيق أهدافها التنظيمية، كما أوضحت دراسة</w:t>
      </w:r>
      <w:r w:rsidRPr="001F14A2">
        <w:rPr>
          <w:rFonts w:ascii="Simplified Arabic" w:hAnsi="Simplified Arabic" w:cs="Simplified Arabic"/>
          <w:color w:val="000000" w:themeColor="text1"/>
          <w:sz w:val="28"/>
          <w:szCs w:val="28"/>
        </w:rPr>
        <w:t xml:space="preserve"> (Ronaghi et al., 2024) </w:t>
      </w:r>
      <w:r w:rsidRPr="001F14A2">
        <w:rPr>
          <w:rFonts w:ascii="Simplified Arabic" w:hAnsi="Simplified Arabic" w:cs="Simplified Arabic"/>
          <w:color w:val="000000" w:themeColor="text1"/>
          <w:sz w:val="28"/>
          <w:szCs w:val="28"/>
          <w:rtl/>
        </w:rPr>
        <w:t>أن قطاع السياحة يواجه تحديات جسيمة في تخطيط القوى العاملة مرتبطة بالموسمية ونقص المهارات ومحدودية التمويل، بينما كشفت دراسة</w:t>
      </w:r>
      <w:r w:rsidRPr="001F14A2">
        <w:rPr>
          <w:rFonts w:ascii="Simplified Arabic" w:hAnsi="Simplified Arabic" w:cs="Simplified Arabic"/>
          <w:color w:val="000000" w:themeColor="text1"/>
          <w:sz w:val="28"/>
          <w:szCs w:val="28"/>
        </w:rPr>
        <w:t xml:space="preserve"> (</w:t>
      </w:r>
      <w:proofErr w:type="spellStart"/>
      <w:r w:rsidRPr="001F14A2">
        <w:rPr>
          <w:rFonts w:ascii="Simplified Arabic" w:hAnsi="Simplified Arabic" w:cs="Simplified Arabic"/>
          <w:color w:val="000000" w:themeColor="text1"/>
          <w:sz w:val="28"/>
          <w:szCs w:val="28"/>
        </w:rPr>
        <w:t>Rozmys</w:t>
      </w:r>
      <w:r w:rsidRPr="001F14A2">
        <w:rPr>
          <w:rFonts w:ascii="Cambria" w:hAnsi="Cambria" w:cs="Cambria"/>
          <w:color w:val="000000" w:themeColor="text1"/>
          <w:sz w:val="28"/>
          <w:szCs w:val="28"/>
        </w:rPr>
        <w:t>ł</w:t>
      </w:r>
      <w:r w:rsidRPr="001F14A2">
        <w:rPr>
          <w:rFonts w:ascii="Simplified Arabic" w:hAnsi="Simplified Arabic" w:cs="Simplified Arabic"/>
          <w:color w:val="000000" w:themeColor="text1"/>
          <w:sz w:val="28"/>
          <w:szCs w:val="28"/>
        </w:rPr>
        <w:t>owicz</w:t>
      </w:r>
      <w:proofErr w:type="spellEnd"/>
      <w:r w:rsidRPr="001F14A2">
        <w:rPr>
          <w:rFonts w:ascii="Simplified Arabic" w:hAnsi="Simplified Arabic" w:cs="Simplified Arabic"/>
          <w:color w:val="000000" w:themeColor="text1"/>
          <w:sz w:val="28"/>
          <w:szCs w:val="28"/>
        </w:rPr>
        <w:t xml:space="preserve"> &amp; Gruszka, 2022) </w:t>
      </w:r>
      <w:r w:rsidRPr="001F14A2">
        <w:rPr>
          <w:rFonts w:ascii="Simplified Arabic" w:hAnsi="Simplified Arabic" w:cs="Simplified Arabic"/>
          <w:color w:val="000000" w:themeColor="text1"/>
          <w:sz w:val="28"/>
          <w:szCs w:val="28"/>
          <w:rtl/>
        </w:rPr>
        <w:t>أن 75.6% من المؤسسات السياحية تلجأ إلى تخزين العمالة بسبب صعوبات سوق العمل الموسمي. وعلى الرغم من هذا الاهتمام البحثي المتزايد بتخطيط القوى العاملة في القطاعات الخدمية والسياحية، إلا أن الأدبيات تكاد تخلو من دراسات تناولت هذا الموضوع في سياق منظومة الحج والعمرة بأبعاده المتكاملة وأثره على جودة الخدمات المقدمة لضيوف الرحمن، مما يُشكّل فجوة بحثية واضحة تسعى الدراسة الحالية إلى سدّها</w:t>
      </w:r>
      <w:r w:rsidRPr="001F14A2">
        <w:rPr>
          <w:rFonts w:ascii="Simplified Arabic" w:hAnsi="Simplified Arabic" w:cs="Simplified Arabic"/>
          <w:color w:val="000000" w:themeColor="text1"/>
          <w:sz w:val="28"/>
          <w:szCs w:val="28"/>
        </w:rPr>
        <w:t>.</w:t>
      </w:r>
    </w:p>
    <w:p w14:paraId="3BFB303C" w14:textId="77777777"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وبناءً على ما تقدّم، تتبلور مشكلة الدراسة في التساؤل الرئيسي التالي</w:t>
      </w:r>
      <w:r w:rsidRPr="001F14A2">
        <w:rPr>
          <w:rFonts w:ascii="Simplified Arabic" w:hAnsi="Simplified Arabic" w:cs="Simplified Arabic"/>
          <w:color w:val="000000" w:themeColor="text1"/>
          <w:sz w:val="28"/>
          <w:szCs w:val="28"/>
        </w:rPr>
        <w:t xml:space="preserve">: </w:t>
      </w:r>
      <w:r w:rsidRPr="001F14A2">
        <w:rPr>
          <w:rStyle w:val="a9"/>
          <w:rFonts w:ascii="Simplified Arabic" w:hAnsi="Simplified Arabic" w:cs="Simplified Arabic"/>
          <w:b w:val="0"/>
          <w:bCs w:val="0"/>
          <w:color w:val="000000" w:themeColor="text1"/>
          <w:sz w:val="28"/>
          <w:szCs w:val="28"/>
          <w:rtl/>
        </w:rPr>
        <w:t>ما أثر تخطيط القوى العاملة بأبعاده (التنبؤ بالاحتياجات الوظيفية، الاستقطاب والتوظيف، التدريب وتنمية المهارات، تقييم الأداء الوظيفي) على جودة الخدمات المقدمة لضيوف الرحمن في منظومة الحج والعمرة بالمملكة العربية السعودية؟</w:t>
      </w:r>
    </w:p>
    <w:p w14:paraId="46AEB1FA" w14:textId="77777777" w:rsidR="001F14A2" w:rsidRPr="001F14A2" w:rsidRDefault="001F14A2" w:rsidP="001F14A2">
      <w:pPr>
        <w:pStyle w:val="a8"/>
        <w:bidi/>
        <w:spacing w:line="276" w:lineRule="auto"/>
        <w:outlineLvl w:val="1"/>
        <w:rPr>
          <w:rFonts w:ascii="Simplified Arabic" w:hAnsi="Simplified Arabic" w:cs="Simplified Arabic"/>
          <w:b/>
          <w:bCs/>
          <w:color w:val="000000" w:themeColor="text1"/>
          <w:sz w:val="36"/>
          <w:szCs w:val="36"/>
          <w:rtl/>
        </w:rPr>
      </w:pPr>
      <w:bookmarkStart w:id="5" w:name="_Toc233905852"/>
      <w:bookmarkStart w:id="6" w:name="_Toc169790490"/>
      <w:bookmarkEnd w:id="2"/>
      <w:r w:rsidRPr="001F14A2">
        <w:rPr>
          <w:rFonts w:ascii="Simplified Arabic" w:hAnsi="Simplified Arabic" w:cs="Simplified Arabic"/>
          <w:b/>
          <w:bCs/>
          <w:color w:val="000000" w:themeColor="text1"/>
          <w:sz w:val="36"/>
          <w:szCs w:val="36"/>
        </w:rPr>
        <w:t xml:space="preserve">3.1 </w:t>
      </w:r>
      <w:r w:rsidRPr="001F14A2">
        <w:rPr>
          <w:rFonts w:ascii="Simplified Arabic" w:hAnsi="Simplified Arabic" w:cs="Simplified Arabic"/>
          <w:b/>
          <w:bCs/>
          <w:color w:val="000000" w:themeColor="text1"/>
          <w:sz w:val="36"/>
          <w:szCs w:val="36"/>
          <w:rtl/>
        </w:rPr>
        <w:t>أهمية الدراسة</w:t>
      </w:r>
      <w:r w:rsidRPr="001F14A2">
        <w:rPr>
          <w:rFonts w:ascii="Simplified Arabic" w:hAnsi="Simplified Arabic" w:cs="Simplified Arabic"/>
          <w:b/>
          <w:bCs/>
          <w:color w:val="000000" w:themeColor="text1"/>
          <w:sz w:val="36"/>
          <w:szCs w:val="36"/>
        </w:rPr>
        <w:t>:</w:t>
      </w:r>
      <w:bookmarkEnd w:id="5"/>
    </w:p>
    <w:p w14:paraId="0D597B4F" w14:textId="36EE987D" w:rsidR="001F14A2" w:rsidRPr="001F14A2" w:rsidRDefault="001F14A2" w:rsidP="001F14A2">
      <w:pPr>
        <w:pStyle w:val="a8"/>
        <w:bidi/>
        <w:spacing w:line="276" w:lineRule="auto"/>
        <w:jc w:val="both"/>
        <w:rPr>
          <w:rFonts w:ascii="Simplified Arabic" w:hAnsi="Simplified Arabic" w:cs="Simplified Arabic"/>
          <w:b/>
          <w:bCs/>
          <w:color w:val="000000" w:themeColor="text1"/>
          <w:sz w:val="32"/>
          <w:szCs w:val="32"/>
        </w:rPr>
      </w:pPr>
      <w:r w:rsidRPr="001F14A2">
        <w:rPr>
          <w:rFonts w:ascii="Simplified Arabic" w:hAnsi="Simplified Arabic" w:cs="Simplified Arabic"/>
          <w:b/>
          <w:bCs/>
          <w:color w:val="000000" w:themeColor="text1"/>
          <w:sz w:val="32"/>
          <w:szCs w:val="32"/>
          <w:rtl/>
        </w:rPr>
        <w:t>الأهمية العلمية (النظرية):</w:t>
      </w:r>
    </w:p>
    <w:p w14:paraId="45BA9ACF" w14:textId="77777777" w:rsidR="00207629" w:rsidRPr="001F14A2" w:rsidRDefault="00E42E37" w:rsidP="001F14A2">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 xml:space="preserve">تكتسب هذه الدراسة أهميتها العلمية من عدة اعتبارات جوهرية. فمن حيث الإثراء المعرفي، تُسهم الدراسة في إثراء الأدبيات العربية في مجال الإدارة اللوجستية من خلال تقديم إطار نظري متكامل يربط بين كفاءة العمليات اللوجستية بأبعادها الأربعة (إدارة النقل، إدارة المخزون، إدارة التخزين، إدارة </w:t>
      </w:r>
      <w:r w:rsidRPr="001F14A2">
        <w:rPr>
          <w:rFonts w:ascii="Simplified Arabic" w:hAnsi="Simplified Arabic" w:cs="Simplified Arabic"/>
          <w:color w:val="000000" w:themeColor="text1"/>
          <w:sz w:val="28"/>
          <w:szCs w:val="28"/>
          <w:rtl/>
        </w:rPr>
        <w:lastRenderedPageBreak/>
        <w:t xml:space="preserve">الطلبيات) والأداء التشغيلي، وهو ما يُعدّ إضافة نوعية للمكتبة العربية التي تعاني من ندرة نسبية في هذا المجال مقارنةً بالأدبيات الأجنبية. </w:t>
      </w:r>
    </w:p>
    <w:p w14:paraId="147F89D9" w14:textId="77777777" w:rsidR="00207629" w:rsidRPr="001F14A2" w:rsidRDefault="00E42E37" w:rsidP="001F14A2">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 xml:space="preserve"> تُسهم الدراسة في سدّ الفجوة البحثية القائمة، إذ تُعدّ من الدراسات القليلة التي تتناول العلاقة بين كفاءة العمليات اللوجستية والأداء التشغيلي في بيئة الصناعات الغذائية بشكل متكامل، حيث ركّزت معظم الدراسات السابقة على بُعد واحد أو بُعدين من أبعاد اللوجستيات دون تناولها مجتمعة. </w:t>
      </w:r>
    </w:p>
    <w:p w14:paraId="6BC6788D" w14:textId="77777777" w:rsidR="00207629" w:rsidRPr="001F14A2" w:rsidRDefault="00E42E37" w:rsidP="001F14A2">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 xml:space="preserve">تُقدّم الدراسة نموذجًا بحثيًا قابلًا للاختبار يمكن أن يكون أساسًا لدراسات مستقبلية في قطاعات صناعية أخرى أو في بيئات جغرافية مختلفة، مما يُتيح إجراء مقارنات علمية عابرة للقطاعات والثقافات. </w:t>
      </w:r>
    </w:p>
    <w:p w14:paraId="5D681C34" w14:textId="293184F5" w:rsidR="00E42E37" w:rsidRPr="001F14A2" w:rsidRDefault="00E42E37" w:rsidP="001F14A2">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تُوفّر الدراسة مراجعة شاملة ومحدّثة للأدبيات النظرية والدراسات السابقة العربية والأجنبية المتعلقة بالمتغيرين، مما يُتيح للباحثين الآخرين الاستفادة منها كمرجع علمي موثّق</w:t>
      </w:r>
      <w:r w:rsidRPr="001F14A2">
        <w:rPr>
          <w:rFonts w:ascii="Simplified Arabic" w:hAnsi="Simplified Arabic" w:cs="Simplified Arabic"/>
          <w:color w:val="000000" w:themeColor="text1"/>
          <w:sz w:val="28"/>
          <w:szCs w:val="28"/>
        </w:rPr>
        <w:t xml:space="preserve">. </w:t>
      </w:r>
      <w:r w:rsidRPr="001F14A2">
        <w:rPr>
          <w:rFonts w:ascii="Simplified Arabic" w:hAnsi="Simplified Arabic" w:cs="Simplified Arabic"/>
          <w:color w:val="000000" w:themeColor="text1"/>
          <w:sz w:val="28"/>
          <w:szCs w:val="28"/>
          <w:rtl/>
        </w:rPr>
        <w:t>وأخيرًا، تُسهم الدراسة في تطوير أداة قياس علمية محكّمة لقياس كفاءة العمليات اللوجستية والأداء التشغيلي يمكن توظيفها في بحوث مستقبلية</w:t>
      </w:r>
      <w:r w:rsidRPr="001F14A2">
        <w:rPr>
          <w:rFonts w:ascii="Simplified Arabic" w:hAnsi="Simplified Arabic" w:cs="Simplified Arabic"/>
          <w:color w:val="000000" w:themeColor="text1"/>
          <w:sz w:val="28"/>
          <w:szCs w:val="28"/>
        </w:rPr>
        <w:t>.</w:t>
      </w:r>
    </w:p>
    <w:p w14:paraId="45279EF6" w14:textId="6AD9AA20" w:rsidR="001F14A2" w:rsidRPr="001F14A2" w:rsidRDefault="001F14A2" w:rsidP="001F14A2">
      <w:pPr>
        <w:pStyle w:val="a8"/>
        <w:bidi/>
        <w:spacing w:line="276" w:lineRule="auto"/>
        <w:jc w:val="both"/>
        <w:rPr>
          <w:rFonts w:ascii="Simplified Arabic" w:hAnsi="Simplified Arabic" w:cs="Simplified Arabic"/>
          <w:b/>
          <w:bCs/>
          <w:color w:val="000000" w:themeColor="text1"/>
          <w:sz w:val="32"/>
          <w:szCs w:val="32"/>
        </w:rPr>
      </w:pPr>
      <w:r w:rsidRPr="001F14A2">
        <w:rPr>
          <w:rFonts w:ascii="Simplified Arabic" w:hAnsi="Simplified Arabic" w:cs="Simplified Arabic"/>
          <w:b/>
          <w:bCs/>
          <w:color w:val="000000" w:themeColor="text1"/>
          <w:sz w:val="32"/>
          <w:szCs w:val="32"/>
          <w:rtl/>
        </w:rPr>
        <w:t>الأهمية العملية (التطبيقية):</w:t>
      </w:r>
    </w:p>
    <w:p w14:paraId="0A00F24F" w14:textId="77777777" w:rsidR="00207629" w:rsidRPr="001F14A2" w:rsidRDefault="00E42E37" w:rsidP="001F14A2">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 xml:space="preserve">تبرز الأهمية العملية لهذه الدراسة من خلال عدة جوانب تطبيقية. ففيما يخص صنّاع القرار والمديرين التنفيذيين، تُقدّم الدراسة نتائج وتوصيات عملية تُساعد القائمين على إدارة شركات الصناعات الغذائية في تحديد أولويات الاستثمار في العمليات اللوجستية التي تُحقق أعلى عائد على الأداء التشغيلي، وذلك من خلال الكشف عن الأهمية النسبية لكل بُعد من أبعاد كفاءة العمليات اللوجستية. </w:t>
      </w:r>
    </w:p>
    <w:p w14:paraId="18B54FC1" w14:textId="34D27C8D" w:rsidR="00E42E37" w:rsidRPr="001F14A2" w:rsidRDefault="00E42E37" w:rsidP="001F14A2">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تُوفّر الدراسة رؤى تطبيقية حول كيفية تطوير أنظمة النقل والتخزين وإدارة المخزون والطلبيات بما يُعزّز الكفاءة التشغيلية ويُخفّض التكاليف ويُحسّن جودة المنتجات وسرعة التسليم. وعلى صعيد تعزيز القدرة التنافسية، تُسلّط الدراسة الضوء على الدور المحوري الذي تلعبه كفاءة العمليات اللوجستية في بناء ميزة تنافسية مستدامة لشركات الصناعات الغذائية في ظلّ بيئة أعمال تتّسم بالتنافسية الشديدة والتغيّرات المستمرة في أنماط الطلب</w:t>
      </w:r>
      <w:r w:rsidRPr="001F14A2">
        <w:rPr>
          <w:rFonts w:ascii="Simplified Arabic" w:hAnsi="Simplified Arabic" w:cs="Simplified Arabic"/>
          <w:color w:val="000000" w:themeColor="text1"/>
          <w:sz w:val="28"/>
          <w:szCs w:val="28"/>
        </w:rPr>
        <w:t xml:space="preserve">. </w:t>
      </w:r>
      <w:r w:rsidRPr="001F14A2">
        <w:rPr>
          <w:rFonts w:ascii="Simplified Arabic" w:hAnsi="Simplified Arabic" w:cs="Simplified Arabic"/>
          <w:color w:val="000000" w:themeColor="text1"/>
          <w:sz w:val="28"/>
          <w:szCs w:val="28"/>
          <w:rtl/>
        </w:rPr>
        <w:t xml:space="preserve">كما أن الدراسة تُقدّم لقطاع الصناعات الغذائية تحديدًا إطارًا تطبيقيًا يمكن الاستعانة به في إعادة هندسة العمليات اللوجستية وتحسين سلاسل الإمداد، لا سيما في ظلّ التحديات التي </w:t>
      </w:r>
      <w:proofErr w:type="spellStart"/>
      <w:r w:rsidRPr="001F14A2">
        <w:rPr>
          <w:rFonts w:ascii="Simplified Arabic" w:hAnsi="Simplified Arabic" w:cs="Simplified Arabic"/>
          <w:color w:val="000000" w:themeColor="text1"/>
          <w:sz w:val="28"/>
          <w:szCs w:val="28"/>
          <w:rtl/>
        </w:rPr>
        <w:t>يواجهها</w:t>
      </w:r>
      <w:proofErr w:type="spellEnd"/>
      <w:r w:rsidRPr="001F14A2">
        <w:rPr>
          <w:rFonts w:ascii="Simplified Arabic" w:hAnsi="Simplified Arabic" w:cs="Simplified Arabic"/>
          <w:color w:val="000000" w:themeColor="text1"/>
          <w:sz w:val="28"/>
          <w:szCs w:val="28"/>
          <w:rtl/>
        </w:rPr>
        <w:t xml:space="preserve"> هذا القطاع من حيث سرعة تلف المنتجات وضرورة الحفاظ على معايير الجودة والسلامة الغذائية خلال جميع مراحل سلسلة التوريد. ومن الناحية الاقتصادية، تُسهم الدراسة في توجيه الشركات نحو ترشيد استخدام مواردها اللوجستية بما يُحقّق الكفاءة والفعالية في آنٍ واحد، مما ينعكس إيجابيًا على خفض تكاليف الإنتاج ورفع معدلات الربحية وتحسين مستويات رضا العملاء</w:t>
      </w:r>
      <w:r w:rsidRPr="001F14A2">
        <w:rPr>
          <w:rFonts w:ascii="Simplified Arabic" w:hAnsi="Simplified Arabic" w:cs="Simplified Arabic"/>
          <w:color w:val="000000" w:themeColor="text1"/>
          <w:sz w:val="28"/>
          <w:szCs w:val="28"/>
        </w:rPr>
        <w:t>.</w:t>
      </w:r>
    </w:p>
    <w:p w14:paraId="6C28A6D4" w14:textId="2C04C76A" w:rsidR="001F14A2" w:rsidRPr="001F14A2" w:rsidRDefault="001F14A2" w:rsidP="001F14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905853"/>
      <w:bookmarkStart w:id="8" w:name="_Toc169790500"/>
      <w:bookmarkEnd w:id="6"/>
      <w:r w:rsidRPr="001F14A2">
        <w:rPr>
          <w:rFonts w:ascii="Simplified Arabic" w:eastAsia="Times New Roman" w:hAnsi="Simplified Arabic" w:cs="Simplified Arabic"/>
          <w:b/>
          <w:bCs/>
          <w:color w:val="000000" w:themeColor="text1"/>
          <w:kern w:val="0"/>
          <w:sz w:val="36"/>
          <w:szCs w:val="36"/>
          <w:rtl/>
          <w14:ligatures w14:val="none"/>
        </w:rPr>
        <w:lastRenderedPageBreak/>
        <w:t>4.1 أهداف الدراسة:</w:t>
      </w:r>
      <w:bookmarkEnd w:id="7"/>
    </w:p>
    <w:p w14:paraId="48A71D22"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تهدف الدراسة الحالية إلى دراسة أثر تخطيط القوى العاملة بأبعاده (التنبؤ بالاحتياجات الوظيفية، الاستقطاب والتوظيف، التدريب وتنمية المهارات، تقييم الأداء الوظيفي) على جودة الخدمات المقدمة لضيوف الرحمن في منظومة الحج والعمرة بالمملكة العربية السعودية</w:t>
      </w:r>
      <w:r w:rsidRPr="001F14A2">
        <w:rPr>
          <w:rFonts w:ascii="Simplified Arabic" w:eastAsia="Times New Roman" w:hAnsi="Simplified Arabic" w:cs="Simplified Arabic"/>
          <w:color w:val="000000" w:themeColor="text1"/>
          <w:kern w:val="0"/>
          <w:sz w:val="28"/>
          <w:szCs w:val="28"/>
          <w14:ligatures w14:val="none"/>
        </w:rPr>
        <w:t>.</w:t>
      </w:r>
    </w:p>
    <w:p w14:paraId="4E157A4A" w14:textId="77777777" w:rsidR="00791DB7" w:rsidRPr="001F14A2" w:rsidRDefault="00791DB7" w:rsidP="003331C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F14A2">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1F14A2">
        <w:rPr>
          <w:rFonts w:ascii="Simplified Arabic" w:eastAsia="Times New Roman" w:hAnsi="Simplified Arabic" w:cs="Simplified Arabic"/>
          <w:b/>
          <w:bCs/>
          <w:color w:val="000000" w:themeColor="text1"/>
          <w:kern w:val="0"/>
          <w:sz w:val="28"/>
          <w:szCs w:val="28"/>
          <w14:ligatures w14:val="none"/>
        </w:rPr>
        <w:t>:</w:t>
      </w:r>
    </w:p>
    <w:p w14:paraId="29015A07" w14:textId="68AF749E" w:rsidR="00791DB7" w:rsidRPr="001F14A2" w:rsidRDefault="00791DB7" w:rsidP="001F14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التعرف على أثر التنبؤ بالاحتياجات الوظيفية على جودة الخدمات المقدمة لضيوف الرحمن في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33E77CA9" w14:textId="2D126F12" w:rsidR="00791DB7" w:rsidRPr="001F14A2" w:rsidRDefault="00791DB7" w:rsidP="001F14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الكشف عن أثر الاستقطاب والتوظيف على جودة الخدمات المقدمة لضيوف الرحمن في منظومة الحج والعمرة، ً</w:t>
      </w:r>
      <w:r w:rsidRPr="001F14A2">
        <w:rPr>
          <w:rFonts w:ascii="Simplified Arabic" w:eastAsia="Times New Roman" w:hAnsi="Simplified Arabic" w:cs="Simplified Arabic"/>
          <w:color w:val="000000" w:themeColor="text1"/>
          <w:kern w:val="0"/>
          <w:sz w:val="28"/>
          <w:szCs w:val="28"/>
          <w14:ligatures w14:val="none"/>
        </w:rPr>
        <w:t>.</w:t>
      </w:r>
    </w:p>
    <w:p w14:paraId="52A62920" w14:textId="0CC7B701" w:rsidR="00791DB7" w:rsidRPr="001F14A2" w:rsidRDefault="00791DB7" w:rsidP="001F14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تحديد أثر التدريب وتنمية المهارات على جودة الخدمات المقدمة لضيوف الرحمن في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4B848046" w14:textId="59FA9928" w:rsidR="00791DB7" w:rsidRPr="001F14A2" w:rsidRDefault="00791DB7" w:rsidP="001F14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قياس أثر تقييم الأداء الوظيفي على جودة الخدمات المقدمة لضيوف الرحمن في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1BDA64ED" w14:textId="77777777" w:rsidR="001F14A2" w:rsidRPr="001F14A2" w:rsidRDefault="001F14A2" w:rsidP="001F14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05854"/>
      <w:r w:rsidRPr="001F14A2">
        <w:rPr>
          <w:rFonts w:ascii="Simplified Arabic" w:eastAsia="Times New Roman" w:hAnsi="Simplified Arabic" w:cs="Simplified Arabic"/>
          <w:b/>
          <w:bCs/>
          <w:color w:val="000000" w:themeColor="text1"/>
          <w:kern w:val="0"/>
          <w:sz w:val="36"/>
          <w:szCs w:val="36"/>
          <w:rtl/>
          <w14:ligatures w14:val="none"/>
        </w:rPr>
        <w:t>5.1 أسئلة الدراسة</w:t>
      </w:r>
      <w:bookmarkEnd w:id="9"/>
    </w:p>
    <w:p w14:paraId="683D9F0E" w14:textId="245E9BFC" w:rsidR="001F14A2" w:rsidRPr="001F14A2" w:rsidRDefault="001F14A2"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F14A2">
        <w:rPr>
          <w:rFonts w:ascii="Simplified Arabic" w:eastAsia="Times New Roman" w:hAnsi="Simplified Arabic" w:cs="Simplified Arabic"/>
          <w:b/>
          <w:bCs/>
          <w:color w:val="000000" w:themeColor="text1"/>
          <w:kern w:val="0"/>
          <w:sz w:val="32"/>
          <w:szCs w:val="32"/>
          <w:rtl/>
          <w14:ligatures w14:val="none"/>
        </w:rPr>
        <w:t>السؤال الرئيسي:</w:t>
      </w:r>
    </w:p>
    <w:p w14:paraId="482CD0AB" w14:textId="7F17BA8A"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ما أثر تخطيط القوى العاملة بأبعاده </w:t>
      </w:r>
      <w:r w:rsidR="001F14A2" w:rsidRPr="001F14A2">
        <w:rPr>
          <w:rFonts w:ascii="Simplified Arabic" w:eastAsia="Times New Roman" w:hAnsi="Simplified Arabic" w:cs="Simplified Arabic" w:hint="cs"/>
          <w:color w:val="000000" w:themeColor="text1"/>
          <w:kern w:val="0"/>
          <w:sz w:val="28"/>
          <w:szCs w:val="28"/>
          <w:rtl/>
          <w14:ligatures w14:val="none"/>
        </w:rPr>
        <w:t>(</w:t>
      </w:r>
      <w:r w:rsidRPr="001F14A2">
        <w:rPr>
          <w:rFonts w:ascii="Simplified Arabic" w:eastAsia="Times New Roman" w:hAnsi="Simplified Arabic" w:cs="Simplified Arabic"/>
          <w:color w:val="000000" w:themeColor="text1"/>
          <w:kern w:val="0"/>
          <w:sz w:val="28"/>
          <w:szCs w:val="28"/>
          <w:rtl/>
          <w14:ligatures w14:val="none"/>
        </w:rPr>
        <w:t>التنبؤ بالاحتياجات الوظيفية، الاستقطاب والتوظيف، التدريب وتنمية المهارات، تقييم الأداء الوظيفي) على جودة الخدمات المقدمة لضيوف الرحمن في منظومة الحج والعمرة بالمملكة العربية السعودية؟</w:t>
      </w:r>
    </w:p>
    <w:p w14:paraId="7A4DFDE5" w14:textId="77777777" w:rsidR="00791DB7" w:rsidRPr="001F14A2" w:rsidRDefault="00791DB7"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917337"/>
      <w:r w:rsidRPr="001F14A2">
        <w:rPr>
          <w:rFonts w:ascii="Simplified Arabic" w:eastAsia="Times New Roman" w:hAnsi="Simplified Arabic" w:cs="Simplified Arabic"/>
          <w:b/>
          <w:bCs/>
          <w:color w:val="000000" w:themeColor="text1"/>
          <w:kern w:val="0"/>
          <w:sz w:val="32"/>
          <w:szCs w:val="32"/>
          <w:rtl/>
          <w14:ligatures w14:val="none"/>
        </w:rPr>
        <w:t>الأسئلة الفرعية</w:t>
      </w:r>
      <w:r w:rsidRPr="001F14A2">
        <w:rPr>
          <w:rFonts w:ascii="Simplified Arabic" w:eastAsia="Times New Roman" w:hAnsi="Simplified Arabic" w:cs="Simplified Arabic"/>
          <w:b/>
          <w:bCs/>
          <w:color w:val="000000" w:themeColor="text1"/>
          <w:kern w:val="0"/>
          <w:sz w:val="32"/>
          <w:szCs w:val="32"/>
          <w14:ligatures w14:val="none"/>
        </w:rPr>
        <w:t>:</w:t>
      </w:r>
      <w:bookmarkEnd w:id="10"/>
    </w:p>
    <w:p w14:paraId="1D1228DD" w14:textId="1B39F604" w:rsidR="00791DB7" w:rsidRPr="001F14A2" w:rsidRDefault="00791DB7" w:rsidP="001F14A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ما أثر التنبؤ بالاحتياجات الوظيفية على جودة الخدمات المقدمة لضيوف الرحمن في منظومة الحج والعمرة؟ </w:t>
      </w:r>
    </w:p>
    <w:p w14:paraId="5CB664B3" w14:textId="2AF38A92" w:rsidR="00791DB7" w:rsidRPr="001F14A2" w:rsidRDefault="00791DB7" w:rsidP="001F14A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ما أثر الاستقطاب والتوظيف على جودة الخدمات المقدمة لضيوف الرحمن في منظومة الحج والعمرة؟ </w:t>
      </w:r>
    </w:p>
    <w:p w14:paraId="5C420CA1" w14:textId="248E6F2B" w:rsidR="00791DB7" w:rsidRPr="001F14A2" w:rsidRDefault="00791DB7" w:rsidP="001F14A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lastRenderedPageBreak/>
        <w:t xml:space="preserve">ما أثر التدريب وتنمية المهارات على جودة الخدمات المقدمة لضيوف الرحمن في منظومة الحج والعمرة؟ </w:t>
      </w:r>
    </w:p>
    <w:p w14:paraId="1D1C1204" w14:textId="19FBD5AE" w:rsidR="00791DB7" w:rsidRPr="001F14A2" w:rsidRDefault="00791DB7" w:rsidP="001F14A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ما أثر تقييم الأداء الوظيفي على جودة الخدمات المقدمة لضيوف الرحمن في منظومة الحج والعمرة؟ </w:t>
      </w:r>
    </w:p>
    <w:p w14:paraId="76879B0F" w14:textId="77777777" w:rsidR="001F14A2" w:rsidRPr="001F14A2" w:rsidRDefault="001F14A2" w:rsidP="001F14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05855"/>
      <w:r w:rsidRPr="001F14A2">
        <w:rPr>
          <w:rFonts w:ascii="Simplified Arabic" w:eastAsia="Times New Roman" w:hAnsi="Simplified Arabic" w:cs="Simplified Arabic"/>
          <w:b/>
          <w:bCs/>
          <w:color w:val="000000" w:themeColor="text1"/>
          <w:kern w:val="0"/>
          <w:sz w:val="36"/>
          <w:szCs w:val="36"/>
          <w:rtl/>
          <w14:ligatures w14:val="none"/>
        </w:rPr>
        <w:t>6.1 فروض الدراسة</w:t>
      </w:r>
      <w:bookmarkEnd w:id="11"/>
    </w:p>
    <w:p w14:paraId="06515084" w14:textId="4B548E6D" w:rsidR="001F14A2" w:rsidRPr="001F14A2" w:rsidRDefault="001F14A2"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F14A2">
        <w:rPr>
          <w:rFonts w:ascii="Simplified Arabic" w:eastAsia="Times New Roman" w:hAnsi="Simplified Arabic" w:cs="Simplified Arabic"/>
          <w:b/>
          <w:bCs/>
          <w:color w:val="000000" w:themeColor="text1"/>
          <w:kern w:val="0"/>
          <w:sz w:val="32"/>
          <w:szCs w:val="32"/>
          <w:rtl/>
          <w14:ligatures w14:val="none"/>
        </w:rPr>
        <w:t>الفرض الرئيسي:</w:t>
      </w:r>
    </w:p>
    <w:p w14:paraId="7741A69E" w14:textId="77777777" w:rsidR="00791DB7" w:rsidRPr="001F14A2" w:rsidRDefault="00791DB7" w:rsidP="001F14A2">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Cambria" w:eastAsia="Times New Roman" w:hAnsi="Cambria" w:cs="Cambria"/>
          <w:color w:val="000000" w:themeColor="text1"/>
          <w:kern w:val="0"/>
          <w:sz w:val="28"/>
          <w:szCs w:val="28"/>
          <w14:ligatures w14:val="none"/>
        </w:rPr>
        <w:t>α</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Times New Roman" w:eastAsia="Times New Roman" w:hAnsi="Times New Roman" w:cs="Times New Roman"/>
          <w:color w:val="000000" w:themeColor="text1"/>
          <w:kern w:val="0"/>
          <w:sz w:val="28"/>
          <w:szCs w:val="28"/>
          <w14:ligatures w14:val="none"/>
        </w:rPr>
        <w:t>≤</w:t>
      </w:r>
      <w:r w:rsidRPr="001F14A2">
        <w:rPr>
          <w:rFonts w:ascii="Simplified Arabic" w:eastAsia="Times New Roman" w:hAnsi="Simplified Arabic" w:cs="Simplified Arabic"/>
          <w:color w:val="000000" w:themeColor="text1"/>
          <w:kern w:val="0"/>
          <w:sz w:val="28"/>
          <w:szCs w:val="28"/>
          <w14:ligatures w14:val="none"/>
        </w:rPr>
        <w:t xml:space="preserve"> 0.05) </w:t>
      </w:r>
      <w:r w:rsidRPr="001F14A2">
        <w:rPr>
          <w:rFonts w:ascii="Simplified Arabic" w:eastAsia="Times New Roman" w:hAnsi="Simplified Arabic" w:cs="Simplified Arabic"/>
          <w:color w:val="000000" w:themeColor="text1"/>
          <w:kern w:val="0"/>
          <w:sz w:val="28"/>
          <w:szCs w:val="28"/>
          <w:rtl/>
          <w14:ligatures w14:val="none"/>
        </w:rPr>
        <w:t>لتخطيط القوى العاملة بأبعاده مجتمعة (التنبؤ بالاحتياجات الوظيفية، الاستقطاب والتوظيف، التدريب وتنمية المهارات، تقييم الأداء الوظيفي) على جودة الخدمات المقدمة لضيوف الرحمن في منظومة الحج والعمرة بالمملكة العربية السعودية</w:t>
      </w:r>
      <w:r w:rsidRPr="001F14A2">
        <w:rPr>
          <w:rFonts w:ascii="Simplified Arabic" w:eastAsia="Times New Roman" w:hAnsi="Simplified Arabic" w:cs="Simplified Arabic"/>
          <w:color w:val="000000" w:themeColor="text1"/>
          <w:kern w:val="0"/>
          <w:sz w:val="28"/>
          <w:szCs w:val="28"/>
          <w14:ligatures w14:val="none"/>
        </w:rPr>
        <w:t>.</w:t>
      </w:r>
    </w:p>
    <w:p w14:paraId="2CA1F6A8" w14:textId="77777777" w:rsidR="00791DB7" w:rsidRPr="001F14A2" w:rsidRDefault="00791DB7"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917340"/>
      <w:r w:rsidRPr="001F14A2">
        <w:rPr>
          <w:rFonts w:ascii="Simplified Arabic" w:eastAsia="Times New Roman" w:hAnsi="Simplified Arabic" w:cs="Simplified Arabic"/>
          <w:b/>
          <w:bCs/>
          <w:color w:val="000000" w:themeColor="text1"/>
          <w:kern w:val="0"/>
          <w:sz w:val="32"/>
          <w:szCs w:val="32"/>
          <w:rtl/>
          <w14:ligatures w14:val="none"/>
        </w:rPr>
        <w:t>الفروض الفرعية</w:t>
      </w:r>
      <w:r w:rsidRPr="001F14A2">
        <w:rPr>
          <w:rFonts w:ascii="Simplified Arabic" w:eastAsia="Times New Roman" w:hAnsi="Simplified Arabic" w:cs="Simplified Arabic"/>
          <w:b/>
          <w:bCs/>
          <w:color w:val="000000" w:themeColor="text1"/>
          <w:kern w:val="0"/>
          <w:sz w:val="32"/>
          <w:szCs w:val="32"/>
          <w14:ligatures w14:val="none"/>
        </w:rPr>
        <w:t>:</w:t>
      </w:r>
      <w:bookmarkEnd w:id="12"/>
    </w:p>
    <w:p w14:paraId="5C805D3A" w14:textId="77777777" w:rsidR="00791DB7" w:rsidRPr="001F14A2" w:rsidRDefault="00791DB7" w:rsidP="001F14A2">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الفرض الفرعي الأول</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Cambria" w:eastAsia="Times New Roman" w:hAnsi="Cambria" w:cs="Cambria"/>
          <w:color w:val="000000" w:themeColor="text1"/>
          <w:kern w:val="0"/>
          <w:sz w:val="28"/>
          <w:szCs w:val="28"/>
          <w14:ligatures w14:val="none"/>
        </w:rPr>
        <w:t>α</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Times New Roman" w:eastAsia="Times New Roman" w:hAnsi="Times New Roman" w:cs="Times New Roman"/>
          <w:color w:val="000000" w:themeColor="text1"/>
          <w:kern w:val="0"/>
          <w:sz w:val="28"/>
          <w:szCs w:val="28"/>
          <w14:ligatures w14:val="none"/>
        </w:rPr>
        <w:t>≤</w:t>
      </w:r>
      <w:r w:rsidRPr="001F14A2">
        <w:rPr>
          <w:rFonts w:ascii="Simplified Arabic" w:eastAsia="Times New Roman" w:hAnsi="Simplified Arabic" w:cs="Simplified Arabic"/>
          <w:color w:val="000000" w:themeColor="text1"/>
          <w:kern w:val="0"/>
          <w:sz w:val="28"/>
          <w:szCs w:val="28"/>
          <w14:ligatures w14:val="none"/>
        </w:rPr>
        <w:t xml:space="preserve"> 0.05) </w:t>
      </w:r>
      <w:r w:rsidRPr="001F14A2">
        <w:rPr>
          <w:rFonts w:ascii="Simplified Arabic" w:eastAsia="Times New Roman" w:hAnsi="Simplified Arabic" w:cs="Simplified Arabic"/>
          <w:color w:val="000000" w:themeColor="text1"/>
          <w:kern w:val="0"/>
          <w:sz w:val="28"/>
          <w:szCs w:val="28"/>
          <w:rtl/>
          <w14:ligatures w14:val="none"/>
        </w:rPr>
        <w:t>للتنبؤ بالاحتياجات الوظيفية على جودة الخدمات المقدمة لضيوف الرحمن في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43855DE0" w14:textId="77777777" w:rsidR="00791DB7" w:rsidRPr="001F14A2" w:rsidRDefault="00791DB7" w:rsidP="001F14A2">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الفرض الفرعي الثاني</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Cambria" w:eastAsia="Times New Roman" w:hAnsi="Cambria" w:cs="Cambria"/>
          <w:color w:val="000000" w:themeColor="text1"/>
          <w:kern w:val="0"/>
          <w:sz w:val="28"/>
          <w:szCs w:val="28"/>
          <w14:ligatures w14:val="none"/>
        </w:rPr>
        <w:t>α</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Times New Roman" w:eastAsia="Times New Roman" w:hAnsi="Times New Roman" w:cs="Times New Roman"/>
          <w:color w:val="000000" w:themeColor="text1"/>
          <w:kern w:val="0"/>
          <w:sz w:val="28"/>
          <w:szCs w:val="28"/>
          <w14:ligatures w14:val="none"/>
        </w:rPr>
        <w:t>≤</w:t>
      </w:r>
      <w:r w:rsidRPr="001F14A2">
        <w:rPr>
          <w:rFonts w:ascii="Simplified Arabic" w:eastAsia="Times New Roman" w:hAnsi="Simplified Arabic" w:cs="Simplified Arabic"/>
          <w:color w:val="000000" w:themeColor="text1"/>
          <w:kern w:val="0"/>
          <w:sz w:val="28"/>
          <w:szCs w:val="28"/>
          <w14:ligatures w14:val="none"/>
        </w:rPr>
        <w:t xml:space="preserve"> 0.05) </w:t>
      </w:r>
      <w:r w:rsidRPr="001F14A2">
        <w:rPr>
          <w:rFonts w:ascii="Simplified Arabic" w:eastAsia="Times New Roman" w:hAnsi="Simplified Arabic" w:cs="Simplified Arabic"/>
          <w:color w:val="000000" w:themeColor="text1"/>
          <w:kern w:val="0"/>
          <w:sz w:val="28"/>
          <w:szCs w:val="28"/>
          <w:rtl/>
          <w14:ligatures w14:val="none"/>
        </w:rPr>
        <w:t>للاستقطاب والتوظيف على جودة الخدمات المقدمة لضيوف الرحمن في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6E6F321D" w14:textId="77777777" w:rsidR="00791DB7" w:rsidRPr="001F14A2" w:rsidRDefault="00791DB7" w:rsidP="001F14A2">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الفرض الفرعي الثالث</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Cambria" w:eastAsia="Times New Roman" w:hAnsi="Cambria" w:cs="Cambria"/>
          <w:color w:val="000000" w:themeColor="text1"/>
          <w:kern w:val="0"/>
          <w:sz w:val="28"/>
          <w:szCs w:val="28"/>
          <w14:ligatures w14:val="none"/>
        </w:rPr>
        <w:t>α</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Times New Roman" w:eastAsia="Times New Roman" w:hAnsi="Times New Roman" w:cs="Times New Roman"/>
          <w:color w:val="000000" w:themeColor="text1"/>
          <w:kern w:val="0"/>
          <w:sz w:val="28"/>
          <w:szCs w:val="28"/>
          <w14:ligatures w14:val="none"/>
        </w:rPr>
        <w:t>≤</w:t>
      </w:r>
      <w:r w:rsidRPr="001F14A2">
        <w:rPr>
          <w:rFonts w:ascii="Simplified Arabic" w:eastAsia="Times New Roman" w:hAnsi="Simplified Arabic" w:cs="Simplified Arabic"/>
          <w:color w:val="000000" w:themeColor="text1"/>
          <w:kern w:val="0"/>
          <w:sz w:val="28"/>
          <w:szCs w:val="28"/>
          <w14:ligatures w14:val="none"/>
        </w:rPr>
        <w:t xml:space="preserve"> 0.05) </w:t>
      </w:r>
      <w:r w:rsidRPr="001F14A2">
        <w:rPr>
          <w:rFonts w:ascii="Simplified Arabic" w:eastAsia="Times New Roman" w:hAnsi="Simplified Arabic" w:cs="Simplified Arabic"/>
          <w:color w:val="000000" w:themeColor="text1"/>
          <w:kern w:val="0"/>
          <w:sz w:val="28"/>
          <w:szCs w:val="28"/>
          <w:rtl/>
          <w14:ligatures w14:val="none"/>
        </w:rPr>
        <w:t>للتدريب وتنمية المهارات على جودة الخدمات المقدمة لضيوف الرحمن في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3AE27746" w14:textId="77777777" w:rsidR="00791DB7" w:rsidRPr="001F14A2" w:rsidRDefault="00791DB7" w:rsidP="001F14A2">
      <w:pPr>
        <w:pStyle w:val="a6"/>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الفرض الفرعي الرابع</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Cambria" w:eastAsia="Times New Roman" w:hAnsi="Cambria" w:cs="Cambria"/>
          <w:color w:val="000000" w:themeColor="text1"/>
          <w:kern w:val="0"/>
          <w:sz w:val="28"/>
          <w:szCs w:val="28"/>
          <w14:ligatures w14:val="none"/>
        </w:rPr>
        <w:t>α</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Times New Roman" w:eastAsia="Times New Roman" w:hAnsi="Times New Roman" w:cs="Times New Roman"/>
          <w:color w:val="000000" w:themeColor="text1"/>
          <w:kern w:val="0"/>
          <w:sz w:val="28"/>
          <w:szCs w:val="28"/>
          <w14:ligatures w14:val="none"/>
        </w:rPr>
        <w:t>≤</w:t>
      </w:r>
      <w:r w:rsidRPr="001F14A2">
        <w:rPr>
          <w:rFonts w:ascii="Simplified Arabic" w:eastAsia="Times New Roman" w:hAnsi="Simplified Arabic" w:cs="Simplified Arabic"/>
          <w:color w:val="000000" w:themeColor="text1"/>
          <w:kern w:val="0"/>
          <w:sz w:val="28"/>
          <w:szCs w:val="28"/>
          <w14:ligatures w14:val="none"/>
        </w:rPr>
        <w:t xml:space="preserve"> 0.05) </w:t>
      </w:r>
      <w:r w:rsidRPr="001F14A2">
        <w:rPr>
          <w:rFonts w:ascii="Simplified Arabic" w:eastAsia="Times New Roman" w:hAnsi="Simplified Arabic" w:cs="Simplified Arabic"/>
          <w:color w:val="000000" w:themeColor="text1"/>
          <w:kern w:val="0"/>
          <w:sz w:val="28"/>
          <w:szCs w:val="28"/>
          <w:rtl/>
          <w14:ligatures w14:val="none"/>
        </w:rPr>
        <w:t>لتقييم الأداء الوظيفي على جودة الخدمات المقدمة لضيوف الرحمن في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3FD0CF86" w14:textId="77777777" w:rsidR="001F14A2" w:rsidRPr="001F14A2" w:rsidRDefault="001F14A2" w:rsidP="001F14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905856"/>
      <w:bookmarkStart w:id="14" w:name="_Toc169790501"/>
      <w:bookmarkEnd w:id="8"/>
      <w:r w:rsidRPr="001F14A2">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48B6245E" w14:textId="77777777" w:rsidR="001F14A2" w:rsidRPr="001F14A2" w:rsidRDefault="001F14A2"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F14A2">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(تخطيط القوى العاملة) وعلاقته بمتغيرات أخرى</w:t>
      </w:r>
    </w:p>
    <w:p w14:paraId="533F45FF" w14:textId="0E9DF814" w:rsidR="001F14A2" w:rsidRPr="001F14A2" w:rsidRDefault="001F14A2"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rtl/>
          <w14:ligatures w14:val="none"/>
        </w:rPr>
      </w:pPr>
      <w:r w:rsidRPr="001F14A2">
        <w:rPr>
          <w:rFonts w:ascii="Simplified Arabic" w:eastAsia="Times New Roman" w:hAnsi="Simplified Arabic" w:cs="Simplified Arabic"/>
          <w:b/>
          <w:bCs/>
          <w:color w:val="000000" w:themeColor="text1"/>
          <w:kern w:val="0"/>
          <w:sz w:val="28"/>
          <w:szCs w:val="28"/>
          <w:rtl/>
          <w14:ligatures w14:val="none"/>
        </w:rPr>
        <w:t>دراسة (</w:t>
      </w:r>
      <w:r w:rsidRPr="001F14A2">
        <w:rPr>
          <w:rFonts w:ascii="Simplified Arabic" w:eastAsia="Times New Roman" w:hAnsi="Simplified Arabic" w:cs="Simplified Arabic"/>
          <w:b/>
          <w:bCs/>
          <w:color w:val="000000" w:themeColor="text1"/>
          <w:kern w:val="0"/>
          <w:sz w:val="28"/>
          <w:szCs w:val="28"/>
          <w14:ligatures w14:val="none"/>
        </w:rPr>
        <w:t xml:space="preserve">Jaillet </w:t>
      </w:r>
      <w:proofErr w:type="spellStart"/>
      <w:r w:rsidRPr="001F14A2">
        <w:rPr>
          <w:rFonts w:ascii="Simplified Arabic" w:eastAsia="Times New Roman" w:hAnsi="Simplified Arabic" w:cs="Simplified Arabic"/>
          <w:b/>
          <w:bCs/>
          <w:color w:val="000000" w:themeColor="text1"/>
          <w:kern w:val="0"/>
          <w:sz w:val="28"/>
          <w:szCs w:val="28"/>
          <w14:ligatures w14:val="none"/>
        </w:rPr>
        <w:t>etal</w:t>
      </w:r>
      <w:proofErr w:type="spellEnd"/>
      <w:r w:rsidRPr="001F14A2">
        <w:rPr>
          <w:rFonts w:ascii="Simplified Arabic" w:eastAsia="Times New Roman" w:hAnsi="Simplified Arabic" w:cs="Simplified Arabic"/>
          <w:b/>
          <w:bCs/>
          <w:color w:val="000000" w:themeColor="text1"/>
          <w:kern w:val="0"/>
          <w:sz w:val="28"/>
          <w:szCs w:val="28"/>
          <w14:ligatures w14:val="none"/>
        </w:rPr>
        <w:t>., 2022</w:t>
      </w:r>
      <w:r w:rsidRPr="001F14A2">
        <w:rPr>
          <w:rFonts w:ascii="Simplified Arabic" w:eastAsia="Times New Roman" w:hAnsi="Simplified Arabic" w:cs="Simplified Arabic"/>
          <w:b/>
          <w:bCs/>
          <w:color w:val="000000" w:themeColor="text1"/>
          <w:kern w:val="0"/>
          <w:sz w:val="28"/>
          <w:szCs w:val="28"/>
          <w:rtl/>
          <w14:ligatures w14:val="none"/>
        </w:rPr>
        <w:t>)</w:t>
      </w:r>
    </w:p>
    <w:p w14:paraId="1D31BBF8"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كيفية تطوير نموذج تحسين قوي</w:t>
      </w:r>
      <w:r w:rsidRPr="001F14A2">
        <w:rPr>
          <w:rFonts w:ascii="Simplified Arabic" w:eastAsia="Times New Roman" w:hAnsi="Simplified Arabic" w:cs="Simplified Arabic"/>
          <w:color w:val="000000" w:themeColor="text1"/>
          <w:kern w:val="0"/>
          <w:sz w:val="28"/>
          <w:szCs w:val="28"/>
          <w14:ligatures w14:val="none"/>
        </w:rPr>
        <w:t xml:space="preserve"> (Robust Optimization) </w:t>
      </w:r>
      <w:r w:rsidRPr="001F14A2">
        <w:rPr>
          <w:rFonts w:ascii="Simplified Arabic" w:eastAsia="Times New Roman" w:hAnsi="Simplified Arabic" w:cs="Simplified Arabic"/>
          <w:color w:val="000000" w:themeColor="text1"/>
          <w:kern w:val="0"/>
          <w:sz w:val="28"/>
          <w:szCs w:val="28"/>
          <w:rtl/>
          <w14:ligatures w14:val="none"/>
        </w:rPr>
        <w:t>للتخطيط الاستراتيجي للقوى العاملة في ظل حالة عدم اليقين، بأبعاده المتمثلة في (التسرب الوظيفي غير المؤكد، الإنتاجية، الميزانية، عدد الموظفين، حدود الفصل من الخدمة، ونطاق الإشراف الإداري)، وذلك في سياق المؤسسات الحكومية. استخدمت الدراسة المنهج الكمي القائم على البرمجة المخروطية الأسّية</w:t>
      </w:r>
      <w:r w:rsidRPr="001F14A2">
        <w:rPr>
          <w:rFonts w:ascii="Simplified Arabic" w:eastAsia="Times New Roman" w:hAnsi="Simplified Arabic" w:cs="Simplified Arabic"/>
          <w:color w:val="000000" w:themeColor="text1"/>
          <w:kern w:val="0"/>
          <w:sz w:val="28"/>
          <w:szCs w:val="28"/>
          <w14:ligatures w14:val="none"/>
        </w:rPr>
        <w:t xml:space="preserve"> (Conic Optimization) </w:t>
      </w:r>
      <w:r w:rsidRPr="001F14A2">
        <w:rPr>
          <w:rFonts w:ascii="Simplified Arabic" w:eastAsia="Times New Roman" w:hAnsi="Simplified Arabic" w:cs="Simplified Arabic"/>
          <w:color w:val="000000" w:themeColor="text1"/>
          <w:kern w:val="0"/>
          <w:sz w:val="28"/>
          <w:szCs w:val="28"/>
          <w:rtl/>
          <w14:ligatures w14:val="none"/>
        </w:rPr>
        <w:t>المستوحاة من مؤشر المخاطر لـ</w:t>
      </w:r>
      <w:r w:rsidRPr="001F14A2">
        <w:rPr>
          <w:rFonts w:ascii="Simplified Arabic" w:eastAsia="Times New Roman" w:hAnsi="Simplified Arabic" w:cs="Simplified Arabic"/>
          <w:color w:val="000000" w:themeColor="text1"/>
          <w:kern w:val="0"/>
          <w:sz w:val="28"/>
          <w:szCs w:val="28"/>
          <w14:ligatures w14:val="none"/>
        </w:rPr>
        <w:t xml:space="preserve"> Aumann-Serrano</w:t>
      </w:r>
      <w:r w:rsidRPr="001F14A2">
        <w:rPr>
          <w:rFonts w:ascii="Simplified Arabic" w:eastAsia="Times New Roman" w:hAnsi="Simplified Arabic" w:cs="Simplified Arabic"/>
          <w:color w:val="000000" w:themeColor="text1"/>
          <w:kern w:val="0"/>
          <w:sz w:val="28"/>
          <w:szCs w:val="28"/>
          <w:rtl/>
          <w14:ligatures w14:val="none"/>
        </w:rPr>
        <w:t>، وقدّمت تقنية مبتكرة تُسمى "ثبات خط الأنابيب</w:t>
      </w:r>
      <w:r w:rsidRPr="001F14A2">
        <w:rPr>
          <w:rFonts w:ascii="Simplified Arabic" w:eastAsia="Times New Roman" w:hAnsi="Simplified Arabic" w:cs="Simplified Arabic"/>
          <w:color w:val="000000" w:themeColor="text1"/>
          <w:kern w:val="0"/>
          <w:sz w:val="28"/>
          <w:szCs w:val="28"/>
          <w14:ligatures w14:val="none"/>
        </w:rPr>
        <w:t xml:space="preserve">" (Pipeline Invariance) </w:t>
      </w:r>
      <w:r w:rsidRPr="001F14A2">
        <w:rPr>
          <w:rFonts w:ascii="Simplified Arabic" w:eastAsia="Times New Roman" w:hAnsi="Simplified Arabic" w:cs="Simplified Arabic"/>
          <w:color w:val="000000" w:themeColor="text1"/>
          <w:kern w:val="0"/>
          <w:sz w:val="28"/>
          <w:szCs w:val="28"/>
          <w:rtl/>
          <w14:ligatures w14:val="none"/>
        </w:rPr>
        <w:t xml:space="preserve">للتعامل مع الترابط بين القرارات وعدم اليقين، كما أدخلت متغير الوقت </w:t>
      </w:r>
      <w:proofErr w:type="spellStart"/>
      <w:r w:rsidRPr="001F14A2">
        <w:rPr>
          <w:rFonts w:ascii="Simplified Arabic" w:eastAsia="Times New Roman" w:hAnsi="Simplified Arabic" w:cs="Simplified Arabic"/>
          <w:color w:val="000000" w:themeColor="text1"/>
          <w:kern w:val="0"/>
          <w:sz w:val="28"/>
          <w:szCs w:val="28"/>
          <w:rtl/>
          <w14:ligatures w14:val="none"/>
        </w:rPr>
        <w:t>المُقضى</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في الدرجة الوظيفية</w:t>
      </w:r>
      <w:r w:rsidRPr="001F14A2">
        <w:rPr>
          <w:rFonts w:ascii="Simplified Arabic" w:eastAsia="Times New Roman" w:hAnsi="Simplified Arabic" w:cs="Simplified Arabic"/>
          <w:color w:val="000000" w:themeColor="text1"/>
          <w:kern w:val="0"/>
          <w:sz w:val="28"/>
          <w:szCs w:val="28"/>
          <w14:ligatures w14:val="none"/>
        </w:rPr>
        <w:t xml:space="preserve"> (Time-in-Grade) </w:t>
      </w:r>
      <w:r w:rsidRPr="001F14A2">
        <w:rPr>
          <w:rFonts w:ascii="Simplified Arabic" w:eastAsia="Times New Roman" w:hAnsi="Simplified Arabic" w:cs="Simplified Arabic"/>
          <w:color w:val="000000" w:themeColor="text1"/>
          <w:kern w:val="0"/>
          <w:sz w:val="28"/>
          <w:szCs w:val="28"/>
          <w:rtl/>
          <w14:ligatures w14:val="none"/>
        </w:rPr>
        <w:t>كمتغير قراري يؤثر على الاستقالات. وتكونت العينة من بيانات حقيقية لموظفين يؤدون نفس الوظيفة في الخدمة المدنية بجمهورية سنغافورة، حيث أُجريت محاكاة حاسوبية متعددة على تلك البيانات. وتوصلت نتائج الدراسة إلى أن النموذج المقترح قادر على توفير ضمانات احتمالية في تحقيق القيود التنظيمية تحت ظروف عدم اليقين، وأظهرت النتائج عواقب سلبية لغياب التجديد المؤسسي، فضلاً عن تقديم أول دليل رقمي يدعم سياسات الترقية القائمة على الوقت المطبّقة في البيروقراطيات. وأوصت الدراسة بضرورة دمج التحليلات التنبؤية على مستوى الأفراد في نماذج تخطيط القوى العاملة الاستراتيجي لتحسين دقة القرارات وتعزيز المرونة التنظيمية</w:t>
      </w:r>
      <w:r w:rsidRPr="001F14A2">
        <w:rPr>
          <w:rFonts w:ascii="Simplified Arabic" w:eastAsia="Times New Roman" w:hAnsi="Simplified Arabic" w:cs="Simplified Arabic"/>
          <w:color w:val="000000" w:themeColor="text1"/>
          <w:kern w:val="0"/>
          <w:sz w:val="28"/>
          <w:szCs w:val="28"/>
          <w14:ligatures w14:val="none"/>
        </w:rPr>
        <w:t>.</w:t>
      </w:r>
    </w:p>
    <w:p w14:paraId="4E95EC14" w14:textId="77777777" w:rsidR="001F14A2" w:rsidRPr="001F14A2" w:rsidRDefault="001F14A2"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5" w:name="_Toc223917348"/>
      <w:bookmarkStart w:id="16" w:name="_Toc223917347"/>
      <w:r w:rsidRPr="001F14A2">
        <w:rPr>
          <w:rFonts w:ascii="Simplified Arabic" w:eastAsia="Times New Roman" w:hAnsi="Simplified Arabic" w:cs="Simplified Arabic"/>
          <w:b/>
          <w:bCs/>
          <w:color w:val="000000" w:themeColor="text1"/>
          <w:kern w:val="0"/>
          <w:sz w:val="28"/>
          <w:szCs w:val="28"/>
          <w:rtl/>
          <w14:ligatures w14:val="none"/>
        </w:rPr>
        <w:t>دراسة</w:t>
      </w:r>
      <w:r w:rsidRPr="001F14A2">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b/>
          <w:bCs/>
          <w:color w:val="000000" w:themeColor="text1"/>
          <w:kern w:val="0"/>
          <w:sz w:val="28"/>
          <w:szCs w:val="28"/>
          <w14:ligatures w14:val="none"/>
        </w:rPr>
        <w:t>Rozmys</w:t>
      </w:r>
      <w:r w:rsidRPr="001F14A2">
        <w:rPr>
          <w:rFonts w:ascii="Cambria" w:eastAsia="Times New Roman" w:hAnsi="Cambria" w:cs="Cambria"/>
          <w:b/>
          <w:bCs/>
          <w:color w:val="000000" w:themeColor="text1"/>
          <w:kern w:val="0"/>
          <w:sz w:val="28"/>
          <w:szCs w:val="28"/>
          <w14:ligatures w14:val="none"/>
        </w:rPr>
        <w:t>ł</w:t>
      </w:r>
      <w:r w:rsidRPr="001F14A2">
        <w:rPr>
          <w:rFonts w:ascii="Simplified Arabic" w:eastAsia="Times New Roman" w:hAnsi="Simplified Arabic" w:cs="Simplified Arabic"/>
          <w:b/>
          <w:bCs/>
          <w:color w:val="000000" w:themeColor="text1"/>
          <w:kern w:val="0"/>
          <w:sz w:val="28"/>
          <w:szCs w:val="28"/>
          <w14:ligatures w14:val="none"/>
        </w:rPr>
        <w:t>owicz</w:t>
      </w:r>
      <w:proofErr w:type="spellEnd"/>
      <w:r w:rsidRPr="001F14A2">
        <w:rPr>
          <w:rFonts w:ascii="Simplified Arabic" w:eastAsia="Times New Roman" w:hAnsi="Simplified Arabic" w:cs="Simplified Arabic"/>
          <w:b/>
          <w:bCs/>
          <w:color w:val="000000" w:themeColor="text1"/>
          <w:kern w:val="0"/>
          <w:sz w:val="28"/>
          <w:szCs w:val="28"/>
          <w14:ligatures w14:val="none"/>
        </w:rPr>
        <w:t xml:space="preserve"> &amp; Gruszka, 2022)</w:t>
      </w:r>
      <w:bookmarkEnd w:id="15"/>
    </w:p>
    <w:p w14:paraId="688E8E5C" w14:textId="69186C7D" w:rsidR="001F14A2" w:rsidRPr="001F14A2" w:rsidRDefault="001F14A2"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ممارسات تحديد الطلب على العمالة في مؤسسات الصناعة السياحية وتحديد محدداتها، بأبعاده المتمثلة في (توافر المرشحين للعمل الموسمي والدائم في سوق العمل المحلي، مدى قبول مستوى الأجور السائدة في القطاع السياحي، الاستعداد للعمل أكثر من </w:t>
      </w:r>
      <w:r w:rsidRPr="001F14A2">
        <w:rPr>
          <w:rFonts w:ascii="Simplified Arabic" w:eastAsia="Times New Roman" w:hAnsi="Simplified Arabic" w:cs="Simplified Arabic"/>
          <w:color w:val="000000" w:themeColor="text1"/>
          <w:kern w:val="0"/>
          <w:sz w:val="28"/>
          <w:szCs w:val="28"/>
          <w14:ligatures w14:val="none"/>
        </w:rPr>
        <w:t xml:space="preserve">8 </w:t>
      </w:r>
      <w:r w:rsidRPr="001F14A2">
        <w:rPr>
          <w:rFonts w:ascii="Simplified Arabic" w:eastAsia="Times New Roman" w:hAnsi="Simplified Arabic" w:cs="Simplified Arabic"/>
          <w:color w:val="000000" w:themeColor="text1"/>
          <w:kern w:val="0"/>
          <w:sz w:val="28"/>
          <w:szCs w:val="28"/>
          <w:rtl/>
          <w14:ligatures w14:val="none"/>
        </w:rPr>
        <w:t>ساعات يومياً في موسم الذروة، إنتاجية العمال الموسميين مقارنة بالعمال الدائمين). استخدمت الدراسة المنهج الوصفي المسحي باستخدام استبيان مُحكّم من أكاديميين وخبراء في المجال، وطُبّق عبر تقنية المقابلات الهاتفية بمساعدة الحاسوب</w:t>
      </w:r>
      <w:r w:rsidRPr="001F14A2">
        <w:rPr>
          <w:rFonts w:ascii="Simplified Arabic" w:eastAsia="Times New Roman" w:hAnsi="Simplified Arabic" w:cs="Simplified Arabic"/>
          <w:color w:val="000000" w:themeColor="text1"/>
          <w:kern w:val="0"/>
          <w:sz w:val="28"/>
          <w:szCs w:val="28"/>
          <w14:ligatures w14:val="none"/>
        </w:rPr>
        <w:t xml:space="preserve"> (CATI) </w:t>
      </w:r>
      <w:r w:rsidRPr="001F14A2">
        <w:rPr>
          <w:rFonts w:ascii="Simplified Arabic" w:eastAsia="Times New Roman" w:hAnsi="Simplified Arabic" w:cs="Simplified Arabic"/>
          <w:color w:val="000000" w:themeColor="text1"/>
          <w:kern w:val="0"/>
          <w:sz w:val="28"/>
          <w:szCs w:val="28"/>
          <w:rtl/>
          <w14:ligatures w14:val="none"/>
        </w:rPr>
        <w:t xml:space="preserve">مع مقياس </w:t>
      </w:r>
      <w:proofErr w:type="spellStart"/>
      <w:r w:rsidRPr="001F14A2">
        <w:rPr>
          <w:rFonts w:ascii="Simplified Arabic" w:eastAsia="Times New Roman" w:hAnsi="Simplified Arabic" w:cs="Simplified Arabic"/>
          <w:color w:val="000000" w:themeColor="text1"/>
          <w:kern w:val="0"/>
          <w:sz w:val="28"/>
          <w:szCs w:val="28"/>
          <w:rtl/>
          <w14:ligatures w14:val="none"/>
        </w:rPr>
        <w:t>ليكرت</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الخماسي في أسئلة مختارة. وتكونت العينة من (360) مؤسسة سياحية تعمل في مجالي الإيواء (60.8%) والتموين الغذائي (39.2%) في (55) بلدية ساحلية على بحر البلطيق ببولندا، منها 49.4</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 xml:space="preserve">في مقاطعة </w:t>
      </w:r>
      <w:proofErr w:type="spellStart"/>
      <w:r w:rsidRPr="001F14A2">
        <w:rPr>
          <w:rFonts w:ascii="Simplified Arabic" w:eastAsia="Times New Roman" w:hAnsi="Simplified Arabic" w:cs="Simplified Arabic"/>
          <w:color w:val="000000" w:themeColor="text1"/>
          <w:kern w:val="0"/>
          <w:sz w:val="28"/>
          <w:szCs w:val="28"/>
          <w:rtl/>
          <w14:ligatures w14:val="none"/>
        </w:rPr>
        <w:t>بوميرانيا</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الغربية و47.5% في </w:t>
      </w:r>
      <w:proofErr w:type="spellStart"/>
      <w:r w:rsidRPr="001F14A2">
        <w:rPr>
          <w:rFonts w:ascii="Simplified Arabic" w:eastAsia="Times New Roman" w:hAnsi="Simplified Arabic" w:cs="Simplified Arabic"/>
          <w:color w:val="000000" w:themeColor="text1"/>
          <w:kern w:val="0"/>
          <w:sz w:val="28"/>
          <w:szCs w:val="28"/>
          <w:rtl/>
          <w14:ligatures w14:val="none"/>
        </w:rPr>
        <w:t>بوميرانيا</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و3.1% في فارميا-</w:t>
      </w:r>
      <w:proofErr w:type="spellStart"/>
      <w:r w:rsidRPr="001F14A2">
        <w:rPr>
          <w:rFonts w:ascii="Simplified Arabic" w:eastAsia="Times New Roman" w:hAnsi="Simplified Arabic" w:cs="Simplified Arabic"/>
          <w:color w:val="000000" w:themeColor="text1"/>
          <w:kern w:val="0"/>
          <w:sz w:val="28"/>
          <w:szCs w:val="28"/>
          <w:rtl/>
          <w14:ligatures w14:val="none"/>
        </w:rPr>
        <w:t>مازوريا</w:t>
      </w:r>
      <w:proofErr w:type="spellEnd"/>
      <w:r w:rsidRPr="001F14A2">
        <w:rPr>
          <w:rFonts w:ascii="Simplified Arabic" w:eastAsia="Times New Roman" w:hAnsi="Simplified Arabic" w:cs="Simplified Arabic"/>
          <w:color w:val="000000" w:themeColor="text1"/>
          <w:kern w:val="0"/>
          <w:sz w:val="28"/>
          <w:szCs w:val="28"/>
          <w:rtl/>
          <w14:ligatures w14:val="none"/>
        </w:rPr>
        <w:t>، وأغلبها مؤسسات متناهية الصغر (66.4%)، وأُجري المسح من سبتمبر إلى نوفمبر 2019. وتوصلت نتائج الدراسة إلى أن 75.6% من المؤسسات (272 مؤسسة) تمارس تخزين العمالة كلياً أو انتقائياً بالاحتفاظ بموظفين دائمين على مدار العام، بينما 24.4% (88 مؤسسة) تعتمد حصرياً على العمالة الموسمية، مع وجود فروق ذات دلالة إحصائية بين المجموعتين عند مستوى</w:t>
      </w:r>
      <w:r w:rsidRPr="001F14A2">
        <w:rPr>
          <w:rFonts w:ascii="Simplified Arabic" w:eastAsia="Times New Roman" w:hAnsi="Simplified Arabic" w:cs="Simplified Arabic"/>
          <w:color w:val="000000" w:themeColor="text1"/>
          <w:kern w:val="0"/>
          <w:sz w:val="28"/>
          <w:szCs w:val="28"/>
          <w14:ligatures w14:val="none"/>
        </w:rPr>
        <w:t xml:space="preserve"> (p &lt; 0.05) </w:t>
      </w:r>
      <w:r w:rsidRPr="001F14A2">
        <w:rPr>
          <w:rFonts w:ascii="Simplified Arabic" w:eastAsia="Times New Roman" w:hAnsi="Simplified Arabic" w:cs="Simplified Arabic"/>
          <w:color w:val="000000" w:themeColor="text1"/>
          <w:kern w:val="0"/>
          <w:sz w:val="28"/>
          <w:szCs w:val="28"/>
          <w:rtl/>
          <w14:ligatures w14:val="none"/>
        </w:rPr>
        <w:lastRenderedPageBreak/>
        <w:t>باستخدام اختبار مربع كاي. وأوصت الدراسة بضرورة فهم ظروف سوق العمل المحلي وتكاليف التوظيف عند وضع سياسات التشغيل الموسمي</w:t>
      </w:r>
      <w:r w:rsidRPr="001F14A2">
        <w:rPr>
          <w:rFonts w:ascii="Simplified Arabic" w:eastAsia="Times New Roman" w:hAnsi="Simplified Arabic" w:cs="Simplified Arabic"/>
          <w:color w:val="000000" w:themeColor="text1"/>
          <w:kern w:val="0"/>
          <w:sz w:val="28"/>
          <w:szCs w:val="28"/>
          <w14:ligatures w14:val="none"/>
        </w:rPr>
        <w:t>.</w:t>
      </w:r>
    </w:p>
    <w:p w14:paraId="3FF84A1F" w14:textId="140B190A" w:rsidR="001F14A2" w:rsidRPr="001F14A2" w:rsidRDefault="001F14A2"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7" w:name="_Toc223917349"/>
      <w:r w:rsidRPr="001F14A2">
        <w:rPr>
          <w:rFonts w:ascii="Simplified Arabic" w:eastAsia="Times New Roman" w:hAnsi="Simplified Arabic" w:cs="Simplified Arabic"/>
          <w:b/>
          <w:bCs/>
          <w:color w:val="000000" w:themeColor="text1"/>
          <w:kern w:val="0"/>
          <w:sz w:val="28"/>
          <w:szCs w:val="28"/>
          <w:rtl/>
          <w14:ligatures w14:val="none"/>
        </w:rPr>
        <w:t>دراسة</w:t>
      </w:r>
      <w:r w:rsidRPr="001F14A2">
        <w:rPr>
          <w:rFonts w:ascii="Simplified Arabic" w:eastAsia="Times New Roman" w:hAnsi="Simplified Arabic" w:cs="Simplified Arabic"/>
          <w:b/>
          <w:bCs/>
          <w:color w:val="000000" w:themeColor="text1"/>
          <w:kern w:val="0"/>
          <w:sz w:val="28"/>
          <w:szCs w:val="28"/>
          <w14:ligatures w14:val="none"/>
        </w:rPr>
        <w:t xml:space="preserve"> (Ferrante et al., 2023)</w:t>
      </w:r>
      <w:bookmarkEnd w:id="17"/>
    </w:p>
    <w:p w14:paraId="334053EA" w14:textId="77777777" w:rsidR="001F14A2" w:rsidRPr="001F14A2" w:rsidRDefault="001F14A2"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استعداد العاملين الموسميين في قطاع السياحة لتطوير مهاراتهم المهنية المتخصصة، ودور عدم المساواة المهنية بين الجنسين في ذلك، بأبعاده المتمثلة في (المستوى التعليمي، المشاركة في برامج التعليم المهني السياحي، إتقان اللغات الأجنبية، طبيعة المهنة من حيث هيمنة أحد الجنسين، الدوافع المرتبطة بالدخل). استخدمت الدراسة المنهج الوصفي التحليلي مع تطبيق نماذج الانحدار اللوجستي</w:t>
      </w:r>
      <w:r w:rsidRPr="001F14A2">
        <w:rPr>
          <w:rFonts w:ascii="Simplified Arabic" w:eastAsia="Times New Roman" w:hAnsi="Simplified Arabic" w:cs="Simplified Arabic"/>
          <w:color w:val="000000" w:themeColor="text1"/>
          <w:kern w:val="0"/>
          <w:sz w:val="28"/>
          <w:szCs w:val="28"/>
          <w14:ligatures w14:val="none"/>
        </w:rPr>
        <w:t xml:space="preserve"> (Logit Models) </w:t>
      </w:r>
      <w:r w:rsidRPr="001F14A2">
        <w:rPr>
          <w:rFonts w:ascii="Simplified Arabic" w:eastAsia="Times New Roman" w:hAnsi="Simplified Arabic" w:cs="Simplified Arabic"/>
          <w:color w:val="000000" w:themeColor="text1"/>
          <w:kern w:val="0"/>
          <w:sz w:val="28"/>
          <w:szCs w:val="28"/>
          <w:rtl/>
          <w14:ligatures w14:val="none"/>
        </w:rPr>
        <w:t>لتحليل العوامل المحددة لرغبة العاملين في التدريب. وتكونت العينة من (537) عاملاً موسمياً في إقليم ريميني بإيطاليا خلال صيف 2019، منهم (349) أكملوا الاستبيان بالكامل، بمتوسط عمر 22 سنة، ونسبة متوازنة بين الجنسين (50% تقريباً إناث)، وأغلبهم إيطاليون (90</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 xml:space="preserve">تقريباً) بمؤهل ثانوية عامة (80%)، مع معدلات مرتفعة في مهارات الحاسوب </w:t>
      </w:r>
      <w:r w:rsidRPr="001F14A2">
        <w:rPr>
          <w:rFonts w:ascii="Simplified Arabic" w:eastAsia="Times New Roman" w:hAnsi="Simplified Arabic" w:cs="Simplified Arabic"/>
          <w:color w:val="000000" w:themeColor="text1"/>
          <w:kern w:val="0"/>
          <w:sz w:val="28"/>
          <w:szCs w:val="28"/>
          <w14:ligatures w14:val="none"/>
        </w:rPr>
        <w:t xml:space="preserve">(92%) </w:t>
      </w:r>
      <w:r w:rsidRPr="001F14A2">
        <w:rPr>
          <w:rFonts w:ascii="Simplified Arabic" w:eastAsia="Times New Roman" w:hAnsi="Simplified Arabic" w:cs="Simplified Arabic"/>
          <w:color w:val="000000" w:themeColor="text1"/>
          <w:kern w:val="0"/>
          <w:sz w:val="28"/>
          <w:szCs w:val="28"/>
          <w:rtl/>
          <w14:ligatures w14:val="none"/>
        </w:rPr>
        <w:t>واللغات الأجنبية (93%)، وحوالي 34% يعملون في مهن يهيمن عليها الإناث كالنادلات ومساعدات المبيعات. وتوصلت نتائج الدراسة إلى أن 64.3</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أبدوا استعداداً لحضور تدريب مستقبلي و58% مستعدون لتمويله ذاتياً، وأن التعليم العالي يرفع استعداد النساء للتدريب بأثر حدّي يبلغ 23%، والمشاركة في البرامج المهنية السياحية تزيد الاستعداد بنسبة 22.5%، بينما العمل في مهن يهيمن عليها الإناث يُقلّل الاستعداد بنسبة 21</w:t>
      </w:r>
      <w:r w:rsidRPr="001F14A2">
        <w:rPr>
          <w:rFonts w:ascii="Simplified Arabic" w:eastAsia="Times New Roman" w:hAnsi="Simplified Arabic" w:cs="Simplified Arabic"/>
          <w:color w:val="000000" w:themeColor="text1"/>
          <w:kern w:val="0"/>
          <w:sz w:val="28"/>
          <w:szCs w:val="28"/>
          <w14:ligatures w14:val="none"/>
        </w:rPr>
        <w:t xml:space="preserve">% (p &lt; 0.01). </w:t>
      </w:r>
      <w:r w:rsidRPr="001F14A2">
        <w:rPr>
          <w:rFonts w:ascii="Simplified Arabic" w:eastAsia="Times New Roman" w:hAnsi="Simplified Arabic" w:cs="Simplified Arabic"/>
          <w:color w:val="000000" w:themeColor="text1"/>
          <w:kern w:val="0"/>
          <w:sz w:val="28"/>
          <w:szCs w:val="28"/>
          <w:rtl/>
          <w14:ligatures w14:val="none"/>
        </w:rPr>
        <w:t>وأوصت الدراسة بتصميم سياسات تدريبية تراعي الفوارق بين الجنسين في قطاع السياحة الموسمية</w:t>
      </w:r>
      <w:r w:rsidRPr="001F14A2">
        <w:rPr>
          <w:rFonts w:ascii="Simplified Arabic" w:eastAsia="Times New Roman" w:hAnsi="Simplified Arabic" w:cs="Simplified Arabic"/>
          <w:color w:val="000000" w:themeColor="text1"/>
          <w:kern w:val="0"/>
          <w:sz w:val="28"/>
          <w:szCs w:val="28"/>
          <w14:ligatures w14:val="none"/>
        </w:rPr>
        <w:t>.</w:t>
      </w:r>
    </w:p>
    <w:p w14:paraId="0EA6C67E" w14:textId="4246ABFE" w:rsidR="00791DB7" w:rsidRPr="001F14A2" w:rsidRDefault="00791DB7"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1F14A2">
        <w:rPr>
          <w:rFonts w:ascii="Simplified Arabic" w:eastAsia="Times New Roman" w:hAnsi="Simplified Arabic" w:cs="Simplified Arabic"/>
          <w:b/>
          <w:bCs/>
          <w:color w:val="000000" w:themeColor="text1"/>
          <w:kern w:val="0"/>
          <w:sz w:val="28"/>
          <w:szCs w:val="28"/>
          <w:rtl/>
          <w14:ligatures w14:val="none"/>
        </w:rPr>
        <w:t>دراسة</w:t>
      </w:r>
      <w:r w:rsidRPr="001F14A2">
        <w:rPr>
          <w:rFonts w:ascii="Simplified Arabic" w:eastAsia="Times New Roman" w:hAnsi="Simplified Arabic" w:cs="Simplified Arabic"/>
          <w:b/>
          <w:bCs/>
          <w:color w:val="000000" w:themeColor="text1"/>
          <w:kern w:val="0"/>
          <w:sz w:val="28"/>
          <w:szCs w:val="28"/>
          <w14:ligatures w14:val="none"/>
        </w:rPr>
        <w:t xml:space="preserve"> (Ronaghi</w:t>
      </w:r>
      <w:r w:rsidR="003A4ED4" w:rsidRPr="001F14A2">
        <w:rPr>
          <w:rFonts w:ascii="Simplified Arabic" w:eastAsia="Times New Roman" w:hAnsi="Simplified Arabic" w:cs="Simplified Arabic"/>
          <w:b/>
          <w:bCs/>
          <w:color w:val="000000" w:themeColor="text1"/>
          <w:kern w:val="0"/>
          <w:sz w:val="28"/>
          <w:szCs w:val="28"/>
          <w14:ligatures w14:val="none"/>
        </w:rPr>
        <w:t xml:space="preserve"> </w:t>
      </w:r>
      <w:proofErr w:type="spellStart"/>
      <w:r w:rsidR="003A4ED4" w:rsidRPr="001F14A2">
        <w:rPr>
          <w:rFonts w:ascii="Simplified Arabic" w:eastAsia="Times New Roman" w:hAnsi="Simplified Arabic" w:cs="Simplified Arabic"/>
          <w:b/>
          <w:bCs/>
          <w:color w:val="000000" w:themeColor="text1"/>
          <w:kern w:val="0"/>
          <w:sz w:val="28"/>
          <w:szCs w:val="28"/>
          <w14:ligatures w14:val="none"/>
        </w:rPr>
        <w:t>etal</w:t>
      </w:r>
      <w:proofErr w:type="spellEnd"/>
      <w:r w:rsidR="003A4ED4" w:rsidRPr="001F14A2">
        <w:rPr>
          <w:rFonts w:ascii="Simplified Arabic" w:eastAsia="Times New Roman" w:hAnsi="Simplified Arabic" w:cs="Simplified Arabic"/>
          <w:b/>
          <w:bCs/>
          <w:color w:val="000000" w:themeColor="text1"/>
          <w:kern w:val="0"/>
          <w:sz w:val="28"/>
          <w:szCs w:val="28"/>
          <w14:ligatures w14:val="none"/>
        </w:rPr>
        <w:t>.</w:t>
      </w:r>
      <w:r w:rsidRPr="001F14A2">
        <w:rPr>
          <w:rFonts w:ascii="Simplified Arabic" w:eastAsia="Times New Roman" w:hAnsi="Simplified Arabic" w:cs="Simplified Arabic"/>
          <w:b/>
          <w:bCs/>
          <w:color w:val="000000" w:themeColor="text1"/>
          <w:kern w:val="0"/>
          <w:sz w:val="28"/>
          <w:szCs w:val="28"/>
          <w14:ligatures w14:val="none"/>
        </w:rPr>
        <w:t>, 2024)</w:t>
      </w:r>
      <w:bookmarkEnd w:id="16"/>
    </w:p>
    <w:p w14:paraId="0422B984"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هدفت الدراسة إلى التعرف على واقع تخطيط القوى العاملة لمستقبل السياحة الرياضية ومتطلباته، بأبعاده المتمثلة في (الوضع الراهن للسياحة الرياضية، الاتجاهات الناشئة كالتكنولوجيا والاستدامة والتحولات الديموغرافية، المهارات والكفاءات الأساسية المطلوبة، نماذج التخطيط الاستراتيجي للقوى العاملة، والابتكارات التكنولوجية وانعكاساتها على السياسات). استخدمت الدراسة المنهج الوصفي التحليلي القائم على المراجعة المنهجية للأدبيات</w:t>
      </w:r>
      <w:r w:rsidRPr="001F14A2">
        <w:rPr>
          <w:rFonts w:ascii="Simplified Arabic" w:eastAsia="Times New Roman" w:hAnsi="Simplified Arabic" w:cs="Simplified Arabic"/>
          <w:color w:val="000000" w:themeColor="text1"/>
          <w:kern w:val="0"/>
          <w:sz w:val="28"/>
          <w:szCs w:val="28"/>
          <w14:ligatures w14:val="none"/>
        </w:rPr>
        <w:t xml:space="preserve"> (Systematic Literature Review)</w:t>
      </w:r>
      <w:r w:rsidRPr="001F14A2">
        <w:rPr>
          <w:rFonts w:ascii="Simplified Arabic" w:eastAsia="Times New Roman" w:hAnsi="Simplified Arabic" w:cs="Simplified Arabic"/>
          <w:color w:val="000000" w:themeColor="text1"/>
          <w:kern w:val="0"/>
          <w:sz w:val="28"/>
          <w:szCs w:val="28"/>
          <w:rtl/>
          <w14:ligatures w14:val="none"/>
        </w:rPr>
        <w:t>، حيث تم جمع وتحليل الدراسات المنشورة في المجلات العلمية المحكّمة والتقارير الصناعية ودراسات الحالة والمنشورات الحكومية من قواعد بيانات</w:t>
      </w:r>
      <w:r w:rsidRPr="001F14A2">
        <w:rPr>
          <w:rFonts w:ascii="Simplified Arabic" w:eastAsia="Times New Roman" w:hAnsi="Simplified Arabic" w:cs="Simplified Arabic"/>
          <w:color w:val="000000" w:themeColor="text1"/>
          <w:kern w:val="0"/>
          <w:sz w:val="28"/>
          <w:szCs w:val="28"/>
          <w14:ligatures w14:val="none"/>
        </w:rPr>
        <w:t xml:space="preserve"> Scopus </w:t>
      </w:r>
      <w:r w:rsidRPr="001F14A2">
        <w:rPr>
          <w:rFonts w:ascii="Simplified Arabic" w:eastAsia="Times New Roman" w:hAnsi="Simplified Arabic" w:cs="Simplified Arabic"/>
          <w:color w:val="000000" w:themeColor="text1"/>
          <w:kern w:val="0"/>
          <w:sz w:val="28"/>
          <w:szCs w:val="28"/>
          <w:rtl/>
          <w14:ligatures w14:val="none"/>
        </w:rPr>
        <w:t>و</w:t>
      </w:r>
      <w:r w:rsidRPr="001F14A2">
        <w:rPr>
          <w:rFonts w:ascii="Simplified Arabic" w:eastAsia="Times New Roman" w:hAnsi="Simplified Arabic" w:cs="Simplified Arabic"/>
          <w:color w:val="000000" w:themeColor="text1"/>
          <w:kern w:val="0"/>
          <w:sz w:val="28"/>
          <w:szCs w:val="28"/>
          <w14:ligatures w14:val="none"/>
        </w:rPr>
        <w:t xml:space="preserve">Web of Science </w:t>
      </w:r>
      <w:r w:rsidRPr="001F14A2">
        <w:rPr>
          <w:rFonts w:ascii="Simplified Arabic" w:eastAsia="Times New Roman" w:hAnsi="Simplified Arabic" w:cs="Simplified Arabic"/>
          <w:color w:val="000000" w:themeColor="text1"/>
          <w:kern w:val="0"/>
          <w:sz w:val="28"/>
          <w:szCs w:val="28"/>
          <w:rtl/>
          <w14:ligatures w14:val="none"/>
        </w:rPr>
        <w:t>و</w:t>
      </w:r>
      <w:r w:rsidRPr="001F14A2">
        <w:rPr>
          <w:rFonts w:ascii="Simplified Arabic" w:eastAsia="Times New Roman" w:hAnsi="Simplified Arabic" w:cs="Simplified Arabic"/>
          <w:color w:val="000000" w:themeColor="text1"/>
          <w:kern w:val="0"/>
          <w:sz w:val="28"/>
          <w:szCs w:val="28"/>
          <w14:ligatures w14:val="none"/>
        </w:rPr>
        <w:t xml:space="preserve">PubMed </w:t>
      </w:r>
      <w:r w:rsidRPr="001F14A2">
        <w:rPr>
          <w:rFonts w:ascii="Simplified Arabic" w:eastAsia="Times New Roman" w:hAnsi="Simplified Arabic" w:cs="Simplified Arabic"/>
          <w:color w:val="000000" w:themeColor="text1"/>
          <w:kern w:val="0"/>
          <w:sz w:val="28"/>
          <w:szCs w:val="28"/>
          <w:rtl/>
          <w14:ligatures w14:val="none"/>
        </w:rPr>
        <w:t>و</w:t>
      </w:r>
      <w:r w:rsidRPr="001F14A2">
        <w:rPr>
          <w:rFonts w:ascii="Simplified Arabic" w:eastAsia="Times New Roman" w:hAnsi="Simplified Arabic" w:cs="Simplified Arabic"/>
          <w:color w:val="000000" w:themeColor="text1"/>
          <w:kern w:val="0"/>
          <w:sz w:val="28"/>
          <w:szCs w:val="28"/>
          <w14:ligatures w14:val="none"/>
        </w:rPr>
        <w:t>Google Scholar</w:t>
      </w:r>
      <w:r w:rsidRPr="001F14A2">
        <w:rPr>
          <w:rFonts w:ascii="Simplified Arabic" w:eastAsia="Times New Roman" w:hAnsi="Simplified Arabic" w:cs="Simplified Arabic"/>
          <w:color w:val="000000" w:themeColor="text1"/>
          <w:kern w:val="0"/>
          <w:sz w:val="28"/>
          <w:szCs w:val="28"/>
          <w:rtl/>
          <w14:ligatures w14:val="none"/>
        </w:rPr>
        <w:t xml:space="preserve">، وفق معايير اختيار شملت: </w:t>
      </w:r>
      <w:r w:rsidRPr="001F14A2">
        <w:rPr>
          <w:rFonts w:ascii="Simplified Arabic" w:eastAsia="Times New Roman" w:hAnsi="Simplified Arabic" w:cs="Simplified Arabic"/>
          <w:color w:val="000000" w:themeColor="text1"/>
          <w:kern w:val="0"/>
          <w:sz w:val="28"/>
          <w:szCs w:val="28"/>
          <w:rtl/>
          <w14:ligatures w14:val="none"/>
        </w:rPr>
        <w:lastRenderedPageBreak/>
        <w:t xml:space="preserve">صلة الدراسة بالسياحة الرياضية وتخطيط القوى العاملة، والنشر خلال الخمس عشرة سنة الأخيرة، والتوفر باللغة الإنجليزية. وتوصلت نتائج الدراسة إلى أن السياحة الرياضية تُسهم إسهاماً جوهرياً في الاقتصاد العالمي مما يستدعي تخطيطاً استراتيجياً فعّالاً للقوى العاملة، وأن نماذج التنبؤ بالطلب والتخطيط القائم على الكفاءات وتخطيط السيناريوهات وإدارة المواهب تُعدّ أدوات حاسمة لمواجهة تحديات الموسمية ونقص المهارات ومحدودية التمويل. وأوصت الدراسة بضرورة تبنّي الابتكارات التكنولوجية وتعزيز الاستدامة والتنوع الثقافي، والتعاون بين صانعي السياسات وقادة الصناعة والمؤسسات التعليمية لإنشاء أطر داعمة وبرامج تدريبية </w:t>
      </w:r>
      <w:proofErr w:type="spellStart"/>
      <w:r w:rsidRPr="001F14A2">
        <w:rPr>
          <w:rFonts w:ascii="Simplified Arabic" w:eastAsia="Times New Roman" w:hAnsi="Simplified Arabic" w:cs="Simplified Arabic"/>
          <w:color w:val="000000" w:themeColor="text1"/>
          <w:kern w:val="0"/>
          <w:sz w:val="28"/>
          <w:szCs w:val="28"/>
          <w:rtl/>
          <w14:ligatures w14:val="none"/>
        </w:rPr>
        <w:t>تتوائم</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مع متطلبات الصناعة المستقبلية</w:t>
      </w:r>
      <w:r w:rsidRPr="001F14A2">
        <w:rPr>
          <w:rFonts w:ascii="Simplified Arabic" w:eastAsia="Times New Roman" w:hAnsi="Simplified Arabic" w:cs="Simplified Arabic"/>
          <w:color w:val="000000" w:themeColor="text1"/>
          <w:kern w:val="0"/>
          <w:sz w:val="28"/>
          <w:szCs w:val="28"/>
          <w14:ligatures w14:val="none"/>
        </w:rPr>
        <w:t>.</w:t>
      </w:r>
    </w:p>
    <w:p w14:paraId="1D8E7309" w14:textId="77777777" w:rsidR="00791DB7" w:rsidRPr="001F14A2" w:rsidRDefault="00791DB7"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917350"/>
      <w:r w:rsidRPr="001F14A2">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(خدمات الحج والعمرة / رضا الحجاج) وعلاقته بمتغيرات أخرى</w:t>
      </w:r>
      <w:bookmarkEnd w:id="18"/>
    </w:p>
    <w:p w14:paraId="3324088A" w14:textId="7F3243E7" w:rsidR="00791DB7" w:rsidRPr="001F14A2" w:rsidRDefault="00791DB7"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9" w:name="_Toc223917351"/>
      <w:r w:rsidRPr="001F14A2">
        <w:rPr>
          <w:rFonts w:ascii="Simplified Arabic" w:eastAsia="Times New Roman" w:hAnsi="Simplified Arabic" w:cs="Simplified Arabic"/>
          <w:b/>
          <w:bCs/>
          <w:color w:val="000000" w:themeColor="text1"/>
          <w:kern w:val="0"/>
          <w:sz w:val="28"/>
          <w:szCs w:val="28"/>
          <w:rtl/>
          <w14:ligatures w14:val="none"/>
        </w:rPr>
        <w:t>دراسة</w:t>
      </w:r>
      <w:r w:rsidRPr="001F14A2">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b/>
          <w:bCs/>
          <w:color w:val="000000" w:themeColor="text1"/>
          <w:kern w:val="0"/>
          <w:sz w:val="28"/>
          <w:szCs w:val="28"/>
          <w14:ligatures w14:val="none"/>
        </w:rPr>
        <w:t>Shambour</w:t>
      </w:r>
      <w:proofErr w:type="spellEnd"/>
      <w:r w:rsidRPr="001F14A2">
        <w:rPr>
          <w:rFonts w:ascii="Simplified Arabic" w:eastAsia="Times New Roman" w:hAnsi="Simplified Arabic" w:cs="Simplified Arabic"/>
          <w:b/>
          <w:bCs/>
          <w:color w:val="000000" w:themeColor="text1"/>
          <w:kern w:val="0"/>
          <w:sz w:val="28"/>
          <w:szCs w:val="28"/>
          <w14:ligatures w14:val="none"/>
        </w:rPr>
        <w:t xml:space="preserve">, </w:t>
      </w:r>
      <w:proofErr w:type="spellStart"/>
      <w:r w:rsidR="003A4ED4" w:rsidRPr="001F14A2">
        <w:rPr>
          <w:rFonts w:ascii="Simplified Arabic" w:eastAsia="Times New Roman" w:hAnsi="Simplified Arabic" w:cs="Simplified Arabic"/>
          <w:b/>
          <w:bCs/>
          <w:color w:val="000000" w:themeColor="text1"/>
          <w:kern w:val="0"/>
          <w:sz w:val="28"/>
          <w:szCs w:val="28"/>
          <w14:ligatures w14:val="none"/>
        </w:rPr>
        <w:t>etal</w:t>
      </w:r>
      <w:proofErr w:type="spellEnd"/>
      <w:r w:rsidR="003A4ED4" w:rsidRPr="001F14A2">
        <w:rPr>
          <w:rFonts w:ascii="Simplified Arabic" w:eastAsia="Times New Roman" w:hAnsi="Simplified Arabic" w:cs="Simplified Arabic"/>
          <w:b/>
          <w:bCs/>
          <w:color w:val="000000" w:themeColor="text1"/>
          <w:kern w:val="0"/>
          <w:sz w:val="28"/>
          <w:szCs w:val="28"/>
          <w14:ligatures w14:val="none"/>
        </w:rPr>
        <w:t>.,</w:t>
      </w:r>
      <w:r w:rsidRPr="001F14A2">
        <w:rPr>
          <w:rFonts w:ascii="Simplified Arabic" w:eastAsia="Times New Roman" w:hAnsi="Simplified Arabic" w:cs="Simplified Arabic"/>
          <w:b/>
          <w:bCs/>
          <w:color w:val="000000" w:themeColor="text1"/>
          <w:kern w:val="0"/>
          <w:sz w:val="28"/>
          <w:szCs w:val="28"/>
          <w14:ligatures w14:val="none"/>
        </w:rPr>
        <w:t>, 2023)</w:t>
      </w:r>
      <w:bookmarkEnd w:id="19"/>
    </w:p>
    <w:p w14:paraId="2A31EE68"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هدفت الدراسة إلى التعرف على مستوى رضا حجاج بيت الله الحرام عن خدمات الضيافة الفندقية المقدّمة خلال موسم الحج، وذلك باستخدام نظرية تأكيد التوقعات</w:t>
      </w:r>
      <w:r w:rsidRPr="001F14A2">
        <w:rPr>
          <w:rFonts w:ascii="Simplified Arabic" w:eastAsia="Times New Roman" w:hAnsi="Simplified Arabic" w:cs="Simplified Arabic"/>
          <w:color w:val="000000" w:themeColor="text1"/>
          <w:kern w:val="0"/>
          <w:sz w:val="28"/>
          <w:szCs w:val="28"/>
          <w14:ligatures w14:val="none"/>
        </w:rPr>
        <w:t xml:space="preserve"> (Expectation-Confirmation Theory) </w:t>
      </w:r>
      <w:r w:rsidRPr="001F14A2">
        <w:rPr>
          <w:rFonts w:ascii="Simplified Arabic" w:eastAsia="Times New Roman" w:hAnsi="Simplified Arabic" w:cs="Simplified Arabic"/>
          <w:color w:val="000000" w:themeColor="text1"/>
          <w:kern w:val="0"/>
          <w:sz w:val="28"/>
          <w:szCs w:val="28"/>
          <w:rtl/>
          <w14:ligatures w14:val="none"/>
        </w:rPr>
        <w:t xml:space="preserve">والتعلم العميق، بأبعاده المتمثلة في (التوقعات المسبقة المتأثرة بالعوامل الاقتصادية والبنية التحتية والبيئة الاجتماعية وعدد المراجعات وأسعار الفنادق، الأداء المُدرَك للخدمة بعد التجربة، درجة تأكيد أو عدم تأكيد التوقعات، الرضا الكلي للحجاج). استخدمت الدراسة منهج التعلم العميق القائم على نموذج هجين يجمع بين الشبكات العصبية </w:t>
      </w:r>
      <w:proofErr w:type="spellStart"/>
      <w:r w:rsidRPr="001F14A2">
        <w:rPr>
          <w:rFonts w:ascii="Simplified Arabic" w:eastAsia="Times New Roman" w:hAnsi="Simplified Arabic" w:cs="Simplified Arabic"/>
          <w:color w:val="000000" w:themeColor="text1"/>
          <w:kern w:val="0"/>
          <w:sz w:val="28"/>
          <w:szCs w:val="28"/>
          <w:rtl/>
          <w14:ligatures w14:val="none"/>
        </w:rPr>
        <w:t>التلافيفية</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والذاكرة طويلة قصيرة المدى</w:t>
      </w:r>
      <w:r w:rsidRPr="001F14A2">
        <w:rPr>
          <w:rFonts w:ascii="Simplified Arabic" w:eastAsia="Times New Roman" w:hAnsi="Simplified Arabic" w:cs="Simplified Arabic"/>
          <w:color w:val="000000" w:themeColor="text1"/>
          <w:kern w:val="0"/>
          <w:sz w:val="28"/>
          <w:szCs w:val="28"/>
          <w14:ligatures w14:val="none"/>
        </w:rPr>
        <w:t xml:space="preserve"> (CNN-LSTM) </w:t>
      </w:r>
      <w:r w:rsidRPr="001F14A2">
        <w:rPr>
          <w:rFonts w:ascii="Simplified Arabic" w:eastAsia="Times New Roman" w:hAnsi="Simplified Arabic" w:cs="Simplified Arabic"/>
          <w:color w:val="000000" w:themeColor="text1"/>
          <w:kern w:val="0"/>
          <w:sz w:val="28"/>
          <w:szCs w:val="28"/>
          <w:rtl/>
          <w14:ligatures w14:val="none"/>
        </w:rPr>
        <w:t>مع تقنية تنظيم جديدة</w:t>
      </w:r>
      <w:r w:rsidRPr="001F14A2">
        <w:rPr>
          <w:rFonts w:ascii="Simplified Arabic" w:eastAsia="Times New Roman" w:hAnsi="Simplified Arabic" w:cs="Simplified Arabic"/>
          <w:color w:val="000000" w:themeColor="text1"/>
          <w:kern w:val="0"/>
          <w:sz w:val="28"/>
          <w:szCs w:val="28"/>
          <w14:ligatures w14:val="none"/>
        </w:rPr>
        <w:t xml:space="preserve"> (New Regularization) </w:t>
      </w:r>
      <w:r w:rsidRPr="001F14A2">
        <w:rPr>
          <w:rFonts w:ascii="Simplified Arabic" w:eastAsia="Times New Roman" w:hAnsi="Simplified Arabic" w:cs="Simplified Arabic"/>
          <w:color w:val="000000" w:themeColor="text1"/>
          <w:kern w:val="0"/>
          <w:sz w:val="28"/>
          <w:szCs w:val="28"/>
          <w:rtl/>
          <w14:ligatures w14:val="none"/>
        </w:rPr>
        <w:t xml:space="preserve">قائمة على الانحراف المعياري لمعالجة مشكلة الإفراط في التدريب. وتكونت العينة من </w:t>
      </w:r>
      <w:r w:rsidRPr="001F14A2">
        <w:rPr>
          <w:rFonts w:ascii="Simplified Arabic" w:eastAsia="Times New Roman" w:hAnsi="Simplified Arabic" w:cs="Simplified Arabic"/>
          <w:color w:val="000000" w:themeColor="text1"/>
          <w:kern w:val="0"/>
          <w:sz w:val="28"/>
          <w:szCs w:val="28"/>
          <w14:ligatures w14:val="none"/>
        </w:rPr>
        <w:t xml:space="preserve">(15,859) </w:t>
      </w:r>
      <w:r w:rsidRPr="001F14A2">
        <w:rPr>
          <w:rFonts w:ascii="Simplified Arabic" w:eastAsia="Times New Roman" w:hAnsi="Simplified Arabic" w:cs="Simplified Arabic"/>
          <w:color w:val="000000" w:themeColor="text1"/>
          <w:kern w:val="0"/>
          <w:sz w:val="28"/>
          <w:szCs w:val="28"/>
          <w:rtl/>
          <w14:ligatures w14:val="none"/>
        </w:rPr>
        <w:t>مراجعة لحجاج جُمعت من موقع</w:t>
      </w:r>
      <w:r w:rsidRPr="001F14A2">
        <w:rPr>
          <w:rFonts w:ascii="Simplified Arabic" w:eastAsia="Times New Roman" w:hAnsi="Simplified Arabic" w:cs="Simplified Arabic"/>
          <w:color w:val="000000" w:themeColor="text1"/>
          <w:kern w:val="0"/>
          <w:sz w:val="28"/>
          <w:szCs w:val="28"/>
          <w14:ligatures w14:val="none"/>
        </w:rPr>
        <w:t xml:space="preserve"> Booking.com </w:t>
      </w:r>
      <w:r w:rsidRPr="001F14A2">
        <w:rPr>
          <w:rFonts w:ascii="Simplified Arabic" w:eastAsia="Times New Roman" w:hAnsi="Simplified Arabic" w:cs="Simplified Arabic"/>
          <w:color w:val="000000" w:themeColor="text1"/>
          <w:kern w:val="0"/>
          <w:sz w:val="28"/>
          <w:szCs w:val="28"/>
          <w:rtl/>
          <w14:ligatures w14:val="none"/>
        </w:rPr>
        <w:t xml:space="preserve">مكتوبة بالعربية الفصحى والعامية، وبعد المعالجة المسبقة قُسّمت إلى ثلاث فئات: إيجابية (4,301 للتدريب، 2,100 للاختبار، 1,009 للتحقق)، سلبية (2,459 للتدريب، 1,820 للاختبار، 922 للتحقق)، ومحايدة (1,900 للتدريب، 749 للاختبار، 599 للتحقق). وتوصلت نتائج الدراسة إلى أن النموذج المقترح حقق دقة تصنيف بلغت </w:t>
      </w:r>
      <w:r w:rsidRPr="001F14A2">
        <w:rPr>
          <w:rFonts w:ascii="Simplified Arabic" w:eastAsia="Times New Roman" w:hAnsi="Simplified Arabic" w:cs="Simplified Arabic"/>
          <w:color w:val="000000" w:themeColor="text1"/>
          <w:kern w:val="0"/>
          <w:sz w:val="28"/>
          <w:szCs w:val="28"/>
          <w14:ligatures w14:val="none"/>
        </w:rPr>
        <w:t xml:space="preserve">97% </w:t>
      </w:r>
      <w:r w:rsidRPr="001F14A2">
        <w:rPr>
          <w:rFonts w:ascii="Simplified Arabic" w:eastAsia="Times New Roman" w:hAnsi="Simplified Arabic" w:cs="Simplified Arabic"/>
          <w:color w:val="000000" w:themeColor="text1"/>
          <w:kern w:val="0"/>
          <w:sz w:val="28"/>
          <w:szCs w:val="28"/>
          <w:rtl/>
          <w14:ligatures w14:val="none"/>
        </w:rPr>
        <w:t>ودقة إيجابية 0.976 واسترجاع 0.978، متفوقاً على نموذج</w:t>
      </w:r>
      <w:r w:rsidRPr="001F14A2">
        <w:rPr>
          <w:rFonts w:ascii="Simplified Arabic" w:eastAsia="Times New Roman" w:hAnsi="Simplified Arabic" w:cs="Simplified Arabic"/>
          <w:color w:val="000000" w:themeColor="text1"/>
          <w:kern w:val="0"/>
          <w:sz w:val="28"/>
          <w:szCs w:val="28"/>
          <w14:ligatures w14:val="none"/>
        </w:rPr>
        <w:t xml:space="preserve"> LSTM (95%) </w:t>
      </w:r>
      <w:r w:rsidRPr="001F14A2">
        <w:rPr>
          <w:rFonts w:ascii="Simplified Arabic" w:eastAsia="Times New Roman" w:hAnsi="Simplified Arabic" w:cs="Simplified Arabic"/>
          <w:color w:val="000000" w:themeColor="text1"/>
          <w:kern w:val="0"/>
          <w:sz w:val="28"/>
          <w:szCs w:val="28"/>
          <w:rtl/>
          <w14:ligatures w14:val="none"/>
        </w:rPr>
        <w:t>ونموذج</w:t>
      </w:r>
      <w:r w:rsidRPr="001F14A2">
        <w:rPr>
          <w:rFonts w:ascii="Simplified Arabic" w:eastAsia="Times New Roman" w:hAnsi="Simplified Arabic" w:cs="Simplified Arabic"/>
          <w:color w:val="000000" w:themeColor="text1"/>
          <w:kern w:val="0"/>
          <w:sz w:val="28"/>
          <w:szCs w:val="28"/>
          <w14:ligatures w14:val="none"/>
        </w:rPr>
        <w:t xml:space="preserve"> CNN (90%). </w:t>
      </w:r>
      <w:r w:rsidRPr="001F14A2">
        <w:rPr>
          <w:rFonts w:ascii="Simplified Arabic" w:eastAsia="Times New Roman" w:hAnsi="Simplified Arabic" w:cs="Simplified Arabic"/>
          <w:color w:val="000000" w:themeColor="text1"/>
          <w:kern w:val="0"/>
          <w:sz w:val="28"/>
          <w:szCs w:val="28"/>
          <w:rtl/>
          <w14:ligatures w14:val="none"/>
        </w:rPr>
        <w:t>وأوصت الدراسة بتوظيف تقنيات البيانات الضخمة والذكاء الاصطناعي في تحسين جودة خدمات الضيافة المقدمة للحجاج</w:t>
      </w:r>
      <w:r w:rsidRPr="001F14A2">
        <w:rPr>
          <w:rFonts w:ascii="Simplified Arabic" w:eastAsia="Times New Roman" w:hAnsi="Simplified Arabic" w:cs="Simplified Arabic"/>
          <w:color w:val="000000" w:themeColor="text1"/>
          <w:kern w:val="0"/>
          <w:sz w:val="28"/>
          <w:szCs w:val="28"/>
          <w14:ligatures w14:val="none"/>
        </w:rPr>
        <w:t>.</w:t>
      </w:r>
    </w:p>
    <w:p w14:paraId="396D3E02" w14:textId="6AA2D03F" w:rsidR="00791DB7" w:rsidRPr="001F14A2" w:rsidRDefault="00791DB7"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0" w:name="_Toc223917352"/>
      <w:r w:rsidRPr="001F14A2">
        <w:rPr>
          <w:rFonts w:ascii="Simplified Arabic" w:eastAsia="Times New Roman" w:hAnsi="Simplified Arabic" w:cs="Simplified Arabic"/>
          <w:b/>
          <w:bCs/>
          <w:color w:val="000000" w:themeColor="text1"/>
          <w:kern w:val="0"/>
          <w:sz w:val="28"/>
          <w:szCs w:val="28"/>
          <w:rtl/>
          <w14:ligatures w14:val="none"/>
        </w:rPr>
        <w:t>دراسة</w:t>
      </w:r>
      <w:r w:rsidRPr="001F14A2">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b/>
          <w:bCs/>
          <w:color w:val="000000" w:themeColor="text1"/>
          <w:kern w:val="0"/>
          <w:sz w:val="28"/>
          <w:szCs w:val="28"/>
          <w14:ligatures w14:val="none"/>
        </w:rPr>
        <w:t>Owaidah</w:t>
      </w:r>
      <w:proofErr w:type="spellEnd"/>
      <w:r w:rsidR="003A4ED4" w:rsidRPr="001F14A2">
        <w:rPr>
          <w:rFonts w:ascii="Simplified Arabic" w:eastAsia="Times New Roman" w:hAnsi="Simplified Arabic" w:cs="Simplified Arabic"/>
          <w:b/>
          <w:bCs/>
          <w:color w:val="000000" w:themeColor="text1"/>
          <w:kern w:val="0"/>
          <w:sz w:val="28"/>
          <w:szCs w:val="28"/>
          <w14:ligatures w14:val="none"/>
        </w:rPr>
        <w:t xml:space="preserve"> </w:t>
      </w:r>
      <w:proofErr w:type="spellStart"/>
      <w:r w:rsidR="003A4ED4" w:rsidRPr="001F14A2">
        <w:rPr>
          <w:rFonts w:ascii="Simplified Arabic" w:eastAsia="Times New Roman" w:hAnsi="Simplified Arabic" w:cs="Simplified Arabic"/>
          <w:b/>
          <w:bCs/>
          <w:color w:val="000000" w:themeColor="text1"/>
          <w:kern w:val="0"/>
          <w:sz w:val="28"/>
          <w:szCs w:val="28"/>
          <w14:ligatures w14:val="none"/>
        </w:rPr>
        <w:t>etal</w:t>
      </w:r>
      <w:proofErr w:type="spellEnd"/>
      <w:r w:rsidR="003A4ED4" w:rsidRPr="001F14A2">
        <w:rPr>
          <w:rFonts w:ascii="Simplified Arabic" w:eastAsia="Times New Roman" w:hAnsi="Simplified Arabic" w:cs="Simplified Arabic"/>
          <w:b/>
          <w:bCs/>
          <w:color w:val="000000" w:themeColor="text1"/>
          <w:kern w:val="0"/>
          <w:sz w:val="28"/>
          <w:szCs w:val="28"/>
          <w14:ligatures w14:val="none"/>
        </w:rPr>
        <w:t>.</w:t>
      </w:r>
      <w:r w:rsidRPr="001F14A2">
        <w:rPr>
          <w:rFonts w:ascii="Simplified Arabic" w:eastAsia="Times New Roman" w:hAnsi="Simplified Arabic" w:cs="Simplified Arabic"/>
          <w:b/>
          <w:bCs/>
          <w:color w:val="000000" w:themeColor="text1"/>
          <w:kern w:val="0"/>
          <w:sz w:val="28"/>
          <w:szCs w:val="28"/>
          <w14:ligatures w14:val="none"/>
        </w:rPr>
        <w:t>, 2023)</w:t>
      </w:r>
      <w:bookmarkEnd w:id="20"/>
    </w:p>
    <w:p w14:paraId="614A11A8"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آليات نمذجة ومحاكاة نقل الحجاج بين المشاعر المقدسة وتطوير استراتيجيات لتحسين إدارة النقل خلال موسم الحج، بأبعاده المتمثلة في (الحافلات التقليدية التي تقوم برحلة أو رحلتين يومياً، الحافلات المكوكية</w:t>
      </w:r>
      <w:r w:rsidRPr="001F14A2">
        <w:rPr>
          <w:rFonts w:ascii="Simplified Arabic" w:eastAsia="Times New Roman" w:hAnsi="Simplified Arabic" w:cs="Simplified Arabic"/>
          <w:color w:val="000000" w:themeColor="text1"/>
          <w:kern w:val="0"/>
          <w:sz w:val="28"/>
          <w:szCs w:val="28"/>
          <w14:ligatures w14:val="none"/>
        </w:rPr>
        <w:t xml:space="preserve"> (Shuttle) </w:t>
      </w:r>
      <w:r w:rsidRPr="001F14A2">
        <w:rPr>
          <w:rFonts w:ascii="Simplified Arabic" w:eastAsia="Times New Roman" w:hAnsi="Simplified Arabic" w:cs="Simplified Arabic"/>
          <w:color w:val="000000" w:themeColor="text1"/>
          <w:kern w:val="0"/>
          <w:sz w:val="28"/>
          <w:szCs w:val="28"/>
          <w:rtl/>
          <w14:ligatures w14:val="none"/>
        </w:rPr>
        <w:t>التي تقوم بثلاث إلى تسع رحلات على طرق مخصصة، شبكة القطارات (المشاعر المقدسة) بطول 20 كم وتسع محطات، مسارات المشاة الرابطة بين المواقع). استخدمت الدراسة منهج المحاكاة بالأحداث المنفصلة</w:t>
      </w:r>
      <w:r w:rsidRPr="001F14A2">
        <w:rPr>
          <w:rFonts w:ascii="Simplified Arabic" w:eastAsia="Times New Roman" w:hAnsi="Simplified Arabic" w:cs="Simplified Arabic"/>
          <w:color w:val="000000" w:themeColor="text1"/>
          <w:kern w:val="0"/>
          <w:sz w:val="28"/>
          <w:szCs w:val="28"/>
          <w14:ligatures w14:val="none"/>
        </w:rPr>
        <w:t xml:space="preserve"> (Discrete Event Simulation - DES) </w:t>
      </w:r>
      <w:r w:rsidRPr="001F14A2">
        <w:rPr>
          <w:rFonts w:ascii="Simplified Arabic" w:eastAsia="Times New Roman" w:hAnsi="Simplified Arabic" w:cs="Simplified Arabic"/>
          <w:color w:val="000000" w:themeColor="text1"/>
          <w:kern w:val="0"/>
          <w:sz w:val="28"/>
          <w:szCs w:val="28"/>
          <w:rtl/>
          <w14:ligatures w14:val="none"/>
        </w:rPr>
        <w:t>باستخدام برنامج</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ExtendSim</w:t>
      </w:r>
      <w:proofErr w:type="spellEnd"/>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 xml:space="preserve">لنمذجة تحركات الحجاج المتعددة خلال الأيام الثلاثة الأولى من الحج. وتكونت العينة من نموذج محاكاة لـ (3,000,000) حاج افتراضي صُمّم استناداً إلى بيانات حج 2019 الحقيقية المستقاة من معهد أبحاث الحج والعمرة ووزارة الحج، حيث رُوعي توزيع الحجاج حسب الجنسية والمؤسسة </w:t>
      </w:r>
      <w:proofErr w:type="spellStart"/>
      <w:r w:rsidRPr="001F14A2">
        <w:rPr>
          <w:rFonts w:ascii="Simplified Arabic" w:eastAsia="Times New Roman" w:hAnsi="Simplified Arabic" w:cs="Simplified Arabic"/>
          <w:color w:val="000000" w:themeColor="text1"/>
          <w:kern w:val="0"/>
          <w:sz w:val="28"/>
          <w:szCs w:val="28"/>
          <w:rtl/>
          <w14:ligatures w14:val="none"/>
        </w:rPr>
        <w:t>الطوافية</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والعمر (40% بين 10-50 سنة، 60% فوق 50 سنة) وسرعات المشي (0.88-1.46 م/ث) ومستويات الإرهاق. وطُوّرت ثلاث وحدات نقل تغطي التنقل من مكة إلى منى ومن منى إلى عرفات ومن عرفات إلى مزدلفة، مع سيناريوهات متعددة لتغيير نسب التخصيص والجداول الزمنية. وتوصلت نتائج الدراسة إلى أن التخطيط المسبق للحدث والمراقبة الآنية أثناءه أمران جوهريان لتحسين إدارة النقل وتقليل الازدحام والتأخير. وأوصت الدراسة بدمج جميع وسائل النقل في نموذج محاكاة شامل واحد وتوظيف التقنيات الحديثة لمتابعة الحركة في الوقت الحقيقي</w:t>
      </w:r>
      <w:r w:rsidRPr="001F14A2">
        <w:rPr>
          <w:rFonts w:ascii="Simplified Arabic" w:eastAsia="Times New Roman" w:hAnsi="Simplified Arabic" w:cs="Simplified Arabic"/>
          <w:color w:val="000000" w:themeColor="text1"/>
          <w:kern w:val="0"/>
          <w:sz w:val="28"/>
          <w:szCs w:val="28"/>
          <w14:ligatures w14:val="none"/>
        </w:rPr>
        <w:t>.</w:t>
      </w:r>
    </w:p>
    <w:p w14:paraId="2B8ED383" w14:textId="77777777" w:rsidR="001F14A2" w:rsidRPr="001F14A2" w:rsidRDefault="001F14A2"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1" w:name="_Toc223917355"/>
      <w:bookmarkStart w:id="22" w:name="_Toc223917353"/>
      <w:r w:rsidRPr="001F14A2">
        <w:rPr>
          <w:rFonts w:ascii="Simplified Arabic" w:eastAsia="Times New Roman" w:hAnsi="Simplified Arabic" w:cs="Simplified Arabic"/>
          <w:b/>
          <w:bCs/>
          <w:color w:val="000000" w:themeColor="text1"/>
          <w:kern w:val="0"/>
          <w:sz w:val="28"/>
          <w:szCs w:val="28"/>
          <w:rtl/>
          <w14:ligatures w14:val="none"/>
        </w:rPr>
        <w:t>دراسة</w:t>
      </w:r>
      <w:r w:rsidRPr="001F14A2">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b/>
          <w:bCs/>
          <w:color w:val="000000" w:themeColor="text1"/>
          <w:kern w:val="0"/>
          <w:sz w:val="28"/>
          <w:szCs w:val="28"/>
          <w14:ligatures w14:val="none"/>
        </w:rPr>
        <w:t>Alasmari</w:t>
      </w:r>
      <w:proofErr w:type="spellEnd"/>
      <w:r w:rsidRPr="001F14A2">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b/>
          <w:bCs/>
          <w:color w:val="000000" w:themeColor="text1"/>
          <w:kern w:val="0"/>
          <w:sz w:val="28"/>
          <w:szCs w:val="28"/>
          <w14:ligatures w14:val="none"/>
        </w:rPr>
        <w:t>etal</w:t>
      </w:r>
      <w:proofErr w:type="spellEnd"/>
      <w:r w:rsidRPr="001F14A2">
        <w:rPr>
          <w:rFonts w:ascii="Simplified Arabic" w:eastAsia="Times New Roman" w:hAnsi="Simplified Arabic" w:cs="Simplified Arabic"/>
          <w:b/>
          <w:bCs/>
          <w:color w:val="000000" w:themeColor="text1"/>
          <w:kern w:val="0"/>
          <w:sz w:val="28"/>
          <w:szCs w:val="28"/>
          <w14:ligatures w14:val="none"/>
        </w:rPr>
        <w:t>., 2024)</w:t>
      </w:r>
      <w:bookmarkEnd w:id="21"/>
    </w:p>
    <w:p w14:paraId="21550B94" w14:textId="77777777" w:rsidR="001F14A2" w:rsidRPr="001F14A2" w:rsidRDefault="001F14A2"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مشاعر وآراء الحجاج تجاه خدمات التموين الغذائي (الوجبات المُعدّة مسبقاً) خلال موسم حج </w:t>
      </w:r>
      <w:r w:rsidRPr="001F14A2">
        <w:rPr>
          <w:rFonts w:ascii="Simplified Arabic" w:eastAsia="Times New Roman" w:hAnsi="Simplified Arabic" w:cs="Simplified Arabic"/>
          <w:color w:val="000000" w:themeColor="text1"/>
          <w:kern w:val="0"/>
          <w:sz w:val="28"/>
          <w:szCs w:val="28"/>
          <w14:ligatures w14:val="none"/>
        </w:rPr>
        <w:t>1442</w:t>
      </w:r>
      <w:r w:rsidRPr="001F14A2">
        <w:rPr>
          <w:rFonts w:ascii="Simplified Arabic" w:eastAsia="Times New Roman" w:hAnsi="Simplified Arabic" w:cs="Simplified Arabic"/>
          <w:color w:val="000000" w:themeColor="text1"/>
          <w:kern w:val="0"/>
          <w:sz w:val="28"/>
          <w:szCs w:val="28"/>
          <w:rtl/>
          <w14:ligatures w14:val="none"/>
        </w:rPr>
        <w:t>هـ (2021م) في المشاعر المقدسة بمكة المكرمة، وذلك باستخدام تحليل المشاعر من منظور إدارة الحشود، بأبعاده المتمثلة في (المشاعر الإيجابية المعبّرة عن الرضا والدعاء، المشاعر السلبية المعبّرة عن سوء التجربة، المشاعر المحايدة كالأخبار الرسمية والمعلومات العامة عن مناسك الحج</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 xml:space="preserve">استخدمت الدراسة منهج التعلم العميق القائم على نموذج هجين مبتكر يجمع بين الشبكات العصبية </w:t>
      </w:r>
      <w:proofErr w:type="spellStart"/>
      <w:r w:rsidRPr="001F14A2">
        <w:rPr>
          <w:rFonts w:ascii="Simplified Arabic" w:eastAsia="Times New Roman" w:hAnsi="Simplified Arabic" w:cs="Simplified Arabic"/>
          <w:color w:val="000000" w:themeColor="text1"/>
          <w:kern w:val="0"/>
          <w:sz w:val="28"/>
          <w:szCs w:val="28"/>
          <w:rtl/>
          <w14:ligatures w14:val="none"/>
        </w:rPr>
        <w:t>التلافيفية</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والذاكرة طويلة قصيرة المدى</w:t>
      </w:r>
      <w:r w:rsidRPr="001F14A2">
        <w:rPr>
          <w:rFonts w:ascii="Simplified Arabic" w:eastAsia="Times New Roman" w:hAnsi="Simplified Arabic" w:cs="Simplified Arabic"/>
          <w:color w:val="000000" w:themeColor="text1"/>
          <w:kern w:val="0"/>
          <w:sz w:val="28"/>
          <w:szCs w:val="28"/>
          <w14:ligatures w14:val="none"/>
        </w:rPr>
        <w:t xml:space="preserve"> (CNN-LSTM)</w:t>
      </w:r>
      <w:r w:rsidRPr="001F14A2">
        <w:rPr>
          <w:rFonts w:ascii="Simplified Arabic" w:eastAsia="Times New Roman" w:hAnsi="Simplified Arabic" w:cs="Simplified Arabic"/>
          <w:color w:val="000000" w:themeColor="text1"/>
          <w:kern w:val="0"/>
          <w:sz w:val="28"/>
          <w:szCs w:val="28"/>
          <w:rtl/>
          <w14:ligatures w14:val="none"/>
        </w:rPr>
        <w:t>، حيث استُخدمت أربع طبقات</w:t>
      </w:r>
      <w:r w:rsidRPr="001F14A2">
        <w:rPr>
          <w:rFonts w:ascii="Simplified Arabic" w:eastAsia="Times New Roman" w:hAnsi="Simplified Arabic" w:cs="Simplified Arabic"/>
          <w:color w:val="000000" w:themeColor="text1"/>
          <w:kern w:val="0"/>
          <w:sz w:val="28"/>
          <w:szCs w:val="28"/>
          <w14:ligatures w14:val="none"/>
        </w:rPr>
        <w:t xml:space="preserve"> CNN </w:t>
      </w:r>
      <w:r w:rsidRPr="001F14A2">
        <w:rPr>
          <w:rFonts w:ascii="Simplified Arabic" w:eastAsia="Times New Roman" w:hAnsi="Simplified Arabic" w:cs="Simplified Arabic"/>
          <w:color w:val="000000" w:themeColor="text1"/>
          <w:kern w:val="0"/>
          <w:sz w:val="28"/>
          <w:szCs w:val="28"/>
          <w:rtl/>
          <w14:ligatures w14:val="none"/>
        </w:rPr>
        <w:t>لاستخراج السمات المحلية بعد ترميز</w:t>
      </w:r>
      <w:r w:rsidRPr="001F14A2">
        <w:rPr>
          <w:rFonts w:ascii="Simplified Arabic" w:eastAsia="Times New Roman" w:hAnsi="Simplified Arabic" w:cs="Simplified Arabic"/>
          <w:color w:val="000000" w:themeColor="text1"/>
          <w:kern w:val="0"/>
          <w:sz w:val="28"/>
          <w:szCs w:val="28"/>
          <w14:ligatures w14:val="none"/>
        </w:rPr>
        <w:t xml:space="preserve"> One-Hot</w:t>
      </w:r>
      <w:r w:rsidRPr="001F14A2">
        <w:rPr>
          <w:rFonts w:ascii="Simplified Arabic" w:eastAsia="Times New Roman" w:hAnsi="Simplified Arabic" w:cs="Simplified Arabic"/>
          <w:color w:val="000000" w:themeColor="text1"/>
          <w:kern w:val="0"/>
          <w:sz w:val="28"/>
          <w:szCs w:val="28"/>
          <w:rtl/>
          <w14:ligatures w14:val="none"/>
        </w:rPr>
        <w:t xml:space="preserve">، وطبقة </w:t>
      </w:r>
      <w:r w:rsidRPr="001F14A2">
        <w:rPr>
          <w:rFonts w:ascii="Simplified Arabic" w:eastAsia="Times New Roman" w:hAnsi="Simplified Arabic" w:cs="Simplified Arabic"/>
          <w:color w:val="000000" w:themeColor="text1"/>
          <w:kern w:val="0"/>
          <w:sz w:val="28"/>
          <w:szCs w:val="28"/>
          <w14:ligatures w14:val="none"/>
        </w:rPr>
        <w:t xml:space="preserve">LSTM </w:t>
      </w:r>
      <w:r w:rsidRPr="001F14A2">
        <w:rPr>
          <w:rFonts w:ascii="Simplified Arabic" w:eastAsia="Times New Roman" w:hAnsi="Simplified Arabic" w:cs="Simplified Arabic"/>
          <w:color w:val="000000" w:themeColor="text1"/>
          <w:kern w:val="0"/>
          <w:sz w:val="28"/>
          <w:szCs w:val="28"/>
          <w:rtl/>
          <w14:ligatures w14:val="none"/>
        </w:rPr>
        <w:t>واحدة للحفاظ على التبعيات طويلة المدى، ثم طبقة</w:t>
      </w:r>
      <w:r w:rsidRPr="001F14A2">
        <w:rPr>
          <w:rFonts w:ascii="Simplified Arabic" w:eastAsia="Times New Roman" w:hAnsi="Simplified Arabic" w:cs="Simplified Arabic"/>
          <w:color w:val="000000" w:themeColor="text1"/>
          <w:kern w:val="0"/>
          <w:sz w:val="28"/>
          <w:szCs w:val="28"/>
          <w14:ligatures w14:val="none"/>
        </w:rPr>
        <w:t xml:space="preserve"> SoftMax </w:t>
      </w:r>
      <w:r w:rsidRPr="001F14A2">
        <w:rPr>
          <w:rFonts w:ascii="Simplified Arabic" w:eastAsia="Times New Roman" w:hAnsi="Simplified Arabic" w:cs="Simplified Arabic"/>
          <w:color w:val="000000" w:themeColor="text1"/>
          <w:kern w:val="0"/>
          <w:sz w:val="28"/>
          <w:szCs w:val="28"/>
          <w:rtl/>
          <w14:ligatures w14:val="none"/>
        </w:rPr>
        <w:t>لتصنيف المخرجات النهائية. وتكونت العينة من مجموعة بيانات جديدة ومتخصصة أُطلق عليها</w:t>
      </w:r>
      <w:r w:rsidRPr="001F14A2">
        <w:rPr>
          <w:rFonts w:ascii="Simplified Arabic" w:eastAsia="Times New Roman" w:hAnsi="Simplified Arabic" w:cs="Simplified Arabic"/>
          <w:color w:val="000000" w:themeColor="text1"/>
          <w:kern w:val="0"/>
          <w:sz w:val="28"/>
          <w:szCs w:val="28"/>
          <w14:ligatures w14:val="none"/>
        </w:rPr>
        <w:t xml:space="preserve"> (Catering-Hajj) </w:t>
      </w:r>
      <w:r w:rsidRPr="001F14A2">
        <w:rPr>
          <w:rFonts w:ascii="Simplified Arabic" w:eastAsia="Times New Roman" w:hAnsi="Simplified Arabic" w:cs="Simplified Arabic"/>
          <w:color w:val="000000" w:themeColor="text1"/>
          <w:kern w:val="0"/>
          <w:sz w:val="28"/>
          <w:szCs w:val="28"/>
          <w:rtl/>
          <w14:ligatures w14:val="none"/>
        </w:rPr>
        <w:t>ضمّت (4,669) تغريدة جُمعت من منصة تويتر خلال الفترة من 1 إلى 13 ذي الحجة 1442هـ (11-23 يوليو 2021م)، وصُنّفت يدوياً إلى: إيجابية (1,519 تغريدة)، سلبية (962 تغريدة)، ومحايدة (2,188 تغريدة)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النموذج المقترح </w:t>
      </w:r>
      <w:r w:rsidRPr="001F14A2">
        <w:rPr>
          <w:rFonts w:ascii="Simplified Arabic" w:eastAsia="Times New Roman" w:hAnsi="Simplified Arabic" w:cs="Simplified Arabic"/>
          <w:color w:val="000000" w:themeColor="text1"/>
          <w:kern w:val="0"/>
          <w:sz w:val="28"/>
          <w:szCs w:val="28"/>
          <w:rtl/>
          <w14:ligatures w14:val="none"/>
        </w:rPr>
        <w:lastRenderedPageBreak/>
        <w:t>حقق دقة بلغت 92% متفوقاً على جميع النماذج المقارنة</w:t>
      </w:r>
      <w:r w:rsidRPr="001F14A2">
        <w:rPr>
          <w:rFonts w:ascii="Simplified Arabic" w:eastAsia="Times New Roman" w:hAnsi="Simplified Arabic" w:cs="Simplified Arabic"/>
          <w:color w:val="000000" w:themeColor="text1"/>
          <w:kern w:val="0"/>
          <w:sz w:val="28"/>
          <w:szCs w:val="28"/>
          <w14:ligatures w14:val="none"/>
        </w:rPr>
        <w:t xml:space="preserve">: SVM </w:t>
      </w:r>
      <w:r w:rsidRPr="001F14A2">
        <w:rPr>
          <w:rFonts w:ascii="Simplified Arabic" w:eastAsia="Times New Roman" w:hAnsi="Simplified Arabic" w:cs="Simplified Arabic"/>
          <w:color w:val="000000" w:themeColor="text1"/>
          <w:kern w:val="0"/>
          <w:sz w:val="28"/>
          <w:szCs w:val="28"/>
          <w:rtl/>
          <w14:ligatures w14:val="none"/>
        </w:rPr>
        <w:t>و</w:t>
      </w:r>
      <w:r w:rsidRPr="001F14A2">
        <w:rPr>
          <w:rFonts w:ascii="Simplified Arabic" w:eastAsia="Times New Roman" w:hAnsi="Simplified Arabic" w:cs="Simplified Arabic"/>
          <w:color w:val="000000" w:themeColor="text1"/>
          <w:kern w:val="0"/>
          <w:sz w:val="28"/>
          <w:szCs w:val="28"/>
          <w14:ligatures w14:val="none"/>
        </w:rPr>
        <w:t xml:space="preserve">RF </w:t>
      </w:r>
      <w:r w:rsidRPr="001F14A2">
        <w:rPr>
          <w:rFonts w:ascii="Simplified Arabic" w:eastAsia="Times New Roman" w:hAnsi="Simplified Arabic" w:cs="Simplified Arabic"/>
          <w:color w:val="000000" w:themeColor="text1"/>
          <w:kern w:val="0"/>
          <w:sz w:val="28"/>
          <w:szCs w:val="28"/>
          <w:rtl/>
          <w14:ligatures w14:val="none"/>
        </w:rPr>
        <w:t>و</w:t>
      </w:r>
      <w:r w:rsidRPr="001F14A2">
        <w:rPr>
          <w:rFonts w:ascii="Simplified Arabic" w:eastAsia="Times New Roman" w:hAnsi="Simplified Arabic" w:cs="Simplified Arabic"/>
          <w:color w:val="000000" w:themeColor="text1"/>
          <w:kern w:val="0"/>
          <w:sz w:val="28"/>
          <w:szCs w:val="28"/>
          <w14:ligatures w14:val="none"/>
        </w:rPr>
        <w:t xml:space="preserve">LSTM </w:t>
      </w:r>
      <w:r w:rsidRPr="001F14A2">
        <w:rPr>
          <w:rFonts w:ascii="Simplified Arabic" w:eastAsia="Times New Roman" w:hAnsi="Simplified Arabic" w:cs="Simplified Arabic"/>
          <w:color w:val="000000" w:themeColor="text1"/>
          <w:kern w:val="0"/>
          <w:sz w:val="28"/>
          <w:szCs w:val="28"/>
          <w:rtl/>
          <w14:ligatures w14:val="none"/>
        </w:rPr>
        <w:t>(81% تقريباً)، و</w:t>
      </w:r>
      <w:r w:rsidRPr="001F14A2">
        <w:rPr>
          <w:rFonts w:ascii="Simplified Arabic" w:eastAsia="Times New Roman" w:hAnsi="Simplified Arabic" w:cs="Simplified Arabic"/>
          <w:color w:val="000000" w:themeColor="text1"/>
          <w:kern w:val="0"/>
          <w:sz w:val="28"/>
          <w:szCs w:val="28"/>
          <w14:ligatures w14:val="none"/>
        </w:rPr>
        <w:t xml:space="preserve">LR </w:t>
      </w:r>
      <w:r w:rsidRPr="001F14A2">
        <w:rPr>
          <w:rFonts w:ascii="Simplified Arabic" w:eastAsia="Times New Roman" w:hAnsi="Simplified Arabic" w:cs="Simplified Arabic"/>
          <w:color w:val="000000" w:themeColor="text1"/>
          <w:kern w:val="0"/>
          <w:sz w:val="28"/>
          <w:szCs w:val="28"/>
          <w:rtl/>
          <w14:ligatures w14:val="none"/>
        </w:rPr>
        <w:t>و</w:t>
      </w:r>
      <w:r w:rsidRPr="001F14A2">
        <w:rPr>
          <w:rFonts w:ascii="Simplified Arabic" w:eastAsia="Times New Roman" w:hAnsi="Simplified Arabic" w:cs="Simplified Arabic"/>
          <w:color w:val="000000" w:themeColor="text1"/>
          <w:kern w:val="0"/>
          <w:sz w:val="28"/>
          <w:szCs w:val="28"/>
          <w14:ligatures w14:val="none"/>
        </w:rPr>
        <w:t>CNN (79%)</w:t>
      </w:r>
      <w:r w:rsidRPr="001F14A2">
        <w:rPr>
          <w:rFonts w:ascii="Simplified Arabic" w:eastAsia="Times New Roman" w:hAnsi="Simplified Arabic" w:cs="Simplified Arabic"/>
          <w:color w:val="000000" w:themeColor="text1"/>
          <w:kern w:val="0"/>
          <w:sz w:val="28"/>
          <w:szCs w:val="28"/>
          <w:rtl/>
          <w14:ligatures w14:val="none"/>
        </w:rPr>
        <w:t>، و</w:t>
      </w:r>
      <w:r w:rsidRPr="001F14A2">
        <w:rPr>
          <w:rFonts w:ascii="Simplified Arabic" w:eastAsia="Times New Roman" w:hAnsi="Simplified Arabic" w:cs="Simplified Arabic"/>
          <w:color w:val="000000" w:themeColor="text1"/>
          <w:kern w:val="0"/>
          <w:sz w:val="28"/>
          <w:szCs w:val="28"/>
          <w14:ligatures w14:val="none"/>
        </w:rPr>
        <w:t xml:space="preserve">DT (71%). </w:t>
      </w:r>
      <w:r w:rsidRPr="001F14A2">
        <w:rPr>
          <w:rFonts w:ascii="Simplified Arabic" w:eastAsia="Times New Roman" w:hAnsi="Simplified Arabic" w:cs="Simplified Arabic"/>
          <w:color w:val="000000" w:themeColor="text1"/>
          <w:kern w:val="0"/>
          <w:sz w:val="28"/>
          <w:szCs w:val="28"/>
          <w:rtl/>
          <w14:ligatures w14:val="none"/>
        </w:rPr>
        <w:t>وأوصت الدراسة بتوظيف البيانات الضخمة على منصات التواصل الاجتماعي في رصد سلوك الحشود وتحسين التخطيط الحضري والخدمي لمواسم الحج المقبلة</w:t>
      </w:r>
      <w:r w:rsidRPr="001F14A2">
        <w:rPr>
          <w:rFonts w:ascii="Simplified Arabic" w:eastAsia="Times New Roman" w:hAnsi="Simplified Arabic" w:cs="Simplified Arabic"/>
          <w:color w:val="000000" w:themeColor="text1"/>
          <w:kern w:val="0"/>
          <w:sz w:val="28"/>
          <w:szCs w:val="28"/>
          <w14:ligatures w14:val="none"/>
        </w:rPr>
        <w:t>.</w:t>
      </w:r>
    </w:p>
    <w:p w14:paraId="61BE53D5" w14:textId="77777777" w:rsidR="00791DB7" w:rsidRPr="001F14A2" w:rsidRDefault="00791DB7"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1F14A2">
        <w:rPr>
          <w:rFonts w:ascii="Simplified Arabic" w:eastAsia="Times New Roman" w:hAnsi="Simplified Arabic" w:cs="Simplified Arabic"/>
          <w:b/>
          <w:bCs/>
          <w:color w:val="000000" w:themeColor="text1"/>
          <w:kern w:val="0"/>
          <w:sz w:val="28"/>
          <w:szCs w:val="28"/>
          <w:rtl/>
          <w14:ligatures w14:val="none"/>
        </w:rPr>
        <w:t>دراسة (سقاط، 2025)</w:t>
      </w:r>
      <w:bookmarkEnd w:id="22"/>
    </w:p>
    <w:p w14:paraId="6308A748" w14:textId="477A6DA5"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التحليل الاستراتيجي</w:t>
      </w:r>
      <w:r w:rsidRPr="001F14A2">
        <w:rPr>
          <w:rFonts w:ascii="Simplified Arabic" w:eastAsia="Times New Roman" w:hAnsi="Simplified Arabic" w:cs="Simplified Arabic"/>
          <w:color w:val="000000" w:themeColor="text1"/>
          <w:kern w:val="0"/>
          <w:sz w:val="28"/>
          <w:szCs w:val="28"/>
          <w14:ligatures w14:val="none"/>
        </w:rPr>
        <w:t xml:space="preserve"> (SWOT) </w:t>
      </w:r>
      <w:r w:rsidRPr="001F14A2">
        <w:rPr>
          <w:rFonts w:ascii="Simplified Arabic" w:eastAsia="Times New Roman" w:hAnsi="Simplified Arabic" w:cs="Simplified Arabic"/>
          <w:color w:val="000000" w:themeColor="text1"/>
          <w:kern w:val="0"/>
          <w:sz w:val="28"/>
          <w:szCs w:val="28"/>
          <w:rtl/>
          <w14:ligatures w14:val="none"/>
        </w:rPr>
        <w:t>في تحسين خدمات شركات خدمة الحجاج بمكة المكرمة، بأبعاده المتمثلة في (نقاط القوة الداخلية التي تمتلكها الشركات، نقاط الضعف التي تحدّ من أدائها، الفرص الخارجية المتاحة أمامها للنمو والتطوير، التهديدات البيئية التي تواجه استمراريتها وتنافسيتها). استخدمت الدراسة المنهج الوصفي التحليلي القائم على مراجعة الدراسات السابقة وتحليل الواقع الفعلي لشركات خدمة الحجاج، وذلك لتحديد عناصر القوة والضعف والفرص والتهديدات ومن ثم تحديد الاستراتيجية الملائمة لضمان بقاء الشركات واستمراريتها. وطُبّقت الدراسة على شركات خدمة الحجاج العاملة في مكة المكرمة. وتوصلت نتائج الدراسة إلى أن استخدام التحليل الاستراتيجي</w:t>
      </w:r>
      <w:r w:rsidRPr="001F14A2">
        <w:rPr>
          <w:rFonts w:ascii="Simplified Arabic" w:eastAsia="Times New Roman" w:hAnsi="Simplified Arabic" w:cs="Simplified Arabic"/>
          <w:color w:val="000000" w:themeColor="text1"/>
          <w:kern w:val="0"/>
          <w:sz w:val="28"/>
          <w:szCs w:val="28"/>
          <w14:ligatures w14:val="none"/>
        </w:rPr>
        <w:t xml:space="preserve"> (SWOT) </w:t>
      </w:r>
      <w:r w:rsidRPr="001F14A2">
        <w:rPr>
          <w:rFonts w:ascii="Simplified Arabic" w:eastAsia="Times New Roman" w:hAnsi="Simplified Arabic" w:cs="Simplified Arabic"/>
          <w:color w:val="000000" w:themeColor="text1"/>
          <w:kern w:val="0"/>
          <w:sz w:val="28"/>
          <w:szCs w:val="28"/>
          <w:rtl/>
          <w14:ligatures w14:val="none"/>
        </w:rPr>
        <w:t>أسهم في معرفة الاستراتيجية المُتّبعة في شركات خدمة الحجاج وتحديد مواطن القوة التي ينبغي تعزيزها ومواطن الضعف التي يجب معالجتها، فضلاً عن اكتشاف الفرص التي يمكن استثمارها والتهديدات التي ينبغي التحوّط لها لتحسين جودة الخدمات المقدمة لحجاج بيت الله الحرام. وأوصت الدراسة بضرورة تطبيق التحليل الاستراتيجي بشكل دوري ومنتظم لمواكبة التغيّرات والتحديات المستمرة في قطاع خدمات الحج، وتبنّي استراتيجيات تنافسية قائمة على نتائج هذا التحليل لضمان التحسين المستمر</w:t>
      </w:r>
    </w:p>
    <w:p w14:paraId="5E0671D6" w14:textId="77777777" w:rsidR="00791DB7" w:rsidRPr="001F14A2" w:rsidRDefault="00791DB7" w:rsidP="001F14A2">
      <w:pPr>
        <w:pStyle w:val="a6"/>
        <w:numPr>
          <w:ilvl w:val="0"/>
          <w:numId w:val="3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3" w:name="_Toc223917354"/>
      <w:r w:rsidRPr="001F14A2">
        <w:rPr>
          <w:rFonts w:ascii="Simplified Arabic" w:eastAsia="Times New Roman" w:hAnsi="Simplified Arabic" w:cs="Simplified Arabic"/>
          <w:b/>
          <w:bCs/>
          <w:color w:val="000000" w:themeColor="text1"/>
          <w:kern w:val="0"/>
          <w:sz w:val="28"/>
          <w:szCs w:val="28"/>
          <w:rtl/>
          <w14:ligatures w14:val="none"/>
        </w:rPr>
        <w:t>دراسة (العصيمي والعتيبي، 2025)</w:t>
      </w:r>
      <w:bookmarkEnd w:id="23"/>
    </w:p>
    <w:p w14:paraId="0A422D40" w14:textId="2B15CC6D" w:rsidR="003A4ED4"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الواقع الحالي لتمكين المرأة العاملة في خدمة ضيوف الرحمن ضمن منظومة الحج والعمرة، من خلال الفرص المتاحة لتمكينها والتحديات التي تواجهها في هذا القطاع، وذلك في ضوء أهداف رؤية المملكة العربية السعودية 2030 التي تسعى إلى رفع نسبة مشاركة المرأة في سوق العمل من 22% إلى 30%. استخدمت الدراسة المنهج الوصفي التحليلي، واعتمد الباحثان على قائمة الاستقصاء (الاستبانة) كأداة لجمع البيانات. وتكونت العينة من (130) موظفة ومتطوعة من النساء العاملات والمتطوعات في خدمة ضيوف الرحمن ضمن منظومة الحج والعمرة بالمملكة العربية السعودية، علماً بأن الإحصاءات الرسمية تشير إلى أن نسبة النساء من القوى العاملة في الحج لم تتجاوز 7% من إجمالي القوى العاملة خلال السنوات الخمس الماضية. وتوصلت نتائج الدراسة إلى أن غالبية أفراد العينة </w:t>
      </w:r>
      <w:r w:rsidRPr="001F14A2">
        <w:rPr>
          <w:rFonts w:ascii="Simplified Arabic" w:eastAsia="Times New Roman" w:hAnsi="Simplified Arabic" w:cs="Simplified Arabic"/>
          <w:color w:val="000000" w:themeColor="text1"/>
          <w:kern w:val="0"/>
          <w:sz w:val="28"/>
          <w:szCs w:val="28"/>
          <w:rtl/>
          <w14:ligatures w14:val="none"/>
        </w:rPr>
        <w:lastRenderedPageBreak/>
        <w:t>بنسبة 78.2</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يوافقن على وجود فرص متاحة لدعم تمكين المرأة العاملة في منظومة الحج والعمرة بدرجة عالية، في حين أن 64.5% يوافقن على وجود تحديات تحدّ من تمكين المرأة العاملة بدرجة متوسطة. وأوصت الدراسة برفع نسبة توظيف النساء في منظومة الحج والعمرة، وتبنّي مفهوم التمكين بفاعلية أكبر، وزيادة مشاركة المرأة في مراكز صنع القرار، وتشخيص المعوّقات الشخصية والبيئية التي تحول دون تمكينها والعمل على إيجاد حلول مناسبة</w:t>
      </w:r>
    </w:p>
    <w:p w14:paraId="5FCCC282" w14:textId="04EA4092" w:rsidR="001F14A2" w:rsidRPr="001F14A2" w:rsidRDefault="001F14A2" w:rsidP="001F14A2">
      <w:pPr>
        <w:pStyle w:val="a8"/>
        <w:bidi/>
        <w:spacing w:line="276" w:lineRule="auto"/>
        <w:jc w:val="both"/>
        <w:outlineLvl w:val="1"/>
        <w:rPr>
          <w:rFonts w:ascii="Simplified Arabic" w:hAnsi="Simplified Arabic" w:cs="Simplified Arabic"/>
          <w:b/>
          <w:bCs/>
          <w:color w:val="000000" w:themeColor="text1"/>
          <w:sz w:val="36"/>
          <w:szCs w:val="36"/>
          <w:rtl/>
        </w:rPr>
      </w:pPr>
      <w:bookmarkStart w:id="24" w:name="_Toc233905857"/>
      <w:r w:rsidRPr="001F14A2">
        <w:rPr>
          <w:rFonts w:ascii="Simplified Arabic" w:hAnsi="Simplified Arabic" w:cs="Simplified Arabic"/>
          <w:b/>
          <w:bCs/>
          <w:color w:val="000000" w:themeColor="text1"/>
          <w:sz w:val="36"/>
          <w:szCs w:val="36"/>
          <w:rtl/>
        </w:rPr>
        <w:t>8.1 الفجوة البحثية</w:t>
      </w:r>
      <w:bookmarkEnd w:id="24"/>
    </w:p>
    <w:p w14:paraId="3772B556" w14:textId="77777777"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تتفق الدراسة الحالية مع عدد من الدراسات السابقة في محاور جوهرية تتصل بالهدف والمنهج وبيئة التطبيق. فمن حيث الهدف العام، تشترك هذه الدراسة مع دراسة</w:t>
      </w:r>
      <w:r w:rsidRPr="001F14A2">
        <w:rPr>
          <w:rFonts w:ascii="Simplified Arabic" w:hAnsi="Simplified Arabic" w:cs="Simplified Arabic"/>
          <w:color w:val="000000" w:themeColor="text1"/>
          <w:sz w:val="28"/>
          <w:szCs w:val="28"/>
        </w:rPr>
        <w:t xml:space="preserve"> Jaillet, Loke &amp; Sim (2022) </w:t>
      </w:r>
      <w:r w:rsidRPr="001F14A2">
        <w:rPr>
          <w:rFonts w:ascii="Simplified Arabic" w:hAnsi="Simplified Arabic" w:cs="Simplified Arabic"/>
          <w:color w:val="000000" w:themeColor="text1"/>
          <w:sz w:val="28"/>
          <w:szCs w:val="28"/>
          <w:rtl/>
        </w:rPr>
        <w:t>في السعي إلى فهم الآليات المثلى لتخطيط القوى العاملة وأثرها على الأداء المؤسسي، وإن اختلفت البيئة التنظيمية؛ كما تلتقي مع دراسة</w:t>
      </w:r>
      <w:r w:rsidRPr="001F14A2">
        <w:rPr>
          <w:rFonts w:ascii="Simplified Arabic" w:hAnsi="Simplified Arabic" w:cs="Simplified Arabic"/>
          <w:color w:val="000000" w:themeColor="text1"/>
          <w:sz w:val="28"/>
          <w:szCs w:val="28"/>
        </w:rPr>
        <w:t xml:space="preserve"> Ronaghi, Hosseini </w:t>
      </w:r>
      <w:proofErr w:type="spellStart"/>
      <w:r w:rsidRPr="001F14A2">
        <w:rPr>
          <w:rFonts w:ascii="Simplified Arabic" w:hAnsi="Simplified Arabic" w:cs="Simplified Arabic"/>
          <w:color w:val="000000" w:themeColor="text1"/>
          <w:sz w:val="28"/>
          <w:szCs w:val="28"/>
        </w:rPr>
        <w:t>Semnani</w:t>
      </w:r>
      <w:proofErr w:type="spellEnd"/>
      <w:r w:rsidRPr="001F14A2">
        <w:rPr>
          <w:rFonts w:ascii="Simplified Arabic" w:hAnsi="Simplified Arabic" w:cs="Simplified Arabic"/>
          <w:color w:val="000000" w:themeColor="text1"/>
          <w:sz w:val="28"/>
          <w:szCs w:val="28"/>
        </w:rPr>
        <w:t xml:space="preserve"> &amp; Saffari (2024) </w:t>
      </w:r>
      <w:r w:rsidRPr="001F14A2">
        <w:rPr>
          <w:rFonts w:ascii="Simplified Arabic" w:hAnsi="Simplified Arabic" w:cs="Simplified Arabic"/>
          <w:color w:val="000000" w:themeColor="text1"/>
          <w:sz w:val="28"/>
          <w:szCs w:val="28"/>
          <w:rtl/>
        </w:rPr>
        <w:t xml:space="preserve">في التأكيد على أن التخطيط الاستراتيجي للقوى العاملة يمثل ركيزة أساسية لاستدامة القطاعات الخدمية ذات الطابع الموسمي. ومن حيث المنهج، تتوافق الدراسة الحالية مع دراسة </w:t>
      </w:r>
      <w:proofErr w:type="spellStart"/>
      <w:r w:rsidRPr="001F14A2">
        <w:rPr>
          <w:rFonts w:ascii="Simplified Arabic" w:hAnsi="Simplified Arabic" w:cs="Simplified Arabic"/>
          <w:color w:val="000000" w:themeColor="text1"/>
          <w:sz w:val="28"/>
          <w:szCs w:val="28"/>
        </w:rPr>
        <w:t>Rozmys</w:t>
      </w:r>
      <w:r w:rsidRPr="001F14A2">
        <w:rPr>
          <w:rFonts w:ascii="Cambria" w:hAnsi="Cambria" w:cs="Cambria"/>
          <w:color w:val="000000" w:themeColor="text1"/>
          <w:sz w:val="28"/>
          <w:szCs w:val="28"/>
        </w:rPr>
        <w:t>ł</w:t>
      </w:r>
      <w:r w:rsidRPr="001F14A2">
        <w:rPr>
          <w:rFonts w:ascii="Simplified Arabic" w:hAnsi="Simplified Arabic" w:cs="Simplified Arabic"/>
          <w:color w:val="000000" w:themeColor="text1"/>
          <w:sz w:val="28"/>
          <w:szCs w:val="28"/>
        </w:rPr>
        <w:t>owicz</w:t>
      </w:r>
      <w:proofErr w:type="spellEnd"/>
      <w:r w:rsidRPr="001F14A2">
        <w:rPr>
          <w:rFonts w:ascii="Simplified Arabic" w:hAnsi="Simplified Arabic" w:cs="Simplified Arabic"/>
          <w:color w:val="000000" w:themeColor="text1"/>
          <w:sz w:val="28"/>
          <w:szCs w:val="28"/>
        </w:rPr>
        <w:t xml:space="preserve"> &amp; Gruszka (2022) </w:t>
      </w:r>
      <w:r w:rsidRPr="001F14A2">
        <w:rPr>
          <w:rFonts w:ascii="Simplified Arabic" w:hAnsi="Simplified Arabic" w:cs="Simplified Arabic"/>
          <w:color w:val="000000" w:themeColor="text1"/>
          <w:sz w:val="28"/>
          <w:szCs w:val="28"/>
          <w:rtl/>
        </w:rPr>
        <w:t>ودراسة</w:t>
      </w:r>
      <w:r w:rsidRPr="001F14A2">
        <w:rPr>
          <w:rFonts w:ascii="Simplified Arabic" w:hAnsi="Simplified Arabic" w:cs="Simplified Arabic"/>
          <w:color w:val="000000" w:themeColor="text1"/>
          <w:sz w:val="28"/>
          <w:szCs w:val="28"/>
        </w:rPr>
        <w:t xml:space="preserve"> Ferrante et al. (2023) </w:t>
      </w:r>
      <w:r w:rsidRPr="001F14A2">
        <w:rPr>
          <w:rFonts w:ascii="Simplified Arabic" w:hAnsi="Simplified Arabic" w:cs="Simplified Arabic"/>
          <w:color w:val="000000" w:themeColor="text1"/>
          <w:sz w:val="28"/>
          <w:szCs w:val="28"/>
          <w:rtl/>
        </w:rPr>
        <w:t xml:space="preserve">في اعتماد المنهج الوصفي التحليلي القائم على الاستبانة أداةً رئيسيةً لجمع البيانات الأولية من العاملين في القطاع الخدمي الموسمي، فضلاً عن استخدام الأساليب الإحصائية الاستدلالية لاختبار الفروض. كذلك تتفق مع دراسة سقاط </w:t>
      </w:r>
      <w:r w:rsidRPr="001F14A2">
        <w:rPr>
          <w:rFonts w:ascii="Simplified Arabic" w:hAnsi="Simplified Arabic" w:cs="Simplified Arabic"/>
          <w:color w:val="000000" w:themeColor="text1"/>
          <w:sz w:val="28"/>
          <w:szCs w:val="28"/>
        </w:rPr>
        <w:t xml:space="preserve">(2025) </w:t>
      </w:r>
      <w:r w:rsidRPr="001F14A2">
        <w:rPr>
          <w:rFonts w:ascii="Simplified Arabic" w:hAnsi="Simplified Arabic" w:cs="Simplified Arabic"/>
          <w:color w:val="000000" w:themeColor="text1"/>
          <w:sz w:val="28"/>
          <w:szCs w:val="28"/>
          <w:rtl/>
        </w:rPr>
        <w:t>ودراسة العصيمي والعتيبي (2025) في أن بيئة التطبيق ترتبط بمنظومة الحج والعمرة في المملكة العربية السعودية، وفي تبنّي التوجه الوصفي التحليلي لدراسة الظواهر الإدارية والتنظيمية داخل هذه المنظومة، وفي التركيز على تحسين جودة الخدمات المقدمة لضيوف الرحمن بوصفه هدفاً محورياً</w:t>
      </w:r>
      <w:r w:rsidRPr="001F14A2">
        <w:rPr>
          <w:rFonts w:ascii="Simplified Arabic" w:hAnsi="Simplified Arabic" w:cs="Simplified Arabic"/>
          <w:color w:val="000000" w:themeColor="text1"/>
          <w:sz w:val="28"/>
          <w:szCs w:val="28"/>
        </w:rPr>
        <w:t>.</w:t>
      </w:r>
    </w:p>
    <w:p w14:paraId="08654619" w14:textId="77777777" w:rsidR="00791DB7" w:rsidRPr="001F14A2" w:rsidRDefault="00791DB7" w:rsidP="001F14A2">
      <w:pPr>
        <w:pStyle w:val="a8"/>
        <w:bidi/>
        <w:spacing w:line="276" w:lineRule="auto"/>
        <w:ind w:firstLine="424"/>
        <w:jc w:val="both"/>
        <w:rPr>
          <w:rFonts w:ascii="Simplified Arabic" w:hAnsi="Simplified Arabic" w:cs="Simplified Arabic"/>
          <w:color w:val="000000" w:themeColor="text1"/>
          <w:sz w:val="28"/>
          <w:szCs w:val="28"/>
        </w:rPr>
      </w:pPr>
      <w:r w:rsidRPr="001F14A2">
        <w:rPr>
          <w:rFonts w:ascii="Simplified Arabic" w:hAnsi="Simplified Arabic" w:cs="Simplified Arabic"/>
          <w:color w:val="000000" w:themeColor="text1"/>
          <w:sz w:val="28"/>
          <w:szCs w:val="28"/>
          <w:rtl/>
        </w:rPr>
        <w:t>على الرغم من نقاط التلاقي المذكورة، تتميز الدراسة الحالية عن الدراسات السابقة في عدة جوانب جوهرية. فمن حيث الهدف، لم تتناول أيٌّ من الدراسات السابقة العلاقة المباشرة بين تخطيط القوى العاملة بأبعاده الأربعة مجتمعةً — التنبؤ بالاحتياجات، والاستقطاب والتوظيف، والتدريب وتنمية المهارات، وتقييم الأداء — وجودة الخدمات في سياق الحج والعمرة تحديداً؛ إذ ركّزت دراسة</w:t>
      </w:r>
      <w:r w:rsidRPr="001F14A2">
        <w:rPr>
          <w:rFonts w:ascii="Simplified Arabic" w:hAnsi="Simplified Arabic" w:cs="Simplified Arabic"/>
          <w:color w:val="000000" w:themeColor="text1"/>
          <w:sz w:val="28"/>
          <w:szCs w:val="28"/>
        </w:rPr>
        <w:t xml:space="preserve"> Jaillet et al. (2022) </w:t>
      </w:r>
      <w:r w:rsidRPr="001F14A2">
        <w:rPr>
          <w:rFonts w:ascii="Simplified Arabic" w:hAnsi="Simplified Arabic" w:cs="Simplified Arabic"/>
          <w:color w:val="000000" w:themeColor="text1"/>
          <w:sz w:val="28"/>
          <w:szCs w:val="28"/>
          <w:rtl/>
        </w:rPr>
        <w:t>على نمذجة رياضية للتخطيط في الخدمة المدنية بسنغافورة، واقتصرت دراسة</w:t>
      </w:r>
      <w:r w:rsidRPr="001F14A2">
        <w:rPr>
          <w:rFonts w:ascii="Simplified Arabic" w:hAnsi="Simplified Arabic" w:cs="Simplified Arabic"/>
          <w:color w:val="000000" w:themeColor="text1"/>
          <w:sz w:val="28"/>
          <w:szCs w:val="28"/>
        </w:rPr>
        <w:t xml:space="preserve"> Ronaghi et al. (2024) </w:t>
      </w:r>
      <w:r w:rsidRPr="001F14A2">
        <w:rPr>
          <w:rFonts w:ascii="Simplified Arabic" w:hAnsi="Simplified Arabic" w:cs="Simplified Arabic"/>
          <w:color w:val="000000" w:themeColor="text1"/>
          <w:sz w:val="28"/>
          <w:szCs w:val="28"/>
          <w:rtl/>
        </w:rPr>
        <w:t>على مراجعة أدبية عامة للسياحة الرياضية دون جمع بيانات ميدانية. ومن حيث المنهج، اعتمدت دراسة</w:t>
      </w:r>
      <w:r w:rsidRPr="001F14A2">
        <w:rPr>
          <w:rFonts w:ascii="Simplified Arabic" w:hAnsi="Simplified Arabic" w:cs="Simplified Arabic"/>
          <w:color w:val="000000" w:themeColor="text1"/>
          <w:sz w:val="28"/>
          <w:szCs w:val="28"/>
        </w:rPr>
        <w:t xml:space="preserve"> </w:t>
      </w:r>
      <w:proofErr w:type="spellStart"/>
      <w:r w:rsidRPr="001F14A2">
        <w:rPr>
          <w:rFonts w:ascii="Simplified Arabic" w:hAnsi="Simplified Arabic" w:cs="Simplified Arabic"/>
          <w:color w:val="000000" w:themeColor="text1"/>
          <w:sz w:val="28"/>
          <w:szCs w:val="28"/>
        </w:rPr>
        <w:t>Shambour</w:t>
      </w:r>
      <w:proofErr w:type="spellEnd"/>
      <w:r w:rsidRPr="001F14A2">
        <w:rPr>
          <w:rFonts w:ascii="Simplified Arabic" w:hAnsi="Simplified Arabic" w:cs="Simplified Arabic"/>
          <w:color w:val="000000" w:themeColor="text1"/>
          <w:sz w:val="28"/>
          <w:szCs w:val="28"/>
        </w:rPr>
        <w:t xml:space="preserve"> et al. (2023) </w:t>
      </w:r>
      <w:r w:rsidRPr="001F14A2">
        <w:rPr>
          <w:rFonts w:ascii="Simplified Arabic" w:hAnsi="Simplified Arabic" w:cs="Simplified Arabic"/>
          <w:color w:val="000000" w:themeColor="text1"/>
          <w:sz w:val="28"/>
          <w:szCs w:val="28"/>
          <w:rtl/>
        </w:rPr>
        <w:t xml:space="preserve">ودراسة </w:t>
      </w:r>
      <w:proofErr w:type="spellStart"/>
      <w:r w:rsidRPr="001F14A2">
        <w:rPr>
          <w:rFonts w:ascii="Simplified Arabic" w:hAnsi="Simplified Arabic" w:cs="Simplified Arabic"/>
          <w:color w:val="000000" w:themeColor="text1"/>
          <w:sz w:val="28"/>
          <w:szCs w:val="28"/>
        </w:rPr>
        <w:t>Alasmari</w:t>
      </w:r>
      <w:proofErr w:type="spellEnd"/>
      <w:r w:rsidRPr="001F14A2">
        <w:rPr>
          <w:rFonts w:ascii="Simplified Arabic" w:hAnsi="Simplified Arabic" w:cs="Simplified Arabic"/>
          <w:color w:val="000000" w:themeColor="text1"/>
          <w:sz w:val="28"/>
          <w:szCs w:val="28"/>
        </w:rPr>
        <w:t xml:space="preserve">, Farooqi &amp; Alotaibi (2024) </w:t>
      </w:r>
      <w:r w:rsidRPr="001F14A2">
        <w:rPr>
          <w:rFonts w:ascii="Simplified Arabic" w:hAnsi="Simplified Arabic" w:cs="Simplified Arabic"/>
          <w:color w:val="000000" w:themeColor="text1"/>
          <w:sz w:val="28"/>
          <w:szCs w:val="28"/>
          <w:rtl/>
        </w:rPr>
        <w:t xml:space="preserve">على تحليل المشاعر </w:t>
      </w:r>
      <w:r w:rsidRPr="001F14A2">
        <w:rPr>
          <w:rFonts w:ascii="Simplified Arabic" w:hAnsi="Simplified Arabic" w:cs="Simplified Arabic"/>
          <w:color w:val="000000" w:themeColor="text1"/>
          <w:sz w:val="28"/>
          <w:szCs w:val="28"/>
          <w:rtl/>
        </w:rPr>
        <w:lastRenderedPageBreak/>
        <w:t>بتقنيات التعلم العميق لبيانات إلكترونية ضخمة، في حين استخدمت دراسة</w:t>
      </w:r>
      <w:r w:rsidRPr="001F14A2">
        <w:rPr>
          <w:rFonts w:ascii="Simplified Arabic" w:hAnsi="Simplified Arabic" w:cs="Simplified Arabic"/>
          <w:color w:val="000000" w:themeColor="text1"/>
          <w:sz w:val="28"/>
          <w:szCs w:val="28"/>
        </w:rPr>
        <w:t xml:space="preserve"> </w:t>
      </w:r>
      <w:proofErr w:type="spellStart"/>
      <w:r w:rsidRPr="001F14A2">
        <w:rPr>
          <w:rFonts w:ascii="Simplified Arabic" w:hAnsi="Simplified Arabic" w:cs="Simplified Arabic"/>
          <w:color w:val="000000" w:themeColor="text1"/>
          <w:sz w:val="28"/>
          <w:szCs w:val="28"/>
        </w:rPr>
        <w:t>Owaidah</w:t>
      </w:r>
      <w:proofErr w:type="spellEnd"/>
      <w:r w:rsidRPr="001F14A2">
        <w:rPr>
          <w:rFonts w:ascii="Simplified Arabic" w:hAnsi="Simplified Arabic" w:cs="Simplified Arabic"/>
          <w:color w:val="000000" w:themeColor="text1"/>
          <w:sz w:val="28"/>
          <w:szCs w:val="28"/>
        </w:rPr>
        <w:t xml:space="preserve"> et al. (2023) </w:t>
      </w:r>
      <w:r w:rsidRPr="001F14A2">
        <w:rPr>
          <w:rFonts w:ascii="Simplified Arabic" w:hAnsi="Simplified Arabic" w:cs="Simplified Arabic"/>
          <w:color w:val="000000" w:themeColor="text1"/>
          <w:sz w:val="28"/>
          <w:szCs w:val="28"/>
          <w:rtl/>
        </w:rPr>
        <w:t>محاكاة الأحداث المنفصلة لنمذجة النقل، وهي مناهج تختلف جذرياً عن المنهج الوصفي التحليلي المبني على الاستبانة الذي تتبناه الدراسة الحالية</w:t>
      </w:r>
      <w:r w:rsidRPr="001F14A2">
        <w:rPr>
          <w:rFonts w:ascii="Simplified Arabic" w:hAnsi="Simplified Arabic" w:cs="Simplified Arabic"/>
          <w:color w:val="000000" w:themeColor="text1"/>
          <w:sz w:val="28"/>
          <w:szCs w:val="28"/>
        </w:rPr>
        <w:t xml:space="preserve">. </w:t>
      </w:r>
      <w:r w:rsidRPr="001F14A2">
        <w:rPr>
          <w:rFonts w:ascii="Simplified Arabic" w:hAnsi="Simplified Arabic" w:cs="Simplified Arabic"/>
          <w:color w:val="000000" w:themeColor="text1"/>
          <w:sz w:val="28"/>
          <w:szCs w:val="28"/>
          <w:rtl/>
        </w:rPr>
        <w:t>أما من حيث بيئة التطبيق، فإن دراسة</w:t>
      </w:r>
      <w:r w:rsidRPr="001F14A2">
        <w:rPr>
          <w:rFonts w:ascii="Simplified Arabic" w:hAnsi="Simplified Arabic" w:cs="Simplified Arabic"/>
          <w:color w:val="000000" w:themeColor="text1"/>
          <w:sz w:val="28"/>
          <w:szCs w:val="28"/>
        </w:rPr>
        <w:t xml:space="preserve"> </w:t>
      </w:r>
      <w:proofErr w:type="spellStart"/>
      <w:r w:rsidRPr="001F14A2">
        <w:rPr>
          <w:rFonts w:ascii="Simplified Arabic" w:hAnsi="Simplified Arabic" w:cs="Simplified Arabic"/>
          <w:color w:val="000000" w:themeColor="text1"/>
          <w:sz w:val="28"/>
          <w:szCs w:val="28"/>
        </w:rPr>
        <w:t>Rozmys</w:t>
      </w:r>
      <w:r w:rsidRPr="001F14A2">
        <w:rPr>
          <w:rFonts w:ascii="Cambria" w:hAnsi="Cambria" w:cs="Cambria"/>
          <w:color w:val="000000" w:themeColor="text1"/>
          <w:sz w:val="28"/>
          <w:szCs w:val="28"/>
        </w:rPr>
        <w:t>ł</w:t>
      </w:r>
      <w:r w:rsidRPr="001F14A2">
        <w:rPr>
          <w:rFonts w:ascii="Simplified Arabic" w:hAnsi="Simplified Arabic" w:cs="Simplified Arabic"/>
          <w:color w:val="000000" w:themeColor="text1"/>
          <w:sz w:val="28"/>
          <w:szCs w:val="28"/>
        </w:rPr>
        <w:t>owicz</w:t>
      </w:r>
      <w:proofErr w:type="spellEnd"/>
      <w:r w:rsidRPr="001F14A2">
        <w:rPr>
          <w:rFonts w:ascii="Simplified Arabic" w:hAnsi="Simplified Arabic" w:cs="Simplified Arabic"/>
          <w:color w:val="000000" w:themeColor="text1"/>
          <w:sz w:val="28"/>
          <w:szCs w:val="28"/>
        </w:rPr>
        <w:t xml:space="preserve"> &amp; Gruszka (2022) </w:t>
      </w:r>
      <w:r w:rsidRPr="001F14A2">
        <w:rPr>
          <w:rFonts w:ascii="Simplified Arabic" w:hAnsi="Simplified Arabic" w:cs="Simplified Arabic"/>
          <w:color w:val="000000" w:themeColor="text1"/>
          <w:sz w:val="28"/>
          <w:szCs w:val="28"/>
          <w:rtl/>
        </w:rPr>
        <w:t>أُجريت على مؤسسات سياحية في ساحل البلطيق البولندي، ودراسة</w:t>
      </w:r>
      <w:r w:rsidRPr="001F14A2">
        <w:rPr>
          <w:rFonts w:ascii="Simplified Arabic" w:hAnsi="Simplified Arabic" w:cs="Simplified Arabic"/>
          <w:color w:val="000000" w:themeColor="text1"/>
          <w:sz w:val="28"/>
          <w:szCs w:val="28"/>
        </w:rPr>
        <w:t xml:space="preserve"> Ferrante et al. (2023) </w:t>
      </w:r>
      <w:r w:rsidRPr="001F14A2">
        <w:rPr>
          <w:rFonts w:ascii="Simplified Arabic" w:hAnsi="Simplified Arabic" w:cs="Simplified Arabic"/>
          <w:color w:val="000000" w:themeColor="text1"/>
          <w:sz w:val="28"/>
          <w:szCs w:val="28"/>
          <w:rtl/>
        </w:rPr>
        <w:t>على عمال موسميين في ريميني بإيطاليا، وكلتاهما في سياق سياحي غربي يختلف اختلافاً بيّناً عن البيئة الدينية والثقافية الفريدة لمنظومة الحج والعمرة التي تخدم ملايين الحجاج والمعتمرين من أكثر من مئة وثمانين دولة. وبذلك تسدّ الدراسة الحالية فجوة بحثية واضحة من خلال دمج أبعاد تخطيط القوى العاملة في نموذج واحد وتطبيقه ميدانياً على العاملين في خدمة ضيوف الرحمن بمكة المكرمة والمشاعر المقدسة</w:t>
      </w:r>
      <w:r w:rsidRPr="001F14A2">
        <w:rPr>
          <w:rFonts w:ascii="Simplified Arabic" w:hAnsi="Simplified Arabic" w:cs="Simplified Arabic"/>
          <w:color w:val="000000" w:themeColor="text1"/>
          <w:sz w:val="28"/>
          <w:szCs w:val="28"/>
        </w:rPr>
        <w:t>.</w:t>
      </w:r>
    </w:p>
    <w:p w14:paraId="08411251" w14:textId="77777777" w:rsidR="001F14A2" w:rsidRPr="001F14A2" w:rsidRDefault="001F14A2" w:rsidP="001F14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5" w:name="_Toc233905858"/>
      <w:bookmarkStart w:id="26" w:name="_Toc169790502"/>
      <w:bookmarkStart w:id="27" w:name="_Toc222622903"/>
      <w:bookmarkEnd w:id="14"/>
      <w:r w:rsidRPr="001F14A2">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5"/>
    </w:p>
    <w:p w14:paraId="54FD98AC" w14:textId="43686F70" w:rsidR="001F14A2" w:rsidRPr="001F14A2" w:rsidRDefault="001F14A2"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F14A2">
        <w:rPr>
          <w:rFonts w:ascii="Simplified Arabic" w:eastAsia="Times New Roman" w:hAnsi="Simplified Arabic" w:cs="Simplified Arabic"/>
          <w:b/>
          <w:bCs/>
          <w:color w:val="000000" w:themeColor="text1"/>
          <w:kern w:val="0"/>
          <w:sz w:val="32"/>
          <w:szCs w:val="32"/>
          <w:rtl/>
          <w14:ligatures w14:val="none"/>
        </w:rPr>
        <w:t>مفهوم تخطيط القوى العاملة</w:t>
      </w:r>
    </w:p>
    <w:p w14:paraId="74E621BE"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يُعدّ تخطيط القوى العاملة من أهم الوظائف الاستراتيجية لإدارة الموارد البشرية، إذ يُمثّل العملية المنهجية التي تسعى من خلالها المنظمات إلى تحديد احتياجاتها الحالية والمستقبلية من الموارد البشرية من حيث العدد والنوع والتخصص والتوقيت، بما يضمن تحقيق أهدافها الاستراتيجية في ظل بيئة تتسم بالتغيّر والتعقيد وعدم اليقين</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ويتجاوز هذا المفهوم الإطار التقليدي المحدود بتقدير الأعداد المطلوبة من العاملين ليشمل منظومة متكاملة من العمليات المترابطة التي تبدأ بتحليل الوضع الراهن للقوى العاملة وتنتهي بضمان التوافق المستمر بين العرض والطلب على الموارد البشرية. وقد عرّفه</w:t>
      </w:r>
      <w:r w:rsidRPr="001F14A2">
        <w:rPr>
          <w:rFonts w:ascii="Simplified Arabic" w:eastAsia="Times New Roman" w:hAnsi="Simplified Arabic" w:cs="Simplified Arabic"/>
          <w:color w:val="000000" w:themeColor="text1"/>
          <w:kern w:val="0"/>
          <w:sz w:val="28"/>
          <w:szCs w:val="28"/>
          <w14:ligatures w14:val="none"/>
        </w:rPr>
        <w:t xml:space="preserve"> (Jaillet, Loke &amp; Sim, 2022) </w:t>
      </w:r>
      <w:r w:rsidRPr="001F14A2">
        <w:rPr>
          <w:rFonts w:ascii="Simplified Arabic" w:eastAsia="Times New Roman" w:hAnsi="Simplified Arabic" w:cs="Simplified Arabic"/>
          <w:color w:val="000000" w:themeColor="text1"/>
          <w:kern w:val="0"/>
          <w:sz w:val="28"/>
          <w:szCs w:val="28"/>
          <w:rtl/>
          <w14:ligatures w14:val="none"/>
        </w:rPr>
        <w:t>بأنه عملية تحسين قائمة على البيانات تهدف إلى تحديد القرارات المثلى المتعلقة بالتعيين والترقية وإنهاء الخدمة في ظل حالة عدم اليقين المرتبطة بالتسرب الوظيفي والإنتاجية والقيود التنظيمية المتعددة كالميزانية وعدد الموظفين ونطاق الإشراف الإداري. بينما عرّفه</w:t>
      </w:r>
      <w:r w:rsidRPr="001F14A2">
        <w:rPr>
          <w:rFonts w:ascii="Simplified Arabic" w:eastAsia="Times New Roman" w:hAnsi="Simplified Arabic" w:cs="Simplified Arabic"/>
          <w:color w:val="000000" w:themeColor="text1"/>
          <w:kern w:val="0"/>
          <w:sz w:val="28"/>
          <w:szCs w:val="28"/>
          <w14:ligatures w14:val="none"/>
        </w:rPr>
        <w:t xml:space="preserve"> (Ronaghi, Hosseini </w:t>
      </w:r>
      <w:proofErr w:type="spellStart"/>
      <w:r w:rsidRPr="001F14A2">
        <w:rPr>
          <w:rFonts w:ascii="Simplified Arabic" w:eastAsia="Times New Roman" w:hAnsi="Simplified Arabic" w:cs="Simplified Arabic"/>
          <w:color w:val="000000" w:themeColor="text1"/>
          <w:kern w:val="0"/>
          <w:sz w:val="28"/>
          <w:szCs w:val="28"/>
          <w14:ligatures w14:val="none"/>
        </w:rPr>
        <w:t>Semnani</w:t>
      </w:r>
      <w:proofErr w:type="spellEnd"/>
      <w:r w:rsidRPr="001F14A2">
        <w:rPr>
          <w:rFonts w:ascii="Simplified Arabic" w:eastAsia="Times New Roman" w:hAnsi="Simplified Arabic" w:cs="Simplified Arabic"/>
          <w:color w:val="000000" w:themeColor="text1"/>
          <w:kern w:val="0"/>
          <w:sz w:val="28"/>
          <w:szCs w:val="28"/>
          <w14:ligatures w14:val="none"/>
        </w:rPr>
        <w:t xml:space="preserve"> &amp; Saffari, 2024) </w:t>
      </w:r>
      <w:r w:rsidRPr="001F14A2">
        <w:rPr>
          <w:rFonts w:ascii="Simplified Arabic" w:eastAsia="Times New Roman" w:hAnsi="Simplified Arabic" w:cs="Simplified Arabic"/>
          <w:color w:val="000000" w:themeColor="text1"/>
          <w:kern w:val="0"/>
          <w:sz w:val="28"/>
          <w:szCs w:val="28"/>
          <w:rtl/>
          <w14:ligatures w14:val="none"/>
        </w:rPr>
        <w:t>في سياق قطاع السياحة بأنه العملية الاستراتيجية الشاملة التي تتضمن التنبؤ بالاحتياجات المستقبلية من القوى العاملة وتحديد المهارات والكفاءات المطلوبة وتصميم نماذج التخطيط القائمة على السيناريوهات وإدارة المواهب لمواجهة تحديات الموسمية ونقص المهارات ومحدودية التمويل</w:t>
      </w:r>
      <w:r w:rsidRPr="001F14A2">
        <w:rPr>
          <w:rFonts w:ascii="Simplified Arabic" w:eastAsia="Times New Roman" w:hAnsi="Simplified Arabic" w:cs="Simplified Arabic"/>
          <w:color w:val="000000" w:themeColor="text1"/>
          <w:kern w:val="0"/>
          <w:sz w:val="28"/>
          <w:szCs w:val="28"/>
          <w14:ligatures w14:val="none"/>
        </w:rPr>
        <w:t>.</w:t>
      </w:r>
    </w:p>
    <w:p w14:paraId="3BA95D33"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lastRenderedPageBreak/>
        <w:t>وتتعاظم أهمية تخطيط القوى العاملة في القطاعات ذات الطابع الموسمي، حيث تواجه المنظمات العاملة في هذه القطاعات معضلة جوهرية تتمثل في الاختيار بين الاحتفاظ بالعمالة على مدار العام رغم التكاليف المترتبة على ذلك وبين الاعتماد على العمالة الموسمية المؤقتة مع ما يصاحبها من مخاطر تتعلق بجودة الأداء وفقدان الخبرات المتراكمة. وقد أثبتت دراسة</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Rozmys</w:t>
      </w:r>
      <w:r w:rsidRPr="001F14A2">
        <w:rPr>
          <w:rFonts w:ascii="Cambria" w:eastAsia="Times New Roman" w:hAnsi="Cambria" w:cs="Cambria"/>
          <w:color w:val="000000" w:themeColor="text1"/>
          <w:kern w:val="0"/>
          <w:sz w:val="28"/>
          <w:szCs w:val="28"/>
          <w14:ligatures w14:val="none"/>
        </w:rPr>
        <w:t>ł</w:t>
      </w:r>
      <w:r w:rsidRPr="001F14A2">
        <w:rPr>
          <w:rFonts w:ascii="Simplified Arabic" w:eastAsia="Times New Roman" w:hAnsi="Simplified Arabic" w:cs="Simplified Arabic"/>
          <w:color w:val="000000" w:themeColor="text1"/>
          <w:kern w:val="0"/>
          <w:sz w:val="28"/>
          <w:szCs w:val="28"/>
          <w14:ligatures w14:val="none"/>
        </w:rPr>
        <w:t>owicz</w:t>
      </w:r>
      <w:proofErr w:type="spellEnd"/>
      <w:r w:rsidRPr="001F14A2">
        <w:rPr>
          <w:rFonts w:ascii="Simplified Arabic" w:eastAsia="Times New Roman" w:hAnsi="Simplified Arabic" w:cs="Simplified Arabic"/>
          <w:color w:val="000000" w:themeColor="text1"/>
          <w:kern w:val="0"/>
          <w:sz w:val="28"/>
          <w:szCs w:val="28"/>
          <w14:ligatures w14:val="none"/>
        </w:rPr>
        <w:t xml:space="preserve"> &amp; Gruszka, 2022) </w:t>
      </w:r>
      <w:r w:rsidRPr="001F14A2">
        <w:rPr>
          <w:rFonts w:ascii="Simplified Arabic" w:eastAsia="Times New Roman" w:hAnsi="Simplified Arabic" w:cs="Simplified Arabic"/>
          <w:color w:val="000000" w:themeColor="text1"/>
          <w:kern w:val="0"/>
          <w:sz w:val="28"/>
          <w:szCs w:val="28"/>
          <w:rtl/>
          <w14:ligatures w14:val="none"/>
        </w:rPr>
        <w:t xml:space="preserve">التي أُجريت على 360 مؤسسة سياحية في منطقة بحر البلطيق ببولندا أن 75.6% من المؤسسات السياحية تلجأ إلى تخزين العمالة كلياً أو انتقائياً، مما يُشير إلى أن قرارات تخطيط القوى العاملة في البيئات الموسمية تتشكّل بفعل تفاعل معقد بين عوامل اقتصادية وتنظيمية ومرتبطة بظروف سوق العمل المحلي. كما أكّدت دراسة </w:t>
      </w:r>
      <w:r w:rsidRPr="001F14A2">
        <w:rPr>
          <w:rFonts w:ascii="Simplified Arabic" w:eastAsia="Times New Roman" w:hAnsi="Simplified Arabic" w:cs="Simplified Arabic"/>
          <w:color w:val="000000" w:themeColor="text1"/>
          <w:kern w:val="0"/>
          <w:sz w:val="28"/>
          <w:szCs w:val="28"/>
          <w14:ligatures w14:val="none"/>
        </w:rPr>
        <w:t xml:space="preserve">(Ferrante et al., 2023) </w:t>
      </w:r>
      <w:r w:rsidRPr="001F14A2">
        <w:rPr>
          <w:rFonts w:ascii="Simplified Arabic" w:eastAsia="Times New Roman" w:hAnsi="Simplified Arabic" w:cs="Simplified Arabic"/>
          <w:color w:val="000000" w:themeColor="text1"/>
          <w:kern w:val="0"/>
          <w:sz w:val="28"/>
          <w:szCs w:val="28"/>
          <w:rtl/>
          <w14:ligatures w14:val="none"/>
        </w:rPr>
        <w:t>التي شملت 537 عاملاً موسمياً في إقليم ريميني بإيطاليا أن تطوير مهارات العاملين الموسميين يتأثر بعوامل متعددة تشمل المستوى التعليمي والنوع الاجتماعي وطبيعة المهنة، مما يستدعي تخطيطاً تدريبياً يراعي هذه الفوارق لضمان تحسين جودة الخدمات</w:t>
      </w:r>
      <w:r w:rsidRPr="001F14A2">
        <w:rPr>
          <w:rFonts w:ascii="Simplified Arabic" w:eastAsia="Times New Roman" w:hAnsi="Simplified Arabic" w:cs="Simplified Arabic"/>
          <w:color w:val="000000" w:themeColor="text1"/>
          <w:kern w:val="0"/>
          <w:sz w:val="28"/>
          <w:szCs w:val="28"/>
          <w14:ligatures w14:val="none"/>
        </w:rPr>
        <w:t>.</w:t>
      </w:r>
    </w:p>
    <w:p w14:paraId="6B694C02" w14:textId="77777777" w:rsidR="00791DB7" w:rsidRPr="001F14A2" w:rsidRDefault="00791DB7"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8" w:name="_Toc223917359"/>
      <w:r w:rsidRPr="001F14A2">
        <w:rPr>
          <w:rFonts w:ascii="Simplified Arabic" w:eastAsia="Times New Roman" w:hAnsi="Simplified Arabic" w:cs="Simplified Arabic"/>
          <w:b/>
          <w:bCs/>
          <w:color w:val="000000" w:themeColor="text1"/>
          <w:kern w:val="0"/>
          <w:sz w:val="32"/>
          <w:szCs w:val="32"/>
          <w:rtl/>
          <w14:ligatures w14:val="none"/>
        </w:rPr>
        <w:t>أبعاد تخطيط القوى العاملة في الدراسة الحالية</w:t>
      </w:r>
      <w:bookmarkEnd w:id="28"/>
    </w:p>
    <w:p w14:paraId="4195EACD"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1F14A2">
        <w:rPr>
          <w:rFonts w:ascii="Simplified Arabic" w:eastAsia="Times New Roman" w:hAnsi="Simplified Arabic" w:cs="Simplified Arabic"/>
          <w:b/>
          <w:bCs/>
          <w:color w:val="000000" w:themeColor="text1"/>
          <w:kern w:val="0"/>
          <w:sz w:val="28"/>
          <w:szCs w:val="28"/>
          <w:rtl/>
          <w14:ligatures w14:val="none"/>
        </w:rPr>
        <w:t>تتبنّى الدراسة الحالية أربعة أبعاد رئيسية لتخطيط القوى العاملة تتكامل فيما بينها لتُشكّل منظومة متسلسلة ومترابطة</w:t>
      </w:r>
      <w:r w:rsidRPr="001F14A2">
        <w:rPr>
          <w:rFonts w:ascii="Simplified Arabic" w:eastAsia="Times New Roman" w:hAnsi="Simplified Arabic" w:cs="Simplified Arabic"/>
          <w:b/>
          <w:bCs/>
          <w:color w:val="000000" w:themeColor="text1"/>
          <w:kern w:val="0"/>
          <w:sz w:val="28"/>
          <w:szCs w:val="28"/>
          <w14:ligatures w14:val="none"/>
        </w:rPr>
        <w:t>:</w:t>
      </w:r>
    </w:p>
    <w:p w14:paraId="2F5DA0E7"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الأول — التنبؤ بالاحتياجات الوظيفية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ويُقصد به إجرائياً في هذه الدراسة: العملية المنهجية التي تقوم من خلالها الجهات المعنية بمنظومة الحج والعمرة بتقدير الأعداد والتخصصات والمستويات الوظيفية المطلوبة من القوى العاملة قبل مواسم الحج والعمرة، استناداً إلى تحليل البيانات التاريخية والأعداد المتوقعة للحجاج والمعتمرين والمتغيرات الموسمية والتشغيلية، بهدف ضمان التوازن بين العرض والطلب على الموارد البشرية وتجنّب الفائض أو العجز في القوى العاملة</w:t>
      </w:r>
      <w:r w:rsidRPr="001F14A2">
        <w:rPr>
          <w:rFonts w:ascii="Simplified Arabic" w:eastAsia="Times New Roman" w:hAnsi="Simplified Arabic" w:cs="Simplified Arabic"/>
          <w:color w:val="000000" w:themeColor="text1"/>
          <w:kern w:val="0"/>
          <w:sz w:val="28"/>
          <w:szCs w:val="28"/>
          <w14:ligatures w14:val="none"/>
        </w:rPr>
        <w:t>.</w:t>
      </w:r>
    </w:p>
    <w:p w14:paraId="35F27D02"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الثاني — الاستقطاب والتوظيف</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ويُقصد به إجرائياً: مجموعة السياسات والإجراءات والمعايير التي تتبعها الجهات العاملة في منظومة الحج والعمرة لاستقطاب واختيار وتعيين الكوادر البشرية المؤهلة من خلال قنوات توظيف فعّالة، وفق معايير موضوعية تُراعي طبيعة العمل الموسمي وخصوصيته من حيث الكفاءة المهنية والحساسية الثقافية واللغوية والقدرة على العمل تحت ضغوط المواسم</w:t>
      </w:r>
      <w:r w:rsidRPr="001F14A2">
        <w:rPr>
          <w:rFonts w:ascii="Simplified Arabic" w:eastAsia="Times New Roman" w:hAnsi="Simplified Arabic" w:cs="Simplified Arabic"/>
          <w:color w:val="000000" w:themeColor="text1"/>
          <w:kern w:val="0"/>
          <w:sz w:val="28"/>
          <w:szCs w:val="28"/>
          <w14:ligatures w14:val="none"/>
        </w:rPr>
        <w:t>.</w:t>
      </w:r>
    </w:p>
    <w:p w14:paraId="32B28D52"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الثالث — التدريب وتنمية المهارات</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 xml:space="preserve">ويُقصد به إجرائياً: منظومة البرامج والأنشطة التدريبية المتخصصة التي تُصمّم وتُنفّذ لتأهيل العاملين في منظومة الحج والعمرة وإكسابهم المعارف والمهارات الفنية </w:t>
      </w:r>
      <w:r w:rsidRPr="001F14A2">
        <w:rPr>
          <w:rFonts w:ascii="Simplified Arabic" w:eastAsia="Times New Roman" w:hAnsi="Simplified Arabic" w:cs="Simplified Arabic"/>
          <w:color w:val="000000" w:themeColor="text1"/>
          <w:kern w:val="0"/>
          <w:sz w:val="28"/>
          <w:szCs w:val="28"/>
          <w:rtl/>
          <w14:ligatures w14:val="none"/>
        </w:rPr>
        <w:lastRenderedPageBreak/>
        <w:t>والسلوكية واللغوية والتقنية اللازمة لتقديم خدمات متميزة لضيوف الرحمن، بما يشمل التدريب على إدارة الحشود والتعامل مع المواقف الطارئة والأزمات والتنوع الثقافي للحجاج والمعتمرين</w:t>
      </w:r>
      <w:r w:rsidRPr="001F14A2">
        <w:rPr>
          <w:rFonts w:ascii="Simplified Arabic" w:eastAsia="Times New Roman" w:hAnsi="Simplified Arabic" w:cs="Simplified Arabic"/>
          <w:color w:val="000000" w:themeColor="text1"/>
          <w:kern w:val="0"/>
          <w:sz w:val="28"/>
          <w:szCs w:val="28"/>
          <w14:ligatures w14:val="none"/>
        </w:rPr>
        <w:t>.</w:t>
      </w:r>
    </w:p>
    <w:p w14:paraId="06E4433B"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الرابع — تقييم الأداء الوظيفي</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ويُقصد به إجرائياً: المنظومة الشاملة والمستمرة لقياس وتقويم أداء العاملين في منظومة الحج والعمرة وفق معايير ومؤشرات واضحة ومحددة مسبقاً، وربط نتائج التقييم بالقرارات التصحيحية والتطويرية كتحديد الاحتياجات التدريبية ومنح الحوافز والترقيات وإعادة التوزيع، بما يُحقق التحسين المستمر لجودة الأداء الخدمي</w:t>
      </w:r>
      <w:r w:rsidRPr="001F14A2">
        <w:rPr>
          <w:rFonts w:ascii="Simplified Arabic" w:eastAsia="Times New Roman" w:hAnsi="Simplified Arabic" w:cs="Simplified Arabic"/>
          <w:color w:val="000000" w:themeColor="text1"/>
          <w:kern w:val="0"/>
          <w:sz w:val="28"/>
          <w:szCs w:val="28"/>
          <w14:ligatures w14:val="none"/>
        </w:rPr>
        <w:t>.</w:t>
      </w:r>
    </w:p>
    <w:p w14:paraId="67A59E28" w14:textId="77777777" w:rsidR="00791DB7" w:rsidRPr="001F14A2" w:rsidRDefault="00791DB7" w:rsidP="001F14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9" w:name="_Toc223917360"/>
      <w:r w:rsidRPr="001F14A2">
        <w:rPr>
          <w:rFonts w:ascii="Simplified Arabic" w:eastAsia="Times New Roman" w:hAnsi="Simplified Arabic" w:cs="Simplified Arabic"/>
          <w:b/>
          <w:bCs/>
          <w:color w:val="000000" w:themeColor="text1"/>
          <w:kern w:val="0"/>
          <w:sz w:val="28"/>
          <w:szCs w:val="28"/>
          <w:rtl/>
          <w14:ligatures w14:val="none"/>
        </w:rPr>
        <w:t>مفهوم جودة الخدمات</w:t>
      </w:r>
      <w:bookmarkEnd w:id="29"/>
    </w:p>
    <w:p w14:paraId="57B142CA"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تُعرّف جودة الخدمة بأنها الدرجة التي تتوافق فيها الخدمة المقدمة مع توقعات المستفيد أو تتجاوزها، وهي مفهوم متعدد الأبعاد يعكس إدراك المستفيد للفجوة بين ما يتوقعه وما يتلقاه فعلياً من خدمة. وفي سياق منظومة الحج والعمرة، يتّسع مفهوم جودة الخدمات ليتجاوز أبعاده التقليدية المتعارف عليها في أدبيات التسويق وإدارة الجودة، حيث يشمل أبعاداً إنسانية وروحية ووجدانية ترتبط بقدسية المناسك وعظمة الشعيرة وتنوع المستفيدين. وقد أكّدت دراسة</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Shambour</w:t>
      </w:r>
      <w:proofErr w:type="spellEnd"/>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Gutub</w:t>
      </w:r>
      <w:proofErr w:type="spellEnd"/>
      <w:r w:rsidRPr="001F14A2">
        <w:rPr>
          <w:rFonts w:ascii="Simplified Arabic" w:eastAsia="Times New Roman" w:hAnsi="Simplified Arabic" w:cs="Simplified Arabic"/>
          <w:color w:val="000000" w:themeColor="text1"/>
          <w:kern w:val="0"/>
          <w:sz w:val="28"/>
          <w:szCs w:val="28"/>
          <w14:ligatures w14:val="none"/>
        </w:rPr>
        <w:t xml:space="preserve">, Abu-Hashem &amp; </w:t>
      </w:r>
      <w:proofErr w:type="spellStart"/>
      <w:r w:rsidRPr="001F14A2">
        <w:rPr>
          <w:rFonts w:ascii="Simplified Arabic" w:eastAsia="Times New Roman" w:hAnsi="Simplified Arabic" w:cs="Simplified Arabic"/>
          <w:color w:val="000000" w:themeColor="text1"/>
          <w:kern w:val="0"/>
          <w:sz w:val="28"/>
          <w:szCs w:val="28"/>
          <w14:ligatures w14:val="none"/>
        </w:rPr>
        <w:t>Albahr</w:t>
      </w:r>
      <w:proofErr w:type="spellEnd"/>
      <w:r w:rsidRPr="001F14A2">
        <w:rPr>
          <w:rFonts w:ascii="Simplified Arabic" w:eastAsia="Times New Roman" w:hAnsi="Simplified Arabic" w:cs="Simplified Arabic"/>
          <w:color w:val="000000" w:themeColor="text1"/>
          <w:kern w:val="0"/>
          <w:sz w:val="28"/>
          <w:szCs w:val="28"/>
          <w14:ligatures w14:val="none"/>
        </w:rPr>
        <w:t xml:space="preserve">, 2023) </w:t>
      </w:r>
      <w:r w:rsidRPr="001F14A2">
        <w:rPr>
          <w:rFonts w:ascii="Simplified Arabic" w:eastAsia="Times New Roman" w:hAnsi="Simplified Arabic" w:cs="Simplified Arabic"/>
          <w:color w:val="000000" w:themeColor="text1"/>
          <w:kern w:val="0"/>
          <w:sz w:val="28"/>
          <w:szCs w:val="28"/>
          <w:rtl/>
          <w14:ligatures w14:val="none"/>
        </w:rPr>
        <w:t>في نموذجها القائم على نظرية تأكيد التوقعات أن رضا الحجاج عن خدمات الضيافة يتحدد بمدى المطابقة بين التوقعات المسبقة المتكوّنة لدى الحاج قبل الخدمة والأداء الفعلي المُدرَك بعد تلقيها، حيث يُفضي التطابق أو التجاوز إلى الرضا بينما يُنتج القصور حالة من عدم الرضا</w:t>
      </w:r>
      <w:r w:rsidRPr="001F14A2">
        <w:rPr>
          <w:rFonts w:ascii="Simplified Arabic" w:eastAsia="Times New Roman" w:hAnsi="Simplified Arabic" w:cs="Simplified Arabic"/>
          <w:color w:val="000000" w:themeColor="text1"/>
          <w:kern w:val="0"/>
          <w:sz w:val="28"/>
          <w:szCs w:val="28"/>
          <w14:ligatures w14:val="none"/>
        </w:rPr>
        <w:t>.</w:t>
      </w:r>
    </w:p>
    <w:p w14:paraId="465C2C8E"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وتتعدد أبعاد جودة الخدمات في منظومة الحج والعمرة لتشمل جودة خدمات النقل والتنقل بين المشاعر المقدسة التي تستلزم تخطيطاً دقيقاً وإدارة فعّالة للحشود كما أوضحت دراسة</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Owaidah</w:t>
      </w:r>
      <w:proofErr w:type="spellEnd"/>
      <w:r w:rsidRPr="001F14A2">
        <w:rPr>
          <w:rFonts w:ascii="Simplified Arabic" w:eastAsia="Times New Roman" w:hAnsi="Simplified Arabic" w:cs="Simplified Arabic"/>
          <w:color w:val="000000" w:themeColor="text1"/>
          <w:kern w:val="0"/>
          <w:sz w:val="28"/>
          <w:szCs w:val="28"/>
          <w14:ligatures w14:val="none"/>
        </w:rPr>
        <w:t xml:space="preserve"> et al., 2023) </w:t>
      </w:r>
      <w:r w:rsidRPr="001F14A2">
        <w:rPr>
          <w:rFonts w:ascii="Simplified Arabic" w:eastAsia="Times New Roman" w:hAnsi="Simplified Arabic" w:cs="Simplified Arabic"/>
          <w:color w:val="000000" w:themeColor="text1"/>
          <w:kern w:val="0"/>
          <w:sz w:val="28"/>
          <w:szCs w:val="28"/>
          <w:rtl/>
          <w14:ligatures w14:val="none"/>
        </w:rPr>
        <w:t xml:space="preserve">التي </w:t>
      </w:r>
      <w:proofErr w:type="spellStart"/>
      <w:r w:rsidRPr="001F14A2">
        <w:rPr>
          <w:rFonts w:ascii="Simplified Arabic" w:eastAsia="Times New Roman" w:hAnsi="Simplified Arabic" w:cs="Simplified Arabic"/>
          <w:color w:val="000000" w:themeColor="text1"/>
          <w:kern w:val="0"/>
          <w:sz w:val="28"/>
          <w:szCs w:val="28"/>
          <w:rtl/>
          <w14:ligatures w14:val="none"/>
        </w:rPr>
        <w:t>نمذجت</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حركة ثلاثة ملايين حاج، وجودة خدمات الإسكان والإعاشة والرعاية الصحية والإرشاد الديني والخدمات اللوجستية المساندة. كما أشارت دراسة</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Alasmari</w:t>
      </w:r>
      <w:proofErr w:type="spellEnd"/>
      <w:r w:rsidRPr="001F14A2">
        <w:rPr>
          <w:rFonts w:ascii="Simplified Arabic" w:eastAsia="Times New Roman" w:hAnsi="Simplified Arabic" w:cs="Simplified Arabic"/>
          <w:color w:val="000000" w:themeColor="text1"/>
          <w:kern w:val="0"/>
          <w:sz w:val="28"/>
          <w:szCs w:val="28"/>
          <w14:ligatures w14:val="none"/>
        </w:rPr>
        <w:t xml:space="preserve">, Farooqi &amp; Alotaibi, 2024) </w:t>
      </w:r>
      <w:r w:rsidRPr="001F14A2">
        <w:rPr>
          <w:rFonts w:ascii="Simplified Arabic" w:eastAsia="Times New Roman" w:hAnsi="Simplified Arabic" w:cs="Simplified Arabic"/>
          <w:color w:val="000000" w:themeColor="text1"/>
          <w:kern w:val="0"/>
          <w:sz w:val="28"/>
          <w:szCs w:val="28"/>
          <w:rtl/>
          <w14:ligatures w14:val="none"/>
        </w:rPr>
        <w:t>إلى أن تحليل مشاعر الحجاج عبر منصات التواصل الاجتماعي يُعدّ أداة فعّالة لرصد مستوى جودة الخدمات وتحديد مواطن القصور والتميز في الوقت الحقيقي</w:t>
      </w:r>
      <w:r w:rsidRPr="001F14A2">
        <w:rPr>
          <w:rFonts w:ascii="Simplified Arabic" w:eastAsia="Times New Roman" w:hAnsi="Simplified Arabic" w:cs="Simplified Arabic"/>
          <w:color w:val="000000" w:themeColor="text1"/>
          <w:kern w:val="0"/>
          <w:sz w:val="28"/>
          <w:szCs w:val="28"/>
          <w14:ligatures w14:val="none"/>
        </w:rPr>
        <w:t>.</w:t>
      </w:r>
    </w:p>
    <w:p w14:paraId="59261003"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ويُقصد بجودة الخدمات المقدمة لضيوف الرحمن إجرائياً في هذه الدراسة: المستوى الذي تتحقق فيه معايير التميز والكفاءة والفاعلية في جميع الخدمات المقدمة لضيوف الرحمن من حجاج ومعتمرين ضمن منظومة الحج والعمرة، بما يشمل سهولة الوصول إلى الخدمات وسرعة الاستجابة والكفاءة المهنية للعاملين </w:t>
      </w:r>
      <w:r w:rsidRPr="001F14A2">
        <w:rPr>
          <w:rFonts w:ascii="Simplified Arabic" w:eastAsia="Times New Roman" w:hAnsi="Simplified Arabic" w:cs="Simplified Arabic"/>
          <w:color w:val="000000" w:themeColor="text1"/>
          <w:kern w:val="0"/>
          <w:sz w:val="28"/>
          <w:szCs w:val="28"/>
          <w:rtl/>
          <w14:ligatures w14:val="none"/>
        </w:rPr>
        <w:lastRenderedPageBreak/>
        <w:t>وحسن التعامل والحساسية الثقافية واللغوية وملاءمة البيئة المادية، وذلك من وجهة نظر العاملين في هذه المنظومة</w:t>
      </w:r>
      <w:r w:rsidRPr="001F14A2">
        <w:rPr>
          <w:rFonts w:ascii="Simplified Arabic" w:eastAsia="Times New Roman" w:hAnsi="Simplified Arabic" w:cs="Simplified Arabic"/>
          <w:color w:val="000000" w:themeColor="text1"/>
          <w:kern w:val="0"/>
          <w:sz w:val="28"/>
          <w:szCs w:val="28"/>
          <w14:ligatures w14:val="none"/>
        </w:rPr>
        <w:t>.</w:t>
      </w:r>
    </w:p>
    <w:p w14:paraId="096A7CE1" w14:textId="1A21CF11" w:rsidR="001F14A2" w:rsidRPr="001F14A2" w:rsidRDefault="001F14A2" w:rsidP="001F14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0" w:name="_Toc233905859"/>
      <w:bookmarkStart w:id="31" w:name="_Toc169790506"/>
      <w:bookmarkEnd w:id="26"/>
      <w:bookmarkEnd w:id="27"/>
      <w:r w:rsidRPr="001F14A2">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0"/>
    </w:p>
    <w:p w14:paraId="5DB1A9DD"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سوف تعتمد الدراسة الحالية على المنهج الوصفي التحليلي باعتباره المنهج الأنسب لطبيعة الدراسة وأهدافها، حيث يُتيح هذا المنهج وصف الظاهرة محل الدراسة وصفاً دقيقاً وشاملاً من خلال جمع البيانات والمعلومات من الميدان وتحليلها إحصائياً للكشف عن العلاقات والأثر بين المتغيرات. وسيتم توظيف هذا المنهج في جانبين متكاملين: الجانب الوصفي الذي سيُعنى بوصف واقع تخطيط القوى العاملة بأبعاده الأربعة (التنبؤ بالاحتياجات الوظيفية، الاستقطاب والتوظيف، التدريب وتنمية المهارات، تقييم الأداء الوظيفي) ومستوى جودة الخدمات المقدمة لضيوف الرحمن في منظومة الحج والعمرة كما يُدركها العاملون في هذا القطاع، والجانب التحليلي الذي سيُعنى بتحليل البيانات واختبار الفروض للكشف عن طبيعة الأثر ودلالته الإحصائية بين المتغير المستقل والمتغير التابع</w:t>
      </w:r>
      <w:r w:rsidRPr="001F14A2">
        <w:rPr>
          <w:rFonts w:ascii="Simplified Arabic" w:eastAsia="Times New Roman" w:hAnsi="Simplified Arabic" w:cs="Simplified Arabic"/>
          <w:color w:val="000000" w:themeColor="text1"/>
          <w:kern w:val="0"/>
          <w:sz w:val="28"/>
          <w:szCs w:val="28"/>
          <w14:ligatures w14:val="none"/>
        </w:rPr>
        <w:t>.</w:t>
      </w:r>
    </w:p>
    <w:p w14:paraId="03CE606D" w14:textId="2CBFD72C"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وسيتم الجمع بين مصادر البيانات الثانوية المتمثلة في الكتب والمراجع العلمية والدوريات والمجلات المحكّمة والرسائل الجامعية والتقارير الرسمية ذات الصلة بتخطيط القوى العاملة وجودة الخدمات في قطاع الحج والعمرة لبناء الإطار النظري والمفاهيمي للدراسة، ومصادر البيانات الأولية المتمثلة في الاستبانة التي سيتم تصميمها وتحكيمها وتوزيعها إلكترونياً على أفراد عينة الدراسة لجمع البيانات الميدانية اللازمة للإجابة عن أسئلة الدراسة واختبار فروضها باستخدام الأساليب الإحصائية المناسبة من خلال برنامج الحزمة الإحصائية للعلوم الاجتماعية </w:t>
      </w:r>
      <w:r w:rsidRPr="001F14A2">
        <w:rPr>
          <w:rFonts w:ascii="Simplified Arabic" w:eastAsia="Times New Roman" w:hAnsi="Simplified Arabic" w:cs="Simplified Arabic"/>
          <w:color w:val="000000" w:themeColor="text1"/>
          <w:kern w:val="0"/>
          <w:sz w:val="28"/>
          <w:szCs w:val="28"/>
          <w14:ligatures w14:val="none"/>
        </w:rPr>
        <w:t>(SPSS).</w:t>
      </w:r>
    </w:p>
    <w:p w14:paraId="3C967E30" w14:textId="21FF0B05" w:rsidR="00791DB7" w:rsidRPr="001F14A2" w:rsidRDefault="001F14A2" w:rsidP="001F14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33905860"/>
      <w:r w:rsidRPr="001F14A2">
        <w:rPr>
          <w:rFonts w:ascii="Simplified Arabic" w:eastAsia="Times New Roman" w:hAnsi="Simplified Arabic" w:cs="Simplified Arabic" w:hint="cs"/>
          <w:b/>
          <w:bCs/>
          <w:color w:val="000000" w:themeColor="text1"/>
          <w:kern w:val="36"/>
          <w:sz w:val="36"/>
          <w:szCs w:val="36"/>
          <w:rtl/>
          <w14:ligatures w14:val="none"/>
        </w:rPr>
        <w:t>11.1</w:t>
      </w:r>
      <w:r w:rsidR="00791DB7" w:rsidRPr="001F14A2">
        <w:rPr>
          <w:rFonts w:ascii="Simplified Arabic" w:eastAsia="Times New Roman" w:hAnsi="Simplified Arabic" w:cs="Simplified Arabic"/>
          <w:b/>
          <w:bCs/>
          <w:color w:val="000000" w:themeColor="text1"/>
          <w:kern w:val="36"/>
          <w:sz w:val="36"/>
          <w:szCs w:val="36"/>
          <w:rtl/>
          <w14:ligatures w14:val="none"/>
        </w:rPr>
        <w:t xml:space="preserve"> </w:t>
      </w:r>
      <w:bookmarkStart w:id="33" w:name="_Toc223917362"/>
      <w:r w:rsidR="00791DB7" w:rsidRPr="001F14A2">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32"/>
      <w:bookmarkEnd w:id="33"/>
    </w:p>
    <w:p w14:paraId="7473D625"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الوظائف الإدارية والإشرافية والتشغيلية في الجهات المعنية بخدمة ضيوف الرحمن ضمن منظومة الحج والعمرة بمكة المكرمة والمشاعر المقدسة، والذين يشملون العاملين في وزارة الحج والعمرة وفروعها، والمؤسسات </w:t>
      </w:r>
      <w:proofErr w:type="spellStart"/>
      <w:r w:rsidRPr="001F14A2">
        <w:rPr>
          <w:rFonts w:ascii="Simplified Arabic" w:eastAsia="Times New Roman" w:hAnsi="Simplified Arabic" w:cs="Simplified Arabic"/>
          <w:color w:val="000000" w:themeColor="text1"/>
          <w:kern w:val="0"/>
          <w:sz w:val="28"/>
          <w:szCs w:val="28"/>
          <w:rtl/>
          <w14:ligatures w14:val="none"/>
        </w:rPr>
        <w:t>الطوافية</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وشركات خدمة الحجاج والمعتمرين المرخّصة، والجهات التشغيلية المساندة في مجالات النقل والإعاشة والإسكان والخدمات الصحية والإرشادية. وتُشير الإحصاءات الرسمية الصادرة عن وزارة الحج والعمرة إلى أن إجمالي القوى العاملة في منظومة الحج يتجاوز (350,000) عامل وعاملة سنوياً خلال مواسم الحج الأخيرة، يتوزعون على مختلف القطاعات </w:t>
      </w:r>
      <w:r w:rsidRPr="001F14A2">
        <w:rPr>
          <w:rFonts w:ascii="Simplified Arabic" w:eastAsia="Times New Roman" w:hAnsi="Simplified Arabic" w:cs="Simplified Arabic"/>
          <w:color w:val="000000" w:themeColor="text1"/>
          <w:kern w:val="0"/>
          <w:sz w:val="28"/>
          <w:szCs w:val="28"/>
          <w:rtl/>
          <w14:ligatures w14:val="none"/>
        </w:rPr>
        <w:lastRenderedPageBreak/>
        <w:t>والمستويات الوظيفية، مع الأخذ في الاعتبار أن نسبة مشاركة المرأة في هذه المنظومة بلغت نحو (7%) من إجمالي القوى العاملة وفقاً لأحدث البيانات المتاحة</w:t>
      </w:r>
      <w:r w:rsidRPr="001F14A2">
        <w:rPr>
          <w:rFonts w:ascii="Simplified Arabic" w:eastAsia="Times New Roman" w:hAnsi="Simplified Arabic" w:cs="Simplified Arabic"/>
          <w:color w:val="000000" w:themeColor="text1"/>
          <w:kern w:val="0"/>
          <w:sz w:val="28"/>
          <w:szCs w:val="28"/>
          <w14:ligatures w14:val="none"/>
        </w:rPr>
        <w:t>.</w:t>
      </w:r>
    </w:p>
    <w:p w14:paraId="1AEB3A10"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ونظراً لضخامة مجتمع الدراسة وتشتّته الجغرافي وصعوبة الوصول إلى جميع مفرداته، سيتم اختيار عينة عشوائية طبقية </w:t>
      </w:r>
      <w:r w:rsidRPr="001F14A2">
        <w:rPr>
          <w:rFonts w:ascii="Simplified Arabic" w:eastAsia="Times New Roman" w:hAnsi="Simplified Arabic" w:cs="Simplified Arabic"/>
          <w:color w:val="000000" w:themeColor="text1"/>
          <w:kern w:val="0"/>
          <w:sz w:val="28"/>
          <w:szCs w:val="28"/>
          <w14:ligatures w14:val="none"/>
        </w:rPr>
        <w:t xml:space="preserve">(Stratified Random Sample) </w:t>
      </w:r>
      <w:r w:rsidRPr="001F14A2">
        <w:rPr>
          <w:rFonts w:ascii="Simplified Arabic" w:eastAsia="Times New Roman" w:hAnsi="Simplified Arabic" w:cs="Simplified Arabic"/>
          <w:color w:val="000000" w:themeColor="text1"/>
          <w:kern w:val="0"/>
          <w:sz w:val="28"/>
          <w:szCs w:val="28"/>
          <w:rtl/>
          <w14:ligatures w14:val="none"/>
        </w:rPr>
        <w:t xml:space="preserve">تضمن تمثيل مختلف الفئات الوظيفية والقطاعات المشاركة في منظومة الحج والعمرة. وسيتم تحديد حجم العينة باستخدام معادلة ستيفن </w:t>
      </w:r>
      <w:proofErr w:type="spellStart"/>
      <w:r w:rsidRPr="001F14A2">
        <w:rPr>
          <w:rFonts w:ascii="Simplified Arabic" w:eastAsia="Times New Roman" w:hAnsi="Simplified Arabic" w:cs="Simplified Arabic"/>
          <w:color w:val="000000" w:themeColor="text1"/>
          <w:kern w:val="0"/>
          <w:sz w:val="28"/>
          <w:szCs w:val="28"/>
          <w:rtl/>
          <w14:ligatures w14:val="none"/>
        </w:rPr>
        <w:t>ثامبسون</w:t>
      </w:r>
      <w:proofErr w:type="spellEnd"/>
      <w:r w:rsidRPr="001F14A2">
        <w:rPr>
          <w:rFonts w:ascii="Simplified Arabic" w:eastAsia="Times New Roman" w:hAnsi="Simplified Arabic" w:cs="Simplified Arabic"/>
          <w:color w:val="000000" w:themeColor="text1"/>
          <w:kern w:val="0"/>
          <w:sz w:val="28"/>
          <w:szCs w:val="28"/>
          <w14:ligatures w14:val="none"/>
        </w:rPr>
        <w:t xml:space="preserve"> (Steven Thompson) </w:t>
      </w:r>
      <w:r w:rsidRPr="001F14A2">
        <w:rPr>
          <w:rFonts w:ascii="Simplified Arabic" w:eastAsia="Times New Roman" w:hAnsi="Simplified Arabic" w:cs="Simplified Arabic"/>
          <w:color w:val="000000" w:themeColor="text1"/>
          <w:kern w:val="0"/>
          <w:sz w:val="28"/>
          <w:szCs w:val="28"/>
          <w:rtl/>
          <w14:ligatures w14:val="none"/>
        </w:rPr>
        <w:t xml:space="preserve">بحيث لا يقل حجم العينة عن (384) مفردة عند مستوى ثقة (95%) وهامش خطأ (5%)، وسيسعى الباحث إلى توزيع ما لا يقل عن </w:t>
      </w:r>
      <w:r w:rsidRPr="001F14A2">
        <w:rPr>
          <w:rFonts w:ascii="Simplified Arabic" w:eastAsia="Times New Roman" w:hAnsi="Simplified Arabic" w:cs="Simplified Arabic"/>
          <w:color w:val="000000" w:themeColor="text1"/>
          <w:kern w:val="0"/>
          <w:sz w:val="28"/>
          <w:szCs w:val="28"/>
          <w14:ligatures w14:val="none"/>
        </w:rPr>
        <w:t xml:space="preserve">(450) </w:t>
      </w:r>
      <w:r w:rsidRPr="001F14A2">
        <w:rPr>
          <w:rFonts w:ascii="Simplified Arabic" w:eastAsia="Times New Roman" w:hAnsi="Simplified Arabic" w:cs="Simplified Arabic"/>
          <w:color w:val="000000" w:themeColor="text1"/>
          <w:kern w:val="0"/>
          <w:sz w:val="28"/>
          <w:szCs w:val="28"/>
          <w:rtl/>
          <w14:ligatures w14:val="none"/>
        </w:rPr>
        <w:t xml:space="preserve">استبانة إلكترونية لضمان الحصول على عدد كافٍ من الاستجابات الصالحة للتحليل الإحصائي بعد استبعاد الاستبانات غير المكتملة أو غير الصالحة، على أن تُوزّع العينة بشكل متناسب بين العاملين في الجهات الحكومية (وزارة الحج والعمرة وفروعها)، والمؤسسات </w:t>
      </w:r>
      <w:proofErr w:type="spellStart"/>
      <w:r w:rsidRPr="001F14A2">
        <w:rPr>
          <w:rFonts w:ascii="Simplified Arabic" w:eastAsia="Times New Roman" w:hAnsi="Simplified Arabic" w:cs="Simplified Arabic"/>
          <w:color w:val="000000" w:themeColor="text1"/>
          <w:kern w:val="0"/>
          <w:sz w:val="28"/>
          <w:szCs w:val="28"/>
          <w:rtl/>
          <w14:ligatures w14:val="none"/>
        </w:rPr>
        <w:t>الطوافية</w:t>
      </w:r>
      <w:proofErr w:type="spellEnd"/>
      <w:r w:rsidRPr="001F14A2">
        <w:rPr>
          <w:rFonts w:ascii="Simplified Arabic" w:eastAsia="Times New Roman" w:hAnsi="Simplified Arabic" w:cs="Simplified Arabic"/>
          <w:color w:val="000000" w:themeColor="text1"/>
          <w:kern w:val="0"/>
          <w:sz w:val="28"/>
          <w:szCs w:val="28"/>
          <w:rtl/>
          <w14:ligatures w14:val="none"/>
        </w:rPr>
        <w:t>، وشركات خدمة الحجاج، والجهات التشغيلية المساندة</w:t>
      </w:r>
      <w:r w:rsidRPr="001F14A2">
        <w:rPr>
          <w:rFonts w:ascii="Simplified Arabic" w:eastAsia="Times New Roman" w:hAnsi="Simplified Arabic" w:cs="Simplified Arabic"/>
          <w:color w:val="000000" w:themeColor="text1"/>
          <w:kern w:val="0"/>
          <w:sz w:val="28"/>
          <w:szCs w:val="28"/>
          <w14:ligatures w14:val="none"/>
        </w:rPr>
        <w:t>.</w:t>
      </w:r>
    </w:p>
    <w:p w14:paraId="3FD8070A" w14:textId="0ACB031F" w:rsidR="00791DB7" w:rsidRPr="001F14A2" w:rsidRDefault="001F14A2" w:rsidP="001F14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3917363"/>
      <w:bookmarkStart w:id="35" w:name="_Toc233905861"/>
      <w:r w:rsidRPr="001F14A2">
        <w:rPr>
          <w:rFonts w:ascii="Simplified Arabic" w:eastAsia="Times New Roman" w:hAnsi="Simplified Arabic" w:cs="Simplified Arabic" w:hint="cs"/>
          <w:b/>
          <w:bCs/>
          <w:color w:val="000000" w:themeColor="text1"/>
          <w:kern w:val="36"/>
          <w:sz w:val="36"/>
          <w:szCs w:val="36"/>
          <w:rtl/>
          <w14:ligatures w14:val="none"/>
        </w:rPr>
        <w:t xml:space="preserve">12.1 </w:t>
      </w:r>
      <w:r w:rsidR="00791DB7" w:rsidRPr="001F14A2">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4"/>
      <w:bookmarkEnd w:id="35"/>
    </w:p>
    <w:p w14:paraId="5D92D389"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سوف تعتمد الدراسة على نوعين من مصادر جمع البيانات. المصادر الثانوية التي تشمل الكتب والمراجع العلمية العربية والأجنبية، والدوريات والمجلات العلمية المحكّمة، والرسائل الجامعية (ماجستير ودكتوراه)، والتقارير والإحصاءات الرسمية الصادرة عن وزارة الحج والعمرة وبرنامج خدمة ضيوف الرحمن والهيئة العامة للإحصاء، والمواقع الإلكترونية الرسمية وقواعد البيانات المعتمدة، وذلك لبناء الإطار النظري وصياغة الدراسات السابقة. والمصادر الأولية التي تتمثل في الاستبانة المصممة خصيصاً لهذه الدراسة كأداة رئيسية لجمع البيانات الميدانية من أفراد العينة</w:t>
      </w:r>
      <w:r w:rsidRPr="001F14A2">
        <w:rPr>
          <w:rFonts w:ascii="Simplified Arabic" w:eastAsia="Times New Roman" w:hAnsi="Simplified Arabic" w:cs="Simplified Arabic"/>
          <w:color w:val="000000" w:themeColor="text1"/>
          <w:kern w:val="0"/>
          <w:sz w:val="28"/>
          <w:szCs w:val="28"/>
          <w14:ligatures w14:val="none"/>
        </w:rPr>
        <w:t>.</w:t>
      </w:r>
    </w:p>
    <w:p w14:paraId="39F4C997" w14:textId="321BE7C2" w:rsidR="00791DB7" w:rsidRPr="001F14A2" w:rsidRDefault="001F14A2" w:rsidP="001F14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3917364"/>
      <w:bookmarkStart w:id="37" w:name="_Toc233905862"/>
      <w:r w:rsidRPr="001F14A2">
        <w:rPr>
          <w:rFonts w:ascii="Simplified Arabic" w:eastAsia="Times New Roman" w:hAnsi="Simplified Arabic" w:cs="Simplified Arabic" w:hint="cs"/>
          <w:b/>
          <w:bCs/>
          <w:color w:val="000000" w:themeColor="text1"/>
          <w:kern w:val="36"/>
          <w:sz w:val="36"/>
          <w:szCs w:val="36"/>
          <w:rtl/>
          <w14:ligatures w14:val="none"/>
        </w:rPr>
        <w:t xml:space="preserve">13.1 </w:t>
      </w:r>
      <w:r w:rsidR="00791DB7" w:rsidRPr="001F14A2">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36"/>
      <w:bookmarkEnd w:id="37"/>
    </w:p>
    <w:p w14:paraId="7EE66C22"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سيتم تصميم استبانة إلكترونية محكّمة كأداة رئيسية لجمع البيانات الأولية، وستتكون من ثلاثة أقسام رئيسية على النحو التالي</w:t>
      </w:r>
      <w:r w:rsidRPr="001F14A2">
        <w:rPr>
          <w:rFonts w:ascii="Simplified Arabic" w:eastAsia="Times New Roman" w:hAnsi="Simplified Arabic" w:cs="Simplified Arabic"/>
          <w:color w:val="000000" w:themeColor="text1"/>
          <w:kern w:val="0"/>
          <w:sz w:val="28"/>
          <w:szCs w:val="28"/>
          <w14:ligatures w14:val="none"/>
        </w:rPr>
        <w:t>:</w:t>
      </w:r>
    </w:p>
    <w:p w14:paraId="68CF6316" w14:textId="203A7A65"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1F14A2">
        <w:rPr>
          <w:rFonts w:ascii="Simplified Arabic" w:eastAsia="Times New Roman" w:hAnsi="Simplified Arabic" w:cs="Simplified Arabic"/>
          <w:color w:val="000000" w:themeColor="text1"/>
          <w:kern w:val="0"/>
          <w:sz w:val="28"/>
          <w:szCs w:val="28"/>
          <w:rtl/>
          <w14:ligatures w14:val="none"/>
        </w:rPr>
        <w:t>القسم الأول: البيانات الديموغرافية سيتضمن هذا القسم البيانات الشخصية والوظيفية لأفراد العينة، وتشمل</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الجنس، العمر، المؤهل العلمي، سنوات الخبرة في منظومة الحج والعمرة، المستوى الوظيفي، جهة العمل</w:t>
      </w:r>
    </w:p>
    <w:p w14:paraId="7719443E"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lastRenderedPageBreak/>
        <w:t>القسم الثاني: المتغير المستقل (تخطيط القوى العاملة) — (16) فقرة سيتكون هذا القسم من أربعة أبعاد، يتضمن كل بُعد (4) فقرات، وذلك على النحو التالي</w:t>
      </w:r>
      <w:r w:rsidRPr="001F14A2">
        <w:rPr>
          <w:rFonts w:ascii="Simplified Arabic" w:eastAsia="Times New Roman" w:hAnsi="Simplified Arabic" w:cs="Simplified Arabic"/>
          <w:color w:val="000000" w:themeColor="text1"/>
          <w:kern w:val="0"/>
          <w:sz w:val="28"/>
          <w:szCs w:val="28"/>
          <w14:ligatures w14:val="none"/>
        </w:rPr>
        <w:t>:</w:t>
      </w:r>
    </w:p>
    <w:p w14:paraId="1F5BE507" w14:textId="77777777" w:rsidR="00791DB7" w:rsidRPr="001F14A2" w:rsidRDefault="00791DB7" w:rsidP="001F14A2">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الأول</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التنبؤ بالاحتياجات الوظيفية — (4) فقرات</w:t>
      </w:r>
      <w:r w:rsidRPr="001F14A2">
        <w:rPr>
          <w:rFonts w:ascii="Simplified Arabic" w:eastAsia="Times New Roman" w:hAnsi="Simplified Arabic" w:cs="Simplified Arabic"/>
          <w:color w:val="000000" w:themeColor="text1"/>
          <w:kern w:val="0"/>
          <w:sz w:val="28"/>
          <w:szCs w:val="28"/>
          <w14:ligatures w14:val="none"/>
        </w:rPr>
        <w:t>.</w:t>
      </w:r>
    </w:p>
    <w:p w14:paraId="236E039A" w14:textId="77777777" w:rsidR="00791DB7" w:rsidRPr="001F14A2" w:rsidRDefault="00791DB7" w:rsidP="001F14A2">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الثاني</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الاستقطاب والتوظيف — (4) فقرات</w:t>
      </w:r>
      <w:r w:rsidRPr="001F14A2">
        <w:rPr>
          <w:rFonts w:ascii="Simplified Arabic" w:eastAsia="Times New Roman" w:hAnsi="Simplified Arabic" w:cs="Simplified Arabic"/>
          <w:color w:val="000000" w:themeColor="text1"/>
          <w:kern w:val="0"/>
          <w:sz w:val="28"/>
          <w:szCs w:val="28"/>
          <w14:ligatures w14:val="none"/>
        </w:rPr>
        <w:t>.</w:t>
      </w:r>
    </w:p>
    <w:p w14:paraId="4E8CFE6A" w14:textId="77777777" w:rsidR="00791DB7" w:rsidRPr="001F14A2" w:rsidRDefault="00791DB7" w:rsidP="001F14A2">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الثالث</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التدريب وتنمية المهارات — (4) فقرات</w:t>
      </w:r>
      <w:r w:rsidRPr="001F14A2">
        <w:rPr>
          <w:rFonts w:ascii="Simplified Arabic" w:eastAsia="Times New Roman" w:hAnsi="Simplified Arabic" w:cs="Simplified Arabic"/>
          <w:color w:val="000000" w:themeColor="text1"/>
          <w:kern w:val="0"/>
          <w:sz w:val="28"/>
          <w:szCs w:val="28"/>
          <w14:ligatures w14:val="none"/>
        </w:rPr>
        <w:t>.</w:t>
      </w:r>
    </w:p>
    <w:p w14:paraId="12090FB0" w14:textId="77777777" w:rsidR="00791DB7" w:rsidRPr="001F14A2" w:rsidRDefault="00791DB7" w:rsidP="001F14A2">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الرابع</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تقييم الأداء الوظيفي — (4) فقرات</w:t>
      </w:r>
      <w:r w:rsidRPr="001F14A2">
        <w:rPr>
          <w:rFonts w:ascii="Simplified Arabic" w:eastAsia="Times New Roman" w:hAnsi="Simplified Arabic" w:cs="Simplified Arabic"/>
          <w:color w:val="000000" w:themeColor="text1"/>
          <w:kern w:val="0"/>
          <w:sz w:val="28"/>
          <w:szCs w:val="28"/>
          <w14:ligatures w14:val="none"/>
        </w:rPr>
        <w:t>.</w:t>
      </w:r>
    </w:p>
    <w:p w14:paraId="00AB8AFD"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القسم الثالث: المتغير التابع (جودة الخدمات المقدمة لضيوف الرحمن) — (12) فقرة سيتكون هذا القسم من محور واحد يتضمن (12) فقرة تقيس مستوى جودة الخدمات المقدمة لضيوف الرحمن في منظومة الحج والعمرة من وجهة نظر العاملين</w:t>
      </w:r>
      <w:r w:rsidRPr="001F14A2">
        <w:rPr>
          <w:rFonts w:ascii="Simplified Arabic" w:eastAsia="Times New Roman" w:hAnsi="Simplified Arabic" w:cs="Simplified Arabic"/>
          <w:color w:val="000000" w:themeColor="text1"/>
          <w:kern w:val="0"/>
          <w:sz w:val="28"/>
          <w:szCs w:val="28"/>
          <w14:ligatures w14:val="none"/>
        </w:rPr>
        <w:t>.</w:t>
      </w:r>
    </w:p>
    <w:p w14:paraId="4FFFBA4A" w14:textId="749E2B84"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وبذلك سيبلغ إجمالي فقرات الاستبانة (28) فقرة بخلاف البيانات الديموغرافية، وسيتم قياس استجابات أفراد العينة باستخدام مقياس </w:t>
      </w:r>
      <w:proofErr w:type="spellStart"/>
      <w:r w:rsidRPr="001F14A2">
        <w:rPr>
          <w:rFonts w:ascii="Simplified Arabic" w:eastAsia="Times New Roman" w:hAnsi="Simplified Arabic" w:cs="Simplified Arabic"/>
          <w:color w:val="000000" w:themeColor="text1"/>
          <w:kern w:val="0"/>
          <w:sz w:val="28"/>
          <w:szCs w:val="28"/>
          <w:rtl/>
          <w14:ligatures w14:val="none"/>
        </w:rPr>
        <w:t>ليكرت</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الخماسي المتدرج (موافق بشدة = 5، موافق = 4، محايد = 3، غير موافق = 2، غير موافق بشدة = 1</w:t>
      </w:r>
      <w:r w:rsidR="003A4ED4" w:rsidRPr="001F14A2">
        <w:rPr>
          <w:rFonts w:ascii="Simplified Arabic" w:eastAsia="Times New Roman" w:hAnsi="Simplified Arabic" w:cs="Simplified Arabic"/>
          <w:color w:val="000000" w:themeColor="text1"/>
          <w:kern w:val="0"/>
          <w:sz w:val="28"/>
          <w:szCs w:val="28"/>
          <w:rtl/>
          <w14:ligatures w14:val="none"/>
        </w:rPr>
        <w:t>)</w:t>
      </w:r>
      <w:r w:rsidRPr="001F14A2">
        <w:rPr>
          <w:rFonts w:ascii="Simplified Arabic" w:eastAsia="Times New Roman" w:hAnsi="Simplified Arabic" w:cs="Simplified Arabic"/>
          <w:color w:val="000000" w:themeColor="text1"/>
          <w:kern w:val="0"/>
          <w:sz w:val="28"/>
          <w:szCs w:val="28"/>
          <w14:ligatures w14:val="none"/>
        </w:rPr>
        <w:t>.</w:t>
      </w:r>
    </w:p>
    <w:p w14:paraId="6516D380" w14:textId="08B51164" w:rsidR="00791DB7" w:rsidRPr="001F14A2" w:rsidRDefault="001F14A2" w:rsidP="001F14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8" w:name="_Toc223917365"/>
      <w:bookmarkStart w:id="39" w:name="_Toc233905863"/>
      <w:r w:rsidRPr="001F14A2">
        <w:rPr>
          <w:rFonts w:ascii="Simplified Arabic" w:eastAsia="Times New Roman" w:hAnsi="Simplified Arabic" w:cs="Simplified Arabic" w:hint="cs"/>
          <w:b/>
          <w:bCs/>
          <w:color w:val="000000" w:themeColor="text1"/>
          <w:kern w:val="36"/>
          <w:sz w:val="36"/>
          <w:szCs w:val="36"/>
          <w:rtl/>
          <w14:ligatures w14:val="none"/>
        </w:rPr>
        <w:t xml:space="preserve">14.1 </w:t>
      </w:r>
      <w:r w:rsidR="00791DB7" w:rsidRPr="001F14A2">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8"/>
      <w:bookmarkEnd w:id="39"/>
    </w:p>
    <w:p w14:paraId="37BCCEF6" w14:textId="77777777" w:rsidR="00791DB7" w:rsidRPr="001F14A2" w:rsidRDefault="00791DB7" w:rsidP="001F14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سوف تستخدم الدراسة مجموعة من الأساليب الإحصائية المناسبة لتحليل البيانات واختبار الفروض، من خلال برنامج الحزمة الإحصائية للعلوم الاجتماعية</w:t>
      </w:r>
      <w:r w:rsidRPr="001F14A2">
        <w:rPr>
          <w:rFonts w:ascii="Simplified Arabic" w:eastAsia="Times New Roman" w:hAnsi="Simplified Arabic" w:cs="Simplified Arabic"/>
          <w:color w:val="000000" w:themeColor="text1"/>
          <w:kern w:val="0"/>
          <w:sz w:val="28"/>
          <w:szCs w:val="28"/>
          <w14:ligatures w14:val="none"/>
        </w:rPr>
        <w:t xml:space="preserve"> (SPSS)</w:t>
      </w:r>
      <w:r w:rsidRPr="001F14A2">
        <w:rPr>
          <w:rFonts w:ascii="Simplified Arabic" w:eastAsia="Times New Roman" w:hAnsi="Simplified Arabic" w:cs="Simplified Arabic"/>
          <w:color w:val="000000" w:themeColor="text1"/>
          <w:kern w:val="0"/>
          <w:sz w:val="28"/>
          <w:szCs w:val="28"/>
          <w:rtl/>
          <w14:ligatures w14:val="none"/>
        </w:rPr>
        <w:t>، وتشمل</w:t>
      </w:r>
      <w:r w:rsidRPr="001F14A2">
        <w:rPr>
          <w:rFonts w:ascii="Simplified Arabic" w:eastAsia="Times New Roman" w:hAnsi="Simplified Arabic" w:cs="Simplified Arabic"/>
          <w:color w:val="000000" w:themeColor="text1"/>
          <w:kern w:val="0"/>
          <w:sz w:val="28"/>
          <w:szCs w:val="28"/>
          <w14:ligatures w14:val="none"/>
        </w:rPr>
        <w:t>:</w:t>
      </w:r>
    </w:p>
    <w:p w14:paraId="615C77B3" w14:textId="77777777"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1F14A2">
        <w:rPr>
          <w:rFonts w:ascii="Simplified Arabic" w:eastAsia="Times New Roman" w:hAnsi="Simplified Arabic" w:cs="Simplified Arabic"/>
          <w:color w:val="000000" w:themeColor="text1"/>
          <w:kern w:val="0"/>
          <w:sz w:val="28"/>
          <w:szCs w:val="28"/>
          <w:rtl/>
          <w14:ligatures w14:val="none"/>
        </w:rPr>
        <w:t>كرونباخ</w:t>
      </w:r>
      <w:proofErr w:type="spellEnd"/>
      <w:r w:rsidRPr="001F14A2">
        <w:rPr>
          <w:rFonts w:ascii="Simplified Arabic" w:eastAsia="Times New Roman" w:hAnsi="Simplified Arabic" w:cs="Simplified Arabic"/>
          <w:color w:val="000000" w:themeColor="text1"/>
          <w:kern w:val="0"/>
          <w:sz w:val="28"/>
          <w:szCs w:val="28"/>
          <w14:ligatures w14:val="none"/>
        </w:rPr>
        <w:t xml:space="preserve"> (Cronbach's Alpha): </w:t>
      </w:r>
      <w:r w:rsidRPr="001F14A2">
        <w:rPr>
          <w:rFonts w:ascii="Simplified Arabic" w:eastAsia="Times New Roman" w:hAnsi="Simplified Arabic" w:cs="Simplified Arabic"/>
          <w:color w:val="000000" w:themeColor="text1"/>
          <w:kern w:val="0"/>
          <w:sz w:val="28"/>
          <w:szCs w:val="28"/>
          <w:rtl/>
          <w14:ligatures w14:val="none"/>
        </w:rPr>
        <w:t>لقياس ثبات أداة الدراسة والتأكد من الاتساق الداخلي لفقرات الاستبانة</w:t>
      </w:r>
      <w:r w:rsidRPr="001F14A2">
        <w:rPr>
          <w:rFonts w:ascii="Simplified Arabic" w:eastAsia="Times New Roman" w:hAnsi="Simplified Arabic" w:cs="Simplified Arabic"/>
          <w:color w:val="000000" w:themeColor="text1"/>
          <w:kern w:val="0"/>
          <w:sz w:val="28"/>
          <w:szCs w:val="28"/>
          <w14:ligatures w14:val="none"/>
        </w:rPr>
        <w:t>.</w:t>
      </w:r>
    </w:p>
    <w:p w14:paraId="3369010B" w14:textId="77777777"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معامل ارتباط بيرسون</w:t>
      </w:r>
      <w:r w:rsidRPr="001F14A2">
        <w:rPr>
          <w:rFonts w:ascii="Simplified Arabic" w:eastAsia="Times New Roman" w:hAnsi="Simplified Arabic" w:cs="Simplified Arabic"/>
          <w:color w:val="000000" w:themeColor="text1"/>
          <w:kern w:val="0"/>
          <w:sz w:val="28"/>
          <w:szCs w:val="28"/>
          <w14:ligatures w14:val="none"/>
        </w:rPr>
        <w:t xml:space="preserve"> (Pearson Correlation): </w:t>
      </w:r>
      <w:r w:rsidRPr="001F14A2">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 مع الأبعاد والدرجة الكلية</w:t>
      </w:r>
      <w:r w:rsidRPr="001F14A2">
        <w:rPr>
          <w:rFonts w:ascii="Simplified Arabic" w:eastAsia="Times New Roman" w:hAnsi="Simplified Arabic" w:cs="Simplified Arabic"/>
          <w:color w:val="000000" w:themeColor="text1"/>
          <w:kern w:val="0"/>
          <w:sz w:val="28"/>
          <w:szCs w:val="28"/>
          <w14:ligatures w14:val="none"/>
        </w:rPr>
        <w:t>.</w:t>
      </w:r>
    </w:p>
    <w:p w14:paraId="5E59D5DE" w14:textId="77777777"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لوصف خصائص عينة الدراسة وفقاً للمتغيرات الديموغرافية</w:t>
      </w:r>
      <w:r w:rsidRPr="001F14A2">
        <w:rPr>
          <w:rFonts w:ascii="Simplified Arabic" w:eastAsia="Times New Roman" w:hAnsi="Simplified Arabic" w:cs="Simplified Arabic"/>
          <w:color w:val="000000" w:themeColor="text1"/>
          <w:kern w:val="0"/>
          <w:sz w:val="28"/>
          <w:szCs w:val="28"/>
          <w14:ligatures w14:val="none"/>
        </w:rPr>
        <w:t>.</w:t>
      </w:r>
    </w:p>
    <w:p w14:paraId="376E7B71" w14:textId="77777777"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وترتيب الفقرات والأبعاد</w:t>
      </w:r>
      <w:r w:rsidRPr="001F14A2">
        <w:rPr>
          <w:rFonts w:ascii="Simplified Arabic" w:eastAsia="Times New Roman" w:hAnsi="Simplified Arabic" w:cs="Simplified Arabic"/>
          <w:color w:val="000000" w:themeColor="text1"/>
          <w:kern w:val="0"/>
          <w:sz w:val="28"/>
          <w:szCs w:val="28"/>
          <w14:ligatures w14:val="none"/>
        </w:rPr>
        <w:t>.</w:t>
      </w:r>
    </w:p>
    <w:p w14:paraId="24827711" w14:textId="77777777"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lastRenderedPageBreak/>
        <w:t>تحليل الانحدار الخطي البسيط</w:t>
      </w:r>
      <w:r w:rsidRPr="001F14A2">
        <w:rPr>
          <w:rFonts w:ascii="Simplified Arabic" w:eastAsia="Times New Roman" w:hAnsi="Simplified Arabic" w:cs="Simplified Arabic"/>
          <w:color w:val="000000" w:themeColor="text1"/>
          <w:kern w:val="0"/>
          <w:sz w:val="28"/>
          <w:szCs w:val="28"/>
          <w14:ligatures w14:val="none"/>
        </w:rPr>
        <w:t xml:space="preserve"> (Simple Linear Regression): </w:t>
      </w:r>
      <w:r w:rsidRPr="001F14A2">
        <w:rPr>
          <w:rFonts w:ascii="Simplified Arabic" w:eastAsia="Times New Roman" w:hAnsi="Simplified Arabic" w:cs="Simplified Arabic"/>
          <w:color w:val="000000" w:themeColor="text1"/>
          <w:kern w:val="0"/>
          <w:sz w:val="28"/>
          <w:szCs w:val="28"/>
          <w:rtl/>
          <w14:ligatures w14:val="none"/>
        </w:rPr>
        <w:t>لقياس أثر كل بُعد من أبعاد تخطيط القوى العاملة على حدة في جودة الخدمات المقدمة لضيوف الرحمن</w:t>
      </w:r>
      <w:r w:rsidRPr="001F14A2">
        <w:rPr>
          <w:rFonts w:ascii="Simplified Arabic" w:eastAsia="Times New Roman" w:hAnsi="Simplified Arabic" w:cs="Simplified Arabic"/>
          <w:color w:val="000000" w:themeColor="text1"/>
          <w:kern w:val="0"/>
          <w:sz w:val="28"/>
          <w:szCs w:val="28"/>
          <w14:ligatures w14:val="none"/>
        </w:rPr>
        <w:t>.</w:t>
      </w:r>
    </w:p>
    <w:p w14:paraId="3C1E98EC" w14:textId="77777777"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1F14A2">
        <w:rPr>
          <w:rFonts w:ascii="Simplified Arabic" w:eastAsia="Times New Roman" w:hAnsi="Simplified Arabic" w:cs="Simplified Arabic"/>
          <w:color w:val="000000" w:themeColor="text1"/>
          <w:kern w:val="0"/>
          <w:sz w:val="28"/>
          <w:szCs w:val="28"/>
          <w14:ligatures w14:val="none"/>
        </w:rPr>
        <w:t xml:space="preserve"> (Multiple Linear Regression): </w:t>
      </w:r>
      <w:r w:rsidRPr="001F14A2">
        <w:rPr>
          <w:rFonts w:ascii="Simplified Arabic" w:eastAsia="Times New Roman" w:hAnsi="Simplified Arabic" w:cs="Simplified Arabic"/>
          <w:color w:val="000000" w:themeColor="text1"/>
          <w:kern w:val="0"/>
          <w:sz w:val="28"/>
          <w:szCs w:val="28"/>
          <w:rtl/>
          <w14:ligatures w14:val="none"/>
        </w:rPr>
        <w:t>لقياس الأثر المشترك لأبعاد تخطيط القوى العاملة مجتمعة على جودة الخدمات المقدمة لضيوف الرحمن</w:t>
      </w:r>
      <w:r w:rsidRPr="001F14A2">
        <w:rPr>
          <w:rFonts w:ascii="Simplified Arabic" w:eastAsia="Times New Roman" w:hAnsi="Simplified Arabic" w:cs="Simplified Arabic"/>
          <w:color w:val="000000" w:themeColor="text1"/>
          <w:kern w:val="0"/>
          <w:sz w:val="28"/>
          <w:szCs w:val="28"/>
          <w14:ligatures w14:val="none"/>
        </w:rPr>
        <w:t>.</w:t>
      </w:r>
    </w:p>
    <w:p w14:paraId="7CDD7617" w14:textId="77777777"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1F14A2">
        <w:rPr>
          <w:rFonts w:ascii="Simplified Arabic" w:eastAsia="Times New Roman" w:hAnsi="Simplified Arabic" w:cs="Simplified Arabic"/>
          <w:color w:val="000000" w:themeColor="text1"/>
          <w:kern w:val="0"/>
          <w:sz w:val="28"/>
          <w:szCs w:val="28"/>
          <w14:ligatures w14:val="none"/>
        </w:rPr>
        <w:t xml:space="preserve"> (Independent Samples T-Test): </w:t>
      </w:r>
      <w:r w:rsidRPr="001F14A2">
        <w:rPr>
          <w:rFonts w:ascii="Simplified Arabic" w:eastAsia="Times New Roman" w:hAnsi="Simplified Arabic" w:cs="Simplified Arabic"/>
          <w:color w:val="000000" w:themeColor="text1"/>
          <w:kern w:val="0"/>
          <w:sz w:val="28"/>
          <w:szCs w:val="28"/>
          <w:rtl/>
          <w14:ligatures w14:val="none"/>
        </w:rPr>
        <w:t>لاختبار دلالة الفروق في استجابات أفراد العينة وفقاً للمتغيرات الديموغرافية ثنائية الفئات (الجنس)</w:t>
      </w:r>
      <w:r w:rsidRPr="001F14A2">
        <w:rPr>
          <w:rFonts w:ascii="Simplified Arabic" w:eastAsia="Times New Roman" w:hAnsi="Simplified Arabic" w:cs="Simplified Arabic"/>
          <w:color w:val="000000" w:themeColor="text1"/>
          <w:kern w:val="0"/>
          <w:sz w:val="28"/>
          <w:szCs w:val="28"/>
          <w14:ligatures w14:val="none"/>
        </w:rPr>
        <w:t>.</w:t>
      </w:r>
    </w:p>
    <w:p w14:paraId="570840D2" w14:textId="0F3DBB04"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تحليل التباين الأحادي</w:t>
      </w:r>
      <w:r w:rsidRPr="001F14A2">
        <w:rPr>
          <w:rFonts w:ascii="Simplified Arabic" w:eastAsia="Times New Roman" w:hAnsi="Simplified Arabic" w:cs="Simplified Arabic"/>
          <w:color w:val="000000" w:themeColor="text1"/>
          <w:kern w:val="0"/>
          <w:sz w:val="28"/>
          <w:szCs w:val="28"/>
          <w14:ligatures w14:val="none"/>
        </w:rPr>
        <w:t xml:space="preserve"> (One-Way ANOVA): </w:t>
      </w:r>
      <w:r w:rsidRPr="001F14A2">
        <w:rPr>
          <w:rFonts w:ascii="Simplified Arabic" w:eastAsia="Times New Roman" w:hAnsi="Simplified Arabic" w:cs="Simplified Arabic"/>
          <w:color w:val="000000" w:themeColor="text1"/>
          <w:kern w:val="0"/>
          <w:sz w:val="28"/>
          <w:szCs w:val="28"/>
          <w:rtl/>
          <w14:ligatures w14:val="none"/>
        </w:rPr>
        <w:t>لاختبار دلالة الفروق في استجابات أفراد العينة وفقاً للمتغيرات الديموغرافية متعددة الفئات (العمر، المؤهل العلمي، سنوات الخبرة، المستوى الوظيفي</w:t>
      </w:r>
      <w:r w:rsidR="001F14A2" w:rsidRPr="001F14A2">
        <w:rPr>
          <w:rFonts w:ascii="Simplified Arabic" w:eastAsia="Times New Roman" w:hAnsi="Simplified Arabic" w:cs="Simplified Arabic" w:hint="cs"/>
          <w:color w:val="000000" w:themeColor="text1"/>
          <w:kern w:val="0"/>
          <w:sz w:val="28"/>
          <w:szCs w:val="28"/>
          <w:rtl/>
          <w14:ligatures w14:val="none"/>
        </w:rPr>
        <w:t>)</w:t>
      </w:r>
    </w:p>
    <w:p w14:paraId="72ABAADA" w14:textId="77777777" w:rsidR="00791DB7" w:rsidRPr="001F14A2" w:rsidRDefault="00791DB7" w:rsidP="001F14A2">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معامل تضخم التباين</w:t>
      </w:r>
      <w:r w:rsidRPr="001F14A2">
        <w:rPr>
          <w:rFonts w:ascii="Simplified Arabic" w:eastAsia="Times New Roman" w:hAnsi="Simplified Arabic" w:cs="Simplified Arabic"/>
          <w:color w:val="000000" w:themeColor="text1"/>
          <w:kern w:val="0"/>
          <w:sz w:val="28"/>
          <w:szCs w:val="28"/>
          <w14:ligatures w14:val="none"/>
        </w:rPr>
        <w:t xml:space="preserve"> (VIF) </w:t>
      </w:r>
      <w:r w:rsidRPr="001F14A2">
        <w:rPr>
          <w:rFonts w:ascii="Simplified Arabic" w:eastAsia="Times New Roman" w:hAnsi="Simplified Arabic" w:cs="Simplified Arabic"/>
          <w:color w:val="000000" w:themeColor="text1"/>
          <w:kern w:val="0"/>
          <w:sz w:val="28"/>
          <w:szCs w:val="28"/>
          <w:rtl/>
          <w14:ligatures w14:val="none"/>
        </w:rPr>
        <w:t>واختبار التحمّل</w:t>
      </w:r>
      <w:r w:rsidRPr="001F14A2">
        <w:rPr>
          <w:rFonts w:ascii="Simplified Arabic" w:eastAsia="Times New Roman" w:hAnsi="Simplified Arabic" w:cs="Simplified Arabic"/>
          <w:color w:val="000000" w:themeColor="text1"/>
          <w:kern w:val="0"/>
          <w:sz w:val="28"/>
          <w:szCs w:val="28"/>
          <w14:ligatures w14:val="none"/>
        </w:rPr>
        <w:t xml:space="preserve"> (Tolerance): </w:t>
      </w:r>
      <w:r w:rsidRPr="001F14A2">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الخطي المتعدد بين المتغيرات المستقلة</w:t>
      </w:r>
      <w:r w:rsidRPr="001F14A2">
        <w:rPr>
          <w:rFonts w:ascii="Simplified Arabic" w:eastAsia="Times New Roman" w:hAnsi="Simplified Arabic" w:cs="Simplified Arabic"/>
          <w:color w:val="000000" w:themeColor="text1"/>
          <w:kern w:val="0"/>
          <w:sz w:val="28"/>
          <w:szCs w:val="28"/>
          <w14:ligatures w14:val="none"/>
        </w:rPr>
        <w:t>.</w:t>
      </w:r>
    </w:p>
    <w:p w14:paraId="5BD025B4" w14:textId="555D607C" w:rsidR="00791DB7" w:rsidRPr="001F14A2" w:rsidRDefault="001F14A2" w:rsidP="001F14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0" w:name="_Toc223917366"/>
      <w:bookmarkStart w:id="41" w:name="_Toc233905864"/>
      <w:r w:rsidRPr="001F14A2">
        <w:rPr>
          <w:rFonts w:ascii="Simplified Arabic" w:eastAsia="Times New Roman" w:hAnsi="Simplified Arabic" w:cs="Simplified Arabic" w:hint="cs"/>
          <w:b/>
          <w:bCs/>
          <w:color w:val="000000" w:themeColor="text1"/>
          <w:kern w:val="36"/>
          <w:sz w:val="36"/>
          <w:szCs w:val="36"/>
          <w:rtl/>
          <w14:ligatures w14:val="none"/>
        </w:rPr>
        <w:t xml:space="preserve">15.1 </w:t>
      </w:r>
      <w:r w:rsidR="00791DB7" w:rsidRPr="001F14A2">
        <w:rPr>
          <w:rFonts w:ascii="Simplified Arabic" w:eastAsia="Times New Roman" w:hAnsi="Simplified Arabic" w:cs="Simplified Arabic"/>
          <w:b/>
          <w:bCs/>
          <w:color w:val="000000" w:themeColor="text1"/>
          <w:kern w:val="36"/>
          <w:sz w:val="36"/>
          <w:szCs w:val="36"/>
          <w:rtl/>
          <w14:ligatures w14:val="none"/>
        </w:rPr>
        <w:t>حدود الدراسة</w:t>
      </w:r>
      <w:bookmarkEnd w:id="40"/>
      <w:bookmarkEnd w:id="41"/>
    </w:p>
    <w:p w14:paraId="5B434128" w14:textId="77777777" w:rsidR="00791DB7" w:rsidRPr="001F14A2" w:rsidRDefault="00791DB7" w:rsidP="001F14A2">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الحدود الموضوعية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ستقتصر الدراسة على دراسة أثر تخطيط القوى العاملة بأبعاده الأربعة (التنبؤ بالاحتياجات الوظيفية، الاستقطاب والتوظيف، التدريب وتنمية المهارات، تقييم الأداء الوظيفي) على جودة الخدمات المقدمة لضيوف الرحمن في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3E278269" w14:textId="77777777" w:rsidR="00791DB7" w:rsidRPr="001F14A2" w:rsidRDefault="00791DB7" w:rsidP="001F14A2">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الحدود المكانية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ستُطبّق الدراسة على الجهات والمؤسسات العاملة في خدمة ضيوف الرحمن ضمن منظومة الحج والعمرة بمكة المكرمة والمشاعر المقدسة بالمملكة العربية السعودية</w:t>
      </w:r>
      <w:r w:rsidRPr="001F14A2">
        <w:rPr>
          <w:rFonts w:ascii="Simplified Arabic" w:eastAsia="Times New Roman" w:hAnsi="Simplified Arabic" w:cs="Simplified Arabic"/>
          <w:color w:val="000000" w:themeColor="text1"/>
          <w:kern w:val="0"/>
          <w:sz w:val="28"/>
          <w:szCs w:val="28"/>
          <w14:ligatures w14:val="none"/>
        </w:rPr>
        <w:t>.</w:t>
      </w:r>
    </w:p>
    <w:p w14:paraId="0CC2B8AF" w14:textId="77777777" w:rsidR="00791DB7" w:rsidRPr="001F14A2" w:rsidRDefault="00791DB7" w:rsidP="001F14A2">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الحدود الزمنية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العام الهجري 1447هـ / الموافق 2025-2026م</w:t>
      </w:r>
      <w:r w:rsidRPr="001F14A2">
        <w:rPr>
          <w:rFonts w:ascii="Simplified Arabic" w:eastAsia="Times New Roman" w:hAnsi="Simplified Arabic" w:cs="Simplified Arabic"/>
          <w:color w:val="000000" w:themeColor="text1"/>
          <w:kern w:val="0"/>
          <w:sz w:val="28"/>
          <w:szCs w:val="28"/>
          <w14:ligatures w14:val="none"/>
        </w:rPr>
        <w:t>.</w:t>
      </w:r>
    </w:p>
    <w:p w14:paraId="0B87C19A" w14:textId="77777777" w:rsidR="003331CF" w:rsidRPr="001F14A2" w:rsidRDefault="00791DB7" w:rsidP="001F14A2">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الحدود البشرية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 xml:space="preserve">ستُطبّق الدراسة على العاملين في الوظائف الإدارية والإشرافية والتشغيلية في وزارة الحج والعمرة والمؤسسات </w:t>
      </w:r>
      <w:proofErr w:type="spellStart"/>
      <w:r w:rsidRPr="001F14A2">
        <w:rPr>
          <w:rFonts w:ascii="Simplified Arabic" w:eastAsia="Times New Roman" w:hAnsi="Simplified Arabic" w:cs="Simplified Arabic"/>
          <w:color w:val="000000" w:themeColor="text1"/>
          <w:kern w:val="0"/>
          <w:sz w:val="28"/>
          <w:szCs w:val="28"/>
          <w:rtl/>
          <w14:ligatures w14:val="none"/>
        </w:rPr>
        <w:t>الطوافية</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وشركات خدمة الحجاج والجهات التشغيلية المساندة ضمن منظومة الحج والعمرة</w:t>
      </w:r>
      <w:r w:rsidRPr="001F14A2">
        <w:rPr>
          <w:rFonts w:ascii="Simplified Arabic" w:eastAsia="Times New Roman" w:hAnsi="Simplified Arabic" w:cs="Simplified Arabic"/>
          <w:color w:val="000000" w:themeColor="text1"/>
          <w:kern w:val="0"/>
          <w:sz w:val="28"/>
          <w:szCs w:val="28"/>
          <w14:ligatures w14:val="none"/>
        </w:rPr>
        <w:t>.</w:t>
      </w:r>
    </w:p>
    <w:p w14:paraId="3A522976" w14:textId="78096AD0" w:rsidR="003B1410" w:rsidRPr="001F14A2" w:rsidRDefault="003331CF" w:rsidP="003331CF">
      <w:pPr>
        <w:jc w:val="center"/>
        <w:outlineLvl w:val="0"/>
        <w:rPr>
          <w:rFonts w:ascii="Simplified Arabic" w:eastAsia="Times New Roman" w:hAnsi="Simplified Arabic" w:cs="Simplified Arabic"/>
          <w:b/>
          <w:bCs/>
          <w:color w:val="000000" w:themeColor="text1"/>
          <w:kern w:val="0"/>
          <w:sz w:val="40"/>
          <w:szCs w:val="40"/>
          <w14:ligatures w14:val="none"/>
        </w:rPr>
      </w:pPr>
      <w:r w:rsidRPr="001F14A2">
        <w:rPr>
          <w:rFonts w:ascii="Simplified Arabic" w:eastAsia="Times New Roman" w:hAnsi="Simplified Arabic" w:cs="Simplified Arabic"/>
          <w:b/>
          <w:bCs/>
          <w:color w:val="000000" w:themeColor="text1"/>
          <w:kern w:val="0"/>
          <w:sz w:val="40"/>
          <w:szCs w:val="40"/>
          <w14:ligatures w14:val="none"/>
        </w:rPr>
        <w:br w:type="page"/>
      </w:r>
      <w:bookmarkStart w:id="42" w:name="_Toc233905865"/>
      <w:r w:rsidRPr="001F14A2">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3B1410" w:rsidRPr="001F14A2">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2"/>
    </w:p>
    <w:p w14:paraId="7D0D74D2" w14:textId="77777777" w:rsidR="003B1410" w:rsidRPr="001F14A2" w:rsidRDefault="003B1410" w:rsidP="003331CF">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3" w:name="_Toc233905866"/>
      <w:r w:rsidRPr="001F14A2">
        <w:rPr>
          <w:rFonts w:ascii="Simplified Arabic" w:eastAsia="Times New Roman" w:hAnsi="Simplified Arabic" w:cs="Simplified Arabic"/>
          <w:b/>
          <w:bCs/>
          <w:color w:val="000000" w:themeColor="text1"/>
          <w:kern w:val="0"/>
          <w:sz w:val="36"/>
          <w:szCs w:val="36"/>
          <w:rtl/>
          <w14:ligatures w14:val="none"/>
        </w:rPr>
        <w:t>المبحث الأول: تخطيط القوى العاملة</w:t>
      </w:r>
      <w:bookmarkEnd w:id="43"/>
    </w:p>
    <w:p w14:paraId="08479E25" w14:textId="68681CEB"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905867"/>
      <w:r w:rsidRPr="001F14A2">
        <w:rPr>
          <w:rFonts w:ascii="Simplified Arabic" w:eastAsia="Times New Roman" w:hAnsi="Simplified Arabic" w:cs="Simplified Arabic" w:hint="cs"/>
          <w:b/>
          <w:bCs/>
          <w:color w:val="000000" w:themeColor="text1"/>
          <w:kern w:val="0"/>
          <w:sz w:val="32"/>
          <w:szCs w:val="32"/>
          <w:rtl/>
          <w14:ligatures w14:val="none"/>
        </w:rPr>
        <w:t xml:space="preserve">1.1.2 </w:t>
      </w:r>
      <w:r w:rsidR="003B1410" w:rsidRPr="001F14A2">
        <w:rPr>
          <w:rFonts w:ascii="Simplified Arabic" w:eastAsia="Times New Roman" w:hAnsi="Simplified Arabic" w:cs="Simplified Arabic"/>
          <w:b/>
          <w:bCs/>
          <w:color w:val="000000" w:themeColor="text1"/>
          <w:kern w:val="0"/>
          <w:sz w:val="32"/>
          <w:szCs w:val="32"/>
          <w:rtl/>
          <w14:ligatures w14:val="none"/>
        </w:rPr>
        <w:t>تمهيد</w:t>
      </w:r>
      <w:bookmarkEnd w:id="44"/>
    </w:p>
    <w:p w14:paraId="3E8A9CAD"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يُمثّل تخطيط القوى العاملة أحد الركائز الجوهرية في منظومة إدارة الموارد البشرية المعاصرة، إذ يُعدّ المدخل المنهجي الذي تستند إليه المنظمات في مواءمة طاقاتها البشرية مع متطلبات أعمالها وتوجهاتها الاستراتيجية. وقد اكتسب هذا المفهوم أهميةً متصاعدة في ظل التحولات التي تشهدها بيئات العمل، من تسارع في وتيرة التغير التقني، وتزايد في حدة المنافسة، وتعقيد في طبيعة المهام، وتنوع في خصائص العاملين ومتطلباتهم. ويبرز دوره بصورة أكثر وضوحًا في القطاعات ذات الطابع الموسمي أو ذات الطلب المتذبذب، حيث تتطلب طبيعة العمل قدرًا عاليًا من المرونة في توفير الكفاءات البشرية المناسبة كمًّا ونوعًا، وفي التوقيت الملائم. ومن أبرز هذه القطاعات منظومة خدمة ضيوف الرحمن في موسمي الحج والعمرة، التي تستلزم تخطيطًا دقيقًا للقوى العاملة يستوعب الطبيعة الاستثنائية للطلب، ويُلبي تطلعات المستفيدين، ويُحقق المستهدفات الوطنية ذات الصلة. ويسعى هذا المبحث إلى تأصيل مفهوم تخطيط القوى العاملة، وإبراز أهميته وأهدافه، وتحليل أبعاده المعتمدة في الدراسة الحالية، مع استعراض المداخل النظرية والاتجاهات الفكرية التي عالجت هذا المتغير في الأدب الإداري المعاصر</w:t>
      </w:r>
      <w:r w:rsidRPr="001F14A2">
        <w:rPr>
          <w:rFonts w:ascii="Simplified Arabic" w:eastAsia="Times New Roman" w:hAnsi="Simplified Arabic" w:cs="Simplified Arabic"/>
          <w:color w:val="000000" w:themeColor="text1"/>
          <w:kern w:val="0"/>
          <w:sz w:val="28"/>
          <w:szCs w:val="28"/>
          <w14:ligatures w14:val="none"/>
        </w:rPr>
        <w:t>.</w:t>
      </w:r>
    </w:p>
    <w:p w14:paraId="66A96B44" w14:textId="0DC1C877"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905868"/>
      <w:r w:rsidRPr="001F14A2">
        <w:rPr>
          <w:rFonts w:ascii="Simplified Arabic" w:eastAsia="Times New Roman" w:hAnsi="Simplified Arabic" w:cs="Simplified Arabic" w:hint="cs"/>
          <w:b/>
          <w:bCs/>
          <w:color w:val="000000" w:themeColor="text1"/>
          <w:kern w:val="0"/>
          <w:sz w:val="32"/>
          <w:szCs w:val="32"/>
          <w:rtl/>
          <w14:ligatures w14:val="none"/>
        </w:rPr>
        <w:t>2.1.2</w:t>
      </w:r>
      <w:r w:rsidR="003B1410" w:rsidRPr="001F14A2">
        <w:rPr>
          <w:rFonts w:ascii="Simplified Arabic" w:eastAsia="Times New Roman" w:hAnsi="Simplified Arabic" w:cs="Simplified Arabic"/>
          <w:b/>
          <w:bCs/>
          <w:color w:val="000000" w:themeColor="text1"/>
          <w:kern w:val="0"/>
          <w:sz w:val="32"/>
          <w:szCs w:val="32"/>
          <w:rtl/>
          <w14:ligatures w14:val="none"/>
        </w:rPr>
        <w:t xml:space="preserve"> مفهوم تخطيط القوى العاملة</w:t>
      </w:r>
      <w:bookmarkEnd w:id="45"/>
    </w:p>
    <w:p w14:paraId="0C85086B"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تعددت رؤى الباحثين حول مفهوم تخطيط القوى العاملة، وتباينت زوايا معالجتهم له بحسب السياق المعرفي والميداني الذي انطلقوا منه. فقد تناوله بعضهم بوصفه عملية تنبؤية كمية، فيما عالجه آخرون باعتباره منظومة استراتيجية متكاملة تتجاوز البُعد العددي إلى الأبعاد النوعية والمهارية والثقافية للموارد البشرية</w:t>
      </w:r>
      <w:r w:rsidRPr="001F14A2">
        <w:rPr>
          <w:rFonts w:ascii="Simplified Arabic" w:eastAsia="Times New Roman" w:hAnsi="Simplified Arabic" w:cs="Simplified Arabic"/>
          <w:color w:val="000000" w:themeColor="text1"/>
          <w:kern w:val="0"/>
          <w:sz w:val="28"/>
          <w:szCs w:val="28"/>
          <w14:ligatures w14:val="none"/>
        </w:rPr>
        <w:t>.</w:t>
      </w:r>
    </w:p>
    <w:p w14:paraId="66A095E2"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ويُنظر إلى تخطيط القوى العاملة بوصفه عملية منهجية تستهدف ضمان توافر العدد الملائم من العاملين ذوي المهارات المناسبة في المواقع المناسبة وفي الوقت المناسب، بما يدعم تحقيق الأهداف التنظيمية ويُسهم في تنمية الموارد البشرية على المدى البعيد (الخليفة والأمين، 2021). وفي هذا المعنى </w:t>
      </w:r>
      <w:r w:rsidRPr="001F14A2">
        <w:rPr>
          <w:rFonts w:ascii="Simplified Arabic" w:eastAsia="Times New Roman" w:hAnsi="Simplified Arabic" w:cs="Simplified Arabic"/>
          <w:color w:val="000000" w:themeColor="text1"/>
          <w:kern w:val="0"/>
          <w:sz w:val="28"/>
          <w:szCs w:val="28"/>
          <w:rtl/>
          <w14:ligatures w14:val="none"/>
        </w:rPr>
        <w:lastRenderedPageBreak/>
        <w:t>يُمثّل التخطيط جسرًا يربط بين الواقع الراهن للقوى العاملة وبين ما تتطلع إليه المنظمة من تشكيلات بشرية مستقبلية، استنادًا إلى قراءة دقيقة للمتغيرات الداخلية والخارجية</w:t>
      </w:r>
      <w:r w:rsidRPr="001F14A2">
        <w:rPr>
          <w:rFonts w:ascii="Simplified Arabic" w:eastAsia="Times New Roman" w:hAnsi="Simplified Arabic" w:cs="Simplified Arabic"/>
          <w:color w:val="000000" w:themeColor="text1"/>
          <w:kern w:val="0"/>
          <w:sz w:val="28"/>
          <w:szCs w:val="28"/>
          <w14:ligatures w14:val="none"/>
        </w:rPr>
        <w:t>.</w:t>
      </w:r>
    </w:p>
    <w:p w14:paraId="39A2F4F7"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ويُوسّع عشوي وحسين (2023) دائرة المفهوم حين يُقدّمانه باعتباره عملية تحليلية تجمع بين البُعد النظري والبُعد القياسي، إذ لا يقتصر التخطيط على إجراء تقديرات عددية للاحتياجات، بل يمتد ليشمل بناء نماذج تفسيرية لسلوك سوق العمل داخل المؤسسة، وتفسير العلاقة بين متغيرات الإنتاج ومتغيرات التشغيل. ومن ثم فإن المفهوم يكتسب طبيعة مزدوجة، فهو إداري في غايته، وكمي تحليلي في أدواته</w:t>
      </w:r>
      <w:r w:rsidRPr="001F14A2">
        <w:rPr>
          <w:rFonts w:ascii="Simplified Arabic" w:eastAsia="Times New Roman" w:hAnsi="Simplified Arabic" w:cs="Simplified Arabic"/>
          <w:color w:val="000000" w:themeColor="text1"/>
          <w:kern w:val="0"/>
          <w:sz w:val="28"/>
          <w:szCs w:val="28"/>
          <w14:ligatures w14:val="none"/>
        </w:rPr>
        <w:t>.</w:t>
      </w:r>
    </w:p>
    <w:p w14:paraId="3B9C76DB"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ويُقدّم آل سالم وآخرون (2022) قراءة أكثر تكاملية، إذ يربطون مفهوم تخطيط القوى العاملة بمنظومة نظم معلومات الموارد البشرية، ويصفونه بأنه العملية التي تستثمر البيانات والمعلومات المتدفقة من قواعد بيانات الموظفين والوظائف لتحديد الاحتياجات الكمية والنوعية، وترشيد قرارات التوظيف والتعيين. وبهذا المعنى يتحول التخطيط من ممارسة تقديرية تقريبية إلى عملية مدعومة بالبيانات، تُوظّف فيها التقنية لتحقيق الدقة والاستجابة الآنية</w:t>
      </w:r>
      <w:r w:rsidRPr="001F14A2">
        <w:rPr>
          <w:rFonts w:ascii="Simplified Arabic" w:eastAsia="Times New Roman" w:hAnsi="Simplified Arabic" w:cs="Simplified Arabic"/>
          <w:color w:val="000000" w:themeColor="text1"/>
          <w:kern w:val="0"/>
          <w:sz w:val="28"/>
          <w:szCs w:val="28"/>
          <w14:ligatures w14:val="none"/>
        </w:rPr>
        <w:t>.</w:t>
      </w:r>
    </w:p>
    <w:p w14:paraId="7C888233"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ومن منظور تنموي، يُعرّف حرج (2023) تخطيط القوى العاملة باعتباره الإطار الذي تتم من خلاله عمليات تنمية وتطوير الكوادر البشرية في مؤسسات الدولة، فهو ليس مجرد توفير لأعداد العاملين، بل هو منهجية متكاملة لرفع كفاءة هذه الأعداد وتعزيز قدراتها وتأهيلها لمواكبة التحولات المستقبلية. وهذا التعريف يُبرز الطابع الديناميكي للمفهوم، إذ ينتقل به من النظرة الساكنة إلى النظرة المتطورة التي تواكب تحولات بيئة العمل</w:t>
      </w:r>
      <w:r w:rsidRPr="001F14A2">
        <w:rPr>
          <w:rFonts w:ascii="Simplified Arabic" w:eastAsia="Times New Roman" w:hAnsi="Simplified Arabic" w:cs="Simplified Arabic"/>
          <w:color w:val="000000" w:themeColor="text1"/>
          <w:kern w:val="0"/>
          <w:sz w:val="28"/>
          <w:szCs w:val="28"/>
          <w14:ligatures w14:val="none"/>
        </w:rPr>
        <w:t>.</w:t>
      </w:r>
    </w:p>
    <w:p w14:paraId="1BF7EC25"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وعلى الصعيد الأجنبي، يُقدّم</w:t>
      </w:r>
      <w:r w:rsidRPr="001F14A2">
        <w:rPr>
          <w:rFonts w:ascii="Simplified Arabic" w:eastAsia="Times New Roman" w:hAnsi="Simplified Arabic" w:cs="Simplified Arabic"/>
          <w:color w:val="000000" w:themeColor="text1"/>
          <w:kern w:val="0"/>
          <w:sz w:val="28"/>
          <w:szCs w:val="28"/>
          <w14:ligatures w14:val="none"/>
        </w:rPr>
        <w:t xml:space="preserve"> Jaillet et al. (2022) </w:t>
      </w:r>
      <w:r w:rsidRPr="001F14A2">
        <w:rPr>
          <w:rFonts w:ascii="Simplified Arabic" w:eastAsia="Times New Roman" w:hAnsi="Simplified Arabic" w:cs="Simplified Arabic"/>
          <w:color w:val="000000" w:themeColor="text1"/>
          <w:kern w:val="0"/>
          <w:sz w:val="28"/>
          <w:szCs w:val="28"/>
          <w:rtl/>
          <w14:ligatures w14:val="none"/>
        </w:rPr>
        <w:t>مقاربة استراتيجية متقدمة، إذ ينظرون إلى تخطيط القوى العاملة بوصفه عملية اتخاذ قرارات في ظل ظروف عدم اليقين، تستلزم بناء نماذج رياضية متينة قادرة على استيعاب التذبذب في الطلب وعدم استقرار العرض، وتقديم حلول مرنة تتكيف مع المستجدات. ومن ثم يصبح التخطيط ممارسة احتمالية لا حتمية، تنبني على إدارة المخاطر لا على افتراض الثبات</w:t>
      </w:r>
      <w:r w:rsidRPr="001F14A2">
        <w:rPr>
          <w:rFonts w:ascii="Simplified Arabic" w:eastAsia="Times New Roman" w:hAnsi="Simplified Arabic" w:cs="Simplified Arabic"/>
          <w:color w:val="000000" w:themeColor="text1"/>
          <w:kern w:val="0"/>
          <w:sz w:val="28"/>
          <w:szCs w:val="28"/>
          <w14:ligatures w14:val="none"/>
        </w:rPr>
        <w:t>.</w:t>
      </w:r>
    </w:p>
    <w:p w14:paraId="112B069C"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ويُقاربه</w:t>
      </w:r>
      <w:r w:rsidRPr="001F14A2">
        <w:rPr>
          <w:rFonts w:ascii="Simplified Arabic" w:eastAsia="Times New Roman" w:hAnsi="Simplified Arabic" w:cs="Simplified Arabic"/>
          <w:color w:val="000000" w:themeColor="text1"/>
          <w:kern w:val="0"/>
          <w:sz w:val="28"/>
          <w:szCs w:val="28"/>
          <w14:ligatures w14:val="none"/>
        </w:rPr>
        <w:t xml:space="preserve"> Koole and Li (2023) </w:t>
      </w:r>
      <w:r w:rsidRPr="001F14A2">
        <w:rPr>
          <w:rFonts w:ascii="Simplified Arabic" w:eastAsia="Times New Roman" w:hAnsi="Simplified Arabic" w:cs="Simplified Arabic"/>
          <w:color w:val="000000" w:themeColor="text1"/>
          <w:kern w:val="0"/>
          <w:sz w:val="28"/>
          <w:szCs w:val="28"/>
          <w:rtl/>
          <w14:ligatures w14:val="none"/>
        </w:rPr>
        <w:t xml:space="preserve">من زاوية تطبيقية تشغيلية، إذ يُعرّفانه ضمن سياق مراكز الخدمة بوصفه منظومة قرارات متعددة المستويات تربط بين التنبؤ بالطلب، وتحديد مستويات التوظيف، وجدولة </w:t>
      </w:r>
      <w:r w:rsidRPr="001F14A2">
        <w:rPr>
          <w:rFonts w:ascii="Simplified Arabic" w:eastAsia="Times New Roman" w:hAnsi="Simplified Arabic" w:cs="Simplified Arabic"/>
          <w:color w:val="000000" w:themeColor="text1"/>
          <w:kern w:val="0"/>
          <w:sz w:val="28"/>
          <w:szCs w:val="28"/>
          <w:rtl/>
          <w14:ligatures w14:val="none"/>
        </w:rPr>
        <w:lastRenderedPageBreak/>
        <w:t>المناوبات، وإدارة الأداء الآني. وفي هذا الإطار يُمثّل التخطيط حلقات متتابعة تبدأ بقراءة الطلب وتنتهي بتقييم النتائج التشغيلية</w:t>
      </w:r>
      <w:r w:rsidRPr="001F14A2">
        <w:rPr>
          <w:rFonts w:ascii="Simplified Arabic" w:eastAsia="Times New Roman" w:hAnsi="Simplified Arabic" w:cs="Simplified Arabic"/>
          <w:color w:val="000000" w:themeColor="text1"/>
          <w:kern w:val="0"/>
          <w:sz w:val="28"/>
          <w:szCs w:val="28"/>
          <w14:ligatures w14:val="none"/>
        </w:rPr>
        <w:t>.</w:t>
      </w:r>
    </w:p>
    <w:p w14:paraId="3AA946DE"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ويُضيف</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Baghersad</w:t>
      </w:r>
      <w:proofErr w:type="spellEnd"/>
      <w:r w:rsidRPr="001F14A2">
        <w:rPr>
          <w:rFonts w:ascii="Simplified Arabic" w:eastAsia="Times New Roman" w:hAnsi="Simplified Arabic" w:cs="Simplified Arabic"/>
          <w:color w:val="000000" w:themeColor="text1"/>
          <w:kern w:val="0"/>
          <w:sz w:val="28"/>
          <w:szCs w:val="28"/>
          <w14:ligatures w14:val="none"/>
        </w:rPr>
        <w:t xml:space="preserve"> et al. (2024) </w:t>
      </w:r>
      <w:r w:rsidRPr="001F14A2">
        <w:rPr>
          <w:rFonts w:ascii="Simplified Arabic" w:eastAsia="Times New Roman" w:hAnsi="Simplified Arabic" w:cs="Simplified Arabic"/>
          <w:color w:val="000000" w:themeColor="text1"/>
          <w:kern w:val="0"/>
          <w:sz w:val="28"/>
          <w:szCs w:val="28"/>
          <w:rtl/>
          <w14:ligatures w14:val="none"/>
        </w:rPr>
        <w:t>بعدًا استشرافيًا حين يُعرّفون تخطيط القوى العاملة في سياق القطاعات الموسمية بوصفه عملية تستهدف بناء صورة مستقبلية للموارد البشرية تستجيب لتطور الصناعة وتغير أنماط الطلب، مع مراعاة الخصائص الفريدة للعمل الموسمي من حيث الذروات والركود. وفي هذا السياق يكتسب التخطيط طابعًا تنبؤيًا تطويريًا، يربط حاضر المنظمة بمستقبلها</w:t>
      </w:r>
      <w:r w:rsidRPr="001F14A2">
        <w:rPr>
          <w:rFonts w:ascii="Simplified Arabic" w:eastAsia="Times New Roman" w:hAnsi="Simplified Arabic" w:cs="Simplified Arabic"/>
          <w:color w:val="000000" w:themeColor="text1"/>
          <w:kern w:val="0"/>
          <w:sz w:val="28"/>
          <w:szCs w:val="28"/>
          <w14:ligatures w14:val="none"/>
        </w:rPr>
        <w:t>.</w:t>
      </w:r>
    </w:p>
    <w:p w14:paraId="0B109555"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ومن خلال استقراء التعريفات السابقة، يُمكن تبيّن وجود ثلاثة اتجاهات رئيسة في تعريف تخطيط القوى العاملة: اتجاه كمي يُركّز على التقدير العددي للاحتياجات، واتجاه نوعي يُركّز على المهارات والكفاءات والتأهيل، واتجاه استراتيجي تكاملي يدمج البُعدين الكمي والنوعي ضمن منظومة قرارات طويلة المدى تتعامل مع عدم اليقين. ويرى الباحث أن تخطيط القوى العاملة في سياق منظومة خدمة ضيوف الرحمن يُمكن تعريفه بأنه: “عملية منهجية استشرافية تتولاها الجهات والمؤسسات العاملة في قطاع الحج والعمرة، تستهدف التقدير الدقيق للاحتياجات البشرية كمًّا ونوعًا، واستقطاب الكفاءات الملائمة، وتأهيلها وتطوير مهاراتها، وتقييم أدائها بصورة مستمرة، بما يكفل تقديم خدمات متميزة لضيوف الرحمن، ويستجيب للطبيعة الموسمية والاستثنائية لهذا القطاع، ويُحقق التكامل مع المستهدفات الوطنية للمملكة العربية السعودية</w:t>
      </w:r>
      <w:r w:rsidRPr="001F14A2">
        <w:rPr>
          <w:rFonts w:ascii="Simplified Arabic" w:eastAsia="Times New Roman" w:hAnsi="Simplified Arabic" w:cs="Simplified Arabic"/>
          <w:color w:val="000000" w:themeColor="text1"/>
          <w:kern w:val="0"/>
          <w:sz w:val="28"/>
          <w:szCs w:val="28"/>
          <w14:ligatures w14:val="none"/>
        </w:rPr>
        <w:t>”.</w:t>
      </w:r>
    </w:p>
    <w:p w14:paraId="163D99D3" w14:textId="4F8A60F8"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905869"/>
      <w:r w:rsidRPr="001F14A2">
        <w:rPr>
          <w:rFonts w:ascii="Simplified Arabic" w:eastAsia="Times New Roman" w:hAnsi="Simplified Arabic" w:cs="Simplified Arabic" w:hint="cs"/>
          <w:b/>
          <w:bCs/>
          <w:color w:val="000000" w:themeColor="text1"/>
          <w:kern w:val="0"/>
          <w:sz w:val="32"/>
          <w:szCs w:val="32"/>
          <w:rtl/>
          <w14:ligatures w14:val="none"/>
        </w:rPr>
        <w:t>3.1.2</w:t>
      </w:r>
      <w:r w:rsidR="003B1410" w:rsidRPr="001F14A2">
        <w:rPr>
          <w:rFonts w:ascii="Simplified Arabic" w:eastAsia="Times New Roman" w:hAnsi="Simplified Arabic" w:cs="Simplified Arabic"/>
          <w:b/>
          <w:bCs/>
          <w:color w:val="000000" w:themeColor="text1"/>
          <w:kern w:val="0"/>
          <w:sz w:val="32"/>
          <w:szCs w:val="32"/>
          <w:rtl/>
          <w14:ligatures w14:val="none"/>
        </w:rPr>
        <w:t xml:space="preserve"> أهمية تخطيط القوى العاملة</w:t>
      </w:r>
      <w:bookmarkEnd w:id="46"/>
    </w:p>
    <w:p w14:paraId="5442F31E"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تنبع أهمية تخطيط القوى العاملة من كونه يُمثّل حلقة الوصل بين الموارد البشرية بوصفها أثمن أصول المنظمة، وبين الأهداف الاستراتيجية التي تسعى المنظمة إلى تحقيقها. فهو يضمن أن تكون هذه الموارد متاحة بالقدر الملائم والكفاءة المطلوبة في الوقت المناسب، ويُجنّب المنظمات مشكلات الفائض الذي يُكبّدها أعباءً مالية، أو العجز الذي يُعطّل عملياتها التشغيلية. وتتضاعف هذه الأهمية في القطاعات ذات الطلب الموسمي المرتفع كقطاع خدمات الحج والعمرة، حيث يُترجم أي خلل في التخطيط إلى انعكاسات مباشرة على جودة الخدمة وانتظام التشغيل</w:t>
      </w:r>
      <w:r w:rsidRPr="001F14A2">
        <w:rPr>
          <w:rFonts w:ascii="Simplified Arabic" w:eastAsia="Times New Roman" w:hAnsi="Simplified Arabic" w:cs="Simplified Arabic"/>
          <w:color w:val="000000" w:themeColor="text1"/>
          <w:kern w:val="0"/>
          <w:sz w:val="28"/>
          <w:szCs w:val="28"/>
          <w14:ligatures w14:val="none"/>
        </w:rPr>
        <w:t>.</w:t>
      </w:r>
    </w:p>
    <w:p w14:paraId="277599F8"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ويُشير حرج (2023) إلى أن أهمية تخطيط القوى العاملة تتجلى في كونه أداة لتنمية وتطوير الكوادر البشرية داخل مؤسسات الدولة، إذ يُسهم في الكشف عن الفجوات المهارية، وتحديد الاحتياجات التدريبية، ورسم مسارات التطور الوظيفي للعاملين. كما يُمثّل وسيلة لتعزيز قدرة المؤسسات على مواكبة التحولات </w:t>
      </w:r>
      <w:r w:rsidRPr="001F14A2">
        <w:rPr>
          <w:rFonts w:ascii="Simplified Arabic" w:eastAsia="Times New Roman" w:hAnsi="Simplified Arabic" w:cs="Simplified Arabic"/>
          <w:color w:val="000000" w:themeColor="text1"/>
          <w:kern w:val="0"/>
          <w:sz w:val="28"/>
          <w:szCs w:val="28"/>
          <w:rtl/>
          <w14:ligatures w14:val="none"/>
        </w:rPr>
        <w:lastRenderedPageBreak/>
        <w:t>التي تشهدها بيئة العمل، وتمكينها من بناء قاعدة بشرية مؤهلة قادرة على تنفيذ السياسات والبرامج الحكومية بكفاءة. ويُشكّل من زاوية أخرى أداة لضبط الإنفاق على الأجور والمزايا، إذ يحول دون التضخم الوظيفي ويُرشّد توزيع الموارد المالية المخصصة للموارد البشرية</w:t>
      </w:r>
      <w:r w:rsidRPr="001F14A2">
        <w:rPr>
          <w:rFonts w:ascii="Simplified Arabic" w:eastAsia="Times New Roman" w:hAnsi="Simplified Arabic" w:cs="Simplified Arabic"/>
          <w:color w:val="000000" w:themeColor="text1"/>
          <w:kern w:val="0"/>
          <w:sz w:val="28"/>
          <w:szCs w:val="28"/>
          <w14:ligatures w14:val="none"/>
        </w:rPr>
        <w:t>.</w:t>
      </w:r>
    </w:p>
    <w:p w14:paraId="65A0914A"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ويرى آل سالم وآخرون (2022) أن أهميته تنبع من ارتباطه الوثيق بنظم معلومات الموارد البشرية، إذ يُحقق دقة في عملية التوظيف، ويُمكّن المنظمات الصحية ونظيراتها الخدمية من مواجهة تحديات الطلب المتزايد على خدماتها. كما يُسهم في بناء قواعد بيانات شاملة عن العاملين تُستثمر في اتخاذ قرارات إدارية رشيدة، ويُتيح متابعة حركة العمالة الداخلية والخارجية، ويوفّر مؤشرات دقيقة عن معدلات الدوران والترقية والإحلال، بما يُعزز قدرة المنظمة على الاستجابة السريعة لمتغيرات بيئتها</w:t>
      </w:r>
      <w:r w:rsidRPr="001F14A2">
        <w:rPr>
          <w:rFonts w:ascii="Simplified Arabic" w:eastAsia="Times New Roman" w:hAnsi="Simplified Arabic" w:cs="Simplified Arabic"/>
          <w:color w:val="000000" w:themeColor="text1"/>
          <w:kern w:val="0"/>
          <w:sz w:val="28"/>
          <w:szCs w:val="28"/>
          <w14:ligatures w14:val="none"/>
        </w:rPr>
        <w:t>.</w:t>
      </w:r>
    </w:p>
    <w:p w14:paraId="5BF2A7B0"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ويُؤكّد عشوي وحسين (2023) أن أهمية تخطيط القوى العاملة تتجلى على مستوى المؤسسة في تحقيق التوازن بين العرض والطلب على العمل، وفي بناء نماذج قياسية تُيسّر اتخاذ القرارات المتعلقة بالتوظيف والتسريح والترقية. كما تتجلى في كونه يُمكّن المؤسسة من التعامل مع التذبذبات الدورية في حجم النشاط، ويُوفّر إطارًا تحليليًا لفهم العلاقة بين متغيرات الإنتاج والإنتاجية ومتغيرات التشغيل، مما يرفع من قدرة الإدارة على إدارة مواردها البشرية بأسلوب علمي يستند إلى المؤشرات والأرقام لا إلى التقديرات الانطباعية</w:t>
      </w:r>
      <w:r w:rsidRPr="001F14A2">
        <w:rPr>
          <w:rFonts w:ascii="Simplified Arabic" w:eastAsia="Times New Roman" w:hAnsi="Simplified Arabic" w:cs="Simplified Arabic"/>
          <w:color w:val="000000" w:themeColor="text1"/>
          <w:kern w:val="0"/>
          <w:sz w:val="28"/>
          <w:szCs w:val="28"/>
          <w14:ligatures w14:val="none"/>
        </w:rPr>
        <w:t>.</w:t>
      </w:r>
    </w:p>
    <w:p w14:paraId="0717E2AF"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ويُبرز</w:t>
      </w:r>
      <w:r w:rsidRPr="001F14A2">
        <w:rPr>
          <w:rFonts w:ascii="Simplified Arabic" w:eastAsia="Times New Roman" w:hAnsi="Simplified Arabic" w:cs="Simplified Arabic"/>
          <w:color w:val="000000" w:themeColor="text1"/>
          <w:kern w:val="0"/>
          <w:sz w:val="28"/>
          <w:szCs w:val="28"/>
          <w14:ligatures w14:val="none"/>
        </w:rPr>
        <w:t xml:space="preserve"> Jaillet et al. (2022) </w:t>
      </w:r>
      <w:r w:rsidRPr="001F14A2">
        <w:rPr>
          <w:rFonts w:ascii="Simplified Arabic" w:eastAsia="Times New Roman" w:hAnsi="Simplified Arabic" w:cs="Simplified Arabic"/>
          <w:color w:val="000000" w:themeColor="text1"/>
          <w:kern w:val="0"/>
          <w:sz w:val="28"/>
          <w:szCs w:val="28"/>
          <w:rtl/>
          <w14:ligatures w14:val="none"/>
        </w:rPr>
        <w:t>أن أهميته تكمن في تمكين المنظمات من اتخاذ قرارات استراتيجية في ظل بيئات يسودها عدم اليقين، إذ يُتيح بناء سيناريوهات بديلة لمواجهة التذبذبات في الطلب والعرض. كما يُسهم في الحد من التكاليف الناجمة عن سوء التقدير، سواء أكان ذلك في صورة فائض في العمالة يُكبّد المنظمة أعباء مالية، أم في صورة عجز يُخلّ بالتزاماتها التشغيلية. ويُمثّل من هذا المنطلق أداة للتحوّط الاستراتيجي ضد المفاجآت، ووسيلة لبناء مرونة تنظيمية تستوعب الصدمات الخارجية</w:t>
      </w:r>
      <w:r w:rsidRPr="001F14A2">
        <w:rPr>
          <w:rFonts w:ascii="Simplified Arabic" w:eastAsia="Times New Roman" w:hAnsi="Simplified Arabic" w:cs="Simplified Arabic"/>
          <w:color w:val="000000" w:themeColor="text1"/>
          <w:kern w:val="0"/>
          <w:sz w:val="28"/>
          <w:szCs w:val="28"/>
          <w14:ligatures w14:val="none"/>
        </w:rPr>
        <w:t>.</w:t>
      </w:r>
    </w:p>
    <w:p w14:paraId="3A5FFB96"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ويُضيف</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Baghersad</w:t>
      </w:r>
      <w:proofErr w:type="spellEnd"/>
      <w:r w:rsidRPr="001F14A2">
        <w:rPr>
          <w:rFonts w:ascii="Simplified Arabic" w:eastAsia="Times New Roman" w:hAnsi="Simplified Arabic" w:cs="Simplified Arabic"/>
          <w:color w:val="000000" w:themeColor="text1"/>
          <w:kern w:val="0"/>
          <w:sz w:val="28"/>
          <w:szCs w:val="28"/>
          <w14:ligatures w14:val="none"/>
        </w:rPr>
        <w:t xml:space="preserve"> et al. (2024) </w:t>
      </w:r>
      <w:r w:rsidRPr="001F14A2">
        <w:rPr>
          <w:rFonts w:ascii="Simplified Arabic" w:eastAsia="Times New Roman" w:hAnsi="Simplified Arabic" w:cs="Simplified Arabic"/>
          <w:color w:val="000000" w:themeColor="text1"/>
          <w:kern w:val="0"/>
          <w:sz w:val="28"/>
          <w:szCs w:val="28"/>
          <w:rtl/>
          <w14:ligatures w14:val="none"/>
        </w:rPr>
        <w:t>بُعدًا متعلقًا بالقطاعات الموسمية، حيث تكتسب أهمية التخطيط طابعًا حرجًا، إذ تتباين أحجام النشاط بصورة جوهرية بين موسم وآخر. ويُمكّن التخطيط هذه القطاعات من الاستعداد المسبق لذروات الطلب، وتحديد المهارات النوعية المطلوبة لكل مرحلة، وتجنب الاضطرابات التشغيلية الناجمة عن النقص المفاجئ في العمالة المؤهلة. كما يُوفّر إطارًا لمعالجة قضايا الاستبقاء والولاء الوظيفي في بيئات يغلب عليها العمل المؤقت</w:t>
      </w:r>
      <w:r w:rsidRPr="001F14A2">
        <w:rPr>
          <w:rFonts w:ascii="Simplified Arabic" w:eastAsia="Times New Roman" w:hAnsi="Simplified Arabic" w:cs="Simplified Arabic"/>
          <w:color w:val="000000" w:themeColor="text1"/>
          <w:kern w:val="0"/>
          <w:sz w:val="28"/>
          <w:szCs w:val="28"/>
          <w14:ligatures w14:val="none"/>
        </w:rPr>
        <w:t>.</w:t>
      </w:r>
    </w:p>
    <w:p w14:paraId="0F43832F"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lastRenderedPageBreak/>
        <w:t>ومن منظور تكاملي، يُمكن القول إن أهمية تخطيط القوى العاملة في منظومة خدمة ضيوف الرحمن تتعاظم لاعتبارات متعددة، تتصل بالطبيعة الاستثنائية للموسم، وضخامة أعداد الحجاج والمعتمرين، وتنوع الخدمات المقدمة لهم، وتعدد الجهات المنفذة، فضلًا عن البُعد الديني والروحي الذي يُضفي على هذه الخدمة طابعًا خاصًا يستوجب أعلى مستويات الجودة والإتقان</w:t>
      </w:r>
      <w:r w:rsidRPr="001F14A2">
        <w:rPr>
          <w:rFonts w:ascii="Simplified Arabic" w:eastAsia="Times New Roman" w:hAnsi="Simplified Arabic" w:cs="Simplified Arabic"/>
          <w:color w:val="000000" w:themeColor="text1"/>
          <w:kern w:val="0"/>
          <w:sz w:val="28"/>
          <w:szCs w:val="28"/>
          <w14:ligatures w14:val="none"/>
        </w:rPr>
        <w:t>.</w:t>
      </w:r>
    </w:p>
    <w:p w14:paraId="2C0C65D0" w14:textId="6C931DA1"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905870"/>
      <w:r w:rsidRPr="001F14A2">
        <w:rPr>
          <w:rFonts w:ascii="Simplified Arabic" w:eastAsia="Times New Roman" w:hAnsi="Simplified Arabic" w:cs="Simplified Arabic" w:hint="cs"/>
          <w:b/>
          <w:bCs/>
          <w:color w:val="000000" w:themeColor="text1"/>
          <w:kern w:val="0"/>
          <w:sz w:val="32"/>
          <w:szCs w:val="32"/>
          <w:rtl/>
          <w14:ligatures w14:val="none"/>
        </w:rPr>
        <w:t>4.1.2</w:t>
      </w:r>
      <w:r w:rsidR="003B1410" w:rsidRPr="001F14A2">
        <w:rPr>
          <w:rFonts w:ascii="Simplified Arabic" w:eastAsia="Times New Roman" w:hAnsi="Simplified Arabic" w:cs="Simplified Arabic"/>
          <w:b/>
          <w:bCs/>
          <w:color w:val="000000" w:themeColor="text1"/>
          <w:kern w:val="0"/>
          <w:sz w:val="32"/>
          <w:szCs w:val="32"/>
          <w:rtl/>
          <w14:ligatures w14:val="none"/>
        </w:rPr>
        <w:t xml:space="preserve"> أهداف تخطيط القوى العاملة</w:t>
      </w:r>
      <w:bookmarkEnd w:id="47"/>
    </w:p>
    <w:p w14:paraId="72AA97D4"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تعددت رؤى الباحثين حول الأهداف التي يسعى تخطيط القوى العاملة إلى تحقيقها، وقد تنوعت هذه الأهداف بحسب طبيعة المنظمة وقطاع نشاطها والمدى الزمني الذي تتطلع إليه</w:t>
      </w:r>
      <w:r w:rsidRPr="001F14A2">
        <w:rPr>
          <w:rFonts w:ascii="Simplified Arabic" w:eastAsia="Times New Roman" w:hAnsi="Simplified Arabic" w:cs="Simplified Arabic"/>
          <w:color w:val="000000" w:themeColor="text1"/>
          <w:kern w:val="0"/>
          <w:sz w:val="28"/>
          <w:szCs w:val="28"/>
          <w14:ligatures w14:val="none"/>
        </w:rPr>
        <w:t>.</w:t>
      </w:r>
    </w:p>
    <w:p w14:paraId="158F93DC"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ويُحدّد الخليفة والأمين (2021) جملة من الأهداف التي يستهدفها تخطيط القوى العاملة، أبرزها: ضمان توفير الكوادر البشرية اللازمة بالعدد المناسب والمهارة الملائمة لتنفيذ الخطط التشغيلية والاستراتيجية للمنظمة، وتحقيق التوافق بين خصائص العاملين ومتطلبات الوظائف بما يرفع من كفاءة الأداء، وإسهامه في تنمية الموارد البشرية عبر الكشف عن الفجوات المهارية ووضع البرامج التدريبية المناسبة، إضافةً إلى ترشيد الإنفاق على الموارد البشرية ومنع التضخم الوظيفي أو العجز في القوى العاملة</w:t>
      </w:r>
      <w:r w:rsidRPr="001F14A2">
        <w:rPr>
          <w:rFonts w:ascii="Simplified Arabic" w:eastAsia="Times New Roman" w:hAnsi="Simplified Arabic" w:cs="Simplified Arabic"/>
          <w:color w:val="000000" w:themeColor="text1"/>
          <w:kern w:val="0"/>
          <w:sz w:val="28"/>
          <w:szCs w:val="28"/>
          <w14:ligatures w14:val="none"/>
        </w:rPr>
        <w:t>.</w:t>
      </w:r>
    </w:p>
    <w:p w14:paraId="40280B81"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ويُبيّن عشوي وحسين (2023) أن من أهداف تخطيط القوى العاملة: بناء توازن منهجي بين عرض العمل والطلب عليه داخل المؤسسة، وتطوير نماذج قياسية لتوقع الاحتياجات المستقبلية من الكفاءات، ودعم اتخاذ القرارات المتعلقة بالتوظيف والتسريح والإحلال على أسس علمية، فضلًا عن تمكين المؤسسة من استيعاب التغيرات الهيكلية في طبيعة الأعمال والمهام، وتعزيز قدرتها على التكيف مع تحولات سوق العمل</w:t>
      </w:r>
      <w:r w:rsidRPr="001F14A2">
        <w:rPr>
          <w:rFonts w:ascii="Simplified Arabic" w:eastAsia="Times New Roman" w:hAnsi="Simplified Arabic" w:cs="Simplified Arabic"/>
          <w:color w:val="000000" w:themeColor="text1"/>
          <w:kern w:val="0"/>
          <w:sz w:val="28"/>
          <w:szCs w:val="28"/>
          <w14:ligatures w14:val="none"/>
        </w:rPr>
        <w:t>.</w:t>
      </w:r>
    </w:p>
    <w:p w14:paraId="5B4E30A0"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ويُضيف آل سالم وآخرون (2022) عددًا من الأهداف ذات الصلة بنظم المعلومات، تشمل: تحقيق الدقة في عملية التوظيف عبر استثمار البيانات المتدفقة من قواعد بيانات الموارد البشرية، وتيسير عمليات تتبع حركة العاملين داخل المنظمة، وتوفير قاعدة معلوماتية موثوقة تُسند إليها قرارات التعيين والترقية والنقل، وتعزيز قدرة المنظمات الخدمية على الاستجابة لمتطلبات المستفيدين بمستويات أعلى من الكفاءة</w:t>
      </w:r>
      <w:r w:rsidRPr="001F14A2">
        <w:rPr>
          <w:rFonts w:ascii="Simplified Arabic" w:eastAsia="Times New Roman" w:hAnsi="Simplified Arabic" w:cs="Simplified Arabic"/>
          <w:color w:val="000000" w:themeColor="text1"/>
          <w:kern w:val="0"/>
          <w:sz w:val="28"/>
          <w:szCs w:val="28"/>
          <w14:ligatures w14:val="none"/>
        </w:rPr>
        <w:t>.</w:t>
      </w:r>
    </w:p>
    <w:p w14:paraId="61AC3F04"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ويُشير</w:t>
      </w:r>
      <w:r w:rsidRPr="001F14A2">
        <w:rPr>
          <w:rFonts w:ascii="Simplified Arabic" w:eastAsia="Times New Roman" w:hAnsi="Simplified Arabic" w:cs="Simplified Arabic"/>
          <w:color w:val="000000" w:themeColor="text1"/>
          <w:kern w:val="0"/>
          <w:sz w:val="28"/>
          <w:szCs w:val="28"/>
          <w14:ligatures w14:val="none"/>
        </w:rPr>
        <w:t xml:space="preserve"> Koole and Li (2023) </w:t>
      </w:r>
      <w:r w:rsidRPr="001F14A2">
        <w:rPr>
          <w:rFonts w:ascii="Simplified Arabic" w:eastAsia="Times New Roman" w:hAnsi="Simplified Arabic" w:cs="Simplified Arabic"/>
          <w:color w:val="000000" w:themeColor="text1"/>
          <w:kern w:val="0"/>
          <w:sz w:val="28"/>
          <w:szCs w:val="28"/>
          <w:rtl/>
          <w14:ligatures w14:val="none"/>
        </w:rPr>
        <w:t xml:space="preserve">إلى أن من أبرز أهداف تخطيط القوى العاملة في البيئات الخدمية: ضبط مستويات التوظيف بحيث تواكب التذبذبات في حجم الطلب، وتحقيق الكفاءة التشغيلية عبر تقليص أوقات الانتظار والاستجابة، وموازنة الأعباء بين العاملين، وتعزيز مستويات الجودة في الخدمة المقدمة </w:t>
      </w:r>
      <w:r w:rsidRPr="001F14A2">
        <w:rPr>
          <w:rFonts w:ascii="Simplified Arabic" w:eastAsia="Times New Roman" w:hAnsi="Simplified Arabic" w:cs="Simplified Arabic"/>
          <w:color w:val="000000" w:themeColor="text1"/>
          <w:kern w:val="0"/>
          <w:sz w:val="28"/>
          <w:szCs w:val="28"/>
          <w:rtl/>
          <w14:ligatures w14:val="none"/>
        </w:rPr>
        <w:lastRenderedPageBreak/>
        <w:t>دون تكبد المنظمة لأعباء مالية مفرطة. كما يستهدف هذا التخطيط بناء نظم جدولة مرنة تستوعب الطبيعة المتغيرة للطلب</w:t>
      </w:r>
      <w:r w:rsidRPr="001F14A2">
        <w:rPr>
          <w:rFonts w:ascii="Simplified Arabic" w:eastAsia="Times New Roman" w:hAnsi="Simplified Arabic" w:cs="Simplified Arabic"/>
          <w:color w:val="000000" w:themeColor="text1"/>
          <w:kern w:val="0"/>
          <w:sz w:val="28"/>
          <w:szCs w:val="28"/>
          <w14:ligatures w14:val="none"/>
        </w:rPr>
        <w:t>.</w:t>
      </w:r>
    </w:p>
    <w:p w14:paraId="27FA74F1"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ويُبرز</w:t>
      </w:r>
      <w:r w:rsidRPr="001F14A2">
        <w:rPr>
          <w:rFonts w:ascii="Simplified Arabic" w:eastAsia="Times New Roman" w:hAnsi="Simplified Arabic" w:cs="Simplified Arabic"/>
          <w:color w:val="000000" w:themeColor="text1"/>
          <w:kern w:val="0"/>
          <w:sz w:val="28"/>
          <w:szCs w:val="28"/>
          <w14:ligatures w14:val="none"/>
        </w:rPr>
        <w:t xml:space="preserve"> Ferraris et al. (2023) </w:t>
      </w:r>
      <w:r w:rsidRPr="001F14A2">
        <w:rPr>
          <w:rFonts w:ascii="Simplified Arabic" w:eastAsia="Times New Roman" w:hAnsi="Simplified Arabic" w:cs="Simplified Arabic"/>
          <w:color w:val="000000" w:themeColor="text1"/>
          <w:kern w:val="0"/>
          <w:sz w:val="28"/>
          <w:szCs w:val="28"/>
          <w:rtl/>
          <w14:ligatures w14:val="none"/>
        </w:rPr>
        <w:t>أهدافًا ذات صلة بالقطاعات السياحية والموسمية، تتمثل في: الارتقاء بمستوى المهارات النوعية للعاملين بما يُلبي خصوصية الصناعة، ورفع كفاءة العمالة الموسمية من خلال برامج تأهيل متخصصة، وتعزيز التكامل بين العمالة الدائمة والمؤقتة، وبناء بيئة عمل قادرة على استقطاب الكفاءات والاحتفاظ بها في ظل التحديات التي يفرضها الطابع الموسمي</w:t>
      </w:r>
      <w:r w:rsidRPr="001F14A2">
        <w:rPr>
          <w:rFonts w:ascii="Simplified Arabic" w:eastAsia="Times New Roman" w:hAnsi="Simplified Arabic" w:cs="Simplified Arabic"/>
          <w:color w:val="000000" w:themeColor="text1"/>
          <w:kern w:val="0"/>
          <w:sz w:val="28"/>
          <w:szCs w:val="28"/>
          <w14:ligatures w14:val="none"/>
        </w:rPr>
        <w:t>.</w:t>
      </w:r>
    </w:p>
    <w:p w14:paraId="4E64F806"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ويرى</w:t>
      </w:r>
      <w:r w:rsidRPr="001F14A2">
        <w:rPr>
          <w:rFonts w:ascii="Simplified Arabic" w:eastAsia="Times New Roman" w:hAnsi="Simplified Arabic" w:cs="Simplified Arabic"/>
          <w:color w:val="000000" w:themeColor="text1"/>
          <w:kern w:val="0"/>
          <w:sz w:val="28"/>
          <w:szCs w:val="28"/>
          <w14:ligatures w14:val="none"/>
        </w:rPr>
        <w:t xml:space="preserve"> Jaillet et al. (2022) </w:t>
      </w:r>
      <w:r w:rsidRPr="001F14A2">
        <w:rPr>
          <w:rFonts w:ascii="Simplified Arabic" w:eastAsia="Times New Roman" w:hAnsi="Simplified Arabic" w:cs="Simplified Arabic"/>
          <w:color w:val="000000" w:themeColor="text1"/>
          <w:kern w:val="0"/>
          <w:sz w:val="28"/>
          <w:szCs w:val="28"/>
          <w:rtl/>
          <w14:ligatures w14:val="none"/>
        </w:rPr>
        <w:t>أن من أهداف تخطيط القوى العاملة في ظل عدم اليقين: بناء قرارات تشغيلية مرنة قادرة على التكيف مع المستجدات، وتقليص المخاطر الناجمة عن سوء التقدير في الطلب أو العرض، وتوفير حلول بديلة تستوعب السيناريوهات المتعددة، وتعزيز قدرة المنظمة على إدارة الموارد البشرية في بيئات شديدة التقلب. كما يُسهم في تحقيق التوازن بين الكفاءة الاقتصادية والمرونة التشغيلية</w:t>
      </w:r>
      <w:r w:rsidRPr="001F14A2">
        <w:rPr>
          <w:rFonts w:ascii="Simplified Arabic" w:eastAsia="Times New Roman" w:hAnsi="Simplified Arabic" w:cs="Simplified Arabic"/>
          <w:color w:val="000000" w:themeColor="text1"/>
          <w:kern w:val="0"/>
          <w:sz w:val="28"/>
          <w:szCs w:val="28"/>
          <w14:ligatures w14:val="none"/>
        </w:rPr>
        <w:t>.</w:t>
      </w:r>
    </w:p>
    <w:p w14:paraId="128BDA0B"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ومن خلال استعراض هذه الأهداف، يتبيّن أن تخطيط القوى العاملة في منظومة خدمة ضيوف الرحمن يستهدف بصورة خاصة: ضمان توفير الكوادر المؤهلة للتعامل مع الأعداد الضخمة للحجاج والمعتمرين، وتأهيل العاملين للتعامل مع التنوع الثقافي واللغوي، ورفع كفاءة الأداء في ظل ضغوط الموسم، وضبط منظومة الخدمات بما يُحقق الرضا للمستفيدين، إضافةً إلى الإسهام في تحقيق المستهدفات الوطنية للمملكة في خدمة ضيوف الرحمن</w:t>
      </w:r>
      <w:r w:rsidRPr="001F14A2">
        <w:rPr>
          <w:rFonts w:ascii="Simplified Arabic" w:eastAsia="Times New Roman" w:hAnsi="Simplified Arabic" w:cs="Simplified Arabic"/>
          <w:color w:val="000000" w:themeColor="text1"/>
          <w:kern w:val="0"/>
          <w:sz w:val="28"/>
          <w:szCs w:val="28"/>
          <w14:ligatures w14:val="none"/>
        </w:rPr>
        <w:t>.</w:t>
      </w:r>
    </w:p>
    <w:p w14:paraId="1A38A600" w14:textId="5E489782"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905871"/>
      <w:r w:rsidRPr="001F14A2">
        <w:rPr>
          <w:rFonts w:ascii="Simplified Arabic" w:eastAsia="Times New Roman" w:hAnsi="Simplified Arabic" w:cs="Simplified Arabic" w:hint="cs"/>
          <w:b/>
          <w:bCs/>
          <w:color w:val="000000" w:themeColor="text1"/>
          <w:kern w:val="0"/>
          <w:sz w:val="32"/>
          <w:szCs w:val="32"/>
          <w:rtl/>
          <w14:ligatures w14:val="none"/>
        </w:rPr>
        <w:t>5.1.2</w:t>
      </w:r>
      <w:r w:rsidR="003B1410" w:rsidRPr="001F14A2">
        <w:rPr>
          <w:rFonts w:ascii="Simplified Arabic" w:eastAsia="Times New Roman" w:hAnsi="Simplified Arabic" w:cs="Simplified Arabic"/>
          <w:b/>
          <w:bCs/>
          <w:color w:val="000000" w:themeColor="text1"/>
          <w:kern w:val="0"/>
          <w:sz w:val="32"/>
          <w:szCs w:val="32"/>
          <w:rtl/>
          <w14:ligatures w14:val="none"/>
        </w:rPr>
        <w:t xml:space="preserve"> أبعاد تخطيط القوى العاملة</w:t>
      </w:r>
      <w:bookmarkEnd w:id="48"/>
    </w:p>
    <w:p w14:paraId="0A4504DA"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تم تحديد أبعاد تخطيط القوى العاملة في هذه الدراسة بناءً على دراسة الخليفة والأمين (2021) ودراسة حرج (2023)، باعتبارهما من الدراسات التي تناولت تخطيط القوى العاملة في القطاع الحكومي والخدمي بمعالجة شاملة تستوعب الأبعاد التشغيلية والتنموية لهذا المتغير. وقد تم تبني أربعة أبعاد رئيسة هي: التنبؤ بالاحتياجات الوظيفية، والاستقطاب والتوظيف، والتدريب وتنمية المهارات، وتقييم الأداء الوظيفي</w:t>
      </w:r>
      <w:r w:rsidRPr="001F14A2">
        <w:rPr>
          <w:rFonts w:ascii="Simplified Arabic" w:eastAsia="Times New Roman" w:hAnsi="Simplified Arabic" w:cs="Simplified Arabic"/>
          <w:color w:val="000000" w:themeColor="text1"/>
          <w:kern w:val="0"/>
          <w:sz w:val="28"/>
          <w:szCs w:val="28"/>
          <w14:ligatures w14:val="none"/>
        </w:rPr>
        <w:t>.</w:t>
      </w:r>
    </w:p>
    <w:p w14:paraId="14D7D12D"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الأول: التنبؤ بالاحتياجات الوظيفية</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 xml:space="preserve">يُمثّل التنبؤ بالاحتياجات الوظيفية الحلقة الأولى في منظومة تخطيط القوى العاملة، إذ يستهدف رسم صورة مستقبلية دقيقة للاحتياجات البشرية للمنظمة كمًّا ونوعًا. ويستند هذا البُعد إلى تحليل معمّق للوظائف الراهنة، واستقراء التحولات المتوقعة في طبيعة الأعمال، وقراءة المؤشرات المتعلقة بمعدلات الدوران والتقاعد والترقية، بالإضافة إلى استشراف التغيرات في حجم النشاط </w:t>
      </w:r>
      <w:r w:rsidRPr="001F14A2">
        <w:rPr>
          <w:rFonts w:ascii="Simplified Arabic" w:eastAsia="Times New Roman" w:hAnsi="Simplified Arabic" w:cs="Simplified Arabic"/>
          <w:color w:val="000000" w:themeColor="text1"/>
          <w:kern w:val="0"/>
          <w:sz w:val="28"/>
          <w:szCs w:val="28"/>
          <w:rtl/>
          <w14:ligatures w14:val="none"/>
        </w:rPr>
        <w:lastRenderedPageBreak/>
        <w:t>ونمط الطلب على الخدمة. ويُمثّل في سياق منظومة الحج والعمرة عنصرًا حيويًا، إذ تتباين الاحتياجات بصورة جوهرية بين موسم الذروة وما يسبقه ويعقبه</w:t>
      </w:r>
      <w:r w:rsidRPr="001F14A2">
        <w:rPr>
          <w:rFonts w:ascii="Simplified Arabic" w:eastAsia="Times New Roman" w:hAnsi="Simplified Arabic" w:cs="Simplified Arabic"/>
          <w:color w:val="000000" w:themeColor="text1"/>
          <w:kern w:val="0"/>
          <w:sz w:val="28"/>
          <w:szCs w:val="28"/>
          <w14:ligatures w14:val="none"/>
        </w:rPr>
        <w:t xml:space="preserve"> (Jaillet et al., 2022). </w:t>
      </w:r>
      <w:r w:rsidRPr="001F14A2">
        <w:rPr>
          <w:rFonts w:ascii="Simplified Arabic" w:eastAsia="Times New Roman" w:hAnsi="Simplified Arabic" w:cs="Simplified Arabic"/>
          <w:color w:val="000000" w:themeColor="text1"/>
          <w:kern w:val="0"/>
          <w:sz w:val="28"/>
          <w:szCs w:val="28"/>
          <w:rtl/>
          <w14:ligatures w14:val="none"/>
        </w:rPr>
        <w:t>ويُسهم البُعد كذلك في توفير قاعدة معلوماتية للقرارات الاستراتيجية المتعلقة بإعادة الهيكلة والتوسع، ويُمكّن المنظمة من الاستعداد المسبق للتحديات المستقبلية بدلًا من التعامل معها بأسلوب الاستجابة الطارئة</w:t>
      </w:r>
      <w:r w:rsidRPr="001F14A2">
        <w:rPr>
          <w:rFonts w:ascii="Simplified Arabic" w:eastAsia="Times New Roman" w:hAnsi="Simplified Arabic" w:cs="Simplified Arabic"/>
          <w:color w:val="000000" w:themeColor="text1"/>
          <w:kern w:val="0"/>
          <w:sz w:val="28"/>
          <w:szCs w:val="28"/>
          <w14:ligatures w14:val="none"/>
        </w:rPr>
        <w:t>.</w:t>
      </w:r>
    </w:p>
    <w:p w14:paraId="368064BE"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الثاني: الاستقطاب والتوظيف</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يُشكّل الاستقطاب والتوظيف الترجمة العملية لمخرجات التنبؤ بالاحتياجات الوظيفية، إذ يُحوّل التقديرات النظرية إلى إجراءات فعلية لجلب الكفاءات المناسبة وإدماجها في المنظمة. ويتضمن هذا البُعد جملة من الأنشطة المتكاملة، تبدأ بتحديد مصادر الاستقطاب الملائمة، وتمر بصياغة الإعلانات الوظيفية، وإجراء المقابلات والاختبارات، وتنتهي باتخاذ قرارات التعيين وإتمام إجراءات التهيئة (آل سالم وآخرون، 2022). ويتطلب هذا البُعد في قطاع خدمة ضيوف الرحمن قدرًا عاليًا من الدقة، نظرًا للخصائص الفريدة للعمل في هذا القطاع التي تستلزم كفاءات تجمع بين المهارات الفنية والقدرات اللغوية والثقافية والوعي الديني والإنساني. كما يستلزم بناء قواعد بيانات متجددة للكفاءات المتاحة، وتطوير شراكات مع الجهات التعليمية والتدريبية لتوفير تدفق منتظم من الكوادر المؤهلة</w:t>
      </w:r>
      <w:r w:rsidRPr="001F14A2">
        <w:rPr>
          <w:rFonts w:ascii="Simplified Arabic" w:eastAsia="Times New Roman" w:hAnsi="Simplified Arabic" w:cs="Simplified Arabic"/>
          <w:color w:val="000000" w:themeColor="text1"/>
          <w:kern w:val="0"/>
          <w:sz w:val="28"/>
          <w:szCs w:val="28"/>
          <w14:ligatures w14:val="none"/>
        </w:rPr>
        <w:t>.</w:t>
      </w:r>
    </w:p>
    <w:p w14:paraId="76A5AC1B"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الثالث: التدريب وتنمية المهارات</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يُمثّل التدريب وتنمية المهارات البُعد الذي يُحوّل العاملين من موظفين بمؤهلات نظرية إلى كوادر مهنية قادرة على الأداء الفعّال. ويستند هذا البُعد إلى منهجية متكاملة تبدأ بتشخيص الاحتياجات التدريبية، ثم تصميم البرامج الملائمة، فتنفيذها، وانتهاءً بتقييم أثرها على الأداء (حرج، 2023). ويتسم في قطاع خدمة الحج والعمرة بطابع نوعي خاص، إذ يتطلب تأهيل العاملين للتعامل مع التنوع الثقافي والديموغرافي لضيوف الرحمن، وإكسابهم مهارات الاتصال متعدد اللغات، وتعزيز قدراتهم على إدارة المواقف الضاغطة، فضلًا عن تنمية الوعي بالقيم الإسلامية وآداب التعامل مع ضيوف بيت الله الحرام. ويستلزم هذا البُعد أيضًا الاستثمار في تطوير المهارات الرقمية بما يُواكب التحولات التقنية التي يشهدها القطاع، ودمج مفاهيم التعلم المستمر في ثقافة المنظمة</w:t>
      </w:r>
      <w:r w:rsidRPr="001F14A2">
        <w:rPr>
          <w:rFonts w:ascii="Simplified Arabic" w:eastAsia="Times New Roman" w:hAnsi="Simplified Arabic" w:cs="Simplified Arabic"/>
          <w:color w:val="000000" w:themeColor="text1"/>
          <w:kern w:val="0"/>
          <w:sz w:val="28"/>
          <w:szCs w:val="28"/>
          <w14:ligatures w14:val="none"/>
        </w:rPr>
        <w:t xml:space="preserve"> (Ferraris et al., 2023).</w:t>
      </w:r>
    </w:p>
    <w:p w14:paraId="0DCE5928" w14:textId="4D3F236C"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البُعد الرابع: تقييم الأداء الوظيفي</w:t>
      </w:r>
      <w:r w:rsidRPr="001F14A2">
        <w:rPr>
          <w:rFonts w:ascii="Simplified Arabic" w:eastAsia="Times New Roman" w:hAnsi="Simplified Arabic" w:cs="Simplified Arabic"/>
          <w:color w:val="000000" w:themeColor="text1"/>
          <w:kern w:val="0"/>
          <w:sz w:val="28"/>
          <w:szCs w:val="28"/>
          <w14:ligatures w14:val="none"/>
        </w:rPr>
        <w:t xml:space="preserve">: </w:t>
      </w:r>
      <w:r w:rsidRPr="001F14A2">
        <w:rPr>
          <w:rFonts w:ascii="Simplified Arabic" w:eastAsia="Times New Roman" w:hAnsi="Simplified Arabic" w:cs="Simplified Arabic"/>
          <w:color w:val="000000" w:themeColor="text1"/>
          <w:kern w:val="0"/>
          <w:sz w:val="28"/>
          <w:szCs w:val="28"/>
          <w:rtl/>
          <w14:ligatures w14:val="none"/>
        </w:rPr>
        <w:t>يُمثّل تقييم الأداء الوظيفي البُعد الرقابي والتطويري في منظومة تخطيط القوى العاملة، إذ يُتيح قياس مستوى أداء العاملين مقارنةً بمعايير محددة سلفًا، ويُوفّر تغذية راجعة تُسهم في تطوير الأداء وتحسين القرارات الإدارية. ويتضمن هذا البُعد تحديد معايير الأداء، وقياس الإنجاز الفعلي، وتحليل الفجوات، واتخاذ القرارات المترتبة على ذلك من ترقية أو تدريب أو إعادة تأهيل أو غير ذلك</w:t>
      </w:r>
      <w:r w:rsidRPr="001F14A2">
        <w:rPr>
          <w:rFonts w:ascii="Simplified Arabic" w:eastAsia="Times New Roman" w:hAnsi="Simplified Arabic" w:cs="Simplified Arabic"/>
          <w:color w:val="000000" w:themeColor="text1"/>
          <w:kern w:val="0"/>
          <w:sz w:val="28"/>
          <w:szCs w:val="28"/>
          <w14:ligatures w14:val="none"/>
        </w:rPr>
        <w:t xml:space="preserve"> (Koole &amp; Li, 2023). </w:t>
      </w:r>
      <w:r w:rsidRPr="001F14A2">
        <w:rPr>
          <w:rFonts w:ascii="Simplified Arabic" w:eastAsia="Times New Roman" w:hAnsi="Simplified Arabic" w:cs="Simplified Arabic"/>
          <w:color w:val="000000" w:themeColor="text1"/>
          <w:kern w:val="0"/>
          <w:sz w:val="28"/>
          <w:szCs w:val="28"/>
          <w:rtl/>
          <w14:ligatures w14:val="none"/>
        </w:rPr>
        <w:t xml:space="preserve">ويكتسب في منظومة خدمة ضيوف الرحمن أهمية مضاعفة، إذ يُمكّن من </w:t>
      </w:r>
      <w:r w:rsidRPr="001F14A2">
        <w:rPr>
          <w:rFonts w:ascii="Simplified Arabic" w:eastAsia="Times New Roman" w:hAnsi="Simplified Arabic" w:cs="Simplified Arabic"/>
          <w:color w:val="000000" w:themeColor="text1"/>
          <w:kern w:val="0"/>
          <w:sz w:val="28"/>
          <w:szCs w:val="28"/>
          <w:rtl/>
          <w14:ligatures w14:val="none"/>
        </w:rPr>
        <w:lastRenderedPageBreak/>
        <w:t>قياس مدى تحقيق الأهداف المرسومة لكل موسم، وتقييم استجابة العاملين لاحتياجات المستفيدين، ورصد جوانب التميز والقصور بهدف التطوير المستمر. كما يُسهم في بناء ثقافة المساءلة والإنجاز داخل المنظومة، ويُعزز ربط الحوافز والمكافآت بالأداء الفعلي</w:t>
      </w:r>
      <w:r w:rsidRPr="001F14A2">
        <w:rPr>
          <w:rFonts w:ascii="Simplified Arabic" w:eastAsia="Times New Roman" w:hAnsi="Simplified Arabic" w:cs="Simplified Arabic"/>
          <w:color w:val="000000" w:themeColor="text1"/>
          <w:kern w:val="0"/>
          <w:sz w:val="28"/>
          <w:szCs w:val="28"/>
          <w14:ligatures w14:val="none"/>
        </w:rPr>
        <w:t>.</w:t>
      </w:r>
    </w:p>
    <w:p w14:paraId="403F0343" w14:textId="4C2FAD3C" w:rsidR="003B1410" w:rsidRPr="001F14A2" w:rsidRDefault="003331CF" w:rsidP="003331CF">
      <w:pPr>
        <w:jc w:val="center"/>
        <w:outlineLvl w:val="1"/>
        <w:rPr>
          <w:rFonts w:ascii="Simplified Arabic" w:eastAsia="Times New Roman" w:hAnsi="Simplified Arabic" w:cs="Simplified Arabic"/>
          <w:b/>
          <w:bCs/>
          <w:color w:val="000000" w:themeColor="text1"/>
          <w:kern w:val="0"/>
          <w:sz w:val="36"/>
          <w:szCs w:val="36"/>
          <w14:ligatures w14:val="none"/>
        </w:rPr>
      </w:pPr>
      <w:r w:rsidRPr="001F14A2">
        <w:rPr>
          <w:rFonts w:ascii="Simplified Arabic" w:eastAsia="Times New Roman" w:hAnsi="Simplified Arabic" w:cs="Simplified Arabic"/>
          <w:b/>
          <w:bCs/>
          <w:color w:val="000000" w:themeColor="text1"/>
          <w:kern w:val="0"/>
          <w:sz w:val="36"/>
          <w:szCs w:val="36"/>
          <w:rtl/>
          <w14:ligatures w14:val="none"/>
        </w:rPr>
        <w:br w:type="page"/>
      </w:r>
      <w:bookmarkStart w:id="49" w:name="_Toc233905872"/>
      <w:r w:rsidR="003B1410" w:rsidRPr="001F14A2">
        <w:rPr>
          <w:rFonts w:ascii="Simplified Arabic" w:eastAsia="Times New Roman" w:hAnsi="Simplified Arabic" w:cs="Simplified Arabic"/>
          <w:b/>
          <w:bCs/>
          <w:color w:val="000000" w:themeColor="text1"/>
          <w:kern w:val="0"/>
          <w:sz w:val="36"/>
          <w:szCs w:val="36"/>
          <w:rtl/>
          <w14:ligatures w14:val="none"/>
        </w:rPr>
        <w:lastRenderedPageBreak/>
        <w:t>المبحث الثاني: جودة الخدمات المقدمة لضيوف الرحمن</w:t>
      </w:r>
      <w:bookmarkEnd w:id="49"/>
    </w:p>
    <w:p w14:paraId="4C6CEFDD" w14:textId="4FC92220"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905873"/>
      <w:r w:rsidRPr="001F14A2">
        <w:rPr>
          <w:rFonts w:ascii="Simplified Arabic" w:eastAsia="Times New Roman" w:hAnsi="Simplified Arabic" w:cs="Simplified Arabic" w:hint="cs"/>
          <w:b/>
          <w:bCs/>
          <w:color w:val="000000" w:themeColor="text1"/>
          <w:kern w:val="0"/>
          <w:sz w:val="32"/>
          <w:szCs w:val="32"/>
          <w:rtl/>
          <w14:ligatures w14:val="none"/>
        </w:rPr>
        <w:t xml:space="preserve">1.2.2 </w:t>
      </w:r>
      <w:r w:rsidR="003B1410" w:rsidRPr="001F14A2">
        <w:rPr>
          <w:rFonts w:ascii="Simplified Arabic" w:eastAsia="Times New Roman" w:hAnsi="Simplified Arabic" w:cs="Simplified Arabic"/>
          <w:b/>
          <w:bCs/>
          <w:color w:val="000000" w:themeColor="text1"/>
          <w:kern w:val="0"/>
          <w:sz w:val="32"/>
          <w:szCs w:val="32"/>
          <w:rtl/>
          <w14:ligatures w14:val="none"/>
        </w:rPr>
        <w:t>تمهيد</w:t>
      </w:r>
      <w:bookmarkEnd w:id="50"/>
    </w:p>
    <w:p w14:paraId="0A3AD8EA"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تُمثّل جودة الخدمة محورًا جوهريًا في الفكر الإداري المعاصر، إذ تحولت من مفهوم تسويقي محدود إلى منظومة متكاملة تتقاطع فيها اعتبارات الإدارة والتشغيل والموارد البشرية والتقنية، وتُمثّل بهذه التكاملية معيارًا حاسمًا للمفاضلة بين مقدمي الخدمات في الأسواق التنافسية. وقد اكتسبت هذه الأهمية بُعدًا مضاعفًا في القطاعات ذات الطابع الإنساني والروحي، حيث تتجاوز الخدمة كونها معاملة تجارية لتُصبح تجربة متكاملة يقيس فيها المستفيد رضاه بمعايير تتخطى الأداء الفني إلى عناصر شعورية ومعنوية. ومن أبرز هذه القطاعات منظومة خدمة ضيوف الرحمن في موسمي الحج والعمرة، التي تُمثّل تجربة استثنائية يتطلع فيها الحجاج والمعتمرون إلى مستويات عالية من الكفاءة والإتقان، تستجيب لتطلعاتهم الروحية، وتُيسّر أداء مناسكهم في طمأنينة وسكينة. ويسعى هذا المبحث إلى تأصيل مفهوم جودة الخدمة في سياق منظومة خدمة ضيوف الرحمن، وإبراز أهميتها وأهدافها وأبعادها، مع التعرض للمداخل النظرية والاتجاهات الفكرية التي عالجت هذا المتغير</w:t>
      </w:r>
      <w:r w:rsidRPr="001F14A2">
        <w:rPr>
          <w:rFonts w:ascii="Simplified Arabic" w:eastAsia="Times New Roman" w:hAnsi="Simplified Arabic" w:cs="Simplified Arabic"/>
          <w:color w:val="000000" w:themeColor="text1"/>
          <w:kern w:val="0"/>
          <w:sz w:val="28"/>
          <w:szCs w:val="28"/>
          <w14:ligatures w14:val="none"/>
        </w:rPr>
        <w:t>.</w:t>
      </w:r>
    </w:p>
    <w:p w14:paraId="0EA04481" w14:textId="289E2982"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905874"/>
      <w:r w:rsidRPr="001F14A2">
        <w:rPr>
          <w:rFonts w:ascii="Simplified Arabic" w:eastAsia="Times New Roman" w:hAnsi="Simplified Arabic" w:cs="Simplified Arabic" w:hint="cs"/>
          <w:b/>
          <w:bCs/>
          <w:color w:val="000000" w:themeColor="text1"/>
          <w:kern w:val="0"/>
          <w:sz w:val="32"/>
          <w:szCs w:val="32"/>
          <w:rtl/>
          <w14:ligatures w14:val="none"/>
        </w:rPr>
        <w:t>2.2.2</w:t>
      </w:r>
      <w:r w:rsidR="003B1410" w:rsidRPr="001F14A2">
        <w:rPr>
          <w:rFonts w:ascii="Simplified Arabic" w:eastAsia="Times New Roman" w:hAnsi="Simplified Arabic" w:cs="Simplified Arabic"/>
          <w:b/>
          <w:bCs/>
          <w:color w:val="000000" w:themeColor="text1"/>
          <w:kern w:val="0"/>
          <w:sz w:val="32"/>
          <w:szCs w:val="32"/>
          <w:rtl/>
          <w14:ligatures w14:val="none"/>
        </w:rPr>
        <w:t xml:space="preserve"> مفهوم جودة الخدمات المقدمة لضيوف الرحمن</w:t>
      </w:r>
      <w:bookmarkEnd w:id="51"/>
    </w:p>
    <w:p w14:paraId="3570C4E2"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تباينت تعريفات الباحثين لمفهوم جودة الخدمة، وتعددت زوايا معالجتهم له تبعًا للسياقات الميدانية التي تناولوها، وللمداخل النظرية التي انطلقوا منها. وفي جميع الحالات تظل جودة الخدمة مفهومًا متعدد الأبعاد يربط بين توقعات المستفيد وإدراكاته الفعلية، وبين خصائص الخدمة المقدمة والمعايير المتعارف عليها</w:t>
      </w:r>
      <w:r w:rsidRPr="001F14A2">
        <w:rPr>
          <w:rFonts w:ascii="Simplified Arabic" w:eastAsia="Times New Roman" w:hAnsi="Simplified Arabic" w:cs="Simplified Arabic"/>
          <w:color w:val="000000" w:themeColor="text1"/>
          <w:kern w:val="0"/>
          <w:sz w:val="28"/>
          <w:szCs w:val="28"/>
          <w14:ligatures w14:val="none"/>
        </w:rPr>
        <w:t>.</w:t>
      </w:r>
    </w:p>
    <w:p w14:paraId="423DD889"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ويُعرّف خالدي وقرش (2021) جودة الخدمة بوصفها قدرة المؤسسة على تقديم خدمات تستجيب لتوقعات العملاء وتفوقها، عبر تكامل عناصر الخدمة الأساسية والخدمات التكميلية في منظومة تخدم رضا المستفيد. ويُبرز هذا التعريف الطبيعة المركّبة للخدمة، إذ لا تقتصر على المنفعة الأساسية بل تمتد إلى منظومة الإضافات التي تُعزّز قيمتها المُدركة لدى المستفيد</w:t>
      </w:r>
      <w:r w:rsidRPr="001F14A2">
        <w:rPr>
          <w:rFonts w:ascii="Simplified Arabic" w:eastAsia="Times New Roman" w:hAnsi="Simplified Arabic" w:cs="Simplified Arabic"/>
          <w:color w:val="000000" w:themeColor="text1"/>
          <w:kern w:val="0"/>
          <w:sz w:val="28"/>
          <w:szCs w:val="28"/>
          <w14:ligatures w14:val="none"/>
        </w:rPr>
        <w:t>.</w:t>
      </w:r>
    </w:p>
    <w:p w14:paraId="59A8CFB7"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ويُقدّم نوير </w:t>
      </w:r>
      <w:proofErr w:type="spellStart"/>
      <w:r w:rsidRPr="001F14A2">
        <w:rPr>
          <w:rFonts w:ascii="Simplified Arabic" w:eastAsia="Times New Roman" w:hAnsi="Simplified Arabic" w:cs="Simplified Arabic"/>
          <w:color w:val="000000" w:themeColor="text1"/>
          <w:kern w:val="0"/>
          <w:sz w:val="28"/>
          <w:szCs w:val="28"/>
          <w:rtl/>
          <w14:ligatures w14:val="none"/>
        </w:rPr>
        <w:t>والمسدي</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(2025) قراءة أوسع، إذ يُعرّفان جودة الخدمة بأنها المحصلة المتكاملة لمجموعة من السمات والخصائص التي تتمتع بها الخدمة، وتُمكّنها من تلبية احتياجات صريحة وضمنية للمستفيدين، وتربط هذه المحصلة بقدرة المنظمة على بناء توجه ريادي يستثمر الفرص ويتعامل مع التحديات. ويُشير </w:t>
      </w:r>
      <w:r w:rsidRPr="001F14A2">
        <w:rPr>
          <w:rFonts w:ascii="Simplified Arabic" w:eastAsia="Times New Roman" w:hAnsi="Simplified Arabic" w:cs="Simplified Arabic"/>
          <w:color w:val="000000" w:themeColor="text1"/>
          <w:kern w:val="0"/>
          <w:sz w:val="28"/>
          <w:szCs w:val="28"/>
          <w:rtl/>
          <w14:ligatures w14:val="none"/>
        </w:rPr>
        <w:lastRenderedPageBreak/>
        <w:t>هذا التعريف إلى الطبيعة الاستراتيجية لجودة الخدمة، باعتبارها حصيلة لقرارات وممارسات تنظيمية متعددة المستويات</w:t>
      </w:r>
      <w:r w:rsidRPr="001F14A2">
        <w:rPr>
          <w:rFonts w:ascii="Simplified Arabic" w:eastAsia="Times New Roman" w:hAnsi="Simplified Arabic" w:cs="Simplified Arabic"/>
          <w:color w:val="000000" w:themeColor="text1"/>
          <w:kern w:val="0"/>
          <w:sz w:val="28"/>
          <w:szCs w:val="28"/>
          <w14:ligatures w14:val="none"/>
        </w:rPr>
        <w:t>.</w:t>
      </w:r>
    </w:p>
    <w:p w14:paraId="3C35986A"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ويُعرّفها الكعبي والياسري (2023) من منظور قيادي بأنها انعكاس لقدرة المنظمة على توظيف أنماط القيادة المرنة في توجيه العاملين نحو تقديم خدمات تُلبي تطلعات المستفيدين بسرعة وكفاءة. ويُبرز هذا التعريف الدور المحوري للقيادة في تشكيل ثقافة الجودة داخل المنظمات الخدمية، ويُؤكد أن جودة الخدمة لا تنفصل عن الأنماط الإدارية السائدة</w:t>
      </w:r>
      <w:r w:rsidRPr="001F14A2">
        <w:rPr>
          <w:rFonts w:ascii="Simplified Arabic" w:eastAsia="Times New Roman" w:hAnsi="Simplified Arabic" w:cs="Simplified Arabic"/>
          <w:color w:val="000000" w:themeColor="text1"/>
          <w:kern w:val="0"/>
          <w:sz w:val="28"/>
          <w:szCs w:val="28"/>
          <w14:ligatures w14:val="none"/>
        </w:rPr>
        <w:t>.</w:t>
      </w:r>
    </w:p>
    <w:p w14:paraId="6F24FACA"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ويُقاربها سقاط (2025) من زاوية التحول الرقمي، إذ يُعرّف جودة الخدمة في سياق شركات خدمة الحجاج والمعتمرين بأنها قدرة هذه الشركات على توظيف التقنيات الرقمية في تقديم خدمات أكثر دقة وسرعة واستجابة، تُلبي خصوصية التجربة الدينية لضيوف الرحمن. ويعكس هذا التعريف الطابع المعاصر للمفهوم، الذي بات يستوعب البُعد التقني بوصفه ركيزة أساسية لجودة الخدمة في القطاعات الحديثة</w:t>
      </w:r>
      <w:r w:rsidRPr="001F14A2">
        <w:rPr>
          <w:rFonts w:ascii="Simplified Arabic" w:eastAsia="Times New Roman" w:hAnsi="Simplified Arabic" w:cs="Simplified Arabic"/>
          <w:color w:val="000000" w:themeColor="text1"/>
          <w:kern w:val="0"/>
          <w:sz w:val="28"/>
          <w:szCs w:val="28"/>
          <w14:ligatures w14:val="none"/>
        </w:rPr>
        <w:t>.</w:t>
      </w:r>
    </w:p>
    <w:p w14:paraId="78B600E1"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ويُعرّفها الحربي (2025) في سياق الحج بأنها انعكاس لقدرة المنظومة الإدارية والخدمية في المملكة على إدارة الحشود وتيسير أداء المناسك، بما يعزز الصورة الذهنية للدولة ويُمثّل تجسيدًا لقوتها الناعمة. ويُضيف هذا التعريف بُعدًا استراتيجيًا للمفهوم، إذ يربطه بمستهدفات الدولة وتوجهاتها على المستوى الإقليمي والدولي</w:t>
      </w:r>
      <w:r w:rsidRPr="001F14A2">
        <w:rPr>
          <w:rFonts w:ascii="Simplified Arabic" w:eastAsia="Times New Roman" w:hAnsi="Simplified Arabic" w:cs="Simplified Arabic"/>
          <w:color w:val="000000" w:themeColor="text1"/>
          <w:kern w:val="0"/>
          <w:sz w:val="28"/>
          <w:szCs w:val="28"/>
          <w14:ligatures w14:val="none"/>
        </w:rPr>
        <w:t>.</w:t>
      </w:r>
    </w:p>
    <w:p w14:paraId="794CAE59"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ومن منظور تقني، يُعرّفها الباحثون في المجلة العربية للعلوم الاقتصادية والإدارية والقانونية (2023) بأنها المحصلة الناتجة عن تكامل الخدمات التقنية المقدمة في إدارة الحشود، وما توفره من تيسير لحركة الحجاج والمعتمرين، وتنظيم لتوزيعهم في المشاعر، وضبط لمعدلات الازدحام. ويُبرز هذا التعريف الدور الذي تؤديه التقنية في صياغة تجربة الحاج والمعتمر، وتحقيق مستويات أعلى من الأمان والراحة</w:t>
      </w:r>
      <w:r w:rsidRPr="001F14A2">
        <w:rPr>
          <w:rFonts w:ascii="Simplified Arabic" w:eastAsia="Times New Roman" w:hAnsi="Simplified Arabic" w:cs="Simplified Arabic"/>
          <w:color w:val="000000" w:themeColor="text1"/>
          <w:kern w:val="0"/>
          <w:sz w:val="28"/>
          <w:szCs w:val="28"/>
          <w14:ligatures w14:val="none"/>
        </w:rPr>
        <w:t>.</w:t>
      </w:r>
    </w:p>
    <w:p w14:paraId="0DC97ADB"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ويُعرّفها</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Shambour</w:t>
      </w:r>
      <w:proofErr w:type="spellEnd"/>
      <w:r w:rsidRPr="001F14A2">
        <w:rPr>
          <w:rFonts w:ascii="Simplified Arabic" w:eastAsia="Times New Roman" w:hAnsi="Simplified Arabic" w:cs="Simplified Arabic"/>
          <w:color w:val="000000" w:themeColor="text1"/>
          <w:kern w:val="0"/>
          <w:sz w:val="28"/>
          <w:szCs w:val="28"/>
          <w14:ligatures w14:val="none"/>
        </w:rPr>
        <w:t xml:space="preserve"> and </w:t>
      </w:r>
      <w:proofErr w:type="spellStart"/>
      <w:r w:rsidRPr="001F14A2">
        <w:rPr>
          <w:rFonts w:ascii="Simplified Arabic" w:eastAsia="Times New Roman" w:hAnsi="Simplified Arabic" w:cs="Simplified Arabic"/>
          <w:color w:val="000000" w:themeColor="text1"/>
          <w:kern w:val="0"/>
          <w:sz w:val="28"/>
          <w:szCs w:val="28"/>
          <w14:ligatures w14:val="none"/>
        </w:rPr>
        <w:t>Gutub</w:t>
      </w:r>
      <w:proofErr w:type="spellEnd"/>
      <w:r w:rsidRPr="001F14A2">
        <w:rPr>
          <w:rFonts w:ascii="Simplified Arabic" w:eastAsia="Times New Roman" w:hAnsi="Simplified Arabic" w:cs="Simplified Arabic"/>
          <w:color w:val="000000" w:themeColor="text1"/>
          <w:kern w:val="0"/>
          <w:sz w:val="28"/>
          <w:szCs w:val="28"/>
          <w14:ligatures w14:val="none"/>
        </w:rPr>
        <w:t xml:space="preserve"> (2023) </w:t>
      </w:r>
      <w:r w:rsidRPr="001F14A2">
        <w:rPr>
          <w:rFonts w:ascii="Simplified Arabic" w:eastAsia="Times New Roman" w:hAnsi="Simplified Arabic" w:cs="Simplified Arabic"/>
          <w:color w:val="000000" w:themeColor="text1"/>
          <w:kern w:val="0"/>
          <w:sz w:val="28"/>
          <w:szCs w:val="28"/>
          <w:rtl/>
          <w14:ligatures w14:val="none"/>
        </w:rPr>
        <w:t>في سياق الضيافة المقدمة للحجاج بأنها المحصلة المتولدة عن المقارنة بين توقعات الحاج قبل أدائه للمناسك وإدراكاته بعد التجربة الفعلية، استنادًا إلى نظرية تأكيد التوقعات. ويربط هذا التعريف جودة الخدمة بمنظومة نفسية معرفية تُحدد رضا الحاج ومستوى ولائه للمكان والخدمة</w:t>
      </w:r>
      <w:r w:rsidRPr="001F14A2">
        <w:rPr>
          <w:rFonts w:ascii="Simplified Arabic" w:eastAsia="Times New Roman" w:hAnsi="Simplified Arabic" w:cs="Simplified Arabic"/>
          <w:color w:val="000000" w:themeColor="text1"/>
          <w:kern w:val="0"/>
          <w:sz w:val="28"/>
          <w:szCs w:val="28"/>
          <w14:ligatures w14:val="none"/>
        </w:rPr>
        <w:t>.</w:t>
      </w:r>
    </w:p>
    <w:p w14:paraId="057AD40B"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ويُعرّفها</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Basahel</w:t>
      </w:r>
      <w:proofErr w:type="spellEnd"/>
      <w:r w:rsidRPr="001F14A2">
        <w:rPr>
          <w:rFonts w:ascii="Simplified Arabic" w:eastAsia="Times New Roman" w:hAnsi="Simplified Arabic" w:cs="Simplified Arabic"/>
          <w:color w:val="000000" w:themeColor="text1"/>
          <w:kern w:val="0"/>
          <w:sz w:val="28"/>
          <w:szCs w:val="28"/>
          <w14:ligatures w14:val="none"/>
        </w:rPr>
        <w:t xml:space="preserve"> et al. (2022) </w:t>
      </w:r>
      <w:r w:rsidRPr="001F14A2">
        <w:rPr>
          <w:rFonts w:ascii="Simplified Arabic" w:eastAsia="Times New Roman" w:hAnsi="Simplified Arabic" w:cs="Simplified Arabic"/>
          <w:color w:val="000000" w:themeColor="text1"/>
          <w:kern w:val="0"/>
          <w:sz w:val="28"/>
          <w:szCs w:val="28"/>
          <w:rtl/>
          <w14:ligatures w14:val="none"/>
        </w:rPr>
        <w:t xml:space="preserve">بأنها قدرة منظومة إدارة موسم الحج على توظيف الذكاء الاصطناعي والتقنيات المستدامة في تقديم خدمات تستجيب للأعداد الضخمة من الحجاج، وتراعي </w:t>
      </w:r>
      <w:r w:rsidRPr="001F14A2">
        <w:rPr>
          <w:rFonts w:ascii="Simplified Arabic" w:eastAsia="Times New Roman" w:hAnsi="Simplified Arabic" w:cs="Simplified Arabic"/>
          <w:color w:val="000000" w:themeColor="text1"/>
          <w:kern w:val="0"/>
          <w:sz w:val="28"/>
          <w:szCs w:val="28"/>
          <w:rtl/>
          <w14:ligatures w14:val="none"/>
        </w:rPr>
        <w:lastRenderedPageBreak/>
        <w:t>الاعتبارات البيئية والاقتصادية والاجتماعية. ويُبرز هذا التعريف التكامل بين الجودة والاستدامة بوصفهما هدفين مترابطين في خدمة ضيوف الرحمن</w:t>
      </w:r>
      <w:r w:rsidRPr="001F14A2">
        <w:rPr>
          <w:rFonts w:ascii="Simplified Arabic" w:eastAsia="Times New Roman" w:hAnsi="Simplified Arabic" w:cs="Simplified Arabic"/>
          <w:color w:val="000000" w:themeColor="text1"/>
          <w:kern w:val="0"/>
          <w:sz w:val="28"/>
          <w:szCs w:val="28"/>
          <w14:ligatures w14:val="none"/>
        </w:rPr>
        <w:t>.</w:t>
      </w:r>
    </w:p>
    <w:p w14:paraId="54254B1D"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ومن خلال هذه التعريفات، يتبيّن وجود اتجاهات متعددة في معالجة جودة الخدمة، تتدرج من اتجاه يُركّز على المستفيد وتوقعاته، إلى اتجاه يُعنى بالقدرات التنظيمية، وثالث يُؤكد على توظيف التقنية، ورابع يربطها بالمستهدفات الاستراتيجية للدولة. ويرى الباحث أن جودة الخدمات المقدمة لضيوف الرحمن في سياق هذه الدراسة يُمكن تعريفها بأنها: “المحصلة المتكاملة الناتجة عن قدرة المنظومة الإدارية والتشغيلية في قطاع الحج والعمرة على تقديم خدمات تستجيب للاحتياجات الكمية والنوعية للحجاج والمعتمرين، وتُلبي توقعاتهم الفنية والشعورية والروحية، عبر تكامل الكوادر البشرية المؤهلة والتقنيات الحديثة والإجراءات المنظمة، بما يحقق رضا ضيوف الرحمن، ويُسهم في تعزيز المكانة الحضارية للمملكة العربية السعودية</w:t>
      </w:r>
      <w:r w:rsidRPr="001F14A2">
        <w:rPr>
          <w:rFonts w:ascii="Simplified Arabic" w:eastAsia="Times New Roman" w:hAnsi="Simplified Arabic" w:cs="Simplified Arabic"/>
          <w:color w:val="000000" w:themeColor="text1"/>
          <w:kern w:val="0"/>
          <w:sz w:val="28"/>
          <w:szCs w:val="28"/>
          <w14:ligatures w14:val="none"/>
        </w:rPr>
        <w:t>”.</w:t>
      </w:r>
    </w:p>
    <w:p w14:paraId="35BF7C51" w14:textId="0B007F39"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905875"/>
      <w:r w:rsidRPr="001F14A2">
        <w:rPr>
          <w:rFonts w:ascii="Simplified Arabic" w:eastAsia="Times New Roman" w:hAnsi="Simplified Arabic" w:cs="Simplified Arabic" w:hint="cs"/>
          <w:b/>
          <w:bCs/>
          <w:color w:val="000000" w:themeColor="text1"/>
          <w:kern w:val="0"/>
          <w:sz w:val="32"/>
          <w:szCs w:val="32"/>
          <w:rtl/>
          <w14:ligatures w14:val="none"/>
        </w:rPr>
        <w:t>3.2.2</w:t>
      </w:r>
      <w:r w:rsidR="003B1410" w:rsidRPr="001F14A2">
        <w:rPr>
          <w:rFonts w:ascii="Simplified Arabic" w:eastAsia="Times New Roman" w:hAnsi="Simplified Arabic" w:cs="Simplified Arabic"/>
          <w:b/>
          <w:bCs/>
          <w:color w:val="000000" w:themeColor="text1"/>
          <w:kern w:val="0"/>
          <w:sz w:val="32"/>
          <w:szCs w:val="32"/>
          <w:rtl/>
          <w14:ligatures w14:val="none"/>
        </w:rPr>
        <w:t xml:space="preserve"> أهمية جودة الخدمات المقدمة لضيوف الرحمن</w:t>
      </w:r>
      <w:bookmarkEnd w:id="52"/>
    </w:p>
    <w:p w14:paraId="0E10EEAB"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تنبع أهمية جودة الخدمة في منظومة خدمة ضيوف الرحمن من تقاطعها مع اعتبارات متعددة، تجمع بين البُعد الإداري والاقتصادي والديني والحضاري. فهي لا تُمثّل مجرد معيار للأداء التشغيلي، بل تُجسّد ترجمة ميدانية لمسؤولية المملكة العربية السعودية تجاه ضيوف بيت الله الحرام، وتعكس مستوى التزامها بتيسير أداء المناسك في ظروف ملائمة. وتتسع دائرة هذه الأهمية لتشمل الانعكاسات على رضا الحجاج والمعتمرين، وعلى الصورة الذهنية للدولة، وعلى الإسهامات الاقتصادية للقطاع، وعلى تحقيق المستهدفات الوطنية للرؤية الحديثة</w:t>
      </w:r>
      <w:r w:rsidRPr="001F14A2">
        <w:rPr>
          <w:rFonts w:ascii="Simplified Arabic" w:eastAsia="Times New Roman" w:hAnsi="Simplified Arabic" w:cs="Simplified Arabic"/>
          <w:color w:val="000000" w:themeColor="text1"/>
          <w:kern w:val="0"/>
          <w:sz w:val="28"/>
          <w:szCs w:val="28"/>
          <w14:ligatures w14:val="none"/>
        </w:rPr>
        <w:t>.</w:t>
      </w:r>
    </w:p>
    <w:p w14:paraId="3AA0D549"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1F14A2">
        <w:rPr>
          <w:rFonts w:ascii="Simplified Arabic" w:eastAsia="Times New Roman" w:hAnsi="Simplified Arabic" w:cs="Simplified Arabic"/>
          <w:color w:val="000000" w:themeColor="text1"/>
          <w:kern w:val="0"/>
          <w:sz w:val="28"/>
          <w:szCs w:val="28"/>
          <w:rtl/>
          <w14:ligatures w14:val="none"/>
        </w:rPr>
        <w:t>الطحطوح</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(2020) إلى أن أهمية جودة الخدمة في منظومة الحج والعمرة تتجلى في إسهامها في تحقيق التنمية المستدامة بأبعادها الاقتصادية والاجتماعية والبيئية، وفي تعظيم العوائد الناتجة عن مشاريع ومرافق الحج والعمرة، وتعزيز قدرة المناطق المرتبطة بهذا القطاع على تقديم خدمات متطورة لضيوف الرحمن. كما تُسهم في رفع المستوى الحضاري للمملكة، وتحقيق تكامل بين المشاريع الحكومية والخاصة في تقديم منظومة خدمية متكاملة، فضلًا عن دورها في توفير فرص العمل وتطوير الكفاءات الوطنية</w:t>
      </w:r>
      <w:r w:rsidRPr="001F14A2">
        <w:rPr>
          <w:rFonts w:ascii="Simplified Arabic" w:eastAsia="Times New Roman" w:hAnsi="Simplified Arabic" w:cs="Simplified Arabic"/>
          <w:color w:val="000000" w:themeColor="text1"/>
          <w:kern w:val="0"/>
          <w:sz w:val="28"/>
          <w:szCs w:val="28"/>
          <w14:ligatures w14:val="none"/>
        </w:rPr>
        <w:t>.</w:t>
      </w:r>
    </w:p>
    <w:p w14:paraId="47233014"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ويُؤكّد الحربي (2025) أن أهمية جودة الخدمة تتجلى في كونها أداة لتعزيز القوة الناعمة للمملكة عبر إدارة الحشود في الحج، إذ تنعكس الخدمات المقدمة لضيوف الرحمن مباشرة على صورة الدولة في وعي </w:t>
      </w:r>
      <w:r w:rsidRPr="001F14A2">
        <w:rPr>
          <w:rFonts w:ascii="Simplified Arabic" w:eastAsia="Times New Roman" w:hAnsi="Simplified Arabic" w:cs="Simplified Arabic"/>
          <w:color w:val="000000" w:themeColor="text1"/>
          <w:kern w:val="0"/>
          <w:sz w:val="28"/>
          <w:szCs w:val="28"/>
          <w:rtl/>
          <w14:ligatures w14:val="none"/>
        </w:rPr>
        <w:lastRenderedPageBreak/>
        <w:t>ملايين الحجاج العائدين إلى بلدانهم. كما تُسهم في توطيد المكانة الحضارية للمملكة، ودعم رسالتها الإنسانية، وتعزيز الانتماء الديني والثقافي بين أبناء الأمة الإسلامية، فضلًا عن إبراز نموذج تنظيمي رائد في إدارة الفعاليات الكبرى يستفيد منه المجتمع الدولي</w:t>
      </w:r>
      <w:r w:rsidRPr="001F14A2">
        <w:rPr>
          <w:rFonts w:ascii="Simplified Arabic" w:eastAsia="Times New Roman" w:hAnsi="Simplified Arabic" w:cs="Simplified Arabic"/>
          <w:color w:val="000000" w:themeColor="text1"/>
          <w:kern w:val="0"/>
          <w:sz w:val="28"/>
          <w:szCs w:val="28"/>
          <w14:ligatures w14:val="none"/>
        </w:rPr>
        <w:t>.</w:t>
      </w:r>
    </w:p>
    <w:p w14:paraId="2BF851F3"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ويرى سقاط (2025) أن أهمية جودة الخدمة تكمن في كونها معيارًا لقياس مدى نجاح شركات خدمة الحجاج والمعتمرين في مواكبة التحول الرقمي، وفي تمكينها من تحقيق التميز التنافسي عبر دمج التقنيات الحديثة في عملياتها التشغيلية. وتُسهم كذلك في رفع مستوى الكفاءة في تقديم الخدمات، وتعزيز الاستجابة لتطلعات المستفيدين، وبناء سمعة تنظيمية تُسهم في استدامة الأعمال وتوسع نطاقها</w:t>
      </w:r>
      <w:r w:rsidRPr="001F14A2">
        <w:rPr>
          <w:rFonts w:ascii="Simplified Arabic" w:eastAsia="Times New Roman" w:hAnsi="Simplified Arabic" w:cs="Simplified Arabic"/>
          <w:color w:val="000000" w:themeColor="text1"/>
          <w:kern w:val="0"/>
          <w:sz w:val="28"/>
          <w:szCs w:val="28"/>
          <w14:ligatures w14:val="none"/>
        </w:rPr>
        <w:t>.</w:t>
      </w:r>
    </w:p>
    <w:p w14:paraId="706C9338"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ويُبرز خالدي وقرش (2021) أن أهمية جودة الخدمة تنبع من ارتباطها بمنظومة الخدمات التكميلية، إذ تُسهم في تعزيز القيمة المُدركة لدى المستفيد، وفي بناء علاقة طويلة المدى بينه وبين مقدم الخدمة. كما تُيسّر تمييز المنظمة عن منافسيها في الأسواق التنافسية، وتُعزز قدرتها على استبقاء عملائها، وتُتيح لها استثمار الخدمات التكميلية في خلق تجربة متكاملة ترتقي بمستوى الرضا</w:t>
      </w:r>
      <w:r w:rsidRPr="001F14A2">
        <w:rPr>
          <w:rFonts w:ascii="Simplified Arabic" w:eastAsia="Times New Roman" w:hAnsi="Simplified Arabic" w:cs="Simplified Arabic"/>
          <w:color w:val="000000" w:themeColor="text1"/>
          <w:kern w:val="0"/>
          <w:sz w:val="28"/>
          <w:szCs w:val="28"/>
          <w14:ligatures w14:val="none"/>
        </w:rPr>
        <w:t>.</w:t>
      </w:r>
    </w:p>
    <w:p w14:paraId="1058B12D"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ويُؤكّد </w:t>
      </w:r>
      <w:proofErr w:type="spellStart"/>
      <w:r w:rsidRPr="001F14A2">
        <w:rPr>
          <w:rFonts w:ascii="Simplified Arabic" w:eastAsia="Times New Roman" w:hAnsi="Simplified Arabic" w:cs="Simplified Arabic"/>
          <w:color w:val="000000" w:themeColor="text1"/>
          <w:kern w:val="0"/>
          <w:sz w:val="28"/>
          <w:szCs w:val="28"/>
          <w:rtl/>
          <w14:ligatures w14:val="none"/>
        </w:rPr>
        <w:t>العسيمي</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(2025) أن أهمية جودة الخدمة في منظومة الحج والعمرة تتجلى في توفير بيئة تمكينية للعاملين، ولا سيما المرأة العاملة في خدمة ضيوف الرحمن، إذ تُشكّل الجودة محورًا تُبنى حوله السياسات والممارسات الإدارية الداعمة للكفاءات النسائية. كما تُسهم في تعزيز التنوع في القوى العاملة، وتُتيح للمنظومة الاستفادة من طاقات إضافية في تقديم خدمات تستجيب للاحتياجات الخاصة بالحاجّات والمعتمرات</w:t>
      </w:r>
      <w:r w:rsidRPr="001F14A2">
        <w:rPr>
          <w:rFonts w:ascii="Simplified Arabic" w:eastAsia="Times New Roman" w:hAnsi="Simplified Arabic" w:cs="Simplified Arabic"/>
          <w:color w:val="000000" w:themeColor="text1"/>
          <w:kern w:val="0"/>
          <w:sz w:val="28"/>
          <w:szCs w:val="28"/>
          <w14:ligatures w14:val="none"/>
        </w:rPr>
        <w:t>.</w:t>
      </w:r>
    </w:p>
    <w:p w14:paraId="3591B921"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ويُشير</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Shambour</w:t>
      </w:r>
      <w:proofErr w:type="spellEnd"/>
      <w:r w:rsidRPr="001F14A2">
        <w:rPr>
          <w:rFonts w:ascii="Simplified Arabic" w:eastAsia="Times New Roman" w:hAnsi="Simplified Arabic" w:cs="Simplified Arabic"/>
          <w:color w:val="000000" w:themeColor="text1"/>
          <w:kern w:val="0"/>
          <w:sz w:val="28"/>
          <w:szCs w:val="28"/>
          <w14:ligatures w14:val="none"/>
        </w:rPr>
        <w:t xml:space="preserve"> and </w:t>
      </w:r>
      <w:proofErr w:type="spellStart"/>
      <w:r w:rsidRPr="001F14A2">
        <w:rPr>
          <w:rFonts w:ascii="Simplified Arabic" w:eastAsia="Times New Roman" w:hAnsi="Simplified Arabic" w:cs="Simplified Arabic"/>
          <w:color w:val="000000" w:themeColor="text1"/>
          <w:kern w:val="0"/>
          <w:sz w:val="28"/>
          <w:szCs w:val="28"/>
          <w14:ligatures w14:val="none"/>
        </w:rPr>
        <w:t>Gutub</w:t>
      </w:r>
      <w:proofErr w:type="spellEnd"/>
      <w:r w:rsidRPr="001F14A2">
        <w:rPr>
          <w:rFonts w:ascii="Simplified Arabic" w:eastAsia="Times New Roman" w:hAnsi="Simplified Arabic" w:cs="Simplified Arabic"/>
          <w:color w:val="000000" w:themeColor="text1"/>
          <w:kern w:val="0"/>
          <w:sz w:val="28"/>
          <w:szCs w:val="28"/>
          <w14:ligatures w14:val="none"/>
        </w:rPr>
        <w:t xml:space="preserve"> (2023) </w:t>
      </w:r>
      <w:r w:rsidRPr="001F14A2">
        <w:rPr>
          <w:rFonts w:ascii="Simplified Arabic" w:eastAsia="Times New Roman" w:hAnsi="Simplified Arabic" w:cs="Simplified Arabic"/>
          <w:color w:val="000000" w:themeColor="text1"/>
          <w:kern w:val="0"/>
          <w:sz w:val="28"/>
          <w:szCs w:val="28"/>
          <w:rtl/>
          <w14:ligatures w14:val="none"/>
        </w:rPr>
        <w:t>إلى أن أهمية جودة الخدمة تتجلى في إسهامها في تشكيل تجربة الحاج بصورة متكاملة، وفي ضبط معدلات الرضا بناءً على المقارنة بين التوقعات والإدراكات الفعلية. كما تُسهم في توفير قاعدة معلوماتية يُمكن استثمارها في تحسين العمليات التشغيلية، وتوظيف تقنيات التعلم العميق في معالجة البيانات الضخمة المتولدة عن تجارب الحجاج، بما يُتيح تحسينات مستمرة للخدمات المقدمة</w:t>
      </w:r>
      <w:r w:rsidRPr="001F14A2">
        <w:rPr>
          <w:rFonts w:ascii="Simplified Arabic" w:eastAsia="Times New Roman" w:hAnsi="Simplified Arabic" w:cs="Simplified Arabic"/>
          <w:color w:val="000000" w:themeColor="text1"/>
          <w:kern w:val="0"/>
          <w:sz w:val="28"/>
          <w:szCs w:val="28"/>
          <w14:ligatures w14:val="none"/>
        </w:rPr>
        <w:t>.</w:t>
      </w:r>
    </w:p>
    <w:p w14:paraId="32780027"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ويُؤكّد</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Basahel</w:t>
      </w:r>
      <w:proofErr w:type="spellEnd"/>
      <w:r w:rsidRPr="001F14A2">
        <w:rPr>
          <w:rFonts w:ascii="Simplified Arabic" w:eastAsia="Times New Roman" w:hAnsi="Simplified Arabic" w:cs="Simplified Arabic"/>
          <w:color w:val="000000" w:themeColor="text1"/>
          <w:kern w:val="0"/>
          <w:sz w:val="28"/>
          <w:szCs w:val="28"/>
          <w14:ligatures w14:val="none"/>
        </w:rPr>
        <w:t xml:space="preserve"> et al. (2022) </w:t>
      </w:r>
      <w:r w:rsidRPr="001F14A2">
        <w:rPr>
          <w:rFonts w:ascii="Simplified Arabic" w:eastAsia="Times New Roman" w:hAnsi="Simplified Arabic" w:cs="Simplified Arabic"/>
          <w:color w:val="000000" w:themeColor="text1"/>
          <w:kern w:val="0"/>
          <w:sz w:val="28"/>
          <w:szCs w:val="28"/>
          <w:rtl/>
          <w14:ligatures w14:val="none"/>
        </w:rPr>
        <w:t xml:space="preserve">أن أهمية جودة الخدمة في موسم الحج تتجلى في تحقيق الاستدامة الشاملة للمنظومة، وفي توظيف الذكاء الاصطناعي بما يُمكّن من إدارة الأعداد الضخمة بكفاءة، وضبط </w:t>
      </w:r>
      <w:r w:rsidRPr="001F14A2">
        <w:rPr>
          <w:rFonts w:ascii="Simplified Arabic" w:eastAsia="Times New Roman" w:hAnsi="Simplified Arabic" w:cs="Simplified Arabic"/>
          <w:color w:val="000000" w:themeColor="text1"/>
          <w:kern w:val="0"/>
          <w:sz w:val="28"/>
          <w:szCs w:val="28"/>
          <w:rtl/>
          <w14:ligatures w14:val="none"/>
        </w:rPr>
        <w:lastRenderedPageBreak/>
        <w:t>الأداء التشغيلي، وتقليص المخاطر التشغيلية والصحية. كما تُسهم في إرساء نموذج إداري متقدم يجمع بين البُعد التقني والبُعد الإنساني في تقديم الخدمة لضيوف الرحمن</w:t>
      </w:r>
      <w:r w:rsidRPr="001F14A2">
        <w:rPr>
          <w:rFonts w:ascii="Simplified Arabic" w:eastAsia="Times New Roman" w:hAnsi="Simplified Arabic" w:cs="Simplified Arabic"/>
          <w:color w:val="000000" w:themeColor="text1"/>
          <w:kern w:val="0"/>
          <w:sz w:val="28"/>
          <w:szCs w:val="28"/>
          <w14:ligatures w14:val="none"/>
        </w:rPr>
        <w:t>.</w:t>
      </w:r>
    </w:p>
    <w:p w14:paraId="40AAB7DA"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ومن مجمل هذه الرؤى، يتضح أن أهمية جودة الخدمات المقدمة لضيوف الرحمن تتجاوز البُعد التشغيلي إلى أبعاد استراتيجية وحضارية، وتُمثّل أحد محاور التنافس بين الدول الإسلامية في خدمة الحرمين الشريفين، فضلًا عن كونها أداة لتحقيق المستهدفات الاقتصادية والاجتماعية التي ترسمها المملكة في رؤيتها التنموية</w:t>
      </w:r>
      <w:r w:rsidRPr="001F14A2">
        <w:rPr>
          <w:rFonts w:ascii="Simplified Arabic" w:eastAsia="Times New Roman" w:hAnsi="Simplified Arabic" w:cs="Simplified Arabic"/>
          <w:color w:val="000000" w:themeColor="text1"/>
          <w:kern w:val="0"/>
          <w:sz w:val="28"/>
          <w:szCs w:val="28"/>
          <w14:ligatures w14:val="none"/>
        </w:rPr>
        <w:t>.</w:t>
      </w:r>
    </w:p>
    <w:p w14:paraId="705BFE4F" w14:textId="57ADAC60"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905876"/>
      <w:r w:rsidRPr="001F14A2">
        <w:rPr>
          <w:rFonts w:ascii="Simplified Arabic" w:eastAsia="Times New Roman" w:hAnsi="Simplified Arabic" w:cs="Simplified Arabic" w:hint="cs"/>
          <w:b/>
          <w:bCs/>
          <w:color w:val="000000" w:themeColor="text1"/>
          <w:kern w:val="0"/>
          <w:sz w:val="32"/>
          <w:szCs w:val="32"/>
          <w:rtl/>
          <w14:ligatures w14:val="none"/>
        </w:rPr>
        <w:t>4.2.2</w:t>
      </w:r>
      <w:r w:rsidR="003B1410" w:rsidRPr="001F14A2">
        <w:rPr>
          <w:rFonts w:ascii="Simplified Arabic" w:eastAsia="Times New Roman" w:hAnsi="Simplified Arabic" w:cs="Simplified Arabic"/>
          <w:b/>
          <w:bCs/>
          <w:color w:val="000000" w:themeColor="text1"/>
          <w:kern w:val="0"/>
          <w:sz w:val="32"/>
          <w:szCs w:val="32"/>
          <w:rtl/>
          <w14:ligatures w14:val="none"/>
        </w:rPr>
        <w:t xml:space="preserve"> أهداف جودة الخدمات المقدمة لضيوف الرحمن</w:t>
      </w:r>
      <w:bookmarkEnd w:id="53"/>
    </w:p>
    <w:p w14:paraId="14380DEB"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تتعدد الأهداف التي تسعى منظومة جودة الخدمة إلى تحقيقها في قطاع خدمة ضيوف الرحمن، وتتنوع بحسب الزاوية التي يعالجها كل باحث</w:t>
      </w:r>
      <w:r w:rsidRPr="001F14A2">
        <w:rPr>
          <w:rFonts w:ascii="Simplified Arabic" w:eastAsia="Times New Roman" w:hAnsi="Simplified Arabic" w:cs="Simplified Arabic"/>
          <w:color w:val="000000" w:themeColor="text1"/>
          <w:kern w:val="0"/>
          <w:sz w:val="28"/>
          <w:szCs w:val="28"/>
          <w14:ligatures w14:val="none"/>
        </w:rPr>
        <w:t>.</w:t>
      </w:r>
    </w:p>
    <w:p w14:paraId="457AB588"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يُشير </w:t>
      </w:r>
      <w:proofErr w:type="spellStart"/>
      <w:r w:rsidRPr="001F14A2">
        <w:rPr>
          <w:rFonts w:ascii="Simplified Arabic" w:eastAsia="Times New Roman" w:hAnsi="Simplified Arabic" w:cs="Simplified Arabic"/>
          <w:color w:val="000000" w:themeColor="text1"/>
          <w:kern w:val="0"/>
          <w:sz w:val="28"/>
          <w:szCs w:val="28"/>
          <w:rtl/>
          <w14:ligatures w14:val="none"/>
        </w:rPr>
        <w:t>الطحطوح</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(2020) إلى جملة من الأهداف، أبرزها: تحقيق التنمية المستدامة في مناطق الحج والعمرة، والإسهام في تطوير البنية التحتية والمرافق الخدمية، وتعظيم العوائد الاقتصادية لقطاع الحج والعمرة، وتمكين المجتمعات المحلية المرتبطة بهذا القطاع من تقديم خدمات نوعية، فضلًا عن تحقيق التكامل بين مختلف الجهات المنفذة للمشاريع والخدمات</w:t>
      </w:r>
      <w:r w:rsidRPr="001F14A2">
        <w:rPr>
          <w:rFonts w:ascii="Simplified Arabic" w:eastAsia="Times New Roman" w:hAnsi="Simplified Arabic" w:cs="Simplified Arabic"/>
          <w:color w:val="000000" w:themeColor="text1"/>
          <w:kern w:val="0"/>
          <w:sz w:val="28"/>
          <w:szCs w:val="28"/>
          <w14:ligatures w14:val="none"/>
        </w:rPr>
        <w:t>.</w:t>
      </w:r>
    </w:p>
    <w:p w14:paraId="0F92EEFC"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ويُحدّد الحربي (2025) أهدافًا ترتبط بالبُعد الاستراتيجي، تتضمن: تعزيز القوة الناعمة للمملكة من خلال إدارة الحشود بأسلوب متميز، وبناء صورة ذهنية إيجابية للدولة لدى الحجاج والمعتمرين، وترسيخ المكانة الحضارية للمملكة على المستوى الدولي، ودعم الانتماء الديني والثقافي بين المسلمين، إضافةً إلى تطوير نموذج إداري سعودي رائد في إدارة الفعاليات الجماهيرية الكبرى</w:t>
      </w:r>
      <w:r w:rsidRPr="001F14A2">
        <w:rPr>
          <w:rFonts w:ascii="Simplified Arabic" w:eastAsia="Times New Roman" w:hAnsi="Simplified Arabic" w:cs="Simplified Arabic"/>
          <w:color w:val="000000" w:themeColor="text1"/>
          <w:kern w:val="0"/>
          <w:sz w:val="28"/>
          <w:szCs w:val="28"/>
          <w14:ligatures w14:val="none"/>
        </w:rPr>
        <w:t>.</w:t>
      </w:r>
    </w:p>
    <w:p w14:paraId="12E70574"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ويُبيّن سقاط (2025) أن من أهداف جودة الخدمة في شركات خدمة الحجاج والمعتمرين: تحقيق التميز التنافسي في القطاع، ومواكبة التحول الرقمي عبر دمج التقنيات الحديثة، ورفع مستوى الكفاءة التشغيلية، وتعزيز رضا المستفيدين، فضلًا عن استدامة الأعمال وضمان توسعها في الأسواق المحلية والإقليمية</w:t>
      </w:r>
      <w:r w:rsidRPr="001F14A2">
        <w:rPr>
          <w:rFonts w:ascii="Simplified Arabic" w:eastAsia="Times New Roman" w:hAnsi="Simplified Arabic" w:cs="Simplified Arabic"/>
          <w:color w:val="000000" w:themeColor="text1"/>
          <w:kern w:val="0"/>
          <w:sz w:val="28"/>
          <w:szCs w:val="28"/>
          <w14:ligatures w14:val="none"/>
        </w:rPr>
        <w:t>.</w:t>
      </w:r>
    </w:p>
    <w:p w14:paraId="43C8E6B1"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ويُحدّد خالدي وقرش (2021) أهدافًا ذات صلة بالخدمات التكميلية، تشمل: بناء علاقة طويلة المدى بين المنظمة والمستفيد، وتعزيز القيمة المُدركة للخدمة، وتمييز المنظمة عن منافسيها، ورفع مستوى الولاء للعلامة الخدمية، وإيجاد تكامل بين الخدمات الأساسية والإضافية بما يخلق تجربة متكاملة للمستفيد</w:t>
      </w:r>
      <w:r w:rsidRPr="001F14A2">
        <w:rPr>
          <w:rFonts w:ascii="Simplified Arabic" w:eastAsia="Times New Roman" w:hAnsi="Simplified Arabic" w:cs="Simplified Arabic"/>
          <w:color w:val="000000" w:themeColor="text1"/>
          <w:kern w:val="0"/>
          <w:sz w:val="28"/>
          <w:szCs w:val="28"/>
          <w14:ligatures w14:val="none"/>
        </w:rPr>
        <w:t>.</w:t>
      </w:r>
    </w:p>
    <w:p w14:paraId="0D46ECF2"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lastRenderedPageBreak/>
        <w:t>ويُبرز</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Basahel</w:t>
      </w:r>
      <w:proofErr w:type="spellEnd"/>
      <w:r w:rsidRPr="001F14A2">
        <w:rPr>
          <w:rFonts w:ascii="Simplified Arabic" w:eastAsia="Times New Roman" w:hAnsi="Simplified Arabic" w:cs="Simplified Arabic"/>
          <w:color w:val="000000" w:themeColor="text1"/>
          <w:kern w:val="0"/>
          <w:sz w:val="28"/>
          <w:szCs w:val="28"/>
          <w14:ligatures w14:val="none"/>
        </w:rPr>
        <w:t xml:space="preserve"> et al. (2022) </w:t>
      </w:r>
      <w:r w:rsidRPr="001F14A2">
        <w:rPr>
          <w:rFonts w:ascii="Simplified Arabic" w:eastAsia="Times New Roman" w:hAnsi="Simplified Arabic" w:cs="Simplified Arabic"/>
          <w:color w:val="000000" w:themeColor="text1"/>
          <w:kern w:val="0"/>
          <w:sz w:val="28"/>
          <w:szCs w:val="28"/>
          <w:rtl/>
          <w14:ligatures w14:val="none"/>
        </w:rPr>
        <w:t>أهدافًا ذات صلة بالاستدامة وتوظيف التقنية، تشمل: تحقيق إدارة كفؤة لموسم الحج، وضبط معدلات الازدحام، وتقليص المخاطر الصحية والتشغيلية، وتعزيز الاستدامة البيئية والاقتصادية، وبناء منظومة ذكية تستثمر تقنيات الذكاء الاصطناعي في تحسين تجربة الحاج</w:t>
      </w:r>
      <w:r w:rsidRPr="001F14A2">
        <w:rPr>
          <w:rFonts w:ascii="Simplified Arabic" w:eastAsia="Times New Roman" w:hAnsi="Simplified Arabic" w:cs="Simplified Arabic"/>
          <w:color w:val="000000" w:themeColor="text1"/>
          <w:kern w:val="0"/>
          <w:sz w:val="28"/>
          <w:szCs w:val="28"/>
          <w14:ligatures w14:val="none"/>
        </w:rPr>
        <w:t>.</w:t>
      </w:r>
    </w:p>
    <w:p w14:paraId="74FCAED1"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ويُحدّد</w:t>
      </w:r>
      <w:r w:rsidRPr="001F14A2">
        <w:rPr>
          <w:rFonts w:ascii="Simplified Arabic" w:eastAsia="Times New Roman" w:hAnsi="Simplified Arabic" w:cs="Simplified Arabic"/>
          <w:color w:val="000000" w:themeColor="text1"/>
          <w:kern w:val="0"/>
          <w:sz w:val="28"/>
          <w:szCs w:val="28"/>
          <w14:ligatures w14:val="none"/>
        </w:rPr>
        <w:t xml:space="preserve"> Shah (2024) </w:t>
      </w:r>
      <w:r w:rsidRPr="001F14A2">
        <w:rPr>
          <w:rFonts w:ascii="Simplified Arabic" w:eastAsia="Times New Roman" w:hAnsi="Simplified Arabic" w:cs="Simplified Arabic"/>
          <w:color w:val="000000" w:themeColor="text1"/>
          <w:kern w:val="0"/>
          <w:sz w:val="28"/>
          <w:szCs w:val="28"/>
          <w:rtl/>
          <w14:ligatures w14:val="none"/>
        </w:rPr>
        <w:t>أهدافًا تتعلق بإثراء تجربة المناسك، تشمل: تيسير أداء الشعائر الدينية، وضبط حركة الحشود، ورفع مستوى السلامة العامة، وتقليص أوقات الانتظار، وتعزيز الاندماج بين التقنية والممارسة الدينية بما يُحافظ على روحانية التجربة</w:t>
      </w:r>
      <w:r w:rsidRPr="001F14A2">
        <w:rPr>
          <w:rFonts w:ascii="Simplified Arabic" w:eastAsia="Times New Roman" w:hAnsi="Simplified Arabic" w:cs="Simplified Arabic"/>
          <w:color w:val="000000" w:themeColor="text1"/>
          <w:kern w:val="0"/>
          <w:sz w:val="28"/>
          <w:szCs w:val="28"/>
          <w14:ligatures w14:val="none"/>
        </w:rPr>
        <w:t>.</w:t>
      </w:r>
    </w:p>
    <w:p w14:paraId="1CCB7CE4"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ومن مجمل هذه الأهداف، يتبيّن أن جودة الخدمات المقدمة لضيوف الرحمن في الدراسة الحالية تستهدف بصورة محورية: تيسير أداء الشعائر، وضبط منظومة الخدمات، وتعزيز رضا الحجاج والمعتمرين، ودعم المستهدفات الوطنية للمملكة العربية السعودية، إضافةً إلى رفع كفاءة العاملين في القطاع وتعزيز قدراتهم على تقديم خدمة متميزة</w:t>
      </w:r>
      <w:r w:rsidRPr="001F14A2">
        <w:rPr>
          <w:rFonts w:ascii="Simplified Arabic" w:eastAsia="Times New Roman" w:hAnsi="Simplified Arabic" w:cs="Simplified Arabic"/>
          <w:color w:val="000000" w:themeColor="text1"/>
          <w:kern w:val="0"/>
          <w:sz w:val="28"/>
          <w:szCs w:val="28"/>
          <w14:ligatures w14:val="none"/>
        </w:rPr>
        <w:t>.</w:t>
      </w:r>
    </w:p>
    <w:p w14:paraId="4582FF22" w14:textId="384D6D70" w:rsidR="003B1410" w:rsidRPr="001F14A2" w:rsidRDefault="003331CF" w:rsidP="003331C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905877"/>
      <w:r w:rsidRPr="001F14A2">
        <w:rPr>
          <w:rFonts w:ascii="Simplified Arabic" w:eastAsia="Times New Roman" w:hAnsi="Simplified Arabic" w:cs="Simplified Arabic" w:hint="cs"/>
          <w:b/>
          <w:bCs/>
          <w:color w:val="000000" w:themeColor="text1"/>
          <w:kern w:val="0"/>
          <w:sz w:val="32"/>
          <w:szCs w:val="32"/>
          <w:rtl/>
          <w14:ligatures w14:val="none"/>
        </w:rPr>
        <w:t>5.2.2</w:t>
      </w:r>
      <w:r w:rsidR="003B1410" w:rsidRPr="001F14A2">
        <w:rPr>
          <w:rFonts w:ascii="Simplified Arabic" w:eastAsia="Times New Roman" w:hAnsi="Simplified Arabic" w:cs="Simplified Arabic"/>
          <w:b/>
          <w:bCs/>
          <w:color w:val="000000" w:themeColor="text1"/>
          <w:kern w:val="0"/>
          <w:sz w:val="32"/>
          <w:szCs w:val="32"/>
          <w:rtl/>
          <w14:ligatures w14:val="none"/>
        </w:rPr>
        <w:t xml:space="preserve"> أبعاد جودة الخدمات المقدمة لضيوف الرحمن</w:t>
      </w:r>
      <w:bookmarkEnd w:id="54"/>
    </w:p>
    <w:p w14:paraId="4D82A00E"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تم تحديد محور قياس جودة الخدمات المقدمة لضيوف الرحمن في هذه الدراسة بناءً على دراسة </w:t>
      </w:r>
      <w:proofErr w:type="spellStart"/>
      <w:r w:rsidRPr="001F14A2">
        <w:rPr>
          <w:rFonts w:ascii="Simplified Arabic" w:eastAsia="Times New Roman" w:hAnsi="Simplified Arabic" w:cs="Simplified Arabic"/>
          <w:color w:val="000000" w:themeColor="text1"/>
          <w:kern w:val="0"/>
          <w:sz w:val="28"/>
          <w:szCs w:val="28"/>
          <w:rtl/>
          <w14:ligatures w14:val="none"/>
        </w:rPr>
        <w:t>الطحطوح</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(2020) ودراسة المجلة العربية للعلوم الاقتصادية والإدارية والقانونية (2023)، باعتبارهما من الدراسات التي عالجت منظومة الخدمات المقدمة في الحج والعمرة بصورة شاملة تستوعب الأبعاد التشغيلية والتنموية والتقنية. وقد تم تبني محور واحد متكامل يقيس مستوى جودة الخدمات المقدمة لضيوف الرحمن من وجهة نظر العاملين في المنظومة</w:t>
      </w:r>
      <w:r w:rsidRPr="001F14A2">
        <w:rPr>
          <w:rFonts w:ascii="Simplified Arabic" w:eastAsia="Times New Roman" w:hAnsi="Simplified Arabic" w:cs="Simplified Arabic"/>
          <w:color w:val="000000" w:themeColor="text1"/>
          <w:kern w:val="0"/>
          <w:sz w:val="28"/>
          <w:szCs w:val="28"/>
          <w14:ligatures w14:val="none"/>
        </w:rPr>
        <w:t>.</w:t>
      </w:r>
    </w:p>
    <w:p w14:paraId="274317B9"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ويتضمن هذا المحور قراءة شاملة لمستوى الخدمة على أبعاد متعددة تشمل: مدى ملاءمة البنية التحتية للمرافق والمنشآت لاستيعاب الأعداد الضخمة من الحجاج والمعتمرين (</w:t>
      </w:r>
      <w:proofErr w:type="spellStart"/>
      <w:r w:rsidRPr="001F14A2">
        <w:rPr>
          <w:rFonts w:ascii="Simplified Arabic" w:eastAsia="Times New Roman" w:hAnsi="Simplified Arabic" w:cs="Simplified Arabic"/>
          <w:color w:val="000000" w:themeColor="text1"/>
          <w:kern w:val="0"/>
          <w:sz w:val="28"/>
          <w:szCs w:val="28"/>
          <w:rtl/>
          <w14:ligatures w14:val="none"/>
        </w:rPr>
        <w:t>الطحطوح</w:t>
      </w:r>
      <w:proofErr w:type="spellEnd"/>
      <w:r w:rsidRPr="001F14A2">
        <w:rPr>
          <w:rFonts w:ascii="Simplified Arabic" w:eastAsia="Times New Roman" w:hAnsi="Simplified Arabic" w:cs="Simplified Arabic"/>
          <w:color w:val="000000" w:themeColor="text1"/>
          <w:kern w:val="0"/>
          <w:sz w:val="28"/>
          <w:szCs w:val="28"/>
          <w:rtl/>
          <w14:ligatures w14:val="none"/>
        </w:rPr>
        <w:t>، 2020)، ومستوى انتظام تقديم الخدمة وكفاءة الإجراءات المتبعة، ودقة المعلومات المقدمة للمستفيدين، وسرعة الاستجابة لاحتياجاتهم. ويشمل كذلك مدى توافر الكوادر البشرية المؤهلة في المواقع الخدمية، ومستوى تعاملها مع التنوع الثقافي واللغوي للحجاج، فضلًا عن قدرتها على إدارة المواقف الضاغطة في فترات الذروة</w:t>
      </w:r>
      <w:r w:rsidRPr="001F14A2">
        <w:rPr>
          <w:rFonts w:ascii="Simplified Arabic" w:eastAsia="Times New Roman" w:hAnsi="Simplified Arabic" w:cs="Simplified Arabic"/>
          <w:color w:val="000000" w:themeColor="text1"/>
          <w:kern w:val="0"/>
          <w:sz w:val="28"/>
          <w:szCs w:val="28"/>
          <w14:ligatures w14:val="none"/>
        </w:rPr>
        <w:t>.</w:t>
      </w:r>
    </w:p>
    <w:p w14:paraId="53F1D77E"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ويستوعب المحور أيضًا الأبعاد التقنية لجودة الخدمة، إذ يقيس مستوى توظيف الخدمات التقنية في تنظيم الحشود وتيسير الحركة وضبط معدلات التدفق في المشاعر المقدسة (المجلة العربية للعلوم الاقتصادية </w:t>
      </w:r>
      <w:r w:rsidRPr="001F14A2">
        <w:rPr>
          <w:rFonts w:ascii="Simplified Arabic" w:eastAsia="Times New Roman" w:hAnsi="Simplified Arabic" w:cs="Simplified Arabic"/>
          <w:color w:val="000000" w:themeColor="text1"/>
          <w:kern w:val="0"/>
          <w:sz w:val="28"/>
          <w:szCs w:val="28"/>
          <w:rtl/>
          <w14:ligatures w14:val="none"/>
        </w:rPr>
        <w:lastRenderedPageBreak/>
        <w:t>والإدارية والقانونية، 2023). كما يتضمن تقييمًا لمدى استثمار التقنيات الحديثة في تقديم المعلومات والإرشادات للحجاج، وفي تيسير إجراءات التنقل والإقامة والإعاشة، وفي معالجة الشكاوى والمقترحات</w:t>
      </w:r>
      <w:r w:rsidRPr="001F14A2">
        <w:rPr>
          <w:rFonts w:ascii="Simplified Arabic" w:eastAsia="Times New Roman" w:hAnsi="Simplified Arabic" w:cs="Simplified Arabic"/>
          <w:color w:val="000000" w:themeColor="text1"/>
          <w:kern w:val="0"/>
          <w:sz w:val="28"/>
          <w:szCs w:val="28"/>
          <w14:ligatures w14:val="none"/>
        </w:rPr>
        <w:t>.</w:t>
      </w:r>
    </w:p>
    <w:p w14:paraId="7FE4DAF4"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ويُغطّي المحور كذلك البُعد المتعلق بإدارة حركة النقل في موسم الحج، إذ يقيس مدى كفاءة منظومة النقل في تيسير حركة الحجاج بين المشاعر، وضبط معدلات الازدحام، وتقليص أوقات الانتظار، وتوفير وسائل نقل ملائمة</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Owaidah</w:t>
      </w:r>
      <w:proofErr w:type="spellEnd"/>
      <w:r w:rsidRPr="001F14A2">
        <w:rPr>
          <w:rFonts w:ascii="Simplified Arabic" w:eastAsia="Times New Roman" w:hAnsi="Simplified Arabic" w:cs="Simplified Arabic"/>
          <w:color w:val="000000" w:themeColor="text1"/>
          <w:kern w:val="0"/>
          <w:sz w:val="28"/>
          <w:szCs w:val="28"/>
          <w14:ligatures w14:val="none"/>
        </w:rPr>
        <w:t xml:space="preserve"> et al., 2023). </w:t>
      </w:r>
      <w:r w:rsidRPr="001F14A2">
        <w:rPr>
          <w:rFonts w:ascii="Simplified Arabic" w:eastAsia="Times New Roman" w:hAnsi="Simplified Arabic" w:cs="Simplified Arabic"/>
          <w:color w:val="000000" w:themeColor="text1"/>
          <w:kern w:val="0"/>
          <w:sz w:val="28"/>
          <w:szCs w:val="28"/>
          <w:rtl/>
          <w14:ligatures w14:val="none"/>
        </w:rPr>
        <w:t>كما يتضمن قراءة لمستوى التنسيق بين الجهات المعنية بمنظومة النقل، ومدى جاهزيتها لمواجهة التحديات الموسمية</w:t>
      </w:r>
      <w:r w:rsidRPr="001F14A2">
        <w:rPr>
          <w:rFonts w:ascii="Simplified Arabic" w:eastAsia="Times New Roman" w:hAnsi="Simplified Arabic" w:cs="Simplified Arabic"/>
          <w:color w:val="000000" w:themeColor="text1"/>
          <w:kern w:val="0"/>
          <w:sz w:val="28"/>
          <w:szCs w:val="28"/>
          <w14:ligatures w14:val="none"/>
        </w:rPr>
        <w:t>.</w:t>
      </w:r>
    </w:p>
    <w:p w14:paraId="09B0CF36"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ويستوعب المحور كذلك أبعاد إدارة الازدحام المروري في مكة المكرمة، إذ يقيس مدى كفاءة الإجراءات المتخذة لتقليص الاختناقات، وضبط حركة المركبات، وتيسير وصول الحجاج إلى المشاعر والمواقع الخدمية</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Gazzawe</w:t>
      </w:r>
      <w:proofErr w:type="spellEnd"/>
      <w:r w:rsidRPr="001F14A2">
        <w:rPr>
          <w:rFonts w:ascii="Simplified Arabic" w:eastAsia="Times New Roman" w:hAnsi="Simplified Arabic" w:cs="Simplified Arabic"/>
          <w:color w:val="000000" w:themeColor="text1"/>
          <w:kern w:val="0"/>
          <w:sz w:val="28"/>
          <w:szCs w:val="28"/>
          <w14:ligatures w14:val="none"/>
        </w:rPr>
        <w:t xml:space="preserve"> &amp; </w:t>
      </w:r>
      <w:proofErr w:type="spellStart"/>
      <w:r w:rsidRPr="001F14A2">
        <w:rPr>
          <w:rFonts w:ascii="Simplified Arabic" w:eastAsia="Times New Roman" w:hAnsi="Simplified Arabic" w:cs="Simplified Arabic"/>
          <w:color w:val="000000" w:themeColor="text1"/>
          <w:kern w:val="0"/>
          <w:sz w:val="28"/>
          <w:szCs w:val="28"/>
          <w14:ligatures w14:val="none"/>
        </w:rPr>
        <w:t>Albahar</w:t>
      </w:r>
      <w:proofErr w:type="spellEnd"/>
      <w:r w:rsidRPr="001F14A2">
        <w:rPr>
          <w:rFonts w:ascii="Simplified Arabic" w:eastAsia="Times New Roman" w:hAnsi="Simplified Arabic" w:cs="Simplified Arabic"/>
          <w:color w:val="000000" w:themeColor="text1"/>
          <w:kern w:val="0"/>
          <w:sz w:val="28"/>
          <w:szCs w:val="28"/>
          <w14:ligatures w14:val="none"/>
        </w:rPr>
        <w:t>, 2024</w:t>
      </w:r>
      <w:r w:rsidRPr="001F14A2">
        <w:rPr>
          <w:rFonts w:ascii="Simplified Arabic" w:eastAsia="Times New Roman" w:hAnsi="Simplified Arabic" w:cs="Simplified Arabic"/>
          <w:color w:val="000000" w:themeColor="text1"/>
          <w:kern w:val="0"/>
          <w:sz w:val="28"/>
          <w:szCs w:val="28"/>
          <w:rtl/>
          <w14:ligatures w14:val="none"/>
        </w:rPr>
        <w:t>؛</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Kodupuganti</w:t>
      </w:r>
      <w:proofErr w:type="spellEnd"/>
      <w:r w:rsidRPr="001F14A2">
        <w:rPr>
          <w:rFonts w:ascii="Simplified Arabic" w:eastAsia="Times New Roman" w:hAnsi="Simplified Arabic" w:cs="Simplified Arabic"/>
          <w:color w:val="000000" w:themeColor="text1"/>
          <w:kern w:val="0"/>
          <w:sz w:val="28"/>
          <w:szCs w:val="28"/>
          <w14:ligatures w14:val="none"/>
        </w:rPr>
        <w:t xml:space="preserve"> &amp; </w:t>
      </w:r>
      <w:proofErr w:type="spellStart"/>
      <w:r w:rsidRPr="001F14A2">
        <w:rPr>
          <w:rFonts w:ascii="Simplified Arabic" w:eastAsia="Times New Roman" w:hAnsi="Simplified Arabic" w:cs="Simplified Arabic"/>
          <w:color w:val="000000" w:themeColor="text1"/>
          <w:kern w:val="0"/>
          <w:sz w:val="28"/>
          <w:szCs w:val="28"/>
          <w14:ligatures w14:val="none"/>
        </w:rPr>
        <w:t>Pulugurtha</w:t>
      </w:r>
      <w:proofErr w:type="spellEnd"/>
      <w:r w:rsidRPr="001F14A2">
        <w:rPr>
          <w:rFonts w:ascii="Simplified Arabic" w:eastAsia="Times New Roman" w:hAnsi="Simplified Arabic" w:cs="Simplified Arabic"/>
          <w:color w:val="000000" w:themeColor="text1"/>
          <w:kern w:val="0"/>
          <w:sz w:val="28"/>
          <w:szCs w:val="28"/>
          <w14:ligatures w14:val="none"/>
        </w:rPr>
        <w:t xml:space="preserve">, 2023). </w:t>
      </w:r>
      <w:r w:rsidRPr="001F14A2">
        <w:rPr>
          <w:rFonts w:ascii="Simplified Arabic" w:eastAsia="Times New Roman" w:hAnsi="Simplified Arabic" w:cs="Simplified Arabic"/>
          <w:color w:val="000000" w:themeColor="text1"/>
          <w:kern w:val="0"/>
          <w:sz w:val="28"/>
          <w:szCs w:val="28"/>
          <w:rtl/>
          <w14:ligatures w14:val="none"/>
        </w:rPr>
        <w:t>ويشمل أيضًا تقييمًا لمدى توظيف وسائل النقل البديلة في الحد من الازدحام، وأثرها على جودة تجربة الحاج</w:t>
      </w:r>
      <w:r w:rsidRPr="001F14A2">
        <w:rPr>
          <w:rFonts w:ascii="Simplified Arabic" w:eastAsia="Times New Roman" w:hAnsi="Simplified Arabic" w:cs="Simplified Arabic"/>
          <w:color w:val="000000" w:themeColor="text1"/>
          <w:kern w:val="0"/>
          <w:sz w:val="28"/>
          <w:szCs w:val="28"/>
          <w14:ligatures w14:val="none"/>
        </w:rPr>
        <w:t>.</w:t>
      </w:r>
    </w:p>
    <w:p w14:paraId="5F09F4CD"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ويتضمن المحور قراءة لمستوى تطبيق تقنيات الذكاء الاصطناعي في تحسين تجربة المناسك وإدارة الحشود</w:t>
      </w:r>
      <w:r w:rsidRPr="001F14A2">
        <w:rPr>
          <w:rFonts w:ascii="Simplified Arabic" w:eastAsia="Times New Roman" w:hAnsi="Simplified Arabic" w:cs="Simplified Arabic"/>
          <w:color w:val="000000" w:themeColor="text1"/>
          <w:kern w:val="0"/>
          <w:sz w:val="28"/>
          <w:szCs w:val="28"/>
          <w14:ligatures w14:val="none"/>
        </w:rPr>
        <w:t xml:space="preserve"> (Shah, 2024)</w:t>
      </w:r>
      <w:r w:rsidRPr="001F14A2">
        <w:rPr>
          <w:rFonts w:ascii="Simplified Arabic" w:eastAsia="Times New Roman" w:hAnsi="Simplified Arabic" w:cs="Simplified Arabic"/>
          <w:color w:val="000000" w:themeColor="text1"/>
          <w:kern w:val="0"/>
          <w:sz w:val="28"/>
          <w:szCs w:val="28"/>
          <w:rtl/>
          <w14:ligatures w14:val="none"/>
        </w:rPr>
        <w:t>، وما توفره من تيسير لأداء الشعائر، وضبط لمعدلات التدفق، ورصد للمخاطر التشغيلية والصحية. كما يتضمن تقييمًا لمدى اندماج هذه التقنيات في منظومة الخدمات المقدمة، وأثرها على رضا الحجاج</w:t>
      </w:r>
      <w:r w:rsidRPr="001F14A2">
        <w:rPr>
          <w:rFonts w:ascii="Simplified Arabic" w:eastAsia="Times New Roman" w:hAnsi="Simplified Arabic" w:cs="Simplified Arabic"/>
          <w:color w:val="000000" w:themeColor="text1"/>
          <w:kern w:val="0"/>
          <w:sz w:val="28"/>
          <w:szCs w:val="28"/>
          <w14:ligatures w14:val="none"/>
        </w:rPr>
        <w:t>.</w:t>
      </w:r>
    </w:p>
    <w:p w14:paraId="1C01406E"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 xml:space="preserve">ويُغطّي المحور أيضًا البُعد المتعلق بضيافة الحجاج، إذ يقيس مستوى الخدمات الفندقية </w:t>
      </w:r>
      <w:proofErr w:type="spellStart"/>
      <w:r w:rsidRPr="001F14A2">
        <w:rPr>
          <w:rFonts w:ascii="Simplified Arabic" w:eastAsia="Times New Roman" w:hAnsi="Simplified Arabic" w:cs="Simplified Arabic"/>
          <w:color w:val="000000" w:themeColor="text1"/>
          <w:kern w:val="0"/>
          <w:sz w:val="28"/>
          <w:szCs w:val="28"/>
          <w:rtl/>
          <w14:ligatures w14:val="none"/>
        </w:rPr>
        <w:t>والإيوائية</w:t>
      </w:r>
      <w:proofErr w:type="spellEnd"/>
      <w:r w:rsidRPr="001F14A2">
        <w:rPr>
          <w:rFonts w:ascii="Simplified Arabic" w:eastAsia="Times New Roman" w:hAnsi="Simplified Arabic" w:cs="Simplified Arabic"/>
          <w:color w:val="000000" w:themeColor="text1"/>
          <w:kern w:val="0"/>
          <w:sz w:val="28"/>
          <w:szCs w:val="28"/>
          <w:rtl/>
          <w14:ligatures w14:val="none"/>
        </w:rPr>
        <w:t xml:space="preserve"> المقدمة لهم، ومدى ملاءمتها لاحتياجاتهم خلال أداء المناسك</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Shambour</w:t>
      </w:r>
      <w:proofErr w:type="spellEnd"/>
      <w:r w:rsidRPr="001F14A2">
        <w:rPr>
          <w:rFonts w:ascii="Simplified Arabic" w:eastAsia="Times New Roman" w:hAnsi="Simplified Arabic" w:cs="Simplified Arabic"/>
          <w:color w:val="000000" w:themeColor="text1"/>
          <w:kern w:val="0"/>
          <w:sz w:val="28"/>
          <w:szCs w:val="28"/>
          <w14:ligatures w14:val="none"/>
        </w:rPr>
        <w:t xml:space="preserve"> &amp; </w:t>
      </w:r>
      <w:proofErr w:type="spellStart"/>
      <w:r w:rsidRPr="001F14A2">
        <w:rPr>
          <w:rFonts w:ascii="Simplified Arabic" w:eastAsia="Times New Roman" w:hAnsi="Simplified Arabic" w:cs="Simplified Arabic"/>
          <w:color w:val="000000" w:themeColor="text1"/>
          <w:kern w:val="0"/>
          <w:sz w:val="28"/>
          <w:szCs w:val="28"/>
          <w14:ligatures w14:val="none"/>
        </w:rPr>
        <w:t>Gutub</w:t>
      </w:r>
      <w:proofErr w:type="spellEnd"/>
      <w:r w:rsidRPr="001F14A2">
        <w:rPr>
          <w:rFonts w:ascii="Simplified Arabic" w:eastAsia="Times New Roman" w:hAnsi="Simplified Arabic" w:cs="Simplified Arabic"/>
          <w:color w:val="000000" w:themeColor="text1"/>
          <w:kern w:val="0"/>
          <w:sz w:val="28"/>
          <w:szCs w:val="28"/>
          <w14:ligatures w14:val="none"/>
        </w:rPr>
        <w:t xml:space="preserve">, 2023). </w:t>
      </w:r>
      <w:r w:rsidRPr="001F14A2">
        <w:rPr>
          <w:rFonts w:ascii="Simplified Arabic" w:eastAsia="Times New Roman" w:hAnsi="Simplified Arabic" w:cs="Simplified Arabic"/>
          <w:color w:val="000000" w:themeColor="text1"/>
          <w:kern w:val="0"/>
          <w:sz w:val="28"/>
          <w:szCs w:val="28"/>
          <w:rtl/>
          <w14:ligatures w14:val="none"/>
        </w:rPr>
        <w:t>ويشمل تقييمًا لمستوى الإطعام والتغذية، وكفاءة الخدمات الصحية، وملاءمة وسائل الراحة، ومدى استجابتها للتنوع الثقافي للحجاج</w:t>
      </w:r>
      <w:r w:rsidRPr="001F14A2">
        <w:rPr>
          <w:rFonts w:ascii="Simplified Arabic" w:eastAsia="Times New Roman" w:hAnsi="Simplified Arabic" w:cs="Simplified Arabic"/>
          <w:color w:val="000000" w:themeColor="text1"/>
          <w:kern w:val="0"/>
          <w:sz w:val="28"/>
          <w:szCs w:val="28"/>
          <w14:ligatures w14:val="none"/>
        </w:rPr>
        <w:t>.</w:t>
      </w:r>
    </w:p>
    <w:p w14:paraId="77117B46"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ويستوعب المحور كذلك البُعد الإنساني والاجتماعي لجودة الخدمة، إذ يقيس مستوى تمكين العاملين في القطاع، ولا سيما المرأة العاملة في خدمة ضيوف الرحمن، ومدى توافر بيئة عمل ملائمة لهم، وأثر ذلك على جودة الخدمة المقدمة (</w:t>
      </w:r>
      <w:proofErr w:type="spellStart"/>
      <w:r w:rsidRPr="001F14A2">
        <w:rPr>
          <w:rFonts w:ascii="Simplified Arabic" w:eastAsia="Times New Roman" w:hAnsi="Simplified Arabic" w:cs="Simplified Arabic"/>
          <w:color w:val="000000" w:themeColor="text1"/>
          <w:kern w:val="0"/>
          <w:sz w:val="28"/>
          <w:szCs w:val="28"/>
          <w:rtl/>
          <w14:ligatures w14:val="none"/>
        </w:rPr>
        <w:t>العسيمي</w:t>
      </w:r>
      <w:proofErr w:type="spellEnd"/>
      <w:r w:rsidRPr="001F14A2">
        <w:rPr>
          <w:rFonts w:ascii="Simplified Arabic" w:eastAsia="Times New Roman" w:hAnsi="Simplified Arabic" w:cs="Simplified Arabic"/>
          <w:color w:val="000000" w:themeColor="text1"/>
          <w:kern w:val="0"/>
          <w:sz w:val="28"/>
          <w:szCs w:val="28"/>
          <w:rtl/>
          <w14:ligatures w14:val="none"/>
        </w:rPr>
        <w:t>، 2025). كما يتضمن تقييمًا لمستوى التزام العاملين بآداب التعامل مع ضيوف الرحمن، ومدى وعيهم بالقيم الإسلامية ذات الصلة</w:t>
      </w:r>
      <w:r w:rsidRPr="001F14A2">
        <w:rPr>
          <w:rFonts w:ascii="Simplified Arabic" w:eastAsia="Times New Roman" w:hAnsi="Simplified Arabic" w:cs="Simplified Arabic"/>
          <w:color w:val="000000" w:themeColor="text1"/>
          <w:kern w:val="0"/>
          <w:sz w:val="28"/>
          <w:szCs w:val="28"/>
          <w14:ligatures w14:val="none"/>
        </w:rPr>
        <w:t>.</w:t>
      </w:r>
    </w:p>
    <w:p w14:paraId="74B318EC"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ويُغطّي المحور البُعد المتعلق بالاستدامة في منظومة الخدمة، إذ يقيس مدى الالتزام بالمعايير البيئية والاقتصادية والاجتماعية في تقديم الخدمات</w:t>
      </w:r>
      <w:r w:rsidRPr="001F14A2">
        <w:rPr>
          <w:rFonts w:ascii="Simplified Arabic" w:eastAsia="Times New Roman" w:hAnsi="Simplified Arabic" w:cs="Simplified Arabic"/>
          <w:color w:val="000000" w:themeColor="text1"/>
          <w:kern w:val="0"/>
          <w:sz w:val="28"/>
          <w:szCs w:val="28"/>
          <w14:ligatures w14:val="none"/>
        </w:rPr>
        <w:t xml:space="preserve"> (</w:t>
      </w:r>
      <w:proofErr w:type="spellStart"/>
      <w:r w:rsidRPr="001F14A2">
        <w:rPr>
          <w:rFonts w:ascii="Simplified Arabic" w:eastAsia="Times New Roman" w:hAnsi="Simplified Arabic" w:cs="Simplified Arabic"/>
          <w:color w:val="000000" w:themeColor="text1"/>
          <w:kern w:val="0"/>
          <w:sz w:val="28"/>
          <w:szCs w:val="28"/>
          <w14:ligatures w14:val="none"/>
        </w:rPr>
        <w:t>Basahel</w:t>
      </w:r>
      <w:proofErr w:type="spellEnd"/>
      <w:r w:rsidRPr="001F14A2">
        <w:rPr>
          <w:rFonts w:ascii="Simplified Arabic" w:eastAsia="Times New Roman" w:hAnsi="Simplified Arabic" w:cs="Simplified Arabic"/>
          <w:color w:val="000000" w:themeColor="text1"/>
          <w:kern w:val="0"/>
          <w:sz w:val="28"/>
          <w:szCs w:val="28"/>
          <w14:ligatures w14:val="none"/>
        </w:rPr>
        <w:t xml:space="preserve"> et al., 2022). </w:t>
      </w:r>
      <w:r w:rsidRPr="001F14A2">
        <w:rPr>
          <w:rFonts w:ascii="Simplified Arabic" w:eastAsia="Times New Roman" w:hAnsi="Simplified Arabic" w:cs="Simplified Arabic"/>
          <w:color w:val="000000" w:themeColor="text1"/>
          <w:kern w:val="0"/>
          <w:sz w:val="28"/>
          <w:szCs w:val="28"/>
          <w:rtl/>
          <w14:ligatures w14:val="none"/>
        </w:rPr>
        <w:t xml:space="preserve">ويشمل تقييمًا لمستوى ترشيد </w:t>
      </w:r>
      <w:r w:rsidRPr="001F14A2">
        <w:rPr>
          <w:rFonts w:ascii="Simplified Arabic" w:eastAsia="Times New Roman" w:hAnsi="Simplified Arabic" w:cs="Simplified Arabic"/>
          <w:color w:val="000000" w:themeColor="text1"/>
          <w:kern w:val="0"/>
          <w:sz w:val="28"/>
          <w:szCs w:val="28"/>
          <w:rtl/>
          <w14:ligatures w14:val="none"/>
        </w:rPr>
        <w:lastRenderedPageBreak/>
        <w:t>الموارد، وإدارة النفايات، والحد من البصمة البيئية لموسم الحج، فضلًا عن استدامة المنظومة الخدمية على المدى البعيد</w:t>
      </w:r>
      <w:r w:rsidRPr="001F14A2">
        <w:rPr>
          <w:rFonts w:ascii="Simplified Arabic" w:eastAsia="Times New Roman" w:hAnsi="Simplified Arabic" w:cs="Simplified Arabic"/>
          <w:color w:val="000000" w:themeColor="text1"/>
          <w:kern w:val="0"/>
          <w:sz w:val="28"/>
          <w:szCs w:val="28"/>
          <w14:ligatures w14:val="none"/>
        </w:rPr>
        <w:t>.</w:t>
      </w:r>
    </w:p>
    <w:p w14:paraId="15D0168A"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ويتضمن المحور أيضًا قراءة لمستوى التنسيق بين الجهات المختلفة المنفذة للخدمات، ومدى تكامل أدوارها في تقديم منظومة متناغمة لضيوف الرحمن. كما يقيس مدى كفاءة آليات الرقابة والمتابعة، ومستوى الالتزام بالمعايير الموضوعة، ومدى الاستجابة للتغذية الراجعة من المستفيدين</w:t>
      </w:r>
      <w:r w:rsidRPr="001F14A2">
        <w:rPr>
          <w:rFonts w:ascii="Simplified Arabic" w:eastAsia="Times New Roman" w:hAnsi="Simplified Arabic" w:cs="Simplified Arabic"/>
          <w:color w:val="000000" w:themeColor="text1"/>
          <w:kern w:val="0"/>
          <w:sz w:val="28"/>
          <w:szCs w:val="28"/>
          <w14:ligatures w14:val="none"/>
        </w:rPr>
        <w:t>.</w:t>
      </w:r>
    </w:p>
    <w:p w14:paraId="6AFD68E6"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F14A2">
        <w:rPr>
          <w:rFonts w:ascii="Simplified Arabic" w:eastAsia="Times New Roman" w:hAnsi="Simplified Arabic" w:cs="Simplified Arabic"/>
          <w:color w:val="000000" w:themeColor="text1"/>
          <w:kern w:val="0"/>
          <w:sz w:val="28"/>
          <w:szCs w:val="28"/>
          <w:rtl/>
          <w14:ligatures w14:val="none"/>
        </w:rPr>
        <w:t>ويُغطّي المحور كذلك تقييمًا لمستوى الخدمات التكميلية المقدمة لضيوف الرحمن، وما توفره من إثراء لتجربة الحج والعمرة، ومدى تكاملها مع الخدمات الأساسية في خلق تجربة متكاملة للمستفيد (خالدي وقرش، 2021). ويشمل أيضًا قراءة لمدى توافر خدمات الإرشاد والتوعية، وتيسير وصول المعلومات للحجاج بلغاتهم المختلفة، وتقديم الدعم اللازم لذوي الاحتياجات الخاصة وكبار السن</w:t>
      </w:r>
      <w:r w:rsidRPr="001F14A2">
        <w:rPr>
          <w:rFonts w:ascii="Simplified Arabic" w:eastAsia="Times New Roman" w:hAnsi="Simplified Arabic" w:cs="Simplified Arabic"/>
          <w:color w:val="000000" w:themeColor="text1"/>
          <w:kern w:val="0"/>
          <w:sz w:val="28"/>
          <w:szCs w:val="28"/>
          <w14:ligatures w14:val="none"/>
        </w:rPr>
        <w:t>.</w:t>
      </w:r>
    </w:p>
    <w:p w14:paraId="16AE254F" w14:textId="77777777" w:rsidR="003B1410" w:rsidRPr="001F14A2" w:rsidRDefault="003B1410" w:rsidP="003331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F14A2">
        <w:rPr>
          <w:rFonts w:ascii="Simplified Arabic" w:eastAsia="Times New Roman" w:hAnsi="Simplified Arabic" w:cs="Simplified Arabic"/>
          <w:color w:val="000000" w:themeColor="text1"/>
          <w:kern w:val="0"/>
          <w:sz w:val="28"/>
          <w:szCs w:val="28"/>
          <w:rtl/>
          <w14:ligatures w14:val="none"/>
        </w:rPr>
        <w:t>ويختتم المحور بتقييم لمستوى الأداء العام لمنظومة الخدمات في تحقيق رضا ضيوف الرحمن، ومدى انعكاس ذلك على الصورة الذهنية للمملكة وقوتها الناعمة (الحربي، 2025)، فضلًا عن إسهام هذه الخدمات في تحقيق المستهدفات الوطنية للقطاع، ودعم تطلعات المملكة في خدمة الحرمين الشريفين</w:t>
      </w:r>
      <w:r w:rsidRPr="001F14A2">
        <w:rPr>
          <w:rFonts w:ascii="Simplified Arabic" w:eastAsia="Times New Roman" w:hAnsi="Simplified Arabic" w:cs="Simplified Arabic"/>
          <w:color w:val="000000" w:themeColor="text1"/>
          <w:kern w:val="0"/>
          <w:sz w:val="28"/>
          <w:szCs w:val="28"/>
          <w14:ligatures w14:val="none"/>
        </w:rPr>
        <w:t>.</w:t>
      </w:r>
    </w:p>
    <w:p w14:paraId="3EFC7C3F" w14:textId="4EC823CA" w:rsidR="003331CF" w:rsidRPr="001F14A2" w:rsidRDefault="003331CF" w:rsidP="00D72507">
      <w:pPr>
        <w:jc w:val="center"/>
        <w:outlineLvl w:val="0"/>
        <w:rPr>
          <w:rFonts w:ascii="Simplified Arabic" w:hAnsi="Simplified Arabic" w:cs="Simplified Arabic"/>
          <w:b/>
          <w:bCs/>
          <w:color w:val="000000" w:themeColor="text1"/>
          <w:szCs w:val="28"/>
          <w:rtl/>
        </w:rPr>
        <w:sectPr w:rsidR="003331CF" w:rsidRPr="001F14A2" w:rsidSect="001F14A2">
          <w:footerReference w:type="default" r:id="rId10"/>
          <w:pgSz w:w="11906" w:h="16838" w:code="9"/>
          <w:pgMar w:top="1134" w:right="1701" w:bottom="1134" w:left="1134" w:header="720" w:footer="720" w:gutter="0"/>
          <w:pgNumType w:start="1"/>
          <w:cols w:space="708"/>
          <w:bidi/>
          <w:rtlGutter/>
          <w:docGrid w:linePitch="360"/>
        </w:sectPr>
      </w:pPr>
      <w:r w:rsidRPr="001F14A2">
        <w:rPr>
          <w:rFonts w:ascii="Simplified Arabic" w:eastAsia="Times New Roman" w:hAnsi="Simplified Arabic" w:cs="Simplified Arabic"/>
          <w:b/>
          <w:bCs/>
          <w:color w:val="000000" w:themeColor="text1"/>
          <w:kern w:val="0"/>
          <w:sz w:val="40"/>
          <w:szCs w:val="40"/>
          <w:rtl/>
          <w14:ligatures w14:val="none"/>
        </w:rPr>
        <w:br w:type="page"/>
      </w:r>
      <w:bookmarkEnd w:id="31"/>
    </w:p>
    <w:p w14:paraId="29D4231B" w14:textId="30799B5C" w:rsidR="0081623B" w:rsidRPr="001F14A2" w:rsidRDefault="00246C3F" w:rsidP="003331C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F14A2">
        <w:rPr>
          <w:rFonts w:asciiTheme="majorBidi" w:hAnsiTheme="majorBidi" w:cstheme="majorBidi"/>
          <w:b/>
          <w:bCs/>
          <w:noProof/>
          <w:color w:val="000000" w:themeColor="text1"/>
          <w:sz w:val="32"/>
          <w:szCs w:val="32"/>
        </w:rPr>
        <w:lastRenderedPageBreak/>
        <w:drawing>
          <wp:anchor distT="0" distB="0" distL="114300" distR="114300" simplePos="0" relativeHeight="251658240" behindDoc="1" locked="0" layoutInCell="1" allowOverlap="1" wp14:anchorId="76B23884" wp14:editId="4B58036C">
            <wp:simplePos x="0" y="0"/>
            <wp:positionH relativeFrom="column">
              <wp:posOffset>4293870</wp:posOffset>
            </wp:positionH>
            <wp:positionV relativeFrom="paragraph">
              <wp:posOffset>0</wp:posOffset>
            </wp:positionV>
            <wp:extent cx="1510665" cy="1400175"/>
            <wp:effectExtent l="0" t="0" r="0" b="9525"/>
            <wp:wrapTight wrapText="bothSides">
              <wp:wrapPolygon edited="0">
                <wp:start x="0" y="0"/>
                <wp:lineTo x="0" y="21453"/>
                <wp:lineTo x="21246" y="21453"/>
                <wp:lineTo x="21246"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0665" cy="1400175"/>
                    </a:xfrm>
                    <a:prstGeom prst="rect">
                      <a:avLst/>
                    </a:prstGeom>
                    <a:noFill/>
                  </pic:spPr>
                </pic:pic>
              </a:graphicData>
            </a:graphic>
            <wp14:sizeRelH relativeFrom="margin">
              <wp14:pctWidth>0</wp14:pctWidth>
            </wp14:sizeRelH>
            <wp14:sizeRelV relativeFrom="margin">
              <wp14:pctHeight>0</wp14:pctHeight>
            </wp14:sizeRelV>
          </wp:anchor>
        </w:drawing>
      </w:r>
      <w:r w:rsidRPr="001F14A2">
        <w:rPr>
          <w:rFonts w:asciiTheme="majorBidi" w:eastAsia="Calibri" w:hAnsiTheme="majorBidi" w:cstheme="majorBidi"/>
          <w:b/>
          <w:bCs/>
          <w:color w:val="000000" w:themeColor="text1"/>
          <w:kern w:val="0"/>
          <w:sz w:val="32"/>
          <w:szCs w:val="32"/>
          <w:lang w:bidi="ar-EG"/>
          <w14:ligatures w14:val="none"/>
        </w:rPr>
        <w:t xml:space="preserve">Mid </w:t>
      </w:r>
      <w:r w:rsidR="0081623B" w:rsidRPr="001F14A2">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1F14A2" w:rsidRDefault="0081623B" w:rsidP="003331C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F14A2">
        <w:rPr>
          <w:rFonts w:asciiTheme="majorBidi" w:eastAsia="Calibri" w:hAnsiTheme="majorBidi" w:cstheme="majorBidi"/>
          <w:b/>
          <w:bCs/>
          <w:color w:val="000000" w:themeColor="text1"/>
          <w:kern w:val="0"/>
          <w:sz w:val="32"/>
          <w:szCs w:val="32"/>
          <w:lang w:bidi="ar-EG"/>
          <w14:ligatures w14:val="none"/>
        </w:rPr>
        <w:t>College of Management</w:t>
      </w:r>
    </w:p>
    <w:p w14:paraId="1F6A29C8" w14:textId="75234432" w:rsidR="00E66E20" w:rsidRPr="001F14A2" w:rsidRDefault="00857739" w:rsidP="003331C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F14A2">
        <w:rPr>
          <w:rFonts w:asciiTheme="majorBidi" w:eastAsia="Calibri" w:hAnsiTheme="majorBidi" w:cstheme="majorBidi"/>
          <w:b/>
          <w:bCs/>
          <w:color w:val="000000" w:themeColor="text1"/>
          <w:kern w:val="0"/>
          <w:sz w:val="32"/>
          <w:szCs w:val="32"/>
          <w:lang w:bidi="ar-EG"/>
          <w14:ligatures w14:val="none"/>
        </w:rPr>
        <w:t xml:space="preserve">Department of </w:t>
      </w:r>
      <w:r w:rsidR="00E66E20" w:rsidRPr="001F14A2">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1F14A2" w:rsidRDefault="00CC6261" w:rsidP="003331C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8E8CF87" w14:textId="77777777" w:rsidR="00791DB7" w:rsidRPr="001F14A2" w:rsidRDefault="00791DB7" w:rsidP="003331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1F14A2">
        <w:rPr>
          <w:rFonts w:asciiTheme="majorBidi" w:eastAsia="Calibri" w:hAnsiTheme="majorBidi" w:cstheme="majorBidi"/>
          <w:b/>
          <w:bCs/>
          <w:color w:val="000000" w:themeColor="text1"/>
          <w:kern w:val="0"/>
          <w:sz w:val="40"/>
          <w:szCs w:val="40"/>
          <w:lang w:bidi="ar-EG"/>
          <w14:ligatures w14:val="none"/>
        </w:rPr>
        <w:t>The Impact of Seasonal Workforce Planning on Service Quality and Operational Congestion Reduction: A Field Study on Hajj and Umrah Service Establishments in Makkah Al-</w:t>
      </w:r>
      <w:proofErr w:type="spellStart"/>
      <w:r w:rsidRPr="001F14A2">
        <w:rPr>
          <w:rFonts w:asciiTheme="majorBidi" w:eastAsia="Calibri" w:hAnsiTheme="majorBidi" w:cstheme="majorBidi"/>
          <w:b/>
          <w:bCs/>
          <w:color w:val="000000" w:themeColor="text1"/>
          <w:kern w:val="0"/>
          <w:sz w:val="40"/>
          <w:szCs w:val="40"/>
          <w:lang w:bidi="ar-EG"/>
          <w14:ligatures w14:val="none"/>
        </w:rPr>
        <w:t>Mukarramah</w:t>
      </w:r>
      <w:proofErr w:type="spellEnd"/>
    </w:p>
    <w:p w14:paraId="5EC2302A" w14:textId="77777777" w:rsidR="003331CF" w:rsidRPr="001F14A2" w:rsidRDefault="003331CF" w:rsidP="003331C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3C5F0FCE" w14:textId="052BBC16" w:rsidR="00000C50" w:rsidRPr="001F14A2" w:rsidRDefault="000D353F" w:rsidP="00000C5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1F14A2">
        <w:rPr>
          <w:rFonts w:asciiTheme="majorBidi" w:eastAsia="Calibri" w:hAnsiTheme="majorBidi" w:cstheme="majorBidi"/>
          <w:b/>
          <w:bCs/>
          <w:color w:val="000000" w:themeColor="text1"/>
          <w:kern w:val="0"/>
          <w:sz w:val="36"/>
          <w:szCs w:val="36"/>
          <w:lang w:bidi="ar-EG"/>
          <w14:ligatures w14:val="none"/>
        </w:rPr>
        <w:t>Prepared by:</w:t>
      </w:r>
      <w:r w:rsidR="00000C50">
        <w:rPr>
          <w:rFonts w:asciiTheme="majorBidi" w:eastAsia="Calibri" w:hAnsiTheme="majorBidi" w:cstheme="majorBidi"/>
          <w:b/>
          <w:bCs/>
          <w:color w:val="000000" w:themeColor="text1"/>
          <w:kern w:val="0"/>
          <w:sz w:val="36"/>
          <w:szCs w:val="36"/>
          <w:lang w:bidi="ar-EG"/>
          <w14:ligatures w14:val="none"/>
        </w:rPr>
        <w:t xml:space="preserve"> Suhaila </w:t>
      </w:r>
      <w:proofErr w:type="spellStart"/>
      <w:r w:rsidR="00000C50">
        <w:rPr>
          <w:rFonts w:asciiTheme="majorBidi" w:eastAsia="Calibri" w:hAnsiTheme="majorBidi" w:cstheme="majorBidi"/>
          <w:b/>
          <w:bCs/>
          <w:color w:val="000000" w:themeColor="text1"/>
          <w:kern w:val="0"/>
          <w:sz w:val="36"/>
          <w:szCs w:val="36"/>
          <w:lang w:bidi="ar-EG"/>
          <w14:ligatures w14:val="none"/>
        </w:rPr>
        <w:t>mohammed</w:t>
      </w:r>
      <w:proofErr w:type="spellEnd"/>
      <w:r w:rsidR="00000C50">
        <w:rPr>
          <w:rFonts w:asciiTheme="majorBidi" w:eastAsia="Calibri" w:hAnsiTheme="majorBidi" w:cstheme="majorBidi"/>
          <w:b/>
          <w:bCs/>
          <w:color w:val="000000" w:themeColor="text1"/>
          <w:kern w:val="0"/>
          <w:sz w:val="36"/>
          <w:szCs w:val="36"/>
          <w:lang w:bidi="ar-EG"/>
          <w14:ligatures w14:val="none"/>
        </w:rPr>
        <w:t xml:space="preserve"> </w:t>
      </w:r>
      <w:proofErr w:type="spellStart"/>
      <w:r w:rsidR="00000C50">
        <w:rPr>
          <w:rFonts w:asciiTheme="majorBidi" w:eastAsia="Calibri" w:hAnsiTheme="majorBidi" w:cstheme="majorBidi"/>
          <w:b/>
          <w:bCs/>
          <w:color w:val="000000" w:themeColor="text1"/>
          <w:kern w:val="0"/>
          <w:sz w:val="36"/>
          <w:szCs w:val="36"/>
          <w:lang w:bidi="ar-EG"/>
          <w14:ligatures w14:val="none"/>
        </w:rPr>
        <w:t>khoj</w:t>
      </w:r>
      <w:proofErr w:type="spellEnd"/>
      <w:r w:rsidR="00000C50">
        <w:rPr>
          <w:rFonts w:asciiTheme="majorBidi" w:eastAsia="Calibri" w:hAnsiTheme="majorBidi" w:cstheme="majorBidi"/>
          <w:b/>
          <w:bCs/>
          <w:color w:val="000000" w:themeColor="text1"/>
          <w:kern w:val="0"/>
          <w:sz w:val="36"/>
          <w:szCs w:val="36"/>
          <w:lang w:bidi="ar-EG"/>
          <w14:ligatures w14:val="none"/>
        </w:rPr>
        <w:t xml:space="preserve"> </w:t>
      </w:r>
    </w:p>
    <w:p w14:paraId="41FEB84C" w14:textId="77777777" w:rsidR="00000C50" w:rsidRPr="007134B5" w:rsidRDefault="00000C50" w:rsidP="00000C50">
      <w:pPr>
        <w:spacing w:before="100" w:beforeAutospacing="1" w:after="100" w:afterAutospacing="1" w:line="276" w:lineRule="auto"/>
        <w:jc w:val="center"/>
        <w:rPr>
          <w:rFonts w:ascii="Simplified Arabic" w:hAnsi="Simplified Arabic" w:cs="Simplified Arabic" w:hint="cs"/>
          <w:b/>
          <w:bCs/>
          <w:color w:val="000000" w:themeColor="text1"/>
          <w:sz w:val="24"/>
          <w:szCs w:val="24"/>
          <w:rtl/>
        </w:rPr>
      </w:pPr>
      <w:r>
        <w:rPr>
          <w:rFonts w:ascii="Simplified Arabic" w:hAnsi="Simplified Arabic" w:cs="Simplified Arabic" w:hint="cs"/>
          <w:b/>
          <w:bCs/>
          <w:color w:val="000000" w:themeColor="text1"/>
          <w:sz w:val="24"/>
          <w:szCs w:val="24"/>
          <w:rtl/>
        </w:rPr>
        <w:t>253002260</w:t>
      </w:r>
    </w:p>
    <w:p w14:paraId="1B35BAAB" w14:textId="77777777" w:rsidR="003331CF" w:rsidRPr="001F14A2" w:rsidRDefault="003331CF" w:rsidP="003331CF">
      <w:pPr>
        <w:bidi w:val="0"/>
        <w:spacing w:before="100" w:beforeAutospacing="1" w:after="100" w:afterAutospacing="1" w:line="276" w:lineRule="auto"/>
        <w:jc w:val="center"/>
        <w:rPr>
          <w:rFonts w:asciiTheme="minorBidi" w:eastAsia="Calibri" w:hAnsiTheme="minorBidi"/>
          <w:b/>
          <w:bCs/>
          <w:color w:val="000000" w:themeColor="text1"/>
          <w:kern w:val="0"/>
          <w:sz w:val="36"/>
          <w:szCs w:val="36"/>
          <w:rtl/>
          <w:lang w:bidi="ar-EG"/>
          <w14:ligatures w14:val="none"/>
        </w:rPr>
      </w:pPr>
    </w:p>
    <w:p w14:paraId="7746F208" w14:textId="77777777" w:rsidR="003331CF" w:rsidRPr="001F14A2" w:rsidRDefault="003331CF" w:rsidP="003331CF">
      <w:pPr>
        <w:bidi w:val="0"/>
        <w:spacing w:before="100" w:beforeAutospacing="1" w:after="100" w:afterAutospacing="1" w:line="276" w:lineRule="auto"/>
        <w:jc w:val="center"/>
        <w:rPr>
          <w:rFonts w:asciiTheme="minorBidi" w:eastAsia="Calibri" w:hAnsiTheme="min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331CF" w:rsidRPr="001F14A2" w14:paraId="2B84D6BC" w14:textId="77777777" w:rsidTr="003331CF">
        <w:tc>
          <w:tcPr>
            <w:tcW w:w="4530" w:type="dxa"/>
          </w:tcPr>
          <w:p w14:paraId="1FD070DB" w14:textId="77777777" w:rsidR="003331CF" w:rsidRPr="001F14A2" w:rsidRDefault="003331CF" w:rsidP="003331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F14A2">
              <w:rPr>
                <w:rFonts w:asciiTheme="majorBidi" w:eastAsia="Calibri" w:hAnsiTheme="majorBidi" w:cstheme="majorBidi"/>
                <w:b/>
                <w:bCs/>
                <w:color w:val="000000" w:themeColor="text1"/>
                <w:kern w:val="0"/>
                <w:sz w:val="36"/>
                <w:szCs w:val="36"/>
                <w:lang w:bidi="ar-EG"/>
                <w14:ligatures w14:val="none"/>
              </w:rPr>
              <w:t>Main supervisor</w:t>
            </w:r>
            <w:r w:rsidRPr="001F14A2">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A864153" w14:textId="77777777" w:rsidR="003331CF" w:rsidRPr="001F14A2" w:rsidRDefault="003331CF" w:rsidP="003331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F14A2">
              <w:rPr>
                <w:rFonts w:asciiTheme="majorBidi" w:eastAsia="Calibri" w:hAnsiTheme="majorBidi" w:cstheme="majorBidi"/>
                <w:b/>
                <w:bCs/>
                <w:color w:val="000000" w:themeColor="text1"/>
                <w:kern w:val="0"/>
                <w:sz w:val="36"/>
                <w:szCs w:val="36"/>
                <w:lang w:bidi="ar-EG"/>
                <w14:ligatures w14:val="none"/>
              </w:rPr>
              <w:t>Second supervisor</w:t>
            </w:r>
            <w:r w:rsidRPr="001F14A2">
              <w:rPr>
                <w:rFonts w:asciiTheme="majorBidi" w:eastAsia="Calibri" w:hAnsiTheme="majorBidi" w:cstheme="majorBidi"/>
                <w:b/>
                <w:bCs/>
                <w:color w:val="000000" w:themeColor="text1"/>
                <w:kern w:val="0"/>
                <w:sz w:val="36"/>
                <w:szCs w:val="36"/>
                <w:rtl/>
                <w:lang w:bidi="ar-EG"/>
                <w14:ligatures w14:val="none"/>
              </w:rPr>
              <w:t>/</w:t>
            </w:r>
          </w:p>
        </w:tc>
      </w:tr>
      <w:tr w:rsidR="003331CF" w:rsidRPr="001F14A2" w14:paraId="03E63291" w14:textId="77777777" w:rsidTr="003331CF">
        <w:tc>
          <w:tcPr>
            <w:tcW w:w="4530" w:type="dxa"/>
          </w:tcPr>
          <w:p w14:paraId="222EAC03" w14:textId="77777777" w:rsidR="003331CF" w:rsidRPr="001F14A2" w:rsidRDefault="003331CF" w:rsidP="003331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F14A2">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389AE07" w14:textId="77777777" w:rsidR="003331CF" w:rsidRPr="001F14A2" w:rsidRDefault="003331CF" w:rsidP="003331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F14A2">
              <w:rPr>
                <w:rFonts w:asciiTheme="majorBidi" w:eastAsia="Calibri" w:hAnsiTheme="majorBidi" w:cstheme="majorBidi"/>
                <w:color w:val="000000" w:themeColor="text1"/>
                <w:kern w:val="0"/>
                <w:sz w:val="36"/>
                <w:szCs w:val="36"/>
                <w:lang w:bidi="ar-EG"/>
                <w14:ligatures w14:val="none"/>
              </w:rPr>
              <w:t>Dr. Fayez Jarad</w:t>
            </w:r>
          </w:p>
        </w:tc>
      </w:tr>
    </w:tbl>
    <w:p w14:paraId="312E8712" w14:textId="77777777" w:rsidR="003331CF" w:rsidRPr="001F14A2" w:rsidRDefault="003331CF" w:rsidP="003331C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1F14A2">
        <w:rPr>
          <w:rFonts w:asciiTheme="majorBidi" w:eastAsia="Calibri" w:hAnsiTheme="majorBidi" w:cstheme="majorBidi"/>
          <w:color w:val="000000" w:themeColor="text1"/>
          <w:kern w:val="0"/>
          <w:sz w:val="36"/>
          <w:szCs w:val="36"/>
          <w:rtl/>
          <w:lang w:bidi="ar-EG"/>
          <w14:ligatures w14:val="none"/>
        </w:rPr>
        <w:t>1448 – 2026</w:t>
      </w:r>
    </w:p>
    <w:p w14:paraId="77C01AC8" w14:textId="77777777" w:rsidR="003331CF" w:rsidRPr="001F14A2" w:rsidRDefault="003331CF" w:rsidP="003331CF">
      <w:pPr>
        <w:bidi w:val="0"/>
        <w:spacing w:before="100" w:beforeAutospacing="1" w:after="100" w:afterAutospacing="1" w:line="276" w:lineRule="auto"/>
        <w:jc w:val="center"/>
        <w:rPr>
          <w:rFonts w:asciiTheme="minorBidi" w:eastAsia="Calibri" w:hAnsiTheme="minorBidi"/>
          <w:b/>
          <w:bCs/>
          <w:color w:val="000000" w:themeColor="text1"/>
          <w:kern w:val="0"/>
          <w:sz w:val="36"/>
          <w:szCs w:val="36"/>
          <w:lang w:bidi="ar-EG"/>
          <w14:ligatures w14:val="none"/>
        </w:rPr>
      </w:pPr>
    </w:p>
    <w:p w14:paraId="7296D620" w14:textId="77777777" w:rsidR="00EA15E2" w:rsidRPr="001F14A2" w:rsidRDefault="00EA15E2" w:rsidP="003331C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6890F21" w14:textId="77777777" w:rsidR="00791DB7" w:rsidRPr="001F14A2" w:rsidRDefault="00791DB7" w:rsidP="003331C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1F14A2" w:rsidRDefault="00E27D3B" w:rsidP="003331C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7A7163F7" w:rsidR="009125CE" w:rsidRPr="001F14A2" w:rsidRDefault="009125CE" w:rsidP="003331CF">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F14A2" w:rsidSect="003331CF">
      <w:footerReference w:type="default" r:id="rId12"/>
      <w:pgSz w:w="11906" w:h="16838" w:code="9"/>
      <w:pgMar w:top="1134" w:right="1701" w:bottom="1134" w:left="1134" w:header="720" w:footer="72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DB8969" w14:textId="77777777" w:rsidR="00CC12D4" w:rsidRDefault="00CC12D4" w:rsidP="009125CE">
      <w:pPr>
        <w:spacing w:after="0" w:line="240" w:lineRule="auto"/>
      </w:pPr>
      <w:r>
        <w:separator/>
      </w:r>
    </w:p>
  </w:endnote>
  <w:endnote w:type="continuationSeparator" w:id="0">
    <w:p w14:paraId="6C2A70B7" w14:textId="77777777" w:rsidR="00CC12D4" w:rsidRDefault="00CC12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47AE1" w14:textId="7157798E" w:rsidR="00A5261F" w:rsidRPr="001F14A2" w:rsidRDefault="00A5261F" w:rsidP="001F14A2">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Simplified Arabic" w:hAnsi="Simplified Arabic" w:cs="Simplified Arabic"/>
        <w:b/>
        <w:bCs/>
        <w:sz w:val="24"/>
        <w:szCs w:val="24"/>
        <w:rtl/>
      </w:rPr>
      <w:id w:val="-481611153"/>
      <w:docPartObj>
        <w:docPartGallery w:val="Page Numbers (Bottom of Page)"/>
        <w:docPartUnique/>
      </w:docPartObj>
    </w:sdtPr>
    <w:sdtEndPr>
      <w:rPr>
        <w:noProof/>
      </w:rPr>
    </w:sdtEndPr>
    <w:sdtContent>
      <w:p w14:paraId="0DD62944" w14:textId="77777777" w:rsidR="00A5261F" w:rsidRPr="001F14A2" w:rsidRDefault="00A5261F" w:rsidP="001F14A2">
        <w:pPr>
          <w:pStyle w:val="a4"/>
          <w:jc w:val="center"/>
          <w:rPr>
            <w:rFonts w:ascii="Simplified Arabic" w:hAnsi="Simplified Arabic" w:cs="Simplified Arabic"/>
            <w:b/>
            <w:bCs/>
            <w:sz w:val="24"/>
            <w:szCs w:val="24"/>
          </w:rPr>
        </w:pPr>
        <w:r w:rsidRPr="001F14A2">
          <w:rPr>
            <w:rFonts w:ascii="Simplified Arabic" w:hAnsi="Simplified Arabic" w:cs="Simplified Arabic"/>
            <w:b/>
            <w:bCs/>
            <w:sz w:val="24"/>
            <w:szCs w:val="24"/>
          </w:rPr>
          <w:fldChar w:fldCharType="begin"/>
        </w:r>
        <w:r w:rsidRPr="001F14A2">
          <w:rPr>
            <w:rFonts w:ascii="Simplified Arabic" w:hAnsi="Simplified Arabic" w:cs="Simplified Arabic"/>
            <w:b/>
            <w:bCs/>
            <w:sz w:val="24"/>
            <w:szCs w:val="24"/>
          </w:rPr>
          <w:instrText xml:space="preserve"> PAGE   \* MERGEFORMAT </w:instrText>
        </w:r>
        <w:r w:rsidRPr="001F14A2">
          <w:rPr>
            <w:rFonts w:ascii="Simplified Arabic" w:hAnsi="Simplified Arabic" w:cs="Simplified Arabic"/>
            <w:b/>
            <w:bCs/>
            <w:sz w:val="24"/>
            <w:szCs w:val="24"/>
          </w:rPr>
          <w:fldChar w:fldCharType="separate"/>
        </w:r>
        <w:r w:rsidR="00D72507">
          <w:rPr>
            <w:rFonts w:ascii="Simplified Arabic" w:hAnsi="Simplified Arabic" w:cs="Simplified Arabic"/>
            <w:b/>
            <w:bCs/>
            <w:noProof/>
            <w:sz w:val="24"/>
            <w:szCs w:val="24"/>
            <w:rtl/>
          </w:rPr>
          <w:t>36</w:t>
        </w:r>
        <w:r w:rsidRPr="001F14A2">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91662" w14:textId="17195BD3" w:rsidR="00A5261F" w:rsidRDefault="00A5261F" w:rsidP="003331CF">
    <w:pPr>
      <w:pStyle w:val="a4"/>
      <w:jc w:val="center"/>
    </w:pPr>
  </w:p>
  <w:p w14:paraId="308C97A0" w14:textId="77777777" w:rsidR="00A5261F" w:rsidRDefault="00A5261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CDA644" w14:textId="77777777" w:rsidR="00CC12D4" w:rsidRDefault="00CC12D4" w:rsidP="009125CE">
      <w:pPr>
        <w:spacing w:after="0" w:line="240" w:lineRule="auto"/>
      </w:pPr>
      <w:r>
        <w:separator/>
      </w:r>
    </w:p>
  </w:footnote>
  <w:footnote w:type="continuationSeparator" w:id="0">
    <w:p w14:paraId="03F675B6" w14:textId="77777777" w:rsidR="00CC12D4" w:rsidRDefault="00CC12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D312E"/>
    <w:multiLevelType w:val="hybridMultilevel"/>
    <w:tmpl w:val="D7AEAA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35370B"/>
    <w:multiLevelType w:val="hybridMultilevel"/>
    <w:tmpl w:val="1458E938"/>
    <w:lvl w:ilvl="0" w:tplc="CF28E5A8">
      <w:start w:val="1"/>
      <w:numFmt w:val="decimal"/>
      <w:lvlText w:val="%1."/>
      <w:lvlJc w:val="left"/>
      <w:pPr>
        <w:ind w:left="732" w:hanging="372"/>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A19C5"/>
    <w:multiLevelType w:val="hybridMultilevel"/>
    <w:tmpl w:val="C7661D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C2E72AF"/>
    <w:multiLevelType w:val="hybridMultilevel"/>
    <w:tmpl w:val="CD90BD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0269FB"/>
    <w:multiLevelType w:val="hybridMultilevel"/>
    <w:tmpl w:val="0AF82FE2"/>
    <w:lvl w:ilvl="0" w:tplc="3878D580">
      <w:start w:val="4"/>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C4775C"/>
    <w:multiLevelType w:val="multilevel"/>
    <w:tmpl w:val="8990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EC4C9E"/>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423B2B"/>
    <w:multiLevelType w:val="hybridMultilevel"/>
    <w:tmpl w:val="265E3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DF3FCE"/>
    <w:multiLevelType w:val="hybridMultilevel"/>
    <w:tmpl w:val="13F03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5A6ECA"/>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285FD0"/>
    <w:multiLevelType w:val="multilevel"/>
    <w:tmpl w:val="138C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037500"/>
    <w:multiLevelType w:val="multilevel"/>
    <w:tmpl w:val="8A52D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4629A7"/>
    <w:multiLevelType w:val="multilevel"/>
    <w:tmpl w:val="30C4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CB7FDD"/>
    <w:multiLevelType w:val="hybridMultilevel"/>
    <w:tmpl w:val="3642E76E"/>
    <w:lvl w:ilvl="0" w:tplc="3878D580">
      <w:start w:val="4"/>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E902F3"/>
    <w:multiLevelType w:val="hybridMultilevel"/>
    <w:tmpl w:val="30024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D06F04"/>
    <w:multiLevelType w:val="hybridMultilevel"/>
    <w:tmpl w:val="755E12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33"/>
  </w:num>
  <w:num w:numId="3">
    <w:abstractNumId w:val="30"/>
  </w:num>
  <w:num w:numId="4">
    <w:abstractNumId w:val="32"/>
  </w:num>
  <w:num w:numId="5">
    <w:abstractNumId w:val="6"/>
  </w:num>
  <w:num w:numId="6">
    <w:abstractNumId w:val="36"/>
  </w:num>
  <w:num w:numId="7">
    <w:abstractNumId w:val="9"/>
  </w:num>
  <w:num w:numId="8">
    <w:abstractNumId w:val="10"/>
  </w:num>
  <w:num w:numId="9">
    <w:abstractNumId w:val="34"/>
  </w:num>
  <w:num w:numId="10">
    <w:abstractNumId w:val="8"/>
  </w:num>
  <w:num w:numId="11">
    <w:abstractNumId w:val="23"/>
  </w:num>
  <w:num w:numId="12">
    <w:abstractNumId w:val="24"/>
  </w:num>
  <w:num w:numId="13">
    <w:abstractNumId w:val="38"/>
  </w:num>
  <w:num w:numId="14">
    <w:abstractNumId w:val="29"/>
  </w:num>
  <w:num w:numId="15">
    <w:abstractNumId w:val="1"/>
  </w:num>
  <w:num w:numId="16">
    <w:abstractNumId w:val="25"/>
  </w:num>
  <w:num w:numId="17">
    <w:abstractNumId w:val="37"/>
  </w:num>
  <w:num w:numId="18">
    <w:abstractNumId w:val="21"/>
  </w:num>
  <w:num w:numId="19">
    <w:abstractNumId w:val="20"/>
  </w:num>
  <w:num w:numId="20">
    <w:abstractNumId w:val="26"/>
  </w:num>
  <w:num w:numId="21">
    <w:abstractNumId w:val="35"/>
  </w:num>
  <w:num w:numId="22">
    <w:abstractNumId w:val="16"/>
  </w:num>
  <w:num w:numId="23">
    <w:abstractNumId w:val="17"/>
  </w:num>
  <w:num w:numId="24">
    <w:abstractNumId w:val="14"/>
  </w:num>
  <w:num w:numId="25">
    <w:abstractNumId w:val="22"/>
  </w:num>
  <w:num w:numId="26">
    <w:abstractNumId w:val="2"/>
  </w:num>
  <w:num w:numId="27">
    <w:abstractNumId w:val="12"/>
  </w:num>
  <w:num w:numId="28">
    <w:abstractNumId w:val="7"/>
  </w:num>
  <w:num w:numId="29">
    <w:abstractNumId w:val="19"/>
  </w:num>
  <w:num w:numId="30">
    <w:abstractNumId w:val="3"/>
  </w:num>
  <w:num w:numId="31">
    <w:abstractNumId w:val="0"/>
  </w:num>
  <w:num w:numId="32">
    <w:abstractNumId w:val="15"/>
  </w:num>
  <w:num w:numId="33">
    <w:abstractNumId w:val="11"/>
  </w:num>
  <w:num w:numId="34">
    <w:abstractNumId w:val="31"/>
  </w:num>
  <w:num w:numId="35">
    <w:abstractNumId w:val="13"/>
  </w:num>
  <w:num w:numId="36">
    <w:abstractNumId w:val="5"/>
  </w:num>
  <w:num w:numId="37">
    <w:abstractNumId w:val="27"/>
  </w:num>
  <w:num w:numId="38">
    <w:abstractNumId w:val="4"/>
  </w:num>
  <w:num w:numId="39">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0C5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845E9"/>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749"/>
    <w:rsid w:val="00110487"/>
    <w:rsid w:val="0012342D"/>
    <w:rsid w:val="001306F3"/>
    <w:rsid w:val="00131E44"/>
    <w:rsid w:val="001375AF"/>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4A2"/>
    <w:rsid w:val="001F159D"/>
    <w:rsid w:val="001F220F"/>
    <w:rsid w:val="001F46A5"/>
    <w:rsid w:val="00207629"/>
    <w:rsid w:val="0021718D"/>
    <w:rsid w:val="00217ADA"/>
    <w:rsid w:val="00223AE0"/>
    <w:rsid w:val="002304C2"/>
    <w:rsid w:val="00234450"/>
    <w:rsid w:val="00244894"/>
    <w:rsid w:val="00246C3F"/>
    <w:rsid w:val="00250D99"/>
    <w:rsid w:val="00251BCA"/>
    <w:rsid w:val="00256363"/>
    <w:rsid w:val="00260558"/>
    <w:rsid w:val="0026283D"/>
    <w:rsid w:val="00264310"/>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1CF"/>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2E99"/>
    <w:rsid w:val="00375565"/>
    <w:rsid w:val="003773DF"/>
    <w:rsid w:val="00377D51"/>
    <w:rsid w:val="00377DD2"/>
    <w:rsid w:val="0038272F"/>
    <w:rsid w:val="0038357B"/>
    <w:rsid w:val="00384D34"/>
    <w:rsid w:val="003873E8"/>
    <w:rsid w:val="00396510"/>
    <w:rsid w:val="003A4ED4"/>
    <w:rsid w:val="003A5312"/>
    <w:rsid w:val="003A757C"/>
    <w:rsid w:val="003B1410"/>
    <w:rsid w:val="003B30A9"/>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2EE0"/>
    <w:rsid w:val="004C3BAD"/>
    <w:rsid w:val="004C4331"/>
    <w:rsid w:val="004D23E7"/>
    <w:rsid w:val="004D6581"/>
    <w:rsid w:val="004D6B08"/>
    <w:rsid w:val="004E439C"/>
    <w:rsid w:val="004F1444"/>
    <w:rsid w:val="004F2475"/>
    <w:rsid w:val="004F3AF6"/>
    <w:rsid w:val="00505B9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9A0"/>
    <w:rsid w:val="00597F74"/>
    <w:rsid w:val="005A4D65"/>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DB7"/>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5B52"/>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0DAA"/>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261F"/>
    <w:rsid w:val="00A55EF3"/>
    <w:rsid w:val="00A57461"/>
    <w:rsid w:val="00A71BCE"/>
    <w:rsid w:val="00A74F76"/>
    <w:rsid w:val="00A823EC"/>
    <w:rsid w:val="00A840CF"/>
    <w:rsid w:val="00A86E11"/>
    <w:rsid w:val="00A96565"/>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54D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1F5E"/>
    <w:rsid w:val="00BA3D6A"/>
    <w:rsid w:val="00BA4C2C"/>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271D"/>
    <w:rsid w:val="00CA49E9"/>
    <w:rsid w:val="00CA6DC7"/>
    <w:rsid w:val="00CB2A94"/>
    <w:rsid w:val="00CB4A76"/>
    <w:rsid w:val="00CC12D4"/>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2507"/>
    <w:rsid w:val="00D75AD3"/>
    <w:rsid w:val="00D92BC0"/>
    <w:rsid w:val="00D92F77"/>
    <w:rsid w:val="00D965B5"/>
    <w:rsid w:val="00DA0EBA"/>
    <w:rsid w:val="00DA1C1B"/>
    <w:rsid w:val="00DA3C05"/>
    <w:rsid w:val="00DA4EAA"/>
    <w:rsid w:val="00DA61E2"/>
    <w:rsid w:val="00DB1F25"/>
    <w:rsid w:val="00DB43B3"/>
    <w:rsid w:val="00DB6455"/>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684C"/>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1C54"/>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table" w:styleId="6-3">
    <w:name w:val="Grid Table 6 Colorful Accent 3"/>
    <w:basedOn w:val="a1"/>
    <w:uiPriority w:val="51"/>
    <w:rsid w:val="003331CF"/>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6026529">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5875674">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02937">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5351186">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6411631">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3436716">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1024834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938526">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031015">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615727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9318936">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8C92E2-77CF-4486-869B-C4971C090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9882</Words>
  <Characters>56333</Characters>
  <Application>Microsoft Office Word</Application>
  <DocSecurity>0</DocSecurity>
  <Lines>469</Lines>
  <Paragraphs>132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Suhaila khuj</cp:lastModifiedBy>
  <cp:revision>2</cp:revision>
  <cp:lastPrinted>2026-07-02T14:34:00Z</cp:lastPrinted>
  <dcterms:created xsi:type="dcterms:W3CDTF">2026-07-17T15:45:00Z</dcterms:created>
  <dcterms:modified xsi:type="dcterms:W3CDTF">2026-07-17T15:45:00Z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