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F8346C6" w:rsidR="009125CE" w:rsidRPr="002B7D76" w:rsidRDefault="003B3233" w:rsidP="003B3233">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B7D76">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E8B8D76">
            <wp:simplePos x="0" y="0"/>
            <wp:positionH relativeFrom="margin">
              <wp:posOffset>361950</wp:posOffset>
            </wp:positionH>
            <wp:positionV relativeFrom="margin">
              <wp:posOffset>-201930</wp:posOffset>
            </wp:positionV>
            <wp:extent cx="1609725" cy="149352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9725" cy="1493520"/>
                    </a:xfrm>
                    <a:prstGeom prst="rect">
                      <a:avLst/>
                    </a:prstGeom>
                  </pic:spPr>
                </pic:pic>
              </a:graphicData>
            </a:graphic>
            <wp14:sizeRelH relativeFrom="margin">
              <wp14:pctWidth>0</wp14:pctWidth>
            </wp14:sizeRelH>
            <wp14:sizeRelV relativeFrom="margin">
              <wp14:pctHeight>0</wp14:pctHeight>
            </wp14:sizeRelV>
          </wp:anchor>
        </w:drawing>
      </w:r>
      <w:r w:rsidR="009125CE" w:rsidRPr="002B7D76">
        <w:rPr>
          <w:rFonts w:ascii="Simplified Arabic" w:hAnsi="Simplified Arabic" w:cs="Simplified Arabic"/>
          <w:b/>
          <w:bCs/>
          <w:color w:val="000000" w:themeColor="text1"/>
          <w:sz w:val="32"/>
          <w:szCs w:val="32"/>
          <w:rtl/>
          <w:lang w:bidi="ar-EG"/>
        </w:rPr>
        <w:t xml:space="preserve">جامعة ميدأوشن </w:t>
      </w:r>
    </w:p>
    <w:p w14:paraId="1E957002" w14:textId="4661583F" w:rsidR="00F546CE" w:rsidRPr="002B7D76" w:rsidRDefault="009125CE" w:rsidP="003B323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B7D76">
        <w:rPr>
          <w:rFonts w:ascii="Simplified Arabic" w:hAnsi="Simplified Arabic" w:cs="Simplified Arabic"/>
          <w:b/>
          <w:bCs/>
          <w:color w:val="000000" w:themeColor="text1"/>
          <w:sz w:val="32"/>
          <w:szCs w:val="32"/>
          <w:lang w:bidi="ar-EG"/>
        </w:rPr>
        <w:t xml:space="preserve"> </w:t>
      </w:r>
      <w:r w:rsidRPr="002B7D76">
        <w:rPr>
          <w:rFonts w:ascii="Simplified Arabic" w:hAnsi="Simplified Arabic" w:cs="Simplified Arabic"/>
          <w:b/>
          <w:bCs/>
          <w:color w:val="000000" w:themeColor="text1"/>
          <w:sz w:val="32"/>
          <w:szCs w:val="32"/>
          <w:rtl/>
          <w:lang w:bidi="ar-EG"/>
        </w:rPr>
        <w:t xml:space="preserve">كلية </w:t>
      </w:r>
      <w:r w:rsidR="008C42C1" w:rsidRPr="002B7D76">
        <w:rPr>
          <w:rFonts w:ascii="Simplified Arabic" w:hAnsi="Simplified Arabic" w:cs="Simplified Arabic"/>
          <w:b/>
          <w:bCs/>
          <w:color w:val="000000" w:themeColor="text1"/>
          <w:sz w:val="32"/>
          <w:szCs w:val="32"/>
          <w:rtl/>
          <w:lang w:bidi="ar-EG"/>
        </w:rPr>
        <w:t>الإدارة</w:t>
      </w:r>
      <w:r w:rsidRPr="002B7D76">
        <w:rPr>
          <w:rFonts w:ascii="Simplified Arabic" w:hAnsi="Simplified Arabic" w:cs="Simplified Arabic"/>
          <w:b/>
          <w:bCs/>
          <w:color w:val="000000" w:themeColor="text1"/>
          <w:sz w:val="32"/>
          <w:szCs w:val="32"/>
          <w:rtl/>
          <w:lang w:bidi="ar-EG"/>
        </w:rPr>
        <w:t xml:space="preserve"> </w:t>
      </w:r>
    </w:p>
    <w:p w14:paraId="5DCF5A82" w14:textId="71E84B56" w:rsidR="001138AC" w:rsidRPr="002B7D76" w:rsidRDefault="004650B0" w:rsidP="003B323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B7D76">
        <w:rPr>
          <w:rFonts w:ascii="Simplified Arabic" w:hAnsi="Simplified Arabic" w:cs="Simplified Arabic"/>
          <w:b/>
          <w:bCs/>
          <w:color w:val="000000" w:themeColor="text1"/>
          <w:sz w:val="32"/>
          <w:szCs w:val="32"/>
          <w:rtl/>
          <w:lang w:bidi="ar-EG"/>
        </w:rPr>
        <w:t>ماجستير إدارة صحية</w:t>
      </w:r>
    </w:p>
    <w:p w14:paraId="43431C28" w14:textId="77777777" w:rsidR="007A4E66" w:rsidRPr="002B7D76" w:rsidRDefault="007A4E66" w:rsidP="003B3233">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17AE2CB0" w14:textId="779F1F5F" w:rsidR="00C25EDE" w:rsidRPr="002B7D76" w:rsidRDefault="008840FB" w:rsidP="003B3233">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2B7D76">
        <w:rPr>
          <w:rFonts w:ascii="Simplified Arabic" w:hAnsi="Simplified Arabic" w:cs="Simplified Arabic"/>
          <w:b/>
          <w:bCs/>
          <w:color w:val="000000" w:themeColor="text1"/>
          <w:sz w:val="40"/>
          <w:szCs w:val="40"/>
          <w:rtl/>
        </w:rPr>
        <w:t>أثر التحول الرقمي في إدارة بنوك الدم على تعزيز كفاءة الخدمات الصحية وفق مستهدفات رؤية السعودية 2030</w:t>
      </w:r>
      <w:r w:rsidR="00C25EDE" w:rsidRPr="002B7D76">
        <w:rPr>
          <w:rFonts w:ascii="Simplified Arabic" w:hAnsi="Simplified Arabic" w:cs="Simplified Arabic"/>
          <w:b/>
          <w:bCs/>
          <w:color w:val="000000" w:themeColor="text1"/>
          <w:sz w:val="40"/>
          <w:szCs w:val="40"/>
          <w:rtl/>
        </w:rPr>
        <w:t xml:space="preserve"> دراسة ميدانية على بنوك الدم في المستشفيات بالمملكة العربية السعودية.</w:t>
      </w:r>
    </w:p>
    <w:p w14:paraId="751A7E65" w14:textId="05F724E3" w:rsidR="009125CE" w:rsidRPr="002B7D76" w:rsidRDefault="009125CE" w:rsidP="003B32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B7D76">
        <w:rPr>
          <w:rFonts w:ascii="Simplified Arabic" w:hAnsi="Simplified Arabic" w:cs="Simplified Arabic"/>
          <w:b/>
          <w:bCs/>
          <w:color w:val="000000" w:themeColor="text1"/>
          <w:sz w:val="36"/>
          <w:szCs w:val="36"/>
          <w:rtl/>
          <w:lang w:bidi="ar-EG"/>
        </w:rPr>
        <w:t>إعداد الطالب/</w:t>
      </w:r>
    </w:p>
    <w:p w14:paraId="5A2FA97C" w14:textId="737E0244" w:rsidR="004650B0" w:rsidRPr="002B7D76" w:rsidRDefault="004650B0" w:rsidP="003B3233">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B7D76">
        <w:rPr>
          <w:rFonts w:ascii="Simplified Arabic" w:hAnsi="Simplified Arabic" w:cs="Simplified Arabic"/>
          <w:color w:val="000000" w:themeColor="text1"/>
          <w:sz w:val="36"/>
          <w:szCs w:val="36"/>
          <w:rtl/>
        </w:rPr>
        <w:t>وليد محمد الزبيدي</w:t>
      </w:r>
    </w:p>
    <w:p w14:paraId="366F4383" w14:textId="397FB636" w:rsidR="009E09AE" w:rsidRPr="002B7D76" w:rsidRDefault="004650B0" w:rsidP="003B3233">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B7D76">
        <w:rPr>
          <w:rFonts w:ascii="Simplified Arabic" w:hAnsi="Simplified Arabic" w:cs="Simplified Arabic"/>
          <w:color w:val="000000" w:themeColor="text1"/>
          <w:sz w:val="36"/>
          <w:szCs w:val="36"/>
          <w:rtl/>
        </w:rPr>
        <w:t>253001337</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B3233" w:rsidRPr="002B7D76" w14:paraId="7E273DD5" w14:textId="77777777" w:rsidTr="003B3233">
        <w:tc>
          <w:tcPr>
            <w:tcW w:w="4530" w:type="dxa"/>
          </w:tcPr>
          <w:p w14:paraId="5E42D205" w14:textId="77777777" w:rsidR="003B3233" w:rsidRPr="002B7D76" w:rsidRDefault="003B3233" w:rsidP="003B32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B7D76">
              <w:rPr>
                <w:rFonts w:ascii="Simplified Arabic" w:hAnsi="Simplified Arabic" w:cs="Simplified Arabic" w:hint="cs"/>
                <w:b/>
                <w:bCs/>
                <w:color w:val="000000" w:themeColor="text1"/>
                <w:sz w:val="36"/>
                <w:szCs w:val="36"/>
                <w:rtl/>
                <w:lang w:bidi="ar-EG"/>
              </w:rPr>
              <w:t>المشرف الرئيسي/</w:t>
            </w:r>
          </w:p>
        </w:tc>
        <w:tc>
          <w:tcPr>
            <w:tcW w:w="4531" w:type="dxa"/>
          </w:tcPr>
          <w:p w14:paraId="44800406" w14:textId="77777777" w:rsidR="003B3233" w:rsidRPr="002B7D76" w:rsidRDefault="003B3233" w:rsidP="003B32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B7D76">
              <w:rPr>
                <w:rFonts w:ascii="Simplified Arabic" w:hAnsi="Simplified Arabic" w:cs="Simplified Arabic" w:hint="cs"/>
                <w:b/>
                <w:bCs/>
                <w:color w:val="000000" w:themeColor="text1"/>
                <w:sz w:val="36"/>
                <w:szCs w:val="36"/>
                <w:rtl/>
                <w:lang w:bidi="ar-EG"/>
              </w:rPr>
              <w:t>المشرف الثاني/</w:t>
            </w:r>
          </w:p>
        </w:tc>
      </w:tr>
      <w:tr w:rsidR="003B3233" w:rsidRPr="002B7D76" w14:paraId="39C41222" w14:textId="77777777" w:rsidTr="003B3233">
        <w:tc>
          <w:tcPr>
            <w:tcW w:w="4530" w:type="dxa"/>
          </w:tcPr>
          <w:p w14:paraId="427C048C" w14:textId="77777777" w:rsidR="003B3233" w:rsidRPr="002B7D76" w:rsidRDefault="003B3233" w:rsidP="003B32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B7D7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AC7458E" w14:textId="77777777" w:rsidR="003B3233" w:rsidRPr="002B7D76" w:rsidRDefault="003B3233" w:rsidP="003B32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B7D76">
              <w:rPr>
                <w:rFonts w:ascii="Simplified Arabic" w:eastAsia="Calibri" w:hAnsi="Simplified Arabic" w:cs="Simplified Arabic"/>
                <w:color w:val="000000" w:themeColor="text1"/>
                <w:kern w:val="0"/>
                <w:sz w:val="36"/>
                <w:szCs w:val="36"/>
                <w:rtl/>
                <w:lang w:bidi="ar-EG"/>
                <w14:ligatures w14:val="none"/>
              </w:rPr>
              <w:t>د.فايز جراد</w:t>
            </w:r>
          </w:p>
        </w:tc>
      </w:tr>
    </w:tbl>
    <w:p w14:paraId="31F86903" w14:textId="77777777" w:rsidR="003B3233" w:rsidRPr="002B7D76" w:rsidRDefault="003B3233" w:rsidP="003B32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B7D76">
        <w:rPr>
          <w:rFonts w:ascii="Simplified Arabic" w:hAnsi="Simplified Arabic" w:cs="Simplified Arabic"/>
          <w:b/>
          <w:bCs/>
          <w:color w:val="000000" w:themeColor="text1"/>
          <w:sz w:val="36"/>
          <w:szCs w:val="36"/>
          <w:rtl/>
          <w:lang w:bidi="ar-EG"/>
        </w:rPr>
        <w:t>العام الدراسي:</w:t>
      </w:r>
    </w:p>
    <w:p w14:paraId="21E15695" w14:textId="77777777" w:rsidR="003B3233" w:rsidRPr="002B7D76" w:rsidRDefault="003B3233" w:rsidP="003B3233">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B7D76">
        <w:rPr>
          <w:rFonts w:ascii="Simplified Arabic" w:hAnsi="Simplified Arabic" w:cs="Simplified Arabic" w:hint="cs"/>
          <w:color w:val="000000" w:themeColor="text1"/>
          <w:sz w:val="36"/>
          <w:szCs w:val="36"/>
          <w:rtl/>
          <w:lang w:bidi="ar-EG"/>
        </w:rPr>
        <w:t xml:space="preserve">1448 </w:t>
      </w:r>
      <w:r w:rsidRPr="002B7D76">
        <w:rPr>
          <w:rFonts w:ascii="Simplified Arabic" w:hAnsi="Simplified Arabic" w:cs="Simplified Arabic"/>
          <w:color w:val="000000" w:themeColor="text1"/>
          <w:sz w:val="36"/>
          <w:szCs w:val="36"/>
          <w:rtl/>
          <w:lang w:bidi="ar-EG"/>
        </w:rPr>
        <w:t>–</w:t>
      </w:r>
      <w:r w:rsidRPr="002B7D76">
        <w:rPr>
          <w:rFonts w:ascii="Simplified Arabic" w:hAnsi="Simplified Arabic" w:cs="Simplified Arabic" w:hint="cs"/>
          <w:color w:val="000000" w:themeColor="text1"/>
          <w:sz w:val="36"/>
          <w:szCs w:val="36"/>
          <w:rtl/>
          <w:lang w:bidi="ar-EG"/>
        </w:rPr>
        <w:t xml:space="preserve"> 2026</w:t>
      </w:r>
    </w:p>
    <w:p w14:paraId="1039762B" w14:textId="77777777" w:rsidR="003B3233" w:rsidRPr="002B7D76" w:rsidRDefault="003B3233" w:rsidP="003B3233">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3B3233" w:rsidRPr="002B7D76" w:rsidSect="003B3233">
          <w:type w:val="continuous"/>
          <w:pgSz w:w="11906" w:h="16838" w:code="9"/>
          <w:pgMar w:top="1134" w:right="1701" w:bottom="1134" w:left="1134" w:header="720" w:footer="720" w:gutter="0"/>
          <w:pgNumType w:fmt="arabicAbjad" w:start="1"/>
          <w:cols w:space="708"/>
          <w:bidi/>
          <w:rtlGutter/>
          <w:docGrid w:linePitch="360"/>
        </w:sectPr>
      </w:pPr>
    </w:p>
    <w:p w14:paraId="33D37288" w14:textId="2C549B1B" w:rsidR="003B3233" w:rsidRPr="002B7D76" w:rsidRDefault="003B3233" w:rsidP="003B3233">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4165260"/>
      <w:r w:rsidRPr="002B7D76">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51DD9236" w14:textId="69CDE9AA" w:rsidR="003B3233" w:rsidRPr="002B7D76" w:rsidRDefault="003B3233" w:rsidP="003B3233">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4165261"/>
      <w:r w:rsidRPr="002B7D76">
        <w:rPr>
          <w:rFonts w:ascii="Simplified Arabic" w:hAnsi="Simplified Arabic" w:cs="Simplified Arabic" w:hint="cs"/>
          <w:b/>
          <w:bCs/>
          <w:color w:val="000000" w:themeColor="text1"/>
          <w:sz w:val="36"/>
          <w:szCs w:val="36"/>
          <w:rtl/>
        </w:rPr>
        <w:t>1.1 المقدمة</w:t>
      </w:r>
      <w:bookmarkEnd w:id="3"/>
    </w:p>
    <w:p w14:paraId="2CE8EF62" w14:textId="4194635B" w:rsidR="00532E03"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Pr>
      </w:pPr>
      <w:r w:rsidRPr="002B7D76">
        <w:rPr>
          <w:rFonts w:ascii="Simplified Arabic" w:hAnsi="Simplified Arabic" w:cs="Simplified Arabic"/>
          <w:color w:val="000000" w:themeColor="text1"/>
          <w:sz w:val="28"/>
          <w:szCs w:val="28"/>
          <w:rtl/>
        </w:rPr>
        <w:t>يشهد العالم المعاصر تحولات رقمية متسارعة أعادت تشكيل ملامح القطاعات الاقتصادية والخدمية كافة، ولم يكن القطاع الصحي بمعزل عن هذه الموجة التحولية، إذ باتت التقنيات الرقمية تُمثل ركيزة أساسية في تطوير أنظمة الرعاية الصحية وتحسين مخرجاتها على المستويين الإقليمي والدولي. وفي ظل الثورة الصناعية الرابعة وتطور تقنيات الذكاء الاصطناعي والبيانات الضخمة والحوسبة السحابية، أصبح التحول الرقمي في القطاع الصحي ضرورة حتمية وليس خياراً، حيث تسعى المنظمات الصحية إلى توظيف هذه التقنيات لتحقيق كفاءات تشغيلية وتحسين جودة الخدمات المقدمة للمرضى والمستفيدين</w:t>
      </w:r>
      <w:r w:rsidRPr="002B7D76">
        <w:rPr>
          <w:rFonts w:ascii="Simplified Arabic" w:hAnsi="Simplified Arabic" w:cs="Simplified Arabic"/>
          <w:color w:val="000000" w:themeColor="text1"/>
          <w:sz w:val="28"/>
          <w:szCs w:val="28"/>
        </w:rPr>
        <w:t xml:space="preserve"> (Kraus, Schiavone, Pluzhnikova, &amp; Invernizzi, 2021).</w:t>
      </w:r>
    </w:p>
    <w:p w14:paraId="1A5FA736" w14:textId="77777777" w:rsidR="00462AEB"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tl/>
        </w:rPr>
      </w:pPr>
      <w:r w:rsidRPr="002B7D76">
        <w:rPr>
          <w:rFonts w:ascii="Simplified Arabic" w:hAnsi="Simplified Arabic" w:cs="Simplified Arabic"/>
          <w:color w:val="000000" w:themeColor="text1"/>
          <w:sz w:val="28"/>
          <w:szCs w:val="28"/>
          <w:rtl/>
        </w:rPr>
        <w:t xml:space="preserve">ويُعرَّف التحول الرقمي بوصفه عملية شاملة تستهدف تحسين الكيانات المؤسسية من خلال إحداث تغييرات جوهرية في خصائصها عبر توظيف تقنيات المعلومات والحوسبة والاتصالات والربط الشبكي، وهو من الدعامات الأساسية لنجاح إدارة الأعمال إلكترونياً في مختلف القطاعات، لما يُقدمه من نظم وإجراءات تكنولوجية تُسهل ممارسة الأنماط الإدارية الحديثة وتُسهم في تحقيق السرعة في إنجاز المهام وتوفير الوقت والجهد وخفض التكاليف ورفع الإنتاجية (محمد، 2023). </w:t>
      </w:r>
    </w:p>
    <w:p w14:paraId="7F345AB7" w14:textId="7A89FA99" w:rsidR="00532E03"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Pr>
      </w:pPr>
      <w:r w:rsidRPr="002B7D76">
        <w:rPr>
          <w:rFonts w:ascii="Simplified Arabic" w:hAnsi="Simplified Arabic" w:cs="Simplified Arabic"/>
          <w:color w:val="000000" w:themeColor="text1"/>
          <w:sz w:val="28"/>
          <w:szCs w:val="28"/>
          <w:rtl/>
        </w:rPr>
        <w:t>وقد أصبح التحول الرقمي يفرض نفسه على المؤسسات بمختلف أنواعها، إذ إن نجاح تطبيقه يرتبط ارتباطاً وثيقاً بمستوى الكفاءات البشرية والمعرفية المتراكمة لدى العاملين، فضلاً عن توافر البنية التحتية التكنولوجية الملائمة والتشريعات والسياسات الداعمة (محمد، 2022)</w:t>
      </w:r>
      <w:r w:rsidRPr="002B7D76">
        <w:rPr>
          <w:rFonts w:ascii="Simplified Arabic" w:hAnsi="Simplified Arabic" w:cs="Simplified Arabic"/>
          <w:color w:val="000000" w:themeColor="text1"/>
          <w:sz w:val="28"/>
          <w:szCs w:val="28"/>
        </w:rPr>
        <w:t>.</w:t>
      </w:r>
    </w:p>
    <w:p w14:paraId="755BBA6C" w14:textId="77777777" w:rsidR="00462AEB"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tl/>
        </w:rPr>
      </w:pPr>
      <w:r w:rsidRPr="002B7D76">
        <w:rPr>
          <w:rFonts w:ascii="Simplified Arabic" w:hAnsi="Simplified Arabic" w:cs="Simplified Arabic"/>
          <w:color w:val="000000" w:themeColor="text1"/>
          <w:sz w:val="28"/>
          <w:szCs w:val="28"/>
          <w:rtl/>
        </w:rPr>
        <w:t xml:space="preserve">وتحتل كفاءة الخدمات الصحية مكانة محورية في اهتمامات الأنظمة الصحية حول العالم، إذ تُعد انعكاساً مباشراً لقدرة المنظمات الصحية على تقديم رعاية متكاملة تلبي احتياجات المستفيدين وتحقق رضاهم، وأن تحقيق الرعاية الصحية الشاملة يتطلب وجود نظام صحي متكامل ومنظم يُحقق التنسيق الفعّال بين مستويات الرعاية الصحية المختلفة، وأن غياب هذا التكامل والتنسيق يؤدي إلى هدر كبير في الطاقات والموارد البشرية والمادية (قاسم ومحمد، 2021). </w:t>
      </w:r>
    </w:p>
    <w:p w14:paraId="16890FB3" w14:textId="5E838D02" w:rsidR="00532E03"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Pr>
      </w:pPr>
      <w:r w:rsidRPr="002B7D76">
        <w:rPr>
          <w:rFonts w:ascii="Simplified Arabic" w:hAnsi="Simplified Arabic" w:cs="Simplified Arabic"/>
          <w:color w:val="000000" w:themeColor="text1"/>
          <w:sz w:val="28"/>
          <w:szCs w:val="28"/>
          <w:rtl/>
        </w:rPr>
        <w:lastRenderedPageBreak/>
        <w:t>وتتأثر جودة الرعاية الصحية في المستشفيات بمنظومة متشابكة من العوامل الاستراتيجية والثقافية والهيكلية والإجرائية، وأن نظام الرعاية الصحية يعمل ضمن بيئة تتأثر داخلياً وخارجياً بقوى متعددة ذات علاقة بأصحاب المصلحة والقوى القانونية والحكومية والتقنية والإدارية (حسين وعبودي، 2021</w:t>
      </w:r>
      <w:r w:rsidR="00462AEB" w:rsidRPr="002B7D76">
        <w:rPr>
          <w:rFonts w:ascii="Simplified Arabic" w:hAnsi="Simplified Arabic" w:cs="Simplified Arabic"/>
          <w:color w:val="000000" w:themeColor="text1"/>
          <w:sz w:val="28"/>
          <w:szCs w:val="28"/>
        </w:rPr>
        <w:t>(</w:t>
      </w:r>
    </w:p>
    <w:p w14:paraId="232C0B30" w14:textId="0D1D27B8" w:rsidR="00532E03"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Pr>
      </w:pPr>
      <w:r w:rsidRPr="002B7D76">
        <w:rPr>
          <w:rFonts w:ascii="Simplified Arabic" w:hAnsi="Simplified Arabic" w:cs="Simplified Arabic"/>
          <w:color w:val="000000" w:themeColor="text1"/>
          <w:sz w:val="28"/>
          <w:szCs w:val="28"/>
          <w:rtl/>
        </w:rPr>
        <w:t>وتبرز العلاقة بين التحول الرقمي وكفاءة الخدمات الصحية بشكل خاص في مجال إدارة بنوك الدم، التي تُمثل أحد أكثر المرافق الصحية تعقيداً وحساسية، نظراً لارتباط عملياتها بسلسلة متكاملة من الإجراءات الدقيقة التي تتطلب مستوى عالياً من التوثيق والتتبع والمطابقة، وأن التحول الرقمي يلعب دوراً جوهرياً في تحسين فاعلية أنظمة الرعاية الصحية من خلال تطبيقات الذكاء الاصطناعي والبيانات الضخمة والحوسبة السحابية التي ترفع الكفاءة التشغيلية وتُقلص الأخطاء الطبية، وهو ما ينطبق بشكل مباشر على بيئة عمل بنوك الدم التي تستوجب دقة استثنائية في إدارة عملياتها وضمان سلامة مخرجاتها</w:t>
      </w:r>
      <w:r w:rsidRPr="002B7D76">
        <w:rPr>
          <w:rFonts w:ascii="Simplified Arabic" w:hAnsi="Simplified Arabic" w:cs="Simplified Arabic"/>
          <w:color w:val="000000" w:themeColor="text1"/>
          <w:sz w:val="28"/>
          <w:szCs w:val="28"/>
        </w:rPr>
        <w:t xml:space="preserve"> (Dionisio</w:t>
      </w:r>
      <w:r w:rsidR="00462AEB" w:rsidRPr="002B7D76">
        <w:rPr>
          <w:rFonts w:ascii="Simplified Arabic" w:hAnsi="Simplified Arabic" w:cs="Simplified Arabic"/>
          <w:color w:val="000000" w:themeColor="text1"/>
          <w:sz w:val="28"/>
          <w:szCs w:val="28"/>
        </w:rPr>
        <w:t xml:space="preserve"> etal.,</w:t>
      </w:r>
      <w:r w:rsidRPr="002B7D76">
        <w:rPr>
          <w:rFonts w:ascii="Simplified Arabic" w:hAnsi="Simplified Arabic" w:cs="Simplified Arabic"/>
          <w:color w:val="000000" w:themeColor="text1"/>
          <w:sz w:val="28"/>
          <w:szCs w:val="28"/>
        </w:rPr>
        <w:t>2023).</w:t>
      </w:r>
    </w:p>
    <w:p w14:paraId="6BB5FD03" w14:textId="7ACA932F" w:rsidR="00532E03"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tl/>
        </w:rPr>
      </w:pPr>
      <w:r w:rsidRPr="002B7D76">
        <w:rPr>
          <w:rFonts w:ascii="Simplified Arabic" w:hAnsi="Simplified Arabic" w:cs="Simplified Arabic"/>
          <w:color w:val="000000" w:themeColor="text1"/>
          <w:sz w:val="28"/>
          <w:szCs w:val="28"/>
          <w:rtl/>
        </w:rPr>
        <w:t>وفي ضوء ما تضمنته رؤية المملكة العربية السعودية 2030 من مستهدفات طموحة لتطوير القطاع الصحي وتحقيق التحول الرقمي الشامل في منشآته، وما أكدته الدراسات الحديثة من أن التحول الرقمي في القطاع الصحي يتجاوز البُعد التكنولوجي ليشمل بُعداً استراتيجياً يُمكّن المؤسسات الصحية من إعادة تشكيل ذاتها وتقديم عروض قيمة جديدة وخدمات متنوعة ومتطورة، تأتي هذه الدراسة للبحث في أثر التحول الرقمي بأبعاده على كفاءة الخدمات الصحية في بنوك الدم بالمستشفيات السعودية</w:t>
      </w:r>
      <w:r w:rsidR="00462AEB" w:rsidRPr="002B7D76">
        <w:rPr>
          <w:rFonts w:ascii="Simplified Arabic" w:hAnsi="Simplified Arabic" w:cs="Simplified Arabic"/>
          <w:color w:val="000000" w:themeColor="text1"/>
          <w:sz w:val="28"/>
          <w:szCs w:val="28"/>
          <w:rtl/>
        </w:rPr>
        <w:t>.</w:t>
      </w:r>
    </w:p>
    <w:p w14:paraId="698E71CB" w14:textId="69D3DC7B" w:rsidR="003B3233" w:rsidRPr="002B7D76" w:rsidRDefault="003B3233" w:rsidP="003B3233">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4165262"/>
      <w:bookmarkEnd w:id="0"/>
      <w:bookmarkEnd w:id="1"/>
      <w:r w:rsidRPr="002B7D76">
        <w:rPr>
          <w:rFonts w:ascii="Simplified Arabic" w:hAnsi="Simplified Arabic" w:cs="Simplified Arabic"/>
          <w:b/>
          <w:bCs/>
          <w:color w:val="000000" w:themeColor="text1"/>
          <w:sz w:val="36"/>
          <w:szCs w:val="36"/>
          <w:rtl/>
        </w:rPr>
        <w:t>2.1 مشكلة الدراسة</w:t>
      </w:r>
      <w:bookmarkEnd w:id="5"/>
    </w:p>
    <w:p w14:paraId="6C47AFA2" w14:textId="77777777" w:rsidR="00532E03"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Pr>
      </w:pPr>
      <w:r w:rsidRPr="002B7D76">
        <w:rPr>
          <w:rFonts w:ascii="Simplified Arabic" w:hAnsi="Simplified Arabic" w:cs="Simplified Arabic"/>
          <w:color w:val="000000" w:themeColor="text1"/>
          <w:sz w:val="28"/>
          <w:szCs w:val="28"/>
          <w:rtl/>
        </w:rPr>
        <w:t>تُمثل بنوك الدم أحد أكثر المرافق الصحية حساسيةً وحيويةً في منظومة الرعاية الصحية، إذ تتعامل مع مادة بيولوجية لا يمكن تصنيعها أو استبدالها صناعياً، وترتبط عملياتها ارتباطاً مباشراً بحياة المرضى وسلامتهم، سواء في الحالات الطارئة كالحوادث والنزيف الحاد، أو في العمليات الجراحية المخططة، أو في علاج الأمراض المزمنة كالأورام وأمراض الدم الوراثية. وتتسم إدارة بنوك الدم بتعقيد تشغيلي بالغ يتطلب دقة متناهية في سلسلة عمليات متكاملة تبدأ من استقطاب المتبرعين وفحص عينات الدم مخبرياً، مروراً بفصل المكونات وتصنيفها وتخزينها وفق شروط حرارية صارمة، وانتهاءً بمطابقة فصائل الدم وتوزيعها على المرضى المحتاجين في الوقت المناسب. وأي خلل في أي حلقة من هذه السلسلة قد يترتب عليه عواقب صحية وخيمة تتراوح بين تفاعلات نقل الدم الخطيرة وهدر الوحدات منتهية الصلاحية والتأخر في إنقاذ حياة المرضى</w:t>
      </w:r>
      <w:r w:rsidRPr="002B7D76">
        <w:rPr>
          <w:rFonts w:ascii="Simplified Arabic" w:hAnsi="Simplified Arabic" w:cs="Simplified Arabic"/>
          <w:color w:val="000000" w:themeColor="text1"/>
          <w:sz w:val="28"/>
          <w:szCs w:val="28"/>
        </w:rPr>
        <w:t>.</w:t>
      </w:r>
    </w:p>
    <w:p w14:paraId="1529BF4F" w14:textId="2FEEF209" w:rsidR="00532E03"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Pr>
      </w:pPr>
      <w:r w:rsidRPr="002B7D76">
        <w:rPr>
          <w:rFonts w:ascii="Simplified Arabic" w:hAnsi="Simplified Arabic" w:cs="Simplified Arabic"/>
          <w:color w:val="000000" w:themeColor="text1"/>
          <w:sz w:val="28"/>
          <w:szCs w:val="28"/>
          <w:rtl/>
        </w:rPr>
        <w:lastRenderedPageBreak/>
        <w:t>وعلى الرغم من التطورات التقنية المتسارعة التي يشهدها العالم في مجال التحول الرقمي الصحي، وما أثبتته الدراسات من قدرة التقنيات الرقمية على تحسين الكفاءة التشغيلية وتقليل الأخطاء الطبية ورفع جودة الخدمات الصحية، فإن واقع كثير من بنوك الدم في المستشفيات لا يزال يعتمد بشكل جزئي على العمليات اليدوية والتقليدية في إدارة مخزونها وتوثيق بياناتها وتتبع وحدات الدم عبر سلسلة التوريد. وتشير التقارير الصادرة عن منظمة الصحة العالمية إلى أن نسبة كبيرة من الأخطاء المرتبطة بنقل الدم على المستوى العالمي تعود إلى قصور في أنظمة التوثيق والتتبع والمطابقة، وهي أخطاء يمكن تقليصها بشكل جوهري من خلال التحول الرقمي الشامل لعمليات بنوك الدم</w:t>
      </w:r>
      <w:r w:rsidRPr="002B7D76">
        <w:rPr>
          <w:rFonts w:ascii="Simplified Arabic" w:hAnsi="Simplified Arabic" w:cs="Simplified Arabic"/>
          <w:color w:val="000000" w:themeColor="text1"/>
          <w:sz w:val="28"/>
          <w:szCs w:val="28"/>
        </w:rPr>
        <w:t>.</w:t>
      </w:r>
    </w:p>
    <w:p w14:paraId="07F32CA5" w14:textId="0F17653C" w:rsidR="00532E03"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Pr>
      </w:pPr>
      <w:r w:rsidRPr="002B7D76">
        <w:rPr>
          <w:rFonts w:ascii="Simplified Arabic" w:hAnsi="Simplified Arabic" w:cs="Simplified Arabic"/>
          <w:color w:val="000000" w:themeColor="text1"/>
          <w:sz w:val="28"/>
          <w:szCs w:val="28"/>
          <w:rtl/>
        </w:rPr>
        <w:t>وقد كشفت مراجعة الدراسات السابقة عن وجود فجوة بحثية واضحة تتمثل في ندرة الدراسات التي تناولت أثر التحول الرقمي تحديداً في مجال إدارة بنوك الدم وربطه بكفاءة الخدمات الصحية، لا سيما في البيئة السعودية وفي ضوء مستهدفات رؤية 2030، إذ ركزت معظم الدراسات السابقة على التحول الرقمي في القطاع الصحي بشكل عام دون التطرق لخصوصية بنوك الدم وتعقيداتها التشغيلية الفريدة. كما أكدت دراسة</w:t>
      </w:r>
      <w:r w:rsidRPr="002B7D76">
        <w:rPr>
          <w:rFonts w:ascii="Simplified Arabic" w:hAnsi="Simplified Arabic" w:cs="Simplified Arabic"/>
          <w:color w:val="000000" w:themeColor="text1"/>
          <w:sz w:val="28"/>
          <w:szCs w:val="28"/>
        </w:rPr>
        <w:t xml:space="preserve"> (Kraus et al., 2021) </w:t>
      </w:r>
      <w:r w:rsidRPr="002B7D76">
        <w:rPr>
          <w:rFonts w:ascii="Simplified Arabic" w:hAnsi="Simplified Arabic" w:cs="Simplified Arabic"/>
          <w:color w:val="000000" w:themeColor="text1"/>
          <w:sz w:val="28"/>
          <w:szCs w:val="28"/>
          <w:rtl/>
        </w:rPr>
        <w:t>أن الأبحاث المتعلقة بالتحول الرقمي في الرعاية الصحية لا تزال في مراحلها المبكرة وتحتاج إلى مزيد من الدراسات التطبيقية في سياقات متخصصة، وأشارت دراسة</w:t>
      </w:r>
      <w:r w:rsidRPr="002B7D76">
        <w:rPr>
          <w:rFonts w:ascii="Simplified Arabic" w:hAnsi="Simplified Arabic" w:cs="Simplified Arabic"/>
          <w:color w:val="000000" w:themeColor="text1"/>
          <w:sz w:val="28"/>
          <w:szCs w:val="28"/>
        </w:rPr>
        <w:t xml:space="preserve"> (Dionisio et al., 2023) </w:t>
      </w:r>
      <w:r w:rsidRPr="002B7D76">
        <w:rPr>
          <w:rFonts w:ascii="Simplified Arabic" w:hAnsi="Simplified Arabic" w:cs="Simplified Arabic"/>
          <w:color w:val="000000" w:themeColor="text1"/>
          <w:sz w:val="28"/>
          <w:szCs w:val="28"/>
          <w:rtl/>
        </w:rPr>
        <w:t>إلى محدودية الأدلة التجريبية حول فاعلية التحول الرقمي في الممارسة الصحية الفعلية</w:t>
      </w:r>
      <w:r w:rsidRPr="002B7D76">
        <w:rPr>
          <w:rFonts w:ascii="Simplified Arabic" w:hAnsi="Simplified Arabic" w:cs="Simplified Arabic"/>
          <w:color w:val="000000" w:themeColor="text1"/>
          <w:sz w:val="28"/>
          <w:szCs w:val="28"/>
        </w:rPr>
        <w:t>.</w:t>
      </w:r>
    </w:p>
    <w:p w14:paraId="1704696C" w14:textId="77777777" w:rsidR="00532E03" w:rsidRPr="002B7D76" w:rsidRDefault="00532E03" w:rsidP="003B3233">
      <w:pPr>
        <w:pStyle w:val="NormalWeb"/>
        <w:bidi/>
        <w:spacing w:line="276" w:lineRule="auto"/>
        <w:ind w:firstLine="424"/>
        <w:jc w:val="both"/>
        <w:rPr>
          <w:rFonts w:ascii="Simplified Arabic" w:hAnsi="Simplified Arabic" w:cs="Simplified Arabic"/>
          <w:color w:val="000000" w:themeColor="text1"/>
          <w:sz w:val="28"/>
          <w:szCs w:val="28"/>
        </w:rPr>
      </w:pPr>
      <w:r w:rsidRPr="002B7D76">
        <w:rPr>
          <w:rFonts w:ascii="Simplified Arabic" w:hAnsi="Simplified Arabic" w:cs="Simplified Arabic"/>
          <w:color w:val="000000" w:themeColor="text1"/>
          <w:sz w:val="28"/>
          <w:szCs w:val="28"/>
          <w:rtl/>
        </w:rPr>
        <w:t>وبناءً على ما تقدم، تتبلور مشكلة الدراسة في التساؤل الرئيسي التالي</w:t>
      </w:r>
      <w:r w:rsidRPr="002B7D76">
        <w:rPr>
          <w:rFonts w:ascii="Simplified Arabic" w:hAnsi="Simplified Arabic" w:cs="Simplified Arabic"/>
          <w:color w:val="000000" w:themeColor="text1"/>
          <w:sz w:val="28"/>
          <w:szCs w:val="28"/>
        </w:rPr>
        <w:t xml:space="preserve">: </w:t>
      </w:r>
      <w:r w:rsidRPr="002B7D76">
        <w:rPr>
          <w:rStyle w:val="Strong"/>
          <w:rFonts w:ascii="Simplified Arabic" w:hAnsi="Simplified Arabic" w:cs="Simplified Arabic"/>
          <w:b w:val="0"/>
          <w:bCs w:val="0"/>
          <w:color w:val="000000" w:themeColor="text1"/>
          <w:sz w:val="28"/>
          <w:szCs w:val="28"/>
          <w:rtl/>
        </w:rPr>
        <w:t>ما أثر التحول الرقمي بأبعاده (البنية التحتية التكنولوجية، والأنظمة الذكية لإدارة البيانات، والكفاءات الرقمية للموارد البشرية، والأمن السيبراني وحماية البيانات الصحية) على كفاءة الخدمات الصحية في بنوك الدم بالمستشفيات في المملكة العربية السعودية وفق مستهدفات رؤية 2030؟</w:t>
      </w:r>
    </w:p>
    <w:p w14:paraId="393753DC" w14:textId="77777777" w:rsidR="003B3233" w:rsidRPr="002B7D76" w:rsidRDefault="003B3233" w:rsidP="003B323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4165263"/>
      <w:r w:rsidRPr="002B7D76">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39338E66" w14:textId="1A98F3F8" w:rsidR="003B3233" w:rsidRPr="002B7D76" w:rsidRDefault="003B3233" w:rsidP="003B32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B7D76">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2C0F73E" w14:textId="77777777" w:rsidR="00532E03" w:rsidRPr="002B7D76" w:rsidRDefault="00532E03" w:rsidP="003B3233">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تُسهم هذه الدراسة في إثراء الأدبيات العربية المتعلقة بالتحول الرقمي في القطاع الصحي، وتحديداً في مجال إدارة بنوك الدم، وهو مجال يعاني من ندرة واضحة في الدراسات الأكاديمية رغم أهميته الحيوية في منظومة الخدمات الصحية، مما يجعل هذه الدراسة إضافة نوعية للمكتبة البحثية العربية والسعودية</w:t>
      </w:r>
      <w:r w:rsidRPr="002B7D76">
        <w:rPr>
          <w:rFonts w:ascii="Simplified Arabic" w:eastAsia="Times New Roman" w:hAnsi="Simplified Arabic" w:cs="Simplified Arabic"/>
          <w:color w:val="000000" w:themeColor="text1"/>
          <w:kern w:val="0"/>
          <w:sz w:val="28"/>
          <w:szCs w:val="28"/>
          <w14:ligatures w14:val="none"/>
        </w:rPr>
        <w:t>.</w:t>
      </w:r>
    </w:p>
    <w:p w14:paraId="6FDA02CD" w14:textId="77777777" w:rsidR="00532E03" w:rsidRPr="002B7D76" w:rsidRDefault="00532E03" w:rsidP="003B3233">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تُقدم الدراسة إطاراً نظرياً متكاملاً يربط بين أبعاد التحول الرقمي (البنية التحتية التكنولوجية، والأنظمة الذكية لإدارة البيانات، والكفاءات الرقمية للموارد البشرية، والأمن السيبراني وحماية البيانات الصحية) وكفاءة الخدمات الصحية في بنوك الدم، مما يوفر نموذجاً قابلاً للاختبار والتطوير في دراسات مستقبلية</w:t>
      </w:r>
      <w:r w:rsidRPr="002B7D76">
        <w:rPr>
          <w:rFonts w:ascii="Simplified Arabic" w:eastAsia="Times New Roman" w:hAnsi="Simplified Arabic" w:cs="Simplified Arabic"/>
          <w:color w:val="000000" w:themeColor="text1"/>
          <w:kern w:val="0"/>
          <w:sz w:val="28"/>
          <w:szCs w:val="28"/>
          <w14:ligatures w14:val="none"/>
        </w:rPr>
        <w:t>.</w:t>
      </w:r>
    </w:p>
    <w:p w14:paraId="19AA674A" w14:textId="77777777" w:rsidR="00532E03" w:rsidRPr="002B7D76" w:rsidRDefault="00532E03" w:rsidP="003B3233">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تُعزز الدراسة الفهم الأكاديمي للعلاقة بين التحول الرقمي وتحسين جودة الخدمات الصحية في سياق رؤية المملكة العربية السعودية 2030، مما يُسهم في بناء قاعدة معرفية تربط بين الأطر النظرية للتحول الرقمي والمستهدفات الاستراتيجية الوطنية للقطاع الصحي</w:t>
      </w:r>
      <w:r w:rsidRPr="002B7D76">
        <w:rPr>
          <w:rFonts w:ascii="Simplified Arabic" w:eastAsia="Times New Roman" w:hAnsi="Simplified Arabic" w:cs="Simplified Arabic"/>
          <w:color w:val="000000" w:themeColor="text1"/>
          <w:kern w:val="0"/>
          <w:sz w:val="28"/>
          <w:szCs w:val="28"/>
          <w14:ligatures w14:val="none"/>
        </w:rPr>
        <w:t>.</w:t>
      </w:r>
    </w:p>
    <w:p w14:paraId="39493C41" w14:textId="77777777" w:rsidR="00532E03" w:rsidRPr="002B7D76" w:rsidRDefault="00532E03" w:rsidP="003B3233">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تُتيح الدراسة فرصة لاختبار مدى قابلية تطبيق نظريات التحول الرقمي ونماذجه المعتمدة في قطاعات أخرى على بيئة بنوك الدم بالمستشفيات السعودية، مما يفتح آفاقاً جديدة للباحثين لاستكشاف خصوصية هذا القطاع وتطوير نماذج نظرية ملائمة له</w:t>
      </w:r>
      <w:r w:rsidRPr="002B7D76">
        <w:rPr>
          <w:rFonts w:ascii="Simplified Arabic" w:eastAsia="Times New Roman" w:hAnsi="Simplified Arabic" w:cs="Simplified Arabic"/>
          <w:color w:val="000000" w:themeColor="text1"/>
          <w:kern w:val="0"/>
          <w:sz w:val="28"/>
          <w:szCs w:val="28"/>
          <w14:ligatures w14:val="none"/>
        </w:rPr>
        <w:t>.</w:t>
      </w:r>
    </w:p>
    <w:p w14:paraId="49995032" w14:textId="77777777" w:rsidR="00532E03" w:rsidRPr="002B7D76" w:rsidRDefault="00532E03" w:rsidP="003B3233">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تُوفر الدراسة أداة قياس علمية محكمة لقياس مستوى التحول الرقمي في بنوك الدم وأثره على كفاءة الخدمات الصحية، يمكن أن تُستخدم في دراسات مستقبلية مماثلة على مستوى القطاع الصحي في المملكة أو في دول أخرى ذات سياقات مشابهة</w:t>
      </w:r>
      <w:r w:rsidRPr="002B7D76">
        <w:rPr>
          <w:rFonts w:ascii="Simplified Arabic" w:eastAsia="Times New Roman" w:hAnsi="Simplified Arabic" w:cs="Simplified Arabic"/>
          <w:color w:val="000000" w:themeColor="text1"/>
          <w:kern w:val="0"/>
          <w:sz w:val="28"/>
          <w:szCs w:val="28"/>
          <w14:ligatures w14:val="none"/>
        </w:rPr>
        <w:t>.</w:t>
      </w:r>
    </w:p>
    <w:p w14:paraId="19A66C0D" w14:textId="77777777" w:rsidR="00532E03" w:rsidRPr="002B7D76" w:rsidRDefault="00532E03" w:rsidP="003B32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4107073"/>
      <w:r w:rsidRPr="002B7D76">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7"/>
    </w:p>
    <w:p w14:paraId="208BF90E" w14:textId="77777777" w:rsidR="00532E03" w:rsidRPr="002B7D76" w:rsidRDefault="00532E03" w:rsidP="003B3233">
      <w:pPr>
        <w:pStyle w:val="ListParagraph"/>
        <w:numPr>
          <w:ilvl w:val="0"/>
          <w:numId w:val="4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تُقدم الدراسة توصيات عملية لصانعي القرار في وزارة الصحة السعودية والمستشفيات بشأن تطوير البنية التحتية التكنولوجية لبنوك الدم، بما يُسهم في تسريع عمليات جمع الدم وفحصه وتخزينه وتوزيعه وتقليل الهدر والأخطاء الطبية</w:t>
      </w:r>
      <w:r w:rsidRPr="002B7D76">
        <w:rPr>
          <w:rFonts w:ascii="Simplified Arabic" w:eastAsia="Times New Roman" w:hAnsi="Simplified Arabic" w:cs="Simplified Arabic"/>
          <w:color w:val="000000" w:themeColor="text1"/>
          <w:kern w:val="0"/>
          <w:sz w:val="28"/>
          <w:szCs w:val="28"/>
          <w14:ligatures w14:val="none"/>
        </w:rPr>
        <w:t>.</w:t>
      </w:r>
    </w:p>
    <w:p w14:paraId="34DE48C1" w14:textId="77777777" w:rsidR="00532E03" w:rsidRPr="002B7D76" w:rsidRDefault="00532E03" w:rsidP="003B3233">
      <w:pPr>
        <w:pStyle w:val="ListParagraph"/>
        <w:numPr>
          <w:ilvl w:val="0"/>
          <w:numId w:val="4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تُساعد نتائج الدراسة إدارات المستشفيات وبنوك الدم في تحديد الأولويات الاستراتيجية للاستثمار في التقنيات الرقمية الأكثر تأثيراً على كفاءة الخدمات، مما يضمن تخصيص الموارد المالية والبشرية بشكل أمثل لتحقيق أعلى عائد على الاستثمار التقني</w:t>
      </w:r>
      <w:r w:rsidRPr="002B7D76">
        <w:rPr>
          <w:rFonts w:ascii="Simplified Arabic" w:eastAsia="Times New Roman" w:hAnsi="Simplified Arabic" w:cs="Simplified Arabic"/>
          <w:color w:val="000000" w:themeColor="text1"/>
          <w:kern w:val="0"/>
          <w:sz w:val="28"/>
          <w:szCs w:val="28"/>
          <w14:ligatures w14:val="none"/>
        </w:rPr>
        <w:t>.</w:t>
      </w:r>
    </w:p>
    <w:p w14:paraId="4E99F692" w14:textId="77777777" w:rsidR="00532E03" w:rsidRPr="002B7D76" w:rsidRDefault="00532E03" w:rsidP="003B3233">
      <w:pPr>
        <w:pStyle w:val="ListParagraph"/>
        <w:numPr>
          <w:ilvl w:val="0"/>
          <w:numId w:val="4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تُوفر الدراسة مؤشرات قياسية واضحة يمكن أن تستند إليها الجهات الرقابية والتنظيمية في تقييم مستوى التحول الرقمي في بنوك الدم ومدى توافقه مع المعايير الوطنية والدولية لضمان جودة خدمات نقل الدم وسلامتها</w:t>
      </w:r>
      <w:r w:rsidRPr="002B7D76">
        <w:rPr>
          <w:rFonts w:ascii="Simplified Arabic" w:eastAsia="Times New Roman" w:hAnsi="Simplified Arabic" w:cs="Simplified Arabic"/>
          <w:color w:val="000000" w:themeColor="text1"/>
          <w:kern w:val="0"/>
          <w:sz w:val="28"/>
          <w:szCs w:val="28"/>
          <w14:ligatures w14:val="none"/>
        </w:rPr>
        <w:t>.</w:t>
      </w:r>
    </w:p>
    <w:p w14:paraId="03950C72" w14:textId="77777777" w:rsidR="00532E03" w:rsidRPr="002B7D76" w:rsidRDefault="00532E03" w:rsidP="003B3233">
      <w:pPr>
        <w:pStyle w:val="ListParagraph"/>
        <w:numPr>
          <w:ilvl w:val="0"/>
          <w:numId w:val="4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تُسهم الدراسة في دعم جهود المملكة العربية السعودية لتحقيق مستهدفات رؤية 2030 المتعلقة بتطوير القطاع الصحي ورفع كفاءته، من خلال تقديم رؤية واضحة حول واقع التحول الرقمي في بنوك الدم والفجوات التي تحتاج إلى معالجة لتحقيق التحول الرقمي الشامل</w:t>
      </w:r>
      <w:r w:rsidRPr="002B7D76">
        <w:rPr>
          <w:rFonts w:ascii="Simplified Arabic" w:eastAsia="Times New Roman" w:hAnsi="Simplified Arabic" w:cs="Simplified Arabic"/>
          <w:color w:val="000000" w:themeColor="text1"/>
          <w:kern w:val="0"/>
          <w:sz w:val="28"/>
          <w:szCs w:val="28"/>
          <w14:ligatures w14:val="none"/>
        </w:rPr>
        <w:t>.</w:t>
      </w:r>
    </w:p>
    <w:p w14:paraId="080B16E2" w14:textId="77777777" w:rsidR="00532E03" w:rsidRPr="002B7D76" w:rsidRDefault="00532E03" w:rsidP="003B3233">
      <w:pPr>
        <w:pStyle w:val="ListParagraph"/>
        <w:numPr>
          <w:ilvl w:val="0"/>
          <w:numId w:val="4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تُفيد الدراسة القائمين على برامج تدريب الكوادر الصحية في بنوك الدم من خلال تحديد مستوى الكفاءات الرقمية المطلوبة وتصميم برامج تأهيل وتطوير مهني تواكب متطلبات التحول الرقمي في هذا المجال الحيوي</w:t>
      </w:r>
      <w:r w:rsidRPr="002B7D76">
        <w:rPr>
          <w:rFonts w:ascii="Simplified Arabic" w:eastAsia="Times New Roman" w:hAnsi="Simplified Arabic" w:cs="Simplified Arabic"/>
          <w:color w:val="000000" w:themeColor="text1"/>
          <w:kern w:val="0"/>
          <w:sz w:val="28"/>
          <w:szCs w:val="28"/>
          <w14:ligatures w14:val="none"/>
        </w:rPr>
        <w:t>.</w:t>
      </w:r>
    </w:p>
    <w:p w14:paraId="2C7988AF" w14:textId="77777777" w:rsidR="00532E03" w:rsidRPr="002B7D76" w:rsidRDefault="00532E03" w:rsidP="003B3233">
      <w:pPr>
        <w:pStyle w:val="ListParagraph"/>
        <w:numPr>
          <w:ilvl w:val="0"/>
          <w:numId w:val="40"/>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تُقدم الدراسة خارطة طريق عملية للمستشفيات التي لم تبدأ بعد في التحول الرقمي لبنوك الدم، من خلال تحديد الأبعاد الأكثر تأثيراً والخطوات ذات الأولوية التي يمكن البدء بها لتحقيق تحول رقمي فعّال ومستدام</w:t>
      </w:r>
      <w:r w:rsidRPr="002B7D76">
        <w:rPr>
          <w:rFonts w:ascii="Simplified Arabic" w:eastAsia="Times New Roman" w:hAnsi="Simplified Arabic" w:cs="Simplified Arabic"/>
          <w:color w:val="000000" w:themeColor="text1"/>
          <w:kern w:val="0"/>
          <w:sz w:val="28"/>
          <w:szCs w:val="28"/>
          <w14:ligatures w14:val="none"/>
        </w:rPr>
        <w:t>.</w:t>
      </w:r>
    </w:p>
    <w:p w14:paraId="40D2B4FF" w14:textId="4BDA9B28" w:rsidR="003B3233" w:rsidRPr="002B7D76" w:rsidRDefault="003B3233" w:rsidP="003B323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4165264"/>
      <w:r w:rsidRPr="002B7D76">
        <w:rPr>
          <w:rFonts w:ascii="Simplified Arabic" w:eastAsia="Times New Roman" w:hAnsi="Simplified Arabic" w:cs="Simplified Arabic"/>
          <w:b/>
          <w:bCs/>
          <w:color w:val="000000" w:themeColor="text1"/>
          <w:kern w:val="0"/>
          <w:sz w:val="36"/>
          <w:szCs w:val="36"/>
          <w:rtl/>
          <w14:ligatures w14:val="none"/>
        </w:rPr>
        <w:t>4.1 أهداف الدراسة</w:t>
      </w:r>
      <w:bookmarkEnd w:id="8"/>
    </w:p>
    <w:p w14:paraId="4447D6D6"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يتمثل الهدف الرئيسي للدراسة في دراسة أثر التحول الرقمي بأبعاده (البنية التحتية التكنولوجية، والأنظمة الذكية لإدارة البيانات، والكفاءات الرقمية للموارد البشرية، والأمن السيبراني وحماية البيانات الصحية) على كفاءة الخدمات الصحية في بنوك الدم بالمستشفيات في المملكة العربية السعودية وفق مستهدفات رؤية 2030. ويتفرع من هذا الهدف الرئيسي الأهداف الفرعية التالية</w:t>
      </w:r>
      <w:r w:rsidRPr="002B7D76">
        <w:rPr>
          <w:rFonts w:ascii="Simplified Arabic" w:eastAsia="Times New Roman" w:hAnsi="Simplified Arabic" w:cs="Simplified Arabic"/>
          <w:color w:val="000000" w:themeColor="text1"/>
          <w:kern w:val="0"/>
          <w:sz w:val="28"/>
          <w:szCs w:val="28"/>
          <w14:ligatures w14:val="none"/>
        </w:rPr>
        <w:t>:</w:t>
      </w:r>
    </w:p>
    <w:p w14:paraId="1309AC95" w14:textId="77777777" w:rsidR="00532E03" w:rsidRPr="002B7D76" w:rsidRDefault="00532E03" w:rsidP="003B3233">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التعرف على واقع التحول الرقمي المطبق حالياً في إدارة بنوك الدم بالمستشفيات في المملكة العربية السعودية، وتحديد مستوى تطبيق كل بُعد من أبعاده الأربعة</w:t>
      </w:r>
      <w:r w:rsidRPr="002B7D76">
        <w:rPr>
          <w:rFonts w:ascii="Simplified Arabic" w:eastAsia="Times New Roman" w:hAnsi="Simplified Arabic" w:cs="Simplified Arabic"/>
          <w:color w:val="000000" w:themeColor="text1"/>
          <w:kern w:val="0"/>
          <w:sz w:val="28"/>
          <w:szCs w:val="28"/>
          <w14:ligatures w14:val="none"/>
        </w:rPr>
        <w:t>.</w:t>
      </w:r>
    </w:p>
    <w:p w14:paraId="752E85A0" w14:textId="77777777" w:rsidR="00532E03" w:rsidRPr="002B7D76" w:rsidRDefault="00532E03" w:rsidP="003B3233">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قياس أثر البنية التحتية التكنولوجية على كفاءة الخدمات الصحية في بنوك الدم بالمستشفيات في المملكة العربية السعودية</w:t>
      </w:r>
      <w:r w:rsidRPr="002B7D76">
        <w:rPr>
          <w:rFonts w:ascii="Simplified Arabic" w:eastAsia="Times New Roman" w:hAnsi="Simplified Arabic" w:cs="Simplified Arabic"/>
          <w:color w:val="000000" w:themeColor="text1"/>
          <w:kern w:val="0"/>
          <w:sz w:val="28"/>
          <w:szCs w:val="28"/>
          <w14:ligatures w14:val="none"/>
        </w:rPr>
        <w:t>.</w:t>
      </w:r>
    </w:p>
    <w:p w14:paraId="14C93F7E" w14:textId="77777777" w:rsidR="00532E03" w:rsidRPr="002B7D76" w:rsidRDefault="00532E03" w:rsidP="003B3233">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قياس أثر الأنظمة الذكية لإدارة البيانات على كفاءة الخدمات الصحية في بنوك الدم بالمستشفيات في المملكة العربية السعودية</w:t>
      </w:r>
      <w:r w:rsidRPr="002B7D76">
        <w:rPr>
          <w:rFonts w:ascii="Simplified Arabic" w:eastAsia="Times New Roman" w:hAnsi="Simplified Arabic" w:cs="Simplified Arabic"/>
          <w:color w:val="000000" w:themeColor="text1"/>
          <w:kern w:val="0"/>
          <w:sz w:val="28"/>
          <w:szCs w:val="28"/>
          <w14:ligatures w14:val="none"/>
        </w:rPr>
        <w:t>.</w:t>
      </w:r>
    </w:p>
    <w:p w14:paraId="07957BB3" w14:textId="77777777" w:rsidR="00532E03" w:rsidRPr="002B7D76" w:rsidRDefault="00532E03" w:rsidP="003B3233">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قياس أثر الكفاءات الرقمية للموارد البشرية على كفاءة الخدمات الصحية في بنوك الدم بالمستشفيات في المملكة العربية السعودية</w:t>
      </w:r>
      <w:r w:rsidRPr="002B7D76">
        <w:rPr>
          <w:rFonts w:ascii="Simplified Arabic" w:eastAsia="Times New Roman" w:hAnsi="Simplified Arabic" w:cs="Simplified Arabic"/>
          <w:color w:val="000000" w:themeColor="text1"/>
          <w:kern w:val="0"/>
          <w:sz w:val="28"/>
          <w:szCs w:val="28"/>
          <w14:ligatures w14:val="none"/>
        </w:rPr>
        <w:t>.</w:t>
      </w:r>
    </w:p>
    <w:p w14:paraId="0CB73AFA" w14:textId="77777777" w:rsidR="00532E03" w:rsidRPr="002B7D76" w:rsidRDefault="00532E03" w:rsidP="003B3233">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قياس أثر الأمن السيبراني وحماية البيانات الصحية على كفاءة الخدمات الصحية في بنوك الدم بالمستشفيات في المملكة العربية السعودية</w:t>
      </w:r>
      <w:r w:rsidRPr="002B7D76">
        <w:rPr>
          <w:rFonts w:ascii="Simplified Arabic" w:eastAsia="Times New Roman" w:hAnsi="Simplified Arabic" w:cs="Simplified Arabic"/>
          <w:color w:val="000000" w:themeColor="text1"/>
          <w:kern w:val="0"/>
          <w:sz w:val="28"/>
          <w:szCs w:val="28"/>
          <w14:ligatures w14:val="none"/>
        </w:rPr>
        <w:t>.</w:t>
      </w:r>
    </w:p>
    <w:p w14:paraId="24F10DC5" w14:textId="77777777" w:rsidR="00532E03" w:rsidRPr="002B7D76" w:rsidRDefault="00532E03" w:rsidP="003B3233">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التحول الرقمي في إدارة بنوك الدم بالمستشفيات السعودية بما يتوافق مع مستهدفات رؤية المملكة 2030 في القطاع الصحي</w:t>
      </w:r>
      <w:r w:rsidRPr="002B7D76">
        <w:rPr>
          <w:rFonts w:ascii="Simplified Arabic" w:eastAsia="Times New Roman" w:hAnsi="Simplified Arabic" w:cs="Simplified Arabic"/>
          <w:color w:val="000000" w:themeColor="text1"/>
          <w:kern w:val="0"/>
          <w:sz w:val="28"/>
          <w:szCs w:val="28"/>
          <w14:ligatures w14:val="none"/>
        </w:rPr>
        <w:t>.</w:t>
      </w:r>
    </w:p>
    <w:p w14:paraId="613F966C" w14:textId="77777777" w:rsidR="003B3233" w:rsidRPr="002B7D76" w:rsidRDefault="003B3233" w:rsidP="003B323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4165265"/>
      <w:r w:rsidRPr="002B7D76">
        <w:rPr>
          <w:rFonts w:ascii="Simplified Arabic" w:eastAsia="Times New Roman" w:hAnsi="Simplified Arabic" w:cs="Simplified Arabic"/>
          <w:b/>
          <w:bCs/>
          <w:color w:val="000000" w:themeColor="text1"/>
          <w:kern w:val="0"/>
          <w:sz w:val="36"/>
          <w:szCs w:val="36"/>
          <w:rtl/>
          <w14:ligatures w14:val="none"/>
        </w:rPr>
        <w:t>5.1 أسئلة الدراسة</w:t>
      </w:r>
      <w:bookmarkEnd w:id="9"/>
    </w:p>
    <w:p w14:paraId="2FF6938E" w14:textId="5F7A92E9" w:rsidR="003B3233" w:rsidRPr="002B7D76" w:rsidRDefault="003B3233" w:rsidP="003B32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B7D76">
        <w:rPr>
          <w:rFonts w:ascii="Simplified Arabic" w:eastAsia="Times New Roman" w:hAnsi="Simplified Arabic" w:cs="Simplified Arabic"/>
          <w:b/>
          <w:bCs/>
          <w:color w:val="000000" w:themeColor="text1"/>
          <w:kern w:val="0"/>
          <w:sz w:val="32"/>
          <w:szCs w:val="32"/>
          <w:rtl/>
          <w14:ligatures w14:val="none"/>
        </w:rPr>
        <w:lastRenderedPageBreak/>
        <w:t>السؤال الرئيسي</w:t>
      </w:r>
    </w:p>
    <w:p w14:paraId="452C26FA" w14:textId="77777777" w:rsidR="00532E03" w:rsidRPr="002B7D76" w:rsidRDefault="00532E03" w:rsidP="003B3233">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ما أثر التحول الرقمي بأبعاده (البنية التحتية التكنولوجية، والأنظمة الذكية لإدارة البيانات، والكفاءات الرقمية للموارد البشرية، والأمن السيبراني وحماية البيانات الصحية) على كفاءة الخدمات الصحية في بنوك الدم بالمستشفيات في المملكة العربية السعودية وفق مستهدفات رؤية 2030؟</w:t>
      </w:r>
    </w:p>
    <w:p w14:paraId="49E01E96" w14:textId="77777777" w:rsidR="00532E03" w:rsidRPr="002B7D76" w:rsidRDefault="00532E03" w:rsidP="003B32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4107077"/>
      <w:r w:rsidRPr="002B7D76">
        <w:rPr>
          <w:rFonts w:ascii="Simplified Arabic" w:eastAsia="Times New Roman" w:hAnsi="Simplified Arabic" w:cs="Simplified Arabic"/>
          <w:b/>
          <w:bCs/>
          <w:color w:val="000000" w:themeColor="text1"/>
          <w:kern w:val="0"/>
          <w:sz w:val="32"/>
          <w:szCs w:val="32"/>
          <w:rtl/>
          <w14:ligatures w14:val="none"/>
        </w:rPr>
        <w:t>الأسئلة الفرعية</w:t>
      </w:r>
      <w:bookmarkEnd w:id="10"/>
    </w:p>
    <w:p w14:paraId="36022B32" w14:textId="77777777" w:rsidR="00532E03" w:rsidRPr="002B7D76" w:rsidRDefault="00532E03" w:rsidP="003B3233">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ما واقع التحول الرقمي المطبق حالياً في إدارة بنوك الدم بالمستشفيات في المملكة العربية السعودية؟</w:t>
      </w:r>
    </w:p>
    <w:p w14:paraId="0C3FFAAE" w14:textId="77777777" w:rsidR="00532E03" w:rsidRPr="002B7D76" w:rsidRDefault="00532E03" w:rsidP="003B3233">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ما مستوى كفاءة الخدمات الصحية المقدمة في بنوك الدم بالمستشفيات في المملكة العربية السعودية من وجهة نظر العاملين فيها؟</w:t>
      </w:r>
    </w:p>
    <w:p w14:paraId="0D808CB4" w14:textId="77777777" w:rsidR="00532E03" w:rsidRPr="002B7D76" w:rsidRDefault="00532E03" w:rsidP="003B3233">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ما أثر البنية التحتية التكنولوجية على كفاءة الخدمات الصحية في بنوك الدم بالمستشفيات في المملكة العربية السعودية؟</w:t>
      </w:r>
    </w:p>
    <w:p w14:paraId="17A27E4E" w14:textId="77777777" w:rsidR="00532E03" w:rsidRPr="002B7D76" w:rsidRDefault="00532E03" w:rsidP="003B3233">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ما أثر الأنظمة الذكية لإدارة البيانات على كفاءة الخدمات الصحية في بنوك الدم بالمستشفيات في المملكة العربية السعودية؟</w:t>
      </w:r>
    </w:p>
    <w:p w14:paraId="4FD4308E" w14:textId="77777777" w:rsidR="00532E03" w:rsidRPr="002B7D76" w:rsidRDefault="00532E03" w:rsidP="003B3233">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ما أثر الكفاءات الرقمية للموارد البشرية على كفاءة الخدمات الصحية في بنوك الدم بالمستشفيات في المملكة العربية السعودية؟</w:t>
      </w:r>
    </w:p>
    <w:p w14:paraId="1A579699" w14:textId="77777777" w:rsidR="00532E03" w:rsidRPr="002B7D76" w:rsidRDefault="00532E03" w:rsidP="003B3233">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ما أثر الأمن السيبراني وحماية البيانات الصحية على كفاءة الخدمات الصحية في بنوك الدم بالمستشفيات في المملكة العربية السعودية؟</w:t>
      </w:r>
    </w:p>
    <w:p w14:paraId="2D392B59" w14:textId="77777777" w:rsidR="00532E03" w:rsidRPr="002B7D76" w:rsidRDefault="00532E03" w:rsidP="003B3233">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أفراد عينة الدراسة حول مستوى التحول الرقمي وكفاءة الخدمات الصحية في بنوك الدم تُعزى للمتغيرات الديموغرافية (الجنس، المؤهل العلمي، سنوات الخبرة، المسمى الوظيفي)؟</w:t>
      </w:r>
    </w:p>
    <w:p w14:paraId="0540BEEA" w14:textId="77777777" w:rsidR="00532E03" w:rsidRPr="002B7D76" w:rsidRDefault="00532E03" w:rsidP="003B3233">
      <w:pPr>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ما أكثر أبعاد التحول الرقمي تأثيراً على كفاءة الخدمات الصحية في بنوك الدم بالمستشفيات في المملكة العربية السعودية؟</w:t>
      </w:r>
    </w:p>
    <w:p w14:paraId="7AFCFED7" w14:textId="77777777" w:rsidR="003B3233" w:rsidRPr="002B7D76" w:rsidRDefault="003B3233" w:rsidP="003B323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4165266"/>
      <w:r w:rsidRPr="002B7D76">
        <w:rPr>
          <w:rFonts w:ascii="Simplified Arabic" w:eastAsia="Times New Roman" w:hAnsi="Simplified Arabic" w:cs="Simplified Arabic"/>
          <w:b/>
          <w:bCs/>
          <w:color w:val="000000" w:themeColor="text1"/>
          <w:kern w:val="0"/>
          <w:sz w:val="36"/>
          <w:szCs w:val="36"/>
          <w:rtl/>
          <w14:ligatures w14:val="none"/>
        </w:rPr>
        <w:t>6.1 فروض الدراسة</w:t>
      </w:r>
      <w:bookmarkEnd w:id="11"/>
    </w:p>
    <w:p w14:paraId="16A25D11" w14:textId="56C969ED" w:rsidR="003B3233" w:rsidRPr="002B7D76" w:rsidRDefault="003B3233" w:rsidP="003B32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B7D76">
        <w:rPr>
          <w:rFonts w:ascii="Simplified Arabic" w:eastAsia="Times New Roman" w:hAnsi="Simplified Arabic" w:cs="Simplified Arabic"/>
          <w:b/>
          <w:bCs/>
          <w:color w:val="000000" w:themeColor="text1"/>
          <w:kern w:val="0"/>
          <w:sz w:val="32"/>
          <w:szCs w:val="32"/>
          <w:rtl/>
          <w14:ligatures w14:val="none"/>
        </w:rPr>
        <w:t>الفرض الرئيسي</w:t>
      </w:r>
    </w:p>
    <w:p w14:paraId="7AC1968B" w14:textId="77777777" w:rsidR="00532E03" w:rsidRPr="002B7D76" w:rsidRDefault="00532E03" w:rsidP="003B3233">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14:ligatures w14:val="none"/>
        </w:rPr>
        <w:lastRenderedPageBreak/>
        <w:t xml:space="preserve">H1: </w:t>
      </w:r>
      <w:r w:rsidRPr="002B7D7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Cambria" w:eastAsia="Times New Roman" w:hAnsi="Cambria" w:cs="Cambria"/>
          <w:color w:val="000000" w:themeColor="text1"/>
          <w:kern w:val="0"/>
          <w:sz w:val="28"/>
          <w:szCs w:val="28"/>
          <w14:ligatures w14:val="none"/>
        </w:rPr>
        <w:t>α</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Times New Roman" w:eastAsia="Times New Roman" w:hAnsi="Times New Roman" w:cs="Times New Roman"/>
          <w:color w:val="000000" w:themeColor="text1"/>
          <w:kern w:val="0"/>
          <w:sz w:val="28"/>
          <w:szCs w:val="28"/>
          <w14:ligatures w14:val="none"/>
        </w:rPr>
        <w:t>≤</w:t>
      </w:r>
      <w:r w:rsidRPr="002B7D76">
        <w:rPr>
          <w:rFonts w:ascii="Simplified Arabic" w:eastAsia="Times New Roman" w:hAnsi="Simplified Arabic" w:cs="Simplified Arabic"/>
          <w:color w:val="000000" w:themeColor="text1"/>
          <w:kern w:val="0"/>
          <w:sz w:val="28"/>
          <w:szCs w:val="28"/>
          <w14:ligatures w14:val="none"/>
        </w:rPr>
        <w:t xml:space="preserve"> 0.05) </w:t>
      </w:r>
      <w:r w:rsidRPr="002B7D76">
        <w:rPr>
          <w:rFonts w:ascii="Simplified Arabic" w:eastAsia="Times New Roman" w:hAnsi="Simplified Arabic" w:cs="Simplified Arabic"/>
          <w:color w:val="000000" w:themeColor="text1"/>
          <w:kern w:val="0"/>
          <w:sz w:val="28"/>
          <w:szCs w:val="28"/>
          <w:rtl/>
          <w14:ligatures w14:val="none"/>
        </w:rPr>
        <w:t>للتحول الرقمي بأبعاده (البنية التحتية التكنولوجية، والأنظمة الذكية لإدارة البيانات، والكفاءات الرقمية للموارد البشرية، والأمن السيبراني وحماية البيانات الصحية) على كفاءة الخدمات الصحية في بنوك الدم بالمستشفيات في المملكة العربية السعودية</w:t>
      </w:r>
      <w:r w:rsidRPr="002B7D76">
        <w:rPr>
          <w:rFonts w:ascii="Simplified Arabic" w:eastAsia="Times New Roman" w:hAnsi="Simplified Arabic" w:cs="Simplified Arabic"/>
          <w:color w:val="000000" w:themeColor="text1"/>
          <w:kern w:val="0"/>
          <w:sz w:val="28"/>
          <w:szCs w:val="28"/>
          <w14:ligatures w14:val="none"/>
        </w:rPr>
        <w:t>.</w:t>
      </w:r>
    </w:p>
    <w:p w14:paraId="6FB95A0A" w14:textId="77777777" w:rsidR="00532E03" w:rsidRPr="002B7D76" w:rsidRDefault="00532E03" w:rsidP="003B32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4107080"/>
      <w:r w:rsidRPr="002B7D76">
        <w:rPr>
          <w:rFonts w:ascii="Simplified Arabic" w:eastAsia="Times New Roman" w:hAnsi="Simplified Arabic" w:cs="Simplified Arabic"/>
          <w:b/>
          <w:bCs/>
          <w:color w:val="000000" w:themeColor="text1"/>
          <w:kern w:val="0"/>
          <w:sz w:val="32"/>
          <w:szCs w:val="32"/>
          <w:rtl/>
          <w14:ligatures w14:val="none"/>
        </w:rPr>
        <w:t>الفروض الفرعية</w:t>
      </w:r>
      <w:bookmarkEnd w:id="12"/>
    </w:p>
    <w:p w14:paraId="34C0221A" w14:textId="77777777" w:rsidR="00532E03" w:rsidRPr="002B7D76" w:rsidRDefault="00532E03" w:rsidP="003B3233">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14:ligatures w14:val="none"/>
        </w:rPr>
        <w:t xml:space="preserve">H1-1: </w:t>
      </w:r>
      <w:r w:rsidRPr="002B7D7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Cambria" w:eastAsia="Times New Roman" w:hAnsi="Cambria" w:cs="Cambria"/>
          <w:color w:val="000000" w:themeColor="text1"/>
          <w:kern w:val="0"/>
          <w:sz w:val="28"/>
          <w:szCs w:val="28"/>
          <w14:ligatures w14:val="none"/>
        </w:rPr>
        <w:t>α</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Times New Roman" w:eastAsia="Times New Roman" w:hAnsi="Times New Roman" w:cs="Times New Roman"/>
          <w:color w:val="000000" w:themeColor="text1"/>
          <w:kern w:val="0"/>
          <w:sz w:val="28"/>
          <w:szCs w:val="28"/>
          <w14:ligatures w14:val="none"/>
        </w:rPr>
        <w:t>≤</w:t>
      </w:r>
      <w:r w:rsidRPr="002B7D76">
        <w:rPr>
          <w:rFonts w:ascii="Simplified Arabic" w:eastAsia="Times New Roman" w:hAnsi="Simplified Arabic" w:cs="Simplified Arabic"/>
          <w:color w:val="000000" w:themeColor="text1"/>
          <w:kern w:val="0"/>
          <w:sz w:val="28"/>
          <w:szCs w:val="28"/>
          <w14:ligatures w14:val="none"/>
        </w:rPr>
        <w:t xml:space="preserve"> 0.05) </w:t>
      </w:r>
      <w:r w:rsidRPr="002B7D76">
        <w:rPr>
          <w:rFonts w:ascii="Simplified Arabic" w:eastAsia="Times New Roman" w:hAnsi="Simplified Arabic" w:cs="Simplified Arabic"/>
          <w:color w:val="000000" w:themeColor="text1"/>
          <w:kern w:val="0"/>
          <w:sz w:val="28"/>
          <w:szCs w:val="28"/>
          <w:rtl/>
          <w14:ligatures w14:val="none"/>
        </w:rPr>
        <w:t>للبنية التحتية التكنولوجية على كفاءة الخدمات الصحية في بنوك الدم بالمستشفيات في المملكة العربية السعودية</w:t>
      </w:r>
      <w:r w:rsidRPr="002B7D76">
        <w:rPr>
          <w:rFonts w:ascii="Simplified Arabic" w:eastAsia="Times New Roman" w:hAnsi="Simplified Arabic" w:cs="Simplified Arabic"/>
          <w:color w:val="000000" w:themeColor="text1"/>
          <w:kern w:val="0"/>
          <w:sz w:val="28"/>
          <w:szCs w:val="28"/>
          <w14:ligatures w14:val="none"/>
        </w:rPr>
        <w:t>.</w:t>
      </w:r>
    </w:p>
    <w:p w14:paraId="49E90BA6" w14:textId="77777777" w:rsidR="00532E03" w:rsidRPr="002B7D76" w:rsidRDefault="00532E03" w:rsidP="003B3233">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14:ligatures w14:val="none"/>
        </w:rPr>
        <w:t xml:space="preserve">H1-2: </w:t>
      </w:r>
      <w:r w:rsidRPr="002B7D7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Cambria" w:eastAsia="Times New Roman" w:hAnsi="Cambria" w:cs="Cambria"/>
          <w:color w:val="000000" w:themeColor="text1"/>
          <w:kern w:val="0"/>
          <w:sz w:val="28"/>
          <w:szCs w:val="28"/>
          <w14:ligatures w14:val="none"/>
        </w:rPr>
        <w:t>α</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Times New Roman" w:eastAsia="Times New Roman" w:hAnsi="Times New Roman" w:cs="Times New Roman"/>
          <w:color w:val="000000" w:themeColor="text1"/>
          <w:kern w:val="0"/>
          <w:sz w:val="28"/>
          <w:szCs w:val="28"/>
          <w14:ligatures w14:val="none"/>
        </w:rPr>
        <w:t>≤</w:t>
      </w:r>
      <w:r w:rsidRPr="002B7D76">
        <w:rPr>
          <w:rFonts w:ascii="Simplified Arabic" w:eastAsia="Times New Roman" w:hAnsi="Simplified Arabic" w:cs="Simplified Arabic"/>
          <w:color w:val="000000" w:themeColor="text1"/>
          <w:kern w:val="0"/>
          <w:sz w:val="28"/>
          <w:szCs w:val="28"/>
          <w14:ligatures w14:val="none"/>
        </w:rPr>
        <w:t xml:space="preserve"> 0.05) </w:t>
      </w:r>
      <w:r w:rsidRPr="002B7D76">
        <w:rPr>
          <w:rFonts w:ascii="Simplified Arabic" w:eastAsia="Times New Roman" w:hAnsi="Simplified Arabic" w:cs="Simplified Arabic"/>
          <w:color w:val="000000" w:themeColor="text1"/>
          <w:kern w:val="0"/>
          <w:sz w:val="28"/>
          <w:szCs w:val="28"/>
          <w:rtl/>
          <w14:ligatures w14:val="none"/>
        </w:rPr>
        <w:t>للأنظمة الذكية لإدارة البيانات على كفاءة الخدمات الصحية في بنوك الدم بالمستشفيات في المملكة العربية السعودية</w:t>
      </w:r>
      <w:r w:rsidRPr="002B7D76">
        <w:rPr>
          <w:rFonts w:ascii="Simplified Arabic" w:eastAsia="Times New Roman" w:hAnsi="Simplified Arabic" w:cs="Simplified Arabic"/>
          <w:color w:val="000000" w:themeColor="text1"/>
          <w:kern w:val="0"/>
          <w:sz w:val="28"/>
          <w:szCs w:val="28"/>
          <w14:ligatures w14:val="none"/>
        </w:rPr>
        <w:t>.</w:t>
      </w:r>
    </w:p>
    <w:p w14:paraId="0C70AEBB" w14:textId="77777777" w:rsidR="00532E03" w:rsidRPr="002B7D76" w:rsidRDefault="00532E03" w:rsidP="003B3233">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14:ligatures w14:val="none"/>
        </w:rPr>
        <w:t xml:space="preserve">H1-3: </w:t>
      </w:r>
      <w:r w:rsidRPr="002B7D7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Cambria" w:eastAsia="Times New Roman" w:hAnsi="Cambria" w:cs="Cambria"/>
          <w:color w:val="000000" w:themeColor="text1"/>
          <w:kern w:val="0"/>
          <w:sz w:val="28"/>
          <w:szCs w:val="28"/>
          <w14:ligatures w14:val="none"/>
        </w:rPr>
        <w:t>α</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Times New Roman" w:eastAsia="Times New Roman" w:hAnsi="Times New Roman" w:cs="Times New Roman"/>
          <w:color w:val="000000" w:themeColor="text1"/>
          <w:kern w:val="0"/>
          <w:sz w:val="28"/>
          <w:szCs w:val="28"/>
          <w14:ligatures w14:val="none"/>
        </w:rPr>
        <w:t>≤</w:t>
      </w:r>
      <w:r w:rsidRPr="002B7D76">
        <w:rPr>
          <w:rFonts w:ascii="Simplified Arabic" w:eastAsia="Times New Roman" w:hAnsi="Simplified Arabic" w:cs="Simplified Arabic"/>
          <w:color w:val="000000" w:themeColor="text1"/>
          <w:kern w:val="0"/>
          <w:sz w:val="28"/>
          <w:szCs w:val="28"/>
          <w14:ligatures w14:val="none"/>
        </w:rPr>
        <w:t xml:space="preserve"> 0.05) </w:t>
      </w:r>
      <w:r w:rsidRPr="002B7D76">
        <w:rPr>
          <w:rFonts w:ascii="Simplified Arabic" w:eastAsia="Times New Roman" w:hAnsi="Simplified Arabic" w:cs="Simplified Arabic"/>
          <w:color w:val="000000" w:themeColor="text1"/>
          <w:kern w:val="0"/>
          <w:sz w:val="28"/>
          <w:szCs w:val="28"/>
          <w:rtl/>
          <w14:ligatures w14:val="none"/>
        </w:rPr>
        <w:t>للكفاءات الرقمية للموارد البشرية على كفاءة الخدمات الصحية في بنوك الدم بالمستشفيات في المملكة العربية السعودية</w:t>
      </w:r>
      <w:r w:rsidRPr="002B7D76">
        <w:rPr>
          <w:rFonts w:ascii="Simplified Arabic" w:eastAsia="Times New Roman" w:hAnsi="Simplified Arabic" w:cs="Simplified Arabic"/>
          <w:color w:val="000000" w:themeColor="text1"/>
          <w:kern w:val="0"/>
          <w:sz w:val="28"/>
          <w:szCs w:val="28"/>
          <w14:ligatures w14:val="none"/>
        </w:rPr>
        <w:t>.</w:t>
      </w:r>
    </w:p>
    <w:p w14:paraId="59EC0417" w14:textId="77777777" w:rsidR="00532E03" w:rsidRPr="002B7D76" w:rsidRDefault="00532E03" w:rsidP="003B3233">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14:ligatures w14:val="none"/>
        </w:rPr>
        <w:t xml:space="preserve">H1-4: </w:t>
      </w:r>
      <w:r w:rsidRPr="002B7D7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Cambria" w:eastAsia="Times New Roman" w:hAnsi="Cambria" w:cs="Cambria"/>
          <w:color w:val="000000" w:themeColor="text1"/>
          <w:kern w:val="0"/>
          <w:sz w:val="28"/>
          <w:szCs w:val="28"/>
          <w14:ligatures w14:val="none"/>
        </w:rPr>
        <w:t>α</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Times New Roman" w:eastAsia="Times New Roman" w:hAnsi="Times New Roman" w:cs="Times New Roman"/>
          <w:color w:val="000000" w:themeColor="text1"/>
          <w:kern w:val="0"/>
          <w:sz w:val="28"/>
          <w:szCs w:val="28"/>
          <w14:ligatures w14:val="none"/>
        </w:rPr>
        <w:t>≤</w:t>
      </w:r>
      <w:r w:rsidRPr="002B7D76">
        <w:rPr>
          <w:rFonts w:ascii="Simplified Arabic" w:eastAsia="Times New Roman" w:hAnsi="Simplified Arabic" w:cs="Simplified Arabic"/>
          <w:color w:val="000000" w:themeColor="text1"/>
          <w:kern w:val="0"/>
          <w:sz w:val="28"/>
          <w:szCs w:val="28"/>
          <w14:ligatures w14:val="none"/>
        </w:rPr>
        <w:t xml:space="preserve"> 0.05) </w:t>
      </w:r>
      <w:r w:rsidRPr="002B7D76">
        <w:rPr>
          <w:rFonts w:ascii="Simplified Arabic" w:eastAsia="Times New Roman" w:hAnsi="Simplified Arabic" w:cs="Simplified Arabic"/>
          <w:color w:val="000000" w:themeColor="text1"/>
          <w:kern w:val="0"/>
          <w:sz w:val="28"/>
          <w:szCs w:val="28"/>
          <w:rtl/>
          <w14:ligatures w14:val="none"/>
        </w:rPr>
        <w:t>للأمن السيبراني وحماية البيانات الصحية على كفاءة الخدمات الصحية في بنوك الدم بالمستشفيات في المملكة العربية السعودية</w:t>
      </w:r>
      <w:r w:rsidRPr="002B7D76">
        <w:rPr>
          <w:rFonts w:ascii="Simplified Arabic" w:eastAsia="Times New Roman" w:hAnsi="Simplified Arabic" w:cs="Simplified Arabic"/>
          <w:color w:val="000000" w:themeColor="text1"/>
          <w:kern w:val="0"/>
          <w:sz w:val="28"/>
          <w:szCs w:val="28"/>
          <w14:ligatures w14:val="none"/>
        </w:rPr>
        <w:t>.</w:t>
      </w:r>
    </w:p>
    <w:p w14:paraId="49BE84E9" w14:textId="77777777" w:rsidR="003B3233" w:rsidRPr="002B7D76" w:rsidRDefault="003B3233" w:rsidP="003B323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69790501"/>
      <w:bookmarkStart w:id="14" w:name="_Toc234165267"/>
      <w:bookmarkEnd w:id="4"/>
      <w:r w:rsidRPr="002B7D76">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413A4E5A" w14:textId="2CFDBC3B" w:rsidR="003B3233" w:rsidRPr="002B7D76" w:rsidRDefault="003B3233" w:rsidP="003B32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B7D76">
        <w:rPr>
          <w:rFonts w:ascii="Simplified Arabic" w:eastAsia="Times New Roman" w:hAnsi="Simplified Arabic" w:cs="Simplified Arabic"/>
          <w:b/>
          <w:bCs/>
          <w:color w:val="000000" w:themeColor="text1"/>
          <w:kern w:val="0"/>
          <w:sz w:val="32"/>
          <w:szCs w:val="32"/>
          <w:rtl/>
          <w14:ligatures w14:val="none"/>
        </w:rPr>
        <w:t>المحور الأول: دراسات المتغير المستقل (التحول الرقمي) وعلاقته بمتغيرات أخرى</w:t>
      </w:r>
    </w:p>
    <w:p w14:paraId="3F3F2697"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حظي التحول الرقمي باهتمام بحثي واسع في السنوات الأخيرة باعتباره أحد أبرز التوجهات المعاصرة التي تُعيد تشكيل بيئة العمل في مختلف القطاعات، إذ أصبحت المؤسسات مطالبة بتبني التقنيات الحديثة لتحقيق الكفاءة والفاعلية في عملياتها. وقد تعددت الدراسات العربية والأجنبية التي تناولت أثر التحول الرقمي على متغيرات تنظيمية وإدارية متنوعة، ويمكن استعراض أبرزها على النحو التالي</w:t>
      </w:r>
      <w:r w:rsidRPr="002B7D76">
        <w:rPr>
          <w:rFonts w:ascii="Simplified Arabic" w:eastAsia="Times New Roman" w:hAnsi="Simplified Arabic" w:cs="Simplified Arabic"/>
          <w:color w:val="000000" w:themeColor="text1"/>
          <w:kern w:val="0"/>
          <w:sz w:val="28"/>
          <w:szCs w:val="28"/>
          <w14:ligatures w14:val="none"/>
        </w:rPr>
        <w:t>:</w:t>
      </w:r>
    </w:p>
    <w:p w14:paraId="74B84BD7"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 (السواط والحربي، 2022) بعنوان</w:t>
      </w:r>
      <w:r w:rsidRPr="002B7D76">
        <w:rPr>
          <w:rFonts w:ascii="Simplified Arabic" w:eastAsia="Times New Roman" w:hAnsi="Simplified Arabic" w:cs="Simplified Arabic"/>
          <w:b/>
          <w:bCs/>
          <w:color w:val="000000" w:themeColor="text1"/>
          <w:kern w:val="0"/>
          <w:sz w:val="28"/>
          <w:szCs w:val="28"/>
          <w14:ligatures w14:val="none"/>
        </w:rPr>
        <w:t>: "</w:t>
      </w:r>
      <w:r w:rsidRPr="002B7D76">
        <w:rPr>
          <w:rFonts w:ascii="Simplified Arabic" w:eastAsia="Times New Roman" w:hAnsi="Simplified Arabic" w:cs="Simplified Arabic"/>
          <w:b/>
          <w:bCs/>
          <w:color w:val="000000" w:themeColor="text1"/>
          <w:kern w:val="0"/>
          <w:sz w:val="28"/>
          <w:szCs w:val="28"/>
          <w:rtl/>
          <w14:ligatures w14:val="none"/>
        </w:rPr>
        <w:t>أثر التحول الرقمي على كفاءة الأداء الأكاديمي: حالة دراسية لهيئة أعضاء التدريس بجامعة الملك عبدالعزيز</w:t>
      </w:r>
      <w:r w:rsidRPr="002B7D76">
        <w:rPr>
          <w:rFonts w:ascii="Simplified Arabic" w:eastAsia="Times New Roman" w:hAnsi="Simplified Arabic" w:cs="Simplified Arabic"/>
          <w:b/>
          <w:bCs/>
          <w:color w:val="000000" w:themeColor="text1"/>
          <w:kern w:val="0"/>
          <w:sz w:val="28"/>
          <w:szCs w:val="28"/>
          <w14:ligatures w14:val="none"/>
        </w:rPr>
        <w:t>"</w:t>
      </w:r>
    </w:p>
    <w:p w14:paraId="5D4277E8"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التحول الرقمي بأبعاده (متطلبات التحول الرقمي، المعوقات التي تحد من فاعلية التحول الرقمي، المعايير الواجب توافرها لتحقيق كفاءة الأداء) على كفاءة الأداء الأكاديمي لأعضاء هيئة التدريس في جامعة الملك عبدالعزيز بالمملكة العربية السعودية. واستخدمت الدراسة المنهج الوصفي التحليلي، وتكونت العينة من (599) عضواً من أعضاء هيئة التدريس بالجامعة تم اختيارهم بطريقة عشوائية، واعتمدت الاستبانة أداةً لجمع البيانات. وتوصلت نتائج الدراسة إلى وجود أثر ذي دلالة إحصائية للتحول الرقمي في الأداء الأكاديمي لأعضاء هيئة التدريس، وأن التحول الرقمي يُشجع على التعامل مع البرمجيات وأساليب الدعم الفني، كما أن هناك معوقات تحد من فاعلية التحول الرقمي تحتاج إلى معالجة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وأوصت الدراسة بضرورة توفير متطلبات التحول الرقمي لتحقيق كفاءة الأداء الأكاديمي، والالتزام بالمعايير اللازمة لأعضاء هيئة التدريس في ظل التحول الرقمي، وتشجيع التعامل مع البرمجيات وأساليب الدعم الفني</w:t>
      </w:r>
      <w:r w:rsidRPr="002B7D76">
        <w:rPr>
          <w:rFonts w:ascii="Simplified Arabic" w:eastAsia="Times New Roman" w:hAnsi="Simplified Arabic" w:cs="Simplified Arabic"/>
          <w:color w:val="000000" w:themeColor="text1"/>
          <w:kern w:val="0"/>
          <w:sz w:val="28"/>
          <w:szCs w:val="28"/>
          <w14:ligatures w14:val="none"/>
        </w:rPr>
        <w:t>.</w:t>
      </w:r>
    </w:p>
    <w:p w14:paraId="59FEE269"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 (زيد، 2023) بعنوان: "أثر التحول الرقمي على المرونة الاستراتيجية: دراسة تطبيقية على العاملين بشركة الخدمات التجارية البترولية - بتروتريد</w:t>
      </w:r>
      <w:r w:rsidRPr="002B7D76">
        <w:rPr>
          <w:rFonts w:ascii="Simplified Arabic" w:eastAsia="Times New Roman" w:hAnsi="Simplified Arabic" w:cs="Simplified Arabic"/>
          <w:b/>
          <w:bCs/>
          <w:color w:val="000000" w:themeColor="text1"/>
          <w:kern w:val="0"/>
          <w:sz w:val="28"/>
          <w:szCs w:val="28"/>
          <w14:ligatures w14:val="none"/>
        </w:rPr>
        <w:t>"</w:t>
      </w:r>
    </w:p>
    <w:p w14:paraId="2240BBE6"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(البنية التحتية التكنولوجية، التشريعات والسياسات، المهارات الرقمية، توافر التمويل اللازم) على المرونة الاستراتيجية لدى العاملين في شركة الخدمات التجارية البترولية "بتروتريد" بجمهورية مصر العربية. واستخدمت الدراسة المنهج الوصفي التحليلي، وتكونت العينة من</w:t>
      </w:r>
      <w:r w:rsidRPr="002B7D76">
        <w:rPr>
          <w:rFonts w:ascii="Simplified Arabic" w:eastAsia="Times New Roman" w:hAnsi="Simplified Arabic" w:cs="Simplified Arabic"/>
          <w:color w:val="000000" w:themeColor="text1"/>
          <w:kern w:val="0"/>
          <w:sz w:val="28"/>
          <w:szCs w:val="28"/>
          <w14:ligatures w14:val="none"/>
        </w:rPr>
        <w:t xml:space="preserve"> (384) </w:t>
      </w:r>
      <w:r w:rsidRPr="002B7D76">
        <w:rPr>
          <w:rFonts w:ascii="Simplified Arabic" w:eastAsia="Times New Roman" w:hAnsi="Simplified Arabic" w:cs="Simplified Arabic"/>
          <w:color w:val="000000" w:themeColor="text1"/>
          <w:kern w:val="0"/>
          <w:sz w:val="28"/>
          <w:szCs w:val="28"/>
          <w:rtl/>
          <w14:ligatures w14:val="none"/>
        </w:rPr>
        <w:t>مفردة من العاملين بالشركة، واعتمدت استمارة الاستقصاء أداةً لجمع البيانات مع استخدام برنامج التحليل الإحصائي</w:t>
      </w:r>
      <w:r w:rsidRPr="002B7D76">
        <w:rPr>
          <w:rFonts w:ascii="Simplified Arabic" w:eastAsia="Times New Roman" w:hAnsi="Simplified Arabic" w:cs="Simplified Arabic"/>
          <w:color w:val="000000" w:themeColor="text1"/>
          <w:kern w:val="0"/>
          <w:sz w:val="28"/>
          <w:szCs w:val="28"/>
          <w14:ligatures w14:val="none"/>
        </w:rPr>
        <w:t xml:space="preserve"> SPSS. </w:t>
      </w:r>
      <w:r w:rsidRPr="002B7D76">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ذات دلالة إحصائية بين التحول الرقمي والمرونة الاستراتيجية، حيث تم قبول الفرض الرئيسي جزئياً، إذ ثبت وجود تأثير ذي دلالة إحصائية عند مستوى</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Cambria" w:eastAsia="Times New Roman" w:hAnsi="Cambria" w:cs="Cambria"/>
          <w:color w:val="000000" w:themeColor="text1"/>
          <w:kern w:val="0"/>
          <w:sz w:val="28"/>
          <w:szCs w:val="28"/>
          <w14:ligatures w14:val="none"/>
        </w:rPr>
        <w:t>α≤</w:t>
      </w:r>
      <w:r w:rsidRPr="002B7D76">
        <w:rPr>
          <w:rFonts w:ascii="Simplified Arabic" w:eastAsia="Times New Roman" w:hAnsi="Simplified Arabic" w:cs="Simplified Arabic"/>
          <w:color w:val="000000" w:themeColor="text1"/>
          <w:kern w:val="0"/>
          <w:sz w:val="28"/>
          <w:szCs w:val="28"/>
          <w14:ligatures w14:val="none"/>
        </w:rPr>
        <w:t xml:space="preserve"> 0.05) </w:t>
      </w:r>
      <w:r w:rsidRPr="002B7D76">
        <w:rPr>
          <w:rFonts w:ascii="Simplified Arabic" w:eastAsia="Times New Roman" w:hAnsi="Simplified Arabic" w:cs="Simplified Arabic"/>
          <w:color w:val="000000" w:themeColor="text1"/>
          <w:kern w:val="0"/>
          <w:sz w:val="28"/>
          <w:szCs w:val="28"/>
          <w:rtl/>
          <w14:ligatures w14:val="none"/>
        </w:rPr>
        <w:t>لأبعاد البنية التحتية التكنولوجية والتشريعات والسياسات والمهارات الرقمية على المرونة الاستراتيجية، في حين لم يثبت وجود تأثير لبُعد توافر التمويل اللازم. وأوصت الدراسة بضرورة استكمال دراسة أثر التحول الرقمي على أبعاد أخرى للمرونة الاستراتيجية</w:t>
      </w:r>
      <w:r w:rsidRPr="002B7D76">
        <w:rPr>
          <w:rFonts w:ascii="Simplified Arabic" w:eastAsia="Times New Roman" w:hAnsi="Simplified Arabic" w:cs="Simplified Arabic"/>
          <w:color w:val="000000" w:themeColor="text1"/>
          <w:kern w:val="0"/>
          <w:sz w:val="28"/>
          <w:szCs w:val="28"/>
          <w14:ligatures w14:val="none"/>
        </w:rPr>
        <w:t>.</w:t>
      </w:r>
    </w:p>
    <w:p w14:paraId="287533A8"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 (حسين وعبدالهادي وجمال، 2023) بعنوان: "أثر التحول الرقمي على الأداء التنظيمي: دراسة تطبيقية على الشركة المصرية للاتصالات</w:t>
      </w:r>
      <w:r w:rsidRPr="002B7D76">
        <w:rPr>
          <w:rFonts w:ascii="Simplified Arabic" w:eastAsia="Times New Roman" w:hAnsi="Simplified Arabic" w:cs="Simplified Arabic"/>
          <w:b/>
          <w:bCs/>
          <w:color w:val="000000" w:themeColor="text1"/>
          <w:kern w:val="0"/>
          <w:sz w:val="28"/>
          <w:szCs w:val="28"/>
          <w14:ligatures w14:val="none"/>
        </w:rPr>
        <w:t>"</w:t>
      </w:r>
    </w:p>
    <w:p w14:paraId="334B8A5A"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التحول الرقمي بأبعاده على الأداء التنظيمي في الشركة المصرية للاتصالات بجمهورية مصر العربية. واستخدمت الدراسة المنهج الوصفي التحليلي، وهي رسالة ماجستير </w:t>
      </w:r>
      <w:r w:rsidRPr="002B7D76">
        <w:rPr>
          <w:rFonts w:ascii="Simplified Arabic" w:eastAsia="Times New Roman" w:hAnsi="Simplified Arabic" w:cs="Simplified Arabic"/>
          <w:color w:val="000000" w:themeColor="text1"/>
          <w:kern w:val="0"/>
          <w:sz w:val="28"/>
          <w:szCs w:val="28"/>
          <w:rtl/>
          <w14:ligatures w14:val="none"/>
        </w:rPr>
        <w:lastRenderedPageBreak/>
        <w:t>غير منشورة من جامعة بنها - كلية التجارة. وتوصلت نتائج الدراسة إلى وجود أثر إيجابي ذي دلالة إحصائية للتحول الرقمي على الأداء التنظيمي، وأن تبني تقنيات التحول الرقمي يُسهم في تحسين العمليات الإدارية والتنظيمية ورفع مستوى الأداء المؤسسي. وأوصت الدراسة بضرورة تعزيز البنية التحتية التكنولوجية وتطوير مهارات العاملين الرقمية لتحقيق أقصى استفادة من التحول الرقمي في تحسين الأداء التنظيمي</w:t>
      </w:r>
      <w:r w:rsidRPr="002B7D76">
        <w:rPr>
          <w:rFonts w:ascii="Simplified Arabic" w:eastAsia="Times New Roman" w:hAnsi="Simplified Arabic" w:cs="Simplified Arabic"/>
          <w:color w:val="000000" w:themeColor="text1"/>
          <w:kern w:val="0"/>
          <w:sz w:val="28"/>
          <w:szCs w:val="28"/>
          <w14:ligatures w14:val="none"/>
        </w:rPr>
        <w:t>.</w:t>
      </w:r>
    </w:p>
    <w:p w14:paraId="74075BC2"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w:t>
      </w:r>
      <w:r w:rsidRPr="002B7D76">
        <w:rPr>
          <w:rFonts w:ascii="Simplified Arabic" w:eastAsia="Times New Roman" w:hAnsi="Simplified Arabic" w:cs="Simplified Arabic"/>
          <w:b/>
          <w:bCs/>
          <w:color w:val="000000" w:themeColor="text1"/>
          <w:kern w:val="0"/>
          <w:sz w:val="28"/>
          <w:szCs w:val="28"/>
          <w14:ligatures w14:val="none"/>
        </w:rPr>
        <w:t xml:space="preserve"> (Kraus, Schiavone, Pluzhnikova, &amp; Invernizzi, 2021) </w:t>
      </w:r>
      <w:r w:rsidRPr="002B7D76">
        <w:rPr>
          <w:rFonts w:ascii="Simplified Arabic" w:eastAsia="Times New Roman" w:hAnsi="Simplified Arabic" w:cs="Simplified Arabic"/>
          <w:b/>
          <w:bCs/>
          <w:color w:val="000000" w:themeColor="text1"/>
          <w:kern w:val="0"/>
          <w:sz w:val="28"/>
          <w:szCs w:val="28"/>
          <w:rtl/>
          <w14:ligatures w14:val="none"/>
        </w:rPr>
        <w:t>بعنوان</w:t>
      </w:r>
      <w:r w:rsidRPr="002B7D76">
        <w:rPr>
          <w:rFonts w:ascii="Simplified Arabic" w:eastAsia="Times New Roman" w:hAnsi="Simplified Arabic" w:cs="Simplified Arabic"/>
          <w:b/>
          <w:bCs/>
          <w:color w:val="000000" w:themeColor="text1"/>
          <w:kern w:val="0"/>
          <w:sz w:val="28"/>
          <w:szCs w:val="28"/>
          <w14:ligatures w14:val="none"/>
        </w:rPr>
        <w:t>: "Digital Transformation in Healthcare: Analyzing the Current State-of-Research"</w:t>
      </w:r>
    </w:p>
    <w:p w14:paraId="5958231A"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كيفية تطبيق أصحاب المصلحة المتعددين للتقنيات الرقمية لأغراض الإدارة والأعمال في قطاع الرعاية الصحية، وذلك من خلال تحليل الوضع الراهن للأبحاث في مجال التحول الرقمي الصحي. واستخدمت الدراسة منهج المراجعة المنهجية للأدبيات </w:t>
      </w:r>
      <w:r w:rsidRPr="002B7D76">
        <w:rPr>
          <w:rFonts w:ascii="Simplified Arabic" w:eastAsia="Times New Roman" w:hAnsi="Simplified Arabic" w:cs="Simplified Arabic"/>
          <w:color w:val="000000" w:themeColor="text1"/>
          <w:kern w:val="0"/>
          <w:sz w:val="28"/>
          <w:szCs w:val="28"/>
          <w14:ligatures w14:val="none"/>
        </w:rPr>
        <w:t xml:space="preserve">(Systematic Literature Review) </w:t>
      </w:r>
      <w:r w:rsidRPr="002B7D76">
        <w:rPr>
          <w:rFonts w:ascii="Simplified Arabic" w:eastAsia="Times New Roman" w:hAnsi="Simplified Arabic" w:cs="Simplified Arabic"/>
          <w:color w:val="000000" w:themeColor="text1"/>
          <w:kern w:val="0"/>
          <w:sz w:val="28"/>
          <w:szCs w:val="28"/>
          <w:rtl/>
          <w14:ligatures w14:val="none"/>
        </w:rPr>
        <w:t>لتحليل الدراسات المنشورة في هذا المجال</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وتوصلت نتائج الدراسة إلى أن الأبحاث السابقة تتوزع على خمس مجموعات رئيسية هي: الكفاءة التشغيلية لمقدمي الرعاية الصحية، والمقاربات المتمركزة حول المريض، والعوامل التنظيمية والتضمينات الإدارية، وممارسات القوى العاملة، والجوانب الاجتماعية والاقتصادية، وأن جميع أشكال تطبيق التكنولوجيا تؤدي إلى تحقيق كفاءات تشغيلية لمقدمي الخدمات الصحية. وأوصت الدراسة بضرورة إجراء مزيد من الأبحاث حول التحول الرقمي في الرعاية الصحية مع التركيز على تمكين المريض والجوانب الاجتماعية والاقتصادية</w:t>
      </w:r>
      <w:r w:rsidRPr="002B7D76">
        <w:rPr>
          <w:rFonts w:ascii="Simplified Arabic" w:eastAsia="Times New Roman" w:hAnsi="Simplified Arabic" w:cs="Simplified Arabic"/>
          <w:color w:val="000000" w:themeColor="text1"/>
          <w:kern w:val="0"/>
          <w:sz w:val="28"/>
          <w:szCs w:val="28"/>
          <w14:ligatures w14:val="none"/>
        </w:rPr>
        <w:t>.</w:t>
      </w:r>
    </w:p>
    <w:p w14:paraId="25477F94"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w:t>
      </w:r>
      <w:r w:rsidRPr="002B7D76">
        <w:rPr>
          <w:rFonts w:ascii="Simplified Arabic" w:eastAsia="Times New Roman" w:hAnsi="Simplified Arabic" w:cs="Simplified Arabic"/>
          <w:b/>
          <w:bCs/>
          <w:color w:val="000000" w:themeColor="text1"/>
          <w:kern w:val="0"/>
          <w:sz w:val="28"/>
          <w:szCs w:val="28"/>
          <w14:ligatures w14:val="none"/>
        </w:rPr>
        <w:t xml:space="preserve"> (Dionisio, de Souza Junior, Paula, &amp; Pellanda, 2023) </w:t>
      </w:r>
      <w:r w:rsidRPr="002B7D76">
        <w:rPr>
          <w:rFonts w:ascii="Simplified Arabic" w:eastAsia="Times New Roman" w:hAnsi="Simplified Arabic" w:cs="Simplified Arabic"/>
          <w:b/>
          <w:bCs/>
          <w:color w:val="000000" w:themeColor="text1"/>
          <w:kern w:val="0"/>
          <w:sz w:val="28"/>
          <w:szCs w:val="28"/>
          <w:rtl/>
          <w14:ligatures w14:val="none"/>
        </w:rPr>
        <w:t>بعنوان</w:t>
      </w:r>
      <w:r w:rsidRPr="002B7D76">
        <w:rPr>
          <w:rFonts w:ascii="Simplified Arabic" w:eastAsia="Times New Roman" w:hAnsi="Simplified Arabic" w:cs="Simplified Arabic"/>
          <w:b/>
          <w:bCs/>
          <w:color w:val="000000" w:themeColor="text1"/>
          <w:kern w:val="0"/>
          <w:sz w:val="28"/>
          <w:szCs w:val="28"/>
          <w14:ligatures w14:val="none"/>
        </w:rPr>
        <w:t>: "The Role of Digital Transformation in Improving the Efficacy of Healthcare: A Systematic Review"</w:t>
      </w:r>
    </w:p>
    <w:p w14:paraId="42F61028"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(التطبيقات، الفوائد، الفرص، التهديدات) في تحسين فاعلية أنظمة الرعاية الصحية، وذلك من خلال تحليل تطور الدراسات المتعلقة بأثر التحول الرقمي في قطاع الرعاية الصحية. واستخدمت الدراسة منهج المراجعة المنهجية المنظمة</w:t>
      </w:r>
      <w:r w:rsidRPr="002B7D76">
        <w:rPr>
          <w:rFonts w:ascii="Simplified Arabic" w:eastAsia="Times New Roman" w:hAnsi="Simplified Arabic" w:cs="Simplified Arabic"/>
          <w:color w:val="000000" w:themeColor="text1"/>
          <w:kern w:val="0"/>
          <w:sz w:val="28"/>
          <w:szCs w:val="28"/>
          <w14:ligatures w14:val="none"/>
        </w:rPr>
        <w:t xml:space="preserve"> (Systematic Literature Review) </w:t>
      </w:r>
      <w:r w:rsidRPr="002B7D76">
        <w:rPr>
          <w:rFonts w:ascii="Simplified Arabic" w:eastAsia="Times New Roman" w:hAnsi="Simplified Arabic" w:cs="Simplified Arabic"/>
          <w:color w:val="000000" w:themeColor="text1"/>
          <w:kern w:val="0"/>
          <w:sz w:val="28"/>
          <w:szCs w:val="28"/>
          <w:rtl/>
          <w14:ligatures w14:val="none"/>
        </w:rPr>
        <w:t>بالاعتماد على قاعدة بيانات</w:t>
      </w:r>
      <w:r w:rsidRPr="002B7D76">
        <w:rPr>
          <w:rFonts w:ascii="Simplified Arabic" w:eastAsia="Times New Roman" w:hAnsi="Simplified Arabic" w:cs="Simplified Arabic"/>
          <w:color w:val="000000" w:themeColor="text1"/>
          <w:kern w:val="0"/>
          <w:sz w:val="28"/>
          <w:szCs w:val="28"/>
          <w14:ligatures w14:val="none"/>
        </w:rPr>
        <w:t xml:space="preserve"> Scopus </w:t>
      </w:r>
      <w:r w:rsidRPr="002B7D76">
        <w:rPr>
          <w:rFonts w:ascii="Simplified Arabic" w:eastAsia="Times New Roman" w:hAnsi="Simplified Arabic" w:cs="Simplified Arabic"/>
          <w:color w:val="000000" w:themeColor="text1"/>
          <w:kern w:val="0"/>
          <w:sz w:val="28"/>
          <w:szCs w:val="28"/>
          <w:rtl/>
          <w14:ligatures w14:val="none"/>
        </w:rPr>
        <w:t xml:space="preserve">لتقييم الوثائق المحكمة خلال الفترة من 2015 إلى 2022، وتكونت العينة النهائية من (120) مقالة محكمة تم تحليلها باستخدام التحليل الببليومتري وتحليل المحتوى. وتوصلت نتائج الدراسة إلى أن التحول الرقمي في مجال الرعاية الصحية شهد نمواً </w:t>
      </w:r>
      <w:r w:rsidRPr="002B7D76">
        <w:rPr>
          <w:rFonts w:ascii="Simplified Arabic" w:eastAsia="Times New Roman" w:hAnsi="Simplified Arabic" w:cs="Simplified Arabic"/>
          <w:color w:val="000000" w:themeColor="text1"/>
          <w:kern w:val="0"/>
          <w:sz w:val="28"/>
          <w:szCs w:val="28"/>
          <w:rtl/>
          <w14:ligatures w14:val="none"/>
        </w:rPr>
        <w:lastRenderedPageBreak/>
        <w:t>ملحوظاً في الأبحاث بعد عام 2014، وأن التطبيقات الرقمية مثل الذكاء الاصطناعي والبيانات الضخمة والحوسبة السحابية تُسهم في خفض معدلات الوفيات وتقليل التكاليف وزيادة الإنتاجية، مع وجود تهديدات تتعلق بالخصوصية والتنظيمات القانونية. وأوصت الدراسة بضرورة تعزيز الأدلة التجريبية حول فاعلية التحول الرقمي في الممارسة الصحية الفعلية، ومعالجة التحديات المتعلقة بالأمان والخصوصية</w:t>
      </w:r>
      <w:r w:rsidRPr="002B7D76">
        <w:rPr>
          <w:rFonts w:ascii="Simplified Arabic" w:eastAsia="Times New Roman" w:hAnsi="Simplified Arabic" w:cs="Simplified Arabic"/>
          <w:color w:val="000000" w:themeColor="text1"/>
          <w:kern w:val="0"/>
          <w:sz w:val="28"/>
          <w:szCs w:val="28"/>
          <w14:ligatures w14:val="none"/>
        </w:rPr>
        <w:t>.</w:t>
      </w:r>
    </w:p>
    <w:p w14:paraId="681D6C2B" w14:textId="77777777" w:rsidR="00532E03" w:rsidRPr="002B7D76" w:rsidRDefault="00532E03" w:rsidP="003B32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4107083"/>
      <w:r w:rsidRPr="002B7D76">
        <w:rPr>
          <w:rFonts w:ascii="Simplified Arabic" w:eastAsia="Times New Roman" w:hAnsi="Simplified Arabic" w:cs="Simplified Arabic"/>
          <w:b/>
          <w:bCs/>
          <w:color w:val="000000" w:themeColor="text1"/>
          <w:kern w:val="0"/>
          <w:sz w:val="32"/>
          <w:szCs w:val="32"/>
          <w:rtl/>
          <w14:ligatures w14:val="none"/>
        </w:rPr>
        <w:t>المحور الثاني: دراسات المتغير التابع (كفاءة الخدمات الصحية / جودة الرعاية الصحية) وعلاقته بمتغيرات أخرى</w:t>
      </w:r>
      <w:bookmarkEnd w:id="15"/>
    </w:p>
    <w:p w14:paraId="4BCB910D"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تُعد كفاءة الخدمات الصحية وجودة الرعاية الصحية من الموضوعات الحيوية التي استحوذت على اهتمام الباحثين والممارسين، نظراً لارتباطها المباشر بصحة الإنسان ورفاهيته. وقد تنوعت الدراسات التي بحثت في العوامل المؤثرة على جودة الخدمات الصحية وسبل تحسينها، وفيما يلي عرض لأبرز هذه الدراسات</w:t>
      </w:r>
      <w:r w:rsidRPr="002B7D76">
        <w:rPr>
          <w:rFonts w:ascii="Simplified Arabic" w:eastAsia="Times New Roman" w:hAnsi="Simplified Arabic" w:cs="Simplified Arabic"/>
          <w:color w:val="000000" w:themeColor="text1"/>
          <w:kern w:val="0"/>
          <w:sz w:val="28"/>
          <w:szCs w:val="28"/>
          <w14:ligatures w14:val="none"/>
        </w:rPr>
        <w:t>:</w:t>
      </w:r>
    </w:p>
    <w:p w14:paraId="5B887AFC"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 (حسين وعبودي، 2021) بعنوان</w:t>
      </w:r>
      <w:r w:rsidRPr="002B7D76">
        <w:rPr>
          <w:rFonts w:ascii="Simplified Arabic" w:eastAsia="Times New Roman" w:hAnsi="Simplified Arabic" w:cs="Simplified Arabic"/>
          <w:b/>
          <w:bCs/>
          <w:color w:val="000000" w:themeColor="text1"/>
          <w:kern w:val="0"/>
          <w:sz w:val="28"/>
          <w:szCs w:val="28"/>
          <w14:ligatures w14:val="none"/>
        </w:rPr>
        <w:t>: "</w:t>
      </w:r>
      <w:r w:rsidRPr="002B7D76">
        <w:rPr>
          <w:rFonts w:ascii="Simplified Arabic" w:eastAsia="Times New Roman" w:hAnsi="Simplified Arabic" w:cs="Simplified Arabic"/>
          <w:b/>
          <w:bCs/>
          <w:color w:val="000000" w:themeColor="text1"/>
          <w:kern w:val="0"/>
          <w:sz w:val="28"/>
          <w:szCs w:val="28"/>
          <w:rtl/>
          <w14:ligatures w14:val="none"/>
        </w:rPr>
        <w:t>واقع تحديات جودة الرعاية الصحية في المستشفيات: دراسة مسحية لأقسام الجودة في عدد من المستشفيات الحكومية في محافظتي نينوى ودهوك</w:t>
      </w:r>
      <w:r w:rsidRPr="002B7D76">
        <w:rPr>
          <w:rFonts w:ascii="Simplified Arabic" w:eastAsia="Times New Roman" w:hAnsi="Simplified Arabic" w:cs="Simplified Arabic"/>
          <w:b/>
          <w:bCs/>
          <w:color w:val="000000" w:themeColor="text1"/>
          <w:kern w:val="0"/>
          <w:sz w:val="28"/>
          <w:szCs w:val="28"/>
          <w14:ligatures w14:val="none"/>
        </w:rPr>
        <w:t>"</w:t>
      </w:r>
    </w:p>
    <w:p w14:paraId="1DE2F888"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هدفت الدراسة إلى التعرف على واقع تحديات جودة الرعاية الصحية بأبعادها (التحديات الاستراتيجية، التحديات الثقافية، تحديات الكوادر الإدارية المؤهلة، التحديات الهيكلية، التحديات الإجرائية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في المستشفيات الحكومية بمحافظتي نينوى ودهوك في جمهورية العراق. واستخدمت الدراسة المنهج الوصفي التحليلي، وتكونت العينة من (200) فرد من مسؤولي الجودة في (14) مستشفى حكومياً، واعتمدت الاستبانة والمقابلات الشخصية أدوات لجمع البيانات. وتوصلت نتائج الدراسة إلى وجود مجموعة من التحديات التي تحول دون تطبيق الجودة في مجال الرعاية الصحية، وأن التحديات الاستراتيجية حققت المرتبة الأولى من حيث الأهمية مقارنة بالتحديات الأخرى، مما يشير إلى أن المستشفيات المبحوثة تولي اهتماماً ضعيفاً بجودة الرعاية الصحية ضمن استراتيجياتها الأساسية. وأوصت الدراسة بضرورة اهتمام إدارات المستشفيات بهذه التحديات ووضع خطة استراتيجية طويلة الأجل تشتمل على رؤية ورسالة وأهداف لتطوير برامج جودة الرعاية الصحية</w:t>
      </w:r>
      <w:r w:rsidRPr="002B7D76">
        <w:rPr>
          <w:rFonts w:ascii="Simplified Arabic" w:eastAsia="Times New Roman" w:hAnsi="Simplified Arabic" w:cs="Simplified Arabic"/>
          <w:color w:val="000000" w:themeColor="text1"/>
          <w:kern w:val="0"/>
          <w:sz w:val="28"/>
          <w:szCs w:val="28"/>
          <w14:ligatures w14:val="none"/>
        </w:rPr>
        <w:t>.</w:t>
      </w:r>
    </w:p>
    <w:p w14:paraId="27652ADC"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 (غواري، 2021) بعنوان: "التدريب وتأثيره على جودة خدمات الرعاية الصحية: دراسة ميدانية بالمؤسسة العمومية الاستشفائية ديدوش مراد قسنطينة</w:t>
      </w:r>
      <w:r w:rsidRPr="002B7D76">
        <w:rPr>
          <w:rFonts w:ascii="Simplified Arabic" w:eastAsia="Times New Roman" w:hAnsi="Simplified Arabic" w:cs="Simplified Arabic"/>
          <w:b/>
          <w:bCs/>
          <w:color w:val="000000" w:themeColor="text1"/>
          <w:kern w:val="0"/>
          <w:sz w:val="28"/>
          <w:szCs w:val="28"/>
          <w14:ligatures w14:val="none"/>
        </w:rPr>
        <w:t>"</w:t>
      </w:r>
    </w:p>
    <w:p w14:paraId="6F2A0F43"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مدى تأثير التدريب على جودة خدمات الرعاية الصحية في المؤسسة العمومية الاستشفائية ديدوش مراد بقسنطينة في الجمهورية الجزائرية. واستخدمت الدراسة المنهج الوصفي التحليلي، واعتمدت على الدراسة الميدانية في المؤسسة الاستشفائية محل البحث. وتوصلت نتائج الدراسة إلى أن التدريب الجيد يؤدي إلى تحسين الأداء وتقليل الأخطاء الطبية وأداء العمل على نحو صحيح من المرة الأولى، مما يُسهم في تخفيض التكاليف وتحقيق رضا المريض، وبالتالي زيادة جودة خدمات الرعاية الصحية بنسبة تحقق كامل لفرضية البحث. وأوصت الدراسة بضرورة الاهتمام ببرامج التدريب المستمر للعاملين في القطاع الصحي وربطها بمعايير الجودة الشاملة لتحسين مخرجات الخدمات الصحية</w:t>
      </w:r>
      <w:r w:rsidRPr="002B7D76">
        <w:rPr>
          <w:rFonts w:ascii="Simplified Arabic" w:eastAsia="Times New Roman" w:hAnsi="Simplified Arabic" w:cs="Simplified Arabic"/>
          <w:color w:val="000000" w:themeColor="text1"/>
          <w:kern w:val="0"/>
          <w:sz w:val="28"/>
          <w:szCs w:val="28"/>
          <w14:ligatures w14:val="none"/>
        </w:rPr>
        <w:t>.</w:t>
      </w:r>
    </w:p>
    <w:p w14:paraId="3B987946"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 (عودة والخشالي، 2025) بعنوان</w:t>
      </w:r>
      <w:r w:rsidRPr="002B7D76">
        <w:rPr>
          <w:rFonts w:ascii="Simplified Arabic" w:eastAsia="Times New Roman" w:hAnsi="Simplified Arabic" w:cs="Simplified Arabic"/>
          <w:b/>
          <w:bCs/>
          <w:color w:val="000000" w:themeColor="text1"/>
          <w:kern w:val="0"/>
          <w:sz w:val="28"/>
          <w:szCs w:val="28"/>
          <w14:ligatures w14:val="none"/>
        </w:rPr>
        <w:t>: "</w:t>
      </w:r>
      <w:r w:rsidRPr="002B7D76">
        <w:rPr>
          <w:rFonts w:ascii="Simplified Arabic" w:eastAsia="Times New Roman" w:hAnsi="Simplified Arabic" w:cs="Simplified Arabic"/>
          <w:b/>
          <w:bCs/>
          <w:color w:val="000000" w:themeColor="text1"/>
          <w:kern w:val="0"/>
          <w:sz w:val="28"/>
          <w:szCs w:val="28"/>
          <w:rtl/>
          <w14:ligatures w14:val="none"/>
        </w:rPr>
        <w:t>أثر الرشاقة الاستراتيجية في جودة الرعاية الصحية: الدور الوسيط لإدارة المخاطر في المستشفيات الأردنية الخاصة</w:t>
      </w:r>
      <w:r w:rsidRPr="002B7D76">
        <w:rPr>
          <w:rFonts w:ascii="Simplified Arabic" w:eastAsia="Times New Roman" w:hAnsi="Simplified Arabic" w:cs="Simplified Arabic"/>
          <w:b/>
          <w:bCs/>
          <w:color w:val="000000" w:themeColor="text1"/>
          <w:kern w:val="0"/>
          <w:sz w:val="28"/>
          <w:szCs w:val="28"/>
          <w14:ligatures w14:val="none"/>
        </w:rPr>
        <w:t>"</w:t>
      </w:r>
    </w:p>
    <w:p w14:paraId="637136B0"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هدفت الدراسة إلى التعرف على أثر الرشاقة الاستراتيجية على جودة الرعاية الصحية مع دراسة الدور الوسيط لإدارة المخاطر في المستشفيات الأردنية الخاصة في المملكة الأردنية الهاشمية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وهي رسالة دكتوراه غير منشورة من جامعة العلوم الإسلامية العالمية بعمّان. وتوصلت نتائج الدراسة إلى وجود أثر ذي دلالة إحصائية للرشاقة الاستراتيجية في جودة الرعاية الصحية، وأن إدارة المخاطر تلعب دوراً وسيطاً في تعزيز هذه العلاقة في المستشفيات الأردنية الخاصة. وأوصت الدراسة بضرورة تبني مفاهيم الرشاقة الاستراتيجية في المستشفيات وتعزيز منظومة إدارة المخاطر لتحقيق مستويات أعلى من جودة الرعاية الصحية</w:t>
      </w:r>
      <w:r w:rsidRPr="002B7D76">
        <w:rPr>
          <w:rFonts w:ascii="Simplified Arabic" w:eastAsia="Times New Roman" w:hAnsi="Simplified Arabic" w:cs="Simplified Arabic"/>
          <w:color w:val="000000" w:themeColor="text1"/>
          <w:kern w:val="0"/>
          <w:sz w:val="28"/>
          <w:szCs w:val="28"/>
          <w14:ligatures w14:val="none"/>
        </w:rPr>
        <w:t>.</w:t>
      </w:r>
    </w:p>
    <w:p w14:paraId="094BE9FD"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w:t>
      </w:r>
      <w:r w:rsidRPr="002B7D76">
        <w:rPr>
          <w:rFonts w:ascii="Simplified Arabic" w:eastAsia="Times New Roman" w:hAnsi="Simplified Arabic" w:cs="Simplified Arabic"/>
          <w:b/>
          <w:bCs/>
          <w:color w:val="000000" w:themeColor="text1"/>
          <w:kern w:val="0"/>
          <w:sz w:val="28"/>
          <w:szCs w:val="28"/>
          <w14:ligatures w14:val="none"/>
        </w:rPr>
        <w:t xml:space="preserve"> (Peri</w:t>
      </w:r>
      <w:r w:rsidRPr="002B7D76">
        <w:rPr>
          <w:rFonts w:ascii="Cambria" w:eastAsia="Times New Roman" w:hAnsi="Cambria" w:cs="Cambria"/>
          <w:b/>
          <w:bCs/>
          <w:color w:val="000000" w:themeColor="text1"/>
          <w:kern w:val="0"/>
          <w:sz w:val="28"/>
          <w:szCs w:val="28"/>
          <w14:ligatures w14:val="none"/>
        </w:rPr>
        <w:t>áñ</w:t>
      </w:r>
      <w:r w:rsidRPr="002B7D76">
        <w:rPr>
          <w:rFonts w:ascii="Simplified Arabic" w:eastAsia="Times New Roman" w:hAnsi="Simplified Arabic" w:cs="Simplified Arabic"/>
          <w:b/>
          <w:bCs/>
          <w:color w:val="000000" w:themeColor="text1"/>
          <w:kern w:val="0"/>
          <w:sz w:val="28"/>
          <w:szCs w:val="28"/>
          <w14:ligatures w14:val="none"/>
        </w:rPr>
        <w:t>ez, Fern</w:t>
      </w:r>
      <w:r w:rsidRPr="002B7D76">
        <w:rPr>
          <w:rFonts w:ascii="Cambria" w:eastAsia="Times New Roman" w:hAnsi="Cambria" w:cs="Cambria"/>
          <w:b/>
          <w:bCs/>
          <w:color w:val="000000" w:themeColor="text1"/>
          <w:kern w:val="0"/>
          <w:sz w:val="28"/>
          <w:szCs w:val="28"/>
          <w14:ligatures w14:val="none"/>
        </w:rPr>
        <w:t>á</w:t>
      </w:r>
      <w:r w:rsidRPr="002B7D76">
        <w:rPr>
          <w:rFonts w:ascii="Simplified Arabic" w:eastAsia="Times New Roman" w:hAnsi="Simplified Arabic" w:cs="Simplified Arabic"/>
          <w:b/>
          <w:bCs/>
          <w:color w:val="000000" w:themeColor="text1"/>
          <w:kern w:val="0"/>
          <w:sz w:val="28"/>
          <w:szCs w:val="28"/>
          <w14:ligatures w14:val="none"/>
        </w:rPr>
        <w:t>ndez Del R</w:t>
      </w:r>
      <w:r w:rsidRPr="002B7D76">
        <w:rPr>
          <w:rFonts w:ascii="Cambria" w:eastAsia="Times New Roman" w:hAnsi="Cambria" w:cs="Cambria"/>
          <w:b/>
          <w:bCs/>
          <w:color w:val="000000" w:themeColor="text1"/>
          <w:kern w:val="0"/>
          <w:sz w:val="28"/>
          <w:szCs w:val="28"/>
          <w14:ligatures w14:val="none"/>
        </w:rPr>
        <w:t>í</w:t>
      </w:r>
      <w:r w:rsidRPr="002B7D76">
        <w:rPr>
          <w:rFonts w:ascii="Simplified Arabic" w:eastAsia="Times New Roman" w:hAnsi="Simplified Arabic" w:cs="Simplified Arabic"/>
          <w:b/>
          <w:bCs/>
          <w:color w:val="000000" w:themeColor="text1"/>
          <w:kern w:val="0"/>
          <w:sz w:val="28"/>
          <w:szCs w:val="28"/>
          <w14:ligatures w14:val="none"/>
        </w:rPr>
        <w:t xml:space="preserve">o, Nazarov, Jané, Hassan, Rastogi, &amp; Tang, 2024) </w:t>
      </w:r>
      <w:r w:rsidRPr="002B7D76">
        <w:rPr>
          <w:rFonts w:ascii="Simplified Arabic" w:eastAsia="Times New Roman" w:hAnsi="Simplified Arabic" w:cs="Simplified Arabic"/>
          <w:b/>
          <w:bCs/>
          <w:color w:val="000000" w:themeColor="text1"/>
          <w:kern w:val="0"/>
          <w:sz w:val="28"/>
          <w:szCs w:val="28"/>
          <w:rtl/>
          <w14:ligatures w14:val="none"/>
        </w:rPr>
        <w:t>بعنوان</w:t>
      </w:r>
      <w:r w:rsidRPr="002B7D76">
        <w:rPr>
          <w:rFonts w:ascii="Simplified Arabic" w:eastAsia="Times New Roman" w:hAnsi="Simplified Arabic" w:cs="Simplified Arabic"/>
          <w:b/>
          <w:bCs/>
          <w:color w:val="000000" w:themeColor="text1"/>
          <w:kern w:val="0"/>
          <w:sz w:val="28"/>
          <w:szCs w:val="28"/>
          <w14:ligatures w14:val="none"/>
        </w:rPr>
        <w:t>: "The Digital Transformation in Health: How AI Can Improve the Performance of Health Systems"</w:t>
      </w:r>
    </w:p>
    <w:p w14:paraId="405C3F8A"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كيفية إسهام الذكاء الاصطناعي في تحسين أداء الأنظمة الصحية من خلال التحول الرقمي، مع التركيز على التطبيقات العملية للذكاء الاصطناعي في تعزيز كفاءة وفاعلية الخدمات الصحية. واستخدمت الدراسة المنهج التحليلي الاستعراضي لتقييم التطبيقات القائمة على الذكاء الاصطناعي في القطاع الصحي، ونُشرت في مجلة </w:t>
      </w:r>
      <w:r w:rsidRPr="002B7D76">
        <w:rPr>
          <w:rFonts w:ascii="Simplified Arabic" w:eastAsia="Times New Roman" w:hAnsi="Simplified Arabic" w:cs="Simplified Arabic"/>
          <w:color w:val="000000" w:themeColor="text1"/>
          <w:kern w:val="0"/>
          <w:sz w:val="28"/>
          <w:szCs w:val="28"/>
          <w14:ligatures w14:val="none"/>
        </w:rPr>
        <w:t xml:space="preserve">Health Systems &amp; Reform </w:t>
      </w:r>
      <w:r w:rsidRPr="002B7D76">
        <w:rPr>
          <w:rFonts w:ascii="Simplified Arabic" w:eastAsia="Times New Roman" w:hAnsi="Simplified Arabic" w:cs="Simplified Arabic"/>
          <w:color w:val="000000" w:themeColor="text1"/>
          <w:kern w:val="0"/>
          <w:sz w:val="28"/>
          <w:szCs w:val="28"/>
          <w:rtl/>
          <w14:ligatures w14:val="none"/>
        </w:rPr>
        <w:t xml:space="preserve">المجلد 10 العدد 2. وتوصلت نتائج الدراسة إلى أن تقنيات الذكاء الاصطناعي تمتلك إمكانات كبيرة في تحسين أداء الأنظمة الصحية من خلال تعزيز دقة التشخيص وتحسين تخصيص الموارد ورفع كفاءة العمليات الصحية، وأن </w:t>
      </w:r>
      <w:r w:rsidRPr="002B7D76">
        <w:rPr>
          <w:rFonts w:ascii="Simplified Arabic" w:eastAsia="Times New Roman" w:hAnsi="Simplified Arabic" w:cs="Simplified Arabic"/>
          <w:color w:val="000000" w:themeColor="text1"/>
          <w:kern w:val="0"/>
          <w:sz w:val="28"/>
          <w:szCs w:val="28"/>
          <w:rtl/>
          <w14:ligatures w14:val="none"/>
        </w:rPr>
        <w:lastRenderedPageBreak/>
        <w:t>التحول الرقمي القائم على الذكاء الاصطناعي يُمكن أن يُحدث تغييراً جوهرياً في طريقة تقديم الرعاية الصحية. وأوصت الدراسة بضرورة استثمار الحكومات ومؤسسات الرعاية الصحية في البنية التحتية الرقمية والذكاء الاصطناعي لتحسين جودة الخدمات الصحية وإمكانية الوصول إليها</w:t>
      </w:r>
      <w:r w:rsidRPr="002B7D76">
        <w:rPr>
          <w:rFonts w:ascii="Simplified Arabic" w:eastAsia="Times New Roman" w:hAnsi="Simplified Arabic" w:cs="Simplified Arabic"/>
          <w:color w:val="000000" w:themeColor="text1"/>
          <w:kern w:val="0"/>
          <w:sz w:val="28"/>
          <w:szCs w:val="28"/>
          <w14:ligatures w14:val="none"/>
        </w:rPr>
        <w:t>.</w:t>
      </w:r>
    </w:p>
    <w:p w14:paraId="2DFE668D" w14:textId="77777777" w:rsidR="00532E03" w:rsidRPr="002B7D76" w:rsidRDefault="00532E03" w:rsidP="003B3233">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دراسة</w:t>
      </w:r>
      <w:r w:rsidRPr="002B7D76">
        <w:rPr>
          <w:rFonts w:ascii="Simplified Arabic" w:eastAsia="Times New Roman" w:hAnsi="Simplified Arabic" w:cs="Simplified Arabic"/>
          <w:b/>
          <w:bCs/>
          <w:color w:val="000000" w:themeColor="text1"/>
          <w:kern w:val="0"/>
          <w:sz w:val="28"/>
          <w:szCs w:val="28"/>
          <w14:ligatures w14:val="none"/>
        </w:rPr>
        <w:t xml:space="preserve"> (Blhaj, Dhameria, &amp; Muazeib, 2025) </w:t>
      </w:r>
      <w:r w:rsidRPr="002B7D76">
        <w:rPr>
          <w:rFonts w:ascii="Simplified Arabic" w:eastAsia="Times New Roman" w:hAnsi="Simplified Arabic" w:cs="Simplified Arabic"/>
          <w:b/>
          <w:bCs/>
          <w:color w:val="000000" w:themeColor="text1"/>
          <w:kern w:val="0"/>
          <w:sz w:val="28"/>
          <w:szCs w:val="28"/>
          <w:rtl/>
          <w14:ligatures w14:val="none"/>
        </w:rPr>
        <w:t>بعنوان</w:t>
      </w:r>
      <w:r w:rsidRPr="002B7D76">
        <w:rPr>
          <w:rFonts w:ascii="Simplified Arabic" w:eastAsia="Times New Roman" w:hAnsi="Simplified Arabic" w:cs="Simplified Arabic"/>
          <w:b/>
          <w:bCs/>
          <w:color w:val="000000" w:themeColor="text1"/>
          <w:kern w:val="0"/>
          <w:sz w:val="28"/>
          <w:szCs w:val="28"/>
          <w14:ligatures w14:val="none"/>
        </w:rPr>
        <w:t>: "The Role of Telemedicine in Digital Transformation Based on Patient Perceptions of Healthcare Accessibility and Efficiency"</w:t>
      </w:r>
    </w:p>
    <w:p w14:paraId="13B10BC3" w14:textId="77777777" w:rsidR="00532E03" w:rsidRPr="002B7D76" w:rsidRDefault="00532E03"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هدفت الدراسة إلى التعرف على دور الطب عن بُعد في تعزيز التحول الرقمي بأبعاده من خلال تحليل تصورات المرضى حول أثره على إمكانية الوصول إلى الرعاية الصحية وكفاءة الخدمات المقدمة في ليبيا وإندونيسيا. واستخدمت الدراسة المنهج الكمي، وتكونت العينة من (150) مريضاً استخدموا خدمات الطب عن بُعد تم اختيارهم من دولتين ناميتين هما ليبيا وإندونيسيا لتوفير منظور مقارن عبر الدول، واعتمدت الاستبانة المهيكلة أداةً لجمع البيانات وتم تحليلها باستخدام نمذجة المعادلات الهيكلية</w:t>
      </w:r>
      <w:r w:rsidRPr="002B7D76">
        <w:rPr>
          <w:rFonts w:ascii="Simplified Arabic" w:eastAsia="Times New Roman" w:hAnsi="Simplified Arabic" w:cs="Simplified Arabic"/>
          <w:color w:val="000000" w:themeColor="text1"/>
          <w:kern w:val="0"/>
          <w:sz w:val="28"/>
          <w:szCs w:val="28"/>
          <w14:ligatures w14:val="none"/>
        </w:rPr>
        <w:t xml:space="preserve"> (SEM). </w:t>
      </w:r>
      <w:r w:rsidRPr="002B7D76">
        <w:rPr>
          <w:rFonts w:ascii="Simplified Arabic" w:eastAsia="Times New Roman" w:hAnsi="Simplified Arabic" w:cs="Simplified Arabic"/>
          <w:color w:val="000000" w:themeColor="text1"/>
          <w:kern w:val="0"/>
          <w:sz w:val="28"/>
          <w:szCs w:val="28"/>
          <w:rtl/>
          <w14:ligatures w14:val="none"/>
        </w:rPr>
        <w:t>وتوصلت نتائج الدراسة إلى أن تصورات المرضى تلعب دوراً مهماً في تحديد فاعلية الطب عن بُعد في تحسين إمكانية الوصول والكفاءة، وأن المرضى ينظرون إلى الطب عن بُعد باعتباره عنصراً حيوياً في التحول الرقمي الصحي مع وجود تباينات ناجمة عن الاختلافات في مستوى المعرفة الرقمية والبنية التحتية الصحية. وأوصت الدراسة بضرورة إعطاء الأولوية للتصميم المتمركز حول المريض واعتماد استراتيجيات تنفيذ محلية لتعزيز دمج الطب عن بُعد في أنظمة الرعاية الصحية المتنوعة</w:t>
      </w:r>
      <w:r w:rsidRPr="002B7D76">
        <w:rPr>
          <w:rFonts w:ascii="Simplified Arabic" w:eastAsia="Times New Roman" w:hAnsi="Simplified Arabic" w:cs="Simplified Arabic"/>
          <w:color w:val="000000" w:themeColor="text1"/>
          <w:kern w:val="0"/>
          <w:sz w:val="28"/>
          <w:szCs w:val="28"/>
          <w14:ligatures w14:val="none"/>
        </w:rPr>
        <w:t>.</w:t>
      </w:r>
    </w:p>
    <w:p w14:paraId="46D808D4" w14:textId="16536260" w:rsidR="003B3233" w:rsidRPr="002B7D76" w:rsidRDefault="003B3233" w:rsidP="00F12E6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34165268"/>
      <w:r w:rsidRPr="002B7D76">
        <w:rPr>
          <w:rFonts w:ascii="Simplified Arabic" w:hAnsi="Simplified Arabic" w:cs="Simplified Arabic"/>
          <w:b/>
          <w:bCs/>
          <w:color w:val="000000" w:themeColor="text1"/>
          <w:sz w:val="36"/>
          <w:szCs w:val="36"/>
          <w:rtl/>
        </w:rPr>
        <w:t>8.1 الفجوة البحثية</w:t>
      </w:r>
      <w:bookmarkEnd w:id="16"/>
    </w:p>
    <w:p w14:paraId="4D6F3FA7" w14:textId="3B10B71B" w:rsidR="00EF1B00" w:rsidRPr="002B7D76" w:rsidRDefault="00532E03" w:rsidP="00F12E68">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2B7D76">
        <w:rPr>
          <w:rFonts w:ascii="Simplified Arabic" w:hAnsi="Simplified Arabic" w:cs="Simplified Arabic"/>
          <w:color w:val="000000" w:themeColor="text1"/>
          <w:sz w:val="28"/>
          <w:szCs w:val="28"/>
          <w:rtl/>
        </w:rPr>
        <w:t xml:space="preserve">من خلال الاستعراض التحليلي للدراسات السابقة العربية والأجنبية المتصلة بموضوع الدراسة الحالية، يتبيّن أن الأدبيات البحثية قد أولت اهتماماً ملحوظاً بموضوع التحول الرقمي وأثره على متغيرات تنظيمية وإدارية متعددة، غير أن هذا الاهتمام توزّع على قطاعات متباينة ومتغيرات تابعة مختلفة دون أن يتقاطع بشكل مباشر مع خصوصية إدارة بنوك الدم في القطاع الصحي. فقد تناولت دراسة (برحومة وحابي، 2023) أثر التحول الرقمي على ممارسات المحاسبة الإبداعية، وبحثت دراسة (محمد، 2022) أثر إدارة المعرفة في تطبيق التحول الرقمي بالمكتبات الجامعية، ودرست دراسة (السواط والحربي، 2022) أثره على الأداء الأكاديمي، فيما ركزت دراسة (زيد، 2023) على علاقته بالمرونة الاستراتيجية في القطاع البترولي، واستقصت دراسة (حسين وعبدالهادي وجمال، </w:t>
      </w:r>
      <w:r w:rsidRPr="002B7D76">
        <w:rPr>
          <w:rFonts w:ascii="Simplified Arabic" w:hAnsi="Simplified Arabic" w:cs="Simplified Arabic"/>
          <w:color w:val="000000" w:themeColor="text1"/>
          <w:sz w:val="28"/>
          <w:szCs w:val="28"/>
        </w:rPr>
        <w:t xml:space="preserve">2023) </w:t>
      </w:r>
      <w:r w:rsidRPr="002B7D76">
        <w:rPr>
          <w:rFonts w:ascii="Simplified Arabic" w:hAnsi="Simplified Arabic" w:cs="Simplified Arabic"/>
          <w:color w:val="000000" w:themeColor="text1"/>
          <w:sz w:val="28"/>
          <w:szCs w:val="28"/>
          <w:rtl/>
        </w:rPr>
        <w:t xml:space="preserve">أثره على الأداء التنظيمي في قطاع الاتصالات. </w:t>
      </w:r>
      <w:r w:rsidRPr="002B7D76">
        <w:rPr>
          <w:rFonts w:ascii="Simplified Arabic" w:hAnsi="Simplified Arabic" w:cs="Simplified Arabic"/>
          <w:color w:val="000000" w:themeColor="text1"/>
          <w:sz w:val="28"/>
          <w:szCs w:val="28"/>
          <w:rtl/>
        </w:rPr>
        <w:lastRenderedPageBreak/>
        <w:t>أما على صعيد الدراسات الأجنبية، فقد قدّمت دراسة</w:t>
      </w:r>
      <w:r w:rsidRPr="002B7D76">
        <w:rPr>
          <w:rFonts w:ascii="Simplified Arabic" w:hAnsi="Simplified Arabic" w:cs="Simplified Arabic"/>
          <w:color w:val="000000" w:themeColor="text1"/>
          <w:sz w:val="28"/>
          <w:szCs w:val="28"/>
        </w:rPr>
        <w:t xml:space="preserve"> (Kraus et al., 2021) </w:t>
      </w:r>
      <w:r w:rsidRPr="002B7D76">
        <w:rPr>
          <w:rFonts w:ascii="Simplified Arabic" w:hAnsi="Simplified Arabic" w:cs="Simplified Arabic"/>
          <w:color w:val="000000" w:themeColor="text1"/>
          <w:sz w:val="28"/>
          <w:szCs w:val="28"/>
          <w:rtl/>
        </w:rPr>
        <w:t xml:space="preserve">مراجعة منهجية عامة للتحول الرقمي في الرعاية الصحية دون التطرق لمجال بنوك الدم، وأجرت دراسة </w:t>
      </w:r>
      <w:r w:rsidRPr="002B7D76">
        <w:rPr>
          <w:rFonts w:ascii="Simplified Arabic" w:hAnsi="Simplified Arabic" w:cs="Simplified Arabic"/>
          <w:color w:val="000000" w:themeColor="text1"/>
          <w:sz w:val="28"/>
          <w:szCs w:val="28"/>
        </w:rPr>
        <w:t xml:space="preserve">(Dionisio et al., 2023) </w:t>
      </w:r>
      <w:r w:rsidRPr="002B7D76">
        <w:rPr>
          <w:rFonts w:ascii="Simplified Arabic" w:hAnsi="Simplified Arabic" w:cs="Simplified Arabic"/>
          <w:color w:val="000000" w:themeColor="text1"/>
          <w:sz w:val="28"/>
          <w:szCs w:val="28"/>
          <w:rtl/>
        </w:rPr>
        <w:t>مراجعة منهجية حول دور التحول الرقمي في تحسين فاعلية الرعاية الصحية بشكل عام مع تأكيدها على محدودية الأدلة التجريبية في السياقات المتخصصة، وتناولت دراسة</w:t>
      </w:r>
      <w:r w:rsidRPr="002B7D76">
        <w:rPr>
          <w:rFonts w:ascii="Simplified Arabic" w:hAnsi="Simplified Arabic" w:cs="Simplified Arabic"/>
          <w:color w:val="000000" w:themeColor="text1"/>
          <w:sz w:val="28"/>
          <w:szCs w:val="28"/>
        </w:rPr>
        <w:t xml:space="preserve"> (YahiaMarzouk, 2025) </w:t>
      </w:r>
      <w:r w:rsidRPr="002B7D76">
        <w:rPr>
          <w:rFonts w:ascii="Simplified Arabic" w:hAnsi="Simplified Arabic" w:cs="Simplified Arabic"/>
          <w:color w:val="000000" w:themeColor="text1"/>
          <w:sz w:val="28"/>
          <w:szCs w:val="28"/>
          <w:rtl/>
        </w:rPr>
        <w:t>التحول الرقمي من منظور استراتيجي في المستشفيات الخاصة المصرية، وبحثت دراسة</w:t>
      </w:r>
      <w:r w:rsidRPr="002B7D76">
        <w:rPr>
          <w:rFonts w:ascii="Simplified Arabic" w:hAnsi="Simplified Arabic" w:cs="Simplified Arabic"/>
          <w:color w:val="000000" w:themeColor="text1"/>
          <w:sz w:val="28"/>
          <w:szCs w:val="28"/>
        </w:rPr>
        <w:t xml:space="preserve"> (Blhaj et al., 2025) </w:t>
      </w:r>
      <w:r w:rsidRPr="002B7D76">
        <w:rPr>
          <w:rFonts w:ascii="Simplified Arabic" w:hAnsi="Simplified Arabic" w:cs="Simplified Arabic"/>
          <w:color w:val="000000" w:themeColor="text1"/>
          <w:sz w:val="28"/>
          <w:szCs w:val="28"/>
          <w:rtl/>
        </w:rPr>
        <w:t>دور الطب عن بُعد في التحول الرقمي من منظور تصورات المرضى، بينما استكشفت دراسة</w:t>
      </w:r>
      <w:r w:rsidRPr="002B7D76">
        <w:rPr>
          <w:rFonts w:ascii="Simplified Arabic" w:hAnsi="Simplified Arabic" w:cs="Simplified Arabic"/>
          <w:color w:val="000000" w:themeColor="text1"/>
          <w:sz w:val="28"/>
          <w:szCs w:val="28"/>
        </w:rPr>
        <w:t xml:space="preserve"> (Peri</w:t>
      </w:r>
      <w:r w:rsidRPr="002B7D76">
        <w:rPr>
          <w:rFonts w:ascii="Cambria" w:hAnsi="Cambria" w:cs="Cambria"/>
          <w:color w:val="000000" w:themeColor="text1"/>
          <w:sz w:val="28"/>
          <w:szCs w:val="28"/>
        </w:rPr>
        <w:t>áñ</w:t>
      </w:r>
      <w:r w:rsidRPr="002B7D76">
        <w:rPr>
          <w:rFonts w:ascii="Simplified Arabic" w:hAnsi="Simplified Arabic" w:cs="Simplified Arabic"/>
          <w:color w:val="000000" w:themeColor="text1"/>
          <w:sz w:val="28"/>
          <w:szCs w:val="28"/>
        </w:rPr>
        <w:t xml:space="preserve">ez et al., 2024) </w:t>
      </w:r>
      <w:r w:rsidRPr="002B7D76">
        <w:rPr>
          <w:rFonts w:ascii="Simplified Arabic" w:hAnsi="Simplified Arabic" w:cs="Simplified Arabic"/>
          <w:color w:val="000000" w:themeColor="text1"/>
          <w:sz w:val="28"/>
          <w:szCs w:val="28"/>
          <w:rtl/>
        </w:rPr>
        <w:t>كيفية إسهام الذكاء الاصطناعي في تحسين أداء الأنظمة الصحية. كما أن الدراسات التي تناولت المتغير التابع المتمثل في كفاءة الخدمات الصحية وجودة الرعاية الصحية ربطته بمتغيرات مستقلة مغايرة كالتدريب في دراسة (غواري، 2021)، والتخطيط الاستراتيجي في دراسة (محمد، 2024)، والرشاقة الاستراتيجية وإدارة المخاطر في دراسة (عودة والخشالي، 2025). وبناءً على ما تقدم، تتجلى الفجوة البحثية التي تسعى الدراسة الحالية إلى سدّها في غياب دراسات عربية أو أجنبية - في حدود علم الباحث - تناولت بشكل مباشر ومتكامل أثر التحول الرقمي بأبعاده الأربعة (البنية التحتية التكنولوجية، والأنظمة الذكية لإدارة البيانات، والكفاءات الرقمية للموارد البشرية، والأمن السيبراني وحماية البيانات الصحية) على كفاءة الخدمات الصحية في مجال إدارة بنوك الدم تحديداً، ولا سيما في البيئة السعودية وفي ضوء مستهدفات رؤية المملكة 2030، مما يمنح هذه الدراسة أصالتها العلمية ويُبرر الحاجة الماسة إلى إجرائها</w:t>
      </w:r>
      <w:r w:rsidRPr="002B7D76">
        <w:rPr>
          <w:rFonts w:ascii="Simplified Arabic" w:hAnsi="Simplified Arabic" w:cs="Simplified Arabic"/>
          <w:color w:val="000000" w:themeColor="text1"/>
          <w:sz w:val="28"/>
          <w:szCs w:val="28"/>
        </w:rPr>
        <w:t>.</w:t>
      </w:r>
      <w:r w:rsidR="00EF1B00" w:rsidRPr="002B7D76">
        <w:rPr>
          <w:rFonts w:ascii="Simplified Arabic" w:hAnsi="Simplified Arabic" w:cs="Simplified Arabic"/>
          <w:color w:val="000000" w:themeColor="text1"/>
          <w:sz w:val="28"/>
          <w:szCs w:val="28"/>
        </w:rPr>
        <w:t>.</w:t>
      </w:r>
    </w:p>
    <w:p w14:paraId="571A02BD" w14:textId="77777777" w:rsidR="00F12E68" w:rsidRPr="002B7D76" w:rsidRDefault="00F12E68" w:rsidP="00F12E6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2"/>
      <w:bookmarkStart w:id="18" w:name="_Toc234165269"/>
      <w:bookmarkEnd w:id="13"/>
      <w:r w:rsidRPr="002B7D76">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267E9512" w14:textId="1BE7DF75" w:rsidR="00F12E68" w:rsidRPr="002B7D76" w:rsidRDefault="00F12E68" w:rsidP="00F12E6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B7D76">
        <w:rPr>
          <w:rFonts w:ascii="Simplified Arabic" w:eastAsia="Times New Roman" w:hAnsi="Simplified Arabic" w:cs="Simplified Arabic"/>
          <w:b/>
          <w:bCs/>
          <w:color w:val="000000" w:themeColor="text1"/>
          <w:kern w:val="0"/>
          <w:sz w:val="32"/>
          <w:szCs w:val="32"/>
          <w:rtl/>
          <w14:ligatures w14:val="none"/>
        </w:rPr>
        <w:t>أولاً: مفهوم التحول الرقمي (</w:t>
      </w:r>
      <w:r w:rsidRPr="002B7D76">
        <w:rPr>
          <w:rFonts w:ascii="Simplified Arabic" w:eastAsia="Times New Roman" w:hAnsi="Simplified Arabic" w:cs="Simplified Arabic"/>
          <w:b/>
          <w:bCs/>
          <w:color w:val="000000" w:themeColor="text1"/>
          <w:kern w:val="0"/>
          <w:sz w:val="32"/>
          <w:szCs w:val="32"/>
          <w14:ligatures w14:val="none"/>
        </w:rPr>
        <w:t>Digital Transformation</w:t>
      </w:r>
      <w:r w:rsidRPr="002B7D76">
        <w:rPr>
          <w:rFonts w:ascii="Simplified Arabic" w:eastAsia="Times New Roman" w:hAnsi="Simplified Arabic" w:cs="Simplified Arabic"/>
          <w:b/>
          <w:bCs/>
          <w:color w:val="000000" w:themeColor="text1"/>
          <w:kern w:val="0"/>
          <w:sz w:val="32"/>
          <w:szCs w:val="32"/>
          <w:rtl/>
          <w14:ligatures w14:val="none"/>
        </w:rPr>
        <w:t>)</w:t>
      </w:r>
    </w:p>
    <w:p w14:paraId="3B6A931E"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يُعد التحول الرقمي من المفاهيم المعاصرة التي حظيت باهتمام أكاديمي ومهني واسع، ويُقصد به تلك العملية الشاملة التي تستهدف تحسين الكيانات المؤسسية من خلال إحداث تغييرات جوهرية في خصائصها وعملياتها عبر الدمج المنهجي لتقنيات المعلومات والحوسبة والاتصالات والربط الشبكي. ولا يقتصر التحول الرقمي على مجرد إدخال التكنولوجيا في بيئة العمل، بل يتجاوز ذلك إلى إعادة هندسة العمليات والإجراءات وتغيير الثقافة المؤسسية وابتكار نماذج جديدة لتقديم الخدمات (محمد، 2023). وفي القطاع الصحي تحديداً، عرّف</w:t>
      </w:r>
      <w:r w:rsidRPr="002B7D76">
        <w:rPr>
          <w:rFonts w:ascii="Simplified Arabic" w:eastAsia="Times New Roman" w:hAnsi="Simplified Arabic" w:cs="Simplified Arabic"/>
          <w:color w:val="000000" w:themeColor="text1"/>
          <w:kern w:val="0"/>
          <w:sz w:val="28"/>
          <w:szCs w:val="28"/>
          <w14:ligatures w14:val="none"/>
        </w:rPr>
        <w:t xml:space="preserve"> (Kraus et al., 2021) </w:t>
      </w:r>
      <w:r w:rsidRPr="002B7D76">
        <w:rPr>
          <w:rFonts w:ascii="Simplified Arabic" w:eastAsia="Times New Roman" w:hAnsi="Simplified Arabic" w:cs="Simplified Arabic"/>
          <w:color w:val="000000" w:themeColor="text1"/>
          <w:kern w:val="0"/>
          <w:sz w:val="28"/>
          <w:szCs w:val="28"/>
          <w:rtl/>
          <w14:ligatures w14:val="none"/>
        </w:rPr>
        <w:t xml:space="preserve">التحول الرقمي بأنه التطبيق المنهجي للتقنيات الرقمية من قِبل مختلف أصحاب المصلحة في منظومة الرعاية الصحية لأغراض الإدارة والأعمال، بما يُفضي إلى تحقيق </w:t>
      </w:r>
      <w:r w:rsidRPr="002B7D76">
        <w:rPr>
          <w:rFonts w:ascii="Simplified Arabic" w:eastAsia="Times New Roman" w:hAnsi="Simplified Arabic" w:cs="Simplified Arabic"/>
          <w:color w:val="000000" w:themeColor="text1"/>
          <w:kern w:val="0"/>
          <w:sz w:val="28"/>
          <w:szCs w:val="28"/>
          <w:rtl/>
          <w14:ligatures w14:val="none"/>
        </w:rPr>
        <w:lastRenderedPageBreak/>
        <w:t>كفاءات تشغيلية شاملة لمقدمي الخدمات الصحية. كما أشار</w:t>
      </w:r>
      <w:r w:rsidRPr="002B7D76">
        <w:rPr>
          <w:rFonts w:ascii="Simplified Arabic" w:eastAsia="Times New Roman" w:hAnsi="Simplified Arabic" w:cs="Simplified Arabic"/>
          <w:color w:val="000000" w:themeColor="text1"/>
          <w:kern w:val="0"/>
          <w:sz w:val="28"/>
          <w:szCs w:val="28"/>
          <w14:ligatures w14:val="none"/>
        </w:rPr>
        <w:t xml:space="preserve"> (YahiaMarzouk, 2025) </w:t>
      </w:r>
      <w:r w:rsidRPr="002B7D76">
        <w:rPr>
          <w:rFonts w:ascii="Simplified Arabic" w:eastAsia="Times New Roman" w:hAnsi="Simplified Arabic" w:cs="Simplified Arabic"/>
          <w:color w:val="000000" w:themeColor="text1"/>
          <w:kern w:val="0"/>
          <w:sz w:val="28"/>
          <w:szCs w:val="28"/>
          <w:rtl/>
          <w14:ligatures w14:val="none"/>
        </w:rPr>
        <w:t>إلى أن التحول الرقمي في القطاع الصحي يتجاوز المنظور التكنولوجي التقليدي ليشمل بُعداً استراتيجياً يتمثل في إعادة التشكيل الاستراتيجي للمؤسسات الصحية وتمكينها من تقديم عروض قيمة جديدة وخدمات متنوعة تستجيب لتطلعات المستفيدين</w:t>
      </w:r>
      <w:r w:rsidRPr="002B7D76">
        <w:rPr>
          <w:rFonts w:ascii="Simplified Arabic" w:eastAsia="Times New Roman" w:hAnsi="Simplified Arabic" w:cs="Simplified Arabic"/>
          <w:color w:val="000000" w:themeColor="text1"/>
          <w:kern w:val="0"/>
          <w:sz w:val="28"/>
          <w:szCs w:val="28"/>
          <w14:ligatures w14:val="none"/>
        </w:rPr>
        <w:t>.</w:t>
      </w:r>
    </w:p>
    <w:p w14:paraId="029AC55C" w14:textId="05362493"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وتتعدد أبعاد التحول الرقمي في المؤسسات الصحية، وقد حددت هذه الدراسة أربعة أبعاد رئيسية تمثل المتغير المستقل. يتمثل البُعد الأول في البنية التحتية التكنولوجية التي تشمل الأجهزة والمعدات والشبكات والبرمجيات والأنظمة التشغيلية التي تُشكل الأساس المادي والتقني الذي يقوم عليه التحول الرقمي، وقد أكدت (زيد، 2023) أن البنية التحتية التكنولوجية تُعد من أكثر أبعاد التحول الرقمي تأثيراً في تحقيق المرونة الاستراتيجية للمؤسسات. ويتمثل البُعد الثاني في الأنظمة الذكية لإدارة البيانات التي تشمل أنظمة المعلومات الصحية والسجلات الإلكترونية وأنظمة دعم القرار وتقنيات الذكاء الاصطناعي وتحليل البيانات الضخمة، وقد أشار</w:t>
      </w:r>
      <w:r w:rsidRPr="002B7D76">
        <w:rPr>
          <w:rFonts w:ascii="Simplified Arabic" w:eastAsia="Times New Roman" w:hAnsi="Simplified Arabic" w:cs="Simplified Arabic"/>
          <w:color w:val="000000" w:themeColor="text1"/>
          <w:kern w:val="0"/>
          <w:sz w:val="28"/>
          <w:szCs w:val="28"/>
          <w14:ligatures w14:val="none"/>
        </w:rPr>
        <w:t xml:space="preserve"> (Peri</w:t>
      </w:r>
      <w:r w:rsidRPr="002B7D76">
        <w:rPr>
          <w:rFonts w:ascii="Cambria" w:eastAsia="Times New Roman" w:hAnsi="Cambria" w:cs="Cambria"/>
          <w:color w:val="000000" w:themeColor="text1"/>
          <w:kern w:val="0"/>
          <w:sz w:val="28"/>
          <w:szCs w:val="28"/>
          <w14:ligatures w14:val="none"/>
        </w:rPr>
        <w:t>áñ</w:t>
      </w:r>
      <w:r w:rsidRPr="002B7D76">
        <w:rPr>
          <w:rFonts w:ascii="Simplified Arabic" w:eastAsia="Times New Roman" w:hAnsi="Simplified Arabic" w:cs="Simplified Arabic"/>
          <w:color w:val="000000" w:themeColor="text1"/>
          <w:kern w:val="0"/>
          <w:sz w:val="28"/>
          <w:szCs w:val="28"/>
          <w14:ligatures w14:val="none"/>
        </w:rPr>
        <w:t xml:space="preserve">ez et al., 2024) </w:t>
      </w:r>
      <w:r w:rsidRPr="002B7D76">
        <w:rPr>
          <w:rFonts w:ascii="Simplified Arabic" w:eastAsia="Times New Roman" w:hAnsi="Simplified Arabic" w:cs="Simplified Arabic"/>
          <w:color w:val="000000" w:themeColor="text1"/>
          <w:kern w:val="0"/>
          <w:sz w:val="28"/>
          <w:szCs w:val="28"/>
          <w:rtl/>
          <w14:ligatures w14:val="none"/>
        </w:rPr>
        <w:t>إلى أن تقنيات الذكاء الاصطناعي تمتلك إمكانات واعدة في تحسين أداء الأنظمة الصحية من خلال تعزيز دقة التشخيص وتحسين تخصيص الموارد. أما البُعد الثالث فيتمثل في الكفاءات الرقمية للموارد البشرية التي تُشير إلى مجموعة المعارف والمهارات والقدرات التقنية التي يمتلكها العاملون وتُمكنهم من التعامل الفعّال مع الأنظمة والأدوات الرقمية، وقد أوضح (محمد، 2022) أن نجاح تطبيق التحول الرقمي يرتبط ارتباطاً وثيقاً بمستوى الكفاءات المعرفية والرقمية المتراكمة لدى العاملين. ويتمثل البُعد الرابع في الأمن السيبراني وحماية البيانات الصحية الذي يُعنى بمجموعة السياسات والإجراءات والتقنيات المصممة لحماية الأنظمة الرقمية والبيانات الصحية الحساسة من التهديدات والاختراقات الإلكترونية، وقد أكد</w:t>
      </w:r>
      <w:r w:rsidRPr="002B7D76">
        <w:rPr>
          <w:rFonts w:ascii="Simplified Arabic" w:eastAsia="Times New Roman" w:hAnsi="Simplified Arabic" w:cs="Simplified Arabic"/>
          <w:color w:val="000000" w:themeColor="text1"/>
          <w:kern w:val="0"/>
          <w:sz w:val="28"/>
          <w:szCs w:val="28"/>
          <w14:ligatures w14:val="none"/>
        </w:rPr>
        <w:t xml:space="preserve"> (Dionisio et al., 2023) </w:t>
      </w:r>
      <w:r w:rsidRPr="002B7D76">
        <w:rPr>
          <w:rFonts w:ascii="Simplified Arabic" w:eastAsia="Times New Roman" w:hAnsi="Simplified Arabic" w:cs="Simplified Arabic"/>
          <w:color w:val="000000" w:themeColor="text1"/>
          <w:kern w:val="0"/>
          <w:sz w:val="28"/>
          <w:szCs w:val="28"/>
          <w:rtl/>
          <w14:ligatures w14:val="none"/>
        </w:rPr>
        <w:t>أن من أبرز التهديدات التي تواجه التحول الرقمي في القطاع الصحي ما يتعلق بالخصوصية وأمن البيانات، مما يستلزم استثمارات مستمرة في منظومة الأمن السيبراني</w:t>
      </w:r>
      <w:r w:rsidRPr="002B7D76">
        <w:rPr>
          <w:rFonts w:ascii="Simplified Arabic" w:eastAsia="Times New Roman" w:hAnsi="Simplified Arabic" w:cs="Simplified Arabic"/>
          <w:color w:val="000000" w:themeColor="text1"/>
          <w:kern w:val="0"/>
          <w:sz w:val="28"/>
          <w:szCs w:val="28"/>
          <w14:ligatures w14:val="none"/>
        </w:rPr>
        <w:t>.</w:t>
      </w:r>
    </w:p>
    <w:p w14:paraId="06921DA3" w14:textId="77777777" w:rsidR="00532E03" w:rsidRPr="002B7D76" w:rsidRDefault="00532E03" w:rsidP="00F12E6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107087"/>
      <w:r w:rsidRPr="002B7D76">
        <w:rPr>
          <w:rFonts w:ascii="Simplified Arabic" w:eastAsia="Times New Roman" w:hAnsi="Simplified Arabic" w:cs="Simplified Arabic"/>
          <w:b/>
          <w:bCs/>
          <w:color w:val="000000" w:themeColor="text1"/>
          <w:kern w:val="0"/>
          <w:sz w:val="32"/>
          <w:szCs w:val="32"/>
          <w:rtl/>
          <w14:ligatures w14:val="none"/>
        </w:rPr>
        <w:t>ثانياً: مفهوم كفاءة الخدمات الصحية</w:t>
      </w:r>
      <w:r w:rsidRPr="002B7D76">
        <w:rPr>
          <w:rFonts w:ascii="Simplified Arabic" w:eastAsia="Times New Roman" w:hAnsi="Simplified Arabic" w:cs="Simplified Arabic"/>
          <w:b/>
          <w:bCs/>
          <w:color w:val="000000" w:themeColor="text1"/>
          <w:kern w:val="0"/>
          <w:sz w:val="32"/>
          <w:szCs w:val="32"/>
          <w14:ligatures w14:val="none"/>
        </w:rPr>
        <w:t xml:space="preserve"> (Healthcare Service Efficiency)</w:t>
      </w:r>
      <w:bookmarkEnd w:id="19"/>
    </w:p>
    <w:p w14:paraId="2E87A712"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تُعرَّف كفاءة الخدمات الصحية بأنها قدرة المنظمة الصحية على تحقيق أقصى مخرجات ممكنة من الخدمات الصحية باستخدام أقل قدر من الموارد المتاحة، أو بمعنى آخر هي النسبة بين مخرجات النظام الصحي كالزيارات الطبية والنتائج الصحية ومدخلاته كالتكلفة والوقت والمواد</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 xml:space="preserve">وتتضمن كفاءة الخدمات الصحية عدة أبعاد تشمل سرعة تقديم الخدمة ودقتها، وتقليل الأخطاء الطبية والهدر في الموارد، وتحقيق </w:t>
      </w:r>
      <w:r w:rsidRPr="002B7D76">
        <w:rPr>
          <w:rFonts w:ascii="Simplified Arabic" w:eastAsia="Times New Roman" w:hAnsi="Simplified Arabic" w:cs="Simplified Arabic"/>
          <w:color w:val="000000" w:themeColor="text1"/>
          <w:kern w:val="0"/>
          <w:sz w:val="28"/>
          <w:szCs w:val="28"/>
          <w:rtl/>
          <w14:ligatures w14:val="none"/>
        </w:rPr>
        <w:lastRenderedPageBreak/>
        <w:t>رضا المستفيدين، وتحسين النتائج الصحية للمرضى. وقد عرّفت منظمة الصحة العالمية جودة الرعاية الصحية بأنها الدرجة التي تزيد بها الخدمات الصحية المقدمة للأفراد والمجتمعات من احتمالية تحقيق النتائج الصحية المرجوة. وقد أوضح (قاسم ومحمد، 2021) أن تحقيق الرعاية الصحية الشاملة يستلزم وجود نظام صحي متكامل ومنظم يُحقق التنسيق بين مستويات الرعاية المختلفة، وأن التكامل بين هذه المستويات يُعد شرطاً جوهرياً لرفع كفاءة الخدمات وتقليل الهدر في الموارد</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كما أشار (غواري، 2021) إلى أن التدريب الجيد للعاملين يُسهم بشكل مباشر في تحسين الأداء وتقليل الأخطاء الطبية، وبالتالي رفع كفاءة الخدمات الصحية المقدمة وتحقيق رضا المرضى</w:t>
      </w:r>
      <w:r w:rsidRPr="002B7D76">
        <w:rPr>
          <w:rFonts w:ascii="Simplified Arabic" w:eastAsia="Times New Roman" w:hAnsi="Simplified Arabic" w:cs="Simplified Arabic"/>
          <w:color w:val="000000" w:themeColor="text1"/>
          <w:kern w:val="0"/>
          <w:sz w:val="28"/>
          <w:szCs w:val="28"/>
          <w14:ligatures w14:val="none"/>
        </w:rPr>
        <w:t>.</w:t>
      </w:r>
    </w:p>
    <w:p w14:paraId="2521387F" w14:textId="77777777" w:rsidR="00532E03" w:rsidRPr="002B7D76" w:rsidRDefault="00532E03" w:rsidP="00F12E6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107088"/>
      <w:r w:rsidRPr="002B7D76">
        <w:rPr>
          <w:rFonts w:ascii="Simplified Arabic" w:eastAsia="Times New Roman" w:hAnsi="Simplified Arabic" w:cs="Simplified Arabic"/>
          <w:b/>
          <w:bCs/>
          <w:color w:val="000000" w:themeColor="text1"/>
          <w:kern w:val="0"/>
          <w:sz w:val="32"/>
          <w:szCs w:val="32"/>
          <w:rtl/>
          <w14:ligatures w14:val="none"/>
        </w:rPr>
        <w:t>ثالثاً: مفهوم بنوك الدم</w:t>
      </w:r>
      <w:r w:rsidRPr="002B7D76">
        <w:rPr>
          <w:rFonts w:ascii="Simplified Arabic" w:eastAsia="Times New Roman" w:hAnsi="Simplified Arabic" w:cs="Simplified Arabic"/>
          <w:b/>
          <w:bCs/>
          <w:color w:val="000000" w:themeColor="text1"/>
          <w:kern w:val="0"/>
          <w:sz w:val="32"/>
          <w:szCs w:val="32"/>
          <w14:ligatures w14:val="none"/>
        </w:rPr>
        <w:t xml:space="preserve"> (Blood Banks)</w:t>
      </w:r>
      <w:bookmarkEnd w:id="20"/>
    </w:p>
    <w:p w14:paraId="06811800"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يُقصد ببنك الدم ذلك المرفق الصحي المتخصص المسؤول عن جمع الدم من المتبرعين وفحصه مخبرياً وفصل مكوناته ومعالجتها وتخزينها وفق شروط حرارية صارمة وتوزيعها على المرضى المحتاجين وفقاً لبروتوكولات طبية دقيقة. وتُعد إدارة بنوك الدم من أكثر العمليات الصحية تعقيداً، إذ تتضمن سلسلة متكاملة من الإجراءات التي تبدأ باستقطاب المتبرعين وتسجيل بياناتهم، مروراً بسحب الدم وإجراء الفحوصات المخبرية للكشف عن الأمراض المنقولة عبر الدم وتحديد فصيلة الدم، ثم فصل المكونات إلى كريات حمراء وصفائح دموية وبلازما، وتخزينها في درجات حرارة محددة لكل مكوّن، وانتهاءً بإجراء اختبارات التوافق ومطابقة الفصائل قبل نقل الدم للمريض. ويتطلب كل إجراء من هذه الإجراءات دقة متناهية وتوثيقاً محكماً، وأي خلل في أي حلقة من هذه السلسلة قد يترتب عليه عواقب صحية خطيرة تمس حياة المرضى وسلامتهم</w:t>
      </w:r>
      <w:r w:rsidRPr="002B7D76">
        <w:rPr>
          <w:rFonts w:ascii="Simplified Arabic" w:eastAsia="Times New Roman" w:hAnsi="Simplified Arabic" w:cs="Simplified Arabic"/>
          <w:color w:val="000000" w:themeColor="text1"/>
          <w:kern w:val="0"/>
          <w:sz w:val="28"/>
          <w:szCs w:val="28"/>
          <w14:ligatures w14:val="none"/>
        </w:rPr>
        <w:t>.</w:t>
      </w:r>
    </w:p>
    <w:p w14:paraId="21826825" w14:textId="77777777" w:rsidR="00532E03" w:rsidRPr="002B7D76" w:rsidRDefault="00532E03" w:rsidP="00F12E6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4107089"/>
      <w:r w:rsidRPr="002B7D76">
        <w:rPr>
          <w:rFonts w:ascii="Simplified Arabic" w:eastAsia="Times New Roman" w:hAnsi="Simplified Arabic" w:cs="Simplified Arabic"/>
          <w:b/>
          <w:bCs/>
          <w:color w:val="000000" w:themeColor="text1"/>
          <w:kern w:val="0"/>
          <w:sz w:val="32"/>
          <w:szCs w:val="32"/>
          <w:rtl/>
          <w14:ligatures w14:val="none"/>
        </w:rPr>
        <w:t>رابعاً: رؤية المملكة العربية السعودية 2030 وتحول القطاع الصحي</w:t>
      </w:r>
      <w:bookmarkEnd w:id="21"/>
    </w:p>
    <w:p w14:paraId="22E20EC0"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 xml:space="preserve">تُمثل رؤية المملكة العربية السعودية 2030 الإطار الاستراتيجي الشامل الذي يرسم ملامح مستقبل المملكة في مختلف القطاعات. ويُعد برنامج تحول القطاع الصحي أحد أبرز البرامج التنفيذية لهذه الرؤية، وهو يهتم بالصحة العامة بكافة مكوناتها ويعمل على تسهيل الوصول إلى الخدمات الصحية والرفع من جودتها عبر تطوير المستشفيات ومراكز الرعاية الصحية وتعزيز التحول الرقمي الصحي. وتتضمن الأهداف الاستراتيجية للبرنامج أربعة محاور رئيسية هي: تسهيل الحصول على الخدمات الصحية، وتحسين جودة وكفاءة الخدمات الصحية، وتعزيز الوقاية ضد المخاطر الصحية، وتعزيز السلامة المرورية. ويحتل التحول الرقمي الصحي مكانة محورية في هذا البرنامج، حيث تسعى المملكة إلى رفع نسبة التحول الرقمي في </w:t>
      </w:r>
      <w:r w:rsidRPr="002B7D76">
        <w:rPr>
          <w:rFonts w:ascii="Simplified Arabic" w:eastAsia="Times New Roman" w:hAnsi="Simplified Arabic" w:cs="Simplified Arabic"/>
          <w:color w:val="000000" w:themeColor="text1"/>
          <w:kern w:val="0"/>
          <w:sz w:val="28"/>
          <w:szCs w:val="28"/>
          <w:rtl/>
          <w14:ligatures w14:val="none"/>
        </w:rPr>
        <w:lastRenderedPageBreak/>
        <w:t>المنشآت الصحية وتعميم استخدام السجلات الصحية الإلكترونية والأنظمة الذكية في إدارة الخدمات الصحية بما فيها بنوك الدم</w:t>
      </w:r>
      <w:r w:rsidRPr="002B7D76">
        <w:rPr>
          <w:rFonts w:ascii="Simplified Arabic" w:eastAsia="Times New Roman" w:hAnsi="Simplified Arabic" w:cs="Simplified Arabic"/>
          <w:color w:val="000000" w:themeColor="text1"/>
          <w:kern w:val="0"/>
          <w:sz w:val="28"/>
          <w:szCs w:val="28"/>
          <w14:ligatures w14:val="none"/>
        </w:rPr>
        <w:t xml:space="preserve"> (Emran, Salem, &amp; El-hony, 2025).</w:t>
      </w:r>
    </w:p>
    <w:p w14:paraId="555C9987" w14:textId="0103F26B" w:rsidR="00532E03" w:rsidRPr="002B7D76" w:rsidRDefault="00532E03" w:rsidP="00F12E6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4107090"/>
      <w:r w:rsidRPr="002B7D76">
        <w:rPr>
          <w:rFonts w:ascii="Simplified Arabic" w:eastAsia="Times New Roman" w:hAnsi="Simplified Arabic" w:cs="Simplified Arabic"/>
          <w:b/>
          <w:bCs/>
          <w:color w:val="000000" w:themeColor="text1"/>
          <w:kern w:val="0"/>
          <w:sz w:val="32"/>
          <w:szCs w:val="32"/>
          <w:rtl/>
          <w14:ligatures w14:val="none"/>
        </w:rPr>
        <w:t>التعريفات الإجرائية لمصطلحات الدراسة</w:t>
      </w:r>
      <w:bookmarkEnd w:id="22"/>
    </w:p>
    <w:p w14:paraId="5C7AB3F5"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التحول الرقمي في إدارة بنوك الدم</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يُعرَّف إجرائياً في هذه الدراسة بأنه عملية التطبيق المنهجي والشامل للتقنيات الرقمية والأنظمة الذكية في جميع عمليات بنوك الدم بالمستشفيات السعودية، ويُقاس من خلال أربعة أبعاد هي: البنية التحتية التكنولوجية، والأنظمة الذكية لإدارة البيانات، والكفاءات الرقمية للموارد البشرية، والأمن السيبراني وحماية البيانات الصحية</w:t>
      </w:r>
      <w:r w:rsidRPr="002B7D76">
        <w:rPr>
          <w:rFonts w:ascii="Simplified Arabic" w:eastAsia="Times New Roman" w:hAnsi="Simplified Arabic" w:cs="Simplified Arabic"/>
          <w:color w:val="000000" w:themeColor="text1"/>
          <w:kern w:val="0"/>
          <w:sz w:val="28"/>
          <w:szCs w:val="28"/>
          <w14:ligatures w14:val="none"/>
        </w:rPr>
        <w:t>.</w:t>
      </w:r>
    </w:p>
    <w:p w14:paraId="6A56B357"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كفاءة الخدمات الصحية في بنوك الدم</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تُعرَّف إجرائياً بأنها قدرة بنوك الدم في المستشفيات السعودية على تقديم خدماتها بأعلى مستوى من الجودة والدقة والسرعة مع تقليل الأخطاء والهدر والتكاليف وتحقيق رضا المستفيدين، وتُقاس من خلال استجابات أفراد عينة الدراسة على فقرات المحور المخصص لذلك في الاستبانة</w:t>
      </w:r>
      <w:r w:rsidRPr="002B7D76">
        <w:rPr>
          <w:rFonts w:ascii="Simplified Arabic" w:eastAsia="Times New Roman" w:hAnsi="Simplified Arabic" w:cs="Simplified Arabic"/>
          <w:color w:val="000000" w:themeColor="text1"/>
          <w:kern w:val="0"/>
          <w:sz w:val="28"/>
          <w:szCs w:val="28"/>
          <w14:ligatures w14:val="none"/>
        </w:rPr>
        <w:t>.</w:t>
      </w:r>
    </w:p>
    <w:p w14:paraId="1B2AFBAE"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رؤية المملكة العربية السعودية 2030</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تُعرَّف إجرائياً بأنها الإطار الاستراتيجي الوطني الذي يُحدد التوجهات والمستهدفات المتعلقة بتطوير القطاع الصحي في المملكة، وتحديداً ما يتصل ببرنامج تحول القطاع الصحي الذي يتضمن تعزيز التحول الرقمي الصحي وتحسين جودة وكفاءة الخدمات الصحية</w:t>
      </w:r>
      <w:r w:rsidRPr="002B7D76">
        <w:rPr>
          <w:rFonts w:ascii="Simplified Arabic" w:eastAsia="Times New Roman" w:hAnsi="Simplified Arabic" w:cs="Simplified Arabic"/>
          <w:color w:val="000000" w:themeColor="text1"/>
          <w:kern w:val="0"/>
          <w:sz w:val="28"/>
          <w:szCs w:val="28"/>
          <w14:ligatures w14:val="none"/>
        </w:rPr>
        <w:t>.</w:t>
      </w:r>
    </w:p>
    <w:p w14:paraId="5858C5C5" w14:textId="3DF1E9BA" w:rsidR="00F12E68" w:rsidRPr="002B7D76" w:rsidRDefault="00F12E68" w:rsidP="00F12E6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169790506"/>
      <w:bookmarkStart w:id="24" w:name="_Toc234165270"/>
      <w:bookmarkEnd w:id="17"/>
      <w:r w:rsidRPr="002B7D76">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4"/>
    </w:p>
    <w:p w14:paraId="57DBB69E"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إذ يُتيح هذا المنهج وصف الظاهرة محل الدراسة وصفاً دقيقاً والتعبير عنها كمياً وكيفياً، فضلاً عن تحليل العلاقات بين متغيراتها وتفسيرها. وسيتم توظيف هذا المنهج في جانبين متكاملين: الجانب النظري الذي سيعتمد على مراجعة الأدبيات والدراسات السابقة العربية والأجنبية ذات الصلة بالتحول الرقمي وكفاءة الخدمات الصحية وإدارة بنوك الدم لبناء الإطار النظري للدراسة، والجانب الميداني الذي سيعتمد على جمع البيانات الأولية من مجتمع الدراسة باستخدام الاستبانة أداةً رئيسة</w:t>
      </w:r>
      <w:r w:rsidRPr="002B7D76">
        <w:rPr>
          <w:rFonts w:ascii="Simplified Arabic" w:eastAsia="Times New Roman" w:hAnsi="Simplified Arabic" w:cs="Simplified Arabic"/>
          <w:color w:val="000000" w:themeColor="text1"/>
          <w:kern w:val="0"/>
          <w:sz w:val="28"/>
          <w:szCs w:val="28"/>
          <w14:ligatures w14:val="none"/>
        </w:rPr>
        <w:t>.</w:t>
      </w:r>
    </w:p>
    <w:p w14:paraId="22F9BABE"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 xml:space="preserve">وسيتم تصميم الدراسة الميدانية وفق منهجية علمية صارمة تتضمن تحديد مجتمع الدراسة وعينتها، وبناء أداة الدراسة وتحكيمها والتأكد من صدقها وثباتها، ثم توزيعها على أفراد العينة وجمع البيانات وتحليلها </w:t>
      </w:r>
      <w:r w:rsidRPr="002B7D76">
        <w:rPr>
          <w:rFonts w:ascii="Simplified Arabic" w:eastAsia="Times New Roman" w:hAnsi="Simplified Arabic" w:cs="Simplified Arabic"/>
          <w:color w:val="000000" w:themeColor="text1"/>
          <w:kern w:val="0"/>
          <w:sz w:val="28"/>
          <w:szCs w:val="28"/>
          <w:rtl/>
          <w14:ligatures w14:val="none"/>
        </w:rPr>
        <w:lastRenderedPageBreak/>
        <w:t>إحصائياً باستخدام الأساليب الإحصائية المناسبة، وصولاً إلى استخلاص النتائج واختبار فروض الدراسة وتقديم التوصيات والمقترحات العملية التي تُسهم في تعزيز التحول الرقمي في إدارة بنوك الدم بالمستشفيات السعودية وفق مستهدفات رؤية 2030</w:t>
      </w:r>
      <w:r w:rsidRPr="002B7D76">
        <w:rPr>
          <w:rFonts w:ascii="Simplified Arabic" w:eastAsia="Times New Roman" w:hAnsi="Simplified Arabic" w:cs="Simplified Arabic"/>
          <w:color w:val="000000" w:themeColor="text1"/>
          <w:kern w:val="0"/>
          <w:sz w:val="28"/>
          <w:szCs w:val="28"/>
          <w14:ligatures w14:val="none"/>
        </w:rPr>
        <w:t>.</w:t>
      </w:r>
    </w:p>
    <w:p w14:paraId="35490964" w14:textId="7CADE524" w:rsidR="00532E03" w:rsidRPr="002B7D76" w:rsidRDefault="00F12E68" w:rsidP="00F12E6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4107092"/>
      <w:bookmarkStart w:id="26" w:name="_Toc234165271"/>
      <w:r w:rsidRPr="002B7D76">
        <w:rPr>
          <w:rFonts w:ascii="Simplified Arabic" w:eastAsia="Times New Roman" w:hAnsi="Simplified Arabic" w:cs="Simplified Arabic" w:hint="cs"/>
          <w:b/>
          <w:bCs/>
          <w:color w:val="000000" w:themeColor="text1"/>
          <w:kern w:val="36"/>
          <w:sz w:val="36"/>
          <w:szCs w:val="36"/>
          <w:rtl/>
          <w14:ligatures w14:val="none"/>
        </w:rPr>
        <w:t xml:space="preserve">11.1 </w:t>
      </w:r>
      <w:r w:rsidR="00532E03" w:rsidRPr="002B7D76">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5"/>
      <w:bookmarkEnd w:id="26"/>
    </w:p>
    <w:p w14:paraId="4DFA07FC"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بنوك الدم بالمستشفيات الحكومية والخاصة في المملكة العربية السعودية، ويشمل ذلك الأطباء المتخصصين في طب نقل الدم، وأخصائيي وفنيي المختبرات العاملين في بنوك الدم، والإداريين والمشرفين المسؤولين عن إدارة عمليات بنوك الدم، ومسؤولي الجودة وتقنية المعلومات المرتبطين بتشغيل الأنظمة الرقمية في هذه البنوك. ووفقاً لإحصائيات وزارة الصحة السعودية، تضم المملكة أكثر من (290) مستشفى حكومياً وخاصاً تحتوي على بنوك دم أو أقسام لخدمات نقل الدم، ويُقدر عدد العاملين المتخصصين فيها بما يتجاوز</w:t>
      </w:r>
      <w:r w:rsidRPr="002B7D76">
        <w:rPr>
          <w:rFonts w:ascii="Simplified Arabic" w:eastAsia="Times New Roman" w:hAnsi="Simplified Arabic" w:cs="Simplified Arabic"/>
          <w:color w:val="000000" w:themeColor="text1"/>
          <w:kern w:val="0"/>
          <w:sz w:val="28"/>
          <w:szCs w:val="28"/>
          <w14:ligatures w14:val="none"/>
        </w:rPr>
        <w:t xml:space="preserve"> (5000) </w:t>
      </w:r>
      <w:r w:rsidRPr="002B7D76">
        <w:rPr>
          <w:rFonts w:ascii="Simplified Arabic" w:eastAsia="Times New Roman" w:hAnsi="Simplified Arabic" w:cs="Simplified Arabic"/>
          <w:color w:val="000000" w:themeColor="text1"/>
          <w:kern w:val="0"/>
          <w:sz w:val="28"/>
          <w:szCs w:val="28"/>
          <w:rtl/>
          <w14:ligatures w14:val="none"/>
        </w:rPr>
        <w:t>موظف وموظفة على مستوى المملكة</w:t>
      </w:r>
      <w:r w:rsidRPr="002B7D76">
        <w:rPr>
          <w:rFonts w:ascii="Simplified Arabic" w:eastAsia="Times New Roman" w:hAnsi="Simplified Arabic" w:cs="Simplified Arabic"/>
          <w:color w:val="000000" w:themeColor="text1"/>
          <w:kern w:val="0"/>
          <w:sz w:val="28"/>
          <w:szCs w:val="28"/>
          <w14:ligatures w14:val="none"/>
        </w:rPr>
        <w:t>.</w:t>
      </w:r>
    </w:p>
    <w:p w14:paraId="0C113367"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ونظراً لصعوبة إجراء الدراسة على كامل مجتمع البحث بسبب انتشاره الجغرافي الواسع، سيتم اختيار عينة ممثلة باستخدام أسلوب العينة العشوائية الطبقية متعددة المراحل، حيث سيتم في المرحلة الأولى تحديد المناطق الرئيسية (الرياض، مكة المكرمة، المنطقة الشرقية) باعتبارها تضم العدد الأكبر من المستشفيات، ثم في المرحلة الثانية سيتم اختيار عينة عشوائية من المستشفيات داخل كل منطقة، وفي المرحلة الثالثة سيتم اختيار أفراد العينة من العاملين في بنوك الدم بتلك المستشفيات</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وبتطبيق معادلة ستيفن ثامبسون لتحديد حجم العينة عند مستوى ثقة (95%) وهامش خطأ (5%)، سيبلغ الحد الأدنى المطلوب للعينة حوالي (357) مفردة، وسيتم توزيع (420) استبانة لضمان الحصول على عدد كافٍ من الاستجابات الصالحة للتحليل الإحصائي بعد استبعاد الاستبانات غير المكتملة</w:t>
      </w:r>
      <w:r w:rsidRPr="002B7D76">
        <w:rPr>
          <w:rFonts w:ascii="Simplified Arabic" w:eastAsia="Times New Roman" w:hAnsi="Simplified Arabic" w:cs="Simplified Arabic"/>
          <w:color w:val="000000" w:themeColor="text1"/>
          <w:kern w:val="0"/>
          <w:sz w:val="28"/>
          <w:szCs w:val="28"/>
          <w14:ligatures w14:val="none"/>
        </w:rPr>
        <w:t>.</w:t>
      </w:r>
    </w:p>
    <w:p w14:paraId="5D6A2788" w14:textId="2D9502A3" w:rsidR="00532E03" w:rsidRPr="002B7D76" w:rsidRDefault="00F12E68" w:rsidP="00F12E6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4107093"/>
      <w:bookmarkStart w:id="28" w:name="_Toc234165272"/>
      <w:r w:rsidRPr="002B7D76">
        <w:rPr>
          <w:rFonts w:ascii="Simplified Arabic" w:eastAsia="Times New Roman" w:hAnsi="Simplified Arabic" w:cs="Simplified Arabic" w:hint="cs"/>
          <w:b/>
          <w:bCs/>
          <w:color w:val="000000" w:themeColor="text1"/>
          <w:kern w:val="36"/>
          <w:sz w:val="36"/>
          <w:szCs w:val="36"/>
          <w:rtl/>
          <w14:ligatures w14:val="none"/>
        </w:rPr>
        <w:t xml:space="preserve">12.1 </w:t>
      </w:r>
      <w:r w:rsidR="00532E03" w:rsidRPr="002B7D76">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7"/>
      <w:bookmarkEnd w:id="28"/>
    </w:p>
    <w:p w14:paraId="4C7B6B57" w14:textId="77777777" w:rsidR="00532E03" w:rsidRPr="002B7D76" w:rsidRDefault="00532E03" w:rsidP="003B32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سوف تعتمد الدراسة على نوعين من مصادر جمع البيانات لتحقيق أهدافها والإجابة عن أسئلتها</w:t>
      </w:r>
      <w:r w:rsidRPr="002B7D76">
        <w:rPr>
          <w:rFonts w:ascii="Simplified Arabic" w:eastAsia="Times New Roman" w:hAnsi="Simplified Arabic" w:cs="Simplified Arabic"/>
          <w:b/>
          <w:bCs/>
          <w:color w:val="000000" w:themeColor="text1"/>
          <w:kern w:val="0"/>
          <w:sz w:val="28"/>
          <w:szCs w:val="28"/>
          <w14:ligatures w14:val="none"/>
        </w:rPr>
        <w:t>:</w:t>
      </w:r>
    </w:p>
    <w:p w14:paraId="35D1C7C4" w14:textId="77777777" w:rsidR="00532E03" w:rsidRPr="002B7D76" w:rsidRDefault="00532E03" w:rsidP="00F12E68">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المصادر الثانوية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 xml:space="preserve">وتشمل الكتب والمراجع العلمية العربية والأجنبية، والدوريات والمجلات المحكمة، والرسائل الجامعية (ماجستير ودكتوراه)، والتقارير الرسمية الصادرة عن وزارة الصحة السعودية وهيئة الصحة الرقمية، ووثائق رؤية المملكة 2030 وبرنامج التحول الوطني المتعلقة بالقطاع الصحي، </w:t>
      </w:r>
      <w:r w:rsidRPr="002B7D76">
        <w:rPr>
          <w:rFonts w:ascii="Simplified Arabic" w:eastAsia="Times New Roman" w:hAnsi="Simplified Arabic" w:cs="Simplified Arabic"/>
          <w:color w:val="000000" w:themeColor="text1"/>
          <w:kern w:val="0"/>
          <w:sz w:val="28"/>
          <w:szCs w:val="28"/>
          <w:rtl/>
          <w14:ligatures w14:val="none"/>
        </w:rPr>
        <w:lastRenderedPageBreak/>
        <w:t>وقواعد البيانات الإلكترونية مثل دار المنظومة و</w:t>
      </w:r>
      <w:r w:rsidRPr="002B7D76">
        <w:rPr>
          <w:rFonts w:ascii="Simplified Arabic" w:eastAsia="Times New Roman" w:hAnsi="Simplified Arabic" w:cs="Simplified Arabic"/>
          <w:color w:val="000000" w:themeColor="text1"/>
          <w:kern w:val="0"/>
          <w:sz w:val="28"/>
          <w:szCs w:val="28"/>
          <w14:ligatures w14:val="none"/>
        </w:rPr>
        <w:t xml:space="preserve">Scopus </w:t>
      </w:r>
      <w:r w:rsidRPr="002B7D76">
        <w:rPr>
          <w:rFonts w:ascii="Simplified Arabic" w:eastAsia="Times New Roman" w:hAnsi="Simplified Arabic" w:cs="Simplified Arabic"/>
          <w:color w:val="000000" w:themeColor="text1"/>
          <w:kern w:val="0"/>
          <w:sz w:val="28"/>
          <w:szCs w:val="28"/>
          <w:rtl/>
          <w14:ligatures w14:val="none"/>
        </w:rPr>
        <w:t>و</w:t>
      </w:r>
      <w:r w:rsidRPr="002B7D76">
        <w:rPr>
          <w:rFonts w:ascii="Simplified Arabic" w:eastAsia="Times New Roman" w:hAnsi="Simplified Arabic" w:cs="Simplified Arabic"/>
          <w:color w:val="000000" w:themeColor="text1"/>
          <w:kern w:val="0"/>
          <w:sz w:val="28"/>
          <w:szCs w:val="28"/>
          <w14:ligatures w14:val="none"/>
        </w:rPr>
        <w:t xml:space="preserve">Web of Science </w:t>
      </w:r>
      <w:r w:rsidRPr="002B7D76">
        <w:rPr>
          <w:rFonts w:ascii="Simplified Arabic" w:eastAsia="Times New Roman" w:hAnsi="Simplified Arabic" w:cs="Simplified Arabic"/>
          <w:color w:val="000000" w:themeColor="text1"/>
          <w:kern w:val="0"/>
          <w:sz w:val="28"/>
          <w:szCs w:val="28"/>
          <w:rtl/>
          <w14:ligatures w14:val="none"/>
        </w:rPr>
        <w:t>و</w:t>
      </w:r>
      <w:r w:rsidRPr="002B7D76">
        <w:rPr>
          <w:rFonts w:ascii="Simplified Arabic" w:eastAsia="Times New Roman" w:hAnsi="Simplified Arabic" w:cs="Simplified Arabic"/>
          <w:color w:val="000000" w:themeColor="text1"/>
          <w:kern w:val="0"/>
          <w:sz w:val="28"/>
          <w:szCs w:val="28"/>
          <w14:ligatures w14:val="none"/>
        </w:rPr>
        <w:t>PubMed</w:t>
      </w:r>
      <w:r w:rsidRPr="002B7D76">
        <w:rPr>
          <w:rFonts w:ascii="Simplified Arabic" w:eastAsia="Times New Roman" w:hAnsi="Simplified Arabic" w:cs="Simplified Arabic"/>
          <w:color w:val="000000" w:themeColor="text1"/>
          <w:kern w:val="0"/>
          <w:sz w:val="28"/>
          <w:szCs w:val="28"/>
          <w:rtl/>
          <w14:ligatures w14:val="none"/>
        </w:rPr>
        <w:t>، وذلك لبناء الإطار النظري للدراسة ومراجعة الدراسات السابقة</w:t>
      </w:r>
      <w:r w:rsidRPr="002B7D76">
        <w:rPr>
          <w:rFonts w:ascii="Simplified Arabic" w:eastAsia="Times New Roman" w:hAnsi="Simplified Arabic" w:cs="Simplified Arabic"/>
          <w:color w:val="000000" w:themeColor="text1"/>
          <w:kern w:val="0"/>
          <w:sz w:val="28"/>
          <w:szCs w:val="28"/>
          <w14:ligatures w14:val="none"/>
        </w:rPr>
        <w:t>.</w:t>
      </w:r>
    </w:p>
    <w:p w14:paraId="4BE977E7" w14:textId="77777777" w:rsidR="00532E03" w:rsidRPr="002B7D76" w:rsidRDefault="00532E03" w:rsidP="00F12E68">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b/>
          <w:bCs/>
          <w:color w:val="000000" w:themeColor="text1"/>
          <w:kern w:val="0"/>
          <w:sz w:val="28"/>
          <w:szCs w:val="28"/>
          <w:rtl/>
          <w14:ligatures w14:val="none"/>
        </w:rPr>
        <w:t>المصادر الأولية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باستخدام الاستبانة المصممة خصيصاً لهذا الغرض، والتي سيتم توزيعها إلكترونياً وورقياً على العاملين في بنوك الدم بالمستشفيات المشمولة في الدراسة</w:t>
      </w:r>
      <w:r w:rsidRPr="002B7D76">
        <w:rPr>
          <w:rFonts w:ascii="Simplified Arabic" w:eastAsia="Times New Roman" w:hAnsi="Simplified Arabic" w:cs="Simplified Arabic"/>
          <w:color w:val="000000" w:themeColor="text1"/>
          <w:kern w:val="0"/>
          <w:sz w:val="28"/>
          <w:szCs w:val="28"/>
          <w14:ligatures w14:val="none"/>
        </w:rPr>
        <w:t>.</w:t>
      </w:r>
    </w:p>
    <w:p w14:paraId="494F5639" w14:textId="6448B4F0" w:rsidR="00532E03" w:rsidRPr="002B7D76" w:rsidRDefault="00F12E68" w:rsidP="00F12E6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4107094"/>
      <w:bookmarkStart w:id="30" w:name="_Toc234165273"/>
      <w:r w:rsidRPr="002B7D76">
        <w:rPr>
          <w:rFonts w:ascii="Simplified Arabic" w:eastAsia="Times New Roman" w:hAnsi="Simplified Arabic" w:cs="Simplified Arabic" w:hint="cs"/>
          <w:b/>
          <w:bCs/>
          <w:color w:val="000000" w:themeColor="text1"/>
          <w:kern w:val="36"/>
          <w:sz w:val="36"/>
          <w:szCs w:val="36"/>
          <w:rtl/>
          <w14:ligatures w14:val="none"/>
        </w:rPr>
        <w:t xml:space="preserve">13.1 </w:t>
      </w:r>
      <w:r w:rsidR="00532E03" w:rsidRPr="002B7D76">
        <w:rPr>
          <w:rFonts w:ascii="Simplified Arabic" w:eastAsia="Times New Roman" w:hAnsi="Simplified Arabic" w:cs="Simplified Arabic"/>
          <w:b/>
          <w:bCs/>
          <w:color w:val="000000" w:themeColor="text1"/>
          <w:kern w:val="36"/>
          <w:sz w:val="36"/>
          <w:szCs w:val="36"/>
          <w:rtl/>
          <w14:ligatures w14:val="none"/>
        </w:rPr>
        <w:t>أداة الدراسة</w:t>
      </w:r>
      <w:bookmarkEnd w:id="29"/>
      <w:bookmarkEnd w:id="30"/>
    </w:p>
    <w:p w14:paraId="03ABA6F9"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سيتم تصميم استبانة مهيكلة بوصفها الأداة الرئيسة لجمع البيانات الأولية من أفراد عينة الدراسة، وستتكون الاستبانة من ثلاثة أقسام رئيسية على النحو التالي</w:t>
      </w:r>
      <w:r w:rsidRPr="002B7D76">
        <w:rPr>
          <w:rFonts w:ascii="Simplified Arabic" w:eastAsia="Times New Roman" w:hAnsi="Simplified Arabic" w:cs="Simplified Arabic"/>
          <w:color w:val="000000" w:themeColor="text1"/>
          <w:kern w:val="0"/>
          <w:sz w:val="28"/>
          <w:szCs w:val="28"/>
          <w14:ligatures w14:val="none"/>
        </w:rPr>
        <w:t>:</w:t>
      </w:r>
    </w:p>
    <w:p w14:paraId="6B313EE6"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ويتضمن بيانات عامة عن المستجيبين تشمل الجنس، والمؤهل العلمي، وسنوات الخبرة، والمسمى الوظيفي</w:t>
      </w:r>
      <w:r w:rsidRPr="002B7D76">
        <w:rPr>
          <w:rFonts w:ascii="Simplified Arabic" w:eastAsia="Times New Roman" w:hAnsi="Simplified Arabic" w:cs="Simplified Arabic"/>
          <w:color w:val="000000" w:themeColor="text1"/>
          <w:kern w:val="0"/>
          <w:sz w:val="28"/>
          <w:szCs w:val="28"/>
          <w14:ligatures w14:val="none"/>
        </w:rPr>
        <w:t>.</w:t>
      </w:r>
    </w:p>
    <w:p w14:paraId="5B46F058"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القسم الثاني: المتغير المستقل (التحول الرقمي)، ويتكون من (4) محاور تمثل أبعاد التحول الرقمي، يضم كل محور (4) فقرات، وذلك على النحو التالي</w:t>
      </w:r>
      <w:r w:rsidRPr="002B7D76">
        <w:rPr>
          <w:rFonts w:ascii="Simplified Arabic" w:eastAsia="Times New Roman" w:hAnsi="Simplified Arabic" w:cs="Simplified Arabic"/>
          <w:color w:val="000000" w:themeColor="text1"/>
          <w:kern w:val="0"/>
          <w:sz w:val="28"/>
          <w:szCs w:val="28"/>
          <w14:ligatures w14:val="none"/>
        </w:rPr>
        <w:t>:</w:t>
      </w:r>
    </w:p>
    <w:p w14:paraId="4B7F444C" w14:textId="77777777" w:rsidR="00532E03" w:rsidRPr="002B7D76" w:rsidRDefault="00532E03" w:rsidP="00F12E68">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المحور الأول: البنية التحتية التكنولوجية، ويتكون من (4) فقرات</w:t>
      </w:r>
      <w:r w:rsidRPr="002B7D76">
        <w:rPr>
          <w:rFonts w:ascii="Simplified Arabic" w:eastAsia="Times New Roman" w:hAnsi="Simplified Arabic" w:cs="Simplified Arabic"/>
          <w:color w:val="000000" w:themeColor="text1"/>
          <w:kern w:val="0"/>
          <w:sz w:val="28"/>
          <w:szCs w:val="28"/>
          <w14:ligatures w14:val="none"/>
        </w:rPr>
        <w:t>.</w:t>
      </w:r>
    </w:p>
    <w:p w14:paraId="6C6BF9C3" w14:textId="77777777" w:rsidR="00532E03" w:rsidRPr="002B7D76" w:rsidRDefault="00532E03" w:rsidP="00F12E68">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المحور الثاني: الأنظمة الذكية لإدارة البيانات، ويتكون من (4) فقرات</w:t>
      </w:r>
      <w:r w:rsidRPr="002B7D76">
        <w:rPr>
          <w:rFonts w:ascii="Simplified Arabic" w:eastAsia="Times New Roman" w:hAnsi="Simplified Arabic" w:cs="Simplified Arabic"/>
          <w:color w:val="000000" w:themeColor="text1"/>
          <w:kern w:val="0"/>
          <w:sz w:val="28"/>
          <w:szCs w:val="28"/>
          <w14:ligatures w14:val="none"/>
        </w:rPr>
        <w:t>.</w:t>
      </w:r>
    </w:p>
    <w:p w14:paraId="0559AC19" w14:textId="77777777" w:rsidR="00532E03" w:rsidRPr="002B7D76" w:rsidRDefault="00532E03" w:rsidP="00F12E68">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المحور الثالث: الكفاءات الرقمية للموارد البشرية، ويتكون من (4) فقرات</w:t>
      </w:r>
      <w:r w:rsidRPr="002B7D76">
        <w:rPr>
          <w:rFonts w:ascii="Simplified Arabic" w:eastAsia="Times New Roman" w:hAnsi="Simplified Arabic" w:cs="Simplified Arabic"/>
          <w:color w:val="000000" w:themeColor="text1"/>
          <w:kern w:val="0"/>
          <w:sz w:val="28"/>
          <w:szCs w:val="28"/>
          <w14:ligatures w14:val="none"/>
        </w:rPr>
        <w:t>.</w:t>
      </w:r>
    </w:p>
    <w:p w14:paraId="1CCD713A" w14:textId="77DE4523" w:rsidR="00532E03" w:rsidRPr="002B7D76" w:rsidRDefault="00532E03" w:rsidP="00F12E68">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المحور الرابع: الأمن السيبراني وحماية البيانات الصحية، ويتكون من (4) فقرات</w:t>
      </w:r>
      <w:r w:rsidRPr="002B7D76">
        <w:rPr>
          <w:rFonts w:ascii="Simplified Arabic" w:eastAsia="Times New Roman" w:hAnsi="Simplified Arabic" w:cs="Simplified Arabic"/>
          <w:color w:val="000000" w:themeColor="text1"/>
          <w:kern w:val="0"/>
          <w:sz w:val="28"/>
          <w:szCs w:val="28"/>
          <w14:ligatures w14:val="none"/>
        </w:rPr>
        <w:t>.</w:t>
      </w:r>
      <w:r w:rsidR="00F12E68" w:rsidRPr="002B7D76">
        <w:rPr>
          <w:rFonts w:ascii="Simplified Arabic" w:eastAsia="Times New Roman" w:hAnsi="Simplified Arabic" w:cs="Simplified Arabic" w:hint="cs"/>
          <w:color w:val="000000" w:themeColor="text1"/>
          <w:kern w:val="0"/>
          <w:sz w:val="28"/>
          <w:szCs w:val="28"/>
          <w:rtl/>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وبذلك يبلغ إجمالي فقرات المتغير المستقل (16) فقرة</w:t>
      </w:r>
      <w:r w:rsidRPr="002B7D76">
        <w:rPr>
          <w:rFonts w:ascii="Simplified Arabic" w:eastAsia="Times New Roman" w:hAnsi="Simplified Arabic" w:cs="Simplified Arabic"/>
          <w:color w:val="000000" w:themeColor="text1"/>
          <w:kern w:val="0"/>
          <w:sz w:val="28"/>
          <w:szCs w:val="28"/>
          <w14:ligatures w14:val="none"/>
        </w:rPr>
        <w:t>.</w:t>
      </w:r>
    </w:p>
    <w:p w14:paraId="107D7E70"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القسم الثالث: المتغير التابع (كفاءة الخدمات الصحية في بنوك الدم)، وهو محور أحادي يتكون من (10) فقرات تقيس مستوى كفاءة الخدمات الصحية المقدمة في بنوك الدم</w:t>
      </w:r>
      <w:r w:rsidRPr="002B7D76">
        <w:rPr>
          <w:rFonts w:ascii="Simplified Arabic" w:eastAsia="Times New Roman" w:hAnsi="Simplified Arabic" w:cs="Simplified Arabic"/>
          <w:color w:val="000000" w:themeColor="text1"/>
          <w:kern w:val="0"/>
          <w:sz w:val="28"/>
          <w:szCs w:val="28"/>
          <w14:ligatures w14:val="none"/>
        </w:rPr>
        <w:t>.</w:t>
      </w:r>
    </w:p>
    <w:p w14:paraId="3968434A"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بالإضافة إلى البيانات الديموغرافية. وسيتم استخدام مقياس ليكرت الخماسي لقياس استجابات أفراد العينة، بحيث تتدرج الاستجابات من (1) بشدة إلى</w:t>
      </w:r>
      <w:r w:rsidRPr="002B7D76">
        <w:rPr>
          <w:rFonts w:ascii="Simplified Arabic" w:eastAsia="Times New Roman" w:hAnsi="Simplified Arabic" w:cs="Simplified Arabic"/>
          <w:color w:val="000000" w:themeColor="text1"/>
          <w:kern w:val="0"/>
          <w:sz w:val="28"/>
          <w:szCs w:val="28"/>
          <w14:ligatures w14:val="none"/>
        </w:rPr>
        <w:t xml:space="preserve"> (5) </w:t>
      </w:r>
      <w:r w:rsidRPr="002B7D76">
        <w:rPr>
          <w:rFonts w:ascii="Simplified Arabic" w:eastAsia="Times New Roman" w:hAnsi="Simplified Arabic" w:cs="Simplified Arabic"/>
          <w:color w:val="000000" w:themeColor="text1"/>
          <w:kern w:val="0"/>
          <w:sz w:val="28"/>
          <w:szCs w:val="28"/>
          <w:rtl/>
          <w14:ligatures w14:val="none"/>
        </w:rPr>
        <w:t xml:space="preserve">بشدة. وسيتم التحقق من صدق الأداة من خلال الصدق الظاهري بعرضها على مجموعة من المحكمين </w:t>
      </w:r>
      <w:r w:rsidRPr="002B7D76">
        <w:rPr>
          <w:rFonts w:ascii="Simplified Arabic" w:eastAsia="Times New Roman" w:hAnsi="Simplified Arabic" w:cs="Simplified Arabic"/>
          <w:color w:val="000000" w:themeColor="text1"/>
          <w:kern w:val="0"/>
          <w:sz w:val="28"/>
          <w:szCs w:val="28"/>
          <w:rtl/>
          <w14:ligatures w14:val="none"/>
        </w:rPr>
        <w:lastRenderedPageBreak/>
        <w:t>المتخصصين، وصدق الاتساق الداخلي بحساب معاملات الارتباط بين كل فقرة والمحور الذي تنتمي إليه، كما سيتم التحقق من ثباتها باستخدام معامل ألفا كرونباخ</w:t>
      </w:r>
      <w:r w:rsidRPr="002B7D76">
        <w:rPr>
          <w:rFonts w:ascii="Simplified Arabic" w:eastAsia="Times New Roman" w:hAnsi="Simplified Arabic" w:cs="Simplified Arabic"/>
          <w:color w:val="000000" w:themeColor="text1"/>
          <w:kern w:val="0"/>
          <w:sz w:val="28"/>
          <w:szCs w:val="28"/>
          <w14:ligatures w14:val="none"/>
        </w:rPr>
        <w:t>.</w:t>
      </w:r>
    </w:p>
    <w:p w14:paraId="06FFB637" w14:textId="26DF0ED2" w:rsidR="00532E03" w:rsidRPr="002B7D76" w:rsidRDefault="00F12E68" w:rsidP="00F12E6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4107095"/>
      <w:bookmarkStart w:id="32" w:name="_Toc234165274"/>
      <w:r w:rsidRPr="002B7D76">
        <w:rPr>
          <w:rFonts w:ascii="Simplified Arabic" w:eastAsia="Times New Roman" w:hAnsi="Simplified Arabic" w:cs="Simplified Arabic" w:hint="cs"/>
          <w:b/>
          <w:bCs/>
          <w:color w:val="000000" w:themeColor="text1"/>
          <w:kern w:val="36"/>
          <w:sz w:val="36"/>
          <w:szCs w:val="36"/>
          <w:rtl/>
          <w14:ligatures w14:val="none"/>
        </w:rPr>
        <w:t xml:space="preserve">14.1 </w:t>
      </w:r>
      <w:r w:rsidR="00532E03" w:rsidRPr="002B7D76">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1"/>
      <w:bookmarkEnd w:id="32"/>
    </w:p>
    <w:p w14:paraId="1AFE0977"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2B7D76">
        <w:rPr>
          <w:rFonts w:ascii="Simplified Arabic" w:eastAsia="Times New Roman" w:hAnsi="Simplified Arabic" w:cs="Simplified Arabic"/>
          <w:color w:val="000000" w:themeColor="text1"/>
          <w:kern w:val="0"/>
          <w:sz w:val="28"/>
          <w:szCs w:val="28"/>
          <w14:ligatures w14:val="none"/>
        </w:rPr>
        <w:t xml:space="preserve"> (SPSS)</w:t>
      </w:r>
      <w:r w:rsidRPr="002B7D76">
        <w:rPr>
          <w:rFonts w:ascii="Simplified Arabic" w:eastAsia="Times New Roman" w:hAnsi="Simplified Arabic" w:cs="Simplified Arabic"/>
          <w:color w:val="000000" w:themeColor="text1"/>
          <w:kern w:val="0"/>
          <w:sz w:val="28"/>
          <w:szCs w:val="28"/>
          <w:rtl/>
          <w14:ligatures w14:val="none"/>
        </w:rPr>
        <w:t>، وسيتم توظيف مجموعة من الأساليب الإحصائية الوصفية والاستدلالية على النحو التالي</w:t>
      </w:r>
      <w:r w:rsidRPr="002B7D76">
        <w:rPr>
          <w:rFonts w:ascii="Simplified Arabic" w:eastAsia="Times New Roman" w:hAnsi="Simplified Arabic" w:cs="Simplified Arabic"/>
          <w:color w:val="000000" w:themeColor="text1"/>
          <w:kern w:val="0"/>
          <w:sz w:val="28"/>
          <w:szCs w:val="28"/>
          <w14:ligatures w14:val="none"/>
        </w:rPr>
        <w:t>:</w:t>
      </w:r>
    </w:p>
    <w:p w14:paraId="1EBDD786"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أساليب الإحصاء الوصفي</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اتجاهات استجابات أفراد العينة ودرجة تشتتها حول محاور الاستبانة</w:t>
      </w:r>
      <w:r w:rsidRPr="002B7D76">
        <w:rPr>
          <w:rFonts w:ascii="Simplified Arabic" w:eastAsia="Times New Roman" w:hAnsi="Simplified Arabic" w:cs="Simplified Arabic"/>
          <w:color w:val="000000" w:themeColor="text1"/>
          <w:kern w:val="0"/>
          <w:sz w:val="28"/>
          <w:szCs w:val="28"/>
          <w14:ligatures w14:val="none"/>
        </w:rPr>
        <w:t>.</w:t>
      </w:r>
    </w:p>
    <w:p w14:paraId="7401F97B" w14:textId="77777777" w:rsidR="00532E03" w:rsidRPr="002B7D76" w:rsidRDefault="00532E03" w:rsidP="00F12E6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وتشمل معامل ارتباط بيرسون لقياس العلاقة بين متغيرات الدراسة، وتحليل الانحدار الخطي البسيط لقياس أثر كل بُعد من أبعاد التحول الرقمي على كفاءة الخدمات الصحية، وتحليل الانحدار الخطي المتعدد لقياس الأثر المشترك لأبعاد التحول الرقمي مجتمعة على كفاءة الخدمات الصحية، واختبار (ت) للعينات المستقلة لاختبار دلالة الفروق بين مجموعتين، واختبار تحليل التباين الأحادي</w:t>
      </w:r>
      <w:r w:rsidRPr="002B7D76">
        <w:rPr>
          <w:rFonts w:ascii="Simplified Arabic" w:eastAsia="Times New Roman" w:hAnsi="Simplified Arabic" w:cs="Simplified Arabic"/>
          <w:color w:val="000000" w:themeColor="text1"/>
          <w:kern w:val="0"/>
          <w:sz w:val="28"/>
          <w:szCs w:val="28"/>
          <w14:ligatures w14:val="none"/>
        </w:rPr>
        <w:t xml:space="preserve"> (ANOVA) </w:t>
      </w:r>
      <w:r w:rsidRPr="002B7D76">
        <w:rPr>
          <w:rFonts w:ascii="Simplified Arabic" w:eastAsia="Times New Roman" w:hAnsi="Simplified Arabic" w:cs="Simplified Arabic"/>
          <w:color w:val="000000" w:themeColor="text1"/>
          <w:kern w:val="0"/>
          <w:sz w:val="28"/>
          <w:szCs w:val="28"/>
          <w:rtl/>
          <w14:ligatures w14:val="none"/>
        </w:rPr>
        <w:t>لاختبار دلالة الفروق بين أكثر من مجموعتين وفقاً للمتغيرات الديموغرافية، ومعامل ألفا كرونباخ لقياس ثبات أداة الدراسة، واختبار معامل تضخم التباين</w:t>
      </w:r>
      <w:r w:rsidRPr="002B7D76">
        <w:rPr>
          <w:rFonts w:ascii="Simplified Arabic" w:eastAsia="Times New Roman" w:hAnsi="Simplified Arabic" w:cs="Simplified Arabic"/>
          <w:color w:val="000000" w:themeColor="text1"/>
          <w:kern w:val="0"/>
          <w:sz w:val="28"/>
          <w:szCs w:val="28"/>
          <w14:ligatures w14:val="none"/>
        </w:rPr>
        <w:t xml:space="preserve"> (VIF) </w:t>
      </w:r>
      <w:r w:rsidRPr="002B7D76">
        <w:rPr>
          <w:rFonts w:ascii="Simplified Arabic" w:eastAsia="Times New Roman" w:hAnsi="Simplified Arabic" w:cs="Simplified Arabic"/>
          <w:color w:val="000000" w:themeColor="text1"/>
          <w:kern w:val="0"/>
          <w:sz w:val="28"/>
          <w:szCs w:val="28"/>
          <w:rtl/>
          <w14:ligatures w14:val="none"/>
        </w:rPr>
        <w:t>للتحقق من عدم وجود ازدواج خطي بين المتغيرات المستقلة</w:t>
      </w:r>
      <w:r w:rsidRPr="002B7D76">
        <w:rPr>
          <w:rFonts w:ascii="Simplified Arabic" w:eastAsia="Times New Roman" w:hAnsi="Simplified Arabic" w:cs="Simplified Arabic"/>
          <w:color w:val="000000" w:themeColor="text1"/>
          <w:kern w:val="0"/>
          <w:sz w:val="28"/>
          <w:szCs w:val="28"/>
          <w14:ligatures w14:val="none"/>
        </w:rPr>
        <w:t>.</w:t>
      </w:r>
    </w:p>
    <w:p w14:paraId="70D3B2B2" w14:textId="766DF3DE" w:rsidR="00532E03" w:rsidRPr="002B7D76" w:rsidRDefault="00F12E68" w:rsidP="00F12E6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4107096"/>
      <w:bookmarkStart w:id="34" w:name="_Toc234165275"/>
      <w:r w:rsidRPr="002B7D76">
        <w:rPr>
          <w:rFonts w:ascii="Simplified Arabic" w:eastAsia="Times New Roman" w:hAnsi="Simplified Arabic" w:cs="Simplified Arabic" w:hint="cs"/>
          <w:b/>
          <w:bCs/>
          <w:color w:val="000000" w:themeColor="text1"/>
          <w:kern w:val="36"/>
          <w:sz w:val="36"/>
          <w:szCs w:val="36"/>
          <w:rtl/>
          <w14:ligatures w14:val="none"/>
        </w:rPr>
        <w:t xml:space="preserve">15.1 </w:t>
      </w:r>
      <w:r w:rsidR="00532E03" w:rsidRPr="002B7D76">
        <w:rPr>
          <w:rFonts w:ascii="Simplified Arabic" w:eastAsia="Times New Roman" w:hAnsi="Simplified Arabic" w:cs="Simplified Arabic"/>
          <w:b/>
          <w:bCs/>
          <w:color w:val="000000" w:themeColor="text1"/>
          <w:kern w:val="36"/>
          <w:sz w:val="36"/>
          <w:szCs w:val="36"/>
          <w:rtl/>
          <w14:ligatures w14:val="none"/>
        </w:rPr>
        <w:t>حدود الدراسة</w:t>
      </w:r>
      <w:bookmarkEnd w:id="33"/>
      <w:bookmarkEnd w:id="34"/>
    </w:p>
    <w:p w14:paraId="047B47CF" w14:textId="77777777" w:rsidR="00532E03" w:rsidRPr="002B7D76" w:rsidRDefault="00532E03" w:rsidP="00F12E68">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الحدود الموضوعية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ستقتصر الدراسة على دراسة أثر التحول الرقمي بأبعاده الأربعة (البنية التحتية التكنولوجية، والأنظمة الذكية لإدارة البيانات، والكفاءات الرقمية للموارد البشرية، والأمن السيبراني وحماية البيانات الصحية) على كفاءة الخدمات الصحية في بنوك الدم</w:t>
      </w:r>
      <w:r w:rsidRPr="002B7D76">
        <w:rPr>
          <w:rFonts w:ascii="Simplified Arabic" w:eastAsia="Times New Roman" w:hAnsi="Simplified Arabic" w:cs="Simplified Arabic"/>
          <w:color w:val="000000" w:themeColor="text1"/>
          <w:kern w:val="0"/>
          <w:sz w:val="28"/>
          <w:szCs w:val="28"/>
          <w14:ligatures w14:val="none"/>
        </w:rPr>
        <w:t>.</w:t>
      </w:r>
    </w:p>
    <w:p w14:paraId="087E8E78" w14:textId="77777777" w:rsidR="00532E03" w:rsidRPr="002B7D76" w:rsidRDefault="00532E03" w:rsidP="00F12E68">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الحدود المكانية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ستُطبق الدراسة على بنوك الدم في المستشفيات الحكومية والخاصة في المناطق الرئيسية بالمملكة العربية السعودية (منطقة الرياض، منطقة مكة المكرمة، المنطقة الشرقية</w:t>
      </w:r>
      <w:r w:rsidRPr="002B7D76">
        <w:rPr>
          <w:rFonts w:ascii="Simplified Arabic" w:eastAsia="Times New Roman" w:hAnsi="Simplified Arabic" w:cs="Simplified Arabic"/>
          <w:color w:val="000000" w:themeColor="text1"/>
          <w:kern w:val="0"/>
          <w:sz w:val="28"/>
          <w:szCs w:val="28"/>
          <w14:ligatures w14:val="none"/>
        </w:rPr>
        <w:t>).</w:t>
      </w:r>
    </w:p>
    <w:p w14:paraId="7A2C42E5" w14:textId="77777777" w:rsidR="00532E03" w:rsidRPr="002B7D76" w:rsidRDefault="00532E03" w:rsidP="00F12E68">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الحدود البشرية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ستشمل الدراسة العاملين في بنوك الدم بالمستشفيات المشمولة في الدراسة، من أطباء متخصصين وأخصائيي وفنيي مختبرات وإداريين ومشرفين ومسؤولي جودة وتقنية معلومات</w:t>
      </w:r>
      <w:r w:rsidRPr="002B7D76">
        <w:rPr>
          <w:rFonts w:ascii="Simplified Arabic" w:eastAsia="Times New Roman" w:hAnsi="Simplified Arabic" w:cs="Simplified Arabic"/>
          <w:color w:val="000000" w:themeColor="text1"/>
          <w:kern w:val="0"/>
          <w:sz w:val="28"/>
          <w:szCs w:val="28"/>
          <w14:ligatures w14:val="none"/>
        </w:rPr>
        <w:t>.</w:t>
      </w:r>
    </w:p>
    <w:p w14:paraId="0F0F38F7" w14:textId="77777777" w:rsidR="00532E03" w:rsidRPr="002B7D76" w:rsidRDefault="00532E03" w:rsidP="00F12E68">
      <w:pPr>
        <w:pStyle w:val="ListParagraph"/>
        <w:numPr>
          <w:ilvl w:val="0"/>
          <w:numId w:val="4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الحدود الزمانية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1447/1448هـ الموافق 2025/2026م</w:t>
      </w:r>
    </w:p>
    <w:p w14:paraId="59BA7440" w14:textId="06004F11" w:rsidR="00752D5B" w:rsidRPr="002B7D76" w:rsidRDefault="00F12E68" w:rsidP="00843219">
      <w:pPr>
        <w:jc w:val="center"/>
        <w:outlineLvl w:val="0"/>
        <w:rPr>
          <w:rFonts w:ascii="Simplified Arabic" w:eastAsia="Times New Roman" w:hAnsi="Simplified Arabic" w:cs="Simplified Arabic"/>
          <w:b/>
          <w:bCs/>
          <w:color w:val="000000" w:themeColor="text1"/>
          <w:kern w:val="0"/>
          <w:sz w:val="40"/>
          <w:szCs w:val="40"/>
          <w14:ligatures w14:val="none"/>
        </w:rPr>
      </w:pPr>
      <w:r w:rsidRPr="002B7D76">
        <w:rPr>
          <w:rFonts w:ascii="Simplified Arabic" w:eastAsia="Times New Roman" w:hAnsi="Simplified Arabic" w:cs="Simplified Arabic"/>
          <w:b/>
          <w:bCs/>
          <w:color w:val="000000" w:themeColor="text1"/>
          <w:kern w:val="0"/>
          <w:sz w:val="40"/>
          <w:szCs w:val="40"/>
          <w:rtl/>
          <w14:ligatures w14:val="none"/>
        </w:rPr>
        <w:br w:type="page"/>
      </w:r>
      <w:bookmarkStart w:id="35" w:name="_Toc234165276"/>
      <w:r w:rsidRPr="002B7D76">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752D5B" w:rsidRPr="002B7D76">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5"/>
    </w:p>
    <w:p w14:paraId="610A910B" w14:textId="77777777" w:rsidR="00752D5B" w:rsidRPr="002B7D76" w:rsidRDefault="00752D5B" w:rsidP="0084321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6" w:name="_Toc234165277"/>
      <w:r w:rsidRPr="002B7D76">
        <w:rPr>
          <w:rFonts w:ascii="Simplified Arabic" w:eastAsia="Times New Roman" w:hAnsi="Simplified Arabic" w:cs="Simplified Arabic"/>
          <w:b/>
          <w:bCs/>
          <w:color w:val="000000" w:themeColor="text1"/>
          <w:kern w:val="0"/>
          <w:sz w:val="36"/>
          <w:szCs w:val="36"/>
          <w:rtl/>
          <w14:ligatures w14:val="none"/>
        </w:rPr>
        <w:t>المبحث الأول: التحول الرقمي (المتغير المستقل)</w:t>
      </w:r>
      <w:bookmarkEnd w:id="36"/>
    </w:p>
    <w:p w14:paraId="6D6B2C02" w14:textId="7B580CAF"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4165278"/>
      <w:r w:rsidRPr="002B7D76">
        <w:rPr>
          <w:rFonts w:ascii="Simplified Arabic" w:eastAsia="Times New Roman" w:hAnsi="Simplified Arabic" w:cs="Simplified Arabic" w:hint="cs"/>
          <w:b/>
          <w:bCs/>
          <w:color w:val="000000" w:themeColor="text1"/>
          <w:kern w:val="0"/>
          <w:sz w:val="32"/>
          <w:szCs w:val="32"/>
          <w:rtl/>
          <w14:ligatures w14:val="none"/>
        </w:rPr>
        <w:t xml:space="preserve">1.1.2 </w:t>
      </w:r>
      <w:r w:rsidR="00752D5B" w:rsidRPr="002B7D76">
        <w:rPr>
          <w:rFonts w:ascii="Simplified Arabic" w:eastAsia="Times New Roman" w:hAnsi="Simplified Arabic" w:cs="Simplified Arabic"/>
          <w:b/>
          <w:bCs/>
          <w:color w:val="000000" w:themeColor="text1"/>
          <w:kern w:val="0"/>
          <w:sz w:val="32"/>
          <w:szCs w:val="32"/>
          <w:rtl/>
          <w14:ligatures w14:val="none"/>
        </w:rPr>
        <w:t>تمهيد</w:t>
      </w:r>
      <w:bookmarkEnd w:id="37"/>
    </w:p>
    <w:p w14:paraId="438440D6"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يشهد العالم المعاصر تحولات جوهرية في بنية الاقتصاد والمجتمع، تقودها الثورة الصناعية الرابعة بما تحمله من تقنيات متقدمة أعادت تشكيل أنماط العمل والإنتاج وتقديم الخدمات في مختلف القطاعات. وفي قلب هذه التحولات يقف مفهوم “التحول الرقمي” بوصفه توجهاً استراتيجياً شاملاً يتجاوز مجرد إدخال التقنية إلى بيئة العمل، ليصل إلى إعادة هندسة العمليات وإعادة تعريف نماذج الأعمال والعلاقات مع المستفيدين. ولم يعد التحول الرقمي خياراً تكميلياً تلجأ إليه المنظمات لتحسين أدائها، بل أضحى ضرورة تفرضها ديناميكيات السوق والمنافسة، وتغيّر توقعات المستفيدين، وتصاعد الحاجة إلى المرونة والاستجابة السريعة للمتغيرات. وقد امتد أثر هذا التحول إلى القطاع الصحي بوصفه أحد أكثر القطاعات حساسية وارتباطاً بحياة الإنسان، حيث باتت المؤسسات الصحية مطالبة بإعادة النظر في بنيتها التقنية والبشرية والإدارية بما يضمن جودة الخدمة وكفاءة الأداء</w:t>
      </w:r>
      <w:r w:rsidRPr="002B7D76">
        <w:rPr>
          <w:rFonts w:ascii="Simplified Arabic" w:eastAsia="Times New Roman" w:hAnsi="Simplified Arabic" w:cs="Simplified Arabic"/>
          <w:color w:val="000000" w:themeColor="text1"/>
          <w:kern w:val="0"/>
          <w:sz w:val="28"/>
          <w:szCs w:val="28"/>
          <w14:ligatures w14:val="none"/>
        </w:rPr>
        <w:t>.</w:t>
      </w:r>
    </w:p>
    <w:p w14:paraId="43B8322D"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ويكتسب البحث في التحول الرقمي في السياق الصحي أهمية مضاعفة، لا سيما في الأنشطة عالية التخصص كخدمات بنوك الدم، التي تتطلب دقة متناهية في جمع البيانات، وتتبع المخزون، وإدارة سلاسل الإمداد الحيوية، وضمان سلامة المتبرعين والمستفيدين. ومن هنا يسعى هذا المبحث إلى بناء تصور نظري متكامل حول التحول الرقمي، يبدأ بعرض مفهومه من زوايا الباحثين المختلفة، مروراً بأهميته وأهدافه، ووصولاً إلى أبعاده ومتطلباته وتحدياته، وذلك بما يخدم الأساس النظري للدراسة الحالية ويؤطّر المتغير المستقل تأطيراً علمياً رصيناً</w:t>
      </w:r>
      <w:r w:rsidRPr="002B7D76">
        <w:rPr>
          <w:rFonts w:ascii="Simplified Arabic" w:eastAsia="Times New Roman" w:hAnsi="Simplified Arabic" w:cs="Simplified Arabic"/>
          <w:color w:val="000000" w:themeColor="text1"/>
          <w:kern w:val="0"/>
          <w:sz w:val="28"/>
          <w:szCs w:val="28"/>
          <w14:ligatures w14:val="none"/>
        </w:rPr>
        <w:t>.</w:t>
      </w:r>
    </w:p>
    <w:p w14:paraId="0C69B96C" w14:textId="620BBC71"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4165279"/>
      <w:r w:rsidRPr="002B7D76">
        <w:rPr>
          <w:rFonts w:ascii="Simplified Arabic" w:eastAsia="Times New Roman" w:hAnsi="Simplified Arabic" w:cs="Simplified Arabic" w:hint="cs"/>
          <w:b/>
          <w:bCs/>
          <w:color w:val="000000" w:themeColor="text1"/>
          <w:kern w:val="0"/>
          <w:sz w:val="32"/>
          <w:szCs w:val="32"/>
          <w:rtl/>
          <w14:ligatures w14:val="none"/>
        </w:rPr>
        <w:t xml:space="preserve">2.1.2 </w:t>
      </w:r>
      <w:r w:rsidR="00752D5B" w:rsidRPr="002B7D76">
        <w:rPr>
          <w:rFonts w:ascii="Simplified Arabic" w:eastAsia="Times New Roman" w:hAnsi="Simplified Arabic" w:cs="Simplified Arabic"/>
          <w:b/>
          <w:bCs/>
          <w:color w:val="000000" w:themeColor="text1"/>
          <w:kern w:val="0"/>
          <w:sz w:val="32"/>
          <w:szCs w:val="32"/>
          <w:rtl/>
          <w14:ligatures w14:val="none"/>
        </w:rPr>
        <w:t>مفهوم التحول الرقمي</w:t>
      </w:r>
      <w:bookmarkEnd w:id="38"/>
    </w:p>
    <w:p w14:paraId="4EFB2C3D"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تعددت الاجتهادات في تعريف التحول الرقمي، وتباينت زوايا نظر الباحثين بحسب المدرسة الفكرية والسياق التطبيقي الذي انطلقوا منه. فثمة اتجاه ينظر إليه من زاوية تقنية بحتة، بينما يوسّع اتجاه آخر مفهومه ليشمل أبعاداً استراتيجية وثقافية وتنظيمية، ويحاول اتجاه ثالث الربط بينه وبين نماذج الأعمال وسلاسل القيمة. ويعرّف</w:t>
      </w:r>
      <w:r w:rsidRPr="002B7D76">
        <w:rPr>
          <w:rFonts w:ascii="Simplified Arabic" w:eastAsia="Times New Roman" w:hAnsi="Simplified Arabic" w:cs="Simplified Arabic"/>
          <w:color w:val="000000" w:themeColor="text1"/>
          <w:kern w:val="0"/>
          <w:sz w:val="28"/>
          <w:szCs w:val="28"/>
          <w14:ligatures w14:val="none"/>
        </w:rPr>
        <w:t xml:space="preserve"> (Kraus et al., 2021) </w:t>
      </w:r>
      <w:r w:rsidRPr="002B7D76">
        <w:rPr>
          <w:rFonts w:ascii="Simplified Arabic" w:eastAsia="Times New Roman" w:hAnsi="Simplified Arabic" w:cs="Simplified Arabic"/>
          <w:color w:val="000000" w:themeColor="text1"/>
          <w:kern w:val="0"/>
          <w:sz w:val="28"/>
          <w:szCs w:val="28"/>
          <w:rtl/>
          <w14:ligatures w14:val="none"/>
        </w:rPr>
        <w:t xml:space="preserve">التحول الرقمي بوصفه عملية متعددة الأبعاد تعتمد </w:t>
      </w:r>
      <w:r w:rsidRPr="002B7D76">
        <w:rPr>
          <w:rFonts w:ascii="Simplified Arabic" w:eastAsia="Times New Roman" w:hAnsi="Simplified Arabic" w:cs="Simplified Arabic"/>
          <w:color w:val="000000" w:themeColor="text1"/>
          <w:kern w:val="0"/>
          <w:sz w:val="28"/>
          <w:szCs w:val="28"/>
          <w:rtl/>
          <w14:ligatures w14:val="none"/>
        </w:rPr>
        <w:lastRenderedPageBreak/>
        <w:t>على توظيف مجموعة من التقنيات الحديثة كالحوسبة السحابية والذكاء الاصطناعي وإنترنت الأشياء وتحليلات البيانات الضخمة، بما يفضي إلى إعادة تشكيل العمليات التنظيمية وطرق تقديم الخدمة، خصوصاً في القطاع الصحي حيث تتحول المنظومة الصحية من نموذجها التقليدي القائم على الإجراءات الورقية إلى نموذج ذكي مترابط</w:t>
      </w:r>
      <w:r w:rsidRPr="002B7D76">
        <w:rPr>
          <w:rFonts w:ascii="Simplified Arabic" w:eastAsia="Times New Roman" w:hAnsi="Simplified Arabic" w:cs="Simplified Arabic"/>
          <w:color w:val="000000" w:themeColor="text1"/>
          <w:kern w:val="0"/>
          <w:sz w:val="28"/>
          <w:szCs w:val="28"/>
          <w14:ligatures w14:val="none"/>
        </w:rPr>
        <w:t>.</w:t>
      </w:r>
    </w:p>
    <w:p w14:paraId="14DD0F5B"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ويقدّم (محمود، 2022) قراءة أكثر ارتباطاً بالبعد الاستراتيجي، إذ يرى أن التحول الرقمي عملية استراتيجية شاملة تتجاوز حدود إدخال الأدوات التقنية إلى إعادة صياغة الفلسفة الإدارية للمؤسسة، بحيث تُبنى القرارات على أساس البيانات، وتُدار الموارد وفق منظومات ذكية، ويُقاس الأداء عبر مؤشرات متوازنة تعكس الأثر الرقمي على مختلف مستويات المنظمة. ومن زاوية مغايرة، يُعرّفه (السواط والحربي، 2022) بوصفه انتقالاً منهجياً من الاعتماد على الأساليب اليدوية إلى استخدام النظم الإلكترونية والحلول الرقمية، بما يعزز كفاءة الأداء داخل المؤسسات ويرفع من مستوى الاستفادة من الموارد المتاحة</w:t>
      </w:r>
      <w:r w:rsidRPr="002B7D76">
        <w:rPr>
          <w:rFonts w:ascii="Simplified Arabic" w:eastAsia="Times New Roman" w:hAnsi="Simplified Arabic" w:cs="Simplified Arabic"/>
          <w:color w:val="000000" w:themeColor="text1"/>
          <w:kern w:val="0"/>
          <w:sz w:val="28"/>
          <w:szCs w:val="28"/>
          <w14:ligatures w14:val="none"/>
        </w:rPr>
        <w:t>.</w:t>
      </w:r>
    </w:p>
    <w:p w14:paraId="7FA2DECF"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وفي سياق أعمق يقارب البعد المؤسسي، يذهب</w:t>
      </w:r>
      <w:r w:rsidRPr="002B7D76">
        <w:rPr>
          <w:rFonts w:ascii="Simplified Arabic" w:eastAsia="Times New Roman" w:hAnsi="Simplified Arabic" w:cs="Simplified Arabic"/>
          <w:color w:val="000000" w:themeColor="text1"/>
          <w:kern w:val="0"/>
          <w:sz w:val="28"/>
          <w:szCs w:val="28"/>
          <w14:ligatures w14:val="none"/>
        </w:rPr>
        <w:t xml:space="preserve"> (Dionisio et al., 2023) </w:t>
      </w:r>
      <w:r w:rsidRPr="002B7D76">
        <w:rPr>
          <w:rFonts w:ascii="Simplified Arabic" w:eastAsia="Times New Roman" w:hAnsi="Simplified Arabic" w:cs="Simplified Arabic"/>
          <w:color w:val="000000" w:themeColor="text1"/>
          <w:kern w:val="0"/>
          <w:sz w:val="28"/>
          <w:szCs w:val="28"/>
          <w:rtl/>
          <w14:ligatures w14:val="none"/>
        </w:rPr>
        <w:t>إلى أن التحول الرقمي يمثل إعادة هيكلة جوهرية للعمليات والخدمات والقيمة المقدمة، من خلال دمج التقنيات الرقمية المتقدمة في صميم النشاط التنظيمي، بحيث تتحول التقنية من أداة مساعدة إلى قوة محركة لتوليد قيمة جديدة. ويُثري (محمد، 2022) هذا الطرح حين يربط بين التحول الرقمي وإدارة المعرفة، مشيراً إلى أن التحول الرقمي يستند إلى بنية معرفية متكاملة تُتيح توليد المعرفة وتخزينها وتوزيعها وتوظيفها إلكترونياً، بما يعزز قدرة المؤسسة على التعلم والابتكار</w:t>
      </w:r>
      <w:r w:rsidRPr="002B7D76">
        <w:rPr>
          <w:rFonts w:ascii="Simplified Arabic" w:eastAsia="Times New Roman" w:hAnsi="Simplified Arabic" w:cs="Simplified Arabic"/>
          <w:color w:val="000000" w:themeColor="text1"/>
          <w:kern w:val="0"/>
          <w:sz w:val="28"/>
          <w:szCs w:val="28"/>
          <w14:ligatures w14:val="none"/>
        </w:rPr>
        <w:t>.</w:t>
      </w:r>
    </w:p>
    <w:p w14:paraId="264AB9B7"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ويُضيف (زيد، 2023) بُعداً مرونياً للمفهوم، إذ يقاربه بوصفه توجهاً يُمكّن المنظمة من امتلاك القدرة على التكيف السريع مع المتغيرات البيئية، من خلال بنية رقمية مرنة تدعم إعادة توجيه الموارد وتعديل الاستراتيجيات في ضوء المستجدات. ومن منظور الأداء، يعرّفه (خنوف وبولقصيبات، 2024) بأنه توظيف منظم للتكنولوجيا الرقمية داخل الأجهزة الإدارية بهدف تحسين جودة القرارات وتسريع الإجراءات ورفع مستوى الشفافية في العمل المؤسسي، لا سيما في المنظومات الصحية ذات الطبيعة المعقدة</w:t>
      </w:r>
      <w:r w:rsidRPr="002B7D76">
        <w:rPr>
          <w:rFonts w:ascii="Simplified Arabic" w:eastAsia="Times New Roman" w:hAnsi="Simplified Arabic" w:cs="Simplified Arabic"/>
          <w:color w:val="000000" w:themeColor="text1"/>
          <w:kern w:val="0"/>
          <w:sz w:val="28"/>
          <w:szCs w:val="28"/>
          <w14:ligatures w14:val="none"/>
        </w:rPr>
        <w:t>.</w:t>
      </w:r>
    </w:p>
    <w:p w14:paraId="1BC3678A"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ويقدّم</w:t>
      </w:r>
      <w:r w:rsidRPr="002B7D76">
        <w:rPr>
          <w:rFonts w:ascii="Simplified Arabic" w:eastAsia="Times New Roman" w:hAnsi="Simplified Arabic" w:cs="Simplified Arabic"/>
          <w:color w:val="000000" w:themeColor="text1"/>
          <w:kern w:val="0"/>
          <w:sz w:val="28"/>
          <w:szCs w:val="28"/>
          <w14:ligatures w14:val="none"/>
        </w:rPr>
        <w:t xml:space="preserve"> (YahiaMarzouk, 2025) </w:t>
      </w:r>
      <w:r w:rsidRPr="002B7D76">
        <w:rPr>
          <w:rFonts w:ascii="Simplified Arabic" w:eastAsia="Times New Roman" w:hAnsi="Simplified Arabic" w:cs="Simplified Arabic"/>
          <w:color w:val="000000" w:themeColor="text1"/>
          <w:kern w:val="0"/>
          <w:sz w:val="28"/>
          <w:szCs w:val="28"/>
          <w:rtl/>
          <w14:ligatures w14:val="none"/>
        </w:rPr>
        <w:t>قراءة استراتيجية حديثة يرى فيها أن التحول الرقمي في القطاع الصحي يمثل منظوراً استراتيجياً جديداً يعيد رسم حدود المنظمة وعلاقاتها مع أصحاب المصلحة، حيث تتحول المستشفيات وبنوك الدم إلى منظومات ذكية قائمة على التكامل الرقمي بين مقدمي الخدمة والمستفيدين وسلاسل الإمداد. ويتقاطع هذا الطرح مع ما ذهب إليه</w:t>
      </w:r>
      <w:r w:rsidRPr="002B7D76">
        <w:rPr>
          <w:rFonts w:ascii="Simplified Arabic" w:eastAsia="Times New Roman" w:hAnsi="Simplified Arabic" w:cs="Simplified Arabic"/>
          <w:color w:val="000000" w:themeColor="text1"/>
          <w:kern w:val="0"/>
          <w:sz w:val="28"/>
          <w:szCs w:val="28"/>
          <w14:ligatures w14:val="none"/>
        </w:rPr>
        <w:t xml:space="preserve"> (Peri</w:t>
      </w:r>
      <w:r w:rsidRPr="002B7D76">
        <w:rPr>
          <w:rFonts w:ascii="Cambria" w:eastAsia="Times New Roman" w:hAnsi="Cambria" w:cs="Cambria"/>
          <w:color w:val="000000" w:themeColor="text1"/>
          <w:kern w:val="0"/>
          <w:sz w:val="28"/>
          <w:szCs w:val="28"/>
          <w14:ligatures w14:val="none"/>
        </w:rPr>
        <w:t>áñ</w:t>
      </w:r>
      <w:r w:rsidRPr="002B7D76">
        <w:rPr>
          <w:rFonts w:ascii="Simplified Arabic" w:eastAsia="Times New Roman" w:hAnsi="Simplified Arabic" w:cs="Simplified Arabic"/>
          <w:color w:val="000000" w:themeColor="text1"/>
          <w:kern w:val="0"/>
          <w:sz w:val="28"/>
          <w:szCs w:val="28"/>
          <w14:ligatures w14:val="none"/>
        </w:rPr>
        <w:t xml:space="preserve">ez et al., 2024) </w:t>
      </w:r>
      <w:r w:rsidRPr="002B7D76">
        <w:rPr>
          <w:rFonts w:ascii="Simplified Arabic" w:eastAsia="Times New Roman" w:hAnsi="Simplified Arabic" w:cs="Simplified Arabic"/>
          <w:color w:val="000000" w:themeColor="text1"/>
          <w:kern w:val="0"/>
          <w:sz w:val="28"/>
          <w:szCs w:val="28"/>
          <w:rtl/>
          <w14:ligatures w14:val="none"/>
        </w:rPr>
        <w:t xml:space="preserve">الذي </w:t>
      </w:r>
      <w:r w:rsidRPr="002B7D76">
        <w:rPr>
          <w:rFonts w:ascii="Simplified Arabic" w:eastAsia="Times New Roman" w:hAnsi="Simplified Arabic" w:cs="Simplified Arabic"/>
          <w:color w:val="000000" w:themeColor="text1"/>
          <w:kern w:val="0"/>
          <w:sz w:val="28"/>
          <w:szCs w:val="28"/>
          <w:rtl/>
          <w14:ligatures w14:val="none"/>
        </w:rPr>
        <w:lastRenderedPageBreak/>
        <w:t>يرى أن التحول الرقمي عبارة عن منظومة متكاملة من التقنيات المتقدمة تشمل الذكاء الاصطناعي وتحليلات البيانات والتعلم الآلي، تُوظَّف لتحسين أداء الأنظمة الصحية عبر تعزيز دقة التشخيص وتخصيص الموارد وإدارة الطلب على الخدمة</w:t>
      </w:r>
      <w:r w:rsidRPr="002B7D76">
        <w:rPr>
          <w:rFonts w:ascii="Simplified Arabic" w:eastAsia="Times New Roman" w:hAnsi="Simplified Arabic" w:cs="Simplified Arabic"/>
          <w:color w:val="000000" w:themeColor="text1"/>
          <w:kern w:val="0"/>
          <w:sz w:val="28"/>
          <w:szCs w:val="28"/>
          <w14:ligatures w14:val="none"/>
        </w:rPr>
        <w:t>.</w:t>
      </w:r>
    </w:p>
    <w:p w14:paraId="3267EC9B"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وبالنظر إلى هذه المقاربات، يمكن القول إن التحول الرقمي يتقاطع فيه البعد التقني مع البعد الاستراتيجي والثقافي والمعرفي، وأن التعريفات وإن تعددت زواياها فإنها تتفق على أن التحول الرقمي ليس حدثاً لحظياً بل مسار متواصل يفرض إعادة النظر في مكونات المؤسسة كلها</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ويرى الباحث بناءً على ما تقدّم أن التحول الرقمي في مؤسسات الرعاية الصحية، وبنوك الدم على وجه الخصوص، هو منظومة استراتيجية متكاملة تقوم على توظيف بنية تحتية تكنولوجية متقدمة، ونظم ذكية لإدارة البيانات، بمساندة كفاءات بشرية مؤهلة رقمياً، وضمن إطار محكم من الأمن السيبراني، بما يُفضي إلى إعادة تصميم العمليات الصحية بصورة تُعزز كفاءة الخدمة، وتُحقق سرعة الاستجابة، وتضمن سلامة البيانات، وتحوّل المؤسسة الصحية من كيان تفاعلي إلى كيان استباقي قائم على المعرفة والتحليل</w:t>
      </w:r>
      <w:r w:rsidRPr="002B7D76">
        <w:rPr>
          <w:rFonts w:ascii="Simplified Arabic" w:eastAsia="Times New Roman" w:hAnsi="Simplified Arabic" w:cs="Simplified Arabic"/>
          <w:color w:val="000000" w:themeColor="text1"/>
          <w:kern w:val="0"/>
          <w:sz w:val="28"/>
          <w:szCs w:val="28"/>
          <w14:ligatures w14:val="none"/>
        </w:rPr>
        <w:t>.</w:t>
      </w:r>
    </w:p>
    <w:p w14:paraId="57ECB71F" w14:textId="26C4CAE8"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4165280"/>
      <w:r w:rsidRPr="002B7D76">
        <w:rPr>
          <w:rFonts w:ascii="Simplified Arabic" w:eastAsia="Times New Roman" w:hAnsi="Simplified Arabic" w:cs="Simplified Arabic" w:hint="cs"/>
          <w:b/>
          <w:bCs/>
          <w:color w:val="000000" w:themeColor="text1"/>
          <w:kern w:val="0"/>
          <w:sz w:val="32"/>
          <w:szCs w:val="32"/>
          <w:rtl/>
          <w14:ligatures w14:val="none"/>
        </w:rPr>
        <w:t xml:space="preserve">3.1.2 </w:t>
      </w:r>
      <w:r w:rsidR="00752D5B" w:rsidRPr="002B7D76">
        <w:rPr>
          <w:rFonts w:ascii="Simplified Arabic" w:eastAsia="Times New Roman" w:hAnsi="Simplified Arabic" w:cs="Simplified Arabic"/>
          <w:b/>
          <w:bCs/>
          <w:color w:val="000000" w:themeColor="text1"/>
          <w:kern w:val="0"/>
          <w:sz w:val="32"/>
          <w:szCs w:val="32"/>
          <w:rtl/>
          <w14:ligatures w14:val="none"/>
        </w:rPr>
        <w:t>أهمية التحول الرقمي</w:t>
      </w:r>
      <w:bookmarkEnd w:id="39"/>
    </w:p>
    <w:p w14:paraId="2F39FEAC"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يحتل التحول الرقمي مكانة متقدمة في أدبيات الإدارة المعاصرة، بوصفه أحد أهم الروافع الاستراتيجية التي تُمكّن المؤسسات من مواكبة التغيرات المتلاحقة في بيئة الأعمال. ولا تنبع أهميته من كونه استجابة تقنية لتطورات العصر فحسب، بل من قدرته على إحداث نقلة نوعية في طبيعة العمل المؤسسي، وإعادة تشكيل العلاقة بين المؤسسة ومحيطها الداخلي والخارجي. وفي القطاع الصحي، تتضاعف هذه الأهمية بحكم الطبيعة الحساسة للخدمات المقدمة، وارتباطها المباشر بحياة الإنسان وسلامته، مما يجعل التحول الرقمي ضرورة لا خياراً</w:t>
      </w:r>
      <w:r w:rsidRPr="002B7D76">
        <w:rPr>
          <w:rFonts w:ascii="Simplified Arabic" w:eastAsia="Times New Roman" w:hAnsi="Simplified Arabic" w:cs="Simplified Arabic"/>
          <w:color w:val="000000" w:themeColor="text1"/>
          <w:kern w:val="0"/>
          <w:sz w:val="28"/>
          <w:szCs w:val="28"/>
          <w14:ligatures w14:val="none"/>
        </w:rPr>
        <w:t>.</w:t>
      </w:r>
    </w:p>
    <w:p w14:paraId="5EEBE13A"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ويشير (برحومة وحابي، 2023) إلى أن أهمية التحول الرقمي تنبع من: أولاً، قدرته على تعزيز الشفافية داخل المؤسسة عبر توثيق العمليات إلكترونياً وتقليص هامش التلاعب أو الاجتهاد الفردي؛ وثانياً، إتاحته لتحليل البيانات لحظياً بما يدعم اتخاذ قرارات مبنية على أدلة رقمية موثوقة؛ وثالثاً، إسهامه في ضبط الممارسات المحاسبية والإدارية بصورة تحدّ من الانحرافات؛ ورابعاً، تمكينه المؤسسة من الانتقال من نموذج ردود الفعل إلى نموذج التنبؤ الاستباقي بالمخاطر والفرص</w:t>
      </w:r>
      <w:r w:rsidRPr="002B7D76">
        <w:rPr>
          <w:rFonts w:ascii="Simplified Arabic" w:eastAsia="Times New Roman" w:hAnsi="Simplified Arabic" w:cs="Simplified Arabic"/>
          <w:color w:val="000000" w:themeColor="text1"/>
          <w:kern w:val="0"/>
          <w:sz w:val="28"/>
          <w:szCs w:val="28"/>
          <w14:ligatures w14:val="none"/>
        </w:rPr>
        <w:t>.</w:t>
      </w:r>
    </w:p>
    <w:p w14:paraId="1A2C589F"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ويرى (محمد، 2023) أن أهمية التحول الرقمي تتجلى في كونه: يرفع من إنتاجية العاملين عبر أتمتة المهام الروتينية وتقليص الوقت المستنزف في الإجراءات التقليدية؛ ويُعيد توزيع الجهد البشري نحو المهام ذات القيمة المضافة العالية؛ ويُوفر بيئة عمل مرنة تُتيح للعاملين الوصول إلى المعلومات وأدوات العمل من أي مكان؛ فضلاً عن رفع مستوى الرضا الوظيفي عبر تبسيط سير العمل. ويُضيف (النعيمي وآخرون، 2024) أن أهمية التحول الرقمي تتضح في تحسين جودة الخدمات الصحية عبر: تسريع تدفق المعلومات بين الأقسام والوحدات الصحية؛ وتقليص الأخطاء الطبية الناتجة عن الإدخال اليدوي؛ وضمان استمرارية توفر المعلومة السريرية عند الحاجة إليها؛ وتعزيز التكامل بين مقدمي الرعاية</w:t>
      </w:r>
      <w:r w:rsidRPr="002B7D76">
        <w:rPr>
          <w:rFonts w:ascii="Simplified Arabic" w:eastAsia="Times New Roman" w:hAnsi="Simplified Arabic" w:cs="Simplified Arabic"/>
          <w:color w:val="000000" w:themeColor="text1"/>
          <w:kern w:val="0"/>
          <w:sz w:val="28"/>
          <w:szCs w:val="28"/>
          <w14:ligatures w14:val="none"/>
        </w:rPr>
        <w:t>.</w:t>
      </w:r>
    </w:p>
    <w:p w14:paraId="32508A7A"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ويرى</w:t>
      </w:r>
      <w:r w:rsidRPr="002B7D76">
        <w:rPr>
          <w:rFonts w:ascii="Simplified Arabic" w:eastAsia="Times New Roman" w:hAnsi="Simplified Arabic" w:cs="Simplified Arabic"/>
          <w:color w:val="000000" w:themeColor="text1"/>
          <w:kern w:val="0"/>
          <w:sz w:val="28"/>
          <w:szCs w:val="28"/>
          <w14:ligatures w14:val="none"/>
        </w:rPr>
        <w:t xml:space="preserve"> (Blhaj et al., 2025) </w:t>
      </w:r>
      <w:r w:rsidRPr="002B7D76">
        <w:rPr>
          <w:rFonts w:ascii="Simplified Arabic" w:eastAsia="Times New Roman" w:hAnsi="Simplified Arabic" w:cs="Simplified Arabic"/>
          <w:color w:val="000000" w:themeColor="text1"/>
          <w:kern w:val="0"/>
          <w:sz w:val="28"/>
          <w:szCs w:val="28"/>
          <w:rtl/>
          <w14:ligatures w14:val="none"/>
        </w:rPr>
        <w:t>أن أهمية التحول الرقمي في السياق الصحي تتجسد في تعزيز إمكانية الوصول إلى الخدمة الصحية عبر تجاوز الحواجز الجغرافية، وتحقيق كفاءة أعلى في استخدام الموارد المحدودة، وتوفير قنوات تواصل جديدة بين المريض ومقدم الخدمة، بما يُسهم في تحسين تصورات المستفيدين حول الرعاية المقدمة. ويؤكد (عبدالمنعم، 2023) أن للتحول الرقمي أهمية بالغة في منظومات التأمين الصحي، حيث يُسهم في: تسريع الإجراءات الإدارية المرتبطة بالمطالبات؛ وتوحيد قواعد البيانات بين الجهات المختلفة؛ وتقليص الازدواجية في الملفات الصحية؛ وتعزيز عدالة توزيع الخدمة على المستفيدين</w:t>
      </w:r>
      <w:r w:rsidRPr="002B7D76">
        <w:rPr>
          <w:rFonts w:ascii="Simplified Arabic" w:eastAsia="Times New Roman" w:hAnsi="Simplified Arabic" w:cs="Simplified Arabic"/>
          <w:color w:val="000000" w:themeColor="text1"/>
          <w:kern w:val="0"/>
          <w:sz w:val="28"/>
          <w:szCs w:val="28"/>
          <w14:ligatures w14:val="none"/>
        </w:rPr>
        <w:t>.</w:t>
      </w:r>
    </w:p>
    <w:p w14:paraId="56DD456F"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ومن منظور مؤسسي أعمق، يرى (حسين وآخرون، 2023) أن التحول الرقمي يكتسب أهميته من إسهامه في تحسين الأداء التنظيمي عبر: إعادة هندسة العمليات بما يُقلص الوقت والتكلفة؛ وبناء قواعد معرفية مؤسسية قابلة للاسترجاع والتحليل؛ ودعم قرارات القيادة العليا ببيانات دقيقة وحديثة؛ وتعزيز قدرة المؤسسة على قياس أدائها ومقارنته بالمنافسين. ويُضيف (الثقفي وآخرون، 2025) أن أهمية رقمنة الخدمات الصحية في السياق السعودي تنبع من: انسجامها مع مستهدفات رؤية المملكة 2030 في تحويل القطاع الصحي؛ ورفع تنافسية المستشفيات السعودية على المستويين الإقليمي والدولي؛ وتحسين تجربة المستفيد بوصفه محوراً للمنظومة الصحية</w:t>
      </w:r>
      <w:r w:rsidRPr="002B7D76">
        <w:rPr>
          <w:rFonts w:ascii="Simplified Arabic" w:eastAsia="Times New Roman" w:hAnsi="Simplified Arabic" w:cs="Simplified Arabic"/>
          <w:color w:val="000000" w:themeColor="text1"/>
          <w:kern w:val="0"/>
          <w:sz w:val="28"/>
          <w:szCs w:val="28"/>
          <w14:ligatures w14:val="none"/>
        </w:rPr>
        <w:t>.</w:t>
      </w:r>
    </w:p>
    <w:p w14:paraId="01BD885F"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ويشير</w:t>
      </w:r>
      <w:r w:rsidRPr="002B7D76">
        <w:rPr>
          <w:rFonts w:ascii="Simplified Arabic" w:eastAsia="Times New Roman" w:hAnsi="Simplified Arabic" w:cs="Simplified Arabic"/>
          <w:color w:val="000000" w:themeColor="text1"/>
          <w:kern w:val="0"/>
          <w:sz w:val="28"/>
          <w:szCs w:val="28"/>
          <w14:ligatures w14:val="none"/>
        </w:rPr>
        <w:t xml:space="preserve"> (Furstenau &amp; Saurin, 2024) </w:t>
      </w:r>
      <w:r w:rsidRPr="002B7D76">
        <w:rPr>
          <w:rFonts w:ascii="Simplified Arabic" w:eastAsia="Times New Roman" w:hAnsi="Simplified Arabic" w:cs="Simplified Arabic"/>
          <w:color w:val="000000" w:themeColor="text1"/>
          <w:kern w:val="0"/>
          <w:sz w:val="28"/>
          <w:szCs w:val="28"/>
          <w:rtl/>
          <w14:ligatures w14:val="none"/>
        </w:rPr>
        <w:t xml:space="preserve">إلى أن للتحول الرقمي أهمية استثنائية في خدمات نقل الدم تحديداً، إذ يُسهم في: بناء منظومة مرنة قادرة على استيعاب الصدمات والاضطرابات في سلاسل إمداد الدم؛ وتعزيز قدرة النظام على الاستجابة السريعة للأزمات والكوارث؛ وتوفير رؤية شاملة لمخزون الدم ومشتقاته في الوقت الحقيقي؛ وتقليص فقد الوحدات نتيجة سوء الإدارة أو انتهاء الصلاحية. ويرى (أحمد </w:t>
      </w:r>
      <w:r w:rsidRPr="002B7D76">
        <w:rPr>
          <w:rFonts w:ascii="Simplified Arabic" w:eastAsia="Times New Roman" w:hAnsi="Simplified Arabic" w:cs="Simplified Arabic"/>
          <w:color w:val="000000" w:themeColor="text1"/>
          <w:kern w:val="0"/>
          <w:sz w:val="28"/>
          <w:szCs w:val="28"/>
          <w:rtl/>
          <w14:ligatures w14:val="none"/>
        </w:rPr>
        <w:lastRenderedPageBreak/>
        <w:t>وآخرون، 2024) أن التحول الرقمي يستمد أهميته من كونه يُوفر بيئة خصبة لاستقطاب المواهب الرقمية وتنميتها، بما يعزز قدرة المؤسسة الصحية على الابتكار وتطوير خدماتها، ويُحوّلها من مستهلك للتقنية إلى منتج لحلول رقمية خاصة بها. وبناء على ما تقدم، فإن أهمية التحول الرقمي في بنوك الدم تتشكل من تضافر أبعاد متعددة تتراوح بين تعزيز كفاءة العمليات، وضمان سلامة المتبرعين والمستفيدين، ورفع جودة القرارات، وبناء استدامة تشغيلية طويلة الأمد</w:t>
      </w:r>
      <w:r w:rsidRPr="002B7D76">
        <w:rPr>
          <w:rFonts w:ascii="Simplified Arabic" w:eastAsia="Times New Roman" w:hAnsi="Simplified Arabic" w:cs="Simplified Arabic"/>
          <w:color w:val="000000" w:themeColor="text1"/>
          <w:kern w:val="0"/>
          <w:sz w:val="28"/>
          <w:szCs w:val="28"/>
          <w14:ligatures w14:val="none"/>
        </w:rPr>
        <w:t>.</w:t>
      </w:r>
    </w:p>
    <w:p w14:paraId="5F255E34" w14:textId="2B7642F6"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4165281"/>
      <w:r w:rsidRPr="002B7D76">
        <w:rPr>
          <w:rFonts w:ascii="Simplified Arabic" w:eastAsia="Times New Roman" w:hAnsi="Simplified Arabic" w:cs="Simplified Arabic" w:hint="cs"/>
          <w:b/>
          <w:bCs/>
          <w:color w:val="000000" w:themeColor="text1"/>
          <w:kern w:val="0"/>
          <w:sz w:val="32"/>
          <w:szCs w:val="32"/>
          <w:rtl/>
          <w14:ligatures w14:val="none"/>
        </w:rPr>
        <w:t xml:space="preserve">4.1.2 </w:t>
      </w:r>
      <w:r w:rsidR="00752D5B" w:rsidRPr="002B7D76">
        <w:rPr>
          <w:rFonts w:ascii="Simplified Arabic" w:eastAsia="Times New Roman" w:hAnsi="Simplified Arabic" w:cs="Simplified Arabic"/>
          <w:b/>
          <w:bCs/>
          <w:color w:val="000000" w:themeColor="text1"/>
          <w:kern w:val="0"/>
          <w:sz w:val="32"/>
          <w:szCs w:val="32"/>
          <w:rtl/>
          <w14:ligatures w14:val="none"/>
        </w:rPr>
        <w:t>أهداف التحول الرقمي</w:t>
      </w:r>
      <w:bookmarkEnd w:id="40"/>
    </w:p>
    <w:p w14:paraId="379BEBDA"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يسعى التحول الرقمي إلى تحقيق منظومة متكاملة من الأهداف تعكس تعدد أبعاده وتشابك تأثيراته، وقد تناول الباحثون هذه الأهداف من زوايا متنوعة تعكس السياقات التطبيقية التي انطلقوا منها. ويطرح (عليوات والهناندة، 2023) جملة من الأهداف التي يسعى التحول الرقمي إلى تحقيقها في القطاع الصحي، ومنها: تحسين جودة الخدمات الصحية المقدمة عبر تكامل النظم الإلكترونية؛ وتسهيل وصول المستفيدين إلى الخدمة عبر قنوات رقمية متعددة؛ وتخفيض التكاليف التشغيلية عبر أتمتة العمليات؛ وتعزيز رضا العاملين من خلال تحسين بيئة العمل الرقمية</w:t>
      </w:r>
      <w:r w:rsidRPr="002B7D76">
        <w:rPr>
          <w:rFonts w:ascii="Simplified Arabic" w:eastAsia="Times New Roman" w:hAnsi="Simplified Arabic" w:cs="Simplified Arabic"/>
          <w:color w:val="000000" w:themeColor="text1"/>
          <w:kern w:val="0"/>
          <w:sz w:val="28"/>
          <w:szCs w:val="28"/>
          <w14:ligatures w14:val="none"/>
        </w:rPr>
        <w:t>.</w:t>
      </w:r>
    </w:p>
    <w:p w14:paraId="73B3D772"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ويحدد (مقرض، 2023) مجموعة أخرى من الأهداف تتمركز حول القدرات الديناميكية، من بينها: بناء قدرة تكيفية تُمكّن المؤسسة الصحية من التعامل مع الأزمات والجوائح؛ وتعزيز القدرة على استشعار التغيرات في بيئة الخدمة والاستجابة لها؛ ودعم الابتكار في تقديم الخدمة الصحية؛ وإتاحة إعادة توجيه الموارد بسرعة نحو الأولويات المتغيرة. ويرى</w:t>
      </w:r>
      <w:r w:rsidRPr="002B7D76">
        <w:rPr>
          <w:rFonts w:ascii="Simplified Arabic" w:eastAsia="Times New Roman" w:hAnsi="Simplified Arabic" w:cs="Simplified Arabic"/>
          <w:color w:val="000000" w:themeColor="text1"/>
          <w:kern w:val="0"/>
          <w:sz w:val="28"/>
          <w:szCs w:val="28"/>
          <w14:ligatures w14:val="none"/>
        </w:rPr>
        <w:t xml:space="preserve"> (Emran et al., 2025) </w:t>
      </w:r>
      <w:r w:rsidRPr="002B7D76">
        <w:rPr>
          <w:rFonts w:ascii="Simplified Arabic" w:eastAsia="Times New Roman" w:hAnsi="Simplified Arabic" w:cs="Simplified Arabic"/>
          <w:color w:val="000000" w:themeColor="text1"/>
          <w:kern w:val="0"/>
          <w:sz w:val="28"/>
          <w:szCs w:val="28"/>
          <w:rtl/>
          <w14:ligatures w14:val="none"/>
        </w:rPr>
        <w:t>أن التحول الرقمي يستهدف: تحسين جودة الخدمات الصحية عبر تكامل استراتيجيات رقمية شاملة؛ وتقليص الفجوة بين مستويات الخدمة في المناطق المختلفة؛ وتوحيد معايير الأداء بين المؤسسات الصحية؛ وتمكين القيادات الصحية من رؤية شاملة لأداء منظومتها</w:t>
      </w:r>
      <w:r w:rsidRPr="002B7D76">
        <w:rPr>
          <w:rFonts w:ascii="Simplified Arabic" w:eastAsia="Times New Roman" w:hAnsi="Simplified Arabic" w:cs="Simplified Arabic"/>
          <w:color w:val="000000" w:themeColor="text1"/>
          <w:kern w:val="0"/>
          <w:sz w:val="28"/>
          <w:szCs w:val="28"/>
          <w14:ligatures w14:val="none"/>
        </w:rPr>
        <w:t>.</w:t>
      </w:r>
    </w:p>
    <w:p w14:paraId="555D14AB"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ويتوسع (محمد، 2024) في تحديد أهداف التحول الرقمي في المؤسسات الصحية المتخصصة، فيشير إلى: تعزيز فعالية القرارات القيادية عبر توفير بيانات دقيقة؛ وبناء ثقافة مؤسسية داعمة للابتكار الرقمي؛ وتطوير قدرات القيادات على استثمار التقنية في تحسين الأداء؛ وتعزيز الانسجام بين الرؤية الاستراتيجية والممارسات التشغيلية. ويُبرز (بلمير ودايرة، 2025) أهدافاً أخرى تشمل: تعزيز شفافية العلاقة بين مقدم الخدمة والمستفيد؛ ورفع مستوى الثقة في المنظومة الصحية؛ وضمان استمرارية تقديم الخدمة رغم التحديات الطارئة؛ وإتاحة مقارنة الأداء بين المؤسسات لتحقيق التحسين المستمر</w:t>
      </w:r>
      <w:r w:rsidRPr="002B7D76">
        <w:rPr>
          <w:rFonts w:ascii="Simplified Arabic" w:eastAsia="Times New Roman" w:hAnsi="Simplified Arabic" w:cs="Simplified Arabic"/>
          <w:color w:val="000000" w:themeColor="text1"/>
          <w:kern w:val="0"/>
          <w:sz w:val="28"/>
          <w:szCs w:val="28"/>
          <w14:ligatures w14:val="none"/>
        </w:rPr>
        <w:t>.</w:t>
      </w:r>
    </w:p>
    <w:p w14:paraId="6EEEBF75"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ويطرح</w:t>
      </w:r>
      <w:r w:rsidRPr="002B7D76">
        <w:rPr>
          <w:rFonts w:ascii="Simplified Arabic" w:eastAsia="Times New Roman" w:hAnsi="Simplified Arabic" w:cs="Simplified Arabic"/>
          <w:color w:val="000000" w:themeColor="text1"/>
          <w:kern w:val="0"/>
          <w:sz w:val="28"/>
          <w:szCs w:val="28"/>
          <w14:ligatures w14:val="none"/>
        </w:rPr>
        <w:t xml:space="preserve"> (Niklas et al., 2023) </w:t>
      </w:r>
      <w:r w:rsidRPr="002B7D76">
        <w:rPr>
          <w:rFonts w:ascii="Simplified Arabic" w:eastAsia="Times New Roman" w:hAnsi="Simplified Arabic" w:cs="Simplified Arabic"/>
          <w:color w:val="000000" w:themeColor="text1"/>
          <w:kern w:val="0"/>
          <w:sz w:val="28"/>
          <w:szCs w:val="28"/>
          <w:rtl/>
          <w14:ligatures w14:val="none"/>
        </w:rPr>
        <w:t>أهدافاً تختص بمجال بنوك الدم، من بينها: توسيع قاعدة المتبرعين عبر قنوات رقمية جاذبة؛ وتحسين تجربة المتبرع من مرحلة التسجيل حتى المتابعة اللاحقة؛ وبناء قواعد بيانات شاملة لخصائص المتبرعين تدعم التخطيط طويل الأمد؛ وتعزيز ولاء المتبرعين وضمان استدامة تبرعهم. ويُضيف</w:t>
      </w:r>
      <w:r w:rsidRPr="002B7D76">
        <w:rPr>
          <w:rFonts w:ascii="Simplified Arabic" w:eastAsia="Times New Roman" w:hAnsi="Simplified Arabic" w:cs="Simplified Arabic"/>
          <w:color w:val="000000" w:themeColor="text1"/>
          <w:kern w:val="0"/>
          <w:sz w:val="28"/>
          <w:szCs w:val="28"/>
          <w14:ligatures w14:val="none"/>
        </w:rPr>
        <w:t xml:space="preserve"> (Ben Elmir et al., 2023) </w:t>
      </w:r>
      <w:r w:rsidRPr="002B7D76">
        <w:rPr>
          <w:rFonts w:ascii="Simplified Arabic" w:eastAsia="Times New Roman" w:hAnsi="Simplified Arabic" w:cs="Simplified Arabic"/>
          <w:color w:val="000000" w:themeColor="text1"/>
          <w:kern w:val="0"/>
          <w:sz w:val="28"/>
          <w:szCs w:val="28"/>
          <w:rtl/>
          <w14:ligatures w14:val="none"/>
        </w:rPr>
        <w:t>أهدافاً تتصل بإدارة سلاسل إمداد الدم، وتشمل: التنبؤ الدقيق بالطلب على وحدات الدم؛ وتقليص الفاقد الناتج عن سوء التخزين أو انتهاء الصلاحية؛ وضمان توفر المخزون المناسب في التوقيت والمكان المناسبين؛ وتحسين التنسيق بين بنوك الدم والمستشفيات</w:t>
      </w:r>
      <w:r w:rsidRPr="002B7D76">
        <w:rPr>
          <w:rFonts w:ascii="Simplified Arabic" w:eastAsia="Times New Roman" w:hAnsi="Simplified Arabic" w:cs="Simplified Arabic"/>
          <w:color w:val="000000" w:themeColor="text1"/>
          <w:kern w:val="0"/>
          <w:sz w:val="28"/>
          <w:szCs w:val="28"/>
          <w14:ligatures w14:val="none"/>
        </w:rPr>
        <w:t>.</w:t>
      </w:r>
    </w:p>
    <w:p w14:paraId="5833D574" w14:textId="6F1041A4"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4165282"/>
      <w:r w:rsidRPr="002B7D76">
        <w:rPr>
          <w:rFonts w:ascii="Simplified Arabic" w:eastAsia="Times New Roman" w:hAnsi="Simplified Arabic" w:cs="Simplified Arabic" w:hint="cs"/>
          <w:b/>
          <w:bCs/>
          <w:color w:val="000000" w:themeColor="text1"/>
          <w:kern w:val="0"/>
          <w:sz w:val="32"/>
          <w:szCs w:val="32"/>
          <w:rtl/>
          <w14:ligatures w14:val="none"/>
        </w:rPr>
        <w:t xml:space="preserve">5.1.2 </w:t>
      </w:r>
      <w:r w:rsidR="00752D5B" w:rsidRPr="002B7D76">
        <w:rPr>
          <w:rFonts w:ascii="Simplified Arabic" w:eastAsia="Times New Roman" w:hAnsi="Simplified Arabic" w:cs="Simplified Arabic"/>
          <w:b/>
          <w:bCs/>
          <w:color w:val="000000" w:themeColor="text1"/>
          <w:kern w:val="0"/>
          <w:sz w:val="32"/>
          <w:szCs w:val="32"/>
          <w:rtl/>
          <w14:ligatures w14:val="none"/>
        </w:rPr>
        <w:t>أبعاد التحول الرقمي</w:t>
      </w:r>
      <w:bookmarkEnd w:id="41"/>
    </w:p>
    <w:p w14:paraId="579096FC"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تم تحديد أبعاد التحول الرقمي في هذه الدراسة بناءً على مراجعة معمقة لمجموعة من الدراسات، من أبرزها دراسة</w:t>
      </w:r>
      <w:r w:rsidRPr="002B7D76">
        <w:rPr>
          <w:rFonts w:ascii="Simplified Arabic" w:eastAsia="Times New Roman" w:hAnsi="Simplified Arabic" w:cs="Simplified Arabic"/>
          <w:color w:val="000000" w:themeColor="text1"/>
          <w:kern w:val="0"/>
          <w:sz w:val="28"/>
          <w:szCs w:val="28"/>
          <w14:ligatures w14:val="none"/>
        </w:rPr>
        <w:t xml:space="preserve"> (Kraus et al., 2021) </w:t>
      </w:r>
      <w:r w:rsidRPr="002B7D76">
        <w:rPr>
          <w:rFonts w:ascii="Simplified Arabic" w:eastAsia="Times New Roman" w:hAnsi="Simplified Arabic" w:cs="Simplified Arabic"/>
          <w:color w:val="000000" w:themeColor="text1"/>
          <w:kern w:val="0"/>
          <w:sz w:val="28"/>
          <w:szCs w:val="28"/>
          <w:rtl/>
          <w14:ligatures w14:val="none"/>
        </w:rPr>
        <w:t>التي أطّرت أبعاد التحول الرقمي في القطاع الصحي، ودراسة (النعيمي وآخرون، 2024) التي تناولت أثر تكنولوجيا المعلومات في تحسين جودة الخدمات الصحية، ودراسة (الثقفي وآخرون، 2025) التي اهتمت برقمنة الخدمات الصحية في السياق السعودي، إضافة إلى دراسة</w:t>
      </w:r>
      <w:r w:rsidRPr="002B7D76">
        <w:rPr>
          <w:rFonts w:ascii="Simplified Arabic" w:eastAsia="Times New Roman" w:hAnsi="Simplified Arabic" w:cs="Simplified Arabic"/>
          <w:color w:val="000000" w:themeColor="text1"/>
          <w:kern w:val="0"/>
          <w:sz w:val="28"/>
          <w:szCs w:val="28"/>
          <w14:ligatures w14:val="none"/>
        </w:rPr>
        <w:t xml:space="preserve"> (Furstenau &amp; Saurin, 2024) </w:t>
      </w:r>
      <w:r w:rsidRPr="002B7D76">
        <w:rPr>
          <w:rFonts w:ascii="Simplified Arabic" w:eastAsia="Times New Roman" w:hAnsi="Simplified Arabic" w:cs="Simplified Arabic"/>
          <w:color w:val="000000" w:themeColor="text1"/>
          <w:kern w:val="0"/>
          <w:sz w:val="28"/>
          <w:szCs w:val="28"/>
          <w:rtl/>
          <w14:ligatures w14:val="none"/>
        </w:rPr>
        <w:t>التي ركزت على خدمات نقل الدم تحديداً. وبناءً على ذلك، تم تبنّي أربعة أبعاد رئيسية للتحول الرقمي في بنوك الدم، هي: البنية التحتية التكنولوجية، والأنظمة الذكية لإدارة البيانات، والكفاءات الرقمية للموارد البشرية، والأمن السيبراني وحماية البيانات الصحية</w:t>
      </w:r>
      <w:r w:rsidRPr="002B7D76">
        <w:rPr>
          <w:rFonts w:ascii="Simplified Arabic" w:eastAsia="Times New Roman" w:hAnsi="Simplified Arabic" w:cs="Simplified Arabic"/>
          <w:color w:val="000000" w:themeColor="text1"/>
          <w:kern w:val="0"/>
          <w:sz w:val="28"/>
          <w:szCs w:val="28"/>
          <w14:ligatures w14:val="none"/>
        </w:rPr>
        <w:t>.</w:t>
      </w:r>
    </w:p>
    <w:p w14:paraId="60FD2533"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الأول: البنية التحتية التكنولوجية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تمثل البنية التحتية التكنولوجية الأساس المادي والبرمجي الذي يقوم عليه التحول الرقمي، وتشمل مجموعة من المكونات المتكاملة كالأجهزة والخوادم والشبكات وأنظمة التخزين والحوسبة السحابية وتقنيات إنترنت الأشياء. ويرى (محمود، 2022) أن البنية التحتية التكنولوجية تُشكل حجر الزاوية في أي مبادرة رقمية، إذ لا يمكن تصور تحول رقمي فعّال دون بنية قادرة على استيعاب التطبيقات الحديثة ومعالجة أحجام ضخمة من البيانات بكفاءة عالية. وفي سياق بنوك الدم، تتخذ هذه البنية طابعاً خاصاً؛ إذ تحتاج إلى ربط شبكي متين بين مواقع سحب الدم ومختبرات الفحص ووحدات التخزين والمستشفيات المستفيدة، بما يضمن انسيابية تدفق المعلومات وسرعة الاستجابة للطلبات الطارئة</w:t>
      </w:r>
      <w:r w:rsidRPr="002B7D76">
        <w:rPr>
          <w:rFonts w:ascii="Simplified Arabic" w:eastAsia="Times New Roman" w:hAnsi="Simplified Arabic" w:cs="Simplified Arabic"/>
          <w:color w:val="000000" w:themeColor="text1"/>
          <w:kern w:val="0"/>
          <w:sz w:val="28"/>
          <w:szCs w:val="28"/>
          <w14:ligatures w14:val="none"/>
        </w:rPr>
        <w:t>.</w:t>
      </w:r>
    </w:p>
    <w:p w14:paraId="6A8905B1"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ويشير</w:t>
      </w:r>
      <w:r w:rsidRPr="002B7D76">
        <w:rPr>
          <w:rFonts w:ascii="Simplified Arabic" w:eastAsia="Times New Roman" w:hAnsi="Simplified Arabic" w:cs="Simplified Arabic"/>
          <w:color w:val="000000" w:themeColor="text1"/>
          <w:kern w:val="0"/>
          <w:sz w:val="28"/>
          <w:szCs w:val="28"/>
          <w14:ligatures w14:val="none"/>
        </w:rPr>
        <w:t xml:space="preserve"> (Varghese et al., 2024) </w:t>
      </w:r>
      <w:r w:rsidRPr="002B7D76">
        <w:rPr>
          <w:rFonts w:ascii="Simplified Arabic" w:eastAsia="Times New Roman" w:hAnsi="Simplified Arabic" w:cs="Simplified Arabic"/>
          <w:color w:val="000000" w:themeColor="text1"/>
          <w:kern w:val="0"/>
          <w:sz w:val="28"/>
          <w:szCs w:val="28"/>
          <w:rtl/>
          <w14:ligatures w14:val="none"/>
        </w:rPr>
        <w:t xml:space="preserve">إلى أن التطورات التقنية في خدمات نقل الدم تعتمد اعتماداً جوهرياً على وجود بنية تحتية متكاملة قادرة على استيعاب تقنيات التتبع بالباركود ومعرّفات الترددات الراديوية، وأنظمة التبريد الذكية، وأجهزة الفحص الآلي، وربطها جميعاً في منظومة موحدة تُتيح الرقابة الشاملة على دورة حياة وحدة الدم من لحظة سحبها إلى لحظة استخدامها. كما تشمل البنية التحتية </w:t>
      </w:r>
      <w:r w:rsidRPr="002B7D76">
        <w:rPr>
          <w:rFonts w:ascii="Simplified Arabic" w:eastAsia="Times New Roman" w:hAnsi="Simplified Arabic" w:cs="Simplified Arabic"/>
          <w:color w:val="000000" w:themeColor="text1"/>
          <w:kern w:val="0"/>
          <w:sz w:val="28"/>
          <w:szCs w:val="28"/>
          <w:rtl/>
          <w14:ligatures w14:val="none"/>
        </w:rPr>
        <w:lastRenderedPageBreak/>
        <w:t>التكنولوجية توفر منصات حوسبة سحابية آمنة تُتيح توسيع الطاقة الاستيعابية للنظام بمرونة، وتضمن استمرارية الخدمة حتى في حالات الأعطال المحلية، فضلاً عن توفر أجهزة طرفية حديثة تُستخدم في نقاط الخدمة كأجهزة الأجهزة اللوحية للمتبرعين وأجهزة القراءة الآلية للعينات</w:t>
      </w:r>
      <w:r w:rsidRPr="002B7D76">
        <w:rPr>
          <w:rFonts w:ascii="Simplified Arabic" w:eastAsia="Times New Roman" w:hAnsi="Simplified Arabic" w:cs="Simplified Arabic"/>
          <w:color w:val="000000" w:themeColor="text1"/>
          <w:kern w:val="0"/>
          <w:sz w:val="28"/>
          <w:szCs w:val="28"/>
          <w14:ligatures w14:val="none"/>
        </w:rPr>
        <w:t>.</w:t>
      </w:r>
    </w:p>
    <w:p w14:paraId="25AC5448"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الثاني: الأنظمة الذكية لإدارة البيانات</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يمثل هذا البُعد الطبقة التحليلية التي تُحوّل البيانات الخام إلى معرفة قابلة للاستخدام في اتخاذ القرارات. ويؤكد</w:t>
      </w:r>
      <w:r w:rsidRPr="002B7D76">
        <w:rPr>
          <w:rFonts w:ascii="Simplified Arabic" w:eastAsia="Times New Roman" w:hAnsi="Simplified Arabic" w:cs="Simplified Arabic"/>
          <w:color w:val="000000" w:themeColor="text1"/>
          <w:kern w:val="0"/>
          <w:sz w:val="28"/>
          <w:szCs w:val="28"/>
          <w14:ligatures w14:val="none"/>
        </w:rPr>
        <w:t xml:space="preserve"> (Peri</w:t>
      </w:r>
      <w:r w:rsidRPr="002B7D76">
        <w:rPr>
          <w:rFonts w:ascii="Cambria" w:eastAsia="Times New Roman" w:hAnsi="Cambria" w:cs="Cambria"/>
          <w:color w:val="000000" w:themeColor="text1"/>
          <w:kern w:val="0"/>
          <w:sz w:val="28"/>
          <w:szCs w:val="28"/>
          <w14:ligatures w14:val="none"/>
        </w:rPr>
        <w:t>áñ</w:t>
      </w:r>
      <w:r w:rsidRPr="002B7D76">
        <w:rPr>
          <w:rFonts w:ascii="Simplified Arabic" w:eastAsia="Times New Roman" w:hAnsi="Simplified Arabic" w:cs="Simplified Arabic"/>
          <w:color w:val="000000" w:themeColor="text1"/>
          <w:kern w:val="0"/>
          <w:sz w:val="28"/>
          <w:szCs w:val="28"/>
          <w14:ligatures w14:val="none"/>
        </w:rPr>
        <w:t xml:space="preserve">ez et al., 2024) </w:t>
      </w:r>
      <w:r w:rsidRPr="002B7D76">
        <w:rPr>
          <w:rFonts w:ascii="Simplified Arabic" w:eastAsia="Times New Roman" w:hAnsi="Simplified Arabic" w:cs="Simplified Arabic"/>
          <w:color w:val="000000" w:themeColor="text1"/>
          <w:kern w:val="0"/>
          <w:sz w:val="28"/>
          <w:szCs w:val="28"/>
          <w:rtl/>
          <w14:ligatures w14:val="none"/>
        </w:rPr>
        <w:t>أن الأنظمة الذكية لإدارة البيانات تقوم على توظيف تقنيات الذكاء الاصطناعي وتحليلات البيانات الضخمة والتعلم الآلي في معالجة كميات هائلة من البيانات الصحية، بما يُتيح استخراج الأنماط والتنبؤ بالسلوكيات المستقبلية. وفي بيئة بنوك الدم، تكتسب هذه الأنظمة أهمية استثنائية، إذ تُتيح التنبؤ بمعدلات الطلب على أنواع الدم المختلفة في فترات زمنية محددة، وتخطيط حملات التبرع بصورة أكثر دقة، وتوجيه الموارد نحو المناطق الأكثر احتياجاً</w:t>
      </w:r>
      <w:r w:rsidRPr="002B7D76">
        <w:rPr>
          <w:rFonts w:ascii="Simplified Arabic" w:eastAsia="Times New Roman" w:hAnsi="Simplified Arabic" w:cs="Simplified Arabic"/>
          <w:color w:val="000000" w:themeColor="text1"/>
          <w:kern w:val="0"/>
          <w:sz w:val="28"/>
          <w:szCs w:val="28"/>
          <w14:ligatures w14:val="none"/>
        </w:rPr>
        <w:t>.</w:t>
      </w:r>
    </w:p>
    <w:p w14:paraId="5F2A2718"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ويوضّح</w:t>
      </w:r>
      <w:r w:rsidRPr="002B7D76">
        <w:rPr>
          <w:rFonts w:ascii="Simplified Arabic" w:eastAsia="Times New Roman" w:hAnsi="Simplified Arabic" w:cs="Simplified Arabic"/>
          <w:color w:val="000000" w:themeColor="text1"/>
          <w:kern w:val="0"/>
          <w:sz w:val="28"/>
          <w:szCs w:val="28"/>
          <w14:ligatures w14:val="none"/>
        </w:rPr>
        <w:t xml:space="preserve"> (Garcés Giraldo et al., 2025) </w:t>
      </w:r>
      <w:r w:rsidRPr="002B7D76">
        <w:rPr>
          <w:rFonts w:ascii="Simplified Arabic" w:eastAsia="Times New Roman" w:hAnsi="Simplified Arabic" w:cs="Simplified Arabic"/>
          <w:color w:val="000000" w:themeColor="text1"/>
          <w:kern w:val="0"/>
          <w:sz w:val="28"/>
          <w:szCs w:val="28"/>
          <w:rtl/>
          <w14:ligatures w14:val="none"/>
        </w:rPr>
        <w:t>أن تطبيقات الذكاء الاصطناعي في بنوك الدم تفتح آفاقاً واسعة لتحسين إدارة العمليات، من خلال تحسين عمليات الفحص والفرز، والتنبؤ بالطلب، وأتمتة إجراءات المطابقة بين المتبرع والمستفيد. كما تشمل الأنظمة الذكية لإدارة البيانات لوحات المتابعة التفاعلية التي تعرض مؤشرات الأداء لحظياً، ونظم دعم القرار التي تُقدم للإداريين توصيات مبنية على تحليل بيانات مركّبة، ونظم إدارة العلاقة مع المتبرعين التي تُصنّفهم وتُدير التواصل معهم بصورة مخصصة. ويُضيف (خنوف وبولقصيبات، 2024) أن هذه الأنظمة تُعيد تشكيل الأداء الإداري في المؤسسات الصحية عبر تمكين المديرين من رؤية شاملة ودقيقة لأدائهم في الوقت الفعلي، وتحويل الإدارة من كونها ردود فعل على أحداث ماضية إلى استباق للأحداث القادمة</w:t>
      </w:r>
      <w:r w:rsidRPr="002B7D76">
        <w:rPr>
          <w:rFonts w:ascii="Simplified Arabic" w:eastAsia="Times New Roman" w:hAnsi="Simplified Arabic" w:cs="Simplified Arabic"/>
          <w:color w:val="000000" w:themeColor="text1"/>
          <w:kern w:val="0"/>
          <w:sz w:val="28"/>
          <w:szCs w:val="28"/>
          <w14:ligatures w14:val="none"/>
        </w:rPr>
        <w:t>.</w:t>
      </w:r>
    </w:p>
    <w:p w14:paraId="6F2AB4DC"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الثالث: الكفاءات الرقمية للموارد البشرية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يمثل العنصر البشري المؤهل رقمياً الركيزة الحاسمة التي تحوّل الاستثمارات التقنية إلى قيمة فعلية. ويرى (أحمد وآخرون، 2024) أن الكفاءات الرقمية تتشكل من مزيج مركب من المهارات التقنية والذهنية والسلوكية، تشمل القدرة على التعامل مع الأدوات الرقمية، وفهم منطق البيانات، والتفكير التحليلي، والقدرة على التعلم المستمر، والانفتاح على التغيير. وفي بنوك الدم، تحتاج هذه الكفاءات إلى تخصص إضافي يجمع بين المعرفة الطبية والفنية والقدرة على توظيف التقنية في تحسين جودة الخدمة</w:t>
      </w:r>
      <w:r w:rsidRPr="002B7D76">
        <w:rPr>
          <w:rFonts w:ascii="Simplified Arabic" w:eastAsia="Times New Roman" w:hAnsi="Simplified Arabic" w:cs="Simplified Arabic"/>
          <w:color w:val="000000" w:themeColor="text1"/>
          <w:kern w:val="0"/>
          <w:sz w:val="28"/>
          <w:szCs w:val="28"/>
          <w14:ligatures w14:val="none"/>
        </w:rPr>
        <w:t>.</w:t>
      </w:r>
    </w:p>
    <w:p w14:paraId="54694066"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ويُبرز (محمد، 2022) أن بناء الكفاءات الرقمية يتطلب استراتيجية متكاملة لإدارة المعرفة داخل المؤسسة، تشمل تحديد الفجوات المعرفية، وتصميم برامج تدريبية مستدامة، وتوفير بيئة داعمة للتعلم التطبيقي، وإتاحة أدوات مشاركة المعرفة بين العاملين. كما يشير (غواري، 2021) إلى أن التدريب المنظم للعاملين في المؤسسات الصحية يمثل مدخلاً جوهرياً لتحسين جودة الخدمة، إذ يبني قدراتهم على توظيف الأدوات التقنية بكفاءة، ويُعزز ثقتهم في استخدامها، ويُقلص من مقاومة التغيير التي قد تُعيق تبني التقنيات الجديدة. ويُضيف (السواط والحربي، 2022) أن الكفاءات الرقمية تشمل إلى جانب المهارات التقنية القدرة على العمل ضمن فرق متعددة التخصصات، والتواصل الرقمي الفعّال، وإدارة المشروعات الرقمية، وقيادة التغيير التقني داخل المؤسسة</w:t>
      </w:r>
      <w:r w:rsidRPr="002B7D76">
        <w:rPr>
          <w:rFonts w:ascii="Simplified Arabic" w:eastAsia="Times New Roman" w:hAnsi="Simplified Arabic" w:cs="Simplified Arabic"/>
          <w:color w:val="000000" w:themeColor="text1"/>
          <w:kern w:val="0"/>
          <w:sz w:val="28"/>
          <w:szCs w:val="28"/>
          <w14:ligatures w14:val="none"/>
        </w:rPr>
        <w:t>.</w:t>
      </w:r>
    </w:p>
    <w:p w14:paraId="64D87938"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الرابع: الأمن السيبراني وحماية البيانات الصحية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يمثل هذا البُعد الطبقة الحمائية التي تضمن استدامة التحول الرقمي وثقة المستفيدين فيه. ويرى (عودة والخشالي، 2025) أن إدارة المخاطر في المستشفيات لم تعد تقتصر على المخاطر السريرية والتشغيلية، بل امتدت لتشمل المخاطر السيبرانية بوصفها من أخطر التهديدات التي تواجه المؤسسات الصحية المعاصرة، خصوصاً مع تنامي هجمات برامج الفدية والاختراقات التي تستهدف بيانات المرضى. وفي بنوك الدم تحديداً، تتضاعف الحساسية بسبب طبيعة البيانات المتضمنة والتي تجمع بين الهوية الشخصية والمعلومات الصحية والوراثية</w:t>
      </w:r>
      <w:r w:rsidRPr="002B7D76">
        <w:rPr>
          <w:rFonts w:ascii="Simplified Arabic" w:eastAsia="Times New Roman" w:hAnsi="Simplified Arabic" w:cs="Simplified Arabic"/>
          <w:color w:val="000000" w:themeColor="text1"/>
          <w:kern w:val="0"/>
          <w:sz w:val="28"/>
          <w:szCs w:val="28"/>
          <w14:ligatures w14:val="none"/>
        </w:rPr>
        <w:t>.</w:t>
      </w:r>
    </w:p>
    <w:p w14:paraId="5FAF5653"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ويشمل الأمن السيبراني وحماية البيانات الصحية منظومة متكاملة من السياسات والتقنيات والإجراءات، بدءاً من التشفير المتقدم للبيانات في مرحلتي التخزين والنقل، مروراً بأنظمة إدارة الهوية والتحكم في الوصول، ووصولاً إلى أنظمة الكشف عن التسلل والاستجابة للحوادث. كما يشمل هذا البُعد بناء ثقافة أمنية داخل المؤسسة تجعل كل عامل شريكاً في حماية البيانات، وتطوير سياسات واضحة للخصوصية والامتثال للتشريعات الوطنية والدولية ذات الصلة. ويُبرز (النعيمي وآخرون، 2024) أن حماية البيانات الصحية ركيزة لا يمكن التساهل فيها، لأن أي إخلال بها يُقوّض ثقة المستفيدين في المنظومة الرقمية برمّتها ويعرّض المؤسسة لتبعات قانونية ومالية وأخلاقية جسيمة</w:t>
      </w:r>
      <w:r w:rsidRPr="002B7D76">
        <w:rPr>
          <w:rFonts w:ascii="Simplified Arabic" w:eastAsia="Times New Roman" w:hAnsi="Simplified Arabic" w:cs="Simplified Arabic"/>
          <w:color w:val="000000" w:themeColor="text1"/>
          <w:kern w:val="0"/>
          <w:sz w:val="28"/>
          <w:szCs w:val="28"/>
          <w14:ligatures w14:val="none"/>
        </w:rPr>
        <w:t>.</w:t>
      </w:r>
    </w:p>
    <w:p w14:paraId="648F8717" w14:textId="1B93A8A7"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4165283"/>
      <w:r w:rsidRPr="002B7D76">
        <w:rPr>
          <w:rFonts w:ascii="Simplified Arabic" w:eastAsia="Times New Roman" w:hAnsi="Simplified Arabic" w:cs="Simplified Arabic" w:hint="cs"/>
          <w:b/>
          <w:bCs/>
          <w:color w:val="000000" w:themeColor="text1"/>
          <w:kern w:val="0"/>
          <w:sz w:val="32"/>
          <w:szCs w:val="32"/>
          <w:rtl/>
          <w14:ligatures w14:val="none"/>
        </w:rPr>
        <w:t xml:space="preserve">6.1.2 </w:t>
      </w:r>
      <w:r w:rsidR="00752D5B" w:rsidRPr="002B7D76">
        <w:rPr>
          <w:rFonts w:ascii="Simplified Arabic" w:eastAsia="Times New Roman" w:hAnsi="Simplified Arabic" w:cs="Simplified Arabic"/>
          <w:b/>
          <w:bCs/>
          <w:color w:val="000000" w:themeColor="text1"/>
          <w:kern w:val="0"/>
          <w:sz w:val="32"/>
          <w:szCs w:val="32"/>
          <w:rtl/>
          <w14:ligatures w14:val="none"/>
        </w:rPr>
        <w:t>متطلبات تطبيق التحول الرقمي في بنوك الدم</w:t>
      </w:r>
      <w:bookmarkEnd w:id="42"/>
    </w:p>
    <w:p w14:paraId="713E6E7F"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 xml:space="preserve">لا يتحقق التحول الرقمي بمجرد توفر البنية التقنية، بل يستلزم منظومة متكاملة من المتطلبات التي يجب توافرها في وقت واحد. ويشير (محمد، 2022) إلى أن المتطلبات المعرفية تأتي في مقدمة هذه المتطلبات، حيث ينبغي أن تمتلك المؤسسة قدرة على توليد المعرفة الرقمية وتخزينها ونشرها وتوظيفها في </w:t>
      </w:r>
      <w:r w:rsidRPr="002B7D76">
        <w:rPr>
          <w:rFonts w:ascii="Simplified Arabic" w:eastAsia="Times New Roman" w:hAnsi="Simplified Arabic" w:cs="Simplified Arabic"/>
          <w:color w:val="000000" w:themeColor="text1"/>
          <w:kern w:val="0"/>
          <w:sz w:val="28"/>
          <w:szCs w:val="28"/>
          <w:rtl/>
          <w14:ligatures w14:val="none"/>
        </w:rPr>
        <w:lastRenderedPageBreak/>
        <w:t>تحسين الأداء. وتشمل المتطلبات المعرفية أيضاً توفر قواعد بيانات متكاملة وموثقة، ومنهجيات واضحة لجمع البيانات وتحليلها، وثقافة مؤسسية تُقدّر البيانات وتعتمد عليها في اتخاذ القرارات</w:t>
      </w:r>
      <w:r w:rsidRPr="002B7D76">
        <w:rPr>
          <w:rFonts w:ascii="Simplified Arabic" w:eastAsia="Times New Roman" w:hAnsi="Simplified Arabic" w:cs="Simplified Arabic"/>
          <w:color w:val="000000" w:themeColor="text1"/>
          <w:kern w:val="0"/>
          <w:sz w:val="28"/>
          <w:szCs w:val="28"/>
          <w14:ligatures w14:val="none"/>
        </w:rPr>
        <w:t>.</w:t>
      </w:r>
    </w:p>
    <w:p w14:paraId="0321E29F"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وتتضمن المتطلبات القيادية، كما يوضح (محمد، 2024)، وجود قيادات إبداعية قادرة على صياغة رؤية واضحة للتحول الرقمي، وتحمّل مخاطر التغيير، وإلهام العاملين وحشد طاقاتهم نحو تحقيق الأهداف الرقمية. كما تشمل المتطلبات التنظيمية إعادة تصميم الهياكل التنظيمية بما يدعم المرونة والتعاون بين الوحدات، وتبسيط الإجراءات، وإلغاء الحلقات البيروقراطية التي تُعيق سرعة القرار. أما المتطلبات المالية فتشمل توفر ميزانيات كافية للاستثمار في البنية التقنية والتدريب، ووضع خطط استدامة مالية طويلة الأمد تضمن استمرار التحديث والتطوير. وأخيراً، تشمل المتطلبات التشريعية وجود إطار قانوني واضح ينظم استخدام البيانات الصحية ويحدد المسؤوليات ويحمي حقوق المستفيدين</w:t>
      </w:r>
      <w:r w:rsidRPr="002B7D76">
        <w:rPr>
          <w:rFonts w:ascii="Simplified Arabic" w:eastAsia="Times New Roman" w:hAnsi="Simplified Arabic" w:cs="Simplified Arabic"/>
          <w:color w:val="000000" w:themeColor="text1"/>
          <w:kern w:val="0"/>
          <w:sz w:val="28"/>
          <w:szCs w:val="28"/>
          <w14:ligatures w14:val="none"/>
        </w:rPr>
        <w:t>.</w:t>
      </w:r>
    </w:p>
    <w:p w14:paraId="45FF9134" w14:textId="54B8811D"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4165284"/>
      <w:r w:rsidRPr="002B7D76">
        <w:rPr>
          <w:rFonts w:ascii="Simplified Arabic" w:eastAsia="Times New Roman" w:hAnsi="Simplified Arabic" w:cs="Simplified Arabic" w:hint="cs"/>
          <w:b/>
          <w:bCs/>
          <w:color w:val="000000" w:themeColor="text1"/>
          <w:kern w:val="0"/>
          <w:sz w:val="32"/>
          <w:szCs w:val="32"/>
          <w:rtl/>
          <w14:ligatures w14:val="none"/>
        </w:rPr>
        <w:t xml:space="preserve">7.1.2 </w:t>
      </w:r>
      <w:r w:rsidR="00752D5B" w:rsidRPr="002B7D76">
        <w:rPr>
          <w:rFonts w:ascii="Simplified Arabic" w:eastAsia="Times New Roman" w:hAnsi="Simplified Arabic" w:cs="Simplified Arabic"/>
          <w:b/>
          <w:bCs/>
          <w:color w:val="000000" w:themeColor="text1"/>
          <w:kern w:val="0"/>
          <w:sz w:val="32"/>
          <w:szCs w:val="32"/>
          <w:rtl/>
          <w14:ligatures w14:val="none"/>
        </w:rPr>
        <w:t>تحديات التحول الرقمي في بنوك الدم</w:t>
      </w:r>
      <w:bookmarkEnd w:id="43"/>
    </w:p>
    <w:p w14:paraId="78724E82"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على الرغم من الفوائد الواسعة للتحول الرقمي، تواجه المؤسسات الصحية جملة من التحديات التي تُعقّد مسار تطبيقه. ويشير (حسين وعبودي، 2021) إلى أن تحديات جودة الرعاية الصحية في المستشفيات ترتبط بجوانب متعددة، منها ضعف البنية التقنية، ونقص الكفاءات المؤهلة، وقصور آليات التنسيق بين الأقسام، وضعف نظم المتابعة والتقييم. ويُضيف (شيروف وبوشوشة، 2023) أن تقييم جودة خدمات الرعاية الصحية يكشف عن فجوات في تطبيق المعايير التقنية، وضعف في توظيف الأدوات الحديثة، وحاجة إلى تطوير آليات ضمان الجودة</w:t>
      </w:r>
      <w:r w:rsidRPr="002B7D76">
        <w:rPr>
          <w:rFonts w:ascii="Simplified Arabic" w:eastAsia="Times New Roman" w:hAnsi="Simplified Arabic" w:cs="Simplified Arabic"/>
          <w:color w:val="000000" w:themeColor="text1"/>
          <w:kern w:val="0"/>
          <w:sz w:val="28"/>
          <w:szCs w:val="28"/>
          <w14:ligatures w14:val="none"/>
        </w:rPr>
        <w:t>.</w:t>
      </w:r>
    </w:p>
    <w:p w14:paraId="543AC12B"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وتتضمن التحديات كذلك مقاومة التغيير من العاملين، خصوصاً من ذوي الخبرة الطويلة الذين اعتادوا الأساليب التقليدية، وصعوبة التكامل بين النظم القديمة والحديثة، وارتفاع تكاليف التحول الأولية، وتحديات الخصوصية والأمن السيبراني. ويرى</w:t>
      </w:r>
      <w:r w:rsidRPr="002B7D76">
        <w:rPr>
          <w:rFonts w:ascii="Simplified Arabic" w:eastAsia="Times New Roman" w:hAnsi="Simplified Arabic" w:cs="Simplified Arabic"/>
          <w:color w:val="000000" w:themeColor="text1"/>
          <w:kern w:val="0"/>
          <w:sz w:val="28"/>
          <w:szCs w:val="28"/>
          <w14:ligatures w14:val="none"/>
        </w:rPr>
        <w:t xml:space="preserve"> (Kraus et al., 2021) </w:t>
      </w:r>
      <w:r w:rsidRPr="002B7D76">
        <w:rPr>
          <w:rFonts w:ascii="Simplified Arabic" w:eastAsia="Times New Roman" w:hAnsi="Simplified Arabic" w:cs="Simplified Arabic"/>
          <w:color w:val="000000" w:themeColor="text1"/>
          <w:kern w:val="0"/>
          <w:sz w:val="28"/>
          <w:szCs w:val="28"/>
          <w:rtl/>
          <w14:ligatures w14:val="none"/>
        </w:rPr>
        <w:t>أن الطابع الحساس للبيانات الصحية يجعل التحول الرقمي في هذا القطاع أكثر تعقيداً من غيره من القطاعات، إذ يستلزم موازنة دقيقة بين متطلبات الانفتاح الرقمي ومتطلبات الحماية والخصوصية. ويُبرز (قاسم ومحمد، 2021) أن عوامل نجاح إدارة الرعاية الصحية الشاملة تتطلب معالجة متكاملة لهذه التحديات، بما يشمل التخطيط الاستراتيجي، وبناء القدرات، وتطوير البيئة التشريعية، وضمان التزام القيادات العليا بمسار التحول</w:t>
      </w:r>
      <w:r w:rsidRPr="002B7D76">
        <w:rPr>
          <w:rFonts w:ascii="Simplified Arabic" w:eastAsia="Times New Roman" w:hAnsi="Simplified Arabic" w:cs="Simplified Arabic"/>
          <w:color w:val="000000" w:themeColor="text1"/>
          <w:kern w:val="0"/>
          <w:sz w:val="28"/>
          <w:szCs w:val="28"/>
          <w14:ligatures w14:val="none"/>
        </w:rPr>
        <w:t>.</w:t>
      </w:r>
    </w:p>
    <w:p w14:paraId="29286023" w14:textId="42926FAC" w:rsidR="00752D5B" w:rsidRPr="002B7D76" w:rsidRDefault="00843219" w:rsidP="00843219">
      <w:pPr>
        <w:jc w:val="center"/>
        <w:outlineLvl w:val="1"/>
        <w:rPr>
          <w:rFonts w:ascii="Simplified Arabic" w:eastAsia="Times New Roman" w:hAnsi="Simplified Arabic" w:cs="Simplified Arabic"/>
          <w:b/>
          <w:bCs/>
          <w:color w:val="000000" w:themeColor="text1"/>
          <w:kern w:val="0"/>
          <w:sz w:val="36"/>
          <w:szCs w:val="36"/>
          <w14:ligatures w14:val="none"/>
        </w:rPr>
      </w:pPr>
      <w:r w:rsidRPr="002B7D76">
        <w:rPr>
          <w:rFonts w:ascii="Simplified Arabic" w:eastAsia="Times New Roman" w:hAnsi="Simplified Arabic" w:cs="Simplified Arabic"/>
          <w:b/>
          <w:bCs/>
          <w:color w:val="000000" w:themeColor="text1"/>
          <w:kern w:val="0"/>
          <w:sz w:val="36"/>
          <w:szCs w:val="36"/>
          <w:rtl/>
          <w14:ligatures w14:val="none"/>
        </w:rPr>
        <w:br w:type="page"/>
      </w:r>
      <w:bookmarkStart w:id="44" w:name="_Toc234165285"/>
      <w:r w:rsidR="00752D5B" w:rsidRPr="002B7D76">
        <w:rPr>
          <w:rFonts w:ascii="Simplified Arabic" w:eastAsia="Times New Roman" w:hAnsi="Simplified Arabic" w:cs="Simplified Arabic"/>
          <w:b/>
          <w:bCs/>
          <w:color w:val="000000" w:themeColor="text1"/>
          <w:kern w:val="0"/>
          <w:sz w:val="36"/>
          <w:szCs w:val="36"/>
          <w:rtl/>
          <w14:ligatures w14:val="none"/>
        </w:rPr>
        <w:lastRenderedPageBreak/>
        <w:t>المبحث الثاني: كفاءة الخدمات الصحية في بنوك الدم</w:t>
      </w:r>
      <w:bookmarkEnd w:id="44"/>
    </w:p>
    <w:p w14:paraId="0CFCE021" w14:textId="024D24DF"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4165286"/>
      <w:r w:rsidRPr="002B7D76">
        <w:rPr>
          <w:rFonts w:ascii="Simplified Arabic" w:eastAsia="Times New Roman" w:hAnsi="Simplified Arabic" w:cs="Simplified Arabic" w:hint="cs"/>
          <w:b/>
          <w:bCs/>
          <w:color w:val="000000" w:themeColor="text1"/>
          <w:kern w:val="0"/>
          <w:sz w:val="32"/>
          <w:szCs w:val="32"/>
          <w:rtl/>
          <w14:ligatures w14:val="none"/>
        </w:rPr>
        <w:t xml:space="preserve">1.2.2 </w:t>
      </w:r>
      <w:r w:rsidR="00752D5B" w:rsidRPr="002B7D76">
        <w:rPr>
          <w:rFonts w:ascii="Simplified Arabic" w:eastAsia="Times New Roman" w:hAnsi="Simplified Arabic" w:cs="Simplified Arabic"/>
          <w:b/>
          <w:bCs/>
          <w:color w:val="000000" w:themeColor="text1"/>
          <w:kern w:val="0"/>
          <w:sz w:val="32"/>
          <w:szCs w:val="32"/>
          <w:rtl/>
          <w14:ligatures w14:val="none"/>
        </w:rPr>
        <w:t>تمهيد</w:t>
      </w:r>
      <w:bookmarkEnd w:id="45"/>
    </w:p>
    <w:p w14:paraId="5C2F1B6B"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تُشكّل كفاءة الخدمات الصحية أحد أهم المؤشرات الحاسمة في تقييم أداء المنظومات الصحية المعاصرة، إذ تعكس قدرة المؤسسة على تحقيق أقصى مخرجات ممكنة بأقل موارد مستنزفة، مع الحفاظ على مستويات جودة عالية ترضي المستفيدين وتضمن سلامتهم. ولم يعد مفهوم الكفاءة قابلاً للاختزال في بُعد اقتصادي بحت، بل توسّع ليشمل أبعاداً متعددة تجمع بين الفاعلية والجودة والاستجابة والمرونة والاستدامة. وفي سياق بنوك الدم على وجه الخصوص، تكتسب الكفاءة أهمية بالغة الحساسية، لأن أي قصور في تقديم الخدمة قد يعني إهدار موارد بشرية نادرة كالدم البشري، أو تأخر إنقاذ حياة مريض، أو تعرّض مستفيد لمضاعفات صحية بسبب خطأ في الفحص أو المطابقة</w:t>
      </w:r>
      <w:r w:rsidRPr="002B7D76">
        <w:rPr>
          <w:rFonts w:ascii="Simplified Arabic" w:eastAsia="Times New Roman" w:hAnsi="Simplified Arabic" w:cs="Simplified Arabic"/>
          <w:color w:val="000000" w:themeColor="text1"/>
          <w:kern w:val="0"/>
          <w:sz w:val="28"/>
          <w:szCs w:val="28"/>
          <w14:ligatures w14:val="none"/>
        </w:rPr>
        <w:t>.</w:t>
      </w:r>
    </w:p>
    <w:p w14:paraId="163BB203"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وتنبع خصوصية بنوك الدم من كونها تقع في منطقة تقاطع بين ثلاثة سياقات معقدة: سياق طبي يتطلب دقة عالية في التعامل مع مادة حيوية شديدة الحساسية؛ وسياق لوجستي يتطلب إدارة سلسلة إمداد متغيرة الطلب سريعة الأثر؛ وسياق اجتماعي يتطلب بناء علاقة مستدامة مع المتبرعين الطوعيين. ومن هنا يسعى هذا المبحث إلى بناء تصور نظري متكامل حول كفاءة الخدمات الصحية في بنوك الدم، يبدأ بعرض المفهوم من زوايا الباحثين المختلفة، ثم يتناول أهميتها وأهدافها وأبعادها ومحدداتها ومتطلباتها ومعايير قياسها، بما يوفر أساساً نظرياً رصيناً للمتغير التابع في الدراسة</w:t>
      </w:r>
      <w:r w:rsidRPr="002B7D76">
        <w:rPr>
          <w:rFonts w:ascii="Simplified Arabic" w:eastAsia="Times New Roman" w:hAnsi="Simplified Arabic" w:cs="Simplified Arabic"/>
          <w:color w:val="000000" w:themeColor="text1"/>
          <w:kern w:val="0"/>
          <w:sz w:val="28"/>
          <w:szCs w:val="28"/>
          <w14:ligatures w14:val="none"/>
        </w:rPr>
        <w:t>.</w:t>
      </w:r>
    </w:p>
    <w:p w14:paraId="0B28E446" w14:textId="393974E1"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4165287"/>
      <w:r w:rsidRPr="002B7D76">
        <w:rPr>
          <w:rFonts w:ascii="Simplified Arabic" w:eastAsia="Times New Roman" w:hAnsi="Simplified Arabic" w:cs="Simplified Arabic" w:hint="cs"/>
          <w:b/>
          <w:bCs/>
          <w:color w:val="000000" w:themeColor="text1"/>
          <w:kern w:val="0"/>
          <w:sz w:val="32"/>
          <w:szCs w:val="32"/>
          <w:rtl/>
          <w14:ligatures w14:val="none"/>
        </w:rPr>
        <w:t xml:space="preserve">2.2.2 </w:t>
      </w:r>
      <w:r w:rsidR="00752D5B" w:rsidRPr="002B7D76">
        <w:rPr>
          <w:rFonts w:ascii="Simplified Arabic" w:eastAsia="Times New Roman" w:hAnsi="Simplified Arabic" w:cs="Simplified Arabic"/>
          <w:b/>
          <w:bCs/>
          <w:color w:val="000000" w:themeColor="text1"/>
          <w:kern w:val="0"/>
          <w:sz w:val="32"/>
          <w:szCs w:val="32"/>
          <w:rtl/>
          <w14:ligatures w14:val="none"/>
        </w:rPr>
        <w:t>مفهوم كفاءة الخدمات الصحية</w:t>
      </w:r>
      <w:bookmarkEnd w:id="46"/>
    </w:p>
    <w:p w14:paraId="3ACA1A56"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تنوعت تعريفات الباحثين لكفاءة الخدمات الصحية، وتباينت زوايا نظرهم بحسب الإطار المرجعي الذي انطلقوا منه. فبينما ينظر اتجاه إلى الكفاءة من زاوية اقتصادية تركز على العلاقة بين المدخلات والمخرجات، يوسّع اتجاه آخر مفهومها ليشمل أبعاد الجودة ورضا المستفيد والاستجابة، ويقدم اتجاه ثالث قراءة مؤسسية شاملة تربط الكفاءة بالقدرات الاستراتيجية للمنظمة الصحية. ويعرّف (محمد، 2024) كفاءة الخدمات الصحية بوصفها قدرة المنظومة الصحية على تحقيق الأهداف المرسومة بأعلى مستوى ممكن من الجودة، مع الاستخدام الأمثل للموارد المتاحة، بما يضمن استدامة الخدمة ورضا المستفيدين منها. ويُبرز هذا التعريف الطابع الاقتصادي للكفاءة مع الحفاظ على البعد النوعي</w:t>
      </w:r>
      <w:r w:rsidRPr="002B7D76">
        <w:rPr>
          <w:rFonts w:ascii="Simplified Arabic" w:eastAsia="Times New Roman" w:hAnsi="Simplified Arabic" w:cs="Simplified Arabic"/>
          <w:color w:val="000000" w:themeColor="text1"/>
          <w:kern w:val="0"/>
          <w:sz w:val="28"/>
          <w:szCs w:val="28"/>
          <w14:ligatures w14:val="none"/>
        </w:rPr>
        <w:t>.</w:t>
      </w:r>
    </w:p>
    <w:p w14:paraId="766124F7"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ويقدّم (شيروف وبوشوشة، 2023) قراءة مختلفة، إذ يرى أن كفاءة الخدمات الصحية تعبّر عن مستوى تقديم الخدمة وفق معايير موضوعية تشمل الدقة والسرعة والاستجابة والاعتمادية، بما يتوافق مع توقعات المستفيدين ومتطلبات الجهات المنظمة. ومن زاوية أعمق، يُعرّفها (حسين وعبودي، 2021) بأنها انعكاس لقدرة المستشفى على مواجهة التحديات التي تعترض جودة الرعاية، وتوظيف موارده الفنية والبشرية والإدارية بصورة متكاملة تحقق مخرجات صحية مرضية</w:t>
      </w:r>
      <w:r w:rsidRPr="002B7D76">
        <w:rPr>
          <w:rFonts w:ascii="Simplified Arabic" w:eastAsia="Times New Roman" w:hAnsi="Simplified Arabic" w:cs="Simplified Arabic"/>
          <w:color w:val="000000" w:themeColor="text1"/>
          <w:kern w:val="0"/>
          <w:sz w:val="28"/>
          <w:szCs w:val="28"/>
          <w14:ligatures w14:val="none"/>
        </w:rPr>
        <w:t>.</w:t>
      </w:r>
    </w:p>
    <w:p w14:paraId="07D3FBC3"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ويطرح (عودة والخشالي، 2025) مقاربة استراتيجية للمفهوم، فيرى أن كفاءة الخدمات الصحية ترتبط بالرشاقة الاستراتيجية للمؤسسة الصحية وقدرتها على التكيف مع المتغيرات، وأن الكفاءة الحقيقية لا تُقاس فقط بلحظة تقديم الخدمة، بل بقدرة المؤسسة على تحسين أدائها المستمر ومواجهة المخاطر بفاعلية. ويقدّم (قاسم ومحمد، 2021) تعريفاً مؤسسياً يرى فيه أن الكفاءة تتحقق حين تجتمع عوامل النجاح الحاسمة داخل المؤسسة الصحية، وتشمل القيادة الفعّالة والتخطيط السليم وإدارة الموارد البشرية والتحسين المستمر والتركيز على المستفيد. وتتقاطع هذه القراءة مع ما ذهب إليه</w:t>
      </w:r>
      <w:r w:rsidRPr="002B7D76">
        <w:rPr>
          <w:rFonts w:ascii="Simplified Arabic" w:eastAsia="Times New Roman" w:hAnsi="Simplified Arabic" w:cs="Simplified Arabic"/>
          <w:color w:val="000000" w:themeColor="text1"/>
          <w:kern w:val="0"/>
          <w:sz w:val="28"/>
          <w:szCs w:val="28"/>
          <w14:ligatures w14:val="none"/>
        </w:rPr>
        <w:t xml:space="preserve"> (Emran et al., 2025) </w:t>
      </w:r>
      <w:r w:rsidRPr="002B7D76">
        <w:rPr>
          <w:rFonts w:ascii="Simplified Arabic" w:eastAsia="Times New Roman" w:hAnsi="Simplified Arabic" w:cs="Simplified Arabic"/>
          <w:color w:val="000000" w:themeColor="text1"/>
          <w:kern w:val="0"/>
          <w:sz w:val="28"/>
          <w:szCs w:val="28"/>
          <w:rtl/>
          <w14:ligatures w14:val="none"/>
        </w:rPr>
        <w:t>الذي يعرّف كفاءة الخدمات الصحية بوصفها محصلة لتطبيق استراتيجيات متكاملة تشمل الجانب التقني والبشري والإداري، بما يفضي إلى مستوى أداء يمكن قياسه وتحسينه باستمرار</w:t>
      </w:r>
      <w:r w:rsidRPr="002B7D76">
        <w:rPr>
          <w:rFonts w:ascii="Simplified Arabic" w:eastAsia="Times New Roman" w:hAnsi="Simplified Arabic" w:cs="Simplified Arabic"/>
          <w:color w:val="000000" w:themeColor="text1"/>
          <w:kern w:val="0"/>
          <w:sz w:val="28"/>
          <w:szCs w:val="28"/>
          <w14:ligatures w14:val="none"/>
        </w:rPr>
        <w:t>.</w:t>
      </w:r>
    </w:p>
    <w:p w14:paraId="6A6E2E32"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ويُثري</w:t>
      </w:r>
      <w:r w:rsidRPr="002B7D76">
        <w:rPr>
          <w:rFonts w:ascii="Simplified Arabic" w:eastAsia="Times New Roman" w:hAnsi="Simplified Arabic" w:cs="Simplified Arabic"/>
          <w:color w:val="000000" w:themeColor="text1"/>
          <w:kern w:val="0"/>
          <w:sz w:val="28"/>
          <w:szCs w:val="28"/>
          <w14:ligatures w14:val="none"/>
        </w:rPr>
        <w:t xml:space="preserve"> (Blhaj et al., 2025) </w:t>
      </w:r>
      <w:r w:rsidRPr="002B7D76">
        <w:rPr>
          <w:rFonts w:ascii="Simplified Arabic" w:eastAsia="Times New Roman" w:hAnsi="Simplified Arabic" w:cs="Simplified Arabic"/>
          <w:color w:val="000000" w:themeColor="text1"/>
          <w:kern w:val="0"/>
          <w:sz w:val="28"/>
          <w:szCs w:val="28"/>
          <w:rtl/>
          <w14:ligatures w14:val="none"/>
        </w:rPr>
        <w:t>هذا الطرح حين يقارب المفهوم من زاوية إدراك المستفيد، فيرى أن كفاءة الخدمات الصحية تُقاس عبر تصورات المستفيدين حول مدى سهولة الوصول إلى الخدمة، وسرعتها، وجودتها، ومدى تلبيتها لاحتياجاتهم الفعلية، وأن هذه التصورات تمثل مؤشراً مركّباً لأداء المنظومة الصحية. وفي السياق الجزائري، يُقدّم (بلمير ودايرة، 2025) قراءة تربط بين الكفاءة والرقمنة، فيرى أن كفاءة الخدمات الصحية تعكس قدرة المؤسسة على توظيف الأدوات الرقمية في رفع جودة الخدمة، وتقليص أوقات الانتظار، وتحسين تجربة المريض، وضمان انسيابية العمليات الداخلية</w:t>
      </w:r>
      <w:r w:rsidRPr="002B7D76">
        <w:rPr>
          <w:rFonts w:ascii="Simplified Arabic" w:eastAsia="Times New Roman" w:hAnsi="Simplified Arabic" w:cs="Simplified Arabic"/>
          <w:color w:val="000000" w:themeColor="text1"/>
          <w:kern w:val="0"/>
          <w:sz w:val="28"/>
          <w:szCs w:val="28"/>
          <w14:ligatures w14:val="none"/>
        </w:rPr>
        <w:t>.</w:t>
      </w:r>
    </w:p>
    <w:p w14:paraId="1FEF2383"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ومن زاوية تقنية متخصصة، يعرّف</w:t>
      </w:r>
      <w:r w:rsidRPr="002B7D76">
        <w:rPr>
          <w:rFonts w:ascii="Simplified Arabic" w:eastAsia="Times New Roman" w:hAnsi="Simplified Arabic" w:cs="Simplified Arabic"/>
          <w:color w:val="000000" w:themeColor="text1"/>
          <w:kern w:val="0"/>
          <w:sz w:val="28"/>
          <w:szCs w:val="28"/>
          <w14:ligatures w14:val="none"/>
        </w:rPr>
        <w:t xml:space="preserve"> (Varghese et al., 2024) </w:t>
      </w:r>
      <w:r w:rsidRPr="002B7D76">
        <w:rPr>
          <w:rFonts w:ascii="Simplified Arabic" w:eastAsia="Times New Roman" w:hAnsi="Simplified Arabic" w:cs="Simplified Arabic"/>
          <w:color w:val="000000" w:themeColor="text1"/>
          <w:kern w:val="0"/>
          <w:sz w:val="28"/>
          <w:szCs w:val="28"/>
          <w:rtl/>
          <w14:ligatures w14:val="none"/>
        </w:rPr>
        <w:t>كفاءة الخدمات الصحية في خدمات نقل الدم بأنها القدرة على تقديم وحدات دم آمنة وفعالة، في الوقت المناسب، للمستفيد المناسب، بأقل هدر ممكن للموارد، وبأقصى درجات الشفافية والقابلية للتتبع. ويرتبط هذا التعريف بالخصوصية المهنية لبنوك الدم التي تفرض معايير دقة استثنائية. ويُضيف</w:t>
      </w:r>
      <w:r w:rsidRPr="002B7D76">
        <w:rPr>
          <w:rFonts w:ascii="Simplified Arabic" w:eastAsia="Times New Roman" w:hAnsi="Simplified Arabic" w:cs="Simplified Arabic"/>
          <w:color w:val="000000" w:themeColor="text1"/>
          <w:kern w:val="0"/>
          <w:sz w:val="28"/>
          <w:szCs w:val="28"/>
          <w14:ligatures w14:val="none"/>
        </w:rPr>
        <w:t xml:space="preserve"> (Furstenau &amp; Saurin, 2024) </w:t>
      </w:r>
      <w:r w:rsidRPr="002B7D76">
        <w:rPr>
          <w:rFonts w:ascii="Simplified Arabic" w:eastAsia="Times New Roman" w:hAnsi="Simplified Arabic" w:cs="Simplified Arabic"/>
          <w:color w:val="000000" w:themeColor="text1"/>
          <w:kern w:val="0"/>
          <w:sz w:val="28"/>
          <w:szCs w:val="28"/>
          <w:rtl/>
          <w14:ligatures w14:val="none"/>
        </w:rPr>
        <w:t xml:space="preserve">بُعداً مرونياً للمفهوم في سياق نقل الدم، فيرى أن الكفاءة تتجلى في قدرة المنظومة على الحفاظ على مستوى أداء ثابت </w:t>
      </w:r>
      <w:r w:rsidRPr="002B7D76">
        <w:rPr>
          <w:rFonts w:ascii="Simplified Arabic" w:eastAsia="Times New Roman" w:hAnsi="Simplified Arabic" w:cs="Simplified Arabic"/>
          <w:color w:val="000000" w:themeColor="text1"/>
          <w:kern w:val="0"/>
          <w:sz w:val="28"/>
          <w:szCs w:val="28"/>
          <w:rtl/>
          <w14:ligatures w14:val="none"/>
        </w:rPr>
        <w:lastRenderedPageBreak/>
        <w:t>رغم الاضطرابات المفاجئة كالجوائح والكوارث، وأن المنظومات الكفوءة هي التي تمتلك قدرة استباقية على استشعار المخاطر ومعالجتها قبل تفاقمها</w:t>
      </w:r>
      <w:r w:rsidRPr="002B7D76">
        <w:rPr>
          <w:rFonts w:ascii="Simplified Arabic" w:eastAsia="Times New Roman" w:hAnsi="Simplified Arabic" w:cs="Simplified Arabic"/>
          <w:color w:val="000000" w:themeColor="text1"/>
          <w:kern w:val="0"/>
          <w:sz w:val="28"/>
          <w:szCs w:val="28"/>
          <w14:ligatures w14:val="none"/>
        </w:rPr>
        <w:t>.</w:t>
      </w:r>
    </w:p>
    <w:p w14:paraId="343208EB"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وبالنظر إلى هذه التعريفات، يتضح أنها تتوزع بين مقاربة اقتصادية تركز على العلاقة بين المدخلات والمخرجات، ومقاربة جودة تركز على مطابقة الخدمة للمعايير، ومقاربة إدراكية تركز على تصورات المستفيد، ومقاربة استراتيجية تركز على القدرة المؤسسية على التكيف والاستدامة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ويرى الباحث بناءً على ما تقدّم أن كفاءة الخدمات الصحية في بنوك الدم هي المحصلة المركبة لقدرة المؤسسة على تقديم وحدات دم آمنة وفعّالة، في التوقيت المناسب، للمستفيد المناسب، مع تحقيق الاستخدام الأمثل للموارد البشرية والفنية والمادية، والاستجابة السريعة للطلب المتغير، وضمان استدامة العلاقة مع المتبرعين، والحفاظ على مستوى ثابت من الأداء رغم المتغيرات البيئية، بما يعكس تكاملاً بين البعد الاقتصادي والنوعي والاستراتيجي والإدراكي للأداء الصحي</w:t>
      </w:r>
      <w:r w:rsidRPr="002B7D76">
        <w:rPr>
          <w:rFonts w:ascii="Simplified Arabic" w:eastAsia="Times New Roman" w:hAnsi="Simplified Arabic" w:cs="Simplified Arabic"/>
          <w:color w:val="000000" w:themeColor="text1"/>
          <w:kern w:val="0"/>
          <w:sz w:val="28"/>
          <w:szCs w:val="28"/>
          <w14:ligatures w14:val="none"/>
        </w:rPr>
        <w:t>.</w:t>
      </w:r>
    </w:p>
    <w:p w14:paraId="7E8CFF47" w14:textId="69EBA32B"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4165288"/>
      <w:r w:rsidRPr="002B7D76">
        <w:rPr>
          <w:rFonts w:ascii="Simplified Arabic" w:eastAsia="Times New Roman" w:hAnsi="Simplified Arabic" w:cs="Simplified Arabic" w:hint="cs"/>
          <w:b/>
          <w:bCs/>
          <w:color w:val="000000" w:themeColor="text1"/>
          <w:kern w:val="0"/>
          <w:sz w:val="32"/>
          <w:szCs w:val="32"/>
          <w:rtl/>
          <w14:ligatures w14:val="none"/>
        </w:rPr>
        <w:t xml:space="preserve">3.2.2 </w:t>
      </w:r>
      <w:r w:rsidR="00752D5B" w:rsidRPr="002B7D76">
        <w:rPr>
          <w:rFonts w:ascii="Simplified Arabic" w:eastAsia="Times New Roman" w:hAnsi="Simplified Arabic" w:cs="Simplified Arabic"/>
          <w:b/>
          <w:bCs/>
          <w:color w:val="000000" w:themeColor="text1"/>
          <w:kern w:val="0"/>
          <w:sz w:val="32"/>
          <w:szCs w:val="32"/>
          <w:rtl/>
          <w14:ligatures w14:val="none"/>
        </w:rPr>
        <w:t>أهمية كفاءة الخدمات الصحية في بنوك الدم</w:t>
      </w:r>
      <w:bookmarkEnd w:id="47"/>
    </w:p>
    <w:p w14:paraId="022A33D1"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تنبع أهمية كفاءة الخدمات الصحية في بنوك الدم من طبيعة الدور الحيوي الذي تؤديه هذه المؤسسات في المنظومة الصحية، ومن الحساسية الاستثنائية للمادة التي تتعامل معها. فبنك الدم ليس مجرد وحدة تخزين، بل هو حلقة وصل حرجة بين المتبرع والمريض، تتوقف عليها كفاءة العمليات الجراحية، ونجاح علاجات الأمراض المزمنة، والاستجابة للحوادث والكوارث. ومن هنا فإن أي قصور في كفاءة هذه المؤسسات يترك آثاراً بعيدة المدى تمتد إلى مختلف مكونات المنظومة الصحية</w:t>
      </w:r>
      <w:r w:rsidRPr="002B7D76">
        <w:rPr>
          <w:rFonts w:ascii="Simplified Arabic" w:eastAsia="Times New Roman" w:hAnsi="Simplified Arabic" w:cs="Simplified Arabic"/>
          <w:color w:val="000000" w:themeColor="text1"/>
          <w:kern w:val="0"/>
          <w:sz w:val="28"/>
          <w:szCs w:val="28"/>
          <w14:ligatures w14:val="none"/>
        </w:rPr>
        <w:t>.</w:t>
      </w:r>
    </w:p>
    <w:p w14:paraId="2812977E"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ويشير (غواري، 2021) إلى أن أهمية كفاءة خدمات الرعاية الصحية تتجلى في: أولاً، إسهامها في تحسين النتائج الصحية للمستفيدين عبر تقديم خدمة دقيقة وفي التوقيت المناسب؛ وثانياً، تعزيز ثقة الجمهور في المنظومة الصحية بما يُشجع على التعاون معها ودعمها؛ وثالثاً، رفع كفاءة استخدام الموارد الصحية النادرة كالكوادر المتخصصة والمعدات المتقدمة؛ ورابعاً، تقليص الأخطاء الطبية والحد من التبعات الصحية والقانونية والمالية المترتبة عليها؛ وخامساً، توفير بيئة عمل محفزة للعاملين تعزز رضاهم ومشاركتهم</w:t>
      </w:r>
      <w:r w:rsidRPr="002B7D76">
        <w:rPr>
          <w:rFonts w:ascii="Simplified Arabic" w:eastAsia="Times New Roman" w:hAnsi="Simplified Arabic" w:cs="Simplified Arabic"/>
          <w:color w:val="000000" w:themeColor="text1"/>
          <w:kern w:val="0"/>
          <w:sz w:val="28"/>
          <w:szCs w:val="28"/>
          <w14:ligatures w14:val="none"/>
        </w:rPr>
        <w:t>.</w:t>
      </w:r>
    </w:p>
    <w:p w14:paraId="6C4A89F3"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 xml:space="preserve">ويرى (محمد، 2024) أن أهمية كفاءة الخدمات الصحية الوقائية تتضح في: قدرتها على تقليص العبء المرضي عبر التدخل المبكر؛ وتحسين نوعية حياة المستفيدين على المدى البعيد؛ وتقليل الضغط على المستشفيات ومرافق العلاج التخصصي؛ وترسيخ ثقافة صحية وقائية في المجتمع. ويؤكد (حسين </w:t>
      </w:r>
      <w:r w:rsidRPr="002B7D76">
        <w:rPr>
          <w:rFonts w:ascii="Simplified Arabic" w:eastAsia="Times New Roman" w:hAnsi="Simplified Arabic" w:cs="Simplified Arabic"/>
          <w:color w:val="000000" w:themeColor="text1"/>
          <w:kern w:val="0"/>
          <w:sz w:val="28"/>
          <w:szCs w:val="28"/>
          <w:rtl/>
          <w14:ligatures w14:val="none"/>
        </w:rPr>
        <w:lastRenderedPageBreak/>
        <w:t>وعبودي، 2021) على أن كفاءة الخدمة الصحية تكتسب أهميتها من كونها المدخل الحقيقي لتحسين المؤشرات الصحية المؤسسية، إذ إنها تعكس تكامل جهود التخطيط والتنفيذ والمتابعة داخل المستشفى، وتُتيح رصد الفجوات وتحديد أولويات التحسين</w:t>
      </w:r>
      <w:r w:rsidRPr="002B7D76">
        <w:rPr>
          <w:rFonts w:ascii="Simplified Arabic" w:eastAsia="Times New Roman" w:hAnsi="Simplified Arabic" w:cs="Simplified Arabic"/>
          <w:color w:val="000000" w:themeColor="text1"/>
          <w:kern w:val="0"/>
          <w:sz w:val="28"/>
          <w:szCs w:val="28"/>
          <w14:ligatures w14:val="none"/>
        </w:rPr>
        <w:t>.</w:t>
      </w:r>
    </w:p>
    <w:p w14:paraId="029B2392"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ومن منظور تخصصي في بنوك الدم، يُبرز</w:t>
      </w:r>
      <w:r w:rsidRPr="002B7D76">
        <w:rPr>
          <w:rFonts w:ascii="Simplified Arabic" w:eastAsia="Times New Roman" w:hAnsi="Simplified Arabic" w:cs="Simplified Arabic"/>
          <w:color w:val="000000" w:themeColor="text1"/>
          <w:kern w:val="0"/>
          <w:sz w:val="28"/>
          <w:szCs w:val="28"/>
          <w14:ligatures w14:val="none"/>
        </w:rPr>
        <w:t xml:space="preserve"> (Niklas et al., 2023) </w:t>
      </w:r>
      <w:r w:rsidRPr="002B7D76">
        <w:rPr>
          <w:rFonts w:ascii="Simplified Arabic" w:eastAsia="Times New Roman" w:hAnsi="Simplified Arabic" w:cs="Simplified Arabic"/>
          <w:color w:val="000000" w:themeColor="text1"/>
          <w:kern w:val="0"/>
          <w:sz w:val="28"/>
          <w:szCs w:val="28"/>
          <w:rtl/>
          <w14:ligatures w14:val="none"/>
        </w:rPr>
        <w:t>أن كفاءة خدمات بنوك الدم مهمة لأنها: تضمن استمرار توفر الوحدات اللازمة للحالات الطارئة والمزمنة؛ وتحافظ على قاعدة متبرعين متنوعة ومستدامة؛ وتُقلص من هدر الوحدات نتيجة سوء التخطيط أو التخزين؛ وتضمن سلامة نقل الدم وتقليل مخاطر انتقال الأمراض. ويُضيف</w:t>
      </w:r>
      <w:r w:rsidRPr="002B7D76">
        <w:rPr>
          <w:rFonts w:ascii="Simplified Arabic" w:eastAsia="Times New Roman" w:hAnsi="Simplified Arabic" w:cs="Simplified Arabic"/>
          <w:color w:val="000000" w:themeColor="text1"/>
          <w:kern w:val="0"/>
          <w:sz w:val="28"/>
          <w:szCs w:val="28"/>
          <w14:ligatures w14:val="none"/>
        </w:rPr>
        <w:t xml:space="preserve"> (Garcés Giraldo et al., 2025) </w:t>
      </w:r>
      <w:r w:rsidRPr="002B7D76">
        <w:rPr>
          <w:rFonts w:ascii="Simplified Arabic" w:eastAsia="Times New Roman" w:hAnsi="Simplified Arabic" w:cs="Simplified Arabic"/>
          <w:color w:val="000000" w:themeColor="text1"/>
          <w:kern w:val="0"/>
          <w:sz w:val="28"/>
          <w:szCs w:val="28"/>
          <w:rtl/>
          <w14:ligatures w14:val="none"/>
        </w:rPr>
        <w:t>أن أهمية كفاءة بنوك الدم تتضاعف في العصر الحديث نظراً لتزايد الطلب على مشتقات الدم مع تطور الأمراض المزمنة والعمليات الجراحية المعقدة، ونظراً لثبات نسبي في معدلات التبرع، مما يجعل الكفاءة سبيلاً وحيداً لسد الفجوة بين الطلب المتنامي والعرض المحدود</w:t>
      </w:r>
      <w:r w:rsidRPr="002B7D76">
        <w:rPr>
          <w:rFonts w:ascii="Simplified Arabic" w:eastAsia="Times New Roman" w:hAnsi="Simplified Arabic" w:cs="Simplified Arabic"/>
          <w:color w:val="000000" w:themeColor="text1"/>
          <w:kern w:val="0"/>
          <w:sz w:val="28"/>
          <w:szCs w:val="28"/>
          <w14:ligatures w14:val="none"/>
        </w:rPr>
        <w:t>.</w:t>
      </w:r>
    </w:p>
    <w:p w14:paraId="14B047EC"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ويرى</w:t>
      </w:r>
      <w:r w:rsidRPr="002B7D76">
        <w:rPr>
          <w:rFonts w:ascii="Simplified Arabic" w:eastAsia="Times New Roman" w:hAnsi="Simplified Arabic" w:cs="Simplified Arabic"/>
          <w:color w:val="000000" w:themeColor="text1"/>
          <w:kern w:val="0"/>
          <w:sz w:val="28"/>
          <w:szCs w:val="28"/>
          <w14:ligatures w14:val="none"/>
        </w:rPr>
        <w:t xml:space="preserve"> (Ben Elmir et al., 2023) </w:t>
      </w:r>
      <w:r w:rsidRPr="002B7D76">
        <w:rPr>
          <w:rFonts w:ascii="Simplified Arabic" w:eastAsia="Times New Roman" w:hAnsi="Simplified Arabic" w:cs="Simplified Arabic"/>
          <w:color w:val="000000" w:themeColor="text1"/>
          <w:kern w:val="0"/>
          <w:sz w:val="28"/>
          <w:szCs w:val="28"/>
          <w:rtl/>
          <w14:ligatures w14:val="none"/>
        </w:rPr>
        <w:t>أن كفاءة إدارة سلسلة إمداد الدم لها أهمية استثنائية لأنها: تُتيح مطابقة الطلب بالعرض بدقة عالية؛ وتُقلص التكاليف التشغيلية المرتبطة بالتخزين وإدارة المخزون؛ وتضمن الاستجابة السريعة للتذبذبات في الطلب؛ وتُعزز القدرة على التخطيط طويل الأمد. ويؤكد (بلمير ودايرة، 2025) أن كفاءة الخدمات الصحية تكتسب أهمية مضاعفة في عصر الرقمنة، لأنها تعكس نجاح المؤسسة في توظيف استثماراتها التقنية، وتُظهر ثمار جهودها في تحديث بنيتها التشغيلية</w:t>
      </w:r>
      <w:r w:rsidRPr="002B7D76">
        <w:rPr>
          <w:rFonts w:ascii="Simplified Arabic" w:eastAsia="Times New Roman" w:hAnsi="Simplified Arabic" w:cs="Simplified Arabic"/>
          <w:color w:val="000000" w:themeColor="text1"/>
          <w:kern w:val="0"/>
          <w:sz w:val="28"/>
          <w:szCs w:val="28"/>
          <w14:ligatures w14:val="none"/>
        </w:rPr>
        <w:t>.</w:t>
      </w:r>
    </w:p>
    <w:p w14:paraId="49C3DED6"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ويشير</w:t>
      </w:r>
      <w:r w:rsidRPr="002B7D76">
        <w:rPr>
          <w:rFonts w:ascii="Simplified Arabic" w:eastAsia="Times New Roman" w:hAnsi="Simplified Arabic" w:cs="Simplified Arabic"/>
          <w:color w:val="000000" w:themeColor="text1"/>
          <w:kern w:val="0"/>
          <w:sz w:val="28"/>
          <w:szCs w:val="28"/>
          <w14:ligatures w14:val="none"/>
        </w:rPr>
        <w:t xml:space="preserve"> (Kraus et al., 2021) </w:t>
      </w:r>
      <w:r w:rsidRPr="002B7D76">
        <w:rPr>
          <w:rFonts w:ascii="Simplified Arabic" w:eastAsia="Times New Roman" w:hAnsi="Simplified Arabic" w:cs="Simplified Arabic"/>
          <w:color w:val="000000" w:themeColor="text1"/>
          <w:kern w:val="0"/>
          <w:sz w:val="28"/>
          <w:szCs w:val="28"/>
          <w:rtl/>
          <w14:ligatures w14:val="none"/>
        </w:rPr>
        <w:t>إلى أن كفاءة الخدمات الصحية أصبحت مؤشراً حاسماً للتنافسية بين مقدمي الخدمة الصحية على مستوى الدول، وأن الدول التي تنجح في رفع كفاءة منظومتها الصحية تحقق مكاسب استراتيجية متعددة تشمل صحة المواطنين، وجاذبية البيئة الاقتصادية، والقدرة على مواجهة الأزمات الصحية. ويُضيف (النعيمي وآخرون، 2024) بُعداً تنافسياً حين يشير إلى أن أهمية كفاءة الخدمات الصحية تتجلى في: تعزيز مكانة المؤسسات الصحية في المقارنات المرجعية الوطنية والدولية؛ ورفع جاذبيتها للكوادر المتخصصة؛ وتحسين قدرتها على الحصول على الاعتمادات والدعم</w:t>
      </w:r>
      <w:r w:rsidRPr="002B7D76">
        <w:rPr>
          <w:rFonts w:ascii="Simplified Arabic" w:eastAsia="Times New Roman" w:hAnsi="Simplified Arabic" w:cs="Simplified Arabic"/>
          <w:color w:val="000000" w:themeColor="text1"/>
          <w:kern w:val="0"/>
          <w:sz w:val="28"/>
          <w:szCs w:val="28"/>
          <w14:ligatures w14:val="none"/>
        </w:rPr>
        <w:t>.</w:t>
      </w:r>
    </w:p>
    <w:p w14:paraId="7A4887C3" w14:textId="477213B9"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4165289"/>
      <w:r w:rsidRPr="002B7D76">
        <w:rPr>
          <w:rFonts w:ascii="Simplified Arabic" w:eastAsia="Times New Roman" w:hAnsi="Simplified Arabic" w:cs="Simplified Arabic" w:hint="cs"/>
          <w:b/>
          <w:bCs/>
          <w:color w:val="000000" w:themeColor="text1"/>
          <w:kern w:val="0"/>
          <w:sz w:val="32"/>
          <w:szCs w:val="32"/>
          <w:rtl/>
          <w14:ligatures w14:val="none"/>
        </w:rPr>
        <w:t xml:space="preserve">4.2.2 </w:t>
      </w:r>
      <w:r w:rsidR="00752D5B" w:rsidRPr="002B7D76">
        <w:rPr>
          <w:rFonts w:ascii="Simplified Arabic" w:eastAsia="Times New Roman" w:hAnsi="Simplified Arabic" w:cs="Simplified Arabic"/>
          <w:b/>
          <w:bCs/>
          <w:color w:val="000000" w:themeColor="text1"/>
          <w:kern w:val="0"/>
          <w:sz w:val="32"/>
          <w:szCs w:val="32"/>
          <w:rtl/>
          <w14:ligatures w14:val="none"/>
        </w:rPr>
        <w:t>أهداف كفاءة الخدمات الصحية</w:t>
      </w:r>
      <w:bookmarkEnd w:id="48"/>
    </w:p>
    <w:p w14:paraId="4B8D43BE"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 xml:space="preserve">تسعى إدارة الكفاءة في المؤسسات الصحية إلى تحقيق منظومة متكاملة من الأهداف تعكس تعدد الأبعاد التي تُقاس عليها هذه الكفاءة. ويطرح (محمد، 2024) مجموعة من الأهداف الجوهرية لكفاءة </w:t>
      </w:r>
      <w:r w:rsidRPr="002B7D76">
        <w:rPr>
          <w:rFonts w:ascii="Simplified Arabic" w:eastAsia="Times New Roman" w:hAnsi="Simplified Arabic" w:cs="Simplified Arabic"/>
          <w:color w:val="000000" w:themeColor="text1"/>
          <w:kern w:val="0"/>
          <w:sz w:val="28"/>
          <w:szCs w:val="28"/>
          <w:rtl/>
          <w14:ligatures w14:val="none"/>
        </w:rPr>
        <w:lastRenderedPageBreak/>
        <w:t>خدمات الرعاية الصحية الوقائية، تشمل: تحقيق أقصى تغطية ممكنة للفئات المستهدفة بالخدمات الوقائية؛ وضمان جودة الفحوصات والإجراءات المقدمة؛ ورفع مستوى الوعي الصحي لدى المستفيدين؛ وبناء قواعد بيانات صحية يمكن الاستفادة منها في التخطيط المستقبلي</w:t>
      </w:r>
      <w:r w:rsidRPr="002B7D76">
        <w:rPr>
          <w:rFonts w:ascii="Simplified Arabic" w:eastAsia="Times New Roman" w:hAnsi="Simplified Arabic" w:cs="Simplified Arabic"/>
          <w:color w:val="000000" w:themeColor="text1"/>
          <w:kern w:val="0"/>
          <w:sz w:val="28"/>
          <w:szCs w:val="28"/>
          <w14:ligatures w14:val="none"/>
        </w:rPr>
        <w:t>.</w:t>
      </w:r>
    </w:p>
    <w:p w14:paraId="056CAC44"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ويحدد (قاسم ومحمد، 2021) أهدافاً إضافية ترتبط بإدارة الرعاية الصحية الشاملة، من بينها: بناء ثقافة الجودة داخل المؤسسة الصحية؛ وتوحيد الممارسات المهنية وفق أفضل المعايير؛ وتنمية قدرات العاملين على التحسين المستمر؛ وتعزيز التكامل بين الوحدات المختلفة داخل المؤسسة. ويُضيف</w:t>
      </w:r>
      <w:r w:rsidRPr="002B7D76">
        <w:rPr>
          <w:rFonts w:ascii="Simplified Arabic" w:eastAsia="Times New Roman" w:hAnsi="Simplified Arabic" w:cs="Simplified Arabic"/>
          <w:color w:val="000000" w:themeColor="text1"/>
          <w:kern w:val="0"/>
          <w:sz w:val="28"/>
          <w:szCs w:val="28"/>
          <w14:ligatures w14:val="none"/>
        </w:rPr>
        <w:t xml:space="preserve"> (Emran et al., 2025) </w:t>
      </w:r>
      <w:r w:rsidRPr="002B7D76">
        <w:rPr>
          <w:rFonts w:ascii="Simplified Arabic" w:eastAsia="Times New Roman" w:hAnsi="Simplified Arabic" w:cs="Simplified Arabic"/>
          <w:color w:val="000000" w:themeColor="text1"/>
          <w:kern w:val="0"/>
          <w:sz w:val="28"/>
          <w:szCs w:val="28"/>
          <w:rtl/>
          <w14:ligatures w14:val="none"/>
        </w:rPr>
        <w:t>أهدافاً مرتبطة بأبعاد الجودة، تشمل: تحسين تجربة المستفيد في مراحل الخدمة كافة؛ وتقليص أوقات الانتظار والإجراءات الروتينية؛ ورفع مستوى الاستجابة للاحتياجات المتغيرة؛ وضمان عدالة توزيع الخدمة على مختلف الشرائح</w:t>
      </w:r>
      <w:r w:rsidRPr="002B7D76">
        <w:rPr>
          <w:rFonts w:ascii="Simplified Arabic" w:eastAsia="Times New Roman" w:hAnsi="Simplified Arabic" w:cs="Simplified Arabic"/>
          <w:color w:val="000000" w:themeColor="text1"/>
          <w:kern w:val="0"/>
          <w:sz w:val="28"/>
          <w:szCs w:val="28"/>
          <w14:ligatures w14:val="none"/>
        </w:rPr>
        <w:t>.</w:t>
      </w:r>
    </w:p>
    <w:p w14:paraId="351950D2"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ويُبرز</w:t>
      </w:r>
      <w:r w:rsidRPr="002B7D76">
        <w:rPr>
          <w:rFonts w:ascii="Simplified Arabic" w:eastAsia="Times New Roman" w:hAnsi="Simplified Arabic" w:cs="Simplified Arabic"/>
          <w:color w:val="000000" w:themeColor="text1"/>
          <w:kern w:val="0"/>
          <w:sz w:val="28"/>
          <w:szCs w:val="28"/>
          <w14:ligatures w14:val="none"/>
        </w:rPr>
        <w:t xml:space="preserve"> (Furstenau &amp; Saurin, 2024) </w:t>
      </w:r>
      <w:r w:rsidRPr="002B7D76">
        <w:rPr>
          <w:rFonts w:ascii="Simplified Arabic" w:eastAsia="Times New Roman" w:hAnsi="Simplified Arabic" w:cs="Simplified Arabic"/>
          <w:color w:val="000000" w:themeColor="text1"/>
          <w:kern w:val="0"/>
          <w:sz w:val="28"/>
          <w:szCs w:val="28"/>
          <w:rtl/>
          <w14:ligatures w14:val="none"/>
        </w:rPr>
        <w:t>أهدافاً خاصة بخدمات نقل الدم، تشمل: بناء قدرة استيعابية مرنة تتكيف مع التذبذبات الحادة في الطلب؛ وتقليص زمن الاستجابة للطلبات الطارئة؛ وضمان استمرارية الخدمة في الظروف الاستثنائية؛ وتقليص الفاقد من الوحدات إلى أدنى حد ممكن. ويطرح</w:t>
      </w:r>
      <w:r w:rsidRPr="002B7D76">
        <w:rPr>
          <w:rFonts w:ascii="Simplified Arabic" w:eastAsia="Times New Roman" w:hAnsi="Simplified Arabic" w:cs="Simplified Arabic"/>
          <w:color w:val="000000" w:themeColor="text1"/>
          <w:kern w:val="0"/>
          <w:sz w:val="28"/>
          <w:szCs w:val="28"/>
          <w14:ligatures w14:val="none"/>
        </w:rPr>
        <w:t xml:space="preserve"> (Garcés Giraldo et al., 2025) </w:t>
      </w:r>
      <w:r w:rsidRPr="002B7D76">
        <w:rPr>
          <w:rFonts w:ascii="Simplified Arabic" w:eastAsia="Times New Roman" w:hAnsi="Simplified Arabic" w:cs="Simplified Arabic"/>
          <w:color w:val="000000" w:themeColor="text1"/>
          <w:kern w:val="0"/>
          <w:sz w:val="28"/>
          <w:szCs w:val="28"/>
          <w:rtl/>
          <w14:ligatures w14:val="none"/>
        </w:rPr>
        <w:t>أهدافاً مرتبطة بإدارة الطلب في بنوك الدم، من بينها: التنبؤ الدقيق باحتياجات المستشفيات من الأنواع المختلفة؛ وتوجيه حملات التبرع نحو الفصائل الأكثر ندرة؛ وتحسين التنسيق بين البنوك في المنطقة الجغرافية الواحدة؛ وتعزيز قدرة النظام على التعلم من البيانات التاريخية</w:t>
      </w:r>
      <w:r w:rsidRPr="002B7D76">
        <w:rPr>
          <w:rFonts w:ascii="Simplified Arabic" w:eastAsia="Times New Roman" w:hAnsi="Simplified Arabic" w:cs="Simplified Arabic"/>
          <w:color w:val="000000" w:themeColor="text1"/>
          <w:kern w:val="0"/>
          <w:sz w:val="28"/>
          <w:szCs w:val="28"/>
          <w14:ligatures w14:val="none"/>
        </w:rPr>
        <w:t>.</w:t>
      </w:r>
    </w:p>
    <w:p w14:paraId="273E50E5"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ويشير (شيروف وبوشوشة، 2023) إلى أهداف مرتبطة بجودة الخدمات الصيدلانية المرتبطة، والتي يمكن استلهامها في بنوك الدم، وتشمل: توحيد إجراءات الجودة عبر مراحل الخدمة؛ وتعزيز الالتزام بمعايير الممارسة المهنية؛ ورفع كفاءة الاتصال بين مقدم الخدمة والمستفيد؛ وضمان توفر المخزون المناسب في الوقت المناسب. ويرى (النعيمي وآخرون، 2024) أن هناك أهدافاً مرتبطة بتوظيف التقنية، تشمل: أتمتة عمليات القياس والمتابعة؛ وبناء لوحات مؤشرات لحظية للأداء؛ وتعزيز الشفافية في تقارير الأداء؛ وربط تقييم الأداء بأنظمة الحوافز والتطوير المهني</w:t>
      </w:r>
      <w:r w:rsidRPr="002B7D76">
        <w:rPr>
          <w:rFonts w:ascii="Simplified Arabic" w:eastAsia="Times New Roman" w:hAnsi="Simplified Arabic" w:cs="Simplified Arabic"/>
          <w:color w:val="000000" w:themeColor="text1"/>
          <w:kern w:val="0"/>
          <w:sz w:val="28"/>
          <w:szCs w:val="28"/>
          <w14:ligatures w14:val="none"/>
        </w:rPr>
        <w:t>.</w:t>
      </w:r>
    </w:p>
    <w:p w14:paraId="1CB23B68" w14:textId="6605F277"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4165290"/>
      <w:r w:rsidRPr="002B7D76">
        <w:rPr>
          <w:rFonts w:ascii="Simplified Arabic" w:eastAsia="Times New Roman" w:hAnsi="Simplified Arabic" w:cs="Simplified Arabic" w:hint="cs"/>
          <w:b/>
          <w:bCs/>
          <w:color w:val="000000" w:themeColor="text1"/>
          <w:kern w:val="0"/>
          <w:sz w:val="32"/>
          <w:szCs w:val="32"/>
          <w:rtl/>
          <w14:ligatures w14:val="none"/>
        </w:rPr>
        <w:t xml:space="preserve">5.2.2 </w:t>
      </w:r>
      <w:r w:rsidR="00752D5B" w:rsidRPr="002B7D76">
        <w:rPr>
          <w:rFonts w:ascii="Simplified Arabic" w:eastAsia="Times New Roman" w:hAnsi="Simplified Arabic" w:cs="Simplified Arabic"/>
          <w:b/>
          <w:bCs/>
          <w:color w:val="000000" w:themeColor="text1"/>
          <w:kern w:val="0"/>
          <w:sz w:val="32"/>
          <w:szCs w:val="32"/>
          <w:rtl/>
          <w14:ligatures w14:val="none"/>
        </w:rPr>
        <w:t>أبعاد كفاءة الخدمات الصحية في بنوك الدم</w:t>
      </w:r>
      <w:bookmarkEnd w:id="49"/>
    </w:p>
    <w:p w14:paraId="7C9DD2EE"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تم تحديد أبعاد كفاءة الخدمات الصحية في هذه الدراسة بناءً على مراجعة معمقة لمجموعة من الدراسات المتخصصة، من أبرزها دراسة (محمد، 2024) في مجال جودة الخدمات الصحية الوقائية، ودراسة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14:ligatures w14:val="none"/>
        </w:rPr>
        <w:lastRenderedPageBreak/>
        <w:t xml:space="preserve">(Furstenau &amp; Saurin, 2024) </w:t>
      </w:r>
      <w:r w:rsidRPr="002B7D76">
        <w:rPr>
          <w:rFonts w:ascii="Simplified Arabic" w:eastAsia="Times New Roman" w:hAnsi="Simplified Arabic" w:cs="Simplified Arabic"/>
          <w:color w:val="000000" w:themeColor="text1"/>
          <w:kern w:val="0"/>
          <w:sz w:val="28"/>
          <w:szCs w:val="28"/>
          <w:rtl/>
          <w14:ligatures w14:val="none"/>
        </w:rPr>
        <w:t>في مجال مرونة خدمات نقل الدم، ودراسة</w:t>
      </w:r>
      <w:r w:rsidRPr="002B7D76">
        <w:rPr>
          <w:rFonts w:ascii="Simplified Arabic" w:eastAsia="Times New Roman" w:hAnsi="Simplified Arabic" w:cs="Simplified Arabic"/>
          <w:color w:val="000000" w:themeColor="text1"/>
          <w:kern w:val="0"/>
          <w:sz w:val="28"/>
          <w:szCs w:val="28"/>
          <w14:ligatures w14:val="none"/>
        </w:rPr>
        <w:t xml:space="preserve"> (Ben Elmir et al., 2023) </w:t>
      </w:r>
      <w:r w:rsidRPr="002B7D76">
        <w:rPr>
          <w:rFonts w:ascii="Simplified Arabic" w:eastAsia="Times New Roman" w:hAnsi="Simplified Arabic" w:cs="Simplified Arabic"/>
          <w:color w:val="000000" w:themeColor="text1"/>
          <w:kern w:val="0"/>
          <w:sz w:val="28"/>
          <w:szCs w:val="28"/>
          <w:rtl/>
          <w14:ligatures w14:val="none"/>
        </w:rPr>
        <w:t>في مجال إدارة سلسلة إمداد الدم، ودراسة (بلمير ودايرة، 2025) في مجال جودة الخدمات الصحية في السياق الرقمي. وقد تمخّض عن هذه المراجعة تبنّي منظومة من الأبعاد المتكاملة تعكس خصوصية بنوك الدم، وتُقدّم فيما يلي بشيء من التفصيل</w:t>
      </w:r>
      <w:r w:rsidRPr="002B7D76">
        <w:rPr>
          <w:rFonts w:ascii="Simplified Arabic" w:eastAsia="Times New Roman" w:hAnsi="Simplified Arabic" w:cs="Simplified Arabic"/>
          <w:color w:val="000000" w:themeColor="text1"/>
          <w:kern w:val="0"/>
          <w:sz w:val="28"/>
          <w:szCs w:val="28"/>
          <w14:ligatures w14:val="none"/>
        </w:rPr>
        <w:t>.</w:t>
      </w:r>
    </w:p>
    <w:p w14:paraId="4DB1DF9C"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الأول: سلامة الخدمة وجودتها الفنية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يمثل هذا البُعد جوهر كفاءة أي خدمة صحية، ويكتسب في بنوك الدم أهمية استثنائية بحكم طبيعة المادة المتداولة. وتشمل سلامة الخدمة دقة عمليات الفحص المخبري للمتبرعين، والالتزام بمعايير الفحص للأمراض المنقولة عبر الدم، ودقة تصنيف الفصائل ومطابقتها، وسلامة عمليات التخزين وضبط درجات الحرارة، والتحكم في تواريخ الصلاحية. ويرى</w:t>
      </w:r>
      <w:r w:rsidRPr="002B7D76">
        <w:rPr>
          <w:rFonts w:ascii="Simplified Arabic" w:eastAsia="Times New Roman" w:hAnsi="Simplified Arabic" w:cs="Simplified Arabic"/>
          <w:color w:val="000000" w:themeColor="text1"/>
          <w:kern w:val="0"/>
          <w:sz w:val="28"/>
          <w:szCs w:val="28"/>
          <w14:ligatures w14:val="none"/>
        </w:rPr>
        <w:t xml:space="preserve"> (Varghese et al., 2024) </w:t>
      </w:r>
      <w:r w:rsidRPr="002B7D76">
        <w:rPr>
          <w:rFonts w:ascii="Simplified Arabic" w:eastAsia="Times New Roman" w:hAnsi="Simplified Arabic" w:cs="Simplified Arabic"/>
          <w:color w:val="000000" w:themeColor="text1"/>
          <w:kern w:val="0"/>
          <w:sz w:val="28"/>
          <w:szCs w:val="28"/>
          <w:rtl/>
          <w14:ligatures w14:val="none"/>
        </w:rPr>
        <w:t>أن سلامة خدمات نقل الدم تعتمد على منظومة متكاملة من الضوابط الفنية تبدأ من لحظة اختيار المتبرع وتنتهي عند لحظة نقل الوحدة للمستفيد، وأي إخلال في أي حلقة من حلقات هذه السلسلة يُقوّض سلامة المنظومة برمّتها</w:t>
      </w:r>
      <w:r w:rsidRPr="002B7D76">
        <w:rPr>
          <w:rFonts w:ascii="Simplified Arabic" w:eastAsia="Times New Roman" w:hAnsi="Simplified Arabic" w:cs="Simplified Arabic"/>
          <w:color w:val="000000" w:themeColor="text1"/>
          <w:kern w:val="0"/>
          <w:sz w:val="28"/>
          <w:szCs w:val="28"/>
          <w14:ligatures w14:val="none"/>
        </w:rPr>
        <w:t>.</w:t>
      </w:r>
    </w:p>
    <w:p w14:paraId="3BDC33EC"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الثاني: سرعة الاستجابة والتوقيت</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يمثل الزمن عنصراً حاسماً في كفاءة بنوك الدم، لا سيما في الحالات الطارئة كحوادث النزيف الحاد والعمليات الجراحية العاجلة. وتشمل سرعة الاستجابة زمن معالجة طلبات المستشفيات، وزمن إعداد الوحدات المطابقة، وزمن الإيصال إلى نقطة الاستخدام، وزمن التعامل مع طلبات المتبرعين. ويشير</w:t>
      </w:r>
      <w:r w:rsidRPr="002B7D76">
        <w:rPr>
          <w:rFonts w:ascii="Simplified Arabic" w:eastAsia="Times New Roman" w:hAnsi="Simplified Arabic" w:cs="Simplified Arabic"/>
          <w:color w:val="000000" w:themeColor="text1"/>
          <w:kern w:val="0"/>
          <w:sz w:val="28"/>
          <w:szCs w:val="28"/>
          <w14:ligatures w14:val="none"/>
        </w:rPr>
        <w:t xml:space="preserve"> (Ben Elmir et al., 2023) </w:t>
      </w:r>
      <w:r w:rsidRPr="002B7D76">
        <w:rPr>
          <w:rFonts w:ascii="Simplified Arabic" w:eastAsia="Times New Roman" w:hAnsi="Simplified Arabic" w:cs="Simplified Arabic"/>
          <w:color w:val="000000" w:themeColor="text1"/>
          <w:kern w:val="0"/>
          <w:sz w:val="28"/>
          <w:szCs w:val="28"/>
          <w:rtl/>
          <w14:ligatures w14:val="none"/>
        </w:rPr>
        <w:t>إلى أن كفاءة إدارة الطلب في سلسلة إمداد الدم تتطلب قدرة على التنبؤ الاستباقي بالاحتياجات، بما يُقلل الفجوة بين لحظة الطلب ولحظة تلبية الاحتياج، ويتيح للمنظومة الاستعداد المسبق لموجات الطلب المتوقعة</w:t>
      </w:r>
      <w:r w:rsidRPr="002B7D76">
        <w:rPr>
          <w:rFonts w:ascii="Simplified Arabic" w:eastAsia="Times New Roman" w:hAnsi="Simplified Arabic" w:cs="Simplified Arabic"/>
          <w:color w:val="000000" w:themeColor="text1"/>
          <w:kern w:val="0"/>
          <w:sz w:val="28"/>
          <w:szCs w:val="28"/>
          <w14:ligatures w14:val="none"/>
        </w:rPr>
        <w:t>.</w:t>
      </w:r>
    </w:p>
    <w:p w14:paraId="09C0ACD2"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الثالث: الاستخدام الأمثل للموارد وتقليل الفاقد</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يُعبّر هذا البُعد عن الجانب الاقتصادي للكفاءة، ويحمل في بنوك الدم دلالة مضاعفة، لأن الفاقد هنا لا يعني خسارة مالية فحسب، بل يعني إهدار مورد بشري نادر لا يمكن تعويضه صناعياً. وتشمل هذه المؤشرات نسبة الوحدات المستخدمة إلى الوحدات المجمعة، ونسبة الوحدات المهدرة نتيجة انتهاء الصلاحية، وكفاءة استخدام الموارد البشرية والفنية، وتوظيف مساحات التخزين. ويُبرز</w:t>
      </w:r>
      <w:r w:rsidRPr="002B7D76">
        <w:rPr>
          <w:rFonts w:ascii="Simplified Arabic" w:eastAsia="Times New Roman" w:hAnsi="Simplified Arabic" w:cs="Simplified Arabic"/>
          <w:color w:val="000000" w:themeColor="text1"/>
          <w:kern w:val="0"/>
          <w:sz w:val="28"/>
          <w:szCs w:val="28"/>
          <w14:ligatures w14:val="none"/>
        </w:rPr>
        <w:t xml:space="preserve"> (Garcés Giraldo et al., 2025) </w:t>
      </w:r>
      <w:r w:rsidRPr="002B7D76">
        <w:rPr>
          <w:rFonts w:ascii="Simplified Arabic" w:eastAsia="Times New Roman" w:hAnsi="Simplified Arabic" w:cs="Simplified Arabic"/>
          <w:color w:val="000000" w:themeColor="text1"/>
          <w:kern w:val="0"/>
          <w:sz w:val="28"/>
          <w:szCs w:val="28"/>
          <w:rtl/>
          <w14:ligatures w14:val="none"/>
        </w:rPr>
        <w:t>أن تحسين الاستخدام في بنوك الدم يتحقق عبر توظيف تقنيات الذكاء الاصطناعي في التنبؤ بالطلب وتوجيه توزيع المخزون بين البنوك المختلفة، بما يحقق توازناً ديناميكياً يقلل الهدر ويرفع نسبة الاستخدام الفعّال</w:t>
      </w:r>
      <w:r w:rsidRPr="002B7D76">
        <w:rPr>
          <w:rFonts w:ascii="Simplified Arabic" w:eastAsia="Times New Roman" w:hAnsi="Simplified Arabic" w:cs="Simplified Arabic"/>
          <w:color w:val="000000" w:themeColor="text1"/>
          <w:kern w:val="0"/>
          <w:sz w:val="28"/>
          <w:szCs w:val="28"/>
          <w14:ligatures w14:val="none"/>
        </w:rPr>
        <w:t>.</w:t>
      </w:r>
    </w:p>
    <w:p w14:paraId="3FB29DBA"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البُعد الرابع: إمكانية الوصول للخدمة وشموليتها</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يعكس هذا البُعد قدرة بنك الدم على تقديم خدمته لجميع الفئات المستفيدة، سواء من جانب المتبرعين أو من جانب المستشفيات والمرضى، بصرف النظر عن الموقع الجغرافي أو الظرف الزمني. وتشمل مؤشرات هذا البُعد توفر منافذ متعددة للتبرع، وشمول التغطية الجغرافية، وامتداد ساعات العمل بما يتناسب مع احتياجات المستفيدين، وتوفر قنوات تواصل متعددة. ويرى</w:t>
      </w:r>
      <w:r w:rsidRPr="002B7D76">
        <w:rPr>
          <w:rFonts w:ascii="Simplified Arabic" w:eastAsia="Times New Roman" w:hAnsi="Simplified Arabic" w:cs="Simplified Arabic"/>
          <w:color w:val="000000" w:themeColor="text1"/>
          <w:kern w:val="0"/>
          <w:sz w:val="28"/>
          <w:szCs w:val="28"/>
          <w14:ligatures w14:val="none"/>
        </w:rPr>
        <w:t xml:space="preserve"> (Blhaj et al., 2025) </w:t>
      </w:r>
      <w:r w:rsidRPr="002B7D76">
        <w:rPr>
          <w:rFonts w:ascii="Simplified Arabic" w:eastAsia="Times New Roman" w:hAnsi="Simplified Arabic" w:cs="Simplified Arabic"/>
          <w:color w:val="000000" w:themeColor="text1"/>
          <w:kern w:val="0"/>
          <w:sz w:val="28"/>
          <w:szCs w:val="28"/>
          <w:rtl/>
          <w14:ligatures w14:val="none"/>
        </w:rPr>
        <w:t>أن تقنيات الطب عن بُعد وتطبيقات الصحة الرقمية أعادت تعريف مفهوم إمكانية الوصول للخدمات الصحية، وأن كفاءة المؤسسات الصحية الحديثة باتت تُقاس بمدى نجاحها في توظيف هذه التقنيات لتوسيع نطاق خدماتها</w:t>
      </w:r>
      <w:r w:rsidRPr="002B7D76">
        <w:rPr>
          <w:rFonts w:ascii="Simplified Arabic" w:eastAsia="Times New Roman" w:hAnsi="Simplified Arabic" w:cs="Simplified Arabic"/>
          <w:color w:val="000000" w:themeColor="text1"/>
          <w:kern w:val="0"/>
          <w:sz w:val="28"/>
          <w:szCs w:val="28"/>
          <w14:ligatures w14:val="none"/>
        </w:rPr>
        <w:t>.</w:t>
      </w:r>
    </w:p>
    <w:p w14:paraId="4259AD34"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الخامس: رضا المستفيدين والمتبرعين</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يمثل هذا البُعد الوجه الإدراكي للكفاءة، ويُعبّر عن مدى تلبية الخدمة لتوقعات المستفيدين. وفي بنوك الدم، يشمل رضا فئتين مختلفتين: المتبرعين الذين تتوقف استدامة تبرعهم على جودة تجربتهم؛ والمستشفيات والمرضى الذين يمثلون الطرف المستفيد من الخدمة. ويرى (بلمير ودايرة، 2025) أن تحسين تجربة المستفيد أصبح مؤشراً محورياً لكفاءة الخدمة الصحية في العصر الرقمي، وأن المؤسسات الصحية مطالبة بإعادة تصميم رحلة المستفيد من منظور خدمي متكامل يجمع بين الجودة الفنية والتجربة الإنسانية</w:t>
      </w:r>
      <w:r w:rsidRPr="002B7D76">
        <w:rPr>
          <w:rFonts w:ascii="Simplified Arabic" w:eastAsia="Times New Roman" w:hAnsi="Simplified Arabic" w:cs="Simplified Arabic"/>
          <w:color w:val="000000" w:themeColor="text1"/>
          <w:kern w:val="0"/>
          <w:sz w:val="28"/>
          <w:szCs w:val="28"/>
          <w14:ligatures w14:val="none"/>
        </w:rPr>
        <w:t>.</w:t>
      </w:r>
    </w:p>
    <w:p w14:paraId="05568C6B"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السادس: القابلية للتتبع والشفافية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يُعبّر هذا البُعد عن قدرة المنظومة على تتبع كل وحدة دم منذ لحظة سحبها حتى لحظة استخدامها، مع توثيق كامل لجميع المراحل والإجراءات. وتحمل هذه القابلية للتتبع أهمية حاسمة في التعامل مع أي حوادث أو مشكلات، إذ تُتيح الرجوع السريع إلى المصدر وتحديد نقطة الإخلال. ويؤكد</w:t>
      </w:r>
      <w:r w:rsidRPr="002B7D76">
        <w:rPr>
          <w:rFonts w:ascii="Simplified Arabic" w:eastAsia="Times New Roman" w:hAnsi="Simplified Arabic" w:cs="Simplified Arabic"/>
          <w:color w:val="000000" w:themeColor="text1"/>
          <w:kern w:val="0"/>
          <w:sz w:val="28"/>
          <w:szCs w:val="28"/>
          <w14:ligatures w14:val="none"/>
        </w:rPr>
        <w:t xml:space="preserve"> (Varghese et al., 2024) </w:t>
      </w:r>
      <w:r w:rsidRPr="002B7D76">
        <w:rPr>
          <w:rFonts w:ascii="Simplified Arabic" w:eastAsia="Times New Roman" w:hAnsi="Simplified Arabic" w:cs="Simplified Arabic"/>
          <w:color w:val="000000" w:themeColor="text1"/>
          <w:kern w:val="0"/>
          <w:sz w:val="28"/>
          <w:szCs w:val="28"/>
          <w:rtl/>
          <w14:ligatures w14:val="none"/>
        </w:rPr>
        <w:t>أن التطورات التقنية الحديثة في خدمات نقل الدم عززت بصورة جوهرية القابلية للتتبع، وحولت بنوك الدم من منظومات ذات شفافية محدودة إلى منظومات ذات شفافية عالية تدعم الرقابة والمحاسبة</w:t>
      </w:r>
      <w:r w:rsidRPr="002B7D76">
        <w:rPr>
          <w:rFonts w:ascii="Simplified Arabic" w:eastAsia="Times New Roman" w:hAnsi="Simplified Arabic" w:cs="Simplified Arabic"/>
          <w:color w:val="000000" w:themeColor="text1"/>
          <w:kern w:val="0"/>
          <w:sz w:val="28"/>
          <w:szCs w:val="28"/>
          <w14:ligatures w14:val="none"/>
        </w:rPr>
        <w:t>.</w:t>
      </w:r>
    </w:p>
    <w:p w14:paraId="6455A741"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البُعد السابع: المرونة والقدرة على التكيف مع الأزمات</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يعكس هذا البُعد قدرة بنك الدم على الحفاظ على مستوى أدائه في الظروف الاستثنائية كالجوائح والكوارث والحوادث الجماعية. ويرى</w:t>
      </w:r>
      <w:r w:rsidRPr="002B7D76">
        <w:rPr>
          <w:rFonts w:ascii="Simplified Arabic" w:eastAsia="Times New Roman" w:hAnsi="Simplified Arabic" w:cs="Simplified Arabic"/>
          <w:color w:val="000000" w:themeColor="text1"/>
          <w:kern w:val="0"/>
          <w:sz w:val="28"/>
          <w:szCs w:val="28"/>
          <w14:ligatures w14:val="none"/>
        </w:rPr>
        <w:t xml:space="preserve"> (Furstenau &amp; Saurin, 2024) </w:t>
      </w:r>
      <w:r w:rsidRPr="002B7D76">
        <w:rPr>
          <w:rFonts w:ascii="Simplified Arabic" w:eastAsia="Times New Roman" w:hAnsi="Simplified Arabic" w:cs="Simplified Arabic"/>
          <w:color w:val="000000" w:themeColor="text1"/>
          <w:kern w:val="0"/>
          <w:sz w:val="28"/>
          <w:szCs w:val="28"/>
          <w:rtl/>
          <w14:ligatures w14:val="none"/>
        </w:rPr>
        <w:t>أن المرونة أصبحت مطلباً محورياً في تصميم خدمات نقل الدم، وأن المنظومات المرنة تمتلك قدرة على استيعاب الصدمات وامتصاصها والتعافي منها بسرعة، بما يضمن استمرارية تقديم الخدمة حتى في أصعب الظروف. وتشمل عناصر المرونة توفر مخزون احتياطي استراتيجي، ووجود خطط طوارئ محدّثة، وتنوع مصادر التبرع، والتكامل مع بنوك أخرى في شبكة تعاون</w:t>
      </w:r>
      <w:r w:rsidRPr="002B7D76">
        <w:rPr>
          <w:rFonts w:ascii="Simplified Arabic" w:eastAsia="Times New Roman" w:hAnsi="Simplified Arabic" w:cs="Simplified Arabic"/>
          <w:color w:val="000000" w:themeColor="text1"/>
          <w:kern w:val="0"/>
          <w:sz w:val="28"/>
          <w:szCs w:val="28"/>
          <w14:ligatures w14:val="none"/>
        </w:rPr>
        <w:t>.</w:t>
      </w:r>
    </w:p>
    <w:p w14:paraId="44FE6645"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البُعد الثامن: التكامل مع منظومة الرعاية الصحية</w:t>
      </w:r>
      <w:r w:rsidRPr="002B7D76">
        <w:rPr>
          <w:rFonts w:ascii="Simplified Arabic" w:eastAsia="Times New Roman" w:hAnsi="Simplified Arabic" w:cs="Simplified Arabic"/>
          <w:color w:val="000000" w:themeColor="text1"/>
          <w:kern w:val="0"/>
          <w:sz w:val="28"/>
          <w:szCs w:val="28"/>
          <w14:ligatures w14:val="none"/>
        </w:rPr>
        <w:t xml:space="preserve">. </w:t>
      </w:r>
      <w:r w:rsidRPr="002B7D76">
        <w:rPr>
          <w:rFonts w:ascii="Simplified Arabic" w:eastAsia="Times New Roman" w:hAnsi="Simplified Arabic" w:cs="Simplified Arabic"/>
          <w:color w:val="000000" w:themeColor="text1"/>
          <w:kern w:val="0"/>
          <w:sz w:val="28"/>
          <w:szCs w:val="28"/>
          <w:rtl/>
          <w14:ligatures w14:val="none"/>
        </w:rPr>
        <w:t>يُبرز هذا البُعد أن بنك الدم ليس كياناً منعزلاً، بل جزء من منظومة صحية مترابطة، وأن كفاءته ترتبط ارتباطاً وثيقاً بمستوى تكامله مع بقية عناصر هذه المنظومة. ويشير (النعيمي وآخرون، 2024) إلى أن تكامل المؤسسات الصحية عبر تكنولوجيا المعلومات يُشكل ركيزة أساسية لتحسين جودة الخدمات، وأن هذا التكامل يشمل تبادل البيانات في الوقت الفعلي، وتوحيد ملفات المرضى، والتنسيق في المتابعة والإحالة. وفي بنوك الدم، يعني هذا التكامل الربط الآني مع المستشفيات والمختبرات ومراكز التبرع والجهات التنظيمية</w:t>
      </w:r>
      <w:r w:rsidRPr="002B7D76">
        <w:rPr>
          <w:rFonts w:ascii="Simplified Arabic" w:eastAsia="Times New Roman" w:hAnsi="Simplified Arabic" w:cs="Simplified Arabic"/>
          <w:color w:val="000000" w:themeColor="text1"/>
          <w:kern w:val="0"/>
          <w:sz w:val="28"/>
          <w:szCs w:val="28"/>
          <w14:ligatures w14:val="none"/>
        </w:rPr>
        <w:t>.</w:t>
      </w:r>
    </w:p>
    <w:p w14:paraId="6EA62FFE" w14:textId="399EBFE6"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4165291"/>
      <w:r w:rsidRPr="002B7D76">
        <w:rPr>
          <w:rFonts w:ascii="Simplified Arabic" w:eastAsia="Times New Roman" w:hAnsi="Simplified Arabic" w:cs="Simplified Arabic" w:hint="cs"/>
          <w:b/>
          <w:bCs/>
          <w:color w:val="000000" w:themeColor="text1"/>
          <w:kern w:val="0"/>
          <w:sz w:val="32"/>
          <w:szCs w:val="32"/>
          <w:rtl/>
          <w14:ligatures w14:val="none"/>
        </w:rPr>
        <w:t xml:space="preserve">6.2.2 </w:t>
      </w:r>
      <w:r w:rsidR="00752D5B" w:rsidRPr="002B7D76">
        <w:rPr>
          <w:rFonts w:ascii="Simplified Arabic" w:eastAsia="Times New Roman" w:hAnsi="Simplified Arabic" w:cs="Simplified Arabic"/>
          <w:b/>
          <w:bCs/>
          <w:color w:val="000000" w:themeColor="text1"/>
          <w:kern w:val="0"/>
          <w:sz w:val="32"/>
          <w:szCs w:val="32"/>
          <w:rtl/>
          <w14:ligatures w14:val="none"/>
        </w:rPr>
        <w:t>محددات كفاءة الخدمات الصحية في بنوك الدم</w:t>
      </w:r>
      <w:bookmarkEnd w:id="50"/>
    </w:p>
    <w:p w14:paraId="788C15B0"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تتأثر كفاءة الخدمات الصحية في بنوك الدم بمنظومة من المحددات الداخلية والخارجية التي تُشكّل بيئتها التشغيلية. ويشير (قاسم ومحمد، 2021) إلى أن عوامل النجاح الحاسمة لإدارة الرعاية الصحية تشمل جودة القيادة، ووضوح الأهداف الاستراتيجية، وفعالية إدارة الموارد البشرية، وسلامة النظم المعلوماتية، وقوة ثقافة الجودة داخل المؤسسة. وتنطبق هذه العوامل بصورة كاملة على بنوك الدم، مع إضافة محددات خاصة بطبيعة عملها</w:t>
      </w:r>
      <w:r w:rsidRPr="002B7D76">
        <w:rPr>
          <w:rFonts w:ascii="Simplified Arabic" w:eastAsia="Times New Roman" w:hAnsi="Simplified Arabic" w:cs="Simplified Arabic"/>
          <w:color w:val="000000" w:themeColor="text1"/>
          <w:kern w:val="0"/>
          <w:sz w:val="28"/>
          <w:szCs w:val="28"/>
          <w14:ligatures w14:val="none"/>
        </w:rPr>
        <w:t>.</w:t>
      </w:r>
    </w:p>
    <w:p w14:paraId="3128E8DD"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ومن أبرز المحددات الداخلية، جودة البنية التحتية التقنية، ومستوى تأهيل الكوادر البشرية، ووضوح السياسات والإجراءات، وقوة نظم الحوكمة الداخلية، وفعالية آليات ضمان الجودة. ويُبرز (عودة والخشالي، 2025) أن الرشاقة الاستراتيجية للمؤسسات الصحية تُشكل محدداً جوهرياً لكفاءتها، حيث تُتيح لها إعادة توجيه مواردها بسرعة نحو الأولويات المتغيرة. أما المحددات الخارجية فتشمل الإطار التشريعي، ومستوى الدعم الحكومي، ووعي المجتمع بأهمية التبرع بالدم، والاستقرار الأمني والاقتصادي، ومستوى تطور القطاع الصحي في الدولة. ويشير</w:t>
      </w:r>
      <w:r w:rsidRPr="002B7D76">
        <w:rPr>
          <w:rFonts w:ascii="Simplified Arabic" w:eastAsia="Times New Roman" w:hAnsi="Simplified Arabic" w:cs="Simplified Arabic"/>
          <w:color w:val="000000" w:themeColor="text1"/>
          <w:kern w:val="0"/>
          <w:sz w:val="28"/>
          <w:szCs w:val="28"/>
          <w14:ligatures w14:val="none"/>
        </w:rPr>
        <w:t xml:space="preserve"> (Kraus et al., 2021) </w:t>
      </w:r>
      <w:r w:rsidRPr="002B7D76">
        <w:rPr>
          <w:rFonts w:ascii="Simplified Arabic" w:eastAsia="Times New Roman" w:hAnsi="Simplified Arabic" w:cs="Simplified Arabic"/>
          <w:color w:val="000000" w:themeColor="text1"/>
          <w:kern w:val="0"/>
          <w:sz w:val="28"/>
          <w:szCs w:val="28"/>
          <w:rtl/>
          <w14:ligatures w14:val="none"/>
        </w:rPr>
        <w:t>إلى أن السياق الوطني للمنظومة الصحية يُؤثر تأثيراً كبيراً في مستويات الأداء الممكنة داخل مؤسساتها، وأن التمييز بين محددات المستوى المؤسسي ومحددات المستوى النظامي ضروري لفهم الفروق في الأداء بين المؤسسات</w:t>
      </w:r>
      <w:r w:rsidRPr="002B7D76">
        <w:rPr>
          <w:rFonts w:ascii="Simplified Arabic" w:eastAsia="Times New Roman" w:hAnsi="Simplified Arabic" w:cs="Simplified Arabic"/>
          <w:color w:val="000000" w:themeColor="text1"/>
          <w:kern w:val="0"/>
          <w:sz w:val="28"/>
          <w:szCs w:val="28"/>
          <w14:ligatures w14:val="none"/>
        </w:rPr>
        <w:t>.</w:t>
      </w:r>
    </w:p>
    <w:p w14:paraId="097A3DBB" w14:textId="538CE47A"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4165292"/>
      <w:r w:rsidRPr="002B7D76">
        <w:rPr>
          <w:rFonts w:ascii="Simplified Arabic" w:eastAsia="Times New Roman" w:hAnsi="Simplified Arabic" w:cs="Simplified Arabic" w:hint="cs"/>
          <w:b/>
          <w:bCs/>
          <w:color w:val="000000" w:themeColor="text1"/>
          <w:kern w:val="0"/>
          <w:sz w:val="32"/>
          <w:szCs w:val="32"/>
          <w:rtl/>
          <w14:ligatures w14:val="none"/>
        </w:rPr>
        <w:t xml:space="preserve">7.2.2 </w:t>
      </w:r>
      <w:r w:rsidR="00752D5B" w:rsidRPr="002B7D76">
        <w:rPr>
          <w:rFonts w:ascii="Simplified Arabic" w:eastAsia="Times New Roman" w:hAnsi="Simplified Arabic" w:cs="Simplified Arabic"/>
          <w:b/>
          <w:bCs/>
          <w:color w:val="000000" w:themeColor="text1"/>
          <w:kern w:val="0"/>
          <w:sz w:val="32"/>
          <w:szCs w:val="32"/>
          <w:rtl/>
          <w14:ligatures w14:val="none"/>
        </w:rPr>
        <w:t>متطلبات تحقيق كفاءة الخدمات الصحية في بنوك الدم</w:t>
      </w:r>
      <w:bookmarkEnd w:id="51"/>
    </w:p>
    <w:p w14:paraId="319EE170"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 xml:space="preserve">يستلزم تحقيق مستويات عالية من الكفاءة في بنوك الدم توفر منظومة متكاملة من المتطلبات. ويؤكد (غواري، 2021) على أن التدريب المنظم للعاملين يُشكل متطلباً محورياً لتحسين جودة الرعاية الصحية، </w:t>
      </w:r>
      <w:r w:rsidRPr="002B7D76">
        <w:rPr>
          <w:rFonts w:ascii="Simplified Arabic" w:eastAsia="Times New Roman" w:hAnsi="Simplified Arabic" w:cs="Simplified Arabic"/>
          <w:color w:val="000000" w:themeColor="text1"/>
          <w:kern w:val="0"/>
          <w:sz w:val="28"/>
          <w:szCs w:val="28"/>
          <w:rtl/>
          <w14:ligatures w14:val="none"/>
        </w:rPr>
        <w:lastRenderedPageBreak/>
        <w:t>وأنه يعمل على تجسير الفجوة بين المعرفة النظرية والممارسة الفعلية. وتشمل المتطلبات البشرية توفر كوادر متخصصة في طب نقل الدم، وفنيين مؤهلين، وإداريين يمتلكون رؤية تكاملية</w:t>
      </w:r>
      <w:r w:rsidRPr="002B7D76">
        <w:rPr>
          <w:rFonts w:ascii="Simplified Arabic" w:eastAsia="Times New Roman" w:hAnsi="Simplified Arabic" w:cs="Simplified Arabic"/>
          <w:color w:val="000000" w:themeColor="text1"/>
          <w:kern w:val="0"/>
          <w:sz w:val="28"/>
          <w:szCs w:val="28"/>
          <w14:ligatures w14:val="none"/>
        </w:rPr>
        <w:t>.</w:t>
      </w:r>
    </w:p>
    <w:p w14:paraId="373B4980"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وتتضمن المتطلبات التقنية توفر معدات فحص متقدمة، ونظم معلومات متكاملة، وأدوات تحليل بيانات قادرة على استخراج الأنماط والتنبؤات. ويرى</w:t>
      </w:r>
      <w:r w:rsidRPr="002B7D76">
        <w:rPr>
          <w:rFonts w:ascii="Simplified Arabic" w:eastAsia="Times New Roman" w:hAnsi="Simplified Arabic" w:cs="Simplified Arabic"/>
          <w:color w:val="000000" w:themeColor="text1"/>
          <w:kern w:val="0"/>
          <w:sz w:val="28"/>
          <w:szCs w:val="28"/>
          <w14:ligatures w14:val="none"/>
        </w:rPr>
        <w:t xml:space="preserve"> (Peri</w:t>
      </w:r>
      <w:r w:rsidRPr="002B7D76">
        <w:rPr>
          <w:rFonts w:ascii="Cambria" w:eastAsia="Times New Roman" w:hAnsi="Cambria" w:cs="Cambria"/>
          <w:color w:val="000000" w:themeColor="text1"/>
          <w:kern w:val="0"/>
          <w:sz w:val="28"/>
          <w:szCs w:val="28"/>
          <w14:ligatures w14:val="none"/>
        </w:rPr>
        <w:t>áñ</w:t>
      </w:r>
      <w:r w:rsidRPr="002B7D76">
        <w:rPr>
          <w:rFonts w:ascii="Simplified Arabic" w:eastAsia="Times New Roman" w:hAnsi="Simplified Arabic" w:cs="Simplified Arabic"/>
          <w:color w:val="000000" w:themeColor="text1"/>
          <w:kern w:val="0"/>
          <w:sz w:val="28"/>
          <w:szCs w:val="28"/>
          <w14:ligatures w14:val="none"/>
        </w:rPr>
        <w:t xml:space="preserve">ez et al., 2024) </w:t>
      </w:r>
      <w:r w:rsidRPr="002B7D76">
        <w:rPr>
          <w:rFonts w:ascii="Simplified Arabic" w:eastAsia="Times New Roman" w:hAnsi="Simplified Arabic" w:cs="Simplified Arabic"/>
          <w:color w:val="000000" w:themeColor="text1"/>
          <w:kern w:val="0"/>
          <w:sz w:val="28"/>
          <w:szCs w:val="28"/>
          <w:rtl/>
          <w14:ligatures w14:val="none"/>
        </w:rPr>
        <w:t>أن توظيف الذكاء الاصطناعي في المنظومات الصحية أصبح متطلباً استراتيجياً لتحسين الأداء، وأن المؤسسات التي تتأخر في تبني هذه التقنيات ستواجه صعوبات متزايدة في المنافسة والاستدامة. وتشمل المتطلبات التنظيمية وضوح الهياكل والصلاحيات، وتبسيط الإجراءات، وبناء آليات فعّالة للاتصال والتنسيق. أما المتطلبات الثقافية فتشمل بناء ثقافة الجودة، وتشجيع التعلم المستمر، وتعزيز الالتزام بمعايير السلامة، وتقدير مساهمات المتبرعين</w:t>
      </w:r>
      <w:r w:rsidRPr="002B7D76">
        <w:rPr>
          <w:rFonts w:ascii="Simplified Arabic" w:eastAsia="Times New Roman" w:hAnsi="Simplified Arabic" w:cs="Simplified Arabic"/>
          <w:color w:val="000000" w:themeColor="text1"/>
          <w:kern w:val="0"/>
          <w:sz w:val="28"/>
          <w:szCs w:val="28"/>
          <w14:ligatures w14:val="none"/>
        </w:rPr>
        <w:t>.</w:t>
      </w:r>
    </w:p>
    <w:p w14:paraId="787F75BC" w14:textId="3591CB35"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4165293"/>
      <w:r w:rsidRPr="002B7D76">
        <w:rPr>
          <w:rFonts w:ascii="Simplified Arabic" w:eastAsia="Times New Roman" w:hAnsi="Simplified Arabic" w:cs="Simplified Arabic" w:hint="cs"/>
          <w:b/>
          <w:bCs/>
          <w:color w:val="000000" w:themeColor="text1"/>
          <w:kern w:val="0"/>
          <w:sz w:val="32"/>
          <w:szCs w:val="32"/>
          <w:rtl/>
          <w14:ligatures w14:val="none"/>
        </w:rPr>
        <w:t xml:space="preserve">8.2.2 </w:t>
      </w:r>
      <w:r w:rsidR="00752D5B" w:rsidRPr="002B7D76">
        <w:rPr>
          <w:rFonts w:ascii="Simplified Arabic" w:eastAsia="Times New Roman" w:hAnsi="Simplified Arabic" w:cs="Simplified Arabic"/>
          <w:b/>
          <w:bCs/>
          <w:color w:val="000000" w:themeColor="text1"/>
          <w:kern w:val="0"/>
          <w:sz w:val="32"/>
          <w:szCs w:val="32"/>
          <w:rtl/>
          <w14:ligatures w14:val="none"/>
        </w:rPr>
        <w:t>التحديات التي تواجه كفاءة الخدمات الصحية في بنوك الدم</w:t>
      </w:r>
      <w:bookmarkEnd w:id="52"/>
    </w:p>
    <w:p w14:paraId="4CD49D04"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تواجه بنوك الدم جملة من التحديات التي تُقيّد قدرتها على تحقيق مستويات الكفاءة المستهدفة. ويشير (حسين وعبودي، 2021) إلى أن تحديات جودة الرعاية الصحية في المستشفيات تشمل ضعف البنية التقنية، ونقص التأهيل، وضعف نظم المتابعة، وقصور الموارد المخصصة لضمان الجودة. وتنطبق هذه التحديات على بنوك الدم مع إضافة تحديات خاصة، من أبرزها تذبذب معدلات التبرع الطوعي، وتزايد الطلب مع محدودية العرض، وارتفاع تكاليف الفحوصات المتقدمة</w:t>
      </w:r>
      <w:r w:rsidRPr="002B7D76">
        <w:rPr>
          <w:rFonts w:ascii="Simplified Arabic" w:eastAsia="Times New Roman" w:hAnsi="Simplified Arabic" w:cs="Simplified Arabic"/>
          <w:color w:val="000000" w:themeColor="text1"/>
          <w:kern w:val="0"/>
          <w:sz w:val="28"/>
          <w:szCs w:val="28"/>
          <w14:ligatures w14:val="none"/>
        </w:rPr>
        <w:t>.</w:t>
      </w:r>
    </w:p>
    <w:p w14:paraId="139875B4"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ويشير (شيروف وبوشوشة، 2023) إلى تحديات مرتبطة بتقييم جودة الخدمات، تشمل غياب معايير موحدة، وضعف آليات القياس الموضوعي، وقصور الثقافة التقييمية داخل بعض المؤسسات. ويُبرز</w:t>
      </w:r>
      <w:r w:rsidRPr="002B7D76">
        <w:rPr>
          <w:rFonts w:ascii="Simplified Arabic" w:eastAsia="Times New Roman" w:hAnsi="Simplified Arabic" w:cs="Simplified Arabic"/>
          <w:color w:val="000000" w:themeColor="text1"/>
          <w:kern w:val="0"/>
          <w:sz w:val="28"/>
          <w:szCs w:val="28"/>
          <w14:ligatures w14:val="none"/>
        </w:rPr>
        <w:t xml:space="preserve"> (Furstenau &amp; Saurin, 2024) </w:t>
      </w:r>
      <w:r w:rsidRPr="002B7D76">
        <w:rPr>
          <w:rFonts w:ascii="Simplified Arabic" w:eastAsia="Times New Roman" w:hAnsi="Simplified Arabic" w:cs="Simplified Arabic"/>
          <w:color w:val="000000" w:themeColor="text1"/>
          <w:kern w:val="0"/>
          <w:sz w:val="28"/>
          <w:szCs w:val="28"/>
          <w:rtl/>
          <w14:ligatures w14:val="none"/>
        </w:rPr>
        <w:t>تحديات المرونة، والتي تشمل صعوبة التنبؤ بالطلب في حالات الطوارئ الكبرى، ومحدودية القدرة الاستيعابية للتخزين، وضعف التكامل بين البنوك المختلفة في الشبكة الوطنية. ومن التحديات المعاصرة أيضاً، التحديات المرتبطة بالأمن السيبراني وحماية بيانات المتبرعين، وتحديات إدماج التقنيات الجديدة في البيئة التشغيلية القائمة، وتحديات تغيير ثقافة العاملين لمواكبة التحولات الرقمية</w:t>
      </w:r>
      <w:r w:rsidRPr="002B7D76">
        <w:rPr>
          <w:rFonts w:ascii="Simplified Arabic" w:eastAsia="Times New Roman" w:hAnsi="Simplified Arabic" w:cs="Simplified Arabic"/>
          <w:color w:val="000000" w:themeColor="text1"/>
          <w:kern w:val="0"/>
          <w:sz w:val="28"/>
          <w:szCs w:val="28"/>
          <w14:ligatures w14:val="none"/>
        </w:rPr>
        <w:t>.</w:t>
      </w:r>
    </w:p>
    <w:p w14:paraId="5AE8264C" w14:textId="0FC2C4EC" w:rsidR="00752D5B" w:rsidRPr="002B7D76" w:rsidRDefault="00843219" w:rsidP="0084321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4165294"/>
      <w:r w:rsidRPr="002B7D76">
        <w:rPr>
          <w:rFonts w:ascii="Simplified Arabic" w:eastAsia="Times New Roman" w:hAnsi="Simplified Arabic" w:cs="Simplified Arabic" w:hint="cs"/>
          <w:b/>
          <w:bCs/>
          <w:color w:val="000000" w:themeColor="text1"/>
          <w:kern w:val="0"/>
          <w:sz w:val="32"/>
          <w:szCs w:val="32"/>
          <w:rtl/>
          <w14:ligatures w14:val="none"/>
        </w:rPr>
        <w:t xml:space="preserve">9.2.2 </w:t>
      </w:r>
      <w:r w:rsidR="00752D5B" w:rsidRPr="002B7D76">
        <w:rPr>
          <w:rFonts w:ascii="Simplified Arabic" w:eastAsia="Times New Roman" w:hAnsi="Simplified Arabic" w:cs="Simplified Arabic"/>
          <w:b/>
          <w:bCs/>
          <w:color w:val="000000" w:themeColor="text1"/>
          <w:kern w:val="0"/>
          <w:sz w:val="32"/>
          <w:szCs w:val="32"/>
          <w:rtl/>
          <w14:ligatures w14:val="none"/>
        </w:rPr>
        <w:t>العلاقة بين التحول الرقمي وكفاءة الخدمات الصحية في بنوك الدم</w:t>
      </w:r>
      <w:bookmarkEnd w:id="53"/>
    </w:p>
    <w:p w14:paraId="17121C63"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lastRenderedPageBreak/>
        <w:t>تُشكّل العلاقة بين التحول الرقمي وكفاءة الخدمات الصحية محوراً بحثياً غنياً استقطب اهتمام الباحثين. ويشير</w:t>
      </w:r>
      <w:r w:rsidRPr="002B7D76">
        <w:rPr>
          <w:rFonts w:ascii="Simplified Arabic" w:eastAsia="Times New Roman" w:hAnsi="Simplified Arabic" w:cs="Simplified Arabic"/>
          <w:color w:val="000000" w:themeColor="text1"/>
          <w:kern w:val="0"/>
          <w:sz w:val="28"/>
          <w:szCs w:val="28"/>
          <w14:ligatures w14:val="none"/>
        </w:rPr>
        <w:t xml:space="preserve"> (Dionisio et al., 2023) </w:t>
      </w:r>
      <w:r w:rsidRPr="002B7D76">
        <w:rPr>
          <w:rFonts w:ascii="Simplified Arabic" w:eastAsia="Times New Roman" w:hAnsi="Simplified Arabic" w:cs="Simplified Arabic"/>
          <w:color w:val="000000" w:themeColor="text1"/>
          <w:kern w:val="0"/>
          <w:sz w:val="28"/>
          <w:szCs w:val="28"/>
          <w:rtl/>
          <w14:ligatures w14:val="none"/>
        </w:rPr>
        <w:t>إلى أن التحول الرقمي يُوظّف بصورة متزايدة كأداة لتحسين فاعلية الرعاية الصحية، وأن هذه العلاقة تعمل عبر قنوات متعددة تشمل تحسين دقة القرارات، وتقليص أزمنة الإجراءات، ورفع مستوى التكامل بين الوحدات. وفي بنوك الدم، تتجلى هذه العلاقة بصورة أوضح، إذ يُتيح التحول الرقمي حلولاً لكثير من التحديات التقليدية التي واجهت هذه المؤسسات</w:t>
      </w:r>
      <w:r w:rsidRPr="002B7D76">
        <w:rPr>
          <w:rFonts w:ascii="Simplified Arabic" w:eastAsia="Times New Roman" w:hAnsi="Simplified Arabic" w:cs="Simplified Arabic"/>
          <w:color w:val="000000" w:themeColor="text1"/>
          <w:kern w:val="0"/>
          <w:sz w:val="28"/>
          <w:szCs w:val="28"/>
          <w14:ligatures w14:val="none"/>
        </w:rPr>
        <w:t>.</w:t>
      </w:r>
    </w:p>
    <w:p w14:paraId="2CD7AF39" w14:textId="77777777" w:rsidR="00752D5B" w:rsidRPr="002B7D76" w:rsidRDefault="00752D5B" w:rsidP="003B32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B7D76">
        <w:rPr>
          <w:rFonts w:ascii="Simplified Arabic" w:eastAsia="Times New Roman" w:hAnsi="Simplified Arabic" w:cs="Simplified Arabic"/>
          <w:color w:val="000000" w:themeColor="text1"/>
          <w:kern w:val="0"/>
          <w:sz w:val="28"/>
          <w:szCs w:val="28"/>
          <w:rtl/>
          <w14:ligatures w14:val="none"/>
        </w:rPr>
        <w:t>ويُبرز</w:t>
      </w:r>
      <w:r w:rsidRPr="002B7D76">
        <w:rPr>
          <w:rFonts w:ascii="Simplified Arabic" w:eastAsia="Times New Roman" w:hAnsi="Simplified Arabic" w:cs="Simplified Arabic"/>
          <w:color w:val="000000" w:themeColor="text1"/>
          <w:kern w:val="0"/>
          <w:sz w:val="28"/>
          <w:szCs w:val="28"/>
          <w14:ligatures w14:val="none"/>
        </w:rPr>
        <w:t xml:space="preserve"> (Ben Elmir et al., 2023) </w:t>
      </w:r>
      <w:r w:rsidRPr="002B7D76">
        <w:rPr>
          <w:rFonts w:ascii="Simplified Arabic" w:eastAsia="Times New Roman" w:hAnsi="Simplified Arabic" w:cs="Simplified Arabic"/>
          <w:color w:val="000000" w:themeColor="text1"/>
          <w:kern w:val="0"/>
          <w:sz w:val="28"/>
          <w:szCs w:val="28"/>
          <w:rtl/>
          <w14:ligatures w14:val="none"/>
        </w:rPr>
        <w:t>أن المنصات الذكية لإدارة بيانات بنوك الدم تعمل على تحسين جودة التنبؤ بالطلب، وتوجيه سلاسل الإمداد بصورة أكثر ذكاءً، بما يرفع من كفاءة تلبية الاحتياجات. ويُضيف</w:t>
      </w:r>
      <w:r w:rsidRPr="002B7D76">
        <w:rPr>
          <w:rFonts w:ascii="Simplified Arabic" w:eastAsia="Times New Roman" w:hAnsi="Simplified Arabic" w:cs="Simplified Arabic"/>
          <w:color w:val="000000" w:themeColor="text1"/>
          <w:kern w:val="0"/>
          <w:sz w:val="28"/>
          <w:szCs w:val="28"/>
          <w14:ligatures w14:val="none"/>
        </w:rPr>
        <w:t xml:space="preserve"> (Niklas et al., 2023) </w:t>
      </w:r>
      <w:r w:rsidRPr="002B7D76">
        <w:rPr>
          <w:rFonts w:ascii="Simplified Arabic" w:eastAsia="Times New Roman" w:hAnsi="Simplified Arabic" w:cs="Simplified Arabic"/>
          <w:color w:val="000000" w:themeColor="text1"/>
          <w:kern w:val="0"/>
          <w:sz w:val="28"/>
          <w:szCs w:val="28"/>
          <w:rtl/>
          <w14:ligatures w14:val="none"/>
        </w:rPr>
        <w:t>أن التحول الرقمي يُعيد تشكيل تجربة المتبرع بصورة تُعزز استدامة العلاقة معه، وتُوسّع قاعدة المتبرعين، وتُتيح بناء ملفات تفصيلية لكل متبرع تسمح بإدارة أذكى للعلاقة. ويرى</w:t>
      </w:r>
      <w:r w:rsidRPr="002B7D76">
        <w:rPr>
          <w:rFonts w:ascii="Simplified Arabic" w:eastAsia="Times New Roman" w:hAnsi="Simplified Arabic" w:cs="Simplified Arabic"/>
          <w:color w:val="000000" w:themeColor="text1"/>
          <w:kern w:val="0"/>
          <w:sz w:val="28"/>
          <w:szCs w:val="28"/>
          <w14:ligatures w14:val="none"/>
        </w:rPr>
        <w:t xml:space="preserve"> (Peri</w:t>
      </w:r>
      <w:r w:rsidRPr="002B7D76">
        <w:rPr>
          <w:rFonts w:ascii="Cambria" w:eastAsia="Times New Roman" w:hAnsi="Cambria" w:cs="Cambria"/>
          <w:color w:val="000000" w:themeColor="text1"/>
          <w:kern w:val="0"/>
          <w:sz w:val="28"/>
          <w:szCs w:val="28"/>
          <w14:ligatures w14:val="none"/>
        </w:rPr>
        <w:t>áñ</w:t>
      </w:r>
      <w:r w:rsidRPr="002B7D76">
        <w:rPr>
          <w:rFonts w:ascii="Simplified Arabic" w:eastAsia="Times New Roman" w:hAnsi="Simplified Arabic" w:cs="Simplified Arabic"/>
          <w:color w:val="000000" w:themeColor="text1"/>
          <w:kern w:val="0"/>
          <w:sz w:val="28"/>
          <w:szCs w:val="28"/>
          <w14:ligatures w14:val="none"/>
        </w:rPr>
        <w:t xml:space="preserve">ez et al., 2024) </w:t>
      </w:r>
      <w:r w:rsidRPr="002B7D76">
        <w:rPr>
          <w:rFonts w:ascii="Simplified Arabic" w:eastAsia="Times New Roman" w:hAnsi="Simplified Arabic" w:cs="Simplified Arabic"/>
          <w:color w:val="000000" w:themeColor="text1"/>
          <w:kern w:val="0"/>
          <w:sz w:val="28"/>
          <w:szCs w:val="28"/>
          <w:rtl/>
          <w14:ligatures w14:val="none"/>
        </w:rPr>
        <w:t>أن الذكاء الاصطناعي يفتح آفاقاً غير مسبوقة لتحسين أداء المنظومات الصحية، ومن ضمنها بنوك الدم، عبر تعزيز التنبؤ، وتخصيص الخدمة، وتحسين توزيع الموارد</w:t>
      </w:r>
      <w:r w:rsidRPr="002B7D76">
        <w:rPr>
          <w:rFonts w:ascii="Simplified Arabic" w:eastAsia="Times New Roman" w:hAnsi="Simplified Arabic" w:cs="Simplified Arabic"/>
          <w:color w:val="000000" w:themeColor="text1"/>
          <w:kern w:val="0"/>
          <w:sz w:val="28"/>
          <w:szCs w:val="28"/>
          <w14:ligatures w14:val="none"/>
        </w:rPr>
        <w:t>.</w:t>
      </w:r>
    </w:p>
    <w:p w14:paraId="59DD4D09" w14:textId="210412EC" w:rsidR="002B7D76" w:rsidRPr="002B7D76" w:rsidRDefault="00843219" w:rsidP="00F60E20">
      <w:pPr>
        <w:jc w:val="center"/>
        <w:outlineLvl w:val="0"/>
        <w:rPr>
          <w:rFonts w:ascii="Simplified Arabic" w:hAnsi="Simplified Arabic" w:cs="Simplified Arabic"/>
          <w:b/>
          <w:bCs/>
          <w:color w:val="000000" w:themeColor="text1"/>
          <w:szCs w:val="28"/>
          <w:rtl/>
        </w:rPr>
        <w:sectPr w:rsidR="002B7D76" w:rsidRPr="002B7D76" w:rsidSect="003B3233">
          <w:footerReference w:type="default" r:id="rId9"/>
          <w:pgSz w:w="11906" w:h="16838" w:code="9"/>
          <w:pgMar w:top="1134" w:right="1701" w:bottom="1134" w:left="1134" w:header="720" w:footer="720" w:gutter="0"/>
          <w:pgNumType w:start="1"/>
          <w:cols w:space="708"/>
          <w:bidi/>
          <w:rtlGutter/>
          <w:docGrid w:linePitch="360"/>
        </w:sectPr>
      </w:pPr>
      <w:r w:rsidRPr="002B7D76">
        <w:rPr>
          <w:rFonts w:ascii="Simplified Arabic" w:eastAsia="Times New Roman" w:hAnsi="Simplified Arabic" w:cs="Simplified Arabic"/>
          <w:b/>
          <w:bCs/>
          <w:color w:val="000000" w:themeColor="text1"/>
          <w:kern w:val="0"/>
          <w:sz w:val="40"/>
          <w:szCs w:val="40"/>
          <w:rtl/>
          <w14:ligatures w14:val="none"/>
        </w:rPr>
        <w:br w:type="page"/>
      </w:r>
      <w:bookmarkStart w:id="54" w:name="_GoBack"/>
      <w:bookmarkEnd w:id="23"/>
      <w:bookmarkEnd w:id="54"/>
    </w:p>
    <w:p w14:paraId="29D4231B" w14:textId="71AF7253" w:rsidR="0081623B" w:rsidRPr="002B7D76" w:rsidRDefault="00E27D3B" w:rsidP="003B323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B7D76">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85BAD07">
            <wp:simplePos x="0" y="0"/>
            <wp:positionH relativeFrom="column">
              <wp:posOffset>4133850</wp:posOffset>
            </wp:positionH>
            <wp:positionV relativeFrom="paragraph">
              <wp:posOffset>0</wp:posOffset>
            </wp:positionV>
            <wp:extent cx="1506855" cy="1395730"/>
            <wp:effectExtent l="0" t="0" r="0" b="0"/>
            <wp:wrapTight wrapText="bothSides">
              <wp:wrapPolygon edited="0">
                <wp:start x="0" y="0"/>
                <wp:lineTo x="0" y="21227"/>
                <wp:lineTo x="21300" y="21227"/>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6855" cy="13957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B7D76">
        <w:rPr>
          <w:rFonts w:asciiTheme="majorBidi" w:eastAsia="Calibri" w:hAnsiTheme="majorBidi" w:cstheme="majorBidi"/>
          <w:b/>
          <w:bCs/>
          <w:color w:val="000000" w:themeColor="text1"/>
          <w:kern w:val="0"/>
          <w:sz w:val="32"/>
          <w:szCs w:val="32"/>
          <w:lang w:bidi="ar-EG"/>
          <w14:ligatures w14:val="none"/>
        </w:rPr>
        <w:t>Mid</w:t>
      </w:r>
      <w:r w:rsidR="000D353F" w:rsidRPr="002B7D76">
        <w:rPr>
          <w:rFonts w:asciiTheme="majorBidi" w:eastAsia="Calibri" w:hAnsiTheme="majorBidi" w:cstheme="majorBidi"/>
          <w:b/>
          <w:bCs/>
          <w:color w:val="000000" w:themeColor="text1"/>
          <w:kern w:val="0"/>
          <w:sz w:val="32"/>
          <w:szCs w:val="32"/>
          <w:lang w:bidi="ar-EG"/>
          <w14:ligatures w14:val="none"/>
        </w:rPr>
        <w:t xml:space="preserve"> </w:t>
      </w:r>
      <w:r w:rsidR="0081623B" w:rsidRPr="002B7D76">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B7D76" w:rsidRDefault="0081623B" w:rsidP="003B323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B7D76">
        <w:rPr>
          <w:rFonts w:asciiTheme="majorBidi" w:eastAsia="Calibri" w:hAnsiTheme="majorBidi" w:cstheme="majorBidi"/>
          <w:b/>
          <w:bCs/>
          <w:color w:val="000000" w:themeColor="text1"/>
          <w:kern w:val="0"/>
          <w:sz w:val="32"/>
          <w:szCs w:val="32"/>
          <w:lang w:bidi="ar-EG"/>
          <w14:ligatures w14:val="none"/>
        </w:rPr>
        <w:t>College of Management</w:t>
      </w:r>
    </w:p>
    <w:p w14:paraId="5517DFDB" w14:textId="77777777" w:rsidR="004650B0" w:rsidRPr="002B7D76" w:rsidRDefault="004650B0" w:rsidP="003B323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B7D76">
        <w:rPr>
          <w:rFonts w:asciiTheme="majorBidi" w:eastAsia="Calibri" w:hAnsiTheme="majorBidi" w:cstheme="majorBidi"/>
          <w:b/>
          <w:bCs/>
          <w:color w:val="000000" w:themeColor="text1"/>
          <w:kern w:val="0"/>
          <w:sz w:val="32"/>
          <w:szCs w:val="32"/>
          <w:lang w:bidi="ar-EG"/>
          <w14:ligatures w14:val="none"/>
        </w:rPr>
        <w:t>Master of Healthcare Administration</w:t>
      </w:r>
    </w:p>
    <w:p w14:paraId="04411127" w14:textId="77777777" w:rsidR="00E27D3B" w:rsidRPr="002B7D76" w:rsidRDefault="00E27D3B" w:rsidP="003B323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042D1221" w14:textId="7B350EB4" w:rsidR="008840FB" w:rsidRPr="002B7D76" w:rsidRDefault="004650B0" w:rsidP="002B7D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2B7D76">
        <w:rPr>
          <w:rFonts w:asciiTheme="majorBidi" w:eastAsia="Calibri" w:hAnsiTheme="majorBidi" w:cstheme="majorBidi"/>
          <w:b/>
          <w:bCs/>
          <w:color w:val="000000" w:themeColor="text1"/>
          <w:kern w:val="0"/>
          <w:sz w:val="40"/>
          <w:szCs w:val="40"/>
          <w:lang w:bidi="ar-EG"/>
          <w14:ligatures w14:val="none"/>
        </w:rPr>
        <w:t>The impact of digital transformation in blood bank management on enhancing the efficiency of health services according to the goals of Saudi Vision 2030. A field study on blood banks in hospitals in the Kingdom of Saudi Arabia.</w:t>
      </w:r>
    </w:p>
    <w:p w14:paraId="4CF93FF8" w14:textId="77777777" w:rsidR="002B7D76" w:rsidRPr="002B7D76" w:rsidRDefault="002B7D76" w:rsidP="002B7D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71C09550" w:rsidR="000D353F" w:rsidRPr="002B7D76" w:rsidRDefault="000D353F" w:rsidP="002B7D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B7D76">
        <w:rPr>
          <w:rFonts w:asciiTheme="majorBidi" w:eastAsia="Calibri" w:hAnsiTheme="majorBidi" w:cstheme="majorBidi"/>
          <w:b/>
          <w:bCs/>
          <w:color w:val="000000" w:themeColor="text1"/>
          <w:kern w:val="0"/>
          <w:sz w:val="36"/>
          <w:szCs w:val="36"/>
          <w:lang w:bidi="ar-EG"/>
          <w14:ligatures w14:val="none"/>
        </w:rPr>
        <w:t>Prepared by:</w:t>
      </w:r>
    </w:p>
    <w:p w14:paraId="6352280E" w14:textId="77777777" w:rsidR="004650B0" w:rsidRPr="002B7D76" w:rsidRDefault="004650B0" w:rsidP="002B7D7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2B7D76">
        <w:rPr>
          <w:rFonts w:asciiTheme="majorBidi" w:eastAsia="Calibri" w:hAnsiTheme="majorBidi" w:cstheme="majorBidi"/>
          <w:color w:val="000000" w:themeColor="text1"/>
          <w:kern w:val="0"/>
          <w:sz w:val="36"/>
          <w:szCs w:val="36"/>
          <w:lang w:bidi="ar-EG"/>
          <w14:ligatures w14:val="none"/>
        </w:rPr>
        <w:t>Waleed Mohammad Alzabidi</w:t>
      </w:r>
    </w:p>
    <w:p w14:paraId="691B90A8" w14:textId="59FBECCB" w:rsidR="002A2AA3" w:rsidRPr="002B7D76" w:rsidRDefault="004650B0" w:rsidP="002B7D7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2B7D76">
        <w:rPr>
          <w:rFonts w:asciiTheme="majorBidi" w:eastAsia="Calibri" w:hAnsiTheme="majorBidi" w:cstheme="majorBidi"/>
          <w:color w:val="000000" w:themeColor="text1"/>
          <w:kern w:val="0"/>
          <w:sz w:val="36"/>
          <w:szCs w:val="36"/>
          <w:lang w:bidi="ar-EG"/>
          <w14:ligatures w14:val="none"/>
        </w:rPr>
        <w:t>253001337</w:t>
      </w:r>
    </w:p>
    <w:p w14:paraId="47314D68" w14:textId="77777777" w:rsidR="002B7D76" w:rsidRPr="002B7D76" w:rsidRDefault="002B7D76" w:rsidP="002B7D7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B7D76" w:rsidRPr="002B7D76" w14:paraId="239D3902" w14:textId="77777777" w:rsidTr="009E49B5">
        <w:tc>
          <w:tcPr>
            <w:tcW w:w="4530" w:type="dxa"/>
          </w:tcPr>
          <w:p w14:paraId="3F51A509" w14:textId="77777777" w:rsidR="002B7D76" w:rsidRPr="002B7D76" w:rsidRDefault="002B7D76" w:rsidP="009E49B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B7D76">
              <w:rPr>
                <w:rFonts w:asciiTheme="majorBidi" w:eastAsia="Calibri" w:hAnsiTheme="majorBidi" w:cstheme="majorBidi"/>
                <w:b/>
                <w:bCs/>
                <w:color w:val="000000" w:themeColor="text1"/>
                <w:kern w:val="0"/>
                <w:sz w:val="36"/>
                <w:szCs w:val="36"/>
                <w:lang w:bidi="ar-EG"/>
                <w14:ligatures w14:val="none"/>
              </w:rPr>
              <w:t>Main supervisor</w:t>
            </w:r>
            <w:r w:rsidRPr="002B7D7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A35236F" w14:textId="77777777" w:rsidR="002B7D76" w:rsidRPr="002B7D76" w:rsidRDefault="002B7D76" w:rsidP="009E49B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B7D76">
              <w:rPr>
                <w:rFonts w:asciiTheme="majorBidi" w:eastAsia="Calibri" w:hAnsiTheme="majorBidi" w:cstheme="majorBidi"/>
                <w:b/>
                <w:bCs/>
                <w:color w:val="000000" w:themeColor="text1"/>
                <w:kern w:val="0"/>
                <w:sz w:val="36"/>
                <w:szCs w:val="36"/>
                <w:lang w:bidi="ar-EG"/>
                <w14:ligatures w14:val="none"/>
              </w:rPr>
              <w:t>Second supervisor</w:t>
            </w:r>
            <w:r w:rsidRPr="002B7D76">
              <w:rPr>
                <w:rFonts w:asciiTheme="majorBidi" w:eastAsia="Calibri" w:hAnsiTheme="majorBidi" w:cstheme="majorBidi"/>
                <w:b/>
                <w:bCs/>
                <w:color w:val="000000" w:themeColor="text1"/>
                <w:kern w:val="0"/>
                <w:sz w:val="36"/>
                <w:szCs w:val="36"/>
                <w:rtl/>
                <w:lang w:bidi="ar-EG"/>
                <w14:ligatures w14:val="none"/>
              </w:rPr>
              <w:t>/</w:t>
            </w:r>
          </w:p>
        </w:tc>
      </w:tr>
      <w:tr w:rsidR="002B7D76" w:rsidRPr="002B7D76" w14:paraId="7D167B3C" w14:textId="77777777" w:rsidTr="009E49B5">
        <w:tc>
          <w:tcPr>
            <w:tcW w:w="4530" w:type="dxa"/>
          </w:tcPr>
          <w:p w14:paraId="61A0D9D7" w14:textId="77777777" w:rsidR="002B7D76" w:rsidRPr="002B7D76" w:rsidRDefault="002B7D76" w:rsidP="009E49B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B7D7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2D1FE52" w14:textId="77777777" w:rsidR="002B7D76" w:rsidRPr="002B7D76" w:rsidRDefault="002B7D76" w:rsidP="009E49B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B7D76">
              <w:rPr>
                <w:rFonts w:asciiTheme="majorBidi" w:eastAsia="Calibri" w:hAnsiTheme="majorBidi" w:cstheme="majorBidi"/>
                <w:color w:val="000000" w:themeColor="text1"/>
                <w:kern w:val="0"/>
                <w:sz w:val="36"/>
                <w:szCs w:val="36"/>
                <w:lang w:bidi="ar-EG"/>
                <w14:ligatures w14:val="none"/>
              </w:rPr>
              <w:t>Dr. Fayez Jarad</w:t>
            </w:r>
          </w:p>
        </w:tc>
      </w:tr>
    </w:tbl>
    <w:p w14:paraId="628298EB" w14:textId="77777777" w:rsidR="002B7D76" w:rsidRPr="002B7D76" w:rsidRDefault="002B7D76" w:rsidP="002B7D7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B7D76">
        <w:rPr>
          <w:rFonts w:asciiTheme="majorBidi" w:eastAsia="Calibri" w:hAnsiTheme="majorBidi" w:cstheme="majorBidi"/>
          <w:color w:val="000000" w:themeColor="text1"/>
          <w:kern w:val="0"/>
          <w:sz w:val="36"/>
          <w:szCs w:val="36"/>
          <w:rtl/>
          <w:lang w:bidi="ar-EG"/>
          <w14:ligatures w14:val="none"/>
        </w:rPr>
        <w:t>1448 – 2026</w:t>
      </w:r>
    </w:p>
    <w:p w14:paraId="2294BE34" w14:textId="77777777" w:rsidR="002B7D76" w:rsidRPr="002B7D76" w:rsidRDefault="002B7D76" w:rsidP="002B7D7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0CC961DA" w14:textId="77777777" w:rsidR="008840FB" w:rsidRPr="002B7D76" w:rsidRDefault="008840FB" w:rsidP="003B323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F4901A2" w:rsidR="009125CE" w:rsidRPr="002B7D76" w:rsidRDefault="009125CE" w:rsidP="003B3233">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2B7D76" w:rsidSect="003B3233">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B6022" w14:textId="77777777" w:rsidR="00BF1A5F" w:rsidRDefault="00BF1A5F" w:rsidP="009125CE">
      <w:pPr>
        <w:spacing w:after="0" w:line="240" w:lineRule="auto"/>
      </w:pPr>
      <w:r>
        <w:separator/>
      </w:r>
    </w:p>
  </w:endnote>
  <w:endnote w:type="continuationSeparator" w:id="0">
    <w:p w14:paraId="25E1BE52" w14:textId="77777777" w:rsidR="00BF1A5F" w:rsidRDefault="00BF1A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46450156"/>
      <w:docPartObj>
        <w:docPartGallery w:val="Page Numbers (Bottom of Page)"/>
        <w:docPartUnique/>
      </w:docPartObj>
    </w:sdtPr>
    <w:sdtContent>
      <w:p w14:paraId="14B2D7D2" w14:textId="77777777" w:rsidR="009E49B5" w:rsidRDefault="009E49B5">
        <w:pPr>
          <w:pStyle w:val="Footer"/>
        </w:pPr>
        <w:r>
          <w:rPr>
            <w:noProof/>
          </w:rPr>
          <mc:AlternateContent>
            <mc:Choice Requires="wps">
              <w:drawing>
                <wp:anchor distT="0" distB="0" distL="114300" distR="114300" simplePos="0" relativeHeight="251666432" behindDoc="0" locked="0" layoutInCell="1" allowOverlap="1" wp14:anchorId="2C0E4C76" wp14:editId="3B98150C">
                  <wp:simplePos x="0" y="0"/>
                  <wp:positionH relativeFrom="margin">
                    <wp:posOffset>2598420</wp:posOffset>
                  </wp:positionH>
                  <wp:positionV relativeFrom="bottomMargin">
                    <wp:posOffset>246380</wp:posOffset>
                  </wp:positionV>
                  <wp:extent cx="551815" cy="312420"/>
                  <wp:effectExtent l="19050" t="19050" r="14605" b="1143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12420"/>
                          </a:xfrm>
                          <a:prstGeom prst="bracketPair">
                            <a:avLst>
                              <a:gd name="adj" fmla="val 16667"/>
                            </a:avLst>
                          </a:prstGeom>
                          <a:solidFill>
                            <a:srgbClr val="FFFFFF"/>
                          </a:solidFill>
                          <a:ln w="28575">
                            <a:solidFill>
                              <a:srgbClr val="808080"/>
                            </a:solidFill>
                            <a:round/>
                            <a:headEnd/>
                            <a:tailEnd/>
                          </a:ln>
                        </wps:spPr>
                        <wps:txbx>
                          <w:txbxContent>
                            <w:p w14:paraId="6825FEF4" w14:textId="77777777" w:rsidR="009E49B5" w:rsidRPr="003B3233" w:rsidRDefault="009E49B5">
                              <w:pPr>
                                <w:jc w:val="center"/>
                                <w:rPr>
                                  <w:rFonts w:ascii="Simplified Arabic" w:hAnsi="Simplified Arabic" w:cs="Simplified Arabic"/>
                                  <w:b/>
                                  <w:bCs/>
                                  <w:sz w:val="24"/>
                                  <w:szCs w:val="24"/>
                                </w:rPr>
                              </w:pPr>
                              <w:r w:rsidRPr="003B3233">
                                <w:rPr>
                                  <w:rFonts w:ascii="Simplified Arabic" w:hAnsi="Simplified Arabic" w:cs="Simplified Arabic"/>
                                  <w:b/>
                                  <w:bCs/>
                                  <w:sz w:val="24"/>
                                  <w:szCs w:val="24"/>
                                </w:rPr>
                                <w:fldChar w:fldCharType="begin"/>
                              </w:r>
                              <w:r w:rsidRPr="003B3233">
                                <w:rPr>
                                  <w:rFonts w:ascii="Simplified Arabic" w:hAnsi="Simplified Arabic" w:cs="Simplified Arabic"/>
                                  <w:b/>
                                  <w:bCs/>
                                  <w:sz w:val="24"/>
                                  <w:szCs w:val="24"/>
                                </w:rPr>
                                <w:instrText xml:space="preserve"> PAGE    \* MERGEFORMAT </w:instrText>
                              </w:r>
                              <w:r w:rsidRPr="003B3233">
                                <w:rPr>
                                  <w:rFonts w:ascii="Simplified Arabic" w:hAnsi="Simplified Arabic" w:cs="Simplified Arabic"/>
                                  <w:b/>
                                  <w:bCs/>
                                  <w:sz w:val="24"/>
                                  <w:szCs w:val="24"/>
                                </w:rPr>
                                <w:fldChar w:fldCharType="separate"/>
                              </w:r>
                              <w:r w:rsidR="00F60E20">
                                <w:rPr>
                                  <w:rFonts w:ascii="Simplified Arabic" w:hAnsi="Simplified Arabic" w:cs="Simplified Arabic"/>
                                  <w:b/>
                                  <w:bCs/>
                                  <w:noProof/>
                                  <w:sz w:val="24"/>
                                  <w:szCs w:val="24"/>
                                  <w:rtl/>
                                </w:rPr>
                                <w:t>39</w:t>
                              </w:r>
                              <w:r w:rsidRPr="003B3233">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C0E4C7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204.6pt;margin-top:19.4pt;width:43.45pt;height:24.6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x9H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" filled="t" strokecolor="gray" strokeweight="2.25pt">
                  <v:textbox inset=",0,,0">
                    <w:txbxContent>
                      <w:p w14:paraId="6825FEF4" w14:textId="77777777" w:rsidR="009E49B5" w:rsidRPr="003B3233" w:rsidRDefault="009E49B5">
                        <w:pPr>
                          <w:jc w:val="center"/>
                          <w:rPr>
                            <w:rFonts w:ascii="Simplified Arabic" w:hAnsi="Simplified Arabic" w:cs="Simplified Arabic"/>
                            <w:b/>
                            <w:bCs/>
                            <w:sz w:val="24"/>
                            <w:szCs w:val="24"/>
                          </w:rPr>
                        </w:pPr>
                        <w:r w:rsidRPr="003B3233">
                          <w:rPr>
                            <w:rFonts w:ascii="Simplified Arabic" w:hAnsi="Simplified Arabic" w:cs="Simplified Arabic"/>
                            <w:b/>
                            <w:bCs/>
                            <w:sz w:val="24"/>
                            <w:szCs w:val="24"/>
                          </w:rPr>
                          <w:fldChar w:fldCharType="begin"/>
                        </w:r>
                        <w:r w:rsidRPr="003B3233">
                          <w:rPr>
                            <w:rFonts w:ascii="Simplified Arabic" w:hAnsi="Simplified Arabic" w:cs="Simplified Arabic"/>
                            <w:b/>
                            <w:bCs/>
                            <w:sz w:val="24"/>
                            <w:szCs w:val="24"/>
                          </w:rPr>
                          <w:instrText xml:space="preserve"> PAGE    \* MERGEFORMAT </w:instrText>
                        </w:r>
                        <w:r w:rsidRPr="003B3233">
                          <w:rPr>
                            <w:rFonts w:ascii="Simplified Arabic" w:hAnsi="Simplified Arabic" w:cs="Simplified Arabic"/>
                            <w:b/>
                            <w:bCs/>
                            <w:sz w:val="24"/>
                            <w:szCs w:val="24"/>
                          </w:rPr>
                          <w:fldChar w:fldCharType="separate"/>
                        </w:r>
                        <w:r w:rsidR="00F60E20">
                          <w:rPr>
                            <w:rFonts w:ascii="Simplified Arabic" w:hAnsi="Simplified Arabic" w:cs="Simplified Arabic"/>
                            <w:b/>
                            <w:bCs/>
                            <w:noProof/>
                            <w:sz w:val="24"/>
                            <w:szCs w:val="24"/>
                            <w:rtl/>
                          </w:rPr>
                          <w:t>39</w:t>
                        </w:r>
                        <w:r w:rsidRPr="003B3233">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46C4074" wp14:editId="57F18CD6">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D40CF83"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63A5D" w14:textId="58FF0552" w:rsidR="009E49B5" w:rsidRDefault="009E49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68C3FC" w14:textId="77777777" w:rsidR="00BF1A5F" w:rsidRDefault="00BF1A5F" w:rsidP="009125CE">
      <w:pPr>
        <w:spacing w:after="0" w:line="240" w:lineRule="auto"/>
      </w:pPr>
      <w:r>
        <w:separator/>
      </w:r>
    </w:p>
  </w:footnote>
  <w:footnote w:type="continuationSeparator" w:id="0">
    <w:p w14:paraId="1DB34A33" w14:textId="77777777" w:rsidR="00BF1A5F" w:rsidRDefault="00BF1A5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2C3C"/>
    <w:multiLevelType w:val="hybridMultilevel"/>
    <w:tmpl w:val="760E59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A1D0A"/>
    <w:multiLevelType w:val="hybridMultilevel"/>
    <w:tmpl w:val="679AE7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396EF6"/>
    <w:multiLevelType w:val="multilevel"/>
    <w:tmpl w:val="66D2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653C2D"/>
    <w:multiLevelType w:val="multilevel"/>
    <w:tmpl w:val="B064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995D45"/>
    <w:multiLevelType w:val="multilevel"/>
    <w:tmpl w:val="F1FA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4627DB3"/>
    <w:multiLevelType w:val="hybridMultilevel"/>
    <w:tmpl w:val="8DC8A99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0F5905"/>
    <w:multiLevelType w:val="hybridMultilevel"/>
    <w:tmpl w:val="CC4C3C06"/>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F963A5"/>
    <w:multiLevelType w:val="multilevel"/>
    <w:tmpl w:val="7E66A6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350A5"/>
    <w:multiLevelType w:val="multilevel"/>
    <w:tmpl w:val="3962B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DC2F10"/>
    <w:multiLevelType w:val="hybridMultilevel"/>
    <w:tmpl w:val="5590F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2C4854"/>
    <w:multiLevelType w:val="multilevel"/>
    <w:tmpl w:val="2640E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C170182"/>
    <w:multiLevelType w:val="multilevel"/>
    <w:tmpl w:val="12D2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95622F"/>
    <w:multiLevelType w:val="multilevel"/>
    <w:tmpl w:val="E068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EB5C92"/>
    <w:multiLevelType w:val="hybridMultilevel"/>
    <w:tmpl w:val="3F8415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7F6900"/>
    <w:multiLevelType w:val="multilevel"/>
    <w:tmpl w:val="EACA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2858FD"/>
    <w:multiLevelType w:val="multilevel"/>
    <w:tmpl w:val="47BC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FA48A1"/>
    <w:multiLevelType w:val="multilevel"/>
    <w:tmpl w:val="36ACC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A25034"/>
    <w:multiLevelType w:val="hybridMultilevel"/>
    <w:tmpl w:val="4D788A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F963BFC"/>
    <w:multiLevelType w:val="hybridMultilevel"/>
    <w:tmpl w:val="FEB408B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16E79CE"/>
    <w:multiLevelType w:val="hybridMultilevel"/>
    <w:tmpl w:val="871A7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B05566"/>
    <w:multiLevelType w:val="hybridMultilevel"/>
    <w:tmpl w:val="D09EC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nsid w:val="69D00CA5"/>
    <w:multiLevelType w:val="multilevel"/>
    <w:tmpl w:val="7E66A6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AF86939"/>
    <w:multiLevelType w:val="hybridMultilevel"/>
    <w:tmpl w:val="081EAC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8D5740"/>
    <w:multiLevelType w:val="hybridMultilevel"/>
    <w:tmpl w:val="E354A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EA5053F"/>
    <w:multiLevelType w:val="hybridMultilevel"/>
    <w:tmpl w:val="E020C06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2A40DE"/>
    <w:multiLevelType w:val="multilevel"/>
    <w:tmpl w:val="A2B2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9"/>
  </w:num>
  <w:num w:numId="3">
    <w:abstractNumId w:val="42"/>
  </w:num>
  <w:num w:numId="4">
    <w:abstractNumId w:val="45"/>
  </w:num>
  <w:num w:numId="5">
    <w:abstractNumId w:val="13"/>
  </w:num>
  <w:num w:numId="6">
    <w:abstractNumId w:val="35"/>
  </w:num>
  <w:num w:numId="7">
    <w:abstractNumId w:val="32"/>
  </w:num>
  <w:num w:numId="8">
    <w:abstractNumId w:val="8"/>
  </w:num>
  <w:num w:numId="9">
    <w:abstractNumId w:val="22"/>
  </w:num>
  <w:num w:numId="10">
    <w:abstractNumId w:val="48"/>
  </w:num>
  <w:num w:numId="11">
    <w:abstractNumId w:val="16"/>
  </w:num>
  <w:num w:numId="12">
    <w:abstractNumId w:val="30"/>
  </w:num>
  <w:num w:numId="13">
    <w:abstractNumId w:val="31"/>
  </w:num>
  <w:num w:numId="14">
    <w:abstractNumId w:val="7"/>
  </w:num>
  <w:num w:numId="15">
    <w:abstractNumId w:val="41"/>
  </w:num>
  <w:num w:numId="16">
    <w:abstractNumId w:val="3"/>
  </w:num>
  <w:num w:numId="17">
    <w:abstractNumId w:val="46"/>
  </w:num>
  <w:num w:numId="18">
    <w:abstractNumId w:val="27"/>
  </w:num>
  <w:num w:numId="19">
    <w:abstractNumId w:val="1"/>
  </w:num>
  <w:num w:numId="20">
    <w:abstractNumId w:val="24"/>
  </w:num>
  <w:num w:numId="21">
    <w:abstractNumId w:val="44"/>
  </w:num>
  <w:num w:numId="22">
    <w:abstractNumId w:val="5"/>
  </w:num>
  <w:num w:numId="23">
    <w:abstractNumId w:val="6"/>
  </w:num>
  <w:num w:numId="24">
    <w:abstractNumId w:val="17"/>
  </w:num>
  <w:num w:numId="25">
    <w:abstractNumId w:val="14"/>
  </w:num>
  <w:num w:numId="26">
    <w:abstractNumId w:val="12"/>
  </w:num>
  <w:num w:numId="27">
    <w:abstractNumId w:val="38"/>
  </w:num>
  <w:num w:numId="28">
    <w:abstractNumId w:val="4"/>
  </w:num>
  <w:num w:numId="29">
    <w:abstractNumId w:val="25"/>
  </w:num>
  <w:num w:numId="30">
    <w:abstractNumId w:val="47"/>
  </w:num>
  <w:num w:numId="31">
    <w:abstractNumId w:val="23"/>
  </w:num>
  <w:num w:numId="32">
    <w:abstractNumId w:val="26"/>
  </w:num>
  <w:num w:numId="33">
    <w:abstractNumId w:val="36"/>
  </w:num>
  <w:num w:numId="34">
    <w:abstractNumId w:val="15"/>
  </w:num>
  <w:num w:numId="35">
    <w:abstractNumId w:val="18"/>
  </w:num>
  <w:num w:numId="36">
    <w:abstractNumId w:val="19"/>
  </w:num>
  <w:num w:numId="37">
    <w:abstractNumId w:val="2"/>
  </w:num>
  <w:num w:numId="38">
    <w:abstractNumId w:val="40"/>
  </w:num>
  <w:num w:numId="39">
    <w:abstractNumId w:val="20"/>
  </w:num>
  <w:num w:numId="40">
    <w:abstractNumId w:val="0"/>
  </w:num>
  <w:num w:numId="41">
    <w:abstractNumId w:val="28"/>
  </w:num>
  <w:num w:numId="42">
    <w:abstractNumId w:val="34"/>
  </w:num>
  <w:num w:numId="43">
    <w:abstractNumId w:val="9"/>
  </w:num>
  <w:num w:numId="44">
    <w:abstractNumId w:val="10"/>
  </w:num>
  <w:num w:numId="45">
    <w:abstractNumId w:val="43"/>
  </w:num>
  <w:num w:numId="46">
    <w:abstractNumId w:val="39"/>
  </w:num>
  <w:num w:numId="47">
    <w:abstractNumId w:val="33"/>
  </w:num>
  <w:num w:numId="48">
    <w:abstractNumId w:val="11"/>
  </w:num>
  <w:num w:numId="49">
    <w:abstractNumId w:val="3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62F4"/>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75E2D"/>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57612"/>
    <w:rsid w:val="00260558"/>
    <w:rsid w:val="0026283D"/>
    <w:rsid w:val="00262F77"/>
    <w:rsid w:val="00270FB5"/>
    <w:rsid w:val="00271729"/>
    <w:rsid w:val="00274BDE"/>
    <w:rsid w:val="002766BC"/>
    <w:rsid w:val="00280068"/>
    <w:rsid w:val="002828EF"/>
    <w:rsid w:val="00286958"/>
    <w:rsid w:val="0029680E"/>
    <w:rsid w:val="002A2AA3"/>
    <w:rsid w:val="002A32D6"/>
    <w:rsid w:val="002A365A"/>
    <w:rsid w:val="002A76B5"/>
    <w:rsid w:val="002B1274"/>
    <w:rsid w:val="002B7D76"/>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3233"/>
    <w:rsid w:val="003B48BD"/>
    <w:rsid w:val="003B51C3"/>
    <w:rsid w:val="003C2495"/>
    <w:rsid w:val="003D5D45"/>
    <w:rsid w:val="003D6376"/>
    <w:rsid w:val="003D7804"/>
    <w:rsid w:val="003E29FB"/>
    <w:rsid w:val="003E3EBB"/>
    <w:rsid w:val="003E7CB6"/>
    <w:rsid w:val="00400B58"/>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2AEB"/>
    <w:rsid w:val="00464637"/>
    <w:rsid w:val="00464AF1"/>
    <w:rsid w:val="004650B0"/>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2E03"/>
    <w:rsid w:val="005423FA"/>
    <w:rsid w:val="00544E3F"/>
    <w:rsid w:val="00545455"/>
    <w:rsid w:val="005459E0"/>
    <w:rsid w:val="00545E45"/>
    <w:rsid w:val="00550EC8"/>
    <w:rsid w:val="005527F0"/>
    <w:rsid w:val="00557A05"/>
    <w:rsid w:val="00557B85"/>
    <w:rsid w:val="0058591B"/>
    <w:rsid w:val="00586EC7"/>
    <w:rsid w:val="00586F13"/>
    <w:rsid w:val="0059003E"/>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1590"/>
    <w:rsid w:val="00701631"/>
    <w:rsid w:val="0070333D"/>
    <w:rsid w:val="00705AF7"/>
    <w:rsid w:val="00706E7F"/>
    <w:rsid w:val="0071504C"/>
    <w:rsid w:val="007178EE"/>
    <w:rsid w:val="007301E5"/>
    <w:rsid w:val="00731DC0"/>
    <w:rsid w:val="00741B9A"/>
    <w:rsid w:val="007501C6"/>
    <w:rsid w:val="007526FA"/>
    <w:rsid w:val="00752D5B"/>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4E66"/>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0BC"/>
    <w:rsid w:val="00830114"/>
    <w:rsid w:val="0083081C"/>
    <w:rsid w:val="00831F14"/>
    <w:rsid w:val="00832666"/>
    <w:rsid w:val="008332E4"/>
    <w:rsid w:val="0083662A"/>
    <w:rsid w:val="0084024D"/>
    <w:rsid w:val="00843219"/>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40FB"/>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09AE"/>
    <w:rsid w:val="009E1436"/>
    <w:rsid w:val="009E31A0"/>
    <w:rsid w:val="009E49B5"/>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1F51"/>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1A5F"/>
    <w:rsid w:val="00BF35D5"/>
    <w:rsid w:val="00C01C2B"/>
    <w:rsid w:val="00C1175F"/>
    <w:rsid w:val="00C16713"/>
    <w:rsid w:val="00C16D65"/>
    <w:rsid w:val="00C20A1C"/>
    <w:rsid w:val="00C23616"/>
    <w:rsid w:val="00C23A70"/>
    <w:rsid w:val="00C25EDE"/>
    <w:rsid w:val="00C32E49"/>
    <w:rsid w:val="00C35B07"/>
    <w:rsid w:val="00C35BBA"/>
    <w:rsid w:val="00C43D61"/>
    <w:rsid w:val="00C45767"/>
    <w:rsid w:val="00C46354"/>
    <w:rsid w:val="00C62935"/>
    <w:rsid w:val="00C67472"/>
    <w:rsid w:val="00C71E18"/>
    <w:rsid w:val="00C72BC9"/>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1555"/>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0209"/>
    <w:rsid w:val="00E71C79"/>
    <w:rsid w:val="00E7565E"/>
    <w:rsid w:val="00E76742"/>
    <w:rsid w:val="00E76A3D"/>
    <w:rsid w:val="00E76DB1"/>
    <w:rsid w:val="00E802F2"/>
    <w:rsid w:val="00E82DAD"/>
    <w:rsid w:val="00E86613"/>
    <w:rsid w:val="00E97126"/>
    <w:rsid w:val="00EA15E2"/>
    <w:rsid w:val="00EA258E"/>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B00"/>
    <w:rsid w:val="00EF369D"/>
    <w:rsid w:val="00EF5F43"/>
    <w:rsid w:val="00F00FB8"/>
    <w:rsid w:val="00F10C89"/>
    <w:rsid w:val="00F11345"/>
    <w:rsid w:val="00F12E68"/>
    <w:rsid w:val="00F12EEC"/>
    <w:rsid w:val="00F152CE"/>
    <w:rsid w:val="00F1646F"/>
    <w:rsid w:val="00F30BD7"/>
    <w:rsid w:val="00F310F2"/>
    <w:rsid w:val="00F33937"/>
    <w:rsid w:val="00F3442D"/>
    <w:rsid w:val="00F450D5"/>
    <w:rsid w:val="00F540A1"/>
    <w:rsid w:val="00F546CE"/>
    <w:rsid w:val="00F563E2"/>
    <w:rsid w:val="00F60BB7"/>
    <w:rsid w:val="00F60E20"/>
    <w:rsid w:val="00F642A4"/>
    <w:rsid w:val="00F642E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6Colorful-Accent3">
    <w:name w:val="Grid Table 6 Colorful Accent 3"/>
    <w:basedOn w:val="TableNormal"/>
    <w:uiPriority w:val="51"/>
    <w:rsid w:val="003B3233"/>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2">
    <w:name w:val="Grid Table 6 Colorful Accent 2"/>
    <w:basedOn w:val="TableNormal"/>
    <w:uiPriority w:val="51"/>
    <w:rsid w:val="00175E2D"/>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8485519">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7727446">
      <w:bodyDiv w:val="1"/>
      <w:marLeft w:val="0"/>
      <w:marRight w:val="0"/>
      <w:marTop w:val="0"/>
      <w:marBottom w:val="0"/>
      <w:divBdr>
        <w:top w:val="none" w:sz="0" w:space="0" w:color="auto"/>
        <w:left w:val="none" w:sz="0" w:space="0" w:color="auto"/>
        <w:bottom w:val="none" w:sz="0" w:space="0" w:color="auto"/>
        <w:right w:val="none" w:sz="0" w:space="0" w:color="auto"/>
      </w:divBdr>
    </w:div>
    <w:div w:id="67964154">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47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3364117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2915726">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15764489">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5079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77647324">
      <w:bodyDiv w:val="1"/>
      <w:marLeft w:val="0"/>
      <w:marRight w:val="0"/>
      <w:marTop w:val="0"/>
      <w:marBottom w:val="0"/>
      <w:divBdr>
        <w:top w:val="none" w:sz="0" w:space="0" w:color="auto"/>
        <w:left w:val="none" w:sz="0" w:space="0" w:color="auto"/>
        <w:bottom w:val="none" w:sz="0" w:space="0" w:color="auto"/>
        <w:right w:val="none" w:sz="0" w:space="0" w:color="auto"/>
      </w:divBdr>
      <w:divsChild>
        <w:div w:id="356388976">
          <w:marLeft w:val="0"/>
          <w:marRight w:val="0"/>
          <w:marTop w:val="0"/>
          <w:marBottom w:val="0"/>
          <w:divBdr>
            <w:top w:val="none" w:sz="0" w:space="0" w:color="auto"/>
            <w:left w:val="none" w:sz="0" w:space="0" w:color="auto"/>
            <w:bottom w:val="none" w:sz="0" w:space="0" w:color="auto"/>
            <w:right w:val="none" w:sz="0" w:space="0" w:color="auto"/>
          </w:divBdr>
        </w:div>
      </w:divsChild>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8665133">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0315777">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5483353">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2054062">
      <w:bodyDiv w:val="1"/>
      <w:marLeft w:val="0"/>
      <w:marRight w:val="0"/>
      <w:marTop w:val="0"/>
      <w:marBottom w:val="0"/>
      <w:divBdr>
        <w:top w:val="none" w:sz="0" w:space="0" w:color="auto"/>
        <w:left w:val="none" w:sz="0" w:space="0" w:color="auto"/>
        <w:bottom w:val="none" w:sz="0" w:space="0" w:color="auto"/>
        <w:right w:val="none" w:sz="0" w:space="0" w:color="auto"/>
      </w:divBdr>
    </w:div>
    <w:div w:id="129533181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5949141">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3500295">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8609963">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723998">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3AFD5A-0744-43F8-8481-5F952C910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11164</Words>
  <Characters>63638</Characters>
  <Application>Microsoft Office Word</Application>
  <DocSecurity>0</DocSecurity>
  <Lines>530</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2026-07-05T14:43:00Z</cp:lastPrinted>
  <dcterms:created xsi:type="dcterms:W3CDTF">2026-07-05T14:41:00Z</dcterms:created>
  <dcterms:modified xsi:type="dcterms:W3CDTF">2026-07-05T14:43:00Z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